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3E238" w14:textId="0A25725D" w:rsidR="00002933" w:rsidRPr="003B4362" w:rsidRDefault="00002933" w:rsidP="00905FAF">
      <w:pPr>
        <w:jc w:val="center"/>
      </w:pPr>
      <w:r w:rsidRPr="003B4362">
        <w:t>TITLE 35:  ENVIRONMENTAL PROTECTION</w:t>
      </w:r>
    </w:p>
    <w:p w14:paraId="626A2F0C" w14:textId="77777777" w:rsidR="00002933" w:rsidRPr="003B4362" w:rsidRDefault="00002933" w:rsidP="00905FAF">
      <w:pPr>
        <w:jc w:val="center"/>
        <w:rPr>
          <w:spacing w:val="-3"/>
        </w:rPr>
      </w:pPr>
      <w:r w:rsidRPr="003B4362">
        <w:rPr>
          <w:spacing w:val="-3"/>
        </w:rPr>
        <w:t>SUBTITLE F:  PUBLIC WATER SUPPLIES</w:t>
      </w:r>
    </w:p>
    <w:p w14:paraId="1E9BBBC0" w14:textId="4E6FC353" w:rsidR="00002933" w:rsidRPr="003B4362" w:rsidRDefault="00002933" w:rsidP="00905FAF">
      <w:pPr>
        <w:jc w:val="center"/>
        <w:rPr>
          <w:spacing w:val="-3"/>
        </w:rPr>
      </w:pPr>
      <w:r w:rsidRPr="003B4362">
        <w:rPr>
          <w:spacing w:val="-3"/>
        </w:rPr>
        <w:t>CHAPTER I:  POLLUTION CONTROL BOARD</w:t>
      </w:r>
    </w:p>
    <w:p w14:paraId="30A533E0" w14:textId="77777777" w:rsidR="00905FAF" w:rsidRPr="003B4362" w:rsidRDefault="00905FAF" w:rsidP="00905FAF">
      <w:pPr>
        <w:jc w:val="center"/>
        <w:rPr>
          <w:spacing w:val="-3"/>
        </w:rPr>
      </w:pPr>
    </w:p>
    <w:p w14:paraId="577E66CD" w14:textId="77777777" w:rsidR="00002933" w:rsidRPr="003B4362" w:rsidRDefault="00002933" w:rsidP="00905FAF">
      <w:pPr>
        <w:jc w:val="center"/>
        <w:rPr>
          <w:spacing w:val="-3"/>
        </w:rPr>
      </w:pPr>
      <w:r w:rsidRPr="003B4362">
        <w:rPr>
          <w:spacing w:val="-3"/>
        </w:rPr>
        <w:t>PART 611</w:t>
      </w:r>
    </w:p>
    <w:p w14:paraId="273AAD34" w14:textId="4CC3E15B" w:rsidR="00002933" w:rsidRPr="003B4362" w:rsidRDefault="00002933" w:rsidP="00905FAF">
      <w:pPr>
        <w:jc w:val="center"/>
        <w:rPr>
          <w:spacing w:val="-3"/>
        </w:rPr>
      </w:pPr>
      <w:r w:rsidRPr="003B4362">
        <w:rPr>
          <w:spacing w:val="-3"/>
        </w:rPr>
        <w:t>PRIMARY DRINKING WATER STANDARDS</w:t>
      </w:r>
    </w:p>
    <w:p w14:paraId="11A936C1" w14:textId="77777777" w:rsidR="00905FAF" w:rsidRPr="003B4362" w:rsidRDefault="00905FAF" w:rsidP="00905FAF">
      <w:pPr>
        <w:jc w:val="center"/>
        <w:rPr>
          <w:spacing w:val="-3"/>
        </w:rPr>
      </w:pPr>
    </w:p>
    <w:p w14:paraId="1113587E" w14:textId="23A643A9" w:rsidR="00002933" w:rsidRPr="003B4362" w:rsidRDefault="00002933" w:rsidP="00905FAF">
      <w:pPr>
        <w:jc w:val="center"/>
        <w:rPr>
          <w:spacing w:val="-3"/>
        </w:rPr>
      </w:pPr>
      <w:r w:rsidRPr="003B4362">
        <w:rPr>
          <w:spacing w:val="-3"/>
        </w:rPr>
        <w:t>SUBPART A:  GENERAL</w:t>
      </w:r>
    </w:p>
    <w:p w14:paraId="3C7E710D" w14:textId="77777777" w:rsidR="00905FAF" w:rsidRPr="003B4362" w:rsidRDefault="00905FAF" w:rsidP="00905FAF">
      <w:pPr>
        <w:jc w:val="center"/>
        <w:rPr>
          <w:spacing w:val="-3"/>
        </w:rPr>
      </w:pPr>
    </w:p>
    <w:p w14:paraId="2E36A0E2" w14:textId="77777777" w:rsidR="00002933" w:rsidRPr="003B4362" w:rsidRDefault="00002933" w:rsidP="00905FAF">
      <w:r w:rsidRPr="003B4362">
        <w:t>Section</w:t>
      </w:r>
    </w:p>
    <w:p w14:paraId="00C6C00B" w14:textId="77777777" w:rsidR="00002933" w:rsidRPr="003B4362" w:rsidRDefault="00002933" w:rsidP="00002933">
      <w:pPr>
        <w:widowControl w:val="0"/>
        <w:suppressAutoHyphens/>
        <w:ind w:left="1440" w:hanging="1440"/>
        <w:rPr>
          <w:spacing w:val="-3"/>
        </w:rPr>
      </w:pPr>
      <w:r w:rsidRPr="003B4362">
        <w:rPr>
          <w:spacing w:val="-3"/>
        </w:rPr>
        <w:t>611.100</w:t>
      </w:r>
      <w:r w:rsidRPr="003B4362">
        <w:rPr>
          <w:spacing w:val="-3"/>
        </w:rPr>
        <w:tab/>
        <w:t>Purpose, Scope</w:t>
      </w:r>
      <w:r w:rsidRPr="003B4362">
        <w:t>,</w:t>
      </w:r>
      <w:r w:rsidRPr="003B4362">
        <w:rPr>
          <w:spacing w:val="-3"/>
        </w:rPr>
        <w:t xml:space="preserve"> and Applicability</w:t>
      </w:r>
    </w:p>
    <w:p w14:paraId="63C2137A" w14:textId="77777777" w:rsidR="00002933" w:rsidRPr="003B4362" w:rsidRDefault="00002933" w:rsidP="00002933">
      <w:pPr>
        <w:widowControl w:val="0"/>
        <w:suppressAutoHyphens/>
        <w:ind w:left="1440" w:hanging="1440"/>
        <w:rPr>
          <w:spacing w:val="-3"/>
        </w:rPr>
      </w:pPr>
      <w:r w:rsidRPr="003B4362">
        <w:rPr>
          <w:spacing w:val="-3"/>
        </w:rPr>
        <w:t>611.101</w:t>
      </w:r>
      <w:r w:rsidRPr="003B4362">
        <w:rPr>
          <w:spacing w:val="-3"/>
        </w:rPr>
        <w:tab/>
        <w:t>Definitions</w:t>
      </w:r>
    </w:p>
    <w:p w14:paraId="277212FA" w14:textId="77777777" w:rsidR="00002933" w:rsidRPr="003B4362" w:rsidRDefault="00002933" w:rsidP="00002933">
      <w:pPr>
        <w:widowControl w:val="0"/>
        <w:suppressAutoHyphens/>
        <w:ind w:left="1440" w:hanging="1440"/>
        <w:rPr>
          <w:spacing w:val="-3"/>
        </w:rPr>
      </w:pPr>
      <w:r w:rsidRPr="003B4362">
        <w:rPr>
          <w:spacing w:val="-3"/>
        </w:rPr>
        <w:t>611.102</w:t>
      </w:r>
      <w:r w:rsidRPr="003B4362">
        <w:rPr>
          <w:spacing w:val="-3"/>
        </w:rPr>
        <w:tab/>
        <w:t>Incorporations by Reference</w:t>
      </w:r>
    </w:p>
    <w:p w14:paraId="5E4ED616" w14:textId="77777777" w:rsidR="00002933" w:rsidRPr="003B4362" w:rsidRDefault="00002933" w:rsidP="00002933">
      <w:pPr>
        <w:widowControl w:val="0"/>
        <w:suppressAutoHyphens/>
        <w:ind w:left="1440" w:hanging="1440"/>
        <w:rPr>
          <w:spacing w:val="-3"/>
        </w:rPr>
      </w:pPr>
      <w:r w:rsidRPr="003B4362">
        <w:rPr>
          <w:spacing w:val="-3"/>
        </w:rPr>
        <w:t>611.103</w:t>
      </w:r>
      <w:r w:rsidRPr="003B4362">
        <w:rPr>
          <w:spacing w:val="-3"/>
        </w:rPr>
        <w:tab/>
        <w:t>Severability</w:t>
      </w:r>
    </w:p>
    <w:p w14:paraId="1177FEF5" w14:textId="77777777" w:rsidR="00002933" w:rsidRPr="003B4362" w:rsidRDefault="00002933" w:rsidP="00002933">
      <w:pPr>
        <w:widowControl w:val="0"/>
        <w:suppressAutoHyphens/>
        <w:ind w:left="1440" w:hanging="1440"/>
        <w:rPr>
          <w:spacing w:val="-3"/>
        </w:rPr>
      </w:pPr>
      <w:r w:rsidRPr="003B4362">
        <w:t>611.105</w:t>
      </w:r>
      <w:r w:rsidRPr="003B4362">
        <w:tab/>
        <w:t>Electronic Reporting</w:t>
      </w:r>
    </w:p>
    <w:p w14:paraId="437CC53C" w14:textId="77777777" w:rsidR="00002933" w:rsidRPr="003B4362" w:rsidRDefault="00002933" w:rsidP="00002933">
      <w:pPr>
        <w:widowControl w:val="0"/>
        <w:suppressAutoHyphens/>
        <w:ind w:left="1440" w:hanging="1440"/>
        <w:rPr>
          <w:spacing w:val="-3"/>
        </w:rPr>
      </w:pPr>
      <w:r w:rsidRPr="003B4362">
        <w:rPr>
          <w:spacing w:val="-3"/>
        </w:rPr>
        <w:t>611.107</w:t>
      </w:r>
      <w:r w:rsidRPr="003B4362">
        <w:rPr>
          <w:spacing w:val="-3"/>
        </w:rPr>
        <w:tab/>
        <w:t>Agency Inspection of PWS Facilities</w:t>
      </w:r>
      <w:bookmarkStart w:id="0" w:name="_Hlk25242439"/>
      <w:r w:rsidRPr="003B4362">
        <w:rPr>
          <w:spacing w:val="-3"/>
        </w:rPr>
        <w:t xml:space="preserve"> (Repealed)</w:t>
      </w:r>
      <w:bookmarkEnd w:id="0"/>
    </w:p>
    <w:p w14:paraId="24A76C89" w14:textId="77777777" w:rsidR="00002933" w:rsidRPr="003B4362" w:rsidRDefault="00002933" w:rsidP="00002933">
      <w:pPr>
        <w:widowControl w:val="0"/>
        <w:suppressAutoHyphens/>
        <w:ind w:left="1440" w:hanging="1440"/>
        <w:rPr>
          <w:spacing w:val="-3"/>
        </w:rPr>
      </w:pPr>
      <w:r w:rsidRPr="003B4362">
        <w:rPr>
          <w:spacing w:val="-3"/>
        </w:rPr>
        <w:t>611.108</w:t>
      </w:r>
      <w:r w:rsidRPr="003B4362">
        <w:rPr>
          <w:spacing w:val="-3"/>
        </w:rPr>
        <w:tab/>
        <w:t>Delegation to Local Government</w:t>
      </w:r>
    </w:p>
    <w:p w14:paraId="45FB8029" w14:textId="77777777" w:rsidR="00002933" w:rsidRPr="003B4362" w:rsidRDefault="00002933" w:rsidP="00002933">
      <w:pPr>
        <w:widowControl w:val="0"/>
        <w:suppressAutoHyphens/>
        <w:ind w:left="1440" w:hanging="1440"/>
        <w:rPr>
          <w:spacing w:val="-3"/>
        </w:rPr>
      </w:pPr>
      <w:r w:rsidRPr="003B4362">
        <w:rPr>
          <w:spacing w:val="-3"/>
        </w:rPr>
        <w:t>611.109</w:t>
      </w:r>
      <w:r w:rsidRPr="003B4362">
        <w:rPr>
          <w:spacing w:val="-3"/>
        </w:rPr>
        <w:tab/>
        <w:t>Enforcement</w:t>
      </w:r>
    </w:p>
    <w:p w14:paraId="5C708E2B" w14:textId="77777777" w:rsidR="00002933" w:rsidRPr="003B4362" w:rsidRDefault="00002933" w:rsidP="00002933">
      <w:pPr>
        <w:widowControl w:val="0"/>
        <w:suppressAutoHyphens/>
        <w:ind w:left="1440" w:hanging="1440"/>
        <w:rPr>
          <w:spacing w:val="-3"/>
        </w:rPr>
      </w:pPr>
      <w:r w:rsidRPr="003B4362">
        <w:rPr>
          <w:spacing w:val="-3"/>
        </w:rPr>
        <w:t>611.110</w:t>
      </w:r>
      <w:r w:rsidRPr="003B4362">
        <w:rPr>
          <w:spacing w:val="-3"/>
        </w:rPr>
        <w:tab/>
        <w:t>Special Exception Permits</w:t>
      </w:r>
    </w:p>
    <w:p w14:paraId="650AE953" w14:textId="77777777" w:rsidR="00002933" w:rsidRPr="003B4362" w:rsidRDefault="00002933" w:rsidP="00002933">
      <w:pPr>
        <w:widowControl w:val="0"/>
        <w:suppressAutoHyphens/>
        <w:ind w:left="1440" w:hanging="1440"/>
        <w:rPr>
          <w:spacing w:val="-3"/>
        </w:rPr>
      </w:pPr>
      <w:r w:rsidRPr="003B4362">
        <w:rPr>
          <w:spacing w:val="-3"/>
        </w:rPr>
        <w:t>611.111</w:t>
      </w:r>
      <w:r w:rsidRPr="003B4362">
        <w:rPr>
          <w:spacing w:val="-3"/>
        </w:rPr>
        <w:tab/>
      </w:r>
      <w:r w:rsidRPr="003B4362">
        <w:t>Relief Equivalent to SDWA Section 1415(a) Variances</w:t>
      </w:r>
    </w:p>
    <w:p w14:paraId="6EA60FF5" w14:textId="77777777" w:rsidR="00002933" w:rsidRPr="003B4362" w:rsidRDefault="00002933" w:rsidP="00002933">
      <w:pPr>
        <w:widowControl w:val="0"/>
        <w:suppressAutoHyphens/>
        <w:ind w:left="1440" w:hanging="1440"/>
        <w:rPr>
          <w:spacing w:val="-3"/>
        </w:rPr>
      </w:pPr>
      <w:r w:rsidRPr="003B4362">
        <w:rPr>
          <w:spacing w:val="-3"/>
        </w:rPr>
        <w:t>611.112</w:t>
      </w:r>
      <w:r w:rsidRPr="003B4362">
        <w:rPr>
          <w:spacing w:val="-3"/>
        </w:rPr>
        <w:tab/>
      </w:r>
      <w:r w:rsidRPr="003B4362">
        <w:t>Relief Equivalent to SDWA Section 1416 Exemptions</w:t>
      </w:r>
    </w:p>
    <w:p w14:paraId="73BF1F0A" w14:textId="77777777" w:rsidR="00002933" w:rsidRPr="003B4362" w:rsidRDefault="00002933" w:rsidP="00002933">
      <w:pPr>
        <w:widowControl w:val="0"/>
        <w:suppressAutoHyphens/>
        <w:ind w:left="1440" w:hanging="1440"/>
        <w:rPr>
          <w:spacing w:val="-3"/>
        </w:rPr>
      </w:pPr>
      <w:r w:rsidRPr="003B4362">
        <w:rPr>
          <w:spacing w:val="-3"/>
        </w:rPr>
        <w:t>611.113</w:t>
      </w:r>
      <w:r w:rsidRPr="003B4362">
        <w:rPr>
          <w:spacing w:val="-3"/>
        </w:rPr>
        <w:tab/>
        <w:t>Alternative Treatment Techniques</w:t>
      </w:r>
    </w:p>
    <w:p w14:paraId="0616B859" w14:textId="77777777" w:rsidR="00002933" w:rsidRPr="003B4362" w:rsidRDefault="00002933" w:rsidP="00002933">
      <w:pPr>
        <w:widowControl w:val="0"/>
        <w:suppressAutoHyphens/>
        <w:ind w:left="1440" w:hanging="1440"/>
        <w:rPr>
          <w:spacing w:val="-3"/>
        </w:rPr>
      </w:pPr>
      <w:r w:rsidRPr="003B4362">
        <w:rPr>
          <w:spacing w:val="-3"/>
        </w:rPr>
        <w:t>611.114</w:t>
      </w:r>
      <w:r w:rsidRPr="003B4362">
        <w:rPr>
          <w:spacing w:val="-3"/>
        </w:rPr>
        <w:tab/>
      </w:r>
      <w:r w:rsidRPr="003B4362">
        <w:t>Siting Requirements</w:t>
      </w:r>
    </w:p>
    <w:p w14:paraId="30AAEF99" w14:textId="77777777" w:rsidR="00002933" w:rsidRPr="003B4362" w:rsidRDefault="00002933" w:rsidP="00002933">
      <w:pPr>
        <w:widowControl w:val="0"/>
        <w:suppressAutoHyphens/>
        <w:ind w:left="1440" w:hanging="1440"/>
        <w:rPr>
          <w:spacing w:val="-3"/>
        </w:rPr>
      </w:pPr>
      <w:r w:rsidRPr="003B4362">
        <w:rPr>
          <w:spacing w:val="-3"/>
        </w:rPr>
        <w:t>611.115</w:t>
      </w:r>
      <w:r w:rsidRPr="003B4362">
        <w:rPr>
          <w:spacing w:val="-3"/>
        </w:rPr>
        <w:tab/>
        <w:t>Source Water Quantity (Repealed)</w:t>
      </w:r>
    </w:p>
    <w:p w14:paraId="28B67C14" w14:textId="424ACB5B" w:rsidR="00002933" w:rsidRPr="003B4362" w:rsidRDefault="00002933" w:rsidP="00002933">
      <w:pPr>
        <w:widowControl w:val="0"/>
        <w:suppressAutoHyphens/>
        <w:ind w:left="1440" w:hanging="1440"/>
        <w:rPr>
          <w:spacing w:val="-3"/>
        </w:rPr>
      </w:pPr>
      <w:r w:rsidRPr="003B4362">
        <w:rPr>
          <w:spacing w:val="-3"/>
        </w:rPr>
        <w:t>611.120</w:t>
      </w:r>
      <w:r w:rsidRPr="003B4362">
        <w:rPr>
          <w:spacing w:val="-3"/>
        </w:rPr>
        <w:tab/>
      </w:r>
      <w:r w:rsidRPr="003B4362">
        <w:t>Effective Dates</w:t>
      </w:r>
      <w:r w:rsidR="00121F93" w:rsidRPr="003B4362">
        <w:rPr>
          <w:spacing w:val="-3"/>
        </w:rPr>
        <w:t xml:space="preserve"> (Repealed)</w:t>
      </w:r>
    </w:p>
    <w:p w14:paraId="7BC2C748" w14:textId="77777777" w:rsidR="00002933" w:rsidRPr="003B4362" w:rsidRDefault="00002933" w:rsidP="00002933">
      <w:pPr>
        <w:widowControl w:val="0"/>
        <w:suppressAutoHyphens/>
        <w:ind w:left="1440" w:hanging="1440"/>
        <w:rPr>
          <w:spacing w:val="-3"/>
        </w:rPr>
      </w:pPr>
      <w:r w:rsidRPr="003B4362">
        <w:rPr>
          <w:spacing w:val="-3"/>
        </w:rPr>
        <w:t>611.121</w:t>
      </w:r>
      <w:r w:rsidRPr="003B4362">
        <w:rPr>
          <w:spacing w:val="-3"/>
        </w:rPr>
        <w:tab/>
        <w:t>Maximum Contaminant Levels</w:t>
      </w:r>
    </w:p>
    <w:p w14:paraId="7A6401F3" w14:textId="77777777" w:rsidR="00002933" w:rsidRPr="003B4362" w:rsidRDefault="00002933" w:rsidP="00002933">
      <w:pPr>
        <w:widowControl w:val="0"/>
        <w:suppressAutoHyphens/>
        <w:ind w:left="1440" w:hanging="1440"/>
        <w:rPr>
          <w:spacing w:val="-3"/>
        </w:rPr>
      </w:pPr>
      <w:r w:rsidRPr="003B4362">
        <w:rPr>
          <w:spacing w:val="-3"/>
        </w:rPr>
        <w:t>611.125</w:t>
      </w:r>
      <w:r w:rsidRPr="003B4362">
        <w:rPr>
          <w:spacing w:val="-3"/>
        </w:rPr>
        <w:tab/>
        <w:t>Fluoridation Requirement</w:t>
      </w:r>
    </w:p>
    <w:p w14:paraId="69ABBD96" w14:textId="37108CC2" w:rsidR="00002933" w:rsidRPr="003B4362" w:rsidRDefault="00002933" w:rsidP="00002933">
      <w:pPr>
        <w:widowControl w:val="0"/>
        <w:suppressAutoHyphens/>
        <w:ind w:left="1440" w:hanging="1440"/>
        <w:rPr>
          <w:spacing w:val="-3"/>
        </w:rPr>
      </w:pPr>
      <w:r w:rsidRPr="003B4362">
        <w:rPr>
          <w:spacing w:val="-3"/>
        </w:rPr>
        <w:t>611.126</w:t>
      </w:r>
      <w:r w:rsidRPr="003B4362">
        <w:rPr>
          <w:spacing w:val="-3"/>
        </w:rPr>
        <w:tab/>
      </w:r>
      <w:r w:rsidR="003018D3" w:rsidRPr="003B4362">
        <w:rPr>
          <w:rFonts w:eastAsia="Calibri"/>
          <w:szCs w:val="24"/>
        </w:rPr>
        <w:t>Using Lead-Free Pipes, Fittings, Fixtures, Solder, and Flux for Drinking Water</w:t>
      </w:r>
    </w:p>
    <w:p w14:paraId="7C951C7F" w14:textId="77777777" w:rsidR="00002933" w:rsidRPr="003B4362" w:rsidRDefault="00002933" w:rsidP="00002933">
      <w:pPr>
        <w:widowControl w:val="0"/>
        <w:suppressAutoHyphens/>
        <w:ind w:left="1440" w:hanging="1440"/>
        <w:rPr>
          <w:spacing w:val="-3"/>
        </w:rPr>
      </w:pPr>
      <w:r w:rsidRPr="003B4362">
        <w:rPr>
          <w:spacing w:val="-3"/>
        </w:rPr>
        <w:t>611.130</w:t>
      </w:r>
      <w:r w:rsidRPr="003B4362">
        <w:rPr>
          <w:spacing w:val="-3"/>
        </w:rPr>
        <w:tab/>
        <w:t>Special Requirements for Certain Variances and Adjusted Standards</w:t>
      </w:r>
    </w:p>
    <w:p w14:paraId="7F7341BF" w14:textId="77777777" w:rsidR="00002933" w:rsidRPr="003B4362" w:rsidRDefault="00002933" w:rsidP="00002933">
      <w:pPr>
        <w:widowControl w:val="0"/>
        <w:suppressAutoHyphens/>
        <w:ind w:left="1440" w:hanging="1440"/>
      </w:pPr>
      <w:r w:rsidRPr="003B4362">
        <w:t>611.131</w:t>
      </w:r>
      <w:r w:rsidRPr="003B4362">
        <w:tab/>
        <w:t>Relief Equivalent to SDWA Section 1415(e) Small System Variance</w:t>
      </w:r>
    </w:p>
    <w:p w14:paraId="03AE4848" w14:textId="77777777" w:rsidR="00002933" w:rsidRPr="003B4362" w:rsidRDefault="00002933" w:rsidP="00002933">
      <w:pPr>
        <w:widowControl w:val="0"/>
        <w:suppressAutoHyphens/>
        <w:ind w:left="1440" w:hanging="1440"/>
      </w:pPr>
      <w:r w:rsidRPr="003B4362">
        <w:t>611.160</w:t>
      </w:r>
      <w:r w:rsidRPr="003B4362">
        <w:tab/>
        <w:t>Composite Correction Program</w:t>
      </w:r>
    </w:p>
    <w:p w14:paraId="5017AA6D" w14:textId="66E316F9" w:rsidR="00002933" w:rsidRPr="003B4362" w:rsidRDefault="00002933" w:rsidP="00002933">
      <w:pPr>
        <w:widowControl w:val="0"/>
        <w:ind w:left="1440" w:hanging="1440"/>
      </w:pPr>
      <w:r w:rsidRPr="003B4362">
        <w:t>611.161</w:t>
      </w:r>
      <w:r w:rsidRPr="003B4362">
        <w:tab/>
        <w:t>Case-by-Case Reduced Subpart Y Monitoring for Wholesale and Consecutive Systems</w:t>
      </w:r>
    </w:p>
    <w:p w14:paraId="30F53017" w14:textId="77777777" w:rsidR="00905FAF" w:rsidRPr="003B4362" w:rsidRDefault="00905FAF" w:rsidP="00002933">
      <w:pPr>
        <w:widowControl w:val="0"/>
        <w:ind w:left="1440" w:hanging="1440"/>
      </w:pPr>
    </w:p>
    <w:p w14:paraId="36F2013F" w14:textId="4942AFD5" w:rsidR="00002933" w:rsidRPr="003B4362" w:rsidRDefault="00002933" w:rsidP="00905FAF">
      <w:pPr>
        <w:jc w:val="center"/>
      </w:pPr>
      <w:r w:rsidRPr="003B4362">
        <w:t>SUBPART B:  FILTRATION AND DISINFECTION</w:t>
      </w:r>
    </w:p>
    <w:p w14:paraId="1E60512D" w14:textId="77777777" w:rsidR="00905FAF" w:rsidRPr="003B4362" w:rsidRDefault="00905FAF" w:rsidP="00905FAF">
      <w:pPr>
        <w:jc w:val="center"/>
      </w:pPr>
    </w:p>
    <w:p w14:paraId="7D26AC11" w14:textId="77777777" w:rsidR="00002933" w:rsidRPr="003B4362" w:rsidRDefault="00002933" w:rsidP="00905FAF">
      <w:r w:rsidRPr="003B4362">
        <w:t>Section</w:t>
      </w:r>
    </w:p>
    <w:p w14:paraId="4FA414BE" w14:textId="31F67728" w:rsidR="00002933" w:rsidRPr="003B4362" w:rsidRDefault="00002933" w:rsidP="00002933">
      <w:pPr>
        <w:widowControl w:val="0"/>
        <w:suppressAutoHyphens/>
        <w:ind w:left="1440" w:hanging="1440"/>
        <w:rPr>
          <w:spacing w:val="-3"/>
        </w:rPr>
      </w:pPr>
      <w:r w:rsidRPr="003B4362">
        <w:rPr>
          <w:spacing w:val="-3"/>
        </w:rPr>
        <w:t>611.201</w:t>
      </w:r>
      <w:r w:rsidRPr="003B4362">
        <w:rPr>
          <w:spacing w:val="-3"/>
        </w:rPr>
        <w:tab/>
        <w:t>Requiring a Demonstration</w:t>
      </w:r>
      <w:r w:rsidR="00924142" w:rsidRPr="003B4362">
        <w:rPr>
          <w:spacing w:val="-3"/>
        </w:rPr>
        <w:t xml:space="preserve"> (Repealed)</w:t>
      </w:r>
    </w:p>
    <w:p w14:paraId="64BC8D92" w14:textId="1DEBA2B8" w:rsidR="00002933" w:rsidRPr="003B4362" w:rsidRDefault="00002933" w:rsidP="00002933">
      <w:pPr>
        <w:widowControl w:val="0"/>
        <w:suppressAutoHyphens/>
        <w:ind w:left="1440" w:hanging="1440"/>
        <w:rPr>
          <w:spacing w:val="-3"/>
        </w:rPr>
      </w:pPr>
      <w:r w:rsidRPr="003B4362">
        <w:rPr>
          <w:spacing w:val="-3"/>
        </w:rPr>
        <w:t>611.202</w:t>
      </w:r>
      <w:r w:rsidRPr="003B4362">
        <w:rPr>
          <w:spacing w:val="-3"/>
        </w:rPr>
        <w:tab/>
        <w:t>Procedures for Agency Determinations</w:t>
      </w:r>
      <w:r w:rsidR="00924142" w:rsidRPr="003B4362">
        <w:rPr>
          <w:spacing w:val="-3"/>
        </w:rPr>
        <w:t xml:space="preserve"> (Repealed)</w:t>
      </w:r>
    </w:p>
    <w:p w14:paraId="308FFDFF" w14:textId="77777777" w:rsidR="00002933" w:rsidRPr="003B4362" w:rsidRDefault="00002933" w:rsidP="00002933">
      <w:pPr>
        <w:widowControl w:val="0"/>
        <w:suppressAutoHyphens/>
        <w:ind w:left="1440" w:hanging="1440"/>
        <w:rPr>
          <w:spacing w:val="-3"/>
        </w:rPr>
      </w:pPr>
      <w:r w:rsidRPr="003B4362">
        <w:rPr>
          <w:spacing w:val="-3"/>
        </w:rPr>
        <w:t>611.211</w:t>
      </w:r>
      <w:r w:rsidRPr="003B4362">
        <w:rPr>
          <w:spacing w:val="-3"/>
        </w:rPr>
        <w:tab/>
        <w:t>Filtration Required</w:t>
      </w:r>
    </w:p>
    <w:p w14:paraId="1F0FDEF4" w14:textId="77777777" w:rsidR="00002933" w:rsidRPr="003B4362" w:rsidRDefault="00002933" w:rsidP="00002933">
      <w:pPr>
        <w:widowControl w:val="0"/>
        <w:suppressAutoHyphens/>
        <w:ind w:left="1440" w:hanging="1440"/>
        <w:rPr>
          <w:spacing w:val="-3"/>
        </w:rPr>
      </w:pPr>
      <w:r w:rsidRPr="003B4362">
        <w:rPr>
          <w:spacing w:val="-3"/>
        </w:rPr>
        <w:t>611.212</w:t>
      </w:r>
      <w:r w:rsidRPr="003B4362">
        <w:rPr>
          <w:spacing w:val="-3"/>
        </w:rPr>
        <w:tab/>
        <w:t>Groundwater under Direct Influence of Surface Water</w:t>
      </w:r>
    </w:p>
    <w:p w14:paraId="3EE8FCC6" w14:textId="77777777" w:rsidR="00002933" w:rsidRPr="003B4362" w:rsidRDefault="00002933" w:rsidP="00002933">
      <w:pPr>
        <w:widowControl w:val="0"/>
        <w:suppressAutoHyphens/>
        <w:ind w:left="1440" w:hanging="1440"/>
        <w:rPr>
          <w:spacing w:val="-3"/>
        </w:rPr>
      </w:pPr>
      <w:r w:rsidRPr="003B4362">
        <w:rPr>
          <w:spacing w:val="-3"/>
        </w:rPr>
        <w:t>611.213</w:t>
      </w:r>
      <w:r w:rsidRPr="003B4362">
        <w:rPr>
          <w:spacing w:val="-3"/>
        </w:rPr>
        <w:tab/>
        <w:t>No Method of HPC Analysis</w:t>
      </w:r>
    </w:p>
    <w:p w14:paraId="0B36125F" w14:textId="77777777" w:rsidR="00002933" w:rsidRPr="003B4362" w:rsidRDefault="00002933" w:rsidP="004C15CC">
      <w:r w:rsidRPr="003B4362">
        <w:t>611.220</w:t>
      </w:r>
      <w:r w:rsidRPr="003B4362">
        <w:tab/>
        <w:t>General Requirements</w:t>
      </w:r>
    </w:p>
    <w:p w14:paraId="346B8334" w14:textId="72138087" w:rsidR="00002933" w:rsidRPr="003B4362" w:rsidRDefault="00002933" w:rsidP="00002933">
      <w:pPr>
        <w:widowControl w:val="0"/>
        <w:suppressAutoHyphens/>
        <w:ind w:left="1440" w:hanging="1440"/>
        <w:rPr>
          <w:spacing w:val="-3"/>
        </w:rPr>
      </w:pPr>
      <w:r w:rsidRPr="003B4362">
        <w:rPr>
          <w:spacing w:val="-3"/>
        </w:rPr>
        <w:t>611.230</w:t>
      </w:r>
      <w:r w:rsidRPr="003B4362">
        <w:rPr>
          <w:spacing w:val="-3"/>
        </w:rPr>
        <w:tab/>
        <w:t>Filtration Effective Dates</w:t>
      </w:r>
      <w:r w:rsidR="008929CE" w:rsidRPr="003B4362">
        <w:rPr>
          <w:spacing w:val="-3"/>
        </w:rPr>
        <w:t xml:space="preserve"> (Repealed)</w:t>
      </w:r>
    </w:p>
    <w:p w14:paraId="1B9540AD" w14:textId="6D6788E3" w:rsidR="00002933" w:rsidRPr="003B4362" w:rsidRDefault="00002933" w:rsidP="00002933">
      <w:pPr>
        <w:widowControl w:val="0"/>
        <w:suppressAutoHyphens/>
        <w:ind w:left="1440" w:hanging="1440"/>
        <w:rPr>
          <w:spacing w:val="-3"/>
        </w:rPr>
      </w:pPr>
      <w:r w:rsidRPr="003B4362">
        <w:rPr>
          <w:spacing w:val="-3"/>
        </w:rPr>
        <w:t>611.231</w:t>
      </w:r>
      <w:r w:rsidRPr="003B4362">
        <w:rPr>
          <w:spacing w:val="-3"/>
        </w:rPr>
        <w:tab/>
        <w:t xml:space="preserve">Source Water </w:t>
      </w:r>
      <w:r w:rsidR="008929CE" w:rsidRPr="003B4362">
        <w:rPr>
          <w:spacing w:val="-3"/>
        </w:rPr>
        <w:t>Limitation</w:t>
      </w:r>
    </w:p>
    <w:p w14:paraId="47DEFE12" w14:textId="0FA99C3E" w:rsidR="00002933" w:rsidRPr="003B4362" w:rsidRDefault="00002933" w:rsidP="00002933">
      <w:pPr>
        <w:widowControl w:val="0"/>
        <w:suppressAutoHyphens/>
        <w:ind w:left="1440" w:hanging="1440"/>
        <w:rPr>
          <w:spacing w:val="-3"/>
        </w:rPr>
      </w:pPr>
      <w:r w:rsidRPr="003B4362">
        <w:rPr>
          <w:spacing w:val="-3"/>
        </w:rPr>
        <w:lastRenderedPageBreak/>
        <w:t>611.232</w:t>
      </w:r>
      <w:r w:rsidRPr="003B4362">
        <w:rPr>
          <w:spacing w:val="-3"/>
        </w:rPr>
        <w:tab/>
      </w:r>
      <w:r w:rsidRPr="003B4362">
        <w:t>Site-Specific Conditions</w:t>
      </w:r>
      <w:r w:rsidR="009259B1" w:rsidRPr="003B4362">
        <w:rPr>
          <w:spacing w:val="-3"/>
        </w:rPr>
        <w:t xml:space="preserve"> (Repealed)</w:t>
      </w:r>
    </w:p>
    <w:p w14:paraId="50C5CE7B" w14:textId="782B8CA4" w:rsidR="00002933" w:rsidRPr="003B4362" w:rsidRDefault="00002933" w:rsidP="00002933">
      <w:pPr>
        <w:widowControl w:val="0"/>
        <w:suppressAutoHyphens/>
        <w:ind w:left="1440" w:hanging="1440"/>
        <w:rPr>
          <w:spacing w:val="-3"/>
        </w:rPr>
      </w:pPr>
      <w:r w:rsidRPr="003B4362">
        <w:rPr>
          <w:spacing w:val="-3"/>
        </w:rPr>
        <w:t>611.233</w:t>
      </w:r>
      <w:r w:rsidRPr="003B4362">
        <w:rPr>
          <w:spacing w:val="-3"/>
        </w:rPr>
        <w:tab/>
        <w:t>Treatment Technique Violations</w:t>
      </w:r>
    </w:p>
    <w:p w14:paraId="4F8F2BA2" w14:textId="77777777" w:rsidR="00002933" w:rsidRPr="003B4362" w:rsidRDefault="00002933" w:rsidP="00002933">
      <w:pPr>
        <w:widowControl w:val="0"/>
        <w:suppressAutoHyphens/>
        <w:ind w:left="1440" w:hanging="1440"/>
        <w:rPr>
          <w:spacing w:val="-3"/>
        </w:rPr>
      </w:pPr>
      <w:r w:rsidRPr="003B4362">
        <w:rPr>
          <w:spacing w:val="-3"/>
        </w:rPr>
        <w:t>611.240</w:t>
      </w:r>
      <w:r w:rsidRPr="003B4362">
        <w:rPr>
          <w:spacing w:val="-3"/>
        </w:rPr>
        <w:tab/>
        <w:t>Disinfection</w:t>
      </w:r>
    </w:p>
    <w:p w14:paraId="4289D5B8" w14:textId="5D9D3FE2" w:rsidR="00002933" w:rsidRPr="003B4362" w:rsidRDefault="00002933" w:rsidP="00002933">
      <w:pPr>
        <w:widowControl w:val="0"/>
        <w:suppressAutoHyphens/>
        <w:ind w:left="1440" w:hanging="1440"/>
        <w:rPr>
          <w:spacing w:val="-3"/>
        </w:rPr>
      </w:pPr>
      <w:r w:rsidRPr="003B4362">
        <w:rPr>
          <w:spacing w:val="-3"/>
        </w:rPr>
        <w:t>611.241</w:t>
      </w:r>
      <w:r w:rsidRPr="003B4362">
        <w:rPr>
          <w:spacing w:val="-3"/>
        </w:rPr>
        <w:tab/>
        <w:t>Unfiltered PWSs</w:t>
      </w:r>
      <w:r w:rsidR="00916439" w:rsidRPr="003B4362">
        <w:rPr>
          <w:spacing w:val="-3"/>
        </w:rPr>
        <w:t xml:space="preserve"> (Repealed)</w:t>
      </w:r>
    </w:p>
    <w:p w14:paraId="3CD8D4F4" w14:textId="77777777" w:rsidR="00002933" w:rsidRPr="003B4362" w:rsidRDefault="00002933" w:rsidP="00002933">
      <w:pPr>
        <w:widowControl w:val="0"/>
        <w:suppressAutoHyphens/>
        <w:ind w:left="1440" w:hanging="1440"/>
        <w:rPr>
          <w:spacing w:val="-3"/>
        </w:rPr>
      </w:pPr>
      <w:r w:rsidRPr="003B4362">
        <w:rPr>
          <w:spacing w:val="-3"/>
        </w:rPr>
        <w:t>611.242</w:t>
      </w:r>
      <w:r w:rsidRPr="003B4362">
        <w:rPr>
          <w:spacing w:val="-3"/>
        </w:rPr>
        <w:tab/>
        <w:t>Filtered PWSs</w:t>
      </w:r>
    </w:p>
    <w:p w14:paraId="656E57B3" w14:textId="77777777" w:rsidR="00002933" w:rsidRPr="003B4362" w:rsidRDefault="00002933" w:rsidP="00002933">
      <w:pPr>
        <w:widowControl w:val="0"/>
        <w:suppressAutoHyphens/>
        <w:ind w:left="1440" w:hanging="1440"/>
        <w:rPr>
          <w:spacing w:val="-3"/>
        </w:rPr>
      </w:pPr>
      <w:r w:rsidRPr="003B4362">
        <w:rPr>
          <w:spacing w:val="-3"/>
        </w:rPr>
        <w:t>611.250</w:t>
      </w:r>
      <w:r w:rsidRPr="003B4362">
        <w:rPr>
          <w:spacing w:val="-3"/>
        </w:rPr>
        <w:tab/>
        <w:t>Filtration</w:t>
      </w:r>
    </w:p>
    <w:p w14:paraId="55275DAB" w14:textId="77777777" w:rsidR="00002933" w:rsidRPr="003B4362" w:rsidRDefault="00002933" w:rsidP="00002933">
      <w:pPr>
        <w:widowControl w:val="0"/>
        <w:suppressAutoHyphens/>
        <w:ind w:left="1440" w:hanging="1440"/>
        <w:rPr>
          <w:spacing w:val="-3"/>
        </w:rPr>
      </w:pPr>
      <w:r w:rsidRPr="003B4362">
        <w:rPr>
          <w:spacing w:val="-3"/>
        </w:rPr>
        <w:t>611.261</w:t>
      </w:r>
      <w:r w:rsidRPr="003B4362">
        <w:rPr>
          <w:spacing w:val="-3"/>
        </w:rPr>
        <w:tab/>
        <w:t>Unfiltered PWSs:  Reporting and Recordkeeping</w:t>
      </w:r>
    </w:p>
    <w:p w14:paraId="62415BAF" w14:textId="77777777" w:rsidR="00002933" w:rsidRPr="003B4362" w:rsidRDefault="00002933" w:rsidP="00002933">
      <w:pPr>
        <w:widowControl w:val="0"/>
        <w:suppressAutoHyphens/>
        <w:ind w:left="1440" w:hanging="1440"/>
        <w:rPr>
          <w:spacing w:val="-3"/>
        </w:rPr>
      </w:pPr>
      <w:r w:rsidRPr="003B4362">
        <w:rPr>
          <w:spacing w:val="-3"/>
        </w:rPr>
        <w:t>611.262</w:t>
      </w:r>
      <w:r w:rsidRPr="003B4362">
        <w:rPr>
          <w:spacing w:val="-3"/>
        </w:rPr>
        <w:tab/>
        <w:t>Filtered PWSs:  Reporting and Recordkeeping</w:t>
      </w:r>
    </w:p>
    <w:p w14:paraId="00673E5E" w14:textId="77777777" w:rsidR="00002933" w:rsidRPr="003B4362" w:rsidRDefault="00002933" w:rsidP="00002933">
      <w:pPr>
        <w:widowControl w:val="0"/>
        <w:suppressAutoHyphens/>
        <w:ind w:left="1440" w:hanging="1440"/>
        <w:rPr>
          <w:spacing w:val="-3"/>
        </w:rPr>
      </w:pPr>
      <w:r w:rsidRPr="003B4362">
        <w:rPr>
          <w:spacing w:val="-3"/>
        </w:rPr>
        <w:t>611.271</w:t>
      </w:r>
      <w:r w:rsidRPr="003B4362">
        <w:rPr>
          <w:spacing w:val="-3"/>
        </w:rPr>
        <w:tab/>
        <w:t>Protection during Repair Work (Repealed)</w:t>
      </w:r>
    </w:p>
    <w:p w14:paraId="13D03DF2" w14:textId="77777777" w:rsidR="00002933" w:rsidRPr="003B4362" w:rsidRDefault="00002933" w:rsidP="00002933">
      <w:pPr>
        <w:widowControl w:val="0"/>
        <w:suppressAutoHyphens/>
        <w:ind w:left="1440" w:hanging="1440"/>
        <w:rPr>
          <w:spacing w:val="-3"/>
        </w:rPr>
      </w:pPr>
      <w:r w:rsidRPr="003B4362">
        <w:rPr>
          <w:spacing w:val="-3"/>
        </w:rPr>
        <w:t>611.272</w:t>
      </w:r>
      <w:r w:rsidRPr="003B4362">
        <w:rPr>
          <w:spacing w:val="-3"/>
        </w:rPr>
        <w:tab/>
      </w:r>
      <w:r w:rsidRPr="003B4362">
        <w:t>Disinfection Following Repair (Repealed)</w:t>
      </w:r>
    </w:p>
    <w:p w14:paraId="36E51D52" w14:textId="31E57B95" w:rsidR="00002933" w:rsidRPr="003B4362" w:rsidRDefault="00002933" w:rsidP="00002933">
      <w:pPr>
        <w:widowControl w:val="0"/>
        <w:ind w:left="1440" w:hanging="1440"/>
      </w:pPr>
      <w:r w:rsidRPr="003B4362">
        <w:t>611.276</w:t>
      </w:r>
      <w:r w:rsidRPr="003B4362">
        <w:tab/>
        <w:t>Recycle Provisions</w:t>
      </w:r>
    </w:p>
    <w:p w14:paraId="4BC2D194" w14:textId="77777777" w:rsidR="00905FAF" w:rsidRPr="003B4362" w:rsidRDefault="00905FAF" w:rsidP="00002933">
      <w:pPr>
        <w:widowControl w:val="0"/>
        <w:ind w:left="1440" w:hanging="1440"/>
      </w:pPr>
    </w:p>
    <w:p w14:paraId="0EA2A1AC" w14:textId="77777777" w:rsidR="00002933" w:rsidRPr="003B4362" w:rsidRDefault="00002933" w:rsidP="00905FAF">
      <w:pPr>
        <w:jc w:val="center"/>
      </w:pPr>
      <w:r w:rsidRPr="003B4362">
        <w:t>SUBPART C:  USE OF NON-CENTRALIZED TREATMENT DEVICES</w:t>
      </w:r>
    </w:p>
    <w:p w14:paraId="6C70792C" w14:textId="77777777" w:rsidR="00905FAF" w:rsidRPr="003B4362" w:rsidRDefault="00905FAF" w:rsidP="00905FAF"/>
    <w:p w14:paraId="10210919" w14:textId="02D625B0" w:rsidR="00002933" w:rsidRPr="003B4362" w:rsidRDefault="00002933" w:rsidP="00905FAF">
      <w:r w:rsidRPr="003B4362">
        <w:t>Section</w:t>
      </w:r>
    </w:p>
    <w:p w14:paraId="5E66ADBE" w14:textId="77777777" w:rsidR="00002933" w:rsidRPr="003B4362" w:rsidRDefault="00002933" w:rsidP="00002933">
      <w:pPr>
        <w:widowControl w:val="0"/>
        <w:suppressAutoHyphens/>
        <w:ind w:left="1440" w:hanging="1440"/>
        <w:rPr>
          <w:spacing w:val="-3"/>
        </w:rPr>
      </w:pPr>
      <w:r w:rsidRPr="003B4362">
        <w:rPr>
          <w:spacing w:val="-3"/>
        </w:rPr>
        <w:t>611.280</w:t>
      </w:r>
      <w:r w:rsidRPr="003B4362">
        <w:rPr>
          <w:spacing w:val="-3"/>
        </w:rPr>
        <w:tab/>
        <w:t>Point-of-Entry Devices</w:t>
      </w:r>
    </w:p>
    <w:p w14:paraId="24242B91" w14:textId="46A6223C" w:rsidR="00002933" w:rsidRPr="003B4362" w:rsidRDefault="00002933" w:rsidP="00002933">
      <w:pPr>
        <w:widowControl w:val="0"/>
        <w:ind w:left="1440" w:hanging="1440"/>
        <w:rPr>
          <w:spacing w:val="-3"/>
        </w:rPr>
      </w:pPr>
      <w:r w:rsidRPr="003B4362">
        <w:rPr>
          <w:spacing w:val="-3"/>
        </w:rPr>
        <w:t>611.290</w:t>
      </w:r>
      <w:r w:rsidRPr="003B4362">
        <w:rPr>
          <w:spacing w:val="-3"/>
        </w:rPr>
        <w:tab/>
        <w:t>Point-of-Use Devices or Bottled Water</w:t>
      </w:r>
    </w:p>
    <w:p w14:paraId="474B7220" w14:textId="77777777" w:rsidR="00905FAF" w:rsidRPr="003B4362" w:rsidRDefault="00905FAF" w:rsidP="00002933">
      <w:pPr>
        <w:widowControl w:val="0"/>
        <w:ind w:left="1440" w:hanging="1440"/>
        <w:rPr>
          <w:spacing w:val="-3"/>
        </w:rPr>
      </w:pPr>
    </w:p>
    <w:p w14:paraId="1AA80F7A" w14:textId="01334613" w:rsidR="00002933" w:rsidRPr="003B4362" w:rsidRDefault="00002933" w:rsidP="00905FAF">
      <w:pPr>
        <w:jc w:val="center"/>
      </w:pPr>
      <w:r w:rsidRPr="003B4362">
        <w:t>SUBPART D:  TREATMENT TECHNIQUES</w:t>
      </w:r>
    </w:p>
    <w:p w14:paraId="2713ED44" w14:textId="77777777" w:rsidR="00905FAF" w:rsidRPr="003B4362" w:rsidRDefault="00905FAF" w:rsidP="00905FAF">
      <w:pPr>
        <w:jc w:val="center"/>
      </w:pPr>
    </w:p>
    <w:p w14:paraId="3C667ED5" w14:textId="77777777" w:rsidR="00002933" w:rsidRPr="003B4362" w:rsidRDefault="00002933" w:rsidP="00905FAF">
      <w:r w:rsidRPr="003B4362">
        <w:t>Section</w:t>
      </w:r>
    </w:p>
    <w:p w14:paraId="431C7E1B" w14:textId="77777777" w:rsidR="00002933" w:rsidRPr="003B4362" w:rsidRDefault="00002933" w:rsidP="00002933">
      <w:pPr>
        <w:widowControl w:val="0"/>
        <w:suppressAutoHyphens/>
        <w:ind w:left="1440" w:hanging="1440"/>
        <w:rPr>
          <w:spacing w:val="-3"/>
        </w:rPr>
      </w:pPr>
      <w:r w:rsidRPr="003B4362">
        <w:rPr>
          <w:spacing w:val="-3"/>
        </w:rPr>
        <w:t>611.295</w:t>
      </w:r>
      <w:r w:rsidRPr="003B4362">
        <w:rPr>
          <w:spacing w:val="-3"/>
        </w:rPr>
        <w:tab/>
        <w:t>General Requirements</w:t>
      </w:r>
    </w:p>
    <w:p w14:paraId="371EABA6" w14:textId="77777777" w:rsidR="00002933" w:rsidRPr="003B4362" w:rsidRDefault="00002933" w:rsidP="00002933">
      <w:pPr>
        <w:widowControl w:val="0"/>
        <w:suppressAutoHyphens/>
        <w:ind w:left="1440" w:hanging="1440"/>
        <w:rPr>
          <w:spacing w:val="-3"/>
        </w:rPr>
      </w:pPr>
      <w:r w:rsidRPr="003B4362">
        <w:rPr>
          <w:spacing w:val="-3"/>
        </w:rPr>
        <w:t>611.296</w:t>
      </w:r>
      <w:r w:rsidRPr="003B4362">
        <w:rPr>
          <w:spacing w:val="-3"/>
        </w:rPr>
        <w:tab/>
        <w:t>Acrylamide and Epichlorohydrin</w:t>
      </w:r>
    </w:p>
    <w:p w14:paraId="2EABD0FA" w14:textId="7228C62F" w:rsidR="00002933" w:rsidRPr="003B4362" w:rsidRDefault="00002933" w:rsidP="00002933">
      <w:pPr>
        <w:widowControl w:val="0"/>
        <w:ind w:left="1440" w:hanging="1440"/>
        <w:rPr>
          <w:spacing w:val="-3"/>
        </w:rPr>
      </w:pPr>
      <w:r w:rsidRPr="003B4362">
        <w:rPr>
          <w:spacing w:val="-3"/>
        </w:rPr>
        <w:t>611.297</w:t>
      </w:r>
      <w:r w:rsidRPr="003B4362">
        <w:rPr>
          <w:spacing w:val="-3"/>
        </w:rPr>
        <w:tab/>
        <w:t>Corrosion Control (Repealed)</w:t>
      </w:r>
    </w:p>
    <w:p w14:paraId="2147E4F9" w14:textId="77777777" w:rsidR="00905FAF" w:rsidRPr="003B4362" w:rsidRDefault="00905FAF" w:rsidP="00002933">
      <w:pPr>
        <w:widowControl w:val="0"/>
        <w:ind w:left="1440" w:hanging="1440"/>
        <w:rPr>
          <w:spacing w:val="-3"/>
        </w:rPr>
      </w:pPr>
    </w:p>
    <w:p w14:paraId="107CE037" w14:textId="5E27ED83" w:rsidR="00002933" w:rsidRPr="003B4362" w:rsidRDefault="00002933" w:rsidP="00905FAF">
      <w:pPr>
        <w:jc w:val="center"/>
      </w:pPr>
      <w:r w:rsidRPr="003B4362">
        <w:rPr>
          <w:spacing w:val="-3"/>
        </w:rPr>
        <w:t>SUBPART F:  MAXIMUM CONTAMINANT LEVELS (MCLs)</w:t>
      </w:r>
      <w:r w:rsidRPr="003B4362">
        <w:t xml:space="preserve"> AND MAXIMUM RESIDUAL DISINFECTANT LEVELS (MRDLs)</w:t>
      </w:r>
    </w:p>
    <w:p w14:paraId="3CCF9840" w14:textId="77777777" w:rsidR="00905FAF" w:rsidRPr="003B4362" w:rsidRDefault="00905FAF" w:rsidP="00905FAF">
      <w:pPr>
        <w:jc w:val="center"/>
        <w:rPr>
          <w:spacing w:val="-3"/>
        </w:rPr>
      </w:pPr>
    </w:p>
    <w:p w14:paraId="21B245D8" w14:textId="77777777" w:rsidR="00002933" w:rsidRPr="003B4362" w:rsidRDefault="00002933" w:rsidP="00905FAF">
      <w:r w:rsidRPr="003B4362">
        <w:t>Section</w:t>
      </w:r>
    </w:p>
    <w:p w14:paraId="4F2E3B38" w14:textId="0618A6A6" w:rsidR="00002933" w:rsidRPr="003B4362" w:rsidRDefault="00002933" w:rsidP="00002933">
      <w:pPr>
        <w:widowControl w:val="0"/>
        <w:suppressAutoHyphens/>
        <w:ind w:left="1440" w:hanging="1440"/>
        <w:rPr>
          <w:spacing w:val="-3"/>
        </w:rPr>
      </w:pPr>
      <w:r w:rsidRPr="003B4362">
        <w:rPr>
          <w:spacing w:val="-3"/>
        </w:rPr>
        <w:t>611.300</w:t>
      </w:r>
      <w:r w:rsidRPr="003B4362">
        <w:rPr>
          <w:spacing w:val="-3"/>
        </w:rPr>
        <w:tab/>
      </w:r>
      <w:r w:rsidR="00230F66" w:rsidRPr="003B4362">
        <w:rPr>
          <w:spacing w:val="-3"/>
        </w:rPr>
        <w:t xml:space="preserve">State-Only </w:t>
      </w:r>
      <w:r w:rsidR="00E87B8E" w:rsidRPr="003B4362">
        <w:rPr>
          <w:spacing w:val="-3"/>
        </w:rPr>
        <w:t>M</w:t>
      </w:r>
      <w:r w:rsidRPr="003B4362">
        <w:rPr>
          <w:spacing w:val="-3"/>
        </w:rPr>
        <w:t>CLs for Inorganic</w:t>
      </w:r>
      <w:r w:rsidRPr="003B4362">
        <w:t xml:space="preserve"> Chemical Contaminants</w:t>
      </w:r>
    </w:p>
    <w:p w14:paraId="3BA2C5AF" w14:textId="77777777" w:rsidR="00002933" w:rsidRPr="003B4362" w:rsidRDefault="00002933" w:rsidP="00002933">
      <w:pPr>
        <w:widowControl w:val="0"/>
        <w:suppressAutoHyphens/>
        <w:ind w:left="1440" w:hanging="1440"/>
        <w:rPr>
          <w:spacing w:val="-3"/>
        </w:rPr>
      </w:pPr>
      <w:r w:rsidRPr="003B4362">
        <w:rPr>
          <w:spacing w:val="-3"/>
        </w:rPr>
        <w:t>611.301</w:t>
      </w:r>
      <w:r w:rsidRPr="003B4362">
        <w:rPr>
          <w:spacing w:val="-3"/>
        </w:rPr>
        <w:tab/>
        <w:t>Revised MCLs for Inorganic</w:t>
      </w:r>
      <w:r w:rsidRPr="003B4362">
        <w:t xml:space="preserve"> Chemical Contaminants</w:t>
      </w:r>
    </w:p>
    <w:p w14:paraId="6E86AB74" w14:textId="77777777" w:rsidR="00002933" w:rsidRPr="003B4362" w:rsidRDefault="00002933" w:rsidP="00002933">
      <w:pPr>
        <w:widowControl w:val="0"/>
        <w:suppressAutoHyphens/>
        <w:ind w:left="1440" w:hanging="1440"/>
        <w:rPr>
          <w:spacing w:val="-3"/>
        </w:rPr>
      </w:pPr>
      <w:r w:rsidRPr="003B4362">
        <w:rPr>
          <w:spacing w:val="-3"/>
        </w:rPr>
        <w:t>611.310</w:t>
      </w:r>
      <w:r w:rsidRPr="003B4362">
        <w:rPr>
          <w:spacing w:val="-3"/>
        </w:rPr>
        <w:tab/>
      </w:r>
      <w:r w:rsidRPr="003B4362">
        <w:t xml:space="preserve">State-Only </w:t>
      </w:r>
      <w:r w:rsidRPr="003B4362">
        <w:rPr>
          <w:spacing w:val="-3"/>
        </w:rPr>
        <w:t>Maximum Contaminant Levels (MCLs) for Organic</w:t>
      </w:r>
      <w:r w:rsidRPr="003B4362">
        <w:t xml:space="preserve"> Chemical Contaminants</w:t>
      </w:r>
    </w:p>
    <w:p w14:paraId="3F6C7C06" w14:textId="77777777" w:rsidR="00002933" w:rsidRPr="003B4362" w:rsidRDefault="00002933" w:rsidP="00002933">
      <w:pPr>
        <w:widowControl w:val="0"/>
        <w:suppressAutoHyphens/>
        <w:ind w:left="1440" w:hanging="1440"/>
        <w:rPr>
          <w:spacing w:val="-3"/>
        </w:rPr>
      </w:pPr>
      <w:r w:rsidRPr="003B4362">
        <w:rPr>
          <w:spacing w:val="-3"/>
        </w:rPr>
        <w:t>611.311</w:t>
      </w:r>
      <w:r w:rsidRPr="003B4362">
        <w:rPr>
          <w:spacing w:val="-3"/>
        </w:rPr>
        <w:tab/>
        <w:t xml:space="preserve">Revised MCLs for Organic </w:t>
      </w:r>
      <w:r w:rsidRPr="003B4362">
        <w:t xml:space="preserve">Chemical </w:t>
      </w:r>
      <w:r w:rsidRPr="003B4362">
        <w:rPr>
          <w:spacing w:val="-3"/>
        </w:rPr>
        <w:t>Contaminants</w:t>
      </w:r>
    </w:p>
    <w:p w14:paraId="3FDEC7D3" w14:textId="77777777" w:rsidR="00002933" w:rsidRPr="003B4362" w:rsidRDefault="00002933" w:rsidP="00002933">
      <w:pPr>
        <w:widowControl w:val="0"/>
        <w:suppressAutoHyphens/>
        <w:ind w:left="1440" w:hanging="1440"/>
        <w:rPr>
          <w:spacing w:val="-2"/>
        </w:rPr>
      </w:pPr>
      <w:r w:rsidRPr="003B4362">
        <w:rPr>
          <w:spacing w:val="-2"/>
        </w:rPr>
        <w:t>611.312</w:t>
      </w:r>
      <w:r w:rsidRPr="003B4362">
        <w:rPr>
          <w:spacing w:val="-2"/>
        </w:rPr>
        <w:tab/>
        <w:t>Maximum Contaminant Levels (MCLs) for Disinfection Byproducts (DBPs)</w:t>
      </w:r>
    </w:p>
    <w:p w14:paraId="60A4B4BB" w14:textId="77777777" w:rsidR="00002933" w:rsidRPr="003B4362" w:rsidRDefault="00002933" w:rsidP="00002933">
      <w:pPr>
        <w:widowControl w:val="0"/>
        <w:suppressAutoHyphens/>
        <w:ind w:left="1440" w:hanging="1440"/>
      </w:pPr>
      <w:r w:rsidRPr="003B4362">
        <w:rPr>
          <w:spacing w:val="-2"/>
        </w:rPr>
        <w:t>611.313</w:t>
      </w:r>
      <w:r w:rsidRPr="003B4362">
        <w:rPr>
          <w:spacing w:val="-2"/>
        </w:rPr>
        <w:tab/>
        <w:t>Maximum Residual Disinfectant Levels (MRDLs)</w:t>
      </w:r>
    </w:p>
    <w:p w14:paraId="29B643ED" w14:textId="77777777" w:rsidR="00002933" w:rsidRPr="003B4362" w:rsidRDefault="00002933" w:rsidP="00002933">
      <w:pPr>
        <w:widowControl w:val="0"/>
        <w:suppressAutoHyphens/>
        <w:ind w:left="1440" w:hanging="1440"/>
        <w:rPr>
          <w:spacing w:val="-3"/>
        </w:rPr>
      </w:pPr>
      <w:r w:rsidRPr="003B4362">
        <w:rPr>
          <w:spacing w:val="-3"/>
        </w:rPr>
        <w:t>611.320</w:t>
      </w:r>
      <w:r w:rsidRPr="003B4362">
        <w:rPr>
          <w:spacing w:val="-3"/>
        </w:rPr>
        <w:tab/>
        <w:t>Turbidity</w:t>
      </w:r>
      <w:r w:rsidRPr="003B4362">
        <w:t xml:space="preserve"> (Repealed)</w:t>
      </w:r>
    </w:p>
    <w:p w14:paraId="50589458" w14:textId="77777777" w:rsidR="00002933" w:rsidRPr="003B4362" w:rsidRDefault="00002933" w:rsidP="00002933">
      <w:pPr>
        <w:widowControl w:val="0"/>
        <w:suppressAutoHyphens/>
        <w:ind w:left="1440" w:hanging="1440"/>
        <w:rPr>
          <w:spacing w:val="-3"/>
        </w:rPr>
      </w:pPr>
      <w:r w:rsidRPr="003B4362">
        <w:rPr>
          <w:spacing w:val="-3"/>
        </w:rPr>
        <w:t>611.325</w:t>
      </w:r>
      <w:r w:rsidRPr="003B4362">
        <w:rPr>
          <w:spacing w:val="-3"/>
        </w:rPr>
        <w:tab/>
        <w:t>Microbiological Contaminants</w:t>
      </w:r>
    </w:p>
    <w:p w14:paraId="713FC51D" w14:textId="77777777" w:rsidR="00002933" w:rsidRPr="003B4362" w:rsidRDefault="00002933" w:rsidP="00002933">
      <w:pPr>
        <w:widowControl w:val="0"/>
        <w:suppressAutoHyphens/>
        <w:ind w:left="1440" w:hanging="1440"/>
        <w:rPr>
          <w:spacing w:val="-3"/>
        </w:rPr>
      </w:pPr>
      <w:r w:rsidRPr="003B4362">
        <w:rPr>
          <w:spacing w:val="-3"/>
        </w:rPr>
        <w:t>611.330</w:t>
      </w:r>
      <w:r w:rsidRPr="003B4362">
        <w:rPr>
          <w:spacing w:val="-3"/>
        </w:rPr>
        <w:tab/>
      </w:r>
      <w:r w:rsidRPr="003B4362">
        <w:t>Maximum Contaminant Levels for Radionuclides</w:t>
      </w:r>
    </w:p>
    <w:p w14:paraId="3679DEE0" w14:textId="459743FD" w:rsidR="00002933" w:rsidRPr="003B4362" w:rsidRDefault="00002933" w:rsidP="00002933">
      <w:pPr>
        <w:widowControl w:val="0"/>
        <w:ind w:left="1440" w:hanging="1440"/>
      </w:pPr>
      <w:r w:rsidRPr="003B4362">
        <w:rPr>
          <w:spacing w:val="-3"/>
        </w:rPr>
        <w:t>611.331</w:t>
      </w:r>
      <w:r w:rsidRPr="003B4362">
        <w:rPr>
          <w:spacing w:val="-3"/>
        </w:rPr>
        <w:tab/>
        <w:t>Beta Particle and Photon Radioactivity</w:t>
      </w:r>
      <w:r w:rsidRPr="003B4362">
        <w:t xml:space="preserve"> (Repealed)</w:t>
      </w:r>
    </w:p>
    <w:p w14:paraId="5718228A" w14:textId="77777777" w:rsidR="00905FAF" w:rsidRPr="003B4362" w:rsidRDefault="00905FAF" w:rsidP="00002933">
      <w:pPr>
        <w:widowControl w:val="0"/>
        <w:ind w:left="1440" w:hanging="1440"/>
        <w:rPr>
          <w:spacing w:val="-3"/>
        </w:rPr>
      </w:pPr>
    </w:p>
    <w:p w14:paraId="7C67FC3B" w14:textId="77777777" w:rsidR="00002933" w:rsidRPr="003B4362" w:rsidRDefault="00002933" w:rsidP="00905FAF">
      <w:pPr>
        <w:jc w:val="center"/>
      </w:pPr>
      <w:r w:rsidRPr="003B4362">
        <w:t>SUBPART G:  LEAD AND COPPER</w:t>
      </w:r>
    </w:p>
    <w:p w14:paraId="703BEA45" w14:textId="77777777" w:rsidR="00905FAF" w:rsidRPr="003B4362" w:rsidRDefault="00905FAF" w:rsidP="00905FAF"/>
    <w:p w14:paraId="3C4460DD" w14:textId="0C1DD9DF" w:rsidR="00002933" w:rsidRPr="003B4362" w:rsidRDefault="00002933" w:rsidP="00905FAF">
      <w:r w:rsidRPr="003B4362">
        <w:t>Section</w:t>
      </w:r>
    </w:p>
    <w:p w14:paraId="2644DAD3" w14:textId="77777777" w:rsidR="00002933" w:rsidRPr="003B4362" w:rsidRDefault="00002933" w:rsidP="00002933">
      <w:pPr>
        <w:widowControl w:val="0"/>
        <w:suppressAutoHyphens/>
        <w:ind w:left="1440" w:hanging="1440"/>
        <w:rPr>
          <w:spacing w:val="-3"/>
        </w:rPr>
      </w:pPr>
      <w:r w:rsidRPr="003B4362">
        <w:rPr>
          <w:spacing w:val="-3"/>
        </w:rPr>
        <w:t>611.350</w:t>
      </w:r>
      <w:r w:rsidRPr="003B4362">
        <w:rPr>
          <w:spacing w:val="-3"/>
        </w:rPr>
        <w:tab/>
        <w:t>General Requirements</w:t>
      </w:r>
    </w:p>
    <w:p w14:paraId="3A8B90A4" w14:textId="77777777" w:rsidR="00002933" w:rsidRPr="003B4362" w:rsidRDefault="00002933" w:rsidP="00002933">
      <w:pPr>
        <w:widowControl w:val="0"/>
        <w:suppressAutoHyphens/>
        <w:ind w:left="1440" w:hanging="1440"/>
        <w:rPr>
          <w:spacing w:val="-3"/>
        </w:rPr>
      </w:pPr>
      <w:r w:rsidRPr="003B4362">
        <w:rPr>
          <w:spacing w:val="-3"/>
        </w:rPr>
        <w:lastRenderedPageBreak/>
        <w:t>611.351</w:t>
      </w:r>
      <w:r w:rsidRPr="003B4362">
        <w:rPr>
          <w:spacing w:val="-3"/>
        </w:rPr>
        <w:tab/>
        <w:t>Applicability of Corrosion Control</w:t>
      </w:r>
    </w:p>
    <w:p w14:paraId="1738C211" w14:textId="77777777" w:rsidR="00002933" w:rsidRPr="003B4362" w:rsidRDefault="00002933" w:rsidP="00002933">
      <w:pPr>
        <w:widowControl w:val="0"/>
        <w:suppressAutoHyphens/>
        <w:ind w:left="1440" w:hanging="1440"/>
        <w:rPr>
          <w:spacing w:val="-3"/>
        </w:rPr>
      </w:pPr>
      <w:r w:rsidRPr="003B4362">
        <w:rPr>
          <w:spacing w:val="-3"/>
        </w:rPr>
        <w:t>611.352</w:t>
      </w:r>
      <w:r w:rsidRPr="003B4362">
        <w:rPr>
          <w:spacing w:val="-3"/>
        </w:rPr>
        <w:tab/>
        <w:t>Corrosion Control Treatment</w:t>
      </w:r>
    </w:p>
    <w:p w14:paraId="7779BB86" w14:textId="77777777" w:rsidR="00002933" w:rsidRPr="003B4362" w:rsidRDefault="00002933" w:rsidP="00002933">
      <w:pPr>
        <w:widowControl w:val="0"/>
        <w:suppressAutoHyphens/>
        <w:ind w:left="1440" w:hanging="1440"/>
        <w:rPr>
          <w:spacing w:val="-3"/>
        </w:rPr>
      </w:pPr>
      <w:r w:rsidRPr="003B4362">
        <w:rPr>
          <w:spacing w:val="-3"/>
        </w:rPr>
        <w:t>611.353</w:t>
      </w:r>
      <w:r w:rsidRPr="003B4362">
        <w:rPr>
          <w:spacing w:val="-3"/>
        </w:rPr>
        <w:tab/>
        <w:t>Source Water Treatment</w:t>
      </w:r>
    </w:p>
    <w:p w14:paraId="141BEA1C" w14:textId="5D3EFDFF" w:rsidR="00002933" w:rsidRPr="003B4362" w:rsidRDefault="00002933" w:rsidP="00002933">
      <w:pPr>
        <w:widowControl w:val="0"/>
        <w:suppressAutoHyphens/>
        <w:ind w:left="1440" w:hanging="1440"/>
        <w:rPr>
          <w:spacing w:val="-3"/>
        </w:rPr>
      </w:pPr>
      <w:r w:rsidRPr="003B4362">
        <w:rPr>
          <w:spacing w:val="-3"/>
        </w:rPr>
        <w:t>611.354</w:t>
      </w:r>
      <w:r w:rsidRPr="003B4362">
        <w:rPr>
          <w:spacing w:val="-3"/>
        </w:rPr>
        <w:tab/>
      </w:r>
      <w:r w:rsidR="00932742" w:rsidRPr="003B4362">
        <w:rPr>
          <w:rFonts w:eastAsia="Calibri"/>
        </w:rPr>
        <w:t>Lead Service Line Inventory and Replacing Lead Service Lines</w:t>
      </w:r>
    </w:p>
    <w:p w14:paraId="0DF0F357" w14:textId="0C8CFE42" w:rsidR="00002933" w:rsidRPr="003B4362" w:rsidRDefault="00002933" w:rsidP="00002933">
      <w:pPr>
        <w:widowControl w:val="0"/>
        <w:suppressAutoHyphens/>
        <w:ind w:left="1440" w:hanging="1440"/>
        <w:rPr>
          <w:spacing w:val="-3"/>
        </w:rPr>
      </w:pPr>
      <w:r w:rsidRPr="003B4362">
        <w:rPr>
          <w:spacing w:val="-3"/>
        </w:rPr>
        <w:t>611.355</w:t>
      </w:r>
      <w:r w:rsidRPr="003B4362">
        <w:rPr>
          <w:spacing w:val="-3"/>
        </w:rPr>
        <w:tab/>
        <w:t>Public Education and Supplemental Monitoring</w:t>
      </w:r>
      <w:r w:rsidR="005A291E" w:rsidRPr="003B4362">
        <w:rPr>
          <w:spacing w:val="-3"/>
        </w:rPr>
        <w:t xml:space="preserve"> and Mitigation</w:t>
      </w:r>
    </w:p>
    <w:p w14:paraId="6FB408CD" w14:textId="77777777" w:rsidR="00002933" w:rsidRPr="003B4362" w:rsidRDefault="00002933" w:rsidP="00002933">
      <w:pPr>
        <w:widowControl w:val="0"/>
        <w:suppressAutoHyphens/>
        <w:ind w:left="1440" w:hanging="1440"/>
        <w:rPr>
          <w:spacing w:val="-3"/>
        </w:rPr>
      </w:pPr>
      <w:r w:rsidRPr="003B4362">
        <w:rPr>
          <w:spacing w:val="-3"/>
        </w:rPr>
        <w:t>611.356</w:t>
      </w:r>
      <w:r w:rsidRPr="003B4362">
        <w:rPr>
          <w:spacing w:val="-3"/>
        </w:rPr>
        <w:tab/>
        <w:t>Tap Water Monitoring for Lead and Copper</w:t>
      </w:r>
    </w:p>
    <w:p w14:paraId="68C28327" w14:textId="77777777" w:rsidR="00002933" w:rsidRPr="003B4362" w:rsidRDefault="00002933" w:rsidP="00002933">
      <w:pPr>
        <w:widowControl w:val="0"/>
        <w:suppressAutoHyphens/>
        <w:ind w:left="1440" w:hanging="1440"/>
        <w:rPr>
          <w:spacing w:val="-3"/>
        </w:rPr>
      </w:pPr>
      <w:r w:rsidRPr="003B4362">
        <w:rPr>
          <w:spacing w:val="-3"/>
        </w:rPr>
        <w:t>611.357</w:t>
      </w:r>
      <w:r w:rsidRPr="003B4362">
        <w:rPr>
          <w:spacing w:val="-3"/>
        </w:rPr>
        <w:tab/>
        <w:t>Monitoring for Water Quality Parameters</w:t>
      </w:r>
    </w:p>
    <w:p w14:paraId="092E518D" w14:textId="77777777" w:rsidR="00002933" w:rsidRPr="003B4362" w:rsidRDefault="00002933" w:rsidP="00002933">
      <w:pPr>
        <w:widowControl w:val="0"/>
        <w:suppressAutoHyphens/>
        <w:ind w:left="1440" w:hanging="1440"/>
        <w:rPr>
          <w:spacing w:val="-3"/>
        </w:rPr>
      </w:pPr>
      <w:r w:rsidRPr="003B4362">
        <w:rPr>
          <w:spacing w:val="-3"/>
        </w:rPr>
        <w:t>611.358</w:t>
      </w:r>
      <w:r w:rsidRPr="003B4362">
        <w:rPr>
          <w:spacing w:val="-3"/>
        </w:rPr>
        <w:tab/>
        <w:t>Monitoring for Lead and Copper in Source Water</w:t>
      </w:r>
    </w:p>
    <w:p w14:paraId="50FB54A8" w14:textId="77777777" w:rsidR="00002933" w:rsidRPr="003B4362" w:rsidRDefault="00002933" w:rsidP="00002933">
      <w:pPr>
        <w:widowControl w:val="0"/>
        <w:suppressAutoHyphens/>
        <w:ind w:left="1440" w:hanging="1440"/>
        <w:rPr>
          <w:spacing w:val="-3"/>
        </w:rPr>
      </w:pPr>
      <w:r w:rsidRPr="003B4362">
        <w:rPr>
          <w:spacing w:val="-3"/>
        </w:rPr>
        <w:t>611.359</w:t>
      </w:r>
      <w:r w:rsidRPr="003B4362">
        <w:rPr>
          <w:spacing w:val="-3"/>
        </w:rPr>
        <w:tab/>
        <w:t>Analytical Methods</w:t>
      </w:r>
    </w:p>
    <w:p w14:paraId="54EB80FB" w14:textId="77777777" w:rsidR="00002933" w:rsidRPr="003B4362" w:rsidRDefault="00002933" w:rsidP="00002933">
      <w:pPr>
        <w:widowControl w:val="0"/>
        <w:suppressAutoHyphens/>
        <w:ind w:left="1440" w:hanging="1440"/>
        <w:rPr>
          <w:spacing w:val="-3"/>
        </w:rPr>
      </w:pPr>
      <w:r w:rsidRPr="003B4362">
        <w:rPr>
          <w:spacing w:val="-3"/>
        </w:rPr>
        <w:t>611.360</w:t>
      </w:r>
      <w:r w:rsidRPr="003B4362">
        <w:rPr>
          <w:spacing w:val="-3"/>
        </w:rPr>
        <w:tab/>
        <w:t>Reporting</w:t>
      </w:r>
    </w:p>
    <w:p w14:paraId="69BFEFC1" w14:textId="19C97307" w:rsidR="00002933" w:rsidRPr="003B4362" w:rsidRDefault="00002933" w:rsidP="00002933">
      <w:pPr>
        <w:widowControl w:val="0"/>
        <w:ind w:left="1440" w:hanging="1440"/>
        <w:rPr>
          <w:spacing w:val="-3"/>
        </w:rPr>
      </w:pPr>
      <w:r w:rsidRPr="003B4362">
        <w:rPr>
          <w:spacing w:val="-3"/>
        </w:rPr>
        <w:t>611.361</w:t>
      </w:r>
      <w:r w:rsidRPr="003B4362">
        <w:rPr>
          <w:spacing w:val="-3"/>
        </w:rPr>
        <w:tab/>
        <w:t>Recordkeeping</w:t>
      </w:r>
    </w:p>
    <w:p w14:paraId="604E8DE9" w14:textId="405CAC07" w:rsidR="00817055" w:rsidRPr="003B4362" w:rsidRDefault="00817055" w:rsidP="00002933">
      <w:pPr>
        <w:widowControl w:val="0"/>
        <w:ind w:left="1440" w:hanging="1440"/>
        <w:rPr>
          <w:spacing w:val="-3"/>
        </w:rPr>
      </w:pPr>
      <w:r w:rsidRPr="003B4362">
        <w:rPr>
          <w:rFonts w:eastAsia="Calibri"/>
          <w:szCs w:val="24"/>
        </w:rPr>
        <w:t>611.362</w:t>
      </w:r>
      <w:r w:rsidRPr="003B4362">
        <w:rPr>
          <w:rFonts w:eastAsia="Calibri"/>
          <w:szCs w:val="24"/>
        </w:rPr>
        <w:tab/>
      </w:r>
      <w:bookmarkStart w:id="1" w:name="_Hlk129082577"/>
      <w:r w:rsidRPr="003B4362">
        <w:rPr>
          <w:rFonts w:eastAsia="Calibri"/>
          <w:szCs w:val="24"/>
        </w:rPr>
        <w:t>Monitoring for Lead in Schools and Child Care Facilities</w:t>
      </w:r>
      <w:bookmarkEnd w:id="1"/>
    </w:p>
    <w:p w14:paraId="64344EBD" w14:textId="3344EC68" w:rsidR="00817055" w:rsidRPr="003B4362" w:rsidRDefault="008B14C6" w:rsidP="00002933">
      <w:pPr>
        <w:widowControl w:val="0"/>
        <w:ind w:left="1440" w:hanging="1440"/>
        <w:rPr>
          <w:spacing w:val="-3"/>
        </w:rPr>
      </w:pPr>
      <w:r w:rsidRPr="003B4362">
        <w:rPr>
          <w:rFonts w:eastAsia="Calibri"/>
          <w:szCs w:val="24"/>
        </w:rPr>
        <w:t>611.363</w:t>
      </w:r>
      <w:r w:rsidRPr="003B4362">
        <w:rPr>
          <w:rFonts w:eastAsia="Calibri"/>
          <w:szCs w:val="24"/>
        </w:rPr>
        <w:tab/>
      </w:r>
      <w:bookmarkStart w:id="2" w:name="_Hlk129083187"/>
      <w:r w:rsidRPr="003B4362">
        <w:rPr>
          <w:rFonts w:eastAsia="Calibri"/>
          <w:szCs w:val="24"/>
        </w:rPr>
        <w:t>Small Supplier Compliance Flexibility</w:t>
      </w:r>
      <w:bookmarkEnd w:id="2"/>
    </w:p>
    <w:p w14:paraId="19B4F18D" w14:textId="77777777" w:rsidR="00905FAF" w:rsidRPr="003B4362" w:rsidRDefault="00905FAF" w:rsidP="00905FAF"/>
    <w:p w14:paraId="035D9F66" w14:textId="34E39416" w:rsidR="00002933" w:rsidRPr="003B4362" w:rsidRDefault="00002933" w:rsidP="00905FAF">
      <w:pPr>
        <w:jc w:val="center"/>
      </w:pPr>
      <w:r w:rsidRPr="003B4362">
        <w:t>SUBPART I:  DISINFECTANT RESIDUALS, DISINFECTION BYPRODUCTS, AND DISINFECTION BYPRODUCT PRECURSORS</w:t>
      </w:r>
    </w:p>
    <w:p w14:paraId="12C200DA" w14:textId="77777777" w:rsidR="00905FAF" w:rsidRPr="003B4362" w:rsidRDefault="00905FAF" w:rsidP="00905FAF"/>
    <w:p w14:paraId="39B8CF31" w14:textId="4DA374BB" w:rsidR="00002933" w:rsidRPr="003B4362" w:rsidRDefault="00002933" w:rsidP="00905FAF">
      <w:r w:rsidRPr="003B4362">
        <w:t>Section</w:t>
      </w:r>
    </w:p>
    <w:p w14:paraId="01F15B0E" w14:textId="77777777" w:rsidR="00002933" w:rsidRPr="003B4362" w:rsidRDefault="00002933" w:rsidP="00002933">
      <w:pPr>
        <w:widowControl w:val="0"/>
        <w:suppressAutoHyphens/>
        <w:ind w:left="1440" w:hanging="1440"/>
        <w:rPr>
          <w:spacing w:val="-2"/>
        </w:rPr>
      </w:pPr>
      <w:r w:rsidRPr="003B4362">
        <w:rPr>
          <w:spacing w:val="-2"/>
        </w:rPr>
        <w:t>611.380</w:t>
      </w:r>
      <w:r w:rsidRPr="003B4362">
        <w:rPr>
          <w:spacing w:val="-2"/>
        </w:rPr>
        <w:tab/>
        <w:t>General Requirements</w:t>
      </w:r>
    </w:p>
    <w:p w14:paraId="233EC9CE" w14:textId="77777777" w:rsidR="00002933" w:rsidRPr="003B4362" w:rsidRDefault="00002933" w:rsidP="00002933">
      <w:pPr>
        <w:widowControl w:val="0"/>
        <w:suppressAutoHyphens/>
        <w:ind w:left="1440" w:hanging="1440"/>
        <w:rPr>
          <w:spacing w:val="-2"/>
        </w:rPr>
      </w:pPr>
      <w:r w:rsidRPr="003B4362">
        <w:rPr>
          <w:spacing w:val="-2"/>
        </w:rPr>
        <w:t>611.381</w:t>
      </w:r>
      <w:r w:rsidRPr="003B4362">
        <w:rPr>
          <w:spacing w:val="-2"/>
        </w:rPr>
        <w:tab/>
        <w:t>Analytical Requirements</w:t>
      </w:r>
    </w:p>
    <w:p w14:paraId="3AD0B3A3" w14:textId="77777777" w:rsidR="00002933" w:rsidRPr="003B4362" w:rsidRDefault="00002933" w:rsidP="00002933">
      <w:pPr>
        <w:widowControl w:val="0"/>
        <w:suppressAutoHyphens/>
        <w:ind w:left="1440" w:hanging="1440"/>
        <w:rPr>
          <w:spacing w:val="-2"/>
        </w:rPr>
      </w:pPr>
      <w:r w:rsidRPr="003B4362">
        <w:rPr>
          <w:spacing w:val="-2"/>
        </w:rPr>
        <w:t>611.382</w:t>
      </w:r>
      <w:r w:rsidRPr="003B4362">
        <w:rPr>
          <w:spacing w:val="-2"/>
        </w:rPr>
        <w:tab/>
        <w:t>Monitoring Requirements</w:t>
      </w:r>
    </w:p>
    <w:p w14:paraId="73884FD9" w14:textId="77777777" w:rsidR="00002933" w:rsidRPr="003B4362" w:rsidRDefault="00002933" w:rsidP="00002933">
      <w:pPr>
        <w:widowControl w:val="0"/>
        <w:suppressAutoHyphens/>
        <w:ind w:left="1440" w:hanging="1440"/>
        <w:rPr>
          <w:spacing w:val="-2"/>
        </w:rPr>
      </w:pPr>
      <w:r w:rsidRPr="003B4362">
        <w:rPr>
          <w:spacing w:val="-2"/>
        </w:rPr>
        <w:t>611.383</w:t>
      </w:r>
      <w:r w:rsidRPr="003B4362">
        <w:rPr>
          <w:spacing w:val="-2"/>
        </w:rPr>
        <w:tab/>
        <w:t>Compliance Requirements</w:t>
      </w:r>
    </w:p>
    <w:p w14:paraId="4F6C3DA7" w14:textId="77777777" w:rsidR="00002933" w:rsidRPr="003B4362" w:rsidRDefault="00002933" w:rsidP="00002933">
      <w:pPr>
        <w:widowControl w:val="0"/>
        <w:suppressAutoHyphens/>
        <w:ind w:left="1440" w:hanging="1440"/>
        <w:rPr>
          <w:spacing w:val="-2"/>
        </w:rPr>
      </w:pPr>
      <w:r w:rsidRPr="003B4362">
        <w:rPr>
          <w:spacing w:val="-2"/>
        </w:rPr>
        <w:t>611.384</w:t>
      </w:r>
      <w:r w:rsidRPr="003B4362">
        <w:rPr>
          <w:spacing w:val="-2"/>
        </w:rPr>
        <w:tab/>
        <w:t>Reporting and Recordkeeping Requirements</w:t>
      </w:r>
    </w:p>
    <w:p w14:paraId="06861965" w14:textId="77777777" w:rsidR="00002933" w:rsidRPr="003B4362" w:rsidRDefault="00002933" w:rsidP="00002933">
      <w:pPr>
        <w:widowControl w:val="0"/>
        <w:ind w:left="1440" w:hanging="1440"/>
        <w:rPr>
          <w:spacing w:val="-2"/>
        </w:rPr>
      </w:pPr>
      <w:r w:rsidRPr="003B4362">
        <w:rPr>
          <w:spacing w:val="-2"/>
        </w:rPr>
        <w:t>611.385</w:t>
      </w:r>
      <w:r w:rsidRPr="003B4362">
        <w:rPr>
          <w:spacing w:val="-2"/>
        </w:rPr>
        <w:tab/>
        <w:t>Treatment Technique for Control of Disinfection Byproduct (DBP) Precursors</w:t>
      </w:r>
    </w:p>
    <w:p w14:paraId="0D076EBE" w14:textId="77777777" w:rsidR="00905FAF" w:rsidRPr="003B4362" w:rsidRDefault="00905FAF" w:rsidP="00905FAF"/>
    <w:p w14:paraId="6188F67B" w14:textId="6428D1D9" w:rsidR="00002933" w:rsidRPr="003B4362" w:rsidRDefault="00002933" w:rsidP="00905FAF">
      <w:pPr>
        <w:jc w:val="center"/>
      </w:pPr>
      <w:r w:rsidRPr="003B4362">
        <w:t>SUBPART K:  GENERAL MONITORING AND ANALYTICAL REQUIREMENTS</w:t>
      </w:r>
    </w:p>
    <w:p w14:paraId="5D7A87C0" w14:textId="77777777" w:rsidR="00905FAF" w:rsidRPr="003B4362" w:rsidRDefault="00905FAF" w:rsidP="00905FAF">
      <w:pPr>
        <w:jc w:val="center"/>
      </w:pPr>
    </w:p>
    <w:p w14:paraId="5E64AEC3" w14:textId="71301AA1" w:rsidR="00002933" w:rsidRPr="003B4362" w:rsidRDefault="00002933" w:rsidP="00905FAF">
      <w:r w:rsidRPr="003B4362">
        <w:t>Section</w:t>
      </w:r>
    </w:p>
    <w:p w14:paraId="57916620" w14:textId="77777777" w:rsidR="00002933" w:rsidRPr="003B4362" w:rsidRDefault="00002933" w:rsidP="00002933">
      <w:pPr>
        <w:widowControl w:val="0"/>
        <w:suppressAutoHyphens/>
        <w:ind w:left="1440" w:hanging="1440"/>
        <w:rPr>
          <w:spacing w:val="-3"/>
        </w:rPr>
      </w:pPr>
      <w:r w:rsidRPr="003B4362">
        <w:rPr>
          <w:spacing w:val="-3"/>
        </w:rPr>
        <w:t>611.480</w:t>
      </w:r>
      <w:r w:rsidRPr="003B4362">
        <w:rPr>
          <w:spacing w:val="-3"/>
        </w:rPr>
        <w:tab/>
        <w:t>Alternative Analytical Techniques</w:t>
      </w:r>
    </w:p>
    <w:p w14:paraId="0007BA10" w14:textId="77777777" w:rsidR="00002933" w:rsidRPr="003B4362" w:rsidRDefault="00002933" w:rsidP="00002933">
      <w:pPr>
        <w:widowControl w:val="0"/>
        <w:suppressAutoHyphens/>
        <w:ind w:left="1440" w:hanging="1440"/>
        <w:rPr>
          <w:spacing w:val="-3"/>
        </w:rPr>
      </w:pPr>
      <w:r w:rsidRPr="003B4362">
        <w:rPr>
          <w:spacing w:val="-3"/>
        </w:rPr>
        <w:t>611.490</w:t>
      </w:r>
      <w:r w:rsidRPr="003B4362">
        <w:rPr>
          <w:spacing w:val="-3"/>
        </w:rPr>
        <w:tab/>
        <w:t>Certified Laboratories</w:t>
      </w:r>
    </w:p>
    <w:p w14:paraId="4379A286" w14:textId="77777777" w:rsidR="00002933" w:rsidRPr="003B4362" w:rsidRDefault="00002933" w:rsidP="00002933">
      <w:pPr>
        <w:widowControl w:val="0"/>
        <w:suppressAutoHyphens/>
        <w:ind w:left="1440" w:hanging="1440"/>
        <w:rPr>
          <w:spacing w:val="-3"/>
        </w:rPr>
      </w:pPr>
      <w:r w:rsidRPr="003B4362">
        <w:rPr>
          <w:spacing w:val="-3"/>
        </w:rPr>
        <w:t>611.491</w:t>
      </w:r>
      <w:r w:rsidRPr="003B4362">
        <w:rPr>
          <w:spacing w:val="-3"/>
        </w:rPr>
        <w:tab/>
        <w:t>Laboratory Testing Equipment (Repealed)</w:t>
      </w:r>
    </w:p>
    <w:p w14:paraId="2C5CB6B0" w14:textId="77777777" w:rsidR="00002933" w:rsidRPr="003B4362" w:rsidRDefault="00002933" w:rsidP="00002933">
      <w:pPr>
        <w:widowControl w:val="0"/>
        <w:suppressAutoHyphens/>
        <w:ind w:left="1440" w:hanging="1440"/>
        <w:rPr>
          <w:spacing w:val="-3"/>
        </w:rPr>
      </w:pPr>
      <w:r w:rsidRPr="003B4362">
        <w:rPr>
          <w:spacing w:val="-3"/>
        </w:rPr>
        <w:t>611.500</w:t>
      </w:r>
      <w:r w:rsidRPr="003B4362">
        <w:rPr>
          <w:spacing w:val="-3"/>
        </w:rPr>
        <w:tab/>
        <w:t>Consecutive PWSs</w:t>
      </w:r>
    </w:p>
    <w:p w14:paraId="7BD95467" w14:textId="77777777" w:rsidR="00002933" w:rsidRPr="003B4362" w:rsidRDefault="00002933" w:rsidP="00002933">
      <w:pPr>
        <w:widowControl w:val="0"/>
        <w:ind w:left="1440" w:hanging="1440"/>
        <w:rPr>
          <w:spacing w:val="-3"/>
        </w:rPr>
      </w:pPr>
      <w:r w:rsidRPr="003B4362">
        <w:rPr>
          <w:spacing w:val="-3"/>
        </w:rPr>
        <w:t>611.510</w:t>
      </w:r>
      <w:r w:rsidRPr="003B4362">
        <w:rPr>
          <w:spacing w:val="-3"/>
        </w:rPr>
        <w:tab/>
        <w:t>Special Monitoring for Unregulated Contaminants</w:t>
      </w:r>
      <w:r w:rsidRPr="003B4362">
        <w:t xml:space="preserve"> (Repealed)</w:t>
      </w:r>
    </w:p>
    <w:p w14:paraId="5105A57F" w14:textId="77777777" w:rsidR="00905FAF" w:rsidRPr="003B4362" w:rsidRDefault="00905FAF" w:rsidP="00905FAF"/>
    <w:p w14:paraId="5B87E4C8" w14:textId="15073840" w:rsidR="00002933" w:rsidRPr="003B4362" w:rsidRDefault="00002933" w:rsidP="00905FAF">
      <w:pPr>
        <w:jc w:val="center"/>
      </w:pPr>
      <w:r w:rsidRPr="003B4362">
        <w:t>SUBPART L:  MICROBIOLOGICAL MONITORING</w:t>
      </w:r>
    </w:p>
    <w:p w14:paraId="0760C61E" w14:textId="77777777" w:rsidR="00002933" w:rsidRPr="003B4362" w:rsidRDefault="00002933" w:rsidP="00905FAF">
      <w:pPr>
        <w:jc w:val="center"/>
      </w:pPr>
      <w:r w:rsidRPr="003B4362">
        <w:t>AND ANALYTICAL REQUIREMENTS</w:t>
      </w:r>
    </w:p>
    <w:p w14:paraId="1757F0DF" w14:textId="77777777" w:rsidR="00905FAF" w:rsidRPr="003B4362" w:rsidRDefault="00905FAF" w:rsidP="00905FAF"/>
    <w:p w14:paraId="269D313C" w14:textId="60AAE675" w:rsidR="00002933" w:rsidRPr="003B4362" w:rsidRDefault="00002933" w:rsidP="00905FAF">
      <w:r w:rsidRPr="003B4362">
        <w:t>Section</w:t>
      </w:r>
    </w:p>
    <w:p w14:paraId="77769772" w14:textId="77777777" w:rsidR="00002933" w:rsidRPr="003B4362" w:rsidRDefault="00002933" w:rsidP="00002933">
      <w:pPr>
        <w:widowControl w:val="0"/>
        <w:suppressAutoHyphens/>
        <w:ind w:left="1440" w:hanging="1440"/>
        <w:rPr>
          <w:spacing w:val="-3"/>
        </w:rPr>
      </w:pPr>
      <w:r w:rsidRPr="003B4362">
        <w:rPr>
          <w:spacing w:val="-3"/>
        </w:rPr>
        <w:t>611.521</w:t>
      </w:r>
      <w:r w:rsidRPr="003B4362">
        <w:rPr>
          <w:spacing w:val="-3"/>
        </w:rPr>
        <w:tab/>
        <w:t>Routine Coliform Monitoring</w:t>
      </w:r>
      <w:r w:rsidRPr="003B4362">
        <w:t xml:space="preserve"> (Repealed)</w:t>
      </w:r>
    </w:p>
    <w:p w14:paraId="1B9CE9A7" w14:textId="77777777" w:rsidR="00002933" w:rsidRPr="003B4362" w:rsidRDefault="00002933" w:rsidP="00002933">
      <w:pPr>
        <w:widowControl w:val="0"/>
        <w:suppressAutoHyphens/>
        <w:ind w:left="1440" w:hanging="1440"/>
        <w:rPr>
          <w:spacing w:val="-3"/>
        </w:rPr>
      </w:pPr>
      <w:r w:rsidRPr="003B4362">
        <w:rPr>
          <w:spacing w:val="-3"/>
        </w:rPr>
        <w:t>611.522</w:t>
      </w:r>
      <w:r w:rsidRPr="003B4362">
        <w:rPr>
          <w:spacing w:val="-3"/>
        </w:rPr>
        <w:tab/>
        <w:t>Repeat Coliform Monitoring</w:t>
      </w:r>
      <w:r w:rsidRPr="003B4362">
        <w:t xml:space="preserve"> (Repealed)</w:t>
      </w:r>
    </w:p>
    <w:p w14:paraId="6DBC5B3F" w14:textId="77777777" w:rsidR="00002933" w:rsidRPr="003B4362" w:rsidRDefault="00002933" w:rsidP="00002933">
      <w:pPr>
        <w:widowControl w:val="0"/>
        <w:suppressAutoHyphens/>
        <w:ind w:left="1440" w:hanging="1440"/>
        <w:rPr>
          <w:spacing w:val="-3"/>
        </w:rPr>
      </w:pPr>
      <w:r w:rsidRPr="003B4362">
        <w:rPr>
          <w:spacing w:val="-3"/>
        </w:rPr>
        <w:t>611.523</w:t>
      </w:r>
      <w:r w:rsidRPr="003B4362">
        <w:rPr>
          <w:spacing w:val="-3"/>
        </w:rPr>
        <w:tab/>
        <w:t>Invalidation of Total Coliform Samples</w:t>
      </w:r>
      <w:r w:rsidRPr="003B4362">
        <w:t xml:space="preserve"> (Repealed)</w:t>
      </w:r>
    </w:p>
    <w:p w14:paraId="6E0566D6" w14:textId="77777777" w:rsidR="00002933" w:rsidRPr="003B4362" w:rsidRDefault="00002933" w:rsidP="00002933">
      <w:pPr>
        <w:widowControl w:val="0"/>
        <w:suppressAutoHyphens/>
        <w:ind w:left="1440" w:hanging="1440"/>
        <w:rPr>
          <w:spacing w:val="-3"/>
        </w:rPr>
      </w:pPr>
      <w:r w:rsidRPr="003B4362">
        <w:rPr>
          <w:spacing w:val="-3"/>
        </w:rPr>
        <w:t>611.524</w:t>
      </w:r>
      <w:r w:rsidRPr="003B4362">
        <w:rPr>
          <w:spacing w:val="-3"/>
        </w:rPr>
        <w:tab/>
        <w:t>Sanitary Surveys</w:t>
      </w:r>
      <w:r w:rsidRPr="003B4362">
        <w:t xml:space="preserve"> (Repealed)</w:t>
      </w:r>
    </w:p>
    <w:p w14:paraId="60470FC2" w14:textId="77777777" w:rsidR="00002933" w:rsidRPr="003B4362" w:rsidRDefault="00002933" w:rsidP="00002933">
      <w:pPr>
        <w:widowControl w:val="0"/>
        <w:suppressAutoHyphens/>
        <w:ind w:left="1440" w:hanging="1440"/>
        <w:rPr>
          <w:spacing w:val="-3"/>
        </w:rPr>
      </w:pPr>
      <w:r w:rsidRPr="003B4362">
        <w:rPr>
          <w:spacing w:val="-3"/>
        </w:rPr>
        <w:t>611.525</w:t>
      </w:r>
      <w:r w:rsidRPr="003B4362">
        <w:rPr>
          <w:spacing w:val="-3"/>
        </w:rPr>
        <w:tab/>
        <w:t>Fecal Coliform and E. Coli Testing</w:t>
      </w:r>
      <w:r w:rsidRPr="003B4362">
        <w:t xml:space="preserve"> (Repealed)</w:t>
      </w:r>
    </w:p>
    <w:p w14:paraId="21347499" w14:textId="77777777" w:rsidR="00002933" w:rsidRPr="003B4362" w:rsidRDefault="00002933" w:rsidP="00002933">
      <w:pPr>
        <w:widowControl w:val="0"/>
        <w:suppressAutoHyphens/>
        <w:ind w:left="1440" w:hanging="1440"/>
        <w:rPr>
          <w:spacing w:val="-3"/>
        </w:rPr>
      </w:pPr>
      <w:r w:rsidRPr="003B4362">
        <w:rPr>
          <w:spacing w:val="-3"/>
        </w:rPr>
        <w:t>611.526</w:t>
      </w:r>
      <w:r w:rsidRPr="003B4362">
        <w:rPr>
          <w:spacing w:val="-3"/>
        </w:rPr>
        <w:tab/>
        <w:t>Analytical Methodology</w:t>
      </w:r>
      <w:r w:rsidRPr="003B4362">
        <w:t xml:space="preserve"> (Repealed)</w:t>
      </w:r>
    </w:p>
    <w:p w14:paraId="7469D35E" w14:textId="77777777" w:rsidR="00002933" w:rsidRPr="003B4362" w:rsidRDefault="00002933" w:rsidP="00002933">
      <w:pPr>
        <w:widowControl w:val="0"/>
        <w:suppressAutoHyphens/>
        <w:ind w:left="1440" w:hanging="1440"/>
        <w:rPr>
          <w:spacing w:val="-3"/>
        </w:rPr>
      </w:pPr>
      <w:r w:rsidRPr="003B4362">
        <w:rPr>
          <w:spacing w:val="-3"/>
        </w:rPr>
        <w:t>611.527</w:t>
      </w:r>
      <w:r w:rsidRPr="003B4362">
        <w:rPr>
          <w:spacing w:val="-3"/>
        </w:rPr>
        <w:tab/>
        <w:t>Response to Violation</w:t>
      </w:r>
      <w:r w:rsidRPr="003B4362">
        <w:t xml:space="preserve"> (Repealed)</w:t>
      </w:r>
    </w:p>
    <w:p w14:paraId="1ADEA96C" w14:textId="77777777" w:rsidR="00002933" w:rsidRPr="003B4362" w:rsidRDefault="00002933" w:rsidP="00002933">
      <w:pPr>
        <w:widowControl w:val="0"/>
      </w:pPr>
      <w:r w:rsidRPr="003B4362">
        <w:lastRenderedPageBreak/>
        <w:t>611.528</w:t>
      </w:r>
      <w:r w:rsidRPr="003B4362">
        <w:rPr>
          <w:szCs w:val="24"/>
        </w:rPr>
        <w:tab/>
      </w:r>
      <w:r w:rsidRPr="003B4362">
        <w:t>Transition from Subpart L to Subpart AA Requirements (Repealed)</w:t>
      </w:r>
    </w:p>
    <w:p w14:paraId="6B1659D7" w14:textId="77777777" w:rsidR="00002933" w:rsidRPr="003B4362" w:rsidRDefault="00002933" w:rsidP="00002933">
      <w:pPr>
        <w:widowControl w:val="0"/>
        <w:suppressAutoHyphens/>
        <w:ind w:left="1440" w:hanging="1440"/>
        <w:rPr>
          <w:spacing w:val="-3"/>
        </w:rPr>
      </w:pPr>
      <w:r w:rsidRPr="003B4362">
        <w:rPr>
          <w:spacing w:val="-3"/>
        </w:rPr>
        <w:t>611.531</w:t>
      </w:r>
      <w:r w:rsidRPr="003B4362">
        <w:rPr>
          <w:spacing w:val="-3"/>
        </w:rPr>
        <w:tab/>
        <w:t>Analytical Requirements</w:t>
      </w:r>
    </w:p>
    <w:p w14:paraId="5381837E" w14:textId="77777777" w:rsidR="00002933" w:rsidRPr="003B4362" w:rsidRDefault="00002933" w:rsidP="00002933">
      <w:pPr>
        <w:widowControl w:val="0"/>
        <w:suppressAutoHyphens/>
        <w:ind w:left="1440" w:hanging="1440"/>
        <w:rPr>
          <w:spacing w:val="-3"/>
        </w:rPr>
      </w:pPr>
      <w:r w:rsidRPr="003B4362">
        <w:rPr>
          <w:spacing w:val="-3"/>
        </w:rPr>
        <w:t>611.532</w:t>
      </w:r>
      <w:r w:rsidRPr="003B4362">
        <w:rPr>
          <w:spacing w:val="-3"/>
        </w:rPr>
        <w:tab/>
        <w:t>Unfiltered PWSs</w:t>
      </w:r>
    </w:p>
    <w:p w14:paraId="2A9E5250" w14:textId="77777777" w:rsidR="00002933" w:rsidRPr="003B4362" w:rsidRDefault="00002933" w:rsidP="00002933">
      <w:pPr>
        <w:widowControl w:val="0"/>
        <w:ind w:left="1440" w:hanging="1440"/>
        <w:rPr>
          <w:spacing w:val="-3"/>
        </w:rPr>
      </w:pPr>
      <w:r w:rsidRPr="003B4362">
        <w:rPr>
          <w:spacing w:val="-3"/>
        </w:rPr>
        <w:t>611.533</w:t>
      </w:r>
      <w:r w:rsidRPr="003B4362">
        <w:rPr>
          <w:spacing w:val="-3"/>
        </w:rPr>
        <w:tab/>
        <w:t>Filtered PWSs</w:t>
      </w:r>
    </w:p>
    <w:p w14:paraId="57A914FC" w14:textId="77777777" w:rsidR="00905FAF" w:rsidRPr="003B4362" w:rsidRDefault="00905FAF" w:rsidP="00905FAF"/>
    <w:p w14:paraId="16C8A33A" w14:textId="09608A5F" w:rsidR="00002933" w:rsidRPr="003B4362" w:rsidRDefault="00002933" w:rsidP="00905FAF">
      <w:pPr>
        <w:jc w:val="center"/>
      </w:pPr>
      <w:r w:rsidRPr="003B4362">
        <w:t>SUBPART M:  TURBIDITY MONITORING AND ANALYTICAL REQUIREMENTS</w:t>
      </w:r>
    </w:p>
    <w:p w14:paraId="139F0126" w14:textId="77777777" w:rsidR="00905FAF" w:rsidRPr="003B4362" w:rsidRDefault="00905FAF" w:rsidP="00905FAF"/>
    <w:p w14:paraId="2A2AAB95" w14:textId="0C96E36A" w:rsidR="00002933" w:rsidRPr="003B4362" w:rsidRDefault="00002933" w:rsidP="00905FAF">
      <w:r w:rsidRPr="003B4362">
        <w:t>Section</w:t>
      </w:r>
    </w:p>
    <w:p w14:paraId="42053FDB" w14:textId="64FE6AF0" w:rsidR="00002933" w:rsidRPr="003B4362" w:rsidRDefault="00002933" w:rsidP="00002933">
      <w:pPr>
        <w:widowControl w:val="0"/>
        <w:ind w:left="1440" w:hanging="1440"/>
        <w:rPr>
          <w:spacing w:val="-3"/>
        </w:rPr>
      </w:pPr>
      <w:r w:rsidRPr="003B4362">
        <w:rPr>
          <w:spacing w:val="-3"/>
        </w:rPr>
        <w:t>611.560</w:t>
      </w:r>
      <w:r w:rsidRPr="003B4362">
        <w:rPr>
          <w:spacing w:val="-3"/>
        </w:rPr>
        <w:tab/>
        <w:t>Turbidity</w:t>
      </w:r>
      <w:r w:rsidR="00895626" w:rsidRPr="003B4362">
        <w:rPr>
          <w:bCs/>
        </w:rPr>
        <w:t xml:space="preserve"> (Repealed)</w:t>
      </w:r>
    </w:p>
    <w:p w14:paraId="4977DD3D" w14:textId="77777777" w:rsidR="00905FAF" w:rsidRPr="003B4362" w:rsidRDefault="00905FAF" w:rsidP="00905FAF"/>
    <w:p w14:paraId="5E6F8E65" w14:textId="47A96AED" w:rsidR="00002933" w:rsidRPr="003B4362" w:rsidRDefault="00002933" w:rsidP="00905FAF">
      <w:pPr>
        <w:jc w:val="center"/>
      </w:pPr>
      <w:r w:rsidRPr="003B4362">
        <w:t>SUBPART N:  INORGANIC MONITORING AND ANALYTICAL REQUIREMENTS</w:t>
      </w:r>
    </w:p>
    <w:p w14:paraId="4770AC3F" w14:textId="77777777" w:rsidR="00905FAF" w:rsidRPr="003B4362" w:rsidRDefault="00905FAF" w:rsidP="00905FAF"/>
    <w:p w14:paraId="78B6B0B9" w14:textId="166F5085" w:rsidR="00002933" w:rsidRPr="003B4362" w:rsidRDefault="00002933" w:rsidP="00905FAF">
      <w:r w:rsidRPr="003B4362">
        <w:t>Section</w:t>
      </w:r>
    </w:p>
    <w:p w14:paraId="13A6A8F6" w14:textId="35D2BA58" w:rsidR="00002933" w:rsidRPr="003B4362" w:rsidRDefault="00002933" w:rsidP="00002933">
      <w:pPr>
        <w:widowControl w:val="0"/>
        <w:suppressAutoHyphens/>
        <w:ind w:left="1440" w:hanging="1440"/>
        <w:rPr>
          <w:spacing w:val="-3"/>
        </w:rPr>
      </w:pPr>
      <w:r w:rsidRPr="003B4362">
        <w:rPr>
          <w:spacing w:val="-3"/>
        </w:rPr>
        <w:t>611.591</w:t>
      </w:r>
      <w:r w:rsidRPr="003B4362">
        <w:rPr>
          <w:spacing w:val="-3"/>
        </w:rPr>
        <w:tab/>
        <w:t xml:space="preserve">Violation of </w:t>
      </w:r>
      <w:r w:rsidRPr="003B4362">
        <w:t xml:space="preserve">a </w:t>
      </w:r>
      <w:r w:rsidRPr="003B4362">
        <w:rPr>
          <w:spacing w:val="-3"/>
        </w:rPr>
        <w:t>State</w:t>
      </w:r>
      <w:r w:rsidR="005A291E" w:rsidRPr="003B4362">
        <w:rPr>
          <w:spacing w:val="-3"/>
        </w:rPr>
        <w:t>-Only</w:t>
      </w:r>
      <w:r w:rsidRPr="003B4362">
        <w:rPr>
          <w:spacing w:val="-3"/>
        </w:rPr>
        <w:t xml:space="preserve"> MCL</w:t>
      </w:r>
    </w:p>
    <w:p w14:paraId="7BACB3AA" w14:textId="77777777" w:rsidR="00002933" w:rsidRPr="003B4362" w:rsidRDefault="00002933" w:rsidP="00002933">
      <w:pPr>
        <w:widowControl w:val="0"/>
        <w:suppressAutoHyphens/>
        <w:ind w:left="1440" w:hanging="1440"/>
        <w:rPr>
          <w:spacing w:val="-3"/>
        </w:rPr>
      </w:pPr>
      <w:r w:rsidRPr="003B4362">
        <w:rPr>
          <w:spacing w:val="-3"/>
        </w:rPr>
        <w:t>611.592</w:t>
      </w:r>
      <w:r w:rsidRPr="003B4362">
        <w:rPr>
          <w:spacing w:val="-3"/>
        </w:rPr>
        <w:tab/>
        <w:t>Frequency of State Monitoring</w:t>
      </w:r>
    </w:p>
    <w:p w14:paraId="2B7579D8" w14:textId="77777777" w:rsidR="00002933" w:rsidRPr="003B4362" w:rsidRDefault="00002933" w:rsidP="00002933">
      <w:pPr>
        <w:widowControl w:val="0"/>
        <w:suppressAutoHyphens/>
        <w:ind w:left="1440" w:hanging="1440"/>
        <w:rPr>
          <w:spacing w:val="-3"/>
        </w:rPr>
      </w:pPr>
      <w:r w:rsidRPr="003B4362">
        <w:rPr>
          <w:spacing w:val="-3"/>
        </w:rPr>
        <w:t>611.600</w:t>
      </w:r>
      <w:r w:rsidRPr="003B4362">
        <w:rPr>
          <w:spacing w:val="-3"/>
        </w:rPr>
        <w:tab/>
        <w:t>Applicability</w:t>
      </w:r>
    </w:p>
    <w:p w14:paraId="54D01B53" w14:textId="77777777" w:rsidR="00002933" w:rsidRPr="003B4362" w:rsidRDefault="00002933" w:rsidP="00002933">
      <w:pPr>
        <w:widowControl w:val="0"/>
        <w:suppressAutoHyphens/>
        <w:ind w:left="1440" w:hanging="1440"/>
        <w:rPr>
          <w:spacing w:val="-3"/>
        </w:rPr>
      </w:pPr>
      <w:r w:rsidRPr="003B4362">
        <w:rPr>
          <w:spacing w:val="-3"/>
        </w:rPr>
        <w:t>611.601</w:t>
      </w:r>
      <w:r w:rsidRPr="003B4362">
        <w:rPr>
          <w:spacing w:val="-3"/>
        </w:rPr>
        <w:tab/>
        <w:t>Monitoring Frequency</w:t>
      </w:r>
    </w:p>
    <w:p w14:paraId="4EB52069" w14:textId="77777777" w:rsidR="00002933" w:rsidRPr="003B4362" w:rsidRDefault="00002933" w:rsidP="00002933">
      <w:pPr>
        <w:widowControl w:val="0"/>
        <w:suppressAutoHyphens/>
        <w:ind w:left="1440" w:hanging="1440"/>
        <w:rPr>
          <w:spacing w:val="-3"/>
        </w:rPr>
      </w:pPr>
      <w:r w:rsidRPr="003B4362">
        <w:rPr>
          <w:spacing w:val="-3"/>
        </w:rPr>
        <w:t>611.602</w:t>
      </w:r>
      <w:r w:rsidRPr="003B4362">
        <w:rPr>
          <w:spacing w:val="-3"/>
        </w:rPr>
        <w:tab/>
        <w:t>Asbestos Monitoring Frequency</w:t>
      </w:r>
    </w:p>
    <w:p w14:paraId="15A92D25" w14:textId="77777777" w:rsidR="00002933" w:rsidRPr="003B4362" w:rsidRDefault="00002933" w:rsidP="00002933">
      <w:pPr>
        <w:widowControl w:val="0"/>
        <w:suppressAutoHyphens/>
        <w:ind w:left="1440" w:hanging="1440"/>
        <w:rPr>
          <w:spacing w:val="-3"/>
        </w:rPr>
      </w:pPr>
      <w:r w:rsidRPr="003B4362">
        <w:rPr>
          <w:spacing w:val="-3"/>
        </w:rPr>
        <w:t>611.603</w:t>
      </w:r>
      <w:r w:rsidRPr="003B4362">
        <w:rPr>
          <w:spacing w:val="-3"/>
        </w:rPr>
        <w:tab/>
        <w:t>Inorganic Monitoring Frequency</w:t>
      </w:r>
    </w:p>
    <w:p w14:paraId="1635A57B" w14:textId="77777777" w:rsidR="00002933" w:rsidRPr="003B4362" w:rsidRDefault="00002933" w:rsidP="00002933">
      <w:pPr>
        <w:widowControl w:val="0"/>
        <w:suppressAutoHyphens/>
        <w:ind w:left="1440" w:hanging="1440"/>
        <w:rPr>
          <w:spacing w:val="-3"/>
        </w:rPr>
      </w:pPr>
      <w:r w:rsidRPr="003B4362">
        <w:rPr>
          <w:spacing w:val="-3"/>
        </w:rPr>
        <w:t>611.604</w:t>
      </w:r>
      <w:r w:rsidRPr="003B4362">
        <w:rPr>
          <w:spacing w:val="-3"/>
        </w:rPr>
        <w:tab/>
        <w:t>Nitrate Monitoring</w:t>
      </w:r>
    </w:p>
    <w:p w14:paraId="231A2CA3" w14:textId="77777777" w:rsidR="00002933" w:rsidRPr="003B4362" w:rsidRDefault="00002933" w:rsidP="00002933">
      <w:pPr>
        <w:widowControl w:val="0"/>
        <w:suppressAutoHyphens/>
        <w:ind w:left="1440" w:hanging="1440"/>
        <w:rPr>
          <w:spacing w:val="-3"/>
        </w:rPr>
      </w:pPr>
      <w:r w:rsidRPr="003B4362">
        <w:rPr>
          <w:spacing w:val="-3"/>
        </w:rPr>
        <w:t>611.605</w:t>
      </w:r>
      <w:r w:rsidRPr="003B4362">
        <w:rPr>
          <w:spacing w:val="-3"/>
        </w:rPr>
        <w:tab/>
        <w:t>Nitrite Monitoring</w:t>
      </w:r>
    </w:p>
    <w:p w14:paraId="3E2F3199" w14:textId="77777777" w:rsidR="00002933" w:rsidRPr="003B4362" w:rsidRDefault="00002933" w:rsidP="00002933">
      <w:pPr>
        <w:widowControl w:val="0"/>
        <w:suppressAutoHyphens/>
        <w:ind w:left="1440" w:hanging="1440"/>
        <w:rPr>
          <w:spacing w:val="-3"/>
        </w:rPr>
      </w:pPr>
      <w:r w:rsidRPr="003B4362">
        <w:rPr>
          <w:spacing w:val="-3"/>
        </w:rPr>
        <w:t>611.606</w:t>
      </w:r>
      <w:r w:rsidRPr="003B4362">
        <w:rPr>
          <w:spacing w:val="-3"/>
        </w:rPr>
        <w:tab/>
        <w:t>Confirmation Samples</w:t>
      </w:r>
    </w:p>
    <w:p w14:paraId="338E7FE4" w14:textId="77777777" w:rsidR="00002933" w:rsidRPr="003B4362" w:rsidRDefault="00002933" w:rsidP="00002933">
      <w:pPr>
        <w:widowControl w:val="0"/>
        <w:suppressAutoHyphens/>
        <w:ind w:left="1440" w:hanging="1440"/>
        <w:rPr>
          <w:spacing w:val="-3"/>
        </w:rPr>
      </w:pPr>
      <w:r w:rsidRPr="003B4362">
        <w:rPr>
          <w:spacing w:val="-3"/>
        </w:rPr>
        <w:t>611.607</w:t>
      </w:r>
      <w:r w:rsidRPr="003B4362">
        <w:rPr>
          <w:spacing w:val="-3"/>
        </w:rPr>
        <w:tab/>
        <w:t>More Frequent Monitoring and Confirmation Sampling</w:t>
      </w:r>
    </w:p>
    <w:p w14:paraId="7CCD2857" w14:textId="77777777" w:rsidR="00002933" w:rsidRPr="003B4362" w:rsidRDefault="00002933" w:rsidP="00002933">
      <w:pPr>
        <w:widowControl w:val="0"/>
        <w:suppressAutoHyphens/>
        <w:ind w:left="1440" w:hanging="1440"/>
        <w:rPr>
          <w:spacing w:val="-3"/>
        </w:rPr>
      </w:pPr>
      <w:r w:rsidRPr="003B4362">
        <w:rPr>
          <w:spacing w:val="-3"/>
        </w:rPr>
        <w:t>611.608</w:t>
      </w:r>
      <w:r w:rsidRPr="003B4362">
        <w:rPr>
          <w:spacing w:val="-3"/>
        </w:rPr>
        <w:tab/>
        <w:t>Additional Optional Monitoring</w:t>
      </w:r>
    </w:p>
    <w:p w14:paraId="65917BA1" w14:textId="77777777" w:rsidR="00002933" w:rsidRPr="003B4362" w:rsidRDefault="00002933" w:rsidP="00002933">
      <w:pPr>
        <w:widowControl w:val="0"/>
        <w:suppressAutoHyphens/>
        <w:ind w:left="1440" w:hanging="1440"/>
        <w:rPr>
          <w:spacing w:val="-3"/>
        </w:rPr>
      </w:pPr>
      <w:r w:rsidRPr="003B4362">
        <w:rPr>
          <w:spacing w:val="-3"/>
        </w:rPr>
        <w:t>611.609</w:t>
      </w:r>
      <w:r w:rsidRPr="003B4362">
        <w:rPr>
          <w:spacing w:val="-3"/>
        </w:rPr>
        <w:tab/>
        <w:t>Determining Compliance</w:t>
      </w:r>
    </w:p>
    <w:p w14:paraId="1940AA3B" w14:textId="77777777" w:rsidR="00002933" w:rsidRPr="003B4362" w:rsidRDefault="00002933" w:rsidP="00002933">
      <w:pPr>
        <w:widowControl w:val="0"/>
        <w:suppressAutoHyphens/>
        <w:ind w:left="1440" w:hanging="1440"/>
        <w:rPr>
          <w:spacing w:val="-3"/>
        </w:rPr>
      </w:pPr>
      <w:r w:rsidRPr="003B4362">
        <w:rPr>
          <w:spacing w:val="-3"/>
        </w:rPr>
        <w:t>611.610</w:t>
      </w:r>
      <w:r w:rsidRPr="003B4362">
        <w:rPr>
          <w:spacing w:val="-3"/>
        </w:rPr>
        <w:tab/>
        <w:t>Inorganic Monitoring Times</w:t>
      </w:r>
    </w:p>
    <w:p w14:paraId="60CF4BA2" w14:textId="77777777" w:rsidR="00002933" w:rsidRPr="003B4362" w:rsidRDefault="00002933" w:rsidP="00002933">
      <w:pPr>
        <w:widowControl w:val="0"/>
        <w:suppressAutoHyphens/>
        <w:ind w:left="1440" w:hanging="1440"/>
        <w:rPr>
          <w:spacing w:val="-3"/>
        </w:rPr>
      </w:pPr>
      <w:r w:rsidRPr="003B4362">
        <w:rPr>
          <w:spacing w:val="-3"/>
        </w:rPr>
        <w:t>611.611</w:t>
      </w:r>
      <w:r w:rsidRPr="003B4362">
        <w:rPr>
          <w:spacing w:val="-3"/>
        </w:rPr>
        <w:tab/>
        <w:t>Inorganic Analysis</w:t>
      </w:r>
    </w:p>
    <w:p w14:paraId="0B957A85" w14:textId="77777777" w:rsidR="00002933" w:rsidRPr="003B4362" w:rsidRDefault="00002933" w:rsidP="00002933">
      <w:pPr>
        <w:widowControl w:val="0"/>
        <w:suppressAutoHyphens/>
        <w:ind w:left="1440" w:hanging="1440"/>
        <w:rPr>
          <w:spacing w:val="-3"/>
        </w:rPr>
      </w:pPr>
      <w:r w:rsidRPr="003B4362">
        <w:rPr>
          <w:spacing w:val="-3"/>
        </w:rPr>
        <w:t>611.612</w:t>
      </w:r>
      <w:r w:rsidRPr="003B4362">
        <w:rPr>
          <w:spacing w:val="-3"/>
        </w:rPr>
        <w:tab/>
        <w:t>Monitoring Requirements for Old Inorganic MCLs</w:t>
      </w:r>
    </w:p>
    <w:p w14:paraId="0089ECAE" w14:textId="77777777" w:rsidR="00002933" w:rsidRPr="003B4362" w:rsidRDefault="00002933" w:rsidP="00002933">
      <w:pPr>
        <w:widowControl w:val="0"/>
        <w:suppressAutoHyphens/>
        <w:ind w:left="1440" w:hanging="1440"/>
        <w:rPr>
          <w:spacing w:val="-3"/>
        </w:rPr>
      </w:pPr>
      <w:r w:rsidRPr="003B4362">
        <w:rPr>
          <w:spacing w:val="-3"/>
        </w:rPr>
        <w:t>611.630</w:t>
      </w:r>
      <w:r w:rsidRPr="003B4362">
        <w:rPr>
          <w:spacing w:val="-3"/>
        </w:rPr>
        <w:tab/>
        <w:t>Special Monitoring for Sodium</w:t>
      </w:r>
    </w:p>
    <w:p w14:paraId="464970B4" w14:textId="77777777" w:rsidR="00002933" w:rsidRPr="003B4362" w:rsidRDefault="00002933" w:rsidP="00002933">
      <w:pPr>
        <w:widowControl w:val="0"/>
        <w:ind w:left="1440" w:hanging="1440"/>
        <w:rPr>
          <w:spacing w:val="-3"/>
        </w:rPr>
      </w:pPr>
      <w:r w:rsidRPr="003B4362">
        <w:rPr>
          <w:spacing w:val="-3"/>
        </w:rPr>
        <w:t>611.631</w:t>
      </w:r>
      <w:r w:rsidRPr="003B4362">
        <w:rPr>
          <w:spacing w:val="-3"/>
        </w:rPr>
        <w:tab/>
        <w:t>Special Monitoring for Inorganic Chemicals</w:t>
      </w:r>
      <w:r w:rsidRPr="003B4362">
        <w:t xml:space="preserve"> (Repealed)</w:t>
      </w:r>
    </w:p>
    <w:p w14:paraId="3DC1EB83" w14:textId="77777777" w:rsidR="00905FAF" w:rsidRPr="003B4362" w:rsidRDefault="00905FAF" w:rsidP="00905FAF"/>
    <w:p w14:paraId="0A758AA7" w14:textId="4CD90C83" w:rsidR="00002933" w:rsidRPr="003B4362" w:rsidRDefault="00002933" w:rsidP="00905FAF">
      <w:pPr>
        <w:jc w:val="center"/>
      </w:pPr>
      <w:r w:rsidRPr="003B4362">
        <w:t>SUBPART O:  ORGANIC MONITORING AND ANALYTICAL REQUIREMENTS</w:t>
      </w:r>
    </w:p>
    <w:p w14:paraId="41DBC2F0" w14:textId="77777777" w:rsidR="00905FAF" w:rsidRPr="003B4362" w:rsidRDefault="00905FAF" w:rsidP="00905FAF"/>
    <w:p w14:paraId="5A54DEC4" w14:textId="5374C5F9" w:rsidR="00002933" w:rsidRPr="003B4362" w:rsidRDefault="00002933" w:rsidP="00905FAF">
      <w:r w:rsidRPr="003B4362">
        <w:t>Section</w:t>
      </w:r>
    </w:p>
    <w:p w14:paraId="04F2E497" w14:textId="77777777" w:rsidR="00002933" w:rsidRPr="003B4362" w:rsidRDefault="00002933" w:rsidP="00002933">
      <w:pPr>
        <w:widowControl w:val="0"/>
        <w:suppressAutoHyphens/>
        <w:ind w:left="1440" w:hanging="1440"/>
        <w:rPr>
          <w:spacing w:val="-3"/>
        </w:rPr>
      </w:pPr>
      <w:r w:rsidRPr="003B4362">
        <w:rPr>
          <w:spacing w:val="-3"/>
        </w:rPr>
        <w:t>611.640</w:t>
      </w:r>
      <w:r w:rsidRPr="003B4362">
        <w:rPr>
          <w:spacing w:val="-3"/>
        </w:rPr>
        <w:tab/>
        <w:t>Definitions</w:t>
      </w:r>
    </w:p>
    <w:p w14:paraId="75383118" w14:textId="511A9C7A" w:rsidR="00002933" w:rsidRPr="003B4362" w:rsidRDefault="00002933" w:rsidP="00002933">
      <w:pPr>
        <w:widowControl w:val="0"/>
        <w:suppressAutoHyphens/>
        <w:ind w:left="1440" w:hanging="1440"/>
        <w:rPr>
          <w:spacing w:val="-3"/>
        </w:rPr>
      </w:pPr>
      <w:r w:rsidRPr="003B4362">
        <w:rPr>
          <w:spacing w:val="-3"/>
        </w:rPr>
        <w:t>611.641</w:t>
      </w:r>
      <w:r w:rsidRPr="003B4362">
        <w:rPr>
          <w:spacing w:val="-3"/>
        </w:rPr>
        <w:tab/>
      </w:r>
      <w:r w:rsidR="00D52BA3" w:rsidRPr="003B4362">
        <w:rPr>
          <w:spacing w:val="-3"/>
        </w:rPr>
        <w:t xml:space="preserve">State-Only </w:t>
      </w:r>
      <w:r w:rsidRPr="003B4362">
        <w:rPr>
          <w:spacing w:val="-3"/>
        </w:rPr>
        <w:t>MCLs</w:t>
      </w:r>
    </w:p>
    <w:p w14:paraId="07C0676C" w14:textId="77777777" w:rsidR="00002933" w:rsidRPr="003B4362" w:rsidRDefault="00002933" w:rsidP="00002933">
      <w:pPr>
        <w:widowControl w:val="0"/>
        <w:suppressAutoHyphens/>
        <w:ind w:left="1440" w:hanging="1440"/>
        <w:rPr>
          <w:spacing w:val="-3"/>
        </w:rPr>
      </w:pPr>
      <w:r w:rsidRPr="003B4362">
        <w:rPr>
          <w:spacing w:val="-3"/>
        </w:rPr>
        <w:t>611.645</w:t>
      </w:r>
      <w:r w:rsidRPr="003B4362">
        <w:rPr>
          <w:spacing w:val="-3"/>
        </w:rPr>
        <w:tab/>
        <w:t>Analytical Methods for Organic Chemical Contaminants</w:t>
      </w:r>
    </w:p>
    <w:p w14:paraId="7B4C5DE4" w14:textId="77777777" w:rsidR="00002933" w:rsidRPr="003B4362" w:rsidRDefault="00002933" w:rsidP="00002933">
      <w:pPr>
        <w:widowControl w:val="0"/>
        <w:suppressAutoHyphens/>
        <w:ind w:left="1440" w:hanging="1440"/>
        <w:rPr>
          <w:spacing w:val="-3"/>
        </w:rPr>
      </w:pPr>
      <w:r w:rsidRPr="003B4362">
        <w:rPr>
          <w:spacing w:val="-3"/>
        </w:rPr>
        <w:t>611.646</w:t>
      </w:r>
      <w:r w:rsidRPr="003B4362">
        <w:rPr>
          <w:spacing w:val="-3"/>
        </w:rPr>
        <w:tab/>
        <w:t>Phase I, Phase II, and Phase V Volatile Organic Contaminants</w:t>
      </w:r>
    </w:p>
    <w:p w14:paraId="3BBAF4DB" w14:textId="77777777" w:rsidR="00002933" w:rsidRPr="003B4362" w:rsidRDefault="00002933" w:rsidP="00002933">
      <w:pPr>
        <w:widowControl w:val="0"/>
        <w:suppressAutoHyphens/>
        <w:ind w:left="1440" w:hanging="1440"/>
        <w:rPr>
          <w:spacing w:val="-3"/>
        </w:rPr>
      </w:pPr>
      <w:r w:rsidRPr="003B4362">
        <w:rPr>
          <w:spacing w:val="-3"/>
        </w:rPr>
        <w:t>611.647</w:t>
      </w:r>
      <w:r w:rsidRPr="003B4362">
        <w:rPr>
          <w:spacing w:val="-3"/>
        </w:rPr>
        <w:tab/>
        <w:t>Sampling for Phase I Volatile Organic Contaminants (Repealed)</w:t>
      </w:r>
    </w:p>
    <w:p w14:paraId="0E50474F" w14:textId="77777777" w:rsidR="00002933" w:rsidRPr="003B4362" w:rsidRDefault="00002933" w:rsidP="00002933">
      <w:pPr>
        <w:widowControl w:val="0"/>
        <w:suppressAutoHyphens/>
        <w:ind w:left="1440" w:hanging="1440"/>
        <w:rPr>
          <w:spacing w:val="-3"/>
        </w:rPr>
      </w:pPr>
      <w:r w:rsidRPr="003B4362">
        <w:rPr>
          <w:spacing w:val="-3"/>
        </w:rPr>
        <w:t>611.648</w:t>
      </w:r>
      <w:r w:rsidRPr="003B4362">
        <w:rPr>
          <w:spacing w:val="-3"/>
        </w:rPr>
        <w:tab/>
        <w:t>Phase II, Phase IIB, and Phase V Synthetic Organic Contaminants</w:t>
      </w:r>
    </w:p>
    <w:p w14:paraId="38CC5BB2" w14:textId="77777777" w:rsidR="00002933" w:rsidRPr="003B4362" w:rsidRDefault="00002933" w:rsidP="00002933">
      <w:pPr>
        <w:widowControl w:val="0"/>
        <w:suppressAutoHyphens/>
        <w:ind w:left="1440" w:hanging="1440"/>
        <w:rPr>
          <w:spacing w:val="-3"/>
        </w:rPr>
      </w:pPr>
      <w:r w:rsidRPr="003B4362">
        <w:rPr>
          <w:spacing w:val="-3"/>
        </w:rPr>
        <w:t>611.650</w:t>
      </w:r>
      <w:r w:rsidRPr="003B4362">
        <w:rPr>
          <w:spacing w:val="-3"/>
        </w:rPr>
        <w:tab/>
        <w:t>Monitoring for 36 Contaminants (Repealed)</w:t>
      </w:r>
    </w:p>
    <w:p w14:paraId="12E685C5" w14:textId="77777777" w:rsidR="00002933" w:rsidRPr="003B4362" w:rsidRDefault="00002933" w:rsidP="00002933">
      <w:pPr>
        <w:widowControl w:val="0"/>
        <w:suppressAutoHyphens/>
        <w:ind w:left="1440" w:hanging="1440"/>
        <w:rPr>
          <w:spacing w:val="-3"/>
        </w:rPr>
      </w:pPr>
      <w:r w:rsidRPr="003B4362">
        <w:rPr>
          <w:spacing w:val="-3"/>
        </w:rPr>
        <w:t>611.657</w:t>
      </w:r>
      <w:r w:rsidRPr="003B4362">
        <w:rPr>
          <w:spacing w:val="-3"/>
        </w:rPr>
        <w:tab/>
        <w:t>Analytical Methods for 36 Contaminants (Repealed)</w:t>
      </w:r>
    </w:p>
    <w:p w14:paraId="30A6A2B2" w14:textId="77777777" w:rsidR="00002933" w:rsidRPr="003B4362" w:rsidRDefault="00002933" w:rsidP="00002933">
      <w:pPr>
        <w:widowControl w:val="0"/>
        <w:ind w:left="1440" w:hanging="1440"/>
        <w:rPr>
          <w:spacing w:val="-3"/>
        </w:rPr>
      </w:pPr>
      <w:r w:rsidRPr="003B4362">
        <w:rPr>
          <w:spacing w:val="-3"/>
        </w:rPr>
        <w:t>611.658</w:t>
      </w:r>
      <w:r w:rsidRPr="003B4362">
        <w:rPr>
          <w:spacing w:val="-3"/>
        </w:rPr>
        <w:tab/>
        <w:t>Special Monitoring for Organic Chemicals</w:t>
      </w:r>
      <w:r w:rsidRPr="003B4362">
        <w:t xml:space="preserve"> (Repealed)</w:t>
      </w:r>
    </w:p>
    <w:p w14:paraId="0724233B" w14:textId="77777777" w:rsidR="00905FAF" w:rsidRPr="003B4362" w:rsidRDefault="00905FAF" w:rsidP="00905FAF"/>
    <w:p w14:paraId="03BC4F20" w14:textId="0C6E8655" w:rsidR="00002933" w:rsidRPr="003B4362" w:rsidRDefault="00002933" w:rsidP="00905FAF">
      <w:pPr>
        <w:jc w:val="center"/>
      </w:pPr>
      <w:r w:rsidRPr="003B4362">
        <w:t>SUBPART P:  THM MONITORING AND ANALYTICAL REQUIREMENTS</w:t>
      </w:r>
    </w:p>
    <w:p w14:paraId="085F7438" w14:textId="77777777" w:rsidR="00905FAF" w:rsidRPr="003B4362" w:rsidRDefault="00905FAF" w:rsidP="00905FAF"/>
    <w:p w14:paraId="6A342489" w14:textId="10683254" w:rsidR="00002933" w:rsidRPr="003B4362" w:rsidRDefault="00002933" w:rsidP="00905FAF">
      <w:r w:rsidRPr="003B4362">
        <w:t>Section</w:t>
      </w:r>
    </w:p>
    <w:p w14:paraId="6D6A9886" w14:textId="77777777" w:rsidR="00002933" w:rsidRPr="003B4362" w:rsidRDefault="00002933" w:rsidP="00002933">
      <w:pPr>
        <w:widowControl w:val="0"/>
        <w:suppressAutoHyphens/>
        <w:ind w:left="1440" w:hanging="1440"/>
        <w:rPr>
          <w:spacing w:val="-3"/>
        </w:rPr>
      </w:pPr>
      <w:r w:rsidRPr="003B4362">
        <w:rPr>
          <w:spacing w:val="-3"/>
        </w:rPr>
        <w:t>611.680</w:t>
      </w:r>
      <w:r w:rsidRPr="003B4362">
        <w:rPr>
          <w:spacing w:val="-3"/>
        </w:rPr>
        <w:tab/>
        <w:t>Sampling, Analytical</w:t>
      </w:r>
      <w:r w:rsidRPr="003B4362">
        <w:t>,</w:t>
      </w:r>
      <w:r w:rsidRPr="003B4362">
        <w:rPr>
          <w:spacing w:val="-3"/>
        </w:rPr>
        <w:t xml:space="preserve"> and other Requirements (Repealed)</w:t>
      </w:r>
    </w:p>
    <w:p w14:paraId="2D6A3714" w14:textId="77777777" w:rsidR="00002933" w:rsidRPr="003B4362" w:rsidRDefault="00002933" w:rsidP="00002933">
      <w:pPr>
        <w:widowControl w:val="0"/>
        <w:suppressAutoHyphens/>
        <w:ind w:left="1440" w:hanging="1440"/>
        <w:rPr>
          <w:spacing w:val="-3"/>
        </w:rPr>
      </w:pPr>
      <w:r w:rsidRPr="003B4362">
        <w:rPr>
          <w:spacing w:val="-3"/>
        </w:rPr>
        <w:t>611.683</w:t>
      </w:r>
      <w:r w:rsidRPr="003B4362">
        <w:rPr>
          <w:spacing w:val="-3"/>
        </w:rPr>
        <w:tab/>
        <w:t>Reduced Monitoring Frequency</w:t>
      </w:r>
      <w:r w:rsidRPr="003B4362">
        <w:t xml:space="preserve"> (Repealed)</w:t>
      </w:r>
    </w:p>
    <w:p w14:paraId="5ECFD168" w14:textId="77777777" w:rsidR="00002933" w:rsidRPr="003B4362" w:rsidRDefault="00002933" w:rsidP="00002933">
      <w:pPr>
        <w:widowControl w:val="0"/>
        <w:suppressAutoHyphens/>
        <w:ind w:left="1440" w:hanging="1440"/>
        <w:rPr>
          <w:spacing w:val="-3"/>
        </w:rPr>
      </w:pPr>
      <w:r w:rsidRPr="003B4362">
        <w:rPr>
          <w:spacing w:val="-3"/>
        </w:rPr>
        <w:t>611.684</w:t>
      </w:r>
      <w:r w:rsidRPr="003B4362">
        <w:rPr>
          <w:spacing w:val="-3"/>
        </w:rPr>
        <w:tab/>
        <w:t>Averaging</w:t>
      </w:r>
      <w:r w:rsidRPr="003B4362">
        <w:t xml:space="preserve"> (Repealed)</w:t>
      </w:r>
    </w:p>
    <w:p w14:paraId="65A16622" w14:textId="77777777" w:rsidR="00002933" w:rsidRPr="003B4362" w:rsidRDefault="00002933" w:rsidP="00002933">
      <w:pPr>
        <w:widowControl w:val="0"/>
        <w:suppressAutoHyphens/>
        <w:ind w:left="1440" w:hanging="1440"/>
        <w:rPr>
          <w:spacing w:val="-3"/>
        </w:rPr>
      </w:pPr>
      <w:r w:rsidRPr="003B4362">
        <w:rPr>
          <w:spacing w:val="-3"/>
        </w:rPr>
        <w:t>611.685</w:t>
      </w:r>
      <w:r w:rsidRPr="003B4362">
        <w:rPr>
          <w:spacing w:val="-3"/>
        </w:rPr>
        <w:tab/>
        <w:t>Analytical Methods (Repealed)</w:t>
      </w:r>
    </w:p>
    <w:p w14:paraId="7BD82101" w14:textId="77777777" w:rsidR="00002933" w:rsidRPr="003B4362" w:rsidRDefault="00002933" w:rsidP="00002933">
      <w:pPr>
        <w:widowControl w:val="0"/>
        <w:suppressAutoHyphens/>
        <w:ind w:left="1440" w:hanging="1440"/>
        <w:rPr>
          <w:spacing w:val="-3"/>
        </w:rPr>
      </w:pPr>
      <w:r w:rsidRPr="003B4362">
        <w:rPr>
          <w:spacing w:val="-3"/>
        </w:rPr>
        <w:t>611.686</w:t>
      </w:r>
      <w:r w:rsidRPr="003B4362">
        <w:rPr>
          <w:spacing w:val="-3"/>
        </w:rPr>
        <w:tab/>
        <w:t>Modification to System</w:t>
      </w:r>
      <w:r w:rsidRPr="003B4362">
        <w:t xml:space="preserve"> (Repealed)</w:t>
      </w:r>
    </w:p>
    <w:p w14:paraId="2D7730D4" w14:textId="77777777" w:rsidR="00002933" w:rsidRPr="003B4362" w:rsidRDefault="00002933" w:rsidP="00002933">
      <w:pPr>
        <w:widowControl w:val="0"/>
        <w:suppressAutoHyphens/>
        <w:ind w:left="1440" w:hanging="1440"/>
        <w:rPr>
          <w:spacing w:val="-3"/>
        </w:rPr>
      </w:pPr>
      <w:r w:rsidRPr="003B4362">
        <w:rPr>
          <w:spacing w:val="-3"/>
        </w:rPr>
        <w:t>611.687</w:t>
      </w:r>
      <w:r w:rsidRPr="003B4362">
        <w:rPr>
          <w:spacing w:val="-3"/>
        </w:rPr>
        <w:tab/>
        <w:t>Sampling for Maximum THM Potential</w:t>
      </w:r>
      <w:r w:rsidRPr="003B4362">
        <w:t xml:space="preserve"> (Repealed)</w:t>
      </w:r>
    </w:p>
    <w:p w14:paraId="50990C75" w14:textId="77777777" w:rsidR="00002933" w:rsidRPr="003B4362" w:rsidRDefault="00002933" w:rsidP="00002933">
      <w:pPr>
        <w:widowControl w:val="0"/>
        <w:ind w:left="1440" w:hanging="1440"/>
        <w:rPr>
          <w:spacing w:val="-2"/>
        </w:rPr>
      </w:pPr>
      <w:r w:rsidRPr="003B4362">
        <w:rPr>
          <w:spacing w:val="-2"/>
        </w:rPr>
        <w:t>611.688</w:t>
      </w:r>
      <w:r w:rsidRPr="003B4362">
        <w:rPr>
          <w:spacing w:val="-2"/>
        </w:rPr>
        <w:tab/>
        <w:t>Applicability Dates</w:t>
      </w:r>
      <w:r w:rsidRPr="003B4362">
        <w:t xml:space="preserve"> (Repealed)</w:t>
      </w:r>
    </w:p>
    <w:p w14:paraId="492D6550" w14:textId="77777777" w:rsidR="00BE2797" w:rsidRPr="003B4362" w:rsidRDefault="00BE2797" w:rsidP="00BE2797"/>
    <w:p w14:paraId="1A7FBD5F" w14:textId="60F8F073" w:rsidR="00002933" w:rsidRPr="003B4362" w:rsidRDefault="00002933" w:rsidP="00BE2797">
      <w:pPr>
        <w:jc w:val="center"/>
      </w:pPr>
      <w:r w:rsidRPr="003B4362">
        <w:t>SUBPART Q:  RADIOLOGICAL MONITORING AND ANALYTICAL REQUIREMENTS</w:t>
      </w:r>
    </w:p>
    <w:p w14:paraId="7400D3AD" w14:textId="77777777" w:rsidR="00BE2797" w:rsidRPr="003B4362" w:rsidRDefault="00BE2797" w:rsidP="00BE2797"/>
    <w:p w14:paraId="3190A953" w14:textId="6D94795D" w:rsidR="00002933" w:rsidRPr="003B4362" w:rsidRDefault="00002933" w:rsidP="00BE2797">
      <w:r w:rsidRPr="003B4362">
        <w:t>Section</w:t>
      </w:r>
    </w:p>
    <w:p w14:paraId="15BC9764" w14:textId="77777777" w:rsidR="00002933" w:rsidRPr="003B4362" w:rsidRDefault="00002933" w:rsidP="00002933">
      <w:pPr>
        <w:widowControl w:val="0"/>
        <w:suppressAutoHyphens/>
        <w:ind w:left="1440" w:hanging="1440"/>
        <w:rPr>
          <w:spacing w:val="-3"/>
        </w:rPr>
      </w:pPr>
      <w:r w:rsidRPr="003B4362">
        <w:rPr>
          <w:spacing w:val="-3"/>
        </w:rPr>
        <w:t>611.720</w:t>
      </w:r>
      <w:r w:rsidRPr="003B4362">
        <w:rPr>
          <w:spacing w:val="-3"/>
        </w:rPr>
        <w:tab/>
        <w:t>Analytical Methods</w:t>
      </w:r>
    </w:p>
    <w:p w14:paraId="7F08A0AE" w14:textId="77777777" w:rsidR="00002933" w:rsidRPr="003B4362" w:rsidRDefault="00002933" w:rsidP="00002933">
      <w:pPr>
        <w:widowControl w:val="0"/>
        <w:suppressAutoHyphens/>
        <w:ind w:left="1440" w:hanging="1440"/>
        <w:rPr>
          <w:spacing w:val="-3"/>
        </w:rPr>
      </w:pPr>
      <w:r w:rsidRPr="003B4362">
        <w:rPr>
          <w:spacing w:val="-3"/>
        </w:rPr>
        <w:t>611.731</w:t>
      </w:r>
      <w:r w:rsidRPr="003B4362">
        <w:rPr>
          <w:spacing w:val="-3"/>
        </w:rPr>
        <w:tab/>
        <w:t>Gross Alpha</w:t>
      </w:r>
    </w:p>
    <w:p w14:paraId="09092CC0" w14:textId="77777777" w:rsidR="00002933" w:rsidRPr="003B4362" w:rsidRDefault="00002933" w:rsidP="00002933">
      <w:pPr>
        <w:widowControl w:val="0"/>
        <w:suppressAutoHyphens/>
        <w:ind w:left="1440" w:hanging="1440"/>
      </w:pPr>
      <w:r w:rsidRPr="003B4362">
        <w:rPr>
          <w:spacing w:val="-3"/>
        </w:rPr>
        <w:t>611.732</w:t>
      </w:r>
      <w:r w:rsidRPr="003B4362">
        <w:rPr>
          <w:spacing w:val="-3"/>
        </w:rPr>
        <w:tab/>
      </w:r>
      <w:r w:rsidRPr="003B4362">
        <w:t>Beta Particle and Photon Radioactivity</w:t>
      </w:r>
    </w:p>
    <w:p w14:paraId="400666D7" w14:textId="77777777" w:rsidR="00002933" w:rsidRPr="003B4362" w:rsidRDefault="00002933" w:rsidP="00002933">
      <w:pPr>
        <w:widowControl w:val="0"/>
        <w:ind w:left="1440" w:hanging="1440"/>
        <w:rPr>
          <w:spacing w:val="-3"/>
        </w:rPr>
      </w:pPr>
      <w:r w:rsidRPr="003B4362">
        <w:t>611.733</w:t>
      </w:r>
      <w:r w:rsidRPr="003B4362">
        <w:tab/>
        <w:t>General Monitoring and Compliance Requirements</w:t>
      </w:r>
    </w:p>
    <w:p w14:paraId="09949437" w14:textId="77777777" w:rsidR="00BE2797" w:rsidRPr="003B4362" w:rsidRDefault="00BE2797" w:rsidP="00BE2797"/>
    <w:p w14:paraId="50A41C92" w14:textId="5FD1AADC" w:rsidR="00002933" w:rsidRPr="003B4362" w:rsidRDefault="00002933" w:rsidP="00BE2797">
      <w:pPr>
        <w:jc w:val="center"/>
      </w:pPr>
      <w:r w:rsidRPr="003B4362">
        <w:t>SUBPART R:  ENHANCED FILTRATION AND DISINFECTION:</w:t>
      </w:r>
    </w:p>
    <w:p w14:paraId="42E8FE68" w14:textId="77777777" w:rsidR="00002933" w:rsidRPr="003B4362" w:rsidRDefault="00002933" w:rsidP="00BE2797">
      <w:pPr>
        <w:jc w:val="center"/>
      </w:pPr>
      <w:r w:rsidRPr="003B4362">
        <w:t>SYSTEMS THAT SERVE 10,000 OR MORE PEOPLE</w:t>
      </w:r>
    </w:p>
    <w:p w14:paraId="2FB70353" w14:textId="77777777" w:rsidR="00BE2797" w:rsidRPr="003B4362" w:rsidRDefault="00BE2797" w:rsidP="00BE2797"/>
    <w:p w14:paraId="7F74AECC" w14:textId="2406B0BD" w:rsidR="00002933" w:rsidRPr="003B4362" w:rsidRDefault="00002933" w:rsidP="00BE2797">
      <w:r w:rsidRPr="003B4362">
        <w:t>Section</w:t>
      </w:r>
    </w:p>
    <w:p w14:paraId="3A62D234" w14:textId="77777777" w:rsidR="00002933" w:rsidRPr="003B4362" w:rsidRDefault="00002933" w:rsidP="00002933">
      <w:pPr>
        <w:widowControl w:val="0"/>
        <w:suppressAutoHyphens/>
        <w:ind w:left="1440" w:hanging="1440"/>
      </w:pPr>
      <w:r w:rsidRPr="003B4362">
        <w:t>611.740</w:t>
      </w:r>
      <w:r w:rsidRPr="003B4362">
        <w:tab/>
        <w:t>General Requirements</w:t>
      </w:r>
    </w:p>
    <w:p w14:paraId="7C26E5BC" w14:textId="77777777" w:rsidR="00002933" w:rsidRPr="003B4362" w:rsidRDefault="00002933" w:rsidP="00002933">
      <w:pPr>
        <w:widowControl w:val="0"/>
        <w:suppressAutoHyphens/>
        <w:ind w:left="1440" w:hanging="1440"/>
      </w:pPr>
      <w:r w:rsidRPr="003B4362">
        <w:t>611.741</w:t>
      </w:r>
      <w:r w:rsidRPr="003B4362">
        <w:tab/>
        <w:t>Standards for Avoiding Filtration</w:t>
      </w:r>
    </w:p>
    <w:p w14:paraId="7B485D1F" w14:textId="77777777" w:rsidR="00002933" w:rsidRPr="003B4362" w:rsidRDefault="00002933" w:rsidP="00002933">
      <w:pPr>
        <w:widowControl w:val="0"/>
        <w:suppressAutoHyphens/>
        <w:ind w:left="1440" w:hanging="1440"/>
      </w:pPr>
      <w:r w:rsidRPr="003B4362">
        <w:t>611.742</w:t>
      </w:r>
      <w:r w:rsidRPr="003B4362">
        <w:tab/>
        <w:t>Disinfection Profiling and Benchmarking</w:t>
      </w:r>
    </w:p>
    <w:p w14:paraId="222969F8" w14:textId="77777777" w:rsidR="00002933" w:rsidRPr="003B4362" w:rsidRDefault="00002933" w:rsidP="00002933">
      <w:pPr>
        <w:widowControl w:val="0"/>
        <w:suppressAutoHyphens/>
        <w:ind w:left="1440" w:hanging="1440"/>
      </w:pPr>
      <w:r w:rsidRPr="003B4362">
        <w:t>611.743</w:t>
      </w:r>
      <w:r w:rsidRPr="003B4362">
        <w:tab/>
        <w:t>Filtration</w:t>
      </w:r>
    </w:p>
    <w:p w14:paraId="29D324BD" w14:textId="77777777" w:rsidR="00002933" w:rsidRPr="003B4362" w:rsidRDefault="00002933" w:rsidP="00002933">
      <w:pPr>
        <w:widowControl w:val="0"/>
        <w:suppressAutoHyphens/>
        <w:ind w:left="1440" w:hanging="1440"/>
      </w:pPr>
      <w:r w:rsidRPr="003B4362">
        <w:t>611.744</w:t>
      </w:r>
      <w:r w:rsidRPr="003B4362">
        <w:tab/>
        <w:t>Filtration Sampling Requirements</w:t>
      </w:r>
    </w:p>
    <w:p w14:paraId="243531BE" w14:textId="77777777" w:rsidR="00002933" w:rsidRPr="003B4362" w:rsidRDefault="00002933" w:rsidP="00002933">
      <w:pPr>
        <w:widowControl w:val="0"/>
        <w:ind w:left="1440" w:hanging="1440"/>
      </w:pPr>
      <w:r w:rsidRPr="003B4362">
        <w:t>611.745</w:t>
      </w:r>
      <w:r w:rsidRPr="003B4362">
        <w:tab/>
        <w:t>Reporting and Recordkeeping Requirements</w:t>
      </w:r>
    </w:p>
    <w:p w14:paraId="43424973" w14:textId="77777777" w:rsidR="00BE2797" w:rsidRPr="003B4362" w:rsidRDefault="00BE2797" w:rsidP="00BE2797"/>
    <w:p w14:paraId="27C1F9A7" w14:textId="29AF404B" w:rsidR="00002933" w:rsidRPr="003B4362" w:rsidRDefault="00002933" w:rsidP="00BE2797">
      <w:pPr>
        <w:jc w:val="center"/>
      </w:pPr>
      <w:r w:rsidRPr="003B4362">
        <w:t>SUBPART S:  GROUNDWATER RULE</w:t>
      </w:r>
    </w:p>
    <w:p w14:paraId="2090E30C" w14:textId="77777777" w:rsidR="00BE2797" w:rsidRPr="003B4362" w:rsidRDefault="00BE2797" w:rsidP="00BE2797">
      <w:pPr>
        <w:rPr>
          <w:szCs w:val="16"/>
        </w:rPr>
      </w:pPr>
    </w:p>
    <w:p w14:paraId="579334E9" w14:textId="61089033" w:rsidR="00002933" w:rsidRPr="003B4362" w:rsidRDefault="00002933" w:rsidP="00BE2797">
      <w:r w:rsidRPr="003B4362">
        <w:rPr>
          <w:szCs w:val="16"/>
        </w:rPr>
        <w:t>Section</w:t>
      </w:r>
    </w:p>
    <w:p w14:paraId="4561C628" w14:textId="77777777" w:rsidR="00002933" w:rsidRPr="003B4362" w:rsidRDefault="00002933" w:rsidP="00002933">
      <w:pPr>
        <w:widowControl w:val="0"/>
        <w:ind w:left="1440" w:hanging="1440"/>
        <w:rPr>
          <w:szCs w:val="16"/>
        </w:rPr>
      </w:pPr>
      <w:r w:rsidRPr="003B4362">
        <w:rPr>
          <w:szCs w:val="16"/>
        </w:rPr>
        <w:t>611.800</w:t>
      </w:r>
      <w:r w:rsidRPr="003B4362">
        <w:rPr>
          <w:szCs w:val="16"/>
        </w:rPr>
        <w:tab/>
        <w:t>General Requirements and Applicability</w:t>
      </w:r>
    </w:p>
    <w:p w14:paraId="52FBBB81" w14:textId="77777777" w:rsidR="00002933" w:rsidRPr="003B4362" w:rsidRDefault="00002933" w:rsidP="00002933">
      <w:pPr>
        <w:widowControl w:val="0"/>
        <w:ind w:left="1440" w:hanging="1440"/>
        <w:rPr>
          <w:szCs w:val="16"/>
        </w:rPr>
      </w:pPr>
      <w:r w:rsidRPr="003B4362">
        <w:rPr>
          <w:szCs w:val="16"/>
        </w:rPr>
        <w:t>611.801</w:t>
      </w:r>
      <w:r w:rsidRPr="003B4362">
        <w:rPr>
          <w:szCs w:val="16"/>
        </w:rPr>
        <w:tab/>
        <w:t>Sanitary Surveys for GWS Suppliers</w:t>
      </w:r>
    </w:p>
    <w:p w14:paraId="1E552EF0" w14:textId="77777777" w:rsidR="00002933" w:rsidRPr="003B4362" w:rsidRDefault="00002933" w:rsidP="00002933">
      <w:pPr>
        <w:widowControl w:val="0"/>
        <w:ind w:left="1440" w:hanging="1440"/>
        <w:rPr>
          <w:szCs w:val="16"/>
        </w:rPr>
      </w:pPr>
      <w:r w:rsidRPr="003B4362">
        <w:rPr>
          <w:szCs w:val="16"/>
        </w:rPr>
        <w:t>611.802</w:t>
      </w:r>
      <w:r w:rsidRPr="003B4362">
        <w:rPr>
          <w:szCs w:val="16"/>
        </w:rPr>
        <w:tab/>
        <w:t>Groundwater Source Microbial Monitoring and Analytical Methods</w:t>
      </w:r>
    </w:p>
    <w:p w14:paraId="44F67651" w14:textId="77777777" w:rsidR="00002933" w:rsidRPr="003B4362" w:rsidRDefault="00002933" w:rsidP="00002933">
      <w:pPr>
        <w:widowControl w:val="0"/>
        <w:ind w:left="1440" w:hanging="1440"/>
        <w:rPr>
          <w:szCs w:val="16"/>
        </w:rPr>
      </w:pPr>
      <w:r w:rsidRPr="003B4362">
        <w:rPr>
          <w:szCs w:val="16"/>
        </w:rPr>
        <w:t>611.803</w:t>
      </w:r>
      <w:r w:rsidRPr="003B4362">
        <w:rPr>
          <w:szCs w:val="16"/>
        </w:rPr>
        <w:tab/>
        <w:t>Treatment Technique Requirements for GWS Suppliers</w:t>
      </w:r>
    </w:p>
    <w:p w14:paraId="3E25E60E" w14:textId="77777777" w:rsidR="00002933" w:rsidRPr="003B4362" w:rsidRDefault="00002933" w:rsidP="00002933">
      <w:pPr>
        <w:widowControl w:val="0"/>
        <w:ind w:left="1440" w:hanging="1440"/>
        <w:rPr>
          <w:szCs w:val="16"/>
        </w:rPr>
      </w:pPr>
      <w:r w:rsidRPr="003B4362">
        <w:rPr>
          <w:szCs w:val="16"/>
        </w:rPr>
        <w:t>611.804</w:t>
      </w:r>
      <w:r w:rsidRPr="003B4362">
        <w:rPr>
          <w:szCs w:val="16"/>
        </w:rPr>
        <w:tab/>
        <w:t>Treatment Technique Violations for GWS Suppliers</w:t>
      </w:r>
    </w:p>
    <w:p w14:paraId="4EF77EC0" w14:textId="77777777" w:rsidR="00002933" w:rsidRPr="003B4362" w:rsidRDefault="00002933" w:rsidP="00002933">
      <w:pPr>
        <w:widowControl w:val="0"/>
        <w:ind w:left="1440" w:hanging="1440"/>
        <w:rPr>
          <w:szCs w:val="16"/>
        </w:rPr>
      </w:pPr>
      <w:r w:rsidRPr="003B4362">
        <w:rPr>
          <w:szCs w:val="16"/>
        </w:rPr>
        <w:t>611.805</w:t>
      </w:r>
      <w:r w:rsidRPr="003B4362">
        <w:rPr>
          <w:szCs w:val="16"/>
        </w:rPr>
        <w:tab/>
        <w:t>Reporting and Recordkeeping for GWS Suppliers</w:t>
      </w:r>
    </w:p>
    <w:p w14:paraId="710711BB" w14:textId="77777777" w:rsidR="00BE2797" w:rsidRPr="003B4362" w:rsidRDefault="00BE2797" w:rsidP="00BE2797"/>
    <w:p w14:paraId="07C67986" w14:textId="09B7F38D" w:rsidR="00002933" w:rsidRPr="003B4362" w:rsidRDefault="00002933" w:rsidP="00BE2797">
      <w:pPr>
        <w:jc w:val="center"/>
      </w:pPr>
      <w:r w:rsidRPr="003B4362">
        <w:t>SUBPART T:  REPORTING AND RECORDKEEPING</w:t>
      </w:r>
    </w:p>
    <w:p w14:paraId="32D47009" w14:textId="77777777" w:rsidR="00BE2797" w:rsidRPr="003B4362" w:rsidRDefault="00BE2797" w:rsidP="00BE2797"/>
    <w:p w14:paraId="6430C120" w14:textId="374024E6" w:rsidR="00002933" w:rsidRPr="003B4362" w:rsidRDefault="00002933" w:rsidP="00BE2797">
      <w:r w:rsidRPr="003B4362">
        <w:t>Section</w:t>
      </w:r>
    </w:p>
    <w:p w14:paraId="3D6DD259" w14:textId="77777777" w:rsidR="00002933" w:rsidRPr="003B4362" w:rsidRDefault="00002933" w:rsidP="00002933">
      <w:pPr>
        <w:widowControl w:val="0"/>
        <w:suppressAutoHyphens/>
        <w:ind w:left="1440" w:hanging="1440"/>
        <w:rPr>
          <w:spacing w:val="-3"/>
        </w:rPr>
      </w:pPr>
      <w:r w:rsidRPr="003B4362">
        <w:rPr>
          <w:spacing w:val="-3"/>
        </w:rPr>
        <w:t>611.830</w:t>
      </w:r>
      <w:r w:rsidRPr="003B4362">
        <w:rPr>
          <w:spacing w:val="-3"/>
        </w:rPr>
        <w:tab/>
        <w:t>Applicability</w:t>
      </w:r>
    </w:p>
    <w:p w14:paraId="392B857C" w14:textId="77777777" w:rsidR="00002933" w:rsidRPr="003B4362" w:rsidRDefault="00002933" w:rsidP="00002933">
      <w:pPr>
        <w:widowControl w:val="0"/>
        <w:suppressAutoHyphens/>
        <w:ind w:left="1440" w:hanging="1440"/>
        <w:rPr>
          <w:spacing w:val="-3"/>
        </w:rPr>
      </w:pPr>
      <w:r w:rsidRPr="003B4362">
        <w:rPr>
          <w:spacing w:val="-3"/>
        </w:rPr>
        <w:t>611.831</w:t>
      </w:r>
      <w:r w:rsidRPr="003B4362">
        <w:rPr>
          <w:spacing w:val="-3"/>
        </w:rPr>
        <w:tab/>
        <w:t>Monthly Operating Report (Repealed)</w:t>
      </w:r>
    </w:p>
    <w:p w14:paraId="55ACC821" w14:textId="77777777" w:rsidR="00002933" w:rsidRPr="003B4362" w:rsidRDefault="00002933" w:rsidP="00002933">
      <w:pPr>
        <w:widowControl w:val="0"/>
        <w:suppressAutoHyphens/>
        <w:ind w:left="1440" w:hanging="1440"/>
        <w:rPr>
          <w:spacing w:val="-3"/>
        </w:rPr>
      </w:pPr>
      <w:r w:rsidRPr="003B4362">
        <w:rPr>
          <w:spacing w:val="-3"/>
        </w:rPr>
        <w:t>611.832</w:t>
      </w:r>
      <w:r w:rsidRPr="003B4362">
        <w:rPr>
          <w:spacing w:val="-3"/>
        </w:rPr>
        <w:tab/>
        <w:t>Notice by Agency</w:t>
      </w:r>
      <w:r w:rsidRPr="003B4362">
        <w:t xml:space="preserve"> (Repealed)</w:t>
      </w:r>
    </w:p>
    <w:p w14:paraId="60866AE9" w14:textId="77777777" w:rsidR="00002933" w:rsidRPr="003B4362" w:rsidRDefault="00002933" w:rsidP="00002933">
      <w:pPr>
        <w:widowControl w:val="0"/>
        <w:suppressAutoHyphens/>
        <w:ind w:left="1440" w:hanging="1440"/>
        <w:rPr>
          <w:spacing w:val="-3"/>
        </w:rPr>
      </w:pPr>
      <w:r w:rsidRPr="003B4362">
        <w:rPr>
          <w:spacing w:val="-3"/>
        </w:rPr>
        <w:lastRenderedPageBreak/>
        <w:t>611.833</w:t>
      </w:r>
      <w:r w:rsidRPr="003B4362">
        <w:rPr>
          <w:spacing w:val="-3"/>
        </w:rPr>
        <w:tab/>
        <w:t>Cross Connection Reporting (Repealed)</w:t>
      </w:r>
    </w:p>
    <w:p w14:paraId="1FC04D14" w14:textId="77777777" w:rsidR="00002933" w:rsidRPr="003B4362" w:rsidRDefault="00002933" w:rsidP="00002933">
      <w:pPr>
        <w:widowControl w:val="0"/>
        <w:suppressAutoHyphens/>
        <w:ind w:left="1440" w:hanging="1440"/>
        <w:rPr>
          <w:spacing w:val="-3"/>
        </w:rPr>
      </w:pPr>
      <w:r w:rsidRPr="003B4362">
        <w:rPr>
          <w:spacing w:val="-3"/>
        </w:rPr>
        <w:t>611.840</w:t>
      </w:r>
      <w:r w:rsidRPr="003B4362">
        <w:rPr>
          <w:spacing w:val="-3"/>
        </w:rPr>
        <w:tab/>
        <w:t>Reporting</w:t>
      </w:r>
    </w:p>
    <w:p w14:paraId="2F59C957" w14:textId="77777777" w:rsidR="00002933" w:rsidRPr="003B4362" w:rsidRDefault="00002933" w:rsidP="00002933">
      <w:pPr>
        <w:widowControl w:val="0"/>
        <w:suppressAutoHyphens/>
        <w:ind w:left="1440" w:hanging="1440"/>
        <w:rPr>
          <w:spacing w:val="-3"/>
        </w:rPr>
      </w:pPr>
      <w:r w:rsidRPr="003B4362">
        <w:rPr>
          <w:spacing w:val="-3"/>
        </w:rPr>
        <w:t>611.851</w:t>
      </w:r>
      <w:r w:rsidRPr="003B4362">
        <w:rPr>
          <w:spacing w:val="-3"/>
        </w:rPr>
        <w:tab/>
        <w:t>Reporting MCL</w:t>
      </w:r>
      <w:r w:rsidRPr="003B4362">
        <w:rPr>
          <w:spacing w:val="-2"/>
        </w:rPr>
        <w:t>, MRDL, and</w:t>
      </w:r>
      <w:r w:rsidRPr="003B4362">
        <w:rPr>
          <w:spacing w:val="-3"/>
        </w:rPr>
        <w:t xml:space="preserve"> other Violations</w:t>
      </w:r>
      <w:r w:rsidRPr="003B4362">
        <w:t xml:space="preserve"> (Repealed)</w:t>
      </w:r>
    </w:p>
    <w:p w14:paraId="228DD69D" w14:textId="77777777" w:rsidR="00002933" w:rsidRPr="003B4362" w:rsidRDefault="00002933" w:rsidP="00002933">
      <w:pPr>
        <w:widowControl w:val="0"/>
        <w:suppressAutoHyphens/>
        <w:ind w:left="1440" w:hanging="1440"/>
        <w:rPr>
          <w:spacing w:val="-3"/>
        </w:rPr>
      </w:pPr>
      <w:r w:rsidRPr="003B4362">
        <w:rPr>
          <w:spacing w:val="-3"/>
        </w:rPr>
        <w:t>611.852</w:t>
      </w:r>
      <w:r w:rsidRPr="003B4362">
        <w:rPr>
          <w:spacing w:val="-3"/>
        </w:rPr>
        <w:tab/>
        <w:t>Reporting other Violations</w:t>
      </w:r>
      <w:r w:rsidRPr="003B4362">
        <w:t xml:space="preserve"> (Repealed)</w:t>
      </w:r>
    </w:p>
    <w:p w14:paraId="366F0DDE" w14:textId="77777777" w:rsidR="00002933" w:rsidRPr="003B4362" w:rsidRDefault="00002933" w:rsidP="00002933">
      <w:pPr>
        <w:widowControl w:val="0"/>
        <w:suppressAutoHyphens/>
        <w:ind w:left="1440" w:hanging="1440"/>
        <w:rPr>
          <w:spacing w:val="-3"/>
        </w:rPr>
      </w:pPr>
      <w:r w:rsidRPr="003B4362">
        <w:rPr>
          <w:spacing w:val="-3"/>
        </w:rPr>
        <w:t>611.853</w:t>
      </w:r>
      <w:r w:rsidRPr="003B4362">
        <w:rPr>
          <w:spacing w:val="-3"/>
        </w:rPr>
        <w:tab/>
        <w:t>Notice to New Billing Units</w:t>
      </w:r>
      <w:r w:rsidRPr="003B4362">
        <w:t xml:space="preserve"> (Repealed)</w:t>
      </w:r>
    </w:p>
    <w:p w14:paraId="5D73C667" w14:textId="77777777" w:rsidR="00002933" w:rsidRPr="003B4362" w:rsidRDefault="00002933" w:rsidP="00002933">
      <w:pPr>
        <w:widowControl w:val="0"/>
        <w:suppressAutoHyphens/>
        <w:ind w:left="1440" w:hanging="1440"/>
        <w:rPr>
          <w:spacing w:val="-3"/>
        </w:rPr>
      </w:pPr>
      <w:r w:rsidRPr="003B4362">
        <w:rPr>
          <w:spacing w:val="-3"/>
        </w:rPr>
        <w:t>611.854</w:t>
      </w:r>
      <w:r w:rsidRPr="003B4362">
        <w:rPr>
          <w:spacing w:val="-3"/>
        </w:rPr>
        <w:tab/>
        <w:t>General Content of Public Notice</w:t>
      </w:r>
      <w:r w:rsidRPr="003B4362">
        <w:t xml:space="preserve"> (Repealed)</w:t>
      </w:r>
    </w:p>
    <w:p w14:paraId="3D8F4592" w14:textId="77777777" w:rsidR="00002933" w:rsidRPr="003B4362" w:rsidRDefault="00002933" w:rsidP="00002933">
      <w:pPr>
        <w:widowControl w:val="0"/>
        <w:suppressAutoHyphens/>
        <w:ind w:left="1440" w:hanging="1440"/>
        <w:rPr>
          <w:spacing w:val="-3"/>
        </w:rPr>
      </w:pPr>
      <w:r w:rsidRPr="003B4362">
        <w:rPr>
          <w:spacing w:val="-3"/>
        </w:rPr>
        <w:t>611.855</w:t>
      </w:r>
      <w:r w:rsidRPr="003B4362">
        <w:rPr>
          <w:spacing w:val="-3"/>
        </w:rPr>
        <w:tab/>
        <w:t>Mandatory Health Effects Language</w:t>
      </w:r>
      <w:r w:rsidRPr="003B4362">
        <w:t xml:space="preserve"> (Repealed)</w:t>
      </w:r>
    </w:p>
    <w:p w14:paraId="3C6CB7F3" w14:textId="77777777" w:rsidR="00002933" w:rsidRPr="003B4362" w:rsidRDefault="00002933" w:rsidP="00002933">
      <w:pPr>
        <w:widowControl w:val="0"/>
        <w:suppressAutoHyphens/>
        <w:ind w:left="1440" w:hanging="1440"/>
        <w:rPr>
          <w:spacing w:val="-3"/>
        </w:rPr>
      </w:pPr>
      <w:r w:rsidRPr="003B4362">
        <w:rPr>
          <w:spacing w:val="-3"/>
        </w:rPr>
        <w:t>611.856</w:t>
      </w:r>
      <w:r w:rsidRPr="003B4362">
        <w:rPr>
          <w:spacing w:val="-3"/>
        </w:rPr>
        <w:tab/>
        <w:t>Fluoride Notice</w:t>
      </w:r>
      <w:r w:rsidRPr="003B4362">
        <w:t xml:space="preserve"> (Repealed)</w:t>
      </w:r>
    </w:p>
    <w:p w14:paraId="31D9AAD0" w14:textId="77777777" w:rsidR="00002933" w:rsidRPr="003B4362" w:rsidRDefault="00002933" w:rsidP="00002933">
      <w:pPr>
        <w:widowControl w:val="0"/>
        <w:suppressAutoHyphens/>
        <w:ind w:left="1440" w:hanging="1440"/>
        <w:rPr>
          <w:spacing w:val="-3"/>
        </w:rPr>
      </w:pPr>
      <w:r w:rsidRPr="003B4362">
        <w:rPr>
          <w:spacing w:val="-3"/>
        </w:rPr>
        <w:t>611.858</w:t>
      </w:r>
      <w:r w:rsidRPr="003B4362">
        <w:rPr>
          <w:spacing w:val="-3"/>
        </w:rPr>
        <w:tab/>
        <w:t>Fluoride Secondary Standard</w:t>
      </w:r>
      <w:r w:rsidRPr="003B4362">
        <w:t xml:space="preserve"> (Repealed)</w:t>
      </w:r>
    </w:p>
    <w:p w14:paraId="067AB69F" w14:textId="77777777" w:rsidR="00002933" w:rsidRPr="003B4362" w:rsidRDefault="00002933" w:rsidP="00002933">
      <w:pPr>
        <w:widowControl w:val="0"/>
        <w:suppressAutoHyphens/>
        <w:ind w:left="1440" w:hanging="1440"/>
        <w:rPr>
          <w:spacing w:val="-3"/>
        </w:rPr>
      </w:pPr>
      <w:r w:rsidRPr="003B4362">
        <w:rPr>
          <w:spacing w:val="-3"/>
        </w:rPr>
        <w:t>611.860</w:t>
      </w:r>
      <w:r w:rsidRPr="003B4362">
        <w:rPr>
          <w:spacing w:val="-3"/>
        </w:rPr>
        <w:tab/>
        <w:t>Record Maintenance</w:t>
      </w:r>
    </w:p>
    <w:p w14:paraId="2CBCA90F" w14:textId="77777777" w:rsidR="00002933" w:rsidRPr="003B4362" w:rsidRDefault="00002933" w:rsidP="00002933">
      <w:pPr>
        <w:widowControl w:val="0"/>
        <w:ind w:left="1440" w:hanging="1440"/>
        <w:rPr>
          <w:spacing w:val="-3"/>
        </w:rPr>
      </w:pPr>
      <w:r w:rsidRPr="003B4362">
        <w:rPr>
          <w:spacing w:val="-3"/>
        </w:rPr>
        <w:t>611.870</w:t>
      </w:r>
      <w:r w:rsidRPr="003B4362">
        <w:rPr>
          <w:spacing w:val="-3"/>
        </w:rPr>
        <w:tab/>
        <w:t>List of 36 Contaminants</w:t>
      </w:r>
      <w:r w:rsidRPr="003B4362">
        <w:t xml:space="preserve"> (Repealed)</w:t>
      </w:r>
    </w:p>
    <w:p w14:paraId="5351F01C" w14:textId="77777777" w:rsidR="00BE2797" w:rsidRPr="003B4362" w:rsidRDefault="00BE2797" w:rsidP="00BE2797"/>
    <w:p w14:paraId="5CAE803C" w14:textId="54F4EDC1" w:rsidR="00002933" w:rsidRPr="003B4362" w:rsidRDefault="00002933" w:rsidP="00BE2797">
      <w:pPr>
        <w:jc w:val="center"/>
      </w:pPr>
      <w:r w:rsidRPr="003B4362">
        <w:t>SUBPART U:  CONSUMER CONFIDENCE REPORTS</w:t>
      </w:r>
    </w:p>
    <w:p w14:paraId="73BF7769" w14:textId="77777777" w:rsidR="00BE2797" w:rsidRPr="003B4362" w:rsidRDefault="00BE2797" w:rsidP="00BE2797"/>
    <w:p w14:paraId="2D7A6B32" w14:textId="09754AB3" w:rsidR="00002933" w:rsidRPr="003B4362" w:rsidRDefault="00002933" w:rsidP="00BE2797">
      <w:r w:rsidRPr="003B4362">
        <w:t>Section</w:t>
      </w:r>
    </w:p>
    <w:p w14:paraId="4C6F1822" w14:textId="77777777" w:rsidR="00002933" w:rsidRPr="003B4362" w:rsidRDefault="00002933" w:rsidP="00002933">
      <w:pPr>
        <w:widowControl w:val="0"/>
        <w:suppressAutoHyphens/>
        <w:ind w:left="1440" w:hanging="1440"/>
        <w:rPr>
          <w:spacing w:val="-2"/>
        </w:rPr>
      </w:pPr>
      <w:r w:rsidRPr="003B4362">
        <w:rPr>
          <w:spacing w:val="-2"/>
        </w:rPr>
        <w:t>611.881</w:t>
      </w:r>
      <w:r w:rsidRPr="003B4362">
        <w:rPr>
          <w:spacing w:val="-2"/>
        </w:rPr>
        <w:tab/>
        <w:t>Purpose and Applicability</w:t>
      </w:r>
    </w:p>
    <w:p w14:paraId="5CFDA851" w14:textId="77777777" w:rsidR="00002933" w:rsidRPr="003B4362" w:rsidRDefault="00002933" w:rsidP="00002933">
      <w:pPr>
        <w:widowControl w:val="0"/>
        <w:suppressAutoHyphens/>
        <w:ind w:left="1440" w:hanging="1440"/>
        <w:rPr>
          <w:spacing w:val="-2"/>
        </w:rPr>
      </w:pPr>
      <w:r w:rsidRPr="003B4362">
        <w:rPr>
          <w:spacing w:val="-2"/>
        </w:rPr>
        <w:t>611.882</w:t>
      </w:r>
      <w:r w:rsidRPr="003B4362">
        <w:rPr>
          <w:spacing w:val="-2"/>
        </w:rPr>
        <w:tab/>
        <w:t>Compliance Dates</w:t>
      </w:r>
    </w:p>
    <w:p w14:paraId="0A2F0EB6" w14:textId="77777777" w:rsidR="00002933" w:rsidRPr="003B4362" w:rsidRDefault="00002933" w:rsidP="00002933">
      <w:pPr>
        <w:widowControl w:val="0"/>
        <w:suppressAutoHyphens/>
        <w:ind w:left="1440" w:hanging="1440"/>
        <w:rPr>
          <w:spacing w:val="-2"/>
        </w:rPr>
      </w:pPr>
      <w:r w:rsidRPr="003B4362">
        <w:rPr>
          <w:spacing w:val="-2"/>
        </w:rPr>
        <w:t>611.883</w:t>
      </w:r>
      <w:r w:rsidRPr="003B4362">
        <w:rPr>
          <w:spacing w:val="-2"/>
        </w:rPr>
        <w:tab/>
        <w:t>Content of the Reports</w:t>
      </w:r>
    </w:p>
    <w:p w14:paraId="4A540314" w14:textId="77777777" w:rsidR="00002933" w:rsidRPr="003B4362" w:rsidRDefault="00002933" w:rsidP="00002933">
      <w:pPr>
        <w:widowControl w:val="0"/>
        <w:suppressAutoHyphens/>
        <w:ind w:left="1440" w:hanging="1440"/>
        <w:rPr>
          <w:spacing w:val="-2"/>
        </w:rPr>
      </w:pPr>
      <w:r w:rsidRPr="003B4362">
        <w:rPr>
          <w:spacing w:val="-2"/>
        </w:rPr>
        <w:t>611.884</w:t>
      </w:r>
      <w:r w:rsidRPr="003B4362">
        <w:rPr>
          <w:spacing w:val="-2"/>
        </w:rPr>
        <w:tab/>
        <w:t>Required Additional Health Information</w:t>
      </w:r>
    </w:p>
    <w:p w14:paraId="1407017E" w14:textId="77777777" w:rsidR="00002933" w:rsidRPr="003B4362" w:rsidRDefault="00002933" w:rsidP="00002933">
      <w:pPr>
        <w:widowControl w:val="0"/>
        <w:ind w:left="1440" w:hanging="1440"/>
        <w:rPr>
          <w:spacing w:val="-2"/>
        </w:rPr>
      </w:pPr>
      <w:r w:rsidRPr="003B4362">
        <w:rPr>
          <w:spacing w:val="-2"/>
        </w:rPr>
        <w:t>611.885</w:t>
      </w:r>
      <w:r w:rsidRPr="003B4362">
        <w:rPr>
          <w:spacing w:val="-2"/>
        </w:rPr>
        <w:tab/>
        <w:t>Report Delivery and Recordkeeping</w:t>
      </w:r>
    </w:p>
    <w:p w14:paraId="6BAE7ECE" w14:textId="77777777" w:rsidR="00BE2797" w:rsidRPr="003B4362" w:rsidRDefault="00BE2797" w:rsidP="00BE2797"/>
    <w:p w14:paraId="6BD0EF79" w14:textId="70C90AC1" w:rsidR="00002933" w:rsidRPr="003B4362" w:rsidRDefault="00002933" w:rsidP="00BE2797">
      <w:pPr>
        <w:jc w:val="center"/>
      </w:pPr>
      <w:r w:rsidRPr="003B4362">
        <w:t>SUBPART V:  PUBLIC NOTIFICATION OF DRINKING WATER VIOLATIONS</w:t>
      </w:r>
    </w:p>
    <w:p w14:paraId="5973782E" w14:textId="77777777" w:rsidR="00BE2797" w:rsidRPr="003B4362" w:rsidRDefault="00BE2797" w:rsidP="00BE2797"/>
    <w:p w14:paraId="497FF7B5" w14:textId="204385DF" w:rsidR="00002933" w:rsidRPr="003B4362" w:rsidRDefault="00002933" w:rsidP="00BE2797">
      <w:r w:rsidRPr="003B4362">
        <w:t>Section</w:t>
      </w:r>
    </w:p>
    <w:p w14:paraId="4D4EB33E" w14:textId="77777777" w:rsidR="00002933" w:rsidRPr="003B4362" w:rsidRDefault="00002933" w:rsidP="00002933">
      <w:pPr>
        <w:widowControl w:val="0"/>
        <w:ind w:left="1440" w:hanging="1440"/>
      </w:pPr>
      <w:r w:rsidRPr="003B4362">
        <w:t>611.901</w:t>
      </w:r>
      <w:r w:rsidRPr="003B4362">
        <w:tab/>
        <w:t>General Public Notification Requirements</w:t>
      </w:r>
    </w:p>
    <w:p w14:paraId="5F3F3F38" w14:textId="77777777" w:rsidR="00002933" w:rsidRPr="003B4362" w:rsidRDefault="00002933" w:rsidP="00002933">
      <w:pPr>
        <w:widowControl w:val="0"/>
        <w:ind w:left="1440" w:hanging="1440"/>
      </w:pPr>
      <w:r w:rsidRPr="003B4362">
        <w:t>611.902</w:t>
      </w:r>
      <w:r w:rsidRPr="003B4362">
        <w:tab/>
        <w:t>Tier 1 Public Notice:  Form, Manner, and Frequency of Notice</w:t>
      </w:r>
    </w:p>
    <w:p w14:paraId="18691E30" w14:textId="77777777" w:rsidR="00002933" w:rsidRPr="003B4362" w:rsidRDefault="00002933" w:rsidP="00002933">
      <w:pPr>
        <w:widowControl w:val="0"/>
        <w:ind w:left="1440" w:hanging="1440"/>
      </w:pPr>
      <w:r w:rsidRPr="003B4362">
        <w:t>611.903</w:t>
      </w:r>
      <w:r w:rsidRPr="003B4362">
        <w:tab/>
        <w:t>Tier 2 Public Notice:  Form, Manner, and Frequency of Notice</w:t>
      </w:r>
    </w:p>
    <w:p w14:paraId="13B7DEEC" w14:textId="77777777" w:rsidR="00002933" w:rsidRPr="003B4362" w:rsidRDefault="00002933" w:rsidP="00002933">
      <w:pPr>
        <w:widowControl w:val="0"/>
        <w:ind w:left="1440" w:hanging="1440"/>
      </w:pPr>
      <w:r w:rsidRPr="003B4362">
        <w:t>611.904</w:t>
      </w:r>
      <w:r w:rsidRPr="003B4362">
        <w:tab/>
        <w:t>Tier 3 Public Notice:  Form, Manner, and Frequency of Notice</w:t>
      </w:r>
    </w:p>
    <w:p w14:paraId="0FEFC227" w14:textId="77777777" w:rsidR="00002933" w:rsidRPr="003B4362" w:rsidRDefault="00002933" w:rsidP="00002933">
      <w:pPr>
        <w:widowControl w:val="0"/>
        <w:ind w:left="1440" w:hanging="1440"/>
      </w:pPr>
      <w:r w:rsidRPr="003B4362">
        <w:t>611.905</w:t>
      </w:r>
      <w:r w:rsidRPr="003B4362">
        <w:tab/>
        <w:t>Content of the Public Notice</w:t>
      </w:r>
    </w:p>
    <w:p w14:paraId="7BF81167" w14:textId="77777777" w:rsidR="00002933" w:rsidRPr="003B4362" w:rsidRDefault="00002933" w:rsidP="00002933">
      <w:pPr>
        <w:widowControl w:val="0"/>
        <w:ind w:left="1440" w:hanging="1440"/>
      </w:pPr>
      <w:r w:rsidRPr="003B4362">
        <w:t>611.906</w:t>
      </w:r>
      <w:r w:rsidRPr="003B4362">
        <w:tab/>
        <w:t>Notice to New Billing Units or New Customers</w:t>
      </w:r>
    </w:p>
    <w:p w14:paraId="76C0A84E" w14:textId="77777777" w:rsidR="00002933" w:rsidRPr="003B4362" w:rsidRDefault="00002933" w:rsidP="00002933">
      <w:pPr>
        <w:widowControl w:val="0"/>
        <w:ind w:left="1440" w:hanging="1440"/>
      </w:pPr>
      <w:r w:rsidRPr="003B4362">
        <w:t>611.907</w:t>
      </w:r>
      <w:r w:rsidRPr="003B4362">
        <w:tab/>
        <w:t>Special Notice of the Availability of Unregulated Contaminant Monitoring Results</w:t>
      </w:r>
    </w:p>
    <w:p w14:paraId="5805BD55" w14:textId="77777777" w:rsidR="00002933" w:rsidRPr="003B4362" w:rsidRDefault="00002933" w:rsidP="00002933">
      <w:pPr>
        <w:widowControl w:val="0"/>
        <w:ind w:left="1440" w:hanging="1440"/>
      </w:pPr>
      <w:r w:rsidRPr="003B4362">
        <w:t>611.908</w:t>
      </w:r>
      <w:r w:rsidRPr="003B4362">
        <w:tab/>
        <w:t>Special Notice for Exceedance of the Fluoride Secondary Standard</w:t>
      </w:r>
    </w:p>
    <w:p w14:paraId="6F3D4F9A" w14:textId="77777777" w:rsidR="00002933" w:rsidRPr="003B4362" w:rsidRDefault="00002933" w:rsidP="00002933">
      <w:pPr>
        <w:widowControl w:val="0"/>
        <w:ind w:left="1440" w:hanging="1440"/>
      </w:pPr>
      <w:r w:rsidRPr="003B4362">
        <w:t>611.909</w:t>
      </w:r>
      <w:r w:rsidRPr="003B4362">
        <w:tab/>
        <w:t>Special Notice for Nitrate Exceedances above the MCL by a Non-Community Water System</w:t>
      </w:r>
    </w:p>
    <w:p w14:paraId="1E23AC1A" w14:textId="77777777" w:rsidR="00002933" w:rsidRPr="003B4362" w:rsidRDefault="00002933" w:rsidP="00002933">
      <w:pPr>
        <w:widowControl w:val="0"/>
        <w:ind w:left="1440" w:hanging="1440"/>
      </w:pPr>
      <w:r w:rsidRPr="003B4362">
        <w:t>611.910</w:t>
      </w:r>
      <w:r w:rsidRPr="003B4362">
        <w:tab/>
        <w:t>Notice by the Agency on Behalf of a PWS</w:t>
      </w:r>
    </w:p>
    <w:p w14:paraId="598E1D50" w14:textId="77777777" w:rsidR="00002933" w:rsidRPr="003B4362" w:rsidRDefault="00002933" w:rsidP="00002933">
      <w:pPr>
        <w:widowControl w:val="0"/>
        <w:ind w:left="1440" w:hanging="1440"/>
        <w:rPr>
          <w:szCs w:val="16"/>
        </w:rPr>
      </w:pPr>
      <w:r w:rsidRPr="003B4362">
        <w:rPr>
          <w:szCs w:val="16"/>
        </w:rPr>
        <w:t>611.911</w:t>
      </w:r>
      <w:r w:rsidRPr="003B4362">
        <w:rPr>
          <w:szCs w:val="16"/>
        </w:rPr>
        <w:tab/>
        <w:t>Special Notice for Cryptosporidium</w:t>
      </w:r>
    </w:p>
    <w:p w14:paraId="4E37FB3D" w14:textId="77777777" w:rsidR="00BE2797" w:rsidRPr="003B4362" w:rsidRDefault="00BE2797" w:rsidP="00BE2797"/>
    <w:p w14:paraId="3C0764EC" w14:textId="1DAE9933" w:rsidR="00002933" w:rsidRPr="003B4362" w:rsidRDefault="00002933" w:rsidP="00BE2797">
      <w:pPr>
        <w:jc w:val="center"/>
      </w:pPr>
      <w:r w:rsidRPr="003B4362">
        <w:t>SUBPART W:  INITIAL DISTRIBUTION SYSTEM EVALUATIONS</w:t>
      </w:r>
    </w:p>
    <w:p w14:paraId="3AB8F6E3" w14:textId="77777777" w:rsidR="00BE2797" w:rsidRPr="003B4362" w:rsidRDefault="00BE2797" w:rsidP="00BE2797"/>
    <w:p w14:paraId="02B789EE" w14:textId="54AE3876" w:rsidR="00002933" w:rsidRPr="003B4362" w:rsidRDefault="00002933" w:rsidP="00BE2797">
      <w:r w:rsidRPr="003B4362">
        <w:t>Section</w:t>
      </w:r>
    </w:p>
    <w:p w14:paraId="56331AEB" w14:textId="77777777" w:rsidR="00002933" w:rsidRPr="003B4362" w:rsidRDefault="00002933" w:rsidP="00002933">
      <w:pPr>
        <w:widowControl w:val="0"/>
        <w:ind w:left="1440" w:hanging="1440"/>
      </w:pPr>
      <w:r w:rsidRPr="003B4362">
        <w:t>611.920</w:t>
      </w:r>
      <w:r w:rsidRPr="003B4362">
        <w:tab/>
        <w:t>General Requirements</w:t>
      </w:r>
    </w:p>
    <w:p w14:paraId="019C90B4" w14:textId="77777777" w:rsidR="00002933" w:rsidRPr="003B4362" w:rsidRDefault="00002933" w:rsidP="00002933">
      <w:pPr>
        <w:widowControl w:val="0"/>
        <w:ind w:left="1440" w:hanging="1440"/>
      </w:pPr>
      <w:r w:rsidRPr="003B4362">
        <w:t>611.921</w:t>
      </w:r>
      <w:r w:rsidRPr="003B4362">
        <w:tab/>
        <w:t>Standard Monitoring</w:t>
      </w:r>
    </w:p>
    <w:p w14:paraId="6E680003" w14:textId="77777777" w:rsidR="00002933" w:rsidRPr="003B4362" w:rsidRDefault="00002933" w:rsidP="00002933">
      <w:pPr>
        <w:widowControl w:val="0"/>
        <w:ind w:left="1440" w:hanging="1440"/>
      </w:pPr>
      <w:r w:rsidRPr="003B4362">
        <w:t>611.922</w:t>
      </w:r>
      <w:r w:rsidRPr="003B4362">
        <w:tab/>
      </w:r>
      <w:r w:rsidRPr="003B4362">
        <w:rPr>
          <w:szCs w:val="18"/>
        </w:rPr>
        <w:t>System-Specific</w:t>
      </w:r>
      <w:r w:rsidRPr="003B4362">
        <w:t xml:space="preserve"> Studies</w:t>
      </w:r>
    </w:p>
    <w:p w14:paraId="26D55CE4" w14:textId="77777777" w:rsidR="00002933" w:rsidRPr="003B4362" w:rsidRDefault="00002933" w:rsidP="00002933">
      <w:pPr>
        <w:widowControl w:val="0"/>
        <w:ind w:left="1440" w:hanging="1440"/>
      </w:pPr>
      <w:r w:rsidRPr="003B4362">
        <w:t>611.923</w:t>
      </w:r>
      <w:r w:rsidRPr="003B4362">
        <w:tab/>
        <w:t>40/30 Certification</w:t>
      </w:r>
    </w:p>
    <w:p w14:paraId="62596820" w14:textId="77777777" w:rsidR="00002933" w:rsidRPr="003B4362" w:rsidRDefault="00002933" w:rsidP="00002933">
      <w:pPr>
        <w:widowControl w:val="0"/>
        <w:ind w:left="1440" w:hanging="1440"/>
      </w:pPr>
      <w:r w:rsidRPr="003B4362">
        <w:lastRenderedPageBreak/>
        <w:t>611.924</w:t>
      </w:r>
      <w:r w:rsidRPr="003B4362">
        <w:tab/>
        <w:t>Very Small System Waivers</w:t>
      </w:r>
    </w:p>
    <w:p w14:paraId="1AFC708A" w14:textId="77777777" w:rsidR="00002933" w:rsidRPr="003B4362" w:rsidRDefault="00002933" w:rsidP="00002933">
      <w:pPr>
        <w:widowControl w:val="0"/>
        <w:ind w:left="1440" w:hanging="1440"/>
      </w:pPr>
      <w:r w:rsidRPr="003B4362">
        <w:t>611.925</w:t>
      </w:r>
      <w:r w:rsidRPr="003B4362">
        <w:tab/>
        <w:t>Subpart Y Compliance Monitoring Location Recommendations</w:t>
      </w:r>
    </w:p>
    <w:p w14:paraId="3BB9CAA3" w14:textId="77777777" w:rsidR="00BE2797" w:rsidRPr="003B4362" w:rsidRDefault="00BE2797" w:rsidP="00BE2797"/>
    <w:p w14:paraId="61761A99" w14:textId="067A3470" w:rsidR="00002933" w:rsidRPr="003B4362" w:rsidRDefault="00002933" w:rsidP="00BE2797">
      <w:pPr>
        <w:jc w:val="center"/>
      </w:pPr>
      <w:r w:rsidRPr="003B4362">
        <w:t>SUBPART X:  ENHANCED FILTRATION AND DISINFECTION –</w:t>
      </w:r>
    </w:p>
    <w:p w14:paraId="0AE74FD4" w14:textId="77777777" w:rsidR="00002933" w:rsidRPr="003B4362" w:rsidRDefault="00002933" w:rsidP="00BE2797">
      <w:pPr>
        <w:jc w:val="center"/>
      </w:pPr>
      <w:r w:rsidRPr="003B4362">
        <w:t>SYSTEMS SERVING FEWER THAN 10,000 PEOPLE</w:t>
      </w:r>
    </w:p>
    <w:p w14:paraId="4328921D" w14:textId="77777777" w:rsidR="00BE2797" w:rsidRPr="003B4362" w:rsidRDefault="00BE2797" w:rsidP="00BE2797"/>
    <w:p w14:paraId="66EE2F3C" w14:textId="619F9BCA" w:rsidR="00002933" w:rsidRPr="003B4362" w:rsidRDefault="00002933" w:rsidP="00BE2797">
      <w:r w:rsidRPr="003B4362">
        <w:t>Section</w:t>
      </w:r>
    </w:p>
    <w:p w14:paraId="5A970BFA" w14:textId="77777777" w:rsidR="00002933" w:rsidRPr="003B4362" w:rsidRDefault="00002933" w:rsidP="00002933">
      <w:pPr>
        <w:widowControl w:val="0"/>
        <w:ind w:left="1440" w:hanging="1440"/>
      </w:pPr>
      <w:r w:rsidRPr="003B4362">
        <w:t>611.950</w:t>
      </w:r>
      <w:r w:rsidRPr="003B4362">
        <w:tab/>
        <w:t>General Requirements</w:t>
      </w:r>
    </w:p>
    <w:p w14:paraId="6FB36756" w14:textId="77777777" w:rsidR="00002933" w:rsidRPr="003B4362" w:rsidRDefault="00002933" w:rsidP="00002933">
      <w:pPr>
        <w:widowControl w:val="0"/>
        <w:ind w:left="1440" w:hanging="1440"/>
      </w:pPr>
      <w:r w:rsidRPr="003B4362">
        <w:t>611.951</w:t>
      </w:r>
      <w:r w:rsidRPr="003B4362">
        <w:tab/>
        <w:t>Finished Water Reservoirs</w:t>
      </w:r>
    </w:p>
    <w:p w14:paraId="50902F33" w14:textId="77777777" w:rsidR="00002933" w:rsidRPr="003B4362" w:rsidRDefault="00002933" w:rsidP="00002933">
      <w:pPr>
        <w:widowControl w:val="0"/>
        <w:ind w:left="1440" w:hanging="1440"/>
      </w:pPr>
      <w:r w:rsidRPr="003B4362">
        <w:t>611.952</w:t>
      </w:r>
      <w:r w:rsidRPr="003B4362">
        <w:tab/>
        <w:t>Additional Watershed Control Requirements for Unfiltered Systems</w:t>
      </w:r>
    </w:p>
    <w:p w14:paraId="466F932A" w14:textId="77777777" w:rsidR="00002933" w:rsidRPr="003B4362" w:rsidRDefault="00002933" w:rsidP="00002933">
      <w:pPr>
        <w:widowControl w:val="0"/>
        <w:ind w:left="1440" w:hanging="1440"/>
      </w:pPr>
      <w:r w:rsidRPr="003B4362">
        <w:t>611.953</w:t>
      </w:r>
      <w:r w:rsidRPr="003B4362">
        <w:tab/>
        <w:t>Disinfection Profile</w:t>
      </w:r>
    </w:p>
    <w:p w14:paraId="416D91B7" w14:textId="77777777" w:rsidR="00002933" w:rsidRPr="003B4362" w:rsidRDefault="00002933" w:rsidP="00002933">
      <w:pPr>
        <w:widowControl w:val="0"/>
        <w:ind w:left="1440" w:hanging="1440"/>
      </w:pPr>
      <w:r w:rsidRPr="003B4362">
        <w:t>611.954</w:t>
      </w:r>
      <w:r w:rsidRPr="003B4362">
        <w:tab/>
        <w:t>Disinfection Benchmark</w:t>
      </w:r>
    </w:p>
    <w:p w14:paraId="237C030E" w14:textId="77777777" w:rsidR="00002933" w:rsidRPr="003B4362" w:rsidRDefault="00002933" w:rsidP="00002933">
      <w:pPr>
        <w:widowControl w:val="0"/>
        <w:ind w:left="1440" w:hanging="1440"/>
      </w:pPr>
      <w:r w:rsidRPr="003B4362">
        <w:t>611.955</w:t>
      </w:r>
      <w:r w:rsidRPr="003B4362">
        <w:tab/>
        <w:t>Combined Filter Effluent Turbidity Limits</w:t>
      </w:r>
    </w:p>
    <w:p w14:paraId="678E074D" w14:textId="77777777" w:rsidR="00002933" w:rsidRPr="003B4362" w:rsidRDefault="00002933" w:rsidP="00002933">
      <w:pPr>
        <w:widowControl w:val="0"/>
        <w:ind w:left="1440" w:hanging="1440"/>
      </w:pPr>
      <w:r w:rsidRPr="003B4362">
        <w:t>611.956</w:t>
      </w:r>
      <w:r w:rsidRPr="003B4362">
        <w:tab/>
        <w:t>Individual Filter Turbidity Requirements</w:t>
      </w:r>
    </w:p>
    <w:p w14:paraId="4EBAFF4C" w14:textId="77777777" w:rsidR="00002933" w:rsidRPr="003B4362" w:rsidRDefault="00002933" w:rsidP="00002933">
      <w:pPr>
        <w:widowControl w:val="0"/>
        <w:ind w:left="1440" w:hanging="1440"/>
      </w:pPr>
      <w:r w:rsidRPr="003B4362">
        <w:t>611.957</w:t>
      </w:r>
      <w:r w:rsidRPr="003B4362">
        <w:tab/>
        <w:t>Reporting and Recordkeeping Requirements</w:t>
      </w:r>
    </w:p>
    <w:p w14:paraId="104FEE78" w14:textId="77777777" w:rsidR="00BE2797" w:rsidRPr="003B4362" w:rsidRDefault="00BE2797" w:rsidP="00BE2797"/>
    <w:p w14:paraId="76E0D6C8" w14:textId="5243DBB1" w:rsidR="00002933" w:rsidRPr="003B4362" w:rsidRDefault="00002933" w:rsidP="00BE2797">
      <w:pPr>
        <w:jc w:val="center"/>
      </w:pPr>
      <w:r w:rsidRPr="003B4362">
        <w:t>SUBPART Y:  STAGE 2 DISINFECTION BYPRODUCTS REQUIREMENTS</w:t>
      </w:r>
    </w:p>
    <w:p w14:paraId="67872B1F" w14:textId="77777777" w:rsidR="00BE2797" w:rsidRPr="003B4362" w:rsidRDefault="00BE2797" w:rsidP="00BE2797"/>
    <w:p w14:paraId="2A9C9E22" w14:textId="657C2AE9" w:rsidR="00002933" w:rsidRPr="003B4362" w:rsidRDefault="00002933" w:rsidP="00BE2797">
      <w:r w:rsidRPr="003B4362">
        <w:t>Section</w:t>
      </w:r>
    </w:p>
    <w:p w14:paraId="556B5258" w14:textId="77777777" w:rsidR="00002933" w:rsidRPr="003B4362" w:rsidRDefault="00002933" w:rsidP="00002933">
      <w:pPr>
        <w:widowControl w:val="0"/>
        <w:ind w:left="1440" w:hanging="1440"/>
      </w:pPr>
      <w:r w:rsidRPr="003B4362">
        <w:t>611.970</w:t>
      </w:r>
      <w:r w:rsidRPr="003B4362">
        <w:tab/>
        <w:t>General Requirements</w:t>
      </w:r>
    </w:p>
    <w:p w14:paraId="1142EB90" w14:textId="77777777" w:rsidR="00002933" w:rsidRPr="003B4362" w:rsidRDefault="00002933" w:rsidP="00002933">
      <w:pPr>
        <w:widowControl w:val="0"/>
        <w:ind w:left="1440" w:hanging="1440"/>
      </w:pPr>
      <w:r w:rsidRPr="003B4362">
        <w:t>611.971</w:t>
      </w:r>
      <w:r w:rsidRPr="003B4362">
        <w:tab/>
        <w:t>Routine Monitoring</w:t>
      </w:r>
    </w:p>
    <w:p w14:paraId="4F53B4E0" w14:textId="77777777" w:rsidR="00002933" w:rsidRPr="003B4362" w:rsidRDefault="00002933" w:rsidP="00002933">
      <w:pPr>
        <w:widowControl w:val="0"/>
        <w:ind w:left="1440" w:hanging="1440"/>
      </w:pPr>
      <w:r w:rsidRPr="003B4362">
        <w:t>611.972</w:t>
      </w:r>
      <w:r w:rsidRPr="003B4362">
        <w:tab/>
        <w:t>Subpart Y Monitoring Plan</w:t>
      </w:r>
    </w:p>
    <w:p w14:paraId="594ECCBD" w14:textId="77777777" w:rsidR="00002933" w:rsidRPr="003B4362" w:rsidRDefault="00002933" w:rsidP="00002933">
      <w:pPr>
        <w:widowControl w:val="0"/>
        <w:ind w:left="1440" w:hanging="1440"/>
      </w:pPr>
      <w:r w:rsidRPr="003B4362">
        <w:t>611.973</w:t>
      </w:r>
      <w:r w:rsidRPr="003B4362">
        <w:tab/>
        <w:t>Reduced Monitoring</w:t>
      </w:r>
    </w:p>
    <w:p w14:paraId="3F1166EC" w14:textId="77777777" w:rsidR="00002933" w:rsidRPr="003B4362" w:rsidRDefault="00002933" w:rsidP="00002933">
      <w:pPr>
        <w:widowControl w:val="0"/>
        <w:ind w:left="1440" w:hanging="1440"/>
      </w:pPr>
      <w:r w:rsidRPr="003B4362">
        <w:t>611.974</w:t>
      </w:r>
      <w:r w:rsidRPr="003B4362">
        <w:tab/>
        <w:t>Additional Requirements for Consecutive Systems</w:t>
      </w:r>
    </w:p>
    <w:p w14:paraId="19A633AB" w14:textId="77777777" w:rsidR="00002933" w:rsidRPr="003B4362" w:rsidRDefault="00002933" w:rsidP="00002933">
      <w:pPr>
        <w:widowControl w:val="0"/>
        <w:ind w:left="1440" w:hanging="1440"/>
      </w:pPr>
      <w:r w:rsidRPr="003B4362">
        <w:t>611.975</w:t>
      </w:r>
      <w:r w:rsidRPr="003B4362">
        <w:tab/>
        <w:t>Conditions Requiring Increased Monitoring</w:t>
      </w:r>
    </w:p>
    <w:p w14:paraId="1818E8FC" w14:textId="77777777" w:rsidR="00002933" w:rsidRPr="003B4362" w:rsidRDefault="00002933" w:rsidP="00002933">
      <w:pPr>
        <w:widowControl w:val="0"/>
        <w:ind w:left="1440" w:hanging="1440"/>
      </w:pPr>
      <w:r w:rsidRPr="003B4362">
        <w:t>611.976</w:t>
      </w:r>
      <w:r w:rsidRPr="003B4362">
        <w:tab/>
        <w:t>Operational Evaluation Levels</w:t>
      </w:r>
    </w:p>
    <w:p w14:paraId="0EAED86D" w14:textId="77777777" w:rsidR="00002933" w:rsidRPr="003B4362" w:rsidRDefault="00002933" w:rsidP="00002933">
      <w:pPr>
        <w:widowControl w:val="0"/>
        <w:ind w:left="1440" w:hanging="1440"/>
      </w:pPr>
      <w:r w:rsidRPr="003B4362">
        <w:t>611.977</w:t>
      </w:r>
      <w:r w:rsidRPr="003B4362">
        <w:tab/>
        <w:t xml:space="preserve">Requirements for Remaining on Reduced TTHM and HAA5 Monitoring Based on </w:t>
      </w:r>
      <w:r w:rsidRPr="003B4362">
        <w:rPr>
          <w:szCs w:val="18"/>
        </w:rPr>
        <w:t>Subpart I</w:t>
      </w:r>
      <w:r w:rsidRPr="003B4362">
        <w:t xml:space="preserve"> Results</w:t>
      </w:r>
    </w:p>
    <w:p w14:paraId="64B18F02" w14:textId="77777777" w:rsidR="00002933" w:rsidRPr="003B4362" w:rsidRDefault="00002933" w:rsidP="00002933">
      <w:pPr>
        <w:widowControl w:val="0"/>
        <w:ind w:left="1440" w:hanging="1440"/>
      </w:pPr>
      <w:r w:rsidRPr="003B4362">
        <w:t>611.978</w:t>
      </w:r>
      <w:r w:rsidRPr="003B4362">
        <w:tab/>
        <w:t xml:space="preserve">Requirements for Remaining on Increased TTHM and HAA5 Monitoring Based on </w:t>
      </w:r>
      <w:r w:rsidRPr="003B4362">
        <w:rPr>
          <w:szCs w:val="18"/>
        </w:rPr>
        <w:t>Subpart I</w:t>
      </w:r>
      <w:r w:rsidRPr="003B4362">
        <w:t xml:space="preserve"> Results</w:t>
      </w:r>
    </w:p>
    <w:p w14:paraId="0AC82F86" w14:textId="77777777" w:rsidR="00002933" w:rsidRPr="003B4362" w:rsidRDefault="00002933" w:rsidP="00002933">
      <w:pPr>
        <w:widowControl w:val="0"/>
        <w:ind w:left="1440" w:hanging="1440"/>
      </w:pPr>
      <w:r w:rsidRPr="003B4362">
        <w:t>611.979</w:t>
      </w:r>
      <w:r w:rsidRPr="003B4362">
        <w:tab/>
        <w:t>Reporting and Recordkeeping Requirements</w:t>
      </w:r>
    </w:p>
    <w:p w14:paraId="6EF97D93" w14:textId="77777777" w:rsidR="00BE2797" w:rsidRPr="003B4362" w:rsidRDefault="00BE2797" w:rsidP="00BE2797"/>
    <w:p w14:paraId="3CD3DB75" w14:textId="66F56390" w:rsidR="00002933" w:rsidRPr="003B4362" w:rsidRDefault="00002933" w:rsidP="00BE2797">
      <w:pPr>
        <w:jc w:val="center"/>
      </w:pPr>
      <w:r w:rsidRPr="003B4362">
        <w:t>SUBPART Z:  ENHANCED TREATMENT FOR CRYPTOSPORIDIUM</w:t>
      </w:r>
    </w:p>
    <w:p w14:paraId="40169BDA" w14:textId="77777777" w:rsidR="00BE2797" w:rsidRPr="003B4362" w:rsidRDefault="00BE2797" w:rsidP="00BE2797"/>
    <w:p w14:paraId="2696DEB0" w14:textId="745370AD" w:rsidR="00002933" w:rsidRPr="003B4362" w:rsidRDefault="00002933" w:rsidP="00BE2797">
      <w:r w:rsidRPr="003B4362">
        <w:t>Section</w:t>
      </w:r>
    </w:p>
    <w:p w14:paraId="04E9CED9" w14:textId="77777777" w:rsidR="00002933" w:rsidRPr="003B4362" w:rsidRDefault="00002933" w:rsidP="00002933">
      <w:pPr>
        <w:widowControl w:val="0"/>
        <w:ind w:left="1440" w:hanging="1440"/>
        <w:rPr>
          <w:szCs w:val="16"/>
        </w:rPr>
      </w:pPr>
      <w:r w:rsidRPr="003B4362">
        <w:rPr>
          <w:szCs w:val="16"/>
        </w:rPr>
        <w:t>611.1000</w:t>
      </w:r>
      <w:r w:rsidRPr="003B4362">
        <w:rPr>
          <w:szCs w:val="16"/>
        </w:rPr>
        <w:tab/>
        <w:t>General Requirements</w:t>
      </w:r>
    </w:p>
    <w:p w14:paraId="18B10432" w14:textId="77777777" w:rsidR="00002933" w:rsidRPr="003B4362" w:rsidRDefault="00002933" w:rsidP="00002933">
      <w:pPr>
        <w:widowControl w:val="0"/>
        <w:ind w:left="1440" w:hanging="1440"/>
        <w:rPr>
          <w:szCs w:val="16"/>
        </w:rPr>
      </w:pPr>
      <w:r w:rsidRPr="003B4362">
        <w:rPr>
          <w:szCs w:val="16"/>
        </w:rPr>
        <w:t>611.1001</w:t>
      </w:r>
      <w:r w:rsidRPr="003B4362">
        <w:rPr>
          <w:szCs w:val="16"/>
        </w:rPr>
        <w:tab/>
        <w:t>Source Water Monitoring Requirements:  Source Water Monitoring</w:t>
      </w:r>
    </w:p>
    <w:p w14:paraId="59FAAFD4" w14:textId="77777777" w:rsidR="00002933" w:rsidRPr="003B4362" w:rsidRDefault="00002933" w:rsidP="00002933">
      <w:pPr>
        <w:widowControl w:val="0"/>
        <w:ind w:left="1440" w:hanging="1440"/>
        <w:rPr>
          <w:szCs w:val="16"/>
        </w:rPr>
      </w:pPr>
      <w:r w:rsidRPr="003B4362">
        <w:rPr>
          <w:szCs w:val="16"/>
        </w:rPr>
        <w:t>611.1002</w:t>
      </w:r>
      <w:r w:rsidRPr="003B4362">
        <w:rPr>
          <w:szCs w:val="16"/>
        </w:rPr>
        <w:tab/>
        <w:t>Source Water Monitoring Requirements:  Sampling Schedules</w:t>
      </w:r>
    </w:p>
    <w:p w14:paraId="013844AA" w14:textId="77777777" w:rsidR="00002933" w:rsidRPr="003B4362" w:rsidRDefault="00002933" w:rsidP="00002933">
      <w:pPr>
        <w:widowControl w:val="0"/>
        <w:ind w:left="1440" w:hanging="1440"/>
        <w:rPr>
          <w:szCs w:val="16"/>
        </w:rPr>
      </w:pPr>
      <w:r w:rsidRPr="003B4362">
        <w:rPr>
          <w:szCs w:val="16"/>
        </w:rPr>
        <w:t>611.1003</w:t>
      </w:r>
      <w:r w:rsidRPr="003B4362">
        <w:rPr>
          <w:szCs w:val="16"/>
        </w:rPr>
        <w:tab/>
        <w:t>Source Water Monitoring Requirements:  Sampling Locations</w:t>
      </w:r>
    </w:p>
    <w:p w14:paraId="66AEEFC5" w14:textId="77777777" w:rsidR="00002933" w:rsidRPr="003B4362" w:rsidRDefault="00002933" w:rsidP="00002933">
      <w:pPr>
        <w:widowControl w:val="0"/>
        <w:ind w:left="1440" w:hanging="1440"/>
        <w:rPr>
          <w:szCs w:val="16"/>
        </w:rPr>
      </w:pPr>
      <w:r w:rsidRPr="003B4362">
        <w:rPr>
          <w:szCs w:val="16"/>
        </w:rPr>
        <w:t>611.1004</w:t>
      </w:r>
      <w:r w:rsidRPr="003B4362">
        <w:rPr>
          <w:szCs w:val="16"/>
        </w:rPr>
        <w:tab/>
        <w:t>Source Water Monitoring Requirements:  Analytical Methods</w:t>
      </w:r>
    </w:p>
    <w:p w14:paraId="60313361" w14:textId="77777777" w:rsidR="00002933" w:rsidRPr="003B4362" w:rsidRDefault="00002933" w:rsidP="00002933">
      <w:pPr>
        <w:widowControl w:val="0"/>
        <w:ind w:left="1440" w:hanging="1440"/>
        <w:rPr>
          <w:szCs w:val="16"/>
        </w:rPr>
      </w:pPr>
      <w:r w:rsidRPr="003B4362">
        <w:rPr>
          <w:szCs w:val="16"/>
        </w:rPr>
        <w:t>611.1005</w:t>
      </w:r>
      <w:r w:rsidRPr="003B4362">
        <w:rPr>
          <w:szCs w:val="16"/>
        </w:rPr>
        <w:tab/>
        <w:t>Source Water Monitoring Requirements:  Approved Laboratories</w:t>
      </w:r>
    </w:p>
    <w:p w14:paraId="5A8CFB3C" w14:textId="77777777" w:rsidR="00002933" w:rsidRPr="003B4362" w:rsidRDefault="00002933" w:rsidP="00002933">
      <w:pPr>
        <w:widowControl w:val="0"/>
        <w:ind w:left="1440" w:hanging="1440"/>
        <w:rPr>
          <w:szCs w:val="16"/>
        </w:rPr>
      </w:pPr>
      <w:r w:rsidRPr="003B4362">
        <w:rPr>
          <w:szCs w:val="16"/>
        </w:rPr>
        <w:t>611.1006</w:t>
      </w:r>
      <w:r w:rsidRPr="003B4362">
        <w:rPr>
          <w:szCs w:val="16"/>
        </w:rPr>
        <w:tab/>
        <w:t>Source Water Monitoring Requirements:  Reporting Source Water Monitoring Results</w:t>
      </w:r>
    </w:p>
    <w:p w14:paraId="6D8F1552" w14:textId="77777777" w:rsidR="00002933" w:rsidRPr="003B4362" w:rsidRDefault="00002933" w:rsidP="00002933">
      <w:pPr>
        <w:widowControl w:val="0"/>
        <w:ind w:left="1440" w:hanging="1440"/>
        <w:rPr>
          <w:szCs w:val="16"/>
        </w:rPr>
      </w:pPr>
      <w:r w:rsidRPr="003B4362">
        <w:rPr>
          <w:szCs w:val="16"/>
        </w:rPr>
        <w:t>611.1007</w:t>
      </w:r>
      <w:r w:rsidRPr="003B4362">
        <w:rPr>
          <w:szCs w:val="16"/>
        </w:rPr>
        <w:tab/>
        <w:t>Source Water Monitoring Requirements:  Grandfathering Previously Collected Data</w:t>
      </w:r>
    </w:p>
    <w:p w14:paraId="2531D38A" w14:textId="77777777" w:rsidR="00002933" w:rsidRPr="003B4362" w:rsidRDefault="00002933" w:rsidP="00002933">
      <w:pPr>
        <w:widowControl w:val="0"/>
        <w:ind w:left="1440" w:hanging="1440"/>
        <w:rPr>
          <w:szCs w:val="16"/>
        </w:rPr>
      </w:pPr>
      <w:r w:rsidRPr="003B4362">
        <w:rPr>
          <w:szCs w:val="16"/>
        </w:rPr>
        <w:lastRenderedPageBreak/>
        <w:t>611.1008</w:t>
      </w:r>
      <w:r w:rsidRPr="003B4362">
        <w:rPr>
          <w:szCs w:val="16"/>
        </w:rPr>
        <w:tab/>
        <w:t>Disinfection Profiling and Benchmarking Requirements:  Requirements When Making a Significant Change in Disinfection Practice</w:t>
      </w:r>
    </w:p>
    <w:p w14:paraId="038D2C94" w14:textId="77777777" w:rsidR="00002933" w:rsidRPr="003B4362" w:rsidRDefault="00002933" w:rsidP="00002933">
      <w:pPr>
        <w:widowControl w:val="0"/>
        <w:ind w:left="1440" w:hanging="1440"/>
        <w:rPr>
          <w:szCs w:val="16"/>
        </w:rPr>
      </w:pPr>
      <w:r w:rsidRPr="003B4362">
        <w:rPr>
          <w:szCs w:val="16"/>
        </w:rPr>
        <w:t>611.1009</w:t>
      </w:r>
      <w:r w:rsidRPr="003B4362">
        <w:rPr>
          <w:szCs w:val="16"/>
        </w:rPr>
        <w:tab/>
        <w:t>Disinfection Profiling and Benchmarking Requirements:  Developing the Disinfection Profile and Benchmark</w:t>
      </w:r>
    </w:p>
    <w:p w14:paraId="59F3DC44" w14:textId="77777777" w:rsidR="00002933" w:rsidRPr="003B4362" w:rsidRDefault="00002933" w:rsidP="00002933">
      <w:pPr>
        <w:widowControl w:val="0"/>
        <w:ind w:left="1440" w:hanging="1440"/>
        <w:rPr>
          <w:szCs w:val="16"/>
        </w:rPr>
      </w:pPr>
      <w:r w:rsidRPr="003B4362">
        <w:rPr>
          <w:szCs w:val="16"/>
        </w:rPr>
        <w:t>611.1010</w:t>
      </w:r>
      <w:r w:rsidRPr="003B4362">
        <w:rPr>
          <w:szCs w:val="16"/>
        </w:rPr>
        <w:tab/>
        <w:t>Treatment Technique Requirements:  Bin Classification for Filtered</w:t>
      </w:r>
      <w:bookmarkStart w:id="3" w:name="_Hlk25255706"/>
      <w:r w:rsidRPr="003B4362">
        <w:rPr>
          <w:szCs w:val="16"/>
        </w:rPr>
        <w:t xml:space="preserve"> System Suppliers</w:t>
      </w:r>
      <w:bookmarkEnd w:id="3"/>
    </w:p>
    <w:p w14:paraId="7B5606E0" w14:textId="77777777" w:rsidR="00002933" w:rsidRPr="003B4362" w:rsidRDefault="00002933" w:rsidP="00002933">
      <w:pPr>
        <w:widowControl w:val="0"/>
        <w:ind w:left="1440" w:hanging="1440"/>
        <w:rPr>
          <w:szCs w:val="16"/>
        </w:rPr>
      </w:pPr>
      <w:r w:rsidRPr="003B4362">
        <w:rPr>
          <w:szCs w:val="16"/>
        </w:rPr>
        <w:t>611.1011</w:t>
      </w:r>
      <w:r w:rsidRPr="003B4362">
        <w:rPr>
          <w:szCs w:val="16"/>
        </w:rPr>
        <w:tab/>
        <w:t>Treatment Technique Requirements:  Filtered System Additional Cryptosporidium Treatment Requirements</w:t>
      </w:r>
    </w:p>
    <w:p w14:paraId="2E52A7FA" w14:textId="77777777" w:rsidR="00002933" w:rsidRPr="003B4362" w:rsidRDefault="00002933" w:rsidP="00002933">
      <w:pPr>
        <w:widowControl w:val="0"/>
        <w:ind w:left="1440" w:hanging="1440"/>
        <w:rPr>
          <w:szCs w:val="16"/>
        </w:rPr>
      </w:pPr>
      <w:r w:rsidRPr="003B4362">
        <w:rPr>
          <w:szCs w:val="16"/>
        </w:rPr>
        <w:t>611.1012</w:t>
      </w:r>
      <w:r w:rsidRPr="003B4362">
        <w:rPr>
          <w:szCs w:val="16"/>
        </w:rPr>
        <w:tab/>
        <w:t>Treatment Technique Requirements:  Unfiltered System Cryptosporidium Treatment Requirements</w:t>
      </w:r>
    </w:p>
    <w:p w14:paraId="3402EB2D" w14:textId="77777777" w:rsidR="00002933" w:rsidRPr="003B4362" w:rsidRDefault="00002933" w:rsidP="00002933">
      <w:pPr>
        <w:widowControl w:val="0"/>
        <w:ind w:left="1440" w:hanging="1440"/>
        <w:rPr>
          <w:szCs w:val="16"/>
        </w:rPr>
      </w:pPr>
      <w:r w:rsidRPr="003B4362">
        <w:rPr>
          <w:szCs w:val="16"/>
        </w:rPr>
        <w:t>611.1013</w:t>
      </w:r>
      <w:r w:rsidRPr="003B4362">
        <w:rPr>
          <w:szCs w:val="16"/>
        </w:rPr>
        <w:tab/>
        <w:t>Treatment Technique Requirements:  Schedule for Compliance with Cryptosporidium Treatment Requirements</w:t>
      </w:r>
    </w:p>
    <w:p w14:paraId="6F04F084" w14:textId="77777777" w:rsidR="00002933" w:rsidRPr="003B4362" w:rsidRDefault="00002933" w:rsidP="00002933">
      <w:pPr>
        <w:widowControl w:val="0"/>
        <w:ind w:left="1440" w:hanging="1440"/>
        <w:rPr>
          <w:szCs w:val="16"/>
        </w:rPr>
      </w:pPr>
      <w:r w:rsidRPr="003B4362">
        <w:rPr>
          <w:szCs w:val="16"/>
        </w:rPr>
        <w:t>611.1014</w:t>
      </w:r>
      <w:r w:rsidRPr="003B4362">
        <w:rPr>
          <w:szCs w:val="16"/>
        </w:rPr>
        <w:tab/>
        <w:t>Treatment Technique Requirements:  Requirements for Uncovered Finished Water Storage Facilities</w:t>
      </w:r>
    </w:p>
    <w:p w14:paraId="2B8BE99F" w14:textId="77777777" w:rsidR="00002933" w:rsidRPr="003B4362" w:rsidRDefault="00002933" w:rsidP="00002933">
      <w:pPr>
        <w:widowControl w:val="0"/>
        <w:ind w:left="1440" w:hanging="1440"/>
        <w:rPr>
          <w:szCs w:val="16"/>
        </w:rPr>
      </w:pPr>
      <w:r w:rsidRPr="003B4362">
        <w:rPr>
          <w:szCs w:val="16"/>
        </w:rPr>
        <w:t>611.1015</w:t>
      </w:r>
      <w:r w:rsidRPr="003B4362">
        <w:rPr>
          <w:szCs w:val="16"/>
        </w:rPr>
        <w:tab/>
        <w:t>Requirements for Microbial Toolbox Components:  Microbial Toolbox Options for Meeting Cryptosporidium Treatment Requirements</w:t>
      </w:r>
    </w:p>
    <w:p w14:paraId="318E415E" w14:textId="77777777" w:rsidR="00002933" w:rsidRPr="003B4362" w:rsidRDefault="00002933" w:rsidP="00002933">
      <w:pPr>
        <w:widowControl w:val="0"/>
        <w:ind w:left="1440" w:hanging="1440"/>
        <w:rPr>
          <w:szCs w:val="16"/>
        </w:rPr>
      </w:pPr>
      <w:r w:rsidRPr="003B4362">
        <w:rPr>
          <w:szCs w:val="16"/>
        </w:rPr>
        <w:t>611.1016</w:t>
      </w:r>
      <w:r w:rsidRPr="003B4362">
        <w:rPr>
          <w:szCs w:val="16"/>
        </w:rPr>
        <w:tab/>
        <w:t>Requirements for Microbial Toolbox Components:  Source Toolbox Components</w:t>
      </w:r>
    </w:p>
    <w:p w14:paraId="396E8D5D" w14:textId="77777777" w:rsidR="00002933" w:rsidRPr="003B4362" w:rsidRDefault="00002933" w:rsidP="00002933">
      <w:pPr>
        <w:widowControl w:val="0"/>
        <w:ind w:left="1440" w:hanging="1440"/>
        <w:rPr>
          <w:szCs w:val="16"/>
        </w:rPr>
      </w:pPr>
      <w:r w:rsidRPr="003B4362">
        <w:rPr>
          <w:szCs w:val="16"/>
        </w:rPr>
        <w:t>611.1017</w:t>
      </w:r>
      <w:r w:rsidRPr="003B4362">
        <w:rPr>
          <w:szCs w:val="16"/>
        </w:rPr>
        <w:tab/>
        <w:t>Requirements for Microbial Toolbox Components:  Pre-Filtration Treatment Toolbox Components</w:t>
      </w:r>
    </w:p>
    <w:p w14:paraId="6131F6EF" w14:textId="77777777" w:rsidR="00002933" w:rsidRPr="003B4362" w:rsidRDefault="00002933" w:rsidP="00002933">
      <w:pPr>
        <w:widowControl w:val="0"/>
        <w:ind w:left="1440" w:hanging="1440"/>
        <w:rPr>
          <w:szCs w:val="16"/>
        </w:rPr>
      </w:pPr>
      <w:r w:rsidRPr="003B4362">
        <w:rPr>
          <w:szCs w:val="16"/>
        </w:rPr>
        <w:t>611.1018</w:t>
      </w:r>
      <w:r w:rsidRPr="003B4362">
        <w:rPr>
          <w:szCs w:val="16"/>
        </w:rPr>
        <w:tab/>
        <w:t>Requirements for Microbial Toolbox Components:  Treatment Performance Toolbox Components</w:t>
      </w:r>
    </w:p>
    <w:p w14:paraId="54DB19F9" w14:textId="77777777" w:rsidR="00002933" w:rsidRPr="003B4362" w:rsidRDefault="00002933" w:rsidP="00002933">
      <w:pPr>
        <w:widowControl w:val="0"/>
        <w:ind w:left="1440" w:hanging="1440"/>
        <w:rPr>
          <w:szCs w:val="16"/>
        </w:rPr>
      </w:pPr>
      <w:r w:rsidRPr="003B4362">
        <w:rPr>
          <w:szCs w:val="16"/>
        </w:rPr>
        <w:t>611.1019</w:t>
      </w:r>
      <w:r w:rsidRPr="003B4362">
        <w:rPr>
          <w:szCs w:val="16"/>
        </w:rPr>
        <w:tab/>
        <w:t>Requirements for Microbial Toolbox Components:  Additional Filtration Toolbox Components</w:t>
      </w:r>
    </w:p>
    <w:p w14:paraId="7480358D" w14:textId="77777777" w:rsidR="00002933" w:rsidRPr="003B4362" w:rsidRDefault="00002933" w:rsidP="00002933">
      <w:pPr>
        <w:widowControl w:val="0"/>
        <w:ind w:left="1440" w:hanging="1440"/>
        <w:rPr>
          <w:szCs w:val="16"/>
        </w:rPr>
      </w:pPr>
      <w:r w:rsidRPr="003B4362">
        <w:rPr>
          <w:szCs w:val="16"/>
        </w:rPr>
        <w:t>611.1020</w:t>
      </w:r>
      <w:r w:rsidRPr="003B4362">
        <w:rPr>
          <w:szCs w:val="16"/>
        </w:rPr>
        <w:tab/>
        <w:t>Requirements for Microbial Toolbox Components:  Inactivation Toolbox Components</w:t>
      </w:r>
    </w:p>
    <w:p w14:paraId="75936917" w14:textId="77777777" w:rsidR="00002933" w:rsidRPr="003B4362" w:rsidRDefault="00002933" w:rsidP="00002933">
      <w:pPr>
        <w:widowControl w:val="0"/>
        <w:ind w:left="1440" w:hanging="1440"/>
        <w:rPr>
          <w:szCs w:val="16"/>
        </w:rPr>
      </w:pPr>
      <w:r w:rsidRPr="003B4362">
        <w:rPr>
          <w:szCs w:val="16"/>
        </w:rPr>
        <w:t>611.1021</w:t>
      </w:r>
      <w:r w:rsidRPr="003B4362">
        <w:rPr>
          <w:szCs w:val="16"/>
        </w:rPr>
        <w:tab/>
        <w:t>Reporting and Recordkeeping Requirements:  Reporting Requirements</w:t>
      </w:r>
    </w:p>
    <w:p w14:paraId="333395C3" w14:textId="77777777" w:rsidR="00002933" w:rsidRPr="003B4362" w:rsidRDefault="00002933" w:rsidP="00002933">
      <w:pPr>
        <w:widowControl w:val="0"/>
        <w:ind w:left="1440" w:hanging="1440"/>
        <w:rPr>
          <w:szCs w:val="16"/>
        </w:rPr>
      </w:pPr>
      <w:r w:rsidRPr="003B4362">
        <w:rPr>
          <w:szCs w:val="16"/>
        </w:rPr>
        <w:t>611.1022</w:t>
      </w:r>
      <w:r w:rsidRPr="003B4362">
        <w:rPr>
          <w:szCs w:val="16"/>
        </w:rPr>
        <w:tab/>
        <w:t>Reporting and Recordkeeping Requirements:  Recordkeeping Requirements</w:t>
      </w:r>
    </w:p>
    <w:p w14:paraId="5D051DCC" w14:textId="77777777" w:rsidR="00002933" w:rsidRPr="003B4362" w:rsidRDefault="00002933" w:rsidP="00002933">
      <w:pPr>
        <w:widowControl w:val="0"/>
        <w:ind w:left="1440" w:hanging="1440"/>
        <w:rPr>
          <w:szCs w:val="16"/>
        </w:rPr>
      </w:pPr>
      <w:r w:rsidRPr="003B4362">
        <w:rPr>
          <w:szCs w:val="16"/>
        </w:rPr>
        <w:t>611.1023</w:t>
      </w:r>
      <w:r w:rsidRPr="003B4362">
        <w:rPr>
          <w:szCs w:val="16"/>
        </w:rPr>
        <w:tab/>
        <w:t>Requirements to Respond to Significant Deficiencies Identified in Sanitary Surveys Performed by USEPA or the Agency</w:t>
      </w:r>
    </w:p>
    <w:p w14:paraId="7614C2A3" w14:textId="77777777" w:rsidR="00BE2797" w:rsidRPr="003B4362" w:rsidRDefault="00BE2797" w:rsidP="00BE2797"/>
    <w:p w14:paraId="285511A6" w14:textId="54A26BF7" w:rsidR="00002933" w:rsidRPr="003B4362" w:rsidRDefault="00002933" w:rsidP="00BE2797">
      <w:pPr>
        <w:jc w:val="center"/>
      </w:pPr>
      <w:r w:rsidRPr="003B4362">
        <w:t>SUBPART AA:  REVISED TOTAL COLIFORM RULE</w:t>
      </w:r>
    </w:p>
    <w:p w14:paraId="4A89E6BA" w14:textId="77777777" w:rsidR="00BE2797" w:rsidRPr="003B4362" w:rsidRDefault="00BE2797" w:rsidP="00BE2797"/>
    <w:p w14:paraId="6292CE6A" w14:textId="157BD43D" w:rsidR="00002933" w:rsidRPr="003B4362" w:rsidRDefault="00002933" w:rsidP="00BE2797">
      <w:r w:rsidRPr="003B4362">
        <w:t>Section</w:t>
      </w:r>
    </w:p>
    <w:p w14:paraId="3505B2CB" w14:textId="77777777" w:rsidR="00002933" w:rsidRPr="003B4362" w:rsidRDefault="00002933" w:rsidP="00002933">
      <w:pPr>
        <w:widowControl w:val="0"/>
        <w:ind w:left="1440" w:hanging="1440"/>
        <w:rPr>
          <w:szCs w:val="24"/>
        </w:rPr>
      </w:pPr>
      <w:r w:rsidRPr="003B4362">
        <w:rPr>
          <w:szCs w:val="24"/>
        </w:rPr>
        <w:t>611.1051</w:t>
      </w:r>
      <w:r w:rsidRPr="003B4362">
        <w:rPr>
          <w:szCs w:val="24"/>
        </w:rPr>
        <w:tab/>
        <w:t>General</w:t>
      </w:r>
    </w:p>
    <w:p w14:paraId="36A8DA02" w14:textId="77777777" w:rsidR="00002933" w:rsidRPr="003B4362" w:rsidRDefault="00002933" w:rsidP="00002933">
      <w:pPr>
        <w:widowControl w:val="0"/>
        <w:ind w:left="1440" w:hanging="1440"/>
        <w:rPr>
          <w:szCs w:val="24"/>
        </w:rPr>
      </w:pPr>
      <w:r w:rsidRPr="003B4362">
        <w:rPr>
          <w:szCs w:val="24"/>
        </w:rPr>
        <w:t>611.1052</w:t>
      </w:r>
      <w:r w:rsidRPr="003B4362">
        <w:rPr>
          <w:szCs w:val="24"/>
        </w:rPr>
        <w:tab/>
        <w:t>Analytical Methods and Laboratory Certification</w:t>
      </w:r>
    </w:p>
    <w:p w14:paraId="06C0446A" w14:textId="77777777" w:rsidR="00002933" w:rsidRPr="003B4362" w:rsidRDefault="00002933" w:rsidP="00002933">
      <w:pPr>
        <w:widowControl w:val="0"/>
        <w:ind w:left="1440" w:hanging="1440"/>
        <w:rPr>
          <w:szCs w:val="24"/>
        </w:rPr>
      </w:pPr>
      <w:r w:rsidRPr="003B4362">
        <w:rPr>
          <w:szCs w:val="24"/>
        </w:rPr>
        <w:t>611.1053</w:t>
      </w:r>
      <w:r w:rsidRPr="003B4362">
        <w:rPr>
          <w:szCs w:val="24"/>
        </w:rPr>
        <w:tab/>
        <w:t>General Monitoring Requirements for all PWSs</w:t>
      </w:r>
    </w:p>
    <w:p w14:paraId="190D4724" w14:textId="77777777" w:rsidR="00002933" w:rsidRPr="003B4362" w:rsidRDefault="00002933" w:rsidP="00002933">
      <w:pPr>
        <w:widowControl w:val="0"/>
        <w:ind w:left="1440" w:hanging="1440"/>
        <w:rPr>
          <w:szCs w:val="24"/>
        </w:rPr>
      </w:pPr>
      <w:r w:rsidRPr="003B4362">
        <w:rPr>
          <w:szCs w:val="24"/>
        </w:rPr>
        <w:t>611.1054</w:t>
      </w:r>
      <w:r w:rsidRPr="003B4362">
        <w:rPr>
          <w:szCs w:val="24"/>
        </w:rPr>
        <w:tab/>
        <w:t>Routine Monitoring Requirements for Non-CWSs That Serve 1,000 or Fewer People Using Only Groundwater</w:t>
      </w:r>
    </w:p>
    <w:p w14:paraId="2D6EDF22" w14:textId="77777777" w:rsidR="00002933" w:rsidRPr="003B4362" w:rsidRDefault="00002933" w:rsidP="00002933">
      <w:pPr>
        <w:widowControl w:val="0"/>
        <w:ind w:left="1440" w:hanging="1440"/>
        <w:rPr>
          <w:szCs w:val="24"/>
        </w:rPr>
      </w:pPr>
      <w:r w:rsidRPr="003B4362">
        <w:rPr>
          <w:szCs w:val="24"/>
        </w:rPr>
        <w:t>611.1055</w:t>
      </w:r>
      <w:r w:rsidRPr="003B4362">
        <w:rPr>
          <w:szCs w:val="24"/>
        </w:rPr>
        <w:tab/>
        <w:t>Routine Monitoring Requirements for CWSs That Serve 1,000 or Fewer People Using Only Groundwater</w:t>
      </w:r>
    </w:p>
    <w:p w14:paraId="1172F7E4" w14:textId="77777777" w:rsidR="00002933" w:rsidRPr="003B4362" w:rsidRDefault="00002933" w:rsidP="00002933">
      <w:pPr>
        <w:widowControl w:val="0"/>
        <w:ind w:left="1440" w:hanging="1440"/>
        <w:rPr>
          <w:szCs w:val="24"/>
        </w:rPr>
      </w:pPr>
      <w:r w:rsidRPr="003B4362">
        <w:rPr>
          <w:szCs w:val="24"/>
        </w:rPr>
        <w:t>611.1056</w:t>
      </w:r>
      <w:r w:rsidRPr="003B4362">
        <w:rPr>
          <w:szCs w:val="24"/>
        </w:rPr>
        <w:tab/>
        <w:t>Routine Monitoring Requirements for Subpart B Systems That Serve 1,000 or Fewer People</w:t>
      </w:r>
    </w:p>
    <w:p w14:paraId="029CA5D2" w14:textId="77777777" w:rsidR="00002933" w:rsidRPr="003B4362" w:rsidRDefault="00002933" w:rsidP="00002933">
      <w:pPr>
        <w:widowControl w:val="0"/>
        <w:ind w:left="1440" w:hanging="1440"/>
        <w:rPr>
          <w:szCs w:val="24"/>
        </w:rPr>
      </w:pPr>
      <w:r w:rsidRPr="003B4362">
        <w:rPr>
          <w:szCs w:val="24"/>
        </w:rPr>
        <w:t>611.1057</w:t>
      </w:r>
      <w:r w:rsidRPr="003B4362">
        <w:rPr>
          <w:szCs w:val="24"/>
        </w:rPr>
        <w:tab/>
        <w:t>Routine Monitoring Requirements for PWSs That Serve More Than 1,000 People</w:t>
      </w:r>
    </w:p>
    <w:p w14:paraId="4E922169" w14:textId="77777777" w:rsidR="00002933" w:rsidRPr="003B4362" w:rsidRDefault="00002933" w:rsidP="00002933">
      <w:pPr>
        <w:widowControl w:val="0"/>
        <w:ind w:left="1440" w:hanging="1440"/>
        <w:rPr>
          <w:szCs w:val="24"/>
        </w:rPr>
      </w:pPr>
      <w:r w:rsidRPr="003B4362">
        <w:rPr>
          <w:szCs w:val="24"/>
        </w:rPr>
        <w:t>611.1058</w:t>
      </w:r>
      <w:r w:rsidRPr="003B4362">
        <w:rPr>
          <w:szCs w:val="24"/>
        </w:rPr>
        <w:tab/>
        <w:t xml:space="preserve">Repeat Monitoring and </w:t>
      </w:r>
      <w:r w:rsidRPr="003B4362">
        <w:rPr>
          <w:iCs/>
          <w:szCs w:val="24"/>
        </w:rPr>
        <w:t xml:space="preserve">E. coli </w:t>
      </w:r>
      <w:r w:rsidRPr="003B4362">
        <w:rPr>
          <w:szCs w:val="24"/>
        </w:rPr>
        <w:t>Requirements</w:t>
      </w:r>
    </w:p>
    <w:p w14:paraId="571894DC" w14:textId="77777777" w:rsidR="00002933" w:rsidRPr="003B4362" w:rsidRDefault="00002933" w:rsidP="00002933">
      <w:pPr>
        <w:widowControl w:val="0"/>
        <w:ind w:left="1440" w:hanging="1440"/>
        <w:rPr>
          <w:szCs w:val="24"/>
        </w:rPr>
      </w:pPr>
      <w:r w:rsidRPr="003B4362">
        <w:rPr>
          <w:szCs w:val="24"/>
        </w:rPr>
        <w:t>611.1059</w:t>
      </w:r>
      <w:r w:rsidRPr="003B4362">
        <w:rPr>
          <w:szCs w:val="24"/>
        </w:rPr>
        <w:tab/>
        <w:t xml:space="preserve">Coliform Treatment Technique Triggers and Assessment Requirements for </w:t>
      </w:r>
      <w:r w:rsidRPr="003B4362">
        <w:rPr>
          <w:szCs w:val="24"/>
        </w:rPr>
        <w:lastRenderedPageBreak/>
        <w:t>Protection Against Potential Fecal Contamination</w:t>
      </w:r>
    </w:p>
    <w:p w14:paraId="651392FD" w14:textId="77777777" w:rsidR="00002933" w:rsidRPr="003B4362" w:rsidRDefault="00002933" w:rsidP="00002933">
      <w:pPr>
        <w:widowControl w:val="0"/>
        <w:ind w:left="1440" w:hanging="1440"/>
        <w:rPr>
          <w:szCs w:val="24"/>
        </w:rPr>
      </w:pPr>
      <w:r w:rsidRPr="003B4362">
        <w:rPr>
          <w:szCs w:val="24"/>
        </w:rPr>
        <w:t>611.1060</w:t>
      </w:r>
      <w:r w:rsidRPr="003B4362">
        <w:rPr>
          <w:szCs w:val="24"/>
        </w:rPr>
        <w:tab/>
        <w:t>Violations</w:t>
      </w:r>
    </w:p>
    <w:p w14:paraId="3AFAD04C" w14:textId="77777777" w:rsidR="00002933" w:rsidRPr="003B4362" w:rsidRDefault="00002933" w:rsidP="00002933">
      <w:pPr>
        <w:widowControl w:val="0"/>
        <w:ind w:left="1440" w:hanging="1440"/>
        <w:rPr>
          <w:szCs w:val="24"/>
        </w:rPr>
      </w:pPr>
      <w:r w:rsidRPr="003B4362">
        <w:rPr>
          <w:szCs w:val="24"/>
        </w:rPr>
        <w:t>611.1061</w:t>
      </w:r>
      <w:r w:rsidRPr="003B4362">
        <w:rPr>
          <w:szCs w:val="24"/>
        </w:rPr>
        <w:tab/>
        <w:t>Reporting and Recordkeeping</w:t>
      </w:r>
    </w:p>
    <w:p w14:paraId="583756C7" w14:textId="77777777" w:rsidR="00BE2797" w:rsidRPr="003B4362" w:rsidRDefault="00BE2797" w:rsidP="00BE2797"/>
    <w:p w14:paraId="302E5812" w14:textId="50C2B219" w:rsidR="00117F5E" w:rsidRPr="003B4362" w:rsidRDefault="00117F5E" w:rsidP="00BE2797">
      <w:pPr>
        <w:jc w:val="center"/>
      </w:pPr>
      <w:r w:rsidRPr="003B4362">
        <w:t>SUBPART AG:  INTERIM LEAD AND COPPER RULES</w:t>
      </w:r>
    </w:p>
    <w:p w14:paraId="1697F133" w14:textId="77777777" w:rsidR="00BE2797" w:rsidRPr="003B4362" w:rsidRDefault="00BE2797" w:rsidP="00BE2797">
      <w:pPr>
        <w:jc w:val="center"/>
      </w:pPr>
    </w:p>
    <w:p w14:paraId="7CF56894" w14:textId="5E08E722" w:rsidR="00117F5E" w:rsidRPr="003B4362" w:rsidRDefault="00117F5E" w:rsidP="00BE2797">
      <w:r w:rsidRPr="003B4362">
        <w:t>Section</w:t>
      </w:r>
    </w:p>
    <w:p w14:paraId="6DB9DEE3" w14:textId="3259B31C" w:rsidR="00117F5E" w:rsidRPr="003B4362" w:rsidRDefault="00117F5E" w:rsidP="00117F5E">
      <w:pPr>
        <w:widowControl w:val="0"/>
        <w:suppressAutoHyphens/>
        <w:ind w:left="1440" w:hanging="1440"/>
        <w:rPr>
          <w:spacing w:val="-3"/>
        </w:rPr>
      </w:pPr>
      <w:r w:rsidRPr="003B4362">
        <w:rPr>
          <w:spacing w:val="-3"/>
        </w:rPr>
        <w:t>611.1350</w:t>
      </w:r>
      <w:r w:rsidRPr="003B4362">
        <w:rPr>
          <w:spacing w:val="-3"/>
        </w:rPr>
        <w:tab/>
        <w:t>General Requirements</w:t>
      </w:r>
    </w:p>
    <w:p w14:paraId="0EA8A4AD" w14:textId="36390C45" w:rsidR="00117F5E" w:rsidRPr="003B4362" w:rsidRDefault="00117F5E" w:rsidP="00117F5E">
      <w:pPr>
        <w:widowControl w:val="0"/>
        <w:suppressAutoHyphens/>
        <w:ind w:left="1440" w:hanging="1440"/>
        <w:rPr>
          <w:spacing w:val="-3"/>
        </w:rPr>
      </w:pPr>
      <w:r w:rsidRPr="003B4362">
        <w:rPr>
          <w:spacing w:val="-3"/>
        </w:rPr>
        <w:t>611.1351</w:t>
      </w:r>
      <w:r w:rsidRPr="003B4362">
        <w:rPr>
          <w:spacing w:val="-3"/>
        </w:rPr>
        <w:tab/>
        <w:t>Applicability of Corrosion Control</w:t>
      </w:r>
    </w:p>
    <w:p w14:paraId="76C23E36" w14:textId="45987767" w:rsidR="00117F5E" w:rsidRPr="003B4362" w:rsidRDefault="00117F5E" w:rsidP="00117F5E">
      <w:pPr>
        <w:widowControl w:val="0"/>
        <w:suppressAutoHyphens/>
        <w:ind w:left="1440" w:hanging="1440"/>
        <w:rPr>
          <w:spacing w:val="-3"/>
        </w:rPr>
      </w:pPr>
      <w:r w:rsidRPr="003B4362">
        <w:rPr>
          <w:spacing w:val="-3"/>
        </w:rPr>
        <w:t>611.1352</w:t>
      </w:r>
      <w:r w:rsidRPr="003B4362">
        <w:rPr>
          <w:spacing w:val="-3"/>
        </w:rPr>
        <w:tab/>
        <w:t>Corrosion Control Treatment</w:t>
      </w:r>
    </w:p>
    <w:p w14:paraId="14D994C2" w14:textId="05297713" w:rsidR="00117F5E" w:rsidRPr="003B4362" w:rsidRDefault="00117F5E" w:rsidP="00117F5E">
      <w:pPr>
        <w:widowControl w:val="0"/>
        <w:suppressAutoHyphens/>
        <w:ind w:left="1440" w:hanging="1440"/>
        <w:rPr>
          <w:spacing w:val="-3"/>
        </w:rPr>
      </w:pPr>
      <w:r w:rsidRPr="003B4362">
        <w:rPr>
          <w:spacing w:val="-3"/>
        </w:rPr>
        <w:t>611.1353</w:t>
      </w:r>
      <w:r w:rsidRPr="003B4362">
        <w:rPr>
          <w:spacing w:val="-3"/>
        </w:rPr>
        <w:tab/>
        <w:t>Source Water Treatment</w:t>
      </w:r>
    </w:p>
    <w:p w14:paraId="7A2C82C2" w14:textId="22C9C069" w:rsidR="00117F5E" w:rsidRPr="003B4362" w:rsidRDefault="00117F5E" w:rsidP="00117F5E">
      <w:pPr>
        <w:widowControl w:val="0"/>
        <w:suppressAutoHyphens/>
        <w:ind w:left="1440" w:hanging="1440"/>
        <w:rPr>
          <w:spacing w:val="-3"/>
        </w:rPr>
      </w:pPr>
      <w:r w:rsidRPr="003B4362">
        <w:rPr>
          <w:spacing w:val="-3"/>
        </w:rPr>
        <w:t>611.1354</w:t>
      </w:r>
      <w:r w:rsidRPr="003B4362">
        <w:rPr>
          <w:spacing w:val="-3"/>
        </w:rPr>
        <w:tab/>
        <w:t>Lead Service Line Replacement</w:t>
      </w:r>
    </w:p>
    <w:p w14:paraId="18A133BB" w14:textId="30E751F0" w:rsidR="00117F5E" w:rsidRPr="003B4362" w:rsidRDefault="00117F5E" w:rsidP="00117F5E">
      <w:pPr>
        <w:widowControl w:val="0"/>
        <w:suppressAutoHyphens/>
        <w:ind w:left="1440" w:hanging="1440"/>
        <w:rPr>
          <w:spacing w:val="-3"/>
        </w:rPr>
      </w:pPr>
      <w:r w:rsidRPr="003B4362">
        <w:rPr>
          <w:spacing w:val="-3"/>
        </w:rPr>
        <w:t>611.1355</w:t>
      </w:r>
      <w:r w:rsidRPr="003B4362">
        <w:rPr>
          <w:spacing w:val="-3"/>
        </w:rPr>
        <w:tab/>
        <w:t>Public Education and Supplemental Monitoring</w:t>
      </w:r>
    </w:p>
    <w:p w14:paraId="7B4A4C18" w14:textId="353F3D34" w:rsidR="00117F5E" w:rsidRPr="003B4362" w:rsidRDefault="00117F5E" w:rsidP="00117F5E">
      <w:pPr>
        <w:widowControl w:val="0"/>
        <w:suppressAutoHyphens/>
        <w:ind w:left="1440" w:hanging="1440"/>
        <w:rPr>
          <w:spacing w:val="-3"/>
        </w:rPr>
      </w:pPr>
      <w:r w:rsidRPr="003B4362">
        <w:rPr>
          <w:spacing w:val="-3"/>
        </w:rPr>
        <w:t>611.1356</w:t>
      </w:r>
      <w:r w:rsidRPr="003B4362">
        <w:rPr>
          <w:spacing w:val="-3"/>
        </w:rPr>
        <w:tab/>
        <w:t>Tap Water Monitoring for Lead and Copper</w:t>
      </w:r>
    </w:p>
    <w:p w14:paraId="6C5639A4" w14:textId="561BC5A3" w:rsidR="00117F5E" w:rsidRPr="003B4362" w:rsidRDefault="00117F5E" w:rsidP="00117F5E">
      <w:pPr>
        <w:widowControl w:val="0"/>
        <w:suppressAutoHyphens/>
        <w:ind w:left="1440" w:hanging="1440"/>
        <w:rPr>
          <w:spacing w:val="-3"/>
        </w:rPr>
      </w:pPr>
      <w:r w:rsidRPr="003B4362">
        <w:rPr>
          <w:spacing w:val="-3"/>
        </w:rPr>
        <w:t>611.1357</w:t>
      </w:r>
      <w:r w:rsidRPr="003B4362">
        <w:rPr>
          <w:spacing w:val="-3"/>
        </w:rPr>
        <w:tab/>
        <w:t>Monitoring for Water Quality Parameters</w:t>
      </w:r>
    </w:p>
    <w:p w14:paraId="42EE2B69" w14:textId="0279DE94" w:rsidR="00117F5E" w:rsidRPr="003B4362" w:rsidRDefault="00117F5E" w:rsidP="00117F5E">
      <w:pPr>
        <w:widowControl w:val="0"/>
        <w:suppressAutoHyphens/>
        <w:ind w:left="1440" w:hanging="1440"/>
        <w:rPr>
          <w:spacing w:val="-3"/>
        </w:rPr>
      </w:pPr>
      <w:r w:rsidRPr="003B4362">
        <w:rPr>
          <w:spacing w:val="-3"/>
        </w:rPr>
        <w:t>611.1358</w:t>
      </w:r>
      <w:r w:rsidRPr="003B4362">
        <w:rPr>
          <w:spacing w:val="-3"/>
        </w:rPr>
        <w:tab/>
        <w:t>Monitoring for Lead and Copper in Source Water</w:t>
      </w:r>
    </w:p>
    <w:p w14:paraId="46042519" w14:textId="185C7782" w:rsidR="00117F5E" w:rsidRPr="003B4362" w:rsidRDefault="00117F5E" w:rsidP="00117F5E">
      <w:pPr>
        <w:widowControl w:val="0"/>
        <w:suppressAutoHyphens/>
        <w:ind w:left="1440" w:hanging="1440"/>
        <w:rPr>
          <w:spacing w:val="-3"/>
        </w:rPr>
      </w:pPr>
      <w:r w:rsidRPr="003B4362">
        <w:rPr>
          <w:spacing w:val="-3"/>
        </w:rPr>
        <w:t>611.1359</w:t>
      </w:r>
      <w:r w:rsidRPr="003B4362">
        <w:rPr>
          <w:spacing w:val="-3"/>
        </w:rPr>
        <w:tab/>
        <w:t>Analytical Methods</w:t>
      </w:r>
    </w:p>
    <w:p w14:paraId="281014A3" w14:textId="2E61825C" w:rsidR="00117F5E" w:rsidRPr="003B4362" w:rsidRDefault="00117F5E" w:rsidP="00117F5E">
      <w:pPr>
        <w:widowControl w:val="0"/>
        <w:suppressAutoHyphens/>
        <w:ind w:left="1440" w:hanging="1440"/>
        <w:rPr>
          <w:spacing w:val="-3"/>
        </w:rPr>
      </w:pPr>
      <w:r w:rsidRPr="003B4362">
        <w:rPr>
          <w:spacing w:val="-3"/>
        </w:rPr>
        <w:t>611.1360</w:t>
      </w:r>
      <w:r w:rsidRPr="003B4362">
        <w:rPr>
          <w:spacing w:val="-3"/>
        </w:rPr>
        <w:tab/>
        <w:t>Reporting</w:t>
      </w:r>
    </w:p>
    <w:p w14:paraId="0BF481EB" w14:textId="6DD2BC84" w:rsidR="00117F5E" w:rsidRPr="003B4362" w:rsidRDefault="00117F5E" w:rsidP="00117F5E">
      <w:pPr>
        <w:widowControl w:val="0"/>
        <w:ind w:left="1440" w:hanging="1440"/>
        <w:rPr>
          <w:spacing w:val="-3"/>
        </w:rPr>
      </w:pPr>
      <w:r w:rsidRPr="003B4362">
        <w:rPr>
          <w:spacing w:val="-3"/>
        </w:rPr>
        <w:t>611.1361</w:t>
      </w:r>
      <w:r w:rsidRPr="003B4362">
        <w:rPr>
          <w:spacing w:val="-3"/>
        </w:rPr>
        <w:tab/>
        <w:t>Recordkeeping</w:t>
      </w:r>
    </w:p>
    <w:p w14:paraId="4315CC06" w14:textId="77777777" w:rsidR="00002933" w:rsidRPr="003B4362" w:rsidRDefault="00002933" w:rsidP="00002933">
      <w:pPr>
        <w:widowControl w:val="0"/>
        <w:suppressAutoHyphens/>
        <w:spacing w:before="240"/>
        <w:ind w:left="2160" w:hanging="2160"/>
        <w:rPr>
          <w:spacing w:val="-3"/>
        </w:rPr>
      </w:pPr>
      <w:r w:rsidRPr="003B4362">
        <w:rPr>
          <w:spacing w:val="-3"/>
        </w:rPr>
        <w:t>611.APPENDIX A</w:t>
      </w:r>
      <w:r w:rsidRPr="003B4362">
        <w:rPr>
          <w:spacing w:val="-3"/>
        </w:rPr>
        <w:tab/>
      </w:r>
      <w:r w:rsidRPr="003B4362">
        <w:t>Regulated Contaminants</w:t>
      </w:r>
    </w:p>
    <w:p w14:paraId="3640E8E8" w14:textId="77777777" w:rsidR="00002933" w:rsidRPr="003B4362" w:rsidRDefault="00002933" w:rsidP="00002933">
      <w:pPr>
        <w:widowControl w:val="0"/>
        <w:suppressAutoHyphens/>
        <w:ind w:left="2160" w:hanging="2160"/>
        <w:rPr>
          <w:spacing w:val="-3"/>
        </w:rPr>
      </w:pPr>
      <w:r w:rsidRPr="003B4362">
        <w:rPr>
          <w:spacing w:val="-3"/>
        </w:rPr>
        <w:t>611.APPENDIX B</w:t>
      </w:r>
      <w:r w:rsidRPr="003B4362">
        <w:rPr>
          <w:spacing w:val="-3"/>
        </w:rPr>
        <w:tab/>
        <w:t>Percent Inactivation of G. Lamblia Cysts</w:t>
      </w:r>
    </w:p>
    <w:p w14:paraId="7333E73E" w14:textId="77777777" w:rsidR="00002933" w:rsidRPr="003B4362" w:rsidRDefault="00002933" w:rsidP="00002933">
      <w:pPr>
        <w:widowControl w:val="0"/>
        <w:suppressAutoHyphens/>
        <w:ind w:left="2160" w:hanging="2160"/>
        <w:rPr>
          <w:spacing w:val="-3"/>
        </w:rPr>
      </w:pPr>
      <w:r w:rsidRPr="003B4362">
        <w:rPr>
          <w:spacing w:val="-3"/>
        </w:rPr>
        <w:t>611.APPENDIX C</w:t>
      </w:r>
      <w:r w:rsidRPr="003B4362">
        <w:rPr>
          <w:spacing w:val="-3"/>
        </w:rPr>
        <w:tab/>
        <w:t>Common Names of Organic Chemicals</w:t>
      </w:r>
    </w:p>
    <w:p w14:paraId="293B22FF" w14:textId="77777777" w:rsidR="00002933" w:rsidRPr="003B4362" w:rsidRDefault="00002933" w:rsidP="00002933">
      <w:pPr>
        <w:widowControl w:val="0"/>
        <w:suppressAutoHyphens/>
        <w:ind w:left="2160" w:hanging="2160"/>
        <w:rPr>
          <w:spacing w:val="-3"/>
        </w:rPr>
      </w:pPr>
      <w:r w:rsidRPr="003B4362">
        <w:rPr>
          <w:spacing w:val="-3"/>
        </w:rPr>
        <w:t>611.APPENDIX D</w:t>
      </w:r>
      <w:r w:rsidRPr="003B4362">
        <w:rPr>
          <w:spacing w:val="-3"/>
        </w:rPr>
        <w:tab/>
        <w:t>Defined Substrate Method for the Simultaneous Detection of Total Coliforms and Escherichia Coli from Drinking Water</w:t>
      </w:r>
      <w:r w:rsidRPr="003B4362">
        <w:t xml:space="preserve"> (Repealed)</w:t>
      </w:r>
    </w:p>
    <w:p w14:paraId="5CBA52A6" w14:textId="77777777" w:rsidR="00002933" w:rsidRPr="003B4362" w:rsidRDefault="00002933" w:rsidP="00002933">
      <w:pPr>
        <w:widowControl w:val="0"/>
        <w:suppressAutoHyphens/>
        <w:ind w:left="2160" w:hanging="2160"/>
        <w:rPr>
          <w:spacing w:val="-3"/>
        </w:rPr>
      </w:pPr>
      <w:r w:rsidRPr="003B4362">
        <w:rPr>
          <w:spacing w:val="-3"/>
        </w:rPr>
        <w:t>611.APPENDIX E</w:t>
      </w:r>
      <w:r w:rsidRPr="003B4362">
        <w:rPr>
          <w:spacing w:val="-3"/>
        </w:rPr>
        <w:tab/>
        <w:t>Mandatory Lead Public Education Information</w:t>
      </w:r>
      <w:r w:rsidRPr="003B4362">
        <w:t xml:space="preserve"> for Community Water Systems</w:t>
      </w:r>
    </w:p>
    <w:p w14:paraId="7301851D" w14:textId="77777777" w:rsidR="00002933" w:rsidRPr="003B4362" w:rsidRDefault="00002933" w:rsidP="00002933">
      <w:pPr>
        <w:widowControl w:val="0"/>
        <w:suppressAutoHyphens/>
        <w:ind w:left="2160" w:hanging="2160"/>
      </w:pPr>
      <w:r w:rsidRPr="003B4362">
        <w:t>611.</w:t>
      </w:r>
      <w:r w:rsidRPr="003B4362">
        <w:rPr>
          <w:spacing w:val="-3"/>
        </w:rPr>
        <w:t>APPENDIX</w:t>
      </w:r>
      <w:r w:rsidRPr="003B4362">
        <w:t xml:space="preserve"> F</w:t>
      </w:r>
      <w:r w:rsidRPr="003B4362">
        <w:tab/>
        <w:t>Mandatory Lead Public Education Information for Non-Transient Non-Community Water Systems</w:t>
      </w:r>
    </w:p>
    <w:p w14:paraId="1C5CAF6F" w14:textId="77777777" w:rsidR="00002933" w:rsidRPr="003B4362" w:rsidRDefault="00002933" w:rsidP="00002933">
      <w:pPr>
        <w:widowControl w:val="0"/>
        <w:suppressAutoHyphens/>
        <w:ind w:left="2160" w:hanging="2160"/>
        <w:rPr>
          <w:spacing w:val="-2"/>
        </w:rPr>
      </w:pPr>
      <w:r w:rsidRPr="003B4362">
        <w:rPr>
          <w:spacing w:val="-2"/>
        </w:rPr>
        <w:t>611.</w:t>
      </w:r>
      <w:r w:rsidRPr="003B4362">
        <w:rPr>
          <w:spacing w:val="-3"/>
        </w:rPr>
        <w:t>APPENDIX</w:t>
      </w:r>
      <w:r w:rsidRPr="003B4362">
        <w:rPr>
          <w:spacing w:val="-2"/>
        </w:rPr>
        <w:t xml:space="preserve"> G</w:t>
      </w:r>
      <w:r w:rsidRPr="003B4362">
        <w:rPr>
          <w:spacing w:val="-2"/>
        </w:rPr>
        <w:tab/>
        <w:t>NPDWR Violations and Situations Requiring Public Notice</w:t>
      </w:r>
    </w:p>
    <w:p w14:paraId="2AC2FF94" w14:textId="77777777" w:rsidR="00002933" w:rsidRPr="003B4362" w:rsidRDefault="00002933" w:rsidP="00002933">
      <w:pPr>
        <w:widowControl w:val="0"/>
        <w:suppressAutoHyphens/>
        <w:ind w:left="2160" w:hanging="2160"/>
        <w:rPr>
          <w:spacing w:val="-2"/>
        </w:rPr>
      </w:pPr>
      <w:r w:rsidRPr="003B4362">
        <w:rPr>
          <w:spacing w:val="-2"/>
        </w:rPr>
        <w:t>611.</w:t>
      </w:r>
      <w:r w:rsidRPr="003B4362">
        <w:rPr>
          <w:spacing w:val="-3"/>
        </w:rPr>
        <w:t>APPENDIX</w:t>
      </w:r>
      <w:r w:rsidRPr="003B4362">
        <w:rPr>
          <w:spacing w:val="-2"/>
        </w:rPr>
        <w:t xml:space="preserve"> H</w:t>
      </w:r>
      <w:r w:rsidRPr="003B4362">
        <w:rPr>
          <w:spacing w:val="-2"/>
        </w:rPr>
        <w:tab/>
        <w:t>Standard Health Effects Language for Public Notification</w:t>
      </w:r>
    </w:p>
    <w:p w14:paraId="15D3AAD5" w14:textId="77777777" w:rsidR="00002933" w:rsidRPr="003B4362" w:rsidRDefault="00002933" w:rsidP="00002933">
      <w:pPr>
        <w:widowControl w:val="0"/>
        <w:suppressAutoHyphens/>
        <w:ind w:left="2160" w:hanging="2160"/>
        <w:rPr>
          <w:spacing w:val="-2"/>
        </w:rPr>
      </w:pPr>
      <w:r w:rsidRPr="003B4362">
        <w:rPr>
          <w:spacing w:val="-2"/>
        </w:rPr>
        <w:t>611.</w:t>
      </w:r>
      <w:r w:rsidRPr="003B4362">
        <w:rPr>
          <w:spacing w:val="-3"/>
        </w:rPr>
        <w:t>APPENDIX</w:t>
      </w:r>
      <w:r w:rsidRPr="003B4362">
        <w:rPr>
          <w:spacing w:val="-2"/>
        </w:rPr>
        <w:t xml:space="preserve"> I</w:t>
      </w:r>
      <w:r w:rsidRPr="003B4362">
        <w:rPr>
          <w:spacing w:val="-2"/>
        </w:rPr>
        <w:tab/>
        <w:t>Acronyms Used in Public Notification Regulation</w:t>
      </w:r>
    </w:p>
    <w:p w14:paraId="744D6D97" w14:textId="77777777" w:rsidR="00002933" w:rsidRPr="003B4362" w:rsidRDefault="00002933" w:rsidP="00002933">
      <w:pPr>
        <w:widowControl w:val="0"/>
        <w:suppressAutoHyphens/>
        <w:ind w:left="2160" w:hanging="2160"/>
        <w:rPr>
          <w:spacing w:val="-3"/>
        </w:rPr>
      </w:pPr>
      <w:r w:rsidRPr="003B4362">
        <w:rPr>
          <w:spacing w:val="-3"/>
        </w:rPr>
        <w:t>611.TABLE A</w:t>
      </w:r>
      <w:r w:rsidRPr="003B4362">
        <w:rPr>
          <w:spacing w:val="-3"/>
        </w:rPr>
        <w:tab/>
        <w:t>Total Coliform Monitoring Frequency (Repealed)</w:t>
      </w:r>
    </w:p>
    <w:p w14:paraId="59722D3E" w14:textId="77777777" w:rsidR="00002933" w:rsidRPr="003B4362" w:rsidRDefault="00002933" w:rsidP="00002933">
      <w:pPr>
        <w:widowControl w:val="0"/>
        <w:suppressAutoHyphens/>
        <w:ind w:left="2160" w:hanging="2160"/>
        <w:rPr>
          <w:spacing w:val="-3"/>
        </w:rPr>
      </w:pPr>
      <w:r w:rsidRPr="003B4362">
        <w:rPr>
          <w:spacing w:val="-3"/>
        </w:rPr>
        <w:t>611.TABLE B</w:t>
      </w:r>
      <w:r w:rsidRPr="003B4362">
        <w:rPr>
          <w:spacing w:val="-3"/>
        </w:rPr>
        <w:tab/>
        <w:t>Fecal or Total Coliform Density Measurements</w:t>
      </w:r>
    </w:p>
    <w:p w14:paraId="0C3E993D" w14:textId="77777777" w:rsidR="00002933" w:rsidRPr="003B4362" w:rsidRDefault="00002933" w:rsidP="00002933">
      <w:pPr>
        <w:widowControl w:val="0"/>
        <w:suppressAutoHyphens/>
        <w:ind w:left="2160" w:hanging="2160"/>
        <w:rPr>
          <w:spacing w:val="-3"/>
        </w:rPr>
      </w:pPr>
      <w:r w:rsidRPr="003B4362">
        <w:rPr>
          <w:spacing w:val="-3"/>
        </w:rPr>
        <w:t>611.TABLE C</w:t>
      </w:r>
      <w:r w:rsidRPr="003B4362">
        <w:rPr>
          <w:spacing w:val="-3"/>
        </w:rPr>
        <w:tab/>
        <w:t>Frequency of RDC Measurement</w:t>
      </w:r>
    </w:p>
    <w:p w14:paraId="58897A59" w14:textId="77777777" w:rsidR="00002933" w:rsidRPr="003B4362" w:rsidRDefault="00002933" w:rsidP="00002933">
      <w:pPr>
        <w:widowControl w:val="0"/>
        <w:suppressAutoHyphens/>
        <w:ind w:left="2160" w:hanging="2160"/>
        <w:rPr>
          <w:spacing w:val="-3"/>
        </w:rPr>
      </w:pPr>
      <w:r w:rsidRPr="003B4362">
        <w:rPr>
          <w:spacing w:val="-3"/>
        </w:rPr>
        <w:t>611.TABLE D</w:t>
      </w:r>
      <w:r w:rsidRPr="003B4362">
        <w:rPr>
          <w:spacing w:val="-3"/>
        </w:rPr>
        <w:tab/>
        <w:t>Number of Lead and Copper Monitoring Sites</w:t>
      </w:r>
    </w:p>
    <w:p w14:paraId="2D278339" w14:textId="77777777" w:rsidR="00002933" w:rsidRPr="003B4362" w:rsidRDefault="00002933" w:rsidP="00002933">
      <w:pPr>
        <w:widowControl w:val="0"/>
        <w:suppressAutoHyphens/>
        <w:ind w:left="2160" w:hanging="2160"/>
        <w:rPr>
          <w:spacing w:val="-3"/>
        </w:rPr>
      </w:pPr>
      <w:r w:rsidRPr="003B4362">
        <w:rPr>
          <w:spacing w:val="-3"/>
        </w:rPr>
        <w:t>611.TABLE E</w:t>
      </w:r>
      <w:r w:rsidRPr="003B4362">
        <w:rPr>
          <w:spacing w:val="-3"/>
        </w:rPr>
        <w:tab/>
        <w:t>Lead and Copper Monitoring Start Dates</w:t>
      </w:r>
      <w:r w:rsidRPr="003B4362">
        <w:t xml:space="preserve"> (Repealed)</w:t>
      </w:r>
    </w:p>
    <w:p w14:paraId="5FE1E1D8" w14:textId="77777777" w:rsidR="00002933" w:rsidRPr="003B4362" w:rsidRDefault="00002933" w:rsidP="00002933">
      <w:pPr>
        <w:widowControl w:val="0"/>
        <w:suppressAutoHyphens/>
        <w:ind w:left="2160" w:hanging="2160"/>
        <w:rPr>
          <w:spacing w:val="-3"/>
        </w:rPr>
      </w:pPr>
      <w:r w:rsidRPr="003B4362">
        <w:rPr>
          <w:spacing w:val="-3"/>
        </w:rPr>
        <w:t>611.TABLE F</w:t>
      </w:r>
      <w:r w:rsidRPr="003B4362">
        <w:rPr>
          <w:spacing w:val="-3"/>
        </w:rPr>
        <w:tab/>
        <w:t>Number of Water Quality Parameter Sampling Sites</w:t>
      </w:r>
    </w:p>
    <w:p w14:paraId="77A207E3" w14:textId="499A7C58" w:rsidR="00002933" w:rsidRPr="003B4362" w:rsidRDefault="00002933" w:rsidP="00002933">
      <w:pPr>
        <w:widowControl w:val="0"/>
        <w:suppressAutoHyphens/>
        <w:ind w:left="2160" w:hanging="2160"/>
        <w:rPr>
          <w:spacing w:val="-3"/>
        </w:rPr>
      </w:pPr>
      <w:r w:rsidRPr="003B4362">
        <w:rPr>
          <w:spacing w:val="-3"/>
        </w:rPr>
        <w:t>611.TABLE G</w:t>
      </w:r>
      <w:r w:rsidRPr="003B4362">
        <w:rPr>
          <w:spacing w:val="-3"/>
        </w:rPr>
        <w:tab/>
        <w:t xml:space="preserve">Summary of </w:t>
      </w:r>
      <w:r w:rsidRPr="003B4362">
        <w:t xml:space="preserve">Section 611.357 </w:t>
      </w:r>
      <w:r w:rsidRPr="003B4362">
        <w:rPr>
          <w:spacing w:val="-3"/>
        </w:rPr>
        <w:t>Monitoring Requirements for Water Quality Parameters</w:t>
      </w:r>
      <w:r w:rsidR="007B4FC9" w:rsidRPr="003B4362">
        <w:rPr>
          <w:spacing w:val="-3"/>
        </w:rPr>
        <w:t xml:space="preserve"> (Repealed)</w:t>
      </w:r>
    </w:p>
    <w:p w14:paraId="1E15894D" w14:textId="77777777" w:rsidR="00002933" w:rsidRPr="003B4362" w:rsidRDefault="00002933" w:rsidP="00002933">
      <w:pPr>
        <w:widowControl w:val="0"/>
        <w:ind w:left="2160" w:hanging="2160"/>
      </w:pPr>
      <w:r w:rsidRPr="003B4362">
        <w:t>611.</w:t>
      </w:r>
      <w:r w:rsidRPr="003B4362">
        <w:rPr>
          <w:spacing w:val="-3"/>
        </w:rPr>
        <w:t>TABLE</w:t>
      </w:r>
      <w:r w:rsidRPr="003B4362">
        <w:t xml:space="preserve"> H</w:t>
      </w:r>
      <w:r w:rsidRPr="003B4362">
        <w:tab/>
        <w:t>CT V</w:t>
      </w:r>
      <w:r w:rsidRPr="003B4362">
        <w:rPr>
          <w:szCs w:val="16"/>
        </w:rPr>
        <w:t xml:space="preserve">alues </w:t>
      </w:r>
      <w:r w:rsidRPr="003B4362">
        <w:t>(</w:t>
      </w:r>
      <w:r w:rsidRPr="003B4362">
        <w:rPr>
          <w:szCs w:val="16"/>
        </w:rPr>
        <w:t>mg</w:t>
      </w:r>
      <w:r w:rsidRPr="003B4362">
        <w:t>·</w:t>
      </w:r>
      <w:r w:rsidRPr="003B4362">
        <w:rPr>
          <w:szCs w:val="16"/>
        </w:rPr>
        <w:t>min</w:t>
      </w:r>
      <w:r w:rsidRPr="003B4362">
        <w:t xml:space="preserve">/ℓ) </w:t>
      </w:r>
      <w:r w:rsidRPr="003B4362">
        <w:rPr>
          <w:szCs w:val="16"/>
        </w:rPr>
        <w:t xml:space="preserve">for </w:t>
      </w:r>
      <w:r w:rsidRPr="003B4362">
        <w:t>Cryptosporidium I</w:t>
      </w:r>
      <w:r w:rsidRPr="003B4362">
        <w:rPr>
          <w:szCs w:val="16"/>
        </w:rPr>
        <w:t xml:space="preserve">nactivation by </w:t>
      </w:r>
      <w:r w:rsidRPr="003B4362">
        <w:t>C</w:t>
      </w:r>
      <w:r w:rsidRPr="003B4362">
        <w:rPr>
          <w:szCs w:val="16"/>
        </w:rPr>
        <w:t xml:space="preserve">hlorine </w:t>
      </w:r>
      <w:r w:rsidRPr="003B4362">
        <w:t>D</w:t>
      </w:r>
      <w:r w:rsidRPr="003B4362">
        <w:rPr>
          <w:szCs w:val="16"/>
        </w:rPr>
        <w:t>ioxide</w:t>
      </w:r>
    </w:p>
    <w:p w14:paraId="3B410FF0" w14:textId="77777777" w:rsidR="00002933" w:rsidRPr="003B4362" w:rsidRDefault="00002933" w:rsidP="00002933">
      <w:pPr>
        <w:widowControl w:val="0"/>
        <w:ind w:left="2160" w:hanging="2160"/>
      </w:pPr>
      <w:r w:rsidRPr="003B4362">
        <w:t>611.</w:t>
      </w:r>
      <w:r w:rsidRPr="003B4362">
        <w:rPr>
          <w:spacing w:val="-3"/>
        </w:rPr>
        <w:t>TABLE</w:t>
      </w:r>
      <w:r w:rsidRPr="003B4362">
        <w:t xml:space="preserve"> I</w:t>
      </w:r>
      <w:r w:rsidRPr="003B4362">
        <w:tab/>
        <w:t>CT V</w:t>
      </w:r>
      <w:r w:rsidRPr="003B4362">
        <w:rPr>
          <w:szCs w:val="16"/>
        </w:rPr>
        <w:t xml:space="preserve">alues </w:t>
      </w:r>
      <w:r w:rsidRPr="003B4362">
        <w:t>(</w:t>
      </w:r>
      <w:r w:rsidRPr="003B4362">
        <w:rPr>
          <w:szCs w:val="16"/>
        </w:rPr>
        <w:t>mg</w:t>
      </w:r>
      <w:r w:rsidRPr="003B4362">
        <w:t>·</w:t>
      </w:r>
      <w:r w:rsidRPr="003B4362">
        <w:rPr>
          <w:szCs w:val="16"/>
        </w:rPr>
        <w:t>min</w:t>
      </w:r>
      <w:r w:rsidRPr="003B4362">
        <w:t xml:space="preserve">/ℓ) </w:t>
      </w:r>
      <w:r w:rsidRPr="003B4362">
        <w:rPr>
          <w:szCs w:val="16"/>
        </w:rPr>
        <w:t xml:space="preserve">for </w:t>
      </w:r>
      <w:r w:rsidRPr="003B4362">
        <w:t>Cryptosporidium I</w:t>
      </w:r>
      <w:r w:rsidRPr="003B4362">
        <w:rPr>
          <w:szCs w:val="16"/>
        </w:rPr>
        <w:t xml:space="preserve">nactivation by </w:t>
      </w:r>
      <w:r w:rsidRPr="003B4362">
        <w:t>O</w:t>
      </w:r>
      <w:r w:rsidRPr="003B4362">
        <w:rPr>
          <w:szCs w:val="16"/>
        </w:rPr>
        <w:t>zone</w:t>
      </w:r>
    </w:p>
    <w:p w14:paraId="4A0D302C" w14:textId="77777777" w:rsidR="00002933" w:rsidRPr="003B4362" w:rsidRDefault="00002933" w:rsidP="00002933">
      <w:pPr>
        <w:widowControl w:val="0"/>
        <w:suppressAutoHyphens/>
        <w:ind w:left="2160" w:hanging="2160"/>
        <w:rPr>
          <w:spacing w:val="-3"/>
        </w:rPr>
      </w:pPr>
      <w:r w:rsidRPr="003B4362">
        <w:t>611.</w:t>
      </w:r>
      <w:r w:rsidRPr="003B4362">
        <w:rPr>
          <w:spacing w:val="-3"/>
        </w:rPr>
        <w:t>TABLE</w:t>
      </w:r>
      <w:r w:rsidRPr="003B4362">
        <w:t xml:space="preserve"> J</w:t>
      </w:r>
      <w:r w:rsidRPr="003B4362">
        <w:tab/>
        <w:t>UV D</w:t>
      </w:r>
      <w:r w:rsidRPr="003B4362">
        <w:rPr>
          <w:szCs w:val="16"/>
        </w:rPr>
        <w:t xml:space="preserve">ose </w:t>
      </w:r>
      <w:r w:rsidRPr="003B4362">
        <w:t>T</w:t>
      </w:r>
      <w:r w:rsidRPr="003B4362">
        <w:rPr>
          <w:szCs w:val="16"/>
        </w:rPr>
        <w:t xml:space="preserve">able for </w:t>
      </w:r>
      <w:r w:rsidRPr="003B4362">
        <w:t xml:space="preserve">Cryptosporidium, Giardia lamblia, </w:t>
      </w:r>
      <w:r w:rsidRPr="003B4362">
        <w:rPr>
          <w:szCs w:val="16"/>
        </w:rPr>
        <w:t xml:space="preserve">and </w:t>
      </w:r>
      <w:r w:rsidRPr="003B4362">
        <w:t>V</w:t>
      </w:r>
      <w:r w:rsidRPr="003B4362">
        <w:rPr>
          <w:szCs w:val="16"/>
        </w:rPr>
        <w:t xml:space="preserve">irus </w:t>
      </w:r>
      <w:r w:rsidRPr="003B4362">
        <w:t>I</w:t>
      </w:r>
      <w:r w:rsidRPr="003B4362">
        <w:rPr>
          <w:szCs w:val="16"/>
        </w:rPr>
        <w:t xml:space="preserve">nactivation </w:t>
      </w:r>
      <w:r w:rsidRPr="003B4362">
        <w:t>C</w:t>
      </w:r>
      <w:r w:rsidRPr="003B4362">
        <w:rPr>
          <w:szCs w:val="16"/>
        </w:rPr>
        <w:t>redit</w:t>
      </w:r>
    </w:p>
    <w:p w14:paraId="4FA27E74" w14:textId="5FC7DE4A" w:rsidR="003C5D8C" w:rsidRPr="003B4362" w:rsidRDefault="003C5D8C" w:rsidP="003C5D8C">
      <w:pPr>
        <w:ind w:left="2160" w:hanging="2160"/>
      </w:pPr>
      <w:r w:rsidRPr="003B4362">
        <w:lastRenderedPageBreak/>
        <w:t>611.TABLE R</w:t>
      </w:r>
      <w:r w:rsidRPr="003B4362">
        <w:tab/>
        <w:t>Radionuclide Conversion Factors</w:t>
      </w:r>
    </w:p>
    <w:p w14:paraId="76FDD47C" w14:textId="77777777" w:rsidR="00002933" w:rsidRPr="003B4362" w:rsidRDefault="00002933" w:rsidP="00002933">
      <w:pPr>
        <w:widowControl w:val="0"/>
        <w:suppressAutoHyphens/>
        <w:ind w:left="2160" w:hanging="2160"/>
        <w:rPr>
          <w:spacing w:val="-3"/>
        </w:rPr>
      </w:pPr>
      <w:r w:rsidRPr="003B4362">
        <w:rPr>
          <w:spacing w:val="-3"/>
        </w:rPr>
        <w:t>611.TABLE Z</w:t>
      </w:r>
      <w:r w:rsidRPr="003B4362">
        <w:rPr>
          <w:spacing w:val="-3"/>
        </w:rPr>
        <w:tab/>
        <w:t>Federal Effective Dates</w:t>
      </w:r>
    </w:p>
    <w:p w14:paraId="02CD8459" w14:textId="77777777" w:rsidR="00002933" w:rsidRPr="003B4362" w:rsidRDefault="00002933" w:rsidP="00002933">
      <w:pPr>
        <w:widowControl w:val="0"/>
        <w:suppressAutoHyphens/>
        <w:spacing w:before="240" w:after="240"/>
        <w:rPr>
          <w:spacing w:val="-3"/>
        </w:rPr>
      </w:pPr>
      <w:r w:rsidRPr="003B4362">
        <w:rPr>
          <w:spacing w:val="-3"/>
        </w:rPr>
        <w:t>AUTHORITY:  Implementing Sections 7.2, 17, and 17.5 and authorized by Section 27 of the Environmental Protection Act [415 ILCS 5/7.2, 17, 17.5, and 27].</w:t>
      </w:r>
    </w:p>
    <w:p w14:paraId="6732BCAE" w14:textId="3811CADE" w:rsidR="005769F0" w:rsidRDefault="00002933" w:rsidP="00BE2797">
      <w:pPr>
        <w:widowControl w:val="0"/>
        <w:suppressAutoHyphens/>
      </w:pPr>
      <w:r w:rsidRPr="003B4362">
        <w:rPr>
          <w:spacing w:val="-3"/>
        </w:rPr>
        <w:t>SOURCE:  Adopted in R88-26 at 14 Ill. Reg. 16517, effective September 20, 1990; amended in R90-21 at 14 Ill. Reg. 20448, effective December 11, 1990; amended in R90-13 at 15 Ill. Reg. 1562, effective January 22, 1991; amended in R91-3 at 16 Ill. Reg. 19010, effective December 1, 1992; amended in R92-3 at 17 Ill. Reg. 7796, effective May 18, 1993; amended in R93-1 at 17 Ill. Reg. 12650, effective July 23, 1993; amended in R94-4 at 18 Ill. Reg. 12291, effective July 28, 1994; amended in R94-23 at 19 Ill. Reg. 8613, effective June 20, 1995; amended in R95-17 at 20 Ill. Reg. 14493, effective October 22, 1996</w:t>
      </w:r>
      <w:r w:rsidRPr="003B4362">
        <w:t xml:space="preserve">; amended in R98-2 at 22 Ill. Reg. 5020, effective March 5, 1998; </w:t>
      </w:r>
      <w:r w:rsidRPr="003B4362">
        <w:rPr>
          <w:spacing w:val="-3"/>
        </w:rPr>
        <w:t xml:space="preserve">amended in R99-6 at 23 Ill. Reg. 2756, effective February 17, 1999; amended in R99-12 at </w:t>
      </w:r>
      <w:r w:rsidRPr="003B4362">
        <w:t>23 Ill. Reg. 10348, effective August 11, 1999</w:t>
      </w:r>
      <w:r w:rsidRPr="003B4362">
        <w:rPr>
          <w:spacing w:val="-3"/>
        </w:rPr>
        <w:t xml:space="preserve">; amended in R00-8 at </w:t>
      </w:r>
      <w:r w:rsidRPr="003B4362">
        <w:t>23 Ill. Reg. 14715, effective December 8, 1999</w:t>
      </w:r>
      <w:r w:rsidRPr="003B4362">
        <w:rPr>
          <w:spacing w:val="-3"/>
        </w:rPr>
        <w:t>; amended in R00-10 at 24 Ill. Reg. 14226</w:t>
      </w:r>
      <w:r w:rsidRPr="003B4362">
        <w:t>,</w:t>
      </w:r>
      <w:r w:rsidRPr="003B4362">
        <w:rPr>
          <w:spacing w:val="-3"/>
        </w:rPr>
        <w:t xml:space="preserve"> effective September 11, 2000; amended in R01-7 at 25 Ill. Reg. 1329, effective January 11, 2001</w:t>
      </w:r>
      <w:r w:rsidRPr="003B4362">
        <w:t xml:space="preserve">; amended in R01-20 at 25 Ill. Reg. 13611, effective October 9, 2001; amended in R02-5 at 26 Ill. Reg. 3522, effective February 22, 2002; amended in R03-4 at 27 Ill. Reg. 1183, effective January 10, 2003; amended in R03-15 at 27 Ill. Reg. 16447, effective October 10, 2003; amended in R04-3 at 28 Ill. Reg. 5269, effective March 10, 2004; amended in R04-13 at 28 Ill. Reg. </w:t>
      </w:r>
      <w:r w:rsidRPr="003B4362">
        <w:rPr>
          <w:szCs w:val="17"/>
        </w:rPr>
        <w:t>12666</w:t>
      </w:r>
      <w:r w:rsidRPr="003B4362">
        <w:t xml:space="preserve">, effective </w:t>
      </w:r>
      <w:r w:rsidRPr="003B4362">
        <w:rPr>
          <w:szCs w:val="17"/>
        </w:rPr>
        <w:t>August 26, 2004; amended in R05-6 at 29 Ill. Reg. 2287, effective January 28, 2005; amended in R06-15 at 30 Ill. Reg. 17004, effective October 13, 2006; amended in R07-2/R07-11 at 31 Ill. Reg. 11757, effective July 27, 2007</w:t>
      </w:r>
      <w:r w:rsidRPr="003B4362">
        <w:t>; amended in R08-7/R08-13 at 33 Ill. Reg. 633, effective December 30, 2008; amended in R10-1/R10-17/R11-6 at 34 Ill. Reg. 19848, effective December 7, 2010; amended in R12-4 at 36 Ill. Reg. 7110, effective April 25, 2012; amended in R13-2 at 37 Ill. Reg. 1978, effective February 4, 2013; amended in R14-8 at 38 Ill. Reg. 3608, effective January 27, 2014; amended in R14-9 at 38 Ill. Reg. 9792, effective April 21, 2014; amended in R15-6 at 39 Ill. Reg. 3713, effective February 24, 2015; amended in R15-23 at 39 Ill. Reg. 15144, effective November 9, 2015; amended in R16-4 at 39 Ill. Reg. 15352, effective November 13, 2015; a</w:t>
      </w:r>
      <w:r w:rsidRPr="003B4362">
        <w:rPr>
          <w:szCs w:val="17"/>
        </w:rPr>
        <w:t xml:space="preserve">mended in R17-12 at </w:t>
      </w:r>
      <w:r w:rsidRPr="003B4362">
        <w:t>42 Ill. Reg. 1140, effective January 4, 2018; amended in R18-9 at 42 Ill. Reg. 9316, effective May 29, 2018</w:t>
      </w:r>
      <w:bookmarkStart w:id="4" w:name="_Hlk25242647"/>
      <w:r w:rsidRPr="003B4362">
        <w:t>; amended in R18-17 at 43 Ill. Reg. 8206, effective July 26, 2019</w:t>
      </w:r>
      <w:bookmarkEnd w:id="4"/>
      <w:r w:rsidRPr="003B4362">
        <w:t>; amended in R19-16 at 44 Ill. Reg. 6996, effective April 17, 2020</w:t>
      </w:r>
      <w:r w:rsidR="008C7BEA" w:rsidRPr="003B4362">
        <w:t>; amended in R1</w:t>
      </w:r>
      <w:r w:rsidR="002D1BD4">
        <w:t>8</w:t>
      </w:r>
      <w:r w:rsidR="008C7BEA" w:rsidRPr="003B4362">
        <w:t xml:space="preserve">-26 at 47 Ill. Reg. </w:t>
      </w:r>
      <w:r w:rsidR="005A291E" w:rsidRPr="003B4362">
        <w:t>7556,</w:t>
      </w:r>
      <w:r w:rsidR="008C7BEA" w:rsidRPr="003B4362">
        <w:t xml:space="preserve"> effective</w:t>
      </w:r>
      <w:r w:rsidR="005A291E" w:rsidRPr="003B4362">
        <w:t xml:space="preserve"> May 16, 2023</w:t>
      </w:r>
      <w:r w:rsidR="008C7BEA" w:rsidRPr="003B4362">
        <w:t>; amended in R21-</w:t>
      </w:r>
      <w:r w:rsidR="00173798" w:rsidRPr="003B4362">
        <w:t>10</w:t>
      </w:r>
      <w:r w:rsidR="008C7BEA" w:rsidRPr="003B4362">
        <w:t>/R22-</w:t>
      </w:r>
      <w:r w:rsidR="00173798" w:rsidRPr="003B4362">
        <w:t>2</w:t>
      </w:r>
      <w:r w:rsidR="008C7BEA" w:rsidRPr="003B4362">
        <w:t xml:space="preserve"> at 47 Ill. </w:t>
      </w:r>
      <w:r w:rsidR="00371746" w:rsidRPr="003B4362">
        <w:t xml:space="preserve">Reg. </w:t>
      </w:r>
      <w:r w:rsidR="00757184">
        <w:t>16486</w:t>
      </w:r>
      <w:r w:rsidR="008C7BEA" w:rsidRPr="003B4362">
        <w:t xml:space="preserve">, effective </w:t>
      </w:r>
      <w:r w:rsidR="00757184">
        <w:t>November 2, 2023</w:t>
      </w:r>
      <w:r w:rsidR="005769F0">
        <w:t>; amended in R23-9 at 47 Ill. Reg. 18896, effective December 7, 2023.</w:t>
      </w:r>
    </w:p>
    <w:p w14:paraId="215B0202" w14:textId="207D3ED2" w:rsidR="00002933" w:rsidRPr="003B4362" w:rsidRDefault="00002933" w:rsidP="00BE2797">
      <w:pPr>
        <w:widowControl w:val="0"/>
        <w:suppressAutoHyphens/>
        <w:rPr>
          <w:spacing w:val="-3"/>
        </w:rPr>
      </w:pPr>
    </w:p>
    <w:p w14:paraId="6D27785C" w14:textId="65B9763D" w:rsidR="004E2D35" w:rsidRPr="003B4362" w:rsidRDefault="004E2D35" w:rsidP="00BE2797">
      <w:pPr>
        <w:jc w:val="center"/>
      </w:pPr>
      <w:r w:rsidRPr="003B4362">
        <w:t>SUBPART A:  GENERAL</w:t>
      </w:r>
    </w:p>
    <w:p w14:paraId="1A39E138" w14:textId="77777777" w:rsidR="00BE2797" w:rsidRPr="003B4362" w:rsidRDefault="00BE2797" w:rsidP="00BE2797">
      <w:pPr>
        <w:rPr>
          <w:b/>
          <w:bCs/>
        </w:rPr>
      </w:pPr>
    </w:p>
    <w:p w14:paraId="1E4144EE" w14:textId="0EC0EC67" w:rsidR="004E2D35" w:rsidRPr="003B4362" w:rsidRDefault="004E2D35" w:rsidP="00BE2797">
      <w:pPr>
        <w:rPr>
          <w:b/>
          <w:bCs/>
        </w:rPr>
      </w:pPr>
      <w:r w:rsidRPr="003B4362">
        <w:rPr>
          <w:b/>
          <w:bCs/>
        </w:rPr>
        <w:t xml:space="preserve">Section 611.100  </w:t>
      </w:r>
      <w:r w:rsidRPr="003B4362">
        <w:rPr>
          <w:b/>
          <w:bCs/>
          <w:spacing w:val="-3"/>
        </w:rPr>
        <w:t>Purpose, Scope</w:t>
      </w:r>
      <w:r w:rsidRPr="003B4362">
        <w:rPr>
          <w:b/>
          <w:bCs/>
        </w:rPr>
        <w:t>,</w:t>
      </w:r>
      <w:r w:rsidRPr="003B4362">
        <w:rPr>
          <w:b/>
          <w:bCs/>
          <w:spacing w:val="-3"/>
        </w:rPr>
        <w:t xml:space="preserve"> and Applicability</w:t>
      </w:r>
    </w:p>
    <w:p w14:paraId="48FE1A54" w14:textId="2C0DE97E" w:rsidR="004E2D35" w:rsidRPr="003B4362" w:rsidRDefault="004E2D35" w:rsidP="004E2D35">
      <w:pPr>
        <w:suppressAutoHyphens/>
        <w:spacing w:before="240"/>
        <w:ind w:left="1440" w:hanging="720"/>
      </w:pPr>
      <w:r w:rsidRPr="003B4362">
        <w:t>a)</w:t>
      </w:r>
      <w:r w:rsidRPr="003B4362">
        <w:tab/>
        <w:t xml:space="preserve">This Part satisfies the </w:t>
      </w:r>
      <w:r w:rsidR="0030798A" w:rsidRPr="003B4362">
        <w:t xml:space="preserve">mandate in </w:t>
      </w:r>
      <w:r w:rsidRPr="003B4362">
        <w:t xml:space="preserve">Section 17.5 of the Environmental Protection Act (Act) </w:t>
      </w:r>
      <w:r w:rsidR="00B31ED6" w:rsidRPr="003B4362">
        <w:t xml:space="preserve">requiring </w:t>
      </w:r>
      <w:r w:rsidRPr="003B4362">
        <w:t xml:space="preserve">the Board </w:t>
      </w:r>
      <w:r w:rsidR="00B31ED6" w:rsidRPr="003B4362">
        <w:t xml:space="preserve">to </w:t>
      </w:r>
      <w:r w:rsidRPr="003B4362">
        <w:t xml:space="preserve">adopt regulations that are identical in substance with federal regulations the United States Environmental Protection Agency (USEPA) </w:t>
      </w:r>
      <w:bookmarkStart w:id="5" w:name="_Hlk129085839"/>
      <w:r w:rsidR="00B31ED6" w:rsidRPr="003B4362">
        <w:t xml:space="preserve">adopted </w:t>
      </w:r>
      <w:r w:rsidR="00E37F80" w:rsidRPr="003B4362">
        <w:t xml:space="preserve">under </w:t>
      </w:r>
      <w:r w:rsidRPr="003B4362">
        <w:t>sections 1412(b), 1414(c), 1417(a), and 1445(a)</w:t>
      </w:r>
      <w:bookmarkEnd w:id="5"/>
      <w:r w:rsidRPr="003B4362">
        <w:t xml:space="preserve"> of the </w:t>
      </w:r>
      <w:r w:rsidRPr="003B4362">
        <w:lastRenderedPageBreak/>
        <w:t xml:space="preserve">Safe Drinking Water Act (SDWA) (42 </w:t>
      </w:r>
      <w:r w:rsidR="00173798" w:rsidRPr="003B4362">
        <w:t>U.S.C.</w:t>
      </w:r>
      <w:r w:rsidRPr="003B4362">
        <w:t xml:space="preserve"> 300g-1(b), 300g-3(c), 300g-6(a), and 300j-4(a)).</w:t>
      </w:r>
    </w:p>
    <w:p w14:paraId="5744E760" w14:textId="1C13B28F" w:rsidR="004E2D35" w:rsidRPr="003B4362" w:rsidRDefault="004E2D35" w:rsidP="004E2D35">
      <w:pPr>
        <w:suppressAutoHyphens/>
        <w:spacing w:before="240"/>
        <w:ind w:left="1440" w:hanging="720"/>
      </w:pPr>
      <w:r w:rsidRPr="003B4362">
        <w:t>b)</w:t>
      </w:r>
      <w:r w:rsidRPr="003B4362">
        <w:tab/>
        <w:t xml:space="preserve">This Part establishes primary drinking water regulations (NPDWRs) </w:t>
      </w:r>
      <w:r w:rsidR="00E37F80" w:rsidRPr="003B4362">
        <w:t xml:space="preserve">under </w:t>
      </w:r>
      <w:r w:rsidRPr="003B4362">
        <w:t>SDWA</w:t>
      </w:r>
      <w:r w:rsidR="00B31ED6" w:rsidRPr="003B4362">
        <w:t>.  This Part</w:t>
      </w:r>
      <w:r w:rsidRPr="003B4362">
        <w:t xml:space="preserve"> also </w:t>
      </w:r>
      <w:bookmarkStart w:id="6" w:name="_Hlk129086489"/>
      <w:r w:rsidRPr="003B4362">
        <w:t>includes additional State requirements</w:t>
      </w:r>
      <w:bookmarkEnd w:id="6"/>
      <w:r w:rsidRPr="003B4362">
        <w:t xml:space="preserve"> that are consistent with and more stringent than the USEPA regulations (Section 7.2(a)(6) of the Act).  T</w:t>
      </w:r>
      <w:bookmarkStart w:id="7" w:name="_Hlk129086594"/>
      <w:r w:rsidRPr="003B4362">
        <w:t xml:space="preserve">he </w:t>
      </w:r>
      <w:r w:rsidR="00D14066" w:rsidRPr="003B4362">
        <w:t xml:space="preserve">Board marked the </w:t>
      </w:r>
      <w:r w:rsidRPr="003B4362">
        <w:t xml:space="preserve">latter provisions </w:t>
      </w:r>
      <w:bookmarkEnd w:id="7"/>
      <w:r w:rsidRPr="003B4362">
        <w:t xml:space="preserve">as “additional State requirements”.  </w:t>
      </w:r>
      <w:r w:rsidR="00932C93" w:rsidRPr="003B4362">
        <w:t>T</w:t>
      </w:r>
      <w:bookmarkStart w:id="8" w:name="_Hlk129086722"/>
      <w:r w:rsidR="00932C93" w:rsidRPr="003B4362">
        <w:t xml:space="preserve">hese additional State requirements </w:t>
      </w:r>
      <w:r w:rsidRPr="003B4362">
        <w:t>apply</w:t>
      </w:r>
      <w:bookmarkEnd w:id="8"/>
      <w:r w:rsidRPr="003B4362">
        <w:t xml:space="preserve"> only to CWSs.</w:t>
      </w:r>
    </w:p>
    <w:p w14:paraId="5A6AD666" w14:textId="40120E97" w:rsidR="007402CF" w:rsidRPr="003B4362" w:rsidRDefault="007402CF" w:rsidP="007402CF">
      <w:pPr>
        <w:suppressAutoHyphens/>
        <w:spacing w:before="240"/>
        <w:ind w:left="1440"/>
      </w:pPr>
      <w:r w:rsidRPr="003B4362">
        <w:t>BOARD NOTE:  This subsection (b) derives from 40 CFR 141.1.</w:t>
      </w:r>
    </w:p>
    <w:p w14:paraId="096D2612" w14:textId="41DF2BDD" w:rsidR="004E2D35" w:rsidRPr="003B4362" w:rsidRDefault="004E2D35" w:rsidP="004E2D35">
      <w:pPr>
        <w:suppressAutoHyphens/>
        <w:spacing w:before="240"/>
        <w:ind w:left="1440" w:hanging="720"/>
      </w:pPr>
      <w:r w:rsidRPr="003B4362">
        <w:t>c)</w:t>
      </w:r>
      <w:r w:rsidRPr="003B4362">
        <w:tab/>
        <w:t>This Part applies to suppliers</w:t>
      </w:r>
      <w:r w:rsidRPr="003B4362">
        <w:rPr>
          <w:szCs w:val="16"/>
        </w:rPr>
        <w:t>,</w:t>
      </w:r>
      <w:r w:rsidRPr="003B4362">
        <w:t xml:space="preserve"> owners and operators of </w:t>
      </w:r>
      <w:bookmarkStart w:id="9" w:name="_Hlk129087902"/>
      <w:r w:rsidRPr="003B4362">
        <w:t>PWSs</w:t>
      </w:r>
      <w:r w:rsidR="000A603E" w:rsidRPr="003B4362">
        <w:t xml:space="preserve">, and persons </w:t>
      </w:r>
      <w:r w:rsidR="00973556" w:rsidRPr="003B4362">
        <w:t>affecting the quality of water the public consumes from suppliers or PWSs</w:t>
      </w:r>
      <w:bookmarkEnd w:id="9"/>
      <w:r w:rsidRPr="003B4362">
        <w:t xml:space="preserve">.  PWSs include CWSs, </w:t>
      </w:r>
      <w:bookmarkStart w:id="10" w:name="_Hlk129199998"/>
      <w:r w:rsidRPr="003B4362">
        <w:t>non-CWSs</w:t>
      </w:r>
      <w:bookmarkEnd w:id="10"/>
      <w:r w:rsidRPr="003B4362">
        <w:t xml:space="preserve">, and </w:t>
      </w:r>
      <w:bookmarkStart w:id="11" w:name="_Hlk129200083"/>
      <w:r w:rsidRPr="003B4362">
        <w:t>NTNCWSs</w:t>
      </w:r>
      <w:bookmarkEnd w:id="11"/>
      <w:r w:rsidRPr="003B4362">
        <w:t xml:space="preserve">, </w:t>
      </w:r>
      <w:bookmarkStart w:id="12" w:name="_Hlk129088033"/>
      <w:r w:rsidRPr="003B4362">
        <w:t>as Section 611.101</w:t>
      </w:r>
      <w:r w:rsidR="00D14066" w:rsidRPr="003B4362">
        <w:t xml:space="preserve"> defines these terms</w:t>
      </w:r>
      <w:bookmarkEnd w:id="12"/>
      <w:r w:rsidRPr="003B4362">
        <w:t>.</w:t>
      </w:r>
    </w:p>
    <w:p w14:paraId="3B5A2C00" w14:textId="6020066A" w:rsidR="004E2D35" w:rsidRPr="003B4362" w:rsidRDefault="004E2D35" w:rsidP="004E2D35">
      <w:pPr>
        <w:suppressAutoHyphens/>
        <w:spacing w:before="240"/>
        <w:ind w:left="2160" w:hanging="720"/>
      </w:pPr>
      <w:r w:rsidRPr="003B4362">
        <w:t>1)</w:t>
      </w:r>
      <w:r w:rsidRPr="003B4362">
        <w:tab/>
      </w:r>
      <w:r w:rsidR="00932C93" w:rsidRPr="003B4362">
        <w:t>A</w:t>
      </w:r>
      <w:bookmarkStart w:id="13" w:name="_Hlk129088205"/>
      <w:r w:rsidR="00932C93" w:rsidRPr="003B4362">
        <w:t xml:space="preserve"> </w:t>
      </w:r>
      <w:r w:rsidRPr="003B4362">
        <w:t xml:space="preserve">CWS </w:t>
      </w:r>
      <w:r w:rsidR="00932C93" w:rsidRPr="003B4362">
        <w:t xml:space="preserve">must </w:t>
      </w:r>
      <w:r w:rsidRPr="003B4362">
        <w:t xml:space="preserve">obtain </w:t>
      </w:r>
      <w:r w:rsidR="00932C93" w:rsidRPr="003B4362">
        <w:t xml:space="preserve">a permit </w:t>
      </w:r>
      <w:bookmarkEnd w:id="13"/>
      <w:r w:rsidRPr="003B4362">
        <w:t xml:space="preserve">from the Illinois Environmental Protection Agency (Agency) </w:t>
      </w:r>
      <w:bookmarkStart w:id="14" w:name="_Hlk129088289"/>
      <w:r w:rsidR="00E37F80" w:rsidRPr="003B4362">
        <w:t xml:space="preserve">under </w:t>
      </w:r>
      <w:r w:rsidRPr="003B4362">
        <w:t>35 Ill. Adm. Code 602</w:t>
      </w:r>
      <w:bookmarkEnd w:id="14"/>
      <w:r w:rsidRPr="003B4362">
        <w:t>.</w:t>
      </w:r>
    </w:p>
    <w:p w14:paraId="0D56BCF7" w14:textId="38800C4E" w:rsidR="004E2D35" w:rsidRPr="003B4362" w:rsidRDefault="004E2D35" w:rsidP="004E2D35">
      <w:pPr>
        <w:suppressAutoHyphens/>
        <w:spacing w:before="240"/>
        <w:ind w:left="2160" w:hanging="720"/>
      </w:pPr>
      <w:r w:rsidRPr="003B4362">
        <w:t>2)</w:t>
      </w:r>
      <w:r w:rsidRPr="003B4362">
        <w:tab/>
      </w:r>
      <w:r w:rsidR="00932C93" w:rsidRPr="003B4362">
        <w:t>A</w:t>
      </w:r>
      <w:bookmarkStart w:id="15" w:name="_Hlk129088411"/>
      <w:r w:rsidR="00932C93" w:rsidRPr="003B4362">
        <w:t xml:space="preserve"> non-CWS supplier is </w:t>
      </w:r>
      <w:bookmarkEnd w:id="15"/>
      <w:r w:rsidRPr="003B4362">
        <w:t xml:space="preserve">subject to additional </w:t>
      </w:r>
      <w:bookmarkStart w:id="16" w:name="_Hlk129088471"/>
      <w:r w:rsidR="00932C93" w:rsidRPr="003B4362">
        <w:t xml:space="preserve">rules of </w:t>
      </w:r>
      <w:r w:rsidRPr="003B4362">
        <w:t>the Illinois Department of Public Health</w:t>
      </w:r>
      <w:bookmarkEnd w:id="16"/>
      <w:r w:rsidRPr="003B4362">
        <w:t xml:space="preserve"> (Public Health or DPH) </w:t>
      </w:r>
      <w:bookmarkStart w:id="17" w:name="_Hlk129088520"/>
      <w:r w:rsidR="00E37F80" w:rsidRPr="003B4362">
        <w:t xml:space="preserve">under </w:t>
      </w:r>
      <w:r w:rsidRPr="003B4362">
        <w:t>Section 9 of the Illinois Groundwater Protection Act</w:t>
      </w:r>
      <w:bookmarkEnd w:id="17"/>
      <w:r w:rsidRPr="003B4362">
        <w:t xml:space="preserve"> [415 ILCS 55/9], including 77 Ill. Adm. Code 900.</w:t>
      </w:r>
    </w:p>
    <w:p w14:paraId="539C15B6" w14:textId="4EA6FE5C" w:rsidR="004E2D35" w:rsidRPr="003B4362" w:rsidRDefault="004E2D35" w:rsidP="004E2D35">
      <w:pPr>
        <w:suppressAutoHyphens/>
        <w:spacing w:before="240"/>
        <w:ind w:left="2160" w:hanging="720"/>
      </w:pPr>
      <w:r w:rsidRPr="003B4362">
        <w:t>3)</w:t>
      </w:r>
      <w:r w:rsidRPr="003B4362">
        <w:tab/>
      </w:r>
      <w:r w:rsidR="006D6DA6" w:rsidRPr="003B4362">
        <w:t>A</w:t>
      </w:r>
      <w:bookmarkStart w:id="18" w:name="_Hlk129088702"/>
      <w:r w:rsidR="006D6DA6" w:rsidRPr="003B4362">
        <w:t xml:space="preserve"> non-CWS supplier needs not </w:t>
      </w:r>
      <w:r w:rsidRPr="003B4362">
        <w:t xml:space="preserve">obtain </w:t>
      </w:r>
      <w:r w:rsidR="006D6DA6" w:rsidRPr="003B4362">
        <w:t xml:space="preserve">a permit </w:t>
      </w:r>
      <w:r w:rsidRPr="003B4362">
        <w:t xml:space="preserve">or other </w:t>
      </w:r>
      <w:r w:rsidR="006D6DA6" w:rsidRPr="003B4362">
        <w:t xml:space="preserve">approval </w:t>
      </w:r>
      <w:bookmarkEnd w:id="18"/>
      <w:r w:rsidRPr="003B4362">
        <w:t>from the Agency or file reports or other documents with the Agency.  A</w:t>
      </w:r>
      <w:bookmarkStart w:id="19" w:name="_Hlk129089092"/>
      <w:r w:rsidRPr="003B4362">
        <w:t xml:space="preserve">ny provision in this Part </w:t>
      </w:r>
      <w:r w:rsidR="006D6DA6" w:rsidRPr="003B4362">
        <w:t xml:space="preserve">requiring </w:t>
      </w:r>
      <w:r w:rsidR="00AD4DF2" w:rsidRPr="003B4362">
        <w:t xml:space="preserve">a </w:t>
      </w:r>
      <w:r w:rsidR="00AA6D3E" w:rsidRPr="003B4362">
        <w:t xml:space="preserve">non-CWS supplier to obtain </w:t>
      </w:r>
      <w:r w:rsidR="006D6DA6" w:rsidRPr="003B4362">
        <w:t>a permit or approval or fil</w:t>
      </w:r>
      <w:r w:rsidR="00AA6D3E" w:rsidRPr="003B4362">
        <w:t>e</w:t>
      </w:r>
      <w:r w:rsidR="006D6DA6" w:rsidRPr="003B4362">
        <w:t xml:space="preserve"> reports or other documents </w:t>
      </w:r>
      <w:r w:rsidR="00AA6D3E" w:rsidRPr="003B4362">
        <w:t>requires</w:t>
      </w:r>
      <w:r w:rsidR="006D6DA6" w:rsidRPr="003B4362">
        <w:t xml:space="preserve"> </w:t>
      </w:r>
      <w:bookmarkEnd w:id="19"/>
      <w:r w:rsidRPr="003B4362">
        <w:t xml:space="preserve">the non-CWS supplier to obtain the comparable </w:t>
      </w:r>
      <w:bookmarkStart w:id="20" w:name="_Hlk129089267"/>
      <w:r w:rsidRPr="003B4362">
        <w:t xml:space="preserve">form of </w:t>
      </w:r>
      <w:r w:rsidR="00AA6D3E" w:rsidRPr="003B4362">
        <w:t xml:space="preserve">permit or </w:t>
      </w:r>
      <w:r w:rsidRPr="003B4362">
        <w:t>approval</w:t>
      </w:r>
      <w:bookmarkEnd w:id="20"/>
      <w:r w:rsidRPr="003B4362">
        <w:t xml:space="preserve"> from or file the comparable report or other document with Public Health.</w:t>
      </w:r>
    </w:p>
    <w:p w14:paraId="4D8049C4" w14:textId="39851D5A" w:rsidR="00AA2292" w:rsidRPr="003B4362" w:rsidRDefault="00AA2292" w:rsidP="004E2D35">
      <w:pPr>
        <w:suppressAutoHyphens/>
        <w:spacing w:before="240"/>
        <w:ind w:left="2160" w:hanging="720"/>
      </w:pPr>
      <w:r w:rsidRPr="003B4362">
        <w:t>4)</w:t>
      </w:r>
      <w:r w:rsidRPr="003B4362">
        <w:tab/>
        <w:t>Any person introducing pipes</w:t>
      </w:r>
      <w:r w:rsidR="00173798" w:rsidRPr="003B4362">
        <w:t>,</w:t>
      </w:r>
      <w:r w:rsidRPr="003B4362">
        <w:t xml:space="preserve"> pipe or plumbing fittings</w:t>
      </w:r>
      <w:r w:rsidR="00173798" w:rsidRPr="003B4362">
        <w:t xml:space="preserve">, </w:t>
      </w:r>
      <w:r w:rsidRPr="003B4362">
        <w:t>or fixtures, solder, or flux</w:t>
      </w:r>
      <w:r w:rsidR="00E77A68" w:rsidRPr="003B4362">
        <w:t xml:space="preserve"> into commerce</w:t>
      </w:r>
      <w:r w:rsidRPr="003B4362">
        <w:t xml:space="preserve"> or installing or repairing a facil</w:t>
      </w:r>
      <w:r w:rsidR="00FA5A76" w:rsidRPr="003B4362">
        <w:t>it</w:t>
      </w:r>
      <w:r w:rsidRPr="003B4362">
        <w:t>y providing water for human consumption using these items</w:t>
      </w:r>
      <w:r w:rsidR="00E77A68" w:rsidRPr="003B4362">
        <w:t xml:space="preserve"> must comply with Section 611.126.</w:t>
      </w:r>
    </w:p>
    <w:p w14:paraId="25F9D9FC" w14:textId="7779013C" w:rsidR="004E2D35" w:rsidRPr="003B4362" w:rsidRDefault="004E2D35" w:rsidP="004E2D35">
      <w:pPr>
        <w:suppressAutoHyphens/>
        <w:spacing w:before="240"/>
        <w:ind w:left="1440"/>
      </w:pPr>
      <w:r w:rsidRPr="003B4362">
        <w:t>BOARD NOTE:</w:t>
      </w:r>
      <w:r w:rsidR="00973556" w:rsidRPr="003B4362">
        <w:t xml:space="preserve">  Section 611.126, requiring lead-free pipes, fittings, fixtures, solder, and flux for drinking water, applies to persons other than suppliers and PWSs.</w:t>
      </w:r>
    </w:p>
    <w:p w14:paraId="7D2C5D7A" w14:textId="12757029" w:rsidR="004E2D35" w:rsidRPr="003B4362" w:rsidRDefault="004E2D35" w:rsidP="004E2D35">
      <w:pPr>
        <w:suppressAutoHyphens/>
        <w:spacing w:before="240"/>
        <w:ind w:left="1440" w:hanging="720"/>
      </w:pPr>
      <w:r w:rsidRPr="003B4362">
        <w:t>d)</w:t>
      </w:r>
      <w:r w:rsidRPr="003B4362">
        <w:tab/>
        <w:t xml:space="preserve">This Part </w:t>
      </w:r>
      <w:bookmarkStart w:id="21" w:name="_Hlk129090362"/>
      <w:r w:rsidRPr="003B4362">
        <w:t xml:space="preserve">applies to </w:t>
      </w:r>
      <w:r w:rsidR="00AA6D3E" w:rsidRPr="003B4362">
        <w:t xml:space="preserve">a </w:t>
      </w:r>
      <w:r w:rsidRPr="003B4362">
        <w:t>PWS</w:t>
      </w:r>
      <w:bookmarkEnd w:id="21"/>
      <w:r w:rsidRPr="003B4362">
        <w:t xml:space="preserve">, unless the PWS meets </w:t>
      </w:r>
      <w:bookmarkStart w:id="22" w:name="_Hlk129091176"/>
      <w:r w:rsidR="00AD4DF2" w:rsidRPr="003B4362">
        <w:t xml:space="preserve">these </w:t>
      </w:r>
      <w:r w:rsidRPr="003B4362">
        <w:t>conditions</w:t>
      </w:r>
      <w:bookmarkEnd w:id="22"/>
      <w:r w:rsidRPr="003B4362">
        <w:t>:</w:t>
      </w:r>
    </w:p>
    <w:p w14:paraId="2A0B15B8" w14:textId="362320AC" w:rsidR="004E2D35" w:rsidRPr="003B4362" w:rsidRDefault="004E2D35" w:rsidP="004E2D35">
      <w:pPr>
        <w:suppressAutoHyphens/>
        <w:spacing w:before="240"/>
        <w:ind w:left="2160" w:hanging="720"/>
      </w:pPr>
      <w:r w:rsidRPr="003B4362">
        <w:t>1)</w:t>
      </w:r>
      <w:r w:rsidRPr="003B4362">
        <w:tab/>
        <w:t>The PWS consists only of distribution and storage facilities (and does not have any collection and treatment facilities);</w:t>
      </w:r>
    </w:p>
    <w:p w14:paraId="064D0C30" w14:textId="5F8C2146" w:rsidR="004E2D35" w:rsidRPr="003B4362" w:rsidRDefault="004E2D35" w:rsidP="004E2D35">
      <w:pPr>
        <w:suppressAutoHyphens/>
        <w:spacing w:before="240"/>
        <w:ind w:left="2160" w:hanging="720"/>
      </w:pPr>
      <w:r w:rsidRPr="003B4362">
        <w:lastRenderedPageBreak/>
        <w:t>2)</w:t>
      </w:r>
      <w:r w:rsidRPr="003B4362">
        <w:tab/>
        <w:t xml:space="preserve">The PWS obtains all of its water from </w:t>
      </w:r>
      <w:bookmarkStart w:id="23" w:name="_Hlk129091441"/>
      <w:r w:rsidRPr="003B4362">
        <w:t>but is not owned or operated by</w:t>
      </w:r>
      <w:bookmarkEnd w:id="23"/>
      <w:r w:rsidRPr="003B4362">
        <w:t xml:space="preserve"> a supplier to which</w:t>
      </w:r>
      <w:r w:rsidR="00AD4DF2" w:rsidRPr="003B4362">
        <w:t xml:space="preserve"> apply</w:t>
      </w:r>
      <w:r w:rsidR="00AA6D3E" w:rsidRPr="003B4362">
        <w:t xml:space="preserve"> </w:t>
      </w:r>
      <w:bookmarkStart w:id="24" w:name="_Hlk129091483"/>
      <w:r w:rsidR="00AA6D3E" w:rsidRPr="003B4362">
        <w:t xml:space="preserve">this Part, 40 CFR 141, or the </w:t>
      </w:r>
      <w:r w:rsidR="00390FB5" w:rsidRPr="003B4362">
        <w:t xml:space="preserve">comparable rules of a sister state that </w:t>
      </w:r>
      <w:r w:rsidR="00AA6D3E" w:rsidRPr="003B4362">
        <w:t>USEPA</w:t>
      </w:r>
      <w:r w:rsidR="00390FB5" w:rsidRPr="003B4362">
        <w:t xml:space="preserve"> </w:t>
      </w:r>
      <w:r w:rsidR="00AA6D3E" w:rsidRPr="003B4362">
        <w:t xml:space="preserve">authorized </w:t>
      </w:r>
      <w:r w:rsidR="00390FB5" w:rsidRPr="003B4362">
        <w:t>under 40 CFR 142</w:t>
      </w:r>
      <w:bookmarkEnd w:id="24"/>
      <w:r w:rsidRPr="003B4362">
        <w:t>;</w:t>
      </w:r>
    </w:p>
    <w:p w14:paraId="54D946D5" w14:textId="77777777" w:rsidR="004E2D35" w:rsidRPr="003B4362" w:rsidRDefault="004E2D35" w:rsidP="004E2D35">
      <w:pPr>
        <w:suppressAutoHyphens/>
        <w:spacing w:before="240"/>
        <w:ind w:left="2160" w:hanging="720"/>
      </w:pPr>
      <w:r w:rsidRPr="003B4362">
        <w:t>3)</w:t>
      </w:r>
      <w:r w:rsidRPr="003B4362">
        <w:tab/>
        <w:t>The PWS does not sell water to any person; and</w:t>
      </w:r>
    </w:p>
    <w:p w14:paraId="2E7F3877" w14:textId="5C9902CE" w:rsidR="004E2D35" w:rsidRPr="003B4362" w:rsidRDefault="004E2D35" w:rsidP="004E2D35">
      <w:pPr>
        <w:suppressAutoHyphens/>
        <w:spacing w:before="240"/>
        <w:ind w:left="2160" w:hanging="720"/>
      </w:pPr>
      <w:r w:rsidRPr="003B4362">
        <w:t>4)</w:t>
      </w:r>
      <w:r w:rsidRPr="003B4362">
        <w:tab/>
        <w:t xml:space="preserve">The PWS is not </w:t>
      </w:r>
      <w:bookmarkStart w:id="25" w:name="_Hlk129091825"/>
      <w:r w:rsidRPr="003B4362">
        <w:t xml:space="preserve">a carrier </w:t>
      </w:r>
      <w:r w:rsidR="009A1766" w:rsidRPr="003B4362">
        <w:t xml:space="preserve">conveying </w:t>
      </w:r>
      <w:r w:rsidRPr="003B4362">
        <w:t>passengers</w:t>
      </w:r>
      <w:bookmarkEnd w:id="25"/>
      <w:r w:rsidRPr="003B4362">
        <w:t xml:space="preserve"> in interstate commerce.</w:t>
      </w:r>
    </w:p>
    <w:p w14:paraId="61A5F3F6" w14:textId="51CFAF6B" w:rsidR="004E2D35" w:rsidRPr="003B4362" w:rsidRDefault="004E2D35" w:rsidP="004E2D35">
      <w:pPr>
        <w:suppressAutoHyphens/>
        <w:spacing w:before="240"/>
        <w:ind w:left="1440"/>
      </w:pPr>
      <w:r w:rsidRPr="003B4362">
        <w:t xml:space="preserve">BOARD NOTE:  </w:t>
      </w:r>
      <w:r w:rsidR="007402CF" w:rsidRPr="003B4362">
        <w:t>T</w:t>
      </w:r>
      <w:bookmarkStart w:id="26" w:name="_Hlk129091959"/>
      <w:r w:rsidR="007402CF" w:rsidRPr="003B4362">
        <w:t xml:space="preserve">his subsection (d) derives </w:t>
      </w:r>
      <w:r w:rsidRPr="003B4362">
        <w:t>from 40 CFR 141.3</w:t>
      </w:r>
      <w:bookmarkEnd w:id="26"/>
      <w:r w:rsidRPr="003B4362">
        <w:t xml:space="preserve">.  The text of 40 CFR 141.3 is nearly identical to section 1411 of SDWA (42 </w:t>
      </w:r>
      <w:r w:rsidR="00173798" w:rsidRPr="003B4362">
        <w:t>U.S.C.</w:t>
      </w:r>
      <w:r w:rsidRPr="003B4362">
        <w:t xml:space="preserve"> 300g).  On December 23, 2003 (at 68 Fed. Reg. 74233), </w:t>
      </w:r>
      <w:bookmarkStart w:id="27" w:name="_Hlk129094648"/>
      <w:r w:rsidRPr="003B4362">
        <w:t xml:space="preserve">USEPA </w:t>
      </w:r>
      <w:r w:rsidR="00AA2C5D" w:rsidRPr="003B4362">
        <w:t xml:space="preserve">changed </w:t>
      </w:r>
      <w:r w:rsidRPr="003B4362">
        <w:t>its policy</w:t>
      </w:r>
      <w:bookmarkEnd w:id="27"/>
      <w:r w:rsidRPr="003B4362">
        <w:t xml:space="preserve"> relating to </w:t>
      </w:r>
      <w:r w:rsidR="00AD4DF2" w:rsidRPr="003B4362">
        <w:t xml:space="preserve">section </w:t>
      </w:r>
      <w:r w:rsidRPr="003B4362">
        <w:t xml:space="preserve">1411.  USEPA determined that </w:t>
      </w:r>
      <w:bookmarkStart w:id="28" w:name="_Hlk129092088"/>
      <w:bookmarkStart w:id="29" w:name="_Hlk129094743"/>
      <w:r w:rsidRPr="003B4362">
        <w:t>a property owner not otherwise subject to</w:t>
      </w:r>
      <w:bookmarkEnd w:id="28"/>
      <w:r w:rsidRPr="003B4362">
        <w:t xml:space="preserve"> SDWA</w:t>
      </w:r>
      <w:bookmarkEnd w:id="29"/>
      <w:r w:rsidRPr="003B4362">
        <w:t xml:space="preserve"> national primary drinking water standards “submeters” water, </w:t>
      </w:r>
      <w:bookmarkStart w:id="30" w:name="_Hlk129092274"/>
      <w:r w:rsidRPr="003B4362">
        <w:t xml:space="preserve">and does not “sell” water within the meaning of </w:t>
      </w:r>
      <w:r w:rsidR="00AD4DF2" w:rsidRPr="003B4362">
        <w:t xml:space="preserve">section </w:t>
      </w:r>
      <w:r w:rsidRPr="003B4362">
        <w:t>1411(3)</w:t>
      </w:r>
      <w:bookmarkEnd w:id="30"/>
      <w:r w:rsidR="00AA2C5D" w:rsidRPr="003B4362">
        <w:t>,</w:t>
      </w:r>
      <w:r w:rsidRPr="003B4362">
        <w:t xml:space="preserve"> if the property owner meters water to tenants on its property and bills the tenants for the water.  USEPA charged the State with determining whether water is “submetered” or “sold” in a particular situation.  USEPA stated that </w:t>
      </w:r>
      <w:bookmarkStart w:id="31" w:name="_Hlk129092330"/>
      <w:r w:rsidRPr="003B4362">
        <w:t>eligibility for</w:t>
      </w:r>
      <w:r w:rsidR="000D39F0" w:rsidRPr="003B4362">
        <w:t xml:space="preserve"> </w:t>
      </w:r>
      <w:r w:rsidRPr="003B4362">
        <w:t>exclusion requires</w:t>
      </w:r>
      <w:bookmarkEnd w:id="31"/>
      <w:r w:rsidRPr="003B4362">
        <w:t xml:space="preserve"> that the owner obtain water from a regulated water system.  </w:t>
      </w:r>
      <w:bookmarkStart w:id="32" w:name="_Hlk129095039"/>
      <w:r w:rsidRPr="003B4362">
        <w:t xml:space="preserve">USEPA </w:t>
      </w:r>
      <w:r w:rsidR="00AA2C5D" w:rsidRPr="003B4362">
        <w:t xml:space="preserve">gave </w:t>
      </w:r>
      <w:r w:rsidRPr="003B4362">
        <w:t xml:space="preserve">factors to aid the </w:t>
      </w:r>
      <w:r w:rsidR="00AA2C5D" w:rsidRPr="003B4362">
        <w:t xml:space="preserve">State’s </w:t>
      </w:r>
      <w:r w:rsidRPr="003B4362">
        <w:t>determination</w:t>
      </w:r>
      <w:bookmarkEnd w:id="32"/>
      <w:r w:rsidRPr="003B4362">
        <w:t xml:space="preserve">:  the property </w:t>
      </w:r>
      <w:r w:rsidR="00A854C7" w:rsidRPr="003B4362">
        <w:t>has</w:t>
      </w:r>
      <w:r w:rsidRPr="003B4362">
        <w:t xml:space="preserve"> a limited distribution system with no known backflow or cross-connection issues; the majority of the plumbing is within a structure, rather than in the ground; and property ownership is single or within an association of owners.  USEPA cited apartment buildings, co-ops, and condominiums as examples of eligible properties.  </w:t>
      </w:r>
      <w:bookmarkStart w:id="33" w:name="_Hlk129095120"/>
      <w:r w:rsidRPr="003B4362">
        <w:t xml:space="preserve">USEPA does not intend </w:t>
      </w:r>
      <w:r w:rsidR="00DF446F" w:rsidRPr="003B4362">
        <w:t xml:space="preserve">that </w:t>
      </w:r>
      <w:r w:rsidRPr="003B4362">
        <w:t>the policy apply</w:t>
      </w:r>
      <w:bookmarkEnd w:id="33"/>
      <w:r w:rsidRPr="003B4362">
        <w:t xml:space="preserve"> to a large distribution system, </w:t>
      </w:r>
      <w:bookmarkStart w:id="34" w:name="_Hlk129095179"/>
      <w:r w:rsidRPr="003B4362">
        <w:t xml:space="preserve">one </w:t>
      </w:r>
      <w:r w:rsidR="00DF446F" w:rsidRPr="003B4362">
        <w:t xml:space="preserve">serving </w:t>
      </w:r>
      <w:r w:rsidRPr="003B4362">
        <w:t>a large population</w:t>
      </w:r>
      <w:bookmarkEnd w:id="34"/>
      <w:r w:rsidRPr="003B4362">
        <w:t xml:space="preserve">, or </w:t>
      </w:r>
      <w:bookmarkStart w:id="35" w:name="_Hlk129095233"/>
      <w:r w:rsidRPr="003B4362">
        <w:t xml:space="preserve">one </w:t>
      </w:r>
      <w:r w:rsidR="00DF446F" w:rsidRPr="003B4362">
        <w:t xml:space="preserve">serving </w:t>
      </w:r>
      <w:r w:rsidRPr="003B4362">
        <w:t>a mixed commercial and residential population</w:t>
      </w:r>
      <w:bookmarkEnd w:id="35"/>
      <w:r w:rsidRPr="003B4362">
        <w:t>.  USEPA cited “many military installations/facilities” and large mobile home parks as examples of systems to which the policy would not apply.</w:t>
      </w:r>
    </w:p>
    <w:p w14:paraId="68E56A1D" w14:textId="77777777" w:rsidR="00C467ED" w:rsidRPr="003B4362" w:rsidRDefault="00C467ED" w:rsidP="00C467ED">
      <w:pPr>
        <w:suppressAutoHyphens/>
        <w:ind w:left="1440"/>
      </w:pPr>
    </w:p>
    <w:p w14:paraId="5B00EFF0" w14:textId="57441D3D" w:rsidR="00C467ED" w:rsidRPr="003B4362" w:rsidRDefault="00C467ED" w:rsidP="000C1A24">
      <w:pPr>
        <w:ind w:left="720"/>
        <w:rPr>
          <w:szCs w:val="24"/>
        </w:rPr>
      </w:pPr>
      <w:r w:rsidRPr="003B4362">
        <w:rPr>
          <w:szCs w:val="24"/>
        </w:rPr>
        <w:t xml:space="preserve">BOARD NOTE:  Generally, Section 17.12 of the Environmental Protection Act (Act) [415 ILCS 5/17.12] concerns lead in drinking water supplies.  The Board recognizes that Section 17.12 of the Act might include provisions that are more stringent than some provisions in this Part.  Section 17.12(mm) of the Act [415 ILCS 5/17.12(mm)] provides that “[t]he Agency may propose to the Board, and the Board may adopt, any rules necessary to implement and administer this Section [17.12 of the Act].”  When the Agency files a rulemaking proposal with the Board under Section 17.12(mm) of the Act, the Board will conduct a general rulemaking to update this Part as appropriate. </w:t>
      </w:r>
    </w:p>
    <w:p w14:paraId="45DF2E56" w14:textId="77777777" w:rsidR="00C467ED" w:rsidRPr="003B4362" w:rsidRDefault="00C467ED" w:rsidP="000C1A24">
      <w:pPr>
        <w:suppressAutoHyphens/>
      </w:pPr>
    </w:p>
    <w:p w14:paraId="368D1031" w14:textId="1B42E300" w:rsidR="004E2D35" w:rsidRDefault="004E2D35" w:rsidP="000C1A24">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700B47B2" w14:textId="77777777" w:rsidR="00757184" w:rsidRPr="003B4362" w:rsidRDefault="00757184" w:rsidP="000C1A24">
      <w:pPr>
        <w:suppressAutoHyphens/>
        <w:ind w:left="720"/>
      </w:pPr>
    </w:p>
    <w:p w14:paraId="012E619B" w14:textId="579B5A61" w:rsidR="00002933" w:rsidRPr="003B4362" w:rsidRDefault="00002933" w:rsidP="00BE2797">
      <w:pPr>
        <w:rPr>
          <w:b/>
          <w:bCs/>
        </w:rPr>
      </w:pPr>
      <w:r w:rsidRPr="003B4362">
        <w:rPr>
          <w:b/>
          <w:bCs/>
        </w:rPr>
        <w:t>Section 611.101  Definitions</w:t>
      </w:r>
    </w:p>
    <w:p w14:paraId="3CAC670E" w14:textId="77777777" w:rsidR="00371746" w:rsidRPr="003B4362" w:rsidRDefault="00371746" w:rsidP="00371746">
      <w:pPr>
        <w:suppressAutoHyphens/>
        <w:rPr>
          <w:spacing w:val="-3"/>
        </w:rPr>
      </w:pPr>
    </w:p>
    <w:p w14:paraId="6A359DFC" w14:textId="35B6B0E1" w:rsidR="00371746" w:rsidRPr="003B4362" w:rsidRDefault="00371746" w:rsidP="00371746">
      <w:pPr>
        <w:suppressAutoHyphens/>
        <w:rPr>
          <w:spacing w:val="-3"/>
        </w:rPr>
      </w:pPr>
      <w:r w:rsidRPr="003B4362">
        <w:rPr>
          <w:spacing w:val="-3"/>
        </w:rPr>
        <w:t>T</w:t>
      </w:r>
      <w:bookmarkStart w:id="36" w:name="_Hlk129095322"/>
      <w:r w:rsidRPr="003B4362">
        <w:rPr>
          <w:spacing w:val="-3"/>
        </w:rPr>
        <w:t xml:space="preserve">he </w:t>
      </w:r>
      <w:r w:rsidRPr="003B4362">
        <w:t xml:space="preserve">terms </w:t>
      </w:r>
      <w:r w:rsidRPr="003B4362">
        <w:rPr>
          <w:spacing w:val="-3"/>
        </w:rPr>
        <w:t xml:space="preserve">this Section defines </w:t>
      </w:r>
      <w:r w:rsidRPr="003B4362">
        <w:t>have the given meanings in this Part</w:t>
      </w:r>
      <w:bookmarkEnd w:id="36"/>
      <w:r w:rsidRPr="003B4362">
        <w:rPr>
          <w:spacing w:val="-3"/>
        </w:rPr>
        <w:t>:</w:t>
      </w:r>
    </w:p>
    <w:p w14:paraId="25FAB380" w14:textId="77777777" w:rsidR="00371746" w:rsidRPr="003B4362" w:rsidRDefault="00371746" w:rsidP="00371746">
      <w:pPr>
        <w:ind w:left="1440"/>
      </w:pPr>
    </w:p>
    <w:p w14:paraId="1DC4FF02" w14:textId="77777777" w:rsidR="00371746" w:rsidRPr="003B4362" w:rsidRDefault="00371746" w:rsidP="00371746">
      <w:pPr>
        <w:ind w:left="1440"/>
      </w:pPr>
      <w:r w:rsidRPr="003B4362">
        <w:t>“Act” means the Environmental Protection Act [415 ILCS 5].</w:t>
      </w:r>
    </w:p>
    <w:p w14:paraId="2977AA79" w14:textId="77777777" w:rsidR="00371746" w:rsidRPr="003B4362" w:rsidRDefault="00371746" w:rsidP="00371746">
      <w:pPr>
        <w:suppressAutoHyphens/>
        <w:ind w:left="1440"/>
        <w:rPr>
          <w:spacing w:val="-3"/>
        </w:rPr>
      </w:pPr>
    </w:p>
    <w:p w14:paraId="6ED3A704" w14:textId="77777777" w:rsidR="00371746" w:rsidRPr="003B4362" w:rsidRDefault="00371746" w:rsidP="00371746">
      <w:pPr>
        <w:suppressAutoHyphens/>
        <w:ind w:left="1440"/>
        <w:rPr>
          <w:spacing w:val="-3"/>
        </w:rPr>
      </w:pPr>
      <w:r w:rsidRPr="003B4362">
        <w:rPr>
          <w:spacing w:val="-3"/>
        </w:rPr>
        <w:lastRenderedPageBreak/>
        <w:t>“Agency” means the Illinois Environmental Protection Agency.</w:t>
      </w:r>
    </w:p>
    <w:p w14:paraId="48BB3419" w14:textId="3F5B3D1E" w:rsidR="00371746" w:rsidRPr="003B4362" w:rsidRDefault="00371746" w:rsidP="00371746">
      <w:pPr>
        <w:suppressAutoHyphens/>
        <w:ind w:left="1440"/>
        <w:rPr>
          <w:spacing w:val="-3"/>
        </w:rPr>
      </w:pPr>
      <w:r w:rsidRPr="003B4362">
        <w:rPr>
          <w:spacing w:val="-3"/>
        </w:rPr>
        <w:t xml:space="preserve">BOARD NOTE:  The Department of Public Health </w:t>
      </w:r>
      <w:r w:rsidRPr="003B4362">
        <w:t xml:space="preserve">(Public Health or DPH) </w:t>
      </w:r>
      <w:r w:rsidRPr="003B4362">
        <w:rPr>
          <w:spacing w:val="-3"/>
        </w:rPr>
        <w:t>regulates non-CWSs</w:t>
      </w:r>
      <w:r w:rsidRPr="003B4362">
        <w:rPr>
          <w:szCs w:val="16"/>
        </w:rPr>
        <w:t>,</w:t>
      </w:r>
      <w:r w:rsidRPr="003B4362">
        <w:rPr>
          <w:spacing w:val="-3"/>
        </w:rPr>
        <w:t xml:space="preserve"> including NTNCWSs and </w:t>
      </w:r>
      <w:bookmarkStart w:id="37" w:name="_Hlk129200833"/>
      <w:r w:rsidRPr="003B4362">
        <w:rPr>
          <w:spacing w:val="-3"/>
        </w:rPr>
        <w:t>transient non-CWSs</w:t>
      </w:r>
      <w:bookmarkEnd w:id="37"/>
      <w:r w:rsidRPr="003B4362">
        <w:rPr>
          <w:spacing w:val="-3"/>
        </w:rPr>
        <w:t xml:space="preserve">.  </w:t>
      </w:r>
      <w:bookmarkStart w:id="38" w:name="_Hlk129095559"/>
      <w:r w:rsidRPr="003B4362">
        <w:rPr>
          <w:spacing w:val="-3"/>
        </w:rPr>
        <w:t>“Agency” means Public Health if implementation by Public Health occurs</w:t>
      </w:r>
      <w:bookmarkEnd w:id="38"/>
      <w:r w:rsidRPr="003B4362">
        <w:rPr>
          <w:spacing w:val="-3"/>
        </w:rPr>
        <w:t xml:space="preserve"> with regard to non-CWS suppliers.</w:t>
      </w:r>
    </w:p>
    <w:p w14:paraId="50CA6F6F" w14:textId="77777777" w:rsidR="00371746" w:rsidRPr="003B4362" w:rsidRDefault="00371746" w:rsidP="00371746">
      <w:pPr>
        <w:suppressAutoHyphens/>
        <w:ind w:left="1440"/>
        <w:rPr>
          <w:spacing w:val="-3"/>
        </w:rPr>
      </w:pPr>
    </w:p>
    <w:p w14:paraId="0121D2B0" w14:textId="74A250F0" w:rsidR="00371746" w:rsidRPr="003B4362" w:rsidRDefault="00371746" w:rsidP="00371746">
      <w:pPr>
        <w:suppressAutoHyphens/>
        <w:ind w:left="1440"/>
        <w:rPr>
          <w:spacing w:val="-3"/>
        </w:rPr>
      </w:pPr>
      <w:r w:rsidRPr="003B4362">
        <w:rPr>
          <w:spacing w:val="-3"/>
        </w:rPr>
        <w:t>“A</w:t>
      </w:r>
      <w:bookmarkStart w:id="39" w:name="_Hlk16173836"/>
      <w:r w:rsidRPr="003B4362">
        <w:rPr>
          <w:spacing w:val="-3"/>
        </w:rPr>
        <w:t>pproved source of bottled water</w:t>
      </w:r>
      <w:bookmarkEnd w:id="39"/>
      <w:r w:rsidRPr="003B4362">
        <w:rPr>
          <w:szCs w:val="16"/>
        </w:rPr>
        <w:t>”,</w:t>
      </w:r>
      <w:r w:rsidRPr="003B4362">
        <w:rPr>
          <w:spacing w:val="-3"/>
        </w:rPr>
        <w:t xml:space="preserve"> for the purposes of Section 611.130(</w:t>
      </w:r>
      <w:r w:rsidRPr="003B4362">
        <w:t>d</w:t>
      </w:r>
      <w:r w:rsidRPr="003B4362">
        <w:rPr>
          <w:spacing w:val="-3"/>
        </w:rPr>
        <w:t xml:space="preserve">)(4), means </w:t>
      </w:r>
      <w:bookmarkStart w:id="40" w:name="_Hlk129095732"/>
      <w:r w:rsidRPr="003B4362">
        <w:rPr>
          <w:spacing w:val="-3"/>
        </w:rPr>
        <w:t>a source of water and the packaged water it provides</w:t>
      </w:r>
      <w:bookmarkEnd w:id="40"/>
      <w:r w:rsidRPr="003B4362">
        <w:rPr>
          <w:spacing w:val="-3"/>
        </w:rPr>
        <w:t xml:space="preserve">, </w:t>
      </w:r>
      <w:bookmarkStart w:id="41" w:name="_Hlk129095800"/>
      <w:r w:rsidRPr="003B4362">
        <w:rPr>
          <w:spacing w:val="-3"/>
        </w:rPr>
        <w:t>whether from a spring</w:t>
      </w:r>
      <w:bookmarkEnd w:id="41"/>
      <w:r w:rsidRPr="003B4362">
        <w:rPr>
          <w:spacing w:val="-3"/>
        </w:rPr>
        <w:t>, artesian well, drilled well, municipal water supply</w:t>
      </w:r>
      <w:r w:rsidRPr="003B4362">
        <w:t>,</w:t>
      </w:r>
      <w:r w:rsidRPr="003B4362">
        <w:rPr>
          <w:spacing w:val="-3"/>
        </w:rPr>
        <w:t xml:space="preserve"> or any other source, </w:t>
      </w:r>
      <w:bookmarkStart w:id="42" w:name="_Hlk129095965"/>
      <w:r w:rsidRPr="003B4362">
        <w:rPr>
          <w:spacing w:val="-3"/>
        </w:rPr>
        <w:t>that the provider inspects, samples, analyzes, and finds has a safe and sanitary quality</w:t>
      </w:r>
      <w:bookmarkEnd w:id="42"/>
      <w:r w:rsidRPr="003B4362">
        <w:rPr>
          <w:spacing w:val="-3"/>
        </w:rPr>
        <w:t xml:space="preserve"> </w:t>
      </w:r>
      <w:bookmarkStart w:id="43" w:name="_Hlk129096042"/>
      <w:r w:rsidRPr="003B4362">
        <w:rPr>
          <w:spacing w:val="-3"/>
        </w:rPr>
        <w:t>under laws and regulations</w:t>
      </w:r>
      <w:bookmarkEnd w:id="43"/>
      <w:r w:rsidRPr="003B4362">
        <w:rPr>
          <w:spacing w:val="-3"/>
        </w:rPr>
        <w:t xml:space="preserve"> of State and local government agencies having jurisdiction, as </w:t>
      </w:r>
      <w:bookmarkStart w:id="44" w:name="_Hlk129096205"/>
      <w:r w:rsidRPr="003B4362">
        <w:rPr>
          <w:spacing w:val="-3"/>
        </w:rPr>
        <w:t>evidenced by current certificates</w:t>
      </w:r>
      <w:bookmarkStart w:id="45" w:name="_Hlk129096251"/>
      <w:bookmarkEnd w:id="44"/>
      <w:r w:rsidRPr="003B4362">
        <w:rPr>
          <w:spacing w:val="-3"/>
        </w:rPr>
        <w:t xml:space="preserve"> or notations of approval in the packaging plant</w:t>
      </w:r>
      <w:bookmarkEnd w:id="45"/>
      <w:r w:rsidRPr="003B4362">
        <w:rPr>
          <w:spacing w:val="-3"/>
        </w:rPr>
        <w:t xml:space="preserve"> from </w:t>
      </w:r>
      <w:bookmarkStart w:id="46" w:name="_Hlk129096345"/>
      <w:r w:rsidRPr="003B4362">
        <w:rPr>
          <w:spacing w:val="-3"/>
        </w:rPr>
        <w:t>each government agency having jurisdiction</w:t>
      </w:r>
      <w:bookmarkEnd w:id="46"/>
      <w:r w:rsidRPr="003B4362">
        <w:rPr>
          <w:spacing w:val="-3"/>
        </w:rPr>
        <w:t xml:space="preserve"> over the source, the water it bottles, and</w:t>
      </w:r>
      <w:bookmarkStart w:id="47" w:name="_Hlk129096402"/>
      <w:r w:rsidRPr="003B4362">
        <w:rPr>
          <w:spacing w:val="-3"/>
        </w:rPr>
        <w:t xml:space="preserve"> distributing the water</w:t>
      </w:r>
      <w:bookmarkEnd w:id="47"/>
      <w:r w:rsidRPr="003B4362">
        <w:rPr>
          <w:spacing w:val="-3"/>
        </w:rPr>
        <w:t xml:space="preserve"> in commerce.</w:t>
      </w:r>
    </w:p>
    <w:p w14:paraId="099C69DB" w14:textId="5AB9B5F0" w:rsidR="00371746" w:rsidRPr="003B4362" w:rsidRDefault="00371746" w:rsidP="00371746">
      <w:pPr>
        <w:suppressAutoHyphens/>
        <w:ind w:left="1440"/>
        <w:rPr>
          <w:spacing w:val="-3"/>
        </w:rPr>
      </w:pPr>
      <w:r w:rsidRPr="003B4362">
        <w:rPr>
          <w:spacing w:val="-3"/>
        </w:rPr>
        <w:t>BOARD NOTE:  T</w:t>
      </w:r>
      <w:bookmarkStart w:id="48" w:name="_Hlk129096515"/>
      <w:r w:rsidRPr="003B4362">
        <w:rPr>
          <w:spacing w:val="-3"/>
        </w:rPr>
        <w:t>his definition derives from 40 CFR 142.62(g)(2)</w:t>
      </w:r>
      <w:bookmarkEnd w:id="48"/>
      <w:r w:rsidRPr="003B4362">
        <w:rPr>
          <w:spacing w:val="-3"/>
        </w:rPr>
        <w:t xml:space="preserve"> and 21 CFR 129.3(a).  The Board cannot compile an exhaustive listing of all </w:t>
      </w:r>
      <w:bookmarkStart w:id="49" w:name="_Hlk129096562"/>
      <w:r w:rsidRPr="003B4362">
        <w:rPr>
          <w:spacing w:val="-3"/>
        </w:rPr>
        <w:t>federal, State, and local laws regulating bottled water and bottling water</w:t>
      </w:r>
      <w:bookmarkEnd w:id="49"/>
      <w:r w:rsidRPr="003B4362">
        <w:rPr>
          <w:spacing w:val="-3"/>
        </w:rPr>
        <w:t xml:space="preserve">.  However, </w:t>
      </w:r>
      <w:bookmarkStart w:id="50" w:name="_Hlk129096615"/>
      <w:r w:rsidRPr="003B4362">
        <w:rPr>
          <w:spacing w:val="-3"/>
        </w:rPr>
        <w:t>the Board is aware of some</w:t>
      </w:r>
      <w:bookmarkEnd w:id="50"/>
      <w:r w:rsidRPr="003B4362">
        <w:rPr>
          <w:spacing w:val="-3"/>
        </w:rPr>
        <w:t>:  the Illinois Food, Drug and Cosmetic Act [410 ILCS 620], the Bottled Water Act [815 ILCS 310], the DPH Water Well Construction Code (77 Ill. Adm. Code 920), the DPH Water Well Pump Installation Code (77 Ill. Adm. Code 925), the federal bottled water quality standards (21 CFR 103.35), the federal drinking water processing and bottling standards (21 CFR 129), the federal Current Good Manufacturing Practice in Manufacturing, Packing</w:t>
      </w:r>
      <w:r w:rsidRPr="003B4362">
        <w:t xml:space="preserve">, </w:t>
      </w:r>
      <w:r w:rsidRPr="003B4362">
        <w:rPr>
          <w:spacing w:val="-3"/>
        </w:rPr>
        <w:t>or Holding Human Food (21 CFR 110), the federal Fair Packaging and Labeling Act (15 U.S.C. 1451 et seq.), and the federal Fair Packaging and Labeling regulations (21 CFR 201).</w:t>
      </w:r>
    </w:p>
    <w:p w14:paraId="5095A7B6" w14:textId="77777777" w:rsidR="00371746" w:rsidRPr="003B4362" w:rsidRDefault="00371746" w:rsidP="00371746">
      <w:pPr>
        <w:ind w:left="1440"/>
      </w:pPr>
    </w:p>
    <w:p w14:paraId="184FDC74" w14:textId="642C9298" w:rsidR="00371746" w:rsidRPr="003B4362" w:rsidRDefault="00371746" w:rsidP="00371746">
      <w:pPr>
        <w:ind w:left="1440"/>
      </w:pPr>
      <w:r w:rsidRPr="003B4362">
        <w:t>“Bag filters” means pressure-driven separation devices that remove particulate matter larger than one micrometer using an engineered porous filtration media.  T</w:t>
      </w:r>
      <w:bookmarkStart w:id="51" w:name="_Hlk129096842"/>
      <w:r w:rsidRPr="003B4362">
        <w:t>hese are typically a non-rigid fabric filtration media</w:t>
      </w:r>
      <w:bookmarkEnd w:id="51"/>
      <w:r w:rsidRPr="003B4362">
        <w:t xml:space="preserve"> housed in </w:t>
      </w:r>
      <w:bookmarkStart w:id="52" w:name="_Hlk129096993"/>
      <w:r w:rsidRPr="003B4362">
        <w:t>a pressure vessel where the direction of flow</w:t>
      </w:r>
      <w:bookmarkEnd w:id="52"/>
      <w:r w:rsidRPr="003B4362">
        <w:t xml:space="preserve"> is from the </w:t>
      </w:r>
      <w:bookmarkStart w:id="53" w:name="_Hlk129097041"/>
      <w:r w:rsidRPr="003B4362">
        <w:t>inside to outside the bag</w:t>
      </w:r>
      <w:bookmarkEnd w:id="53"/>
      <w:r w:rsidRPr="003B4362">
        <w:t>.</w:t>
      </w:r>
    </w:p>
    <w:p w14:paraId="4AC91C84" w14:textId="77777777" w:rsidR="00371746" w:rsidRPr="003B4362" w:rsidRDefault="00371746" w:rsidP="00371746">
      <w:pPr>
        <w:ind w:left="1440"/>
      </w:pPr>
    </w:p>
    <w:p w14:paraId="2057CDA5" w14:textId="40D19B79" w:rsidR="00371746" w:rsidRPr="003B4362" w:rsidRDefault="00371746" w:rsidP="00371746">
      <w:pPr>
        <w:ind w:left="1440"/>
      </w:pPr>
      <w:r w:rsidRPr="003B4362">
        <w:t xml:space="preserve">“Bank filtration” means </w:t>
      </w:r>
      <w:bookmarkStart w:id="54" w:name="_Hlk129097275"/>
      <w:r w:rsidRPr="003B4362">
        <w:t>a water treatment process using a well</w:t>
      </w:r>
      <w:bookmarkEnd w:id="54"/>
      <w:r w:rsidRPr="003B4362">
        <w:t xml:space="preserve"> to recover </w:t>
      </w:r>
      <w:bookmarkStart w:id="55" w:name="_Hlk129097337"/>
      <w:r w:rsidRPr="003B4362">
        <w:t>surface water naturally infiltrating into groundwater</w:t>
      </w:r>
      <w:bookmarkEnd w:id="55"/>
      <w:r w:rsidRPr="003B4362">
        <w:t xml:space="preserve"> through a river bed or banks.  A</w:t>
      </w:r>
      <w:bookmarkStart w:id="56" w:name="_Hlk129097450"/>
      <w:r w:rsidRPr="003B4362">
        <w:t xml:space="preserve"> nearby pumping water supply or other wells typically enhances infiltration </w:t>
      </w:r>
      <w:bookmarkStart w:id="57" w:name="_Hlk129097555"/>
      <w:bookmarkEnd w:id="56"/>
      <w:r w:rsidRPr="003B4362">
        <w:t>by the hydraulic gradient they impose</w:t>
      </w:r>
      <w:bookmarkEnd w:id="57"/>
      <w:r w:rsidRPr="003B4362">
        <w:t>.</w:t>
      </w:r>
    </w:p>
    <w:p w14:paraId="6378F6AD" w14:textId="77777777" w:rsidR="00371746" w:rsidRPr="003B4362" w:rsidRDefault="00371746" w:rsidP="00371746">
      <w:pPr>
        <w:suppressAutoHyphens/>
        <w:ind w:left="1440"/>
        <w:rPr>
          <w:spacing w:val="-3"/>
        </w:rPr>
      </w:pPr>
    </w:p>
    <w:p w14:paraId="329C2C7B" w14:textId="20B731E7" w:rsidR="00371746" w:rsidRPr="003B4362" w:rsidRDefault="00371746" w:rsidP="00371746">
      <w:pPr>
        <w:suppressAutoHyphens/>
        <w:ind w:left="1440"/>
        <w:rPr>
          <w:spacing w:val="-3"/>
        </w:rPr>
      </w:pPr>
      <w:r w:rsidRPr="003B4362">
        <w:rPr>
          <w:spacing w:val="-3"/>
        </w:rPr>
        <w:t>“Best available technology” or “BAT” means the best technology, treatment techniques</w:t>
      </w:r>
      <w:r w:rsidRPr="003B4362">
        <w:t>,</w:t>
      </w:r>
      <w:r w:rsidRPr="003B4362">
        <w:rPr>
          <w:spacing w:val="-3"/>
        </w:rPr>
        <w:t xml:space="preserve"> or other means that USEPA determines are available for the contaminant in question.  Subpart F specifies BAT.</w:t>
      </w:r>
    </w:p>
    <w:p w14:paraId="2C633829" w14:textId="77777777" w:rsidR="00371746" w:rsidRPr="003B4362" w:rsidRDefault="00371746" w:rsidP="00371746">
      <w:pPr>
        <w:suppressAutoHyphens/>
        <w:ind w:left="1440"/>
      </w:pPr>
    </w:p>
    <w:p w14:paraId="756E4FB0" w14:textId="1FE3220E" w:rsidR="00371746" w:rsidRPr="003B4362" w:rsidRDefault="00371746" w:rsidP="00371746">
      <w:pPr>
        <w:suppressAutoHyphens/>
        <w:ind w:left="1440"/>
      </w:pPr>
      <w:r w:rsidRPr="003B4362">
        <w:t xml:space="preserve">“Bin classification” or “bin” means, </w:t>
      </w:r>
      <w:bookmarkStart w:id="58" w:name="_Hlk129097657"/>
      <w:r w:rsidRPr="003B4362">
        <w:t>for Subpart Z</w:t>
      </w:r>
      <w:bookmarkEnd w:id="58"/>
      <w:r w:rsidRPr="003B4362">
        <w:t xml:space="preserve">, the appropriate of the four treatment categories (Bin 1, Bin 2, Bin 3, or Bin 4) </w:t>
      </w:r>
      <w:bookmarkStart w:id="59" w:name="_Hlk129097697"/>
      <w:r w:rsidRPr="003B4362">
        <w:t>that a filtered system supplier assigns itself</w:t>
      </w:r>
      <w:bookmarkEnd w:id="59"/>
      <w:r w:rsidRPr="003B4362">
        <w:t xml:space="preserve"> under Section 611.1010 based on the results of </w:t>
      </w:r>
      <w:bookmarkStart w:id="60" w:name="_Hlk129097768"/>
      <w:r w:rsidRPr="003B4362">
        <w:t>source water Cryptosporidium monitoring under Section 611.1001</w:t>
      </w:r>
      <w:bookmarkEnd w:id="60"/>
      <w:r w:rsidRPr="003B4362">
        <w:t xml:space="preserve">.  This bin classification </w:t>
      </w:r>
      <w:r w:rsidRPr="003B4362">
        <w:lastRenderedPageBreak/>
        <w:t xml:space="preserve">determines the degree of additional Cryptosporidium treatment, if any, </w:t>
      </w:r>
      <w:bookmarkStart w:id="61" w:name="_Hlk129097847"/>
      <w:r w:rsidRPr="003B4362">
        <w:t>the filtered system supplier must provide</w:t>
      </w:r>
      <w:bookmarkEnd w:id="61"/>
      <w:r w:rsidRPr="003B4362">
        <w:t>.</w:t>
      </w:r>
    </w:p>
    <w:p w14:paraId="23F40821" w14:textId="10D1F922" w:rsidR="00371746" w:rsidRPr="003B4362" w:rsidRDefault="00371746" w:rsidP="00371746">
      <w:pPr>
        <w:suppressAutoHyphens/>
        <w:ind w:left="1440"/>
      </w:pPr>
      <w:r w:rsidRPr="003B4362">
        <w:t xml:space="preserve">BOARD NOTE:  </w:t>
      </w:r>
      <w:r w:rsidRPr="003B4362">
        <w:rPr>
          <w:spacing w:val="-3"/>
        </w:rPr>
        <w:t>T</w:t>
      </w:r>
      <w:bookmarkStart w:id="62" w:name="_Hlk129097931"/>
      <w:r w:rsidRPr="003B4362">
        <w:rPr>
          <w:spacing w:val="-3"/>
        </w:rPr>
        <w:t xml:space="preserve">his definition derives </w:t>
      </w:r>
      <w:r w:rsidRPr="003B4362">
        <w:t>from 40 CFR 141.710 and 71 Fed. Reg. 654, 657 (Jan. 5, 2006)</w:t>
      </w:r>
      <w:bookmarkEnd w:id="62"/>
      <w:r w:rsidRPr="003B4362">
        <w:t>.</w:t>
      </w:r>
    </w:p>
    <w:p w14:paraId="63E890C2" w14:textId="77777777" w:rsidR="00371746" w:rsidRPr="003B4362" w:rsidRDefault="00371746" w:rsidP="00371746">
      <w:pPr>
        <w:ind w:left="1440"/>
      </w:pPr>
    </w:p>
    <w:p w14:paraId="6C065A36" w14:textId="77777777" w:rsidR="00371746" w:rsidRPr="003B4362" w:rsidRDefault="00371746" w:rsidP="00371746">
      <w:pPr>
        <w:ind w:left="1440"/>
      </w:pPr>
      <w:r w:rsidRPr="003B4362">
        <w:t>“Board” means the Illinois Pollution Control Board.</w:t>
      </w:r>
    </w:p>
    <w:p w14:paraId="4ABFAD7F" w14:textId="77777777" w:rsidR="00371746" w:rsidRPr="003B4362" w:rsidRDefault="00371746" w:rsidP="00371746">
      <w:pPr>
        <w:ind w:left="1440"/>
      </w:pPr>
    </w:p>
    <w:p w14:paraId="366FBFEC" w14:textId="402506B9" w:rsidR="00371746" w:rsidRPr="003B4362" w:rsidRDefault="00371746" w:rsidP="00371746">
      <w:pPr>
        <w:ind w:left="1440"/>
      </w:pPr>
      <w:r w:rsidRPr="003B4362">
        <w:t xml:space="preserve">“Cartridge filter” means </w:t>
      </w:r>
      <w:bookmarkStart w:id="63" w:name="_Hlk129098971"/>
      <w:r w:rsidRPr="003B4362">
        <w:t xml:space="preserve">a pressure-driven separation device that removes </w:t>
      </w:r>
      <w:bookmarkEnd w:id="63"/>
      <w:r w:rsidRPr="003B4362">
        <w:t>particulate matter larger than 1 micrometer using an engineered porous filtration media.  A</w:t>
      </w:r>
      <w:bookmarkStart w:id="64" w:name="_Hlk129099049"/>
      <w:r w:rsidRPr="003B4362">
        <w:t xml:space="preserve"> cartridge filter typically has rigid or semi-rigid self-supporting filter elements</w:t>
      </w:r>
      <w:bookmarkEnd w:id="64"/>
      <w:r w:rsidRPr="003B4362">
        <w:t xml:space="preserve"> housed in </w:t>
      </w:r>
      <w:bookmarkStart w:id="65" w:name="_Hlk129099181"/>
      <w:r w:rsidRPr="003B4362">
        <w:t xml:space="preserve">a pressure vessel </w:t>
      </w:r>
      <w:bookmarkEnd w:id="65"/>
      <w:r w:rsidRPr="003B4362">
        <w:t xml:space="preserve">in which flow is </w:t>
      </w:r>
      <w:bookmarkStart w:id="66" w:name="_Hlk129099240"/>
      <w:r w:rsidRPr="003B4362">
        <w:t>from outside to inside the cartridge</w:t>
      </w:r>
      <w:bookmarkEnd w:id="66"/>
      <w:r w:rsidRPr="003B4362">
        <w:t>.</w:t>
      </w:r>
    </w:p>
    <w:p w14:paraId="782291F4" w14:textId="77777777" w:rsidR="00371746" w:rsidRPr="003B4362" w:rsidRDefault="00371746" w:rsidP="00371746">
      <w:pPr>
        <w:ind w:left="1440"/>
      </w:pPr>
    </w:p>
    <w:p w14:paraId="614639F2" w14:textId="77777777" w:rsidR="00371746" w:rsidRPr="003B4362" w:rsidRDefault="00371746" w:rsidP="00371746">
      <w:pPr>
        <w:ind w:left="1440"/>
      </w:pPr>
      <w:r w:rsidRPr="003B4362">
        <w:t>“CAS No.” means “Chemical Abstracts Services Number”.</w:t>
      </w:r>
    </w:p>
    <w:p w14:paraId="5E29DFF0" w14:textId="77777777" w:rsidR="00371746" w:rsidRPr="003B4362" w:rsidRDefault="00371746" w:rsidP="00371746">
      <w:pPr>
        <w:ind w:left="1440"/>
        <w:rPr>
          <w:iCs/>
          <w:szCs w:val="24"/>
        </w:rPr>
      </w:pPr>
    </w:p>
    <w:p w14:paraId="0780F107" w14:textId="49ACB584" w:rsidR="00371746" w:rsidRPr="003B4362" w:rsidRDefault="00371746" w:rsidP="00371746">
      <w:pPr>
        <w:ind w:left="1440"/>
        <w:rPr>
          <w:szCs w:val="24"/>
        </w:rPr>
      </w:pPr>
      <w:r w:rsidRPr="003B4362">
        <w:rPr>
          <w:iCs/>
          <w:szCs w:val="24"/>
        </w:rPr>
        <w:t xml:space="preserve">“Clean compliance history” </w:t>
      </w:r>
      <w:r w:rsidRPr="003B4362">
        <w:rPr>
          <w:szCs w:val="24"/>
        </w:rPr>
        <w:t xml:space="preserve">means, </w:t>
      </w:r>
      <w:bookmarkStart w:id="67" w:name="_Hlk129099351"/>
      <w:r w:rsidRPr="003B4362">
        <w:rPr>
          <w:szCs w:val="24"/>
        </w:rPr>
        <w:t>for Subpart AA</w:t>
      </w:r>
      <w:bookmarkEnd w:id="67"/>
      <w:r w:rsidRPr="003B4362">
        <w:rPr>
          <w:szCs w:val="24"/>
        </w:rPr>
        <w:t>, a record of no MCL violations under Section 611.325; no monitoring violations under Subpart L or Subpart AA; and no coliform treatment technique trigger exceedances or treatment technique violations under Subpart AA.</w:t>
      </w:r>
    </w:p>
    <w:p w14:paraId="78AB502A" w14:textId="77777777" w:rsidR="00371746" w:rsidRPr="003B4362" w:rsidRDefault="00371746" w:rsidP="00371746">
      <w:pPr>
        <w:suppressAutoHyphens/>
        <w:ind w:left="1440"/>
        <w:rPr>
          <w:spacing w:val="-3"/>
        </w:rPr>
      </w:pPr>
    </w:p>
    <w:p w14:paraId="5F2F450E" w14:textId="57780F80" w:rsidR="00371746" w:rsidRPr="003B4362" w:rsidRDefault="00371746" w:rsidP="00371746">
      <w:pPr>
        <w:suppressAutoHyphens/>
        <w:ind w:left="1440"/>
        <w:rPr>
          <w:spacing w:val="-3"/>
        </w:rPr>
      </w:pPr>
      <w:r w:rsidRPr="003B4362">
        <w:rPr>
          <w:spacing w:val="-3"/>
        </w:rPr>
        <w:t xml:space="preserve">“Coagulation” means a process using coagulant chemicals and </w:t>
      </w:r>
      <w:bookmarkStart w:id="68" w:name="_Hlk129099493"/>
      <w:r w:rsidRPr="003B4362">
        <w:rPr>
          <w:spacing w:val="-3"/>
        </w:rPr>
        <w:t>mixing that destabilizes and agglomerates colloidal and suspended materials</w:t>
      </w:r>
      <w:bookmarkStart w:id="69" w:name="_Hlk129099741"/>
      <w:bookmarkEnd w:id="68"/>
      <w:r w:rsidRPr="003B4362">
        <w:rPr>
          <w:spacing w:val="-3"/>
        </w:rPr>
        <w:t xml:space="preserve"> into flocs</w:t>
      </w:r>
      <w:bookmarkEnd w:id="69"/>
      <w:r w:rsidRPr="003B4362">
        <w:rPr>
          <w:spacing w:val="-3"/>
        </w:rPr>
        <w:t>.</w:t>
      </w:r>
    </w:p>
    <w:p w14:paraId="33791635" w14:textId="77777777" w:rsidR="00371746" w:rsidRPr="003B4362" w:rsidRDefault="00371746" w:rsidP="00371746">
      <w:pPr>
        <w:ind w:left="1440"/>
      </w:pPr>
    </w:p>
    <w:p w14:paraId="4755CD37" w14:textId="60E0D11D" w:rsidR="00371746" w:rsidRPr="003B4362" w:rsidRDefault="00371746" w:rsidP="00371746">
      <w:pPr>
        <w:ind w:left="1440"/>
      </w:pPr>
      <w:r w:rsidRPr="003B4362">
        <w:t xml:space="preserve">“Combined distribution system” means the interconnected </w:t>
      </w:r>
      <w:bookmarkStart w:id="70" w:name="_Hlk129099914"/>
      <w:r w:rsidRPr="003B4362">
        <w:t>distribution system comprising the distribution systems</w:t>
      </w:r>
      <w:bookmarkEnd w:id="70"/>
      <w:r w:rsidRPr="003B4362">
        <w:t xml:space="preserve"> of wholesale systems and of the consecutive systems that receive finished water.</w:t>
      </w:r>
    </w:p>
    <w:p w14:paraId="41AE8847" w14:textId="77777777" w:rsidR="00371746" w:rsidRPr="003B4362" w:rsidRDefault="00371746" w:rsidP="00371746">
      <w:pPr>
        <w:suppressAutoHyphens/>
        <w:ind w:left="1440"/>
        <w:rPr>
          <w:spacing w:val="-3"/>
        </w:rPr>
      </w:pPr>
    </w:p>
    <w:p w14:paraId="5FAEE8B4" w14:textId="21D28CB6" w:rsidR="00371746" w:rsidRPr="003B4362" w:rsidRDefault="00371746" w:rsidP="00371746">
      <w:pPr>
        <w:suppressAutoHyphens/>
        <w:ind w:left="1440"/>
        <w:rPr>
          <w:spacing w:val="-3"/>
        </w:rPr>
      </w:pPr>
      <w:r w:rsidRPr="003B4362">
        <w:rPr>
          <w:spacing w:val="-3"/>
        </w:rPr>
        <w:t xml:space="preserve">“Community water system” or “CWS” means a </w:t>
      </w:r>
      <w:bookmarkStart w:id="71" w:name="_Hlk129196027"/>
      <w:r w:rsidRPr="003B4362">
        <w:rPr>
          <w:spacing w:val="-3"/>
        </w:rPr>
        <w:t>PWS</w:t>
      </w:r>
      <w:bookmarkEnd w:id="71"/>
      <w:r w:rsidRPr="003B4362">
        <w:rPr>
          <w:spacing w:val="-3"/>
        </w:rPr>
        <w:t xml:space="preserve"> </w:t>
      </w:r>
      <w:bookmarkStart w:id="72" w:name="_Hlk129099997"/>
      <w:r w:rsidRPr="003B4362">
        <w:rPr>
          <w:spacing w:val="-3"/>
        </w:rPr>
        <w:t>serving at least 15 service connections</w:t>
      </w:r>
      <w:bookmarkEnd w:id="72"/>
      <w:r w:rsidRPr="003B4362">
        <w:rPr>
          <w:spacing w:val="-3"/>
        </w:rPr>
        <w:t xml:space="preserve"> used by year-round residents or </w:t>
      </w:r>
      <w:bookmarkStart w:id="73" w:name="_Hlk129100083"/>
      <w:r w:rsidRPr="003B4362">
        <w:rPr>
          <w:spacing w:val="-3"/>
        </w:rPr>
        <w:t xml:space="preserve">regularly </w:t>
      </w:r>
      <w:bookmarkStart w:id="74" w:name="_Hlk129100046"/>
      <w:bookmarkEnd w:id="73"/>
      <w:r w:rsidRPr="003B4362">
        <w:rPr>
          <w:spacing w:val="-3"/>
        </w:rPr>
        <w:t>serving at least 25 year-round residents</w:t>
      </w:r>
      <w:bookmarkEnd w:id="74"/>
      <w:r w:rsidRPr="003B4362">
        <w:rPr>
          <w:spacing w:val="-3"/>
        </w:rPr>
        <w:t>.</w:t>
      </w:r>
    </w:p>
    <w:p w14:paraId="54222438" w14:textId="77777777" w:rsidR="00371746" w:rsidRPr="003B4362" w:rsidRDefault="00371746" w:rsidP="00371746">
      <w:pPr>
        <w:suppressAutoHyphens/>
        <w:ind w:left="1440"/>
        <w:rPr>
          <w:spacing w:val="-3"/>
        </w:rPr>
      </w:pPr>
      <w:r w:rsidRPr="003B4362">
        <w:rPr>
          <w:spacing w:val="-3"/>
        </w:rPr>
        <w:t>BOARD NOTE:  This definition differs slightly from that of Section 3.145 of the Act.</w:t>
      </w:r>
    </w:p>
    <w:p w14:paraId="3CD46896" w14:textId="77777777" w:rsidR="00371746" w:rsidRPr="003B4362" w:rsidRDefault="00371746" w:rsidP="00371746">
      <w:pPr>
        <w:suppressAutoHyphens/>
        <w:ind w:left="1440"/>
        <w:rPr>
          <w:spacing w:val="-3"/>
        </w:rPr>
      </w:pPr>
    </w:p>
    <w:p w14:paraId="3BBD2014" w14:textId="0B917C71" w:rsidR="00371746" w:rsidRPr="003B4362" w:rsidRDefault="00371746" w:rsidP="00371746">
      <w:pPr>
        <w:suppressAutoHyphens/>
        <w:ind w:left="1440"/>
        <w:rPr>
          <w:spacing w:val="-3"/>
        </w:rPr>
      </w:pPr>
      <w:r w:rsidRPr="003B4362">
        <w:rPr>
          <w:spacing w:val="-3"/>
        </w:rPr>
        <w:t xml:space="preserve">“Compliance cycle” means </w:t>
      </w:r>
      <w:bookmarkStart w:id="75" w:name="_Hlk129100633"/>
      <w:r w:rsidRPr="003B4362">
        <w:rPr>
          <w:spacing w:val="-3"/>
        </w:rPr>
        <w:t>the nine-calendar-year cycle</w:t>
      </w:r>
      <w:bookmarkEnd w:id="75"/>
      <w:r w:rsidRPr="003B4362">
        <w:rPr>
          <w:spacing w:val="-3"/>
        </w:rPr>
        <w:t xml:space="preserve"> during which PWSs must monitor.  Each compliance cycle consists of three three-year compliance periods.  T</w:t>
      </w:r>
      <w:bookmarkStart w:id="76" w:name="_Hlk129100759"/>
      <w:r w:rsidRPr="003B4362">
        <w:rPr>
          <w:spacing w:val="-3"/>
        </w:rPr>
        <w:t>he first calendar cycle ran calendar years 1993 through 2001, the second ran 2002</w:t>
      </w:r>
      <w:r w:rsidRPr="003B4362">
        <w:t xml:space="preserve"> through </w:t>
      </w:r>
      <w:r w:rsidRPr="003B4362">
        <w:rPr>
          <w:spacing w:val="-3"/>
        </w:rPr>
        <w:t>2010, the third ran 2011 through 2019, etc.</w:t>
      </w:r>
      <w:bookmarkEnd w:id="76"/>
    </w:p>
    <w:p w14:paraId="61847415" w14:textId="77777777" w:rsidR="00371746" w:rsidRPr="003B4362" w:rsidRDefault="00371746" w:rsidP="00371746">
      <w:pPr>
        <w:suppressAutoHyphens/>
        <w:ind w:left="1440"/>
        <w:rPr>
          <w:spacing w:val="-3"/>
        </w:rPr>
      </w:pPr>
    </w:p>
    <w:p w14:paraId="31663B25" w14:textId="48DCF0AF" w:rsidR="00371746" w:rsidRPr="003B4362" w:rsidRDefault="00371746" w:rsidP="00371746">
      <w:pPr>
        <w:suppressAutoHyphens/>
        <w:ind w:left="1440"/>
        <w:rPr>
          <w:spacing w:val="-3"/>
        </w:rPr>
      </w:pPr>
      <w:r w:rsidRPr="003B4362">
        <w:rPr>
          <w:spacing w:val="-3"/>
        </w:rPr>
        <w:t xml:space="preserve">“Compliance period” means </w:t>
      </w:r>
      <w:bookmarkStart w:id="77" w:name="_Hlk129100978"/>
      <w:r w:rsidRPr="003B4362">
        <w:rPr>
          <w:spacing w:val="-3"/>
        </w:rPr>
        <w:t>a three-calendar-year period</w:t>
      </w:r>
      <w:bookmarkEnd w:id="77"/>
      <w:r w:rsidRPr="003B4362">
        <w:rPr>
          <w:spacing w:val="-3"/>
        </w:rPr>
        <w:t xml:space="preserve"> within a compliance cycle.  Each compliance cycle has three three-year compliance periods.  F</w:t>
      </w:r>
      <w:bookmarkStart w:id="78" w:name="_Hlk129101056"/>
      <w:r w:rsidRPr="003B4362">
        <w:rPr>
          <w:spacing w:val="-3"/>
        </w:rPr>
        <w:t xml:space="preserve">or example, </w:t>
      </w:r>
      <w:bookmarkStart w:id="79" w:name="_Hlk129101165"/>
      <w:bookmarkEnd w:id="78"/>
      <w:r w:rsidRPr="003B4362">
        <w:rPr>
          <w:spacing w:val="-3"/>
        </w:rPr>
        <w:t xml:space="preserve">the first compliance period ran calendar years 1993 through 1995, the second </w:t>
      </w:r>
      <w:r w:rsidRPr="003B4362">
        <w:t xml:space="preserve">ran </w:t>
      </w:r>
      <w:r w:rsidRPr="003B4362">
        <w:rPr>
          <w:spacing w:val="-3"/>
        </w:rPr>
        <w:t xml:space="preserve">1996 through 1998, </w:t>
      </w:r>
      <w:r w:rsidRPr="003B4362">
        <w:t xml:space="preserve">and </w:t>
      </w:r>
      <w:r w:rsidRPr="003B4362">
        <w:rPr>
          <w:spacing w:val="-3"/>
        </w:rPr>
        <w:t xml:space="preserve">the third </w:t>
      </w:r>
      <w:r w:rsidRPr="003B4362">
        <w:t xml:space="preserve">ran </w:t>
      </w:r>
      <w:r w:rsidRPr="003B4362">
        <w:rPr>
          <w:spacing w:val="-3"/>
        </w:rPr>
        <w:t>1999 through 2001 within the first compliance cycle</w:t>
      </w:r>
      <w:bookmarkEnd w:id="79"/>
      <w:r w:rsidRPr="003B4362">
        <w:rPr>
          <w:spacing w:val="-3"/>
        </w:rPr>
        <w:t>.</w:t>
      </w:r>
    </w:p>
    <w:p w14:paraId="39F7DB66" w14:textId="77777777" w:rsidR="00371746" w:rsidRPr="003B4362" w:rsidRDefault="00371746" w:rsidP="00371746">
      <w:pPr>
        <w:ind w:left="1440"/>
      </w:pPr>
    </w:p>
    <w:p w14:paraId="74A8B38A" w14:textId="4A85BF90" w:rsidR="00371746" w:rsidRPr="003B4362" w:rsidRDefault="00371746" w:rsidP="00371746">
      <w:pPr>
        <w:ind w:left="1440"/>
      </w:pPr>
      <w:r w:rsidRPr="003B4362">
        <w:t>“Comprehensive performance evaluation” or “CPE” is a thorough review and analysis of a treatment plant’s performance</w:t>
      </w:r>
      <w:r w:rsidRPr="003B4362">
        <w:noBreakHyphen/>
        <w:t xml:space="preserve">based capabilities and associated </w:t>
      </w:r>
      <w:r w:rsidRPr="003B4362">
        <w:lastRenderedPageBreak/>
        <w:t xml:space="preserve">administrative, operational, and maintenance practices.  </w:t>
      </w:r>
      <w:bookmarkStart w:id="80" w:name="_Hlk129101535"/>
      <w:r w:rsidRPr="003B4362">
        <w:t xml:space="preserve">The supplier conducts a CPE </w:t>
      </w:r>
      <w:bookmarkEnd w:id="80"/>
      <w:r w:rsidRPr="003B4362">
        <w:t xml:space="preserve">to identify factors </w:t>
      </w:r>
      <w:bookmarkStart w:id="81" w:name="_Hlk129101636"/>
      <w:r w:rsidRPr="003B4362">
        <w:t xml:space="preserve">that may adversely affect a plant’s ability to comply.  The supplier conducts a CPE to achieve compliance and emphasize </w:t>
      </w:r>
      <w:bookmarkStart w:id="82" w:name="_Hlk129101795"/>
      <w:bookmarkEnd w:id="81"/>
      <w:r w:rsidRPr="003B4362">
        <w:t xml:space="preserve">approaches it can implement </w:t>
      </w:r>
      <w:bookmarkEnd w:id="82"/>
      <w:r w:rsidRPr="003B4362">
        <w:t>without significant capital improvements.</w:t>
      </w:r>
    </w:p>
    <w:p w14:paraId="06FCAD06" w14:textId="1E51801A" w:rsidR="00371746" w:rsidRPr="003B4362" w:rsidRDefault="00371746" w:rsidP="00371746">
      <w:pPr>
        <w:ind w:left="1440"/>
      </w:pPr>
      <w:r w:rsidRPr="003B4362">
        <w:t xml:space="preserve">BOARD NOTE:  The final sentence of the definition of “comprehensive performance evaluation” in </w:t>
      </w:r>
      <w:bookmarkStart w:id="83" w:name="_Hlk129101922"/>
      <w:r w:rsidRPr="003B4362">
        <w:t>40 CFR 141.2 is Section 611.160(a)(2)</w:t>
      </w:r>
      <w:bookmarkEnd w:id="83"/>
      <w:r w:rsidRPr="003B4362">
        <w:t xml:space="preserve">, since it contains </w:t>
      </w:r>
      <w:bookmarkStart w:id="84" w:name="_Hlk129102070"/>
      <w:r w:rsidRPr="003B4362">
        <w:t>substantive elements</w:t>
      </w:r>
      <w:bookmarkEnd w:id="84"/>
      <w:r w:rsidRPr="003B4362">
        <w:t>.</w:t>
      </w:r>
    </w:p>
    <w:p w14:paraId="26866445" w14:textId="77777777" w:rsidR="00371746" w:rsidRPr="003B4362" w:rsidRDefault="00371746" w:rsidP="00371746">
      <w:pPr>
        <w:suppressAutoHyphens/>
        <w:ind w:left="1440"/>
        <w:rPr>
          <w:spacing w:val="-3"/>
        </w:rPr>
      </w:pPr>
    </w:p>
    <w:p w14:paraId="0CC18189" w14:textId="40B906B0" w:rsidR="00371746" w:rsidRPr="003B4362" w:rsidRDefault="00371746" w:rsidP="00371746">
      <w:pPr>
        <w:suppressAutoHyphens/>
        <w:ind w:left="1440"/>
        <w:rPr>
          <w:spacing w:val="-3"/>
        </w:rPr>
      </w:pPr>
      <w:r w:rsidRPr="003B4362">
        <w:rPr>
          <w:spacing w:val="-3"/>
        </w:rPr>
        <w:t xml:space="preserve">“Confluent growth” means a continuous bacterial growth covering </w:t>
      </w:r>
      <w:bookmarkStart w:id="85" w:name="_Hlk129102132"/>
      <w:r w:rsidRPr="003B4362">
        <w:rPr>
          <w:spacing w:val="-3"/>
        </w:rPr>
        <w:t xml:space="preserve">the entire filtration area or portion of a membrane filter </w:t>
      </w:r>
      <w:bookmarkEnd w:id="85"/>
      <w:r w:rsidRPr="003B4362">
        <w:rPr>
          <w:spacing w:val="-3"/>
        </w:rPr>
        <w:t>in which bacterial colonies are not discrete.</w:t>
      </w:r>
    </w:p>
    <w:p w14:paraId="76932FC5" w14:textId="77777777" w:rsidR="00371746" w:rsidRPr="003B4362" w:rsidRDefault="00371746" w:rsidP="00371746">
      <w:pPr>
        <w:ind w:left="1440"/>
      </w:pPr>
    </w:p>
    <w:p w14:paraId="079C91F4" w14:textId="318DF834" w:rsidR="00371746" w:rsidRPr="003B4362" w:rsidRDefault="00371746" w:rsidP="00371746">
      <w:pPr>
        <w:ind w:left="1440"/>
      </w:pPr>
      <w:r w:rsidRPr="003B4362">
        <w:t xml:space="preserve">“Consecutive system” means a PWS </w:t>
      </w:r>
      <w:bookmarkStart w:id="86" w:name="_Hlk129104847"/>
      <w:r w:rsidRPr="003B4362">
        <w:t xml:space="preserve">receiving </w:t>
      </w:r>
      <w:bookmarkEnd w:id="86"/>
      <w:r w:rsidRPr="003B4362">
        <w:t xml:space="preserve">some or all of its finished water from one or more wholesale systems.  Delivery may be </w:t>
      </w:r>
      <w:bookmarkStart w:id="87" w:name="_Hlk129104910"/>
      <w:r w:rsidRPr="003B4362">
        <w:t>through a direct connection or the distribution system</w:t>
      </w:r>
      <w:bookmarkEnd w:id="87"/>
      <w:r w:rsidRPr="003B4362">
        <w:t xml:space="preserve"> of one or more consecutive systems.</w:t>
      </w:r>
    </w:p>
    <w:p w14:paraId="1C97FB02" w14:textId="77777777" w:rsidR="00371746" w:rsidRPr="003B4362" w:rsidRDefault="00371746" w:rsidP="00371746">
      <w:pPr>
        <w:suppressAutoHyphens/>
        <w:ind w:left="1440"/>
        <w:rPr>
          <w:spacing w:val="-3"/>
        </w:rPr>
      </w:pPr>
    </w:p>
    <w:p w14:paraId="0D854C81" w14:textId="77777777" w:rsidR="00371746" w:rsidRPr="003B4362" w:rsidRDefault="00371746" w:rsidP="00371746">
      <w:pPr>
        <w:suppressAutoHyphens/>
        <w:ind w:left="1440"/>
        <w:rPr>
          <w:spacing w:val="-3"/>
        </w:rPr>
      </w:pPr>
      <w:r w:rsidRPr="003B4362">
        <w:rPr>
          <w:spacing w:val="-3"/>
        </w:rPr>
        <w:t>“Contaminant” means any physical, chemical, biological</w:t>
      </w:r>
      <w:r w:rsidRPr="003B4362">
        <w:t>,</w:t>
      </w:r>
      <w:r w:rsidRPr="003B4362">
        <w:rPr>
          <w:spacing w:val="-3"/>
        </w:rPr>
        <w:t xml:space="preserve"> or radiological substance or matter in water.</w:t>
      </w:r>
    </w:p>
    <w:p w14:paraId="4DD49CFF" w14:textId="77777777" w:rsidR="00371746" w:rsidRPr="003B4362" w:rsidRDefault="00371746" w:rsidP="00371746">
      <w:pPr>
        <w:suppressAutoHyphens/>
        <w:ind w:left="1440"/>
        <w:rPr>
          <w:spacing w:val="-3"/>
        </w:rPr>
      </w:pPr>
    </w:p>
    <w:p w14:paraId="7097BBF3" w14:textId="77777777" w:rsidR="00371746" w:rsidRPr="003B4362" w:rsidRDefault="00371746" w:rsidP="00371746">
      <w:pPr>
        <w:suppressAutoHyphens/>
        <w:ind w:left="1440"/>
        <w:rPr>
          <w:spacing w:val="-3"/>
        </w:rPr>
      </w:pPr>
      <w:r w:rsidRPr="003B4362">
        <w:rPr>
          <w:spacing w:val="-3"/>
        </w:rPr>
        <w:t xml:space="preserve">“Conventional filtration treatment” means a series of </w:t>
      </w:r>
      <w:bookmarkStart w:id="88" w:name="_Hlk129105000"/>
      <w:r w:rsidRPr="003B4362">
        <w:rPr>
          <w:spacing w:val="-3"/>
        </w:rPr>
        <w:t xml:space="preserve">processes, </w:t>
      </w:r>
      <w:bookmarkStart w:id="89" w:name="_Hlk129106261"/>
      <w:r w:rsidRPr="003B4362">
        <w:rPr>
          <w:spacing w:val="-3"/>
        </w:rPr>
        <w:t>including coagulation, flocculation, sedimentation, and filtration</w:t>
      </w:r>
      <w:bookmarkEnd w:id="89"/>
      <w:r w:rsidRPr="003B4362">
        <w:rPr>
          <w:spacing w:val="-3"/>
        </w:rPr>
        <w:t>,</w:t>
      </w:r>
      <w:r w:rsidRPr="003B4362">
        <w:t xml:space="preserve"> resulting</w:t>
      </w:r>
      <w:bookmarkEnd w:id="88"/>
      <w:r w:rsidRPr="003B4362">
        <w:t xml:space="preserve"> </w:t>
      </w:r>
      <w:r w:rsidRPr="003B4362">
        <w:rPr>
          <w:spacing w:val="-3"/>
        </w:rPr>
        <w:t>in substantial “particulate removal”.</w:t>
      </w:r>
    </w:p>
    <w:p w14:paraId="081246E7" w14:textId="77777777" w:rsidR="00371746" w:rsidRPr="003B4362" w:rsidRDefault="00371746" w:rsidP="00371746">
      <w:pPr>
        <w:suppressAutoHyphens/>
        <w:ind w:left="1440"/>
        <w:rPr>
          <w:spacing w:val="-3"/>
        </w:rPr>
      </w:pPr>
    </w:p>
    <w:p w14:paraId="4036B581" w14:textId="5047F5DD" w:rsidR="00371746" w:rsidRPr="003B4362" w:rsidRDefault="00371746" w:rsidP="00371746">
      <w:pPr>
        <w:suppressAutoHyphens/>
        <w:ind w:left="1440"/>
        <w:rPr>
          <w:spacing w:val="-3"/>
        </w:rPr>
      </w:pPr>
      <w:r w:rsidRPr="003B4362">
        <w:rPr>
          <w:spacing w:val="-3"/>
        </w:rPr>
        <w:t>“CT” or “CT</w:t>
      </w:r>
      <w:r w:rsidRPr="003B4362">
        <w:rPr>
          <w:spacing w:val="-3"/>
          <w:vertAlign w:val="subscript"/>
        </w:rPr>
        <w:t>calc</w:t>
      </w:r>
      <w:r w:rsidRPr="003B4362">
        <w:rPr>
          <w:spacing w:val="-3"/>
        </w:rPr>
        <w:t>” is the product of residual disinfectant concentration (RDC or C) in mg/</w:t>
      </w:r>
      <w:r w:rsidRPr="003B4362">
        <w:t>L</w:t>
      </w:r>
      <w:r w:rsidRPr="003B4362">
        <w:rPr>
          <w:spacing w:val="-3"/>
        </w:rPr>
        <w:t xml:space="preserve">, </w:t>
      </w:r>
      <w:bookmarkStart w:id="90" w:name="_Hlk129105268"/>
      <w:r w:rsidRPr="003B4362">
        <w:rPr>
          <w:spacing w:val="-3"/>
        </w:rPr>
        <w:t>determined before or at the first customer</w:t>
      </w:r>
      <w:bookmarkEnd w:id="90"/>
      <w:r w:rsidRPr="003B4362">
        <w:rPr>
          <w:spacing w:val="-3"/>
        </w:rPr>
        <w:t>, and the corresponding disinfectant contact time (T) in minutes.  If a supplier applies disinfectants at more than one point prior to the first customer, it must determine the CT of each disinfectant sequence before or at the first customer to determine the total percent inactivation or “total inactivation ratio</w:t>
      </w:r>
      <w:r w:rsidRPr="003B4362">
        <w:t>”.  In determining the total inactivation ratio, the supplier must determine the RDC of each disinfection sequence and corresponding contact time before any subsequent disinfection application points.  (See the definition of “CT</w:t>
      </w:r>
      <w:r w:rsidRPr="003B4362">
        <w:rPr>
          <w:vertAlign w:val="subscript"/>
        </w:rPr>
        <w:t>99.9</w:t>
      </w:r>
      <w:r w:rsidRPr="003B4362">
        <w:t>”.</w:t>
      </w:r>
      <w:r w:rsidRPr="003B4362">
        <w:rPr>
          <w:spacing w:val="-3"/>
        </w:rPr>
        <w:t>)</w:t>
      </w:r>
    </w:p>
    <w:p w14:paraId="0DDDE870" w14:textId="77777777" w:rsidR="00371746" w:rsidRPr="003B4362" w:rsidRDefault="00371746" w:rsidP="00371746">
      <w:pPr>
        <w:suppressAutoHyphens/>
        <w:ind w:left="1440"/>
        <w:rPr>
          <w:spacing w:val="-3"/>
        </w:rPr>
      </w:pPr>
    </w:p>
    <w:p w14:paraId="152ACA9C" w14:textId="73AFFC32" w:rsidR="00371746" w:rsidRPr="003B4362" w:rsidRDefault="00371746" w:rsidP="00371746">
      <w:pPr>
        <w:suppressAutoHyphens/>
        <w:ind w:left="1440"/>
        <w:rPr>
          <w:spacing w:val="-3"/>
        </w:rPr>
      </w:pPr>
      <w:r w:rsidRPr="003B4362">
        <w:rPr>
          <w:spacing w:val="-3"/>
        </w:rPr>
        <w:t>“CT</w:t>
      </w:r>
      <w:r w:rsidRPr="003B4362">
        <w:rPr>
          <w:spacing w:val="-3"/>
          <w:vertAlign w:val="subscript"/>
        </w:rPr>
        <w:t>99.9</w:t>
      </w:r>
      <w:r w:rsidRPr="003B4362">
        <w:rPr>
          <w:spacing w:val="-3"/>
        </w:rPr>
        <w:t xml:space="preserve">” is the CT value required for 99.9 percent (3-log) inactivation of Giardia lamblia cysts.  </w:t>
      </w:r>
      <w:bookmarkStart w:id="91" w:name="_Hlk129105480"/>
      <w:r w:rsidRPr="003B4362">
        <w:rPr>
          <w:spacing w:val="-3"/>
        </w:rPr>
        <w:t>Tables 1.1 through 1.6, 2.1, and 3.1 of</w:t>
      </w:r>
      <w:r w:rsidRPr="003B4362">
        <w:t xml:space="preserve"> Appendix B list</w:t>
      </w:r>
      <w:bookmarkEnd w:id="91"/>
      <w:r w:rsidRPr="003B4362">
        <w:t xml:space="preserve"> </w:t>
      </w:r>
      <w:r w:rsidRPr="003B4362">
        <w:rPr>
          <w:spacing w:val="-3"/>
        </w:rPr>
        <w:t>CT</w:t>
      </w:r>
      <w:r w:rsidRPr="003B4362">
        <w:rPr>
          <w:spacing w:val="-3"/>
          <w:vertAlign w:val="subscript"/>
        </w:rPr>
        <w:t>99.9</w:t>
      </w:r>
      <w:r w:rsidRPr="003B4362">
        <w:rPr>
          <w:spacing w:val="-3"/>
        </w:rPr>
        <w:t xml:space="preserve"> values for a variety of disinfectants and conditions.  (See </w:t>
      </w:r>
      <w:r w:rsidRPr="003B4362">
        <w:t xml:space="preserve">the definition of </w:t>
      </w:r>
      <w:r w:rsidRPr="003B4362">
        <w:rPr>
          <w:spacing w:val="-3"/>
        </w:rPr>
        <w:t>“</w:t>
      </w:r>
      <w:r w:rsidRPr="003B4362">
        <w:t>inactivation ratio”.</w:t>
      </w:r>
      <w:r w:rsidRPr="003B4362">
        <w:rPr>
          <w:spacing w:val="-3"/>
        </w:rPr>
        <w:t>)</w:t>
      </w:r>
    </w:p>
    <w:p w14:paraId="25AB85CF" w14:textId="41A61F12" w:rsidR="00371746" w:rsidRPr="003B4362" w:rsidRDefault="00371746" w:rsidP="00371746">
      <w:pPr>
        <w:suppressAutoHyphens/>
        <w:ind w:left="1440"/>
        <w:rPr>
          <w:spacing w:val="-3"/>
        </w:rPr>
      </w:pPr>
      <w:r w:rsidRPr="003B4362">
        <w:rPr>
          <w:spacing w:val="-3"/>
        </w:rPr>
        <w:t>BOARD NOTE:  T</w:t>
      </w:r>
      <w:bookmarkStart w:id="92" w:name="_Hlk129105597"/>
      <w:r w:rsidRPr="003B4362">
        <w:rPr>
          <w:spacing w:val="-3"/>
        </w:rPr>
        <w:t>his definition derives from</w:t>
      </w:r>
      <w:bookmarkEnd w:id="92"/>
      <w:r w:rsidRPr="003B4362">
        <w:rPr>
          <w:spacing w:val="-3"/>
        </w:rPr>
        <w:t xml:space="preserve"> the definition of “CT” in 40 CFR 141.2.</w:t>
      </w:r>
    </w:p>
    <w:p w14:paraId="40392673" w14:textId="77777777" w:rsidR="00371746" w:rsidRPr="003B4362" w:rsidRDefault="00371746" w:rsidP="00371746">
      <w:pPr>
        <w:suppressAutoHyphens/>
        <w:ind w:left="1440"/>
        <w:rPr>
          <w:spacing w:val="-3"/>
        </w:rPr>
      </w:pPr>
    </w:p>
    <w:p w14:paraId="6B84D1DB" w14:textId="4C4642EB" w:rsidR="00371746" w:rsidRPr="003B4362" w:rsidRDefault="00371746" w:rsidP="00371746">
      <w:pPr>
        <w:suppressAutoHyphens/>
        <w:ind w:left="1440"/>
        <w:rPr>
          <w:spacing w:val="-3"/>
        </w:rPr>
      </w:pPr>
      <w:r w:rsidRPr="003B4362">
        <w:rPr>
          <w:spacing w:val="-3"/>
        </w:rPr>
        <w:t>“Diatomaceous earth filtration” means a process resulting in substantial particulate removal:</w:t>
      </w:r>
    </w:p>
    <w:p w14:paraId="6173B4B8" w14:textId="77777777" w:rsidR="00371746" w:rsidRPr="003B4362" w:rsidRDefault="00371746" w:rsidP="00371746">
      <w:pPr>
        <w:suppressAutoHyphens/>
        <w:ind w:left="2160"/>
        <w:rPr>
          <w:spacing w:val="-3"/>
        </w:rPr>
      </w:pPr>
    </w:p>
    <w:p w14:paraId="2EE8E1EB" w14:textId="7D83727C" w:rsidR="00371746" w:rsidRPr="003B4362" w:rsidRDefault="00371746" w:rsidP="00371746">
      <w:pPr>
        <w:suppressAutoHyphens/>
        <w:ind w:left="2160"/>
        <w:rPr>
          <w:spacing w:val="-3"/>
        </w:rPr>
      </w:pPr>
      <w:r w:rsidRPr="003B4362">
        <w:rPr>
          <w:spacing w:val="-3"/>
        </w:rPr>
        <w:t>T</w:t>
      </w:r>
      <w:bookmarkStart w:id="93" w:name="_Hlk129105757"/>
      <w:r w:rsidRPr="003B4362">
        <w:rPr>
          <w:spacing w:val="-3"/>
        </w:rPr>
        <w:t xml:space="preserve">he process deposits a precoat cake of diatomaceous earth filter media </w:t>
      </w:r>
      <w:bookmarkEnd w:id="93"/>
      <w:r w:rsidRPr="003B4362">
        <w:rPr>
          <w:spacing w:val="-3"/>
        </w:rPr>
        <w:t>on a support membrane (septum); and</w:t>
      </w:r>
    </w:p>
    <w:p w14:paraId="372FBD81" w14:textId="77777777" w:rsidR="00371746" w:rsidRPr="003B4362" w:rsidRDefault="00371746" w:rsidP="00371746">
      <w:pPr>
        <w:suppressAutoHyphens/>
        <w:ind w:left="2160"/>
        <w:rPr>
          <w:spacing w:val="-3"/>
        </w:rPr>
      </w:pPr>
    </w:p>
    <w:p w14:paraId="3D85BC21" w14:textId="55A72AF6" w:rsidR="00371746" w:rsidRPr="003B4362" w:rsidRDefault="00371746" w:rsidP="00371746">
      <w:pPr>
        <w:suppressAutoHyphens/>
        <w:ind w:left="2160"/>
        <w:rPr>
          <w:spacing w:val="-3"/>
        </w:rPr>
      </w:pPr>
      <w:r w:rsidRPr="003B4362">
        <w:rPr>
          <w:spacing w:val="-3"/>
        </w:rPr>
        <w:t>T</w:t>
      </w:r>
      <w:bookmarkStart w:id="94" w:name="_Hlk129105914"/>
      <w:r w:rsidRPr="003B4362">
        <w:rPr>
          <w:spacing w:val="-3"/>
        </w:rPr>
        <w:t>he process continuously adds additional filter media, known as body feed, to the feed water to maintain permeability of the filter cake while filtering the water by passing through the cake on the septum</w:t>
      </w:r>
      <w:bookmarkEnd w:id="94"/>
      <w:r w:rsidRPr="003B4362">
        <w:rPr>
          <w:spacing w:val="-3"/>
        </w:rPr>
        <w:t>.</w:t>
      </w:r>
    </w:p>
    <w:p w14:paraId="4E8F15A7" w14:textId="77777777" w:rsidR="00371746" w:rsidRPr="003B4362" w:rsidRDefault="00371746" w:rsidP="00371746">
      <w:pPr>
        <w:suppressAutoHyphens/>
        <w:ind w:left="1440"/>
        <w:rPr>
          <w:spacing w:val="-3"/>
        </w:rPr>
      </w:pPr>
    </w:p>
    <w:p w14:paraId="623E9570" w14:textId="77777777" w:rsidR="00371746" w:rsidRPr="003B4362" w:rsidRDefault="00371746" w:rsidP="00371746">
      <w:pPr>
        <w:suppressAutoHyphens/>
        <w:ind w:left="1440"/>
        <w:rPr>
          <w:spacing w:val="-3"/>
        </w:rPr>
      </w:pPr>
      <w:r w:rsidRPr="003B4362">
        <w:rPr>
          <w:spacing w:val="-3"/>
        </w:rPr>
        <w:t xml:space="preserve">“Direct filtration” means a series of processes, </w:t>
      </w:r>
      <w:bookmarkStart w:id="95" w:name="_Hlk129106425"/>
      <w:r w:rsidRPr="003B4362">
        <w:rPr>
          <w:spacing w:val="-3"/>
        </w:rPr>
        <w:t>including coagulation and filtration but excluding sedimentation</w:t>
      </w:r>
      <w:bookmarkEnd w:id="95"/>
      <w:r w:rsidRPr="003B4362">
        <w:rPr>
          <w:spacing w:val="-3"/>
        </w:rPr>
        <w:t xml:space="preserve">, </w:t>
      </w:r>
      <w:r w:rsidRPr="003B4362">
        <w:t xml:space="preserve">resulting </w:t>
      </w:r>
      <w:r w:rsidRPr="003B4362">
        <w:rPr>
          <w:spacing w:val="-3"/>
        </w:rPr>
        <w:t>in substantial particulate removal.</w:t>
      </w:r>
    </w:p>
    <w:p w14:paraId="15F7C780" w14:textId="77777777" w:rsidR="00371746" w:rsidRPr="003B4362" w:rsidRDefault="00371746" w:rsidP="00371746">
      <w:pPr>
        <w:suppressAutoHyphens/>
        <w:ind w:left="1440"/>
        <w:rPr>
          <w:spacing w:val="-3"/>
        </w:rPr>
      </w:pPr>
    </w:p>
    <w:p w14:paraId="5DAD3CDC" w14:textId="63B0941D" w:rsidR="00371746" w:rsidRPr="003B4362" w:rsidRDefault="00371746" w:rsidP="00371746">
      <w:pPr>
        <w:suppressAutoHyphens/>
        <w:ind w:left="1440"/>
        <w:rPr>
          <w:spacing w:val="-3"/>
        </w:rPr>
      </w:pPr>
      <w:r w:rsidRPr="003B4362">
        <w:rPr>
          <w:spacing w:val="-3"/>
        </w:rPr>
        <w:t xml:space="preserve">“Disinfectant” means any oxidant, </w:t>
      </w:r>
      <w:bookmarkStart w:id="96" w:name="_Hlk129106901"/>
      <w:r w:rsidRPr="003B4362">
        <w:rPr>
          <w:spacing w:val="-3"/>
        </w:rPr>
        <w:t>including chlorine, chlorine dioxide, chloramines, and ozone</w:t>
      </w:r>
      <w:bookmarkEnd w:id="96"/>
      <w:r w:rsidRPr="003B4362">
        <w:rPr>
          <w:spacing w:val="-3"/>
        </w:rPr>
        <w:t xml:space="preserve">, </w:t>
      </w:r>
      <w:bookmarkStart w:id="97" w:name="_Hlk129106538"/>
      <w:r w:rsidRPr="003B4362">
        <w:rPr>
          <w:spacing w:val="-3"/>
        </w:rPr>
        <w:t>that a supplier adds to water in any part of the treatment or distribution process</w:t>
      </w:r>
      <w:bookmarkEnd w:id="97"/>
      <w:r w:rsidRPr="003B4362">
        <w:rPr>
          <w:spacing w:val="-3"/>
        </w:rPr>
        <w:t xml:space="preserve"> to kill or inactivate pathogenic microorganisms.</w:t>
      </w:r>
    </w:p>
    <w:p w14:paraId="5A04A913" w14:textId="77777777" w:rsidR="00371746" w:rsidRPr="003B4362" w:rsidRDefault="00371746" w:rsidP="00371746">
      <w:pPr>
        <w:suppressAutoHyphens/>
        <w:ind w:left="1440"/>
        <w:rPr>
          <w:spacing w:val="-3"/>
        </w:rPr>
      </w:pPr>
    </w:p>
    <w:p w14:paraId="7FD71FFB" w14:textId="21038B93" w:rsidR="00371746" w:rsidRPr="003B4362" w:rsidRDefault="00371746" w:rsidP="00371746">
      <w:pPr>
        <w:suppressAutoHyphens/>
        <w:ind w:left="1440"/>
        <w:rPr>
          <w:spacing w:val="-3"/>
        </w:rPr>
      </w:pPr>
      <w:r w:rsidRPr="003B4362">
        <w:rPr>
          <w:spacing w:val="-3"/>
        </w:rPr>
        <w:t xml:space="preserve">“Disinfectant contact time” or “T” means </w:t>
      </w:r>
      <w:bookmarkStart w:id="98" w:name="_Hlk129107123"/>
      <w:r w:rsidRPr="003B4362">
        <w:rPr>
          <w:spacing w:val="-3"/>
        </w:rPr>
        <w:t xml:space="preserve">the time in minutes that water moves </w:t>
      </w:r>
      <w:bookmarkEnd w:id="98"/>
      <w:r w:rsidRPr="003B4362">
        <w:rPr>
          <w:spacing w:val="-3"/>
        </w:rPr>
        <w:t xml:space="preserve">from the point of disinfectant application or the previous point of RDC measurement to a point before or at the point </w:t>
      </w:r>
      <w:bookmarkStart w:id="99" w:name="_Hlk129107208"/>
      <w:r w:rsidRPr="003B4362">
        <w:rPr>
          <w:spacing w:val="-3"/>
        </w:rPr>
        <w:t>where the supplier measures RDC</w:t>
      </w:r>
      <w:bookmarkEnd w:id="99"/>
      <w:r w:rsidRPr="003B4362">
        <w:rPr>
          <w:spacing w:val="-3"/>
        </w:rPr>
        <w:t>.</w:t>
      </w:r>
    </w:p>
    <w:p w14:paraId="7AF2D777" w14:textId="77777777" w:rsidR="00371746" w:rsidRPr="003B4362" w:rsidRDefault="00371746" w:rsidP="00371746">
      <w:pPr>
        <w:suppressAutoHyphens/>
        <w:ind w:left="2160"/>
        <w:rPr>
          <w:spacing w:val="-3"/>
        </w:rPr>
      </w:pPr>
    </w:p>
    <w:p w14:paraId="5140F707" w14:textId="361058E8" w:rsidR="00371746" w:rsidRPr="003B4362" w:rsidRDefault="00371746" w:rsidP="00371746">
      <w:pPr>
        <w:suppressAutoHyphens/>
        <w:ind w:left="2160"/>
        <w:rPr>
          <w:spacing w:val="-3"/>
        </w:rPr>
      </w:pPr>
      <w:r w:rsidRPr="003B4362">
        <w:rPr>
          <w:spacing w:val="-3"/>
        </w:rPr>
        <w:t>If</w:t>
      </w:r>
      <w:bookmarkStart w:id="100" w:name="_Hlk129107273"/>
      <w:r w:rsidRPr="003B4362">
        <w:rPr>
          <w:spacing w:val="-3"/>
        </w:rPr>
        <w:t xml:space="preserve"> the supplier measures only one RDC</w:t>
      </w:r>
      <w:bookmarkEnd w:id="100"/>
      <w:r w:rsidRPr="003B4362">
        <w:rPr>
          <w:spacing w:val="-3"/>
        </w:rPr>
        <w:t xml:space="preserve">, T is the </w:t>
      </w:r>
      <w:bookmarkStart w:id="101" w:name="_Hlk129109368"/>
      <w:r w:rsidRPr="003B4362">
        <w:rPr>
          <w:spacing w:val="-3"/>
        </w:rPr>
        <w:t xml:space="preserve">time in minutes that water moves </w:t>
      </w:r>
      <w:bookmarkEnd w:id="101"/>
      <w:r w:rsidRPr="003B4362">
        <w:rPr>
          <w:spacing w:val="-3"/>
        </w:rPr>
        <w:t xml:space="preserve">from the point of disinfectant application to a point before or at </w:t>
      </w:r>
      <w:r w:rsidRPr="003B4362">
        <w:t xml:space="preserve">the point </w:t>
      </w:r>
      <w:r w:rsidRPr="003B4362">
        <w:rPr>
          <w:spacing w:val="-3"/>
        </w:rPr>
        <w:t>where RDC is measured.</w:t>
      </w:r>
    </w:p>
    <w:p w14:paraId="445198B1" w14:textId="77777777" w:rsidR="00371746" w:rsidRPr="003B4362" w:rsidRDefault="00371746" w:rsidP="00371746">
      <w:pPr>
        <w:suppressAutoHyphens/>
        <w:ind w:left="2160"/>
        <w:rPr>
          <w:spacing w:val="-3"/>
        </w:rPr>
      </w:pPr>
    </w:p>
    <w:p w14:paraId="095B8D47" w14:textId="361DF1C6" w:rsidR="00371746" w:rsidRPr="003B4362" w:rsidRDefault="00371746" w:rsidP="00371746">
      <w:pPr>
        <w:suppressAutoHyphens/>
        <w:ind w:left="2160"/>
        <w:rPr>
          <w:spacing w:val="-3"/>
        </w:rPr>
      </w:pPr>
      <w:r w:rsidRPr="003B4362">
        <w:rPr>
          <w:spacing w:val="-3"/>
        </w:rPr>
        <w:t>If the supplier measures more than one RDC:</w:t>
      </w:r>
    </w:p>
    <w:p w14:paraId="1847A181" w14:textId="77777777" w:rsidR="00371746" w:rsidRPr="003B4362" w:rsidRDefault="00371746" w:rsidP="00371746">
      <w:pPr>
        <w:suppressAutoHyphens/>
        <w:ind w:left="2880"/>
        <w:rPr>
          <w:spacing w:val="-3"/>
        </w:rPr>
      </w:pPr>
    </w:p>
    <w:p w14:paraId="0F0B9AFF" w14:textId="4DD8BBB8" w:rsidR="00371746" w:rsidRPr="003B4362" w:rsidRDefault="00371746" w:rsidP="00371746">
      <w:pPr>
        <w:suppressAutoHyphens/>
        <w:ind w:left="2880"/>
        <w:rPr>
          <w:spacing w:val="-3"/>
        </w:rPr>
      </w:pPr>
      <w:r w:rsidRPr="003B4362">
        <w:rPr>
          <w:spacing w:val="-3"/>
        </w:rPr>
        <w:t xml:space="preserve">For the first measurement of RDC, T is the time in minutes that water moves from the first or only point of disinfectant application to a point before or at the point </w:t>
      </w:r>
      <w:bookmarkStart w:id="102" w:name="_Hlk129110155"/>
      <w:r w:rsidRPr="003B4362">
        <w:rPr>
          <w:spacing w:val="-3"/>
        </w:rPr>
        <w:t>where the supplier measures the first RDC</w:t>
      </w:r>
      <w:bookmarkEnd w:id="102"/>
      <w:r w:rsidRPr="003B4362">
        <w:t>;</w:t>
      </w:r>
      <w:r w:rsidRPr="003B4362">
        <w:rPr>
          <w:spacing w:val="-3"/>
        </w:rPr>
        <w:t xml:space="preserve"> and</w:t>
      </w:r>
    </w:p>
    <w:p w14:paraId="4B45E6E7" w14:textId="77777777" w:rsidR="00371746" w:rsidRPr="003B4362" w:rsidRDefault="00371746" w:rsidP="00371746">
      <w:pPr>
        <w:suppressAutoHyphens/>
        <w:ind w:left="2880"/>
        <w:rPr>
          <w:spacing w:val="-3"/>
        </w:rPr>
      </w:pPr>
    </w:p>
    <w:p w14:paraId="53B80395" w14:textId="6B5BE775" w:rsidR="00371746" w:rsidRPr="003B4362" w:rsidRDefault="00371746" w:rsidP="00371746">
      <w:pPr>
        <w:suppressAutoHyphens/>
        <w:ind w:left="2880"/>
        <w:rPr>
          <w:spacing w:val="-3"/>
        </w:rPr>
      </w:pPr>
      <w:r w:rsidRPr="003B4362">
        <w:rPr>
          <w:spacing w:val="-3"/>
        </w:rPr>
        <w:t xml:space="preserve">For subsequent measurements of RDC, T is the time in minutes that water moves from the previous RDC measurement point to the RDC measurement </w:t>
      </w:r>
      <w:bookmarkStart w:id="103" w:name="_Hlk129110496"/>
      <w:r w:rsidRPr="003B4362">
        <w:rPr>
          <w:spacing w:val="-3"/>
        </w:rPr>
        <w:t>point where the supplier calculates the particular T</w:t>
      </w:r>
      <w:bookmarkEnd w:id="103"/>
      <w:r w:rsidRPr="003B4362">
        <w:rPr>
          <w:spacing w:val="-3"/>
        </w:rPr>
        <w:t>.</w:t>
      </w:r>
    </w:p>
    <w:p w14:paraId="556E58E6" w14:textId="77777777" w:rsidR="00371746" w:rsidRPr="003B4362" w:rsidRDefault="00371746" w:rsidP="00371746">
      <w:pPr>
        <w:suppressAutoHyphens/>
        <w:ind w:left="2160"/>
        <w:rPr>
          <w:spacing w:val="-3"/>
        </w:rPr>
      </w:pPr>
      <w:bookmarkStart w:id="104" w:name="_Hlk129110617"/>
    </w:p>
    <w:p w14:paraId="05554D5E" w14:textId="50C0E5F8" w:rsidR="00371746" w:rsidRPr="003B4362" w:rsidRDefault="00371746" w:rsidP="00371746">
      <w:pPr>
        <w:suppressAutoHyphens/>
        <w:ind w:left="2160"/>
        <w:rPr>
          <w:spacing w:val="-3"/>
        </w:rPr>
      </w:pPr>
      <w:r w:rsidRPr="003B4362">
        <w:rPr>
          <w:spacing w:val="-3"/>
        </w:rPr>
        <w:t xml:space="preserve">In pipelines, the supplier must calculate T </w:t>
      </w:r>
      <w:bookmarkEnd w:id="104"/>
      <w:r w:rsidRPr="003B4362">
        <w:rPr>
          <w:spacing w:val="-3"/>
        </w:rPr>
        <w:t>based on “plug flow” by dividing the internal volume of the pipe by the maximum hourly flow rate through that pipe.</w:t>
      </w:r>
    </w:p>
    <w:p w14:paraId="3485D283" w14:textId="77777777" w:rsidR="00371746" w:rsidRPr="003B4362" w:rsidRDefault="00371746" w:rsidP="00371746">
      <w:pPr>
        <w:suppressAutoHyphens/>
        <w:ind w:left="2160"/>
        <w:rPr>
          <w:spacing w:val="-3"/>
        </w:rPr>
      </w:pPr>
      <w:bookmarkStart w:id="105" w:name="_Hlk129110723"/>
    </w:p>
    <w:p w14:paraId="0CE9AA62" w14:textId="59F64B10" w:rsidR="00371746" w:rsidRPr="003B4362" w:rsidRDefault="00371746" w:rsidP="00371746">
      <w:pPr>
        <w:suppressAutoHyphens/>
        <w:ind w:left="2160"/>
        <w:rPr>
          <w:spacing w:val="-3"/>
        </w:rPr>
      </w:pPr>
      <w:r w:rsidRPr="003B4362">
        <w:rPr>
          <w:spacing w:val="-3"/>
        </w:rPr>
        <w:t xml:space="preserve">Within mixing basins and storage reservoirs, the supplier must determine T using </w:t>
      </w:r>
      <w:bookmarkEnd w:id="105"/>
      <w:r w:rsidRPr="003B4362">
        <w:rPr>
          <w:spacing w:val="-3"/>
        </w:rPr>
        <w:t>tracer studies or an equivalent demonstration.</w:t>
      </w:r>
    </w:p>
    <w:p w14:paraId="7B3A2D51" w14:textId="77777777" w:rsidR="00371746" w:rsidRPr="003B4362" w:rsidRDefault="00371746" w:rsidP="00371746">
      <w:pPr>
        <w:suppressAutoHyphens/>
        <w:ind w:left="1440"/>
        <w:rPr>
          <w:spacing w:val="-3"/>
        </w:rPr>
      </w:pPr>
    </w:p>
    <w:p w14:paraId="01E973B7" w14:textId="77777777" w:rsidR="00371746" w:rsidRPr="003B4362" w:rsidRDefault="00371746" w:rsidP="00371746">
      <w:pPr>
        <w:suppressAutoHyphens/>
        <w:ind w:left="1440"/>
        <w:rPr>
          <w:spacing w:val="-3"/>
        </w:rPr>
      </w:pPr>
      <w:r w:rsidRPr="003B4362">
        <w:rPr>
          <w:spacing w:val="-3"/>
        </w:rPr>
        <w:t>“Disinfection” means a process that inactivates pathogenic organisms in water by chemical oxidants or equivalent agents.</w:t>
      </w:r>
    </w:p>
    <w:p w14:paraId="7408ED8C" w14:textId="77777777" w:rsidR="00371746" w:rsidRPr="003B4362" w:rsidRDefault="00371746" w:rsidP="00371746">
      <w:pPr>
        <w:suppressAutoHyphens/>
        <w:ind w:left="1440"/>
      </w:pPr>
    </w:p>
    <w:p w14:paraId="158E0B4D" w14:textId="58AA89E4" w:rsidR="00371746" w:rsidRPr="003B4362" w:rsidRDefault="00371746" w:rsidP="00371746">
      <w:pPr>
        <w:suppressAutoHyphens/>
        <w:ind w:left="1440"/>
      </w:pPr>
      <w:r w:rsidRPr="003B4362">
        <w:t xml:space="preserve">“Disinfection byproduct” or “DBP” means a chemical byproduct forming when disinfectants used for microbial control react with naturally occurring compounds already present in source water.  DBPs include bromodichloromethane, </w:t>
      </w:r>
      <w:r w:rsidRPr="003B4362">
        <w:lastRenderedPageBreak/>
        <w:t>bromoform, chloroform, dichloroacetic acid, bromate, chlorite, dibromochloromethane, and certain haloacetic acids.</w:t>
      </w:r>
    </w:p>
    <w:p w14:paraId="055441B3" w14:textId="77777777" w:rsidR="00371746" w:rsidRPr="003B4362" w:rsidRDefault="00371746" w:rsidP="00371746">
      <w:pPr>
        <w:ind w:left="1440"/>
      </w:pPr>
    </w:p>
    <w:p w14:paraId="0C691066" w14:textId="320E5498" w:rsidR="00371746" w:rsidRPr="003B4362" w:rsidRDefault="00371746" w:rsidP="00371746">
      <w:pPr>
        <w:ind w:left="1440"/>
      </w:pPr>
      <w:r w:rsidRPr="003B4362">
        <w:t>“Disinfection profile” is a summary of daily Giardia lamblia inactivation through a treatment plant.  The procedure for developing a disinfection profile is in Section 611.742.</w:t>
      </w:r>
    </w:p>
    <w:p w14:paraId="35A6DE84" w14:textId="77777777" w:rsidR="00371746" w:rsidRPr="003B4362" w:rsidRDefault="00371746" w:rsidP="00371746">
      <w:pPr>
        <w:suppressAutoHyphens/>
        <w:ind w:left="1440"/>
        <w:rPr>
          <w:spacing w:val="-3"/>
        </w:rPr>
      </w:pPr>
    </w:p>
    <w:p w14:paraId="5DB3300A" w14:textId="77777777" w:rsidR="00371746" w:rsidRPr="003B4362" w:rsidRDefault="00371746" w:rsidP="00371746">
      <w:pPr>
        <w:suppressAutoHyphens/>
        <w:ind w:left="1440"/>
        <w:rPr>
          <w:spacing w:val="-3"/>
        </w:rPr>
      </w:pPr>
      <w:r w:rsidRPr="003B4362">
        <w:rPr>
          <w:spacing w:val="-3"/>
        </w:rPr>
        <w:t>“Distribution system” includes all points downstream of an “entry point” to the point of consumer ownership.</w:t>
      </w:r>
    </w:p>
    <w:p w14:paraId="3E46D16A" w14:textId="77777777" w:rsidR="00371746" w:rsidRPr="003B4362" w:rsidRDefault="00371746" w:rsidP="00371746">
      <w:pPr>
        <w:suppressAutoHyphens/>
        <w:ind w:left="1440"/>
        <w:rPr>
          <w:spacing w:val="-3"/>
        </w:rPr>
      </w:pPr>
    </w:p>
    <w:p w14:paraId="3DDCAAEC" w14:textId="4F191763" w:rsidR="00371746" w:rsidRPr="003B4362" w:rsidRDefault="00371746" w:rsidP="00371746">
      <w:pPr>
        <w:suppressAutoHyphens/>
        <w:ind w:left="1440"/>
        <w:rPr>
          <w:spacing w:val="-3"/>
        </w:rPr>
      </w:pPr>
      <w:r w:rsidRPr="003B4362">
        <w:rPr>
          <w:spacing w:val="-3"/>
        </w:rPr>
        <w:t>“Domestic or other non-distribution system plumbing problem” means a coliform contamination problem in a PWS having more than one service connection that is limited to the specific service connection from which the supplier took the coliform-positive sample.</w:t>
      </w:r>
    </w:p>
    <w:p w14:paraId="5595EA49" w14:textId="77777777" w:rsidR="00371746" w:rsidRPr="003B4362" w:rsidRDefault="00371746" w:rsidP="00371746">
      <w:pPr>
        <w:suppressAutoHyphens/>
        <w:ind w:left="1440"/>
        <w:rPr>
          <w:spacing w:val="-3"/>
        </w:rPr>
      </w:pPr>
      <w:bookmarkStart w:id="106" w:name="_Hlk97731135"/>
    </w:p>
    <w:p w14:paraId="7349E874" w14:textId="16EB4955" w:rsidR="00371746" w:rsidRPr="003B4362" w:rsidRDefault="00371746" w:rsidP="00371746">
      <w:pPr>
        <w:suppressAutoHyphens/>
        <w:ind w:left="1440"/>
        <w:rPr>
          <w:spacing w:val="-3"/>
        </w:rPr>
      </w:pPr>
      <w:r w:rsidRPr="003B4362">
        <w:rPr>
          <w:spacing w:val="-3"/>
        </w:rPr>
        <w:t>“Dose equivalent” means the product of the absorbed dose from ionizing radiation and the factors accounting for differences in biological effect due to the type of radiation and its distribution in the body.</w:t>
      </w:r>
      <w:bookmarkEnd w:id="106"/>
    </w:p>
    <w:p w14:paraId="7567A698" w14:textId="77777777" w:rsidR="00371746" w:rsidRPr="003B4362" w:rsidRDefault="00371746" w:rsidP="00371746">
      <w:pPr>
        <w:suppressAutoHyphens/>
        <w:ind w:left="1440"/>
        <w:rPr>
          <w:spacing w:val="-3"/>
        </w:rPr>
      </w:pPr>
      <w:r w:rsidRPr="003B4362">
        <w:rPr>
          <w:spacing w:val="-3"/>
        </w:rPr>
        <w:t>BOARD NOTE:  The International Commission on Radiation Units and Measurements (ICRU) specifies “dose equivalent” as the product of the absorbed dose (D), quality factor (QF), dose distribution factor (DF), and other necessary factors.  See “Radiation Quantities and Units,” International Commission on Radiological Units and Measurements (ICRU) Report 10a, Handbook 84, U.S. Department of Commerce, National Bureau of Standards (1962).</w:t>
      </w:r>
    </w:p>
    <w:p w14:paraId="246F0A2F" w14:textId="77777777" w:rsidR="00371746" w:rsidRPr="003B4362" w:rsidRDefault="00371746" w:rsidP="00371746">
      <w:pPr>
        <w:ind w:left="1440"/>
      </w:pPr>
    </w:p>
    <w:p w14:paraId="52E67561" w14:textId="52230BFD" w:rsidR="00371746" w:rsidRPr="003B4362" w:rsidRDefault="00371746" w:rsidP="00371746">
      <w:pPr>
        <w:ind w:left="1440"/>
      </w:pPr>
      <w:r w:rsidRPr="003B4362">
        <w:t xml:space="preserve">“Dual sample set” means a set of </w:t>
      </w:r>
      <w:bookmarkStart w:id="107" w:name="_Hlk129121676"/>
      <w:r w:rsidRPr="003B4362">
        <w:t xml:space="preserve">two samples the supplier collects </w:t>
      </w:r>
      <w:bookmarkEnd w:id="107"/>
      <w:r w:rsidRPr="003B4362">
        <w:t xml:space="preserve">at the same time and same location, </w:t>
      </w:r>
      <w:bookmarkStart w:id="108" w:name="_Hlk129121736"/>
      <w:r w:rsidRPr="003B4362">
        <w:t xml:space="preserve">analyzing one sample </w:t>
      </w:r>
      <w:bookmarkStart w:id="109" w:name="_Hlk129123839"/>
      <w:bookmarkEnd w:id="108"/>
      <w:r w:rsidRPr="003B4362">
        <w:t>for TTHM and the other sample for HAA5</w:t>
      </w:r>
      <w:bookmarkEnd w:id="109"/>
      <w:r w:rsidRPr="003B4362">
        <w:t>.  A</w:t>
      </w:r>
      <w:bookmarkStart w:id="110" w:name="_Hlk129123937"/>
      <w:r w:rsidRPr="003B4362">
        <w:t xml:space="preserve"> supplier collects dual sample sets to conduct an IDSE under Subpart W and determine compliance</w:t>
      </w:r>
      <w:bookmarkEnd w:id="110"/>
      <w:r w:rsidRPr="003B4362">
        <w:t xml:space="preserve"> with the TTHM and HAA5 MCLs under Subpart Y.</w:t>
      </w:r>
    </w:p>
    <w:p w14:paraId="6E31EEF0" w14:textId="77777777" w:rsidR="00371746" w:rsidRPr="003B4362" w:rsidRDefault="00371746" w:rsidP="00371746">
      <w:pPr>
        <w:ind w:left="1440"/>
      </w:pPr>
    </w:p>
    <w:p w14:paraId="0CA87230" w14:textId="77777777" w:rsidR="00371746" w:rsidRPr="003B4362" w:rsidRDefault="00371746" w:rsidP="00371746">
      <w:pPr>
        <w:ind w:left="1440"/>
      </w:pPr>
      <w:r w:rsidRPr="003B4362">
        <w:t>“E. coli” means Escherichia coli, a species of bacteria used as a specific indicator of fecal contamination and potential harmful pathogens.</w:t>
      </w:r>
    </w:p>
    <w:p w14:paraId="35315ECD" w14:textId="3BAF4911" w:rsidR="00371746" w:rsidRPr="003B4362" w:rsidRDefault="00371746" w:rsidP="00371746">
      <w:pPr>
        <w:ind w:left="1440"/>
      </w:pPr>
      <w:r w:rsidRPr="003B4362">
        <w:t xml:space="preserve">BOARD NOTE:  </w:t>
      </w:r>
      <w:r w:rsidRPr="003B4362">
        <w:rPr>
          <w:spacing w:val="-3"/>
        </w:rPr>
        <w:t>T</w:t>
      </w:r>
      <w:bookmarkStart w:id="111" w:name="_Hlk129124655"/>
      <w:r w:rsidRPr="003B4362">
        <w:rPr>
          <w:spacing w:val="-3"/>
        </w:rPr>
        <w:t xml:space="preserve">his definition derives </w:t>
      </w:r>
      <w:r w:rsidRPr="003B4362">
        <w:t>from 78 Fed. Reg. 10270</w:t>
      </w:r>
      <w:bookmarkEnd w:id="111"/>
      <w:r w:rsidRPr="003B4362">
        <w:t>, 10271 (Feb. 13, 2013).</w:t>
      </w:r>
    </w:p>
    <w:p w14:paraId="420E9D43" w14:textId="77777777" w:rsidR="00371746" w:rsidRPr="003B4362" w:rsidRDefault="00371746" w:rsidP="00371746">
      <w:pPr>
        <w:suppressAutoHyphens/>
        <w:ind w:left="1440"/>
        <w:rPr>
          <w:spacing w:val="-2"/>
        </w:rPr>
      </w:pPr>
    </w:p>
    <w:p w14:paraId="45B3F56C" w14:textId="3E77D4E5" w:rsidR="00371746" w:rsidRPr="003B4362" w:rsidRDefault="00371746" w:rsidP="00371746">
      <w:pPr>
        <w:suppressAutoHyphens/>
        <w:ind w:left="1440"/>
        <w:rPr>
          <w:spacing w:val="-2"/>
        </w:rPr>
      </w:pPr>
      <w:r w:rsidRPr="003B4362">
        <w:rPr>
          <w:spacing w:val="-2"/>
        </w:rPr>
        <w:t xml:space="preserve">“Enhanced coagulation” means </w:t>
      </w:r>
      <w:bookmarkStart w:id="112" w:name="_Hlk129124759"/>
      <w:r w:rsidRPr="003B4362">
        <w:rPr>
          <w:spacing w:val="-2"/>
        </w:rPr>
        <w:t xml:space="preserve">adding sufficient coagulant to improve removing </w:t>
      </w:r>
      <w:bookmarkEnd w:id="112"/>
      <w:r w:rsidRPr="003B4362">
        <w:rPr>
          <w:spacing w:val="-2"/>
        </w:rPr>
        <w:t>disinfection byproduct (DBP) precursors by conventional filtration treatment.</w:t>
      </w:r>
    </w:p>
    <w:p w14:paraId="23DB0129" w14:textId="77777777" w:rsidR="00371746" w:rsidRPr="003B4362" w:rsidRDefault="00371746" w:rsidP="00371746">
      <w:pPr>
        <w:suppressAutoHyphens/>
        <w:ind w:left="1440"/>
        <w:rPr>
          <w:spacing w:val="-2"/>
        </w:rPr>
      </w:pPr>
    </w:p>
    <w:p w14:paraId="23C83BF7" w14:textId="32B82954" w:rsidR="00371746" w:rsidRPr="003B4362" w:rsidRDefault="00371746" w:rsidP="00371746">
      <w:pPr>
        <w:suppressAutoHyphens/>
        <w:ind w:left="1440"/>
        <w:rPr>
          <w:spacing w:val="-2"/>
        </w:rPr>
      </w:pPr>
      <w:r w:rsidRPr="003B4362">
        <w:rPr>
          <w:spacing w:val="-2"/>
        </w:rPr>
        <w:t xml:space="preserve">“Enhanced softening” means </w:t>
      </w:r>
      <w:bookmarkStart w:id="113" w:name="_Hlk129124912"/>
      <w:r w:rsidRPr="003B4362">
        <w:rPr>
          <w:spacing w:val="-2"/>
        </w:rPr>
        <w:t>using precipitative softening to improve removing disinfection byproduct (DBP) precursors</w:t>
      </w:r>
      <w:bookmarkEnd w:id="113"/>
      <w:r w:rsidR="002D1BD4">
        <w:rPr>
          <w:spacing w:val="-2"/>
        </w:rPr>
        <w:t>.</w:t>
      </w:r>
    </w:p>
    <w:p w14:paraId="53B143CD" w14:textId="77777777" w:rsidR="00371746" w:rsidRPr="003B4362" w:rsidRDefault="00371746" w:rsidP="00371746">
      <w:pPr>
        <w:suppressAutoHyphens/>
        <w:ind w:left="1440"/>
        <w:rPr>
          <w:spacing w:val="-3"/>
        </w:rPr>
      </w:pPr>
    </w:p>
    <w:p w14:paraId="5282FDD7" w14:textId="01A86008" w:rsidR="00371746" w:rsidRPr="003B4362" w:rsidRDefault="00371746" w:rsidP="00371746">
      <w:pPr>
        <w:suppressAutoHyphens/>
        <w:ind w:left="1440"/>
        <w:rPr>
          <w:spacing w:val="-3"/>
        </w:rPr>
      </w:pPr>
      <w:r w:rsidRPr="003B4362">
        <w:rPr>
          <w:spacing w:val="-3"/>
        </w:rPr>
        <w:t xml:space="preserve">“Entry point” means a point just downstream of the final treatment operation but </w:t>
      </w:r>
      <w:bookmarkStart w:id="114" w:name="_Hlk129125155"/>
      <w:r w:rsidRPr="003B4362">
        <w:rPr>
          <w:spacing w:val="-3"/>
        </w:rPr>
        <w:t>upstream of the first user and any mixing with other water</w:t>
      </w:r>
      <w:bookmarkEnd w:id="114"/>
      <w:r w:rsidRPr="003B4362">
        <w:rPr>
          <w:spacing w:val="-3"/>
        </w:rPr>
        <w:t>.  I</w:t>
      </w:r>
      <w:bookmarkStart w:id="115" w:name="_Hlk129125209"/>
      <w:r w:rsidRPr="003B4362">
        <w:rPr>
          <w:spacing w:val="-3"/>
        </w:rPr>
        <w:t xml:space="preserve">f the supplier uses raw water </w:t>
      </w:r>
      <w:bookmarkEnd w:id="115"/>
      <w:r w:rsidRPr="003B4362">
        <w:rPr>
          <w:spacing w:val="-3"/>
        </w:rPr>
        <w:t xml:space="preserve">without treatment, the “entry point” is the raw water source.  If a PWS receives treated water from another PWS, the “entry point” is a point just </w:t>
      </w:r>
      <w:r w:rsidRPr="003B4362">
        <w:rPr>
          <w:spacing w:val="-3"/>
        </w:rPr>
        <w:lastRenderedPageBreak/>
        <w:t xml:space="preserve">downstream of the other PWS but </w:t>
      </w:r>
      <w:bookmarkStart w:id="116" w:name="_Hlk129125289"/>
      <w:r w:rsidRPr="003B4362">
        <w:rPr>
          <w:spacing w:val="-3"/>
        </w:rPr>
        <w:t>upstream of the first user and any mixing</w:t>
      </w:r>
      <w:bookmarkEnd w:id="116"/>
      <w:r w:rsidRPr="003B4362">
        <w:rPr>
          <w:spacing w:val="-3"/>
        </w:rPr>
        <w:t xml:space="preserve"> with other water.</w:t>
      </w:r>
    </w:p>
    <w:p w14:paraId="0651104E" w14:textId="77777777" w:rsidR="00371746" w:rsidRPr="003B4362" w:rsidRDefault="00371746" w:rsidP="00371746">
      <w:pPr>
        <w:ind w:left="1440"/>
      </w:pPr>
    </w:p>
    <w:p w14:paraId="6EEB22BA" w14:textId="2F22640B" w:rsidR="00371746" w:rsidRPr="003B4362" w:rsidRDefault="00371746" w:rsidP="00371746">
      <w:pPr>
        <w:ind w:left="1440"/>
      </w:pPr>
      <w:r w:rsidRPr="003B4362">
        <w:t xml:space="preserve">“Filter profile” is a graphical representation of individual filter performance based on continuous turbidity measurements or total particle counts versus time for an entire filter run </w:t>
      </w:r>
      <w:bookmarkStart w:id="117" w:name="_Hlk129166172"/>
      <w:r w:rsidRPr="003B4362">
        <w:t>from startup through backwash</w:t>
      </w:r>
      <w:bookmarkEnd w:id="117"/>
      <w:r w:rsidRPr="003B4362">
        <w:t xml:space="preserve">, </w:t>
      </w:r>
      <w:bookmarkStart w:id="118" w:name="_Hlk129166218"/>
      <w:r w:rsidRPr="003B4362">
        <w:t>including an assessment</w:t>
      </w:r>
      <w:bookmarkEnd w:id="118"/>
      <w:r w:rsidRPr="003B4362">
        <w:t xml:space="preserve"> of filter performance </w:t>
      </w:r>
      <w:bookmarkStart w:id="119" w:name="_Hlk129166306"/>
      <w:r w:rsidRPr="003B4362">
        <w:t>while the supplier backwashes another filter</w:t>
      </w:r>
      <w:bookmarkEnd w:id="119"/>
      <w:r w:rsidRPr="003B4362">
        <w:t>.</w:t>
      </w:r>
    </w:p>
    <w:p w14:paraId="4DA021B8" w14:textId="77777777" w:rsidR="00371746" w:rsidRPr="003B4362" w:rsidRDefault="00371746" w:rsidP="00371746">
      <w:pPr>
        <w:suppressAutoHyphens/>
        <w:ind w:left="1440"/>
        <w:rPr>
          <w:spacing w:val="-3"/>
        </w:rPr>
      </w:pPr>
    </w:p>
    <w:p w14:paraId="133A7C45" w14:textId="7F4F5261" w:rsidR="00371746" w:rsidRPr="003B4362" w:rsidRDefault="00371746" w:rsidP="00371746">
      <w:pPr>
        <w:suppressAutoHyphens/>
        <w:ind w:left="1440"/>
        <w:rPr>
          <w:spacing w:val="-3"/>
        </w:rPr>
      </w:pPr>
      <w:r w:rsidRPr="003B4362">
        <w:rPr>
          <w:spacing w:val="-3"/>
        </w:rPr>
        <w:t xml:space="preserve">“Filtration” means </w:t>
      </w:r>
      <w:bookmarkStart w:id="120" w:name="_Hlk129166798"/>
      <w:r w:rsidRPr="003B4362">
        <w:rPr>
          <w:spacing w:val="-3"/>
        </w:rPr>
        <w:t>a process passing water through porous media to remove particulate matter</w:t>
      </w:r>
      <w:bookmarkEnd w:id="120"/>
      <w:r w:rsidRPr="003B4362">
        <w:rPr>
          <w:spacing w:val="-3"/>
        </w:rPr>
        <w:t>.</w:t>
      </w:r>
    </w:p>
    <w:p w14:paraId="45BE102C" w14:textId="77777777" w:rsidR="00371746" w:rsidRPr="003B4362" w:rsidRDefault="00371746" w:rsidP="00371746">
      <w:pPr>
        <w:ind w:left="1440"/>
      </w:pPr>
    </w:p>
    <w:p w14:paraId="277F4F2A" w14:textId="277AA316" w:rsidR="00371746" w:rsidRPr="003B4362" w:rsidRDefault="00371746" w:rsidP="00371746">
      <w:pPr>
        <w:ind w:left="1440"/>
      </w:pPr>
      <w:r w:rsidRPr="003B4362">
        <w:t xml:space="preserve">“Finished water” means </w:t>
      </w:r>
      <w:bookmarkStart w:id="121" w:name="_Hlk129166525"/>
      <w:r w:rsidRPr="003B4362">
        <w:t xml:space="preserve">water that the supplier introduces </w:t>
      </w:r>
      <w:bookmarkEnd w:id="121"/>
      <w:r w:rsidRPr="003B4362">
        <w:t xml:space="preserve">into the distribution system of a PWS </w:t>
      </w:r>
      <w:bookmarkStart w:id="122" w:name="_Hlk129166614"/>
      <w:r w:rsidRPr="003B4362">
        <w:t>intending the water for distribution</w:t>
      </w:r>
      <w:bookmarkEnd w:id="122"/>
      <w:r w:rsidRPr="003B4362">
        <w:t xml:space="preserve"> and consumption without further treatment, </w:t>
      </w:r>
      <w:bookmarkStart w:id="123" w:name="_Hlk129166675"/>
      <w:r w:rsidRPr="003B4362">
        <w:t>except treatment necessary</w:t>
      </w:r>
      <w:bookmarkEnd w:id="123"/>
      <w:r w:rsidRPr="003B4362">
        <w:t xml:space="preserve"> to maintain water quality in the distribution system (e.g., booster disinfection, addition of corrosion control chemicals, etc.).</w:t>
      </w:r>
    </w:p>
    <w:p w14:paraId="5A0CB64E" w14:textId="77777777" w:rsidR="00371746" w:rsidRPr="003B4362" w:rsidRDefault="00371746" w:rsidP="00371746">
      <w:pPr>
        <w:suppressAutoHyphens/>
        <w:ind w:left="1440"/>
        <w:rPr>
          <w:spacing w:val="-3"/>
        </w:rPr>
      </w:pPr>
    </w:p>
    <w:p w14:paraId="34BAA315" w14:textId="23EF622A" w:rsidR="00371746" w:rsidRPr="003B4362" w:rsidRDefault="00371746" w:rsidP="00371746">
      <w:pPr>
        <w:suppressAutoHyphens/>
        <w:ind w:left="1440"/>
        <w:rPr>
          <w:spacing w:val="-3"/>
        </w:rPr>
      </w:pPr>
      <w:r w:rsidRPr="003B4362">
        <w:rPr>
          <w:spacing w:val="-3"/>
        </w:rPr>
        <w:t xml:space="preserve">“Flocculation” means </w:t>
      </w:r>
      <w:bookmarkStart w:id="124" w:name="_Hlk129166948"/>
      <w:r w:rsidRPr="003B4362">
        <w:rPr>
          <w:spacing w:val="-3"/>
        </w:rPr>
        <w:t>a process enhancing agglomeration</w:t>
      </w:r>
      <w:bookmarkEnd w:id="124"/>
      <w:r w:rsidRPr="003B4362">
        <w:rPr>
          <w:spacing w:val="-3"/>
        </w:rPr>
        <w:t xml:space="preserve"> or collection of smaller floc particles into larger, more easily settleable particles through </w:t>
      </w:r>
      <w:bookmarkStart w:id="125" w:name="_Hlk129166997"/>
      <w:r w:rsidRPr="003B4362">
        <w:rPr>
          <w:spacing w:val="-3"/>
        </w:rPr>
        <w:t>gentle hydraulic or mechanical stirring</w:t>
      </w:r>
      <w:bookmarkEnd w:id="125"/>
      <w:r w:rsidRPr="003B4362">
        <w:rPr>
          <w:spacing w:val="-3"/>
        </w:rPr>
        <w:t>.</w:t>
      </w:r>
    </w:p>
    <w:p w14:paraId="770F20D0" w14:textId="77777777" w:rsidR="00371746" w:rsidRPr="003B4362" w:rsidRDefault="00371746" w:rsidP="00371746">
      <w:pPr>
        <w:ind w:left="1440"/>
      </w:pPr>
    </w:p>
    <w:p w14:paraId="1A6AB0A5" w14:textId="77777777" w:rsidR="00371746" w:rsidRPr="003B4362" w:rsidRDefault="00371746" w:rsidP="00371746">
      <w:pPr>
        <w:ind w:left="1440"/>
      </w:pPr>
      <w:r w:rsidRPr="003B4362">
        <w:t>“Flowing stream” means a course of running water flowing in a definite channel.</w:t>
      </w:r>
    </w:p>
    <w:p w14:paraId="0A075EC5" w14:textId="77777777" w:rsidR="00371746" w:rsidRPr="003B4362" w:rsidRDefault="00371746" w:rsidP="00371746">
      <w:pPr>
        <w:suppressAutoHyphens/>
        <w:ind w:left="1440"/>
      </w:pPr>
    </w:p>
    <w:p w14:paraId="57CB6137" w14:textId="5193CF2A" w:rsidR="00371746" w:rsidRPr="003B4362" w:rsidRDefault="00371746" w:rsidP="00371746">
      <w:pPr>
        <w:suppressAutoHyphens/>
        <w:ind w:left="1440"/>
      </w:pPr>
      <w:r w:rsidRPr="003B4362">
        <w:t xml:space="preserve">“40/30 certification” means the certification </w:t>
      </w:r>
      <w:bookmarkStart w:id="126" w:name="_Hlk129167159"/>
      <w:r w:rsidRPr="003B4362">
        <w:t>a supplier submits to the Agency under Section 611.923</w:t>
      </w:r>
      <w:bookmarkEnd w:id="126"/>
      <w:r w:rsidRPr="003B4362">
        <w:t xml:space="preserve"> that the supplier had no TTHM or HAA5 monitoring violations </w:t>
      </w:r>
      <w:bookmarkStart w:id="127" w:name="_Hlk129167537"/>
      <w:r w:rsidRPr="003B4362">
        <w:t>and no individual sample from its system exceeded</w:t>
      </w:r>
      <w:bookmarkEnd w:id="127"/>
      <w:r w:rsidRPr="003B4362">
        <w:t xml:space="preserve"> 0.040 mg/L TTHM or 0.030 mg/ L HAA5 during eight consecutive calendar quarters.</w:t>
      </w:r>
    </w:p>
    <w:p w14:paraId="305D56EB" w14:textId="2E7F545A" w:rsidR="00371746" w:rsidRPr="003B4362" w:rsidRDefault="00371746" w:rsidP="00371746">
      <w:pPr>
        <w:suppressAutoHyphens/>
        <w:ind w:left="1440"/>
      </w:pPr>
      <w:r w:rsidRPr="003B4362">
        <w:t xml:space="preserve">BOARD NOTE:  </w:t>
      </w:r>
      <w:r w:rsidRPr="003B4362">
        <w:rPr>
          <w:spacing w:val="-3"/>
        </w:rPr>
        <w:t xml:space="preserve">This definition derives </w:t>
      </w:r>
      <w:r w:rsidRPr="003B4362">
        <w:t>from 40 CFR 141.603(a).</w:t>
      </w:r>
    </w:p>
    <w:p w14:paraId="07DC4A58" w14:textId="77777777" w:rsidR="00371746" w:rsidRPr="003B4362" w:rsidRDefault="00371746" w:rsidP="00371746">
      <w:pPr>
        <w:suppressAutoHyphens/>
        <w:ind w:left="1440"/>
        <w:rPr>
          <w:spacing w:val="-2"/>
        </w:rPr>
      </w:pPr>
    </w:p>
    <w:p w14:paraId="291CC4B2" w14:textId="5F30D1F3" w:rsidR="00371746" w:rsidRPr="003B4362" w:rsidRDefault="00371746" w:rsidP="00371746">
      <w:pPr>
        <w:suppressAutoHyphens/>
        <w:ind w:left="1440"/>
        <w:rPr>
          <w:spacing w:val="-2"/>
        </w:rPr>
      </w:pPr>
      <w:r w:rsidRPr="003B4362">
        <w:rPr>
          <w:spacing w:val="-2"/>
        </w:rPr>
        <w:t>“GAC10” means granular activated carbon (GAC) filter beds with an empty</w:t>
      </w:r>
      <w:r w:rsidRPr="003B4362">
        <w:rPr>
          <w:spacing w:val="-2"/>
        </w:rPr>
        <w:noBreakHyphen/>
        <w:t>bed contact time of 10 minutes based on average daily flow and a carbon reactivation frequency of every 180 days</w:t>
      </w:r>
      <w:r w:rsidRPr="003B4362">
        <w:t xml:space="preserve">, except that </w:t>
      </w:r>
      <w:bookmarkStart w:id="128" w:name="_Hlk129168269"/>
      <w:r w:rsidRPr="003B4362">
        <w:t xml:space="preserve">the reactivation frequency for GAC10 a supplier uses </w:t>
      </w:r>
      <w:bookmarkEnd w:id="128"/>
      <w:r w:rsidRPr="003B4362">
        <w:t xml:space="preserve">as a best available technology </w:t>
      </w:r>
      <w:bookmarkStart w:id="129" w:name="_Hlk129168338"/>
      <w:r w:rsidRPr="003B4362">
        <w:t>to comply with the MCLs under Section 611.312(b)(2)</w:t>
      </w:r>
      <w:bookmarkEnd w:id="129"/>
      <w:r w:rsidRPr="003B4362">
        <w:t xml:space="preserve"> is 120 days</w:t>
      </w:r>
      <w:r w:rsidRPr="003B4362">
        <w:rPr>
          <w:spacing w:val="-2"/>
        </w:rPr>
        <w:t>.</w:t>
      </w:r>
    </w:p>
    <w:p w14:paraId="4FB2B961" w14:textId="77777777" w:rsidR="00371746" w:rsidRPr="003B4362" w:rsidRDefault="00371746" w:rsidP="00371746">
      <w:pPr>
        <w:ind w:left="1440"/>
      </w:pPr>
    </w:p>
    <w:p w14:paraId="167E9A7A" w14:textId="77777777" w:rsidR="00371746" w:rsidRPr="003B4362" w:rsidRDefault="00371746" w:rsidP="00371746">
      <w:pPr>
        <w:ind w:left="1440"/>
      </w:pPr>
      <w:r w:rsidRPr="003B4362">
        <w:t>“GAC20” means granular activated carbon filter beds with an empty-bed contact time of 20 minutes based on average daily flow and a carbon reactivation frequency of every 240 days.</w:t>
      </w:r>
    </w:p>
    <w:p w14:paraId="11F904CD" w14:textId="77777777" w:rsidR="00371746" w:rsidRPr="003B4362" w:rsidRDefault="00371746" w:rsidP="00371746">
      <w:pPr>
        <w:ind w:left="1440"/>
      </w:pPr>
    </w:p>
    <w:p w14:paraId="1939F515" w14:textId="77777777" w:rsidR="00371746" w:rsidRPr="003B4362" w:rsidRDefault="00371746" w:rsidP="00371746">
      <w:pPr>
        <w:ind w:left="1440"/>
      </w:pPr>
      <w:r w:rsidRPr="003B4362">
        <w:t>“GC” means “gas chromatography” or “gas-liquid phase chromatography”.</w:t>
      </w:r>
    </w:p>
    <w:p w14:paraId="5F7BDA7A" w14:textId="77777777" w:rsidR="00371746" w:rsidRPr="003B4362" w:rsidRDefault="00371746" w:rsidP="00371746">
      <w:pPr>
        <w:ind w:left="1440"/>
      </w:pPr>
    </w:p>
    <w:p w14:paraId="2D796ED6" w14:textId="77777777" w:rsidR="00371746" w:rsidRPr="003B4362" w:rsidRDefault="00371746" w:rsidP="00371746">
      <w:pPr>
        <w:ind w:left="1440"/>
      </w:pPr>
      <w:r w:rsidRPr="003B4362">
        <w:t>“GC/MS” means gas chromatography (GC) followed by mass spectrometry (MS).</w:t>
      </w:r>
    </w:p>
    <w:p w14:paraId="269DCC87" w14:textId="77777777" w:rsidR="00371746" w:rsidRPr="003B4362" w:rsidRDefault="00371746" w:rsidP="00371746">
      <w:pPr>
        <w:suppressAutoHyphens/>
        <w:ind w:left="1440"/>
        <w:rPr>
          <w:spacing w:val="-3"/>
        </w:rPr>
      </w:pPr>
    </w:p>
    <w:p w14:paraId="0EBC2725" w14:textId="77777777" w:rsidR="00371746" w:rsidRPr="003B4362" w:rsidRDefault="00371746" w:rsidP="00371746">
      <w:pPr>
        <w:suppressAutoHyphens/>
        <w:ind w:left="1440"/>
        <w:rPr>
          <w:spacing w:val="-3"/>
        </w:rPr>
      </w:pPr>
      <w:r w:rsidRPr="003B4362">
        <w:rPr>
          <w:spacing w:val="-3"/>
        </w:rPr>
        <w:t>“Gross alpha particle activity” means the total radioactivity due to alpha particle emission as inferred from measurements on a dry sample.</w:t>
      </w:r>
    </w:p>
    <w:p w14:paraId="63367095" w14:textId="77777777" w:rsidR="00371746" w:rsidRPr="003B4362" w:rsidRDefault="00371746" w:rsidP="00371746">
      <w:pPr>
        <w:suppressAutoHyphens/>
        <w:ind w:left="1440"/>
        <w:rPr>
          <w:spacing w:val="-3"/>
        </w:rPr>
      </w:pPr>
    </w:p>
    <w:p w14:paraId="3A8A0289" w14:textId="77777777" w:rsidR="00371746" w:rsidRPr="003B4362" w:rsidRDefault="00371746" w:rsidP="00371746">
      <w:pPr>
        <w:suppressAutoHyphens/>
        <w:ind w:left="1440"/>
        <w:rPr>
          <w:spacing w:val="-3"/>
        </w:rPr>
      </w:pPr>
      <w:r w:rsidRPr="003B4362">
        <w:rPr>
          <w:spacing w:val="-3"/>
        </w:rPr>
        <w:t>“Gross beta particle activity” means the total radioactivity due to beta particle emission as inferred from measurements on a dry sample.</w:t>
      </w:r>
    </w:p>
    <w:p w14:paraId="5B9005A7" w14:textId="77777777" w:rsidR="00371746" w:rsidRPr="003B4362" w:rsidRDefault="00371746" w:rsidP="00371746">
      <w:pPr>
        <w:suppressAutoHyphens/>
        <w:ind w:left="1440"/>
      </w:pPr>
    </w:p>
    <w:p w14:paraId="3F35C73D" w14:textId="46AF8CD7" w:rsidR="00371746" w:rsidRPr="003B4362" w:rsidRDefault="00371746" w:rsidP="00371746">
      <w:pPr>
        <w:suppressAutoHyphens/>
        <w:ind w:left="1440"/>
        <w:rPr>
          <w:spacing w:val="-3"/>
        </w:rPr>
      </w:pPr>
      <w:r w:rsidRPr="003B4362">
        <w:t xml:space="preserve">“Groundwater system” or “GWS” means a </w:t>
      </w:r>
      <w:bookmarkStart w:id="130" w:name="_Hlk129195221"/>
      <w:r w:rsidRPr="003B4362">
        <w:t xml:space="preserve">PWS using </w:t>
      </w:r>
      <w:bookmarkStart w:id="131" w:name="_Hlk129168458"/>
      <w:bookmarkEnd w:id="130"/>
      <w:r w:rsidRPr="003B4362">
        <w:t xml:space="preserve"> only groundwater sources</w:t>
      </w:r>
      <w:bookmarkEnd w:id="131"/>
      <w:r w:rsidRPr="003B4362">
        <w:t xml:space="preserve">, including a consecutive system </w:t>
      </w:r>
      <w:bookmarkStart w:id="132" w:name="_Hlk129168513"/>
      <w:r w:rsidRPr="003B4362">
        <w:t>receiving finished groundwater</w:t>
      </w:r>
      <w:bookmarkEnd w:id="132"/>
      <w:r w:rsidRPr="003B4362">
        <w:rPr>
          <w:spacing w:val="-3"/>
        </w:rPr>
        <w:t>.</w:t>
      </w:r>
    </w:p>
    <w:p w14:paraId="0D293466" w14:textId="5021F86D" w:rsidR="00371746" w:rsidRPr="003B4362" w:rsidRDefault="00371746" w:rsidP="00371746">
      <w:pPr>
        <w:suppressAutoHyphens/>
        <w:ind w:left="1440"/>
      </w:pPr>
      <w:r w:rsidRPr="003B4362">
        <w:t xml:space="preserve">BOARD NOTE:  </w:t>
      </w:r>
      <w:r w:rsidRPr="003B4362">
        <w:rPr>
          <w:spacing w:val="-3"/>
        </w:rPr>
        <w:t xml:space="preserve">This definition derives </w:t>
      </w:r>
      <w:r w:rsidRPr="003B4362">
        <w:t>from</w:t>
      </w:r>
      <w:bookmarkStart w:id="133" w:name="_Hlk129168694"/>
      <w:r w:rsidRPr="003B4362">
        <w:t xml:space="preserve"> 40 CFR 141.400(b)</w:t>
      </w:r>
      <w:bookmarkEnd w:id="133"/>
      <w:r w:rsidRPr="003B4362">
        <w:t>.</w:t>
      </w:r>
    </w:p>
    <w:p w14:paraId="00CBDA3E" w14:textId="77777777" w:rsidR="00371746" w:rsidRPr="003B4362" w:rsidRDefault="00371746" w:rsidP="00371746">
      <w:pPr>
        <w:suppressAutoHyphens/>
        <w:ind w:left="1440"/>
        <w:rPr>
          <w:spacing w:val="-3"/>
        </w:rPr>
      </w:pPr>
    </w:p>
    <w:p w14:paraId="27801DF1" w14:textId="6CC90376" w:rsidR="00371746" w:rsidRPr="003B4362" w:rsidRDefault="00371746" w:rsidP="00371746">
      <w:pPr>
        <w:suppressAutoHyphens/>
        <w:ind w:left="1440"/>
        <w:rPr>
          <w:spacing w:val="-3"/>
        </w:rPr>
      </w:pPr>
      <w:r w:rsidRPr="003B4362">
        <w:rPr>
          <w:spacing w:val="-3"/>
        </w:rPr>
        <w:t xml:space="preserve">“Groundwater under the direct influence of surface water” </w:t>
      </w:r>
      <w:r w:rsidRPr="003B4362">
        <w:t xml:space="preserve">means any water </w:t>
      </w:r>
      <w:bookmarkStart w:id="134" w:name="_Hlk129172328"/>
      <w:r w:rsidRPr="003B4362">
        <w:t xml:space="preserve">beneath the ground surface </w:t>
      </w:r>
      <w:bookmarkEnd w:id="134"/>
      <w:r w:rsidRPr="003B4362">
        <w:t xml:space="preserve">with significant occurrence of insects or other macroorganisms, algae, or large-diameter pathogens, such as Giardia lamblia or Cryptosporidium, or significant and relatively rapid shifts in water characteristics, such as turbidity, temperature, conductivity, or pH, that closely correlate to climatological or surface water conditions.  </w:t>
      </w:r>
      <w:r w:rsidRPr="003B4362">
        <w:rPr>
          <w:spacing w:val="-3"/>
        </w:rPr>
        <w:t xml:space="preserve">“Groundwater under the direct influence of surface water” is </w:t>
      </w:r>
      <w:bookmarkStart w:id="135" w:name="_Hlk129172394"/>
      <w:r w:rsidRPr="003B4362">
        <w:rPr>
          <w:spacing w:val="-3"/>
        </w:rPr>
        <w:t>as determined under Section 611.212</w:t>
      </w:r>
      <w:bookmarkEnd w:id="135"/>
      <w:r w:rsidRPr="003B4362">
        <w:rPr>
          <w:spacing w:val="-3"/>
        </w:rPr>
        <w:t>.</w:t>
      </w:r>
    </w:p>
    <w:p w14:paraId="790980D6" w14:textId="77777777" w:rsidR="00371746" w:rsidRPr="003B4362" w:rsidRDefault="00371746" w:rsidP="00371746">
      <w:pPr>
        <w:suppressAutoHyphens/>
        <w:ind w:left="1440"/>
        <w:rPr>
          <w:spacing w:val="-2"/>
        </w:rPr>
      </w:pPr>
    </w:p>
    <w:p w14:paraId="7CA098B9" w14:textId="3C79824C" w:rsidR="00371746" w:rsidRPr="003B4362" w:rsidRDefault="00371746" w:rsidP="00371746">
      <w:pPr>
        <w:suppressAutoHyphens/>
        <w:ind w:left="1440"/>
        <w:rPr>
          <w:spacing w:val="-2"/>
        </w:rPr>
      </w:pPr>
      <w:r w:rsidRPr="003B4362">
        <w:rPr>
          <w:spacing w:val="-2"/>
        </w:rPr>
        <w:t xml:space="preserve">“Haloacetic acids (five)” or “HAA5” means </w:t>
      </w:r>
      <w:bookmarkStart w:id="136" w:name="_Hlk129172538"/>
      <w:r w:rsidRPr="003B4362">
        <w:rPr>
          <w:spacing w:val="-2"/>
        </w:rPr>
        <w:t>the sum of the concentrations in milligrams per liter (mg/</w:t>
      </w:r>
      <w:r w:rsidRPr="003B4362">
        <w:t xml:space="preserve"> L</w:t>
      </w:r>
      <w:r w:rsidRPr="003B4362">
        <w:rPr>
          <w:spacing w:val="-2"/>
        </w:rPr>
        <w:t>) of five haloacetic acid compounds (monochloroacetic acid, dichloroacetic acid, trichloroacetic acid, monobromoacetic acid, and dibromoacetic acid), rounded to two significant figures after summing</w:t>
      </w:r>
      <w:bookmarkEnd w:id="136"/>
      <w:r w:rsidRPr="003B4362">
        <w:rPr>
          <w:spacing w:val="-2"/>
        </w:rPr>
        <w:t>.</w:t>
      </w:r>
    </w:p>
    <w:p w14:paraId="380FE6EC" w14:textId="77777777" w:rsidR="00371746" w:rsidRPr="003B4362" w:rsidRDefault="00371746" w:rsidP="00371746">
      <w:pPr>
        <w:suppressAutoHyphens/>
        <w:ind w:left="1440"/>
        <w:rPr>
          <w:spacing w:val="-3"/>
        </w:rPr>
      </w:pPr>
    </w:p>
    <w:p w14:paraId="551AACFF" w14:textId="77777777" w:rsidR="00371746" w:rsidRPr="003B4362" w:rsidRDefault="00371746" w:rsidP="00371746">
      <w:pPr>
        <w:suppressAutoHyphens/>
        <w:ind w:left="1440"/>
        <w:rPr>
          <w:spacing w:val="-3"/>
        </w:rPr>
      </w:pPr>
      <w:r w:rsidRPr="003B4362">
        <w:rPr>
          <w:spacing w:val="-3"/>
        </w:rPr>
        <w:t>“Halogen” means one of the chemical elements chlorine, bromine</w:t>
      </w:r>
      <w:r w:rsidRPr="003B4362">
        <w:t>,</w:t>
      </w:r>
      <w:r w:rsidRPr="003B4362">
        <w:rPr>
          <w:spacing w:val="-3"/>
        </w:rPr>
        <w:t xml:space="preserve"> or iodine.</w:t>
      </w:r>
    </w:p>
    <w:p w14:paraId="7B6B947D" w14:textId="77777777" w:rsidR="00371746" w:rsidRPr="003B4362" w:rsidRDefault="00371746" w:rsidP="00371746">
      <w:pPr>
        <w:suppressAutoHyphens/>
        <w:ind w:left="1440"/>
        <w:rPr>
          <w:spacing w:val="-3"/>
        </w:rPr>
      </w:pPr>
    </w:p>
    <w:p w14:paraId="692C8827" w14:textId="6CC48700" w:rsidR="00371746" w:rsidRPr="003B4362" w:rsidRDefault="00371746" w:rsidP="00371746">
      <w:pPr>
        <w:suppressAutoHyphens/>
        <w:ind w:left="1440"/>
        <w:rPr>
          <w:spacing w:val="-3"/>
        </w:rPr>
      </w:pPr>
      <w:r w:rsidRPr="003B4362">
        <w:rPr>
          <w:spacing w:val="-3"/>
        </w:rPr>
        <w:t>“HPC” means “heterotrophic plate count</w:t>
      </w:r>
      <w:r w:rsidRPr="003B4362">
        <w:rPr>
          <w:szCs w:val="16"/>
        </w:rPr>
        <w:t>”,</w:t>
      </w:r>
      <w:r w:rsidRPr="003B4362">
        <w:rPr>
          <w:spacing w:val="-3"/>
        </w:rPr>
        <w:t xml:space="preserve"> </w:t>
      </w:r>
      <w:bookmarkStart w:id="137" w:name="_Hlk129172664"/>
      <w:r w:rsidRPr="003B4362">
        <w:rPr>
          <w:spacing w:val="-3"/>
        </w:rPr>
        <w:t>as measured under Section 611.531(a)(2)(C)</w:t>
      </w:r>
      <w:bookmarkEnd w:id="137"/>
      <w:r w:rsidRPr="003B4362">
        <w:rPr>
          <w:spacing w:val="-3"/>
        </w:rPr>
        <w:t>.</w:t>
      </w:r>
    </w:p>
    <w:p w14:paraId="6C702D09" w14:textId="77777777" w:rsidR="00371746" w:rsidRPr="003B4362" w:rsidRDefault="00371746" w:rsidP="00371746">
      <w:pPr>
        <w:suppressAutoHyphens/>
        <w:ind w:left="1440"/>
      </w:pPr>
    </w:p>
    <w:p w14:paraId="267CAF8D" w14:textId="58A2B5D9" w:rsidR="00371746" w:rsidRPr="003B4362" w:rsidRDefault="00371746" w:rsidP="00371746">
      <w:pPr>
        <w:suppressAutoHyphens/>
        <w:ind w:left="1440"/>
      </w:pPr>
      <w:r w:rsidRPr="003B4362">
        <w:t xml:space="preserve">“Hydrogeologic sensitivity assessment”, </w:t>
      </w:r>
      <w:bookmarkStart w:id="138" w:name="_Hlk129173114"/>
      <w:r w:rsidRPr="003B4362">
        <w:t>for Subpart S</w:t>
      </w:r>
      <w:bookmarkEnd w:id="138"/>
      <w:r w:rsidRPr="003B4362">
        <w:t>, means a determination of whether a GWS supplier obtains water from a hydrogeologically sensitive setting.</w:t>
      </w:r>
    </w:p>
    <w:p w14:paraId="186782AD" w14:textId="79D0D4BF" w:rsidR="00371746" w:rsidRPr="003B4362" w:rsidRDefault="00371746" w:rsidP="00371746">
      <w:pPr>
        <w:suppressAutoHyphens/>
        <w:ind w:left="1440"/>
      </w:pPr>
      <w:r w:rsidRPr="003B4362">
        <w:t xml:space="preserve">BOARD NOTE:  </w:t>
      </w:r>
      <w:r w:rsidRPr="003B4362">
        <w:rPr>
          <w:spacing w:val="-3"/>
        </w:rPr>
        <w:t xml:space="preserve">This definition derives </w:t>
      </w:r>
      <w:r w:rsidRPr="003B4362">
        <w:t>from 40 CFR 141.400(c)(5).</w:t>
      </w:r>
    </w:p>
    <w:p w14:paraId="560CE124" w14:textId="77777777" w:rsidR="00371746" w:rsidRPr="003B4362" w:rsidRDefault="00371746" w:rsidP="00371746">
      <w:pPr>
        <w:suppressAutoHyphens/>
        <w:ind w:left="1440"/>
        <w:rPr>
          <w:spacing w:val="-3"/>
        </w:rPr>
      </w:pPr>
    </w:p>
    <w:p w14:paraId="4726080E" w14:textId="5B7E8E4F" w:rsidR="00371746" w:rsidRPr="003B4362" w:rsidRDefault="00371746" w:rsidP="00371746">
      <w:pPr>
        <w:suppressAutoHyphens/>
        <w:ind w:left="1440"/>
        <w:rPr>
          <w:spacing w:val="-3"/>
        </w:rPr>
      </w:pPr>
      <w:r w:rsidRPr="003B4362">
        <w:rPr>
          <w:spacing w:val="-3"/>
        </w:rPr>
        <w:t xml:space="preserve">“Inactivation ratio” </w:t>
      </w:r>
      <w:r w:rsidRPr="003B4362">
        <w:t>or “</w:t>
      </w:r>
      <w:r w:rsidRPr="003B4362">
        <w:rPr>
          <w:spacing w:val="-3"/>
        </w:rPr>
        <w:t>Ai</w:t>
      </w:r>
      <w:r w:rsidRPr="003B4362">
        <w:t>”</w:t>
      </w:r>
      <w:r w:rsidRPr="003B4362">
        <w:rPr>
          <w:spacing w:val="-3"/>
        </w:rPr>
        <w:t xml:space="preserve"> means the ratio:</w:t>
      </w:r>
    </w:p>
    <w:p w14:paraId="190FE318" w14:textId="77777777" w:rsidR="00371746" w:rsidRPr="003B4362" w:rsidRDefault="00371746" w:rsidP="00371746">
      <w:pPr>
        <w:ind w:left="2160"/>
      </w:pPr>
    </w:p>
    <w:p w14:paraId="1187D9AD" w14:textId="77777777" w:rsidR="00371746" w:rsidRPr="003B4362" w:rsidRDefault="00371746" w:rsidP="00371746">
      <w:pPr>
        <w:ind w:left="2160"/>
      </w:pPr>
      <w:r w:rsidRPr="003B4362">
        <w:t>Ai = CT</w:t>
      </w:r>
      <w:r w:rsidRPr="003B4362">
        <w:rPr>
          <w:vertAlign w:val="subscript"/>
        </w:rPr>
        <w:t>calc</w:t>
      </w:r>
      <w:r w:rsidRPr="003B4362">
        <w:t>/CT</w:t>
      </w:r>
      <w:r w:rsidRPr="003B4362">
        <w:rPr>
          <w:vertAlign w:val="subscript"/>
        </w:rPr>
        <w:t>99.9</w:t>
      </w:r>
    </w:p>
    <w:p w14:paraId="23B6800A" w14:textId="77777777" w:rsidR="00371746" w:rsidRPr="003B4362" w:rsidRDefault="00371746" w:rsidP="00371746">
      <w:pPr>
        <w:suppressAutoHyphens/>
        <w:ind w:left="2160"/>
        <w:rPr>
          <w:spacing w:val="-3"/>
        </w:rPr>
      </w:pPr>
    </w:p>
    <w:p w14:paraId="2B5AD055" w14:textId="21264E55" w:rsidR="00371746" w:rsidRPr="003B4362" w:rsidRDefault="00371746" w:rsidP="00371746">
      <w:pPr>
        <w:suppressAutoHyphens/>
        <w:ind w:left="2160"/>
        <w:rPr>
          <w:spacing w:val="-3"/>
        </w:rPr>
      </w:pPr>
      <w:r w:rsidRPr="003B4362">
        <w:rPr>
          <w:spacing w:val="-3"/>
        </w:rPr>
        <w:t>The sum of the inactivation ratios</w:t>
      </w:r>
      <w:r w:rsidRPr="003B4362">
        <w:t>, or</w:t>
      </w:r>
      <w:r w:rsidRPr="003B4362">
        <w:rPr>
          <w:spacing w:val="-3"/>
        </w:rPr>
        <w:t xml:space="preserve"> “total inactivation ratio” (B)</w:t>
      </w:r>
      <w:r w:rsidRPr="003B4362">
        <w:t>,</w:t>
      </w:r>
      <w:r w:rsidRPr="003B4362">
        <w:rPr>
          <w:spacing w:val="-3"/>
        </w:rPr>
        <w:t xml:space="preserve"> is calculated by adding together the inactivation ratio </w:t>
      </w:r>
      <w:bookmarkStart w:id="139" w:name="_Hlk129173263"/>
      <w:r w:rsidRPr="003B4362">
        <w:rPr>
          <w:spacing w:val="-3"/>
        </w:rPr>
        <w:t>for each disinfection sequence</w:t>
      </w:r>
      <w:bookmarkEnd w:id="139"/>
      <w:r w:rsidRPr="003B4362">
        <w:rPr>
          <w:spacing w:val="-3"/>
        </w:rPr>
        <w:t>:</w:t>
      </w:r>
    </w:p>
    <w:p w14:paraId="55F71868" w14:textId="77777777" w:rsidR="00371746" w:rsidRPr="003B4362" w:rsidRDefault="00371746" w:rsidP="00371746">
      <w:pPr>
        <w:ind w:left="2160"/>
      </w:pPr>
    </w:p>
    <w:p w14:paraId="03702B39" w14:textId="77777777" w:rsidR="00371746" w:rsidRPr="003B4362" w:rsidRDefault="00371746" w:rsidP="00371746">
      <w:pPr>
        <w:ind w:left="2160"/>
      </w:pPr>
      <w:r w:rsidRPr="003B4362">
        <w:t xml:space="preserve">B = </w:t>
      </w:r>
      <w:r w:rsidRPr="003B4362">
        <w:sym w:font="Symbol" w:char="F0E5"/>
      </w:r>
      <w:r w:rsidRPr="003B4362">
        <w:t>(Ai)</w:t>
      </w:r>
    </w:p>
    <w:p w14:paraId="0136CA3B" w14:textId="77777777" w:rsidR="00371746" w:rsidRPr="003B4362" w:rsidRDefault="00371746" w:rsidP="00371746">
      <w:pPr>
        <w:suppressAutoHyphens/>
        <w:ind w:left="2160"/>
        <w:rPr>
          <w:spacing w:val="-3"/>
        </w:rPr>
      </w:pPr>
    </w:p>
    <w:p w14:paraId="2DF8E678" w14:textId="0EEFC909" w:rsidR="00371746" w:rsidRPr="003B4362" w:rsidRDefault="00371746" w:rsidP="00371746">
      <w:pPr>
        <w:suppressAutoHyphens/>
        <w:ind w:left="2160"/>
        <w:rPr>
          <w:spacing w:val="-3"/>
        </w:rPr>
      </w:pPr>
      <w:r w:rsidRPr="003B4362">
        <w:rPr>
          <w:spacing w:val="-3"/>
        </w:rPr>
        <w:t xml:space="preserve">A total inactivation ratio equal to or greater than 1.0 </w:t>
      </w:r>
      <w:bookmarkStart w:id="140" w:name="_Hlk129173313"/>
      <w:r w:rsidRPr="003B4362">
        <w:rPr>
          <w:spacing w:val="-3"/>
        </w:rPr>
        <w:t>assumedly provides a 3-log inactivation</w:t>
      </w:r>
      <w:bookmarkEnd w:id="140"/>
      <w:r w:rsidRPr="003B4362">
        <w:rPr>
          <w:spacing w:val="-3"/>
        </w:rPr>
        <w:t xml:space="preserve"> of Giardia lamblia cysts.</w:t>
      </w:r>
    </w:p>
    <w:p w14:paraId="40AE4371" w14:textId="77777777" w:rsidR="00371746" w:rsidRPr="003B4362" w:rsidRDefault="00371746" w:rsidP="00371746">
      <w:pPr>
        <w:suppressAutoHyphens/>
        <w:ind w:left="1440"/>
        <w:rPr>
          <w:spacing w:val="-3"/>
        </w:rPr>
      </w:pPr>
    </w:p>
    <w:p w14:paraId="785E0DB7" w14:textId="3F176014" w:rsidR="00371746" w:rsidRPr="003B4362" w:rsidRDefault="00371746" w:rsidP="00371746">
      <w:pPr>
        <w:suppressAutoHyphens/>
        <w:ind w:left="1440"/>
        <w:rPr>
          <w:spacing w:val="-3"/>
        </w:rPr>
      </w:pPr>
      <w:r w:rsidRPr="003B4362">
        <w:rPr>
          <w:spacing w:val="-3"/>
        </w:rPr>
        <w:t>BOARD NOTE:  This definition derives from the definition of “CT” in 40 CFR 141.2.</w:t>
      </w:r>
    </w:p>
    <w:p w14:paraId="4B412EE6" w14:textId="77777777" w:rsidR="00371746" w:rsidRPr="003B4362" w:rsidRDefault="00371746" w:rsidP="00371746">
      <w:pPr>
        <w:suppressAutoHyphens/>
        <w:ind w:left="1440"/>
        <w:rPr>
          <w:spacing w:val="-3"/>
        </w:rPr>
      </w:pPr>
    </w:p>
    <w:p w14:paraId="1EB10C7E" w14:textId="2817C634" w:rsidR="00371746" w:rsidRPr="003B4362" w:rsidRDefault="00371746" w:rsidP="00371746">
      <w:pPr>
        <w:suppressAutoHyphens/>
        <w:ind w:left="1440"/>
        <w:rPr>
          <w:spacing w:val="-3"/>
        </w:rPr>
      </w:pPr>
      <w:r w:rsidRPr="003B4362">
        <w:rPr>
          <w:spacing w:val="-3"/>
        </w:rPr>
        <w:t xml:space="preserve">“Initial compliance period” means the three-year compliance period that </w:t>
      </w:r>
      <w:r w:rsidRPr="003B4362">
        <w:t xml:space="preserve">began </w:t>
      </w:r>
      <w:r w:rsidRPr="003B4362">
        <w:rPr>
          <w:spacing w:val="-3"/>
        </w:rPr>
        <w:t>January 1, 1993, except for the MCLs for dichloro</w:t>
      </w:r>
      <w:r w:rsidRPr="003B4362">
        <w:rPr>
          <w:spacing w:val="-3"/>
        </w:rPr>
        <w:softHyphen/>
        <w:t>methane, 1,2,4-trichloro</w:t>
      </w:r>
      <w:r w:rsidRPr="003B4362">
        <w:rPr>
          <w:spacing w:val="-3"/>
        </w:rPr>
        <w:softHyphen/>
        <w:t>benzene, 1,1,2-trichloro</w:t>
      </w:r>
      <w:r w:rsidRPr="003B4362">
        <w:rPr>
          <w:spacing w:val="-3"/>
        </w:rPr>
        <w:softHyphen/>
        <w:t>ethane, benzo</w:t>
      </w:r>
      <w:r w:rsidRPr="003B4362">
        <w:rPr>
          <w:spacing w:val="-3"/>
        </w:rPr>
        <w:softHyphen/>
        <w:t>(a)</w:t>
      </w:r>
      <w:r w:rsidRPr="003B4362">
        <w:rPr>
          <w:spacing w:val="-3"/>
        </w:rPr>
        <w:softHyphen/>
        <w:t>pyrene, dalapon, di</w:t>
      </w:r>
      <w:r w:rsidRPr="003B4362">
        <w:rPr>
          <w:spacing w:val="-3"/>
        </w:rPr>
        <w:softHyphen/>
        <w:t>(2-ethyl</w:t>
      </w:r>
      <w:r w:rsidRPr="003B4362">
        <w:rPr>
          <w:spacing w:val="-3"/>
        </w:rPr>
        <w:softHyphen/>
        <w:t>hexyl)</w:t>
      </w:r>
      <w:r w:rsidRPr="003B4362">
        <w:rPr>
          <w:spacing w:val="-3"/>
        </w:rPr>
        <w:softHyphen/>
        <w:t>adipate, di</w:t>
      </w:r>
      <w:r w:rsidRPr="003B4362">
        <w:rPr>
          <w:spacing w:val="-3"/>
        </w:rPr>
        <w:softHyphen/>
        <w:t>(2-ethy</w:t>
      </w:r>
      <w:r w:rsidRPr="003B4362">
        <w:rPr>
          <w:spacing w:val="-3"/>
        </w:rPr>
        <w:softHyphen/>
        <w:t>l</w:t>
      </w:r>
      <w:r w:rsidRPr="003B4362">
        <w:rPr>
          <w:spacing w:val="-3"/>
        </w:rPr>
        <w:softHyphen/>
        <w:t>hexyl)</w:t>
      </w:r>
      <w:r w:rsidRPr="003B4362">
        <w:rPr>
          <w:spacing w:val="-3"/>
        </w:rPr>
        <w:softHyphen/>
        <w:t>phthalate, dinoseb, diquat, endothall, endrin, glyphosate, hexa</w:t>
      </w:r>
      <w:r w:rsidRPr="003B4362">
        <w:rPr>
          <w:spacing w:val="-3"/>
        </w:rPr>
        <w:softHyphen/>
        <w:t>chloro</w:t>
      </w:r>
      <w:r w:rsidRPr="003B4362">
        <w:rPr>
          <w:spacing w:val="-3"/>
        </w:rPr>
        <w:softHyphen/>
        <w:t>benzene, hexa</w:t>
      </w:r>
      <w:r w:rsidRPr="003B4362">
        <w:rPr>
          <w:spacing w:val="-3"/>
        </w:rPr>
        <w:softHyphen/>
        <w:t>chloro</w:t>
      </w:r>
      <w:r w:rsidRPr="003B4362">
        <w:rPr>
          <w:spacing w:val="-3"/>
        </w:rPr>
        <w:softHyphen/>
        <w:t>cyclo</w:t>
      </w:r>
      <w:r w:rsidRPr="003B4362">
        <w:rPr>
          <w:spacing w:val="-3"/>
        </w:rPr>
        <w:softHyphen/>
        <w:t>penta</w:t>
      </w:r>
      <w:r w:rsidRPr="003B4362">
        <w:rPr>
          <w:spacing w:val="-3"/>
        </w:rPr>
        <w:softHyphen/>
        <w:t>diene, oxamyl, picloram, simazine, 2,3,7,8-TCDD, antimony, beryllium, cyanide, nickel, and thallium</w:t>
      </w:r>
      <w:r w:rsidRPr="003B4362">
        <w:t>,</w:t>
      </w:r>
      <w:r w:rsidRPr="003B4362">
        <w:rPr>
          <w:spacing w:val="-3"/>
        </w:rPr>
        <w:t xml:space="preserve"> as they apply to </w:t>
      </w:r>
      <w:r w:rsidRPr="003B4362">
        <w:t xml:space="preserve">a </w:t>
      </w:r>
      <w:r w:rsidRPr="003B4362">
        <w:rPr>
          <w:spacing w:val="-3"/>
        </w:rPr>
        <w:t xml:space="preserve">supplier whose system has fewer than 150 service connections, </w:t>
      </w:r>
      <w:bookmarkStart w:id="141" w:name="_Hlk129173474"/>
      <w:r w:rsidRPr="003B4362">
        <w:rPr>
          <w:spacing w:val="-3"/>
        </w:rPr>
        <w:t>for which “initial compliance period” means</w:t>
      </w:r>
      <w:bookmarkEnd w:id="141"/>
      <w:r w:rsidRPr="003B4362">
        <w:rPr>
          <w:spacing w:val="-3"/>
        </w:rPr>
        <w:t xml:space="preserve"> the three-year compliance </w:t>
      </w:r>
      <w:bookmarkStart w:id="142" w:name="_Hlk129173525"/>
      <w:r w:rsidRPr="003B4362">
        <w:rPr>
          <w:spacing w:val="-3"/>
        </w:rPr>
        <w:t>period that began January 1, 1996</w:t>
      </w:r>
      <w:bookmarkEnd w:id="142"/>
      <w:r w:rsidRPr="003B4362">
        <w:rPr>
          <w:spacing w:val="-3"/>
        </w:rPr>
        <w:t>.</w:t>
      </w:r>
    </w:p>
    <w:p w14:paraId="0938F693" w14:textId="77777777" w:rsidR="00371746" w:rsidRPr="003B4362" w:rsidRDefault="00371746" w:rsidP="00371746">
      <w:pPr>
        <w:ind w:left="1440"/>
      </w:pPr>
    </w:p>
    <w:p w14:paraId="69580CBD" w14:textId="77777777" w:rsidR="00371746" w:rsidRPr="003B4362" w:rsidRDefault="00371746" w:rsidP="00371746">
      <w:pPr>
        <w:ind w:left="1440"/>
      </w:pPr>
      <w:r w:rsidRPr="003B4362">
        <w:t>“Initial distribution system evaluation” or “IDSE” means the evaluation, performed by the supplier under Section 611.921(c), to determine the locations in a distribution system that are representative of high TTHM and HAA5 concentrations throughout the distribution system.  An IDSE is used in conjunction with, but is distinct from, the compliance monitoring undertaken to identify and select monitoring locations used to determine compliance with Subpart I.</w:t>
      </w:r>
    </w:p>
    <w:p w14:paraId="71ED965C" w14:textId="43D149A9" w:rsidR="00371746" w:rsidRPr="003B4362" w:rsidRDefault="00371746" w:rsidP="00371746">
      <w:pPr>
        <w:ind w:left="1440"/>
      </w:pPr>
      <w:r w:rsidRPr="003B4362">
        <w:t xml:space="preserve">BOARD NOTE:  </w:t>
      </w:r>
      <w:r w:rsidRPr="003B4362">
        <w:rPr>
          <w:spacing w:val="-3"/>
        </w:rPr>
        <w:t xml:space="preserve">This definition derives </w:t>
      </w:r>
      <w:r w:rsidRPr="003B4362">
        <w:t>from 40 CFR 141.601(c).</w:t>
      </w:r>
    </w:p>
    <w:p w14:paraId="42AE303F" w14:textId="77777777" w:rsidR="00371746" w:rsidRPr="003B4362" w:rsidRDefault="00371746" w:rsidP="00371746">
      <w:pPr>
        <w:ind w:left="1440"/>
      </w:pPr>
    </w:p>
    <w:p w14:paraId="2F7DBF39" w14:textId="5930381E" w:rsidR="00371746" w:rsidRPr="003B4362" w:rsidRDefault="00371746" w:rsidP="00371746">
      <w:pPr>
        <w:ind w:left="1440"/>
      </w:pPr>
      <w:r w:rsidRPr="003B4362">
        <w:t xml:space="preserve">“Inorganic contaminants” or “IOCs” refers to that group of contaminants designated as such in </w:t>
      </w:r>
      <w:bookmarkStart w:id="143" w:name="_Hlk129173741"/>
      <w:r w:rsidRPr="003B4362">
        <w:t>USEPA</w:t>
      </w:r>
      <w:bookmarkEnd w:id="143"/>
      <w:r w:rsidRPr="003B4362">
        <w:t xml:space="preserve"> regulatory discussions and guidance documents.  IOCs include antimony, arsenic, asbestos, barium, beryllium, cadmium, chromium, cyanide, mercury, nickel, nitrate, nitrite, selenium, and thallium.</w:t>
      </w:r>
    </w:p>
    <w:p w14:paraId="061DBB7D" w14:textId="5AFC0B3D" w:rsidR="00371746" w:rsidRPr="003B4362" w:rsidRDefault="00371746" w:rsidP="00371746">
      <w:pPr>
        <w:suppressAutoHyphens/>
        <w:ind w:left="1440"/>
      </w:pPr>
      <w:r w:rsidRPr="003B4362">
        <w:t>BOARD NOTE:  This definition derives from 40 CFR 141.23(a)(4).</w:t>
      </w:r>
    </w:p>
    <w:p w14:paraId="3DAE4C5A" w14:textId="77777777" w:rsidR="00371746" w:rsidRPr="003B4362" w:rsidRDefault="00371746" w:rsidP="00371746">
      <w:pPr>
        <w:ind w:left="1440"/>
      </w:pPr>
    </w:p>
    <w:p w14:paraId="62B3FD66" w14:textId="72ED9AA9" w:rsidR="00371746" w:rsidRPr="003B4362" w:rsidRDefault="00371746" w:rsidP="00371746">
      <w:pPr>
        <w:ind w:left="1440"/>
      </w:pPr>
      <w:r w:rsidRPr="003B4362">
        <w:t>"ℓ" or "L" means liter.</w:t>
      </w:r>
    </w:p>
    <w:p w14:paraId="2E0D10B1" w14:textId="77777777" w:rsidR="00371746" w:rsidRPr="003B4362" w:rsidRDefault="00371746" w:rsidP="00371746">
      <w:pPr>
        <w:ind w:left="1440"/>
      </w:pPr>
    </w:p>
    <w:p w14:paraId="46461996" w14:textId="77777777" w:rsidR="00371746" w:rsidRPr="003B4362" w:rsidRDefault="00371746" w:rsidP="00371746">
      <w:pPr>
        <w:ind w:left="1440"/>
      </w:pPr>
      <w:r w:rsidRPr="003B4362">
        <w:t>“Lake or reservoir” means a natural or man made basin or hollow on the Earth’s surface in which water collects or is stored that may or may not have a current or single direction of flow.</w:t>
      </w:r>
    </w:p>
    <w:p w14:paraId="0A506DAE" w14:textId="77777777" w:rsidR="00371746" w:rsidRPr="003B4362" w:rsidRDefault="00371746" w:rsidP="00371746">
      <w:pPr>
        <w:suppressAutoHyphens/>
        <w:ind w:left="1440"/>
        <w:rPr>
          <w:spacing w:val="-3"/>
        </w:rPr>
      </w:pPr>
    </w:p>
    <w:p w14:paraId="4A8C6C0D" w14:textId="77777777" w:rsidR="00371746" w:rsidRPr="003B4362" w:rsidRDefault="00371746" w:rsidP="00371746">
      <w:pPr>
        <w:suppressAutoHyphens/>
        <w:ind w:left="1440"/>
        <w:rPr>
          <w:spacing w:val="-3"/>
        </w:rPr>
      </w:pPr>
      <w:r w:rsidRPr="003B4362">
        <w:rPr>
          <w:spacing w:val="-3"/>
        </w:rPr>
        <w:t>“Legionella” means a genus of bacteria, some species of which have caused a type of pneumonia called Legionnaires Disease.</w:t>
      </w:r>
    </w:p>
    <w:p w14:paraId="0819FF46" w14:textId="77777777" w:rsidR="00371746" w:rsidRPr="003B4362" w:rsidRDefault="00371746" w:rsidP="00371746">
      <w:pPr>
        <w:ind w:left="1440"/>
        <w:rPr>
          <w:iCs/>
          <w:szCs w:val="24"/>
        </w:rPr>
      </w:pPr>
    </w:p>
    <w:p w14:paraId="6862DE05" w14:textId="079828A5" w:rsidR="00371746" w:rsidRPr="003B4362" w:rsidRDefault="00371746" w:rsidP="00371746">
      <w:pPr>
        <w:ind w:left="1440"/>
        <w:rPr>
          <w:szCs w:val="24"/>
        </w:rPr>
      </w:pPr>
      <w:r w:rsidRPr="003B4362">
        <w:rPr>
          <w:iCs/>
          <w:szCs w:val="24"/>
        </w:rPr>
        <w:t xml:space="preserve">“Level 1 assessment” </w:t>
      </w:r>
      <w:r w:rsidRPr="003B4362">
        <w:rPr>
          <w:szCs w:val="24"/>
        </w:rPr>
        <w:t>means an evaluation to identify the possible presence of sanitary defects, defects in distribution system coliform monitoring practices, and (when possible) the likely reason that the system triggered the assessment.  T</w:t>
      </w:r>
      <w:bookmarkStart w:id="144" w:name="_Hlk129173927"/>
      <w:r w:rsidRPr="003B4362">
        <w:rPr>
          <w:szCs w:val="24"/>
        </w:rPr>
        <w:t>he system owner or operator conducts a Level 1 assessment</w:t>
      </w:r>
      <w:bookmarkEnd w:id="144"/>
      <w:r w:rsidRPr="003B4362">
        <w:rPr>
          <w:szCs w:val="24"/>
        </w:rPr>
        <w:t xml:space="preserve">.  Minimum elements include review and identification of atypical events that could affect distributed water quality or indicate that distributed </w:t>
      </w:r>
      <w:bookmarkStart w:id="145" w:name="_Hlk129175628"/>
      <w:r w:rsidRPr="003B4362">
        <w:rPr>
          <w:szCs w:val="24"/>
        </w:rPr>
        <w:t>water quality is impaired</w:t>
      </w:r>
      <w:bookmarkEnd w:id="145"/>
      <w:r w:rsidRPr="003B4362">
        <w:rPr>
          <w:szCs w:val="24"/>
        </w:rPr>
        <w:t xml:space="preserve">; changes in distribution system maintenance and operation that could affect distributed water quality (including water storage); source and treatment considerations that bear on distributed water quality, </w:t>
      </w:r>
      <w:bookmarkStart w:id="146" w:name="_Hlk129175656"/>
      <w:r w:rsidRPr="003B4362">
        <w:rPr>
          <w:spacing w:val="-3"/>
        </w:rPr>
        <w:t xml:space="preserve">if </w:t>
      </w:r>
      <w:r w:rsidRPr="003B4362">
        <w:rPr>
          <w:szCs w:val="24"/>
        </w:rPr>
        <w:t>appropriate</w:t>
      </w:r>
      <w:bookmarkEnd w:id="146"/>
      <w:r w:rsidRPr="003B4362">
        <w:rPr>
          <w:szCs w:val="24"/>
        </w:rPr>
        <w:t xml:space="preserve"> (e.g., whether a groundwater system is disinfected); existing water quality monitoring data; and inadequacies in sample sites, sampling protocol, and sample processing.  The supplier must conduct the </w:t>
      </w:r>
      <w:r w:rsidRPr="003B4362">
        <w:rPr>
          <w:szCs w:val="24"/>
        </w:rPr>
        <w:lastRenderedPageBreak/>
        <w:t>assessment consistent with any Agency-imposed permit conditions that tailor specific assessment elements with respect to the size and type of the system and the size, type, and characteristics of the distribution system.</w:t>
      </w:r>
    </w:p>
    <w:p w14:paraId="33EC4B7F" w14:textId="77777777" w:rsidR="00371746" w:rsidRPr="003B4362" w:rsidRDefault="00371746" w:rsidP="00371746">
      <w:pPr>
        <w:ind w:left="1440"/>
        <w:rPr>
          <w:iCs/>
          <w:szCs w:val="24"/>
        </w:rPr>
      </w:pPr>
    </w:p>
    <w:p w14:paraId="0B190D46" w14:textId="615B8EA9" w:rsidR="00371746" w:rsidRPr="003B4362" w:rsidRDefault="00371746" w:rsidP="00371746">
      <w:pPr>
        <w:ind w:left="1440"/>
        <w:rPr>
          <w:szCs w:val="24"/>
        </w:rPr>
      </w:pPr>
      <w:r w:rsidRPr="003B4362">
        <w:rPr>
          <w:iCs/>
          <w:szCs w:val="24"/>
        </w:rPr>
        <w:t xml:space="preserve">“Level 2 assessment” </w:t>
      </w:r>
      <w:r w:rsidRPr="003B4362">
        <w:rPr>
          <w:szCs w:val="24"/>
        </w:rPr>
        <w:t>means an evaluation to identify the possible presence of sanitary defects, defects in distribution system coliform monitoring practices, and (when possible) the likely reason that the system triggered the assessment.  A Level 2 assessment provides a more detailed examination of the system (including the system’s monitoring and operational practices) than does a Level 1 assessment through the use of more comprehensive investigation and review of available information, additional internal and external resources, and other relevant practices.  A</w:t>
      </w:r>
      <w:bookmarkStart w:id="147" w:name="_Hlk129175746"/>
      <w:r w:rsidRPr="003B4362">
        <w:rPr>
          <w:szCs w:val="24"/>
        </w:rPr>
        <w:t xml:space="preserve"> person approved by the Agency in a SEP conducts a Level 2 assessment</w:t>
      </w:r>
      <w:bookmarkEnd w:id="147"/>
      <w:r w:rsidRPr="003B4362">
        <w:rPr>
          <w:szCs w:val="24"/>
        </w:rPr>
        <w:t xml:space="preserve">, and that person may include the system operator.  Minimum elements include review and identification of atypical events that could affect distributed water quality or indicate that distributed water quality is impaired; changes in distribution system maintenance and operation that could affect distributed water quality (including water storage); source and treatment considerations that bear on distributed water quality, </w:t>
      </w:r>
      <w:r w:rsidRPr="003B4362">
        <w:rPr>
          <w:spacing w:val="-3"/>
        </w:rPr>
        <w:t xml:space="preserve">if </w:t>
      </w:r>
      <w:r w:rsidRPr="003B4362">
        <w:rPr>
          <w:szCs w:val="24"/>
        </w:rPr>
        <w:t xml:space="preserve">appropriate (e.g., whether a groundwater system is disinfected); existing water quality monitoring data; and inadequacies in sample sites, sampling protocol, and sample processing.  The </w:t>
      </w:r>
      <w:bookmarkStart w:id="148" w:name="_Hlk129176299"/>
      <w:r w:rsidRPr="003B4362">
        <w:rPr>
          <w:szCs w:val="24"/>
        </w:rPr>
        <w:t>person conducting the Level 2 assessment and the supplier</w:t>
      </w:r>
      <w:bookmarkEnd w:id="148"/>
      <w:r w:rsidRPr="003B4362">
        <w:rPr>
          <w:szCs w:val="24"/>
        </w:rPr>
        <w:t xml:space="preserve"> must conduct the assessment consistent with any Agency-imposed permit conditions that tailor specific assessment elements with respect to the size and type of the system and the size, type, and characteristics of the distribution system.  The person conducting the Level 2 assessment and the supplier must comply with any expedited actions or </w:t>
      </w:r>
      <w:bookmarkStart w:id="149" w:name="_Hlk129176599"/>
      <w:r w:rsidRPr="003B4362">
        <w:rPr>
          <w:szCs w:val="24"/>
        </w:rPr>
        <w:t>additional actions the SEP requires</w:t>
      </w:r>
      <w:bookmarkEnd w:id="149"/>
      <w:r w:rsidRPr="003B4362">
        <w:rPr>
          <w:szCs w:val="24"/>
        </w:rPr>
        <w:t xml:space="preserve"> in the instance of an </w:t>
      </w:r>
      <w:r w:rsidRPr="003B4362">
        <w:rPr>
          <w:iCs/>
          <w:szCs w:val="24"/>
        </w:rPr>
        <w:t>E. coli</w:t>
      </w:r>
      <w:r w:rsidRPr="003B4362">
        <w:rPr>
          <w:i/>
          <w:iCs/>
          <w:szCs w:val="24"/>
        </w:rPr>
        <w:t xml:space="preserve"> </w:t>
      </w:r>
      <w:r w:rsidRPr="003B4362">
        <w:rPr>
          <w:szCs w:val="24"/>
        </w:rPr>
        <w:t>MCL violation.</w:t>
      </w:r>
    </w:p>
    <w:p w14:paraId="5B1EEA81" w14:textId="77777777" w:rsidR="00371746" w:rsidRPr="003B4362" w:rsidRDefault="00371746" w:rsidP="00371746">
      <w:pPr>
        <w:ind w:left="1440"/>
      </w:pPr>
    </w:p>
    <w:p w14:paraId="4C1739EB" w14:textId="77777777" w:rsidR="00371746" w:rsidRPr="003B4362" w:rsidRDefault="00371746" w:rsidP="00371746">
      <w:pPr>
        <w:ind w:left="1440"/>
      </w:pPr>
      <w:r w:rsidRPr="003B4362">
        <w:t>“Locational running annual average” or “LRAA” means the average of sample analytical results for samples taken at a particular monitoring location during the previous four calendar quarters.</w:t>
      </w:r>
    </w:p>
    <w:p w14:paraId="3215CB28" w14:textId="77777777" w:rsidR="00371746" w:rsidRPr="003B4362" w:rsidRDefault="00371746" w:rsidP="00371746">
      <w:pPr>
        <w:suppressAutoHyphens/>
        <w:ind w:left="1440"/>
        <w:rPr>
          <w:spacing w:val="-3"/>
        </w:rPr>
      </w:pPr>
    </w:p>
    <w:p w14:paraId="091F8EC2" w14:textId="77777777" w:rsidR="00371746" w:rsidRPr="003B4362" w:rsidRDefault="00371746" w:rsidP="00371746">
      <w:pPr>
        <w:suppressAutoHyphens/>
        <w:ind w:left="1440"/>
        <w:rPr>
          <w:spacing w:val="-3"/>
        </w:rPr>
      </w:pPr>
      <w:r w:rsidRPr="003B4362">
        <w:rPr>
          <w:spacing w:val="-3"/>
        </w:rPr>
        <w:t>“M</w:t>
      </w:r>
      <w:bookmarkStart w:id="150" w:name="_Hlk16175575"/>
      <w:r w:rsidRPr="003B4362">
        <w:rPr>
          <w:spacing w:val="-3"/>
        </w:rPr>
        <w:t>an-made beta particle and photon emitters</w:t>
      </w:r>
      <w:bookmarkEnd w:id="150"/>
      <w:r w:rsidRPr="003B4362">
        <w:rPr>
          <w:spacing w:val="-3"/>
        </w:rPr>
        <w:t>” means all radionuclides emitting beta particles or photons listed in</w:t>
      </w:r>
      <w:r w:rsidRPr="003B4362">
        <w:t xml:space="preserve"> NBS Handbook 69 (63)</w:t>
      </w:r>
      <w:r w:rsidRPr="003B4362">
        <w:rPr>
          <w:spacing w:val="-3"/>
        </w:rPr>
        <w:t>, incorporated by reference in Section 611.102, except the daughter products of thorium-232, uranium-235 and uranium-238.</w:t>
      </w:r>
    </w:p>
    <w:p w14:paraId="1AB4580F" w14:textId="77777777" w:rsidR="00371746" w:rsidRPr="003B4362" w:rsidRDefault="00371746" w:rsidP="00371746">
      <w:pPr>
        <w:suppressAutoHyphens/>
        <w:ind w:left="1440"/>
        <w:rPr>
          <w:spacing w:val="-3"/>
        </w:rPr>
      </w:pPr>
      <w:r w:rsidRPr="003B4362">
        <w:rPr>
          <w:spacing w:val="-3"/>
        </w:rPr>
        <w:t xml:space="preserve">BOARD NOTE:  </w:t>
      </w:r>
      <w:r w:rsidRPr="003B4362">
        <w:t>The USEPA-recognized naturally occurring daughter products are alpha emitters (</w:t>
      </w:r>
      <w:r w:rsidRPr="003B4362">
        <w:rPr>
          <w:vertAlign w:val="superscript"/>
        </w:rPr>
        <w:t>211,212</w:t>
      </w:r>
      <w:r w:rsidRPr="003B4362">
        <w:t xml:space="preserve">Bi, </w:t>
      </w:r>
      <w:r w:rsidRPr="003B4362">
        <w:rPr>
          <w:vertAlign w:val="superscript"/>
        </w:rPr>
        <w:t>231</w:t>
      </w:r>
      <w:r w:rsidRPr="003B4362">
        <w:t xml:space="preserve">Pa, </w:t>
      </w:r>
      <w:r w:rsidRPr="003B4362">
        <w:rPr>
          <w:vertAlign w:val="superscript"/>
        </w:rPr>
        <w:t>210,212,214,215,216,218</w:t>
      </w:r>
      <w:r w:rsidRPr="003B4362">
        <w:t xml:space="preserve">Po, </w:t>
      </w:r>
      <w:r w:rsidRPr="003B4362">
        <w:rPr>
          <w:vertAlign w:val="superscript"/>
        </w:rPr>
        <w:t>223,224,226</w:t>
      </w:r>
      <w:r w:rsidRPr="003B4362">
        <w:t xml:space="preserve">Ra, </w:t>
      </w:r>
      <w:r w:rsidRPr="003B4362">
        <w:rPr>
          <w:vertAlign w:val="superscript"/>
        </w:rPr>
        <w:t>219,220,222</w:t>
      </w:r>
      <w:r w:rsidRPr="003B4362">
        <w:t xml:space="preserve">Rn, </w:t>
      </w:r>
      <w:r w:rsidRPr="003B4362">
        <w:rPr>
          <w:vertAlign w:val="superscript"/>
        </w:rPr>
        <w:t>227,228,230</w:t>
      </w:r>
      <w:r w:rsidRPr="003B4362">
        <w:t xml:space="preserve">Th, </w:t>
      </w:r>
      <w:r w:rsidRPr="003B4362">
        <w:rPr>
          <w:vertAlign w:val="superscript"/>
        </w:rPr>
        <w:t>234</w:t>
      </w:r>
      <w:r w:rsidRPr="003B4362">
        <w:t>U ) and beta emitters (</w:t>
      </w:r>
      <w:bookmarkStart w:id="151" w:name="_Hlk103102571"/>
      <w:r w:rsidRPr="003B4362">
        <w:rPr>
          <w:vertAlign w:val="superscript"/>
        </w:rPr>
        <w:t>227,228</w:t>
      </w:r>
      <w:r w:rsidRPr="003B4362">
        <w:t xml:space="preserve">Ac, </w:t>
      </w:r>
      <w:r w:rsidRPr="003B4362">
        <w:rPr>
          <w:vertAlign w:val="superscript"/>
        </w:rPr>
        <w:t>210,212,214</w:t>
      </w:r>
      <w:r w:rsidRPr="003B4362">
        <w:t xml:space="preserve">Bi, </w:t>
      </w:r>
      <w:r w:rsidRPr="003B4362">
        <w:rPr>
          <w:vertAlign w:val="superscript"/>
        </w:rPr>
        <w:t>234</w:t>
      </w:r>
      <w:r w:rsidRPr="003B4362">
        <w:t xml:space="preserve">Pa, </w:t>
      </w:r>
      <w:r w:rsidRPr="003B4362">
        <w:rPr>
          <w:vertAlign w:val="superscript"/>
        </w:rPr>
        <w:t>210,211,212,214</w:t>
      </w:r>
      <w:r w:rsidRPr="003B4362">
        <w:t xml:space="preserve">Pb, </w:t>
      </w:r>
      <w:r w:rsidRPr="003B4362">
        <w:rPr>
          <w:vertAlign w:val="superscript"/>
        </w:rPr>
        <w:t>228</w:t>
      </w:r>
      <w:r w:rsidRPr="003B4362">
        <w:t xml:space="preserve">Ra, </w:t>
      </w:r>
      <w:r w:rsidRPr="003B4362">
        <w:rPr>
          <w:vertAlign w:val="superscript"/>
        </w:rPr>
        <w:t>231,234</w:t>
      </w:r>
      <w:r w:rsidRPr="003B4362">
        <w:t xml:space="preserve">Th, and </w:t>
      </w:r>
      <w:r w:rsidRPr="003B4362">
        <w:rPr>
          <w:vertAlign w:val="superscript"/>
        </w:rPr>
        <w:t>207,208</w:t>
      </w:r>
      <w:r w:rsidRPr="003B4362">
        <w:t>TI</w:t>
      </w:r>
      <w:bookmarkEnd w:id="151"/>
      <w:r w:rsidRPr="003B4362">
        <w:t>.  See 56 Fed. Reg. 33050, 33063-65 (July 18, 1991).</w:t>
      </w:r>
    </w:p>
    <w:p w14:paraId="13A2F80A" w14:textId="77777777" w:rsidR="00371746" w:rsidRPr="003B4362" w:rsidRDefault="00371746" w:rsidP="00371746">
      <w:pPr>
        <w:suppressAutoHyphens/>
        <w:ind w:left="1440"/>
        <w:rPr>
          <w:spacing w:val="-3"/>
        </w:rPr>
      </w:pPr>
    </w:p>
    <w:p w14:paraId="6E126123" w14:textId="0A976C2E" w:rsidR="00371746" w:rsidRPr="003B4362" w:rsidRDefault="00371746" w:rsidP="00371746">
      <w:pPr>
        <w:suppressAutoHyphens/>
        <w:ind w:left="1440"/>
        <w:rPr>
          <w:spacing w:val="-3"/>
        </w:rPr>
      </w:pPr>
      <w:r w:rsidRPr="003B4362">
        <w:rPr>
          <w:spacing w:val="-3"/>
        </w:rPr>
        <w:t xml:space="preserve">“Maximum contaminant level” or “MCL” means </w:t>
      </w:r>
      <w:bookmarkStart w:id="152" w:name="_Hlk129178041"/>
      <w:r w:rsidRPr="003B4362">
        <w:rPr>
          <w:spacing w:val="-3"/>
        </w:rPr>
        <w:t xml:space="preserve">the maximum permissible </w:t>
      </w:r>
      <w:r w:rsidRPr="003B4362">
        <w:t xml:space="preserve">concentration </w:t>
      </w:r>
      <w:r w:rsidRPr="003B4362">
        <w:rPr>
          <w:spacing w:val="-3"/>
        </w:rPr>
        <w:t xml:space="preserve">of </w:t>
      </w:r>
      <w:bookmarkStart w:id="153" w:name="_Hlk129177169"/>
      <w:bookmarkEnd w:id="152"/>
      <w:r w:rsidRPr="003B4362">
        <w:rPr>
          <w:spacing w:val="-3"/>
        </w:rPr>
        <w:t>a contaminant in water a supplier delivers to any user of its PWS</w:t>
      </w:r>
      <w:bookmarkEnd w:id="153"/>
      <w:r w:rsidRPr="003B4362">
        <w:rPr>
          <w:spacing w:val="-3"/>
        </w:rPr>
        <w:t xml:space="preserve">.  </w:t>
      </w:r>
      <w:r w:rsidRPr="003B4362">
        <w:t>(</w:t>
      </w:r>
      <w:r w:rsidRPr="003B4362">
        <w:rPr>
          <w:spacing w:val="-3"/>
        </w:rPr>
        <w:t>See Section 611.121.</w:t>
      </w:r>
      <w:r w:rsidRPr="003B4362">
        <w:t>)</w:t>
      </w:r>
    </w:p>
    <w:p w14:paraId="52255CD2" w14:textId="77777777" w:rsidR="00371746" w:rsidRPr="003B4362" w:rsidRDefault="00371746" w:rsidP="00371746">
      <w:pPr>
        <w:suppressAutoHyphens/>
        <w:ind w:left="1440"/>
      </w:pPr>
    </w:p>
    <w:p w14:paraId="7E66CDB6" w14:textId="385892F4" w:rsidR="00371746" w:rsidRPr="003B4362" w:rsidRDefault="00371746" w:rsidP="00371746">
      <w:pPr>
        <w:suppressAutoHyphens/>
        <w:ind w:left="1440"/>
      </w:pPr>
      <w:r w:rsidRPr="003B4362">
        <w:lastRenderedPageBreak/>
        <w:t xml:space="preserve">“Maximum contaminant level goal” </w:t>
      </w:r>
      <w:r w:rsidRPr="003B4362">
        <w:rPr>
          <w:spacing w:val="-3"/>
        </w:rPr>
        <w:t>or “MCLG”</w:t>
      </w:r>
      <w:r w:rsidRPr="003B4362">
        <w:t xml:space="preserve"> means the maximum </w:t>
      </w:r>
      <w:bookmarkStart w:id="154" w:name="_Hlk129177291"/>
      <w:r w:rsidRPr="003B4362">
        <w:t xml:space="preserve">concentration of a </w:t>
      </w:r>
      <w:bookmarkStart w:id="155" w:name="_Hlk129177261"/>
      <w:bookmarkEnd w:id="154"/>
      <w:r w:rsidRPr="003B4362">
        <w:t xml:space="preserve">contaminant in drinking water </w:t>
      </w:r>
      <w:bookmarkStart w:id="156" w:name="_Hlk129179346"/>
      <w:r w:rsidRPr="003B4362">
        <w:t>that USEPA determined will cause no known or anticipated adverse effect on the health of persons</w:t>
      </w:r>
      <w:bookmarkEnd w:id="156"/>
      <w:bookmarkEnd w:id="155"/>
      <w:r w:rsidRPr="003B4362">
        <w:t>, allowing an adequate margin of safety.  MCLGs are nonenforceable health goals.</w:t>
      </w:r>
    </w:p>
    <w:p w14:paraId="48EEAEC3" w14:textId="622058F9" w:rsidR="00371746" w:rsidRPr="003B4362" w:rsidRDefault="00371746" w:rsidP="00371746">
      <w:pPr>
        <w:suppressAutoHyphens/>
        <w:ind w:left="1440"/>
        <w:rPr>
          <w:spacing w:val="-3"/>
        </w:rPr>
      </w:pPr>
      <w:r w:rsidRPr="003B4362">
        <w:t>BOARD NOTE:  T</w:t>
      </w:r>
      <w:bookmarkStart w:id="157" w:name="_Hlk129179419"/>
      <w:r w:rsidRPr="003B4362">
        <w:t>he federal MCLGs are outside the scope</w:t>
      </w:r>
      <w:bookmarkEnd w:id="157"/>
      <w:r w:rsidRPr="003B4362">
        <w:t xml:space="preserve"> of the Board’s identical-in-substance mandate under Section 17.5 of the Act.</w:t>
      </w:r>
    </w:p>
    <w:p w14:paraId="07B33B32" w14:textId="77777777" w:rsidR="00371746" w:rsidRPr="003B4362" w:rsidRDefault="00371746" w:rsidP="00371746">
      <w:pPr>
        <w:suppressAutoHyphens/>
        <w:ind w:left="1440"/>
        <w:rPr>
          <w:spacing w:val="-2"/>
        </w:rPr>
      </w:pPr>
    </w:p>
    <w:p w14:paraId="01F2A42A" w14:textId="50F384EB" w:rsidR="00371746" w:rsidRPr="003B4362" w:rsidRDefault="00371746" w:rsidP="00371746">
      <w:pPr>
        <w:suppressAutoHyphens/>
        <w:ind w:left="1440"/>
        <w:rPr>
          <w:spacing w:val="-2"/>
        </w:rPr>
      </w:pPr>
      <w:r w:rsidRPr="003B4362">
        <w:rPr>
          <w:spacing w:val="-2"/>
        </w:rPr>
        <w:t xml:space="preserve">“Maximum residual disinfectant level” or “MRDL” means </w:t>
      </w:r>
      <w:bookmarkStart w:id="158" w:name="_Hlk129179633"/>
      <w:r w:rsidRPr="003B4362">
        <w:rPr>
          <w:spacing w:val="-2"/>
        </w:rPr>
        <w:t xml:space="preserve">the maximum permissible </w:t>
      </w:r>
      <w:r w:rsidRPr="003B4362">
        <w:t xml:space="preserve">concentration </w:t>
      </w:r>
      <w:r w:rsidRPr="003B4362">
        <w:rPr>
          <w:spacing w:val="-2"/>
        </w:rPr>
        <w:t xml:space="preserve">of a disinfectant </w:t>
      </w:r>
      <w:r w:rsidR="002D1BD4">
        <w:rPr>
          <w:spacing w:val="-2"/>
        </w:rPr>
        <w:t xml:space="preserve">added </w:t>
      </w:r>
      <w:r w:rsidRPr="003B4362">
        <w:rPr>
          <w:spacing w:val="-2"/>
        </w:rPr>
        <w:t xml:space="preserve">for water treatment that USEPA determined a supplier may add and may not exceed </w:t>
      </w:r>
      <w:bookmarkEnd w:id="158"/>
      <w:r w:rsidRPr="003B4362">
        <w:rPr>
          <w:spacing w:val="-2"/>
        </w:rPr>
        <w:t xml:space="preserve">at the consumer’s tap without an </w:t>
      </w:r>
      <w:bookmarkStart w:id="159" w:name="_Hlk129179713"/>
      <w:r w:rsidRPr="003B4362">
        <w:rPr>
          <w:spacing w:val="-2"/>
        </w:rPr>
        <w:t>unacceptable risk of adverse health effects</w:t>
      </w:r>
      <w:bookmarkEnd w:id="159"/>
      <w:r w:rsidRPr="003B4362">
        <w:rPr>
          <w:spacing w:val="-2"/>
        </w:rPr>
        <w:t xml:space="preserve">.  MRDLs are enforceable in the same manner as are MCLs.  </w:t>
      </w:r>
      <w:r w:rsidRPr="003B4362">
        <w:t>(</w:t>
      </w:r>
      <w:r w:rsidRPr="003B4362">
        <w:rPr>
          <w:spacing w:val="-2"/>
        </w:rPr>
        <w:t>See Section 611.313 and Section 611.383.</w:t>
      </w:r>
      <w:r w:rsidRPr="003B4362">
        <w:t>)</w:t>
      </w:r>
    </w:p>
    <w:p w14:paraId="54909F2C" w14:textId="77777777" w:rsidR="00371746" w:rsidRPr="003B4362" w:rsidRDefault="00371746" w:rsidP="00371746">
      <w:pPr>
        <w:suppressAutoHyphens/>
        <w:ind w:left="1440"/>
      </w:pPr>
    </w:p>
    <w:p w14:paraId="4B373281" w14:textId="7DDF012E" w:rsidR="00371746" w:rsidRPr="003B4362" w:rsidRDefault="00371746" w:rsidP="00371746">
      <w:pPr>
        <w:suppressAutoHyphens/>
        <w:ind w:left="1440"/>
      </w:pPr>
      <w:r w:rsidRPr="003B4362">
        <w:t xml:space="preserve">“Maximum residual disinfectant level goal” or “MRDLG” means </w:t>
      </w:r>
      <w:bookmarkStart w:id="160" w:name="_Hlk129180801"/>
      <w:r w:rsidRPr="003B4362">
        <w:t xml:space="preserve">the maximum concentration of a disinfectant </w:t>
      </w:r>
      <w:r w:rsidRPr="003B4362">
        <w:rPr>
          <w:spacing w:val="-2"/>
        </w:rPr>
        <w:t xml:space="preserve">that USEPA determined a supplier may add </w:t>
      </w:r>
      <w:r w:rsidRPr="003B4362">
        <w:t>for water treatment that would not cause any known or anticipated adverse effect on the health of persons</w:t>
      </w:r>
      <w:bookmarkEnd w:id="160"/>
      <w:r w:rsidRPr="003B4362">
        <w:t xml:space="preserve">, </w:t>
      </w:r>
      <w:bookmarkStart w:id="161" w:name="_Hlk129180960"/>
      <w:r w:rsidRPr="003B4362">
        <w:t>allowing an adequate margin of safety</w:t>
      </w:r>
      <w:bookmarkEnd w:id="161"/>
      <w:r w:rsidRPr="003B4362">
        <w:t>.  MRDLGs are nonenforceable health goals and do not reflect the benefit of the addition of the chemical for control of waterborne microbial contaminants.</w:t>
      </w:r>
    </w:p>
    <w:p w14:paraId="1F994F57" w14:textId="77777777" w:rsidR="00371746" w:rsidRPr="003B4362" w:rsidRDefault="00371746" w:rsidP="00371746">
      <w:pPr>
        <w:suppressAutoHyphens/>
        <w:ind w:left="1440"/>
        <w:rPr>
          <w:spacing w:val="-3"/>
        </w:rPr>
      </w:pPr>
    </w:p>
    <w:p w14:paraId="5785733A" w14:textId="77777777" w:rsidR="00371746" w:rsidRPr="003B4362" w:rsidRDefault="00371746" w:rsidP="00371746">
      <w:pPr>
        <w:suppressAutoHyphens/>
        <w:ind w:left="1440"/>
        <w:rPr>
          <w:spacing w:val="-3"/>
        </w:rPr>
      </w:pPr>
      <w:r w:rsidRPr="003B4362">
        <w:rPr>
          <w:spacing w:val="-3"/>
        </w:rPr>
        <w:t>“Maximum total trihalomethane potential” or “MTP” means the maximum concentration of total trihalomethanes (TTHMs) produced in a given water containing a disinfectant residual after seven days at a temperature of 25</w:t>
      </w:r>
      <w:r w:rsidRPr="003B4362">
        <w:rPr>
          <w:spacing w:val="-3"/>
        </w:rPr>
        <w:sym w:font="Symbol" w:char="F0B0"/>
      </w:r>
      <w:r w:rsidRPr="003B4362">
        <w:rPr>
          <w:spacing w:val="-3"/>
        </w:rPr>
        <w:t xml:space="preserve"> C or above.</w:t>
      </w:r>
    </w:p>
    <w:p w14:paraId="35A261DF" w14:textId="77777777" w:rsidR="00371746" w:rsidRPr="003B4362" w:rsidRDefault="00371746" w:rsidP="00371746">
      <w:pPr>
        <w:ind w:left="1440"/>
      </w:pPr>
    </w:p>
    <w:p w14:paraId="31916DC5" w14:textId="348D0107" w:rsidR="00371746" w:rsidRPr="003B4362" w:rsidRDefault="00371746" w:rsidP="00371746">
      <w:pPr>
        <w:ind w:left="1440"/>
      </w:pPr>
      <w:r w:rsidRPr="003B4362">
        <w:t xml:space="preserve">“Membrane filtration” means </w:t>
      </w:r>
      <w:bookmarkStart w:id="162" w:name="_Hlk129181065"/>
      <w:r w:rsidRPr="003B4362">
        <w:t>a pressure- or vacuum-driven separation process</w:t>
      </w:r>
      <w:bookmarkEnd w:id="162"/>
      <w:r w:rsidRPr="003B4362">
        <w:t xml:space="preserve"> in which particulate matter larger than one micrometer is rejected by an engineered barrier, primarily through a size exclusion mechanism, </w:t>
      </w:r>
      <w:bookmarkStart w:id="163" w:name="_Hlk129181143"/>
      <w:r w:rsidRPr="003B4362">
        <w:t>having a measurable removal efficiency</w:t>
      </w:r>
      <w:bookmarkEnd w:id="163"/>
      <w:r w:rsidRPr="003B4362">
        <w:t xml:space="preserve"> of a target organism </w:t>
      </w:r>
      <w:bookmarkStart w:id="164" w:name="_Hlk129181201"/>
      <w:r w:rsidRPr="003B4362">
        <w:t>that is verifiable using a direct integrity test</w:t>
      </w:r>
      <w:bookmarkEnd w:id="164"/>
      <w:r w:rsidRPr="003B4362">
        <w:t>.  This definition includes the common membrane technologies of microfiltration, ultrafiltration, nanofiltration, and reverse osmosis.</w:t>
      </w:r>
    </w:p>
    <w:p w14:paraId="332CFC87" w14:textId="77777777" w:rsidR="00371746" w:rsidRPr="003B4362" w:rsidRDefault="00371746" w:rsidP="00371746">
      <w:pPr>
        <w:autoSpaceDE w:val="0"/>
        <w:autoSpaceDN w:val="0"/>
        <w:adjustRightInd w:val="0"/>
        <w:ind w:left="1440"/>
        <w:rPr>
          <w:szCs w:val="24"/>
        </w:rPr>
      </w:pPr>
      <w:bookmarkStart w:id="165" w:name="_Hlk111713885"/>
    </w:p>
    <w:p w14:paraId="5FE09857" w14:textId="77777777" w:rsidR="00371746" w:rsidRPr="003B4362" w:rsidRDefault="00371746" w:rsidP="00371746">
      <w:pPr>
        <w:autoSpaceDE w:val="0"/>
        <w:autoSpaceDN w:val="0"/>
        <w:adjustRightInd w:val="0"/>
        <w:ind w:left="1440"/>
        <w:rPr>
          <w:szCs w:val="24"/>
        </w:rPr>
      </w:pPr>
      <w:r w:rsidRPr="003B4362">
        <w:rPr>
          <w:szCs w:val="24"/>
        </w:rPr>
        <w:t>“Method detection limit” or “MDL” means the minimum concentration of a substance that analysis can measure and report with 99 percent confidence that the analyte concentration is greater than zero, from analysis of a sample in a given matrix containing the analyte.</w:t>
      </w:r>
    </w:p>
    <w:bookmarkEnd w:id="165"/>
    <w:p w14:paraId="46411E84" w14:textId="77777777" w:rsidR="00371746" w:rsidRPr="003B4362" w:rsidRDefault="00371746" w:rsidP="00371746">
      <w:pPr>
        <w:suppressAutoHyphens/>
        <w:ind w:left="1440"/>
        <w:rPr>
          <w:spacing w:val="-3"/>
        </w:rPr>
      </w:pPr>
    </w:p>
    <w:p w14:paraId="4B3C90C8" w14:textId="77777777" w:rsidR="00371746" w:rsidRPr="003B4362" w:rsidRDefault="00371746" w:rsidP="00371746">
      <w:pPr>
        <w:suppressAutoHyphens/>
        <w:ind w:left="1440"/>
        <w:rPr>
          <w:spacing w:val="-3"/>
        </w:rPr>
      </w:pPr>
      <w:r w:rsidRPr="003B4362">
        <w:rPr>
          <w:spacing w:val="-3"/>
        </w:rPr>
        <w:t>“MFL” means millions of fibers per liter larger than 10 micrometers.</w:t>
      </w:r>
    </w:p>
    <w:p w14:paraId="6D8B38E5" w14:textId="25394058" w:rsidR="00371746" w:rsidRPr="003B4362" w:rsidRDefault="00371746" w:rsidP="00371746">
      <w:pPr>
        <w:suppressAutoHyphens/>
        <w:ind w:left="1440"/>
        <w:rPr>
          <w:spacing w:val="-3"/>
        </w:rPr>
      </w:pPr>
      <w:r w:rsidRPr="003B4362">
        <w:rPr>
          <w:spacing w:val="-3"/>
        </w:rPr>
        <w:t>BOARD NOTE:  This definition derives from 40 CFR 141.23(a)(4)(i).</w:t>
      </w:r>
    </w:p>
    <w:p w14:paraId="1112AD25" w14:textId="77777777" w:rsidR="00371746" w:rsidRPr="003B4362" w:rsidRDefault="00371746" w:rsidP="00371746">
      <w:pPr>
        <w:suppressAutoHyphens/>
        <w:ind w:left="1440"/>
        <w:rPr>
          <w:spacing w:val="-3"/>
        </w:rPr>
      </w:pPr>
    </w:p>
    <w:p w14:paraId="148912FA" w14:textId="77777777" w:rsidR="00371746" w:rsidRPr="003B4362" w:rsidRDefault="00371746" w:rsidP="00371746">
      <w:pPr>
        <w:suppressAutoHyphens/>
        <w:ind w:left="1440"/>
        <w:rPr>
          <w:spacing w:val="-3"/>
        </w:rPr>
      </w:pPr>
      <w:r w:rsidRPr="003B4362">
        <w:rPr>
          <w:spacing w:val="-3"/>
        </w:rPr>
        <w:t>“mg” means milligrams (1/1000 of a gram).</w:t>
      </w:r>
    </w:p>
    <w:p w14:paraId="69A9AC94" w14:textId="77777777" w:rsidR="00371746" w:rsidRPr="003B4362" w:rsidRDefault="00371746" w:rsidP="00371746">
      <w:pPr>
        <w:suppressAutoHyphens/>
        <w:ind w:left="1440"/>
        <w:rPr>
          <w:spacing w:val="-3"/>
        </w:rPr>
      </w:pPr>
    </w:p>
    <w:p w14:paraId="2D4E869A" w14:textId="77777777" w:rsidR="00371746" w:rsidRPr="003B4362" w:rsidRDefault="00371746" w:rsidP="00371746">
      <w:pPr>
        <w:suppressAutoHyphens/>
        <w:ind w:left="1440"/>
        <w:rPr>
          <w:spacing w:val="-3"/>
        </w:rPr>
      </w:pPr>
      <w:r w:rsidRPr="003B4362">
        <w:rPr>
          <w:spacing w:val="-3"/>
        </w:rPr>
        <w:t>“µg” means micrograms (1/1,000,000 of a gram).</w:t>
      </w:r>
    </w:p>
    <w:p w14:paraId="388E9DCF" w14:textId="77777777" w:rsidR="00371746" w:rsidRPr="003B4362" w:rsidRDefault="00371746" w:rsidP="00371746">
      <w:pPr>
        <w:suppressAutoHyphens/>
        <w:ind w:left="1440"/>
        <w:rPr>
          <w:spacing w:val="-3"/>
        </w:rPr>
      </w:pPr>
    </w:p>
    <w:p w14:paraId="5248DC33" w14:textId="77777777" w:rsidR="00371746" w:rsidRPr="003B4362" w:rsidRDefault="00371746" w:rsidP="00371746">
      <w:pPr>
        <w:suppressAutoHyphens/>
        <w:ind w:left="1440"/>
        <w:rPr>
          <w:spacing w:val="-3"/>
        </w:rPr>
      </w:pPr>
      <w:r w:rsidRPr="003B4362">
        <w:rPr>
          <w:spacing w:val="-3"/>
        </w:rPr>
        <w:t>“mg/</w:t>
      </w:r>
      <w:r w:rsidRPr="003B4362">
        <w:t>ℓ</w:t>
      </w:r>
      <w:r w:rsidRPr="003B4362">
        <w:rPr>
          <w:spacing w:val="-3"/>
        </w:rPr>
        <w:t>” or "mg/L" means milligrams per liter.</w:t>
      </w:r>
    </w:p>
    <w:p w14:paraId="50346DBD" w14:textId="77777777" w:rsidR="00371746" w:rsidRPr="003B4362" w:rsidRDefault="00371746" w:rsidP="00371746">
      <w:pPr>
        <w:suppressAutoHyphens/>
        <w:ind w:left="1440"/>
        <w:rPr>
          <w:spacing w:val="-3"/>
        </w:rPr>
      </w:pPr>
    </w:p>
    <w:p w14:paraId="0662C401" w14:textId="77777777" w:rsidR="00371746" w:rsidRPr="003B4362" w:rsidRDefault="00371746" w:rsidP="00371746">
      <w:pPr>
        <w:suppressAutoHyphens/>
        <w:ind w:left="1440"/>
        <w:rPr>
          <w:spacing w:val="-3"/>
        </w:rPr>
      </w:pPr>
      <w:r w:rsidRPr="003B4362">
        <w:rPr>
          <w:spacing w:val="-3"/>
        </w:rPr>
        <w:t>"µg/</w:t>
      </w:r>
      <w:r w:rsidRPr="003B4362">
        <w:t>ℓ"</w:t>
      </w:r>
      <w:r w:rsidRPr="003B4362">
        <w:rPr>
          <w:spacing w:val="-3"/>
        </w:rPr>
        <w:t xml:space="preserve"> or "µg/L" means micrograms per liter.</w:t>
      </w:r>
    </w:p>
    <w:p w14:paraId="160613C3" w14:textId="77777777" w:rsidR="00371746" w:rsidRPr="003B4362" w:rsidRDefault="00371746" w:rsidP="00371746">
      <w:pPr>
        <w:suppressAutoHyphens/>
        <w:ind w:left="1440"/>
        <w:rPr>
          <w:spacing w:val="-3"/>
        </w:rPr>
      </w:pPr>
    </w:p>
    <w:p w14:paraId="0230D891" w14:textId="2066440A" w:rsidR="00371746" w:rsidRPr="003B4362" w:rsidRDefault="00371746" w:rsidP="00371746">
      <w:pPr>
        <w:suppressAutoHyphens/>
        <w:ind w:left="1440"/>
        <w:rPr>
          <w:spacing w:val="-3"/>
        </w:rPr>
      </w:pPr>
      <w:r w:rsidRPr="003B4362">
        <w:rPr>
          <w:spacing w:val="-3"/>
        </w:rPr>
        <w:t xml:space="preserve">“Mixed system” means </w:t>
      </w:r>
      <w:bookmarkStart w:id="166" w:name="_Hlk132742134"/>
      <w:r w:rsidRPr="003B4362">
        <w:rPr>
          <w:spacing w:val="-3"/>
        </w:rPr>
        <w:t xml:space="preserve">a PWS </w:t>
      </w:r>
      <w:r w:rsidRPr="003B4362">
        <w:t xml:space="preserve">using </w:t>
      </w:r>
      <w:r w:rsidRPr="003B4362">
        <w:rPr>
          <w:spacing w:val="-3"/>
        </w:rPr>
        <w:t>both</w:t>
      </w:r>
      <w:bookmarkEnd w:id="166"/>
      <w:r w:rsidRPr="003B4362">
        <w:rPr>
          <w:spacing w:val="-3"/>
        </w:rPr>
        <w:t xml:space="preserve"> groundwater and surface water sources.</w:t>
      </w:r>
    </w:p>
    <w:p w14:paraId="26F0D30C" w14:textId="6D322DFE" w:rsidR="00371746" w:rsidRPr="003B4362" w:rsidRDefault="00371746" w:rsidP="00371746">
      <w:pPr>
        <w:suppressAutoHyphens/>
        <w:ind w:left="1440"/>
      </w:pPr>
      <w:r w:rsidRPr="003B4362">
        <w:t xml:space="preserve">BOARD NOTE:  Derived from </w:t>
      </w:r>
      <w:bookmarkStart w:id="167" w:name="_Hlk129182245"/>
      <w:r w:rsidRPr="003B4362">
        <w:t xml:space="preserve">40 CFR 141.400(b) </w:t>
      </w:r>
      <w:bookmarkEnd w:id="167"/>
      <w:r w:rsidRPr="003B4362">
        <w:t>.</w:t>
      </w:r>
    </w:p>
    <w:p w14:paraId="7FDD38D1" w14:textId="77777777" w:rsidR="00371746" w:rsidRPr="003B4362" w:rsidRDefault="00371746" w:rsidP="00371746">
      <w:pPr>
        <w:ind w:left="1440"/>
      </w:pPr>
    </w:p>
    <w:p w14:paraId="64D9A960" w14:textId="77777777" w:rsidR="00371746" w:rsidRPr="003B4362" w:rsidRDefault="00371746" w:rsidP="00371746">
      <w:pPr>
        <w:ind w:left="1440"/>
      </w:pPr>
      <w:r w:rsidRPr="003B4362">
        <w:t>“MUG” means 4-methyl-umbelliferyl-beta-d-glucuronide (IUPAC name:  (2S,3S,4S,5R,6S)-3,4,5-trihydroxy-6-((4-methyl-2-oxo-2Hchromen-7-yl)oxy)tetrahydro-2H-pyran-2-caboxylic acid; CAS no. 881005-91-0).</w:t>
      </w:r>
    </w:p>
    <w:p w14:paraId="0D43C708" w14:textId="77777777" w:rsidR="00371746" w:rsidRPr="003B4362" w:rsidRDefault="00371746" w:rsidP="00371746">
      <w:pPr>
        <w:suppressAutoHyphens/>
        <w:ind w:left="1440"/>
        <w:rPr>
          <w:spacing w:val="-3"/>
        </w:rPr>
      </w:pPr>
    </w:p>
    <w:p w14:paraId="7C373ABF" w14:textId="41D564E3" w:rsidR="00371746" w:rsidRPr="003B4362" w:rsidRDefault="00371746" w:rsidP="00371746">
      <w:pPr>
        <w:suppressAutoHyphens/>
        <w:ind w:left="1440"/>
        <w:rPr>
          <w:spacing w:val="-3"/>
        </w:rPr>
      </w:pPr>
      <w:r w:rsidRPr="003B4362">
        <w:rPr>
          <w:spacing w:val="-3"/>
        </w:rPr>
        <w:t>“Near the first service connection” means at one of the 20 percent of all service connections in the entire system that are nearest the PWS treatment facility, as measured by water transport time within the distribution system.</w:t>
      </w:r>
    </w:p>
    <w:p w14:paraId="6DD59E1B" w14:textId="77777777" w:rsidR="00371746" w:rsidRPr="003B4362" w:rsidRDefault="00371746" w:rsidP="00371746">
      <w:pPr>
        <w:suppressAutoHyphens/>
        <w:ind w:left="1440"/>
        <w:rPr>
          <w:spacing w:val="-3"/>
        </w:rPr>
      </w:pPr>
    </w:p>
    <w:p w14:paraId="371F613A" w14:textId="77777777" w:rsidR="00371746" w:rsidRPr="003B4362" w:rsidRDefault="00371746" w:rsidP="00371746">
      <w:pPr>
        <w:suppressAutoHyphens/>
        <w:ind w:left="1440"/>
        <w:rPr>
          <w:spacing w:val="-3"/>
        </w:rPr>
      </w:pPr>
      <w:r w:rsidRPr="003B4362">
        <w:rPr>
          <w:spacing w:val="-3"/>
        </w:rPr>
        <w:t>“nm” means nanometer (1/1,000,000,000 of a meter).</w:t>
      </w:r>
    </w:p>
    <w:p w14:paraId="49E1CBCE" w14:textId="77777777" w:rsidR="00371746" w:rsidRPr="003B4362" w:rsidRDefault="00371746" w:rsidP="00371746">
      <w:pPr>
        <w:suppressAutoHyphens/>
        <w:ind w:left="1440"/>
        <w:rPr>
          <w:spacing w:val="-3"/>
        </w:rPr>
      </w:pPr>
    </w:p>
    <w:p w14:paraId="76548097" w14:textId="1B5CD0E7" w:rsidR="00371746" w:rsidRPr="003B4362" w:rsidRDefault="00371746" w:rsidP="00371746">
      <w:pPr>
        <w:suppressAutoHyphens/>
        <w:ind w:left="1440"/>
        <w:rPr>
          <w:spacing w:val="-3"/>
        </w:rPr>
      </w:pPr>
      <w:r w:rsidRPr="003B4362">
        <w:rPr>
          <w:spacing w:val="-3"/>
        </w:rPr>
        <w:t xml:space="preserve">“Non-community water system” or “NCWS” or “non-CWS” means a PWS that is not a </w:t>
      </w:r>
      <w:bookmarkStart w:id="168" w:name="_Hlk129196943"/>
      <w:r w:rsidRPr="003B4362">
        <w:rPr>
          <w:spacing w:val="-3"/>
        </w:rPr>
        <w:t>CWS</w:t>
      </w:r>
      <w:bookmarkEnd w:id="168"/>
      <w:r w:rsidRPr="003B4362">
        <w:rPr>
          <w:spacing w:val="-3"/>
        </w:rPr>
        <w:t xml:space="preserve">.  </w:t>
      </w:r>
      <w:r w:rsidRPr="003B4362">
        <w:t>A non-CWS is either a “transient non-community water system (TWS)” or NTNCWS.</w:t>
      </w:r>
    </w:p>
    <w:p w14:paraId="22D60A22" w14:textId="77777777" w:rsidR="00371746" w:rsidRPr="003B4362" w:rsidRDefault="00371746" w:rsidP="00371746">
      <w:pPr>
        <w:suppressAutoHyphens/>
        <w:ind w:left="1440"/>
        <w:rPr>
          <w:spacing w:val="-3"/>
        </w:rPr>
      </w:pPr>
    </w:p>
    <w:p w14:paraId="084F75C6" w14:textId="783290D6" w:rsidR="00371746" w:rsidRPr="003B4362" w:rsidRDefault="00371746" w:rsidP="00371746">
      <w:pPr>
        <w:suppressAutoHyphens/>
        <w:ind w:left="1440"/>
        <w:rPr>
          <w:spacing w:val="-3"/>
        </w:rPr>
      </w:pPr>
      <w:r w:rsidRPr="003B4362">
        <w:rPr>
          <w:spacing w:val="-3"/>
        </w:rPr>
        <w:t>“Non-transient, non-community water system” or “NTNCWS” means a PWS that is not a CWS and that regularly serves at least 25 of the same persons over six months per year.</w:t>
      </w:r>
    </w:p>
    <w:p w14:paraId="6B65E1FA" w14:textId="77777777" w:rsidR="00371746" w:rsidRPr="003B4362" w:rsidRDefault="00371746" w:rsidP="00371746">
      <w:pPr>
        <w:ind w:left="1440"/>
      </w:pPr>
    </w:p>
    <w:p w14:paraId="3E9B24BD" w14:textId="77777777" w:rsidR="00371746" w:rsidRPr="003B4362" w:rsidRDefault="00371746" w:rsidP="00371746">
      <w:pPr>
        <w:ind w:left="1440"/>
      </w:pPr>
      <w:r w:rsidRPr="003B4362">
        <w:t>“NPDWR” means “national primary drinking water regulation”.</w:t>
      </w:r>
    </w:p>
    <w:p w14:paraId="60DD364F" w14:textId="77777777" w:rsidR="00371746" w:rsidRPr="003B4362" w:rsidRDefault="00371746" w:rsidP="00371746">
      <w:pPr>
        <w:ind w:left="1440"/>
      </w:pPr>
    </w:p>
    <w:p w14:paraId="217951C3" w14:textId="77777777" w:rsidR="00371746" w:rsidRPr="003B4362" w:rsidRDefault="00371746" w:rsidP="00371746">
      <w:pPr>
        <w:ind w:left="1440"/>
      </w:pPr>
      <w:r w:rsidRPr="003B4362">
        <w:t>“NTU” means “nephelometric turbidity units”.</w:t>
      </w:r>
    </w:p>
    <w:p w14:paraId="04770D05" w14:textId="46EB4A7E" w:rsidR="00371746" w:rsidRPr="003B4362" w:rsidRDefault="00371746" w:rsidP="00371746">
      <w:pPr>
        <w:suppressAutoHyphens/>
        <w:ind w:left="1440"/>
        <w:rPr>
          <w:spacing w:val="-3"/>
        </w:rPr>
      </w:pPr>
    </w:p>
    <w:p w14:paraId="663B204D" w14:textId="77777777" w:rsidR="00371746" w:rsidRPr="003B4362" w:rsidRDefault="00371746" w:rsidP="00371746">
      <w:pPr>
        <w:ind w:left="1440"/>
      </w:pPr>
    </w:p>
    <w:p w14:paraId="05531F9D" w14:textId="77777777" w:rsidR="00371746" w:rsidRPr="003B4362" w:rsidRDefault="00371746" w:rsidP="00371746">
      <w:pPr>
        <w:ind w:left="1440"/>
      </w:pPr>
      <w:r w:rsidRPr="003B4362">
        <w:t>“P-A Coliform Test” means “Presence-Absence Coliform Test”.</w:t>
      </w:r>
    </w:p>
    <w:p w14:paraId="60F08441" w14:textId="77777777" w:rsidR="00371746" w:rsidRPr="003B4362" w:rsidRDefault="00371746" w:rsidP="00371746">
      <w:pPr>
        <w:suppressAutoHyphens/>
        <w:ind w:left="1440"/>
      </w:pPr>
    </w:p>
    <w:p w14:paraId="060E90A0" w14:textId="5097A8AF" w:rsidR="00371746" w:rsidRPr="003B4362" w:rsidRDefault="00371746" w:rsidP="00371746">
      <w:pPr>
        <w:suppressAutoHyphens/>
        <w:ind w:left="1440"/>
        <w:rPr>
          <w:spacing w:val="-3"/>
        </w:rPr>
      </w:pPr>
      <w:r w:rsidRPr="003B4362">
        <w:t xml:space="preserve">“Paired sample” means two samples of water for </w:t>
      </w:r>
      <w:bookmarkStart w:id="169" w:name="_Hlk129189154"/>
      <w:r w:rsidRPr="003B4362">
        <w:t xml:space="preserve">total organic carbon </w:t>
      </w:r>
      <w:bookmarkEnd w:id="169"/>
      <w:r w:rsidRPr="003B4362">
        <w:t xml:space="preserve">(TOC).  </w:t>
      </w:r>
      <w:r w:rsidRPr="003B4362">
        <w:rPr>
          <w:spacing w:val="-2"/>
        </w:rPr>
        <w:t xml:space="preserve">One </w:t>
      </w:r>
      <w:bookmarkStart w:id="170" w:name="_Hlk129189225"/>
      <w:r w:rsidRPr="003B4362">
        <w:rPr>
          <w:spacing w:val="-2"/>
        </w:rPr>
        <w:t>sample is of raw water the supplier takes prior to</w:t>
      </w:r>
      <w:bookmarkEnd w:id="170"/>
      <w:r w:rsidRPr="003B4362">
        <w:rPr>
          <w:spacing w:val="-2"/>
        </w:rPr>
        <w:t xml:space="preserve"> any treatment.  T</w:t>
      </w:r>
      <w:bookmarkStart w:id="171" w:name="_Hlk129189278"/>
      <w:r w:rsidRPr="003B4362">
        <w:rPr>
          <w:spacing w:val="-2"/>
        </w:rPr>
        <w:t xml:space="preserve">he supplier takes the other </w:t>
      </w:r>
      <w:r w:rsidRPr="003B4362">
        <w:t xml:space="preserve">sample </w:t>
      </w:r>
      <w:bookmarkStart w:id="172" w:name="_Hlk129189371"/>
      <w:bookmarkEnd w:id="171"/>
      <w:r w:rsidRPr="003B4362">
        <w:t xml:space="preserve">after the </w:t>
      </w:r>
      <w:r w:rsidRPr="003B4362">
        <w:rPr>
          <w:spacing w:val="-2"/>
        </w:rPr>
        <w:t>point of combined filter effluent representative of the treated water</w:t>
      </w:r>
      <w:bookmarkEnd w:id="172"/>
      <w:r w:rsidRPr="003B4362">
        <w:rPr>
          <w:spacing w:val="-2"/>
        </w:rPr>
        <w:t>.  T</w:t>
      </w:r>
      <w:bookmarkStart w:id="173" w:name="_Hlk129189419"/>
      <w:r w:rsidRPr="003B4362">
        <w:rPr>
          <w:spacing w:val="-2"/>
        </w:rPr>
        <w:t xml:space="preserve">he supplier takes these samples </w:t>
      </w:r>
      <w:bookmarkEnd w:id="173"/>
      <w:r w:rsidRPr="003B4362">
        <w:rPr>
          <w:spacing w:val="-2"/>
        </w:rPr>
        <w:t xml:space="preserve">at the same time.  </w:t>
      </w:r>
      <w:r w:rsidRPr="003B4362">
        <w:t>(</w:t>
      </w:r>
      <w:r w:rsidRPr="003B4362">
        <w:rPr>
          <w:spacing w:val="-2"/>
        </w:rPr>
        <w:t>See Section 611.382.</w:t>
      </w:r>
      <w:r w:rsidRPr="003B4362">
        <w:t>)</w:t>
      </w:r>
    </w:p>
    <w:p w14:paraId="77CF09E3" w14:textId="77777777" w:rsidR="00371746" w:rsidRPr="003B4362" w:rsidRDefault="00371746" w:rsidP="00371746">
      <w:pPr>
        <w:suppressAutoHyphens/>
        <w:ind w:left="1440"/>
        <w:rPr>
          <w:spacing w:val="-3"/>
        </w:rPr>
      </w:pPr>
    </w:p>
    <w:p w14:paraId="5CBB3968" w14:textId="4DDBCF90" w:rsidR="00371746" w:rsidRPr="003B4362" w:rsidRDefault="00371746" w:rsidP="00371746">
      <w:pPr>
        <w:suppressAutoHyphens/>
        <w:ind w:left="1440"/>
        <w:rPr>
          <w:spacing w:val="-3"/>
        </w:rPr>
      </w:pPr>
      <w:r w:rsidRPr="003B4362">
        <w:rPr>
          <w:spacing w:val="-3"/>
        </w:rPr>
        <w:t xml:space="preserve">“Performance evaluation sample” or “PE sample” means a reference </w:t>
      </w:r>
      <w:bookmarkStart w:id="174" w:name="_Hlk129189535"/>
      <w:r w:rsidRPr="003B4362">
        <w:rPr>
          <w:spacing w:val="-3"/>
        </w:rPr>
        <w:t>sample the Agency provides a laboratory</w:t>
      </w:r>
      <w:bookmarkEnd w:id="174"/>
      <w:r w:rsidRPr="003B4362">
        <w:rPr>
          <w:spacing w:val="-3"/>
        </w:rPr>
        <w:t xml:space="preserve"> </w:t>
      </w:r>
      <w:bookmarkStart w:id="175" w:name="_Hlk129189587"/>
      <w:r w:rsidRPr="003B4362">
        <w:rPr>
          <w:spacing w:val="-3"/>
        </w:rPr>
        <w:t>for demonstrating</w:t>
      </w:r>
      <w:bookmarkEnd w:id="175"/>
      <w:r w:rsidRPr="003B4362">
        <w:rPr>
          <w:spacing w:val="-3"/>
        </w:rPr>
        <w:t xml:space="preserve"> that the laboratory can successfully analyze the sample within </w:t>
      </w:r>
      <w:bookmarkStart w:id="176" w:name="_Hlk129189641"/>
      <w:r w:rsidRPr="003B4362">
        <w:rPr>
          <w:spacing w:val="-3"/>
        </w:rPr>
        <w:t>limits of performance the Agency specifies</w:t>
      </w:r>
      <w:bookmarkEnd w:id="176"/>
      <w:r w:rsidRPr="003B4362">
        <w:rPr>
          <w:spacing w:val="-3"/>
        </w:rPr>
        <w:t xml:space="preserve">.  For bacteriological laboratories, Public Health provides the sample.  For radiological laboratories, the </w:t>
      </w:r>
      <w:bookmarkStart w:id="177" w:name="_Hlk129189859"/>
      <w:r w:rsidRPr="003B4362">
        <w:rPr>
          <w:spacing w:val="-3"/>
        </w:rPr>
        <w:t>Illinois Emergency Management Agency</w:t>
      </w:r>
      <w:bookmarkEnd w:id="177"/>
      <w:r w:rsidRPr="003B4362">
        <w:rPr>
          <w:spacing w:val="-3"/>
        </w:rPr>
        <w:t xml:space="preserve"> provides the sample.  T</w:t>
      </w:r>
      <w:bookmarkStart w:id="178" w:name="_Hlk129189936"/>
      <w:r w:rsidRPr="003B4362">
        <w:rPr>
          <w:spacing w:val="-3"/>
        </w:rPr>
        <w:t xml:space="preserve">he laboratory does not know the true value of the concentration of the reference material </w:t>
      </w:r>
      <w:bookmarkEnd w:id="178"/>
      <w:r w:rsidRPr="003B4362">
        <w:rPr>
          <w:spacing w:val="-3"/>
        </w:rPr>
        <w:t>at the time of analysis.</w:t>
      </w:r>
    </w:p>
    <w:p w14:paraId="15963302" w14:textId="77777777" w:rsidR="00371746" w:rsidRPr="003B4362" w:rsidRDefault="00371746" w:rsidP="00371746">
      <w:pPr>
        <w:suppressAutoHyphens/>
        <w:ind w:left="1440"/>
        <w:rPr>
          <w:spacing w:val="-3"/>
        </w:rPr>
      </w:pPr>
    </w:p>
    <w:p w14:paraId="3E2FA09A" w14:textId="77777777" w:rsidR="00371746" w:rsidRPr="003B4362" w:rsidRDefault="00371746" w:rsidP="00371746">
      <w:pPr>
        <w:suppressAutoHyphens/>
        <w:ind w:left="1440"/>
        <w:rPr>
          <w:spacing w:val="-3"/>
        </w:rPr>
      </w:pPr>
      <w:r w:rsidRPr="003B4362">
        <w:rPr>
          <w:spacing w:val="-3"/>
        </w:rPr>
        <w:lastRenderedPageBreak/>
        <w:t>“Person” means an individual, corporation, company, association, partnership, state, unit of local government</w:t>
      </w:r>
      <w:r w:rsidRPr="003B4362">
        <w:t>, or</w:t>
      </w:r>
      <w:r w:rsidRPr="003B4362">
        <w:rPr>
          <w:spacing w:val="-3"/>
        </w:rPr>
        <w:t xml:space="preserve"> federal agency.</w:t>
      </w:r>
    </w:p>
    <w:p w14:paraId="44311BB9" w14:textId="77777777" w:rsidR="00371746" w:rsidRPr="003B4362" w:rsidRDefault="00371746" w:rsidP="00371746">
      <w:pPr>
        <w:suppressAutoHyphens/>
        <w:ind w:left="1440"/>
        <w:rPr>
          <w:spacing w:val="-3"/>
        </w:rPr>
      </w:pPr>
    </w:p>
    <w:p w14:paraId="2B0151A3" w14:textId="77777777" w:rsidR="00371746" w:rsidRPr="003B4362" w:rsidRDefault="00371746" w:rsidP="00371746">
      <w:pPr>
        <w:suppressAutoHyphens/>
        <w:ind w:left="1440"/>
        <w:rPr>
          <w:spacing w:val="-3"/>
        </w:rPr>
      </w:pPr>
      <w:r w:rsidRPr="003B4362">
        <w:rPr>
          <w:spacing w:val="-3"/>
        </w:rPr>
        <w:t>“Phase I” refers to that group of chemical contaminants and the accompanying regulations promulgated by USEPA on July 8, 1987, at 52 Fed. Reg. 25712.</w:t>
      </w:r>
    </w:p>
    <w:p w14:paraId="6CA5B45A" w14:textId="77777777" w:rsidR="00371746" w:rsidRPr="003B4362" w:rsidRDefault="00371746" w:rsidP="00371746">
      <w:pPr>
        <w:suppressAutoHyphens/>
        <w:ind w:left="1440"/>
        <w:rPr>
          <w:spacing w:val="-3"/>
        </w:rPr>
      </w:pPr>
    </w:p>
    <w:p w14:paraId="2C04CE3E" w14:textId="77777777" w:rsidR="00371746" w:rsidRPr="003B4362" w:rsidRDefault="00371746" w:rsidP="00371746">
      <w:pPr>
        <w:suppressAutoHyphens/>
        <w:ind w:left="1440"/>
        <w:rPr>
          <w:spacing w:val="-3"/>
        </w:rPr>
      </w:pPr>
      <w:r w:rsidRPr="003B4362">
        <w:rPr>
          <w:spacing w:val="-3"/>
        </w:rPr>
        <w:t>“Phase II” refers to that group of chemical contaminants and the accompanying regulations promulgated by USEPA on January 30, 1991, at 56 Fed. Reg. 3578.</w:t>
      </w:r>
    </w:p>
    <w:p w14:paraId="4F68E994" w14:textId="77777777" w:rsidR="00371746" w:rsidRPr="003B4362" w:rsidRDefault="00371746" w:rsidP="00371746">
      <w:pPr>
        <w:suppressAutoHyphens/>
        <w:ind w:left="1440"/>
        <w:rPr>
          <w:spacing w:val="-3"/>
        </w:rPr>
      </w:pPr>
    </w:p>
    <w:p w14:paraId="06D5B06E" w14:textId="77777777" w:rsidR="00371746" w:rsidRPr="003B4362" w:rsidRDefault="00371746" w:rsidP="00371746">
      <w:pPr>
        <w:suppressAutoHyphens/>
        <w:ind w:left="1440"/>
        <w:rPr>
          <w:spacing w:val="-3"/>
        </w:rPr>
      </w:pPr>
      <w:r w:rsidRPr="003B4362">
        <w:rPr>
          <w:spacing w:val="-3"/>
        </w:rPr>
        <w:t>“Phase IIB” refers to that group of chemical contaminants and the accompanying regulations promulgated by USEPA on July 1, 1991, at 56 Fed. Reg. 30266.</w:t>
      </w:r>
    </w:p>
    <w:p w14:paraId="4EDE2162" w14:textId="77777777" w:rsidR="00371746" w:rsidRPr="003B4362" w:rsidRDefault="00371746" w:rsidP="00371746">
      <w:pPr>
        <w:suppressAutoHyphens/>
        <w:ind w:left="1440"/>
        <w:rPr>
          <w:spacing w:val="-3"/>
        </w:rPr>
      </w:pPr>
    </w:p>
    <w:p w14:paraId="3AB399FF" w14:textId="77777777" w:rsidR="00371746" w:rsidRPr="003B4362" w:rsidRDefault="00371746" w:rsidP="00371746">
      <w:pPr>
        <w:suppressAutoHyphens/>
        <w:ind w:left="1440"/>
        <w:rPr>
          <w:spacing w:val="-3"/>
        </w:rPr>
      </w:pPr>
      <w:r w:rsidRPr="003B4362">
        <w:rPr>
          <w:spacing w:val="-3"/>
        </w:rPr>
        <w:t>“Phase V” refers to that group of chemical contaminants promulgated by USEPA on July 17, 1992, at 57 Fed. Reg. 31776.</w:t>
      </w:r>
    </w:p>
    <w:p w14:paraId="1727ACF9" w14:textId="77777777" w:rsidR="00371746" w:rsidRPr="003B4362" w:rsidRDefault="00371746" w:rsidP="00371746">
      <w:pPr>
        <w:suppressAutoHyphens/>
        <w:ind w:left="1440"/>
        <w:rPr>
          <w:spacing w:val="-3"/>
        </w:rPr>
      </w:pPr>
    </w:p>
    <w:p w14:paraId="68237E0F" w14:textId="77777777" w:rsidR="00371746" w:rsidRPr="003B4362" w:rsidRDefault="00371746" w:rsidP="00371746">
      <w:pPr>
        <w:suppressAutoHyphens/>
        <w:ind w:left="1440"/>
        <w:rPr>
          <w:spacing w:val="-3"/>
        </w:rPr>
      </w:pPr>
      <w:r w:rsidRPr="003B4362">
        <w:rPr>
          <w:spacing w:val="-3"/>
        </w:rPr>
        <w:t>“Picocurie” or “pCi” means the quantity of radioactive material producing 2.22 nuclear transformations per minute.</w:t>
      </w:r>
    </w:p>
    <w:p w14:paraId="34A7E8BB" w14:textId="77777777" w:rsidR="00371746" w:rsidRPr="003B4362" w:rsidRDefault="00371746" w:rsidP="00371746">
      <w:pPr>
        <w:ind w:left="1440"/>
      </w:pPr>
    </w:p>
    <w:p w14:paraId="28981B43" w14:textId="0FC7CC7F" w:rsidR="00371746" w:rsidRPr="003B4362" w:rsidRDefault="00371746" w:rsidP="00371746">
      <w:pPr>
        <w:ind w:left="1440"/>
      </w:pPr>
      <w:r w:rsidRPr="003B4362">
        <w:t xml:space="preserve">“Plant intake” means the works or structures at the head of </w:t>
      </w:r>
      <w:bookmarkStart w:id="179" w:name="_Hlk129190443"/>
      <w:r w:rsidRPr="003B4362">
        <w:t xml:space="preserve">a conduit diverting water </w:t>
      </w:r>
      <w:bookmarkEnd w:id="179"/>
      <w:r w:rsidRPr="003B4362">
        <w:t>from a source (e.g., a river or lake) into the treatment plant.</w:t>
      </w:r>
    </w:p>
    <w:p w14:paraId="6E5A9E32" w14:textId="77777777" w:rsidR="00371746" w:rsidRPr="003B4362" w:rsidRDefault="00371746" w:rsidP="00371746">
      <w:pPr>
        <w:suppressAutoHyphens/>
        <w:ind w:left="1440"/>
        <w:rPr>
          <w:spacing w:val="-3"/>
        </w:rPr>
      </w:pPr>
    </w:p>
    <w:p w14:paraId="2573E199" w14:textId="18371EDC" w:rsidR="00371746" w:rsidRPr="003B4362" w:rsidRDefault="00371746" w:rsidP="00371746">
      <w:pPr>
        <w:suppressAutoHyphens/>
        <w:ind w:left="1440"/>
        <w:rPr>
          <w:spacing w:val="-3"/>
        </w:rPr>
      </w:pPr>
      <w:r w:rsidRPr="003B4362">
        <w:rPr>
          <w:spacing w:val="-3"/>
        </w:rPr>
        <w:t xml:space="preserve">“Point of disinfectant application” is </w:t>
      </w:r>
      <w:bookmarkStart w:id="180" w:name="_Hlk129190522"/>
      <w:r w:rsidRPr="003B4362">
        <w:rPr>
          <w:spacing w:val="-3"/>
        </w:rPr>
        <w:t xml:space="preserve">the point where a supplier applies the disinfectant </w:t>
      </w:r>
      <w:bookmarkEnd w:id="180"/>
      <w:r w:rsidRPr="003B4362">
        <w:rPr>
          <w:spacing w:val="-3"/>
        </w:rPr>
        <w:t xml:space="preserve">and </w:t>
      </w:r>
      <w:bookmarkStart w:id="181" w:name="_Hlk129190678"/>
      <w:r w:rsidRPr="003B4362">
        <w:rPr>
          <w:spacing w:val="-3"/>
        </w:rPr>
        <w:t>downstream of where the water is not subject to recontamination</w:t>
      </w:r>
      <w:bookmarkEnd w:id="181"/>
      <w:r w:rsidRPr="003B4362">
        <w:rPr>
          <w:spacing w:val="-3"/>
        </w:rPr>
        <w:t xml:space="preserve"> by surface water runoff.</w:t>
      </w:r>
    </w:p>
    <w:p w14:paraId="69A260C1" w14:textId="77777777" w:rsidR="00371746" w:rsidRPr="003B4362" w:rsidRDefault="00371746" w:rsidP="00371746">
      <w:pPr>
        <w:suppressAutoHyphens/>
        <w:ind w:left="1440"/>
        <w:rPr>
          <w:spacing w:val="-3"/>
        </w:rPr>
      </w:pPr>
    </w:p>
    <w:p w14:paraId="1566B278" w14:textId="42D91E82" w:rsidR="00371746" w:rsidRPr="003B4362" w:rsidRDefault="00371746" w:rsidP="00371746">
      <w:pPr>
        <w:suppressAutoHyphens/>
        <w:ind w:left="1440"/>
        <w:rPr>
          <w:spacing w:val="-3"/>
        </w:rPr>
      </w:pPr>
      <w:r w:rsidRPr="003B4362">
        <w:rPr>
          <w:spacing w:val="-3"/>
        </w:rPr>
        <w:t>“Point-of-entry treatment device” or “POE device” is a treatment device a consumer applies to the drinking water entering a house or building to reduce contaminants in the drinking water distributed throughout the house or building.</w:t>
      </w:r>
    </w:p>
    <w:p w14:paraId="1FD95DB8" w14:textId="77777777" w:rsidR="00371746" w:rsidRPr="003B4362" w:rsidRDefault="00371746" w:rsidP="00371746">
      <w:pPr>
        <w:suppressAutoHyphens/>
        <w:ind w:left="1440"/>
        <w:rPr>
          <w:spacing w:val="-3"/>
        </w:rPr>
      </w:pPr>
      <w:bookmarkStart w:id="182" w:name="_Hlk116419585"/>
    </w:p>
    <w:p w14:paraId="70ED1131" w14:textId="1A5E3330" w:rsidR="00371746" w:rsidRPr="003B4362" w:rsidRDefault="00371746" w:rsidP="00371746">
      <w:pPr>
        <w:suppressAutoHyphens/>
        <w:ind w:left="1440"/>
        <w:rPr>
          <w:spacing w:val="-3"/>
        </w:rPr>
      </w:pPr>
      <w:r w:rsidRPr="003B4362">
        <w:rPr>
          <w:spacing w:val="-3"/>
        </w:rPr>
        <w:t>“Point-of-use treatment device”, “point-of-use device”, or “POU”</w:t>
      </w:r>
      <w:bookmarkEnd w:id="182"/>
      <w:r w:rsidRPr="003B4362">
        <w:rPr>
          <w:spacing w:val="-3"/>
        </w:rPr>
        <w:t xml:space="preserve"> is a </w:t>
      </w:r>
      <w:bookmarkStart w:id="183" w:name="_Hlk112064111"/>
      <w:r w:rsidRPr="003B4362">
        <w:rPr>
          <w:szCs w:val="24"/>
        </w:rPr>
        <w:t xml:space="preserve">water </w:t>
      </w:r>
      <w:bookmarkEnd w:id="183"/>
      <w:r w:rsidRPr="003B4362">
        <w:rPr>
          <w:spacing w:val="-3"/>
        </w:rPr>
        <w:t>treatment device a consumer applies to a single tap to reduce contaminants in drinking water at that tap.</w:t>
      </w:r>
      <w:r w:rsidRPr="003B4362">
        <w:rPr>
          <w:szCs w:val="24"/>
        </w:rPr>
        <w:t xml:space="preserve">  Under Subpart G, a manufacturer, importer, or accredited third-party certifying body must certify a POU device as complying with NSF/ANSI 53 or 58 as in effect on the date of manufacture or import to satisfy the rule.</w:t>
      </w:r>
    </w:p>
    <w:p w14:paraId="51B96B3A" w14:textId="77777777" w:rsidR="00371746" w:rsidRPr="003B4362" w:rsidRDefault="00371746" w:rsidP="00371746">
      <w:pPr>
        <w:autoSpaceDE w:val="0"/>
        <w:autoSpaceDN w:val="0"/>
        <w:adjustRightInd w:val="0"/>
        <w:ind w:left="1440"/>
        <w:rPr>
          <w:szCs w:val="24"/>
        </w:rPr>
      </w:pPr>
      <w:bookmarkStart w:id="184" w:name="_Hlk112068422"/>
      <w:r w:rsidRPr="003B4362">
        <w:rPr>
          <w:szCs w:val="24"/>
        </w:rPr>
        <w:t>BOARD NOTE:  NSF/ANSI 53 is the health-based standard for lead and several other contaminants for water filter devices, including tap filter-type treatment devices.  Identifying a device as certified under NSF/ANSI 53 at the time of purchase is possible.  NSF maintains an on-line list of certified devices at info.nsf.org/Certified/dwtu/listings_leadreduction.asp.  See the definition of “accredited third-party certifying body” in 35 Ill. Adm. Code 611.126(b) relating to NSF/ANSI 372.</w:t>
      </w:r>
      <w:bookmarkEnd w:id="184"/>
    </w:p>
    <w:p w14:paraId="51537599" w14:textId="77777777" w:rsidR="00371746" w:rsidRPr="003B4362" w:rsidRDefault="00371746" w:rsidP="00371746">
      <w:pPr>
        <w:ind w:left="1440"/>
      </w:pPr>
    </w:p>
    <w:p w14:paraId="09D34D25" w14:textId="2ADE6984" w:rsidR="00371746" w:rsidRPr="003B4362" w:rsidRDefault="00371746" w:rsidP="00371746">
      <w:pPr>
        <w:ind w:left="1440"/>
      </w:pPr>
      <w:r w:rsidRPr="003B4362">
        <w:t xml:space="preserve">“Presedimentation” means a preliminary treatment </w:t>
      </w:r>
      <w:bookmarkStart w:id="185" w:name="_Hlk129193309"/>
      <w:r w:rsidRPr="003B4362">
        <w:t>process a supplier uses to remove</w:t>
      </w:r>
      <w:bookmarkEnd w:id="185"/>
      <w:r w:rsidRPr="003B4362">
        <w:t xml:space="preserve"> gravel, sand, and other particulate material from the source water through </w:t>
      </w:r>
      <w:r w:rsidRPr="003B4362">
        <w:lastRenderedPageBreak/>
        <w:t>settling before the water enters the primary clarification and filtration processes in a treatment plant.</w:t>
      </w:r>
    </w:p>
    <w:p w14:paraId="0A4340C3" w14:textId="77777777" w:rsidR="00371746" w:rsidRPr="003B4362" w:rsidRDefault="00371746" w:rsidP="00371746">
      <w:pPr>
        <w:suppressAutoHyphens/>
        <w:ind w:left="1440"/>
        <w:rPr>
          <w:spacing w:val="-3"/>
        </w:rPr>
      </w:pPr>
    </w:p>
    <w:p w14:paraId="511834C8" w14:textId="77777777" w:rsidR="00371746" w:rsidRPr="003B4362" w:rsidRDefault="00371746" w:rsidP="00371746">
      <w:pPr>
        <w:suppressAutoHyphens/>
        <w:ind w:left="1440"/>
        <w:rPr>
          <w:spacing w:val="-3"/>
        </w:rPr>
      </w:pPr>
      <w:r w:rsidRPr="003B4362">
        <w:rPr>
          <w:spacing w:val="-3"/>
        </w:rPr>
        <w:t xml:space="preserve">“Public Health” </w:t>
      </w:r>
      <w:r w:rsidRPr="003B4362">
        <w:t xml:space="preserve">or “DPH” </w:t>
      </w:r>
      <w:r w:rsidRPr="003B4362">
        <w:rPr>
          <w:spacing w:val="-3"/>
        </w:rPr>
        <w:t>means the Illinois Department of Public Health.</w:t>
      </w:r>
    </w:p>
    <w:p w14:paraId="28ADC27C" w14:textId="77777777" w:rsidR="00371746" w:rsidRPr="003B4362" w:rsidRDefault="00371746" w:rsidP="00371746">
      <w:pPr>
        <w:suppressAutoHyphens/>
        <w:ind w:left="1440"/>
        <w:rPr>
          <w:spacing w:val="-3"/>
        </w:rPr>
      </w:pPr>
      <w:r w:rsidRPr="003B4362">
        <w:rPr>
          <w:spacing w:val="-3"/>
        </w:rPr>
        <w:t>BOARD NOTE:  See the definition of “Agency” in this Section.</w:t>
      </w:r>
    </w:p>
    <w:p w14:paraId="2D0AE31E" w14:textId="77777777" w:rsidR="00371746" w:rsidRPr="003B4362" w:rsidRDefault="00371746" w:rsidP="00371746">
      <w:pPr>
        <w:suppressAutoHyphens/>
        <w:ind w:left="1440"/>
        <w:rPr>
          <w:spacing w:val="-3"/>
        </w:rPr>
      </w:pPr>
    </w:p>
    <w:p w14:paraId="15B7C819" w14:textId="352D994E" w:rsidR="00371746" w:rsidRPr="003B4362" w:rsidRDefault="00371746" w:rsidP="00371746">
      <w:pPr>
        <w:suppressAutoHyphens/>
        <w:ind w:left="1440"/>
        <w:rPr>
          <w:spacing w:val="-3"/>
        </w:rPr>
      </w:pPr>
      <w:r w:rsidRPr="003B4362">
        <w:rPr>
          <w:spacing w:val="-3"/>
        </w:rPr>
        <w:t xml:space="preserve">“Public water system” or “PWS” means </w:t>
      </w:r>
      <w:bookmarkStart w:id="186" w:name="_Hlk129193394"/>
      <w:r w:rsidRPr="003B4362">
        <w:rPr>
          <w:spacing w:val="-3"/>
        </w:rPr>
        <w:t xml:space="preserve">a system providing water to the public </w:t>
      </w:r>
      <w:bookmarkEnd w:id="186"/>
      <w:r w:rsidRPr="003B4362">
        <w:rPr>
          <w:spacing w:val="-3"/>
        </w:rPr>
        <w:t>for human consumption</w:t>
      </w:r>
      <w:r w:rsidRPr="003B4362">
        <w:t xml:space="preserve"> through pipes or other constructed conveyances</w:t>
      </w:r>
      <w:r w:rsidRPr="003B4362">
        <w:rPr>
          <w:spacing w:val="-3"/>
        </w:rPr>
        <w:t xml:space="preserve"> </w:t>
      </w:r>
      <w:bookmarkStart w:id="187" w:name="_Hlk129193566"/>
      <w:r w:rsidRPr="003B4362">
        <w:rPr>
          <w:spacing w:val="-3"/>
        </w:rPr>
        <w:t>if the system</w:t>
      </w:r>
      <w:bookmarkEnd w:id="187"/>
      <w:r w:rsidRPr="003B4362">
        <w:rPr>
          <w:spacing w:val="-3"/>
        </w:rPr>
        <w:t xml:space="preserve"> has at least 15 service connections or regularly serves an average of at least 25 individuals daily at least 60 days out of the year.  A PWS is either a </w:t>
      </w:r>
      <w:bookmarkStart w:id="188" w:name="_Hlk129201758"/>
      <w:r w:rsidRPr="003B4362">
        <w:rPr>
          <w:spacing w:val="-3"/>
        </w:rPr>
        <w:t>CWS</w:t>
      </w:r>
      <w:bookmarkEnd w:id="188"/>
      <w:r w:rsidRPr="003B4362">
        <w:rPr>
          <w:spacing w:val="-3"/>
        </w:rPr>
        <w:t xml:space="preserve"> or </w:t>
      </w:r>
      <w:bookmarkStart w:id="189" w:name="_Hlk129201784"/>
      <w:r w:rsidRPr="003B4362">
        <w:rPr>
          <w:spacing w:val="-3"/>
        </w:rPr>
        <w:t>non-CWS</w:t>
      </w:r>
      <w:bookmarkEnd w:id="189"/>
      <w:r w:rsidRPr="003B4362">
        <w:rPr>
          <w:spacing w:val="-3"/>
        </w:rPr>
        <w:t xml:space="preserve">.  </w:t>
      </w:r>
      <w:r w:rsidRPr="003B4362">
        <w:rPr>
          <w:szCs w:val="16"/>
        </w:rPr>
        <w:t xml:space="preserve">A PWS </w:t>
      </w:r>
      <w:bookmarkStart w:id="190" w:name="_Hlk129193643"/>
      <w:r w:rsidRPr="003B4362">
        <w:rPr>
          <w:szCs w:val="16"/>
        </w:rPr>
        <w:t>does not include any special irrigation district</w:t>
      </w:r>
      <w:bookmarkEnd w:id="190"/>
      <w:r w:rsidRPr="003B4362">
        <w:t>.</w:t>
      </w:r>
      <w:r w:rsidRPr="003B4362">
        <w:rPr>
          <w:szCs w:val="16"/>
        </w:rPr>
        <w:t xml:space="preserve">  </w:t>
      </w:r>
      <w:bookmarkStart w:id="191" w:name="_Hlk129193721"/>
      <w:r w:rsidRPr="003B4362">
        <w:rPr>
          <w:szCs w:val="16"/>
        </w:rPr>
        <w:t xml:space="preserve">“PWS” </w:t>
      </w:r>
      <w:r w:rsidRPr="003B4362">
        <w:rPr>
          <w:spacing w:val="-3"/>
        </w:rPr>
        <w:t>includes certain facilities</w:t>
      </w:r>
      <w:bookmarkEnd w:id="191"/>
      <w:r w:rsidRPr="003B4362">
        <w:rPr>
          <w:spacing w:val="-3"/>
        </w:rPr>
        <w:t>:</w:t>
      </w:r>
    </w:p>
    <w:p w14:paraId="46842486" w14:textId="77777777" w:rsidR="00371746" w:rsidRPr="003B4362" w:rsidRDefault="00371746" w:rsidP="00371746">
      <w:pPr>
        <w:suppressAutoHyphens/>
        <w:ind w:left="2160"/>
        <w:rPr>
          <w:spacing w:val="-3"/>
        </w:rPr>
      </w:pPr>
    </w:p>
    <w:p w14:paraId="567A006B" w14:textId="795E7543" w:rsidR="00371746" w:rsidRPr="003B4362" w:rsidRDefault="00371746" w:rsidP="00371746">
      <w:pPr>
        <w:suppressAutoHyphens/>
        <w:ind w:left="2160"/>
        <w:rPr>
          <w:spacing w:val="-3"/>
        </w:rPr>
      </w:pPr>
      <w:r w:rsidRPr="003B4362">
        <w:rPr>
          <w:spacing w:val="-3"/>
        </w:rPr>
        <w:t xml:space="preserve">Any collection, treatment, storage, and distribution </w:t>
      </w:r>
      <w:bookmarkStart w:id="192" w:name="_Hlk129193950"/>
      <w:r w:rsidRPr="003B4362">
        <w:rPr>
          <w:spacing w:val="-3"/>
        </w:rPr>
        <w:t>facilities under control of the PWS operator that the operator uses in connection with the system</w:t>
      </w:r>
      <w:bookmarkEnd w:id="192"/>
      <w:r w:rsidRPr="003B4362">
        <w:rPr>
          <w:spacing w:val="-3"/>
        </w:rPr>
        <w:t>; and</w:t>
      </w:r>
    </w:p>
    <w:p w14:paraId="216EFD9D" w14:textId="77777777" w:rsidR="00371746" w:rsidRPr="003B4362" w:rsidRDefault="00371746" w:rsidP="00371746">
      <w:pPr>
        <w:suppressAutoHyphens/>
        <w:ind w:left="2160"/>
        <w:rPr>
          <w:spacing w:val="-3"/>
        </w:rPr>
      </w:pPr>
    </w:p>
    <w:p w14:paraId="3A04235D" w14:textId="667565EB" w:rsidR="00371746" w:rsidRPr="003B4362" w:rsidRDefault="00371746" w:rsidP="00371746">
      <w:pPr>
        <w:suppressAutoHyphens/>
        <w:ind w:left="2160"/>
        <w:rPr>
          <w:spacing w:val="-3"/>
        </w:rPr>
      </w:pPr>
      <w:r w:rsidRPr="003B4362">
        <w:rPr>
          <w:spacing w:val="-3"/>
        </w:rPr>
        <w:t xml:space="preserve">Any collection or pretreatment storage facilities </w:t>
      </w:r>
      <w:bookmarkStart w:id="193" w:name="_Hlk129194004"/>
      <w:r w:rsidRPr="003B4362">
        <w:rPr>
          <w:spacing w:val="-3"/>
        </w:rPr>
        <w:t>not under control of the PWS operator that the operator uses primarily in connection with the system</w:t>
      </w:r>
      <w:bookmarkEnd w:id="193"/>
      <w:r w:rsidRPr="003B4362">
        <w:rPr>
          <w:spacing w:val="-3"/>
        </w:rPr>
        <w:t>.</w:t>
      </w:r>
    </w:p>
    <w:p w14:paraId="4BCD6A85" w14:textId="77777777" w:rsidR="00371746" w:rsidRPr="003B4362" w:rsidRDefault="00371746" w:rsidP="00371746">
      <w:pPr>
        <w:suppressAutoHyphens/>
        <w:ind w:left="1440"/>
        <w:rPr>
          <w:spacing w:val="-3"/>
        </w:rPr>
      </w:pPr>
    </w:p>
    <w:p w14:paraId="227C51F3" w14:textId="60A36F62" w:rsidR="00371746" w:rsidRPr="003B4362" w:rsidRDefault="00371746" w:rsidP="00371746">
      <w:pPr>
        <w:suppressAutoHyphens/>
        <w:ind w:left="1440"/>
        <w:rPr>
          <w:spacing w:val="-3"/>
        </w:rPr>
      </w:pPr>
      <w:r w:rsidRPr="003B4362">
        <w:rPr>
          <w:spacing w:val="-3"/>
        </w:rPr>
        <w:t xml:space="preserve">BOARD NOTE:  SDWA and USEPA rules use “public water system”.  </w:t>
      </w:r>
      <w:r w:rsidRPr="003B4362">
        <w:t xml:space="preserve">The Act uses “public water supply”.  The Board intends that “public water supply” means the same as “public water system” </w:t>
      </w:r>
      <w:bookmarkStart w:id="194" w:name="_Hlk129206836"/>
      <w:r w:rsidRPr="003B4362">
        <w:t>and both terms refer both to the facilities providing water and the persons owning and operating those facilities</w:t>
      </w:r>
      <w:bookmarkEnd w:id="194"/>
      <w:r w:rsidRPr="003B4362">
        <w:t>.</w:t>
      </w:r>
    </w:p>
    <w:p w14:paraId="1660A4C2" w14:textId="77777777" w:rsidR="00371746" w:rsidRPr="003B4362" w:rsidRDefault="00371746" w:rsidP="00371746">
      <w:pPr>
        <w:ind w:left="1440"/>
      </w:pPr>
    </w:p>
    <w:p w14:paraId="149D52E9" w14:textId="69F81053" w:rsidR="00371746" w:rsidRPr="003B4362" w:rsidRDefault="00371746" w:rsidP="00371746">
      <w:pPr>
        <w:ind w:left="1440"/>
      </w:pPr>
      <w:r w:rsidRPr="003B4362">
        <w:t>“R</w:t>
      </w:r>
      <w:r w:rsidRPr="003B4362">
        <w:rPr>
          <w:spacing w:val="-2"/>
        </w:rPr>
        <w:t xml:space="preserve">adioactive contaminants” </w:t>
      </w:r>
      <w:bookmarkStart w:id="195" w:name="_Hlk129207008"/>
      <w:r w:rsidRPr="003B4362">
        <w:rPr>
          <w:spacing w:val="-2"/>
        </w:rPr>
        <w:t xml:space="preserve">means </w:t>
      </w:r>
      <w:r w:rsidRPr="003B4362">
        <w:t>those contaminants for which Section 611.330 imposes an MCL</w:t>
      </w:r>
      <w:bookmarkEnd w:id="195"/>
      <w:r w:rsidRPr="003B4362">
        <w:t xml:space="preserve">.  “Radioactive contaminants” include </w:t>
      </w:r>
      <w:bookmarkStart w:id="196" w:name="_Hlk129207154"/>
      <w:r w:rsidRPr="003B4362">
        <w:t>radium-226 and -228, tritium, strontium-89, strontium-90, iodine-131, cesium-134, uranium, gross alpha emitters, gross beta emitters, photon emitters, and other nuclides emitting energetic nuclear particles or photons</w:t>
      </w:r>
      <w:bookmarkEnd w:id="196"/>
      <w:r w:rsidRPr="003B4362">
        <w:t>.</w:t>
      </w:r>
    </w:p>
    <w:p w14:paraId="72828377" w14:textId="3E5853B2" w:rsidR="00371746" w:rsidRPr="003B4362" w:rsidRDefault="00371746" w:rsidP="00371746">
      <w:pPr>
        <w:suppressAutoHyphens/>
        <w:ind w:left="1440"/>
      </w:pPr>
      <w:r w:rsidRPr="003B4362">
        <w:t xml:space="preserve">BOARD NOTE:  </w:t>
      </w:r>
      <w:r w:rsidRPr="003B4362">
        <w:rPr>
          <w:spacing w:val="-3"/>
        </w:rPr>
        <w:t>T</w:t>
      </w:r>
      <w:bookmarkStart w:id="197" w:name="_Hlk129209035"/>
      <w:r w:rsidRPr="003B4362">
        <w:rPr>
          <w:spacing w:val="-3"/>
        </w:rPr>
        <w:t xml:space="preserve">his definition derives </w:t>
      </w:r>
      <w:r w:rsidRPr="003B4362">
        <w:t>from</w:t>
      </w:r>
      <w:bookmarkEnd w:id="197"/>
      <w:r w:rsidRPr="003B4362">
        <w:t xml:space="preserve"> </w:t>
      </w:r>
      <w:bookmarkStart w:id="198" w:name="_Hlk129209105"/>
      <w:r w:rsidRPr="003B4362">
        <w:t>Table C in 40 CFR 141.25(c), 141.66, appendix A to subpart O, and appendices A and B to subpart Q of 40 CFR 141</w:t>
      </w:r>
      <w:bookmarkEnd w:id="198"/>
      <w:r w:rsidRPr="003B4362">
        <w:t>.</w:t>
      </w:r>
    </w:p>
    <w:p w14:paraId="13FA6FBC" w14:textId="77777777" w:rsidR="00371746" w:rsidRPr="003B4362" w:rsidRDefault="00371746" w:rsidP="00371746">
      <w:pPr>
        <w:suppressAutoHyphens/>
        <w:ind w:left="1440"/>
        <w:rPr>
          <w:spacing w:val="-3"/>
        </w:rPr>
      </w:pPr>
    </w:p>
    <w:p w14:paraId="099D2A62" w14:textId="6B002B0B" w:rsidR="00371746" w:rsidRPr="003B4362" w:rsidRDefault="00371746" w:rsidP="00371746">
      <w:pPr>
        <w:suppressAutoHyphens/>
        <w:ind w:left="1440"/>
        <w:rPr>
          <w:spacing w:val="-3"/>
        </w:rPr>
      </w:pPr>
      <w:r w:rsidRPr="003B4362">
        <w:rPr>
          <w:spacing w:val="-3"/>
        </w:rPr>
        <w:t>“Reliably and consistently below the MCL” for a contaminant means an Agency determination based on analytical results following the initial detection of a contaminant to determine the qualitative condition of water from an individual sampling point or source.  The Agency must base this determination on the consistency of analytical results, the degree below the MCL, the susceptibility of source water to variation, and other vulnerability factors pertinent to the detected contaminant that may influence the quality of water.</w:t>
      </w:r>
    </w:p>
    <w:p w14:paraId="6D6FB615" w14:textId="008033E5" w:rsidR="00371746" w:rsidRPr="003B4362" w:rsidRDefault="00371746" w:rsidP="00371746">
      <w:pPr>
        <w:suppressAutoHyphens/>
        <w:ind w:left="1440"/>
        <w:rPr>
          <w:spacing w:val="-3"/>
        </w:rPr>
      </w:pPr>
      <w:r w:rsidRPr="003B4362">
        <w:rPr>
          <w:spacing w:val="-3"/>
        </w:rPr>
        <w:t>BOARD NOTE:  This definition derives from 40 CFR 141.23(b)(9), (c)(8), (d)(2), and (e)(3) and 141.24(f)(11)(ii), and 141.24(f)(11)(iii), (f)(12), (h)(6)(ii), and (h)(8).</w:t>
      </w:r>
    </w:p>
    <w:p w14:paraId="71A94494" w14:textId="77777777" w:rsidR="00371746" w:rsidRPr="003B4362" w:rsidRDefault="00371746" w:rsidP="00371746">
      <w:pPr>
        <w:suppressAutoHyphens/>
        <w:ind w:left="1440"/>
        <w:rPr>
          <w:spacing w:val="-3"/>
        </w:rPr>
      </w:pPr>
      <w:bookmarkStart w:id="199" w:name="_Hlk97732182"/>
    </w:p>
    <w:p w14:paraId="05B8D2D6" w14:textId="77777777" w:rsidR="00371746" w:rsidRPr="003B4362" w:rsidRDefault="00371746" w:rsidP="00371746">
      <w:pPr>
        <w:suppressAutoHyphens/>
        <w:ind w:left="1440"/>
        <w:rPr>
          <w:spacing w:val="-3"/>
        </w:rPr>
      </w:pPr>
      <w:r w:rsidRPr="003B4362">
        <w:rPr>
          <w:spacing w:val="-3"/>
        </w:rPr>
        <w:t>“Rem” means the unit of dose equivalent from ionizing radiation to the total body or any internal organ or organ system.  A “millirem (mrem)” is 1/1000 of a rem.</w:t>
      </w:r>
      <w:bookmarkEnd w:id="199"/>
    </w:p>
    <w:p w14:paraId="1E7D12F7" w14:textId="77777777" w:rsidR="00371746" w:rsidRPr="003B4362" w:rsidRDefault="00371746" w:rsidP="00371746">
      <w:pPr>
        <w:suppressAutoHyphens/>
        <w:ind w:left="1440"/>
        <w:rPr>
          <w:spacing w:val="-3"/>
        </w:rPr>
      </w:pPr>
    </w:p>
    <w:p w14:paraId="3F4D628D" w14:textId="77777777" w:rsidR="00371746" w:rsidRPr="003B4362" w:rsidRDefault="00371746" w:rsidP="00371746">
      <w:pPr>
        <w:suppressAutoHyphens/>
        <w:ind w:left="1440"/>
        <w:rPr>
          <w:spacing w:val="-3"/>
        </w:rPr>
      </w:pPr>
      <w:r w:rsidRPr="003B4362">
        <w:rPr>
          <w:spacing w:val="-3"/>
        </w:rPr>
        <w:t>“Repeat compliance period” means a compliance period that begins after the initial compliance period.</w:t>
      </w:r>
    </w:p>
    <w:p w14:paraId="16CA8661" w14:textId="77777777" w:rsidR="00371746" w:rsidRPr="003B4362" w:rsidRDefault="00371746" w:rsidP="00371746">
      <w:pPr>
        <w:suppressAutoHyphens/>
        <w:ind w:left="1440"/>
        <w:rPr>
          <w:spacing w:val="-3"/>
        </w:rPr>
      </w:pPr>
    </w:p>
    <w:p w14:paraId="7291F1D4" w14:textId="70F4DC92" w:rsidR="00371746" w:rsidRPr="003B4362" w:rsidRDefault="00371746" w:rsidP="00371746">
      <w:pPr>
        <w:suppressAutoHyphens/>
        <w:ind w:left="1440"/>
        <w:rPr>
          <w:spacing w:val="-3"/>
        </w:rPr>
      </w:pPr>
      <w:r w:rsidRPr="003B4362">
        <w:rPr>
          <w:spacing w:val="-3"/>
        </w:rPr>
        <w:t>“Representative” means that a sample reflects the quality of water a supplier delivers to consumers under conditions when the supplier uses all raw water sources it requires to supply water under normal use conditions and all treatment properly operates.</w:t>
      </w:r>
    </w:p>
    <w:p w14:paraId="63F753DD" w14:textId="77777777" w:rsidR="00371746" w:rsidRPr="003B4362" w:rsidRDefault="00371746" w:rsidP="00371746">
      <w:pPr>
        <w:suppressAutoHyphens/>
        <w:ind w:left="1440"/>
        <w:rPr>
          <w:spacing w:val="-3"/>
        </w:rPr>
      </w:pPr>
      <w:bookmarkStart w:id="200" w:name="_Hlk129782671"/>
    </w:p>
    <w:p w14:paraId="22593D3F" w14:textId="1B14EE61" w:rsidR="00371746" w:rsidRPr="003B4362" w:rsidRDefault="00371746" w:rsidP="00371746">
      <w:pPr>
        <w:suppressAutoHyphens/>
        <w:ind w:left="1440"/>
        <w:rPr>
          <w:spacing w:val="-3"/>
        </w:rPr>
      </w:pPr>
      <w:r w:rsidRPr="003B4362">
        <w:rPr>
          <w:spacing w:val="-3"/>
        </w:rPr>
        <w:t>“Residual disinfectant concentration”, “RDC”, or the variable “C” in CT calculations</w:t>
      </w:r>
      <w:bookmarkEnd w:id="200"/>
      <w:r w:rsidRPr="003B4362">
        <w:rPr>
          <w:spacing w:val="-3"/>
        </w:rPr>
        <w:t xml:space="preserve"> means the concentration of disinfectant measured in mg/</w:t>
      </w:r>
      <w:r w:rsidRPr="003B4362">
        <w:t xml:space="preserve"> L </w:t>
      </w:r>
      <w:r w:rsidRPr="003B4362">
        <w:rPr>
          <w:spacing w:val="-3"/>
        </w:rPr>
        <w:t>in a representative sample of water.  For purposes of the requirement of Section 611.241(d) of maintaining a detectable RDC in the distribution system, “RDC” means a residual of free or combined chlorine.</w:t>
      </w:r>
    </w:p>
    <w:p w14:paraId="548F6C4F" w14:textId="77777777" w:rsidR="00371746" w:rsidRPr="003B4362" w:rsidRDefault="00371746" w:rsidP="00371746">
      <w:pPr>
        <w:suppressAutoHyphens/>
        <w:ind w:left="1440"/>
        <w:rPr>
          <w:spacing w:val="-3"/>
        </w:rPr>
      </w:pPr>
    </w:p>
    <w:p w14:paraId="1D3AE50C" w14:textId="0D09B617" w:rsidR="00371746" w:rsidRPr="003B4362" w:rsidRDefault="00371746" w:rsidP="00371746">
      <w:pPr>
        <w:suppressAutoHyphens/>
        <w:ind w:left="1440"/>
        <w:rPr>
          <w:spacing w:val="-3"/>
        </w:rPr>
      </w:pPr>
      <w:r w:rsidRPr="003B4362">
        <w:rPr>
          <w:spacing w:val="-3"/>
        </w:rPr>
        <w:t>“Safe Drinking Water Act” or “SDWA” means the Public Health Service Act, as amended by the Safe Drinking Water Act, Pub. L. 93-523, 42 U.S.C. 300f et seq.</w:t>
      </w:r>
    </w:p>
    <w:p w14:paraId="7771C8BC" w14:textId="77777777" w:rsidR="00371746" w:rsidRPr="003B4362" w:rsidRDefault="00371746" w:rsidP="00371746">
      <w:pPr>
        <w:ind w:left="1440"/>
        <w:rPr>
          <w:iCs/>
          <w:szCs w:val="24"/>
        </w:rPr>
      </w:pPr>
    </w:p>
    <w:p w14:paraId="632ECA28" w14:textId="30CCB2B5" w:rsidR="00371746" w:rsidRPr="003B4362" w:rsidRDefault="00371746" w:rsidP="00371746">
      <w:pPr>
        <w:ind w:left="1440"/>
        <w:rPr>
          <w:szCs w:val="24"/>
        </w:rPr>
      </w:pPr>
      <w:r w:rsidRPr="003B4362">
        <w:rPr>
          <w:iCs/>
          <w:szCs w:val="24"/>
        </w:rPr>
        <w:t xml:space="preserve">“Sanitary defect” </w:t>
      </w:r>
      <w:r w:rsidRPr="003B4362">
        <w:rPr>
          <w:szCs w:val="24"/>
        </w:rPr>
        <w:t xml:space="preserve">means a defect that could provide a pathway of entry for microbial contamination of a supplier’s distribution system or </w:t>
      </w:r>
      <w:r w:rsidRPr="003B4362">
        <w:t xml:space="preserve">that indicates </w:t>
      </w:r>
      <w:r w:rsidRPr="003B4362">
        <w:rPr>
          <w:szCs w:val="24"/>
        </w:rPr>
        <w:t>a failure or imminent failure in an existing barrier to microbial contamination.</w:t>
      </w:r>
    </w:p>
    <w:p w14:paraId="150E5619" w14:textId="77777777" w:rsidR="00371746" w:rsidRPr="003B4362" w:rsidRDefault="00371746" w:rsidP="00371746">
      <w:pPr>
        <w:suppressAutoHyphens/>
        <w:ind w:left="1440"/>
        <w:rPr>
          <w:spacing w:val="-3"/>
        </w:rPr>
      </w:pPr>
    </w:p>
    <w:p w14:paraId="6209B055" w14:textId="4623B4F5" w:rsidR="00371746" w:rsidRPr="003B4362" w:rsidRDefault="00371746" w:rsidP="00371746">
      <w:pPr>
        <w:suppressAutoHyphens/>
        <w:ind w:left="1440"/>
      </w:pPr>
      <w:r w:rsidRPr="003B4362">
        <w:rPr>
          <w:spacing w:val="-3"/>
        </w:rPr>
        <w:t>“Sanitary survey” means an onsite review of the</w:t>
      </w:r>
      <w:r w:rsidRPr="003B4362">
        <w:t xml:space="preserve"> delineated WHPAs (identifying sources of contamination within the WHPAs and evaluations or the hydrogeologic sensitivity of the delineated WHPAs the Agency conducted under source water assessments or utilizing other relevant information </w:t>
      </w:r>
      <w:r w:rsidRPr="003B4362">
        <w:rPr>
          <w:spacing w:val="-3"/>
        </w:rPr>
        <w:t xml:space="preserve">if </w:t>
      </w:r>
      <w:r w:rsidRPr="003B4362">
        <w:t>available)</w:t>
      </w:r>
      <w:r w:rsidRPr="003B4362">
        <w:rPr>
          <w:spacing w:val="-3"/>
        </w:rPr>
        <w:t>, facilities, equipment, operation</w:t>
      </w:r>
      <w:r w:rsidRPr="003B4362">
        <w:t xml:space="preserve">, </w:t>
      </w:r>
      <w:r w:rsidRPr="003B4362">
        <w:rPr>
          <w:spacing w:val="-3"/>
        </w:rPr>
        <w:t>maintenance</w:t>
      </w:r>
      <w:r w:rsidRPr="003B4362">
        <w:t>, and monitoring compliance</w:t>
      </w:r>
      <w:r w:rsidRPr="003B4362">
        <w:rPr>
          <w:spacing w:val="-3"/>
        </w:rPr>
        <w:t xml:space="preserve"> of a PWS supplier to evaluate the adequacy of </w:t>
      </w:r>
      <w:r w:rsidRPr="003B4362">
        <w:t xml:space="preserve">the system, its sources, and operations for the production </w:t>
      </w:r>
      <w:r w:rsidRPr="003B4362">
        <w:rPr>
          <w:spacing w:val="-3"/>
        </w:rPr>
        <w:t xml:space="preserve">and </w:t>
      </w:r>
      <w:r w:rsidRPr="003B4362">
        <w:t xml:space="preserve">distribution of </w:t>
      </w:r>
      <w:r w:rsidRPr="003B4362">
        <w:rPr>
          <w:spacing w:val="-3"/>
        </w:rPr>
        <w:t>safe drinking water.</w:t>
      </w:r>
    </w:p>
    <w:p w14:paraId="28BE9003" w14:textId="62E1F66A" w:rsidR="00371746" w:rsidRPr="003B4362" w:rsidRDefault="00371746" w:rsidP="00371746">
      <w:pPr>
        <w:suppressAutoHyphens/>
        <w:ind w:left="1440"/>
      </w:pPr>
      <w:r w:rsidRPr="003B4362">
        <w:t xml:space="preserve">BOARD NOTE:  </w:t>
      </w:r>
      <w:r w:rsidRPr="003B4362">
        <w:rPr>
          <w:spacing w:val="-3"/>
        </w:rPr>
        <w:t xml:space="preserve">This definition derives </w:t>
      </w:r>
      <w:r w:rsidRPr="003B4362">
        <w:t>from 40 CFR 141.2 and 40 CFR 142.16(o)(2).</w:t>
      </w:r>
    </w:p>
    <w:p w14:paraId="31A7827B" w14:textId="77777777" w:rsidR="00371746" w:rsidRPr="003B4362" w:rsidRDefault="00371746" w:rsidP="00371746">
      <w:pPr>
        <w:ind w:left="1440"/>
        <w:rPr>
          <w:iCs/>
          <w:szCs w:val="24"/>
        </w:rPr>
      </w:pPr>
    </w:p>
    <w:p w14:paraId="024575CA" w14:textId="1681C5CB" w:rsidR="00371746" w:rsidRPr="003B4362" w:rsidRDefault="00371746" w:rsidP="00371746">
      <w:pPr>
        <w:ind w:left="1440"/>
        <w:rPr>
          <w:szCs w:val="24"/>
        </w:rPr>
      </w:pPr>
      <w:r w:rsidRPr="003B4362">
        <w:rPr>
          <w:iCs/>
          <w:szCs w:val="24"/>
        </w:rPr>
        <w:t xml:space="preserve">“Seasonal system” </w:t>
      </w:r>
      <w:r w:rsidRPr="003B4362">
        <w:rPr>
          <w:szCs w:val="24"/>
        </w:rPr>
        <w:t xml:space="preserve">means a non-CWS not operating as a PWS on a year-round basis and </w:t>
      </w:r>
      <w:r w:rsidRPr="003B4362">
        <w:t xml:space="preserve">starting </w:t>
      </w:r>
      <w:r w:rsidRPr="003B4362">
        <w:rPr>
          <w:szCs w:val="24"/>
        </w:rPr>
        <w:t>up and shutting down at the beginning and end of each operating season.</w:t>
      </w:r>
    </w:p>
    <w:p w14:paraId="3DC47656" w14:textId="77777777" w:rsidR="00371746" w:rsidRPr="003B4362" w:rsidRDefault="00371746" w:rsidP="00371746">
      <w:pPr>
        <w:suppressAutoHyphens/>
        <w:ind w:left="1440"/>
        <w:rPr>
          <w:spacing w:val="-3"/>
        </w:rPr>
      </w:pPr>
    </w:p>
    <w:p w14:paraId="34FCA4AD" w14:textId="0B8DBE03" w:rsidR="00371746" w:rsidRPr="003B4362" w:rsidRDefault="00371746" w:rsidP="00371746">
      <w:pPr>
        <w:suppressAutoHyphens/>
        <w:ind w:left="1440"/>
        <w:rPr>
          <w:spacing w:val="-3"/>
        </w:rPr>
      </w:pPr>
      <w:r w:rsidRPr="003B4362">
        <w:rPr>
          <w:spacing w:val="-3"/>
        </w:rPr>
        <w:t>“Sedimentation” means a process for removing solids before filtration by gravity or separation.</w:t>
      </w:r>
    </w:p>
    <w:p w14:paraId="5B464CC0" w14:textId="77777777" w:rsidR="00371746" w:rsidRPr="003B4362" w:rsidRDefault="00371746" w:rsidP="00371746">
      <w:pPr>
        <w:ind w:left="1440"/>
      </w:pPr>
    </w:p>
    <w:p w14:paraId="32FB3BAA" w14:textId="77777777" w:rsidR="00371746" w:rsidRPr="003B4362" w:rsidRDefault="00371746" w:rsidP="00371746">
      <w:pPr>
        <w:ind w:left="1440"/>
      </w:pPr>
      <w:r w:rsidRPr="003B4362">
        <w:t>“SEP” means special exception permit the Agency issued under 35 Ill. Adm. Code 602.600.</w:t>
      </w:r>
    </w:p>
    <w:p w14:paraId="6B2CC165" w14:textId="77777777" w:rsidR="00371746" w:rsidRPr="003B4362" w:rsidRDefault="00371746" w:rsidP="00371746">
      <w:pPr>
        <w:suppressAutoHyphens/>
        <w:ind w:left="1440"/>
      </w:pPr>
    </w:p>
    <w:p w14:paraId="2F043B53" w14:textId="0B72DA07" w:rsidR="00371746" w:rsidRPr="003B4362" w:rsidRDefault="00371746" w:rsidP="00371746">
      <w:pPr>
        <w:suppressAutoHyphens/>
        <w:ind w:left="1440"/>
      </w:pPr>
      <w:r w:rsidRPr="003B4362">
        <w:t>“Service connection</w:t>
      </w:r>
      <w:r w:rsidRPr="003B4362">
        <w:rPr>
          <w:szCs w:val="16"/>
        </w:rPr>
        <w:t>”,</w:t>
      </w:r>
      <w:r w:rsidRPr="003B4362">
        <w:t xml:space="preserve"> as used in the definition of PWS, does not include a connection to a system delivering water by a constructed conveyance other than a pipe if any of certain conditions exist:</w:t>
      </w:r>
    </w:p>
    <w:p w14:paraId="5064ADE7" w14:textId="77777777" w:rsidR="00371746" w:rsidRPr="003B4362" w:rsidRDefault="00371746" w:rsidP="00371746">
      <w:pPr>
        <w:suppressAutoHyphens/>
        <w:ind w:left="2160"/>
      </w:pPr>
    </w:p>
    <w:p w14:paraId="41704D16" w14:textId="66300C8F" w:rsidR="00371746" w:rsidRPr="003B4362" w:rsidRDefault="00371746" w:rsidP="00371746">
      <w:pPr>
        <w:suppressAutoHyphens/>
        <w:ind w:left="2160"/>
      </w:pPr>
      <w:r w:rsidRPr="003B4362">
        <w:t>Consumers use the water exclusively for purposes other than residential use (consisting of drinking, bathing, and cooking, or other similar uses);</w:t>
      </w:r>
    </w:p>
    <w:p w14:paraId="0C4A1A7D" w14:textId="77777777" w:rsidR="00371746" w:rsidRPr="003B4362" w:rsidRDefault="00371746" w:rsidP="00371746">
      <w:pPr>
        <w:suppressAutoHyphens/>
        <w:ind w:left="2160"/>
      </w:pPr>
    </w:p>
    <w:p w14:paraId="11E6EA8E" w14:textId="6C6CDB12" w:rsidR="00371746" w:rsidRPr="003B4362" w:rsidRDefault="00371746" w:rsidP="00371746">
      <w:pPr>
        <w:suppressAutoHyphens/>
        <w:ind w:left="2160"/>
      </w:pPr>
      <w:r w:rsidRPr="003B4362">
        <w:t>The Agency issues a SEP determining that the supplier provides alternative water for residential use or similar uses for drinking and cooking to achieve the equivalent level of public health protection to that the applicable national primary drinking water regulations provide; or</w:t>
      </w:r>
    </w:p>
    <w:p w14:paraId="62C10574" w14:textId="77777777" w:rsidR="00371746" w:rsidRPr="003B4362" w:rsidRDefault="00371746" w:rsidP="00371746">
      <w:pPr>
        <w:suppressAutoHyphens/>
        <w:ind w:left="2160"/>
      </w:pPr>
    </w:p>
    <w:p w14:paraId="21FB1201" w14:textId="25C6A67F" w:rsidR="00371746" w:rsidRPr="003B4362" w:rsidRDefault="00371746" w:rsidP="00371746">
      <w:pPr>
        <w:suppressAutoHyphens/>
        <w:ind w:left="2160"/>
      </w:pPr>
      <w:r w:rsidRPr="003B4362">
        <w:t>The Agency issues a SEP determining that the water provided for residential use or similar uses for drinking, cooking, and bathing is centrally treated or treated at the point of entry by the provider, a pass</w:t>
      </w:r>
      <w:r w:rsidRPr="003B4362">
        <w:noBreakHyphen/>
        <w:t>through entity, or the user to achieve the equivalent level of public health protection to that the applicable national primary drinking water regulations provide.</w:t>
      </w:r>
    </w:p>
    <w:p w14:paraId="37EE6231" w14:textId="5B9C8809" w:rsidR="00371746" w:rsidRPr="003B4362" w:rsidRDefault="00371746" w:rsidP="00371746">
      <w:pPr>
        <w:suppressAutoHyphens/>
        <w:ind w:left="1440"/>
        <w:rPr>
          <w:spacing w:val="-3"/>
        </w:rPr>
      </w:pPr>
      <w:r w:rsidRPr="003B4362">
        <w:rPr>
          <w:spacing w:val="-3"/>
        </w:rPr>
        <w:t xml:space="preserve">BOARD NOTE:  See </w:t>
      </w:r>
      <w:bookmarkStart w:id="201" w:name="_Hlk129605079"/>
      <w:r w:rsidRPr="003B4362">
        <w:rPr>
          <w:spacing w:val="-3"/>
        </w:rPr>
        <w:t>SDWA sections 1401</w:t>
      </w:r>
      <w:r w:rsidRPr="003B4362">
        <w:t>(4)(B)(i)(II) and (4)(B)(i)(III)</w:t>
      </w:r>
      <w:r w:rsidRPr="003B4362">
        <w:rPr>
          <w:spacing w:val="-3"/>
        </w:rPr>
        <w:t xml:space="preserve"> </w:t>
      </w:r>
      <w:bookmarkEnd w:id="201"/>
      <w:r w:rsidRPr="003B4362">
        <w:t>(42 U.S.C 300f(4)(B)(i)(II) and (4)(B)(i)(III))</w:t>
      </w:r>
      <w:r w:rsidRPr="003B4362">
        <w:rPr>
          <w:spacing w:val="-3"/>
        </w:rPr>
        <w:t>.</w:t>
      </w:r>
    </w:p>
    <w:p w14:paraId="4F39C39F" w14:textId="77777777" w:rsidR="00371746" w:rsidRPr="003B4362" w:rsidRDefault="00371746" w:rsidP="00371746">
      <w:pPr>
        <w:suppressAutoHyphens/>
        <w:ind w:left="1440"/>
      </w:pPr>
    </w:p>
    <w:p w14:paraId="76129216" w14:textId="5C469D86" w:rsidR="00371746" w:rsidRPr="003B4362" w:rsidRDefault="00371746" w:rsidP="00371746">
      <w:pPr>
        <w:suppressAutoHyphens/>
        <w:ind w:left="1440"/>
      </w:pPr>
      <w:r w:rsidRPr="003B4362">
        <w:t>“Significant deficiency” means a deficiency the Agency identifies in a groundwater system under Section 611.803.  A significant deficiency might include a defect in system design, operation, or maintenance or a failure or malfunction of the sources, treatment, storage, or distribution system that the Agency determines causes or could cause introduction of contamination into the water the supplier delivers to consumers.</w:t>
      </w:r>
    </w:p>
    <w:p w14:paraId="417B4257" w14:textId="0CC3A35C" w:rsidR="00371746" w:rsidRPr="003B4362" w:rsidRDefault="00371746" w:rsidP="00371746">
      <w:pPr>
        <w:suppressAutoHyphens/>
        <w:ind w:left="1440"/>
      </w:pPr>
      <w:r w:rsidRPr="003B4362">
        <w:t xml:space="preserve">BOARD NOTE:  </w:t>
      </w:r>
      <w:r w:rsidRPr="003B4362">
        <w:rPr>
          <w:spacing w:val="-3"/>
        </w:rPr>
        <w:t xml:space="preserve">This definition derives </w:t>
      </w:r>
      <w:r w:rsidRPr="003B4362">
        <w:t>from 40 CFR 142.16(o)(2)(iv).  The Agency must submit to USEPA a definition and description of at least one significant deficiency in each of the eight sanitary survey elements listed in Section 611.801(c) as part of the federal primacy requirements.  The Board added the general description of what a significant deficiency might include in non-limiting terms, not intending to limit Agency discretion submitting what USEPA requires.  What the Agency submits to USEPA cannot provide a definition within the Board regulations without Board rulemaking action.</w:t>
      </w:r>
    </w:p>
    <w:p w14:paraId="30ACD042" w14:textId="77777777" w:rsidR="00371746" w:rsidRPr="003B4362" w:rsidRDefault="00371746" w:rsidP="00371746">
      <w:pPr>
        <w:suppressAutoHyphens/>
        <w:ind w:left="1440"/>
        <w:rPr>
          <w:spacing w:val="-3"/>
        </w:rPr>
      </w:pPr>
    </w:p>
    <w:p w14:paraId="70BE46D8" w14:textId="39A8CB4F" w:rsidR="00371746" w:rsidRPr="003B4362" w:rsidRDefault="00371746" w:rsidP="00371746">
      <w:pPr>
        <w:suppressAutoHyphens/>
        <w:ind w:left="1440"/>
        <w:rPr>
          <w:spacing w:val="-3"/>
        </w:rPr>
      </w:pPr>
      <w:r w:rsidRPr="003B4362">
        <w:rPr>
          <w:spacing w:val="-3"/>
        </w:rPr>
        <w:t>“Slow sand filtration” means a process involving passing raw water through a bed of sand at low velocity (generally less than 0.4 meters per hour (m/h)) resulting in physical and biological mechanisms substantially removing  particulate material.</w:t>
      </w:r>
    </w:p>
    <w:p w14:paraId="4EB0C8A0" w14:textId="77777777" w:rsidR="00371746" w:rsidRPr="003B4362" w:rsidRDefault="00371746" w:rsidP="00371746">
      <w:pPr>
        <w:suppressAutoHyphens/>
        <w:ind w:left="1440"/>
        <w:rPr>
          <w:spacing w:val="-3"/>
        </w:rPr>
      </w:pPr>
    </w:p>
    <w:p w14:paraId="6F0D7B36" w14:textId="73DF66FA" w:rsidR="00371746" w:rsidRPr="003B4362" w:rsidRDefault="00371746" w:rsidP="00371746">
      <w:pPr>
        <w:suppressAutoHyphens/>
        <w:ind w:left="1440"/>
        <w:rPr>
          <w:spacing w:val="-3"/>
        </w:rPr>
      </w:pPr>
      <w:r w:rsidRPr="003B4362">
        <w:rPr>
          <w:spacing w:val="-3"/>
        </w:rPr>
        <w:t>“SOC” or “Synthetic organic chemical contaminant” refers to that group of contaminants designated as “SOCs</w:t>
      </w:r>
      <w:r w:rsidRPr="003B4362">
        <w:rPr>
          <w:szCs w:val="16"/>
        </w:rPr>
        <w:t>” in Section 611.311(c)</w:t>
      </w:r>
      <w:r w:rsidRPr="003B4362">
        <w:rPr>
          <w:spacing w:val="-3"/>
        </w:rPr>
        <w:t>.</w:t>
      </w:r>
    </w:p>
    <w:p w14:paraId="7D7919E6" w14:textId="77777777" w:rsidR="00371746" w:rsidRPr="003B4362" w:rsidRDefault="00371746" w:rsidP="00371746">
      <w:pPr>
        <w:ind w:left="1440"/>
      </w:pPr>
    </w:p>
    <w:p w14:paraId="29E37D79" w14:textId="77777777" w:rsidR="00371746" w:rsidRPr="003B4362" w:rsidRDefault="00371746" w:rsidP="00371746">
      <w:pPr>
        <w:ind w:left="1440"/>
      </w:pPr>
      <w:r w:rsidRPr="003B4362">
        <w:t>“Source” means a well, reservoir, or other source of raw water.</w:t>
      </w:r>
    </w:p>
    <w:p w14:paraId="17515A9C" w14:textId="77777777" w:rsidR="00371746" w:rsidRPr="003B4362" w:rsidRDefault="00371746" w:rsidP="00371746">
      <w:pPr>
        <w:suppressAutoHyphens/>
        <w:ind w:left="1440"/>
      </w:pPr>
    </w:p>
    <w:p w14:paraId="270DC95F" w14:textId="3B1B86AB" w:rsidR="00371746" w:rsidRPr="003B4362" w:rsidRDefault="00371746" w:rsidP="00371746">
      <w:pPr>
        <w:suppressAutoHyphens/>
        <w:ind w:left="1440"/>
      </w:pPr>
      <w:r w:rsidRPr="003B4362">
        <w:t xml:space="preserve">“Special irrigation district” means an irrigation district in existence prior to May 18, 1994 that provides primarily agricultural service through a piped water system </w:t>
      </w:r>
      <w:r w:rsidRPr="003B4362">
        <w:lastRenderedPageBreak/>
        <w:t xml:space="preserve">with only incidental residential use or similar use </w:t>
      </w:r>
      <w:r w:rsidRPr="003B4362">
        <w:rPr>
          <w:spacing w:val="-3"/>
        </w:rPr>
        <w:t xml:space="preserve">if </w:t>
      </w:r>
      <w:r w:rsidRPr="003B4362">
        <w:t>the Agency issues a SEP making either of two determinations:</w:t>
      </w:r>
    </w:p>
    <w:p w14:paraId="56F30BEA" w14:textId="77777777" w:rsidR="00371746" w:rsidRPr="003B4362" w:rsidRDefault="00371746" w:rsidP="00371746">
      <w:pPr>
        <w:suppressAutoHyphens/>
        <w:ind w:left="2160"/>
      </w:pPr>
    </w:p>
    <w:p w14:paraId="451CF802" w14:textId="1AF46118" w:rsidR="00371746" w:rsidRPr="003B4362" w:rsidRDefault="00371746" w:rsidP="00371746">
      <w:pPr>
        <w:suppressAutoHyphens/>
        <w:ind w:left="2160"/>
      </w:pPr>
      <w:r w:rsidRPr="003B4362">
        <w:t>The Agency determines that the supplier or another person provides alternative water for residential use or similar uses for drinking or cooking to achieve the equivalent level of public health protection to that the applicable national primary drinking water regulations provide; or</w:t>
      </w:r>
    </w:p>
    <w:p w14:paraId="03634311" w14:textId="77777777" w:rsidR="00371746" w:rsidRPr="003B4362" w:rsidRDefault="00371746" w:rsidP="00371746">
      <w:pPr>
        <w:suppressAutoHyphens/>
        <w:ind w:left="2160"/>
      </w:pPr>
    </w:p>
    <w:p w14:paraId="12108A97" w14:textId="2B61E89A" w:rsidR="00371746" w:rsidRPr="003B4362" w:rsidRDefault="00371746" w:rsidP="00371746">
      <w:pPr>
        <w:suppressAutoHyphens/>
        <w:ind w:left="2160"/>
      </w:pPr>
      <w:r w:rsidRPr="003B4362">
        <w:t>The Agency issues a SEP determining that the water provided for residential use or similar uses for drinking, cooking, and bathing is centrally treated or treated at the point of entry by the provider, a pass-through entity, or the user to protect public health at a level equivalent to that the applicable NPDWRs provide.</w:t>
      </w:r>
    </w:p>
    <w:p w14:paraId="1FA18B2A" w14:textId="3A2EACFB" w:rsidR="00371746" w:rsidRPr="003B4362" w:rsidRDefault="00371746" w:rsidP="00371746">
      <w:pPr>
        <w:suppressAutoHyphens/>
        <w:ind w:left="1440"/>
        <w:rPr>
          <w:spacing w:val="-3"/>
        </w:rPr>
      </w:pPr>
      <w:r w:rsidRPr="003B4362">
        <w:rPr>
          <w:spacing w:val="-3"/>
        </w:rPr>
        <w:t>BOARD NOTE:  This definition derives from 40 CFR 141.2 and sections 1401</w:t>
      </w:r>
      <w:r w:rsidRPr="003B4362">
        <w:t>(4)(B)(i)(II) and (4)(B)(i)(III)</w:t>
      </w:r>
      <w:r w:rsidRPr="003B4362">
        <w:rPr>
          <w:spacing w:val="-3"/>
        </w:rPr>
        <w:t xml:space="preserve"> of </w:t>
      </w:r>
      <w:r w:rsidRPr="003B4362">
        <w:t>SDWA (42 U.S.C. 300f(4)(B)(i)(II) and (4)(B)(i)(III))</w:t>
      </w:r>
      <w:r w:rsidRPr="003B4362">
        <w:rPr>
          <w:spacing w:val="-3"/>
        </w:rPr>
        <w:t>.</w:t>
      </w:r>
    </w:p>
    <w:p w14:paraId="1364889A" w14:textId="77777777" w:rsidR="00371746" w:rsidRPr="003B4362" w:rsidRDefault="00371746" w:rsidP="00371746">
      <w:pPr>
        <w:ind w:left="1440"/>
      </w:pPr>
    </w:p>
    <w:p w14:paraId="12D93438" w14:textId="699D804B" w:rsidR="00371746" w:rsidRPr="003B4362" w:rsidRDefault="00371746" w:rsidP="00371746">
      <w:pPr>
        <w:ind w:left="1440"/>
      </w:pPr>
      <w:r w:rsidRPr="003B4362">
        <w:t>“Standard monitoring” means the monitoring the supplier performs under Section 611.921(a) and (b) at various specified locations in its distribution system, including near entry points, at points representing the average residence time in its distribution system and at points in its distribution system representing high TTHM and HAA5 concentrations throughout the system.</w:t>
      </w:r>
    </w:p>
    <w:p w14:paraId="31B50BA1" w14:textId="5A4FBB20" w:rsidR="00371746" w:rsidRPr="003B4362" w:rsidRDefault="00371746" w:rsidP="00371746">
      <w:pPr>
        <w:ind w:left="1440"/>
      </w:pPr>
      <w:r w:rsidRPr="003B4362">
        <w:t xml:space="preserve">BOARD NOTE:  </w:t>
      </w:r>
      <w:r w:rsidRPr="003B4362">
        <w:rPr>
          <w:spacing w:val="-3"/>
        </w:rPr>
        <w:t xml:space="preserve">This definition derives </w:t>
      </w:r>
      <w:r w:rsidRPr="003B4362">
        <w:t>from 40 CFR 141.601(a) and (b).</w:t>
      </w:r>
    </w:p>
    <w:p w14:paraId="098BFDAD" w14:textId="77777777" w:rsidR="00371746" w:rsidRPr="003B4362" w:rsidRDefault="00371746" w:rsidP="00371746">
      <w:pPr>
        <w:suppressAutoHyphens/>
        <w:ind w:left="1440"/>
        <w:rPr>
          <w:spacing w:val="-3"/>
        </w:rPr>
      </w:pPr>
    </w:p>
    <w:p w14:paraId="5A8F95AF" w14:textId="3FCAB176" w:rsidR="00371746" w:rsidRPr="003B4362" w:rsidRDefault="00371746" w:rsidP="00371746">
      <w:pPr>
        <w:suppressAutoHyphens/>
        <w:ind w:left="1440"/>
        <w:rPr>
          <w:spacing w:val="-3"/>
        </w:rPr>
      </w:pPr>
      <w:r w:rsidRPr="003B4362">
        <w:rPr>
          <w:spacing w:val="-3"/>
        </w:rPr>
        <w:t>“Standard sample” means the aliquot of finished drinking water the supplier or laboratory examines for the presence of coliform bacteria.</w:t>
      </w:r>
    </w:p>
    <w:p w14:paraId="516E517C" w14:textId="77777777" w:rsidR="00371746" w:rsidRPr="003B4362" w:rsidRDefault="00371746" w:rsidP="00371746">
      <w:pPr>
        <w:suppressAutoHyphens/>
        <w:ind w:left="1440"/>
        <w:rPr>
          <w:spacing w:val="-3"/>
        </w:rPr>
      </w:pPr>
    </w:p>
    <w:p w14:paraId="1038E601" w14:textId="77777777" w:rsidR="00371746" w:rsidRPr="003B4362" w:rsidRDefault="00371746" w:rsidP="00371746">
      <w:pPr>
        <w:suppressAutoHyphens/>
        <w:ind w:left="1440"/>
      </w:pPr>
      <w:r w:rsidRPr="003B4362">
        <w:rPr>
          <w:spacing w:val="-3"/>
        </w:rPr>
        <w:t>“State-only MCL” means one of the inorganic maximum contaminant levels (MCLs) in Section 611.300</w:t>
      </w:r>
      <w:r w:rsidRPr="003B4362">
        <w:t xml:space="preserve"> or</w:t>
      </w:r>
      <w:r w:rsidRPr="003B4362">
        <w:rPr>
          <w:spacing w:val="-3"/>
        </w:rPr>
        <w:t xml:space="preserve"> organic MCLs in Section 611.310</w:t>
      </w:r>
      <w:r w:rsidRPr="003B4362">
        <w:t>.</w:t>
      </w:r>
    </w:p>
    <w:p w14:paraId="71DC73AD" w14:textId="77777777" w:rsidR="00371746" w:rsidRPr="003B4362" w:rsidRDefault="00371746" w:rsidP="00371746">
      <w:pPr>
        <w:suppressAutoHyphens/>
        <w:ind w:left="1440"/>
        <w:rPr>
          <w:spacing w:val="-3"/>
        </w:rPr>
      </w:pPr>
      <w:r w:rsidRPr="003B4362">
        <w:rPr>
          <w:spacing w:val="-3"/>
        </w:rPr>
        <w:t>BOARD NOTE:  State-only MCLs are those derived prior to the implementation of the USEPA “Phase II” regulations.  The Section 611.640 definition of this term, applying only to Subpart O, does not include the Section 611.300 inorganic MCLs.</w:t>
      </w:r>
    </w:p>
    <w:p w14:paraId="314EA058" w14:textId="77777777" w:rsidR="00371746" w:rsidRPr="003B4362" w:rsidRDefault="00371746" w:rsidP="00371746">
      <w:pPr>
        <w:suppressAutoHyphens/>
        <w:ind w:left="1440"/>
        <w:rPr>
          <w:spacing w:val="-2"/>
        </w:rPr>
      </w:pPr>
    </w:p>
    <w:p w14:paraId="306A2A69" w14:textId="47915865" w:rsidR="00371746" w:rsidRPr="003B4362" w:rsidRDefault="00371746" w:rsidP="00371746">
      <w:pPr>
        <w:suppressAutoHyphens/>
        <w:ind w:left="1440"/>
        <w:rPr>
          <w:spacing w:val="-2"/>
        </w:rPr>
      </w:pPr>
      <w:r w:rsidRPr="003B4362">
        <w:rPr>
          <w:spacing w:val="-2"/>
        </w:rPr>
        <w:t xml:space="preserve">“Subpart B system” means a PWS using surface water or groundwater under the direct influence of surface water as a source </w:t>
      </w:r>
      <w:r w:rsidRPr="003B4362">
        <w:t xml:space="preserve">that </w:t>
      </w:r>
      <w:r w:rsidRPr="003B4362">
        <w:rPr>
          <w:spacing w:val="-2"/>
        </w:rPr>
        <w:t xml:space="preserve">is subject to Subpart B and the analytical and monitoring requirements of </w:t>
      </w:r>
      <w:bookmarkStart w:id="202" w:name="_Hlk16174740"/>
      <w:r w:rsidRPr="003B4362">
        <w:rPr>
          <w:spacing w:val="-2"/>
        </w:rPr>
        <w:t>Sections 611.531, 611.532, and 611.533 and Appendices B and C</w:t>
      </w:r>
      <w:bookmarkEnd w:id="202"/>
      <w:r w:rsidRPr="003B4362">
        <w:rPr>
          <w:spacing w:val="-2"/>
        </w:rPr>
        <w:t>.</w:t>
      </w:r>
    </w:p>
    <w:p w14:paraId="73E9BAD5" w14:textId="77777777" w:rsidR="00371746" w:rsidRPr="003B4362" w:rsidRDefault="00371746" w:rsidP="00371746">
      <w:pPr>
        <w:suppressAutoHyphens/>
        <w:ind w:left="1440"/>
        <w:rPr>
          <w:spacing w:val="-2"/>
        </w:rPr>
      </w:pPr>
      <w:r w:rsidRPr="003B4362">
        <w:rPr>
          <w:spacing w:val="-2"/>
        </w:rPr>
        <w:t>BOARD NOTE:  USEPA rules define these “subpart H systems”.</w:t>
      </w:r>
    </w:p>
    <w:p w14:paraId="68B18286" w14:textId="77777777" w:rsidR="00371746" w:rsidRPr="003B4362" w:rsidRDefault="00371746" w:rsidP="00371746">
      <w:pPr>
        <w:suppressAutoHyphens/>
        <w:ind w:left="1440"/>
      </w:pPr>
    </w:p>
    <w:p w14:paraId="7CE94656" w14:textId="2DF8F8A7" w:rsidR="00371746" w:rsidRPr="003B4362" w:rsidRDefault="00371746" w:rsidP="00371746">
      <w:pPr>
        <w:suppressAutoHyphens/>
        <w:ind w:left="1440"/>
      </w:pPr>
      <w:r w:rsidRPr="003B4362">
        <w:t>“Subpart I compliance monitoring” means monitoring required under Subpart I to demonstrate compliance with requirements for disinfectant residuals, disinfection byproducts, and disinfection byproduct precursors.</w:t>
      </w:r>
    </w:p>
    <w:p w14:paraId="1C3C5485" w14:textId="77777777" w:rsidR="00371746" w:rsidRPr="003B4362" w:rsidRDefault="00371746" w:rsidP="00371746">
      <w:pPr>
        <w:suppressAutoHyphens/>
        <w:ind w:left="1440"/>
        <w:rPr>
          <w:spacing w:val="-2"/>
        </w:rPr>
      </w:pPr>
      <w:r w:rsidRPr="003B4362">
        <w:rPr>
          <w:spacing w:val="-2"/>
        </w:rPr>
        <w:t>BOARD NOTE:  The equivalent to Subpart I is subpart L of 40 CFR 141 under USEPA’s rules.</w:t>
      </w:r>
    </w:p>
    <w:p w14:paraId="032ABB25" w14:textId="77777777" w:rsidR="00371746" w:rsidRPr="003B4362" w:rsidRDefault="00371746" w:rsidP="00371746">
      <w:pPr>
        <w:suppressAutoHyphens/>
        <w:ind w:left="1440"/>
      </w:pPr>
    </w:p>
    <w:p w14:paraId="195A28E6" w14:textId="056DB3A5" w:rsidR="00371746" w:rsidRPr="003B4362" w:rsidRDefault="00371746" w:rsidP="00371746">
      <w:pPr>
        <w:suppressAutoHyphens/>
        <w:ind w:left="1440"/>
      </w:pPr>
      <w:r w:rsidRPr="003B4362">
        <w:lastRenderedPageBreak/>
        <w:t xml:space="preserve">“Subpart Y compliance monitoring” or “Subpart Y monitoring” means monitoring Subpart Y requires to demonstrate compliance with </w:t>
      </w:r>
      <w:r w:rsidRPr="003B4362">
        <w:rPr>
          <w:szCs w:val="18"/>
        </w:rPr>
        <w:t xml:space="preserve">Stage 2 </w:t>
      </w:r>
      <w:r w:rsidRPr="003B4362">
        <w:t xml:space="preserve">requirements for </w:t>
      </w:r>
      <w:r w:rsidRPr="003B4362">
        <w:rPr>
          <w:szCs w:val="18"/>
        </w:rPr>
        <w:t>disinfection byproducts</w:t>
      </w:r>
      <w:r w:rsidRPr="003B4362">
        <w:t>.</w:t>
      </w:r>
    </w:p>
    <w:p w14:paraId="32DFCAB6" w14:textId="77777777" w:rsidR="00371746" w:rsidRPr="003B4362" w:rsidRDefault="00371746" w:rsidP="00371746">
      <w:pPr>
        <w:suppressAutoHyphens/>
        <w:ind w:left="1440"/>
        <w:rPr>
          <w:spacing w:val="-2"/>
        </w:rPr>
      </w:pPr>
      <w:r w:rsidRPr="003B4362">
        <w:rPr>
          <w:spacing w:val="-2"/>
        </w:rPr>
        <w:t>BOARD NOTE:  The equivalent to Subpart Y is subpart V of 40 CFR 141 under USEPA’s rules.</w:t>
      </w:r>
    </w:p>
    <w:p w14:paraId="4E7079B7" w14:textId="77777777" w:rsidR="00371746" w:rsidRPr="003B4362" w:rsidRDefault="00371746" w:rsidP="00371746">
      <w:pPr>
        <w:suppressAutoHyphens/>
        <w:ind w:left="1440"/>
        <w:rPr>
          <w:spacing w:val="-3"/>
        </w:rPr>
      </w:pPr>
    </w:p>
    <w:p w14:paraId="4BFA33E7" w14:textId="1F305B56" w:rsidR="00371746" w:rsidRPr="003B4362" w:rsidRDefault="00371746" w:rsidP="00371746">
      <w:pPr>
        <w:suppressAutoHyphens/>
        <w:ind w:left="1440"/>
        <w:rPr>
          <w:spacing w:val="-3"/>
        </w:rPr>
      </w:pPr>
      <w:r w:rsidRPr="003B4362">
        <w:rPr>
          <w:spacing w:val="-3"/>
        </w:rPr>
        <w:t xml:space="preserve">“Supplier” means </w:t>
      </w:r>
      <w:bookmarkStart w:id="203" w:name="_Hlk129622903"/>
      <w:r w:rsidRPr="003B4362">
        <w:rPr>
          <w:spacing w:val="-3"/>
        </w:rPr>
        <w:t xml:space="preserve">any person owning or operating </w:t>
      </w:r>
      <w:bookmarkEnd w:id="203"/>
      <w:r w:rsidRPr="003B4362">
        <w:rPr>
          <w:spacing w:val="-3"/>
        </w:rPr>
        <w:t>a PWS.  This term includes the “official custodian</w:t>
      </w:r>
      <w:r w:rsidRPr="003B4362">
        <w:t>”.  Under several rules, “supplier” includes a person performing a compliance-related activity on behalf of the owner or operator (e.g., a laboratory performing analyses, an engineer performing an assessment, design review, system evaluation, or other work, or a property owner or occupant sampling a tap).</w:t>
      </w:r>
    </w:p>
    <w:p w14:paraId="58A5F743" w14:textId="77777777" w:rsidR="00371746" w:rsidRPr="003B4362" w:rsidRDefault="00371746" w:rsidP="00371746">
      <w:pPr>
        <w:suppressAutoHyphens/>
        <w:ind w:left="1440"/>
        <w:rPr>
          <w:spacing w:val="-3"/>
        </w:rPr>
      </w:pPr>
    </w:p>
    <w:p w14:paraId="720BB714" w14:textId="1D2CACD7" w:rsidR="00371746" w:rsidRPr="003B4362" w:rsidRDefault="00371746" w:rsidP="00371746">
      <w:pPr>
        <w:suppressAutoHyphens/>
        <w:ind w:left="1440"/>
        <w:rPr>
          <w:spacing w:val="-3"/>
        </w:rPr>
      </w:pPr>
      <w:r w:rsidRPr="003B4362">
        <w:rPr>
          <w:spacing w:val="-3"/>
        </w:rPr>
        <w:t>“Surface water” means any water that is open to the atmosphere and subject to surface runoff.</w:t>
      </w:r>
    </w:p>
    <w:p w14:paraId="467B7021" w14:textId="77777777" w:rsidR="00371746" w:rsidRPr="003B4362" w:rsidRDefault="00371746" w:rsidP="00371746">
      <w:pPr>
        <w:suppressAutoHyphens/>
        <w:ind w:left="1440"/>
        <w:rPr>
          <w:spacing w:val="-2"/>
        </w:rPr>
      </w:pPr>
    </w:p>
    <w:p w14:paraId="08897131" w14:textId="31248DF9" w:rsidR="00371746" w:rsidRPr="003B4362" w:rsidRDefault="00371746" w:rsidP="00371746">
      <w:pPr>
        <w:suppressAutoHyphens/>
        <w:ind w:left="1440"/>
        <w:rPr>
          <w:spacing w:val="-2"/>
        </w:rPr>
      </w:pPr>
      <w:r w:rsidRPr="003B4362">
        <w:rPr>
          <w:spacing w:val="-2"/>
        </w:rPr>
        <w:t>“SUVA” means specific ultraviolet absorption at 254 nanometers (nm), an indicator of the humic content of water.  “SUVA” is a sample’s ultraviolet absorption at a wavelength of 254 nm (UV</w:t>
      </w:r>
      <w:r w:rsidRPr="003B4362">
        <w:rPr>
          <w:spacing w:val="-2"/>
          <w:vertAlign w:val="subscript"/>
        </w:rPr>
        <w:t>254</w:t>
      </w:r>
      <w:r w:rsidRPr="003B4362">
        <w:rPr>
          <w:spacing w:val="-2"/>
        </w:rPr>
        <w:t>) (in m</w:t>
      </w:r>
      <w:r w:rsidRPr="003B4362">
        <w:rPr>
          <w:spacing w:val="-2"/>
          <w:vertAlign w:val="superscript"/>
        </w:rPr>
        <w:noBreakHyphen/>
        <w:t>1</w:t>
      </w:r>
      <w:r w:rsidRPr="003B4362">
        <w:rPr>
          <w:spacing w:val="-2"/>
        </w:rPr>
        <w:t>) divided by its concentration of dissolved organic carbon (in mg/L).</w:t>
      </w:r>
    </w:p>
    <w:p w14:paraId="1BC8180E" w14:textId="77777777" w:rsidR="00371746" w:rsidRPr="003B4362" w:rsidRDefault="00371746" w:rsidP="00371746">
      <w:pPr>
        <w:suppressAutoHyphens/>
        <w:ind w:left="1440"/>
        <w:rPr>
          <w:spacing w:val="-3"/>
        </w:rPr>
      </w:pPr>
    </w:p>
    <w:p w14:paraId="664F8DDA" w14:textId="1EC960B0" w:rsidR="00371746" w:rsidRPr="003B4362" w:rsidRDefault="00371746" w:rsidP="00371746">
      <w:pPr>
        <w:suppressAutoHyphens/>
        <w:ind w:left="1440"/>
        <w:rPr>
          <w:spacing w:val="-3"/>
        </w:rPr>
      </w:pPr>
      <w:r w:rsidRPr="003B4362">
        <w:rPr>
          <w:spacing w:val="-3"/>
        </w:rPr>
        <w:t>“SWS” means “surface water system</w:t>
      </w:r>
      <w:r w:rsidRPr="003B4362">
        <w:rPr>
          <w:szCs w:val="16"/>
        </w:rPr>
        <w:t>”,</w:t>
      </w:r>
      <w:r w:rsidRPr="003B4362">
        <w:rPr>
          <w:spacing w:val="-3"/>
        </w:rPr>
        <w:t xml:space="preserve"> a PWS using only surface water sources, including groundwater under the direct influence of surface water</w:t>
      </w:r>
      <w:r w:rsidRPr="003B4362">
        <w:t>.</w:t>
      </w:r>
    </w:p>
    <w:p w14:paraId="1501C9F3" w14:textId="3D08DC16" w:rsidR="00371746" w:rsidRPr="003B4362" w:rsidRDefault="00371746" w:rsidP="00371746">
      <w:pPr>
        <w:suppressAutoHyphens/>
        <w:ind w:left="1440"/>
      </w:pPr>
      <w:r w:rsidRPr="003B4362">
        <w:t xml:space="preserve">BOARD NOTE:  </w:t>
      </w:r>
      <w:r w:rsidRPr="003B4362">
        <w:rPr>
          <w:spacing w:val="-3"/>
        </w:rPr>
        <w:t xml:space="preserve">This definition derives </w:t>
      </w:r>
      <w:r w:rsidRPr="003B4362">
        <w:t>from 40 CFR 141.23(a)(2) note, 141.24(h)(2) note, 141.70(a), and 141.88(a)(1)(ii)  note.</w:t>
      </w:r>
    </w:p>
    <w:p w14:paraId="00AD3C62" w14:textId="77777777" w:rsidR="00371746" w:rsidRPr="003B4362" w:rsidRDefault="00371746" w:rsidP="00371746">
      <w:pPr>
        <w:suppressAutoHyphens/>
        <w:ind w:left="1440"/>
      </w:pPr>
    </w:p>
    <w:p w14:paraId="10F22B8F" w14:textId="58333DBD" w:rsidR="00371746" w:rsidRPr="003B4362" w:rsidRDefault="00371746" w:rsidP="00371746">
      <w:pPr>
        <w:suppressAutoHyphens/>
        <w:ind w:left="1440"/>
      </w:pPr>
      <w:r w:rsidRPr="003B4362">
        <w:t>“System-specific study plan” means the plan a</w:t>
      </w:r>
      <w:r w:rsidR="002D1BD4">
        <w:t xml:space="preserve"> </w:t>
      </w:r>
      <w:r w:rsidRPr="003B4362">
        <w:t>supplier submits to the Agency under Section 611.922 for studying the occurrence of TTHM and HAA5 in the supplier’s distribution system based on either monitoring results or modelling of the system.</w:t>
      </w:r>
    </w:p>
    <w:p w14:paraId="357DCA05" w14:textId="53B551CB" w:rsidR="00371746" w:rsidRPr="003B4362" w:rsidRDefault="00371746" w:rsidP="00371746">
      <w:pPr>
        <w:suppressAutoHyphens/>
        <w:ind w:left="1440"/>
      </w:pPr>
      <w:r w:rsidRPr="003B4362">
        <w:t xml:space="preserve">BOARD NOTE:  </w:t>
      </w:r>
      <w:r w:rsidRPr="003B4362">
        <w:rPr>
          <w:spacing w:val="-3"/>
        </w:rPr>
        <w:t xml:space="preserve">This definition derives </w:t>
      </w:r>
      <w:r w:rsidRPr="003B4362">
        <w:t>from 40 CFR 141.602.</w:t>
      </w:r>
    </w:p>
    <w:p w14:paraId="35BBE238" w14:textId="77777777" w:rsidR="00371746" w:rsidRPr="003B4362" w:rsidRDefault="00371746" w:rsidP="00371746">
      <w:pPr>
        <w:suppressAutoHyphens/>
        <w:ind w:left="1440"/>
        <w:rPr>
          <w:spacing w:val="-3"/>
        </w:rPr>
      </w:pPr>
    </w:p>
    <w:p w14:paraId="03E24993" w14:textId="6E0FAC83" w:rsidR="00371746" w:rsidRPr="003B4362" w:rsidRDefault="00371746" w:rsidP="00371746">
      <w:pPr>
        <w:suppressAutoHyphens/>
        <w:ind w:left="1440"/>
        <w:rPr>
          <w:spacing w:val="-3"/>
        </w:rPr>
      </w:pPr>
      <w:r w:rsidRPr="003B4362">
        <w:rPr>
          <w:spacing w:val="-3"/>
        </w:rPr>
        <w:t>“System with a single service connection” means a system supplying drinking water to consumers via a single service line.</w:t>
      </w:r>
    </w:p>
    <w:p w14:paraId="1B2D4DF8" w14:textId="77777777" w:rsidR="00371746" w:rsidRPr="003B4362" w:rsidRDefault="00371746" w:rsidP="00371746">
      <w:pPr>
        <w:suppressAutoHyphens/>
        <w:ind w:left="1440"/>
        <w:rPr>
          <w:spacing w:val="-3"/>
        </w:rPr>
      </w:pPr>
    </w:p>
    <w:p w14:paraId="3414D419" w14:textId="77777777" w:rsidR="00371746" w:rsidRPr="003B4362" w:rsidRDefault="00371746" w:rsidP="00371746">
      <w:pPr>
        <w:suppressAutoHyphens/>
        <w:ind w:left="1440"/>
        <w:rPr>
          <w:spacing w:val="-3"/>
        </w:rPr>
      </w:pPr>
      <w:r w:rsidRPr="003B4362">
        <w:rPr>
          <w:spacing w:val="-3"/>
        </w:rPr>
        <w:t>“Too numerous to count” means that the total number of bacterial colonies exceeds 200 on a 47-mm diameter membrane filter used for coliform detection.</w:t>
      </w:r>
    </w:p>
    <w:p w14:paraId="1E1994FB" w14:textId="77777777" w:rsidR="00371746" w:rsidRPr="003B4362" w:rsidRDefault="00371746" w:rsidP="00371746">
      <w:pPr>
        <w:suppressAutoHyphens/>
        <w:ind w:left="1440"/>
        <w:rPr>
          <w:spacing w:val="-2"/>
        </w:rPr>
      </w:pPr>
    </w:p>
    <w:p w14:paraId="5675291D" w14:textId="1EA30195" w:rsidR="00371746" w:rsidRPr="003B4362" w:rsidRDefault="00371746" w:rsidP="00371746">
      <w:pPr>
        <w:suppressAutoHyphens/>
        <w:ind w:left="1440"/>
        <w:rPr>
          <w:spacing w:val="-2"/>
        </w:rPr>
      </w:pPr>
      <w:r w:rsidRPr="003B4362">
        <w:rPr>
          <w:spacing w:val="-2"/>
        </w:rPr>
        <w:t>“Total organic carbon” or “TOC” means total organic carbon (in mg/ L) measured using heat, oxygen, ultraviolet irradiation, chemical oxidants</w:t>
      </w:r>
      <w:r w:rsidRPr="003B4362">
        <w:t>, or</w:t>
      </w:r>
      <w:r w:rsidRPr="003B4362">
        <w:rPr>
          <w:spacing w:val="-2"/>
        </w:rPr>
        <w:t xml:space="preserve"> combinations of these to oxidize organic carbon to carbon dioxide, rounded to two significant figures.</w:t>
      </w:r>
    </w:p>
    <w:p w14:paraId="67B725C2" w14:textId="77777777" w:rsidR="00371746" w:rsidRPr="003B4362" w:rsidRDefault="00371746" w:rsidP="00371746">
      <w:pPr>
        <w:suppressAutoHyphens/>
        <w:ind w:left="1440"/>
        <w:rPr>
          <w:spacing w:val="-3"/>
        </w:rPr>
      </w:pPr>
    </w:p>
    <w:p w14:paraId="783076B7" w14:textId="4F21BA29" w:rsidR="00371746" w:rsidRPr="003B4362" w:rsidRDefault="00371746" w:rsidP="00371746">
      <w:pPr>
        <w:suppressAutoHyphens/>
        <w:ind w:left="1440"/>
        <w:rPr>
          <w:spacing w:val="-3"/>
        </w:rPr>
      </w:pPr>
      <w:r w:rsidRPr="003B4362">
        <w:rPr>
          <w:spacing w:val="-3"/>
        </w:rPr>
        <w:lastRenderedPageBreak/>
        <w:t>“Total trihalomethanes” or “TTHM” means the sum of the concentration of trihalomethanes (THMs) in milligrams per liter (mg/</w:t>
      </w:r>
      <w:r w:rsidRPr="003B4362">
        <w:rPr>
          <w:spacing w:val="-2"/>
        </w:rPr>
        <w:t xml:space="preserve"> L</w:t>
      </w:r>
      <w:r w:rsidRPr="003B4362">
        <w:rPr>
          <w:spacing w:val="-3"/>
        </w:rPr>
        <w:t>), rounded to two significant figures.</w:t>
      </w:r>
    </w:p>
    <w:p w14:paraId="76473241" w14:textId="010D13BE" w:rsidR="00371746" w:rsidRPr="003B4362" w:rsidRDefault="00371746" w:rsidP="00371746">
      <w:pPr>
        <w:suppressAutoHyphens/>
        <w:ind w:left="1440"/>
        <w:rPr>
          <w:spacing w:val="-3"/>
        </w:rPr>
      </w:pPr>
      <w:r w:rsidRPr="003B4362">
        <w:rPr>
          <w:spacing w:val="-3"/>
        </w:rPr>
        <w:t>BOARD NOTE:  The definition of “trihalomethanes” lists the four compounds that USEPA considers TTHMs.</w:t>
      </w:r>
    </w:p>
    <w:p w14:paraId="245FD77C" w14:textId="77777777" w:rsidR="00371746" w:rsidRPr="003B4362" w:rsidRDefault="00371746" w:rsidP="00371746">
      <w:pPr>
        <w:suppressAutoHyphens/>
        <w:ind w:left="1440"/>
        <w:rPr>
          <w:spacing w:val="-3"/>
        </w:rPr>
      </w:pPr>
    </w:p>
    <w:p w14:paraId="0BDA6ADE" w14:textId="39E869B4" w:rsidR="00371746" w:rsidRPr="003B4362" w:rsidRDefault="00371746" w:rsidP="00371746">
      <w:pPr>
        <w:suppressAutoHyphens/>
        <w:ind w:left="1440"/>
        <w:rPr>
          <w:spacing w:val="-3"/>
        </w:rPr>
      </w:pPr>
      <w:r w:rsidRPr="003B4362">
        <w:rPr>
          <w:spacing w:val="-3"/>
        </w:rPr>
        <w:t>“Transient, non-community water system” or “transient non-CWS” means a non-CWS not regularly serving at least 25 of the same persons over six months of the year.</w:t>
      </w:r>
    </w:p>
    <w:p w14:paraId="554290AD" w14:textId="2D52B3D9" w:rsidR="00371746" w:rsidRPr="003B4362" w:rsidRDefault="00371746" w:rsidP="00371746">
      <w:pPr>
        <w:suppressAutoHyphens/>
        <w:ind w:left="1440"/>
        <w:rPr>
          <w:spacing w:val="-3"/>
        </w:rPr>
      </w:pPr>
      <w:r w:rsidRPr="003B4362">
        <w:rPr>
          <w:spacing w:val="-3"/>
        </w:rPr>
        <w:t>BOARD NOTE:  The federal regulations apply to all “public water systems</w:t>
      </w:r>
      <w:r w:rsidRPr="003B4362">
        <w:rPr>
          <w:szCs w:val="16"/>
        </w:rPr>
        <w:t>”,</w:t>
      </w:r>
      <w:r w:rsidRPr="003B4362">
        <w:rPr>
          <w:spacing w:val="-3"/>
        </w:rPr>
        <w:t xml:space="preserve"> defined as all systems having at least 15 service connections or regularly serving water to at least 25 persons.  </w:t>
      </w:r>
      <w:r w:rsidRPr="003B4362">
        <w:t>(</w:t>
      </w:r>
      <w:r w:rsidRPr="003B4362">
        <w:rPr>
          <w:spacing w:val="-3"/>
        </w:rPr>
        <w:t>See 42 U.S.C. 300f(4).</w:t>
      </w:r>
      <w:r w:rsidRPr="003B4362">
        <w:t>)</w:t>
      </w:r>
      <w:r w:rsidRPr="003B4362">
        <w:rPr>
          <w:spacing w:val="-3"/>
        </w:rPr>
        <w:t xml:space="preserve">  The Act mandates that the Board and the Agency regulate “public water supplies</w:t>
      </w:r>
      <w:r w:rsidRPr="003B4362">
        <w:rPr>
          <w:szCs w:val="16"/>
        </w:rPr>
        <w:t>”,</w:t>
      </w:r>
      <w:r w:rsidRPr="003B4362">
        <w:rPr>
          <w:spacing w:val="-3"/>
        </w:rPr>
        <w:t xml:space="preserve"> defined as having at least 15 service connections or regularly serving 25 persons daily at least 60 days per year.  </w:t>
      </w:r>
      <w:r w:rsidRPr="003B4362">
        <w:t>(</w:t>
      </w:r>
      <w:r w:rsidRPr="003B4362">
        <w:rPr>
          <w:spacing w:val="-3"/>
        </w:rPr>
        <w:t>See Section 3.365 of the Act.</w:t>
      </w:r>
      <w:r w:rsidRPr="003B4362">
        <w:t>)</w:t>
      </w:r>
      <w:r w:rsidRPr="003B4362">
        <w:rPr>
          <w:spacing w:val="-3"/>
        </w:rPr>
        <w:t xml:space="preserve">  The Department of Public Health regulates transient non-CWSs.</w:t>
      </w:r>
    </w:p>
    <w:p w14:paraId="75B5285E" w14:textId="77777777" w:rsidR="00371746" w:rsidRPr="003B4362" w:rsidRDefault="00371746" w:rsidP="00371746">
      <w:pPr>
        <w:suppressAutoHyphens/>
        <w:ind w:left="1440"/>
        <w:rPr>
          <w:spacing w:val="-3"/>
        </w:rPr>
      </w:pPr>
    </w:p>
    <w:p w14:paraId="41DA9117" w14:textId="5A853DF3" w:rsidR="00371746" w:rsidRPr="003B4362" w:rsidRDefault="00371746" w:rsidP="00371746">
      <w:pPr>
        <w:suppressAutoHyphens/>
        <w:ind w:left="1440"/>
        <w:rPr>
          <w:spacing w:val="-3"/>
        </w:rPr>
      </w:pPr>
      <w:r w:rsidRPr="003B4362">
        <w:rPr>
          <w:spacing w:val="-3"/>
        </w:rPr>
        <w:t>“Treatment” means any process changing the physical, chemical, microbiological</w:t>
      </w:r>
      <w:r w:rsidRPr="003B4362">
        <w:t>, or</w:t>
      </w:r>
      <w:r w:rsidRPr="003B4362">
        <w:rPr>
          <w:spacing w:val="-3"/>
        </w:rPr>
        <w:t xml:space="preserve"> radiological properties of water that is under the control of the supplier and is not a point-of-use treatment device or a point-of-entry treatment device.  T</w:t>
      </w:r>
      <w:bookmarkStart w:id="204" w:name="_Hlk26467514"/>
      <w:r w:rsidRPr="003B4362">
        <w:rPr>
          <w:spacing w:val="-3"/>
        </w:rPr>
        <w:t xml:space="preserve">reatment includes </w:t>
      </w:r>
      <w:bookmarkStart w:id="205" w:name="_Hlk26467485"/>
      <w:bookmarkEnd w:id="204"/>
      <w:r w:rsidRPr="003B4362">
        <w:rPr>
          <w:spacing w:val="-3"/>
        </w:rPr>
        <w:t>aeration, coagulation, sedimentation, filtration, activated carbon treatment, disinfection, or fluoridation</w:t>
      </w:r>
      <w:bookmarkEnd w:id="205"/>
      <w:r w:rsidRPr="003B4362">
        <w:rPr>
          <w:spacing w:val="-3"/>
        </w:rPr>
        <w:t>.</w:t>
      </w:r>
    </w:p>
    <w:p w14:paraId="78FCEB68" w14:textId="77777777" w:rsidR="00371746" w:rsidRPr="003B4362" w:rsidRDefault="00371746" w:rsidP="00371746">
      <w:pPr>
        <w:suppressAutoHyphens/>
        <w:ind w:left="1440"/>
        <w:rPr>
          <w:spacing w:val="-3"/>
        </w:rPr>
      </w:pPr>
    </w:p>
    <w:p w14:paraId="19DFDCA2" w14:textId="021708C3" w:rsidR="00371746" w:rsidRPr="003B4362" w:rsidRDefault="00371746" w:rsidP="00371746">
      <w:pPr>
        <w:suppressAutoHyphens/>
        <w:ind w:left="1440"/>
        <w:rPr>
          <w:spacing w:val="-3"/>
        </w:rPr>
      </w:pPr>
      <w:r w:rsidRPr="003B4362">
        <w:rPr>
          <w:spacing w:val="-3"/>
        </w:rPr>
        <w:t>“Trihalomethane” or “THM” means one of four specific derivatives of methane in which halogens substitute three of the four hydrogen atoms in the molecular structure.  There are four THMs:</w:t>
      </w:r>
    </w:p>
    <w:p w14:paraId="3C200366" w14:textId="77777777" w:rsidR="00371746" w:rsidRPr="003B4362" w:rsidRDefault="00371746" w:rsidP="00371746">
      <w:pPr>
        <w:ind w:left="2160"/>
      </w:pPr>
    </w:p>
    <w:p w14:paraId="332F4403" w14:textId="77777777" w:rsidR="00371746" w:rsidRPr="003B4362" w:rsidRDefault="00371746" w:rsidP="00371746">
      <w:pPr>
        <w:ind w:left="2160"/>
      </w:pPr>
      <w:r w:rsidRPr="003B4362">
        <w:t>Trichloromethane (chloroform),</w:t>
      </w:r>
    </w:p>
    <w:p w14:paraId="3750E668" w14:textId="77777777" w:rsidR="00371746" w:rsidRPr="003B4362" w:rsidRDefault="00371746" w:rsidP="00371746">
      <w:pPr>
        <w:ind w:left="2160"/>
      </w:pPr>
    </w:p>
    <w:p w14:paraId="35A3E9EA" w14:textId="77777777" w:rsidR="00371746" w:rsidRPr="003B4362" w:rsidRDefault="00371746" w:rsidP="00371746">
      <w:pPr>
        <w:ind w:left="2160"/>
      </w:pPr>
      <w:r w:rsidRPr="003B4362">
        <w:t>Dibromochloromethane,</w:t>
      </w:r>
    </w:p>
    <w:p w14:paraId="6C519072" w14:textId="77777777" w:rsidR="00371746" w:rsidRPr="003B4362" w:rsidRDefault="00371746" w:rsidP="00371746">
      <w:pPr>
        <w:ind w:left="2160"/>
      </w:pPr>
    </w:p>
    <w:p w14:paraId="101F4879" w14:textId="77777777" w:rsidR="00371746" w:rsidRPr="003B4362" w:rsidRDefault="00371746" w:rsidP="00371746">
      <w:pPr>
        <w:ind w:left="2160"/>
      </w:pPr>
      <w:r w:rsidRPr="003B4362">
        <w:t>Bromodichloromethane, and</w:t>
      </w:r>
    </w:p>
    <w:p w14:paraId="1B2C0288" w14:textId="77777777" w:rsidR="00371746" w:rsidRPr="003B4362" w:rsidRDefault="00371746" w:rsidP="00371746">
      <w:pPr>
        <w:ind w:left="2160"/>
      </w:pPr>
    </w:p>
    <w:p w14:paraId="0269D435" w14:textId="77777777" w:rsidR="00371746" w:rsidRPr="003B4362" w:rsidRDefault="00371746" w:rsidP="00371746">
      <w:pPr>
        <w:ind w:left="2160"/>
      </w:pPr>
      <w:r w:rsidRPr="003B4362">
        <w:t>Tribromomethane (bromoform)</w:t>
      </w:r>
    </w:p>
    <w:p w14:paraId="30FE9C98" w14:textId="77777777" w:rsidR="00371746" w:rsidRPr="003B4362" w:rsidRDefault="00371746" w:rsidP="00371746">
      <w:pPr>
        <w:ind w:left="1440"/>
      </w:pPr>
    </w:p>
    <w:p w14:paraId="32CA348F" w14:textId="13D8C25C" w:rsidR="00371746" w:rsidRPr="003B4362" w:rsidRDefault="00371746" w:rsidP="00371746">
      <w:pPr>
        <w:ind w:left="1440"/>
      </w:pPr>
      <w:r w:rsidRPr="003B4362">
        <w:t>“Two-stage lime softening” means a process in which adding chemical precipitant and precipitating hardness occur in two distinct clarification process units in series prior to filtration.</w:t>
      </w:r>
    </w:p>
    <w:p w14:paraId="1FA7FF06" w14:textId="77777777" w:rsidR="00371746" w:rsidRPr="003B4362" w:rsidRDefault="00371746" w:rsidP="00371746">
      <w:pPr>
        <w:ind w:left="1440"/>
      </w:pPr>
    </w:p>
    <w:p w14:paraId="0AEF558A" w14:textId="77777777" w:rsidR="00371746" w:rsidRPr="003B4362" w:rsidRDefault="00371746" w:rsidP="00371746">
      <w:pPr>
        <w:ind w:left="1440"/>
      </w:pPr>
      <w:r w:rsidRPr="003B4362">
        <w:t>“USEPA” means the U.S. Environmental Protection Agency.</w:t>
      </w:r>
    </w:p>
    <w:p w14:paraId="1AB136C6" w14:textId="77777777" w:rsidR="00371746" w:rsidRPr="003B4362" w:rsidRDefault="00371746" w:rsidP="00371746">
      <w:pPr>
        <w:ind w:left="1440"/>
      </w:pPr>
    </w:p>
    <w:p w14:paraId="1B8F00C8" w14:textId="2B3DD87E" w:rsidR="00371746" w:rsidRPr="003B4362" w:rsidRDefault="00371746" w:rsidP="00371746">
      <w:pPr>
        <w:ind w:left="1440"/>
      </w:pPr>
      <w:r w:rsidRPr="003B4362">
        <w:t>“Uncovered finished water storage facility” is a tank, reservoir, or other facility directly open to the atmosphere a supplier uses to store water that will undergo no further treatment to reduce microbial pathogens except residual disinfection.</w:t>
      </w:r>
    </w:p>
    <w:p w14:paraId="581DAAA2" w14:textId="77777777" w:rsidR="00371746" w:rsidRPr="003B4362" w:rsidRDefault="00371746" w:rsidP="00371746">
      <w:pPr>
        <w:suppressAutoHyphens/>
        <w:ind w:left="1440"/>
      </w:pPr>
    </w:p>
    <w:p w14:paraId="0527E89D" w14:textId="72CDDDB3" w:rsidR="00371746" w:rsidRPr="003B4362" w:rsidRDefault="00371746" w:rsidP="00371746">
      <w:pPr>
        <w:suppressAutoHyphens/>
        <w:ind w:left="1440"/>
      </w:pPr>
      <w:r w:rsidRPr="003B4362">
        <w:lastRenderedPageBreak/>
        <w:t>“Very small system waiver” means</w:t>
      </w:r>
      <w:bookmarkStart w:id="206" w:name="_Hlk129640274"/>
      <w:r w:rsidRPr="003B4362">
        <w:t xml:space="preserve"> a conditional waiver from Subpart W</w:t>
      </w:r>
      <w:bookmarkEnd w:id="206"/>
      <w:r w:rsidRPr="003B4362">
        <w:t xml:space="preserve"> </w:t>
      </w:r>
      <w:bookmarkStart w:id="207" w:name="_Hlk129640387"/>
      <w:r w:rsidRPr="003B4362">
        <w:t>available under Section 611.924 to a supplier serving fewer than 500 persons that took TTHM and HAA5 samples</w:t>
      </w:r>
      <w:bookmarkEnd w:id="207"/>
      <w:r w:rsidRPr="003B4362">
        <w:t xml:space="preserve"> under Subpart I.</w:t>
      </w:r>
    </w:p>
    <w:p w14:paraId="671387C1" w14:textId="1C630E3D" w:rsidR="00371746" w:rsidRPr="003B4362" w:rsidRDefault="00371746" w:rsidP="00371746">
      <w:pPr>
        <w:suppressAutoHyphens/>
        <w:ind w:left="1440"/>
      </w:pPr>
      <w:r w:rsidRPr="003B4362">
        <w:t xml:space="preserve">BOARD NOTE:  </w:t>
      </w:r>
      <w:r w:rsidRPr="003B4362">
        <w:rPr>
          <w:spacing w:val="-3"/>
        </w:rPr>
        <w:t xml:space="preserve">This definition derives </w:t>
      </w:r>
      <w:r w:rsidRPr="003B4362">
        <w:t>from 40 CFR 141.604.</w:t>
      </w:r>
    </w:p>
    <w:p w14:paraId="734BE435" w14:textId="77777777" w:rsidR="00371746" w:rsidRPr="003B4362" w:rsidRDefault="00371746" w:rsidP="00371746">
      <w:pPr>
        <w:suppressAutoHyphens/>
        <w:ind w:left="1440"/>
        <w:rPr>
          <w:spacing w:val="-3"/>
        </w:rPr>
      </w:pPr>
    </w:p>
    <w:p w14:paraId="417EB113" w14:textId="77777777" w:rsidR="00371746" w:rsidRPr="003B4362" w:rsidRDefault="00371746" w:rsidP="00371746">
      <w:pPr>
        <w:suppressAutoHyphens/>
        <w:ind w:left="1440"/>
        <w:rPr>
          <w:spacing w:val="-3"/>
        </w:rPr>
      </w:pPr>
      <w:r w:rsidRPr="003B4362">
        <w:rPr>
          <w:spacing w:val="-3"/>
        </w:rPr>
        <w:t>“Virus” means a virus of fecal origin that is infectious to humans by waterborne transmission.</w:t>
      </w:r>
    </w:p>
    <w:p w14:paraId="345C0E6E" w14:textId="77777777" w:rsidR="00371746" w:rsidRPr="003B4362" w:rsidRDefault="00371746" w:rsidP="00371746">
      <w:pPr>
        <w:suppressAutoHyphens/>
        <w:ind w:left="1440"/>
        <w:rPr>
          <w:spacing w:val="-3"/>
        </w:rPr>
      </w:pPr>
    </w:p>
    <w:p w14:paraId="4AA25459" w14:textId="1F25F834" w:rsidR="00371746" w:rsidRPr="003B4362" w:rsidRDefault="00371746" w:rsidP="00371746">
      <w:pPr>
        <w:suppressAutoHyphens/>
        <w:ind w:left="1440"/>
        <w:rPr>
          <w:spacing w:val="-3"/>
        </w:rPr>
      </w:pPr>
      <w:r w:rsidRPr="003B4362">
        <w:rPr>
          <w:spacing w:val="-3"/>
        </w:rPr>
        <w:t>“VOC” or “volatile organic chemical contaminant” refers to that group of contaminants designated as “VOCs</w:t>
      </w:r>
      <w:r w:rsidRPr="003B4362">
        <w:rPr>
          <w:szCs w:val="16"/>
        </w:rPr>
        <w:t>” in Section 611.311(a)</w:t>
      </w:r>
      <w:r w:rsidRPr="003B4362">
        <w:rPr>
          <w:spacing w:val="-3"/>
        </w:rPr>
        <w:t>.</w:t>
      </w:r>
    </w:p>
    <w:p w14:paraId="508AB19F" w14:textId="77777777" w:rsidR="00371746" w:rsidRPr="003B4362" w:rsidRDefault="00371746" w:rsidP="00371746">
      <w:pPr>
        <w:suppressAutoHyphens/>
        <w:ind w:left="1440"/>
        <w:rPr>
          <w:spacing w:val="-3"/>
        </w:rPr>
      </w:pPr>
    </w:p>
    <w:p w14:paraId="73CD120D" w14:textId="6DD0A670" w:rsidR="00371746" w:rsidRPr="003B4362" w:rsidRDefault="00371746" w:rsidP="00371746">
      <w:pPr>
        <w:suppressAutoHyphens/>
        <w:ind w:left="1440"/>
        <w:rPr>
          <w:spacing w:val="-3"/>
        </w:rPr>
      </w:pPr>
      <w:r w:rsidRPr="003B4362">
        <w:rPr>
          <w:spacing w:val="-3"/>
        </w:rPr>
        <w:t xml:space="preserve">“Waterborne disease outbreak” means </w:t>
      </w:r>
      <w:bookmarkStart w:id="208" w:name="_Hlk129640966"/>
      <w:r w:rsidRPr="003B4362">
        <w:rPr>
          <w:spacing w:val="-3"/>
        </w:rPr>
        <w:t>a significant occurrence</w:t>
      </w:r>
      <w:bookmarkEnd w:id="208"/>
      <w:r w:rsidRPr="003B4362">
        <w:rPr>
          <w:spacing w:val="-3"/>
        </w:rPr>
        <w:t xml:space="preserve"> of acute infectious illness epidemiologically associated with the ingestion of water from a </w:t>
      </w:r>
      <w:bookmarkStart w:id="209" w:name="_Hlk129641074"/>
      <w:r w:rsidRPr="003B4362">
        <w:rPr>
          <w:spacing w:val="-3"/>
        </w:rPr>
        <w:t>PWS</w:t>
      </w:r>
      <w:bookmarkEnd w:id="209"/>
      <w:r w:rsidRPr="003B4362">
        <w:rPr>
          <w:spacing w:val="-3"/>
        </w:rPr>
        <w:t xml:space="preserve"> that is deficient in treatment, as determined by </w:t>
      </w:r>
      <w:bookmarkStart w:id="210" w:name="_Hlk129641136"/>
      <w:r w:rsidRPr="003B4362">
        <w:rPr>
          <w:spacing w:val="-3"/>
        </w:rPr>
        <w:t>an appropriate local or State agency</w:t>
      </w:r>
      <w:bookmarkEnd w:id="210"/>
      <w:r w:rsidRPr="003B4362">
        <w:rPr>
          <w:spacing w:val="-3"/>
        </w:rPr>
        <w:t>.</w:t>
      </w:r>
    </w:p>
    <w:p w14:paraId="1D3A6F24" w14:textId="77777777" w:rsidR="00371746" w:rsidRPr="003B4362" w:rsidRDefault="00371746" w:rsidP="00371746">
      <w:pPr>
        <w:ind w:left="1440" w:right="720"/>
      </w:pPr>
    </w:p>
    <w:p w14:paraId="65C679A3" w14:textId="7BA00E72" w:rsidR="00371746" w:rsidRPr="003B4362" w:rsidRDefault="00371746" w:rsidP="00371746">
      <w:pPr>
        <w:ind w:left="1440" w:right="720"/>
      </w:pPr>
      <w:r w:rsidRPr="003B4362">
        <w:t xml:space="preserve">“Wellhead protection area” or “WHPA” means the surface and subsurface recharge area surrounding a </w:t>
      </w:r>
      <w:bookmarkStart w:id="211" w:name="_Hlk129641223"/>
      <w:r w:rsidRPr="003B4362">
        <w:t xml:space="preserve">CWS </w:t>
      </w:r>
      <w:bookmarkEnd w:id="211"/>
      <w:r w:rsidRPr="003B4362">
        <w:t>well or well field, delineated outside of any applicable setback zones (under Section 17.1 of the Act) under Illinois’ Wellhead Protection Program, through which contaminants are reasonably likely to move toward such well or well field.</w:t>
      </w:r>
    </w:p>
    <w:p w14:paraId="0A355FF3" w14:textId="77777777" w:rsidR="00371746" w:rsidRPr="003B4362" w:rsidRDefault="00371746" w:rsidP="00371746">
      <w:pPr>
        <w:ind w:left="1440" w:right="720"/>
      </w:pPr>
      <w:r w:rsidRPr="003B4362">
        <w:t>BOARD NOTE:  The Agency uses two guidance documents for identification of WHPAs:</w:t>
      </w:r>
    </w:p>
    <w:p w14:paraId="3CAE98D0" w14:textId="77777777" w:rsidR="00371746" w:rsidRPr="003B4362" w:rsidRDefault="00371746" w:rsidP="00371746">
      <w:pPr>
        <w:ind w:left="2160"/>
      </w:pPr>
    </w:p>
    <w:p w14:paraId="11292B7F" w14:textId="77777777" w:rsidR="00371746" w:rsidRPr="003B4362" w:rsidRDefault="00371746" w:rsidP="00371746">
      <w:pPr>
        <w:ind w:left="2160"/>
      </w:pPr>
      <w:r w:rsidRPr="003B4362">
        <w:t>“Guidance Document for Groundwater Protection Needs Assessments</w:t>
      </w:r>
      <w:r w:rsidRPr="003B4362">
        <w:rPr>
          <w:szCs w:val="16"/>
        </w:rPr>
        <w:t>”,</w:t>
      </w:r>
      <w:r w:rsidRPr="003B4362">
        <w:t xml:space="preserve"> Illinois Environmental Protection Agency, Illinois State Water Survey, and Illinois State Geologic Survey joint report, January 1995; and </w:t>
      </w:r>
    </w:p>
    <w:p w14:paraId="737668FF" w14:textId="77777777" w:rsidR="00371746" w:rsidRPr="003B4362" w:rsidRDefault="00371746" w:rsidP="00371746">
      <w:pPr>
        <w:ind w:left="2160"/>
      </w:pPr>
    </w:p>
    <w:p w14:paraId="20A6F1E1" w14:textId="77777777" w:rsidR="00371746" w:rsidRPr="003B4362" w:rsidRDefault="00371746" w:rsidP="00371746">
      <w:pPr>
        <w:ind w:left="2160"/>
      </w:pPr>
      <w:r w:rsidRPr="003B4362">
        <w:t>“The Illinois Wellhead Protection Program under Section 1428 of the Federal Safe Drinking Water Act</w:t>
      </w:r>
      <w:r w:rsidRPr="003B4362">
        <w:rPr>
          <w:szCs w:val="16"/>
        </w:rPr>
        <w:t>”,</w:t>
      </w:r>
      <w:r w:rsidRPr="003B4362">
        <w:t xml:space="preserve"> Illinois Environmental Protection Agency, No. 22480, October 1992.</w:t>
      </w:r>
    </w:p>
    <w:p w14:paraId="3F9A064D" w14:textId="77777777" w:rsidR="00371746" w:rsidRPr="003B4362" w:rsidRDefault="00371746" w:rsidP="00371746">
      <w:pPr>
        <w:suppressAutoHyphens/>
        <w:ind w:left="1440"/>
        <w:rPr>
          <w:spacing w:val="-3"/>
        </w:rPr>
      </w:pPr>
    </w:p>
    <w:p w14:paraId="12F08F58" w14:textId="66F535E1" w:rsidR="00371746" w:rsidRPr="003B4362" w:rsidRDefault="00371746" w:rsidP="00371746">
      <w:pPr>
        <w:suppressAutoHyphens/>
        <w:ind w:left="1440"/>
        <w:rPr>
          <w:spacing w:val="-3"/>
        </w:rPr>
      </w:pPr>
      <w:r w:rsidRPr="003B4362">
        <w:rPr>
          <w:spacing w:val="-3"/>
        </w:rPr>
        <w:t xml:space="preserve">“Wellhead protection program” means </w:t>
      </w:r>
      <w:bookmarkStart w:id="212" w:name="_Hlk129641329"/>
      <w:r w:rsidRPr="003B4362">
        <w:rPr>
          <w:spacing w:val="-3"/>
        </w:rPr>
        <w:t>the Illinois wellhead protection program</w:t>
      </w:r>
      <w:bookmarkEnd w:id="212"/>
      <w:r w:rsidRPr="003B4362">
        <w:rPr>
          <w:spacing w:val="-3"/>
        </w:rPr>
        <w:t xml:space="preserve">, approved by USEPA under </w:t>
      </w:r>
      <w:r w:rsidRPr="003B4362">
        <w:t xml:space="preserve">section </w:t>
      </w:r>
      <w:r w:rsidRPr="003B4362">
        <w:rPr>
          <w:spacing w:val="-3"/>
        </w:rPr>
        <w:t>1428 of the SDWA</w:t>
      </w:r>
      <w:r w:rsidRPr="003B4362">
        <w:t>, 42 U.S.C. 300h-7</w:t>
      </w:r>
      <w:r w:rsidRPr="003B4362">
        <w:rPr>
          <w:spacing w:val="-3"/>
        </w:rPr>
        <w:t>.</w:t>
      </w:r>
    </w:p>
    <w:p w14:paraId="31B7CE81" w14:textId="6820E010" w:rsidR="00371746" w:rsidRPr="003B4362" w:rsidRDefault="00371746" w:rsidP="00371746">
      <w:pPr>
        <w:suppressAutoHyphens/>
        <w:ind w:left="1440"/>
        <w:rPr>
          <w:spacing w:val="-3"/>
        </w:rPr>
      </w:pPr>
      <w:r w:rsidRPr="003B4362">
        <w:rPr>
          <w:spacing w:val="-3"/>
        </w:rPr>
        <w:t>BOARD NOTE:  This definition derives from 40 CFR 141.71(b).  The wellhead protection program includes the “groundwater protection needs assessment” under Section 17.1 of the Act and 35 Ill. Adm. Code 615 through 617.</w:t>
      </w:r>
    </w:p>
    <w:p w14:paraId="7379F2CB" w14:textId="77777777" w:rsidR="00371746" w:rsidRPr="003B4362" w:rsidRDefault="00371746" w:rsidP="00371746">
      <w:pPr>
        <w:ind w:left="1440"/>
      </w:pPr>
    </w:p>
    <w:p w14:paraId="28643DF9" w14:textId="29457A0D" w:rsidR="00371746" w:rsidRPr="003B4362" w:rsidRDefault="00371746" w:rsidP="00371746">
      <w:pPr>
        <w:ind w:left="1440"/>
      </w:pPr>
      <w:r w:rsidRPr="003B4362">
        <w:t xml:space="preserve">“Wholesale system” means </w:t>
      </w:r>
      <w:bookmarkStart w:id="213" w:name="_Hlk129641458"/>
      <w:r w:rsidRPr="003B4362">
        <w:t>a PWS treating source water</w:t>
      </w:r>
      <w:bookmarkEnd w:id="213"/>
      <w:r w:rsidRPr="003B4362">
        <w:t xml:space="preserve"> as necessary to produce finished water, </w:t>
      </w:r>
      <w:bookmarkStart w:id="214" w:name="_Hlk129641565"/>
      <w:r w:rsidRPr="003B4362">
        <w:t>delivering some or all</w:t>
      </w:r>
      <w:bookmarkEnd w:id="214"/>
      <w:r w:rsidRPr="003B4362">
        <w:t xml:space="preserve"> of that finished water to another PWS.  A</w:t>
      </w:r>
      <w:bookmarkStart w:id="215" w:name="_Hlk129643851"/>
      <w:r w:rsidRPr="003B4362">
        <w:t xml:space="preserve"> wholesale system may deliver water through a direct connection</w:t>
      </w:r>
      <w:bookmarkEnd w:id="215"/>
      <w:r w:rsidRPr="003B4362">
        <w:t xml:space="preserve"> or through the distribution system of one or more consecutive systems.</w:t>
      </w:r>
    </w:p>
    <w:p w14:paraId="28AA4669" w14:textId="77777777" w:rsidR="00371746" w:rsidRPr="003B4362" w:rsidRDefault="00371746" w:rsidP="00371746">
      <w:pPr>
        <w:suppressAutoHyphens/>
        <w:rPr>
          <w:spacing w:val="-3"/>
        </w:rPr>
      </w:pPr>
    </w:p>
    <w:p w14:paraId="275BF287" w14:textId="24ADF8B0" w:rsidR="00371746" w:rsidRPr="003B4362" w:rsidRDefault="00371746" w:rsidP="00371746">
      <w:pPr>
        <w:suppressAutoHyphens/>
        <w:rPr>
          <w:spacing w:val="-3"/>
        </w:rPr>
      </w:pPr>
      <w:r w:rsidRPr="003B4362">
        <w:rPr>
          <w:spacing w:val="-3"/>
        </w:rPr>
        <w:t xml:space="preserve">BOARD NOTE:  This Section derives from 40 CFR 141.2 </w:t>
      </w:r>
      <w:bookmarkStart w:id="216" w:name="_Hlk129644024"/>
      <w:r w:rsidRPr="003B4362">
        <w:rPr>
          <w:spacing w:val="-3"/>
        </w:rPr>
        <w:t>and other sources as noted</w:t>
      </w:r>
      <w:bookmarkEnd w:id="216"/>
      <w:r w:rsidRPr="003B4362">
        <w:rPr>
          <w:spacing w:val="-3"/>
        </w:rPr>
        <w:t>.</w:t>
      </w:r>
    </w:p>
    <w:p w14:paraId="0D73EA5B" w14:textId="77777777" w:rsidR="00371746" w:rsidRPr="003B4362" w:rsidRDefault="00371746" w:rsidP="00371746">
      <w:pPr>
        <w:suppressAutoHyphens/>
        <w:ind w:left="720"/>
      </w:pPr>
    </w:p>
    <w:p w14:paraId="32F25936" w14:textId="1F404A06" w:rsidR="00371746" w:rsidRPr="003B4362" w:rsidRDefault="00371746" w:rsidP="00371746">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1E99EDDD" w14:textId="5963F187" w:rsidR="00002933" w:rsidRPr="003B4362" w:rsidRDefault="00002933" w:rsidP="00DC4FF9">
      <w:pPr>
        <w:suppressAutoHyphens/>
        <w:ind w:left="720"/>
      </w:pPr>
    </w:p>
    <w:p w14:paraId="5ACF7A2C" w14:textId="77777777" w:rsidR="00AD24B5" w:rsidRPr="003B4362" w:rsidRDefault="00AD24B5" w:rsidP="00AD24B5">
      <w:pPr>
        <w:rPr>
          <w:b/>
          <w:bCs/>
        </w:rPr>
      </w:pPr>
      <w:r w:rsidRPr="003B4362">
        <w:rPr>
          <w:b/>
          <w:bCs/>
        </w:rPr>
        <w:t>Section 611.102  Incorporations by Reference</w:t>
      </w:r>
    </w:p>
    <w:p w14:paraId="648EDF2C" w14:textId="77777777" w:rsidR="00AD24B5" w:rsidRPr="003B4362" w:rsidRDefault="00AD24B5" w:rsidP="00AD24B5">
      <w:pPr>
        <w:rPr>
          <w:b/>
          <w:bCs/>
        </w:rPr>
      </w:pPr>
    </w:p>
    <w:p w14:paraId="5814781E" w14:textId="77777777" w:rsidR="00AD24B5" w:rsidRPr="003B4362" w:rsidRDefault="00AD24B5" w:rsidP="00AD24B5">
      <w:pPr>
        <w:ind w:left="1440" w:hanging="720"/>
      </w:pPr>
      <w:r w:rsidRPr="003B4362">
        <w:t>a)</w:t>
      </w:r>
      <w:r w:rsidRPr="003B4362">
        <w:tab/>
        <w:t>Analytical Methods.  The Board incorporates by reference the following analytical methods.  T</w:t>
      </w:r>
      <w:bookmarkStart w:id="217" w:name="_Hlk129644097"/>
      <w:r w:rsidRPr="003B4362">
        <w:t>he rules refer to the methods by the defined short-form names given them in this Section</w:t>
      </w:r>
      <w:bookmarkEnd w:id="217"/>
      <w:r w:rsidRPr="003B4362">
        <w:t>.</w:t>
      </w:r>
    </w:p>
    <w:p w14:paraId="24510EA3" w14:textId="77777777" w:rsidR="00AD24B5" w:rsidRPr="003B4362" w:rsidRDefault="00AD24B5" w:rsidP="00AD24B5">
      <w:pPr>
        <w:ind w:left="1440" w:hanging="720"/>
      </w:pPr>
    </w:p>
    <w:p w14:paraId="54AB40BB" w14:textId="77777777" w:rsidR="00AD24B5" w:rsidRPr="003B4362" w:rsidRDefault="00AD24B5" w:rsidP="00AD24B5">
      <w:pPr>
        <w:ind w:left="2160"/>
        <w:rPr>
          <w:szCs w:val="22"/>
        </w:rPr>
      </w:pPr>
      <w:r w:rsidRPr="003B4362">
        <w:rPr>
          <w:szCs w:val="22"/>
        </w:rPr>
        <w:t>“AMI Turbiwell (09)” means “</w:t>
      </w:r>
      <w:r w:rsidRPr="003B4362">
        <w:t>Continuous Measurement of Turbidity Using a SWAN AMI Turbiwell Turbidimeter” (August 10, 2009</w:t>
      </w:r>
      <w:r w:rsidRPr="003B4362">
        <w:rPr>
          <w:szCs w:val="22"/>
        </w:rPr>
        <w:t xml:space="preserve">).  Available from </w:t>
      </w:r>
      <w:r w:rsidRPr="003B4362">
        <w:t>SWAN Analytische Instrumente AG, Studbachstrasse 13, CH-8340, Hinwil, Switzerland</w:t>
      </w:r>
      <w:r w:rsidRPr="003B4362">
        <w:rPr>
          <w:i/>
          <w:iCs/>
        </w:rPr>
        <w:t>.</w:t>
      </w:r>
      <w:r w:rsidRPr="003B4362">
        <w:rPr>
          <w:szCs w:val="22"/>
        </w:rPr>
        <w:t xml:space="preserve">  Referenced in Section 611.531</w:t>
      </w:r>
      <w:r w:rsidRPr="003B4362">
        <w:t>.  Available from the publisher; NEMI; and USEPA, OGWDW (under “Surface Water Treatment Rule (PDF)”)</w:t>
      </w:r>
      <w:r w:rsidRPr="003B4362">
        <w:rPr>
          <w:iCs/>
        </w:rPr>
        <w:t>.</w:t>
      </w:r>
    </w:p>
    <w:p w14:paraId="48DF24A5" w14:textId="77777777" w:rsidR="00AD24B5" w:rsidRPr="003B4362" w:rsidRDefault="00AD24B5" w:rsidP="00AD24B5">
      <w:pPr>
        <w:ind w:left="2160"/>
        <w:rPr>
          <w:szCs w:val="22"/>
        </w:rPr>
      </w:pPr>
    </w:p>
    <w:p w14:paraId="338D9832" w14:textId="77777777" w:rsidR="00AD24B5" w:rsidRPr="003B4362" w:rsidRDefault="00AD24B5" w:rsidP="00AD24B5">
      <w:pPr>
        <w:ind w:left="2160"/>
        <w:rPr>
          <w:szCs w:val="22"/>
        </w:rPr>
      </w:pPr>
      <w:r w:rsidRPr="003B4362">
        <w:rPr>
          <w:szCs w:val="22"/>
        </w:rPr>
        <w:t xml:space="preserve">ASTM Methods.  Available from ASTM International, 100 Barr Harbor Drive, West Conshohocken, PA 19428-2959 (610-832-9585 or </w:t>
      </w:r>
      <w:hyperlink r:id="rId8" w:history="1">
        <w:r w:rsidRPr="003B4362">
          <w:rPr>
            <w:rStyle w:val="Hyperlink"/>
            <w:szCs w:val="22"/>
          </w:rPr>
          <w:t>https://www.astm.org/products-services/standards-and-publications.html</w:t>
        </w:r>
      </w:hyperlink>
      <w:r w:rsidRPr="003B4362">
        <w:rPr>
          <w:szCs w:val="22"/>
        </w:rPr>
        <w:t xml:space="preserve"> ).</w:t>
      </w:r>
    </w:p>
    <w:p w14:paraId="5A14903A" w14:textId="77777777" w:rsidR="00AD24B5" w:rsidRPr="003B4362" w:rsidRDefault="00AD24B5" w:rsidP="00AD24B5">
      <w:pPr>
        <w:suppressAutoHyphens/>
        <w:ind w:left="2880"/>
        <w:rPr>
          <w:szCs w:val="22"/>
        </w:rPr>
      </w:pPr>
      <w:bookmarkStart w:id="218" w:name="_Hlk15914206"/>
    </w:p>
    <w:p w14:paraId="61EDE7A5" w14:textId="77777777" w:rsidR="00AD24B5" w:rsidRPr="003B4362" w:rsidRDefault="00AD24B5" w:rsidP="00AD24B5">
      <w:pPr>
        <w:suppressAutoHyphens/>
        <w:ind w:left="2880"/>
        <w:rPr>
          <w:szCs w:val="22"/>
        </w:rPr>
      </w:pPr>
      <w:r w:rsidRPr="003B4362">
        <w:rPr>
          <w:szCs w:val="22"/>
        </w:rPr>
        <w:t>“</w:t>
      </w:r>
      <w:bookmarkStart w:id="219" w:name="_Hlk9960885"/>
      <w:r w:rsidRPr="003B4362">
        <w:rPr>
          <w:szCs w:val="22"/>
        </w:rPr>
        <w:t>ASTM D511-93 A</w:t>
      </w:r>
      <w:bookmarkEnd w:id="219"/>
      <w:r w:rsidRPr="003B4362">
        <w:rPr>
          <w:szCs w:val="22"/>
        </w:rPr>
        <w:t>” means “Standard Test Methods for Calcium and Magnesium in Water</w:t>
      </w:r>
      <w:r w:rsidRPr="003B4362">
        <w:rPr>
          <w:szCs w:val="16"/>
        </w:rPr>
        <w:t>”,</w:t>
      </w:r>
      <w:r w:rsidRPr="003B4362">
        <w:rPr>
          <w:szCs w:val="22"/>
        </w:rPr>
        <w:t xml:space="preserve"> “</w:t>
      </w:r>
      <w:bookmarkStart w:id="220" w:name="_Hlk36759775"/>
      <w:r w:rsidRPr="003B4362">
        <w:rPr>
          <w:szCs w:val="22"/>
        </w:rPr>
        <w:t>Test Method A—Complexometric Titration</w:t>
      </w:r>
      <w:bookmarkEnd w:id="220"/>
      <w:r w:rsidRPr="003B4362">
        <w:rPr>
          <w:szCs w:val="22"/>
        </w:rPr>
        <w:t>”</w:t>
      </w:r>
      <w:r w:rsidRPr="003B4362">
        <w:rPr>
          <w:szCs w:val="16"/>
        </w:rPr>
        <w:t>,</w:t>
      </w:r>
      <w:r w:rsidRPr="003B4362">
        <w:rPr>
          <w:szCs w:val="22"/>
        </w:rPr>
        <w:t xml:space="preserve"> approved 1993, referenced in Section 611.611.</w:t>
      </w:r>
    </w:p>
    <w:p w14:paraId="7EDC9854" w14:textId="77777777" w:rsidR="00AD24B5" w:rsidRPr="003B4362" w:rsidRDefault="00AD24B5" w:rsidP="00AD24B5">
      <w:pPr>
        <w:suppressAutoHyphens/>
        <w:ind w:left="2880"/>
        <w:rPr>
          <w:szCs w:val="22"/>
        </w:rPr>
      </w:pPr>
    </w:p>
    <w:p w14:paraId="6FCCC43A" w14:textId="77777777" w:rsidR="00AD24B5" w:rsidRPr="003B4362" w:rsidRDefault="00AD24B5" w:rsidP="00AD24B5">
      <w:pPr>
        <w:suppressAutoHyphens/>
        <w:ind w:left="2880"/>
        <w:rPr>
          <w:szCs w:val="22"/>
        </w:rPr>
      </w:pPr>
      <w:r w:rsidRPr="003B4362">
        <w:rPr>
          <w:szCs w:val="22"/>
        </w:rPr>
        <w:t>“ASTM D511-03 A” means “Standard Test Methods for Calcium and Magnesium in Water</w:t>
      </w:r>
      <w:r w:rsidRPr="003B4362">
        <w:rPr>
          <w:szCs w:val="16"/>
        </w:rPr>
        <w:t>”,</w:t>
      </w:r>
      <w:r w:rsidRPr="003B4362">
        <w:rPr>
          <w:szCs w:val="22"/>
        </w:rPr>
        <w:t xml:space="preserve"> “Test Method A—Complexometric Titration”</w:t>
      </w:r>
      <w:r w:rsidRPr="003B4362">
        <w:rPr>
          <w:szCs w:val="16"/>
        </w:rPr>
        <w:t>,</w:t>
      </w:r>
      <w:r w:rsidRPr="003B4362">
        <w:rPr>
          <w:szCs w:val="22"/>
        </w:rPr>
        <w:t xml:space="preserve"> approved 2003, referenced in Section 611.611.</w:t>
      </w:r>
    </w:p>
    <w:p w14:paraId="1D90CCB3" w14:textId="77777777" w:rsidR="00AD24B5" w:rsidRPr="003B4362" w:rsidRDefault="00AD24B5" w:rsidP="00AD24B5">
      <w:pPr>
        <w:suppressAutoHyphens/>
        <w:ind w:left="2880"/>
        <w:rPr>
          <w:szCs w:val="22"/>
        </w:rPr>
      </w:pPr>
    </w:p>
    <w:p w14:paraId="5709AA98" w14:textId="77777777" w:rsidR="00AD24B5" w:rsidRPr="003B4362" w:rsidRDefault="00AD24B5" w:rsidP="00AD24B5">
      <w:pPr>
        <w:suppressAutoHyphens/>
        <w:ind w:left="2880"/>
        <w:rPr>
          <w:szCs w:val="22"/>
        </w:rPr>
      </w:pPr>
      <w:r w:rsidRPr="003B4362">
        <w:rPr>
          <w:szCs w:val="22"/>
        </w:rPr>
        <w:t>“ASTM D511-09 A” means “Standard Test Methods for Calcium and Magnesium in Water</w:t>
      </w:r>
      <w:r w:rsidRPr="003B4362">
        <w:rPr>
          <w:szCs w:val="16"/>
        </w:rPr>
        <w:t>”,</w:t>
      </w:r>
      <w:r w:rsidRPr="003B4362">
        <w:rPr>
          <w:szCs w:val="22"/>
        </w:rPr>
        <w:t xml:space="preserve"> “Test Method A—Complexometric Titration”</w:t>
      </w:r>
      <w:r w:rsidRPr="003B4362">
        <w:rPr>
          <w:szCs w:val="16"/>
        </w:rPr>
        <w:t>,</w:t>
      </w:r>
      <w:r w:rsidRPr="003B4362">
        <w:rPr>
          <w:szCs w:val="22"/>
        </w:rPr>
        <w:t xml:space="preserve"> approved 2009, referenced in Section 611.611.</w:t>
      </w:r>
    </w:p>
    <w:p w14:paraId="28E27292" w14:textId="77777777" w:rsidR="00AD24B5" w:rsidRPr="003B4362" w:rsidRDefault="00AD24B5" w:rsidP="00AD24B5">
      <w:pPr>
        <w:suppressAutoHyphens/>
        <w:ind w:left="2880"/>
        <w:rPr>
          <w:szCs w:val="22"/>
        </w:rPr>
      </w:pPr>
    </w:p>
    <w:p w14:paraId="12520D5B" w14:textId="77777777" w:rsidR="00AD24B5" w:rsidRPr="003B4362" w:rsidRDefault="00AD24B5" w:rsidP="00AD24B5">
      <w:pPr>
        <w:suppressAutoHyphens/>
        <w:ind w:left="2880"/>
        <w:rPr>
          <w:szCs w:val="22"/>
        </w:rPr>
      </w:pPr>
      <w:r w:rsidRPr="003B4362">
        <w:rPr>
          <w:szCs w:val="22"/>
        </w:rPr>
        <w:t>“ASTM D511-14 A” means “Standard Test Methods for Calcium and Magnesium in Water</w:t>
      </w:r>
      <w:r w:rsidRPr="003B4362">
        <w:rPr>
          <w:szCs w:val="16"/>
        </w:rPr>
        <w:t>”,</w:t>
      </w:r>
      <w:r w:rsidRPr="003B4362">
        <w:rPr>
          <w:szCs w:val="22"/>
        </w:rPr>
        <w:t xml:space="preserve"> “Test Method A—Complexometric Titration”</w:t>
      </w:r>
      <w:r w:rsidRPr="003B4362">
        <w:rPr>
          <w:szCs w:val="16"/>
        </w:rPr>
        <w:t>,</w:t>
      </w:r>
      <w:r w:rsidRPr="003B4362">
        <w:rPr>
          <w:szCs w:val="22"/>
        </w:rPr>
        <w:t xml:space="preserve"> approved 2014, referenced in Section 611.611.</w:t>
      </w:r>
    </w:p>
    <w:p w14:paraId="70D70604" w14:textId="77777777" w:rsidR="00AD24B5" w:rsidRPr="003B4362" w:rsidRDefault="00AD24B5" w:rsidP="00AD24B5">
      <w:pPr>
        <w:suppressAutoHyphens/>
        <w:ind w:left="2880"/>
        <w:rPr>
          <w:szCs w:val="22"/>
        </w:rPr>
      </w:pPr>
    </w:p>
    <w:p w14:paraId="040EBCDF" w14:textId="77777777" w:rsidR="00AD24B5" w:rsidRPr="003B4362" w:rsidRDefault="00AD24B5" w:rsidP="00AD24B5">
      <w:pPr>
        <w:suppressAutoHyphens/>
        <w:ind w:left="2880"/>
        <w:rPr>
          <w:szCs w:val="22"/>
        </w:rPr>
      </w:pPr>
      <w:r w:rsidRPr="003B4362">
        <w:rPr>
          <w:szCs w:val="22"/>
        </w:rPr>
        <w:t>“ASTM D511-93 B” means “Standard Test Methods for Calcium and Magnesium in Water</w:t>
      </w:r>
      <w:r w:rsidRPr="003B4362">
        <w:rPr>
          <w:szCs w:val="16"/>
        </w:rPr>
        <w:t>”,</w:t>
      </w:r>
      <w:r w:rsidRPr="003B4362">
        <w:rPr>
          <w:szCs w:val="22"/>
        </w:rPr>
        <w:t xml:space="preserve"> “Test Method B—Atomic Absorption Spectrophotometric</w:t>
      </w:r>
      <w:r w:rsidRPr="003B4362">
        <w:rPr>
          <w:szCs w:val="16"/>
        </w:rPr>
        <w:t>”,</w:t>
      </w:r>
      <w:r w:rsidRPr="003B4362">
        <w:rPr>
          <w:szCs w:val="22"/>
        </w:rPr>
        <w:t xml:space="preserve"> approved 1993, referenced in Section 611.611.</w:t>
      </w:r>
    </w:p>
    <w:p w14:paraId="44705C67" w14:textId="77777777" w:rsidR="00AD24B5" w:rsidRPr="003B4362" w:rsidRDefault="00AD24B5" w:rsidP="00AD24B5">
      <w:pPr>
        <w:suppressAutoHyphens/>
        <w:ind w:left="2880"/>
        <w:rPr>
          <w:szCs w:val="22"/>
        </w:rPr>
      </w:pPr>
    </w:p>
    <w:p w14:paraId="2595A766" w14:textId="77777777" w:rsidR="00AD24B5" w:rsidRPr="003B4362" w:rsidRDefault="00AD24B5" w:rsidP="00AD24B5">
      <w:pPr>
        <w:suppressAutoHyphens/>
        <w:ind w:left="2880"/>
        <w:rPr>
          <w:szCs w:val="22"/>
        </w:rPr>
      </w:pPr>
      <w:r w:rsidRPr="003B4362">
        <w:rPr>
          <w:szCs w:val="22"/>
        </w:rPr>
        <w:t>“ASTM D511-03 B” means “Standard Test Methods for Calcium and Magnesium in Water</w:t>
      </w:r>
      <w:r w:rsidRPr="003B4362">
        <w:rPr>
          <w:szCs w:val="16"/>
        </w:rPr>
        <w:t>”,</w:t>
      </w:r>
      <w:r w:rsidRPr="003B4362">
        <w:rPr>
          <w:szCs w:val="22"/>
        </w:rPr>
        <w:t xml:space="preserve"> “Test Method B—Atomic Absorption Spectrophotometric</w:t>
      </w:r>
      <w:r w:rsidRPr="003B4362">
        <w:rPr>
          <w:szCs w:val="16"/>
        </w:rPr>
        <w:t>”,</w:t>
      </w:r>
      <w:r w:rsidRPr="003B4362">
        <w:rPr>
          <w:szCs w:val="22"/>
        </w:rPr>
        <w:t xml:space="preserve"> approved 2003, referenced in Section 611.611.</w:t>
      </w:r>
    </w:p>
    <w:p w14:paraId="7943AE92" w14:textId="77777777" w:rsidR="00AD24B5" w:rsidRPr="003B4362" w:rsidRDefault="00AD24B5" w:rsidP="00AD24B5">
      <w:pPr>
        <w:suppressAutoHyphens/>
        <w:ind w:left="2880"/>
        <w:rPr>
          <w:szCs w:val="22"/>
        </w:rPr>
      </w:pPr>
    </w:p>
    <w:p w14:paraId="348D11EC" w14:textId="77777777" w:rsidR="00AD24B5" w:rsidRPr="003B4362" w:rsidRDefault="00AD24B5" w:rsidP="00AD24B5">
      <w:pPr>
        <w:suppressAutoHyphens/>
        <w:ind w:left="2880"/>
        <w:rPr>
          <w:szCs w:val="22"/>
        </w:rPr>
      </w:pPr>
      <w:r w:rsidRPr="003B4362">
        <w:rPr>
          <w:szCs w:val="22"/>
        </w:rPr>
        <w:lastRenderedPageBreak/>
        <w:t>“ASTM D511-09 B” means “Standard Test Methods for Calcium and Magnesium in Water</w:t>
      </w:r>
      <w:r w:rsidRPr="003B4362">
        <w:rPr>
          <w:szCs w:val="16"/>
        </w:rPr>
        <w:t>”,</w:t>
      </w:r>
      <w:r w:rsidRPr="003B4362">
        <w:rPr>
          <w:szCs w:val="22"/>
        </w:rPr>
        <w:t xml:space="preserve"> “Test Method B—Atomic Absorption Spectrophotometric</w:t>
      </w:r>
      <w:r w:rsidRPr="003B4362">
        <w:rPr>
          <w:szCs w:val="16"/>
        </w:rPr>
        <w:t>”,</w:t>
      </w:r>
      <w:r w:rsidRPr="003B4362">
        <w:rPr>
          <w:szCs w:val="22"/>
        </w:rPr>
        <w:t xml:space="preserve"> approved 2009, referenced in Section 611.611.</w:t>
      </w:r>
    </w:p>
    <w:p w14:paraId="22F56061" w14:textId="77777777" w:rsidR="00AD24B5" w:rsidRPr="003B4362" w:rsidRDefault="00AD24B5" w:rsidP="00AD24B5">
      <w:pPr>
        <w:suppressAutoHyphens/>
        <w:ind w:left="2880"/>
        <w:rPr>
          <w:szCs w:val="22"/>
        </w:rPr>
      </w:pPr>
    </w:p>
    <w:p w14:paraId="3A7F3451" w14:textId="77777777" w:rsidR="00AD24B5" w:rsidRPr="003B4362" w:rsidRDefault="00AD24B5" w:rsidP="00AD24B5">
      <w:pPr>
        <w:suppressAutoHyphens/>
        <w:ind w:left="2880"/>
        <w:rPr>
          <w:szCs w:val="22"/>
        </w:rPr>
      </w:pPr>
      <w:r w:rsidRPr="003B4362">
        <w:rPr>
          <w:szCs w:val="22"/>
        </w:rPr>
        <w:t>“ASTM D511-14 B” means “Standard Test Methods for Calcium and Magnesium in Water</w:t>
      </w:r>
      <w:r w:rsidRPr="003B4362">
        <w:rPr>
          <w:szCs w:val="16"/>
        </w:rPr>
        <w:t>”,</w:t>
      </w:r>
      <w:r w:rsidRPr="003B4362">
        <w:rPr>
          <w:szCs w:val="22"/>
        </w:rPr>
        <w:t xml:space="preserve"> “Test Method B—Atomic Absorption Spectrophotometric</w:t>
      </w:r>
      <w:r w:rsidRPr="003B4362">
        <w:rPr>
          <w:szCs w:val="16"/>
        </w:rPr>
        <w:t>”,</w:t>
      </w:r>
      <w:r w:rsidRPr="003B4362">
        <w:rPr>
          <w:szCs w:val="22"/>
        </w:rPr>
        <w:t xml:space="preserve"> approved 2014, referenced in Section 611.611.</w:t>
      </w:r>
    </w:p>
    <w:p w14:paraId="3D06E16A" w14:textId="77777777" w:rsidR="00AD24B5" w:rsidRPr="003B4362" w:rsidRDefault="00AD24B5" w:rsidP="00AD24B5">
      <w:pPr>
        <w:suppressAutoHyphens/>
        <w:ind w:left="2880"/>
        <w:rPr>
          <w:szCs w:val="22"/>
        </w:rPr>
      </w:pPr>
    </w:p>
    <w:p w14:paraId="4C027F1E" w14:textId="77777777" w:rsidR="00AD24B5" w:rsidRPr="003B4362" w:rsidRDefault="00AD24B5" w:rsidP="00AD24B5">
      <w:pPr>
        <w:suppressAutoHyphens/>
        <w:ind w:left="2880"/>
        <w:rPr>
          <w:szCs w:val="22"/>
        </w:rPr>
      </w:pPr>
      <w:r w:rsidRPr="003B4362">
        <w:rPr>
          <w:szCs w:val="22"/>
        </w:rPr>
        <w:t>“ASTM D515-88 A” means “Standard Test Methods for Phosphorus in Water</w:t>
      </w:r>
      <w:r w:rsidRPr="003B4362">
        <w:rPr>
          <w:szCs w:val="16"/>
        </w:rPr>
        <w:t>”,</w:t>
      </w:r>
      <w:r w:rsidRPr="003B4362">
        <w:rPr>
          <w:szCs w:val="22"/>
        </w:rPr>
        <w:t xml:space="preserve"> “Test Method A—Colorimetric Ascorbic Acid Reduction</w:t>
      </w:r>
      <w:r w:rsidRPr="003B4362">
        <w:rPr>
          <w:szCs w:val="16"/>
        </w:rPr>
        <w:t>”,</w:t>
      </w:r>
      <w:r w:rsidRPr="003B4362">
        <w:rPr>
          <w:szCs w:val="22"/>
        </w:rPr>
        <w:t xml:space="preserve"> approved August 19, 1988, referenced in Section 611.611.</w:t>
      </w:r>
    </w:p>
    <w:p w14:paraId="16D3730C" w14:textId="77777777" w:rsidR="00AD24B5" w:rsidRPr="003B4362" w:rsidRDefault="00AD24B5" w:rsidP="00AD24B5">
      <w:pPr>
        <w:suppressAutoHyphens/>
        <w:ind w:left="2880"/>
        <w:rPr>
          <w:szCs w:val="22"/>
        </w:rPr>
      </w:pPr>
    </w:p>
    <w:p w14:paraId="48F16255" w14:textId="77777777" w:rsidR="00AD24B5" w:rsidRPr="003B4362" w:rsidRDefault="00AD24B5" w:rsidP="00AD24B5">
      <w:pPr>
        <w:suppressAutoHyphens/>
        <w:ind w:left="2880"/>
        <w:rPr>
          <w:szCs w:val="22"/>
        </w:rPr>
      </w:pPr>
      <w:r w:rsidRPr="003B4362">
        <w:rPr>
          <w:szCs w:val="22"/>
        </w:rPr>
        <w:t>“ASTM D859-94” means “Standard Test Method for Silica in Water</w:t>
      </w:r>
      <w:r w:rsidRPr="003B4362">
        <w:rPr>
          <w:szCs w:val="16"/>
        </w:rPr>
        <w:t>”,</w:t>
      </w:r>
      <w:r w:rsidRPr="003B4362">
        <w:rPr>
          <w:szCs w:val="22"/>
        </w:rPr>
        <w:t xml:space="preserve"> approved 1994, referenced in Section 611.611.</w:t>
      </w:r>
    </w:p>
    <w:p w14:paraId="6F5641F3" w14:textId="77777777" w:rsidR="00AD24B5" w:rsidRPr="003B4362" w:rsidRDefault="00AD24B5" w:rsidP="00AD24B5">
      <w:pPr>
        <w:suppressAutoHyphens/>
        <w:ind w:left="2880"/>
        <w:rPr>
          <w:szCs w:val="22"/>
        </w:rPr>
      </w:pPr>
    </w:p>
    <w:p w14:paraId="5B2CF6C5" w14:textId="77777777" w:rsidR="00AD24B5" w:rsidRPr="003B4362" w:rsidRDefault="00AD24B5" w:rsidP="00AD24B5">
      <w:pPr>
        <w:suppressAutoHyphens/>
        <w:ind w:left="2880"/>
        <w:rPr>
          <w:szCs w:val="22"/>
        </w:rPr>
      </w:pPr>
      <w:r w:rsidRPr="003B4362">
        <w:rPr>
          <w:szCs w:val="22"/>
        </w:rPr>
        <w:t>“ASTM D859-00” means “Standard Test Method for Silica in Water</w:t>
      </w:r>
      <w:r w:rsidRPr="003B4362">
        <w:rPr>
          <w:szCs w:val="16"/>
        </w:rPr>
        <w:t>”,</w:t>
      </w:r>
      <w:r w:rsidRPr="003B4362">
        <w:rPr>
          <w:szCs w:val="22"/>
        </w:rPr>
        <w:t xml:space="preserve"> approved 2000, referenced in Section 611.611.</w:t>
      </w:r>
    </w:p>
    <w:p w14:paraId="6703C831" w14:textId="77777777" w:rsidR="00AD24B5" w:rsidRPr="003B4362" w:rsidRDefault="00AD24B5" w:rsidP="00AD24B5">
      <w:pPr>
        <w:suppressAutoHyphens/>
        <w:ind w:left="2880"/>
        <w:rPr>
          <w:szCs w:val="22"/>
        </w:rPr>
      </w:pPr>
    </w:p>
    <w:p w14:paraId="1723FDD5" w14:textId="77777777" w:rsidR="00AD24B5" w:rsidRPr="003B4362" w:rsidRDefault="00AD24B5" w:rsidP="00AD24B5">
      <w:pPr>
        <w:suppressAutoHyphens/>
        <w:ind w:left="2880"/>
        <w:rPr>
          <w:szCs w:val="22"/>
        </w:rPr>
      </w:pPr>
    </w:p>
    <w:p w14:paraId="5ACD9BC9" w14:textId="77777777" w:rsidR="00AD24B5" w:rsidRPr="003B4362" w:rsidRDefault="00AD24B5" w:rsidP="00AD24B5">
      <w:pPr>
        <w:suppressAutoHyphens/>
        <w:ind w:left="2880"/>
        <w:rPr>
          <w:szCs w:val="22"/>
        </w:rPr>
      </w:pPr>
      <w:r w:rsidRPr="003B4362">
        <w:rPr>
          <w:szCs w:val="22"/>
        </w:rPr>
        <w:t>“ASTM D859-05” means “Standard Test Method for Silica in Water</w:t>
      </w:r>
      <w:r w:rsidRPr="003B4362">
        <w:rPr>
          <w:szCs w:val="16"/>
        </w:rPr>
        <w:t>”,</w:t>
      </w:r>
      <w:r w:rsidRPr="003B4362">
        <w:rPr>
          <w:szCs w:val="22"/>
        </w:rPr>
        <w:t xml:space="preserve"> approved 2005, referenced in Section 611.611.</w:t>
      </w:r>
    </w:p>
    <w:p w14:paraId="1CDE4BD5" w14:textId="77777777" w:rsidR="00AD24B5" w:rsidRPr="003B4362" w:rsidRDefault="00AD24B5" w:rsidP="00AD24B5">
      <w:pPr>
        <w:suppressAutoHyphens/>
        <w:ind w:left="2880"/>
        <w:rPr>
          <w:szCs w:val="22"/>
        </w:rPr>
      </w:pPr>
    </w:p>
    <w:p w14:paraId="170FEDBE" w14:textId="77777777" w:rsidR="00AD24B5" w:rsidRPr="003B4362" w:rsidRDefault="00AD24B5" w:rsidP="00AD24B5">
      <w:pPr>
        <w:suppressAutoHyphens/>
        <w:ind w:left="2880"/>
        <w:rPr>
          <w:szCs w:val="22"/>
        </w:rPr>
      </w:pPr>
      <w:r w:rsidRPr="003B4362">
        <w:rPr>
          <w:szCs w:val="22"/>
        </w:rPr>
        <w:t>“ASTM D859-10” means “Standard Test Method for Silica in Water</w:t>
      </w:r>
      <w:r w:rsidRPr="003B4362">
        <w:rPr>
          <w:szCs w:val="16"/>
        </w:rPr>
        <w:t>”,</w:t>
      </w:r>
      <w:r w:rsidRPr="003B4362">
        <w:rPr>
          <w:szCs w:val="22"/>
        </w:rPr>
        <w:t xml:space="preserve"> approved 2010, referenced in Section 611.611.</w:t>
      </w:r>
    </w:p>
    <w:p w14:paraId="592050D0" w14:textId="77777777" w:rsidR="00AD24B5" w:rsidRPr="003B4362" w:rsidRDefault="00AD24B5" w:rsidP="00AD24B5">
      <w:pPr>
        <w:suppressAutoHyphens/>
        <w:ind w:left="2880"/>
        <w:rPr>
          <w:szCs w:val="22"/>
        </w:rPr>
      </w:pPr>
    </w:p>
    <w:p w14:paraId="47C91DA5" w14:textId="77777777" w:rsidR="00AD24B5" w:rsidRPr="003B4362" w:rsidRDefault="00AD24B5" w:rsidP="00AD24B5">
      <w:pPr>
        <w:suppressAutoHyphens/>
        <w:ind w:left="2880"/>
        <w:rPr>
          <w:szCs w:val="22"/>
        </w:rPr>
      </w:pPr>
      <w:r w:rsidRPr="003B4362">
        <w:rPr>
          <w:szCs w:val="22"/>
        </w:rPr>
        <w:t>“ASTM D859-16” means “Standard Test Method for Silica in Water</w:t>
      </w:r>
      <w:r w:rsidRPr="003B4362">
        <w:rPr>
          <w:szCs w:val="16"/>
        </w:rPr>
        <w:t>”,</w:t>
      </w:r>
      <w:r w:rsidRPr="003B4362">
        <w:rPr>
          <w:szCs w:val="22"/>
        </w:rPr>
        <w:t xml:space="preserve"> approved 2016, referenced in Section 611.611.</w:t>
      </w:r>
    </w:p>
    <w:p w14:paraId="098313DE" w14:textId="77777777" w:rsidR="00AD24B5" w:rsidRPr="003B4362" w:rsidRDefault="00AD24B5" w:rsidP="00AD24B5">
      <w:pPr>
        <w:suppressAutoHyphens/>
        <w:ind w:left="2880"/>
        <w:rPr>
          <w:szCs w:val="22"/>
        </w:rPr>
      </w:pPr>
    </w:p>
    <w:p w14:paraId="049DE5B9" w14:textId="77777777" w:rsidR="00AD24B5" w:rsidRPr="003B4362" w:rsidRDefault="00AD24B5" w:rsidP="00AD24B5">
      <w:pPr>
        <w:suppressAutoHyphens/>
        <w:ind w:left="2880"/>
        <w:rPr>
          <w:szCs w:val="22"/>
        </w:rPr>
      </w:pPr>
      <w:r w:rsidRPr="003B4362">
        <w:rPr>
          <w:szCs w:val="22"/>
        </w:rPr>
        <w:t>“ASTM D1067-92 B” means “Standard Test Methods for Acidity or Alkalinity in Water</w:t>
      </w:r>
      <w:r w:rsidRPr="003B4362">
        <w:rPr>
          <w:szCs w:val="16"/>
        </w:rPr>
        <w:t>”,</w:t>
      </w:r>
      <w:r w:rsidRPr="003B4362">
        <w:rPr>
          <w:szCs w:val="22"/>
        </w:rPr>
        <w:t xml:space="preserve"> “Test Method B—Electrometric or Color-Change Titration</w:t>
      </w:r>
      <w:r w:rsidRPr="003B4362">
        <w:rPr>
          <w:szCs w:val="16"/>
        </w:rPr>
        <w:t>”,</w:t>
      </w:r>
      <w:r w:rsidRPr="003B4362">
        <w:rPr>
          <w:szCs w:val="22"/>
        </w:rPr>
        <w:t xml:space="preserve"> approved May 15, 1992, referenced in Section 611.611.</w:t>
      </w:r>
    </w:p>
    <w:p w14:paraId="388294EB" w14:textId="77777777" w:rsidR="00AD24B5" w:rsidRPr="003B4362" w:rsidRDefault="00AD24B5" w:rsidP="00AD24B5">
      <w:pPr>
        <w:suppressAutoHyphens/>
        <w:ind w:left="2880"/>
        <w:rPr>
          <w:szCs w:val="22"/>
        </w:rPr>
      </w:pPr>
    </w:p>
    <w:p w14:paraId="0497C362" w14:textId="77777777" w:rsidR="00AD24B5" w:rsidRPr="003B4362" w:rsidRDefault="00AD24B5" w:rsidP="00AD24B5">
      <w:pPr>
        <w:suppressAutoHyphens/>
        <w:ind w:left="2880"/>
        <w:rPr>
          <w:szCs w:val="22"/>
        </w:rPr>
      </w:pPr>
      <w:r w:rsidRPr="003B4362">
        <w:rPr>
          <w:szCs w:val="22"/>
        </w:rPr>
        <w:t>“ASTM D1067-02 B” means “Standard Test Methods for Acidity or Alkalinity in Water</w:t>
      </w:r>
      <w:r w:rsidRPr="003B4362">
        <w:rPr>
          <w:szCs w:val="16"/>
        </w:rPr>
        <w:t>”,</w:t>
      </w:r>
      <w:r w:rsidRPr="003B4362">
        <w:rPr>
          <w:szCs w:val="22"/>
        </w:rPr>
        <w:t xml:space="preserve"> “Test Method B—Electrometric or Color-Change Titration</w:t>
      </w:r>
      <w:r w:rsidRPr="003B4362">
        <w:rPr>
          <w:szCs w:val="16"/>
        </w:rPr>
        <w:t>”,</w:t>
      </w:r>
      <w:r w:rsidRPr="003B4362">
        <w:rPr>
          <w:szCs w:val="22"/>
        </w:rPr>
        <w:t xml:space="preserve"> approved in 2002, referenced in Section 611.611.</w:t>
      </w:r>
    </w:p>
    <w:p w14:paraId="4D2F2911" w14:textId="77777777" w:rsidR="00AD24B5" w:rsidRPr="003B4362" w:rsidRDefault="00AD24B5" w:rsidP="00AD24B5">
      <w:pPr>
        <w:suppressAutoHyphens/>
        <w:ind w:left="2880"/>
        <w:rPr>
          <w:szCs w:val="22"/>
        </w:rPr>
      </w:pPr>
    </w:p>
    <w:p w14:paraId="2547604C" w14:textId="77777777" w:rsidR="00AD24B5" w:rsidRPr="003B4362" w:rsidRDefault="00AD24B5" w:rsidP="00AD24B5">
      <w:pPr>
        <w:suppressAutoHyphens/>
        <w:ind w:left="2880"/>
        <w:rPr>
          <w:szCs w:val="22"/>
        </w:rPr>
      </w:pPr>
      <w:r w:rsidRPr="003B4362">
        <w:rPr>
          <w:szCs w:val="22"/>
        </w:rPr>
        <w:t>“ASTM D1067-06 B” means “Standard Test Methods for Acidity or Alkalinity in Water</w:t>
      </w:r>
      <w:r w:rsidRPr="003B4362">
        <w:rPr>
          <w:szCs w:val="16"/>
        </w:rPr>
        <w:t>”,</w:t>
      </w:r>
      <w:r w:rsidRPr="003B4362">
        <w:rPr>
          <w:szCs w:val="22"/>
        </w:rPr>
        <w:t xml:space="preserve"> “Test Method B—Electrometric or Color-Change Titration</w:t>
      </w:r>
      <w:r w:rsidRPr="003B4362">
        <w:rPr>
          <w:szCs w:val="16"/>
        </w:rPr>
        <w:t>”,</w:t>
      </w:r>
      <w:r w:rsidRPr="003B4362">
        <w:rPr>
          <w:szCs w:val="22"/>
        </w:rPr>
        <w:t xml:space="preserve"> approved in 2006, referenced in Section 611.611.</w:t>
      </w:r>
    </w:p>
    <w:p w14:paraId="3E460566" w14:textId="77777777" w:rsidR="00AD24B5" w:rsidRPr="003B4362" w:rsidRDefault="00AD24B5" w:rsidP="00AD24B5">
      <w:pPr>
        <w:suppressAutoHyphens/>
        <w:ind w:left="2880"/>
        <w:rPr>
          <w:szCs w:val="22"/>
        </w:rPr>
      </w:pPr>
    </w:p>
    <w:p w14:paraId="1F49DFF7" w14:textId="77777777" w:rsidR="00AD24B5" w:rsidRPr="003B4362" w:rsidRDefault="00AD24B5" w:rsidP="00AD24B5">
      <w:pPr>
        <w:suppressAutoHyphens/>
        <w:ind w:left="2880"/>
        <w:rPr>
          <w:szCs w:val="22"/>
        </w:rPr>
      </w:pPr>
      <w:r w:rsidRPr="003B4362">
        <w:rPr>
          <w:szCs w:val="22"/>
        </w:rPr>
        <w:t>“ASTM D1067-11 B” means “Standard Test Methods for Acidity or Alkalinity in Water</w:t>
      </w:r>
      <w:r w:rsidRPr="003B4362">
        <w:rPr>
          <w:szCs w:val="16"/>
        </w:rPr>
        <w:t>”,</w:t>
      </w:r>
      <w:r w:rsidRPr="003B4362">
        <w:rPr>
          <w:szCs w:val="22"/>
        </w:rPr>
        <w:t xml:space="preserve"> “Test Method B—Electrometric or Color-Change Titration</w:t>
      </w:r>
      <w:r w:rsidRPr="003B4362">
        <w:rPr>
          <w:szCs w:val="16"/>
        </w:rPr>
        <w:t>”,</w:t>
      </w:r>
      <w:r w:rsidRPr="003B4362">
        <w:rPr>
          <w:szCs w:val="22"/>
        </w:rPr>
        <w:t xml:space="preserve"> approved in 2011, referenced in Section 611.611.</w:t>
      </w:r>
    </w:p>
    <w:p w14:paraId="7021CC43" w14:textId="77777777" w:rsidR="00AD24B5" w:rsidRPr="003B4362" w:rsidRDefault="00AD24B5" w:rsidP="00AD24B5">
      <w:pPr>
        <w:suppressAutoHyphens/>
        <w:ind w:left="2880"/>
        <w:rPr>
          <w:szCs w:val="22"/>
        </w:rPr>
      </w:pPr>
    </w:p>
    <w:p w14:paraId="5BA615C2" w14:textId="77777777" w:rsidR="00AD24B5" w:rsidRPr="003B4362" w:rsidRDefault="00AD24B5" w:rsidP="00AD24B5">
      <w:pPr>
        <w:suppressAutoHyphens/>
        <w:ind w:left="2880"/>
        <w:rPr>
          <w:szCs w:val="22"/>
        </w:rPr>
      </w:pPr>
      <w:r w:rsidRPr="003B4362">
        <w:rPr>
          <w:szCs w:val="22"/>
        </w:rPr>
        <w:t>“ASTM D1067-16 B” means “Standard Test Methods for Acidity or Alkalinity in Water</w:t>
      </w:r>
      <w:r w:rsidRPr="003B4362">
        <w:rPr>
          <w:szCs w:val="16"/>
        </w:rPr>
        <w:t>”,</w:t>
      </w:r>
      <w:r w:rsidRPr="003B4362">
        <w:rPr>
          <w:szCs w:val="22"/>
        </w:rPr>
        <w:t xml:space="preserve"> “Test Method B—Electrometric or Color-Change Titration</w:t>
      </w:r>
      <w:r w:rsidRPr="003B4362">
        <w:rPr>
          <w:szCs w:val="16"/>
        </w:rPr>
        <w:t>”,</w:t>
      </w:r>
      <w:r w:rsidRPr="003B4362">
        <w:rPr>
          <w:szCs w:val="22"/>
        </w:rPr>
        <w:t xml:space="preserve"> approved in 2006, referenced in Section 611.611.</w:t>
      </w:r>
    </w:p>
    <w:p w14:paraId="0D9D9137" w14:textId="77777777" w:rsidR="00AD24B5" w:rsidRPr="003B4362" w:rsidRDefault="00AD24B5" w:rsidP="00AD24B5">
      <w:pPr>
        <w:suppressAutoHyphens/>
        <w:ind w:left="2880"/>
        <w:rPr>
          <w:szCs w:val="22"/>
        </w:rPr>
      </w:pPr>
    </w:p>
    <w:p w14:paraId="70D8A75F" w14:textId="77777777" w:rsidR="00AD24B5" w:rsidRPr="003B4362" w:rsidRDefault="00AD24B5" w:rsidP="00AD24B5">
      <w:pPr>
        <w:suppressAutoHyphens/>
        <w:ind w:left="2880"/>
        <w:rPr>
          <w:szCs w:val="22"/>
        </w:rPr>
      </w:pPr>
      <w:r w:rsidRPr="003B4362">
        <w:rPr>
          <w:szCs w:val="22"/>
        </w:rPr>
        <w:t>“ASTM D1125-95(1999) A” means “Standard Test Methods for Electrical Conductivity and Resistivity of Water</w:t>
      </w:r>
      <w:r w:rsidRPr="003B4362">
        <w:rPr>
          <w:szCs w:val="16"/>
        </w:rPr>
        <w:t>”,</w:t>
      </w:r>
      <w:r w:rsidRPr="003B4362">
        <w:rPr>
          <w:szCs w:val="22"/>
        </w:rPr>
        <w:t xml:space="preserve"> “Test Method A—Field and Routine Laboratory Measurement of Static (Non-Flowing) Samples</w:t>
      </w:r>
      <w:r w:rsidRPr="003B4362">
        <w:rPr>
          <w:szCs w:val="16"/>
        </w:rPr>
        <w:t>”,</w:t>
      </w:r>
      <w:r w:rsidRPr="003B4362">
        <w:rPr>
          <w:szCs w:val="22"/>
        </w:rPr>
        <w:t xml:space="preserve"> approved 1995, reapproved 1999, referenced in Section 611.611.</w:t>
      </w:r>
    </w:p>
    <w:p w14:paraId="4299D0C9" w14:textId="77777777" w:rsidR="00AD24B5" w:rsidRPr="003B4362" w:rsidRDefault="00AD24B5" w:rsidP="00AD24B5">
      <w:pPr>
        <w:suppressAutoHyphens/>
        <w:ind w:left="2880"/>
        <w:rPr>
          <w:szCs w:val="22"/>
        </w:rPr>
      </w:pPr>
    </w:p>
    <w:p w14:paraId="21EB90CE" w14:textId="77777777" w:rsidR="00AD24B5" w:rsidRPr="003B4362" w:rsidRDefault="00AD24B5" w:rsidP="00AD24B5">
      <w:pPr>
        <w:suppressAutoHyphens/>
        <w:ind w:left="2880"/>
        <w:rPr>
          <w:szCs w:val="22"/>
        </w:rPr>
      </w:pPr>
      <w:r w:rsidRPr="003B4362">
        <w:rPr>
          <w:szCs w:val="22"/>
        </w:rPr>
        <w:t>“ASTM D1179-93 B” means “Standard Test Methods for Fluoride in Water</w:t>
      </w:r>
      <w:r w:rsidRPr="003B4362">
        <w:rPr>
          <w:szCs w:val="16"/>
        </w:rPr>
        <w:t>”,</w:t>
      </w:r>
      <w:r w:rsidRPr="003B4362">
        <w:rPr>
          <w:szCs w:val="22"/>
        </w:rPr>
        <w:t xml:space="preserve"> “Test Method B—Ion Selective Electrode</w:t>
      </w:r>
      <w:r w:rsidRPr="003B4362">
        <w:rPr>
          <w:szCs w:val="16"/>
        </w:rPr>
        <w:t>”,</w:t>
      </w:r>
      <w:r w:rsidRPr="003B4362">
        <w:rPr>
          <w:szCs w:val="22"/>
        </w:rPr>
        <w:t xml:space="preserve"> approved 1993, referenced in Section 611.611.</w:t>
      </w:r>
    </w:p>
    <w:p w14:paraId="651EE3E2" w14:textId="77777777" w:rsidR="00AD24B5" w:rsidRPr="003B4362" w:rsidRDefault="00AD24B5" w:rsidP="00AD24B5">
      <w:pPr>
        <w:suppressAutoHyphens/>
        <w:ind w:left="2880"/>
        <w:rPr>
          <w:szCs w:val="22"/>
        </w:rPr>
      </w:pPr>
    </w:p>
    <w:p w14:paraId="6D194604" w14:textId="77777777" w:rsidR="00AD24B5" w:rsidRPr="003B4362" w:rsidRDefault="00AD24B5" w:rsidP="00AD24B5">
      <w:pPr>
        <w:suppressAutoHyphens/>
        <w:ind w:left="2880"/>
        <w:rPr>
          <w:szCs w:val="22"/>
        </w:rPr>
      </w:pPr>
      <w:r w:rsidRPr="003B4362">
        <w:rPr>
          <w:szCs w:val="22"/>
        </w:rPr>
        <w:t>“ASTM D1179-99 B” means “Standard Test Methods for Fluoride in Water</w:t>
      </w:r>
      <w:r w:rsidRPr="003B4362">
        <w:rPr>
          <w:szCs w:val="16"/>
        </w:rPr>
        <w:t>”,</w:t>
      </w:r>
      <w:r w:rsidRPr="003B4362">
        <w:rPr>
          <w:szCs w:val="22"/>
        </w:rPr>
        <w:t xml:space="preserve"> “Test Method B—Ion Selective Electrode</w:t>
      </w:r>
      <w:r w:rsidRPr="003B4362">
        <w:rPr>
          <w:szCs w:val="16"/>
        </w:rPr>
        <w:t>”,</w:t>
      </w:r>
      <w:r w:rsidRPr="003B4362">
        <w:rPr>
          <w:szCs w:val="22"/>
        </w:rPr>
        <w:t xml:space="preserve"> approved 1999, referenced in Section 611.611.</w:t>
      </w:r>
    </w:p>
    <w:p w14:paraId="7D9FFD63" w14:textId="77777777" w:rsidR="00AD24B5" w:rsidRPr="003B4362" w:rsidRDefault="00AD24B5" w:rsidP="00AD24B5">
      <w:pPr>
        <w:suppressAutoHyphens/>
        <w:ind w:left="2880"/>
        <w:rPr>
          <w:szCs w:val="22"/>
        </w:rPr>
      </w:pPr>
    </w:p>
    <w:p w14:paraId="7DC8BB91" w14:textId="77777777" w:rsidR="00AD24B5" w:rsidRPr="003B4362" w:rsidRDefault="00AD24B5" w:rsidP="00AD24B5">
      <w:pPr>
        <w:suppressAutoHyphens/>
        <w:ind w:left="2880"/>
        <w:rPr>
          <w:szCs w:val="22"/>
        </w:rPr>
      </w:pPr>
      <w:r w:rsidRPr="003B4362">
        <w:rPr>
          <w:szCs w:val="22"/>
        </w:rPr>
        <w:t>“ASTM D1179-04 B” means “Standard Test Methods for Fluoride in Water</w:t>
      </w:r>
      <w:r w:rsidRPr="003B4362">
        <w:rPr>
          <w:szCs w:val="16"/>
        </w:rPr>
        <w:t>”,</w:t>
      </w:r>
      <w:r w:rsidRPr="003B4362">
        <w:rPr>
          <w:szCs w:val="22"/>
        </w:rPr>
        <w:t xml:space="preserve"> “Test Method B—Ion Selective Electrode</w:t>
      </w:r>
      <w:r w:rsidRPr="003B4362">
        <w:rPr>
          <w:szCs w:val="16"/>
        </w:rPr>
        <w:t>”,</w:t>
      </w:r>
      <w:r w:rsidRPr="003B4362">
        <w:rPr>
          <w:szCs w:val="22"/>
        </w:rPr>
        <w:t xml:space="preserve"> approved 2004, referenced in Section 611.611.</w:t>
      </w:r>
    </w:p>
    <w:p w14:paraId="18D0AC94" w14:textId="77777777" w:rsidR="00AD24B5" w:rsidRPr="003B4362" w:rsidRDefault="00AD24B5" w:rsidP="00AD24B5">
      <w:pPr>
        <w:suppressAutoHyphens/>
        <w:ind w:left="2880"/>
        <w:rPr>
          <w:szCs w:val="22"/>
        </w:rPr>
      </w:pPr>
    </w:p>
    <w:p w14:paraId="187969D5" w14:textId="77777777" w:rsidR="00AD24B5" w:rsidRPr="003B4362" w:rsidRDefault="00AD24B5" w:rsidP="00AD24B5">
      <w:pPr>
        <w:suppressAutoHyphens/>
        <w:ind w:left="2880"/>
        <w:rPr>
          <w:szCs w:val="22"/>
        </w:rPr>
      </w:pPr>
      <w:r w:rsidRPr="003B4362">
        <w:rPr>
          <w:szCs w:val="22"/>
        </w:rPr>
        <w:t>“ASTM D1179-10 B” means “Standard Test Methods for Fluoride in Water</w:t>
      </w:r>
      <w:r w:rsidRPr="003B4362">
        <w:rPr>
          <w:szCs w:val="16"/>
        </w:rPr>
        <w:t>”,</w:t>
      </w:r>
      <w:r w:rsidRPr="003B4362">
        <w:rPr>
          <w:szCs w:val="22"/>
        </w:rPr>
        <w:t xml:space="preserve"> “Test Method B—Ion Selective Electrode</w:t>
      </w:r>
      <w:r w:rsidRPr="003B4362">
        <w:rPr>
          <w:szCs w:val="16"/>
        </w:rPr>
        <w:t>”,</w:t>
      </w:r>
      <w:r w:rsidRPr="003B4362">
        <w:rPr>
          <w:szCs w:val="22"/>
        </w:rPr>
        <w:t xml:space="preserve"> approved 2010, referenced in Section 611.611.</w:t>
      </w:r>
    </w:p>
    <w:p w14:paraId="04DDCF79" w14:textId="77777777" w:rsidR="00AD24B5" w:rsidRPr="003B4362" w:rsidRDefault="00AD24B5" w:rsidP="00AD24B5">
      <w:pPr>
        <w:suppressAutoHyphens/>
        <w:ind w:left="2880"/>
        <w:rPr>
          <w:szCs w:val="22"/>
        </w:rPr>
      </w:pPr>
    </w:p>
    <w:p w14:paraId="4C6D062F" w14:textId="77777777" w:rsidR="00AD24B5" w:rsidRPr="003B4362" w:rsidRDefault="00AD24B5" w:rsidP="00AD24B5">
      <w:pPr>
        <w:suppressAutoHyphens/>
        <w:ind w:left="2880"/>
        <w:rPr>
          <w:szCs w:val="22"/>
        </w:rPr>
      </w:pPr>
      <w:r w:rsidRPr="003B4362">
        <w:rPr>
          <w:szCs w:val="22"/>
        </w:rPr>
        <w:t>“ASTM D1179-16 B” means “Standard Test Methods for Fluoride in Water</w:t>
      </w:r>
      <w:r w:rsidRPr="003B4362">
        <w:rPr>
          <w:szCs w:val="16"/>
        </w:rPr>
        <w:t>”,</w:t>
      </w:r>
      <w:r w:rsidRPr="003B4362">
        <w:rPr>
          <w:szCs w:val="22"/>
        </w:rPr>
        <w:t xml:space="preserve"> “Test Method B—Ion Selective Electrode</w:t>
      </w:r>
      <w:r w:rsidRPr="003B4362">
        <w:rPr>
          <w:szCs w:val="16"/>
        </w:rPr>
        <w:t>”,</w:t>
      </w:r>
      <w:r w:rsidRPr="003B4362">
        <w:rPr>
          <w:szCs w:val="22"/>
        </w:rPr>
        <w:t xml:space="preserve"> approved 2010, referenced in Section 611.611.</w:t>
      </w:r>
    </w:p>
    <w:p w14:paraId="0D931FE1" w14:textId="77777777" w:rsidR="00AD24B5" w:rsidRPr="003B4362" w:rsidRDefault="00AD24B5" w:rsidP="00AD24B5">
      <w:pPr>
        <w:suppressAutoHyphens/>
        <w:ind w:left="2880"/>
        <w:rPr>
          <w:szCs w:val="22"/>
        </w:rPr>
      </w:pPr>
    </w:p>
    <w:p w14:paraId="603AB64E" w14:textId="77777777" w:rsidR="00AD24B5" w:rsidRPr="003B4362" w:rsidRDefault="00AD24B5" w:rsidP="00AD24B5">
      <w:pPr>
        <w:suppressAutoHyphens/>
        <w:ind w:left="2880"/>
        <w:rPr>
          <w:szCs w:val="22"/>
        </w:rPr>
      </w:pPr>
      <w:r w:rsidRPr="003B4362">
        <w:rPr>
          <w:szCs w:val="22"/>
        </w:rPr>
        <w:t>“ASTM D1253-86” means “Standard Test Method for Residual Chlorine in Water</w:t>
      </w:r>
      <w:r w:rsidRPr="003B4362">
        <w:rPr>
          <w:szCs w:val="16"/>
        </w:rPr>
        <w:t>”,</w:t>
      </w:r>
      <w:r w:rsidRPr="003B4362">
        <w:rPr>
          <w:szCs w:val="22"/>
        </w:rPr>
        <w:t xml:space="preserve"> reapproved 1992, referenced in Section 611.381.</w:t>
      </w:r>
    </w:p>
    <w:p w14:paraId="4770B7AF" w14:textId="77777777" w:rsidR="00AD24B5" w:rsidRPr="003B4362" w:rsidRDefault="00AD24B5" w:rsidP="00AD24B5">
      <w:pPr>
        <w:suppressAutoHyphens/>
        <w:ind w:left="2880"/>
        <w:rPr>
          <w:szCs w:val="22"/>
        </w:rPr>
      </w:pPr>
    </w:p>
    <w:p w14:paraId="4A439D40" w14:textId="77777777" w:rsidR="00AD24B5" w:rsidRPr="003B4362" w:rsidRDefault="00AD24B5" w:rsidP="00AD24B5">
      <w:pPr>
        <w:suppressAutoHyphens/>
        <w:ind w:left="2880"/>
        <w:rPr>
          <w:szCs w:val="22"/>
        </w:rPr>
      </w:pPr>
      <w:r w:rsidRPr="003B4362">
        <w:rPr>
          <w:szCs w:val="22"/>
        </w:rPr>
        <w:t>“ASTM D1253-96” means “Standard Test Method for Residual Chlorine in Water</w:t>
      </w:r>
      <w:r w:rsidRPr="003B4362">
        <w:rPr>
          <w:szCs w:val="16"/>
        </w:rPr>
        <w:t>”,</w:t>
      </w:r>
      <w:r w:rsidRPr="003B4362">
        <w:rPr>
          <w:szCs w:val="22"/>
        </w:rPr>
        <w:t xml:space="preserve"> approved 1996, referenced in Section 611.381.</w:t>
      </w:r>
    </w:p>
    <w:p w14:paraId="1EF47093" w14:textId="77777777" w:rsidR="00AD24B5" w:rsidRPr="003B4362" w:rsidRDefault="00AD24B5" w:rsidP="00AD24B5">
      <w:pPr>
        <w:suppressAutoHyphens/>
        <w:ind w:left="2880"/>
        <w:rPr>
          <w:szCs w:val="22"/>
        </w:rPr>
      </w:pPr>
    </w:p>
    <w:p w14:paraId="228F8674" w14:textId="77777777" w:rsidR="00AD24B5" w:rsidRPr="003B4362" w:rsidRDefault="00AD24B5" w:rsidP="00AD24B5">
      <w:pPr>
        <w:suppressAutoHyphens/>
        <w:ind w:left="2880"/>
        <w:rPr>
          <w:szCs w:val="22"/>
        </w:rPr>
      </w:pPr>
      <w:r w:rsidRPr="003B4362">
        <w:rPr>
          <w:szCs w:val="22"/>
        </w:rPr>
        <w:lastRenderedPageBreak/>
        <w:t>“ASTM D1253-03” means “Standard Test Method for Residual Chlorine in Water</w:t>
      </w:r>
      <w:r w:rsidRPr="003B4362">
        <w:rPr>
          <w:szCs w:val="16"/>
        </w:rPr>
        <w:t>”,</w:t>
      </w:r>
      <w:r w:rsidRPr="003B4362">
        <w:rPr>
          <w:szCs w:val="22"/>
        </w:rPr>
        <w:t xml:space="preserve"> approved 2003, referenced in Sections 611.381 and 611.531.</w:t>
      </w:r>
    </w:p>
    <w:p w14:paraId="7725DBD1" w14:textId="77777777" w:rsidR="00AD24B5" w:rsidRPr="003B4362" w:rsidRDefault="00AD24B5" w:rsidP="00AD24B5">
      <w:pPr>
        <w:suppressAutoHyphens/>
        <w:ind w:left="2880"/>
        <w:rPr>
          <w:szCs w:val="22"/>
        </w:rPr>
      </w:pPr>
    </w:p>
    <w:p w14:paraId="026ECC4D" w14:textId="77777777" w:rsidR="00AD24B5" w:rsidRPr="003B4362" w:rsidRDefault="00AD24B5" w:rsidP="00AD24B5">
      <w:pPr>
        <w:suppressAutoHyphens/>
        <w:ind w:left="2880"/>
        <w:rPr>
          <w:szCs w:val="22"/>
        </w:rPr>
      </w:pPr>
      <w:r w:rsidRPr="003B4362">
        <w:rPr>
          <w:szCs w:val="22"/>
        </w:rPr>
        <w:t>“ASTM D1253-08” means “Standard Test Method for Residual Chlorine in Water</w:t>
      </w:r>
      <w:r w:rsidRPr="003B4362">
        <w:rPr>
          <w:szCs w:val="16"/>
        </w:rPr>
        <w:t>”,</w:t>
      </w:r>
      <w:r w:rsidRPr="003B4362">
        <w:rPr>
          <w:szCs w:val="22"/>
        </w:rPr>
        <w:t xml:space="preserve"> approved 2008, referenced in Sections 611.381 and 611.531.</w:t>
      </w:r>
    </w:p>
    <w:p w14:paraId="6FA064AF" w14:textId="77777777" w:rsidR="00AD24B5" w:rsidRPr="003B4362" w:rsidRDefault="00AD24B5" w:rsidP="00AD24B5">
      <w:pPr>
        <w:suppressAutoHyphens/>
        <w:ind w:left="2880"/>
        <w:rPr>
          <w:szCs w:val="22"/>
        </w:rPr>
      </w:pPr>
    </w:p>
    <w:p w14:paraId="77438F0D" w14:textId="77777777" w:rsidR="00AD24B5" w:rsidRPr="003B4362" w:rsidRDefault="00AD24B5" w:rsidP="00AD24B5">
      <w:pPr>
        <w:suppressAutoHyphens/>
        <w:ind w:left="2880"/>
        <w:rPr>
          <w:szCs w:val="22"/>
        </w:rPr>
      </w:pPr>
      <w:r w:rsidRPr="003B4362">
        <w:rPr>
          <w:szCs w:val="22"/>
        </w:rPr>
        <w:t>“ASTM D1253-14” means “Standard Test Method for Residual Chlorine in Water</w:t>
      </w:r>
      <w:r w:rsidRPr="003B4362">
        <w:rPr>
          <w:szCs w:val="16"/>
        </w:rPr>
        <w:t>”,</w:t>
      </w:r>
      <w:r w:rsidRPr="003B4362">
        <w:rPr>
          <w:szCs w:val="22"/>
        </w:rPr>
        <w:t xml:space="preserve"> approved 2014, referenced in Sections 611.381 and 611.531.</w:t>
      </w:r>
    </w:p>
    <w:p w14:paraId="75D3D1D7" w14:textId="77777777" w:rsidR="00AD24B5" w:rsidRPr="003B4362" w:rsidRDefault="00AD24B5" w:rsidP="00AD24B5">
      <w:pPr>
        <w:suppressAutoHyphens/>
        <w:ind w:left="2880"/>
        <w:rPr>
          <w:szCs w:val="22"/>
        </w:rPr>
      </w:pPr>
    </w:p>
    <w:p w14:paraId="5A262981" w14:textId="77777777" w:rsidR="00AD24B5" w:rsidRPr="003B4362" w:rsidRDefault="00AD24B5" w:rsidP="00AD24B5">
      <w:pPr>
        <w:suppressAutoHyphens/>
        <w:ind w:left="2880"/>
        <w:rPr>
          <w:szCs w:val="22"/>
        </w:rPr>
      </w:pPr>
      <w:r w:rsidRPr="003B4362">
        <w:rPr>
          <w:szCs w:val="22"/>
        </w:rPr>
        <w:t>“ASTM D1293-95” means “Standard Test Methods for pH of Water</w:t>
      </w:r>
      <w:r w:rsidRPr="003B4362">
        <w:rPr>
          <w:szCs w:val="16"/>
        </w:rPr>
        <w:t>”,</w:t>
      </w:r>
      <w:r w:rsidRPr="003B4362">
        <w:rPr>
          <w:szCs w:val="22"/>
        </w:rPr>
        <w:t xml:space="preserve"> approved 1995, referenced in Section 611.611.</w:t>
      </w:r>
    </w:p>
    <w:p w14:paraId="05131235" w14:textId="77777777" w:rsidR="00AD24B5" w:rsidRPr="003B4362" w:rsidRDefault="00AD24B5" w:rsidP="00AD24B5">
      <w:pPr>
        <w:suppressAutoHyphens/>
        <w:ind w:left="2880"/>
        <w:rPr>
          <w:szCs w:val="22"/>
        </w:rPr>
      </w:pPr>
    </w:p>
    <w:p w14:paraId="47AE34A6" w14:textId="77777777" w:rsidR="00AD24B5" w:rsidRPr="003B4362" w:rsidRDefault="00AD24B5" w:rsidP="00AD24B5">
      <w:pPr>
        <w:suppressAutoHyphens/>
        <w:ind w:left="2880"/>
        <w:rPr>
          <w:szCs w:val="22"/>
        </w:rPr>
      </w:pPr>
      <w:r w:rsidRPr="003B4362">
        <w:rPr>
          <w:szCs w:val="22"/>
        </w:rPr>
        <w:t>“ASTM D1293-99” means “Standard Test Methods for pH of Water</w:t>
      </w:r>
      <w:r w:rsidRPr="003B4362">
        <w:rPr>
          <w:szCs w:val="16"/>
        </w:rPr>
        <w:t>”,</w:t>
      </w:r>
      <w:r w:rsidRPr="003B4362">
        <w:rPr>
          <w:szCs w:val="22"/>
        </w:rPr>
        <w:t xml:space="preserve"> approved 1999, referenced in Section 611.611.</w:t>
      </w:r>
    </w:p>
    <w:p w14:paraId="0126A365" w14:textId="77777777" w:rsidR="00AD24B5" w:rsidRPr="003B4362" w:rsidRDefault="00AD24B5" w:rsidP="00AD24B5">
      <w:pPr>
        <w:suppressAutoHyphens/>
        <w:ind w:left="2880"/>
        <w:rPr>
          <w:szCs w:val="22"/>
        </w:rPr>
      </w:pPr>
    </w:p>
    <w:p w14:paraId="4256FA10" w14:textId="77777777" w:rsidR="00AD24B5" w:rsidRPr="003B4362" w:rsidRDefault="00AD24B5" w:rsidP="00AD24B5">
      <w:pPr>
        <w:suppressAutoHyphens/>
        <w:ind w:left="2880"/>
        <w:rPr>
          <w:szCs w:val="22"/>
        </w:rPr>
      </w:pPr>
      <w:r w:rsidRPr="003B4362">
        <w:rPr>
          <w:szCs w:val="22"/>
        </w:rPr>
        <w:t>“ASTM D1293-12” means “Standard Test Methods for pH of Water</w:t>
      </w:r>
      <w:r w:rsidRPr="003B4362">
        <w:rPr>
          <w:szCs w:val="16"/>
        </w:rPr>
        <w:t>”,</w:t>
      </w:r>
      <w:r w:rsidRPr="003B4362">
        <w:rPr>
          <w:szCs w:val="22"/>
        </w:rPr>
        <w:t xml:space="preserve"> approved 2012, referenced in Section 611.611.</w:t>
      </w:r>
    </w:p>
    <w:p w14:paraId="1DC3FD46" w14:textId="77777777" w:rsidR="00AD24B5" w:rsidRPr="003B4362" w:rsidRDefault="00AD24B5" w:rsidP="00AD24B5">
      <w:pPr>
        <w:suppressAutoHyphens/>
        <w:ind w:left="2880"/>
        <w:rPr>
          <w:szCs w:val="22"/>
        </w:rPr>
      </w:pPr>
    </w:p>
    <w:p w14:paraId="02D833FC" w14:textId="77777777" w:rsidR="00AD24B5" w:rsidRPr="003B4362" w:rsidRDefault="00AD24B5" w:rsidP="00AD24B5">
      <w:pPr>
        <w:suppressAutoHyphens/>
        <w:ind w:left="2880"/>
        <w:rPr>
          <w:szCs w:val="22"/>
        </w:rPr>
      </w:pPr>
      <w:r w:rsidRPr="003B4362">
        <w:rPr>
          <w:szCs w:val="22"/>
        </w:rPr>
        <w:t>“ASTM D1293-18” means “Standard Test Methods for pH of Water</w:t>
      </w:r>
      <w:r w:rsidRPr="003B4362">
        <w:rPr>
          <w:szCs w:val="16"/>
        </w:rPr>
        <w:t>”,</w:t>
      </w:r>
      <w:r w:rsidRPr="003B4362">
        <w:rPr>
          <w:szCs w:val="22"/>
        </w:rPr>
        <w:t xml:space="preserve"> approved 2018, referenced in Section 611.611.</w:t>
      </w:r>
    </w:p>
    <w:p w14:paraId="3B4EFDF3" w14:textId="77777777" w:rsidR="00AD24B5" w:rsidRPr="003B4362" w:rsidRDefault="00AD24B5" w:rsidP="00AD24B5">
      <w:pPr>
        <w:suppressAutoHyphens/>
        <w:ind w:left="2880"/>
        <w:rPr>
          <w:szCs w:val="22"/>
        </w:rPr>
      </w:pPr>
    </w:p>
    <w:p w14:paraId="60711DFB" w14:textId="77777777" w:rsidR="00AD24B5" w:rsidRPr="003B4362" w:rsidRDefault="00AD24B5" w:rsidP="00AD24B5">
      <w:pPr>
        <w:suppressAutoHyphens/>
        <w:ind w:left="2880"/>
        <w:rPr>
          <w:szCs w:val="22"/>
        </w:rPr>
      </w:pPr>
      <w:r w:rsidRPr="003B4362">
        <w:rPr>
          <w:szCs w:val="22"/>
        </w:rPr>
        <w:t>“ASTM D1688-95 A” means “Standard Test Methods for Copper in Water</w:t>
      </w:r>
      <w:r w:rsidRPr="003B4362">
        <w:rPr>
          <w:szCs w:val="16"/>
        </w:rPr>
        <w:t>”,</w:t>
      </w:r>
      <w:r w:rsidRPr="003B4362">
        <w:rPr>
          <w:szCs w:val="22"/>
        </w:rPr>
        <w:t xml:space="preserve"> “Test Method A—Atomic Absorption, Direct”</w:t>
      </w:r>
      <w:r w:rsidRPr="003B4362">
        <w:rPr>
          <w:szCs w:val="16"/>
        </w:rPr>
        <w:t>,</w:t>
      </w:r>
      <w:r w:rsidRPr="003B4362">
        <w:rPr>
          <w:szCs w:val="22"/>
        </w:rPr>
        <w:t xml:space="preserve"> approved 1995, referenced in Section 611.611.</w:t>
      </w:r>
    </w:p>
    <w:p w14:paraId="6E981AB2" w14:textId="77777777" w:rsidR="00AD24B5" w:rsidRPr="003B4362" w:rsidRDefault="00AD24B5" w:rsidP="00AD24B5">
      <w:pPr>
        <w:suppressAutoHyphens/>
        <w:ind w:left="2880"/>
        <w:rPr>
          <w:szCs w:val="22"/>
        </w:rPr>
      </w:pPr>
    </w:p>
    <w:p w14:paraId="5C4509CF" w14:textId="77777777" w:rsidR="00AD24B5" w:rsidRPr="003B4362" w:rsidRDefault="00AD24B5" w:rsidP="00AD24B5">
      <w:pPr>
        <w:suppressAutoHyphens/>
        <w:ind w:left="2880"/>
        <w:rPr>
          <w:szCs w:val="22"/>
        </w:rPr>
      </w:pPr>
      <w:r w:rsidRPr="003B4362">
        <w:rPr>
          <w:szCs w:val="22"/>
        </w:rPr>
        <w:t>“ASTM D1688-02 A” means “Standard Test Methods for Copper in Water</w:t>
      </w:r>
      <w:r w:rsidRPr="003B4362">
        <w:rPr>
          <w:szCs w:val="16"/>
        </w:rPr>
        <w:t>”,</w:t>
      </w:r>
      <w:r w:rsidRPr="003B4362">
        <w:rPr>
          <w:szCs w:val="22"/>
        </w:rPr>
        <w:t xml:space="preserve"> “Test Method A—Atomic Absorption, Direct”</w:t>
      </w:r>
      <w:r w:rsidRPr="003B4362">
        <w:rPr>
          <w:szCs w:val="16"/>
        </w:rPr>
        <w:t>,</w:t>
      </w:r>
      <w:r w:rsidRPr="003B4362">
        <w:rPr>
          <w:szCs w:val="22"/>
        </w:rPr>
        <w:t xml:space="preserve"> approved 2002, referenced in Section 611.611.</w:t>
      </w:r>
    </w:p>
    <w:p w14:paraId="5F9640CF" w14:textId="77777777" w:rsidR="00AD24B5" w:rsidRPr="003B4362" w:rsidRDefault="00AD24B5" w:rsidP="00AD24B5">
      <w:pPr>
        <w:suppressAutoHyphens/>
        <w:ind w:left="2880"/>
        <w:rPr>
          <w:szCs w:val="22"/>
        </w:rPr>
      </w:pPr>
    </w:p>
    <w:p w14:paraId="224133A5" w14:textId="77777777" w:rsidR="00AD24B5" w:rsidRPr="003B4362" w:rsidRDefault="00AD24B5" w:rsidP="00AD24B5">
      <w:pPr>
        <w:suppressAutoHyphens/>
        <w:ind w:left="2880"/>
        <w:rPr>
          <w:szCs w:val="22"/>
        </w:rPr>
      </w:pPr>
      <w:r w:rsidRPr="003B4362">
        <w:rPr>
          <w:szCs w:val="22"/>
        </w:rPr>
        <w:t>“ASTM D1688-07 A” means “Standard Test Methods for Copper in Water</w:t>
      </w:r>
      <w:r w:rsidRPr="003B4362">
        <w:rPr>
          <w:szCs w:val="16"/>
        </w:rPr>
        <w:t>”,</w:t>
      </w:r>
      <w:r w:rsidRPr="003B4362">
        <w:rPr>
          <w:szCs w:val="22"/>
        </w:rPr>
        <w:t xml:space="preserve"> “Test Method A—Atomic Absorption, Direct”</w:t>
      </w:r>
      <w:r w:rsidRPr="003B4362">
        <w:rPr>
          <w:szCs w:val="16"/>
        </w:rPr>
        <w:t>,</w:t>
      </w:r>
      <w:r w:rsidRPr="003B4362">
        <w:rPr>
          <w:szCs w:val="22"/>
        </w:rPr>
        <w:t xml:space="preserve"> approved 2007, referenced in Section 611.611.</w:t>
      </w:r>
    </w:p>
    <w:p w14:paraId="3A6710BE" w14:textId="77777777" w:rsidR="00AD24B5" w:rsidRPr="003B4362" w:rsidRDefault="00AD24B5" w:rsidP="00AD24B5">
      <w:pPr>
        <w:suppressAutoHyphens/>
        <w:ind w:left="2880"/>
        <w:rPr>
          <w:szCs w:val="22"/>
        </w:rPr>
      </w:pPr>
    </w:p>
    <w:p w14:paraId="1EFA0DA9" w14:textId="77777777" w:rsidR="00AD24B5" w:rsidRPr="003B4362" w:rsidRDefault="00AD24B5" w:rsidP="00AD24B5">
      <w:pPr>
        <w:suppressAutoHyphens/>
        <w:ind w:left="2880"/>
        <w:rPr>
          <w:szCs w:val="22"/>
        </w:rPr>
      </w:pPr>
      <w:r w:rsidRPr="003B4362">
        <w:rPr>
          <w:szCs w:val="22"/>
        </w:rPr>
        <w:t>“ASTM D1688-12 A” means “Standard Test Methods for Copper in Water</w:t>
      </w:r>
      <w:r w:rsidRPr="003B4362">
        <w:rPr>
          <w:szCs w:val="16"/>
        </w:rPr>
        <w:t>”,</w:t>
      </w:r>
      <w:r w:rsidRPr="003B4362">
        <w:rPr>
          <w:szCs w:val="22"/>
        </w:rPr>
        <w:t xml:space="preserve"> “Test Method A—Atomic Absorption, Direct”</w:t>
      </w:r>
      <w:r w:rsidRPr="003B4362">
        <w:rPr>
          <w:szCs w:val="16"/>
        </w:rPr>
        <w:t>,</w:t>
      </w:r>
      <w:r w:rsidRPr="003B4362">
        <w:rPr>
          <w:szCs w:val="22"/>
        </w:rPr>
        <w:t xml:space="preserve"> approved 2012, referenced in Section 611.611.</w:t>
      </w:r>
    </w:p>
    <w:p w14:paraId="79EACE8E" w14:textId="77777777" w:rsidR="00AD24B5" w:rsidRPr="003B4362" w:rsidRDefault="00AD24B5" w:rsidP="00AD24B5">
      <w:pPr>
        <w:suppressAutoHyphens/>
        <w:ind w:left="2880"/>
        <w:rPr>
          <w:szCs w:val="22"/>
        </w:rPr>
      </w:pPr>
    </w:p>
    <w:p w14:paraId="40030656" w14:textId="77777777" w:rsidR="00AD24B5" w:rsidRPr="003B4362" w:rsidRDefault="00AD24B5" w:rsidP="00AD24B5">
      <w:pPr>
        <w:suppressAutoHyphens/>
        <w:ind w:left="2880"/>
        <w:rPr>
          <w:szCs w:val="22"/>
        </w:rPr>
      </w:pPr>
      <w:r w:rsidRPr="003B4362">
        <w:rPr>
          <w:szCs w:val="22"/>
        </w:rPr>
        <w:t>“ASTM D1688-17 A” means “Standard Test Methods for Copper in Water</w:t>
      </w:r>
      <w:r w:rsidRPr="003B4362">
        <w:rPr>
          <w:szCs w:val="16"/>
        </w:rPr>
        <w:t>”,</w:t>
      </w:r>
      <w:r w:rsidRPr="003B4362">
        <w:rPr>
          <w:szCs w:val="22"/>
        </w:rPr>
        <w:t xml:space="preserve"> “Test Method A—Atomic Absorption, Direct”</w:t>
      </w:r>
      <w:r w:rsidRPr="003B4362">
        <w:rPr>
          <w:szCs w:val="16"/>
        </w:rPr>
        <w:t>,</w:t>
      </w:r>
      <w:r w:rsidRPr="003B4362">
        <w:rPr>
          <w:szCs w:val="22"/>
        </w:rPr>
        <w:t xml:space="preserve"> approved 2017, referenced in Section 611.611.</w:t>
      </w:r>
    </w:p>
    <w:p w14:paraId="4F16E8AF" w14:textId="77777777" w:rsidR="00AD24B5" w:rsidRPr="003B4362" w:rsidRDefault="00AD24B5" w:rsidP="00AD24B5">
      <w:pPr>
        <w:suppressAutoHyphens/>
        <w:ind w:left="2880"/>
        <w:rPr>
          <w:szCs w:val="22"/>
        </w:rPr>
      </w:pPr>
    </w:p>
    <w:p w14:paraId="3CE95A71" w14:textId="77777777" w:rsidR="00AD24B5" w:rsidRPr="003B4362" w:rsidRDefault="00AD24B5" w:rsidP="00AD24B5">
      <w:pPr>
        <w:suppressAutoHyphens/>
        <w:ind w:left="2880"/>
        <w:rPr>
          <w:szCs w:val="22"/>
        </w:rPr>
      </w:pPr>
      <w:r w:rsidRPr="003B4362">
        <w:rPr>
          <w:szCs w:val="22"/>
        </w:rPr>
        <w:lastRenderedPageBreak/>
        <w:t>“ASTM D1688-95 C” means “Standard Test Methods for Copper in Water</w:t>
      </w:r>
      <w:r w:rsidRPr="003B4362">
        <w:rPr>
          <w:szCs w:val="16"/>
        </w:rPr>
        <w:t>”,</w:t>
      </w:r>
      <w:r w:rsidRPr="003B4362">
        <w:rPr>
          <w:szCs w:val="22"/>
        </w:rPr>
        <w:t xml:space="preserve"> “Test Method C—Atomic Absorption, Graphite Furnace</w:t>
      </w:r>
      <w:r w:rsidRPr="003B4362">
        <w:rPr>
          <w:szCs w:val="16"/>
        </w:rPr>
        <w:t>”,</w:t>
      </w:r>
      <w:r w:rsidRPr="003B4362">
        <w:rPr>
          <w:szCs w:val="22"/>
        </w:rPr>
        <w:t xml:space="preserve"> approved 1995, referenced in Section 611.611.</w:t>
      </w:r>
    </w:p>
    <w:p w14:paraId="5F3F64DC" w14:textId="77777777" w:rsidR="00AD24B5" w:rsidRPr="003B4362" w:rsidRDefault="00AD24B5" w:rsidP="00AD24B5">
      <w:pPr>
        <w:suppressAutoHyphens/>
        <w:ind w:left="2880"/>
        <w:rPr>
          <w:szCs w:val="22"/>
        </w:rPr>
      </w:pPr>
    </w:p>
    <w:p w14:paraId="1E0D3486" w14:textId="77777777" w:rsidR="00AD24B5" w:rsidRPr="003B4362" w:rsidRDefault="00AD24B5" w:rsidP="00AD24B5">
      <w:pPr>
        <w:suppressAutoHyphens/>
        <w:ind w:left="2880"/>
        <w:rPr>
          <w:szCs w:val="22"/>
        </w:rPr>
      </w:pPr>
      <w:r w:rsidRPr="003B4362">
        <w:rPr>
          <w:szCs w:val="22"/>
        </w:rPr>
        <w:t>“ASTM D1688-02 C” means “Standard Test Methods for Copper in Water</w:t>
      </w:r>
      <w:r w:rsidRPr="003B4362">
        <w:rPr>
          <w:szCs w:val="16"/>
        </w:rPr>
        <w:t>”,</w:t>
      </w:r>
      <w:r w:rsidRPr="003B4362">
        <w:rPr>
          <w:szCs w:val="22"/>
        </w:rPr>
        <w:t xml:space="preserve"> “Test Method C—Atomic Absorption, Graphite Furnace</w:t>
      </w:r>
      <w:r w:rsidRPr="003B4362">
        <w:rPr>
          <w:szCs w:val="16"/>
        </w:rPr>
        <w:t>”,</w:t>
      </w:r>
      <w:r w:rsidRPr="003B4362">
        <w:rPr>
          <w:szCs w:val="22"/>
        </w:rPr>
        <w:t xml:space="preserve"> approved 2002, referenced in Section 611.611.</w:t>
      </w:r>
    </w:p>
    <w:p w14:paraId="7BA4C208" w14:textId="77777777" w:rsidR="00AD24B5" w:rsidRPr="003B4362" w:rsidRDefault="00AD24B5" w:rsidP="00AD24B5">
      <w:pPr>
        <w:suppressAutoHyphens/>
        <w:ind w:left="2880"/>
        <w:rPr>
          <w:szCs w:val="22"/>
        </w:rPr>
      </w:pPr>
    </w:p>
    <w:p w14:paraId="7AB4A670" w14:textId="77777777" w:rsidR="00AD24B5" w:rsidRPr="003B4362" w:rsidRDefault="00AD24B5" w:rsidP="00AD24B5">
      <w:pPr>
        <w:suppressAutoHyphens/>
        <w:ind w:left="2880"/>
        <w:rPr>
          <w:szCs w:val="22"/>
        </w:rPr>
      </w:pPr>
      <w:r w:rsidRPr="003B4362">
        <w:rPr>
          <w:szCs w:val="22"/>
        </w:rPr>
        <w:t>“ASTM D1688-07 C” means “Standard Test Methods for Copper in Water</w:t>
      </w:r>
      <w:r w:rsidRPr="003B4362">
        <w:rPr>
          <w:szCs w:val="16"/>
        </w:rPr>
        <w:t>”,</w:t>
      </w:r>
      <w:r w:rsidRPr="003B4362">
        <w:rPr>
          <w:szCs w:val="22"/>
        </w:rPr>
        <w:t xml:space="preserve"> “Test Method C—Atomic Absorption, Graphite Furnace</w:t>
      </w:r>
      <w:r w:rsidRPr="003B4362">
        <w:rPr>
          <w:szCs w:val="16"/>
        </w:rPr>
        <w:t>”,</w:t>
      </w:r>
      <w:r w:rsidRPr="003B4362">
        <w:rPr>
          <w:szCs w:val="22"/>
        </w:rPr>
        <w:t xml:space="preserve"> approved 2007, referenced in Section 611.611.</w:t>
      </w:r>
    </w:p>
    <w:p w14:paraId="7F620880" w14:textId="77777777" w:rsidR="00AD24B5" w:rsidRPr="003B4362" w:rsidRDefault="00AD24B5" w:rsidP="00AD24B5">
      <w:pPr>
        <w:suppressAutoHyphens/>
        <w:ind w:left="2880"/>
        <w:rPr>
          <w:szCs w:val="22"/>
        </w:rPr>
      </w:pPr>
    </w:p>
    <w:p w14:paraId="6EED1367" w14:textId="77777777" w:rsidR="00AD24B5" w:rsidRPr="003B4362" w:rsidRDefault="00AD24B5" w:rsidP="00AD24B5">
      <w:pPr>
        <w:suppressAutoHyphens/>
        <w:ind w:left="2880"/>
        <w:rPr>
          <w:szCs w:val="22"/>
        </w:rPr>
      </w:pPr>
      <w:r w:rsidRPr="003B4362">
        <w:rPr>
          <w:szCs w:val="22"/>
        </w:rPr>
        <w:t>“ASTM D1688-12 C” means “Standard Test Methods for Copper in Water</w:t>
      </w:r>
      <w:r w:rsidRPr="003B4362">
        <w:rPr>
          <w:szCs w:val="16"/>
        </w:rPr>
        <w:t>”,</w:t>
      </w:r>
      <w:r w:rsidRPr="003B4362">
        <w:rPr>
          <w:szCs w:val="22"/>
        </w:rPr>
        <w:t xml:space="preserve"> “Test Method C—Atomic Absorption, Graphite Furnace</w:t>
      </w:r>
      <w:r w:rsidRPr="003B4362">
        <w:rPr>
          <w:szCs w:val="16"/>
        </w:rPr>
        <w:t>”,</w:t>
      </w:r>
      <w:r w:rsidRPr="003B4362">
        <w:rPr>
          <w:szCs w:val="22"/>
        </w:rPr>
        <w:t xml:space="preserve"> approved 2012, referenced in Section 611.611.</w:t>
      </w:r>
    </w:p>
    <w:p w14:paraId="180E4ED5" w14:textId="77777777" w:rsidR="00AD24B5" w:rsidRPr="003B4362" w:rsidRDefault="00AD24B5" w:rsidP="00AD24B5">
      <w:pPr>
        <w:suppressAutoHyphens/>
        <w:ind w:left="2880"/>
        <w:rPr>
          <w:szCs w:val="22"/>
        </w:rPr>
      </w:pPr>
    </w:p>
    <w:p w14:paraId="77F2F0F5" w14:textId="77777777" w:rsidR="00AD24B5" w:rsidRPr="003B4362" w:rsidRDefault="00AD24B5" w:rsidP="00AD24B5">
      <w:pPr>
        <w:suppressAutoHyphens/>
        <w:ind w:left="2880"/>
        <w:rPr>
          <w:szCs w:val="22"/>
        </w:rPr>
      </w:pPr>
      <w:r w:rsidRPr="003B4362">
        <w:rPr>
          <w:szCs w:val="22"/>
        </w:rPr>
        <w:t>“ASTM D1688-17 C” means “Standard Test Methods for Copper in Water</w:t>
      </w:r>
      <w:r w:rsidRPr="003B4362">
        <w:rPr>
          <w:szCs w:val="16"/>
        </w:rPr>
        <w:t>”,</w:t>
      </w:r>
      <w:r w:rsidRPr="003B4362">
        <w:rPr>
          <w:szCs w:val="22"/>
        </w:rPr>
        <w:t xml:space="preserve"> “Test Method C—Atomic Absorption, Graphite Furnace</w:t>
      </w:r>
      <w:r w:rsidRPr="003B4362">
        <w:rPr>
          <w:szCs w:val="16"/>
        </w:rPr>
        <w:t>”,</w:t>
      </w:r>
      <w:r w:rsidRPr="003B4362">
        <w:rPr>
          <w:szCs w:val="22"/>
        </w:rPr>
        <w:t xml:space="preserve"> approved 2017, referenced in Section 611.611.</w:t>
      </w:r>
    </w:p>
    <w:p w14:paraId="3E12CDF5" w14:textId="77777777" w:rsidR="00AD24B5" w:rsidRPr="003B4362" w:rsidRDefault="00AD24B5" w:rsidP="00AD24B5">
      <w:pPr>
        <w:suppressAutoHyphens/>
        <w:ind w:left="2880"/>
        <w:rPr>
          <w:szCs w:val="22"/>
        </w:rPr>
      </w:pPr>
    </w:p>
    <w:p w14:paraId="7273F9A8" w14:textId="77777777" w:rsidR="00AD24B5" w:rsidRPr="003B4362" w:rsidRDefault="00AD24B5" w:rsidP="00AD24B5">
      <w:pPr>
        <w:suppressAutoHyphens/>
        <w:ind w:left="2880"/>
        <w:rPr>
          <w:szCs w:val="22"/>
        </w:rPr>
      </w:pPr>
      <w:r w:rsidRPr="003B4362">
        <w:rPr>
          <w:szCs w:val="22"/>
        </w:rPr>
        <w:t>“ASTM D2036-98 A” means “Standard Test Methods for Cyanide in Water</w:t>
      </w:r>
      <w:r w:rsidRPr="003B4362">
        <w:rPr>
          <w:szCs w:val="16"/>
        </w:rPr>
        <w:t>”,</w:t>
      </w:r>
      <w:r w:rsidRPr="003B4362">
        <w:rPr>
          <w:szCs w:val="22"/>
        </w:rPr>
        <w:t xml:space="preserve"> “Test Method A—Total Cyanides after Distillation”</w:t>
      </w:r>
      <w:r w:rsidRPr="003B4362">
        <w:rPr>
          <w:szCs w:val="16"/>
        </w:rPr>
        <w:t>,</w:t>
      </w:r>
      <w:r w:rsidRPr="003B4362">
        <w:rPr>
          <w:szCs w:val="22"/>
        </w:rPr>
        <w:t xml:space="preserve"> approved 1998, referenced in Section 611.611.</w:t>
      </w:r>
    </w:p>
    <w:p w14:paraId="663D9113" w14:textId="77777777" w:rsidR="00AD24B5" w:rsidRPr="003B4362" w:rsidRDefault="00AD24B5" w:rsidP="00AD24B5">
      <w:pPr>
        <w:suppressAutoHyphens/>
        <w:ind w:left="2880"/>
        <w:rPr>
          <w:szCs w:val="22"/>
        </w:rPr>
      </w:pPr>
    </w:p>
    <w:p w14:paraId="62F3673B" w14:textId="77777777" w:rsidR="00AD24B5" w:rsidRPr="003B4362" w:rsidRDefault="00AD24B5" w:rsidP="00AD24B5">
      <w:pPr>
        <w:suppressAutoHyphens/>
        <w:ind w:left="2880"/>
        <w:rPr>
          <w:szCs w:val="22"/>
        </w:rPr>
      </w:pPr>
      <w:r w:rsidRPr="003B4362">
        <w:rPr>
          <w:szCs w:val="22"/>
        </w:rPr>
        <w:t>“ASTM D2036-06 A” means “Standard Test Methods for Cyanide in Water</w:t>
      </w:r>
      <w:r w:rsidRPr="003B4362">
        <w:rPr>
          <w:szCs w:val="16"/>
        </w:rPr>
        <w:t>”,</w:t>
      </w:r>
      <w:r w:rsidRPr="003B4362">
        <w:rPr>
          <w:szCs w:val="22"/>
        </w:rPr>
        <w:t xml:space="preserve"> “Test Method A—Total Cyanides after Distillation”</w:t>
      </w:r>
      <w:r w:rsidRPr="003B4362">
        <w:rPr>
          <w:szCs w:val="16"/>
        </w:rPr>
        <w:t>,</w:t>
      </w:r>
      <w:r w:rsidRPr="003B4362">
        <w:rPr>
          <w:szCs w:val="22"/>
        </w:rPr>
        <w:t xml:space="preserve"> approved 2006, referenced in Section 611.611.</w:t>
      </w:r>
    </w:p>
    <w:p w14:paraId="2ECC40C4" w14:textId="77777777" w:rsidR="00AD24B5" w:rsidRPr="003B4362" w:rsidRDefault="00AD24B5" w:rsidP="00AD24B5">
      <w:pPr>
        <w:suppressAutoHyphens/>
        <w:ind w:left="2880"/>
        <w:rPr>
          <w:szCs w:val="22"/>
        </w:rPr>
      </w:pPr>
    </w:p>
    <w:p w14:paraId="6CDD5C1E" w14:textId="77777777" w:rsidR="00AD24B5" w:rsidRPr="003B4362" w:rsidRDefault="00AD24B5" w:rsidP="00AD24B5">
      <w:pPr>
        <w:suppressAutoHyphens/>
        <w:ind w:left="2880"/>
        <w:rPr>
          <w:szCs w:val="22"/>
        </w:rPr>
      </w:pPr>
      <w:r w:rsidRPr="003B4362">
        <w:rPr>
          <w:szCs w:val="22"/>
        </w:rPr>
        <w:t>“ASTM D2036-98 B” means “Standard Test Methods for Cyanide in Water</w:t>
      </w:r>
      <w:r w:rsidRPr="003B4362">
        <w:rPr>
          <w:szCs w:val="16"/>
        </w:rPr>
        <w:t>”,</w:t>
      </w:r>
      <w:r w:rsidRPr="003B4362">
        <w:rPr>
          <w:szCs w:val="22"/>
        </w:rPr>
        <w:t xml:space="preserve"> “Test Method B—Cyanides Amenable to Chlorination by Difference</w:t>
      </w:r>
      <w:r w:rsidRPr="003B4362">
        <w:rPr>
          <w:szCs w:val="16"/>
        </w:rPr>
        <w:t>”,</w:t>
      </w:r>
      <w:r w:rsidRPr="003B4362">
        <w:rPr>
          <w:szCs w:val="22"/>
        </w:rPr>
        <w:t xml:space="preserve"> approved 1998, referenced in Section 611.611.</w:t>
      </w:r>
    </w:p>
    <w:p w14:paraId="0323DE97" w14:textId="77777777" w:rsidR="00AD24B5" w:rsidRPr="003B4362" w:rsidRDefault="00AD24B5" w:rsidP="00AD24B5">
      <w:pPr>
        <w:suppressAutoHyphens/>
        <w:ind w:left="2880"/>
        <w:rPr>
          <w:szCs w:val="22"/>
        </w:rPr>
      </w:pPr>
    </w:p>
    <w:p w14:paraId="121F0BB8" w14:textId="77777777" w:rsidR="00AD24B5" w:rsidRPr="003B4362" w:rsidRDefault="00AD24B5" w:rsidP="00AD24B5">
      <w:pPr>
        <w:suppressAutoHyphens/>
        <w:ind w:left="2880"/>
        <w:rPr>
          <w:szCs w:val="22"/>
        </w:rPr>
      </w:pPr>
      <w:r w:rsidRPr="003B4362">
        <w:rPr>
          <w:szCs w:val="22"/>
        </w:rPr>
        <w:t>“ASTM D2036-06 B” means “Standard Test Methods for Cyanide in Water</w:t>
      </w:r>
      <w:r w:rsidRPr="003B4362">
        <w:rPr>
          <w:szCs w:val="16"/>
        </w:rPr>
        <w:t>”,</w:t>
      </w:r>
      <w:r w:rsidRPr="003B4362">
        <w:rPr>
          <w:szCs w:val="22"/>
        </w:rPr>
        <w:t xml:space="preserve"> “Test Method B—Cyanides Amenable to Chlorination by Difference</w:t>
      </w:r>
      <w:r w:rsidRPr="003B4362">
        <w:rPr>
          <w:szCs w:val="16"/>
        </w:rPr>
        <w:t>”,</w:t>
      </w:r>
      <w:r w:rsidRPr="003B4362">
        <w:rPr>
          <w:szCs w:val="22"/>
        </w:rPr>
        <w:t xml:space="preserve"> approved 2006, referenced in Section 611.611.</w:t>
      </w:r>
    </w:p>
    <w:p w14:paraId="4C11428D" w14:textId="77777777" w:rsidR="00AD24B5" w:rsidRPr="003B4362" w:rsidRDefault="00AD24B5" w:rsidP="00AD24B5">
      <w:pPr>
        <w:suppressAutoHyphens/>
        <w:ind w:left="2880"/>
        <w:rPr>
          <w:szCs w:val="22"/>
        </w:rPr>
      </w:pPr>
    </w:p>
    <w:p w14:paraId="4D32E840" w14:textId="77777777" w:rsidR="00AD24B5" w:rsidRPr="003B4362" w:rsidRDefault="00AD24B5" w:rsidP="00AD24B5">
      <w:pPr>
        <w:suppressAutoHyphens/>
        <w:ind w:left="2880"/>
        <w:rPr>
          <w:szCs w:val="22"/>
        </w:rPr>
      </w:pPr>
      <w:r w:rsidRPr="003B4362">
        <w:rPr>
          <w:szCs w:val="22"/>
        </w:rPr>
        <w:t>“ASTM D2459-72” means “Standard Test Method for Gamma Spectrometry in Water</w:t>
      </w:r>
      <w:r w:rsidRPr="003B4362">
        <w:rPr>
          <w:szCs w:val="16"/>
        </w:rPr>
        <w:t>”,</w:t>
      </w:r>
      <w:r w:rsidRPr="003B4362">
        <w:rPr>
          <w:szCs w:val="22"/>
        </w:rPr>
        <w:t xml:space="preserve"> approved July 28, 1972, discontinued 1988, referenced in Section 611.720.</w:t>
      </w:r>
    </w:p>
    <w:p w14:paraId="3504AE9A" w14:textId="77777777" w:rsidR="00AD24B5" w:rsidRPr="003B4362" w:rsidRDefault="00AD24B5" w:rsidP="00AD24B5">
      <w:pPr>
        <w:suppressAutoHyphens/>
        <w:ind w:left="2880"/>
        <w:rPr>
          <w:szCs w:val="22"/>
        </w:rPr>
      </w:pPr>
    </w:p>
    <w:p w14:paraId="0FAB0B23" w14:textId="77777777" w:rsidR="00AD24B5" w:rsidRPr="003B4362" w:rsidRDefault="00AD24B5" w:rsidP="00AD24B5">
      <w:pPr>
        <w:suppressAutoHyphens/>
        <w:ind w:left="2880"/>
        <w:rPr>
          <w:szCs w:val="22"/>
        </w:rPr>
      </w:pPr>
      <w:r w:rsidRPr="003B4362">
        <w:rPr>
          <w:szCs w:val="22"/>
        </w:rPr>
        <w:t>“ASTM D2460-97” means “Standard Test Method for Radionuclides of Radium in Water</w:t>
      </w:r>
      <w:r w:rsidRPr="003B4362">
        <w:rPr>
          <w:szCs w:val="16"/>
        </w:rPr>
        <w:t>”,</w:t>
      </w:r>
      <w:r w:rsidRPr="003B4362">
        <w:rPr>
          <w:szCs w:val="22"/>
        </w:rPr>
        <w:t xml:space="preserve"> approved 1997, referenced in Section 611.720.</w:t>
      </w:r>
    </w:p>
    <w:p w14:paraId="2FD6F23E" w14:textId="77777777" w:rsidR="00AD24B5" w:rsidRPr="003B4362" w:rsidRDefault="00AD24B5" w:rsidP="00AD24B5">
      <w:pPr>
        <w:suppressAutoHyphens/>
        <w:ind w:left="2880"/>
        <w:rPr>
          <w:szCs w:val="22"/>
        </w:rPr>
      </w:pPr>
    </w:p>
    <w:p w14:paraId="6417F4A9" w14:textId="77777777" w:rsidR="00AD24B5" w:rsidRPr="003B4362" w:rsidRDefault="00AD24B5" w:rsidP="00AD24B5">
      <w:pPr>
        <w:suppressAutoHyphens/>
        <w:ind w:left="2880"/>
        <w:rPr>
          <w:szCs w:val="22"/>
        </w:rPr>
      </w:pPr>
      <w:r w:rsidRPr="003B4362">
        <w:rPr>
          <w:szCs w:val="22"/>
        </w:rPr>
        <w:lastRenderedPageBreak/>
        <w:t>“ASTM D2460-07” means “Standard Test Method for Radionuclides of Radium in Water</w:t>
      </w:r>
      <w:r w:rsidRPr="003B4362">
        <w:rPr>
          <w:szCs w:val="16"/>
        </w:rPr>
        <w:t>”,</w:t>
      </w:r>
      <w:r w:rsidRPr="003B4362">
        <w:rPr>
          <w:szCs w:val="22"/>
        </w:rPr>
        <w:t xml:space="preserve"> approved 2007, referenced in Section 611.720.</w:t>
      </w:r>
    </w:p>
    <w:p w14:paraId="0611E3D2" w14:textId="77777777" w:rsidR="00AD24B5" w:rsidRPr="003B4362" w:rsidRDefault="00AD24B5" w:rsidP="00AD24B5">
      <w:pPr>
        <w:suppressAutoHyphens/>
        <w:ind w:left="2880"/>
        <w:rPr>
          <w:szCs w:val="22"/>
        </w:rPr>
      </w:pPr>
    </w:p>
    <w:p w14:paraId="775D9C65" w14:textId="77777777" w:rsidR="00AD24B5" w:rsidRPr="003B4362" w:rsidRDefault="00AD24B5" w:rsidP="00AD24B5">
      <w:pPr>
        <w:suppressAutoHyphens/>
        <w:ind w:left="2880"/>
        <w:rPr>
          <w:szCs w:val="22"/>
        </w:rPr>
      </w:pPr>
      <w:r w:rsidRPr="003B4362">
        <w:rPr>
          <w:szCs w:val="22"/>
        </w:rPr>
        <w:t>“ASTM D2907-97” means “Standard Test Methods for Microquantities of Uranium in Water by Fluorometry</w:t>
      </w:r>
      <w:r w:rsidRPr="003B4362">
        <w:rPr>
          <w:szCs w:val="16"/>
        </w:rPr>
        <w:t>”,</w:t>
      </w:r>
      <w:r w:rsidRPr="003B4362">
        <w:rPr>
          <w:szCs w:val="22"/>
        </w:rPr>
        <w:t xml:space="preserve"> approved 1997, referenced in Section 611.720.</w:t>
      </w:r>
    </w:p>
    <w:p w14:paraId="5D45B5DE" w14:textId="77777777" w:rsidR="00AD24B5" w:rsidRPr="003B4362" w:rsidRDefault="00AD24B5" w:rsidP="00AD24B5">
      <w:pPr>
        <w:suppressAutoHyphens/>
        <w:ind w:left="2880"/>
        <w:rPr>
          <w:szCs w:val="22"/>
        </w:rPr>
      </w:pPr>
    </w:p>
    <w:p w14:paraId="565EE422" w14:textId="77777777" w:rsidR="00AD24B5" w:rsidRPr="003B4362" w:rsidRDefault="00AD24B5" w:rsidP="00AD24B5">
      <w:pPr>
        <w:suppressAutoHyphens/>
        <w:ind w:left="2880"/>
        <w:rPr>
          <w:szCs w:val="22"/>
        </w:rPr>
      </w:pPr>
      <w:r w:rsidRPr="003B4362">
        <w:rPr>
          <w:szCs w:val="22"/>
        </w:rPr>
        <w:t>“ASTM D2972-97 B” means “Standard Test Methods for Arsenic in Water</w:t>
      </w:r>
      <w:r w:rsidRPr="003B4362">
        <w:rPr>
          <w:szCs w:val="16"/>
        </w:rPr>
        <w:t>”,</w:t>
      </w:r>
      <w:r w:rsidRPr="003B4362">
        <w:rPr>
          <w:szCs w:val="22"/>
        </w:rPr>
        <w:t xml:space="preserve"> “Test Method B—Atomic Absorption, Hydride Generation”</w:t>
      </w:r>
      <w:r w:rsidRPr="003B4362">
        <w:rPr>
          <w:szCs w:val="16"/>
        </w:rPr>
        <w:t>,</w:t>
      </w:r>
      <w:r w:rsidRPr="003B4362">
        <w:rPr>
          <w:szCs w:val="22"/>
        </w:rPr>
        <w:t xml:space="preserve"> approved 1997, referenced in Section 611.611.</w:t>
      </w:r>
    </w:p>
    <w:p w14:paraId="1162C811" w14:textId="77777777" w:rsidR="00AD24B5" w:rsidRPr="003B4362" w:rsidRDefault="00AD24B5" w:rsidP="00AD24B5">
      <w:pPr>
        <w:suppressAutoHyphens/>
        <w:ind w:left="2880"/>
        <w:rPr>
          <w:szCs w:val="22"/>
        </w:rPr>
      </w:pPr>
    </w:p>
    <w:p w14:paraId="15A1F43E" w14:textId="77777777" w:rsidR="00AD24B5" w:rsidRPr="003B4362" w:rsidRDefault="00AD24B5" w:rsidP="00AD24B5">
      <w:pPr>
        <w:suppressAutoHyphens/>
        <w:ind w:left="2880"/>
        <w:rPr>
          <w:szCs w:val="22"/>
        </w:rPr>
      </w:pPr>
      <w:r w:rsidRPr="003B4362">
        <w:rPr>
          <w:szCs w:val="22"/>
        </w:rPr>
        <w:t>“ASTM D2972-03 B” means “Standard Test Methods for Arsenic in Water</w:t>
      </w:r>
      <w:r w:rsidRPr="003B4362">
        <w:rPr>
          <w:szCs w:val="16"/>
        </w:rPr>
        <w:t>”,</w:t>
      </w:r>
      <w:r w:rsidRPr="003B4362">
        <w:rPr>
          <w:szCs w:val="22"/>
        </w:rPr>
        <w:t xml:space="preserve"> “Test Method B—Atomic Absorption, Hydride Generation”</w:t>
      </w:r>
      <w:r w:rsidRPr="003B4362">
        <w:rPr>
          <w:szCs w:val="16"/>
        </w:rPr>
        <w:t>,</w:t>
      </w:r>
      <w:r w:rsidRPr="003B4362">
        <w:rPr>
          <w:szCs w:val="22"/>
        </w:rPr>
        <w:t xml:space="preserve"> approved 2003, referenced in Section 611.611.</w:t>
      </w:r>
    </w:p>
    <w:p w14:paraId="0123AD9E" w14:textId="77777777" w:rsidR="00AD24B5" w:rsidRPr="003B4362" w:rsidRDefault="00AD24B5" w:rsidP="00AD24B5">
      <w:pPr>
        <w:suppressAutoHyphens/>
        <w:ind w:left="2880"/>
        <w:rPr>
          <w:szCs w:val="22"/>
        </w:rPr>
      </w:pPr>
    </w:p>
    <w:p w14:paraId="50C837A0" w14:textId="77777777" w:rsidR="00AD24B5" w:rsidRPr="003B4362" w:rsidRDefault="00AD24B5" w:rsidP="00AD24B5">
      <w:pPr>
        <w:suppressAutoHyphens/>
        <w:ind w:left="2880"/>
        <w:rPr>
          <w:szCs w:val="22"/>
        </w:rPr>
      </w:pPr>
      <w:r w:rsidRPr="003B4362">
        <w:rPr>
          <w:szCs w:val="22"/>
        </w:rPr>
        <w:t>“ASTM D2972-15 B” means “Standard Test Methods for Arsenic in Water</w:t>
      </w:r>
      <w:r w:rsidRPr="003B4362">
        <w:rPr>
          <w:szCs w:val="16"/>
        </w:rPr>
        <w:t>”,</w:t>
      </w:r>
      <w:r w:rsidRPr="003B4362">
        <w:rPr>
          <w:szCs w:val="22"/>
        </w:rPr>
        <w:t xml:space="preserve"> “Test Method B—Atomic Absorption, Hydride Generation”</w:t>
      </w:r>
      <w:r w:rsidRPr="003B4362">
        <w:rPr>
          <w:szCs w:val="16"/>
        </w:rPr>
        <w:t>,</w:t>
      </w:r>
      <w:r w:rsidRPr="003B4362">
        <w:rPr>
          <w:szCs w:val="22"/>
        </w:rPr>
        <w:t xml:space="preserve"> approved 2015, referenced in Section 611.611.</w:t>
      </w:r>
    </w:p>
    <w:p w14:paraId="2C0ADBEE" w14:textId="77777777" w:rsidR="00AD24B5" w:rsidRPr="003B4362" w:rsidRDefault="00AD24B5" w:rsidP="00AD24B5">
      <w:pPr>
        <w:suppressAutoHyphens/>
        <w:ind w:left="2880"/>
        <w:rPr>
          <w:szCs w:val="22"/>
        </w:rPr>
      </w:pPr>
    </w:p>
    <w:p w14:paraId="37A4007E" w14:textId="77777777" w:rsidR="00AD24B5" w:rsidRPr="003B4362" w:rsidRDefault="00AD24B5" w:rsidP="00AD24B5">
      <w:pPr>
        <w:suppressAutoHyphens/>
        <w:ind w:left="2880"/>
        <w:rPr>
          <w:szCs w:val="22"/>
        </w:rPr>
      </w:pPr>
      <w:r w:rsidRPr="003B4362">
        <w:rPr>
          <w:szCs w:val="22"/>
        </w:rPr>
        <w:t>“ASTM D2972-97 C” means “Standard Test Methods for Arsenic in Water</w:t>
      </w:r>
      <w:r w:rsidRPr="003B4362">
        <w:rPr>
          <w:szCs w:val="16"/>
        </w:rPr>
        <w:t>”,</w:t>
      </w:r>
      <w:r w:rsidRPr="003B4362">
        <w:rPr>
          <w:szCs w:val="22"/>
        </w:rPr>
        <w:t xml:space="preserve"> “Test Method C—Atomic Absorption, Graphite Furnace</w:t>
      </w:r>
      <w:r w:rsidRPr="003B4362">
        <w:rPr>
          <w:szCs w:val="16"/>
        </w:rPr>
        <w:t>”,</w:t>
      </w:r>
      <w:r w:rsidRPr="003B4362">
        <w:rPr>
          <w:szCs w:val="22"/>
        </w:rPr>
        <w:t xml:space="preserve"> approved 1997, referenced in Section 611.611.</w:t>
      </w:r>
    </w:p>
    <w:p w14:paraId="29B3C31B" w14:textId="77777777" w:rsidR="00AD24B5" w:rsidRPr="003B4362" w:rsidRDefault="00AD24B5" w:rsidP="00AD24B5">
      <w:pPr>
        <w:suppressAutoHyphens/>
        <w:ind w:left="2880"/>
        <w:rPr>
          <w:szCs w:val="22"/>
        </w:rPr>
      </w:pPr>
    </w:p>
    <w:p w14:paraId="7050BAC6" w14:textId="77777777" w:rsidR="00AD24B5" w:rsidRPr="003B4362" w:rsidRDefault="00AD24B5" w:rsidP="00AD24B5">
      <w:pPr>
        <w:suppressAutoHyphens/>
        <w:ind w:left="2880"/>
        <w:rPr>
          <w:szCs w:val="22"/>
        </w:rPr>
      </w:pPr>
      <w:r w:rsidRPr="003B4362">
        <w:rPr>
          <w:szCs w:val="22"/>
        </w:rPr>
        <w:t>“ASTM D2972-03 C” means “Standard Test Methods for Arsenic in Water</w:t>
      </w:r>
      <w:r w:rsidRPr="003B4362">
        <w:rPr>
          <w:szCs w:val="16"/>
        </w:rPr>
        <w:t>”,</w:t>
      </w:r>
      <w:r w:rsidRPr="003B4362">
        <w:rPr>
          <w:szCs w:val="22"/>
        </w:rPr>
        <w:t xml:space="preserve"> “Test Method C—Atomic Absorption, Graphite Furnace</w:t>
      </w:r>
      <w:r w:rsidRPr="003B4362">
        <w:rPr>
          <w:szCs w:val="16"/>
        </w:rPr>
        <w:t>”,</w:t>
      </w:r>
      <w:r w:rsidRPr="003B4362">
        <w:rPr>
          <w:szCs w:val="22"/>
        </w:rPr>
        <w:t xml:space="preserve"> approved 2003, referenced in Section 611.611.</w:t>
      </w:r>
    </w:p>
    <w:p w14:paraId="641A2135" w14:textId="77777777" w:rsidR="00AD24B5" w:rsidRPr="003B4362" w:rsidRDefault="00AD24B5" w:rsidP="00AD24B5">
      <w:pPr>
        <w:suppressAutoHyphens/>
        <w:ind w:left="2880"/>
        <w:rPr>
          <w:szCs w:val="22"/>
        </w:rPr>
      </w:pPr>
    </w:p>
    <w:p w14:paraId="5978E204" w14:textId="77777777" w:rsidR="00AD24B5" w:rsidRPr="003B4362" w:rsidRDefault="00AD24B5" w:rsidP="00AD24B5">
      <w:pPr>
        <w:suppressAutoHyphens/>
        <w:ind w:left="2880"/>
        <w:rPr>
          <w:szCs w:val="22"/>
        </w:rPr>
      </w:pPr>
      <w:r w:rsidRPr="003B4362">
        <w:rPr>
          <w:szCs w:val="22"/>
        </w:rPr>
        <w:t>“ASTM D2972-15 C” means “Standard Test Methods for Arsenic in Water</w:t>
      </w:r>
      <w:r w:rsidRPr="003B4362">
        <w:rPr>
          <w:szCs w:val="16"/>
        </w:rPr>
        <w:t>”,</w:t>
      </w:r>
      <w:r w:rsidRPr="003B4362">
        <w:rPr>
          <w:szCs w:val="22"/>
        </w:rPr>
        <w:t xml:space="preserve"> “Test Method C—Atomic Absorption, Graphite Furnace</w:t>
      </w:r>
      <w:r w:rsidRPr="003B4362">
        <w:rPr>
          <w:szCs w:val="16"/>
        </w:rPr>
        <w:t>”,</w:t>
      </w:r>
      <w:r w:rsidRPr="003B4362">
        <w:rPr>
          <w:szCs w:val="22"/>
        </w:rPr>
        <w:t xml:space="preserve"> approved 2015, referenced in Section 611.611.</w:t>
      </w:r>
    </w:p>
    <w:p w14:paraId="0D83A5A6" w14:textId="77777777" w:rsidR="00AD24B5" w:rsidRPr="003B4362" w:rsidRDefault="00AD24B5" w:rsidP="00AD24B5">
      <w:pPr>
        <w:suppressAutoHyphens/>
        <w:ind w:left="2880"/>
        <w:rPr>
          <w:szCs w:val="22"/>
        </w:rPr>
      </w:pPr>
    </w:p>
    <w:p w14:paraId="0E767DE4" w14:textId="77777777" w:rsidR="00AD24B5" w:rsidRPr="003B4362" w:rsidRDefault="00AD24B5" w:rsidP="00AD24B5">
      <w:pPr>
        <w:suppressAutoHyphens/>
        <w:ind w:left="2880"/>
        <w:rPr>
          <w:szCs w:val="22"/>
        </w:rPr>
      </w:pPr>
      <w:r w:rsidRPr="003B4362">
        <w:rPr>
          <w:szCs w:val="22"/>
        </w:rPr>
        <w:t>“ASTM D3223-97” means “Standard Test Method for Total Mercury in Water</w:t>
      </w:r>
      <w:r w:rsidRPr="003B4362">
        <w:rPr>
          <w:szCs w:val="16"/>
        </w:rPr>
        <w:t>”,</w:t>
      </w:r>
      <w:r w:rsidRPr="003B4362">
        <w:rPr>
          <w:szCs w:val="22"/>
        </w:rPr>
        <w:t xml:space="preserve"> approved 1997, referenced in Section 611.611.</w:t>
      </w:r>
    </w:p>
    <w:p w14:paraId="72C84A39" w14:textId="77777777" w:rsidR="00AD24B5" w:rsidRPr="003B4362" w:rsidRDefault="00AD24B5" w:rsidP="00AD24B5">
      <w:pPr>
        <w:suppressAutoHyphens/>
        <w:ind w:left="2880"/>
        <w:rPr>
          <w:szCs w:val="22"/>
        </w:rPr>
      </w:pPr>
    </w:p>
    <w:p w14:paraId="08D467F8" w14:textId="77777777" w:rsidR="00AD24B5" w:rsidRPr="003B4362" w:rsidRDefault="00AD24B5" w:rsidP="00AD24B5">
      <w:pPr>
        <w:suppressAutoHyphens/>
        <w:ind w:left="2880"/>
        <w:rPr>
          <w:szCs w:val="22"/>
        </w:rPr>
      </w:pPr>
      <w:r w:rsidRPr="003B4362">
        <w:rPr>
          <w:szCs w:val="22"/>
        </w:rPr>
        <w:t>“ASTM D3223-02” means “Standard Test Method for Total Mercury in Water</w:t>
      </w:r>
      <w:r w:rsidRPr="003B4362">
        <w:rPr>
          <w:szCs w:val="16"/>
        </w:rPr>
        <w:t>”,</w:t>
      </w:r>
      <w:r w:rsidRPr="003B4362">
        <w:rPr>
          <w:szCs w:val="22"/>
        </w:rPr>
        <w:t xml:space="preserve"> approved 2002, referenced in Section 611.611.</w:t>
      </w:r>
    </w:p>
    <w:p w14:paraId="57A540ED" w14:textId="77777777" w:rsidR="00AD24B5" w:rsidRPr="003B4362" w:rsidRDefault="00AD24B5" w:rsidP="00AD24B5">
      <w:pPr>
        <w:suppressAutoHyphens/>
        <w:ind w:left="2880"/>
        <w:rPr>
          <w:szCs w:val="22"/>
        </w:rPr>
      </w:pPr>
    </w:p>
    <w:p w14:paraId="79B8A7E6" w14:textId="77777777" w:rsidR="00AD24B5" w:rsidRPr="003B4362" w:rsidRDefault="00AD24B5" w:rsidP="00AD24B5">
      <w:pPr>
        <w:suppressAutoHyphens/>
        <w:ind w:left="2880"/>
        <w:rPr>
          <w:szCs w:val="22"/>
        </w:rPr>
      </w:pPr>
      <w:r w:rsidRPr="003B4362">
        <w:rPr>
          <w:szCs w:val="22"/>
        </w:rPr>
        <w:t>“ASTM D3223-12” means “Standard Test Method for Total Mercury in Water</w:t>
      </w:r>
      <w:r w:rsidRPr="003B4362">
        <w:rPr>
          <w:szCs w:val="16"/>
        </w:rPr>
        <w:t>”,</w:t>
      </w:r>
      <w:r w:rsidRPr="003B4362">
        <w:rPr>
          <w:szCs w:val="22"/>
        </w:rPr>
        <w:t xml:space="preserve"> approved 2012, referenced in Section 611.611.</w:t>
      </w:r>
    </w:p>
    <w:p w14:paraId="3C0E20A9" w14:textId="77777777" w:rsidR="00AD24B5" w:rsidRPr="003B4362" w:rsidRDefault="00AD24B5" w:rsidP="00AD24B5">
      <w:pPr>
        <w:suppressAutoHyphens/>
        <w:ind w:left="2880"/>
        <w:rPr>
          <w:szCs w:val="22"/>
        </w:rPr>
      </w:pPr>
    </w:p>
    <w:p w14:paraId="0507C1D9" w14:textId="77777777" w:rsidR="00AD24B5" w:rsidRPr="003B4362" w:rsidRDefault="00AD24B5" w:rsidP="00AD24B5">
      <w:pPr>
        <w:suppressAutoHyphens/>
        <w:ind w:left="2880"/>
        <w:rPr>
          <w:szCs w:val="22"/>
        </w:rPr>
      </w:pPr>
      <w:r w:rsidRPr="003B4362">
        <w:rPr>
          <w:szCs w:val="22"/>
        </w:rPr>
        <w:t>“ASTM D3223-17” means “Standard Test Method for Total Mercury in Water</w:t>
      </w:r>
      <w:r w:rsidRPr="003B4362">
        <w:rPr>
          <w:szCs w:val="16"/>
        </w:rPr>
        <w:t>”,</w:t>
      </w:r>
      <w:r w:rsidRPr="003B4362">
        <w:rPr>
          <w:szCs w:val="22"/>
        </w:rPr>
        <w:t xml:space="preserve"> approved 2017, referenced in Section 611.611.</w:t>
      </w:r>
    </w:p>
    <w:p w14:paraId="15A45C21" w14:textId="77777777" w:rsidR="00AD24B5" w:rsidRPr="003B4362" w:rsidRDefault="00AD24B5" w:rsidP="00AD24B5">
      <w:pPr>
        <w:suppressAutoHyphens/>
        <w:ind w:left="2880"/>
        <w:rPr>
          <w:szCs w:val="22"/>
        </w:rPr>
      </w:pPr>
    </w:p>
    <w:p w14:paraId="5D6F1D9A" w14:textId="77777777" w:rsidR="00AD24B5" w:rsidRPr="003B4362" w:rsidRDefault="00AD24B5" w:rsidP="00AD24B5">
      <w:pPr>
        <w:suppressAutoHyphens/>
        <w:ind w:left="2880"/>
        <w:rPr>
          <w:szCs w:val="22"/>
        </w:rPr>
      </w:pPr>
      <w:r w:rsidRPr="003B4362">
        <w:rPr>
          <w:szCs w:val="22"/>
        </w:rPr>
        <w:lastRenderedPageBreak/>
        <w:t>“ASTM D3454-97” means “Standard Test Method for Radium-226 in Water</w:t>
      </w:r>
      <w:r w:rsidRPr="003B4362">
        <w:rPr>
          <w:szCs w:val="16"/>
        </w:rPr>
        <w:t>”,</w:t>
      </w:r>
      <w:r w:rsidRPr="003B4362">
        <w:rPr>
          <w:szCs w:val="22"/>
        </w:rPr>
        <w:t xml:space="preserve"> approved 1997, referenced in Section 611.720.</w:t>
      </w:r>
    </w:p>
    <w:p w14:paraId="0ACF7EF5" w14:textId="77777777" w:rsidR="00AD24B5" w:rsidRPr="003B4362" w:rsidRDefault="00AD24B5" w:rsidP="00AD24B5">
      <w:pPr>
        <w:suppressAutoHyphens/>
        <w:ind w:left="2880"/>
        <w:rPr>
          <w:szCs w:val="22"/>
        </w:rPr>
      </w:pPr>
    </w:p>
    <w:p w14:paraId="55462098" w14:textId="77777777" w:rsidR="00AD24B5" w:rsidRPr="003B4362" w:rsidRDefault="00AD24B5" w:rsidP="00AD24B5">
      <w:pPr>
        <w:suppressAutoHyphens/>
        <w:ind w:left="2880"/>
        <w:rPr>
          <w:szCs w:val="22"/>
        </w:rPr>
      </w:pPr>
      <w:r w:rsidRPr="003B4362">
        <w:rPr>
          <w:szCs w:val="22"/>
        </w:rPr>
        <w:t>“ASTM D3454-05” means “Standard Test Method for Radium-226 in Water</w:t>
      </w:r>
      <w:r w:rsidRPr="003B4362">
        <w:rPr>
          <w:szCs w:val="16"/>
        </w:rPr>
        <w:t>”,</w:t>
      </w:r>
      <w:r w:rsidRPr="003B4362">
        <w:rPr>
          <w:szCs w:val="22"/>
        </w:rPr>
        <w:t xml:space="preserve"> approved 2005, referenced in Section 611.720.</w:t>
      </w:r>
    </w:p>
    <w:p w14:paraId="7E5D4BC5" w14:textId="77777777" w:rsidR="00AD24B5" w:rsidRPr="003B4362" w:rsidRDefault="00AD24B5" w:rsidP="00AD24B5">
      <w:pPr>
        <w:suppressAutoHyphens/>
        <w:ind w:left="2880"/>
        <w:rPr>
          <w:szCs w:val="22"/>
        </w:rPr>
      </w:pPr>
    </w:p>
    <w:p w14:paraId="5C30BBA0" w14:textId="77777777" w:rsidR="00AD24B5" w:rsidRPr="003B4362" w:rsidRDefault="00AD24B5" w:rsidP="00AD24B5">
      <w:pPr>
        <w:suppressAutoHyphens/>
        <w:ind w:left="2880"/>
        <w:rPr>
          <w:szCs w:val="22"/>
        </w:rPr>
      </w:pPr>
      <w:r w:rsidRPr="003B4362">
        <w:rPr>
          <w:szCs w:val="22"/>
        </w:rPr>
        <w:t>“ASTM D3454-18” means “Standard Test Method for Radium-226 in Water</w:t>
      </w:r>
      <w:r w:rsidRPr="003B4362">
        <w:rPr>
          <w:szCs w:val="16"/>
        </w:rPr>
        <w:t>”,</w:t>
      </w:r>
      <w:r w:rsidRPr="003B4362">
        <w:rPr>
          <w:szCs w:val="22"/>
        </w:rPr>
        <w:t xml:space="preserve"> approved 2005, referenced in Section 611.720.</w:t>
      </w:r>
    </w:p>
    <w:p w14:paraId="549ADB17" w14:textId="77777777" w:rsidR="00AD24B5" w:rsidRPr="003B4362" w:rsidRDefault="00AD24B5" w:rsidP="00AD24B5">
      <w:pPr>
        <w:suppressAutoHyphens/>
        <w:ind w:left="2880"/>
        <w:rPr>
          <w:szCs w:val="22"/>
        </w:rPr>
      </w:pPr>
    </w:p>
    <w:p w14:paraId="53D3E5C2" w14:textId="77777777" w:rsidR="00AD24B5" w:rsidRPr="003B4362" w:rsidRDefault="00AD24B5" w:rsidP="00AD24B5">
      <w:pPr>
        <w:suppressAutoHyphens/>
        <w:ind w:left="2880"/>
        <w:rPr>
          <w:szCs w:val="22"/>
        </w:rPr>
      </w:pPr>
      <w:r w:rsidRPr="003B4362">
        <w:rPr>
          <w:szCs w:val="22"/>
        </w:rPr>
        <w:t>“ASTM D3559-96 D” means “Standard Test Methods for Lead in Water</w:t>
      </w:r>
      <w:r w:rsidRPr="003B4362">
        <w:rPr>
          <w:szCs w:val="16"/>
        </w:rPr>
        <w:t>”,</w:t>
      </w:r>
      <w:r w:rsidRPr="003B4362">
        <w:rPr>
          <w:szCs w:val="22"/>
        </w:rPr>
        <w:t xml:space="preserve"> “Test Method D—Atomic Absorption, Graphite Furnace</w:t>
      </w:r>
      <w:r w:rsidRPr="003B4362">
        <w:rPr>
          <w:szCs w:val="16"/>
        </w:rPr>
        <w:t>”,</w:t>
      </w:r>
      <w:r w:rsidRPr="003B4362">
        <w:rPr>
          <w:szCs w:val="22"/>
        </w:rPr>
        <w:t xml:space="preserve"> approved August 6, 1990, referenced in Section 611.611.</w:t>
      </w:r>
    </w:p>
    <w:p w14:paraId="03222C9B" w14:textId="77777777" w:rsidR="00AD24B5" w:rsidRPr="003B4362" w:rsidRDefault="00AD24B5" w:rsidP="00AD24B5">
      <w:pPr>
        <w:suppressAutoHyphens/>
        <w:ind w:left="2880"/>
        <w:rPr>
          <w:szCs w:val="22"/>
        </w:rPr>
      </w:pPr>
    </w:p>
    <w:p w14:paraId="5115E3B7" w14:textId="77777777" w:rsidR="00AD24B5" w:rsidRPr="003B4362" w:rsidRDefault="00AD24B5" w:rsidP="00AD24B5">
      <w:pPr>
        <w:suppressAutoHyphens/>
        <w:ind w:left="2880"/>
        <w:rPr>
          <w:szCs w:val="22"/>
        </w:rPr>
      </w:pPr>
      <w:r w:rsidRPr="003B4362">
        <w:rPr>
          <w:szCs w:val="22"/>
        </w:rPr>
        <w:t>“ASTM D3559-03 D” means “Standard Test Methods for Lead in Water</w:t>
      </w:r>
      <w:r w:rsidRPr="003B4362">
        <w:rPr>
          <w:szCs w:val="16"/>
        </w:rPr>
        <w:t>”,</w:t>
      </w:r>
      <w:r w:rsidRPr="003B4362">
        <w:rPr>
          <w:szCs w:val="22"/>
        </w:rPr>
        <w:t xml:space="preserve"> “Test Method D—Atomic Absorption, Graphite Furnace</w:t>
      </w:r>
      <w:r w:rsidRPr="003B4362">
        <w:rPr>
          <w:szCs w:val="16"/>
        </w:rPr>
        <w:t>”,</w:t>
      </w:r>
      <w:r w:rsidRPr="003B4362">
        <w:rPr>
          <w:szCs w:val="22"/>
        </w:rPr>
        <w:t xml:space="preserve"> approved 2003, referenced in Section 611.611.</w:t>
      </w:r>
    </w:p>
    <w:p w14:paraId="4FCDC02B" w14:textId="77777777" w:rsidR="00AD24B5" w:rsidRPr="003B4362" w:rsidRDefault="00AD24B5" w:rsidP="00AD24B5">
      <w:pPr>
        <w:suppressAutoHyphens/>
        <w:ind w:left="2880"/>
        <w:rPr>
          <w:szCs w:val="22"/>
        </w:rPr>
      </w:pPr>
    </w:p>
    <w:p w14:paraId="2352168D" w14:textId="77777777" w:rsidR="00AD24B5" w:rsidRPr="003B4362" w:rsidRDefault="00AD24B5" w:rsidP="00AD24B5">
      <w:pPr>
        <w:suppressAutoHyphens/>
        <w:ind w:left="2880"/>
        <w:rPr>
          <w:szCs w:val="22"/>
        </w:rPr>
      </w:pPr>
      <w:r w:rsidRPr="003B4362">
        <w:rPr>
          <w:szCs w:val="22"/>
        </w:rPr>
        <w:t>“ASTM D3559-08 D” means “Standard Test Methods for Lead in Water</w:t>
      </w:r>
      <w:r w:rsidRPr="003B4362">
        <w:rPr>
          <w:szCs w:val="16"/>
        </w:rPr>
        <w:t>”,</w:t>
      </w:r>
      <w:r w:rsidRPr="003B4362">
        <w:rPr>
          <w:szCs w:val="22"/>
        </w:rPr>
        <w:t xml:space="preserve"> “Test Method D—Atomic Absorption, Graphite Furnace</w:t>
      </w:r>
      <w:r w:rsidRPr="003B4362">
        <w:rPr>
          <w:szCs w:val="16"/>
        </w:rPr>
        <w:t>”,</w:t>
      </w:r>
      <w:r w:rsidRPr="003B4362">
        <w:rPr>
          <w:szCs w:val="22"/>
        </w:rPr>
        <w:t xml:space="preserve"> approved 2008, referenced in Section 611.611.</w:t>
      </w:r>
    </w:p>
    <w:p w14:paraId="1F37EC67" w14:textId="77777777" w:rsidR="00AD24B5" w:rsidRPr="003B4362" w:rsidRDefault="00AD24B5" w:rsidP="00AD24B5">
      <w:pPr>
        <w:suppressAutoHyphens/>
        <w:ind w:left="2880"/>
        <w:rPr>
          <w:szCs w:val="22"/>
        </w:rPr>
      </w:pPr>
    </w:p>
    <w:p w14:paraId="3F74E257" w14:textId="77777777" w:rsidR="00AD24B5" w:rsidRPr="003B4362" w:rsidRDefault="00AD24B5" w:rsidP="00AD24B5">
      <w:pPr>
        <w:suppressAutoHyphens/>
        <w:ind w:left="2880"/>
        <w:rPr>
          <w:szCs w:val="22"/>
        </w:rPr>
      </w:pPr>
      <w:r w:rsidRPr="003B4362">
        <w:rPr>
          <w:szCs w:val="22"/>
        </w:rPr>
        <w:t>“ASTM D3559-15 D” means “Standard Test Methods for Lead in Water</w:t>
      </w:r>
      <w:r w:rsidRPr="003B4362">
        <w:rPr>
          <w:szCs w:val="16"/>
        </w:rPr>
        <w:t>”,</w:t>
      </w:r>
      <w:r w:rsidRPr="003B4362">
        <w:rPr>
          <w:szCs w:val="22"/>
        </w:rPr>
        <w:t xml:space="preserve"> “Test Method D—Atomic Absorption, Graphite Furnace</w:t>
      </w:r>
      <w:r w:rsidRPr="003B4362">
        <w:rPr>
          <w:szCs w:val="16"/>
        </w:rPr>
        <w:t>”,</w:t>
      </w:r>
      <w:r w:rsidRPr="003B4362">
        <w:rPr>
          <w:szCs w:val="22"/>
        </w:rPr>
        <w:t xml:space="preserve"> approved 2015, referenced in Section 611.611.</w:t>
      </w:r>
    </w:p>
    <w:p w14:paraId="021C02EB" w14:textId="77777777" w:rsidR="00AD24B5" w:rsidRPr="003B4362" w:rsidRDefault="00AD24B5" w:rsidP="00AD24B5">
      <w:pPr>
        <w:suppressAutoHyphens/>
        <w:ind w:left="2880"/>
        <w:rPr>
          <w:szCs w:val="22"/>
        </w:rPr>
      </w:pPr>
    </w:p>
    <w:p w14:paraId="07A8A6A6" w14:textId="77777777" w:rsidR="00AD24B5" w:rsidRPr="003B4362" w:rsidRDefault="00AD24B5" w:rsidP="00AD24B5">
      <w:pPr>
        <w:suppressAutoHyphens/>
        <w:ind w:left="2880"/>
        <w:rPr>
          <w:szCs w:val="22"/>
        </w:rPr>
      </w:pPr>
      <w:r w:rsidRPr="003B4362">
        <w:rPr>
          <w:szCs w:val="22"/>
        </w:rPr>
        <w:t>“ASTM D3645-97 B” means “Standard Test Methods for Beryllium in Water</w:t>
      </w:r>
      <w:r w:rsidRPr="003B4362">
        <w:rPr>
          <w:szCs w:val="16"/>
        </w:rPr>
        <w:t>”,</w:t>
      </w:r>
      <w:r w:rsidRPr="003B4362">
        <w:rPr>
          <w:szCs w:val="22"/>
        </w:rPr>
        <w:t xml:space="preserve"> “Method B—Atomic Absorption, Graphite Furnace</w:t>
      </w:r>
      <w:r w:rsidRPr="003B4362">
        <w:rPr>
          <w:szCs w:val="16"/>
        </w:rPr>
        <w:t>”,</w:t>
      </w:r>
      <w:r w:rsidRPr="003B4362">
        <w:rPr>
          <w:szCs w:val="22"/>
        </w:rPr>
        <w:t xml:space="preserve"> approved 1997, referenced in Section 611.611.</w:t>
      </w:r>
    </w:p>
    <w:p w14:paraId="6C0DE766" w14:textId="77777777" w:rsidR="00AD24B5" w:rsidRPr="003B4362" w:rsidRDefault="00AD24B5" w:rsidP="00AD24B5">
      <w:pPr>
        <w:suppressAutoHyphens/>
        <w:ind w:left="2880"/>
        <w:rPr>
          <w:szCs w:val="22"/>
        </w:rPr>
      </w:pPr>
    </w:p>
    <w:p w14:paraId="6C73349F" w14:textId="77777777" w:rsidR="00AD24B5" w:rsidRPr="003B4362" w:rsidRDefault="00AD24B5" w:rsidP="00AD24B5">
      <w:pPr>
        <w:suppressAutoHyphens/>
        <w:ind w:left="2880"/>
        <w:rPr>
          <w:szCs w:val="22"/>
        </w:rPr>
      </w:pPr>
      <w:r w:rsidRPr="003B4362">
        <w:rPr>
          <w:szCs w:val="22"/>
        </w:rPr>
        <w:t>“ASTM D3645-03 B” means “Standard Test Methods for Beryllium in Water</w:t>
      </w:r>
      <w:r w:rsidRPr="003B4362">
        <w:rPr>
          <w:szCs w:val="16"/>
        </w:rPr>
        <w:t>”,</w:t>
      </w:r>
      <w:r w:rsidRPr="003B4362">
        <w:rPr>
          <w:szCs w:val="22"/>
        </w:rPr>
        <w:t xml:space="preserve"> “Method B—Atomic Absorption, Graphite Furnace</w:t>
      </w:r>
      <w:r w:rsidRPr="003B4362">
        <w:rPr>
          <w:szCs w:val="16"/>
        </w:rPr>
        <w:t>”,</w:t>
      </w:r>
      <w:r w:rsidRPr="003B4362">
        <w:rPr>
          <w:szCs w:val="22"/>
        </w:rPr>
        <w:t xml:space="preserve"> approved 2003, referenced in Section 611.611.</w:t>
      </w:r>
    </w:p>
    <w:p w14:paraId="1AB69D24" w14:textId="77777777" w:rsidR="00AD24B5" w:rsidRPr="003B4362" w:rsidRDefault="00AD24B5" w:rsidP="00AD24B5">
      <w:pPr>
        <w:suppressAutoHyphens/>
        <w:ind w:left="2880"/>
        <w:rPr>
          <w:szCs w:val="22"/>
        </w:rPr>
      </w:pPr>
    </w:p>
    <w:p w14:paraId="6AB73EC6" w14:textId="77777777" w:rsidR="00AD24B5" w:rsidRPr="003B4362" w:rsidRDefault="00AD24B5" w:rsidP="00AD24B5">
      <w:pPr>
        <w:suppressAutoHyphens/>
        <w:ind w:left="2880"/>
        <w:rPr>
          <w:szCs w:val="22"/>
        </w:rPr>
      </w:pPr>
      <w:r w:rsidRPr="003B4362">
        <w:rPr>
          <w:szCs w:val="22"/>
        </w:rPr>
        <w:t>“ASTM D3645-08 B” means “Standard Test Methods for Beryllium in Water</w:t>
      </w:r>
      <w:r w:rsidRPr="003B4362">
        <w:rPr>
          <w:szCs w:val="16"/>
        </w:rPr>
        <w:t>”,</w:t>
      </w:r>
      <w:r w:rsidRPr="003B4362">
        <w:rPr>
          <w:szCs w:val="22"/>
        </w:rPr>
        <w:t xml:space="preserve"> “Method B—Atomic Absorption, Graphite Furnace</w:t>
      </w:r>
      <w:r w:rsidRPr="003B4362">
        <w:rPr>
          <w:szCs w:val="16"/>
        </w:rPr>
        <w:t>”,</w:t>
      </w:r>
      <w:r w:rsidRPr="003B4362">
        <w:rPr>
          <w:szCs w:val="22"/>
        </w:rPr>
        <w:t xml:space="preserve"> approved 2008, referenced in Section 611.611.</w:t>
      </w:r>
    </w:p>
    <w:p w14:paraId="12F023D3" w14:textId="77777777" w:rsidR="00AD24B5" w:rsidRPr="003B4362" w:rsidRDefault="00AD24B5" w:rsidP="00AD24B5">
      <w:pPr>
        <w:suppressAutoHyphens/>
        <w:ind w:left="2880"/>
        <w:rPr>
          <w:szCs w:val="22"/>
        </w:rPr>
      </w:pPr>
    </w:p>
    <w:p w14:paraId="219B0CBA" w14:textId="77777777" w:rsidR="00AD24B5" w:rsidRPr="003B4362" w:rsidRDefault="00AD24B5" w:rsidP="00AD24B5">
      <w:pPr>
        <w:suppressAutoHyphens/>
        <w:ind w:left="2880"/>
        <w:rPr>
          <w:szCs w:val="22"/>
        </w:rPr>
      </w:pPr>
      <w:r w:rsidRPr="003B4362">
        <w:rPr>
          <w:szCs w:val="22"/>
        </w:rPr>
        <w:t>“ASTM D3645-15 B” means “Standard Test Methods for Beryllium in Water</w:t>
      </w:r>
      <w:r w:rsidRPr="003B4362">
        <w:rPr>
          <w:szCs w:val="16"/>
        </w:rPr>
        <w:t>”,</w:t>
      </w:r>
      <w:r w:rsidRPr="003B4362">
        <w:rPr>
          <w:szCs w:val="22"/>
        </w:rPr>
        <w:t xml:space="preserve"> “Method B—Atomic Absorption, Graphite Furnace</w:t>
      </w:r>
      <w:r w:rsidRPr="003B4362">
        <w:rPr>
          <w:szCs w:val="16"/>
        </w:rPr>
        <w:t>”,</w:t>
      </w:r>
      <w:r w:rsidRPr="003B4362">
        <w:rPr>
          <w:szCs w:val="22"/>
        </w:rPr>
        <w:t xml:space="preserve"> approved 2015, referenced in Section 611.611.</w:t>
      </w:r>
    </w:p>
    <w:p w14:paraId="54440274" w14:textId="77777777" w:rsidR="00AD24B5" w:rsidRPr="003B4362" w:rsidRDefault="00AD24B5" w:rsidP="00AD24B5">
      <w:pPr>
        <w:suppressAutoHyphens/>
        <w:ind w:left="2880"/>
        <w:rPr>
          <w:szCs w:val="22"/>
        </w:rPr>
      </w:pPr>
    </w:p>
    <w:p w14:paraId="501EEF89" w14:textId="77777777" w:rsidR="00AD24B5" w:rsidRPr="003B4362" w:rsidRDefault="00AD24B5" w:rsidP="00AD24B5">
      <w:pPr>
        <w:suppressAutoHyphens/>
        <w:ind w:left="2880"/>
        <w:rPr>
          <w:szCs w:val="22"/>
        </w:rPr>
      </w:pPr>
      <w:r w:rsidRPr="003B4362">
        <w:rPr>
          <w:szCs w:val="22"/>
        </w:rPr>
        <w:t>“ASTM D3649-91” means “Standard Test Method for High-Resolution Gamma-Ray Spectrometry of Water</w:t>
      </w:r>
      <w:r w:rsidRPr="003B4362">
        <w:rPr>
          <w:szCs w:val="16"/>
        </w:rPr>
        <w:t>”,</w:t>
      </w:r>
      <w:r w:rsidRPr="003B4362">
        <w:rPr>
          <w:szCs w:val="22"/>
        </w:rPr>
        <w:t xml:space="preserve"> approved 1991, referenced in Section 611.720.</w:t>
      </w:r>
    </w:p>
    <w:p w14:paraId="4DD83AFA" w14:textId="77777777" w:rsidR="00AD24B5" w:rsidRPr="003B4362" w:rsidRDefault="00AD24B5" w:rsidP="00AD24B5">
      <w:pPr>
        <w:suppressAutoHyphens/>
        <w:ind w:left="2880"/>
        <w:rPr>
          <w:szCs w:val="22"/>
        </w:rPr>
      </w:pPr>
    </w:p>
    <w:p w14:paraId="7B5B6B59" w14:textId="77777777" w:rsidR="00AD24B5" w:rsidRPr="003B4362" w:rsidRDefault="00AD24B5" w:rsidP="00AD24B5">
      <w:pPr>
        <w:suppressAutoHyphens/>
        <w:ind w:left="2880"/>
        <w:rPr>
          <w:szCs w:val="22"/>
        </w:rPr>
      </w:pPr>
      <w:r w:rsidRPr="003B4362">
        <w:rPr>
          <w:szCs w:val="22"/>
        </w:rPr>
        <w:lastRenderedPageBreak/>
        <w:t>“ASTM D3649-98a” means “Standard Test Method for High-Resolution Gamma-Ray Spectrometry of Water</w:t>
      </w:r>
      <w:r w:rsidRPr="003B4362">
        <w:rPr>
          <w:szCs w:val="16"/>
        </w:rPr>
        <w:t>”,</w:t>
      </w:r>
      <w:r w:rsidRPr="003B4362">
        <w:rPr>
          <w:szCs w:val="22"/>
        </w:rPr>
        <w:t xml:space="preserve"> approved 1998, referenced in Section 611.720.</w:t>
      </w:r>
    </w:p>
    <w:p w14:paraId="7D323010" w14:textId="77777777" w:rsidR="00AD24B5" w:rsidRPr="003B4362" w:rsidRDefault="00AD24B5" w:rsidP="00AD24B5">
      <w:pPr>
        <w:suppressAutoHyphens/>
        <w:ind w:left="2880"/>
        <w:rPr>
          <w:szCs w:val="22"/>
        </w:rPr>
      </w:pPr>
    </w:p>
    <w:p w14:paraId="096AC409" w14:textId="77777777" w:rsidR="00AD24B5" w:rsidRPr="003B4362" w:rsidRDefault="00AD24B5" w:rsidP="00AD24B5">
      <w:pPr>
        <w:suppressAutoHyphens/>
        <w:ind w:left="2880"/>
        <w:rPr>
          <w:szCs w:val="22"/>
        </w:rPr>
      </w:pPr>
      <w:r w:rsidRPr="003B4362">
        <w:rPr>
          <w:szCs w:val="22"/>
        </w:rPr>
        <w:t>“ASTM D3649-06” means “Standard Test Method for High-Resolution Gamma-Ray Spectrometry of Water</w:t>
      </w:r>
      <w:r w:rsidRPr="003B4362">
        <w:rPr>
          <w:szCs w:val="16"/>
        </w:rPr>
        <w:t>”,</w:t>
      </w:r>
      <w:r w:rsidRPr="003B4362">
        <w:rPr>
          <w:szCs w:val="22"/>
        </w:rPr>
        <w:t xml:space="preserve"> approved 2006, referenced in Section 611.720.</w:t>
      </w:r>
    </w:p>
    <w:p w14:paraId="5FEF483D" w14:textId="77777777" w:rsidR="00AD24B5" w:rsidRPr="003B4362" w:rsidRDefault="00AD24B5" w:rsidP="00AD24B5">
      <w:pPr>
        <w:suppressAutoHyphens/>
        <w:ind w:left="2880"/>
        <w:rPr>
          <w:szCs w:val="22"/>
        </w:rPr>
      </w:pPr>
    </w:p>
    <w:p w14:paraId="79B3241F" w14:textId="77777777" w:rsidR="00AD24B5" w:rsidRPr="003B4362" w:rsidRDefault="00AD24B5" w:rsidP="00AD24B5">
      <w:pPr>
        <w:suppressAutoHyphens/>
        <w:ind w:left="2880"/>
        <w:rPr>
          <w:szCs w:val="22"/>
        </w:rPr>
      </w:pPr>
      <w:r w:rsidRPr="003B4362">
        <w:rPr>
          <w:szCs w:val="22"/>
        </w:rPr>
        <w:t>“ASTM D3697-92” means “Standard Test Method for Antimony in Water</w:t>
      </w:r>
      <w:r w:rsidRPr="003B4362">
        <w:rPr>
          <w:szCs w:val="16"/>
        </w:rPr>
        <w:t>”,</w:t>
      </w:r>
      <w:r w:rsidRPr="003B4362">
        <w:rPr>
          <w:szCs w:val="22"/>
        </w:rPr>
        <w:t xml:space="preserve"> approved 1992, referenced in Section 611.611.</w:t>
      </w:r>
    </w:p>
    <w:p w14:paraId="687DC2E7" w14:textId="77777777" w:rsidR="00AD24B5" w:rsidRPr="003B4362" w:rsidRDefault="00AD24B5" w:rsidP="00AD24B5">
      <w:pPr>
        <w:suppressAutoHyphens/>
        <w:ind w:left="2880"/>
        <w:rPr>
          <w:szCs w:val="22"/>
        </w:rPr>
      </w:pPr>
    </w:p>
    <w:p w14:paraId="3BAB0BAF" w14:textId="77777777" w:rsidR="00AD24B5" w:rsidRPr="003B4362" w:rsidRDefault="00AD24B5" w:rsidP="00AD24B5">
      <w:pPr>
        <w:suppressAutoHyphens/>
        <w:ind w:left="2880"/>
        <w:rPr>
          <w:szCs w:val="22"/>
        </w:rPr>
      </w:pPr>
      <w:r w:rsidRPr="003B4362">
        <w:rPr>
          <w:szCs w:val="22"/>
        </w:rPr>
        <w:t>“ASTM D3697-02” means “Standard Test Method for Antimony in Water</w:t>
      </w:r>
      <w:r w:rsidRPr="003B4362">
        <w:rPr>
          <w:szCs w:val="16"/>
        </w:rPr>
        <w:t>”,</w:t>
      </w:r>
      <w:r w:rsidRPr="003B4362">
        <w:rPr>
          <w:szCs w:val="22"/>
        </w:rPr>
        <w:t xml:space="preserve"> approved 2002, referenced in Section 611.611.</w:t>
      </w:r>
    </w:p>
    <w:p w14:paraId="2BEC0467" w14:textId="77777777" w:rsidR="00AD24B5" w:rsidRPr="003B4362" w:rsidRDefault="00AD24B5" w:rsidP="00AD24B5">
      <w:pPr>
        <w:suppressAutoHyphens/>
        <w:ind w:left="2880"/>
        <w:rPr>
          <w:szCs w:val="22"/>
        </w:rPr>
      </w:pPr>
    </w:p>
    <w:p w14:paraId="1871B65E" w14:textId="77777777" w:rsidR="00AD24B5" w:rsidRPr="003B4362" w:rsidRDefault="00AD24B5" w:rsidP="00AD24B5">
      <w:pPr>
        <w:suppressAutoHyphens/>
        <w:ind w:left="2880"/>
        <w:rPr>
          <w:szCs w:val="22"/>
        </w:rPr>
      </w:pPr>
      <w:r w:rsidRPr="003B4362">
        <w:rPr>
          <w:szCs w:val="22"/>
        </w:rPr>
        <w:t>“ASTM D3697-07” means “Standard Test Method for Antimony in Water</w:t>
      </w:r>
      <w:r w:rsidRPr="003B4362">
        <w:rPr>
          <w:szCs w:val="16"/>
        </w:rPr>
        <w:t>”,</w:t>
      </w:r>
      <w:r w:rsidRPr="003B4362">
        <w:rPr>
          <w:szCs w:val="22"/>
        </w:rPr>
        <w:t xml:space="preserve"> approved 2007, referenced in Section 611.611.</w:t>
      </w:r>
    </w:p>
    <w:p w14:paraId="5D6DEA8B" w14:textId="77777777" w:rsidR="00AD24B5" w:rsidRPr="003B4362" w:rsidRDefault="00AD24B5" w:rsidP="00AD24B5">
      <w:pPr>
        <w:suppressAutoHyphens/>
        <w:ind w:left="2880"/>
        <w:rPr>
          <w:szCs w:val="22"/>
        </w:rPr>
      </w:pPr>
    </w:p>
    <w:p w14:paraId="5CCBD1C0" w14:textId="77777777" w:rsidR="00AD24B5" w:rsidRPr="003B4362" w:rsidRDefault="00AD24B5" w:rsidP="00AD24B5">
      <w:pPr>
        <w:suppressAutoHyphens/>
        <w:ind w:left="2880"/>
        <w:rPr>
          <w:szCs w:val="22"/>
        </w:rPr>
      </w:pPr>
      <w:r w:rsidRPr="003B4362">
        <w:rPr>
          <w:szCs w:val="22"/>
        </w:rPr>
        <w:t>“ASTM D3697-12” means “Standard Test Method for Antimony in Water</w:t>
      </w:r>
      <w:r w:rsidRPr="003B4362">
        <w:rPr>
          <w:szCs w:val="16"/>
        </w:rPr>
        <w:t>”,</w:t>
      </w:r>
      <w:r w:rsidRPr="003B4362">
        <w:rPr>
          <w:szCs w:val="22"/>
        </w:rPr>
        <w:t xml:space="preserve"> approved 2012, referenced in Section 611.611.</w:t>
      </w:r>
    </w:p>
    <w:p w14:paraId="123AAB3D" w14:textId="77777777" w:rsidR="00AD24B5" w:rsidRPr="003B4362" w:rsidRDefault="00AD24B5" w:rsidP="00AD24B5">
      <w:pPr>
        <w:suppressAutoHyphens/>
        <w:ind w:left="2880"/>
        <w:rPr>
          <w:szCs w:val="22"/>
        </w:rPr>
      </w:pPr>
    </w:p>
    <w:p w14:paraId="6FC7F9A1" w14:textId="77777777" w:rsidR="00AD24B5" w:rsidRPr="003B4362" w:rsidRDefault="00AD24B5" w:rsidP="00AD24B5">
      <w:pPr>
        <w:suppressAutoHyphens/>
        <w:ind w:left="2880"/>
        <w:rPr>
          <w:szCs w:val="22"/>
        </w:rPr>
      </w:pPr>
      <w:r w:rsidRPr="003B4362">
        <w:rPr>
          <w:szCs w:val="22"/>
        </w:rPr>
        <w:t>“ASTM D3697-17” means “Standard Test Method for Antimony in Water</w:t>
      </w:r>
      <w:r w:rsidRPr="003B4362">
        <w:rPr>
          <w:szCs w:val="16"/>
        </w:rPr>
        <w:t>”,</w:t>
      </w:r>
      <w:r w:rsidRPr="003B4362">
        <w:rPr>
          <w:szCs w:val="22"/>
        </w:rPr>
        <w:t xml:space="preserve"> approved 2017, referenced in Section 611.611.</w:t>
      </w:r>
    </w:p>
    <w:p w14:paraId="65C097B6" w14:textId="77777777" w:rsidR="00AD24B5" w:rsidRPr="003B4362" w:rsidRDefault="00AD24B5" w:rsidP="00AD24B5">
      <w:pPr>
        <w:suppressAutoHyphens/>
        <w:ind w:left="2880"/>
        <w:rPr>
          <w:szCs w:val="22"/>
        </w:rPr>
      </w:pPr>
    </w:p>
    <w:p w14:paraId="288915A2" w14:textId="77777777" w:rsidR="00AD24B5" w:rsidRPr="003B4362" w:rsidRDefault="00AD24B5" w:rsidP="00AD24B5">
      <w:pPr>
        <w:suppressAutoHyphens/>
        <w:ind w:left="2880"/>
        <w:rPr>
          <w:szCs w:val="22"/>
        </w:rPr>
      </w:pPr>
      <w:r w:rsidRPr="003B4362">
        <w:rPr>
          <w:szCs w:val="22"/>
        </w:rPr>
        <w:t>“ASTM D3859-98 A” means “Standard Test Methods for Selenium in Water</w:t>
      </w:r>
      <w:r w:rsidRPr="003B4362">
        <w:rPr>
          <w:szCs w:val="16"/>
        </w:rPr>
        <w:t>”,</w:t>
      </w:r>
      <w:r w:rsidRPr="003B4362">
        <w:rPr>
          <w:szCs w:val="22"/>
        </w:rPr>
        <w:t xml:space="preserve"> “Method A—Atomic Absorption, Hydride Method</w:t>
      </w:r>
      <w:r w:rsidRPr="003B4362">
        <w:rPr>
          <w:spacing w:val="-3"/>
          <w:szCs w:val="22"/>
        </w:rPr>
        <w:t>”</w:t>
      </w:r>
      <w:r w:rsidRPr="003B4362">
        <w:rPr>
          <w:szCs w:val="16"/>
        </w:rPr>
        <w:t>,</w:t>
      </w:r>
      <w:r w:rsidRPr="003B4362">
        <w:rPr>
          <w:szCs w:val="22"/>
        </w:rPr>
        <w:t xml:space="preserve"> approved 1998, referenced in Section 611.611.</w:t>
      </w:r>
    </w:p>
    <w:p w14:paraId="2E0FACA3" w14:textId="77777777" w:rsidR="00AD24B5" w:rsidRPr="003B4362" w:rsidRDefault="00AD24B5" w:rsidP="00AD24B5">
      <w:pPr>
        <w:suppressAutoHyphens/>
        <w:ind w:left="2880"/>
        <w:rPr>
          <w:szCs w:val="22"/>
        </w:rPr>
      </w:pPr>
    </w:p>
    <w:p w14:paraId="2A5EB951" w14:textId="77777777" w:rsidR="00AD24B5" w:rsidRPr="003B4362" w:rsidRDefault="00AD24B5" w:rsidP="00AD24B5">
      <w:pPr>
        <w:suppressAutoHyphens/>
        <w:ind w:left="2880"/>
        <w:rPr>
          <w:szCs w:val="22"/>
        </w:rPr>
      </w:pPr>
      <w:r w:rsidRPr="003B4362">
        <w:rPr>
          <w:szCs w:val="22"/>
        </w:rPr>
        <w:t>“ASTM D3859-03 A” means “Standard Test Methods for Selenium in Water</w:t>
      </w:r>
      <w:r w:rsidRPr="003B4362">
        <w:rPr>
          <w:szCs w:val="16"/>
        </w:rPr>
        <w:t>”,</w:t>
      </w:r>
      <w:r w:rsidRPr="003B4362">
        <w:rPr>
          <w:szCs w:val="22"/>
        </w:rPr>
        <w:t xml:space="preserve"> “Method A—Atomic Absorption, Hydride Method</w:t>
      </w:r>
      <w:r w:rsidRPr="003B4362">
        <w:rPr>
          <w:spacing w:val="-3"/>
          <w:szCs w:val="22"/>
        </w:rPr>
        <w:t>”</w:t>
      </w:r>
      <w:r w:rsidRPr="003B4362">
        <w:rPr>
          <w:szCs w:val="16"/>
        </w:rPr>
        <w:t>,</w:t>
      </w:r>
      <w:r w:rsidRPr="003B4362">
        <w:rPr>
          <w:szCs w:val="22"/>
        </w:rPr>
        <w:t xml:space="preserve"> approved 2003, referenced in Section 611.611.</w:t>
      </w:r>
    </w:p>
    <w:p w14:paraId="0EF81293" w14:textId="77777777" w:rsidR="00AD24B5" w:rsidRPr="003B4362" w:rsidRDefault="00AD24B5" w:rsidP="00AD24B5">
      <w:pPr>
        <w:suppressAutoHyphens/>
        <w:ind w:left="2880"/>
        <w:rPr>
          <w:szCs w:val="22"/>
        </w:rPr>
      </w:pPr>
    </w:p>
    <w:p w14:paraId="5DED4314" w14:textId="77777777" w:rsidR="00AD24B5" w:rsidRPr="003B4362" w:rsidRDefault="00AD24B5" w:rsidP="00AD24B5">
      <w:pPr>
        <w:suppressAutoHyphens/>
        <w:ind w:left="2880"/>
        <w:rPr>
          <w:szCs w:val="22"/>
        </w:rPr>
      </w:pPr>
      <w:r w:rsidRPr="003B4362">
        <w:rPr>
          <w:szCs w:val="22"/>
        </w:rPr>
        <w:t>“ASTM D3859-08 A” means “Standard Test Methods for Selenium in Water</w:t>
      </w:r>
      <w:r w:rsidRPr="003B4362">
        <w:rPr>
          <w:szCs w:val="16"/>
        </w:rPr>
        <w:t>”,</w:t>
      </w:r>
      <w:r w:rsidRPr="003B4362">
        <w:rPr>
          <w:szCs w:val="22"/>
        </w:rPr>
        <w:t xml:space="preserve"> “Method A—Atomic Absorption, Hydride Method”</w:t>
      </w:r>
      <w:r w:rsidRPr="003B4362">
        <w:rPr>
          <w:szCs w:val="16"/>
        </w:rPr>
        <w:t>,</w:t>
      </w:r>
      <w:r w:rsidRPr="003B4362">
        <w:rPr>
          <w:szCs w:val="22"/>
        </w:rPr>
        <w:t xml:space="preserve"> approved 2008, referenced in Section 611.611.</w:t>
      </w:r>
    </w:p>
    <w:p w14:paraId="72334083" w14:textId="77777777" w:rsidR="00AD24B5" w:rsidRPr="003B4362" w:rsidRDefault="00AD24B5" w:rsidP="00AD24B5">
      <w:pPr>
        <w:suppressAutoHyphens/>
        <w:ind w:left="2880"/>
        <w:rPr>
          <w:szCs w:val="22"/>
        </w:rPr>
      </w:pPr>
    </w:p>
    <w:p w14:paraId="333ED129" w14:textId="77777777" w:rsidR="00AD24B5" w:rsidRPr="003B4362" w:rsidRDefault="00AD24B5" w:rsidP="00AD24B5">
      <w:pPr>
        <w:suppressAutoHyphens/>
        <w:ind w:left="2880"/>
        <w:rPr>
          <w:szCs w:val="22"/>
        </w:rPr>
      </w:pPr>
      <w:r w:rsidRPr="003B4362">
        <w:rPr>
          <w:szCs w:val="22"/>
        </w:rPr>
        <w:t>“ASTM D3859-15 A” means “Standard Test Methods for Selenium in Water</w:t>
      </w:r>
      <w:r w:rsidRPr="003B4362">
        <w:rPr>
          <w:szCs w:val="16"/>
        </w:rPr>
        <w:t>”,</w:t>
      </w:r>
      <w:r w:rsidRPr="003B4362">
        <w:rPr>
          <w:szCs w:val="22"/>
        </w:rPr>
        <w:t xml:space="preserve"> “Method A—Atomic Absorption, Hydride Method”</w:t>
      </w:r>
      <w:r w:rsidRPr="003B4362">
        <w:rPr>
          <w:szCs w:val="16"/>
        </w:rPr>
        <w:t>,</w:t>
      </w:r>
      <w:r w:rsidRPr="003B4362">
        <w:rPr>
          <w:szCs w:val="22"/>
        </w:rPr>
        <w:t xml:space="preserve"> approved 2015, referenced in Section 611.611.</w:t>
      </w:r>
    </w:p>
    <w:p w14:paraId="0BEAD735" w14:textId="77777777" w:rsidR="00AD24B5" w:rsidRPr="003B4362" w:rsidRDefault="00AD24B5" w:rsidP="00AD24B5">
      <w:pPr>
        <w:suppressAutoHyphens/>
        <w:ind w:left="2880"/>
        <w:rPr>
          <w:szCs w:val="22"/>
        </w:rPr>
      </w:pPr>
    </w:p>
    <w:p w14:paraId="4B4EC067" w14:textId="77777777" w:rsidR="00AD24B5" w:rsidRPr="003B4362" w:rsidRDefault="00AD24B5" w:rsidP="00AD24B5">
      <w:pPr>
        <w:suppressAutoHyphens/>
        <w:ind w:left="2880"/>
        <w:rPr>
          <w:szCs w:val="22"/>
        </w:rPr>
      </w:pPr>
      <w:r w:rsidRPr="003B4362">
        <w:rPr>
          <w:szCs w:val="22"/>
        </w:rPr>
        <w:t>“ASTM D3859-98 B” means “Standard Test Methods for Selenium in Water</w:t>
      </w:r>
      <w:r w:rsidRPr="003B4362">
        <w:rPr>
          <w:szCs w:val="16"/>
        </w:rPr>
        <w:t>”,</w:t>
      </w:r>
      <w:r w:rsidRPr="003B4362">
        <w:rPr>
          <w:szCs w:val="22"/>
        </w:rPr>
        <w:t xml:space="preserve"> “Method B—Atomic Absorption, Graphite Furnace</w:t>
      </w:r>
      <w:r w:rsidRPr="003B4362">
        <w:rPr>
          <w:szCs w:val="16"/>
        </w:rPr>
        <w:t>”,</w:t>
      </w:r>
      <w:r w:rsidRPr="003B4362">
        <w:rPr>
          <w:szCs w:val="22"/>
        </w:rPr>
        <w:t xml:space="preserve"> approved 1998, referenced in Section 611.611.</w:t>
      </w:r>
    </w:p>
    <w:p w14:paraId="27381971" w14:textId="77777777" w:rsidR="00AD24B5" w:rsidRPr="003B4362" w:rsidRDefault="00AD24B5" w:rsidP="00AD24B5">
      <w:pPr>
        <w:suppressAutoHyphens/>
        <w:ind w:left="2880"/>
        <w:rPr>
          <w:szCs w:val="22"/>
        </w:rPr>
      </w:pPr>
    </w:p>
    <w:p w14:paraId="2E34DEB7" w14:textId="77777777" w:rsidR="00AD24B5" w:rsidRPr="003B4362" w:rsidRDefault="00AD24B5" w:rsidP="00AD24B5">
      <w:pPr>
        <w:suppressAutoHyphens/>
        <w:ind w:left="2880"/>
        <w:rPr>
          <w:szCs w:val="22"/>
        </w:rPr>
      </w:pPr>
      <w:r w:rsidRPr="003B4362">
        <w:rPr>
          <w:szCs w:val="22"/>
        </w:rPr>
        <w:lastRenderedPageBreak/>
        <w:t>“ASTM D3859-03 B” means “Standard Test Methods for Selenium in Water</w:t>
      </w:r>
      <w:r w:rsidRPr="003B4362">
        <w:rPr>
          <w:szCs w:val="16"/>
        </w:rPr>
        <w:t>”,</w:t>
      </w:r>
      <w:r w:rsidRPr="003B4362">
        <w:rPr>
          <w:szCs w:val="22"/>
        </w:rPr>
        <w:t xml:space="preserve"> “Method B—Atomic Absorption, Graphite Furnace</w:t>
      </w:r>
      <w:r w:rsidRPr="003B4362">
        <w:rPr>
          <w:szCs w:val="16"/>
        </w:rPr>
        <w:t>”,</w:t>
      </w:r>
      <w:r w:rsidRPr="003B4362">
        <w:rPr>
          <w:szCs w:val="22"/>
        </w:rPr>
        <w:t xml:space="preserve"> approved 2003, referenced in Section 611.611.</w:t>
      </w:r>
    </w:p>
    <w:p w14:paraId="3D50E414" w14:textId="77777777" w:rsidR="00AD24B5" w:rsidRPr="003B4362" w:rsidRDefault="00AD24B5" w:rsidP="00AD24B5">
      <w:pPr>
        <w:suppressAutoHyphens/>
        <w:ind w:left="2880"/>
        <w:rPr>
          <w:szCs w:val="22"/>
        </w:rPr>
      </w:pPr>
    </w:p>
    <w:p w14:paraId="634AA5AF" w14:textId="77777777" w:rsidR="00AD24B5" w:rsidRPr="003B4362" w:rsidRDefault="00AD24B5" w:rsidP="00AD24B5">
      <w:pPr>
        <w:suppressAutoHyphens/>
        <w:ind w:left="2880"/>
        <w:rPr>
          <w:szCs w:val="22"/>
        </w:rPr>
      </w:pPr>
      <w:r w:rsidRPr="003B4362">
        <w:rPr>
          <w:szCs w:val="22"/>
        </w:rPr>
        <w:t>“ASTM D3859-08 B” means “Standard Test Methods for Selenium in Water</w:t>
      </w:r>
      <w:r w:rsidRPr="003B4362">
        <w:rPr>
          <w:szCs w:val="16"/>
        </w:rPr>
        <w:t>”,</w:t>
      </w:r>
      <w:r w:rsidRPr="003B4362">
        <w:rPr>
          <w:szCs w:val="22"/>
        </w:rPr>
        <w:t xml:space="preserve"> “Method B—Atomic Absorption, Graphite Furnace</w:t>
      </w:r>
      <w:r w:rsidRPr="003B4362">
        <w:rPr>
          <w:szCs w:val="16"/>
        </w:rPr>
        <w:t>”,</w:t>
      </w:r>
      <w:r w:rsidRPr="003B4362">
        <w:rPr>
          <w:szCs w:val="22"/>
        </w:rPr>
        <w:t xml:space="preserve"> approved 2008, referenced in Section 611.611.</w:t>
      </w:r>
    </w:p>
    <w:p w14:paraId="41C32349" w14:textId="77777777" w:rsidR="00AD24B5" w:rsidRPr="003B4362" w:rsidRDefault="00AD24B5" w:rsidP="00AD24B5">
      <w:pPr>
        <w:suppressAutoHyphens/>
        <w:ind w:left="2880"/>
        <w:rPr>
          <w:szCs w:val="22"/>
        </w:rPr>
      </w:pPr>
    </w:p>
    <w:p w14:paraId="762D72E5" w14:textId="77777777" w:rsidR="00AD24B5" w:rsidRPr="003B4362" w:rsidRDefault="00AD24B5" w:rsidP="00AD24B5">
      <w:pPr>
        <w:suppressAutoHyphens/>
        <w:ind w:left="2880"/>
        <w:rPr>
          <w:szCs w:val="22"/>
        </w:rPr>
      </w:pPr>
      <w:r w:rsidRPr="003B4362">
        <w:rPr>
          <w:szCs w:val="22"/>
        </w:rPr>
        <w:t>“ASTM D3859-15 B” means “Standard Test Methods for Selenium in Water</w:t>
      </w:r>
      <w:r w:rsidRPr="003B4362">
        <w:rPr>
          <w:szCs w:val="16"/>
        </w:rPr>
        <w:t>”,</w:t>
      </w:r>
      <w:r w:rsidRPr="003B4362">
        <w:rPr>
          <w:szCs w:val="22"/>
        </w:rPr>
        <w:t xml:space="preserve"> “Method B—Atomic Absorption, Graphite Furnace</w:t>
      </w:r>
      <w:r w:rsidRPr="003B4362">
        <w:rPr>
          <w:szCs w:val="16"/>
        </w:rPr>
        <w:t>”,</w:t>
      </w:r>
      <w:r w:rsidRPr="003B4362">
        <w:rPr>
          <w:szCs w:val="22"/>
        </w:rPr>
        <w:t xml:space="preserve"> approved 2015, referenced in Section 611.611.</w:t>
      </w:r>
    </w:p>
    <w:p w14:paraId="489DB10E" w14:textId="77777777" w:rsidR="00AD24B5" w:rsidRPr="003B4362" w:rsidRDefault="00AD24B5" w:rsidP="00AD24B5">
      <w:pPr>
        <w:suppressAutoHyphens/>
        <w:ind w:left="2880"/>
        <w:rPr>
          <w:szCs w:val="22"/>
        </w:rPr>
      </w:pPr>
    </w:p>
    <w:p w14:paraId="649E3549" w14:textId="77777777" w:rsidR="00AD24B5" w:rsidRPr="003B4362" w:rsidRDefault="00AD24B5" w:rsidP="00AD24B5">
      <w:pPr>
        <w:suppressAutoHyphens/>
        <w:ind w:left="2880"/>
        <w:rPr>
          <w:szCs w:val="22"/>
        </w:rPr>
      </w:pPr>
      <w:r w:rsidRPr="003B4362">
        <w:rPr>
          <w:szCs w:val="22"/>
        </w:rPr>
        <w:t>“ASTM D3867-90 A” means “Standard Test Methods for Nitrite-Nitrate in Water</w:t>
      </w:r>
      <w:r w:rsidRPr="003B4362">
        <w:rPr>
          <w:szCs w:val="16"/>
        </w:rPr>
        <w:t>”,</w:t>
      </w:r>
      <w:r w:rsidRPr="003B4362">
        <w:rPr>
          <w:szCs w:val="22"/>
        </w:rPr>
        <w:t xml:space="preserve"> “Test Method A—Automated Cadmium Reduction”</w:t>
      </w:r>
      <w:r w:rsidRPr="003B4362">
        <w:rPr>
          <w:szCs w:val="16"/>
        </w:rPr>
        <w:t>,</w:t>
      </w:r>
      <w:r w:rsidRPr="003B4362">
        <w:rPr>
          <w:szCs w:val="22"/>
        </w:rPr>
        <w:t xml:space="preserve"> approved 1990, referenced in Section 611.611.</w:t>
      </w:r>
    </w:p>
    <w:p w14:paraId="246F0B23" w14:textId="77777777" w:rsidR="00AD24B5" w:rsidRPr="003B4362" w:rsidRDefault="00AD24B5" w:rsidP="00AD24B5">
      <w:pPr>
        <w:suppressAutoHyphens/>
        <w:ind w:left="2880"/>
        <w:rPr>
          <w:szCs w:val="22"/>
        </w:rPr>
      </w:pPr>
    </w:p>
    <w:p w14:paraId="530AFA7B" w14:textId="77777777" w:rsidR="00AD24B5" w:rsidRPr="003B4362" w:rsidRDefault="00AD24B5" w:rsidP="00AD24B5">
      <w:pPr>
        <w:suppressAutoHyphens/>
        <w:ind w:left="2880"/>
        <w:rPr>
          <w:szCs w:val="22"/>
        </w:rPr>
      </w:pPr>
      <w:r w:rsidRPr="003B4362">
        <w:rPr>
          <w:szCs w:val="22"/>
        </w:rPr>
        <w:t>“ASTM D3867-90 B” means “Standard Test Methods for Nitrite-Nitrate in Water</w:t>
      </w:r>
      <w:r w:rsidRPr="003B4362">
        <w:rPr>
          <w:szCs w:val="16"/>
        </w:rPr>
        <w:t>”,</w:t>
      </w:r>
      <w:r w:rsidRPr="003B4362">
        <w:rPr>
          <w:szCs w:val="22"/>
        </w:rPr>
        <w:t xml:space="preserve"> “Test Method B—Manual Cadmium Reduction</w:t>
      </w:r>
      <w:r w:rsidRPr="003B4362">
        <w:rPr>
          <w:szCs w:val="16"/>
        </w:rPr>
        <w:t>”,</w:t>
      </w:r>
      <w:r w:rsidRPr="003B4362">
        <w:rPr>
          <w:szCs w:val="22"/>
        </w:rPr>
        <w:t xml:space="preserve"> approved January 10, 1990, referenced in Section 611.611.</w:t>
      </w:r>
    </w:p>
    <w:p w14:paraId="6738266F" w14:textId="77777777" w:rsidR="00AD24B5" w:rsidRPr="003B4362" w:rsidRDefault="00AD24B5" w:rsidP="00AD24B5">
      <w:pPr>
        <w:suppressAutoHyphens/>
        <w:ind w:left="2880"/>
        <w:rPr>
          <w:szCs w:val="22"/>
        </w:rPr>
      </w:pPr>
    </w:p>
    <w:p w14:paraId="702763C9" w14:textId="77777777" w:rsidR="00AD24B5" w:rsidRPr="003B4362" w:rsidRDefault="00AD24B5" w:rsidP="00AD24B5">
      <w:pPr>
        <w:suppressAutoHyphens/>
        <w:ind w:left="2880"/>
        <w:rPr>
          <w:szCs w:val="22"/>
        </w:rPr>
      </w:pPr>
      <w:r w:rsidRPr="003B4362">
        <w:rPr>
          <w:szCs w:val="22"/>
        </w:rPr>
        <w:t>“ASTM D3972-97” means “Standard Test Method for Isotopic Uranium in Water by Radiochemistry</w:t>
      </w:r>
      <w:r w:rsidRPr="003B4362">
        <w:rPr>
          <w:szCs w:val="16"/>
        </w:rPr>
        <w:t>”,</w:t>
      </w:r>
      <w:r w:rsidRPr="003B4362">
        <w:rPr>
          <w:szCs w:val="22"/>
        </w:rPr>
        <w:t xml:space="preserve"> approved 1997, referenced in Section 611.720.</w:t>
      </w:r>
    </w:p>
    <w:p w14:paraId="322C12B4" w14:textId="77777777" w:rsidR="00AD24B5" w:rsidRPr="003B4362" w:rsidRDefault="00AD24B5" w:rsidP="00AD24B5">
      <w:pPr>
        <w:suppressAutoHyphens/>
        <w:ind w:left="2880"/>
        <w:rPr>
          <w:szCs w:val="22"/>
        </w:rPr>
      </w:pPr>
    </w:p>
    <w:p w14:paraId="5FD64075" w14:textId="77777777" w:rsidR="00AD24B5" w:rsidRPr="003B4362" w:rsidRDefault="00AD24B5" w:rsidP="00AD24B5">
      <w:pPr>
        <w:suppressAutoHyphens/>
        <w:ind w:left="2880"/>
        <w:rPr>
          <w:szCs w:val="22"/>
        </w:rPr>
      </w:pPr>
      <w:r w:rsidRPr="003B4362">
        <w:rPr>
          <w:szCs w:val="22"/>
        </w:rPr>
        <w:t>“ASTM D3972-02” means “Standard Test Method for Isotopic Uranium in Water by Radiochemistry</w:t>
      </w:r>
      <w:r w:rsidRPr="003B4362">
        <w:rPr>
          <w:szCs w:val="16"/>
        </w:rPr>
        <w:t>”,</w:t>
      </w:r>
      <w:r w:rsidRPr="003B4362">
        <w:rPr>
          <w:szCs w:val="22"/>
        </w:rPr>
        <w:t xml:space="preserve"> approved 2002, referenced in Section 611.720.</w:t>
      </w:r>
    </w:p>
    <w:p w14:paraId="3973A3C4" w14:textId="77777777" w:rsidR="00AD24B5" w:rsidRPr="003B4362" w:rsidRDefault="00AD24B5" w:rsidP="00AD24B5">
      <w:pPr>
        <w:suppressAutoHyphens/>
        <w:ind w:left="2880"/>
        <w:rPr>
          <w:szCs w:val="22"/>
        </w:rPr>
      </w:pPr>
    </w:p>
    <w:p w14:paraId="245E792F" w14:textId="77777777" w:rsidR="00AD24B5" w:rsidRPr="003B4362" w:rsidRDefault="00AD24B5" w:rsidP="00AD24B5">
      <w:pPr>
        <w:suppressAutoHyphens/>
        <w:ind w:left="2880"/>
        <w:rPr>
          <w:szCs w:val="22"/>
        </w:rPr>
      </w:pPr>
      <w:r w:rsidRPr="003B4362">
        <w:rPr>
          <w:szCs w:val="22"/>
        </w:rPr>
        <w:t>“ASTM D3972-09” means “Standard Test Method for Isotopic Uranium in Water by Radiochemistry</w:t>
      </w:r>
      <w:r w:rsidRPr="003B4362">
        <w:rPr>
          <w:szCs w:val="16"/>
        </w:rPr>
        <w:t>”,</w:t>
      </w:r>
      <w:r w:rsidRPr="003B4362">
        <w:rPr>
          <w:szCs w:val="22"/>
        </w:rPr>
        <w:t xml:space="preserve"> approved 2009, referenced in Section 611.720.</w:t>
      </w:r>
    </w:p>
    <w:p w14:paraId="575BD7E4" w14:textId="77777777" w:rsidR="00AD24B5" w:rsidRPr="003B4362" w:rsidRDefault="00AD24B5" w:rsidP="00AD24B5">
      <w:pPr>
        <w:suppressAutoHyphens/>
        <w:ind w:left="2880"/>
        <w:rPr>
          <w:szCs w:val="22"/>
        </w:rPr>
      </w:pPr>
    </w:p>
    <w:p w14:paraId="79761B2B" w14:textId="77777777" w:rsidR="00AD24B5" w:rsidRPr="003B4362" w:rsidRDefault="00AD24B5" w:rsidP="00AD24B5">
      <w:pPr>
        <w:suppressAutoHyphens/>
        <w:ind w:left="2880"/>
        <w:rPr>
          <w:szCs w:val="22"/>
        </w:rPr>
      </w:pPr>
      <w:r w:rsidRPr="003B4362">
        <w:rPr>
          <w:szCs w:val="22"/>
        </w:rPr>
        <w:t>“ASTM D4107-91” means “Standard Test Method for Tritium in Drinking Water</w:t>
      </w:r>
      <w:r w:rsidRPr="003B4362">
        <w:rPr>
          <w:szCs w:val="16"/>
        </w:rPr>
        <w:t>”,</w:t>
      </w:r>
      <w:r w:rsidRPr="003B4362">
        <w:rPr>
          <w:szCs w:val="22"/>
        </w:rPr>
        <w:t xml:space="preserve"> approved 1991, referenced in Section 611.720.</w:t>
      </w:r>
    </w:p>
    <w:p w14:paraId="42FD3C8D" w14:textId="77777777" w:rsidR="00AD24B5" w:rsidRPr="003B4362" w:rsidRDefault="00AD24B5" w:rsidP="00AD24B5">
      <w:pPr>
        <w:suppressAutoHyphens/>
        <w:ind w:left="2880"/>
        <w:rPr>
          <w:szCs w:val="22"/>
        </w:rPr>
      </w:pPr>
    </w:p>
    <w:p w14:paraId="0808D7D9" w14:textId="77777777" w:rsidR="00AD24B5" w:rsidRPr="003B4362" w:rsidRDefault="00AD24B5" w:rsidP="00AD24B5">
      <w:pPr>
        <w:suppressAutoHyphens/>
        <w:ind w:left="2880"/>
        <w:rPr>
          <w:szCs w:val="22"/>
        </w:rPr>
      </w:pPr>
      <w:r w:rsidRPr="003B4362">
        <w:rPr>
          <w:szCs w:val="22"/>
        </w:rPr>
        <w:t>“ASTM D4107-98” means “Standard Test Method for Tritium in Drinking Water</w:t>
      </w:r>
      <w:r w:rsidRPr="003B4362">
        <w:rPr>
          <w:szCs w:val="16"/>
        </w:rPr>
        <w:t>”,</w:t>
      </w:r>
      <w:r w:rsidRPr="003B4362">
        <w:rPr>
          <w:szCs w:val="22"/>
        </w:rPr>
        <w:t xml:space="preserve"> approved 1998, referenced in Section 611.720.</w:t>
      </w:r>
    </w:p>
    <w:p w14:paraId="564D6584" w14:textId="77777777" w:rsidR="00AD24B5" w:rsidRPr="003B4362" w:rsidRDefault="00AD24B5" w:rsidP="00AD24B5">
      <w:pPr>
        <w:suppressAutoHyphens/>
        <w:ind w:left="2880"/>
        <w:rPr>
          <w:szCs w:val="22"/>
        </w:rPr>
      </w:pPr>
    </w:p>
    <w:p w14:paraId="723C4FF1" w14:textId="77777777" w:rsidR="00AD24B5" w:rsidRPr="003B4362" w:rsidRDefault="00AD24B5" w:rsidP="00AD24B5">
      <w:pPr>
        <w:suppressAutoHyphens/>
        <w:ind w:left="2880"/>
        <w:rPr>
          <w:szCs w:val="22"/>
        </w:rPr>
      </w:pPr>
      <w:r w:rsidRPr="003B4362">
        <w:rPr>
          <w:szCs w:val="22"/>
        </w:rPr>
        <w:t>“ASTM D4107-08” means “Standard Test Method for Tritium in Drinking Water</w:t>
      </w:r>
      <w:r w:rsidRPr="003B4362">
        <w:rPr>
          <w:szCs w:val="16"/>
        </w:rPr>
        <w:t>”,</w:t>
      </w:r>
      <w:r w:rsidRPr="003B4362">
        <w:rPr>
          <w:szCs w:val="22"/>
        </w:rPr>
        <w:t xml:space="preserve"> approved 2008, referenced in Section 611.720.</w:t>
      </w:r>
    </w:p>
    <w:p w14:paraId="0ED3CC56" w14:textId="77777777" w:rsidR="00AD24B5" w:rsidRDefault="00AD24B5" w:rsidP="00AD24B5">
      <w:pPr>
        <w:suppressAutoHyphens/>
        <w:ind w:left="2880"/>
        <w:rPr>
          <w:szCs w:val="22"/>
        </w:rPr>
      </w:pPr>
    </w:p>
    <w:p w14:paraId="6E52B56A" w14:textId="77777777" w:rsidR="00AD24B5" w:rsidRPr="004B63DB" w:rsidRDefault="00AD24B5" w:rsidP="00AD24B5">
      <w:pPr>
        <w:suppressAutoHyphens/>
        <w:ind w:left="2880"/>
        <w:rPr>
          <w:szCs w:val="22"/>
        </w:rPr>
      </w:pPr>
      <w:bookmarkStart w:id="221" w:name="_Hlk137038533"/>
      <w:r w:rsidRPr="004B63DB">
        <w:rPr>
          <w:szCs w:val="22"/>
        </w:rPr>
        <w:t>“ASTM D4107-20” means “Standard Test Method for Tritium in Drinking Water</w:t>
      </w:r>
      <w:r w:rsidRPr="004B63DB">
        <w:rPr>
          <w:szCs w:val="16"/>
        </w:rPr>
        <w:t>”,</w:t>
      </w:r>
      <w:r w:rsidRPr="004B63DB">
        <w:rPr>
          <w:szCs w:val="22"/>
        </w:rPr>
        <w:t xml:space="preserve"> approved 2020, referenced in Section 611.720.</w:t>
      </w:r>
    </w:p>
    <w:bookmarkEnd w:id="221"/>
    <w:p w14:paraId="760689DB" w14:textId="77777777" w:rsidR="00AD24B5" w:rsidRPr="00EB7F62" w:rsidRDefault="00AD24B5" w:rsidP="00AD24B5">
      <w:pPr>
        <w:suppressAutoHyphens/>
        <w:ind w:left="2880"/>
        <w:rPr>
          <w:szCs w:val="22"/>
          <w:u w:val="single"/>
        </w:rPr>
      </w:pPr>
    </w:p>
    <w:p w14:paraId="73E39B8E" w14:textId="77777777" w:rsidR="00AD24B5" w:rsidRPr="003B4362" w:rsidRDefault="00AD24B5" w:rsidP="00AD24B5">
      <w:pPr>
        <w:suppressAutoHyphens/>
        <w:ind w:left="2880"/>
        <w:rPr>
          <w:szCs w:val="22"/>
        </w:rPr>
      </w:pPr>
      <w:r w:rsidRPr="003B4362">
        <w:rPr>
          <w:szCs w:val="22"/>
        </w:rPr>
        <w:lastRenderedPageBreak/>
        <w:t>“ASTM D4327-97” means “Standard Test Method for Anions in Water by Ion Chromatography</w:t>
      </w:r>
      <w:r w:rsidRPr="003B4362">
        <w:rPr>
          <w:szCs w:val="16"/>
        </w:rPr>
        <w:t>”,</w:t>
      </w:r>
      <w:r w:rsidRPr="003B4362">
        <w:rPr>
          <w:szCs w:val="22"/>
        </w:rPr>
        <w:t xml:space="preserve"> approved 1997, referenced in Section 611.611.</w:t>
      </w:r>
    </w:p>
    <w:p w14:paraId="7DD3804E" w14:textId="77777777" w:rsidR="00AD24B5" w:rsidRPr="003B4362" w:rsidRDefault="00AD24B5" w:rsidP="00AD24B5">
      <w:pPr>
        <w:suppressAutoHyphens/>
        <w:ind w:left="2880"/>
        <w:rPr>
          <w:szCs w:val="22"/>
        </w:rPr>
      </w:pPr>
    </w:p>
    <w:p w14:paraId="35EE3BEE" w14:textId="77777777" w:rsidR="00AD24B5" w:rsidRPr="003B4362" w:rsidRDefault="00AD24B5" w:rsidP="00AD24B5">
      <w:pPr>
        <w:suppressAutoHyphens/>
        <w:ind w:left="2880"/>
        <w:rPr>
          <w:szCs w:val="22"/>
        </w:rPr>
      </w:pPr>
      <w:r w:rsidRPr="003B4362">
        <w:rPr>
          <w:szCs w:val="22"/>
        </w:rPr>
        <w:t>“ASTM D4327-03” means “Standard Test Method for Anions in Water by Ion Chromatography</w:t>
      </w:r>
      <w:r w:rsidRPr="003B4362">
        <w:rPr>
          <w:szCs w:val="16"/>
        </w:rPr>
        <w:t>”,</w:t>
      </w:r>
      <w:r w:rsidRPr="003B4362">
        <w:rPr>
          <w:szCs w:val="22"/>
        </w:rPr>
        <w:t xml:space="preserve"> approved 2003, referenced in Section 611.611.</w:t>
      </w:r>
    </w:p>
    <w:p w14:paraId="0F7DDC3A" w14:textId="77777777" w:rsidR="00AD24B5" w:rsidRPr="003B4362" w:rsidRDefault="00AD24B5" w:rsidP="00AD24B5">
      <w:pPr>
        <w:suppressAutoHyphens/>
        <w:ind w:left="2880"/>
        <w:rPr>
          <w:szCs w:val="22"/>
        </w:rPr>
      </w:pPr>
    </w:p>
    <w:p w14:paraId="6A764A79" w14:textId="77777777" w:rsidR="00AD24B5" w:rsidRPr="003B4362" w:rsidRDefault="00AD24B5" w:rsidP="00AD24B5">
      <w:pPr>
        <w:suppressAutoHyphens/>
        <w:ind w:left="2880"/>
        <w:rPr>
          <w:szCs w:val="22"/>
        </w:rPr>
      </w:pPr>
      <w:r w:rsidRPr="003B4362">
        <w:rPr>
          <w:szCs w:val="22"/>
        </w:rPr>
        <w:t>“ASTM D4327-11” means “Standard Test Method for Anions in Water by Ion Chromatography</w:t>
      </w:r>
      <w:r w:rsidRPr="003B4362">
        <w:rPr>
          <w:szCs w:val="16"/>
        </w:rPr>
        <w:t>”,</w:t>
      </w:r>
      <w:r w:rsidRPr="003B4362">
        <w:rPr>
          <w:szCs w:val="22"/>
        </w:rPr>
        <w:t xml:space="preserve"> approved 2011, referenced in Section 611.611.</w:t>
      </w:r>
    </w:p>
    <w:p w14:paraId="57140701" w14:textId="77777777" w:rsidR="00AD24B5" w:rsidRPr="003B4362" w:rsidRDefault="00AD24B5" w:rsidP="00AD24B5">
      <w:pPr>
        <w:suppressAutoHyphens/>
        <w:ind w:left="2880"/>
        <w:rPr>
          <w:szCs w:val="22"/>
        </w:rPr>
      </w:pPr>
    </w:p>
    <w:p w14:paraId="365DA5A7" w14:textId="77777777" w:rsidR="00AD24B5" w:rsidRPr="003B4362" w:rsidRDefault="00AD24B5" w:rsidP="00AD24B5">
      <w:pPr>
        <w:suppressAutoHyphens/>
        <w:ind w:left="2880"/>
        <w:rPr>
          <w:szCs w:val="22"/>
        </w:rPr>
      </w:pPr>
      <w:r w:rsidRPr="003B4362">
        <w:rPr>
          <w:szCs w:val="22"/>
        </w:rPr>
        <w:t>“ASTM D4327-17” means “Standard Test Method for Anions in Water by Ion Chromatography</w:t>
      </w:r>
      <w:r w:rsidRPr="003B4362">
        <w:rPr>
          <w:szCs w:val="16"/>
        </w:rPr>
        <w:t>”,</w:t>
      </w:r>
      <w:r w:rsidRPr="003B4362">
        <w:rPr>
          <w:szCs w:val="22"/>
        </w:rPr>
        <w:t xml:space="preserve"> approved 2017, referenced in Section 611.611.</w:t>
      </w:r>
    </w:p>
    <w:p w14:paraId="41A8CDE9" w14:textId="77777777" w:rsidR="00AD24B5" w:rsidRPr="003B4362" w:rsidRDefault="00AD24B5" w:rsidP="00AD24B5">
      <w:pPr>
        <w:suppressAutoHyphens/>
        <w:ind w:left="2880"/>
        <w:rPr>
          <w:szCs w:val="22"/>
        </w:rPr>
      </w:pPr>
    </w:p>
    <w:p w14:paraId="03F0401C" w14:textId="77777777" w:rsidR="00AD24B5" w:rsidRPr="003B4362" w:rsidRDefault="00AD24B5" w:rsidP="00AD24B5">
      <w:pPr>
        <w:suppressAutoHyphens/>
        <w:ind w:left="2880"/>
        <w:rPr>
          <w:szCs w:val="22"/>
        </w:rPr>
      </w:pPr>
      <w:r w:rsidRPr="003B4362">
        <w:rPr>
          <w:szCs w:val="22"/>
        </w:rPr>
        <w:t>“ASTM D4785-93” means “Standard Test Method for Low-Level Iodine-131 in Water</w:t>
      </w:r>
      <w:r w:rsidRPr="003B4362">
        <w:rPr>
          <w:szCs w:val="16"/>
        </w:rPr>
        <w:t>”,</w:t>
      </w:r>
      <w:r w:rsidRPr="003B4362">
        <w:rPr>
          <w:szCs w:val="22"/>
        </w:rPr>
        <w:t xml:space="preserve"> approved 1993, referenced in Section 611.720.</w:t>
      </w:r>
    </w:p>
    <w:p w14:paraId="32D82B32" w14:textId="77777777" w:rsidR="00AD24B5" w:rsidRPr="003B4362" w:rsidRDefault="00AD24B5" w:rsidP="00AD24B5">
      <w:pPr>
        <w:suppressAutoHyphens/>
        <w:ind w:left="2880"/>
        <w:rPr>
          <w:szCs w:val="22"/>
        </w:rPr>
      </w:pPr>
    </w:p>
    <w:p w14:paraId="29FDD968" w14:textId="77777777" w:rsidR="00AD24B5" w:rsidRPr="003B4362" w:rsidRDefault="00AD24B5" w:rsidP="00AD24B5">
      <w:pPr>
        <w:suppressAutoHyphens/>
        <w:ind w:left="2880"/>
        <w:rPr>
          <w:szCs w:val="22"/>
        </w:rPr>
      </w:pPr>
      <w:r w:rsidRPr="003B4362">
        <w:rPr>
          <w:szCs w:val="22"/>
        </w:rPr>
        <w:t>“ASTM D4785-00a” means “Standard Test Method for Low-Level Iodine-131 in Water</w:t>
      </w:r>
      <w:r w:rsidRPr="003B4362">
        <w:rPr>
          <w:szCs w:val="16"/>
        </w:rPr>
        <w:t>”,</w:t>
      </w:r>
      <w:r w:rsidRPr="003B4362">
        <w:rPr>
          <w:szCs w:val="22"/>
        </w:rPr>
        <w:t xml:space="preserve"> approved 2000, referenced in Section 611.720.</w:t>
      </w:r>
    </w:p>
    <w:p w14:paraId="0A8A461F" w14:textId="77777777" w:rsidR="00AD24B5" w:rsidRPr="003B4362" w:rsidRDefault="00AD24B5" w:rsidP="00AD24B5">
      <w:pPr>
        <w:suppressAutoHyphens/>
        <w:ind w:left="2880"/>
        <w:rPr>
          <w:szCs w:val="22"/>
        </w:rPr>
      </w:pPr>
    </w:p>
    <w:p w14:paraId="75B0D6D8" w14:textId="77777777" w:rsidR="00AD24B5" w:rsidRDefault="00AD24B5" w:rsidP="00AD24B5">
      <w:pPr>
        <w:suppressAutoHyphens/>
        <w:ind w:left="2880"/>
        <w:rPr>
          <w:szCs w:val="22"/>
        </w:rPr>
      </w:pPr>
      <w:r w:rsidRPr="003B4362">
        <w:rPr>
          <w:szCs w:val="22"/>
        </w:rPr>
        <w:t>“ASTM D4785-08” means “Standard Test Method for Low-Level Iodine-131 in Water</w:t>
      </w:r>
      <w:r w:rsidRPr="003B4362">
        <w:rPr>
          <w:szCs w:val="16"/>
        </w:rPr>
        <w:t>”,</w:t>
      </w:r>
      <w:r w:rsidRPr="003B4362">
        <w:rPr>
          <w:szCs w:val="22"/>
        </w:rPr>
        <w:t xml:space="preserve"> approved 2008, referenced in Section 611.720.</w:t>
      </w:r>
    </w:p>
    <w:p w14:paraId="1C2F1688" w14:textId="77777777" w:rsidR="00AD24B5" w:rsidRPr="003B4362" w:rsidRDefault="00AD24B5" w:rsidP="00AD24B5">
      <w:pPr>
        <w:suppressAutoHyphens/>
        <w:ind w:left="2880"/>
        <w:rPr>
          <w:szCs w:val="22"/>
        </w:rPr>
      </w:pPr>
    </w:p>
    <w:p w14:paraId="55800ED6" w14:textId="77777777" w:rsidR="00AD24B5" w:rsidRPr="004B63DB" w:rsidRDefault="00AD24B5" w:rsidP="00AD24B5">
      <w:pPr>
        <w:suppressAutoHyphens/>
        <w:ind w:left="2880"/>
        <w:rPr>
          <w:szCs w:val="22"/>
        </w:rPr>
      </w:pPr>
      <w:bookmarkStart w:id="222" w:name="_Hlk137038576"/>
      <w:r w:rsidRPr="004B63DB">
        <w:rPr>
          <w:szCs w:val="22"/>
        </w:rPr>
        <w:t>“ASTM D4785-20” means “Standard Test Method for Low-Level Iodine-131 in Water”, approved 2020, referenced in Section 611.720.</w:t>
      </w:r>
    </w:p>
    <w:bookmarkEnd w:id="222"/>
    <w:p w14:paraId="2CC600C2" w14:textId="77777777" w:rsidR="00AD24B5" w:rsidRPr="003B4362" w:rsidRDefault="00AD24B5" w:rsidP="00AD24B5">
      <w:pPr>
        <w:suppressAutoHyphens/>
        <w:ind w:left="2880"/>
        <w:rPr>
          <w:szCs w:val="22"/>
        </w:rPr>
      </w:pPr>
    </w:p>
    <w:p w14:paraId="4317E439" w14:textId="77777777" w:rsidR="00AD24B5" w:rsidRPr="003B4362" w:rsidRDefault="00AD24B5" w:rsidP="00AD24B5">
      <w:pPr>
        <w:suppressAutoHyphens/>
        <w:ind w:left="2880"/>
        <w:rPr>
          <w:szCs w:val="22"/>
        </w:rPr>
      </w:pPr>
      <w:r w:rsidRPr="003B4362">
        <w:rPr>
          <w:szCs w:val="22"/>
        </w:rPr>
        <w:t>“ASTM D5174-97” means “Standard Test Method for Trace Uranium in Water by Pulsed-Laser Phosphorimetry</w:t>
      </w:r>
      <w:r w:rsidRPr="003B4362">
        <w:rPr>
          <w:szCs w:val="16"/>
        </w:rPr>
        <w:t>”,</w:t>
      </w:r>
      <w:r w:rsidRPr="003B4362">
        <w:rPr>
          <w:szCs w:val="22"/>
        </w:rPr>
        <w:t xml:space="preserve"> approved 1997, referenced in Section 611.720.</w:t>
      </w:r>
    </w:p>
    <w:p w14:paraId="069B3F12" w14:textId="77777777" w:rsidR="00AD24B5" w:rsidRPr="003B4362" w:rsidRDefault="00AD24B5" w:rsidP="00AD24B5">
      <w:pPr>
        <w:suppressAutoHyphens/>
        <w:ind w:left="2880"/>
        <w:rPr>
          <w:szCs w:val="22"/>
        </w:rPr>
      </w:pPr>
    </w:p>
    <w:p w14:paraId="0CCF3949" w14:textId="77777777" w:rsidR="00AD24B5" w:rsidRPr="003B4362" w:rsidRDefault="00AD24B5" w:rsidP="00AD24B5">
      <w:pPr>
        <w:suppressAutoHyphens/>
        <w:ind w:left="2880"/>
        <w:rPr>
          <w:szCs w:val="22"/>
        </w:rPr>
      </w:pPr>
      <w:r w:rsidRPr="003B4362">
        <w:rPr>
          <w:szCs w:val="22"/>
        </w:rPr>
        <w:t>“ASTM D5174-02” means “Standard Test Method for Trace Uranium in Water by Pulsed-Laser Phosphorimetry</w:t>
      </w:r>
      <w:r w:rsidRPr="003B4362">
        <w:rPr>
          <w:szCs w:val="16"/>
        </w:rPr>
        <w:t>”,</w:t>
      </w:r>
      <w:r w:rsidRPr="003B4362">
        <w:rPr>
          <w:szCs w:val="22"/>
        </w:rPr>
        <w:t xml:space="preserve"> approved 2002, referenced in Section 611.720.</w:t>
      </w:r>
    </w:p>
    <w:p w14:paraId="04D54B4A" w14:textId="77777777" w:rsidR="00AD24B5" w:rsidRPr="003B4362" w:rsidRDefault="00AD24B5" w:rsidP="00AD24B5">
      <w:pPr>
        <w:suppressAutoHyphens/>
        <w:ind w:left="2880"/>
        <w:rPr>
          <w:szCs w:val="22"/>
        </w:rPr>
      </w:pPr>
    </w:p>
    <w:p w14:paraId="05B5F7FB" w14:textId="77777777" w:rsidR="00AD24B5" w:rsidRPr="003B4362" w:rsidRDefault="00AD24B5" w:rsidP="00AD24B5">
      <w:pPr>
        <w:suppressAutoHyphens/>
        <w:ind w:left="2880"/>
        <w:rPr>
          <w:szCs w:val="22"/>
        </w:rPr>
      </w:pPr>
      <w:r w:rsidRPr="003B4362">
        <w:rPr>
          <w:szCs w:val="22"/>
        </w:rPr>
        <w:t>“ASTM D5174-07” means “Standard Test Method for Trace Uranium in Water by Pulsed-Laser Phosphorimetry</w:t>
      </w:r>
      <w:r w:rsidRPr="003B4362">
        <w:rPr>
          <w:szCs w:val="16"/>
        </w:rPr>
        <w:t>”,</w:t>
      </w:r>
      <w:r w:rsidRPr="003B4362">
        <w:rPr>
          <w:szCs w:val="22"/>
        </w:rPr>
        <w:t xml:space="preserve"> approved 2007, referenced in Section 611.720.</w:t>
      </w:r>
    </w:p>
    <w:p w14:paraId="30F6FE19" w14:textId="77777777" w:rsidR="00AD24B5" w:rsidRPr="003B4362" w:rsidRDefault="00AD24B5" w:rsidP="00AD24B5">
      <w:pPr>
        <w:ind w:left="2880"/>
        <w:rPr>
          <w:szCs w:val="22"/>
        </w:rPr>
      </w:pPr>
    </w:p>
    <w:p w14:paraId="0E7EDB7A" w14:textId="77777777" w:rsidR="00AD24B5" w:rsidRPr="003B4362" w:rsidRDefault="00AD24B5" w:rsidP="00AD24B5">
      <w:pPr>
        <w:ind w:left="2880"/>
        <w:rPr>
          <w:szCs w:val="22"/>
        </w:rPr>
      </w:pPr>
      <w:r w:rsidRPr="003B4362">
        <w:rPr>
          <w:szCs w:val="22"/>
        </w:rPr>
        <w:lastRenderedPageBreak/>
        <w:t>“ASTM D5317-93” means “Standard Test Method for Determination of Chlorinated Organic Acid Compounds in Water by Gas Chromatography with an Electron Capture Detector</w:t>
      </w:r>
      <w:r w:rsidRPr="003B4362">
        <w:rPr>
          <w:szCs w:val="16"/>
        </w:rPr>
        <w:t>”,</w:t>
      </w:r>
      <w:r w:rsidRPr="003B4362">
        <w:rPr>
          <w:szCs w:val="22"/>
        </w:rPr>
        <w:t xml:space="preserve"> approved 1993, referenced in Section 611.645.</w:t>
      </w:r>
    </w:p>
    <w:p w14:paraId="33B69B5B" w14:textId="77777777" w:rsidR="00AD24B5" w:rsidRPr="003B4362" w:rsidRDefault="00AD24B5" w:rsidP="00AD24B5">
      <w:pPr>
        <w:ind w:left="2880"/>
        <w:rPr>
          <w:szCs w:val="22"/>
        </w:rPr>
      </w:pPr>
    </w:p>
    <w:p w14:paraId="7F72C932" w14:textId="77777777" w:rsidR="00AD24B5" w:rsidRPr="003B4362" w:rsidRDefault="00AD24B5" w:rsidP="00AD24B5">
      <w:pPr>
        <w:ind w:left="2880"/>
        <w:rPr>
          <w:szCs w:val="22"/>
        </w:rPr>
      </w:pPr>
      <w:r w:rsidRPr="003B4362">
        <w:rPr>
          <w:szCs w:val="22"/>
        </w:rPr>
        <w:t>“ASTM D5317-98(2003)” means “Standard Test Method for Determination of Chlorinated Organic Acid Compounds in Water by Gas Chromatography with an Electron Capture Detector</w:t>
      </w:r>
      <w:r w:rsidRPr="003B4362">
        <w:rPr>
          <w:szCs w:val="16"/>
        </w:rPr>
        <w:t>”,</w:t>
      </w:r>
      <w:r w:rsidRPr="003B4362">
        <w:rPr>
          <w:szCs w:val="22"/>
        </w:rPr>
        <w:t xml:space="preserve"> approved 1998 (reapproved 2003), referenced in Section 611.645.</w:t>
      </w:r>
    </w:p>
    <w:p w14:paraId="719D8CE1" w14:textId="77777777" w:rsidR="00AD24B5" w:rsidRDefault="00AD24B5" w:rsidP="00AD24B5">
      <w:pPr>
        <w:suppressAutoHyphens/>
        <w:ind w:left="2880"/>
        <w:rPr>
          <w:szCs w:val="22"/>
        </w:rPr>
      </w:pPr>
    </w:p>
    <w:p w14:paraId="44328E8C" w14:textId="77777777" w:rsidR="00AD24B5" w:rsidRPr="004B63DB" w:rsidRDefault="00AD24B5" w:rsidP="00AD24B5">
      <w:pPr>
        <w:ind w:left="2880"/>
        <w:rPr>
          <w:szCs w:val="22"/>
        </w:rPr>
      </w:pPr>
      <w:bookmarkStart w:id="223" w:name="_Hlk137038593"/>
      <w:r w:rsidRPr="004B63DB">
        <w:rPr>
          <w:szCs w:val="22"/>
        </w:rPr>
        <w:t>“ASTM D5317-20” means “Standard Test Method for Determination of Chlorinated Organic Acid Compounds in Water by Gas Chromatography with an Electron Capture Detector</w:t>
      </w:r>
      <w:r w:rsidRPr="004B63DB">
        <w:rPr>
          <w:szCs w:val="16"/>
        </w:rPr>
        <w:t>”,</w:t>
      </w:r>
      <w:r w:rsidRPr="004B63DB">
        <w:rPr>
          <w:szCs w:val="22"/>
        </w:rPr>
        <w:t xml:space="preserve"> approved 2020, referenced in Section 611.645.</w:t>
      </w:r>
    </w:p>
    <w:bookmarkEnd w:id="223"/>
    <w:p w14:paraId="62935F9B" w14:textId="77777777" w:rsidR="00AD24B5" w:rsidRPr="003B4362" w:rsidRDefault="00AD24B5" w:rsidP="00AD24B5">
      <w:pPr>
        <w:suppressAutoHyphens/>
        <w:ind w:left="2880"/>
        <w:rPr>
          <w:szCs w:val="22"/>
        </w:rPr>
      </w:pPr>
    </w:p>
    <w:p w14:paraId="4AC7B9D7" w14:textId="77777777" w:rsidR="00AD24B5" w:rsidRPr="003B4362" w:rsidRDefault="00AD24B5" w:rsidP="00AD24B5">
      <w:pPr>
        <w:suppressAutoHyphens/>
        <w:ind w:left="2880"/>
        <w:rPr>
          <w:szCs w:val="22"/>
        </w:rPr>
      </w:pPr>
      <w:r w:rsidRPr="003B4362">
        <w:rPr>
          <w:szCs w:val="22"/>
        </w:rPr>
        <w:t>“ASTM D5673-03” means “Standard Test Method for Elements in Water by Inductively Coupled Plasma-Mass Spectrometry</w:t>
      </w:r>
      <w:r w:rsidRPr="003B4362">
        <w:rPr>
          <w:szCs w:val="16"/>
        </w:rPr>
        <w:t>”,</w:t>
      </w:r>
      <w:r w:rsidRPr="003B4362">
        <w:rPr>
          <w:szCs w:val="22"/>
        </w:rPr>
        <w:t xml:space="preserve"> approved 2003, referenced in Section 611.720.</w:t>
      </w:r>
    </w:p>
    <w:p w14:paraId="6B314299" w14:textId="77777777" w:rsidR="00AD24B5" w:rsidRPr="003B4362" w:rsidRDefault="00AD24B5" w:rsidP="00AD24B5">
      <w:pPr>
        <w:suppressAutoHyphens/>
        <w:ind w:left="2880"/>
        <w:rPr>
          <w:szCs w:val="22"/>
        </w:rPr>
      </w:pPr>
    </w:p>
    <w:p w14:paraId="5BD4CB16" w14:textId="77777777" w:rsidR="00AD24B5" w:rsidRPr="003B4362" w:rsidRDefault="00AD24B5" w:rsidP="00AD24B5">
      <w:pPr>
        <w:suppressAutoHyphens/>
        <w:ind w:left="2880"/>
        <w:rPr>
          <w:szCs w:val="22"/>
        </w:rPr>
      </w:pPr>
      <w:r w:rsidRPr="003B4362">
        <w:rPr>
          <w:szCs w:val="22"/>
        </w:rPr>
        <w:t>“ASTM D5673-05” means “Standard Test Method for Elements in Water by Inductively Coupled Plasma-Mass Spectrometry</w:t>
      </w:r>
      <w:r w:rsidRPr="003B4362">
        <w:rPr>
          <w:szCs w:val="16"/>
        </w:rPr>
        <w:t>”,</w:t>
      </w:r>
      <w:r w:rsidRPr="003B4362">
        <w:rPr>
          <w:szCs w:val="22"/>
        </w:rPr>
        <w:t xml:space="preserve"> approved 2005, referenced in Section 611.720.</w:t>
      </w:r>
    </w:p>
    <w:p w14:paraId="0D7FED3A" w14:textId="77777777" w:rsidR="00AD24B5" w:rsidRPr="003B4362" w:rsidRDefault="00AD24B5" w:rsidP="00AD24B5">
      <w:pPr>
        <w:suppressAutoHyphens/>
        <w:ind w:left="2880"/>
        <w:rPr>
          <w:szCs w:val="22"/>
        </w:rPr>
      </w:pPr>
    </w:p>
    <w:p w14:paraId="7FBC8290" w14:textId="77777777" w:rsidR="00AD24B5" w:rsidRPr="003B4362" w:rsidRDefault="00AD24B5" w:rsidP="00AD24B5">
      <w:pPr>
        <w:suppressAutoHyphens/>
        <w:ind w:left="2880"/>
        <w:rPr>
          <w:szCs w:val="22"/>
        </w:rPr>
      </w:pPr>
      <w:r w:rsidRPr="003B4362">
        <w:rPr>
          <w:szCs w:val="22"/>
        </w:rPr>
        <w:t>“ASTM D5673-10” means “Standard Test Method for Elements in Water by Inductively Coupled Plasma-Mass Spectrometry</w:t>
      </w:r>
      <w:r w:rsidRPr="003B4362">
        <w:rPr>
          <w:szCs w:val="16"/>
        </w:rPr>
        <w:t>”,</w:t>
      </w:r>
      <w:r w:rsidRPr="003B4362">
        <w:rPr>
          <w:szCs w:val="22"/>
        </w:rPr>
        <w:t xml:space="preserve"> approved 2010, referenced in Section 611.720.</w:t>
      </w:r>
    </w:p>
    <w:p w14:paraId="7DE9CCDD" w14:textId="77777777" w:rsidR="00AD24B5" w:rsidRPr="003B4362" w:rsidRDefault="00AD24B5" w:rsidP="00AD24B5">
      <w:pPr>
        <w:suppressAutoHyphens/>
        <w:ind w:left="2880"/>
        <w:rPr>
          <w:szCs w:val="22"/>
        </w:rPr>
      </w:pPr>
    </w:p>
    <w:p w14:paraId="0D65328C" w14:textId="77777777" w:rsidR="00AD24B5" w:rsidRPr="003B4362" w:rsidRDefault="00AD24B5" w:rsidP="00AD24B5">
      <w:pPr>
        <w:suppressAutoHyphens/>
        <w:ind w:left="2880"/>
        <w:rPr>
          <w:szCs w:val="22"/>
        </w:rPr>
      </w:pPr>
      <w:r w:rsidRPr="003B4362">
        <w:rPr>
          <w:szCs w:val="22"/>
        </w:rPr>
        <w:t>“ASTM D5673-16” means “Standard Test Method for Elements in Water by Inductively Coupled Plasma-Mass Spectrometry</w:t>
      </w:r>
      <w:r w:rsidRPr="003B4362">
        <w:rPr>
          <w:szCs w:val="16"/>
        </w:rPr>
        <w:t>”,</w:t>
      </w:r>
      <w:r w:rsidRPr="003B4362">
        <w:rPr>
          <w:szCs w:val="22"/>
        </w:rPr>
        <w:t xml:space="preserve"> approved 2016, referenced in Section 611.720.</w:t>
      </w:r>
    </w:p>
    <w:p w14:paraId="7E50ECDD" w14:textId="77777777" w:rsidR="00AD24B5" w:rsidRPr="003B4362" w:rsidRDefault="00AD24B5" w:rsidP="00AD24B5">
      <w:pPr>
        <w:suppressAutoHyphens/>
        <w:ind w:left="2880"/>
        <w:rPr>
          <w:szCs w:val="22"/>
        </w:rPr>
      </w:pPr>
    </w:p>
    <w:p w14:paraId="019BC97C" w14:textId="77777777" w:rsidR="00AD24B5" w:rsidRPr="003B4362" w:rsidRDefault="00AD24B5" w:rsidP="00AD24B5">
      <w:pPr>
        <w:suppressAutoHyphens/>
        <w:ind w:left="2880"/>
        <w:rPr>
          <w:szCs w:val="22"/>
        </w:rPr>
      </w:pPr>
      <w:r w:rsidRPr="003B4362">
        <w:rPr>
          <w:szCs w:val="22"/>
        </w:rPr>
        <w:t>“ASTM D6239-09” means “Standard Test Method for Uranium in Drinking Water by High-Resolution Alpha-Liquid-Scintillation Spectrometry</w:t>
      </w:r>
      <w:r w:rsidRPr="003B4362">
        <w:rPr>
          <w:szCs w:val="16"/>
        </w:rPr>
        <w:t>”,</w:t>
      </w:r>
      <w:r w:rsidRPr="003B4362">
        <w:rPr>
          <w:szCs w:val="22"/>
        </w:rPr>
        <w:t xml:space="preserve"> approved 2009, referenced in Section 611.720.</w:t>
      </w:r>
    </w:p>
    <w:p w14:paraId="508D3C70" w14:textId="77777777" w:rsidR="00AD24B5" w:rsidRPr="003B4362" w:rsidRDefault="00AD24B5" w:rsidP="00AD24B5">
      <w:pPr>
        <w:ind w:left="2880"/>
        <w:rPr>
          <w:szCs w:val="22"/>
        </w:rPr>
      </w:pPr>
    </w:p>
    <w:p w14:paraId="55547CD7" w14:textId="77777777" w:rsidR="00AD24B5" w:rsidRPr="003B4362" w:rsidRDefault="00AD24B5" w:rsidP="00AD24B5">
      <w:pPr>
        <w:ind w:left="2880"/>
        <w:rPr>
          <w:szCs w:val="22"/>
        </w:rPr>
      </w:pPr>
      <w:r w:rsidRPr="003B4362">
        <w:rPr>
          <w:szCs w:val="22"/>
        </w:rPr>
        <w:t>“ASTM D6508-00(2005)” means “Standard Test Method for Determination of Dissolved Inorganic Anions in Aqueous Matrices Using Capillary Ion Electrophoresis and Chromate Electrolyte</w:t>
      </w:r>
      <w:r w:rsidRPr="003B4362">
        <w:rPr>
          <w:szCs w:val="16"/>
        </w:rPr>
        <w:t>”,</w:t>
      </w:r>
      <w:r w:rsidRPr="003B4362">
        <w:rPr>
          <w:szCs w:val="22"/>
        </w:rPr>
        <w:t xml:space="preserve"> approved 2000 (revised 2005), referenced in Section 611.611.</w:t>
      </w:r>
    </w:p>
    <w:p w14:paraId="2546157B" w14:textId="77777777" w:rsidR="00AD24B5" w:rsidRPr="003B4362" w:rsidRDefault="00AD24B5" w:rsidP="00AD24B5">
      <w:pPr>
        <w:ind w:left="2880"/>
        <w:rPr>
          <w:szCs w:val="22"/>
        </w:rPr>
      </w:pPr>
    </w:p>
    <w:p w14:paraId="0CB2CD34" w14:textId="77777777" w:rsidR="00AD24B5" w:rsidRPr="003B4362" w:rsidRDefault="00AD24B5" w:rsidP="00AD24B5">
      <w:pPr>
        <w:ind w:left="2880"/>
        <w:rPr>
          <w:szCs w:val="22"/>
        </w:rPr>
      </w:pPr>
      <w:r w:rsidRPr="003B4362">
        <w:rPr>
          <w:szCs w:val="22"/>
        </w:rPr>
        <w:t>“ASTM D6508-15” means “Standard Test Method for Determination of Dissolved Inorganic Anions in Aqueous Matrices Using Capillary Ion Electrophoresis and Chromate Electrolyte</w:t>
      </w:r>
      <w:r w:rsidRPr="003B4362">
        <w:rPr>
          <w:szCs w:val="16"/>
        </w:rPr>
        <w:t>”,</w:t>
      </w:r>
      <w:r w:rsidRPr="003B4362">
        <w:rPr>
          <w:szCs w:val="22"/>
        </w:rPr>
        <w:t xml:space="preserve"> approved 2015, referenced in Section 611.611.</w:t>
      </w:r>
    </w:p>
    <w:p w14:paraId="4276FC3D" w14:textId="77777777" w:rsidR="00AD24B5" w:rsidRPr="003B4362" w:rsidRDefault="00AD24B5" w:rsidP="00AD24B5">
      <w:pPr>
        <w:suppressAutoHyphens/>
        <w:ind w:left="2880"/>
        <w:rPr>
          <w:szCs w:val="22"/>
        </w:rPr>
      </w:pPr>
    </w:p>
    <w:p w14:paraId="69B77A69" w14:textId="77777777" w:rsidR="00AD24B5" w:rsidRPr="003B4362" w:rsidRDefault="00AD24B5" w:rsidP="00AD24B5">
      <w:pPr>
        <w:suppressAutoHyphens/>
        <w:ind w:left="2880"/>
        <w:rPr>
          <w:szCs w:val="22"/>
        </w:rPr>
      </w:pPr>
      <w:r w:rsidRPr="003B4362">
        <w:rPr>
          <w:szCs w:val="22"/>
        </w:rPr>
        <w:lastRenderedPageBreak/>
        <w:t>“ASTM D6581-00” means “Standard Test Method for Bromate, Bromide, Chlorate, and Chlorite in Drinking Water by Chemically Suppressed Ion Chromatography</w:t>
      </w:r>
      <w:r w:rsidRPr="003B4362">
        <w:rPr>
          <w:szCs w:val="16"/>
        </w:rPr>
        <w:t>”,</w:t>
      </w:r>
      <w:r w:rsidRPr="003B4362">
        <w:rPr>
          <w:szCs w:val="22"/>
        </w:rPr>
        <w:t xml:space="preserve"> approved 2000, referenced in Section 611.381.</w:t>
      </w:r>
    </w:p>
    <w:p w14:paraId="3EE00E92" w14:textId="77777777" w:rsidR="00AD24B5" w:rsidRPr="003B4362" w:rsidRDefault="00AD24B5" w:rsidP="00AD24B5">
      <w:pPr>
        <w:suppressAutoHyphens/>
        <w:ind w:left="2880"/>
        <w:rPr>
          <w:szCs w:val="22"/>
        </w:rPr>
      </w:pPr>
    </w:p>
    <w:p w14:paraId="349BDD9E" w14:textId="77777777" w:rsidR="00AD24B5" w:rsidRPr="003B4362" w:rsidRDefault="00AD24B5" w:rsidP="00AD24B5">
      <w:pPr>
        <w:suppressAutoHyphens/>
        <w:ind w:left="2880"/>
        <w:rPr>
          <w:szCs w:val="22"/>
        </w:rPr>
      </w:pPr>
      <w:r w:rsidRPr="003B4362">
        <w:rPr>
          <w:szCs w:val="22"/>
        </w:rPr>
        <w:t>“ASTM D6581-08 A” means “Standard Test Method for Bromate, Bromide, Chlorate, and Chlorite in Drinking Water by Suppressed Ion Chromatography</w:t>
      </w:r>
      <w:r w:rsidRPr="003B4362">
        <w:rPr>
          <w:szCs w:val="16"/>
        </w:rPr>
        <w:t>”,</w:t>
      </w:r>
      <w:r w:rsidRPr="003B4362">
        <w:rPr>
          <w:szCs w:val="22"/>
        </w:rPr>
        <w:t xml:space="preserve"> “Test Method A—Chemically Suppressed Ion Chromatography”</w:t>
      </w:r>
      <w:r w:rsidRPr="003B4362">
        <w:rPr>
          <w:szCs w:val="16"/>
        </w:rPr>
        <w:t>,</w:t>
      </w:r>
      <w:r w:rsidRPr="003B4362">
        <w:rPr>
          <w:szCs w:val="22"/>
        </w:rPr>
        <w:t xml:space="preserve"> approved 2008, referenced in Section 611.381.</w:t>
      </w:r>
    </w:p>
    <w:p w14:paraId="5A91C36C" w14:textId="77777777" w:rsidR="00AD24B5" w:rsidRPr="003B4362" w:rsidRDefault="00AD24B5" w:rsidP="00AD24B5">
      <w:pPr>
        <w:suppressAutoHyphens/>
        <w:ind w:left="2880"/>
        <w:rPr>
          <w:szCs w:val="22"/>
        </w:rPr>
      </w:pPr>
    </w:p>
    <w:p w14:paraId="2502FBF3" w14:textId="77777777" w:rsidR="00AD24B5" w:rsidRPr="003B4362" w:rsidRDefault="00AD24B5" w:rsidP="00AD24B5">
      <w:pPr>
        <w:suppressAutoHyphens/>
        <w:ind w:left="2880"/>
        <w:rPr>
          <w:szCs w:val="22"/>
        </w:rPr>
      </w:pPr>
      <w:r w:rsidRPr="003B4362">
        <w:rPr>
          <w:szCs w:val="22"/>
        </w:rPr>
        <w:t>“ASTM D6581-08 B” means “Standard Test Method for Bromate, Bromide, Chlorate, and Chlorite in Drinking Water by Suppressed Ion Chromatography</w:t>
      </w:r>
      <w:r w:rsidRPr="003B4362">
        <w:rPr>
          <w:szCs w:val="16"/>
        </w:rPr>
        <w:t>”,</w:t>
      </w:r>
      <w:r w:rsidRPr="003B4362">
        <w:rPr>
          <w:szCs w:val="22"/>
        </w:rPr>
        <w:t xml:space="preserve"> “Test Method B—Electrolytically Suppressed Ion Chromatography</w:t>
      </w:r>
      <w:r w:rsidRPr="003B4362">
        <w:rPr>
          <w:szCs w:val="16"/>
        </w:rPr>
        <w:t>”,</w:t>
      </w:r>
      <w:r w:rsidRPr="003B4362">
        <w:rPr>
          <w:szCs w:val="22"/>
        </w:rPr>
        <w:t xml:space="preserve"> approved 2008, referenced in Section 611.381.</w:t>
      </w:r>
    </w:p>
    <w:p w14:paraId="7E885A76" w14:textId="77777777" w:rsidR="00AD24B5" w:rsidRPr="003B4362" w:rsidRDefault="00AD24B5" w:rsidP="00AD24B5">
      <w:pPr>
        <w:ind w:left="2880"/>
      </w:pPr>
    </w:p>
    <w:p w14:paraId="5003621E" w14:textId="77777777" w:rsidR="00AD24B5" w:rsidRPr="003B4362" w:rsidRDefault="00AD24B5" w:rsidP="00AD24B5">
      <w:pPr>
        <w:ind w:left="2880"/>
      </w:pPr>
      <w:r w:rsidRPr="003B4362">
        <w:t>“ASTM D6888-04” means “Standard Test Method for Available Cyanide with Ligand Displacement and Flow Injection Analysis (FIA) Utilizing Gas Diffusion Separation and Amperometric Detection</w:t>
      </w:r>
      <w:r w:rsidRPr="003B4362">
        <w:rPr>
          <w:szCs w:val="16"/>
        </w:rPr>
        <w:t>”,</w:t>
      </w:r>
      <w:r w:rsidRPr="003B4362">
        <w:t xml:space="preserve"> approved 2004, referenced in Section 611.611.</w:t>
      </w:r>
    </w:p>
    <w:p w14:paraId="2CD7FF7A" w14:textId="77777777" w:rsidR="00AD24B5" w:rsidRPr="003B4362" w:rsidRDefault="00AD24B5" w:rsidP="00AD24B5">
      <w:pPr>
        <w:ind w:left="2880"/>
      </w:pPr>
    </w:p>
    <w:p w14:paraId="7570B858" w14:textId="77777777" w:rsidR="00AD24B5" w:rsidRPr="003B4362" w:rsidRDefault="00AD24B5" w:rsidP="00AD24B5">
      <w:pPr>
        <w:ind w:left="2880"/>
      </w:pPr>
      <w:r w:rsidRPr="003B4362">
        <w:t>“ASTM D6919-03” means “Standard Test Method for Determination of Dissolved Alkali and Alkaline Earth Cations and Ammonium in Water and Wastewater by Ion Chromatography</w:t>
      </w:r>
      <w:r w:rsidRPr="003B4362">
        <w:rPr>
          <w:szCs w:val="16"/>
        </w:rPr>
        <w:t>”,</w:t>
      </w:r>
      <w:r w:rsidRPr="003B4362">
        <w:t xml:space="preserve"> approved 2003, referenced in Section 611.611.</w:t>
      </w:r>
    </w:p>
    <w:p w14:paraId="005CFDAF" w14:textId="77777777" w:rsidR="00AD24B5" w:rsidRPr="003B4362" w:rsidRDefault="00AD24B5" w:rsidP="00AD24B5">
      <w:pPr>
        <w:ind w:left="2880"/>
      </w:pPr>
    </w:p>
    <w:p w14:paraId="0A7CE3D7" w14:textId="77777777" w:rsidR="00AD24B5" w:rsidRPr="003B4362" w:rsidRDefault="00AD24B5" w:rsidP="00AD24B5">
      <w:pPr>
        <w:ind w:left="2880"/>
      </w:pPr>
      <w:r w:rsidRPr="003B4362">
        <w:t>“ASTM D6919-09” means “Standard Test Method for Determination of Dissolved Alkali and Alkaline Earth Cations and Ammonium in Water and Wastewater by Ion Chromatography</w:t>
      </w:r>
      <w:r w:rsidRPr="003B4362">
        <w:rPr>
          <w:szCs w:val="16"/>
        </w:rPr>
        <w:t>”,</w:t>
      </w:r>
      <w:r w:rsidRPr="003B4362">
        <w:t xml:space="preserve"> approved 2009, referenced in Section 611.611.</w:t>
      </w:r>
    </w:p>
    <w:p w14:paraId="743D6A99" w14:textId="77777777" w:rsidR="00AD24B5" w:rsidRPr="003B4362" w:rsidRDefault="00AD24B5" w:rsidP="00AD24B5">
      <w:pPr>
        <w:ind w:left="2880"/>
      </w:pPr>
    </w:p>
    <w:p w14:paraId="732F6056" w14:textId="77777777" w:rsidR="00AD24B5" w:rsidRPr="003B4362" w:rsidRDefault="00AD24B5" w:rsidP="00AD24B5">
      <w:pPr>
        <w:ind w:left="2880"/>
      </w:pPr>
      <w:r w:rsidRPr="003B4362">
        <w:t>“ASTM D6919-17” means “Standard Test Method for Determination of Dissolved Alkali and Alkaline Earth Cations and Ammonium in Water and Wastewater by Ion Chromatography</w:t>
      </w:r>
      <w:r w:rsidRPr="003B4362">
        <w:rPr>
          <w:szCs w:val="16"/>
        </w:rPr>
        <w:t>”,</w:t>
      </w:r>
      <w:r w:rsidRPr="003B4362">
        <w:t xml:space="preserve"> approved 2017, referenced in Section 611.611.</w:t>
      </w:r>
    </w:p>
    <w:p w14:paraId="7B8FC264" w14:textId="77777777" w:rsidR="00AD24B5" w:rsidRPr="003B4362" w:rsidRDefault="00AD24B5" w:rsidP="00AD24B5">
      <w:pPr>
        <w:ind w:left="2880"/>
        <w:rPr>
          <w:szCs w:val="22"/>
        </w:rPr>
      </w:pPr>
    </w:p>
    <w:p w14:paraId="55217FF8" w14:textId="77777777" w:rsidR="00AD24B5" w:rsidRPr="003B4362" w:rsidRDefault="00AD24B5" w:rsidP="00AD24B5">
      <w:pPr>
        <w:ind w:left="2880"/>
        <w:rPr>
          <w:szCs w:val="22"/>
        </w:rPr>
      </w:pPr>
      <w:r w:rsidRPr="003B4362">
        <w:rPr>
          <w:szCs w:val="22"/>
        </w:rPr>
        <w:t>“ASTM D7283-17” means “Standard Test Method for Alpha and Beta Activity in Water by Liquid Scintillation Counting”, approved 2017, referenced in Section 611.720.</w:t>
      </w:r>
    </w:p>
    <w:bookmarkEnd w:id="218"/>
    <w:p w14:paraId="013740DD" w14:textId="77777777" w:rsidR="00AD24B5" w:rsidRPr="003B4362" w:rsidRDefault="00AD24B5" w:rsidP="00AD24B5">
      <w:pPr>
        <w:widowControl w:val="0"/>
        <w:suppressAutoHyphens/>
        <w:ind w:left="2160"/>
        <w:rPr>
          <w:szCs w:val="22"/>
        </w:rPr>
      </w:pPr>
    </w:p>
    <w:p w14:paraId="3FC003C0" w14:textId="77777777" w:rsidR="00AD24B5" w:rsidRPr="003B4362" w:rsidRDefault="00AD24B5" w:rsidP="00AD24B5">
      <w:pPr>
        <w:widowControl w:val="0"/>
        <w:suppressAutoHyphens/>
        <w:ind w:left="2160"/>
        <w:rPr>
          <w:szCs w:val="22"/>
        </w:rPr>
      </w:pPr>
      <w:r w:rsidRPr="003B4362">
        <w:rPr>
          <w:szCs w:val="22"/>
        </w:rPr>
        <w:t>“ATI Orion Technical Bulletin 601 (94)” means “Standard Method of Testing for Nitrate in Drinking Water</w:t>
      </w:r>
      <w:r w:rsidRPr="003B4362">
        <w:rPr>
          <w:szCs w:val="16"/>
        </w:rPr>
        <w:t>” (J</w:t>
      </w:r>
      <w:r w:rsidRPr="003B4362">
        <w:rPr>
          <w:szCs w:val="22"/>
        </w:rPr>
        <w:t xml:space="preserve">uly 1994), Part Number 221890-001.  Available from </w:t>
      </w:r>
      <w:r w:rsidRPr="003B4362">
        <w:rPr>
          <w:szCs w:val="16"/>
        </w:rPr>
        <w:t xml:space="preserve">Thermo-Fisher Scientific, 168 Third Ave, Waltham, MA  02451 </w:t>
      </w:r>
      <w:r w:rsidRPr="003B4362">
        <w:rPr>
          <w:iCs/>
          <w:szCs w:val="16"/>
        </w:rPr>
        <w:t>(800-556-2323; www.thermofisher.com).  R</w:t>
      </w:r>
      <w:r w:rsidRPr="003B4362">
        <w:rPr>
          <w:szCs w:val="22"/>
        </w:rPr>
        <w:t xml:space="preserve">eferenced in </w:t>
      </w:r>
      <w:r w:rsidRPr="003B4362">
        <w:rPr>
          <w:szCs w:val="22"/>
        </w:rPr>
        <w:lastRenderedPageBreak/>
        <w:t>Section 611.611.</w:t>
      </w:r>
    </w:p>
    <w:p w14:paraId="445CAFB2" w14:textId="77777777" w:rsidR="00AD24B5" w:rsidRPr="003B4362" w:rsidRDefault="00AD24B5" w:rsidP="00AD24B5">
      <w:pPr>
        <w:widowControl w:val="0"/>
        <w:ind w:left="2160"/>
        <w:rPr>
          <w:szCs w:val="16"/>
        </w:rPr>
      </w:pPr>
    </w:p>
    <w:p w14:paraId="32CD27E4" w14:textId="77777777" w:rsidR="00AD24B5" w:rsidRPr="003B4362" w:rsidRDefault="00AD24B5" w:rsidP="00AD24B5">
      <w:pPr>
        <w:widowControl w:val="0"/>
        <w:ind w:left="2160"/>
        <w:rPr>
          <w:szCs w:val="22"/>
        </w:rPr>
      </w:pPr>
      <w:r w:rsidRPr="003B4362">
        <w:rPr>
          <w:szCs w:val="16"/>
        </w:rPr>
        <w:t>“</w:t>
      </w:r>
      <w:bookmarkStart w:id="224" w:name="_Hlk12355620"/>
      <w:r w:rsidRPr="003B4362">
        <w:rPr>
          <w:szCs w:val="22"/>
        </w:rPr>
        <w:t>Charm Fast Phage (12</w:t>
      </w:r>
      <w:bookmarkEnd w:id="224"/>
      <w:r w:rsidRPr="003B4362">
        <w:rPr>
          <w:szCs w:val="22"/>
        </w:rPr>
        <w:t>)” means “Fast Phage Test:  Presence/Absence for Coliphage in Ground Water with Same Day Positive Prediction</w:t>
      </w:r>
      <w:r w:rsidRPr="003B4362">
        <w:rPr>
          <w:szCs w:val="16"/>
        </w:rPr>
        <w:t>”,</w:t>
      </w:r>
      <w:r w:rsidRPr="003B4362">
        <w:rPr>
          <w:szCs w:val="22"/>
        </w:rPr>
        <w:t xml:space="preserve"> ATP Case No. D09-0007, Version 009 (November 28, 2012)</w:t>
      </w:r>
      <w:r w:rsidRPr="003B4362">
        <w:rPr>
          <w:szCs w:val="16"/>
        </w:rPr>
        <w:t>.  Available from Charm Sciences, Inc., 659 Andover St., Lawrence, MA  01843–1032.  Referenced in Section 611.802 and USEPA, OGWDW (under “Ground Water Rule (PDF)”).</w:t>
      </w:r>
    </w:p>
    <w:p w14:paraId="038022B5" w14:textId="77777777" w:rsidR="00AD24B5" w:rsidRPr="003B4362" w:rsidRDefault="00AD24B5" w:rsidP="00AD24B5">
      <w:pPr>
        <w:ind w:left="2160"/>
      </w:pPr>
    </w:p>
    <w:p w14:paraId="65C03B2A" w14:textId="77777777" w:rsidR="00AD24B5" w:rsidRPr="003B4362" w:rsidRDefault="00AD24B5" w:rsidP="00AD24B5">
      <w:pPr>
        <w:ind w:left="2160"/>
        <w:rPr>
          <w:szCs w:val="22"/>
        </w:rPr>
      </w:pPr>
      <w:r w:rsidRPr="003B4362">
        <w:t>“Chromocult</w:t>
      </w:r>
      <w:r w:rsidRPr="003B4362">
        <w:rPr>
          <w:szCs w:val="22"/>
          <w:vertAlign w:val="superscript"/>
        </w:rPr>
        <w:t>®</w:t>
      </w:r>
      <w:r w:rsidRPr="003B4362">
        <w:rPr>
          <w:szCs w:val="22"/>
        </w:rPr>
        <w:t xml:space="preserve"> (00)” means</w:t>
      </w:r>
      <w:r w:rsidRPr="003B4362">
        <w:t xml:space="preserve"> </w:t>
      </w:r>
      <w:r w:rsidRPr="003B4362">
        <w:rPr>
          <w:szCs w:val="22"/>
        </w:rPr>
        <w:t>“</w:t>
      </w:r>
      <w:r w:rsidRPr="003B4362">
        <w:t>Chromocult</w:t>
      </w:r>
      <w:r w:rsidRPr="003B4362">
        <w:rPr>
          <w:szCs w:val="22"/>
          <w:vertAlign w:val="superscript"/>
        </w:rPr>
        <w:t>®</w:t>
      </w:r>
      <w:r w:rsidRPr="003B4362">
        <w:t xml:space="preserve"> Coliform Agar Presence/Absence Membrane Filter Test Method for Detection and Identification of Coliform Bacteria and </w:t>
      </w:r>
      <w:r w:rsidRPr="003B4362">
        <w:rPr>
          <w:iCs/>
        </w:rPr>
        <w:t xml:space="preserve">Escherichia coli </w:t>
      </w:r>
      <w:r w:rsidRPr="003B4362">
        <w:t>in Finished Waters”, Version 1.0 (November 2000)</w:t>
      </w:r>
      <w:r w:rsidRPr="003B4362">
        <w:rPr>
          <w:szCs w:val="22"/>
        </w:rPr>
        <w:t xml:space="preserve">.  Available from </w:t>
      </w:r>
      <w:r w:rsidRPr="003B4362">
        <w:t>EMD Millipore (division of Merck KGgA, Darmstadt, Germany), 290 Concord Road, Billerica, MA  01821 (800-645-5476 or 781-533-6000) and USEPA, OGWDW (under “Ground Water Rule (PDF)” and “Revised Total Coliforms Rules (PDF)”).</w:t>
      </w:r>
      <w:r w:rsidRPr="003B4362">
        <w:rPr>
          <w:szCs w:val="22"/>
        </w:rPr>
        <w:t xml:space="preserve">  Referenced in Sections 611.802 and 611.1052</w:t>
      </w:r>
      <w:r w:rsidRPr="003B4362">
        <w:rPr>
          <w:iCs/>
        </w:rPr>
        <w:t>.</w:t>
      </w:r>
    </w:p>
    <w:p w14:paraId="1AAAAA0E" w14:textId="77777777" w:rsidR="00AD24B5" w:rsidRPr="003B4362" w:rsidRDefault="00AD24B5" w:rsidP="00AD24B5">
      <w:pPr>
        <w:ind w:left="2160"/>
      </w:pPr>
    </w:p>
    <w:p w14:paraId="204A8EDD" w14:textId="77777777" w:rsidR="00AD24B5" w:rsidRPr="003B4362" w:rsidRDefault="00AD24B5" w:rsidP="00AD24B5">
      <w:pPr>
        <w:ind w:left="2160"/>
        <w:rPr>
          <w:szCs w:val="22"/>
        </w:rPr>
      </w:pPr>
      <w:r w:rsidRPr="003B4362">
        <w:t>“E*Colite (98)” means “Alternative Test Procedure Case #D95-0007:  Charm E*Colite Presence/Absence Test for Detection and Identification of Coliform Bacteria and Escherichia coli in Drinking Water” (January 9, 1998).  Available from Charm Sciences, Inc., 659 Andover St., Lawrence, MA  01843–1032 and USEPA, OGWDW (under “Ground Water Rule (PDF)” and “Revised Total  Coliforms Rules (PDF)”).  Referenced in Sections 611.802 and 611.1052.</w:t>
      </w:r>
    </w:p>
    <w:p w14:paraId="67577B77" w14:textId="77777777" w:rsidR="00AD24B5" w:rsidRPr="003B4362" w:rsidRDefault="00AD24B5" w:rsidP="00AD24B5">
      <w:pPr>
        <w:ind w:left="2160"/>
        <w:rPr>
          <w:szCs w:val="22"/>
        </w:rPr>
      </w:pPr>
    </w:p>
    <w:p w14:paraId="22287380" w14:textId="77777777" w:rsidR="00AD24B5" w:rsidRPr="003B4362" w:rsidRDefault="00AD24B5" w:rsidP="00AD24B5">
      <w:pPr>
        <w:ind w:left="2160"/>
        <w:rPr>
          <w:szCs w:val="22"/>
        </w:rPr>
      </w:pPr>
      <w:r w:rsidRPr="003B4362">
        <w:rPr>
          <w:szCs w:val="22"/>
        </w:rPr>
        <w:t>EML Methods.  Available from USEPA, OGWDW (listed under “Radionuclides (PDF)” by individual method numbers).</w:t>
      </w:r>
    </w:p>
    <w:p w14:paraId="04E3C53A" w14:textId="77777777" w:rsidR="00AD24B5" w:rsidRPr="003B4362" w:rsidRDefault="00AD24B5" w:rsidP="00AD24B5">
      <w:pPr>
        <w:ind w:left="2880"/>
      </w:pPr>
    </w:p>
    <w:p w14:paraId="3111FFBD" w14:textId="77777777" w:rsidR="00AD24B5" w:rsidRPr="003B4362" w:rsidRDefault="00AD24B5" w:rsidP="00AD24B5">
      <w:pPr>
        <w:ind w:left="2880"/>
      </w:pPr>
      <w:r w:rsidRPr="003B4362">
        <w:t>EML (90).  In “EML Procedures Manual</w:t>
      </w:r>
      <w:r w:rsidRPr="003B4362">
        <w:rPr>
          <w:szCs w:val="16"/>
        </w:rPr>
        <w:t>”,</w:t>
      </w:r>
      <w:r w:rsidRPr="003B4362">
        <w:t xml:space="preserve"> HASL 300, Volumes 1 and 2, 27th ed. (November 1990).</w:t>
      </w:r>
    </w:p>
    <w:p w14:paraId="1A8CBBF2" w14:textId="77777777" w:rsidR="00AD24B5" w:rsidRPr="003B4362" w:rsidRDefault="00AD24B5" w:rsidP="00AD24B5">
      <w:pPr>
        <w:ind w:left="3600"/>
      </w:pPr>
    </w:p>
    <w:p w14:paraId="2412F4EE" w14:textId="77777777" w:rsidR="00AD24B5" w:rsidRPr="003B4362" w:rsidRDefault="00AD24B5" w:rsidP="00AD24B5">
      <w:pPr>
        <w:ind w:left="3600"/>
      </w:pPr>
      <w:r w:rsidRPr="003B4362">
        <w:t>“EML (90) Ga-01” means section 4.5.2.3, Ga-01, “Gamma Radioassay”, in section 4.5.2.3, “Radiometrology”, in 27th ed.  Referenced in Section 611.720.  USEPA, OGWDW lists EML (90) Ga-01 as “4.5.2.3”.</w:t>
      </w:r>
    </w:p>
    <w:p w14:paraId="064B02EA" w14:textId="77777777" w:rsidR="00AD24B5" w:rsidRPr="003B4362" w:rsidRDefault="00AD24B5" w:rsidP="00AD24B5">
      <w:pPr>
        <w:ind w:left="3600"/>
      </w:pPr>
    </w:p>
    <w:p w14:paraId="06BB842F" w14:textId="77777777" w:rsidR="00AD24B5" w:rsidRPr="003B4362" w:rsidRDefault="00AD24B5" w:rsidP="00AD24B5">
      <w:pPr>
        <w:ind w:left="3600"/>
      </w:pPr>
      <w:r w:rsidRPr="003B4362">
        <w:t>“EML (90) Ra-05” means Ra-05, “Radium-226 in Tap Water, Urine, and Feces”, in section 4.5.4, “Radiochemical”, in 27th ed.  Referenced in Section 611.720.</w:t>
      </w:r>
    </w:p>
    <w:p w14:paraId="62CAA2E3" w14:textId="77777777" w:rsidR="00AD24B5" w:rsidRPr="003B4362" w:rsidRDefault="00AD24B5" w:rsidP="00AD24B5">
      <w:pPr>
        <w:ind w:left="3600"/>
      </w:pPr>
    </w:p>
    <w:p w14:paraId="12D7D7ED" w14:textId="77777777" w:rsidR="00AD24B5" w:rsidRPr="003B4362" w:rsidRDefault="00AD24B5" w:rsidP="00AD24B5">
      <w:pPr>
        <w:ind w:left="3600"/>
      </w:pPr>
      <w:r w:rsidRPr="003B4362">
        <w:t>“EML (90) Sr-01” means Sr-01, “Strontium-89”, in section 4.5.4, “Radiochemical”, in 27th ed.  Referenced in Section 611.720.</w:t>
      </w:r>
    </w:p>
    <w:p w14:paraId="7D83636E" w14:textId="77777777" w:rsidR="00AD24B5" w:rsidRPr="003B4362" w:rsidRDefault="00AD24B5" w:rsidP="00AD24B5">
      <w:pPr>
        <w:ind w:left="3600"/>
      </w:pPr>
    </w:p>
    <w:p w14:paraId="348A65FA" w14:textId="77777777" w:rsidR="00AD24B5" w:rsidRPr="003B4362" w:rsidRDefault="00AD24B5" w:rsidP="00AD24B5">
      <w:pPr>
        <w:ind w:left="3600"/>
      </w:pPr>
      <w:r w:rsidRPr="003B4362">
        <w:t>“EML (90) Sr-02” means Sr-02, “Strontium-90”, in section 4.5.4, “Radiochemical”, in 27th ed.  Referenced in Section 611.720.</w:t>
      </w:r>
    </w:p>
    <w:p w14:paraId="3C76FAC4" w14:textId="77777777" w:rsidR="00AD24B5" w:rsidRPr="003B4362" w:rsidRDefault="00AD24B5" w:rsidP="00AD24B5">
      <w:pPr>
        <w:ind w:left="3600"/>
      </w:pPr>
    </w:p>
    <w:p w14:paraId="3B7F0DF7" w14:textId="77777777" w:rsidR="00AD24B5" w:rsidRPr="003B4362" w:rsidRDefault="00AD24B5" w:rsidP="00AD24B5">
      <w:pPr>
        <w:ind w:left="3600"/>
      </w:pPr>
      <w:r w:rsidRPr="003B4362">
        <w:t>“EML (90) U-02” means U-02, “Isotopic Uranium in Biological and Environmental Materials”, in section 4.5.4, “Radiochemical”, in 27th ed.</w:t>
      </w:r>
    </w:p>
    <w:p w14:paraId="144791A1" w14:textId="77777777" w:rsidR="00AD24B5" w:rsidRPr="003B4362" w:rsidRDefault="00AD24B5" w:rsidP="00AD24B5">
      <w:pPr>
        <w:ind w:left="3600"/>
      </w:pPr>
    </w:p>
    <w:p w14:paraId="18AA7940" w14:textId="77777777" w:rsidR="00AD24B5" w:rsidRPr="003B4362" w:rsidRDefault="00AD24B5" w:rsidP="00AD24B5">
      <w:pPr>
        <w:ind w:left="3600"/>
      </w:pPr>
      <w:r w:rsidRPr="003B4362">
        <w:t>“EML (90) U-04” means U-04, “Uranium in Biological and Environmental Materials”, in section 4.5.4, “Radiochemical”, in 27th ed.  Referenced in Section 611.720.</w:t>
      </w:r>
    </w:p>
    <w:p w14:paraId="5EFA42B9" w14:textId="77777777" w:rsidR="00AD24B5" w:rsidRPr="003B4362" w:rsidRDefault="00AD24B5" w:rsidP="00AD24B5">
      <w:pPr>
        <w:ind w:left="2880"/>
      </w:pPr>
    </w:p>
    <w:p w14:paraId="41DE8F12" w14:textId="77777777" w:rsidR="00AD24B5" w:rsidRPr="003B4362" w:rsidRDefault="00AD24B5" w:rsidP="00AD24B5">
      <w:pPr>
        <w:ind w:left="2880"/>
      </w:pPr>
      <w:r w:rsidRPr="003B4362">
        <w:t>EML (97).  In “EML Procedures Manual</w:t>
      </w:r>
      <w:r w:rsidRPr="003B4362">
        <w:rPr>
          <w:szCs w:val="16"/>
        </w:rPr>
        <w:t>”,</w:t>
      </w:r>
      <w:r w:rsidRPr="003B4362">
        <w:t xml:space="preserve"> HASL 300, Volumes 1 and 2, 28th ed., Revision 0 (February 1997).  Currently available on-line from United States Department of Homeland Security, Science and Technology Directorate (formerly United States Department of Energy, Environmental Measurements Laboratory) (</w:t>
      </w:r>
      <w:hyperlink r:id="rId9" w:history="1">
        <w:r w:rsidRPr="003B4362">
          <w:rPr>
            <w:rStyle w:val="Hyperlink"/>
          </w:rPr>
          <w:t>https://www.hsdl.org/c/view?docid=487142</w:t>
        </w:r>
      </w:hyperlink>
      <w:r w:rsidRPr="003B4362">
        <w:t>).</w:t>
      </w:r>
    </w:p>
    <w:p w14:paraId="1223738B" w14:textId="77777777" w:rsidR="00AD24B5" w:rsidRPr="003B4362" w:rsidRDefault="00AD24B5" w:rsidP="00AD24B5">
      <w:pPr>
        <w:ind w:left="3600"/>
      </w:pPr>
    </w:p>
    <w:p w14:paraId="75145257" w14:textId="77777777" w:rsidR="00AD24B5" w:rsidRPr="003B4362" w:rsidRDefault="00AD24B5" w:rsidP="00AD24B5">
      <w:pPr>
        <w:ind w:left="3600"/>
      </w:pPr>
      <w:r w:rsidRPr="003B4362">
        <w:t>“EML (97) Ga-01-R” means Ga-01-R, “Gamma Radioassay”, in section 4.5.2, “Radiometrology”, in 28th ed.  Referenced in Section 611.720.</w:t>
      </w:r>
    </w:p>
    <w:p w14:paraId="27A7D250" w14:textId="77777777" w:rsidR="00AD24B5" w:rsidRPr="003B4362" w:rsidRDefault="00AD24B5" w:rsidP="00AD24B5">
      <w:pPr>
        <w:ind w:left="3600"/>
      </w:pPr>
    </w:p>
    <w:p w14:paraId="6C3C0088" w14:textId="77777777" w:rsidR="00AD24B5" w:rsidRPr="003B4362" w:rsidRDefault="00AD24B5" w:rsidP="00AD24B5">
      <w:pPr>
        <w:ind w:left="3600"/>
      </w:pPr>
      <w:r w:rsidRPr="003B4362">
        <w:t>“EML (97) Ra-04” means Ra-04-RC, “Radium-226 in Tap Water, Urine, and Feces”, in section 4.5.4, “Radiochemical”, in 28th ed.  Referenced in Section 611.720.</w:t>
      </w:r>
    </w:p>
    <w:p w14:paraId="54ED4775" w14:textId="77777777" w:rsidR="00AD24B5" w:rsidRPr="003B4362" w:rsidRDefault="00AD24B5" w:rsidP="00AD24B5">
      <w:pPr>
        <w:ind w:left="3600"/>
      </w:pPr>
    </w:p>
    <w:p w14:paraId="2DDB3CA1" w14:textId="77777777" w:rsidR="00AD24B5" w:rsidRPr="003B4362" w:rsidRDefault="00AD24B5" w:rsidP="00AD24B5">
      <w:pPr>
        <w:ind w:left="3600"/>
      </w:pPr>
      <w:r w:rsidRPr="003B4362">
        <w:t>“EML (97) Sr-01” means Sr-01-RC, “Strontium-89”, in section 4.5.4, “Radiochemical”, in 28th ed.  Referenced in Section 611.720.</w:t>
      </w:r>
    </w:p>
    <w:p w14:paraId="4EB1C042" w14:textId="77777777" w:rsidR="00AD24B5" w:rsidRPr="003B4362" w:rsidRDefault="00AD24B5" w:rsidP="00AD24B5">
      <w:pPr>
        <w:ind w:left="3600"/>
      </w:pPr>
    </w:p>
    <w:p w14:paraId="142980AA" w14:textId="77777777" w:rsidR="00AD24B5" w:rsidRPr="003B4362" w:rsidRDefault="00AD24B5" w:rsidP="00AD24B5">
      <w:pPr>
        <w:ind w:left="3600"/>
      </w:pPr>
      <w:r w:rsidRPr="003B4362">
        <w:t>“EML (97) Sr-02” means Sr-02-RC, “Strontium-90”, in section 4.5.4, “Radiochemical”, in 28th ed.  Referenced in Section 611.720.</w:t>
      </w:r>
    </w:p>
    <w:p w14:paraId="1739C7B0" w14:textId="77777777" w:rsidR="00AD24B5" w:rsidRPr="003B4362" w:rsidRDefault="00AD24B5" w:rsidP="00AD24B5">
      <w:pPr>
        <w:ind w:left="3600"/>
      </w:pPr>
    </w:p>
    <w:p w14:paraId="1EAE5AD2" w14:textId="77777777" w:rsidR="00AD24B5" w:rsidRPr="003B4362" w:rsidRDefault="00AD24B5" w:rsidP="00AD24B5">
      <w:pPr>
        <w:ind w:left="3600"/>
      </w:pPr>
      <w:r w:rsidRPr="003B4362">
        <w:t>“EML (97) U-02” means U-02-RC, “Isotopic Uranium in Biological and Environmental Materials”, in section 4.5.4, “Radiochemical”, in 28th ed.</w:t>
      </w:r>
    </w:p>
    <w:p w14:paraId="21DEE064" w14:textId="77777777" w:rsidR="00AD24B5" w:rsidRPr="003B4362" w:rsidRDefault="00AD24B5" w:rsidP="00AD24B5">
      <w:pPr>
        <w:ind w:left="3600"/>
      </w:pPr>
    </w:p>
    <w:p w14:paraId="7E531558" w14:textId="77777777" w:rsidR="00AD24B5" w:rsidRPr="003B4362" w:rsidRDefault="00AD24B5" w:rsidP="00AD24B5">
      <w:pPr>
        <w:ind w:left="3600"/>
      </w:pPr>
      <w:r w:rsidRPr="003B4362">
        <w:t xml:space="preserve">“EML (97) U-04” means U-04-RC, “Uranium in Biological and Environmental Materials”, in section 4.5.4, </w:t>
      </w:r>
      <w:r w:rsidRPr="003B4362">
        <w:lastRenderedPageBreak/>
        <w:t>“Radiochemical”, in 28th ed.  Referenced in Section 611.720.</w:t>
      </w:r>
    </w:p>
    <w:p w14:paraId="5466D9F0" w14:textId="77777777" w:rsidR="00AD24B5" w:rsidRPr="003B4362" w:rsidRDefault="00AD24B5" w:rsidP="00AD24B5">
      <w:pPr>
        <w:widowControl w:val="0"/>
        <w:spacing w:before="240" w:after="240"/>
        <w:ind w:left="2160"/>
        <w:rPr>
          <w:szCs w:val="22"/>
        </w:rPr>
      </w:pPr>
      <w:r w:rsidRPr="003B4362">
        <w:rPr>
          <w:szCs w:val="22"/>
        </w:rPr>
        <w:t>“Enterolert (96)” means “Evaluation of Enterolert for Enumeration of Enterococci in Recreational Waters</w:t>
      </w:r>
      <w:r w:rsidRPr="003B4362">
        <w:rPr>
          <w:szCs w:val="16"/>
        </w:rPr>
        <w:t>”,</w:t>
      </w:r>
      <w:r w:rsidRPr="003B4362">
        <w:rPr>
          <w:szCs w:val="22"/>
        </w:rPr>
        <w:t xml:space="preserve"> Applied and Environmental Microbiology, Oct. 1996, vol. 62, no. 10, p. 3881.  Available from American Society for Microbiology, 1752 N Street N.W., Washington, DC  20036 (202-737-3600</w:t>
      </w:r>
      <w:r w:rsidRPr="003B4362">
        <w:t xml:space="preserve">; </w:t>
      </w:r>
      <w:hyperlink r:id="rId10" w:history="1">
        <w:r w:rsidRPr="003B4362">
          <w:rPr>
            <w:rStyle w:val="Hyperlink"/>
          </w:rPr>
          <w:t>https://journals.asm.org/doi/epdf/10.1128/aem.62.10.3881-3884.1996</w:t>
        </w:r>
      </w:hyperlink>
      <w:r w:rsidRPr="003B4362">
        <w:rPr>
          <w:szCs w:val="22"/>
        </w:rPr>
        <w:t>).  Referenced in Section 611.802.</w:t>
      </w:r>
    </w:p>
    <w:p w14:paraId="08C3A787" w14:textId="77777777" w:rsidR="00AD24B5" w:rsidRPr="003B4362" w:rsidRDefault="00AD24B5" w:rsidP="00AD24B5">
      <w:pPr>
        <w:widowControl w:val="0"/>
        <w:ind w:left="2160"/>
        <w:rPr>
          <w:szCs w:val="22"/>
        </w:rPr>
      </w:pPr>
      <w:r w:rsidRPr="003B4362">
        <w:rPr>
          <w:szCs w:val="22"/>
        </w:rPr>
        <w:t xml:space="preserve">BOARD NOTE:  </w:t>
      </w:r>
      <w:bookmarkStart w:id="225" w:name="_Hlk129644438"/>
      <w:r w:rsidRPr="003B4362">
        <w:rPr>
          <w:szCs w:val="22"/>
        </w:rPr>
        <w:t>In 40 CFR 141.402(c)(2)</w:t>
      </w:r>
      <w:bookmarkEnd w:id="225"/>
      <w:r w:rsidRPr="003B4362">
        <w:rPr>
          <w:szCs w:val="22"/>
        </w:rPr>
        <w:t xml:space="preserve">, USEPA approved </w:t>
      </w:r>
      <w:bookmarkStart w:id="226" w:name="_Hlk129644528"/>
      <w:r w:rsidRPr="003B4362">
        <w:rPr>
          <w:szCs w:val="22"/>
        </w:rPr>
        <w:t>the method the above literature review describes</w:t>
      </w:r>
      <w:bookmarkEnd w:id="226"/>
      <w:r w:rsidRPr="003B4362">
        <w:rPr>
          <w:szCs w:val="22"/>
        </w:rPr>
        <w:t xml:space="preserve">.  The method itself </w:t>
      </w:r>
      <w:bookmarkStart w:id="227" w:name="_Hlk129644581"/>
      <w:r w:rsidRPr="003B4362">
        <w:rPr>
          <w:szCs w:val="22"/>
        </w:rPr>
        <w:t>is in the printed instructions</w:t>
      </w:r>
      <w:bookmarkEnd w:id="227"/>
      <w:r w:rsidRPr="003B4362">
        <w:rPr>
          <w:szCs w:val="22"/>
        </w:rPr>
        <w:t xml:space="preserve"> to the proprietary kit available from IDEXX Laboratories, Inc., One IDEXX Drive, Westbrook, Maine  04092 (800-548-6733); </w:t>
      </w:r>
      <w:hyperlink r:id="rId11" w:history="1">
        <w:r w:rsidRPr="003B4362">
          <w:rPr>
            <w:rStyle w:val="Hyperlink"/>
            <w:szCs w:val="22"/>
          </w:rPr>
          <w:t>https://www.idexx.com/en/water/water-products-services/enterolert/</w:t>
        </w:r>
      </w:hyperlink>
    </w:p>
    <w:p w14:paraId="54FEA9A1" w14:textId="77777777" w:rsidR="00AD24B5" w:rsidRPr="003B4362" w:rsidRDefault="00AD24B5" w:rsidP="00AD24B5">
      <w:pPr>
        <w:widowControl w:val="0"/>
        <w:ind w:left="2160"/>
        <w:rPr>
          <w:szCs w:val="22"/>
        </w:rPr>
      </w:pPr>
      <w:r w:rsidRPr="003B4362">
        <w:rPr>
          <w:szCs w:val="16"/>
        </w:rPr>
        <w:t>.</w:t>
      </w:r>
      <w:r w:rsidRPr="003B4362">
        <w:rPr>
          <w:szCs w:val="22"/>
        </w:rPr>
        <w:t xml:space="preserve">  ASTM approved the method as “Standard Test Method for Enterococci in Water Using Enterolert</w:t>
      </w:r>
      <w:r w:rsidRPr="003B4362">
        <w:rPr>
          <w:szCs w:val="16"/>
        </w:rPr>
        <w:t>™”,</w:t>
      </w:r>
      <w:r w:rsidRPr="003B4362">
        <w:rPr>
          <w:szCs w:val="22"/>
        </w:rPr>
        <w:t xml:space="preserve"> which is available in two versions from ASTM:  ASTM D6503-99 and ASTM D6503-99(2005).  While it is more conventional to </w:t>
      </w:r>
      <w:bookmarkStart w:id="228" w:name="_Hlk19711700"/>
      <w:r w:rsidRPr="003B4362">
        <w:rPr>
          <w:szCs w:val="22"/>
        </w:rPr>
        <w:t>incorporate by reference the method as presented in the kit instructions or as approved by ASTM</w:t>
      </w:r>
      <w:bookmarkEnd w:id="228"/>
      <w:r w:rsidRPr="003B4362">
        <w:rPr>
          <w:szCs w:val="22"/>
        </w:rPr>
        <w:t xml:space="preserve">, the Board is constrained to incorporate by reference the version that </w:t>
      </w:r>
      <w:bookmarkStart w:id="229" w:name="_Hlk129644652"/>
      <w:r w:rsidRPr="003B4362">
        <w:rPr>
          <w:szCs w:val="22"/>
        </w:rPr>
        <w:t>USEPA explicitly approves</w:t>
      </w:r>
      <w:bookmarkEnd w:id="229"/>
      <w:r w:rsidRPr="003B4362">
        <w:rPr>
          <w:szCs w:val="22"/>
        </w:rPr>
        <w:t xml:space="preserve">, which is </w:t>
      </w:r>
      <w:bookmarkStart w:id="230" w:name="_Hlk129644693"/>
      <w:r w:rsidRPr="003B4362">
        <w:rPr>
          <w:szCs w:val="22"/>
        </w:rPr>
        <w:t>the version the technical literature describes</w:t>
      </w:r>
      <w:bookmarkEnd w:id="230"/>
      <w:r w:rsidRPr="003B4362">
        <w:rPr>
          <w:szCs w:val="22"/>
        </w:rPr>
        <w:t>.</w:t>
      </w:r>
    </w:p>
    <w:p w14:paraId="48BE592F" w14:textId="77777777" w:rsidR="00AD24B5" w:rsidRPr="003B4362" w:rsidRDefault="00AD24B5" w:rsidP="00AD24B5">
      <w:pPr>
        <w:widowControl w:val="0"/>
        <w:ind w:left="2160"/>
        <w:rPr>
          <w:szCs w:val="22"/>
        </w:rPr>
      </w:pPr>
    </w:p>
    <w:p w14:paraId="497035CB" w14:textId="77777777" w:rsidR="00AD24B5" w:rsidRPr="003B4362" w:rsidRDefault="00AD24B5" w:rsidP="00AD24B5">
      <w:pPr>
        <w:widowControl w:val="0"/>
        <w:ind w:left="2160"/>
        <w:rPr>
          <w:szCs w:val="22"/>
        </w:rPr>
      </w:pPr>
      <w:r w:rsidRPr="003B4362">
        <w:rPr>
          <w:szCs w:val="22"/>
        </w:rPr>
        <w:t>“Georgia Radium (04)” means “Method for the Determination of Radium-226 and Radium-228 in Drinking Water by Gamma-ray Spectrometry Using HPGE or Ge(Li) Detectors</w:t>
      </w:r>
      <w:r w:rsidRPr="003B4362">
        <w:rPr>
          <w:szCs w:val="16"/>
        </w:rPr>
        <w:t>”,</w:t>
      </w:r>
      <w:r w:rsidRPr="003B4362">
        <w:rPr>
          <w:szCs w:val="22"/>
        </w:rPr>
        <w:t xml:space="preserve"> Revision 1.2 (December 2004).  Available from Georgia Tech Research Institute, Robert Rosson, 925 Dalney Road, Atlanta, GA  30332 (404–407–6339) and USEPA, OGWDW (under “Radionuclides (PDF)”).  Referenced in Section 611.720.</w:t>
      </w:r>
    </w:p>
    <w:p w14:paraId="70CC7ECA" w14:textId="77777777" w:rsidR="00AD24B5" w:rsidRPr="003B4362" w:rsidRDefault="00AD24B5" w:rsidP="00AD24B5">
      <w:pPr>
        <w:ind w:left="2160"/>
      </w:pPr>
    </w:p>
    <w:p w14:paraId="7029079C" w14:textId="77777777" w:rsidR="00AD24B5" w:rsidRPr="003B4362" w:rsidRDefault="00AD24B5" w:rsidP="00AD24B5">
      <w:pPr>
        <w:ind w:left="2160"/>
      </w:pPr>
      <w:r w:rsidRPr="003B4362">
        <w:t>“GLI Method 2 (92)” means “Turbidity GLI Method 2</w:t>
      </w:r>
      <w:r w:rsidRPr="003B4362">
        <w:rPr>
          <w:szCs w:val="16"/>
        </w:rPr>
        <w:t>” (</w:t>
      </w:r>
      <w:r w:rsidRPr="003B4362">
        <w:t>November 2, 1992).  Available from Great Lakes Instruments, Inc., 8855 North 55th Street, Milwaukee, WI  53223.  Also available from USEPA, OGWDW</w:t>
      </w:r>
      <w:bookmarkStart w:id="231" w:name="_Hlk19619654"/>
      <w:r w:rsidRPr="003B4362">
        <w:t xml:space="preserve"> (under “Surface Water Treatment Rule (PDF)”)</w:t>
      </w:r>
      <w:bookmarkEnd w:id="231"/>
      <w:r w:rsidRPr="003B4362">
        <w:t>.  Referenced in Section 611.531.</w:t>
      </w:r>
    </w:p>
    <w:p w14:paraId="7115F22A" w14:textId="77777777" w:rsidR="00AD24B5" w:rsidRPr="003B4362" w:rsidRDefault="00AD24B5" w:rsidP="00AD24B5">
      <w:pPr>
        <w:widowControl w:val="0"/>
        <w:suppressAutoHyphens/>
        <w:ind w:left="2160"/>
        <w:rPr>
          <w:szCs w:val="22"/>
        </w:rPr>
      </w:pPr>
    </w:p>
    <w:p w14:paraId="71F83741" w14:textId="77777777" w:rsidR="00AD24B5" w:rsidRPr="003B4362" w:rsidRDefault="00AD24B5" w:rsidP="00AD24B5">
      <w:pPr>
        <w:widowControl w:val="0"/>
        <w:suppressAutoHyphens/>
        <w:ind w:left="2160"/>
        <w:rPr>
          <w:szCs w:val="22"/>
        </w:rPr>
      </w:pPr>
      <w:r w:rsidRPr="003B4362">
        <w:rPr>
          <w:szCs w:val="22"/>
        </w:rPr>
        <w:t>“</w:t>
      </w:r>
      <w:bookmarkStart w:id="232" w:name="_Hlk11775101"/>
      <w:r w:rsidRPr="003B4362">
        <w:rPr>
          <w:szCs w:val="22"/>
        </w:rPr>
        <w:t>Guidance Manual for Filtration and Disinfection (91)</w:t>
      </w:r>
      <w:bookmarkEnd w:id="232"/>
      <w:r w:rsidRPr="003B4362">
        <w:rPr>
          <w:szCs w:val="22"/>
        </w:rPr>
        <w:t>” means “Guidance Manual for Compliance with the Filtration and Disinfection Requirements for Public Water Systems Using Surface Water Sources</w:t>
      </w:r>
      <w:r w:rsidRPr="003B4362">
        <w:rPr>
          <w:szCs w:val="16"/>
        </w:rPr>
        <w:t>” (</w:t>
      </w:r>
      <w:r w:rsidRPr="003B4362">
        <w:rPr>
          <w:szCs w:val="22"/>
        </w:rPr>
        <w:t>March 1991), EPA 570/3-91-001, USEPA, Office of Drinking Water, Criteria and Standards Division, Science and Technology Branch.  Available from NTRL (document number PB93-222933) and USEPA, NSCEP (search “570391001”).  Referenced in Sections 611.111 and 611.212.</w:t>
      </w:r>
    </w:p>
    <w:p w14:paraId="5A6CBE82" w14:textId="77777777" w:rsidR="00AD24B5" w:rsidRPr="003B4362" w:rsidRDefault="00AD24B5" w:rsidP="00AD24B5">
      <w:pPr>
        <w:ind w:left="2160"/>
        <w:rPr>
          <w:szCs w:val="22"/>
        </w:rPr>
      </w:pPr>
      <w:r w:rsidRPr="003B4362">
        <w:rPr>
          <w:szCs w:val="22"/>
        </w:rPr>
        <w:lastRenderedPageBreak/>
        <w:t>Hach Methods.  Available from Hach Company, P.O. Box 389, Loveland, CO  80539-</w:t>
      </w:r>
      <w:r w:rsidRPr="003B4362">
        <w:rPr>
          <w:szCs w:val="16"/>
        </w:rPr>
        <w:t>0389</w:t>
      </w:r>
      <w:r w:rsidRPr="003B4362">
        <w:rPr>
          <w:szCs w:val="22"/>
        </w:rPr>
        <w:t xml:space="preserve"> (800-227-4224 or www.hach.com).</w:t>
      </w:r>
    </w:p>
    <w:p w14:paraId="18D571D9" w14:textId="77777777" w:rsidR="00AD24B5" w:rsidRPr="003B4362" w:rsidRDefault="00AD24B5" w:rsidP="00AD24B5">
      <w:pPr>
        <w:ind w:left="2880"/>
        <w:rPr>
          <w:szCs w:val="22"/>
        </w:rPr>
      </w:pPr>
    </w:p>
    <w:p w14:paraId="4F7D4588" w14:textId="77777777" w:rsidR="00AD24B5" w:rsidRPr="003B4362" w:rsidRDefault="00AD24B5" w:rsidP="00AD24B5">
      <w:pPr>
        <w:ind w:left="2880"/>
        <w:rPr>
          <w:szCs w:val="22"/>
        </w:rPr>
      </w:pPr>
      <w:r w:rsidRPr="003B4362">
        <w:rPr>
          <w:szCs w:val="22"/>
        </w:rPr>
        <w:t>“Hach 8026 (15)” means Hach Method 8026, “S</w:t>
      </w:r>
      <w:r w:rsidRPr="003B4362">
        <w:rPr>
          <w:szCs w:val="24"/>
        </w:rPr>
        <w:t>pectrophotometric Measurement of Copper in Finished Drinking Water”</w:t>
      </w:r>
      <w:r w:rsidRPr="003B4362">
        <w:rPr>
          <w:szCs w:val="22"/>
        </w:rPr>
        <w:t>, Revision 1.2</w:t>
      </w:r>
      <w:r w:rsidRPr="003B4362">
        <w:rPr>
          <w:szCs w:val="24"/>
        </w:rPr>
        <w:t xml:space="preserve"> </w:t>
      </w:r>
      <w:r w:rsidRPr="003B4362">
        <w:rPr>
          <w:szCs w:val="22"/>
        </w:rPr>
        <w:t>(</w:t>
      </w:r>
      <w:r w:rsidRPr="003B4362">
        <w:rPr>
          <w:szCs w:val="24"/>
        </w:rPr>
        <w:t>December 2015</w:t>
      </w:r>
      <w:r w:rsidRPr="003B4362">
        <w:rPr>
          <w:szCs w:val="22"/>
        </w:rPr>
        <w:t>)</w:t>
      </w:r>
      <w:r w:rsidRPr="003B4362">
        <w:rPr>
          <w:szCs w:val="24"/>
        </w:rPr>
        <w:t>.  R</w:t>
      </w:r>
      <w:r w:rsidRPr="003B4362">
        <w:rPr>
          <w:szCs w:val="16"/>
        </w:rPr>
        <w:t>eferenced in Section 611.611</w:t>
      </w:r>
      <w:r w:rsidRPr="003B4362">
        <w:rPr>
          <w:szCs w:val="22"/>
        </w:rPr>
        <w:t>.</w:t>
      </w:r>
    </w:p>
    <w:p w14:paraId="13E158FC" w14:textId="77777777" w:rsidR="00AD24B5" w:rsidRPr="003B4362" w:rsidRDefault="00AD24B5" w:rsidP="00AD24B5">
      <w:pPr>
        <w:ind w:left="2880"/>
        <w:rPr>
          <w:szCs w:val="22"/>
        </w:rPr>
      </w:pPr>
      <w:r w:rsidRPr="003B4362">
        <w:rPr>
          <w:szCs w:val="22"/>
        </w:rPr>
        <w:t>BOARD NOTE:  Also available from USEPA, OGWDW (under “Inorganic Contaminants and Other Inorganic Constituents (PDF)”).</w:t>
      </w:r>
    </w:p>
    <w:p w14:paraId="471F8893" w14:textId="77777777" w:rsidR="00AD24B5" w:rsidRPr="003B4362" w:rsidRDefault="00AD24B5" w:rsidP="00AD24B5">
      <w:pPr>
        <w:ind w:left="2880"/>
        <w:rPr>
          <w:szCs w:val="22"/>
        </w:rPr>
      </w:pPr>
    </w:p>
    <w:p w14:paraId="1FC73EC1" w14:textId="77777777" w:rsidR="00AD24B5" w:rsidRPr="003B4362" w:rsidRDefault="00AD24B5" w:rsidP="00AD24B5">
      <w:pPr>
        <w:ind w:left="2880"/>
        <w:rPr>
          <w:szCs w:val="22"/>
        </w:rPr>
      </w:pPr>
      <w:r w:rsidRPr="003B4362">
        <w:rPr>
          <w:szCs w:val="22"/>
        </w:rPr>
        <w:t>“Hach 8195 (18)” means Hach Method 8195, “Determination of Turbidity by Nephelometry”, Revision 3.0 (March 2018).  Referenced in Section 611.531.</w:t>
      </w:r>
    </w:p>
    <w:p w14:paraId="39BF334D" w14:textId="77777777" w:rsidR="00AD24B5" w:rsidRPr="003B4362" w:rsidRDefault="00AD24B5" w:rsidP="00AD24B5">
      <w:pPr>
        <w:ind w:left="2880"/>
        <w:rPr>
          <w:szCs w:val="22"/>
        </w:rPr>
      </w:pPr>
    </w:p>
    <w:p w14:paraId="771FEBDC" w14:textId="77777777" w:rsidR="00AD24B5" w:rsidRPr="003B4362" w:rsidRDefault="00AD24B5" w:rsidP="00AD24B5">
      <w:pPr>
        <w:ind w:left="2880"/>
        <w:rPr>
          <w:szCs w:val="22"/>
        </w:rPr>
      </w:pPr>
      <w:r w:rsidRPr="003B4362">
        <w:rPr>
          <w:szCs w:val="22"/>
        </w:rPr>
        <w:t>“</w:t>
      </w:r>
      <w:bookmarkStart w:id="233" w:name="_Hlk11322801"/>
      <w:r w:rsidRPr="003B4362">
        <w:rPr>
          <w:szCs w:val="22"/>
        </w:rPr>
        <w:t>Hach 10029 (99) (m-ColiBlue24</w:t>
      </w:r>
      <w:bookmarkStart w:id="234" w:name="_Hlk17995748"/>
      <w:r w:rsidRPr="003B4362">
        <w:rPr>
          <w:szCs w:val="22"/>
          <w:vertAlign w:val="superscript"/>
        </w:rPr>
        <w:t>®</w:t>
      </w:r>
      <w:bookmarkEnd w:id="234"/>
      <w:r w:rsidRPr="003B4362">
        <w:rPr>
          <w:szCs w:val="22"/>
        </w:rPr>
        <w:t>)</w:t>
      </w:r>
      <w:bookmarkEnd w:id="233"/>
      <w:r w:rsidRPr="003B4362">
        <w:rPr>
          <w:szCs w:val="22"/>
        </w:rPr>
        <w:t>” means m-ColiBlue24</w:t>
      </w:r>
      <w:r w:rsidRPr="003B4362">
        <w:rPr>
          <w:szCs w:val="22"/>
          <w:vertAlign w:val="superscript"/>
        </w:rPr>
        <w:t>®</w:t>
      </w:r>
      <w:r w:rsidRPr="003B4362">
        <w:rPr>
          <w:szCs w:val="22"/>
        </w:rPr>
        <w:t xml:space="preserve"> Test</w:t>
      </w:r>
      <w:r w:rsidRPr="003B4362">
        <w:rPr>
          <w:szCs w:val="16"/>
        </w:rPr>
        <w:t>, Method No. 10029</w:t>
      </w:r>
      <w:r w:rsidRPr="003B4362">
        <w:rPr>
          <w:szCs w:val="22"/>
        </w:rPr>
        <w:t>, “</w:t>
      </w:r>
      <w:r w:rsidRPr="003B4362">
        <w:rPr>
          <w:szCs w:val="16"/>
        </w:rPr>
        <w:t>Total Coliforms and E. coli Membrane Filtration Method with m-ColiBlue24</w:t>
      </w:r>
      <w:r w:rsidRPr="003B4362">
        <w:rPr>
          <w:szCs w:val="22"/>
          <w:vertAlign w:val="superscript"/>
        </w:rPr>
        <w:t>®</w:t>
      </w:r>
      <w:r w:rsidRPr="003B4362">
        <w:rPr>
          <w:szCs w:val="16"/>
        </w:rPr>
        <w:t xml:space="preserve"> Broth”, </w:t>
      </w:r>
      <w:r w:rsidRPr="003B4362">
        <w:rPr>
          <w:szCs w:val="22"/>
        </w:rPr>
        <w:t xml:space="preserve">Revision </w:t>
      </w:r>
      <w:r w:rsidRPr="003B4362">
        <w:rPr>
          <w:szCs w:val="16"/>
        </w:rPr>
        <w:t>2 (August 17, 1999</w:t>
      </w:r>
      <w:r w:rsidRPr="003B4362">
        <w:rPr>
          <w:szCs w:val="22"/>
        </w:rPr>
        <w:t>), document number DOC316.53.001213.  Referenced in Sections 611.802 and 611.1052.</w:t>
      </w:r>
    </w:p>
    <w:p w14:paraId="1EA83D6D" w14:textId="77777777" w:rsidR="00AD24B5" w:rsidRPr="003B4362" w:rsidRDefault="00AD24B5" w:rsidP="00AD24B5">
      <w:pPr>
        <w:ind w:left="2880"/>
        <w:rPr>
          <w:szCs w:val="22"/>
        </w:rPr>
      </w:pPr>
      <w:r w:rsidRPr="003B4362">
        <w:rPr>
          <w:szCs w:val="22"/>
        </w:rPr>
        <w:t>BOARD NOTE:  Also available from USEPA, OGWDW (under “Ground Water Rule (PDF)”).</w:t>
      </w:r>
    </w:p>
    <w:p w14:paraId="374944A8" w14:textId="77777777" w:rsidR="00AD24B5" w:rsidRPr="003B4362" w:rsidRDefault="00AD24B5" w:rsidP="00AD24B5">
      <w:pPr>
        <w:ind w:left="2880"/>
        <w:rPr>
          <w:szCs w:val="22"/>
        </w:rPr>
      </w:pPr>
    </w:p>
    <w:p w14:paraId="10DBB481" w14:textId="77777777" w:rsidR="00AD24B5" w:rsidRPr="003B4362" w:rsidRDefault="00AD24B5" w:rsidP="00AD24B5">
      <w:pPr>
        <w:ind w:left="2880"/>
        <w:rPr>
          <w:szCs w:val="22"/>
        </w:rPr>
      </w:pPr>
      <w:r w:rsidRPr="003B4362">
        <w:rPr>
          <w:szCs w:val="22"/>
        </w:rPr>
        <w:t>“Hach 10133 (00) (</w:t>
      </w:r>
      <w:r w:rsidRPr="003B4362">
        <w:rPr>
          <w:szCs w:val="16"/>
        </w:rPr>
        <w:t>FilterTrak</w:t>
      </w:r>
      <w:r w:rsidRPr="003B4362">
        <w:rPr>
          <w:szCs w:val="22"/>
        </w:rPr>
        <w:t xml:space="preserve">)” means </w:t>
      </w:r>
      <w:r w:rsidRPr="003B4362">
        <w:rPr>
          <w:szCs w:val="16"/>
        </w:rPr>
        <w:t>Hach FilterTrak Method 10133, “Determination of Turbidity by Laser Nephelometry”, Revision 2.0 (January 7, 2000) in Appendix A of “Introduction to Laser Nephelometry:  An Alternative to Conventional Particulate Analysis Methods”.  R</w:t>
      </w:r>
      <w:r w:rsidRPr="003B4362">
        <w:rPr>
          <w:szCs w:val="22"/>
        </w:rPr>
        <w:t>eferenced in Section 611.531</w:t>
      </w:r>
      <w:r w:rsidRPr="003B4362">
        <w:rPr>
          <w:szCs w:val="16"/>
        </w:rPr>
        <w:t>.</w:t>
      </w:r>
    </w:p>
    <w:p w14:paraId="57A879AD" w14:textId="77777777" w:rsidR="00AD24B5" w:rsidRPr="003B4362" w:rsidRDefault="00AD24B5" w:rsidP="00AD24B5">
      <w:pPr>
        <w:ind w:left="2880"/>
        <w:rPr>
          <w:szCs w:val="22"/>
        </w:rPr>
      </w:pPr>
      <w:r w:rsidRPr="003B4362">
        <w:rPr>
          <w:szCs w:val="22"/>
        </w:rPr>
        <w:t>BOARD NOTE:  Also available from USEPA, OGWDW (under “Surface Water Treatment Rule (PDF)”).</w:t>
      </w:r>
    </w:p>
    <w:p w14:paraId="7550C041" w14:textId="77777777" w:rsidR="00AD24B5" w:rsidRPr="003B4362" w:rsidRDefault="00AD24B5" w:rsidP="00AD24B5">
      <w:pPr>
        <w:ind w:left="2880"/>
        <w:rPr>
          <w:szCs w:val="16"/>
        </w:rPr>
      </w:pPr>
    </w:p>
    <w:p w14:paraId="35EC78B9" w14:textId="77777777" w:rsidR="00AD24B5" w:rsidRPr="003B4362" w:rsidRDefault="00AD24B5" w:rsidP="00AD24B5">
      <w:pPr>
        <w:ind w:left="2880"/>
        <w:rPr>
          <w:szCs w:val="22"/>
        </w:rPr>
      </w:pPr>
      <w:r w:rsidRPr="003B4362">
        <w:rPr>
          <w:szCs w:val="16"/>
        </w:rPr>
        <w:t xml:space="preserve">“Hach 10206 (11) (TNTplus 835/836)” means Hach TNTplus 835/836 Method 10206, </w:t>
      </w:r>
      <w:r w:rsidRPr="003B4362">
        <w:rPr>
          <w:szCs w:val="22"/>
        </w:rPr>
        <w:t>“Spectrophotometric Measurement of Nitrate in Water and Wastewater</w:t>
      </w:r>
      <w:r w:rsidRPr="003B4362">
        <w:rPr>
          <w:szCs w:val="16"/>
        </w:rPr>
        <w:t>”, Revision 2.0 (January 2011</w:t>
      </w:r>
      <w:r w:rsidRPr="003B4362">
        <w:rPr>
          <w:szCs w:val="22"/>
        </w:rPr>
        <w:t>).  Referenced in Section 611.611</w:t>
      </w:r>
      <w:r w:rsidRPr="003B4362">
        <w:rPr>
          <w:szCs w:val="16"/>
        </w:rPr>
        <w:t>.</w:t>
      </w:r>
    </w:p>
    <w:p w14:paraId="4BE01577" w14:textId="77777777" w:rsidR="00AD24B5" w:rsidRPr="003B4362" w:rsidRDefault="00AD24B5" w:rsidP="00AD24B5">
      <w:pPr>
        <w:ind w:left="2880"/>
        <w:rPr>
          <w:szCs w:val="22"/>
        </w:rPr>
      </w:pPr>
      <w:r w:rsidRPr="003B4362">
        <w:rPr>
          <w:szCs w:val="22"/>
        </w:rPr>
        <w:t>BOARD NOTE:  Also available from USEPA, OGWDW (under “Inorganic Contaminants and Other Inorganic Constituents (PDF)”).</w:t>
      </w:r>
    </w:p>
    <w:p w14:paraId="6EA46246" w14:textId="77777777" w:rsidR="00AD24B5" w:rsidRPr="003B4362" w:rsidRDefault="00AD24B5" w:rsidP="00AD24B5">
      <w:pPr>
        <w:ind w:left="2880"/>
        <w:rPr>
          <w:szCs w:val="22"/>
        </w:rPr>
      </w:pPr>
    </w:p>
    <w:p w14:paraId="335B14C9" w14:textId="77777777" w:rsidR="00AD24B5" w:rsidRPr="003B4362" w:rsidRDefault="00AD24B5" w:rsidP="00AD24B5">
      <w:pPr>
        <w:ind w:left="2880"/>
        <w:rPr>
          <w:szCs w:val="22"/>
        </w:rPr>
      </w:pPr>
      <w:r w:rsidRPr="003B4362">
        <w:rPr>
          <w:szCs w:val="22"/>
        </w:rPr>
        <w:t>“Hach 10225 (11) (SPADNS 2)” means Hach SPADNS 2 Method 10225, “</w:t>
      </w:r>
      <w:r w:rsidRPr="003B4362">
        <w:rPr>
          <w:szCs w:val="16"/>
        </w:rPr>
        <w:t xml:space="preserve">Fluoride, USEPA SPADNS 2 Method 10225”, </w:t>
      </w:r>
      <w:r w:rsidRPr="003B4362">
        <w:rPr>
          <w:szCs w:val="22"/>
        </w:rPr>
        <w:t xml:space="preserve">Revision </w:t>
      </w:r>
      <w:r w:rsidRPr="003B4362">
        <w:rPr>
          <w:szCs w:val="16"/>
        </w:rPr>
        <w:t>2.0 (January 2011</w:t>
      </w:r>
      <w:r w:rsidRPr="003B4362">
        <w:rPr>
          <w:szCs w:val="22"/>
        </w:rPr>
        <w:t>).  Referenced in Section 611.611</w:t>
      </w:r>
      <w:r w:rsidRPr="003B4362">
        <w:rPr>
          <w:szCs w:val="16"/>
        </w:rPr>
        <w:t>.</w:t>
      </w:r>
    </w:p>
    <w:p w14:paraId="48393883" w14:textId="77777777" w:rsidR="00AD24B5" w:rsidRPr="003B4362" w:rsidRDefault="00AD24B5" w:rsidP="00AD24B5">
      <w:pPr>
        <w:ind w:left="2880"/>
        <w:rPr>
          <w:szCs w:val="22"/>
        </w:rPr>
      </w:pPr>
      <w:r w:rsidRPr="003B4362">
        <w:rPr>
          <w:szCs w:val="22"/>
        </w:rPr>
        <w:t>BOARD NOTE:  Also available from USEPA, OGWDW (under “Inorganic Contaminants and Other Inorganic Constituents (PDF)”).</w:t>
      </w:r>
    </w:p>
    <w:p w14:paraId="5639DD18" w14:textId="77777777" w:rsidR="00AD24B5" w:rsidRPr="003B4362" w:rsidRDefault="00AD24B5" w:rsidP="00AD24B5">
      <w:pPr>
        <w:ind w:left="2880"/>
        <w:rPr>
          <w:szCs w:val="22"/>
        </w:rPr>
      </w:pPr>
    </w:p>
    <w:p w14:paraId="04E3C3F4" w14:textId="77777777" w:rsidR="00AD24B5" w:rsidRPr="003B4362" w:rsidRDefault="00AD24B5" w:rsidP="00AD24B5">
      <w:pPr>
        <w:ind w:left="2880"/>
        <w:rPr>
          <w:szCs w:val="22"/>
        </w:rPr>
      </w:pPr>
      <w:r w:rsidRPr="003B4362">
        <w:rPr>
          <w:szCs w:val="22"/>
        </w:rPr>
        <w:lastRenderedPageBreak/>
        <w:t>“Hach 10241 (15)” means Hach Method 10241, “</w:t>
      </w:r>
      <w:r w:rsidRPr="003B4362">
        <w:rPr>
          <w:szCs w:val="24"/>
        </w:rPr>
        <w:t xml:space="preserve">Spectrophotometric Measurement of Free Chlorine (Cl2) in Finished Drinking Water”, </w:t>
      </w:r>
      <w:r w:rsidRPr="003B4362">
        <w:rPr>
          <w:szCs w:val="22"/>
        </w:rPr>
        <w:t xml:space="preserve">Revision </w:t>
      </w:r>
      <w:r w:rsidRPr="003B4362">
        <w:rPr>
          <w:szCs w:val="24"/>
        </w:rPr>
        <w:t>1.2 (November 2015</w:t>
      </w:r>
      <w:r w:rsidRPr="003B4362">
        <w:rPr>
          <w:szCs w:val="16"/>
        </w:rPr>
        <w:t>).  Referenced in Sections 611.381 and 611.531</w:t>
      </w:r>
      <w:r w:rsidRPr="003B4362">
        <w:rPr>
          <w:szCs w:val="22"/>
        </w:rPr>
        <w:t>.</w:t>
      </w:r>
    </w:p>
    <w:p w14:paraId="30E12023" w14:textId="77777777" w:rsidR="00AD24B5" w:rsidRPr="003B4362" w:rsidRDefault="00AD24B5" w:rsidP="00AD24B5">
      <w:pPr>
        <w:ind w:left="2880"/>
        <w:rPr>
          <w:szCs w:val="22"/>
        </w:rPr>
      </w:pPr>
      <w:r w:rsidRPr="003B4362">
        <w:rPr>
          <w:szCs w:val="22"/>
        </w:rPr>
        <w:t>BOARD NOTE:  Also available from USEPA, OGWDW (under “Disinfection Byproduct Rules (PDF)”).</w:t>
      </w:r>
    </w:p>
    <w:p w14:paraId="479AB6E8" w14:textId="77777777" w:rsidR="00AD24B5" w:rsidRPr="003B4362" w:rsidRDefault="00AD24B5" w:rsidP="00AD24B5">
      <w:pPr>
        <w:ind w:left="2880"/>
        <w:rPr>
          <w:szCs w:val="22"/>
        </w:rPr>
      </w:pPr>
    </w:p>
    <w:p w14:paraId="1567B41B" w14:textId="77777777" w:rsidR="00AD24B5" w:rsidRPr="003B4362" w:rsidRDefault="00AD24B5" w:rsidP="00AD24B5">
      <w:pPr>
        <w:ind w:left="2880"/>
        <w:rPr>
          <w:szCs w:val="22"/>
        </w:rPr>
      </w:pPr>
      <w:r w:rsidRPr="003B4362">
        <w:rPr>
          <w:szCs w:val="22"/>
        </w:rPr>
        <w:t>“Hach 10258 (16)” means Hach Method 10258, “</w:t>
      </w:r>
      <w:r w:rsidRPr="003B4362">
        <w:rPr>
          <w:szCs w:val="24"/>
        </w:rPr>
        <w:t>Determination of Turbidity by 360° Nephelometry”</w:t>
      </w:r>
      <w:r w:rsidRPr="003B4362">
        <w:rPr>
          <w:szCs w:val="22"/>
        </w:rPr>
        <w:t>, Revision 1.0</w:t>
      </w:r>
      <w:r w:rsidRPr="003B4362">
        <w:rPr>
          <w:szCs w:val="24"/>
        </w:rPr>
        <w:t xml:space="preserve"> (January 2016).  R</w:t>
      </w:r>
      <w:r w:rsidRPr="003B4362">
        <w:rPr>
          <w:szCs w:val="16"/>
        </w:rPr>
        <w:t>eferenced in Section 611.531</w:t>
      </w:r>
      <w:r w:rsidRPr="003B4362">
        <w:rPr>
          <w:szCs w:val="22"/>
        </w:rPr>
        <w:t>.</w:t>
      </w:r>
    </w:p>
    <w:p w14:paraId="467530C5" w14:textId="77777777" w:rsidR="00AD24B5" w:rsidRPr="003B4362" w:rsidRDefault="00AD24B5" w:rsidP="00AD24B5">
      <w:pPr>
        <w:ind w:left="2880"/>
        <w:rPr>
          <w:szCs w:val="22"/>
        </w:rPr>
      </w:pPr>
      <w:r w:rsidRPr="003B4362">
        <w:rPr>
          <w:szCs w:val="22"/>
        </w:rPr>
        <w:t>BOARD NOTE:  Also available from USEPA, OGWDW (under “Surface Water Treatment Rule (PDF)”).</w:t>
      </w:r>
    </w:p>
    <w:p w14:paraId="18DCE1EA" w14:textId="77777777" w:rsidR="00AD24B5" w:rsidRPr="003B4362" w:rsidRDefault="00AD24B5" w:rsidP="00AD24B5">
      <w:pPr>
        <w:ind w:left="2880"/>
        <w:rPr>
          <w:szCs w:val="22"/>
        </w:rPr>
      </w:pPr>
    </w:p>
    <w:p w14:paraId="6CD39A82" w14:textId="77777777" w:rsidR="00AD24B5" w:rsidRPr="003B4362" w:rsidRDefault="00AD24B5" w:rsidP="00AD24B5">
      <w:pPr>
        <w:ind w:left="2880"/>
        <w:rPr>
          <w:szCs w:val="22"/>
        </w:rPr>
      </w:pPr>
      <w:r w:rsidRPr="003B4362">
        <w:rPr>
          <w:szCs w:val="22"/>
        </w:rPr>
        <w:t>“Hach 10258 (18)” means Hach Method 10258, “</w:t>
      </w:r>
      <w:r w:rsidRPr="003B4362">
        <w:rPr>
          <w:szCs w:val="24"/>
        </w:rPr>
        <w:t>Determination of Turbidity by 360° Nephelometry”</w:t>
      </w:r>
      <w:r w:rsidRPr="003B4362">
        <w:rPr>
          <w:szCs w:val="22"/>
        </w:rPr>
        <w:t>, Revision 2.0</w:t>
      </w:r>
      <w:r w:rsidRPr="003B4362">
        <w:rPr>
          <w:szCs w:val="24"/>
        </w:rPr>
        <w:t xml:space="preserve"> (March 2018).  R</w:t>
      </w:r>
      <w:r w:rsidRPr="003B4362">
        <w:rPr>
          <w:szCs w:val="16"/>
        </w:rPr>
        <w:t>eferenced in Section 611.531</w:t>
      </w:r>
      <w:r w:rsidRPr="003B4362">
        <w:rPr>
          <w:szCs w:val="22"/>
        </w:rPr>
        <w:t>.</w:t>
      </w:r>
    </w:p>
    <w:p w14:paraId="0CDB5887" w14:textId="77777777" w:rsidR="00AD24B5" w:rsidRPr="003B4362" w:rsidRDefault="00AD24B5" w:rsidP="00AD24B5">
      <w:pPr>
        <w:ind w:left="2880"/>
        <w:rPr>
          <w:szCs w:val="22"/>
        </w:rPr>
      </w:pPr>
    </w:p>
    <w:p w14:paraId="55DFEAB7" w14:textId="77777777" w:rsidR="00AD24B5" w:rsidRPr="003B4362" w:rsidRDefault="00AD24B5" w:rsidP="00AD24B5">
      <w:pPr>
        <w:ind w:left="2880"/>
        <w:rPr>
          <w:szCs w:val="22"/>
        </w:rPr>
      </w:pPr>
      <w:r w:rsidRPr="003B4362">
        <w:rPr>
          <w:szCs w:val="22"/>
        </w:rPr>
        <w:t>“Hach 10260 (13)” means Hach Method 10260, “Determination of Chlorinated Oxidants (Free and Total) in Water Using Disposable Planar Reagent-filled Cuvettes and Mesofluic Channel Colorimetry</w:t>
      </w:r>
      <w:r w:rsidRPr="003B4362">
        <w:rPr>
          <w:szCs w:val="16"/>
        </w:rPr>
        <w:t>” (</w:t>
      </w:r>
      <w:r w:rsidRPr="003B4362">
        <w:rPr>
          <w:szCs w:val="22"/>
        </w:rPr>
        <w:t>April 2013).  Referenced in Sections 611.381 and 611.531.</w:t>
      </w:r>
    </w:p>
    <w:p w14:paraId="0A3C46C0" w14:textId="77777777" w:rsidR="00AD24B5" w:rsidRPr="003B4362" w:rsidRDefault="00AD24B5" w:rsidP="00AD24B5">
      <w:pPr>
        <w:ind w:left="2880"/>
        <w:rPr>
          <w:szCs w:val="22"/>
        </w:rPr>
      </w:pPr>
      <w:r w:rsidRPr="003B4362">
        <w:rPr>
          <w:szCs w:val="22"/>
        </w:rPr>
        <w:t>BOARD NOTE:  Also available from USEPA, OGWDW (under “Disinfection Byproduct Rules (PDF)”).</w:t>
      </w:r>
    </w:p>
    <w:p w14:paraId="4572E62D" w14:textId="77777777" w:rsidR="00AD24B5" w:rsidRPr="003B4362" w:rsidRDefault="00AD24B5" w:rsidP="00AD24B5">
      <w:pPr>
        <w:ind w:left="2880"/>
        <w:rPr>
          <w:szCs w:val="22"/>
        </w:rPr>
      </w:pPr>
    </w:p>
    <w:p w14:paraId="63F52F8D" w14:textId="77777777" w:rsidR="00AD24B5" w:rsidRPr="003B4362" w:rsidRDefault="00AD24B5" w:rsidP="00AD24B5">
      <w:pPr>
        <w:ind w:left="2880"/>
        <w:rPr>
          <w:szCs w:val="22"/>
        </w:rPr>
      </w:pPr>
      <w:r w:rsidRPr="003B4362">
        <w:rPr>
          <w:szCs w:val="22"/>
        </w:rPr>
        <w:t>“Hach 10261 (15)” means Hach Method 10261, “</w:t>
      </w:r>
      <w:r w:rsidRPr="003B4362">
        <w:rPr>
          <w:szCs w:val="24"/>
        </w:rPr>
        <w:t xml:space="preserve">Total Organic Carbon in Finished Drinking Water by Catalyzed Ozone Hydroxyl Radical Oxidation Infrared Analysis”, </w:t>
      </w:r>
      <w:r w:rsidRPr="003B4362">
        <w:rPr>
          <w:szCs w:val="22"/>
        </w:rPr>
        <w:t xml:space="preserve">Revision </w:t>
      </w:r>
      <w:r w:rsidRPr="003B4362">
        <w:rPr>
          <w:szCs w:val="24"/>
        </w:rPr>
        <w:t>1.2 (December 2015</w:t>
      </w:r>
      <w:r w:rsidRPr="003B4362">
        <w:rPr>
          <w:szCs w:val="16"/>
        </w:rPr>
        <w:t>).  Referenced in Section 611.381</w:t>
      </w:r>
      <w:r w:rsidRPr="003B4362">
        <w:rPr>
          <w:szCs w:val="22"/>
        </w:rPr>
        <w:t>.</w:t>
      </w:r>
    </w:p>
    <w:p w14:paraId="502E20F1" w14:textId="77777777" w:rsidR="00AD24B5" w:rsidRPr="003B4362" w:rsidRDefault="00AD24B5" w:rsidP="00AD24B5">
      <w:pPr>
        <w:ind w:left="2880"/>
        <w:rPr>
          <w:szCs w:val="22"/>
        </w:rPr>
      </w:pPr>
      <w:r w:rsidRPr="003B4362">
        <w:rPr>
          <w:szCs w:val="22"/>
        </w:rPr>
        <w:t>BOARD NOTE:  Also available from USEPA, OGWDW (under “Disinfection Byproduct Rules (PDF)”).</w:t>
      </w:r>
    </w:p>
    <w:p w14:paraId="14B2ACE6" w14:textId="77777777" w:rsidR="00AD24B5" w:rsidRPr="003B4362" w:rsidRDefault="00AD24B5" w:rsidP="00AD24B5">
      <w:pPr>
        <w:ind w:left="2880"/>
        <w:rPr>
          <w:szCs w:val="22"/>
        </w:rPr>
      </w:pPr>
    </w:p>
    <w:p w14:paraId="259FA3E3" w14:textId="77777777" w:rsidR="00AD24B5" w:rsidRPr="003B4362" w:rsidRDefault="00AD24B5" w:rsidP="00AD24B5">
      <w:pPr>
        <w:ind w:left="2880"/>
        <w:rPr>
          <w:szCs w:val="22"/>
        </w:rPr>
      </w:pPr>
      <w:r w:rsidRPr="003B4362">
        <w:rPr>
          <w:szCs w:val="22"/>
        </w:rPr>
        <w:t>“Hach 10267 (15)” means Hach Method 10267, “</w:t>
      </w:r>
      <w:r w:rsidRPr="003B4362">
        <w:rPr>
          <w:szCs w:val="24"/>
        </w:rPr>
        <w:t xml:space="preserve">Spectrophotometric Measurement of Total Organic Carbon (TOC) in Finished Drinking Water”, </w:t>
      </w:r>
      <w:r w:rsidRPr="003B4362">
        <w:rPr>
          <w:szCs w:val="22"/>
        </w:rPr>
        <w:t xml:space="preserve">Revision </w:t>
      </w:r>
      <w:r w:rsidRPr="003B4362">
        <w:rPr>
          <w:szCs w:val="24"/>
        </w:rPr>
        <w:t>1.2 (December 2015</w:t>
      </w:r>
      <w:r w:rsidRPr="003B4362">
        <w:rPr>
          <w:szCs w:val="16"/>
        </w:rPr>
        <w:t>).  Referenced in Section 611.381</w:t>
      </w:r>
      <w:r w:rsidRPr="003B4362">
        <w:rPr>
          <w:szCs w:val="22"/>
        </w:rPr>
        <w:t>.</w:t>
      </w:r>
    </w:p>
    <w:p w14:paraId="785EF502" w14:textId="77777777" w:rsidR="00AD24B5" w:rsidRPr="003B4362" w:rsidRDefault="00AD24B5" w:rsidP="00AD24B5">
      <w:pPr>
        <w:ind w:left="2880"/>
        <w:rPr>
          <w:szCs w:val="22"/>
        </w:rPr>
      </w:pPr>
      <w:r w:rsidRPr="003B4362">
        <w:rPr>
          <w:szCs w:val="22"/>
        </w:rPr>
        <w:t>BOARD NOTE:  Also available from USEPA, OGWDW (under “Disinfection Byproduct Rules (PDF)”).</w:t>
      </w:r>
    </w:p>
    <w:p w14:paraId="6DEA3ABF" w14:textId="77777777" w:rsidR="00AD24B5" w:rsidRPr="003B4362" w:rsidRDefault="00AD24B5" w:rsidP="00AD24B5">
      <w:pPr>
        <w:ind w:left="2880"/>
        <w:rPr>
          <w:szCs w:val="22"/>
        </w:rPr>
      </w:pPr>
    </w:p>
    <w:p w14:paraId="4DDC9651" w14:textId="77777777" w:rsidR="00AD24B5" w:rsidRPr="003B4362" w:rsidRDefault="00AD24B5" w:rsidP="00AD24B5">
      <w:pPr>
        <w:ind w:left="2880"/>
        <w:rPr>
          <w:szCs w:val="22"/>
        </w:rPr>
      </w:pPr>
      <w:r w:rsidRPr="003B4362">
        <w:rPr>
          <w:szCs w:val="22"/>
        </w:rPr>
        <w:t>“Hach 10272 (15)” means Hach Method 10272, “</w:t>
      </w:r>
      <w:r w:rsidRPr="003B4362">
        <w:rPr>
          <w:szCs w:val="24"/>
        </w:rPr>
        <w:t xml:space="preserve">Spectrophotometric Measurement of Copper in Finished Drinking Water”, </w:t>
      </w:r>
      <w:r w:rsidRPr="003B4362">
        <w:rPr>
          <w:szCs w:val="22"/>
        </w:rPr>
        <w:t xml:space="preserve">Revision </w:t>
      </w:r>
      <w:r w:rsidRPr="003B4362">
        <w:rPr>
          <w:szCs w:val="24"/>
        </w:rPr>
        <w:t>1.2 (December 2015</w:t>
      </w:r>
      <w:r w:rsidRPr="003B4362">
        <w:rPr>
          <w:szCs w:val="16"/>
        </w:rPr>
        <w:t>).  Referenced in Section 611.611</w:t>
      </w:r>
      <w:r w:rsidRPr="003B4362">
        <w:rPr>
          <w:szCs w:val="22"/>
        </w:rPr>
        <w:t>.</w:t>
      </w:r>
    </w:p>
    <w:p w14:paraId="227F6EAE" w14:textId="77777777" w:rsidR="00AD24B5" w:rsidRPr="003B4362" w:rsidRDefault="00AD24B5" w:rsidP="00AD24B5">
      <w:pPr>
        <w:ind w:left="2880"/>
        <w:rPr>
          <w:szCs w:val="22"/>
        </w:rPr>
      </w:pPr>
      <w:r w:rsidRPr="003B4362">
        <w:rPr>
          <w:szCs w:val="22"/>
        </w:rPr>
        <w:lastRenderedPageBreak/>
        <w:t>BOARD NOTE:  Also available from USEPA, OGWDW (under “Inorganic Contaminants and Other Inorganic Constituents (PDF)”).</w:t>
      </w:r>
    </w:p>
    <w:p w14:paraId="0DC5C71B" w14:textId="77777777" w:rsidR="00AD24B5" w:rsidRPr="003B4362" w:rsidRDefault="00AD24B5" w:rsidP="00AD24B5">
      <w:pPr>
        <w:widowControl w:val="0"/>
        <w:ind w:left="2160"/>
        <w:rPr>
          <w:szCs w:val="16"/>
        </w:rPr>
      </w:pPr>
    </w:p>
    <w:p w14:paraId="77740BA1" w14:textId="77777777" w:rsidR="00AD24B5" w:rsidRPr="003B4362" w:rsidRDefault="00AD24B5" w:rsidP="00AD24B5">
      <w:pPr>
        <w:widowControl w:val="0"/>
        <w:ind w:left="2160"/>
        <w:rPr>
          <w:szCs w:val="16"/>
        </w:rPr>
      </w:pPr>
      <w:r w:rsidRPr="003B4362">
        <w:rPr>
          <w:szCs w:val="16"/>
        </w:rPr>
        <w:t xml:space="preserve">“ITS D99-003 (03)” means “Method # (D99-003):  Free Chlorine Species </w:t>
      </w:r>
      <w:bookmarkStart w:id="235" w:name="_Hlk34328810"/>
      <w:r w:rsidRPr="003B4362">
        <w:rPr>
          <w:szCs w:val="16"/>
        </w:rPr>
        <w:t>(HOCl</w:t>
      </w:r>
      <w:r w:rsidRPr="003B4362">
        <w:rPr>
          <w:szCs w:val="22"/>
          <w:vertAlign w:val="superscript"/>
        </w:rPr>
        <w:t>–</w:t>
      </w:r>
      <w:r w:rsidRPr="003B4362">
        <w:rPr>
          <w:szCs w:val="16"/>
        </w:rPr>
        <w:t xml:space="preserve"> and OCl</w:t>
      </w:r>
      <w:r w:rsidRPr="003B4362">
        <w:rPr>
          <w:szCs w:val="22"/>
          <w:vertAlign w:val="superscript"/>
        </w:rPr>
        <w:t>–</w:t>
      </w:r>
      <w:bookmarkEnd w:id="235"/>
      <w:r w:rsidRPr="003B4362">
        <w:rPr>
          <w:szCs w:val="16"/>
        </w:rPr>
        <w:t xml:space="preserve">) by Test Strip”, </w:t>
      </w:r>
      <w:r w:rsidRPr="003B4362">
        <w:rPr>
          <w:szCs w:val="22"/>
        </w:rPr>
        <w:t xml:space="preserve">Revision </w:t>
      </w:r>
      <w:r w:rsidRPr="003B4362">
        <w:rPr>
          <w:szCs w:val="16"/>
        </w:rPr>
        <w:t>3.0 (November 21, 2003).  Available from Industrial Test Systems, Inc., 1875 Langston St., Rock Hill, SC  29730 (803-329-2999) and USEPA, OGWDW (under “Disinfection Byproduct Rules (PDF)”).  Referenced in Section 611.381.</w:t>
      </w:r>
    </w:p>
    <w:p w14:paraId="39EF21DD" w14:textId="77777777" w:rsidR="00AD24B5" w:rsidRPr="003B4362" w:rsidRDefault="00AD24B5" w:rsidP="00AD24B5">
      <w:pPr>
        <w:widowControl w:val="0"/>
        <w:suppressAutoHyphens/>
        <w:ind w:left="2160"/>
        <w:rPr>
          <w:szCs w:val="22"/>
        </w:rPr>
      </w:pPr>
    </w:p>
    <w:p w14:paraId="25F2F739" w14:textId="77777777" w:rsidR="00AD24B5" w:rsidRPr="003B4362" w:rsidRDefault="00AD24B5" w:rsidP="00AD24B5">
      <w:pPr>
        <w:widowControl w:val="0"/>
        <w:suppressAutoHyphens/>
        <w:ind w:left="2160"/>
        <w:rPr>
          <w:szCs w:val="22"/>
        </w:rPr>
      </w:pPr>
      <w:r w:rsidRPr="003B4362">
        <w:rPr>
          <w:szCs w:val="22"/>
        </w:rPr>
        <w:t xml:space="preserve">“Kelada 01 (01)” means “Method Kelada-01:  </w:t>
      </w:r>
      <w:r w:rsidRPr="003B4362">
        <w:rPr>
          <w:szCs w:val="16"/>
        </w:rPr>
        <w:t xml:space="preserve">Kelada Automated Test Methods for Total Cyanide, Acid Dissociable Cyanide, and Thiocyanate”, </w:t>
      </w:r>
      <w:r w:rsidRPr="003B4362">
        <w:rPr>
          <w:szCs w:val="22"/>
        </w:rPr>
        <w:t xml:space="preserve">Revision </w:t>
      </w:r>
      <w:r w:rsidRPr="003B4362">
        <w:rPr>
          <w:szCs w:val="16"/>
        </w:rPr>
        <w:t>1.2 (August 2001), USEPA Office of Water, document number EPA 821/B–01-009</w:t>
      </w:r>
      <w:r w:rsidRPr="003B4362">
        <w:rPr>
          <w:szCs w:val="22"/>
        </w:rPr>
        <w:t xml:space="preserve">.  Available from NTRL </w:t>
      </w:r>
      <w:bookmarkStart w:id="236" w:name="_Hlk11777284"/>
      <w:r w:rsidRPr="003B4362">
        <w:rPr>
          <w:szCs w:val="22"/>
        </w:rPr>
        <w:t>(document number PB2001-108275)</w:t>
      </w:r>
      <w:bookmarkStart w:id="237" w:name="_Hlk11946774"/>
      <w:bookmarkEnd w:id="236"/>
      <w:r w:rsidRPr="003B4362">
        <w:rPr>
          <w:szCs w:val="16"/>
        </w:rPr>
        <w:t xml:space="preserve"> and USEPA, OGWDW (under “Inorganic Contaminants and Other Inorganic Constituents (PDF)”)</w:t>
      </w:r>
      <w:bookmarkEnd w:id="237"/>
      <w:r w:rsidRPr="003B4362">
        <w:rPr>
          <w:szCs w:val="22"/>
        </w:rPr>
        <w:t>.  Referenced in Section 611.611</w:t>
      </w:r>
      <w:r w:rsidRPr="003B4362">
        <w:rPr>
          <w:szCs w:val="16"/>
        </w:rPr>
        <w:t>.</w:t>
      </w:r>
    </w:p>
    <w:p w14:paraId="75031AAC" w14:textId="77777777" w:rsidR="00AD24B5" w:rsidRPr="003B4362" w:rsidRDefault="00AD24B5" w:rsidP="00AD24B5">
      <w:pPr>
        <w:ind w:left="2160"/>
        <w:rPr>
          <w:szCs w:val="22"/>
        </w:rPr>
      </w:pPr>
      <w:r w:rsidRPr="003B4362">
        <w:rPr>
          <w:szCs w:val="22"/>
        </w:rPr>
        <w:t xml:space="preserve">Lovibond Methods.  Available from </w:t>
      </w:r>
      <w:r w:rsidRPr="003B4362">
        <w:rPr>
          <w:szCs w:val="16"/>
        </w:rPr>
        <w:t xml:space="preserve">Tintometer, Inc., </w:t>
      </w:r>
      <w:r w:rsidRPr="003B4362">
        <w:rPr>
          <w:szCs w:val="24"/>
        </w:rPr>
        <w:t>6456 Parkland Drive, Sarasota, FL 34243 (800-922-5242, 941-758-6410, or www.lovibond.us)</w:t>
      </w:r>
      <w:r w:rsidRPr="003B4362">
        <w:rPr>
          <w:iCs/>
          <w:szCs w:val="16"/>
        </w:rPr>
        <w:t xml:space="preserve"> and USEPA, OGWDW (under “Surface Water Treatment Rule (PDF)”).</w:t>
      </w:r>
    </w:p>
    <w:p w14:paraId="132337F1" w14:textId="77777777" w:rsidR="00AD24B5" w:rsidRPr="003B4362" w:rsidRDefault="00AD24B5" w:rsidP="00AD24B5">
      <w:pPr>
        <w:ind w:left="2880"/>
        <w:rPr>
          <w:szCs w:val="22"/>
        </w:rPr>
      </w:pPr>
    </w:p>
    <w:p w14:paraId="4925CAFA" w14:textId="77777777" w:rsidR="00AD24B5" w:rsidRPr="003B4362" w:rsidRDefault="00AD24B5" w:rsidP="00AD24B5">
      <w:pPr>
        <w:ind w:left="2880"/>
        <w:rPr>
          <w:szCs w:val="22"/>
        </w:rPr>
      </w:pPr>
      <w:r w:rsidRPr="003B4362">
        <w:rPr>
          <w:szCs w:val="22"/>
        </w:rPr>
        <w:t>“Lovibond PTV 1000 (16)” means “Continuous Measurement of Drinking Water Turbidity Using a Lovibond PTV 1000 White Light LED Turbidimeter”, Revision 1.0 (December 20, 2016).  Referenced in Section 611.531.</w:t>
      </w:r>
    </w:p>
    <w:p w14:paraId="49E8BC06" w14:textId="77777777" w:rsidR="00AD24B5" w:rsidRPr="003B4362" w:rsidRDefault="00AD24B5" w:rsidP="00AD24B5">
      <w:pPr>
        <w:widowControl w:val="0"/>
        <w:suppressAutoHyphens/>
        <w:ind w:left="2880"/>
        <w:rPr>
          <w:szCs w:val="22"/>
        </w:rPr>
      </w:pPr>
    </w:p>
    <w:p w14:paraId="00821EE8" w14:textId="77777777" w:rsidR="00AD24B5" w:rsidRPr="003B4362" w:rsidRDefault="00AD24B5" w:rsidP="00AD24B5">
      <w:pPr>
        <w:widowControl w:val="0"/>
        <w:suppressAutoHyphens/>
        <w:ind w:left="2880"/>
        <w:rPr>
          <w:szCs w:val="22"/>
        </w:rPr>
      </w:pPr>
      <w:r w:rsidRPr="003B4362">
        <w:rPr>
          <w:szCs w:val="22"/>
        </w:rPr>
        <w:t>“Lovibond PTV 2000 (16)” means “Continuous Measurement of Drinking Water Turbidity Using a Lovibond PTV 2000 660-nm LED Turbidimeter”, Revision 1.0 (December 20, 2016).  Referenced in Section 611.531.</w:t>
      </w:r>
    </w:p>
    <w:p w14:paraId="1AE84CE7" w14:textId="77777777" w:rsidR="00AD24B5" w:rsidRDefault="00AD24B5" w:rsidP="00AD24B5">
      <w:pPr>
        <w:widowControl w:val="0"/>
        <w:suppressAutoHyphens/>
        <w:ind w:left="2880"/>
        <w:rPr>
          <w:szCs w:val="22"/>
        </w:rPr>
      </w:pPr>
    </w:p>
    <w:p w14:paraId="5CDAEA3F" w14:textId="77777777" w:rsidR="00AD24B5" w:rsidRPr="004B63DB" w:rsidRDefault="00AD24B5" w:rsidP="00AD24B5">
      <w:pPr>
        <w:suppressAutoHyphens/>
        <w:ind w:left="2880"/>
        <w:rPr>
          <w:szCs w:val="22"/>
        </w:rPr>
      </w:pPr>
      <w:bookmarkStart w:id="238" w:name="_Hlk137038636"/>
      <w:r w:rsidRPr="004B63DB">
        <w:rPr>
          <w:szCs w:val="22"/>
        </w:rPr>
        <w:t>“Lovibond TB 3500 (21)” means “Measurement of Drinking Water Turbidity of a Captured Sample Using a Lovibond White Light LED Portable Turbidimeter”, Revision 1.0 (2021).  Referenced in Section 611.531.</w:t>
      </w:r>
    </w:p>
    <w:p w14:paraId="55595E4C" w14:textId="77777777" w:rsidR="00AD24B5" w:rsidRPr="004B63DB" w:rsidRDefault="00AD24B5" w:rsidP="00AD24B5">
      <w:pPr>
        <w:suppressAutoHyphens/>
        <w:ind w:left="2880"/>
        <w:rPr>
          <w:szCs w:val="22"/>
        </w:rPr>
      </w:pPr>
    </w:p>
    <w:bookmarkEnd w:id="238"/>
    <w:p w14:paraId="60835EE0" w14:textId="77777777" w:rsidR="00AD24B5" w:rsidRPr="004B63DB" w:rsidRDefault="00AD24B5" w:rsidP="00AD24B5">
      <w:pPr>
        <w:suppressAutoHyphens/>
        <w:ind w:left="2880"/>
        <w:rPr>
          <w:szCs w:val="22"/>
        </w:rPr>
      </w:pPr>
      <w:r w:rsidRPr="004B63DB">
        <w:rPr>
          <w:szCs w:val="22"/>
        </w:rPr>
        <w:t>“Lovibond TB 5000 (21)” means “Measurement of Drinking Water Turbidity of a Captured Sample Using a Lovibond 660-nm LED Portable Turbidimeter”, Revision 1.0 (2021).  Referenced in Section 611.531.</w:t>
      </w:r>
    </w:p>
    <w:p w14:paraId="2ADBAC57" w14:textId="77777777" w:rsidR="00AD24B5" w:rsidRPr="003B4362" w:rsidRDefault="00AD24B5" w:rsidP="00AD24B5">
      <w:pPr>
        <w:widowControl w:val="0"/>
        <w:suppressAutoHyphens/>
        <w:ind w:left="2880"/>
        <w:rPr>
          <w:szCs w:val="22"/>
        </w:rPr>
      </w:pPr>
    </w:p>
    <w:p w14:paraId="486F4DD6" w14:textId="77777777" w:rsidR="00AD24B5" w:rsidRDefault="00AD24B5" w:rsidP="00AD24B5">
      <w:pPr>
        <w:widowControl w:val="0"/>
        <w:suppressAutoHyphens/>
        <w:ind w:left="2880"/>
        <w:rPr>
          <w:szCs w:val="22"/>
        </w:rPr>
      </w:pPr>
      <w:r w:rsidRPr="003B4362">
        <w:rPr>
          <w:szCs w:val="22"/>
        </w:rPr>
        <w:t>“Lovibond PTV 6000 (16)” means “Continuous Measurement of Drinking Water Turbidity Using a Lovibond PTV 6000 Laser Turbidimeter”, Revision 1.0 (December 20, 2016).  Referenced in Section 611.531.</w:t>
      </w:r>
    </w:p>
    <w:p w14:paraId="7109E87A" w14:textId="77777777" w:rsidR="00AD24B5" w:rsidRDefault="00AD24B5" w:rsidP="00AD24B5">
      <w:pPr>
        <w:widowControl w:val="0"/>
        <w:suppressAutoHyphens/>
        <w:ind w:left="2880"/>
        <w:rPr>
          <w:szCs w:val="22"/>
        </w:rPr>
      </w:pPr>
    </w:p>
    <w:p w14:paraId="24287314" w14:textId="77777777" w:rsidR="00AD24B5" w:rsidRPr="004B63DB" w:rsidRDefault="00AD24B5" w:rsidP="00AD24B5">
      <w:pPr>
        <w:widowControl w:val="0"/>
        <w:suppressAutoHyphens/>
        <w:ind w:left="2880"/>
        <w:rPr>
          <w:szCs w:val="22"/>
        </w:rPr>
      </w:pPr>
      <w:r w:rsidRPr="004B63DB">
        <w:rPr>
          <w:szCs w:val="22"/>
        </w:rPr>
        <w:t>“Lovibond TB 6000 (21)” means “Measurement of Drinking Water Turbidity of a Captured Sample Using a Lovibond Portable Laser Turbidimeter”, Revision 1.0 (2021).  Referenced in Section 611.531.</w:t>
      </w:r>
    </w:p>
    <w:p w14:paraId="3ED38954" w14:textId="77777777" w:rsidR="00AD24B5" w:rsidRPr="003B4362" w:rsidRDefault="00AD24B5" w:rsidP="00AD24B5">
      <w:pPr>
        <w:ind w:left="2160"/>
      </w:pPr>
    </w:p>
    <w:p w14:paraId="544824CB" w14:textId="77777777" w:rsidR="00AD24B5" w:rsidRPr="003B4362" w:rsidRDefault="00AD24B5" w:rsidP="00AD24B5">
      <w:pPr>
        <w:ind w:left="2160"/>
      </w:pPr>
      <w:r w:rsidRPr="003B4362">
        <w:t>Maine Methods.  Available from Maine Health and Environmental Testing Laboratory, 221 State Street, Augusta, ME  04333</w:t>
      </w:r>
      <w:r w:rsidRPr="003B4362">
        <w:rPr>
          <w:szCs w:val="16"/>
        </w:rPr>
        <w:t xml:space="preserve"> (207-287-2727)</w:t>
      </w:r>
      <w:r w:rsidRPr="003B4362">
        <w:t>.</w:t>
      </w:r>
    </w:p>
    <w:p w14:paraId="6EB8724F" w14:textId="77777777" w:rsidR="00AD24B5" w:rsidRPr="003B4362" w:rsidRDefault="00AD24B5" w:rsidP="00AD24B5">
      <w:pPr>
        <w:ind w:left="2880"/>
        <w:rPr>
          <w:szCs w:val="22"/>
        </w:rPr>
      </w:pPr>
    </w:p>
    <w:p w14:paraId="3506367D" w14:textId="77777777" w:rsidR="00AD24B5" w:rsidRPr="003B4362" w:rsidRDefault="00AD24B5" w:rsidP="00AD24B5">
      <w:pPr>
        <w:ind w:left="2880"/>
        <w:rPr>
          <w:szCs w:val="22"/>
        </w:rPr>
      </w:pPr>
      <w:r w:rsidRPr="003B4362">
        <w:rPr>
          <w:szCs w:val="22"/>
        </w:rPr>
        <w:t>“ME355.01 (09)” means “</w:t>
      </w:r>
      <w:r w:rsidRPr="003B4362">
        <w:t>Determination of Cyanide in Drinking Water by GC/MS Headspace Analysis”</w:t>
      </w:r>
      <w:r w:rsidRPr="003B4362">
        <w:rPr>
          <w:szCs w:val="22"/>
        </w:rPr>
        <w:t>, Revision 1</w:t>
      </w:r>
      <w:r w:rsidRPr="003B4362">
        <w:t xml:space="preserve"> (May 26, 2009).  Referenced in Section 611.611.  Also available from NEMI and USEPA, OGWDW (under “Inorganic Contaminants and Other Inorganic Constituents (PDF)”).</w:t>
      </w:r>
    </w:p>
    <w:p w14:paraId="4A652191" w14:textId="77777777" w:rsidR="00AD24B5" w:rsidRPr="003B4362" w:rsidRDefault="00AD24B5" w:rsidP="00AD24B5">
      <w:pPr>
        <w:ind w:left="2880"/>
        <w:rPr>
          <w:szCs w:val="22"/>
        </w:rPr>
      </w:pPr>
    </w:p>
    <w:p w14:paraId="24C58E72" w14:textId="77777777" w:rsidR="00AD24B5" w:rsidRPr="003B4362" w:rsidRDefault="00AD24B5" w:rsidP="00AD24B5">
      <w:pPr>
        <w:ind w:left="2880"/>
        <w:rPr>
          <w:szCs w:val="22"/>
        </w:rPr>
      </w:pPr>
      <w:r w:rsidRPr="003B4362">
        <w:rPr>
          <w:szCs w:val="22"/>
        </w:rPr>
        <w:t>“ME 531 (19)” means “Measurement or N-Methylcarbamoyloximes and N-Methylcarbamates in Drinking Water by LC-MS/MS”, version 1.0 (September 2019).  Referenced in Section 611.645.</w:t>
      </w:r>
    </w:p>
    <w:p w14:paraId="49F66BED" w14:textId="77777777" w:rsidR="00AD24B5" w:rsidRPr="003B4362" w:rsidRDefault="00AD24B5" w:rsidP="00AD24B5">
      <w:pPr>
        <w:ind w:left="2160"/>
        <w:rPr>
          <w:szCs w:val="22"/>
        </w:rPr>
      </w:pPr>
    </w:p>
    <w:p w14:paraId="0D974C00" w14:textId="77777777" w:rsidR="00AD24B5" w:rsidRPr="003B4362" w:rsidRDefault="00AD24B5" w:rsidP="00AD24B5">
      <w:pPr>
        <w:ind w:left="2160"/>
        <w:rPr>
          <w:szCs w:val="22"/>
        </w:rPr>
      </w:pPr>
      <w:r w:rsidRPr="003B4362">
        <w:rPr>
          <w:szCs w:val="22"/>
        </w:rPr>
        <w:t xml:space="preserve">Mitchell Methods.  Available from </w:t>
      </w:r>
      <w:r w:rsidRPr="003B4362">
        <w:rPr>
          <w:szCs w:val="16"/>
        </w:rPr>
        <w:t>Leck Mitchell, PhD, PE, 656 Independence Valley Dr., Grand Junction, CO  81507 (920-244-8661); , NEMI (except for Mitchell M5331 (16)); and USEPA, OGWDW (under “Surface Water Treatment Rule (PDF)”).</w:t>
      </w:r>
    </w:p>
    <w:p w14:paraId="004B5ADE" w14:textId="77777777" w:rsidR="00AD24B5" w:rsidRPr="003B4362" w:rsidRDefault="00AD24B5" w:rsidP="00AD24B5">
      <w:pPr>
        <w:ind w:left="2880"/>
        <w:rPr>
          <w:szCs w:val="22"/>
        </w:rPr>
      </w:pPr>
    </w:p>
    <w:p w14:paraId="65E9B955" w14:textId="77777777" w:rsidR="00AD24B5" w:rsidRPr="003B4362" w:rsidRDefault="00AD24B5" w:rsidP="00AD24B5">
      <w:pPr>
        <w:ind w:left="2880"/>
        <w:rPr>
          <w:szCs w:val="22"/>
        </w:rPr>
      </w:pPr>
      <w:r w:rsidRPr="003B4362">
        <w:rPr>
          <w:szCs w:val="22"/>
        </w:rPr>
        <w:t>“Mitchell M5271 (09)” means Mitchell Method M5271, “</w:t>
      </w:r>
      <w:r w:rsidRPr="003B4362">
        <w:t>Determination of Turbidity by Laser Nephelometry”</w:t>
      </w:r>
      <w:r w:rsidRPr="003B4362">
        <w:rPr>
          <w:szCs w:val="22"/>
        </w:rPr>
        <w:t>, Revision 1.1</w:t>
      </w:r>
      <w:r w:rsidRPr="003B4362">
        <w:t xml:space="preserve"> (March 5, 2009).  Referenced in Section 611.531.</w:t>
      </w:r>
    </w:p>
    <w:p w14:paraId="5277E50B" w14:textId="77777777" w:rsidR="00AD24B5" w:rsidRPr="003B4362" w:rsidRDefault="00AD24B5" w:rsidP="00AD24B5">
      <w:pPr>
        <w:ind w:left="2880"/>
        <w:rPr>
          <w:szCs w:val="22"/>
        </w:rPr>
      </w:pPr>
    </w:p>
    <w:p w14:paraId="5C9AC630" w14:textId="77777777" w:rsidR="00AD24B5" w:rsidRPr="003B4362" w:rsidRDefault="00AD24B5" w:rsidP="00AD24B5">
      <w:pPr>
        <w:ind w:left="2880"/>
        <w:rPr>
          <w:szCs w:val="22"/>
        </w:rPr>
      </w:pPr>
      <w:r w:rsidRPr="003B4362">
        <w:rPr>
          <w:szCs w:val="22"/>
        </w:rPr>
        <w:t>“Mitchell M5331 (09)” means Mitchell Method M5331, “</w:t>
      </w:r>
      <w:r w:rsidRPr="003B4362">
        <w:t>Determination of Turbidity by Laser Nephelometry”</w:t>
      </w:r>
      <w:r w:rsidRPr="003B4362">
        <w:rPr>
          <w:szCs w:val="22"/>
        </w:rPr>
        <w:t>, Revision 1.1</w:t>
      </w:r>
      <w:r w:rsidRPr="003B4362">
        <w:t xml:space="preserve"> (March 2009).  Referenced in Section 611.531.</w:t>
      </w:r>
    </w:p>
    <w:p w14:paraId="38B20E8F" w14:textId="77777777" w:rsidR="00AD24B5" w:rsidRPr="003B4362" w:rsidRDefault="00AD24B5" w:rsidP="00AD24B5">
      <w:pPr>
        <w:ind w:left="2880"/>
        <w:rPr>
          <w:szCs w:val="22"/>
        </w:rPr>
      </w:pPr>
    </w:p>
    <w:p w14:paraId="21E545BD" w14:textId="77777777" w:rsidR="00AD24B5" w:rsidRPr="003B4362" w:rsidRDefault="00AD24B5" w:rsidP="00AD24B5">
      <w:pPr>
        <w:ind w:left="2880"/>
        <w:rPr>
          <w:szCs w:val="22"/>
        </w:rPr>
      </w:pPr>
      <w:r w:rsidRPr="003B4362">
        <w:rPr>
          <w:szCs w:val="22"/>
        </w:rPr>
        <w:t>“Mitchell M5331 (16)” means Mitchell Method M5331, “</w:t>
      </w:r>
      <w:r w:rsidRPr="003B4362">
        <w:t>Determination of Turbidity by Laser Nephelometry”</w:t>
      </w:r>
      <w:r w:rsidRPr="003B4362">
        <w:rPr>
          <w:szCs w:val="22"/>
        </w:rPr>
        <w:t>, Revision 1.2</w:t>
      </w:r>
      <w:r w:rsidRPr="003B4362">
        <w:t xml:space="preserve"> (February 2016).  Referenced in Section 611.531.</w:t>
      </w:r>
    </w:p>
    <w:p w14:paraId="73B12991" w14:textId="77777777" w:rsidR="00AD24B5" w:rsidRPr="003B4362" w:rsidRDefault="00AD24B5" w:rsidP="00AD24B5">
      <w:pPr>
        <w:widowControl w:val="0"/>
        <w:suppressAutoHyphens/>
        <w:ind w:left="2160"/>
        <w:rPr>
          <w:szCs w:val="22"/>
        </w:rPr>
      </w:pPr>
    </w:p>
    <w:p w14:paraId="6E948B92" w14:textId="77777777" w:rsidR="00AD24B5" w:rsidRPr="003B4362" w:rsidRDefault="00AD24B5" w:rsidP="00AD24B5">
      <w:pPr>
        <w:widowControl w:val="0"/>
        <w:suppressAutoHyphens/>
        <w:ind w:left="2160"/>
        <w:rPr>
          <w:szCs w:val="22"/>
        </w:rPr>
      </w:pPr>
      <w:r w:rsidRPr="003B4362">
        <w:rPr>
          <w:szCs w:val="22"/>
        </w:rPr>
        <w:t>“</w:t>
      </w:r>
      <w:bookmarkStart w:id="239" w:name="_Hlk11762925"/>
      <w:r w:rsidRPr="003B4362">
        <w:rPr>
          <w:szCs w:val="22"/>
        </w:rPr>
        <w:t>Modified Colitag™</w:t>
      </w:r>
      <w:bookmarkEnd w:id="239"/>
      <w:r w:rsidRPr="003B4362">
        <w:rPr>
          <w:szCs w:val="22"/>
        </w:rPr>
        <w:t xml:space="preserve"> (09)” means “Modified Colitag™ Test Method for Simultaneous Detection of E. coli and other Total Coliforms in Water</w:t>
      </w:r>
      <w:r w:rsidRPr="003B4362">
        <w:rPr>
          <w:szCs w:val="16"/>
        </w:rPr>
        <w:t>”,</w:t>
      </w:r>
      <w:r w:rsidRPr="003B4362">
        <w:rPr>
          <w:szCs w:val="22"/>
        </w:rPr>
        <w:t xml:space="preserve"> (ATP D05-0035)</w:t>
      </w:r>
      <w:r w:rsidRPr="003B4362">
        <w:rPr>
          <w:szCs w:val="16"/>
        </w:rPr>
        <w:t xml:space="preserve"> (</w:t>
      </w:r>
      <w:r w:rsidRPr="003B4362">
        <w:rPr>
          <w:szCs w:val="22"/>
        </w:rPr>
        <w:t>August 28, 2009).  Available from CPI International, Inc., 5580 Skylane Blvd., Santa Rosa, CA  95403 (800-878-7654; www.cpiinternational.com); NEMI</w:t>
      </w:r>
      <w:r w:rsidRPr="003B4362">
        <w:rPr>
          <w:szCs w:val="16"/>
        </w:rPr>
        <w:t>; and USEPA, OGWDW (under “Ground Water Rule (PDF)” and “Revised Totasl Coliforms Rules (PDF)”).</w:t>
      </w:r>
      <w:r w:rsidRPr="003B4362">
        <w:rPr>
          <w:szCs w:val="22"/>
        </w:rPr>
        <w:t xml:space="preserve">  Referenced in Sections 611.802 and 611.1052.</w:t>
      </w:r>
    </w:p>
    <w:p w14:paraId="53BB4F75" w14:textId="77777777" w:rsidR="00AD24B5" w:rsidRPr="003B4362" w:rsidRDefault="00AD24B5" w:rsidP="00AD24B5">
      <w:pPr>
        <w:widowControl w:val="0"/>
        <w:suppressAutoHyphens/>
        <w:ind w:left="2160"/>
        <w:rPr>
          <w:szCs w:val="22"/>
        </w:rPr>
      </w:pPr>
    </w:p>
    <w:p w14:paraId="53E4193D" w14:textId="77777777" w:rsidR="00AD24B5" w:rsidRPr="003B4362" w:rsidRDefault="00AD24B5" w:rsidP="00AD24B5">
      <w:pPr>
        <w:widowControl w:val="0"/>
        <w:suppressAutoHyphens/>
        <w:ind w:left="2160"/>
        <w:rPr>
          <w:szCs w:val="22"/>
        </w:rPr>
      </w:pPr>
      <w:r w:rsidRPr="003B4362">
        <w:rPr>
          <w:szCs w:val="22"/>
        </w:rPr>
        <w:lastRenderedPageBreak/>
        <w:t>“Modified Colitag™ (20)” means “Modified Colitag™ Test Method for Simultaneous Detection of Total Coliforms and E. coli in Water</w:t>
      </w:r>
      <w:r w:rsidRPr="003B4362">
        <w:rPr>
          <w:szCs w:val="16"/>
        </w:rPr>
        <w:t>”,</w:t>
      </w:r>
      <w:r w:rsidRPr="003B4362">
        <w:rPr>
          <w:szCs w:val="22"/>
        </w:rPr>
        <w:t xml:space="preserve"> Version 2.0, </w:t>
      </w:r>
      <w:r w:rsidRPr="003B4362">
        <w:rPr>
          <w:szCs w:val="16"/>
        </w:rPr>
        <w:t>(</w:t>
      </w:r>
      <w:r w:rsidRPr="003B4362">
        <w:rPr>
          <w:szCs w:val="22"/>
        </w:rPr>
        <w:t xml:space="preserve">June 2020).  Available from </w:t>
      </w:r>
      <w:r w:rsidRPr="003B4362">
        <w:t>Neogen Corporation, 620 Lesher Place, Lansing, MI  48912</w:t>
      </w:r>
      <w:r w:rsidRPr="003B4362">
        <w:rPr>
          <w:szCs w:val="16"/>
        </w:rPr>
        <w:t>.</w:t>
      </w:r>
      <w:r w:rsidRPr="003B4362">
        <w:rPr>
          <w:szCs w:val="22"/>
        </w:rPr>
        <w:t xml:space="preserve">  Referenced in Sections 611.802 and 611.1052.</w:t>
      </w:r>
    </w:p>
    <w:p w14:paraId="70A91BEA" w14:textId="77777777" w:rsidR="00AD24B5" w:rsidRPr="003B4362" w:rsidRDefault="00AD24B5" w:rsidP="00AD24B5">
      <w:pPr>
        <w:widowControl w:val="0"/>
        <w:suppressAutoHyphens/>
        <w:ind w:left="2160"/>
        <w:rPr>
          <w:szCs w:val="24"/>
        </w:rPr>
      </w:pPr>
    </w:p>
    <w:p w14:paraId="22A0C949" w14:textId="77777777" w:rsidR="00AD24B5" w:rsidRPr="003B4362" w:rsidRDefault="00AD24B5" w:rsidP="00AD24B5">
      <w:pPr>
        <w:widowControl w:val="0"/>
        <w:suppressAutoHyphens/>
        <w:ind w:left="2160"/>
        <w:rPr>
          <w:szCs w:val="24"/>
        </w:rPr>
      </w:pPr>
      <w:r w:rsidRPr="003B4362">
        <w:rPr>
          <w:szCs w:val="24"/>
        </w:rPr>
        <w:t xml:space="preserve">“NBS Handbook 69 (63)” means “Maximum Permissible Body Burdens and Maximum Permissible Concentrations of Radionuclides in Air and in Water for Occupational Exposure” (August 1963), U.S. Department of Commerce, National Bureau of Standards.  Available from U.S. Nuclear Regulatory Commission, One White Flint North, 115 Rockville Pike, Rockville, MD 20852-2738; </w:t>
      </w:r>
      <w:hyperlink r:id="rId12" w:history="1">
        <w:r w:rsidRPr="005C665F">
          <w:rPr>
            <w:rStyle w:val="Hyperlink"/>
            <w:szCs w:val="24"/>
          </w:rPr>
          <w:t>https://www.nrc.gov/docs/ML2020/ML20206L091.pdf</w:t>
        </w:r>
      </w:hyperlink>
    </w:p>
    <w:p w14:paraId="0D56B0F1" w14:textId="77777777" w:rsidR="00AD24B5" w:rsidRPr="003B4362" w:rsidRDefault="00AD24B5" w:rsidP="00AD24B5">
      <w:pPr>
        <w:widowControl w:val="0"/>
        <w:suppressAutoHyphens/>
        <w:ind w:left="2160"/>
        <w:rPr>
          <w:szCs w:val="24"/>
        </w:rPr>
      </w:pPr>
      <w:r w:rsidRPr="003B4362">
        <w:rPr>
          <w:szCs w:val="24"/>
        </w:rPr>
        <w:t xml:space="preserve"> or </w:t>
      </w:r>
      <w:r w:rsidRPr="003B4362">
        <w:rPr>
          <w:szCs w:val="22"/>
        </w:rPr>
        <w:t xml:space="preserve">Oak Ridge Associated Universities (ORAU), 100 ORAU Way, Oak Ridge, TN  37830 (865-576-3146); </w:t>
      </w:r>
      <w:hyperlink r:id="rId13" w:history="1">
        <w:r w:rsidRPr="003B4362">
          <w:rPr>
            <w:rStyle w:val="Hyperlink"/>
            <w:szCs w:val="22"/>
          </w:rPr>
          <w:t>https://www.orau.org/health-physics-museum/files/library/nbs/nbs-69.pdf</w:t>
        </w:r>
      </w:hyperlink>
      <w:r w:rsidRPr="003B4362">
        <w:rPr>
          <w:szCs w:val="22"/>
        </w:rPr>
        <w:t>.</w:t>
      </w:r>
      <w:r w:rsidRPr="003B4362">
        <w:rPr>
          <w:szCs w:val="24"/>
        </w:rPr>
        <w:t xml:space="preserve">  Referenced in Sections 611.101 and 611.330.</w:t>
      </w:r>
    </w:p>
    <w:p w14:paraId="51CEC299" w14:textId="77777777" w:rsidR="00AD24B5" w:rsidRPr="003B4362" w:rsidRDefault="00AD24B5" w:rsidP="00AD24B5">
      <w:pPr>
        <w:widowControl w:val="0"/>
        <w:suppressAutoHyphens/>
        <w:ind w:left="2160"/>
        <w:rPr>
          <w:szCs w:val="24"/>
        </w:rPr>
      </w:pPr>
      <w:r w:rsidRPr="003B4362">
        <w:rPr>
          <w:szCs w:val="24"/>
        </w:rPr>
        <w:t>BOARD NOTE:  The 1963 version of National Bureau of Standards Handbook 69 modifies the 1959 publication of the National Committee on Radiation Protection, NCRP Report No. 22, of the same title.  The version available on the NCRP website is the 1959 document.</w:t>
      </w:r>
    </w:p>
    <w:p w14:paraId="040C5881" w14:textId="77777777" w:rsidR="00AD24B5" w:rsidRPr="003B4362" w:rsidRDefault="00AD24B5" w:rsidP="00AD24B5">
      <w:pPr>
        <w:ind w:left="2160"/>
      </w:pPr>
    </w:p>
    <w:p w14:paraId="68ABF612" w14:textId="77777777" w:rsidR="00AD24B5" w:rsidRPr="003B4362" w:rsidRDefault="00AD24B5" w:rsidP="00AD24B5">
      <w:pPr>
        <w:ind w:left="2160"/>
      </w:pPr>
      <w:r w:rsidRPr="003B4362">
        <w:t>“</w:t>
      </w:r>
      <w:bookmarkStart w:id="240" w:name="_Hlk11763246"/>
      <w:r w:rsidRPr="003B4362">
        <w:t>NECi Nitrate Reductase</w:t>
      </w:r>
      <w:bookmarkEnd w:id="240"/>
      <w:r w:rsidRPr="003B4362">
        <w:t xml:space="preserve"> (06)” means “Method for Nitrate Reductase Nitrate-Nitrogen Analysis of Drinking Water”, Version 1.0, Revision 2.0 (February 1, 2016).  Available from Superior Enzymes Inc., 334 Hecla Street, Lake Linden, Michigan  49945 (906-296-1115)</w:t>
      </w:r>
      <w:r w:rsidRPr="003B4362">
        <w:rPr>
          <w:iCs/>
          <w:szCs w:val="16"/>
        </w:rPr>
        <w:t>.</w:t>
      </w:r>
      <w:r w:rsidRPr="003B4362">
        <w:rPr>
          <w:szCs w:val="22"/>
        </w:rPr>
        <w:t xml:space="preserve">  Also available from USEPA, OGWDW (under “Inorganic Contaminants and Other Inorganic Constituents (PDF)”).</w:t>
      </w:r>
      <w:r w:rsidRPr="003B4362">
        <w:rPr>
          <w:iCs/>
          <w:szCs w:val="16"/>
        </w:rPr>
        <w:t xml:space="preserve">  </w:t>
      </w:r>
      <w:r w:rsidRPr="003B4362">
        <w:t>Referenced in Section 611.611.</w:t>
      </w:r>
    </w:p>
    <w:p w14:paraId="280C0CFF" w14:textId="77777777" w:rsidR="00AD24B5" w:rsidRPr="003B4362" w:rsidRDefault="00AD24B5" w:rsidP="00AD24B5">
      <w:pPr>
        <w:widowControl w:val="0"/>
        <w:suppressAutoHyphens/>
        <w:ind w:left="2160"/>
        <w:rPr>
          <w:szCs w:val="22"/>
        </w:rPr>
      </w:pPr>
    </w:p>
    <w:p w14:paraId="715B6129" w14:textId="77777777" w:rsidR="00AD24B5" w:rsidRPr="003B4362" w:rsidRDefault="00AD24B5" w:rsidP="00AD24B5">
      <w:pPr>
        <w:widowControl w:val="0"/>
        <w:suppressAutoHyphens/>
        <w:ind w:left="2160"/>
        <w:rPr>
          <w:szCs w:val="22"/>
        </w:rPr>
      </w:pPr>
      <w:r w:rsidRPr="003B4362">
        <w:rPr>
          <w:szCs w:val="22"/>
        </w:rPr>
        <w:t>“New Jersey Radium (90)” means “Determination of Ra-228 in Drinking Water</w:t>
      </w:r>
      <w:r w:rsidRPr="003B4362">
        <w:rPr>
          <w:szCs w:val="16"/>
        </w:rPr>
        <w:t>”</w:t>
      </w:r>
      <w:r w:rsidRPr="003B4362">
        <w:rPr>
          <w:szCs w:val="22"/>
        </w:rPr>
        <w:t xml:space="preserve"> (August 1990), New Jersey Department of Environmental Protection, Division of Environmental Quality, Bureau of Radiation and Inorganic Analytical Services.  Available from publisher, 9 Ewing Street, Trenton, NJ  08625.  Referenced in Section 611.720.</w:t>
      </w:r>
    </w:p>
    <w:p w14:paraId="59AB4985" w14:textId="77777777" w:rsidR="00AD24B5" w:rsidRPr="003B4362" w:rsidRDefault="00AD24B5" w:rsidP="00AD24B5">
      <w:pPr>
        <w:widowControl w:val="0"/>
        <w:suppressAutoHyphens/>
        <w:ind w:left="2160"/>
        <w:rPr>
          <w:szCs w:val="22"/>
        </w:rPr>
      </w:pPr>
    </w:p>
    <w:p w14:paraId="1B305540" w14:textId="77777777" w:rsidR="00AD24B5" w:rsidRPr="003B4362" w:rsidRDefault="00AD24B5" w:rsidP="00AD24B5">
      <w:pPr>
        <w:widowControl w:val="0"/>
        <w:suppressAutoHyphens/>
        <w:ind w:left="2160"/>
        <w:rPr>
          <w:szCs w:val="22"/>
        </w:rPr>
      </w:pPr>
      <w:r w:rsidRPr="003B4362">
        <w:rPr>
          <w:szCs w:val="22"/>
        </w:rPr>
        <w:t xml:space="preserve">“New York Radium (82)” means “Determination of </w:t>
      </w:r>
      <w:r w:rsidRPr="003B4362">
        <w:rPr>
          <w:szCs w:val="22"/>
          <w:vertAlign w:val="superscript"/>
        </w:rPr>
        <w:t>226</w:t>
      </w:r>
      <w:r w:rsidRPr="003B4362">
        <w:rPr>
          <w:szCs w:val="22"/>
        </w:rPr>
        <w:t xml:space="preserve">Ra and </w:t>
      </w:r>
      <w:r w:rsidRPr="003B4362">
        <w:rPr>
          <w:szCs w:val="22"/>
          <w:vertAlign w:val="superscript"/>
        </w:rPr>
        <w:t>228</w:t>
      </w:r>
      <w:r w:rsidRPr="003B4362">
        <w:rPr>
          <w:szCs w:val="22"/>
        </w:rPr>
        <w:t>Ra, Ra-02</w:t>
      </w:r>
      <w:r w:rsidRPr="003B4362">
        <w:rPr>
          <w:szCs w:val="16"/>
        </w:rPr>
        <w:t>”</w:t>
      </w:r>
      <w:r w:rsidRPr="003B4362">
        <w:rPr>
          <w:szCs w:val="22"/>
        </w:rPr>
        <w:t xml:space="preserve"> (January 1980, revised June 1982), Radiological Sciences Institute, Center for Laboratories and Research, New York State Department of Health.  Available from publisher, Empire State Plaza, Albany, NY  12201.  Referenced in Section 611.720.</w:t>
      </w:r>
    </w:p>
    <w:p w14:paraId="28433B3D" w14:textId="77777777" w:rsidR="00AD24B5" w:rsidRPr="003B4362" w:rsidRDefault="00AD24B5" w:rsidP="00AD24B5">
      <w:pPr>
        <w:ind w:left="2160"/>
        <w:rPr>
          <w:szCs w:val="22"/>
        </w:rPr>
      </w:pPr>
    </w:p>
    <w:p w14:paraId="36445579" w14:textId="77777777" w:rsidR="00AD24B5" w:rsidRPr="003B4362" w:rsidRDefault="00AD24B5" w:rsidP="00AD24B5">
      <w:pPr>
        <w:ind w:left="2160"/>
        <w:rPr>
          <w:szCs w:val="22"/>
        </w:rPr>
      </w:pPr>
      <w:r w:rsidRPr="003B4362">
        <w:rPr>
          <w:szCs w:val="22"/>
        </w:rPr>
        <w:t>“OIA-1677 (04)” means “Method OIA-1677 DW, Available Cyanide by Flow Injection, Ligand Exchange, and Amperometry</w:t>
      </w:r>
      <w:r w:rsidRPr="003B4362">
        <w:rPr>
          <w:szCs w:val="16"/>
        </w:rPr>
        <w:t>”</w:t>
      </w:r>
      <w:r w:rsidRPr="003B4362">
        <w:rPr>
          <w:szCs w:val="22"/>
        </w:rPr>
        <w:t xml:space="preserve"> (January 2004)</w:t>
      </w:r>
      <w:r w:rsidRPr="003B4362">
        <w:rPr>
          <w:szCs w:val="16"/>
        </w:rPr>
        <w:t>,</w:t>
      </w:r>
      <w:r w:rsidRPr="003B4362">
        <w:rPr>
          <w:szCs w:val="22"/>
        </w:rPr>
        <w:t xml:space="preserve"> document number EPA 821/R-04/001.  Referenced in Section 611.611.  Available from ; USEPA, NSCEP (search “821R04001”); and USEPA, </w:t>
      </w:r>
      <w:r w:rsidRPr="003B4362">
        <w:rPr>
          <w:szCs w:val="22"/>
        </w:rPr>
        <w:lastRenderedPageBreak/>
        <w:t>OGWDW (under “Inorganic Contaminants and Other Inorganic Constituents (PDF)”).</w:t>
      </w:r>
    </w:p>
    <w:p w14:paraId="768FD347" w14:textId="77777777" w:rsidR="00AD24B5" w:rsidRPr="003B4362" w:rsidRDefault="00AD24B5" w:rsidP="00AD24B5">
      <w:pPr>
        <w:ind w:left="2160"/>
        <w:rPr>
          <w:szCs w:val="22"/>
        </w:rPr>
      </w:pPr>
    </w:p>
    <w:p w14:paraId="06A94036" w14:textId="77777777" w:rsidR="00AD24B5" w:rsidRDefault="00AD24B5" w:rsidP="00AD24B5">
      <w:pPr>
        <w:ind w:left="2160"/>
      </w:pPr>
      <w:r w:rsidRPr="003B4362">
        <w:rPr>
          <w:szCs w:val="22"/>
        </w:rPr>
        <w:t>“Orion AQ4500 (09)” means “</w:t>
      </w:r>
      <w:r w:rsidRPr="003B4362">
        <w:t xml:space="preserve">Determination of Turbidity by LED Nephelometry”, Revision 5 (March 12, 2009).  Available from </w:t>
      </w:r>
      <w:bookmarkStart w:id="241" w:name="_Hlk5288046"/>
      <w:r w:rsidRPr="003B4362">
        <w:t xml:space="preserve">Thermo-Fisher Scientific, 168 Third Ave, Waltham, MA  02451 </w:t>
      </w:r>
      <w:r w:rsidRPr="003B4362">
        <w:rPr>
          <w:iCs/>
        </w:rPr>
        <w:t>(800-556-2323 or www.thermofisher.com);</w:t>
      </w:r>
      <w:r w:rsidRPr="003B4362">
        <w:t xml:space="preserve"> NEMI; and USEPA, OGWDW (under “Surface Water Treatment Rule (PDF)”)</w:t>
      </w:r>
      <w:r w:rsidRPr="003B4362">
        <w:rPr>
          <w:iCs/>
        </w:rPr>
        <w:t>.</w:t>
      </w:r>
      <w:bookmarkEnd w:id="241"/>
      <w:r w:rsidRPr="003B4362">
        <w:rPr>
          <w:iCs/>
        </w:rPr>
        <w:t xml:space="preserve">  R</w:t>
      </w:r>
      <w:r w:rsidRPr="003B4362">
        <w:t>eferenced in Section 611.531.</w:t>
      </w:r>
    </w:p>
    <w:p w14:paraId="2610FD02" w14:textId="77777777" w:rsidR="00AD24B5" w:rsidRPr="003B4362" w:rsidRDefault="00AD24B5" w:rsidP="00AD24B5">
      <w:pPr>
        <w:ind w:left="2160"/>
        <w:rPr>
          <w:szCs w:val="22"/>
        </w:rPr>
      </w:pPr>
    </w:p>
    <w:p w14:paraId="74C701B3" w14:textId="77777777" w:rsidR="00AD24B5" w:rsidRPr="003B4362" w:rsidRDefault="00AD24B5" w:rsidP="00AD24B5">
      <w:pPr>
        <w:ind w:left="2160"/>
        <w:rPr>
          <w:szCs w:val="22"/>
        </w:rPr>
      </w:pPr>
      <w:r w:rsidRPr="003B4362">
        <w:rPr>
          <w:szCs w:val="22"/>
        </w:rPr>
        <w:t xml:space="preserve">Palintest Methods.  Available from Palintest, Ltd., </w:t>
      </w:r>
      <w:bookmarkStart w:id="242" w:name="_Hlk134474790"/>
      <w:r w:rsidRPr="003B4362">
        <w:rPr>
          <w:szCs w:val="22"/>
        </w:rPr>
        <w:t>600 Corporate Circle, Suite F, Golden, CO  80401</w:t>
      </w:r>
      <w:bookmarkEnd w:id="242"/>
      <w:r w:rsidRPr="003B4362">
        <w:rPr>
          <w:szCs w:val="22"/>
        </w:rPr>
        <w:t xml:space="preserve"> (720-221-6878).</w:t>
      </w:r>
    </w:p>
    <w:p w14:paraId="11993747" w14:textId="77777777" w:rsidR="00AD24B5" w:rsidRPr="003B4362" w:rsidRDefault="00AD24B5" w:rsidP="00AD24B5">
      <w:pPr>
        <w:suppressAutoHyphens/>
        <w:ind w:left="2880"/>
        <w:rPr>
          <w:szCs w:val="22"/>
        </w:rPr>
      </w:pPr>
    </w:p>
    <w:p w14:paraId="3DEA4D06" w14:textId="77777777" w:rsidR="00AD24B5" w:rsidRPr="003B4362" w:rsidRDefault="00AD24B5" w:rsidP="00AD24B5">
      <w:pPr>
        <w:suppressAutoHyphens/>
        <w:ind w:left="2880"/>
        <w:rPr>
          <w:szCs w:val="22"/>
        </w:rPr>
      </w:pPr>
      <w:r w:rsidRPr="003B4362">
        <w:rPr>
          <w:szCs w:val="22"/>
        </w:rPr>
        <w:t>“</w:t>
      </w:r>
      <w:bookmarkStart w:id="243" w:name="_Hlk15494622"/>
      <w:r w:rsidRPr="003B4362">
        <w:rPr>
          <w:szCs w:val="22"/>
        </w:rPr>
        <w:t>Palintest 1001 (99)</w:t>
      </w:r>
      <w:bookmarkEnd w:id="243"/>
      <w:r w:rsidRPr="003B4362">
        <w:rPr>
          <w:szCs w:val="22"/>
        </w:rPr>
        <w:t>” means “Method 1001:  Lead in Drinking Water by Differential Pulse Anodic Stripping Voltammetry</w:t>
      </w:r>
      <w:r w:rsidRPr="003B4362">
        <w:rPr>
          <w:szCs w:val="16"/>
        </w:rPr>
        <w:t>”,</w:t>
      </w:r>
      <w:r w:rsidRPr="003B4362">
        <w:rPr>
          <w:szCs w:val="22"/>
        </w:rPr>
        <w:t xml:space="preserve"> August 1999, referenced in Section 611.611.</w:t>
      </w:r>
    </w:p>
    <w:p w14:paraId="6099BBCA" w14:textId="77777777" w:rsidR="00AD24B5" w:rsidRPr="003B4362" w:rsidRDefault="00AD24B5" w:rsidP="00AD24B5">
      <w:pPr>
        <w:ind w:left="2880"/>
        <w:rPr>
          <w:szCs w:val="22"/>
        </w:rPr>
      </w:pPr>
      <w:r w:rsidRPr="003B4362">
        <w:rPr>
          <w:szCs w:val="22"/>
        </w:rPr>
        <w:t>BOARD NOTE:  Also available from USEPA, OGWDW (under “Inorganic Contaminants and Other Inorganic Constituents (PDF)”).</w:t>
      </w:r>
    </w:p>
    <w:p w14:paraId="04C621B5" w14:textId="77777777" w:rsidR="00AD24B5" w:rsidRPr="003B4362" w:rsidRDefault="00AD24B5" w:rsidP="00AD24B5">
      <w:pPr>
        <w:suppressAutoHyphens/>
        <w:ind w:left="2880"/>
        <w:rPr>
          <w:szCs w:val="22"/>
        </w:rPr>
      </w:pPr>
    </w:p>
    <w:p w14:paraId="4007D0C1" w14:textId="77777777" w:rsidR="00AD24B5" w:rsidRPr="003B4362" w:rsidRDefault="00AD24B5" w:rsidP="00AD24B5">
      <w:pPr>
        <w:suppressAutoHyphens/>
        <w:ind w:left="2880"/>
        <w:rPr>
          <w:szCs w:val="22"/>
        </w:rPr>
      </w:pPr>
      <w:r w:rsidRPr="003B4362">
        <w:rPr>
          <w:szCs w:val="22"/>
        </w:rPr>
        <w:t>“Palintest 1001 (20)” means “Method 1001:  Lead in Drinking Water by Differential Pulse Anodic Stripping Voltammetry</w:t>
      </w:r>
      <w:r w:rsidRPr="003B4362">
        <w:rPr>
          <w:szCs w:val="16"/>
        </w:rPr>
        <w:t>”,</w:t>
      </w:r>
      <w:r w:rsidRPr="003B4362">
        <w:rPr>
          <w:szCs w:val="22"/>
        </w:rPr>
        <w:t xml:space="preserve"> May 2020, Revision 1.1, referenced in Section 611.611.</w:t>
      </w:r>
    </w:p>
    <w:p w14:paraId="06E05834" w14:textId="77777777" w:rsidR="00AD24B5" w:rsidRPr="003B4362" w:rsidRDefault="00AD24B5" w:rsidP="00AD24B5">
      <w:pPr>
        <w:ind w:left="2880"/>
        <w:rPr>
          <w:szCs w:val="22"/>
        </w:rPr>
      </w:pPr>
      <w:r w:rsidRPr="003B4362">
        <w:rPr>
          <w:szCs w:val="22"/>
        </w:rPr>
        <w:t>BOARD NOTE:  Also available from USEPA, OGWDW (under “Inorganic Contaminants and Other Inorganic Constituents (PDF)”).</w:t>
      </w:r>
    </w:p>
    <w:p w14:paraId="67A47F6E" w14:textId="77777777" w:rsidR="00AD24B5" w:rsidRPr="003B4362" w:rsidRDefault="00AD24B5" w:rsidP="00AD24B5">
      <w:pPr>
        <w:ind w:left="2880"/>
        <w:rPr>
          <w:szCs w:val="22"/>
        </w:rPr>
      </w:pPr>
    </w:p>
    <w:p w14:paraId="2CB9962C" w14:textId="77777777" w:rsidR="00AD24B5" w:rsidRPr="003B4362" w:rsidRDefault="00AD24B5" w:rsidP="00AD24B5">
      <w:pPr>
        <w:ind w:left="2880"/>
        <w:rPr>
          <w:szCs w:val="22"/>
        </w:rPr>
      </w:pPr>
      <w:r w:rsidRPr="003B4362">
        <w:rPr>
          <w:szCs w:val="22"/>
        </w:rPr>
        <w:t>“Palintest ChlordioX Plus (13)” means “Chlorine Dioxide and Chlorite in Drinking Water by Amperometry using Disposable Sensors</w:t>
      </w:r>
      <w:r w:rsidRPr="003B4362">
        <w:rPr>
          <w:szCs w:val="16"/>
        </w:rPr>
        <w:t>”,</w:t>
      </w:r>
      <w:r w:rsidRPr="003B4362">
        <w:rPr>
          <w:szCs w:val="22"/>
        </w:rPr>
        <w:t xml:space="preserve"> November 2013, referenced in Sections 611.381 and 611.531.</w:t>
      </w:r>
    </w:p>
    <w:p w14:paraId="66C2EF72" w14:textId="77777777" w:rsidR="00AD24B5" w:rsidRPr="003B4362" w:rsidRDefault="00AD24B5" w:rsidP="00AD24B5">
      <w:pPr>
        <w:ind w:left="2880"/>
        <w:rPr>
          <w:szCs w:val="22"/>
        </w:rPr>
      </w:pPr>
      <w:r w:rsidRPr="003B4362">
        <w:rPr>
          <w:szCs w:val="22"/>
        </w:rPr>
        <w:t>BOARD NOTE:  Also available from</w:t>
      </w:r>
      <w:bookmarkStart w:id="244" w:name="_Hlk12294324"/>
      <w:r w:rsidRPr="003B4362">
        <w:rPr>
          <w:szCs w:val="22"/>
        </w:rPr>
        <w:t xml:space="preserve"> USEPA, OGWDW (under “Disinfection Byproduct Rules (PDF)”)</w:t>
      </w:r>
      <w:bookmarkEnd w:id="244"/>
      <w:r w:rsidRPr="003B4362">
        <w:rPr>
          <w:szCs w:val="22"/>
        </w:rPr>
        <w:t>.</w:t>
      </w:r>
    </w:p>
    <w:p w14:paraId="5F68E3F8" w14:textId="77777777" w:rsidR="00AD24B5" w:rsidRPr="003B4362" w:rsidRDefault="00AD24B5" w:rsidP="00AD24B5">
      <w:pPr>
        <w:ind w:left="2880"/>
        <w:rPr>
          <w:szCs w:val="22"/>
        </w:rPr>
      </w:pPr>
    </w:p>
    <w:p w14:paraId="55FE8F16" w14:textId="77777777" w:rsidR="00AD24B5" w:rsidRPr="003B4362" w:rsidRDefault="00AD24B5" w:rsidP="00AD24B5">
      <w:pPr>
        <w:ind w:left="2880"/>
        <w:rPr>
          <w:szCs w:val="22"/>
        </w:rPr>
      </w:pPr>
      <w:r w:rsidRPr="003B4362">
        <w:rPr>
          <w:szCs w:val="22"/>
        </w:rPr>
        <w:t>“Palintest ChlordioX Plus (20)” means “Chlorine Dioxide and Chlorite in Drinking Water by Amperometry using Disposable Sensors</w:t>
      </w:r>
      <w:r w:rsidRPr="003B4362">
        <w:rPr>
          <w:szCs w:val="16"/>
        </w:rPr>
        <w:t>”,</w:t>
      </w:r>
      <w:r w:rsidRPr="003B4362">
        <w:rPr>
          <w:szCs w:val="22"/>
        </w:rPr>
        <w:t xml:space="preserve"> Version 1.1 (February 2020), referenced in Sections 611.381 and 611.531.</w:t>
      </w:r>
    </w:p>
    <w:p w14:paraId="21C431B6" w14:textId="77777777" w:rsidR="00AD24B5" w:rsidRPr="003B4362" w:rsidRDefault="00AD24B5" w:rsidP="00AD24B5">
      <w:pPr>
        <w:suppressAutoHyphens/>
        <w:ind w:left="2880"/>
        <w:rPr>
          <w:szCs w:val="22"/>
        </w:rPr>
      </w:pPr>
    </w:p>
    <w:p w14:paraId="7EB3CA1C" w14:textId="77777777" w:rsidR="00AD24B5" w:rsidRPr="003B4362" w:rsidRDefault="00AD24B5" w:rsidP="00AD24B5">
      <w:pPr>
        <w:suppressAutoHyphens/>
        <w:ind w:left="2880"/>
        <w:rPr>
          <w:szCs w:val="22"/>
        </w:rPr>
      </w:pPr>
      <w:r w:rsidRPr="003B4362">
        <w:rPr>
          <w:szCs w:val="22"/>
        </w:rPr>
        <w:t>“Palintest ChloroSense (09)” means “Measurement of Free and Total Chlorine in Drinking Water by Palintest ChloroSense</w:t>
      </w:r>
      <w:r w:rsidRPr="003B4362">
        <w:rPr>
          <w:szCs w:val="16"/>
        </w:rPr>
        <w:t>”,</w:t>
      </w:r>
      <w:r w:rsidRPr="003B4362">
        <w:rPr>
          <w:szCs w:val="22"/>
        </w:rPr>
        <w:t xml:space="preserve"> September 2009, referenced in Sections 611.381 and 611.531.  BOARD NOTE:  Also available from NEMI</w:t>
      </w:r>
      <w:r w:rsidRPr="003B4362">
        <w:rPr>
          <w:szCs w:val="16"/>
        </w:rPr>
        <w:t xml:space="preserve"> and</w:t>
      </w:r>
      <w:r w:rsidRPr="003B4362">
        <w:rPr>
          <w:szCs w:val="22"/>
        </w:rPr>
        <w:t xml:space="preserve"> USEPA, OGWDW (under “Disinfection Byproduct Rules (PDF)”).</w:t>
      </w:r>
    </w:p>
    <w:p w14:paraId="525DA0D0" w14:textId="77777777" w:rsidR="00AD24B5" w:rsidRPr="003B4362" w:rsidRDefault="00AD24B5" w:rsidP="00AD24B5">
      <w:pPr>
        <w:suppressAutoHyphens/>
        <w:ind w:left="2880"/>
        <w:rPr>
          <w:szCs w:val="22"/>
        </w:rPr>
      </w:pPr>
    </w:p>
    <w:p w14:paraId="6CEF2327" w14:textId="77777777" w:rsidR="00AD24B5" w:rsidRPr="003B4362" w:rsidRDefault="00AD24B5" w:rsidP="00AD24B5">
      <w:pPr>
        <w:suppressAutoHyphens/>
        <w:ind w:left="2880"/>
        <w:rPr>
          <w:szCs w:val="22"/>
        </w:rPr>
      </w:pPr>
      <w:r w:rsidRPr="003B4362">
        <w:rPr>
          <w:szCs w:val="22"/>
        </w:rPr>
        <w:lastRenderedPageBreak/>
        <w:t>“Palintest ChloroSense (20)” means “Free and Total Chlorine in Drinking Water by Amperometry using disposable sensors</w:t>
      </w:r>
      <w:r w:rsidRPr="003B4362">
        <w:rPr>
          <w:szCs w:val="16"/>
        </w:rPr>
        <w:t>”,</w:t>
      </w:r>
      <w:r w:rsidRPr="003B4362">
        <w:rPr>
          <w:szCs w:val="22"/>
        </w:rPr>
        <w:t xml:space="preserve"> Revision 1.1 (February 2020), referenced in Sections 611.381 and 611.531.</w:t>
      </w:r>
    </w:p>
    <w:p w14:paraId="2D2475F9" w14:textId="77777777" w:rsidR="00AD24B5" w:rsidRPr="003B4362" w:rsidRDefault="00AD24B5" w:rsidP="00AD24B5">
      <w:pPr>
        <w:widowControl w:val="0"/>
        <w:suppressAutoHyphens/>
        <w:ind w:left="2160"/>
        <w:rPr>
          <w:szCs w:val="16"/>
        </w:rPr>
      </w:pPr>
    </w:p>
    <w:p w14:paraId="6ACE8D06" w14:textId="77777777" w:rsidR="00AD24B5" w:rsidRPr="003B4362" w:rsidRDefault="00AD24B5" w:rsidP="00AD24B5">
      <w:pPr>
        <w:widowControl w:val="0"/>
        <w:suppressAutoHyphens/>
        <w:ind w:left="2160"/>
        <w:rPr>
          <w:szCs w:val="22"/>
        </w:rPr>
      </w:pPr>
      <w:r w:rsidRPr="003B4362">
        <w:rPr>
          <w:szCs w:val="16"/>
        </w:rPr>
        <w:t>“</w:t>
      </w:r>
      <w:bookmarkStart w:id="245" w:name="_Hlk11766219"/>
      <w:r w:rsidRPr="003B4362">
        <w:rPr>
          <w:szCs w:val="16"/>
        </w:rPr>
        <w:t>QuikChem 10-204-00-1-X (00)</w:t>
      </w:r>
      <w:bookmarkEnd w:id="245"/>
      <w:r w:rsidRPr="003B4362">
        <w:rPr>
          <w:szCs w:val="16"/>
        </w:rPr>
        <w:t xml:space="preserve">” means “Digestion and distillation of total cyanide in drinking and wastewaters using MICRO DIST and determination of cyanide by flow injection analysis”, </w:t>
      </w:r>
      <w:r w:rsidRPr="003B4362">
        <w:rPr>
          <w:szCs w:val="22"/>
        </w:rPr>
        <w:t xml:space="preserve">Revision </w:t>
      </w:r>
      <w:r w:rsidRPr="003B4362">
        <w:rPr>
          <w:szCs w:val="16"/>
        </w:rPr>
        <w:t>2.1 (November 30, 2000</w:t>
      </w:r>
      <w:r w:rsidRPr="003B4362">
        <w:rPr>
          <w:szCs w:val="22"/>
        </w:rPr>
        <w:t xml:space="preserve">).  Available from </w:t>
      </w:r>
      <w:r w:rsidRPr="003B4362">
        <w:rPr>
          <w:szCs w:val="16"/>
        </w:rPr>
        <w:t xml:space="preserve">Lachat Instruments, 6645 W. Mill Rd., Milwaukee, WI  53218 </w:t>
      </w:r>
      <w:r w:rsidRPr="003B4362">
        <w:rPr>
          <w:szCs w:val="22"/>
        </w:rPr>
        <w:t>(</w:t>
      </w:r>
      <w:r w:rsidRPr="003B4362">
        <w:rPr>
          <w:szCs w:val="16"/>
        </w:rPr>
        <w:t>414–358–4200</w:t>
      </w:r>
      <w:r w:rsidRPr="003B4362">
        <w:rPr>
          <w:szCs w:val="22"/>
        </w:rPr>
        <w:t xml:space="preserve">) and </w:t>
      </w:r>
      <w:r w:rsidRPr="003B4362">
        <w:rPr>
          <w:szCs w:val="16"/>
        </w:rPr>
        <w:t xml:space="preserve">USEPA, OGWDW (under </w:t>
      </w:r>
      <w:bookmarkStart w:id="246" w:name="_Hlk12357262"/>
      <w:r w:rsidRPr="003B4362">
        <w:rPr>
          <w:szCs w:val="16"/>
        </w:rPr>
        <w:t>“Inorganic Contaminants and Other Inorganic Constituents (PDF)”</w:t>
      </w:r>
      <w:bookmarkEnd w:id="246"/>
      <w:r w:rsidRPr="003B4362">
        <w:rPr>
          <w:szCs w:val="16"/>
        </w:rPr>
        <w:t>).</w:t>
      </w:r>
      <w:r w:rsidRPr="003B4362">
        <w:rPr>
          <w:szCs w:val="22"/>
        </w:rPr>
        <w:t xml:space="preserve">  Referenced in Section 611.611</w:t>
      </w:r>
      <w:r w:rsidRPr="003B4362">
        <w:rPr>
          <w:szCs w:val="16"/>
        </w:rPr>
        <w:t>.</w:t>
      </w:r>
    </w:p>
    <w:p w14:paraId="11050888" w14:textId="77777777" w:rsidR="00AD24B5" w:rsidRPr="003B4362" w:rsidRDefault="00AD24B5" w:rsidP="00AD24B5">
      <w:pPr>
        <w:widowControl w:val="0"/>
        <w:suppressAutoHyphens/>
        <w:ind w:left="2160"/>
        <w:rPr>
          <w:szCs w:val="16"/>
        </w:rPr>
      </w:pPr>
    </w:p>
    <w:p w14:paraId="09250BDF" w14:textId="77777777" w:rsidR="00AD24B5" w:rsidRPr="003B4362" w:rsidRDefault="00AD24B5" w:rsidP="00AD24B5">
      <w:pPr>
        <w:widowControl w:val="0"/>
        <w:suppressAutoHyphens/>
        <w:ind w:left="2160"/>
        <w:rPr>
          <w:szCs w:val="22"/>
        </w:rPr>
      </w:pPr>
      <w:r w:rsidRPr="003B4362">
        <w:rPr>
          <w:szCs w:val="16"/>
        </w:rPr>
        <w:t xml:space="preserve">“RAPID’E. coli (20)” means “Simultaneous Detection of Total Coliform Bacteria and </w:t>
      </w:r>
      <w:r w:rsidRPr="003B4362">
        <w:rPr>
          <w:iCs/>
          <w:szCs w:val="16"/>
        </w:rPr>
        <w:t xml:space="preserve">Escherichia coli Using RAPID’E. coli 2 (REC2) </w:t>
      </w:r>
      <w:r w:rsidRPr="003B4362">
        <w:rPr>
          <w:szCs w:val="16"/>
        </w:rPr>
        <w:t>in Drinking Water” (May 2020).  Available from Bio-Rad Laboratories, 2000 Nobel Drive, Hercules, California  94547.</w:t>
      </w:r>
      <w:r w:rsidRPr="003B4362">
        <w:rPr>
          <w:szCs w:val="22"/>
        </w:rPr>
        <w:t xml:space="preserve">  Referenced in Sections 611.802</w:t>
      </w:r>
      <w:r w:rsidRPr="003B4362">
        <w:rPr>
          <w:szCs w:val="16"/>
        </w:rPr>
        <w:t xml:space="preserve"> and 611.1052.</w:t>
      </w:r>
    </w:p>
    <w:p w14:paraId="6D4521E8" w14:textId="77777777" w:rsidR="00AD24B5" w:rsidRPr="003B4362" w:rsidRDefault="00AD24B5" w:rsidP="00AD24B5">
      <w:pPr>
        <w:widowControl w:val="0"/>
        <w:suppressAutoHyphens/>
        <w:ind w:left="2160"/>
        <w:rPr>
          <w:szCs w:val="16"/>
        </w:rPr>
      </w:pPr>
    </w:p>
    <w:p w14:paraId="1032AE74" w14:textId="77777777" w:rsidR="00AD24B5" w:rsidRPr="003B4362" w:rsidRDefault="00AD24B5" w:rsidP="00AD24B5">
      <w:pPr>
        <w:widowControl w:val="0"/>
        <w:suppressAutoHyphens/>
        <w:ind w:left="2160"/>
        <w:rPr>
          <w:szCs w:val="22"/>
        </w:rPr>
      </w:pPr>
      <w:r w:rsidRPr="003B4362">
        <w:rPr>
          <w:szCs w:val="16"/>
        </w:rPr>
        <w:t>“</w:t>
      </w:r>
      <w:bookmarkStart w:id="247" w:name="_Hlk11766359"/>
      <w:r w:rsidRPr="003B4362">
        <w:rPr>
          <w:szCs w:val="16"/>
        </w:rPr>
        <w:t>Readycult</w:t>
      </w:r>
      <w:r w:rsidRPr="003B4362">
        <w:rPr>
          <w:szCs w:val="22"/>
          <w:vertAlign w:val="superscript"/>
        </w:rPr>
        <w:t>®</w:t>
      </w:r>
      <w:r w:rsidRPr="003B4362">
        <w:rPr>
          <w:szCs w:val="16"/>
        </w:rPr>
        <w:t xml:space="preserve"> (07)</w:t>
      </w:r>
      <w:bookmarkEnd w:id="247"/>
      <w:r w:rsidRPr="003B4362">
        <w:rPr>
          <w:szCs w:val="16"/>
        </w:rPr>
        <w:t xml:space="preserve">” means “Readycult Coliforms 100 Presence/Absence Test for Detection and Identification of Coliform Bacteria and </w:t>
      </w:r>
      <w:r w:rsidRPr="003B4362">
        <w:rPr>
          <w:iCs/>
          <w:szCs w:val="16"/>
        </w:rPr>
        <w:t xml:space="preserve">Escherichia coli </w:t>
      </w:r>
      <w:r w:rsidRPr="003B4362">
        <w:rPr>
          <w:szCs w:val="16"/>
        </w:rPr>
        <w:t xml:space="preserve">in Finished Waters”, Version 1.1 (January 2007).  Available from </w:t>
      </w:r>
      <w:bookmarkStart w:id="248" w:name="_Hlk5209149"/>
      <w:r w:rsidRPr="003B4362">
        <w:rPr>
          <w:szCs w:val="16"/>
        </w:rPr>
        <w:t>EMD Millipore (division of Merck KGgA, Darmstadt, Germany), 290 Concord Road, Billerica, MA  01821 (800-645-5476 or 781-533-6000) and USEPA, OGWDW (under “Ground Water Rule (PDF)” and “Revised Total Coliforms Rules (PDF)”).</w:t>
      </w:r>
      <w:bookmarkEnd w:id="248"/>
      <w:r w:rsidRPr="003B4362">
        <w:rPr>
          <w:szCs w:val="22"/>
        </w:rPr>
        <w:t xml:space="preserve">  Referenced in Sections 611.802</w:t>
      </w:r>
      <w:r w:rsidRPr="003B4362">
        <w:rPr>
          <w:szCs w:val="16"/>
        </w:rPr>
        <w:t xml:space="preserve"> and 611.1052.</w:t>
      </w:r>
    </w:p>
    <w:p w14:paraId="035B64A5" w14:textId="77777777" w:rsidR="00AD24B5" w:rsidRPr="003B4362" w:rsidRDefault="00AD24B5" w:rsidP="00AD24B5">
      <w:pPr>
        <w:widowControl w:val="0"/>
        <w:suppressAutoHyphens/>
        <w:ind w:left="2160"/>
        <w:rPr>
          <w:szCs w:val="16"/>
        </w:rPr>
      </w:pPr>
    </w:p>
    <w:p w14:paraId="6430D2E0" w14:textId="77777777" w:rsidR="00AD24B5" w:rsidRPr="003B4362" w:rsidRDefault="00AD24B5" w:rsidP="00AD24B5">
      <w:pPr>
        <w:widowControl w:val="0"/>
        <w:suppressAutoHyphens/>
        <w:ind w:left="2160"/>
        <w:rPr>
          <w:szCs w:val="16"/>
        </w:rPr>
      </w:pPr>
      <w:r w:rsidRPr="003B4362">
        <w:rPr>
          <w:szCs w:val="16"/>
        </w:rPr>
        <w:t>“</w:t>
      </w:r>
      <w:bookmarkStart w:id="249" w:name="_Hlk11766517"/>
      <w:r w:rsidRPr="003B4362">
        <w:rPr>
          <w:szCs w:val="16"/>
        </w:rPr>
        <w:t>SimPlate (00)</w:t>
      </w:r>
      <w:bookmarkEnd w:id="249"/>
      <w:r w:rsidRPr="003B4362">
        <w:rPr>
          <w:szCs w:val="16"/>
        </w:rPr>
        <w:t>” means “IDEXX SimPlate™ HPC Test Method for Heterotrophs in Water” (November 29, 2000</w:t>
      </w:r>
      <w:r w:rsidRPr="003B4362">
        <w:rPr>
          <w:szCs w:val="22"/>
        </w:rPr>
        <w:t xml:space="preserve">).  Available  from </w:t>
      </w:r>
      <w:r w:rsidRPr="003B4362">
        <w:rPr>
          <w:szCs w:val="16"/>
        </w:rPr>
        <w:t xml:space="preserve">IDEXX Laboratories, Inc., One IDEXX Drive, Westbrook, Maine  04092 </w:t>
      </w:r>
      <w:r w:rsidRPr="003B4362">
        <w:rPr>
          <w:szCs w:val="22"/>
        </w:rPr>
        <w:t>(</w:t>
      </w:r>
      <w:r w:rsidRPr="003B4362">
        <w:rPr>
          <w:szCs w:val="16"/>
        </w:rPr>
        <w:t>800-548-6733</w:t>
      </w:r>
      <w:r w:rsidRPr="003B4362">
        <w:rPr>
          <w:szCs w:val="22"/>
        </w:rPr>
        <w:t>)</w:t>
      </w:r>
      <w:r w:rsidRPr="003B4362">
        <w:rPr>
          <w:szCs w:val="16"/>
        </w:rPr>
        <w:t>.</w:t>
      </w:r>
      <w:r w:rsidRPr="003B4362">
        <w:rPr>
          <w:szCs w:val="22"/>
        </w:rPr>
        <w:t xml:space="preserve">  Referenced in Section 611.531</w:t>
      </w:r>
      <w:r w:rsidRPr="003B4362">
        <w:rPr>
          <w:szCs w:val="16"/>
        </w:rPr>
        <w:t>.</w:t>
      </w:r>
    </w:p>
    <w:p w14:paraId="4016B969" w14:textId="77777777" w:rsidR="00AD24B5" w:rsidRPr="003B4362" w:rsidRDefault="00AD24B5" w:rsidP="00AD24B5">
      <w:pPr>
        <w:ind w:left="2160"/>
        <w:rPr>
          <w:szCs w:val="22"/>
        </w:rPr>
      </w:pPr>
    </w:p>
    <w:p w14:paraId="42D3C969" w14:textId="77777777" w:rsidR="00AD24B5" w:rsidRDefault="00AD24B5" w:rsidP="00AD24B5">
      <w:pPr>
        <w:ind w:left="2160"/>
        <w:rPr>
          <w:szCs w:val="22"/>
        </w:rPr>
      </w:pPr>
      <w:r w:rsidRPr="003B4362">
        <w:rPr>
          <w:szCs w:val="22"/>
        </w:rPr>
        <w:t xml:space="preserve">SM Methods.  Approved as the version in the indicated editions of “Standard Methods for the Examination of Water and Wastewater”. Available from the American Public Health Association, 800 I Street NW, Washington, DC  20005, 202-777-2742; American Water Works Association, 6666 West Quincy Ave., Denver, CO 80235, 303-794-7711, </w:t>
      </w:r>
      <w:hyperlink r:id="rId14" w:history="1">
        <w:r w:rsidRPr="00BB356D">
          <w:rPr>
            <w:rStyle w:val="Hyperlink"/>
            <w:szCs w:val="22"/>
          </w:rPr>
          <w:t>https://www.awwa.org/Publications/Standard-Methods</w:t>
        </w:r>
      </w:hyperlink>
      <w:r w:rsidRPr="003B4362">
        <w:rPr>
          <w:szCs w:val="22"/>
        </w:rPr>
        <w:t xml:space="preserve">; Water Environment Federation, 601 Wythe Street, Alexandria, VA  22314, 800-666-0206, www.wef.org; or Standard Methods Online, 800-633-4931, </w:t>
      </w:r>
      <w:hyperlink r:id="rId15" w:history="1">
        <w:r w:rsidRPr="00857C4F">
          <w:rPr>
            <w:rStyle w:val="Hyperlink"/>
            <w:szCs w:val="22"/>
          </w:rPr>
          <w:t>www.standardmethods.org</w:t>
        </w:r>
      </w:hyperlink>
      <w:r w:rsidRPr="003B4362">
        <w:rPr>
          <w:szCs w:val="22"/>
        </w:rPr>
        <w:t>.</w:t>
      </w:r>
    </w:p>
    <w:p w14:paraId="51E299EF" w14:textId="77777777" w:rsidR="00AD24B5" w:rsidRPr="003B4362" w:rsidRDefault="00AD24B5" w:rsidP="00AD24B5">
      <w:pPr>
        <w:ind w:left="2160"/>
        <w:rPr>
          <w:szCs w:val="22"/>
        </w:rPr>
      </w:pPr>
    </w:p>
    <w:p w14:paraId="7D384907" w14:textId="77777777" w:rsidR="00AD24B5" w:rsidRPr="003B4362" w:rsidRDefault="00AD24B5" w:rsidP="00AD24B5">
      <w:pPr>
        <w:ind w:left="2160"/>
        <w:rPr>
          <w:szCs w:val="22"/>
        </w:rPr>
      </w:pPr>
      <w:r w:rsidRPr="003B4362">
        <w:rPr>
          <w:szCs w:val="22"/>
        </w:rPr>
        <w:t>BOARD NOTE:  T</w:t>
      </w:r>
      <w:bookmarkStart w:id="250" w:name="_Hlk129644867"/>
      <w:r w:rsidRPr="003B4362">
        <w:rPr>
          <w:szCs w:val="22"/>
        </w:rPr>
        <w:t>he Board did not separately list versions of methods</w:t>
      </w:r>
      <w:bookmarkEnd w:id="250"/>
      <w:r w:rsidRPr="003B4362">
        <w:rPr>
          <w:szCs w:val="22"/>
        </w:rPr>
        <w:t xml:space="preserve"> from Standard Methods Online </w:t>
      </w:r>
      <w:bookmarkStart w:id="251" w:name="_Hlk129644929"/>
      <w:r w:rsidRPr="003B4362">
        <w:rPr>
          <w:szCs w:val="22"/>
        </w:rPr>
        <w:t>also appearing in a printed edition</w:t>
      </w:r>
      <w:bookmarkEnd w:id="251"/>
      <w:r w:rsidRPr="003B4362">
        <w:rPr>
          <w:szCs w:val="22"/>
        </w:rPr>
        <w:t xml:space="preserve">.  </w:t>
      </w:r>
      <w:bookmarkStart w:id="252" w:name="_Hlk129645036"/>
      <w:r w:rsidRPr="003B4362">
        <w:rPr>
          <w:szCs w:val="22"/>
        </w:rPr>
        <w:t xml:space="preserve">Using </w:t>
      </w:r>
      <w:r w:rsidRPr="003B4362">
        <w:rPr>
          <w:szCs w:val="22"/>
        </w:rPr>
        <w:lastRenderedPageBreak/>
        <w:t xml:space="preserve">a method in the approved version as available </w:t>
      </w:r>
      <w:bookmarkEnd w:id="252"/>
      <w:r w:rsidRPr="003B4362">
        <w:rPr>
          <w:szCs w:val="22"/>
        </w:rPr>
        <w:t>from Standard Methods Online is acceptable.</w:t>
      </w:r>
    </w:p>
    <w:p w14:paraId="73567E43" w14:textId="77777777" w:rsidR="00AD24B5" w:rsidRPr="003B4362" w:rsidRDefault="00AD24B5" w:rsidP="00AD24B5">
      <w:pPr>
        <w:ind w:left="2880"/>
        <w:rPr>
          <w:szCs w:val="22"/>
        </w:rPr>
      </w:pPr>
    </w:p>
    <w:p w14:paraId="5836BFC2" w14:textId="77777777" w:rsidR="00AD24B5" w:rsidRPr="003B4362" w:rsidRDefault="00AD24B5" w:rsidP="00AD24B5">
      <w:pPr>
        <w:ind w:left="2880"/>
        <w:rPr>
          <w:szCs w:val="22"/>
        </w:rPr>
      </w:pPr>
      <w:r w:rsidRPr="003B4362">
        <w:rPr>
          <w:szCs w:val="22"/>
        </w:rPr>
        <w:t>“SM 302</w:t>
      </w:r>
      <w:bookmarkStart w:id="253" w:name="_Hlk15387932"/>
      <w:r w:rsidRPr="003B4362">
        <w:rPr>
          <w:szCs w:val="22"/>
        </w:rPr>
        <w:t xml:space="preserve"> (71)</w:t>
      </w:r>
      <w:bookmarkEnd w:id="253"/>
      <w:r w:rsidRPr="003B4362">
        <w:rPr>
          <w:szCs w:val="22"/>
        </w:rPr>
        <w:t>” means Method 302, “Gross Alpha and Gross Beta Radioactivity in Water (Total, Suspended, and Dissolved)”, only the version in the 13th edition.  Referenced in Section 611.720.</w:t>
      </w:r>
    </w:p>
    <w:p w14:paraId="47675336" w14:textId="77777777" w:rsidR="00AD24B5" w:rsidRPr="003B4362" w:rsidRDefault="00AD24B5" w:rsidP="00AD24B5">
      <w:pPr>
        <w:ind w:left="2880"/>
        <w:rPr>
          <w:szCs w:val="22"/>
        </w:rPr>
      </w:pPr>
    </w:p>
    <w:p w14:paraId="61F0215F" w14:textId="77777777" w:rsidR="00AD24B5" w:rsidRPr="003B4362" w:rsidRDefault="00AD24B5" w:rsidP="00AD24B5">
      <w:pPr>
        <w:ind w:left="2880"/>
        <w:rPr>
          <w:szCs w:val="22"/>
        </w:rPr>
      </w:pPr>
      <w:r w:rsidRPr="003B4362">
        <w:rPr>
          <w:szCs w:val="22"/>
        </w:rPr>
        <w:t>“SM 303 (71)” means Method 303, “Total Radioactive Strontium and Strontium 90 in Water”, only the version in the 13th edition.  Referenced in Section 611.720.</w:t>
      </w:r>
    </w:p>
    <w:p w14:paraId="543D22C9" w14:textId="77777777" w:rsidR="00AD24B5" w:rsidRPr="003B4362" w:rsidRDefault="00AD24B5" w:rsidP="00AD24B5">
      <w:pPr>
        <w:ind w:left="2880"/>
        <w:rPr>
          <w:szCs w:val="22"/>
        </w:rPr>
      </w:pPr>
    </w:p>
    <w:p w14:paraId="486C5ABA" w14:textId="77777777" w:rsidR="00AD24B5" w:rsidRPr="003B4362" w:rsidRDefault="00AD24B5" w:rsidP="00AD24B5">
      <w:pPr>
        <w:ind w:left="2880"/>
        <w:rPr>
          <w:szCs w:val="22"/>
        </w:rPr>
      </w:pPr>
      <w:r w:rsidRPr="003B4362">
        <w:rPr>
          <w:szCs w:val="22"/>
        </w:rPr>
        <w:t>“SM 304 (71)” means Method 304, “Radium in Water by Precipitation”, only the version in the 13th edition.  Referenced in Section 611.720.</w:t>
      </w:r>
    </w:p>
    <w:p w14:paraId="7FE16603" w14:textId="77777777" w:rsidR="00AD24B5" w:rsidRPr="003B4362" w:rsidRDefault="00AD24B5" w:rsidP="00AD24B5">
      <w:pPr>
        <w:ind w:left="2880"/>
        <w:rPr>
          <w:szCs w:val="22"/>
        </w:rPr>
      </w:pPr>
    </w:p>
    <w:p w14:paraId="05137622" w14:textId="77777777" w:rsidR="00AD24B5" w:rsidRPr="003B4362" w:rsidRDefault="00AD24B5" w:rsidP="00AD24B5">
      <w:pPr>
        <w:ind w:left="2880"/>
        <w:rPr>
          <w:szCs w:val="22"/>
        </w:rPr>
      </w:pPr>
      <w:r w:rsidRPr="003B4362">
        <w:rPr>
          <w:szCs w:val="22"/>
        </w:rPr>
        <w:t>“SM 305 (71)” means Method 305, “Radium 226 by Radon in Water (Soluble, Suspended, and Total)”, only the version in the 13th edition.  Referenced in Section 611.720.</w:t>
      </w:r>
    </w:p>
    <w:p w14:paraId="56A79F56" w14:textId="77777777" w:rsidR="00AD24B5" w:rsidRPr="003B4362" w:rsidRDefault="00AD24B5" w:rsidP="00AD24B5">
      <w:pPr>
        <w:ind w:left="2880"/>
        <w:rPr>
          <w:szCs w:val="22"/>
        </w:rPr>
      </w:pPr>
    </w:p>
    <w:p w14:paraId="77988DCA" w14:textId="77777777" w:rsidR="00AD24B5" w:rsidRPr="003B4362" w:rsidRDefault="00AD24B5" w:rsidP="00AD24B5">
      <w:pPr>
        <w:ind w:left="2880"/>
        <w:rPr>
          <w:szCs w:val="22"/>
        </w:rPr>
      </w:pPr>
      <w:r w:rsidRPr="003B4362">
        <w:rPr>
          <w:szCs w:val="22"/>
        </w:rPr>
        <w:t>“SM 306 (71)” means Method 306, “Tritium in Water”, in “Standard Methods for the Examination of Water and Wastewater”, only the version in the 13th edition.  Referenced in Section 611.720.</w:t>
      </w:r>
    </w:p>
    <w:p w14:paraId="32847FA3" w14:textId="77777777" w:rsidR="00AD24B5" w:rsidRPr="003B4362" w:rsidRDefault="00AD24B5" w:rsidP="00AD24B5">
      <w:pPr>
        <w:ind w:left="2880"/>
        <w:rPr>
          <w:szCs w:val="22"/>
        </w:rPr>
      </w:pPr>
    </w:p>
    <w:p w14:paraId="2021506E" w14:textId="77777777" w:rsidR="00AD24B5" w:rsidRPr="003B4362" w:rsidRDefault="00AD24B5" w:rsidP="00AD24B5">
      <w:pPr>
        <w:ind w:left="2880"/>
        <w:rPr>
          <w:szCs w:val="22"/>
        </w:rPr>
      </w:pPr>
      <w:r w:rsidRPr="003B4362">
        <w:rPr>
          <w:szCs w:val="22"/>
        </w:rPr>
        <w:t>“SM 2130 B (88)” means Method 2130 B, “Turbidity”, “Nephelometric Method”, only the version in the 18th edition.  Referenced in Section 611.531.</w:t>
      </w:r>
    </w:p>
    <w:p w14:paraId="391758FD" w14:textId="77777777" w:rsidR="00AD24B5" w:rsidRPr="003B4362" w:rsidRDefault="00AD24B5" w:rsidP="00AD24B5">
      <w:pPr>
        <w:ind w:left="2880"/>
        <w:rPr>
          <w:szCs w:val="22"/>
        </w:rPr>
      </w:pPr>
    </w:p>
    <w:p w14:paraId="4FBDB142" w14:textId="77777777" w:rsidR="00AD24B5" w:rsidRPr="003B4362" w:rsidRDefault="00AD24B5" w:rsidP="00AD24B5">
      <w:pPr>
        <w:ind w:left="2880"/>
        <w:rPr>
          <w:szCs w:val="22"/>
        </w:rPr>
      </w:pPr>
      <w:r w:rsidRPr="003B4362">
        <w:rPr>
          <w:szCs w:val="22"/>
        </w:rPr>
        <w:t>“SM 2130 B (94)” means Method 2130 B, “Turbidity”, “Nephelometric Method”, only the version in the 19th and 20th editions.  Referenced in Section 611.531.</w:t>
      </w:r>
    </w:p>
    <w:p w14:paraId="3B461887" w14:textId="77777777" w:rsidR="00AD24B5" w:rsidRPr="003B4362" w:rsidRDefault="00AD24B5" w:rsidP="00AD24B5">
      <w:pPr>
        <w:ind w:left="2880"/>
        <w:rPr>
          <w:szCs w:val="22"/>
        </w:rPr>
      </w:pPr>
    </w:p>
    <w:p w14:paraId="0B27CDEF" w14:textId="77777777" w:rsidR="00AD24B5" w:rsidRPr="003B4362" w:rsidRDefault="00AD24B5" w:rsidP="00AD24B5">
      <w:pPr>
        <w:ind w:left="2880"/>
        <w:rPr>
          <w:szCs w:val="22"/>
        </w:rPr>
      </w:pPr>
      <w:r w:rsidRPr="003B4362">
        <w:rPr>
          <w:szCs w:val="22"/>
        </w:rPr>
        <w:t>“SM 2130 B (01)” means Method 2130 B, “Turbidity”, “Nephelometric Method”, only the version in the 21st, 22nd, and 23rd editions.  Referenced in Section 611.531.</w:t>
      </w:r>
    </w:p>
    <w:p w14:paraId="111409F7" w14:textId="77777777" w:rsidR="00AD24B5" w:rsidRPr="003B4362" w:rsidRDefault="00AD24B5" w:rsidP="00AD24B5">
      <w:pPr>
        <w:ind w:left="2880"/>
        <w:rPr>
          <w:szCs w:val="22"/>
        </w:rPr>
      </w:pPr>
    </w:p>
    <w:p w14:paraId="48CF0ECA" w14:textId="77777777" w:rsidR="00AD24B5" w:rsidRPr="003B4362" w:rsidRDefault="00AD24B5" w:rsidP="00AD24B5">
      <w:pPr>
        <w:ind w:left="2880"/>
        <w:rPr>
          <w:szCs w:val="22"/>
        </w:rPr>
      </w:pPr>
      <w:r w:rsidRPr="003B4362">
        <w:rPr>
          <w:szCs w:val="22"/>
        </w:rPr>
        <w:t>“SM 2320 B (91)” means Method 2320 B, “</w:t>
      </w:r>
      <w:r w:rsidRPr="003B4362">
        <w:rPr>
          <w:szCs w:val="24"/>
        </w:rPr>
        <w:t xml:space="preserve">Alkalinity”, “Titration Method”, </w:t>
      </w:r>
      <w:r w:rsidRPr="003B4362">
        <w:rPr>
          <w:szCs w:val="22"/>
        </w:rPr>
        <w:t>only the version in the 18th and 19th editions.  Referenced in Section 611.611.</w:t>
      </w:r>
    </w:p>
    <w:p w14:paraId="4A772EDA" w14:textId="77777777" w:rsidR="00AD24B5" w:rsidRPr="003B4362" w:rsidRDefault="00AD24B5" w:rsidP="00AD24B5">
      <w:pPr>
        <w:ind w:left="2880"/>
        <w:rPr>
          <w:szCs w:val="22"/>
        </w:rPr>
      </w:pPr>
    </w:p>
    <w:p w14:paraId="594D485F" w14:textId="77777777" w:rsidR="00AD24B5" w:rsidRPr="003B4362" w:rsidRDefault="00AD24B5" w:rsidP="00AD24B5">
      <w:pPr>
        <w:ind w:left="2880"/>
        <w:rPr>
          <w:szCs w:val="22"/>
        </w:rPr>
      </w:pPr>
      <w:r w:rsidRPr="003B4362">
        <w:rPr>
          <w:szCs w:val="22"/>
        </w:rPr>
        <w:t>“SM 2320 B (97)” means Method 2320 B, “</w:t>
      </w:r>
      <w:r w:rsidRPr="003B4362">
        <w:rPr>
          <w:szCs w:val="24"/>
        </w:rPr>
        <w:t xml:space="preserve">Alkalinity”, “Titration Method”, </w:t>
      </w:r>
      <w:r w:rsidRPr="003B4362">
        <w:rPr>
          <w:szCs w:val="22"/>
        </w:rPr>
        <w:t>only the version in the 20th, 21st, 22nd, and 23rd editions.  Referenced in Section 611.611.</w:t>
      </w:r>
    </w:p>
    <w:p w14:paraId="04DE42ED" w14:textId="77777777" w:rsidR="00AD24B5" w:rsidRPr="003B4362" w:rsidRDefault="00AD24B5" w:rsidP="00AD24B5">
      <w:pPr>
        <w:ind w:left="2880"/>
        <w:rPr>
          <w:szCs w:val="22"/>
        </w:rPr>
      </w:pPr>
    </w:p>
    <w:p w14:paraId="5DBA2C7A" w14:textId="77777777" w:rsidR="00AD24B5" w:rsidRPr="003B4362" w:rsidRDefault="00AD24B5" w:rsidP="00AD24B5">
      <w:pPr>
        <w:ind w:left="2880"/>
        <w:rPr>
          <w:szCs w:val="22"/>
        </w:rPr>
      </w:pPr>
      <w:r w:rsidRPr="003B4362">
        <w:rPr>
          <w:szCs w:val="22"/>
        </w:rPr>
        <w:lastRenderedPageBreak/>
        <w:t>“SM 2510 B (91)” means Method 2510 B, “</w:t>
      </w:r>
      <w:r w:rsidRPr="003B4362">
        <w:rPr>
          <w:szCs w:val="24"/>
        </w:rPr>
        <w:t xml:space="preserve">Conductivity”, “Laboratory Method”, </w:t>
      </w:r>
      <w:r w:rsidRPr="003B4362">
        <w:rPr>
          <w:szCs w:val="22"/>
        </w:rPr>
        <w:t>only the version in the 18th and 19th editions.  Referenced in Section 611.611.</w:t>
      </w:r>
    </w:p>
    <w:p w14:paraId="4A492EDE" w14:textId="77777777" w:rsidR="00AD24B5" w:rsidRPr="003B4362" w:rsidRDefault="00AD24B5" w:rsidP="00AD24B5">
      <w:pPr>
        <w:ind w:left="2880"/>
        <w:rPr>
          <w:szCs w:val="22"/>
        </w:rPr>
      </w:pPr>
    </w:p>
    <w:p w14:paraId="7497DFB9" w14:textId="77777777" w:rsidR="00AD24B5" w:rsidRPr="003B4362" w:rsidRDefault="00AD24B5" w:rsidP="00AD24B5">
      <w:pPr>
        <w:ind w:left="2880"/>
        <w:rPr>
          <w:szCs w:val="22"/>
        </w:rPr>
      </w:pPr>
      <w:r w:rsidRPr="003B4362">
        <w:rPr>
          <w:szCs w:val="22"/>
        </w:rPr>
        <w:t>“SM 2510 B (97)” means Method 2510 B, “</w:t>
      </w:r>
      <w:r w:rsidRPr="003B4362">
        <w:rPr>
          <w:szCs w:val="24"/>
        </w:rPr>
        <w:t xml:space="preserve">Conductivity”, “Laboratory Method”, </w:t>
      </w:r>
      <w:r w:rsidRPr="003B4362">
        <w:rPr>
          <w:szCs w:val="22"/>
        </w:rPr>
        <w:t>only the version in the 20th, 21st, 22nd, and 23rd editions.  Referenced in Section 611.611.</w:t>
      </w:r>
    </w:p>
    <w:p w14:paraId="016EBDB0" w14:textId="77777777" w:rsidR="00AD24B5" w:rsidRPr="003B4362" w:rsidRDefault="00AD24B5" w:rsidP="00AD24B5">
      <w:pPr>
        <w:widowControl w:val="0"/>
        <w:suppressAutoHyphens/>
        <w:ind w:left="2880"/>
        <w:rPr>
          <w:szCs w:val="22"/>
        </w:rPr>
      </w:pPr>
    </w:p>
    <w:p w14:paraId="106FB79F" w14:textId="77777777" w:rsidR="00AD24B5" w:rsidRPr="003B4362" w:rsidRDefault="00AD24B5" w:rsidP="00AD24B5">
      <w:pPr>
        <w:widowControl w:val="0"/>
        <w:suppressAutoHyphens/>
        <w:ind w:left="2880"/>
        <w:rPr>
          <w:szCs w:val="22"/>
        </w:rPr>
      </w:pPr>
      <w:r w:rsidRPr="003B4362">
        <w:rPr>
          <w:szCs w:val="22"/>
        </w:rPr>
        <w:t>“SM 2550 (88)” means Method 2550, “Temperature, Laboratory and Field Methods”, only the version in the 18th edition.  Referenced in Section 611.611.</w:t>
      </w:r>
    </w:p>
    <w:p w14:paraId="28E40876" w14:textId="77777777" w:rsidR="00AD24B5" w:rsidRPr="003B4362" w:rsidRDefault="00AD24B5" w:rsidP="00AD24B5">
      <w:pPr>
        <w:widowControl w:val="0"/>
        <w:suppressAutoHyphens/>
        <w:ind w:left="2880"/>
        <w:rPr>
          <w:szCs w:val="22"/>
        </w:rPr>
      </w:pPr>
    </w:p>
    <w:p w14:paraId="4F255099" w14:textId="77777777" w:rsidR="00AD24B5" w:rsidRPr="003B4362" w:rsidRDefault="00AD24B5" w:rsidP="00AD24B5">
      <w:pPr>
        <w:widowControl w:val="0"/>
        <w:suppressAutoHyphens/>
        <w:ind w:left="2880"/>
        <w:rPr>
          <w:szCs w:val="22"/>
        </w:rPr>
      </w:pPr>
      <w:r w:rsidRPr="003B4362">
        <w:rPr>
          <w:szCs w:val="22"/>
        </w:rPr>
        <w:t>“SM 2550 (93)” means Method 2550, “Temperature, Laboratory and Field Methods”, only the version in the 19th and 20th editions.  Referenced in Section 611.611.</w:t>
      </w:r>
    </w:p>
    <w:p w14:paraId="6591E8D7" w14:textId="77777777" w:rsidR="00AD24B5" w:rsidRPr="003B4362" w:rsidRDefault="00AD24B5" w:rsidP="00AD24B5">
      <w:pPr>
        <w:widowControl w:val="0"/>
        <w:suppressAutoHyphens/>
        <w:ind w:left="2880"/>
        <w:rPr>
          <w:szCs w:val="22"/>
        </w:rPr>
      </w:pPr>
    </w:p>
    <w:p w14:paraId="299E6DCD" w14:textId="77777777" w:rsidR="00AD24B5" w:rsidRPr="003B4362" w:rsidRDefault="00AD24B5" w:rsidP="00AD24B5">
      <w:pPr>
        <w:widowControl w:val="0"/>
        <w:suppressAutoHyphens/>
        <w:ind w:left="2880"/>
        <w:rPr>
          <w:szCs w:val="22"/>
        </w:rPr>
      </w:pPr>
      <w:r w:rsidRPr="003B4362">
        <w:rPr>
          <w:szCs w:val="22"/>
        </w:rPr>
        <w:t>“SM 2550 (00)” means Method 2550, “Temperature, Laboratory and Field Methods”, only the version in the 21st edition.  Referenced in Section 611.611.</w:t>
      </w:r>
    </w:p>
    <w:p w14:paraId="3DE72851" w14:textId="77777777" w:rsidR="00AD24B5" w:rsidRPr="003B4362" w:rsidRDefault="00AD24B5" w:rsidP="00AD24B5">
      <w:pPr>
        <w:widowControl w:val="0"/>
        <w:suppressAutoHyphens/>
        <w:ind w:left="2880"/>
        <w:rPr>
          <w:szCs w:val="22"/>
        </w:rPr>
      </w:pPr>
    </w:p>
    <w:p w14:paraId="680272E8" w14:textId="77777777" w:rsidR="00AD24B5" w:rsidRPr="003B4362" w:rsidRDefault="00AD24B5" w:rsidP="00AD24B5">
      <w:pPr>
        <w:widowControl w:val="0"/>
        <w:suppressAutoHyphens/>
        <w:ind w:left="2880"/>
        <w:rPr>
          <w:szCs w:val="22"/>
        </w:rPr>
      </w:pPr>
      <w:r w:rsidRPr="003B4362">
        <w:rPr>
          <w:szCs w:val="22"/>
        </w:rPr>
        <w:t>“SM 2550 (10)” means Method 2550, “Temperature, Laboratory and Field Methods”, only the version in the 22nd and 23rd editions.  Referenced in Section 611.611.</w:t>
      </w:r>
    </w:p>
    <w:p w14:paraId="40FF130F" w14:textId="77777777" w:rsidR="00AD24B5" w:rsidRPr="003B4362" w:rsidRDefault="00AD24B5" w:rsidP="00AD24B5">
      <w:pPr>
        <w:widowControl w:val="0"/>
        <w:suppressAutoHyphens/>
        <w:ind w:left="2880"/>
        <w:rPr>
          <w:szCs w:val="22"/>
        </w:rPr>
      </w:pPr>
    </w:p>
    <w:p w14:paraId="148B0C0E" w14:textId="77777777" w:rsidR="00AD24B5" w:rsidRPr="003B4362" w:rsidRDefault="00AD24B5" w:rsidP="00AD24B5">
      <w:pPr>
        <w:widowControl w:val="0"/>
        <w:suppressAutoHyphens/>
        <w:ind w:left="2880"/>
        <w:rPr>
          <w:szCs w:val="22"/>
        </w:rPr>
      </w:pPr>
      <w:r w:rsidRPr="003B4362">
        <w:rPr>
          <w:szCs w:val="22"/>
        </w:rPr>
        <w:t>“SM 3111 B (89)” means Method 3111 B, “Metals by Flame Atomic Absorption Spectrometry”, “Direct Air-Acetylene Flame Method”, only the version in the 18th edition.  Referenced in Sections 611.611 and 611.612.</w:t>
      </w:r>
    </w:p>
    <w:p w14:paraId="355A3440" w14:textId="77777777" w:rsidR="00AD24B5" w:rsidRPr="003B4362" w:rsidRDefault="00AD24B5" w:rsidP="00AD24B5">
      <w:pPr>
        <w:widowControl w:val="0"/>
        <w:suppressAutoHyphens/>
        <w:ind w:left="2880"/>
        <w:rPr>
          <w:szCs w:val="22"/>
        </w:rPr>
      </w:pPr>
    </w:p>
    <w:p w14:paraId="609359CF" w14:textId="77777777" w:rsidR="00AD24B5" w:rsidRPr="003B4362" w:rsidRDefault="00AD24B5" w:rsidP="00AD24B5">
      <w:pPr>
        <w:widowControl w:val="0"/>
        <w:suppressAutoHyphens/>
        <w:ind w:left="2880"/>
        <w:rPr>
          <w:szCs w:val="22"/>
        </w:rPr>
      </w:pPr>
      <w:r w:rsidRPr="003B4362">
        <w:rPr>
          <w:szCs w:val="22"/>
        </w:rPr>
        <w:t>“SM 3111 B (93)” means Method 3111 B, “Metals by Flame Atomic Absorption Spectrometry”, “Direct Air-Acetylene Flame Method”, only the version in the 19th edition.  Referenced in Sections 611.611 and 611.612.</w:t>
      </w:r>
    </w:p>
    <w:p w14:paraId="0FE93CE2" w14:textId="77777777" w:rsidR="00AD24B5" w:rsidRPr="003B4362" w:rsidRDefault="00AD24B5" w:rsidP="00AD24B5">
      <w:pPr>
        <w:widowControl w:val="0"/>
        <w:suppressAutoHyphens/>
        <w:ind w:left="2880"/>
        <w:rPr>
          <w:szCs w:val="22"/>
        </w:rPr>
      </w:pPr>
    </w:p>
    <w:p w14:paraId="01D1660C" w14:textId="77777777" w:rsidR="00AD24B5" w:rsidRPr="003B4362" w:rsidRDefault="00AD24B5" w:rsidP="00AD24B5">
      <w:pPr>
        <w:widowControl w:val="0"/>
        <w:suppressAutoHyphens/>
        <w:ind w:left="2880"/>
        <w:rPr>
          <w:szCs w:val="22"/>
        </w:rPr>
      </w:pPr>
      <w:r w:rsidRPr="003B4362">
        <w:rPr>
          <w:szCs w:val="22"/>
        </w:rPr>
        <w:t>“SM 3111 B (99)” means Method 3111 B, “Metals by Flame Atomic Absorption Spectrometry”, “Direct Air-Acetylene Flame Method”.  Referenced in Sections 611.611 and 611.612.</w:t>
      </w:r>
    </w:p>
    <w:p w14:paraId="594499D3" w14:textId="77777777" w:rsidR="00AD24B5" w:rsidRPr="003B4362" w:rsidRDefault="00AD24B5" w:rsidP="00AD24B5">
      <w:pPr>
        <w:widowControl w:val="0"/>
        <w:suppressAutoHyphens/>
        <w:ind w:left="2880"/>
        <w:rPr>
          <w:szCs w:val="22"/>
        </w:rPr>
      </w:pPr>
    </w:p>
    <w:p w14:paraId="37CE07BA" w14:textId="77777777" w:rsidR="00AD24B5" w:rsidRPr="003B4362" w:rsidRDefault="00AD24B5" w:rsidP="00AD24B5">
      <w:pPr>
        <w:widowControl w:val="0"/>
        <w:suppressAutoHyphens/>
        <w:ind w:left="2880"/>
        <w:rPr>
          <w:szCs w:val="22"/>
        </w:rPr>
      </w:pPr>
      <w:r w:rsidRPr="003B4362">
        <w:rPr>
          <w:szCs w:val="22"/>
        </w:rPr>
        <w:t>“SM 3111 D (89)” means Method 3111 D, “Metals by Flame Atomic Absorption Spectrometry”, “</w:t>
      </w:r>
      <w:r w:rsidRPr="003B4362">
        <w:rPr>
          <w:szCs w:val="24"/>
        </w:rPr>
        <w:t>Direct Nitrous Oxide-Acetylene Flame Method</w:t>
      </w:r>
      <w:r w:rsidRPr="003B4362">
        <w:rPr>
          <w:szCs w:val="22"/>
        </w:rPr>
        <w:t>”, only the version in the 19th edition.  Referenced in Section 611.611.</w:t>
      </w:r>
    </w:p>
    <w:p w14:paraId="760B2D67" w14:textId="77777777" w:rsidR="00AD24B5" w:rsidRPr="003B4362" w:rsidRDefault="00AD24B5" w:rsidP="00AD24B5">
      <w:pPr>
        <w:widowControl w:val="0"/>
        <w:suppressAutoHyphens/>
        <w:ind w:left="2880"/>
        <w:rPr>
          <w:szCs w:val="22"/>
        </w:rPr>
      </w:pPr>
    </w:p>
    <w:p w14:paraId="25D9C985" w14:textId="77777777" w:rsidR="00AD24B5" w:rsidRPr="003B4362" w:rsidRDefault="00AD24B5" w:rsidP="00AD24B5">
      <w:pPr>
        <w:widowControl w:val="0"/>
        <w:suppressAutoHyphens/>
        <w:ind w:left="2880"/>
        <w:rPr>
          <w:szCs w:val="22"/>
        </w:rPr>
      </w:pPr>
      <w:r w:rsidRPr="003B4362">
        <w:rPr>
          <w:szCs w:val="22"/>
        </w:rPr>
        <w:t>“SM 3111 D (93)” means Method 3111 D, “Metals by Flame Atomic Absorption Spectrometry”, “</w:t>
      </w:r>
      <w:r w:rsidRPr="003B4362">
        <w:rPr>
          <w:szCs w:val="24"/>
        </w:rPr>
        <w:t>Direct Nitrous Oxide-</w:t>
      </w:r>
      <w:r w:rsidRPr="003B4362">
        <w:rPr>
          <w:szCs w:val="24"/>
        </w:rPr>
        <w:lastRenderedPageBreak/>
        <w:t>Acetylene Flame Method</w:t>
      </w:r>
      <w:r w:rsidRPr="003B4362">
        <w:rPr>
          <w:szCs w:val="22"/>
        </w:rPr>
        <w:t>”, only the version in the 19th edition.  Referenced in Section 611.611.</w:t>
      </w:r>
    </w:p>
    <w:p w14:paraId="2F14CBF5" w14:textId="77777777" w:rsidR="00AD24B5" w:rsidRPr="003B4362" w:rsidRDefault="00AD24B5" w:rsidP="00AD24B5">
      <w:pPr>
        <w:widowControl w:val="0"/>
        <w:suppressAutoHyphens/>
        <w:ind w:left="2880"/>
        <w:rPr>
          <w:szCs w:val="22"/>
        </w:rPr>
      </w:pPr>
    </w:p>
    <w:p w14:paraId="4BE14B46" w14:textId="77777777" w:rsidR="00AD24B5" w:rsidRPr="003B4362" w:rsidRDefault="00AD24B5" w:rsidP="00AD24B5">
      <w:pPr>
        <w:widowControl w:val="0"/>
        <w:suppressAutoHyphens/>
        <w:ind w:left="2880"/>
        <w:rPr>
          <w:szCs w:val="22"/>
        </w:rPr>
      </w:pPr>
      <w:r w:rsidRPr="003B4362">
        <w:rPr>
          <w:szCs w:val="22"/>
        </w:rPr>
        <w:t>“SM 3111 D (99)” means Method 3111 D, “Metals by Flame Atomic Absorption Spectrometry”, “</w:t>
      </w:r>
      <w:r w:rsidRPr="003B4362">
        <w:rPr>
          <w:szCs w:val="24"/>
        </w:rPr>
        <w:t>Direct Nitrous Oxide-Acetylene Flame Method</w:t>
      </w:r>
      <w:r w:rsidRPr="003B4362">
        <w:rPr>
          <w:szCs w:val="22"/>
        </w:rPr>
        <w:t>”, only the version in the 21st, 22nd, and 23rd editions.  Referenced in Section 611.611.</w:t>
      </w:r>
    </w:p>
    <w:p w14:paraId="1D118B08" w14:textId="77777777" w:rsidR="00AD24B5" w:rsidRPr="003B4362" w:rsidRDefault="00AD24B5" w:rsidP="00AD24B5">
      <w:pPr>
        <w:widowControl w:val="0"/>
        <w:suppressAutoHyphens/>
        <w:ind w:left="2880"/>
        <w:rPr>
          <w:szCs w:val="22"/>
        </w:rPr>
      </w:pPr>
    </w:p>
    <w:p w14:paraId="450F7A23" w14:textId="77777777" w:rsidR="00AD24B5" w:rsidRPr="003B4362" w:rsidRDefault="00AD24B5" w:rsidP="00AD24B5">
      <w:pPr>
        <w:widowControl w:val="0"/>
        <w:suppressAutoHyphens/>
        <w:ind w:left="2880"/>
        <w:rPr>
          <w:szCs w:val="22"/>
        </w:rPr>
      </w:pPr>
      <w:r w:rsidRPr="003B4362">
        <w:rPr>
          <w:szCs w:val="22"/>
        </w:rPr>
        <w:t>“SM 3112 B (88)” means Method 3112 B, “Metals by Cold-Vapor Atomic Absorption Spectrometry”, “Cold-Vapor Atomic Absorption Spectrometric Method”, only the version in the 18th edition.  Referenced in Section 611.611.</w:t>
      </w:r>
    </w:p>
    <w:p w14:paraId="7DCD6E72" w14:textId="77777777" w:rsidR="00AD24B5" w:rsidRPr="003B4362" w:rsidRDefault="00AD24B5" w:rsidP="00AD24B5">
      <w:pPr>
        <w:widowControl w:val="0"/>
        <w:suppressAutoHyphens/>
        <w:ind w:left="2880"/>
        <w:rPr>
          <w:szCs w:val="22"/>
        </w:rPr>
      </w:pPr>
    </w:p>
    <w:p w14:paraId="4D131488" w14:textId="77777777" w:rsidR="00AD24B5" w:rsidRPr="003B4362" w:rsidRDefault="00AD24B5" w:rsidP="00AD24B5">
      <w:pPr>
        <w:widowControl w:val="0"/>
        <w:suppressAutoHyphens/>
        <w:ind w:left="2880"/>
        <w:rPr>
          <w:szCs w:val="22"/>
        </w:rPr>
      </w:pPr>
      <w:r w:rsidRPr="003B4362">
        <w:rPr>
          <w:szCs w:val="22"/>
        </w:rPr>
        <w:t>“SM 3112 B (93)” means Method 3112 B, “Metals by Cold-Vapor Atomic Absorption Spectrometry”, “Cold-Vapor Atomic Absorption Spectrometric Method”, only the version in the 19th edition.  Referenced in Section 611.611.</w:t>
      </w:r>
    </w:p>
    <w:p w14:paraId="70078ED4" w14:textId="77777777" w:rsidR="00AD24B5" w:rsidRPr="003B4362" w:rsidRDefault="00AD24B5" w:rsidP="00AD24B5">
      <w:pPr>
        <w:widowControl w:val="0"/>
        <w:suppressAutoHyphens/>
        <w:ind w:left="2880"/>
        <w:rPr>
          <w:szCs w:val="22"/>
        </w:rPr>
      </w:pPr>
    </w:p>
    <w:p w14:paraId="6CFF4AA8" w14:textId="77777777" w:rsidR="00AD24B5" w:rsidRPr="003B4362" w:rsidRDefault="00AD24B5" w:rsidP="00AD24B5">
      <w:pPr>
        <w:widowControl w:val="0"/>
        <w:suppressAutoHyphens/>
        <w:ind w:left="2880"/>
        <w:rPr>
          <w:szCs w:val="22"/>
        </w:rPr>
      </w:pPr>
      <w:r w:rsidRPr="003B4362">
        <w:rPr>
          <w:szCs w:val="22"/>
        </w:rPr>
        <w:t>“SM 3112 B (99)” means Method 3112 B, “Metals by Cold-Vapor Atomic Absorption Spectrometry”, “Cold-Vapor Atomic Absorption Spectrometric Method”, only the version in the 21st edition.  Referenced in Section 611.611.</w:t>
      </w:r>
    </w:p>
    <w:p w14:paraId="18E001C0" w14:textId="77777777" w:rsidR="00AD24B5" w:rsidRPr="003B4362" w:rsidRDefault="00AD24B5" w:rsidP="00AD24B5">
      <w:pPr>
        <w:widowControl w:val="0"/>
        <w:suppressAutoHyphens/>
        <w:ind w:left="2880"/>
        <w:rPr>
          <w:szCs w:val="22"/>
        </w:rPr>
      </w:pPr>
    </w:p>
    <w:p w14:paraId="64AFD9D2" w14:textId="77777777" w:rsidR="00AD24B5" w:rsidRPr="003B4362" w:rsidRDefault="00AD24B5" w:rsidP="00AD24B5">
      <w:pPr>
        <w:widowControl w:val="0"/>
        <w:suppressAutoHyphens/>
        <w:ind w:left="2880"/>
        <w:rPr>
          <w:szCs w:val="22"/>
        </w:rPr>
      </w:pPr>
      <w:r w:rsidRPr="003B4362">
        <w:rPr>
          <w:szCs w:val="22"/>
        </w:rPr>
        <w:t>“SM 3112 B (09)” means Method 3112 B, “Metals by Cold-Vapor Atomic Absorption Spectrometry”, “Cold-Vapor Atomic Absorption Spectrometric Method”, only the version in the 22nd and 23rd editions.  Referenced in Section 611.611.</w:t>
      </w:r>
    </w:p>
    <w:p w14:paraId="49443A89" w14:textId="77777777" w:rsidR="00AD24B5" w:rsidRPr="003B4362" w:rsidRDefault="00AD24B5" w:rsidP="00AD24B5">
      <w:pPr>
        <w:widowControl w:val="0"/>
        <w:suppressAutoHyphens/>
        <w:ind w:left="2880"/>
        <w:rPr>
          <w:szCs w:val="22"/>
        </w:rPr>
      </w:pPr>
    </w:p>
    <w:p w14:paraId="59866D2A" w14:textId="77777777" w:rsidR="00AD24B5" w:rsidRPr="003B4362" w:rsidRDefault="00AD24B5" w:rsidP="00AD24B5">
      <w:pPr>
        <w:widowControl w:val="0"/>
        <w:suppressAutoHyphens/>
        <w:ind w:left="2880"/>
        <w:rPr>
          <w:szCs w:val="22"/>
        </w:rPr>
      </w:pPr>
      <w:r w:rsidRPr="003B4362">
        <w:rPr>
          <w:szCs w:val="22"/>
        </w:rPr>
        <w:t>“SM 3113 B (89)” means Method 3113 B, “Metals by Electrothermal Atomic Absorption Spectrometry”, “Electrothermal Atomic Absorption Spectrometric Method”, only the version in the 18th edition.  Referenced in Sections 611.611 and 611.612.</w:t>
      </w:r>
    </w:p>
    <w:p w14:paraId="1516C478" w14:textId="77777777" w:rsidR="00AD24B5" w:rsidRPr="003B4362" w:rsidRDefault="00AD24B5" w:rsidP="00AD24B5">
      <w:pPr>
        <w:widowControl w:val="0"/>
        <w:suppressAutoHyphens/>
        <w:ind w:left="2880"/>
        <w:rPr>
          <w:szCs w:val="22"/>
        </w:rPr>
      </w:pPr>
    </w:p>
    <w:p w14:paraId="257BEBC3" w14:textId="77777777" w:rsidR="00AD24B5" w:rsidRPr="003B4362" w:rsidRDefault="00AD24B5" w:rsidP="00AD24B5">
      <w:pPr>
        <w:widowControl w:val="0"/>
        <w:suppressAutoHyphens/>
        <w:ind w:left="2880"/>
        <w:rPr>
          <w:szCs w:val="22"/>
        </w:rPr>
      </w:pPr>
      <w:r w:rsidRPr="003B4362">
        <w:rPr>
          <w:szCs w:val="22"/>
        </w:rPr>
        <w:t xml:space="preserve">“SM 3113 B (93)” means Method 3113 B, “Metals by Electrothermal Atomic Absorption Spectrometry”, “Electrothermal Atomic Absorption Spectrometric Method”, only the version in the 19th edition.  (The same version appears in the 20th edition but </w:t>
      </w:r>
      <w:bookmarkStart w:id="254" w:name="_Hlk129645210"/>
      <w:r w:rsidRPr="003B4362">
        <w:rPr>
          <w:szCs w:val="22"/>
        </w:rPr>
        <w:t>USEPA does not approve that edition</w:t>
      </w:r>
      <w:bookmarkEnd w:id="254"/>
      <w:r w:rsidRPr="003B4362">
        <w:rPr>
          <w:szCs w:val="22"/>
        </w:rPr>
        <w:t>.)  Referenced in Sections 611.611 and 611.612.</w:t>
      </w:r>
    </w:p>
    <w:p w14:paraId="1E106C36" w14:textId="77777777" w:rsidR="00AD24B5" w:rsidRPr="003B4362" w:rsidRDefault="00AD24B5" w:rsidP="00AD24B5">
      <w:pPr>
        <w:widowControl w:val="0"/>
        <w:suppressAutoHyphens/>
        <w:ind w:left="2880"/>
        <w:rPr>
          <w:szCs w:val="22"/>
        </w:rPr>
      </w:pPr>
    </w:p>
    <w:p w14:paraId="77141B52" w14:textId="77777777" w:rsidR="00AD24B5" w:rsidRPr="003B4362" w:rsidRDefault="00AD24B5" w:rsidP="00AD24B5">
      <w:pPr>
        <w:widowControl w:val="0"/>
        <w:suppressAutoHyphens/>
        <w:ind w:left="2880"/>
        <w:rPr>
          <w:szCs w:val="22"/>
        </w:rPr>
      </w:pPr>
      <w:r w:rsidRPr="003B4362">
        <w:rPr>
          <w:szCs w:val="22"/>
        </w:rPr>
        <w:t>“SM 3113 B (99)” means Method 3113 B, “Metals by Electrothermal Atomic Absorption Spectrometry”, “Electrothermal Atomic Absorption Spectrometric Method”, only the version in the 21st edition.  Referenced in Sections 611.611 and 611.612.</w:t>
      </w:r>
    </w:p>
    <w:p w14:paraId="59691279" w14:textId="77777777" w:rsidR="00AD24B5" w:rsidRPr="003B4362" w:rsidRDefault="00AD24B5" w:rsidP="00AD24B5">
      <w:pPr>
        <w:widowControl w:val="0"/>
        <w:suppressAutoHyphens/>
        <w:ind w:left="2880"/>
        <w:rPr>
          <w:szCs w:val="22"/>
        </w:rPr>
      </w:pPr>
    </w:p>
    <w:p w14:paraId="2EF68533" w14:textId="77777777" w:rsidR="00AD24B5" w:rsidRPr="003B4362" w:rsidRDefault="00AD24B5" w:rsidP="00AD24B5">
      <w:pPr>
        <w:widowControl w:val="0"/>
        <w:suppressAutoHyphens/>
        <w:ind w:left="2880"/>
        <w:rPr>
          <w:szCs w:val="22"/>
        </w:rPr>
      </w:pPr>
      <w:r w:rsidRPr="003B4362">
        <w:rPr>
          <w:szCs w:val="22"/>
        </w:rPr>
        <w:lastRenderedPageBreak/>
        <w:t>“SM 3113 B (04)” means Method 3113 B, “Metals by Electrothermal Atomic Absorption Spectrometry”, “Electrothermal Atomic Absorption Spectrometric Method”, only the version from Standard Methods Online as Method 3113 B-04.  Referenced in Sections 611.611 and 611.612.</w:t>
      </w:r>
    </w:p>
    <w:p w14:paraId="4260B5D1" w14:textId="77777777" w:rsidR="00AD24B5" w:rsidRPr="003B4362" w:rsidRDefault="00AD24B5" w:rsidP="00AD24B5">
      <w:pPr>
        <w:widowControl w:val="0"/>
        <w:suppressAutoHyphens/>
        <w:ind w:left="2880"/>
        <w:rPr>
          <w:szCs w:val="22"/>
        </w:rPr>
      </w:pPr>
    </w:p>
    <w:p w14:paraId="132BE6EC" w14:textId="77777777" w:rsidR="00AD24B5" w:rsidRPr="003B4362" w:rsidRDefault="00AD24B5" w:rsidP="00AD24B5">
      <w:pPr>
        <w:widowControl w:val="0"/>
        <w:suppressAutoHyphens/>
        <w:ind w:left="2880"/>
        <w:rPr>
          <w:szCs w:val="22"/>
        </w:rPr>
      </w:pPr>
      <w:r w:rsidRPr="003B4362">
        <w:rPr>
          <w:szCs w:val="22"/>
        </w:rPr>
        <w:t>“SM 3113 B (10)” means Method 3113 B, “Metals by Electrothermal Atomic Absorption Spectrometry”, “Electrothermal Atomic Absorption Spectrometric Method”, only the version in the 22nd and 23rd editions.  Referenced in Sections 611.611 and 611.612.</w:t>
      </w:r>
    </w:p>
    <w:p w14:paraId="1646B6F7" w14:textId="77777777" w:rsidR="00AD24B5" w:rsidRPr="003B4362" w:rsidRDefault="00AD24B5" w:rsidP="00AD24B5">
      <w:pPr>
        <w:widowControl w:val="0"/>
        <w:suppressAutoHyphens/>
        <w:ind w:left="2880"/>
        <w:rPr>
          <w:szCs w:val="22"/>
        </w:rPr>
      </w:pPr>
    </w:p>
    <w:p w14:paraId="31E5E34B" w14:textId="77777777" w:rsidR="00AD24B5" w:rsidRPr="003B4362" w:rsidRDefault="00AD24B5" w:rsidP="00AD24B5">
      <w:pPr>
        <w:widowControl w:val="0"/>
        <w:suppressAutoHyphens/>
        <w:ind w:left="2880"/>
        <w:rPr>
          <w:szCs w:val="22"/>
        </w:rPr>
      </w:pPr>
      <w:r w:rsidRPr="003B4362">
        <w:rPr>
          <w:szCs w:val="22"/>
        </w:rPr>
        <w:t>“SM 3114 B (89)” means Method 3114 B, “Metals by Hydride Generation/Atomic Absorption Spectrometry”, “Manual Hydride Generation/Atomic Absorption Spectrometric Method”, only the version in the 18th edition.  Referenced in Section 611.611.</w:t>
      </w:r>
    </w:p>
    <w:p w14:paraId="5B4D8B9C" w14:textId="77777777" w:rsidR="00AD24B5" w:rsidRPr="003B4362" w:rsidRDefault="00AD24B5" w:rsidP="00AD24B5">
      <w:pPr>
        <w:widowControl w:val="0"/>
        <w:suppressAutoHyphens/>
        <w:ind w:left="2880"/>
        <w:rPr>
          <w:szCs w:val="22"/>
        </w:rPr>
      </w:pPr>
    </w:p>
    <w:p w14:paraId="48F1D7EE" w14:textId="77777777" w:rsidR="00AD24B5" w:rsidRPr="003B4362" w:rsidRDefault="00AD24B5" w:rsidP="00AD24B5">
      <w:pPr>
        <w:widowControl w:val="0"/>
        <w:suppressAutoHyphens/>
        <w:ind w:left="2880"/>
        <w:rPr>
          <w:szCs w:val="22"/>
        </w:rPr>
      </w:pPr>
      <w:r w:rsidRPr="003B4362">
        <w:rPr>
          <w:szCs w:val="22"/>
        </w:rPr>
        <w:t>“SM 3114 B (93)” means Method 3114 B, “Metals by Hydride Generation/Atomic Absorption Spectrometry”, “Manual Hydride Generation/Atomic Absorption Spectrometric Method”, only the version in the 19th edition.  Referenced in Section 611.611.</w:t>
      </w:r>
    </w:p>
    <w:p w14:paraId="00F5B3C2" w14:textId="77777777" w:rsidR="00AD24B5" w:rsidRPr="003B4362" w:rsidRDefault="00AD24B5" w:rsidP="00AD24B5">
      <w:pPr>
        <w:widowControl w:val="0"/>
        <w:suppressAutoHyphens/>
        <w:ind w:left="2880"/>
        <w:rPr>
          <w:szCs w:val="22"/>
        </w:rPr>
      </w:pPr>
    </w:p>
    <w:p w14:paraId="6CFDDB56" w14:textId="77777777" w:rsidR="00AD24B5" w:rsidRPr="003B4362" w:rsidRDefault="00AD24B5" w:rsidP="00AD24B5">
      <w:pPr>
        <w:widowControl w:val="0"/>
        <w:suppressAutoHyphens/>
        <w:ind w:left="2880"/>
        <w:rPr>
          <w:szCs w:val="22"/>
        </w:rPr>
      </w:pPr>
      <w:r w:rsidRPr="003B4362">
        <w:rPr>
          <w:szCs w:val="22"/>
        </w:rPr>
        <w:t>“SM 3114 B (97)” means Method 3114 B, “Metals by Hydride Generation/Atomic Absorption Spectrometry”, “Manual Hydride Generation/Atomic Absorption Spectrometric Method”, only the version in the 21st edition.  (The same version appears in the 20th edition, but USEPA does not approve that edition.)  Referenced in Section 611.611.</w:t>
      </w:r>
    </w:p>
    <w:p w14:paraId="61D4657B" w14:textId="77777777" w:rsidR="00AD24B5" w:rsidRPr="003B4362" w:rsidRDefault="00AD24B5" w:rsidP="00AD24B5">
      <w:pPr>
        <w:widowControl w:val="0"/>
        <w:suppressAutoHyphens/>
        <w:ind w:left="2880"/>
        <w:rPr>
          <w:szCs w:val="22"/>
        </w:rPr>
      </w:pPr>
    </w:p>
    <w:p w14:paraId="2C461300" w14:textId="77777777" w:rsidR="00AD24B5" w:rsidRPr="003B4362" w:rsidRDefault="00AD24B5" w:rsidP="00AD24B5">
      <w:pPr>
        <w:widowControl w:val="0"/>
        <w:suppressAutoHyphens/>
        <w:ind w:left="2880"/>
        <w:rPr>
          <w:szCs w:val="22"/>
        </w:rPr>
      </w:pPr>
      <w:r w:rsidRPr="003B4362">
        <w:rPr>
          <w:szCs w:val="22"/>
        </w:rPr>
        <w:t>“SM 3114 B (09)” means Method 3114 B, “Metals by Hydride Generation/Atomic Absorption Spectrometry”, “Manual Hydride Generation/Atomic Absorption Spectrometric Method”, only the version in the 22nd and 23rd editions.  Referenced in Section 611.611.</w:t>
      </w:r>
    </w:p>
    <w:p w14:paraId="1753AF62" w14:textId="77777777" w:rsidR="00AD24B5" w:rsidRPr="003B4362" w:rsidRDefault="00AD24B5" w:rsidP="00AD24B5">
      <w:pPr>
        <w:widowControl w:val="0"/>
        <w:suppressAutoHyphens/>
        <w:ind w:left="2880"/>
        <w:rPr>
          <w:szCs w:val="22"/>
        </w:rPr>
      </w:pPr>
    </w:p>
    <w:p w14:paraId="007C07EA" w14:textId="77777777" w:rsidR="00AD24B5" w:rsidRPr="003B4362" w:rsidRDefault="00AD24B5" w:rsidP="00AD24B5">
      <w:pPr>
        <w:widowControl w:val="0"/>
        <w:suppressAutoHyphens/>
        <w:ind w:left="2880"/>
        <w:rPr>
          <w:szCs w:val="22"/>
        </w:rPr>
      </w:pPr>
      <w:r w:rsidRPr="003B4362">
        <w:rPr>
          <w:szCs w:val="22"/>
        </w:rPr>
        <w:t>“SM 3120 B (89)” means Method 3120 B, “Metals by Plasma Emission Spectroscopy”, “Inductively Coupled Plasma (ICP) Method”, only the version in the 18th edition.  Referenced in Sections 611.611 and 611.612.</w:t>
      </w:r>
    </w:p>
    <w:p w14:paraId="31485029" w14:textId="77777777" w:rsidR="00AD24B5" w:rsidRPr="003B4362" w:rsidRDefault="00AD24B5" w:rsidP="00AD24B5">
      <w:pPr>
        <w:widowControl w:val="0"/>
        <w:suppressAutoHyphens/>
        <w:ind w:left="2880"/>
        <w:rPr>
          <w:szCs w:val="22"/>
        </w:rPr>
      </w:pPr>
    </w:p>
    <w:p w14:paraId="3E37F88E" w14:textId="77777777" w:rsidR="00AD24B5" w:rsidRPr="003B4362" w:rsidRDefault="00AD24B5" w:rsidP="00AD24B5">
      <w:pPr>
        <w:widowControl w:val="0"/>
        <w:suppressAutoHyphens/>
        <w:ind w:left="2880"/>
        <w:rPr>
          <w:szCs w:val="22"/>
        </w:rPr>
      </w:pPr>
      <w:r w:rsidRPr="003B4362">
        <w:rPr>
          <w:szCs w:val="22"/>
        </w:rPr>
        <w:t>“SM 3120 B (93)” means Method 3120 B, “Metals by Plasma Emission Spectroscopy”, “Inductively Coupled Plasma (ICP) Method”, only the version in the 19th and 20th editions.  Referenced in Sections 611.611 and 611.612.</w:t>
      </w:r>
    </w:p>
    <w:p w14:paraId="044745C1" w14:textId="77777777" w:rsidR="00AD24B5" w:rsidRPr="003B4362" w:rsidRDefault="00AD24B5" w:rsidP="00AD24B5">
      <w:pPr>
        <w:widowControl w:val="0"/>
        <w:suppressAutoHyphens/>
        <w:ind w:left="2880"/>
        <w:rPr>
          <w:szCs w:val="22"/>
        </w:rPr>
      </w:pPr>
    </w:p>
    <w:p w14:paraId="3D4BB6F5" w14:textId="77777777" w:rsidR="00AD24B5" w:rsidRPr="003B4362" w:rsidRDefault="00AD24B5" w:rsidP="00AD24B5">
      <w:pPr>
        <w:widowControl w:val="0"/>
        <w:suppressAutoHyphens/>
        <w:ind w:left="2880"/>
        <w:rPr>
          <w:szCs w:val="22"/>
        </w:rPr>
      </w:pPr>
      <w:r w:rsidRPr="003B4362">
        <w:rPr>
          <w:szCs w:val="22"/>
        </w:rPr>
        <w:lastRenderedPageBreak/>
        <w:t>“SM 3120 B (99)” means Method 3120 B, “Metals by Plasma Emission Spectroscopy”, “Inductively Coupled Plasma (ICP) Method”, only the version in the 21st, 22nd, and 23rd editions.  Referenced in Sections 611.611 and 611.612.</w:t>
      </w:r>
    </w:p>
    <w:p w14:paraId="1CB6B789" w14:textId="77777777" w:rsidR="00AD24B5" w:rsidRPr="003B4362" w:rsidRDefault="00AD24B5" w:rsidP="00AD24B5">
      <w:pPr>
        <w:widowControl w:val="0"/>
        <w:suppressAutoHyphens/>
        <w:ind w:left="2880"/>
        <w:rPr>
          <w:szCs w:val="22"/>
        </w:rPr>
      </w:pPr>
    </w:p>
    <w:p w14:paraId="28ABD724" w14:textId="77777777" w:rsidR="00AD24B5" w:rsidRPr="003B4362" w:rsidRDefault="00AD24B5" w:rsidP="00AD24B5">
      <w:pPr>
        <w:widowControl w:val="0"/>
        <w:suppressAutoHyphens/>
        <w:ind w:left="2880"/>
        <w:rPr>
          <w:szCs w:val="22"/>
        </w:rPr>
      </w:pPr>
      <w:r w:rsidRPr="003B4362">
        <w:rPr>
          <w:szCs w:val="22"/>
        </w:rPr>
        <w:t>“SM 3125 (97)” means Method 3125, “Metals by Inductively Coupled Plasma/Mass Spectrometry”, only the version in the 20th and 21st editions.  Referenced in Section 611.720.</w:t>
      </w:r>
    </w:p>
    <w:p w14:paraId="636947C8" w14:textId="77777777" w:rsidR="00AD24B5" w:rsidRPr="003B4362" w:rsidRDefault="00AD24B5" w:rsidP="00AD24B5">
      <w:pPr>
        <w:ind w:left="2880"/>
      </w:pPr>
    </w:p>
    <w:p w14:paraId="58F3BD57" w14:textId="77777777" w:rsidR="00AD24B5" w:rsidRPr="003B4362" w:rsidRDefault="00AD24B5" w:rsidP="00AD24B5">
      <w:pPr>
        <w:ind w:left="2880"/>
      </w:pPr>
      <w:r w:rsidRPr="003B4362">
        <w:t>“SM 3500-Ca B (97)” means Method 3500-Ca B, “Calcium”, “EDTA Titrimetric Method”, only the version in the 20th, 21st, 22nd, and 23rd editions.  Referenced in Section 611.611.</w:t>
      </w:r>
    </w:p>
    <w:p w14:paraId="19B38BD9" w14:textId="77777777" w:rsidR="00AD24B5" w:rsidRPr="003B4362" w:rsidRDefault="00AD24B5" w:rsidP="00AD24B5"/>
    <w:p w14:paraId="1808C420" w14:textId="77777777" w:rsidR="00AD24B5" w:rsidRPr="003B4362" w:rsidRDefault="00AD24B5" w:rsidP="00AD24B5">
      <w:pPr>
        <w:ind w:left="2880"/>
      </w:pPr>
      <w:r w:rsidRPr="003B4362">
        <w:t>“SM 3500-Ca D (91)” means Method 3500-Ca D, “Calcium”, “EDTA Titrimetric Method”, only the version in the 18th and 19th editions.  Referenced in Section 611.611.</w:t>
      </w:r>
    </w:p>
    <w:p w14:paraId="2358AD42" w14:textId="77777777" w:rsidR="00AD24B5" w:rsidRPr="003B4362" w:rsidRDefault="00AD24B5" w:rsidP="00AD24B5">
      <w:pPr>
        <w:ind w:left="2880"/>
      </w:pPr>
    </w:p>
    <w:p w14:paraId="1BFB8835" w14:textId="77777777" w:rsidR="00AD24B5" w:rsidRPr="003B4362" w:rsidRDefault="00AD24B5" w:rsidP="00AD24B5">
      <w:pPr>
        <w:ind w:left="2880"/>
      </w:pPr>
      <w:r w:rsidRPr="003B4362">
        <w:t>“SM 3500-Mg B (97)” means Method 3500-Mg B, “Magnesium”, “Calculation Method”, only the version in the 20th, 21st, 22nd, and 23rd editions.  Referenced in Section 611.611.</w:t>
      </w:r>
    </w:p>
    <w:p w14:paraId="1BA51AD2" w14:textId="77777777" w:rsidR="00AD24B5" w:rsidRPr="003B4362" w:rsidRDefault="00AD24B5" w:rsidP="00AD24B5">
      <w:pPr>
        <w:widowControl w:val="0"/>
        <w:suppressAutoHyphens/>
        <w:ind w:left="2880"/>
        <w:rPr>
          <w:szCs w:val="22"/>
        </w:rPr>
      </w:pPr>
    </w:p>
    <w:p w14:paraId="28029B4B" w14:textId="77777777" w:rsidR="00AD24B5" w:rsidRPr="003B4362" w:rsidRDefault="00AD24B5" w:rsidP="00AD24B5">
      <w:pPr>
        <w:widowControl w:val="0"/>
        <w:suppressAutoHyphens/>
        <w:ind w:left="2880"/>
        <w:rPr>
          <w:szCs w:val="22"/>
        </w:rPr>
      </w:pPr>
      <w:r w:rsidRPr="003B4362">
        <w:rPr>
          <w:szCs w:val="22"/>
        </w:rPr>
        <w:t>“SM 3500-Mg E (90)” means Method 3500-Mg E, “Magnesium”, “Calculation Method”, only the version in the 18th edition.  Referenced in Section 611.611.</w:t>
      </w:r>
    </w:p>
    <w:p w14:paraId="070C5E26" w14:textId="77777777" w:rsidR="00AD24B5" w:rsidRPr="003B4362" w:rsidRDefault="00AD24B5" w:rsidP="00AD24B5">
      <w:pPr>
        <w:widowControl w:val="0"/>
        <w:suppressAutoHyphens/>
        <w:ind w:left="2880"/>
        <w:rPr>
          <w:szCs w:val="22"/>
        </w:rPr>
      </w:pPr>
    </w:p>
    <w:p w14:paraId="00847960" w14:textId="77777777" w:rsidR="00AD24B5" w:rsidRPr="003B4362" w:rsidRDefault="00AD24B5" w:rsidP="00AD24B5">
      <w:pPr>
        <w:widowControl w:val="0"/>
        <w:suppressAutoHyphens/>
        <w:ind w:left="2880"/>
        <w:rPr>
          <w:szCs w:val="22"/>
        </w:rPr>
      </w:pPr>
      <w:r w:rsidRPr="003B4362">
        <w:rPr>
          <w:szCs w:val="22"/>
        </w:rPr>
        <w:t>“SM 3500-Mg E (91)” means Method 3500-Mg E, “Magnesium”, “Calculation Method”, only the version in the 19th edition.  Referenced in Section 611.611.</w:t>
      </w:r>
    </w:p>
    <w:p w14:paraId="753119BC" w14:textId="77777777" w:rsidR="00AD24B5" w:rsidRPr="003B4362" w:rsidRDefault="00AD24B5" w:rsidP="00AD24B5">
      <w:pPr>
        <w:widowControl w:val="0"/>
        <w:suppressAutoHyphens/>
        <w:ind w:left="2880"/>
        <w:rPr>
          <w:szCs w:val="22"/>
        </w:rPr>
      </w:pPr>
    </w:p>
    <w:p w14:paraId="77B53489" w14:textId="77777777" w:rsidR="00AD24B5" w:rsidRPr="003B4362" w:rsidRDefault="00AD24B5" w:rsidP="00AD24B5">
      <w:pPr>
        <w:widowControl w:val="0"/>
        <w:suppressAutoHyphens/>
        <w:ind w:left="2880"/>
        <w:rPr>
          <w:szCs w:val="22"/>
        </w:rPr>
      </w:pPr>
      <w:r w:rsidRPr="003B4362">
        <w:rPr>
          <w:szCs w:val="22"/>
        </w:rPr>
        <w:t>“SM 4110 B (90)” means Method 4110 B, “Determination of Anions by Ion Chromatography”, “Ion Chromatography with Chemical Suppression of Eluent Conductivity”, only the version in the 18th edition.  Referenced in Section 611.611.</w:t>
      </w:r>
    </w:p>
    <w:p w14:paraId="7DAD5F15" w14:textId="77777777" w:rsidR="00AD24B5" w:rsidRPr="003B4362" w:rsidRDefault="00AD24B5" w:rsidP="00AD24B5">
      <w:pPr>
        <w:widowControl w:val="0"/>
        <w:suppressAutoHyphens/>
        <w:ind w:left="2880"/>
        <w:rPr>
          <w:szCs w:val="22"/>
        </w:rPr>
      </w:pPr>
    </w:p>
    <w:p w14:paraId="7F259772" w14:textId="77777777" w:rsidR="00AD24B5" w:rsidRPr="003B4362" w:rsidRDefault="00AD24B5" w:rsidP="00AD24B5">
      <w:pPr>
        <w:widowControl w:val="0"/>
        <w:suppressAutoHyphens/>
        <w:ind w:left="2880"/>
        <w:rPr>
          <w:szCs w:val="22"/>
        </w:rPr>
      </w:pPr>
      <w:r w:rsidRPr="003B4362">
        <w:rPr>
          <w:szCs w:val="22"/>
        </w:rPr>
        <w:t>“SM 4110 B (91)” means Method 4110 B, “Determination of Anions by Ion Chromatography”, “Ion Chromatography with Chemical Suppression of Eluent Conductivity”, only the version in the 19th edition.  Referenced in Section 611.611.</w:t>
      </w:r>
    </w:p>
    <w:p w14:paraId="602FE321" w14:textId="77777777" w:rsidR="00AD24B5" w:rsidRPr="003B4362" w:rsidRDefault="00AD24B5" w:rsidP="00AD24B5">
      <w:pPr>
        <w:widowControl w:val="0"/>
        <w:suppressAutoHyphens/>
        <w:ind w:left="2880"/>
        <w:rPr>
          <w:szCs w:val="22"/>
        </w:rPr>
      </w:pPr>
    </w:p>
    <w:p w14:paraId="2829466D" w14:textId="77777777" w:rsidR="00AD24B5" w:rsidRPr="003B4362" w:rsidRDefault="00AD24B5" w:rsidP="00AD24B5">
      <w:pPr>
        <w:widowControl w:val="0"/>
        <w:suppressAutoHyphens/>
        <w:ind w:left="2880"/>
        <w:rPr>
          <w:szCs w:val="22"/>
        </w:rPr>
      </w:pPr>
      <w:r w:rsidRPr="003B4362">
        <w:rPr>
          <w:szCs w:val="22"/>
        </w:rPr>
        <w:t>“SM 4110 B (97)” means Method 4110 B, “Determination of Anions by Ion Chromatography”, “Ion Chromatography with Chemical Suppression of Eluent Conductivity”, only the version in the 20th edition.  Referenced in Section 611.611.</w:t>
      </w:r>
    </w:p>
    <w:p w14:paraId="527F8A7B" w14:textId="77777777" w:rsidR="00AD24B5" w:rsidRPr="003B4362" w:rsidRDefault="00AD24B5" w:rsidP="00AD24B5">
      <w:pPr>
        <w:widowControl w:val="0"/>
        <w:suppressAutoHyphens/>
        <w:ind w:left="2880"/>
        <w:rPr>
          <w:szCs w:val="22"/>
        </w:rPr>
      </w:pPr>
    </w:p>
    <w:p w14:paraId="01F06415" w14:textId="77777777" w:rsidR="00AD24B5" w:rsidRPr="003B4362" w:rsidRDefault="00AD24B5" w:rsidP="00AD24B5">
      <w:pPr>
        <w:widowControl w:val="0"/>
        <w:suppressAutoHyphens/>
        <w:ind w:left="2880"/>
        <w:rPr>
          <w:szCs w:val="22"/>
        </w:rPr>
      </w:pPr>
      <w:r w:rsidRPr="003B4362">
        <w:rPr>
          <w:szCs w:val="22"/>
        </w:rPr>
        <w:t xml:space="preserve">“SM 4110 B (00)” means Method 4110 B, “Determination of </w:t>
      </w:r>
      <w:r w:rsidRPr="003B4362">
        <w:rPr>
          <w:szCs w:val="22"/>
        </w:rPr>
        <w:lastRenderedPageBreak/>
        <w:t>Anions by Ion Chromatography”, “Ion Chromatography with Chemical Suppression of Eluent Conductivity”, only the version in the 21st, 22nd, and 23rd editions.  Referenced in Section 611.611.</w:t>
      </w:r>
    </w:p>
    <w:p w14:paraId="7E3C3378" w14:textId="77777777" w:rsidR="00AD24B5" w:rsidRPr="003B4362" w:rsidRDefault="00AD24B5" w:rsidP="00AD24B5">
      <w:pPr>
        <w:widowControl w:val="0"/>
        <w:suppressAutoHyphens/>
        <w:ind w:left="2880"/>
        <w:rPr>
          <w:szCs w:val="22"/>
        </w:rPr>
      </w:pPr>
    </w:p>
    <w:p w14:paraId="668F8B7D" w14:textId="77777777" w:rsidR="00AD24B5" w:rsidRPr="003B4362" w:rsidRDefault="00AD24B5" w:rsidP="00AD24B5">
      <w:pPr>
        <w:widowControl w:val="0"/>
        <w:suppressAutoHyphens/>
        <w:ind w:left="2880"/>
        <w:rPr>
          <w:szCs w:val="22"/>
        </w:rPr>
      </w:pPr>
      <w:r w:rsidRPr="003B4362">
        <w:rPr>
          <w:szCs w:val="22"/>
        </w:rPr>
        <w:t>“SM 4500-Cl D (89)” means Method 4500-Cl D, “Chlorine</w:t>
      </w:r>
      <w:r w:rsidRPr="003B4362">
        <w:rPr>
          <w:szCs w:val="24"/>
        </w:rPr>
        <w:t xml:space="preserve"> (Residual)</w:t>
      </w:r>
      <w:r w:rsidRPr="003B4362">
        <w:rPr>
          <w:szCs w:val="22"/>
        </w:rPr>
        <w:t>”, “Amperometric Titration Method”, only the version in the 18th edition.  Referenced in Section 611.531.</w:t>
      </w:r>
    </w:p>
    <w:p w14:paraId="2BE725C9" w14:textId="77777777" w:rsidR="00AD24B5" w:rsidRPr="003B4362" w:rsidRDefault="00AD24B5" w:rsidP="00AD24B5">
      <w:pPr>
        <w:widowControl w:val="0"/>
        <w:suppressAutoHyphens/>
        <w:ind w:left="2880"/>
        <w:rPr>
          <w:szCs w:val="22"/>
        </w:rPr>
      </w:pPr>
    </w:p>
    <w:p w14:paraId="5DA14EA8" w14:textId="77777777" w:rsidR="00AD24B5" w:rsidRPr="003B4362" w:rsidRDefault="00AD24B5" w:rsidP="00AD24B5">
      <w:pPr>
        <w:widowControl w:val="0"/>
        <w:suppressAutoHyphens/>
        <w:ind w:left="2880"/>
        <w:rPr>
          <w:szCs w:val="22"/>
        </w:rPr>
      </w:pPr>
      <w:r w:rsidRPr="003B4362">
        <w:rPr>
          <w:szCs w:val="22"/>
        </w:rPr>
        <w:t>“SM 4500-Cl D (93)” means Method 4500-Cl D, “Chlorine</w:t>
      </w:r>
      <w:r w:rsidRPr="003B4362">
        <w:rPr>
          <w:szCs w:val="24"/>
        </w:rPr>
        <w:t xml:space="preserve"> (Residual)</w:t>
      </w:r>
      <w:r w:rsidRPr="003B4362">
        <w:rPr>
          <w:szCs w:val="22"/>
        </w:rPr>
        <w:t>”, “Amperometric Titration Method”, only the version in the 19th and 20th editions.  Referenced in Sections 611.381 and 611.531.</w:t>
      </w:r>
    </w:p>
    <w:p w14:paraId="10537D8B" w14:textId="77777777" w:rsidR="00AD24B5" w:rsidRPr="003B4362" w:rsidRDefault="00AD24B5" w:rsidP="00AD24B5">
      <w:pPr>
        <w:widowControl w:val="0"/>
        <w:suppressAutoHyphens/>
        <w:ind w:left="2880"/>
        <w:rPr>
          <w:szCs w:val="22"/>
        </w:rPr>
      </w:pPr>
    </w:p>
    <w:p w14:paraId="6E03F04C" w14:textId="77777777" w:rsidR="00AD24B5" w:rsidRPr="003B4362" w:rsidRDefault="00AD24B5" w:rsidP="00AD24B5">
      <w:pPr>
        <w:widowControl w:val="0"/>
        <w:suppressAutoHyphens/>
        <w:ind w:left="2880"/>
        <w:rPr>
          <w:szCs w:val="22"/>
        </w:rPr>
      </w:pPr>
      <w:r w:rsidRPr="003B4362">
        <w:rPr>
          <w:szCs w:val="22"/>
        </w:rPr>
        <w:t>“SM 4500-Cl D (00)” means Method 4500-Cl D, “Chlorine</w:t>
      </w:r>
      <w:r w:rsidRPr="003B4362">
        <w:rPr>
          <w:szCs w:val="24"/>
        </w:rPr>
        <w:t xml:space="preserve"> (Residual)</w:t>
      </w:r>
      <w:r w:rsidRPr="003B4362">
        <w:rPr>
          <w:szCs w:val="22"/>
        </w:rPr>
        <w:t>”, “Amperometric Titration Method”, only the version in the 21st, 22nd, and 23rd editions.  Referenced in Sections 611.381 and 611.531.</w:t>
      </w:r>
    </w:p>
    <w:p w14:paraId="2826734B" w14:textId="77777777" w:rsidR="00AD24B5" w:rsidRPr="003B4362" w:rsidRDefault="00AD24B5" w:rsidP="00AD24B5">
      <w:pPr>
        <w:widowControl w:val="0"/>
        <w:suppressAutoHyphens/>
        <w:ind w:left="2880"/>
        <w:rPr>
          <w:szCs w:val="22"/>
        </w:rPr>
      </w:pPr>
    </w:p>
    <w:p w14:paraId="6621DC6F" w14:textId="77777777" w:rsidR="00AD24B5" w:rsidRPr="003B4362" w:rsidRDefault="00AD24B5" w:rsidP="00AD24B5">
      <w:pPr>
        <w:widowControl w:val="0"/>
        <w:suppressAutoHyphens/>
        <w:ind w:left="2880"/>
        <w:rPr>
          <w:szCs w:val="22"/>
        </w:rPr>
      </w:pPr>
      <w:r w:rsidRPr="003B4362">
        <w:rPr>
          <w:szCs w:val="22"/>
        </w:rPr>
        <w:t>“SM 4500-Cl E (89)” means Method 4500-Cl E, “Chlorine</w:t>
      </w:r>
      <w:r w:rsidRPr="003B4362">
        <w:rPr>
          <w:szCs w:val="24"/>
        </w:rPr>
        <w:t xml:space="preserve"> (Residual)</w:t>
      </w:r>
      <w:r w:rsidRPr="003B4362">
        <w:rPr>
          <w:szCs w:val="22"/>
        </w:rPr>
        <w:t>”, “Low-Level Amperometric Titration Method”, only the version in the 18th edition.  Referenced in Section 611.531.</w:t>
      </w:r>
    </w:p>
    <w:p w14:paraId="3C128682" w14:textId="77777777" w:rsidR="00AD24B5" w:rsidRPr="003B4362" w:rsidRDefault="00AD24B5" w:rsidP="00AD24B5">
      <w:pPr>
        <w:widowControl w:val="0"/>
        <w:suppressAutoHyphens/>
        <w:ind w:left="2880"/>
        <w:rPr>
          <w:szCs w:val="22"/>
        </w:rPr>
      </w:pPr>
    </w:p>
    <w:p w14:paraId="2DBF108E" w14:textId="77777777" w:rsidR="00AD24B5" w:rsidRPr="003B4362" w:rsidRDefault="00AD24B5" w:rsidP="00AD24B5">
      <w:pPr>
        <w:widowControl w:val="0"/>
        <w:suppressAutoHyphens/>
        <w:ind w:left="2880"/>
        <w:rPr>
          <w:szCs w:val="22"/>
        </w:rPr>
      </w:pPr>
      <w:r w:rsidRPr="003B4362">
        <w:rPr>
          <w:szCs w:val="22"/>
        </w:rPr>
        <w:t>“SM 4500-Cl E (93)” means Method 4500-Cl E, “Chlorine</w:t>
      </w:r>
      <w:r w:rsidRPr="003B4362">
        <w:rPr>
          <w:szCs w:val="24"/>
        </w:rPr>
        <w:t xml:space="preserve"> (Residual)</w:t>
      </w:r>
      <w:r w:rsidRPr="003B4362">
        <w:rPr>
          <w:szCs w:val="22"/>
        </w:rPr>
        <w:t>”, “Low-Level Amperometric Titration Method”, only the version in the 19th and 20th editions.  Referenced in Sections 611.381 and 611.531.</w:t>
      </w:r>
    </w:p>
    <w:p w14:paraId="15EADD92" w14:textId="77777777" w:rsidR="00AD24B5" w:rsidRPr="003B4362" w:rsidRDefault="00AD24B5" w:rsidP="00AD24B5">
      <w:pPr>
        <w:widowControl w:val="0"/>
        <w:suppressAutoHyphens/>
        <w:ind w:left="2880"/>
        <w:rPr>
          <w:szCs w:val="22"/>
        </w:rPr>
      </w:pPr>
    </w:p>
    <w:p w14:paraId="6E42F68A" w14:textId="77777777" w:rsidR="00AD24B5" w:rsidRPr="003B4362" w:rsidRDefault="00AD24B5" w:rsidP="00AD24B5">
      <w:pPr>
        <w:widowControl w:val="0"/>
        <w:suppressAutoHyphens/>
        <w:ind w:left="2880"/>
        <w:rPr>
          <w:szCs w:val="22"/>
        </w:rPr>
      </w:pPr>
      <w:r w:rsidRPr="003B4362">
        <w:rPr>
          <w:szCs w:val="22"/>
        </w:rPr>
        <w:t>“SM 4500-Cl E (00)” means Method 4500-Cl E, “Chlorine</w:t>
      </w:r>
      <w:r w:rsidRPr="003B4362">
        <w:rPr>
          <w:szCs w:val="24"/>
        </w:rPr>
        <w:t xml:space="preserve"> (Residual)</w:t>
      </w:r>
      <w:r w:rsidRPr="003B4362">
        <w:rPr>
          <w:szCs w:val="22"/>
        </w:rPr>
        <w:t>”, “Low-Level Amperometric Titration Method”, only the version in the 21st, 22nd, and 23rd editions.  Referenced in Sections 611.381 and 611.531.</w:t>
      </w:r>
    </w:p>
    <w:p w14:paraId="19F8F76F" w14:textId="77777777" w:rsidR="00AD24B5" w:rsidRPr="003B4362" w:rsidRDefault="00AD24B5" w:rsidP="00AD24B5">
      <w:pPr>
        <w:widowControl w:val="0"/>
        <w:suppressAutoHyphens/>
        <w:ind w:left="2880"/>
        <w:rPr>
          <w:szCs w:val="22"/>
        </w:rPr>
      </w:pPr>
    </w:p>
    <w:p w14:paraId="7F3914FE" w14:textId="77777777" w:rsidR="00AD24B5" w:rsidRPr="003B4362" w:rsidRDefault="00AD24B5" w:rsidP="00AD24B5">
      <w:pPr>
        <w:widowControl w:val="0"/>
        <w:suppressAutoHyphens/>
        <w:ind w:left="2880"/>
        <w:rPr>
          <w:szCs w:val="22"/>
        </w:rPr>
      </w:pPr>
      <w:r w:rsidRPr="003B4362">
        <w:rPr>
          <w:szCs w:val="22"/>
        </w:rPr>
        <w:t>“SM 4500-Cl F (89)” means Method 4500-Cl F, “Chlorine</w:t>
      </w:r>
      <w:r w:rsidRPr="003B4362">
        <w:rPr>
          <w:szCs w:val="24"/>
        </w:rPr>
        <w:t xml:space="preserve"> (Residual)</w:t>
      </w:r>
      <w:r w:rsidRPr="003B4362">
        <w:rPr>
          <w:szCs w:val="22"/>
        </w:rPr>
        <w:t>”, “</w:t>
      </w:r>
      <w:r w:rsidRPr="003B4362">
        <w:rPr>
          <w:szCs w:val="24"/>
        </w:rPr>
        <w:t>DPD Ferrous Titrimetric Method</w:t>
      </w:r>
      <w:r w:rsidRPr="003B4362">
        <w:rPr>
          <w:szCs w:val="22"/>
        </w:rPr>
        <w:t>”, only the version in the 18th edition.  Referenced in Section 611.531.</w:t>
      </w:r>
    </w:p>
    <w:p w14:paraId="4BE752E7" w14:textId="77777777" w:rsidR="00AD24B5" w:rsidRPr="003B4362" w:rsidRDefault="00AD24B5" w:rsidP="00AD24B5">
      <w:pPr>
        <w:widowControl w:val="0"/>
        <w:suppressAutoHyphens/>
        <w:ind w:left="2880"/>
        <w:rPr>
          <w:szCs w:val="22"/>
        </w:rPr>
      </w:pPr>
    </w:p>
    <w:p w14:paraId="046440DD" w14:textId="77777777" w:rsidR="00AD24B5" w:rsidRPr="003B4362" w:rsidRDefault="00AD24B5" w:rsidP="00AD24B5">
      <w:pPr>
        <w:widowControl w:val="0"/>
        <w:suppressAutoHyphens/>
        <w:ind w:left="2880"/>
        <w:rPr>
          <w:szCs w:val="22"/>
        </w:rPr>
      </w:pPr>
      <w:r w:rsidRPr="003B4362">
        <w:rPr>
          <w:szCs w:val="22"/>
        </w:rPr>
        <w:t>“SM 4500-Cl F (93)” means Method 4500-Cl F, “Chlorine</w:t>
      </w:r>
      <w:r w:rsidRPr="003B4362">
        <w:rPr>
          <w:szCs w:val="24"/>
        </w:rPr>
        <w:t xml:space="preserve"> (Residual)</w:t>
      </w:r>
      <w:r w:rsidRPr="003B4362">
        <w:rPr>
          <w:szCs w:val="22"/>
        </w:rPr>
        <w:t>”, “</w:t>
      </w:r>
      <w:r w:rsidRPr="003B4362">
        <w:rPr>
          <w:szCs w:val="24"/>
        </w:rPr>
        <w:t>DPD Ferrous Titrimetric Method</w:t>
      </w:r>
      <w:r w:rsidRPr="003B4362">
        <w:rPr>
          <w:szCs w:val="22"/>
        </w:rPr>
        <w:t>”, only the version in the 19th and 20th editions.  Referenced in Sections 611.381 and 611.531.</w:t>
      </w:r>
    </w:p>
    <w:p w14:paraId="151902B4" w14:textId="77777777" w:rsidR="00AD24B5" w:rsidRPr="003B4362" w:rsidRDefault="00AD24B5" w:rsidP="00AD24B5">
      <w:pPr>
        <w:widowControl w:val="0"/>
        <w:suppressAutoHyphens/>
        <w:ind w:left="2880"/>
        <w:rPr>
          <w:szCs w:val="22"/>
        </w:rPr>
      </w:pPr>
    </w:p>
    <w:p w14:paraId="7B897181" w14:textId="77777777" w:rsidR="00AD24B5" w:rsidRPr="003B4362" w:rsidRDefault="00AD24B5" w:rsidP="00AD24B5">
      <w:pPr>
        <w:widowControl w:val="0"/>
        <w:suppressAutoHyphens/>
        <w:ind w:left="2880"/>
        <w:rPr>
          <w:szCs w:val="22"/>
        </w:rPr>
      </w:pPr>
      <w:r w:rsidRPr="003B4362">
        <w:rPr>
          <w:szCs w:val="22"/>
        </w:rPr>
        <w:t>“SM 4500-Cl F (00)” means Method 4500-Cl F, “Chlorine</w:t>
      </w:r>
      <w:r w:rsidRPr="003B4362">
        <w:rPr>
          <w:szCs w:val="24"/>
        </w:rPr>
        <w:t xml:space="preserve"> (Residual)</w:t>
      </w:r>
      <w:r w:rsidRPr="003B4362">
        <w:rPr>
          <w:szCs w:val="22"/>
        </w:rPr>
        <w:t>”, “</w:t>
      </w:r>
      <w:r w:rsidRPr="003B4362">
        <w:rPr>
          <w:szCs w:val="24"/>
        </w:rPr>
        <w:t>DPD Ferrous Titrimetric Method</w:t>
      </w:r>
      <w:r w:rsidRPr="003B4362">
        <w:rPr>
          <w:szCs w:val="22"/>
        </w:rPr>
        <w:t>”, only the version in the 21st, 22nd, and 23rd editions.  Referenced in Sections 611.381 and 611.531.</w:t>
      </w:r>
    </w:p>
    <w:p w14:paraId="62D451F4" w14:textId="77777777" w:rsidR="00AD24B5" w:rsidRPr="003B4362" w:rsidRDefault="00AD24B5" w:rsidP="00AD24B5">
      <w:pPr>
        <w:widowControl w:val="0"/>
        <w:suppressAutoHyphens/>
        <w:ind w:left="2880"/>
        <w:rPr>
          <w:szCs w:val="22"/>
        </w:rPr>
      </w:pPr>
    </w:p>
    <w:p w14:paraId="0658F3A8" w14:textId="77777777" w:rsidR="00AD24B5" w:rsidRPr="003B4362" w:rsidRDefault="00AD24B5" w:rsidP="00AD24B5">
      <w:pPr>
        <w:widowControl w:val="0"/>
        <w:suppressAutoHyphens/>
        <w:ind w:left="2880"/>
        <w:rPr>
          <w:szCs w:val="22"/>
        </w:rPr>
      </w:pPr>
      <w:r w:rsidRPr="003B4362">
        <w:rPr>
          <w:szCs w:val="22"/>
        </w:rPr>
        <w:t>“SM 4500-Cl G (89)” means Method 4500-Cl G, “Chlorine</w:t>
      </w:r>
      <w:r w:rsidRPr="003B4362">
        <w:rPr>
          <w:szCs w:val="24"/>
        </w:rPr>
        <w:t xml:space="preserve"> (Residual)</w:t>
      </w:r>
      <w:r w:rsidRPr="003B4362">
        <w:rPr>
          <w:szCs w:val="22"/>
        </w:rPr>
        <w:t>”, “</w:t>
      </w:r>
      <w:r w:rsidRPr="003B4362">
        <w:rPr>
          <w:szCs w:val="24"/>
        </w:rPr>
        <w:t>DPD Colorimetric Method</w:t>
      </w:r>
      <w:r w:rsidRPr="003B4362">
        <w:rPr>
          <w:szCs w:val="22"/>
        </w:rPr>
        <w:t>”, only the version in the 18th edition.  Referenced in Section 611.531.</w:t>
      </w:r>
    </w:p>
    <w:p w14:paraId="1D882ABB" w14:textId="77777777" w:rsidR="00AD24B5" w:rsidRPr="003B4362" w:rsidRDefault="00AD24B5" w:rsidP="00AD24B5">
      <w:pPr>
        <w:widowControl w:val="0"/>
        <w:suppressAutoHyphens/>
        <w:ind w:left="2880"/>
        <w:rPr>
          <w:szCs w:val="22"/>
        </w:rPr>
      </w:pPr>
    </w:p>
    <w:p w14:paraId="0BDC1257" w14:textId="77777777" w:rsidR="00AD24B5" w:rsidRPr="003B4362" w:rsidRDefault="00AD24B5" w:rsidP="00AD24B5">
      <w:pPr>
        <w:widowControl w:val="0"/>
        <w:suppressAutoHyphens/>
        <w:ind w:left="2880"/>
        <w:rPr>
          <w:szCs w:val="22"/>
        </w:rPr>
      </w:pPr>
      <w:r w:rsidRPr="003B4362">
        <w:rPr>
          <w:szCs w:val="22"/>
        </w:rPr>
        <w:t>“SM 4500-Cl G (93)” means Method 4500-Cl G, “Chlorine</w:t>
      </w:r>
      <w:r w:rsidRPr="003B4362">
        <w:rPr>
          <w:szCs w:val="24"/>
        </w:rPr>
        <w:t xml:space="preserve"> (Residual)</w:t>
      </w:r>
      <w:r w:rsidRPr="003B4362">
        <w:rPr>
          <w:szCs w:val="22"/>
        </w:rPr>
        <w:t>”, “</w:t>
      </w:r>
      <w:r w:rsidRPr="003B4362">
        <w:rPr>
          <w:szCs w:val="24"/>
        </w:rPr>
        <w:t>DPD Colorimetric Method</w:t>
      </w:r>
      <w:r w:rsidRPr="003B4362">
        <w:rPr>
          <w:szCs w:val="22"/>
        </w:rPr>
        <w:t>”, only the version in the 19th and 20th editions.  Referenced in Sections 611.381 and 611.531.</w:t>
      </w:r>
    </w:p>
    <w:p w14:paraId="14B8553F" w14:textId="77777777" w:rsidR="00AD24B5" w:rsidRPr="003B4362" w:rsidRDefault="00AD24B5" w:rsidP="00AD24B5">
      <w:pPr>
        <w:widowControl w:val="0"/>
        <w:suppressAutoHyphens/>
        <w:ind w:left="2880"/>
        <w:rPr>
          <w:szCs w:val="22"/>
        </w:rPr>
      </w:pPr>
    </w:p>
    <w:p w14:paraId="7EAB09DB" w14:textId="77777777" w:rsidR="00AD24B5" w:rsidRPr="003B4362" w:rsidRDefault="00AD24B5" w:rsidP="00AD24B5">
      <w:pPr>
        <w:widowControl w:val="0"/>
        <w:suppressAutoHyphens/>
        <w:ind w:left="2880"/>
        <w:rPr>
          <w:szCs w:val="22"/>
        </w:rPr>
      </w:pPr>
      <w:r w:rsidRPr="003B4362">
        <w:rPr>
          <w:szCs w:val="22"/>
        </w:rPr>
        <w:t>“SM 4500-Cl G (00)” means Method 4500-Cl G, “Chlorine</w:t>
      </w:r>
      <w:r w:rsidRPr="003B4362">
        <w:rPr>
          <w:szCs w:val="24"/>
        </w:rPr>
        <w:t xml:space="preserve"> (Residual)</w:t>
      </w:r>
      <w:r w:rsidRPr="003B4362">
        <w:rPr>
          <w:szCs w:val="22"/>
        </w:rPr>
        <w:t>”, “</w:t>
      </w:r>
      <w:r w:rsidRPr="003B4362">
        <w:rPr>
          <w:szCs w:val="24"/>
        </w:rPr>
        <w:t>DPD Colorimetric Method</w:t>
      </w:r>
      <w:r w:rsidRPr="003B4362">
        <w:rPr>
          <w:szCs w:val="22"/>
        </w:rPr>
        <w:t>”, only the version in the 21st, 22nd, and 23rd editions.  Referenced in Sections 611.381 and 611.531.</w:t>
      </w:r>
    </w:p>
    <w:p w14:paraId="02A60AB4" w14:textId="77777777" w:rsidR="00AD24B5" w:rsidRPr="003B4362" w:rsidRDefault="00AD24B5" w:rsidP="00AD24B5">
      <w:pPr>
        <w:widowControl w:val="0"/>
        <w:suppressAutoHyphens/>
        <w:ind w:left="2880"/>
        <w:rPr>
          <w:szCs w:val="22"/>
        </w:rPr>
      </w:pPr>
    </w:p>
    <w:p w14:paraId="36F53D7C" w14:textId="77777777" w:rsidR="00AD24B5" w:rsidRPr="003B4362" w:rsidRDefault="00AD24B5" w:rsidP="00AD24B5">
      <w:pPr>
        <w:widowControl w:val="0"/>
        <w:suppressAutoHyphens/>
        <w:ind w:left="2880"/>
        <w:rPr>
          <w:szCs w:val="22"/>
        </w:rPr>
      </w:pPr>
      <w:r w:rsidRPr="003B4362">
        <w:rPr>
          <w:szCs w:val="22"/>
        </w:rPr>
        <w:t>“SM 4500-Cl H (89)” means Method 4500-Cl H, “Chlorine</w:t>
      </w:r>
      <w:r w:rsidRPr="003B4362">
        <w:rPr>
          <w:szCs w:val="24"/>
        </w:rPr>
        <w:t xml:space="preserve"> (Residual)</w:t>
      </w:r>
      <w:r w:rsidRPr="003B4362">
        <w:rPr>
          <w:szCs w:val="22"/>
        </w:rPr>
        <w:t>”, “</w:t>
      </w:r>
      <w:r w:rsidRPr="003B4362">
        <w:rPr>
          <w:szCs w:val="24"/>
        </w:rPr>
        <w:t>Syringaldazine (FACTS) Method</w:t>
      </w:r>
      <w:r w:rsidRPr="003B4362">
        <w:rPr>
          <w:szCs w:val="22"/>
        </w:rPr>
        <w:t>”, only the version in the 18th edition.  Referenced in Section 611.531.</w:t>
      </w:r>
    </w:p>
    <w:p w14:paraId="79448A53" w14:textId="77777777" w:rsidR="00AD24B5" w:rsidRPr="003B4362" w:rsidRDefault="00AD24B5" w:rsidP="00AD24B5">
      <w:pPr>
        <w:widowControl w:val="0"/>
        <w:suppressAutoHyphens/>
        <w:ind w:left="2880"/>
        <w:rPr>
          <w:szCs w:val="22"/>
        </w:rPr>
      </w:pPr>
    </w:p>
    <w:p w14:paraId="557B7F8C" w14:textId="77777777" w:rsidR="00AD24B5" w:rsidRPr="003B4362" w:rsidRDefault="00AD24B5" w:rsidP="00AD24B5">
      <w:pPr>
        <w:widowControl w:val="0"/>
        <w:suppressAutoHyphens/>
        <w:ind w:left="2880"/>
        <w:rPr>
          <w:szCs w:val="22"/>
        </w:rPr>
      </w:pPr>
      <w:r w:rsidRPr="003B4362">
        <w:rPr>
          <w:szCs w:val="22"/>
        </w:rPr>
        <w:t>“SM 4500-Cl H (93)” means Method 4500-Cl H, “Chlorine</w:t>
      </w:r>
      <w:r w:rsidRPr="003B4362">
        <w:rPr>
          <w:szCs w:val="24"/>
        </w:rPr>
        <w:t xml:space="preserve"> (Residual)</w:t>
      </w:r>
      <w:r w:rsidRPr="003B4362">
        <w:rPr>
          <w:szCs w:val="22"/>
        </w:rPr>
        <w:t>”, “</w:t>
      </w:r>
      <w:r w:rsidRPr="003B4362">
        <w:rPr>
          <w:szCs w:val="24"/>
        </w:rPr>
        <w:t>Syringaldazine (FACTS) Method</w:t>
      </w:r>
      <w:r w:rsidRPr="003B4362">
        <w:rPr>
          <w:szCs w:val="22"/>
        </w:rPr>
        <w:t>”, only the version in the 19th and 20th editions.  Referenced in Sections 611.381 and 611.531.</w:t>
      </w:r>
    </w:p>
    <w:p w14:paraId="7DD8FF30" w14:textId="77777777" w:rsidR="00AD24B5" w:rsidRPr="003B4362" w:rsidRDefault="00AD24B5" w:rsidP="00AD24B5">
      <w:pPr>
        <w:widowControl w:val="0"/>
        <w:suppressAutoHyphens/>
        <w:ind w:left="2880"/>
        <w:rPr>
          <w:szCs w:val="22"/>
        </w:rPr>
      </w:pPr>
    </w:p>
    <w:p w14:paraId="08C2D2C5" w14:textId="77777777" w:rsidR="00AD24B5" w:rsidRPr="003B4362" w:rsidRDefault="00AD24B5" w:rsidP="00AD24B5">
      <w:pPr>
        <w:widowControl w:val="0"/>
        <w:suppressAutoHyphens/>
        <w:ind w:left="2880"/>
        <w:rPr>
          <w:szCs w:val="22"/>
        </w:rPr>
      </w:pPr>
      <w:r w:rsidRPr="003B4362">
        <w:rPr>
          <w:szCs w:val="22"/>
        </w:rPr>
        <w:t>“SM 4500-Cl H (00)” means Method 4500-Cl H, “Chlorine</w:t>
      </w:r>
      <w:r w:rsidRPr="003B4362">
        <w:rPr>
          <w:szCs w:val="24"/>
        </w:rPr>
        <w:t xml:space="preserve"> (Residual)</w:t>
      </w:r>
      <w:r w:rsidRPr="003B4362">
        <w:rPr>
          <w:szCs w:val="22"/>
        </w:rPr>
        <w:t>”, “</w:t>
      </w:r>
      <w:r w:rsidRPr="003B4362">
        <w:rPr>
          <w:szCs w:val="24"/>
        </w:rPr>
        <w:t>Syringaldazine (FACTS) Method</w:t>
      </w:r>
      <w:r w:rsidRPr="003B4362">
        <w:rPr>
          <w:szCs w:val="22"/>
        </w:rPr>
        <w:t>”, only the version in the 21st, 22nd, and 23rd editions.  Referenced in Sections 611.381 and 611.531.</w:t>
      </w:r>
    </w:p>
    <w:p w14:paraId="351C8CA2" w14:textId="77777777" w:rsidR="00AD24B5" w:rsidRPr="003B4362" w:rsidRDefault="00AD24B5" w:rsidP="00AD24B5">
      <w:pPr>
        <w:widowControl w:val="0"/>
        <w:suppressAutoHyphens/>
        <w:ind w:left="2880"/>
        <w:rPr>
          <w:szCs w:val="22"/>
        </w:rPr>
      </w:pPr>
    </w:p>
    <w:p w14:paraId="234BFE1E" w14:textId="77777777" w:rsidR="00AD24B5" w:rsidRPr="003B4362" w:rsidRDefault="00AD24B5" w:rsidP="00AD24B5">
      <w:pPr>
        <w:widowControl w:val="0"/>
        <w:suppressAutoHyphens/>
        <w:ind w:left="2880"/>
        <w:rPr>
          <w:szCs w:val="22"/>
        </w:rPr>
      </w:pPr>
      <w:r w:rsidRPr="003B4362">
        <w:rPr>
          <w:szCs w:val="22"/>
        </w:rPr>
        <w:t>“SM 4500-Cl I (89)” means Method 4500-Cl I, “Chlorine</w:t>
      </w:r>
      <w:r w:rsidRPr="003B4362">
        <w:rPr>
          <w:szCs w:val="24"/>
        </w:rPr>
        <w:t xml:space="preserve"> (Residual)</w:t>
      </w:r>
      <w:r w:rsidRPr="003B4362">
        <w:rPr>
          <w:szCs w:val="22"/>
        </w:rPr>
        <w:t>”, “</w:t>
      </w:r>
      <w:r w:rsidRPr="003B4362">
        <w:rPr>
          <w:szCs w:val="24"/>
        </w:rPr>
        <w:t>Iodometric Electrode Method</w:t>
      </w:r>
      <w:r w:rsidRPr="003B4362">
        <w:rPr>
          <w:szCs w:val="22"/>
        </w:rPr>
        <w:t>”, only the version in the 18th edition.  Referenced in Section 611.531.</w:t>
      </w:r>
    </w:p>
    <w:p w14:paraId="35608184" w14:textId="77777777" w:rsidR="00AD24B5" w:rsidRPr="003B4362" w:rsidRDefault="00AD24B5" w:rsidP="00AD24B5">
      <w:pPr>
        <w:widowControl w:val="0"/>
        <w:suppressAutoHyphens/>
        <w:ind w:left="2880"/>
        <w:rPr>
          <w:szCs w:val="22"/>
        </w:rPr>
      </w:pPr>
    </w:p>
    <w:p w14:paraId="52557CC5" w14:textId="77777777" w:rsidR="00AD24B5" w:rsidRPr="003B4362" w:rsidRDefault="00AD24B5" w:rsidP="00AD24B5">
      <w:pPr>
        <w:widowControl w:val="0"/>
        <w:suppressAutoHyphens/>
        <w:ind w:left="2880"/>
        <w:rPr>
          <w:szCs w:val="22"/>
        </w:rPr>
      </w:pPr>
      <w:r w:rsidRPr="003B4362">
        <w:rPr>
          <w:szCs w:val="22"/>
        </w:rPr>
        <w:t>“SM 4500-Cl I (93)” means Method 4500-Cl I, “Chlorine</w:t>
      </w:r>
      <w:r w:rsidRPr="003B4362">
        <w:rPr>
          <w:szCs w:val="24"/>
        </w:rPr>
        <w:t xml:space="preserve"> (Residual)</w:t>
      </w:r>
      <w:r w:rsidRPr="003B4362">
        <w:rPr>
          <w:szCs w:val="22"/>
        </w:rPr>
        <w:t>”, “</w:t>
      </w:r>
      <w:r w:rsidRPr="003B4362">
        <w:rPr>
          <w:szCs w:val="24"/>
        </w:rPr>
        <w:t>Iodometric Electrode Method</w:t>
      </w:r>
      <w:r w:rsidRPr="003B4362">
        <w:rPr>
          <w:szCs w:val="22"/>
        </w:rPr>
        <w:t>”, only the version in the 19th and 20th editions.  Referenced in Sections 611.381 and 611.531.</w:t>
      </w:r>
    </w:p>
    <w:p w14:paraId="34A066E9" w14:textId="77777777" w:rsidR="00AD24B5" w:rsidRPr="003B4362" w:rsidRDefault="00AD24B5" w:rsidP="00AD24B5">
      <w:pPr>
        <w:widowControl w:val="0"/>
        <w:suppressAutoHyphens/>
        <w:ind w:left="2880"/>
        <w:rPr>
          <w:szCs w:val="22"/>
        </w:rPr>
      </w:pPr>
    </w:p>
    <w:p w14:paraId="0898CE37" w14:textId="77777777" w:rsidR="00AD24B5" w:rsidRPr="003B4362" w:rsidRDefault="00AD24B5" w:rsidP="00AD24B5">
      <w:pPr>
        <w:widowControl w:val="0"/>
        <w:suppressAutoHyphens/>
        <w:ind w:left="2880"/>
        <w:rPr>
          <w:szCs w:val="22"/>
        </w:rPr>
      </w:pPr>
      <w:r w:rsidRPr="003B4362">
        <w:rPr>
          <w:szCs w:val="22"/>
        </w:rPr>
        <w:t>“SM 4500-Cl I (00)” means Method 4500-Cl I, “Chlorine</w:t>
      </w:r>
      <w:r w:rsidRPr="003B4362">
        <w:rPr>
          <w:szCs w:val="24"/>
        </w:rPr>
        <w:t xml:space="preserve"> (Residual)</w:t>
      </w:r>
      <w:r w:rsidRPr="003B4362">
        <w:rPr>
          <w:szCs w:val="22"/>
        </w:rPr>
        <w:t>”, “</w:t>
      </w:r>
      <w:r w:rsidRPr="003B4362">
        <w:rPr>
          <w:szCs w:val="24"/>
        </w:rPr>
        <w:t>Iodometric Electrode Method</w:t>
      </w:r>
      <w:r w:rsidRPr="003B4362">
        <w:rPr>
          <w:szCs w:val="22"/>
        </w:rPr>
        <w:t>”, only the version in the 21st, 22nd, and 23rd editions.  Referenced in Sections 611.381 and 611.531.</w:t>
      </w:r>
    </w:p>
    <w:p w14:paraId="692BD817" w14:textId="77777777" w:rsidR="00AD24B5" w:rsidRPr="003B4362" w:rsidRDefault="00AD24B5" w:rsidP="00AD24B5">
      <w:pPr>
        <w:widowControl w:val="0"/>
        <w:suppressAutoHyphens/>
        <w:ind w:left="2880"/>
        <w:rPr>
          <w:szCs w:val="22"/>
        </w:rPr>
      </w:pPr>
    </w:p>
    <w:p w14:paraId="520DC877"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C (88)” means Method 4500-ClO</w:t>
      </w:r>
      <w:r w:rsidRPr="003B4362">
        <w:rPr>
          <w:szCs w:val="22"/>
          <w:vertAlign w:val="subscript"/>
        </w:rPr>
        <w:t>2</w:t>
      </w:r>
      <w:r w:rsidRPr="003B4362">
        <w:rPr>
          <w:szCs w:val="22"/>
        </w:rPr>
        <w:t xml:space="preserve"> C, “Chlorine</w:t>
      </w:r>
      <w:r w:rsidRPr="003B4362">
        <w:rPr>
          <w:szCs w:val="24"/>
        </w:rPr>
        <w:t xml:space="preserve"> Dioxide</w:t>
      </w:r>
      <w:r w:rsidRPr="003B4362">
        <w:rPr>
          <w:szCs w:val="22"/>
        </w:rPr>
        <w:t>”, “</w:t>
      </w:r>
      <w:r w:rsidRPr="003B4362">
        <w:rPr>
          <w:szCs w:val="24"/>
        </w:rPr>
        <w:t>Amperometric Method I</w:t>
      </w:r>
      <w:r w:rsidRPr="003B4362">
        <w:rPr>
          <w:szCs w:val="22"/>
        </w:rPr>
        <w:t xml:space="preserve">”, only the version in the 18th </w:t>
      </w:r>
      <w:r w:rsidRPr="003B4362">
        <w:rPr>
          <w:szCs w:val="22"/>
        </w:rPr>
        <w:lastRenderedPageBreak/>
        <w:t>edition.  Referenced in Sections 611.381 and 611.531.</w:t>
      </w:r>
    </w:p>
    <w:p w14:paraId="75D05C76" w14:textId="77777777" w:rsidR="00AD24B5" w:rsidRPr="003B4362" w:rsidRDefault="00AD24B5" w:rsidP="00AD24B5">
      <w:pPr>
        <w:widowControl w:val="0"/>
        <w:suppressAutoHyphens/>
        <w:ind w:left="2880"/>
        <w:rPr>
          <w:szCs w:val="22"/>
        </w:rPr>
      </w:pPr>
    </w:p>
    <w:p w14:paraId="557815E6"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C (93)” means Method 4500-ClO</w:t>
      </w:r>
      <w:r w:rsidRPr="003B4362">
        <w:rPr>
          <w:szCs w:val="22"/>
          <w:vertAlign w:val="subscript"/>
        </w:rPr>
        <w:t>2</w:t>
      </w:r>
      <w:r w:rsidRPr="003B4362">
        <w:rPr>
          <w:szCs w:val="22"/>
        </w:rPr>
        <w:t xml:space="preserve"> C, “Chlorine</w:t>
      </w:r>
      <w:r w:rsidRPr="003B4362">
        <w:rPr>
          <w:szCs w:val="24"/>
        </w:rPr>
        <w:t xml:space="preserve"> Dioxide</w:t>
      </w:r>
      <w:r w:rsidRPr="003B4362">
        <w:rPr>
          <w:szCs w:val="22"/>
        </w:rPr>
        <w:t>”, “</w:t>
      </w:r>
      <w:r w:rsidRPr="003B4362">
        <w:rPr>
          <w:szCs w:val="24"/>
        </w:rPr>
        <w:t>Amperometric Method I</w:t>
      </w:r>
      <w:r w:rsidRPr="003B4362">
        <w:rPr>
          <w:szCs w:val="22"/>
        </w:rPr>
        <w:t>”, only the version in the 19th and 20th editions.  Referenced in Section 611.531.</w:t>
      </w:r>
    </w:p>
    <w:p w14:paraId="7AECFC48" w14:textId="77777777" w:rsidR="00AD24B5" w:rsidRPr="003B4362" w:rsidRDefault="00AD24B5" w:rsidP="00AD24B5">
      <w:pPr>
        <w:widowControl w:val="0"/>
        <w:suppressAutoHyphens/>
        <w:ind w:left="2880"/>
        <w:rPr>
          <w:szCs w:val="22"/>
        </w:rPr>
      </w:pPr>
    </w:p>
    <w:p w14:paraId="70974D4A"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C (00)” means Method 4500-ClO</w:t>
      </w:r>
      <w:r w:rsidRPr="003B4362">
        <w:rPr>
          <w:szCs w:val="22"/>
          <w:vertAlign w:val="subscript"/>
        </w:rPr>
        <w:t>2</w:t>
      </w:r>
      <w:r w:rsidRPr="003B4362">
        <w:rPr>
          <w:szCs w:val="22"/>
        </w:rPr>
        <w:t xml:space="preserve"> C, “Chlorine</w:t>
      </w:r>
      <w:r w:rsidRPr="003B4362">
        <w:rPr>
          <w:szCs w:val="24"/>
        </w:rPr>
        <w:t xml:space="preserve"> Dioxide</w:t>
      </w:r>
      <w:r w:rsidRPr="003B4362">
        <w:rPr>
          <w:szCs w:val="22"/>
        </w:rPr>
        <w:t>”, “</w:t>
      </w:r>
      <w:r w:rsidRPr="003B4362">
        <w:rPr>
          <w:szCs w:val="24"/>
        </w:rPr>
        <w:t>Amperometric Method I</w:t>
      </w:r>
      <w:r w:rsidRPr="003B4362">
        <w:rPr>
          <w:szCs w:val="22"/>
        </w:rPr>
        <w:t>”, only the version in the 21st, 22nd, and 23rd editions.  Referenced in Section 611.531.</w:t>
      </w:r>
    </w:p>
    <w:p w14:paraId="777D08E4" w14:textId="77777777" w:rsidR="00AD24B5" w:rsidRPr="003B4362" w:rsidRDefault="00AD24B5" w:rsidP="00AD24B5">
      <w:pPr>
        <w:widowControl w:val="0"/>
        <w:suppressAutoHyphens/>
        <w:ind w:left="2880"/>
        <w:rPr>
          <w:szCs w:val="22"/>
        </w:rPr>
      </w:pPr>
    </w:p>
    <w:p w14:paraId="12CAFA28"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D (88)” means Method 4500-ClO</w:t>
      </w:r>
      <w:r w:rsidRPr="003B4362">
        <w:rPr>
          <w:szCs w:val="22"/>
          <w:vertAlign w:val="subscript"/>
        </w:rPr>
        <w:t>2</w:t>
      </w:r>
      <w:r w:rsidRPr="003B4362">
        <w:rPr>
          <w:szCs w:val="22"/>
        </w:rPr>
        <w:t xml:space="preserve"> D, “Chlorine</w:t>
      </w:r>
      <w:r w:rsidRPr="003B4362">
        <w:rPr>
          <w:szCs w:val="24"/>
        </w:rPr>
        <w:t xml:space="preserve"> Dioxide</w:t>
      </w:r>
      <w:r w:rsidRPr="003B4362">
        <w:rPr>
          <w:szCs w:val="22"/>
        </w:rPr>
        <w:t>”, “</w:t>
      </w:r>
      <w:r w:rsidRPr="003B4362">
        <w:rPr>
          <w:szCs w:val="24"/>
        </w:rPr>
        <w:t>DPD Method</w:t>
      </w:r>
      <w:r w:rsidRPr="003B4362">
        <w:rPr>
          <w:szCs w:val="22"/>
        </w:rPr>
        <w:t>”, only the version in the 18th edition.  Referenced in Section 611.531.</w:t>
      </w:r>
    </w:p>
    <w:p w14:paraId="0FEB9698" w14:textId="77777777" w:rsidR="00AD24B5" w:rsidRPr="003B4362" w:rsidRDefault="00AD24B5" w:rsidP="00AD24B5">
      <w:pPr>
        <w:widowControl w:val="0"/>
        <w:suppressAutoHyphens/>
        <w:ind w:left="2880"/>
        <w:rPr>
          <w:szCs w:val="22"/>
        </w:rPr>
      </w:pPr>
    </w:p>
    <w:p w14:paraId="5BFCF253"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D (93)” means Method 4500-ClO</w:t>
      </w:r>
      <w:r w:rsidRPr="003B4362">
        <w:rPr>
          <w:szCs w:val="22"/>
          <w:vertAlign w:val="subscript"/>
        </w:rPr>
        <w:t>2</w:t>
      </w:r>
      <w:r w:rsidRPr="003B4362">
        <w:rPr>
          <w:szCs w:val="22"/>
        </w:rPr>
        <w:t xml:space="preserve"> D, “Chlorine</w:t>
      </w:r>
      <w:r w:rsidRPr="003B4362">
        <w:rPr>
          <w:szCs w:val="24"/>
        </w:rPr>
        <w:t xml:space="preserve"> Dioxide</w:t>
      </w:r>
      <w:r w:rsidRPr="003B4362">
        <w:rPr>
          <w:szCs w:val="22"/>
        </w:rPr>
        <w:t>”, “</w:t>
      </w:r>
      <w:r w:rsidRPr="003B4362">
        <w:rPr>
          <w:szCs w:val="24"/>
        </w:rPr>
        <w:t>DPD Method</w:t>
      </w:r>
      <w:r w:rsidRPr="003B4362">
        <w:rPr>
          <w:szCs w:val="22"/>
        </w:rPr>
        <w:t>”, only the version in the 19th and 20th editions.  Referenced in Sections 611.381 and 611.531.</w:t>
      </w:r>
    </w:p>
    <w:p w14:paraId="11E94155" w14:textId="77777777" w:rsidR="00AD24B5" w:rsidRPr="003B4362" w:rsidRDefault="00AD24B5" w:rsidP="00AD24B5">
      <w:pPr>
        <w:widowControl w:val="0"/>
        <w:suppressAutoHyphens/>
        <w:ind w:left="2880"/>
        <w:rPr>
          <w:szCs w:val="22"/>
        </w:rPr>
      </w:pPr>
    </w:p>
    <w:p w14:paraId="3C7C11ED"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D (00)” means Method 4500-ClO</w:t>
      </w:r>
      <w:r w:rsidRPr="003B4362">
        <w:rPr>
          <w:szCs w:val="22"/>
          <w:vertAlign w:val="subscript"/>
        </w:rPr>
        <w:t>2</w:t>
      </w:r>
      <w:r w:rsidRPr="003B4362">
        <w:rPr>
          <w:szCs w:val="22"/>
        </w:rPr>
        <w:t xml:space="preserve"> D, “Chlorine</w:t>
      </w:r>
      <w:r w:rsidRPr="003B4362">
        <w:rPr>
          <w:szCs w:val="24"/>
        </w:rPr>
        <w:t xml:space="preserve"> Dioxide</w:t>
      </w:r>
      <w:r w:rsidRPr="003B4362">
        <w:rPr>
          <w:szCs w:val="22"/>
        </w:rPr>
        <w:t>”, “</w:t>
      </w:r>
      <w:r w:rsidRPr="003B4362">
        <w:rPr>
          <w:szCs w:val="24"/>
        </w:rPr>
        <w:t>DPD Method</w:t>
      </w:r>
      <w:r w:rsidRPr="003B4362">
        <w:rPr>
          <w:szCs w:val="22"/>
        </w:rPr>
        <w:t>”, only the version in the 21st edition.  Referenced in Section 611.381.</w:t>
      </w:r>
    </w:p>
    <w:p w14:paraId="7EC885D7" w14:textId="77777777" w:rsidR="00AD24B5" w:rsidRPr="003B4362" w:rsidRDefault="00AD24B5" w:rsidP="00AD24B5">
      <w:pPr>
        <w:widowControl w:val="0"/>
        <w:suppressAutoHyphens/>
        <w:ind w:left="2880"/>
        <w:rPr>
          <w:szCs w:val="22"/>
        </w:rPr>
      </w:pPr>
    </w:p>
    <w:p w14:paraId="6DC373A7"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E (88)” means Method 4500-ClO</w:t>
      </w:r>
      <w:r w:rsidRPr="003B4362">
        <w:rPr>
          <w:szCs w:val="22"/>
          <w:vertAlign w:val="subscript"/>
        </w:rPr>
        <w:t>2</w:t>
      </w:r>
      <w:r w:rsidRPr="003B4362">
        <w:rPr>
          <w:szCs w:val="22"/>
        </w:rPr>
        <w:t xml:space="preserve"> E, “Chlorine</w:t>
      </w:r>
      <w:r w:rsidRPr="003B4362">
        <w:rPr>
          <w:szCs w:val="24"/>
        </w:rPr>
        <w:t xml:space="preserve"> Dioxide</w:t>
      </w:r>
      <w:r w:rsidRPr="003B4362">
        <w:rPr>
          <w:szCs w:val="22"/>
        </w:rPr>
        <w:t>”, “</w:t>
      </w:r>
      <w:r w:rsidRPr="003B4362">
        <w:rPr>
          <w:szCs w:val="24"/>
        </w:rPr>
        <w:t>Amperometric Method II (Proposed)</w:t>
      </w:r>
      <w:r w:rsidRPr="003B4362">
        <w:rPr>
          <w:szCs w:val="22"/>
        </w:rPr>
        <w:t>”, only the version in the 18th edition.  Referenced in Section 611.531.</w:t>
      </w:r>
    </w:p>
    <w:p w14:paraId="7E38B2E5" w14:textId="77777777" w:rsidR="00AD24B5" w:rsidRPr="003B4362" w:rsidRDefault="00AD24B5" w:rsidP="00AD24B5">
      <w:pPr>
        <w:widowControl w:val="0"/>
        <w:suppressAutoHyphens/>
        <w:ind w:left="2880"/>
        <w:rPr>
          <w:szCs w:val="22"/>
        </w:rPr>
      </w:pPr>
    </w:p>
    <w:p w14:paraId="6033E450"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E (93)” means Method 4500-ClO</w:t>
      </w:r>
      <w:r w:rsidRPr="003B4362">
        <w:rPr>
          <w:szCs w:val="22"/>
          <w:vertAlign w:val="subscript"/>
        </w:rPr>
        <w:t>2</w:t>
      </w:r>
      <w:r w:rsidRPr="003B4362">
        <w:rPr>
          <w:szCs w:val="22"/>
        </w:rPr>
        <w:t xml:space="preserve"> E, “Chlorine</w:t>
      </w:r>
      <w:r w:rsidRPr="003B4362">
        <w:rPr>
          <w:szCs w:val="24"/>
        </w:rPr>
        <w:t xml:space="preserve"> Dioxide</w:t>
      </w:r>
      <w:r w:rsidRPr="003B4362">
        <w:rPr>
          <w:szCs w:val="22"/>
        </w:rPr>
        <w:t>”, “</w:t>
      </w:r>
      <w:r w:rsidRPr="003B4362">
        <w:rPr>
          <w:szCs w:val="24"/>
        </w:rPr>
        <w:t>Amperometric Method II</w:t>
      </w:r>
      <w:r w:rsidRPr="003B4362">
        <w:rPr>
          <w:szCs w:val="22"/>
        </w:rPr>
        <w:t>”, only the version in the 19th and 20th editions.  Referenced in Sections 611.381 and 611.531.</w:t>
      </w:r>
    </w:p>
    <w:p w14:paraId="41CACB45" w14:textId="77777777" w:rsidR="00AD24B5" w:rsidRPr="003B4362" w:rsidRDefault="00AD24B5" w:rsidP="00AD24B5">
      <w:pPr>
        <w:widowControl w:val="0"/>
        <w:suppressAutoHyphens/>
        <w:ind w:left="2880"/>
        <w:rPr>
          <w:szCs w:val="22"/>
        </w:rPr>
      </w:pPr>
    </w:p>
    <w:p w14:paraId="1BE4F9B9"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E (00)” means Method 4500-ClO</w:t>
      </w:r>
      <w:r w:rsidRPr="003B4362">
        <w:rPr>
          <w:szCs w:val="22"/>
          <w:vertAlign w:val="subscript"/>
        </w:rPr>
        <w:t>2</w:t>
      </w:r>
      <w:r w:rsidRPr="003B4362">
        <w:rPr>
          <w:szCs w:val="22"/>
        </w:rPr>
        <w:t xml:space="preserve"> E, “Chlorine</w:t>
      </w:r>
      <w:r w:rsidRPr="003B4362">
        <w:rPr>
          <w:szCs w:val="24"/>
        </w:rPr>
        <w:t xml:space="preserve"> Dioxide</w:t>
      </w:r>
      <w:r w:rsidRPr="003B4362">
        <w:rPr>
          <w:szCs w:val="22"/>
        </w:rPr>
        <w:t>”, “</w:t>
      </w:r>
      <w:r w:rsidRPr="003B4362">
        <w:rPr>
          <w:szCs w:val="24"/>
        </w:rPr>
        <w:t>Amperometric Method II</w:t>
      </w:r>
      <w:r w:rsidRPr="003B4362">
        <w:rPr>
          <w:szCs w:val="22"/>
        </w:rPr>
        <w:t>”, only the version in the 21st, 22nd, and 23rd editions.  Referenced in Sections 611.381 and 611.531.</w:t>
      </w:r>
    </w:p>
    <w:p w14:paraId="3A4CF803" w14:textId="77777777" w:rsidR="00AD24B5" w:rsidRPr="003B4362" w:rsidRDefault="00AD24B5" w:rsidP="00AD24B5">
      <w:pPr>
        <w:widowControl w:val="0"/>
        <w:suppressAutoHyphens/>
        <w:ind w:left="2880"/>
        <w:rPr>
          <w:szCs w:val="22"/>
        </w:rPr>
      </w:pPr>
    </w:p>
    <w:p w14:paraId="35D361B5"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C (90)” means Method 4500-CN</w:t>
      </w:r>
      <w:r w:rsidRPr="003B4362">
        <w:rPr>
          <w:szCs w:val="22"/>
          <w:vertAlign w:val="superscript"/>
        </w:rPr>
        <w:t>–</w:t>
      </w:r>
      <w:r w:rsidRPr="003B4362">
        <w:rPr>
          <w:szCs w:val="22"/>
        </w:rPr>
        <w:t xml:space="preserve"> C, “Cyanide”, “Total Cyanide after Distillation”, only the version in the 18th and 19th editions.  Referenced in Section 611.611.</w:t>
      </w:r>
    </w:p>
    <w:p w14:paraId="095835B3" w14:textId="77777777" w:rsidR="00AD24B5" w:rsidRPr="003B4362" w:rsidRDefault="00AD24B5" w:rsidP="00AD24B5">
      <w:pPr>
        <w:widowControl w:val="0"/>
        <w:suppressAutoHyphens/>
        <w:ind w:left="2880"/>
        <w:rPr>
          <w:szCs w:val="22"/>
        </w:rPr>
      </w:pPr>
    </w:p>
    <w:p w14:paraId="1810B872"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C (97)” means Method 4500-CN</w:t>
      </w:r>
      <w:r w:rsidRPr="003B4362">
        <w:rPr>
          <w:szCs w:val="22"/>
          <w:vertAlign w:val="superscript"/>
        </w:rPr>
        <w:t>–</w:t>
      </w:r>
      <w:r w:rsidRPr="003B4362">
        <w:rPr>
          <w:szCs w:val="22"/>
        </w:rPr>
        <w:t xml:space="preserve"> C, “Cyanide”, “Total Cyanide after Distillation”, only the version in the 20th edition.  Referenced in Section 611.611.</w:t>
      </w:r>
    </w:p>
    <w:p w14:paraId="5480AB87" w14:textId="77777777" w:rsidR="00AD24B5" w:rsidRPr="003B4362" w:rsidRDefault="00AD24B5" w:rsidP="00AD24B5">
      <w:pPr>
        <w:widowControl w:val="0"/>
        <w:suppressAutoHyphens/>
        <w:ind w:left="2880"/>
        <w:rPr>
          <w:szCs w:val="22"/>
        </w:rPr>
      </w:pPr>
    </w:p>
    <w:p w14:paraId="67414A22"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C (99)” means Method 4500-CN</w:t>
      </w:r>
      <w:r w:rsidRPr="003B4362">
        <w:rPr>
          <w:szCs w:val="22"/>
          <w:vertAlign w:val="superscript"/>
        </w:rPr>
        <w:t>–</w:t>
      </w:r>
      <w:r w:rsidRPr="003B4362">
        <w:rPr>
          <w:szCs w:val="22"/>
        </w:rPr>
        <w:t xml:space="preserve"> C, “Cyanide”, “Total Cyanide after Distillation”, only the version in the 21st and </w:t>
      </w:r>
      <w:r w:rsidRPr="003B4362">
        <w:rPr>
          <w:szCs w:val="22"/>
        </w:rPr>
        <w:lastRenderedPageBreak/>
        <w:t>22nd editions.  Referenced in Section 611.611.</w:t>
      </w:r>
    </w:p>
    <w:p w14:paraId="4EC5F05D" w14:textId="77777777" w:rsidR="00AD24B5" w:rsidRPr="003B4362" w:rsidRDefault="00AD24B5" w:rsidP="00AD24B5">
      <w:pPr>
        <w:widowControl w:val="0"/>
        <w:suppressAutoHyphens/>
        <w:ind w:left="2880"/>
        <w:rPr>
          <w:szCs w:val="22"/>
        </w:rPr>
      </w:pPr>
    </w:p>
    <w:p w14:paraId="1AA2FCD9"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C (16)” means Method 4500-CN</w:t>
      </w:r>
      <w:r w:rsidRPr="003B4362">
        <w:rPr>
          <w:szCs w:val="22"/>
          <w:vertAlign w:val="superscript"/>
        </w:rPr>
        <w:t>–</w:t>
      </w:r>
      <w:r w:rsidRPr="003B4362">
        <w:rPr>
          <w:szCs w:val="22"/>
        </w:rPr>
        <w:t xml:space="preserve"> C, “Cyanide”, “Total Cyanide after Distillation”, only the version in the 23rd edition.  Referenced in Section 611.611.</w:t>
      </w:r>
    </w:p>
    <w:p w14:paraId="79CADB3C" w14:textId="77777777" w:rsidR="00AD24B5" w:rsidRPr="003B4362" w:rsidRDefault="00AD24B5" w:rsidP="00AD24B5">
      <w:pPr>
        <w:widowControl w:val="0"/>
        <w:suppressAutoHyphens/>
        <w:ind w:left="2880"/>
        <w:rPr>
          <w:szCs w:val="22"/>
        </w:rPr>
      </w:pPr>
    </w:p>
    <w:p w14:paraId="764974CB"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E (90)” means Method 4500-CN</w:t>
      </w:r>
      <w:r w:rsidRPr="003B4362">
        <w:rPr>
          <w:szCs w:val="22"/>
          <w:vertAlign w:val="superscript"/>
        </w:rPr>
        <w:t>–</w:t>
      </w:r>
      <w:r w:rsidRPr="003B4362">
        <w:rPr>
          <w:szCs w:val="22"/>
        </w:rPr>
        <w:t xml:space="preserve"> E, “Cyanide”, “</w:t>
      </w:r>
      <w:r w:rsidRPr="003B4362">
        <w:rPr>
          <w:szCs w:val="24"/>
        </w:rPr>
        <w:t>Colorimetric Method</w:t>
      </w:r>
      <w:r w:rsidRPr="003B4362">
        <w:rPr>
          <w:szCs w:val="22"/>
        </w:rPr>
        <w:t>”, only the version in the 18th and 19th editions.  Referenced in Section 611.611.</w:t>
      </w:r>
    </w:p>
    <w:p w14:paraId="7B129471" w14:textId="77777777" w:rsidR="00AD24B5" w:rsidRPr="003B4362" w:rsidRDefault="00AD24B5" w:rsidP="00AD24B5">
      <w:pPr>
        <w:widowControl w:val="0"/>
        <w:suppressAutoHyphens/>
        <w:ind w:left="2880"/>
        <w:rPr>
          <w:szCs w:val="22"/>
        </w:rPr>
      </w:pPr>
    </w:p>
    <w:p w14:paraId="12D5A745"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E (97)” means Method 4500-CN</w:t>
      </w:r>
      <w:r w:rsidRPr="003B4362">
        <w:rPr>
          <w:szCs w:val="22"/>
          <w:vertAlign w:val="superscript"/>
        </w:rPr>
        <w:t>–</w:t>
      </w:r>
      <w:r w:rsidRPr="003B4362">
        <w:rPr>
          <w:szCs w:val="22"/>
        </w:rPr>
        <w:t xml:space="preserve"> E, “Cyanide”, “</w:t>
      </w:r>
      <w:r w:rsidRPr="003B4362">
        <w:rPr>
          <w:szCs w:val="24"/>
        </w:rPr>
        <w:t>Colorimetric Method</w:t>
      </w:r>
      <w:r w:rsidRPr="003B4362">
        <w:rPr>
          <w:szCs w:val="22"/>
        </w:rPr>
        <w:t>”, only the version in the 20th edition.  Referenced in Section 611.611.</w:t>
      </w:r>
    </w:p>
    <w:p w14:paraId="297EAB0E" w14:textId="77777777" w:rsidR="00AD24B5" w:rsidRPr="003B4362" w:rsidRDefault="00AD24B5" w:rsidP="00AD24B5">
      <w:pPr>
        <w:widowControl w:val="0"/>
        <w:suppressAutoHyphens/>
        <w:ind w:left="2880"/>
        <w:rPr>
          <w:szCs w:val="22"/>
        </w:rPr>
      </w:pPr>
    </w:p>
    <w:p w14:paraId="7B74F945"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E (99)” means Method 4500-CN</w:t>
      </w:r>
      <w:r w:rsidRPr="003B4362">
        <w:rPr>
          <w:szCs w:val="22"/>
          <w:vertAlign w:val="superscript"/>
        </w:rPr>
        <w:t>–</w:t>
      </w:r>
      <w:r w:rsidRPr="003B4362">
        <w:rPr>
          <w:szCs w:val="22"/>
        </w:rPr>
        <w:t xml:space="preserve"> E, “Cyanide”, “</w:t>
      </w:r>
      <w:r w:rsidRPr="003B4362">
        <w:rPr>
          <w:szCs w:val="24"/>
        </w:rPr>
        <w:t>Colorimetric Method</w:t>
      </w:r>
      <w:r w:rsidRPr="003B4362">
        <w:rPr>
          <w:szCs w:val="22"/>
        </w:rPr>
        <w:t>”, only the version in the 21st and 22nd editions.  Referenced in Section 611.611.</w:t>
      </w:r>
    </w:p>
    <w:p w14:paraId="518BCD51" w14:textId="77777777" w:rsidR="00AD24B5" w:rsidRPr="003B4362" w:rsidRDefault="00AD24B5" w:rsidP="00AD24B5">
      <w:pPr>
        <w:widowControl w:val="0"/>
        <w:suppressAutoHyphens/>
        <w:ind w:left="2880"/>
        <w:rPr>
          <w:szCs w:val="22"/>
        </w:rPr>
      </w:pPr>
    </w:p>
    <w:p w14:paraId="7B508300"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E (16)” means Method 4500-CN</w:t>
      </w:r>
      <w:r w:rsidRPr="003B4362">
        <w:rPr>
          <w:szCs w:val="22"/>
          <w:vertAlign w:val="superscript"/>
        </w:rPr>
        <w:t>–</w:t>
      </w:r>
      <w:r w:rsidRPr="003B4362">
        <w:rPr>
          <w:szCs w:val="22"/>
        </w:rPr>
        <w:t xml:space="preserve"> E, “Cyanide”, “</w:t>
      </w:r>
      <w:r w:rsidRPr="003B4362">
        <w:rPr>
          <w:szCs w:val="24"/>
        </w:rPr>
        <w:t>Colorimetric Method</w:t>
      </w:r>
      <w:r w:rsidRPr="003B4362">
        <w:rPr>
          <w:szCs w:val="22"/>
        </w:rPr>
        <w:t>”, only the version in the 23rd edition.  Referenced in Section 611.611.</w:t>
      </w:r>
    </w:p>
    <w:p w14:paraId="5ABE8A63" w14:textId="77777777" w:rsidR="00AD24B5" w:rsidRPr="003B4362" w:rsidRDefault="00AD24B5" w:rsidP="00AD24B5">
      <w:pPr>
        <w:widowControl w:val="0"/>
        <w:suppressAutoHyphens/>
        <w:ind w:left="2880"/>
        <w:rPr>
          <w:szCs w:val="22"/>
        </w:rPr>
      </w:pPr>
    </w:p>
    <w:p w14:paraId="5ACFEDAD"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F (90)” means Method 4500-CN</w:t>
      </w:r>
      <w:r w:rsidRPr="003B4362">
        <w:rPr>
          <w:szCs w:val="22"/>
          <w:vertAlign w:val="superscript"/>
        </w:rPr>
        <w:t>–</w:t>
      </w:r>
      <w:r w:rsidRPr="003B4362">
        <w:rPr>
          <w:szCs w:val="22"/>
        </w:rPr>
        <w:t xml:space="preserve"> F, “Cyanide”, “</w:t>
      </w:r>
      <w:r w:rsidRPr="003B4362">
        <w:rPr>
          <w:szCs w:val="24"/>
        </w:rPr>
        <w:t>Cyanide-Selective Electrode Method</w:t>
      </w:r>
      <w:r w:rsidRPr="003B4362">
        <w:rPr>
          <w:szCs w:val="22"/>
        </w:rPr>
        <w:t>”, only the version in the 18th and 19th editions.  Referenced in Section 611.611.</w:t>
      </w:r>
    </w:p>
    <w:p w14:paraId="75DDED65" w14:textId="77777777" w:rsidR="00AD24B5" w:rsidRPr="003B4362" w:rsidRDefault="00AD24B5" w:rsidP="00AD24B5">
      <w:pPr>
        <w:widowControl w:val="0"/>
        <w:suppressAutoHyphens/>
        <w:ind w:left="2880"/>
        <w:rPr>
          <w:szCs w:val="22"/>
        </w:rPr>
      </w:pPr>
    </w:p>
    <w:p w14:paraId="5DE93CF1"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F (97)” means Method 4500-CN</w:t>
      </w:r>
      <w:r w:rsidRPr="003B4362">
        <w:rPr>
          <w:szCs w:val="22"/>
          <w:vertAlign w:val="superscript"/>
        </w:rPr>
        <w:t>–</w:t>
      </w:r>
      <w:r w:rsidRPr="003B4362">
        <w:rPr>
          <w:szCs w:val="22"/>
        </w:rPr>
        <w:t xml:space="preserve"> F, “Cyanide”, “</w:t>
      </w:r>
      <w:r w:rsidRPr="003B4362">
        <w:rPr>
          <w:szCs w:val="24"/>
        </w:rPr>
        <w:t>Cyanide-Selective Electrode Method</w:t>
      </w:r>
      <w:r w:rsidRPr="003B4362">
        <w:rPr>
          <w:szCs w:val="22"/>
        </w:rPr>
        <w:t>”, only the version in the 20th edition.  Referenced in Section 611.611.</w:t>
      </w:r>
    </w:p>
    <w:p w14:paraId="57D3D020" w14:textId="77777777" w:rsidR="00AD24B5" w:rsidRPr="003B4362" w:rsidRDefault="00AD24B5" w:rsidP="00AD24B5">
      <w:pPr>
        <w:widowControl w:val="0"/>
        <w:suppressAutoHyphens/>
        <w:ind w:left="2880"/>
        <w:rPr>
          <w:szCs w:val="22"/>
        </w:rPr>
      </w:pPr>
    </w:p>
    <w:p w14:paraId="73E44F03"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F (99)” means Method 4500-CN</w:t>
      </w:r>
      <w:r w:rsidRPr="003B4362">
        <w:rPr>
          <w:szCs w:val="22"/>
          <w:vertAlign w:val="superscript"/>
        </w:rPr>
        <w:t>–</w:t>
      </w:r>
      <w:r w:rsidRPr="003B4362">
        <w:rPr>
          <w:szCs w:val="22"/>
        </w:rPr>
        <w:t xml:space="preserve"> F, “Cyanide”, “</w:t>
      </w:r>
      <w:r w:rsidRPr="003B4362">
        <w:rPr>
          <w:szCs w:val="24"/>
        </w:rPr>
        <w:t>Cyanide-Selective Electrode Method</w:t>
      </w:r>
      <w:r w:rsidRPr="003B4362">
        <w:rPr>
          <w:szCs w:val="22"/>
        </w:rPr>
        <w:t>”, only the version in the 21st and 22nd editions.  Referenced in Section 611.611.</w:t>
      </w:r>
    </w:p>
    <w:p w14:paraId="18B81BCE" w14:textId="77777777" w:rsidR="00AD24B5" w:rsidRPr="003B4362" w:rsidRDefault="00AD24B5" w:rsidP="00AD24B5">
      <w:pPr>
        <w:widowControl w:val="0"/>
        <w:suppressAutoHyphens/>
        <w:ind w:left="2880"/>
        <w:rPr>
          <w:szCs w:val="22"/>
        </w:rPr>
      </w:pPr>
    </w:p>
    <w:p w14:paraId="6A0F6F19"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F (16)” means Method 4500-CN</w:t>
      </w:r>
      <w:r w:rsidRPr="003B4362">
        <w:rPr>
          <w:szCs w:val="22"/>
          <w:vertAlign w:val="superscript"/>
        </w:rPr>
        <w:t>–</w:t>
      </w:r>
      <w:r w:rsidRPr="003B4362">
        <w:rPr>
          <w:szCs w:val="22"/>
        </w:rPr>
        <w:t xml:space="preserve"> F, “Cyanide”, “</w:t>
      </w:r>
      <w:r w:rsidRPr="003B4362">
        <w:rPr>
          <w:szCs w:val="24"/>
        </w:rPr>
        <w:t>Cyanide-Ion Selective Electrode Method</w:t>
      </w:r>
      <w:r w:rsidRPr="003B4362">
        <w:rPr>
          <w:szCs w:val="22"/>
        </w:rPr>
        <w:t>”, only the version in the 23rd edition.  Referenced in Section 611.611.</w:t>
      </w:r>
    </w:p>
    <w:p w14:paraId="6D25F3F0" w14:textId="77777777" w:rsidR="00AD24B5" w:rsidRPr="003B4362" w:rsidRDefault="00AD24B5" w:rsidP="00AD24B5">
      <w:pPr>
        <w:widowControl w:val="0"/>
        <w:suppressAutoHyphens/>
        <w:ind w:left="2880"/>
        <w:rPr>
          <w:szCs w:val="22"/>
        </w:rPr>
      </w:pPr>
    </w:p>
    <w:p w14:paraId="640C2091"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G (90)” means Method 4500-CN</w:t>
      </w:r>
      <w:r w:rsidRPr="003B4362">
        <w:rPr>
          <w:szCs w:val="22"/>
          <w:vertAlign w:val="superscript"/>
        </w:rPr>
        <w:t>–</w:t>
      </w:r>
      <w:r w:rsidRPr="003B4362">
        <w:rPr>
          <w:szCs w:val="22"/>
        </w:rPr>
        <w:t xml:space="preserve"> G, “Cyanide”, “</w:t>
      </w:r>
      <w:r w:rsidRPr="003B4362">
        <w:rPr>
          <w:szCs w:val="24"/>
        </w:rPr>
        <w:t>Cyanides Amenable to Chlorination after Distillation</w:t>
      </w:r>
      <w:r w:rsidRPr="003B4362">
        <w:rPr>
          <w:szCs w:val="22"/>
        </w:rPr>
        <w:t>”, only the version in the 18th and 19th editions.  Referenced in Section 611.611.</w:t>
      </w:r>
    </w:p>
    <w:p w14:paraId="404A478C" w14:textId="77777777" w:rsidR="00AD24B5" w:rsidRPr="003B4362" w:rsidRDefault="00AD24B5" w:rsidP="00AD24B5">
      <w:pPr>
        <w:widowControl w:val="0"/>
        <w:suppressAutoHyphens/>
        <w:ind w:left="2880"/>
        <w:rPr>
          <w:szCs w:val="22"/>
        </w:rPr>
      </w:pPr>
    </w:p>
    <w:p w14:paraId="7CA79CC6"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G (97)” means Method 4500-CN</w:t>
      </w:r>
      <w:r w:rsidRPr="003B4362">
        <w:rPr>
          <w:szCs w:val="22"/>
          <w:vertAlign w:val="superscript"/>
        </w:rPr>
        <w:t>–</w:t>
      </w:r>
      <w:r w:rsidRPr="003B4362">
        <w:rPr>
          <w:szCs w:val="22"/>
        </w:rPr>
        <w:t xml:space="preserve"> G, “Cyanide”, “</w:t>
      </w:r>
      <w:r w:rsidRPr="003B4362">
        <w:rPr>
          <w:szCs w:val="24"/>
        </w:rPr>
        <w:t>Cyanides Amenable to Chlorination after Distillation</w:t>
      </w:r>
      <w:r w:rsidRPr="003B4362">
        <w:rPr>
          <w:szCs w:val="22"/>
        </w:rPr>
        <w:t xml:space="preserve">”, only the </w:t>
      </w:r>
      <w:r w:rsidRPr="003B4362">
        <w:rPr>
          <w:szCs w:val="22"/>
        </w:rPr>
        <w:lastRenderedPageBreak/>
        <w:t>version in the 20th edition.  Referenced in Section 611.611.</w:t>
      </w:r>
    </w:p>
    <w:p w14:paraId="45364CBE" w14:textId="77777777" w:rsidR="00AD24B5" w:rsidRPr="003B4362" w:rsidRDefault="00AD24B5" w:rsidP="00AD24B5">
      <w:pPr>
        <w:widowControl w:val="0"/>
        <w:suppressAutoHyphens/>
        <w:ind w:left="2880"/>
        <w:rPr>
          <w:szCs w:val="22"/>
        </w:rPr>
      </w:pPr>
    </w:p>
    <w:p w14:paraId="4F2AF5C1"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G (99)” means Method 4500-CN</w:t>
      </w:r>
      <w:r w:rsidRPr="003B4362">
        <w:rPr>
          <w:szCs w:val="22"/>
          <w:vertAlign w:val="superscript"/>
        </w:rPr>
        <w:t>–</w:t>
      </w:r>
      <w:r w:rsidRPr="003B4362">
        <w:rPr>
          <w:szCs w:val="22"/>
        </w:rPr>
        <w:t xml:space="preserve"> G, “Cyanide”, “</w:t>
      </w:r>
      <w:r w:rsidRPr="003B4362">
        <w:rPr>
          <w:szCs w:val="24"/>
        </w:rPr>
        <w:t>Cyanides Amenable to Chlorination after Distillation</w:t>
      </w:r>
      <w:r w:rsidRPr="003B4362">
        <w:rPr>
          <w:szCs w:val="22"/>
        </w:rPr>
        <w:t>”, only the version in the 21st and 22nd editions.  Referenced in Section 611.611.</w:t>
      </w:r>
    </w:p>
    <w:p w14:paraId="3E22DA0F" w14:textId="77777777" w:rsidR="00AD24B5" w:rsidRPr="003B4362" w:rsidRDefault="00AD24B5" w:rsidP="00AD24B5">
      <w:pPr>
        <w:widowControl w:val="0"/>
        <w:suppressAutoHyphens/>
        <w:ind w:left="2880"/>
        <w:rPr>
          <w:szCs w:val="22"/>
        </w:rPr>
      </w:pPr>
    </w:p>
    <w:p w14:paraId="5A144F55"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G (16)” means Method 4500-CN</w:t>
      </w:r>
      <w:r w:rsidRPr="003B4362">
        <w:rPr>
          <w:szCs w:val="22"/>
          <w:vertAlign w:val="superscript"/>
        </w:rPr>
        <w:t>–</w:t>
      </w:r>
      <w:r w:rsidRPr="003B4362">
        <w:rPr>
          <w:szCs w:val="22"/>
        </w:rPr>
        <w:t xml:space="preserve"> G, “Cyanide”, “</w:t>
      </w:r>
      <w:r w:rsidRPr="003B4362">
        <w:rPr>
          <w:szCs w:val="24"/>
        </w:rPr>
        <w:t>Cyanides Amenable to Chlorination after Distillation</w:t>
      </w:r>
      <w:r w:rsidRPr="003B4362">
        <w:rPr>
          <w:szCs w:val="22"/>
        </w:rPr>
        <w:t>”, only the version in the 23rd edition.  Referenced in Section 611.611.</w:t>
      </w:r>
    </w:p>
    <w:p w14:paraId="58346092" w14:textId="77777777" w:rsidR="00AD24B5" w:rsidRPr="003B4362" w:rsidRDefault="00AD24B5" w:rsidP="00AD24B5">
      <w:pPr>
        <w:widowControl w:val="0"/>
        <w:suppressAutoHyphens/>
        <w:ind w:left="2880"/>
        <w:rPr>
          <w:szCs w:val="22"/>
        </w:rPr>
      </w:pPr>
    </w:p>
    <w:p w14:paraId="6C69A212"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B (88)” means Method 4500-F</w:t>
      </w:r>
      <w:r w:rsidRPr="003B4362">
        <w:rPr>
          <w:szCs w:val="22"/>
          <w:vertAlign w:val="superscript"/>
        </w:rPr>
        <w:t>–</w:t>
      </w:r>
      <w:r w:rsidRPr="003B4362">
        <w:rPr>
          <w:szCs w:val="22"/>
        </w:rPr>
        <w:t xml:space="preserve"> B, “Fluoride”, “Preliminary Distillation Step”, only the version in the 18th edition.  Referenced in Section 611.611.</w:t>
      </w:r>
    </w:p>
    <w:p w14:paraId="2B7B6EFF" w14:textId="77777777" w:rsidR="00AD24B5" w:rsidRPr="003B4362" w:rsidRDefault="00AD24B5" w:rsidP="00AD24B5">
      <w:pPr>
        <w:widowControl w:val="0"/>
        <w:suppressAutoHyphens/>
        <w:ind w:left="2880"/>
        <w:rPr>
          <w:szCs w:val="22"/>
        </w:rPr>
      </w:pPr>
    </w:p>
    <w:p w14:paraId="395DFA30"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B (94)” means Method 4500-F</w:t>
      </w:r>
      <w:r w:rsidRPr="003B4362">
        <w:rPr>
          <w:szCs w:val="22"/>
          <w:vertAlign w:val="superscript"/>
        </w:rPr>
        <w:t>–</w:t>
      </w:r>
      <w:r w:rsidRPr="003B4362">
        <w:rPr>
          <w:szCs w:val="22"/>
        </w:rPr>
        <w:t xml:space="preserve"> B, “Fluoride”, “Preliminary Distillation Step”, only the version in the 19th edition.  Referenced in Section 611.611.</w:t>
      </w:r>
    </w:p>
    <w:p w14:paraId="6553DD33" w14:textId="77777777" w:rsidR="00AD24B5" w:rsidRPr="003B4362" w:rsidRDefault="00AD24B5" w:rsidP="00AD24B5">
      <w:pPr>
        <w:widowControl w:val="0"/>
        <w:suppressAutoHyphens/>
        <w:ind w:left="2880"/>
        <w:rPr>
          <w:szCs w:val="22"/>
        </w:rPr>
      </w:pPr>
    </w:p>
    <w:p w14:paraId="5D59DE98"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B (97)” means Method 4500-F</w:t>
      </w:r>
      <w:r w:rsidRPr="003B4362">
        <w:rPr>
          <w:szCs w:val="22"/>
          <w:vertAlign w:val="superscript"/>
        </w:rPr>
        <w:t>–</w:t>
      </w:r>
      <w:r w:rsidRPr="003B4362">
        <w:rPr>
          <w:szCs w:val="22"/>
        </w:rPr>
        <w:t xml:space="preserve"> B, “Fluoride”, “Preliminary Distillation Step”, only the version in the 20th, 21st, 22nd, and 23rd editions.  Referenced in Section 611.611.</w:t>
      </w:r>
    </w:p>
    <w:p w14:paraId="5BBD4ABA" w14:textId="77777777" w:rsidR="00AD24B5" w:rsidRPr="003B4362" w:rsidRDefault="00AD24B5" w:rsidP="00AD24B5">
      <w:pPr>
        <w:widowControl w:val="0"/>
        <w:suppressAutoHyphens/>
        <w:ind w:left="2880"/>
        <w:rPr>
          <w:szCs w:val="22"/>
        </w:rPr>
      </w:pPr>
    </w:p>
    <w:p w14:paraId="07E8B5CA"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C (88)” means Method 4500-F</w:t>
      </w:r>
      <w:r w:rsidRPr="003B4362">
        <w:rPr>
          <w:szCs w:val="22"/>
          <w:vertAlign w:val="superscript"/>
        </w:rPr>
        <w:t>–</w:t>
      </w:r>
      <w:r w:rsidRPr="003B4362">
        <w:rPr>
          <w:szCs w:val="22"/>
        </w:rPr>
        <w:t xml:space="preserve"> C, “Fluoride”, “</w:t>
      </w:r>
      <w:r w:rsidRPr="003B4362">
        <w:rPr>
          <w:szCs w:val="24"/>
        </w:rPr>
        <w:t>Ion-Selective Electrode Method</w:t>
      </w:r>
      <w:r w:rsidRPr="003B4362">
        <w:rPr>
          <w:szCs w:val="22"/>
        </w:rPr>
        <w:t>”, only the version in the 18th edition.  Referenced in Section 611.611.</w:t>
      </w:r>
    </w:p>
    <w:p w14:paraId="0592AF4C" w14:textId="77777777" w:rsidR="00AD24B5" w:rsidRPr="003B4362" w:rsidRDefault="00AD24B5" w:rsidP="00AD24B5">
      <w:pPr>
        <w:widowControl w:val="0"/>
        <w:suppressAutoHyphens/>
        <w:ind w:left="2880"/>
        <w:rPr>
          <w:szCs w:val="22"/>
        </w:rPr>
      </w:pPr>
    </w:p>
    <w:p w14:paraId="675BB0D4"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C (94)” means Method 4500-F</w:t>
      </w:r>
      <w:r w:rsidRPr="003B4362">
        <w:rPr>
          <w:szCs w:val="22"/>
          <w:vertAlign w:val="superscript"/>
        </w:rPr>
        <w:t>–</w:t>
      </w:r>
      <w:r w:rsidRPr="003B4362">
        <w:rPr>
          <w:szCs w:val="22"/>
        </w:rPr>
        <w:t xml:space="preserve"> C, “Fluoride”, “</w:t>
      </w:r>
      <w:r w:rsidRPr="003B4362">
        <w:rPr>
          <w:szCs w:val="24"/>
        </w:rPr>
        <w:t>Ion-Selective Electrode Method</w:t>
      </w:r>
      <w:r w:rsidRPr="003B4362">
        <w:rPr>
          <w:szCs w:val="22"/>
        </w:rPr>
        <w:t>”, only the version in the 19th edition.  Referenced in Section 611.611.</w:t>
      </w:r>
    </w:p>
    <w:p w14:paraId="439B9406" w14:textId="77777777" w:rsidR="00AD24B5" w:rsidRPr="003B4362" w:rsidRDefault="00AD24B5" w:rsidP="00AD24B5">
      <w:pPr>
        <w:widowControl w:val="0"/>
        <w:suppressAutoHyphens/>
        <w:ind w:left="2880"/>
        <w:rPr>
          <w:szCs w:val="22"/>
        </w:rPr>
      </w:pPr>
    </w:p>
    <w:p w14:paraId="428A904F"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C (97)” means Method 4500-F</w:t>
      </w:r>
      <w:r w:rsidRPr="003B4362">
        <w:rPr>
          <w:szCs w:val="22"/>
          <w:vertAlign w:val="superscript"/>
        </w:rPr>
        <w:t>–</w:t>
      </w:r>
      <w:r w:rsidRPr="003B4362">
        <w:rPr>
          <w:szCs w:val="22"/>
        </w:rPr>
        <w:t xml:space="preserve"> C, “Fluoride”, “</w:t>
      </w:r>
      <w:r w:rsidRPr="003B4362">
        <w:rPr>
          <w:szCs w:val="24"/>
        </w:rPr>
        <w:t>Ion-Selective Electrode Method</w:t>
      </w:r>
      <w:r w:rsidRPr="003B4362">
        <w:rPr>
          <w:szCs w:val="22"/>
        </w:rPr>
        <w:t>”, only the version in the 20th, 21st, 22nd, and 23rd editions.  Referenced in Section 611.611.</w:t>
      </w:r>
    </w:p>
    <w:p w14:paraId="58CEF047" w14:textId="77777777" w:rsidR="00AD24B5" w:rsidRPr="003B4362" w:rsidRDefault="00AD24B5" w:rsidP="00AD24B5">
      <w:pPr>
        <w:widowControl w:val="0"/>
        <w:suppressAutoHyphens/>
        <w:ind w:left="2880"/>
        <w:rPr>
          <w:szCs w:val="22"/>
        </w:rPr>
      </w:pPr>
    </w:p>
    <w:p w14:paraId="15E4BBDF"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D (88)” means Method 4500-F</w:t>
      </w:r>
      <w:r w:rsidRPr="003B4362">
        <w:rPr>
          <w:szCs w:val="22"/>
          <w:vertAlign w:val="superscript"/>
        </w:rPr>
        <w:t>–</w:t>
      </w:r>
      <w:r w:rsidRPr="003B4362">
        <w:rPr>
          <w:szCs w:val="22"/>
        </w:rPr>
        <w:t xml:space="preserve"> D, “Fluoride”, “</w:t>
      </w:r>
      <w:r w:rsidRPr="003B4362">
        <w:rPr>
          <w:szCs w:val="24"/>
        </w:rPr>
        <w:t>SPADNS Method</w:t>
      </w:r>
      <w:r w:rsidRPr="003B4362">
        <w:rPr>
          <w:szCs w:val="22"/>
        </w:rPr>
        <w:t>”, only the version in the 18th edition.  Referenced in Section 611.611.</w:t>
      </w:r>
    </w:p>
    <w:p w14:paraId="030818F5" w14:textId="77777777" w:rsidR="00AD24B5" w:rsidRPr="003B4362" w:rsidRDefault="00AD24B5" w:rsidP="00AD24B5">
      <w:pPr>
        <w:widowControl w:val="0"/>
        <w:suppressAutoHyphens/>
        <w:ind w:left="2880"/>
        <w:rPr>
          <w:szCs w:val="22"/>
        </w:rPr>
      </w:pPr>
    </w:p>
    <w:p w14:paraId="68B2124B"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D (94)” means Method 4500-F</w:t>
      </w:r>
      <w:r w:rsidRPr="003B4362">
        <w:rPr>
          <w:szCs w:val="22"/>
          <w:vertAlign w:val="superscript"/>
        </w:rPr>
        <w:t>–</w:t>
      </w:r>
      <w:r w:rsidRPr="003B4362">
        <w:rPr>
          <w:szCs w:val="22"/>
        </w:rPr>
        <w:t xml:space="preserve"> D, “Fluoride”, “</w:t>
      </w:r>
      <w:r w:rsidRPr="003B4362">
        <w:rPr>
          <w:szCs w:val="24"/>
        </w:rPr>
        <w:t>SPADNS Method</w:t>
      </w:r>
      <w:r w:rsidRPr="003B4362">
        <w:rPr>
          <w:szCs w:val="22"/>
        </w:rPr>
        <w:t>”, only the version in the 19th edition.  Referenced in Section 611.611.</w:t>
      </w:r>
    </w:p>
    <w:p w14:paraId="1274B64C" w14:textId="77777777" w:rsidR="00AD24B5" w:rsidRPr="003B4362" w:rsidRDefault="00AD24B5" w:rsidP="00AD24B5">
      <w:pPr>
        <w:widowControl w:val="0"/>
        <w:suppressAutoHyphens/>
        <w:ind w:left="2880"/>
        <w:rPr>
          <w:szCs w:val="22"/>
        </w:rPr>
      </w:pPr>
    </w:p>
    <w:p w14:paraId="22822D12"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D (97)” means Method 4500-F</w:t>
      </w:r>
      <w:r w:rsidRPr="003B4362">
        <w:rPr>
          <w:szCs w:val="22"/>
          <w:vertAlign w:val="superscript"/>
        </w:rPr>
        <w:t>–</w:t>
      </w:r>
      <w:r w:rsidRPr="003B4362">
        <w:rPr>
          <w:szCs w:val="22"/>
        </w:rPr>
        <w:t xml:space="preserve"> D, “Fluoride”, “</w:t>
      </w:r>
      <w:r w:rsidRPr="003B4362">
        <w:rPr>
          <w:szCs w:val="24"/>
        </w:rPr>
        <w:t>SPADNS Method</w:t>
      </w:r>
      <w:r w:rsidRPr="003B4362">
        <w:rPr>
          <w:szCs w:val="22"/>
        </w:rPr>
        <w:t xml:space="preserve">”, only the version in the 20th, 21st, 22nd, and </w:t>
      </w:r>
      <w:r w:rsidRPr="003B4362">
        <w:rPr>
          <w:szCs w:val="22"/>
        </w:rPr>
        <w:lastRenderedPageBreak/>
        <w:t>23rd editions.  Referenced in Section 611.611.</w:t>
      </w:r>
    </w:p>
    <w:p w14:paraId="7707CC80" w14:textId="77777777" w:rsidR="00AD24B5" w:rsidRPr="003B4362" w:rsidRDefault="00AD24B5" w:rsidP="00AD24B5">
      <w:pPr>
        <w:widowControl w:val="0"/>
        <w:suppressAutoHyphens/>
        <w:ind w:left="2880"/>
        <w:rPr>
          <w:szCs w:val="22"/>
        </w:rPr>
      </w:pPr>
    </w:p>
    <w:p w14:paraId="013D36DA"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E (88)” means Method 4500-F</w:t>
      </w:r>
      <w:r w:rsidRPr="003B4362">
        <w:rPr>
          <w:szCs w:val="22"/>
          <w:vertAlign w:val="superscript"/>
        </w:rPr>
        <w:t>–</w:t>
      </w:r>
      <w:r w:rsidRPr="003B4362">
        <w:rPr>
          <w:szCs w:val="22"/>
        </w:rPr>
        <w:t xml:space="preserve"> E, “Fluoride”, “</w:t>
      </w:r>
      <w:r w:rsidRPr="003B4362">
        <w:rPr>
          <w:szCs w:val="24"/>
        </w:rPr>
        <w:t>Complexone Method</w:t>
      </w:r>
      <w:r w:rsidRPr="003B4362">
        <w:rPr>
          <w:szCs w:val="22"/>
        </w:rPr>
        <w:t>”, only the version in the 18th edition.  Referenced in Section 611.611.</w:t>
      </w:r>
    </w:p>
    <w:p w14:paraId="246DEF7C" w14:textId="77777777" w:rsidR="00AD24B5" w:rsidRPr="003B4362" w:rsidRDefault="00AD24B5" w:rsidP="00AD24B5">
      <w:pPr>
        <w:widowControl w:val="0"/>
        <w:suppressAutoHyphens/>
        <w:ind w:left="2880"/>
        <w:rPr>
          <w:szCs w:val="22"/>
        </w:rPr>
      </w:pPr>
    </w:p>
    <w:p w14:paraId="28893AEC"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E (94)” means Method 4500-F</w:t>
      </w:r>
      <w:r w:rsidRPr="003B4362">
        <w:rPr>
          <w:szCs w:val="22"/>
          <w:vertAlign w:val="superscript"/>
        </w:rPr>
        <w:t>–</w:t>
      </w:r>
      <w:r w:rsidRPr="003B4362">
        <w:rPr>
          <w:szCs w:val="22"/>
        </w:rPr>
        <w:t xml:space="preserve"> E, “Fluoride”, “</w:t>
      </w:r>
      <w:r w:rsidRPr="003B4362">
        <w:rPr>
          <w:szCs w:val="24"/>
        </w:rPr>
        <w:t>Complexone Method</w:t>
      </w:r>
      <w:r w:rsidRPr="003B4362">
        <w:rPr>
          <w:szCs w:val="22"/>
        </w:rPr>
        <w:t>”, only the version in the 19th edition.  Referenced in Section 611.611.</w:t>
      </w:r>
    </w:p>
    <w:p w14:paraId="33A62AAB" w14:textId="77777777" w:rsidR="00AD24B5" w:rsidRPr="003B4362" w:rsidRDefault="00AD24B5" w:rsidP="00AD24B5">
      <w:pPr>
        <w:widowControl w:val="0"/>
        <w:suppressAutoHyphens/>
        <w:ind w:left="2880"/>
        <w:rPr>
          <w:szCs w:val="22"/>
        </w:rPr>
      </w:pPr>
    </w:p>
    <w:p w14:paraId="08BFA36D"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E (97)” means Method 4500-F</w:t>
      </w:r>
      <w:r w:rsidRPr="003B4362">
        <w:rPr>
          <w:szCs w:val="22"/>
          <w:vertAlign w:val="superscript"/>
        </w:rPr>
        <w:t>–</w:t>
      </w:r>
      <w:r w:rsidRPr="003B4362">
        <w:rPr>
          <w:szCs w:val="22"/>
        </w:rPr>
        <w:t xml:space="preserve"> E, “Fluoride”, “</w:t>
      </w:r>
      <w:r w:rsidRPr="003B4362">
        <w:rPr>
          <w:szCs w:val="24"/>
        </w:rPr>
        <w:t>Complexone Method</w:t>
      </w:r>
      <w:r w:rsidRPr="003B4362">
        <w:rPr>
          <w:szCs w:val="22"/>
        </w:rPr>
        <w:t>”, only the version in the 20th, 21st, 22nd, and 23rd editions.  Referenced in Section 611.611.</w:t>
      </w:r>
    </w:p>
    <w:p w14:paraId="3AED3865" w14:textId="77777777" w:rsidR="00AD24B5" w:rsidRPr="003B4362" w:rsidRDefault="00AD24B5" w:rsidP="00AD24B5">
      <w:pPr>
        <w:ind w:left="2880"/>
      </w:pPr>
    </w:p>
    <w:p w14:paraId="399947D5" w14:textId="77777777" w:rsidR="00AD24B5" w:rsidRPr="003B4362" w:rsidRDefault="00AD24B5" w:rsidP="00AD24B5">
      <w:pPr>
        <w:ind w:left="2880"/>
      </w:pPr>
      <w:r w:rsidRPr="003B4362">
        <w:t>“SM 4500-H</w:t>
      </w:r>
      <w:r w:rsidRPr="003B4362">
        <w:rPr>
          <w:vertAlign w:val="superscript"/>
        </w:rPr>
        <w:t>+</w:t>
      </w:r>
      <w:r w:rsidRPr="003B4362">
        <w:t xml:space="preserve"> B (90)” means Method 4500-H</w:t>
      </w:r>
      <w:r w:rsidRPr="003B4362">
        <w:rPr>
          <w:vertAlign w:val="superscript"/>
        </w:rPr>
        <w:t>+</w:t>
      </w:r>
      <w:r w:rsidRPr="003B4362">
        <w:t xml:space="preserve"> B, “pH Value”, “Electrometric Method”, only the version in the 18th and 19th editions.  Referenced in Section 611.611.</w:t>
      </w:r>
    </w:p>
    <w:p w14:paraId="48657CF6" w14:textId="77777777" w:rsidR="00AD24B5" w:rsidRPr="003B4362" w:rsidRDefault="00AD24B5" w:rsidP="00AD24B5">
      <w:pPr>
        <w:ind w:left="2880"/>
      </w:pPr>
    </w:p>
    <w:p w14:paraId="7877C740" w14:textId="77777777" w:rsidR="00AD24B5" w:rsidRPr="003B4362" w:rsidRDefault="00AD24B5" w:rsidP="00AD24B5">
      <w:pPr>
        <w:ind w:left="2880"/>
      </w:pPr>
      <w:r w:rsidRPr="003B4362">
        <w:t>“SM 4500-H</w:t>
      </w:r>
      <w:r w:rsidRPr="003B4362">
        <w:rPr>
          <w:vertAlign w:val="superscript"/>
        </w:rPr>
        <w:t>+</w:t>
      </w:r>
      <w:r w:rsidRPr="003B4362">
        <w:t xml:space="preserve"> B (96)” means Method 4500-H</w:t>
      </w:r>
      <w:r w:rsidRPr="003B4362">
        <w:rPr>
          <w:vertAlign w:val="superscript"/>
        </w:rPr>
        <w:t>+</w:t>
      </w:r>
      <w:r w:rsidRPr="003B4362">
        <w:t xml:space="preserve"> B, “pH Value”, “Electrometric Method”, only the version in the 20th edition.  Referenced in Section 611.611.</w:t>
      </w:r>
    </w:p>
    <w:p w14:paraId="2623D2F2" w14:textId="77777777" w:rsidR="00AD24B5" w:rsidRPr="003B4362" w:rsidRDefault="00AD24B5" w:rsidP="00AD24B5">
      <w:pPr>
        <w:ind w:left="2880"/>
      </w:pPr>
    </w:p>
    <w:p w14:paraId="47604895" w14:textId="77777777" w:rsidR="00AD24B5" w:rsidRPr="003B4362" w:rsidRDefault="00AD24B5" w:rsidP="00AD24B5">
      <w:pPr>
        <w:ind w:left="2880"/>
      </w:pPr>
      <w:r w:rsidRPr="003B4362">
        <w:t>“SM 4500-H</w:t>
      </w:r>
      <w:r w:rsidRPr="003B4362">
        <w:rPr>
          <w:vertAlign w:val="superscript"/>
        </w:rPr>
        <w:t>+</w:t>
      </w:r>
      <w:r w:rsidRPr="003B4362">
        <w:t xml:space="preserve"> B (00)” means Method 4500-H</w:t>
      </w:r>
      <w:r w:rsidRPr="003B4362">
        <w:rPr>
          <w:vertAlign w:val="superscript"/>
        </w:rPr>
        <w:t>+</w:t>
      </w:r>
      <w:r w:rsidRPr="003B4362">
        <w:t xml:space="preserve"> B, “pH Value”, “Electrometric Method”, only the version in the 21st, 22nd, and 23rd editions.  Referenced in Section 611.611.</w:t>
      </w:r>
    </w:p>
    <w:p w14:paraId="53CD5E95" w14:textId="77777777" w:rsidR="00AD24B5" w:rsidRPr="003B4362" w:rsidRDefault="00AD24B5" w:rsidP="00AD24B5">
      <w:pPr>
        <w:widowControl w:val="0"/>
        <w:suppressAutoHyphens/>
        <w:ind w:left="2880"/>
        <w:rPr>
          <w:szCs w:val="22"/>
        </w:rPr>
      </w:pPr>
    </w:p>
    <w:p w14:paraId="08B26DE6"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D (88)” means Method 4500-NO</w:t>
      </w:r>
      <w:r w:rsidRPr="003B4362">
        <w:rPr>
          <w:szCs w:val="22"/>
          <w:vertAlign w:val="subscript"/>
        </w:rPr>
        <w:t>3</w:t>
      </w:r>
      <w:r w:rsidRPr="003B4362">
        <w:rPr>
          <w:szCs w:val="22"/>
          <w:vertAlign w:val="superscript"/>
        </w:rPr>
        <w:t>–</w:t>
      </w:r>
      <w:r w:rsidRPr="003B4362">
        <w:rPr>
          <w:szCs w:val="22"/>
        </w:rPr>
        <w:t xml:space="preserve"> D, “Nitrogen (Nitrate)”, “Nitrate Electrode Method”, only the version in the 18th edition.  Referenced in Section 611.611.</w:t>
      </w:r>
    </w:p>
    <w:p w14:paraId="402EB605" w14:textId="77777777" w:rsidR="00AD24B5" w:rsidRPr="003B4362" w:rsidRDefault="00AD24B5" w:rsidP="00AD24B5">
      <w:pPr>
        <w:widowControl w:val="0"/>
        <w:suppressAutoHyphens/>
        <w:ind w:left="2880"/>
        <w:rPr>
          <w:szCs w:val="22"/>
        </w:rPr>
      </w:pPr>
    </w:p>
    <w:p w14:paraId="5B09B0C3"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D (93)” means Method 4500-NO</w:t>
      </w:r>
      <w:r w:rsidRPr="003B4362">
        <w:rPr>
          <w:szCs w:val="22"/>
          <w:vertAlign w:val="subscript"/>
        </w:rPr>
        <w:t>3</w:t>
      </w:r>
      <w:r w:rsidRPr="003B4362">
        <w:rPr>
          <w:szCs w:val="22"/>
          <w:vertAlign w:val="superscript"/>
        </w:rPr>
        <w:t>–</w:t>
      </w:r>
      <w:r w:rsidRPr="003B4362">
        <w:rPr>
          <w:szCs w:val="22"/>
        </w:rPr>
        <w:t xml:space="preserve"> D, “Nitrogen (Nitrate)”, “Nitrate Electrode Method”, only the version in the 19th edition.  Referenced in Section 611.611.</w:t>
      </w:r>
    </w:p>
    <w:p w14:paraId="1DCF059A" w14:textId="77777777" w:rsidR="00AD24B5" w:rsidRPr="003B4362" w:rsidRDefault="00AD24B5" w:rsidP="00AD24B5">
      <w:pPr>
        <w:widowControl w:val="0"/>
        <w:suppressAutoHyphens/>
        <w:ind w:left="2880"/>
        <w:rPr>
          <w:szCs w:val="22"/>
        </w:rPr>
      </w:pPr>
    </w:p>
    <w:p w14:paraId="2A16B9D7"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D (97)” means Method 4500-NO</w:t>
      </w:r>
      <w:r w:rsidRPr="003B4362">
        <w:rPr>
          <w:szCs w:val="22"/>
          <w:vertAlign w:val="subscript"/>
        </w:rPr>
        <w:t>3</w:t>
      </w:r>
      <w:r w:rsidRPr="003B4362">
        <w:rPr>
          <w:szCs w:val="22"/>
          <w:vertAlign w:val="superscript"/>
        </w:rPr>
        <w:t>–</w:t>
      </w:r>
      <w:r w:rsidRPr="003B4362">
        <w:rPr>
          <w:szCs w:val="22"/>
        </w:rPr>
        <w:t xml:space="preserve"> D, “Nitrogen (Nitrate)”, “Nitrate Electrode Method”, only the version in the 20th edition.  Referenced in Section 611.611.</w:t>
      </w:r>
    </w:p>
    <w:p w14:paraId="44E43F3A" w14:textId="77777777" w:rsidR="00AD24B5" w:rsidRPr="003B4362" w:rsidRDefault="00AD24B5" w:rsidP="00AD24B5">
      <w:pPr>
        <w:widowControl w:val="0"/>
        <w:suppressAutoHyphens/>
        <w:ind w:left="2880"/>
        <w:rPr>
          <w:szCs w:val="22"/>
        </w:rPr>
      </w:pPr>
    </w:p>
    <w:p w14:paraId="035A70E9"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D (00)” means Method 4500-NO</w:t>
      </w:r>
      <w:r w:rsidRPr="003B4362">
        <w:rPr>
          <w:szCs w:val="22"/>
          <w:vertAlign w:val="subscript"/>
        </w:rPr>
        <w:t>3</w:t>
      </w:r>
      <w:r w:rsidRPr="003B4362">
        <w:rPr>
          <w:szCs w:val="22"/>
          <w:vertAlign w:val="superscript"/>
        </w:rPr>
        <w:t>–</w:t>
      </w:r>
      <w:r w:rsidRPr="003B4362">
        <w:rPr>
          <w:szCs w:val="22"/>
        </w:rPr>
        <w:t xml:space="preserve"> D, “Nitrogen (Nitrate)”, “Nitrate Electrode Method”, only the version in the 21st and 22nd editions.  Referenced in Section 611.611.</w:t>
      </w:r>
    </w:p>
    <w:p w14:paraId="3FAA5025" w14:textId="77777777" w:rsidR="00AD24B5" w:rsidRPr="003B4362" w:rsidRDefault="00AD24B5" w:rsidP="00AD24B5">
      <w:pPr>
        <w:widowControl w:val="0"/>
        <w:suppressAutoHyphens/>
        <w:ind w:left="2880"/>
        <w:rPr>
          <w:szCs w:val="22"/>
        </w:rPr>
      </w:pPr>
    </w:p>
    <w:p w14:paraId="03D16972"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D (16)” means Method 4500-NO</w:t>
      </w:r>
      <w:r w:rsidRPr="003B4362">
        <w:rPr>
          <w:szCs w:val="22"/>
          <w:vertAlign w:val="subscript"/>
        </w:rPr>
        <w:t>3</w:t>
      </w:r>
      <w:r w:rsidRPr="003B4362">
        <w:rPr>
          <w:szCs w:val="22"/>
          <w:vertAlign w:val="superscript"/>
        </w:rPr>
        <w:t>–</w:t>
      </w:r>
      <w:r w:rsidRPr="003B4362">
        <w:rPr>
          <w:szCs w:val="22"/>
        </w:rPr>
        <w:t xml:space="preserve"> D, “Nitrogen (Nitrate)”, “Nitrate Electrode Method”, only the version in the 23rd edition.  Referenced in Section 611.611.</w:t>
      </w:r>
    </w:p>
    <w:p w14:paraId="13C6F144" w14:textId="77777777" w:rsidR="00AD24B5" w:rsidRPr="003B4362" w:rsidRDefault="00AD24B5" w:rsidP="00AD24B5">
      <w:pPr>
        <w:widowControl w:val="0"/>
        <w:suppressAutoHyphens/>
        <w:ind w:left="2880"/>
        <w:rPr>
          <w:szCs w:val="22"/>
        </w:rPr>
      </w:pPr>
    </w:p>
    <w:p w14:paraId="52226FAE"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E (88)” means Method 4500-NO</w:t>
      </w:r>
      <w:r w:rsidRPr="003B4362">
        <w:rPr>
          <w:szCs w:val="22"/>
          <w:vertAlign w:val="subscript"/>
        </w:rPr>
        <w:t>3</w:t>
      </w:r>
      <w:r w:rsidRPr="003B4362">
        <w:rPr>
          <w:szCs w:val="22"/>
          <w:vertAlign w:val="superscript"/>
        </w:rPr>
        <w:t>–</w:t>
      </w:r>
      <w:r w:rsidRPr="003B4362">
        <w:rPr>
          <w:szCs w:val="22"/>
        </w:rPr>
        <w:t xml:space="preserve"> E, “Nitrogen (Nitrate)”, “</w:t>
      </w:r>
      <w:r w:rsidRPr="003B4362">
        <w:rPr>
          <w:szCs w:val="24"/>
        </w:rPr>
        <w:t>Cadmium Reduction Method</w:t>
      </w:r>
      <w:r w:rsidRPr="003B4362">
        <w:rPr>
          <w:szCs w:val="22"/>
        </w:rPr>
        <w:t>”, only the version in the 18th edition.  Referenced in Section 611.611.</w:t>
      </w:r>
    </w:p>
    <w:p w14:paraId="0E2345F9" w14:textId="77777777" w:rsidR="00AD24B5" w:rsidRPr="003B4362" w:rsidRDefault="00AD24B5" w:rsidP="00AD24B5">
      <w:pPr>
        <w:widowControl w:val="0"/>
        <w:suppressAutoHyphens/>
        <w:ind w:left="2880"/>
        <w:rPr>
          <w:szCs w:val="22"/>
        </w:rPr>
      </w:pPr>
    </w:p>
    <w:p w14:paraId="7A401A2D"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E (93)” means Method 4500-NO</w:t>
      </w:r>
      <w:r w:rsidRPr="003B4362">
        <w:rPr>
          <w:szCs w:val="22"/>
          <w:vertAlign w:val="subscript"/>
        </w:rPr>
        <w:t>3</w:t>
      </w:r>
      <w:r w:rsidRPr="003B4362">
        <w:rPr>
          <w:szCs w:val="22"/>
          <w:vertAlign w:val="superscript"/>
        </w:rPr>
        <w:t>–</w:t>
      </w:r>
      <w:r w:rsidRPr="003B4362">
        <w:rPr>
          <w:szCs w:val="22"/>
        </w:rPr>
        <w:t xml:space="preserve"> E, “Nitrogen (Nitrate)”, “</w:t>
      </w:r>
      <w:r w:rsidRPr="003B4362">
        <w:rPr>
          <w:szCs w:val="24"/>
        </w:rPr>
        <w:t>Cadmium Reduction Method</w:t>
      </w:r>
      <w:r w:rsidRPr="003B4362">
        <w:rPr>
          <w:szCs w:val="22"/>
        </w:rPr>
        <w:t>”, only the version in the 19th edition.  Referenced in Section 611.611.</w:t>
      </w:r>
    </w:p>
    <w:p w14:paraId="08391D72" w14:textId="77777777" w:rsidR="00AD24B5" w:rsidRPr="003B4362" w:rsidRDefault="00AD24B5" w:rsidP="00AD24B5">
      <w:pPr>
        <w:widowControl w:val="0"/>
        <w:suppressAutoHyphens/>
        <w:ind w:left="2880"/>
        <w:rPr>
          <w:szCs w:val="22"/>
        </w:rPr>
      </w:pPr>
    </w:p>
    <w:p w14:paraId="122B63E0"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E (97)” means Method 4500-NO</w:t>
      </w:r>
      <w:r w:rsidRPr="003B4362">
        <w:rPr>
          <w:szCs w:val="22"/>
          <w:vertAlign w:val="subscript"/>
        </w:rPr>
        <w:t>3</w:t>
      </w:r>
      <w:r w:rsidRPr="003B4362">
        <w:rPr>
          <w:szCs w:val="22"/>
          <w:vertAlign w:val="superscript"/>
        </w:rPr>
        <w:t>–</w:t>
      </w:r>
      <w:r w:rsidRPr="003B4362">
        <w:rPr>
          <w:szCs w:val="22"/>
        </w:rPr>
        <w:t xml:space="preserve"> E, “Nitrogen (Nitrate)”, “</w:t>
      </w:r>
      <w:r w:rsidRPr="003B4362">
        <w:rPr>
          <w:szCs w:val="24"/>
        </w:rPr>
        <w:t>Cadmium Reduction Method</w:t>
      </w:r>
      <w:r w:rsidRPr="003B4362">
        <w:rPr>
          <w:szCs w:val="22"/>
        </w:rPr>
        <w:t>”, only the version in the 20th edition.  Referenced in Section 611.611.</w:t>
      </w:r>
    </w:p>
    <w:p w14:paraId="25A34A77" w14:textId="77777777" w:rsidR="00AD24B5" w:rsidRPr="003B4362" w:rsidRDefault="00AD24B5" w:rsidP="00AD24B5">
      <w:pPr>
        <w:widowControl w:val="0"/>
        <w:suppressAutoHyphens/>
        <w:ind w:left="2880"/>
        <w:rPr>
          <w:szCs w:val="22"/>
        </w:rPr>
      </w:pPr>
    </w:p>
    <w:p w14:paraId="046C72A7"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E (00)” means Method 4500-NO</w:t>
      </w:r>
      <w:r w:rsidRPr="003B4362">
        <w:rPr>
          <w:szCs w:val="22"/>
          <w:vertAlign w:val="subscript"/>
        </w:rPr>
        <w:t>3</w:t>
      </w:r>
      <w:r w:rsidRPr="003B4362">
        <w:rPr>
          <w:szCs w:val="22"/>
          <w:vertAlign w:val="superscript"/>
        </w:rPr>
        <w:t>–</w:t>
      </w:r>
      <w:r w:rsidRPr="003B4362">
        <w:rPr>
          <w:szCs w:val="22"/>
        </w:rPr>
        <w:t xml:space="preserve"> E, “Nitrogen (Nitrate)”, “</w:t>
      </w:r>
      <w:r w:rsidRPr="003B4362">
        <w:rPr>
          <w:szCs w:val="24"/>
        </w:rPr>
        <w:t>Cadmium Reduction Method</w:t>
      </w:r>
      <w:r w:rsidRPr="003B4362">
        <w:rPr>
          <w:szCs w:val="22"/>
        </w:rPr>
        <w:t>”, only the version in the 21st and 22nd editions.  Referenced in Section 611.611.</w:t>
      </w:r>
    </w:p>
    <w:p w14:paraId="4F7725B7" w14:textId="77777777" w:rsidR="00AD24B5" w:rsidRPr="003B4362" w:rsidRDefault="00AD24B5" w:rsidP="00AD24B5">
      <w:pPr>
        <w:widowControl w:val="0"/>
        <w:suppressAutoHyphens/>
        <w:ind w:left="2880"/>
        <w:rPr>
          <w:szCs w:val="22"/>
        </w:rPr>
      </w:pPr>
    </w:p>
    <w:p w14:paraId="28EECE66"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E (16)” means Method 4500-NO</w:t>
      </w:r>
      <w:r w:rsidRPr="003B4362">
        <w:rPr>
          <w:szCs w:val="22"/>
          <w:vertAlign w:val="subscript"/>
        </w:rPr>
        <w:t>3</w:t>
      </w:r>
      <w:r w:rsidRPr="003B4362">
        <w:rPr>
          <w:szCs w:val="22"/>
          <w:vertAlign w:val="superscript"/>
        </w:rPr>
        <w:t>–</w:t>
      </w:r>
      <w:r w:rsidRPr="003B4362">
        <w:rPr>
          <w:szCs w:val="22"/>
        </w:rPr>
        <w:t xml:space="preserve"> E, “Nitrogen (Nitrate)”, “</w:t>
      </w:r>
      <w:r w:rsidRPr="003B4362">
        <w:rPr>
          <w:szCs w:val="24"/>
        </w:rPr>
        <w:t>Cadmium Reduction Method</w:t>
      </w:r>
      <w:r w:rsidRPr="003B4362">
        <w:rPr>
          <w:szCs w:val="22"/>
        </w:rPr>
        <w:t>”, only the version in the 23rd edition.  Referenced in Section 611.611.</w:t>
      </w:r>
    </w:p>
    <w:p w14:paraId="6C70EEA0" w14:textId="77777777" w:rsidR="00AD24B5" w:rsidRPr="003B4362" w:rsidRDefault="00AD24B5" w:rsidP="00AD24B5">
      <w:pPr>
        <w:widowControl w:val="0"/>
        <w:suppressAutoHyphens/>
        <w:ind w:left="2880"/>
        <w:rPr>
          <w:szCs w:val="22"/>
        </w:rPr>
      </w:pPr>
    </w:p>
    <w:p w14:paraId="437F6C95"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F (88)” means Method 4500-NO</w:t>
      </w:r>
      <w:r w:rsidRPr="003B4362">
        <w:rPr>
          <w:szCs w:val="22"/>
          <w:vertAlign w:val="subscript"/>
        </w:rPr>
        <w:t>3</w:t>
      </w:r>
      <w:r w:rsidRPr="003B4362">
        <w:rPr>
          <w:szCs w:val="22"/>
          <w:vertAlign w:val="superscript"/>
        </w:rPr>
        <w:t>–</w:t>
      </w:r>
      <w:r w:rsidRPr="003B4362">
        <w:rPr>
          <w:szCs w:val="22"/>
        </w:rPr>
        <w:t xml:space="preserve"> F, “Nitrogen (Nitrate)”, “</w:t>
      </w:r>
      <w:r w:rsidRPr="003B4362">
        <w:rPr>
          <w:szCs w:val="24"/>
        </w:rPr>
        <w:t>Automated Cadmium Reduction Method</w:t>
      </w:r>
      <w:r w:rsidRPr="003B4362">
        <w:rPr>
          <w:szCs w:val="22"/>
        </w:rPr>
        <w:t>”, only the version in the 18th edition.  Referenced in Section 611.611.</w:t>
      </w:r>
    </w:p>
    <w:p w14:paraId="0A755EBB" w14:textId="77777777" w:rsidR="00AD24B5" w:rsidRPr="003B4362" w:rsidRDefault="00AD24B5" w:rsidP="00AD24B5">
      <w:pPr>
        <w:widowControl w:val="0"/>
        <w:suppressAutoHyphens/>
        <w:ind w:left="2880"/>
        <w:rPr>
          <w:szCs w:val="22"/>
        </w:rPr>
      </w:pPr>
    </w:p>
    <w:p w14:paraId="53BFF42A"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F (93)” means Method 4500-NO</w:t>
      </w:r>
      <w:r w:rsidRPr="003B4362">
        <w:rPr>
          <w:szCs w:val="22"/>
          <w:vertAlign w:val="subscript"/>
        </w:rPr>
        <w:t>3</w:t>
      </w:r>
      <w:r w:rsidRPr="003B4362">
        <w:rPr>
          <w:szCs w:val="22"/>
          <w:vertAlign w:val="superscript"/>
        </w:rPr>
        <w:t>–</w:t>
      </w:r>
      <w:r w:rsidRPr="003B4362">
        <w:rPr>
          <w:szCs w:val="22"/>
        </w:rPr>
        <w:t xml:space="preserve"> F, “Nitrogen (Nitrate)”, “</w:t>
      </w:r>
      <w:r w:rsidRPr="003B4362">
        <w:rPr>
          <w:szCs w:val="24"/>
        </w:rPr>
        <w:t>Automated Cadmium Reduction Method</w:t>
      </w:r>
      <w:r w:rsidRPr="003B4362">
        <w:rPr>
          <w:szCs w:val="22"/>
        </w:rPr>
        <w:t>”, only the version in the 19th edition.  Referenced in Section 611.611.</w:t>
      </w:r>
    </w:p>
    <w:p w14:paraId="0606CCFF" w14:textId="77777777" w:rsidR="00AD24B5" w:rsidRPr="003B4362" w:rsidRDefault="00AD24B5" w:rsidP="00AD24B5">
      <w:pPr>
        <w:widowControl w:val="0"/>
        <w:suppressAutoHyphens/>
        <w:ind w:left="2880"/>
        <w:rPr>
          <w:szCs w:val="22"/>
        </w:rPr>
      </w:pPr>
    </w:p>
    <w:p w14:paraId="4DF30F07"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F (97)” means Method 4500-NO</w:t>
      </w:r>
      <w:r w:rsidRPr="003B4362">
        <w:rPr>
          <w:szCs w:val="22"/>
          <w:vertAlign w:val="subscript"/>
        </w:rPr>
        <w:t>3</w:t>
      </w:r>
      <w:r w:rsidRPr="003B4362">
        <w:rPr>
          <w:szCs w:val="22"/>
          <w:vertAlign w:val="superscript"/>
        </w:rPr>
        <w:t>–</w:t>
      </w:r>
      <w:r w:rsidRPr="003B4362">
        <w:rPr>
          <w:szCs w:val="22"/>
        </w:rPr>
        <w:t xml:space="preserve"> F, “Nitrogen (Nitrate)”, “</w:t>
      </w:r>
      <w:r w:rsidRPr="003B4362">
        <w:rPr>
          <w:szCs w:val="24"/>
        </w:rPr>
        <w:t>Automated Cadmium Reduction Method</w:t>
      </w:r>
      <w:r w:rsidRPr="003B4362">
        <w:rPr>
          <w:szCs w:val="22"/>
        </w:rPr>
        <w:t>”, only the version in the 20th edition.  Referenced in Section 611.611.</w:t>
      </w:r>
    </w:p>
    <w:p w14:paraId="009468D2" w14:textId="77777777" w:rsidR="00AD24B5" w:rsidRPr="003B4362" w:rsidRDefault="00AD24B5" w:rsidP="00AD24B5">
      <w:pPr>
        <w:widowControl w:val="0"/>
        <w:suppressAutoHyphens/>
        <w:ind w:left="2880"/>
        <w:rPr>
          <w:szCs w:val="22"/>
        </w:rPr>
      </w:pPr>
    </w:p>
    <w:p w14:paraId="5885FBA2"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F (00)” means Method 4500-NO</w:t>
      </w:r>
      <w:r w:rsidRPr="003B4362">
        <w:rPr>
          <w:szCs w:val="22"/>
          <w:vertAlign w:val="subscript"/>
        </w:rPr>
        <w:t>3</w:t>
      </w:r>
      <w:r w:rsidRPr="003B4362">
        <w:rPr>
          <w:szCs w:val="22"/>
          <w:vertAlign w:val="superscript"/>
        </w:rPr>
        <w:t>–</w:t>
      </w:r>
      <w:r w:rsidRPr="003B4362">
        <w:rPr>
          <w:szCs w:val="22"/>
        </w:rPr>
        <w:t xml:space="preserve"> F, “Nitrogen (Nitrate)”, “</w:t>
      </w:r>
      <w:r w:rsidRPr="003B4362">
        <w:rPr>
          <w:szCs w:val="24"/>
        </w:rPr>
        <w:t>Automated Cadmium Reduction Method</w:t>
      </w:r>
      <w:r w:rsidRPr="003B4362">
        <w:rPr>
          <w:szCs w:val="22"/>
        </w:rPr>
        <w:t>”, only the version in the 21st and 22nd editions.  Referenced in Section 611.611.</w:t>
      </w:r>
    </w:p>
    <w:p w14:paraId="27134A4C" w14:textId="77777777" w:rsidR="00AD24B5" w:rsidRPr="003B4362" w:rsidRDefault="00AD24B5" w:rsidP="00AD24B5">
      <w:pPr>
        <w:widowControl w:val="0"/>
        <w:suppressAutoHyphens/>
        <w:ind w:left="2880"/>
        <w:rPr>
          <w:szCs w:val="22"/>
        </w:rPr>
      </w:pPr>
    </w:p>
    <w:p w14:paraId="2A161FC0"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F (16)” means Method 4500-NO</w:t>
      </w:r>
      <w:r w:rsidRPr="003B4362">
        <w:rPr>
          <w:szCs w:val="22"/>
          <w:vertAlign w:val="subscript"/>
        </w:rPr>
        <w:t>3</w:t>
      </w:r>
      <w:r w:rsidRPr="003B4362">
        <w:rPr>
          <w:szCs w:val="22"/>
          <w:vertAlign w:val="superscript"/>
        </w:rPr>
        <w:t>–</w:t>
      </w:r>
      <w:r w:rsidRPr="003B4362">
        <w:rPr>
          <w:szCs w:val="22"/>
        </w:rPr>
        <w:t xml:space="preserve"> F, “Nitrogen (Nitrate)”, “</w:t>
      </w:r>
      <w:r w:rsidRPr="003B4362">
        <w:rPr>
          <w:szCs w:val="24"/>
        </w:rPr>
        <w:t>Automated Cadmium Reduction Method</w:t>
      </w:r>
      <w:r w:rsidRPr="003B4362">
        <w:rPr>
          <w:szCs w:val="22"/>
        </w:rPr>
        <w:t>”, only the version in the 23rd edition.  Referenced in Section 611.611.</w:t>
      </w:r>
    </w:p>
    <w:p w14:paraId="2DCCCFEF" w14:textId="77777777" w:rsidR="00AD24B5" w:rsidRPr="003B4362" w:rsidRDefault="00AD24B5" w:rsidP="00AD24B5">
      <w:pPr>
        <w:widowControl w:val="0"/>
        <w:suppressAutoHyphens/>
        <w:ind w:left="2880"/>
        <w:rPr>
          <w:szCs w:val="22"/>
        </w:rPr>
      </w:pPr>
    </w:p>
    <w:p w14:paraId="2551CCBB"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2</w:t>
      </w:r>
      <w:r w:rsidRPr="003B4362">
        <w:rPr>
          <w:szCs w:val="22"/>
          <w:vertAlign w:val="superscript"/>
        </w:rPr>
        <w:t>–</w:t>
      </w:r>
      <w:r w:rsidRPr="003B4362">
        <w:rPr>
          <w:szCs w:val="22"/>
        </w:rPr>
        <w:t xml:space="preserve"> B (88)” means Method 4500-NO</w:t>
      </w:r>
      <w:r w:rsidRPr="003B4362">
        <w:rPr>
          <w:szCs w:val="22"/>
          <w:vertAlign w:val="subscript"/>
        </w:rPr>
        <w:t>2</w:t>
      </w:r>
      <w:r w:rsidRPr="003B4362">
        <w:rPr>
          <w:szCs w:val="22"/>
          <w:vertAlign w:val="superscript"/>
        </w:rPr>
        <w:t>–</w:t>
      </w:r>
      <w:r w:rsidRPr="003B4362">
        <w:rPr>
          <w:szCs w:val="22"/>
        </w:rPr>
        <w:t xml:space="preserve"> B, “Nitrogen (Nitrite)”, “Colorimetric Method”, only the version in the 18th edition.  Referenced in Section 611.611.</w:t>
      </w:r>
    </w:p>
    <w:p w14:paraId="4E27F1A8" w14:textId="77777777" w:rsidR="00AD24B5" w:rsidRPr="003B4362" w:rsidRDefault="00AD24B5" w:rsidP="00AD24B5">
      <w:pPr>
        <w:widowControl w:val="0"/>
        <w:suppressAutoHyphens/>
        <w:ind w:left="2880"/>
        <w:rPr>
          <w:szCs w:val="22"/>
        </w:rPr>
      </w:pPr>
    </w:p>
    <w:p w14:paraId="6D6E9E0F"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2</w:t>
      </w:r>
      <w:r w:rsidRPr="003B4362">
        <w:rPr>
          <w:szCs w:val="22"/>
          <w:vertAlign w:val="superscript"/>
        </w:rPr>
        <w:t>–</w:t>
      </w:r>
      <w:r w:rsidRPr="003B4362">
        <w:rPr>
          <w:szCs w:val="22"/>
        </w:rPr>
        <w:t xml:space="preserve"> B (93)” means Method 4500-NO</w:t>
      </w:r>
      <w:r w:rsidRPr="003B4362">
        <w:rPr>
          <w:szCs w:val="22"/>
          <w:vertAlign w:val="subscript"/>
        </w:rPr>
        <w:t>2</w:t>
      </w:r>
      <w:r w:rsidRPr="003B4362">
        <w:rPr>
          <w:szCs w:val="22"/>
          <w:vertAlign w:val="superscript"/>
        </w:rPr>
        <w:t>–</w:t>
      </w:r>
      <w:r w:rsidRPr="003B4362">
        <w:rPr>
          <w:szCs w:val="22"/>
        </w:rPr>
        <w:t xml:space="preserve"> B, “Nitrogen (Nitrite)”, “Colorimetric Method”, only the version in the 19th and 20th editions.  Referenced in Section 611.611.</w:t>
      </w:r>
    </w:p>
    <w:p w14:paraId="47B29218" w14:textId="77777777" w:rsidR="00AD24B5" w:rsidRPr="003B4362" w:rsidRDefault="00AD24B5" w:rsidP="00AD24B5">
      <w:pPr>
        <w:widowControl w:val="0"/>
        <w:suppressAutoHyphens/>
        <w:ind w:left="2880"/>
        <w:rPr>
          <w:szCs w:val="22"/>
        </w:rPr>
      </w:pPr>
    </w:p>
    <w:p w14:paraId="289B8B3F"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2</w:t>
      </w:r>
      <w:r w:rsidRPr="003B4362">
        <w:rPr>
          <w:szCs w:val="22"/>
          <w:vertAlign w:val="superscript"/>
        </w:rPr>
        <w:t>–</w:t>
      </w:r>
      <w:r w:rsidRPr="003B4362">
        <w:rPr>
          <w:szCs w:val="22"/>
        </w:rPr>
        <w:t xml:space="preserve"> B (00)” means Method 4500-NO</w:t>
      </w:r>
      <w:r w:rsidRPr="003B4362">
        <w:rPr>
          <w:szCs w:val="22"/>
          <w:vertAlign w:val="subscript"/>
        </w:rPr>
        <w:t>2</w:t>
      </w:r>
      <w:r w:rsidRPr="003B4362">
        <w:rPr>
          <w:szCs w:val="22"/>
          <w:vertAlign w:val="superscript"/>
        </w:rPr>
        <w:t>–</w:t>
      </w:r>
      <w:r w:rsidRPr="003B4362">
        <w:rPr>
          <w:szCs w:val="22"/>
        </w:rPr>
        <w:t xml:space="preserve"> B, “Nitrogen (Nitrite)”, “Colorimetric Method”, only the version in the 21st, 22nd, and 23rd editions.  Referenced in Section 611.611.</w:t>
      </w:r>
    </w:p>
    <w:p w14:paraId="7239B245" w14:textId="77777777" w:rsidR="00AD24B5" w:rsidRPr="003B4362" w:rsidRDefault="00AD24B5" w:rsidP="00AD24B5">
      <w:pPr>
        <w:widowControl w:val="0"/>
        <w:suppressAutoHyphens/>
        <w:ind w:left="2880"/>
        <w:rPr>
          <w:szCs w:val="22"/>
        </w:rPr>
      </w:pPr>
    </w:p>
    <w:p w14:paraId="2A78FEB9" w14:textId="77777777" w:rsidR="00AD24B5" w:rsidRPr="003B4362" w:rsidRDefault="00AD24B5" w:rsidP="00AD24B5">
      <w:pPr>
        <w:widowControl w:val="0"/>
        <w:suppressAutoHyphens/>
        <w:ind w:left="2880"/>
        <w:rPr>
          <w:szCs w:val="22"/>
        </w:rPr>
      </w:pPr>
      <w:r w:rsidRPr="003B4362">
        <w:rPr>
          <w:szCs w:val="22"/>
        </w:rPr>
        <w:t>“SM 4500-O</w:t>
      </w:r>
      <w:r w:rsidRPr="003B4362">
        <w:rPr>
          <w:szCs w:val="22"/>
          <w:vertAlign w:val="subscript"/>
        </w:rPr>
        <w:t>3</w:t>
      </w:r>
      <w:r w:rsidRPr="003B4362">
        <w:rPr>
          <w:szCs w:val="22"/>
        </w:rPr>
        <w:t xml:space="preserve"> B (88)” means Method 4500-O</w:t>
      </w:r>
      <w:r w:rsidRPr="003B4362">
        <w:rPr>
          <w:szCs w:val="22"/>
          <w:vertAlign w:val="subscript"/>
        </w:rPr>
        <w:t>3</w:t>
      </w:r>
      <w:r w:rsidRPr="003B4362">
        <w:rPr>
          <w:szCs w:val="22"/>
        </w:rPr>
        <w:t xml:space="preserve"> B, “Ozone (Residual) (Proposed)”, “Indigo Colorimetric Method”, only the version in the 18th edition.  Referenced in Section 611.531.</w:t>
      </w:r>
    </w:p>
    <w:p w14:paraId="7ED0CA35" w14:textId="77777777" w:rsidR="00AD24B5" w:rsidRPr="003B4362" w:rsidRDefault="00AD24B5" w:rsidP="00AD24B5">
      <w:pPr>
        <w:widowControl w:val="0"/>
        <w:suppressAutoHyphens/>
        <w:ind w:left="2880"/>
        <w:rPr>
          <w:szCs w:val="22"/>
        </w:rPr>
      </w:pPr>
    </w:p>
    <w:p w14:paraId="2AEA4CA4" w14:textId="77777777" w:rsidR="00AD24B5" w:rsidRPr="003B4362" w:rsidRDefault="00AD24B5" w:rsidP="00AD24B5">
      <w:pPr>
        <w:widowControl w:val="0"/>
        <w:suppressAutoHyphens/>
        <w:ind w:left="2880"/>
        <w:rPr>
          <w:szCs w:val="22"/>
        </w:rPr>
      </w:pPr>
      <w:r w:rsidRPr="003B4362">
        <w:rPr>
          <w:szCs w:val="22"/>
        </w:rPr>
        <w:t>“SM 4500-O</w:t>
      </w:r>
      <w:r w:rsidRPr="003B4362">
        <w:rPr>
          <w:szCs w:val="22"/>
          <w:vertAlign w:val="subscript"/>
        </w:rPr>
        <w:t>3</w:t>
      </w:r>
      <w:r w:rsidRPr="003B4362">
        <w:rPr>
          <w:szCs w:val="22"/>
        </w:rPr>
        <w:t xml:space="preserve"> B (93)” means Method 4500-O</w:t>
      </w:r>
      <w:r w:rsidRPr="003B4362">
        <w:rPr>
          <w:szCs w:val="22"/>
          <w:vertAlign w:val="subscript"/>
        </w:rPr>
        <w:t>3</w:t>
      </w:r>
      <w:r w:rsidRPr="003B4362">
        <w:rPr>
          <w:szCs w:val="22"/>
        </w:rPr>
        <w:t xml:space="preserve"> B, “Ozone (Residual)”, “Indigo Colorimetric Method”, only the version in the 19th edition.  Referenced in Section 611.531.</w:t>
      </w:r>
    </w:p>
    <w:p w14:paraId="798AECF1" w14:textId="77777777" w:rsidR="00AD24B5" w:rsidRPr="003B4362" w:rsidRDefault="00AD24B5" w:rsidP="00AD24B5">
      <w:pPr>
        <w:widowControl w:val="0"/>
        <w:suppressAutoHyphens/>
        <w:ind w:left="2880"/>
        <w:rPr>
          <w:szCs w:val="22"/>
        </w:rPr>
      </w:pPr>
    </w:p>
    <w:p w14:paraId="61B0D0AF" w14:textId="77777777" w:rsidR="00AD24B5" w:rsidRPr="003B4362" w:rsidRDefault="00AD24B5" w:rsidP="00AD24B5">
      <w:pPr>
        <w:widowControl w:val="0"/>
        <w:suppressAutoHyphens/>
        <w:ind w:left="2880"/>
        <w:rPr>
          <w:szCs w:val="22"/>
        </w:rPr>
      </w:pPr>
      <w:r w:rsidRPr="003B4362">
        <w:rPr>
          <w:szCs w:val="22"/>
        </w:rPr>
        <w:t>“SM 4500-O</w:t>
      </w:r>
      <w:r w:rsidRPr="003B4362">
        <w:rPr>
          <w:szCs w:val="22"/>
          <w:vertAlign w:val="subscript"/>
        </w:rPr>
        <w:t>3</w:t>
      </w:r>
      <w:r w:rsidRPr="003B4362">
        <w:rPr>
          <w:szCs w:val="22"/>
        </w:rPr>
        <w:t xml:space="preserve"> B (97)” means Method 4500-O</w:t>
      </w:r>
      <w:r w:rsidRPr="003B4362">
        <w:rPr>
          <w:szCs w:val="22"/>
          <w:vertAlign w:val="subscript"/>
        </w:rPr>
        <w:t>3</w:t>
      </w:r>
      <w:r w:rsidRPr="003B4362">
        <w:rPr>
          <w:szCs w:val="22"/>
        </w:rPr>
        <w:t xml:space="preserve"> B, “Ozone (Residual)”, “Indigo Colorimetric Method”, only the version in the 20th, 21st, 22nd, and 23rd editions.  Referenced in Section 611.531.</w:t>
      </w:r>
    </w:p>
    <w:p w14:paraId="5742C295" w14:textId="77777777" w:rsidR="00AD24B5" w:rsidRPr="003B4362" w:rsidRDefault="00AD24B5" w:rsidP="00AD24B5">
      <w:pPr>
        <w:ind w:left="2880"/>
      </w:pPr>
    </w:p>
    <w:p w14:paraId="372FB562" w14:textId="77777777" w:rsidR="00AD24B5" w:rsidRPr="003B4362" w:rsidRDefault="00AD24B5" w:rsidP="00AD24B5">
      <w:pPr>
        <w:ind w:left="2880"/>
      </w:pPr>
      <w:r w:rsidRPr="003B4362">
        <w:t>“SM 4500-P E (88)” means Method 4500-P E, “Phosphorus”, “Ascorbic Acid Method”, only the version in the 18th edition.  Referenced in Section 611.611.</w:t>
      </w:r>
    </w:p>
    <w:p w14:paraId="3C4E2F9E" w14:textId="77777777" w:rsidR="00AD24B5" w:rsidRPr="003B4362" w:rsidRDefault="00AD24B5" w:rsidP="00AD24B5">
      <w:pPr>
        <w:ind w:left="2880"/>
      </w:pPr>
    </w:p>
    <w:p w14:paraId="1E859106" w14:textId="77777777" w:rsidR="00AD24B5" w:rsidRPr="003B4362" w:rsidRDefault="00AD24B5" w:rsidP="00AD24B5">
      <w:pPr>
        <w:ind w:left="2880"/>
      </w:pPr>
      <w:r w:rsidRPr="003B4362">
        <w:t>“SM 4500-P E (93)” means Method 4500-P E, “Phosphorus”, “Ascorbic Acid Method”, only the version in the 19th edition.  Referenced in Section 611.611.</w:t>
      </w:r>
    </w:p>
    <w:p w14:paraId="051957BE" w14:textId="77777777" w:rsidR="00AD24B5" w:rsidRPr="003B4362" w:rsidRDefault="00AD24B5" w:rsidP="00AD24B5">
      <w:pPr>
        <w:ind w:left="2880"/>
      </w:pPr>
    </w:p>
    <w:p w14:paraId="3847CF38" w14:textId="77777777" w:rsidR="00AD24B5" w:rsidRPr="003B4362" w:rsidRDefault="00AD24B5" w:rsidP="00AD24B5">
      <w:pPr>
        <w:ind w:left="2880"/>
      </w:pPr>
      <w:r w:rsidRPr="003B4362">
        <w:t>“SM 4500-P E (97)” means Method 4500-P E, “Phosphorus”, “Ascorbic Acid Method”, only the version in the 20th edition.  Referenced in Section 611.611.</w:t>
      </w:r>
    </w:p>
    <w:p w14:paraId="35E55DDA" w14:textId="77777777" w:rsidR="00AD24B5" w:rsidRPr="003B4362" w:rsidRDefault="00AD24B5" w:rsidP="00AD24B5">
      <w:pPr>
        <w:ind w:left="2880"/>
      </w:pPr>
    </w:p>
    <w:p w14:paraId="3B4E4B1D" w14:textId="77777777" w:rsidR="00AD24B5" w:rsidRPr="003B4362" w:rsidRDefault="00AD24B5" w:rsidP="00AD24B5">
      <w:pPr>
        <w:ind w:left="2880"/>
      </w:pPr>
      <w:r w:rsidRPr="003B4362">
        <w:t>“SM 4500-P E (99)” means Method 4500-P E, “Phosphorus”, “Ascorbic Acid Method”, only the version in the 21st and 22nd editions.  Referenced in Section 611.611.</w:t>
      </w:r>
    </w:p>
    <w:p w14:paraId="45A465FC" w14:textId="77777777" w:rsidR="00AD24B5" w:rsidRPr="003B4362" w:rsidRDefault="00AD24B5" w:rsidP="00AD24B5">
      <w:pPr>
        <w:ind w:left="2880"/>
      </w:pPr>
    </w:p>
    <w:p w14:paraId="4EE95534" w14:textId="77777777" w:rsidR="00AD24B5" w:rsidRPr="003B4362" w:rsidRDefault="00AD24B5" w:rsidP="00AD24B5">
      <w:pPr>
        <w:ind w:left="2880"/>
      </w:pPr>
      <w:r w:rsidRPr="003B4362">
        <w:t>“SM 4500-P E (05)” means Method 4500-P E, “Phosphorus”, “Ascorbic Acid Method”, only the version in the 23rd edition.  Referenced in Section 611.611.</w:t>
      </w:r>
    </w:p>
    <w:p w14:paraId="687691DE" w14:textId="77777777" w:rsidR="00AD24B5" w:rsidRPr="003B4362" w:rsidRDefault="00AD24B5" w:rsidP="00AD24B5">
      <w:pPr>
        <w:ind w:left="2880"/>
      </w:pPr>
    </w:p>
    <w:p w14:paraId="27C6D3A8" w14:textId="77777777" w:rsidR="00AD24B5" w:rsidRPr="003B4362" w:rsidRDefault="00AD24B5" w:rsidP="00AD24B5">
      <w:pPr>
        <w:ind w:left="2880"/>
      </w:pPr>
      <w:r w:rsidRPr="003B4362">
        <w:t>“SM 4500-P F (88)” means Method 4500-P F, “Phosphorus”, “</w:t>
      </w:r>
      <w:r w:rsidRPr="003B4362">
        <w:rPr>
          <w:szCs w:val="24"/>
        </w:rPr>
        <w:t>Automated Ascorbic Acid Reduction Method</w:t>
      </w:r>
      <w:r w:rsidRPr="003B4362">
        <w:t>”, only the version in the 18th edition.  Referenced in Section 611.611.</w:t>
      </w:r>
    </w:p>
    <w:p w14:paraId="11B29DFD" w14:textId="77777777" w:rsidR="00AD24B5" w:rsidRPr="003B4362" w:rsidRDefault="00AD24B5" w:rsidP="00AD24B5">
      <w:pPr>
        <w:ind w:left="2880"/>
      </w:pPr>
    </w:p>
    <w:p w14:paraId="0C63B11B" w14:textId="77777777" w:rsidR="00AD24B5" w:rsidRPr="003B4362" w:rsidRDefault="00AD24B5" w:rsidP="00AD24B5">
      <w:pPr>
        <w:ind w:left="2880"/>
      </w:pPr>
      <w:r w:rsidRPr="003B4362">
        <w:t>“SM 4500-P F (93)” means Method 4500-P F, “Phosphorus”, “</w:t>
      </w:r>
      <w:r w:rsidRPr="003B4362">
        <w:rPr>
          <w:szCs w:val="24"/>
        </w:rPr>
        <w:t>Automated Ascorbic Acid Reduction Method</w:t>
      </w:r>
      <w:r w:rsidRPr="003B4362">
        <w:t>”, only the version in the 19th edition.  Referenced in Section 611.611.</w:t>
      </w:r>
    </w:p>
    <w:p w14:paraId="678E0324" w14:textId="77777777" w:rsidR="00AD24B5" w:rsidRPr="003B4362" w:rsidRDefault="00AD24B5" w:rsidP="00AD24B5">
      <w:pPr>
        <w:ind w:left="2880"/>
      </w:pPr>
    </w:p>
    <w:p w14:paraId="4E1B6DF8" w14:textId="77777777" w:rsidR="00AD24B5" w:rsidRPr="003B4362" w:rsidRDefault="00AD24B5" w:rsidP="00AD24B5">
      <w:pPr>
        <w:ind w:left="2880"/>
      </w:pPr>
      <w:r w:rsidRPr="003B4362">
        <w:t>“SM 4500-P F (97)” means Method 4500-P F, “Phosphorus”, “</w:t>
      </w:r>
      <w:r w:rsidRPr="003B4362">
        <w:rPr>
          <w:szCs w:val="24"/>
        </w:rPr>
        <w:t>Automated Ascorbic Acid Reduction Method</w:t>
      </w:r>
      <w:r w:rsidRPr="003B4362">
        <w:t>”, only the version in the 20th edition.  Referenced in Section 611.611.</w:t>
      </w:r>
    </w:p>
    <w:p w14:paraId="0D56A088" w14:textId="77777777" w:rsidR="00AD24B5" w:rsidRPr="003B4362" w:rsidRDefault="00AD24B5" w:rsidP="00AD24B5">
      <w:pPr>
        <w:ind w:left="2880"/>
      </w:pPr>
    </w:p>
    <w:p w14:paraId="4F59484A" w14:textId="77777777" w:rsidR="00AD24B5" w:rsidRPr="003B4362" w:rsidRDefault="00AD24B5" w:rsidP="00AD24B5">
      <w:pPr>
        <w:ind w:left="2880"/>
      </w:pPr>
      <w:r w:rsidRPr="003B4362">
        <w:t>“SM 4500-P F (99)” means Method 4500-P F, “Phosphorus”, “</w:t>
      </w:r>
      <w:r w:rsidRPr="003B4362">
        <w:rPr>
          <w:szCs w:val="24"/>
        </w:rPr>
        <w:t>Automated Ascorbic Acid Reduction Method</w:t>
      </w:r>
      <w:r w:rsidRPr="003B4362">
        <w:t>”, only the version in the 21st and 22nd editions.  Referenced in Section 611.611.</w:t>
      </w:r>
    </w:p>
    <w:p w14:paraId="2F371248" w14:textId="77777777" w:rsidR="00AD24B5" w:rsidRPr="003B4362" w:rsidRDefault="00AD24B5" w:rsidP="00AD24B5">
      <w:pPr>
        <w:ind w:left="2880"/>
      </w:pPr>
    </w:p>
    <w:p w14:paraId="6EC50E00" w14:textId="77777777" w:rsidR="00AD24B5" w:rsidRPr="003B4362" w:rsidRDefault="00AD24B5" w:rsidP="00AD24B5">
      <w:pPr>
        <w:ind w:left="2880"/>
      </w:pPr>
      <w:r w:rsidRPr="003B4362">
        <w:t>“SM 4500-P F (05)” means Method 4500-P F, “Phosphorus”, “</w:t>
      </w:r>
      <w:r w:rsidRPr="003B4362">
        <w:rPr>
          <w:szCs w:val="24"/>
        </w:rPr>
        <w:t>Automated Ascorbic Acid Reduction Method</w:t>
      </w:r>
      <w:r w:rsidRPr="003B4362">
        <w:t>”, only the version in the 23rd edition.  Referenced in Section 611.611.</w:t>
      </w:r>
    </w:p>
    <w:p w14:paraId="18B6F889" w14:textId="77777777" w:rsidR="00AD24B5" w:rsidRPr="003B4362" w:rsidRDefault="00AD24B5" w:rsidP="00AD24B5">
      <w:pPr>
        <w:ind w:left="2880"/>
      </w:pPr>
    </w:p>
    <w:p w14:paraId="3E694DDA" w14:textId="77777777" w:rsidR="00AD24B5" w:rsidRPr="003B4362" w:rsidRDefault="00AD24B5" w:rsidP="00AD24B5">
      <w:pPr>
        <w:ind w:left="2880"/>
      </w:pPr>
      <w:r w:rsidRPr="003B4362">
        <w:t>“SM 4500-Si D (88)” means Method 4500-Si D, “Silica”, “Molybdosilicate Method”, only the version in the 18th edition.  Referenced in Section 611.611.</w:t>
      </w:r>
    </w:p>
    <w:p w14:paraId="68DC72DE" w14:textId="77777777" w:rsidR="00AD24B5" w:rsidRPr="003B4362" w:rsidRDefault="00AD24B5" w:rsidP="00AD24B5">
      <w:pPr>
        <w:ind w:left="2880"/>
      </w:pPr>
    </w:p>
    <w:p w14:paraId="6C2FA435" w14:textId="77777777" w:rsidR="00AD24B5" w:rsidRPr="003B4362" w:rsidRDefault="00AD24B5" w:rsidP="00AD24B5">
      <w:pPr>
        <w:ind w:left="2880"/>
      </w:pPr>
      <w:r w:rsidRPr="003B4362">
        <w:t>“SM 4500-Si D (93)” means Method 4500-Si D, “Silica”, “Molybdosilicate Method”, only the version in the 19th edition.  Referenced in Section 611.611.</w:t>
      </w:r>
    </w:p>
    <w:p w14:paraId="7ABB853A" w14:textId="77777777" w:rsidR="00AD24B5" w:rsidRPr="003B4362" w:rsidRDefault="00AD24B5" w:rsidP="00AD24B5">
      <w:pPr>
        <w:ind w:left="2880"/>
      </w:pPr>
    </w:p>
    <w:p w14:paraId="06F30B91" w14:textId="77777777" w:rsidR="00AD24B5" w:rsidRPr="003B4362" w:rsidRDefault="00AD24B5" w:rsidP="00AD24B5">
      <w:pPr>
        <w:ind w:left="2880"/>
      </w:pPr>
      <w:r w:rsidRPr="003B4362">
        <w:t>“SM 4500-Si E (88)” means Method 4500-Si E, “Silica”, “Molybdosilicate Method”, only the version in the 18th edition.  Referenced in Section 611.611.</w:t>
      </w:r>
    </w:p>
    <w:p w14:paraId="350F7924" w14:textId="77777777" w:rsidR="00AD24B5" w:rsidRPr="003B4362" w:rsidRDefault="00AD24B5" w:rsidP="00AD24B5">
      <w:pPr>
        <w:ind w:left="2880"/>
      </w:pPr>
    </w:p>
    <w:p w14:paraId="2DA72E26" w14:textId="77777777" w:rsidR="00AD24B5" w:rsidRPr="003B4362" w:rsidRDefault="00AD24B5" w:rsidP="00AD24B5">
      <w:pPr>
        <w:ind w:left="2880"/>
      </w:pPr>
      <w:r w:rsidRPr="003B4362">
        <w:t>“SM 4500-Si E (93)” means Method 4500-Si E, “Silica”, “Molybdosilicate Method”, only the version in the 19th edition.  Referenced in Section 611.611.</w:t>
      </w:r>
    </w:p>
    <w:p w14:paraId="01A23A01" w14:textId="77777777" w:rsidR="00AD24B5" w:rsidRPr="003B4362" w:rsidRDefault="00AD24B5" w:rsidP="00AD24B5">
      <w:pPr>
        <w:ind w:left="2880"/>
      </w:pPr>
    </w:p>
    <w:p w14:paraId="4797F5CE" w14:textId="77777777" w:rsidR="00AD24B5" w:rsidRPr="003B4362" w:rsidRDefault="00AD24B5" w:rsidP="00AD24B5">
      <w:pPr>
        <w:ind w:left="2880"/>
      </w:pPr>
      <w:r w:rsidRPr="003B4362">
        <w:t>“SM 4500-Si F (88)” means Method 4500-Si F, “Silica”, “Molybdosilicate Method”, only the version in the 18th edition.  Referenced in Section 611.611.</w:t>
      </w:r>
    </w:p>
    <w:p w14:paraId="2BBDB794" w14:textId="77777777" w:rsidR="00AD24B5" w:rsidRPr="003B4362" w:rsidRDefault="00AD24B5" w:rsidP="00AD24B5">
      <w:pPr>
        <w:ind w:left="2880"/>
      </w:pPr>
    </w:p>
    <w:p w14:paraId="2838829B" w14:textId="77777777" w:rsidR="00AD24B5" w:rsidRPr="003B4362" w:rsidRDefault="00AD24B5" w:rsidP="00AD24B5">
      <w:pPr>
        <w:ind w:left="2880"/>
      </w:pPr>
      <w:r w:rsidRPr="003B4362">
        <w:t>“SM 4500-Si F (93)” means Method 4500-Si F, “Silica”, “Molybdosilicate Method”, only the version in the 19th edition.  Referenced in Section 611.611.</w:t>
      </w:r>
    </w:p>
    <w:p w14:paraId="1AF745FC" w14:textId="77777777" w:rsidR="00AD24B5" w:rsidRPr="003B4362" w:rsidRDefault="00AD24B5" w:rsidP="00AD24B5">
      <w:pPr>
        <w:ind w:left="2880"/>
      </w:pPr>
    </w:p>
    <w:p w14:paraId="1B448793" w14:textId="77777777" w:rsidR="00AD24B5" w:rsidRPr="003B4362" w:rsidRDefault="00AD24B5" w:rsidP="00AD24B5">
      <w:pPr>
        <w:ind w:left="2880"/>
      </w:pPr>
      <w:r w:rsidRPr="003B4362">
        <w:t>“SM 4500-SiO</w:t>
      </w:r>
      <w:r w:rsidRPr="003B4362">
        <w:rPr>
          <w:vertAlign w:val="subscript"/>
        </w:rPr>
        <w:t>2</w:t>
      </w:r>
      <w:r w:rsidRPr="003B4362">
        <w:t xml:space="preserve"> C (97)” means Method 4500-SiO</w:t>
      </w:r>
      <w:r w:rsidRPr="003B4362">
        <w:rPr>
          <w:vertAlign w:val="subscript"/>
        </w:rPr>
        <w:t>2</w:t>
      </w:r>
      <w:r w:rsidRPr="003B4362">
        <w:t xml:space="preserve"> C, “Silica”, “Molybdosilicate Method”, only the version in the 20th, 21st, 22nd, and 23rd editions.  Referenced in Section 611.611.</w:t>
      </w:r>
    </w:p>
    <w:p w14:paraId="2F11E0A1" w14:textId="77777777" w:rsidR="00AD24B5" w:rsidRPr="003B4362" w:rsidRDefault="00AD24B5" w:rsidP="00AD24B5">
      <w:pPr>
        <w:ind w:left="2880"/>
      </w:pPr>
    </w:p>
    <w:p w14:paraId="5BE34C3D" w14:textId="77777777" w:rsidR="00AD24B5" w:rsidRPr="003B4362" w:rsidRDefault="00AD24B5" w:rsidP="00AD24B5">
      <w:pPr>
        <w:ind w:left="2880"/>
      </w:pPr>
      <w:r w:rsidRPr="003B4362">
        <w:lastRenderedPageBreak/>
        <w:t>“SM 4500-SiO</w:t>
      </w:r>
      <w:r w:rsidRPr="003B4362">
        <w:rPr>
          <w:vertAlign w:val="subscript"/>
        </w:rPr>
        <w:t>2</w:t>
      </w:r>
      <w:r w:rsidRPr="003B4362">
        <w:t xml:space="preserve"> D (97)” means Method 4500-SiO</w:t>
      </w:r>
      <w:r w:rsidRPr="003B4362">
        <w:rPr>
          <w:vertAlign w:val="subscript"/>
        </w:rPr>
        <w:t>2</w:t>
      </w:r>
      <w:r w:rsidRPr="003B4362">
        <w:t xml:space="preserve"> D, “Silica”, “</w:t>
      </w:r>
      <w:r w:rsidRPr="003B4362">
        <w:rPr>
          <w:szCs w:val="24"/>
        </w:rPr>
        <w:t>Heteropoly Blue Method</w:t>
      </w:r>
      <w:r w:rsidRPr="003B4362">
        <w:t>”, only the version in the 20th, 21st, 22nd, and 23rd editions.  Referenced in Section 611.611.</w:t>
      </w:r>
    </w:p>
    <w:p w14:paraId="39F0B280" w14:textId="77777777" w:rsidR="00AD24B5" w:rsidRPr="003B4362" w:rsidRDefault="00AD24B5" w:rsidP="00AD24B5">
      <w:pPr>
        <w:ind w:left="2880"/>
      </w:pPr>
    </w:p>
    <w:p w14:paraId="61FCB961" w14:textId="77777777" w:rsidR="00AD24B5" w:rsidRPr="003B4362" w:rsidRDefault="00AD24B5" w:rsidP="00AD24B5">
      <w:pPr>
        <w:ind w:left="2880"/>
      </w:pPr>
      <w:r w:rsidRPr="003B4362">
        <w:t>“SM 4500-SiO</w:t>
      </w:r>
      <w:r w:rsidRPr="003B4362">
        <w:rPr>
          <w:vertAlign w:val="subscript"/>
        </w:rPr>
        <w:t>2</w:t>
      </w:r>
      <w:r w:rsidRPr="003B4362">
        <w:t xml:space="preserve"> E (97)” means Method 4500-SiO</w:t>
      </w:r>
      <w:r w:rsidRPr="003B4362">
        <w:rPr>
          <w:vertAlign w:val="subscript"/>
        </w:rPr>
        <w:t>2</w:t>
      </w:r>
      <w:r w:rsidRPr="003B4362">
        <w:t xml:space="preserve"> E, “Silica”, “</w:t>
      </w:r>
      <w:r w:rsidRPr="003B4362">
        <w:rPr>
          <w:szCs w:val="24"/>
        </w:rPr>
        <w:t>Automated Method for Molybdate-Reactive Silica</w:t>
      </w:r>
      <w:r w:rsidRPr="003B4362">
        <w:t>”, only the version in the 20th, 21st, 22nd, and 23rd editions.  Referenced in Section 611.611.</w:t>
      </w:r>
    </w:p>
    <w:p w14:paraId="3760B91F" w14:textId="77777777" w:rsidR="00AD24B5" w:rsidRPr="003B4362" w:rsidRDefault="00AD24B5" w:rsidP="00AD24B5">
      <w:pPr>
        <w:widowControl w:val="0"/>
        <w:suppressAutoHyphens/>
        <w:ind w:left="2880"/>
        <w:rPr>
          <w:szCs w:val="22"/>
        </w:rPr>
      </w:pPr>
    </w:p>
    <w:p w14:paraId="14AAAFE8" w14:textId="77777777" w:rsidR="00AD24B5" w:rsidRPr="003B4362" w:rsidRDefault="00AD24B5" w:rsidP="00AD24B5">
      <w:pPr>
        <w:widowControl w:val="0"/>
        <w:suppressAutoHyphens/>
        <w:ind w:left="2880"/>
        <w:rPr>
          <w:szCs w:val="22"/>
        </w:rPr>
      </w:pPr>
      <w:r w:rsidRPr="003B4362">
        <w:rPr>
          <w:szCs w:val="22"/>
        </w:rPr>
        <w:t>“SM 5310 B (92)” means Method 5310 B, “Total Organic Carbon (TOC)”, “</w:t>
      </w:r>
      <w:r w:rsidRPr="003B4362">
        <w:rPr>
          <w:szCs w:val="24"/>
        </w:rPr>
        <w:t>Combustion-Infrared Method</w:t>
      </w:r>
      <w:r w:rsidRPr="003B4362">
        <w:rPr>
          <w:szCs w:val="22"/>
        </w:rPr>
        <w:t>”, only the version in the supplement to the 19th edition.  Referenced in Section 611.381.</w:t>
      </w:r>
    </w:p>
    <w:p w14:paraId="732B225B" w14:textId="77777777" w:rsidR="00AD24B5" w:rsidRPr="003B4362" w:rsidRDefault="00AD24B5" w:rsidP="00AD24B5">
      <w:pPr>
        <w:widowControl w:val="0"/>
        <w:suppressAutoHyphens/>
        <w:ind w:left="2880"/>
        <w:rPr>
          <w:szCs w:val="22"/>
        </w:rPr>
      </w:pPr>
    </w:p>
    <w:p w14:paraId="58D1FD69" w14:textId="77777777" w:rsidR="00AD24B5" w:rsidRPr="003B4362" w:rsidRDefault="00AD24B5" w:rsidP="00AD24B5">
      <w:pPr>
        <w:widowControl w:val="0"/>
        <w:suppressAutoHyphens/>
        <w:ind w:left="2880"/>
        <w:rPr>
          <w:szCs w:val="22"/>
        </w:rPr>
      </w:pPr>
      <w:r w:rsidRPr="003B4362">
        <w:rPr>
          <w:szCs w:val="22"/>
        </w:rPr>
        <w:t xml:space="preserve">“SM 5310 B (96)” means Method 5310 B, “Total Organic Carbon (TOC)”, “High-Temperature </w:t>
      </w:r>
      <w:r w:rsidRPr="003B4362">
        <w:rPr>
          <w:szCs w:val="24"/>
        </w:rPr>
        <w:t>Combustion Method</w:t>
      </w:r>
      <w:r w:rsidRPr="003B4362">
        <w:rPr>
          <w:szCs w:val="22"/>
        </w:rPr>
        <w:t>”, only the version in the 20th edition.  Referenced in Section 611.381.</w:t>
      </w:r>
    </w:p>
    <w:p w14:paraId="0AF384D5" w14:textId="77777777" w:rsidR="00AD24B5" w:rsidRPr="003B4362" w:rsidRDefault="00AD24B5" w:rsidP="00AD24B5">
      <w:pPr>
        <w:widowControl w:val="0"/>
        <w:suppressAutoHyphens/>
        <w:ind w:left="2880"/>
        <w:rPr>
          <w:szCs w:val="22"/>
        </w:rPr>
      </w:pPr>
    </w:p>
    <w:p w14:paraId="3B3B9122" w14:textId="77777777" w:rsidR="00AD24B5" w:rsidRPr="003B4362" w:rsidRDefault="00AD24B5" w:rsidP="00AD24B5">
      <w:pPr>
        <w:widowControl w:val="0"/>
        <w:suppressAutoHyphens/>
        <w:ind w:left="2880"/>
        <w:rPr>
          <w:szCs w:val="22"/>
        </w:rPr>
      </w:pPr>
      <w:r w:rsidRPr="003B4362">
        <w:rPr>
          <w:szCs w:val="22"/>
        </w:rPr>
        <w:t xml:space="preserve">“SM 5310 B (00)” means Method 5310 B, “Total Organic Carbon (TOC)”, “High-Temperature </w:t>
      </w:r>
      <w:r w:rsidRPr="003B4362">
        <w:rPr>
          <w:szCs w:val="24"/>
        </w:rPr>
        <w:t>Combustion Method</w:t>
      </w:r>
      <w:r w:rsidRPr="003B4362">
        <w:rPr>
          <w:szCs w:val="22"/>
        </w:rPr>
        <w:t>”, only the version in the 21st and 22nd editions.  Referenced in Section 611.381.</w:t>
      </w:r>
    </w:p>
    <w:p w14:paraId="773B9034" w14:textId="77777777" w:rsidR="00AD24B5" w:rsidRPr="003B4362" w:rsidRDefault="00AD24B5" w:rsidP="00AD24B5">
      <w:pPr>
        <w:widowControl w:val="0"/>
        <w:suppressAutoHyphens/>
        <w:ind w:left="2880"/>
        <w:rPr>
          <w:szCs w:val="22"/>
        </w:rPr>
      </w:pPr>
    </w:p>
    <w:p w14:paraId="43180657" w14:textId="77777777" w:rsidR="00AD24B5" w:rsidRPr="003B4362" w:rsidRDefault="00AD24B5" w:rsidP="00AD24B5">
      <w:pPr>
        <w:widowControl w:val="0"/>
        <w:suppressAutoHyphens/>
        <w:ind w:left="2880"/>
        <w:rPr>
          <w:szCs w:val="22"/>
        </w:rPr>
      </w:pPr>
      <w:r w:rsidRPr="003B4362">
        <w:rPr>
          <w:szCs w:val="22"/>
        </w:rPr>
        <w:t xml:space="preserve">“SM 5310 B (14)” means Method 5310 B, “Total Organic Carbon (TOC)”, “High-Temperature </w:t>
      </w:r>
      <w:r w:rsidRPr="003B4362">
        <w:rPr>
          <w:szCs w:val="24"/>
        </w:rPr>
        <w:t>Combustion Method</w:t>
      </w:r>
      <w:r w:rsidRPr="003B4362">
        <w:rPr>
          <w:szCs w:val="22"/>
        </w:rPr>
        <w:t>”, only the version in the 23rd edition.  Referenced in Section 611.381.</w:t>
      </w:r>
    </w:p>
    <w:p w14:paraId="0BB7FD5E" w14:textId="77777777" w:rsidR="00AD24B5" w:rsidRPr="003B4362" w:rsidRDefault="00AD24B5" w:rsidP="00AD24B5">
      <w:pPr>
        <w:widowControl w:val="0"/>
        <w:suppressAutoHyphens/>
        <w:ind w:left="2880"/>
        <w:rPr>
          <w:szCs w:val="22"/>
        </w:rPr>
      </w:pPr>
    </w:p>
    <w:p w14:paraId="2C7FB6BF" w14:textId="77777777" w:rsidR="00AD24B5" w:rsidRPr="003B4362" w:rsidRDefault="00AD24B5" w:rsidP="00AD24B5">
      <w:pPr>
        <w:widowControl w:val="0"/>
        <w:suppressAutoHyphens/>
        <w:ind w:left="2880"/>
        <w:rPr>
          <w:szCs w:val="22"/>
        </w:rPr>
      </w:pPr>
      <w:r w:rsidRPr="003B4362">
        <w:rPr>
          <w:szCs w:val="22"/>
        </w:rPr>
        <w:t>“SM 5310 C (92)” means Method 5310 C, “Total Organic Carbon (TOC)”, “Persulfate-Ultraviolet Oxidation Method”, only the version in the supplement to the 19th edition.  Referenced in Section 611.381.</w:t>
      </w:r>
    </w:p>
    <w:p w14:paraId="3A928EAF" w14:textId="77777777" w:rsidR="00AD24B5" w:rsidRPr="003B4362" w:rsidRDefault="00AD24B5" w:rsidP="00AD24B5">
      <w:pPr>
        <w:widowControl w:val="0"/>
        <w:suppressAutoHyphens/>
        <w:ind w:left="2880"/>
        <w:rPr>
          <w:szCs w:val="22"/>
        </w:rPr>
      </w:pPr>
    </w:p>
    <w:p w14:paraId="2378AC7D" w14:textId="77777777" w:rsidR="00AD24B5" w:rsidRPr="003B4362" w:rsidRDefault="00AD24B5" w:rsidP="00AD24B5">
      <w:pPr>
        <w:widowControl w:val="0"/>
        <w:suppressAutoHyphens/>
        <w:ind w:left="2880"/>
        <w:rPr>
          <w:szCs w:val="22"/>
        </w:rPr>
      </w:pPr>
      <w:r w:rsidRPr="003B4362">
        <w:rPr>
          <w:szCs w:val="22"/>
        </w:rPr>
        <w:t>“SM 5310 C (96)” means Method 5310 C, “Total Organic Carbon (TOC)”, “Persulfate-Ultraviolet or Heated-Persulfate Oxidation Method”, only the version in the 20th edition.  Referenced in Section 611.381.</w:t>
      </w:r>
    </w:p>
    <w:p w14:paraId="677DF3E0" w14:textId="77777777" w:rsidR="00AD24B5" w:rsidRPr="003B4362" w:rsidRDefault="00AD24B5" w:rsidP="00AD24B5">
      <w:pPr>
        <w:widowControl w:val="0"/>
        <w:suppressAutoHyphens/>
        <w:ind w:left="2880"/>
        <w:rPr>
          <w:szCs w:val="22"/>
        </w:rPr>
      </w:pPr>
    </w:p>
    <w:p w14:paraId="6601C89E" w14:textId="77777777" w:rsidR="00AD24B5" w:rsidRPr="003B4362" w:rsidRDefault="00AD24B5" w:rsidP="00AD24B5">
      <w:pPr>
        <w:widowControl w:val="0"/>
        <w:suppressAutoHyphens/>
        <w:ind w:left="2880"/>
        <w:rPr>
          <w:szCs w:val="22"/>
        </w:rPr>
      </w:pPr>
      <w:r w:rsidRPr="003B4362">
        <w:rPr>
          <w:szCs w:val="22"/>
        </w:rPr>
        <w:t>“SM 5310 C (00)” means Method 5310 C, “Total Organic Carbon (TOC)”, “Persulfate-Ultraviolet or Heated-Persulfate Oxidation Method”, only the version in the 21st and 22nd editions.  Referenced in Section 611.381.</w:t>
      </w:r>
    </w:p>
    <w:p w14:paraId="6D7A32FB" w14:textId="77777777" w:rsidR="00AD24B5" w:rsidRPr="003B4362" w:rsidRDefault="00AD24B5" w:rsidP="00AD24B5">
      <w:pPr>
        <w:widowControl w:val="0"/>
        <w:suppressAutoHyphens/>
        <w:ind w:left="2880"/>
        <w:rPr>
          <w:szCs w:val="22"/>
        </w:rPr>
      </w:pPr>
    </w:p>
    <w:p w14:paraId="0402C25F" w14:textId="77777777" w:rsidR="00AD24B5" w:rsidRPr="003B4362" w:rsidRDefault="00AD24B5" w:rsidP="00AD24B5">
      <w:pPr>
        <w:widowControl w:val="0"/>
        <w:suppressAutoHyphens/>
        <w:ind w:left="2880"/>
        <w:rPr>
          <w:szCs w:val="22"/>
        </w:rPr>
      </w:pPr>
      <w:r w:rsidRPr="003B4362">
        <w:rPr>
          <w:szCs w:val="22"/>
        </w:rPr>
        <w:t>“SM 5310 C (14)” means Method 5310 C, “Total Organic Carbon (TOC)”, “Persulfate-Ultraviolet or Heated-Persulfate Oxidation Method”, only the version in the 23rd edition.  Referenced in Section 611.381.</w:t>
      </w:r>
    </w:p>
    <w:p w14:paraId="78E75B4C" w14:textId="77777777" w:rsidR="00AD24B5" w:rsidRPr="003B4362" w:rsidRDefault="00AD24B5" w:rsidP="00AD24B5">
      <w:pPr>
        <w:widowControl w:val="0"/>
        <w:suppressAutoHyphens/>
        <w:ind w:left="2880"/>
        <w:rPr>
          <w:szCs w:val="22"/>
        </w:rPr>
      </w:pPr>
    </w:p>
    <w:p w14:paraId="5EA679EE" w14:textId="77777777" w:rsidR="00AD24B5" w:rsidRPr="003B4362" w:rsidRDefault="00AD24B5" w:rsidP="00AD24B5">
      <w:pPr>
        <w:widowControl w:val="0"/>
        <w:suppressAutoHyphens/>
        <w:ind w:left="2880"/>
        <w:rPr>
          <w:szCs w:val="22"/>
        </w:rPr>
      </w:pPr>
      <w:r w:rsidRPr="003B4362">
        <w:rPr>
          <w:szCs w:val="22"/>
        </w:rPr>
        <w:t>“SM 5310 D (92)” means Method 5310 D, “Total Organic Carbon (TOC)”, “</w:t>
      </w:r>
      <w:r w:rsidRPr="003B4362">
        <w:rPr>
          <w:szCs w:val="24"/>
        </w:rPr>
        <w:t>Wet-Oxidation Method</w:t>
      </w:r>
      <w:r w:rsidRPr="003B4362">
        <w:rPr>
          <w:szCs w:val="22"/>
        </w:rPr>
        <w:t>”, only the version in the supplement to the 19th edition.  Referenced in Section 611.381.</w:t>
      </w:r>
    </w:p>
    <w:p w14:paraId="33A07B19" w14:textId="77777777" w:rsidR="00AD24B5" w:rsidRPr="003B4362" w:rsidRDefault="00AD24B5" w:rsidP="00AD24B5">
      <w:pPr>
        <w:widowControl w:val="0"/>
        <w:suppressAutoHyphens/>
        <w:ind w:left="2880"/>
        <w:rPr>
          <w:szCs w:val="22"/>
        </w:rPr>
      </w:pPr>
    </w:p>
    <w:p w14:paraId="2E9F4D8B" w14:textId="77777777" w:rsidR="00AD24B5" w:rsidRPr="003B4362" w:rsidRDefault="00AD24B5" w:rsidP="00AD24B5">
      <w:pPr>
        <w:widowControl w:val="0"/>
        <w:suppressAutoHyphens/>
        <w:ind w:left="2880"/>
        <w:rPr>
          <w:szCs w:val="22"/>
        </w:rPr>
      </w:pPr>
      <w:r w:rsidRPr="003B4362">
        <w:rPr>
          <w:szCs w:val="22"/>
        </w:rPr>
        <w:t>“SM 5310 D (96)” means Method 5310 D, “Total Organic Carbon (TOC)”, “</w:t>
      </w:r>
      <w:r w:rsidRPr="003B4362">
        <w:rPr>
          <w:szCs w:val="24"/>
        </w:rPr>
        <w:t>Wet-Oxidation Method</w:t>
      </w:r>
      <w:r w:rsidRPr="003B4362">
        <w:rPr>
          <w:szCs w:val="22"/>
        </w:rPr>
        <w:t>”, only the version in the 20th edition.  Referenced in Section 611.381.</w:t>
      </w:r>
    </w:p>
    <w:p w14:paraId="306E90B5" w14:textId="77777777" w:rsidR="00AD24B5" w:rsidRPr="003B4362" w:rsidRDefault="00AD24B5" w:rsidP="00AD24B5">
      <w:pPr>
        <w:widowControl w:val="0"/>
        <w:suppressAutoHyphens/>
        <w:ind w:left="2880"/>
        <w:rPr>
          <w:szCs w:val="22"/>
        </w:rPr>
      </w:pPr>
    </w:p>
    <w:p w14:paraId="1CB246F9" w14:textId="77777777" w:rsidR="00AD24B5" w:rsidRPr="003B4362" w:rsidRDefault="00AD24B5" w:rsidP="00AD24B5">
      <w:pPr>
        <w:widowControl w:val="0"/>
        <w:suppressAutoHyphens/>
        <w:ind w:left="2880"/>
        <w:rPr>
          <w:szCs w:val="22"/>
        </w:rPr>
      </w:pPr>
      <w:r w:rsidRPr="003B4362">
        <w:rPr>
          <w:szCs w:val="22"/>
        </w:rPr>
        <w:t>“SM 5310 D (00)” means Method 5310 D, “Total Organic Carbon (TOC)”, “</w:t>
      </w:r>
      <w:r w:rsidRPr="003B4362">
        <w:rPr>
          <w:szCs w:val="24"/>
        </w:rPr>
        <w:t>Wet-Oxidation Method</w:t>
      </w:r>
      <w:r w:rsidRPr="003B4362">
        <w:rPr>
          <w:szCs w:val="22"/>
        </w:rPr>
        <w:t>”, only the version in the 21st and 22nd editions.  Referenced in Section 611.381.</w:t>
      </w:r>
    </w:p>
    <w:p w14:paraId="7E59826A" w14:textId="77777777" w:rsidR="00AD24B5" w:rsidRPr="003B4362" w:rsidRDefault="00AD24B5" w:rsidP="00AD24B5">
      <w:pPr>
        <w:ind w:left="2880"/>
      </w:pPr>
    </w:p>
    <w:p w14:paraId="4AED130B" w14:textId="77777777" w:rsidR="00AD24B5" w:rsidRPr="003B4362" w:rsidRDefault="00AD24B5" w:rsidP="00AD24B5">
      <w:pPr>
        <w:ind w:left="2880"/>
      </w:pPr>
      <w:r w:rsidRPr="003B4362">
        <w:t>“SM 5910 B (94)” means Method 5910 B, “UV-Absorbing Organic Constituents”, “Ultraviolet Absorption Method”, only the version in the 19th and 20th editions.  Referenced in Section 611.381.</w:t>
      </w:r>
    </w:p>
    <w:p w14:paraId="040074A0" w14:textId="77777777" w:rsidR="00AD24B5" w:rsidRPr="003B4362" w:rsidRDefault="00AD24B5" w:rsidP="00AD24B5">
      <w:pPr>
        <w:ind w:left="2880"/>
      </w:pPr>
    </w:p>
    <w:p w14:paraId="2086D99F" w14:textId="77777777" w:rsidR="00AD24B5" w:rsidRPr="003B4362" w:rsidRDefault="00AD24B5" w:rsidP="00AD24B5">
      <w:pPr>
        <w:ind w:left="2880"/>
      </w:pPr>
      <w:r w:rsidRPr="003B4362">
        <w:t>“SM 5910 B (00)” means Method 5910 B, “UV-Absorbing Organic Constituents”, “Ultraviolet Absorption Method”, only the version in the 21st edition.  Referenced in Section 611.381.</w:t>
      </w:r>
    </w:p>
    <w:p w14:paraId="705764C7" w14:textId="77777777" w:rsidR="00AD24B5" w:rsidRPr="003B4362" w:rsidRDefault="00AD24B5" w:rsidP="00AD24B5">
      <w:pPr>
        <w:ind w:left="2880"/>
      </w:pPr>
    </w:p>
    <w:p w14:paraId="63C21316" w14:textId="77777777" w:rsidR="00AD24B5" w:rsidRPr="003B4362" w:rsidRDefault="00AD24B5" w:rsidP="00AD24B5">
      <w:pPr>
        <w:ind w:left="2880"/>
      </w:pPr>
      <w:r w:rsidRPr="003B4362">
        <w:t>“SM 5910 B (11)” means Method 5910 B, “UV-Absorbing Organic Constituents”, “Ultraviolet Absorption Method”, only the version in the 22nd edition.  Referenced in Section 611.381.</w:t>
      </w:r>
    </w:p>
    <w:p w14:paraId="2763294E" w14:textId="77777777" w:rsidR="00AD24B5" w:rsidRPr="003B4362" w:rsidRDefault="00AD24B5" w:rsidP="00AD24B5">
      <w:pPr>
        <w:ind w:left="2880"/>
      </w:pPr>
    </w:p>
    <w:p w14:paraId="223467E9" w14:textId="77777777" w:rsidR="00AD24B5" w:rsidRPr="003B4362" w:rsidRDefault="00AD24B5" w:rsidP="00AD24B5">
      <w:pPr>
        <w:ind w:left="2880"/>
      </w:pPr>
      <w:r w:rsidRPr="003B4362">
        <w:t>“SM 5910 B (13)” means Method 5910 B, “UV-Absorbing Organic Constituents”, “Ultraviolet Absorption Method”, only the version in the 23rd edition.  Referenced in Section 611.381.</w:t>
      </w:r>
    </w:p>
    <w:p w14:paraId="4F830F90" w14:textId="77777777" w:rsidR="00AD24B5" w:rsidRPr="003B4362" w:rsidRDefault="00AD24B5" w:rsidP="00AD24B5">
      <w:pPr>
        <w:ind w:left="2880"/>
      </w:pPr>
    </w:p>
    <w:p w14:paraId="71F8F0CF" w14:textId="77777777" w:rsidR="00AD24B5" w:rsidRPr="003B4362" w:rsidRDefault="00AD24B5" w:rsidP="00AD24B5">
      <w:pPr>
        <w:ind w:left="2880"/>
      </w:pPr>
      <w:r w:rsidRPr="003B4362">
        <w:t>“SM 6251 B (94)” means Method 6251 B, “Disinfection By-Products:  Haloacetic Acids and Trichlorophenol”, “Micro Liquid-Liquid Extraction Gas Chromatographic Method”, only the version in the 19th, 20th, and 21st editions.  Referenced in Section 611.381.</w:t>
      </w:r>
    </w:p>
    <w:p w14:paraId="763B2BCF" w14:textId="77777777" w:rsidR="00AD24B5" w:rsidRPr="003B4362" w:rsidRDefault="00AD24B5" w:rsidP="00AD24B5">
      <w:pPr>
        <w:ind w:left="2880"/>
      </w:pPr>
    </w:p>
    <w:p w14:paraId="570C92B8" w14:textId="77777777" w:rsidR="00AD24B5" w:rsidRPr="003B4362" w:rsidRDefault="00AD24B5" w:rsidP="00AD24B5">
      <w:pPr>
        <w:ind w:left="2880"/>
      </w:pPr>
      <w:r w:rsidRPr="003B4362">
        <w:t>“SM 6251 B (07)” means Method 6251 B, “Disinfection By-Products:  Haloacetic Acids and Trichlorophenol”, “Micro Liquid-Liquid Extraction Gas Chromatographic Method”, only the version in the 22nd and 23rd editions.  Referenced in Section 611.381.</w:t>
      </w:r>
    </w:p>
    <w:p w14:paraId="186573B0" w14:textId="77777777" w:rsidR="00AD24B5" w:rsidRPr="003B4362" w:rsidRDefault="00AD24B5" w:rsidP="00AD24B5">
      <w:pPr>
        <w:ind w:left="2880"/>
      </w:pPr>
    </w:p>
    <w:p w14:paraId="0713EE6C" w14:textId="77777777" w:rsidR="00AD24B5" w:rsidRPr="003B4362" w:rsidRDefault="00AD24B5" w:rsidP="00AD24B5">
      <w:pPr>
        <w:ind w:left="2880"/>
      </w:pPr>
      <w:r w:rsidRPr="003B4362">
        <w:t>“SM 6610 (92)” means Method 6610, “Carbamate Pesticides (Proposed)”, only the version in the supplement to the 18th edition and the 19th edition.  Referenced in Section 611.645.</w:t>
      </w:r>
    </w:p>
    <w:p w14:paraId="22AE63A7" w14:textId="77777777" w:rsidR="00AD24B5" w:rsidRPr="003B4362" w:rsidRDefault="00AD24B5" w:rsidP="00AD24B5">
      <w:pPr>
        <w:ind w:left="2880"/>
      </w:pPr>
      <w:r w:rsidRPr="003B4362">
        <w:lastRenderedPageBreak/>
        <w:t>“SM 6610 (96)” means Method 6610, “Carbamate Pesticides”, only the version in the 20th edition.  Referenced in Section 611.645.</w:t>
      </w:r>
    </w:p>
    <w:p w14:paraId="1731BCE9" w14:textId="77777777" w:rsidR="00AD24B5" w:rsidRPr="003B4362" w:rsidRDefault="00AD24B5" w:rsidP="00AD24B5">
      <w:pPr>
        <w:ind w:left="2880"/>
      </w:pPr>
    </w:p>
    <w:p w14:paraId="6A28F5CF" w14:textId="77777777" w:rsidR="00AD24B5" w:rsidRPr="003B4362" w:rsidRDefault="00AD24B5" w:rsidP="00AD24B5">
      <w:pPr>
        <w:ind w:left="2880"/>
      </w:pPr>
      <w:r w:rsidRPr="003B4362">
        <w:t>“SM 6610 B (99)” means Method 6610, “Carbamate Pesticides”</w:t>
      </w:r>
      <w:bookmarkStart w:id="255" w:name="_Hlk5119259"/>
      <w:r w:rsidRPr="003B4362">
        <w:rPr>
          <w:szCs w:val="24"/>
        </w:rPr>
        <w:t xml:space="preserve">, </w:t>
      </w:r>
      <w:bookmarkStart w:id="256" w:name="_Hlk5119420"/>
      <w:r w:rsidRPr="003B4362">
        <w:rPr>
          <w:szCs w:val="24"/>
        </w:rPr>
        <w:t>“High-Performance Liquid Chromatographic Method</w:t>
      </w:r>
      <w:bookmarkEnd w:id="255"/>
      <w:bookmarkEnd w:id="256"/>
      <w:r w:rsidRPr="003B4362">
        <w:rPr>
          <w:szCs w:val="24"/>
        </w:rPr>
        <w:t>”</w:t>
      </w:r>
      <w:r w:rsidRPr="003B4362">
        <w:t>, only the version in the 21st edition.  Referenced in Section 611.645.</w:t>
      </w:r>
    </w:p>
    <w:p w14:paraId="406AE4C2" w14:textId="77777777" w:rsidR="00AD24B5" w:rsidRPr="003B4362" w:rsidRDefault="00AD24B5" w:rsidP="00AD24B5">
      <w:pPr>
        <w:ind w:left="2880"/>
      </w:pPr>
    </w:p>
    <w:p w14:paraId="5FD6C928" w14:textId="77777777" w:rsidR="00AD24B5" w:rsidRPr="003B4362" w:rsidRDefault="00AD24B5" w:rsidP="00AD24B5">
      <w:pPr>
        <w:ind w:left="2880"/>
      </w:pPr>
      <w:r w:rsidRPr="003B4362">
        <w:t>“SM 6610 B (04)” means Method 6610, “Carbamate Pesticides”</w:t>
      </w:r>
      <w:r w:rsidRPr="003B4362">
        <w:rPr>
          <w:szCs w:val="24"/>
        </w:rPr>
        <w:t>, “High-Performance Liquid Chromatographic Method”</w:t>
      </w:r>
      <w:r w:rsidRPr="003B4362">
        <w:t>, only the version in 22nd and 23rd editions.  Referenced in Section 611.645.</w:t>
      </w:r>
    </w:p>
    <w:p w14:paraId="4DEFE5D6" w14:textId="77777777" w:rsidR="00AD24B5" w:rsidRPr="003B4362" w:rsidRDefault="00AD24B5" w:rsidP="00AD24B5">
      <w:pPr>
        <w:ind w:left="2880"/>
        <w:rPr>
          <w:szCs w:val="24"/>
        </w:rPr>
      </w:pPr>
    </w:p>
    <w:p w14:paraId="07512893" w14:textId="77777777" w:rsidR="00AD24B5" w:rsidRPr="003B4362" w:rsidRDefault="00AD24B5" w:rsidP="00AD24B5">
      <w:pPr>
        <w:ind w:left="2880"/>
        <w:rPr>
          <w:szCs w:val="24"/>
        </w:rPr>
      </w:pPr>
      <w:r w:rsidRPr="003B4362">
        <w:rPr>
          <w:szCs w:val="24"/>
        </w:rPr>
        <w:t>“SM 6640 B (01)” means Method 6640 B, “Acidic Herbicide Compounds”, “Micro Liquid-Liquid Extraction Gas Chromatographic Method”</w:t>
      </w:r>
      <w:r w:rsidRPr="003B4362">
        <w:t>, only the version in 21st edition.  R</w:t>
      </w:r>
      <w:r w:rsidRPr="003B4362">
        <w:rPr>
          <w:szCs w:val="24"/>
        </w:rPr>
        <w:t>eferenced in Section 611.645.</w:t>
      </w:r>
    </w:p>
    <w:p w14:paraId="4F8E3D1C" w14:textId="77777777" w:rsidR="00AD24B5" w:rsidRPr="003B4362" w:rsidRDefault="00AD24B5" w:rsidP="00AD24B5">
      <w:pPr>
        <w:ind w:left="2880"/>
        <w:rPr>
          <w:szCs w:val="24"/>
        </w:rPr>
      </w:pPr>
    </w:p>
    <w:p w14:paraId="1ECB2D5F" w14:textId="77777777" w:rsidR="00AD24B5" w:rsidRPr="003B4362" w:rsidRDefault="00AD24B5" w:rsidP="00AD24B5">
      <w:pPr>
        <w:ind w:left="2880"/>
        <w:rPr>
          <w:szCs w:val="24"/>
        </w:rPr>
      </w:pPr>
      <w:r w:rsidRPr="003B4362">
        <w:rPr>
          <w:szCs w:val="24"/>
        </w:rPr>
        <w:t>“SM 6640 B (06)” means Method 6640 B, “Acidic Herbicide Compounds”, “Micro Liquid-Liquid Extraction Gas Chromatographic Method”</w:t>
      </w:r>
      <w:r w:rsidRPr="003B4362">
        <w:t>, only the version in 22nd and 23rd editions.  R</w:t>
      </w:r>
      <w:r w:rsidRPr="003B4362">
        <w:rPr>
          <w:szCs w:val="24"/>
        </w:rPr>
        <w:t>eferenced in Section 611.645.</w:t>
      </w:r>
    </w:p>
    <w:p w14:paraId="739852F3" w14:textId="77777777" w:rsidR="00AD24B5" w:rsidRPr="003B4362" w:rsidRDefault="00AD24B5" w:rsidP="00AD24B5">
      <w:pPr>
        <w:ind w:left="2880"/>
      </w:pPr>
      <w:bookmarkStart w:id="257" w:name="_Hlk4686994"/>
    </w:p>
    <w:p w14:paraId="35B33262" w14:textId="77777777" w:rsidR="00AD24B5" w:rsidRPr="003B4362" w:rsidRDefault="00AD24B5" w:rsidP="00AD24B5">
      <w:pPr>
        <w:ind w:left="2880"/>
      </w:pPr>
      <w:r w:rsidRPr="003B4362">
        <w:t>“SM 6651 B (91)” means Method 6651 B, “Glyphosate Herbicide (Proposed)”</w:t>
      </w:r>
      <w:bookmarkStart w:id="258" w:name="_Hlk5098271"/>
      <w:r w:rsidRPr="003B4362">
        <w:rPr>
          <w:szCs w:val="24"/>
        </w:rPr>
        <w:t xml:space="preserve">, </w:t>
      </w:r>
      <w:bookmarkStart w:id="259" w:name="_Hlk5098452"/>
      <w:r w:rsidRPr="003B4362">
        <w:rPr>
          <w:szCs w:val="24"/>
        </w:rPr>
        <w:t>“Liquid Chromatographic Post-Column Fluorescence Method</w:t>
      </w:r>
      <w:bookmarkEnd w:id="258"/>
      <w:bookmarkEnd w:id="259"/>
      <w:r w:rsidRPr="003B4362">
        <w:rPr>
          <w:szCs w:val="24"/>
        </w:rPr>
        <w:t>”</w:t>
      </w:r>
      <w:r w:rsidRPr="003B4362">
        <w:t>, only the version in 18th edition, or “Glyphosate Herbicide”</w:t>
      </w:r>
      <w:r w:rsidRPr="003B4362">
        <w:rPr>
          <w:szCs w:val="24"/>
        </w:rPr>
        <w:t>, “Liquid Chromatographic Post-Column Fluorescence Method”</w:t>
      </w:r>
      <w:r w:rsidRPr="003B4362">
        <w:t>, in 19th edition.  Referenced in Section 611.645.</w:t>
      </w:r>
    </w:p>
    <w:bookmarkEnd w:id="257"/>
    <w:p w14:paraId="36A0A80D" w14:textId="77777777" w:rsidR="00AD24B5" w:rsidRPr="003B4362" w:rsidRDefault="00AD24B5" w:rsidP="00AD24B5">
      <w:pPr>
        <w:ind w:left="2880"/>
      </w:pPr>
    </w:p>
    <w:p w14:paraId="4C5BDB61" w14:textId="77777777" w:rsidR="00AD24B5" w:rsidRPr="003B4362" w:rsidRDefault="00AD24B5" w:rsidP="00AD24B5">
      <w:pPr>
        <w:ind w:left="2880"/>
      </w:pPr>
      <w:r w:rsidRPr="003B4362">
        <w:t>“SM 6651 B (96)” means Method 6651 B, “Glyphosate Herbicide”</w:t>
      </w:r>
      <w:r w:rsidRPr="003B4362">
        <w:rPr>
          <w:szCs w:val="24"/>
        </w:rPr>
        <w:t>, “Liquid Chromatographic Post-Column Fluorescence Method”</w:t>
      </w:r>
      <w:r w:rsidRPr="003B4362">
        <w:t>, only the version in 20th edition.  Referenced in Section 611.645.</w:t>
      </w:r>
    </w:p>
    <w:p w14:paraId="7AFBFE36" w14:textId="77777777" w:rsidR="00AD24B5" w:rsidRPr="003B4362" w:rsidRDefault="00AD24B5" w:rsidP="00AD24B5">
      <w:pPr>
        <w:ind w:left="2880"/>
      </w:pPr>
    </w:p>
    <w:p w14:paraId="305465FD" w14:textId="77777777" w:rsidR="00AD24B5" w:rsidRPr="003B4362" w:rsidRDefault="00AD24B5" w:rsidP="00AD24B5">
      <w:pPr>
        <w:ind w:left="2880"/>
      </w:pPr>
      <w:r w:rsidRPr="003B4362">
        <w:t>“SM 6651 B (00)” means Method 6651 B, “Glyphosate Herbicide”</w:t>
      </w:r>
      <w:r w:rsidRPr="003B4362">
        <w:rPr>
          <w:szCs w:val="24"/>
        </w:rPr>
        <w:t>, “Liquid Chromatographic Post-Column Fluorescence Method”</w:t>
      </w:r>
      <w:r w:rsidRPr="003B4362">
        <w:t>, only the version in 21st edition.  Referenced in Section 611.645.</w:t>
      </w:r>
    </w:p>
    <w:p w14:paraId="30D964DE" w14:textId="77777777" w:rsidR="00AD24B5" w:rsidRPr="003B4362" w:rsidRDefault="00AD24B5" w:rsidP="00AD24B5">
      <w:pPr>
        <w:ind w:left="2880"/>
      </w:pPr>
    </w:p>
    <w:p w14:paraId="1EFF56D7" w14:textId="77777777" w:rsidR="00AD24B5" w:rsidRPr="003B4362" w:rsidRDefault="00AD24B5" w:rsidP="00AD24B5">
      <w:pPr>
        <w:ind w:left="2880"/>
      </w:pPr>
      <w:r w:rsidRPr="003B4362">
        <w:t>“SM 6651 B (05)” means Method 6651 B, “Glyphosate Herbicide”</w:t>
      </w:r>
      <w:r w:rsidRPr="003B4362">
        <w:rPr>
          <w:szCs w:val="24"/>
        </w:rPr>
        <w:t>, “Liquid Chromatographic Post-Column Fluorescence Method”</w:t>
      </w:r>
      <w:r w:rsidRPr="003B4362">
        <w:t>, only the version in 22nd and 23rd editions.  Referenced in Section 611.645.</w:t>
      </w:r>
    </w:p>
    <w:p w14:paraId="44B346CE" w14:textId="77777777" w:rsidR="00AD24B5" w:rsidRPr="003B4362" w:rsidRDefault="00AD24B5" w:rsidP="00AD24B5">
      <w:pPr>
        <w:ind w:left="2880"/>
      </w:pPr>
    </w:p>
    <w:p w14:paraId="2CB0185D" w14:textId="77777777" w:rsidR="00AD24B5" w:rsidRPr="003B4362" w:rsidRDefault="00AD24B5" w:rsidP="00AD24B5">
      <w:pPr>
        <w:ind w:left="2880"/>
      </w:pPr>
      <w:r w:rsidRPr="003B4362">
        <w:t xml:space="preserve">“SM 7110 B (85)” means Method 7110 B, “Gross Alpha and Beta Radioactivity (Total, Suspended, and Dissolved)”, “Counting </w:t>
      </w:r>
      <w:r w:rsidRPr="003B4362">
        <w:lastRenderedPageBreak/>
        <w:t>Method”, only the version in 17th edition.  Referenced in Section 611.720.</w:t>
      </w:r>
    </w:p>
    <w:p w14:paraId="7AA38538" w14:textId="77777777" w:rsidR="00AD24B5" w:rsidRPr="003B4362" w:rsidRDefault="00AD24B5" w:rsidP="00AD24B5">
      <w:pPr>
        <w:ind w:left="2880"/>
      </w:pPr>
    </w:p>
    <w:p w14:paraId="6E3AA296" w14:textId="77777777" w:rsidR="00AD24B5" w:rsidRPr="003B4362" w:rsidRDefault="00AD24B5" w:rsidP="00AD24B5">
      <w:pPr>
        <w:ind w:left="2880"/>
      </w:pPr>
      <w:r w:rsidRPr="003B4362">
        <w:t>“SM 7110 B (91)” means Method 7110 B, “Gross Alpha and Beta Radioactivity (Total, Suspended, and Dissolved)”, “Evaporation Method for Gross Alpha-Beta”, only the version in 18th and 19th editions.  Referenced in Section 611.720.</w:t>
      </w:r>
    </w:p>
    <w:p w14:paraId="5A7C4E66" w14:textId="77777777" w:rsidR="00AD24B5" w:rsidRPr="003B4362" w:rsidRDefault="00AD24B5" w:rsidP="00AD24B5">
      <w:pPr>
        <w:ind w:left="2880"/>
      </w:pPr>
    </w:p>
    <w:p w14:paraId="6DD88D46" w14:textId="77777777" w:rsidR="00AD24B5" w:rsidRPr="003B4362" w:rsidRDefault="00AD24B5" w:rsidP="00AD24B5">
      <w:pPr>
        <w:ind w:left="2880"/>
      </w:pPr>
      <w:r w:rsidRPr="003B4362">
        <w:t>“SM 7110 B (96)” means Method 7110 B, “Gross Alpha and Beta Radioactivity (Total, Suspended, and Dissolved)”, “Evaporation Method for Gross Alpha-Beta”, only the version in 20th edition.  Referenced in Section 611.720.</w:t>
      </w:r>
    </w:p>
    <w:p w14:paraId="27B097B0" w14:textId="77777777" w:rsidR="00AD24B5" w:rsidRPr="003B4362" w:rsidRDefault="00AD24B5" w:rsidP="00AD24B5">
      <w:pPr>
        <w:ind w:left="2880"/>
      </w:pPr>
    </w:p>
    <w:p w14:paraId="3CB80C16" w14:textId="77777777" w:rsidR="00AD24B5" w:rsidRPr="003B4362" w:rsidRDefault="00AD24B5" w:rsidP="00AD24B5">
      <w:pPr>
        <w:ind w:left="2880"/>
      </w:pPr>
      <w:r w:rsidRPr="003B4362">
        <w:t>“SM 7110 B (00)” means Method 7110 B, “Gross Alpha and Beta Radioactivity (Total, Suspended, and Dissolved)”, “Evaporation Method for Gross Alpha-Beta”, only the version in 21st, 22nd, and 23rd editions.  Referenced in Section 611.720.</w:t>
      </w:r>
    </w:p>
    <w:p w14:paraId="7BB476F7" w14:textId="77777777" w:rsidR="00AD24B5" w:rsidRPr="003B4362" w:rsidRDefault="00AD24B5" w:rsidP="00AD24B5">
      <w:pPr>
        <w:ind w:left="2880"/>
      </w:pPr>
    </w:p>
    <w:p w14:paraId="5544CCCD" w14:textId="77777777" w:rsidR="00AD24B5" w:rsidRPr="003B4362" w:rsidRDefault="00AD24B5" w:rsidP="00AD24B5">
      <w:pPr>
        <w:ind w:left="2880"/>
      </w:pPr>
      <w:r w:rsidRPr="003B4362">
        <w:t>“SM 7110 C (91)” means Method 7110 C, “Gross Alpha and Beta Radioactivity (Total, Suspended, and Dissolved)”, “Coprecipitation Method for Gross Alpha Radioactivity in Drinking Water (Proposed)”, only the version in 18th and 19th editions.  Referenced in Section 611.720.</w:t>
      </w:r>
    </w:p>
    <w:p w14:paraId="4B71C40A" w14:textId="77777777" w:rsidR="00AD24B5" w:rsidRPr="003B4362" w:rsidRDefault="00AD24B5" w:rsidP="00AD24B5">
      <w:pPr>
        <w:ind w:left="2880"/>
      </w:pPr>
    </w:p>
    <w:p w14:paraId="667A9F3A" w14:textId="77777777" w:rsidR="00AD24B5" w:rsidRPr="003B4362" w:rsidRDefault="00AD24B5" w:rsidP="00AD24B5">
      <w:pPr>
        <w:ind w:left="2880"/>
      </w:pPr>
      <w:r w:rsidRPr="003B4362">
        <w:t>“SM 7110 C (96)” means Method 7110 C, “Gross Alpha and Beta Radioactivity (Total, Suspended, and Dissolved)”, “Coprecipitation Method for Gross Alpha Radioactivity in Drinking Water”, only the version in 20th edition.  Referenced in Section 611.720.</w:t>
      </w:r>
    </w:p>
    <w:p w14:paraId="093B6DFB" w14:textId="77777777" w:rsidR="00AD24B5" w:rsidRPr="003B4362" w:rsidRDefault="00AD24B5" w:rsidP="00AD24B5">
      <w:pPr>
        <w:ind w:left="2880"/>
      </w:pPr>
    </w:p>
    <w:p w14:paraId="47F6FDF7" w14:textId="77777777" w:rsidR="00AD24B5" w:rsidRPr="003B4362" w:rsidRDefault="00AD24B5" w:rsidP="00AD24B5">
      <w:pPr>
        <w:ind w:left="2880"/>
      </w:pPr>
      <w:r w:rsidRPr="003B4362">
        <w:t>“SM 7110 C (00)” means Method 7110 C, “Gross Alpha and Beta Radioactivity (Total, Suspended, and Dissolved)”, “Coprecipitation Method for Gross Alpha Radioactivity in Drinking Water”, only the version in 21st, 22nd, and 23rd editions.  Referenced in Section 611.720.</w:t>
      </w:r>
    </w:p>
    <w:p w14:paraId="6979C704" w14:textId="77777777" w:rsidR="00AD24B5" w:rsidRPr="003B4362" w:rsidRDefault="00AD24B5" w:rsidP="00AD24B5">
      <w:pPr>
        <w:ind w:left="2880"/>
      </w:pPr>
    </w:p>
    <w:p w14:paraId="7FD4DFEE" w14:textId="77777777" w:rsidR="00AD24B5" w:rsidRPr="003B4362" w:rsidRDefault="00AD24B5" w:rsidP="00AD24B5">
      <w:pPr>
        <w:ind w:left="2880"/>
      </w:pPr>
      <w:r w:rsidRPr="003B4362">
        <w:t>“SM 7110 D (17)” means Method 7110 D, “Gross Alpha and Beta Radioactivity (Total, Suspended, and Dissolved)”, “</w:t>
      </w:r>
      <w:r w:rsidRPr="003B4362">
        <w:rPr>
          <w:szCs w:val="24"/>
        </w:rPr>
        <w:t>Liquid Scintillation Spectroscopic Method for Gross Alpha-Beta Radioactivity in Drinking Water</w:t>
      </w:r>
      <w:r w:rsidRPr="003B4362">
        <w:t>”, only the version from Standard Methods Online as Method 7110 D-17.  Referenced in Section 611.720.</w:t>
      </w:r>
    </w:p>
    <w:p w14:paraId="249FBADA" w14:textId="77777777" w:rsidR="00AD24B5" w:rsidRPr="003B4362" w:rsidRDefault="00AD24B5" w:rsidP="00AD24B5">
      <w:pPr>
        <w:ind w:left="2880"/>
      </w:pPr>
    </w:p>
    <w:p w14:paraId="1ED00DBF" w14:textId="77777777" w:rsidR="00AD24B5" w:rsidRPr="003B4362" w:rsidRDefault="00AD24B5" w:rsidP="00AD24B5">
      <w:pPr>
        <w:ind w:left="2880"/>
      </w:pPr>
      <w:r w:rsidRPr="003B4362">
        <w:lastRenderedPageBreak/>
        <w:t>“SM 7120 (94)” means Method 7120, “Gamma-Emitting Radionuclides”, only the version in the 19th edition.  Referenced in Section 611.720.</w:t>
      </w:r>
    </w:p>
    <w:p w14:paraId="2EAC15FB" w14:textId="77777777" w:rsidR="00AD24B5" w:rsidRPr="003B4362" w:rsidRDefault="00AD24B5" w:rsidP="00AD24B5">
      <w:pPr>
        <w:ind w:left="2880"/>
      </w:pPr>
    </w:p>
    <w:p w14:paraId="1AD3FD80" w14:textId="77777777" w:rsidR="00AD24B5" w:rsidRPr="003B4362" w:rsidRDefault="00AD24B5" w:rsidP="00AD24B5">
      <w:pPr>
        <w:ind w:left="2880"/>
      </w:pPr>
      <w:r w:rsidRPr="003B4362">
        <w:t>“SM 7120 (97)” means Method 7120, “Gamma-Emitting Radionuclides”, only the version in the 20th, 21st, 22nd, and 23rd editions.  Referenced in Section 611.720.</w:t>
      </w:r>
    </w:p>
    <w:p w14:paraId="51B0DDA2" w14:textId="77777777" w:rsidR="00AD24B5" w:rsidRPr="003B4362" w:rsidRDefault="00AD24B5" w:rsidP="00AD24B5">
      <w:pPr>
        <w:ind w:left="2880"/>
      </w:pPr>
    </w:p>
    <w:p w14:paraId="09336A4B" w14:textId="77777777" w:rsidR="00AD24B5" w:rsidRPr="003B4362" w:rsidRDefault="00AD24B5" w:rsidP="00AD24B5">
      <w:pPr>
        <w:ind w:left="2880"/>
      </w:pPr>
      <w:r w:rsidRPr="003B4362">
        <w:t>“SM 7500-Cs B (88)” means Method 7500-Cs B, “Radioactive Cesium”, “Precipitation Method”, only the version in the 17th and 18th editions.  Referenced in Section 611.720.</w:t>
      </w:r>
    </w:p>
    <w:p w14:paraId="14817BF1" w14:textId="77777777" w:rsidR="00AD24B5" w:rsidRPr="003B4362" w:rsidRDefault="00AD24B5" w:rsidP="00AD24B5">
      <w:pPr>
        <w:ind w:left="2880"/>
      </w:pPr>
    </w:p>
    <w:p w14:paraId="467C84F9" w14:textId="77777777" w:rsidR="00AD24B5" w:rsidRPr="003B4362" w:rsidRDefault="00AD24B5" w:rsidP="00AD24B5">
      <w:pPr>
        <w:ind w:left="2880"/>
      </w:pPr>
      <w:r w:rsidRPr="003B4362">
        <w:t>“SM 7500-Cs B (93)” means Method 7500-Cs B, “Radioactive Cesium”, “Precipitation Method”, only the version in the 19th and 20th editions.  Referenced in Section 611.720.</w:t>
      </w:r>
    </w:p>
    <w:p w14:paraId="320615AE" w14:textId="77777777" w:rsidR="00AD24B5" w:rsidRPr="003B4362" w:rsidRDefault="00AD24B5" w:rsidP="00AD24B5">
      <w:pPr>
        <w:ind w:left="2880"/>
      </w:pPr>
    </w:p>
    <w:p w14:paraId="2E7A8A28" w14:textId="77777777" w:rsidR="00AD24B5" w:rsidRPr="003B4362" w:rsidRDefault="00AD24B5" w:rsidP="00AD24B5">
      <w:pPr>
        <w:ind w:left="2880"/>
      </w:pPr>
      <w:r w:rsidRPr="003B4362">
        <w:t>“SM 7500-Cs B (00)” means Method 7500-Cs B, “Radioactive Cesium”, “Precipitation Method”, only the version in the 21st, 22nd, and 23rd editions.  Referenced in Section 611.720.</w:t>
      </w:r>
    </w:p>
    <w:p w14:paraId="2E12E11F" w14:textId="77777777" w:rsidR="00AD24B5" w:rsidRPr="003B4362" w:rsidRDefault="00AD24B5" w:rsidP="00AD24B5">
      <w:pPr>
        <w:ind w:left="2880"/>
      </w:pPr>
    </w:p>
    <w:p w14:paraId="25532BC5" w14:textId="77777777" w:rsidR="00AD24B5" w:rsidRPr="003B4362" w:rsidRDefault="00AD24B5" w:rsidP="00AD24B5">
      <w:pPr>
        <w:ind w:left="2880"/>
      </w:pPr>
      <w:r w:rsidRPr="003B4362">
        <w:t>“SM 7500-I B (88)” means Method 7500-I B, “Radioactive Iodine”, “Precipitation Method”, only the version in the 17th and 18th editions.  Referenced in Section 611.720.</w:t>
      </w:r>
    </w:p>
    <w:p w14:paraId="02C2DF50" w14:textId="77777777" w:rsidR="00AD24B5" w:rsidRPr="003B4362" w:rsidRDefault="00AD24B5" w:rsidP="00AD24B5">
      <w:pPr>
        <w:ind w:left="2880"/>
      </w:pPr>
    </w:p>
    <w:p w14:paraId="08FDC321" w14:textId="77777777" w:rsidR="00AD24B5" w:rsidRPr="003B4362" w:rsidRDefault="00AD24B5" w:rsidP="00AD24B5">
      <w:pPr>
        <w:ind w:left="2880"/>
      </w:pPr>
      <w:r w:rsidRPr="003B4362">
        <w:t>“SM 7500-I B (93)” means Method 7500-I B, “Radioactive Iodine”, “Precipitation Method”, only the version in the 19th and 20th editions.  Referenced in Section 611.720.</w:t>
      </w:r>
    </w:p>
    <w:p w14:paraId="0A336BE9" w14:textId="77777777" w:rsidR="00AD24B5" w:rsidRPr="003B4362" w:rsidRDefault="00AD24B5" w:rsidP="00AD24B5">
      <w:pPr>
        <w:ind w:left="2880"/>
      </w:pPr>
    </w:p>
    <w:p w14:paraId="71BF8679" w14:textId="77777777" w:rsidR="00AD24B5" w:rsidRPr="003B4362" w:rsidRDefault="00AD24B5" w:rsidP="00AD24B5">
      <w:pPr>
        <w:ind w:left="2880"/>
      </w:pPr>
      <w:r w:rsidRPr="003B4362">
        <w:t>“SM 7500-I B (00)” means Method 7500-I B, “Radioactive Iodine”, “Precipitation Method”, only the version in the 21st, 22nd, and 23rd editions.  Referenced in Section 611.720.</w:t>
      </w:r>
    </w:p>
    <w:p w14:paraId="5B96D3C8" w14:textId="77777777" w:rsidR="00AD24B5" w:rsidRPr="003B4362" w:rsidRDefault="00AD24B5" w:rsidP="00AD24B5">
      <w:pPr>
        <w:ind w:left="2880"/>
      </w:pPr>
    </w:p>
    <w:p w14:paraId="44479452" w14:textId="77777777" w:rsidR="00AD24B5" w:rsidRPr="003B4362" w:rsidRDefault="00AD24B5" w:rsidP="00AD24B5">
      <w:pPr>
        <w:ind w:left="2880"/>
      </w:pPr>
      <w:r w:rsidRPr="003B4362">
        <w:t>“SM 7500-I C (88)” means Method 7500-I C, “Radioactive Iodine”, “Ion-Exchange Method”, only the version in the 17th and 18th editions.  Referenced in Section 611.720.</w:t>
      </w:r>
    </w:p>
    <w:p w14:paraId="0911E083" w14:textId="77777777" w:rsidR="00AD24B5" w:rsidRPr="003B4362" w:rsidRDefault="00AD24B5" w:rsidP="00AD24B5">
      <w:pPr>
        <w:ind w:left="2880"/>
      </w:pPr>
    </w:p>
    <w:p w14:paraId="0DDEC973" w14:textId="77777777" w:rsidR="00AD24B5" w:rsidRPr="003B4362" w:rsidRDefault="00AD24B5" w:rsidP="00AD24B5">
      <w:pPr>
        <w:ind w:left="2880"/>
      </w:pPr>
      <w:r w:rsidRPr="003B4362">
        <w:t>“SM 7500-I C (93)” means Method 7500-I C, “Radioactive Iodine”, “Ion-Exchange Method”, only the version in the 19th and 20th editions.  Referenced in Section 611.720.</w:t>
      </w:r>
    </w:p>
    <w:p w14:paraId="36E2FBAC" w14:textId="77777777" w:rsidR="00AD24B5" w:rsidRPr="003B4362" w:rsidRDefault="00AD24B5" w:rsidP="00AD24B5">
      <w:pPr>
        <w:ind w:left="2880"/>
      </w:pPr>
    </w:p>
    <w:p w14:paraId="3CDDC67B" w14:textId="77777777" w:rsidR="00AD24B5" w:rsidRPr="003B4362" w:rsidRDefault="00AD24B5" w:rsidP="00AD24B5">
      <w:pPr>
        <w:ind w:left="2880"/>
      </w:pPr>
      <w:r w:rsidRPr="003B4362">
        <w:t>“SM 7500-I C (00)” means Method 7500-I C, “Radioactive Iodine”, “Ion-Exchange Method”, only the version in the 21st, 22nd, and 23rd editions.  Referenced in Section 611.720.</w:t>
      </w:r>
    </w:p>
    <w:p w14:paraId="23144416" w14:textId="77777777" w:rsidR="00AD24B5" w:rsidRPr="003B4362" w:rsidRDefault="00AD24B5" w:rsidP="00AD24B5">
      <w:pPr>
        <w:ind w:left="2880"/>
      </w:pPr>
    </w:p>
    <w:p w14:paraId="5B84CCF1" w14:textId="77777777" w:rsidR="00AD24B5" w:rsidRPr="003B4362" w:rsidRDefault="00AD24B5" w:rsidP="00AD24B5">
      <w:pPr>
        <w:ind w:left="2880"/>
      </w:pPr>
      <w:r w:rsidRPr="003B4362">
        <w:lastRenderedPageBreak/>
        <w:t>“SM 7500-I D (88)” means Method 7500-I D, “Radioactive Iodine”, “Distillation Method”, only the version in the 17th and 18th editions.  Referenced in Section 611.720.</w:t>
      </w:r>
    </w:p>
    <w:p w14:paraId="10B7284C" w14:textId="77777777" w:rsidR="00AD24B5" w:rsidRPr="003B4362" w:rsidRDefault="00AD24B5" w:rsidP="00AD24B5">
      <w:pPr>
        <w:ind w:left="2880"/>
      </w:pPr>
    </w:p>
    <w:p w14:paraId="5D91B0EB" w14:textId="77777777" w:rsidR="00AD24B5" w:rsidRPr="003B4362" w:rsidRDefault="00AD24B5" w:rsidP="00AD24B5">
      <w:pPr>
        <w:ind w:left="2880"/>
      </w:pPr>
      <w:r w:rsidRPr="003B4362">
        <w:t>“SM 7500-I D (93)” means Method 7500-I D, “Radioactive Iodine”, “Distillation Method”, only the version in the 19th and 20th editions.  Referenced in Section 611.720.</w:t>
      </w:r>
    </w:p>
    <w:p w14:paraId="393D01E3" w14:textId="77777777" w:rsidR="00AD24B5" w:rsidRPr="003B4362" w:rsidRDefault="00AD24B5" w:rsidP="00AD24B5">
      <w:pPr>
        <w:ind w:left="2880"/>
      </w:pPr>
    </w:p>
    <w:p w14:paraId="747E251F" w14:textId="77777777" w:rsidR="00AD24B5" w:rsidRPr="003B4362" w:rsidRDefault="00AD24B5" w:rsidP="00AD24B5">
      <w:pPr>
        <w:ind w:left="2880"/>
      </w:pPr>
      <w:r w:rsidRPr="003B4362">
        <w:t>“SM 7500-I D (00)” means Method 7500-I D, “Radioactive Iodine”, “Distillation Method”, only the version in the 21st, 22nd, and 23rd editions.  Referenced in Section 611.720.</w:t>
      </w:r>
    </w:p>
    <w:p w14:paraId="2663174A" w14:textId="77777777" w:rsidR="00AD24B5" w:rsidRPr="003B4362" w:rsidRDefault="00AD24B5" w:rsidP="00AD24B5">
      <w:pPr>
        <w:ind w:left="2880"/>
      </w:pPr>
    </w:p>
    <w:p w14:paraId="428143A1" w14:textId="77777777" w:rsidR="00AD24B5" w:rsidRPr="003B4362" w:rsidRDefault="00AD24B5" w:rsidP="00AD24B5">
      <w:pPr>
        <w:ind w:left="2880"/>
      </w:pPr>
      <w:r w:rsidRPr="003B4362">
        <w:t>“SM 7500-Ra B (88)” means Method 7500-Ra B, “Radium”, “Precipitation Method”, only the version in the 17th and 18th editions.  Referenced in Section 611.720.</w:t>
      </w:r>
    </w:p>
    <w:p w14:paraId="740C57D8" w14:textId="77777777" w:rsidR="00AD24B5" w:rsidRPr="003B4362" w:rsidRDefault="00AD24B5" w:rsidP="00AD24B5">
      <w:pPr>
        <w:ind w:left="2880"/>
      </w:pPr>
    </w:p>
    <w:p w14:paraId="1892E9F0" w14:textId="77777777" w:rsidR="00AD24B5" w:rsidRPr="003B4362" w:rsidRDefault="00AD24B5" w:rsidP="00AD24B5">
      <w:pPr>
        <w:ind w:left="2880"/>
      </w:pPr>
      <w:r w:rsidRPr="003B4362">
        <w:t>“SM 7500-Ra B (93)” means Method 7500-Ra B, “Radium”, “Precipitation Method”, only the version in the 19th and 20th editions.  Referenced in Section 611.720.</w:t>
      </w:r>
    </w:p>
    <w:p w14:paraId="57256863" w14:textId="77777777" w:rsidR="00AD24B5" w:rsidRPr="003B4362" w:rsidRDefault="00AD24B5" w:rsidP="00AD24B5">
      <w:pPr>
        <w:ind w:left="2880"/>
      </w:pPr>
    </w:p>
    <w:p w14:paraId="512293C0" w14:textId="77777777" w:rsidR="00AD24B5" w:rsidRPr="003B4362" w:rsidRDefault="00AD24B5" w:rsidP="00AD24B5">
      <w:pPr>
        <w:ind w:left="2880"/>
      </w:pPr>
      <w:r w:rsidRPr="003B4362">
        <w:t>“SM 7500-Ra B (01)” means Method 7500-Ra B, “Radium”, “Precipitation Method”, only the version in the 21st, 22nd, and 23rd editions.  Referenced in Section 611.720.</w:t>
      </w:r>
    </w:p>
    <w:p w14:paraId="368B1B45" w14:textId="77777777" w:rsidR="00AD24B5" w:rsidRPr="003B4362" w:rsidRDefault="00AD24B5" w:rsidP="00AD24B5">
      <w:pPr>
        <w:ind w:left="2880"/>
      </w:pPr>
    </w:p>
    <w:p w14:paraId="11A1FCD6" w14:textId="77777777" w:rsidR="00AD24B5" w:rsidRPr="003B4362" w:rsidRDefault="00AD24B5" w:rsidP="00AD24B5">
      <w:pPr>
        <w:ind w:left="2880"/>
      </w:pPr>
      <w:r w:rsidRPr="003B4362">
        <w:t>“SM 7500-Ra C (88)” means Method 7500-Ra C, “Radium”, “Emanation Method”, only the version in the 17th and 18th editions.  Referenced in Section 611.720.</w:t>
      </w:r>
    </w:p>
    <w:p w14:paraId="0E6D5E42" w14:textId="77777777" w:rsidR="00AD24B5" w:rsidRPr="003B4362" w:rsidRDefault="00AD24B5" w:rsidP="00AD24B5">
      <w:pPr>
        <w:ind w:left="2880"/>
      </w:pPr>
    </w:p>
    <w:p w14:paraId="14C5CC84" w14:textId="77777777" w:rsidR="00AD24B5" w:rsidRPr="003B4362" w:rsidRDefault="00AD24B5" w:rsidP="00AD24B5">
      <w:pPr>
        <w:ind w:left="2880"/>
      </w:pPr>
      <w:r w:rsidRPr="003B4362">
        <w:t>“SM 7500-Ra C (93)” means Method 7500-Ra C, “Radium”, “Emanation Method”, only the version in the 19th and 20th editions.  Referenced in Section 611.720.</w:t>
      </w:r>
    </w:p>
    <w:p w14:paraId="0343A2D2" w14:textId="77777777" w:rsidR="00AD24B5" w:rsidRPr="003B4362" w:rsidRDefault="00AD24B5" w:rsidP="00AD24B5">
      <w:pPr>
        <w:ind w:left="2880"/>
      </w:pPr>
    </w:p>
    <w:p w14:paraId="54CA14F9" w14:textId="77777777" w:rsidR="00AD24B5" w:rsidRPr="003B4362" w:rsidRDefault="00AD24B5" w:rsidP="00AD24B5">
      <w:pPr>
        <w:ind w:left="2880"/>
      </w:pPr>
      <w:r w:rsidRPr="003B4362">
        <w:t>“SM 7500-Ra C (01)” means Method 7500-Ra C, “Radium”, “Emanation Method”, only the version in the 21st, 22nd, and 23rd editions.  Referenced in Section 611.720.</w:t>
      </w:r>
    </w:p>
    <w:p w14:paraId="6793879F" w14:textId="77777777" w:rsidR="00AD24B5" w:rsidRPr="003B4362" w:rsidRDefault="00AD24B5" w:rsidP="00AD24B5">
      <w:pPr>
        <w:ind w:left="2880"/>
      </w:pPr>
    </w:p>
    <w:p w14:paraId="21C6D693" w14:textId="77777777" w:rsidR="00AD24B5" w:rsidRPr="003B4362" w:rsidRDefault="00AD24B5" w:rsidP="00AD24B5">
      <w:pPr>
        <w:ind w:left="2880"/>
      </w:pPr>
      <w:r w:rsidRPr="003B4362">
        <w:t>“SM 7500-Ra D (88)” means Method 7500-Ra D, “Radium”, “Sequential Precipitation Method”, only the version in the 17th and 18th editions.  Referenced in Section 611.720.</w:t>
      </w:r>
    </w:p>
    <w:p w14:paraId="642289E3" w14:textId="77777777" w:rsidR="00AD24B5" w:rsidRPr="003B4362" w:rsidRDefault="00AD24B5" w:rsidP="00AD24B5">
      <w:pPr>
        <w:ind w:left="2880"/>
      </w:pPr>
    </w:p>
    <w:p w14:paraId="1C10A40E" w14:textId="77777777" w:rsidR="00AD24B5" w:rsidRPr="003B4362" w:rsidRDefault="00AD24B5" w:rsidP="00AD24B5">
      <w:pPr>
        <w:ind w:left="2880"/>
      </w:pPr>
      <w:r w:rsidRPr="003B4362">
        <w:t>“SM 7500-Ra D (93)” means Method 7500-Ra D, “Radium”, “Sequential Precipitation Method”, only the version in the 19th and 20th editions.  Referenced in Section 611.720.</w:t>
      </w:r>
    </w:p>
    <w:p w14:paraId="457277B7" w14:textId="77777777" w:rsidR="00AD24B5" w:rsidRPr="003B4362" w:rsidRDefault="00AD24B5" w:rsidP="00AD24B5">
      <w:pPr>
        <w:ind w:left="2880"/>
      </w:pPr>
    </w:p>
    <w:p w14:paraId="53677E06" w14:textId="77777777" w:rsidR="00AD24B5" w:rsidRPr="003B4362" w:rsidRDefault="00AD24B5" w:rsidP="00AD24B5">
      <w:pPr>
        <w:ind w:left="2880"/>
      </w:pPr>
      <w:r w:rsidRPr="003B4362">
        <w:lastRenderedPageBreak/>
        <w:t>“SM 7500-Ra D (01)” means Method 7500-Ra D, “Radium”, “Sequential Precipitation Method”, only the version in the 21st, 22nd, and 23rd editions.  Referenced in Section 611.720.</w:t>
      </w:r>
    </w:p>
    <w:p w14:paraId="445A7E27" w14:textId="77777777" w:rsidR="00AD24B5" w:rsidRPr="003B4362" w:rsidRDefault="00AD24B5" w:rsidP="00AD24B5">
      <w:pPr>
        <w:ind w:left="2880"/>
      </w:pPr>
    </w:p>
    <w:p w14:paraId="5EA66D11" w14:textId="77777777" w:rsidR="00AD24B5" w:rsidRPr="003B4362" w:rsidRDefault="00AD24B5" w:rsidP="00AD24B5">
      <w:pPr>
        <w:ind w:left="2880"/>
      </w:pPr>
      <w:r w:rsidRPr="003B4362">
        <w:t xml:space="preserve">“SM 7500-Ra E (01)” means </w:t>
      </w:r>
      <w:bookmarkStart w:id="260" w:name="_Hlk16686104"/>
      <w:r w:rsidRPr="003B4362">
        <w:t xml:space="preserve">Method 7500-Ra E, </w:t>
      </w:r>
      <w:bookmarkEnd w:id="260"/>
      <w:r w:rsidRPr="003B4362">
        <w:t>“Radium”, “Gamma Spectrometry Method”, only the version in the 22nd edition.  Referenced in Section 611.720.</w:t>
      </w:r>
    </w:p>
    <w:p w14:paraId="31B30948" w14:textId="77777777" w:rsidR="00AD24B5" w:rsidRPr="003B4362" w:rsidRDefault="00AD24B5" w:rsidP="00AD24B5">
      <w:pPr>
        <w:ind w:left="2880"/>
      </w:pPr>
    </w:p>
    <w:p w14:paraId="3C77DC68" w14:textId="77777777" w:rsidR="00AD24B5" w:rsidRPr="003B4362" w:rsidRDefault="00AD24B5" w:rsidP="00AD24B5">
      <w:pPr>
        <w:ind w:left="2880"/>
      </w:pPr>
      <w:r w:rsidRPr="003B4362">
        <w:t>“SM 7500-Ra E (07)” means Method 7500-Ra E, “Radium”, “Gamma Spectrometry Method”, only the version in the 23rd edition.  Referenced in Section 611.720.</w:t>
      </w:r>
    </w:p>
    <w:p w14:paraId="5D4F6609" w14:textId="77777777" w:rsidR="00AD24B5" w:rsidRPr="003B4362" w:rsidRDefault="00AD24B5" w:rsidP="00AD24B5">
      <w:pPr>
        <w:ind w:left="2880"/>
      </w:pPr>
    </w:p>
    <w:p w14:paraId="4A0A4275" w14:textId="77777777" w:rsidR="00AD24B5" w:rsidRPr="003B4362" w:rsidRDefault="00AD24B5" w:rsidP="00AD24B5">
      <w:pPr>
        <w:ind w:left="2880"/>
      </w:pPr>
      <w:r w:rsidRPr="003B4362">
        <w:t>“SM 7500-Sr B (88)” means Method 7500-Sr B, “Total Radioactive Strontium and Strontium 90”, “Precipitation Method”, only the version in the 17th and 18th editions.  Referenced in Section 611.720.</w:t>
      </w:r>
    </w:p>
    <w:p w14:paraId="06A45E85" w14:textId="77777777" w:rsidR="00AD24B5" w:rsidRPr="003B4362" w:rsidRDefault="00AD24B5" w:rsidP="00AD24B5">
      <w:pPr>
        <w:ind w:left="2880"/>
      </w:pPr>
    </w:p>
    <w:p w14:paraId="6ACAC9E3" w14:textId="77777777" w:rsidR="00AD24B5" w:rsidRPr="003B4362" w:rsidRDefault="00AD24B5" w:rsidP="00AD24B5">
      <w:pPr>
        <w:ind w:left="2880"/>
      </w:pPr>
      <w:r w:rsidRPr="003B4362">
        <w:t>“SM 7500-Sr B (93)” means Method 7500-Sr B, “Total Radioactive Strontium and Strontium 90”, “Precipitation Method”, only the version in the 19th and 20th editions.  Referenced in Section 611.720.</w:t>
      </w:r>
    </w:p>
    <w:p w14:paraId="00B004CD" w14:textId="77777777" w:rsidR="00AD24B5" w:rsidRPr="003B4362" w:rsidRDefault="00AD24B5" w:rsidP="00AD24B5">
      <w:pPr>
        <w:ind w:left="2880"/>
      </w:pPr>
    </w:p>
    <w:p w14:paraId="7BB4DF58" w14:textId="77777777" w:rsidR="00AD24B5" w:rsidRPr="003B4362" w:rsidRDefault="00AD24B5" w:rsidP="00AD24B5">
      <w:pPr>
        <w:ind w:left="2880"/>
      </w:pPr>
      <w:r w:rsidRPr="003B4362">
        <w:t>“SM 7500-Sr B (01)” means Method 7500-Sr B, “Total Radioactive Strontium and Strontium 90”, “Precipitation Method”, only the version in the 21st, 22nd, and 23rd editions.  Referenced in Section 611.720.</w:t>
      </w:r>
    </w:p>
    <w:p w14:paraId="64E93FFC" w14:textId="77777777" w:rsidR="00AD24B5" w:rsidRPr="003B4362" w:rsidRDefault="00AD24B5" w:rsidP="00AD24B5">
      <w:pPr>
        <w:ind w:left="2880"/>
      </w:pPr>
    </w:p>
    <w:p w14:paraId="63488614" w14:textId="77777777" w:rsidR="00AD24B5" w:rsidRPr="003B4362" w:rsidRDefault="00AD24B5" w:rsidP="00AD24B5">
      <w:pPr>
        <w:ind w:left="2880"/>
      </w:pPr>
      <w:r w:rsidRPr="003B4362">
        <w:t>“SM 7500-</w:t>
      </w:r>
      <w:r w:rsidRPr="003B4362">
        <w:rPr>
          <w:vertAlign w:val="superscript"/>
        </w:rPr>
        <w:t>3</w:t>
      </w:r>
      <w:r w:rsidRPr="003B4362">
        <w:t>H B (88)” means Method 7500-</w:t>
      </w:r>
      <w:r w:rsidRPr="003B4362">
        <w:rPr>
          <w:vertAlign w:val="superscript"/>
        </w:rPr>
        <w:t>3</w:t>
      </w:r>
      <w:r w:rsidRPr="003B4362">
        <w:t>H B, “Tritium”, “Liquid Scintillation Spectrometric Method”, only the version in the 17th and 18th editions.  Referenced in Section 611.720.</w:t>
      </w:r>
    </w:p>
    <w:p w14:paraId="704C9DCE" w14:textId="77777777" w:rsidR="00AD24B5" w:rsidRPr="003B4362" w:rsidRDefault="00AD24B5" w:rsidP="00AD24B5">
      <w:pPr>
        <w:ind w:left="2880"/>
      </w:pPr>
    </w:p>
    <w:p w14:paraId="464EE14B" w14:textId="77777777" w:rsidR="00AD24B5" w:rsidRPr="003B4362" w:rsidRDefault="00AD24B5" w:rsidP="00AD24B5">
      <w:pPr>
        <w:ind w:left="2880"/>
      </w:pPr>
      <w:r w:rsidRPr="003B4362">
        <w:t>“SM 7500-</w:t>
      </w:r>
      <w:bookmarkStart w:id="261" w:name="_Hlk12457809"/>
      <w:r w:rsidRPr="003B4362">
        <w:rPr>
          <w:vertAlign w:val="superscript"/>
        </w:rPr>
        <w:t>3</w:t>
      </w:r>
      <w:r w:rsidRPr="003B4362">
        <w:t>H</w:t>
      </w:r>
      <w:bookmarkEnd w:id="261"/>
      <w:r w:rsidRPr="003B4362">
        <w:t xml:space="preserve"> B (93)” means Method 7500-</w:t>
      </w:r>
      <w:r w:rsidRPr="003B4362">
        <w:rPr>
          <w:vertAlign w:val="superscript"/>
        </w:rPr>
        <w:t>3</w:t>
      </w:r>
      <w:r w:rsidRPr="003B4362">
        <w:t>H B, “Tritium”, “Liquid Scintillation Spectrometric Method”, only the version in the 19th and 20th editions.  Referenced in Section 611.720.</w:t>
      </w:r>
    </w:p>
    <w:p w14:paraId="5B25E504" w14:textId="77777777" w:rsidR="00AD24B5" w:rsidRPr="003B4362" w:rsidRDefault="00AD24B5" w:rsidP="00AD24B5">
      <w:pPr>
        <w:ind w:left="2880"/>
      </w:pPr>
    </w:p>
    <w:p w14:paraId="57CFC46F" w14:textId="77777777" w:rsidR="00AD24B5" w:rsidRPr="003B4362" w:rsidRDefault="00AD24B5" w:rsidP="00AD24B5">
      <w:pPr>
        <w:ind w:left="2880"/>
      </w:pPr>
      <w:r w:rsidRPr="003B4362">
        <w:t>“SM 7500-</w:t>
      </w:r>
      <w:r w:rsidRPr="003B4362">
        <w:rPr>
          <w:vertAlign w:val="superscript"/>
        </w:rPr>
        <w:t>3</w:t>
      </w:r>
      <w:r w:rsidRPr="003B4362">
        <w:t>H B (00)” means Method 7500-</w:t>
      </w:r>
      <w:r w:rsidRPr="003B4362">
        <w:rPr>
          <w:vertAlign w:val="superscript"/>
        </w:rPr>
        <w:t>3</w:t>
      </w:r>
      <w:r w:rsidRPr="003B4362">
        <w:t>H B, “Tritium”, “Liquid Scintillation Spectrometric Method”, only the version in the 21st, 22nd, and 23rd editions.  Referenced in Section 611.720.</w:t>
      </w:r>
    </w:p>
    <w:p w14:paraId="58AFCB70" w14:textId="77777777" w:rsidR="00AD24B5" w:rsidRPr="003B4362" w:rsidRDefault="00AD24B5" w:rsidP="00AD24B5">
      <w:pPr>
        <w:ind w:left="2880"/>
      </w:pPr>
    </w:p>
    <w:p w14:paraId="6B1C5DDA" w14:textId="77777777" w:rsidR="00AD24B5" w:rsidRPr="003B4362" w:rsidRDefault="00AD24B5" w:rsidP="00AD24B5">
      <w:pPr>
        <w:ind w:left="2880"/>
      </w:pPr>
      <w:r w:rsidRPr="003B4362">
        <w:t>“SM 7500-U B (88)” means Method 7500-U B, “Uranium”, “Radiochemical Method</w:t>
      </w:r>
      <w:r w:rsidRPr="003B4362">
        <w:rPr>
          <w:szCs w:val="24"/>
        </w:rPr>
        <w:t xml:space="preserve"> (Proposed)</w:t>
      </w:r>
      <w:r w:rsidRPr="003B4362">
        <w:t>”, only the version in the 17th edition.  Referenced in Section 611.720.</w:t>
      </w:r>
    </w:p>
    <w:p w14:paraId="3A49700D" w14:textId="77777777" w:rsidR="00AD24B5" w:rsidRPr="003B4362" w:rsidRDefault="00AD24B5" w:rsidP="00AD24B5">
      <w:pPr>
        <w:ind w:left="2880"/>
      </w:pPr>
    </w:p>
    <w:p w14:paraId="2E5C864E" w14:textId="77777777" w:rsidR="00AD24B5" w:rsidRPr="003B4362" w:rsidRDefault="00AD24B5" w:rsidP="00AD24B5">
      <w:pPr>
        <w:ind w:left="2880"/>
      </w:pPr>
      <w:r w:rsidRPr="003B4362">
        <w:t>“SM 7500-U B (91)” means only Method 7500-U B, “Uranium”, “Radiochemical Method</w:t>
      </w:r>
      <w:r w:rsidRPr="003B4362">
        <w:rPr>
          <w:szCs w:val="24"/>
        </w:rPr>
        <w:t xml:space="preserve"> (Proposed)</w:t>
      </w:r>
      <w:r w:rsidRPr="003B4362">
        <w:t xml:space="preserve">”, the version in the 18th </w:t>
      </w:r>
      <w:r w:rsidRPr="003B4362">
        <w:lastRenderedPageBreak/>
        <w:t>edition, and “Uranium”, “Radiochemical Method”, the version in the 19th edition.  Referenced in Section 611.720.</w:t>
      </w:r>
    </w:p>
    <w:p w14:paraId="2E99212C" w14:textId="77777777" w:rsidR="00AD24B5" w:rsidRPr="003B4362" w:rsidRDefault="00AD24B5" w:rsidP="00AD24B5">
      <w:pPr>
        <w:ind w:left="2880"/>
      </w:pPr>
    </w:p>
    <w:p w14:paraId="439A6FB9" w14:textId="77777777" w:rsidR="00AD24B5" w:rsidRPr="003B4362" w:rsidRDefault="00AD24B5" w:rsidP="00AD24B5">
      <w:pPr>
        <w:ind w:left="2880"/>
      </w:pPr>
      <w:r w:rsidRPr="003B4362">
        <w:t>“SM 7500-U B (96)” means Method 7500-U B, “Uranium”, “Radiochemical Method”, only the version in the 20th edition.  Referenced in Section 611.720.</w:t>
      </w:r>
    </w:p>
    <w:p w14:paraId="16BCE4C6" w14:textId="77777777" w:rsidR="00AD24B5" w:rsidRPr="003B4362" w:rsidRDefault="00AD24B5" w:rsidP="00AD24B5">
      <w:pPr>
        <w:ind w:left="2880"/>
      </w:pPr>
    </w:p>
    <w:p w14:paraId="67A14E3A" w14:textId="77777777" w:rsidR="00AD24B5" w:rsidRPr="003B4362" w:rsidRDefault="00AD24B5" w:rsidP="00AD24B5">
      <w:pPr>
        <w:ind w:left="2880"/>
      </w:pPr>
      <w:r w:rsidRPr="003B4362">
        <w:t>“SM 7500-U B (00)” means Method 7500-U B, “Uranium”, “Radiochemical Method”, only the version in the 21st, 22nd, and 23rd editions.  Referenced in Section 611.720.</w:t>
      </w:r>
    </w:p>
    <w:p w14:paraId="32430028" w14:textId="77777777" w:rsidR="00AD24B5" w:rsidRPr="003B4362" w:rsidRDefault="00AD24B5" w:rsidP="00AD24B5">
      <w:pPr>
        <w:ind w:left="2880"/>
      </w:pPr>
    </w:p>
    <w:p w14:paraId="4F69C663" w14:textId="77777777" w:rsidR="00AD24B5" w:rsidRPr="003B4362" w:rsidRDefault="00AD24B5" w:rsidP="00AD24B5">
      <w:pPr>
        <w:ind w:left="2880"/>
      </w:pPr>
      <w:r w:rsidRPr="003B4362">
        <w:t>“SM 7500-U C (88)” means Method 7500-U C, “Uranium”, “</w:t>
      </w:r>
      <w:bookmarkStart w:id="262" w:name="_Hlk5039277"/>
      <w:r w:rsidRPr="003B4362">
        <w:rPr>
          <w:szCs w:val="24"/>
        </w:rPr>
        <w:t xml:space="preserve">Fluorometric </w:t>
      </w:r>
      <w:bookmarkEnd w:id="262"/>
      <w:r w:rsidRPr="003B4362">
        <w:rPr>
          <w:szCs w:val="24"/>
        </w:rPr>
        <w:t>Method (Proposed)</w:t>
      </w:r>
      <w:r w:rsidRPr="003B4362">
        <w:t>”, only the version in the 17th edition.  Referenced in Section 611.720.</w:t>
      </w:r>
    </w:p>
    <w:p w14:paraId="27ECA539" w14:textId="77777777" w:rsidR="00AD24B5" w:rsidRPr="003B4362" w:rsidRDefault="00AD24B5" w:rsidP="00AD24B5">
      <w:pPr>
        <w:ind w:left="2880"/>
      </w:pPr>
    </w:p>
    <w:p w14:paraId="3C8B4CB4" w14:textId="77777777" w:rsidR="00AD24B5" w:rsidRPr="003B4362" w:rsidRDefault="00AD24B5" w:rsidP="00AD24B5">
      <w:pPr>
        <w:ind w:left="2880"/>
      </w:pPr>
      <w:r w:rsidRPr="003B4362">
        <w:t>“SM 7500-U C (91)” means Method 7500-U C, “Uranium”, “</w:t>
      </w:r>
      <w:r w:rsidRPr="003B4362">
        <w:rPr>
          <w:szCs w:val="24"/>
        </w:rPr>
        <w:t>Isotopic Method (Proposed)</w:t>
      </w:r>
      <w:r w:rsidRPr="003B4362">
        <w:t>”</w:t>
      </w:r>
      <w:bookmarkStart w:id="263" w:name="_Hlk5189519"/>
      <w:r w:rsidRPr="003B4362">
        <w:t>, only the version in the 18th and 19th editions.  R</w:t>
      </w:r>
      <w:bookmarkEnd w:id="263"/>
      <w:r w:rsidRPr="003B4362">
        <w:t>eferenced in Section 611.720.</w:t>
      </w:r>
    </w:p>
    <w:p w14:paraId="470A7CCB" w14:textId="77777777" w:rsidR="00AD24B5" w:rsidRPr="003B4362" w:rsidRDefault="00AD24B5" w:rsidP="00AD24B5">
      <w:pPr>
        <w:ind w:left="2880"/>
      </w:pPr>
    </w:p>
    <w:p w14:paraId="786244B2" w14:textId="77777777" w:rsidR="00AD24B5" w:rsidRPr="003B4362" w:rsidRDefault="00AD24B5" w:rsidP="00AD24B5">
      <w:pPr>
        <w:ind w:left="2880"/>
      </w:pPr>
      <w:r w:rsidRPr="003B4362">
        <w:t>“SM 7500-U C (96)” means Method 7500-U C, “Uranium”, “Isotopic Method”, only the version in the 20th edition.  Referenced in Section 611.720.</w:t>
      </w:r>
    </w:p>
    <w:p w14:paraId="6CF24F68" w14:textId="77777777" w:rsidR="00AD24B5" w:rsidRPr="003B4362" w:rsidRDefault="00AD24B5" w:rsidP="00AD24B5">
      <w:pPr>
        <w:ind w:left="2880"/>
      </w:pPr>
    </w:p>
    <w:p w14:paraId="26DD349B" w14:textId="77777777" w:rsidR="00AD24B5" w:rsidRPr="003B4362" w:rsidRDefault="00AD24B5" w:rsidP="00AD24B5">
      <w:pPr>
        <w:ind w:left="2880"/>
      </w:pPr>
      <w:r w:rsidRPr="003B4362">
        <w:t>“SM 7500-U C (00)” means Method 7500-U C, “Uranium”, “Isotopic Method”, only the version in the 21st, 22nd, and 23rd editions.  Referenced in Section 611.720.</w:t>
      </w:r>
    </w:p>
    <w:p w14:paraId="0F37E079" w14:textId="77777777" w:rsidR="00AD24B5" w:rsidRPr="003B4362" w:rsidRDefault="00AD24B5" w:rsidP="00AD24B5">
      <w:pPr>
        <w:ind w:left="2880"/>
      </w:pPr>
    </w:p>
    <w:p w14:paraId="6DAB4457" w14:textId="77777777" w:rsidR="00AD24B5" w:rsidRPr="003B4362" w:rsidRDefault="00AD24B5" w:rsidP="00AD24B5">
      <w:pPr>
        <w:ind w:left="2880"/>
      </w:pPr>
      <w:r w:rsidRPr="003B4362">
        <w:t>“SM 9060 A (97)” means Method 9060 A, “Samples”, “Collection”, only the version in the 20th and 21st editions.  Referenced in Section 611.1052.</w:t>
      </w:r>
    </w:p>
    <w:p w14:paraId="5E69BB42" w14:textId="77777777" w:rsidR="00AD24B5" w:rsidRPr="003B4362" w:rsidRDefault="00AD24B5" w:rsidP="00AD24B5">
      <w:pPr>
        <w:ind w:left="2880"/>
      </w:pPr>
    </w:p>
    <w:p w14:paraId="1941C459" w14:textId="77777777" w:rsidR="00AD24B5" w:rsidRPr="003B4362" w:rsidRDefault="00AD24B5" w:rsidP="00AD24B5">
      <w:pPr>
        <w:ind w:left="2880"/>
      </w:pPr>
      <w:r w:rsidRPr="003B4362">
        <w:t xml:space="preserve">“SM 9215 B (88)” means </w:t>
      </w:r>
      <w:bookmarkStart w:id="264" w:name="_Hlk16686316"/>
      <w:r w:rsidRPr="003B4362">
        <w:t xml:space="preserve">Method 9215 B, </w:t>
      </w:r>
      <w:bookmarkEnd w:id="264"/>
      <w:r w:rsidRPr="003B4362">
        <w:t>“Heterotrophic Plate Count”, “Pour Plate Method”, only the version in the 18th edition.  Referenced in Section 611.531.</w:t>
      </w:r>
    </w:p>
    <w:p w14:paraId="0B1636FE" w14:textId="77777777" w:rsidR="00AD24B5" w:rsidRPr="003B4362" w:rsidRDefault="00AD24B5" w:rsidP="00AD24B5">
      <w:pPr>
        <w:ind w:left="2880"/>
      </w:pPr>
    </w:p>
    <w:p w14:paraId="6E486BA3" w14:textId="77777777" w:rsidR="00AD24B5" w:rsidRPr="003B4362" w:rsidRDefault="00AD24B5" w:rsidP="00AD24B5">
      <w:pPr>
        <w:ind w:left="2880"/>
      </w:pPr>
      <w:r w:rsidRPr="003B4362">
        <w:t>“SM 9215 B (94)” means Method 9215 B, “Heterotrophic Plate Count”, “Pour Plate Method”, only the version in the 19th and 20th editions.  Referenced in Section 611.531.</w:t>
      </w:r>
    </w:p>
    <w:p w14:paraId="6B564359" w14:textId="77777777" w:rsidR="00AD24B5" w:rsidRPr="003B4362" w:rsidRDefault="00AD24B5" w:rsidP="00AD24B5">
      <w:pPr>
        <w:ind w:left="2880"/>
      </w:pPr>
    </w:p>
    <w:p w14:paraId="6762A657" w14:textId="77777777" w:rsidR="00AD24B5" w:rsidRPr="003B4362" w:rsidRDefault="00AD24B5" w:rsidP="00AD24B5">
      <w:pPr>
        <w:ind w:left="2880"/>
      </w:pPr>
      <w:r w:rsidRPr="003B4362">
        <w:t>“SM 9215 B (00)” means Method 9215 B, “Heterotrophic Plate Count”, “Pour Plate Method”, only the version in the 21st edition.  Referenced in Section 611.531.</w:t>
      </w:r>
    </w:p>
    <w:p w14:paraId="4E943EEE" w14:textId="77777777" w:rsidR="00AD24B5" w:rsidRPr="003B4362" w:rsidRDefault="00AD24B5" w:rsidP="00AD24B5">
      <w:pPr>
        <w:ind w:left="2880"/>
      </w:pPr>
    </w:p>
    <w:p w14:paraId="283F1CCF" w14:textId="77777777" w:rsidR="00AD24B5" w:rsidRPr="003B4362" w:rsidRDefault="00AD24B5" w:rsidP="00AD24B5">
      <w:pPr>
        <w:ind w:left="2880"/>
      </w:pPr>
      <w:r w:rsidRPr="003B4362">
        <w:lastRenderedPageBreak/>
        <w:t>“SM 9215 B (04)” means Method 9215 B, “Heterotrophic Plate Count”, “Pour Plate Method”, only the version in the 22nd edition.  Referenced in Section 611.531.</w:t>
      </w:r>
    </w:p>
    <w:p w14:paraId="1840FDB4" w14:textId="77777777" w:rsidR="00AD24B5" w:rsidRPr="003B4362" w:rsidRDefault="00AD24B5" w:rsidP="00AD24B5">
      <w:pPr>
        <w:ind w:left="2880"/>
      </w:pPr>
    </w:p>
    <w:p w14:paraId="1051A754" w14:textId="77777777" w:rsidR="00AD24B5" w:rsidRPr="003B4362" w:rsidRDefault="00AD24B5" w:rsidP="00AD24B5">
      <w:pPr>
        <w:ind w:left="2880"/>
      </w:pPr>
      <w:r w:rsidRPr="003B4362">
        <w:t>“SM 9215 B (16)” means Method 9215 B, “Heterotrophic Plate Count”, “Pour Plate Method”, only the version in the 23rd edition.  Referenced in Section 611.531.</w:t>
      </w:r>
    </w:p>
    <w:p w14:paraId="278CF930" w14:textId="77777777" w:rsidR="00AD24B5" w:rsidRPr="003B4362" w:rsidRDefault="00AD24B5" w:rsidP="00AD24B5">
      <w:pPr>
        <w:ind w:left="2880"/>
      </w:pPr>
    </w:p>
    <w:p w14:paraId="66407EB3" w14:textId="77777777" w:rsidR="00AD24B5" w:rsidRPr="003B4362" w:rsidRDefault="00AD24B5" w:rsidP="00AD24B5">
      <w:pPr>
        <w:ind w:left="2880"/>
      </w:pPr>
      <w:r w:rsidRPr="003B4362">
        <w:t>“SM 9221 A (93)” means Method 9221 A, “</w:t>
      </w:r>
      <w:r w:rsidRPr="003B4362">
        <w:rPr>
          <w:szCs w:val="24"/>
        </w:rPr>
        <w:t>Multiple-Tube Fermentation Technique for Members of the Coliform Group</w:t>
      </w:r>
      <w:r w:rsidRPr="003B4362">
        <w:t>”, “</w:t>
      </w:r>
      <w:r w:rsidRPr="003B4362">
        <w:rPr>
          <w:szCs w:val="24"/>
        </w:rPr>
        <w:t>Introduction</w:t>
      </w:r>
      <w:r w:rsidRPr="003B4362">
        <w:t>”, only the version in the 18th edition.  Referenced in Section 611.531.</w:t>
      </w:r>
    </w:p>
    <w:p w14:paraId="5349982E" w14:textId="77777777" w:rsidR="00AD24B5" w:rsidRPr="003B4362" w:rsidRDefault="00AD24B5" w:rsidP="00AD24B5">
      <w:pPr>
        <w:ind w:left="2880"/>
      </w:pPr>
    </w:p>
    <w:p w14:paraId="495FFFEA" w14:textId="77777777" w:rsidR="00AD24B5" w:rsidRPr="003B4362" w:rsidRDefault="00AD24B5" w:rsidP="00AD24B5">
      <w:pPr>
        <w:ind w:left="2880"/>
      </w:pPr>
      <w:r w:rsidRPr="003B4362">
        <w:t>“SM 9221 A (94)” means Method 9221 A, “</w:t>
      </w:r>
      <w:r w:rsidRPr="003B4362">
        <w:rPr>
          <w:szCs w:val="24"/>
        </w:rPr>
        <w:t>Multiple-Tube Fermentation Technique for Members of the Coliform Group</w:t>
      </w:r>
      <w:r w:rsidRPr="003B4362">
        <w:t>”, “</w:t>
      </w:r>
      <w:r w:rsidRPr="003B4362">
        <w:rPr>
          <w:szCs w:val="24"/>
        </w:rPr>
        <w:t>Introduction</w:t>
      </w:r>
      <w:r w:rsidRPr="003B4362">
        <w:t>”, only the version in the 19th and 20th editions.  Referenced in Section 611.531.</w:t>
      </w:r>
    </w:p>
    <w:p w14:paraId="02E9A0BC" w14:textId="77777777" w:rsidR="00AD24B5" w:rsidRPr="003B4362" w:rsidRDefault="00AD24B5" w:rsidP="00AD24B5">
      <w:pPr>
        <w:ind w:left="2880"/>
      </w:pPr>
    </w:p>
    <w:p w14:paraId="57C7EEEA" w14:textId="77777777" w:rsidR="00AD24B5" w:rsidRPr="003B4362" w:rsidRDefault="00AD24B5" w:rsidP="00AD24B5">
      <w:pPr>
        <w:ind w:left="2880"/>
      </w:pPr>
      <w:r w:rsidRPr="003B4362">
        <w:t>“SM 9221 A (99)” means Method 9221 A, “</w:t>
      </w:r>
      <w:r w:rsidRPr="003B4362">
        <w:rPr>
          <w:szCs w:val="24"/>
        </w:rPr>
        <w:t>Multiple-Tube Fermentation Technique for Members of the Coliform Group</w:t>
      </w:r>
      <w:r w:rsidRPr="003B4362">
        <w:t>”, “</w:t>
      </w:r>
      <w:r w:rsidRPr="003B4362">
        <w:rPr>
          <w:szCs w:val="24"/>
        </w:rPr>
        <w:t>Introduction</w:t>
      </w:r>
      <w:r w:rsidRPr="003B4362">
        <w:t>”, only the version in the 21st edition.  Referenced in Section 611.531.</w:t>
      </w:r>
    </w:p>
    <w:p w14:paraId="2C255DB4" w14:textId="77777777" w:rsidR="00AD24B5" w:rsidRPr="003B4362" w:rsidRDefault="00AD24B5" w:rsidP="00AD24B5">
      <w:pPr>
        <w:ind w:left="2880"/>
      </w:pPr>
    </w:p>
    <w:p w14:paraId="308892F1" w14:textId="77777777" w:rsidR="00AD24B5" w:rsidRPr="003B4362" w:rsidRDefault="00AD24B5" w:rsidP="00AD24B5">
      <w:pPr>
        <w:ind w:left="2880"/>
      </w:pPr>
      <w:r w:rsidRPr="003B4362">
        <w:t>“SM 9221 A (06)” means Method 9221 A, “</w:t>
      </w:r>
      <w:r w:rsidRPr="003B4362">
        <w:rPr>
          <w:szCs w:val="24"/>
        </w:rPr>
        <w:t>Multiple-Tube Fermentation Technique for Members of the Coliform Group</w:t>
      </w:r>
      <w:r w:rsidRPr="003B4362">
        <w:t>”, “</w:t>
      </w:r>
      <w:r w:rsidRPr="003B4362">
        <w:rPr>
          <w:szCs w:val="24"/>
        </w:rPr>
        <w:t>Introduction</w:t>
      </w:r>
      <w:r w:rsidRPr="003B4362">
        <w:t>”, only the version in the 22nd edition.  Referenced in Section 611.531.</w:t>
      </w:r>
    </w:p>
    <w:p w14:paraId="0279E525" w14:textId="77777777" w:rsidR="00AD24B5" w:rsidRPr="003B4362" w:rsidRDefault="00AD24B5" w:rsidP="00AD24B5">
      <w:pPr>
        <w:ind w:left="2880"/>
      </w:pPr>
    </w:p>
    <w:p w14:paraId="19587BC2" w14:textId="77777777" w:rsidR="00AD24B5" w:rsidRPr="003B4362" w:rsidRDefault="00AD24B5" w:rsidP="00AD24B5">
      <w:pPr>
        <w:ind w:left="2880"/>
      </w:pPr>
      <w:r w:rsidRPr="003B4362">
        <w:t>“SM 9221 A (14)” means Method 9221 A, “</w:t>
      </w:r>
      <w:r w:rsidRPr="003B4362">
        <w:rPr>
          <w:szCs w:val="24"/>
        </w:rPr>
        <w:t>Multiple-Tube Fermentation Technique for Members of the Coliform Group</w:t>
      </w:r>
      <w:r w:rsidRPr="003B4362">
        <w:t>”, “</w:t>
      </w:r>
      <w:r w:rsidRPr="003B4362">
        <w:rPr>
          <w:szCs w:val="24"/>
        </w:rPr>
        <w:t>Introduction</w:t>
      </w:r>
      <w:r w:rsidRPr="003B4362">
        <w:t>”, only the version in the 23rd edition.  Referenced in Section 611.531.</w:t>
      </w:r>
    </w:p>
    <w:p w14:paraId="7290879C" w14:textId="77777777" w:rsidR="00AD24B5" w:rsidRPr="003B4362" w:rsidRDefault="00AD24B5" w:rsidP="00AD24B5">
      <w:pPr>
        <w:ind w:left="2880"/>
      </w:pPr>
    </w:p>
    <w:p w14:paraId="2DAF5D1D" w14:textId="77777777" w:rsidR="00AD24B5" w:rsidRPr="003B4362" w:rsidRDefault="00AD24B5" w:rsidP="00AD24B5">
      <w:pPr>
        <w:ind w:left="2880"/>
      </w:pPr>
      <w:r w:rsidRPr="003B4362">
        <w:t>“SM 9221 B (93)” means Method 9221 B, “</w:t>
      </w:r>
      <w:r w:rsidRPr="003B4362">
        <w:rPr>
          <w:szCs w:val="24"/>
        </w:rPr>
        <w:t>Multiple-Tube Fermentation Technique for Members of the Coliform Group</w:t>
      </w:r>
      <w:r w:rsidRPr="003B4362">
        <w:t>”, “</w:t>
      </w:r>
      <w:r w:rsidRPr="003B4362">
        <w:rPr>
          <w:szCs w:val="24"/>
        </w:rPr>
        <w:t>Standard Total Coliform Fermentation Technique</w:t>
      </w:r>
      <w:r w:rsidRPr="003B4362">
        <w:t>”, only the version in the 18th edition.  Referenced in Section 611.531.</w:t>
      </w:r>
    </w:p>
    <w:p w14:paraId="3B93FBAD" w14:textId="77777777" w:rsidR="00AD24B5" w:rsidRPr="003B4362" w:rsidRDefault="00AD24B5" w:rsidP="00AD24B5">
      <w:pPr>
        <w:ind w:left="2880"/>
      </w:pPr>
    </w:p>
    <w:p w14:paraId="372AE308" w14:textId="77777777" w:rsidR="00AD24B5" w:rsidRPr="003B4362" w:rsidRDefault="00AD24B5" w:rsidP="00AD24B5">
      <w:pPr>
        <w:ind w:left="2880"/>
      </w:pPr>
      <w:r w:rsidRPr="003B4362">
        <w:t>“SM 9221 B (94)” means Method 9221 B, “</w:t>
      </w:r>
      <w:r w:rsidRPr="003B4362">
        <w:rPr>
          <w:szCs w:val="24"/>
        </w:rPr>
        <w:t>Multiple-Tube Fermentation Technique for Members of the Coliform Group</w:t>
      </w:r>
      <w:r w:rsidRPr="003B4362">
        <w:t>”, “</w:t>
      </w:r>
      <w:r w:rsidRPr="003B4362">
        <w:rPr>
          <w:szCs w:val="24"/>
        </w:rPr>
        <w:t>Standard Total Coliform Fermentation Technique</w:t>
      </w:r>
      <w:r w:rsidRPr="003B4362">
        <w:t>”, only the version in the 19th and 20th editions.  Referenced in Sections 611.531 and 611.1052.</w:t>
      </w:r>
    </w:p>
    <w:p w14:paraId="035472D1" w14:textId="77777777" w:rsidR="00AD24B5" w:rsidRPr="003B4362" w:rsidRDefault="00AD24B5" w:rsidP="00AD24B5">
      <w:pPr>
        <w:ind w:left="2880"/>
      </w:pPr>
    </w:p>
    <w:p w14:paraId="59C56549" w14:textId="77777777" w:rsidR="00AD24B5" w:rsidRPr="003B4362" w:rsidRDefault="00AD24B5" w:rsidP="00AD24B5">
      <w:pPr>
        <w:ind w:left="2880"/>
      </w:pPr>
      <w:r w:rsidRPr="003B4362">
        <w:lastRenderedPageBreak/>
        <w:t>“SM 9221 B (99)” means Method 9221 B, “</w:t>
      </w:r>
      <w:r w:rsidRPr="003B4362">
        <w:rPr>
          <w:szCs w:val="24"/>
        </w:rPr>
        <w:t>Multiple-Tube Fermentation Technique for Members of the Coliform Group</w:t>
      </w:r>
      <w:r w:rsidRPr="003B4362">
        <w:t>”, “</w:t>
      </w:r>
      <w:r w:rsidRPr="003B4362">
        <w:rPr>
          <w:szCs w:val="24"/>
        </w:rPr>
        <w:t>Standard Total Coliform Fermentation Technique</w:t>
      </w:r>
      <w:r w:rsidRPr="003B4362">
        <w:t>”, only the version in the 21st edition.  Referenced in Sections 611.531 and 611.1052.</w:t>
      </w:r>
    </w:p>
    <w:p w14:paraId="04CB858E" w14:textId="77777777" w:rsidR="00AD24B5" w:rsidRPr="003B4362" w:rsidRDefault="00AD24B5" w:rsidP="00AD24B5">
      <w:pPr>
        <w:ind w:left="2880"/>
      </w:pPr>
    </w:p>
    <w:p w14:paraId="0ECF4F83" w14:textId="77777777" w:rsidR="00AD24B5" w:rsidRPr="003B4362" w:rsidRDefault="00AD24B5" w:rsidP="00AD24B5">
      <w:pPr>
        <w:ind w:left="2880"/>
      </w:pPr>
      <w:r w:rsidRPr="003B4362">
        <w:t>“SM 9221 B (06)” means Method 9221 B, “</w:t>
      </w:r>
      <w:r w:rsidRPr="003B4362">
        <w:rPr>
          <w:szCs w:val="24"/>
        </w:rPr>
        <w:t>Multiple-Tube Fermentation Technique for Members of the Coliform Group</w:t>
      </w:r>
      <w:r w:rsidRPr="003B4362">
        <w:t>”, “</w:t>
      </w:r>
      <w:r w:rsidRPr="003B4362">
        <w:rPr>
          <w:szCs w:val="24"/>
        </w:rPr>
        <w:t>Standard Total Coliform Fermentation Technique</w:t>
      </w:r>
      <w:r w:rsidRPr="003B4362">
        <w:t>”, only the version in the 22nd edition.  Referenced in Sections 611.531 and 611.1052.</w:t>
      </w:r>
    </w:p>
    <w:p w14:paraId="422A0D89" w14:textId="77777777" w:rsidR="00AD24B5" w:rsidRPr="003B4362" w:rsidRDefault="00AD24B5" w:rsidP="00AD24B5">
      <w:pPr>
        <w:ind w:left="2880"/>
      </w:pPr>
    </w:p>
    <w:p w14:paraId="62561C68" w14:textId="77777777" w:rsidR="00AD24B5" w:rsidRPr="003B4362" w:rsidRDefault="00AD24B5" w:rsidP="00AD24B5">
      <w:pPr>
        <w:ind w:left="2880"/>
      </w:pPr>
      <w:r w:rsidRPr="003B4362">
        <w:t>“SM 9221 B (14)” means Method 9221 B, “</w:t>
      </w:r>
      <w:r w:rsidRPr="003B4362">
        <w:rPr>
          <w:szCs w:val="24"/>
        </w:rPr>
        <w:t>Multiple-Tube Fermentation Technique for Members of the Coliform Group</w:t>
      </w:r>
      <w:r w:rsidRPr="003B4362">
        <w:t>”, “</w:t>
      </w:r>
      <w:r w:rsidRPr="003B4362">
        <w:rPr>
          <w:szCs w:val="24"/>
        </w:rPr>
        <w:t>Standard Total Coliform Fermentation Technique</w:t>
      </w:r>
      <w:r w:rsidRPr="003B4362">
        <w:t>”, only the version in the 23rd edition.  Referenced in Sections 611.531 and 611.1052.</w:t>
      </w:r>
    </w:p>
    <w:p w14:paraId="1C8CA13E" w14:textId="77777777" w:rsidR="00AD24B5" w:rsidRPr="003B4362" w:rsidRDefault="00AD24B5" w:rsidP="00AD24B5">
      <w:pPr>
        <w:ind w:left="2880"/>
      </w:pPr>
    </w:p>
    <w:p w14:paraId="5A128ABC" w14:textId="77777777" w:rsidR="00AD24B5" w:rsidRPr="003B4362" w:rsidRDefault="00AD24B5" w:rsidP="00AD24B5">
      <w:pPr>
        <w:ind w:left="2880"/>
      </w:pPr>
      <w:r w:rsidRPr="003B4362">
        <w:t>“SM 9221 C (93)” means Method 9221 C, “</w:t>
      </w:r>
      <w:r w:rsidRPr="003B4362">
        <w:rPr>
          <w:szCs w:val="24"/>
        </w:rPr>
        <w:t>Multiple-Tube Fermentation Technique for Members of the Coliform Group</w:t>
      </w:r>
      <w:r w:rsidRPr="003B4362">
        <w:t>”, “</w:t>
      </w:r>
      <w:r w:rsidRPr="003B4362">
        <w:rPr>
          <w:szCs w:val="24"/>
        </w:rPr>
        <w:t>Estimation of Bacterial Density</w:t>
      </w:r>
      <w:r w:rsidRPr="003B4362">
        <w:t>”, only the version in the 18th edition.  Referenced in Section 611.531.</w:t>
      </w:r>
    </w:p>
    <w:p w14:paraId="14612584" w14:textId="77777777" w:rsidR="00AD24B5" w:rsidRPr="003B4362" w:rsidRDefault="00AD24B5" w:rsidP="00AD24B5">
      <w:pPr>
        <w:ind w:left="2880"/>
      </w:pPr>
    </w:p>
    <w:p w14:paraId="6DE8FCE9" w14:textId="77777777" w:rsidR="00AD24B5" w:rsidRPr="003B4362" w:rsidRDefault="00AD24B5" w:rsidP="00AD24B5">
      <w:pPr>
        <w:ind w:left="2880"/>
      </w:pPr>
      <w:r w:rsidRPr="003B4362">
        <w:t>“SM 9221 C (94)” means Method 9221 C, “</w:t>
      </w:r>
      <w:r w:rsidRPr="003B4362">
        <w:rPr>
          <w:szCs w:val="24"/>
        </w:rPr>
        <w:t>Multiple-Tube Fermentation Technique for Members of the Coliform Group</w:t>
      </w:r>
      <w:r w:rsidRPr="003B4362">
        <w:t>”, “</w:t>
      </w:r>
      <w:r w:rsidRPr="003B4362">
        <w:rPr>
          <w:szCs w:val="24"/>
        </w:rPr>
        <w:t>Estimation of Bacterial Density</w:t>
      </w:r>
      <w:r w:rsidRPr="003B4362">
        <w:t>”, only the version in the 19th and 20th editions.  Referenced in Section 611.531.</w:t>
      </w:r>
    </w:p>
    <w:p w14:paraId="1E3B6D2F" w14:textId="77777777" w:rsidR="00AD24B5" w:rsidRPr="003B4362" w:rsidRDefault="00AD24B5" w:rsidP="00AD24B5">
      <w:pPr>
        <w:ind w:left="2880"/>
      </w:pPr>
    </w:p>
    <w:p w14:paraId="68D86556" w14:textId="77777777" w:rsidR="00AD24B5" w:rsidRPr="003B4362" w:rsidRDefault="00AD24B5" w:rsidP="00AD24B5">
      <w:pPr>
        <w:ind w:left="2880"/>
      </w:pPr>
      <w:r w:rsidRPr="003B4362">
        <w:t>“SM 9221 C (99)” means Method 9221 C, “</w:t>
      </w:r>
      <w:r w:rsidRPr="003B4362">
        <w:rPr>
          <w:szCs w:val="24"/>
        </w:rPr>
        <w:t>Multiple-Tube Fermentation Technique for Members of the Coliform Group</w:t>
      </w:r>
      <w:r w:rsidRPr="003B4362">
        <w:t>”, “</w:t>
      </w:r>
      <w:r w:rsidRPr="003B4362">
        <w:rPr>
          <w:szCs w:val="24"/>
        </w:rPr>
        <w:t>Estimation of Bacterial Density</w:t>
      </w:r>
      <w:r w:rsidRPr="003B4362">
        <w:t>”, only the version in the 21st edition.  Referenced in Section 611.531.</w:t>
      </w:r>
    </w:p>
    <w:p w14:paraId="50B47619" w14:textId="77777777" w:rsidR="00AD24B5" w:rsidRPr="003B4362" w:rsidRDefault="00AD24B5" w:rsidP="00AD24B5">
      <w:pPr>
        <w:ind w:left="2880"/>
      </w:pPr>
    </w:p>
    <w:p w14:paraId="36237F77" w14:textId="77777777" w:rsidR="00AD24B5" w:rsidRPr="003B4362" w:rsidRDefault="00AD24B5" w:rsidP="00AD24B5">
      <w:pPr>
        <w:ind w:left="2880"/>
      </w:pPr>
      <w:r w:rsidRPr="003B4362">
        <w:t>“SM 9221 C (06)” means Method 9221 C, “</w:t>
      </w:r>
      <w:r w:rsidRPr="003B4362">
        <w:rPr>
          <w:szCs w:val="24"/>
        </w:rPr>
        <w:t>Multiple-Tube Fermentation Technique for Members of the Coliform Group</w:t>
      </w:r>
      <w:r w:rsidRPr="003B4362">
        <w:t>”, “</w:t>
      </w:r>
      <w:r w:rsidRPr="003B4362">
        <w:rPr>
          <w:szCs w:val="24"/>
        </w:rPr>
        <w:t>Estimation of Bacterial Density</w:t>
      </w:r>
      <w:r w:rsidRPr="003B4362">
        <w:t>”, only the version in the 22nd edition.  Referenced in Section 611.531.</w:t>
      </w:r>
    </w:p>
    <w:p w14:paraId="0ADDBEAB" w14:textId="77777777" w:rsidR="00AD24B5" w:rsidRPr="003B4362" w:rsidRDefault="00AD24B5" w:rsidP="00AD24B5">
      <w:pPr>
        <w:ind w:left="2880"/>
      </w:pPr>
    </w:p>
    <w:p w14:paraId="77E84FB4" w14:textId="77777777" w:rsidR="00AD24B5" w:rsidRPr="003B4362" w:rsidRDefault="00AD24B5" w:rsidP="00AD24B5">
      <w:pPr>
        <w:ind w:left="2880"/>
      </w:pPr>
      <w:r w:rsidRPr="003B4362">
        <w:t>“SM 9221 C (14)” means Method 9221 C, “</w:t>
      </w:r>
      <w:r w:rsidRPr="003B4362">
        <w:rPr>
          <w:szCs w:val="24"/>
        </w:rPr>
        <w:t>Multiple-Tube Fermentation Technique for Members of the Coliform Group</w:t>
      </w:r>
      <w:r w:rsidRPr="003B4362">
        <w:t>”, “</w:t>
      </w:r>
      <w:r w:rsidRPr="003B4362">
        <w:rPr>
          <w:szCs w:val="24"/>
        </w:rPr>
        <w:t>Estimation of Bacterial Density</w:t>
      </w:r>
      <w:r w:rsidRPr="003B4362">
        <w:t>”, only the version in the 23rd edition.  Referenced in Section 611.531.</w:t>
      </w:r>
    </w:p>
    <w:p w14:paraId="2646A554" w14:textId="77777777" w:rsidR="00AD24B5" w:rsidRPr="003B4362" w:rsidRDefault="00AD24B5" w:rsidP="00AD24B5">
      <w:pPr>
        <w:ind w:left="2880"/>
      </w:pPr>
    </w:p>
    <w:p w14:paraId="7F414195" w14:textId="77777777" w:rsidR="00AD24B5" w:rsidRPr="003B4362" w:rsidRDefault="00AD24B5" w:rsidP="00AD24B5">
      <w:pPr>
        <w:ind w:left="2880"/>
      </w:pPr>
      <w:r w:rsidRPr="003B4362">
        <w:t>“SM 9221 D (94)” means Method 9221 D, “</w:t>
      </w:r>
      <w:r w:rsidRPr="003B4362">
        <w:rPr>
          <w:szCs w:val="24"/>
        </w:rPr>
        <w:t>Multiple-Tube Fermentation Technique for Members of the Coliform Group</w:t>
      </w:r>
      <w:r w:rsidRPr="003B4362">
        <w:t xml:space="preserve">”, </w:t>
      </w:r>
      <w:r w:rsidRPr="003B4362">
        <w:lastRenderedPageBreak/>
        <w:t>“</w:t>
      </w:r>
      <w:r w:rsidRPr="003B4362">
        <w:rPr>
          <w:szCs w:val="24"/>
        </w:rPr>
        <w:t>Presence-Absence (P-A) Coliform”</w:t>
      </w:r>
      <w:r w:rsidRPr="003B4362">
        <w:t>, only the version in the 20th edition.  Referenced in Section 611.1052.</w:t>
      </w:r>
    </w:p>
    <w:p w14:paraId="057DE892" w14:textId="77777777" w:rsidR="00AD24B5" w:rsidRPr="003B4362" w:rsidRDefault="00AD24B5" w:rsidP="00AD24B5">
      <w:pPr>
        <w:ind w:left="2880"/>
      </w:pPr>
    </w:p>
    <w:p w14:paraId="4A4FCAD5" w14:textId="77777777" w:rsidR="00AD24B5" w:rsidRPr="003B4362" w:rsidRDefault="00AD24B5" w:rsidP="00AD24B5">
      <w:pPr>
        <w:ind w:left="2880"/>
      </w:pPr>
      <w:r w:rsidRPr="003B4362">
        <w:t>“SM 9221 D (99)” means Method 9221 D, “</w:t>
      </w:r>
      <w:r w:rsidRPr="003B4362">
        <w:rPr>
          <w:szCs w:val="24"/>
        </w:rPr>
        <w:t>Multiple-Tube Fermentation Technique for Members of the Coliform Group</w:t>
      </w:r>
      <w:r w:rsidRPr="003B4362">
        <w:t>”, “</w:t>
      </w:r>
      <w:r w:rsidRPr="003B4362">
        <w:rPr>
          <w:szCs w:val="24"/>
        </w:rPr>
        <w:t>Presence-Absence (P-A) Coliform”</w:t>
      </w:r>
      <w:r w:rsidRPr="003B4362">
        <w:t>, only the version in the 21st edition.  Referenced in Section 611.1052.</w:t>
      </w:r>
    </w:p>
    <w:p w14:paraId="72252425" w14:textId="77777777" w:rsidR="00AD24B5" w:rsidRPr="003B4362" w:rsidRDefault="00AD24B5" w:rsidP="00AD24B5">
      <w:pPr>
        <w:ind w:left="2880"/>
      </w:pPr>
    </w:p>
    <w:p w14:paraId="15E88652" w14:textId="77777777" w:rsidR="00AD24B5" w:rsidRPr="003B4362" w:rsidRDefault="00AD24B5" w:rsidP="00AD24B5">
      <w:pPr>
        <w:ind w:left="2880"/>
      </w:pPr>
      <w:r w:rsidRPr="003B4362">
        <w:t>“SM 9221 D (14)” means Method 9221 D, “</w:t>
      </w:r>
      <w:r w:rsidRPr="003B4362">
        <w:rPr>
          <w:szCs w:val="24"/>
        </w:rPr>
        <w:t>Multiple-Tube Fermentation Technique for Members of the Coliform Group</w:t>
      </w:r>
      <w:r w:rsidRPr="003B4362">
        <w:t>”, “</w:t>
      </w:r>
      <w:r w:rsidRPr="003B4362">
        <w:rPr>
          <w:szCs w:val="24"/>
        </w:rPr>
        <w:t>Presence-Absence (P-A) Coliform”</w:t>
      </w:r>
      <w:r w:rsidRPr="003B4362">
        <w:t>, only the version in the 23rd edition.  Referenced in Section 611.1052.</w:t>
      </w:r>
    </w:p>
    <w:p w14:paraId="1475BA67" w14:textId="77777777" w:rsidR="00AD24B5" w:rsidRPr="003B4362" w:rsidRDefault="00AD24B5" w:rsidP="00AD24B5">
      <w:pPr>
        <w:ind w:left="2880"/>
      </w:pPr>
    </w:p>
    <w:p w14:paraId="037CC741" w14:textId="77777777" w:rsidR="00AD24B5" w:rsidRPr="003B4362" w:rsidRDefault="00AD24B5" w:rsidP="00AD24B5">
      <w:pPr>
        <w:ind w:left="2880"/>
      </w:pPr>
      <w:r w:rsidRPr="003B4362">
        <w:t>“SM 9221 E (93)” means Method 9221 E, “</w:t>
      </w:r>
      <w:r w:rsidRPr="003B4362">
        <w:rPr>
          <w:szCs w:val="24"/>
        </w:rPr>
        <w:t>Multiple-Tube Fermentation Technique for Members of the Coliform Group</w:t>
      </w:r>
      <w:r w:rsidRPr="003B4362">
        <w:t>”, “</w:t>
      </w:r>
      <w:r w:rsidRPr="003B4362">
        <w:rPr>
          <w:szCs w:val="24"/>
        </w:rPr>
        <w:t>Fecal Coliform Procedure</w:t>
      </w:r>
      <w:r w:rsidRPr="003B4362">
        <w:t>”, only the version in the 18th edition.  Referenced in Section 611.531.</w:t>
      </w:r>
    </w:p>
    <w:p w14:paraId="64F4C72D" w14:textId="77777777" w:rsidR="00AD24B5" w:rsidRPr="003B4362" w:rsidRDefault="00AD24B5" w:rsidP="00AD24B5">
      <w:pPr>
        <w:ind w:left="2880"/>
      </w:pPr>
    </w:p>
    <w:p w14:paraId="1D89FCE4" w14:textId="77777777" w:rsidR="00AD24B5" w:rsidRPr="003B4362" w:rsidRDefault="00AD24B5" w:rsidP="00AD24B5">
      <w:pPr>
        <w:ind w:left="2880"/>
      </w:pPr>
      <w:r w:rsidRPr="003B4362">
        <w:t>“SM 9221 E (94)” means Method 9221 E, “</w:t>
      </w:r>
      <w:r w:rsidRPr="003B4362">
        <w:rPr>
          <w:szCs w:val="24"/>
        </w:rPr>
        <w:t>Multiple-Tube Fermentation Technique for Members of the Coliform Group</w:t>
      </w:r>
      <w:r w:rsidRPr="003B4362">
        <w:t>”, “</w:t>
      </w:r>
      <w:r w:rsidRPr="003B4362">
        <w:rPr>
          <w:szCs w:val="24"/>
        </w:rPr>
        <w:t>Fecal Coliform Procedure</w:t>
      </w:r>
      <w:r w:rsidRPr="003B4362">
        <w:t>”, only the version in the 19th and 20th editions.  Referenced in Section 611.531.</w:t>
      </w:r>
    </w:p>
    <w:p w14:paraId="51B76DC0" w14:textId="77777777" w:rsidR="00AD24B5" w:rsidRPr="003B4362" w:rsidRDefault="00AD24B5" w:rsidP="00AD24B5">
      <w:pPr>
        <w:ind w:left="2880"/>
      </w:pPr>
    </w:p>
    <w:p w14:paraId="04FA3E10" w14:textId="77777777" w:rsidR="00AD24B5" w:rsidRPr="003B4362" w:rsidRDefault="00AD24B5" w:rsidP="00AD24B5">
      <w:pPr>
        <w:ind w:left="2880"/>
      </w:pPr>
      <w:r w:rsidRPr="003B4362">
        <w:t>“SM 9221 E (99)” means Method 9221 E, “</w:t>
      </w:r>
      <w:r w:rsidRPr="003B4362">
        <w:rPr>
          <w:szCs w:val="24"/>
        </w:rPr>
        <w:t>Multiple-Tube Fermentation Technique for Members of the Coliform Group</w:t>
      </w:r>
      <w:r w:rsidRPr="003B4362">
        <w:t>”, “</w:t>
      </w:r>
      <w:r w:rsidRPr="003B4362">
        <w:rPr>
          <w:szCs w:val="24"/>
        </w:rPr>
        <w:t>Fecal Coliform Procedure</w:t>
      </w:r>
      <w:r w:rsidRPr="003B4362">
        <w:t>”, only the version in the 21st edition.  Referenced in Section 611.531.</w:t>
      </w:r>
    </w:p>
    <w:p w14:paraId="0F2BA117" w14:textId="77777777" w:rsidR="00AD24B5" w:rsidRPr="003B4362" w:rsidRDefault="00AD24B5" w:rsidP="00AD24B5">
      <w:pPr>
        <w:ind w:left="2880"/>
      </w:pPr>
    </w:p>
    <w:p w14:paraId="17CFA874" w14:textId="77777777" w:rsidR="00AD24B5" w:rsidRPr="003B4362" w:rsidRDefault="00AD24B5" w:rsidP="00AD24B5">
      <w:pPr>
        <w:ind w:left="2880"/>
      </w:pPr>
      <w:r w:rsidRPr="003B4362">
        <w:t>“SM 9221 E (06)” means Method 9221 E, “</w:t>
      </w:r>
      <w:r w:rsidRPr="003B4362">
        <w:rPr>
          <w:szCs w:val="24"/>
        </w:rPr>
        <w:t>Multiple-Tube Fermentation Technique for Members of the Coliform Group</w:t>
      </w:r>
      <w:r w:rsidRPr="003B4362">
        <w:t>”, “</w:t>
      </w:r>
      <w:r w:rsidRPr="003B4362">
        <w:rPr>
          <w:szCs w:val="24"/>
        </w:rPr>
        <w:t>Fecal Coliform Procedure</w:t>
      </w:r>
      <w:r w:rsidRPr="003B4362">
        <w:t>”, only the version in the 22nd edition.  Referenced in Section 611.531.</w:t>
      </w:r>
    </w:p>
    <w:p w14:paraId="147E2D5B" w14:textId="77777777" w:rsidR="00AD24B5" w:rsidRPr="003B4362" w:rsidRDefault="00AD24B5" w:rsidP="00AD24B5">
      <w:pPr>
        <w:ind w:left="2880"/>
      </w:pPr>
    </w:p>
    <w:p w14:paraId="479EACE9" w14:textId="77777777" w:rsidR="00AD24B5" w:rsidRPr="003B4362" w:rsidRDefault="00AD24B5" w:rsidP="00AD24B5">
      <w:pPr>
        <w:ind w:left="2880"/>
      </w:pPr>
      <w:r w:rsidRPr="003B4362">
        <w:t>“SM 9221 E (14)” means Method 9221 E, “</w:t>
      </w:r>
      <w:r w:rsidRPr="003B4362">
        <w:rPr>
          <w:szCs w:val="24"/>
        </w:rPr>
        <w:t>Multiple-Tube Fermentation Technique for Members of the Coliform Group</w:t>
      </w:r>
      <w:r w:rsidRPr="003B4362">
        <w:t>”, “Thermotolerant (</w:t>
      </w:r>
      <w:r w:rsidRPr="003B4362">
        <w:rPr>
          <w:szCs w:val="24"/>
        </w:rPr>
        <w:t>Fecal) Coliform Procedure</w:t>
      </w:r>
      <w:r w:rsidRPr="003B4362">
        <w:t>”, only the version in the 23rd edition.  Referenced in Section 611.531.</w:t>
      </w:r>
    </w:p>
    <w:p w14:paraId="2D5C50F8" w14:textId="77777777" w:rsidR="00AD24B5" w:rsidRPr="003B4362" w:rsidRDefault="00AD24B5" w:rsidP="00AD24B5">
      <w:pPr>
        <w:ind w:left="2880"/>
      </w:pPr>
    </w:p>
    <w:p w14:paraId="499B0A44" w14:textId="77777777" w:rsidR="00AD24B5" w:rsidRPr="003B4362" w:rsidRDefault="00AD24B5" w:rsidP="00AD24B5">
      <w:pPr>
        <w:ind w:left="2880"/>
      </w:pPr>
      <w:r w:rsidRPr="003B4362">
        <w:t xml:space="preserve">“SM 9221 F (94)” means </w:t>
      </w:r>
      <w:bookmarkStart w:id="265" w:name="_Hlk16686609"/>
      <w:r w:rsidRPr="003B4362">
        <w:t xml:space="preserve">Method 9221 F, </w:t>
      </w:r>
      <w:bookmarkEnd w:id="265"/>
      <w:r w:rsidRPr="003B4362">
        <w:t>“</w:t>
      </w:r>
      <w:r w:rsidRPr="003B4362">
        <w:rPr>
          <w:szCs w:val="24"/>
        </w:rPr>
        <w:t>Multiple-Tube Fermentation Technique for Members of the Coliform Group</w:t>
      </w:r>
      <w:r w:rsidRPr="003B4362">
        <w:t>”, “</w:t>
      </w:r>
      <w:r w:rsidRPr="003B4362">
        <w:rPr>
          <w:szCs w:val="24"/>
        </w:rPr>
        <w:t>Escherichia Coli Procedure (Proposed)</w:t>
      </w:r>
      <w:r w:rsidRPr="003B4362">
        <w:t>”, only the version in the 20th edition.  Referenced in Sections 611.802 and 611.1052.</w:t>
      </w:r>
    </w:p>
    <w:p w14:paraId="5BE5BA2D" w14:textId="77777777" w:rsidR="00AD24B5" w:rsidRPr="003B4362" w:rsidRDefault="00AD24B5" w:rsidP="00AD24B5">
      <w:pPr>
        <w:ind w:left="2880"/>
      </w:pPr>
    </w:p>
    <w:p w14:paraId="17244AA2" w14:textId="77777777" w:rsidR="00AD24B5" w:rsidRPr="003B4362" w:rsidRDefault="00AD24B5" w:rsidP="00AD24B5">
      <w:pPr>
        <w:ind w:left="2880"/>
      </w:pPr>
      <w:r w:rsidRPr="003B4362">
        <w:t>“SM 9221 F (06)” means Method 9221 F, “</w:t>
      </w:r>
      <w:r w:rsidRPr="003B4362">
        <w:rPr>
          <w:szCs w:val="24"/>
        </w:rPr>
        <w:t>Multiple-Tube Fermentation Technique for Members of the Coliform Group</w:t>
      </w:r>
      <w:r w:rsidRPr="003B4362">
        <w:t xml:space="preserve">”, </w:t>
      </w:r>
      <w:r w:rsidRPr="003B4362">
        <w:lastRenderedPageBreak/>
        <w:t>“</w:t>
      </w:r>
      <w:r w:rsidRPr="003B4362">
        <w:rPr>
          <w:szCs w:val="24"/>
        </w:rPr>
        <w:t>Escherichia Coli Procedure Using Fluorogenic Substrate</w:t>
      </w:r>
      <w:r w:rsidRPr="003B4362">
        <w:t>”, only the version in the 22nd edition.  Referenced in Sections 611.802 and 611.1052.</w:t>
      </w:r>
    </w:p>
    <w:p w14:paraId="664FED1C" w14:textId="77777777" w:rsidR="00AD24B5" w:rsidRPr="003B4362" w:rsidRDefault="00AD24B5" w:rsidP="00AD24B5">
      <w:pPr>
        <w:ind w:left="2880"/>
      </w:pPr>
    </w:p>
    <w:p w14:paraId="23483738" w14:textId="77777777" w:rsidR="00AD24B5" w:rsidRPr="003B4362" w:rsidRDefault="00AD24B5" w:rsidP="00AD24B5">
      <w:pPr>
        <w:ind w:left="2880"/>
      </w:pPr>
      <w:r w:rsidRPr="003B4362">
        <w:t>“SM 9221 F (14)” means Method 9221 F, “</w:t>
      </w:r>
      <w:r w:rsidRPr="003B4362">
        <w:rPr>
          <w:szCs w:val="24"/>
        </w:rPr>
        <w:t>Multiple-Tube Fermentation Technique for Members of the Coliform Group</w:t>
      </w:r>
      <w:r w:rsidRPr="003B4362">
        <w:t>”, “</w:t>
      </w:r>
      <w:r w:rsidRPr="003B4362">
        <w:rPr>
          <w:szCs w:val="24"/>
        </w:rPr>
        <w:t>Escherichia Coli Procedure Using Fluorogenic Substrate</w:t>
      </w:r>
      <w:r w:rsidRPr="003B4362">
        <w:t>”, only the version in the 23rd edition.  Referenced in Sections 611.802 and 611.1052.</w:t>
      </w:r>
    </w:p>
    <w:p w14:paraId="247B3656" w14:textId="77777777" w:rsidR="00AD24B5" w:rsidRPr="003B4362" w:rsidRDefault="00AD24B5" w:rsidP="00AD24B5">
      <w:pPr>
        <w:widowControl w:val="0"/>
        <w:suppressAutoHyphens/>
        <w:ind w:left="2880"/>
        <w:rPr>
          <w:szCs w:val="22"/>
        </w:rPr>
      </w:pPr>
    </w:p>
    <w:p w14:paraId="25E056AA" w14:textId="77777777" w:rsidR="00AD24B5" w:rsidRPr="003B4362" w:rsidRDefault="00AD24B5" w:rsidP="00AD24B5">
      <w:pPr>
        <w:widowControl w:val="0"/>
        <w:suppressAutoHyphens/>
        <w:ind w:left="2880"/>
        <w:rPr>
          <w:szCs w:val="22"/>
        </w:rPr>
      </w:pPr>
      <w:r w:rsidRPr="003B4362">
        <w:rPr>
          <w:szCs w:val="22"/>
        </w:rPr>
        <w:t>“SM 9222 A (91)” means Method 9222 A, “Membrane Filter Technique for Members of the Coliform Group”, “Introduction”, only the version in the 18th edition.  Referenced in Section 611.531.</w:t>
      </w:r>
    </w:p>
    <w:p w14:paraId="2A696DEF" w14:textId="77777777" w:rsidR="00AD24B5" w:rsidRPr="003B4362" w:rsidRDefault="00AD24B5" w:rsidP="00AD24B5">
      <w:pPr>
        <w:widowControl w:val="0"/>
        <w:suppressAutoHyphens/>
        <w:ind w:left="2880"/>
        <w:rPr>
          <w:szCs w:val="22"/>
        </w:rPr>
      </w:pPr>
    </w:p>
    <w:p w14:paraId="29AB29D1" w14:textId="77777777" w:rsidR="00AD24B5" w:rsidRPr="003B4362" w:rsidRDefault="00AD24B5" w:rsidP="00AD24B5">
      <w:pPr>
        <w:widowControl w:val="0"/>
        <w:suppressAutoHyphens/>
        <w:ind w:left="2880"/>
        <w:rPr>
          <w:szCs w:val="22"/>
        </w:rPr>
      </w:pPr>
      <w:r w:rsidRPr="003B4362">
        <w:rPr>
          <w:szCs w:val="22"/>
        </w:rPr>
        <w:t>“SM 9222 A (94)” means Method 9222 A, “Membrane Filter Technique for Members of the Coliform Group”, “Introduction”, only the version in the 19th edition.  Referenced in Section 611.531.</w:t>
      </w:r>
    </w:p>
    <w:p w14:paraId="266FEF0D" w14:textId="77777777" w:rsidR="00AD24B5" w:rsidRPr="003B4362" w:rsidRDefault="00AD24B5" w:rsidP="00AD24B5">
      <w:pPr>
        <w:widowControl w:val="0"/>
        <w:suppressAutoHyphens/>
        <w:ind w:left="2880"/>
        <w:rPr>
          <w:szCs w:val="22"/>
        </w:rPr>
      </w:pPr>
    </w:p>
    <w:p w14:paraId="2F327B13" w14:textId="77777777" w:rsidR="00AD24B5" w:rsidRPr="003B4362" w:rsidRDefault="00AD24B5" w:rsidP="00AD24B5">
      <w:pPr>
        <w:widowControl w:val="0"/>
        <w:suppressAutoHyphens/>
        <w:ind w:left="2880"/>
        <w:rPr>
          <w:szCs w:val="22"/>
        </w:rPr>
      </w:pPr>
      <w:r w:rsidRPr="003B4362">
        <w:rPr>
          <w:szCs w:val="22"/>
        </w:rPr>
        <w:t>“SM 9222 A (97)” means Method 9222 A, “Membrane Filter Technique for Members of the Coliform Group”, “Introduction”, only the version in the 20th and 21st editions.  Referenced in Section 611.531.</w:t>
      </w:r>
    </w:p>
    <w:p w14:paraId="3EA847F7" w14:textId="77777777" w:rsidR="00AD24B5" w:rsidRPr="003B4362" w:rsidRDefault="00AD24B5" w:rsidP="00AD24B5">
      <w:pPr>
        <w:widowControl w:val="0"/>
        <w:suppressAutoHyphens/>
        <w:ind w:left="2880"/>
        <w:rPr>
          <w:szCs w:val="22"/>
        </w:rPr>
      </w:pPr>
    </w:p>
    <w:p w14:paraId="58DDB42F" w14:textId="77777777" w:rsidR="00AD24B5" w:rsidRPr="003B4362" w:rsidRDefault="00AD24B5" w:rsidP="00AD24B5">
      <w:pPr>
        <w:widowControl w:val="0"/>
        <w:suppressAutoHyphens/>
        <w:ind w:left="2880"/>
        <w:rPr>
          <w:szCs w:val="22"/>
        </w:rPr>
      </w:pPr>
      <w:r w:rsidRPr="003B4362">
        <w:rPr>
          <w:szCs w:val="22"/>
        </w:rPr>
        <w:t>“SM 9222 A (06)” means Method 9222 A, “Membrane Filter Technique for Members of the Coliform Group”, “Introduction”, only the version in the 22nd edition.  Referenced in Section 611.531.</w:t>
      </w:r>
    </w:p>
    <w:p w14:paraId="4C5646AA" w14:textId="77777777" w:rsidR="00AD24B5" w:rsidRPr="003B4362" w:rsidRDefault="00AD24B5" w:rsidP="00AD24B5">
      <w:pPr>
        <w:widowControl w:val="0"/>
        <w:suppressAutoHyphens/>
        <w:ind w:left="2880"/>
        <w:rPr>
          <w:szCs w:val="22"/>
        </w:rPr>
      </w:pPr>
    </w:p>
    <w:p w14:paraId="24E1CE90" w14:textId="77777777" w:rsidR="00AD24B5" w:rsidRPr="003B4362" w:rsidRDefault="00AD24B5" w:rsidP="00AD24B5">
      <w:pPr>
        <w:widowControl w:val="0"/>
        <w:suppressAutoHyphens/>
        <w:ind w:left="2880"/>
        <w:rPr>
          <w:szCs w:val="22"/>
        </w:rPr>
      </w:pPr>
      <w:r w:rsidRPr="003B4362">
        <w:rPr>
          <w:szCs w:val="22"/>
        </w:rPr>
        <w:t>“SM 9222 A (15)” means Method 9222 A, “Membrane Filter Technique for Members of the Coliform Group”, “Introduction”, only the version in the 23rd edition.  Referenced in Section 611.531.</w:t>
      </w:r>
    </w:p>
    <w:p w14:paraId="05BE25E2" w14:textId="77777777" w:rsidR="00AD24B5" w:rsidRPr="003B4362" w:rsidRDefault="00AD24B5" w:rsidP="00AD24B5">
      <w:pPr>
        <w:widowControl w:val="0"/>
        <w:suppressAutoHyphens/>
        <w:ind w:left="2880"/>
        <w:rPr>
          <w:szCs w:val="22"/>
        </w:rPr>
      </w:pPr>
    </w:p>
    <w:p w14:paraId="6AC01216" w14:textId="77777777" w:rsidR="00AD24B5" w:rsidRPr="003B4362" w:rsidRDefault="00AD24B5" w:rsidP="00AD24B5">
      <w:pPr>
        <w:widowControl w:val="0"/>
        <w:suppressAutoHyphens/>
        <w:ind w:left="2880"/>
        <w:rPr>
          <w:szCs w:val="22"/>
        </w:rPr>
      </w:pPr>
      <w:r w:rsidRPr="003B4362">
        <w:rPr>
          <w:szCs w:val="22"/>
        </w:rPr>
        <w:t>“SM 9222 B (91)” means Method 9222 B, “Membrane Filter Technique for Members of the Coliform Group”, “Standard Total Coliform Membrane Filter Procedure”, only the version in the 18th edition.  Referenced in Section 611.531.</w:t>
      </w:r>
    </w:p>
    <w:p w14:paraId="6582BEAA" w14:textId="77777777" w:rsidR="00AD24B5" w:rsidRPr="003B4362" w:rsidRDefault="00AD24B5" w:rsidP="00AD24B5">
      <w:pPr>
        <w:widowControl w:val="0"/>
        <w:suppressAutoHyphens/>
        <w:ind w:left="2880"/>
        <w:rPr>
          <w:szCs w:val="22"/>
        </w:rPr>
      </w:pPr>
    </w:p>
    <w:p w14:paraId="63D97671" w14:textId="77777777" w:rsidR="00AD24B5" w:rsidRPr="003B4362" w:rsidRDefault="00AD24B5" w:rsidP="00AD24B5">
      <w:pPr>
        <w:widowControl w:val="0"/>
        <w:suppressAutoHyphens/>
        <w:ind w:left="2880"/>
        <w:rPr>
          <w:szCs w:val="22"/>
        </w:rPr>
      </w:pPr>
      <w:r w:rsidRPr="003B4362">
        <w:rPr>
          <w:szCs w:val="22"/>
        </w:rPr>
        <w:t>“SM 9222 B (94)” means Method 9222 B, “Membrane Filter Technique for Members of the Coliform Group”, “Standard Total Coliform Membrane Filter Procedure”, only the version in the 19th edition.  Referenced in Section 611.531.</w:t>
      </w:r>
    </w:p>
    <w:p w14:paraId="28A1C277" w14:textId="77777777" w:rsidR="00AD24B5" w:rsidRPr="003B4362" w:rsidRDefault="00AD24B5" w:rsidP="00AD24B5">
      <w:pPr>
        <w:widowControl w:val="0"/>
        <w:suppressAutoHyphens/>
        <w:ind w:left="2880"/>
        <w:rPr>
          <w:szCs w:val="22"/>
        </w:rPr>
      </w:pPr>
    </w:p>
    <w:p w14:paraId="60AE1AE8" w14:textId="77777777" w:rsidR="00AD24B5" w:rsidRPr="003B4362" w:rsidRDefault="00AD24B5" w:rsidP="00AD24B5">
      <w:pPr>
        <w:widowControl w:val="0"/>
        <w:suppressAutoHyphens/>
        <w:ind w:left="2880"/>
        <w:rPr>
          <w:szCs w:val="22"/>
        </w:rPr>
      </w:pPr>
      <w:r w:rsidRPr="003B4362">
        <w:rPr>
          <w:szCs w:val="22"/>
        </w:rPr>
        <w:lastRenderedPageBreak/>
        <w:t>“SM 9222 B (97)” means Method 9222 B, “Membrane Filter Technique for Members of the Coliform Group”, “Standard Total Coliform Membrane Filter Procedure”, only the version in the 20th and 21st editions.  Referenced in Sections 611.531 and 611.1052.</w:t>
      </w:r>
    </w:p>
    <w:p w14:paraId="124B21A8" w14:textId="77777777" w:rsidR="00AD24B5" w:rsidRPr="003B4362" w:rsidRDefault="00AD24B5" w:rsidP="00AD24B5">
      <w:pPr>
        <w:widowControl w:val="0"/>
        <w:suppressAutoHyphens/>
        <w:ind w:left="2880"/>
        <w:rPr>
          <w:szCs w:val="22"/>
        </w:rPr>
      </w:pPr>
    </w:p>
    <w:p w14:paraId="6756E8AB" w14:textId="77777777" w:rsidR="00AD24B5" w:rsidRPr="003B4362" w:rsidRDefault="00AD24B5" w:rsidP="00AD24B5">
      <w:pPr>
        <w:widowControl w:val="0"/>
        <w:suppressAutoHyphens/>
        <w:ind w:left="2880"/>
        <w:rPr>
          <w:szCs w:val="22"/>
        </w:rPr>
      </w:pPr>
      <w:r w:rsidRPr="003B4362">
        <w:rPr>
          <w:szCs w:val="22"/>
        </w:rPr>
        <w:t>“SM 9222 B (15)” means Method 9222 B, “Membrane Filter Technique for Members of the Coliform Group”, “Standard Total Coliform Membrane Filter Procedure using Endo Media”, only the version in the 23rd edition.  Referenced in Sections 611.531 and 611.1052.</w:t>
      </w:r>
    </w:p>
    <w:p w14:paraId="0C28E2A2" w14:textId="77777777" w:rsidR="00AD24B5" w:rsidRPr="003B4362" w:rsidRDefault="00AD24B5" w:rsidP="00AD24B5">
      <w:pPr>
        <w:widowControl w:val="0"/>
        <w:suppressAutoHyphens/>
        <w:ind w:left="2880"/>
        <w:rPr>
          <w:szCs w:val="22"/>
        </w:rPr>
      </w:pPr>
    </w:p>
    <w:p w14:paraId="178B13A8" w14:textId="77777777" w:rsidR="00AD24B5" w:rsidRPr="003B4362" w:rsidRDefault="00AD24B5" w:rsidP="00AD24B5">
      <w:pPr>
        <w:widowControl w:val="0"/>
        <w:suppressAutoHyphens/>
        <w:ind w:left="2880"/>
        <w:rPr>
          <w:szCs w:val="22"/>
        </w:rPr>
      </w:pPr>
      <w:r w:rsidRPr="003B4362">
        <w:rPr>
          <w:szCs w:val="22"/>
        </w:rPr>
        <w:t xml:space="preserve">“SM 9222 C (91)” means </w:t>
      </w:r>
      <w:bookmarkStart w:id="266" w:name="_Hlk16686708"/>
      <w:r w:rsidRPr="003B4362">
        <w:rPr>
          <w:szCs w:val="22"/>
        </w:rPr>
        <w:t xml:space="preserve">Method 9222 C, </w:t>
      </w:r>
      <w:bookmarkEnd w:id="266"/>
      <w:r w:rsidRPr="003B4362">
        <w:rPr>
          <w:szCs w:val="22"/>
        </w:rPr>
        <w:t>“Membrane Filter Technique for Members of the Coliform Group”, “Delayed-Incubation Total Coliform Procedure”, only the version in the 18th edition.  Referenced in Section 611.531.</w:t>
      </w:r>
    </w:p>
    <w:p w14:paraId="4D7DCD5A" w14:textId="77777777" w:rsidR="00AD24B5" w:rsidRPr="003B4362" w:rsidRDefault="00AD24B5" w:rsidP="00AD24B5">
      <w:pPr>
        <w:widowControl w:val="0"/>
        <w:suppressAutoHyphens/>
        <w:ind w:left="2880"/>
        <w:rPr>
          <w:szCs w:val="22"/>
        </w:rPr>
      </w:pPr>
    </w:p>
    <w:p w14:paraId="6E3BCDCF" w14:textId="77777777" w:rsidR="00AD24B5" w:rsidRPr="003B4362" w:rsidRDefault="00AD24B5" w:rsidP="00AD24B5">
      <w:pPr>
        <w:widowControl w:val="0"/>
        <w:suppressAutoHyphens/>
        <w:ind w:left="2880"/>
        <w:rPr>
          <w:szCs w:val="22"/>
        </w:rPr>
      </w:pPr>
      <w:r w:rsidRPr="003B4362">
        <w:rPr>
          <w:szCs w:val="22"/>
        </w:rPr>
        <w:t>“SM 9222 C (94)” means Method 9222 C, “Membrane Filter Technique for Members of the Coliform Group”, “Delayed-Incubation Total Coliform Procedure”, only the version in the 19th edition.  Referenced in Section 611.531.</w:t>
      </w:r>
    </w:p>
    <w:p w14:paraId="07536F6B" w14:textId="77777777" w:rsidR="00AD24B5" w:rsidRPr="003B4362" w:rsidRDefault="00AD24B5" w:rsidP="00AD24B5">
      <w:pPr>
        <w:widowControl w:val="0"/>
        <w:suppressAutoHyphens/>
        <w:ind w:left="2880"/>
        <w:rPr>
          <w:szCs w:val="22"/>
        </w:rPr>
      </w:pPr>
    </w:p>
    <w:p w14:paraId="26E62108" w14:textId="77777777" w:rsidR="00AD24B5" w:rsidRPr="003B4362" w:rsidRDefault="00AD24B5" w:rsidP="00AD24B5">
      <w:pPr>
        <w:widowControl w:val="0"/>
        <w:suppressAutoHyphens/>
        <w:ind w:left="2880"/>
        <w:rPr>
          <w:szCs w:val="22"/>
        </w:rPr>
      </w:pPr>
      <w:r w:rsidRPr="003B4362">
        <w:rPr>
          <w:szCs w:val="22"/>
        </w:rPr>
        <w:t>“SM 9222 C (97)” means Method 9222 C, “Membrane Filter Technique for Members of the Coliform Group”, “Delayed-Incubation Total Coliform Procedure”, only the version in the 20th and 21st editions.  Referenced in Sections 611.531 and 611.1052.</w:t>
      </w:r>
    </w:p>
    <w:p w14:paraId="658DFC7B" w14:textId="77777777" w:rsidR="00AD24B5" w:rsidRPr="003B4362" w:rsidRDefault="00AD24B5" w:rsidP="00AD24B5">
      <w:pPr>
        <w:widowControl w:val="0"/>
        <w:suppressAutoHyphens/>
        <w:ind w:left="2880"/>
        <w:rPr>
          <w:szCs w:val="22"/>
        </w:rPr>
      </w:pPr>
    </w:p>
    <w:p w14:paraId="131BECF4" w14:textId="77777777" w:rsidR="00AD24B5" w:rsidRPr="003B4362" w:rsidRDefault="00AD24B5" w:rsidP="00AD24B5">
      <w:pPr>
        <w:widowControl w:val="0"/>
        <w:suppressAutoHyphens/>
        <w:ind w:left="2880"/>
        <w:rPr>
          <w:szCs w:val="22"/>
        </w:rPr>
      </w:pPr>
      <w:r w:rsidRPr="003B4362">
        <w:rPr>
          <w:szCs w:val="22"/>
        </w:rPr>
        <w:t>“SM 9222 C (15)” means Method 9222 C, “Membrane Filter Technique for Members of the Coliform Group”, “Delayed-Incubation Total Coliform Procedure”, only the version in the 23rd edition.  Referenced in Sections 611.531 and 611.1052.</w:t>
      </w:r>
    </w:p>
    <w:p w14:paraId="315E0031" w14:textId="77777777" w:rsidR="00AD24B5" w:rsidRPr="003B4362" w:rsidRDefault="00AD24B5" w:rsidP="00AD24B5">
      <w:pPr>
        <w:widowControl w:val="0"/>
        <w:suppressAutoHyphens/>
        <w:ind w:left="2880"/>
        <w:rPr>
          <w:szCs w:val="22"/>
        </w:rPr>
      </w:pPr>
    </w:p>
    <w:p w14:paraId="7E3A3070" w14:textId="77777777" w:rsidR="00AD24B5" w:rsidRPr="003B4362" w:rsidRDefault="00AD24B5" w:rsidP="00AD24B5">
      <w:pPr>
        <w:widowControl w:val="0"/>
        <w:suppressAutoHyphens/>
        <w:ind w:left="2880"/>
        <w:rPr>
          <w:szCs w:val="22"/>
        </w:rPr>
      </w:pPr>
      <w:r w:rsidRPr="003B4362">
        <w:rPr>
          <w:szCs w:val="22"/>
        </w:rPr>
        <w:t>“SM 9222 D (91)” means Method 9222 D, “Membrane Filter Technique for Members of the Coliform Group”, “Fecal Coliform Membrane Filter Procedure”, only the version in the 18th edition.  Referenced in Section 611.531.</w:t>
      </w:r>
    </w:p>
    <w:p w14:paraId="19613452" w14:textId="77777777" w:rsidR="00AD24B5" w:rsidRPr="003B4362" w:rsidRDefault="00AD24B5" w:rsidP="00AD24B5">
      <w:pPr>
        <w:widowControl w:val="0"/>
        <w:suppressAutoHyphens/>
        <w:ind w:left="2880"/>
        <w:rPr>
          <w:szCs w:val="22"/>
        </w:rPr>
      </w:pPr>
    </w:p>
    <w:p w14:paraId="4120FC8A" w14:textId="77777777" w:rsidR="00AD24B5" w:rsidRPr="003B4362" w:rsidRDefault="00AD24B5" w:rsidP="00AD24B5">
      <w:pPr>
        <w:widowControl w:val="0"/>
        <w:suppressAutoHyphens/>
        <w:ind w:left="2880"/>
        <w:rPr>
          <w:szCs w:val="22"/>
        </w:rPr>
      </w:pPr>
      <w:r w:rsidRPr="003B4362">
        <w:rPr>
          <w:szCs w:val="22"/>
        </w:rPr>
        <w:t>“SM 9222 D (94)” means Method 9222 D, “Membrane Filter Technique for Members of the Coliform Group”, “Fecal Coliform Membrane Filter Procedure”, only the version in the 19th edition.  Referenced in Section 611.531.</w:t>
      </w:r>
    </w:p>
    <w:p w14:paraId="2985104D" w14:textId="77777777" w:rsidR="00AD24B5" w:rsidRPr="003B4362" w:rsidRDefault="00AD24B5" w:rsidP="00AD24B5">
      <w:pPr>
        <w:widowControl w:val="0"/>
        <w:suppressAutoHyphens/>
        <w:ind w:left="2880"/>
        <w:rPr>
          <w:szCs w:val="22"/>
        </w:rPr>
      </w:pPr>
    </w:p>
    <w:p w14:paraId="70CF2F77" w14:textId="77777777" w:rsidR="00AD24B5" w:rsidRPr="003B4362" w:rsidRDefault="00AD24B5" w:rsidP="00AD24B5">
      <w:pPr>
        <w:widowControl w:val="0"/>
        <w:suppressAutoHyphens/>
        <w:ind w:left="2880"/>
        <w:rPr>
          <w:szCs w:val="22"/>
        </w:rPr>
      </w:pPr>
      <w:r w:rsidRPr="003B4362">
        <w:rPr>
          <w:szCs w:val="22"/>
        </w:rPr>
        <w:t>“SM 9222 D (97)” means Method 9222 D, “Membrane Filter Technique for Members of the Coliform Group”, “Fecal Coliform Membrane Filter Procedure”, only the version in the 20th and 21st editions.  Referenced in Sections 611.531 and 611.1004.</w:t>
      </w:r>
    </w:p>
    <w:p w14:paraId="575CCBBC" w14:textId="77777777" w:rsidR="00AD24B5" w:rsidRPr="003B4362" w:rsidRDefault="00AD24B5" w:rsidP="00AD24B5">
      <w:pPr>
        <w:widowControl w:val="0"/>
        <w:suppressAutoHyphens/>
        <w:ind w:left="2880"/>
        <w:rPr>
          <w:szCs w:val="22"/>
        </w:rPr>
      </w:pPr>
    </w:p>
    <w:p w14:paraId="1E00CD88" w14:textId="77777777" w:rsidR="00AD24B5" w:rsidRPr="003B4362" w:rsidRDefault="00AD24B5" w:rsidP="00AD24B5">
      <w:pPr>
        <w:widowControl w:val="0"/>
        <w:suppressAutoHyphens/>
        <w:ind w:left="2880"/>
        <w:rPr>
          <w:szCs w:val="22"/>
        </w:rPr>
      </w:pPr>
      <w:r w:rsidRPr="003B4362">
        <w:rPr>
          <w:szCs w:val="22"/>
        </w:rPr>
        <w:t>“SM 9222 D (06)” means Method 9222 D, “Membrane Filter Technique for Members of the Coliform Group”, “Thermotolerant (Fecal) Coliform Membrane Filter Procedure”, only the version in the 22nd edition.  Referenced in Section 611.531.</w:t>
      </w:r>
    </w:p>
    <w:p w14:paraId="1FD992E8" w14:textId="77777777" w:rsidR="00AD24B5" w:rsidRPr="003B4362" w:rsidRDefault="00AD24B5" w:rsidP="00AD24B5">
      <w:pPr>
        <w:widowControl w:val="0"/>
        <w:suppressAutoHyphens/>
        <w:ind w:left="2880"/>
        <w:rPr>
          <w:szCs w:val="22"/>
        </w:rPr>
      </w:pPr>
    </w:p>
    <w:p w14:paraId="78E5801B" w14:textId="77777777" w:rsidR="00AD24B5" w:rsidRPr="003B4362" w:rsidRDefault="00AD24B5" w:rsidP="00AD24B5">
      <w:pPr>
        <w:widowControl w:val="0"/>
        <w:suppressAutoHyphens/>
        <w:ind w:left="2880"/>
        <w:rPr>
          <w:szCs w:val="22"/>
        </w:rPr>
      </w:pPr>
      <w:r w:rsidRPr="003B4362">
        <w:rPr>
          <w:szCs w:val="22"/>
        </w:rPr>
        <w:t>“SM 9222 D (15)” means Method 9222 D, “Membrane Filter Technique for Members of the Coliform Group”, “Thermotolerant (Fecal) Coliform Membrane Filter Procedure”, only the version in the 23rd edition.  Referenced in Section 611.531.</w:t>
      </w:r>
    </w:p>
    <w:p w14:paraId="177083FF" w14:textId="77777777" w:rsidR="00AD24B5" w:rsidRPr="003B4362" w:rsidRDefault="00AD24B5" w:rsidP="00AD24B5">
      <w:pPr>
        <w:widowControl w:val="0"/>
        <w:suppressAutoHyphens/>
        <w:ind w:left="2880"/>
        <w:rPr>
          <w:szCs w:val="22"/>
        </w:rPr>
      </w:pPr>
    </w:p>
    <w:p w14:paraId="52848E99" w14:textId="77777777" w:rsidR="00AD24B5" w:rsidRPr="003B4362" w:rsidRDefault="00AD24B5" w:rsidP="00AD24B5">
      <w:pPr>
        <w:widowControl w:val="0"/>
        <w:suppressAutoHyphens/>
        <w:ind w:left="2880"/>
        <w:rPr>
          <w:szCs w:val="24"/>
        </w:rPr>
      </w:pPr>
      <w:r w:rsidRPr="003B4362">
        <w:rPr>
          <w:szCs w:val="22"/>
        </w:rPr>
        <w:t>“SM 9222 G (97)” means Method 9222 G, “Membrane Filter Technique for Members of the Coliform Group”, “MF Partition Procedure”, only the version in the 20th and 21st editions.  Referenced in Sections 611.802, 611.1004, and 611.1052.</w:t>
      </w:r>
    </w:p>
    <w:p w14:paraId="425F6FEE" w14:textId="77777777" w:rsidR="00AD24B5" w:rsidRPr="003B4362" w:rsidRDefault="00AD24B5" w:rsidP="00AD24B5">
      <w:pPr>
        <w:widowControl w:val="0"/>
        <w:suppressAutoHyphens/>
        <w:ind w:left="2880"/>
        <w:rPr>
          <w:szCs w:val="22"/>
        </w:rPr>
      </w:pPr>
    </w:p>
    <w:p w14:paraId="6255C9F6" w14:textId="77777777" w:rsidR="00AD24B5" w:rsidRPr="003B4362" w:rsidRDefault="00AD24B5" w:rsidP="00AD24B5">
      <w:pPr>
        <w:widowControl w:val="0"/>
        <w:suppressAutoHyphens/>
        <w:ind w:left="2880"/>
        <w:rPr>
          <w:szCs w:val="22"/>
        </w:rPr>
      </w:pPr>
      <w:r w:rsidRPr="003B4362">
        <w:rPr>
          <w:szCs w:val="22"/>
        </w:rPr>
        <w:t>“SM 9222 H (15)” means Method 9222 H, “Membrane Filter Technique for Members of the Coliform Group”, “</w:t>
      </w:r>
      <w:r w:rsidRPr="003B4362">
        <w:rPr>
          <w:szCs w:val="24"/>
        </w:rPr>
        <w:t>Partitioning E. coli from MF Total Coliform and E. coli using EC-MUG Broth</w:t>
      </w:r>
      <w:r w:rsidRPr="003B4362">
        <w:rPr>
          <w:szCs w:val="22"/>
        </w:rPr>
        <w:t>”, only the version in the 23rd edition.  Referenced in Section 611.1052.</w:t>
      </w:r>
    </w:p>
    <w:p w14:paraId="1031CDAB" w14:textId="77777777" w:rsidR="00AD24B5" w:rsidRPr="003B4362" w:rsidRDefault="00AD24B5" w:rsidP="00AD24B5">
      <w:pPr>
        <w:widowControl w:val="0"/>
        <w:suppressAutoHyphens/>
        <w:ind w:left="2880"/>
        <w:rPr>
          <w:szCs w:val="22"/>
        </w:rPr>
      </w:pPr>
    </w:p>
    <w:p w14:paraId="61ABD0CB" w14:textId="77777777" w:rsidR="00AD24B5" w:rsidRPr="003B4362" w:rsidRDefault="00AD24B5" w:rsidP="00AD24B5">
      <w:pPr>
        <w:widowControl w:val="0"/>
        <w:suppressAutoHyphens/>
        <w:ind w:left="2880"/>
        <w:rPr>
          <w:szCs w:val="22"/>
        </w:rPr>
      </w:pPr>
      <w:r w:rsidRPr="003B4362">
        <w:rPr>
          <w:szCs w:val="22"/>
        </w:rPr>
        <w:t>“SM 9222 I (15)” means Method 9222 I, “Membrane Filter Technique for Members of the Coliform Group”, “</w:t>
      </w:r>
      <w:r w:rsidRPr="003B4362">
        <w:rPr>
          <w:szCs w:val="24"/>
        </w:rPr>
        <w:t>Partitioning E. coli from MF Total Coliform and E. coli using NA-MUG Agar</w:t>
      </w:r>
      <w:r w:rsidRPr="003B4362">
        <w:rPr>
          <w:szCs w:val="22"/>
        </w:rPr>
        <w:t>”, only the version in the 23rd edition.  Referenced in Sections 611.802 and 611.1052.</w:t>
      </w:r>
    </w:p>
    <w:p w14:paraId="1775D404" w14:textId="77777777" w:rsidR="00AD24B5" w:rsidRPr="003B4362" w:rsidRDefault="00AD24B5" w:rsidP="00AD24B5">
      <w:pPr>
        <w:widowControl w:val="0"/>
        <w:suppressAutoHyphens/>
        <w:ind w:left="2880"/>
        <w:rPr>
          <w:szCs w:val="22"/>
        </w:rPr>
      </w:pPr>
    </w:p>
    <w:p w14:paraId="1E534FE2" w14:textId="77777777" w:rsidR="00AD24B5" w:rsidRPr="003B4362" w:rsidRDefault="00AD24B5" w:rsidP="00AD24B5">
      <w:pPr>
        <w:widowControl w:val="0"/>
        <w:suppressAutoHyphens/>
        <w:ind w:left="2880"/>
        <w:rPr>
          <w:szCs w:val="22"/>
        </w:rPr>
      </w:pPr>
      <w:r w:rsidRPr="003B4362">
        <w:rPr>
          <w:szCs w:val="22"/>
        </w:rPr>
        <w:t>“SM 9222 J (15)” means Method 9222 J, “Membrane Filter Technique for Members of the Coliform Group”, “</w:t>
      </w:r>
      <w:r w:rsidRPr="003B4362">
        <w:rPr>
          <w:szCs w:val="24"/>
        </w:rPr>
        <w:t>Simultaneous Detection of Total Coliform and E. coli by Dual-Chromogen Membrane Filter Procedure</w:t>
      </w:r>
      <w:r w:rsidRPr="003B4362">
        <w:rPr>
          <w:szCs w:val="22"/>
        </w:rPr>
        <w:t>”, only the version in the 23rd edition.  Referenced in Sections 611.802 and 611.1052.</w:t>
      </w:r>
    </w:p>
    <w:p w14:paraId="7D2C4DF1" w14:textId="77777777" w:rsidR="00AD24B5" w:rsidRPr="003B4362" w:rsidRDefault="00AD24B5" w:rsidP="00AD24B5">
      <w:pPr>
        <w:widowControl w:val="0"/>
        <w:suppressAutoHyphens/>
        <w:ind w:left="2880"/>
        <w:rPr>
          <w:szCs w:val="22"/>
        </w:rPr>
      </w:pPr>
    </w:p>
    <w:p w14:paraId="27B70346" w14:textId="77777777" w:rsidR="00AD24B5" w:rsidRPr="003B4362" w:rsidRDefault="00AD24B5" w:rsidP="00AD24B5">
      <w:pPr>
        <w:widowControl w:val="0"/>
        <w:suppressAutoHyphens/>
        <w:ind w:left="2880"/>
        <w:rPr>
          <w:szCs w:val="22"/>
        </w:rPr>
      </w:pPr>
      <w:r w:rsidRPr="003B4362">
        <w:rPr>
          <w:szCs w:val="22"/>
        </w:rPr>
        <w:t>“SM 9223 (92)” means Method 9223, “Chromogenic Substrate Coliform Test (Proposed)” (also referred to as the variations “Colilert</w:t>
      </w:r>
      <w:r w:rsidRPr="003B4362">
        <w:rPr>
          <w:szCs w:val="22"/>
          <w:vertAlign w:val="superscript"/>
        </w:rPr>
        <w:t>®</w:t>
      </w:r>
      <w:r w:rsidRPr="003B4362">
        <w:rPr>
          <w:szCs w:val="22"/>
        </w:rPr>
        <w:t>” and “Colisure™” depending on the medium used), only the version in the 18th edition.  Referenced in Section 611.531.</w:t>
      </w:r>
    </w:p>
    <w:p w14:paraId="33055D7C" w14:textId="77777777" w:rsidR="00AD24B5" w:rsidRPr="003B4362" w:rsidRDefault="00AD24B5" w:rsidP="00AD24B5">
      <w:pPr>
        <w:widowControl w:val="0"/>
        <w:suppressAutoHyphens/>
        <w:ind w:left="2880"/>
        <w:rPr>
          <w:szCs w:val="22"/>
        </w:rPr>
      </w:pPr>
    </w:p>
    <w:p w14:paraId="6FE03BB4" w14:textId="77777777" w:rsidR="00AD24B5" w:rsidRPr="003B4362" w:rsidRDefault="00AD24B5" w:rsidP="00AD24B5">
      <w:pPr>
        <w:widowControl w:val="0"/>
        <w:suppressAutoHyphens/>
        <w:ind w:left="2880"/>
        <w:rPr>
          <w:szCs w:val="22"/>
        </w:rPr>
      </w:pPr>
      <w:r w:rsidRPr="003B4362">
        <w:rPr>
          <w:szCs w:val="22"/>
        </w:rPr>
        <w:t>“SM 9223 (94)” means Method 9223, “Chromogenic Substrate Coliform” (also referred to as the variations “Colilert</w:t>
      </w:r>
      <w:r w:rsidRPr="003B4362">
        <w:rPr>
          <w:szCs w:val="22"/>
          <w:vertAlign w:val="superscript"/>
        </w:rPr>
        <w:t>®</w:t>
      </w:r>
      <w:r w:rsidRPr="003B4362">
        <w:rPr>
          <w:szCs w:val="22"/>
        </w:rPr>
        <w:t>” and “Colisure™” depending on the medium used), only the version in the 19th edition.  Referenced in Section 611.531.</w:t>
      </w:r>
    </w:p>
    <w:p w14:paraId="085F6A8B" w14:textId="77777777" w:rsidR="00AD24B5" w:rsidRPr="003B4362" w:rsidRDefault="00AD24B5" w:rsidP="00AD24B5">
      <w:pPr>
        <w:widowControl w:val="0"/>
        <w:suppressAutoHyphens/>
        <w:ind w:left="2880"/>
        <w:rPr>
          <w:szCs w:val="22"/>
        </w:rPr>
      </w:pPr>
    </w:p>
    <w:p w14:paraId="4F871D9A" w14:textId="77777777" w:rsidR="00AD24B5" w:rsidRPr="003B4362" w:rsidRDefault="00AD24B5" w:rsidP="00AD24B5">
      <w:pPr>
        <w:widowControl w:val="0"/>
        <w:suppressAutoHyphens/>
        <w:ind w:left="2880"/>
        <w:rPr>
          <w:szCs w:val="22"/>
        </w:rPr>
      </w:pPr>
      <w:r w:rsidRPr="003B4362">
        <w:rPr>
          <w:szCs w:val="22"/>
        </w:rPr>
        <w:lastRenderedPageBreak/>
        <w:t>“SM 9223 (97)” means Method 9223, “Enzyme Substrate Coliform” (also referred to as the variations “Colilert</w:t>
      </w:r>
      <w:r w:rsidRPr="003B4362">
        <w:rPr>
          <w:szCs w:val="22"/>
          <w:vertAlign w:val="superscript"/>
        </w:rPr>
        <w:t>®</w:t>
      </w:r>
      <w:r w:rsidRPr="003B4362">
        <w:rPr>
          <w:szCs w:val="22"/>
        </w:rPr>
        <w:t>” and “Colisure™” depending on the medium used), only the version in the 20th and 21st editions.  Referenced in Sections 611.531.</w:t>
      </w:r>
    </w:p>
    <w:p w14:paraId="0D878540" w14:textId="77777777" w:rsidR="00AD24B5" w:rsidRPr="003B4362" w:rsidRDefault="00AD24B5" w:rsidP="00AD24B5">
      <w:pPr>
        <w:widowControl w:val="0"/>
        <w:suppressAutoHyphens/>
        <w:ind w:left="2880"/>
        <w:rPr>
          <w:szCs w:val="22"/>
        </w:rPr>
      </w:pPr>
    </w:p>
    <w:p w14:paraId="230F95BC" w14:textId="77777777" w:rsidR="00AD24B5" w:rsidRPr="003B4362" w:rsidRDefault="00AD24B5" w:rsidP="00AD24B5">
      <w:pPr>
        <w:widowControl w:val="0"/>
        <w:suppressAutoHyphens/>
        <w:ind w:left="2880"/>
        <w:rPr>
          <w:szCs w:val="22"/>
        </w:rPr>
      </w:pPr>
      <w:r w:rsidRPr="003B4362">
        <w:rPr>
          <w:szCs w:val="22"/>
        </w:rPr>
        <w:t xml:space="preserve">“SM 9223 B (92)” means </w:t>
      </w:r>
      <w:bookmarkStart w:id="267" w:name="_Hlk16686914"/>
      <w:r w:rsidRPr="003B4362">
        <w:rPr>
          <w:szCs w:val="22"/>
        </w:rPr>
        <w:t xml:space="preserve">Method 9223 B, </w:t>
      </w:r>
      <w:bookmarkEnd w:id="267"/>
      <w:r w:rsidRPr="003B4362">
        <w:rPr>
          <w:szCs w:val="22"/>
        </w:rPr>
        <w:t>“Chromogenic Substrate Coliform Test (Proposed)”</w:t>
      </w:r>
      <w:r w:rsidRPr="003B4362">
        <w:rPr>
          <w:szCs w:val="24"/>
        </w:rPr>
        <w:t>, “Chromogenic Substrate”</w:t>
      </w:r>
      <w:r w:rsidRPr="003B4362">
        <w:rPr>
          <w:szCs w:val="22"/>
        </w:rPr>
        <w:t xml:space="preserve"> (also referred to as the variations “Colilert</w:t>
      </w:r>
      <w:r w:rsidRPr="003B4362">
        <w:rPr>
          <w:szCs w:val="22"/>
          <w:vertAlign w:val="superscript"/>
        </w:rPr>
        <w:t>®</w:t>
      </w:r>
      <w:r w:rsidRPr="003B4362">
        <w:rPr>
          <w:szCs w:val="22"/>
        </w:rPr>
        <w:t>”, “Colisure™”, and</w:t>
      </w:r>
      <w:r w:rsidRPr="003B4362">
        <w:rPr>
          <w:szCs w:val="24"/>
        </w:rPr>
        <w:t xml:space="preserve"> “Colilert-18</w:t>
      </w:r>
      <w:r w:rsidRPr="003B4362">
        <w:rPr>
          <w:szCs w:val="24"/>
          <w:vertAlign w:val="superscript"/>
        </w:rPr>
        <w:t>®</w:t>
      </w:r>
      <w:r w:rsidRPr="003B4362">
        <w:rPr>
          <w:szCs w:val="24"/>
        </w:rPr>
        <w:t>”</w:t>
      </w:r>
      <w:r w:rsidRPr="003B4362">
        <w:rPr>
          <w:szCs w:val="22"/>
        </w:rPr>
        <w:t xml:space="preserve"> depending on the medium used), only the version in the 18th edition.  Referenced in Section 611.1004.</w:t>
      </w:r>
    </w:p>
    <w:p w14:paraId="27F00A97" w14:textId="77777777" w:rsidR="00AD24B5" w:rsidRPr="003B4362" w:rsidRDefault="00AD24B5" w:rsidP="00AD24B5">
      <w:pPr>
        <w:widowControl w:val="0"/>
        <w:suppressAutoHyphens/>
        <w:ind w:left="2880"/>
        <w:rPr>
          <w:szCs w:val="22"/>
        </w:rPr>
      </w:pPr>
    </w:p>
    <w:p w14:paraId="3ED30CA9" w14:textId="77777777" w:rsidR="00AD24B5" w:rsidRPr="003B4362" w:rsidRDefault="00AD24B5" w:rsidP="00AD24B5">
      <w:pPr>
        <w:widowControl w:val="0"/>
        <w:suppressAutoHyphens/>
        <w:ind w:left="2880"/>
        <w:rPr>
          <w:szCs w:val="22"/>
        </w:rPr>
      </w:pPr>
      <w:r w:rsidRPr="003B4362">
        <w:rPr>
          <w:szCs w:val="22"/>
        </w:rPr>
        <w:t>“SM 9223 B (94)” means Method 9223 B, “Chromogenic Substrate Coliform”</w:t>
      </w:r>
      <w:r w:rsidRPr="003B4362">
        <w:rPr>
          <w:szCs w:val="24"/>
        </w:rPr>
        <w:t>, “Chromogenic Substrate”</w:t>
      </w:r>
      <w:r w:rsidRPr="003B4362">
        <w:rPr>
          <w:szCs w:val="22"/>
        </w:rPr>
        <w:t xml:space="preserve"> (also referred to as the variations “Colilert</w:t>
      </w:r>
      <w:r w:rsidRPr="003B4362">
        <w:rPr>
          <w:szCs w:val="22"/>
          <w:vertAlign w:val="superscript"/>
        </w:rPr>
        <w:t>®</w:t>
      </w:r>
      <w:r w:rsidRPr="003B4362">
        <w:rPr>
          <w:szCs w:val="22"/>
        </w:rPr>
        <w:t>” and “Colisure™” depending on the medium used), only the version in the 19th edition.  Referenced in Section 611.1004.</w:t>
      </w:r>
    </w:p>
    <w:p w14:paraId="41998603" w14:textId="77777777" w:rsidR="00AD24B5" w:rsidRPr="003B4362" w:rsidRDefault="00AD24B5" w:rsidP="00AD24B5">
      <w:pPr>
        <w:widowControl w:val="0"/>
        <w:suppressAutoHyphens/>
        <w:ind w:left="2880"/>
        <w:rPr>
          <w:szCs w:val="22"/>
        </w:rPr>
      </w:pPr>
    </w:p>
    <w:p w14:paraId="39B6FA08" w14:textId="77777777" w:rsidR="00AD24B5" w:rsidRPr="003B4362" w:rsidRDefault="00AD24B5" w:rsidP="00AD24B5">
      <w:pPr>
        <w:widowControl w:val="0"/>
        <w:suppressAutoHyphens/>
        <w:ind w:left="2880"/>
        <w:rPr>
          <w:szCs w:val="22"/>
        </w:rPr>
      </w:pPr>
      <w:r w:rsidRPr="003B4362">
        <w:rPr>
          <w:szCs w:val="22"/>
        </w:rPr>
        <w:t>“SM 9223 B (97)” means Method 9223 B, “Enzyme Substrate Coliform”</w:t>
      </w:r>
      <w:r w:rsidRPr="003B4362">
        <w:rPr>
          <w:szCs w:val="24"/>
        </w:rPr>
        <w:t>, “Chromogenic Substrate”</w:t>
      </w:r>
      <w:r w:rsidRPr="003B4362">
        <w:rPr>
          <w:szCs w:val="22"/>
        </w:rPr>
        <w:t xml:space="preserve"> (also referred to as the variations “Colilert</w:t>
      </w:r>
      <w:r w:rsidRPr="003B4362">
        <w:rPr>
          <w:szCs w:val="22"/>
          <w:vertAlign w:val="superscript"/>
        </w:rPr>
        <w:t>®</w:t>
      </w:r>
      <w:r w:rsidRPr="003B4362">
        <w:rPr>
          <w:szCs w:val="22"/>
        </w:rPr>
        <w:t>” and “Colisure™” depending on the medium used), only the version in the 20th and 21st editions.  Referenced in Sections 611.802 and 611.1004.</w:t>
      </w:r>
    </w:p>
    <w:p w14:paraId="3BA2CFAF" w14:textId="77777777" w:rsidR="00AD24B5" w:rsidRPr="003B4362" w:rsidRDefault="00AD24B5" w:rsidP="00AD24B5">
      <w:pPr>
        <w:widowControl w:val="0"/>
        <w:suppressAutoHyphens/>
        <w:ind w:left="2880"/>
        <w:rPr>
          <w:szCs w:val="22"/>
        </w:rPr>
      </w:pPr>
    </w:p>
    <w:p w14:paraId="7006510D" w14:textId="77777777" w:rsidR="00AD24B5" w:rsidRPr="003B4362" w:rsidRDefault="00AD24B5" w:rsidP="00AD24B5">
      <w:pPr>
        <w:widowControl w:val="0"/>
        <w:suppressAutoHyphens/>
        <w:ind w:left="2880"/>
        <w:rPr>
          <w:szCs w:val="22"/>
        </w:rPr>
      </w:pPr>
      <w:r w:rsidRPr="003B4362">
        <w:rPr>
          <w:szCs w:val="22"/>
        </w:rPr>
        <w:t>“SM 9223 B (04)” means Method 9223 B, “Enzyme Substrate Coliform”</w:t>
      </w:r>
      <w:r w:rsidRPr="003B4362">
        <w:rPr>
          <w:szCs w:val="24"/>
        </w:rPr>
        <w:t>, “Enzyme Substrate”</w:t>
      </w:r>
      <w:r w:rsidRPr="003B4362">
        <w:rPr>
          <w:szCs w:val="22"/>
        </w:rPr>
        <w:t xml:space="preserve"> (also referred to as the variations “Colilert</w:t>
      </w:r>
      <w:r w:rsidRPr="003B4362">
        <w:rPr>
          <w:szCs w:val="22"/>
          <w:vertAlign w:val="superscript"/>
        </w:rPr>
        <w:t>®</w:t>
      </w:r>
      <w:r w:rsidRPr="003B4362">
        <w:rPr>
          <w:szCs w:val="22"/>
        </w:rPr>
        <w:t>” and “Colisure™” depending on the medium used), only the version in the 22nd edition.  Referenced in Sections 611.531, 611.802, and 611.1004.</w:t>
      </w:r>
    </w:p>
    <w:p w14:paraId="3D604FD1" w14:textId="77777777" w:rsidR="00AD24B5" w:rsidRPr="003B4362" w:rsidRDefault="00AD24B5" w:rsidP="00AD24B5">
      <w:pPr>
        <w:widowControl w:val="0"/>
        <w:suppressAutoHyphens/>
        <w:ind w:left="2880"/>
        <w:rPr>
          <w:szCs w:val="22"/>
        </w:rPr>
      </w:pPr>
    </w:p>
    <w:p w14:paraId="32E2D493" w14:textId="77777777" w:rsidR="00AD24B5" w:rsidRPr="003B4362" w:rsidRDefault="00AD24B5" w:rsidP="00AD24B5">
      <w:pPr>
        <w:widowControl w:val="0"/>
        <w:suppressAutoHyphens/>
        <w:ind w:left="2880"/>
        <w:rPr>
          <w:szCs w:val="22"/>
        </w:rPr>
      </w:pPr>
      <w:r w:rsidRPr="003B4362">
        <w:rPr>
          <w:szCs w:val="22"/>
        </w:rPr>
        <w:t>“SM 9223 B (16)” means Method 9223 B, “Enzyme Substrate Coliform”</w:t>
      </w:r>
      <w:r w:rsidRPr="003B4362">
        <w:rPr>
          <w:szCs w:val="24"/>
        </w:rPr>
        <w:t>, “Enzyme Substrate”</w:t>
      </w:r>
      <w:r w:rsidRPr="003B4362">
        <w:rPr>
          <w:szCs w:val="22"/>
        </w:rPr>
        <w:t xml:space="preserve"> (also referred to as the variations “Colilert</w:t>
      </w:r>
      <w:r w:rsidRPr="003B4362">
        <w:rPr>
          <w:szCs w:val="22"/>
          <w:vertAlign w:val="superscript"/>
        </w:rPr>
        <w:t>®</w:t>
      </w:r>
      <w:r w:rsidRPr="003B4362">
        <w:rPr>
          <w:szCs w:val="22"/>
        </w:rPr>
        <w:t>” and “Colisure™” depending on the medium used), only the version in the 23rd edition.  Referenced in Sections 611.531, 611.802, and 611.1052.</w:t>
      </w:r>
    </w:p>
    <w:p w14:paraId="4301E877" w14:textId="77777777" w:rsidR="00AD24B5" w:rsidRPr="003B4362" w:rsidRDefault="00AD24B5" w:rsidP="00AD24B5">
      <w:pPr>
        <w:widowControl w:val="0"/>
        <w:suppressAutoHyphens/>
        <w:ind w:left="2880"/>
        <w:rPr>
          <w:szCs w:val="22"/>
        </w:rPr>
      </w:pPr>
    </w:p>
    <w:p w14:paraId="3B3FE7A3" w14:textId="77777777" w:rsidR="00AD24B5" w:rsidRPr="003B4362" w:rsidRDefault="00AD24B5" w:rsidP="00AD24B5">
      <w:pPr>
        <w:widowControl w:val="0"/>
        <w:suppressAutoHyphens/>
        <w:ind w:left="2880"/>
        <w:rPr>
          <w:szCs w:val="22"/>
        </w:rPr>
      </w:pPr>
      <w:r w:rsidRPr="003B4362">
        <w:rPr>
          <w:szCs w:val="22"/>
        </w:rPr>
        <w:t>“SM 9230 B (93)” means Method 9230 B, “Fecal Streptococcus and Enterococcus Groups”, “Multiple-Tube Techniques”, only the version in the 20th and 21st editions.  Referenced in Section 611.802.</w:t>
      </w:r>
    </w:p>
    <w:p w14:paraId="1DA619DB" w14:textId="77777777" w:rsidR="00AD24B5" w:rsidRPr="003B4362" w:rsidRDefault="00AD24B5" w:rsidP="00AD24B5">
      <w:pPr>
        <w:widowControl w:val="0"/>
        <w:suppressAutoHyphens/>
        <w:ind w:left="2880"/>
        <w:rPr>
          <w:szCs w:val="22"/>
        </w:rPr>
      </w:pPr>
    </w:p>
    <w:p w14:paraId="083A9E89" w14:textId="77777777" w:rsidR="00AD24B5" w:rsidRPr="003B4362" w:rsidRDefault="00AD24B5" w:rsidP="00AD24B5">
      <w:pPr>
        <w:widowControl w:val="0"/>
        <w:suppressAutoHyphens/>
        <w:ind w:left="2880"/>
        <w:rPr>
          <w:szCs w:val="22"/>
        </w:rPr>
      </w:pPr>
      <w:r w:rsidRPr="003B4362">
        <w:rPr>
          <w:szCs w:val="22"/>
        </w:rPr>
        <w:t>“SM 9230 B (04)” means Method 9230 B, “Fecal Streptococcus and Enterococcus Groups”, “Multiple-Tube Techniques”, only the version from Standard Methods Online as Method 9230 B-04.  Referenced in Section 611.802.</w:t>
      </w:r>
    </w:p>
    <w:p w14:paraId="4BE0952E" w14:textId="77777777" w:rsidR="00AD24B5" w:rsidRPr="003B4362" w:rsidRDefault="00AD24B5" w:rsidP="00AD24B5">
      <w:pPr>
        <w:widowControl w:val="0"/>
        <w:suppressAutoHyphens/>
        <w:ind w:left="2880"/>
        <w:rPr>
          <w:szCs w:val="22"/>
        </w:rPr>
      </w:pPr>
    </w:p>
    <w:p w14:paraId="01C7F462" w14:textId="77777777" w:rsidR="00AD24B5" w:rsidRPr="003B4362" w:rsidRDefault="00AD24B5" w:rsidP="00AD24B5">
      <w:pPr>
        <w:widowControl w:val="0"/>
        <w:suppressAutoHyphens/>
        <w:ind w:left="2880"/>
        <w:rPr>
          <w:szCs w:val="22"/>
        </w:rPr>
      </w:pPr>
      <w:r w:rsidRPr="003B4362">
        <w:rPr>
          <w:szCs w:val="22"/>
        </w:rPr>
        <w:lastRenderedPageBreak/>
        <w:t>“SM 9230 C (93)” means Method 9230 C, “Fecal Streptococcus and Enterococcus Groups”, “Membrane Filter Techniques”, only the version in the 20th edition.  Referenced in Section 611.802.</w:t>
      </w:r>
    </w:p>
    <w:p w14:paraId="6EF711F0" w14:textId="77777777" w:rsidR="00AD24B5" w:rsidRPr="003B4362" w:rsidRDefault="00AD24B5" w:rsidP="00AD24B5">
      <w:pPr>
        <w:widowControl w:val="0"/>
        <w:suppressAutoHyphens/>
        <w:ind w:left="2880"/>
        <w:rPr>
          <w:szCs w:val="22"/>
        </w:rPr>
      </w:pPr>
    </w:p>
    <w:p w14:paraId="17782931" w14:textId="77777777" w:rsidR="00AD24B5" w:rsidRPr="003B4362" w:rsidRDefault="00AD24B5" w:rsidP="00AD24B5">
      <w:pPr>
        <w:widowControl w:val="0"/>
        <w:suppressAutoHyphens/>
        <w:ind w:left="2880"/>
        <w:rPr>
          <w:szCs w:val="22"/>
        </w:rPr>
      </w:pPr>
      <w:r w:rsidRPr="003B4362">
        <w:rPr>
          <w:szCs w:val="22"/>
        </w:rPr>
        <w:t>“SM 9230 C (13)” means Method 9230 C, “Fecal Enterococcus/Streptococcus Groups”, “Membrane Filter Techniques”, only the version in the 23rd edition.  Referenced in Section 611.802.</w:t>
      </w:r>
    </w:p>
    <w:p w14:paraId="77D0F0B9" w14:textId="77777777" w:rsidR="00AD24B5" w:rsidRPr="003B4362" w:rsidRDefault="00AD24B5" w:rsidP="00AD24B5">
      <w:pPr>
        <w:widowControl w:val="0"/>
        <w:suppressAutoHyphens/>
        <w:ind w:left="2880"/>
        <w:rPr>
          <w:szCs w:val="22"/>
        </w:rPr>
      </w:pPr>
    </w:p>
    <w:p w14:paraId="25AFE4B1" w14:textId="77777777" w:rsidR="00AD24B5" w:rsidRPr="003B4362" w:rsidRDefault="00AD24B5" w:rsidP="00AD24B5">
      <w:pPr>
        <w:widowControl w:val="0"/>
        <w:suppressAutoHyphens/>
        <w:ind w:left="2880"/>
        <w:rPr>
          <w:szCs w:val="22"/>
        </w:rPr>
      </w:pPr>
      <w:r w:rsidRPr="003B4362">
        <w:rPr>
          <w:szCs w:val="22"/>
        </w:rPr>
        <w:t>“SM 9230 D (13)” means Method 9230 D, “Fecal Enterococcus/Streptococcus Groups”, “</w:t>
      </w:r>
      <w:r w:rsidRPr="003B4362">
        <w:rPr>
          <w:szCs w:val="24"/>
        </w:rPr>
        <w:t>Fluorogenic Substrate Enterococcus”</w:t>
      </w:r>
      <w:r w:rsidRPr="003B4362">
        <w:rPr>
          <w:szCs w:val="22"/>
        </w:rPr>
        <w:t>, only the version in the 23rd edition.  Referenced in Section 611.802.</w:t>
      </w:r>
    </w:p>
    <w:p w14:paraId="67E51AF6" w14:textId="77777777" w:rsidR="00AD24B5" w:rsidRPr="003B4362" w:rsidRDefault="00AD24B5" w:rsidP="00AD24B5">
      <w:pPr>
        <w:widowControl w:val="0"/>
        <w:suppressAutoHyphens/>
        <w:ind w:left="2880"/>
        <w:rPr>
          <w:szCs w:val="22"/>
        </w:rPr>
      </w:pPr>
    </w:p>
    <w:p w14:paraId="5B484634" w14:textId="77777777" w:rsidR="00AD24B5" w:rsidRPr="003B4362" w:rsidRDefault="00AD24B5" w:rsidP="00AD24B5">
      <w:pPr>
        <w:widowControl w:val="0"/>
        <w:suppressAutoHyphens/>
        <w:ind w:left="2880"/>
        <w:rPr>
          <w:szCs w:val="22"/>
        </w:rPr>
      </w:pPr>
      <w:r w:rsidRPr="003B4362">
        <w:rPr>
          <w:szCs w:val="22"/>
        </w:rPr>
        <w:t>BOARD NOTE:  The publication dates of the several “Standard Methods for the Examination of Water and Wastewater” editions containing approved methods:</w:t>
      </w:r>
    </w:p>
    <w:p w14:paraId="7EBA15E0" w14:textId="77777777" w:rsidR="00AD24B5" w:rsidRPr="003B4362" w:rsidRDefault="00AD24B5" w:rsidP="00AD24B5">
      <w:pPr>
        <w:widowControl w:val="0"/>
        <w:suppressAutoHyphens/>
        <w:ind w:left="3600"/>
        <w:rPr>
          <w:szCs w:val="22"/>
        </w:rPr>
      </w:pPr>
    </w:p>
    <w:p w14:paraId="43E61C2D" w14:textId="77777777" w:rsidR="00AD24B5" w:rsidRPr="003B4362" w:rsidRDefault="00AD24B5" w:rsidP="00AD24B5">
      <w:pPr>
        <w:widowControl w:val="0"/>
        <w:suppressAutoHyphens/>
        <w:ind w:left="3600"/>
        <w:rPr>
          <w:szCs w:val="22"/>
        </w:rPr>
      </w:pPr>
      <w:r w:rsidRPr="003B4362">
        <w:rPr>
          <w:szCs w:val="22"/>
        </w:rPr>
        <w:t>13th edition, 1971</w:t>
      </w:r>
    </w:p>
    <w:p w14:paraId="6DD3B01A" w14:textId="77777777" w:rsidR="00AD24B5" w:rsidRPr="003B4362" w:rsidRDefault="00AD24B5" w:rsidP="00AD24B5">
      <w:pPr>
        <w:widowControl w:val="0"/>
        <w:suppressAutoHyphens/>
        <w:ind w:left="3600"/>
        <w:rPr>
          <w:szCs w:val="22"/>
        </w:rPr>
      </w:pPr>
      <w:r w:rsidRPr="003B4362">
        <w:rPr>
          <w:szCs w:val="22"/>
        </w:rPr>
        <w:t>17th edition, 1989</w:t>
      </w:r>
    </w:p>
    <w:p w14:paraId="6D17D9C4" w14:textId="77777777" w:rsidR="00AD24B5" w:rsidRPr="003B4362" w:rsidRDefault="00AD24B5" w:rsidP="00AD24B5">
      <w:pPr>
        <w:widowControl w:val="0"/>
        <w:suppressAutoHyphens/>
        <w:ind w:left="3600"/>
        <w:rPr>
          <w:szCs w:val="22"/>
        </w:rPr>
      </w:pPr>
      <w:r w:rsidRPr="003B4362">
        <w:rPr>
          <w:szCs w:val="22"/>
        </w:rPr>
        <w:t>18th edition, 1992</w:t>
      </w:r>
    </w:p>
    <w:p w14:paraId="470A2C03" w14:textId="77777777" w:rsidR="00AD24B5" w:rsidRPr="003B4362" w:rsidRDefault="00AD24B5" w:rsidP="00AD24B5">
      <w:pPr>
        <w:widowControl w:val="0"/>
        <w:suppressAutoHyphens/>
        <w:ind w:left="3600"/>
        <w:rPr>
          <w:szCs w:val="22"/>
        </w:rPr>
      </w:pPr>
      <w:r w:rsidRPr="003B4362">
        <w:rPr>
          <w:szCs w:val="22"/>
        </w:rPr>
        <w:t>Supplement to 18th edition, 1994</w:t>
      </w:r>
    </w:p>
    <w:p w14:paraId="6C475A03" w14:textId="77777777" w:rsidR="00AD24B5" w:rsidRPr="003B4362" w:rsidRDefault="00AD24B5" w:rsidP="00AD24B5">
      <w:pPr>
        <w:widowControl w:val="0"/>
        <w:suppressAutoHyphens/>
        <w:ind w:left="3600"/>
        <w:rPr>
          <w:szCs w:val="22"/>
        </w:rPr>
      </w:pPr>
      <w:r w:rsidRPr="003B4362">
        <w:rPr>
          <w:szCs w:val="22"/>
        </w:rPr>
        <w:t>19th edition, 1995</w:t>
      </w:r>
    </w:p>
    <w:p w14:paraId="085506A6" w14:textId="77777777" w:rsidR="00AD24B5" w:rsidRPr="003B4362" w:rsidRDefault="00AD24B5" w:rsidP="00AD24B5">
      <w:pPr>
        <w:widowControl w:val="0"/>
        <w:suppressAutoHyphens/>
        <w:ind w:left="3600"/>
        <w:rPr>
          <w:szCs w:val="22"/>
        </w:rPr>
      </w:pPr>
      <w:r w:rsidRPr="003B4362">
        <w:rPr>
          <w:szCs w:val="22"/>
        </w:rPr>
        <w:t>Supplement to 19th edition, 1996</w:t>
      </w:r>
    </w:p>
    <w:p w14:paraId="40ECD4F6" w14:textId="77777777" w:rsidR="00AD24B5" w:rsidRPr="003B4362" w:rsidRDefault="00AD24B5" w:rsidP="00AD24B5">
      <w:pPr>
        <w:widowControl w:val="0"/>
        <w:suppressAutoHyphens/>
        <w:ind w:left="3600"/>
        <w:rPr>
          <w:szCs w:val="22"/>
        </w:rPr>
      </w:pPr>
      <w:r w:rsidRPr="003B4362">
        <w:rPr>
          <w:szCs w:val="22"/>
        </w:rPr>
        <w:t>20th edition, 1998</w:t>
      </w:r>
    </w:p>
    <w:p w14:paraId="58B2C638" w14:textId="77777777" w:rsidR="00AD24B5" w:rsidRPr="003B4362" w:rsidRDefault="00AD24B5" w:rsidP="00AD24B5">
      <w:pPr>
        <w:widowControl w:val="0"/>
        <w:suppressAutoHyphens/>
        <w:ind w:left="3600"/>
        <w:rPr>
          <w:szCs w:val="22"/>
        </w:rPr>
      </w:pPr>
      <w:r w:rsidRPr="003B4362">
        <w:rPr>
          <w:szCs w:val="22"/>
        </w:rPr>
        <w:t>21st edition, 2005</w:t>
      </w:r>
    </w:p>
    <w:p w14:paraId="5D6B3EEA" w14:textId="77777777" w:rsidR="00AD24B5" w:rsidRPr="003B4362" w:rsidRDefault="00AD24B5" w:rsidP="00AD24B5">
      <w:pPr>
        <w:widowControl w:val="0"/>
        <w:suppressAutoHyphens/>
        <w:ind w:left="3600"/>
        <w:rPr>
          <w:szCs w:val="22"/>
        </w:rPr>
      </w:pPr>
      <w:r w:rsidRPr="003B4362">
        <w:rPr>
          <w:szCs w:val="22"/>
        </w:rPr>
        <w:t>22nd edition, 2012</w:t>
      </w:r>
    </w:p>
    <w:p w14:paraId="76597869" w14:textId="77777777" w:rsidR="00AD24B5" w:rsidRPr="003B4362" w:rsidRDefault="00AD24B5" w:rsidP="00AD24B5">
      <w:pPr>
        <w:widowControl w:val="0"/>
        <w:suppressAutoHyphens/>
        <w:ind w:left="3600"/>
        <w:rPr>
          <w:szCs w:val="22"/>
        </w:rPr>
      </w:pPr>
      <w:r w:rsidRPr="003B4362">
        <w:rPr>
          <w:szCs w:val="22"/>
        </w:rPr>
        <w:t>23rd edition, 2017</w:t>
      </w:r>
    </w:p>
    <w:p w14:paraId="616D5971" w14:textId="77777777" w:rsidR="00AD24B5" w:rsidRPr="003B4362" w:rsidRDefault="00AD24B5" w:rsidP="00AD24B5">
      <w:pPr>
        <w:widowControl w:val="0"/>
        <w:suppressAutoHyphens/>
        <w:ind w:left="2160"/>
        <w:rPr>
          <w:szCs w:val="22"/>
        </w:rPr>
      </w:pPr>
    </w:p>
    <w:p w14:paraId="3B0D2349" w14:textId="77777777" w:rsidR="00AD24B5" w:rsidRPr="003B4362" w:rsidRDefault="00AD24B5" w:rsidP="00AD24B5">
      <w:pPr>
        <w:widowControl w:val="0"/>
        <w:suppressAutoHyphens/>
        <w:ind w:left="2160"/>
        <w:rPr>
          <w:szCs w:val="22"/>
        </w:rPr>
      </w:pPr>
      <w:r w:rsidRPr="003B4362">
        <w:rPr>
          <w:szCs w:val="22"/>
        </w:rPr>
        <w:t>“</w:t>
      </w:r>
      <w:bookmarkStart w:id="268" w:name="_Hlk11766686"/>
      <w:r w:rsidRPr="003B4362">
        <w:rPr>
          <w:szCs w:val="22"/>
        </w:rPr>
        <w:t>Syngenta AG-625 (01)</w:t>
      </w:r>
      <w:bookmarkEnd w:id="268"/>
      <w:r w:rsidRPr="003B4362">
        <w:rPr>
          <w:szCs w:val="22"/>
        </w:rPr>
        <w:t>” means “Method AG-625:  Atrazine in Drinking Water by Immunoassay</w:t>
      </w:r>
      <w:r w:rsidRPr="003B4362">
        <w:rPr>
          <w:szCs w:val="16"/>
        </w:rPr>
        <w:t>” (</w:t>
      </w:r>
      <w:r w:rsidRPr="003B4362">
        <w:rPr>
          <w:szCs w:val="22"/>
        </w:rPr>
        <w:t>February 2001), Syngenta Crop Protection, Inc.  Available from publisher, 410 Swing Road, Post Office Box 18300, Greensboro, NC  27419 (336-632–6000).  Referenced in Section 611.645.</w:t>
      </w:r>
    </w:p>
    <w:p w14:paraId="020F7C31" w14:textId="77777777" w:rsidR="00AD24B5" w:rsidRPr="003B4362" w:rsidRDefault="00AD24B5" w:rsidP="00AD24B5">
      <w:pPr>
        <w:widowControl w:val="0"/>
        <w:suppressAutoHyphens/>
        <w:ind w:left="2160"/>
        <w:rPr>
          <w:szCs w:val="22"/>
        </w:rPr>
      </w:pPr>
    </w:p>
    <w:p w14:paraId="271C2105" w14:textId="77777777" w:rsidR="00AD24B5" w:rsidRPr="003B4362" w:rsidRDefault="00AD24B5" w:rsidP="00AD24B5">
      <w:pPr>
        <w:widowControl w:val="0"/>
        <w:suppressAutoHyphens/>
        <w:ind w:left="2160"/>
        <w:rPr>
          <w:szCs w:val="22"/>
        </w:rPr>
      </w:pPr>
      <w:r w:rsidRPr="003B4362">
        <w:rPr>
          <w:szCs w:val="22"/>
        </w:rPr>
        <w:t>“</w:t>
      </w:r>
      <w:bookmarkStart w:id="269" w:name="_Hlk11766912"/>
      <w:r w:rsidRPr="003B4362">
        <w:rPr>
          <w:szCs w:val="22"/>
        </w:rPr>
        <w:t>Systea Easy (1-Reagent) (09)</w:t>
      </w:r>
      <w:bookmarkEnd w:id="269"/>
      <w:r w:rsidRPr="003B4362">
        <w:rPr>
          <w:szCs w:val="22"/>
        </w:rPr>
        <w:t>” means “Nitrate by Discrete Analysis:  Systea Easy (1-Reagent) Nitrate Method (Colorimetric, Automated, 1 Reagent)</w:t>
      </w:r>
      <w:r w:rsidRPr="003B4362">
        <w:rPr>
          <w:szCs w:val="16"/>
        </w:rPr>
        <w:t>” (</w:t>
      </w:r>
      <w:r w:rsidRPr="003B4362">
        <w:rPr>
          <w:spacing w:val="-3"/>
          <w:szCs w:val="22"/>
        </w:rPr>
        <w:t>February 4, 2009).  Available from</w:t>
      </w:r>
      <w:r w:rsidRPr="003B4362">
        <w:rPr>
          <w:szCs w:val="22"/>
        </w:rPr>
        <w:t xml:space="preserve"> Systea Scientific LLC, 900 Jorie Blvd., Suite 35, Oak Brook, IL  60523 (630-645-0600); NEMI</w:t>
      </w:r>
      <w:r w:rsidRPr="003B4362">
        <w:rPr>
          <w:szCs w:val="16"/>
        </w:rPr>
        <w:t>;</w:t>
      </w:r>
      <w:r w:rsidRPr="003B4362">
        <w:rPr>
          <w:spacing w:val="-3"/>
          <w:szCs w:val="22"/>
        </w:rPr>
        <w:t xml:space="preserve"> </w:t>
      </w:r>
      <w:r w:rsidRPr="003B4362">
        <w:rPr>
          <w:szCs w:val="22"/>
        </w:rPr>
        <w:t>and USEPA, OGWDW (under “Inorganic Contaminants and Other Inorganic Constituents (PDF)”).  R</w:t>
      </w:r>
      <w:r w:rsidRPr="003B4362">
        <w:rPr>
          <w:spacing w:val="-3"/>
          <w:szCs w:val="22"/>
        </w:rPr>
        <w:t>eferenced in Section 611.611.</w:t>
      </w:r>
    </w:p>
    <w:p w14:paraId="7D2B7FA7" w14:textId="77777777" w:rsidR="00AD24B5" w:rsidRPr="003B4362" w:rsidRDefault="00AD24B5" w:rsidP="00AD24B5">
      <w:pPr>
        <w:ind w:left="2160"/>
        <w:rPr>
          <w:szCs w:val="22"/>
        </w:rPr>
      </w:pPr>
      <w:r w:rsidRPr="003B4362">
        <w:rPr>
          <w:szCs w:val="22"/>
        </w:rPr>
        <w:t>Technicon Methods.  Available from Bran + Luebbe, 1025 Busch Parkway, Buffalo Grove, IL  60089.</w:t>
      </w:r>
    </w:p>
    <w:p w14:paraId="08CD1B6A" w14:textId="77777777" w:rsidR="00AD24B5" w:rsidRPr="003B4362" w:rsidRDefault="00AD24B5" w:rsidP="00AD24B5">
      <w:pPr>
        <w:suppressAutoHyphens/>
        <w:ind w:left="2880"/>
        <w:rPr>
          <w:szCs w:val="22"/>
        </w:rPr>
      </w:pPr>
      <w:bookmarkStart w:id="270" w:name="_Hlk11767015"/>
    </w:p>
    <w:p w14:paraId="3FA15ACB" w14:textId="77777777" w:rsidR="00AD24B5" w:rsidRPr="003B4362" w:rsidRDefault="00AD24B5" w:rsidP="00AD24B5">
      <w:pPr>
        <w:suppressAutoHyphens/>
        <w:ind w:left="2880"/>
        <w:rPr>
          <w:szCs w:val="22"/>
        </w:rPr>
      </w:pPr>
      <w:r w:rsidRPr="003B4362">
        <w:rPr>
          <w:szCs w:val="22"/>
        </w:rPr>
        <w:t>“Technicon #129-71W (72)</w:t>
      </w:r>
      <w:bookmarkEnd w:id="270"/>
      <w:r w:rsidRPr="003B4362">
        <w:rPr>
          <w:szCs w:val="22"/>
        </w:rPr>
        <w:t>” means “Fluoride in Water and Wastewater</w:t>
      </w:r>
      <w:r w:rsidRPr="003B4362">
        <w:rPr>
          <w:szCs w:val="16"/>
        </w:rPr>
        <w:t>”</w:t>
      </w:r>
      <w:r w:rsidRPr="003B4362">
        <w:rPr>
          <w:szCs w:val="22"/>
        </w:rPr>
        <w:t xml:space="preserve"> (December 1972)</w:t>
      </w:r>
      <w:r w:rsidRPr="003B4362">
        <w:rPr>
          <w:szCs w:val="16"/>
        </w:rPr>
        <w:t>,</w:t>
      </w:r>
      <w:r w:rsidRPr="003B4362">
        <w:rPr>
          <w:szCs w:val="22"/>
        </w:rPr>
        <w:t xml:space="preserve"> Industrial Method #129-71W.  </w:t>
      </w:r>
      <w:r w:rsidRPr="003B4362">
        <w:rPr>
          <w:szCs w:val="22"/>
        </w:rPr>
        <w:lastRenderedPageBreak/>
        <w:t>Referenced in Section 611.611.  See 40 CFR 141.23(k)(1), footnote 11.</w:t>
      </w:r>
    </w:p>
    <w:p w14:paraId="2C24FACF" w14:textId="77777777" w:rsidR="00AD24B5" w:rsidRPr="003B4362" w:rsidRDefault="00AD24B5" w:rsidP="00AD24B5">
      <w:pPr>
        <w:suppressAutoHyphens/>
        <w:ind w:left="2880"/>
        <w:rPr>
          <w:szCs w:val="22"/>
        </w:rPr>
      </w:pPr>
    </w:p>
    <w:p w14:paraId="21B6A19B" w14:textId="77777777" w:rsidR="00AD24B5" w:rsidRPr="003B4362" w:rsidRDefault="00AD24B5" w:rsidP="00AD24B5">
      <w:pPr>
        <w:suppressAutoHyphens/>
        <w:ind w:left="2880"/>
        <w:rPr>
          <w:szCs w:val="22"/>
        </w:rPr>
      </w:pPr>
      <w:r w:rsidRPr="003B4362">
        <w:rPr>
          <w:szCs w:val="22"/>
        </w:rPr>
        <w:t xml:space="preserve">“Technicon </w:t>
      </w:r>
      <w:bookmarkStart w:id="271" w:name="_Hlk11767106"/>
      <w:r w:rsidRPr="003B4362">
        <w:rPr>
          <w:szCs w:val="22"/>
        </w:rPr>
        <w:t>#380-75WE (76)</w:t>
      </w:r>
      <w:bookmarkEnd w:id="271"/>
      <w:r w:rsidRPr="003B4362">
        <w:rPr>
          <w:szCs w:val="22"/>
        </w:rPr>
        <w:t>” means “Fluoride in Water and Wastewater</w:t>
      </w:r>
      <w:r w:rsidRPr="003B4362">
        <w:rPr>
          <w:szCs w:val="16"/>
        </w:rPr>
        <w:t>”</w:t>
      </w:r>
      <w:r w:rsidRPr="003B4362">
        <w:rPr>
          <w:szCs w:val="22"/>
        </w:rPr>
        <w:t xml:space="preserve"> (February 1976)</w:t>
      </w:r>
      <w:r w:rsidRPr="003B4362">
        <w:rPr>
          <w:szCs w:val="16"/>
        </w:rPr>
        <w:t>,</w:t>
      </w:r>
      <w:r w:rsidRPr="003B4362">
        <w:rPr>
          <w:szCs w:val="22"/>
        </w:rPr>
        <w:t xml:space="preserve"> #380-75WE.  See 40 CFR 141.23(k)(1), footnote 11, referenced in Section 611.611.</w:t>
      </w:r>
    </w:p>
    <w:p w14:paraId="766278F1" w14:textId="77777777" w:rsidR="00AD24B5" w:rsidRPr="003B4362" w:rsidRDefault="00AD24B5" w:rsidP="00AD24B5">
      <w:pPr>
        <w:ind w:left="2160"/>
        <w:rPr>
          <w:szCs w:val="22"/>
        </w:rPr>
      </w:pPr>
    </w:p>
    <w:p w14:paraId="3AC6BA40" w14:textId="77777777" w:rsidR="00AD24B5" w:rsidRPr="003B4362" w:rsidRDefault="00AD24B5" w:rsidP="00AD24B5">
      <w:pPr>
        <w:ind w:left="2160"/>
        <w:rPr>
          <w:szCs w:val="22"/>
        </w:rPr>
      </w:pPr>
      <w:r w:rsidRPr="003B4362">
        <w:rPr>
          <w:szCs w:val="22"/>
        </w:rPr>
        <w:t xml:space="preserve">Tecta Methods.  Available from IDEXX Laboratories, Inc., One IDEXX Drive, Westbrook, Maine  04092 (800-548-6733; </w:t>
      </w:r>
      <w:hyperlink r:id="rId16" w:history="1">
        <w:r w:rsidRPr="003B4362">
          <w:rPr>
            <w:rStyle w:val="Hyperlink"/>
            <w:szCs w:val="22"/>
          </w:rPr>
          <w:t>https://www.idexx.com/en/water/other-products-services/tecta-water-microbiology-system/</w:t>
        </w:r>
      </w:hyperlink>
      <w:r w:rsidRPr="003B4362">
        <w:rPr>
          <w:szCs w:val="22"/>
        </w:rPr>
        <w:t xml:space="preserve"> and </w:t>
      </w:r>
      <w:r w:rsidRPr="003B4362">
        <w:rPr>
          <w:szCs w:val="16"/>
        </w:rPr>
        <w:t>USEPA, OGWDW (under “Ground Water Rule (PDF)” and “Revised Total Coliforms Rules (PDF)”)</w:t>
      </w:r>
      <w:r w:rsidRPr="003B4362">
        <w:rPr>
          <w:szCs w:val="22"/>
        </w:rPr>
        <w:t>.</w:t>
      </w:r>
    </w:p>
    <w:p w14:paraId="74E3F719" w14:textId="77777777" w:rsidR="00AD24B5" w:rsidRPr="003B4362" w:rsidRDefault="00AD24B5" w:rsidP="00AD24B5">
      <w:pPr>
        <w:suppressAutoHyphens/>
        <w:ind w:left="2880"/>
        <w:rPr>
          <w:szCs w:val="22"/>
        </w:rPr>
      </w:pPr>
    </w:p>
    <w:p w14:paraId="688B6FB8" w14:textId="77777777" w:rsidR="00AD24B5" w:rsidRPr="003B4362" w:rsidRDefault="00AD24B5" w:rsidP="00AD24B5">
      <w:pPr>
        <w:suppressAutoHyphens/>
        <w:ind w:left="2880"/>
        <w:rPr>
          <w:szCs w:val="22"/>
        </w:rPr>
      </w:pPr>
      <w:r w:rsidRPr="003B4362">
        <w:rPr>
          <w:szCs w:val="22"/>
        </w:rPr>
        <w:t>“Tecta (14)” means “TECTA™ EC/TC medium and the TECTA™ Instrument:  a Presence/Absence Method for Simultaneous Detection of Total Coliforms and Escherichia coli (E.coli) in Drinking Water</w:t>
      </w:r>
      <w:r w:rsidRPr="003B4362">
        <w:rPr>
          <w:szCs w:val="16"/>
        </w:rPr>
        <w:t>”,</w:t>
      </w:r>
      <w:r w:rsidRPr="003B4362">
        <w:rPr>
          <w:szCs w:val="22"/>
        </w:rPr>
        <w:t xml:space="preserve"> Version 1.0 (May 22, 2014).  Referenced in Sections 611.802 and 611.1052.</w:t>
      </w:r>
    </w:p>
    <w:p w14:paraId="4849C693" w14:textId="77777777" w:rsidR="00AD24B5" w:rsidRPr="003B4362" w:rsidRDefault="00AD24B5" w:rsidP="00AD24B5">
      <w:pPr>
        <w:suppressAutoHyphens/>
        <w:ind w:left="2880"/>
        <w:rPr>
          <w:szCs w:val="22"/>
        </w:rPr>
      </w:pPr>
    </w:p>
    <w:p w14:paraId="5153E259" w14:textId="77777777" w:rsidR="00AD24B5" w:rsidRPr="003B4362" w:rsidRDefault="00AD24B5" w:rsidP="00AD24B5">
      <w:pPr>
        <w:suppressAutoHyphens/>
        <w:ind w:left="2880"/>
        <w:rPr>
          <w:szCs w:val="22"/>
        </w:rPr>
      </w:pPr>
      <w:r w:rsidRPr="003B4362">
        <w:rPr>
          <w:szCs w:val="22"/>
        </w:rPr>
        <w:t>“Tecta (17)” means “TECTA™ EC/TC medium and the TECTA™ Instrument:  a Presence/Absence Method for Simultaneous Detection of Total Coliforms and Escherichia coli (E.coli) in Drinking Water</w:t>
      </w:r>
      <w:r w:rsidRPr="003B4362">
        <w:rPr>
          <w:szCs w:val="16"/>
        </w:rPr>
        <w:t>”,</w:t>
      </w:r>
      <w:r w:rsidRPr="003B4362">
        <w:rPr>
          <w:szCs w:val="22"/>
        </w:rPr>
        <w:t xml:space="preserve"> Version 2.0 (March 20, 2017).  Referenced in Sections 611.802 and 611.1052.</w:t>
      </w:r>
    </w:p>
    <w:p w14:paraId="1A1F4E38" w14:textId="77777777" w:rsidR="00AD24B5" w:rsidRPr="003B4362" w:rsidRDefault="00AD24B5" w:rsidP="00AD24B5">
      <w:pPr>
        <w:widowControl w:val="0"/>
        <w:suppressAutoHyphens/>
        <w:ind w:left="2160"/>
        <w:rPr>
          <w:szCs w:val="22"/>
        </w:rPr>
      </w:pPr>
    </w:p>
    <w:p w14:paraId="3E0884AC" w14:textId="77777777" w:rsidR="00AD24B5" w:rsidRPr="003B4362" w:rsidRDefault="00AD24B5" w:rsidP="00AD24B5">
      <w:pPr>
        <w:widowControl w:val="0"/>
        <w:suppressAutoHyphens/>
        <w:ind w:left="2160"/>
        <w:rPr>
          <w:szCs w:val="22"/>
        </w:rPr>
      </w:pPr>
      <w:r w:rsidRPr="003B4362">
        <w:rPr>
          <w:szCs w:val="22"/>
        </w:rPr>
        <w:t>“</w:t>
      </w:r>
      <w:bookmarkStart w:id="272" w:name="_Hlk11767648"/>
      <w:r w:rsidRPr="003B4362">
        <w:rPr>
          <w:szCs w:val="22"/>
        </w:rPr>
        <w:t>Thermo-Fisher 557.1 (17)</w:t>
      </w:r>
      <w:bookmarkEnd w:id="272"/>
      <w:r w:rsidRPr="003B4362">
        <w:rPr>
          <w:szCs w:val="22"/>
        </w:rPr>
        <w:t xml:space="preserve">” means “Thermofisher Method 557.1:  Determination of Haloacetic Acids in Drinking Water using Two-Dimensional Ion Chromatography with Suppressed Conductivity Detection”, Version 1.0 (January 2017).  Available from </w:t>
      </w:r>
      <w:r w:rsidRPr="003B4362">
        <w:rPr>
          <w:szCs w:val="16"/>
        </w:rPr>
        <w:t xml:space="preserve">Thermo-Fisher Scientific, 490 Lakeside Dr, Sunnyvale, CA  94085 </w:t>
      </w:r>
      <w:r w:rsidRPr="003B4362">
        <w:rPr>
          <w:iCs/>
          <w:szCs w:val="16"/>
        </w:rPr>
        <w:t>(800-556-2323; www.thermofisher.com) and USEPA, OGWDW (under “Disinfection Byproduct Rules (PDF)”).  R</w:t>
      </w:r>
      <w:r w:rsidRPr="003B4362">
        <w:rPr>
          <w:szCs w:val="22"/>
        </w:rPr>
        <w:t>eferenced in Section 611.611.</w:t>
      </w:r>
    </w:p>
    <w:p w14:paraId="67D69B84" w14:textId="77777777" w:rsidR="00AD24B5" w:rsidRPr="003B4362" w:rsidRDefault="00AD24B5" w:rsidP="00AD24B5">
      <w:pPr>
        <w:widowControl w:val="0"/>
        <w:suppressAutoHyphens/>
        <w:ind w:left="2160"/>
        <w:rPr>
          <w:szCs w:val="22"/>
        </w:rPr>
      </w:pPr>
    </w:p>
    <w:p w14:paraId="2F18F969" w14:textId="77777777" w:rsidR="00AD24B5" w:rsidRPr="003B4362" w:rsidRDefault="00AD24B5" w:rsidP="00AD24B5">
      <w:pPr>
        <w:widowControl w:val="0"/>
        <w:suppressAutoHyphens/>
        <w:ind w:left="2160"/>
        <w:rPr>
          <w:szCs w:val="22"/>
        </w:rPr>
      </w:pPr>
      <w:r w:rsidRPr="003B4362">
        <w:rPr>
          <w:szCs w:val="22"/>
        </w:rPr>
        <w:t>“</w:t>
      </w:r>
      <w:bookmarkStart w:id="273" w:name="_Hlk11767754"/>
      <w:r w:rsidRPr="003B4362">
        <w:rPr>
          <w:szCs w:val="22"/>
        </w:rPr>
        <w:t>Thermo-Fisher Discrete Analyzer (16)</w:t>
      </w:r>
      <w:bookmarkEnd w:id="273"/>
      <w:r w:rsidRPr="003B4362">
        <w:rPr>
          <w:szCs w:val="22"/>
        </w:rPr>
        <w:t xml:space="preserve">” means “Application Note:  Drinking Water Orthophosphate Method for Thermo Scientific Gallery Discrete Analyzer”, Revision 5 (February 18, 2016).  Available from </w:t>
      </w:r>
      <w:r w:rsidRPr="003B4362">
        <w:rPr>
          <w:szCs w:val="16"/>
        </w:rPr>
        <w:t xml:space="preserve">Thermo-Fisher Scientific, </w:t>
      </w:r>
      <w:r w:rsidRPr="003B4362">
        <w:rPr>
          <w:szCs w:val="24"/>
        </w:rPr>
        <w:t>Ratastie 2, 01620 Vantaa, Finland and USEPA, OGWDW (under “Inorganic Contaminants and Other Inorganic Constituents (PDF)”)</w:t>
      </w:r>
      <w:r w:rsidRPr="003B4362">
        <w:rPr>
          <w:iCs/>
          <w:szCs w:val="16"/>
        </w:rPr>
        <w:t>.  R</w:t>
      </w:r>
      <w:r w:rsidRPr="003B4362">
        <w:rPr>
          <w:szCs w:val="22"/>
        </w:rPr>
        <w:t>eferenced in Section 611.611.</w:t>
      </w:r>
    </w:p>
    <w:p w14:paraId="6C24FE8B" w14:textId="77777777" w:rsidR="00AD24B5" w:rsidRPr="003B4362" w:rsidRDefault="00AD24B5" w:rsidP="00AD24B5">
      <w:pPr>
        <w:ind w:left="2160"/>
        <w:rPr>
          <w:szCs w:val="22"/>
        </w:rPr>
      </w:pPr>
    </w:p>
    <w:p w14:paraId="62460CAF" w14:textId="77777777" w:rsidR="00AD24B5" w:rsidRPr="003B4362" w:rsidRDefault="00AD24B5" w:rsidP="00AD24B5">
      <w:pPr>
        <w:ind w:left="2160"/>
        <w:rPr>
          <w:szCs w:val="22"/>
        </w:rPr>
      </w:pPr>
      <w:r w:rsidRPr="003B4362">
        <w:rPr>
          <w:szCs w:val="22"/>
        </w:rPr>
        <w:t>USEPA Methods</w:t>
      </w:r>
    </w:p>
    <w:p w14:paraId="34618EE2" w14:textId="77777777" w:rsidR="00AD24B5" w:rsidRPr="003B4362" w:rsidRDefault="00AD24B5" w:rsidP="00AD24B5">
      <w:pPr>
        <w:ind w:left="2880"/>
        <w:rPr>
          <w:szCs w:val="22"/>
        </w:rPr>
      </w:pPr>
    </w:p>
    <w:p w14:paraId="1DB350DD" w14:textId="77777777" w:rsidR="00AD24B5" w:rsidRPr="003B4362" w:rsidRDefault="00AD24B5" w:rsidP="00AD24B5">
      <w:pPr>
        <w:ind w:left="2880"/>
        <w:rPr>
          <w:szCs w:val="22"/>
        </w:rPr>
      </w:pPr>
      <w:r w:rsidRPr="003B4362">
        <w:rPr>
          <w:szCs w:val="22"/>
        </w:rPr>
        <w:t>Numbered Methods</w:t>
      </w:r>
    </w:p>
    <w:p w14:paraId="0332032F" w14:textId="77777777" w:rsidR="00AD24B5" w:rsidRPr="003B4362" w:rsidRDefault="00AD24B5" w:rsidP="00AD24B5">
      <w:pPr>
        <w:ind w:left="3600"/>
        <w:rPr>
          <w:szCs w:val="22"/>
        </w:rPr>
      </w:pPr>
    </w:p>
    <w:p w14:paraId="30B0CDD5" w14:textId="77777777" w:rsidR="00AD24B5" w:rsidRPr="003B4362" w:rsidRDefault="00AD24B5" w:rsidP="00AD24B5">
      <w:pPr>
        <w:ind w:left="3600"/>
        <w:rPr>
          <w:szCs w:val="22"/>
        </w:rPr>
      </w:pPr>
      <w:r w:rsidRPr="003B4362">
        <w:rPr>
          <w:szCs w:val="22"/>
        </w:rPr>
        <w:lastRenderedPageBreak/>
        <w:t>“</w:t>
      </w:r>
      <w:bookmarkStart w:id="274" w:name="_Hlk36813430"/>
      <w:r w:rsidRPr="003B4362">
        <w:rPr>
          <w:szCs w:val="22"/>
        </w:rPr>
        <w:t>USEPA H-02 (84)</w:t>
      </w:r>
      <w:bookmarkEnd w:id="274"/>
      <w:r w:rsidRPr="003B4362">
        <w:rPr>
          <w:szCs w:val="22"/>
        </w:rPr>
        <w:t>” means Method H-02, “</w:t>
      </w:r>
      <w:bookmarkStart w:id="275" w:name="_Hlk36813449"/>
      <w:r w:rsidRPr="003B4362">
        <w:rPr>
          <w:szCs w:val="22"/>
        </w:rPr>
        <w:t>Radiochemical Determination of Tritium in Water—Dioxane Method</w:t>
      </w:r>
      <w:bookmarkEnd w:id="275"/>
      <w:r w:rsidRPr="003B4362">
        <w:rPr>
          <w:szCs w:val="22"/>
        </w:rPr>
        <w:t>”, in USEPA Radiochemistry Procedures (84).  Referenced in Section 611.720.</w:t>
      </w:r>
    </w:p>
    <w:p w14:paraId="09D54139" w14:textId="77777777" w:rsidR="00AD24B5" w:rsidRPr="003B4362" w:rsidRDefault="00AD24B5" w:rsidP="00AD24B5">
      <w:pPr>
        <w:ind w:left="3600"/>
        <w:rPr>
          <w:szCs w:val="22"/>
        </w:rPr>
      </w:pPr>
      <w:bookmarkStart w:id="276" w:name="_Hlk21444254"/>
      <w:r w:rsidRPr="003B4362">
        <w:rPr>
          <w:szCs w:val="22"/>
        </w:rPr>
        <w:t>BOARD NOTE:  Also available from USEPA, OGWDW (under “Radionuclides (PDF)”).</w:t>
      </w:r>
    </w:p>
    <w:bookmarkEnd w:id="276"/>
    <w:p w14:paraId="5533CDD8" w14:textId="77777777" w:rsidR="00AD24B5" w:rsidRPr="003B4362" w:rsidRDefault="00AD24B5" w:rsidP="00AD24B5">
      <w:pPr>
        <w:ind w:left="3600"/>
        <w:rPr>
          <w:szCs w:val="22"/>
        </w:rPr>
      </w:pPr>
    </w:p>
    <w:p w14:paraId="3F6CC2C4" w14:textId="77777777" w:rsidR="00AD24B5" w:rsidRPr="003B4362" w:rsidRDefault="00AD24B5" w:rsidP="00AD24B5">
      <w:pPr>
        <w:ind w:left="3600"/>
        <w:rPr>
          <w:szCs w:val="22"/>
        </w:rPr>
      </w:pPr>
      <w:r w:rsidRPr="003B4362">
        <w:rPr>
          <w:szCs w:val="22"/>
        </w:rPr>
        <w:t>“USEPA Ra-03 (84)” means Method Ra-03, “Radiochemical Determination of Radium-226 in Water Samples”, in USEPA Radiochemistry Procedures (84).  Referenced in Section 611.720.</w:t>
      </w:r>
    </w:p>
    <w:p w14:paraId="4A78B73D" w14:textId="77777777" w:rsidR="00AD24B5" w:rsidRPr="003B4362" w:rsidRDefault="00AD24B5" w:rsidP="00AD24B5">
      <w:pPr>
        <w:ind w:left="3600"/>
        <w:rPr>
          <w:szCs w:val="22"/>
        </w:rPr>
      </w:pPr>
      <w:r w:rsidRPr="003B4362">
        <w:rPr>
          <w:szCs w:val="22"/>
        </w:rPr>
        <w:t>BOARD NOTE:  Also available from USEPA, OGWDW (under “Radionuclides (PDF)”).</w:t>
      </w:r>
    </w:p>
    <w:p w14:paraId="141A776E" w14:textId="77777777" w:rsidR="00AD24B5" w:rsidRPr="003B4362" w:rsidRDefault="00AD24B5" w:rsidP="00AD24B5">
      <w:pPr>
        <w:ind w:left="3600"/>
        <w:rPr>
          <w:szCs w:val="22"/>
        </w:rPr>
      </w:pPr>
    </w:p>
    <w:p w14:paraId="56646963" w14:textId="77777777" w:rsidR="00AD24B5" w:rsidRPr="003B4362" w:rsidRDefault="00AD24B5" w:rsidP="00AD24B5">
      <w:pPr>
        <w:ind w:left="3600"/>
        <w:rPr>
          <w:szCs w:val="22"/>
        </w:rPr>
      </w:pPr>
      <w:r w:rsidRPr="003B4362">
        <w:rPr>
          <w:szCs w:val="22"/>
        </w:rPr>
        <w:t>“</w:t>
      </w:r>
      <w:bookmarkStart w:id="277" w:name="_Hlk36813466"/>
      <w:r w:rsidRPr="003B4362">
        <w:rPr>
          <w:szCs w:val="22"/>
        </w:rPr>
        <w:t>USEPA Ra-04 (84)</w:t>
      </w:r>
      <w:bookmarkEnd w:id="277"/>
      <w:r w:rsidRPr="003B4362">
        <w:rPr>
          <w:szCs w:val="22"/>
        </w:rPr>
        <w:t>” means Method Ra-04, “</w:t>
      </w:r>
      <w:bookmarkStart w:id="278" w:name="_Hlk36813481"/>
      <w:r w:rsidRPr="003B4362">
        <w:rPr>
          <w:szCs w:val="22"/>
        </w:rPr>
        <w:t>Radiochemical Determination of Radium-226—De-emanation Procedure</w:t>
      </w:r>
      <w:bookmarkEnd w:id="278"/>
      <w:r w:rsidRPr="003B4362">
        <w:rPr>
          <w:szCs w:val="22"/>
        </w:rPr>
        <w:t>”, in USEPA Radiochemistry Procedures (84).  Referenced in Section 611.720.</w:t>
      </w:r>
    </w:p>
    <w:p w14:paraId="652BDE2B" w14:textId="77777777" w:rsidR="00AD24B5" w:rsidRPr="003B4362" w:rsidRDefault="00AD24B5" w:rsidP="00AD24B5">
      <w:pPr>
        <w:ind w:left="3600"/>
        <w:rPr>
          <w:szCs w:val="22"/>
        </w:rPr>
      </w:pPr>
      <w:r w:rsidRPr="003B4362">
        <w:rPr>
          <w:szCs w:val="22"/>
        </w:rPr>
        <w:t>BOARD NOTE:  Also available from USEPA, OGWDW (under “Radionuclides (PDF)”).</w:t>
      </w:r>
    </w:p>
    <w:p w14:paraId="5EF70457" w14:textId="77777777" w:rsidR="00AD24B5" w:rsidRPr="003B4362" w:rsidRDefault="00AD24B5" w:rsidP="00AD24B5">
      <w:pPr>
        <w:ind w:left="3600"/>
        <w:rPr>
          <w:szCs w:val="22"/>
        </w:rPr>
      </w:pPr>
    </w:p>
    <w:p w14:paraId="456E6CF3" w14:textId="77777777" w:rsidR="00AD24B5" w:rsidRPr="003B4362" w:rsidRDefault="00AD24B5" w:rsidP="00AD24B5">
      <w:pPr>
        <w:ind w:left="3600"/>
        <w:rPr>
          <w:szCs w:val="22"/>
        </w:rPr>
      </w:pPr>
      <w:r w:rsidRPr="003B4362">
        <w:rPr>
          <w:szCs w:val="22"/>
        </w:rPr>
        <w:t>“USEPA Ra-05 (84)” means Method Ra-05, “Radiochemical Determination of Radium-228 in Water Samples”, in USEPA Radiochemistry Procedures (84).  Referenced in Section 611.720.</w:t>
      </w:r>
    </w:p>
    <w:p w14:paraId="38567CF8" w14:textId="77777777" w:rsidR="00AD24B5" w:rsidRPr="003B4362" w:rsidRDefault="00AD24B5" w:rsidP="00AD24B5">
      <w:pPr>
        <w:ind w:left="3600"/>
        <w:rPr>
          <w:szCs w:val="22"/>
        </w:rPr>
      </w:pPr>
      <w:r w:rsidRPr="003B4362">
        <w:rPr>
          <w:szCs w:val="22"/>
        </w:rPr>
        <w:t>BOARD NOTE:  Also available from USEPA, OGWDW (under “Radionuclides (PDF)”).</w:t>
      </w:r>
    </w:p>
    <w:p w14:paraId="69051600" w14:textId="77777777" w:rsidR="00AD24B5" w:rsidRPr="003B4362" w:rsidRDefault="00AD24B5" w:rsidP="00AD24B5">
      <w:pPr>
        <w:ind w:left="3600"/>
        <w:rPr>
          <w:szCs w:val="22"/>
        </w:rPr>
      </w:pPr>
    </w:p>
    <w:p w14:paraId="0329EB06" w14:textId="77777777" w:rsidR="00AD24B5" w:rsidRPr="003B4362" w:rsidRDefault="00AD24B5" w:rsidP="00AD24B5">
      <w:pPr>
        <w:ind w:left="3600"/>
        <w:rPr>
          <w:szCs w:val="22"/>
        </w:rPr>
      </w:pPr>
      <w:r w:rsidRPr="003B4362">
        <w:rPr>
          <w:szCs w:val="22"/>
        </w:rPr>
        <w:t>“USEPA Sr-04 (84)” means Method Sr-04, “Radiochemical Determination of Radiostrontium in Water, Sea Water and Other Aqueous Media”, in USEPA Radiochemistry Procedures (84).  Referenced in Section 611.720.</w:t>
      </w:r>
    </w:p>
    <w:p w14:paraId="7A2A03AB" w14:textId="77777777" w:rsidR="00AD24B5" w:rsidRPr="003B4362" w:rsidRDefault="00AD24B5" w:rsidP="00AD24B5">
      <w:pPr>
        <w:ind w:left="3600"/>
        <w:rPr>
          <w:szCs w:val="22"/>
        </w:rPr>
      </w:pPr>
      <w:r w:rsidRPr="003B4362">
        <w:rPr>
          <w:szCs w:val="22"/>
        </w:rPr>
        <w:t>BOARD NOTE:  Also available from USEPA, OGWDW (under “Radionuclides (PDF)”).</w:t>
      </w:r>
    </w:p>
    <w:p w14:paraId="38DBA3B2" w14:textId="77777777" w:rsidR="00AD24B5" w:rsidRPr="003B4362" w:rsidRDefault="00AD24B5" w:rsidP="00AD24B5">
      <w:pPr>
        <w:ind w:left="3600"/>
        <w:rPr>
          <w:szCs w:val="22"/>
        </w:rPr>
      </w:pPr>
    </w:p>
    <w:p w14:paraId="5D23B5B6" w14:textId="77777777" w:rsidR="00AD24B5" w:rsidRPr="003B4362" w:rsidRDefault="00AD24B5" w:rsidP="00AD24B5">
      <w:pPr>
        <w:ind w:left="3600"/>
        <w:rPr>
          <w:szCs w:val="22"/>
        </w:rPr>
      </w:pPr>
      <w:r w:rsidRPr="003B4362">
        <w:rPr>
          <w:szCs w:val="22"/>
        </w:rPr>
        <w:t>“USEPA 00-01 (84)” means Method 00-01, “Radiochemical Determination of Gross Alpha and Gross Beta Activity in Water”, in USEPA Radiochemistry Procedures (84).  Referenced in Section 611.720.</w:t>
      </w:r>
    </w:p>
    <w:p w14:paraId="3DFEDCFC" w14:textId="77777777" w:rsidR="00AD24B5" w:rsidRPr="003B4362" w:rsidRDefault="00AD24B5" w:rsidP="00AD24B5">
      <w:pPr>
        <w:ind w:left="3600"/>
        <w:rPr>
          <w:szCs w:val="22"/>
        </w:rPr>
      </w:pPr>
      <w:r w:rsidRPr="003B4362">
        <w:rPr>
          <w:szCs w:val="22"/>
        </w:rPr>
        <w:t>BOARD NOTE:  Also available from USEPA, OGWDW (under “Radionuclides (PDF)”).</w:t>
      </w:r>
    </w:p>
    <w:p w14:paraId="75708F87" w14:textId="77777777" w:rsidR="00AD24B5" w:rsidRPr="003B4362" w:rsidRDefault="00AD24B5" w:rsidP="00AD24B5">
      <w:pPr>
        <w:ind w:left="3600"/>
        <w:rPr>
          <w:szCs w:val="22"/>
        </w:rPr>
      </w:pPr>
    </w:p>
    <w:p w14:paraId="7A3F2207" w14:textId="77777777" w:rsidR="00AD24B5" w:rsidRPr="003B4362" w:rsidRDefault="00AD24B5" w:rsidP="00AD24B5">
      <w:pPr>
        <w:ind w:left="3600"/>
        <w:rPr>
          <w:szCs w:val="22"/>
        </w:rPr>
      </w:pPr>
      <w:r w:rsidRPr="003B4362">
        <w:rPr>
          <w:szCs w:val="22"/>
        </w:rPr>
        <w:t xml:space="preserve">“USEPA 00-02 (84)” means Method 00-02, “Radiochemical Determination of Gross Alpha Activity in </w:t>
      </w:r>
      <w:r w:rsidRPr="003B4362">
        <w:rPr>
          <w:szCs w:val="22"/>
        </w:rPr>
        <w:lastRenderedPageBreak/>
        <w:t>Drinking Water by Coprecipitation”, in USEPA Radiochemistry Procedures (84).  Referenced in Section 611.720.</w:t>
      </w:r>
    </w:p>
    <w:p w14:paraId="63096DA3" w14:textId="77777777" w:rsidR="00AD24B5" w:rsidRPr="003B4362" w:rsidRDefault="00AD24B5" w:rsidP="00AD24B5">
      <w:pPr>
        <w:ind w:left="3600"/>
        <w:rPr>
          <w:szCs w:val="22"/>
        </w:rPr>
      </w:pPr>
      <w:r w:rsidRPr="003B4362">
        <w:rPr>
          <w:szCs w:val="22"/>
        </w:rPr>
        <w:t>BOARD NOTE:  Also available from USEPA, OGWDW (under “Radionuclides (PDF)”).</w:t>
      </w:r>
    </w:p>
    <w:p w14:paraId="7BBFF33B" w14:textId="77777777" w:rsidR="00AD24B5" w:rsidRPr="003B4362" w:rsidRDefault="00AD24B5" w:rsidP="00AD24B5">
      <w:pPr>
        <w:ind w:left="3600"/>
        <w:rPr>
          <w:szCs w:val="22"/>
        </w:rPr>
      </w:pPr>
    </w:p>
    <w:p w14:paraId="0DE329A7" w14:textId="77777777" w:rsidR="00AD24B5" w:rsidRPr="003B4362" w:rsidRDefault="00AD24B5" w:rsidP="00AD24B5">
      <w:pPr>
        <w:ind w:left="3600"/>
        <w:rPr>
          <w:szCs w:val="22"/>
        </w:rPr>
      </w:pPr>
      <w:r w:rsidRPr="003B4362">
        <w:rPr>
          <w:szCs w:val="22"/>
        </w:rPr>
        <w:t>“USEPA 00-07 (84)” means Method 00-07, “Radiochemical Determination of Thorium and Uranium in Water”, in USEPA Radiochemistry Procedures (84).  Referenced in Section 611.720.</w:t>
      </w:r>
    </w:p>
    <w:p w14:paraId="5EC1B206" w14:textId="77777777" w:rsidR="00AD24B5" w:rsidRPr="003B4362" w:rsidRDefault="00AD24B5" w:rsidP="00AD24B5">
      <w:pPr>
        <w:ind w:left="3600"/>
        <w:rPr>
          <w:szCs w:val="22"/>
        </w:rPr>
      </w:pPr>
      <w:r w:rsidRPr="003B4362">
        <w:rPr>
          <w:szCs w:val="22"/>
        </w:rPr>
        <w:t>BOARD NOTE:  Also available from USEPA, OGWDW (under “Radionuclides (PDF)”).</w:t>
      </w:r>
    </w:p>
    <w:p w14:paraId="47D77F86" w14:textId="77777777" w:rsidR="00AD24B5" w:rsidRPr="003B4362" w:rsidRDefault="00AD24B5" w:rsidP="00AD24B5">
      <w:pPr>
        <w:ind w:left="3600"/>
        <w:rPr>
          <w:szCs w:val="22"/>
        </w:rPr>
      </w:pPr>
    </w:p>
    <w:p w14:paraId="31440E5F" w14:textId="77777777" w:rsidR="00AD24B5" w:rsidRPr="003B4362" w:rsidRDefault="00AD24B5" w:rsidP="00AD24B5">
      <w:pPr>
        <w:ind w:left="3600"/>
        <w:rPr>
          <w:szCs w:val="22"/>
        </w:rPr>
      </w:pPr>
      <w:r w:rsidRPr="003B4362">
        <w:rPr>
          <w:szCs w:val="22"/>
        </w:rPr>
        <w:t>“USEPA 100.1 (83)” means “Method 100.1:  Analytical Method for Determination of Asbestos in Water” (September 1983), USEPA, Environmental Research Laboratory, document number EPA 600/4-83-043.  Available from NEMI; NTRL (document number PB83-260471) and USEPA, NSCEP (search for “600483043”).  Referenced in Section 611.611.</w:t>
      </w:r>
    </w:p>
    <w:p w14:paraId="1AE8326C" w14:textId="77777777" w:rsidR="00AD24B5" w:rsidRPr="003B4362" w:rsidRDefault="00AD24B5" w:rsidP="00AD24B5">
      <w:pPr>
        <w:widowControl w:val="0"/>
        <w:suppressAutoHyphens/>
        <w:ind w:left="3600"/>
        <w:rPr>
          <w:szCs w:val="22"/>
        </w:rPr>
      </w:pPr>
    </w:p>
    <w:p w14:paraId="58E31FE4" w14:textId="77777777" w:rsidR="00AD24B5" w:rsidRPr="003B4362" w:rsidRDefault="00AD24B5" w:rsidP="00AD24B5">
      <w:pPr>
        <w:widowControl w:val="0"/>
        <w:suppressAutoHyphens/>
        <w:ind w:left="3600"/>
        <w:rPr>
          <w:szCs w:val="22"/>
        </w:rPr>
      </w:pPr>
      <w:r w:rsidRPr="003B4362">
        <w:rPr>
          <w:szCs w:val="22"/>
        </w:rPr>
        <w:t>“USEPA 100.2 (94)” means “Method 100.2:  Determination of Asbestos Structures over 10-mm in Length in Drinking Water</w:t>
      </w:r>
      <w:r w:rsidRPr="003B4362">
        <w:rPr>
          <w:szCs w:val="16"/>
        </w:rPr>
        <w:t>” (</w:t>
      </w:r>
      <w:r w:rsidRPr="003B4362">
        <w:rPr>
          <w:szCs w:val="22"/>
        </w:rPr>
        <w:t xml:space="preserve">June 1994), USEPA, Environmental Monitoring Systems Laboratory, document number EPA 600/R-94-134.  Available from NEMI; NTRL (document number PB94-201902); USEPA, NSCEP (search for “600R94134”); and </w:t>
      </w:r>
      <w:r w:rsidRPr="003B4362">
        <w:rPr>
          <w:szCs w:val="16"/>
        </w:rPr>
        <w:t>USEPA, OGWDW (under “Inorganic Contaminants and Other Inorganic Constituents (PDF)”)</w:t>
      </w:r>
      <w:r w:rsidRPr="003B4362">
        <w:rPr>
          <w:szCs w:val="22"/>
        </w:rPr>
        <w:t>.  Referenced in Section 611.611.</w:t>
      </w:r>
    </w:p>
    <w:p w14:paraId="1C4B52AF" w14:textId="77777777" w:rsidR="00AD24B5" w:rsidRPr="003B4362" w:rsidRDefault="00AD24B5" w:rsidP="00AD24B5">
      <w:pPr>
        <w:widowControl w:val="0"/>
        <w:suppressAutoHyphens/>
        <w:ind w:left="3600"/>
        <w:rPr>
          <w:szCs w:val="18"/>
        </w:rPr>
      </w:pPr>
    </w:p>
    <w:p w14:paraId="10AFC9C9" w14:textId="77777777" w:rsidR="00AD24B5" w:rsidRPr="003B4362" w:rsidRDefault="00AD24B5" w:rsidP="00AD24B5">
      <w:pPr>
        <w:widowControl w:val="0"/>
        <w:suppressAutoHyphens/>
        <w:ind w:left="3600"/>
        <w:rPr>
          <w:szCs w:val="18"/>
        </w:rPr>
      </w:pPr>
      <w:r w:rsidRPr="003B4362">
        <w:rPr>
          <w:szCs w:val="18"/>
        </w:rPr>
        <w:t>“USEPA 127 (21)” means “Method 127:  Determination of Monochloramine Concentration in Drinking Water</w:t>
      </w:r>
      <w:r w:rsidRPr="003B4362">
        <w:rPr>
          <w:szCs w:val="16"/>
        </w:rPr>
        <w:t>”</w:t>
      </w:r>
      <w:r w:rsidRPr="003B4362">
        <w:rPr>
          <w:szCs w:val="18"/>
        </w:rPr>
        <w:t xml:space="preserve"> , document number EPA 815-B-21-004, (January 2021).  Available from USEPA, NSCEP (search for “815B21004”)</w:t>
      </w:r>
      <w:r w:rsidRPr="003B4362">
        <w:rPr>
          <w:szCs w:val="22"/>
        </w:rPr>
        <w:t>.  Referenced in Section 611.531</w:t>
      </w:r>
      <w:r w:rsidRPr="003B4362">
        <w:rPr>
          <w:szCs w:val="18"/>
        </w:rPr>
        <w:t>.</w:t>
      </w:r>
    </w:p>
    <w:p w14:paraId="42DCDF10" w14:textId="77777777" w:rsidR="00AD24B5" w:rsidRPr="003B4362" w:rsidRDefault="00AD24B5" w:rsidP="00AD24B5">
      <w:pPr>
        <w:ind w:left="3600"/>
        <w:rPr>
          <w:szCs w:val="22"/>
        </w:rPr>
      </w:pPr>
      <w:r w:rsidRPr="003B4362">
        <w:rPr>
          <w:szCs w:val="22"/>
        </w:rPr>
        <w:t>BOARD NOTE:  Also individually available from NEMI.</w:t>
      </w:r>
    </w:p>
    <w:p w14:paraId="2E6647BF" w14:textId="77777777" w:rsidR="00AD24B5" w:rsidRPr="003B4362" w:rsidRDefault="00AD24B5" w:rsidP="00AD24B5">
      <w:pPr>
        <w:widowControl w:val="0"/>
        <w:suppressAutoHyphens/>
        <w:ind w:left="3600"/>
        <w:rPr>
          <w:szCs w:val="18"/>
        </w:rPr>
      </w:pPr>
    </w:p>
    <w:p w14:paraId="24DB498C" w14:textId="77777777" w:rsidR="00AD24B5" w:rsidRPr="003B4362" w:rsidRDefault="00AD24B5" w:rsidP="00AD24B5">
      <w:pPr>
        <w:widowControl w:val="0"/>
        <w:suppressAutoHyphens/>
        <w:ind w:left="3600"/>
        <w:rPr>
          <w:szCs w:val="18"/>
        </w:rPr>
      </w:pPr>
      <w:r w:rsidRPr="003B4362">
        <w:rPr>
          <w:szCs w:val="18"/>
        </w:rPr>
        <w:t>“USEPA 150.1 (71)” means “pH:  Method 150.1 (Electrometric)</w:t>
      </w:r>
      <w:r w:rsidRPr="003B4362">
        <w:rPr>
          <w:szCs w:val="16"/>
        </w:rPr>
        <w:t>”</w:t>
      </w:r>
      <w:r w:rsidRPr="003B4362">
        <w:rPr>
          <w:szCs w:val="18"/>
        </w:rPr>
        <w:t xml:space="preserve"> (1971), in USEPA Inorganic Methods</w:t>
      </w:r>
      <w:r w:rsidRPr="003B4362">
        <w:rPr>
          <w:szCs w:val="22"/>
        </w:rPr>
        <w:t xml:space="preserve"> (83).  Referenced in Section 611.611</w:t>
      </w:r>
      <w:r w:rsidRPr="003B4362">
        <w:rPr>
          <w:szCs w:val="18"/>
        </w:rPr>
        <w:t>.</w:t>
      </w:r>
    </w:p>
    <w:p w14:paraId="0BA14D90" w14:textId="77777777" w:rsidR="00AD24B5" w:rsidRPr="003B4362" w:rsidRDefault="00AD24B5" w:rsidP="00AD24B5">
      <w:pPr>
        <w:ind w:left="3600"/>
        <w:rPr>
          <w:szCs w:val="22"/>
        </w:rPr>
      </w:pPr>
      <w:r w:rsidRPr="003B4362">
        <w:rPr>
          <w:szCs w:val="22"/>
        </w:rPr>
        <w:t>BOARD NOTE:  Also individually available from NEMI.</w:t>
      </w:r>
    </w:p>
    <w:p w14:paraId="46294EA6" w14:textId="77777777" w:rsidR="00AD24B5" w:rsidRPr="003B4362" w:rsidRDefault="00AD24B5" w:rsidP="00AD24B5">
      <w:pPr>
        <w:widowControl w:val="0"/>
        <w:suppressAutoHyphens/>
        <w:ind w:left="3600"/>
        <w:rPr>
          <w:szCs w:val="18"/>
        </w:rPr>
      </w:pPr>
    </w:p>
    <w:p w14:paraId="39BB1F21" w14:textId="77777777" w:rsidR="00AD24B5" w:rsidRPr="003B4362" w:rsidRDefault="00AD24B5" w:rsidP="00AD24B5">
      <w:pPr>
        <w:widowControl w:val="0"/>
        <w:suppressAutoHyphens/>
        <w:ind w:left="3600"/>
        <w:rPr>
          <w:szCs w:val="18"/>
        </w:rPr>
      </w:pPr>
      <w:r w:rsidRPr="003B4362">
        <w:rPr>
          <w:szCs w:val="18"/>
        </w:rPr>
        <w:t>“</w:t>
      </w:r>
      <w:bookmarkStart w:id="279" w:name="_Hlk36813513"/>
      <w:r w:rsidRPr="003B4362">
        <w:rPr>
          <w:szCs w:val="18"/>
        </w:rPr>
        <w:t>USEPA 150.2 (82)</w:t>
      </w:r>
      <w:bookmarkEnd w:id="279"/>
      <w:r w:rsidRPr="003B4362">
        <w:rPr>
          <w:szCs w:val="18"/>
        </w:rPr>
        <w:t>” means “</w:t>
      </w:r>
      <w:bookmarkStart w:id="280" w:name="_Hlk36813529"/>
      <w:r w:rsidRPr="003B4362">
        <w:rPr>
          <w:szCs w:val="18"/>
        </w:rPr>
        <w:t>pH, Continuous Monitoring (Electrometric)—Method 150.2</w:t>
      </w:r>
      <w:bookmarkEnd w:id="280"/>
      <w:r w:rsidRPr="003B4362">
        <w:rPr>
          <w:szCs w:val="16"/>
        </w:rPr>
        <w:t>”</w:t>
      </w:r>
      <w:r w:rsidRPr="003B4362">
        <w:rPr>
          <w:szCs w:val="18"/>
        </w:rPr>
        <w:t xml:space="preserve"> (December 1982), in </w:t>
      </w:r>
      <w:r w:rsidRPr="003B4362">
        <w:rPr>
          <w:szCs w:val="18"/>
        </w:rPr>
        <w:lastRenderedPageBreak/>
        <w:t>USEPA Inorganic Methods</w:t>
      </w:r>
      <w:r w:rsidRPr="003B4362">
        <w:rPr>
          <w:szCs w:val="22"/>
        </w:rPr>
        <w:t xml:space="preserve"> (83).  Referenced in Section 611.611</w:t>
      </w:r>
      <w:r w:rsidRPr="003B4362">
        <w:rPr>
          <w:szCs w:val="18"/>
        </w:rPr>
        <w:t>.</w:t>
      </w:r>
    </w:p>
    <w:p w14:paraId="5AA6133F" w14:textId="77777777" w:rsidR="00AD24B5" w:rsidRPr="003B4362" w:rsidRDefault="00AD24B5" w:rsidP="00AD24B5">
      <w:pPr>
        <w:ind w:left="3600"/>
        <w:rPr>
          <w:szCs w:val="22"/>
        </w:rPr>
      </w:pPr>
      <w:r w:rsidRPr="003B4362">
        <w:rPr>
          <w:szCs w:val="22"/>
        </w:rPr>
        <w:t>BOARD NOTE:  Also individually available from NEMI.</w:t>
      </w:r>
    </w:p>
    <w:p w14:paraId="303D450F" w14:textId="77777777" w:rsidR="00AD24B5" w:rsidRPr="003B4362" w:rsidRDefault="00AD24B5" w:rsidP="00AD24B5">
      <w:pPr>
        <w:widowControl w:val="0"/>
        <w:suppressAutoHyphens/>
        <w:ind w:left="3600"/>
        <w:rPr>
          <w:szCs w:val="18"/>
        </w:rPr>
      </w:pPr>
    </w:p>
    <w:p w14:paraId="398F1CE0" w14:textId="77777777" w:rsidR="00AD24B5" w:rsidRPr="003B4362" w:rsidRDefault="00AD24B5" w:rsidP="00AD24B5">
      <w:pPr>
        <w:widowControl w:val="0"/>
        <w:suppressAutoHyphens/>
        <w:ind w:left="3600"/>
        <w:rPr>
          <w:szCs w:val="18"/>
        </w:rPr>
      </w:pPr>
      <w:r w:rsidRPr="003B4362">
        <w:rPr>
          <w:szCs w:val="18"/>
        </w:rPr>
        <w:t>“USEPA 150.3 (17)” means “Method 150.3:  Determination of pH in Drinking Water</w:t>
      </w:r>
      <w:r w:rsidRPr="003B4362">
        <w:rPr>
          <w:szCs w:val="16"/>
        </w:rPr>
        <w:t>”</w:t>
      </w:r>
      <w:r w:rsidRPr="003B4362">
        <w:rPr>
          <w:szCs w:val="18"/>
        </w:rPr>
        <w:t>, Version 1.0 (February 2017), USEPA, Office of Ground Water and Drinking Water, document number EPA 815/B-17/001</w:t>
      </w:r>
      <w:r w:rsidRPr="003B4362">
        <w:rPr>
          <w:szCs w:val="22"/>
        </w:rPr>
        <w:t>.  Available from USEPA, NSCEP (search for “815B17001”) and</w:t>
      </w:r>
      <w:r w:rsidRPr="003B4362">
        <w:rPr>
          <w:szCs w:val="18"/>
        </w:rPr>
        <w:t xml:space="preserve"> </w:t>
      </w:r>
      <w:r w:rsidRPr="003B4362">
        <w:rPr>
          <w:szCs w:val="16"/>
        </w:rPr>
        <w:t>USEPA, OGWDW (under “Disinfection Byproduct Rules (PDF)” and “Inorganic Contaminants and Other Inorganic Constituents (PDF)”)</w:t>
      </w:r>
      <w:r w:rsidRPr="003B4362">
        <w:rPr>
          <w:szCs w:val="22"/>
        </w:rPr>
        <w:t>.  Referenced in Section 611.611</w:t>
      </w:r>
      <w:r w:rsidRPr="003B4362">
        <w:rPr>
          <w:szCs w:val="18"/>
        </w:rPr>
        <w:t>.</w:t>
      </w:r>
    </w:p>
    <w:p w14:paraId="4253A1B4" w14:textId="77777777" w:rsidR="00AD24B5" w:rsidRPr="003B4362" w:rsidRDefault="00AD24B5" w:rsidP="00AD24B5">
      <w:pPr>
        <w:widowControl w:val="0"/>
        <w:ind w:left="3600"/>
        <w:rPr>
          <w:szCs w:val="22"/>
        </w:rPr>
      </w:pPr>
    </w:p>
    <w:p w14:paraId="1D6F588D" w14:textId="77777777" w:rsidR="00AD24B5" w:rsidRPr="003B4362" w:rsidRDefault="00AD24B5" w:rsidP="00AD24B5">
      <w:pPr>
        <w:widowControl w:val="0"/>
        <w:ind w:left="3600"/>
        <w:rPr>
          <w:szCs w:val="22"/>
        </w:rPr>
      </w:pPr>
      <w:r w:rsidRPr="003B4362">
        <w:rPr>
          <w:szCs w:val="22"/>
        </w:rPr>
        <w:t>“USEPA 180.1 (93)” means “Method 180.1:  Determination of Turbidity by Nephelometry”, Revision 2.0 (August 1993), in USEPA Environmental Inorganic Methods</w:t>
      </w:r>
      <w:r w:rsidRPr="003B4362">
        <w:rPr>
          <w:spacing w:val="-2"/>
          <w:szCs w:val="22"/>
        </w:rPr>
        <w:t xml:space="preserve"> (93)</w:t>
      </w:r>
      <w:r w:rsidRPr="003B4362">
        <w:rPr>
          <w:szCs w:val="22"/>
        </w:rPr>
        <w:t>.  Referenced in Section 611.531.</w:t>
      </w:r>
    </w:p>
    <w:p w14:paraId="53A4CAC0" w14:textId="77777777" w:rsidR="00AD24B5" w:rsidRPr="003B4362" w:rsidRDefault="00AD24B5" w:rsidP="00AD24B5">
      <w:pPr>
        <w:ind w:left="3600"/>
        <w:rPr>
          <w:szCs w:val="22"/>
        </w:rPr>
      </w:pPr>
      <w:r w:rsidRPr="003B4362">
        <w:rPr>
          <w:szCs w:val="22"/>
        </w:rPr>
        <w:t>BOARD NOTE:  Also individually available from NEMI.</w:t>
      </w:r>
    </w:p>
    <w:p w14:paraId="7403040F" w14:textId="77777777" w:rsidR="00AD24B5" w:rsidRPr="003B4362" w:rsidRDefault="00AD24B5" w:rsidP="00AD24B5">
      <w:pPr>
        <w:widowControl w:val="0"/>
        <w:ind w:left="3600"/>
        <w:rPr>
          <w:szCs w:val="22"/>
        </w:rPr>
      </w:pPr>
    </w:p>
    <w:p w14:paraId="32BFAB43" w14:textId="77777777" w:rsidR="00AD24B5" w:rsidRPr="003B4362" w:rsidRDefault="00AD24B5" w:rsidP="00AD24B5">
      <w:pPr>
        <w:widowControl w:val="0"/>
        <w:ind w:left="3600"/>
        <w:rPr>
          <w:szCs w:val="22"/>
        </w:rPr>
      </w:pPr>
      <w:r w:rsidRPr="003B4362">
        <w:rPr>
          <w:szCs w:val="22"/>
        </w:rPr>
        <w:t>“USEPA 200.5 (03)” means “Method 200.5:  Determination of Trace Elements in Drinking Water by Axially Viewed Inductively Coupled Plasma-Atomic Emission Spectrometry</w:t>
      </w:r>
      <w:r w:rsidRPr="003B4362">
        <w:rPr>
          <w:szCs w:val="16"/>
        </w:rPr>
        <w:t>”</w:t>
      </w:r>
      <w:r w:rsidRPr="003B4362">
        <w:rPr>
          <w:szCs w:val="22"/>
        </w:rPr>
        <w:t xml:space="preserve">, </w:t>
      </w:r>
      <w:r w:rsidRPr="003B4362">
        <w:rPr>
          <w:szCs w:val="18"/>
        </w:rPr>
        <w:t xml:space="preserve">Revision </w:t>
      </w:r>
      <w:r w:rsidRPr="003B4362">
        <w:rPr>
          <w:szCs w:val="22"/>
        </w:rPr>
        <w:t>4.2</w:t>
      </w:r>
      <w:r w:rsidRPr="003B4362">
        <w:rPr>
          <w:szCs w:val="16"/>
        </w:rPr>
        <w:t xml:space="preserve"> (</w:t>
      </w:r>
      <w:r w:rsidRPr="003B4362">
        <w:rPr>
          <w:szCs w:val="22"/>
        </w:rPr>
        <w:t>October 2003), USEPA, National Exposure Research Laboratory, document number EPA 600/R-06/115.  Available from NEMI; USEPA, NSCEP (search for “600R06115”)</w:t>
      </w:r>
      <w:r w:rsidRPr="003B4362">
        <w:rPr>
          <w:szCs w:val="18"/>
        </w:rPr>
        <w:t xml:space="preserve">; and </w:t>
      </w:r>
      <w:r w:rsidRPr="003B4362">
        <w:rPr>
          <w:szCs w:val="16"/>
        </w:rPr>
        <w:t>USEPA, OGWDW (under “Disinfection Byproduct Rules (PDF),” “</w:t>
      </w:r>
      <w:bookmarkStart w:id="281" w:name="_Hlk12355966"/>
      <w:r w:rsidRPr="003B4362">
        <w:rPr>
          <w:szCs w:val="16"/>
        </w:rPr>
        <w:t>Inorganic Contaminants and Other Inorganic Constituents (PDF)</w:t>
      </w:r>
      <w:bookmarkStart w:id="282" w:name="_Hlk12377429"/>
      <w:bookmarkStart w:id="283" w:name="_Hlk12377980"/>
      <w:bookmarkEnd w:id="281"/>
      <w:r w:rsidRPr="003B4362">
        <w:rPr>
          <w:szCs w:val="16"/>
        </w:rPr>
        <w:t>,”</w:t>
      </w:r>
      <w:bookmarkEnd w:id="282"/>
      <w:r w:rsidRPr="003B4362">
        <w:rPr>
          <w:szCs w:val="16"/>
        </w:rPr>
        <w:t xml:space="preserve"> and “Secondary Contaminants (PDF)</w:t>
      </w:r>
      <w:bookmarkEnd w:id="283"/>
      <w:r w:rsidRPr="003B4362">
        <w:rPr>
          <w:szCs w:val="16"/>
        </w:rPr>
        <w:t>”)</w:t>
      </w:r>
      <w:r w:rsidRPr="003B4362">
        <w:rPr>
          <w:szCs w:val="22"/>
        </w:rPr>
        <w:t>.  Referenced in Sections 611.611 and 611.612.</w:t>
      </w:r>
    </w:p>
    <w:p w14:paraId="7E19EDE5" w14:textId="77777777" w:rsidR="00AD24B5" w:rsidRPr="003B4362" w:rsidRDefault="00AD24B5" w:rsidP="00AD24B5">
      <w:pPr>
        <w:widowControl w:val="0"/>
        <w:suppressAutoHyphens/>
        <w:ind w:left="3600"/>
        <w:rPr>
          <w:szCs w:val="22"/>
        </w:rPr>
      </w:pPr>
    </w:p>
    <w:p w14:paraId="43C8721D" w14:textId="77777777" w:rsidR="00AD24B5" w:rsidRPr="003B4362" w:rsidRDefault="00AD24B5" w:rsidP="00AD24B5">
      <w:pPr>
        <w:widowControl w:val="0"/>
        <w:suppressAutoHyphens/>
        <w:ind w:left="3600"/>
        <w:rPr>
          <w:szCs w:val="22"/>
        </w:rPr>
      </w:pPr>
      <w:r w:rsidRPr="003B4362">
        <w:rPr>
          <w:szCs w:val="22"/>
        </w:rPr>
        <w:t>“</w:t>
      </w:r>
      <w:r w:rsidRPr="003B4362">
        <w:rPr>
          <w:szCs w:val="18"/>
        </w:rPr>
        <w:t>USEPA</w:t>
      </w:r>
      <w:r w:rsidRPr="003B4362">
        <w:rPr>
          <w:szCs w:val="22"/>
        </w:rPr>
        <w:t xml:space="preserve"> 200.7 (94)” means “Method 200.7:  Determination of Metals and Trace Elements in Water and Wastes by Inductively Coupled Plasma-Atomic Emission Spectrometry”, Revision 4.4 (May 1994), in USEPA Environmental Metals Methods (94).  Referenced in Sections 611.600, 611.611, and 611.612.</w:t>
      </w:r>
    </w:p>
    <w:p w14:paraId="7BCE8930" w14:textId="77777777" w:rsidR="00AD24B5" w:rsidRPr="003B4362" w:rsidRDefault="00AD24B5" w:rsidP="00AD24B5">
      <w:pPr>
        <w:ind w:left="3600"/>
        <w:rPr>
          <w:szCs w:val="22"/>
        </w:rPr>
      </w:pPr>
      <w:r w:rsidRPr="003B4362">
        <w:rPr>
          <w:szCs w:val="22"/>
        </w:rPr>
        <w:t>BOARD NOTE:  Also individually available from NEMI.</w:t>
      </w:r>
    </w:p>
    <w:p w14:paraId="3D7201A8" w14:textId="77777777" w:rsidR="00AD24B5" w:rsidRPr="003B4362" w:rsidRDefault="00AD24B5" w:rsidP="00AD24B5">
      <w:pPr>
        <w:widowControl w:val="0"/>
        <w:suppressAutoHyphens/>
        <w:ind w:left="3600"/>
        <w:rPr>
          <w:szCs w:val="22"/>
        </w:rPr>
      </w:pPr>
    </w:p>
    <w:p w14:paraId="59B65063" w14:textId="77777777" w:rsidR="00AD24B5" w:rsidRPr="003B4362" w:rsidRDefault="00AD24B5" w:rsidP="00AD24B5">
      <w:pPr>
        <w:widowControl w:val="0"/>
        <w:suppressAutoHyphens/>
        <w:ind w:left="3600"/>
        <w:rPr>
          <w:szCs w:val="22"/>
        </w:rPr>
      </w:pPr>
      <w:r w:rsidRPr="003B4362">
        <w:rPr>
          <w:szCs w:val="22"/>
        </w:rPr>
        <w:t xml:space="preserve">“USEPA 200.8 (94)” means “Method 200.8:  Determination of Trace Elements in Water and Wastes by Inductively Coupled Plasma-Atomic Emission Spectrometry”, Revision 5.3 (May 1994), in USEPA Environmental Metals Methods (94).  Referenced in </w:t>
      </w:r>
      <w:r w:rsidRPr="003B4362">
        <w:rPr>
          <w:szCs w:val="22"/>
        </w:rPr>
        <w:lastRenderedPageBreak/>
        <w:t>Sections 611.600, 611.611, 611.612, and 611.720.</w:t>
      </w:r>
    </w:p>
    <w:p w14:paraId="4236D54F" w14:textId="77777777" w:rsidR="00AD24B5" w:rsidRPr="003B4362" w:rsidRDefault="00AD24B5" w:rsidP="00AD24B5">
      <w:pPr>
        <w:ind w:left="3600"/>
        <w:rPr>
          <w:szCs w:val="22"/>
        </w:rPr>
      </w:pPr>
      <w:r w:rsidRPr="003B4362">
        <w:rPr>
          <w:szCs w:val="22"/>
        </w:rPr>
        <w:t>BOARD NOTE:  Also individually available from NEMI.</w:t>
      </w:r>
    </w:p>
    <w:p w14:paraId="4CA20E64" w14:textId="77777777" w:rsidR="00AD24B5" w:rsidRPr="003B4362" w:rsidRDefault="00AD24B5" w:rsidP="00AD24B5">
      <w:pPr>
        <w:ind w:left="3600"/>
        <w:rPr>
          <w:szCs w:val="22"/>
        </w:rPr>
      </w:pPr>
    </w:p>
    <w:p w14:paraId="000EF23E" w14:textId="77777777" w:rsidR="00AD24B5" w:rsidRPr="003B4362" w:rsidRDefault="00AD24B5" w:rsidP="00AD24B5">
      <w:pPr>
        <w:ind w:left="3600"/>
        <w:rPr>
          <w:szCs w:val="22"/>
        </w:rPr>
      </w:pPr>
      <w:r w:rsidRPr="003B4362">
        <w:rPr>
          <w:szCs w:val="22"/>
        </w:rPr>
        <w:t>“USEPA 200.9 (94)” means “Method 200.9:  Determination of Metals and Trace Elements in Water by Ultrasonic Nebulization Inductively Coupled Plasma-Atomic Emission Spectrometry”, Revision 2.2 (May 1994), in USEPA Environmental Metals Methods (94).  Referenced in Sections 611.600, 611.611, and 611.612.</w:t>
      </w:r>
    </w:p>
    <w:p w14:paraId="586FD4D1" w14:textId="77777777" w:rsidR="00AD24B5" w:rsidRPr="003B4362" w:rsidRDefault="00AD24B5" w:rsidP="00AD24B5">
      <w:pPr>
        <w:ind w:left="3600"/>
        <w:rPr>
          <w:szCs w:val="22"/>
        </w:rPr>
      </w:pPr>
      <w:r w:rsidRPr="003B4362">
        <w:rPr>
          <w:szCs w:val="22"/>
        </w:rPr>
        <w:t>BOARD NOTE:  Also individually available from NEMI.</w:t>
      </w:r>
    </w:p>
    <w:p w14:paraId="55443AC8" w14:textId="77777777" w:rsidR="00AD24B5" w:rsidRPr="003B4362" w:rsidRDefault="00AD24B5" w:rsidP="00AD24B5">
      <w:pPr>
        <w:widowControl w:val="0"/>
        <w:suppressAutoHyphens/>
        <w:ind w:left="3600"/>
        <w:rPr>
          <w:szCs w:val="22"/>
        </w:rPr>
      </w:pPr>
    </w:p>
    <w:p w14:paraId="358FDE81" w14:textId="77777777" w:rsidR="00AD24B5" w:rsidRPr="003B4362" w:rsidRDefault="00AD24B5" w:rsidP="00AD24B5">
      <w:pPr>
        <w:widowControl w:val="0"/>
        <w:suppressAutoHyphens/>
        <w:ind w:left="3600"/>
        <w:rPr>
          <w:szCs w:val="22"/>
        </w:rPr>
      </w:pPr>
      <w:r w:rsidRPr="003B4362">
        <w:rPr>
          <w:szCs w:val="22"/>
        </w:rPr>
        <w:t>“</w:t>
      </w:r>
      <w:r w:rsidRPr="003B4362">
        <w:rPr>
          <w:szCs w:val="18"/>
        </w:rPr>
        <w:t>USEPA</w:t>
      </w:r>
      <w:r w:rsidRPr="003B4362">
        <w:rPr>
          <w:szCs w:val="22"/>
        </w:rPr>
        <w:t xml:space="preserve"> 245.1 (91)” means “Method 245.1:  Determination of Mercury in Water by Cold Vapor Atomic Absorption Spectrometry”, Revision 2.3 (April 1991), in USEPA Environmental Metals Methods (94).  Referenced in Section 611.611.</w:t>
      </w:r>
    </w:p>
    <w:p w14:paraId="6B57B827" w14:textId="77777777" w:rsidR="00AD24B5" w:rsidRPr="003B4362" w:rsidRDefault="00AD24B5" w:rsidP="00AD24B5">
      <w:pPr>
        <w:ind w:left="3600"/>
        <w:rPr>
          <w:szCs w:val="22"/>
        </w:rPr>
      </w:pPr>
      <w:r w:rsidRPr="003B4362">
        <w:rPr>
          <w:szCs w:val="22"/>
        </w:rPr>
        <w:t>BOARD NOTE:  Also individually available from NEMI.</w:t>
      </w:r>
    </w:p>
    <w:p w14:paraId="1F40A057" w14:textId="77777777" w:rsidR="00AD24B5" w:rsidRPr="003B4362" w:rsidRDefault="00AD24B5" w:rsidP="00AD24B5">
      <w:pPr>
        <w:widowControl w:val="0"/>
        <w:suppressAutoHyphens/>
        <w:ind w:left="3600"/>
        <w:rPr>
          <w:szCs w:val="18"/>
        </w:rPr>
      </w:pPr>
    </w:p>
    <w:p w14:paraId="0D53D9F0" w14:textId="77777777" w:rsidR="00AD24B5" w:rsidRPr="003B4362" w:rsidRDefault="00AD24B5" w:rsidP="00AD24B5">
      <w:pPr>
        <w:widowControl w:val="0"/>
        <w:suppressAutoHyphens/>
        <w:ind w:left="3600"/>
        <w:rPr>
          <w:szCs w:val="18"/>
        </w:rPr>
      </w:pPr>
      <w:r w:rsidRPr="003B4362">
        <w:rPr>
          <w:szCs w:val="18"/>
        </w:rPr>
        <w:t xml:space="preserve">“USEPA 245.2 (74)” means “Mercury:  </w:t>
      </w:r>
      <w:r w:rsidRPr="003B4362">
        <w:rPr>
          <w:szCs w:val="22"/>
        </w:rPr>
        <w:t>Method 245.2 (Automated Cold Vapor Technique)</w:t>
      </w:r>
      <w:r w:rsidRPr="003B4362">
        <w:rPr>
          <w:szCs w:val="16"/>
        </w:rPr>
        <w:t>”</w:t>
      </w:r>
      <w:r w:rsidRPr="003B4362">
        <w:rPr>
          <w:szCs w:val="18"/>
        </w:rPr>
        <w:t xml:space="preserve"> (1974), in USEPA Inorganic Methods</w:t>
      </w:r>
      <w:r w:rsidRPr="003B4362">
        <w:rPr>
          <w:szCs w:val="22"/>
        </w:rPr>
        <w:t xml:space="preserve"> (83).  Referenced in Section 611.611</w:t>
      </w:r>
      <w:r w:rsidRPr="003B4362">
        <w:rPr>
          <w:szCs w:val="18"/>
        </w:rPr>
        <w:t>.</w:t>
      </w:r>
    </w:p>
    <w:p w14:paraId="64DC85BB" w14:textId="77777777" w:rsidR="00AD24B5" w:rsidRPr="003B4362" w:rsidRDefault="00AD24B5" w:rsidP="00AD24B5">
      <w:pPr>
        <w:ind w:left="3600"/>
        <w:rPr>
          <w:szCs w:val="22"/>
        </w:rPr>
      </w:pPr>
      <w:r w:rsidRPr="003B4362">
        <w:rPr>
          <w:szCs w:val="22"/>
        </w:rPr>
        <w:t>BOARD NOTE:  Also individually available from NEMI.</w:t>
      </w:r>
    </w:p>
    <w:p w14:paraId="7B0343F3" w14:textId="77777777" w:rsidR="00AD24B5" w:rsidRPr="003B4362" w:rsidRDefault="00AD24B5" w:rsidP="00AD24B5">
      <w:pPr>
        <w:widowControl w:val="0"/>
        <w:ind w:left="3600"/>
        <w:rPr>
          <w:szCs w:val="22"/>
        </w:rPr>
      </w:pPr>
    </w:p>
    <w:p w14:paraId="4752CC7E" w14:textId="77777777" w:rsidR="00AD24B5" w:rsidRPr="003B4362" w:rsidRDefault="00AD24B5" w:rsidP="00AD24B5">
      <w:pPr>
        <w:widowControl w:val="0"/>
        <w:ind w:left="3600"/>
        <w:rPr>
          <w:szCs w:val="22"/>
        </w:rPr>
      </w:pPr>
      <w:r w:rsidRPr="003B4362">
        <w:rPr>
          <w:szCs w:val="22"/>
        </w:rPr>
        <w:t>“USEPA 300.0 (93)” means “Method 300.0:  Determination of Inorganic Anions by Ion Chromatography”, Revision 2.1 (August 1993), in USEPA Environmental Inorganic Methods</w:t>
      </w:r>
      <w:r w:rsidRPr="003B4362">
        <w:rPr>
          <w:spacing w:val="-2"/>
          <w:szCs w:val="22"/>
        </w:rPr>
        <w:t xml:space="preserve"> (93)</w:t>
      </w:r>
      <w:r w:rsidRPr="003B4362">
        <w:rPr>
          <w:szCs w:val="22"/>
        </w:rPr>
        <w:t>.  Referenced in Sections 611.381 and 611.611.</w:t>
      </w:r>
    </w:p>
    <w:p w14:paraId="4E7BEA7E" w14:textId="77777777" w:rsidR="00AD24B5" w:rsidRPr="003B4362" w:rsidRDefault="00AD24B5" w:rsidP="00AD24B5">
      <w:pPr>
        <w:ind w:left="3600"/>
        <w:rPr>
          <w:szCs w:val="22"/>
        </w:rPr>
      </w:pPr>
      <w:r w:rsidRPr="003B4362">
        <w:rPr>
          <w:szCs w:val="22"/>
        </w:rPr>
        <w:t>BOARD NOTE:  Also individually available from NEMI.</w:t>
      </w:r>
    </w:p>
    <w:p w14:paraId="02DFD31F" w14:textId="77777777" w:rsidR="00AD24B5" w:rsidRPr="003B4362" w:rsidRDefault="00AD24B5" w:rsidP="00AD24B5">
      <w:pPr>
        <w:ind w:left="3600"/>
        <w:rPr>
          <w:szCs w:val="22"/>
        </w:rPr>
      </w:pPr>
    </w:p>
    <w:p w14:paraId="5FB2FC97" w14:textId="77777777" w:rsidR="00AD24B5" w:rsidRPr="003B4362" w:rsidRDefault="00AD24B5" w:rsidP="00AD24B5">
      <w:pPr>
        <w:ind w:left="3600"/>
        <w:rPr>
          <w:szCs w:val="22"/>
        </w:rPr>
      </w:pPr>
      <w:r w:rsidRPr="003B4362">
        <w:rPr>
          <w:szCs w:val="22"/>
        </w:rPr>
        <w:t>“USEPA 300.1 (97)” means “Method 300.1:  Determination of Inorganic Anions in Drinking Water by Ion Chromatography”, Revision 1.0 (September 1997), in USEPA Organic and Inorganic Methods (00).  Referenced in Sections 611.381 and 611.611.</w:t>
      </w:r>
    </w:p>
    <w:p w14:paraId="70910CC3" w14:textId="77777777" w:rsidR="00AD24B5" w:rsidRPr="003B4362" w:rsidRDefault="00AD24B5" w:rsidP="00AD24B5">
      <w:pPr>
        <w:ind w:left="3600"/>
        <w:rPr>
          <w:szCs w:val="22"/>
        </w:rPr>
      </w:pPr>
      <w:r w:rsidRPr="003B4362">
        <w:rPr>
          <w:szCs w:val="22"/>
        </w:rPr>
        <w:t>BOARD NOTE:  Also individually available from NEMI.</w:t>
      </w:r>
    </w:p>
    <w:p w14:paraId="07A398DE" w14:textId="77777777" w:rsidR="00AD24B5" w:rsidRPr="003B4362" w:rsidRDefault="00AD24B5" w:rsidP="00AD24B5">
      <w:pPr>
        <w:widowControl w:val="0"/>
        <w:suppressAutoHyphens/>
        <w:ind w:left="3600"/>
        <w:rPr>
          <w:szCs w:val="18"/>
        </w:rPr>
      </w:pPr>
    </w:p>
    <w:p w14:paraId="2A2C3239" w14:textId="77777777" w:rsidR="00AD24B5" w:rsidRPr="003B4362" w:rsidRDefault="00AD24B5" w:rsidP="00AD24B5">
      <w:pPr>
        <w:widowControl w:val="0"/>
        <w:suppressAutoHyphens/>
        <w:ind w:left="3600"/>
        <w:rPr>
          <w:szCs w:val="18"/>
        </w:rPr>
      </w:pPr>
      <w:r w:rsidRPr="003B4362">
        <w:rPr>
          <w:szCs w:val="18"/>
        </w:rPr>
        <w:t>“USEPA 302.0 (09)” means “Method 302.0:  Determination of Bromate in Drinking Water Using Two-Dimensional Ion Chromatography with Suppressed Conductivity Detection</w:t>
      </w:r>
      <w:r w:rsidRPr="003B4362">
        <w:rPr>
          <w:szCs w:val="16"/>
        </w:rPr>
        <w:t>” (</w:t>
      </w:r>
      <w:r w:rsidRPr="003B4362">
        <w:rPr>
          <w:szCs w:val="18"/>
        </w:rPr>
        <w:t>September 2009), USEPA, Office of Water, document number EPA 815/B-09/014</w:t>
      </w:r>
      <w:r w:rsidRPr="003B4362">
        <w:rPr>
          <w:szCs w:val="22"/>
        </w:rPr>
        <w:t xml:space="preserve">.  Available from </w:t>
      </w:r>
      <w:r w:rsidRPr="003B4362">
        <w:rPr>
          <w:szCs w:val="18"/>
        </w:rPr>
        <w:t>NEMI; USEPA, NSCEP</w:t>
      </w:r>
      <w:r w:rsidRPr="003B4362">
        <w:rPr>
          <w:szCs w:val="22"/>
        </w:rPr>
        <w:t xml:space="preserve"> (search “815B09014”)</w:t>
      </w:r>
      <w:r w:rsidRPr="003B4362">
        <w:rPr>
          <w:szCs w:val="18"/>
        </w:rPr>
        <w:t>; and USEPA, OGWDW</w:t>
      </w:r>
      <w:bookmarkStart w:id="284" w:name="_Hlk12292614"/>
      <w:bookmarkStart w:id="285" w:name="_Hlk11945535"/>
      <w:r w:rsidRPr="003B4362">
        <w:rPr>
          <w:szCs w:val="18"/>
        </w:rPr>
        <w:t xml:space="preserve"> (under “Disinfection Byproduct Rules (PDF)”)</w:t>
      </w:r>
      <w:bookmarkEnd w:id="284"/>
      <w:r w:rsidRPr="003B4362">
        <w:rPr>
          <w:szCs w:val="18"/>
        </w:rPr>
        <w:t>.</w:t>
      </w:r>
      <w:bookmarkEnd w:id="285"/>
      <w:r w:rsidRPr="003B4362">
        <w:rPr>
          <w:szCs w:val="18"/>
        </w:rPr>
        <w:t xml:space="preserve">  R</w:t>
      </w:r>
      <w:r w:rsidRPr="003B4362">
        <w:rPr>
          <w:szCs w:val="22"/>
        </w:rPr>
        <w:t>eferenced in Sections 611.381 and 611.382</w:t>
      </w:r>
      <w:r w:rsidRPr="003B4362">
        <w:rPr>
          <w:szCs w:val="18"/>
        </w:rPr>
        <w:t>.</w:t>
      </w:r>
    </w:p>
    <w:p w14:paraId="7C8F89AC" w14:textId="77777777" w:rsidR="00AD24B5" w:rsidRPr="003B4362" w:rsidRDefault="00AD24B5" w:rsidP="00AD24B5">
      <w:pPr>
        <w:widowControl w:val="0"/>
        <w:suppressAutoHyphens/>
        <w:ind w:left="3600"/>
        <w:rPr>
          <w:szCs w:val="18"/>
        </w:rPr>
      </w:pPr>
    </w:p>
    <w:p w14:paraId="29A18AF0" w14:textId="77777777" w:rsidR="00AD24B5" w:rsidRPr="003B4362" w:rsidRDefault="00AD24B5" w:rsidP="00AD24B5">
      <w:pPr>
        <w:widowControl w:val="0"/>
        <w:suppressAutoHyphens/>
        <w:ind w:left="3600"/>
        <w:rPr>
          <w:szCs w:val="18"/>
        </w:rPr>
      </w:pPr>
      <w:r w:rsidRPr="003B4362">
        <w:rPr>
          <w:szCs w:val="18"/>
        </w:rPr>
        <w:t>“USEPA 317.0 (01)” means “Method 317.0:  Determination of Inorganic Oxyhalide Disinfection By-Products in Drinking Water Using Ion Chromatography with the Addition of a Postcolumn Reagent for Trace Bromate Analysis</w:t>
      </w:r>
      <w:r w:rsidRPr="003B4362">
        <w:rPr>
          <w:szCs w:val="16"/>
        </w:rPr>
        <w:t>”</w:t>
      </w:r>
      <w:r w:rsidRPr="003B4362">
        <w:rPr>
          <w:szCs w:val="18"/>
        </w:rPr>
        <w:t>, Revision 2.0</w:t>
      </w:r>
      <w:r w:rsidRPr="003B4362">
        <w:rPr>
          <w:szCs w:val="16"/>
        </w:rPr>
        <w:t xml:space="preserve"> (</w:t>
      </w:r>
      <w:r w:rsidRPr="003B4362">
        <w:rPr>
          <w:szCs w:val="18"/>
        </w:rPr>
        <w:t>July 2001), USEPA, Office of Ground Water and Drinking Water, Technical Support Center, document number EPA 815/B-01/001.  Available from NEMI; USEPA, NSCEP</w:t>
      </w:r>
      <w:r w:rsidRPr="003B4362">
        <w:rPr>
          <w:szCs w:val="22"/>
        </w:rPr>
        <w:t xml:space="preserve"> (search “815B01001”)</w:t>
      </w:r>
      <w:r w:rsidRPr="003B4362">
        <w:rPr>
          <w:szCs w:val="18"/>
        </w:rPr>
        <w:t>; and USEPA, OGWDW (under “Disinfection Byproduct Rules (PDF)”).</w:t>
      </w:r>
      <w:r w:rsidRPr="003B4362">
        <w:rPr>
          <w:szCs w:val="22"/>
        </w:rPr>
        <w:t xml:space="preserve">  Referenced in Sections 611.381 and 611.382</w:t>
      </w:r>
      <w:r w:rsidRPr="003B4362">
        <w:rPr>
          <w:szCs w:val="18"/>
        </w:rPr>
        <w:t>.</w:t>
      </w:r>
    </w:p>
    <w:p w14:paraId="355BF1FA" w14:textId="77777777" w:rsidR="00AD24B5" w:rsidRPr="003B4362" w:rsidRDefault="00AD24B5" w:rsidP="00AD24B5">
      <w:pPr>
        <w:ind w:left="3600"/>
        <w:rPr>
          <w:szCs w:val="22"/>
        </w:rPr>
      </w:pPr>
    </w:p>
    <w:p w14:paraId="235EE707" w14:textId="77777777" w:rsidR="00AD24B5" w:rsidRPr="003B4362" w:rsidRDefault="00AD24B5" w:rsidP="00AD24B5">
      <w:pPr>
        <w:ind w:left="3600"/>
        <w:rPr>
          <w:szCs w:val="22"/>
        </w:rPr>
      </w:pPr>
      <w:r w:rsidRPr="003B4362">
        <w:rPr>
          <w:szCs w:val="22"/>
        </w:rPr>
        <w:t>“USEPA 321.8 (97)” means “Method 321.8:  Determination of Bromate in Drinking Waters by Ion Chromatography Inductively Coupled Plasma/Mass Spectrometry”, Revision 1.0 (December 1997), in USEPA Organic and Inorganic Methods (00).  Referenced in Sections 611.381 and 611.382.</w:t>
      </w:r>
    </w:p>
    <w:p w14:paraId="0AD1BDE7" w14:textId="77777777" w:rsidR="00AD24B5" w:rsidRPr="003B4362" w:rsidRDefault="00AD24B5" w:rsidP="00AD24B5">
      <w:pPr>
        <w:ind w:left="3600"/>
        <w:rPr>
          <w:szCs w:val="22"/>
        </w:rPr>
      </w:pPr>
      <w:r w:rsidRPr="003B4362">
        <w:rPr>
          <w:szCs w:val="22"/>
        </w:rPr>
        <w:t>BOARD NOTE:  Also individually available from NEMI.</w:t>
      </w:r>
    </w:p>
    <w:p w14:paraId="2B6F0FE6" w14:textId="77777777" w:rsidR="00AD24B5" w:rsidRPr="003B4362" w:rsidRDefault="00AD24B5" w:rsidP="00AD24B5">
      <w:pPr>
        <w:widowControl w:val="0"/>
        <w:suppressAutoHyphens/>
        <w:ind w:left="3600"/>
        <w:rPr>
          <w:szCs w:val="18"/>
        </w:rPr>
      </w:pPr>
    </w:p>
    <w:p w14:paraId="5EC1C13F" w14:textId="77777777" w:rsidR="00AD24B5" w:rsidRPr="003B4362" w:rsidRDefault="00AD24B5" w:rsidP="00AD24B5">
      <w:pPr>
        <w:widowControl w:val="0"/>
        <w:suppressAutoHyphens/>
        <w:ind w:left="3600"/>
        <w:rPr>
          <w:szCs w:val="18"/>
        </w:rPr>
      </w:pPr>
      <w:r w:rsidRPr="003B4362">
        <w:rPr>
          <w:szCs w:val="18"/>
        </w:rPr>
        <w:t>“USEPA 326.0 (02)” means “Method 326.0:  Determination of Inorganic Oxyhalide Disinfection By-Products in Drinking Water Using Ion Chromatography Incorporating the Addition of a Suppressor Acidified Postcolumn Reagent for Trace Bromate Analysis</w:t>
      </w:r>
      <w:r w:rsidRPr="003B4362">
        <w:rPr>
          <w:szCs w:val="16"/>
        </w:rPr>
        <w:t>”,</w:t>
      </w:r>
      <w:r w:rsidRPr="003B4362">
        <w:rPr>
          <w:szCs w:val="18"/>
        </w:rPr>
        <w:t xml:space="preserve"> Revision 1.0 (June 2002), USEPA, Office of Ground Water and Drinking Water, Technical Support Center, document number EPA 815/R-03/007</w:t>
      </w:r>
      <w:r w:rsidRPr="003B4362">
        <w:rPr>
          <w:szCs w:val="22"/>
        </w:rPr>
        <w:t xml:space="preserve">.  Available from </w:t>
      </w:r>
      <w:r w:rsidRPr="003B4362">
        <w:rPr>
          <w:szCs w:val="18"/>
        </w:rPr>
        <w:t xml:space="preserve">NEMI; </w:t>
      </w:r>
      <w:r w:rsidRPr="003B4362">
        <w:rPr>
          <w:szCs w:val="22"/>
        </w:rPr>
        <w:t>NTRL</w:t>
      </w:r>
      <w:r w:rsidRPr="003B4362">
        <w:rPr>
          <w:szCs w:val="18"/>
        </w:rPr>
        <w:t xml:space="preserve"> (document number PB2003-107402); USEPA, NSCEP (</w:t>
      </w:r>
      <w:r w:rsidRPr="003B4362">
        <w:rPr>
          <w:szCs w:val="22"/>
        </w:rPr>
        <w:t>search “815R03007”</w:t>
      </w:r>
      <w:r w:rsidRPr="003B4362">
        <w:rPr>
          <w:szCs w:val="18"/>
        </w:rPr>
        <w:t>); and USEPA, OGWDW (under “Disinfection Byproduct Rules (PDF)”).  R</w:t>
      </w:r>
      <w:r w:rsidRPr="003B4362">
        <w:rPr>
          <w:szCs w:val="22"/>
        </w:rPr>
        <w:t>eferenced in Sections 611.381 and 611.382</w:t>
      </w:r>
      <w:r w:rsidRPr="003B4362">
        <w:rPr>
          <w:szCs w:val="18"/>
        </w:rPr>
        <w:t>.</w:t>
      </w:r>
    </w:p>
    <w:p w14:paraId="4A1F6DCB" w14:textId="77777777" w:rsidR="00AD24B5" w:rsidRPr="003B4362" w:rsidRDefault="00AD24B5" w:rsidP="00AD24B5">
      <w:pPr>
        <w:widowControl w:val="0"/>
        <w:suppressAutoHyphens/>
        <w:ind w:left="3600"/>
        <w:rPr>
          <w:szCs w:val="18"/>
        </w:rPr>
      </w:pPr>
    </w:p>
    <w:p w14:paraId="32C3F1C5" w14:textId="77777777" w:rsidR="00AD24B5" w:rsidRPr="003B4362" w:rsidRDefault="00AD24B5" w:rsidP="00AD24B5">
      <w:pPr>
        <w:widowControl w:val="0"/>
        <w:suppressAutoHyphens/>
        <w:ind w:left="3600"/>
        <w:rPr>
          <w:szCs w:val="18"/>
        </w:rPr>
      </w:pPr>
      <w:r w:rsidRPr="003B4362">
        <w:rPr>
          <w:szCs w:val="18"/>
        </w:rPr>
        <w:t>“USEPA 327.0 (05)” means “Method 327.0:  Determination of Chlorine Dioxide and Chlorite Ion in Drinking Water Using Lissamine Green B and Horseradish Peroxidase with Detection by Visible Spectrophotometry</w:t>
      </w:r>
      <w:r w:rsidRPr="003B4362">
        <w:rPr>
          <w:szCs w:val="16"/>
        </w:rPr>
        <w:t>”</w:t>
      </w:r>
      <w:r w:rsidRPr="003B4362">
        <w:rPr>
          <w:szCs w:val="18"/>
        </w:rPr>
        <w:t>, Revision 1.1</w:t>
      </w:r>
      <w:r w:rsidRPr="003B4362">
        <w:rPr>
          <w:szCs w:val="16"/>
        </w:rPr>
        <w:t xml:space="preserve"> (</w:t>
      </w:r>
      <w:r w:rsidRPr="003B4362">
        <w:rPr>
          <w:szCs w:val="18"/>
        </w:rPr>
        <w:t>May 2005), USEPA, Office of Ground Water and Drinking Water, Technical Support Center, document number EPA 815/R-05/008</w:t>
      </w:r>
      <w:r w:rsidRPr="003B4362">
        <w:rPr>
          <w:szCs w:val="22"/>
        </w:rPr>
        <w:t xml:space="preserve">.  Available from </w:t>
      </w:r>
      <w:r w:rsidRPr="003B4362">
        <w:rPr>
          <w:szCs w:val="18"/>
        </w:rPr>
        <w:t>NEMI; USEPA, NSCEP (</w:t>
      </w:r>
      <w:r w:rsidRPr="003B4362">
        <w:rPr>
          <w:szCs w:val="22"/>
        </w:rPr>
        <w:t>search “815R05008”</w:t>
      </w:r>
      <w:r w:rsidRPr="003B4362">
        <w:rPr>
          <w:szCs w:val="18"/>
        </w:rPr>
        <w:t>); and USEPA, OGWDW</w:t>
      </w:r>
      <w:r w:rsidRPr="003B4362">
        <w:rPr>
          <w:szCs w:val="16"/>
        </w:rPr>
        <w:t xml:space="preserve"> (under “Disinfection Byproduct Rules (PDF)”)</w:t>
      </w:r>
      <w:r w:rsidRPr="003B4362">
        <w:rPr>
          <w:szCs w:val="18"/>
        </w:rPr>
        <w:t>.  R</w:t>
      </w:r>
      <w:r w:rsidRPr="003B4362">
        <w:rPr>
          <w:szCs w:val="22"/>
        </w:rPr>
        <w:t>eferenced in Sections 611.381 and 611.531</w:t>
      </w:r>
      <w:r w:rsidRPr="003B4362">
        <w:rPr>
          <w:szCs w:val="18"/>
        </w:rPr>
        <w:t>.</w:t>
      </w:r>
    </w:p>
    <w:p w14:paraId="221ED10F" w14:textId="77777777" w:rsidR="00AD24B5" w:rsidRPr="003B4362" w:rsidRDefault="00AD24B5" w:rsidP="00AD24B5">
      <w:pPr>
        <w:widowControl w:val="0"/>
        <w:suppressAutoHyphens/>
        <w:ind w:left="3600"/>
        <w:rPr>
          <w:szCs w:val="18"/>
        </w:rPr>
      </w:pPr>
    </w:p>
    <w:p w14:paraId="1346F2A9" w14:textId="77777777" w:rsidR="00AD24B5" w:rsidRPr="003B4362" w:rsidRDefault="00AD24B5" w:rsidP="00AD24B5">
      <w:pPr>
        <w:widowControl w:val="0"/>
        <w:suppressAutoHyphens/>
        <w:ind w:left="3600"/>
        <w:rPr>
          <w:szCs w:val="18"/>
        </w:rPr>
      </w:pPr>
      <w:r w:rsidRPr="003B4362">
        <w:rPr>
          <w:szCs w:val="18"/>
        </w:rPr>
        <w:lastRenderedPageBreak/>
        <w:t>“USEPA 334.0 (09)” means “Method 334.0:  Determination of Residual in Drinking Water Using an On-line Chlorine Analyzer</w:t>
      </w:r>
      <w:r w:rsidRPr="003B4362">
        <w:rPr>
          <w:szCs w:val="16"/>
        </w:rPr>
        <w:t>”, Version 1.0 (</w:t>
      </w:r>
      <w:r w:rsidRPr="003B4362">
        <w:rPr>
          <w:szCs w:val="24"/>
        </w:rPr>
        <w:t xml:space="preserve">September </w:t>
      </w:r>
      <w:r w:rsidRPr="003B4362">
        <w:rPr>
          <w:szCs w:val="18"/>
        </w:rPr>
        <w:t xml:space="preserve">2009), USEPA, Office of Ground Water and Drinking Water, Technical Support Center, document number EPA 815/B-09/013.  </w:t>
      </w:r>
      <w:r w:rsidRPr="003B4362">
        <w:rPr>
          <w:szCs w:val="22"/>
        </w:rPr>
        <w:t xml:space="preserve">Available from </w:t>
      </w:r>
      <w:r w:rsidRPr="003B4362">
        <w:rPr>
          <w:szCs w:val="18"/>
        </w:rPr>
        <w:t>NEMI; USEPA, NSCEP (</w:t>
      </w:r>
      <w:r w:rsidRPr="003B4362">
        <w:rPr>
          <w:szCs w:val="22"/>
        </w:rPr>
        <w:t>search “815B09013”</w:t>
      </w:r>
      <w:r w:rsidRPr="003B4362">
        <w:rPr>
          <w:szCs w:val="18"/>
        </w:rPr>
        <w:t xml:space="preserve">); and </w:t>
      </w:r>
      <w:r w:rsidRPr="003B4362">
        <w:rPr>
          <w:szCs w:val="16"/>
        </w:rPr>
        <w:t>USEPA, OGWDW (under “Disinfection Byproduct Rules (PDF)”)</w:t>
      </w:r>
      <w:r w:rsidRPr="003B4362">
        <w:rPr>
          <w:szCs w:val="18"/>
        </w:rPr>
        <w:t>.  R</w:t>
      </w:r>
      <w:r w:rsidRPr="003B4362">
        <w:rPr>
          <w:szCs w:val="22"/>
        </w:rPr>
        <w:t>eferenced in Sections 611.381 and 611.531</w:t>
      </w:r>
      <w:r w:rsidRPr="003B4362">
        <w:rPr>
          <w:szCs w:val="18"/>
        </w:rPr>
        <w:t>.</w:t>
      </w:r>
    </w:p>
    <w:p w14:paraId="23D7F871" w14:textId="77777777" w:rsidR="00AD24B5" w:rsidRPr="003B4362" w:rsidRDefault="00AD24B5" w:rsidP="00AD24B5">
      <w:pPr>
        <w:widowControl w:val="0"/>
        <w:ind w:left="3600"/>
        <w:rPr>
          <w:szCs w:val="22"/>
        </w:rPr>
      </w:pPr>
    </w:p>
    <w:p w14:paraId="2F62BF9F" w14:textId="77777777" w:rsidR="00AD24B5" w:rsidRPr="003B4362" w:rsidRDefault="00AD24B5" w:rsidP="00AD24B5">
      <w:pPr>
        <w:widowControl w:val="0"/>
        <w:ind w:left="3600"/>
        <w:rPr>
          <w:szCs w:val="22"/>
        </w:rPr>
      </w:pPr>
      <w:r w:rsidRPr="003B4362">
        <w:rPr>
          <w:szCs w:val="22"/>
        </w:rPr>
        <w:t>“USEPA 335.4 (93)” means “Method 335.4:  Determination of Total Cyanide by Semi-Automated Colorimetry”, Revision 1.0 (August 1993), in USEPA Environmental Inorganic Methods</w:t>
      </w:r>
      <w:r w:rsidRPr="003B4362">
        <w:rPr>
          <w:spacing w:val="-2"/>
          <w:szCs w:val="22"/>
        </w:rPr>
        <w:t xml:space="preserve"> (93)</w:t>
      </w:r>
      <w:r w:rsidRPr="003B4362">
        <w:rPr>
          <w:szCs w:val="22"/>
        </w:rPr>
        <w:t>.  Referenced in Section 611.611.</w:t>
      </w:r>
    </w:p>
    <w:p w14:paraId="7A5E15EB" w14:textId="77777777" w:rsidR="00AD24B5" w:rsidRPr="003B4362" w:rsidRDefault="00AD24B5" w:rsidP="00AD24B5">
      <w:pPr>
        <w:ind w:left="3600"/>
        <w:rPr>
          <w:szCs w:val="22"/>
        </w:rPr>
      </w:pPr>
      <w:r w:rsidRPr="003B4362">
        <w:rPr>
          <w:szCs w:val="22"/>
        </w:rPr>
        <w:t>BOARD NOTE:  Also individually available from NEMI.</w:t>
      </w:r>
    </w:p>
    <w:p w14:paraId="067BCC70" w14:textId="77777777" w:rsidR="00AD24B5" w:rsidRPr="003B4362" w:rsidRDefault="00AD24B5" w:rsidP="00AD24B5">
      <w:pPr>
        <w:widowControl w:val="0"/>
        <w:ind w:left="3600"/>
        <w:rPr>
          <w:szCs w:val="22"/>
        </w:rPr>
      </w:pPr>
    </w:p>
    <w:p w14:paraId="565EA619" w14:textId="77777777" w:rsidR="00AD24B5" w:rsidRPr="003B4362" w:rsidRDefault="00AD24B5" w:rsidP="00AD24B5">
      <w:pPr>
        <w:widowControl w:val="0"/>
        <w:ind w:left="3600"/>
        <w:rPr>
          <w:szCs w:val="22"/>
        </w:rPr>
      </w:pPr>
      <w:r w:rsidRPr="003B4362">
        <w:rPr>
          <w:szCs w:val="22"/>
        </w:rPr>
        <w:t>“USEPA 353.2 (93)” means “Method 353.2:  Determination of Inorganic Anions by Ion Chromatography”, Revision 2.0 (August 1993), in USEPA Environmental Inorganic Methods</w:t>
      </w:r>
      <w:r w:rsidRPr="003B4362">
        <w:rPr>
          <w:spacing w:val="-2"/>
          <w:szCs w:val="22"/>
        </w:rPr>
        <w:t xml:space="preserve"> (93)</w:t>
      </w:r>
      <w:r w:rsidRPr="003B4362">
        <w:rPr>
          <w:szCs w:val="22"/>
        </w:rPr>
        <w:t>.  Referenced in Section 611.611.</w:t>
      </w:r>
    </w:p>
    <w:p w14:paraId="0816FCE1" w14:textId="77777777" w:rsidR="00AD24B5" w:rsidRPr="003B4362" w:rsidRDefault="00AD24B5" w:rsidP="00AD24B5">
      <w:pPr>
        <w:ind w:left="3600"/>
        <w:rPr>
          <w:szCs w:val="22"/>
        </w:rPr>
      </w:pPr>
      <w:r w:rsidRPr="003B4362">
        <w:rPr>
          <w:szCs w:val="22"/>
        </w:rPr>
        <w:t>BOARD NOTE:  Also individually available from NEMI.</w:t>
      </w:r>
    </w:p>
    <w:p w14:paraId="74EFF783" w14:textId="77777777" w:rsidR="00AD24B5" w:rsidRPr="003B4362" w:rsidRDefault="00AD24B5" w:rsidP="00AD24B5">
      <w:pPr>
        <w:widowControl w:val="0"/>
        <w:ind w:left="3600"/>
        <w:rPr>
          <w:szCs w:val="22"/>
        </w:rPr>
      </w:pPr>
    </w:p>
    <w:p w14:paraId="34F74A23" w14:textId="77777777" w:rsidR="00AD24B5" w:rsidRPr="003B4362" w:rsidRDefault="00AD24B5" w:rsidP="00AD24B5">
      <w:pPr>
        <w:widowControl w:val="0"/>
        <w:ind w:left="3600"/>
        <w:rPr>
          <w:szCs w:val="22"/>
        </w:rPr>
      </w:pPr>
      <w:r w:rsidRPr="003B4362">
        <w:rPr>
          <w:szCs w:val="22"/>
        </w:rPr>
        <w:t>“USEPA 365.1 (93)” means “Method 365.1:  Determination of Phosphorus by Automated Colorimetry”, Revision 2.0 (August 1993), in USEPA Environmental Inorganic Methods</w:t>
      </w:r>
      <w:r w:rsidRPr="003B4362">
        <w:rPr>
          <w:spacing w:val="-2"/>
          <w:szCs w:val="22"/>
        </w:rPr>
        <w:t xml:space="preserve"> (93)</w:t>
      </w:r>
      <w:r w:rsidRPr="003B4362">
        <w:rPr>
          <w:szCs w:val="22"/>
        </w:rPr>
        <w:t>.  Referenced in Section 611.611.</w:t>
      </w:r>
    </w:p>
    <w:p w14:paraId="0DE3E9C6" w14:textId="77777777" w:rsidR="00AD24B5" w:rsidRPr="003B4362" w:rsidRDefault="00AD24B5" w:rsidP="00AD24B5">
      <w:pPr>
        <w:ind w:left="3600"/>
        <w:rPr>
          <w:szCs w:val="22"/>
        </w:rPr>
      </w:pPr>
      <w:r w:rsidRPr="003B4362">
        <w:rPr>
          <w:szCs w:val="22"/>
        </w:rPr>
        <w:t>BOARD NOTE:  Also individually available from NEMI and USEPA, OGWDW (under “Inorganic Contaminants and Other Inorganic Constituents (PDF)”).</w:t>
      </w:r>
    </w:p>
    <w:p w14:paraId="7B8C0839" w14:textId="77777777" w:rsidR="00AD24B5" w:rsidRPr="003B4362" w:rsidRDefault="00AD24B5" w:rsidP="00AD24B5">
      <w:pPr>
        <w:ind w:left="3600"/>
        <w:rPr>
          <w:szCs w:val="22"/>
        </w:rPr>
      </w:pPr>
    </w:p>
    <w:p w14:paraId="462474DC" w14:textId="77777777" w:rsidR="00AD24B5" w:rsidRPr="003B4362" w:rsidRDefault="00AD24B5" w:rsidP="00AD24B5">
      <w:pPr>
        <w:ind w:left="3600"/>
        <w:rPr>
          <w:szCs w:val="18"/>
        </w:rPr>
      </w:pPr>
      <w:r w:rsidRPr="003B4362">
        <w:rPr>
          <w:szCs w:val="22"/>
        </w:rPr>
        <w:t xml:space="preserve">“USEPA </w:t>
      </w:r>
      <w:r w:rsidRPr="003B4362">
        <w:rPr>
          <w:szCs w:val="18"/>
        </w:rPr>
        <w:t>415.3 (05)” means “Method 415.3:  Determination of Total Organic Carbon and Specific UV Absorbance at 254 nm in Source Water and Drinking Water</w:t>
      </w:r>
      <w:r w:rsidRPr="003B4362">
        <w:rPr>
          <w:szCs w:val="16"/>
        </w:rPr>
        <w:t>”,</w:t>
      </w:r>
      <w:r w:rsidRPr="003B4362">
        <w:rPr>
          <w:szCs w:val="18"/>
        </w:rPr>
        <w:t xml:space="preserve"> Revision 1.1 (February 2005), USEPA, National Exposure Research Laboratory, document number EPA 600/R05-055.</w:t>
      </w:r>
      <w:r w:rsidRPr="003B4362">
        <w:rPr>
          <w:szCs w:val="22"/>
        </w:rPr>
        <w:t xml:space="preserve">  Available from USEPA, NSCEP (search “600R05055”)</w:t>
      </w:r>
      <w:r w:rsidRPr="003B4362">
        <w:rPr>
          <w:szCs w:val="18"/>
        </w:rPr>
        <w:t xml:space="preserve"> and </w:t>
      </w:r>
      <w:r w:rsidRPr="003B4362">
        <w:rPr>
          <w:szCs w:val="16"/>
        </w:rPr>
        <w:t>USEPA, OGWDW (under “Disinfection Byproduct Rules (PDF)”)</w:t>
      </w:r>
      <w:r w:rsidRPr="003B4362">
        <w:rPr>
          <w:szCs w:val="18"/>
        </w:rPr>
        <w:t>.  Referenced in Section 611.381</w:t>
      </w:r>
      <w:r w:rsidRPr="003B4362">
        <w:rPr>
          <w:szCs w:val="22"/>
        </w:rPr>
        <w:t>.</w:t>
      </w:r>
    </w:p>
    <w:p w14:paraId="7FA3E306" w14:textId="77777777" w:rsidR="00AD24B5" w:rsidRPr="003B4362" w:rsidRDefault="00AD24B5" w:rsidP="00AD24B5">
      <w:pPr>
        <w:ind w:left="3600"/>
        <w:rPr>
          <w:szCs w:val="22"/>
        </w:rPr>
      </w:pPr>
    </w:p>
    <w:p w14:paraId="4D496BD8" w14:textId="77777777" w:rsidR="00AD24B5" w:rsidRPr="003B4362" w:rsidRDefault="00AD24B5" w:rsidP="00AD24B5">
      <w:pPr>
        <w:ind w:left="3600"/>
        <w:rPr>
          <w:szCs w:val="18"/>
        </w:rPr>
      </w:pPr>
      <w:r w:rsidRPr="003B4362">
        <w:rPr>
          <w:szCs w:val="22"/>
        </w:rPr>
        <w:t xml:space="preserve">“USEPA </w:t>
      </w:r>
      <w:r w:rsidRPr="003B4362">
        <w:rPr>
          <w:szCs w:val="18"/>
        </w:rPr>
        <w:t xml:space="preserve">415.3 (09)” means “Method 415.3, “Determination of Total Organic Carbon and Specific UV Absorbance at 254 nm in Source Water and Drinking </w:t>
      </w:r>
      <w:r w:rsidRPr="003B4362">
        <w:rPr>
          <w:szCs w:val="18"/>
        </w:rPr>
        <w:lastRenderedPageBreak/>
        <w:t>Water</w:t>
      </w:r>
      <w:r w:rsidRPr="003B4362">
        <w:rPr>
          <w:szCs w:val="16"/>
        </w:rPr>
        <w:t>”</w:t>
      </w:r>
      <w:r w:rsidRPr="003B4362">
        <w:rPr>
          <w:szCs w:val="18"/>
        </w:rPr>
        <w:t>, Revision 1.2 (September 2009), USEPA, National Exposure Research Laboratory, document number EPA 600/R09-122.  Referenced in Section 611.381</w:t>
      </w:r>
      <w:r w:rsidRPr="003B4362">
        <w:rPr>
          <w:szCs w:val="22"/>
        </w:rPr>
        <w:t>.  Available from NEMI; USEPA, NSCEP (search “600R09122”)</w:t>
      </w:r>
      <w:r w:rsidRPr="003B4362">
        <w:rPr>
          <w:szCs w:val="18"/>
        </w:rPr>
        <w:t xml:space="preserve">; and </w:t>
      </w:r>
      <w:r w:rsidRPr="003B4362">
        <w:rPr>
          <w:szCs w:val="16"/>
        </w:rPr>
        <w:t>USEPA, OGWDW (under “Disinfection Byproduct Rules (PDF)”)</w:t>
      </w:r>
      <w:r w:rsidRPr="003B4362">
        <w:rPr>
          <w:szCs w:val="18"/>
        </w:rPr>
        <w:t>.</w:t>
      </w:r>
    </w:p>
    <w:p w14:paraId="14BB1151" w14:textId="77777777" w:rsidR="00AD24B5" w:rsidRPr="003B4362" w:rsidRDefault="00AD24B5" w:rsidP="00AD24B5">
      <w:pPr>
        <w:ind w:left="3600"/>
        <w:rPr>
          <w:szCs w:val="22"/>
        </w:rPr>
      </w:pPr>
    </w:p>
    <w:p w14:paraId="67940DB7" w14:textId="77777777" w:rsidR="00AD24B5" w:rsidRPr="003B4362" w:rsidRDefault="00AD24B5" w:rsidP="00AD24B5">
      <w:pPr>
        <w:ind w:left="3600"/>
        <w:rPr>
          <w:szCs w:val="22"/>
        </w:rPr>
      </w:pPr>
      <w:r w:rsidRPr="003B4362">
        <w:rPr>
          <w:szCs w:val="22"/>
        </w:rPr>
        <w:t>“USEPA 502.2 (95)” means “Method 502.2:  Volatile Organic Compounds in Water by Purge and Trap Capillary Column Gas Chromatography with Photoionization and Electrolytic Conductivity Detectors in Series”, Revision 2.1 (1995), in USEPA Organic Methods—Supplement III (95).  Referenced in Sections 611.381 and 611.645.</w:t>
      </w:r>
    </w:p>
    <w:p w14:paraId="35DF15A6" w14:textId="77777777" w:rsidR="00AD24B5" w:rsidRPr="003B4362" w:rsidRDefault="00AD24B5" w:rsidP="00AD24B5">
      <w:pPr>
        <w:ind w:left="3600"/>
        <w:rPr>
          <w:szCs w:val="22"/>
        </w:rPr>
      </w:pPr>
      <w:r w:rsidRPr="003B4362">
        <w:rPr>
          <w:szCs w:val="22"/>
        </w:rPr>
        <w:t>BOARD NOTE:  Also individually available from NEMI.</w:t>
      </w:r>
    </w:p>
    <w:p w14:paraId="4A4E57EC" w14:textId="77777777" w:rsidR="00AD24B5" w:rsidRPr="003B4362" w:rsidRDefault="00AD24B5" w:rsidP="00AD24B5">
      <w:pPr>
        <w:ind w:left="3600"/>
        <w:rPr>
          <w:szCs w:val="22"/>
        </w:rPr>
      </w:pPr>
    </w:p>
    <w:p w14:paraId="3A8FD1AD" w14:textId="77777777" w:rsidR="00AD24B5" w:rsidRPr="003B4362" w:rsidRDefault="00AD24B5" w:rsidP="00AD24B5">
      <w:pPr>
        <w:ind w:left="3600"/>
        <w:rPr>
          <w:szCs w:val="22"/>
        </w:rPr>
      </w:pPr>
      <w:r w:rsidRPr="003B4362">
        <w:rPr>
          <w:szCs w:val="22"/>
        </w:rPr>
        <w:t>“USEPA 504.1 (95)” means “Method 504.1:  1,2-Dibromomethane (EDB), 1,2-Dibromo-3-Chloropropane (DBCP), and 1,2,3-Trichloropropane (123TCP) in Water by Microextraction and Gas Chromatography”, Revision 1.1 (1995), in USEPA Organic Methods—Supplement III (95).  Referenced in Section 611.645.</w:t>
      </w:r>
    </w:p>
    <w:p w14:paraId="3A6BA4A0" w14:textId="77777777" w:rsidR="00AD24B5" w:rsidRPr="003B4362" w:rsidRDefault="00AD24B5" w:rsidP="00AD24B5">
      <w:pPr>
        <w:ind w:left="3600"/>
        <w:rPr>
          <w:szCs w:val="22"/>
        </w:rPr>
      </w:pPr>
      <w:r w:rsidRPr="003B4362">
        <w:rPr>
          <w:szCs w:val="22"/>
        </w:rPr>
        <w:t>BOARD NOTE:  Also individually available from NEMI.</w:t>
      </w:r>
    </w:p>
    <w:p w14:paraId="4E97729A" w14:textId="77777777" w:rsidR="00AD24B5" w:rsidRPr="003B4362" w:rsidRDefault="00AD24B5" w:rsidP="00AD24B5">
      <w:pPr>
        <w:ind w:left="3600"/>
        <w:rPr>
          <w:szCs w:val="22"/>
        </w:rPr>
      </w:pPr>
    </w:p>
    <w:p w14:paraId="23146E0A" w14:textId="77777777" w:rsidR="00AD24B5" w:rsidRPr="003B4362" w:rsidRDefault="00AD24B5" w:rsidP="00AD24B5">
      <w:pPr>
        <w:ind w:left="3600"/>
        <w:rPr>
          <w:szCs w:val="22"/>
        </w:rPr>
      </w:pPr>
      <w:r w:rsidRPr="003B4362">
        <w:rPr>
          <w:szCs w:val="22"/>
        </w:rPr>
        <w:t>“USEPA 505 (95)” means “Method 505:  Analysis of Organohalide Pesticides and Commercial Polychlorinated Biphenyl (PCB) Products in Water by Microextraction and Gas Chromatography”, Revision 2.1 (1995), in USEPA Organic Methods—Supplement III (95).  Referenced in Sections 611.645 and 611.648.</w:t>
      </w:r>
    </w:p>
    <w:p w14:paraId="61CE4548" w14:textId="77777777" w:rsidR="00AD24B5" w:rsidRPr="003B4362" w:rsidRDefault="00AD24B5" w:rsidP="00AD24B5">
      <w:pPr>
        <w:ind w:left="3600"/>
        <w:rPr>
          <w:szCs w:val="22"/>
        </w:rPr>
      </w:pPr>
      <w:r w:rsidRPr="003B4362">
        <w:rPr>
          <w:szCs w:val="22"/>
        </w:rPr>
        <w:t>BOARD NOTE:  Also individually available from NEMI.</w:t>
      </w:r>
    </w:p>
    <w:p w14:paraId="4144B838" w14:textId="77777777" w:rsidR="00AD24B5" w:rsidRPr="003B4362" w:rsidRDefault="00AD24B5" w:rsidP="00AD24B5">
      <w:pPr>
        <w:ind w:left="3600"/>
        <w:rPr>
          <w:szCs w:val="22"/>
        </w:rPr>
      </w:pPr>
    </w:p>
    <w:p w14:paraId="045C06C0" w14:textId="77777777" w:rsidR="00AD24B5" w:rsidRPr="003B4362" w:rsidRDefault="00AD24B5" w:rsidP="00AD24B5">
      <w:pPr>
        <w:ind w:left="3600"/>
        <w:rPr>
          <w:szCs w:val="22"/>
        </w:rPr>
      </w:pPr>
      <w:r w:rsidRPr="003B4362">
        <w:rPr>
          <w:szCs w:val="22"/>
        </w:rPr>
        <w:t>“USEPA 506 (95)” means “Method 506:  Determination of Phthalate and Adipate Esters in Drinking Water by Liquid-Liquid Extraction or Liquid-Solid Extraction and Gas Chromatography with Photoionization Detection”, Revision 1.1 (1995), in USEPA Organic Methods—Supplement III (95).  Referenced in Section 611.645.</w:t>
      </w:r>
    </w:p>
    <w:p w14:paraId="597BB563" w14:textId="77777777" w:rsidR="00AD24B5" w:rsidRPr="003B4362" w:rsidRDefault="00AD24B5" w:rsidP="00AD24B5">
      <w:pPr>
        <w:ind w:left="3600"/>
        <w:rPr>
          <w:szCs w:val="22"/>
        </w:rPr>
      </w:pPr>
      <w:r w:rsidRPr="003B4362">
        <w:rPr>
          <w:szCs w:val="22"/>
        </w:rPr>
        <w:t>BOARD NOTE:  Also individually available from NEMI.</w:t>
      </w:r>
    </w:p>
    <w:p w14:paraId="79EA754C" w14:textId="77777777" w:rsidR="00AD24B5" w:rsidRPr="003B4362" w:rsidRDefault="00AD24B5" w:rsidP="00AD24B5">
      <w:pPr>
        <w:ind w:left="3600"/>
        <w:rPr>
          <w:szCs w:val="22"/>
        </w:rPr>
      </w:pPr>
    </w:p>
    <w:p w14:paraId="32A2D8C0" w14:textId="77777777" w:rsidR="00AD24B5" w:rsidRPr="003B4362" w:rsidRDefault="00AD24B5" w:rsidP="00AD24B5">
      <w:pPr>
        <w:ind w:left="3600"/>
        <w:rPr>
          <w:szCs w:val="22"/>
        </w:rPr>
      </w:pPr>
      <w:r w:rsidRPr="003B4362">
        <w:rPr>
          <w:szCs w:val="22"/>
        </w:rPr>
        <w:t>“USEPA 507 (95)” means “Method 507:  Determination of Nitrogen- and Phosphorus-Containing Pesticides in Water by Gas Chromatography with a Nitrogen-Phosphorus Detector”, Revision 2.1 (1995), in USEPA Organic Methods—Supplement III (95).  Referenced in Sections 611.645 and 611.648.</w:t>
      </w:r>
    </w:p>
    <w:p w14:paraId="2C620635" w14:textId="77777777" w:rsidR="00AD24B5" w:rsidRPr="003B4362" w:rsidRDefault="00AD24B5" w:rsidP="00AD24B5">
      <w:pPr>
        <w:ind w:left="3600"/>
        <w:rPr>
          <w:szCs w:val="22"/>
        </w:rPr>
      </w:pPr>
      <w:r w:rsidRPr="003B4362">
        <w:rPr>
          <w:szCs w:val="22"/>
        </w:rPr>
        <w:lastRenderedPageBreak/>
        <w:t>BOARD NOTE:  Also individually available from NEMI.</w:t>
      </w:r>
    </w:p>
    <w:p w14:paraId="4794EB88" w14:textId="77777777" w:rsidR="00AD24B5" w:rsidRPr="003B4362" w:rsidRDefault="00AD24B5" w:rsidP="00AD24B5">
      <w:pPr>
        <w:ind w:left="3600"/>
        <w:rPr>
          <w:szCs w:val="22"/>
        </w:rPr>
      </w:pPr>
    </w:p>
    <w:p w14:paraId="371C96CD" w14:textId="77777777" w:rsidR="00AD24B5" w:rsidRPr="003B4362" w:rsidRDefault="00AD24B5" w:rsidP="00AD24B5">
      <w:pPr>
        <w:ind w:left="3600"/>
        <w:rPr>
          <w:szCs w:val="22"/>
        </w:rPr>
      </w:pPr>
      <w:r w:rsidRPr="003B4362">
        <w:rPr>
          <w:szCs w:val="22"/>
        </w:rPr>
        <w:t>“USEPA 508 (95)” means “Method 508:  Determination of Chlorinated Pesticides in Water by Gas Chromatography with an Electron Capture Detector”, Revision 3.1 (1995), in USEPA Organic Methods—Supplement III (95).  Referenced in Sections 611.645 and 611.648.</w:t>
      </w:r>
    </w:p>
    <w:p w14:paraId="5ED1FA82" w14:textId="77777777" w:rsidR="00AD24B5" w:rsidRPr="003B4362" w:rsidRDefault="00AD24B5" w:rsidP="00AD24B5">
      <w:pPr>
        <w:ind w:left="3600"/>
        <w:rPr>
          <w:szCs w:val="22"/>
        </w:rPr>
      </w:pPr>
      <w:r w:rsidRPr="003B4362">
        <w:rPr>
          <w:szCs w:val="22"/>
        </w:rPr>
        <w:t>BOARD NOTE:  Also individually available from NEMI.</w:t>
      </w:r>
    </w:p>
    <w:p w14:paraId="3884245E" w14:textId="77777777" w:rsidR="00AD24B5" w:rsidRPr="003B4362" w:rsidRDefault="00AD24B5" w:rsidP="00AD24B5">
      <w:pPr>
        <w:ind w:left="3600"/>
        <w:rPr>
          <w:szCs w:val="22"/>
        </w:rPr>
      </w:pPr>
    </w:p>
    <w:p w14:paraId="40740D81" w14:textId="77777777" w:rsidR="00AD24B5" w:rsidRPr="003B4362" w:rsidRDefault="00AD24B5" w:rsidP="00AD24B5">
      <w:pPr>
        <w:ind w:left="3600"/>
        <w:rPr>
          <w:szCs w:val="22"/>
        </w:rPr>
      </w:pPr>
      <w:r w:rsidRPr="003B4362">
        <w:rPr>
          <w:szCs w:val="22"/>
        </w:rPr>
        <w:t>“USEPA 508A (89)” means “Method 508A:  Screening for Polychlorinated Biphenyls by Perchlorination and Gas Chromatography”, Revision 1.0 (1989), in USEPA Organic Methods (91).  Referenced in Sections 611.645 and 611.646.</w:t>
      </w:r>
    </w:p>
    <w:p w14:paraId="3F36E228" w14:textId="77777777" w:rsidR="00AD24B5" w:rsidRPr="003B4362" w:rsidRDefault="00AD24B5" w:rsidP="00AD24B5">
      <w:pPr>
        <w:ind w:left="3600"/>
        <w:rPr>
          <w:szCs w:val="22"/>
        </w:rPr>
      </w:pPr>
      <w:r w:rsidRPr="003B4362">
        <w:rPr>
          <w:szCs w:val="22"/>
        </w:rPr>
        <w:t>BOARD NOTE:  Also individually available from NEMI.</w:t>
      </w:r>
    </w:p>
    <w:p w14:paraId="378EFFA2" w14:textId="77777777" w:rsidR="00AD24B5" w:rsidRPr="003B4362" w:rsidRDefault="00AD24B5" w:rsidP="00AD24B5">
      <w:pPr>
        <w:ind w:left="3600"/>
        <w:rPr>
          <w:szCs w:val="22"/>
        </w:rPr>
      </w:pPr>
    </w:p>
    <w:p w14:paraId="03F1C14C" w14:textId="77777777" w:rsidR="00AD24B5" w:rsidRPr="003B4362" w:rsidRDefault="00AD24B5" w:rsidP="00AD24B5">
      <w:pPr>
        <w:ind w:left="3600"/>
        <w:rPr>
          <w:szCs w:val="22"/>
        </w:rPr>
      </w:pPr>
      <w:r w:rsidRPr="003B4362">
        <w:rPr>
          <w:szCs w:val="22"/>
        </w:rPr>
        <w:t>“USEPA 508.1 (95)” means “Method 508.1:  Determination of Chlorinated Pesticides, Herbicides, and Organohalides by Liquid-Solid Extraction and Electron Capture Gas Chromatography”, Revision 2.0 (1995), in USEPA Organic Methods—Supplement III (95).  Referenced in Sections 611.645 and 611.648.</w:t>
      </w:r>
    </w:p>
    <w:p w14:paraId="6C91331C" w14:textId="77777777" w:rsidR="00AD24B5" w:rsidRPr="003B4362" w:rsidRDefault="00AD24B5" w:rsidP="00AD24B5">
      <w:pPr>
        <w:ind w:left="3600"/>
        <w:rPr>
          <w:szCs w:val="22"/>
        </w:rPr>
      </w:pPr>
      <w:r w:rsidRPr="003B4362">
        <w:rPr>
          <w:szCs w:val="22"/>
        </w:rPr>
        <w:t>BOARD NOTE:  Also individually available from NEMI.</w:t>
      </w:r>
    </w:p>
    <w:p w14:paraId="1962A359" w14:textId="77777777" w:rsidR="00AD24B5" w:rsidRPr="003B4362" w:rsidRDefault="00AD24B5" w:rsidP="00AD24B5">
      <w:pPr>
        <w:ind w:left="3600"/>
        <w:rPr>
          <w:szCs w:val="22"/>
        </w:rPr>
      </w:pPr>
    </w:p>
    <w:p w14:paraId="78214FA4" w14:textId="77777777" w:rsidR="00AD24B5" w:rsidRPr="003B4362" w:rsidRDefault="00AD24B5" w:rsidP="00AD24B5">
      <w:pPr>
        <w:ind w:left="3600"/>
        <w:rPr>
          <w:szCs w:val="22"/>
        </w:rPr>
      </w:pPr>
      <w:r w:rsidRPr="003B4362">
        <w:rPr>
          <w:szCs w:val="22"/>
        </w:rPr>
        <w:t>“USEPA 515.1 (89)” means “Method 515.1:  Determination of Chlorinated Acids in Drinking Water by Gas Chromatography with an Electron Capture Detector”, Revision 4.1 (1989), in USEPA Organic Methods (91).  Referenced in Section 611.645.</w:t>
      </w:r>
    </w:p>
    <w:p w14:paraId="30F93D44" w14:textId="77777777" w:rsidR="00AD24B5" w:rsidRPr="003B4362" w:rsidRDefault="00AD24B5" w:rsidP="00AD24B5">
      <w:pPr>
        <w:ind w:left="3600"/>
        <w:rPr>
          <w:szCs w:val="22"/>
        </w:rPr>
      </w:pPr>
    </w:p>
    <w:p w14:paraId="64B028C0" w14:textId="77777777" w:rsidR="00AD24B5" w:rsidRPr="003B4362" w:rsidRDefault="00AD24B5" w:rsidP="00AD24B5">
      <w:pPr>
        <w:ind w:left="3600"/>
        <w:rPr>
          <w:szCs w:val="22"/>
        </w:rPr>
      </w:pPr>
      <w:r w:rsidRPr="003B4362">
        <w:rPr>
          <w:szCs w:val="22"/>
        </w:rPr>
        <w:t>“USEPA 515.2 (95)” means “Method 515.2:  Determination of Chlorinated Acids in Water Using Liquid-Solid Extraction and Gas Chromatography with an Electron Capture Detector”, Revision 1.1 (1995), in USEPA Organic Methods—Supplement III (95).  Referenced in Section 611.645.</w:t>
      </w:r>
    </w:p>
    <w:p w14:paraId="55183FCA" w14:textId="77777777" w:rsidR="00AD24B5" w:rsidRPr="003B4362" w:rsidRDefault="00AD24B5" w:rsidP="00AD24B5">
      <w:pPr>
        <w:ind w:left="3600"/>
        <w:rPr>
          <w:szCs w:val="22"/>
        </w:rPr>
      </w:pPr>
      <w:r w:rsidRPr="003B4362">
        <w:rPr>
          <w:szCs w:val="22"/>
        </w:rPr>
        <w:t>BOARD NOTE:  Also individually available from NEMI.</w:t>
      </w:r>
    </w:p>
    <w:p w14:paraId="1E5413C2" w14:textId="77777777" w:rsidR="00AD24B5" w:rsidRPr="003B4362" w:rsidRDefault="00AD24B5" w:rsidP="00AD24B5">
      <w:pPr>
        <w:ind w:left="3600"/>
        <w:rPr>
          <w:szCs w:val="22"/>
        </w:rPr>
      </w:pPr>
    </w:p>
    <w:p w14:paraId="1A86B81F" w14:textId="77777777" w:rsidR="00AD24B5" w:rsidRPr="003B4362" w:rsidRDefault="00AD24B5" w:rsidP="00AD24B5">
      <w:pPr>
        <w:ind w:left="3600"/>
        <w:rPr>
          <w:szCs w:val="22"/>
        </w:rPr>
      </w:pPr>
      <w:r w:rsidRPr="003B4362">
        <w:rPr>
          <w:szCs w:val="22"/>
        </w:rPr>
        <w:t>“USEPA 515.3 (96)” means “Method 515.3:  Determination of Chlorinated Acids in Drinking Water by Liquid-Liquid Extraction, Derivatization and Gas Chromatography with Electron Capture Detection”, Revision 1.0 (July 1996), in USEPA Organic and Inorganic Methods (00).  Referenced in Section 611.645.</w:t>
      </w:r>
    </w:p>
    <w:p w14:paraId="3D522B0B" w14:textId="77777777" w:rsidR="00AD24B5" w:rsidRPr="003B4362" w:rsidRDefault="00AD24B5" w:rsidP="00AD24B5">
      <w:pPr>
        <w:ind w:left="3600"/>
        <w:rPr>
          <w:szCs w:val="22"/>
        </w:rPr>
      </w:pPr>
      <w:r w:rsidRPr="003B4362">
        <w:rPr>
          <w:szCs w:val="22"/>
        </w:rPr>
        <w:t>BOARD NOTE:  Also individually available from NEMI.</w:t>
      </w:r>
    </w:p>
    <w:p w14:paraId="144A1E2A" w14:textId="77777777" w:rsidR="00AD24B5" w:rsidRPr="003B4362" w:rsidRDefault="00AD24B5" w:rsidP="00AD24B5">
      <w:pPr>
        <w:widowControl w:val="0"/>
        <w:ind w:left="3600"/>
        <w:rPr>
          <w:szCs w:val="18"/>
        </w:rPr>
      </w:pPr>
    </w:p>
    <w:p w14:paraId="7A73EA93" w14:textId="77777777" w:rsidR="00AD24B5" w:rsidRPr="003B4362" w:rsidRDefault="00AD24B5" w:rsidP="00AD24B5">
      <w:pPr>
        <w:widowControl w:val="0"/>
        <w:ind w:left="3600"/>
        <w:rPr>
          <w:szCs w:val="22"/>
        </w:rPr>
      </w:pPr>
      <w:r w:rsidRPr="003B4362">
        <w:rPr>
          <w:szCs w:val="18"/>
        </w:rPr>
        <w:t xml:space="preserve">“USEPA 515.4 (00)” means </w:t>
      </w:r>
      <w:r w:rsidRPr="003B4362">
        <w:rPr>
          <w:szCs w:val="22"/>
        </w:rPr>
        <w:t>“</w:t>
      </w:r>
      <w:r w:rsidRPr="003B4362">
        <w:rPr>
          <w:szCs w:val="18"/>
        </w:rPr>
        <w:t>M</w:t>
      </w:r>
      <w:r w:rsidRPr="003B4362">
        <w:rPr>
          <w:szCs w:val="22"/>
        </w:rPr>
        <w:t>ethod 515.4:  “Determination of Chlorinated Acids in Drinking Water by Liquid-Liquid Microextraction, Derivatization and Fast Gas Chromatography with Electron Capture Detection</w:t>
      </w:r>
      <w:r w:rsidRPr="003B4362">
        <w:rPr>
          <w:szCs w:val="16"/>
        </w:rPr>
        <w:t>”</w:t>
      </w:r>
      <w:r w:rsidRPr="003B4362">
        <w:rPr>
          <w:szCs w:val="22"/>
        </w:rPr>
        <w:t xml:space="preserve"> </w:t>
      </w:r>
      <w:r w:rsidRPr="003B4362">
        <w:rPr>
          <w:szCs w:val="18"/>
        </w:rPr>
        <w:t xml:space="preserve">Revision </w:t>
      </w:r>
      <w:r w:rsidRPr="003B4362">
        <w:rPr>
          <w:szCs w:val="22"/>
        </w:rPr>
        <w:t>1.0</w:t>
      </w:r>
      <w:r w:rsidRPr="003B4362">
        <w:rPr>
          <w:szCs w:val="16"/>
        </w:rPr>
        <w:t xml:space="preserve"> (</w:t>
      </w:r>
      <w:r w:rsidRPr="003B4362">
        <w:rPr>
          <w:szCs w:val="22"/>
        </w:rPr>
        <w:t>April 2000), USEPA, Office of Ground Water and Drinking Water, Technical Support Center, document number EPA 815/B-00/001.  Available from NEMI; USEPA, NSCEP (search “815B00001”); and USEPA, OGWDW (under “Organic Contaminants (PDF)”).  Referenced in Section 611.645.</w:t>
      </w:r>
    </w:p>
    <w:p w14:paraId="4BFB07E2" w14:textId="77777777" w:rsidR="00AD24B5" w:rsidRPr="003B4362" w:rsidRDefault="00AD24B5" w:rsidP="00AD24B5">
      <w:pPr>
        <w:ind w:left="3600"/>
        <w:rPr>
          <w:szCs w:val="22"/>
        </w:rPr>
      </w:pPr>
    </w:p>
    <w:p w14:paraId="786A33F4" w14:textId="77777777" w:rsidR="00AD24B5" w:rsidRPr="003B4362" w:rsidRDefault="00AD24B5" w:rsidP="00AD24B5">
      <w:pPr>
        <w:ind w:left="3600"/>
        <w:rPr>
          <w:szCs w:val="18"/>
        </w:rPr>
      </w:pPr>
      <w:r w:rsidRPr="003B4362">
        <w:rPr>
          <w:szCs w:val="22"/>
        </w:rPr>
        <w:t xml:space="preserve">“USEPA 523 (11)” means </w:t>
      </w:r>
      <w:r w:rsidRPr="003B4362">
        <w:rPr>
          <w:szCs w:val="18"/>
        </w:rPr>
        <w:t>“</w:t>
      </w:r>
      <w:r w:rsidRPr="003B4362">
        <w:rPr>
          <w:szCs w:val="22"/>
        </w:rPr>
        <w:t xml:space="preserve">Method 523:  </w:t>
      </w:r>
      <w:r w:rsidRPr="003B4362">
        <w:rPr>
          <w:szCs w:val="18"/>
        </w:rPr>
        <w:t>Determination of Triazine Pesticides and Other Degradates in Drinking Water by Gas Chromatography/Mass Spectrometry (GC/MS)</w:t>
      </w:r>
      <w:r w:rsidRPr="003B4362">
        <w:rPr>
          <w:szCs w:val="16"/>
        </w:rPr>
        <w:t>”</w:t>
      </w:r>
      <w:r w:rsidRPr="003B4362">
        <w:rPr>
          <w:szCs w:val="22"/>
        </w:rPr>
        <w:t>, Version 1.0</w:t>
      </w:r>
      <w:r w:rsidRPr="003B4362">
        <w:rPr>
          <w:szCs w:val="18"/>
        </w:rPr>
        <w:t xml:space="preserve"> (February 2011), USEPA, Office of Ground Water and Drinking Water, Standards and Risk Management Division, Technical Support Center, document number EPA 815/R-11-002.</w:t>
      </w:r>
      <w:r w:rsidRPr="003B4362">
        <w:rPr>
          <w:szCs w:val="22"/>
        </w:rPr>
        <w:t xml:space="preserve">  Available from USEPA, NSCEP (search “815R11002”); and USEPA, OGWDW</w:t>
      </w:r>
      <w:r w:rsidRPr="003B4362">
        <w:rPr>
          <w:szCs w:val="18"/>
        </w:rPr>
        <w:t xml:space="preserve"> (under “Organic Contaminants (PDF)”). </w:t>
      </w:r>
      <w:r w:rsidRPr="003B4362">
        <w:rPr>
          <w:szCs w:val="22"/>
        </w:rPr>
        <w:t xml:space="preserve"> referenced in Section 611.645.</w:t>
      </w:r>
    </w:p>
    <w:p w14:paraId="1D580317" w14:textId="77777777" w:rsidR="00AD24B5" w:rsidRPr="003B4362" w:rsidRDefault="00AD24B5" w:rsidP="00AD24B5">
      <w:pPr>
        <w:ind w:left="3600"/>
        <w:rPr>
          <w:szCs w:val="22"/>
        </w:rPr>
      </w:pPr>
    </w:p>
    <w:p w14:paraId="547B4F1D" w14:textId="77777777" w:rsidR="00AD24B5" w:rsidRPr="003B4362" w:rsidRDefault="00AD24B5" w:rsidP="00AD24B5">
      <w:pPr>
        <w:ind w:left="3600"/>
        <w:rPr>
          <w:szCs w:val="22"/>
        </w:rPr>
      </w:pPr>
      <w:r w:rsidRPr="003B4362">
        <w:rPr>
          <w:szCs w:val="22"/>
        </w:rPr>
        <w:t>“USEPA 524.2 (95)” means “Method 524.2:  Measurement of Purgeable Organic Compounds in Water by Capillary Column Gas Chromatography/Mass Spectrometry”, Revision 4.1 (1995), in USEPA Organic Methods—Supplement III (95).  Referenced in Section 611.645.</w:t>
      </w:r>
    </w:p>
    <w:p w14:paraId="1996E97F" w14:textId="77777777" w:rsidR="00AD24B5" w:rsidRPr="003B4362" w:rsidRDefault="00AD24B5" w:rsidP="00AD24B5">
      <w:pPr>
        <w:ind w:left="3600"/>
        <w:rPr>
          <w:szCs w:val="22"/>
        </w:rPr>
      </w:pPr>
      <w:r w:rsidRPr="003B4362">
        <w:rPr>
          <w:szCs w:val="22"/>
        </w:rPr>
        <w:t>BOARD NOTE:  Also individually available from NEMI.</w:t>
      </w:r>
    </w:p>
    <w:p w14:paraId="4D887E6F" w14:textId="77777777" w:rsidR="00AD24B5" w:rsidRPr="003B4362" w:rsidRDefault="00AD24B5" w:rsidP="00AD24B5">
      <w:pPr>
        <w:widowControl w:val="0"/>
        <w:suppressAutoHyphens/>
        <w:ind w:left="3600"/>
        <w:rPr>
          <w:szCs w:val="18"/>
        </w:rPr>
      </w:pPr>
    </w:p>
    <w:p w14:paraId="0867453D" w14:textId="77777777" w:rsidR="00AD24B5" w:rsidRPr="003B4362" w:rsidRDefault="00AD24B5" w:rsidP="00AD24B5">
      <w:pPr>
        <w:widowControl w:val="0"/>
        <w:suppressAutoHyphens/>
        <w:ind w:left="3600"/>
        <w:rPr>
          <w:szCs w:val="22"/>
        </w:rPr>
      </w:pPr>
      <w:r w:rsidRPr="003B4362">
        <w:rPr>
          <w:szCs w:val="18"/>
        </w:rPr>
        <w:t>“USEPA 524.3 (09)” means “M</w:t>
      </w:r>
      <w:r w:rsidRPr="003B4362">
        <w:rPr>
          <w:szCs w:val="22"/>
        </w:rPr>
        <w:t>ethod 524.3:  Measurement of Purgeable Organic Compounds in Water by Capillary Column Gas Chromatography/Spectrometry</w:t>
      </w:r>
      <w:r w:rsidRPr="003B4362">
        <w:rPr>
          <w:szCs w:val="16"/>
        </w:rPr>
        <w:t>”</w:t>
      </w:r>
      <w:r w:rsidRPr="003B4362">
        <w:rPr>
          <w:szCs w:val="22"/>
        </w:rPr>
        <w:t>, Revision 1.0</w:t>
      </w:r>
      <w:r w:rsidRPr="003B4362">
        <w:rPr>
          <w:szCs w:val="16"/>
        </w:rPr>
        <w:t xml:space="preserve"> (</w:t>
      </w:r>
      <w:r w:rsidRPr="003B4362">
        <w:rPr>
          <w:szCs w:val="22"/>
        </w:rPr>
        <w:t>June 2009)</w:t>
      </w:r>
      <w:r w:rsidRPr="003B4362">
        <w:rPr>
          <w:szCs w:val="18"/>
        </w:rPr>
        <w:t xml:space="preserve">, USEPA, Office of Ground Water and Drinking Water, Standards and Risk Management Division, Technical Support Center, document number </w:t>
      </w:r>
      <w:r w:rsidRPr="003B4362">
        <w:rPr>
          <w:szCs w:val="22"/>
        </w:rPr>
        <w:t>EPA 815/B-09/009.  Available from NEMI; USEPA, NSCEP (search for “815B09009”); and USEPA, OGWDW (under “Disinfection Byproduct Rules (PDF)” and “Organic Contaminants (PDF)”).  Referenced in Sections 611.381 and 611.645.</w:t>
      </w:r>
    </w:p>
    <w:p w14:paraId="7CD7F1A0" w14:textId="77777777" w:rsidR="00AD24B5" w:rsidRPr="003B4362" w:rsidRDefault="00AD24B5" w:rsidP="00AD24B5">
      <w:pPr>
        <w:widowControl w:val="0"/>
        <w:ind w:left="3600"/>
        <w:rPr>
          <w:szCs w:val="18"/>
        </w:rPr>
      </w:pPr>
    </w:p>
    <w:p w14:paraId="035D775F" w14:textId="77777777" w:rsidR="00AD24B5" w:rsidRPr="003B4362" w:rsidRDefault="00AD24B5" w:rsidP="00AD24B5">
      <w:pPr>
        <w:widowControl w:val="0"/>
        <w:ind w:left="3600"/>
        <w:rPr>
          <w:szCs w:val="22"/>
        </w:rPr>
      </w:pPr>
      <w:r w:rsidRPr="003B4362">
        <w:rPr>
          <w:szCs w:val="18"/>
        </w:rPr>
        <w:t>“USEPA 524.4 (13)” means “M</w:t>
      </w:r>
      <w:r w:rsidRPr="003B4362">
        <w:rPr>
          <w:szCs w:val="22"/>
        </w:rPr>
        <w:t>ethod 524.4, “Measurement of Purgeable Organic Compounds in Water by Gas Chromatography/Spectrometry Using Nitrogen Purge Gas</w:t>
      </w:r>
      <w:r w:rsidRPr="003B4362">
        <w:rPr>
          <w:szCs w:val="16"/>
        </w:rPr>
        <w:t xml:space="preserve">” </w:t>
      </w:r>
      <w:r w:rsidRPr="003B4362">
        <w:rPr>
          <w:szCs w:val="16"/>
        </w:rPr>
        <w:lastRenderedPageBreak/>
        <w:t>(</w:t>
      </w:r>
      <w:r w:rsidRPr="003B4362">
        <w:rPr>
          <w:szCs w:val="22"/>
        </w:rPr>
        <w:t xml:space="preserve">May 2013), </w:t>
      </w:r>
      <w:r w:rsidRPr="003B4362">
        <w:rPr>
          <w:szCs w:val="18"/>
        </w:rPr>
        <w:t xml:space="preserve">USEPA, Office of Ground Water and Drinking Water, Standards and Risk Management Division, Technical Support Center, document number </w:t>
      </w:r>
      <w:r w:rsidRPr="003B4362">
        <w:rPr>
          <w:szCs w:val="22"/>
        </w:rPr>
        <w:t>EPA 815/R-13/002.  Available from USEPA, NSCEP (search for “815R13002”);</w:t>
      </w:r>
      <w:bookmarkStart w:id="286" w:name="_Hlk21447189"/>
      <w:r w:rsidRPr="003B4362">
        <w:rPr>
          <w:szCs w:val="22"/>
        </w:rPr>
        <w:t xml:space="preserve"> and USEPA, OGWDW (under “Disinfection Byproduct Rules (PDF)” and “Organic Contaminants (PDF)”)</w:t>
      </w:r>
      <w:bookmarkEnd w:id="286"/>
      <w:r w:rsidRPr="003B4362">
        <w:rPr>
          <w:szCs w:val="22"/>
        </w:rPr>
        <w:t>.  Referenced in Sections 611.381 and 611.645.</w:t>
      </w:r>
    </w:p>
    <w:p w14:paraId="33B92EE3" w14:textId="77777777" w:rsidR="00AD24B5" w:rsidRPr="003B4362" w:rsidRDefault="00AD24B5" w:rsidP="00AD24B5">
      <w:pPr>
        <w:ind w:left="3600"/>
        <w:rPr>
          <w:szCs w:val="22"/>
        </w:rPr>
      </w:pPr>
    </w:p>
    <w:p w14:paraId="624876DB" w14:textId="77777777" w:rsidR="00AD24B5" w:rsidRPr="003B4362" w:rsidRDefault="00AD24B5" w:rsidP="00AD24B5">
      <w:pPr>
        <w:ind w:left="3600"/>
        <w:rPr>
          <w:szCs w:val="22"/>
        </w:rPr>
      </w:pPr>
      <w:r w:rsidRPr="003B4362">
        <w:rPr>
          <w:szCs w:val="22"/>
        </w:rPr>
        <w:t>“USEPA 525.2 (95)” means “Method 525.2:  Determination of Organic Compounds in Drinking by Liquid-Liquid Extraction and Capillary Column Gas Chromatography/Mass Spectrometry”, Revision 2.0 (1995), in USEPA Organic Methods—Supplement III (95).  Referenced in Section 611.645.</w:t>
      </w:r>
    </w:p>
    <w:p w14:paraId="110498D6" w14:textId="77777777" w:rsidR="00AD24B5" w:rsidRPr="003B4362" w:rsidRDefault="00AD24B5" w:rsidP="00AD24B5">
      <w:pPr>
        <w:ind w:left="3600"/>
        <w:rPr>
          <w:szCs w:val="22"/>
        </w:rPr>
      </w:pPr>
      <w:r w:rsidRPr="003B4362">
        <w:rPr>
          <w:szCs w:val="22"/>
        </w:rPr>
        <w:t>BOARD NOTE:  Also individually available from NEMI.</w:t>
      </w:r>
    </w:p>
    <w:p w14:paraId="78680515" w14:textId="77777777" w:rsidR="00AD24B5" w:rsidRPr="003B4362" w:rsidRDefault="00AD24B5" w:rsidP="00AD24B5">
      <w:pPr>
        <w:widowControl w:val="0"/>
        <w:suppressAutoHyphens/>
        <w:ind w:left="3600"/>
        <w:rPr>
          <w:szCs w:val="22"/>
        </w:rPr>
      </w:pPr>
    </w:p>
    <w:p w14:paraId="4997F170" w14:textId="77777777" w:rsidR="00AD24B5" w:rsidRPr="003B4362" w:rsidRDefault="00AD24B5" w:rsidP="00AD24B5">
      <w:pPr>
        <w:widowControl w:val="0"/>
        <w:suppressAutoHyphens/>
        <w:ind w:left="3600"/>
        <w:rPr>
          <w:szCs w:val="22"/>
        </w:rPr>
      </w:pPr>
      <w:r w:rsidRPr="003B4362">
        <w:rPr>
          <w:szCs w:val="22"/>
        </w:rPr>
        <w:t>“USEPA 525.3 (12)” means “</w:t>
      </w:r>
      <w:r w:rsidRPr="003B4362">
        <w:rPr>
          <w:szCs w:val="18"/>
        </w:rPr>
        <w:t xml:space="preserve">Method 525.3:  </w:t>
      </w:r>
      <w:bookmarkStart w:id="287" w:name="_Hlk134473639"/>
      <w:r w:rsidRPr="003B4362">
        <w:rPr>
          <w:szCs w:val="18"/>
        </w:rPr>
        <w:t>Determination of Total Semivolatile Organic Chemicals in Drinking Water by Solid Phase Extraction and Capillary Column Gas Chromatography/Mass Spectrometry (GC/MS)</w:t>
      </w:r>
      <w:bookmarkEnd w:id="287"/>
      <w:r w:rsidRPr="003B4362">
        <w:rPr>
          <w:szCs w:val="16"/>
        </w:rPr>
        <w:t>”</w:t>
      </w:r>
      <w:r w:rsidRPr="003B4362">
        <w:rPr>
          <w:szCs w:val="18"/>
        </w:rPr>
        <w:t>, Version 1.0</w:t>
      </w:r>
      <w:r w:rsidRPr="003B4362">
        <w:rPr>
          <w:szCs w:val="16"/>
        </w:rPr>
        <w:t xml:space="preserve"> (</w:t>
      </w:r>
      <w:r w:rsidRPr="003B4362">
        <w:rPr>
          <w:szCs w:val="18"/>
        </w:rPr>
        <w:t>February 2012), USEPA, National Exposure Research Laboratory, document number EPA 600/R-12/010.  Available from USEPA</w:t>
      </w:r>
      <w:r w:rsidRPr="003B4362">
        <w:rPr>
          <w:szCs w:val="22"/>
        </w:rPr>
        <w:t>, NSCEP (search “600R12010”) and USEPA, OGWDW (under “Organic Contaminants (PDF)”).  Referenced in Section 611.645</w:t>
      </w:r>
      <w:r w:rsidRPr="003B4362">
        <w:rPr>
          <w:szCs w:val="18"/>
        </w:rPr>
        <w:t>.</w:t>
      </w:r>
    </w:p>
    <w:p w14:paraId="6516246F" w14:textId="77777777" w:rsidR="00AD24B5" w:rsidRPr="003B4362" w:rsidRDefault="00AD24B5" w:rsidP="00AD24B5">
      <w:pPr>
        <w:ind w:left="3600"/>
        <w:rPr>
          <w:szCs w:val="22"/>
        </w:rPr>
      </w:pPr>
    </w:p>
    <w:p w14:paraId="1D80B2DC" w14:textId="77777777" w:rsidR="00AD24B5" w:rsidRPr="003B4362" w:rsidRDefault="00AD24B5" w:rsidP="00AD24B5">
      <w:pPr>
        <w:ind w:left="3600"/>
        <w:rPr>
          <w:szCs w:val="22"/>
        </w:rPr>
      </w:pPr>
      <w:r w:rsidRPr="003B4362">
        <w:rPr>
          <w:szCs w:val="22"/>
        </w:rPr>
        <w:t>“USEPA 531.1 (95)” means “Method 531.1:  Measurement of N-Methylcarbamoyloximes and N-Methylcarbamates in Water by Direct Aqueous Injection HPLC with Post Column Derivatization”, Revision 3.1 (1995), in USEPA Organic Methods—Supplement III (95).  Referenced in Section 611.645.</w:t>
      </w:r>
    </w:p>
    <w:p w14:paraId="6D5A510D" w14:textId="77777777" w:rsidR="00AD24B5" w:rsidRPr="003B4362" w:rsidRDefault="00AD24B5" w:rsidP="00AD24B5">
      <w:pPr>
        <w:ind w:left="3600"/>
        <w:rPr>
          <w:szCs w:val="22"/>
        </w:rPr>
      </w:pPr>
      <w:r w:rsidRPr="003B4362">
        <w:rPr>
          <w:szCs w:val="22"/>
        </w:rPr>
        <w:t>BOARD NOTE:  Also individually available from NEMI.</w:t>
      </w:r>
    </w:p>
    <w:p w14:paraId="3CE4433A" w14:textId="77777777" w:rsidR="00AD24B5" w:rsidRPr="003B4362" w:rsidRDefault="00AD24B5" w:rsidP="00AD24B5">
      <w:pPr>
        <w:widowControl w:val="0"/>
        <w:ind w:left="3600"/>
        <w:rPr>
          <w:szCs w:val="18"/>
        </w:rPr>
      </w:pPr>
    </w:p>
    <w:p w14:paraId="1BF3EA4E" w14:textId="77777777" w:rsidR="00AD24B5" w:rsidRPr="003B4362" w:rsidRDefault="00AD24B5" w:rsidP="00AD24B5">
      <w:pPr>
        <w:widowControl w:val="0"/>
        <w:ind w:left="3600"/>
        <w:rPr>
          <w:szCs w:val="22"/>
        </w:rPr>
      </w:pPr>
      <w:r w:rsidRPr="003B4362">
        <w:rPr>
          <w:szCs w:val="18"/>
        </w:rPr>
        <w:t>“USEPA 531.2 (01)” means “</w:t>
      </w:r>
      <w:r w:rsidRPr="003B4362">
        <w:rPr>
          <w:szCs w:val="22"/>
        </w:rPr>
        <w:t>Method 531.2:  Measurement of N-Methylcarbamoyloximes and N-Methylcarbamates in Water by Direct Aqueous Injection HPLC with Postcolumn Derivatization</w:t>
      </w:r>
      <w:r w:rsidRPr="003B4362">
        <w:rPr>
          <w:szCs w:val="16"/>
        </w:rPr>
        <w:t>”</w:t>
      </w:r>
      <w:r w:rsidRPr="003B4362">
        <w:rPr>
          <w:szCs w:val="22"/>
        </w:rPr>
        <w:t>, Revision 1.0</w:t>
      </w:r>
      <w:r w:rsidRPr="003B4362">
        <w:rPr>
          <w:szCs w:val="16"/>
        </w:rPr>
        <w:t xml:space="preserve"> (</w:t>
      </w:r>
      <w:r w:rsidRPr="003B4362">
        <w:rPr>
          <w:szCs w:val="22"/>
        </w:rPr>
        <w:t xml:space="preserve">September 2001), </w:t>
      </w:r>
      <w:r w:rsidRPr="003B4362">
        <w:rPr>
          <w:szCs w:val="18"/>
        </w:rPr>
        <w:t xml:space="preserve">USEPA, Office of Ground Water and Drinking Water, Standards and Risk Management Division, Technical Support Center, document number </w:t>
      </w:r>
      <w:r w:rsidRPr="003B4362">
        <w:rPr>
          <w:szCs w:val="22"/>
        </w:rPr>
        <w:t xml:space="preserve">EPA 815/B-01/002.  Available from </w:t>
      </w:r>
      <w:r w:rsidRPr="003B4362">
        <w:rPr>
          <w:szCs w:val="18"/>
        </w:rPr>
        <w:t>NEMI</w:t>
      </w:r>
      <w:r w:rsidRPr="003B4362">
        <w:rPr>
          <w:szCs w:val="22"/>
        </w:rPr>
        <w:t xml:space="preserve">; USEPA, NSCEP (search “815B01002”); and </w:t>
      </w:r>
      <w:r w:rsidRPr="003B4362">
        <w:rPr>
          <w:szCs w:val="18"/>
        </w:rPr>
        <w:t xml:space="preserve">USEPA, OGWDW (under “Organic Contaminants (PDF)”). </w:t>
      </w:r>
      <w:r w:rsidRPr="003B4362">
        <w:rPr>
          <w:szCs w:val="22"/>
        </w:rPr>
        <w:t xml:space="preserve"> Referenced in Section 611.645. </w:t>
      </w:r>
      <w:r w:rsidRPr="003B4362">
        <w:rPr>
          <w:szCs w:val="18"/>
        </w:rPr>
        <w:t xml:space="preserve">  See also  and </w:t>
      </w:r>
    </w:p>
    <w:p w14:paraId="77706AD4" w14:textId="77777777" w:rsidR="00AD24B5" w:rsidRPr="003B4362" w:rsidRDefault="00AD24B5" w:rsidP="00AD24B5">
      <w:pPr>
        <w:widowControl w:val="0"/>
        <w:suppressAutoHyphens/>
        <w:ind w:left="3600"/>
        <w:rPr>
          <w:szCs w:val="22"/>
        </w:rPr>
      </w:pPr>
    </w:p>
    <w:p w14:paraId="2EBF4592" w14:textId="77777777" w:rsidR="00AD24B5" w:rsidRPr="003B4362" w:rsidRDefault="00AD24B5" w:rsidP="00AD24B5">
      <w:pPr>
        <w:widowControl w:val="0"/>
        <w:suppressAutoHyphens/>
        <w:ind w:left="3600"/>
        <w:rPr>
          <w:szCs w:val="22"/>
        </w:rPr>
      </w:pPr>
      <w:r w:rsidRPr="003B4362">
        <w:rPr>
          <w:szCs w:val="22"/>
        </w:rPr>
        <w:t>“USEPA 536 (07)” means “</w:t>
      </w:r>
      <w:r w:rsidRPr="003B4362">
        <w:rPr>
          <w:szCs w:val="18"/>
        </w:rPr>
        <w:t>Method 536:  Determination of Triazine Pesticides and Other Degradates in Drinking Water by Liquid Chromatography Electrospray Ionization Tandem Mass Spectrometry (LC/ESI-MS/MS)</w:t>
      </w:r>
      <w:r w:rsidRPr="003B4362">
        <w:rPr>
          <w:szCs w:val="16"/>
        </w:rPr>
        <w:t>”</w:t>
      </w:r>
      <w:r w:rsidRPr="003B4362">
        <w:rPr>
          <w:szCs w:val="18"/>
        </w:rPr>
        <w:t>, Version 1.0</w:t>
      </w:r>
      <w:r w:rsidRPr="003B4362">
        <w:rPr>
          <w:szCs w:val="16"/>
        </w:rPr>
        <w:t xml:space="preserve"> (</w:t>
      </w:r>
      <w:r w:rsidRPr="003B4362">
        <w:rPr>
          <w:szCs w:val="18"/>
        </w:rPr>
        <w:t>October 2007), USEPA Office of Ground Water and Drinking Water, Technical Support Center, document number EPA 815/B-07/002.  Available from USEPA, NSCEP</w:t>
      </w:r>
      <w:r w:rsidRPr="003B4362">
        <w:rPr>
          <w:szCs w:val="22"/>
        </w:rPr>
        <w:t xml:space="preserve"> (search “</w:t>
      </w:r>
      <w:bookmarkStart w:id="288" w:name="_Hlk11942874"/>
      <w:r w:rsidRPr="003B4362">
        <w:rPr>
          <w:szCs w:val="22"/>
        </w:rPr>
        <w:t>815B07002</w:t>
      </w:r>
      <w:bookmarkEnd w:id="288"/>
      <w:r w:rsidRPr="003B4362">
        <w:rPr>
          <w:szCs w:val="22"/>
        </w:rPr>
        <w:t>”)</w:t>
      </w:r>
      <w:r w:rsidRPr="003B4362">
        <w:rPr>
          <w:szCs w:val="18"/>
        </w:rPr>
        <w:t xml:space="preserve"> and USEPA, OGWDW (under “Organic Contaminants (PDF)”). </w:t>
      </w:r>
      <w:r w:rsidRPr="003B4362">
        <w:rPr>
          <w:szCs w:val="22"/>
        </w:rPr>
        <w:t xml:space="preserve"> Referenced in Section 611.645</w:t>
      </w:r>
      <w:r w:rsidRPr="003B4362">
        <w:rPr>
          <w:szCs w:val="18"/>
        </w:rPr>
        <w:t>.</w:t>
      </w:r>
    </w:p>
    <w:p w14:paraId="7ADCC3EF" w14:textId="77777777" w:rsidR="00AD24B5" w:rsidRPr="003B4362" w:rsidRDefault="00AD24B5" w:rsidP="00AD24B5">
      <w:pPr>
        <w:ind w:left="3600"/>
        <w:rPr>
          <w:szCs w:val="22"/>
        </w:rPr>
      </w:pPr>
    </w:p>
    <w:p w14:paraId="0255961F" w14:textId="77777777" w:rsidR="00AD24B5" w:rsidRPr="003B4362" w:rsidRDefault="00AD24B5" w:rsidP="00AD24B5">
      <w:pPr>
        <w:ind w:left="3600"/>
        <w:rPr>
          <w:szCs w:val="22"/>
        </w:rPr>
      </w:pPr>
      <w:r w:rsidRPr="003B4362">
        <w:rPr>
          <w:szCs w:val="22"/>
        </w:rPr>
        <w:t>“USEPA 547 (90)” means “Method 547:  Determination of Glyphosate in Drinking Water by Direct-Aqueous-Injection HPLC, Post-Column Derivatization, and Fluorescence Detection” (July 1990), in USEPA Organic Methods—Supplement I (90).  Referenced in Section 611.645.</w:t>
      </w:r>
    </w:p>
    <w:p w14:paraId="286CE520" w14:textId="77777777" w:rsidR="00AD24B5" w:rsidRPr="003B4362" w:rsidRDefault="00AD24B5" w:rsidP="00AD24B5">
      <w:pPr>
        <w:ind w:left="3600"/>
        <w:rPr>
          <w:szCs w:val="22"/>
        </w:rPr>
      </w:pPr>
    </w:p>
    <w:p w14:paraId="749EC980" w14:textId="77777777" w:rsidR="00AD24B5" w:rsidRPr="003B4362" w:rsidRDefault="00AD24B5" w:rsidP="00AD24B5">
      <w:pPr>
        <w:ind w:left="3600"/>
        <w:rPr>
          <w:szCs w:val="22"/>
        </w:rPr>
      </w:pPr>
      <w:r w:rsidRPr="003B4362">
        <w:rPr>
          <w:szCs w:val="22"/>
        </w:rPr>
        <w:t>“USEPA 548.1 (92)” means “Method 548.1:  Determination of Endothall in Drinking Water by Ion-Exchange Extraction, Acidic Methanol Methylation and Gas Chromatography/Mass Spectrometry”, Revision 1.0 (August 1992), in USEPA Organic Methods—Supplement II (92).  Referenced in Section 611.645.</w:t>
      </w:r>
    </w:p>
    <w:p w14:paraId="0AA53248" w14:textId="77777777" w:rsidR="00AD24B5" w:rsidRPr="003B4362" w:rsidRDefault="00AD24B5" w:rsidP="00AD24B5">
      <w:pPr>
        <w:ind w:left="3600"/>
        <w:rPr>
          <w:szCs w:val="22"/>
        </w:rPr>
      </w:pPr>
      <w:r w:rsidRPr="003B4362">
        <w:rPr>
          <w:szCs w:val="22"/>
        </w:rPr>
        <w:t>BOARD NOTE:  Also individually available from NEMI.</w:t>
      </w:r>
    </w:p>
    <w:p w14:paraId="7E86B484" w14:textId="77777777" w:rsidR="00AD24B5" w:rsidRPr="003B4362" w:rsidRDefault="00AD24B5" w:rsidP="00AD24B5">
      <w:pPr>
        <w:widowControl w:val="0"/>
        <w:suppressAutoHyphens/>
        <w:ind w:left="3600"/>
        <w:rPr>
          <w:szCs w:val="22"/>
        </w:rPr>
      </w:pPr>
    </w:p>
    <w:p w14:paraId="10C82D48" w14:textId="77777777" w:rsidR="00AD24B5" w:rsidRPr="003B4362" w:rsidRDefault="00AD24B5" w:rsidP="00AD24B5">
      <w:pPr>
        <w:widowControl w:val="0"/>
        <w:suppressAutoHyphens/>
        <w:ind w:left="3600"/>
        <w:rPr>
          <w:szCs w:val="22"/>
        </w:rPr>
      </w:pPr>
      <w:r w:rsidRPr="003B4362">
        <w:rPr>
          <w:szCs w:val="22"/>
        </w:rPr>
        <w:t>“USEPA 549.2 (97)” means “</w:t>
      </w:r>
      <w:r w:rsidRPr="003B4362">
        <w:rPr>
          <w:szCs w:val="18"/>
        </w:rPr>
        <w:t xml:space="preserve">Method 549.2:  </w:t>
      </w:r>
      <w:r w:rsidRPr="003B4362">
        <w:rPr>
          <w:szCs w:val="22"/>
        </w:rPr>
        <w:t>Determination of Diquat and Paraquat in Drinking Water by Liquid-Solid Extraction and High Performance Liquid Chromatography with Ultraviolet Detection</w:t>
      </w:r>
      <w:r w:rsidRPr="003B4362">
        <w:rPr>
          <w:szCs w:val="16"/>
        </w:rPr>
        <w:t>”</w:t>
      </w:r>
      <w:r w:rsidRPr="003B4362">
        <w:rPr>
          <w:szCs w:val="18"/>
        </w:rPr>
        <w:t>, Revision 1.0</w:t>
      </w:r>
      <w:r w:rsidRPr="003B4362">
        <w:rPr>
          <w:szCs w:val="16"/>
        </w:rPr>
        <w:t xml:space="preserve"> (</w:t>
      </w:r>
      <w:r w:rsidRPr="003B4362">
        <w:rPr>
          <w:szCs w:val="18"/>
        </w:rPr>
        <w:t>June 1997), USEPA, Office of Research and Development, National Exposure Research Laboratory.  Available from NEMI.  Referenced in Section 611.645</w:t>
      </w:r>
      <w:r w:rsidRPr="003B4362">
        <w:rPr>
          <w:szCs w:val="22"/>
        </w:rPr>
        <w:t>.</w:t>
      </w:r>
    </w:p>
    <w:p w14:paraId="6A7DEA69" w14:textId="77777777" w:rsidR="00AD24B5" w:rsidRPr="003B4362" w:rsidRDefault="00AD24B5" w:rsidP="00AD24B5">
      <w:pPr>
        <w:ind w:left="3600"/>
        <w:rPr>
          <w:szCs w:val="22"/>
        </w:rPr>
      </w:pPr>
    </w:p>
    <w:p w14:paraId="7B96B461" w14:textId="77777777" w:rsidR="00AD24B5" w:rsidRPr="003B4362" w:rsidRDefault="00AD24B5" w:rsidP="00AD24B5">
      <w:pPr>
        <w:ind w:left="3600"/>
        <w:rPr>
          <w:szCs w:val="22"/>
        </w:rPr>
      </w:pPr>
      <w:r w:rsidRPr="003B4362">
        <w:rPr>
          <w:szCs w:val="22"/>
        </w:rPr>
        <w:t>“USEPA 550 (90)” means “Method 550:  Determination of Polycyclic Aromatic Hydrocarbons in Drinking Water by Liquid-Liquid Extraction and HPLC with Coupled Ultraviolet and Fluorescence Detection” (July 1990), in USEPA Organic Methods—Supplement I (90).  Referenced in Section 611.645.</w:t>
      </w:r>
    </w:p>
    <w:p w14:paraId="5F92DF34" w14:textId="77777777" w:rsidR="00AD24B5" w:rsidRPr="003B4362" w:rsidRDefault="00AD24B5" w:rsidP="00AD24B5">
      <w:pPr>
        <w:ind w:left="3600"/>
        <w:rPr>
          <w:szCs w:val="22"/>
        </w:rPr>
      </w:pPr>
      <w:r w:rsidRPr="003B4362">
        <w:rPr>
          <w:szCs w:val="22"/>
        </w:rPr>
        <w:t>BOARD NOTE:  Also individually available from NEMI.</w:t>
      </w:r>
    </w:p>
    <w:p w14:paraId="2089B25F" w14:textId="77777777" w:rsidR="00AD24B5" w:rsidRPr="003B4362" w:rsidRDefault="00AD24B5" w:rsidP="00AD24B5">
      <w:pPr>
        <w:ind w:left="3600"/>
        <w:rPr>
          <w:szCs w:val="22"/>
        </w:rPr>
      </w:pPr>
    </w:p>
    <w:p w14:paraId="5D8CB03D" w14:textId="77777777" w:rsidR="00AD24B5" w:rsidRPr="003B4362" w:rsidRDefault="00AD24B5" w:rsidP="00AD24B5">
      <w:pPr>
        <w:ind w:left="3600"/>
        <w:rPr>
          <w:szCs w:val="22"/>
        </w:rPr>
      </w:pPr>
      <w:r w:rsidRPr="003B4362">
        <w:rPr>
          <w:szCs w:val="22"/>
        </w:rPr>
        <w:t xml:space="preserve">“USEPA 550.1 (90)” means “Method 550.1:  Determination of Polycyclic Aromatic Hydrocarbons in Drinking Water by Liquid-Solid Extraction and HPLC with </w:t>
      </w:r>
      <w:r w:rsidRPr="003B4362">
        <w:rPr>
          <w:szCs w:val="22"/>
        </w:rPr>
        <w:lastRenderedPageBreak/>
        <w:t>Coupled Ultraviolet and Fluorescence Detection” (July 1990), in USEPA Organic Methods—Supplement I (90).  Referenced in Section 611.645.</w:t>
      </w:r>
    </w:p>
    <w:p w14:paraId="79520A2B" w14:textId="77777777" w:rsidR="00AD24B5" w:rsidRPr="003B4362" w:rsidRDefault="00AD24B5" w:rsidP="00AD24B5">
      <w:pPr>
        <w:ind w:left="3600"/>
        <w:rPr>
          <w:szCs w:val="22"/>
        </w:rPr>
      </w:pPr>
      <w:r w:rsidRPr="003B4362">
        <w:rPr>
          <w:szCs w:val="22"/>
        </w:rPr>
        <w:t>BOARD NOTE:  Also individually available from NEMI.</w:t>
      </w:r>
    </w:p>
    <w:p w14:paraId="5B5D170B" w14:textId="77777777" w:rsidR="00AD24B5" w:rsidRPr="003B4362" w:rsidRDefault="00AD24B5" w:rsidP="00AD24B5">
      <w:pPr>
        <w:ind w:left="3600"/>
        <w:rPr>
          <w:szCs w:val="22"/>
        </w:rPr>
      </w:pPr>
    </w:p>
    <w:p w14:paraId="1D49F1EA" w14:textId="77777777" w:rsidR="00AD24B5" w:rsidRPr="003B4362" w:rsidRDefault="00AD24B5" w:rsidP="00AD24B5">
      <w:pPr>
        <w:ind w:left="3600"/>
        <w:rPr>
          <w:szCs w:val="22"/>
        </w:rPr>
      </w:pPr>
      <w:r w:rsidRPr="003B4362">
        <w:rPr>
          <w:szCs w:val="22"/>
        </w:rPr>
        <w:t>“</w:t>
      </w:r>
      <w:bookmarkStart w:id="289" w:name="_Hlk19093296"/>
      <w:r w:rsidRPr="003B4362">
        <w:rPr>
          <w:szCs w:val="22"/>
        </w:rPr>
        <w:t>USEPA 551.1 (95)</w:t>
      </w:r>
      <w:bookmarkEnd w:id="289"/>
      <w:r w:rsidRPr="003B4362">
        <w:rPr>
          <w:szCs w:val="22"/>
        </w:rPr>
        <w:t>” means “Method 551.1:  Measurement of N-Methylcarbamoyloximes and N-Methylcarbamates in Water by Direct Aqueous Injection HPLC with Post Column Derivatization”, Revision 1.0 (1995), in USEPA Organic Methods—Supplement III (95).  Referenced in Section 611.645.</w:t>
      </w:r>
    </w:p>
    <w:p w14:paraId="38D26D95" w14:textId="77777777" w:rsidR="00AD24B5" w:rsidRPr="003B4362" w:rsidRDefault="00AD24B5" w:rsidP="00AD24B5">
      <w:pPr>
        <w:ind w:left="3600"/>
        <w:rPr>
          <w:szCs w:val="22"/>
        </w:rPr>
      </w:pPr>
    </w:p>
    <w:p w14:paraId="7BC2C338" w14:textId="77777777" w:rsidR="00AD24B5" w:rsidRPr="003B4362" w:rsidRDefault="00AD24B5" w:rsidP="00AD24B5">
      <w:pPr>
        <w:ind w:left="3600"/>
        <w:rPr>
          <w:szCs w:val="22"/>
        </w:rPr>
      </w:pPr>
      <w:r w:rsidRPr="003B4362">
        <w:rPr>
          <w:szCs w:val="22"/>
        </w:rPr>
        <w:t>“</w:t>
      </w:r>
      <w:bookmarkStart w:id="290" w:name="_Hlk19093355"/>
      <w:r w:rsidRPr="003B4362">
        <w:rPr>
          <w:szCs w:val="22"/>
        </w:rPr>
        <w:t>USEPA 552.1 (92)</w:t>
      </w:r>
      <w:bookmarkEnd w:id="290"/>
      <w:r w:rsidRPr="003B4362">
        <w:rPr>
          <w:szCs w:val="22"/>
        </w:rPr>
        <w:t>” means “Method 552.1:  Determination of Haloacetic Acids and Dalapon in Drinking Water by Ion-Exchange Liquid-Solid Extraction and Gas Chromatography with an Electron Capture Detector”, Revision 1.0 (August 1992), in USEPA Organic Methods—Supplement II (92).  Referenced in Sections 611.381 and 611.645.</w:t>
      </w:r>
    </w:p>
    <w:p w14:paraId="79C8303B" w14:textId="77777777" w:rsidR="00AD24B5" w:rsidRPr="003B4362" w:rsidRDefault="00AD24B5" w:rsidP="00AD24B5">
      <w:pPr>
        <w:ind w:left="3600"/>
        <w:rPr>
          <w:szCs w:val="22"/>
        </w:rPr>
      </w:pPr>
      <w:r w:rsidRPr="003B4362">
        <w:rPr>
          <w:szCs w:val="22"/>
        </w:rPr>
        <w:t>BOARD NOTE:  Also individually available from NEMI.</w:t>
      </w:r>
    </w:p>
    <w:p w14:paraId="0FEF2F10" w14:textId="77777777" w:rsidR="00AD24B5" w:rsidRPr="003B4362" w:rsidRDefault="00AD24B5" w:rsidP="00AD24B5">
      <w:pPr>
        <w:ind w:left="3600"/>
        <w:rPr>
          <w:szCs w:val="22"/>
        </w:rPr>
      </w:pPr>
    </w:p>
    <w:p w14:paraId="65ED3461" w14:textId="77777777" w:rsidR="00AD24B5" w:rsidRPr="003B4362" w:rsidRDefault="00AD24B5" w:rsidP="00AD24B5">
      <w:pPr>
        <w:ind w:left="3600"/>
        <w:rPr>
          <w:szCs w:val="22"/>
        </w:rPr>
      </w:pPr>
      <w:r w:rsidRPr="003B4362">
        <w:rPr>
          <w:szCs w:val="22"/>
        </w:rPr>
        <w:t>“</w:t>
      </w:r>
      <w:bookmarkStart w:id="291" w:name="_Hlk19093446"/>
      <w:r w:rsidRPr="003B4362">
        <w:rPr>
          <w:szCs w:val="22"/>
        </w:rPr>
        <w:t>USEPA 552.2 (95)</w:t>
      </w:r>
      <w:bookmarkEnd w:id="291"/>
      <w:r w:rsidRPr="003B4362">
        <w:rPr>
          <w:szCs w:val="22"/>
        </w:rPr>
        <w:t>” means “Method 552.2:  Determination of Haloacetic Acids and Dalapon in Drinking Water by Liquid-Liquid Extraction, Derivatization and Gas Chromatography with Electron Capture Detection”, Revision 1.0 (1995), in USEPA Organic Methods—Supplement III (95).  Referenced in Sections 611.381 and 611.645.</w:t>
      </w:r>
    </w:p>
    <w:p w14:paraId="57FF5696" w14:textId="77777777" w:rsidR="00AD24B5" w:rsidRPr="003B4362" w:rsidRDefault="00AD24B5" w:rsidP="00AD24B5">
      <w:pPr>
        <w:ind w:left="3600"/>
        <w:rPr>
          <w:szCs w:val="22"/>
        </w:rPr>
      </w:pPr>
      <w:r w:rsidRPr="003B4362">
        <w:rPr>
          <w:szCs w:val="22"/>
        </w:rPr>
        <w:t>BOARD NOTE:  Also individually available from NEMI.</w:t>
      </w:r>
    </w:p>
    <w:p w14:paraId="79A9A12A" w14:textId="77777777" w:rsidR="00AD24B5" w:rsidRPr="003B4362" w:rsidRDefault="00AD24B5" w:rsidP="00AD24B5">
      <w:pPr>
        <w:widowControl w:val="0"/>
        <w:suppressAutoHyphens/>
        <w:ind w:left="3600"/>
        <w:rPr>
          <w:szCs w:val="18"/>
        </w:rPr>
      </w:pPr>
    </w:p>
    <w:p w14:paraId="7B98BEF1" w14:textId="77777777" w:rsidR="00AD24B5" w:rsidRPr="003B4362" w:rsidRDefault="00AD24B5" w:rsidP="00AD24B5">
      <w:pPr>
        <w:widowControl w:val="0"/>
        <w:suppressAutoHyphens/>
        <w:ind w:left="3600"/>
        <w:rPr>
          <w:szCs w:val="22"/>
        </w:rPr>
      </w:pPr>
      <w:r w:rsidRPr="003B4362">
        <w:rPr>
          <w:szCs w:val="18"/>
        </w:rPr>
        <w:t>“USEPA 552.3 (03)” means “Method 552.3:  Determination of Haloacetic Acids and Dalapon in Drinking Water by Liquid-Liquid Microextraction, Derivatization, and Gas Chromatography with Electron Capture Detection</w:t>
      </w:r>
      <w:r w:rsidRPr="003B4362">
        <w:rPr>
          <w:szCs w:val="16"/>
        </w:rPr>
        <w:t>”</w:t>
      </w:r>
      <w:r w:rsidRPr="003B4362">
        <w:rPr>
          <w:szCs w:val="18"/>
        </w:rPr>
        <w:t>, Revision 1.0</w:t>
      </w:r>
      <w:r w:rsidRPr="003B4362">
        <w:rPr>
          <w:szCs w:val="16"/>
        </w:rPr>
        <w:t xml:space="preserve"> (</w:t>
      </w:r>
      <w:r w:rsidRPr="003B4362">
        <w:rPr>
          <w:szCs w:val="18"/>
        </w:rPr>
        <w:t>July 2003), USEPA, Office of Ground Water and Drinking Water, Technical Support Center, document number EPA 815/B-03/002.  Available from NEMI; USEPA, NSCEP</w:t>
      </w:r>
      <w:r w:rsidRPr="003B4362">
        <w:rPr>
          <w:szCs w:val="22"/>
        </w:rPr>
        <w:t xml:space="preserve"> (search “815B03002”);</w:t>
      </w:r>
      <w:r w:rsidRPr="003B4362">
        <w:rPr>
          <w:szCs w:val="18"/>
        </w:rPr>
        <w:t xml:space="preserve"> and USEPA, OGWDW (under “Disinfection Byproduct Rules (PDF)”). </w:t>
      </w:r>
      <w:r w:rsidRPr="003B4362">
        <w:rPr>
          <w:szCs w:val="22"/>
        </w:rPr>
        <w:t xml:space="preserve"> Referenced in Sections 611.381 and 611.645</w:t>
      </w:r>
      <w:r w:rsidRPr="003B4362">
        <w:rPr>
          <w:szCs w:val="18"/>
        </w:rPr>
        <w:t>.</w:t>
      </w:r>
    </w:p>
    <w:p w14:paraId="2DE218F7" w14:textId="77777777" w:rsidR="00AD24B5" w:rsidRPr="003B4362" w:rsidRDefault="00AD24B5" w:rsidP="00AD24B5">
      <w:pPr>
        <w:ind w:left="3600"/>
        <w:rPr>
          <w:szCs w:val="22"/>
        </w:rPr>
      </w:pPr>
    </w:p>
    <w:p w14:paraId="55E4877B" w14:textId="77777777" w:rsidR="00AD24B5" w:rsidRPr="003B4362" w:rsidRDefault="00AD24B5" w:rsidP="00AD24B5">
      <w:pPr>
        <w:ind w:left="3600"/>
        <w:rPr>
          <w:szCs w:val="22"/>
        </w:rPr>
      </w:pPr>
      <w:r w:rsidRPr="003B4362">
        <w:rPr>
          <w:szCs w:val="22"/>
        </w:rPr>
        <w:t xml:space="preserve">“USEPA 555 (92)” means “Method 555:  Determination of Chlorinated Acids in Water by High Performance Liquid Chromatography with a Photodiode Array Ultraviolet </w:t>
      </w:r>
      <w:r w:rsidRPr="003B4362">
        <w:rPr>
          <w:szCs w:val="22"/>
        </w:rPr>
        <w:lastRenderedPageBreak/>
        <w:t>Detector”, Revision 1.0 (August 1992), in USEPA Organic Methods—Supplement II (92).  Referenced in Section 611.645.</w:t>
      </w:r>
    </w:p>
    <w:p w14:paraId="3B2E6C06" w14:textId="77777777" w:rsidR="00AD24B5" w:rsidRPr="003B4362" w:rsidRDefault="00AD24B5" w:rsidP="00AD24B5">
      <w:pPr>
        <w:ind w:left="3600"/>
        <w:rPr>
          <w:szCs w:val="22"/>
        </w:rPr>
      </w:pPr>
      <w:r w:rsidRPr="003B4362">
        <w:rPr>
          <w:szCs w:val="22"/>
        </w:rPr>
        <w:t>BOARD NOTE:  Also individually available from NEMI.</w:t>
      </w:r>
    </w:p>
    <w:p w14:paraId="7EF3030F" w14:textId="77777777" w:rsidR="00AD24B5" w:rsidRPr="003B4362" w:rsidRDefault="00AD24B5" w:rsidP="00AD24B5">
      <w:pPr>
        <w:widowControl w:val="0"/>
        <w:suppressAutoHyphens/>
        <w:ind w:left="3600"/>
        <w:rPr>
          <w:szCs w:val="18"/>
        </w:rPr>
      </w:pPr>
    </w:p>
    <w:p w14:paraId="4BC95155" w14:textId="77777777" w:rsidR="00AD24B5" w:rsidRPr="003B4362" w:rsidRDefault="00AD24B5" w:rsidP="00AD24B5">
      <w:pPr>
        <w:widowControl w:val="0"/>
        <w:suppressAutoHyphens/>
        <w:ind w:left="3600"/>
        <w:rPr>
          <w:szCs w:val="22"/>
        </w:rPr>
      </w:pPr>
      <w:r w:rsidRPr="003B4362">
        <w:rPr>
          <w:szCs w:val="18"/>
        </w:rPr>
        <w:t>“USEPA 557 (09)” means “Method 557:  Determination of Haloacetic Acids, Bromate, and Dalapon in Drinking Water by Ion Chromatography Electrospray Ionization Tandem Mass Spectrometry (IC-ESI-MS/MS)</w:t>
      </w:r>
      <w:r w:rsidRPr="003B4362">
        <w:rPr>
          <w:szCs w:val="16"/>
        </w:rPr>
        <w:t>”,</w:t>
      </w:r>
      <w:r w:rsidRPr="003B4362">
        <w:rPr>
          <w:szCs w:val="18"/>
        </w:rPr>
        <w:t xml:space="preserve"> Version 1.0 (September 2009), USEPA, Office of Ground Water and Drinking Water, Technical Support Center, document number EPA 815/B-09/012</w:t>
      </w:r>
      <w:r w:rsidRPr="003B4362">
        <w:rPr>
          <w:szCs w:val="22"/>
        </w:rPr>
        <w:t xml:space="preserve">.  Available from NEMI; USEPA, NSCEP (search “815B09012”); and </w:t>
      </w:r>
      <w:r w:rsidRPr="003B4362">
        <w:rPr>
          <w:szCs w:val="18"/>
        </w:rPr>
        <w:t>USEPA, OGWDW (under “Disinfection Byproduct Rules (PDF)”).</w:t>
      </w:r>
      <w:r w:rsidRPr="003B4362">
        <w:rPr>
          <w:szCs w:val="22"/>
        </w:rPr>
        <w:t xml:space="preserve">  Referenced in Sections 611.381, 611.382, and 611.645</w:t>
      </w:r>
      <w:r w:rsidRPr="003B4362">
        <w:rPr>
          <w:szCs w:val="18"/>
        </w:rPr>
        <w:t>.</w:t>
      </w:r>
    </w:p>
    <w:p w14:paraId="0541FF87" w14:textId="77777777" w:rsidR="00AD24B5" w:rsidRPr="003B4362" w:rsidRDefault="00AD24B5" w:rsidP="00AD24B5">
      <w:pPr>
        <w:ind w:left="3600"/>
        <w:rPr>
          <w:szCs w:val="22"/>
        </w:rPr>
      </w:pPr>
    </w:p>
    <w:p w14:paraId="4FF482C2" w14:textId="77777777" w:rsidR="00AD24B5" w:rsidRPr="003B4362" w:rsidRDefault="00AD24B5" w:rsidP="00AD24B5">
      <w:pPr>
        <w:ind w:left="3600"/>
        <w:rPr>
          <w:szCs w:val="22"/>
        </w:rPr>
      </w:pPr>
      <w:r w:rsidRPr="003B4362">
        <w:rPr>
          <w:szCs w:val="22"/>
        </w:rPr>
        <w:t>“</w:t>
      </w:r>
      <w:bookmarkStart w:id="292" w:name="_Hlk19093625"/>
      <w:r w:rsidRPr="003B4362">
        <w:rPr>
          <w:szCs w:val="22"/>
        </w:rPr>
        <w:t>USEPA 900.0 (80)</w:t>
      </w:r>
      <w:bookmarkEnd w:id="292"/>
      <w:r w:rsidRPr="003B4362">
        <w:rPr>
          <w:szCs w:val="22"/>
        </w:rPr>
        <w:t>” means “Gross Alpha and Gross Beta Radioactivity in Drinking Water—Method 900.0” (1980), in USEPA Radioactivity Methods (80).  Referenced in Section 611.720.</w:t>
      </w:r>
    </w:p>
    <w:p w14:paraId="72492676" w14:textId="77777777" w:rsidR="00AD24B5" w:rsidRPr="003B4362" w:rsidRDefault="00AD24B5" w:rsidP="00AD24B5">
      <w:pPr>
        <w:ind w:left="3600"/>
        <w:rPr>
          <w:szCs w:val="22"/>
        </w:rPr>
      </w:pPr>
      <w:bookmarkStart w:id="293" w:name="_Hlk19096592"/>
      <w:r w:rsidRPr="003B4362">
        <w:rPr>
          <w:szCs w:val="22"/>
        </w:rPr>
        <w:t>BOARD NOTE:  Also individually available from NEMI and USEPA, OGWDW (under “Radionuclides (PDF)”).</w:t>
      </w:r>
    </w:p>
    <w:bookmarkEnd w:id="293"/>
    <w:p w14:paraId="7B5582D6" w14:textId="77777777" w:rsidR="00AD24B5" w:rsidRPr="003B4362" w:rsidRDefault="00AD24B5" w:rsidP="00AD24B5">
      <w:pPr>
        <w:ind w:left="3600"/>
        <w:rPr>
          <w:szCs w:val="22"/>
        </w:rPr>
      </w:pPr>
    </w:p>
    <w:p w14:paraId="1A894341" w14:textId="77777777" w:rsidR="00AD24B5" w:rsidRPr="003B4362" w:rsidRDefault="00AD24B5" w:rsidP="00AD24B5">
      <w:pPr>
        <w:ind w:left="3600"/>
        <w:rPr>
          <w:szCs w:val="22"/>
        </w:rPr>
      </w:pPr>
      <w:r w:rsidRPr="003B4362">
        <w:rPr>
          <w:szCs w:val="22"/>
        </w:rPr>
        <w:t>“USEPA 900.0 (18)” means Method 900.0, Revision 1.0 “Gross Alpha and Gross Beta Radioactivity in Drinking Water” (February 2018), USEPA, Office of Water, document number EPA 815/B-18/002.  Also available from USEPA, NSCEP (search “815B18002”) and USEPA, OGWDW (under “Radionuclides (PDF)”).</w:t>
      </w:r>
    </w:p>
    <w:p w14:paraId="1EE5E3AA" w14:textId="77777777" w:rsidR="00AD24B5" w:rsidRPr="003B4362" w:rsidRDefault="00AD24B5" w:rsidP="00AD24B5">
      <w:pPr>
        <w:ind w:left="3600"/>
        <w:rPr>
          <w:szCs w:val="22"/>
        </w:rPr>
      </w:pPr>
    </w:p>
    <w:p w14:paraId="745BBC6F" w14:textId="77777777" w:rsidR="00AD24B5" w:rsidRPr="003B4362" w:rsidRDefault="00AD24B5" w:rsidP="00AD24B5">
      <w:pPr>
        <w:ind w:left="3600"/>
        <w:rPr>
          <w:szCs w:val="22"/>
        </w:rPr>
      </w:pPr>
      <w:r w:rsidRPr="003B4362">
        <w:rPr>
          <w:szCs w:val="22"/>
        </w:rPr>
        <w:t>“USEPA 901.0 (80)” means “Radioactive Cesium in Drinking Water—Method 901.0” (1980), in USEPA Radioactivity Methods (80).  Referenced in Section 611.720.</w:t>
      </w:r>
    </w:p>
    <w:p w14:paraId="7E58D9B1" w14:textId="77777777" w:rsidR="00AD24B5" w:rsidRPr="003B4362" w:rsidRDefault="00AD24B5" w:rsidP="00AD24B5">
      <w:pPr>
        <w:ind w:left="3600"/>
        <w:rPr>
          <w:szCs w:val="22"/>
        </w:rPr>
      </w:pPr>
      <w:r w:rsidRPr="003B4362">
        <w:rPr>
          <w:szCs w:val="22"/>
        </w:rPr>
        <w:t>BOARD NOTE:  Also individually available from NEMI and USEPA, OGWDW (under “Radionuclides (PDF)”).</w:t>
      </w:r>
    </w:p>
    <w:p w14:paraId="31A466BE" w14:textId="77777777" w:rsidR="00AD24B5" w:rsidRPr="003B4362" w:rsidRDefault="00AD24B5" w:rsidP="00AD24B5">
      <w:pPr>
        <w:ind w:left="3600"/>
        <w:rPr>
          <w:szCs w:val="22"/>
        </w:rPr>
      </w:pPr>
    </w:p>
    <w:p w14:paraId="0B066237" w14:textId="77777777" w:rsidR="00AD24B5" w:rsidRPr="003B4362" w:rsidRDefault="00AD24B5" w:rsidP="00AD24B5">
      <w:pPr>
        <w:ind w:left="3600"/>
        <w:rPr>
          <w:szCs w:val="22"/>
        </w:rPr>
      </w:pPr>
      <w:r w:rsidRPr="003B4362">
        <w:rPr>
          <w:szCs w:val="22"/>
        </w:rPr>
        <w:t>“USEPA 901.1 (80)” means “Gamma Emitting Radionuclides in Drinking Water—Method 901.1” (1980), in USEPA Radioactivity Methods (80).  Referenced in Section 611.720.</w:t>
      </w:r>
    </w:p>
    <w:p w14:paraId="0EF28DA2" w14:textId="77777777" w:rsidR="00AD24B5" w:rsidRPr="003B4362" w:rsidRDefault="00AD24B5" w:rsidP="00AD24B5">
      <w:pPr>
        <w:ind w:left="3600"/>
        <w:rPr>
          <w:szCs w:val="22"/>
        </w:rPr>
      </w:pPr>
      <w:bookmarkStart w:id="294" w:name="_Hlk8833135"/>
      <w:r w:rsidRPr="003B4362">
        <w:rPr>
          <w:szCs w:val="22"/>
        </w:rPr>
        <w:t>BOARD NOTE:  Also individually available from NEMI and USEPA, OGWDW (under “Radionuclides (PDF)”).</w:t>
      </w:r>
    </w:p>
    <w:p w14:paraId="0A30356E" w14:textId="77777777" w:rsidR="00AD24B5" w:rsidRPr="003B4362" w:rsidRDefault="00AD24B5" w:rsidP="00AD24B5">
      <w:pPr>
        <w:ind w:left="3600"/>
        <w:rPr>
          <w:szCs w:val="22"/>
        </w:rPr>
      </w:pPr>
    </w:p>
    <w:p w14:paraId="767E6B90" w14:textId="77777777" w:rsidR="00AD24B5" w:rsidRPr="003B4362" w:rsidRDefault="00AD24B5" w:rsidP="00AD24B5">
      <w:pPr>
        <w:ind w:left="3600"/>
        <w:rPr>
          <w:szCs w:val="22"/>
        </w:rPr>
      </w:pPr>
      <w:r w:rsidRPr="003B4362">
        <w:rPr>
          <w:szCs w:val="22"/>
        </w:rPr>
        <w:lastRenderedPageBreak/>
        <w:t>“USEPA 902.0 (80)” means “Radioactive Iodine in Drinking Water—Method 902.0” (1980), in USEPA Radioactivity Methods (80).  Referenced in Section 611.720.</w:t>
      </w:r>
    </w:p>
    <w:p w14:paraId="6AF172C3" w14:textId="77777777" w:rsidR="00AD24B5" w:rsidRPr="003B4362" w:rsidRDefault="00AD24B5" w:rsidP="00AD24B5">
      <w:pPr>
        <w:ind w:left="3600"/>
        <w:rPr>
          <w:szCs w:val="22"/>
        </w:rPr>
      </w:pPr>
      <w:bookmarkStart w:id="295" w:name="_Hlk8909225"/>
      <w:bookmarkEnd w:id="294"/>
    </w:p>
    <w:p w14:paraId="4BCCA1FE" w14:textId="77777777" w:rsidR="00AD24B5" w:rsidRPr="003B4362" w:rsidRDefault="00AD24B5" w:rsidP="00AD24B5">
      <w:pPr>
        <w:ind w:left="3600"/>
        <w:rPr>
          <w:szCs w:val="22"/>
        </w:rPr>
      </w:pPr>
      <w:r w:rsidRPr="003B4362">
        <w:rPr>
          <w:szCs w:val="22"/>
        </w:rPr>
        <w:t>“USEPA 903.0 (80)” means “Alpha-Emitting Radium Isotopes in Drinking Water—Method 903.0” (1980), in USEPA Radioactivity Methods (80).  Referenced in Section 611.720.</w:t>
      </w:r>
    </w:p>
    <w:bookmarkEnd w:id="295"/>
    <w:p w14:paraId="046F708F" w14:textId="77777777" w:rsidR="00AD24B5" w:rsidRPr="003B4362" w:rsidRDefault="00AD24B5" w:rsidP="00AD24B5">
      <w:pPr>
        <w:ind w:left="3600"/>
        <w:rPr>
          <w:szCs w:val="22"/>
        </w:rPr>
      </w:pPr>
      <w:r w:rsidRPr="003B4362">
        <w:rPr>
          <w:szCs w:val="22"/>
        </w:rPr>
        <w:t>BOARD NOTE:  Also individually available from NEMI and USEPA, OGWDW (under “Radionuclides (PDF)”).</w:t>
      </w:r>
    </w:p>
    <w:p w14:paraId="423DC4EA" w14:textId="77777777" w:rsidR="00AD24B5" w:rsidRPr="003B4362" w:rsidRDefault="00AD24B5" w:rsidP="00AD24B5">
      <w:pPr>
        <w:ind w:left="3600"/>
        <w:rPr>
          <w:szCs w:val="22"/>
        </w:rPr>
      </w:pPr>
    </w:p>
    <w:p w14:paraId="56B809DE" w14:textId="77777777" w:rsidR="00AD24B5" w:rsidRPr="003B4362" w:rsidRDefault="00AD24B5" w:rsidP="00AD24B5">
      <w:pPr>
        <w:ind w:left="3600"/>
        <w:rPr>
          <w:szCs w:val="22"/>
        </w:rPr>
      </w:pPr>
      <w:r w:rsidRPr="003B4362">
        <w:rPr>
          <w:szCs w:val="22"/>
        </w:rPr>
        <w:t>“</w:t>
      </w:r>
      <w:bookmarkStart w:id="296" w:name="_Hlk134458684"/>
      <w:r w:rsidRPr="003B4362">
        <w:rPr>
          <w:szCs w:val="22"/>
        </w:rPr>
        <w:t>USEPA 903.0 (21)” means “Method 903.0, Revision 1.0:  Alpha-Emitting Radium Isotopes in Drinking Water”, doc. no. EPA 815-B-21-002 (January 2021)</w:t>
      </w:r>
      <w:bookmarkEnd w:id="296"/>
      <w:r w:rsidRPr="003B4362">
        <w:rPr>
          <w:szCs w:val="22"/>
        </w:rPr>
        <w:t>.  Available from USEPA, NSCEP (nepis.epa.gov; search:  “815B21002”).  Referenced in Section 611.720.</w:t>
      </w:r>
    </w:p>
    <w:p w14:paraId="6D5F60B6" w14:textId="77777777" w:rsidR="00AD24B5" w:rsidRPr="003B4362" w:rsidRDefault="00AD24B5" w:rsidP="00AD24B5">
      <w:pPr>
        <w:ind w:left="3600"/>
        <w:rPr>
          <w:szCs w:val="22"/>
        </w:rPr>
      </w:pPr>
    </w:p>
    <w:p w14:paraId="7F0E28DD" w14:textId="77777777" w:rsidR="00AD24B5" w:rsidRPr="003B4362" w:rsidRDefault="00AD24B5" w:rsidP="00AD24B5">
      <w:pPr>
        <w:ind w:left="3600"/>
        <w:rPr>
          <w:szCs w:val="22"/>
        </w:rPr>
      </w:pPr>
      <w:r w:rsidRPr="003B4362">
        <w:rPr>
          <w:szCs w:val="22"/>
        </w:rPr>
        <w:t>“USEPA 903.1 (80)” means “Radium-226 in Drinking Water Radon Emanation Technique—Method 903.1” (1980), in USEPA Radioactivity Methods (80).  Referenced in Section 611.720.</w:t>
      </w:r>
    </w:p>
    <w:p w14:paraId="5D42A523" w14:textId="77777777" w:rsidR="00AD24B5" w:rsidRPr="003B4362" w:rsidRDefault="00AD24B5" w:rsidP="00AD24B5">
      <w:pPr>
        <w:ind w:left="3600"/>
        <w:rPr>
          <w:szCs w:val="22"/>
        </w:rPr>
      </w:pPr>
      <w:r w:rsidRPr="003B4362">
        <w:rPr>
          <w:szCs w:val="22"/>
        </w:rPr>
        <w:t>BOARD NOTE:  Also individually available from NEMI and USEPA, OGWDW (under “Radionuclides (PDF)”).</w:t>
      </w:r>
    </w:p>
    <w:p w14:paraId="60C61D7C" w14:textId="77777777" w:rsidR="00AD24B5" w:rsidRPr="003B4362" w:rsidRDefault="00AD24B5" w:rsidP="00AD24B5">
      <w:pPr>
        <w:ind w:left="3600"/>
        <w:rPr>
          <w:szCs w:val="22"/>
        </w:rPr>
      </w:pPr>
    </w:p>
    <w:p w14:paraId="2B65FBDC" w14:textId="77777777" w:rsidR="00AD24B5" w:rsidRPr="003B4362" w:rsidRDefault="00AD24B5" w:rsidP="00AD24B5">
      <w:pPr>
        <w:ind w:left="3600"/>
        <w:rPr>
          <w:szCs w:val="22"/>
        </w:rPr>
      </w:pPr>
      <w:r w:rsidRPr="003B4362">
        <w:rPr>
          <w:szCs w:val="22"/>
        </w:rPr>
        <w:t>“</w:t>
      </w:r>
      <w:bookmarkStart w:id="297" w:name="_Hlk134458736"/>
      <w:r w:rsidRPr="003B4362">
        <w:rPr>
          <w:szCs w:val="22"/>
        </w:rPr>
        <w:t>USEPA 903.1 (21)” means “Method 903.1, Revision 1.0:  Radium-226 in Drinking Water Radon Emanation Technique”, doc. no. EPA 815-B-21-003 (January 2021).  Available from USEPA, NSCEP (nepis.epa.gov; search:  “815B21003”).  Referenced in Section 611.720</w:t>
      </w:r>
      <w:bookmarkEnd w:id="297"/>
      <w:r w:rsidRPr="003B4362">
        <w:rPr>
          <w:szCs w:val="22"/>
        </w:rPr>
        <w:t>.</w:t>
      </w:r>
    </w:p>
    <w:p w14:paraId="027BEA49" w14:textId="77777777" w:rsidR="00AD24B5" w:rsidRPr="003B4362" w:rsidRDefault="00AD24B5" w:rsidP="00AD24B5">
      <w:pPr>
        <w:ind w:left="3600"/>
        <w:rPr>
          <w:szCs w:val="22"/>
        </w:rPr>
      </w:pPr>
    </w:p>
    <w:p w14:paraId="66D7B14F" w14:textId="77777777" w:rsidR="00AD24B5" w:rsidRPr="003B4362" w:rsidRDefault="00AD24B5" w:rsidP="00AD24B5">
      <w:pPr>
        <w:ind w:left="3600"/>
        <w:rPr>
          <w:szCs w:val="22"/>
        </w:rPr>
      </w:pPr>
      <w:r w:rsidRPr="003B4362">
        <w:rPr>
          <w:szCs w:val="22"/>
        </w:rPr>
        <w:t>“USEPA 904.0 (80)” means “Radium-228 in Drinking Water—Method 904.0” (1980), in USEPA Radioactivity Methods (80).  Referenced in Section 611.720.</w:t>
      </w:r>
    </w:p>
    <w:p w14:paraId="7BBA05C8" w14:textId="77777777" w:rsidR="00AD24B5" w:rsidRPr="003B4362" w:rsidRDefault="00AD24B5" w:rsidP="00AD24B5">
      <w:pPr>
        <w:ind w:left="3600"/>
        <w:rPr>
          <w:szCs w:val="22"/>
        </w:rPr>
      </w:pPr>
      <w:r w:rsidRPr="003B4362">
        <w:rPr>
          <w:szCs w:val="22"/>
        </w:rPr>
        <w:t>BOARD NOTE:  Also individually available from NEMI and USEPA, OGWDW (under “Radionuclides (PDF)”).</w:t>
      </w:r>
    </w:p>
    <w:p w14:paraId="2A7CB195" w14:textId="77777777" w:rsidR="00AD24B5" w:rsidRPr="004B63DB" w:rsidRDefault="00AD24B5" w:rsidP="00AD24B5">
      <w:pPr>
        <w:ind w:left="3600"/>
        <w:rPr>
          <w:szCs w:val="22"/>
        </w:rPr>
      </w:pPr>
      <w:bookmarkStart w:id="298" w:name="_Hlk137038727"/>
    </w:p>
    <w:p w14:paraId="0CB57893" w14:textId="77777777" w:rsidR="00AD24B5" w:rsidRPr="004B63DB" w:rsidRDefault="00AD24B5" w:rsidP="00AD24B5">
      <w:pPr>
        <w:ind w:left="3600"/>
        <w:rPr>
          <w:szCs w:val="22"/>
        </w:rPr>
      </w:pPr>
      <w:r w:rsidRPr="004B63DB">
        <w:rPr>
          <w:szCs w:val="22"/>
        </w:rPr>
        <w:t>“USEPA 904.0 (22)” means “Radium-228 in Drinking Water—Method 904.0”, Revision 1.0 (2022), in USEPA Radioactivity Methods (80).  Referenced in Section 611.720.</w:t>
      </w:r>
    </w:p>
    <w:bookmarkEnd w:id="298"/>
    <w:p w14:paraId="28DF51E8" w14:textId="77777777" w:rsidR="00AD24B5" w:rsidRPr="003B4362" w:rsidRDefault="00AD24B5" w:rsidP="00AD24B5">
      <w:pPr>
        <w:ind w:left="3600"/>
        <w:rPr>
          <w:szCs w:val="22"/>
        </w:rPr>
      </w:pPr>
    </w:p>
    <w:p w14:paraId="1A55F518" w14:textId="77777777" w:rsidR="00AD24B5" w:rsidRPr="003B4362" w:rsidRDefault="00AD24B5" w:rsidP="00AD24B5">
      <w:pPr>
        <w:ind w:left="3600"/>
        <w:rPr>
          <w:szCs w:val="22"/>
        </w:rPr>
      </w:pPr>
      <w:r w:rsidRPr="003B4362">
        <w:rPr>
          <w:szCs w:val="22"/>
        </w:rPr>
        <w:t xml:space="preserve">“USEPA 905.0 (80)” means “Radioactive Strontium in Drinking Water—Method 905.0” (1980), in USEPA </w:t>
      </w:r>
      <w:r w:rsidRPr="003B4362">
        <w:rPr>
          <w:szCs w:val="22"/>
        </w:rPr>
        <w:lastRenderedPageBreak/>
        <w:t>Radioactivity Methods (80).  Referenced in Section 611.720.</w:t>
      </w:r>
    </w:p>
    <w:p w14:paraId="6EA85BF4" w14:textId="77777777" w:rsidR="00AD24B5" w:rsidRPr="003B4362" w:rsidRDefault="00AD24B5" w:rsidP="00AD24B5">
      <w:pPr>
        <w:ind w:left="3600"/>
        <w:rPr>
          <w:szCs w:val="22"/>
        </w:rPr>
      </w:pPr>
      <w:r w:rsidRPr="003B4362">
        <w:rPr>
          <w:szCs w:val="22"/>
        </w:rPr>
        <w:t>BOARD NOTE:  Also individually available from NEMI and USEPA, OGWDW (under “Radionuclides (PDF)”).</w:t>
      </w:r>
    </w:p>
    <w:p w14:paraId="4BDC8F5C" w14:textId="77777777" w:rsidR="00AD24B5" w:rsidRPr="003B4362" w:rsidRDefault="00AD24B5" w:rsidP="00AD24B5">
      <w:pPr>
        <w:ind w:left="3600"/>
        <w:rPr>
          <w:szCs w:val="22"/>
        </w:rPr>
      </w:pPr>
    </w:p>
    <w:p w14:paraId="67748FAA" w14:textId="77777777" w:rsidR="00AD24B5" w:rsidRPr="003B4362" w:rsidRDefault="00AD24B5" w:rsidP="00AD24B5">
      <w:pPr>
        <w:ind w:left="3600"/>
        <w:rPr>
          <w:szCs w:val="22"/>
        </w:rPr>
      </w:pPr>
      <w:r w:rsidRPr="003B4362">
        <w:rPr>
          <w:szCs w:val="22"/>
        </w:rPr>
        <w:t>“USEPA 906.0 (80)” means “Tritium in Drinking Water—Method 906.0” (1980), in USEPA Radioactivity Methods (80).  Referenced in Section 611.720.</w:t>
      </w:r>
    </w:p>
    <w:p w14:paraId="7DB86564" w14:textId="77777777" w:rsidR="00AD24B5" w:rsidRPr="003B4362" w:rsidRDefault="00AD24B5" w:rsidP="00AD24B5">
      <w:pPr>
        <w:ind w:left="3600"/>
        <w:rPr>
          <w:szCs w:val="22"/>
        </w:rPr>
      </w:pPr>
      <w:r w:rsidRPr="003B4362">
        <w:rPr>
          <w:szCs w:val="22"/>
        </w:rPr>
        <w:t>BOARD NOTE:  Also individually available from NEMI and USEPA, OGWDW (under “Radionuclides (PDF)”).</w:t>
      </w:r>
    </w:p>
    <w:p w14:paraId="2616981A" w14:textId="77777777" w:rsidR="00AD24B5" w:rsidRPr="003B4362" w:rsidRDefault="00AD24B5" w:rsidP="00AD24B5">
      <w:pPr>
        <w:ind w:left="3600"/>
        <w:rPr>
          <w:szCs w:val="22"/>
        </w:rPr>
      </w:pPr>
    </w:p>
    <w:p w14:paraId="4BD5F124" w14:textId="77777777" w:rsidR="00AD24B5" w:rsidRPr="003B4362" w:rsidRDefault="00AD24B5" w:rsidP="00AD24B5">
      <w:pPr>
        <w:ind w:left="3600"/>
        <w:rPr>
          <w:szCs w:val="22"/>
        </w:rPr>
      </w:pPr>
      <w:r w:rsidRPr="003B4362">
        <w:rPr>
          <w:szCs w:val="22"/>
        </w:rPr>
        <w:t>“USEPA 908.0 (80)” means “Uranium in Drinking Water—Radiochemical Method—Method 908.0” (1980), in USEPA Radioactivity Methods (80).  Referenced in Section 611.720.</w:t>
      </w:r>
    </w:p>
    <w:p w14:paraId="6990C7CB" w14:textId="77777777" w:rsidR="00AD24B5" w:rsidRPr="003B4362" w:rsidRDefault="00AD24B5" w:rsidP="00AD24B5">
      <w:pPr>
        <w:ind w:left="3600"/>
        <w:rPr>
          <w:szCs w:val="22"/>
        </w:rPr>
      </w:pPr>
      <w:r w:rsidRPr="003B4362">
        <w:rPr>
          <w:szCs w:val="22"/>
        </w:rPr>
        <w:t>BOARD NOTE:  Also individually available from NEMI.</w:t>
      </w:r>
    </w:p>
    <w:p w14:paraId="724DAF27" w14:textId="77777777" w:rsidR="00AD24B5" w:rsidRPr="003B4362" w:rsidRDefault="00AD24B5" w:rsidP="00AD24B5">
      <w:pPr>
        <w:ind w:left="3600"/>
        <w:rPr>
          <w:szCs w:val="22"/>
        </w:rPr>
      </w:pPr>
    </w:p>
    <w:p w14:paraId="29456767" w14:textId="77777777" w:rsidR="00AD24B5" w:rsidRPr="003B4362" w:rsidRDefault="00AD24B5" w:rsidP="00AD24B5">
      <w:pPr>
        <w:ind w:left="3600"/>
        <w:rPr>
          <w:szCs w:val="22"/>
        </w:rPr>
      </w:pPr>
      <w:r w:rsidRPr="003B4362">
        <w:rPr>
          <w:szCs w:val="22"/>
        </w:rPr>
        <w:t>“USEPA 908.1 (80)” means “Uranium in Drinking Water—Fluorometric Method—Method 908.1” (1980), in USEPA Radioactivity Methods (80).  Referenced in Section 611.720.</w:t>
      </w:r>
    </w:p>
    <w:p w14:paraId="669C9430" w14:textId="77777777" w:rsidR="00AD24B5" w:rsidRPr="003B4362" w:rsidRDefault="00AD24B5" w:rsidP="00AD24B5">
      <w:pPr>
        <w:ind w:left="3600"/>
        <w:rPr>
          <w:szCs w:val="22"/>
        </w:rPr>
      </w:pPr>
      <w:r w:rsidRPr="003B4362">
        <w:rPr>
          <w:szCs w:val="22"/>
        </w:rPr>
        <w:t>BOARD NOTE:  Also individually available from NEMI and USEPA, OGWDW (under “Radionuclides (PDF)”).</w:t>
      </w:r>
    </w:p>
    <w:p w14:paraId="1FEDD101" w14:textId="77777777" w:rsidR="00AD24B5" w:rsidRPr="003B4362" w:rsidRDefault="00AD24B5" w:rsidP="00AD24B5">
      <w:pPr>
        <w:widowControl w:val="0"/>
        <w:ind w:left="3600"/>
        <w:rPr>
          <w:szCs w:val="10"/>
        </w:rPr>
      </w:pPr>
    </w:p>
    <w:p w14:paraId="0177C57F" w14:textId="77777777" w:rsidR="00AD24B5" w:rsidRPr="003B4362" w:rsidRDefault="00AD24B5" w:rsidP="00AD24B5">
      <w:pPr>
        <w:widowControl w:val="0"/>
        <w:ind w:left="3600"/>
        <w:rPr>
          <w:szCs w:val="16"/>
        </w:rPr>
      </w:pPr>
      <w:r w:rsidRPr="003B4362">
        <w:rPr>
          <w:szCs w:val="10"/>
        </w:rPr>
        <w:t>“US</w:t>
      </w:r>
      <w:r w:rsidRPr="003B4362">
        <w:rPr>
          <w:szCs w:val="16"/>
        </w:rPr>
        <w:t>EPA 1600 (02)” means “Method 1600:  Enterococci in Water by Membrane Filtration Using membrane-Enterococcus Indoxyl–β–D–Glucoside Agar (mEI)” (September 2002), USEPA, Office of Water, document number EPA 821/R–02/022.  Available from NEMI; USEPA, NSCEP</w:t>
      </w:r>
      <w:r w:rsidRPr="003B4362">
        <w:rPr>
          <w:szCs w:val="22"/>
        </w:rPr>
        <w:t xml:space="preserve"> (search “821R02022”); and </w:t>
      </w:r>
      <w:r w:rsidRPr="003B4362">
        <w:rPr>
          <w:szCs w:val="16"/>
        </w:rPr>
        <w:t>USEPA, OGWDW (under “Ground Water Rule (PDF)”).  Referenced in Section 611.802.</w:t>
      </w:r>
    </w:p>
    <w:p w14:paraId="6AE03A1A" w14:textId="77777777" w:rsidR="00AD24B5" w:rsidRPr="003B4362" w:rsidRDefault="00AD24B5" w:rsidP="00AD24B5">
      <w:pPr>
        <w:widowControl w:val="0"/>
        <w:ind w:left="3600"/>
        <w:rPr>
          <w:szCs w:val="22"/>
        </w:rPr>
      </w:pPr>
      <w:r w:rsidRPr="003B4362">
        <w:rPr>
          <w:szCs w:val="16"/>
        </w:rPr>
        <w:t>BOARD NOTE:  SM 9230 C (93) and SM 9230 (13), “Fecal Streptococcus and Enterococcus Groups, Membrane Filter Techniques”, are USEPA-approved variations of this method</w:t>
      </w:r>
      <w:r w:rsidRPr="003B4362">
        <w:rPr>
          <w:szCs w:val="22"/>
        </w:rPr>
        <w:t>.</w:t>
      </w:r>
    </w:p>
    <w:p w14:paraId="3721F4A7" w14:textId="77777777" w:rsidR="00AD24B5" w:rsidRPr="003B4362" w:rsidRDefault="00AD24B5" w:rsidP="00AD24B5">
      <w:pPr>
        <w:widowControl w:val="0"/>
        <w:ind w:left="3600"/>
        <w:rPr>
          <w:szCs w:val="10"/>
        </w:rPr>
      </w:pPr>
    </w:p>
    <w:p w14:paraId="2CB37DC4" w14:textId="77777777" w:rsidR="00AD24B5" w:rsidRPr="003B4362" w:rsidRDefault="00AD24B5" w:rsidP="00AD24B5">
      <w:pPr>
        <w:widowControl w:val="0"/>
        <w:ind w:left="3600"/>
        <w:rPr>
          <w:szCs w:val="22"/>
        </w:rPr>
      </w:pPr>
      <w:r w:rsidRPr="003B4362">
        <w:rPr>
          <w:szCs w:val="10"/>
        </w:rPr>
        <w:t>“US</w:t>
      </w:r>
      <w:r w:rsidRPr="003B4362">
        <w:rPr>
          <w:szCs w:val="16"/>
        </w:rPr>
        <w:t xml:space="preserve">EPA 1601 (01)” means “Method 1601:  Male-specific (F+) and Somatic Coliphage in Water by Two-step Enrichment Procedure” (April 2001), USEPA, Office of Water, document number EPA 821/R–01/030.  Available from </w:t>
      </w:r>
      <w:r w:rsidRPr="003B4362">
        <w:rPr>
          <w:szCs w:val="22"/>
        </w:rPr>
        <w:t xml:space="preserve">NEMI and USEPA, NSCEP (search “821R01030”); and </w:t>
      </w:r>
      <w:r w:rsidRPr="003B4362">
        <w:rPr>
          <w:szCs w:val="16"/>
        </w:rPr>
        <w:t>USEPA, OGWDW (under “Ground Water Rule (PDF)”)</w:t>
      </w:r>
      <w:r w:rsidRPr="003B4362">
        <w:rPr>
          <w:szCs w:val="22"/>
        </w:rPr>
        <w:t>.</w:t>
      </w:r>
      <w:r w:rsidRPr="003B4362">
        <w:rPr>
          <w:szCs w:val="16"/>
        </w:rPr>
        <w:t xml:space="preserve">  </w:t>
      </w:r>
      <w:r w:rsidRPr="003B4362">
        <w:rPr>
          <w:szCs w:val="22"/>
        </w:rPr>
        <w:t>R</w:t>
      </w:r>
      <w:r w:rsidRPr="003B4362">
        <w:rPr>
          <w:szCs w:val="16"/>
        </w:rPr>
        <w:t>eferenced in Section 611.802.</w:t>
      </w:r>
    </w:p>
    <w:p w14:paraId="7CEC8C89" w14:textId="77777777" w:rsidR="00AD24B5" w:rsidRPr="003B4362" w:rsidRDefault="00AD24B5" w:rsidP="00AD24B5">
      <w:pPr>
        <w:widowControl w:val="0"/>
        <w:ind w:left="3600"/>
        <w:rPr>
          <w:szCs w:val="10"/>
        </w:rPr>
      </w:pPr>
    </w:p>
    <w:p w14:paraId="19D856CA" w14:textId="77777777" w:rsidR="00AD24B5" w:rsidRPr="003B4362" w:rsidRDefault="00AD24B5" w:rsidP="00AD24B5">
      <w:pPr>
        <w:widowControl w:val="0"/>
        <w:ind w:left="3600"/>
        <w:rPr>
          <w:szCs w:val="22"/>
        </w:rPr>
      </w:pPr>
      <w:r w:rsidRPr="003B4362">
        <w:rPr>
          <w:szCs w:val="10"/>
        </w:rPr>
        <w:lastRenderedPageBreak/>
        <w:t>“US</w:t>
      </w:r>
      <w:r w:rsidRPr="003B4362">
        <w:rPr>
          <w:szCs w:val="16"/>
        </w:rPr>
        <w:t>EPA 1602 (01)” means “Method 1602:  Male-specific (F+) and Somatic Coliphage in Water by Single Agar Layer (SAL) Procedure” (April 2001), USEPA, Office of Water, document number EPA 821/R–01/029</w:t>
      </w:r>
      <w:r w:rsidRPr="003B4362">
        <w:rPr>
          <w:szCs w:val="22"/>
        </w:rPr>
        <w:t xml:space="preserve">.  Available from NEMI and USEPA, NSCEP (search “821R01029”); and </w:t>
      </w:r>
      <w:r w:rsidRPr="003B4362">
        <w:rPr>
          <w:szCs w:val="16"/>
        </w:rPr>
        <w:t>USEPA, OGWDW (under “Ground Water Rule (PDF)”).  Referenced in Section 611.802.</w:t>
      </w:r>
    </w:p>
    <w:p w14:paraId="1B862FF8" w14:textId="77777777" w:rsidR="00AD24B5" w:rsidRPr="003B4362" w:rsidRDefault="00AD24B5" w:rsidP="00AD24B5">
      <w:pPr>
        <w:widowControl w:val="0"/>
        <w:suppressAutoHyphens/>
        <w:ind w:left="3600"/>
        <w:rPr>
          <w:szCs w:val="22"/>
        </w:rPr>
      </w:pPr>
    </w:p>
    <w:p w14:paraId="05EAF37F" w14:textId="77777777" w:rsidR="00AD24B5" w:rsidRPr="003B4362" w:rsidRDefault="00AD24B5" w:rsidP="00AD24B5">
      <w:pPr>
        <w:widowControl w:val="0"/>
        <w:suppressAutoHyphens/>
        <w:ind w:left="3600"/>
        <w:rPr>
          <w:szCs w:val="22"/>
        </w:rPr>
      </w:pPr>
      <w:r w:rsidRPr="003B4362">
        <w:rPr>
          <w:szCs w:val="22"/>
        </w:rPr>
        <w:t xml:space="preserve">“USEPA 1604 (02)” means “Method 1604:  Total Coliforms and </w:t>
      </w:r>
      <w:r w:rsidRPr="003B4362">
        <w:rPr>
          <w:iCs/>
          <w:szCs w:val="22"/>
        </w:rPr>
        <w:t xml:space="preserve">Escherichia coli </w:t>
      </w:r>
      <w:r w:rsidRPr="003B4362">
        <w:rPr>
          <w:szCs w:val="22"/>
        </w:rPr>
        <w:t>in Water by Membrane Filtration Using a Simultaneous Detection Technique (MI Medium)</w:t>
      </w:r>
      <w:r w:rsidRPr="003B4362">
        <w:rPr>
          <w:szCs w:val="16"/>
        </w:rPr>
        <w:t>” (</w:t>
      </w:r>
      <w:r w:rsidRPr="003B4362">
        <w:rPr>
          <w:szCs w:val="22"/>
        </w:rPr>
        <w:t xml:space="preserve">September 2002), </w:t>
      </w:r>
      <w:r w:rsidRPr="003B4362">
        <w:rPr>
          <w:szCs w:val="16"/>
        </w:rPr>
        <w:t xml:space="preserve">USEPA, Office of Water, document number </w:t>
      </w:r>
      <w:r w:rsidRPr="003B4362">
        <w:rPr>
          <w:szCs w:val="22"/>
        </w:rPr>
        <w:t xml:space="preserve">EPA 821/R-02/024.  Available from NEMI and USEPA, NSCEP (search “821R02024”); and </w:t>
      </w:r>
      <w:r w:rsidRPr="003B4362">
        <w:rPr>
          <w:szCs w:val="18"/>
        </w:rPr>
        <w:t>USEPA, OGWDW (under “Ground Water Rule (PDF)”, “Revised Total Coliforms Rule (PDF)”, and “Surface Water Treatment Rule (PDF)”)</w:t>
      </w:r>
      <w:r w:rsidRPr="003B4362">
        <w:rPr>
          <w:szCs w:val="22"/>
        </w:rPr>
        <w:t>.  Referenced in Sections 611.802 and 611.1052.</w:t>
      </w:r>
    </w:p>
    <w:p w14:paraId="218BFDAB" w14:textId="77777777" w:rsidR="00AD24B5" w:rsidRPr="003B4362" w:rsidRDefault="00AD24B5" w:rsidP="00AD24B5">
      <w:pPr>
        <w:widowControl w:val="0"/>
        <w:suppressAutoHyphens/>
        <w:ind w:left="3600"/>
        <w:rPr>
          <w:szCs w:val="22"/>
        </w:rPr>
      </w:pPr>
    </w:p>
    <w:p w14:paraId="128F5B3F" w14:textId="77777777" w:rsidR="00AD24B5" w:rsidRPr="003B4362" w:rsidRDefault="00AD24B5" w:rsidP="00AD24B5">
      <w:pPr>
        <w:widowControl w:val="0"/>
        <w:suppressAutoHyphens/>
        <w:ind w:left="3600"/>
        <w:rPr>
          <w:szCs w:val="22"/>
        </w:rPr>
      </w:pPr>
      <w:r w:rsidRPr="003B4362">
        <w:rPr>
          <w:szCs w:val="22"/>
        </w:rPr>
        <w:t>“USEPA 1613 (94)” means “Method 1613:  Tetra- through Octa-Chlorinated Dioxins and Furans by Isotope Dilution HRGC/HRMS</w:t>
      </w:r>
      <w:r w:rsidRPr="003B4362">
        <w:rPr>
          <w:szCs w:val="16"/>
        </w:rPr>
        <w:t>”, Revision B</w:t>
      </w:r>
      <w:r w:rsidRPr="003B4362">
        <w:rPr>
          <w:szCs w:val="22"/>
        </w:rPr>
        <w:t xml:space="preserve"> (October 1994), USEPA, Office of Water, Engineering and Analysis Division, document number EPA 821/B-94/005.  Available from NEMI; NTRL (document number PB95-104774); USEPA, NSCEP (search “</w:t>
      </w:r>
      <w:bookmarkStart w:id="299" w:name="_Hlk11921056"/>
      <w:r w:rsidRPr="003B4362">
        <w:rPr>
          <w:szCs w:val="22"/>
        </w:rPr>
        <w:t>821B94005</w:t>
      </w:r>
      <w:bookmarkEnd w:id="299"/>
      <w:r w:rsidRPr="003B4362">
        <w:rPr>
          <w:szCs w:val="22"/>
        </w:rPr>
        <w:t xml:space="preserve">”); and </w:t>
      </w:r>
      <w:r w:rsidRPr="003B4362">
        <w:rPr>
          <w:szCs w:val="18"/>
        </w:rPr>
        <w:t>USEPA, OGWDW (under “Organic Contaminants (PDF)”)</w:t>
      </w:r>
      <w:r w:rsidRPr="003B4362">
        <w:rPr>
          <w:szCs w:val="22"/>
        </w:rPr>
        <w:t>.  Referenced in Section 611.645.</w:t>
      </w:r>
    </w:p>
    <w:p w14:paraId="20AC365D" w14:textId="77777777" w:rsidR="00AD24B5" w:rsidRPr="003B4362" w:rsidRDefault="00AD24B5" w:rsidP="00AD24B5">
      <w:pPr>
        <w:widowControl w:val="0"/>
        <w:suppressAutoHyphens/>
        <w:ind w:left="3600"/>
        <w:rPr>
          <w:szCs w:val="18"/>
        </w:rPr>
      </w:pPr>
    </w:p>
    <w:p w14:paraId="09AE434A" w14:textId="77777777" w:rsidR="00AD24B5" w:rsidRPr="003B4362" w:rsidRDefault="00AD24B5" w:rsidP="00AD24B5">
      <w:pPr>
        <w:widowControl w:val="0"/>
        <w:suppressAutoHyphens/>
        <w:ind w:left="3600"/>
        <w:rPr>
          <w:szCs w:val="18"/>
        </w:rPr>
      </w:pPr>
      <w:r w:rsidRPr="003B4362">
        <w:rPr>
          <w:szCs w:val="18"/>
        </w:rPr>
        <w:t xml:space="preserve">“USEPA 1622 (01)” means </w:t>
      </w:r>
      <w:r w:rsidRPr="003B4362">
        <w:rPr>
          <w:szCs w:val="22"/>
        </w:rPr>
        <w:t>“</w:t>
      </w:r>
      <w:r w:rsidRPr="003B4362">
        <w:rPr>
          <w:szCs w:val="18"/>
        </w:rPr>
        <w:t xml:space="preserve">Method 1622:  </w:t>
      </w:r>
      <w:r w:rsidRPr="003B4362">
        <w:rPr>
          <w:szCs w:val="22"/>
        </w:rPr>
        <w:t>Cryptosporidium in Water by Filtration/IMS/FA</w:t>
      </w:r>
      <w:r w:rsidRPr="003B4362">
        <w:rPr>
          <w:szCs w:val="16"/>
        </w:rPr>
        <w:t>” (</w:t>
      </w:r>
      <w:r w:rsidRPr="003B4362">
        <w:rPr>
          <w:szCs w:val="22"/>
        </w:rPr>
        <w:t xml:space="preserve">April 2001), USEPA, Office of Water, document number </w:t>
      </w:r>
      <w:r w:rsidRPr="003B4362">
        <w:rPr>
          <w:szCs w:val="18"/>
        </w:rPr>
        <w:t>EPA 821/R-01/026.  Available from NEMI; and USEPA, NSCEP</w:t>
      </w:r>
      <w:r w:rsidRPr="003B4362">
        <w:rPr>
          <w:szCs w:val="22"/>
        </w:rPr>
        <w:t xml:space="preserve"> (search “821R01026”)</w:t>
      </w:r>
      <w:r w:rsidRPr="003B4362">
        <w:rPr>
          <w:szCs w:val="18"/>
        </w:rPr>
        <w:t>.  R</w:t>
      </w:r>
      <w:r w:rsidRPr="003B4362">
        <w:rPr>
          <w:szCs w:val="22"/>
        </w:rPr>
        <w:t>eferenced in Section 611.1007</w:t>
      </w:r>
      <w:r w:rsidRPr="003B4362">
        <w:rPr>
          <w:szCs w:val="18"/>
        </w:rPr>
        <w:t>.</w:t>
      </w:r>
    </w:p>
    <w:p w14:paraId="7D581584" w14:textId="77777777" w:rsidR="00AD24B5" w:rsidRPr="003B4362" w:rsidRDefault="00AD24B5" w:rsidP="00AD24B5">
      <w:pPr>
        <w:widowControl w:val="0"/>
        <w:suppressAutoHyphens/>
        <w:ind w:left="3600"/>
        <w:rPr>
          <w:szCs w:val="18"/>
        </w:rPr>
      </w:pPr>
    </w:p>
    <w:p w14:paraId="373E6C87" w14:textId="77777777" w:rsidR="00AD24B5" w:rsidRPr="003B4362" w:rsidRDefault="00AD24B5" w:rsidP="00AD24B5">
      <w:pPr>
        <w:widowControl w:val="0"/>
        <w:suppressAutoHyphens/>
        <w:ind w:left="3600"/>
        <w:rPr>
          <w:szCs w:val="18"/>
        </w:rPr>
      </w:pPr>
      <w:r w:rsidRPr="003B4362">
        <w:rPr>
          <w:szCs w:val="18"/>
        </w:rPr>
        <w:t xml:space="preserve">“USEPA </w:t>
      </w:r>
      <w:r w:rsidRPr="003B4362">
        <w:rPr>
          <w:szCs w:val="22"/>
        </w:rPr>
        <w:t>1622 (05)” means “Method 1622:  Cryptosporidium in Water by Filtration/IMS/FA</w:t>
      </w:r>
      <w:r w:rsidRPr="003B4362">
        <w:rPr>
          <w:szCs w:val="16"/>
        </w:rPr>
        <w:t>” (</w:t>
      </w:r>
      <w:r w:rsidRPr="003B4362">
        <w:rPr>
          <w:szCs w:val="22"/>
        </w:rPr>
        <w:t xml:space="preserve">December 2005), USEPA, Office of Ground Water and Drinking Water, document number </w:t>
      </w:r>
      <w:r w:rsidRPr="003B4362">
        <w:rPr>
          <w:szCs w:val="18"/>
        </w:rPr>
        <w:t>EPA 815/R-05/001.  Available from USEPA, NSCEP</w:t>
      </w:r>
      <w:r w:rsidRPr="003B4362">
        <w:rPr>
          <w:szCs w:val="22"/>
        </w:rPr>
        <w:t xml:space="preserve"> (search “815R05001”)</w:t>
      </w:r>
      <w:r w:rsidRPr="003B4362">
        <w:rPr>
          <w:szCs w:val="18"/>
        </w:rPr>
        <w:t xml:space="preserve"> and USEPA, OGWDW (under “Long Term 2 Enhanced Surface Water Treatment Rule (PDF)”)</w:t>
      </w:r>
      <w:r w:rsidRPr="003B4362">
        <w:rPr>
          <w:szCs w:val="22"/>
        </w:rPr>
        <w:t>.  Referenced in Sections 611.1004 and 611.1007</w:t>
      </w:r>
      <w:r w:rsidRPr="003B4362">
        <w:rPr>
          <w:szCs w:val="18"/>
        </w:rPr>
        <w:t>.</w:t>
      </w:r>
      <w:r w:rsidRPr="003B4362">
        <w:rPr>
          <w:szCs w:val="22"/>
        </w:rPr>
        <w:t xml:space="preserve"> </w:t>
      </w:r>
    </w:p>
    <w:p w14:paraId="70D64F61" w14:textId="77777777" w:rsidR="00AD24B5" w:rsidRPr="003B4362" w:rsidRDefault="00AD24B5" w:rsidP="00AD24B5">
      <w:pPr>
        <w:widowControl w:val="0"/>
        <w:suppressAutoHyphens/>
        <w:ind w:left="3600"/>
        <w:rPr>
          <w:szCs w:val="18"/>
        </w:rPr>
      </w:pPr>
    </w:p>
    <w:p w14:paraId="68B0425C" w14:textId="77777777" w:rsidR="00AD24B5" w:rsidRPr="003B4362" w:rsidRDefault="00AD24B5" w:rsidP="00AD24B5">
      <w:pPr>
        <w:widowControl w:val="0"/>
        <w:suppressAutoHyphens/>
        <w:ind w:left="3600"/>
        <w:rPr>
          <w:szCs w:val="22"/>
        </w:rPr>
      </w:pPr>
      <w:r w:rsidRPr="003B4362">
        <w:rPr>
          <w:szCs w:val="18"/>
        </w:rPr>
        <w:lastRenderedPageBreak/>
        <w:t>“USEPA 1623 (99)” means “</w:t>
      </w:r>
      <w:r w:rsidRPr="003B4362">
        <w:rPr>
          <w:szCs w:val="22"/>
        </w:rPr>
        <w:t>Method 1623:  Cryptosporidium and Giardia in Water by Filtration/IMS/FA</w:t>
      </w:r>
      <w:r w:rsidRPr="003B4362">
        <w:rPr>
          <w:szCs w:val="16"/>
        </w:rPr>
        <w:t>” (</w:t>
      </w:r>
      <w:r w:rsidRPr="003B4362">
        <w:rPr>
          <w:szCs w:val="22"/>
        </w:rPr>
        <w:t>April 1999), USEPA, Office of Ground Water and Drinking Water, document number EPA</w:t>
      </w:r>
      <w:r w:rsidRPr="003B4362">
        <w:rPr>
          <w:szCs w:val="18"/>
        </w:rPr>
        <w:t xml:space="preserve"> </w:t>
      </w:r>
      <w:r w:rsidRPr="003B4362">
        <w:rPr>
          <w:szCs w:val="22"/>
        </w:rPr>
        <w:t>821</w:t>
      </w:r>
      <w:r w:rsidRPr="003B4362">
        <w:rPr>
          <w:szCs w:val="18"/>
        </w:rPr>
        <w:t>/</w:t>
      </w:r>
      <w:r w:rsidRPr="003B4362">
        <w:rPr>
          <w:szCs w:val="22"/>
        </w:rPr>
        <w:t>R-99</w:t>
      </w:r>
      <w:r w:rsidRPr="003B4362">
        <w:rPr>
          <w:szCs w:val="18"/>
        </w:rPr>
        <w:t>/</w:t>
      </w:r>
      <w:r w:rsidRPr="003B4362">
        <w:rPr>
          <w:szCs w:val="22"/>
        </w:rPr>
        <w:t>006</w:t>
      </w:r>
      <w:r w:rsidRPr="003B4362">
        <w:rPr>
          <w:szCs w:val="18"/>
        </w:rPr>
        <w:t>.  Available from USEPA, NSCEP</w:t>
      </w:r>
      <w:r w:rsidRPr="003B4362">
        <w:rPr>
          <w:szCs w:val="22"/>
        </w:rPr>
        <w:t xml:space="preserve"> (search “821R99006”).  Referenced in Section 611.1007</w:t>
      </w:r>
      <w:r w:rsidRPr="003B4362">
        <w:rPr>
          <w:szCs w:val="18"/>
        </w:rPr>
        <w:t>.</w:t>
      </w:r>
    </w:p>
    <w:p w14:paraId="4CEEA2A8" w14:textId="77777777" w:rsidR="00AD24B5" w:rsidRPr="003B4362" w:rsidRDefault="00AD24B5" w:rsidP="00AD24B5">
      <w:pPr>
        <w:widowControl w:val="0"/>
        <w:suppressAutoHyphens/>
        <w:ind w:left="3600"/>
        <w:rPr>
          <w:szCs w:val="18"/>
        </w:rPr>
      </w:pPr>
    </w:p>
    <w:p w14:paraId="79E2DBB2" w14:textId="77777777" w:rsidR="00AD24B5" w:rsidRPr="003B4362" w:rsidRDefault="00AD24B5" w:rsidP="00AD24B5">
      <w:pPr>
        <w:widowControl w:val="0"/>
        <w:suppressAutoHyphens/>
        <w:ind w:left="3600"/>
        <w:rPr>
          <w:szCs w:val="22"/>
        </w:rPr>
      </w:pPr>
      <w:r w:rsidRPr="003B4362">
        <w:rPr>
          <w:szCs w:val="18"/>
        </w:rPr>
        <w:t xml:space="preserve">“USEPA 1623 (01)” means </w:t>
      </w:r>
      <w:r w:rsidRPr="003B4362">
        <w:rPr>
          <w:szCs w:val="22"/>
        </w:rPr>
        <w:t>“Method 1623:  Cryptosporidium and Giardia in Water by Filtration/IMS/FA</w:t>
      </w:r>
      <w:r w:rsidRPr="003B4362">
        <w:rPr>
          <w:szCs w:val="16"/>
        </w:rPr>
        <w:t>” (</w:t>
      </w:r>
      <w:r w:rsidRPr="003B4362">
        <w:rPr>
          <w:szCs w:val="22"/>
        </w:rPr>
        <w:t xml:space="preserve">April 2001), USEPA, Office of Ground Water and Drinking Water, document number </w:t>
      </w:r>
      <w:r w:rsidRPr="003B4362">
        <w:rPr>
          <w:szCs w:val="18"/>
        </w:rPr>
        <w:t>EPA 821/R-01/025.  Available from NEMI and USEPA, NSCEP</w:t>
      </w:r>
      <w:r w:rsidRPr="003B4362">
        <w:rPr>
          <w:szCs w:val="22"/>
        </w:rPr>
        <w:t xml:space="preserve"> (search “821R01025”).  Referenced in Section 611.1007</w:t>
      </w:r>
      <w:r w:rsidRPr="003B4362">
        <w:rPr>
          <w:szCs w:val="18"/>
        </w:rPr>
        <w:t>.</w:t>
      </w:r>
    </w:p>
    <w:p w14:paraId="0F13459C" w14:textId="77777777" w:rsidR="00AD24B5" w:rsidRPr="003B4362" w:rsidRDefault="00AD24B5" w:rsidP="00AD24B5">
      <w:pPr>
        <w:widowControl w:val="0"/>
        <w:suppressAutoHyphens/>
        <w:ind w:left="3600"/>
        <w:rPr>
          <w:szCs w:val="18"/>
        </w:rPr>
      </w:pPr>
    </w:p>
    <w:p w14:paraId="71623495" w14:textId="77777777" w:rsidR="00AD24B5" w:rsidRPr="003B4362" w:rsidRDefault="00AD24B5" w:rsidP="00AD24B5">
      <w:pPr>
        <w:widowControl w:val="0"/>
        <w:suppressAutoHyphens/>
        <w:ind w:left="3600"/>
        <w:rPr>
          <w:szCs w:val="22"/>
        </w:rPr>
      </w:pPr>
      <w:r w:rsidRPr="003B4362">
        <w:rPr>
          <w:szCs w:val="18"/>
        </w:rPr>
        <w:t xml:space="preserve">“USEPA 1623 (05)” means </w:t>
      </w:r>
      <w:r w:rsidRPr="003B4362">
        <w:rPr>
          <w:szCs w:val="22"/>
        </w:rPr>
        <w:t>“Method 1623:  Cryptosporidium and Giardia in Water by Filtration/IMS/FA</w:t>
      </w:r>
      <w:r w:rsidRPr="003B4362">
        <w:rPr>
          <w:szCs w:val="16"/>
        </w:rPr>
        <w:t>” (</w:t>
      </w:r>
      <w:r w:rsidRPr="003B4362">
        <w:rPr>
          <w:szCs w:val="22"/>
        </w:rPr>
        <w:t xml:space="preserve">December 2005), USEPA, Office of Ground Water and Drinking Water, document number </w:t>
      </w:r>
      <w:r w:rsidRPr="003B4362">
        <w:rPr>
          <w:szCs w:val="18"/>
        </w:rPr>
        <w:t>EPA 815/R-05/002.  Available from USEPA, NSCEP</w:t>
      </w:r>
      <w:r w:rsidRPr="003B4362">
        <w:rPr>
          <w:szCs w:val="22"/>
        </w:rPr>
        <w:t xml:space="preserve"> (search “815R05002”)</w:t>
      </w:r>
      <w:r w:rsidRPr="003B4362">
        <w:rPr>
          <w:szCs w:val="18"/>
        </w:rPr>
        <w:t xml:space="preserve"> and USEPA, OGWDW (under “Long Term 2 Enhanced Surface Water Treatment Rule (PDF)”)</w:t>
      </w:r>
      <w:r w:rsidRPr="003B4362">
        <w:rPr>
          <w:szCs w:val="22"/>
        </w:rPr>
        <w:t>.  Referenced in Sections 611.1004 and 611.1007</w:t>
      </w:r>
      <w:r w:rsidRPr="003B4362">
        <w:rPr>
          <w:szCs w:val="18"/>
        </w:rPr>
        <w:t>.</w:t>
      </w:r>
    </w:p>
    <w:p w14:paraId="5F8819D5" w14:textId="77777777" w:rsidR="00AD24B5" w:rsidRPr="003B4362" w:rsidRDefault="00AD24B5" w:rsidP="00AD24B5">
      <w:pPr>
        <w:widowControl w:val="0"/>
        <w:suppressAutoHyphens/>
        <w:ind w:left="3600"/>
        <w:rPr>
          <w:szCs w:val="18"/>
        </w:rPr>
      </w:pPr>
    </w:p>
    <w:p w14:paraId="0353FB31" w14:textId="77777777" w:rsidR="00AD24B5" w:rsidRPr="003B4362" w:rsidRDefault="00AD24B5" w:rsidP="00AD24B5">
      <w:pPr>
        <w:widowControl w:val="0"/>
        <w:suppressAutoHyphens/>
        <w:ind w:left="3600"/>
        <w:rPr>
          <w:szCs w:val="22"/>
        </w:rPr>
      </w:pPr>
      <w:r w:rsidRPr="003B4362">
        <w:rPr>
          <w:szCs w:val="18"/>
        </w:rPr>
        <w:t xml:space="preserve">“USEPA 1623.1 (12)” means </w:t>
      </w:r>
      <w:r w:rsidRPr="003B4362">
        <w:rPr>
          <w:szCs w:val="22"/>
        </w:rPr>
        <w:t>“</w:t>
      </w:r>
      <w:r w:rsidRPr="003B4362">
        <w:rPr>
          <w:szCs w:val="18"/>
        </w:rPr>
        <w:t xml:space="preserve">Method 1623.1, </w:t>
      </w:r>
      <w:r w:rsidRPr="003B4362">
        <w:rPr>
          <w:szCs w:val="22"/>
        </w:rPr>
        <w:t>“Method 1623.1:  Cryptosporidium and Giardia in Water by Filtration/IMS/FA</w:t>
      </w:r>
      <w:r w:rsidRPr="003B4362">
        <w:rPr>
          <w:szCs w:val="16"/>
        </w:rPr>
        <w:t>” (</w:t>
      </w:r>
      <w:r w:rsidRPr="003B4362">
        <w:rPr>
          <w:szCs w:val="22"/>
        </w:rPr>
        <w:t>January 2012), USEPA, Office of Ground Water and Drinking Water, document number EPA</w:t>
      </w:r>
      <w:r w:rsidRPr="003B4362">
        <w:rPr>
          <w:szCs w:val="18"/>
        </w:rPr>
        <w:t xml:space="preserve"> </w:t>
      </w:r>
      <w:r w:rsidRPr="003B4362">
        <w:rPr>
          <w:szCs w:val="22"/>
        </w:rPr>
        <w:t>816</w:t>
      </w:r>
      <w:r w:rsidRPr="003B4362">
        <w:rPr>
          <w:szCs w:val="18"/>
        </w:rPr>
        <w:t>/</w:t>
      </w:r>
      <w:r w:rsidRPr="003B4362">
        <w:rPr>
          <w:szCs w:val="22"/>
        </w:rPr>
        <w:t>R-12</w:t>
      </w:r>
      <w:r w:rsidRPr="003B4362">
        <w:rPr>
          <w:szCs w:val="18"/>
        </w:rPr>
        <w:t>/</w:t>
      </w:r>
      <w:r w:rsidRPr="003B4362">
        <w:rPr>
          <w:szCs w:val="22"/>
        </w:rPr>
        <w:t>001</w:t>
      </w:r>
      <w:r w:rsidRPr="003B4362">
        <w:rPr>
          <w:szCs w:val="18"/>
        </w:rPr>
        <w:t>.  Available from USEPA, NSCEP</w:t>
      </w:r>
      <w:r w:rsidRPr="003B4362">
        <w:rPr>
          <w:szCs w:val="22"/>
        </w:rPr>
        <w:t xml:space="preserve"> (search “816R12001”)</w:t>
      </w:r>
      <w:r w:rsidRPr="003B4362">
        <w:rPr>
          <w:szCs w:val="18"/>
        </w:rPr>
        <w:t xml:space="preserve"> and USEPA, OGWDW (under “Long Term 2 Enhanced Surface Water Treatment Rule (PDF)”)</w:t>
      </w:r>
      <w:r w:rsidRPr="003B4362">
        <w:rPr>
          <w:szCs w:val="22"/>
        </w:rPr>
        <w:t>.  Referenced in Section 611.1004</w:t>
      </w:r>
      <w:r w:rsidRPr="003B4362">
        <w:rPr>
          <w:szCs w:val="18"/>
        </w:rPr>
        <w:t>.</w:t>
      </w:r>
    </w:p>
    <w:p w14:paraId="47D82F1D" w14:textId="77777777" w:rsidR="00AD24B5" w:rsidRPr="003B4362" w:rsidRDefault="00AD24B5" w:rsidP="00AD24B5">
      <w:pPr>
        <w:ind w:left="2880"/>
        <w:rPr>
          <w:szCs w:val="22"/>
        </w:rPr>
      </w:pPr>
    </w:p>
    <w:p w14:paraId="4B943ABC" w14:textId="77777777" w:rsidR="00AD24B5" w:rsidRPr="003B4362" w:rsidRDefault="00AD24B5" w:rsidP="00AD24B5">
      <w:pPr>
        <w:ind w:left="2880"/>
        <w:rPr>
          <w:szCs w:val="22"/>
        </w:rPr>
      </w:pPr>
      <w:r w:rsidRPr="003B4362">
        <w:rPr>
          <w:szCs w:val="22"/>
        </w:rPr>
        <w:t>USEPA Documents Containing Multiple Numbered Methods</w:t>
      </w:r>
    </w:p>
    <w:p w14:paraId="109E2EEB" w14:textId="77777777" w:rsidR="00AD24B5" w:rsidRPr="003B4362" w:rsidRDefault="00AD24B5" w:rsidP="00AD24B5">
      <w:pPr>
        <w:widowControl w:val="0"/>
        <w:suppressAutoHyphens/>
        <w:ind w:left="3600"/>
        <w:rPr>
          <w:spacing w:val="-2"/>
          <w:szCs w:val="22"/>
        </w:rPr>
      </w:pPr>
    </w:p>
    <w:p w14:paraId="1F7AA113" w14:textId="77777777" w:rsidR="00AD24B5" w:rsidRPr="003B4362" w:rsidRDefault="00AD24B5" w:rsidP="00AD24B5">
      <w:pPr>
        <w:widowControl w:val="0"/>
        <w:suppressAutoHyphens/>
        <w:ind w:left="3600"/>
        <w:rPr>
          <w:szCs w:val="22"/>
        </w:rPr>
      </w:pPr>
      <w:r w:rsidRPr="003B4362">
        <w:rPr>
          <w:spacing w:val="-2"/>
          <w:szCs w:val="22"/>
        </w:rPr>
        <w:t xml:space="preserve">“USEPA Environmental Inorganic Methods (93)” means </w:t>
      </w:r>
      <w:r w:rsidRPr="003B4362">
        <w:rPr>
          <w:szCs w:val="22"/>
        </w:rPr>
        <w:t>“Methods for the Determination of Inorganic Substances in Environmental Samples</w:t>
      </w:r>
      <w:r w:rsidRPr="003B4362">
        <w:rPr>
          <w:szCs w:val="16"/>
        </w:rPr>
        <w:t>” (</w:t>
      </w:r>
      <w:r w:rsidRPr="003B4362">
        <w:rPr>
          <w:spacing w:val="-2"/>
          <w:szCs w:val="22"/>
        </w:rPr>
        <w:t xml:space="preserve">August 1993), USEPA, Environmental Monitoring Systems Laboratory, document number </w:t>
      </w:r>
      <w:r w:rsidRPr="003B4362">
        <w:rPr>
          <w:szCs w:val="22"/>
        </w:rPr>
        <w:t xml:space="preserve">EPA 600/R-93-100 (for USEPA 180.1 (93), USEPA 300.0 (93), USEPA 335.4 (93), USEPA 353.2 (93), and USEPA 365.1 (93) only).  Available from NTRL (document number </w:t>
      </w:r>
      <w:r w:rsidRPr="003B4362">
        <w:rPr>
          <w:spacing w:val="-2"/>
          <w:szCs w:val="22"/>
        </w:rPr>
        <w:t>PB94-121811)</w:t>
      </w:r>
      <w:r w:rsidRPr="003B4362">
        <w:rPr>
          <w:szCs w:val="22"/>
        </w:rPr>
        <w:t xml:space="preserve"> and USEPA, NSCEP (search “600R93100”).</w:t>
      </w:r>
    </w:p>
    <w:p w14:paraId="3E82161E" w14:textId="77777777" w:rsidR="00AD24B5" w:rsidRPr="003B4362" w:rsidRDefault="00AD24B5" w:rsidP="00AD24B5">
      <w:pPr>
        <w:widowControl w:val="0"/>
        <w:suppressAutoHyphens/>
        <w:ind w:left="3600"/>
        <w:rPr>
          <w:szCs w:val="22"/>
        </w:rPr>
      </w:pPr>
    </w:p>
    <w:p w14:paraId="1F9749ED" w14:textId="77777777" w:rsidR="00AD24B5" w:rsidRPr="003B4362" w:rsidRDefault="00AD24B5" w:rsidP="00AD24B5">
      <w:pPr>
        <w:widowControl w:val="0"/>
        <w:suppressAutoHyphens/>
        <w:ind w:left="3600"/>
        <w:rPr>
          <w:szCs w:val="22"/>
        </w:rPr>
      </w:pPr>
      <w:r w:rsidRPr="003B4362">
        <w:rPr>
          <w:szCs w:val="22"/>
        </w:rPr>
        <w:t xml:space="preserve">“USEPA Environmental Metals Methods (94)” means </w:t>
      </w:r>
      <w:r w:rsidRPr="003B4362">
        <w:rPr>
          <w:szCs w:val="22"/>
        </w:rPr>
        <w:lastRenderedPageBreak/>
        <w:t>“Methods for the Determination of Metals in Environmental Samples—Supplement I</w:t>
      </w:r>
      <w:r w:rsidRPr="003B4362">
        <w:rPr>
          <w:szCs w:val="16"/>
        </w:rPr>
        <w:t>”,</w:t>
      </w:r>
      <w:r w:rsidRPr="003B4362">
        <w:rPr>
          <w:szCs w:val="22"/>
        </w:rPr>
        <w:t xml:space="preserve"> May 1994, USEPA, Environmental Monitoring Systems Laboratory, document number EPA 600/R-94-111 (for USEPA 200.7 (94), USEPA 200.8 (94), USEPA 200.9 (94), and USEPA 245.1 (94) only).  Referenced in Sections 611.600, 611.611, 611.612, and 611.720.  Available from NTRL (document number PB84-125472) and USEPA, NSCEP (search “600R94111”).</w:t>
      </w:r>
    </w:p>
    <w:p w14:paraId="09FBD873" w14:textId="77777777" w:rsidR="00AD24B5" w:rsidRPr="003B4362" w:rsidRDefault="00AD24B5" w:rsidP="00AD24B5">
      <w:pPr>
        <w:widowControl w:val="0"/>
        <w:suppressAutoHyphens/>
        <w:ind w:left="3600"/>
        <w:rPr>
          <w:szCs w:val="22"/>
        </w:rPr>
      </w:pPr>
    </w:p>
    <w:p w14:paraId="1DAB74F8" w14:textId="77777777" w:rsidR="00AD24B5" w:rsidRPr="003B4362" w:rsidRDefault="00AD24B5" w:rsidP="00AD24B5">
      <w:pPr>
        <w:widowControl w:val="0"/>
        <w:suppressAutoHyphens/>
        <w:ind w:left="3600"/>
        <w:rPr>
          <w:szCs w:val="22"/>
        </w:rPr>
      </w:pPr>
      <w:r w:rsidRPr="003B4362">
        <w:rPr>
          <w:szCs w:val="22"/>
        </w:rPr>
        <w:t>“USEPA Inorganic Methods (83)” means “Methods for Chemical Analysis of Water and Wastes</w:t>
      </w:r>
      <w:r w:rsidRPr="003B4362">
        <w:rPr>
          <w:szCs w:val="16"/>
        </w:rPr>
        <w:t>”(</w:t>
      </w:r>
      <w:r w:rsidRPr="003B4362">
        <w:rPr>
          <w:szCs w:val="22"/>
        </w:rPr>
        <w:t>March 1983), USEPA, Office of Research and Development, document number EPA 600/4-79-020 (USEPA 150.1 (71), USEPA 150.2 (82), and USEPA 245.2 (74) only).  Available from NTRL (document number PB84-128677) and USEPA, NSCEP (search “600479020”).  Referenced in Section 611.611.</w:t>
      </w:r>
    </w:p>
    <w:p w14:paraId="55B3029E" w14:textId="77777777" w:rsidR="00AD24B5" w:rsidRPr="003B4362" w:rsidRDefault="00AD24B5" w:rsidP="00AD24B5">
      <w:pPr>
        <w:widowControl w:val="0"/>
        <w:suppressAutoHyphens/>
        <w:ind w:left="3600"/>
        <w:rPr>
          <w:szCs w:val="22"/>
        </w:rPr>
      </w:pPr>
      <w:r w:rsidRPr="003B4362">
        <w:rPr>
          <w:szCs w:val="22"/>
        </w:rPr>
        <w:t>“USEPA Organic and Inorganic Methods (00)” means “Methods for the Determination of Organic and Inorganic Compounds in Drinking Water, Volume 1</w:t>
      </w:r>
      <w:r w:rsidRPr="003B4362">
        <w:rPr>
          <w:szCs w:val="16"/>
        </w:rPr>
        <w:t>” (</w:t>
      </w:r>
      <w:r w:rsidRPr="003B4362">
        <w:rPr>
          <w:szCs w:val="22"/>
        </w:rPr>
        <w:t>August 2000), USEPA, Office of Water and Office of Research and Development, document number EPA 815</w:t>
      </w:r>
      <w:r w:rsidRPr="003B4362">
        <w:rPr>
          <w:szCs w:val="18"/>
        </w:rPr>
        <w:t>/</w:t>
      </w:r>
      <w:r w:rsidRPr="003B4362">
        <w:rPr>
          <w:szCs w:val="22"/>
        </w:rPr>
        <w:t>R-00</w:t>
      </w:r>
      <w:r w:rsidRPr="003B4362">
        <w:rPr>
          <w:szCs w:val="18"/>
        </w:rPr>
        <w:t>/</w:t>
      </w:r>
      <w:r w:rsidRPr="003B4362">
        <w:rPr>
          <w:szCs w:val="22"/>
        </w:rPr>
        <w:t>014 (Methods 300.1 (97), USEPA 321.8 (97), and USEPA 515.3 (96) only).  Available from NTRL (document number PB2000-106981) and USEPA, NSCEP (search “815R00014”).</w:t>
      </w:r>
    </w:p>
    <w:p w14:paraId="4F784DE6" w14:textId="77777777" w:rsidR="00AD24B5" w:rsidRPr="003B4362" w:rsidRDefault="00AD24B5" w:rsidP="00AD24B5">
      <w:pPr>
        <w:widowControl w:val="0"/>
        <w:suppressAutoHyphens/>
        <w:ind w:left="3600"/>
        <w:rPr>
          <w:szCs w:val="22"/>
        </w:rPr>
      </w:pPr>
    </w:p>
    <w:p w14:paraId="55515CFA" w14:textId="77777777" w:rsidR="00AD24B5" w:rsidRPr="003B4362" w:rsidRDefault="00AD24B5" w:rsidP="00AD24B5">
      <w:pPr>
        <w:widowControl w:val="0"/>
        <w:suppressAutoHyphens/>
        <w:ind w:left="3600"/>
        <w:rPr>
          <w:szCs w:val="22"/>
        </w:rPr>
      </w:pPr>
      <w:r w:rsidRPr="003B4362">
        <w:rPr>
          <w:szCs w:val="22"/>
        </w:rPr>
        <w:t>“USEPA Organic Methods (91)” means “Methods for the Determination of Organic Compounds in Drinking Water</w:t>
      </w:r>
      <w:r w:rsidRPr="003B4362">
        <w:rPr>
          <w:szCs w:val="16"/>
        </w:rPr>
        <w:t>”,</w:t>
      </w:r>
      <w:r w:rsidRPr="003B4362">
        <w:rPr>
          <w:szCs w:val="22"/>
        </w:rPr>
        <w:t xml:space="preserve"> (December 1988 (revised July 1991)), USEPA, Office of Research and Development, document number EPA 600/4-88/039 (USEPA 508A (89) and USEPA 515.1 (89) only).  Available from NTRL (document number PB91-231480) and USEPA, NSCEP (search “600488039”) and USEPA, OGWDW.</w:t>
      </w:r>
    </w:p>
    <w:p w14:paraId="2D68B64B" w14:textId="77777777" w:rsidR="00AD24B5" w:rsidRPr="003B4362" w:rsidRDefault="00AD24B5" w:rsidP="00AD24B5">
      <w:pPr>
        <w:widowControl w:val="0"/>
        <w:suppressAutoHyphens/>
        <w:ind w:left="3600"/>
        <w:rPr>
          <w:szCs w:val="22"/>
        </w:rPr>
      </w:pPr>
    </w:p>
    <w:p w14:paraId="25261C10" w14:textId="77777777" w:rsidR="00AD24B5" w:rsidRPr="003B4362" w:rsidRDefault="00AD24B5" w:rsidP="00AD24B5">
      <w:pPr>
        <w:widowControl w:val="0"/>
        <w:suppressAutoHyphens/>
        <w:ind w:left="3600"/>
        <w:rPr>
          <w:szCs w:val="22"/>
        </w:rPr>
      </w:pPr>
      <w:r w:rsidRPr="003B4362">
        <w:rPr>
          <w:szCs w:val="22"/>
        </w:rPr>
        <w:t>“USEPA Organic Methods—Supplement I (90)” means “Methods for the Determination of Organic Compounds in Drinking Water—Supplement I</w:t>
      </w:r>
      <w:r w:rsidRPr="003B4362">
        <w:rPr>
          <w:szCs w:val="16"/>
        </w:rPr>
        <w:t>” (July 19</w:t>
      </w:r>
      <w:r w:rsidRPr="003B4362">
        <w:rPr>
          <w:szCs w:val="22"/>
        </w:rPr>
        <w:t>90), USEPA, Environmental Monitoring Systems Laboratory, document number EPA 600/4-90/020 (USEPA 547 (90), USEPA 550 (90) and USEPA 550.1 (90) only).  Available from NTRL (document number PB91-146027) and USEPA, NSCEP (search “600490020”).</w:t>
      </w:r>
    </w:p>
    <w:p w14:paraId="420F49DC" w14:textId="77777777" w:rsidR="00AD24B5" w:rsidRPr="003B4362" w:rsidRDefault="00AD24B5" w:rsidP="00AD24B5">
      <w:pPr>
        <w:widowControl w:val="0"/>
        <w:suppressAutoHyphens/>
        <w:ind w:left="3600"/>
        <w:rPr>
          <w:szCs w:val="22"/>
        </w:rPr>
      </w:pPr>
    </w:p>
    <w:p w14:paraId="5F9151AA" w14:textId="77777777" w:rsidR="00AD24B5" w:rsidRPr="003B4362" w:rsidRDefault="00AD24B5" w:rsidP="00AD24B5">
      <w:pPr>
        <w:widowControl w:val="0"/>
        <w:suppressAutoHyphens/>
        <w:ind w:left="3600"/>
        <w:rPr>
          <w:szCs w:val="22"/>
        </w:rPr>
      </w:pPr>
      <w:r w:rsidRPr="003B4362">
        <w:rPr>
          <w:szCs w:val="22"/>
        </w:rPr>
        <w:t>“</w:t>
      </w:r>
      <w:bookmarkStart w:id="300" w:name="_Hlk20236381"/>
      <w:r w:rsidRPr="003B4362">
        <w:rPr>
          <w:szCs w:val="22"/>
        </w:rPr>
        <w:t>USEPA Organic Methods—Supplement II (92)</w:t>
      </w:r>
      <w:bookmarkEnd w:id="300"/>
      <w:r w:rsidRPr="003B4362">
        <w:rPr>
          <w:szCs w:val="22"/>
        </w:rPr>
        <w:t>” means “Methods for the Determination of Organic Compounds in Drinking Water—Supplement II</w:t>
      </w:r>
      <w:r w:rsidRPr="003B4362">
        <w:rPr>
          <w:szCs w:val="16"/>
        </w:rPr>
        <w:t>” (</w:t>
      </w:r>
      <w:r w:rsidRPr="003B4362">
        <w:rPr>
          <w:szCs w:val="22"/>
        </w:rPr>
        <w:t>August 1992), USEPA, Office of Research and Development, document number EPA 600/R-92/129 (USEPA 548.1 (92), USEPA 552.1 (92), and USEPA 555 (92) only).  Available from NTRL (document number PB92-207703) and USEPA, NSCEP (search “600R92129”).</w:t>
      </w:r>
    </w:p>
    <w:p w14:paraId="64F6D14E" w14:textId="77777777" w:rsidR="00AD24B5" w:rsidRPr="003B4362" w:rsidRDefault="00AD24B5" w:rsidP="00AD24B5">
      <w:pPr>
        <w:widowControl w:val="0"/>
        <w:suppressAutoHyphens/>
        <w:ind w:left="3600"/>
        <w:rPr>
          <w:szCs w:val="22"/>
        </w:rPr>
      </w:pPr>
    </w:p>
    <w:p w14:paraId="6BC88269" w14:textId="77777777" w:rsidR="00AD24B5" w:rsidRPr="003B4362" w:rsidRDefault="00AD24B5" w:rsidP="00AD24B5">
      <w:pPr>
        <w:widowControl w:val="0"/>
        <w:suppressAutoHyphens/>
        <w:ind w:left="3600"/>
        <w:rPr>
          <w:szCs w:val="22"/>
        </w:rPr>
      </w:pPr>
      <w:r w:rsidRPr="003B4362">
        <w:rPr>
          <w:szCs w:val="22"/>
        </w:rPr>
        <w:t>“</w:t>
      </w:r>
      <w:bookmarkStart w:id="301" w:name="_Hlk20236437"/>
      <w:r w:rsidRPr="003B4362">
        <w:rPr>
          <w:szCs w:val="22"/>
        </w:rPr>
        <w:t>USEPA Organic Methods—Supplement III (95)</w:t>
      </w:r>
      <w:bookmarkEnd w:id="301"/>
      <w:r w:rsidRPr="003B4362">
        <w:rPr>
          <w:szCs w:val="22"/>
        </w:rPr>
        <w:t>” means “Methods for the Determination of Organic Compounds in Drinking Water—Supplement III</w:t>
      </w:r>
      <w:r w:rsidRPr="003B4362">
        <w:rPr>
          <w:szCs w:val="16"/>
        </w:rPr>
        <w:t>” (</w:t>
      </w:r>
      <w:r w:rsidRPr="003B4362">
        <w:rPr>
          <w:szCs w:val="22"/>
        </w:rPr>
        <w:t xml:space="preserve">August 1995), USEPA, Office of Research and Development, document number EPA </w:t>
      </w:r>
      <w:r w:rsidRPr="003B4362">
        <w:rPr>
          <w:spacing w:val="-2"/>
          <w:szCs w:val="22"/>
        </w:rPr>
        <w:t>600/R-95/131</w:t>
      </w:r>
      <w:r w:rsidRPr="003B4362">
        <w:rPr>
          <w:szCs w:val="22"/>
        </w:rPr>
        <w:t xml:space="preserve"> (USEPA </w:t>
      </w:r>
      <w:r w:rsidRPr="003B4362">
        <w:rPr>
          <w:spacing w:val="-2"/>
          <w:szCs w:val="22"/>
        </w:rPr>
        <w:t>502.2</w:t>
      </w:r>
      <w:r w:rsidRPr="003B4362">
        <w:rPr>
          <w:szCs w:val="22"/>
        </w:rPr>
        <w:t xml:space="preserve"> (95)</w:t>
      </w:r>
      <w:r w:rsidRPr="003B4362">
        <w:rPr>
          <w:spacing w:val="-2"/>
          <w:szCs w:val="22"/>
        </w:rPr>
        <w:t xml:space="preserve">, </w:t>
      </w:r>
      <w:r w:rsidRPr="003B4362">
        <w:rPr>
          <w:szCs w:val="22"/>
        </w:rPr>
        <w:t xml:space="preserve">USEPA 504.1 (95), USEPA 505 (95), USEPA 506 (95), USEPA 507 (95), USEPA 508 (95), USEPA 508.1 (95), USEPA 515.2 (95), USEPA </w:t>
      </w:r>
      <w:r w:rsidRPr="003B4362">
        <w:rPr>
          <w:spacing w:val="-2"/>
          <w:szCs w:val="22"/>
        </w:rPr>
        <w:t>524.2</w:t>
      </w:r>
      <w:r w:rsidRPr="003B4362">
        <w:rPr>
          <w:szCs w:val="22"/>
        </w:rPr>
        <w:t xml:space="preserve"> (</w:t>
      </w:r>
      <w:r w:rsidRPr="003B4362">
        <w:rPr>
          <w:spacing w:val="-2"/>
          <w:szCs w:val="22"/>
        </w:rPr>
        <w:t xml:space="preserve">95), </w:t>
      </w:r>
      <w:r w:rsidRPr="003B4362">
        <w:rPr>
          <w:szCs w:val="22"/>
        </w:rPr>
        <w:t xml:space="preserve">USEPA 525.2 (95), USEPA 531.1 (95), USEPA </w:t>
      </w:r>
      <w:r w:rsidRPr="003B4362">
        <w:rPr>
          <w:spacing w:val="-2"/>
          <w:szCs w:val="22"/>
        </w:rPr>
        <w:t>551.1</w:t>
      </w:r>
      <w:r w:rsidRPr="003B4362">
        <w:rPr>
          <w:szCs w:val="22"/>
        </w:rPr>
        <w:t xml:space="preserve"> (</w:t>
      </w:r>
      <w:r w:rsidRPr="003B4362">
        <w:rPr>
          <w:spacing w:val="-2"/>
          <w:szCs w:val="22"/>
        </w:rPr>
        <w:t xml:space="preserve">95), and </w:t>
      </w:r>
      <w:r w:rsidRPr="003B4362">
        <w:rPr>
          <w:szCs w:val="22"/>
        </w:rPr>
        <w:t xml:space="preserve">USEPA </w:t>
      </w:r>
      <w:r w:rsidRPr="003B4362">
        <w:rPr>
          <w:spacing w:val="-2"/>
          <w:szCs w:val="22"/>
        </w:rPr>
        <w:t>552.2</w:t>
      </w:r>
      <w:r w:rsidRPr="003B4362">
        <w:rPr>
          <w:szCs w:val="22"/>
        </w:rPr>
        <w:t xml:space="preserve"> (</w:t>
      </w:r>
      <w:r w:rsidRPr="003B4362">
        <w:rPr>
          <w:spacing w:val="-2"/>
          <w:szCs w:val="22"/>
        </w:rPr>
        <w:t>95)</w:t>
      </w:r>
      <w:r w:rsidRPr="003B4362">
        <w:rPr>
          <w:szCs w:val="22"/>
        </w:rPr>
        <w:t xml:space="preserve"> only).  Available from NTRL (document number PB95-261616) and USEPA, NSCEP (search “600R95131”).</w:t>
      </w:r>
    </w:p>
    <w:p w14:paraId="063FF7A0" w14:textId="77777777" w:rsidR="00AD24B5" w:rsidRPr="003B4362" w:rsidRDefault="00AD24B5" w:rsidP="00AD24B5">
      <w:pPr>
        <w:widowControl w:val="0"/>
        <w:suppressAutoHyphens/>
        <w:ind w:left="3600"/>
        <w:rPr>
          <w:szCs w:val="22"/>
        </w:rPr>
      </w:pPr>
    </w:p>
    <w:p w14:paraId="5F0B63CE" w14:textId="77777777" w:rsidR="00AD24B5" w:rsidRPr="003B4362" w:rsidRDefault="00AD24B5" w:rsidP="00AD24B5">
      <w:pPr>
        <w:widowControl w:val="0"/>
        <w:suppressAutoHyphens/>
        <w:ind w:left="3600"/>
        <w:rPr>
          <w:szCs w:val="22"/>
        </w:rPr>
      </w:pPr>
      <w:r w:rsidRPr="003B4362">
        <w:rPr>
          <w:szCs w:val="22"/>
        </w:rPr>
        <w:t>“USEPA Radioactivity Methods (80)” means “Prescribed Procedures for Measurement of Radioactivity in Drinking Water</w:t>
      </w:r>
      <w:r w:rsidRPr="003B4362">
        <w:rPr>
          <w:szCs w:val="16"/>
        </w:rPr>
        <w:t>” (</w:t>
      </w:r>
      <w:r w:rsidRPr="003B4362">
        <w:rPr>
          <w:szCs w:val="22"/>
        </w:rPr>
        <w:t>August 1980), USEPA, Office of Research and Development, Environmental Monitoring and Support Laboratory, document number EPA 600/4-80/032 (USEPA 900.0 (80), USEPA 901.0 (80), USEPA 901.1 (80), USEPA 902.0 (80), USEPA 903.0 (80), USEPA 903.1 (80), USEPA 904.0 (80), USEPA 905.0 (80), USEPA 906.0 (80), USEPA 908.0 (80), and USEPA 908.1 (80) only.).  Available from NTRL (document number PB80-224744); USEPA, NSCEP (search “821480032”); and USEPA, OGWDW (under “Radionuclides (PDF))”.</w:t>
      </w:r>
    </w:p>
    <w:p w14:paraId="5300B5E5" w14:textId="77777777" w:rsidR="00AD24B5" w:rsidRPr="003B4362" w:rsidRDefault="00AD24B5" w:rsidP="00AD24B5">
      <w:pPr>
        <w:widowControl w:val="0"/>
        <w:suppressAutoHyphens/>
        <w:ind w:left="3600"/>
        <w:rPr>
          <w:szCs w:val="22"/>
        </w:rPr>
      </w:pPr>
    </w:p>
    <w:p w14:paraId="5D4EE6C9" w14:textId="77777777" w:rsidR="00AD24B5" w:rsidRPr="003B4362" w:rsidRDefault="00AD24B5" w:rsidP="00AD24B5">
      <w:pPr>
        <w:widowControl w:val="0"/>
        <w:suppressAutoHyphens/>
        <w:ind w:left="3600"/>
        <w:rPr>
          <w:szCs w:val="22"/>
        </w:rPr>
      </w:pPr>
      <w:r w:rsidRPr="003B4362">
        <w:rPr>
          <w:szCs w:val="22"/>
        </w:rPr>
        <w:t>“USEPA Radiochemistry Procedures (84)” means “Radiochemistry Procedures Manual</w:t>
      </w:r>
      <w:r w:rsidRPr="003B4362">
        <w:rPr>
          <w:szCs w:val="16"/>
        </w:rPr>
        <w:t>” (June 1984),</w:t>
      </w:r>
      <w:r w:rsidRPr="003B4362">
        <w:rPr>
          <w:szCs w:val="22"/>
        </w:rPr>
        <w:t xml:space="preserve"> USEPA, Eastern Environmental Radiation Facility, document number EPA 520/5-84-006 (USEPA 00-01 (84), USEPA 00-02 (84), USEPA 00-07 (84), USEPA H-02 (84), USEPA Ra-03 (84), USEPA Ra-04 (84), USEPA Ra-05 (84), USEPA Sr-04 (84) only).  Available from NTRL (</w:t>
      </w:r>
      <w:bookmarkStart w:id="302" w:name="_Hlk20145660"/>
      <w:r w:rsidRPr="003B4362">
        <w:rPr>
          <w:szCs w:val="22"/>
        </w:rPr>
        <w:t>document number PB84215581)</w:t>
      </w:r>
      <w:bookmarkEnd w:id="302"/>
      <w:r w:rsidRPr="003B4362">
        <w:rPr>
          <w:szCs w:val="22"/>
        </w:rPr>
        <w:t>; USEPA, NSCEP (search “520584006”); and USEPA, OGWDW.</w:t>
      </w:r>
    </w:p>
    <w:p w14:paraId="36F889A2" w14:textId="77777777" w:rsidR="00AD24B5" w:rsidRPr="003B4362" w:rsidRDefault="00AD24B5" w:rsidP="00AD24B5">
      <w:pPr>
        <w:ind w:left="2880"/>
        <w:rPr>
          <w:szCs w:val="22"/>
        </w:rPr>
      </w:pPr>
    </w:p>
    <w:p w14:paraId="77C4D2CE" w14:textId="77777777" w:rsidR="00AD24B5" w:rsidRPr="003B4362" w:rsidRDefault="00AD24B5" w:rsidP="00AD24B5">
      <w:pPr>
        <w:ind w:left="2880"/>
        <w:rPr>
          <w:szCs w:val="22"/>
        </w:rPr>
      </w:pPr>
      <w:r w:rsidRPr="003B4362">
        <w:rPr>
          <w:szCs w:val="22"/>
        </w:rPr>
        <w:lastRenderedPageBreak/>
        <w:t>Unnumbered Methods</w:t>
      </w:r>
    </w:p>
    <w:p w14:paraId="54D82990" w14:textId="77777777" w:rsidR="00AD24B5" w:rsidRPr="003B4362" w:rsidRDefault="00AD24B5" w:rsidP="00AD24B5">
      <w:pPr>
        <w:widowControl w:val="0"/>
        <w:suppressAutoHyphens/>
        <w:ind w:left="3600"/>
        <w:rPr>
          <w:szCs w:val="22"/>
        </w:rPr>
      </w:pPr>
    </w:p>
    <w:p w14:paraId="03BF558E" w14:textId="77777777" w:rsidR="00AD24B5" w:rsidRPr="003B4362" w:rsidRDefault="00AD24B5" w:rsidP="00AD24B5">
      <w:pPr>
        <w:widowControl w:val="0"/>
        <w:suppressAutoHyphens/>
        <w:ind w:left="3600"/>
        <w:rPr>
          <w:szCs w:val="22"/>
        </w:rPr>
      </w:pPr>
      <w:r w:rsidRPr="003B4362">
        <w:rPr>
          <w:szCs w:val="22"/>
        </w:rPr>
        <w:t>“USEPA ARP (73)” means “Procedures for Radiochemical Analysis of Nuclear Reactor Aqueous Solutions</w:t>
      </w:r>
      <w:r w:rsidRPr="003B4362">
        <w:rPr>
          <w:szCs w:val="16"/>
        </w:rPr>
        <w:t>”</w:t>
      </w:r>
      <w:r w:rsidRPr="003B4362">
        <w:rPr>
          <w:szCs w:val="22"/>
        </w:rPr>
        <w:t xml:space="preserve"> (May 1973)</w:t>
      </w:r>
      <w:r w:rsidRPr="003B4362">
        <w:rPr>
          <w:szCs w:val="16"/>
        </w:rPr>
        <w:t>,</w:t>
      </w:r>
      <w:r w:rsidRPr="003B4362">
        <w:rPr>
          <w:szCs w:val="22"/>
        </w:rPr>
        <w:t xml:space="preserve"> USEPA, Office of Research and Monitoring, National Environmental Research Center, document number EPA-R4-73-014.  Available from NTRL (document number PB222154) and USEPA, NSCEP (search “R473014”).  Referenced in Section 611.720.</w:t>
      </w:r>
    </w:p>
    <w:p w14:paraId="5E41CCB3" w14:textId="77777777" w:rsidR="00AD24B5" w:rsidRPr="003B4362" w:rsidRDefault="00AD24B5" w:rsidP="00AD24B5">
      <w:pPr>
        <w:widowControl w:val="0"/>
        <w:suppressAutoHyphens/>
        <w:ind w:left="3600"/>
        <w:rPr>
          <w:szCs w:val="22"/>
        </w:rPr>
      </w:pPr>
    </w:p>
    <w:p w14:paraId="1D56DE00" w14:textId="77777777" w:rsidR="00AD24B5" w:rsidRPr="003B4362" w:rsidRDefault="00AD24B5" w:rsidP="00AD24B5">
      <w:pPr>
        <w:widowControl w:val="0"/>
        <w:suppressAutoHyphens/>
        <w:ind w:left="3600"/>
        <w:rPr>
          <w:szCs w:val="22"/>
        </w:rPr>
      </w:pPr>
      <w:r w:rsidRPr="003B4362">
        <w:rPr>
          <w:szCs w:val="22"/>
        </w:rPr>
        <w:t>“</w:t>
      </w:r>
      <w:bookmarkStart w:id="303" w:name="_Hlk15566048"/>
      <w:r w:rsidRPr="003B4362">
        <w:rPr>
          <w:szCs w:val="22"/>
        </w:rPr>
        <w:t>USEPA IRM (76)</w:t>
      </w:r>
      <w:bookmarkEnd w:id="303"/>
      <w:r w:rsidRPr="003B4362">
        <w:rPr>
          <w:szCs w:val="22"/>
        </w:rPr>
        <w:t xml:space="preserve">” means </w:t>
      </w:r>
      <w:bookmarkStart w:id="304" w:name="_Hlk16007915"/>
      <w:r w:rsidRPr="003B4362">
        <w:rPr>
          <w:szCs w:val="22"/>
        </w:rPr>
        <w:t>“Interim Radiochemical Methodology for Drinking Water</w:t>
      </w:r>
      <w:r w:rsidRPr="003B4362">
        <w:rPr>
          <w:szCs w:val="16"/>
        </w:rPr>
        <w:t>”</w:t>
      </w:r>
      <w:bookmarkEnd w:id="304"/>
      <w:r w:rsidRPr="003B4362">
        <w:rPr>
          <w:szCs w:val="22"/>
        </w:rPr>
        <w:t xml:space="preserve"> (March 1976)</w:t>
      </w:r>
      <w:r w:rsidRPr="003B4362">
        <w:rPr>
          <w:szCs w:val="16"/>
        </w:rPr>
        <w:t>,</w:t>
      </w:r>
      <w:r w:rsidRPr="003B4362">
        <w:rPr>
          <w:szCs w:val="22"/>
        </w:rPr>
        <w:t xml:space="preserve"> USEPA, Office of Research and Development, Environmental Monitoring and Support Laboratory, document number EPA 600/4-75-008 (revised) (pages 1 through 37 only).  Available from NTRL (document number PB253258); USEPA, NSCEP (search “600475008A”); and USEPA, OGWDW (under “Radionuclides (PDF)”).  Referenced in Section 611.720.</w:t>
      </w:r>
    </w:p>
    <w:p w14:paraId="288F59DA" w14:textId="77777777" w:rsidR="00AD24B5" w:rsidRPr="003B4362" w:rsidRDefault="00AD24B5" w:rsidP="00AD24B5">
      <w:pPr>
        <w:widowControl w:val="0"/>
        <w:suppressAutoHyphens/>
        <w:ind w:left="4320"/>
        <w:rPr>
          <w:szCs w:val="22"/>
        </w:rPr>
      </w:pPr>
    </w:p>
    <w:p w14:paraId="1E76CE59" w14:textId="77777777" w:rsidR="00AD24B5" w:rsidRPr="003B4362" w:rsidRDefault="00AD24B5" w:rsidP="00AD24B5">
      <w:pPr>
        <w:widowControl w:val="0"/>
        <w:suppressAutoHyphens/>
        <w:ind w:left="4320"/>
        <w:rPr>
          <w:szCs w:val="22"/>
        </w:rPr>
      </w:pPr>
      <w:r w:rsidRPr="003B4362">
        <w:rPr>
          <w:szCs w:val="22"/>
        </w:rPr>
        <w:t>“</w:t>
      </w:r>
      <w:bookmarkStart w:id="305" w:name="_Hlk15566198"/>
      <w:r w:rsidRPr="003B4362">
        <w:rPr>
          <w:szCs w:val="22"/>
        </w:rPr>
        <w:t>USEPA IRM (76), pages 1-3</w:t>
      </w:r>
      <w:bookmarkEnd w:id="305"/>
      <w:r w:rsidRPr="003B4362">
        <w:rPr>
          <w:szCs w:val="22"/>
        </w:rPr>
        <w:t>” means pages 1 through 3, “Gross Alpha and Beta Radioactivity in Drinking Water”, in USEPA IRM (76)</w:t>
      </w:r>
      <w:r w:rsidRPr="003B4362">
        <w:rPr>
          <w:szCs w:val="16"/>
        </w:rPr>
        <w:t>.  R</w:t>
      </w:r>
      <w:r w:rsidRPr="003B4362">
        <w:rPr>
          <w:szCs w:val="22"/>
        </w:rPr>
        <w:t>eferenced in Section 611.720.</w:t>
      </w:r>
    </w:p>
    <w:p w14:paraId="4ED6F11E" w14:textId="77777777" w:rsidR="00AD24B5" w:rsidRPr="003B4362" w:rsidRDefault="00AD24B5" w:rsidP="00AD24B5">
      <w:pPr>
        <w:widowControl w:val="0"/>
        <w:suppressAutoHyphens/>
        <w:ind w:left="4320"/>
        <w:rPr>
          <w:szCs w:val="22"/>
        </w:rPr>
      </w:pPr>
    </w:p>
    <w:p w14:paraId="26ECDC00" w14:textId="77777777" w:rsidR="00AD24B5" w:rsidRPr="003B4362" w:rsidRDefault="00AD24B5" w:rsidP="00AD24B5">
      <w:pPr>
        <w:widowControl w:val="0"/>
        <w:suppressAutoHyphens/>
        <w:ind w:left="4320"/>
        <w:rPr>
          <w:szCs w:val="22"/>
        </w:rPr>
      </w:pPr>
      <w:r w:rsidRPr="003B4362">
        <w:rPr>
          <w:szCs w:val="22"/>
        </w:rPr>
        <w:t>“USEPA IRM (76), pages 4-5” means pages 4 through 5, “Radioactive Cesium in Drinking Water”, in USEPA IRM (76)</w:t>
      </w:r>
      <w:r w:rsidRPr="003B4362">
        <w:rPr>
          <w:szCs w:val="16"/>
        </w:rPr>
        <w:t>.  R</w:t>
      </w:r>
      <w:r w:rsidRPr="003B4362">
        <w:rPr>
          <w:szCs w:val="22"/>
        </w:rPr>
        <w:t>eferenced in Section 611.720.</w:t>
      </w:r>
    </w:p>
    <w:p w14:paraId="67C0A624" w14:textId="77777777" w:rsidR="00AD24B5" w:rsidRPr="003B4362" w:rsidRDefault="00AD24B5" w:rsidP="00AD24B5">
      <w:pPr>
        <w:widowControl w:val="0"/>
        <w:suppressAutoHyphens/>
        <w:ind w:left="4320"/>
        <w:rPr>
          <w:szCs w:val="22"/>
        </w:rPr>
      </w:pPr>
    </w:p>
    <w:p w14:paraId="64B2B17B" w14:textId="77777777" w:rsidR="00AD24B5" w:rsidRPr="003B4362" w:rsidRDefault="00AD24B5" w:rsidP="00AD24B5">
      <w:pPr>
        <w:widowControl w:val="0"/>
        <w:suppressAutoHyphens/>
        <w:ind w:left="4320"/>
        <w:rPr>
          <w:szCs w:val="22"/>
        </w:rPr>
      </w:pPr>
      <w:r w:rsidRPr="003B4362">
        <w:rPr>
          <w:szCs w:val="22"/>
        </w:rPr>
        <w:t>“USEPA IRM (76), pages 6-8” means pages 6 through 8, “Radioactive Iodine in Drinking Water:  Precipitation Method”, in USEPA IRM (76)</w:t>
      </w:r>
      <w:r w:rsidRPr="003B4362">
        <w:rPr>
          <w:szCs w:val="16"/>
        </w:rPr>
        <w:t>.  R</w:t>
      </w:r>
      <w:r w:rsidRPr="003B4362">
        <w:rPr>
          <w:szCs w:val="22"/>
        </w:rPr>
        <w:t>eferenced in Section 611.720.</w:t>
      </w:r>
    </w:p>
    <w:p w14:paraId="364FA5EF" w14:textId="77777777" w:rsidR="00AD24B5" w:rsidRPr="003B4362" w:rsidRDefault="00AD24B5" w:rsidP="00AD24B5">
      <w:pPr>
        <w:widowControl w:val="0"/>
        <w:suppressAutoHyphens/>
        <w:ind w:left="4320"/>
        <w:rPr>
          <w:szCs w:val="22"/>
        </w:rPr>
      </w:pPr>
    </w:p>
    <w:p w14:paraId="289D8B08" w14:textId="77777777" w:rsidR="00AD24B5" w:rsidRPr="003B4362" w:rsidRDefault="00AD24B5" w:rsidP="00AD24B5">
      <w:pPr>
        <w:widowControl w:val="0"/>
        <w:suppressAutoHyphens/>
        <w:ind w:left="4320"/>
        <w:rPr>
          <w:szCs w:val="22"/>
        </w:rPr>
      </w:pPr>
      <w:r w:rsidRPr="003B4362">
        <w:rPr>
          <w:szCs w:val="22"/>
        </w:rPr>
        <w:t>“USEPA IRM (76), pages 9-12” means pages 9 through 12, “Radioactive Iodine in Drinking Water:  Distillation Method”, in USEPA IRM (76)</w:t>
      </w:r>
      <w:r w:rsidRPr="003B4362">
        <w:rPr>
          <w:szCs w:val="16"/>
        </w:rPr>
        <w:t>.  R</w:t>
      </w:r>
      <w:r w:rsidRPr="003B4362">
        <w:rPr>
          <w:szCs w:val="22"/>
        </w:rPr>
        <w:t>eferenced in Section 611.720.</w:t>
      </w:r>
    </w:p>
    <w:p w14:paraId="3EEB7724" w14:textId="77777777" w:rsidR="00AD24B5" w:rsidRPr="003B4362" w:rsidRDefault="00AD24B5" w:rsidP="00AD24B5">
      <w:pPr>
        <w:widowControl w:val="0"/>
        <w:suppressAutoHyphens/>
        <w:ind w:left="4320"/>
        <w:rPr>
          <w:szCs w:val="22"/>
        </w:rPr>
      </w:pPr>
    </w:p>
    <w:p w14:paraId="6A46739F" w14:textId="77777777" w:rsidR="00AD24B5" w:rsidRPr="003B4362" w:rsidRDefault="00AD24B5" w:rsidP="00AD24B5">
      <w:pPr>
        <w:widowControl w:val="0"/>
        <w:suppressAutoHyphens/>
        <w:ind w:left="4320"/>
        <w:rPr>
          <w:szCs w:val="22"/>
        </w:rPr>
      </w:pPr>
      <w:r w:rsidRPr="003B4362">
        <w:rPr>
          <w:szCs w:val="22"/>
        </w:rPr>
        <w:t>“USEPA IRM (76), pages 13-15” means pages 13 through 15, “Alpha-Emitting Radium Isotopes in Drinking Water:  Precipitation Method”, in USEPA IRM (76)</w:t>
      </w:r>
      <w:r w:rsidRPr="003B4362">
        <w:rPr>
          <w:szCs w:val="16"/>
        </w:rPr>
        <w:t>.  R</w:t>
      </w:r>
      <w:r w:rsidRPr="003B4362">
        <w:rPr>
          <w:szCs w:val="22"/>
        </w:rPr>
        <w:t>eferenced in Section 611.720.</w:t>
      </w:r>
    </w:p>
    <w:p w14:paraId="2BCE88E8" w14:textId="77777777" w:rsidR="00AD24B5" w:rsidRPr="003B4362" w:rsidRDefault="00AD24B5" w:rsidP="00AD24B5">
      <w:pPr>
        <w:widowControl w:val="0"/>
        <w:suppressAutoHyphens/>
        <w:ind w:left="4320"/>
        <w:rPr>
          <w:szCs w:val="22"/>
        </w:rPr>
      </w:pPr>
    </w:p>
    <w:p w14:paraId="2D670692" w14:textId="77777777" w:rsidR="00AD24B5" w:rsidRPr="003B4362" w:rsidRDefault="00AD24B5" w:rsidP="00AD24B5">
      <w:pPr>
        <w:widowControl w:val="0"/>
        <w:suppressAutoHyphens/>
        <w:ind w:left="4320"/>
        <w:rPr>
          <w:szCs w:val="22"/>
        </w:rPr>
      </w:pPr>
      <w:r w:rsidRPr="003B4362">
        <w:rPr>
          <w:szCs w:val="22"/>
        </w:rPr>
        <w:lastRenderedPageBreak/>
        <w:t>“USEPA IRM (76), pages 16-23” means pages 16 through 23, “Radium-226 in Drinking Water:  Radon Emanation Technique”, in USEPA IRM (76)</w:t>
      </w:r>
      <w:r w:rsidRPr="003B4362">
        <w:rPr>
          <w:szCs w:val="16"/>
        </w:rPr>
        <w:t>.  R</w:t>
      </w:r>
      <w:r w:rsidRPr="003B4362">
        <w:rPr>
          <w:szCs w:val="22"/>
        </w:rPr>
        <w:t>eferenced in Section 611.720.</w:t>
      </w:r>
    </w:p>
    <w:p w14:paraId="6473E428" w14:textId="77777777" w:rsidR="00AD24B5" w:rsidRPr="003B4362" w:rsidRDefault="00AD24B5" w:rsidP="00AD24B5">
      <w:pPr>
        <w:widowControl w:val="0"/>
        <w:suppressAutoHyphens/>
        <w:ind w:left="4320"/>
        <w:rPr>
          <w:szCs w:val="22"/>
        </w:rPr>
      </w:pPr>
    </w:p>
    <w:p w14:paraId="4D04B98F" w14:textId="77777777" w:rsidR="00AD24B5" w:rsidRPr="003B4362" w:rsidRDefault="00AD24B5" w:rsidP="00AD24B5">
      <w:pPr>
        <w:widowControl w:val="0"/>
        <w:suppressAutoHyphens/>
        <w:ind w:left="4320"/>
        <w:rPr>
          <w:szCs w:val="22"/>
        </w:rPr>
      </w:pPr>
      <w:r w:rsidRPr="003B4362">
        <w:rPr>
          <w:szCs w:val="22"/>
        </w:rPr>
        <w:t>“USEPA IRM (76), pages 24-28” means pages 24 through 28, “Radium-228 in Drinking Water:  Sequential Method Radium-228/Radium-226”, in USEPA IRM (76)</w:t>
      </w:r>
      <w:r w:rsidRPr="003B4362">
        <w:rPr>
          <w:szCs w:val="16"/>
        </w:rPr>
        <w:t>.  R</w:t>
      </w:r>
      <w:r w:rsidRPr="003B4362">
        <w:rPr>
          <w:szCs w:val="22"/>
        </w:rPr>
        <w:t>eferenced in Section 611.720.</w:t>
      </w:r>
    </w:p>
    <w:p w14:paraId="494F736C" w14:textId="77777777" w:rsidR="00AD24B5" w:rsidRPr="003B4362" w:rsidRDefault="00AD24B5" w:rsidP="00AD24B5">
      <w:pPr>
        <w:widowControl w:val="0"/>
        <w:suppressAutoHyphens/>
        <w:ind w:left="4320"/>
        <w:rPr>
          <w:szCs w:val="22"/>
        </w:rPr>
      </w:pPr>
    </w:p>
    <w:p w14:paraId="080BD339" w14:textId="77777777" w:rsidR="00AD24B5" w:rsidRPr="003B4362" w:rsidRDefault="00AD24B5" w:rsidP="00AD24B5">
      <w:pPr>
        <w:widowControl w:val="0"/>
        <w:suppressAutoHyphens/>
        <w:ind w:left="4320"/>
        <w:rPr>
          <w:szCs w:val="22"/>
        </w:rPr>
      </w:pPr>
      <w:r w:rsidRPr="003B4362">
        <w:rPr>
          <w:szCs w:val="22"/>
        </w:rPr>
        <w:t>“USEPA IRM (76), pages 29-33” means pages 29 through 33, “Radioactive Strontium in Drinking Water”, in USEPA IRM (76)</w:t>
      </w:r>
      <w:r w:rsidRPr="003B4362">
        <w:rPr>
          <w:szCs w:val="16"/>
        </w:rPr>
        <w:t>.  R</w:t>
      </w:r>
      <w:r w:rsidRPr="003B4362">
        <w:rPr>
          <w:szCs w:val="22"/>
        </w:rPr>
        <w:t>eferenced in Section 611.720.</w:t>
      </w:r>
    </w:p>
    <w:p w14:paraId="48B2F524" w14:textId="77777777" w:rsidR="00AD24B5" w:rsidRPr="003B4362" w:rsidRDefault="00AD24B5" w:rsidP="00AD24B5">
      <w:pPr>
        <w:widowControl w:val="0"/>
        <w:suppressAutoHyphens/>
        <w:ind w:left="4320"/>
        <w:rPr>
          <w:szCs w:val="22"/>
        </w:rPr>
      </w:pPr>
    </w:p>
    <w:p w14:paraId="14735234" w14:textId="77777777" w:rsidR="00AD24B5" w:rsidRPr="003B4362" w:rsidRDefault="00AD24B5" w:rsidP="00AD24B5">
      <w:pPr>
        <w:widowControl w:val="0"/>
        <w:suppressAutoHyphens/>
        <w:ind w:left="4320"/>
        <w:rPr>
          <w:szCs w:val="22"/>
        </w:rPr>
      </w:pPr>
      <w:r w:rsidRPr="003B4362">
        <w:rPr>
          <w:szCs w:val="22"/>
        </w:rPr>
        <w:t>“USEPA IRM (76), pages 34-37” means pages 34 through 37, “Tritium in Drinking Water”, in USEPA IRM (76)</w:t>
      </w:r>
      <w:r w:rsidRPr="003B4362">
        <w:rPr>
          <w:szCs w:val="16"/>
        </w:rPr>
        <w:t>.  R</w:t>
      </w:r>
      <w:r w:rsidRPr="003B4362">
        <w:rPr>
          <w:szCs w:val="22"/>
        </w:rPr>
        <w:t>eferenced in Section 611.720.</w:t>
      </w:r>
    </w:p>
    <w:p w14:paraId="27254C7D" w14:textId="77777777" w:rsidR="00AD24B5" w:rsidRPr="003B4362" w:rsidRDefault="00AD24B5" w:rsidP="00AD24B5">
      <w:pPr>
        <w:widowControl w:val="0"/>
        <w:suppressAutoHyphens/>
        <w:ind w:left="3600"/>
        <w:rPr>
          <w:szCs w:val="22"/>
        </w:rPr>
      </w:pPr>
    </w:p>
    <w:p w14:paraId="5CF428B5" w14:textId="77777777" w:rsidR="00AD24B5" w:rsidRPr="003B4362" w:rsidRDefault="00AD24B5" w:rsidP="00AD24B5">
      <w:pPr>
        <w:widowControl w:val="0"/>
        <w:suppressAutoHyphens/>
        <w:ind w:left="3600"/>
        <w:rPr>
          <w:szCs w:val="22"/>
        </w:rPr>
      </w:pPr>
      <w:r w:rsidRPr="003B4362">
        <w:rPr>
          <w:szCs w:val="22"/>
        </w:rPr>
        <w:t xml:space="preserve">“USEPA RCA (79)” means </w:t>
      </w:r>
      <w:bookmarkStart w:id="306" w:name="_Hlk16008096"/>
      <w:r w:rsidRPr="003B4362">
        <w:rPr>
          <w:szCs w:val="22"/>
        </w:rPr>
        <w:t>“Radiochemical Analytical Procedures for Analysis of Environmental Samples</w:t>
      </w:r>
      <w:r w:rsidRPr="003B4362">
        <w:rPr>
          <w:szCs w:val="16"/>
        </w:rPr>
        <w:t>”</w:t>
      </w:r>
      <w:bookmarkEnd w:id="306"/>
      <w:r w:rsidRPr="003B4362">
        <w:rPr>
          <w:szCs w:val="16"/>
        </w:rPr>
        <w:t xml:space="preserve"> (</w:t>
      </w:r>
      <w:r w:rsidRPr="003B4362">
        <w:rPr>
          <w:szCs w:val="22"/>
        </w:rPr>
        <w:t>March 1979), USEPA, Environmental Monitoring and Support Laboratory, document number EMSL-LV-0539-17 (pages 1 through 5, 19 through 48, 65 through 73, and 87 through 95 only).  Available from NTRL (document number EMSLLV053917); USEPA, NSCEP (search “EMSLLV053917”) and USEPA, OGWDW (under “Radionuclides (PDF)”).  Referenced in Section 611.720.</w:t>
      </w:r>
    </w:p>
    <w:p w14:paraId="1DCA84AB" w14:textId="77777777" w:rsidR="00AD24B5" w:rsidRPr="003B4362" w:rsidRDefault="00AD24B5" w:rsidP="00AD24B5">
      <w:pPr>
        <w:widowControl w:val="0"/>
        <w:suppressAutoHyphens/>
        <w:ind w:left="4320"/>
        <w:rPr>
          <w:szCs w:val="22"/>
        </w:rPr>
      </w:pPr>
    </w:p>
    <w:p w14:paraId="7D505096" w14:textId="77777777" w:rsidR="00AD24B5" w:rsidRPr="003B4362" w:rsidRDefault="00AD24B5" w:rsidP="00AD24B5">
      <w:pPr>
        <w:widowControl w:val="0"/>
        <w:suppressAutoHyphens/>
        <w:ind w:left="4320"/>
        <w:rPr>
          <w:szCs w:val="22"/>
        </w:rPr>
      </w:pPr>
      <w:r w:rsidRPr="003B4362">
        <w:rPr>
          <w:szCs w:val="22"/>
        </w:rPr>
        <w:t>“USEPA RCA (79), pages 1-5” means pages 1 through 5, “Determination of Gross Alpha and Beta in Water”, in USEPA RCA (79)</w:t>
      </w:r>
      <w:r w:rsidRPr="003B4362">
        <w:rPr>
          <w:szCs w:val="16"/>
        </w:rPr>
        <w:t>.  R</w:t>
      </w:r>
      <w:r w:rsidRPr="003B4362">
        <w:rPr>
          <w:szCs w:val="22"/>
        </w:rPr>
        <w:t>eferenced in Section 611.720.</w:t>
      </w:r>
    </w:p>
    <w:p w14:paraId="0D307ABD" w14:textId="77777777" w:rsidR="00AD24B5" w:rsidRPr="003B4362" w:rsidRDefault="00AD24B5" w:rsidP="00AD24B5">
      <w:pPr>
        <w:widowControl w:val="0"/>
        <w:suppressAutoHyphens/>
        <w:ind w:left="4320"/>
        <w:rPr>
          <w:szCs w:val="22"/>
        </w:rPr>
      </w:pPr>
    </w:p>
    <w:p w14:paraId="17E15C09" w14:textId="77777777" w:rsidR="00AD24B5" w:rsidRPr="003B4362" w:rsidRDefault="00AD24B5" w:rsidP="00AD24B5">
      <w:pPr>
        <w:widowControl w:val="0"/>
        <w:suppressAutoHyphens/>
        <w:ind w:left="4320"/>
        <w:rPr>
          <w:szCs w:val="22"/>
        </w:rPr>
      </w:pPr>
      <w:r w:rsidRPr="003B4362">
        <w:rPr>
          <w:szCs w:val="22"/>
        </w:rPr>
        <w:t>“USEPA RCA (79), pages 19-32” means pages 19 through 32, “Determination of Radium-226 and Radium-228 in Water, Soil, Air, and Biological Tissue”, in USEPA RCA (79)</w:t>
      </w:r>
      <w:r w:rsidRPr="003B4362">
        <w:rPr>
          <w:szCs w:val="16"/>
        </w:rPr>
        <w:t>.  R</w:t>
      </w:r>
      <w:r w:rsidRPr="003B4362">
        <w:rPr>
          <w:szCs w:val="22"/>
        </w:rPr>
        <w:t>eferenced in Section 611.720.</w:t>
      </w:r>
    </w:p>
    <w:p w14:paraId="3B9481AA" w14:textId="77777777" w:rsidR="00AD24B5" w:rsidRPr="003B4362" w:rsidRDefault="00AD24B5" w:rsidP="00AD24B5">
      <w:pPr>
        <w:widowControl w:val="0"/>
        <w:suppressAutoHyphens/>
        <w:ind w:left="4320"/>
        <w:rPr>
          <w:szCs w:val="22"/>
        </w:rPr>
      </w:pPr>
    </w:p>
    <w:p w14:paraId="4B3F19AB" w14:textId="77777777" w:rsidR="00AD24B5" w:rsidRPr="003B4362" w:rsidRDefault="00AD24B5" w:rsidP="00AD24B5">
      <w:pPr>
        <w:widowControl w:val="0"/>
        <w:suppressAutoHyphens/>
        <w:ind w:left="4320"/>
        <w:rPr>
          <w:szCs w:val="22"/>
        </w:rPr>
      </w:pPr>
      <w:r w:rsidRPr="003B4362">
        <w:rPr>
          <w:szCs w:val="22"/>
        </w:rPr>
        <w:t>“USEPA RCA (79), pages 33-48” means pages 33 through 48, “Isotopic Determination of Plutonium, Uranium, and Thorium in Water, Soil, Air, and Biological Tissue”, in USEPA RCA (79)</w:t>
      </w:r>
      <w:r w:rsidRPr="003B4362">
        <w:rPr>
          <w:szCs w:val="16"/>
        </w:rPr>
        <w:t>.  R</w:t>
      </w:r>
      <w:r w:rsidRPr="003B4362">
        <w:rPr>
          <w:szCs w:val="22"/>
        </w:rPr>
        <w:t>eferenced in Section 611.720.</w:t>
      </w:r>
    </w:p>
    <w:p w14:paraId="4EC896D4" w14:textId="77777777" w:rsidR="00AD24B5" w:rsidRPr="003B4362" w:rsidRDefault="00AD24B5" w:rsidP="00AD24B5">
      <w:pPr>
        <w:widowControl w:val="0"/>
        <w:suppressAutoHyphens/>
        <w:ind w:left="4320"/>
        <w:rPr>
          <w:szCs w:val="22"/>
        </w:rPr>
      </w:pPr>
    </w:p>
    <w:p w14:paraId="004F1777" w14:textId="77777777" w:rsidR="00AD24B5" w:rsidRPr="003B4362" w:rsidRDefault="00AD24B5" w:rsidP="00AD24B5">
      <w:pPr>
        <w:widowControl w:val="0"/>
        <w:suppressAutoHyphens/>
        <w:ind w:left="4320"/>
        <w:rPr>
          <w:szCs w:val="22"/>
        </w:rPr>
      </w:pPr>
      <w:r w:rsidRPr="003B4362">
        <w:rPr>
          <w:szCs w:val="22"/>
        </w:rPr>
        <w:t>“USEPA RCA (79), pages 65-73” means pages 65 through 73, “Determination of Strontium-89 and Strontium-90 in Water, Soil, Air, and Biological Tissue”, in USEPA RCA (79)</w:t>
      </w:r>
      <w:r w:rsidRPr="003B4362">
        <w:rPr>
          <w:szCs w:val="16"/>
        </w:rPr>
        <w:t>.  R</w:t>
      </w:r>
      <w:r w:rsidRPr="003B4362">
        <w:rPr>
          <w:szCs w:val="22"/>
        </w:rPr>
        <w:t>eferenced in Section 611.720.</w:t>
      </w:r>
    </w:p>
    <w:p w14:paraId="7543D88A" w14:textId="77777777" w:rsidR="00AD24B5" w:rsidRPr="003B4362" w:rsidRDefault="00AD24B5" w:rsidP="00AD24B5">
      <w:pPr>
        <w:widowControl w:val="0"/>
        <w:suppressAutoHyphens/>
        <w:ind w:left="4320"/>
        <w:rPr>
          <w:szCs w:val="22"/>
        </w:rPr>
      </w:pPr>
    </w:p>
    <w:p w14:paraId="46D71BB2" w14:textId="77777777" w:rsidR="00AD24B5" w:rsidRPr="003B4362" w:rsidRDefault="00AD24B5" w:rsidP="00AD24B5">
      <w:pPr>
        <w:widowControl w:val="0"/>
        <w:suppressAutoHyphens/>
        <w:ind w:left="4320"/>
        <w:rPr>
          <w:szCs w:val="22"/>
        </w:rPr>
      </w:pPr>
      <w:r w:rsidRPr="003B4362">
        <w:rPr>
          <w:szCs w:val="22"/>
        </w:rPr>
        <w:t>“USEPA RCA (79), pages 87-91” means pages 87 through 91, “Determination of Tritium in Water, Soil, Air, and Biological Tissue (Direct Method)”, in USEPA RCA (79)</w:t>
      </w:r>
      <w:r w:rsidRPr="003B4362">
        <w:rPr>
          <w:szCs w:val="16"/>
        </w:rPr>
        <w:t>.  R</w:t>
      </w:r>
      <w:r w:rsidRPr="003B4362">
        <w:rPr>
          <w:szCs w:val="22"/>
        </w:rPr>
        <w:t>eferenced in Section 611.720.</w:t>
      </w:r>
    </w:p>
    <w:p w14:paraId="454E63BD" w14:textId="77777777" w:rsidR="00AD24B5" w:rsidRPr="003B4362" w:rsidRDefault="00AD24B5" w:rsidP="00AD24B5">
      <w:pPr>
        <w:widowControl w:val="0"/>
        <w:suppressAutoHyphens/>
        <w:ind w:left="4320"/>
        <w:rPr>
          <w:szCs w:val="22"/>
        </w:rPr>
      </w:pPr>
    </w:p>
    <w:p w14:paraId="6B552EF6" w14:textId="77777777" w:rsidR="00AD24B5" w:rsidRPr="003B4362" w:rsidRDefault="00AD24B5" w:rsidP="00AD24B5">
      <w:pPr>
        <w:widowControl w:val="0"/>
        <w:suppressAutoHyphens/>
        <w:ind w:left="4320"/>
        <w:rPr>
          <w:szCs w:val="22"/>
        </w:rPr>
      </w:pPr>
      <w:r w:rsidRPr="003B4362">
        <w:rPr>
          <w:szCs w:val="22"/>
        </w:rPr>
        <w:t>“USEPA RCA (79), pages 92-95” means pages 92 through 95, “Isotopic Analysis by Gamma Ray Spectra Using Lithium-Drifted Geranium Detectors”, in USEPA RCA (79)</w:t>
      </w:r>
      <w:r w:rsidRPr="003B4362">
        <w:rPr>
          <w:szCs w:val="16"/>
        </w:rPr>
        <w:t>.  R</w:t>
      </w:r>
      <w:r w:rsidRPr="003B4362">
        <w:rPr>
          <w:szCs w:val="22"/>
        </w:rPr>
        <w:t>eferenced in Section 611.720.</w:t>
      </w:r>
    </w:p>
    <w:p w14:paraId="3DF78363" w14:textId="77777777" w:rsidR="00AD24B5" w:rsidRPr="003B4362" w:rsidRDefault="00AD24B5" w:rsidP="00AD24B5">
      <w:pPr>
        <w:widowControl w:val="0"/>
        <w:suppressAutoHyphens/>
        <w:ind w:left="3600"/>
        <w:rPr>
          <w:szCs w:val="22"/>
        </w:rPr>
      </w:pPr>
    </w:p>
    <w:p w14:paraId="5B7835B8" w14:textId="77777777" w:rsidR="00AD24B5" w:rsidRPr="003B4362" w:rsidRDefault="00AD24B5" w:rsidP="00AD24B5">
      <w:pPr>
        <w:widowControl w:val="0"/>
        <w:suppressAutoHyphens/>
        <w:ind w:left="3600"/>
        <w:rPr>
          <w:szCs w:val="22"/>
        </w:rPr>
      </w:pPr>
      <w:r w:rsidRPr="003B4362">
        <w:rPr>
          <w:szCs w:val="22"/>
        </w:rPr>
        <w:t>“USEPA Technical Notes (94)” means “Technical Notes on Drinking Water Methods</w:t>
      </w:r>
      <w:r w:rsidRPr="003B4362">
        <w:rPr>
          <w:szCs w:val="16"/>
        </w:rPr>
        <w:t>”</w:t>
      </w:r>
      <w:r w:rsidRPr="003B4362">
        <w:rPr>
          <w:szCs w:val="22"/>
        </w:rPr>
        <w:t xml:space="preserve"> (October 1994), document number EPA 600/R-94-173, USEPA, Office of Research and Development.  Available from NTRL (document number PB95-104766); and USEPA, NSCEP (search “600R94173”).  Referenced in Sections 611.531, 611.611, and 611.645.</w:t>
      </w:r>
    </w:p>
    <w:p w14:paraId="2DB1BBFF" w14:textId="77777777" w:rsidR="00AD24B5" w:rsidRPr="003B4362" w:rsidRDefault="00AD24B5" w:rsidP="00AD24B5">
      <w:pPr>
        <w:ind w:left="2880"/>
        <w:rPr>
          <w:szCs w:val="22"/>
        </w:rPr>
      </w:pPr>
    </w:p>
    <w:p w14:paraId="1685EB8C" w14:textId="77777777" w:rsidR="00AD24B5" w:rsidRPr="003B4362" w:rsidRDefault="00AD24B5" w:rsidP="00AD24B5">
      <w:pPr>
        <w:ind w:left="2880"/>
        <w:rPr>
          <w:szCs w:val="22"/>
        </w:rPr>
      </w:pPr>
      <w:r w:rsidRPr="003B4362">
        <w:rPr>
          <w:szCs w:val="22"/>
        </w:rPr>
        <w:t>Sources of USEPA Methods</w:t>
      </w:r>
    </w:p>
    <w:p w14:paraId="2AAA1F65" w14:textId="77777777" w:rsidR="00AD24B5" w:rsidRPr="003B4362" w:rsidRDefault="00AD24B5" w:rsidP="00AD24B5">
      <w:pPr>
        <w:ind w:left="3600"/>
      </w:pPr>
    </w:p>
    <w:p w14:paraId="5B832EBF" w14:textId="77777777" w:rsidR="00AD24B5" w:rsidRPr="003B4362" w:rsidRDefault="00AD24B5" w:rsidP="00AD24B5">
      <w:pPr>
        <w:ind w:left="3600"/>
      </w:pPr>
      <w:r w:rsidRPr="003B4362">
        <w:t>NEMI.  National Environmental Method Index (on-line at www.nemi.gov/home/).</w:t>
      </w:r>
    </w:p>
    <w:p w14:paraId="52A5330C" w14:textId="77777777" w:rsidR="00AD24B5" w:rsidRPr="003B4362" w:rsidRDefault="00AD24B5" w:rsidP="00AD24B5">
      <w:pPr>
        <w:widowControl w:val="0"/>
        <w:suppressAutoHyphens/>
        <w:ind w:left="3600"/>
        <w:rPr>
          <w:szCs w:val="22"/>
        </w:rPr>
      </w:pPr>
    </w:p>
    <w:p w14:paraId="26A42F26" w14:textId="77777777" w:rsidR="00AD24B5" w:rsidRPr="003B4362" w:rsidRDefault="00AD24B5" w:rsidP="00AD24B5">
      <w:pPr>
        <w:widowControl w:val="0"/>
        <w:suppressAutoHyphens/>
        <w:ind w:left="3600"/>
        <w:rPr>
          <w:szCs w:val="22"/>
        </w:rPr>
      </w:pPr>
      <w:r w:rsidRPr="003B4362">
        <w:rPr>
          <w:szCs w:val="22"/>
        </w:rPr>
        <w:t xml:space="preserve">NTRL.  National Technical Reports Library, U.S. Department of Commerce, 5301 Shawnee Road, Alexandria, VA 22312 (703-605-6000 or 800-553-6847, </w:t>
      </w:r>
      <w:hyperlink r:id="rId17" w:history="1">
        <w:r w:rsidRPr="003B4362">
          <w:rPr>
            <w:rStyle w:val="Hyperlink"/>
            <w:szCs w:val="22"/>
          </w:rPr>
          <w:t>https://ntrl.ntis.gov/NTRL/</w:t>
        </w:r>
      </w:hyperlink>
      <w:r w:rsidRPr="003B4362">
        <w:rPr>
          <w:szCs w:val="22"/>
        </w:rPr>
        <w:t xml:space="preserve"> ).</w:t>
      </w:r>
    </w:p>
    <w:p w14:paraId="03B18BD7" w14:textId="77777777" w:rsidR="00AD24B5" w:rsidRPr="003B4362" w:rsidRDefault="00AD24B5" w:rsidP="00AD24B5">
      <w:pPr>
        <w:widowControl w:val="0"/>
        <w:ind w:left="3600"/>
        <w:rPr>
          <w:szCs w:val="22"/>
        </w:rPr>
      </w:pPr>
    </w:p>
    <w:p w14:paraId="4D4E7213" w14:textId="77777777" w:rsidR="00AD24B5" w:rsidRPr="003B4362" w:rsidRDefault="00AD24B5" w:rsidP="00AD24B5">
      <w:pPr>
        <w:widowControl w:val="0"/>
        <w:ind w:left="3600"/>
        <w:rPr>
          <w:szCs w:val="22"/>
        </w:rPr>
      </w:pPr>
      <w:r w:rsidRPr="003B4362">
        <w:rPr>
          <w:szCs w:val="22"/>
        </w:rPr>
        <w:t xml:space="preserve">USEPA, NSCEP.  United States Environmental Protection Agency, National Service Center for Environmental Publications, P.O. Box 42419, Cincinnati, OH 45242-0419, accessible on-line and available by download from </w:t>
      </w:r>
      <w:hyperlink r:id="rId18" w:history="1">
        <w:r w:rsidRPr="003B4362">
          <w:rPr>
            <w:rStyle w:val="Hyperlink"/>
            <w:szCs w:val="22"/>
          </w:rPr>
          <w:t>http://www.epa.gov/nscep/</w:t>
        </w:r>
      </w:hyperlink>
      <w:r w:rsidRPr="003B4362">
        <w:rPr>
          <w:szCs w:val="22"/>
        </w:rPr>
        <w:t>/ using the search term indicated for the individual method)</w:t>
      </w:r>
      <w:r w:rsidRPr="003B4362">
        <w:rPr>
          <w:i/>
          <w:iCs/>
          <w:szCs w:val="22"/>
        </w:rPr>
        <w:t>.</w:t>
      </w:r>
    </w:p>
    <w:p w14:paraId="557B1ADE" w14:textId="77777777" w:rsidR="00AD24B5" w:rsidRPr="003B4362" w:rsidRDefault="00AD24B5" w:rsidP="00AD24B5">
      <w:pPr>
        <w:widowControl w:val="0"/>
        <w:ind w:left="3600"/>
        <w:rPr>
          <w:szCs w:val="22"/>
        </w:rPr>
      </w:pPr>
      <w:r w:rsidRPr="003B4362">
        <w:rPr>
          <w:szCs w:val="22"/>
        </w:rPr>
        <w:t xml:space="preserve">USEPA, OGWDW.  United States Environmental Protection Agency, Office of Ground Water and Drinking </w:t>
      </w:r>
      <w:r w:rsidRPr="003B4362">
        <w:rPr>
          <w:szCs w:val="22"/>
        </w:rPr>
        <w:lastRenderedPageBreak/>
        <w:t>Water (</w:t>
      </w:r>
      <w:bookmarkStart w:id="307" w:name="_Hlk21452342"/>
      <w:r w:rsidRPr="003B4362">
        <w:rPr>
          <w:szCs w:val="22"/>
        </w:rPr>
        <w:t>methods cited as available are directly available through a link in the indicated list on</w:t>
      </w:r>
      <w:bookmarkEnd w:id="307"/>
      <w:r w:rsidRPr="003B4362">
        <w:rPr>
          <w:szCs w:val="22"/>
        </w:rPr>
        <w:t xml:space="preserve"> www.epa.gov/dwanalyticalmethods/approved-drinking-water-analytical-methods</w:t>
      </w:r>
      <w:r w:rsidRPr="003B4362">
        <w:rPr>
          <w:iCs/>
          <w:szCs w:val="22"/>
        </w:rPr>
        <w:t>).</w:t>
      </w:r>
    </w:p>
    <w:p w14:paraId="6EC299ED" w14:textId="77777777" w:rsidR="00AD24B5" w:rsidRPr="003B4362" w:rsidRDefault="00AD24B5" w:rsidP="00AD24B5">
      <w:pPr>
        <w:ind w:left="2160"/>
        <w:rPr>
          <w:szCs w:val="22"/>
        </w:rPr>
      </w:pPr>
      <w:bookmarkStart w:id="308" w:name="_Hlk25167787"/>
    </w:p>
    <w:p w14:paraId="3A980CCA" w14:textId="77777777" w:rsidR="00AD24B5" w:rsidRPr="003B4362" w:rsidRDefault="00AD24B5" w:rsidP="00AD24B5">
      <w:pPr>
        <w:ind w:left="2160"/>
        <w:rPr>
          <w:szCs w:val="22"/>
        </w:rPr>
      </w:pPr>
      <w:r w:rsidRPr="003B4362">
        <w:rPr>
          <w:szCs w:val="22"/>
        </w:rPr>
        <w:t>USGS Methods.  All documents available from United States Geological Survey, Federal Center, Box 25286, Denver, CO 80225-0425.</w:t>
      </w:r>
    </w:p>
    <w:p w14:paraId="762F663D" w14:textId="77777777" w:rsidR="00AD24B5" w:rsidRPr="003B4362" w:rsidRDefault="00AD24B5" w:rsidP="00AD24B5">
      <w:pPr>
        <w:ind w:left="2880"/>
      </w:pPr>
    </w:p>
    <w:p w14:paraId="13722F98" w14:textId="77777777" w:rsidR="00AD24B5" w:rsidRPr="003B4362" w:rsidRDefault="00AD24B5" w:rsidP="00AD24B5">
      <w:pPr>
        <w:ind w:left="2880"/>
      </w:pPr>
      <w:r w:rsidRPr="003B4362">
        <w:t>“USGS I-1030-85” means “Alkalinity, electrometric titration, I-1030-85”, in “Techniques of Water-Resource Investigation of the United States Geological Survey”</w:t>
      </w:r>
      <w:r w:rsidRPr="003B4362">
        <w:rPr>
          <w:szCs w:val="16"/>
        </w:rPr>
        <w:t>,</w:t>
      </w:r>
      <w:r w:rsidRPr="003B4362">
        <w:t xml:space="preserve"> 3rd ed. (1989), Book 5, Chapter A1, “Methods for Determination of Inorganic Substances in Water and Fluvial Sediments</w:t>
      </w:r>
      <w:r w:rsidRPr="003B4362">
        <w:rPr>
          <w:szCs w:val="16"/>
        </w:rPr>
        <w:t>”</w:t>
      </w:r>
      <w:r w:rsidRPr="003B4362">
        <w:t>.  Available at pubs.usgs.gov/twri/twri5-a1/pdf/TWRI_5-A1.pdf.  Referenced in Section 611.611.</w:t>
      </w:r>
    </w:p>
    <w:p w14:paraId="1E989065" w14:textId="77777777" w:rsidR="00AD24B5" w:rsidRPr="003B4362" w:rsidRDefault="00AD24B5" w:rsidP="00AD24B5">
      <w:pPr>
        <w:ind w:left="2880"/>
      </w:pPr>
    </w:p>
    <w:p w14:paraId="5DE832AE" w14:textId="77777777" w:rsidR="00AD24B5" w:rsidRPr="003B4362" w:rsidRDefault="00AD24B5" w:rsidP="00AD24B5">
      <w:pPr>
        <w:ind w:left="2880"/>
      </w:pPr>
      <w:r w:rsidRPr="003B4362">
        <w:t>“USGS I-1601-85” means “Phosphorus, orthophosphate, colorimetric, phosphomolybdate, I-1601-85”, in “Techniques of Water-Resource Investigation of the United States Geological Survey”</w:t>
      </w:r>
      <w:r w:rsidRPr="003B4362">
        <w:rPr>
          <w:szCs w:val="16"/>
        </w:rPr>
        <w:t>,</w:t>
      </w:r>
      <w:r w:rsidRPr="003B4362">
        <w:t xml:space="preserve"> 3rd ed. (1989), Book 5, Chapter A1, “Methods for Determination of Inorganic Substances in Water and Fluvial Sediments</w:t>
      </w:r>
      <w:r w:rsidRPr="003B4362">
        <w:rPr>
          <w:szCs w:val="16"/>
        </w:rPr>
        <w:t>”</w:t>
      </w:r>
      <w:r w:rsidRPr="003B4362">
        <w:t>.  Available at pubs.usgs.gov/twri/twri5-a1/pdf/TWRI_5-A1.pdf.  Referenced in Section 611.611.</w:t>
      </w:r>
    </w:p>
    <w:p w14:paraId="2FED1BB2" w14:textId="77777777" w:rsidR="00AD24B5" w:rsidRPr="003B4362" w:rsidRDefault="00AD24B5" w:rsidP="00AD24B5">
      <w:pPr>
        <w:ind w:left="2880"/>
      </w:pPr>
    </w:p>
    <w:p w14:paraId="364C5761" w14:textId="77777777" w:rsidR="00AD24B5" w:rsidRPr="003B4362" w:rsidRDefault="00AD24B5" w:rsidP="00AD24B5">
      <w:pPr>
        <w:ind w:left="2880"/>
      </w:pPr>
      <w:r w:rsidRPr="003B4362">
        <w:t>“USGS I-1700-85” means “Silica, colorimetric, molybdate blue, I-1700-85”, in “Techniques of Water-Resource Investigation of the United States Geological Survey”</w:t>
      </w:r>
      <w:r w:rsidRPr="003B4362">
        <w:rPr>
          <w:szCs w:val="16"/>
        </w:rPr>
        <w:t>,</w:t>
      </w:r>
      <w:r w:rsidRPr="003B4362">
        <w:t xml:space="preserve"> 3rd ed. (1989), Book 5, Chapter A1, “Methods for Determination of Inorganic Substances in Water and Fluvial Sediments</w:t>
      </w:r>
      <w:r w:rsidRPr="003B4362">
        <w:rPr>
          <w:szCs w:val="16"/>
        </w:rPr>
        <w:t>”</w:t>
      </w:r>
      <w:r w:rsidRPr="003B4362">
        <w:t>.  Available at pubs.usgs.gov/twri/twri5-a1/pdf/TWRI_5-A1.pdf.  Referenced in Section 611.611.</w:t>
      </w:r>
    </w:p>
    <w:p w14:paraId="29C0E44E" w14:textId="77777777" w:rsidR="00AD24B5" w:rsidRPr="003B4362" w:rsidRDefault="00AD24B5" w:rsidP="00AD24B5">
      <w:pPr>
        <w:ind w:left="2880"/>
      </w:pPr>
    </w:p>
    <w:p w14:paraId="6803436C" w14:textId="77777777" w:rsidR="00AD24B5" w:rsidRPr="003B4362" w:rsidRDefault="00AD24B5" w:rsidP="00AD24B5">
      <w:pPr>
        <w:ind w:left="2880"/>
      </w:pPr>
      <w:bookmarkStart w:id="309" w:name="_Hlk148954720"/>
      <w:r w:rsidRPr="003B4362">
        <w:t>“USGS I-2598-85” means “Phosphorus, orthophosphate, colorimetric, phosphomolybdate, automated-discrete, I-2598-85”, in “Techniques of Water-Resource Investigation of the United States Geological Survey”</w:t>
      </w:r>
      <w:r w:rsidRPr="003B4362">
        <w:rPr>
          <w:szCs w:val="16"/>
        </w:rPr>
        <w:t>,</w:t>
      </w:r>
      <w:r w:rsidRPr="003B4362">
        <w:t xml:space="preserve"> 3rd ed. (1989), Book 5, Chapter A1, “Methods for Determination of Inorganic Substances in Water and Fluvial Sediments</w:t>
      </w:r>
      <w:r w:rsidRPr="003B4362">
        <w:rPr>
          <w:szCs w:val="16"/>
        </w:rPr>
        <w:t>”</w:t>
      </w:r>
      <w:r w:rsidRPr="003B4362">
        <w:t>.  Available at pubs.usgs.gov/twri/twri5-a1/pdf/TWRI_5-A1.pdf.  Referenced in Section 611.611.</w:t>
      </w:r>
    </w:p>
    <w:p w14:paraId="603E8430" w14:textId="77777777" w:rsidR="00AD24B5" w:rsidRPr="003B4362" w:rsidRDefault="00AD24B5" w:rsidP="00AD24B5">
      <w:pPr>
        <w:widowControl w:val="0"/>
        <w:suppressAutoHyphens/>
        <w:ind w:left="2880"/>
        <w:rPr>
          <w:szCs w:val="22"/>
        </w:rPr>
      </w:pPr>
    </w:p>
    <w:p w14:paraId="59620C3D" w14:textId="77777777" w:rsidR="00AD24B5" w:rsidRPr="003B4362" w:rsidRDefault="00AD24B5" w:rsidP="00AD24B5">
      <w:pPr>
        <w:widowControl w:val="0"/>
        <w:suppressAutoHyphens/>
        <w:ind w:left="2880"/>
        <w:rPr>
          <w:szCs w:val="22"/>
        </w:rPr>
      </w:pPr>
      <w:r w:rsidRPr="003B4362">
        <w:rPr>
          <w:szCs w:val="22"/>
        </w:rPr>
        <w:t>“USGS I-2601-90” means “Phosphorus, orthophosphate, colorimetry, phosphomolybdate, automated segment-flow, I-2601-90”, in “Methods for Analysis by the U.S. Geological Survey National Water Quality Laboratory—Determination of Inorganic and Organic Constituents in Water and Fluvial Sediments</w:t>
      </w:r>
      <w:r w:rsidRPr="003B4362">
        <w:rPr>
          <w:szCs w:val="16"/>
        </w:rPr>
        <w:t>”</w:t>
      </w:r>
      <w:r w:rsidRPr="003B4362">
        <w:rPr>
          <w:szCs w:val="22"/>
        </w:rPr>
        <w:t xml:space="preserve">, U.S. Geological Survey, Open File Report 93-125 (1993).  Available at pubs.usgs.gov/publication/ofr93125 and </w:t>
      </w:r>
      <w:hyperlink r:id="rId19" w:history="1">
        <w:r w:rsidRPr="00CC08D6">
          <w:rPr>
            <w:rStyle w:val="Hyperlink"/>
            <w:szCs w:val="22"/>
          </w:rPr>
          <w:t>https://www.nemi.gov/methods/method_summary/8907/</w:t>
        </w:r>
      </w:hyperlink>
      <w:r w:rsidRPr="003B4362">
        <w:rPr>
          <w:szCs w:val="22"/>
        </w:rPr>
        <w:t>.  Referenced in Section 611.611.</w:t>
      </w:r>
    </w:p>
    <w:p w14:paraId="217C6218" w14:textId="77777777" w:rsidR="00AD24B5" w:rsidRPr="003B4362" w:rsidRDefault="00AD24B5" w:rsidP="00AD24B5">
      <w:pPr>
        <w:widowControl w:val="0"/>
        <w:suppressAutoHyphens/>
        <w:ind w:left="2880"/>
        <w:rPr>
          <w:szCs w:val="22"/>
        </w:rPr>
      </w:pPr>
    </w:p>
    <w:bookmarkEnd w:id="309"/>
    <w:p w14:paraId="3BCBF5B5" w14:textId="77777777" w:rsidR="00AD24B5" w:rsidRPr="003B4362" w:rsidRDefault="00AD24B5" w:rsidP="00AD24B5">
      <w:pPr>
        <w:ind w:left="2880"/>
      </w:pPr>
      <w:r w:rsidRPr="003B4362">
        <w:t>“USGS I-2700-85” means “Silica, colorimetric, molybdate blue, automated-segmented flow, I-2700-85”, in “Techniques of Water-Resource Investigation of the United States Geological Survey”</w:t>
      </w:r>
      <w:r w:rsidRPr="003B4362">
        <w:rPr>
          <w:szCs w:val="16"/>
        </w:rPr>
        <w:t>,</w:t>
      </w:r>
      <w:r w:rsidRPr="003B4362">
        <w:t xml:space="preserve"> 3rd ed. (1989), Book 5, Chapter A1, “Methods for Determination of Inorganic Substances in Water and Fluvial Sediments</w:t>
      </w:r>
      <w:r w:rsidRPr="003B4362">
        <w:rPr>
          <w:szCs w:val="16"/>
        </w:rPr>
        <w:t>”</w:t>
      </w:r>
      <w:r w:rsidRPr="003B4362">
        <w:t>.  Available at pubs.usgs.gov/twri/twri5-a1/pdf/TWRI_5-A1.pdf.  Referenced in Section 611.611.</w:t>
      </w:r>
    </w:p>
    <w:p w14:paraId="1A9DE311" w14:textId="77777777" w:rsidR="00AD24B5" w:rsidRPr="003B4362" w:rsidRDefault="00AD24B5" w:rsidP="00AD24B5">
      <w:pPr>
        <w:ind w:left="2880"/>
      </w:pPr>
    </w:p>
    <w:p w14:paraId="361CD380" w14:textId="77777777" w:rsidR="00AD24B5" w:rsidRPr="003B4362" w:rsidRDefault="00AD24B5" w:rsidP="00AD24B5">
      <w:pPr>
        <w:ind w:left="2880"/>
      </w:pPr>
      <w:r w:rsidRPr="003B4362">
        <w:t>“USGS I-3300-85” means “Cyanide, colorimetric, pyridine-pyrazolone, I-3300-85”, in “Techniques of Water-Resource Investigation of the United States Geological Survey”</w:t>
      </w:r>
      <w:r w:rsidRPr="003B4362">
        <w:rPr>
          <w:szCs w:val="16"/>
        </w:rPr>
        <w:t>,</w:t>
      </w:r>
      <w:r w:rsidRPr="003B4362">
        <w:t xml:space="preserve"> 3rd ed. (1989), Book 5, Chapter A1, “Methods for Determination of Inorganic Substances in Water and Fluvial Sediments</w:t>
      </w:r>
      <w:r w:rsidRPr="003B4362">
        <w:rPr>
          <w:szCs w:val="16"/>
        </w:rPr>
        <w:t>”</w:t>
      </w:r>
      <w:r w:rsidRPr="003B4362">
        <w:t>.  Available at pubs.usgs.gov/twri/twri5-a1/pdf/TWRI_5-A1.pdf.  Referenced in Section 611.611.</w:t>
      </w:r>
    </w:p>
    <w:p w14:paraId="0AEAA48E" w14:textId="77777777" w:rsidR="00AD24B5" w:rsidRPr="003B4362" w:rsidRDefault="00AD24B5" w:rsidP="00AD24B5">
      <w:pPr>
        <w:ind w:left="2880"/>
      </w:pPr>
    </w:p>
    <w:p w14:paraId="66B780E6" w14:textId="77777777" w:rsidR="00AD24B5" w:rsidRPr="003B4362" w:rsidRDefault="00AD24B5" w:rsidP="00AD24B5">
      <w:pPr>
        <w:ind w:left="2880"/>
      </w:pPr>
      <w:r w:rsidRPr="003B4362">
        <w:t>“USGS R-1110-76” means “Cesium-137 and cesium-134, dissolved.  Inorganic ion-exchange method—gamma counting, R-1110-76”,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pubs.usgs.gov/twri/twri5a5/pdf/TWRI_5-A5.pdf.  Referenced in Section 611.720.</w:t>
      </w:r>
    </w:p>
    <w:p w14:paraId="28D8E2EE" w14:textId="77777777" w:rsidR="00AD24B5" w:rsidRPr="003B4362" w:rsidRDefault="00AD24B5" w:rsidP="00AD24B5">
      <w:pPr>
        <w:ind w:left="2880"/>
      </w:pPr>
    </w:p>
    <w:p w14:paraId="2386831A" w14:textId="77777777" w:rsidR="00AD24B5" w:rsidRPr="003B4362" w:rsidRDefault="00AD24B5" w:rsidP="00AD24B5">
      <w:pPr>
        <w:ind w:left="2880"/>
      </w:pPr>
      <w:r w:rsidRPr="003B4362">
        <w:t>“USGS R-1111-76” means “</w:t>
      </w:r>
      <w:bookmarkStart w:id="310" w:name="_Hlk36815564"/>
      <w:r w:rsidRPr="003B4362">
        <w:t>Radiocesium, dissolved, as cesium-137.  Inorganic ion-exchange method—beta counting, R-1111-76</w:t>
      </w:r>
      <w:bookmarkEnd w:id="310"/>
      <w:r w:rsidRPr="003B4362">
        <w:t>”,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pubs.usgs.gov/twri/twri5a5/pdf/TWRI_5-A5.pdf.  Referenced in Section 611.720.</w:t>
      </w:r>
    </w:p>
    <w:p w14:paraId="7A605096" w14:textId="77777777" w:rsidR="00AD24B5" w:rsidRPr="003B4362" w:rsidRDefault="00AD24B5" w:rsidP="00AD24B5">
      <w:pPr>
        <w:ind w:left="2880"/>
      </w:pPr>
    </w:p>
    <w:p w14:paraId="5C008A05" w14:textId="77777777" w:rsidR="00AD24B5" w:rsidRPr="003B4362" w:rsidRDefault="00AD24B5" w:rsidP="00AD24B5">
      <w:pPr>
        <w:ind w:left="2880"/>
      </w:pPr>
      <w:r w:rsidRPr="003B4362">
        <w:t>“USGS R-1120-76” means “Gross alpha and beta radioactivity, dissolved and suspended, R-1120-76”,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pubs.usgs.gov/twri/twri5a5/pdf/TWRI_5-A5.pdf.  Referenced in Section 611.720.</w:t>
      </w:r>
    </w:p>
    <w:p w14:paraId="1BBBC1A7" w14:textId="77777777" w:rsidR="00AD24B5" w:rsidRPr="003B4362" w:rsidRDefault="00AD24B5" w:rsidP="00AD24B5">
      <w:pPr>
        <w:ind w:left="2880"/>
      </w:pPr>
    </w:p>
    <w:p w14:paraId="0D00E35C" w14:textId="77777777" w:rsidR="00AD24B5" w:rsidRPr="003B4362" w:rsidRDefault="00AD24B5" w:rsidP="00AD24B5">
      <w:pPr>
        <w:ind w:left="2880"/>
      </w:pPr>
      <w:r w:rsidRPr="003B4362">
        <w:t>“USGS R-1140-76” means “Radium, dissolved, as radium-226.  Precipitation method, R-1140-76”,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pubs.usgs.gov/twri/twri5a5/pdf/TWRI_5-A5.pdf.  Referenced in Section 611.720.</w:t>
      </w:r>
    </w:p>
    <w:p w14:paraId="761F0308" w14:textId="77777777" w:rsidR="00AD24B5" w:rsidRPr="003B4362" w:rsidRDefault="00AD24B5" w:rsidP="00AD24B5">
      <w:pPr>
        <w:ind w:left="2880"/>
      </w:pPr>
    </w:p>
    <w:p w14:paraId="1EC4361B" w14:textId="77777777" w:rsidR="00AD24B5" w:rsidRPr="003B4362" w:rsidRDefault="00AD24B5" w:rsidP="00AD24B5">
      <w:pPr>
        <w:ind w:left="2880"/>
      </w:pPr>
      <w:r w:rsidRPr="003B4362">
        <w:t>“USGS R-1141-76” means “Radium-226, dissolved.  Radon emanation method, R-1141-76”,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pubs.usgs.gov/twri/twri5a5/pdf/TWRI_5-A5.pdf.  Referenced in Section 611.720.</w:t>
      </w:r>
    </w:p>
    <w:p w14:paraId="685C685F" w14:textId="77777777" w:rsidR="00AD24B5" w:rsidRPr="003B4362" w:rsidRDefault="00AD24B5" w:rsidP="00AD24B5">
      <w:pPr>
        <w:ind w:left="2880"/>
      </w:pPr>
    </w:p>
    <w:p w14:paraId="3C1CF80D" w14:textId="77777777" w:rsidR="00AD24B5" w:rsidRPr="003B4362" w:rsidRDefault="00AD24B5" w:rsidP="00AD24B5">
      <w:pPr>
        <w:ind w:left="2880"/>
      </w:pPr>
      <w:r w:rsidRPr="003B4362">
        <w:t>“USGS R-1142-76” means “Radium-228, dissolved.  Determination by separation and counting of actinium-228, R-1142-76”,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pubs.usgs.gov/twri/twri5a5/pdf/TWRI_5-A5.pdf.  Referenced in Section 611.720.</w:t>
      </w:r>
    </w:p>
    <w:p w14:paraId="3E64E802" w14:textId="77777777" w:rsidR="00AD24B5" w:rsidRPr="003B4362" w:rsidRDefault="00AD24B5" w:rsidP="00AD24B5">
      <w:pPr>
        <w:ind w:left="2880"/>
      </w:pPr>
    </w:p>
    <w:p w14:paraId="40257409" w14:textId="77777777" w:rsidR="00AD24B5" w:rsidRPr="003B4362" w:rsidRDefault="00AD24B5" w:rsidP="00AD24B5">
      <w:pPr>
        <w:ind w:left="2880"/>
      </w:pPr>
      <w:r w:rsidRPr="003B4362">
        <w:t>“USGS R-1160-76” means “Strontium-90, dissolved.  Chemical separation and precipitation method, R-1160-76”,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pubs.usgs.gov/twri/twri5a5/pdf/TWRI_5-A5.pdf.  Referenced in Section 611.720.</w:t>
      </w:r>
    </w:p>
    <w:p w14:paraId="77E158E7" w14:textId="77777777" w:rsidR="00AD24B5" w:rsidRPr="003B4362" w:rsidRDefault="00AD24B5" w:rsidP="00AD24B5">
      <w:pPr>
        <w:ind w:left="2880"/>
      </w:pPr>
    </w:p>
    <w:p w14:paraId="1B1C9BBE" w14:textId="77777777" w:rsidR="00AD24B5" w:rsidRPr="003B4362" w:rsidRDefault="00AD24B5" w:rsidP="00AD24B5">
      <w:pPr>
        <w:ind w:left="2880"/>
      </w:pPr>
      <w:r w:rsidRPr="003B4362">
        <w:t>“</w:t>
      </w:r>
      <w:bookmarkStart w:id="311" w:name="_Hlk36815747"/>
      <w:r w:rsidRPr="003B4362">
        <w:t>USGS R-1171-76</w:t>
      </w:r>
      <w:bookmarkEnd w:id="311"/>
      <w:r w:rsidRPr="003B4362">
        <w:t>” means “</w:t>
      </w:r>
      <w:bookmarkStart w:id="312" w:name="_Hlk36815761"/>
      <w:r w:rsidRPr="003B4362">
        <w:t>Tritium.  Liquid scintillation, Denver lab method—gamma counting, R-1171-76</w:t>
      </w:r>
      <w:bookmarkEnd w:id="312"/>
      <w:r w:rsidRPr="003B4362">
        <w:t>”,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pubs.usgs.gov/twri/twri5a5/pdf/TWRI_5-A5.pdf.  Referenced in Section 611.720.</w:t>
      </w:r>
    </w:p>
    <w:p w14:paraId="338F8B63" w14:textId="77777777" w:rsidR="00AD24B5" w:rsidRPr="003B4362" w:rsidRDefault="00AD24B5" w:rsidP="00AD24B5">
      <w:pPr>
        <w:ind w:left="2880"/>
      </w:pPr>
    </w:p>
    <w:p w14:paraId="24E313C2" w14:textId="77777777" w:rsidR="00AD24B5" w:rsidRPr="003B4362" w:rsidRDefault="00AD24B5" w:rsidP="00AD24B5">
      <w:pPr>
        <w:ind w:left="2880"/>
      </w:pPr>
      <w:r w:rsidRPr="003B4362">
        <w:t>“</w:t>
      </w:r>
      <w:bookmarkStart w:id="313" w:name="_Hlk36815784"/>
      <w:r w:rsidRPr="003B4362">
        <w:t>USGS R-1180-76</w:t>
      </w:r>
      <w:bookmarkEnd w:id="313"/>
      <w:r w:rsidRPr="003B4362">
        <w:t>” means “</w:t>
      </w:r>
      <w:bookmarkStart w:id="314" w:name="_Hlk36815796"/>
      <w:r w:rsidRPr="003B4362">
        <w:t>Uranium, dissolved.  Fluorometric method—direct, R-1180-76</w:t>
      </w:r>
      <w:bookmarkEnd w:id="314"/>
      <w:r w:rsidRPr="003B4362">
        <w:t>”,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pubs.usgs.gov/twri/twri5a5/pdf/TWRI_5-A5.pdf.  Referenced in Section 611.720.</w:t>
      </w:r>
    </w:p>
    <w:p w14:paraId="3679B532" w14:textId="77777777" w:rsidR="00AD24B5" w:rsidRPr="003B4362" w:rsidRDefault="00AD24B5" w:rsidP="00AD24B5">
      <w:pPr>
        <w:ind w:left="2880"/>
      </w:pPr>
    </w:p>
    <w:p w14:paraId="76291015" w14:textId="77777777" w:rsidR="00AD24B5" w:rsidRPr="003B4362" w:rsidRDefault="00AD24B5" w:rsidP="00AD24B5">
      <w:pPr>
        <w:ind w:left="2880"/>
      </w:pPr>
      <w:r w:rsidRPr="003B4362">
        <w:t>“</w:t>
      </w:r>
      <w:bookmarkStart w:id="315" w:name="_Hlk36815814"/>
      <w:r w:rsidRPr="003B4362">
        <w:t>USGS R-1181-76</w:t>
      </w:r>
      <w:bookmarkEnd w:id="315"/>
      <w:r w:rsidRPr="003B4362">
        <w:t>” means “</w:t>
      </w:r>
      <w:bookmarkStart w:id="316" w:name="_Hlk36815828"/>
      <w:r w:rsidRPr="003B4362">
        <w:t>Uranium, dissolved.  Fluorometric method—extraction procedure, R-1181-76</w:t>
      </w:r>
      <w:bookmarkEnd w:id="316"/>
      <w:r w:rsidRPr="003B4362">
        <w:t>”,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pubs.usgs.gov/twri/twri5a5/pdf/TWRI_5-A5.pdf.  Referenced in Section 611.720.</w:t>
      </w:r>
    </w:p>
    <w:p w14:paraId="205AFC6D" w14:textId="77777777" w:rsidR="00AD24B5" w:rsidRPr="003B4362" w:rsidRDefault="00AD24B5" w:rsidP="00AD24B5">
      <w:pPr>
        <w:ind w:left="2880"/>
      </w:pPr>
    </w:p>
    <w:p w14:paraId="5D92B2BE" w14:textId="77777777" w:rsidR="00AD24B5" w:rsidRPr="003B4362" w:rsidRDefault="00AD24B5" w:rsidP="00AD24B5">
      <w:pPr>
        <w:ind w:left="2880"/>
      </w:pPr>
      <w:r w:rsidRPr="003B4362">
        <w:t>“</w:t>
      </w:r>
      <w:bookmarkStart w:id="317" w:name="_Hlk36815857"/>
      <w:r w:rsidRPr="003B4362">
        <w:t>USGS R-1182-76</w:t>
      </w:r>
      <w:bookmarkEnd w:id="317"/>
      <w:r w:rsidRPr="003B4362">
        <w:t>” means “</w:t>
      </w:r>
      <w:bookmarkStart w:id="318" w:name="_Hlk36815873"/>
      <w:r w:rsidRPr="003B4362">
        <w:t>Uranium, dissolved, isotopic ratios.  Alpha spectrometry—chemical separation, R-1182-76</w:t>
      </w:r>
      <w:bookmarkEnd w:id="318"/>
      <w:r w:rsidRPr="003B4362">
        <w:t>”,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pubs.usgs.gov/twri/twri5a5/pdf/TWRI_5-A5.pdf.  Referenced in Section 611.720.</w:t>
      </w:r>
    </w:p>
    <w:bookmarkEnd w:id="308"/>
    <w:p w14:paraId="5FE0185C" w14:textId="77777777" w:rsidR="00AD24B5" w:rsidRPr="003B4362" w:rsidRDefault="00AD24B5" w:rsidP="00AD24B5">
      <w:pPr>
        <w:widowControl w:val="0"/>
        <w:suppressAutoHyphens/>
        <w:ind w:left="2160"/>
        <w:rPr>
          <w:szCs w:val="22"/>
        </w:rPr>
      </w:pPr>
    </w:p>
    <w:p w14:paraId="33136C7F" w14:textId="77777777" w:rsidR="00AD24B5" w:rsidRPr="003B4362" w:rsidRDefault="00AD24B5" w:rsidP="00AD24B5">
      <w:pPr>
        <w:widowControl w:val="0"/>
        <w:suppressAutoHyphens/>
        <w:ind w:left="2160"/>
        <w:rPr>
          <w:szCs w:val="22"/>
        </w:rPr>
      </w:pPr>
      <w:r w:rsidRPr="003B4362">
        <w:rPr>
          <w:szCs w:val="22"/>
        </w:rPr>
        <w:t>“Waters B-1011 (87)” means “Waters Test Method for Determination of Nitrite/Nitrate in Water Using Single Column Ion Chromatography</w:t>
      </w:r>
      <w:r w:rsidRPr="003B4362">
        <w:rPr>
          <w:szCs w:val="16"/>
        </w:rPr>
        <w:t>”,</w:t>
      </w:r>
      <w:r w:rsidRPr="003B4362">
        <w:rPr>
          <w:szCs w:val="22"/>
        </w:rPr>
        <w:t xml:space="preserve"> Method B-1011 (August 1987).  Available from Waters Corporation, Technical Services Division, 34 Maple St., Milford, MA  01757 (800-252-4752 or 508-478-2000, www.waters.com) and USEPA, OGWDW (under “Inorganic Contaminants and Other Inorganic Constituents (PDF)”).  Referenced in Section 611.611.</w:t>
      </w:r>
    </w:p>
    <w:p w14:paraId="0B360D45" w14:textId="77777777" w:rsidR="00AD24B5" w:rsidRPr="003B4362" w:rsidRDefault="00AD24B5" w:rsidP="00AD24B5">
      <w:pPr>
        <w:widowControl w:val="0"/>
        <w:suppressAutoHyphens/>
        <w:ind w:left="1440" w:hanging="720"/>
      </w:pPr>
    </w:p>
    <w:p w14:paraId="33A7CE55" w14:textId="77777777" w:rsidR="00AD24B5" w:rsidRPr="003B4362" w:rsidRDefault="00AD24B5" w:rsidP="00AD24B5">
      <w:pPr>
        <w:widowControl w:val="0"/>
        <w:suppressAutoHyphens/>
        <w:ind w:left="1440" w:hanging="720"/>
      </w:pPr>
      <w:r w:rsidRPr="003B4362">
        <w:t>b)</w:t>
      </w:r>
      <w:r w:rsidRPr="003B4362">
        <w:tab/>
        <w:t>The Board incorporates the following federal regulations by reference:</w:t>
      </w:r>
    </w:p>
    <w:p w14:paraId="47A36A8B" w14:textId="77777777" w:rsidR="00AD24B5" w:rsidRPr="003B4362" w:rsidRDefault="00AD24B5" w:rsidP="00AD24B5">
      <w:pPr>
        <w:widowControl w:val="0"/>
        <w:suppressAutoHyphens/>
        <w:ind w:left="2160"/>
      </w:pPr>
      <w:bookmarkStart w:id="319" w:name="_Hlk12383140"/>
    </w:p>
    <w:p w14:paraId="633B4444" w14:textId="77777777" w:rsidR="00AD24B5" w:rsidRPr="003B4362" w:rsidRDefault="00AD24B5" w:rsidP="00AD24B5">
      <w:pPr>
        <w:widowControl w:val="0"/>
        <w:suppressAutoHyphens/>
        <w:ind w:left="2160"/>
      </w:pPr>
      <w:r w:rsidRPr="003B4362">
        <w:t>19 CFR 101.1 (2022) (Definitions), referenced in Section 611.126.</w:t>
      </w:r>
    </w:p>
    <w:p w14:paraId="73B6C283" w14:textId="77777777" w:rsidR="00AD24B5" w:rsidRPr="003B4362" w:rsidRDefault="00AD24B5" w:rsidP="00AD24B5">
      <w:pPr>
        <w:widowControl w:val="0"/>
        <w:suppressAutoHyphens/>
        <w:ind w:left="2160"/>
      </w:pPr>
    </w:p>
    <w:p w14:paraId="45510550" w14:textId="77777777" w:rsidR="00AD24B5" w:rsidRPr="003B4362" w:rsidRDefault="00AD24B5" w:rsidP="00AD24B5">
      <w:pPr>
        <w:widowControl w:val="0"/>
        <w:suppressAutoHyphens/>
        <w:ind w:left="2160"/>
      </w:pPr>
      <w:r w:rsidRPr="003B4362">
        <w:t>40 CFR 3.3</w:t>
      </w:r>
      <w:bookmarkEnd w:id="319"/>
      <w:r w:rsidRPr="003B4362">
        <w:t xml:space="preserve"> (2021) (What Definitions Are Applicable to This Part?)</w:t>
      </w:r>
      <w:r w:rsidRPr="003B4362">
        <w:rPr>
          <w:szCs w:val="14"/>
        </w:rPr>
        <w:t>, referenced in Section 611.105.</w:t>
      </w:r>
    </w:p>
    <w:p w14:paraId="5045B34A" w14:textId="77777777" w:rsidR="00AD24B5" w:rsidRPr="003B4362" w:rsidRDefault="00AD24B5" w:rsidP="00AD24B5">
      <w:pPr>
        <w:widowControl w:val="0"/>
        <w:suppressAutoHyphens/>
        <w:ind w:left="2160"/>
      </w:pPr>
    </w:p>
    <w:p w14:paraId="1CFC06EF" w14:textId="77777777" w:rsidR="00AD24B5" w:rsidRPr="003B4362" w:rsidRDefault="00AD24B5" w:rsidP="00AD24B5">
      <w:pPr>
        <w:widowControl w:val="0"/>
        <w:suppressAutoHyphens/>
        <w:ind w:left="2160"/>
      </w:pPr>
      <w:r w:rsidRPr="003B4362">
        <w:t>40 CFR 3.10 (2021) (What Are the Requirements for Electronic Reporting to EPA?)</w:t>
      </w:r>
      <w:r w:rsidRPr="003B4362">
        <w:rPr>
          <w:szCs w:val="14"/>
        </w:rPr>
        <w:t>, referenced in Section 611.105.</w:t>
      </w:r>
    </w:p>
    <w:p w14:paraId="0BA2CBA1" w14:textId="77777777" w:rsidR="00AD24B5" w:rsidRPr="003B4362" w:rsidRDefault="00AD24B5" w:rsidP="00AD24B5">
      <w:pPr>
        <w:widowControl w:val="0"/>
        <w:suppressAutoHyphens/>
        <w:ind w:left="2160"/>
      </w:pPr>
    </w:p>
    <w:p w14:paraId="7F6A99EE" w14:textId="77777777" w:rsidR="00AD24B5" w:rsidRPr="003B4362" w:rsidRDefault="00AD24B5" w:rsidP="00AD24B5">
      <w:pPr>
        <w:widowControl w:val="0"/>
        <w:suppressAutoHyphens/>
        <w:ind w:left="2160"/>
      </w:pPr>
      <w:r w:rsidRPr="003B4362">
        <w:t>40 CFR 3.2000 (2021) (What Are the Requirements Authorized State, Tribe, and Local Programs’ Reporting Systems Must Meet?)</w:t>
      </w:r>
      <w:r w:rsidRPr="003B4362">
        <w:rPr>
          <w:szCs w:val="14"/>
        </w:rPr>
        <w:t>, referenced in Section 611.105.</w:t>
      </w:r>
    </w:p>
    <w:p w14:paraId="37A03360" w14:textId="77777777" w:rsidR="00AD24B5" w:rsidRPr="003B4362" w:rsidRDefault="00AD24B5" w:rsidP="00AD24B5">
      <w:pPr>
        <w:ind w:left="2160"/>
      </w:pPr>
    </w:p>
    <w:p w14:paraId="17DFC3B8" w14:textId="77777777" w:rsidR="00AD24B5" w:rsidRPr="003B4362" w:rsidRDefault="00AD24B5" w:rsidP="00AD24B5">
      <w:pPr>
        <w:ind w:left="2160"/>
      </w:pPr>
      <w:r w:rsidRPr="003B4362">
        <w:t xml:space="preserve">40 CFR </w:t>
      </w:r>
      <w:bookmarkStart w:id="320" w:name="_Hlk2188330"/>
      <w:r w:rsidRPr="003B4362">
        <w:t>136.3(a)</w:t>
      </w:r>
      <w:bookmarkEnd w:id="320"/>
      <w:r w:rsidRPr="003B4362">
        <w:t xml:space="preserve"> (2021), referenced in Section 611.1004.</w:t>
      </w:r>
    </w:p>
    <w:p w14:paraId="7E641526" w14:textId="77777777" w:rsidR="00AD24B5" w:rsidRPr="003B4362" w:rsidRDefault="00AD24B5" w:rsidP="00AD24B5">
      <w:pPr>
        <w:ind w:left="2160"/>
      </w:pPr>
    </w:p>
    <w:p w14:paraId="608C528E" w14:textId="77777777" w:rsidR="00AD24B5" w:rsidRPr="003B4362" w:rsidRDefault="00AD24B5" w:rsidP="00AD24B5">
      <w:pPr>
        <w:ind w:left="2160"/>
      </w:pPr>
      <w:r w:rsidRPr="003B4362">
        <w:t>Appendix B to 40 CFR 136 (2021), referenced in Sections 611.359, 611.609, and 611.646.</w:t>
      </w:r>
    </w:p>
    <w:p w14:paraId="02480641" w14:textId="77777777" w:rsidR="00AD24B5" w:rsidRPr="003B4362" w:rsidRDefault="00AD24B5" w:rsidP="00AD24B5">
      <w:pPr>
        <w:ind w:left="2160"/>
      </w:pPr>
    </w:p>
    <w:p w14:paraId="202497F9" w14:textId="77777777" w:rsidR="00AD24B5" w:rsidRPr="003B4362" w:rsidRDefault="00AD24B5" w:rsidP="00AD24B5">
      <w:pPr>
        <w:ind w:left="2160"/>
      </w:pPr>
      <w:r w:rsidRPr="003B4362">
        <w:t>40 CFR 141.21(f)(6)(i) and (f)(6)(ii) (2021), referenced in Section 611.802.</w:t>
      </w:r>
    </w:p>
    <w:p w14:paraId="36E6F351" w14:textId="77777777" w:rsidR="00AD24B5" w:rsidRPr="003B4362" w:rsidRDefault="00AD24B5" w:rsidP="00AD24B5">
      <w:pPr>
        <w:ind w:left="2160"/>
      </w:pPr>
    </w:p>
    <w:p w14:paraId="55113C52" w14:textId="77777777" w:rsidR="00AD24B5" w:rsidRPr="003B4362" w:rsidRDefault="00AD24B5" w:rsidP="00AD24B5">
      <w:pPr>
        <w:ind w:left="2160"/>
      </w:pPr>
      <w:r w:rsidRPr="003B4362">
        <w:t>40 CFR 142.20(b)(1) (2021), referenced in Section 611.112.</w:t>
      </w:r>
    </w:p>
    <w:p w14:paraId="11440416" w14:textId="77777777" w:rsidR="00AD24B5" w:rsidRPr="003B4362" w:rsidRDefault="00AD24B5" w:rsidP="00AD24B5">
      <w:pPr>
        <w:ind w:left="2160"/>
      </w:pPr>
    </w:p>
    <w:p w14:paraId="795D81DA" w14:textId="77777777" w:rsidR="00AD24B5" w:rsidRPr="003B4362" w:rsidRDefault="00AD24B5" w:rsidP="00AD24B5">
      <w:pPr>
        <w:ind w:left="2160"/>
      </w:pPr>
      <w:r w:rsidRPr="003B4362">
        <w:t>Subpart G of 40 CFR 142 (2021), referenced in Section 611.113.</w:t>
      </w:r>
    </w:p>
    <w:p w14:paraId="134B7B70" w14:textId="77777777" w:rsidR="00AD24B5" w:rsidRPr="003B4362" w:rsidRDefault="00AD24B5" w:rsidP="00AD24B5">
      <w:pPr>
        <w:widowControl w:val="0"/>
        <w:suppressAutoHyphens/>
        <w:ind w:left="1440" w:hanging="720"/>
      </w:pPr>
    </w:p>
    <w:p w14:paraId="51CB3940" w14:textId="77777777" w:rsidR="00AD24B5" w:rsidRPr="003B4362" w:rsidRDefault="00AD24B5" w:rsidP="00AD24B5">
      <w:pPr>
        <w:widowControl w:val="0"/>
        <w:suppressAutoHyphens/>
        <w:ind w:left="1440" w:hanging="720"/>
      </w:pPr>
      <w:r w:rsidRPr="003B4362">
        <w:t>c)</w:t>
      </w:r>
      <w:r w:rsidRPr="003B4362">
        <w:tab/>
        <w:t>This Part incorporates no later amendments or editions.</w:t>
      </w:r>
    </w:p>
    <w:p w14:paraId="7C60239D" w14:textId="77777777" w:rsidR="00AD24B5" w:rsidRPr="003B4362" w:rsidRDefault="00AD24B5" w:rsidP="00AD24B5">
      <w:pPr>
        <w:suppressAutoHyphens/>
        <w:ind w:left="720"/>
      </w:pPr>
    </w:p>
    <w:p w14:paraId="0F43364C" w14:textId="77777777" w:rsidR="00AD24B5" w:rsidRPr="003B4362" w:rsidRDefault="00AD24B5" w:rsidP="00AD24B5">
      <w:pPr>
        <w:suppressAutoHyphens/>
        <w:ind w:left="720"/>
      </w:pPr>
      <w:r w:rsidRPr="003B4362">
        <w:t>(Source:  A</w:t>
      </w:r>
      <w:r w:rsidRPr="003B4362">
        <w:rPr>
          <w:szCs w:val="17"/>
        </w:rPr>
        <w:t xml:space="preserve">mended at </w:t>
      </w:r>
      <w:r>
        <w:t>47</w:t>
      </w:r>
      <w:r w:rsidRPr="003B4362">
        <w:t xml:space="preserve"> Ill. Reg</w:t>
      </w:r>
      <w:r>
        <w:t>. 18996</w:t>
      </w:r>
      <w:r w:rsidRPr="003B4362">
        <w:t xml:space="preserve">, effective </w:t>
      </w:r>
      <w:r>
        <w:t>December 26, 2023</w:t>
      </w:r>
      <w:r w:rsidRPr="003B4362">
        <w:t>)</w:t>
      </w:r>
    </w:p>
    <w:p w14:paraId="7DB868FC" w14:textId="77777777" w:rsidR="00757184" w:rsidRPr="003B4362" w:rsidRDefault="00757184" w:rsidP="003B4362">
      <w:pPr>
        <w:suppressAutoHyphens/>
        <w:ind w:left="720"/>
      </w:pPr>
    </w:p>
    <w:p w14:paraId="0B118A3B" w14:textId="43E6E372" w:rsidR="00D937D6" w:rsidRPr="003B4362" w:rsidRDefault="00D937D6" w:rsidP="00757184">
      <w:pPr>
        <w:rPr>
          <w:b/>
          <w:bCs/>
        </w:rPr>
      </w:pPr>
      <w:r w:rsidRPr="003B4362">
        <w:rPr>
          <w:b/>
          <w:bCs/>
        </w:rPr>
        <w:t>Section 611.103  Severability</w:t>
      </w:r>
    </w:p>
    <w:p w14:paraId="14952447" w14:textId="77777777" w:rsidR="00757184" w:rsidRDefault="00757184" w:rsidP="00757184">
      <w:pPr>
        <w:suppressAutoHyphens/>
      </w:pPr>
    </w:p>
    <w:p w14:paraId="3AF0B30E" w14:textId="3E711DE8" w:rsidR="00D937D6" w:rsidRPr="003B4362" w:rsidRDefault="00D937D6" w:rsidP="00757184">
      <w:pPr>
        <w:suppressAutoHyphens/>
      </w:pPr>
      <w:r w:rsidRPr="003B4362">
        <w:t>If</w:t>
      </w:r>
      <w:bookmarkStart w:id="321" w:name="_Hlk129690247"/>
      <w:r w:rsidRPr="003B4362">
        <w:t xml:space="preserve"> a court of competent jurisdiction adjudges any provision of this Part invalid or determines applying it to any person or in any circumstance invalid</w:t>
      </w:r>
      <w:bookmarkEnd w:id="321"/>
      <w:r w:rsidRPr="003B4362">
        <w:t xml:space="preserve">, </w:t>
      </w:r>
      <w:bookmarkStart w:id="322" w:name="_Hlk129690354"/>
      <w:r w:rsidR="00422FA1" w:rsidRPr="003B4362">
        <w:t xml:space="preserve">the </w:t>
      </w:r>
      <w:r w:rsidRPr="003B4362">
        <w:t xml:space="preserve">invalidity </w:t>
      </w:r>
      <w:r w:rsidR="00422FA1" w:rsidRPr="003B4362">
        <w:t>of the provision</w:t>
      </w:r>
      <w:bookmarkEnd w:id="322"/>
      <w:r w:rsidR="00422FA1" w:rsidRPr="003B4362">
        <w:t xml:space="preserve"> </w:t>
      </w:r>
      <w:r w:rsidRPr="003B4362">
        <w:t xml:space="preserve">does not affect the validity of this Part </w:t>
      </w:r>
      <w:bookmarkStart w:id="323" w:name="_Hlk129690481"/>
      <w:r w:rsidRPr="003B4362">
        <w:t xml:space="preserve">as a whole or any Subpart, Section, subsection, sentence, or clause </w:t>
      </w:r>
      <w:r w:rsidR="00422FA1" w:rsidRPr="003B4362">
        <w:t xml:space="preserve">the court’s order does </w:t>
      </w:r>
      <w:r w:rsidRPr="003B4362">
        <w:t xml:space="preserve">not </w:t>
      </w:r>
      <w:r w:rsidR="00422FA1" w:rsidRPr="003B4362">
        <w:t xml:space="preserve">adjudge </w:t>
      </w:r>
      <w:r w:rsidRPr="003B4362">
        <w:t>invalid</w:t>
      </w:r>
      <w:bookmarkEnd w:id="323"/>
      <w:r w:rsidRPr="003B4362">
        <w:t>.</w:t>
      </w:r>
    </w:p>
    <w:p w14:paraId="097F6F5F" w14:textId="77777777" w:rsidR="00757184" w:rsidRDefault="00757184" w:rsidP="00757184">
      <w:pPr>
        <w:suppressAutoHyphens/>
        <w:ind w:left="720"/>
      </w:pPr>
    </w:p>
    <w:p w14:paraId="3F11EDB6" w14:textId="389D66D9" w:rsidR="00D937D6" w:rsidRPr="003B4362" w:rsidRDefault="00D937D6" w:rsidP="00757184">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61889EC9" w14:textId="77777777" w:rsidR="009F47A4" w:rsidRPr="003B4362" w:rsidRDefault="009F47A4" w:rsidP="009F47A4">
      <w:pPr>
        <w:rPr>
          <w:b/>
          <w:bCs/>
        </w:rPr>
      </w:pPr>
    </w:p>
    <w:p w14:paraId="6E5BB754" w14:textId="77777777" w:rsidR="00631B8E" w:rsidRPr="003B4362" w:rsidRDefault="00631B8E" w:rsidP="00631B8E">
      <w:pPr>
        <w:rPr>
          <w:b/>
          <w:bCs/>
          <w:szCs w:val="24"/>
        </w:rPr>
      </w:pPr>
      <w:r w:rsidRPr="003B4362">
        <w:rPr>
          <w:b/>
          <w:bCs/>
          <w:szCs w:val="24"/>
        </w:rPr>
        <w:t>Section 611.105  Electronic Reporting</w:t>
      </w:r>
    </w:p>
    <w:p w14:paraId="4F94F4B8" w14:textId="77777777" w:rsidR="00631B8E" w:rsidRPr="003B4362" w:rsidRDefault="00631B8E" w:rsidP="00631B8E">
      <w:pPr>
        <w:rPr>
          <w:szCs w:val="24"/>
        </w:rPr>
      </w:pPr>
    </w:p>
    <w:p w14:paraId="207D2391" w14:textId="7F8E7F8B" w:rsidR="00631B8E" w:rsidRPr="003B4362" w:rsidRDefault="00631B8E" w:rsidP="00631B8E">
      <w:pPr>
        <w:rPr>
          <w:szCs w:val="24"/>
        </w:rPr>
      </w:pPr>
      <w:r w:rsidRPr="003B4362">
        <w:rPr>
          <w:szCs w:val="24"/>
        </w:rPr>
        <w:t>Submitting any document to comply with this Part as an electronic document in lieu of a paper document must comply with this Section.</w:t>
      </w:r>
    </w:p>
    <w:p w14:paraId="7BCA3AA7" w14:textId="77777777" w:rsidR="00631B8E" w:rsidRPr="003B4362" w:rsidRDefault="00631B8E" w:rsidP="00631B8E">
      <w:pPr>
        <w:suppressAutoHyphens/>
        <w:ind w:left="1440" w:hanging="720"/>
        <w:rPr>
          <w:szCs w:val="24"/>
        </w:rPr>
      </w:pPr>
    </w:p>
    <w:p w14:paraId="183915BA" w14:textId="77777777" w:rsidR="00631B8E" w:rsidRPr="003B4362" w:rsidRDefault="00631B8E" w:rsidP="00631B8E">
      <w:pPr>
        <w:suppressAutoHyphens/>
        <w:ind w:left="1440" w:hanging="720"/>
        <w:rPr>
          <w:szCs w:val="24"/>
        </w:rPr>
      </w:pPr>
      <w:r w:rsidRPr="003B4362">
        <w:rPr>
          <w:szCs w:val="24"/>
        </w:rPr>
        <w:t>a)</w:t>
      </w:r>
      <w:r w:rsidRPr="003B4362">
        <w:rPr>
          <w:szCs w:val="24"/>
        </w:rPr>
        <w:tab/>
        <w:t>Scope and Applicability</w:t>
      </w:r>
    </w:p>
    <w:p w14:paraId="61033A30" w14:textId="77777777" w:rsidR="00631B8E" w:rsidRPr="003B4362" w:rsidRDefault="00631B8E" w:rsidP="00631B8E">
      <w:pPr>
        <w:suppressAutoHyphens/>
        <w:ind w:left="2160" w:hanging="720"/>
        <w:rPr>
          <w:szCs w:val="24"/>
        </w:rPr>
      </w:pPr>
    </w:p>
    <w:p w14:paraId="53DC376D" w14:textId="21A24262" w:rsidR="00631B8E" w:rsidRPr="003B4362" w:rsidRDefault="00631B8E" w:rsidP="00631B8E">
      <w:pPr>
        <w:suppressAutoHyphens/>
        <w:ind w:left="2160" w:hanging="720"/>
        <w:rPr>
          <w:szCs w:val="24"/>
        </w:rPr>
      </w:pPr>
      <w:r w:rsidRPr="003B4362">
        <w:rPr>
          <w:szCs w:val="24"/>
        </w:rPr>
        <w:t>1)</w:t>
      </w:r>
      <w:r w:rsidRPr="003B4362">
        <w:rPr>
          <w:szCs w:val="24"/>
        </w:rPr>
        <w:tab/>
        <w:t>The USEPA, the Board, or the Agency may provide for submitting electronic documents in lieu of paper documents.  This Section does not require the submission of electronic documents in lieu of paper documents.  This Section provides for submitting an electronic version of any document the supplier must submit to USEPA or the Agency under certain rules:</w:t>
      </w:r>
    </w:p>
    <w:p w14:paraId="42473155" w14:textId="77777777" w:rsidR="00631B8E" w:rsidRPr="003B4362" w:rsidRDefault="00631B8E" w:rsidP="00631B8E">
      <w:pPr>
        <w:ind w:left="2880" w:hanging="720"/>
        <w:rPr>
          <w:szCs w:val="24"/>
        </w:rPr>
      </w:pPr>
    </w:p>
    <w:p w14:paraId="403C5076" w14:textId="77777777" w:rsidR="00631B8E" w:rsidRPr="003B4362" w:rsidRDefault="00631B8E" w:rsidP="00631B8E">
      <w:pPr>
        <w:ind w:left="2880" w:hanging="720"/>
        <w:rPr>
          <w:szCs w:val="24"/>
        </w:rPr>
      </w:pPr>
      <w:r w:rsidRPr="003B4362">
        <w:rPr>
          <w:szCs w:val="24"/>
        </w:rPr>
        <w:lastRenderedPageBreak/>
        <w:t>A)</w:t>
      </w:r>
      <w:r w:rsidRPr="003B4362">
        <w:rPr>
          <w:szCs w:val="24"/>
        </w:rPr>
        <w:tab/>
        <w:t>To USEPA directly under Title 40 of the Code of Federal Regulations; or</w:t>
      </w:r>
    </w:p>
    <w:p w14:paraId="64E79CC0" w14:textId="77777777" w:rsidR="00631B8E" w:rsidRPr="003B4362" w:rsidRDefault="00631B8E" w:rsidP="00631B8E">
      <w:pPr>
        <w:suppressAutoHyphens/>
        <w:ind w:left="2880" w:hanging="720"/>
        <w:rPr>
          <w:szCs w:val="24"/>
        </w:rPr>
      </w:pPr>
    </w:p>
    <w:p w14:paraId="24756272" w14:textId="32216027" w:rsidR="00631B8E" w:rsidRPr="003B4362" w:rsidRDefault="00631B8E" w:rsidP="00631B8E">
      <w:pPr>
        <w:suppressAutoHyphens/>
        <w:ind w:left="2880" w:hanging="720"/>
        <w:rPr>
          <w:szCs w:val="24"/>
        </w:rPr>
      </w:pPr>
      <w:r w:rsidRPr="003B4362">
        <w:rPr>
          <w:szCs w:val="24"/>
        </w:rPr>
        <w:t>B)</w:t>
      </w:r>
      <w:r w:rsidRPr="003B4362">
        <w:rPr>
          <w:szCs w:val="24"/>
        </w:rPr>
        <w:tab/>
        <w:t>To the Board or the Agency under any provision of 35 Ill. Adm. Code 611.</w:t>
      </w:r>
    </w:p>
    <w:p w14:paraId="464E6A15" w14:textId="77777777" w:rsidR="00631B8E" w:rsidRPr="003B4362" w:rsidRDefault="00631B8E" w:rsidP="00631B8E">
      <w:pPr>
        <w:suppressAutoHyphens/>
        <w:ind w:left="2160" w:hanging="720"/>
        <w:rPr>
          <w:szCs w:val="24"/>
        </w:rPr>
      </w:pPr>
    </w:p>
    <w:p w14:paraId="49488A16" w14:textId="55D9FF0A" w:rsidR="00631B8E" w:rsidRPr="003B4362" w:rsidRDefault="00631B8E" w:rsidP="00631B8E">
      <w:pPr>
        <w:suppressAutoHyphens/>
        <w:ind w:left="2160" w:hanging="720"/>
        <w:rPr>
          <w:szCs w:val="24"/>
        </w:rPr>
      </w:pPr>
      <w:r w:rsidRPr="003B4362">
        <w:rPr>
          <w:szCs w:val="24"/>
        </w:rPr>
        <w:t>2)</w:t>
      </w:r>
      <w:r w:rsidRPr="003B4362">
        <w:rPr>
          <w:szCs w:val="24"/>
        </w:rPr>
        <w:tab/>
        <w:t>A supplier may only submit an electronic document under specific circumstances:</w:t>
      </w:r>
    </w:p>
    <w:p w14:paraId="7EE63B64" w14:textId="77777777" w:rsidR="00631B8E" w:rsidRPr="003B4362" w:rsidRDefault="00631B8E" w:rsidP="00631B8E">
      <w:pPr>
        <w:suppressAutoHyphens/>
        <w:ind w:left="2880" w:hanging="720"/>
        <w:rPr>
          <w:szCs w:val="24"/>
        </w:rPr>
      </w:pPr>
    </w:p>
    <w:p w14:paraId="61815D84" w14:textId="1662F322" w:rsidR="00631B8E" w:rsidRPr="003B4362" w:rsidRDefault="00631B8E" w:rsidP="00631B8E">
      <w:pPr>
        <w:suppressAutoHyphens/>
        <w:ind w:left="2880" w:hanging="720"/>
        <w:rPr>
          <w:szCs w:val="24"/>
        </w:rPr>
      </w:pPr>
      <w:r w:rsidRPr="003B4362">
        <w:rPr>
          <w:szCs w:val="24"/>
        </w:rPr>
        <w:t>A)</w:t>
      </w:r>
      <w:r w:rsidRPr="003B4362">
        <w:rPr>
          <w:szCs w:val="24"/>
        </w:rPr>
        <w:tab/>
        <w:t>For submitting documents to USEPA, a supplier may submit an electronic document only after USEPA publishes a Federal Register notice that USEPA will receive the specific document or type of document in an electronic format; or</w:t>
      </w:r>
    </w:p>
    <w:p w14:paraId="3AED8A43" w14:textId="77777777" w:rsidR="00631B8E" w:rsidRPr="003B4362" w:rsidRDefault="00631B8E" w:rsidP="00631B8E">
      <w:pPr>
        <w:suppressAutoHyphens/>
        <w:ind w:left="2880" w:hanging="720"/>
        <w:rPr>
          <w:szCs w:val="24"/>
        </w:rPr>
      </w:pPr>
    </w:p>
    <w:p w14:paraId="45DE091A" w14:textId="3E85679B" w:rsidR="00631B8E" w:rsidRPr="003B4362" w:rsidRDefault="00631B8E" w:rsidP="00631B8E">
      <w:pPr>
        <w:suppressAutoHyphens/>
        <w:ind w:left="2880" w:hanging="720"/>
        <w:rPr>
          <w:szCs w:val="24"/>
        </w:rPr>
      </w:pPr>
      <w:r w:rsidRPr="003B4362">
        <w:rPr>
          <w:szCs w:val="24"/>
        </w:rPr>
        <w:t>B)</w:t>
      </w:r>
      <w:r w:rsidRPr="003B4362">
        <w:rPr>
          <w:szCs w:val="24"/>
        </w:rPr>
        <w:tab/>
        <w:t xml:space="preserve">For submitting documents to the State, a supplier may submit an electronic document only after  the Board or the Agency begins using an electronic document receiving system that USEPA approves under 40 CFR 3.1000, so long as the system complies with 40 CFR 3.2000, incorporated by reference in Section 611.102(c), and USEPA does </w:t>
      </w:r>
      <w:r w:rsidR="008F47E4" w:rsidRPr="003B4362">
        <w:rPr>
          <w:szCs w:val="24"/>
        </w:rPr>
        <w:t>n</w:t>
      </w:r>
      <w:r w:rsidRPr="003B4362">
        <w:rPr>
          <w:szCs w:val="24"/>
        </w:rPr>
        <w:t>ot withdraw its approval in writing.</w:t>
      </w:r>
    </w:p>
    <w:p w14:paraId="720FFF56" w14:textId="77777777" w:rsidR="00631B8E" w:rsidRPr="003B4362" w:rsidRDefault="00631B8E" w:rsidP="00631B8E">
      <w:pPr>
        <w:suppressAutoHyphens/>
        <w:ind w:left="2160" w:hanging="720"/>
        <w:rPr>
          <w:szCs w:val="24"/>
        </w:rPr>
      </w:pPr>
    </w:p>
    <w:p w14:paraId="6AC37EB9" w14:textId="40F40F33" w:rsidR="00631B8E" w:rsidRPr="003B4362" w:rsidRDefault="00631B8E" w:rsidP="00631B8E">
      <w:pPr>
        <w:suppressAutoHyphens/>
        <w:ind w:left="2160" w:hanging="720"/>
        <w:rPr>
          <w:szCs w:val="24"/>
        </w:rPr>
      </w:pPr>
      <w:r w:rsidRPr="003B4362">
        <w:rPr>
          <w:szCs w:val="24"/>
        </w:rPr>
        <w:t>3)</w:t>
      </w:r>
      <w:r w:rsidRPr="003B4362">
        <w:rPr>
          <w:szCs w:val="24"/>
        </w:rPr>
        <w:tab/>
        <w:t>This Section does not apply to specific documents, whether or not the supplier submits the document to satisfy the requirements cited in subsection (a)(1):</w:t>
      </w:r>
    </w:p>
    <w:p w14:paraId="68E18267" w14:textId="77777777" w:rsidR="00631B8E" w:rsidRPr="003B4362" w:rsidRDefault="00631B8E" w:rsidP="00631B8E">
      <w:pPr>
        <w:suppressAutoHyphens/>
        <w:ind w:left="2880" w:hanging="720"/>
        <w:rPr>
          <w:szCs w:val="24"/>
        </w:rPr>
      </w:pPr>
    </w:p>
    <w:p w14:paraId="2E54ABA5" w14:textId="6DF7E407" w:rsidR="00631B8E" w:rsidRPr="003B4362" w:rsidRDefault="00631B8E" w:rsidP="00631B8E">
      <w:pPr>
        <w:suppressAutoHyphens/>
        <w:ind w:left="2880" w:hanging="720"/>
        <w:rPr>
          <w:szCs w:val="24"/>
        </w:rPr>
      </w:pPr>
      <w:r w:rsidRPr="003B4362">
        <w:rPr>
          <w:szCs w:val="24"/>
        </w:rPr>
        <w:t>A)</w:t>
      </w:r>
      <w:r w:rsidRPr="003B4362">
        <w:rPr>
          <w:szCs w:val="24"/>
        </w:rPr>
        <w:tab/>
        <w:t>Any document the supplier submits via facsimile;</w:t>
      </w:r>
    </w:p>
    <w:p w14:paraId="0149A6F2" w14:textId="77777777" w:rsidR="00631B8E" w:rsidRPr="003B4362" w:rsidRDefault="00631B8E" w:rsidP="00631B8E">
      <w:pPr>
        <w:suppressAutoHyphens/>
        <w:ind w:left="2880" w:hanging="720"/>
        <w:rPr>
          <w:szCs w:val="24"/>
        </w:rPr>
      </w:pPr>
    </w:p>
    <w:p w14:paraId="019648C4" w14:textId="59F3CBD7" w:rsidR="00631B8E" w:rsidRPr="003B4362" w:rsidRDefault="00631B8E" w:rsidP="00631B8E">
      <w:pPr>
        <w:suppressAutoHyphens/>
        <w:ind w:left="2880" w:hanging="720"/>
        <w:rPr>
          <w:szCs w:val="24"/>
        </w:rPr>
      </w:pPr>
      <w:r w:rsidRPr="003B4362">
        <w:rPr>
          <w:szCs w:val="24"/>
        </w:rPr>
        <w:t>B)</w:t>
      </w:r>
      <w:r w:rsidRPr="003B4362">
        <w:rPr>
          <w:szCs w:val="24"/>
        </w:rPr>
        <w:tab/>
        <w:t>Any document the supplier submits via magnetic or optical media, such as a diskette, compact disc, digital video disc, or tape; or</w:t>
      </w:r>
    </w:p>
    <w:p w14:paraId="7D72392E" w14:textId="77777777" w:rsidR="00631B8E" w:rsidRPr="003B4362" w:rsidRDefault="00631B8E" w:rsidP="00631B8E">
      <w:pPr>
        <w:suppressAutoHyphens/>
        <w:ind w:left="2880" w:hanging="720"/>
        <w:rPr>
          <w:szCs w:val="24"/>
        </w:rPr>
      </w:pPr>
    </w:p>
    <w:p w14:paraId="220884F8" w14:textId="0D0158D8" w:rsidR="00631B8E" w:rsidRPr="003B4362" w:rsidRDefault="00631B8E" w:rsidP="00631B8E">
      <w:pPr>
        <w:suppressAutoHyphens/>
        <w:ind w:left="2880" w:hanging="720"/>
        <w:rPr>
          <w:szCs w:val="24"/>
        </w:rPr>
      </w:pPr>
      <w:r w:rsidRPr="003B4362">
        <w:rPr>
          <w:szCs w:val="24"/>
        </w:rPr>
        <w:t>C)</w:t>
      </w:r>
      <w:r w:rsidRPr="003B4362">
        <w:rPr>
          <w:szCs w:val="24"/>
        </w:rPr>
        <w:tab/>
        <w:t>Any data transfer between USEPA, any state, or any local government and the Board or the Agency as part of administrative arrangements to share data.</w:t>
      </w:r>
    </w:p>
    <w:p w14:paraId="3BE1F4F0" w14:textId="77777777" w:rsidR="00631B8E" w:rsidRPr="003B4362" w:rsidRDefault="00631B8E" w:rsidP="00631B8E">
      <w:pPr>
        <w:ind w:left="2160" w:hanging="720"/>
        <w:rPr>
          <w:szCs w:val="24"/>
        </w:rPr>
      </w:pPr>
    </w:p>
    <w:p w14:paraId="667E62AB" w14:textId="38B7483D" w:rsidR="00631B8E" w:rsidRPr="003B4362" w:rsidRDefault="00631B8E" w:rsidP="00631B8E">
      <w:pPr>
        <w:ind w:left="2160" w:hanging="720"/>
        <w:rPr>
          <w:szCs w:val="24"/>
        </w:rPr>
      </w:pPr>
      <w:r w:rsidRPr="003B4362">
        <w:rPr>
          <w:szCs w:val="24"/>
        </w:rPr>
        <w:t>4)</w:t>
      </w:r>
      <w:r w:rsidRPr="003B4362">
        <w:rPr>
          <w:szCs w:val="24"/>
        </w:rPr>
        <w:tab/>
        <w:t xml:space="preserve">Upon USEPA conferring written approval for submitting any types of documents as electronic documents in lieu of paper documents, as described in subsection (a)(2)(B), the Agency or the Board, as appropriate, must publish a Notice of Public Information in the Illinois Register that describes the documents approved for submission as electronic documents, the USEPA-approved electronic document receiving system for receiving them, the acceptable formats and procedures for their submission, and, as applicable, the date on which the Board or the Agency will begin to receive those submissions.  In the event of USEPA withdrawing approval for receiving any type of document as an electronic document in lieu of a paper document, the Board or the Agency must </w:t>
      </w:r>
      <w:r w:rsidRPr="003B4362">
        <w:rPr>
          <w:szCs w:val="24"/>
        </w:rPr>
        <w:lastRenderedPageBreak/>
        <w:t>similarly cause publication of a Notice of Public Information in the Illinois Register.</w:t>
      </w:r>
    </w:p>
    <w:p w14:paraId="199C1EE7" w14:textId="77777777" w:rsidR="00631B8E" w:rsidRPr="003B4362" w:rsidRDefault="00631B8E" w:rsidP="00631B8E">
      <w:pPr>
        <w:suppressAutoHyphens/>
        <w:ind w:left="1440"/>
        <w:rPr>
          <w:szCs w:val="24"/>
        </w:rPr>
      </w:pPr>
    </w:p>
    <w:p w14:paraId="155A4329" w14:textId="6A5B1669" w:rsidR="00631B8E" w:rsidRPr="003B4362" w:rsidRDefault="00631B8E" w:rsidP="00631B8E">
      <w:pPr>
        <w:suppressAutoHyphens/>
        <w:ind w:left="1440"/>
        <w:rPr>
          <w:szCs w:val="24"/>
        </w:rPr>
      </w:pPr>
      <w:r w:rsidRPr="003B4362">
        <w:rPr>
          <w:szCs w:val="24"/>
        </w:rPr>
        <w:t>BOARD NOTE:  Subsection (a) derives from 40 CFR 3.1, 3.2, 3.10, 3.20, and 3.1000.</w:t>
      </w:r>
    </w:p>
    <w:p w14:paraId="42CF3B0F" w14:textId="77777777" w:rsidR="00631B8E" w:rsidRPr="003B4362" w:rsidRDefault="00631B8E" w:rsidP="00631B8E">
      <w:pPr>
        <w:ind w:left="1440" w:hanging="720"/>
        <w:rPr>
          <w:szCs w:val="24"/>
        </w:rPr>
      </w:pPr>
    </w:p>
    <w:p w14:paraId="23198D03" w14:textId="4377BA92" w:rsidR="00631B8E" w:rsidRPr="003B4362" w:rsidRDefault="00631B8E" w:rsidP="00631B8E">
      <w:pPr>
        <w:ind w:left="1440" w:hanging="720"/>
        <w:rPr>
          <w:szCs w:val="24"/>
        </w:rPr>
      </w:pPr>
      <w:r w:rsidRPr="003B4362">
        <w:rPr>
          <w:szCs w:val="24"/>
        </w:rPr>
        <w:t>b)</w:t>
      </w:r>
      <w:r w:rsidRPr="003B4362">
        <w:rPr>
          <w:szCs w:val="24"/>
        </w:rPr>
        <w:tab/>
        <w:t>Definitions.  For the purposes of this Section, terms have the meanings 40 CFR 3.3, incorporated by reference in 35 Ill. Adm. Code 611.102(c), attributes them.</w:t>
      </w:r>
    </w:p>
    <w:p w14:paraId="26436869" w14:textId="77777777" w:rsidR="00631B8E" w:rsidRPr="003B4362" w:rsidRDefault="00631B8E" w:rsidP="00631B8E">
      <w:pPr>
        <w:suppressAutoHyphens/>
        <w:ind w:left="1440" w:hanging="720"/>
        <w:rPr>
          <w:szCs w:val="24"/>
        </w:rPr>
      </w:pPr>
    </w:p>
    <w:p w14:paraId="03094017" w14:textId="6BD10381" w:rsidR="00631B8E" w:rsidRPr="003B4362" w:rsidRDefault="00631B8E" w:rsidP="00631B8E">
      <w:pPr>
        <w:suppressAutoHyphens/>
        <w:ind w:left="1440" w:hanging="720"/>
        <w:rPr>
          <w:szCs w:val="24"/>
        </w:rPr>
      </w:pPr>
      <w:r w:rsidRPr="003B4362">
        <w:rPr>
          <w:szCs w:val="24"/>
        </w:rPr>
        <w:t>c)</w:t>
      </w:r>
      <w:r w:rsidRPr="003B4362">
        <w:rPr>
          <w:szCs w:val="24"/>
        </w:rPr>
        <w:tab/>
        <w:t>Procedures for Submitting Electronic Documents to USEPA in Lieu of Paper Documents.  Except as provided in subsection (a)(3), any person Title 40 of the Code of Federal Regulations requires to create and submit or otherwise provide a document to USEPA may satisfy this requirement with an electronic document in lieu of a paper document upon meeting certain conditions:</w:t>
      </w:r>
    </w:p>
    <w:p w14:paraId="14EC71D3" w14:textId="77777777" w:rsidR="00631B8E" w:rsidRPr="003B4362" w:rsidRDefault="00631B8E" w:rsidP="00631B8E">
      <w:pPr>
        <w:suppressAutoHyphens/>
        <w:ind w:left="2160" w:hanging="720"/>
        <w:rPr>
          <w:szCs w:val="24"/>
        </w:rPr>
      </w:pPr>
    </w:p>
    <w:p w14:paraId="4DD7595C" w14:textId="77777777" w:rsidR="00631B8E" w:rsidRPr="003B4362" w:rsidRDefault="00631B8E" w:rsidP="00631B8E">
      <w:pPr>
        <w:suppressAutoHyphens/>
        <w:ind w:left="2160" w:hanging="720"/>
        <w:rPr>
          <w:szCs w:val="24"/>
        </w:rPr>
      </w:pPr>
      <w:r w:rsidRPr="003B4362">
        <w:rPr>
          <w:szCs w:val="24"/>
        </w:rPr>
        <w:t>1)</w:t>
      </w:r>
      <w:r w:rsidRPr="003B4362">
        <w:rPr>
          <w:szCs w:val="24"/>
        </w:rPr>
        <w:tab/>
        <w:t xml:space="preserve">The person satisfies the requirements of 40 CFR 3.10, incorporated by reference in Section 611.102(c); and </w:t>
      </w:r>
    </w:p>
    <w:p w14:paraId="598C079F" w14:textId="77777777" w:rsidR="00631B8E" w:rsidRPr="003B4362" w:rsidRDefault="00631B8E" w:rsidP="00631B8E">
      <w:pPr>
        <w:ind w:left="2160" w:hanging="720"/>
        <w:rPr>
          <w:szCs w:val="24"/>
        </w:rPr>
      </w:pPr>
    </w:p>
    <w:p w14:paraId="6C0D397F" w14:textId="79FA35B1" w:rsidR="00631B8E" w:rsidRPr="003B4362" w:rsidRDefault="00631B8E" w:rsidP="00631B8E">
      <w:pPr>
        <w:ind w:left="2160" w:hanging="720"/>
        <w:rPr>
          <w:szCs w:val="24"/>
        </w:rPr>
      </w:pPr>
      <w:r w:rsidRPr="003B4362">
        <w:rPr>
          <w:szCs w:val="24"/>
        </w:rPr>
        <w:t>2)</w:t>
      </w:r>
      <w:r w:rsidRPr="003B4362">
        <w:rPr>
          <w:szCs w:val="24"/>
        </w:rPr>
        <w:tab/>
        <w:t>USEPA first publishes a notice in the Federal Register, as subsection (a)(2)(A) describes.</w:t>
      </w:r>
    </w:p>
    <w:p w14:paraId="5263BC11" w14:textId="77777777" w:rsidR="00631B8E" w:rsidRPr="003B4362" w:rsidRDefault="00631B8E" w:rsidP="00631B8E">
      <w:pPr>
        <w:suppressAutoHyphens/>
        <w:ind w:left="1440"/>
        <w:rPr>
          <w:szCs w:val="24"/>
        </w:rPr>
      </w:pPr>
    </w:p>
    <w:p w14:paraId="5732A6A0" w14:textId="5C24A20C" w:rsidR="00631B8E" w:rsidRPr="003B4362" w:rsidRDefault="00631B8E" w:rsidP="00631B8E">
      <w:pPr>
        <w:suppressAutoHyphens/>
        <w:ind w:left="1440"/>
        <w:rPr>
          <w:szCs w:val="24"/>
        </w:rPr>
      </w:pPr>
      <w:r w:rsidRPr="003B4362">
        <w:rPr>
          <w:szCs w:val="24"/>
        </w:rPr>
        <w:t>BOARD NOTE:  Subsection (c) derives from 40 CFR 3.2(a) and subpart B of 40 CFR 3.</w:t>
      </w:r>
    </w:p>
    <w:p w14:paraId="4D2F28C8" w14:textId="77777777" w:rsidR="00631B8E" w:rsidRPr="003B4362" w:rsidRDefault="00631B8E" w:rsidP="00631B8E">
      <w:pPr>
        <w:suppressAutoHyphens/>
        <w:ind w:left="1440" w:hanging="720"/>
        <w:rPr>
          <w:szCs w:val="24"/>
        </w:rPr>
      </w:pPr>
    </w:p>
    <w:p w14:paraId="253C66A3" w14:textId="77777777" w:rsidR="00631B8E" w:rsidRPr="003B4362" w:rsidRDefault="00631B8E" w:rsidP="00631B8E">
      <w:pPr>
        <w:suppressAutoHyphens/>
        <w:ind w:left="1440" w:hanging="720"/>
        <w:rPr>
          <w:szCs w:val="24"/>
        </w:rPr>
      </w:pPr>
      <w:r w:rsidRPr="003B4362">
        <w:rPr>
          <w:szCs w:val="24"/>
        </w:rPr>
        <w:t>d)</w:t>
      </w:r>
      <w:r w:rsidRPr="003B4362">
        <w:rPr>
          <w:szCs w:val="24"/>
        </w:rPr>
        <w:tab/>
        <w:t>Procedures for Submitting Electronic Documents to the Board or the Agency in Lieu of Paper Documents</w:t>
      </w:r>
    </w:p>
    <w:p w14:paraId="193A36DC" w14:textId="77777777" w:rsidR="00631B8E" w:rsidRPr="003B4362" w:rsidRDefault="00631B8E" w:rsidP="00631B8E">
      <w:pPr>
        <w:suppressAutoHyphens/>
        <w:ind w:left="2160" w:hanging="720"/>
        <w:rPr>
          <w:szCs w:val="24"/>
        </w:rPr>
      </w:pPr>
    </w:p>
    <w:p w14:paraId="69575FE0" w14:textId="26617AE7" w:rsidR="00631B8E" w:rsidRPr="003B4362" w:rsidRDefault="00631B8E" w:rsidP="00631B8E">
      <w:pPr>
        <w:suppressAutoHyphens/>
        <w:ind w:left="2160" w:hanging="720"/>
        <w:rPr>
          <w:szCs w:val="24"/>
        </w:rPr>
      </w:pPr>
      <w:r w:rsidRPr="003B4362">
        <w:rPr>
          <w:szCs w:val="24"/>
        </w:rPr>
        <w:t>1)</w:t>
      </w:r>
      <w:r w:rsidRPr="003B4362">
        <w:rPr>
          <w:szCs w:val="24"/>
        </w:rPr>
        <w:tab/>
        <w:t>The Board or the Agency may establish procedural rules for electronically submitting documents.  The Board or the Agency must establish any rules under the Administrative Procedure Act [5 ILCS 100/5].</w:t>
      </w:r>
    </w:p>
    <w:p w14:paraId="5805F8ED" w14:textId="77777777" w:rsidR="00631B8E" w:rsidRPr="003B4362" w:rsidRDefault="00631B8E" w:rsidP="00631B8E">
      <w:pPr>
        <w:pStyle w:val="ListParagraph"/>
        <w:suppressAutoHyphens/>
        <w:ind w:left="2160"/>
      </w:pPr>
    </w:p>
    <w:p w14:paraId="782B9328" w14:textId="04B4BFA5" w:rsidR="00631B8E" w:rsidRPr="003B4362" w:rsidRDefault="00631B8E" w:rsidP="00631B8E">
      <w:pPr>
        <w:suppressAutoHyphens/>
        <w:ind w:left="2160" w:hanging="720"/>
        <w:rPr>
          <w:szCs w:val="24"/>
        </w:rPr>
      </w:pPr>
      <w:r w:rsidRPr="003B4362">
        <w:rPr>
          <w:szCs w:val="24"/>
        </w:rPr>
        <w:t>2)</w:t>
      </w:r>
      <w:r w:rsidRPr="003B4362">
        <w:rPr>
          <w:szCs w:val="24"/>
        </w:rPr>
        <w:tab/>
        <w:t>The Board or the Agency may accept electronic documents under this Section only as subsection (a)(2)(B) provides.</w:t>
      </w:r>
    </w:p>
    <w:p w14:paraId="3AB9576C" w14:textId="77777777" w:rsidR="00631B8E" w:rsidRPr="003B4362" w:rsidRDefault="00631B8E" w:rsidP="00631B8E">
      <w:pPr>
        <w:suppressAutoHyphens/>
        <w:ind w:left="1440"/>
        <w:rPr>
          <w:szCs w:val="24"/>
        </w:rPr>
      </w:pPr>
    </w:p>
    <w:p w14:paraId="735BA7AB" w14:textId="2528DA9C" w:rsidR="00631B8E" w:rsidRPr="003B4362" w:rsidRDefault="00631B8E" w:rsidP="00631B8E">
      <w:pPr>
        <w:suppressAutoHyphens/>
        <w:ind w:left="1440"/>
        <w:rPr>
          <w:szCs w:val="24"/>
        </w:rPr>
      </w:pPr>
      <w:r w:rsidRPr="003B4362">
        <w:rPr>
          <w:szCs w:val="24"/>
        </w:rPr>
        <w:t>BOARD NOTE:  Subsection (d) derives from 40 CFR 3.2(b) and subpart D of 40 CFR 3.</w:t>
      </w:r>
    </w:p>
    <w:p w14:paraId="1E3C385E" w14:textId="77777777" w:rsidR="00631B8E" w:rsidRPr="003B4362" w:rsidRDefault="00631B8E" w:rsidP="00631B8E">
      <w:pPr>
        <w:suppressAutoHyphens/>
        <w:ind w:left="1440" w:hanging="720"/>
        <w:rPr>
          <w:szCs w:val="24"/>
        </w:rPr>
      </w:pPr>
    </w:p>
    <w:p w14:paraId="074B41B3" w14:textId="77777777" w:rsidR="00631B8E" w:rsidRPr="003B4362" w:rsidRDefault="00631B8E" w:rsidP="00631B8E">
      <w:pPr>
        <w:suppressAutoHyphens/>
        <w:ind w:left="1440" w:hanging="720"/>
        <w:rPr>
          <w:szCs w:val="24"/>
        </w:rPr>
      </w:pPr>
      <w:r w:rsidRPr="003B4362">
        <w:rPr>
          <w:szCs w:val="24"/>
        </w:rPr>
        <w:t>e)</w:t>
      </w:r>
      <w:r w:rsidRPr="003B4362">
        <w:rPr>
          <w:szCs w:val="24"/>
        </w:rPr>
        <w:tab/>
        <w:t>Effects of Submitting an Electronic Document in Lieu of a Paper Document</w:t>
      </w:r>
    </w:p>
    <w:p w14:paraId="6D241171" w14:textId="77777777" w:rsidR="00631B8E" w:rsidRPr="003B4362" w:rsidRDefault="00631B8E" w:rsidP="00631B8E">
      <w:pPr>
        <w:suppressAutoHyphens/>
        <w:ind w:left="2160" w:hanging="720"/>
        <w:rPr>
          <w:szCs w:val="24"/>
        </w:rPr>
      </w:pPr>
    </w:p>
    <w:p w14:paraId="1BBE1CB5" w14:textId="4C806C11" w:rsidR="00631B8E" w:rsidRPr="003B4362" w:rsidRDefault="00631B8E" w:rsidP="00631B8E">
      <w:pPr>
        <w:suppressAutoHyphens/>
        <w:ind w:left="2160" w:hanging="720"/>
        <w:rPr>
          <w:szCs w:val="24"/>
        </w:rPr>
      </w:pPr>
      <w:r w:rsidRPr="003B4362">
        <w:rPr>
          <w:szCs w:val="24"/>
        </w:rPr>
        <w:t>1)</w:t>
      </w:r>
      <w:r w:rsidRPr="003B4362">
        <w:rPr>
          <w:szCs w:val="24"/>
        </w:rPr>
        <w:tab/>
        <w:t>A person failing to comply with this Section when electronically submitting a document is subject to the penalties prescribed for failing  to comply with the requirement to file that document.</w:t>
      </w:r>
    </w:p>
    <w:p w14:paraId="675FFA95" w14:textId="77777777" w:rsidR="00631B8E" w:rsidRPr="003B4362" w:rsidRDefault="00631B8E" w:rsidP="00631B8E">
      <w:pPr>
        <w:suppressAutoHyphens/>
        <w:ind w:left="2160" w:hanging="720"/>
        <w:rPr>
          <w:szCs w:val="24"/>
        </w:rPr>
      </w:pPr>
    </w:p>
    <w:p w14:paraId="681D141F" w14:textId="1B69846D" w:rsidR="00631B8E" w:rsidRPr="003B4362" w:rsidRDefault="00631B8E" w:rsidP="00631B8E">
      <w:pPr>
        <w:suppressAutoHyphens/>
        <w:ind w:left="2160" w:hanging="720"/>
        <w:rPr>
          <w:szCs w:val="24"/>
        </w:rPr>
      </w:pPr>
      <w:r w:rsidRPr="003B4362">
        <w:rPr>
          <w:szCs w:val="24"/>
        </w:rPr>
        <w:t>2)</w:t>
      </w:r>
      <w:r w:rsidRPr="003B4362">
        <w:rPr>
          <w:szCs w:val="24"/>
        </w:rPr>
        <w:tab/>
        <w:t xml:space="preserve">The electronic signature on a document a person files electronically to satisfy a reporting requirement legally binds, obligates, and makes the </w:t>
      </w:r>
      <w:r w:rsidRPr="003B4362">
        <w:rPr>
          <w:szCs w:val="24"/>
        </w:rPr>
        <w:lastRenderedPageBreak/>
        <w:t>signer responsible to the same extent as would the filer's filing a paper document bearing the signer's handwritten signature.</w:t>
      </w:r>
    </w:p>
    <w:p w14:paraId="3E99DBFA" w14:textId="77777777" w:rsidR="00631B8E" w:rsidRPr="003B4362" w:rsidRDefault="00631B8E" w:rsidP="00631B8E">
      <w:pPr>
        <w:ind w:left="2160" w:hanging="720"/>
        <w:rPr>
          <w:szCs w:val="24"/>
        </w:rPr>
      </w:pPr>
    </w:p>
    <w:p w14:paraId="2F98E32F" w14:textId="3602271F" w:rsidR="00631B8E" w:rsidRPr="003B4362" w:rsidRDefault="00631B8E" w:rsidP="00631B8E">
      <w:pPr>
        <w:ind w:left="2160" w:hanging="720"/>
        <w:rPr>
          <w:szCs w:val="24"/>
        </w:rPr>
      </w:pPr>
      <w:r w:rsidRPr="003B4362">
        <w:rPr>
          <w:szCs w:val="24"/>
        </w:rPr>
        <w:t>3)</w:t>
      </w:r>
      <w:r w:rsidRPr="003B4362">
        <w:rPr>
          <w:szCs w:val="24"/>
        </w:rPr>
        <w:tab/>
        <w:t>Proof that the signer used a particular signature device to create an electronic signature establishes that the individual uniquely entitled to use the device did so intending to sign the electronic document and give it effect.</w:t>
      </w:r>
    </w:p>
    <w:p w14:paraId="175041FE" w14:textId="77777777" w:rsidR="00631B8E" w:rsidRPr="003B4362" w:rsidRDefault="00631B8E" w:rsidP="00631B8E">
      <w:pPr>
        <w:ind w:left="2160" w:hanging="720"/>
        <w:rPr>
          <w:szCs w:val="24"/>
        </w:rPr>
      </w:pPr>
    </w:p>
    <w:p w14:paraId="7D005E6C" w14:textId="0BA39067" w:rsidR="00631B8E" w:rsidRPr="003B4362" w:rsidRDefault="00631B8E" w:rsidP="00631B8E">
      <w:pPr>
        <w:ind w:left="2160" w:hanging="720"/>
        <w:rPr>
          <w:szCs w:val="24"/>
        </w:rPr>
      </w:pPr>
      <w:r w:rsidRPr="003B4362">
        <w:rPr>
          <w:szCs w:val="24"/>
        </w:rPr>
        <w:t>4)</w:t>
      </w:r>
      <w:r w:rsidRPr="003B4362">
        <w:rPr>
          <w:szCs w:val="24"/>
        </w:rPr>
        <w:tab/>
        <w:t>Nothing in this Section limits using electronic documents or information derived from electronic documents as evidence in enforcement or other proceedings.</w:t>
      </w:r>
    </w:p>
    <w:p w14:paraId="12335B6F" w14:textId="77777777" w:rsidR="00631B8E" w:rsidRPr="003B4362" w:rsidRDefault="00631B8E" w:rsidP="00631B8E">
      <w:pPr>
        <w:suppressAutoHyphens/>
        <w:ind w:left="1440"/>
        <w:rPr>
          <w:szCs w:val="24"/>
        </w:rPr>
      </w:pPr>
    </w:p>
    <w:p w14:paraId="57477116" w14:textId="1CE7857A" w:rsidR="00631B8E" w:rsidRPr="003B4362" w:rsidRDefault="00631B8E" w:rsidP="00631B8E">
      <w:pPr>
        <w:suppressAutoHyphens/>
        <w:ind w:left="1440"/>
        <w:rPr>
          <w:szCs w:val="24"/>
        </w:rPr>
      </w:pPr>
      <w:r w:rsidRPr="003B4362">
        <w:rPr>
          <w:szCs w:val="24"/>
        </w:rPr>
        <w:t>BOARD NOTE:  Subsection (e) derives from 40 CFR 3.4 and 3.2000(c).</w:t>
      </w:r>
    </w:p>
    <w:p w14:paraId="6ACA48EF" w14:textId="77777777" w:rsidR="00631B8E" w:rsidRPr="003B4362" w:rsidRDefault="00631B8E" w:rsidP="00631B8E">
      <w:pPr>
        <w:suppressAutoHyphens/>
        <w:ind w:left="1440" w:hanging="720"/>
        <w:rPr>
          <w:szCs w:val="24"/>
        </w:rPr>
      </w:pPr>
    </w:p>
    <w:p w14:paraId="6D5CE0E6" w14:textId="2C972737" w:rsidR="00631B8E" w:rsidRPr="003B4362" w:rsidRDefault="00631B8E" w:rsidP="00631B8E">
      <w:pPr>
        <w:suppressAutoHyphens/>
        <w:ind w:left="1440" w:hanging="720"/>
        <w:rPr>
          <w:szCs w:val="24"/>
        </w:rPr>
      </w:pPr>
      <w:r w:rsidRPr="003B4362">
        <w:rPr>
          <w:szCs w:val="24"/>
        </w:rPr>
        <w:t>f)</w:t>
      </w:r>
      <w:r w:rsidRPr="003B4362">
        <w:rPr>
          <w:szCs w:val="24"/>
        </w:rPr>
        <w:tab/>
        <w:t>Public Document Subject to State Laws.  Any electronic document a person files with the Board is a public document.  The document, its submission, its retention by the Board, and its availability for public inspection and copying are subject to various State laws:</w:t>
      </w:r>
    </w:p>
    <w:p w14:paraId="1F2CBCEF" w14:textId="77777777" w:rsidR="00631B8E" w:rsidRPr="003B4362" w:rsidRDefault="00631B8E" w:rsidP="00631B8E">
      <w:pPr>
        <w:suppressAutoHyphens/>
        <w:ind w:left="2160" w:hanging="720"/>
        <w:rPr>
          <w:szCs w:val="24"/>
        </w:rPr>
      </w:pPr>
    </w:p>
    <w:p w14:paraId="1258ED86" w14:textId="77777777" w:rsidR="00631B8E" w:rsidRPr="003B4362" w:rsidRDefault="00631B8E" w:rsidP="00631B8E">
      <w:pPr>
        <w:suppressAutoHyphens/>
        <w:ind w:left="2160" w:hanging="720"/>
        <w:rPr>
          <w:szCs w:val="24"/>
        </w:rPr>
      </w:pPr>
      <w:r w:rsidRPr="003B4362">
        <w:rPr>
          <w:szCs w:val="24"/>
        </w:rPr>
        <w:t>1)</w:t>
      </w:r>
      <w:r w:rsidRPr="003B4362">
        <w:rPr>
          <w:szCs w:val="24"/>
        </w:rPr>
        <w:tab/>
        <w:t>The Administrative Procedure Act [5 ILCS 100];</w:t>
      </w:r>
    </w:p>
    <w:p w14:paraId="789CF934" w14:textId="77777777" w:rsidR="00631B8E" w:rsidRPr="003B4362" w:rsidRDefault="00631B8E" w:rsidP="00631B8E">
      <w:pPr>
        <w:suppressAutoHyphens/>
        <w:ind w:left="2160" w:hanging="720"/>
        <w:rPr>
          <w:szCs w:val="24"/>
        </w:rPr>
      </w:pPr>
    </w:p>
    <w:p w14:paraId="391143B1" w14:textId="77777777" w:rsidR="00631B8E" w:rsidRPr="003B4362" w:rsidRDefault="00631B8E" w:rsidP="00631B8E">
      <w:pPr>
        <w:suppressAutoHyphens/>
        <w:ind w:left="2160" w:hanging="720"/>
        <w:rPr>
          <w:szCs w:val="24"/>
        </w:rPr>
      </w:pPr>
      <w:r w:rsidRPr="003B4362">
        <w:rPr>
          <w:szCs w:val="24"/>
        </w:rPr>
        <w:t>2)</w:t>
      </w:r>
      <w:r w:rsidRPr="003B4362">
        <w:rPr>
          <w:szCs w:val="24"/>
        </w:rPr>
        <w:tab/>
        <w:t>The Freedom of Information Act [5 ILCS 140];</w:t>
      </w:r>
    </w:p>
    <w:p w14:paraId="665EA442" w14:textId="77777777" w:rsidR="00631B8E" w:rsidRPr="003B4362" w:rsidRDefault="00631B8E" w:rsidP="00631B8E">
      <w:pPr>
        <w:suppressAutoHyphens/>
        <w:ind w:left="2160" w:hanging="720"/>
        <w:rPr>
          <w:szCs w:val="24"/>
        </w:rPr>
      </w:pPr>
    </w:p>
    <w:p w14:paraId="57D05257" w14:textId="77777777" w:rsidR="00631B8E" w:rsidRPr="003B4362" w:rsidRDefault="00631B8E" w:rsidP="00631B8E">
      <w:pPr>
        <w:suppressAutoHyphens/>
        <w:ind w:left="2160" w:hanging="720"/>
        <w:rPr>
          <w:szCs w:val="24"/>
        </w:rPr>
      </w:pPr>
      <w:r w:rsidRPr="003B4362">
        <w:rPr>
          <w:szCs w:val="24"/>
        </w:rPr>
        <w:t>3)</w:t>
      </w:r>
      <w:r w:rsidRPr="003B4362">
        <w:rPr>
          <w:szCs w:val="24"/>
        </w:rPr>
        <w:tab/>
        <w:t>The State Records Act [5 ILCS 160];</w:t>
      </w:r>
    </w:p>
    <w:p w14:paraId="6DF3AFB1" w14:textId="77777777" w:rsidR="00631B8E" w:rsidRPr="003B4362" w:rsidRDefault="00631B8E" w:rsidP="00631B8E">
      <w:pPr>
        <w:suppressAutoHyphens/>
        <w:ind w:left="2160" w:hanging="720"/>
        <w:rPr>
          <w:szCs w:val="24"/>
        </w:rPr>
      </w:pPr>
    </w:p>
    <w:p w14:paraId="38A7FC35" w14:textId="77777777" w:rsidR="00631B8E" w:rsidRPr="003B4362" w:rsidRDefault="00631B8E" w:rsidP="00631B8E">
      <w:pPr>
        <w:suppressAutoHyphens/>
        <w:ind w:left="2160" w:hanging="720"/>
        <w:rPr>
          <w:szCs w:val="24"/>
        </w:rPr>
      </w:pPr>
      <w:r w:rsidRPr="003B4362">
        <w:rPr>
          <w:szCs w:val="24"/>
        </w:rPr>
        <w:t>4)</w:t>
      </w:r>
      <w:r w:rsidRPr="003B4362">
        <w:rPr>
          <w:szCs w:val="24"/>
        </w:rPr>
        <w:tab/>
        <w:t>The Electronic Commerce Security Act [5 ILCS 175];</w:t>
      </w:r>
    </w:p>
    <w:p w14:paraId="1F834E1B" w14:textId="77777777" w:rsidR="00631B8E" w:rsidRPr="003B4362" w:rsidRDefault="00631B8E" w:rsidP="00631B8E">
      <w:pPr>
        <w:suppressAutoHyphens/>
        <w:ind w:left="2160" w:hanging="720"/>
        <w:rPr>
          <w:szCs w:val="24"/>
        </w:rPr>
      </w:pPr>
    </w:p>
    <w:p w14:paraId="0B5814EA" w14:textId="77777777" w:rsidR="00631B8E" w:rsidRPr="003B4362" w:rsidRDefault="00631B8E" w:rsidP="00631B8E">
      <w:pPr>
        <w:suppressAutoHyphens/>
        <w:ind w:left="2160" w:hanging="720"/>
        <w:rPr>
          <w:szCs w:val="24"/>
        </w:rPr>
      </w:pPr>
      <w:r w:rsidRPr="003B4362">
        <w:rPr>
          <w:szCs w:val="24"/>
        </w:rPr>
        <w:t>5)</w:t>
      </w:r>
      <w:r w:rsidRPr="003B4362">
        <w:rPr>
          <w:szCs w:val="24"/>
        </w:rPr>
        <w:tab/>
        <w:t>The Environmental Protection Act;</w:t>
      </w:r>
    </w:p>
    <w:p w14:paraId="4D2703D6" w14:textId="77777777" w:rsidR="00631B8E" w:rsidRPr="003B4362" w:rsidRDefault="00631B8E" w:rsidP="00631B8E">
      <w:pPr>
        <w:suppressAutoHyphens/>
        <w:ind w:left="2160" w:hanging="720"/>
        <w:rPr>
          <w:szCs w:val="24"/>
        </w:rPr>
      </w:pPr>
    </w:p>
    <w:p w14:paraId="6CCB16BC" w14:textId="77777777" w:rsidR="00631B8E" w:rsidRPr="003B4362" w:rsidRDefault="00631B8E" w:rsidP="00631B8E">
      <w:pPr>
        <w:suppressAutoHyphens/>
        <w:ind w:left="2160" w:hanging="720"/>
        <w:rPr>
          <w:szCs w:val="24"/>
        </w:rPr>
      </w:pPr>
      <w:r w:rsidRPr="003B4362">
        <w:rPr>
          <w:szCs w:val="24"/>
        </w:rPr>
        <w:t>6)</w:t>
      </w:r>
      <w:r w:rsidRPr="003B4362">
        <w:rPr>
          <w:szCs w:val="24"/>
        </w:rPr>
        <w:tab/>
        <w:t>Regulations relating to public access to Board records (2 Ill. Adm. Code 2175); and</w:t>
      </w:r>
    </w:p>
    <w:p w14:paraId="46341D03" w14:textId="77777777" w:rsidR="00631B8E" w:rsidRPr="003B4362" w:rsidRDefault="00631B8E" w:rsidP="00631B8E">
      <w:pPr>
        <w:suppressAutoHyphens/>
        <w:ind w:left="2160" w:hanging="720"/>
        <w:rPr>
          <w:szCs w:val="24"/>
        </w:rPr>
      </w:pPr>
    </w:p>
    <w:p w14:paraId="5849D986" w14:textId="77777777" w:rsidR="00631B8E" w:rsidRPr="003B4362" w:rsidRDefault="00631B8E" w:rsidP="00631B8E">
      <w:pPr>
        <w:suppressAutoHyphens/>
        <w:ind w:left="2160" w:hanging="720"/>
        <w:rPr>
          <w:szCs w:val="24"/>
        </w:rPr>
      </w:pPr>
      <w:r w:rsidRPr="003B4362">
        <w:rPr>
          <w:szCs w:val="24"/>
        </w:rPr>
        <w:t>7)</w:t>
      </w:r>
      <w:r w:rsidRPr="003B4362">
        <w:rPr>
          <w:szCs w:val="24"/>
        </w:rPr>
        <w:tab/>
        <w:t>Board procedural rules relating to protection of trade secrets and confidential information (35 Ill. Adm. Code 130).</w:t>
      </w:r>
    </w:p>
    <w:p w14:paraId="242AD6ED" w14:textId="77777777" w:rsidR="00631B8E" w:rsidRPr="003B4362" w:rsidRDefault="00631B8E" w:rsidP="00631B8E">
      <w:pPr>
        <w:suppressAutoHyphens/>
        <w:ind w:left="1440" w:hanging="720"/>
        <w:rPr>
          <w:szCs w:val="24"/>
        </w:rPr>
      </w:pPr>
    </w:p>
    <w:p w14:paraId="1A84157F" w14:textId="56C3DA4B" w:rsidR="00631B8E" w:rsidRPr="003B4362" w:rsidRDefault="00631B8E" w:rsidP="00631B8E">
      <w:pPr>
        <w:suppressAutoHyphens/>
        <w:ind w:left="1440" w:hanging="720"/>
        <w:rPr>
          <w:szCs w:val="24"/>
        </w:rPr>
      </w:pPr>
      <w:r w:rsidRPr="003B4362">
        <w:rPr>
          <w:szCs w:val="24"/>
        </w:rPr>
        <w:t>g)</w:t>
      </w:r>
      <w:r w:rsidRPr="003B4362">
        <w:rPr>
          <w:szCs w:val="24"/>
        </w:rPr>
        <w:tab/>
        <w:t>Nothing in this Section or any rule adopted under subsection (d)(1) creates any right or privilege to electronically submit any document.</w:t>
      </w:r>
    </w:p>
    <w:p w14:paraId="583962FB" w14:textId="77777777" w:rsidR="00631B8E" w:rsidRPr="003B4362" w:rsidRDefault="00631B8E" w:rsidP="00631B8E">
      <w:pPr>
        <w:suppressAutoHyphens/>
        <w:ind w:left="1440"/>
        <w:rPr>
          <w:szCs w:val="24"/>
        </w:rPr>
      </w:pPr>
    </w:p>
    <w:p w14:paraId="2C9719B7" w14:textId="329A663C" w:rsidR="00631B8E" w:rsidRPr="003B4362" w:rsidRDefault="00631B8E" w:rsidP="00631B8E">
      <w:pPr>
        <w:suppressAutoHyphens/>
        <w:ind w:left="1440"/>
        <w:rPr>
          <w:szCs w:val="24"/>
        </w:rPr>
      </w:pPr>
      <w:r w:rsidRPr="003B4362">
        <w:rPr>
          <w:szCs w:val="24"/>
        </w:rPr>
        <w:t>BOARD NOTE:  Subsection (g) derives from 40 CFR 3.2(c).</w:t>
      </w:r>
    </w:p>
    <w:p w14:paraId="3BC255DA" w14:textId="77777777" w:rsidR="00631B8E" w:rsidRPr="003B4362" w:rsidRDefault="00631B8E" w:rsidP="00631B8E">
      <w:pPr>
        <w:suppressAutoHyphens/>
        <w:ind w:left="1440"/>
        <w:rPr>
          <w:szCs w:val="24"/>
        </w:rPr>
      </w:pPr>
    </w:p>
    <w:p w14:paraId="296453E7" w14:textId="6850D05B" w:rsidR="00631B8E" w:rsidRPr="003B4362" w:rsidRDefault="00631B8E" w:rsidP="00631B8E">
      <w:pPr>
        <w:suppressAutoHyphens/>
        <w:rPr>
          <w:szCs w:val="24"/>
        </w:rPr>
      </w:pPr>
      <w:r w:rsidRPr="003B4362">
        <w:rPr>
          <w:szCs w:val="24"/>
        </w:rPr>
        <w:t>BOARD NOTE:  This Section derives from 40 CFR 3 and 142.10(g).</w:t>
      </w:r>
    </w:p>
    <w:p w14:paraId="08F3983E" w14:textId="77777777" w:rsidR="00631B8E" w:rsidRPr="003B4362" w:rsidRDefault="00631B8E" w:rsidP="00631B8E">
      <w:pPr>
        <w:suppressAutoHyphens/>
        <w:rPr>
          <w:szCs w:val="24"/>
        </w:rPr>
      </w:pPr>
    </w:p>
    <w:p w14:paraId="2E3DD8AE" w14:textId="72BA2E9A" w:rsidR="005769F0" w:rsidRDefault="00631B8E" w:rsidP="00631B8E">
      <w:pPr>
        <w:ind w:firstLine="720"/>
        <w:rPr>
          <w:szCs w:val="24"/>
        </w:rPr>
      </w:pPr>
      <w:r w:rsidRPr="003B4362">
        <w:rPr>
          <w:szCs w:val="24"/>
        </w:rPr>
        <w:t xml:space="preserve">(Source:  Amended at </w:t>
      </w:r>
      <w:r w:rsidR="00757184" w:rsidRPr="003B4362">
        <w:t xml:space="preserve">47 Ill. Reg. </w:t>
      </w:r>
      <w:r w:rsidR="00757184">
        <w:t>16486</w:t>
      </w:r>
      <w:r w:rsidR="00757184" w:rsidRPr="003B4362">
        <w:t xml:space="preserve">, effective </w:t>
      </w:r>
      <w:r w:rsidR="00757184">
        <w:t>November 2, 2023</w:t>
      </w:r>
      <w:r w:rsidRPr="003B4362">
        <w:rPr>
          <w:szCs w:val="24"/>
        </w:rPr>
        <w:t>)</w:t>
      </w:r>
    </w:p>
    <w:p w14:paraId="6B9AC307" w14:textId="77777777" w:rsidR="005769F0" w:rsidRDefault="005769F0" w:rsidP="00631B8E">
      <w:pPr>
        <w:ind w:firstLine="720"/>
        <w:rPr>
          <w:szCs w:val="24"/>
        </w:rPr>
      </w:pPr>
    </w:p>
    <w:p w14:paraId="6B921E31" w14:textId="591943F0" w:rsidR="005769F0" w:rsidRDefault="005769F0" w:rsidP="005769F0">
      <w:pPr>
        <w:rPr>
          <w:b/>
          <w:bCs/>
        </w:rPr>
      </w:pPr>
      <w:r w:rsidRPr="00D8235A">
        <w:rPr>
          <w:b/>
          <w:bCs/>
        </w:rPr>
        <w:t>Section 611.107  Agency Inspection of PWS Facilities (Repealed)</w:t>
      </w:r>
    </w:p>
    <w:p w14:paraId="395039DC" w14:textId="77777777" w:rsidR="005769F0" w:rsidRPr="00D8235A" w:rsidRDefault="005769F0" w:rsidP="005769F0">
      <w:pPr>
        <w:rPr>
          <w:b/>
          <w:bCs/>
        </w:rPr>
      </w:pPr>
    </w:p>
    <w:p w14:paraId="5F9D2A5F" w14:textId="7B21C1EB" w:rsidR="005769F0" w:rsidRPr="001A7517" w:rsidRDefault="005769F0" w:rsidP="005769F0">
      <w:r>
        <w:tab/>
      </w:r>
      <w:r w:rsidRPr="001A7517">
        <w:t>(Source:  Repealed at 43 Ill. Reg. 8206, effective July 26, 2019)</w:t>
      </w:r>
    </w:p>
    <w:p w14:paraId="5AF4FD19" w14:textId="77777777" w:rsidR="005769F0" w:rsidRPr="003B4362" w:rsidRDefault="005769F0" w:rsidP="00631B8E">
      <w:pPr>
        <w:ind w:firstLine="720"/>
        <w:rPr>
          <w:szCs w:val="24"/>
        </w:rPr>
      </w:pPr>
    </w:p>
    <w:p w14:paraId="35109059" w14:textId="47F78565" w:rsidR="004E2D35" w:rsidRPr="003B4362" w:rsidRDefault="004E2D35" w:rsidP="003B4362">
      <w:pPr>
        <w:rPr>
          <w:b/>
          <w:bCs/>
        </w:rPr>
      </w:pPr>
      <w:r w:rsidRPr="003B4362">
        <w:rPr>
          <w:b/>
          <w:bCs/>
        </w:rPr>
        <w:t>Section 611.108  Delegation to Local Government</w:t>
      </w:r>
    </w:p>
    <w:p w14:paraId="357B430E" w14:textId="77777777" w:rsidR="003B4362" w:rsidRDefault="003B4362" w:rsidP="003B4362">
      <w:pPr>
        <w:suppressAutoHyphens/>
      </w:pPr>
    </w:p>
    <w:p w14:paraId="577E8497" w14:textId="75DCDF9B" w:rsidR="004E2D35" w:rsidRPr="003B4362" w:rsidRDefault="004E2D35" w:rsidP="003B4362">
      <w:pPr>
        <w:suppressAutoHyphens/>
      </w:pPr>
      <w:r w:rsidRPr="003B4362">
        <w:t>The Agency may delegate portions of its inspection, investigating</w:t>
      </w:r>
      <w:r w:rsidR="001D5CF4" w:rsidRPr="003B4362">
        <w:t>,</w:t>
      </w:r>
      <w:r w:rsidRPr="003B4362">
        <w:t xml:space="preserve"> and enforcement functions to units of local government </w:t>
      </w:r>
      <w:bookmarkStart w:id="324" w:name="_Hlk129717709"/>
      <w:r w:rsidR="007C44A4" w:rsidRPr="003B4362">
        <w:t xml:space="preserve">under </w:t>
      </w:r>
      <w:r w:rsidRPr="003B4362">
        <w:t>Section 4(r) of the Act</w:t>
      </w:r>
      <w:bookmarkEnd w:id="324"/>
      <w:r w:rsidRPr="003B4362">
        <w:t>.</w:t>
      </w:r>
    </w:p>
    <w:p w14:paraId="241C0B83" w14:textId="77777777" w:rsidR="003B4362" w:rsidRDefault="003B4362" w:rsidP="003B4362">
      <w:pPr>
        <w:suppressAutoHyphens/>
        <w:ind w:left="720"/>
      </w:pPr>
    </w:p>
    <w:p w14:paraId="2BB18207" w14:textId="20366447" w:rsidR="004E2D35" w:rsidRPr="003B4362" w:rsidRDefault="004E2D35" w:rsidP="003B4362">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55DB335F" w14:textId="77777777" w:rsidR="009F47A4" w:rsidRPr="003B4362" w:rsidRDefault="009F47A4" w:rsidP="009F47A4">
      <w:pPr>
        <w:rPr>
          <w:b/>
          <w:bCs/>
        </w:rPr>
      </w:pPr>
    </w:p>
    <w:p w14:paraId="53D612F8" w14:textId="7F255282" w:rsidR="004E2D35" w:rsidRPr="003B4362" w:rsidRDefault="004E2D35" w:rsidP="003B4362">
      <w:pPr>
        <w:rPr>
          <w:b/>
          <w:bCs/>
        </w:rPr>
      </w:pPr>
      <w:r w:rsidRPr="003B4362">
        <w:rPr>
          <w:b/>
          <w:bCs/>
        </w:rPr>
        <w:t>Section 611.109  Enforcement</w:t>
      </w:r>
    </w:p>
    <w:p w14:paraId="4935BC30" w14:textId="77777777" w:rsidR="003B4362" w:rsidRDefault="003B4362" w:rsidP="003B4362">
      <w:pPr>
        <w:suppressAutoHyphens/>
        <w:ind w:left="1440" w:hanging="720"/>
      </w:pPr>
    </w:p>
    <w:p w14:paraId="56A2986C" w14:textId="16A4BEBB" w:rsidR="004E2D35" w:rsidRPr="003B4362" w:rsidRDefault="004E2D35" w:rsidP="003B4362">
      <w:pPr>
        <w:suppressAutoHyphens/>
        <w:ind w:left="1440" w:hanging="720"/>
      </w:pPr>
      <w:r w:rsidRPr="003B4362">
        <w:t>a)</w:t>
      </w:r>
      <w:r w:rsidRPr="003B4362">
        <w:tab/>
        <w:t xml:space="preserve">Any person may file an enforcement action </w:t>
      </w:r>
      <w:r w:rsidR="007C44A4" w:rsidRPr="003B4362">
        <w:t xml:space="preserve">under </w:t>
      </w:r>
      <w:bookmarkStart w:id="325" w:name="_Hlk129718923"/>
      <w:r w:rsidRPr="003B4362">
        <w:t>Title VIII</w:t>
      </w:r>
      <w:bookmarkEnd w:id="325"/>
      <w:r w:rsidRPr="003B4362">
        <w:t xml:space="preserve"> of the Act.</w:t>
      </w:r>
    </w:p>
    <w:p w14:paraId="55DB9204" w14:textId="77777777" w:rsidR="003B4362" w:rsidRDefault="003B4362" w:rsidP="003B4362">
      <w:pPr>
        <w:suppressAutoHyphens/>
        <w:ind w:left="1440" w:hanging="720"/>
      </w:pPr>
    </w:p>
    <w:p w14:paraId="36BE4964" w14:textId="2D815661" w:rsidR="004E2D35" w:rsidRPr="003B4362" w:rsidRDefault="004E2D35" w:rsidP="003B4362">
      <w:pPr>
        <w:suppressAutoHyphens/>
        <w:ind w:left="1440" w:hanging="720"/>
      </w:pPr>
      <w:r w:rsidRPr="003B4362">
        <w:t>b)</w:t>
      </w:r>
      <w:r w:rsidRPr="003B4362">
        <w:tab/>
      </w:r>
      <w:r w:rsidR="00BA57C4" w:rsidRPr="003B4362">
        <w:t>A</w:t>
      </w:r>
      <w:bookmarkStart w:id="326" w:name="_Hlk129719059"/>
      <w:r w:rsidR="00BA57C4" w:rsidRPr="003B4362">
        <w:t xml:space="preserve"> complainant may use the </w:t>
      </w:r>
      <w:r w:rsidRPr="003B4362">
        <w:t xml:space="preserve">results of monitoring this Part </w:t>
      </w:r>
      <w:r w:rsidR="00BA57C4" w:rsidRPr="003B4362">
        <w:t xml:space="preserve">requires </w:t>
      </w:r>
      <w:bookmarkEnd w:id="326"/>
      <w:r w:rsidRPr="003B4362">
        <w:t>in an enforcement action.</w:t>
      </w:r>
    </w:p>
    <w:p w14:paraId="61D4A58D" w14:textId="77777777" w:rsidR="003B4362" w:rsidRDefault="003B4362" w:rsidP="003B4362"/>
    <w:p w14:paraId="3D125938" w14:textId="637D87EE" w:rsidR="004E2D35" w:rsidRPr="003B4362" w:rsidRDefault="004E2D35" w:rsidP="003B4362">
      <w:r w:rsidRPr="003B4362">
        <w:t xml:space="preserve">BOARD NOTE:  </w:t>
      </w:r>
      <w:r w:rsidR="00941516" w:rsidRPr="003B4362">
        <w:rPr>
          <w:spacing w:val="-3"/>
        </w:rPr>
        <w:t xml:space="preserve">This Section derives </w:t>
      </w:r>
      <w:r w:rsidRPr="003B4362">
        <w:t>from 40 CFR 141.22(e) and 141.23(a)(4).</w:t>
      </w:r>
    </w:p>
    <w:p w14:paraId="6EA8C2DB" w14:textId="77777777" w:rsidR="003B4362" w:rsidRDefault="003B4362" w:rsidP="003B4362">
      <w:pPr>
        <w:suppressAutoHyphens/>
        <w:ind w:left="720"/>
      </w:pPr>
    </w:p>
    <w:p w14:paraId="03F595A9" w14:textId="7923BACD" w:rsidR="004E2D35" w:rsidRPr="003B4362" w:rsidRDefault="004E2D35" w:rsidP="003B4362">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298CADFA" w14:textId="77777777" w:rsidR="009F47A4" w:rsidRPr="003B4362" w:rsidRDefault="009F47A4" w:rsidP="009F47A4">
      <w:pPr>
        <w:rPr>
          <w:b/>
          <w:bCs/>
        </w:rPr>
      </w:pPr>
      <w:bookmarkStart w:id="327" w:name="_Hlk530501669"/>
    </w:p>
    <w:p w14:paraId="7043C9C5" w14:textId="393567CB" w:rsidR="00C63DE0" w:rsidRPr="003B4362" w:rsidRDefault="00C63DE0" w:rsidP="009F47A4">
      <w:pPr>
        <w:rPr>
          <w:b/>
          <w:bCs/>
        </w:rPr>
      </w:pPr>
      <w:r w:rsidRPr="003B4362">
        <w:rPr>
          <w:b/>
          <w:bCs/>
        </w:rPr>
        <w:t>Section 611.110  Special Exception Permits</w:t>
      </w:r>
      <w:r w:rsidR="00E23222" w:rsidRPr="003B4362">
        <w:rPr>
          <w:b/>
          <w:bCs/>
        </w:rPr>
        <w:t xml:space="preserve">   </w:t>
      </w:r>
    </w:p>
    <w:p w14:paraId="50DBB0F6" w14:textId="77777777" w:rsidR="00DA068C" w:rsidRPr="003B4362" w:rsidRDefault="00DA068C" w:rsidP="003B4362">
      <w:pPr>
        <w:rPr>
          <w:b/>
          <w:bCs/>
        </w:rPr>
      </w:pPr>
    </w:p>
    <w:p w14:paraId="73A0721D" w14:textId="227CB18B" w:rsidR="00C63DE0" w:rsidRPr="003B4362" w:rsidRDefault="005D3EA4" w:rsidP="003B4362">
      <w:pPr>
        <w:ind w:left="1440" w:hanging="720"/>
      </w:pPr>
      <w:r w:rsidRPr="003B4362">
        <w:t>a</w:t>
      </w:r>
      <w:r w:rsidR="00C63DE0" w:rsidRPr="003B4362">
        <w:t>)</w:t>
      </w:r>
      <w:r w:rsidR="00C63DE0" w:rsidRPr="003B4362">
        <w:tab/>
        <w:t xml:space="preserve">The Agency must evaluate </w:t>
      </w:r>
      <w:bookmarkStart w:id="328" w:name="_Hlk129724111"/>
      <w:r w:rsidR="00C63DE0" w:rsidRPr="003B4362">
        <w:t xml:space="preserve">a request for a SEP </w:t>
      </w:r>
      <w:r w:rsidR="00BA57C4" w:rsidRPr="003B4362">
        <w:t xml:space="preserve">granting relief </w:t>
      </w:r>
      <w:r w:rsidR="00C63DE0" w:rsidRPr="003B4362">
        <w:t>from monitoring requirements</w:t>
      </w:r>
      <w:bookmarkEnd w:id="328"/>
      <w:r w:rsidR="00C63DE0" w:rsidRPr="003B4362">
        <w:t xml:space="preserve"> of </w:t>
      </w:r>
      <w:bookmarkStart w:id="329" w:name="_Hlk129724207"/>
      <w:r w:rsidR="00C63DE0" w:rsidRPr="003B4362">
        <w:t>Section 611.601, 611.602, or 611.603 (IOCs, excluding the Section 611.603 monitoring frequency requirements for cyanide)</w:t>
      </w:r>
      <w:bookmarkEnd w:id="329"/>
      <w:r w:rsidR="00C63DE0" w:rsidRPr="003B4362">
        <w:t xml:space="preserve">; </w:t>
      </w:r>
      <w:bookmarkStart w:id="330" w:name="_Hlk129724266"/>
      <w:r w:rsidR="00C63DE0" w:rsidRPr="003B4362">
        <w:t>Section 611.646(f)</w:t>
      </w:r>
      <w:bookmarkEnd w:id="330"/>
      <w:r w:rsidR="00C63DE0" w:rsidRPr="003B4362">
        <w:t xml:space="preserve"> (</w:t>
      </w:r>
      <w:r w:rsidR="00F36C98" w:rsidRPr="003B4362">
        <w:t xml:space="preserve">a GWS </w:t>
      </w:r>
      <w:r w:rsidR="00AB1B3C" w:rsidRPr="003B4362">
        <w:t xml:space="preserve">supplier </w:t>
      </w:r>
      <w:r w:rsidR="00F36C98" w:rsidRPr="003B4362">
        <w:t xml:space="preserve">for </w:t>
      </w:r>
      <w:bookmarkStart w:id="331" w:name="_Hlk129725703"/>
      <w:r w:rsidR="00C63DE0" w:rsidRPr="003B4362">
        <w:t>Phase I, Phase II, and Phase V VOCs</w:t>
      </w:r>
      <w:bookmarkEnd w:id="331"/>
      <w:r w:rsidR="00C63DE0" w:rsidRPr="003B4362">
        <w:t xml:space="preserve">); </w:t>
      </w:r>
      <w:bookmarkStart w:id="332" w:name="_Hlk129725788"/>
      <w:r w:rsidR="00C63DE0" w:rsidRPr="003B4362">
        <w:t xml:space="preserve">Section 611.646(d) </w:t>
      </w:r>
      <w:r w:rsidR="008B1061" w:rsidRPr="003B4362">
        <w:t>(</w:t>
      </w:r>
      <w:r w:rsidR="00C63DE0" w:rsidRPr="003B4362">
        <w:t>only as to initial monitoring for 1,2,4-trichlorobenzene</w:t>
      </w:r>
      <w:r w:rsidR="008B1061" w:rsidRPr="003B4362">
        <w:t>)</w:t>
      </w:r>
      <w:bookmarkEnd w:id="332"/>
      <w:r w:rsidR="00C63DE0" w:rsidRPr="003B4362">
        <w:t>; or Section 611.648(d) (</w:t>
      </w:r>
      <w:bookmarkStart w:id="333" w:name="_Hlk129725891"/>
      <w:r w:rsidR="00C63DE0" w:rsidRPr="003B4362">
        <w:t>Phase II, Phase IIB, and Phase V SOCs</w:t>
      </w:r>
      <w:bookmarkEnd w:id="333"/>
      <w:r w:rsidR="00C63DE0" w:rsidRPr="003B4362">
        <w:t>)</w:t>
      </w:r>
      <w:r w:rsidR="00E962C7" w:rsidRPr="003B4362">
        <w:t xml:space="preserve"> under this Section.  </w:t>
      </w:r>
      <w:r w:rsidR="009A3327" w:rsidRPr="003B4362">
        <w:t>The</w:t>
      </w:r>
      <w:r w:rsidR="003A59B6" w:rsidRPr="003B4362">
        <w:t xml:space="preserve"> </w:t>
      </w:r>
      <w:r w:rsidR="00E962C7" w:rsidRPr="003B4362">
        <w:t>Agency must evaluate</w:t>
      </w:r>
      <w:r w:rsidR="008B1061" w:rsidRPr="003B4362">
        <w:t xml:space="preserve"> </w:t>
      </w:r>
      <w:bookmarkStart w:id="334" w:name="_Hlk129726083"/>
      <w:r w:rsidR="00C63DE0" w:rsidRPr="003B4362">
        <w:t xml:space="preserve">on the basis of </w:t>
      </w:r>
      <w:r w:rsidR="00175F0A" w:rsidRPr="003B4362">
        <w:t xml:space="preserve">known </w:t>
      </w:r>
      <w:r w:rsidR="00C63DE0" w:rsidRPr="003B4362">
        <w:t>previous use</w:t>
      </w:r>
      <w:bookmarkEnd w:id="334"/>
      <w:r w:rsidR="00C63DE0" w:rsidRPr="003B4362">
        <w:t xml:space="preserve"> (including transport, storage, or disposal) of the contaminant in the watershed or zone of influence of the system</w:t>
      </w:r>
      <w:bookmarkStart w:id="335" w:name="_Hlk129726162"/>
      <w:r w:rsidR="00C63DE0" w:rsidRPr="003B4362">
        <w:t xml:space="preserve"> under 35 Ill. Adm. Code 671</w:t>
      </w:r>
      <w:bookmarkEnd w:id="335"/>
      <w:r w:rsidR="00C63DE0" w:rsidRPr="003B4362">
        <w:t>.</w:t>
      </w:r>
    </w:p>
    <w:p w14:paraId="6D46C3EF" w14:textId="08A995D2" w:rsidR="00C63DE0" w:rsidRPr="003B4362" w:rsidRDefault="00C63DE0" w:rsidP="003B4362">
      <w:pPr>
        <w:ind w:left="1440"/>
      </w:pPr>
      <w:r w:rsidRPr="003B4362">
        <w:t>BOARD NOTE:  T</w:t>
      </w:r>
      <w:bookmarkStart w:id="336" w:name="_Hlk129726364"/>
      <w:r w:rsidRPr="003B4362">
        <w:t xml:space="preserve">he Agency </w:t>
      </w:r>
      <w:r w:rsidR="00E6515D" w:rsidRPr="003B4362">
        <w:t xml:space="preserve">may only </w:t>
      </w:r>
      <w:r w:rsidR="00F962E3" w:rsidRPr="003B4362">
        <w:t xml:space="preserve">issue </w:t>
      </w:r>
      <w:r w:rsidRPr="003B4362">
        <w:t xml:space="preserve">a SEP from the Section 611.603 monitoring frequency for cyanide </w:t>
      </w:r>
      <w:bookmarkStart w:id="337" w:name="_Hlk129726800"/>
      <w:r w:rsidR="00147D86" w:rsidRPr="003B4362">
        <w:t xml:space="preserve">based </w:t>
      </w:r>
      <w:r w:rsidRPr="003B4362">
        <w:t xml:space="preserve">on </w:t>
      </w:r>
      <w:bookmarkEnd w:id="336"/>
      <w:r w:rsidRPr="003B4362">
        <w:t xml:space="preserve">subsection (c), not </w:t>
      </w:r>
      <w:r w:rsidR="00147D86" w:rsidRPr="003B4362">
        <w:t xml:space="preserve">based </w:t>
      </w:r>
      <w:r w:rsidRPr="003B4362">
        <w:t>on this subsection (a)</w:t>
      </w:r>
      <w:bookmarkEnd w:id="337"/>
      <w:r w:rsidRPr="003B4362">
        <w:t>.</w:t>
      </w:r>
    </w:p>
    <w:p w14:paraId="5C8948CD" w14:textId="77777777" w:rsidR="003B4362" w:rsidRDefault="003B4362" w:rsidP="003B4362">
      <w:pPr>
        <w:ind w:left="2160" w:hanging="720"/>
      </w:pPr>
    </w:p>
    <w:p w14:paraId="4ED79C56" w14:textId="3E18E801" w:rsidR="00C63DE0" w:rsidRPr="003B4362" w:rsidRDefault="00C63DE0" w:rsidP="003B4362">
      <w:pPr>
        <w:ind w:left="2160" w:hanging="720"/>
      </w:pPr>
      <w:r w:rsidRPr="003B4362">
        <w:t>1)</w:t>
      </w:r>
      <w:r w:rsidRPr="003B4362">
        <w:tab/>
        <w:t>If the Agency determines that there was no prior use of the contaminant</w:t>
      </w:r>
      <w:r w:rsidR="00EB7DB4" w:rsidRPr="003B4362">
        <w:t xml:space="preserve"> in the water system’s watershed or zone of influence</w:t>
      </w:r>
      <w:r w:rsidRPr="003B4362">
        <w:t xml:space="preserve">, </w:t>
      </w:r>
      <w:r w:rsidR="000F487D" w:rsidRPr="003B4362">
        <w:t xml:space="preserve">the Agency </w:t>
      </w:r>
      <w:r w:rsidRPr="003B4362">
        <w:t xml:space="preserve">must </w:t>
      </w:r>
      <w:r w:rsidR="00190A00" w:rsidRPr="003B4362">
        <w:t xml:space="preserve">issue </w:t>
      </w:r>
      <w:r w:rsidRPr="003B4362">
        <w:t>the SEP; or</w:t>
      </w:r>
    </w:p>
    <w:p w14:paraId="2CEBF0D4" w14:textId="77777777" w:rsidR="003B4362" w:rsidRDefault="003B4362" w:rsidP="003B4362">
      <w:pPr>
        <w:ind w:left="2160" w:hanging="720"/>
      </w:pPr>
    </w:p>
    <w:p w14:paraId="40957A77" w14:textId="19BAC388" w:rsidR="00C63DE0" w:rsidRPr="003B4362" w:rsidRDefault="00C63DE0" w:rsidP="003B4362">
      <w:pPr>
        <w:ind w:left="2160" w:hanging="720"/>
      </w:pPr>
      <w:r w:rsidRPr="003B4362">
        <w:t>2)</w:t>
      </w:r>
      <w:r w:rsidRPr="003B4362">
        <w:tab/>
        <w:t>I</w:t>
      </w:r>
      <w:bookmarkStart w:id="338" w:name="_Hlk129773187"/>
      <w:r w:rsidRPr="003B4362">
        <w:t xml:space="preserve">f </w:t>
      </w:r>
      <w:r w:rsidR="00175F0A" w:rsidRPr="003B4362">
        <w:t xml:space="preserve">anyone previously used </w:t>
      </w:r>
      <w:r w:rsidRPr="003B4362">
        <w:t xml:space="preserve">the contaminant </w:t>
      </w:r>
      <w:bookmarkStart w:id="339" w:name="_Hlk129773249"/>
      <w:bookmarkEnd w:id="338"/>
      <w:r w:rsidRPr="003B4362">
        <w:t xml:space="preserve">or the previous use </w:t>
      </w:r>
      <w:r w:rsidR="00175F0A" w:rsidRPr="003B4362">
        <w:t xml:space="preserve">is </w:t>
      </w:r>
      <w:r w:rsidRPr="003B4362">
        <w:t>unknown</w:t>
      </w:r>
      <w:bookmarkEnd w:id="339"/>
      <w:r w:rsidRPr="003B4362">
        <w:t xml:space="preserve">, the Agency must </w:t>
      </w:r>
      <w:bookmarkStart w:id="340" w:name="_Hlk129773304"/>
      <w:r w:rsidRPr="003B4362">
        <w:t xml:space="preserve">consider </w:t>
      </w:r>
      <w:r w:rsidR="00175F0A" w:rsidRPr="003B4362">
        <w:t xml:space="preserve">certain </w:t>
      </w:r>
      <w:r w:rsidRPr="003B4362">
        <w:t>factors</w:t>
      </w:r>
      <w:bookmarkEnd w:id="340"/>
      <w:r w:rsidRPr="003B4362">
        <w:t>:</w:t>
      </w:r>
    </w:p>
    <w:p w14:paraId="1DFBE81B" w14:textId="77777777" w:rsidR="003B4362" w:rsidRDefault="003B4362" w:rsidP="003B4362">
      <w:pPr>
        <w:ind w:firstLine="2160"/>
      </w:pPr>
    </w:p>
    <w:p w14:paraId="4187FE4C" w14:textId="7282C63C" w:rsidR="00C63DE0" w:rsidRPr="003B4362" w:rsidRDefault="00C63DE0" w:rsidP="003B4362">
      <w:pPr>
        <w:ind w:firstLine="2160"/>
      </w:pPr>
      <w:r w:rsidRPr="003B4362">
        <w:t>A)</w:t>
      </w:r>
      <w:r w:rsidRPr="003B4362">
        <w:tab/>
        <w:t>Previous analytical results;</w:t>
      </w:r>
    </w:p>
    <w:p w14:paraId="0B92366F" w14:textId="77777777" w:rsidR="003B4362" w:rsidRDefault="003B4362" w:rsidP="003B4362">
      <w:pPr>
        <w:ind w:left="2880" w:hanging="720"/>
      </w:pPr>
    </w:p>
    <w:p w14:paraId="19338600" w14:textId="64041478" w:rsidR="00C63DE0" w:rsidRPr="003B4362" w:rsidRDefault="00C63DE0" w:rsidP="003B4362">
      <w:pPr>
        <w:ind w:left="2880" w:hanging="720"/>
      </w:pPr>
      <w:r w:rsidRPr="003B4362">
        <w:lastRenderedPageBreak/>
        <w:t>B)</w:t>
      </w:r>
      <w:r w:rsidRPr="003B4362">
        <w:tab/>
        <w:t>T</w:t>
      </w:r>
      <w:bookmarkStart w:id="341" w:name="_Hlk129773367"/>
      <w:r w:rsidRPr="003B4362">
        <w:t xml:space="preserve">he </w:t>
      </w:r>
      <w:r w:rsidR="00175F0A" w:rsidRPr="003B4362">
        <w:t xml:space="preserve">system’s </w:t>
      </w:r>
      <w:r w:rsidRPr="003B4362">
        <w:t xml:space="preserve">proximity </w:t>
      </w:r>
      <w:bookmarkEnd w:id="341"/>
      <w:r w:rsidRPr="003B4362">
        <w:t>to any possible point source of contamination (including spills or leaks at or near a water treatment facility; at manufacturing, distribution, or storage facilities; from hazardous and municipal waste land fills; or from waste handling or treatment facilities) or non-point source of contamination (including the use of pesticides and other land application uses of the contaminant);</w:t>
      </w:r>
    </w:p>
    <w:p w14:paraId="21948BB7" w14:textId="77777777" w:rsidR="003B4362" w:rsidRDefault="003B4362" w:rsidP="003B4362">
      <w:pPr>
        <w:ind w:left="2880" w:hanging="720"/>
      </w:pPr>
    </w:p>
    <w:p w14:paraId="68A8600D" w14:textId="033EF6F3" w:rsidR="00C63DE0" w:rsidRPr="003B4362" w:rsidRDefault="00C63DE0" w:rsidP="003B4362">
      <w:pPr>
        <w:ind w:left="2880" w:hanging="720"/>
      </w:pPr>
      <w:r w:rsidRPr="003B4362">
        <w:t>C)</w:t>
      </w:r>
      <w:r w:rsidRPr="003B4362">
        <w:tab/>
        <w:t>The environmental persistence and transport of the contaminant;</w:t>
      </w:r>
    </w:p>
    <w:p w14:paraId="2D5C6620" w14:textId="77777777" w:rsidR="003B4362" w:rsidRDefault="003B4362" w:rsidP="003B4362">
      <w:pPr>
        <w:ind w:left="2880" w:hanging="720"/>
      </w:pPr>
    </w:p>
    <w:p w14:paraId="1E79B974" w14:textId="5AC0B13D" w:rsidR="00C63DE0" w:rsidRPr="003B4362" w:rsidRDefault="00C63DE0" w:rsidP="003B4362">
      <w:pPr>
        <w:ind w:left="2880" w:hanging="720"/>
      </w:pPr>
      <w:r w:rsidRPr="003B4362">
        <w:t>D)</w:t>
      </w:r>
      <w:r w:rsidRPr="003B4362">
        <w:tab/>
        <w:t>H</w:t>
      </w:r>
      <w:bookmarkStart w:id="342" w:name="_Hlk129773445"/>
      <w:r w:rsidRPr="003B4362">
        <w:t xml:space="preserve">ow well </w:t>
      </w:r>
      <w:r w:rsidR="0079777B" w:rsidRPr="003B4362">
        <w:t xml:space="preserve">local conditions protect </w:t>
      </w:r>
      <w:r w:rsidRPr="003B4362">
        <w:t xml:space="preserve">the water source </w:t>
      </w:r>
      <w:bookmarkEnd w:id="342"/>
      <w:r w:rsidRPr="003B4362">
        <w:t>against contamination, including</w:t>
      </w:r>
      <w:r w:rsidR="00F3445B" w:rsidRPr="003B4362">
        <w:t>:</w:t>
      </w:r>
      <w:r w:rsidRPr="003B4362">
        <w:t xml:space="preserve"> </w:t>
      </w:r>
    </w:p>
    <w:p w14:paraId="7B3C2C4A" w14:textId="77777777" w:rsidR="003B4362" w:rsidRDefault="003B4362" w:rsidP="003B4362">
      <w:pPr>
        <w:ind w:left="3600" w:hanging="720"/>
      </w:pPr>
    </w:p>
    <w:p w14:paraId="3ECC4BBE" w14:textId="4CC6A1DB" w:rsidR="00C63DE0" w:rsidRPr="003B4362" w:rsidRDefault="00C63DE0" w:rsidP="003B4362">
      <w:pPr>
        <w:ind w:left="3600" w:hanging="720"/>
      </w:pPr>
      <w:r w:rsidRPr="003B4362">
        <w:t>i)</w:t>
      </w:r>
      <w:r w:rsidRPr="003B4362">
        <w:tab/>
      </w:r>
      <w:bookmarkStart w:id="343" w:name="_Hlk136348350"/>
      <w:r w:rsidR="00F3445B" w:rsidRPr="003B4362">
        <w:t xml:space="preserve">For a </w:t>
      </w:r>
      <w:r w:rsidRPr="003B4362">
        <w:t>GWS</w:t>
      </w:r>
      <w:r w:rsidR="00F3445B" w:rsidRPr="003B4362">
        <w:t>,</w:t>
      </w:r>
      <w:r w:rsidRPr="003B4362">
        <w:t xml:space="preserve"> well </w:t>
      </w:r>
      <w:bookmarkEnd w:id="343"/>
      <w:r w:rsidRPr="003B4362">
        <w:t>depth, soil type, well casing integrity, and wellhead protection; and</w:t>
      </w:r>
    </w:p>
    <w:p w14:paraId="0A4B156D" w14:textId="77777777" w:rsidR="003B4362" w:rsidRDefault="003B4362" w:rsidP="003B4362">
      <w:pPr>
        <w:ind w:firstLine="2880"/>
      </w:pPr>
    </w:p>
    <w:p w14:paraId="3E827F21" w14:textId="4E7C1C00" w:rsidR="00C63DE0" w:rsidRPr="003B4362" w:rsidRDefault="00C63DE0" w:rsidP="003B4362">
      <w:pPr>
        <w:ind w:firstLine="2880"/>
      </w:pPr>
      <w:r w:rsidRPr="003B4362">
        <w:t>ii)</w:t>
      </w:r>
      <w:r w:rsidRPr="003B4362">
        <w:tab/>
      </w:r>
      <w:bookmarkStart w:id="344" w:name="_Hlk136348404"/>
      <w:r w:rsidR="00F3445B" w:rsidRPr="003B4362">
        <w:t>For a</w:t>
      </w:r>
      <w:r w:rsidR="00AC3B14" w:rsidRPr="003B4362">
        <w:t>n</w:t>
      </w:r>
      <w:r w:rsidR="00F3445B" w:rsidRPr="003B4362">
        <w:t xml:space="preserve"> </w:t>
      </w:r>
      <w:r w:rsidRPr="003B4362">
        <w:t>SWS</w:t>
      </w:r>
      <w:r w:rsidR="00F3445B" w:rsidRPr="003B4362">
        <w:t xml:space="preserve">, </w:t>
      </w:r>
      <w:bookmarkEnd w:id="344"/>
      <w:r w:rsidRPr="003B4362">
        <w:t>watershed protection;</w:t>
      </w:r>
    </w:p>
    <w:p w14:paraId="75AAE6F0" w14:textId="77777777" w:rsidR="003B4362" w:rsidRDefault="003B4362" w:rsidP="003B4362">
      <w:pPr>
        <w:ind w:left="2880" w:hanging="720"/>
      </w:pPr>
    </w:p>
    <w:p w14:paraId="2F53FD4A" w14:textId="7D81BFE0" w:rsidR="00C63DE0" w:rsidRPr="003B4362" w:rsidRDefault="00C63DE0" w:rsidP="003B4362">
      <w:pPr>
        <w:ind w:left="2880" w:hanging="720"/>
      </w:pPr>
      <w:r w:rsidRPr="003B4362">
        <w:t>E)</w:t>
      </w:r>
      <w:r w:rsidRPr="003B4362">
        <w:tab/>
        <w:t>For Phase II, Phase IIB, and Phase V SOCs:</w:t>
      </w:r>
    </w:p>
    <w:p w14:paraId="67FF70EB" w14:textId="77777777" w:rsidR="003B4362" w:rsidRDefault="003B4362" w:rsidP="003B4362">
      <w:pPr>
        <w:ind w:firstLine="2880"/>
      </w:pPr>
    </w:p>
    <w:p w14:paraId="4428D3BA" w14:textId="386A7B0D" w:rsidR="00C63DE0" w:rsidRPr="003B4362" w:rsidRDefault="00C63DE0" w:rsidP="003B4362">
      <w:pPr>
        <w:ind w:firstLine="2880"/>
      </w:pPr>
      <w:r w:rsidRPr="003B4362">
        <w:t>i)</w:t>
      </w:r>
      <w:r w:rsidRPr="003B4362">
        <w:tab/>
        <w:t>Elevated nitrate levels at the water source; and</w:t>
      </w:r>
    </w:p>
    <w:p w14:paraId="71072476" w14:textId="77777777" w:rsidR="003B4362" w:rsidRDefault="003B4362" w:rsidP="003B4362">
      <w:pPr>
        <w:ind w:left="3600" w:hanging="720"/>
      </w:pPr>
    </w:p>
    <w:p w14:paraId="6D4F6A39" w14:textId="4D9BE759" w:rsidR="00C63DE0" w:rsidRPr="003B4362" w:rsidRDefault="00C63DE0" w:rsidP="003B4362">
      <w:pPr>
        <w:ind w:left="3600" w:hanging="720"/>
      </w:pPr>
      <w:r w:rsidRPr="003B4362">
        <w:t>ii)</w:t>
      </w:r>
      <w:r w:rsidRPr="003B4362">
        <w:tab/>
        <w:t xml:space="preserve">The use of PCBs in </w:t>
      </w:r>
      <w:bookmarkStart w:id="345" w:name="_Hlk129773570"/>
      <w:r w:rsidRPr="003B4362">
        <w:t xml:space="preserve">equipment </w:t>
      </w:r>
      <w:r w:rsidR="00BA4924" w:rsidRPr="003B4362">
        <w:t xml:space="preserve">the supplier uses to produce, store, </w:t>
      </w:r>
      <w:r w:rsidR="0079777B" w:rsidRPr="003B4362">
        <w:t xml:space="preserve">and distribute </w:t>
      </w:r>
      <w:r w:rsidRPr="003B4362">
        <w:t>water</w:t>
      </w:r>
      <w:bookmarkEnd w:id="345"/>
      <w:r w:rsidRPr="003B4362">
        <w:t xml:space="preserve"> (including pumps, transformers, etc.); and</w:t>
      </w:r>
    </w:p>
    <w:p w14:paraId="5F67A903" w14:textId="77777777" w:rsidR="003B4362" w:rsidRDefault="003B4362" w:rsidP="003B4362">
      <w:pPr>
        <w:ind w:left="2880" w:hanging="720"/>
      </w:pPr>
    </w:p>
    <w:p w14:paraId="1AAAFCE1" w14:textId="3A0EA89F" w:rsidR="00C63DE0" w:rsidRPr="003B4362" w:rsidRDefault="00C63DE0" w:rsidP="003B4362">
      <w:pPr>
        <w:ind w:left="2880" w:hanging="720"/>
      </w:pPr>
      <w:r w:rsidRPr="003B4362">
        <w:t>F)</w:t>
      </w:r>
      <w:r w:rsidRPr="003B4362">
        <w:tab/>
        <w:t>For Phase I, Phase II, and Phase V VOCs (under Section 611.646)</w:t>
      </w:r>
      <w:r w:rsidR="00561C95" w:rsidRPr="003B4362">
        <w:t>,</w:t>
      </w:r>
      <w:r w:rsidRPr="003B4362">
        <w:t xml:space="preserve"> the number of </w:t>
      </w:r>
      <w:bookmarkStart w:id="346" w:name="_Hlk129773716"/>
      <w:r w:rsidRPr="003B4362">
        <w:t xml:space="preserve">persons the PWS </w:t>
      </w:r>
      <w:r w:rsidR="00561C95" w:rsidRPr="003B4362">
        <w:t>serves</w:t>
      </w:r>
      <w:bookmarkEnd w:id="346"/>
      <w:r w:rsidR="00190A00" w:rsidRPr="003B4362">
        <w:t>,</w:t>
      </w:r>
      <w:r w:rsidR="00561C95" w:rsidRPr="003B4362">
        <w:t xml:space="preserve"> </w:t>
      </w:r>
      <w:r w:rsidRPr="003B4362">
        <w:t>and the proximity of a smaller system to a larger one.</w:t>
      </w:r>
    </w:p>
    <w:p w14:paraId="71055727" w14:textId="77777777" w:rsidR="003B4362" w:rsidRDefault="003B4362" w:rsidP="003B4362">
      <w:pPr>
        <w:ind w:left="1440" w:hanging="720"/>
      </w:pPr>
    </w:p>
    <w:p w14:paraId="2CB3F412" w14:textId="26CBBC59" w:rsidR="00C63DE0" w:rsidRPr="003B4362" w:rsidRDefault="005D3EA4" w:rsidP="003B4362">
      <w:pPr>
        <w:ind w:left="1440" w:hanging="720"/>
      </w:pPr>
      <w:r w:rsidRPr="003B4362">
        <w:t>b</w:t>
      </w:r>
      <w:r w:rsidR="00C63DE0" w:rsidRPr="003B4362">
        <w:t>)</w:t>
      </w:r>
      <w:r w:rsidR="00C63DE0" w:rsidRPr="003B4362">
        <w:tab/>
        <w:t xml:space="preserve">If a supplier refuses to provide any necessary additional </w:t>
      </w:r>
      <w:bookmarkStart w:id="347" w:name="_Hlk129773843"/>
      <w:r w:rsidR="00C63DE0" w:rsidRPr="003B4362">
        <w:t>information the Agency</w:t>
      </w:r>
      <w:r w:rsidR="00C86D6A" w:rsidRPr="003B4362">
        <w:t xml:space="preserve"> requests</w:t>
      </w:r>
      <w:bookmarkEnd w:id="347"/>
      <w:r w:rsidR="00C63DE0" w:rsidRPr="003B4362">
        <w:t xml:space="preserve">, or if a supplier delivers any necessary information late in the Agency’s deliberations on a request, the Agency may </w:t>
      </w:r>
      <w:bookmarkStart w:id="348" w:name="_Hlk129773920"/>
      <w:r w:rsidR="00C63DE0" w:rsidRPr="003B4362">
        <w:t xml:space="preserve">deny the SEP or </w:t>
      </w:r>
      <w:r w:rsidR="00F962E3" w:rsidRPr="003B4362">
        <w:t xml:space="preserve">issue </w:t>
      </w:r>
      <w:r w:rsidR="00C63DE0" w:rsidRPr="003B4362">
        <w:t>the SEP with conditions</w:t>
      </w:r>
      <w:bookmarkEnd w:id="348"/>
      <w:r w:rsidR="00C63DE0" w:rsidRPr="003B4362">
        <w:t xml:space="preserve"> within the time allowed by law.</w:t>
      </w:r>
    </w:p>
    <w:p w14:paraId="54C3316F" w14:textId="77777777" w:rsidR="003B4362" w:rsidRDefault="003B4362" w:rsidP="003B4362">
      <w:pPr>
        <w:ind w:left="1440" w:hanging="720"/>
      </w:pPr>
    </w:p>
    <w:p w14:paraId="0EA71016" w14:textId="74ED758A" w:rsidR="00C63DE0" w:rsidRPr="003B4362" w:rsidRDefault="005D3EA4" w:rsidP="003B4362">
      <w:pPr>
        <w:ind w:left="1440" w:hanging="720"/>
      </w:pPr>
      <w:r w:rsidRPr="003B4362">
        <w:t>c</w:t>
      </w:r>
      <w:r w:rsidR="00C63DE0" w:rsidRPr="003B4362">
        <w:t>)</w:t>
      </w:r>
      <w:r w:rsidR="00C63DE0" w:rsidRPr="003B4362">
        <w:tab/>
        <w:t xml:space="preserve">The Agency must </w:t>
      </w:r>
      <w:bookmarkStart w:id="349" w:name="_Hlk129773999"/>
      <w:r w:rsidR="00F962E3" w:rsidRPr="003B4362">
        <w:t xml:space="preserve">issue </w:t>
      </w:r>
      <w:r w:rsidR="00C63DE0" w:rsidRPr="003B4362">
        <w:t xml:space="preserve">a SEP </w:t>
      </w:r>
      <w:r w:rsidR="00B56065" w:rsidRPr="003B4362">
        <w:t xml:space="preserve">allowing a supplier </w:t>
      </w:r>
      <w:r w:rsidR="00C63DE0" w:rsidRPr="003B4362">
        <w:t>to discontinue</w:t>
      </w:r>
      <w:bookmarkEnd w:id="349"/>
      <w:r w:rsidR="00C63DE0" w:rsidRPr="003B4362">
        <w:t xml:space="preserve"> monitoring for cyanide </w:t>
      </w:r>
      <w:bookmarkStart w:id="350" w:name="_Hlk129774063"/>
      <w:r w:rsidR="00126470" w:rsidRPr="003B4362">
        <w:t>upon determining</w:t>
      </w:r>
      <w:r w:rsidR="00B56065" w:rsidRPr="003B4362">
        <w:t xml:space="preserve"> </w:t>
      </w:r>
      <w:bookmarkEnd w:id="350"/>
      <w:r w:rsidR="00C63DE0" w:rsidRPr="003B4362">
        <w:t xml:space="preserve">that the supplier’s water is </w:t>
      </w:r>
      <w:bookmarkStart w:id="351" w:name="_Hlk129774129"/>
      <w:r w:rsidR="00C63DE0" w:rsidRPr="003B4362">
        <w:t>not vulnerable to any industrial</w:t>
      </w:r>
      <w:bookmarkEnd w:id="351"/>
      <w:r w:rsidR="00C63DE0" w:rsidRPr="003B4362">
        <w:t xml:space="preserve"> source of cyanide.</w:t>
      </w:r>
    </w:p>
    <w:p w14:paraId="0BE7AA36" w14:textId="77777777" w:rsidR="003B4362" w:rsidRDefault="003B4362" w:rsidP="003B4362">
      <w:pPr>
        <w:ind w:left="1440"/>
      </w:pPr>
    </w:p>
    <w:p w14:paraId="3A20E2A6" w14:textId="5F4C445E" w:rsidR="00C63DE0" w:rsidRPr="003B4362" w:rsidRDefault="00C63DE0" w:rsidP="003B4362">
      <w:pPr>
        <w:ind w:left="1440"/>
      </w:pPr>
      <w:r w:rsidRPr="003B4362">
        <w:t>BOARD NOTE: Subsection (</w:t>
      </w:r>
      <w:r w:rsidR="005D3EA4" w:rsidRPr="003B4362">
        <w:t>a</w:t>
      </w:r>
      <w:r w:rsidRPr="003B4362">
        <w:t xml:space="preserve">) </w:t>
      </w:r>
      <w:r w:rsidR="0011335F" w:rsidRPr="003B4362">
        <w:t xml:space="preserve">derives </w:t>
      </w:r>
      <w:r w:rsidRPr="003B4362">
        <w:t>from 40 CFR 141.24(f)(8) and (h)(6).  Subsection (</w:t>
      </w:r>
      <w:r w:rsidR="005D3EA4" w:rsidRPr="003B4362">
        <w:t>b</w:t>
      </w:r>
      <w:r w:rsidRPr="003B4362">
        <w:t xml:space="preserve">) </w:t>
      </w:r>
      <w:r w:rsidR="0011335F" w:rsidRPr="003B4362">
        <w:t xml:space="preserve">derives </w:t>
      </w:r>
      <w:r w:rsidRPr="003B4362">
        <w:t>from 40 CFR 141.82(d)(2), and 141.83(b)(2).  Subsection (</w:t>
      </w:r>
      <w:r w:rsidR="005D3EA4" w:rsidRPr="003B4362">
        <w:t>c</w:t>
      </w:r>
      <w:r w:rsidRPr="003B4362">
        <w:t xml:space="preserve">) </w:t>
      </w:r>
      <w:r w:rsidR="0011335F" w:rsidRPr="003B4362">
        <w:t xml:space="preserve">derives </w:t>
      </w:r>
      <w:r w:rsidRPr="003B4362">
        <w:t xml:space="preserve">from 40 CFR 141.23(c)(2).  </w:t>
      </w:r>
      <w:r w:rsidR="0011335F" w:rsidRPr="003B4362">
        <w:t xml:space="preserve">At 40 CFR 142.18, </w:t>
      </w:r>
      <w:bookmarkStart w:id="352" w:name="_Hlk129774457"/>
      <w:r w:rsidRPr="003B4362">
        <w:t xml:space="preserve">USEPA </w:t>
      </w:r>
      <w:r w:rsidR="00F368CF" w:rsidRPr="003B4362">
        <w:t xml:space="preserve">reserves </w:t>
      </w:r>
      <w:r w:rsidRPr="003B4362">
        <w:t>discretion</w:t>
      </w:r>
      <w:bookmarkEnd w:id="352"/>
      <w:r w:rsidRPr="003B4362">
        <w:t xml:space="preserve"> to review and nullify Agency </w:t>
      </w:r>
      <w:bookmarkStart w:id="353" w:name="_Hlk129774588"/>
      <w:r w:rsidRPr="003B4362">
        <w:t xml:space="preserve">determinations of the </w:t>
      </w:r>
      <w:r w:rsidR="00FE78DC" w:rsidRPr="003B4362">
        <w:t>kind</w:t>
      </w:r>
      <w:r w:rsidR="00561C95" w:rsidRPr="003B4362">
        <w:t xml:space="preserve">s </w:t>
      </w:r>
      <w:bookmarkEnd w:id="353"/>
      <w:r w:rsidRPr="003B4362">
        <w:t xml:space="preserve">made under </w:t>
      </w:r>
      <w:bookmarkStart w:id="354" w:name="_Hlk129774650"/>
      <w:r w:rsidRPr="003B4362">
        <w:t>Sections 611.602, 611.603, 611.646, and 611.648</w:t>
      </w:r>
      <w:bookmarkEnd w:id="354"/>
      <w:r w:rsidR="008962FE" w:rsidRPr="003B4362">
        <w:t xml:space="preserve">.  </w:t>
      </w:r>
      <w:bookmarkStart w:id="355" w:name="_Hlk129774865"/>
      <w:r w:rsidR="008962FE" w:rsidRPr="003B4362">
        <w:t>At</w:t>
      </w:r>
      <w:r w:rsidRPr="003B4362">
        <w:t xml:space="preserve"> 40 CFR 141.82(i), 141.83(b)(7), and 142.19, </w:t>
      </w:r>
      <w:r w:rsidR="00F368CF" w:rsidRPr="003B4362">
        <w:t xml:space="preserve">USEPA </w:t>
      </w:r>
      <w:r w:rsidR="00CD3702" w:rsidRPr="003B4362">
        <w:t>maintains authority</w:t>
      </w:r>
      <w:bookmarkEnd w:id="355"/>
      <w:r w:rsidR="00CD3702" w:rsidRPr="003B4362">
        <w:t xml:space="preserve"> </w:t>
      </w:r>
      <w:r w:rsidRPr="003B4362">
        <w:t xml:space="preserve">to establish federal </w:t>
      </w:r>
      <w:r w:rsidRPr="003B4362">
        <w:lastRenderedPageBreak/>
        <w:t xml:space="preserve">standards for any supplier superseding any </w:t>
      </w:r>
      <w:bookmarkStart w:id="356" w:name="_Hlk129775031"/>
      <w:r w:rsidRPr="003B4362">
        <w:t>Agency determination under</w:t>
      </w:r>
      <w:bookmarkEnd w:id="356"/>
      <w:r w:rsidRPr="003B4362">
        <w:t xml:space="preserve"> Sections 611.352(d), 611.352(f), 611.353(b)(2), and 611.353(b)(4).</w:t>
      </w:r>
    </w:p>
    <w:p w14:paraId="3E5D6C72" w14:textId="77777777" w:rsidR="003B4362" w:rsidRDefault="003B4362" w:rsidP="003B4362">
      <w:pPr>
        <w:suppressAutoHyphens/>
        <w:ind w:left="720"/>
      </w:pPr>
    </w:p>
    <w:p w14:paraId="1AA3DF29" w14:textId="3C21D04D" w:rsidR="00C63DE0" w:rsidRPr="003B4362" w:rsidRDefault="00C63DE0" w:rsidP="003B4362">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00BAF2BD" w14:textId="77777777" w:rsidR="00631B8E" w:rsidRPr="003B4362" w:rsidRDefault="00631B8E" w:rsidP="00631B8E">
      <w:pPr>
        <w:suppressAutoHyphens/>
        <w:ind w:left="720"/>
      </w:pPr>
    </w:p>
    <w:p w14:paraId="3E916B4C" w14:textId="77777777" w:rsidR="00631B8E" w:rsidRPr="003B4362" w:rsidRDefault="00631B8E" w:rsidP="00631B8E">
      <w:pPr>
        <w:rPr>
          <w:b/>
          <w:szCs w:val="24"/>
        </w:rPr>
      </w:pPr>
      <w:bookmarkStart w:id="357" w:name="_Hlk8212003"/>
      <w:bookmarkEnd w:id="327"/>
      <w:r w:rsidRPr="003B4362">
        <w:rPr>
          <w:b/>
          <w:szCs w:val="24"/>
        </w:rPr>
        <w:t>Section 611.111  Relief Equivalent to SDWA Section 1415(a) Variances</w:t>
      </w:r>
    </w:p>
    <w:p w14:paraId="6BCE115B" w14:textId="77777777" w:rsidR="00631B8E" w:rsidRPr="003B4362" w:rsidRDefault="00631B8E" w:rsidP="00631B8E">
      <w:pPr>
        <w:suppressAutoHyphens/>
        <w:rPr>
          <w:szCs w:val="24"/>
        </w:rPr>
      </w:pPr>
    </w:p>
    <w:p w14:paraId="5B7CCC97" w14:textId="2A2B854B" w:rsidR="00631B8E" w:rsidRPr="003B4362" w:rsidRDefault="00631B8E" w:rsidP="00631B8E">
      <w:pPr>
        <w:suppressAutoHyphens/>
        <w:rPr>
          <w:szCs w:val="24"/>
        </w:rPr>
      </w:pPr>
      <w:r w:rsidRPr="003B4362">
        <w:rPr>
          <w:szCs w:val="24"/>
        </w:rPr>
        <w:t>This Section describes how the Board grants relief equivalent to that available from USEPA under section 1415(a)(1)(A) and (a)(1)(B) of SDWA (42 U.S.C. 300g-4(a)(1)(A) and (a)(1)(B)).  Every variance under Sections 35 through 38 of the Act must require that the supplier comply within five years.  SDWA section 1415 variances need not do so</w:t>
      </w:r>
      <w:r w:rsidR="003144A0" w:rsidRPr="003B4362">
        <w:rPr>
          <w:szCs w:val="24"/>
        </w:rPr>
        <w:t>.</w:t>
      </w:r>
      <w:r w:rsidRPr="003B4362">
        <w:rPr>
          <w:szCs w:val="24"/>
        </w:rPr>
        <w:t xml:space="preserve">  A supplier may seek State regulatory relief equivalent to a SDWA section 1415 variance using one of three procedural mechanisms:  a variance under Sections </w:t>
      </w:r>
      <w:bookmarkStart w:id="358" w:name="_Hlk25151108"/>
      <w:r w:rsidRPr="003B4362">
        <w:rPr>
          <w:szCs w:val="24"/>
        </w:rPr>
        <w:t xml:space="preserve">35 through 38 </w:t>
      </w:r>
      <w:bookmarkEnd w:id="358"/>
      <w:r w:rsidRPr="003B4362">
        <w:rPr>
          <w:szCs w:val="24"/>
        </w:rPr>
        <w:t>of the Act and Subpart B of 35 Ill. Adm. Code 104; a site-specific rule under Sections 27 and 28 of the Act and 35 Ill. Adm. Code 102; or an adjusted standard under Section 28.1 of the Act and Subpart D of 35 Ill. Adm. Code 104.</w:t>
      </w:r>
    </w:p>
    <w:p w14:paraId="5DC1927F" w14:textId="77777777" w:rsidR="00631B8E" w:rsidRPr="003B4362" w:rsidRDefault="00631B8E" w:rsidP="00631B8E">
      <w:pPr>
        <w:suppressAutoHyphens/>
        <w:ind w:left="1440" w:hanging="720"/>
        <w:rPr>
          <w:szCs w:val="24"/>
        </w:rPr>
      </w:pPr>
    </w:p>
    <w:p w14:paraId="661E0393" w14:textId="62A566E2" w:rsidR="00631B8E" w:rsidRPr="003B4362" w:rsidRDefault="00631B8E" w:rsidP="00631B8E">
      <w:pPr>
        <w:suppressAutoHyphens/>
        <w:ind w:left="1440" w:hanging="720"/>
        <w:rPr>
          <w:szCs w:val="24"/>
        </w:rPr>
      </w:pPr>
      <w:r w:rsidRPr="003B4362">
        <w:rPr>
          <w:szCs w:val="24"/>
        </w:rPr>
        <w:t>a)</w:t>
      </w:r>
      <w:r w:rsidRPr="003B4362">
        <w:rPr>
          <w:szCs w:val="24"/>
        </w:rPr>
        <w:tab/>
        <w:t>The Board will grant a variance, a site-specific rule, or an adjusted standard from an MCL or a treatment technique under this Section.</w:t>
      </w:r>
    </w:p>
    <w:p w14:paraId="287C1EC2" w14:textId="77777777" w:rsidR="00631B8E" w:rsidRPr="003B4362" w:rsidRDefault="00631B8E" w:rsidP="00631B8E">
      <w:pPr>
        <w:suppressAutoHyphens/>
        <w:ind w:left="2160" w:hanging="720"/>
        <w:rPr>
          <w:szCs w:val="24"/>
        </w:rPr>
      </w:pPr>
    </w:p>
    <w:p w14:paraId="3CB4B1B9" w14:textId="7AF57B5A" w:rsidR="00631B8E" w:rsidRPr="003B4362" w:rsidRDefault="00631B8E" w:rsidP="00631B8E">
      <w:pPr>
        <w:suppressAutoHyphens/>
        <w:ind w:left="2160" w:hanging="720"/>
        <w:rPr>
          <w:szCs w:val="24"/>
        </w:rPr>
      </w:pPr>
      <w:r w:rsidRPr="003B4362">
        <w:rPr>
          <w:szCs w:val="24"/>
        </w:rPr>
        <w:t>1)</w:t>
      </w:r>
      <w:r w:rsidRPr="003B4362">
        <w:rPr>
          <w:szCs w:val="24"/>
        </w:rPr>
        <w:tab/>
        <w:t xml:space="preserve">The supplier must file a petition </w:t>
      </w:r>
      <w:bookmarkStart w:id="359" w:name="_Hlk26354593"/>
      <w:r w:rsidRPr="003B4362">
        <w:rPr>
          <w:szCs w:val="24"/>
        </w:rPr>
        <w:t xml:space="preserve">under </w:t>
      </w:r>
      <w:bookmarkEnd w:id="359"/>
      <w:r w:rsidRPr="003B4362">
        <w:rPr>
          <w:szCs w:val="24"/>
        </w:rPr>
        <w:t>the applicable of 35 Ill. Adm. Code 102 or 104.</w:t>
      </w:r>
    </w:p>
    <w:p w14:paraId="7B12D75A" w14:textId="77777777" w:rsidR="00631B8E" w:rsidRPr="003B4362" w:rsidRDefault="00631B8E" w:rsidP="00631B8E">
      <w:pPr>
        <w:suppressAutoHyphens/>
        <w:ind w:left="2160" w:hanging="720"/>
        <w:rPr>
          <w:szCs w:val="24"/>
        </w:rPr>
      </w:pPr>
    </w:p>
    <w:p w14:paraId="1CDC8D09" w14:textId="6D2D6F06" w:rsidR="00631B8E" w:rsidRPr="003B4362" w:rsidRDefault="00631B8E" w:rsidP="00631B8E">
      <w:pPr>
        <w:suppressAutoHyphens/>
        <w:ind w:left="2160" w:hanging="720"/>
        <w:rPr>
          <w:szCs w:val="24"/>
        </w:rPr>
      </w:pPr>
      <w:r w:rsidRPr="003B4362">
        <w:rPr>
          <w:szCs w:val="24"/>
        </w:rPr>
        <w:t>2)</w:t>
      </w:r>
      <w:r w:rsidRPr="003B4362">
        <w:rPr>
          <w:szCs w:val="24"/>
        </w:rPr>
        <w:tab/>
        <w:t>If a State requirement does not have a federal counterpart, the Board needs not follow this Section when granting relief from the State requirements.</w:t>
      </w:r>
    </w:p>
    <w:p w14:paraId="541B5721" w14:textId="77777777" w:rsidR="00631B8E" w:rsidRPr="003B4362" w:rsidRDefault="00631B8E" w:rsidP="00631B8E">
      <w:pPr>
        <w:suppressAutoHyphens/>
        <w:ind w:left="1440" w:hanging="720"/>
        <w:rPr>
          <w:szCs w:val="24"/>
        </w:rPr>
      </w:pPr>
    </w:p>
    <w:p w14:paraId="37EA640E" w14:textId="77777777" w:rsidR="00631B8E" w:rsidRPr="003B4362" w:rsidRDefault="00631B8E" w:rsidP="00631B8E">
      <w:pPr>
        <w:suppressAutoHyphens/>
        <w:ind w:left="1440" w:hanging="720"/>
        <w:rPr>
          <w:szCs w:val="24"/>
        </w:rPr>
      </w:pPr>
      <w:r w:rsidRPr="003B4362">
        <w:rPr>
          <w:szCs w:val="24"/>
        </w:rPr>
        <w:t>b)</w:t>
      </w:r>
      <w:r w:rsidRPr="003B4362">
        <w:rPr>
          <w:szCs w:val="24"/>
        </w:rPr>
        <w:tab/>
        <w:t>Relief from an MCL</w:t>
      </w:r>
    </w:p>
    <w:p w14:paraId="360D4979" w14:textId="77777777" w:rsidR="00631B8E" w:rsidRPr="003B4362" w:rsidRDefault="00631B8E" w:rsidP="00631B8E">
      <w:pPr>
        <w:suppressAutoHyphens/>
        <w:ind w:left="2160" w:hanging="720"/>
        <w:rPr>
          <w:szCs w:val="24"/>
        </w:rPr>
      </w:pPr>
    </w:p>
    <w:p w14:paraId="36C87F60" w14:textId="4809DF2C" w:rsidR="00631B8E" w:rsidRPr="003B4362" w:rsidRDefault="00631B8E" w:rsidP="00631B8E">
      <w:pPr>
        <w:suppressAutoHyphens/>
        <w:ind w:left="2160" w:hanging="720"/>
        <w:rPr>
          <w:szCs w:val="24"/>
        </w:rPr>
      </w:pPr>
      <w:r w:rsidRPr="003B4362">
        <w:rPr>
          <w:szCs w:val="24"/>
        </w:rPr>
        <w:t>1)</w:t>
      </w:r>
      <w:r w:rsidRPr="003B4362">
        <w:rPr>
          <w:szCs w:val="24"/>
        </w:rPr>
        <w:tab/>
        <w:t>To justify relief from an MCL under this Section, the supplier must demonstrate specific facts:</w:t>
      </w:r>
    </w:p>
    <w:p w14:paraId="44CB463D" w14:textId="77777777" w:rsidR="00631B8E" w:rsidRPr="003B4362" w:rsidRDefault="00631B8E" w:rsidP="00631B8E">
      <w:pPr>
        <w:suppressAutoHyphens/>
        <w:ind w:left="2880" w:hanging="720"/>
        <w:rPr>
          <w:szCs w:val="24"/>
        </w:rPr>
      </w:pPr>
    </w:p>
    <w:p w14:paraId="45526D20" w14:textId="1156B272" w:rsidR="00631B8E" w:rsidRPr="003B4362" w:rsidRDefault="00631B8E" w:rsidP="00631B8E">
      <w:pPr>
        <w:suppressAutoHyphens/>
        <w:ind w:left="2880" w:hanging="720"/>
        <w:rPr>
          <w:szCs w:val="24"/>
        </w:rPr>
      </w:pPr>
      <w:r w:rsidRPr="003B4362">
        <w:rPr>
          <w:szCs w:val="24"/>
        </w:rPr>
        <w:t>A)</w:t>
      </w:r>
      <w:r w:rsidRPr="003B4362">
        <w:rPr>
          <w:szCs w:val="24"/>
        </w:rPr>
        <w:tab/>
        <w:t>Due to the characteristics of the raw water sources and alternative sources that are reasonably available to the system, the supplier cannot meet the MCL;</w:t>
      </w:r>
    </w:p>
    <w:p w14:paraId="06312BBC" w14:textId="77777777" w:rsidR="00631B8E" w:rsidRPr="003B4362" w:rsidRDefault="00631B8E" w:rsidP="00631B8E">
      <w:pPr>
        <w:suppressAutoHyphens/>
        <w:ind w:left="2880" w:hanging="720"/>
        <w:rPr>
          <w:szCs w:val="24"/>
        </w:rPr>
      </w:pPr>
    </w:p>
    <w:p w14:paraId="27678D3C" w14:textId="506D8D0D" w:rsidR="00631B8E" w:rsidRPr="003B4362" w:rsidRDefault="00631B8E" w:rsidP="00631B8E">
      <w:pPr>
        <w:suppressAutoHyphens/>
        <w:ind w:left="2880" w:hanging="720"/>
        <w:rPr>
          <w:szCs w:val="24"/>
        </w:rPr>
      </w:pPr>
      <w:r w:rsidRPr="003B4362">
        <w:rPr>
          <w:szCs w:val="24"/>
        </w:rPr>
        <w:t>B)</w:t>
      </w:r>
      <w:r w:rsidRPr="003B4362">
        <w:rPr>
          <w:szCs w:val="24"/>
        </w:rPr>
        <w:tab/>
        <w:t>The supplier installs or will install BAT (as identified in Subpart F), treatment technique, or other means that the Agency finds available.  BAT may vary depending on specific considerations:</w:t>
      </w:r>
    </w:p>
    <w:p w14:paraId="4AA20AA4" w14:textId="77777777" w:rsidR="00631B8E" w:rsidRPr="003B4362" w:rsidRDefault="00631B8E" w:rsidP="00631B8E">
      <w:pPr>
        <w:suppressAutoHyphens/>
        <w:ind w:left="2880"/>
        <w:rPr>
          <w:szCs w:val="24"/>
        </w:rPr>
      </w:pPr>
    </w:p>
    <w:p w14:paraId="457F193C" w14:textId="15C911DA" w:rsidR="00631B8E" w:rsidRPr="003B4362" w:rsidRDefault="00631B8E" w:rsidP="00631B8E">
      <w:pPr>
        <w:suppressAutoHyphens/>
        <w:ind w:left="2880"/>
        <w:rPr>
          <w:szCs w:val="24"/>
        </w:rPr>
      </w:pPr>
      <w:r w:rsidRPr="003B4362">
        <w:rPr>
          <w:szCs w:val="24"/>
        </w:rPr>
        <w:t>i)</w:t>
      </w:r>
      <w:r w:rsidRPr="003B4362">
        <w:rPr>
          <w:szCs w:val="24"/>
        </w:rPr>
        <w:tab/>
        <w:t>The number of persons the system serves;</w:t>
      </w:r>
    </w:p>
    <w:p w14:paraId="37F7DC9A" w14:textId="77777777" w:rsidR="00631B8E" w:rsidRPr="003B4362" w:rsidRDefault="00631B8E" w:rsidP="00631B8E">
      <w:pPr>
        <w:suppressAutoHyphens/>
        <w:ind w:left="2880"/>
        <w:rPr>
          <w:szCs w:val="24"/>
        </w:rPr>
      </w:pPr>
    </w:p>
    <w:p w14:paraId="3AD6D690" w14:textId="77777777" w:rsidR="00631B8E" w:rsidRPr="003B4362" w:rsidRDefault="00631B8E" w:rsidP="00631B8E">
      <w:pPr>
        <w:suppressAutoHyphens/>
        <w:ind w:left="3600" w:hanging="720"/>
        <w:rPr>
          <w:szCs w:val="24"/>
        </w:rPr>
      </w:pPr>
      <w:r w:rsidRPr="003B4362">
        <w:rPr>
          <w:szCs w:val="24"/>
        </w:rPr>
        <w:t>ii)</w:t>
      </w:r>
      <w:r w:rsidRPr="003B4362">
        <w:rPr>
          <w:szCs w:val="24"/>
        </w:rPr>
        <w:tab/>
        <w:t>Physical conditions related to engineering feasibility; and</w:t>
      </w:r>
    </w:p>
    <w:p w14:paraId="5EF22B40" w14:textId="77777777" w:rsidR="00631B8E" w:rsidRPr="003B4362" w:rsidRDefault="00631B8E" w:rsidP="00631B8E">
      <w:pPr>
        <w:suppressAutoHyphens/>
        <w:ind w:left="2880"/>
        <w:rPr>
          <w:szCs w:val="24"/>
        </w:rPr>
      </w:pPr>
    </w:p>
    <w:p w14:paraId="0B722765" w14:textId="58585D98" w:rsidR="00631B8E" w:rsidRPr="003B4362" w:rsidRDefault="00631B8E" w:rsidP="00631B8E">
      <w:pPr>
        <w:suppressAutoHyphens/>
        <w:ind w:left="2880"/>
        <w:rPr>
          <w:szCs w:val="24"/>
        </w:rPr>
      </w:pPr>
      <w:r w:rsidRPr="003B4362">
        <w:rPr>
          <w:szCs w:val="24"/>
        </w:rPr>
        <w:t>iii)</w:t>
      </w:r>
      <w:r w:rsidRPr="003B4362">
        <w:rPr>
          <w:szCs w:val="24"/>
        </w:rPr>
        <w:tab/>
        <w:t>Compliance costs; and</w:t>
      </w:r>
    </w:p>
    <w:p w14:paraId="355E0BCF" w14:textId="77777777" w:rsidR="00631B8E" w:rsidRPr="003B4362" w:rsidRDefault="00631B8E" w:rsidP="00631B8E">
      <w:pPr>
        <w:suppressAutoHyphens/>
        <w:ind w:left="2880" w:hanging="720"/>
        <w:rPr>
          <w:szCs w:val="24"/>
        </w:rPr>
      </w:pPr>
    </w:p>
    <w:p w14:paraId="73F7CDED" w14:textId="77777777" w:rsidR="00631B8E" w:rsidRPr="003B4362" w:rsidRDefault="00631B8E" w:rsidP="00631B8E">
      <w:pPr>
        <w:suppressAutoHyphens/>
        <w:ind w:left="2880" w:hanging="720"/>
        <w:rPr>
          <w:szCs w:val="24"/>
        </w:rPr>
      </w:pPr>
      <w:r w:rsidRPr="003B4362">
        <w:rPr>
          <w:szCs w:val="24"/>
        </w:rPr>
        <w:lastRenderedPageBreak/>
        <w:t>C)</w:t>
      </w:r>
      <w:r w:rsidRPr="003B4362">
        <w:rPr>
          <w:szCs w:val="24"/>
        </w:rPr>
        <w:tab/>
        <w:t>The variance will not result in an unreasonable risk to human health.</w:t>
      </w:r>
    </w:p>
    <w:p w14:paraId="04A3F31D" w14:textId="77777777" w:rsidR="00631B8E" w:rsidRPr="003B4362" w:rsidRDefault="00631B8E" w:rsidP="00631B8E">
      <w:pPr>
        <w:suppressAutoHyphens/>
        <w:ind w:left="2160" w:hanging="720"/>
        <w:rPr>
          <w:szCs w:val="24"/>
        </w:rPr>
      </w:pPr>
    </w:p>
    <w:p w14:paraId="20B2564F" w14:textId="3FFC55BA" w:rsidR="00631B8E" w:rsidRPr="003B4362" w:rsidRDefault="00631B8E" w:rsidP="00631B8E">
      <w:pPr>
        <w:suppressAutoHyphens/>
        <w:ind w:left="2160" w:hanging="720"/>
        <w:rPr>
          <w:szCs w:val="24"/>
        </w:rPr>
      </w:pPr>
      <w:r w:rsidRPr="003B4362">
        <w:rPr>
          <w:szCs w:val="24"/>
        </w:rPr>
        <w:t>2)</w:t>
      </w:r>
      <w:r w:rsidRPr="003B4362">
        <w:rPr>
          <w:szCs w:val="24"/>
        </w:rPr>
        <w:tab/>
        <w:t>In any order granting relief under this subsection (b), the Board will prescribe schedules:</w:t>
      </w:r>
    </w:p>
    <w:p w14:paraId="74A5E612" w14:textId="77777777" w:rsidR="00631B8E" w:rsidRPr="003B4362" w:rsidRDefault="00631B8E" w:rsidP="00631B8E">
      <w:pPr>
        <w:suppressAutoHyphens/>
        <w:ind w:left="2880" w:hanging="720"/>
        <w:rPr>
          <w:szCs w:val="24"/>
        </w:rPr>
      </w:pPr>
    </w:p>
    <w:p w14:paraId="1B78246C" w14:textId="4300E004" w:rsidR="00631B8E" w:rsidRPr="003B4362" w:rsidRDefault="00631B8E" w:rsidP="00631B8E">
      <w:pPr>
        <w:suppressAutoHyphens/>
        <w:ind w:left="2880" w:hanging="720"/>
        <w:rPr>
          <w:szCs w:val="24"/>
        </w:rPr>
      </w:pPr>
      <w:r w:rsidRPr="003B4362">
        <w:rPr>
          <w:szCs w:val="24"/>
        </w:rPr>
        <w:t>A)</w:t>
      </w:r>
      <w:r w:rsidRPr="003B4362">
        <w:rPr>
          <w:szCs w:val="24"/>
        </w:rPr>
        <w:tab/>
        <w:t>A schedule for complying with each MCL from which the Board granted relief, including increments of progress;</w:t>
      </w:r>
      <w:r w:rsidRPr="003B4362">
        <w:rPr>
          <w:spacing w:val="-3"/>
          <w:szCs w:val="24"/>
        </w:rPr>
        <w:t xml:space="preserve"> and</w:t>
      </w:r>
    </w:p>
    <w:p w14:paraId="6B19FBA7" w14:textId="77777777" w:rsidR="00631B8E" w:rsidRPr="003B4362" w:rsidRDefault="00631B8E" w:rsidP="00631B8E">
      <w:pPr>
        <w:suppressAutoHyphens/>
        <w:ind w:left="2880" w:hanging="720"/>
        <w:rPr>
          <w:szCs w:val="24"/>
        </w:rPr>
      </w:pPr>
    </w:p>
    <w:p w14:paraId="5ED82D41" w14:textId="3F2EDEA3" w:rsidR="00631B8E" w:rsidRPr="003B4362" w:rsidRDefault="00631B8E" w:rsidP="00631B8E">
      <w:pPr>
        <w:suppressAutoHyphens/>
        <w:ind w:left="2880" w:hanging="720"/>
        <w:rPr>
          <w:szCs w:val="24"/>
        </w:rPr>
      </w:pPr>
      <w:r w:rsidRPr="003B4362">
        <w:rPr>
          <w:szCs w:val="24"/>
        </w:rPr>
        <w:t>B)</w:t>
      </w:r>
      <w:r w:rsidRPr="003B4362">
        <w:rPr>
          <w:szCs w:val="24"/>
        </w:rPr>
        <w:tab/>
        <w:t>A schedule for the supplier implementing each additional control measure for each MCL from which the Board granted relief during the period ending when the order requires that the supplier comply with the MCL.</w:t>
      </w:r>
    </w:p>
    <w:p w14:paraId="264CEC8F" w14:textId="77777777" w:rsidR="00631B8E" w:rsidRPr="003B4362" w:rsidRDefault="00631B8E" w:rsidP="00631B8E">
      <w:pPr>
        <w:suppressAutoHyphens/>
        <w:ind w:left="2160" w:hanging="720"/>
        <w:rPr>
          <w:szCs w:val="24"/>
        </w:rPr>
      </w:pPr>
    </w:p>
    <w:p w14:paraId="701BEA89" w14:textId="77777777" w:rsidR="00631B8E" w:rsidRPr="003B4362" w:rsidRDefault="00631B8E" w:rsidP="00631B8E">
      <w:pPr>
        <w:suppressAutoHyphens/>
        <w:ind w:left="2160" w:hanging="720"/>
        <w:rPr>
          <w:szCs w:val="24"/>
        </w:rPr>
      </w:pPr>
      <w:r w:rsidRPr="003B4362">
        <w:rPr>
          <w:szCs w:val="24"/>
        </w:rPr>
        <w:t>3)</w:t>
      </w:r>
      <w:r w:rsidRPr="003B4362">
        <w:rPr>
          <w:szCs w:val="24"/>
        </w:rPr>
        <w:tab/>
        <w:t>Schedule of Compliance for Relief from an MCL</w:t>
      </w:r>
    </w:p>
    <w:p w14:paraId="7A0179A2" w14:textId="77777777" w:rsidR="00631B8E" w:rsidRPr="003B4362" w:rsidRDefault="00631B8E" w:rsidP="00631B8E">
      <w:pPr>
        <w:suppressAutoHyphens/>
        <w:ind w:left="2880" w:hanging="720"/>
        <w:rPr>
          <w:szCs w:val="24"/>
        </w:rPr>
      </w:pPr>
    </w:p>
    <w:p w14:paraId="25A44366" w14:textId="40D07119" w:rsidR="00631B8E" w:rsidRPr="003B4362" w:rsidRDefault="00631B8E" w:rsidP="00631B8E">
      <w:pPr>
        <w:suppressAutoHyphens/>
        <w:ind w:left="2880" w:hanging="720"/>
        <w:rPr>
          <w:szCs w:val="24"/>
        </w:rPr>
      </w:pPr>
      <w:r w:rsidRPr="003B4362">
        <w:rPr>
          <w:szCs w:val="24"/>
        </w:rPr>
        <w:t>A)</w:t>
      </w:r>
      <w:r w:rsidRPr="003B4362">
        <w:rPr>
          <w:szCs w:val="24"/>
        </w:rPr>
        <w:tab/>
        <w:t>A schedule of compliance will require the supplier to comply as expeditiously as practicable with each MCL from which the Board granted relief.</w:t>
      </w:r>
    </w:p>
    <w:p w14:paraId="29BA6A29" w14:textId="77777777" w:rsidR="00631B8E" w:rsidRPr="003B4362" w:rsidRDefault="00631B8E" w:rsidP="00631B8E">
      <w:pPr>
        <w:suppressAutoHyphens/>
        <w:ind w:left="2880" w:hanging="720"/>
        <w:rPr>
          <w:szCs w:val="24"/>
        </w:rPr>
      </w:pPr>
    </w:p>
    <w:p w14:paraId="6F877305" w14:textId="1C3734CF" w:rsidR="00631B8E" w:rsidRPr="003B4362" w:rsidRDefault="00631B8E" w:rsidP="00631B8E">
      <w:pPr>
        <w:suppressAutoHyphens/>
        <w:ind w:left="2880" w:hanging="720"/>
        <w:rPr>
          <w:spacing w:val="-2"/>
          <w:szCs w:val="24"/>
        </w:rPr>
      </w:pPr>
      <w:r w:rsidRPr="003B4362">
        <w:rPr>
          <w:szCs w:val="24"/>
        </w:rPr>
        <w:t>B)</w:t>
      </w:r>
      <w:r w:rsidRPr="003B4362">
        <w:rPr>
          <w:szCs w:val="24"/>
        </w:rPr>
        <w:tab/>
      </w:r>
      <w:r w:rsidRPr="003B4362">
        <w:rPr>
          <w:spacing w:val="-2"/>
          <w:szCs w:val="24"/>
        </w:rPr>
        <w:t>If the Board prescribes a schedule requiring the supplier to comply with a</w:t>
      </w:r>
      <w:r w:rsidRPr="003B4362">
        <w:rPr>
          <w:szCs w:val="24"/>
        </w:rPr>
        <w:t>n</w:t>
      </w:r>
      <w:r w:rsidRPr="003B4362">
        <w:rPr>
          <w:spacing w:val="-2"/>
          <w:szCs w:val="24"/>
        </w:rPr>
        <w:t xml:space="preserve"> </w:t>
      </w:r>
      <w:r w:rsidRPr="003B4362">
        <w:rPr>
          <w:szCs w:val="24"/>
        </w:rPr>
        <w:t xml:space="preserve">MCL that is more </w:t>
      </w:r>
      <w:r w:rsidRPr="003B4362">
        <w:rPr>
          <w:spacing w:val="-2"/>
          <w:szCs w:val="24"/>
        </w:rPr>
        <w:t>than five years after when the Board grants the relief</w:t>
      </w:r>
      <w:r w:rsidRPr="003B4362">
        <w:rPr>
          <w:szCs w:val="24"/>
        </w:rPr>
        <w:t>,</w:t>
      </w:r>
      <w:r w:rsidRPr="003B4362">
        <w:rPr>
          <w:spacing w:val="-2"/>
          <w:szCs w:val="24"/>
        </w:rPr>
        <w:t xml:space="preserve"> the Board </w:t>
      </w:r>
      <w:r w:rsidRPr="003B4362">
        <w:rPr>
          <w:szCs w:val="24"/>
        </w:rPr>
        <w:t>will take certain actions</w:t>
      </w:r>
      <w:r w:rsidRPr="003B4362">
        <w:rPr>
          <w:spacing w:val="-2"/>
          <w:szCs w:val="24"/>
        </w:rPr>
        <w:t>:</w:t>
      </w:r>
    </w:p>
    <w:p w14:paraId="3A5475A3" w14:textId="77777777" w:rsidR="00631B8E" w:rsidRPr="003B4362" w:rsidRDefault="00631B8E" w:rsidP="00631B8E">
      <w:pPr>
        <w:suppressAutoHyphens/>
        <w:ind w:left="3600" w:hanging="720"/>
        <w:rPr>
          <w:szCs w:val="24"/>
        </w:rPr>
      </w:pPr>
    </w:p>
    <w:p w14:paraId="5531BA91" w14:textId="0CF198B5" w:rsidR="00631B8E" w:rsidRPr="003B4362" w:rsidRDefault="00631B8E" w:rsidP="00631B8E">
      <w:pPr>
        <w:suppressAutoHyphens/>
        <w:ind w:left="3600" w:hanging="720"/>
        <w:rPr>
          <w:spacing w:val="-2"/>
          <w:szCs w:val="24"/>
        </w:rPr>
      </w:pPr>
      <w:r w:rsidRPr="003B4362">
        <w:rPr>
          <w:szCs w:val="24"/>
        </w:rPr>
        <w:t>i)</w:t>
      </w:r>
      <w:r w:rsidRPr="003B4362">
        <w:rPr>
          <w:szCs w:val="24"/>
        </w:rPr>
        <w:tab/>
        <w:t xml:space="preserve">The Board will document </w:t>
      </w:r>
      <w:r w:rsidRPr="003B4362">
        <w:rPr>
          <w:spacing w:val="-2"/>
          <w:szCs w:val="24"/>
        </w:rPr>
        <w:t>its rationale for the extended compliance schedule;</w:t>
      </w:r>
    </w:p>
    <w:p w14:paraId="6FCF2A09" w14:textId="77777777" w:rsidR="00631B8E" w:rsidRPr="003B4362" w:rsidRDefault="00631B8E" w:rsidP="00631B8E">
      <w:pPr>
        <w:suppressAutoHyphens/>
        <w:ind w:left="3600" w:hanging="720"/>
        <w:rPr>
          <w:szCs w:val="24"/>
        </w:rPr>
      </w:pPr>
    </w:p>
    <w:p w14:paraId="798C818B" w14:textId="2B7C1160" w:rsidR="00631B8E" w:rsidRPr="003B4362" w:rsidRDefault="00631B8E" w:rsidP="00631B8E">
      <w:pPr>
        <w:suppressAutoHyphens/>
        <w:ind w:left="3600" w:hanging="720"/>
        <w:rPr>
          <w:spacing w:val="-2"/>
          <w:szCs w:val="24"/>
        </w:rPr>
      </w:pPr>
      <w:r w:rsidRPr="003B4362">
        <w:rPr>
          <w:szCs w:val="24"/>
        </w:rPr>
        <w:t>ii)</w:t>
      </w:r>
      <w:r w:rsidRPr="003B4362">
        <w:rPr>
          <w:szCs w:val="24"/>
        </w:rPr>
        <w:tab/>
        <w:t xml:space="preserve">The Board will discuss its </w:t>
      </w:r>
      <w:r w:rsidRPr="003B4362">
        <w:rPr>
          <w:spacing w:val="-2"/>
          <w:szCs w:val="24"/>
        </w:rPr>
        <w:t>rationale for the extended compliance schedule in the required public notice and opportunity for public hearing; and</w:t>
      </w:r>
    </w:p>
    <w:p w14:paraId="1E52AF74" w14:textId="77777777" w:rsidR="00631B8E" w:rsidRPr="003B4362" w:rsidRDefault="00631B8E" w:rsidP="00631B8E">
      <w:pPr>
        <w:suppressAutoHyphens/>
        <w:ind w:left="3600" w:hanging="720"/>
        <w:rPr>
          <w:szCs w:val="24"/>
        </w:rPr>
      </w:pPr>
    </w:p>
    <w:p w14:paraId="6521B5A7" w14:textId="51B35D80" w:rsidR="00631B8E" w:rsidRPr="003B4362" w:rsidRDefault="00631B8E" w:rsidP="00631B8E">
      <w:pPr>
        <w:suppressAutoHyphens/>
        <w:ind w:left="3600" w:hanging="720"/>
        <w:rPr>
          <w:spacing w:val="-2"/>
          <w:szCs w:val="24"/>
        </w:rPr>
      </w:pPr>
      <w:r w:rsidRPr="003B4362">
        <w:rPr>
          <w:szCs w:val="24"/>
        </w:rPr>
        <w:t>iii)</w:t>
      </w:r>
      <w:r w:rsidRPr="003B4362">
        <w:rPr>
          <w:szCs w:val="24"/>
        </w:rPr>
        <w:tab/>
        <w:t xml:space="preserve">The Board will provide </w:t>
      </w:r>
      <w:r w:rsidRPr="003B4362">
        <w:rPr>
          <w:spacing w:val="-2"/>
          <w:szCs w:val="24"/>
        </w:rPr>
        <w:t>the shortest practicable schedule feasible for the supplier to comply with the MCL under the circumstances.</w:t>
      </w:r>
    </w:p>
    <w:p w14:paraId="5942B091" w14:textId="77777777" w:rsidR="00631B8E" w:rsidRPr="003B4362" w:rsidRDefault="00631B8E" w:rsidP="00631B8E">
      <w:pPr>
        <w:suppressAutoHyphens/>
        <w:ind w:left="1440" w:hanging="720"/>
        <w:rPr>
          <w:szCs w:val="24"/>
        </w:rPr>
      </w:pPr>
    </w:p>
    <w:p w14:paraId="6E7C8FE7" w14:textId="77777777" w:rsidR="00631B8E" w:rsidRPr="003B4362" w:rsidRDefault="00631B8E" w:rsidP="00631B8E">
      <w:pPr>
        <w:suppressAutoHyphens/>
        <w:ind w:left="1440" w:hanging="720"/>
        <w:rPr>
          <w:szCs w:val="24"/>
        </w:rPr>
      </w:pPr>
      <w:r w:rsidRPr="003B4362">
        <w:rPr>
          <w:szCs w:val="24"/>
        </w:rPr>
        <w:t>c)</w:t>
      </w:r>
      <w:r w:rsidRPr="003B4362">
        <w:rPr>
          <w:szCs w:val="24"/>
        </w:rPr>
        <w:tab/>
        <w:t>Relief from a Treatment Technique Requirement</w:t>
      </w:r>
    </w:p>
    <w:p w14:paraId="3BA979F8" w14:textId="77777777" w:rsidR="00631B8E" w:rsidRPr="003B4362" w:rsidRDefault="00631B8E" w:rsidP="00631B8E">
      <w:pPr>
        <w:suppressAutoHyphens/>
        <w:ind w:left="2160" w:hanging="720"/>
        <w:rPr>
          <w:szCs w:val="24"/>
        </w:rPr>
      </w:pPr>
    </w:p>
    <w:p w14:paraId="6FB8EC0B" w14:textId="2C723C61" w:rsidR="00631B8E" w:rsidRPr="003B4362" w:rsidRDefault="00631B8E" w:rsidP="00631B8E">
      <w:pPr>
        <w:suppressAutoHyphens/>
        <w:ind w:left="2160" w:hanging="720"/>
        <w:rPr>
          <w:szCs w:val="24"/>
        </w:rPr>
      </w:pPr>
      <w:r w:rsidRPr="003B4362">
        <w:rPr>
          <w:szCs w:val="24"/>
        </w:rPr>
        <w:t>1)</w:t>
      </w:r>
      <w:r w:rsidRPr="003B4362">
        <w:rPr>
          <w:szCs w:val="24"/>
        </w:rPr>
        <w:tab/>
        <w:t>As part of the justification for relief from a treatment technique requirement under this Section, the supplier must demonstrate that the treatment technique is not necessary to protect the health of the persons served due to the nature of the raw water source.</w:t>
      </w:r>
    </w:p>
    <w:p w14:paraId="244450BE" w14:textId="77777777" w:rsidR="00631B8E" w:rsidRPr="003B4362" w:rsidRDefault="00631B8E" w:rsidP="00631B8E">
      <w:pPr>
        <w:suppressAutoHyphens/>
        <w:ind w:left="2160" w:hanging="720"/>
        <w:rPr>
          <w:szCs w:val="24"/>
        </w:rPr>
      </w:pPr>
    </w:p>
    <w:p w14:paraId="6BDA4E7B" w14:textId="77777777" w:rsidR="00631B8E" w:rsidRPr="003B4362" w:rsidRDefault="00631B8E" w:rsidP="00631B8E">
      <w:pPr>
        <w:suppressAutoHyphens/>
        <w:ind w:left="2160" w:hanging="720"/>
        <w:rPr>
          <w:szCs w:val="24"/>
        </w:rPr>
      </w:pPr>
      <w:r w:rsidRPr="003B4362">
        <w:rPr>
          <w:szCs w:val="24"/>
        </w:rPr>
        <w:t>2)</w:t>
      </w:r>
      <w:r w:rsidRPr="003B4362">
        <w:rPr>
          <w:szCs w:val="24"/>
        </w:rPr>
        <w:tab/>
        <w:t>The Board may prescribe monitoring and other requirements as a condition for relief from a treatment technique requirement.</w:t>
      </w:r>
    </w:p>
    <w:p w14:paraId="3101AD23" w14:textId="77777777" w:rsidR="00631B8E" w:rsidRPr="003B4362" w:rsidRDefault="00631B8E" w:rsidP="00631B8E">
      <w:pPr>
        <w:suppressAutoHyphens/>
        <w:ind w:left="1440" w:hanging="720"/>
        <w:rPr>
          <w:szCs w:val="24"/>
        </w:rPr>
      </w:pPr>
    </w:p>
    <w:p w14:paraId="285BD349" w14:textId="35833320" w:rsidR="00631B8E" w:rsidRPr="003B4362" w:rsidRDefault="00631B8E" w:rsidP="00631B8E">
      <w:pPr>
        <w:suppressAutoHyphens/>
        <w:ind w:left="1440" w:hanging="720"/>
        <w:rPr>
          <w:szCs w:val="24"/>
        </w:rPr>
      </w:pPr>
      <w:r w:rsidRPr="003B4362">
        <w:rPr>
          <w:szCs w:val="24"/>
        </w:rPr>
        <w:lastRenderedPageBreak/>
        <w:t>d)</w:t>
      </w:r>
      <w:r w:rsidRPr="003B4362">
        <w:rPr>
          <w:szCs w:val="24"/>
        </w:rPr>
        <w:tab/>
        <w:t>The Board will hold at least one public hearing.  In addition, the Board will accept comments under 35 Ill. Adm. Code 102 or 104.</w:t>
      </w:r>
    </w:p>
    <w:p w14:paraId="65C55A81" w14:textId="77777777" w:rsidR="00631B8E" w:rsidRPr="003B4362" w:rsidRDefault="00631B8E" w:rsidP="00631B8E">
      <w:pPr>
        <w:suppressAutoHyphens/>
        <w:ind w:left="1440" w:hanging="720"/>
        <w:rPr>
          <w:szCs w:val="24"/>
        </w:rPr>
      </w:pPr>
    </w:p>
    <w:p w14:paraId="5F2DEF89" w14:textId="685DE1DE" w:rsidR="00631B8E" w:rsidRPr="003B4362" w:rsidRDefault="00631B8E" w:rsidP="00631B8E">
      <w:pPr>
        <w:suppressAutoHyphens/>
        <w:ind w:left="1440" w:hanging="720"/>
        <w:rPr>
          <w:szCs w:val="24"/>
        </w:rPr>
      </w:pPr>
      <w:r w:rsidRPr="003B4362">
        <w:rPr>
          <w:szCs w:val="24"/>
        </w:rPr>
        <w:t>e)</w:t>
      </w:r>
      <w:r w:rsidRPr="003B4362">
        <w:rPr>
          <w:szCs w:val="24"/>
        </w:rPr>
        <w:tab/>
        <w:t>The Board will not grant relief from certain standards:</w:t>
      </w:r>
    </w:p>
    <w:p w14:paraId="004B5176" w14:textId="77777777" w:rsidR="00631B8E" w:rsidRPr="003B4362" w:rsidRDefault="00631B8E" w:rsidP="00631B8E">
      <w:pPr>
        <w:suppressAutoHyphens/>
        <w:ind w:left="2160" w:hanging="720"/>
        <w:rPr>
          <w:szCs w:val="24"/>
        </w:rPr>
      </w:pPr>
    </w:p>
    <w:p w14:paraId="6480C48D" w14:textId="77777777" w:rsidR="00631B8E" w:rsidRPr="003B4362" w:rsidRDefault="00631B8E" w:rsidP="00631B8E">
      <w:pPr>
        <w:suppressAutoHyphens/>
        <w:ind w:left="2160" w:hanging="720"/>
        <w:rPr>
          <w:szCs w:val="24"/>
        </w:rPr>
      </w:pPr>
      <w:r w:rsidRPr="003B4362">
        <w:rPr>
          <w:szCs w:val="24"/>
        </w:rPr>
        <w:t>1)</w:t>
      </w:r>
      <w:r w:rsidRPr="003B4362">
        <w:rPr>
          <w:szCs w:val="24"/>
        </w:rPr>
        <w:tab/>
        <w:t>From the MCLs for total coliforms and E. coli.  The Board can no longer grant relief from the total coliform MCL.</w:t>
      </w:r>
    </w:p>
    <w:p w14:paraId="3B014744" w14:textId="77777777" w:rsidR="00631B8E" w:rsidRPr="003B4362" w:rsidRDefault="00631B8E" w:rsidP="00631B8E">
      <w:pPr>
        <w:ind w:left="2160"/>
        <w:rPr>
          <w:szCs w:val="24"/>
        </w:rPr>
      </w:pPr>
    </w:p>
    <w:p w14:paraId="3B17CF19" w14:textId="77777777" w:rsidR="00631B8E" w:rsidRPr="003B4362" w:rsidRDefault="00631B8E" w:rsidP="00631B8E">
      <w:pPr>
        <w:ind w:left="2160"/>
        <w:rPr>
          <w:szCs w:val="24"/>
        </w:rPr>
      </w:pPr>
      <w:r w:rsidRPr="003B4362">
        <w:rPr>
          <w:szCs w:val="24"/>
        </w:rPr>
        <w:t>BOARD NOTE:  As provided in Section 611.131(c)(1) and 40 CFR 142.304(a), a small system variance is not available for rules that address microbial contaminants, which include Subparts B, R, S, X, Z, and AA.</w:t>
      </w:r>
    </w:p>
    <w:p w14:paraId="1B70D24B" w14:textId="77777777" w:rsidR="00631B8E" w:rsidRPr="003B4362" w:rsidRDefault="00631B8E" w:rsidP="00631B8E">
      <w:pPr>
        <w:suppressAutoHyphens/>
        <w:ind w:left="2160" w:hanging="720"/>
        <w:rPr>
          <w:szCs w:val="24"/>
        </w:rPr>
      </w:pPr>
    </w:p>
    <w:p w14:paraId="5240436A" w14:textId="76C1D291" w:rsidR="00631B8E" w:rsidRPr="003B4362" w:rsidRDefault="00631B8E" w:rsidP="00631B8E">
      <w:pPr>
        <w:suppressAutoHyphens/>
        <w:ind w:left="2160" w:hanging="720"/>
        <w:rPr>
          <w:szCs w:val="24"/>
        </w:rPr>
      </w:pPr>
      <w:r w:rsidRPr="003B4362">
        <w:rPr>
          <w:szCs w:val="24"/>
        </w:rPr>
        <w:t>2)</w:t>
      </w:r>
      <w:r w:rsidRPr="003B4362">
        <w:rPr>
          <w:szCs w:val="24"/>
        </w:rPr>
        <w:tab/>
        <w:t>From any treatment technique requirement in Subpart B.</w:t>
      </w:r>
    </w:p>
    <w:p w14:paraId="06670DE2" w14:textId="77777777" w:rsidR="00631B8E" w:rsidRPr="003B4362" w:rsidRDefault="00631B8E" w:rsidP="00631B8E">
      <w:pPr>
        <w:suppressAutoHyphens/>
        <w:ind w:left="2160" w:hanging="720"/>
        <w:rPr>
          <w:szCs w:val="24"/>
        </w:rPr>
      </w:pPr>
    </w:p>
    <w:p w14:paraId="3A8C3872" w14:textId="617C21F5" w:rsidR="00631B8E" w:rsidRPr="003B4362" w:rsidRDefault="00631B8E" w:rsidP="00631B8E">
      <w:pPr>
        <w:suppressAutoHyphens/>
        <w:ind w:left="2160" w:hanging="720"/>
        <w:rPr>
          <w:szCs w:val="24"/>
        </w:rPr>
      </w:pPr>
      <w:r w:rsidRPr="003B4362">
        <w:rPr>
          <w:szCs w:val="24"/>
        </w:rPr>
        <w:t>3)</w:t>
      </w:r>
      <w:r w:rsidRPr="003B4362">
        <w:rPr>
          <w:szCs w:val="24"/>
        </w:rPr>
        <w:tab/>
        <w:t>From the RDC requirements in Sections 611.241(c) and 611.242(b).</w:t>
      </w:r>
    </w:p>
    <w:p w14:paraId="305E40BC" w14:textId="77777777" w:rsidR="00631B8E" w:rsidRPr="003B4362" w:rsidRDefault="00631B8E" w:rsidP="00631B8E">
      <w:pPr>
        <w:suppressAutoHyphens/>
        <w:ind w:left="1440" w:hanging="720"/>
        <w:rPr>
          <w:szCs w:val="24"/>
        </w:rPr>
      </w:pPr>
    </w:p>
    <w:p w14:paraId="2AE6458A" w14:textId="06F5631C" w:rsidR="00631B8E" w:rsidRPr="003B4362" w:rsidRDefault="00631B8E" w:rsidP="00631B8E">
      <w:pPr>
        <w:suppressAutoHyphens/>
        <w:ind w:left="1440" w:hanging="720"/>
        <w:rPr>
          <w:szCs w:val="24"/>
        </w:rPr>
      </w:pPr>
      <w:r w:rsidRPr="003B4362">
        <w:rPr>
          <w:szCs w:val="24"/>
        </w:rPr>
        <w:t>f)</w:t>
      </w:r>
      <w:r w:rsidRPr="003B4362">
        <w:rPr>
          <w:szCs w:val="24"/>
        </w:rPr>
        <w:tab/>
        <w:t>The Agency must promptly send USEPA the Board's opinion and order granting relief under this Section.  The Board may reconsider and modify its order granting relief and any conditions if USEPA notifies the Board of a finding under section 1415 of the SDWA (42 U.S.C. 300g-4).</w:t>
      </w:r>
    </w:p>
    <w:p w14:paraId="5F067F6B" w14:textId="77777777" w:rsidR="00631B8E" w:rsidRPr="003B4362" w:rsidRDefault="00631B8E" w:rsidP="00631B8E">
      <w:pPr>
        <w:suppressAutoHyphens/>
        <w:ind w:left="1440" w:hanging="720"/>
        <w:rPr>
          <w:szCs w:val="24"/>
        </w:rPr>
      </w:pPr>
    </w:p>
    <w:p w14:paraId="1753263B" w14:textId="52C7031D" w:rsidR="00631B8E" w:rsidRPr="003B4362" w:rsidRDefault="00631B8E" w:rsidP="00631B8E">
      <w:pPr>
        <w:suppressAutoHyphens/>
        <w:ind w:left="1440" w:hanging="720"/>
        <w:rPr>
          <w:szCs w:val="24"/>
        </w:rPr>
      </w:pPr>
      <w:r w:rsidRPr="003B4362">
        <w:rPr>
          <w:szCs w:val="24"/>
        </w:rPr>
        <w:t>g)</w:t>
      </w:r>
      <w:r w:rsidRPr="003B4362">
        <w:rPr>
          <w:szCs w:val="24"/>
        </w:rPr>
        <w:tab/>
        <w:t>In addition to this Section, Section 611.130 or 611.131 may apply to relief the Board grants under this Section.</w:t>
      </w:r>
    </w:p>
    <w:p w14:paraId="6BEE70A9" w14:textId="77777777" w:rsidR="00631B8E" w:rsidRPr="003B4362" w:rsidRDefault="00631B8E" w:rsidP="00631B8E">
      <w:pPr>
        <w:rPr>
          <w:szCs w:val="24"/>
        </w:rPr>
      </w:pPr>
    </w:p>
    <w:p w14:paraId="3564EB52" w14:textId="7B4AE94B" w:rsidR="00631B8E" w:rsidRPr="003B4362" w:rsidRDefault="00631B8E" w:rsidP="00631B8E">
      <w:pPr>
        <w:rPr>
          <w:szCs w:val="24"/>
        </w:rPr>
      </w:pPr>
      <w:r w:rsidRPr="003B4362">
        <w:rPr>
          <w:szCs w:val="24"/>
        </w:rPr>
        <w:t>BOARD NOTE:  This Section derives from 40 CFR 141.4, from section 1415(a)(1)(A) and (a)(1)(B) of the SDWA (42 U.S.C. 300g-4(a)(1)(A) and (a)(1)(B)) and from the Guidance Manual for Filtration and Disinfection (91), incorporated by reference in Section 611.102.  USEPA has</w:t>
      </w:r>
      <w:r w:rsidR="00D60EF1" w:rsidRPr="003B4362">
        <w:rPr>
          <w:szCs w:val="24"/>
        </w:rPr>
        <w:t xml:space="preserve"> </w:t>
      </w:r>
      <w:r w:rsidRPr="003B4362">
        <w:rPr>
          <w:szCs w:val="24"/>
        </w:rPr>
        <w:t xml:space="preserve">a procedure at 40 CFR 142.23 to review and potentially modify or nullify state determinations granting relief from NPDWRs </w:t>
      </w:r>
      <w:r w:rsidRPr="003B4362">
        <w:rPr>
          <w:spacing w:val="-3"/>
          <w:szCs w:val="24"/>
        </w:rPr>
        <w:t xml:space="preserve">if </w:t>
      </w:r>
      <w:r w:rsidRPr="003B4362">
        <w:rPr>
          <w:szCs w:val="24"/>
        </w:rPr>
        <w:t>USEPA finds that the state abuses its discretion or fails to prescribe required schedules for compliance in a substantial number of instances.</w:t>
      </w:r>
    </w:p>
    <w:p w14:paraId="7BA4803A" w14:textId="77777777" w:rsidR="00631B8E" w:rsidRPr="003B4362" w:rsidRDefault="00631B8E" w:rsidP="00631B8E">
      <w:pPr>
        <w:suppressAutoHyphens/>
        <w:ind w:left="720"/>
        <w:rPr>
          <w:szCs w:val="24"/>
        </w:rPr>
      </w:pPr>
    </w:p>
    <w:p w14:paraId="70D8304C" w14:textId="1F3B37E1" w:rsidR="00631B8E" w:rsidRPr="003B4362" w:rsidRDefault="00631B8E" w:rsidP="00631B8E">
      <w:pPr>
        <w:ind w:left="720"/>
        <w:rPr>
          <w:szCs w:val="24"/>
        </w:rPr>
      </w:pPr>
      <w:r w:rsidRPr="003B4362">
        <w:rPr>
          <w:szCs w:val="24"/>
        </w:rPr>
        <w:t xml:space="preserve">(Source:  Amended at </w:t>
      </w:r>
      <w:r w:rsidR="008B6AE0" w:rsidRPr="003B4362">
        <w:rPr>
          <w:szCs w:val="24"/>
        </w:rPr>
        <w:t>47</w:t>
      </w:r>
      <w:r w:rsidRPr="003B4362">
        <w:rPr>
          <w:szCs w:val="24"/>
        </w:rPr>
        <w:t xml:space="preserve"> Ill. </w:t>
      </w:r>
      <w:r w:rsidR="00371746" w:rsidRPr="003B4362">
        <w:rPr>
          <w:szCs w:val="24"/>
        </w:rPr>
        <w:t xml:space="preserve">Reg. </w:t>
      </w:r>
      <w:r w:rsidR="00C15260">
        <w:rPr>
          <w:szCs w:val="24"/>
        </w:rPr>
        <w:t>16486</w:t>
      </w:r>
      <w:r w:rsidRPr="003B4362">
        <w:rPr>
          <w:szCs w:val="24"/>
        </w:rPr>
        <w:t xml:space="preserve">, effective </w:t>
      </w:r>
      <w:r w:rsidR="00C15260">
        <w:rPr>
          <w:szCs w:val="24"/>
        </w:rPr>
        <w:t>November 2, 2023</w:t>
      </w:r>
      <w:r w:rsidRPr="003B4362">
        <w:rPr>
          <w:szCs w:val="24"/>
        </w:rPr>
        <w:t>)</w:t>
      </w:r>
    </w:p>
    <w:p w14:paraId="71AF273B" w14:textId="77777777" w:rsidR="00631B8E" w:rsidRPr="003B4362" w:rsidRDefault="00631B8E" w:rsidP="00631B8E">
      <w:pPr>
        <w:ind w:left="720"/>
        <w:rPr>
          <w:szCs w:val="24"/>
        </w:rPr>
      </w:pPr>
    </w:p>
    <w:bookmarkEnd w:id="357"/>
    <w:p w14:paraId="4582A752" w14:textId="77777777" w:rsidR="00002933" w:rsidRPr="003B4362" w:rsidRDefault="00002933" w:rsidP="00C3705D">
      <w:pPr>
        <w:rPr>
          <w:b/>
          <w:bCs/>
        </w:rPr>
      </w:pPr>
      <w:r w:rsidRPr="003B4362">
        <w:rPr>
          <w:b/>
          <w:bCs/>
        </w:rPr>
        <w:t>Section 611.112  Relief Equivalent to SDWA Section 1416 Exemptions</w:t>
      </w:r>
    </w:p>
    <w:p w14:paraId="7432EAEF" w14:textId="77777777" w:rsidR="00C3705D" w:rsidRDefault="00C3705D" w:rsidP="00C3705D">
      <w:pPr>
        <w:suppressAutoHyphens/>
      </w:pPr>
    </w:p>
    <w:p w14:paraId="4059E089" w14:textId="04FDEFE9" w:rsidR="00002933" w:rsidRPr="003B4362" w:rsidRDefault="00002933" w:rsidP="00C3705D">
      <w:pPr>
        <w:suppressAutoHyphens/>
      </w:pPr>
      <w:r w:rsidRPr="003B4362">
        <w:t xml:space="preserve">This Section </w:t>
      </w:r>
      <w:r w:rsidR="00C5531B" w:rsidRPr="003B4362">
        <w:t xml:space="preserve">describes </w:t>
      </w:r>
      <w:r w:rsidRPr="003B4362">
        <w:t xml:space="preserve">how the Board grants relief equivalent to that available from USEPA under section 1416 of the SDWA (42 </w:t>
      </w:r>
      <w:r w:rsidR="0062698B" w:rsidRPr="003B4362">
        <w:t>U.S.C.</w:t>
      </w:r>
      <w:r w:rsidRPr="003B4362">
        <w:t xml:space="preserve"> 300g-5).  </w:t>
      </w:r>
      <w:r w:rsidR="00FC7142" w:rsidRPr="003B4362">
        <w:t xml:space="preserve">Every variance under Sections 35 through 37 of the Act must require </w:t>
      </w:r>
      <w:r w:rsidR="00D97943" w:rsidRPr="003B4362">
        <w:t xml:space="preserve">the supplier to </w:t>
      </w:r>
      <w:r w:rsidR="00FC7142" w:rsidRPr="003B4362">
        <w:t>compl</w:t>
      </w:r>
      <w:r w:rsidR="00D97943" w:rsidRPr="003B4362">
        <w:t>y</w:t>
      </w:r>
      <w:r w:rsidR="00FC7142" w:rsidRPr="003B4362">
        <w:t xml:space="preserve"> within five years.  </w:t>
      </w:r>
      <w:r w:rsidR="00A7771B" w:rsidRPr="003B4362">
        <w:t xml:space="preserve">A </w:t>
      </w:r>
      <w:r w:rsidRPr="003B4362">
        <w:t xml:space="preserve">SDWA section 1416 </w:t>
      </w:r>
      <w:r w:rsidR="00A7771B" w:rsidRPr="003B4362">
        <w:t xml:space="preserve">exemption </w:t>
      </w:r>
      <w:r w:rsidR="00FC7142" w:rsidRPr="003B4362">
        <w:t>need</w:t>
      </w:r>
      <w:r w:rsidR="00A7771B" w:rsidRPr="003B4362">
        <w:t>s</w:t>
      </w:r>
      <w:r w:rsidR="00FC7142" w:rsidRPr="003B4362">
        <w:t xml:space="preserve"> not do so.</w:t>
      </w:r>
      <w:r w:rsidRPr="003B4362">
        <w:t xml:space="preserve">  </w:t>
      </w:r>
      <w:r w:rsidR="00FC7142" w:rsidRPr="003B4362">
        <w:t xml:space="preserve">A </w:t>
      </w:r>
      <w:r w:rsidR="007C351F" w:rsidRPr="003B4362">
        <w:t xml:space="preserve">supplier </w:t>
      </w:r>
      <w:r w:rsidR="00FC7142" w:rsidRPr="003B4362">
        <w:t xml:space="preserve">may seek </w:t>
      </w:r>
      <w:r w:rsidRPr="003B4362">
        <w:t>State regulatory relief equivalent to a SDWA section 1416 exemption through one of three procedural mechanisms:  a variance under Sections 35 through 37 of the Act and Subpart B of 35 Ill. Adm. Code 104; a site-specific rule under Sections 27</w:t>
      </w:r>
      <w:r w:rsidR="002D1BD4">
        <w:t xml:space="preserve"> </w:t>
      </w:r>
      <w:r w:rsidRPr="003B4362">
        <w:t>and 28 of the Act and 35 Ill. Adm. Code 102; or an adjusted standard under Section 28.1 of the Act and Subpart D of 35 Ill. Adm. Code 104.</w:t>
      </w:r>
    </w:p>
    <w:p w14:paraId="1F69B4E2" w14:textId="77777777" w:rsidR="00C3705D" w:rsidRDefault="00C3705D" w:rsidP="00C3705D">
      <w:pPr>
        <w:suppressAutoHyphens/>
        <w:ind w:left="1440" w:hanging="720"/>
      </w:pPr>
    </w:p>
    <w:p w14:paraId="5307C940" w14:textId="606BB774" w:rsidR="00002933" w:rsidRPr="003B4362" w:rsidRDefault="00002933" w:rsidP="00C3705D">
      <w:pPr>
        <w:suppressAutoHyphens/>
        <w:ind w:left="1440" w:hanging="720"/>
      </w:pPr>
      <w:r w:rsidRPr="003B4362">
        <w:lastRenderedPageBreak/>
        <w:t>a)</w:t>
      </w:r>
      <w:r w:rsidRPr="003B4362">
        <w:tab/>
        <w:t>The Board will grant a variance, a site-specific rule, or an adjusted standard from an MCL or treatment technique requirement, or from both, under this Section.</w:t>
      </w:r>
    </w:p>
    <w:p w14:paraId="07E27AE5" w14:textId="77777777" w:rsidR="00C3705D" w:rsidRDefault="00C3705D" w:rsidP="00C3705D">
      <w:pPr>
        <w:suppressAutoHyphens/>
        <w:ind w:left="2160" w:hanging="720"/>
      </w:pPr>
    </w:p>
    <w:p w14:paraId="6CC08226" w14:textId="3FF3D295" w:rsidR="00002933" w:rsidRPr="003B4362" w:rsidRDefault="00002933" w:rsidP="00C3705D">
      <w:pPr>
        <w:suppressAutoHyphens/>
        <w:ind w:left="2160" w:hanging="720"/>
      </w:pPr>
      <w:r w:rsidRPr="003B4362">
        <w:t>1)</w:t>
      </w:r>
      <w:r w:rsidRPr="003B4362">
        <w:tab/>
        <w:t xml:space="preserve">The </w:t>
      </w:r>
      <w:r w:rsidR="007C351F" w:rsidRPr="003B4362">
        <w:t xml:space="preserve">supplier </w:t>
      </w:r>
      <w:r w:rsidRPr="003B4362">
        <w:t xml:space="preserve">must file a petition under </w:t>
      </w:r>
      <w:r w:rsidR="00FC7142" w:rsidRPr="003B4362">
        <w:t>the applicable of 35 Ill. Adm. Code 102 or 104</w:t>
      </w:r>
      <w:r w:rsidRPr="003B4362">
        <w:t>.</w:t>
      </w:r>
    </w:p>
    <w:p w14:paraId="5FF8F854" w14:textId="77777777" w:rsidR="00C3705D" w:rsidRDefault="00C3705D" w:rsidP="00C3705D">
      <w:pPr>
        <w:suppressAutoHyphens/>
        <w:ind w:left="2160" w:hanging="720"/>
      </w:pPr>
    </w:p>
    <w:p w14:paraId="304DED35" w14:textId="169151BA" w:rsidR="00002933" w:rsidRPr="003B4362" w:rsidRDefault="00002933" w:rsidP="00C3705D">
      <w:pPr>
        <w:suppressAutoHyphens/>
        <w:ind w:left="2160" w:hanging="720"/>
      </w:pPr>
      <w:r w:rsidRPr="003B4362">
        <w:t>2)</w:t>
      </w:r>
      <w:r w:rsidRPr="003B4362">
        <w:tab/>
        <w:t xml:space="preserve">If a State requirement does not have a federal counterpart, the Board </w:t>
      </w:r>
      <w:r w:rsidR="00FC7142" w:rsidRPr="003B4362">
        <w:t>needs not follow this Section when granting relief from the State requirements</w:t>
      </w:r>
      <w:r w:rsidRPr="003B4362">
        <w:t>.</w:t>
      </w:r>
    </w:p>
    <w:p w14:paraId="6BFDD78E" w14:textId="77777777" w:rsidR="00C3705D" w:rsidRDefault="00C3705D" w:rsidP="00C3705D">
      <w:pPr>
        <w:suppressAutoHyphens/>
        <w:ind w:left="1440" w:hanging="720"/>
      </w:pPr>
    </w:p>
    <w:p w14:paraId="3891D868" w14:textId="6D5B8B59" w:rsidR="00002933" w:rsidRPr="003B4362" w:rsidRDefault="00002933" w:rsidP="00C3705D">
      <w:pPr>
        <w:suppressAutoHyphens/>
        <w:ind w:left="1440" w:hanging="720"/>
      </w:pPr>
      <w:r w:rsidRPr="003B4362">
        <w:t>b)</w:t>
      </w:r>
      <w:r w:rsidRPr="003B4362">
        <w:tab/>
        <w:t xml:space="preserve">As part of the justification for relief under this Section, </w:t>
      </w:r>
      <w:bookmarkStart w:id="360" w:name="_Hlk129788952"/>
      <w:r w:rsidRPr="003B4362">
        <w:t xml:space="preserve">the </w:t>
      </w:r>
      <w:r w:rsidR="007C351F" w:rsidRPr="003B4362">
        <w:t xml:space="preserve">supplier </w:t>
      </w:r>
      <w:r w:rsidRPr="003B4362">
        <w:t xml:space="preserve">must </w:t>
      </w:r>
      <w:bookmarkStart w:id="361" w:name="_Hlk129785559"/>
      <w:r w:rsidRPr="003B4362">
        <w:t>demonstrate</w:t>
      </w:r>
      <w:r w:rsidR="00FC7142" w:rsidRPr="003B4362">
        <w:t xml:space="preserve"> specific facts</w:t>
      </w:r>
      <w:bookmarkEnd w:id="360"/>
      <w:bookmarkEnd w:id="361"/>
      <w:r w:rsidRPr="003B4362">
        <w:t>:</w:t>
      </w:r>
    </w:p>
    <w:p w14:paraId="2671454E" w14:textId="77777777" w:rsidR="00C3705D" w:rsidRDefault="00C3705D" w:rsidP="00C3705D">
      <w:pPr>
        <w:suppressAutoHyphens/>
        <w:ind w:left="2160" w:hanging="720"/>
      </w:pPr>
    </w:p>
    <w:p w14:paraId="4E27D291" w14:textId="0443571A" w:rsidR="00002933" w:rsidRPr="003B4362" w:rsidRDefault="00002933" w:rsidP="00C3705D">
      <w:pPr>
        <w:suppressAutoHyphens/>
        <w:ind w:left="2160" w:hanging="720"/>
      </w:pPr>
      <w:r w:rsidRPr="003B4362">
        <w:t>1)</w:t>
      </w:r>
      <w:r w:rsidRPr="003B4362">
        <w:tab/>
        <w:t xml:space="preserve">Due to compelling factors (which may include economic factors), the </w:t>
      </w:r>
      <w:r w:rsidR="007C351F" w:rsidRPr="003B4362">
        <w:t xml:space="preserve">supplier </w:t>
      </w:r>
      <w:bookmarkStart w:id="362" w:name="_Hlk129787765"/>
      <w:bookmarkStart w:id="363" w:name="_Hlk129787907"/>
      <w:r w:rsidRPr="003B4362">
        <w:t>is unable to comply with the MCL or treatment technique requirement</w:t>
      </w:r>
      <w:bookmarkEnd w:id="362"/>
      <w:r w:rsidR="00FC7142" w:rsidRPr="003B4362">
        <w:t xml:space="preserve"> </w:t>
      </w:r>
      <w:bookmarkStart w:id="364" w:name="_Hlk129787703"/>
      <w:r w:rsidR="00FC7142" w:rsidRPr="003B4362">
        <w:t>and cannot</w:t>
      </w:r>
      <w:bookmarkStart w:id="365" w:name="_Hlk129787868"/>
      <w:r w:rsidRPr="003B4362">
        <w:t xml:space="preserve"> develop</w:t>
      </w:r>
      <w:bookmarkEnd w:id="363"/>
      <w:bookmarkEnd w:id="365"/>
      <w:r w:rsidRPr="003B4362">
        <w:t xml:space="preserve"> an alternative</w:t>
      </w:r>
      <w:bookmarkEnd w:id="364"/>
      <w:r w:rsidRPr="003B4362">
        <w:t xml:space="preserve"> source of water supply;</w:t>
      </w:r>
    </w:p>
    <w:p w14:paraId="60EF83CE" w14:textId="77777777" w:rsidR="00C3705D" w:rsidRDefault="00C3705D" w:rsidP="00C3705D">
      <w:pPr>
        <w:suppressAutoHyphens/>
        <w:ind w:left="2160" w:hanging="720"/>
      </w:pPr>
    </w:p>
    <w:p w14:paraId="68C5D4C6" w14:textId="627C9867" w:rsidR="00002933" w:rsidRPr="003B4362" w:rsidRDefault="00002933" w:rsidP="00C3705D">
      <w:pPr>
        <w:suppressAutoHyphens/>
        <w:ind w:left="2160" w:hanging="720"/>
      </w:pPr>
      <w:r w:rsidRPr="003B4362">
        <w:t>2)</w:t>
      </w:r>
      <w:r w:rsidRPr="003B4362">
        <w:tab/>
      </w:r>
      <w:bookmarkStart w:id="366" w:name="_Hlk129789021"/>
      <w:r w:rsidR="00FC7142" w:rsidRPr="003B4362">
        <w:t xml:space="preserve">Either of two situations are true of the </w:t>
      </w:r>
      <w:r w:rsidR="00335419" w:rsidRPr="003B4362">
        <w:t>supplier</w:t>
      </w:r>
      <w:bookmarkEnd w:id="366"/>
      <w:r w:rsidRPr="003B4362">
        <w:t>:</w:t>
      </w:r>
    </w:p>
    <w:p w14:paraId="23E6D3FB" w14:textId="77777777" w:rsidR="00C3705D" w:rsidRDefault="00C3705D" w:rsidP="00C3705D">
      <w:pPr>
        <w:suppressAutoHyphens/>
        <w:ind w:left="2880" w:hanging="720"/>
      </w:pPr>
    </w:p>
    <w:p w14:paraId="08809071" w14:textId="5FA04E40" w:rsidR="00002933" w:rsidRPr="003B4362" w:rsidRDefault="00002933" w:rsidP="00C3705D">
      <w:pPr>
        <w:suppressAutoHyphens/>
        <w:ind w:left="2880" w:hanging="720"/>
      </w:pPr>
      <w:r w:rsidRPr="003B4362">
        <w:t>A)</w:t>
      </w:r>
      <w:r w:rsidRPr="003B4362">
        <w:tab/>
      </w:r>
      <w:r w:rsidR="00FC7142" w:rsidRPr="003B4362">
        <w:t>T</w:t>
      </w:r>
      <w:bookmarkStart w:id="367" w:name="_Hlk129789134"/>
      <w:r w:rsidR="00FC7142" w:rsidRPr="003B4362">
        <w:t xml:space="preserve">he </w:t>
      </w:r>
      <w:r w:rsidR="00335419" w:rsidRPr="003B4362">
        <w:t>supplier</w:t>
      </w:r>
      <w:r w:rsidR="00FC7142" w:rsidRPr="003B4362">
        <w:t xml:space="preserve"> operat</w:t>
      </w:r>
      <w:r w:rsidR="00C51EAC" w:rsidRPr="003B4362">
        <w:t>ed</w:t>
      </w:r>
      <w:r w:rsidR="00FC7142" w:rsidRPr="003B4362">
        <w:t xml:space="preserve"> </w:t>
      </w:r>
      <w:r w:rsidRPr="003B4362">
        <w:t>on the effective date</w:t>
      </w:r>
      <w:bookmarkEnd w:id="367"/>
      <w:r w:rsidRPr="003B4362">
        <w:t xml:space="preserve"> of the MCL or treatment technique </w:t>
      </w:r>
      <w:bookmarkStart w:id="368" w:name="_Hlk129789255"/>
      <w:r w:rsidRPr="003B4362">
        <w:t>requirement</w:t>
      </w:r>
      <w:bookmarkEnd w:id="368"/>
      <w:r w:rsidR="00775999" w:rsidRPr="003B4362">
        <w:t xml:space="preserve"> </w:t>
      </w:r>
      <w:bookmarkStart w:id="369" w:name="_Hlk129789187"/>
      <w:r w:rsidR="00775999" w:rsidRPr="003B4362">
        <w:t>from which the supplier seeks relief</w:t>
      </w:r>
      <w:bookmarkEnd w:id="369"/>
      <w:r w:rsidRPr="003B4362">
        <w:t>; or</w:t>
      </w:r>
    </w:p>
    <w:p w14:paraId="7B7AFE20" w14:textId="77777777" w:rsidR="00C3705D" w:rsidRDefault="00C3705D" w:rsidP="00C3705D">
      <w:pPr>
        <w:suppressAutoHyphens/>
        <w:ind w:left="2880" w:hanging="720"/>
      </w:pPr>
    </w:p>
    <w:p w14:paraId="4731F0BA" w14:textId="695EF8C8" w:rsidR="00002933" w:rsidRPr="003B4362" w:rsidRDefault="00002933" w:rsidP="00C3705D">
      <w:pPr>
        <w:suppressAutoHyphens/>
        <w:ind w:left="2880" w:hanging="720"/>
      </w:pPr>
      <w:r w:rsidRPr="003B4362">
        <w:t>B)</w:t>
      </w:r>
      <w:r w:rsidRPr="003B4362">
        <w:tab/>
      </w:r>
      <w:r w:rsidR="00937B9D" w:rsidRPr="003B4362">
        <w:t>T</w:t>
      </w:r>
      <w:bookmarkStart w:id="370" w:name="_Hlk129789292"/>
      <w:r w:rsidR="00937B9D" w:rsidRPr="003B4362">
        <w:t xml:space="preserve">he </w:t>
      </w:r>
      <w:r w:rsidR="00335419" w:rsidRPr="003B4362">
        <w:t>supplier</w:t>
      </w:r>
      <w:r w:rsidR="00937B9D" w:rsidRPr="003B4362">
        <w:t xml:space="preserve"> </w:t>
      </w:r>
      <w:r w:rsidR="00C51EAC" w:rsidRPr="003B4362">
        <w:t>did</w:t>
      </w:r>
      <w:r w:rsidR="00937B9D" w:rsidRPr="003B4362">
        <w:t xml:space="preserve"> not operat</w:t>
      </w:r>
      <w:r w:rsidR="00C51EAC" w:rsidRPr="003B4362">
        <w:t>e</w:t>
      </w:r>
      <w:r w:rsidR="00937B9D" w:rsidRPr="003B4362">
        <w:t xml:space="preserve"> </w:t>
      </w:r>
      <w:r w:rsidRPr="003B4362">
        <w:t>on the effective date</w:t>
      </w:r>
      <w:bookmarkEnd w:id="370"/>
      <w:r w:rsidRPr="003B4362">
        <w:t xml:space="preserve"> of the MCL or treatment technique </w:t>
      </w:r>
      <w:bookmarkStart w:id="371" w:name="_Hlk129789402"/>
      <w:r w:rsidRPr="003B4362">
        <w:t>requirement</w:t>
      </w:r>
      <w:bookmarkEnd w:id="371"/>
      <w:r w:rsidRPr="003B4362">
        <w:t xml:space="preserve"> </w:t>
      </w:r>
      <w:bookmarkStart w:id="372" w:name="_Hlk129789362"/>
      <w:r w:rsidR="00937B9D" w:rsidRPr="003B4362">
        <w:t>from which the supplier seeks relief</w:t>
      </w:r>
      <w:bookmarkEnd w:id="372"/>
      <w:r w:rsidR="00937B9D" w:rsidRPr="003B4362">
        <w:t xml:space="preserve">, </w:t>
      </w:r>
      <w:r w:rsidRPr="003B4362">
        <w:t xml:space="preserve">and no reasonable alternative source of drinking water is </w:t>
      </w:r>
      <w:bookmarkStart w:id="373" w:name="_Hlk129789468"/>
      <w:r w:rsidRPr="003B4362">
        <w:t>available to the</w:t>
      </w:r>
      <w:r w:rsidR="00B61C40" w:rsidRPr="003B4362">
        <w:t xml:space="preserve"> supplier</w:t>
      </w:r>
      <w:bookmarkEnd w:id="373"/>
      <w:r w:rsidRPr="003B4362">
        <w:t>;</w:t>
      </w:r>
    </w:p>
    <w:p w14:paraId="5447CCF1" w14:textId="77777777" w:rsidR="00C3705D" w:rsidRDefault="00C3705D" w:rsidP="00C3705D">
      <w:pPr>
        <w:suppressAutoHyphens/>
        <w:ind w:left="2160" w:hanging="720"/>
      </w:pPr>
    </w:p>
    <w:p w14:paraId="61ECF9D1" w14:textId="3873F9ED" w:rsidR="00002933" w:rsidRPr="003B4362" w:rsidRDefault="00002933" w:rsidP="00C3705D">
      <w:pPr>
        <w:suppressAutoHyphens/>
        <w:ind w:left="2160" w:hanging="720"/>
      </w:pPr>
      <w:r w:rsidRPr="003B4362">
        <w:t>3)</w:t>
      </w:r>
      <w:r w:rsidRPr="003B4362">
        <w:tab/>
        <w:t xml:space="preserve">The relief will not result in an unreasonable </w:t>
      </w:r>
      <w:bookmarkStart w:id="374" w:name="_Hlk129789568"/>
      <w:r w:rsidRPr="003B4362">
        <w:t xml:space="preserve">risk to </w:t>
      </w:r>
      <w:r w:rsidR="00B61C40" w:rsidRPr="003B4362">
        <w:t xml:space="preserve">human </w:t>
      </w:r>
      <w:r w:rsidRPr="003B4362">
        <w:t>health</w:t>
      </w:r>
      <w:bookmarkEnd w:id="374"/>
      <w:r w:rsidRPr="003B4362">
        <w:t>; and</w:t>
      </w:r>
    </w:p>
    <w:p w14:paraId="2403440F" w14:textId="77777777" w:rsidR="00C3705D" w:rsidRDefault="00C3705D" w:rsidP="00C3705D">
      <w:pPr>
        <w:suppressAutoHyphens/>
        <w:ind w:left="2160" w:hanging="720"/>
      </w:pPr>
    </w:p>
    <w:p w14:paraId="5B38B67E" w14:textId="618E1D34" w:rsidR="00002933" w:rsidRPr="003B4362" w:rsidRDefault="00002933" w:rsidP="00C3705D">
      <w:pPr>
        <w:suppressAutoHyphens/>
        <w:ind w:left="2160" w:hanging="720"/>
      </w:pPr>
      <w:r w:rsidRPr="003B4362">
        <w:t>4)</w:t>
      </w:r>
      <w:r w:rsidRPr="003B4362">
        <w:tab/>
      </w:r>
      <w:r w:rsidR="00937B9D" w:rsidRPr="003B4362">
        <w:t>T</w:t>
      </w:r>
      <w:bookmarkStart w:id="375" w:name="_Hlk129789672"/>
      <w:bookmarkStart w:id="376" w:name="_Hlk129789740"/>
      <w:r w:rsidR="00937B9D" w:rsidRPr="003B4362">
        <w:t>he supplier cannot reasonably make</w:t>
      </w:r>
      <w:bookmarkEnd w:id="375"/>
      <w:r w:rsidR="00937B9D" w:rsidRPr="003B4362">
        <w:t xml:space="preserve"> management </w:t>
      </w:r>
      <w:r w:rsidRPr="003B4362">
        <w:t xml:space="preserve">or restructuring changes </w:t>
      </w:r>
      <w:bookmarkEnd w:id="376"/>
      <w:r w:rsidRPr="003B4362">
        <w:t xml:space="preserve">that will </w:t>
      </w:r>
      <w:bookmarkStart w:id="377" w:name="_Hlk129789870"/>
      <w:r w:rsidRPr="003B4362">
        <w:t xml:space="preserve">result in </w:t>
      </w:r>
      <w:r w:rsidR="00937B9D" w:rsidRPr="003B4362">
        <w:t xml:space="preserve">the supplier complying </w:t>
      </w:r>
      <w:bookmarkEnd w:id="377"/>
      <w:r w:rsidRPr="003B4362">
        <w:t xml:space="preserve">with the NPDWR </w:t>
      </w:r>
      <w:bookmarkStart w:id="378" w:name="_Hlk129789952"/>
      <w:r w:rsidRPr="003B4362">
        <w:t>or</w:t>
      </w:r>
      <w:r w:rsidR="006A3429" w:rsidRPr="003B4362">
        <w:t xml:space="preserve"> improved water</w:t>
      </w:r>
      <w:r w:rsidRPr="003B4362">
        <w:t xml:space="preserve"> quality</w:t>
      </w:r>
      <w:r w:rsidR="00D97943" w:rsidRPr="003B4362">
        <w:t xml:space="preserve"> </w:t>
      </w:r>
      <w:r w:rsidR="006A3429" w:rsidRPr="003B4362">
        <w:t>if the supplier cannot comply</w:t>
      </w:r>
      <w:bookmarkEnd w:id="378"/>
      <w:r w:rsidRPr="003B4362">
        <w:t>.</w:t>
      </w:r>
    </w:p>
    <w:p w14:paraId="1892C71E" w14:textId="77777777" w:rsidR="00C3705D" w:rsidRDefault="00C3705D" w:rsidP="00C3705D">
      <w:pPr>
        <w:suppressAutoHyphens/>
        <w:ind w:left="2160"/>
      </w:pPr>
    </w:p>
    <w:p w14:paraId="29BDEB5F" w14:textId="2C56CA11" w:rsidR="00002933" w:rsidRPr="003B4362" w:rsidRDefault="00002933" w:rsidP="00C3705D">
      <w:pPr>
        <w:suppressAutoHyphens/>
        <w:ind w:left="2160"/>
      </w:pPr>
      <w:r w:rsidRPr="003B4362">
        <w:t xml:space="preserve">BOARD NOTE:  In determining that </w:t>
      </w:r>
      <w:bookmarkStart w:id="379" w:name="_Hlk129790103"/>
      <w:r w:rsidR="006A3429" w:rsidRPr="003B4362">
        <w:t xml:space="preserve">the supplier cannot reasonably make </w:t>
      </w:r>
      <w:r w:rsidRPr="003B4362">
        <w:t xml:space="preserve">management or restructuring changes </w:t>
      </w:r>
      <w:bookmarkEnd w:id="379"/>
      <w:r w:rsidRPr="003B4362">
        <w:t xml:space="preserve">that will </w:t>
      </w:r>
      <w:bookmarkStart w:id="380" w:name="_Hlk129790172"/>
      <w:r w:rsidRPr="003B4362">
        <w:t xml:space="preserve">result in </w:t>
      </w:r>
      <w:r w:rsidR="006A3429" w:rsidRPr="003B4362">
        <w:t xml:space="preserve">the supplier complying </w:t>
      </w:r>
      <w:bookmarkEnd w:id="380"/>
      <w:r w:rsidRPr="003B4362">
        <w:t xml:space="preserve">with the NPDWR, the Board will consider the </w:t>
      </w:r>
      <w:bookmarkStart w:id="381" w:name="_Hlk129790232"/>
      <w:r w:rsidRPr="003B4362">
        <w:t xml:space="preserve">factors USEPA </w:t>
      </w:r>
      <w:r w:rsidR="006A3429" w:rsidRPr="003B4362">
        <w:t>requires</w:t>
      </w:r>
      <w:bookmarkEnd w:id="381"/>
      <w:r w:rsidR="006A3429" w:rsidRPr="003B4362">
        <w:t xml:space="preserve"> </w:t>
      </w:r>
      <w:r w:rsidRPr="003B4362">
        <w:t>under 40 CFR 142.20(b)(1), incorporated by reference in Section 611.102(c).</w:t>
      </w:r>
    </w:p>
    <w:p w14:paraId="226D9554" w14:textId="77777777" w:rsidR="00C3705D" w:rsidRDefault="00C3705D" w:rsidP="00C3705D">
      <w:pPr>
        <w:suppressAutoHyphens/>
        <w:ind w:left="1440" w:hanging="720"/>
      </w:pPr>
    </w:p>
    <w:p w14:paraId="75FB6F0E" w14:textId="51ED94AD" w:rsidR="00002933" w:rsidRPr="003B4362" w:rsidRDefault="00002933" w:rsidP="00C3705D">
      <w:pPr>
        <w:suppressAutoHyphens/>
        <w:ind w:left="1440" w:hanging="720"/>
      </w:pPr>
      <w:r w:rsidRPr="003B4362">
        <w:t>c)</w:t>
      </w:r>
      <w:r w:rsidRPr="003B4362">
        <w:tab/>
        <w:t xml:space="preserve">In any order granting relief under this Section, </w:t>
      </w:r>
      <w:bookmarkStart w:id="382" w:name="_Hlk129790342"/>
      <w:r w:rsidRPr="003B4362">
        <w:t>the Board will prescribe</w:t>
      </w:r>
      <w:r w:rsidR="006A3429" w:rsidRPr="003B4362">
        <w:t xml:space="preserve"> schedules</w:t>
      </w:r>
      <w:bookmarkEnd w:id="382"/>
      <w:r w:rsidRPr="003B4362">
        <w:t>:</w:t>
      </w:r>
    </w:p>
    <w:p w14:paraId="51991D89" w14:textId="77777777" w:rsidR="00C3705D" w:rsidRDefault="00C3705D" w:rsidP="00C3705D">
      <w:pPr>
        <w:suppressAutoHyphens/>
        <w:ind w:left="2160" w:hanging="720"/>
      </w:pPr>
    </w:p>
    <w:p w14:paraId="49E05A3B" w14:textId="6106813E" w:rsidR="00002933" w:rsidRPr="003B4362" w:rsidRDefault="00002933" w:rsidP="00C3705D">
      <w:pPr>
        <w:suppressAutoHyphens/>
        <w:ind w:left="2160" w:hanging="720"/>
      </w:pPr>
      <w:r w:rsidRPr="003B4362">
        <w:t>1)</w:t>
      </w:r>
      <w:r w:rsidRPr="003B4362">
        <w:tab/>
      </w:r>
      <w:r w:rsidR="006A3429" w:rsidRPr="003B4362">
        <w:t>A schedule for complying with each MCL from which the Board granted relief, including increments of progress;</w:t>
      </w:r>
      <w:r w:rsidR="006A3429" w:rsidRPr="003B4362">
        <w:rPr>
          <w:spacing w:val="-3"/>
        </w:rPr>
        <w:t xml:space="preserve"> and</w:t>
      </w:r>
    </w:p>
    <w:p w14:paraId="29C6CEC9" w14:textId="77777777" w:rsidR="00C3705D" w:rsidRDefault="00C3705D" w:rsidP="00C3705D">
      <w:pPr>
        <w:suppressAutoHyphens/>
        <w:ind w:left="2160" w:hanging="720"/>
      </w:pPr>
    </w:p>
    <w:p w14:paraId="3EF263DF" w14:textId="7A0EEDD4" w:rsidR="00002933" w:rsidRPr="003B4362" w:rsidRDefault="00002933" w:rsidP="00C3705D">
      <w:pPr>
        <w:suppressAutoHyphens/>
        <w:ind w:left="2160" w:hanging="720"/>
      </w:pPr>
      <w:r w:rsidRPr="003B4362">
        <w:lastRenderedPageBreak/>
        <w:t>2)</w:t>
      </w:r>
      <w:r w:rsidRPr="003B4362">
        <w:tab/>
      </w:r>
      <w:r w:rsidR="006A3429" w:rsidRPr="003B4362">
        <w:t xml:space="preserve">A schedule for the supplier implementing </w:t>
      </w:r>
      <w:r w:rsidRPr="003B4362">
        <w:t xml:space="preserve">each additional control measure </w:t>
      </w:r>
      <w:bookmarkStart w:id="383" w:name="_Hlk129792033"/>
      <w:r w:rsidRPr="003B4362">
        <w:t>for each MCL or treatment technique requirement</w:t>
      </w:r>
      <w:r w:rsidR="007D3A7B" w:rsidRPr="003B4362">
        <w:t xml:space="preserve"> from which the Board granted</w:t>
      </w:r>
      <w:r w:rsidRPr="003B4362">
        <w:t xml:space="preserve"> relief</w:t>
      </w:r>
      <w:bookmarkEnd w:id="383"/>
      <w:r w:rsidRPr="003B4362">
        <w:t>.</w:t>
      </w:r>
    </w:p>
    <w:p w14:paraId="1C2A093D" w14:textId="77777777" w:rsidR="00C3705D" w:rsidRDefault="00C3705D" w:rsidP="00C3705D">
      <w:pPr>
        <w:suppressAutoHyphens/>
        <w:ind w:left="1440" w:hanging="720"/>
      </w:pPr>
    </w:p>
    <w:p w14:paraId="73EE4510" w14:textId="4AF7B6BB" w:rsidR="00002933" w:rsidRPr="003B4362" w:rsidRDefault="00002933" w:rsidP="00C3705D">
      <w:pPr>
        <w:suppressAutoHyphens/>
        <w:ind w:left="1440" w:hanging="720"/>
      </w:pPr>
      <w:r w:rsidRPr="003B4362">
        <w:t>d)</w:t>
      </w:r>
      <w:r w:rsidRPr="003B4362">
        <w:tab/>
        <w:t xml:space="preserve">Schedule of Compliance.  A schedule of compliance </w:t>
      </w:r>
      <w:r w:rsidR="007D3A7B" w:rsidRPr="003B4362">
        <w:t xml:space="preserve">must </w:t>
      </w:r>
      <w:r w:rsidRPr="003B4362">
        <w:t xml:space="preserve">require </w:t>
      </w:r>
      <w:r w:rsidR="007D3A7B" w:rsidRPr="003B4362">
        <w:t xml:space="preserve">the supplier to comply as expeditiously as practicable </w:t>
      </w:r>
      <w:r w:rsidRPr="003B4362">
        <w:t xml:space="preserve">with each MCL or treatment technique requirement </w:t>
      </w:r>
      <w:r w:rsidR="007D3A7B" w:rsidRPr="003B4362">
        <w:t>from which the Board granted relief</w:t>
      </w:r>
      <w:r w:rsidRPr="003B4362">
        <w:t xml:space="preserve"> but not later than three years after the otherwise applicable compliance date </w:t>
      </w:r>
      <w:r w:rsidR="007D3A7B" w:rsidRPr="003B4362">
        <w:t xml:space="preserve">USEPA </w:t>
      </w:r>
      <w:r w:rsidRPr="003B4362">
        <w:t xml:space="preserve">established </w:t>
      </w:r>
      <w:r w:rsidR="007D3A7B" w:rsidRPr="003B4362">
        <w:t xml:space="preserve">under </w:t>
      </w:r>
      <w:r w:rsidRPr="003B4362">
        <w:t xml:space="preserve">section 1412(b)(10) of SDWA (42 </w:t>
      </w:r>
      <w:r w:rsidR="0062698B" w:rsidRPr="003B4362">
        <w:t>U.S.C.</w:t>
      </w:r>
      <w:r w:rsidRPr="003B4362">
        <w:t xml:space="preserve"> 300g-1(b)(10)), except</w:t>
      </w:r>
      <w:r w:rsidR="00690BD1" w:rsidRPr="003B4362">
        <w:t xml:space="preserve"> </w:t>
      </w:r>
      <w:r w:rsidR="007D3A7B" w:rsidRPr="003B4362">
        <w:t xml:space="preserve">under limited </w:t>
      </w:r>
      <w:bookmarkStart w:id="384" w:name="_Hlk129802317"/>
      <w:r w:rsidR="000F700F" w:rsidRPr="003B4362">
        <w:t>circumstance</w:t>
      </w:r>
      <w:bookmarkEnd w:id="384"/>
      <w:r w:rsidR="007D3A7B" w:rsidRPr="003B4362">
        <w:t>s</w:t>
      </w:r>
      <w:r w:rsidRPr="003B4362">
        <w:t>:</w:t>
      </w:r>
    </w:p>
    <w:p w14:paraId="0FF7449C" w14:textId="77777777" w:rsidR="00C3705D" w:rsidRDefault="00C3705D" w:rsidP="00C3705D">
      <w:pPr>
        <w:suppressAutoHyphens/>
        <w:ind w:left="2160" w:hanging="720"/>
      </w:pPr>
    </w:p>
    <w:p w14:paraId="16DC7BF7" w14:textId="13B132D1" w:rsidR="00002933" w:rsidRPr="003B4362" w:rsidRDefault="00002933" w:rsidP="00C3705D">
      <w:pPr>
        <w:suppressAutoHyphens/>
        <w:ind w:left="2160" w:hanging="720"/>
      </w:pPr>
      <w:r w:rsidRPr="003B4362">
        <w:t>1)</w:t>
      </w:r>
      <w:r w:rsidRPr="003B4362">
        <w:tab/>
      </w:r>
      <w:r w:rsidR="007D3A7B" w:rsidRPr="003B4362">
        <w:t>T</w:t>
      </w:r>
      <w:bookmarkStart w:id="385" w:name="_Hlk129802388"/>
      <w:r w:rsidR="007D3A7B" w:rsidRPr="003B4362">
        <w:t xml:space="preserve">he Board may not grant </w:t>
      </w:r>
      <w:r w:rsidRPr="003B4362">
        <w:t xml:space="preserve">relief </w:t>
      </w:r>
      <w:bookmarkEnd w:id="385"/>
      <w:r w:rsidRPr="003B4362">
        <w:t xml:space="preserve">unless the PWS establishes </w:t>
      </w:r>
      <w:bookmarkStart w:id="386" w:name="_Hlk129802491"/>
      <w:r w:rsidRPr="003B4362">
        <w:t xml:space="preserve">that </w:t>
      </w:r>
      <w:r w:rsidR="007D3A7B" w:rsidRPr="003B4362">
        <w:t xml:space="preserve">the supplier </w:t>
      </w:r>
      <w:r w:rsidRPr="003B4362">
        <w:t>is taking</w:t>
      </w:r>
      <w:bookmarkEnd w:id="386"/>
      <w:r w:rsidRPr="003B4362">
        <w:t xml:space="preserve"> all practicable steps to meet the NPDWR; and</w:t>
      </w:r>
    </w:p>
    <w:p w14:paraId="2597DECE" w14:textId="77777777" w:rsidR="00C3705D" w:rsidRDefault="00C3705D" w:rsidP="00C3705D">
      <w:pPr>
        <w:suppressAutoHyphens/>
        <w:ind w:left="2880" w:hanging="720"/>
      </w:pPr>
    </w:p>
    <w:p w14:paraId="238C5DAB" w14:textId="1C0FCF7E" w:rsidR="00002933" w:rsidRPr="003B4362" w:rsidRDefault="00002933" w:rsidP="00C3705D">
      <w:pPr>
        <w:suppressAutoHyphens/>
        <w:ind w:left="2880" w:hanging="720"/>
      </w:pPr>
      <w:r w:rsidRPr="003B4362">
        <w:t>A)</w:t>
      </w:r>
      <w:r w:rsidRPr="003B4362">
        <w:tab/>
        <w:t>T</w:t>
      </w:r>
      <w:bookmarkStart w:id="387" w:name="_Hlk129802556"/>
      <w:r w:rsidRPr="003B4362">
        <w:t xml:space="preserve">he </w:t>
      </w:r>
      <w:r w:rsidR="00335419" w:rsidRPr="003B4362">
        <w:t xml:space="preserve">supplier </w:t>
      </w:r>
      <w:bookmarkEnd w:id="387"/>
      <w:r w:rsidRPr="003B4362">
        <w:t xml:space="preserve">cannot meet the NPDWR without capital </w:t>
      </w:r>
      <w:bookmarkStart w:id="388" w:name="_Hlk129802626"/>
      <w:r w:rsidRPr="003B4362">
        <w:t xml:space="preserve">improvements that </w:t>
      </w:r>
      <w:r w:rsidR="007D3A7B" w:rsidRPr="003B4362">
        <w:t xml:space="preserve">the supplier </w:t>
      </w:r>
      <w:r w:rsidRPr="003B4362">
        <w:t xml:space="preserve">cannot </w:t>
      </w:r>
      <w:r w:rsidR="007D3A7B" w:rsidRPr="003B4362">
        <w:t xml:space="preserve">complete </w:t>
      </w:r>
      <w:bookmarkEnd w:id="388"/>
      <w:r w:rsidRPr="003B4362">
        <w:t>within 12 months;</w:t>
      </w:r>
    </w:p>
    <w:p w14:paraId="39628837" w14:textId="77777777" w:rsidR="00C3705D" w:rsidRDefault="00C3705D" w:rsidP="00C3705D">
      <w:pPr>
        <w:suppressAutoHyphens/>
        <w:ind w:left="2880" w:hanging="720"/>
      </w:pPr>
    </w:p>
    <w:p w14:paraId="5AF21FAB" w14:textId="4E4B49FF" w:rsidR="00002933" w:rsidRPr="003B4362" w:rsidRDefault="00002933" w:rsidP="00C3705D">
      <w:pPr>
        <w:suppressAutoHyphens/>
        <w:ind w:left="2880" w:hanging="720"/>
      </w:pPr>
      <w:r w:rsidRPr="003B4362">
        <w:t>B)</w:t>
      </w:r>
      <w:r w:rsidRPr="003B4362">
        <w:tab/>
        <w:t xml:space="preserve">In the case of a </w:t>
      </w:r>
      <w:r w:rsidR="00335419" w:rsidRPr="003B4362">
        <w:t xml:space="preserve">supplier </w:t>
      </w:r>
      <w:r w:rsidRPr="003B4362">
        <w:t xml:space="preserve">that needs financial assistance for the necessary improvements, </w:t>
      </w:r>
      <w:bookmarkStart w:id="389" w:name="_Hlk129802794"/>
      <w:r w:rsidRPr="003B4362">
        <w:t xml:space="preserve">the </w:t>
      </w:r>
      <w:r w:rsidR="000F700F" w:rsidRPr="003B4362">
        <w:t xml:space="preserve">supplier </w:t>
      </w:r>
      <w:r w:rsidR="00D32550" w:rsidRPr="003B4362">
        <w:t xml:space="preserve">enters </w:t>
      </w:r>
      <w:bookmarkEnd w:id="389"/>
      <w:r w:rsidRPr="003B4362">
        <w:t xml:space="preserve">into an agreement to </w:t>
      </w:r>
      <w:bookmarkStart w:id="390" w:name="_Hlk129802849"/>
      <w:r w:rsidRPr="003B4362">
        <w:t xml:space="preserve">obtain </w:t>
      </w:r>
      <w:r w:rsidR="009A46BD" w:rsidRPr="003B4362">
        <w:t xml:space="preserve">the </w:t>
      </w:r>
      <w:r w:rsidRPr="003B4362">
        <w:t>financial assistance</w:t>
      </w:r>
      <w:bookmarkEnd w:id="390"/>
      <w:r w:rsidRPr="003B4362">
        <w:t>; or</w:t>
      </w:r>
    </w:p>
    <w:p w14:paraId="55EDC504" w14:textId="77777777" w:rsidR="00C3705D" w:rsidRDefault="00C3705D" w:rsidP="00C3705D">
      <w:pPr>
        <w:suppressAutoHyphens/>
        <w:ind w:left="2880" w:hanging="720"/>
      </w:pPr>
    </w:p>
    <w:p w14:paraId="15B5C5F4" w14:textId="141071E3" w:rsidR="00002933" w:rsidRPr="003B4362" w:rsidRDefault="00002933" w:rsidP="00C3705D">
      <w:pPr>
        <w:suppressAutoHyphens/>
        <w:ind w:left="2880" w:hanging="720"/>
      </w:pPr>
      <w:r w:rsidRPr="003B4362">
        <w:t>C)</w:t>
      </w:r>
      <w:r w:rsidRPr="003B4362">
        <w:tab/>
        <w:t xml:space="preserve">The </w:t>
      </w:r>
      <w:r w:rsidR="00335419" w:rsidRPr="003B4362">
        <w:t xml:space="preserve">supplier </w:t>
      </w:r>
      <w:r w:rsidR="00D32550" w:rsidRPr="003B4362">
        <w:t xml:space="preserve">enters </w:t>
      </w:r>
      <w:r w:rsidRPr="003B4362">
        <w:t>into an enforceable agreement to become a part of a regional PWS.</w:t>
      </w:r>
    </w:p>
    <w:p w14:paraId="6AFF84FC" w14:textId="77777777" w:rsidR="00C3705D" w:rsidRDefault="00C3705D" w:rsidP="00C3705D">
      <w:pPr>
        <w:suppressAutoHyphens/>
        <w:ind w:left="2160" w:hanging="720"/>
        <w:rPr>
          <w:spacing w:val="-2"/>
        </w:rPr>
      </w:pPr>
    </w:p>
    <w:p w14:paraId="7977EB84" w14:textId="1DAC0319" w:rsidR="00002933" w:rsidRPr="003B4362" w:rsidRDefault="00002933" w:rsidP="00C3705D">
      <w:pPr>
        <w:suppressAutoHyphens/>
        <w:ind w:left="2160" w:hanging="720"/>
      </w:pPr>
      <w:r w:rsidRPr="003B4362">
        <w:rPr>
          <w:spacing w:val="-2"/>
        </w:rPr>
        <w:t>2</w:t>
      </w:r>
      <w:r w:rsidRPr="003B4362">
        <w:t>)</w:t>
      </w:r>
      <w:r w:rsidRPr="003B4362">
        <w:tab/>
        <w:t xml:space="preserve">In the case of </w:t>
      </w:r>
      <w:bookmarkStart w:id="391" w:name="_Hlk129802954"/>
      <w:r w:rsidRPr="003B4362">
        <w:t xml:space="preserve">a </w:t>
      </w:r>
      <w:r w:rsidR="00335419" w:rsidRPr="003B4362">
        <w:t xml:space="preserve">supplier </w:t>
      </w:r>
      <w:r w:rsidR="009A46BD" w:rsidRPr="003B4362">
        <w:t xml:space="preserve">serving </w:t>
      </w:r>
      <w:bookmarkEnd w:id="391"/>
      <w:r w:rsidRPr="003B4362">
        <w:t xml:space="preserve">3,300 or fewer persons that needs financial assistance for the necessary improvements, </w:t>
      </w:r>
      <w:bookmarkStart w:id="392" w:name="_Hlk129803003"/>
      <w:r w:rsidR="009A46BD" w:rsidRPr="003B4362">
        <w:t xml:space="preserve">the Board may renew the </w:t>
      </w:r>
      <w:r w:rsidRPr="003B4362">
        <w:t xml:space="preserve">relief </w:t>
      </w:r>
      <w:bookmarkEnd w:id="392"/>
      <w:r w:rsidRPr="003B4362">
        <w:t xml:space="preserve">for one or more </w:t>
      </w:r>
      <w:bookmarkStart w:id="393" w:name="_Hlk129806026"/>
      <w:r w:rsidRPr="003B4362">
        <w:t xml:space="preserve">additional </w:t>
      </w:r>
      <w:r w:rsidR="000F700F" w:rsidRPr="003B4362">
        <w:t xml:space="preserve">two-year </w:t>
      </w:r>
      <w:r w:rsidRPr="003B4362">
        <w:t xml:space="preserve">periods </w:t>
      </w:r>
      <w:r w:rsidR="000F700F" w:rsidRPr="003B4362">
        <w:t xml:space="preserve">up </w:t>
      </w:r>
      <w:r w:rsidRPr="003B4362">
        <w:t xml:space="preserve">to a total of six years if the </w:t>
      </w:r>
      <w:r w:rsidR="00465467" w:rsidRPr="003B4362">
        <w:t xml:space="preserve">supplier </w:t>
      </w:r>
      <w:bookmarkStart w:id="394" w:name="_Hlk129806162"/>
      <w:bookmarkEnd w:id="393"/>
      <w:r w:rsidRPr="003B4362">
        <w:t>is taking</w:t>
      </w:r>
      <w:bookmarkEnd w:id="394"/>
      <w:r w:rsidRPr="003B4362">
        <w:t xml:space="preserve"> all practicable steps to meet the final date for compliance.</w:t>
      </w:r>
    </w:p>
    <w:p w14:paraId="26EFE5E6" w14:textId="77777777" w:rsidR="00C3705D" w:rsidRDefault="00C3705D" w:rsidP="00C3705D">
      <w:pPr>
        <w:suppressAutoHyphens/>
        <w:ind w:left="2160" w:hanging="720"/>
      </w:pPr>
    </w:p>
    <w:p w14:paraId="08932AE8" w14:textId="679DAC82" w:rsidR="00002933" w:rsidRPr="003B4362" w:rsidRDefault="00002933" w:rsidP="00C3705D">
      <w:pPr>
        <w:suppressAutoHyphens/>
        <w:ind w:left="2160" w:hanging="720"/>
      </w:pPr>
      <w:r w:rsidRPr="003B4362">
        <w:t>3)</w:t>
      </w:r>
      <w:r w:rsidRPr="003B4362">
        <w:tab/>
        <w:t xml:space="preserve">A </w:t>
      </w:r>
      <w:r w:rsidR="00335419" w:rsidRPr="003B4362">
        <w:t xml:space="preserve">supplier </w:t>
      </w:r>
      <w:r w:rsidRPr="003B4362">
        <w:t xml:space="preserve">may not receive relief under this Section </w:t>
      </w:r>
      <w:bookmarkStart w:id="395" w:name="_Hlk129806317"/>
      <w:r w:rsidRPr="003B4362">
        <w:t xml:space="preserve">if the </w:t>
      </w:r>
      <w:r w:rsidR="009A46BD" w:rsidRPr="003B4362">
        <w:t xml:space="preserve">Board granted the supplier </w:t>
      </w:r>
      <w:r w:rsidRPr="003B4362">
        <w:t>relief</w:t>
      </w:r>
      <w:bookmarkEnd w:id="395"/>
      <w:r w:rsidRPr="003B4362">
        <w:t xml:space="preserve"> under Section 611.111 or 611.131.</w:t>
      </w:r>
    </w:p>
    <w:p w14:paraId="069F3DD4" w14:textId="77777777" w:rsidR="00C3705D" w:rsidRDefault="00C3705D" w:rsidP="00C3705D">
      <w:pPr>
        <w:suppressAutoHyphens/>
        <w:ind w:left="1440" w:hanging="720"/>
      </w:pPr>
    </w:p>
    <w:p w14:paraId="10E1B4D1" w14:textId="5C5366E5" w:rsidR="00002933" w:rsidRPr="003B4362" w:rsidRDefault="00002933" w:rsidP="00C3705D">
      <w:pPr>
        <w:suppressAutoHyphens/>
        <w:ind w:left="1440" w:hanging="720"/>
      </w:pPr>
      <w:r w:rsidRPr="003B4362">
        <w:t>e)</w:t>
      </w:r>
      <w:r w:rsidRPr="003B4362">
        <w:tab/>
        <w:t xml:space="preserve">The Board will hold at least one public hearing.  In addition the Board will accept comments </w:t>
      </w:r>
      <w:bookmarkStart w:id="396" w:name="_Hlk129806419"/>
      <w:r w:rsidR="009A46BD" w:rsidRPr="003B4362">
        <w:t xml:space="preserve">under the </w:t>
      </w:r>
      <w:r w:rsidRPr="003B4362">
        <w:t xml:space="preserve">appropriate </w:t>
      </w:r>
      <w:r w:rsidR="009A46BD" w:rsidRPr="003B4362">
        <w:t xml:space="preserve">of </w:t>
      </w:r>
      <w:r w:rsidRPr="003B4362">
        <w:t>35 Ill. Adm. Code 102 or 104</w:t>
      </w:r>
      <w:bookmarkEnd w:id="396"/>
      <w:r w:rsidRPr="003B4362">
        <w:t>.</w:t>
      </w:r>
    </w:p>
    <w:p w14:paraId="5C85B528" w14:textId="77777777" w:rsidR="00C3705D" w:rsidRDefault="00C3705D" w:rsidP="00C3705D">
      <w:pPr>
        <w:suppressAutoHyphens/>
        <w:ind w:left="1440" w:hanging="720"/>
      </w:pPr>
    </w:p>
    <w:p w14:paraId="3DE261AF" w14:textId="2613B14E" w:rsidR="00002933" w:rsidRPr="003B4362" w:rsidRDefault="00002933" w:rsidP="00C3705D">
      <w:pPr>
        <w:suppressAutoHyphens/>
        <w:ind w:left="1440" w:hanging="720"/>
      </w:pPr>
      <w:r w:rsidRPr="003B4362">
        <w:t>f)</w:t>
      </w:r>
      <w:r w:rsidRPr="003B4362">
        <w:tab/>
        <w:t xml:space="preserve">The Agency must promptly send USEPA </w:t>
      </w:r>
      <w:bookmarkStart w:id="397" w:name="_Hlk129806505"/>
      <w:r w:rsidRPr="003B4362">
        <w:t xml:space="preserve">the </w:t>
      </w:r>
      <w:r w:rsidR="009A46BD" w:rsidRPr="003B4362">
        <w:t xml:space="preserve">Board’s opinion and order </w:t>
      </w:r>
      <w:bookmarkEnd w:id="397"/>
      <w:r w:rsidRPr="003B4362">
        <w:t xml:space="preserve">granting relief under this Section.  The Board may reconsider and </w:t>
      </w:r>
      <w:bookmarkStart w:id="398" w:name="_Hlk129806608"/>
      <w:r w:rsidRPr="003B4362">
        <w:t xml:space="preserve">modify </w:t>
      </w:r>
      <w:r w:rsidR="009A46BD" w:rsidRPr="003B4362">
        <w:t>its order granting relief and any conditions</w:t>
      </w:r>
      <w:r w:rsidRPr="003B4362">
        <w:t xml:space="preserve"> if USEPA notifies</w:t>
      </w:r>
      <w:bookmarkEnd w:id="398"/>
      <w:r w:rsidRPr="003B4362">
        <w:t xml:space="preserve"> the Board of a finding under section 1416 of the SDWA (42 </w:t>
      </w:r>
      <w:r w:rsidR="0062698B" w:rsidRPr="003B4362">
        <w:t>U.S.C.</w:t>
      </w:r>
      <w:r w:rsidRPr="003B4362">
        <w:t xml:space="preserve"> 300g-5).</w:t>
      </w:r>
    </w:p>
    <w:p w14:paraId="2579EDD9" w14:textId="77777777" w:rsidR="00C3705D" w:rsidRDefault="00C3705D" w:rsidP="00C3705D">
      <w:pPr>
        <w:suppressAutoHyphens/>
        <w:ind w:left="1440"/>
      </w:pPr>
    </w:p>
    <w:p w14:paraId="30CA5369" w14:textId="1083A5BD" w:rsidR="00002933" w:rsidRPr="003B4362" w:rsidRDefault="00002933" w:rsidP="00C3705D">
      <w:pPr>
        <w:suppressAutoHyphens/>
        <w:ind w:left="1440"/>
      </w:pPr>
      <w:r w:rsidRPr="003B4362">
        <w:t xml:space="preserve">BOARD NOTE:  </w:t>
      </w:r>
      <w:r w:rsidR="00941516" w:rsidRPr="003B4362">
        <w:rPr>
          <w:spacing w:val="-3"/>
        </w:rPr>
        <w:t xml:space="preserve">This subsection (f) derives </w:t>
      </w:r>
      <w:r w:rsidRPr="003B4362">
        <w:t xml:space="preserve">from section 1416 of the SDWA (42 </w:t>
      </w:r>
      <w:r w:rsidR="0062698B" w:rsidRPr="003B4362">
        <w:t>U.S.C.</w:t>
      </w:r>
      <w:r w:rsidRPr="003B4362">
        <w:t xml:space="preserve"> 300g-5).</w:t>
      </w:r>
    </w:p>
    <w:p w14:paraId="760E23E9" w14:textId="77777777" w:rsidR="00C3705D" w:rsidRDefault="00C3705D" w:rsidP="00C3705D">
      <w:pPr>
        <w:suppressAutoHyphens/>
        <w:ind w:left="1440" w:hanging="720"/>
      </w:pPr>
    </w:p>
    <w:p w14:paraId="5CEEBF01" w14:textId="51A65B6C" w:rsidR="00002933" w:rsidRPr="003B4362" w:rsidRDefault="00002933" w:rsidP="00C3705D">
      <w:pPr>
        <w:suppressAutoHyphens/>
        <w:ind w:left="1440" w:hanging="720"/>
      </w:pPr>
      <w:r w:rsidRPr="003B4362">
        <w:t>g)</w:t>
      </w:r>
      <w:r w:rsidRPr="003B4362">
        <w:tab/>
        <w:t xml:space="preserve">The Board will not grant </w:t>
      </w:r>
      <w:bookmarkStart w:id="399" w:name="_Hlk129806764"/>
      <w:r w:rsidRPr="003B4362">
        <w:t>relief from</w:t>
      </w:r>
      <w:r w:rsidR="009A46BD" w:rsidRPr="003B4362">
        <w:t xml:space="preserve"> certain standards</w:t>
      </w:r>
      <w:bookmarkEnd w:id="399"/>
      <w:r w:rsidRPr="003B4362">
        <w:t>:</w:t>
      </w:r>
    </w:p>
    <w:p w14:paraId="534DD584" w14:textId="77777777" w:rsidR="00C3705D" w:rsidRDefault="00C3705D" w:rsidP="00C3705D">
      <w:pPr>
        <w:suppressAutoHyphens/>
        <w:ind w:left="2160" w:hanging="720"/>
      </w:pPr>
    </w:p>
    <w:p w14:paraId="4E227DBA" w14:textId="17848E25" w:rsidR="00002933" w:rsidRPr="003B4362" w:rsidRDefault="00002933" w:rsidP="00C3705D">
      <w:pPr>
        <w:suppressAutoHyphens/>
        <w:ind w:left="2160" w:hanging="720"/>
      </w:pPr>
      <w:r w:rsidRPr="003B4362">
        <w:t>1)</w:t>
      </w:r>
      <w:r w:rsidRPr="003B4362">
        <w:tab/>
        <w:t>From the MCLs for total coliforms and E. coli.  The Board can no longer grant relief from the total coliform MCL.</w:t>
      </w:r>
    </w:p>
    <w:p w14:paraId="18AA8783" w14:textId="77777777" w:rsidR="00C3705D" w:rsidRDefault="00C3705D" w:rsidP="00C3705D">
      <w:pPr>
        <w:ind w:left="2160"/>
      </w:pPr>
    </w:p>
    <w:p w14:paraId="1C3E25C9" w14:textId="6C050C02" w:rsidR="00002933" w:rsidRPr="003B4362" w:rsidRDefault="00002933" w:rsidP="00C3705D">
      <w:pPr>
        <w:ind w:left="2160"/>
      </w:pPr>
      <w:r w:rsidRPr="003B4362">
        <w:t>BOARD NOTE:  A</w:t>
      </w:r>
      <w:bookmarkStart w:id="400" w:name="_Hlk129806966"/>
      <w:r w:rsidRPr="003B4362">
        <w:t>s Section 611.131(c)(1) and 40 CFR 142.304(a)</w:t>
      </w:r>
      <w:r w:rsidR="00927787" w:rsidRPr="003B4362">
        <w:t xml:space="preserve"> provide</w:t>
      </w:r>
      <w:bookmarkEnd w:id="400"/>
      <w:r w:rsidRPr="003B4362">
        <w:t>, a small system variance is not available for rules that address microbial contaminants, which include Subparts B, R, S, X, Z, and AA.</w:t>
      </w:r>
    </w:p>
    <w:p w14:paraId="43734A60" w14:textId="77777777" w:rsidR="00C3705D" w:rsidRDefault="00C3705D" w:rsidP="00C3705D">
      <w:pPr>
        <w:suppressAutoHyphens/>
        <w:ind w:left="2160" w:hanging="720"/>
      </w:pPr>
    </w:p>
    <w:p w14:paraId="173C4200" w14:textId="611D7DE3" w:rsidR="00002933" w:rsidRPr="003B4362" w:rsidRDefault="00002933" w:rsidP="00C3705D">
      <w:pPr>
        <w:suppressAutoHyphens/>
        <w:ind w:left="2160" w:hanging="720"/>
      </w:pPr>
      <w:r w:rsidRPr="003B4362">
        <w:t>2)</w:t>
      </w:r>
      <w:r w:rsidRPr="003B4362">
        <w:tab/>
        <w:t xml:space="preserve">From </w:t>
      </w:r>
      <w:bookmarkStart w:id="401" w:name="_Hlk129807068"/>
      <w:r w:rsidRPr="003B4362">
        <w:t xml:space="preserve">any treatment technique </w:t>
      </w:r>
      <w:r w:rsidR="009A46BD" w:rsidRPr="003B4362">
        <w:t xml:space="preserve">in </w:t>
      </w:r>
      <w:r w:rsidRPr="003B4362">
        <w:t>Subpart B</w:t>
      </w:r>
      <w:bookmarkEnd w:id="401"/>
      <w:r w:rsidRPr="003B4362">
        <w:t>.</w:t>
      </w:r>
    </w:p>
    <w:p w14:paraId="497514A2" w14:textId="77777777" w:rsidR="00C3705D" w:rsidRDefault="00C3705D" w:rsidP="00C3705D">
      <w:pPr>
        <w:suppressAutoHyphens/>
        <w:ind w:left="2160" w:hanging="720"/>
      </w:pPr>
    </w:p>
    <w:p w14:paraId="7DBCB364" w14:textId="38F927B5" w:rsidR="00002933" w:rsidRPr="003B4362" w:rsidRDefault="00002933" w:rsidP="00C3705D">
      <w:pPr>
        <w:suppressAutoHyphens/>
        <w:ind w:left="2160" w:hanging="720"/>
      </w:pPr>
      <w:r w:rsidRPr="003B4362">
        <w:t>3)</w:t>
      </w:r>
      <w:r w:rsidRPr="003B4362">
        <w:tab/>
        <w:t xml:space="preserve">From the </w:t>
      </w:r>
      <w:bookmarkStart w:id="402" w:name="_Hlk129807441"/>
      <w:r w:rsidRPr="003B4362">
        <w:t>RDC</w:t>
      </w:r>
      <w:bookmarkStart w:id="403" w:name="_Hlk129807534"/>
      <w:bookmarkEnd w:id="402"/>
      <w:r w:rsidRPr="003B4362">
        <w:t xml:space="preserve"> Sections 611.241(c) and 611.242(b)</w:t>
      </w:r>
      <w:r w:rsidR="00A360E5" w:rsidRPr="003B4362">
        <w:t xml:space="preserve"> require</w:t>
      </w:r>
      <w:bookmarkEnd w:id="403"/>
      <w:r w:rsidRPr="003B4362">
        <w:t>.</w:t>
      </w:r>
    </w:p>
    <w:p w14:paraId="03A46583" w14:textId="77777777" w:rsidR="00C3705D" w:rsidRDefault="00C3705D" w:rsidP="00C3705D">
      <w:pPr>
        <w:suppressAutoHyphens/>
        <w:ind w:left="1440" w:hanging="720"/>
      </w:pPr>
    </w:p>
    <w:p w14:paraId="4B3B08C6" w14:textId="2BA56870" w:rsidR="00002933" w:rsidRPr="003B4362" w:rsidRDefault="00002933" w:rsidP="00C3705D">
      <w:pPr>
        <w:suppressAutoHyphens/>
        <w:ind w:left="1440" w:hanging="720"/>
      </w:pPr>
      <w:r w:rsidRPr="003B4362">
        <w:t>h)</w:t>
      </w:r>
      <w:r w:rsidRPr="003B4362">
        <w:tab/>
        <w:t>I</w:t>
      </w:r>
      <w:bookmarkStart w:id="404" w:name="_Hlk129807683"/>
      <w:r w:rsidRPr="003B4362">
        <w:t>n addition to this Section, Section 611.130 or 611.131 may apply</w:t>
      </w:r>
      <w:bookmarkEnd w:id="404"/>
      <w:r w:rsidRPr="003B4362">
        <w:t xml:space="preserve"> to relief granted under this Section.</w:t>
      </w:r>
    </w:p>
    <w:p w14:paraId="55DD2532" w14:textId="77777777" w:rsidR="00C3705D" w:rsidRDefault="00C3705D" w:rsidP="00C3705D"/>
    <w:p w14:paraId="32CC811A" w14:textId="54D6F761" w:rsidR="00002933" w:rsidRPr="003B4362" w:rsidRDefault="00002933" w:rsidP="00C3705D">
      <w:r w:rsidRPr="003B4362">
        <w:t xml:space="preserve">BOARD NOTE:  </w:t>
      </w:r>
      <w:r w:rsidR="00941516" w:rsidRPr="003B4362">
        <w:rPr>
          <w:spacing w:val="-3"/>
        </w:rPr>
        <w:t xml:space="preserve">This Section derives </w:t>
      </w:r>
      <w:r w:rsidRPr="003B4362">
        <w:t xml:space="preserve">from 40 CFR 141.4.  USEPA </w:t>
      </w:r>
      <w:r w:rsidR="00A854C7" w:rsidRPr="003B4362">
        <w:t>has</w:t>
      </w:r>
      <w:r w:rsidRPr="003B4362">
        <w:t xml:space="preserve"> a procedure at 40 CFR 142.23 to review and potentially modify or nullify state determinations granting relief from NPDWRs </w:t>
      </w:r>
      <w:r w:rsidR="00A1165E" w:rsidRPr="003B4362">
        <w:rPr>
          <w:spacing w:val="-3"/>
        </w:rPr>
        <w:t xml:space="preserve">if </w:t>
      </w:r>
      <w:r w:rsidRPr="003B4362">
        <w:t xml:space="preserve">USEPA finds that the state </w:t>
      </w:r>
      <w:r w:rsidR="00D32550" w:rsidRPr="003B4362">
        <w:t xml:space="preserve">abuses </w:t>
      </w:r>
      <w:r w:rsidRPr="003B4362">
        <w:t xml:space="preserve">its discretion or </w:t>
      </w:r>
      <w:r w:rsidR="00D32550" w:rsidRPr="003B4362">
        <w:t xml:space="preserve">fails </w:t>
      </w:r>
      <w:r w:rsidRPr="003B4362">
        <w:t>to prescribe required schedules for compliance in a substantial number of instances.</w:t>
      </w:r>
    </w:p>
    <w:p w14:paraId="40B33A31" w14:textId="77777777" w:rsidR="00C3705D" w:rsidRDefault="00C3705D" w:rsidP="00C3705D">
      <w:pPr>
        <w:suppressAutoHyphens/>
        <w:ind w:left="720"/>
      </w:pPr>
    </w:p>
    <w:p w14:paraId="6A818EDF" w14:textId="6CBCBC6A" w:rsidR="00002933" w:rsidRPr="003B4362" w:rsidRDefault="00002933" w:rsidP="00C3705D">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1D294FE3" w14:textId="77777777" w:rsidR="00EB353D" w:rsidRPr="003B4362" w:rsidRDefault="00EB353D" w:rsidP="00EB353D">
      <w:pPr>
        <w:rPr>
          <w:b/>
          <w:bCs/>
        </w:rPr>
      </w:pPr>
    </w:p>
    <w:p w14:paraId="09FCC5AB" w14:textId="471574A9" w:rsidR="00DF45E2" w:rsidRPr="003B4362" w:rsidRDefault="00DF45E2" w:rsidP="00EB353D">
      <w:pPr>
        <w:rPr>
          <w:b/>
          <w:bCs/>
        </w:rPr>
      </w:pPr>
      <w:r w:rsidRPr="003B4362">
        <w:rPr>
          <w:b/>
          <w:bCs/>
        </w:rPr>
        <w:t>Section 611.113  Alternative Treatment Techniques</w:t>
      </w:r>
    </w:p>
    <w:p w14:paraId="62431DAC" w14:textId="77777777" w:rsidR="00C3705D" w:rsidRDefault="00C3705D" w:rsidP="00C3705D">
      <w:pPr>
        <w:suppressAutoHyphens/>
      </w:pPr>
    </w:p>
    <w:p w14:paraId="4137EA97" w14:textId="20F14079" w:rsidR="00DF45E2" w:rsidRPr="003B4362" w:rsidRDefault="00DF45E2" w:rsidP="00C3705D">
      <w:pPr>
        <w:suppressAutoHyphens/>
      </w:pPr>
      <w:r w:rsidRPr="003B4362">
        <w:t>T</w:t>
      </w:r>
      <w:bookmarkStart w:id="405" w:name="_Hlk129807884"/>
      <w:r w:rsidRPr="003B4362">
        <w:t>his Section is equivalent</w:t>
      </w:r>
      <w:bookmarkEnd w:id="405"/>
      <w:r w:rsidRPr="003B4362">
        <w:t xml:space="preserve"> to </w:t>
      </w:r>
      <w:bookmarkStart w:id="406" w:name="_Hlk129807960"/>
      <w:r w:rsidRPr="003B4362">
        <w:t>section 1415(a)(3) of SDWA</w:t>
      </w:r>
      <w:bookmarkEnd w:id="406"/>
      <w:r w:rsidRPr="003B4362">
        <w:t xml:space="preserve"> (42 </w:t>
      </w:r>
      <w:r w:rsidR="0062698B" w:rsidRPr="003B4362">
        <w:t>U.S.C.</w:t>
      </w:r>
      <w:r w:rsidRPr="003B4362">
        <w:t xml:space="preserve"> 300g-4(a)(3)).</w:t>
      </w:r>
    </w:p>
    <w:p w14:paraId="0E65D401" w14:textId="77777777" w:rsidR="00C3705D" w:rsidRDefault="00C3705D" w:rsidP="00C3705D">
      <w:pPr>
        <w:suppressAutoHyphens/>
        <w:ind w:left="1440" w:hanging="720"/>
      </w:pPr>
    </w:p>
    <w:p w14:paraId="192F88E9" w14:textId="43D646C5" w:rsidR="00DF45E2" w:rsidRPr="003B4362" w:rsidRDefault="00DF45E2" w:rsidP="00C3705D">
      <w:pPr>
        <w:suppressAutoHyphens/>
        <w:ind w:left="1440" w:hanging="720"/>
      </w:pPr>
      <w:r w:rsidRPr="003B4362">
        <w:t>a)</w:t>
      </w:r>
      <w:r w:rsidRPr="003B4362">
        <w:tab/>
      </w:r>
      <w:r w:rsidR="00864536" w:rsidRPr="003B4362">
        <w:t>T</w:t>
      </w:r>
      <w:bookmarkStart w:id="407" w:name="_Hlk129808020"/>
      <w:r w:rsidR="00864536" w:rsidRPr="003B4362">
        <w:t xml:space="preserve">he </w:t>
      </w:r>
      <w:r w:rsidRPr="003B4362">
        <w:t xml:space="preserve">Board </w:t>
      </w:r>
      <w:r w:rsidR="00864536" w:rsidRPr="003B4362">
        <w:t xml:space="preserve">will </w:t>
      </w:r>
      <w:r w:rsidRPr="003B4362">
        <w:t xml:space="preserve">grant </w:t>
      </w:r>
      <w:r w:rsidR="00864536" w:rsidRPr="003B4362">
        <w:t xml:space="preserve">any </w:t>
      </w:r>
      <w:r w:rsidRPr="003B4362">
        <w:t>adjusted standard from a treatment technique requirement</w:t>
      </w:r>
      <w:r w:rsidR="00864536" w:rsidRPr="003B4362">
        <w:t xml:space="preserve"> under this Section</w:t>
      </w:r>
      <w:bookmarkEnd w:id="407"/>
      <w:r w:rsidRPr="003B4362">
        <w:t>.</w:t>
      </w:r>
    </w:p>
    <w:p w14:paraId="7D3501E8" w14:textId="77777777" w:rsidR="00C3705D" w:rsidRDefault="00C3705D" w:rsidP="00C3705D">
      <w:pPr>
        <w:suppressAutoHyphens/>
        <w:ind w:left="1440" w:hanging="720"/>
      </w:pPr>
    </w:p>
    <w:p w14:paraId="4FA41541" w14:textId="7382D512" w:rsidR="00DF45E2" w:rsidRPr="003B4362" w:rsidRDefault="00DF45E2" w:rsidP="00C3705D">
      <w:pPr>
        <w:suppressAutoHyphens/>
        <w:ind w:left="1440" w:hanging="720"/>
      </w:pPr>
      <w:r w:rsidRPr="003B4362">
        <w:t>b)</w:t>
      </w:r>
      <w:r w:rsidRPr="003B4362">
        <w:tab/>
        <w:t>The supplier seeking an adjusted standard must file a petition under Subpart D of 35 Ill. Adm. Code 104.</w:t>
      </w:r>
    </w:p>
    <w:p w14:paraId="3F62C106" w14:textId="77777777" w:rsidR="00C3705D" w:rsidRDefault="00C3705D" w:rsidP="00C3705D">
      <w:pPr>
        <w:suppressAutoHyphens/>
        <w:ind w:left="1440" w:hanging="720"/>
      </w:pPr>
    </w:p>
    <w:p w14:paraId="64D04ACF" w14:textId="7597108C" w:rsidR="00DF45E2" w:rsidRPr="003B4362" w:rsidRDefault="00DF45E2" w:rsidP="00C3705D">
      <w:pPr>
        <w:suppressAutoHyphens/>
        <w:ind w:left="1440" w:hanging="720"/>
      </w:pPr>
      <w:r w:rsidRPr="003B4362">
        <w:t>c)</w:t>
      </w:r>
      <w:r w:rsidRPr="003B4362">
        <w:tab/>
        <w:t xml:space="preserve">As justification, the supplier must demonstrate that an alternative treatment technique is at least as effective in lowering the level of </w:t>
      </w:r>
      <w:bookmarkStart w:id="408" w:name="_Hlk129808453"/>
      <w:r w:rsidRPr="003B4362">
        <w:t xml:space="preserve">the contaminant </w:t>
      </w:r>
      <w:r w:rsidR="00864536" w:rsidRPr="003B4362">
        <w:t xml:space="preserve">for </w:t>
      </w:r>
      <w:r w:rsidRPr="003B4362">
        <w:t xml:space="preserve">which </w:t>
      </w:r>
      <w:r w:rsidR="00864536" w:rsidRPr="003B4362">
        <w:t xml:space="preserve">a rule prescribes </w:t>
      </w:r>
      <w:r w:rsidRPr="003B4362">
        <w:t>the treatment technique requirement</w:t>
      </w:r>
      <w:bookmarkEnd w:id="408"/>
      <w:r w:rsidRPr="003B4362">
        <w:t>.</w:t>
      </w:r>
    </w:p>
    <w:p w14:paraId="22683EF6" w14:textId="77777777" w:rsidR="00C3705D" w:rsidRDefault="00C3705D" w:rsidP="00C3705D">
      <w:pPr>
        <w:suppressAutoHyphens/>
        <w:ind w:left="1440" w:hanging="720"/>
      </w:pPr>
    </w:p>
    <w:p w14:paraId="25D2CC21" w14:textId="4A93C7E3" w:rsidR="00DF45E2" w:rsidRPr="003B4362" w:rsidRDefault="00DF45E2" w:rsidP="00C3705D">
      <w:pPr>
        <w:suppressAutoHyphens/>
        <w:ind w:left="1440" w:hanging="720"/>
      </w:pPr>
      <w:r w:rsidRPr="003B4362">
        <w:t>d)</w:t>
      </w:r>
      <w:r w:rsidRPr="003B4362">
        <w:tab/>
        <w:t>As a condition of any adjusted standard, the Board will require the use of the alternative treatment technique.</w:t>
      </w:r>
    </w:p>
    <w:p w14:paraId="14CB1B85" w14:textId="77777777" w:rsidR="00C3705D" w:rsidRDefault="00C3705D" w:rsidP="00C3705D">
      <w:pPr>
        <w:suppressAutoHyphens/>
        <w:ind w:left="1440" w:hanging="720"/>
      </w:pPr>
    </w:p>
    <w:p w14:paraId="22EDDB2B" w14:textId="144421A3" w:rsidR="00DF45E2" w:rsidRPr="003B4362" w:rsidRDefault="00DF45E2" w:rsidP="00C3705D">
      <w:pPr>
        <w:suppressAutoHyphens/>
        <w:ind w:left="1440" w:hanging="720"/>
      </w:pPr>
      <w:r w:rsidRPr="003B4362">
        <w:t>e)</w:t>
      </w:r>
      <w:r w:rsidRPr="003B4362">
        <w:tab/>
        <w:t xml:space="preserve">The Board will grant </w:t>
      </w:r>
      <w:bookmarkStart w:id="409" w:name="_Hlk129808605"/>
      <w:r w:rsidRPr="003B4362">
        <w:t xml:space="preserve">an adjusted standard for an alternative treatment technique </w:t>
      </w:r>
      <w:bookmarkStart w:id="410" w:name="_Hlk129808691"/>
      <w:bookmarkEnd w:id="409"/>
      <w:r w:rsidRPr="003B4362">
        <w:t>subject to standard conditions</w:t>
      </w:r>
      <w:bookmarkEnd w:id="410"/>
      <w:r w:rsidRPr="003B4362">
        <w:t>:</w:t>
      </w:r>
    </w:p>
    <w:p w14:paraId="5361C277" w14:textId="77777777" w:rsidR="00C3705D" w:rsidRDefault="00C3705D" w:rsidP="00C3705D">
      <w:pPr>
        <w:suppressAutoHyphens/>
        <w:ind w:left="2160" w:hanging="720"/>
      </w:pPr>
    </w:p>
    <w:p w14:paraId="19FDB78C" w14:textId="61D8C09A" w:rsidR="00DF45E2" w:rsidRPr="003B4362" w:rsidRDefault="00DF45E2" w:rsidP="00C3705D">
      <w:pPr>
        <w:suppressAutoHyphens/>
        <w:ind w:left="2160" w:hanging="720"/>
      </w:pPr>
      <w:r w:rsidRPr="003B4362">
        <w:t>1)</w:t>
      </w:r>
      <w:r w:rsidRPr="003B4362">
        <w:tab/>
        <w:t>T</w:t>
      </w:r>
      <w:bookmarkStart w:id="411" w:name="_Hlk129808761"/>
      <w:r w:rsidRPr="003B4362">
        <w:t xml:space="preserve">he adjusted standard must </w:t>
      </w:r>
      <w:r w:rsidR="003E728E" w:rsidRPr="003B4362">
        <w:t xml:space="preserve">include </w:t>
      </w:r>
      <w:r w:rsidR="005D3EA4" w:rsidRPr="003B4362">
        <w:t xml:space="preserve">the </w:t>
      </w:r>
      <w:r w:rsidR="00E23222" w:rsidRPr="003B4362">
        <w:t xml:space="preserve">applicable </w:t>
      </w:r>
      <w:r w:rsidRPr="003B4362">
        <w:t xml:space="preserve"> limitations </w:t>
      </w:r>
      <w:r w:rsidR="003E728E" w:rsidRPr="003B4362">
        <w:t xml:space="preserve">in </w:t>
      </w:r>
      <w:r w:rsidRPr="003B4362">
        <w:t>40 CFR 142</w:t>
      </w:r>
      <w:bookmarkEnd w:id="411"/>
      <w:r w:rsidRPr="003B4362">
        <w:t>, Subpart G, incorporated by reference in Section 611.102;</w:t>
      </w:r>
      <w:r w:rsidRPr="003B4362">
        <w:rPr>
          <w:spacing w:val="-3"/>
        </w:rPr>
        <w:t xml:space="preserve"> and</w:t>
      </w:r>
    </w:p>
    <w:p w14:paraId="64B48E83" w14:textId="77777777" w:rsidR="00C3705D" w:rsidRDefault="00C3705D" w:rsidP="00C3705D">
      <w:pPr>
        <w:suppressAutoHyphens/>
        <w:ind w:left="2160" w:hanging="720"/>
      </w:pPr>
    </w:p>
    <w:p w14:paraId="35772ECE" w14:textId="686E25FF" w:rsidR="00DF45E2" w:rsidRPr="003B4362" w:rsidRDefault="00DF45E2" w:rsidP="00C3705D">
      <w:pPr>
        <w:suppressAutoHyphens/>
        <w:ind w:left="2160" w:hanging="720"/>
      </w:pPr>
      <w:r w:rsidRPr="003B4362">
        <w:lastRenderedPageBreak/>
        <w:t>2)</w:t>
      </w:r>
      <w:r w:rsidRPr="003B4362">
        <w:tab/>
        <w:t xml:space="preserve">The adjusted standard must be subject to review and approval by USEPA under 40 CFR 142.46 </w:t>
      </w:r>
      <w:bookmarkStart w:id="412" w:name="_Hlk129808971"/>
      <w:r w:rsidRPr="003B4362">
        <w:t>before it becomes effective</w:t>
      </w:r>
      <w:bookmarkEnd w:id="412"/>
      <w:r w:rsidRPr="003B4362">
        <w:t>.</w:t>
      </w:r>
    </w:p>
    <w:p w14:paraId="1B0740A4" w14:textId="77777777" w:rsidR="00C3705D" w:rsidRDefault="00C3705D" w:rsidP="00C3705D">
      <w:pPr>
        <w:ind w:left="1440"/>
      </w:pPr>
    </w:p>
    <w:p w14:paraId="384B7079" w14:textId="7DCC207C" w:rsidR="00DF45E2" w:rsidRPr="003B4362" w:rsidRDefault="00DF45E2" w:rsidP="00C3705D">
      <w:pPr>
        <w:ind w:left="1440"/>
      </w:pPr>
      <w:r w:rsidRPr="003B4362">
        <w:t xml:space="preserve">BOARD NOTE:  </w:t>
      </w:r>
      <w:r w:rsidR="00941516" w:rsidRPr="003B4362">
        <w:rPr>
          <w:spacing w:val="-3"/>
        </w:rPr>
        <w:t xml:space="preserve">Subsections (a) through (f) derive </w:t>
      </w:r>
      <w:r w:rsidRPr="003B4362">
        <w:t xml:space="preserve">from section 1415(a)(3) of SDWA (42 </w:t>
      </w:r>
      <w:r w:rsidR="0062698B" w:rsidRPr="003B4362">
        <w:t>U.S.C.</w:t>
      </w:r>
      <w:r w:rsidRPr="003B4362">
        <w:t xml:space="preserve"> 300g-4(a)(3)).</w:t>
      </w:r>
    </w:p>
    <w:p w14:paraId="555F5B60" w14:textId="77777777" w:rsidR="00C3705D" w:rsidRDefault="00C3705D" w:rsidP="00C3705D">
      <w:pPr>
        <w:suppressAutoHyphens/>
        <w:ind w:left="1440" w:hanging="720"/>
      </w:pPr>
    </w:p>
    <w:p w14:paraId="4126B16A" w14:textId="00479658" w:rsidR="00DF45E2" w:rsidRPr="003B4362" w:rsidRDefault="00DF45E2" w:rsidP="00C3705D">
      <w:pPr>
        <w:suppressAutoHyphens/>
        <w:ind w:left="1440" w:hanging="720"/>
      </w:pPr>
      <w:r w:rsidRPr="003B4362">
        <w:t>f)</w:t>
      </w:r>
      <w:r w:rsidRPr="003B4362">
        <w:tab/>
      </w:r>
      <w:bookmarkStart w:id="413" w:name="_Hlk129809222"/>
      <w:r w:rsidRPr="003B4362">
        <w:t xml:space="preserve">Section 611.130 applies to a determination </w:t>
      </w:r>
      <w:bookmarkEnd w:id="413"/>
      <w:r w:rsidRPr="003B4362">
        <w:t>made under this Section.</w:t>
      </w:r>
    </w:p>
    <w:p w14:paraId="526FC6A0" w14:textId="77777777" w:rsidR="00C3705D" w:rsidRDefault="00C3705D" w:rsidP="00C3705D">
      <w:pPr>
        <w:suppressAutoHyphens/>
        <w:ind w:left="720"/>
      </w:pPr>
    </w:p>
    <w:p w14:paraId="04711916" w14:textId="39A0C8B1" w:rsidR="00DF45E2" w:rsidRPr="003B4362" w:rsidRDefault="00EB353D" w:rsidP="00C3705D">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68D94F9B" w14:textId="77777777" w:rsidR="00EB353D" w:rsidRPr="003B4362" w:rsidRDefault="00EB353D" w:rsidP="00EB353D">
      <w:pPr>
        <w:rPr>
          <w:b/>
          <w:bCs/>
        </w:rPr>
      </w:pPr>
    </w:p>
    <w:p w14:paraId="01DC11D9" w14:textId="42B30526" w:rsidR="00DF45E2" w:rsidRPr="003B4362" w:rsidRDefault="00DF45E2" w:rsidP="00EB353D">
      <w:pPr>
        <w:rPr>
          <w:b/>
          <w:bCs/>
        </w:rPr>
      </w:pPr>
      <w:r w:rsidRPr="003B4362">
        <w:rPr>
          <w:b/>
          <w:bCs/>
        </w:rPr>
        <w:t>Section 611.114  Siting Requirements</w:t>
      </w:r>
    </w:p>
    <w:p w14:paraId="57FD8573" w14:textId="77777777" w:rsidR="00C3705D" w:rsidRDefault="00C3705D" w:rsidP="00C3705D">
      <w:pPr>
        <w:suppressAutoHyphens/>
      </w:pPr>
    </w:p>
    <w:p w14:paraId="72A575CA" w14:textId="17CE14B8" w:rsidR="00DF45E2" w:rsidRPr="003B4362" w:rsidRDefault="00DF45E2" w:rsidP="00C3705D">
      <w:pPr>
        <w:suppressAutoHyphens/>
      </w:pPr>
      <w:r w:rsidRPr="003B4362">
        <w:t>B</w:t>
      </w:r>
      <w:bookmarkStart w:id="414" w:name="_Hlk129809326"/>
      <w:r w:rsidRPr="003B4362">
        <w:t xml:space="preserve">efore </w:t>
      </w:r>
      <w:r w:rsidR="004D4208" w:rsidRPr="003B4362">
        <w:t xml:space="preserve">entering </w:t>
      </w:r>
      <w:bookmarkEnd w:id="414"/>
      <w:r w:rsidRPr="003B4362">
        <w:t xml:space="preserve">into a financial commitment for or </w:t>
      </w:r>
      <w:bookmarkStart w:id="415" w:name="_Hlk129809386"/>
      <w:r w:rsidR="004D4208" w:rsidRPr="003B4362">
        <w:t xml:space="preserve">beginning to construct </w:t>
      </w:r>
      <w:r w:rsidRPr="003B4362">
        <w:t xml:space="preserve">a new PWS or </w:t>
      </w:r>
      <w:r w:rsidR="004D4208" w:rsidRPr="003B4362">
        <w:t xml:space="preserve">increasing </w:t>
      </w:r>
      <w:r w:rsidRPr="003B4362">
        <w:t>the capacity</w:t>
      </w:r>
      <w:bookmarkEnd w:id="415"/>
      <w:r w:rsidRPr="003B4362">
        <w:t xml:space="preserve"> of an existing PWS, </w:t>
      </w:r>
      <w:r w:rsidR="004D4208" w:rsidRPr="003B4362">
        <w:t xml:space="preserve">a supplier </w:t>
      </w:r>
      <w:r w:rsidRPr="003B4362">
        <w:t xml:space="preserve">must obtain a construction permit under 35 Ill. Adm. Code 602.101 and, to the extent practicable, avoid locating part or all of the new or expanded facility at </w:t>
      </w:r>
      <w:bookmarkStart w:id="416" w:name="_Hlk129809459"/>
      <w:r w:rsidRPr="003B4362">
        <w:t>a site</w:t>
      </w:r>
      <w:r w:rsidR="002B7059" w:rsidRPr="003B4362">
        <w:t xml:space="preserve"> having certain characteristics</w:t>
      </w:r>
      <w:bookmarkEnd w:id="416"/>
      <w:r w:rsidRPr="003B4362">
        <w:t>:</w:t>
      </w:r>
    </w:p>
    <w:p w14:paraId="6851CE5D" w14:textId="77777777" w:rsidR="00C3705D" w:rsidRDefault="00C3705D" w:rsidP="00C3705D">
      <w:pPr>
        <w:suppressAutoHyphens/>
        <w:ind w:left="1440" w:hanging="720"/>
      </w:pPr>
    </w:p>
    <w:p w14:paraId="50A4BCEC" w14:textId="33F565DE" w:rsidR="00DF45E2" w:rsidRPr="003B4362" w:rsidRDefault="00DF45E2" w:rsidP="00C3705D">
      <w:pPr>
        <w:suppressAutoHyphens/>
        <w:ind w:left="1440" w:hanging="720"/>
      </w:pPr>
      <w:r w:rsidRPr="003B4362">
        <w:t>a)</w:t>
      </w:r>
      <w:r w:rsidRPr="003B4362">
        <w:tab/>
        <w:t>T</w:t>
      </w:r>
      <w:bookmarkStart w:id="417" w:name="_Hlk129809553"/>
      <w:r w:rsidRPr="003B4362">
        <w:t>h</w:t>
      </w:r>
      <w:r w:rsidR="00121F93" w:rsidRPr="003B4362">
        <w:t>e site must not be</w:t>
      </w:r>
      <w:r w:rsidRPr="003B4362">
        <w:t xml:space="preserve"> subject to</w:t>
      </w:r>
      <w:bookmarkEnd w:id="417"/>
      <w:r w:rsidRPr="003B4362">
        <w:t xml:space="preserve"> a significant risk from earthquakes, floods, fires, or other disasters that could cause a breakdown of the PWS or a portion of the PWS.  As used in this subsection, “significant risk” means a greater risk to the new or expanded facility than would exist at other locations within </w:t>
      </w:r>
      <w:bookmarkStart w:id="418" w:name="_Hlk129809644"/>
      <w:r w:rsidRPr="003B4362">
        <w:t>the area the</w:t>
      </w:r>
      <w:r w:rsidR="007A285D" w:rsidRPr="003B4362">
        <w:t xml:space="preserve"> supplier</w:t>
      </w:r>
      <w:r w:rsidRPr="003B4362">
        <w:t xml:space="preserve"> serves</w:t>
      </w:r>
      <w:bookmarkEnd w:id="418"/>
      <w:r w:rsidRPr="003B4362">
        <w:t>; or</w:t>
      </w:r>
    </w:p>
    <w:p w14:paraId="6D628AA8" w14:textId="77777777" w:rsidR="00C3705D" w:rsidRDefault="00C3705D" w:rsidP="00C3705D">
      <w:pPr>
        <w:suppressAutoHyphens/>
        <w:ind w:left="1440" w:hanging="720"/>
      </w:pPr>
    </w:p>
    <w:p w14:paraId="5AF081EC" w14:textId="2566A206" w:rsidR="00DF45E2" w:rsidRPr="003B4362" w:rsidRDefault="00DF45E2" w:rsidP="00C3705D">
      <w:pPr>
        <w:suppressAutoHyphens/>
        <w:ind w:left="1440" w:hanging="720"/>
      </w:pPr>
      <w:r w:rsidRPr="003B4362">
        <w:t>b)</w:t>
      </w:r>
      <w:r w:rsidRPr="003B4362">
        <w:tab/>
        <w:t xml:space="preserve">Except for intake structures, </w:t>
      </w:r>
      <w:bookmarkStart w:id="419" w:name="_Hlk129809785"/>
      <w:r w:rsidRPr="003B4362">
        <w:t>th</w:t>
      </w:r>
      <w:r w:rsidR="00121F93" w:rsidRPr="003B4362">
        <w:t>e site must not be</w:t>
      </w:r>
      <w:r w:rsidRPr="003B4362">
        <w:t xml:space="preserve"> within a 100-year floodplain</w:t>
      </w:r>
      <w:bookmarkEnd w:id="419"/>
      <w:r w:rsidRPr="003B4362">
        <w:t>.</w:t>
      </w:r>
    </w:p>
    <w:p w14:paraId="384D604A" w14:textId="77777777" w:rsidR="00C3705D" w:rsidRDefault="00C3705D" w:rsidP="00C3705D"/>
    <w:p w14:paraId="57B532EB" w14:textId="786E3DFF" w:rsidR="00DF45E2" w:rsidRPr="003B4362" w:rsidRDefault="00DF45E2" w:rsidP="00C3705D">
      <w:r w:rsidRPr="003B4362">
        <w:t xml:space="preserve">BOARD NOTE:  </w:t>
      </w:r>
      <w:r w:rsidR="00941516" w:rsidRPr="003B4362">
        <w:rPr>
          <w:spacing w:val="-3"/>
        </w:rPr>
        <w:t xml:space="preserve">This Section derives </w:t>
      </w:r>
      <w:r w:rsidRPr="003B4362">
        <w:t>from 40 CFR 141.5.</w:t>
      </w:r>
    </w:p>
    <w:p w14:paraId="7468E2E5" w14:textId="77777777" w:rsidR="00C3705D" w:rsidRDefault="00C3705D" w:rsidP="00C3705D">
      <w:pPr>
        <w:suppressAutoHyphens/>
        <w:ind w:left="720"/>
      </w:pPr>
    </w:p>
    <w:p w14:paraId="5D6F48B2" w14:textId="7ACA4727" w:rsidR="00DF45E2" w:rsidRPr="003B4362" w:rsidRDefault="00EB353D" w:rsidP="00C3705D">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4C7A498C" w14:textId="10A14232" w:rsidR="00EB353D" w:rsidRDefault="00EB353D" w:rsidP="00EB353D">
      <w:pPr>
        <w:rPr>
          <w:b/>
          <w:bCs/>
        </w:rPr>
      </w:pPr>
    </w:p>
    <w:p w14:paraId="4DA1A706" w14:textId="77777777" w:rsidR="005769F0" w:rsidRPr="00D8235A" w:rsidRDefault="005769F0" w:rsidP="005769F0">
      <w:pPr>
        <w:rPr>
          <w:b/>
          <w:bCs/>
        </w:rPr>
      </w:pPr>
      <w:r w:rsidRPr="00D8235A">
        <w:rPr>
          <w:b/>
          <w:bCs/>
        </w:rPr>
        <w:t>Section 611.115  Source Water Quantity (Repealed)</w:t>
      </w:r>
    </w:p>
    <w:p w14:paraId="4D915FEE" w14:textId="77777777" w:rsidR="005769F0" w:rsidRPr="001A7517" w:rsidRDefault="005769F0" w:rsidP="005769F0"/>
    <w:p w14:paraId="5D1A03A1" w14:textId="77777777" w:rsidR="005769F0" w:rsidRPr="001A7517" w:rsidRDefault="005769F0" w:rsidP="005769F0">
      <w:r>
        <w:tab/>
      </w:r>
      <w:r w:rsidRPr="001A7517">
        <w:t>(Source:  Repeal</w:t>
      </w:r>
      <w:r w:rsidRPr="001A7517">
        <w:rPr>
          <w:szCs w:val="17"/>
        </w:rPr>
        <w:t xml:space="preserve">ed at </w:t>
      </w:r>
      <w:r w:rsidRPr="001A7517">
        <w:t>43 Ill. Reg. 8206, effective July 26, 2019)</w:t>
      </w:r>
    </w:p>
    <w:p w14:paraId="15753C94" w14:textId="77777777" w:rsidR="005769F0" w:rsidRPr="003B4362" w:rsidRDefault="005769F0" w:rsidP="00EB353D">
      <w:pPr>
        <w:rPr>
          <w:b/>
          <w:bCs/>
        </w:rPr>
      </w:pPr>
    </w:p>
    <w:p w14:paraId="545DD905" w14:textId="0D608FD3" w:rsidR="00C24354" w:rsidRPr="003B4362" w:rsidRDefault="00C24354" w:rsidP="00C3705D">
      <w:pPr>
        <w:rPr>
          <w:b/>
          <w:bCs/>
        </w:rPr>
      </w:pPr>
      <w:r w:rsidRPr="003B4362">
        <w:rPr>
          <w:b/>
          <w:bCs/>
        </w:rPr>
        <w:t>Section 611.120</w:t>
      </w:r>
      <w:r w:rsidR="00D33CD3" w:rsidRPr="003B4362">
        <w:rPr>
          <w:b/>
          <w:bCs/>
        </w:rPr>
        <w:t xml:space="preserve">  </w:t>
      </w:r>
      <w:r w:rsidRPr="003B4362">
        <w:rPr>
          <w:b/>
          <w:bCs/>
        </w:rPr>
        <w:t>Effective Dates</w:t>
      </w:r>
      <w:r w:rsidR="00121F93" w:rsidRPr="003B4362">
        <w:rPr>
          <w:b/>
          <w:bCs/>
        </w:rPr>
        <w:t xml:space="preserve"> (Repealed)</w:t>
      </w:r>
    </w:p>
    <w:p w14:paraId="3B172B8E" w14:textId="77777777" w:rsidR="00C3705D" w:rsidRDefault="00C3705D" w:rsidP="00C3705D">
      <w:pPr>
        <w:suppressAutoHyphens/>
        <w:ind w:left="720"/>
      </w:pPr>
    </w:p>
    <w:p w14:paraId="5E320386" w14:textId="7515271F" w:rsidR="00C24354" w:rsidRPr="003B4362" w:rsidRDefault="00C24354" w:rsidP="00C3705D">
      <w:pPr>
        <w:suppressAutoHyphens/>
        <w:ind w:left="720"/>
      </w:pPr>
      <w:r w:rsidRPr="003B4362">
        <w:t xml:space="preserve">(Source:  </w:t>
      </w:r>
      <w:r w:rsidR="00EB353D" w:rsidRPr="003B4362">
        <w:t>Repealed</w:t>
      </w:r>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32887588" w14:textId="77777777" w:rsidR="00EB353D" w:rsidRPr="003B4362" w:rsidRDefault="00EB353D" w:rsidP="00EB353D">
      <w:pPr>
        <w:rPr>
          <w:b/>
          <w:bCs/>
        </w:rPr>
      </w:pPr>
      <w:bookmarkStart w:id="420" w:name="_Hlk8212110"/>
    </w:p>
    <w:p w14:paraId="675C3BDB" w14:textId="6CB3386C" w:rsidR="008B2ADC" w:rsidRPr="003B4362" w:rsidRDefault="008B2ADC" w:rsidP="00EB353D">
      <w:pPr>
        <w:rPr>
          <w:b/>
          <w:bCs/>
        </w:rPr>
      </w:pPr>
      <w:r w:rsidRPr="003B4362">
        <w:rPr>
          <w:b/>
          <w:bCs/>
        </w:rPr>
        <w:t>Section 611.121  Maximum Contaminant Levels</w:t>
      </w:r>
    </w:p>
    <w:p w14:paraId="2DDDC16F" w14:textId="77777777" w:rsidR="00C3705D" w:rsidRDefault="00C3705D" w:rsidP="00C3705D">
      <w:pPr>
        <w:suppressAutoHyphens/>
        <w:ind w:left="1440" w:hanging="720"/>
      </w:pPr>
    </w:p>
    <w:p w14:paraId="587123FD" w14:textId="2A1CCC7E" w:rsidR="008B2ADC" w:rsidRPr="003B4362" w:rsidRDefault="008B2ADC" w:rsidP="00C3705D">
      <w:pPr>
        <w:suppressAutoHyphens/>
        <w:ind w:left="1440" w:hanging="720"/>
      </w:pPr>
      <w:r w:rsidRPr="003B4362">
        <w:t>a)</w:t>
      </w:r>
      <w:r w:rsidRPr="003B4362">
        <w:tab/>
        <w:t xml:space="preserve">Maximum Contaminant Levels.  No person may </w:t>
      </w:r>
      <w:bookmarkStart w:id="421" w:name="_Hlk129812897"/>
      <w:bookmarkStart w:id="422" w:name="_Hlk129812914"/>
      <w:r w:rsidRPr="003B4362">
        <w:t xml:space="preserve">cause or allow </w:t>
      </w:r>
      <w:bookmarkStart w:id="423" w:name="_Hlk129812842"/>
      <w:bookmarkEnd w:id="421"/>
      <w:r w:rsidRPr="003B4362">
        <w:t>delivering to any user water that exceeds the MCL</w:t>
      </w:r>
      <w:bookmarkEnd w:id="422"/>
      <w:bookmarkEnd w:id="423"/>
      <w:r w:rsidRPr="003B4362">
        <w:t xml:space="preserve"> for any contaminant.</w:t>
      </w:r>
    </w:p>
    <w:p w14:paraId="0EEA5083" w14:textId="77777777" w:rsidR="00C3705D" w:rsidRDefault="00C3705D" w:rsidP="00C3705D">
      <w:pPr>
        <w:suppressAutoHyphens/>
        <w:ind w:left="1440" w:hanging="720"/>
      </w:pPr>
    </w:p>
    <w:p w14:paraId="077E7C2D" w14:textId="2F5299FD" w:rsidR="008B2ADC" w:rsidRPr="003B4362" w:rsidRDefault="008B2ADC" w:rsidP="00C3705D">
      <w:pPr>
        <w:suppressAutoHyphens/>
        <w:ind w:left="1440" w:hanging="720"/>
      </w:pPr>
      <w:r w:rsidRPr="003B4362">
        <w:t>b)</w:t>
      </w:r>
      <w:r w:rsidRPr="003B4362">
        <w:tab/>
      </w:r>
      <w:r w:rsidR="00AB66F7" w:rsidRPr="003B4362">
        <w:t>T</w:t>
      </w:r>
      <w:bookmarkStart w:id="424" w:name="_Hlk129813044"/>
      <w:r w:rsidR="00AB66F7" w:rsidRPr="003B4362">
        <w:t xml:space="preserve">he </w:t>
      </w:r>
      <w:r w:rsidRPr="003B4362">
        <w:t xml:space="preserve">MCL for </w:t>
      </w:r>
      <w:r w:rsidR="00AB66F7" w:rsidRPr="003B4362">
        <w:t xml:space="preserve">any </w:t>
      </w:r>
      <w:r w:rsidRPr="003B4362">
        <w:t>particular contaminant</w:t>
      </w:r>
      <w:bookmarkEnd w:id="424"/>
      <w:r w:rsidRPr="003B4362">
        <w:t xml:space="preserve"> applies in lieu of </w:t>
      </w:r>
      <w:bookmarkStart w:id="425" w:name="_Hlk129813119"/>
      <w:r w:rsidRPr="003B4362">
        <w:t xml:space="preserve">any narrative </w:t>
      </w:r>
      <w:r w:rsidR="00AB66F7" w:rsidRPr="003B4362">
        <w:t xml:space="preserve">finished water quality </w:t>
      </w:r>
      <w:r w:rsidRPr="003B4362">
        <w:t>standard</w:t>
      </w:r>
      <w:bookmarkEnd w:id="425"/>
      <w:r w:rsidRPr="003B4362">
        <w:t>.</w:t>
      </w:r>
    </w:p>
    <w:p w14:paraId="24587BA7" w14:textId="77777777" w:rsidR="00C3705D" w:rsidRDefault="00C3705D" w:rsidP="00C3705D"/>
    <w:p w14:paraId="1A6E86F8" w14:textId="4E1F5DA6" w:rsidR="008B2ADC" w:rsidRPr="003B4362" w:rsidRDefault="008B2ADC" w:rsidP="00C3705D">
      <w:r w:rsidRPr="003B4362">
        <w:lastRenderedPageBreak/>
        <w:t xml:space="preserve">BOARD NOTE:  </w:t>
      </w:r>
      <w:r w:rsidR="00941516" w:rsidRPr="003B4362">
        <w:rPr>
          <w:spacing w:val="-3"/>
        </w:rPr>
        <w:t xml:space="preserve">This Section derives </w:t>
      </w:r>
      <w:r w:rsidRPr="003B4362">
        <w:t>from the definition of “MCL” in 40 CFR 141.2.</w:t>
      </w:r>
    </w:p>
    <w:p w14:paraId="363F78DC" w14:textId="77777777" w:rsidR="00C3705D" w:rsidRDefault="00C3705D" w:rsidP="00C3705D">
      <w:pPr>
        <w:suppressAutoHyphens/>
        <w:ind w:left="720"/>
      </w:pPr>
    </w:p>
    <w:p w14:paraId="1D3C898D" w14:textId="311EF191" w:rsidR="008B2ADC" w:rsidRPr="003B4362" w:rsidRDefault="00EB353D" w:rsidP="00C3705D">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483EC44C" w14:textId="77777777" w:rsidR="00EB353D" w:rsidRPr="003B4362" w:rsidRDefault="00EB353D" w:rsidP="00EB353D">
      <w:pPr>
        <w:rPr>
          <w:b/>
          <w:bCs/>
        </w:rPr>
      </w:pPr>
    </w:p>
    <w:p w14:paraId="36759534" w14:textId="2847095C" w:rsidR="008B2ADC" w:rsidRPr="003B4362" w:rsidRDefault="008B2ADC" w:rsidP="00EB353D">
      <w:pPr>
        <w:rPr>
          <w:b/>
          <w:bCs/>
        </w:rPr>
      </w:pPr>
      <w:r w:rsidRPr="003B4362">
        <w:rPr>
          <w:b/>
          <w:bCs/>
        </w:rPr>
        <w:t>Section 611.125  Fluoridation Requirement</w:t>
      </w:r>
    </w:p>
    <w:p w14:paraId="3B95B5A7" w14:textId="77777777" w:rsidR="00C3705D" w:rsidRDefault="00C3705D" w:rsidP="00C3705D">
      <w:pPr>
        <w:suppressAutoHyphens/>
      </w:pPr>
    </w:p>
    <w:p w14:paraId="57E9C175" w14:textId="7B5D0BAC" w:rsidR="008B2ADC" w:rsidRPr="003B4362" w:rsidRDefault="008B2ADC" w:rsidP="00C3705D">
      <w:pPr>
        <w:suppressAutoHyphens/>
      </w:pPr>
      <w:r w:rsidRPr="003B4362">
        <w:t>A</w:t>
      </w:r>
      <w:bookmarkStart w:id="426" w:name="_Hlk129813212"/>
      <w:r w:rsidRPr="003B4362">
        <w:t xml:space="preserve"> </w:t>
      </w:r>
      <w:r w:rsidR="00AB66F7" w:rsidRPr="003B4362">
        <w:t xml:space="preserve">CWS adding </w:t>
      </w:r>
      <w:r w:rsidRPr="003B4362">
        <w:t>fluoride</w:t>
      </w:r>
      <w:bookmarkEnd w:id="426"/>
      <w:r w:rsidRPr="003B4362">
        <w:t xml:space="preserve"> to the water must maintain a </w:t>
      </w:r>
      <w:bookmarkStart w:id="427" w:name="_Hlk129813320"/>
      <w:r w:rsidRPr="003B4362">
        <w:t>fluoride ion concentration of 0.7 mg/</w:t>
      </w:r>
      <w:r w:rsidR="00541DED" w:rsidRPr="003B4362">
        <w:t>L</w:t>
      </w:r>
      <w:r w:rsidRPr="003B4362">
        <w:t xml:space="preserve"> as fluorine</w:t>
      </w:r>
      <w:bookmarkEnd w:id="427"/>
      <w:r w:rsidRPr="003B4362">
        <w:t xml:space="preserve"> in its distribution system.</w:t>
      </w:r>
    </w:p>
    <w:p w14:paraId="70D60F54" w14:textId="77777777" w:rsidR="00C3705D" w:rsidRDefault="00C3705D" w:rsidP="00C3705D">
      <w:pPr>
        <w:suppressAutoHyphens/>
      </w:pPr>
    </w:p>
    <w:p w14:paraId="3DAF8FFA" w14:textId="79669E5B" w:rsidR="008B2ADC" w:rsidRPr="003B4362" w:rsidRDefault="008B2ADC" w:rsidP="00C3705D">
      <w:pPr>
        <w:suppressAutoHyphens/>
      </w:pPr>
      <w:r w:rsidRPr="003B4362">
        <w:t>BOARD NOTE:  This is an additional State requirement.</w:t>
      </w:r>
    </w:p>
    <w:p w14:paraId="0EFCCAB4" w14:textId="77777777" w:rsidR="00C3705D" w:rsidRDefault="00C3705D" w:rsidP="00C3705D">
      <w:pPr>
        <w:suppressAutoHyphens/>
        <w:ind w:left="720"/>
      </w:pPr>
    </w:p>
    <w:p w14:paraId="133347EF" w14:textId="4D45E023" w:rsidR="008B2ADC" w:rsidRPr="003B4362" w:rsidRDefault="008B2ADC" w:rsidP="00C3705D">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59323FC9" w14:textId="77777777" w:rsidR="00EB353D" w:rsidRPr="003B4362" w:rsidRDefault="00EB353D" w:rsidP="00EB353D">
      <w:pPr>
        <w:rPr>
          <w:b/>
          <w:bCs/>
          <w:spacing w:val="-3"/>
        </w:rPr>
      </w:pPr>
    </w:p>
    <w:p w14:paraId="07F4CA65" w14:textId="2A395111" w:rsidR="00002933" w:rsidRPr="003B4362" w:rsidRDefault="00002933" w:rsidP="00EB353D">
      <w:pPr>
        <w:rPr>
          <w:b/>
          <w:bCs/>
          <w:spacing w:val="-3"/>
        </w:rPr>
      </w:pPr>
      <w:r w:rsidRPr="003B4362">
        <w:rPr>
          <w:b/>
          <w:bCs/>
          <w:spacing w:val="-3"/>
        </w:rPr>
        <w:t xml:space="preserve">Section 611.126  </w:t>
      </w:r>
      <w:r w:rsidR="00D55A07" w:rsidRPr="003B4362">
        <w:rPr>
          <w:rFonts w:eastAsia="Calibri"/>
          <w:b/>
          <w:bCs/>
        </w:rPr>
        <w:t>Us</w:t>
      </w:r>
      <w:r w:rsidR="00973556" w:rsidRPr="003B4362">
        <w:rPr>
          <w:rFonts w:eastAsia="Calibri"/>
          <w:b/>
          <w:bCs/>
        </w:rPr>
        <w:t>ing</w:t>
      </w:r>
      <w:r w:rsidR="00D55A07" w:rsidRPr="003B4362">
        <w:rPr>
          <w:rFonts w:eastAsia="Calibri"/>
          <w:b/>
          <w:bCs/>
        </w:rPr>
        <w:t xml:space="preserve"> Lead</w:t>
      </w:r>
      <w:r w:rsidR="00865B20" w:rsidRPr="003B4362">
        <w:rPr>
          <w:rFonts w:eastAsia="Calibri"/>
          <w:b/>
          <w:bCs/>
        </w:rPr>
        <w:t>-</w:t>
      </w:r>
      <w:r w:rsidR="00D55A07" w:rsidRPr="003B4362">
        <w:rPr>
          <w:rFonts w:eastAsia="Calibri"/>
          <w:b/>
          <w:bCs/>
        </w:rPr>
        <w:t>Free Pipes, Fittings, Fixtures, Solder, and Flux for Drinking Water</w:t>
      </w:r>
    </w:p>
    <w:p w14:paraId="04FD1B74" w14:textId="77777777" w:rsidR="0036023B" w:rsidRDefault="0036023B" w:rsidP="0036023B">
      <w:pPr>
        <w:ind w:left="1440" w:hanging="720"/>
        <w:rPr>
          <w:rFonts w:eastAsia="Calibri"/>
          <w:szCs w:val="24"/>
        </w:rPr>
      </w:pPr>
    </w:p>
    <w:p w14:paraId="022A99D0" w14:textId="11E7CF01" w:rsidR="0036023B" w:rsidRPr="0036023B" w:rsidRDefault="0036023B" w:rsidP="0036023B">
      <w:pPr>
        <w:ind w:left="1440" w:hanging="720"/>
        <w:rPr>
          <w:rFonts w:eastAsia="Calibri"/>
          <w:szCs w:val="24"/>
        </w:rPr>
      </w:pPr>
      <w:r w:rsidRPr="0036023B">
        <w:rPr>
          <w:rFonts w:eastAsia="Calibri"/>
          <w:szCs w:val="24"/>
        </w:rPr>
        <w:t>a)</w:t>
      </w:r>
      <w:r w:rsidRPr="0036023B">
        <w:rPr>
          <w:rFonts w:eastAsia="Calibri"/>
          <w:szCs w:val="24"/>
        </w:rPr>
        <w:tab/>
        <w:t>Applicability and Scope</w:t>
      </w:r>
    </w:p>
    <w:p w14:paraId="375B6BCC" w14:textId="77777777" w:rsidR="0036023B" w:rsidRPr="0036023B" w:rsidRDefault="0036023B" w:rsidP="0036023B">
      <w:pPr>
        <w:ind w:left="2160" w:hanging="720"/>
        <w:rPr>
          <w:rFonts w:eastAsia="Calibri"/>
          <w:szCs w:val="24"/>
        </w:rPr>
      </w:pPr>
    </w:p>
    <w:p w14:paraId="49434388" w14:textId="77777777" w:rsidR="0036023B" w:rsidRPr="0036023B" w:rsidRDefault="0036023B" w:rsidP="0036023B">
      <w:pPr>
        <w:ind w:left="2160" w:hanging="720"/>
        <w:rPr>
          <w:rFonts w:eastAsia="Calibri"/>
          <w:szCs w:val="24"/>
        </w:rPr>
      </w:pPr>
      <w:r w:rsidRPr="0036023B">
        <w:rPr>
          <w:rFonts w:eastAsia="Calibri"/>
          <w:szCs w:val="24"/>
        </w:rPr>
        <w:t>1)</w:t>
      </w:r>
      <w:r w:rsidRPr="0036023B">
        <w:rPr>
          <w:rFonts w:eastAsia="Calibri"/>
          <w:szCs w:val="24"/>
        </w:rPr>
        <w:tab/>
        <w:t xml:space="preserve">This Section incorporates federal standards for </w:t>
      </w:r>
      <w:bookmarkStart w:id="428" w:name="_Hlk129897902"/>
      <w:r w:rsidRPr="0036023B">
        <w:rPr>
          <w:rFonts w:eastAsia="Calibri"/>
          <w:szCs w:val="24"/>
        </w:rPr>
        <w:t>pipes; pipe or plumbing fittings; or fixtures, solder, and flux</w:t>
      </w:r>
      <w:bookmarkEnd w:id="428"/>
      <w:r w:rsidRPr="0036023B">
        <w:rPr>
          <w:rFonts w:eastAsia="Calibri"/>
          <w:szCs w:val="24"/>
        </w:rPr>
        <w:t xml:space="preserve">, </w:t>
      </w:r>
      <w:bookmarkStart w:id="429" w:name="_Hlk129898155"/>
      <w:r w:rsidRPr="0036023B">
        <w:rPr>
          <w:rFonts w:eastAsia="Calibri"/>
          <w:szCs w:val="24"/>
        </w:rPr>
        <w:t>as</w:t>
      </w:r>
      <w:r w:rsidRPr="0036023B">
        <w:rPr>
          <w:rFonts w:eastAsia="Calibri"/>
          <w:i/>
          <w:iCs/>
          <w:szCs w:val="24"/>
        </w:rPr>
        <w:t xml:space="preserve"> </w:t>
      </w:r>
      <w:r w:rsidRPr="0036023B">
        <w:rPr>
          <w:rFonts w:eastAsia="Calibri"/>
          <w:szCs w:val="24"/>
        </w:rPr>
        <w:t>sections 1417 and 1461 of SDWA (42 U.S.C. 300g-6 and 300j-21) require</w:t>
      </w:r>
      <w:bookmarkEnd w:id="429"/>
      <w:r w:rsidRPr="0036023B">
        <w:rPr>
          <w:rFonts w:eastAsia="Calibri"/>
          <w:szCs w:val="24"/>
        </w:rPr>
        <w:t xml:space="preserve">.  This Section applies to any person introducing these products into commerce, </w:t>
      </w:r>
      <w:bookmarkStart w:id="430" w:name="_Hlk129898364"/>
      <w:r w:rsidRPr="0036023B">
        <w:rPr>
          <w:rFonts w:eastAsia="Calibri"/>
          <w:szCs w:val="24"/>
        </w:rPr>
        <w:t>such as a manufacturer, importer, wholesaler, distributor, reseller, or retailer</w:t>
      </w:r>
      <w:bookmarkEnd w:id="430"/>
      <w:r w:rsidRPr="0036023B">
        <w:rPr>
          <w:rFonts w:eastAsia="Calibri"/>
          <w:szCs w:val="24"/>
        </w:rPr>
        <w:t>.  This Section also applies to any person using these products when installing or repairing specific facilities:</w:t>
      </w:r>
    </w:p>
    <w:p w14:paraId="3482A1C2" w14:textId="77777777" w:rsidR="0036023B" w:rsidRPr="0036023B" w:rsidRDefault="0036023B" w:rsidP="0036023B">
      <w:pPr>
        <w:ind w:left="2880" w:hanging="720"/>
        <w:rPr>
          <w:rFonts w:eastAsia="Calibri"/>
          <w:szCs w:val="24"/>
        </w:rPr>
      </w:pPr>
    </w:p>
    <w:p w14:paraId="128451CB"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A PWS; or</w:t>
      </w:r>
    </w:p>
    <w:p w14:paraId="794282B4" w14:textId="77777777" w:rsidR="0036023B" w:rsidRPr="0036023B" w:rsidRDefault="0036023B" w:rsidP="0036023B">
      <w:pPr>
        <w:ind w:left="2880" w:hanging="720"/>
        <w:rPr>
          <w:rFonts w:eastAsia="Calibri"/>
          <w:szCs w:val="24"/>
        </w:rPr>
      </w:pPr>
    </w:p>
    <w:p w14:paraId="079D28CF" w14:textId="77777777" w:rsidR="0036023B" w:rsidRPr="0036023B" w:rsidRDefault="0036023B" w:rsidP="0036023B">
      <w:pPr>
        <w:ind w:left="2880" w:hanging="720"/>
        <w:rPr>
          <w:rFonts w:eastAsia="Calibri"/>
          <w:szCs w:val="24"/>
        </w:rPr>
      </w:pPr>
      <w:r w:rsidRPr="0036023B">
        <w:rPr>
          <w:rFonts w:eastAsia="Calibri"/>
          <w:szCs w:val="24"/>
        </w:rPr>
        <w:t>B)</w:t>
      </w:r>
      <w:r w:rsidRPr="0036023B">
        <w:rPr>
          <w:rFonts w:eastAsia="Calibri"/>
          <w:szCs w:val="24"/>
        </w:rPr>
        <w:tab/>
        <w:t>A residential or nonresidential facility providing water for human consumption.</w:t>
      </w:r>
    </w:p>
    <w:p w14:paraId="33333297" w14:textId="77777777" w:rsidR="0036023B" w:rsidRPr="0036023B" w:rsidRDefault="0036023B" w:rsidP="0036023B">
      <w:pPr>
        <w:ind w:left="2160" w:hanging="720"/>
        <w:rPr>
          <w:rFonts w:eastAsia="Calibri"/>
          <w:szCs w:val="24"/>
        </w:rPr>
      </w:pPr>
    </w:p>
    <w:p w14:paraId="4E2896D5" w14:textId="77777777" w:rsidR="0036023B" w:rsidRPr="0036023B" w:rsidRDefault="0036023B" w:rsidP="0036023B">
      <w:pPr>
        <w:ind w:left="2160" w:hanging="720"/>
        <w:rPr>
          <w:rFonts w:eastAsia="Calibri"/>
          <w:szCs w:val="24"/>
        </w:rPr>
      </w:pPr>
      <w:r w:rsidRPr="0036023B">
        <w:rPr>
          <w:rFonts w:eastAsia="Calibri"/>
          <w:szCs w:val="24"/>
        </w:rPr>
        <w:t>2)</w:t>
      </w:r>
      <w:r w:rsidRPr="0036023B">
        <w:rPr>
          <w:rFonts w:eastAsia="Calibri"/>
          <w:szCs w:val="24"/>
        </w:rPr>
        <w:tab/>
        <w:t>This subsection (a)(2) corresponds with 40 CFR 143.10(b), which USEPA marked “reserved”.  This statement maintains structural consistency with the corresponding USEPA rules.</w:t>
      </w:r>
    </w:p>
    <w:p w14:paraId="062F4A44" w14:textId="77777777" w:rsidR="0036023B" w:rsidRPr="0036023B" w:rsidRDefault="0036023B" w:rsidP="0036023B">
      <w:pPr>
        <w:ind w:left="1440"/>
        <w:rPr>
          <w:rFonts w:eastAsia="Calibri"/>
          <w:szCs w:val="24"/>
        </w:rPr>
      </w:pPr>
    </w:p>
    <w:p w14:paraId="5F40C0DB" w14:textId="77777777" w:rsidR="0036023B" w:rsidRPr="0036023B" w:rsidRDefault="0036023B" w:rsidP="0036023B">
      <w:pPr>
        <w:ind w:left="1440"/>
        <w:rPr>
          <w:rFonts w:eastAsia="Calibri"/>
          <w:szCs w:val="24"/>
        </w:rPr>
      </w:pPr>
      <w:r w:rsidRPr="0036023B">
        <w:rPr>
          <w:rFonts w:eastAsia="Calibri"/>
          <w:szCs w:val="24"/>
        </w:rPr>
        <w:t>BOARD NOTE:  Subsection (a) derives from 40 CFR 143.10.</w:t>
      </w:r>
    </w:p>
    <w:p w14:paraId="52338D90" w14:textId="77777777" w:rsidR="0036023B" w:rsidRPr="0036023B" w:rsidRDefault="0036023B" w:rsidP="0036023B">
      <w:pPr>
        <w:ind w:left="1440" w:hanging="720"/>
        <w:rPr>
          <w:rFonts w:eastAsia="Calibri"/>
          <w:szCs w:val="24"/>
        </w:rPr>
      </w:pPr>
    </w:p>
    <w:p w14:paraId="1ECABEC2" w14:textId="77777777" w:rsidR="0036023B" w:rsidRPr="0036023B" w:rsidRDefault="0036023B" w:rsidP="0036023B">
      <w:pPr>
        <w:ind w:left="1440" w:hanging="720"/>
        <w:rPr>
          <w:rFonts w:eastAsia="Calibri"/>
          <w:szCs w:val="24"/>
        </w:rPr>
      </w:pPr>
      <w:r w:rsidRPr="0036023B">
        <w:rPr>
          <w:rFonts w:eastAsia="Calibri"/>
          <w:szCs w:val="24"/>
        </w:rPr>
        <w:t>b)</w:t>
      </w:r>
      <w:r w:rsidRPr="0036023B">
        <w:rPr>
          <w:rFonts w:eastAsia="Calibri"/>
          <w:szCs w:val="24"/>
        </w:rPr>
        <w:tab/>
        <w:t>Definitions.  The following definitions apply to this Section:</w:t>
      </w:r>
    </w:p>
    <w:p w14:paraId="6304CC1A" w14:textId="77777777" w:rsidR="0036023B" w:rsidRPr="0036023B" w:rsidRDefault="0036023B" w:rsidP="0036023B">
      <w:pPr>
        <w:ind w:left="2160"/>
        <w:rPr>
          <w:rFonts w:eastAsia="Calibri"/>
          <w:szCs w:val="24"/>
        </w:rPr>
      </w:pPr>
    </w:p>
    <w:p w14:paraId="4A16E10E" w14:textId="77777777" w:rsidR="0036023B" w:rsidRPr="0036023B" w:rsidRDefault="0036023B" w:rsidP="0036023B">
      <w:pPr>
        <w:ind w:left="2160"/>
        <w:rPr>
          <w:rFonts w:eastAsia="Calibri"/>
          <w:szCs w:val="24"/>
        </w:rPr>
      </w:pPr>
      <w:r w:rsidRPr="0036023B">
        <w:rPr>
          <w:rFonts w:eastAsia="Calibri"/>
          <w:szCs w:val="24"/>
        </w:rPr>
        <w:t xml:space="preserve">“Accredited third-party certification body” means </w:t>
      </w:r>
      <w:bookmarkStart w:id="431" w:name="_Hlk129901909"/>
      <w:r w:rsidRPr="0036023B">
        <w:rPr>
          <w:rFonts w:eastAsia="Calibri"/>
          <w:szCs w:val="24"/>
        </w:rPr>
        <w:t>a body the American National Standards Institute (ANSI) accredits</w:t>
      </w:r>
      <w:bookmarkEnd w:id="431"/>
      <w:r w:rsidRPr="0036023B">
        <w:rPr>
          <w:rFonts w:eastAsia="Calibri"/>
          <w:szCs w:val="24"/>
        </w:rPr>
        <w:t xml:space="preserve"> to provide product certification for meeting the lead</w:t>
      </w:r>
      <w:r w:rsidRPr="0036023B">
        <w:rPr>
          <w:rFonts w:eastAsia="Calibri"/>
          <w:b/>
          <w:bCs/>
          <w:szCs w:val="24"/>
        </w:rPr>
        <w:t>-</w:t>
      </w:r>
      <w:r w:rsidRPr="0036023B">
        <w:rPr>
          <w:rFonts w:eastAsia="Calibri"/>
          <w:szCs w:val="24"/>
        </w:rPr>
        <w:t xml:space="preserve">free requirements of not more than a weighted average of 0.25 percent lead content </w:t>
      </w:r>
      <w:bookmarkStart w:id="432" w:name="_Hlk129902176"/>
      <w:r w:rsidRPr="0036023B">
        <w:rPr>
          <w:rFonts w:eastAsia="Calibri"/>
          <w:szCs w:val="24"/>
        </w:rPr>
        <w:t>for the wetted surfaces</w:t>
      </w:r>
      <w:bookmarkEnd w:id="432"/>
      <w:r w:rsidRPr="0036023B">
        <w:rPr>
          <w:rFonts w:eastAsia="Calibri"/>
          <w:szCs w:val="24"/>
        </w:rPr>
        <w:t xml:space="preserve">, consistent with </w:t>
      </w:r>
      <w:bookmarkStart w:id="433" w:name="_Hlk129902240"/>
      <w:r w:rsidRPr="0036023B">
        <w:rPr>
          <w:rFonts w:eastAsia="Calibri"/>
          <w:szCs w:val="24"/>
        </w:rPr>
        <w:t>section 1417 of SDWA</w:t>
      </w:r>
      <w:bookmarkEnd w:id="433"/>
      <w:r w:rsidRPr="0036023B">
        <w:rPr>
          <w:rFonts w:eastAsia="Calibri"/>
          <w:szCs w:val="24"/>
        </w:rPr>
        <w:t xml:space="preserve"> and subsection (c), such as certification to the NSF/ANSI 372 standard.</w:t>
      </w:r>
    </w:p>
    <w:p w14:paraId="6AC4A73B" w14:textId="77777777" w:rsidR="0036023B" w:rsidRPr="0036023B" w:rsidRDefault="0036023B" w:rsidP="0036023B">
      <w:pPr>
        <w:ind w:left="2160"/>
        <w:rPr>
          <w:rFonts w:eastAsia="Calibri"/>
          <w:szCs w:val="24"/>
        </w:rPr>
      </w:pPr>
    </w:p>
    <w:p w14:paraId="155077C6" w14:textId="77777777" w:rsidR="0036023B" w:rsidRPr="0036023B" w:rsidRDefault="0036023B" w:rsidP="0036023B">
      <w:pPr>
        <w:ind w:left="2160"/>
        <w:rPr>
          <w:rFonts w:eastAsia="Calibri"/>
          <w:szCs w:val="24"/>
        </w:rPr>
      </w:pPr>
      <w:r w:rsidRPr="0036023B">
        <w:rPr>
          <w:rFonts w:eastAsia="Calibri"/>
          <w:szCs w:val="24"/>
        </w:rPr>
        <w:t xml:space="preserve">“Administrator” means the Administrator of USEPA or </w:t>
      </w:r>
      <w:bookmarkStart w:id="434" w:name="_Hlk129902853"/>
      <w:r w:rsidRPr="0036023B">
        <w:rPr>
          <w:rFonts w:eastAsia="Calibri"/>
          <w:szCs w:val="24"/>
        </w:rPr>
        <w:t>an authorized representative</w:t>
      </w:r>
      <w:bookmarkEnd w:id="434"/>
      <w:r w:rsidRPr="0036023B">
        <w:rPr>
          <w:rFonts w:eastAsia="Calibri"/>
          <w:szCs w:val="24"/>
        </w:rPr>
        <w:t>.</w:t>
      </w:r>
    </w:p>
    <w:p w14:paraId="4B0FABA3" w14:textId="77777777" w:rsidR="0036023B" w:rsidRPr="0036023B" w:rsidRDefault="0036023B" w:rsidP="0036023B">
      <w:pPr>
        <w:ind w:left="2160"/>
        <w:rPr>
          <w:rFonts w:eastAsia="Calibri"/>
          <w:szCs w:val="24"/>
        </w:rPr>
      </w:pPr>
    </w:p>
    <w:p w14:paraId="33387BB6" w14:textId="77777777" w:rsidR="0036023B" w:rsidRPr="0036023B" w:rsidRDefault="0036023B" w:rsidP="0036023B">
      <w:pPr>
        <w:ind w:left="2160"/>
        <w:rPr>
          <w:rFonts w:eastAsia="Calibri"/>
          <w:szCs w:val="24"/>
        </w:rPr>
      </w:pPr>
      <w:r w:rsidRPr="0036023B">
        <w:rPr>
          <w:rFonts w:eastAsia="Calibri"/>
          <w:szCs w:val="24"/>
        </w:rPr>
        <w:t xml:space="preserve">“Affiliated” means a person or entity </w:t>
      </w:r>
      <w:bookmarkStart w:id="435" w:name="_Hlk130829244"/>
      <w:r w:rsidRPr="0036023B">
        <w:rPr>
          <w:rFonts w:eastAsia="Calibri"/>
          <w:szCs w:val="24"/>
        </w:rPr>
        <w:t>directly controlling, indirectly controlling (through one or more intermediaries), under control of, or under common control with a specific person or entity</w:t>
      </w:r>
      <w:bookmarkEnd w:id="435"/>
      <w:r w:rsidRPr="0036023B">
        <w:rPr>
          <w:rFonts w:eastAsia="Calibri"/>
          <w:szCs w:val="24"/>
        </w:rPr>
        <w:t xml:space="preserve">.  Affiliated persons or entities </w:t>
      </w:r>
      <w:bookmarkStart w:id="436" w:name="_Hlk130829670"/>
      <w:bookmarkStart w:id="437" w:name="_Hlk130829688"/>
      <w:r w:rsidRPr="0036023B">
        <w:rPr>
          <w:rFonts w:eastAsia="Calibri"/>
          <w:szCs w:val="24"/>
        </w:rPr>
        <w:t xml:space="preserve">include </w:t>
      </w:r>
      <w:bookmarkEnd w:id="436"/>
      <w:r w:rsidRPr="0036023B">
        <w:rPr>
          <w:rFonts w:eastAsia="Calibri"/>
          <w:szCs w:val="24"/>
        </w:rPr>
        <w:t>any of the following</w:t>
      </w:r>
      <w:bookmarkEnd w:id="437"/>
      <w:r w:rsidRPr="0036023B">
        <w:rPr>
          <w:rFonts w:eastAsia="Calibri"/>
          <w:szCs w:val="24"/>
        </w:rPr>
        <w:t xml:space="preserve">:  </w:t>
      </w:r>
      <w:bookmarkStart w:id="438" w:name="_Hlk130829733"/>
      <w:r w:rsidRPr="0036023B">
        <w:rPr>
          <w:rFonts w:eastAsia="Calibri"/>
          <w:szCs w:val="24"/>
        </w:rPr>
        <w:t>a parent company</w:t>
      </w:r>
      <w:bookmarkEnd w:id="438"/>
      <w:r w:rsidRPr="0036023B">
        <w:rPr>
          <w:rFonts w:eastAsia="Calibri"/>
          <w:szCs w:val="24"/>
        </w:rPr>
        <w:t xml:space="preserve"> and all wholly or partially owned subsidiaries of </w:t>
      </w:r>
      <w:bookmarkStart w:id="439" w:name="_Hlk130829839"/>
      <w:r w:rsidRPr="0036023B">
        <w:rPr>
          <w:rFonts w:eastAsia="Calibri"/>
          <w:szCs w:val="24"/>
        </w:rPr>
        <w:t>the parent company</w:t>
      </w:r>
      <w:bookmarkEnd w:id="439"/>
      <w:r w:rsidRPr="0036023B">
        <w:rPr>
          <w:rFonts w:eastAsia="Calibri"/>
          <w:szCs w:val="24"/>
        </w:rPr>
        <w:t xml:space="preserve">, </w:t>
      </w:r>
      <w:bookmarkStart w:id="440" w:name="_Hlk130829964"/>
      <w:r w:rsidRPr="0036023B">
        <w:rPr>
          <w:rFonts w:eastAsia="Calibri"/>
          <w:szCs w:val="24"/>
        </w:rPr>
        <w:t>or two or more corporations</w:t>
      </w:r>
      <w:bookmarkEnd w:id="440"/>
      <w:r w:rsidRPr="0036023B">
        <w:rPr>
          <w:rFonts w:eastAsia="Calibri"/>
          <w:szCs w:val="24"/>
        </w:rPr>
        <w:t xml:space="preserve"> or family partnerships having overlap in ownership or control.</w:t>
      </w:r>
    </w:p>
    <w:p w14:paraId="18EEB363" w14:textId="77777777" w:rsidR="0036023B" w:rsidRPr="0036023B" w:rsidRDefault="0036023B" w:rsidP="0036023B">
      <w:pPr>
        <w:ind w:left="2160"/>
        <w:rPr>
          <w:rFonts w:eastAsia="Calibri"/>
          <w:szCs w:val="24"/>
        </w:rPr>
      </w:pPr>
    </w:p>
    <w:p w14:paraId="18648E45" w14:textId="77777777" w:rsidR="0036023B" w:rsidRPr="0036023B" w:rsidRDefault="0036023B" w:rsidP="0036023B">
      <w:pPr>
        <w:ind w:left="2160"/>
        <w:rPr>
          <w:rFonts w:eastAsia="Calibri"/>
          <w:szCs w:val="24"/>
        </w:rPr>
      </w:pPr>
      <w:r w:rsidRPr="0036023B">
        <w:rPr>
          <w:rFonts w:eastAsia="Calibri"/>
          <w:szCs w:val="24"/>
        </w:rPr>
        <w:t>“Alloy” means a substance composed of two or more metals or of a metal and a nonmetal.</w:t>
      </w:r>
    </w:p>
    <w:p w14:paraId="64B2B479" w14:textId="77777777" w:rsidR="0036023B" w:rsidRPr="0036023B" w:rsidRDefault="0036023B" w:rsidP="0036023B">
      <w:pPr>
        <w:ind w:left="2160"/>
        <w:rPr>
          <w:rFonts w:eastAsia="Calibri"/>
          <w:szCs w:val="24"/>
        </w:rPr>
      </w:pPr>
    </w:p>
    <w:p w14:paraId="36C263C5" w14:textId="77777777" w:rsidR="0036023B" w:rsidRPr="0036023B" w:rsidRDefault="0036023B" w:rsidP="0036023B">
      <w:pPr>
        <w:ind w:left="2160"/>
        <w:rPr>
          <w:rFonts w:eastAsia="Calibri"/>
          <w:szCs w:val="24"/>
        </w:rPr>
      </w:pPr>
      <w:r w:rsidRPr="0036023B">
        <w:rPr>
          <w:rFonts w:eastAsia="Calibri"/>
          <w:szCs w:val="24"/>
        </w:rPr>
        <w:t>“Coating” means a thin layer of material, such as paint</w:t>
      </w:r>
      <w:bookmarkStart w:id="441" w:name="_Hlk130830782"/>
      <w:r w:rsidRPr="0036023B">
        <w:rPr>
          <w:rFonts w:eastAsia="Calibri"/>
          <w:szCs w:val="24"/>
        </w:rPr>
        <w:t>, epoxy, zinc galvanization, or other material</w:t>
      </w:r>
      <w:bookmarkEnd w:id="441"/>
      <w:r w:rsidRPr="0036023B">
        <w:rPr>
          <w:rFonts w:eastAsia="Calibri"/>
          <w:szCs w:val="24"/>
        </w:rPr>
        <w:t>, usually applied by spraying or in liquid form to coat internal surfaces of pipes, fittings, or fixtures.</w:t>
      </w:r>
    </w:p>
    <w:p w14:paraId="5A7A3FED" w14:textId="77777777" w:rsidR="0036023B" w:rsidRPr="0036023B" w:rsidRDefault="0036023B" w:rsidP="0036023B">
      <w:pPr>
        <w:ind w:left="2160"/>
        <w:rPr>
          <w:rFonts w:eastAsia="Calibri"/>
          <w:szCs w:val="24"/>
        </w:rPr>
      </w:pPr>
    </w:p>
    <w:p w14:paraId="1EF34C41" w14:textId="77777777" w:rsidR="0036023B" w:rsidRPr="0036023B" w:rsidRDefault="0036023B" w:rsidP="0036023B">
      <w:pPr>
        <w:ind w:left="2160"/>
        <w:rPr>
          <w:rFonts w:eastAsia="Calibri"/>
          <w:szCs w:val="24"/>
        </w:rPr>
      </w:pPr>
      <w:r w:rsidRPr="0036023B">
        <w:rPr>
          <w:rFonts w:eastAsia="Calibri"/>
          <w:szCs w:val="24"/>
        </w:rPr>
        <w:t>“C</w:t>
      </w:r>
      <w:bookmarkStart w:id="442" w:name="_Hlk130830902"/>
      <w:r w:rsidRPr="0036023B">
        <w:rPr>
          <w:rFonts w:eastAsia="Calibri"/>
          <w:szCs w:val="24"/>
        </w:rPr>
        <w:t>ustom fabricated product</w:t>
      </w:r>
      <w:bookmarkEnd w:id="442"/>
      <w:r w:rsidRPr="0036023B">
        <w:rPr>
          <w:rFonts w:eastAsia="Calibri"/>
          <w:szCs w:val="24"/>
        </w:rPr>
        <w:t>” means a product:</w:t>
      </w:r>
    </w:p>
    <w:p w14:paraId="76C11554" w14:textId="77777777" w:rsidR="0036023B" w:rsidRPr="0036023B" w:rsidRDefault="0036023B" w:rsidP="0036023B">
      <w:pPr>
        <w:ind w:left="2880"/>
        <w:rPr>
          <w:rFonts w:eastAsia="Calibri"/>
          <w:szCs w:val="24"/>
        </w:rPr>
      </w:pPr>
    </w:p>
    <w:p w14:paraId="685C2ECD" w14:textId="77777777" w:rsidR="0036023B" w:rsidRPr="0036023B" w:rsidRDefault="0036023B" w:rsidP="0036023B">
      <w:pPr>
        <w:ind w:left="2880"/>
        <w:rPr>
          <w:rFonts w:eastAsia="Calibri"/>
          <w:szCs w:val="24"/>
        </w:rPr>
      </w:pPr>
      <w:r w:rsidRPr="0036023B">
        <w:rPr>
          <w:rFonts w:eastAsia="Calibri"/>
          <w:szCs w:val="24"/>
        </w:rPr>
        <w:t>A</w:t>
      </w:r>
      <w:bookmarkStart w:id="443" w:name="_Hlk130831072"/>
      <w:r w:rsidRPr="0036023B">
        <w:rPr>
          <w:rFonts w:eastAsia="Calibri"/>
          <w:szCs w:val="24"/>
        </w:rPr>
        <w:t xml:space="preserve"> manufacturer makes on a case-by-case basis</w:t>
      </w:r>
      <w:bookmarkEnd w:id="443"/>
      <w:r w:rsidRPr="0036023B">
        <w:rPr>
          <w:rFonts w:eastAsia="Calibri"/>
          <w:szCs w:val="24"/>
        </w:rPr>
        <w:t xml:space="preserve"> to accommodate the unique needs of a single customer;</w:t>
      </w:r>
    </w:p>
    <w:p w14:paraId="337C4EE8" w14:textId="77777777" w:rsidR="0036023B" w:rsidRPr="0036023B" w:rsidRDefault="0036023B" w:rsidP="0036023B">
      <w:pPr>
        <w:ind w:left="2880"/>
        <w:rPr>
          <w:rFonts w:eastAsia="Calibri"/>
          <w:szCs w:val="24"/>
        </w:rPr>
      </w:pPr>
    </w:p>
    <w:p w14:paraId="42EBEB5B" w14:textId="77777777" w:rsidR="0036023B" w:rsidRPr="0036023B" w:rsidRDefault="0036023B" w:rsidP="0036023B">
      <w:pPr>
        <w:ind w:left="2880"/>
        <w:rPr>
          <w:rFonts w:eastAsia="Calibri"/>
          <w:szCs w:val="24"/>
        </w:rPr>
      </w:pPr>
      <w:r w:rsidRPr="0036023B">
        <w:rPr>
          <w:rFonts w:eastAsia="Calibri"/>
          <w:szCs w:val="24"/>
        </w:rPr>
        <w:t>N</w:t>
      </w:r>
      <w:bookmarkStart w:id="444" w:name="_Hlk130831403"/>
      <w:r w:rsidRPr="0036023B">
        <w:rPr>
          <w:rFonts w:eastAsia="Calibri"/>
          <w:szCs w:val="24"/>
        </w:rPr>
        <w:t>ot having an assigned Universal Product Code (UPC)</w:t>
      </w:r>
      <w:bookmarkEnd w:id="444"/>
      <w:r w:rsidRPr="0036023B">
        <w:rPr>
          <w:rFonts w:eastAsia="Calibri"/>
          <w:szCs w:val="24"/>
        </w:rPr>
        <w:t>;</w:t>
      </w:r>
    </w:p>
    <w:p w14:paraId="6FB0CA10" w14:textId="77777777" w:rsidR="0036023B" w:rsidRPr="0036023B" w:rsidRDefault="0036023B" w:rsidP="0036023B">
      <w:pPr>
        <w:ind w:left="2880"/>
        <w:rPr>
          <w:rFonts w:eastAsia="Calibri"/>
          <w:szCs w:val="24"/>
        </w:rPr>
      </w:pPr>
    </w:p>
    <w:p w14:paraId="6C44B701" w14:textId="77777777" w:rsidR="0036023B" w:rsidRPr="0036023B" w:rsidRDefault="0036023B" w:rsidP="0036023B">
      <w:pPr>
        <w:ind w:left="2880"/>
        <w:rPr>
          <w:rFonts w:eastAsia="Calibri"/>
          <w:szCs w:val="24"/>
        </w:rPr>
      </w:pPr>
      <w:r w:rsidRPr="0036023B">
        <w:rPr>
          <w:rFonts w:eastAsia="Calibri"/>
          <w:szCs w:val="24"/>
        </w:rPr>
        <w:t>T</w:t>
      </w:r>
      <w:bookmarkStart w:id="445" w:name="_Hlk130831926"/>
      <w:r w:rsidRPr="0036023B">
        <w:rPr>
          <w:rFonts w:eastAsia="Calibri"/>
          <w:szCs w:val="24"/>
        </w:rPr>
        <w:t>hat no manufacturer, importer, wholesaler, distributor, retailer, or other source stocks or makes available through inventory for distribution</w:t>
      </w:r>
      <w:bookmarkEnd w:id="445"/>
      <w:r w:rsidRPr="0036023B">
        <w:rPr>
          <w:rFonts w:eastAsia="Calibri"/>
          <w:szCs w:val="24"/>
        </w:rPr>
        <w:t>; and</w:t>
      </w:r>
    </w:p>
    <w:p w14:paraId="232D907C" w14:textId="77777777" w:rsidR="0036023B" w:rsidRPr="0036023B" w:rsidRDefault="0036023B" w:rsidP="0036023B">
      <w:pPr>
        <w:ind w:left="2880"/>
        <w:rPr>
          <w:rFonts w:eastAsia="Calibri"/>
          <w:szCs w:val="24"/>
        </w:rPr>
      </w:pPr>
    </w:p>
    <w:p w14:paraId="260CA6E9" w14:textId="77777777" w:rsidR="0036023B" w:rsidRPr="0036023B" w:rsidRDefault="0036023B" w:rsidP="0036023B">
      <w:pPr>
        <w:ind w:left="2880"/>
        <w:rPr>
          <w:rFonts w:eastAsia="Calibri"/>
          <w:szCs w:val="24"/>
        </w:rPr>
      </w:pPr>
      <w:r w:rsidRPr="0036023B">
        <w:rPr>
          <w:rFonts w:eastAsia="Calibri"/>
          <w:szCs w:val="24"/>
        </w:rPr>
        <w:t>T</w:t>
      </w:r>
      <w:bookmarkStart w:id="446" w:name="_Hlk130832083"/>
      <w:r w:rsidRPr="0036023B">
        <w:rPr>
          <w:rFonts w:eastAsia="Calibri"/>
          <w:szCs w:val="24"/>
        </w:rPr>
        <w:t>hat no person catalogs in print</w:t>
      </w:r>
      <w:bookmarkEnd w:id="446"/>
      <w:r w:rsidRPr="0036023B">
        <w:rPr>
          <w:rFonts w:eastAsia="Calibri"/>
          <w:szCs w:val="24"/>
        </w:rPr>
        <w:t xml:space="preserve"> or on the internet with a specific item number or code.</w:t>
      </w:r>
    </w:p>
    <w:p w14:paraId="4E6C0585" w14:textId="77777777" w:rsidR="0036023B" w:rsidRPr="0036023B" w:rsidRDefault="0036023B" w:rsidP="0036023B">
      <w:pPr>
        <w:ind w:left="2160"/>
        <w:rPr>
          <w:rFonts w:eastAsia="Calibri"/>
          <w:szCs w:val="24"/>
        </w:rPr>
      </w:pPr>
    </w:p>
    <w:p w14:paraId="211CA718" w14:textId="77777777" w:rsidR="0036023B" w:rsidRPr="0036023B" w:rsidRDefault="0036023B" w:rsidP="0036023B">
      <w:pPr>
        <w:ind w:left="2160"/>
        <w:rPr>
          <w:rFonts w:eastAsia="Calibri"/>
          <w:szCs w:val="24"/>
        </w:rPr>
      </w:pPr>
      <w:r w:rsidRPr="0036023B">
        <w:rPr>
          <w:rFonts w:eastAsia="Calibri"/>
          <w:szCs w:val="24"/>
        </w:rPr>
        <w:t>“Drinking water cooler” means any mechanical device that is affixed to drinking water supply plumbing actively cools water for human consumption.</w:t>
      </w:r>
    </w:p>
    <w:p w14:paraId="63430D26" w14:textId="77777777" w:rsidR="0036023B" w:rsidRPr="0036023B" w:rsidRDefault="0036023B" w:rsidP="0036023B">
      <w:pPr>
        <w:ind w:left="2160"/>
        <w:rPr>
          <w:rFonts w:eastAsia="Calibri"/>
          <w:szCs w:val="24"/>
        </w:rPr>
      </w:pPr>
    </w:p>
    <w:p w14:paraId="1E5C44F2" w14:textId="77777777" w:rsidR="0036023B" w:rsidRPr="0036023B" w:rsidRDefault="0036023B" w:rsidP="0036023B">
      <w:pPr>
        <w:ind w:left="2160"/>
        <w:rPr>
          <w:rFonts w:eastAsia="Calibri"/>
          <w:szCs w:val="24"/>
        </w:rPr>
      </w:pPr>
      <w:r w:rsidRPr="0036023B">
        <w:rPr>
          <w:rFonts w:eastAsia="Calibri"/>
          <w:szCs w:val="24"/>
        </w:rPr>
        <w:t>“Fitting” means a pipe fitting or plumbing fitting.</w:t>
      </w:r>
    </w:p>
    <w:p w14:paraId="54CDBF18" w14:textId="77777777" w:rsidR="0036023B" w:rsidRPr="0036023B" w:rsidRDefault="0036023B" w:rsidP="0036023B">
      <w:pPr>
        <w:ind w:left="2160"/>
        <w:rPr>
          <w:rFonts w:eastAsia="Calibri"/>
          <w:szCs w:val="24"/>
        </w:rPr>
      </w:pPr>
    </w:p>
    <w:p w14:paraId="7428EAFC" w14:textId="77777777" w:rsidR="0036023B" w:rsidRPr="0036023B" w:rsidRDefault="0036023B" w:rsidP="0036023B">
      <w:pPr>
        <w:ind w:left="2160"/>
        <w:rPr>
          <w:rFonts w:eastAsia="Calibri"/>
          <w:szCs w:val="24"/>
        </w:rPr>
      </w:pPr>
      <w:r w:rsidRPr="0036023B">
        <w:rPr>
          <w:rFonts w:eastAsia="Calibri"/>
          <w:szCs w:val="24"/>
        </w:rPr>
        <w:t xml:space="preserve">“Fixture” means a receptacle or </w:t>
      </w:r>
      <w:bookmarkStart w:id="447" w:name="_Hlk130833015"/>
      <w:r w:rsidRPr="0036023B">
        <w:rPr>
          <w:rFonts w:eastAsia="Calibri"/>
          <w:szCs w:val="24"/>
        </w:rPr>
        <w:t>device connected to a water supply system or discharging to</w:t>
      </w:r>
      <w:bookmarkEnd w:id="447"/>
      <w:r w:rsidRPr="0036023B">
        <w:rPr>
          <w:rFonts w:eastAsia="Calibri"/>
          <w:szCs w:val="24"/>
        </w:rPr>
        <w:t xml:space="preserve"> a drainage system or both.  Fixtures used for potable uses include:</w:t>
      </w:r>
    </w:p>
    <w:p w14:paraId="60CBBBA2" w14:textId="77777777" w:rsidR="0036023B" w:rsidRPr="0036023B" w:rsidRDefault="0036023B" w:rsidP="0036023B">
      <w:pPr>
        <w:ind w:left="2880"/>
        <w:rPr>
          <w:rFonts w:eastAsia="Calibri"/>
          <w:szCs w:val="24"/>
        </w:rPr>
      </w:pPr>
    </w:p>
    <w:p w14:paraId="02EA19E3" w14:textId="77777777" w:rsidR="0036023B" w:rsidRPr="0036023B" w:rsidRDefault="0036023B" w:rsidP="0036023B">
      <w:pPr>
        <w:ind w:left="2880"/>
        <w:rPr>
          <w:rFonts w:eastAsia="Calibri"/>
          <w:szCs w:val="24"/>
        </w:rPr>
      </w:pPr>
      <w:r w:rsidRPr="0036023B">
        <w:rPr>
          <w:rFonts w:eastAsia="Calibri"/>
          <w:szCs w:val="24"/>
        </w:rPr>
        <w:t>Drinking water coolers, drinking water fountains, drinking water bottle fillers, and dishwashers;</w:t>
      </w:r>
    </w:p>
    <w:p w14:paraId="69EFB962" w14:textId="77777777" w:rsidR="0036023B" w:rsidRPr="0036023B" w:rsidRDefault="0036023B" w:rsidP="0036023B">
      <w:pPr>
        <w:ind w:left="2880"/>
        <w:rPr>
          <w:rFonts w:eastAsia="Calibri"/>
          <w:szCs w:val="24"/>
        </w:rPr>
      </w:pPr>
    </w:p>
    <w:p w14:paraId="2CA7CCFB" w14:textId="77777777" w:rsidR="0036023B" w:rsidRPr="0036023B" w:rsidRDefault="0036023B" w:rsidP="0036023B">
      <w:pPr>
        <w:ind w:left="2880"/>
        <w:rPr>
          <w:rFonts w:eastAsia="Calibri"/>
          <w:szCs w:val="24"/>
        </w:rPr>
      </w:pPr>
      <w:r w:rsidRPr="0036023B">
        <w:rPr>
          <w:rFonts w:eastAsia="Calibri"/>
          <w:szCs w:val="24"/>
        </w:rPr>
        <w:t xml:space="preserve">Plumbed-in devices, </w:t>
      </w:r>
      <w:bookmarkStart w:id="448" w:name="_Hlk130833379"/>
      <w:r w:rsidRPr="0036023B">
        <w:rPr>
          <w:rFonts w:eastAsia="Calibri"/>
          <w:szCs w:val="24"/>
        </w:rPr>
        <w:t>such as point-of-use treatment devices</w:t>
      </w:r>
      <w:bookmarkEnd w:id="448"/>
      <w:r w:rsidRPr="0036023B">
        <w:rPr>
          <w:rFonts w:eastAsia="Calibri"/>
          <w:szCs w:val="24"/>
        </w:rPr>
        <w:t>, coffee makers, and refrigerator ice and water dispensers; and</w:t>
      </w:r>
    </w:p>
    <w:p w14:paraId="3C6F84A3" w14:textId="77777777" w:rsidR="0036023B" w:rsidRPr="0036023B" w:rsidRDefault="0036023B" w:rsidP="0036023B">
      <w:pPr>
        <w:ind w:left="2880"/>
        <w:rPr>
          <w:rFonts w:eastAsia="Calibri"/>
          <w:szCs w:val="24"/>
        </w:rPr>
      </w:pPr>
    </w:p>
    <w:p w14:paraId="1D4037AF" w14:textId="77777777" w:rsidR="0036023B" w:rsidRPr="0036023B" w:rsidRDefault="0036023B" w:rsidP="0036023B">
      <w:pPr>
        <w:ind w:left="2880"/>
        <w:rPr>
          <w:rFonts w:eastAsia="Calibri"/>
          <w:szCs w:val="24"/>
        </w:rPr>
      </w:pPr>
      <w:r w:rsidRPr="0036023B">
        <w:rPr>
          <w:rFonts w:eastAsia="Calibri"/>
          <w:szCs w:val="24"/>
        </w:rPr>
        <w:t xml:space="preserve">Water heaters, water meters, water pumps, and water tanks, </w:t>
      </w:r>
      <w:bookmarkStart w:id="449" w:name="_Hlk130833444"/>
      <w:r w:rsidRPr="0036023B">
        <w:rPr>
          <w:rFonts w:eastAsia="Calibri"/>
          <w:szCs w:val="24"/>
        </w:rPr>
        <w:t xml:space="preserve">unless </w:t>
      </w:r>
      <w:bookmarkEnd w:id="449"/>
      <w:r w:rsidRPr="0036023B">
        <w:rPr>
          <w:rFonts w:eastAsia="Calibri"/>
          <w:szCs w:val="24"/>
        </w:rPr>
        <w:t>nobody uses them for potable uses.</w:t>
      </w:r>
    </w:p>
    <w:p w14:paraId="43A4FF94" w14:textId="77777777" w:rsidR="0036023B" w:rsidRPr="0036023B" w:rsidRDefault="0036023B" w:rsidP="0036023B">
      <w:pPr>
        <w:ind w:left="2160"/>
        <w:rPr>
          <w:rFonts w:eastAsia="Calibri"/>
          <w:szCs w:val="24"/>
        </w:rPr>
      </w:pPr>
    </w:p>
    <w:p w14:paraId="2BEDA3CA" w14:textId="77777777" w:rsidR="0036023B" w:rsidRPr="0036023B" w:rsidRDefault="0036023B" w:rsidP="0036023B">
      <w:pPr>
        <w:ind w:left="2160"/>
        <w:rPr>
          <w:rFonts w:eastAsia="Calibri"/>
          <w:szCs w:val="24"/>
        </w:rPr>
      </w:pPr>
      <w:r w:rsidRPr="0036023B">
        <w:rPr>
          <w:rFonts w:eastAsia="Calibri"/>
          <w:szCs w:val="24"/>
        </w:rPr>
        <w:t xml:space="preserve">“Flux” means a substance </w:t>
      </w:r>
      <w:bookmarkStart w:id="450" w:name="_Hlk130838415"/>
      <w:r w:rsidRPr="0036023B">
        <w:rPr>
          <w:rFonts w:eastAsia="Calibri"/>
          <w:szCs w:val="24"/>
        </w:rPr>
        <w:t>someone uses to help melt or join</w:t>
      </w:r>
      <w:bookmarkEnd w:id="450"/>
      <w:r w:rsidRPr="0036023B">
        <w:rPr>
          <w:rFonts w:eastAsia="Calibri"/>
          <w:szCs w:val="24"/>
        </w:rPr>
        <w:t xml:space="preserve"> metals, </w:t>
      </w:r>
      <w:bookmarkStart w:id="451" w:name="_Hlk130838527"/>
      <w:r w:rsidRPr="0036023B">
        <w:rPr>
          <w:rFonts w:eastAsia="Calibri"/>
          <w:szCs w:val="24"/>
        </w:rPr>
        <w:t>such as by removing oxides</w:t>
      </w:r>
      <w:bookmarkEnd w:id="451"/>
      <w:r w:rsidRPr="0036023B">
        <w:rPr>
          <w:rFonts w:eastAsia="Calibri"/>
          <w:szCs w:val="24"/>
        </w:rPr>
        <w:t xml:space="preserve"> and other coatings or residues from the metals before joining by using solder or other means.</w:t>
      </w:r>
    </w:p>
    <w:p w14:paraId="56B139BF" w14:textId="77777777" w:rsidR="0036023B" w:rsidRPr="0036023B" w:rsidRDefault="0036023B" w:rsidP="0036023B">
      <w:pPr>
        <w:ind w:left="2160"/>
        <w:rPr>
          <w:rFonts w:eastAsia="Calibri"/>
          <w:szCs w:val="24"/>
        </w:rPr>
      </w:pPr>
    </w:p>
    <w:p w14:paraId="68014B85" w14:textId="77777777" w:rsidR="0036023B" w:rsidRPr="0036023B" w:rsidRDefault="0036023B" w:rsidP="0036023B">
      <w:pPr>
        <w:ind w:left="2160"/>
        <w:rPr>
          <w:rFonts w:eastAsia="Calibri"/>
          <w:szCs w:val="24"/>
        </w:rPr>
      </w:pPr>
      <w:r w:rsidRPr="0036023B">
        <w:rPr>
          <w:rFonts w:eastAsia="Calibri"/>
          <w:szCs w:val="24"/>
        </w:rPr>
        <w:t xml:space="preserve">“Importer” means any person introducing any pipe, pipe or plumbing fitting or fixture, solder, or flux entering the United States into commerce; any “importer”, </w:t>
      </w:r>
      <w:bookmarkStart w:id="452" w:name="_Hlk130849048"/>
      <w:r w:rsidRPr="0036023B">
        <w:rPr>
          <w:rFonts w:eastAsia="Calibri"/>
          <w:szCs w:val="24"/>
        </w:rPr>
        <w:t>as defined in 19 CFR 101.1, incorporated by reference in Section 611.102</w:t>
      </w:r>
      <w:bookmarkEnd w:id="452"/>
      <w:r w:rsidRPr="0036023B">
        <w:rPr>
          <w:rFonts w:eastAsia="Calibri"/>
          <w:szCs w:val="24"/>
        </w:rPr>
        <w:t>; or both.</w:t>
      </w:r>
    </w:p>
    <w:p w14:paraId="14BB262E" w14:textId="77777777" w:rsidR="0036023B" w:rsidRPr="0036023B" w:rsidRDefault="0036023B" w:rsidP="0036023B">
      <w:pPr>
        <w:ind w:left="2160"/>
        <w:rPr>
          <w:rFonts w:eastAsia="Calibri"/>
          <w:szCs w:val="24"/>
        </w:rPr>
      </w:pPr>
    </w:p>
    <w:p w14:paraId="6AB465A9" w14:textId="77777777" w:rsidR="0036023B" w:rsidRPr="0036023B" w:rsidRDefault="0036023B" w:rsidP="0036023B">
      <w:pPr>
        <w:ind w:left="2160"/>
        <w:rPr>
          <w:rFonts w:eastAsia="Calibri"/>
          <w:szCs w:val="24"/>
        </w:rPr>
      </w:pPr>
      <w:r w:rsidRPr="0036023B">
        <w:rPr>
          <w:rFonts w:eastAsia="Calibri"/>
          <w:szCs w:val="24"/>
        </w:rPr>
        <w:t xml:space="preserve">“Introduce into commerce” or “introduction into commerce” means </w:t>
      </w:r>
      <w:bookmarkStart w:id="453" w:name="_Hlk130849756"/>
      <w:r w:rsidRPr="0036023B">
        <w:rPr>
          <w:rFonts w:eastAsia="Calibri"/>
          <w:szCs w:val="24"/>
        </w:rPr>
        <w:t>selling or distributing products</w:t>
      </w:r>
      <w:bookmarkEnd w:id="453"/>
      <w:r w:rsidRPr="0036023B">
        <w:rPr>
          <w:rFonts w:eastAsia="Calibri"/>
          <w:szCs w:val="24"/>
        </w:rPr>
        <w:t xml:space="preserve"> or offering products for sale or distribution in the United States.</w:t>
      </w:r>
    </w:p>
    <w:p w14:paraId="25ACF204" w14:textId="77777777" w:rsidR="0036023B" w:rsidRPr="0036023B" w:rsidRDefault="0036023B" w:rsidP="0036023B">
      <w:pPr>
        <w:ind w:left="2160"/>
        <w:rPr>
          <w:rFonts w:eastAsia="Calibri"/>
          <w:szCs w:val="24"/>
        </w:rPr>
      </w:pPr>
    </w:p>
    <w:p w14:paraId="76CD5353" w14:textId="77777777" w:rsidR="0036023B" w:rsidRPr="0036023B" w:rsidRDefault="0036023B" w:rsidP="0036023B">
      <w:pPr>
        <w:ind w:left="2160"/>
        <w:rPr>
          <w:rFonts w:eastAsia="Calibri"/>
          <w:szCs w:val="24"/>
        </w:rPr>
      </w:pPr>
      <w:r w:rsidRPr="0036023B">
        <w:rPr>
          <w:rFonts w:eastAsia="Calibri"/>
          <w:szCs w:val="24"/>
        </w:rPr>
        <w:t xml:space="preserve">“Liner” means a rigid lining, </w:t>
      </w:r>
      <w:bookmarkStart w:id="454" w:name="_Hlk130849954"/>
      <w:r w:rsidRPr="0036023B">
        <w:rPr>
          <w:rFonts w:eastAsia="Calibri"/>
          <w:szCs w:val="24"/>
        </w:rPr>
        <w:t>such as a plastic or copper sleeve</w:t>
      </w:r>
      <w:bookmarkStart w:id="455" w:name="_Hlk130850089"/>
      <w:bookmarkEnd w:id="454"/>
      <w:r w:rsidRPr="0036023B">
        <w:rPr>
          <w:rFonts w:eastAsia="Calibri"/>
          <w:szCs w:val="24"/>
        </w:rPr>
        <w:t>, that is</w:t>
      </w:r>
      <w:bookmarkEnd w:id="455"/>
      <w:r w:rsidRPr="0036023B">
        <w:rPr>
          <w:rFonts w:eastAsia="Calibri"/>
          <w:szCs w:val="24"/>
        </w:rPr>
        <w:t>:</w:t>
      </w:r>
    </w:p>
    <w:p w14:paraId="3E02891E" w14:textId="77777777" w:rsidR="0036023B" w:rsidRPr="0036023B" w:rsidRDefault="0036023B" w:rsidP="0036023B">
      <w:pPr>
        <w:ind w:left="2880"/>
        <w:rPr>
          <w:rFonts w:eastAsia="Calibri"/>
          <w:szCs w:val="24"/>
        </w:rPr>
      </w:pPr>
    </w:p>
    <w:p w14:paraId="02532862" w14:textId="77777777" w:rsidR="0036023B" w:rsidRPr="0036023B" w:rsidRDefault="0036023B" w:rsidP="0036023B">
      <w:pPr>
        <w:ind w:left="2880"/>
        <w:rPr>
          <w:rFonts w:eastAsia="Calibri"/>
          <w:szCs w:val="24"/>
        </w:rPr>
      </w:pPr>
      <w:r w:rsidRPr="0036023B">
        <w:rPr>
          <w:rFonts w:eastAsia="Calibri"/>
          <w:szCs w:val="24"/>
        </w:rPr>
        <w:t>Sealed with a permanent barrier to exclude lead-bearing surfaces from water contact; and</w:t>
      </w:r>
    </w:p>
    <w:p w14:paraId="4B40DAF8" w14:textId="77777777" w:rsidR="0036023B" w:rsidRPr="0036023B" w:rsidRDefault="0036023B" w:rsidP="0036023B">
      <w:pPr>
        <w:ind w:left="2880"/>
        <w:rPr>
          <w:rFonts w:eastAsia="Calibri"/>
          <w:szCs w:val="24"/>
        </w:rPr>
      </w:pPr>
      <w:bookmarkStart w:id="456" w:name="_Hlk130850419"/>
    </w:p>
    <w:p w14:paraId="121D2BBF" w14:textId="77777777" w:rsidR="0036023B" w:rsidRPr="0036023B" w:rsidRDefault="0036023B" w:rsidP="0036023B">
      <w:pPr>
        <w:ind w:left="2880"/>
        <w:rPr>
          <w:rFonts w:eastAsia="Calibri"/>
          <w:szCs w:val="24"/>
        </w:rPr>
      </w:pPr>
      <w:r w:rsidRPr="0036023B">
        <w:rPr>
          <w:rFonts w:eastAsia="Calibri"/>
          <w:szCs w:val="24"/>
        </w:rPr>
        <w:t>Of sufficient thickness</w:t>
      </w:r>
      <w:bookmarkEnd w:id="456"/>
      <w:r w:rsidRPr="0036023B">
        <w:rPr>
          <w:rFonts w:eastAsia="Calibri"/>
          <w:szCs w:val="24"/>
        </w:rPr>
        <w:t xml:space="preserve"> and otherwise has physical properties necessary to prevent erosion and cracking for the expected useful life of the product.</w:t>
      </w:r>
    </w:p>
    <w:p w14:paraId="04240C17" w14:textId="77777777" w:rsidR="0036023B" w:rsidRPr="0036023B" w:rsidRDefault="0036023B" w:rsidP="0036023B">
      <w:pPr>
        <w:ind w:left="2160"/>
        <w:rPr>
          <w:rFonts w:eastAsia="Calibri"/>
          <w:szCs w:val="24"/>
        </w:rPr>
      </w:pPr>
    </w:p>
    <w:p w14:paraId="75F08FB1" w14:textId="77777777" w:rsidR="0036023B" w:rsidRPr="0036023B" w:rsidRDefault="0036023B" w:rsidP="0036023B">
      <w:pPr>
        <w:ind w:left="2160"/>
        <w:rPr>
          <w:rFonts w:eastAsia="Calibri"/>
          <w:szCs w:val="24"/>
        </w:rPr>
      </w:pPr>
      <w:r w:rsidRPr="0036023B">
        <w:rPr>
          <w:rFonts w:eastAsia="Calibri"/>
          <w:szCs w:val="24"/>
        </w:rPr>
        <w:t xml:space="preserve">“Manufacturer” means a </w:t>
      </w:r>
      <w:bookmarkStart w:id="457" w:name="_Hlk130850560"/>
      <w:bookmarkStart w:id="458" w:name="_Hlk130850621"/>
      <w:r w:rsidRPr="0036023B">
        <w:rPr>
          <w:rFonts w:eastAsia="Calibri"/>
          <w:szCs w:val="24"/>
        </w:rPr>
        <w:t xml:space="preserve">person or entity </w:t>
      </w:r>
      <w:bookmarkEnd w:id="457"/>
      <w:r w:rsidRPr="0036023B">
        <w:rPr>
          <w:rFonts w:eastAsia="Calibri"/>
          <w:szCs w:val="24"/>
        </w:rPr>
        <w:t>conducting either of certain activities</w:t>
      </w:r>
      <w:bookmarkEnd w:id="458"/>
      <w:r w:rsidRPr="0036023B">
        <w:rPr>
          <w:rFonts w:eastAsia="Calibri"/>
          <w:szCs w:val="24"/>
        </w:rPr>
        <w:t>:</w:t>
      </w:r>
    </w:p>
    <w:p w14:paraId="28C56221" w14:textId="77777777" w:rsidR="0036023B" w:rsidRPr="0036023B" w:rsidRDefault="0036023B" w:rsidP="0036023B">
      <w:pPr>
        <w:ind w:left="2880"/>
        <w:rPr>
          <w:rFonts w:eastAsia="Calibri"/>
          <w:szCs w:val="24"/>
        </w:rPr>
      </w:pPr>
    </w:p>
    <w:p w14:paraId="375243F6" w14:textId="77777777" w:rsidR="0036023B" w:rsidRPr="0036023B" w:rsidRDefault="0036023B" w:rsidP="0036023B">
      <w:pPr>
        <w:ind w:left="2880"/>
        <w:rPr>
          <w:rFonts w:eastAsia="Calibri"/>
          <w:szCs w:val="24"/>
        </w:rPr>
      </w:pPr>
      <w:r w:rsidRPr="0036023B">
        <w:rPr>
          <w:rFonts w:eastAsia="Calibri"/>
          <w:szCs w:val="24"/>
        </w:rPr>
        <w:t>P</w:t>
      </w:r>
      <w:bookmarkStart w:id="459" w:name="_Hlk130850730"/>
      <w:r w:rsidRPr="0036023B">
        <w:rPr>
          <w:rFonts w:eastAsia="Calibri"/>
          <w:szCs w:val="24"/>
        </w:rPr>
        <w:t>rocessing or making a product</w:t>
      </w:r>
      <w:bookmarkEnd w:id="459"/>
      <w:r w:rsidRPr="0036023B">
        <w:rPr>
          <w:rFonts w:eastAsia="Calibri"/>
          <w:szCs w:val="24"/>
        </w:rPr>
        <w:t>; or</w:t>
      </w:r>
    </w:p>
    <w:p w14:paraId="6A060224" w14:textId="77777777" w:rsidR="0036023B" w:rsidRPr="0036023B" w:rsidRDefault="0036023B" w:rsidP="0036023B">
      <w:pPr>
        <w:ind w:left="2880"/>
        <w:rPr>
          <w:rFonts w:eastAsia="Calibri"/>
          <w:szCs w:val="24"/>
        </w:rPr>
      </w:pPr>
    </w:p>
    <w:p w14:paraId="038D0DC0" w14:textId="77777777" w:rsidR="0036023B" w:rsidRPr="0036023B" w:rsidRDefault="0036023B" w:rsidP="0036023B">
      <w:pPr>
        <w:ind w:left="2880"/>
        <w:rPr>
          <w:rFonts w:eastAsia="Calibri"/>
          <w:szCs w:val="24"/>
        </w:rPr>
      </w:pPr>
      <w:r w:rsidRPr="0036023B">
        <w:rPr>
          <w:rFonts w:eastAsia="Calibri"/>
          <w:szCs w:val="24"/>
        </w:rPr>
        <w:t>H</w:t>
      </w:r>
      <w:bookmarkStart w:id="460" w:name="_Hlk130851020"/>
      <w:r w:rsidRPr="0036023B">
        <w:rPr>
          <w:rFonts w:eastAsia="Calibri"/>
          <w:szCs w:val="24"/>
        </w:rPr>
        <w:t>aving a second person process or make products</w:t>
      </w:r>
      <w:bookmarkEnd w:id="460"/>
      <w:r w:rsidRPr="0036023B">
        <w:rPr>
          <w:rFonts w:eastAsia="Calibri"/>
          <w:szCs w:val="24"/>
        </w:rPr>
        <w:t xml:space="preserve"> under a contractual arrangement for distribution, using </w:t>
      </w:r>
      <w:bookmarkStart w:id="461" w:name="_Hlk130851106"/>
      <w:r w:rsidRPr="0036023B">
        <w:rPr>
          <w:rFonts w:eastAsia="Calibri"/>
          <w:szCs w:val="24"/>
        </w:rPr>
        <w:t>the first person’s or entity’s brand name</w:t>
      </w:r>
      <w:bookmarkEnd w:id="461"/>
      <w:r w:rsidRPr="0036023B">
        <w:rPr>
          <w:rFonts w:eastAsia="Calibri"/>
          <w:szCs w:val="24"/>
        </w:rPr>
        <w:t xml:space="preserve"> or trademark.</w:t>
      </w:r>
    </w:p>
    <w:p w14:paraId="55553D17" w14:textId="77777777" w:rsidR="0036023B" w:rsidRPr="0036023B" w:rsidRDefault="0036023B" w:rsidP="0036023B">
      <w:pPr>
        <w:ind w:left="2160"/>
        <w:rPr>
          <w:rFonts w:eastAsia="Calibri"/>
          <w:szCs w:val="24"/>
        </w:rPr>
      </w:pPr>
    </w:p>
    <w:p w14:paraId="421579FD" w14:textId="77777777" w:rsidR="0036023B" w:rsidRPr="0036023B" w:rsidRDefault="0036023B" w:rsidP="0036023B">
      <w:pPr>
        <w:ind w:left="2160"/>
        <w:rPr>
          <w:rFonts w:eastAsia="Calibri"/>
          <w:szCs w:val="24"/>
        </w:rPr>
      </w:pPr>
      <w:r w:rsidRPr="0036023B">
        <w:rPr>
          <w:rFonts w:eastAsia="Calibri"/>
          <w:szCs w:val="24"/>
        </w:rPr>
        <w:t>“Non-potable services” means all product uses and applications that are not potable uses.</w:t>
      </w:r>
    </w:p>
    <w:p w14:paraId="4CF5C88F" w14:textId="77777777" w:rsidR="0036023B" w:rsidRPr="0036023B" w:rsidRDefault="0036023B" w:rsidP="0036023B">
      <w:pPr>
        <w:ind w:left="2160"/>
        <w:rPr>
          <w:rFonts w:eastAsia="Calibri"/>
          <w:szCs w:val="24"/>
        </w:rPr>
      </w:pPr>
    </w:p>
    <w:p w14:paraId="0C1BF423" w14:textId="77777777" w:rsidR="0036023B" w:rsidRPr="0036023B" w:rsidRDefault="0036023B" w:rsidP="0036023B">
      <w:pPr>
        <w:ind w:left="2160"/>
        <w:rPr>
          <w:rFonts w:eastAsia="Calibri"/>
          <w:szCs w:val="24"/>
        </w:rPr>
      </w:pPr>
      <w:r w:rsidRPr="0036023B">
        <w:rPr>
          <w:rFonts w:eastAsia="Calibri"/>
          <w:szCs w:val="24"/>
        </w:rPr>
        <w:t xml:space="preserve">“Person” means </w:t>
      </w:r>
      <w:bookmarkStart w:id="462" w:name="_Hlk130903653"/>
      <w:r w:rsidRPr="0036023B">
        <w:rPr>
          <w:rFonts w:eastAsia="Calibri"/>
          <w:szCs w:val="24"/>
        </w:rPr>
        <w:t>an individual, corporation, company, association, partnership, municipality, or State or federal agency</w:t>
      </w:r>
      <w:bookmarkEnd w:id="462"/>
      <w:r w:rsidRPr="0036023B">
        <w:rPr>
          <w:rFonts w:eastAsia="Calibri"/>
          <w:szCs w:val="24"/>
        </w:rPr>
        <w:t xml:space="preserve">, </w:t>
      </w:r>
      <w:bookmarkStart w:id="463" w:name="_Hlk130895857"/>
      <w:r w:rsidRPr="0036023B">
        <w:rPr>
          <w:rFonts w:eastAsia="Calibri"/>
          <w:szCs w:val="24"/>
        </w:rPr>
        <w:t>including an officer, employee, or agent of a corporation, company, association, municipality, or State or federal agency</w:t>
      </w:r>
      <w:bookmarkEnd w:id="463"/>
      <w:r w:rsidRPr="0036023B">
        <w:rPr>
          <w:rFonts w:eastAsia="Calibri"/>
          <w:szCs w:val="24"/>
        </w:rPr>
        <w:t>.</w:t>
      </w:r>
    </w:p>
    <w:p w14:paraId="2771A28E" w14:textId="77777777" w:rsidR="0036023B" w:rsidRPr="0036023B" w:rsidRDefault="0036023B" w:rsidP="0036023B">
      <w:pPr>
        <w:ind w:left="2160"/>
        <w:rPr>
          <w:rFonts w:eastAsia="Calibri"/>
          <w:szCs w:val="24"/>
        </w:rPr>
      </w:pPr>
    </w:p>
    <w:p w14:paraId="4D75F222" w14:textId="77777777" w:rsidR="0036023B" w:rsidRPr="0036023B" w:rsidRDefault="0036023B" w:rsidP="0036023B">
      <w:pPr>
        <w:ind w:left="2160"/>
        <w:rPr>
          <w:rFonts w:eastAsia="Calibri"/>
          <w:szCs w:val="24"/>
        </w:rPr>
      </w:pPr>
      <w:r w:rsidRPr="0036023B">
        <w:rPr>
          <w:rFonts w:eastAsia="Calibri"/>
          <w:szCs w:val="24"/>
        </w:rPr>
        <w:t>“Pipe” means a conduit, conductor, tubing, or hose and may also include permanently attached end fittings.</w:t>
      </w:r>
    </w:p>
    <w:p w14:paraId="40D6E64E" w14:textId="77777777" w:rsidR="0036023B" w:rsidRPr="0036023B" w:rsidRDefault="0036023B" w:rsidP="0036023B">
      <w:pPr>
        <w:ind w:left="2160"/>
        <w:rPr>
          <w:rFonts w:eastAsia="Calibri"/>
          <w:szCs w:val="24"/>
        </w:rPr>
      </w:pPr>
    </w:p>
    <w:p w14:paraId="0F4E2404" w14:textId="77777777" w:rsidR="0036023B" w:rsidRPr="0036023B" w:rsidRDefault="0036023B" w:rsidP="0036023B">
      <w:pPr>
        <w:ind w:left="2160"/>
        <w:rPr>
          <w:rFonts w:eastAsia="Calibri"/>
          <w:szCs w:val="24"/>
        </w:rPr>
      </w:pPr>
      <w:r w:rsidRPr="0036023B">
        <w:rPr>
          <w:rFonts w:eastAsia="Calibri"/>
          <w:szCs w:val="24"/>
        </w:rPr>
        <w:t>“Pipe fitting” means any piece, such as a coupling, elbow, or gasket, a person uses</w:t>
      </w:r>
      <w:bookmarkStart w:id="464" w:name="_Hlk130896888"/>
      <w:r w:rsidRPr="0036023B">
        <w:rPr>
          <w:rFonts w:eastAsia="Calibri"/>
          <w:szCs w:val="24"/>
        </w:rPr>
        <w:t xml:space="preserve"> for </w:t>
      </w:r>
      <w:bookmarkStart w:id="465" w:name="_Hlk130897047"/>
      <w:r w:rsidRPr="0036023B">
        <w:rPr>
          <w:rFonts w:eastAsia="Calibri"/>
          <w:szCs w:val="24"/>
        </w:rPr>
        <w:t>connecting pipe lengths</w:t>
      </w:r>
      <w:bookmarkEnd w:id="464"/>
      <w:r w:rsidRPr="0036023B">
        <w:rPr>
          <w:rFonts w:eastAsia="Calibri"/>
          <w:szCs w:val="24"/>
        </w:rPr>
        <w:t xml:space="preserve"> or other plumbing pieces together or for changing direction</w:t>
      </w:r>
      <w:bookmarkEnd w:id="465"/>
      <w:r w:rsidRPr="0036023B">
        <w:rPr>
          <w:rFonts w:eastAsia="Calibri"/>
          <w:szCs w:val="24"/>
        </w:rPr>
        <w:t>.</w:t>
      </w:r>
    </w:p>
    <w:p w14:paraId="43C87396" w14:textId="77777777" w:rsidR="0036023B" w:rsidRPr="0036023B" w:rsidRDefault="0036023B" w:rsidP="0036023B">
      <w:pPr>
        <w:ind w:left="2160"/>
        <w:rPr>
          <w:rFonts w:eastAsia="Calibri"/>
          <w:szCs w:val="24"/>
        </w:rPr>
      </w:pPr>
    </w:p>
    <w:p w14:paraId="7C071BED" w14:textId="77777777" w:rsidR="0036023B" w:rsidRPr="0036023B" w:rsidRDefault="0036023B" w:rsidP="0036023B">
      <w:pPr>
        <w:ind w:left="2160"/>
        <w:rPr>
          <w:rFonts w:eastAsia="Calibri"/>
          <w:szCs w:val="24"/>
        </w:rPr>
      </w:pPr>
      <w:r w:rsidRPr="0036023B">
        <w:rPr>
          <w:rFonts w:eastAsia="Calibri"/>
          <w:szCs w:val="24"/>
        </w:rPr>
        <w:t>“Plumbing fitting” means a plumbing component controlling</w:t>
      </w:r>
      <w:bookmarkStart w:id="466" w:name="_Hlk130898176"/>
      <w:r w:rsidRPr="0036023B">
        <w:rPr>
          <w:rFonts w:eastAsia="Calibri"/>
          <w:szCs w:val="24"/>
        </w:rPr>
        <w:t xml:space="preserve"> the volume or directional flow of water</w:t>
      </w:r>
      <w:bookmarkEnd w:id="466"/>
      <w:r w:rsidRPr="0036023B">
        <w:rPr>
          <w:rFonts w:eastAsia="Calibri"/>
          <w:szCs w:val="24"/>
        </w:rPr>
        <w:t>, such as a kitchen faucet, bathroom lavatory faucet, manifold, or valve.</w:t>
      </w:r>
    </w:p>
    <w:p w14:paraId="37C75C84" w14:textId="77777777" w:rsidR="0036023B" w:rsidRPr="0036023B" w:rsidRDefault="0036023B" w:rsidP="0036023B">
      <w:pPr>
        <w:ind w:left="2160"/>
        <w:rPr>
          <w:rFonts w:eastAsia="Calibri"/>
          <w:szCs w:val="24"/>
        </w:rPr>
      </w:pPr>
    </w:p>
    <w:p w14:paraId="763512E2" w14:textId="77777777" w:rsidR="0036023B" w:rsidRPr="0036023B" w:rsidRDefault="0036023B" w:rsidP="0036023B">
      <w:pPr>
        <w:ind w:left="2160"/>
        <w:rPr>
          <w:rFonts w:eastAsia="Calibri"/>
          <w:szCs w:val="24"/>
        </w:rPr>
      </w:pPr>
      <w:r w:rsidRPr="0036023B">
        <w:rPr>
          <w:rFonts w:eastAsia="Calibri"/>
          <w:szCs w:val="24"/>
        </w:rPr>
        <w:t xml:space="preserve">“Point-of-use treatment device” means point-of-use treatment device, </w:t>
      </w:r>
      <w:bookmarkStart w:id="467" w:name="_Hlk130898803"/>
      <w:r w:rsidRPr="0036023B">
        <w:rPr>
          <w:rFonts w:eastAsia="Calibri"/>
          <w:szCs w:val="24"/>
        </w:rPr>
        <w:t>as defined in Section 611.102</w:t>
      </w:r>
      <w:bookmarkEnd w:id="467"/>
      <w:r w:rsidRPr="0036023B">
        <w:rPr>
          <w:rFonts w:eastAsia="Calibri"/>
          <w:szCs w:val="24"/>
        </w:rPr>
        <w:t>.</w:t>
      </w:r>
    </w:p>
    <w:p w14:paraId="6D226D9F" w14:textId="77777777" w:rsidR="0036023B" w:rsidRPr="0036023B" w:rsidRDefault="0036023B" w:rsidP="0036023B">
      <w:pPr>
        <w:ind w:left="2160"/>
        <w:rPr>
          <w:rFonts w:eastAsia="Calibri"/>
          <w:szCs w:val="24"/>
        </w:rPr>
      </w:pPr>
    </w:p>
    <w:p w14:paraId="5CD460F9" w14:textId="77777777" w:rsidR="0036023B" w:rsidRPr="0036023B" w:rsidRDefault="0036023B" w:rsidP="0036023B">
      <w:pPr>
        <w:ind w:left="2160"/>
        <w:rPr>
          <w:rFonts w:eastAsia="Calibri"/>
          <w:szCs w:val="24"/>
        </w:rPr>
      </w:pPr>
      <w:r w:rsidRPr="0036023B">
        <w:rPr>
          <w:rFonts w:eastAsia="Calibri"/>
          <w:szCs w:val="24"/>
        </w:rPr>
        <w:t>“Potable uses”, for purposes only of this subsection (b), means services or applications providing water for human ingestion, such as drinking, cooking, preparing food, dishwashing, brushing teeth, or maintaining oral hygiene.</w:t>
      </w:r>
    </w:p>
    <w:p w14:paraId="5A99262B" w14:textId="77777777" w:rsidR="0036023B" w:rsidRPr="0036023B" w:rsidRDefault="0036023B" w:rsidP="0036023B">
      <w:pPr>
        <w:ind w:left="2160"/>
        <w:rPr>
          <w:rFonts w:eastAsia="Calibri"/>
          <w:szCs w:val="24"/>
        </w:rPr>
      </w:pPr>
    </w:p>
    <w:p w14:paraId="405A272C" w14:textId="77777777" w:rsidR="0036023B" w:rsidRPr="0036023B" w:rsidRDefault="0036023B" w:rsidP="0036023B">
      <w:pPr>
        <w:ind w:left="2160"/>
        <w:rPr>
          <w:rFonts w:eastAsia="Calibri"/>
          <w:szCs w:val="24"/>
        </w:rPr>
      </w:pPr>
      <w:r w:rsidRPr="0036023B">
        <w:rPr>
          <w:rFonts w:eastAsia="Calibri"/>
          <w:szCs w:val="24"/>
        </w:rPr>
        <w:t>“Product” means a pipe, fitting, or fixture.</w:t>
      </w:r>
    </w:p>
    <w:p w14:paraId="5D9D9DDF" w14:textId="77777777" w:rsidR="0036023B" w:rsidRPr="0036023B" w:rsidRDefault="0036023B" w:rsidP="0036023B">
      <w:pPr>
        <w:ind w:left="2160"/>
        <w:rPr>
          <w:rFonts w:eastAsia="Calibri"/>
          <w:szCs w:val="24"/>
        </w:rPr>
      </w:pPr>
    </w:p>
    <w:p w14:paraId="02BE5A85" w14:textId="77777777" w:rsidR="0036023B" w:rsidRPr="0036023B" w:rsidRDefault="0036023B" w:rsidP="0036023B">
      <w:pPr>
        <w:ind w:left="2160"/>
        <w:rPr>
          <w:rFonts w:eastAsia="Calibri"/>
          <w:szCs w:val="24"/>
        </w:rPr>
      </w:pPr>
      <w:r w:rsidRPr="0036023B">
        <w:rPr>
          <w:rFonts w:eastAsia="Calibri"/>
          <w:szCs w:val="24"/>
        </w:rPr>
        <w:t xml:space="preserve">“Public water system” </w:t>
      </w:r>
      <w:bookmarkStart w:id="468" w:name="_Hlk130900113"/>
      <w:r w:rsidRPr="0036023B">
        <w:rPr>
          <w:rFonts w:eastAsia="Calibri"/>
          <w:szCs w:val="24"/>
        </w:rPr>
        <w:t>or "PWS" is defined in Section 611.101</w:t>
      </w:r>
      <w:bookmarkEnd w:id="468"/>
      <w:r w:rsidRPr="0036023B">
        <w:rPr>
          <w:rFonts w:eastAsia="Calibri"/>
          <w:szCs w:val="24"/>
        </w:rPr>
        <w:t>.</w:t>
      </w:r>
    </w:p>
    <w:p w14:paraId="5BA34002" w14:textId="77777777" w:rsidR="0036023B" w:rsidRPr="0036023B" w:rsidRDefault="0036023B" w:rsidP="0036023B">
      <w:pPr>
        <w:ind w:left="2160"/>
        <w:rPr>
          <w:rFonts w:eastAsia="Calibri"/>
          <w:szCs w:val="24"/>
        </w:rPr>
      </w:pPr>
    </w:p>
    <w:p w14:paraId="20DB8691" w14:textId="77777777" w:rsidR="0036023B" w:rsidRPr="0036023B" w:rsidRDefault="0036023B" w:rsidP="0036023B">
      <w:pPr>
        <w:ind w:left="2160"/>
        <w:rPr>
          <w:rFonts w:eastAsia="Calibri"/>
          <w:szCs w:val="24"/>
        </w:rPr>
      </w:pPr>
      <w:r w:rsidRPr="0036023B">
        <w:rPr>
          <w:rFonts w:eastAsia="Calibri"/>
          <w:szCs w:val="24"/>
        </w:rPr>
        <w:t>“Solder” means a type of metal persons use</w:t>
      </w:r>
      <w:bookmarkStart w:id="469" w:name="_Hlk130901888"/>
      <w:r w:rsidRPr="0036023B">
        <w:rPr>
          <w:rFonts w:eastAsia="Calibri"/>
          <w:szCs w:val="24"/>
        </w:rPr>
        <w:t xml:space="preserve"> to join metal parts</w:t>
      </w:r>
      <w:bookmarkEnd w:id="469"/>
      <w:r w:rsidRPr="0036023B">
        <w:rPr>
          <w:rFonts w:eastAsia="Calibri"/>
          <w:szCs w:val="24"/>
        </w:rPr>
        <w:t xml:space="preserve">, such as sections of pipe, without melting the existing metal in the joined parts.  Solder </w:t>
      </w:r>
      <w:bookmarkStart w:id="470" w:name="_Hlk130902671"/>
      <w:r w:rsidRPr="0036023B">
        <w:rPr>
          <w:rFonts w:eastAsia="Calibri"/>
          <w:szCs w:val="24"/>
        </w:rPr>
        <w:t>usually appears on the market</w:t>
      </w:r>
      <w:bookmarkEnd w:id="470"/>
      <w:r w:rsidRPr="0036023B">
        <w:rPr>
          <w:rFonts w:eastAsia="Calibri"/>
          <w:szCs w:val="24"/>
        </w:rPr>
        <w:t xml:space="preserve"> in the form of wire rolls or bars.</w:t>
      </w:r>
    </w:p>
    <w:p w14:paraId="20C61A21" w14:textId="77777777" w:rsidR="0036023B" w:rsidRPr="0036023B" w:rsidRDefault="0036023B" w:rsidP="0036023B">
      <w:pPr>
        <w:ind w:left="2160"/>
        <w:rPr>
          <w:rFonts w:eastAsia="Calibri"/>
          <w:szCs w:val="24"/>
        </w:rPr>
      </w:pPr>
    </w:p>
    <w:p w14:paraId="6AE53954" w14:textId="77777777" w:rsidR="0036023B" w:rsidRPr="0036023B" w:rsidRDefault="0036023B" w:rsidP="0036023B">
      <w:pPr>
        <w:ind w:left="2160"/>
        <w:rPr>
          <w:rFonts w:eastAsia="Calibri"/>
          <w:szCs w:val="24"/>
        </w:rPr>
      </w:pPr>
      <w:r w:rsidRPr="0036023B">
        <w:rPr>
          <w:rFonts w:eastAsia="Calibri"/>
          <w:szCs w:val="24"/>
        </w:rPr>
        <w:t xml:space="preserve">“State” means </w:t>
      </w:r>
      <w:bookmarkStart w:id="471" w:name="_Hlk130907611"/>
      <w:r w:rsidRPr="0036023B">
        <w:rPr>
          <w:rFonts w:eastAsia="Calibri"/>
          <w:szCs w:val="24"/>
        </w:rPr>
        <w:t>the State of Illinois and its authorized agencies</w:t>
      </w:r>
      <w:bookmarkEnd w:id="471"/>
      <w:r w:rsidRPr="0036023B">
        <w:rPr>
          <w:rFonts w:eastAsia="Calibri"/>
          <w:szCs w:val="24"/>
        </w:rPr>
        <w:t>.</w:t>
      </w:r>
    </w:p>
    <w:p w14:paraId="76D54772" w14:textId="77777777" w:rsidR="0036023B" w:rsidRPr="0036023B" w:rsidRDefault="0036023B" w:rsidP="0036023B">
      <w:pPr>
        <w:ind w:left="2160"/>
        <w:rPr>
          <w:rFonts w:eastAsia="Calibri"/>
          <w:szCs w:val="24"/>
        </w:rPr>
      </w:pPr>
    </w:p>
    <w:p w14:paraId="6F22CB09" w14:textId="77777777" w:rsidR="0036023B" w:rsidRPr="0036023B" w:rsidRDefault="0036023B" w:rsidP="0036023B">
      <w:pPr>
        <w:ind w:left="2160"/>
        <w:rPr>
          <w:rFonts w:eastAsia="Calibri"/>
          <w:szCs w:val="24"/>
        </w:rPr>
      </w:pPr>
      <w:r w:rsidRPr="0036023B">
        <w:rPr>
          <w:rFonts w:eastAsia="Calibri"/>
          <w:szCs w:val="24"/>
        </w:rPr>
        <w:t xml:space="preserve">“United States” includes its commonwealths, districts, </w:t>
      </w:r>
      <w:bookmarkStart w:id="472" w:name="_Hlk130907727"/>
      <w:r w:rsidRPr="0036023B">
        <w:rPr>
          <w:rFonts w:eastAsia="Calibri"/>
          <w:szCs w:val="24"/>
        </w:rPr>
        <w:t>states, tribes, and territories</w:t>
      </w:r>
      <w:bookmarkEnd w:id="472"/>
      <w:r w:rsidRPr="0036023B">
        <w:rPr>
          <w:rFonts w:eastAsia="Calibri"/>
          <w:szCs w:val="24"/>
        </w:rPr>
        <w:t>.</w:t>
      </w:r>
    </w:p>
    <w:p w14:paraId="24D40465" w14:textId="77777777" w:rsidR="0036023B" w:rsidRPr="0036023B" w:rsidRDefault="0036023B" w:rsidP="0036023B">
      <w:pPr>
        <w:ind w:left="2160"/>
        <w:rPr>
          <w:rFonts w:eastAsia="Calibri"/>
          <w:szCs w:val="24"/>
        </w:rPr>
      </w:pPr>
    </w:p>
    <w:p w14:paraId="74B94E5C" w14:textId="77777777" w:rsidR="0036023B" w:rsidRPr="0036023B" w:rsidRDefault="0036023B" w:rsidP="0036023B">
      <w:pPr>
        <w:ind w:left="2160"/>
        <w:rPr>
          <w:rFonts w:eastAsia="Calibri"/>
          <w:szCs w:val="24"/>
        </w:rPr>
      </w:pPr>
      <w:r w:rsidRPr="0036023B">
        <w:rPr>
          <w:rFonts w:eastAsia="Calibri"/>
          <w:szCs w:val="24"/>
        </w:rPr>
        <w:t>“Water distribution main” means a pipe, typically found under or adjacent to a roadway, supplying water to buildings via service lines.</w:t>
      </w:r>
    </w:p>
    <w:p w14:paraId="04001E0E" w14:textId="77777777" w:rsidR="0036023B" w:rsidRPr="0036023B" w:rsidRDefault="0036023B" w:rsidP="0036023B">
      <w:pPr>
        <w:ind w:left="1440"/>
        <w:rPr>
          <w:rFonts w:eastAsia="Calibri"/>
          <w:szCs w:val="24"/>
        </w:rPr>
      </w:pPr>
    </w:p>
    <w:p w14:paraId="138DB1AA" w14:textId="77777777" w:rsidR="0036023B" w:rsidRPr="0036023B" w:rsidRDefault="0036023B" w:rsidP="0036023B">
      <w:pPr>
        <w:ind w:left="1440"/>
        <w:rPr>
          <w:rFonts w:eastAsia="Calibri"/>
          <w:szCs w:val="24"/>
        </w:rPr>
      </w:pPr>
      <w:r w:rsidRPr="0036023B">
        <w:rPr>
          <w:rFonts w:eastAsia="Calibri"/>
          <w:szCs w:val="24"/>
        </w:rPr>
        <w:t>BOARD NOTE:  Subsection (b) derives from 40 CFR 143.11.</w:t>
      </w:r>
    </w:p>
    <w:p w14:paraId="3DE59189" w14:textId="77777777" w:rsidR="0036023B" w:rsidRPr="0036023B" w:rsidRDefault="0036023B" w:rsidP="0036023B">
      <w:pPr>
        <w:ind w:left="1440" w:hanging="720"/>
        <w:rPr>
          <w:rFonts w:eastAsia="Calibri"/>
          <w:szCs w:val="24"/>
        </w:rPr>
      </w:pPr>
    </w:p>
    <w:p w14:paraId="2B0D1940" w14:textId="77777777" w:rsidR="0036023B" w:rsidRPr="0036023B" w:rsidRDefault="0036023B" w:rsidP="0036023B">
      <w:pPr>
        <w:ind w:left="1440" w:hanging="720"/>
        <w:rPr>
          <w:rFonts w:eastAsia="Calibri"/>
          <w:szCs w:val="24"/>
        </w:rPr>
      </w:pPr>
      <w:r w:rsidRPr="0036023B">
        <w:rPr>
          <w:rFonts w:eastAsia="Calibri"/>
          <w:szCs w:val="24"/>
        </w:rPr>
        <w:t>c)</w:t>
      </w:r>
      <w:r w:rsidRPr="0036023B">
        <w:rPr>
          <w:rFonts w:eastAsia="Calibri"/>
          <w:szCs w:val="24"/>
        </w:rPr>
        <w:tab/>
      </w:r>
      <w:bookmarkStart w:id="473" w:name="_Hlk130908802"/>
      <w:r w:rsidRPr="0036023B">
        <w:rPr>
          <w:rFonts w:eastAsia="Calibri"/>
          <w:szCs w:val="24"/>
        </w:rPr>
        <w:t>Definition of Lead</w:t>
      </w:r>
      <w:r w:rsidRPr="0036023B">
        <w:rPr>
          <w:rFonts w:eastAsia="Calibri"/>
          <w:b/>
          <w:bCs/>
          <w:szCs w:val="24"/>
        </w:rPr>
        <w:t>-</w:t>
      </w:r>
      <w:r w:rsidRPr="0036023B">
        <w:rPr>
          <w:rFonts w:eastAsia="Calibri"/>
          <w:szCs w:val="24"/>
        </w:rPr>
        <w:t>Free and Calculation Methodology</w:t>
      </w:r>
      <w:bookmarkEnd w:id="473"/>
    </w:p>
    <w:p w14:paraId="308E75FB" w14:textId="77777777" w:rsidR="0036023B" w:rsidRPr="0036023B" w:rsidRDefault="0036023B" w:rsidP="0036023B">
      <w:pPr>
        <w:ind w:left="2160" w:hanging="720"/>
        <w:rPr>
          <w:rFonts w:eastAsia="Calibri"/>
          <w:szCs w:val="24"/>
        </w:rPr>
      </w:pPr>
    </w:p>
    <w:p w14:paraId="6450EDD5" w14:textId="77777777" w:rsidR="0036023B" w:rsidRPr="0036023B" w:rsidRDefault="0036023B" w:rsidP="0036023B">
      <w:pPr>
        <w:ind w:left="2160" w:hanging="720"/>
        <w:rPr>
          <w:rFonts w:eastAsia="Calibri"/>
          <w:szCs w:val="24"/>
        </w:rPr>
      </w:pPr>
      <w:r w:rsidRPr="0036023B">
        <w:rPr>
          <w:rFonts w:eastAsia="Calibri"/>
          <w:szCs w:val="24"/>
        </w:rPr>
        <w:t>1)</w:t>
      </w:r>
      <w:r w:rsidRPr="0036023B">
        <w:rPr>
          <w:rFonts w:eastAsia="Calibri"/>
          <w:szCs w:val="24"/>
        </w:rPr>
        <w:tab/>
        <w:t>“Lead</w:t>
      </w:r>
      <w:r w:rsidRPr="0036023B">
        <w:rPr>
          <w:rFonts w:eastAsia="Calibri"/>
          <w:b/>
          <w:bCs/>
          <w:szCs w:val="24"/>
        </w:rPr>
        <w:t>-</w:t>
      </w:r>
      <w:r w:rsidRPr="0036023B">
        <w:rPr>
          <w:rFonts w:eastAsia="Calibri"/>
          <w:szCs w:val="24"/>
        </w:rPr>
        <w:t>free”, for the purposes of this Section, means:</w:t>
      </w:r>
    </w:p>
    <w:p w14:paraId="0FC0E171" w14:textId="77777777" w:rsidR="0036023B" w:rsidRPr="0036023B" w:rsidRDefault="0036023B" w:rsidP="0036023B">
      <w:pPr>
        <w:ind w:left="2880" w:hanging="720"/>
        <w:rPr>
          <w:rFonts w:eastAsia="Calibri"/>
          <w:szCs w:val="24"/>
        </w:rPr>
      </w:pPr>
    </w:p>
    <w:p w14:paraId="75957674"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Not containing more than 0.2 percent lead, for solder and flux; and</w:t>
      </w:r>
    </w:p>
    <w:p w14:paraId="01EE2825" w14:textId="77777777" w:rsidR="0036023B" w:rsidRPr="0036023B" w:rsidRDefault="0036023B" w:rsidP="0036023B">
      <w:pPr>
        <w:ind w:left="2880" w:hanging="720"/>
        <w:rPr>
          <w:rFonts w:eastAsia="Calibri"/>
          <w:szCs w:val="24"/>
        </w:rPr>
      </w:pPr>
    </w:p>
    <w:p w14:paraId="2886CB6A" w14:textId="77777777" w:rsidR="0036023B" w:rsidRPr="0036023B" w:rsidRDefault="0036023B" w:rsidP="0036023B">
      <w:pPr>
        <w:ind w:left="2880" w:hanging="720"/>
        <w:rPr>
          <w:rFonts w:eastAsia="Calibri"/>
          <w:szCs w:val="24"/>
        </w:rPr>
      </w:pPr>
      <w:r w:rsidRPr="0036023B">
        <w:rPr>
          <w:rFonts w:eastAsia="Calibri"/>
          <w:szCs w:val="24"/>
        </w:rPr>
        <w:lastRenderedPageBreak/>
        <w:t>B)</w:t>
      </w:r>
      <w:r w:rsidRPr="0036023B">
        <w:rPr>
          <w:rFonts w:eastAsia="Calibri"/>
          <w:szCs w:val="24"/>
        </w:rPr>
        <w:tab/>
        <w:t xml:space="preserve">Not more than a weighted average of 0.25 percent lead if </w:t>
      </w:r>
      <w:bookmarkStart w:id="474" w:name="_Hlk130910162"/>
      <w:r w:rsidRPr="0036023B">
        <w:rPr>
          <w:rFonts w:eastAsia="Calibri"/>
          <w:szCs w:val="24"/>
        </w:rPr>
        <w:t>the wetted surfaces</w:t>
      </w:r>
      <w:bookmarkEnd w:id="474"/>
      <w:r w:rsidRPr="0036023B">
        <w:rPr>
          <w:rFonts w:eastAsia="Calibri"/>
          <w:szCs w:val="24"/>
        </w:rPr>
        <w:t xml:space="preserve"> of pipes, pipe fittings, plumbing fittings, and fixtures.</w:t>
      </w:r>
    </w:p>
    <w:p w14:paraId="56366F49" w14:textId="77777777" w:rsidR="0036023B" w:rsidRPr="0036023B" w:rsidRDefault="0036023B" w:rsidP="0036023B">
      <w:pPr>
        <w:ind w:left="2160" w:hanging="720"/>
        <w:rPr>
          <w:rFonts w:eastAsia="Calibri"/>
          <w:szCs w:val="24"/>
        </w:rPr>
      </w:pPr>
    </w:p>
    <w:p w14:paraId="015822D5" w14:textId="77777777" w:rsidR="0036023B" w:rsidRPr="0036023B" w:rsidRDefault="0036023B" w:rsidP="0036023B">
      <w:pPr>
        <w:ind w:left="2160" w:hanging="720"/>
        <w:rPr>
          <w:rFonts w:eastAsia="Calibri"/>
          <w:szCs w:val="24"/>
        </w:rPr>
      </w:pPr>
      <w:r w:rsidRPr="0036023B">
        <w:rPr>
          <w:rFonts w:eastAsia="Calibri"/>
          <w:szCs w:val="24"/>
        </w:rPr>
        <w:t>2)</w:t>
      </w:r>
      <w:r w:rsidRPr="0036023B">
        <w:rPr>
          <w:rFonts w:eastAsia="Calibri"/>
          <w:szCs w:val="24"/>
        </w:rPr>
        <w:tab/>
        <w:t>Calculate the weighted average lead content of a pipe, pipe fitting, plumbing fitting, or fixture using the following formula:</w:t>
      </w:r>
    </w:p>
    <w:p w14:paraId="2D3CFAA8" w14:textId="77777777" w:rsidR="0036023B" w:rsidRPr="0036023B" w:rsidRDefault="0036023B" w:rsidP="0036023B">
      <w:pPr>
        <w:ind w:left="2880" w:hanging="720"/>
        <w:rPr>
          <w:rFonts w:eastAsia="Calibri"/>
          <w:szCs w:val="24"/>
        </w:rPr>
      </w:pPr>
    </w:p>
    <w:p w14:paraId="1768B821"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 xml:space="preserve">For each wetted component, multiply the percentage of lead in the component by the ratio of the wetted surface area of that component to the total wetted surface area of the entire product </w:t>
      </w:r>
      <w:bookmarkStart w:id="475" w:name="_Hlk130911904"/>
      <w:r w:rsidRPr="0036023B">
        <w:rPr>
          <w:rFonts w:eastAsia="Calibri"/>
          <w:szCs w:val="24"/>
        </w:rPr>
        <w:t>to derive the weighted percentage</w:t>
      </w:r>
      <w:bookmarkEnd w:id="475"/>
      <w:r w:rsidRPr="0036023B">
        <w:rPr>
          <w:rFonts w:eastAsia="Calibri"/>
          <w:szCs w:val="24"/>
        </w:rPr>
        <w:t xml:space="preserve"> of lead of the component.</w:t>
      </w:r>
    </w:p>
    <w:p w14:paraId="276C98B4" w14:textId="77777777" w:rsidR="0036023B" w:rsidRPr="0036023B" w:rsidRDefault="0036023B" w:rsidP="0036023B">
      <w:pPr>
        <w:ind w:left="2880" w:hanging="720"/>
        <w:rPr>
          <w:rFonts w:eastAsia="Calibri"/>
          <w:szCs w:val="24"/>
        </w:rPr>
      </w:pPr>
    </w:p>
    <w:p w14:paraId="0C2AF0E5" w14:textId="77777777" w:rsidR="0036023B" w:rsidRPr="0036023B" w:rsidRDefault="0036023B" w:rsidP="0036023B">
      <w:pPr>
        <w:ind w:left="2880" w:hanging="720"/>
        <w:rPr>
          <w:rFonts w:eastAsia="Calibri"/>
          <w:szCs w:val="24"/>
        </w:rPr>
      </w:pPr>
      <w:r w:rsidRPr="0036023B">
        <w:rPr>
          <w:rFonts w:eastAsia="Calibri"/>
          <w:szCs w:val="24"/>
        </w:rPr>
        <w:t>B)</w:t>
      </w:r>
      <w:r w:rsidRPr="0036023B">
        <w:rPr>
          <w:rFonts w:eastAsia="Calibri"/>
          <w:szCs w:val="24"/>
        </w:rPr>
        <w:tab/>
        <w:t>T</w:t>
      </w:r>
      <w:bookmarkStart w:id="476" w:name="_Hlk130913131"/>
      <w:r w:rsidRPr="0036023B">
        <w:rPr>
          <w:rFonts w:eastAsia="Calibri"/>
          <w:szCs w:val="24"/>
        </w:rPr>
        <w:t>he sum of the weighted percentage of lead of all wetted components gives</w:t>
      </w:r>
      <w:bookmarkEnd w:id="476"/>
      <w:r w:rsidRPr="0036023B">
        <w:rPr>
          <w:rFonts w:eastAsia="Calibri"/>
          <w:szCs w:val="24"/>
        </w:rPr>
        <w:t xml:space="preserve"> the weighted average lead content of the product.</w:t>
      </w:r>
    </w:p>
    <w:p w14:paraId="66684590" w14:textId="77777777" w:rsidR="0036023B" w:rsidRPr="0036023B" w:rsidRDefault="0036023B" w:rsidP="0036023B">
      <w:pPr>
        <w:ind w:left="2880" w:hanging="720"/>
        <w:rPr>
          <w:rFonts w:eastAsia="Calibri"/>
          <w:szCs w:val="24"/>
        </w:rPr>
      </w:pPr>
    </w:p>
    <w:p w14:paraId="494188A1" w14:textId="77777777" w:rsidR="0036023B" w:rsidRPr="0036023B" w:rsidRDefault="0036023B" w:rsidP="0036023B">
      <w:pPr>
        <w:ind w:left="2880" w:hanging="720"/>
        <w:rPr>
          <w:rFonts w:eastAsia="Calibri"/>
          <w:szCs w:val="24"/>
        </w:rPr>
      </w:pPr>
      <w:r w:rsidRPr="0036023B">
        <w:rPr>
          <w:rFonts w:eastAsia="Calibri"/>
          <w:szCs w:val="24"/>
        </w:rPr>
        <w:t>C)</w:t>
      </w:r>
      <w:r w:rsidRPr="0036023B">
        <w:rPr>
          <w:rFonts w:eastAsia="Calibri"/>
          <w:szCs w:val="24"/>
        </w:rPr>
        <w:tab/>
        <w:t>Use the lead content of the material used to produce wetted components</w:t>
      </w:r>
      <w:bookmarkStart w:id="477" w:name="_Hlk130913302"/>
      <w:r w:rsidRPr="0036023B">
        <w:rPr>
          <w:rFonts w:eastAsia="Calibri"/>
          <w:szCs w:val="24"/>
        </w:rPr>
        <w:t xml:space="preserve"> to determine</w:t>
      </w:r>
      <w:bookmarkEnd w:id="477"/>
      <w:r w:rsidRPr="0036023B">
        <w:rPr>
          <w:rFonts w:eastAsia="Calibri"/>
          <w:szCs w:val="24"/>
        </w:rPr>
        <w:t xml:space="preserve"> compliance with subsection (c)(1)(B).</w:t>
      </w:r>
    </w:p>
    <w:p w14:paraId="72236C71" w14:textId="77777777" w:rsidR="0036023B" w:rsidRPr="0036023B" w:rsidRDefault="0036023B" w:rsidP="0036023B">
      <w:pPr>
        <w:ind w:left="2880" w:hanging="720"/>
        <w:rPr>
          <w:rFonts w:eastAsia="Calibri"/>
          <w:szCs w:val="24"/>
        </w:rPr>
      </w:pPr>
    </w:p>
    <w:p w14:paraId="540410BA" w14:textId="77777777" w:rsidR="0036023B" w:rsidRPr="0036023B" w:rsidRDefault="0036023B" w:rsidP="0036023B">
      <w:pPr>
        <w:ind w:left="2880" w:hanging="720"/>
        <w:rPr>
          <w:rFonts w:eastAsia="Calibri"/>
          <w:szCs w:val="24"/>
        </w:rPr>
      </w:pPr>
      <w:r w:rsidRPr="0036023B">
        <w:rPr>
          <w:rFonts w:eastAsia="Calibri"/>
          <w:szCs w:val="24"/>
        </w:rPr>
        <w:t>D)</w:t>
      </w:r>
      <w:r w:rsidRPr="0036023B">
        <w:rPr>
          <w:rFonts w:eastAsia="Calibri"/>
          <w:szCs w:val="24"/>
        </w:rPr>
        <w:tab/>
        <w:t xml:space="preserve">For lead content of materials given as a range, </w:t>
      </w:r>
      <w:bookmarkStart w:id="478" w:name="_Hlk130913560"/>
      <w:r w:rsidRPr="0036023B">
        <w:rPr>
          <w:rFonts w:eastAsia="Calibri"/>
          <w:szCs w:val="24"/>
        </w:rPr>
        <w:t>use the maximum content of the range</w:t>
      </w:r>
      <w:bookmarkEnd w:id="478"/>
      <w:r w:rsidRPr="0036023B">
        <w:rPr>
          <w:rFonts w:eastAsia="Calibri"/>
          <w:szCs w:val="24"/>
        </w:rPr>
        <w:t>.</w:t>
      </w:r>
    </w:p>
    <w:p w14:paraId="3B029C24" w14:textId="77777777" w:rsidR="0036023B" w:rsidRPr="0036023B" w:rsidRDefault="0036023B" w:rsidP="0036023B">
      <w:pPr>
        <w:ind w:left="2160" w:hanging="720"/>
        <w:rPr>
          <w:rFonts w:eastAsia="Calibri"/>
          <w:szCs w:val="24"/>
        </w:rPr>
      </w:pPr>
    </w:p>
    <w:p w14:paraId="6E2CF27B" w14:textId="77777777" w:rsidR="0036023B" w:rsidRPr="0036023B" w:rsidRDefault="0036023B" w:rsidP="0036023B">
      <w:pPr>
        <w:ind w:left="2160" w:hanging="720"/>
        <w:rPr>
          <w:rFonts w:eastAsia="Calibri"/>
          <w:szCs w:val="24"/>
        </w:rPr>
      </w:pPr>
      <w:r w:rsidRPr="0036023B">
        <w:rPr>
          <w:rFonts w:eastAsia="Calibri"/>
          <w:szCs w:val="24"/>
        </w:rPr>
        <w:t>3)</w:t>
      </w:r>
      <w:r w:rsidRPr="0036023B">
        <w:rPr>
          <w:rFonts w:eastAsia="Calibri"/>
          <w:szCs w:val="24"/>
        </w:rPr>
        <w:tab/>
        <w:t>If a coating is applied to the internal surfaces of a pipe, fitting, or fixture component, use the maximum lead content of both the coating and the alloy to calculate the lead content of the component.</w:t>
      </w:r>
    </w:p>
    <w:p w14:paraId="4D5F5DFB" w14:textId="77777777" w:rsidR="0036023B" w:rsidRPr="0036023B" w:rsidRDefault="0036023B" w:rsidP="0036023B">
      <w:pPr>
        <w:ind w:left="2160" w:hanging="720"/>
        <w:rPr>
          <w:rFonts w:eastAsia="Calibri"/>
          <w:szCs w:val="24"/>
        </w:rPr>
      </w:pPr>
    </w:p>
    <w:p w14:paraId="5EA5456A" w14:textId="77777777" w:rsidR="0036023B" w:rsidRPr="0036023B" w:rsidRDefault="0036023B" w:rsidP="0036023B">
      <w:pPr>
        <w:ind w:left="2160" w:hanging="720"/>
        <w:rPr>
          <w:rFonts w:eastAsia="Calibri"/>
          <w:szCs w:val="24"/>
        </w:rPr>
      </w:pPr>
      <w:r w:rsidRPr="0036023B">
        <w:rPr>
          <w:rFonts w:eastAsia="Calibri"/>
          <w:szCs w:val="24"/>
        </w:rPr>
        <w:t>4)</w:t>
      </w:r>
      <w:r w:rsidRPr="0036023B">
        <w:rPr>
          <w:rFonts w:eastAsia="Calibri"/>
          <w:szCs w:val="24"/>
        </w:rPr>
        <w:tab/>
        <w:t xml:space="preserve">If a liner is manufactured into a pipe, fitting or fixture, </w:t>
      </w:r>
      <w:bookmarkStart w:id="479" w:name="_Hlk130913890"/>
      <w:r w:rsidRPr="0036023B">
        <w:rPr>
          <w:rFonts w:eastAsia="Calibri"/>
          <w:szCs w:val="24"/>
        </w:rPr>
        <w:t>use the maximum lead content of the liner to calculate</w:t>
      </w:r>
      <w:bookmarkEnd w:id="479"/>
      <w:r w:rsidRPr="0036023B">
        <w:rPr>
          <w:rFonts w:eastAsia="Calibri"/>
          <w:szCs w:val="24"/>
        </w:rPr>
        <w:t xml:space="preserve"> the lead content of the component.</w:t>
      </w:r>
    </w:p>
    <w:p w14:paraId="0564EE8B" w14:textId="77777777" w:rsidR="0036023B" w:rsidRPr="0036023B" w:rsidRDefault="0036023B" w:rsidP="0036023B">
      <w:pPr>
        <w:ind w:left="2160" w:hanging="720"/>
        <w:rPr>
          <w:rFonts w:eastAsia="Calibri"/>
          <w:szCs w:val="24"/>
        </w:rPr>
      </w:pPr>
    </w:p>
    <w:p w14:paraId="0C2007B7" w14:textId="77777777" w:rsidR="0036023B" w:rsidRPr="0036023B" w:rsidRDefault="0036023B" w:rsidP="0036023B">
      <w:pPr>
        <w:ind w:left="2160" w:hanging="720"/>
        <w:rPr>
          <w:rFonts w:eastAsia="Calibri"/>
          <w:szCs w:val="24"/>
        </w:rPr>
      </w:pPr>
      <w:r w:rsidRPr="0036023B">
        <w:rPr>
          <w:rFonts w:eastAsia="Calibri"/>
          <w:szCs w:val="24"/>
        </w:rPr>
        <w:t>5)</w:t>
      </w:r>
      <w:r w:rsidRPr="0036023B">
        <w:rPr>
          <w:rFonts w:eastAsia="Calibri"/>
          <w:szCs w:val="24"/>
        </w:rPr>
        <w:tab/>
        <w:t xml:space="preserve">If a fixture contains any media </w:t>
      </w:r>
      <w:bookmarkStart w:id="480" w:name="_Hlk130915606"/>
      <w:r w:rsidRPr="0036023B">
        <w:rPr>
          <w:rFonts w:eastAsia="Calibri"/>
          <w:szCs w:val="24"/>
        </w:rPr>
        <w:t>(e.g.</w:t>
      </w:r>
      <w:r w:rsidRPr="0036023B">
        <w:rPr>
          <w:rFonts w:eastAsia="Calibri"/>
          <w:i/>
          <w:iCs/>
          <w:szCs w:val="24"/>
        </w:rPr>
        <w:t xml:space="preserve">, </w:t>
      </w:r>
      <w:r w:rsidRPr="0036023B">
        <w:rPr>
          <w:rFonts w:eastAsia="Calibri"/>
          <w:szCs w:val="24"/>
        </w:rPr>
        <w:t>activated carbon, ion exchange resin)</w:t>
      </w:r>
      <w:bookmarkEnd w:id="480"/>
      <w:r w:rsidRPr="0036023B">
        <w:rPr>
          <w:rFonts w:eastAsia="Calibri"/>
          <w:szCs w:val="24"/>
        </w:rPr>
        <w:t xml:space="preserve"> contained in filters, do not use the media in determining the “total wetted surface area of the entire product” in subsection (c)(2).</w:t>
      </w:r>
    </w:p>
    <w:p w14:paraId="43D4BA51" w14:textId="77777777" w:rsidR="0036023B" w:rsidRPr="0036023B" w:rsidRDefault="0036023B" w:rsidP="0036023B">
      <w:pPr>
        <w:ind w:left="2160" w:hanging="720"/>
        <w:rPr>
          <w:rFonts w:eastAsia="Calibri"/>
          <w:szCs w:val="24"/>
        </w:rPr>
      </w:pPr>
    </w:p>
    <w:p w14:paraId="52FC902A" w14:textId="77777777" w:rsidR="0036023B" w:rsidRPr="0036023B" w:rsidRDefault="0036023B" w:rsidP="0036023B">
      <w:pPr>
        <w:ind w:left="2160" w:hanging="720"/>
        <w:rPr>
          <w:rFonts w:eastAsia="Calibri"/>
          <w:szCs w:val="24"/>
        </w:rPr>
      </w:pPr>
      <w:r w:rsidRPr="0036023B">
        <w:rPr>
          <w:rFonts w:eastAsia="Calibri"/>
          <w:szCs w:val="24"/>
        </w:rPr>
        <w:t>6)</w:t>
      </w:r>
      <w:r w:rsidRPr="0036023B">
        <w:rPr>
          <w:rFonts w:eastAsia="Calibri"/>
          <w:szCs w:val="24"/>
        </w:rPr>
        <w:tab/>
        <w:t>In addition to the definitions of “lead</w:t>
      </w:r>
      <w:r w:rsidRPr="0036023B">
        <w:rPr>
          <w:rFonts w:eastAsia="Calibri"/>
          <w:b/>
          <w:bCs/>
          <w:szCs w:val="24"/>
        </w:rPr>
        <w:t>-</w:t>
      </w:r>
      <w:r w:rsidRPr="0036023B">
        <w:rPr>
          <w:rFonts w:eastAsia="Calibri"/>
          <w:szCs w:val="24"/>
        </w:rPr>
        <w:t>free” in subsections (c)(1) through (c)(5), no drinking water cooler containing any solder, flux, or storage tank interior surface that may come into contact with drinking water is lead</w:t>
      </w:r>
      <w:r w:rsidRPr="0036023B">
        <w:rPr>
          <w:rFonts w:eastAsia="Calibri"/>
          <w:b/>
          <w:bCs/>
          <w:szCs w:val="24"/>
        </w:rPr>
        <w:t>-</w:t>
      </w:r>
      <w:r w:rsidRPr="0036023B">
        <w:rPr>
          <w:rFonts w:eastAsia="Calibri"/>
          <w:szCs w:val="24"/>
        </w:rPr>
        <w:t>free if the solder, flux, or storage tank interior surface contains more than 0.2 percent lead.  The manufacturer must make its drinking water coolers so that each individual part or component that may come in contact with drinking water does not contain more than eight percent lead while still meeting the maximum 0.25 percent weighted average lead content of the wetted surfaces of the entire product.</w:t>
      </w:r>
    </w:p>
    <w:p w14:paraId="3E3373D3" w14:textId="77777777" w:rsidR="0036023B" w:rsidRPr="0036023B" w:rsidRDefault="0036023B" w:rsidP="0036023B">
      <w:pPr>
        <w:ind w:left="1440"/>
        <w:rPr>
          <w:rFonts w:eastAsia="Calibri"/>
          <w:szCs w:val="24"/>
        </w:rPr>
      </w:pPr>
    </w:p>
    <w:p w14:paraId="56EF33F4" w14:textId="77777777" w:rsidR="0036023B" w:rsidRPr="0036023B" w:rsidRDefault="0036023B" w:rsidP="0036023B">
      <w:pPr>
        <w:ind w:left="1440"/>
        <w:rPr>
          <w:rFonts w:eastAsia="Calibri"/>
          <w:szCs w:val="24"/>
        </w:rPr>
      </w:pPr>
      <w:r w:rsidRPr="0036023B">
        <w:rPr>
          <w:rFonts w:eastAsia="Calibri"/>
          <w:szCs w:val="24"/>
        </w:rPr>
        <w:t>BOARD NOTE:  Subsection (c) derives from 40 CFR 143.12.</w:t>
      </w:r>
    </w:p>
    <w:p w14:paraId="31A8EA5D" w14:textId="77777777" w:rsidR="0036023B" w:rsidRPr="0036023B" w:rsidRDefault="0036023B" w:rsidP="0036023B">
      <w:pPr>
        <w:ind w:left="1440" w:hanging="720"/>
        <w:rPr>
          <w:rFonts w:eastAsia="Calibri"/>
          <w:szCs w:val="24"/>
        </w:rPr>
      </w:pPr>
    </w:p>
    <w:p w14:paraId="3833B9A4" w14:textId="77777777" w:rsidR="0036023B" w:rsidRPr="0036023B" w:rsidRDefault="0036023B" w:rsidP="0036023B">
      <w:pPr>
        <w:ind w:left="1440" w:hanging="720"/>
        <w:rPr>
          <w:rFonts w:eastAsia="Calibri"/>
          <w:szCs w:val="24"/>
        </w:rPr>
      </w:pPr>
      <w:r w:rsidRPr="0036023B">
        <w:rPr>
          <w:rFonts w:eastAsia="Calibri"/>
          <w:szCs w:val="24"/>
        </w:rPr>
        <w:lastRenderedPageBreak/>
        <w:t>d)</w:t>
      </w:r>
      <w:r w:rsidRPr="0036023B">
        <w:rPr>
          <w:rFonts w:eastAsia="Calibri"/>
          <w:szCs w:val="24"/>
        </w:rPr>
        <w:tab/>
        <w:t>Use Prohibitions</w:t>
      </w:r>
    </w:p>
    <w:p w14:paraId="3365A9D6" w14:textId="77777777" w:rsidR="0036023B" w:rsidRPr="0036023B" w:rsidRDefault="0036023B" w:rsidP="0036023B">
      <w:pPr>
        <w:ind w:left="2160" w:hanging="720"/>
        <w:rPr>
          <w:rFonts w:eastAsia="Calibri"/>
          <w:szCs w:val="24"/>
        </w:rPr>
      </w:pPr>
    </w:p>
    <w:p w14:paraId="5E3147BD" w14:textId="77777777" w:rsidR="0036023B" w:rsidRPr="0036023B" w:rsidRDefault="0036023B" w:rsidP="0036023B">
      <w:pPr>
        <w:ind w:left="2160" w:hanging="720"/>
        <w:rPr>
          <w:rFonts w:eastAsia="Calibri"/>
          <w:szCs w:val="24"/>
        </w:rPr>
      </w:pPr>
      <w:r w:rsidRPr="0036023B">
        <w:rPr>
          <w:rFonts w:eastAsia="Calibri"/>
          <w:szCs w:val="24"/>
        </w:rPr>
        <w:t>1)</w:t>
      </w:r>
      <w:r w:rsidRPr="0036023B">
        <w:rPr>
          <w:rFonts w:eastAsia="Calibri"/>
          <w:szCs w:val="24"/>
        </w:rPr>
        <w:tab/>
        <w:t xml:space="preserve">No person may use </w:t>
      </w:r>
      <w:bookmarkStart w:id="481" w:name="_Hlk130917651"/>
      <w:r w:rsidRPr="0036023B">
        <w:rPr>
          <w:rFonts w:eastAsia="Calibri"/>
          <w:szCs w:val="24"/>
        </w:rPr>
        <w:t>any pipe, pipe or plumbing fitting or fixture, solder, or flux</w:t>
      </w:r>
      <w:bookmarkEnd w:id="481"/>
      <w:r w:rsidRPr="0036023B">
        <w:rPr>
          <w:rFonts w:eastAsia="Calibri"/>
          <w:szCs w:val="24"/>
        </w:rPr>
        <w:t xml:space="preserve"> that is </w:t>
      </w:r>
      <w:bookmarkStart w:id="482" w:name="_Hlk130917913"/>
      <w:r w:rsidRPr="0036023B">
        <w:rPr>
          <w:rFonts w:eastAsia="Calibri"/>
          <w:szCs w:val="24"/>
        </w:rPr>
        <w:t>not lead</w:t>
      </w:r>
      <w:r w:rsidRPr="0036023B">
        <w:rPr>
          <w:rFonts w:eastAsia="Calibri"/>
          <w:b/>
          <w:bCs/>
          <w:szCs w:val="24"/>
        </w:rPr>
        <w:t>-</w:t>
      </w:r>
      <w:r w:rsidRPr="0036023B">
        <w:rPr>
          <w:rFonts w:eastAsia="Calibri"/>
          <w:szCs w:val="24"/>
        </w:rPr>
        <w:t>free in the installation</w:t>
      </w:r>
      <w:bookmarkEnd w:id="482"/>
      <w:r w:rsidRPr="0036023B">
        <w:rPr>
          <w:rFonts w:eastAsia="Calibri"/>
          <w:szCs w:val="24"/>
        </w:rPr>
        <w:t xml:space="preserve"> or repair of specific facilities:</w:t>
      </w:r>
    </w:p>
    <w:p w14:paraId="239A0510" w14:textId="77777777" w:rsidR="0036023B" w:rsidRPr="0036023B" w:rsidRDefault="0036023B" w:rsidP="0036023B">
      <w:pPr>
        <w:ind w:left="2880" w:hanging="720"/>
        <w:rPr>
          <w:rFonts w:eastAsia="Calibri"/>
          <w:szCs w:val="24"/>
        </w:rPr>
      </w:pPr>
    </w:p>
    <w:p w14:paraId="66C103C3"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Any PWS; or</w:t>
      </w:r>
    </w:p>
    <w:p w14:paraId="15BA3E96" w14:textId="77777777" w:rsidR="0036023B" w:rsidRPr="0036023B" w:rsidRDefault="0036023B" w:rsidP="0036023B">
      <w:pPr>
        <w:ind w:left="2880" w:hanging="720"/>
        <w:rPr>
          <w:rFonts w:eastAsia="Calibri"/>
          <w:szCs w:val="24"/>
        </w:rPr>
      </w:pPr>
    </w:p>
    <w:p w14:paraId="24FFC5CE" w14:textId="77777777" w:rsidR="0036023B" w:rsidRPr="0036023B" w:rsidRDefault="0036023B" w:rsidP="0036023B">
      <w:pPr>
        <w:ind w:left="2880" w:hanging="720"/>
        <w:rPr>
          <w:rFonts w:eastAsia="Calibri"/>
          <w:szCs w:val="24"/>
        </w:rPr>
      </w:pPr>
      <w:r w:rsidRPr="0036023B">
        <w:rPr>
          <w:rFonts w:eastAsia="Calibri"/>
          <w:szCs w:val="24"/>
        </w:rPr>
        <w:t>B)</w:t>
      </w:r>
      <w:r w:rsidRPr="0036023B">
        <w:rPr>
          <w:rFonts w:eastAsia="Calibri"/>
          <w:szCs w:val="24"/>
        </w:rPr>
        <w:tab/>
        <w:t>Any plumbing in a residential or nonresidential facility providing water for human consumption.</w:t>
      </w:r>
    </w:p>
    <w:p w14:paraId="035423FD" w14:textId="77777777" w:rsidR="0036023B" w:rsidRPr="0036023B" w:rsidRDefault="0036023B" w:rsidP="0036023B">
      <w:pPr>
        <w:ind w:left="2160" w:hanging="720"/>
        <w:rPr>
          <w:rFonts w:eastAsia="Calibri"/>
          <w:szCs w:val="24"/>
        </w:rPr>
      </w:pPr>
    </w:p>
    <w:p w14:paraId="4DF56492" w14:textId="77777777" w:rsidR="0036023B" w:rsidRPr="0036023B" w:rsidRDefault="0036023B" w:rsidP="0036023B">
      <w:pPr>
        <w:ind w:left="2160" w:hanging="720"/>
        <w:rPr>
          <w:rFonts w:eastAsia="Calibri"/>
          <w:szCs w:val="24"/>
        </w:rPr>
      </w:pPr>
      <w:r w:rsidRPr="0036023B">
        <w:rPr>
          <w:rFonts w:eastAsia="Calibri"/>
          <w:szCs w:val="24"/>
        </w:rPr>
        <w:t>2)</w:t>
      </w:r>
      <w:r w:rsidRPr="0036023B">
        <w:rPr>
          <w:rFonts w:eastAsia="Calibri"/>
          <w:szCs w:val="24"/>
        </w:rPr>
        <w:tab/>
        <w:t>Subsection (d)(1) does not apply to leaded joints necessary for the repair of cast iron pipes.</w:t>
      </w:r>
    </w:p>
    <w:p w14:paraId="5A200FB4" w14:textId="77777777" w:rsidR="0036023B" w:rsidRPr="0036023B" w:rsidRDefault="0036023B" w:rsidP="0036023B">
      <w:pPr>
        <w:ind w:left="1440"/>
        <w:rPr>
          <w:rFonts w:eastAsia="Calibri"/>
          <w:szCs w:val="24"/>
        </w:rPr>
      </w:pPr>
    </w:p>
    <w:p w14:paraId="1B0754FE" w14:textId="77777777" w:rsidR="0036023B" w:rsidRPr="0036023B" w:rsidRDefault="0036023B" w:rsidP="0036023B">
      <w:pPr>
        <w:ind w:left="1440"/>
        <w:rPr>
          <w:rFonts w:eastAsia="Calibri"/>
          <w:szCs w:val="24"/>
        </w:rPr>
      </w:pPr>
      <w:r w:rsidRPr="0036023B">
        <w:rPr>
          <w:rFonts w:eastAsia="Calibri"/>
          <w:szCs w:val="24"/>
        </w:rPr>
        <w:t>BOARD NOTE:  Subsection (d) derives from 40 CFR 143.13.</w:t>
      </w:r>
    </w:p>
    <w:p w14:paraId="03545DA2" w14:textId="77777777" w:rsidR="0036023B" w:rsidRPr="0036023B" w:rsidRDefault="0036023B" w:rsidP="0036023B">
      <w:pPr>
        <w:ind w:left="1440" w:hanging="720"/>
        <w:rPr>
          <w:rFonts w:eastAsia="Calibri"/>
          <w:szCs w:val="24"/>
        </w:rPr>
      </w:pPr>
    </w:p>
    <w:p w14:paraId="5698BCA8" w14:textId="77777777" w:rsidR="0036023B" w:rsidRPr="0036023B" w:rsidRDefault="0036023B" w:rsidP="0036023B">
      <w:pPr>
        <w:ind w:left="1440" w:hanging="720"/>
        <w:rPr>
          <w:rFonts w:eastAsia="Calibri"/>
          <w:szCs w:val="24"/>
        </w:rPr>
      </w:pPr>
      <w:r w:rsidRPr="0036023B">
        <w:rPr>
          <w:rFonts w:eastAsia="Calibri"/>
          <w:szCs w:val="24"/>
        </w:rPr>
        <w:t>e)</w:t>
      </w:r>
      <w:r w:rsidRPr="0036023B">
        <w:rPr>
          <w:rFonts w:eastAsia="Calibri"/>
          <w:szCs w:val="24"/>
        </w:rPr>
        <w:tab/>
        <w:t>This subsection (e) corresponds with 40 CFR 143.14, requiring authorized states to implement the requirements of section 1417(a)(1) of SDWA (42 U.S.C. 300g-6(a)(1)) and 40 CFR 143.13.  This statement maintains structural consistency with the corresponding USEPA rule.</w:t>
      </w:r>
    </w:p>
    <w:p w14:paraId="3C8A6AB3" w14:textId="77777777" w:rsidR="0036023B" w:rsidRPr="0036023B" w:rsidRDefault="0036023B" w:rsidP="0036023B">
      <w:pPr>
        <w:ind w:left="1440" w:hanging="720"/>
        <w:rPr>
          <w:rFonts w:eastAsia="Calibri"/>
          <w:szCs w:val="24"/>
        </w:rPr>
      </w:pPr>
    </w:p>
    <w:p w14:paraId="252C3490" w14:textId="77777777" w:rsidR="0036023B" w:rsidRPr="0036023B" w:rsidRDefault="0036023B" w:rsidP="0036023B">
      <w:pPr>
        <w:ind w:left="1440" w:hanging="720"/>
        <w:rPr>
          <w:rFonts w:eastAsia="Calibri"/>
          <w:szCs w:val="24"/>
        </w:rPr>
      </w:pPr>
      <w:r w:rsidRPr="0036023B">
        <w:rPr>
          <w:rFonts w:eastAsia="Calibri"/>
          <w:szCs w:val="24"/>
        </w:rPr>
        <w:t>f)</w:t>
      </w:r>
      <w:r w:rsidRPr="0036023B">
        <w:rPr>
          <w:rFonts w:eastAsia="Calibri"/>
          <w:szCs w:val="24"/>
        </w:rPr>
        <w:tab/>
      </w:r>
      <w:bookmarkStart w:id="483" w:name="_Hlk130919630"/>
      <w:r w:rsidRPr="0036023B">
        <w:rPr>
          <w:rFonts w:eastAsia="Calibri"/>
          <w:szCs w:val="24"/>
        </w:rPr>
        <w:t>Introduction into Commerce Prohibitions</w:t>
      </w:r>
      <w:bookmarkEnd w:id="483"/>
    </w:p>
    <w:p w14:paraId="2BE9427E" w14:textId="77777777" w:rsidR="0036023B" w:rsidRPr="0036023B" w:rsidRDefault="0036023B" w:rsidP="0036023B">
      <w:pPr>
        <w:ind w:left="2160" w:hanging="720"/>
        <w:rPr>
          <w:rFonts w:eastAsia="Calibri"/>
          <w:szCs w:val="24"/>
        </w:rPr>
      </w:pPr>
    </w:p>
    <w:p w14:paraId="2EA8AEDF" w14:textId="77777777" w:rsidR="0036023B" w:rsidRPr="0036023B" w:rsidRDefault="0036023B" w:rsidP="0036023B">
      <w:pPr>
        <w:ind w:left="2160" w:hanging="720"/>
        <w:rPr>
          <w:rFonts w:eastAsia="Calibri"/>
          <w:szCs w:val="24"/>
        </w:rPr>
      </w:pPr>
      <w:r w:rsidRPr="0036023B">
        <w:rPr>
          <w:rFonts w:eastAsia="Calibri"/>
          <w:szCs w:val="24"/>
        </w:rPr>
        <w:t>1)</w:t>
      </w:r>
      <w:r w:rsidRPr="0036023B">
        <w:rPr>
          <w:rFonts w:eastAsia="Calibri"/>
          <w:szCs w:val="24"/>
        </w:rPr>
        <w:tab/>
        <w:t xml:space="preserve">No person may introduce into commerce </w:t>
      </w:r>
      <w:bookmarkStart w:id="484" w:name="_Hlk130920108"/>
      <w:r w:rsidRPr="0036023B">
        <w:rPr>
          <w:rFonts w:eastAsia="Calibri"/>
          <w:szCs w:val="24"/>
        </w:rPr>
        <w:t>any pipe, pipe or plumbing fitting or fixture, solder, or flux</w:t>
      </w:r>
      <w:bookmarkEnd w:id="484"/>
      <w:r w:rsidRPr="0036023B">
        <w:rPr>
          <w:rFonts w:eastAsia="Calibri"/>
          <w:szCs w:val="24"/>
        </w:rPr>
        <w:t xml:space="preserve"> that is not lead</w:t>
      </w:r>
      <w:r w:rsidRPr="0036023B">
        <w:rPr>
          <w:rFonts w:eastAsia="Calibri"/>
          <w:b/>
          <w:bCs/>
          <w:szCs w:val="24"/>
        </w:rPr>
        <w:t>-</w:t>
      </w:r>
      <w:r w:rsidRPr="0036023B">
        <w:rPr>
          <w:rFonts w:eastAsia="Calibri"/>
          <w:szCs w:val="24"/>
        </w:rPr>
        <w:t xml:space="preserve">free, </w:t>
      </w:r>
      <w:bookmarkStart w:id="485" w:name="_Hlk130920454"/>
      <w:r w:rsidRPr="0036023B">
        <w:rPr>
          <w:rFonts w:eastAsia="Calibri"/>
          <w:szCs w:val="24"/>
        </w:rPr>
        <w:t xml:space="preserve">except for a pipe </w:t>
      </w:r>
      <w:bookmarkEnd w:id="485"/>
      <w:r w:rsidRPr="0036023B">
        <w:rPr>
          <w:rFonts w:eastAsia="Calibri"/>
          <w:szCs w:val="24"/>
        </w:rPr>
        <w:t>for use</w:t>
      </w:r>
      <w:bookmarkStart w:id="486" w:name="_Hlk130920202"/>
      <w:r w:rsidRPr="0036023B">
        <w:rPr>
          <w:rFonts w:eastAsia="Calibri"/>
          <w:szCs w:val="24"/>
        </w:rPr>
        <w:t xml:space="preserve"> in manufacturing</w:t>
      </w:r>
      <w:bookmarkEnd w:id="486"/>
      <w:r w:rsidRPr="0036023B">
        <w:rPr>
          <w:rFonts w:eastAsia="Calibri"/>
          <w:szCs w:val="24"/>
        </w:rPr>
        <w:t xml:space="preserve"> or industrial processing;</w:t>
      </w:r>
    </w:p>
    <w:p w14:paraId="18496559" w14:textId="77777777" w:rsidR="0036023B" w:rsidRPr="0036023B" w:rsidRDefault="0036023B" w:rsidP="0036023B">
      <w:pPr>
        <w:ind w:left="2160" w:hanging="720"/>
        <w:rPr>
          <w:rFonts w:eastAsia="Calibri"/>
          <w:szCs w:val="24"/>
        </w:rPr>
      </w:pPr>
    </w:p>
    <w:p w14:paraId="52C1D3FC" w14:textId="77777777" w:rsidR="0036023B" w:rsidRPr="0036023B" w:rsidRDefault="0036023B" w:rsidP="0036023B">
      <w:pPr>
        <w:ind w:left="2160" w:hanging="720"/>
        <w:rPr>
          <w:rFonts w:eastAsia="Calibri"/>
          <w:szCs w:val="24"/>
        </w:rPr>
      </w:pPr>
      <w:r w:rsidRPr="0036023B">
        <w:rPr>
          <w:rFonts w:eastAsia="Calibri"/>
          <w:szCs w:val="24"/>
        </w:rPr>
        <w:t>2)</w:t>
      </w:r>
      <w:r w:rsidRPr="0036023B">
        <w:rPr>
          <w:rFonts w:eastAsia="Calibri"/>
          <w:szCs w:val="24"/>
        </w:rPr>
        <w:tab/>
        <w:t>No person engaged in the business of selling plumbing supplies in the United States, except a manufacturer, may sell solder or flux that is not lead</w:t>
      </w:r>
      <w:r w:rsidRPr="0036023B">
        <w:rPr>
          <w:rFonts w:eastAsia="Calibri"/>
          <w:b/>
          <w:bCs/>
          <w:szCs w:val="24"/>
        </w:rPr>
        <w:t>-</w:t>
      </w:r>
      <w:r w:rsidRPr="0036023B">
        <w:rPr>
          <w:rFonts w:eastAsia="Calibri"/>
          <w:szCs w:val="24"/>
        </w:rPr>
        <w:t>free; and</w:t>
      </w:r>
    </w:p>
    <w:p w14:paraId="70EE3D6A" w14:textId="77777777" w:rsidR="0036023B" w:rsidRPr="0036023B" w:rsidRDefault="0036023B" w:rsidP="0036023B">
      <w:pPr>
        <w:ind w:left="2160" w:hanging="720"/>
        <w:rPr>
          <w:rFonts w:eastAsia="Calibri"/>
          <w:szCs w:val="24"/>
        </w:rPr>
      </w:pPr>
    </w:p>
    <w:p w14:paraId="7EB707A9" w14:textId="77777777" w:rsidR="0036023B" w:rsidRPr="0036023B" w:rsidRDefault="0036023B" w:rsidP="0036023B">
      <w:pPr>
        <w:ind w:left="2160" w:hanging="720"/>
        <w:rPr>
          <w:rFonts w:eastAsia="Calibri"/>
          <w:szCs w:val="24"/>
        </w:rPr>
      </w:pPr>
      <w:r w:rsidRPr="0036023B">
        <w:rPr>
          <w:rFonts w:eastAsia="Calibri"/>
          <w:szCs w:val="24"/>
        </w:rPr>
        <w:t>3)</w:t>
      </w:r>
      <w:r w:rsidRPr="0036023B">
        <w:rPr>
          <w:rFonts w:eastAsia="Calibri"/>
          <w:szCs w:val="24"/>
        </w:rPr>
        <w:tab/>
        <w:t>No person may introduce into commerce any solder or flux that is not lead</w:t>
      </w:r>
      <w:r w:rsidRPr="0036023B">
        <w:rPr>
          <w:rFonts w:eastAsia="Calibri"/>
          <w:b/>
          <w:bCs/>
          <w:szCs w:val="24"/>
        </w:rPr>
        <w:t>-</w:t>
      </w:r>
      <w:r w:rsidRPr="0036023B">
        <w:rPr>
          <w:rFonts w:eastAsia="Calibri"/>
          <w:szCs w:val="24"/>
        </w:rPr>
        <w:t>free, unless the solder or flux bears a prominent label stating that it is illegal to use the solder or flux in the installation or repair of any plumbing providing water for human consumption.</w:t>
      </w:r>
    </w:p>
    <w:p w14:paraId="4EADDDD9" w14:textId="77777777" w:rsidR="0036023B" w:rsidRPr="0036023B" w:rsidRDefault="0036023B" w:rsidP="0036023B">
      <w:pPr>
        <w:ind w:left="1440"/>
        <w:rPr>
          <w:rFonts w:eastAsia="Calibri"/>
          <w:szCs w:val="24"/>
        </w:rPr>
      </w:pPr>
    </w:p>
    <w:p w14:paraId="7F24A69E" w14:textId="77777777" w:rsidR="0036023B" w:rsidRPr="0036023B" w:rsidRDefault="0036023B" w:rsidP="0036023B">
      <w:pPr>
        <w:ind w:left="1440"/>
        <w:rPr>
          <w:rFonts w:eastAsia="Calibri"/>
          <w:szCs w:val="24"/>
        </w:rPr>
      </w:pPr>
      <w:r w:rsidRPr="0036023B">
        <w:rPr>
          <w:rFonts w:eastAsia="Calibri"/>
          <w:szCs w:val="24"/>
        </w:rPr>
        <w:t>BOARD NOTE:  Subsection (f) derives from 40 CFR 143.15.</w:t>
      </w:r>
    </w:p>
    <w:p w14:paraId="3C1904F8" w14:textId="77777777" w:rsidR="0036023B" w:rsidRPr="0036023B" w:rsidRDefault="0036023B" w:rsidP="0036023B">
      <w:pPr>
        <w:ind w:left="1440" w:hanging="720"/>
        <w:rPr>
          <w:rFonts w:eastAsia="Calibri"/>
          <w:szCs w:val="24"/>
        </w:rPr>
      </w:pPr>
    </w:p>
    <w:p w14:paraId="26E06474" w14:textId="77777777" w:rsidR="0036023B" w:rsidRPr="0036023B" w:rsidRDefault="0036023B" w:rsidP="0036023B">
      <w:pPr>
        <w:ind w:left="1440" w:hanging="720"/>
        <w:rPr>
          <w:rFonts w:eastAsia="Calibri"/>
          <w:szCs w:val="24"/>
        </w:rPr>
      </w:pPr>
      <w:r w:rsidRPr="0036023B">
        <w:rPr>
          <w:rFonts w:eastAsia="Calibri"/>
          <w:szCs w:val="24"/>
        </w:rPr>
        <w:t>g)</w:t>
      </w:r>
      <w:r w:rsidRPr="0036023B">
        <w:rPr>
          <w:rFonts w:eastAsia="Calibri"/>
          <w:szCs w:val="24"/>
        </w:rPr>
        <w:tab/>
        <w:t>Exemptions.  S</w:t>
      </w:r>
      <w:bookmarkStart w:id="487" w:name="_Hlk130923517"/>
      <w:r w:rsidRPr="0036023B">
        <w:rPr>
          <w:rFonts w:eastAsia="Calibri"/>
          <w:szCs w:val="24"/>
        </w:rPr>
        <w:t xml:space="preserve">ubsections (d), (f), and (j) </w:t>
      </w:r>
      <w:bookmarkStart w:id="488" w:name="_Hlk130923365"/>
      <w:r w:rsidRPr="0036023B">
        <w:rPr>
          <w:rFonts w:eastAsia="Calibri"/>
          <w:szCs w:val="24"/>
        </w:rPr>
        <w:t>do not apply</w:t>
      </w:r>
      <w:bookmarkEnd w:id="487"/>
      <w:bookmarkEnd w:id="488"/>
      <w:r w:rsidRPr="0036023B">
        <w:rPr>
          <w:rFonts w:eastAsia="Calibri"/>
          <w:szCs w:val="24"/>
        </w:rPr>
        <w:t xml:space="preserve"> to certain products:</w:t>
      </w:r>
    </w:p>
    <w:p w14:paraId="097A7F20" w14:textId="77777777" w:rsidR="0036023B" w:rsidRPr="0036023B" w:rsidRDefault="0036023B" w:rsidP="0036023B">
      <w:pPr>
        <w:ind w:left="2160" w:hanging="720"/>
        <w:rPr>
          <w:rFonts w:eastAsia="Calibri"/>
          <w:szCs w:val="24"/>
        </w:rPr>
      </w:pPr>
    </w:p>
    <w:p w14:paraId="3B6B9EF4" w14:textId="77777777" w:rsidR="0036023B" w:rsidRPr="0036023B" w:rsidRDefault="0036023B" w:rsidP="0036023B">
      <w:pPr>
        <w:ind w:left="2160" w:hanging="720"/>
        <w:rPr>
          <w:rFonts w:eastAsia="Calibri"/>
          <w:szCs w:val="24"/>
        </w:rPr>
      </w:pPr>
      <w:r w:rsidRPr="0036023B">
        <w:rPr>
          <w:rFonts w:eastAsia="Calibri"/>
          <w:szCs w:val="24"/>
        </w:rPr>
        <w:t>1)</w:t>
      </w:r>
      <w:r w:rsidRPr="0036023B">
        <w:rPr>
          <w:rFonts w:eastAsia="Calibri"/>
          <w:szCs w:val="24"/>
        </w:rPr>
        <w:tab/>
        <w:t xml:space="preserve">Pipes, pipe fittings, plumbing fittings, or fixtures, including backflow preventers, exclusively for use in non-potable services such as </w:t>
      </w:r>
      <w:bookmarkStart w:id="489" w:name="_Hlk130924172"/>
      <w:r w:rsidRPr="0036023B">
        <w:rPr>
          <w:rFonts w:eastAsia="Calibri"/>
          <w:szCs w:val="24"/>
        </w:rPr>
        <w:t>manufacturing</w:t>
      </w:r>
      <w:bookmarkEnd w:id="489"/>
      <w:r w:rsidRPr="0036023B">
        <w:rPr>
          <w:rFonts w:eastAsia="Calibri"/>
          <w:szCs w:val="24"/>
        </w:rPr>
        <w:t>, industrial processing, irrigation, outdoor watering, or any other uses in which no person would reasonably anticipate that someone would use the water for human consumption.  Additional products that could be “used exclusively for non-potable services” include:</w:t>
      </w:r>
    </w:p>
    <w:p w14:paraId="2ABDD68D" w14:textId="77777777" w:rsidR="0036023B" w:rsidRPr="0036023B" w:rsidRDefault="0036023B" w:rsidP="0036023B">
      <w:pPr>
        <w:ind w:left="2880" w:hanging="720"/>
        <w:rPr>
          <w:rFonts w:eastAsia="Calibri"/>
          <w:szCs w:val="24"/>
        </w:rPr>
      </w:pPr>
    </w:p>
    <w:p w14:paraId="4FDCA5E1"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Products clearly labeled, on the product, package, or tag with a phrase like, “Not for use with water for human consumption”, or another phrase conveying the same meaning in plain language;</w:t>
      </w:r>
    </w:p>
    <w:p w14:paraId="5ED48D97" w14:textId="77777777" w:rsidR="0036023B" w:rsidRPr="0036023B" w:rsidRDefault="0036023B" w:rsidP="0036023B">
      <w:pPr>
        <w:ind w:left="2880" w:hanging="720"/>
        <w:rPr>
          <w:rFonts w:eastAsia="Calibri"/>
          <w:szCs w:val="24"/>
        </w:rPr>
      </w:pPr>
    </w:p>
    <w:p w14:paraId="1B48C66E" w14:textId="77777777" w:rsidR="0036023B" w:rsidRPr="0036023B" w:rsidRDefault="0036023B" w:rsidP="0036023B">
      <w:pPr>
        <w:ind w:left="2880" w:hanging="720"/>
        <w:rPr>
          <w:rFonts w:eastAsia="Calibri"/>
          <w:szCs w:val="24"/>
        </w:rPr>
      </w:pPr>
      <w:r w:rsidRPr="0036023B">
        <w:rPr>
          <w:rFonts w:eastAsia="Calibri"/>
          <w:szCs w:val="24"/>
        </w:rPr>
        <w:t>B)</w:t>
      </w:r>
      <w:r w:rsidRPr="0036023B">
        <w:rPr>
          <w:rFonts w:eastAsia="Calibri"/>
          <w:szCs w:val="24"/>
        </w:rPr>
        <w:tab/>
        <w:t>Products incapable of use in potable services (e.g.</w:t>
      </w:r>
      <w:r w:rsidRPr="0036023B">
        <w:rPr>
          <w:rFonts w:eastAsia="Calibri"/>
          <w:i/>
          <w:iCs/>
          <w:szCs w:val="24"/>
        </w:rPr>
        <w:t xml:space="preserve">, </w:t>
      </w:r>
      <w:r w:rsidRPr="0036023B">
        <w:rPr>
          <w:rFonts w:eastAsia="Calibri"/>
          <w:szCs w:val="24"/>
        </w:rPr>
        <w:t>physically incompatible) with other products needed to convey water for potable uses; and</w:t>
      </w:r>
    </w:p>
    <w:p w14:paraId="51F12501" w14:textId="77777777" w:rsidR="0036023B" w:rsidRPr="0036023B" w:rsidRDefault="0036023B" w:rsidP="0036023B">
      <w:pPr>
        <w:ind w:left="2880" w:hanging="720"/>
        <w:rPr>
          <w:rFonts w:eastAsia="Calibri"/>
          <w:szCs w:val="24"/>
        </w:rPr>
      </w:pPr>
    </w:p>
    <w:p w14:paraId="2B25764D" w14:textId="77777777" w:rsidR="0036023B" w:rsidRPr="0036023B" w:rsidRDefault="0036023B" w:rsidP="0036023B">
      <w:pPr>
        <w:ind w:left="2880" w:hanging="720"/>
        <w:rPr>
          <w:rFonts w:eastAsia="Calibri"/>
          <w:szCs w:val="24"/>
        </w:rPr>
      </w:pPr>
      <w:r w:rsidRPr="0036023B">
        <w:rPr>
          <w:rFonts w:eastAsia="Calibri"/>
          <w:szCs w:val="24"/>
        </w:rPr>
        <w:t>C)</w:t>
      </w:r>
      <w:r w:rsidRPr="0036023B">
        <w:rPr>
          <w:rFonts w:eastAsia="Calibri"/>
          <w:szCs w:val="24"/>
        </w:rPr>
        <w:tab/>
        <w:t xml:space="preserve">Products plainly identifiable and </w:t>
      </w:r>
      <w:bookmarkStart w:id="490" w:name="_Hlk130926992"/>
      <w:r w:rsidRPr="0036023B">
        <w:rPr>
          <w:rFonts w:eastAsia="Calibri"/>
          <w:szCs w:val="24"/>
        </w:rPr>
        <w:t>marketed as solely for a use</w:t>
      </w:r>
      <w:bookmarkEnd w:id="490"/>
      <w:r w:rsidRPr="0036023B">
        <w:rPr>
          <w:rFonts w:eastAsia="Calibri"/>
          <w:szCs w:val="24"/>
        </w:rPr>
        <w:t xml:space="preserve"> other than conveying water. These other uses include conveying air, chemicals other than water, hydraulic fluids, refrigerants, gases, or other non-water fluids.</w:t>
      </w:r>
    </w:p>
    <w:p w14:paraId="573820C4" w14:textId="77777777" w:rsidR="0036023B" w:rsidRPr="0036023B" w:rsidRDefault="0036023B" w:rsidP="0036023B">
      <w:pPr>
        <w:ind w:left="2160" w:hanging="720"/>
        <w:rPr>
          <w:rFonts w:eastAsia="Calibri"/>
          <w:szCs w:val="24"/>
        </w:rPr>
      </w:pPr>
    </w:p>
    <w:p w14:paraId="1F4DF345" w14:textId="77777777" w:rsidR="0036023B" w:rsidRPr="0036023B" w:rsidRDefault="0036023B" w:rsidP="0036023B">
      <w:pPr>
        <w:ind w:left="2160" w:hanging="720"/>
        <w:rPr>
          <w:rFonts w:eastAsia="Calibri"/>
          <w:szCs w:val="24"/>
        </w:rPr>
      </w:pPr>
      <w:r w:rsidRPr="0036023B">
        <w:rPr>
          <w:rFonts w:eastAsia="Calibri"/>
          <w:szCs w:val="24"/>
        </w:rPr>
        <w:t>2)</w:t>
      </w:r>
      <w:r w:rsidRPr="0036023B">
        <w:rPr>
          <w:rFonts w:eastAsia="Calibri"/>
          <w:szCs w:val="24"/>
        </w:rPr>
        <w:tab/>
        <w:t>Toilets, bidets, urinals, fill valves, flushometer valves, tub fillers, shower valves, fire hydrants, service saddles, and water distribution main gate valves (provided the valves are at least two inches (5.1 cm) in diameter or larger).</w:t>
      </w:r>
    </w:p>
    <w:p w14:paraId="0C7A5F68" w14:textId="77777777" w:rsidR="0036023B" w:rsidRPr="0036023B" w:rsidRDefault="0036023B" w:rsidP="0036023B">
      <w:pPr>
        <w:ind w:left="2160" w:hanging="720"/>
        <w:rPr>
          <w:rFonts w:eastAsia="Calibri"/>
          <w:szCs w:val="24"/>
        </w:rPr>
      </w:pPr>
    </w:p>
    <w:p w14:paraId="4DAADB3E" w14:textId="77777777" w:rsidR="0036023B" w:rsidRPr="0036023B" w:rsidRDefault="0036023B" w:rsidP="0036023B">
      <w:pPr>
        <w:ind w:left="2160" w:hanging="720"/>
        <w:rPr>
          <w:rFonts w:eastAsia="Calibri"/>
          <w:szCs w:val="24"/>
        </w:rPr>
      </w:pPr>
      <w:r w:rsidRPr="0036023B">
        <w:rPr>
          <w:rFonts w:eastAsia="Calibri"/>
          <w:szCs w:val="24"/>
        </w:rPr>
        <w:t>3)</w:t>
      </w:r>
      <w:r w:rsidRPr="0036023B">
        <w:rPr>
          <w:rFonts w:eastAsia="Calibri"/>
          <w:szCs w:val="24"/>
        </w:rPr>
        <w:tab/>
        <w:t>Clothes washing machines, emergency drench showers, emergency face wash equipment, eyewash devices, fire suppression sprinklers, steam-capable clothes dryers, and sump pumps.</w:t>
      </w:r>
    </w:p>
    <w:p w14:paraId="2EA9B7C9" w14:textId="77777777" w:rsidR="0036023B" w:rsidRPr="0036023B" w:rsidRDefault="0036023B" w:rsidP="0036023B">
      <w:pPr>
        <w:ind w:left="1440"/>
        <w:rPr>
          <w:rFonts w:eastAsia="Calibri"/>
          <w:szCs w:val="24"/>
        </w:rPr>
      </w:pPr>
    </w:p>
    <w:p w14:paraId="3FFC60D4" w14:textId="77777777" w:rsidR="0036023B" w:rsidRPr="0036023B" w:rsidRDefault="0036023B" w:rsidP="0036023B">
      <w:pPr>
        <w:ind w:left="1440"/>
        <w:rPr>
          <w:rFonts w:eastAsia="Calibri"/>
          <w:szCs w:val="24"/>
        </w:rPr>
      </w:pPr>
      <w:r w:rsidRPr="0036023B">
        <w:rPr>
          <w:rFonts w:eastAsia="Calibri"/>
          <w:szCs w:val="24"/>
        </w:rPr>
        <w:t>BOARD NOTE:  Subsection (g) derives from 40 CFR 143.16.</w:t>
      </w:r>
    </w:p>
    <w:p w14:paraId="501B7171" w14:textId="77777777" w:rsidR="0036023B" w:rsidRPr="0036023B" w:rsidRDefault="0036023B" w:rsidP="0036023B">
      <w:pPr>
        <w:ind w:left="1440" w:hanging="720"/>
        <w:rPr>
          <w:rFonts w:eastAsia="Calibri"/>
          <w:szCs w:val="24"/>
        </w:rPr>
      </w:pPr>
    </w:p>
    <w:p w14:paraId="47DBE061" w14:textId="77777777" w:rsidR="0036023B" w:rsidRPr="0036023B" w:rsidRDefault="0036023B" w:rsidP="0036023B">
      <w:pPr>
        <w:ind w:left="1440" w:hanging="720"/>
        <w:rPr>
          <w:rFonts w:eastAsia="Calibri"/>
          <w:szCs w:val="24"/>
        </w:rPr>
      </w:pPr>
      <w:r w:rsidRPr="0036023B">
        <w:rPr>
          <w:rFonts w:eastAsia="Calibri"/>
          <w:szCs w:val="24"/>
        </w:rPr>
        <w:t>h)</w:t>
      </w:r>
      <w:r w:rsidRPr="0036023B">
        <w:rPr>
          <w:rFonts w:eastAsia="Calibri"/>
          <w:szCs w:val="24"/>
        </w:rPr>
        <w:tab/>
        <w:t>This subsection (h) corresponds with 40 CFR 143.17, which USEPA marked “Reserved”.  This statement maintains structural consistency with the corresponding USEPA rule.</w:t>
      </w:r>
    </w:p>
    <w:p w14:paraId="593BCB65" w14:textId="77777777" w:rsidR="0036023B" w:rsidRPr="0036023B" w:rsidRDefault="0036023B" w:rsidP="0036023B">
      <w:pPr>
        <w:ind w:left="1440" w:hanging="720"/>
        <w:rPr>
          <w:rFonts w:eastAsia="Calibri"/>
          <w:szCs w:val="24"/>
        </w:rPr>
      </w:pPr>
    </w:p>
    <w:p w14:paraId="65F6B995" w14:textId="77777777" w:rsidR="0036023B" w:rsidRPr="0036023B" w:rsidRDefault="0036023B" w:rsidP="0036023B">
      <w:pPr>
        <w:ind w:left="1440" w:hanging="720"/>
        <w:rPr>
          <w:rFonts w:eastAsia="Calibri"/>
          <w:szCs w:val="24"/>
        </w:rPr>
      </w:pPr>
      <w:r w:rsidRPr="0036023B">
        <w:rPr>
          <w:rFonts w:eastAsia="Calibri"/>
          <w:szCs w:val="24"/>
        </w:rPr>
        <w:t>i)</w:t>
      </w:r>
      <w:r w:rsidRPr="0036023B">
        <w:rPr>
          <w:rFonts w:eastAsia="Calibri"/>
          <w:szCs w:val="24"/>
        </w:rPr>
        <w:tab/>
      </w:r>
      <w:bookmarkStart w:id="491" w:name="_Hlk130928939"/>
      <w:r w:rsidRPr="0036023B">
        <w:rPr>
          <w:rFonts w:eastAsia="Calibri"/>
          <w:szCs w:val="24"/>
        </w:rPr>
        <w:t>Required Labeling of Solder and Flux That Is Not Lead</w:t>
      </w:r>
      <w:r w:rsidRPr="0036023B">
        <w:rPr>
          <w:rFonts w:eastAsia="Calibri"/>
          <w:b/>
          <w:bCs/>
          <w:szCs w:val="24"/>
        </w:rPr>
        <w:t>-</w:t>
      </w:r>
      <w:r w:rsidRPr="0036023B">
        <w:rPr>
          <w:rFonts w:eastAsia="Calibri"/>
          <w:szCs w:val="24"/>
        </w:rPr>
        <w:t>Free</w:t>
      </w:r>
      <w:bookmarkEnd w:id="491"/>
      <w:r w:rsidRPr="0036023B">
        <w:rPr>
          <w:rFonts w:eastAsia="Calibri"/>
          <w:szCs w:val="24"/>
        </w:rPr>
        <w:t>.  Solder and flux that is not “lead</w:t>
      </w:r>
      <w:r w:rsidRPr="0036023B">
        <w:rPr>
          <w:rFonts w:eastAsia="Calibri"/>
          <w:b/>
          <w:bCs/>
          <w:szCs w:val="24"/>
        </w:rPr>
        <w:t>-</w:t>
      </w:r>
      <w:r w:rsidRPr="0036023B">
        <w:rPr>
          <w:rFonts w:eastAsia="Calibri"/>
          <w:szCs w:val="24"/>
        </w:rPr>
        <w:t xml:space="preserve">free”, as defined in subsection (c)(1)(A), must bear a prominent label stating that </w:t>
      </w:r>
      <w:bookmarkStart w:id="492" w:name="_Hlk107998259"/>
      <w:r w:rsidRPr="0036023B">
        <w:rPr>
          <w:rFonts w:eastAsia="Calibri"/>
          <w:szCs w:val="24"/>
        </w:rPr>
        <w:t>it is illegal to use the solder or flux in the installation or repair of any plumbing providing water for human consumption</w:t>
      </w:r>
      <w:bookmarkEnd w:id="492"/>
      <w:r w:rsidRPr="0036023B">
        <w:rPr>
          <w:rFonts w:eastAsia="Calibri"/>
          <w:szCs w:val="24"/>
        </w:rPr>
        <w:t>.</w:t>
      </w:r>
    </w:p>
    <w:p w14:paraId="453A6571" w14:textId="77777777" w:rsidR="0036023B" w:rsidRPr="0036023B" w:rsidRDefault="0036023B" w:rsidP="0036023B">
      <w:pPr>
        <w:ind w:left="1440"/>
        <w:rPr>
          <w:rFonts w:eastAsia="Calibri"/>
          <w:szCs w:val="24"/>
        </w:rPr>
      </w:pPr>
      <w:r w:rsidRPr="0036023B">
        <w:rPr>
          <w:rFonts w:eastAsia="Calibri"/>
          <w:szCs w:val="24"/>
        </w:rPr>
        <w:t>BOARD NOTE:  Subsection (i) derives from 40 CFR 143.18.</w:t>
      </w:r>
    </w:p>
    <w:p w14:paraId="6C52717F" w14:textId="77777777" w:rsidR="0036023B" w:rsidRPr="0036023B" w:rsidRDefault="0036023B" w:rsidP="0036023B">
      <w:pPr>
        <w:ind w:left="1440" w:hanging="720"/>
        <w:rPr>
          <w:rFonts w:eastAsia="Calibri"/>
          <w:szCs w:val="24"/>
        </w:rPr>
      </w:pPr>
    </w:p>
    <w:p w14:paraId="31D8FFFC" w14:textId="77777777" w:rsidR="0036023B" w:rsidRPr="0036023B" w:rsidRDefault="0036023B" w:rsidP="0036023B">
      <w:pPr>
        <w:ind w:left="1440" w:hanging="720"/>
        <w:rPr>
          <w:rFonts w:eastAsia="Calibri"/>
          <w:szCs w:val="24"/>
        </w:rPr>
      </w:pPr>
      <w:r w:rsidRPr="0036023B">
        <w:rPr>
          <w:rFonts w:eastAsia="Calibri"/>
          <w:szCs w:val="24"/>
        </w:rPr>
        <w:t>j)</w:t>
      </w:r>
      <w:r w:rsidRPr="0036023B">
        <w:rPr>
          <w:rFonts w:eastAsia="Calibri"/>
          <w:szCs w:val="24"/>
        </w:rPr>
        <w:tab/>
      </w:r>
      <w:bookmarkStart w:id="493" w:name="_Hlk130929699"/>
      <w:r w:rsidRPr="0036023B">
        <w:rPr>
          <w:rFonts w:eastAsia="Calibri"/>
          <w:szCs w:val="24"/>
        </w:rPr>
        <w:t>Required Certification of Products</w:t>
      </w:r>
      <w:bookmarkEnd w:id="493"/>
    </w:p>
    <w:p w14:paraId="6CE14148" w14:textId="77777777" w:rsidR="0036023B" w:rsidRPr="0036023B" w:rsidRDefault="0036023B" w:rsidP="0036023B">
      <w:pPr>
        <w:ind w:left="2160" w:hanging="720"/>
        <w:rPr>
          <w:rFonts w:eastAsia="Calibri"/>
          <w:szCs w:val="24"/>
        </w:rPr>
      </w:pPr>
    </w:p>
    <w:p w14:paraId="18926616" w14:textId="77777777" w:rsidR="0036023B" w:rsidRPr="0036023B" w:rsidRDefault="0036023B" w:rsidP="0036023B">
      <w:pPr>
        <w:ind w:left="2160" w:hanging="720"/>
        <w:rPr>
          <w:rFonts w:eastAsia="Calibri"/>
          <w:szCs w:val="24"/>
        </w:rPr>
      </w:pPr>
      <w:r w:rsidRPr="0036023B">
        <w:rPr>
          <w:rFonts w:eastAsia="Calibri"/>
          <w:szCs w:val="24"/>
        </w:rPr>
        <w:t>1)</w:t>
      </w:r>
      <w:r w:rsidRPr="0036023B">
        <w:rPr>
          <w:rFonts w:eastAsia="Calibri"/>
          <w:szCs w:val="24"/>
        </w:rPr>
        <w:tab/>
        <w:t>A manufacturer or importer introducing into commerce products that must meet the lead</w:t>
      </w:r>
      <w:r w:rsidRPr="0036023B">
        <w:rPr>
          <w:rFonts w:eastAsia="Calibri"/>
          <w:b/>
          <w:bCs/>
          <w:szCs w:val="24"/>
        </w:rPr>
        <w:t>-</w:t>
      </w:r>
      <w:r w:rsidRPr="0036023B">
        <w:rPr>
          <w:rFonts w:eastAsia="Calibri"/>
          <w:szCs w:val="24"/>
        </w:rPr>
        <w:t xml:space="preserve">free requirements of section 1417 of the Safe Drinking Water Act and subsection (c) must ensure, except as provided in subsections (j)(1)(A) through (j)(1)(C), that the products are certified compliant, as specified in subsections (j)(2) and (j)(3), by September 1, 2023, or before introducing the product into commerce, whichever occurs later.  The </w:t>
      </w:r>
      <w:bookmarkStart w:id="494" w:name="_Hlk130930292"/>
      <w:r w:rsidRPr="0036023B">
        <w:rPr>
          <w:rFonts w:eastAsia="Calibri"/>
          <w:szCs w:val="24"/>
        </w:rPr>
        <w:t>manufacturer or importer</w:t>
      </w:r>
      <w:bookmarkEnd w:id="494"/>
      <w:r w:rsidRPr="0036023B">
        <w:rPr>
          <w:rFonts w:eastAsia="Calibri"/>
          <w:szCs w:val="24"/>
        </w:rPr>
        <w:t xml:space="preserve"> must maintain documentation </w:t>
      </w:r>
      <w:r w:rsidRPr="0036023B">
        <w:rPr>
          <w:rFonts w:eastAsia="Calibri"/>
          <w:szCs w:val="24"/>
        </w:rPr>
        <w:lastRenderedPageBreak/>
        <w:t>substantiating the certification for at least five years after the date</w:t>
      </w:r>
      <w:bookmarkStart w:id="495" w:name="_Hlk130930678"/>
      <w:r w:rsidRPr="0036023B">
        <w:rPr>
          <w:rFonts w:eastAsia="Calibri"/>
          <w:szCs w:val="24"/>
        </w:rPr>
        <w:t xml:space="preserve"> the manufacturer or importer last sold the product</w:t>
      </w:r>
      <w:bookmarkEnd w:id="495"/>
      <w:r w:rsidRPr="0036023B">
        <w:rPr>
          <w:rFonts w:eastAsia="Calibri"/>
          <w:szCs w:val="24"/>
        </w:rPr>
        <w:t>.</w:t>
      </w:r>
    </w:p>
    <w:p w14:paraId="43632871" w14:textId="77777777" w:rsidR="0036023B" w:rsidRPr="0036023B" w:rsidRDefault="0036023B" w:rsidP="0036023B">
      <w:pPr>
        <w:ind w:left="2880" w:hanging="720"/>
        <w:rPr>
          <w:rFonts w:eastAsia="Calibri"/>
          <w:szCs w:val="24"/>
        </w:rPr>
      </w:pPr>
    </w:p>
    <w:p w14:paraId="4E1357B5"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Product components of assembled pipes, fittings, or fixtures do not need to be individually certified if the entire product in its final assembled form is lead</w:t>
      </w:r>
      <w:r w:rsidRPr="0036023B">
        <w:rPr>
          <w:rFonts w:eastAsia="Calibri"/>
          <w:b/>
          <w:bCs/>
          <w:szCs w:val="24"/>
        </w:rPr>
        <w:t>-</w:t>
      </w:r>
      <w:r w:rsidRPr="0036023B">
        <w:rPr>
          <w:rFonts w:eastAsia="Calibri"/>
          <w:szCs w:val="24"/>
        </w:rPr>
        <w:t>free certified.</w:t>
      </w:r>
    </w:p>
    <w:p w14:paraId="5718A0BB" w14:textId="77777777" w:rsidR="0036023B" w:rsidRPr="0036023B" w:rsidRDefault="0036023B" w:rsidP="0036023B">
      <w:pPr>
        <w:ind w:left="2880" w:hanging="720"/>
        <w:rPr>
          <w:rFonts w:eastAsia="Calibri"/>
          <w:szCs w:val="24"/>
        </w:rPr>
      </w:pPr>
    </w:p>
    <w:p w14:paraId="66DB07F0" w14:textId="77777777" w:rsidR="0036023B" w:rsidRPr="0036023B" w:rsidRDefault="0036023B" w:rsidP="0036023B">
      <w:pPr>
        <w:ind w:left="2880" w:hanging="720"/>
        <w:rPr>
          <w:rFonts w:eastAsia="Calibri"/>
          <w:szCs w:val="24"/>
        </w:rPr>
      </w:pPr>
      <w:r w:rsidRPr="0036023B">
        <w:rPr>
          <w:rFonts w:eastAsia="Calibri"/>
          <w:szCs w:val="24"/>
        </w:rPr>
        <w:t>B)</w:t>
      </w:r>
      <w:r w:rsidRPr="0036023B">
        <w:rPr>
          <w:rFonts w:eastAsia="Calibri"/>
          <w:szCs w:val="24"/>
        </w:rPr>
        <w:tab/>
        <w:t>Direct replacement parts for previously installed lead</w:t>
      </w:r>
      <w:r w:rsidRPr="0036023B">
        <w:rPr>
          <w:rFonts w:eastAsia="Calibri"/>
          <w:b/>
          <w:bCs/>
          <w:szCs w:val="24"/>
        </w:rPr>
        <w:t>-</w:t>
      </w:r>
      <w:r w:rsidRPr="0036023B">
        <w:rPr>
          <w:rFonts w:eastAsia="Calibri"/>
          <w:szCs w:val="24"/>
        </w:rPr>
        <w:t>free certified products do not need to be individually certified if the weighted average lead content of wetted surface area for the part does not exceed the lead content of the original part.</w:t>
      </w:r>
    </w:p>
    <w:p w14:paraId="7BCC7280" w14:textId="77777777" w:rsidR="0036023B" w:rsidRPr="0036023B" w:rsidRDefault="0036023B" w:rsidP="0036023B">
      <w:pPr>
        <w:ind w:left="2880" w:hanging="720"/>
        <w:rPr>
          <w:rFonts w:eastAsia="Calibri"/>
          <w:szCs w:val="24"/>
        </w:rPr>
      </w:pPr>
    </w:p>
    <w:p w14:paraId="6D51A36A" w14:textId="77777777" w:rsidR="0036023B" w:rsidRPr="0036023B" w:rsidRDefault="0036023B" w:rsidP="0036023B">
      <w:pPr>
        <w:ind w:left="2880" w:hanging="720"/>
        <w:rPr>
          <w:rFonts w:eastAsia="Calibri"/>
          <w:szCs w:val="24"/>
        </w:rPr>
      </w:pPr>
      <w:r w:rsidRPr="0036023B">
        <w:rPr>
          <w:rFonts w:eastAsia="Calibri"/>
          <w:szCs w:val="24"/>
        </w:rPr>
        <w:t>C)</w:t>
      </w:r>
      <w:r w:rsidRPr="0036023B">
        <w:rPr>
          <w:rFonts w:eastAsia="Calibri"/>
          <w:szCs w:val="24"/>
        </w:rPr>
        <w:tab/>
        <w:t>Dishwashers do not need to be certified.</w:t>
      </w:r>
    </w:p>
    <w:p w14:paraId="6FF710B7" w14:textId="77777777" w:rsidR="0036023B" w:rsidRPr="0036023B" w:rsidRDefault="0036023B" w:rsidP="0036023B">
      <w:pPr>
        <w:ind w:left="2160" w:hanging="720"/>
        <w:rPr>
          <w:rFonts w:eastAsia="Calibri"/>
          <w:szCs w:val="24"/>
        </w:rPr>
      </w:pPr>
    </w:p>
    <w:p w14:paraId="74493C61" w14:textId="77777777" w:rsidR="0036023B" w:rsidRPr="0036023B" w:rsidRDefault="0036023B" w:rsidP="0036023B">
      <w:pPr>
        <w:ind w:left="2160" w:hanging="720"/>
        <w:rPr>
          <w:rFonts w:eastAsia="Calibri"/>
          <w:szCs w:val="24"/>
        </w:rPr>
      </w:pPr>
      <w:r w:rsidRPr="0036023B">
        <w:rPr>
          <w:rFonts w:eastAsia="Calibri"/>
          <w:szCs w:val="24"/>
        </w:rPr>
        <w:t>2)</w:t>
      </w:r>
      <w:r w:rsidRPr="0036023B">
        <w:rPr>
          <w:rFonts w:eastAsia="Calibri"/>
          <w:szCs w:val="24"/>
        </w:rPr>
        <w:tab/>
        <w:t>The manufacturer or importer must obtain certification of its products from an accredited third-party certification body, except as provided in subsection (j)(3).  The manufacturer or importer must keep records for all products an accredited third-party certification body certifies, minimally including documents substantiating certification, certification dates, and expiration dates.  The manufacturer or importer must provide these documents upon request to the Agency or USEPA, as specified in subsection (k)(2).</w:t>
      </w:r>
    </w:p>
    <w:p w14:paraId="389E57D7" w14:textId="77777777" w:rsidR="0036023B" w:rsidRPr="0036023B" w:rsidRDefault="0036023B" w:rsidP="0036023B">
      <w:pPr>
        <w:ind w:left="2160" w:hanging="720"/>
        <w:rPr>
          <w:rFonts w:eastAsia="Calibri"/>
          <w:szCs w:val="24"/>
        </w:rPr>
      </w:pPr>
    </w:p>
    <w:p w14:paraId="2D9C9DA9" w14:textId="77777777" w:rsidR="0036023B" w:rsidRPr="0036023B" w:rsidRDefault="0036023B" w:rsidP="0036023B">
      <w:pPr>
        <w:ind w:left="2160" w:hanging="720"/>
        <w:rPr>
          <w:rFonts w:eastAsia="Calibri"/>
          <w:szCs w:val="24"/>
        </w:rPr>
      </w:pPr>
      <w:r w:rsidRPr="0036023B">
        <w:rPr>
          <w:rFonts w:eastAsia="Calibri"/>
          <w:szCs w:val="24"/>
        </w:rPr>
        <w:t>3)</w:t>
      </w:r>
      <w:r w:rsidRPr="0036023B">
        <w:rPr>
          <w:rFonts w:eastAsia="Calibri"/>
          <w:szCs w:val="24"/>
        </w:rPr>
        <w:tab/>
        <w:t>A manufacturer or importer may self-certify its products under subsection (j)(3)(A) or (j)(3)(B).  A manufacturer or importer electing to self-certify its products must comply with subsections (j)(4) through (j)(7).</w:t>
      </w:r>
    </w:p>
    <w:p w14:paraId="6C592BF7" w14:textId="77777777" w:rsidR="0036023B" w:rsidRPr="0036023B" w:rsidRDefault="0036023B" w:rsidP="0036023B">
      <w:pPr>
        <w:ind w:left="2880" w:hanging="720"/>
        <w:rPr>
          <w:rFonts w:eastAsia="Calibri"/>
          <w:szCs w:val="24"/>
        </w:rPr>
      </w:pPr>
    </w:p>
    <w:p w14:paraId="33F89F30"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 xml:space="preserve">Manufacturers having fewer than ten employees, or importers entering products purchased from or manufactured by manufacturers having fewer than ten employees, may elect to self-certify products in lieu of obtaining certification from an accredited third-party certification body.  The number of employees includes any persons employed by </w:t>
      </w:r>
      <w:bookmarkStart w:id="496" w:name="_Hlk130932217"/>
      <w:r w:rsidRPr="0036023B">
        <w:rPr>
          <w:rFonts w:eastAsia="Calibri"/>
          <w:szCs w:val="24"/>
        </w:rPr>
        <w:t>the manufacturer and its affiliated entities</w:t>
      </w:r>
      <w:bookmarkEnd w:id="496"/>
      <w:r w:rsidRPr="0036023B">
        <w:rPr>
          <w:rFonts w:eastAsia="Calibri"/>
          <w:szCs w:val="24"/>
        </w:rPr>
        <w:t>.  T</w:t>
      </w:r>
      <w:bookmarkStart w:id="497" w:name="_Hlk130932359"/>
      <w:r w:rsidRPr="0036023B">
        <w:rPr>
          <w:rFonts w:eastAsia="Calibri"/>
          <w:szCs w:val="24"/>
        </w:rPr>
        <w:t>he number of employees</w:t>
      </w:r>
      <w:bookmarkEnd w:id="497"/>
      <w:r w:rsidRPr="0036023B">
        <w:rPr>
          <w:rFonts w:eastAsia="Calibri"/>
          <w:szCs w:val="24"/>
        </w:rPr>
        <w:t xml:space="preserve"> must be calculated by averaging </w:t>
      </w:r>
      <w:bookmarkStart w:id="498" w:name="_Hlk130932942"/>
      <w:r w:rsidRPr="0036023B">
        <w:rPr>
          <w:rFonts w:eastAsia="Calibri"/>
          <w:szCs w:val="24"/>
        </w:rPr>
        <w:t>the number of persons that the manufacturer and its affiliated entities employ, regardless of part-time, full-time, or temporary status</w:t>
      </w:r>
      <w:bookmarkEnd w:id="498"/>
      <w:r w:rsidRPr="0036023B">
        <w:rPr>
          <w:rFonts w:eastAsia="Calibri"/>
          <w:szCs w:val="24"/>
        </w:rPr>
        <w:t xml:space="preserve">, for each pay period </w:t>
      </w:r>
      <w:bookmarkStart w:id="499" w:name="_Hlk130933655"/>
      <w:r w:rsidRPr="0036023B">
        <w:rPr>
          <w:rFonts w:eastAsia="Calibri"/>
          <w:szCs w:val="24"/>
        </w:rPr>
        <w:t>over the manufacturer’s and affiliated entities’ latest 12 calendar months</w:t>
      </w:r>
      <w:bookmarkEnd w:id="499"/>
      <w:r w:rsidRPr="0036023B">
        <w:rPr>
          <w:rFonts w:eastAsia="Calibri"/>
          <w:szCs w:val="24"/>
        </w:rPr>
        <w:t xml:space="preserve"> or averaged over the number of months in existence if less than 12 months.  Any firm that subsequently expands employment to ten or more employees, based on the most recent 12-month average number of persons employed, is no longer eligible to self-certify products and must obtain third-party certification within 12 months after having ten or more employees.</w:t>
      </w:r>
    </w:p>
    <w:p w14:paraId="63FFC309" w14:textId="77777777" w:rsidR="0036023B" w:rsidRPr="0036023B" w:rsidRDefault="0036023B" w:rsidP="0036023B">
      <w:pPr>
        <w:ind w:left="2880" w:hanging="720"/>
        <w:rPr>
          <w:rFonts w:eastAsia="Calibri"/>
          <w:szCs w:val="24"/>
        </w:rPr>
      </w:pPr>
    </w:p>
    <w:p w14:paraId="65EA1EDD" w14:textId="77777777" w:rsidR="0036023B" w:rsidRPr="0036023B" w:rsidRDefault="0036023B" w:rsidP="0036023B">
      <w:pPr>
        <w:ind w:left="2880" w:hanging="720"/>
        <w:rPr>
          <w:rFonts w:eastAsia="Calibri"/>
          <w:szCs w:val="24"/>
        </w:rPr>
      </w:pPr>
      <w:r w:rsidRPr="0036023B">
        <w:rPr>
          <w:rFonts w:eastAsia="Calibri"/>
          <w:szCs w:val="24"/>
        </w:rPr>
        <w:lastRenderedPageBreak/>
        <w:t>B)</w:t>
      </w:r>
      <w:r w:rsidRPr="0036023B">
        <w:rPr>
          <w:rFonts w:eastAsia="Calibri"/>
          <w:szCs w:val="24"/>
        </w:rPr>
        <w:tab/>
        <w:t>A manufacturer or importer may elect to self-certify any custom-fabricated product in lieu of obtaining certification from an ANSI-accredited third-party certification body, regardless of the number of persons the manufacturer or importer employs.</w:t>
      </w:r>
    </w:p>
    <w:p w14:paraId="61AEE205" w14:textId="77777777" w:rsidR="0036023B" w:rsidRPr="0036023B" w:rsidRDefault="0036023B" w:rsidP="0036023B">
      <w:pPr>
        <w:ind w:left="2160" w:hanging="720"/>
        <w:rPr>
          <w:rFonts w:eastAsia="Calibri"/>
          <w:szCs w:val="24"/>
        </w:rPr>
      </w:pPr>
    </w:p>
    <w:p w14:paraId="0D21BC93" w14:textId="77777777" w:rsidR="0036023B" w:rsidRPr="0036023B" w:rsidRDefault="0036023B" w:rsidP="0036023B">
      <w:pPr>
        <w:ind w:left="2160" w:hanging="720"/>
        <w:rPr>
          <w:rFonts w:eastAsia="Calibri"/>
          <w:szCs w:val="24"/>
        </w:rPr>
      </w:pPr>
      <w:r w:rsidRPr="0036023B">
        <w:rPr>
          <w:rFonts w:eastAsia="Calibri"/>
          <w:szCs w:val="24"/>
        </w:rPr>
        <w:t>4)</w:t>
      </w:r>
      <w:r w:rsidRPr="0036023B">
        <w:rPr>
          <w:rFonts w:eastAsia="Calibri"/>
          <w:szCs w:val="24"/>
        </w:rPr>
        <w:tab/>
        <w:t>T</w:t>
      </w:r>
      <w:bookmarkStart w:id="500" w:name="_Hlk131015900"/>
      <w:r w:rsidRPr="0036023B">
        <w:rPr>
          <w:rFonts w:eastAsia="Calibri"/>
          <w:szCs w:val="24"/>
        </w:rPr>
        <w:t>o self-certify products, the eligible manufacturer or importer must attest</w:t>
      </w:r>
      <w:bookmarkEnd w:id="500"/>
      <w:r w:rsidRPr="0036023B">
        <w:rPr>
          <w:rFonts w:eastAsia="Calibri"/>
          <w:szCs w:val="24"/>
        </w:rPr>
        <w:t xml:space="preserve"> that its products </w:t>
      </w:r>
      <w:bookmarkStart w:id="501" w:name="_Hlk131016085"/>
      <w:r w:rsidRPr="0036023B">
        <w:rPr>
          <w:rFonts w:eastAsia="Calibri"/>
          <w:szCs w:val="24"/>
        </w:rPr>
        <w:t>comply</w:t>
      </w:r>
      <w:bookmarkStart w:id="502" w:name="_Hlk131016020"/>
      <w:r w:rsidRPr="0036023B">
        <w:rPr>
          <w:rFonts w:eastAsia="Calibri"/>
          <w:szCs w:val="24"/>
        </w:rPr>
        <w:t xml:space="preserve"> with the definition</w:t>
      </w:r>
      <w:bookmarkEnd w:id="501"/>
      <w:bookmarkEnd w:id="502"/>
      <w:r w:rsidRPr="0036023B">
        <w:rPr>
          <w:rFonts w:eastAsia="Calibri"/>
          <w:szCs w:val="24"/>
        </w:rPr>
        <w:t xml:space="preserve"> of “lead</w:t>
      </w:r>
      <w:r w:rsidRPr="0036023B">
        <w:rPr>
          <w:rFonts w:eastAsia="Calibri"/>
          <w:b/>
          <w:bCs/>
          <w:szCs w:val="24"/>
        </w:rPr>
        <w:t>-</w:t>
      </w:r>
      <w:r w:rsidRPr="0036023B">
        <w:rPr>
          <w:rFonts w:eastAsia="Calibri"/>
          <w:szCs w:val="24"/>
        </w:rPr>
        <w:t>free” in subsection (c) by developing and maintaining a “certificate of conformity”.  The certificate of conformity must be:</w:t>
      </w:r>
    </w:p>
    <w:p w14:paraId="624C1650" w14:textId="77777777" w:rsidR="0036023B" w:rsidRPr="0036023B" w:rsidRDefault="0036023B" w:rsidP="0036023B">
      <w:pPr>
        <w:ind w:left="2880" w:hanging="720"/>
        <w:rPr>
          <w:rFonts w:eastAsia="Calibri"/>
          <w:szCs w:val="24"/>
        </w:rPr>
      </w:pPr>
    </w:p>
    <w:p w14:paraId="1C00DCC6"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 xml:space="preserve">Signed by a </w:t>
      </w:r>
      <w:bookmarkStart w:id="503" w:name="_Hlk108039349"/>
      <w:r w:rsidRPr="0036023B">
        <w:rPr>
          <w:rFonts w:eastAsia="Calibri"/>
          <w:szCs w:val="24"/>
        </w:rPr>
        <w:t>responsible corporate officer; general partner; proprietor; or an authorized representative of a responsible corporate officer, general partner, or proprietor</w:t>
      </w:r>
      <w:bookmarkEnd w:id="503"/>
      <w:r w:rsidRPr="0036023B">
        <w:rPr>
          <w:rFonts w:eastAsia="Calibri"/>
          <w:szCs w:val="24"/>
        </w:rPr>
        <w:t>; and</w:t>
      </w:r>
    </w:p>
    <w:p w14:paraId="68224602" w14:textId="77777777" w:rsidR="0036023B" w:rsidRPr="0036023B" w:rsidRDefault="0036023B" w:rsidP="0036023B">
      <w:pPr>
        <w:ind w:left="2880" w:hanging="720"/>
        <w:rPr>
          <w:rFonts w:eastAsia="Calibri"/>
          <w:szCs w:val="24"/>
        </w:rPr>
      </w:pPr>
    </w:p>
    <w:p w14:paraId="05E4AFC5" w14:textId="77777777" w:rsidR="0036023B" w:rsidRPr="0036023B" w:rsidRDefault="0036023B" w:rsidP="0036023B">
      <w:pPr>
        <w:ind w:left="2880" w:hanging="720"/>
        <w:rPr>
          <w:rFonts w:eastAsia="Calibri"/>
          <w:szCs w:val="24"/>
        </w:rPr>
      </w:pPr>
      <w:r w:rsidRPr="0036023B">
        <w:rPr>
          <w:rFonts w:eastAsia="Calibri"/>
          <w:szCs w:val="24"/>
        </w:rPr>
        <w:t>B)</w:t>
      </w:r>
      <w:r w:rsidRPr="0036023B">
        <w:rPr>
          <w:rFonts w:eastAsia="Calibri"/>
          <w:szCs w:val="24"/>
        </w:rPr>
        <w:tab/>
        <w:t>Posted</w:t>
      </w:r>
      <w:bookmarkStart w:id="504" w:name="_Hlk131019906"/>
      <w:r w:rsidRPr="0036023B">
        <w:rPr>
          <w:rFonts w:eastAsia="Calibri"/>
          <w:szCs w:val="24"/>
        </w:rPr>
        <w:t xml:space="preserve"> the certificate to a website</w:t>
      </w:r>
      <w:bookmarkEnd w:id="504"/>
      <w:r w:rsidRPr="0036023B">
        <w:rPr>
          <w:rFonts w:eastAsia="Calibri"/>
          <w:szCs w:val="24"/>
        </w:rPr>
        <w:t xml:space="preserve"> with continuing public access in the United States, unless the certificate is being distributed by other means (e.g.</w:t>
      </w:r>
      <w:r w:rsidRPr="0036023B">
        <w:rPr>
          <w:rFonts w:eastAsia="Calibri"/>
          <w:i/>
          <w:iCs/>
          <w:szCs w:val="24"/>
        </w:rPr>
        <w:t xml:space="preserve">, </w:t>
      </w:r>
      <w:r w:rsidRPr="0036023B">
        <w:rPr>
          <w:rFonts w:eastAsia="Calibri"/>
          <w:szCs w:val="24"/>
        </w:rPr>
        <w:t>electronically or in hard copy) with the product through the distribution channel for final delivery to the end-use installer of the product.</w:t>
      </w:r>
    </w:p>
    <w:p w14:paraId="3137C167" w14:textId="77777777" w:rsidR="0036023B" w:rsidRPr="0036023B" w:rsidRDefault="0036023B" w:rsidP="0036023B">
      <w:pPr>
        <w:ind w:left="2160" w:hanging="720"/>
        <w:rPr>
          <w:rFonts w:eastAsia="Calibri"/>
          <w:szCs w:val="24"/>
        </w:rPr>
      </w:pPr>
    </w:p>
    <w:p w14:paraId="43036608" w14:textId="77777777" w:rsidR="0036023B" w:rsidRPr="0036023B" w:rsidRDefault="0036023B" w:rsidP="0036023B">
      <w:pPr>
        <w:ind w:left="2160" w:hanging="720"/>
        <w:rPr>
          <w:rFonts w:eastAsia="Calibri"/>
          <w:szCs w:val="24"/>
        </w:rPr>
      </w:pPr>
      <w:r w:rsidRPr="0036023B">
        <w:rPr>
          <w:rFonts w:eastAsia="Calibri"/>
          <w:szCs w:val="24"/>
        </w:rPr>
        <w:t>5)</w:t>
      </w:r>
      <w:r w:rsidRPr="0036023B">
        <w:rPr>
          <w:rFonts w:eastAsia="Calibri"/>
          <w:szCs w:val="24"/>
        </w:rPr>
        <w:tab/>
        <w:t>The certificate of conformity must be in English and include:</w:t>
      </w:r>
    </w:p>
    <w:p w14:paraId="746E2409" w14:textId="77777777" w:rsidR="0036023B" w:rsidRPr="0036023B" w:rsidRDefault="0036023B" w:rsidP="0036023B">
      <w:pPr>
        <w:ind w:left="2880" w:hanging="720"/>
        <w:rPr>
          <w:rFonts w:eastAsia="Calibri"/>
          <w:szCs w:val="24"/>
        </w:rPr>
      </w:pPr>
    </w:p>
    <w:p w14:paraId="40695306"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 xml:space="preserve">Contact information for the </w:t>
      </w:r>
      <w:bookmarkStart w:id="505" w:name="_Hlk131020390"/>
      <w:r w:rsidRPr="0036023B">
        <w:rPr>
          <w:rFonts w:eastAsia="Calibri"/>
          <w:szCs w:val="24"/>
        </w:rPr>
        <w:t>manufacturer or importer</w:t>
      </w:r>
      <w:bookmarkEnd w:id="505"/>
      <w:r w:rsidRPr="0036023B">
        <w:rPr>
          <w:rFonts w:eastAsia="Calibri"/>
          <w:szCs w:val="24"/>
        </w:rPr>
        <w:t>:</w:t>
      </w:r>
    </w:p>
    <w:p w14:paraId="23A2DA6F" w14:textId="77777777" w:rsidR="0036023B" w:rsidRPr="0036023B" w:rsidRDefault="0036023B" w:rsidP="0036023B">
      <w:pPr>
        <w:ind w:left="3600" w:hanging="720"/>
        <w:rPr>
          <w:rFonts w:eastAsia="Calibri"/>
          <w:szCs w:val="24"/>
        </w:rPr>
      </w:pPr>
    </w:p>
    <w:p w14:paraId="39A29237" w14:textId="77777777" w:rsidR="0036023B" w:rsidRPr="0036023B" w:rsidRDefault="0036023B" w:rsidP="0036023B">
      <w:pPr>
        <w:ind w:left="3600" w:hanging="720"/>
        <w:rPr>
          <w:rFonts w:eastAsia="Calibri"/>
          <w:szCs w:val="24"/>
        </w:rPr>
      </w:pPr>
      <w:r w:rsidRPr="0036023B">
        <w:rPr>
          <w:rFonts w:eastAsia="Calibri"/>
          <w:szCs w:val="24"/>
        </w:rPr>
        <w:t>i)</w:t>
      </w:r>
      <w:r w:rsidRPr="0036023B">
        <w:rPr>
          <w:rFonts w:eastAsia="Calibri"/>
          <w:szCs w:val="24"/>
        </w:rPr>
        <w:tab/>
        <w:t>T</w:t>
      </w:r>
      <w:bookmarkStart w:id="506" w:name="_Hlk131020450"/>
      <w:r w:rsidRPr="0036023B">
        <w:rPr>
          <w:rFonts w:eastAsia="Calibri"/>
          <w:szCs w:val="24"/>
        </w:rPr>
        <w:t>he entity’s or proprietor’s name</w:t>
      </w:r>
      <w:bookmarkEnd w:id="506"/>
      <w:r w:rsidRPr="0036023B">
        <w:rPr>
          <w:rFonts w:eastAsia="Calibri"/>
          <w:szCs w:val="24"/>
        </w:rPr>
        <w:t>;</w:t>
      </w:r>
    </w:p>
    <w:p w14:paraId="2CD0232B" w14:textId="77777777" w:rsidR="0036023B" w:rsidRPr="0036023B" w:rsidRDefault="0036023B" w:rsidP="0036023B">
      <w:pPr>
        <w:ind w:left="3600" w:hanging="720"/>
        <w:rPr>
          <w:rFonts w:eastAsia="Calibri"/>
          <w:szCs w:val="24"/>
        </w:rPr>
      </w:pPr>
    </w:p>
    <w:p w14:paraId="47E204A2" w14:textId="77777777" w:rsidR="0036023B" w:rsidRPr="0036023B" w:rsidRDefault="0036023B" w:rsidP="0036023B">
      <w:pPr>
        <w:ind w:left="3600" w:hanging="720"/>
        <w:rPr>
          <w:rFonts w:eastAsia="Calibri"/>
          <w:szCs w:val="24"/>
        </w:rPr>
      </w:pPr>
      <w:r w:rsidRPr="0036023B">
        <w:rPr>
          <w:rFonts w:eastAsia="Calibri"/>
          <w:szCs w:val="24"/>
        </w:rPr>
        <w:t>ii)</w:t>
      </w:r>
      <w:r w:rsidRPr="0036023B">
        <w:rPr>
          <w:rFonts w:eastAsia="Calibri"/>
          <w:szCs w:val="24"/>
        </w:rPr>
        <w:tab/>
        <w:t>Street and mailing addresses;</w:t>
      </w:r>
    </w:p>
    <w:p w14:paraId="44D896CA" w14:textId="77777777" w:rsidR="0036023B" w:rsidRPr="0036023B" w:rsidRDefault="0036023B" w:rsidP="0036023B">
      <w:pPr>
        <w:ind w:left="3600" w:hanging="720"/>
        <w:rPr>
          <w:rFonts w:eastAsia="Calibri"/>
          <w:szCs w:val="24"/>
        </w:rPr>
      </w:pPr>
    </w:p>
    <w:p w14:paraId="441D985A" w14:textId="77777777" w:rsidR="0036023B" w:rsidRPr="0036023B" w:rsidRDefault="0036023B" w:rsidP="0036023B">
      <w:pPr>
        <w:ind w:left="3600" w:hanging="720"/>
        <w:rPr>
          <w:rFonts w:eastAsia="Calibri"/>
          <w:szCs w:val="24"/>
        </w:rPr>
      </w:pPr>
      <w:r w:rsidRPr="0036023B">
        <w:rPr>
          <w:rFonts w:eastAsia="Calibri"/>
          <w:szCs w:val="24"/>
        </w:rPr>
        <w:t>iii)</w:t>
      </w:r>
      <w:r w:rsidRPr="0036023B">
        <w:rPr>
          <w:rFonts w:eastAsia="Calibri"/>
          <w:szCs w:val="24"/>
        </w:rPr>
        <w:tab/>
        <w:t>Phone number; and</w:t>
      </w:r>
    </w:p>
    <w:p w14:paraId="3E6A8DC9" w14:textId="77777777" w:rsidR="0036023B" w:rsidRPr="0036023B" w:rsidRDefault="0036023B" w:rsidP="0036023B">
      <w:pPr>
        <w:ind w:left="3600" w:hanging="720"/>
        <w:rPr>
          <w:rFonts w:eastAsia="Calibri"/>
          <w:szCs w:val="24"/>
        </w:rPr>
      </w:pPr>
    </w:p>
    <w:p w14:paraId="18CE30BD" w14:textId="77777777" w:rsidR="0036023B" w:rsidRPr="0036023B" w:rsidRDefault="0036023B" w:rsidP="0036023B">
      <w:pPr>
        <w:ind w:left="3600" w:hanging="720"/>
        <w:rPr>
          <w:rFonts w:eastAsia="Calibri"/>
          <w:szCs w:val="24"/>
        </w:rPr>
      </w:pPr>
      <w:r w:rsidRPr="0036023B">
        <w:rPr>
          <w:rFonts w:eastAsia="Calibri"/>
          <w:szCs w:val="24"/>
        </w:rPr>
        <w:t>iv)</w:t>
      </w:r>
      <w:r w:rsidRPr="0036023B">
        <w:rPr>
          <w:rFonts w:eastAsia="Calibri"/>
          <w:szCs w:val="24"/>
        </w:rPr>
        <w:tab/>
        <w:t>Email address;</w:t>
      </w:r>
    </w:p>
    <w:p w14:paraId="39307889" w14:textId="77777777" w:rsidR="0036023B" w:rsidRPr="0036023B" w:rsidRDefault="0036023B" w:rsidP="0036023B">
      <w:pPr>
        <w:ind w:left="2880" w:hanging="720"/>
        <w:rPr>
          <w:rFonts w:eastAsia="Calibri"/>
          <w:szCs w:val="24"/>
        </w:rPr>
      </w:pPr>
    </w:p>
    <w:p w14:paraId="138CEA40" w14:textId="77777777" w:rsidR="0036023B" w:rsidRPr="0036023B" w:rsidRDefault="0036023B" w:rsidP="0036023B">
      <w:pPr>
        <w:ind w:left="2880" w:hanging="720"/>
        <w:rPr>
          <w:rFonts w:eastAsia="Calibri"/>
          <w:szCs w:val="24"/>
        </w:rPr>
      </w:pPr>
      <w:r w:rsidRPr="0036023B">
        <w:rPr>
          <w:rFonts w:eastAsia="Calibri"/>
          <w:szCs w:val="24"/>
        </w:rPr>
        <w:t>B)</w:t>
      </w:r>
      <w:r w:rsidRPr="0036023B">
        <w:rPr>
          <w:rFonts w:eastAsia="Calibri"/>
          <w:szCs w:val="24"/>
        </w:rPr>
        <w:tab/>
        <w:t xml:space="preserve">For products imported into the United States, </w:t>
      </w:r>
      <w:bookmarkStart w:id="507" w:name="_Hlk131020982"/>
      <w:r w:rsidRPr="0036023B">
        <w:rPr>
          <w:rFonts w:eastAsia="Calibri"/>
          <w:szCs w:val="24"/>
        </w:rPr>
        <w:t>contact information</w:t>
      </w:r>
      <w:bookmarkEnd w:id="507"/>
      <w:r w:rsidRPr="0036023B">
        <w:rPr>
          <w:rFonts w:eastAsia="Calibri"/>
          <w:szCs w:val="24"/>
        </w:rPr>
        <w:t xml:space="preserve"> for the manufacturer;</w:t>
      </w:r>
    </w:p>
    <w:p w14:paraId="200361DC" w14:textId="77777777" w:rsidR="0036023B" w:rsidRPr="0036023B" w:rsidRDefault="0036023B" w:rsidP="0036023B">
      <w:pPr>
        <w:ind w:left="2880" w:hanging="720"/>
        <w:rPr>
          <w:rFonts w:eastAsia="Calibri"/>
          <w:szCs w:val="24"/>
        </w:rPr>
      </w:pPr>
    </w:p>
    <w:p w14:paraId="3CCDE8C6" w14:textId="77777777" w:rsidR="0036023B" w:rsidRPr="0036023B" w:rsidRDefault="0036023B" w:rsidP="0036023B">
      <w:pPr>
        <w:ind w:left="2880" w:hanging="720"/>
        <w:rPr>
          <w:rFonts w:eastAsia="Calibri"/>
          <w:szCs w:val="24"/>
        </w:rPr>
      </w:pPr>
      <w:r w:rsidRPr="0036023B">
        <w:rPr>
          <w:rFonts w:eastAsia="Calibri"/>
          <w:szCs w:val="24"/>
        </w:rPr>
        <w:t>C)</w:t>
      </w:r>
      <w:r w:rsidRPr="0036023B">
        <w:rPr>
          <w:rFonts w:eastAsia="Calibri"/>
          <w:szCs w:val="24"/>
        </w:rPr>
        <w:tab/>
        <w:t xml:space="preserve">A brief listing of the products, </w:t>
      </w:r>
      <w:bookmarkStart w:id="508" w:name="_Hlk131021269"/>
      <w:r w:rsidRPr="0036023B">
        <w:rPr>
          <w:rFonts w:eastAsia="Calibri"/>
          <w:szCs w:val="24"/>
        </w:rPr>
        <w:t>including, when applicable, unique identifying information</w:t>
      </w:r>
      <w:bookmarkEnd w:id="508"/>
      <w:r w:rsidRPr="0036023B">
        <w:rPr>
          <w:rFonts w:eastAsia="Calibri"/>
          <w:szCs w:val="24"/>
        </w:rPr>
        <w:t xml:space="preserve"> such as</w:t>
      </w:r>
      <w:bookmarkStart w:id="509" w:name="_Hlk131021322"/>
      <w:r w:rsidRPr="0036023B">
        <w:rPr>
          <w:rFonts w:eastAsia="Calibri"/>
          <w:szCs w:val="24"/>
        </w:rPr>
        <w:t xml:space="preserve"> model names</w:t>
      </w:r>
      <w:bookmarkEnd w:id="509"/>
      <w:r w:rsidRPr="0036023B">
        <w:rPr>
          <w:rFonts w:eastAsia="Calibri"/>
          <w:szCs w:val="24"/>
        </w:rPr>
        <w:t xml:space="preserve"> and numbers;</w:t>
      </w:r>
    </w:p>
    <w:p w14:paraId="4267C214" w14:textId="77777777" w:rsidR="0036023B" w:rsidRPr="0036023B" w:rsidRDefault="0036023B" w:rsidP="0036023B">
      <w:pPr>
        <w:ind w:left="2880" w:hanging="720"/>
        <w:rPr>
          <w:rFonts w:eastAsia="Calibri"/>
          <w:szCs w:val="24"/>
        </w:rPr>
      </w:pPr>
    </w:p>
    <w:p w14:paraId="218D646A" w14:textId="77777777" w:rsidR="0036023B" w:rsidRPr="0036023B" w:rsidRDefault="0036023B" w:rsidP="0036023B">
      <w:pPr>
        <w:ind w:left="2880" w:hanging="720"/>
        <w:rPr>
          <w:rFonts w:eastAsia="Calibri"/>
          <w:szCs w:val="24"/>
        </w:rPr>
      </w:pPr>
      <w:r w:rsidRPr="0036023B">
        <w:rPr>
          <w:rFonts w:eastAsia="Calibri"/>
          <w:szCs w:val="24"/>
        </w:rPr>
        <w:t>D)</w:t>
      </w:r>
      <w:r w:rsidRPr="0036023B">
        <w:rPr>
          <w:rFonts w:eastAsia="Calibri"/>
          <w:szCs w:val="24"/>
        </w:rPr>
        <w:tab/>
        <w:t>A statement attesting that the products meet the lead</w:t>
      </w:r>
      <w:r w:rsidRPr="0036023B">
        <w:rPr>
          <w:rFonts w:eastAsia="Calibri"/>
          <w:b/>
          <w:bCs/>
          <w:szCs w:val="24"/>
        </w:rPr>
        <w:t>-</w:t>
      </w:r>
      <w:r w:rsidRPr="0036023B">
        <w:rPr>
          <w:rFonts w:eastAsia="Calibri"/>
          <w:szCs w:val="24"/>
        </w:rPr>
        <w:t xml:space="preserve">free </w:t>
      </w:r>
      <w:bookmarkStart w:id="510" w:name="_Hlk131021509"/>
      <w:r w:rsidRPr="0036023B">
        <w:rPr>
          <w:rFonts w:eastAsia="Calibri"/>
          <w:szCs w:val="24"/>
        </w:rPr>
        <w:t xml:space="preserve">requirements of section 1417 of the Safe Drinking Water Act (42 </w:t>
      </w:r>
      <w:r w:rsidRPr="0036023B">
        <w:t>U.S.C.</w:t>
      </w:r>
      <w:r w:rsidRPr="0036023B">
        <w:rPr>
          <w:rFonts w:eastAsia="Calibri"/>
          <w:szCs w:val="24"/>
        </w:rPr>
        <w:t xml:space="preserve"> 300g-6) and subpart B of 40 CFR 143</w:t>
      </w:r>
      <w:bookmarkEnd w:id="510"/>
      <w:r w:rsidRPr="0036023B">
        <w:rPr>
          <w:rFonts w:eastAsia="Calibri"/>
          <w:szCs w:val="24"/>
        </w:rPr>
        <w:t xml:space="preserve"> and that the manufacturer or importer is eligible to </w:t>
      </w:r>
      <w:bookmarkStart w:id="511" w:name="_Hlk131021703"/>
      <w:r w:rsidRPr="0036023B">
        <w:rPr>
          <w:rFonts w:eastAsia="Calibri"/>
          <w:szCs w:val="24"/>
        </w:rPr>
        <w:t>self-certify the product under that rule</w:t>
      </w:r>
      <w:bookmarkEnd w:id="511"/>
      <w:r w:rsidRPr="0036023B">
        <w:rPr>
          <w:rFonts w:eastAsia="Calibri"/>
          <w:szCs w:val="24"/>
        </w:rPr>
        <w:t>;</w:t>
      </w:r>
    </w:p>
    <w:p w14:paraId="4852069B" w14:textId="77777777" w:rsidR="0036023B" w:rsidRPr="0036023B" w:rsidRDefault="0036023B" w:rsidP="0036023B">
      <w:pPr>
        <w:ind w:left="2880" w:hanging="720"/>
        <w:rPr>
          <w:rFonts w:eastAsia="Calibri"/>
          <w:szCs w:val="24"/>
        </w:rPr>
      </w:pPr>
    </w:p>
    <w:p w14:paraId="0DD448D2" w14:textId="77777777" w:rsidR="0036023B" w:rsidRPr="0036023B" w:rsidRDefault="0036023B" w:rsidP="0036023B">
      <w:pPr>
        <w:ind w:left="2880" w:hanging="720"/>
        <w:rPr>
          <w:rFonts w:eastAsia="Calibri"/>
          <w:szCs w:val="24"/>
        </w:rPr>
      </w:pPr>
      <w:r w:rsidRPr="0036023B">
        <w:rPr>
          <w:rFonts w:eastAsia="Calibri"/>
          <w:szCs w:val="24"/>
        </w:rPr>
        <w:lastRenderedPageBreak/>
        <w:t>E)</w:t>
      </w:r>
      <w:r w:rsidRPr="0036023B">
        <w:rPr>
          <w:rFonts w:eastAsia="Calibri"/>
          <w:szCs w:val="24"/>
        </w:rPr>
        <w:tab/>
        <w:t xml:space="preserve">A statement indicating how the manufacturer or importer verified </w:t>
      </w:r>
      <w:bookmarkStart w:id="512" w:name="_Hlk131021853"/>
      <w:r w:rsidRPr="0036023B">
        <w:rPr>
          <w:rFonts w:eastAsia="Calibri"/>
          <w:szCs w:val="24"/>
        </w:rPr>
        <w:t xml:space="preserve">conformance with section 1417 of the Safe Drinking Water Act (42 </w:t>
      </w:r>
      <w:r w:rsidRPr="0036023B">
        <w:t>U.S.C.</w:t>
      </w:r>
      <w:r w:rsidRPr="0036023B">
        <w:rPr>
          <w:rFonts w:eastAsia="Calibri"/>
          <w:szCs w:val="24"/>
        </w:rPr>
        <w:t xml:space="preserve"> 300g-6) and subpart B of 40 CFR 143</w:t>
      </w:r>
      <w:bookmarkEnd w:id="512"/>
      <w:r w:rsidRPr="0036023B">
        <w:rPr>
          <w:rFonts w:eastAsia="Calibri"/>
          <w:szCs w:val="24"/>
        </w:rPr>
        <w:t>; and</w:t>
      </w:r>
    </w:p>
    <w:p w14:paraId="23FA51F8" w14:textId="77777777" w:rsidR="0036023B" w:rsidRPr="0036023B" w:rsidRDefault="0036023B" w:rsidP="0036023B">
      <w:pPr>
        <w:ind w:left="2880" w:hanging="720"/>
        <w:rPr>
          <w:rFonts w:eastAsia="Calibri"/>
          <w:szCs w:val="24"/>
        </w:rPr>
      </w:pPr>
    </w:p>
    <w:p w14:paraId="55275AFA" w14:textId="77777777" w:rsidR="0036023B" w:rsidRPr="0036023B" w:rsidRDefault="0036023B" w:rsidP="0036023B">
      <w:pPr>
        <w:ind w:left="2880" w:hanging="720"/>
        <w:rPr>
          <w:rFonts w:eastAsia="Calibri"/>
          <w:szCs w:val="24"/>
        </w:rPr>
      </w:pPr>
      <w:r w:rsidRPr="0036023B">
        <w:rPr>
          <w:rFonts w:eastAsia="Calibri"/>
          <w:szCs w:val="24"/>
        </w:rPr>
        <w:t>F)</w:t>
      </w:r>
      <w:r w:rsidRPr="0036023B">
        <w:rPr>
          <w:rFonts w:eastAsia="Calibri"/>
          <w:szCs w:val="24"/>
        </w:rPr>
        <w:tab/>
        <w:t xml:space="preserve">The signature, date, name, and position of the signatory </w:t>
      </w:r>
      <w:bookmarkStart w:id="513" w:name="_Hlk131024487"/>
      <w:r w:rsidRPr="0036023B">
        <w:rPr>
          <w:rFonts w:eastAsia="Calibri"/>
          <w:szCs w:val="24"/>
        </w:rPr>
        <w:t>and the name and position of the officer, partner, or proprietor who is principal if the signatory certifies as agent on behalf of a responsible corporate officer</w:t>
      </w:r>
      <w:bookmarkEnd w:id="513"/>
      <w:r w:rsidRPr="0036023B">
        <w:rPr>
          <w:rFonts w:eastAsia="Calibri"/>
          <w:szCs w:val="24"/>
        </w:rPr>
        <w:t>.</w:t>
      </w:r>
    </w:p>
    <w:p w14:paraId="61DA1863" w14:textId="77777777" w:rsidR="0036023B" w:rsidRPr="0036023B" w:rsidRDefault="0036023B" w:rsidP="0036023B">
      <w:pPr>
        <w:ind w:left="2160" w:hanging="720"/>
        <w:rPr>
          <w:rFonts w:eastAsia="Calibri"/>
          <w:szCs w:val="24"/>
        </w:rPr>
      </w:pPr>
    </w:p>
    <w:p w14:paraId="06E67991" w14:textId="77777777" w:rsidR="0036023B" w:rsidRPr="0036023B" w:rsidRDefault="0036023B" w:rsidP="0036023B">
      <w:pPr>
        <w:ind w:left="2160" w:hanging="720"/>
        <w:rPr>
          <w:rFonts w:eastAsia="Calibri"/>
          <w:szCs w:val="24"/>
        </w:rPr>
      </w:pPr>
      <w:r w:rsidRPr="0036023B">
        <w:rPr>
          <w:rFonts w:eastAsia="Calibri"/>
          <w:szCs w:val="24"/>
        </w:rPr>
        <w:t>6)</w:t>
      </w:r>
      <w:r w:rsidRPr="0036023B">
        <w:rPr>
          <w:rFonts w:eastAsia="Calibri"/>
          <w:szCs w:val="24"/>
        </w:rPr>
        <w:tab/>
        <w:t>A</w:t>
      </w:r>
      <w:bookmarkStart w:id="514" w:name="_Hlk131071449"/>
      <w:r w:rsidRPr="0036023B">
        <w:rPr>
          <w:rFonts w:eastAsia="Calibri"/>
          <w:szCs w:val="24"/>
        </w:rPr>
        <w:t xml:space="preserve"> manufacturer or importer self-certifying</w:t>
      </w:r>
      <w:bookmarkEnd w:id="514"/>
      <w:r w:rsidRPr="0036023B">
        <w:rPr>
          <w:rFonts w:eastAsia="Calibri"/>
          <w:szCs w:val="24"/>
        </w:rPr>
        <w:t xml:space="preserve"> products must maintain, at a primary place of business within the United States, certificates of conformity and </w:t>
      </w:r>
      <w:bookmarkStart w:id="515" w:name="_Hlk131071649"/>
      <w:r w:rsidRPr="0036023B">
        <w:rPr>
          <w:rFonts w:eastAsia="Calibri"/>
          <w:szCs w:val="24"/>
        </w:rPr>
        <w:t>sufficient documentation to confirm</w:t>
      </w:r>
      <w:bookmarkEnd w:id="515"/>
      <w:r w:rsidRPr="0036023B">
        <w:rPr>
          <w:rFonts w:eastAsia="Calibri"/>
          <w:szCs w:val="24"/>
        </w:rPr>
        <w:t xml:space="preserve"> that products meet the lead-free requirements of this Section.  S</w:t>
      </w:r>
      <w:bookmarkStart w:id="516" w:name="_Hlk131071709"/>
      <w:r w:rsidRPr="0036023B">
        <w:rPr>
          <w:rFonts w:eastAsia="Calibri"/>
          <w:szCs w:val="24"/>
        </w:rPr>
        <w:t>ufficient documentation</w:t>
      </w:r>
      <w:bookmarkEnd w:id="516"/>
      <w:r w:rsidRPr="0036023B">
        <w:rPr>
          <w:rFonts w:eastAsia="Calibri"/>
          <w:szCs w:val="24"/>
        </w:rPr>
        <w:t xml:space="preserve"> may include detailed schematic drawings of the products indicating dimensions, records of calculations of the weighted average </w:t>
      </w:r>
      <w:bookmarkStart w:id="517" w:name="_Hlk131071791"/>
      <w:r w:rsidRPr="0036023B">
        <w:rPr>
          <w:rFonts w:eastAsia="Calibri"/>
          <w:szCs w:val="24"/>
        </w:rPr>
        <w:t>lead content of the products</w:t>
      </w:r>
      <w:bookmarkEnd w:id="517"/>
      <w:r w:rsidRPr="0036023B">
        <w:rPr>
          <w:rFonts w:eastAsia="Calibri"/>
          <w:szCs w:val="24"/>
        </w:rPr>
        <w:t xml:space="preserve">, </w:t>
      </w:r>
      <w:bookmarkStart w:id="518" w:name="_Hlk131071893"/>
      <w:r w:rsidRPr="0036023B">
        <w:rPr>
          <w:rFonts w:eastAsia="Calibri"/>
          <w:szCs w:val="24"/>
        </w:rPr>
        <w:t>documentation of the lead content</w:t>
      </w:r>
      <w:bookmarkEnd w:id="518"/>
      <w:r w:rsidRPr="0036023B">
        <w:rPr>
          <w:rFonts w:eastAsia="Calibri"/>
          <w:szCs w:val="24"/>
        </w:rPr>
        <w:t xml:space="preserve"> of materials used in manufacture, and other documentation the manufacturer or importer used in verifying the lead content of a plumbing device.  T</w:t>
      </w:r>
      <w:bookmarkStart w:id="519" w:name="_Hlk131072156"/>
      <w:r w:rsidRPr="0036023B">
        <w:rPr>
          <w:rFonts w:eastAsia="Calibri"/>
          <w:szCs w:val="24"/>
        </w:rPr>
        <w:t>he manufacturer or importer must provide this documentation and certificates of conformity upon request to the Agency or USEPA, as specified in subsection (k)(2).  The manufacturer or importer must also maintain this documentation and certificates of conformity for at least five years after it last sold the product</w:t>
      </w:r>
      <w:bookmarkEnd w:id="519"/>
      <w:r w:rsidRPr="0036023B">
        <w:rPr>
          <w:rFonts w:eastAsia="Calibri"/>
          <w:szCs w:val="24"/>
        </w:rPr>
        <w:t>.</w:t>
      </w:r>
    </w:p>
    <w:p w14:paraId="52D25CDB" w14:textId="77777777" w:rsidR="0036023B" w:rsidRPr="0036023B" w:rsidRDefault="0036023B" w:rsidP="0036023B">
      <w:pPr>
        <w:ind w:left="2160" w:hanging="720"/>
        <w:rPr>
          <w:rFonts w:eastAsia="Calibri"/>
          <w:szCs w:val="24"/>
        </w:rPr>
      </w:pPr>
    </w:p>
    <w:p w14:paraId="6B412BB3" w14:textId="77777777" w:rsidR="0036023B" w:rsidRPr="0036023B" w:rsidRDefault="0036023B" w:rsidP="0036023B">
      <w:pPr>
        <w:ind w:left="2160" w:hanging="720"/>
        <w:rPr>
          <w:rFonts w:eastAsia="Calibri"/>
          <w:szCs w:val="24"/>
        </w:rPr>
      </w:pPr>
      <w:r w:rsidRPr="0036023B">
        <w:rPr>
          <w:rFonts w:eastAsia="Calibri"/>
          <w:szCs w:val="24"/>
        </w:rPr>
        <w:t>7)</w:t>
      </w:r>
      <w:r w:rsidRPr="0036023B">
        <w:rPr>
          <w:rFonts w:eastAsia="Calibri"/>
          <w:szCs w:val="24"/>
        </w:rPr>
        <w:tab/>
        <w:t>T</w:t>
      </w:r>
      <w:bookmarkStart w:id="520" w:name="_Hlk131074808"/>
      <w:r w:rsidRPr="0036023B">
        <w:rPr>
          <w:rFonts w:eastAsia="Calibri"/>
          <w:szCs w:val="24"/>
        </w:rPr>
        <w:t>he manufacturer or importer must complete the certificate of conformity and documents</w:t>
      </w:r>
      <w:bookmarkEnd w:id="520"/>
      <w:r w:rsidRPr="0036023B">
        <w:rPr>
          <w:rFonts w:eastAsia="Calibri"/>
          <w:szCs w:val="24"/>
        </w:rPr>
        <w:t xml:space="preserve"> </w:t>
      </w:r>
      <w:bookmarkStart w:id="521" w:name="_Hlk131075014"/>
      <w:r w:rsidRPr="0036023B">
        <w:rPr>
          <w:rFonts w:eastAsia="Calibri"/>
          <w:szCs w:val="24"/>
        </w:rPr>
        <w:t>before introducing a product into commerce</w:t>
      </w:r>
      <w:bookmarkEnd w:id="521"/>
      <w:r w:rsidRPr="0036023B">
        <w:rPr>
          <w:rFonts w:eastAsia="Calibri"/>
          <w:szCs w:val="24"/>
        </w:rPr>
        <w:t>.</w:t>
      </w:r>
    </w:p>
    <w:p w14:paraId="3E3672AE" w14:textId="77777777" w:rsidR="0036023B" w:rsidRPr="0036023B" w:rsidRDefault="0036023B" w:rsidP="0036023B">
      <w:pPr>
        <w:ind w:left="1440"/>
        <w:rPr>
          <w:rFonts w:eastAsia="Calibri"/>
          <w:szCs w:val="24"/>
        </w:rPr>
      </w:pPr>
    </w:p>
    <w:p w14:paraId="49DA5267" w14:textId="77777777" w:rsidR="0036023B" w:rsidRPr="0036023B" w:rsidRDefault="0036023B" w:rsidP="0036023B">
      <w:pPr>
        <w:ind w:left="1440"/>
        <w:rPr>
          <w:rFonts w:eastAsia="Calibri"/>
          <w:szCs w:val="24"/>
        </w:rPr>
      </w:pPr>
      <w:r w:rsidRPr="0036023B">
        <w:rPr>
          <w:rFonts w:eastAsia="Calibri"/>
          <w:szCs w:val="24"/>
        </w:rPr>
        <w:t>BOARD NOTE:  Subsection (j) derives from 40 CFR 143.19.</w:t>
      </w:r>
    </w:p>
    <w:p w14:paraId="57982769" w14:textId="77777777" w:rsidR="0036023B" w:rsidRPr="0036023B" w:rsidRDefault="0036023B" w:rsidP="0036023B">
      <w:pPr>
        <w:ind w:left="1440" w:hanging="720"/>
        <w:rPr>
          <w:rFonts w:eastAsia="Calibri"/>
          <w:szCs w:val="24"/>
        </w:rPr>
      </w:pPr>
    </w:p>
    <w:p w14:paraId="032CD9DD" w14:textId="77777777" w:rsidR="0036023B" w:rsidRPr="0036023B" w:rsidRDefault="0036023B" w:rsidP="0036023B">
      <w:pPr>
        <w:ind w:left="1440" w:hanging="720"/>
        <w:rPr>
          <w:rFonts w:eastAsia="Calibri"/>
          <w:szCs w:val="24"/>
        </w:rPr>
      </w:pPr>
      <w:r w:rsidRPr="0036023B">
        <w:rPr>
          <w:rFonts w:eastAsia="Calibri"/>
          <w:szCs w:val="24"/>
        </w:rPr>
        <w:t>k)</w:t>
      </w:r>
      <w:r w:rsidRPr="0036023B">
        <w:rPr>
          <w:rFonts w:eastAsia="Calibri"/>
          <w:szCs w:val="24"/>
        </w:rPr>
        <w:tab/>
      </w:r>
      <w:bookmarkStart w:id="522" w:name="_Hlk131075130"/>
      <w:r w:rsidRPr="0036023B">
        <w:rPr>
          <w:rFonts w:eastAsia="Calibri"/>
          <w:szCs w:val="24"/>
        </w:rPr>
        <w:t>Compliance Provisions</w:t>
      </w:r>
      <w:bookmarkEnd w:id="522"/>
    </w:p>
    <w:p w14:paraId="6AAEAA48" w14:textId="77777777" w:rsidR="0036023B" w:rsidRPr="0036023B" w:rsidRDefault="0036023B" w:rsidP="0036023B">
      <w:pPr>
        <w:ind w:left="2160" w:hanging="720"/>
        <w:rPr>
          <w:rFonts w:eastAsia="Calibri"/>
          <w:szCs w:val="24"/>
        </w:rPr>
      </w:pPr>
    </w:p>
    <w:p w14:paraId="49C7726F" w14:textId="77777777" w:rsidR="0036023B" w:rsidRPr="0036023B" w:rsidRDefault="0036023B" w:rsidP="0036023B">
      <w:pPr>
        <w:ind w:left="2160" w:hanging="720"/>
        <w:rPr>
          <w:rFonts w:eastAsia="Calibri"/>
          <w:szCs w:val="24"/>
        </w:rPr>
      </w:pPr>
      <w:r w:rsidRPr="0036023B">
        <w:rPr>
          <w:rFonts w:eastAsia="Calibri"/>
          <w:szCs w:val="24"/>
        </w:rPr>
        <w:t>1)</w:t>
      </w:r>
      <w:r w:rsidRPr="0036023B">
        <w:rPr>
          <w:rFonts w:eastAsia="Calibri"/>
          <w:szCs w:val="24"/>
        </w:rPr>
        <w:tab/>
        <w:t>N</w:t>
      </w:r>
      <w:bookmarkStart w:id="523" w:name="_Hlk131075320"/>
      <w:bookmarkStart w:id="524" w:name="_Hlk131075511"/>
      <w:r w:rsidRPr="0036023B">
        <w:rPr>
          <w:rFonts w:eastAsia="Calibri"/>
          <w:szCs w:val="24"/>
        </w:rPr>
        <w:t>ot complying with the Act or this Section</w:t>
      </w:r>
      <w:bookmarkEnd w:id="523"/>
      <w:r w:rsidRPr="0036023B">
        <w:rPr>
          <w:rFonts w:eastAsia="Calibri"/>
          <w:szCs w:val="24"/>
        </w:rPr>
        <w:t xml:space="preserve"> may subject a person to enforcement action</w:t>
      </w:r>
      <w:bookmarkEnd w:id="524"/>
      <w:r w:rsidRPr="0036023B">
        <w:rPr>
          <w:rFonts w:eastAsia="Calibri"/>
          <w:szCs w:val="24"/>
        </w:rPr>
        <w:t>.  E</w:t>
      </w:r>
      <w:bookmarkStart w:id="525" w:name="_Hlk131081663"/>
      <w:r w:rsidRPr="0036023B">
        <w:rPr>
          <w:rFonts w:eastAsia="Calibri"/>
          <w:szCs w:val="24"/>
        </w:rPr>
        <w:t>nforcement action may include injunctive or declaratory relief</w:t>
      </w:r>
      <w:bookmarkEnd w:id="525"/>
      <w:r w:rsidRPr="0036023B">
        <w:rPr>
          <w:rFonts w:eastAsia="Calibri"/>
          <w:szCs w:val="24"/>
        </w:rPr>
        <w:t xml:space="preserve">, </w:t>
      </w:r>
      <w:bookmarkStart w:id="526" w:name="_Hlk131081762"/>
      <w:r w:rsidRPr="0036023B">
        <w:rPr>
          <w:rFonts w:eastAsia="Calibri"/>
          <w:szCs w:val="24"/>
        </w:rPr>
        <w:t>a Board order to cease and desist</w:t>
      </w:r>
      <w:bookmarkEnd w:id="526"/>
      <w:r w:rsidRPr="0036023B">
        <w:rPr>
          <w:rFonts w:eastAsia="Calibri"/>
          <w:szCs w:val="24"/>
        </w:rPr>
        <w:t>, civil penalties, or criminal penalties.</w:t>
      </w:r>
    </w:p>
    <w:p w14:paraId="037DFAD9" w14:textId="77777777" w:rsidR="0036023B" w:rsidRPr="0036023B" w:rsidRDefault="0036023B" w:rsidP="0036023B">
      <w:pPr>
        <w:ind w:left="2160" w:hanging="720"/>
        <w:rPr>
          <w:rFonts w:eastAsia="Calibri"/>
          <w:szCs w:val="24"/>
        </w:rPr>
      </w:pPr>
    </w:p>
    <w:p w14:paraId="130D073D" w14:textId="77777777" w:rsidR="0036023B" w:rsidRPr="0036023B" w:rsidRDefault="0036023B" w:rsidP="0036023B">
      <w:pPr>
        <w:ind w:left="2160" w:hanging="720"/>
        <w:rPr>
          <w:rFonts w:eastAsia="Calibri"/>
          <w:szCs w:val="24"/>
        </w:rPr>
      </w:pPr>
      <w:r w:rsidRPr="0036023B">
        <w:rPr>
          <w:rFonts w:eastAsia="Calibri"/>
          <w:szCs w:val="24"/>
        </w:rPr>
        <w:t>2)</w:t>
      </w:r>
      <w:r w:rsidRPr="0036023B">
        <w:rPr>
          <w:rFonts w:eastAsia="Calibri"/>
          <w:szCs w:val="24"/>
        </w:rPr>
        <w:tab/>
      </w:r>
      <w:bookmarkStart w:id="527" w:name="_Hlk131081977"/>
      <w:r w:rsidRPr="0036023B">
        <w:rPr>
          <w:rFonts w:eastAsia="Calibri"/>
          <w:szCs w:val="24"/>
        </w:rPr>
        <w:t>USEPA or the Agency</w:t>
      </w:r>
      <w:bookmarkEnd w:id="527"/>
      <w:r w:rsidRPr="0036023B">
        <w:rPr>
          <w:rFonts w:eastAsia="Calibri"/>
          <w:szCs w:val="24"/>
        </w:rPr>
        <w:t xml:space="preserve"> may, on a case-by-case basis, request any information, </w:t>
      </w:r>
      <w:bookmarkStart w:id="528" w:name="_Hlk131082130"/>
      <w:r w:rsidRPr="0036023B">
        <w:rPr>
          <w:rFonts w:eastAsia="Calibri"/>
          <w:szCs w:val="24"/>
        </w:rPr>
        <w:t>such as records it deems necessary</w:t>
      </w:r>
      <w:bookmarkEnd w:id="528"/>
      <w:r w:rsidRPr="0036023B">
        <w:rPr>
          <w:rFonts w:eastAsia="Calibri"/>
          <w:szCs w:val="24"/>
        </w:rPr>
        <w:t xml:space="preserve"> to determine </w:t>
      </w:r>
      <w:bookmarkStart w:id="529" w:name="_Hlk131082337"/>
      <w:r w:rsidRPr="0036023B">
        <w:rPr>
          <w:rFonts w:eastAsia="Calibri"/>
          <w:szCs w:val="24"/>
        </w:rPr>
        <w:t>whether a person complies</w:t>
      </w:r>
      <w:bookmarkEnd w:id="529"/>
      <w:r w:rsidRPr="0036023B">
        <w:rPr>
          <w:rFonts w:eastAsia="Calibri"/>
          <w:szCs w:val="24"/>
        </w:rPr>
        <w:t xml:space="preserve"> with </w:t>
      </w:r>
      <w:bookmarkStart w:id="530" w:name="_Hlk131082506"/>
      <w:r w:rsidRPr="0036023B">
        <w:rPr>
          <w:rFonts w:eastAsia="Calibri"/>
          <w:szCs w:val="24"/>
        </w:rPr>
        <w:t xml:space="preserve">section 1417 of the Safe Drinking Water Act (42 </w:t>
      </w:r>
      <w:r w:rsidRPr="0036023B">
        <w:t>U.S.C.</w:t>
      </w:r>
      <w:r w:rsidRPr="0036023B">
        <w:rPr>
          <w:rFonts w:eastAsia="Calibri"/>
          <w:szCs w:val="24"/>
        </w:rPr>
        <w:t xml:space="preserve"> 300g-6); subpart B of 40 CFR 143, incorporated by reference in Section 611.102; and this Section</w:t>
      </w:r>
      <w:bookmarkEnd w:id="530"/>
      <w:r w:rsidRPr="0036023B">
        <w:rPr>
          <w:rFonts w:eastAsia="Calibri"/>
          <w:szCs w:val="24"/>
        </w:rPr>
        <w:t>.  T</w:t>
      </w:r>
      <w:bookmarkStart w:id="531" w:name="_Hlk131082902"/>
      <w:r w:rsidRPr="0036023B">
        <w:rPr>
          <w:rFonts w:eastAsia="Calibri"/>
          <w:szCs w:val="24"/>
        </w:rPr>
        <w:t>he manufacturer or importer must provide requested information to USEPA or the Agency</w:t>
      </w:r>
      <w:bookmarkEnd w:id="531"/>
      <w:r w:rsidRPr="0036023B">
        <w:rPr>
          <w:rFonts w:eastAsia="Calibri"/>
          <w:szCs w:val="24"/>
        </w:rPr>
        <w:t xml:space="preserve"> at a time and in a format </w:t>
      </w:r>
      <w:bookmarkStart w:id="532" w:name="_Hlk131083100"/>
      <w:r w:rsidRPr="0036023B">
        <w:rPr>
          <w:rFonts w:eastAsia="Calibri"/>
          <w:szCs w:val="24"/>
        </w:rPr>
        <w:t>as reasonably requested by USEPA or the Agency</w:t>
      </w:r>
      <w:bookmarkEnd w:id="532"/>
      <w:r w:rsidRPr="0036023B">
        <w:rPr>
          <w:rFonts w:eastAsia="Calibri"/>
          <w:szCs w:val="24"/>
        </w:rPr>
        <w:t>.</w:t>
      </w:r>
    </w:p>
    <w:p w14:paraId="75DB6FAC" w14:textId="77777777" w:rsidR="0036023B" w:rsidRPr="0036023B" w:rsidRDefault="0036023B" w:rsidP="0036023B">
      <w:pPr>
        <w:ind w:left="1440"/>
        <w:rPr>
          <w:rFonts w:eastAsia="Calibri"/>
          <w:szCs w:val="24"/>
        </w:rPr>
      </w:pPr>
    </w:p>
    <w:p w14:paraId="7E580261" w14:textId="77777777" w:rsidR="0036023B" w:rsidRPr="0036023B" w:rsidRDefault="0036023B" w:rsidP="0036023B">
      <w:pPr>
        <w:ind w:left="1440"/>
        <w:rPr>
          <w:rFonts w:eastAsia="Calibri"/>
          <w:szCs w:val="24"/>
        </w:rPr>
      </w:pPr>
      <w:r w:rsidRPr="0036023B">
        <w:rPr>
          <w:rFonts w:eastAsia="Calibri"/>
          <w:szCs w:val="24"/>
        </w:rPr>
        <w:t>BOARD NOTE:  Subsection (k) derives from 40 CFR 143.20.</w:t>
      </w:r>
    </w:p>
    <w:p w14:paraId="52F75C79" w14:textId="05367218" w:rsidR="00002933" w:rsidRPr="003B4362" w:rsidRDefault="00EB353D" w:rsidP="00002933">
      <w:pPr>
        <w:suppressAutoHyphens/>
        <w:spacing w:before="240"/>
        <w:ind w:left="720"/>
      </w:pPr>
      <w:r w:rsidRPr="003B4362">
        <w:lastRenderedPageBreak/>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bookmarkEnd w:id="420"/>
    <w:p w14:paraId="1B47F67F" w14:textId="77777777" w:rsidR="00FE6920" w:rsidRPr="003B4362" w:rsidRDefault="00FE6920" w:rsidP="00FE6920">
      <w:pPr>
        <w:rPr>
          <w:b/>
          <w:bCs/>
        </w:rPr>
      </w:pPr>
    </w:p>
    <w:p w14:paraId="76A37D86" w14:textId="6DA9845E" w:rsidR="00002933" w:rsidRPr="003B4362" w:rsidRDefault="00002933" w:rsidP="00150379">
      <w:pPr>
        <w:rPr>
          <w:b/>
          <w:bCs/>
        </w:rPr>
      </w:pPr>
      <w:r w:rsidRPr="003B4362">
        <w:rPr>
          <w:b/>
          <w:bCs/>
        </w:rPr>
        <w:t>Section 611.130  Special Requirements for Certain Variances and Adjusted Standards</w:t>
      </w:r>
    </w:p>
    <w:p w14:paraId="26EAFEA1" w14:textId="77777777" w:rsidR="00150379" w:rsidRDefault="00150379" w:rsidP="00150379">
      <w:pPr>
        <w:widowControl w:val="0"/>
        <w:suppressAutoHyphens/>
        <w:ind w:left="1440" w:hanging="720"/>
      </w:pPr>
    </w:p>
    <w:p w14:paraId="79136946" w14:textId="0FA77974" w:rsidR="00002933" w:rsidRPr="003B4362" w:rsidRDefault="00002933" w:rsidP="00150379">
      <w:pPr>
        <w:widowControl w:val="0"/>
        <w:suppressAutoHyphens/>
        <w:ind w:left="1440" w:hanging="720"/>
      </w:pPr>
      <w:r w:rsidRPr="003B4362">
        <w:t>a)</w:t>
      </w:r>
      <w:r w:rsidRPr="003B4362">
        <w:tab/>
        <w:t>Relief from the Fluoride MCL</w:t>
      </w:r>
    </w:p>
    <w:p w14:paraId="01165A6D" w14:textId="77777777" w:rsidR="00150379" w:rsidRDefault="00150379" w:rsidP="00150379">
      <w:pPr>
        <w:widowControl w:val="0"/>
        <w:suppressAutoHyphens/>
        <w:ind w:left="2160" w:hanging="720"/>
      </w:pPr>
    </w:p>
    <w:p w14:paraId="78BA9C56" w14:textId="203735C4" w:rsidR="00002933" w:rsidRPr="003B4362" w:rsidRDefault="00002933" w:rsidP="00150379">
      <w:pPr>
        <w:widowControl w:val="0"/>
        <w:suppressAutoHyphens/>
        <w:ind w:left="2160" w:hanging="720"/>
      </w:pPr>
      <w:r w:rsidRPr="003B4362">
        <w:t>1)</w:t>
      </w:r>
      <w:r w:rsidRPr="003B4362">
        <w:tab/>
      </w:r>
      <w:r w:rsidR="00803CB8" w:rsidRPr="003B4362">
        <w:t xml:space="preserve">When </w:t>
      </w:r>
      <w:r w:rsidRPr="003B4362">
        <w:t xml:space="preserve">granting any variance or adjusted standard to a </w:t>
      </w:r>
      <w:r w:rsidR="007163B0" w:rsidRPr="003B4362">
        <w:t xml:space="preserve">CWS </w:t>
      </w:r>
      <w:r w:rsidRPr="003B4362">
        <w:t xml:space="preserve">supplier from the maximum contaminant level for fluoride in Section 611.301(b), the Board will require </w:t>
      </w:r>
      <w:r w:rsidR="007163B0" w:rsidRPr="003B4362">
        <w:t xml:space="preserve">the supplier to apply </w:t>
      </w:r>
      <w:r w:rsidRPr="003B4362">
        <w:t xml:space="preserve">the BAT identified </w:t>
      </w:r>
      <w:r w:rsidR="007163B0" w:rsidRPr="003B4362">
        <w:t xml:space="preserve">in </w:t>
      </w:r>
      <w:r w:rsidRPr="003B4362">
        <w:t xml:space="preserve">subsection (a)(4) as a condition to the relief, unless the supplier </w:t>
      </w:r>
      <w:r w:rsidR="00803CB8" w:rsidRPr="003B4362">
        <w:t xml:space="preserve">demonstrates </w:t>
      </w:r>
      <w:r w:rsidRPr="003B4362">
        <w:t xml:space="preserve">through comprehensive engineering assessments that </w:t>
      </w:r>
      <w:r w:rsidR="007163B0" w:rsidRPr="003B4362">
        <w:t xml:space="preserve">applying </w:t>
      </w:r>
      <w:r w:rsidRPr="003B4362">
        <w:t>BAT is not technically appropriate and technically feasible for that supplier.</w:t>
      </w:r>
    </w:p>
    <w:p w14:paraId="45B6F0A7" w14:textId="77777777" w:rsidR="00150379" w:rsidRDefault="00150379" w:rsidP="00150379">
      <w:pPr>
        <w:widowControl w:val="0"/>
        <w:suppressAutoHyphens/>
        <w:ind w:left="2160" w:hanging="720"/>
      </w:pPr>
    </w:p>
    <w:p w14:paraId="2A0C7D77" w14:textId="5197C03E" w:rsidR="00002933" w:rsidRPr="003B4362" w:rsidRDefault="00002933" w:rsidP="00150379">
      <w:pPr>
        <w:widowControl w:val="0"/>
        <w:suppressAutoHyphens/>
        <w:ind w:left="2160" w:hanging="720"/>
      </w:pPr>
      <w:r w:rsidRPr="003B4362">
        <w:t>2)</w:t>
      </w:r>
      <w:r w:rsidRPr="003B4362">
        <w:tab/>
      </w:r>
      <w:r w:rsidR="00803CB8" w:rsidRPr="003B4362">
        <w:t xml:space="preserve">If the Board does not require the supplier to apply BAT, the </w:t>
      </w:r>
      <w:r w:rsidRPr="003B4362">
        <w:t xml:space="preserve">Board will require </w:t>
      </w:r>
      <w:r w:rsidR="007163B0" w:rsidRPr="003B4362">
        <w:t xml:space="preserve">specific conditions </w:t>
      </w:r>
      <w:r w:rsidRPr="003B4362">
        <w:t>for relief from the fluoride MCL:</w:t>
      </w:r>
    </w:p>
    <w:p w14:paraId="3EA78B42" w14:textId="77777777" w:rsidR="00150379" w:rsidRDefault="00150379" w:rsidP="00150379">
      <w:pPr>
        <w:widowControl w:val="0"/>
        <w:suppressAutoHyphens/>
        <w:ind w:left="2880" w:hanging="720"/>
      </w:pPr>
    </w:p>
    <w:p w14:paraId="3C35F933" w14:textId="613B653C" w:rsidR="00002933" w:rsidRPr="003B4362" w:rsidRDefault="00002933" w:rsidP="00150379">
      <w:pPr>
        <w:widowControl w:val="0"/>
        <w:suppressAutoHyphens/>
        <w:ind w:left="2880" w:hanging="720"/>
      </w:pPr>
      <w:r w:rsidRPr="003B4362">
        <w:t>A)</w:t>
      </w:r>
      <w:r w:rsidRPr="003B4362">
        <w:tab/>
      </w:r>
      <w:r w:rsidR="003B0BAB" w:rsidRPr="003B4362">
        <w:t xml:space="preserve">The </w:t>
      </w:r>
      <w:r w:rsidRPr="003B4362">
        <w:t xml:space="preserve">supplier </w:t>
      </w:r>
      <w:r w:rsidR="003B0BAB" w:rsidRPr="003B4362">
        <w:t xml:space="preserve">must </w:t>
      </w:r>
      <w:r w:rsidRPr="003B4362">
        <w:t xml:space="preserve">continue </w:t>
      </w:r>
      <w:r w:rsidR="003B0BAB" w:rsidRPr="003B4362">
        <w:t xml:space="preserve">investigating certain </w:t>
      </w:r>
      <w:r w:rsidRPr="003B4362">
        <w:t>methods as alternative means of significantly reducing the fluoride</w:t>
      </w:r>
      <w:r w:rsidR="003B0BAB" w:rsidRPr="003B4362">
        <w:t xml:space="preserve"> level on</w:t>
      </w:r>
      <w:r w:rsidRPr="003B4362">
        <w:t xml:space="preserve"> a definite schedule:</w:t>
      </w:r>
    </w:p>
    <w:p w14:paraId="6B7CA606" w14:textId="77777777" w:rsidR="00150379" w:rsidRDefault="00150379" w:rsidP="00150379">
      <w:pPr>
        <w:widowControl w:val="0"/>
        <w:suppressAutoHyphens/>
        <w:ind w:left="3600" w:hanging="720"/>
      </w:pPr>
    </w:p>
    <w:p w14:paraId="7DA5F17D" w14:textId="3C96425C" w:rsidR="00002933" w:rsidRPr="003B4362" w:rsidRDefault="00002933" w:rsidP="00150379">
      <w:pPr>
        <w:widowControl w:val="0"/>
        <w:suppressAutoHyphens/>
        <w:ind w:left="3600" w:hanging="720"/>
      </w:pPr>
      <w:r w:rsidRPr="003B4362">
        <w:t>i)</w:t>
      </w:r>
      <w:r w:rsidRPr="003B4362">
        <w:tab/>
      </w:r>
      <w:r w:rsidR="003B0BAB" w:rsidRPr="003B4362">
        <w:t xml:space="preserve">Modifying </w:t>
      </w:r>
      <w:r w:rsidRPr="003B4362">
        <w:t>lime softening;</w:t>
      </w:r>
    </w:p>
    <w:p w14:paraId="44F1E2C3" w14:textId="77777777" w:rsidR="00150379" w:rsidRDefault="00150379" w:rsidP="00150379">
      <w:pPr>
        <w:widowControl w:val="0"/>
        <w:suppressAutoHyphens/>
        <w:ind w:left="3600" w:hanging="720"/>
      </w:pPr>
    </w:p>
    <w:p w14:paraId="622E520D" w14:textId="27FA35E2" w:rsidR="00002933" w:rsidRPr="003B4362" w:rsidRDefault="00002933" w:rsidP="00150379">
      <w:pPr>
        <w:widowControl w:val="0"/>
        <w:suppressAutoHyphens/>
        <w:ind w:left="3600" w:hanging="720"/>
      </w:pPr>
      <w:r w:rsidRPr="003B4362">
        <w:t>ii)</w:t>
      </w:r>
      <w:r w:rsidRPr="003B4362">
        <w:tab/>
        <w:t>Alum coagulation;</w:t>
      </w:r>
    </w:p>
    <w:p w14:paraId="0BFF7F77" w14:textId="77777777" w:rsidR="00150379" w:rsidRDefault="00150379" w:rsidP="00150379">
      <w:pPr>
        <w:widowControl w:val="0"/>
        <w:suppressAutoHyphens/>
        <w:ind w:left="3600" w:hanging="720"/>
      </w:pPr>
    </w:p>
    <w:p w14:paraId="260EB07D" w14:textId="0E952D82" w:rsidR="00002933" w:rsidRPr="003B4362" w:rsidRDefault="00002933" w:rsidP="00150379">
      <w:pPr>
        <w:widowControl w:val="0"/>
        <w:suppressAutoHyphens/>
        <w:ind w:left="3600" w:hanging="720"/>
      </w:pPr>
      <w:r w:rsidRPr="003B4362">
        <w:t>iii)</w:t>
      </w:r>
      <w:r w:rsidRPr="003B4362">
        <w:tab/>
        <w:t>Electrodialysis;</w:t>
      </w:r>
    </w:p>
    <w:p w14:paraId="49B07D3B" w14:textId="77777777" w:rsidR="00150379" w:rsidRDefault="00150379" w:rsidP="00150379">
      <w:pPr>
        <w:widowControl w:val="0"/>
        <w:suppressAutoHyphens/>
        <w:ind w:left="3600" w:hanging="720"/>
      </w:pPr>
    </w:p>
    <w:p w14:paraId="1C95773D" w14:textId="63C9A449" w:rsidR="00002933" w:rsidRPr="003B4362" w:rsidRDefault="00002933" w:rsidP="00150379">
      <w:pPr>
        <w:widowControl w:val="0"/>
        <w:suppressAutoHyphens/>
        <w:ind w:left="3600" w:hanging="720"/>
      </w:pPr>
      <w:r w:rsidRPr="003B4362">
        <w:t>iv)</w:t>
      </w:r>
      <w:r w:rsidRPr="003B4362">
        <w:tab/>
        <w:t>Anion exchange resins;</w:t>
      </w:r>
    </w:p>
    <w:p w14:paraId="12EEFA11" w14:textId="77777777" w:rsidR="00150379" w:rsidRDefault="00150379" w:rsidP="00150379">
      <w:pPr>
        <w:widowControl w:val="0"/>
        <w:suppressAutoHyphens/>
        <w:ind w:left="3600" w:hanging="720"/>
      </w:pPr>
    </w:p>
    <w:p w14:paraId="2D0C321B" w14:textId="12C10BD1" w:rsidR="00002933" w:rsidRPr="003B4362" w:rsidRDefault="00002933" w:rsidP="00150379">
      <w:pPr>
        <w:widowControl w:val="0"/>
        <w:suppressAutoHyphens/>
        <w:ind w:left="3600" w:hanging="720"/>
      </w:pPr>
      <w:r w:rsidRPr="003B4362">
        <w:t>v)</w:t>
      </w:r>
      <w:r w:rsidRPr="003B4362">
        <w:tab/>
        <w:t>Well</w:t>
      </w:r>
      <w:r w:rsidR="003B0BAB" w:rsidRPr="003B4362">
        <w:t>-</w:t>
      </w:r>
      <w:r w:rsidRPr="003B4362">
        <w:t>field management;</w:t>
      </w:r>
    </w:p>
    <w:p w14:paraId="03A2F7D6" w14:textId="77777777" w:rsidR="00150379" w:rsidRDefault="00150379" w:rsidP="00150379">
      <w:pPr>
        <w:widowControl w:val="0"/>
        <w:suppressAutoHyphens/>
        <w:ind w:left="3600" w:hanging="720"/>
      </w:pPr>
    </w:p>
    <w:p w14:paraId="47EB1292" w14:textId="74FC06EF" w:rsidR="00002933" w:rsidRPr="003B4362" w:rsidRDefault="00002933" w:rsidP="00150379">
      <w:pPr>
        <w:widowControl w:val="0"/>
        <w:suppressAutoHyphens/>
        <w:ind w:left="3600" w:hanging="720"/>
      </w:pPr>
      <w:r w:rsidRPr="003B4362">
        <w:t>vi)</w:t>
      </w:r>
      <w:r w:rsidRPr="003B4362">
        <w:tab/>
      </w:r>
      <w:r w:rsidR="003B0BAB" w:rsidRPr="003B4362">
        <w:t xml:space="preserve">Using </w:t>
      </w:r>
      <w:r w:rsidRPr="003B4362">
        <w:t>alternative sources of raw water; and</w:t>
      </w:r>
    </w:p>
    <w:p w14:paraId="15EB1EBD" w14:textId="77777777" w:rsidR="00150379" w:rsidRDefault="00150379" w:rsidP="00150379">
      <w:pPr>
        <w:widowControl w:val="0"/>
        <w:suppressAutoHyphens/>
        <w:ind w:left="3600" w:hanging="720"/>
      </w:pPr>
    </w:p>
    <w:p w14:paraId="20343FEF" w14:textId="1E0A8DB5" w:rsidR="00002933" w:rsidRPr="003B4362" w:rsidRDefault="00002933" w:rsidP="00150379">
      <w:pPr>
        <w:widowControl w:val="0"/>
        <w:suppressAutoHyphens/>
        <w:ind w:left="3600" w:hanging="720"/>
      </w:pPr>
      <w:r w:rsidRPr="003B4362">
        <w:t>vii)</w:t>
      </w:r>
      <w:r w:rsidRPr="003B4362">
        <w:tab/>
        <w:t>Regionalization;</w:t>
      </w:r>
      <w:r w:rsidRPr="003B4362">
        <w:rPr>
          <w:spacing w:val="-3"/>
        </w:rPr>
        <w:t xml:space="preserve"> and</w:t>
      </w:r>
    </w:p>
    <w:p w14:paraId="405DE131" w14:textId="77777777" w:rsidR="00150379" w:rsidRDefault="00150379" w:rsidP="00150379">
      <w:pPr>
        <w:widowControl w:val="0"/>
        <w:suppressAutoHyphens/>
        <w:ind w:left="2880" w:hanging="720"/>
      </w:pPr>
    </w:p>
    <w:p w14:paraId="0F8585F3" w14:textId="78070529" w:rsidR="00002933" w:rsidRPr="003B4362" w:rsidRDefault="00002933" w:rsidP="00150379">
      <w:pPr>
        <w:widowControl w:val="0"/>
        <w:suppressAutoHyphens/>
        <w:ind w:left="2880" w:hanging="720"/>
      </w:pPr>
      <w:r w:rsidRPr="003B4362">
        <w:t>B)</w:t>
      </w:r>
      <w:r w:rsidRPr="003B4362">
        <w:tab/>
      </w:r>
      <w:r w:rsidR="003B0BAB" w:rsidRPr="003B4362">
        <w:t xml:space="preserve">The </w:t>
      </w:r>
      <w:r w:rsidRPr="003B4362">
        <w:t xml:space="preserve">supplier </w:t>
      </w:r>
      <w:r w:rsidR="003B0BAB" w:rsidRPr="003B4362">
        <w:t xml:space="preserve">must </w:t>
      </w:r>
      <w:r w:rsidRPr="003B4362">
        <w:t xml:space="preserve">report results of </w:t>
      </w:r>
      <w:r w:rsidR="003B0BAB" w:rsidRPr="003B4362">
        <w:t xml:space="preserve">its investigations </w:t>
      </w:r>
      <w:r w:rsidRPr="003B4362">
        <w:t>to the Agency.</w:t>
      </w:r>
    </w:p>
    <w:p w14:paraId="2934D402" w14:textId="77777777" w:rsidR="00150379" w:rsidRDefault="00150379" w:rsidP="00150379">
      <w:pPr>
        <w:widowControl w:val="0"/>
        <w:suppressAutoHyphens/>
        <w:ind w:left="2160" w:hanging="720"/>
      </w:pPr>
    </w:p>
    <w:p w14:paraId="107071C1" w14:textId="6C94F2D5" w:rsidR="00002933" w:rsidRPr="003B4362" w:rsidRDefault="00002933" w:rsidP="00150379">
      <w:pPr>
        <w:widowControl w:val="0"/>
        <w:suppressAutoHyphens/>
        <w:ind w:left="2160" w:hanging="720"/>
      </w:pPr>
      <w:r w:rsidRPr="003B4362">
        <w:t>3)</w:t>
      </w:r>
      <w:r w:rsidRPr="003B4362">
        <w:tab/>
        <w:t xml:space="preserve">The Agency must petition the Board to reconsider or modify a variance or adjusted standard under Subpart I of 35 Ill. Adm. Code 101 if </w:t>
      </w:r>
      <w:r w:rsidR="003B0BAB" w:rsidRPr="003B4362">
        <w:t xml:space="preserve">the Agency </w:t>
      </w:r>
      <w:r w:rsidRPr="003B4362">
        <w:t xml:space="preserve">determines that an alternative method </w:t>
      </w:r>
      <w:r w:rsidR="003B0BAB" w:rsidRPr="003B4362">
        <w:t xml:space="preserve">the supplier </w:t>
      </w:r>
      <w:r w:rsidRPr="003B4362">
        <w:t>identified under subsection (a)(2) is technically feasible and would result in a significant reduction in fluoride.</w:t>
      </w:r>
    </w:p>
    <w:p w14:paraId="69694FE6" w14:textId="77777777" w:rsidR="00150379" w:rsidRDefault="00150379" w:rsidP="00150379">
      <w:pPr>
        <w:widowControl w:val="0"/>
        <w:suppressAutoHyphens/>
        <w:ind w:left="2160" w:hanging="720"/>
      </w:pPr>
    </w:p>
    <w:p w14:paraId="44C8AE9D" w14:textId="6AB629AA" w:rsidR="00002933" w:rsidRPr="003B4362" w:rsidRDefault="00002933" w:rsidP="00150379">
      <w:pPr>
        <w:widowControl w:val="0"/>
        <w:suppressAutoHyphens/>
        <w:ind w:left="2160" w:hanging="720"/>
      </w:pPr>
      <w:r w:rsidRPr="003B4362">
        <w:t>4)</w:t>
      </w:r>
      <w:r w:rsidRPr="003B4362">
        <w:tab/>
      </w:r>
      <w:r w:rsidR="00C75416" w:rsidRPr="003B4362">
        <w:t xml:space="preserve">Two processes are BAT </w:t>
      </w:r>
      <w:r w:rsidRPr="003B4362">
        <w:t>for fluoride:</w:t>
      </w:r>
    </w:p>
    <w:p w14:paraId="76EC95FF" w14:textId="77777777" w:rsidR="00150379" w:rsidRDefault="00150379" w:rsidP="00150379">
      <w:pPr>
        <w:widowControl w:val="0"/>
        <w:suppressAutoHyphens/>
        <w:ind w:left="2880" w:hanging="720"/>
      </w:pPr>
    </w:p>
    <w:p w14:paraId="61DF8B09" w14:textId="082B0F0A" w:rsidR="00002933" w:rsidRPr="003B4362" w:rsidRDefault="00002933" w:rsidP="00150379">
      <w:pPr>
        <w:widowControl w:val="0"/>
        <w:suppressAutoHyphens/>
        <w:ind w:left="2880" w:hanging="720"/>
      </w:pPr>
      <w:r w:rsidRPr="003B4362">
        <w:t>A)</w:t>
      </w:r>
      <w:r w:rsidRPr="003B4362">
        <w:tab/>
        <w:t>Activated alumina absorption centrally applied;</w:t>
      </w:r>
      <w:r w:rsidRPr="003B4362">
        <w:rPr>
          <w:spacing w:val="-3"/>
        </w:rPr>
        <w:t xml:space="preserve"> and</w:t>
      </w:r>
    </w:p>
    <w:p w14:paraId="4A06B671" w14:textId="77777777" w:rsidR="00150379" w:rsidRDefault="00150379" w:rsidP="00150379">
      <w:pPr>
        <w:widowControl w:val="0"/>
        <w:suppressAutoHyphens/>
        <w:ind w:left="2880" w:hanging="720"/>
      </w:pPr>
    </w:p>
    <w:p w14:paraId="57E5B57B" w14:textId="6D434DA5" w:rsidR="00002933" w:rsidRPr="003B4362" w:rsidRDefault="00002933" w:rsidP="00150379">
      <w:pPr>
        <w:widowControl w:val="0"/>
        <w:suppressAutoHyphens/>
        <w:ind w:left="2880" w:hanging="720"/>
      </w:pPr>
      <w:r w:rsidRPr="003B4362">
        <w:t>B)</w:t>
      </w:r>
      <w:r w:rsidRPr="003B4362">
        <w:tab/>
        <w:t>Reverse osmosis centrally applied.</w:t>
      </w:r>
    </w:p>
    <w:p w14:paraId="3586B5B5" w14:textId="77777777" w:rsidR="00EA5684" w:rsidRPr="003B4362" w:rsidRDefault="00EA5684" w:rsidP="00150379">
      <w:pPr>
        <w:widowControl w:val="0"/>
        <w:suppressAutoHyphens/>
        <w:ind w:left="2880" w:hanging="720"/>
      </w:pPr>
    </w:p>
    <w:p w14:paraId="22700807" w14:textId="47302479" w:rsidR="00002933" w:rsidRPr="003B4362" w:rsidRDefault="00002933" w:rsidP="00150379">
      <w:pPr>
        <w:ind w:left="1440"/>
      </w:pPr>
      <w:r w:rsidRPr="003B4362">
        <w:t xml:space="preserve">BOARD NOTE:  </w:t>
      </w:r>
      <w:r w:rsidR="00941516" w:rsidRPr="003B4362">
        <w:rPr>
          <w:spacing w:val="-3"/>
        </w:rPr>
        <w:t xml:space="preserve">This subsection derives </w:t>
      </w:r>
      <w:r w:rsidRPr="003B4362">
        <w:t>(a) from 40 CFR 142.61.</w:t>
      </w:r>
    </w:p>
    <w:p w14:paraId="3D1198FC" w14:textId="77777777" w:rsidR="00150379" w:rsidRDefault="00150379" w:rsidP="00150379">
      <w:pPr>
        <w:widowControl w:val="0"/>
        <w:suppressAutoHyphens/>
        <w:ind w:left="1440" w:hanging="720"/>
      </w:pPr>
    </w:p>
    <w:p w14:paraId="3EF0ADF0" w14:textId="7E91DE7F" w:rsidR="00002933" w:rsidRPr="003B4362" w:rsidRDefault="00002933" w:rsidP="00150379">
      <w:pPr>
        <w:widowControl w:val="0"/>
        <w:suppressAutoHyphens/>
        <w:ind w:left="1440" w:hanging="720"/>
      </w:pPr>
      <w:r w:rsidRPr="003B4362">
        <w:t>b)</w:t>
      </w:r>
      <w:r w:rsidRPr="003B4362">
        <w:tab/>
        <w:t>Relief from an IOC, VOC, or SOC MCL</w:t>
      </w:r>
    </w:p>
    <w:p w14:paraId="57F78715" w14:textId="77777777" w:rsidR="00150379" w:rsidRDefault="00150379" w:rsidP="00150379">
      <w:pPr>
        <w:widowControl w:val="0"/>
        <w:suppressAutoHyphens/>
        <w:ind w:left="2160" w:hanging="720"/>
      </w:pPr>
    </w:p>
    <w:p w14:paraId="324DAF46" w14:textId="6726D648" w:rsidR="00002933" w:rsidRPr="003B4362" w:rsidRDefault="00002933" w:rsidP="00150379">
      <w:pPr>
        <w:widowControl w:val="0"/>
        <w:suppressAutoHyphens/>
        <w:ind w:left="2160" w:hanging="720"/>
      </w:pPr>
      <w:r w:rsidRPr="003B4362">
        <w:t>1)</w:t>
      </w:r>
      <w:r w:rsidRPr="003B4362">
        <w:tab/>
      </w:r>
      <w:r w:rsidR="00C75416" w:rsidRPr="003B4362">
        <w:t xml:space="preserve">A </w:t>
      </w:r>
      <w:r w:rsidRPr="003B4362">
        <w:t xml:space="preserve">CWS or NTNCWS </w:t>
      </w:r>
      <w:r w:rsidR="00C75416" w:rsidRPr="003B4362">
        <w:t>must first appl</w:t>
      </w:r>
      <w:r w:rsidR="00803CB8" w:rsidRPr="003B4362">
        <w:t>y</w:t>
      </w:r>
      <w:r w:rsidR="00C75416" w:rsidRPr="003B4362">
        <w:t xml:space="preserve"> the </w:t>
      </w:r>
      <w:r w:rsidR="004B6F02" w:rsidRPr="003B4362">
        <w:t xml:space="preserve">appropriate </w:t>
      </w:r>
      <w:r w:rsidR="00C75416" w:rsidRPr="003B4362">
        <w:t xml:space="preserve">BAT </w:t>
      </w:r>
      <w:r w:rsidR="004B6F02" w:rsidRPr="003B4362">
        <w:t xml:space="preserve">for the contaminant </w:t>
      </w:r>
      <w:r w:rsidR="00C75416" w:rsidRPr="003B4362">
        <w:t xml:space="preserve">before the Board may grant </w:t>
      </w:r>
      <w:r w:rsidRPr="003B4362">
        <w:t xml:space="preserve">any variance or adjusted standard from the maximum contaminant levels for any VOC or SOC in Section 611.311(a) or (c) or any IOC in Section 611.301, unless the supplier </w:t>
      </w:r>
      <w:r w:rsidR="004B6F02" w:rsidRPr="003B4362">
        <w:t xml:space="preserve">demonstrates </w:t>
      </w:r>
      <w:r w:rsidRPr="003B4362">
        <w:t xml:space="preserve">through comprehensive engineering assessments that </w:t>
      </w:r>
      <w:r w:rsidR="004B6F02" w:rsidRPr="003B4362">
        <w:t xml:space="preserve">applying </w:t>
      </w:r>
      <w:r w:rsidRPr="003B4362">
        <w:t xml:space="preserve">BAT would achieve only a minimal and insignificant reduction in the </w:t>
      </w:r>
      <w:r w:rsidR="004B6F02" w:rsidRPr="003B4362">
        <w:t xml:space="preserve">contaminant </w:t>
      </w:r>
      <w:r w:rsidRPr="003B4362">
        <w:t>level.</w:t>
      </w:r>
    </w:p>
    <w:p w14:paraId="5CD180F7" w14:textId="77777777" w:rsidR="00150379" w:rsidRDefault="00150379" w:rsidP="00150379">
      <w:pPr>
        <w:widowControl w:val="0"/>
        <w:suppressAutoHyphens/>
        <w:ind w:left="2160"/>
      </w:pPr>
    </w:p>
    <w:p w14:paraId="6949D729" w14:textId="4E06254B" w:rsidR="00002933" w:rsidRPr="003B4362" w:rsidRDefault="00002933" w:rsidP="00150379">
      <w:pPr>
        <w:widowControl w:val="0"/>
        <w:suppressAutoHyphens/>
        <w:ind w:left="2160"/>
      </w:pPr>
      <w:r w:rsidRPr="003B4362">
        <w:t>BOARD NOTE:  USEPA lists BAT for each SOC and VOC at 40 CFR 142.62(a) for the purposes of variances and exemptions (adjusted standards).  That list is identical to the list at 40 CFR 141.61(b)</w:t>
      </w:r>
      <w:r w:rsidR="004B6F02" w:rsidRPr="003B4362">
        <w:t>, which corresponds with Section 611.311(b)</w:t>
      </w:r>
      <w:r w:rsidRPr="003B4362">
        <w:t>.</w:t>
      </w:r>
    </w:p>
    <w:p w14:paraId="72195888" w14:textId="77777777" w:rsidR="00150379" w:rsidRDefault="00150379" w:rsidP="00150379">
      <w:pPr>
        <w:widowControl w:val="0"/>
        <w:suppressAutoHyphens/>
        <w:ind w:left="2160" w:hanging="720"/>
      </w:pPr>
    </w:p>
    <w:p w14:paraId="50D02BB7" w14:textId="6C4D71F3" w:rsidR="00002933" w:rsidRPr="003B4362" w:rsidRDefault="00002933" w:rsidP="00150379">
      <w:pPr>
        <w:widowControl w:val="0"/>
        <w:suppressAutoHyphens/>
        <w:ind w:left="2160" w:hanging="720"/>
      </w:pPr>
      <w:r w:rsidRPr="003B4362">
        <w:t>2)</w:t>
      </w:r>
      <w:r w:rsidRPr="003B4362">
        <w:tab/>
        <w:t xml:space="preserve">The Board may require any of </w:t>
      </w:r>
      <w:r w:rsidR="004B6F02" w:rsidRPr="003B4362">
        <w:t xml:space="preserve">certain conditions in any </w:t>
      </w:r>
      <w:r w:rsidRPr="003B4362">
        <w:t>relief from an MCL in Section 611.301 or 611.311:</w:t>
      </w:r>
    </w:p>
    <w:p w14:paraId="5D3B166B" w14:textId="77777777" w:rsidR="00150379" w:rsidRDefault="00150379" w:rsidP="00150379">
      <w:pPr>
        <w:widowControl w:val="0"/>
        <w:suppressAutoHyphens/>
        <w:ind w:left="2880" w:hanging="720"/>
      </w:pPr>
    </w:p>
    <w:p w14:paraId="5D29F3EE" w14:textId="516650EB" w:rsidR="00002933" w:rsidRPr="003B4362" w:rsidRDefault="00002933" w:rsidP="00150379">
      <w:pPr>
        <w:widowControl w:val="0"/>
        <w:suppressAutoHyphens/>
        <w:ind w:left="2880" w:hanging="720"/>
      </w:pPr>
      <w:r w:rsidRPr="003B4362">
        <w:t>A)</w:t>
      </w:r>
      <w:r w:rsidRPr="003B4362">
        <w:tab/>
      </w:r>
      <w:r w:rsidR="004B6F02" w:rsidRPr="003B4362">
        <w:t xml:space="preserve">The </w:t>
      </w:r>
      <w:r w:rsidRPr="003B4362">
        <w:t xml:space="preserve">supplier </w:t>
      </w:r>
      <w:r w:rsidR="004B6F02" w:rsidRPr="003B4362">
        <w:t xml:space="preserve">must </w:t>
      </w:r>
      <w:r w:rsidRPr="003B4362">
        <w:t xml:space="preserve">continue </w:t>
      </w:r>
      <w:r w:rsidR="004B6F02" w:rsidRPr="003B4362">
        <w:t xml:space="preserve">investigating </w:t>
      </w:r>
      <w:r w:rsidRPr="003B4362">
        <w:t xml:space="preserve">alternative means </w:t>
      </w:r>
      <w:r w:rsidR="00BE13C6" w:rsidRPr="003B4362">
        <w:t xml:space="preserve">for complying on </w:t>
      </w:r>
      <w:r w:rsidRPr="003B4362">
        <w:t>a definite schedule;</w:t>
      </w:r>
      <w:r w:rsidRPr="003B4362">
        <w:rPr>
          <w:spacing w:val="-3"/>
        </w:rPr>
        <w:t xml:space="preserve"> and</w:t>
      </w:r>
    </w:p>
    <w:p w14:paraId="7E74EE03" w14:textId="77777777" w:rsidR="00150379" w:rsidRDefault="00150379" w:rsidP="00150379">
      <w:pPr>
        <w:widowControl w:val="0"/>
        <w:suppressAutoHyphens/>
        <w:ind w:left="2880" w:hanging="720"/>
      </w:pPr>
    </w:p>
    <w:p w14:paraId="2D7FD33E" w14:textId="3ED7F8EA" w:rsidR="00002933" w:rsidRPr="003B4362" w:rsidRDefault="00002933" w:rsidP="00150379">
      <w:pPr>
        <w:widowControl w:val="0"/>
        <w:suppressAutoHyphens/>
        <w:ind w:left="2880" w:hanging="720"/>
      </w:pPr>
      <w:r w:rsidRPr="003B4362">
        <w:t>B)</w:t>
      </w:r>
      <w:r w:rsidRPr="003B4362">
        <w:tab/>
      </w:r>
      <w:r w:rsidR="00BE13C6" w:rsidRPr="003B4362">
        <w:t xml:space="preserve">The supplier must </w:t>
      </w:r>
      <w:r w:rsidRPr="003B4362">
        <w:t xml:space="preserve">report results of </w:t>
      </w:r>
      <w:r w:rsidR="00BE13C6" w:rsidRPr="003B4362">
        <w:t xml:space="preserve">its </w:t>
      </w:r>
      <w:r w:rsidRPr="003B4362">
        <w:t>investigation to the Agency.</w:t>
      </w:r>
    </w:p>
    <w:p w14:paraId="1F3E00A7" w14:textId="77777777" w:rsidR="00150379" w:rsidRDefault="00150379" w:rsidP="00150379">
      <w:pPr>
        <w:widowControl w:val="0"/>
        <w:suppressAutoHyphens/>
        <w:ind w:left="2160" w:hanging="720"/>
      </w:pPr>
    </w:p>
    <w:p w14:paraId="1BD7CCF0" w14:textId="66DBF474" w:rsidR="00002933" w:rsidRPr="003B4362" w:rsidRDefault="00002933" w:rsidP="00150379">
      <w:pPr>
        <w:widowControl w:val="0"/>
        <w:suppressAutoHyphens/>
        <w:ind w:left="2160" w:hanging="720"/>
      </w:pPr>
      <w:r w:rsidRPr="003B4362">
        <w:t>3)</w:t>
      </w:r>
      <w:r w:rsidRPr="003B4362">
        <w:tab/>
        <w:t>The Agency must petition the Board to reconsider or modify a variance or adjusted standard, under Subpart I of 35 Ill. Adm. Code 101</w:t>
      </w:r>
      <w:r w:rsidR="00CF4816" w:rsidRPr="003B4362">
        <w:t xml:space="preserve"> if the Agency determines that an alternative method the supplier identified </w:t>
      </w:r>
      <w:r w:rsidRPr="003B4362">
        <w:t>under subsection (b)(2) is technically feasible.</w:t>
      </w:r>
    </w:p>
    <w:p w14:paraId="5EF71047" w14:textId="77777777" w:rsidR="00150379" w:rsidRDefault="00150379" w:rsidP="00150379">
      <w:pPr>
        <w:widowControl w:val="0"/>
        <w:suppressAutoHyphens/>
        <w:ind w:left="1440"/>
      </w:pPr>
    </w:p>
    <w:p w14:paraId="40DDDDBE" w14:textId="28ABB979" w:rsidR="00002933" w:rsidRPr="003B4362" w:rsidRDefault="00002933" w:rsidP="00150379">
      <w:pPr>
        <w:widowControl w:val="0"/>
        <w:suppressAutoHyphens/>
        <w:ind w:left="1440"/>
      </w:pPr>
      <w:r w:rsidRPr="003B4362">
        <w:t xml:space="preserve">BOARD NOTE:  </w:t>
      </w:r>
      <w:r w:rsidR="00941516" w:rsidRPr="003B4362">
        <w:rPr>
          <w:spacing w:val="-3"/>
        </w:rPr>
        <w:t xml:space="preserve">This subsection </w:t>
      </w:r>
      <w:r w:rsidRPr="003B4362">
        <w:t xml:space="preserve">(b) </w:t>
      </w:r>
      <w:r w:rsidR="00613F88" w:rsidRPr="003B4362">
        <w:rPr>
          <w:spacing w:val="-3"/>
        </w:rPr>
        <w:t xml:space="preserve">derives </w:t>
      </w:r>
      <w:r w:rsidRPr="003B4362">
        <w:t>from 40 CFR 142.62(a) through (e).</w:t>
      </w:r>
    </w:p>
    <w:p w14:paraId="55C4F47F" w14:textId="77777777" w:rsidR="00150379" w:rsidRDefault="00150379" w:rsidP="00150379">
      <w:pPr>
        <w:widowControl w:val="0"/>
        <w:suppressAutoHyphens/>
        <w:ind w:left="1440" w:hanging="720"/>
      </w:pPr>
    </w:p>
    <w:p w14:paraId="1A90919A" w14:textId="47384BE9" w:rsidR="00002933" w:rsidRPr="003B4362" w:rsidRDefault="00002933" w:rsidP="00150379">
      <w:pPr>
        <w:widowControl w:val="0"/>
        <w:suppressAutoHyphens/>
        <w:ind w:left="1440" w:hanging="720"/>
      </w:pPr>
      <w:r w:rsidRPr="003B4362">
        <w:t>c)</w:t>
      </w:r>
      <w:r w:rsidRPr="003B4362">
        <w:tab/>
        <w:t xml:space="preserve">Conditions Requiring Use of Bottled Water, a Point-of-Use Treatment Device, or a Point-of-Entry Treatment Device.  </w:t>
      </w:r>
      <w:r w:rsidR="00FD0727" w:rsidRPr="003B4362">
        <w:t xml:space="preserve">When </w:t>
      </w:r>
      <w:r w:rsidRPr="003B4362">
        <w:t xml:space="preserve">granting any variance or adjusted standard from the </w:t>
      </w:r>
      <w:r w:rsidR="00FD0727" w:rsidRPr="003B4362">
        <w:t xml:space="preserve">MCLs </w:t>
      </w:r>
      <w:r w:rsidRPr="003B4362">
        <w:t xml:space="preserve">for organic and inorganic chemicals or an adjusted standard from the treatment technique for lead and copper, the Board may impose certain conditions requiring the use of bottled water, a point-of-entry treatment device, or a point-of-use treatment device to avoid an unreasonable risk to </w:t>
      </w:r>
      <w:r w:rsidR="00FD0727" w:rsidRPr="003B4362">
        <w:t xml:space="preserve">human </w:t>
      </w:r>
      <w:r w:rsidRPr="003B4362">
        <w:t>health, limited as subsections (d) and (e)</w:t>
      </w:r>
      <w:r w:rsidR="00FD0727" w:rsidRPr="003B4362">
        <w:t xml:space="preserve"> provide</w:t>
      </w:r>
      <w:r w:rsidRPr="003B4362">
        <w:t>.</w:t>
      </w:r>
    </w:p>
    <w:p w14:paraId="7F981B19" w14:textId="77777777" w:rsidR="00150379" w:rsidRDefault="00150379" w:rsidP="00150379">
      <w:pPr>
        <w:widowControl w:val="0"/>
        <w:suppressAutoHyphens/>
        <w:ind w:left="2160" w:hanging="720"/>
      </w:pPr>
    </w:p>
    <w:p w14:paraId="372E70AD" w14:textId="7FE49795" w:rsidR="00002933" w:rsidRPr="003B4362" w:rsidRDefault="00002933" w:rsidP="00150379">
      <w:pPr>
        <w:widowControl w:val="0"/>
        <w:suppressAutoHyphens/>
        <w:ind w:left="2160" w:hanging="720"/>
      </w:pPr>
      <w:r w:rsidRPr="003B4362">
        <w:t>1)</w:t>
      </w:r>
      <w:r w:rsidRPr="003B4362">
        <w:tab/>
        <w:t xml:space="preserve">Relief from an MCL.  </w:t>
      </w:r>
      <w:r w:rsidR="00F370E2" w:rsidRPr="003B4362">
        <w:t xml:space="preserve">When granting a variance or adjusted standard from an MCL in Section 611.301 or 611.311, the </w:t>
      </w:r>
      <w:r w:rsidRPr="003B4362">
        <w:t xml:space="preserve">Board may impose a condition </w:t>
      </w:r>
      <w:r w:rsidR="00CF4816" w:rsidRPr="003B4362">
        <w:lastRenderedPageBreak/>
        <w:t xml:space="preserve">requiring </w:t>
      </w:r>
      <w:r w:rsidRPr="003B4362">
        <w:t xml:space="preserve">a supplier to use bottled water, a point-of-entry treatment device, a point-of-use treatment device, or other means to avoid an unreasonable risk to </w:t>
      </w:r>
      <w:r w:rsidR="00FD0727" w:rsidRPr="003B4362">
        <w:t xml:space="preserve">human </w:t>
      </w:r>
      <w:r w:rsidRPr="003B4362">
        <w:t>health.</w:t>
      </w:r>
    </w:p>
    <w:p w14:paraId="0A6DA915" w14:textId="77777777" w:rsidR="00150379" w:rsidRDefault="00150379" w:rsidP="00150379">
      <w:pPr>
        <w:widowControl w:val="0"/>
        <w:suppressAutoHyphens/>
        <w:ind w:left="2160" w:hanging="720"/>
      </w:pPr>
    </w:p>
    <w:p w14:paraId="0BA56B60" w14:textId="0954848C" w:rsidR="00002933" w:rsidRPr="003B4362" w:rsidRDefault="00002933" w:rsidP="00150379">
      <w:pPr>
        <w:widowControl w:val="0"/>
        <w:suppressAutoHyphens/>
        <w:ind w:left="2160" w:hanging="720"/>
      </w:pPr>
      <w:r w:rsidRPr="003B4362">
        <w:t>2)</w:t>
      </w:r>
      <w:r w:rsidRPr="003B4362">
        <w:tab/>
        <w:t xml:space="preserve">Relief from Corrosion Control Treatment.  </w:t>
      </w:r>
      <w:r w:rsidR="00A6631E" w:rsidRPr="003B4362">
        <w:t xml:space="preserve">When granting an adjusted standard from the corrosion control treatment requirements for lead and copper </w:t>
      </w:r>
      <w:r w:rsidR="00F370E2" w:rsidRPr="003B4362">
        <w:t>under</w:t>
      </w:r>
      <w:r w:rsidR="00A6631E" w:rsidRPr="003B4362">
        <w:t xml:space="preserve"> Sections 611.351 and 611.352, the </w:t>
      </w:r>
      <w:r w:rsidRPr="003B4362">
        <w:t xml:space="preserve">Board may impose a condition </w:t>
      </w:r>
      <w:r w:rsidR="00AC2353" w:rsidRPr="003B4362">
        <w:t xml:space="preserve">requiring </w:t>
      </w:r>
      <w:r w:rsidRPr="003B4362">
        <w:t xml:space="preserve">a supplier to use bottled water, a point-of-use treatment device, or other means but not a point-of-entry treatment device to avoid an unreasonable risk to </w:t>
      </w:r>
      <w:r w:rsidR="00D754DC" w:rsidRPr="003B4362">
        <w:t xml:space="preserve">human </w:t>
      </w:r>
      <w:r w:rsidRPr="003B4362">
        <w:t>health.</w:t>
      </w:r>
    </w:p>
    <w:p w14:paraId="07ADBA90" w14:textId="77777777" w:rsidR="00150379" w:rsidRDefault="00150379" w:rsidP="00150379">
      <w:pPr>
        <w:widowControl w:val="0"/>
        <w:suppressAutoHyphens/>
        <w:ind w:left="2160" w:hanging="720"/>
      </w:pPr>
    </w:p>
    <w:p w14:paraId="64150323" w14:textId="700B99ED" w:rsidR="00002933" w:rsidRDefault="00002933" w:rsidP="00150379">
      <w:pPr>
        <w:widowControl w:val="0"/>
        <w:suppressAutoHyphens/>
        <w:ind w:left="2160" w:hanging="720"/>
      </w:pPr>
      <w:r w:rsidRPr="003B4362">
        <w:t>3)</w:t>
      </w:r>
      <w:r w:rsidRPr="003B4362">
        <w:tab/>
        <w:t xml:space="preserve">Relief from Source Water Treatment or </w:t>
      </w:r>
      <w:r w:rsidR="00602172" w:rsidRPr="003B4362">
        <w:t xml:space="preserve">Replacing </w:t>
      </w:r>
      <w:r w:rsidRPr="003B4362">
        <w:t>Service</w:t>
      </w:r>
      <w:r w:rsidR="00602172" w:rsidRPr="003B4362">
        <w:t xml:space="preserve"> Lines</w:t>
      </w:r>
      <w:r w:rsidRPr="003B4362">
        <w:t xml:space="preserve">.  </w:t>
      </w:r>
      <w:r w:rsidR="00F370E2" w:rsidRPr="003B4362">
        <w:t xml:space="preserve">When granting an exemption from the source water treatment and lead service line replacement requirements under Section 611.353 or 611.354, the </w:t>
      </w:r>
      <w:r w:rsidRPr="003B4362">
        <w:t xml:space="preserve">Board may impose a condition </w:t>
      </w:r>
      <w:r w:rsidR="00AC2353" w:rsidRPr="003B4362">
        <w:t xml:space="preserve">requiring </w:t>
      </w:r>
      <w:r w:rsidRPr="003B4362">
        <w:t xml:space="preserve">a supplier to use a point-of-entry treatment device to avoid an unreasonable risk to </w:t>
      </w:r>
      <w:r w:rsidR="00D754DC" w:rsidRPr="003B4362">
        <w:t xml:space="preserve">human </w:t>
      </w:r>
      <w:r w:rsidRPr="003B4362">
        <w:t>health.</w:t>
      </w:r>
    </w:p>
    <w:p w14:paraId="081D03CD" w14:textId="77777777" w:rsidR="00150379" w:rsidRPr="003B4362" w:rsidRDefault="00150379" w:rsidP="00150379">
      <w:pPr>
        <w:widowControl w:val="0"/>
        <w:suppressAutoHyphens/>
        <w:ind w:left="2160" w:hanging="720"/>
      </w:pPr>
    </w:p>
    <w:p w14:paraId="15263793" w14:textId="614E756C" w:rsidR="00002933" w:rsidRPr="003B4362" w:rsidRDefault="00002933" w:rsidP="00150379">
      <w:pPr>
        <w:ind w:left="1440"/>
      </w:pPr>
      <w:r w:rsidRPr="003B4362">
        <w:t xml:space="preserve">BOARD NOTE:  </w:t>
      </w:r>
      <w:r w:rsidR="00613F88" w:rsidRPr="003B4362">
        <w:rPr>
          <w:spacing w:val="-3"/>
        </w:rPr>
        <w:t xml:space="preserve">This subsection </w:t>
      </w:r>
      <w:r w:rsidRPr="003B4362">
        <w:t xml:space="preserve">(c) </w:t>
      </w:r>
      <w:r w:rsidR="00613F88" w:rsidRPr="003B4362">
        <w:rPr>
          <w:spacing w:val="-3"/>
        </w:rPr>
        <w:t xml:space="preserve">derives </w:t>
      </w:r>
      <w:r w:rsidRPr="003B4362">
        <w:t>from 40 CFR 142.62(f).</w:t>
      </w:r>
    </w:p>
    <w:p w14:paraId="70DD8CB5" w14:textId="77777777" w:rsidR="00150379" w:rsidRDefault="00150379" w:rsidP="00150379">
      <w:pPr>
        <w:widowControl w:val="0"/>
        <w:suppressAutoHyphens/>
        <w:ind w:left="1440" w:hanging="720"/>
      </w:pPr>
    </w:p>
    <w:p w14:paraId="762EBE6B" w14:textId="5C2775C2" w:rsidR="00002933" w:rsidRPr="003B4362" w:rsidRDefault="00002933" w:rsidP="00150379">
      <w:pPr>
        <w:widowControl w:val="0"/>
        <w:suppressAutoHyphens/>
        <w:ind w:left="1440" w:hanging="720"/>
      </w:pPr>
      <w:r w:rsidRPr="003B4362">
        <w:t>d)</w:t>
      </w:r>
      <w:r w:rsidRPr="003B4362">
        <w:tab/>
      </w:r>
      <w:r w:rsidR="00602172" w:rsidRPr="003B4362">
        <w:t xml:space="preserve">Using </w:t>
      </w:r>
      <w:r w:rsidRPr="003B4362">
        <w:t xml:space="preserve">Bottled Water.  </w:t>
      </w:r>
      <w:r w:rsidR="00394D5D" w:rsidRPr="003B4362">
        <w:t xml:space="preserve">A supplier </w:t>
      </w:r>
      <w:r w:rsidR="00AC2353" w:rsidRPr="003B4362">
        <w:t xml:space="preserve">proposing </w:t>
      </w:r>
      <w:r w:rsidRPr="003B4362">
        <w:t xml:space="preserve">to use or </w:t>
      </w:r>
      <w:r w:rsidR="00AC2353" w:rsidRPr="003B4362">
        <w:t xml:space="preserve">using </w:t>
      </w:r>
      <w:r w:rsidRPr="003B4362">
        <w:t xml:space="preserve">bottled water as a condition for receiving a variance or an adjusted standard from requirements </w:t>
      </w:r>
      <w:r w:rsidR="00752E6F" w:rsidRPr="003B4362">
        <w:t xml:space="preserve">in </w:t>
      </w:r>
      <w:r w:rsidRPr="003B4362">
        <w:t xml:space="preserve">Section 611.301 or 611.311 or an adjusted standard from </w:t>
      </w:r>
      <w:r w:rsidR="00752E6F" w:rsidRPr="003B4362">
        <w:t xml:space="preserve">requirements in </w:t>
      </w:r>
      <w:r w:rsidRPr="003B4362">
        <w:t xml:space="preserve">Sections 611.351 through 611.354 must </w:t>
      </w:r>
      <w:r w:rsidR="00690469" w:rsidRPr="003B4362">
        <w:t xml:space="preserve">comply with </w:t>
      </w:r>
      <w:r w:rsidRPr="003B4362">
        <w:t>either subsections (d)(1), (d)(2), (d)(3), and (d)(6) or (d)(4), (d)(5), and (d)(6).</w:t>
      </w:r>
    </w:p>
    <w:p w14:paraId="0F127EBD" w14:textId="77777777" w:rsidR="00150379" w:rsidRDefault="00150379" w:rsidP="00150379">
      <w:pPr>
        <w:widowControl w:val="0"/>
        <w:suppressAutoHyphens/>
        <w:ind w:left="2160" w:hanging="720"/>
      </w:pPr>
    </w:p>
    <w:p w14:paraId="7A4BFBAA" w14:textId="7E6BF7E8" w:rsidR="00002933" w:rsidRPr="003B4362" w:rsidRDefault="00002933" w:rsidP="00150379">
      <w:pPr>
        <w:widowControl w:val="0"/>
        <w:suppressAutoHyphens/>
        <w:ind w:left="2160" w:hanging="720"/>
      </w:pPr>
      <w:r w:rsidRPr="003B4362">
        <w:t>1)</w:t>
      </w:r>
      <w:r w:rsidRPr="003B4362">
        <w:tab/>
        <w:t xml:space="preserve">The supplier must develop a monitoring program for Board approval </w:t>
      </w:r>
      <w:r w:rsidR="00752E6F" w:rsidRPr="003B4362">
        <w:t xml:space="preserve">providing </w:t>
      </w:r>
      <w:r w:rsidRPr="003B4362">
        <w:t xml:space="preserve">reasonable assurances that the bottled water meets all MCLs </w:t>
      </w:r>
      <w:r w:rsidR="00690469" w:rsidRPr="003B4362">
        <w:t xml:space="preserve">in </w:t>
      </w:r>
      <w:r w:rsidRPr="003B4362">
        <w:t>Sections 611.301 and 611.311</w:t>
      </w:r>
      <w:r w:rsidR="00D754DC" w:rsidRPr="003B4362">
        <w:t>,</w:t>
      </w:r>
      <w:r w:rsidRPr="003B4362">
        <w:t xml:space="preserve"> and </w:t>
      </w:r>
      <w:r w:rsidR="00D754DC" w:rsidRPr="003B4362">
        <w:t xml:space="preserve">the supplier must </w:t>
      </w:r>
      <w:r w:rsidR="00690469" w:rsidRPr="003B4362">
        <w:t>describ</w:t>
      </w:r>
      <w:r w:rsidR="00D754DC" w:rsidRPr="003B4362">
        <w:t xml:space="preserve">e </w:t>
      </w:r>
      <w:r w:rsidRPr="003B4362">
        <w:t xml:space="preserve">this program </w:t>
      </w:r>
      <w:r w:rsidR="00D754DC" w:rsidRPr="003B4362">
        <w:t xml:space="preserve">in </w:t>
      </w:r>
      <w:r w:rsidRPr="003B4362">
        <w:t xml:space="preserve">its petition.  The </w:t>
      </w:r>
      <w:r w:rsidR="00690469" w:rsidRPr="003B4362">
        <w:t xml:space="preserve">description </w:t>
      </w:r>
      <w:r w:rsidRPr="003B4362">
        <w:t xml:space="preserve">must </w:t>
      </w:r>
      <w:r w:rsidR="00690469" w:rsidRPr="003B4362">
        <w:t xml:space="preserve">demonstrate </w:t>
      </w:r>
      <w:r w:rsidRPr="003B4362">
        <w:t>how the supplier will comply with this subsection (d).</w:t>
      </w:r>
    </w:p>
    <w:p w14:paraId="0E3FEE33" w14:textId="77777777" w:rsidR="00150379" w:rsidRDefault="00150379" w:rsidP="00150379">
      <w:pPr>
        <w:widowControl w:val="0"/>
        <w:suppressAutoHyphens/>
        <w:ind w:left="2160" w:hanging="720"/>
      </w:pPr>
    </w:p>
    <w:p w14:paraId="50029F12" w14:textId="5394CB16" w:rsidR="00002933" w:rsidRPr="003B4362" w:rsidRDefault="00002933" w:rsidP="00150379">
      <w:pPr>
        <w:widowControl w:val="0"/>
        <w:suppressAutoHyphens/>
        <w:ind w:left="2160" w:hanging="720"/>
      </w:pPr>
      <w:r w:rsidRPr="003B4362">
        <w:t>2)</w:t>
      </w:r>
      <w:r w:rsidRPr="003B4362">
        <w:tab/>
        <w:t xml:space="preserve">The supplier must monitor representative samples of the bottled water for all contaminants under Sections 611.301 and 611.311 during the first three-month period that it supplies the bottled water to the public, </w:t>
      </w:r>
      <w:r w:rsidR="00961E53" w:rsidRPr="003B4362">
        <w:t xml:space="preserve">then </w:t>
      </w:r>
      <w:r w:rsidRPr="003B4362">
        <w:t>annually</w:t>
      </w:r>
      <w:r w:rsidR="00961E53" w:rsidRPr="003B4362">
        <w:t xml:space="preserve"> after that</w:t>
      </w:r>
      <w:r w:rsidRPr="003B4362">
        <w:t>.</w:t>
      </w:r>
    </w:p>
    <w:p w14:paraId="6E3D2D71" w14:textId="77777777" w:rsidR="00150379" w:rsidRDefault="00150379" w:rsidP="00150379">
      <w:pPr>
        <w:widowControl w:val="0"/>
        <w:suppressAutoHyphens/>
        <w:ind w:left="2160" w:hanging="720"/>
      </w:pPr>
    </w:p>
    <w:p w14:paraId="0F9D4830" w14:textId="45A1E0E3" w:rsidR="00002933" w:rsidRPr="003B4362" w:rsidRDefault="00002933" w:rsidP="00150379">
      <w:pPr>
        <w:widowControl w:val="0"/>
        <w:suppressAutoHyphens/>
        <w:ind w:left="2160" w:hanging="720"/>
      </w:pPr>
      <w:r w:rsidRPr="003B4362">
        <w:t>3)</w:t>
      </w:r>
      <w:r w:rsidRPr="003B4362">
        <w:tab/>
        <w:t xml:space="preserve">The supplier must annually provide the results of </w:t>
      </w:r>
      <w:r w:rsidR="00961E53" w:rsidRPr="003B4362">
        <w:t xml:space="preserve">its </w:t>
      </w:r>
      <w:r w:rsidRPr="003B4362">
        <w:t>monitoring to the Agency.</w:t>
      </w:r>
    </w:p>
    <w:p w14:paraId="3138FCCB" w14:textId="77777777" w:rsidR="00150379" w:rsidRDefault="00150379" w:rsidP="00150379">
      <w:pPr>
        <w:widowControl w:val="0"/>
        <w:suppressAutoHyphens/>
        <w:ind w:left="2160" w:hanging="720"/>
      </w:pPr>
    </w:p>
    <w:p w14:paraId="1FE71A54" w14:textId="3C05451B" w:rsidR="00002933" w:rsidRPr="003B4362" w:rsidRDefault="00002933" w:rsidP="00150379">
      <w:pPr>
        <w:widowControl w:val="0"/>
        <w:suppressAutoHyphens/>
        <w:ind w:left="2160" w:hanging="720"/>
      </w:pPr>
      <w:r w:rsidRPr="003B4362">
        <w:t>4)</w:t>
      </w:r>
      <w:r w:rsidRPr="003B4362">
        <w:tab/>
        <w:t>The supplier must receive a certification from the bottled water company:</w:t>
      </w:r>
    </w:p>
    <w:p w14:paraId="200EAE3F" w14:textId="77777777" w:rsidR="00150379" w:rsidRDefault="00150379" w:rsidP="00150379">
      <w:pPr>
        <w:widowControl w:val="0"/>
        <w:suppressAutoHyphens/>
        <w:ind w:left="2880" w:hanging="720"/>
      </w:pPr>
    </w:p>
    <w:p w14:paraId="7FE9C787" w14:textId="7246C55E" w:rsidR="00002933" w:rsidRPr="003B4362" w:rsidRDefault="00002933" w:rsidP="00150379">
      <w:pPr>
        <w:widowControl w:val="0"/>
        <w:suppressAutoHyphens/>
        <w:ind w:left="2880" w:hanging="720"/>
      </w:pPr>
      <w:r w:rsidRPr="003B4362">
        <w:t>A)</w:t>
      </w:r>
      <w:r w:rsidRPr="003B4362">
        <w:tab/>
        <w:t xml:space="preserve">That the </w:t>
      </w:r>
      <w:r w:rsidR="00564B0F" w:rsidRPr="003B4362">
        <w:t xml:space="preserve">supplier provides </w:t>
      </w:r>
      <w:r w:rsidRPr="003B4362">
        <w:t>bottled water from an approved source of bottled water, as Section 611.101</w:t>
      </w:r>
      <w:r w:rsidR="00961E53" w:rsidRPr="003B4362">
        <w:t xml:space="preserve"> defines</w:t>
      </w:r>
      <w:r w:rsidRPr="003B4362">
        <w:t>;</w:t>
      </w:r>
    </w:p>
    <w:p w14:paraId="125A525A" w14:textId="77777777" w:rsidR="00150379" w:rsidRDefault="00150379" w:rsidP="00150379">
      <w:pPr>
        <w:widowControl w:val="0"/>
        <w:suppressAutoHyphens/>
        <w:ind w:left="2880" w:hanging="720"/>
      </w:pPr>
    </w:p>
    <w:p w14:paraId="46987D07" w14:textId="6E3F6D8B" w:rsidR="00002933" w:rsidRPr="003B4362" w:rsidRDefault="00002933" w:rsidP="00150379">
      <w:pPr>
        <w:widowControl w:val="0"/>
        <w:suppressAutoHyphens/>
        <w:ind w:left="2880" w:hanging="720"/>
      </w:pPr>
      <w:r w:rsidRPr="003B4362">
        <w:t>B)</w:t>
      </w:r>
      <w:r w:rsidRPr="003B4362">
        <w:tab/>
        <w:t xml:space="preserve">That the approved source of bottled water </w:t>
      </w:r>
      <w:r w:rsidR="003119D2" w:rsidRPr="003B4362">
        <w:t>monitor</w:t>
      </w:r>
      <w:r w:rsidR="00564B0F" w:rsidRPr="003B4362">
        <w:t>s</w:t>
      </w:r>
      <w:r w:rsidR="003119D2" w:rsidRPr="003B4362">
        <w:t xml:space="preserve"> as </w:t>
      </w:r>
      <w:r w:rsidRPr="003B4362">
        <w:t xml:space="preserve">21 CFR </w:t>
      </w:r>
      <w:r w:rsidRPr="003B4362">
        <w:lastRenderedPageBreak/>
        <w:t>129.80(g)(1) through (g)(3)</w:t>
      </w:r>
      <w:r w:rsidR="003119D2" w:rsidRPr="003B4362">
        <w:t xml:space="preserve"> require</w:t>
      </w:r>
      <w:r w:rsidRPr="003B4362">
        <w:t>; and</w:t>
      </w:r>
    </w:p>
    <w:p w14:paraId="1EFF9B12" w14:textId="77777777" w:rsidR="00150379" w:rsidRDefault="00150379" w:rsidP="00150379">
      <w:pPr>
        <w:widowControl w:val="0"/>
        <w:suppressAutoHyphens/>
        <w:ind w:left="2880" w:hanging="720"/>
      </w:pPr>
    </w:p>
    <w:p w14:paraId="63016077" w14:textId="2E160D0E" w:rsidR="00002933" w:rsidRPr="003B4362" w:rsidRDefault="00002933" w:rsidP="00150379">
      <w:pPr>
        <w:widowControl w:val="0"/>
        <w:suppressAutoHyphens/>
        <w:ind w:left="2880" w:hanging="720"/>
      </w:pPr>
      <w:r w:rsidRPr="003B4362">
        <w:t>C)</w:t>
      </w:r>
      <w:r w:rsidRPr="003B4362">
        <w:tab/>
        <w:t xml:space="preserve">That the bottled water does not exceed any MCLs or quality limits in 21 CFR </w:t>
      </w:r>
      <w:r w:rsidR="00C3462C" w:rsidRPr="003B4362">
        <w:t xml:space="preserve">110, 129, and </w:t>
      </w:r>
      <w:r w:rsidRPr="003B4362">
        <w:t>165.110.</w:t>
      </w:r>
    </w:p>
    <w:p w14:paraId="608A9FA3" w14:textId="77777777" w:rsidR="005F3E16" w:rsidRPr="003B4362" w:rsidRDefault="005F3E16" w:rsidP="00150379">
      <w:pPr>
        <w:widowControl w:val="0"/>
        <w:suppressAutoHyphens/>
        <w:ind w:left="2160" w:hanging="720"/>
      </w:pPr>
    </w:p>
    <w:p w14:paraId="46DE96C9" w14:textId="2EB4937B" w:rsidR="00002933" w:rsidRPr="003B4362" w:rsidRDefault="00002933" w:rsidP="00150379">
      <w:pPr>
        <w:widowControl w:val="0"/>
        <w:suppressAutoHyphens/>
        <w:ind w:left="2160" w:hanging="720"/>
      </w:pPr>
      <w:r w:rsidRPr="003B4362">
        <w:t>5)</w:t>
      </w:r>
      <w:r w:rsidRPr="003B4362">
        <w:tab/>
        <w:t xml:space="preserve">The supplier must provide the certification subsection (d)(4) </w:t>
      </w:r>
      <w:r w:rsidR="00752E6F" w:rsidRPr="003B4362">
        <w:t xml:space="preserve">requires </w:t>
      </w:r>
      <w:r w:rsidRPr="003B4362">
        <w:t xml:space="preserve">to the Agency during the first quarter after it begins supplying bottled water </w:t>
      </w:r>
      <w:r w:rsidR="00752E6F" w:rsidRPr="003B4362">
        <w:t xml:space="preserve">then </w:t>
      </w:r>
      <w:r w:rsidRPr="003B4362">
        <w:t>annually</w:t>
      </w:r>
      <w:r w:rsidR="00961E53" w:rsidRPr="003B4362">
        <w:t xml:space="preserve"> after that</w:t>
      </w:r>
      <w:r w:rsidRPr="003B4362">
        <w:t>.</w:t>
      </w:r>
    </w:p>
    <w:p w14:paraId="039BBA20" w14:textId="77777777" w:rsidR="005F3E16" w:rsidRPr="003B4362" w:rsidRDefault="005F3E16" w:rsidP="00150379">
      <w:pPr>
        <w:widowControl w:val="0"/>
        <w:suppressAutoHyphens/>
        <w:ind w:left="2160" w:hanging="720"/>
      </w:pPr>
    </w:p>
    <w:p w14:paraId="644B89E3" w14:textId="324411DB" w:rsidR="00002933" w:rsidRPr="003B4362" w:rsidRDefault="00002933" w:rsidP="00150379">
      <w:pPr>
        <w:widowControl w:val="0"/>
        <w:suppressAutoHyphens/>
        <w:ind w:left="2160" w:hanging="720"/>
      </w:pPr>
      <w:r w:rsidRPr="003B4362">
        <w:t>6)</w:t>
      </w:r>
      <w:r w:rsidRPr="003B4362">
        <w:tab/>
        <w:t xml:space="preserve">The supplier must </w:t>
      </w:r>
      <w:r w:rsidR="00752E6F" w:rsidRPr="003B4362">
        <w:t xml:space="preserve">provide </w:t>
      </w:r>
      <w:r w:rsidRPr="003B4362">
        <w:t xml:space="preserve">sufficient quantities of bottled water to every affected person the supplier </w:t>
      </w:r>
      <w:r w:rsidR="003119D2" w:rsidRPr="003B4362">
        <w:t xml:space="preserve">serves </w:t>
      </w:r>
      <w:r w:rsidRPr="003B4362">
        <w:t>via door-to-door bottled water delivery.</w:t>
      </w:r>
    </w:p>
    <w:p w14:paraId="786DC390" w14:textId="77777777" w:rsidR="005F3E16" w:rsidRPr="003B4362" w:rsidRDefault="005F3E16" w:rsidP="00150379">
      <w:pPr>
        <w:widowControl w:val="0"/>
        <w:suppressAutoHyphens/>
        <w:ind w:left="2160" w:hanging="720"/>
      </w:pPr>
    </w:p>
    <w:p w14:paraId="40F5C6BF" w14:textId="32D38B60" w:rsidR="00002933" w:rsidRPr="003B4362" w:rsidRDefault="00002933" w:rsidP="00150379">
      <w:pPr>
        <w:ind w:left="1440"/>
      </w:pPr>
      <w:r w:rsidRPr="003B4362">
        <w:t xml:space="preserve">BOARD NOTE:  </w:t>
      </w:r>
      <w:r w:rsidR="00613F88" w:rsidRPr="003B4362">
        <w:rPr>
          <w:spacing w:val="-3"/>
        </w:rPr>
        <w:t xml:space="preserve">This subsection </w:t>
      </w:r>
      <w:r w:rsidRPr="003B4362">
        <w:t xml:space="preserve">(d) </w:t>
      </w:r>
      <w:r w:rsidR="00613F88" w:rsidRPr="003B4362">
        <w:rPr>
          <w:spacing w:val="-3"/>
        </w:rPr>
        <w:t xml:space="preserve">derives </w:t>
      </w:r>
      <w:r w:rsidRPr="003B4362">
        <w:t>from 40 CFR 142.62(g).</w:t>
      </w:r>
    </w:p>
    <w:p w14:paraId="6970718E" w14:textId="77777777" w:rsidR="00150379" w:rsidRDefault="00150379" w:rsidP="00150379">
      <w:pPr>
        <w:widowControl w:val="0"/>
        <w:suppressAutoHyphens/>
        <w:ind w:left="1440" w:hanging="720"/>
      </w:pPr>
    </w:p>
    <w:p w14:paraId="2FD65BD7" w14:textId="4EECB1DE" w:rsidR="00002933" w:rsidRPr="003B4362" w:rsidRDefault="00002933" w:rsidP="00150379">
      <w:pPr>
        <w:widowControl w:val="0"/>
        <w:suppressAutoHyphens/>
        <w:ind w:left="1440" w:hanging="720"/>
      </w:pPr>
      <w:r w:rsidRPr="003B4362">
        <w:t>e)</w:t>
      </w:r>
      <w:r w:rsidRPr="003B4362">
        <w:tab/>
      </w:r>
      <w:r w:rsidR="00602172" w:rsidRPr="003B4362">
        <w:t xml:space="preserve">Using </w:t>
      </w:r>
      <w:r w:rsidRPr="003B4362">
        <w:t xml:space="preserve">a Point-of-Entry Treatment Device.  Before the Board grants any PWS a variance or adjusted standard from </w:t>
      </w:r>
      <w:r w:rsidR="00961E53" w:rsidRPr="003B4362">
        <w:t xml:space="preserve">an </w:t>
      </w:r>
      <w:r w:rsidRPr="003B4362">
        <w:t>NPDWR</w:t>
      </w:r>
      <w:r w:rsidR="000777A0" w:rsidRPr="003B4362">
        <w:t>,</w:t>
      </w:r>
      <w:r w:rsidRPr="003B4362">
        <w:t xml:space="preserve"> </w:t>
      </w:r>
      <w:r w:rsidR="00151A87" w:rsidRPr="003B4362">
        <w:t xml:space="preserve">including </w:t>
      </w:r>
      <w:r w:rsidRPr="003B4362">
        <w:t xml:space="preserve">a condition requiring use of a point-of-entry treatment device, the supplier must demonstrate </w:t>
      </w:r>
      <w:r w:rsidR="00151A87" w:rsidRPr="003B4362">
        <w:t xml:space="preserve">certain </w:t>
      </w:r>
      <w:r w:rsidR="000777A0" w:rsidRPr="003B4362">
        <w:t>fact</w:t>
      </w:r>
      <w:r w:rsidR="00151A87" w:rsidRPr="003B4362">
        <w:t xml:space="preserve">s </w:t>
      </w:r>
      <w:r w:rsidRPr="003B4362">
        <w:t>to the Board:</w:t>
      </w:r>
    </w:p>
    <w:p w14:paraId="25FEBC2A" w14:textId="77777777" w:rsidR="00150379" w:rsidRDefault="00150379" w:rsidP="00150379">
      <w:pPr>
        <w:widowControl w:val="0"/>
        <w:suppressAutoHyphens/>
        <w:ind w:left="2160" w:hanging="720"/>
      </w:pPr>
    </w:p>
    <w:p w14:paraId="4D8E0166" w14:textId="19C1419C" w:rsidR="00002933" w:rsidRPr="003B4362" w:rsidRDefault="00002933" w:rsidP="00150379">
      <w:pPr>
        <w:widowControl w:val="0"/>
        <w:suppressAutoHyphens/>
        <w:ind w:left="2160" w:hanging="720"/>
      </w:pPr>
      <w:r w:rsidRPr="003B4362">
        <w:t>1)</w:t>
      </w:r>
      <w:r w:rsidRPr="003B4362">
        <w:tab/>
        <w:t>That the supplier will operate and maintain the device;</w:t>
      </w:r>
    </w:p>
    <w:p w14:paraId="6F5F7FA2" w14:textId="77777777" w:rsidR="00150379" w:rsidRDefault="00150379" w:rsidP="00150379">
      <w:pPr>
        <w:widowControl w:val="0"/>
        <w:suppressAutoHyphens/>
        <w:ind w:left="2160" w:hanging="720"/>
      </w:pPr>
    </w:p>
    <w:p w14:paraId="5BD88C08" w14:textId="38855D77" w:rsidR="00002933" w:rsidRPr="003B4362" w:rsidRDefault="00002933" w:rsidP="00150379">
      <w:pPr>
        <w:widowControl w:val="0"/>
        <w:suppressAutoHyphens/>
        <w:ind w:left="2160" w:hanging="720"/>
      </w:pPr>
      <w:r w:rsidRPr="003B4362">
        <w:t>2)</w:t>
      </w:r>
      <w:r w:rsidRPr="003B4362">
        <w:tab/>
        <w:t xml:space="preserve">That the device </w:t>
      </w:r>
      <w:r w:rsidR="00151A87" w:rsidRPr="003B4362">
        <w:t xml:space="preserve">protects human </w:t>
      </w:r>
      <w:r w:rsidRPr="003B4362">
        <w:t>health equivalent to central treatment;</w:t>
      </w:r>
    </w:p>
    <w:p w14:paraId="34A4E40A" w14:textId="77777777" w:rsidR="00150379" w:rsidRDefault="00150379" w:rsidP="00150379">
      <w:pPr>
        <w:widowControl w:val="0"/>
        <w:suppressAutoHyphens/>
        <w:ind w:left="2160" w:hanging="720"/>
      </w:pPr>
    </w:p>
    <w:p w14:paraId="1D80F0EA" w14:textId="3DB06F26" w:rsidR="00002933" w:rsidRPr="003B4362" w:rsidRDefault="00002933" w:rsidP="00150379">
      <w:pPr>
        <w:widowControl w:val="0"/>
        <w:suppressAutoHyphens/>
        <w:ind w:left="2160" w:hanging="720"/>
      </w:pPr>
      <w:r w:rsidRPr="003B4362">
        <w:t>3)</w:t>
      </w:r>
      <w:r w:rsidRPr="003B4362">
        <w:tab/>
        <w:t>That the supplier will maintain the microbiological safety of the water at all times;</w:t>
      </w:r>
    </w:p>
    <w:p w14:paraId="3D8FF58E" w14:textId="77777777" w:rsidR="00150379" w:rsidRDefault="00150379" w:rsidP="00150379">
      <w:pPr>
        <w:widowControl w:val="0"/>
        <w:suppressAutoHyphens/>
        <w:ind w:left="2160" w:hanging="720"/>
      </w:pPr>
    </w:p>
    <w:p w14:paraId="76A70AF6" w14:textId="34CD284E" w:rsidR="00002933" w:rsidRPr="003B4362" w:rsidRDefault="00002933" w:rsidP="00150379">
      <w:pPr>
        <w:widowControl w:val="0"/>
        <w:suppressAutoHyphens/>
        <w:ind w:left="2160" w:hanging="720"/>
      </w:pPr>
      <w:r w:rsidRPr="003B4362">
        <w:t>4)</w:t>
      </w:r>
      <w:r w:rsidRPr="003B4362">
        <w:tab/>
        <w:t xml:space="preserve">That the supplier </w:t>
      </w:r>
      <w:r w:rsidR="00A854C7" w:rsidRPr="003B4362">
        <w:t>has</w:t>
      </w:r>
      <w:r w:rsidRPr="003B4362">
        <w:t xml:space="preserve"> standards for performance, conducted a rigorous engineering design review, and field tested the device;</w:t>
      </w:r>
    </w:p>
    <w:p w14:paraId="6CDF08F8" w14:textId="77777777" w:rsidR="00150379" w:rsidRDefault="00150379" w:rsidP="00150379">
      <w:pPr>
        <w:widowControl w:val="0"/>
        <w:suppressAutoHyphens/>
        <w:ind w:left="2160" w:hanging="720"/>
      </w:pPr>
    </w:p>
    <w:p w14:paraId="015C63ED" w14:textId="56CC0B6C" w:rsidR="00002933" w:rsidRPr="003B4362" w:rsidRDefault="00002933" w:rsidP="00150379">
      <w:pPr>
        <w:widowControl w:val="0"/>
        <w:suppressAutoHyphens/>
        <w:ind w:left="2160" w:hanging="720"/>
      </w:pPr>
      <w:r w:rsidRPr="003B4362">
        <w:t>5)</w:t>
      </w:r>
      <w:r w:rsidRPr="003B4362">
        <w:tab/>
        <w:t xml:space="preserve">That </w:t>
      </w:r>
      <w:r w:rsidR="00924468" w:rsidRPr="003B4362">
        <w:t xml:space="preserve">operating </w:t>
      </w:r>
      <w:r w:rsidRPr="003B4362">
        <w:t xml:space="preserve">and </w:t>
      </w:r>
      <w:r w:rsidR="00924468" w:rsidRPr="003B4362">
        <w:t xml:space="preserve">maintaining </w:t>
      </w:r>
      <w:r w:rsidRPr="003B4362">
        <w:t xml:space="preserve">the device will account for any potential for increased concentrations of heterotrophic bacteria resulting </w:t>
      </w:r>
      <w:r w:rsidR="00924468" w:rsidRPr="003B4362">
        <w:t xml:space="preserve">from using </w:t>
      </w:r>
      <w:r w:rsidRPr="003B4362">
        <w:t>activated carbon by backwashing, post-contactor disinfection, and heterotrophic plate count monitoring;</w:t>
      </w:r>
    </w:p>
    <w:p w14:paraId="0A61E1A2" w14:textId="77777777" w:rsidR="00150379" w:rsidRDefault="00150379" w:rsidP="00150379">
      <w:pPr>
        <w:widowControl w:val="0"/>
        <w:suppressAutoHyphens/>
        <w:ind w:left="2160" w:hanging="720"/>
      </w:pPr>
    </w:p>
    <w:p w14:paraId="50722595" w14:textId="43681106" w:rsidR="00002933" w:rsidRPr="003B4362" w:rsidRDefault="00002933" w:rsidP="00150379">
      <w:pPr>
        <w:widowControl w:val="0"/>
        <w:suppressAutoHyphens/>
        <w:ind w:left="2160" w:hanging="720"/>
      </w:pPr>
      <w:r w:rsidRPr="003B4362">
        <w:t>6)</w:t>
      </w:r>
      <w:r w:rsidRPr="003B4362">
        <w:tab/>
        <w:t xml:space="preserve">That buildings connected to the supplier’s distribution system have sufficient devices properly installed, maintained, and monitored to </w:t>
      </w:r>
      <w:r w:rsidR="00924468" w:rsidRPr="003B4362">
        <w:t xml:space="preserve">ensure protecting </w:t>
      </w:r>
      <w:r w:rsidRPr="003B4362">
        <w:t>all consumers; and</w:t>
      </w:r>
    </w:p>
    <w:p w14:paraId="3EA0776B" w14:textId="77777777" w:rsidR="00150379" w:rsidRDefault="00150379" w:rsidP="00150379">
      <w:pPr>
        <w:widowControl w:val="0"/>
        <w:suppressAutoHyphens/>
        <w:ind w:left="2160" w:hanging="720"/>
      </w:pPr>
    </w:p>
    <w:p w14:paraId="46189E98" w14:textId="6819BE25" w:rsidR="00002933" w:rsidRPr="003B4362" w:rsidRDefault="00002933" w:rsidP="00150379">
      <w:pPr>
        <w:widowControl w:val="0"/>
        <w:suppressAutoHyphens/>
        <w:ind w:left="2160" w:hanging="720"/>
      </w:pPr>
      <w:r w:rsidRPr="003B4362">
        <w:t>7)</w:t>
      </w:r>
      <w:r w:rsidRPr="003B4362">
        <w:tab/>
        <w:t xml:space="preserve">That </w:t>
      </w:r>
      <w:r w:rsidR="00924468" w:rsidRPr="003B4362">
        <w:t xml:space="preserve">using </w:t>
      </w:r>
      <w:r w:rsidRPr="003B4362">
        <w:t>the device will not cause increased corrosion of lead</w:t>
      </w:r>
      <w:r w:rsidR="00924468" w:rsidRPr="003B4362">
        <w:t>-</w:t>
      </w:r>
      <w:r w:rsidRPr="003B4362">
        <w:t xml:space="preserve"> and copper</w:t>
      </w:r>
      <w:r w:rsidR="00924468" w:rsidRPr="003B4362">
        <w:t>-</w:t>
      </w:r>
      <w:r w:rsidRPr="003B4362">
        <w:t>bearing materials between the device and tap that could increase contaminant levels at the tap.</w:t>
      </w:r>
    </w:p>
    <w:p w14:paraId="2C43F2B2" w14:textId="77777777" w:rsidR="00150379" w:rsidRDefault="00150379" w:rsidP="00150379">
      <w:pPr>
        <w:widowControl w:val="0"/>
        <w:suppressAutoHyphens/>
        <w:ind w:left="1440"/>
        <w:outlineLvl w:val="0"/>
      </w:pPr>
    </w:p>
    <w:p w14:paraId="39890DE1" w14:textId="2D1225E1" w:rsidR="00002933" w:rsidRPr="003B4362" w:rsidRDefault="00002933" w:rsidP="00150379">
      <w:pPr>
        <w:widowControl w:val="0"/>
        <w:suppressAutoHyphens/>
        <w:ind w:left="1440"/>
        <w:outlineLvl w:val="0"/>
      </w:pPr>
      <w:r w:rsidRPr="003B4362">
        <w:t xml:space="preserve">BOARD NOTE:  </w:t>
      </w:r>
      <w:r w:rsidR="0021011C" w:rsidRPr="003B4362">
        <w:rPr>
          <w:spacing w:val="-3"/>
        </w:rPr>
        <w:t xml:space="preserve">This subsection </w:t>
      </w:r>
      <w:r w:rsidRPr="003B4362">
        <w:t xml:space="preserve">(e) </w:t>
      </w:r>
      <w:r w:rsidR="0021011C" w:rsidRPr="003B4362">
        <w:rPr>
          <w:spacing w:val="-3"/>
        </w:rPr>
        <w:t xml:space="preserve">derives </w:t>
      </w:r>
      <w:r w:rsidRPr="003B4362">
        <w:t>from 40 CFR 142.62(h).</w:t>
      </w:r>
    </w:p>
    <w:p w14:paraId="4B3E2642" w14:textId="77777777" w:rsidR="00150379" w:rsidRDefault="00150379" w:rsidP="00150379">
      <w:pPr>
        <w:widowControl w:val="0"/>
        <w:ind w:left="1440" w:hanging="720"/>
      </w:pPr>
    </w:p>
    <w:p w14:paraId="59E6305A" w14:textId="45C254DB" w:rsidR="00002933" w:rsidRPr="003B4362" w:rsidRDefault="00002933" w:rsidP="00150379">
      <w:pPr>
        <w:widowControl w:val="0"/>
        <w:ind w:left="1440" w:hanging="720"/>
      </w:pPr>
      <w:r w:rsidRPr="003B4362">
        <w:t>f)</w:t>
      </w:r>
      <w:r w:rsidRPr="003B4362">
        <w:tab/>
        <w:t>Relief from the Maximum Contaminant Levels for Radionuclides</w:t>
      </w:r>
    </w:p>
    <w:p w14:paraId="20319B4D" w14:textId="77777777" w:rsidR="00150379" w:rsidRDefault="00150379" w:rsidP="00150379">
      <w:pPr>
        <w:widowControl w:val="0"/>
        <w:ind w:left="2160" w:hanging="720"/>
      </w:pPr>
    </w:p>
    <w:p w14:paraId="6ED9CEB3" w14:textId="2A4E7D82" w:rsidR="00002933" w:rsidRPr="003B4362" w:rsidRDefault="00002933" w:rsidP="00150379">
      <w:pPr>
        <w:widowControl w:val="0"/>
        <w:ind w:left="2160" w:hanging="720"/>
      </w:pPr>
      <w:r w:rsidRPr="003B4362">
        <w:t>1)</w:t>
      </w:r>
      <w:r w:rsidRPr="003B4362">
        <w:tab/>
        <w:t>Relief from the Maximum Contaminant Levels for Combined Radium-226 and Radium-228, Uranium, Gross Alpha Particle Activity (Excluding Radon and Uranium), and Beta Particle and Photon Radioactivity</w:t>
      </w:r>
    </w:p>
    <w:p w14:paraId="1A4467F5" w14:textId="77777777" w:rsidR="00150379" w:rsidRDefault="00150379" w:rsidP="00150379">
      <w:pPr>
        <w:widowControl w:val="0"/>
        <w:ind w:left="2880" w:hanging="720"/>
      </w:pPr>
    </w:p>
    <w:p w14:paraId="34DB9959" w14:textId="2A1F9FDB" w:rsidR="00002933" w:rsidRPr="003B4362" w:rsidRDefault="00002933" w:rsidP="00150379">
      <w:pPr>
        <w:widowControl w:val="0"/>
        <w:ind w:left="2880" w:hanging="720"/>
      </w:pPr>
      <w:r w:rsidRPr="003B4362">
        <w:t>A)</w:t>
      </w:r>
      <w:r w:rsidRPr="003B4362">
        <w:tab/>
      </w:r>
      <w:r w:rsidR="009F3B8E" w:rsidRPr="003B4362">
        <w:t xml:space="preserve">For relief equivalent </w:t>
      </w:r>
      <w:r w:rsidR="00612EEE" w:rsidRPr="003B4362">
        <w:t xml:space="preserve">to a federal section 1415 variance or section 1416 exemption, </w:t>
      </w:r>
      <w:r w:rsidRPr="003B4362">
        <w:t xml:space="preserve">Section 611.330(g) </w:t>
      </w:r>
      <w:r w:rsidR="0078684F" w:rsidRPr="003B4362">
        <w:t xml:space="preserve">lists </w:t>
      </w:r>
      <w:r w:rsidRPr="003B4362">
        <w:t xml:space="preserve">what USEPA </w:t>
      </w:r>
      <w:r w:rsidR="0078684F" w:rsidRPr="003B4362">
        <w:t xml:space="preserve">identifies </w:t>
      </w:r>
      <w:r w:rsidRPr="003B4362">
        <w:t xml:space="preserve">as BAT, treatment techniques, or other means for </w:t>
      </w:r>
      <w:r w:rsidR="0078684F" w:rsidRPr="003B4362">
        <w:t xml:space="preserve">complying </w:t>
      </w:r>
      <w:r w:rsidRPr="003B4362">
        <w:t xml:space="preserve">with the </w:t>
      </w:r>
      <w:r w:rsidR="0078684F" w:rsidRPr="003B4362">
        <w:t xml:space="preserve">MCLs </w:t>
      </w:r>
      <w:r w:rsidRPr="003B4362">
        <w:t>for the radionuclides in Section 611.330(b), (c), (d), and (e).</w:t>
      </w:r>
    </w:p>
    <w:p w14:paraId="4B82F65D" w14:textId="77777777" w:rsidR="00150379" w:rsidRDefault="00150379" w:rsidP="00150379">
      <w:pPr>
        <w:widowControl w:val="0"/>
        <w:ind w:left="2880" w:hanging="720"/>
      </w:pPr>
    </w:p>
    <w:p w14:paraId="6796A998" w14:textId="4D54DBD9" w:rsidR="00002933" w:rsidRPr="003B4362" w:rsidRDefault="00002933" w:rsidP="00150379">
      <w:pPr>
        <w:widowControl w:val="0"/>
        <w:ind w:left="2880" w:hanging="720"/>
      </w:pPr>
      <w:r w:rsidRPr="003B4362">
        <w:t>B)</w:t>
      </w:r>
      <w:r w:rsidRPr="003B4362">
        <w:tab/>
      </w:r>
      <w:r w:rsidR="00554304" w:rsidRPr="003B4362">
        <w:t xml:space="preserve">For relief equivalent to a federal section 1415 variance or section 1416 exemption for a small system, defined here as one serving 10,000 persons or fewer, </w:t>
      </w:r>
      <w:r w:rsidRPr="003B4362">
        <w:t xml:space="preserve">Section 611.330(h) </w:t>
      </w:r>
      <w:r w:rsidR="0078684F" w:rsidRPr="003B4362">
        <w:t xml:space="preserve">lists </w:t>
      </w:r>
      <w:r w:rsidRPr="003B4362">
        <w:t xml:space="preserve">what USEPA </w:t>
      </w:r>
      <w:r w:rsidR="0078684F" w:rsidRPr="003B4362">
        <w:t xml:space="preserve">identifies </w:t>
      </w:r>
      <w:r w:rsidRPr="003B4362">
        <w:t xml:space="preserve">as BAT, treatment techniques, or other means available for </w:t>
      </w:r>
      <w:r w:rsidR="0078684F" w:rsidRPr="003B4362">
        <w:t xml:space="preserve">complying </w:t>
      </w:r>
      <w:r w:rsidRPr="003B4362">
        <w:t xml:space="preserve">with the </w:t>
      </w:r>
      <w:r w:rsidR="0078684F" w:rsidRPr="003B4362">
        <w:t xml:space="preserve">MCLs </w:t>
      </w:r>
      <w:r w:rsidRPr="003B4362">
        <w:t>for the radionuclides listed in Section 611.330(b), (c), (d), and (e),</w:t>
      </w:r>
      <w:r w:rsidR="00554304" w:rsidRPr="003B4362">
        <w:t xml:space="preserve"> in addition to the technologies in Section 611.330(g) </w:t>
      </w:r>
      <w:r w:rsidRPr="003B4362">
        <w:t xml:space="preserve">for issuing relief equivalent to a federal section 1415 </w:t>
      </w:r>
      <w:r w:rsidR="00892557" w:rsidRPr="003B4362">
        <w:t xml:space="preserve">small system </w:t>
      </w:r>
      <w:r w:rsidRPr="003B4362">
        <w:t>variance or a section 1416 exemption.</w:t>
      </w:r>
    </w:p>
    <w:p w14:paraId="7055203C" w14:textId="77777777" w:rsidR="00150379" w:rsidRDefault="00150379" w:rsidP="00150379">
      <w:pPr>
        <w:widowControl w:val="0"/>
        <w:ind w:left="2160" w:hanging="720"/>
      </w:pPr>
    </w:p>
    <w:p w14:paraId="19F52A40" w14:textId="7A322227" w:rsidR="00002933" w:rsidRPr="003B4362" w:rsidRDefault="00002933" w:rsidP="00150379">
      <w:pPr>
        <w:widowControl w:val="0"/>
        <w:ind w:left="2160" w:hanging="720"/>
      </w:pPr>
      <w:r w:rsidRPr="003B4362">
        <w:t>2)</w:t>
      </w:r>
      <w:r w:rsidRPr="003B4362">
        <w:tab/>
      </w:r>
      <w:r w:rsidR="00A32D9D" w:rsidRPr="003B4362">
        <w:t>As a</w:t>
      </w:r>
      <w:r w:rsidR="00932E07" w:rsidRPr="003B4362">
        <w:t xml:space="preserve"> </w:t>
      </w:r>
      <w:r w:rsidR="00A32D9D" w:rsidRPr="003B4362">
        <w:t xml:space="preserve">condition for relief equivalent to a federal 1415 variance or section 1416 exemption, the </w:t>
      </w:r>
      <w:r w:rsidRPr="003B4362">
        <w:t xml:space="preserve">Board will require a CWS supplier to install and use any treatment technology in Section 611.330(g) </w:t>
      </w:r>
      <w:r w:rsidR="00F62F31" w:rsidRPr="003B4362">
        <w:t>(</w:t>
      </w:r>
      <w:r w:rsidRPr="003B4362">
        <w:t>or</w:t>
      </w:r>
      <w:r w:rsidR="00F62F31" w:rsidRPr="003B4362">
        <w:t xml:space="preserve"> 611.330(h) for a </w:t>
      </w:r>
      <w:r w:rsidRPr="003B4362">
        <w:t xml:space="preserve">small </w:t>
      </w:r>
      <w:r w:rsidR="00280E37" w:rsidRPr="003B4362">
        <w:t>s</w:t>
      </w:r>
      <w:r w:rsidR="00892557" w:rsidRPr="003B4362">
        <w:t>ystem</w:t>
      </w:r>
      <w:r w:rsidR="00280E37" w:rsidRPr="003B4362">
        <w:t xml:space="preserve"> </w:t>
      </w:r>
      <w:r w:rsidRPr="003B4362">
        <w:t>serving 10,000 persons or fewer, except as subsection (f)(3)</w:t>
      </w:r>
      <w:r w:rsidR="00A32D9D" w:rsidRPr="003B4362">
        <w:t xml:space="preserve"> provides otherwise</w:t>
      </w:r>
      <w:r w:rsidRPr="003B4362">
        <w:t>.  If</w:t>
      </w:r>
      <w:r w:rsidR="00F62F31" w:rsidRPr="003B4362">
        <w:t xml:space="preserve"> the supplier cannot meet the MCL</w:t>
      </w:r>
      <w:r w:rsidRPr="003B4362">
        <w:t xml:space="preserve"> after </w:t>
      </w:r>
      <w:r w:rsidR="00F62F31" w:rsidRPr="003B4362">
        <w:t xml:space="preserve">installing </w:t>
      </w:r>
      <w:r w:rsidRPr="003B4362">
        <w:t xml:space="preserve">the treatment technology, </w:t>
      </w:r>
      <w:r w:rsidR="00F62F31" w:rsidRPr="003B4362">
        <w:t xml:space="preserve">the supplier is </w:t>
      </w:r>
      <w:r w:rsidRPr="003B4362">
        <w:t>eligible for relief.</w:t>
      </w:r>
    </w:p>
    <w:p w14:paraId="203D02DF" w14:textId="77777777" w:rsidR="00150379" w:rsidRDefault="00150379" w:rsidP="00150379">
      <w:pPr>
        <w:widowControl w:val="0"/>
        <w:ind w:left="2160" w:hanging="720"/>
      </w:pPr>
    </w:p>
    <w:p w14:paraId="6D62A0A7" w14:textId="0CC2978F" w:rsidR="00002933" w:rsidRPr="003B4362" w:rsidRDefault="00002933" w:rsidP="00150379">
      <w:pPr>
        <w:widowControl w:val="0"/>
        <w:ind w:left="2160" w:hanging="720"/>
      </w:pPr>
      <w:r w:rsidRPr="003B4362">
        <w:t>3)</w:t>
      </w:r>
      <w:r w:rsidRPr="003B4362">
        <w:tab/>
        <w:t xml:space="preserve">If a CWS supplier </w:t>
      </w:r>
      <w:r w:rsidR="001717DC" w:rsidRPr="003B4362">
        <w:t xml:space="preserve">demonstrates by </w:t>
      </w:r>
      <w:r w:rsidRPr="003B4362">
        <w:t xml:space="preserve">comprehensive engineering assessments, which may include pilot plant studies, that the treatment technologies identified in this Section would only achieve a de </w:t>
      </w:r>
      <w:r w:rsidR="00E917BD" w:rsidRPr="003B4362">
        <w:t xml:space="preserve">minimis </w:t>
      </w:r>
      <w:r w:rsidRPr="003B4362">
        <w:t xml:space="preserve"> reduction in the contaminant level, the Board may issue a schedule of compliance </w:t>
      </w:r>
      <w:r w:rsidR="001717DC" w:rsidRPr="003B4362">
        <w:t xml:space="preserve">requiring </w:t>
      </w:r>
      <w:r w:rsidRPr="003B4362">
        <w:t>the system to examine other treatment technologies as a condition of obtaining relief</w:t>
      </w:r>
      <w:r w:rsidR="004A42B5" w:rsidRPr="003B4362">
        <w:t xml:space="preserve"> equivalent to a federal section 1415 variance or section 1416 exemption</w:t>
      </w:r>
      <w:r w:rsidRPr="003B4362">
        <w:t>.</w:t>
      </w:r>
    </w:p>
    <w:p w14:paraId="2E0DCA0E" w14:textId="77777777" w:rsidR="00150379" w:rsidRDefault="00150379" w:rsidP="00150379">
      <w:pPr>
        <w:widowControl w:val="0"/>
        <w:ind w:left="2160" w:hanging="720"/>
      </w:pPr>
    </w:p>
    <w:p w14:paraId="7BBA2AD7" w14:textId="5FA3E825" w:rsidR="00002933" w:rsidRPr="003B4362" w:rsidRDefault="00002933" w:rsidP="00150379">
      <w:pPr>
        <w:widowControl w:val="0"/>
        <w:ind w:left="2160" w:hanging="720"/>
      </w:pPr>
      <w:r w:rsidRPr="003B4362">
        <w:t>4)</w:t>
      </w:r>
      <w:r w:rsidRPr="003B4362">
        <w:tab/>
        <w:t xml:space="preserve">If the Agency determines that a treatment technology identified under subsection (f)(3) is technically feasible, </w:t>
      </w:r>
      <w:r w:rsidR="005F730A" w:rsidRPr="003B4362">
        <w:t xml:space="preserve">the Agency </w:t>
      </w:r>
      <w:r w:rsidRPr="003B4362">
        <w:t xml:space="preserve">may request that the Board require the supplier to install and use that treatment technology </w:t>
      </w:r>
      <w:r w:rsidR="005F730A" w:rsidRPr="003B4362">
        <w:t xml:space="preserve">on </w:t>
      </w:r>
      <w:r w:rsidRPr="003B4362">
        <w:t xml:space="preserve">a compliance schedule under Section 36 of the Act.  The </w:t>
      </w:r>
      <w:r w:rsidR="001717DC" w:rsidRPr="003B4362">
        <w:t xml:space="preserve">Agency must base its </w:t>
      </w:r>
      <w:r w:rsidRPr="003B4362">
        <w:t xml:space="preserve">determination </w:t>
      </w:r>
      <w:r w:rsidR="001717DC" w:rsidRPr="003B4362">
        <w:t xml:space="preserve">on the supplier’s </w:t>
      </w:r>
      <w:r w:rsidRPr="003B4362">
        <w:t>studies and other relevant information.</w:t>
      </w:r>
    </w:p>
    <w:p w14:paraId="31D6986C" w14:textId="77777777" w:rsidR="00150379" w:rsidRDefault="00150379" w:rsidP="00150379">
      <w:pPr>
        <w:widowControl w:val="0"/>
        <w:ind w:left="2160" w:hanging="720"/>
      </w:pPr>
    </w:p>
    <w:p w14:paraId="300A63D5" w14:textId="620D432A" w:rsidR="00002933" w:rsidRPr="003B4362" w:rsidRDefault="00002933" w:rsidP="00150379">
      <w:pPr>
        <w:widowControl w:val="0"/>
        <w:ind w:left="2160" w:hanging="720"/>
      </w:pPr>
      <w:r w:rsidRPr="003B4362">
        <w:t>5)</w:t>
      </w:r>
      <w:r w:rsidRPr="003B4362">
        <w:tab/>
      </w:r>
      <w:r w:rsidR="005F730A" w:rsidRPr="003B4362">
        <w:t xml:space="preserve">To avoid unreasonable risk to human health, the </w:t>
      </w:r>
      <w:r w:rsidRPr="003B4362">
        <w:t xml:space="preserve">Board may require a CWS </w:t>
      </w:r>
      <w:r w:rsidR="001717DC" w:rsidRPr="003B4362">
        <w:t xml:space="preserve">supplier </w:t>
      </w:r>
      <w:r w:rsidRPr="003B4362">
        <w:t xml:space="preserve">to use bottled water, point-of-use devices, point-of-entry devices, or other means as a condition of relief equivalent to a federal section 1415 variance or a section 1416 exemption from requirements </w:t>
      </w:r>
      <w:r w:rsidR="005F730A" w:rsidRPr="003B4362">
        <w:t xml:space="preserve">in </w:t>
      </w:r>
      <w:r w:rsidRPr="003B4362">
        <w:lastRenderedPageBreak/>
        <w:t>Section 611.330.</w:t>
      </w:r>
    </w:p>
    <w:p w14:paraId="3879CC2D" w14:textId="77777777" w:rsidR="00150379" w:rsidRDefault="00150379" w:rsidP="00150379">
      <w:pPr>
        <w:widowControl w:val="0"/>
        <w:ind w:left="2160" w:hanging="720"/>
      </w:pPr>
    </w:p>
    <w:p w14:paraId="19A4A13F" w14:textId="10A22BDF" w:rsidR="00002933" w:rsidRPr="003B4362" w:rsidRDefault="00002933" w:rsidP="00150379">
      <w:pPr>
        <w:widowControl w:val="0"/>
        <w:ind w:left="2160" w:hanging="720"/>
      </w:pPr>
      <w:r w:rsidRPr="003B4362">
        <w:t>6)</w:t>
      </w:r>
      <w:r w:rsidRPr="003B4362">
        <w:tab/>
        <w:t xml:space="preserve">A CWS supplier </w:t>
      </w:r>
      <w:r w:rsidR="00266EAE" w:rsidRPr="003B4362">
        <w:t xml:space="preserve">using </w:t>
      </w:r>
      <w:r w:rsidRPr="003B4362">
        <w:t xml:space="preserve">bottled water as a condition </w:t>
      </w:r>
      <w:r w:rsidR="00266EAE" w:rsidRPr="003B4362">
        <w:t xml:space="preserve">to </w:t>
      </w:r>
      <w:r w:rsidRPr="003B4362">
        <w:t xml:space="preserve">relief equivalent to a federal section 1415 variance or a section 1416 exemption from the requirements of Section 611.330 must </w:t>
      </w:r>
      <w:r w:rsidR="00E270A1" w:rsidRPr="003B4362">
        <w:t xml:space="preserve">comply with </w:t>
      </w:r>
      <w:r w:rsidRPr="003B4362">
        <w:t>subsection (d)(6) and either subsections (d)(1) through (d)(3) or (d)(4) and (d)(5).</w:t>
      </w:r>
    </w:p>
    <w:p w14:paraId="4D7BAF96" w14:textId="77777777" w:rsidR="00150379" w:rsidRDefault="00150379" w:rsidP="00150379">
      <w:pPr>
        <w:widowControl w:val="0"/>
        <w:ind w:left="2160" w:hanging="720"/>
      </w:pPr>
    </w:p>
    <w:p w14:paraId="5BCAB092" w14:textId="339A9CBC" w:rsidR="00002933" w:rsidRPr="003B4362" w:rsidRDefault="00002933" w:rsidP="00150379">
      <w:pPr>
        <w:widowControl w:val="0"/>
        <w:ind w:left="2160" w:hanging="720"/>
      </w:pPr>
      <w:r w:rsidRPr="003B4362">
        <w:t>7)</w:t>
      </w:r>
      <w:r w:rsidRPr="003B4362">
        <w:tab/>
        <w:t xml:space="preserve">A CWS supplier </w:t>
      </w:r>
      <w:r w:rsidR="00266EAE" w:rsidRPr="003B4362">
        <w:t xml:space="preserve">using </w:t>
      </w:r>
      <w:r w:rsidRPr="003B4362">
        <w:t xml:space="preserve">point-of-use or point-of-entry devices as a condition </w:t>
      </w:r>
      <w:r w:rsidR="00266EAE" w:rsidRPr="003B4362">
        <w:t xml:space="preserve">to </w:t>
      </w:r>
      <w:r w:rsidRPr="003B4362">
        <w:t>relief equivalent to a federal section 1415 variance or a section 1416 exemption from the radionuclides NPDWRs must meet the conditions in subsections (e)(1) through (e)(6).</w:t>
      </w:r>
    </w:p>
    <w:p w14:paraId="703A3112" w14:textId="77777777" w:rsidR="00150379" w:rsidRDefault="00150379" w:rsidP="00150379">
      <w:pPr>
        <w:widowControl w:val="0"/>
        <w:ind w:left="1440"/>
      </w:pPr>
    </w:p>
    <w:p w14:paraId="09E4C435" w14:textId="1D0BFEC9" w:rsidR="00002933" w:rsidRPr="003B4362" w:rsidRDefault="00002933" w:rsidP="00150379">
      <w:pPr>
        <w:widowControl w:val="0"/>
        <w:ind w:left="1440"/>
      </w:pPr>
      <w:r w:rsidRPr="003B4362">
        <w:t xml:space="preserve">BOARD NOTE:  </w:t>
      </w:r>
      <w:r w:rsidR="0021011C" w:rsidRPr="003B4362">
        <w:rPr>
          <w:spacing w:val="-3"/>
        </w:rPr>
        <w:t xml:space="preserve">This subsection </w:t>
      </w:r>
      <w:r w:rsidR="0021011C" w:rsidRPr="003B4362">
        <w:t xml:space="preserve">(f) </w:t>
      </w:r>
      <w:r w:rsidR="0021011C" w:rsidRPr="003B4362">
        <w:rPr>
          <w:spacing w:val="-3"/>
        </w:rPr>
        <w:t xml:space="preserve">derives </w:t>
      </w:r>
      <w:r w:rsidRPr="003B4362">
        <w:t>from 40 CFR 142.65.</w:t>
      </w:r>
    </w:p>
    <w:p w14:paraId="638037E0" w14:textId="77777777" w:rsidR="00150379" w:rsidRDefault="00150379" w:rsidP="00150379">
      <w:pPr>
        <w:suppressAutoHyphens/>
        <w:ind w:left="720"/>
      </w:pPr>
    </w:p>
    <w:p w14:paraId="2847DFB3" w14:textId="33C4073E" w:rsidR="00002933" w:rsidRPr="003B4362" w:rsidRDefault="00EB353D"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638A6CBB" w14:textId="77777777" w:rsidR="00FE6920" w:rsidRPr="003B4362" w:rsidRDefault="00FE6920" w:rsidP="00FE6920">
      <w:pPr>
        <w:rPr>
          <w:b/>
          <w:bCs/>
        </w:rPr>
      </w:pPr>
    </w:p>
    <w:p w14:paraId="1B69B9F3" w14:textId="3073BF9B" w:rsidR="008D6A0C" w:rsidRPr="003B4362" w:rsidRDefault="008D6A0C" w:rsidP="00150379">
      <w:pPr>
        <w:rPr>
          <w:b/>
          <w:bCs/>
        </w:rPr>
      </w:pPr>
      <w:r w:rsidRPr="003B4362">
        <w:rPr>
          <w:b/>
          <w:bCs/>
        </w:rPr>
        <w:t>Section 611.131  Relief Equivalent to SDWA Section 1415(e) Small System Variance</w:t>
      </w:r>
    </w:p>
    <w:p w14:paraId="3C78B38A" w14:textId="77777777" w:rsidR="00150379" w:rsidRDefault="00150379" w:rsidP="00150379"/>
    <w:p w14:paraId="420F4F3B" w14:textId="037F0F40" w:rsidR="008D6A0C" w:rsidRPr="003B4362" w:rsidRDefault="008D6A0C" w:rsidP="00150379">
      <w:r w:rsidRPr="003B4362">
        <w:t xml:space="preserve">This Section is </w:t>
      </w:r>
      <w:r w:rsidR="00266EAE" w:rsidRPr="003B4362">
        <w:t xml:space="preserve">the </w:t>
      </w:r>
      <w:r w:rsidRPr="003B4362">
        <w:t xml:space="preserve">State equivalent of SDWA section 1415(e) (42 </w:t>
      </w:r>
      <w:r w:rsidR="0062698B" w:rsidRPr="003B4362">
        <w:t>U.S.C.</w:t>
      </w:r>
      <w:r w:rsidRPr="003B4362">
        <w:t xml:space="preserve"> 300g-4(e)).</w:t>
      </w:r>
    </w:p>
    <w:p w14:paraId="1138F203" w14:textId="77777777" w:rsidR="00150379" w:rsidRDefault="00150379" w:rsidP="00150379">
      <w:pPr>
        <w:suppressAutoHyphens/>
        <w:ind w:left="1440" w:hanging="720"/>
      </w:pPr>
    </w:p>
    <w:p w14:paraId="605F6DDD" w14:textId="7D8C7A33" w:rsidR="008D6A0C" w:rsidRPr="003B4362" w:rsidRDefault="008D6A0C" w:rsidP="00150379">
      <w:pPr>
        <w:suppressAutoHyphens/>
        <w:ind w:left="1440" w:hanging="720"/>
      </w:pPr>
      <w:r w:rsidRPr="003B4362">
        <w:t>a)</w:t>
      </w:r>
      <w:r w:rsidRPr="003B4362">
        <w:tab/>
        <w:t xml:space="preserve">A PWS serving fewer than 10,000 persons may obtain a variance </w:t>
      </w:r>
      <w:r w:rsidRPr="003B4362">
        <w:rPr>
          <w:spacing w:val="-2"/>
        </w:rPr>
        <w:t>from an MCL</w:t>
      </w:r>
      <w:r w:rsidRPr="003B4362">
        <w:t xml:space="preserve"> </w:t>
      </w:r>
      <w:r w:rsidRPr="003B4362">
        <w:rPr>
          <w:spacing w:val="-2"/>
        </w:rPr>
        <w:t xml:space="preserve">or treatment technique under </w:t>
      </w:r>
      <w:r w:rsidRPr="003B4362">
        <w:t>this Section</w:t>
      </w:r>
      <w:r w:rsidRPr="003B4362">
        <w:rPr>
          <w:spacing w:val="-2"/>
        </w:rPr>
        <w:t xml:space="preserve">.  </w:t>
      </w:r>
      <w:r w:rsidRPr="003B4362">
        <w:t xml:space="preserve">The PWS </w:t>
      </w:r>
      <w:r w:rsidR="00266EAE" w:rsidRPr="003B4362">
        <w:t xml:space="preserve">supplier </w:t>
      </w:r>
      <w:r w:rsidRPr="003B4362">
        <w:t>must file a variance petition under Subpart B of 35 Ill. Adm. Code 104, except as this Section provides otherwise.</w:t>
      </w:r>
    </w:p>
    <w:p w14:paraId="02E74597" w14:textId="77777777" w:rsidR="00150379" w:rsidRDefault="00150379" w:rsidP="00150379">
      <w:pPr>
        <w:suppressAutoHyphens/>
        <w:ind w:left="1440" w:hanging="720"/>
      </w:pPr>
    </w:p>
    <w:p w14:paraId="4806928C" w14:textId="50A91DC1" w:rsidR="008D6A0C" w:rsidRPr="003B4362" w:rsidRDefault="008D6A0C" w:rsidP="00150379">
      <w:pPr>
        <w:suppressAutoHyphens/>
        <w:ind w:left="1440" w:hanging="720"/>
        <w:rPr>
          <w:spacing w:val="-2"/>
        </w:rPr>
      </w:pPr>
      <w:r w:rsidRPr="003B4362">
        <w:t>b)</w:t>
      </w:r>
      <w:r w:rsidRPr="003B4362">
        <w:tab/>
        <w:t xml:space="preserve">The Board </w:t>
      </w:r>
      <w:r w:rsidR="00B701EE" w:rsidRPr="003B4362">
        <w:t xml:space="preserve">may </w:t>
      </w:r>
      <w:r w:rsidRPr="003B4362">
        <w:rPr>
          <w:spacing w:val="-2"/>
        </w:rPr>
        <w:t xml:space="preserve">grant a small system variance to </w:t>
      </w:r>
      <w:r w:rsidRPr="003B4362">
        <w:t xml:space="preserve">a PWS </w:t>
      </w:r>
      <w:r w:rsidR="00266EAE" w:rsidRPr="003B4362">
        <w:t xml:space="preserve">supplier </w:t>
      </w:r>
      <w:r w:rsidRPr="003B4362">
        <w:rPr>
          <w:spacing w:val="-2"/>
        </w:rPr>
        <w:t xml:space="preserve">serving fewer than 3,300 </w:t>
      </w:r>
      <w:r w:rsidR="005001BC" w:rsidRPr="003B4362">
        <w:rPr>
          <w:spacing w:val="-2"/>
        </w:rPr>
        <w:t xml:space="preserve">or fewer </w:t>
      </w:r>
      <w:r w:rsidRPr="003B4362">
        <w:rPr>
          <w:spacing w:val="-2"/>
        </w:rPr>
        <w:t xml:space="preserve">persons.  The Board </w:t>
      </w:r>
      <w:r w:rsidR="00B701EE" w:rsidRPr="003B4362">
        <w:t xml:space="preserve">may </w:t>
      </w:r>
      <w:r w:rsidRPr="003B4362">
        <w:rPr>
          <w:spacing w:val="-2"/>
        </w:rPr>
        <w:t xml:space="preserve">grant a small system variance to </w:t>
      </w:r>
      <w:r w:rsidRPr="003B4362">
        <w:t xml:space="preserve">a PWS </w:t>
      </w:r>
      <w:r w:rsidRPr="003B4362">
        <w:rPr>
          <w:spacing w:val="-2"/>
        </w:rPr>
        <w:t xml:space="preserve">serving more than 3,300 persons but fewer than 10,000 persons subject to USEPA’s approval.  In determining the number of persons the </w:t>
      </w:r>
      <w:r w:rsidRPr="003B4362">
        <w:t>PWS serves</w:t>
      </w:r>
      <w:r w:rsidRPr="003B4362">
        <w:rPr>
          <w:spacing w:val="-2"/>
        </w:rPr>
        <w:t xml:space="preserve">, the Board </w:t>
      </w:r>
      <w:r w:rsidRPr="003B4362">
        <w:t xml:space="preserve">will </w:t>
      </w:r>
      <w:r w:rsidRPr="003B4362">
        <w:rPr>
          <w:spacing w:val="-2"/>
        </w:rPr>
        <w:t xml:space="preserve">include persons consecutive systems serve.  A small system variance </w:t>
      </w:r>
      <w:r w:rsidR="003C67DC" w:rsidRPr="003B4362">
        <w:rPr>
          <w:spacing w:val="-2"/>
        </w:rPr>
        <w:t>for</w:t>
      </w:r>
      <w:r w:rsidRPr="003B4362">
        <w:rPr>
          <w:spacing w:val="-2"/>
        </w:rPr>
        <w:t xml:space="preserve"> a </w:t>
      </w:r>
      <w:r w:rsidRPr="003B4362">
        <w:t xml:space="preserve">PWS </w:t>
      </w:r>
      <w:r w:rsidRPr="003B4362">
        <w:rPr>
          <w:spacing w:val="-2"/>
        </w:rPr>
        <w:t xml:space="preserve">also </w:t>
      </w:r>
      <w:r w:rsidRPr="003B4362">
        <w:t xml:space="preserve">applies </w:t>
      </w:r>
      <w:r w:rsidRPr="003B4362">
        <w:rPr>
          <w:spacing w:val="-2"/>
        </w:rPr>
        <w:t>to any consecutive system it serves.</w:t>
      </w:r>
    </w:p>
    <w:p w14:paraId="3665FA1F" w14:textId="77777777" w:rsidR="00150379" w:rsidRDefault="00150379" w:rsidP="00150379">
      <w:pPr>
        <w:suppressAutoHyphens/>
        <w:ind w:left="1440" w:hanging="720"/>
        <w:rPr>
          <w:spacing w:val="-2"/>
        </w:rPr>
      </w:pPr>
    </w:p>
    <w:p w14:paraId="3F30E7D7" w14:textId="7D65687A" w:rsidR="008D6A0C" w:rsidRPr="003B4362" w:rsidRDefault="008D6A0C" w:rsidP="00150379">
      <w:pPr>
        <w:suppressAutoHyphens/>
        <w:ind w:left="1440" w:hanging="720"/>
        <w:rPr>
          <w:spacing w:val="-2"/>
        </w:rPr>
      </w:pPr>
      <w:r w:rsidRPr="003B4362">
        <w:rPr>
          <w:spacing w:val="-2"/>
        </w:rPr>
        <w:t>c)</w:t>
      </w:r>
      <w:r w:rsidRPr="003B4362">
        <w:rPr>
          <w:spacing w:val="-2"/>
        </w:rPr>
        <w:tab/>
        <w:t xml:space="preserve">Availability of a </w:t>
      </w:r>
      <w:r w:rsidRPr="003B4362">
        <w:t>V</w:t>
      </w:r>
      <w:r w:rsidRPr="003B4362">
        <w:rPr>
          <w:spacing w:val="-2"/>
        </w:rPr>
        <w:t>ariance</w:t>
      </w:r>
    </w:p>
    <w:p w14:paraId="0F5C1EF3" w14:textId="77777777" w:rsidR="00150379" w:rsidRDefault="00150379" w:rsidP="00150379">
      <w:pPr>
        <w:suppressAutoHyphens/>
        <w:ind w:left="2160" w:hanging="720"/>
        <w:rPr>
          <w:spacing w:val="-2"/>
        </w:rPr>
      </w:pPr>
    </w:p>
    <w:p w14:paraId="523AFAEC" w14:textId="0139541A" w:rsidR="008D6A0C" w:rsidRPr="003B4362" w:rsidRDefault="008D6A0C" w:rsidP="00150379">
      <w:pPr>
        <w:suppressAutoHyphens/>
        <w:ind w:left="2160" w:hanging="720"/>
        <w:rPr>
          <w:spacing w:val="-2"/>
        </w:rPr>
      </w:pPr>
      <w:r w:rsidRPr="003B4362">
        <w:rPr>
          <w:spacing w:val="-2"/>
        </w:rPr>
        <w:t>1)</w:t>
      </w:r>
      <w:r w:rsidRPr="003B4362">
        <w:rPr>
          <w:spacing w:val="-2"/>
        </w:rPr>
        <w:tab/>
        <w:t>A small system variance is not available under this Section from an NPDWR for a microbial contaminant (including a bacterium, virus</w:t>
      </w:r>
      <w:r w:rsidRPr="003B4362">
        <w:t>, or</w:t>
      </w:r>
      <w:r w:rsidRPr="003B4362">
        <w:rPr>
          <w:spacing w:val="-2"/>
        </w:rPr>
        <w:t xml:space="preserve"> other organism) or an indicator or treatment technique for a microbial contaminant.</w:t>
      </w:r>
    </w:p>
    <w:p w14:paraId="3802B4B9" w14:textId="77777777" w:rsidR="00150379" w:rsidRDefault="00150379" w:rsidP="00150379">
      <w:pPr>
        <w:suppressAutoHyphens/>
        <w:ind w:left="2160" w:hanging="720"/>
        <w:rPr>
          <w:spacing w:val="-2"/>
        </w:rPr>
      </w:pPr>
    </w:p>
    <w:p w14:paraId="3BB90514" w14:textId="5C1BF7EA" w:rsidR="008D6A0C" w:rsidRPr="003B4362" w:rsidRDefault="008D6A0C" w:rsidP="00150379">
      <w:pPr>
        <w:suppressAutoHyphens/>
        <w:ind w:left="2160" w:hanging="720"/>
        <w:rPr>
          <w:spacing w:val="-2"/>
        </w:rPr>
      </w:pPr>
      <w:r w:rsidRPr="003B4362">
        <w:rPr>
          <w:spacing w:val="-2"/>
        </w:rPr>
        <w:t>2)</w:t>
      </w:r>
      <w:r w:rsidRPr="003B4362">
        <w:rPr>
          <w:spacing w:val="-2"/>
        </w:rPr>
        <w:tab/>
        <w:t>A small system variance under this Section is available from certain MCLs or treatment techniques</w:t>
      </w:r>
      <w:r w:rsidRPr="003B4362">
        <w:t>:</w:t>
      </w:r>
    </w:p>
    <w:p w14:paraId="3FD8A49D" w14:textId="77777777" w:rsidR="00150379" w:rsidRDefault="00150379" w:rsidP="00150379">
      <w:pPr>
        <w:suppressAutoHyphens/>
        <w:ind w:left="2880" w:hanging="720"/>
        <w:rPr>
          <w:spacing w:val="-2"/>
        </w:rPr>
      </w:pPr>
    </w:p>
    <w:p w14:paraId="4404A5D5" w14:textId="5ADBDDCB" w:rsidR="008D6A0C" w:rsidRPr="003B4362" w:rsidRDefault="008D6A0C" w:rsidP="00150379">
      <w:pPr>
        <w:suppressAutoHyphens/>
        <w:ind w:left="2880" w:hanging="720"/>
        <w:rPr>
          <w:spacing w:val="-2"/>
        </w:rPr>
      </w:pPr>
      <w:r w:rsidRPr="003B4362">
        <w:rPr>
          <w:spacing w:val="-2"/>
        </w:rPr>
        <w:t>A)</w:t>
      </w:r>
      <w:r w:rsidRPr="003B4362">
        <w:rPr>
          <w:spacing w:val="-2"/>
        </w:rPr>
        <w:tab/>
        <w:t>NPDWRs that USEPA adopted on or after January 1, 1986; and</w:t>
      </w:r>
    </w:p>
    <w:p w14:paraId="4CE8DA80" w14:textId="77777777" w:rsidR="00150379" w:rsidRDefault="00150379" w:rsidP="00150379">
      <w:pPr>
        <w:suppressAutoHyphens/>
        <w:ind w:left="2880" w:hanging="720"/>
        <w:rPr>
          <w:spacing w:val="-2"/>
        </w:rPr>
      </w:pPr>
    </w:p>
    <w:p w14:paraId="015AC6DB" w14:textId="752FFC24" w:rsidR="008D6A0C" w:rsidRPr="003B4362" w:rsidRDefault="008D6A0C" w:rsidP="00150379">
      <w:pPr>
        <w:suppressAutoHyphens/>
        <w:ind w:left="2880" w:hanging="720"/>
        <w:rPr>
          <w:spacing w:val="-2"/>
        </w:rPr>
      </w:pPr>
      <w:r w:rsidRPr="003B4362">
        <w:rPr>
          <w:spacing w:val="-2"/>
        </w:rPr>
        <w:lastRenderedPageBreak/>
        <w:t>B)</w:t>
      </w:r>
      <w:r w:rsidRPr="003B4362">
        <w:rPr>
          <w:spacing w:val="-2"/>
        </w:rPr>
        <w:tab/>
      </w:r>
      <w:r w:rsidR="003C67DC" w:rsidRPr="003B4362">
        <w:rPr>
          <w:spacing w:val="-2"/>
        </w:rPr>
        <w:t xml:space="preserve">NPDWRs for which </w:t>
      </w:r>
      <w:r w:rsidRPr="003B4362">
        <w:rPr>
          <w:spacing w:val="-2"/>
        </w:rPr>
        <w:t xml:space="preserve">USEPA </w:t>
      </w:r>
      <w:r w:rsidR="00564B0F" w:rsidRPr="003B4362">
        <w:rPr>
          <w:spacing w:val="-2"/>
        </w:rPr>
        <w:t xml:space="preserve">publishes </w:t>
      </w:r>
      <w:r w:rsidRPr="003B4362">
        <w:rPr>
          <w:spacing w:val="-2"/>
        </w:rPr>
        <w:t xml:space="preserve">a small system variance technology </w:t>
      </w:r>
      <w:r w:rsidRPr="003B4362">
        <w:t>under section 141</w:t>
      </w:r>
      <w:r w:rsidRPr="003B4362">
        <w:rPr>
          <w:spacing w:val="-2"/>
        </w:rPr>
        <w:t>2(b)(15) of SDWA</w:t>
      </w:r>
      <w:r w:rsidRPr="003B4362">
        <w:t xml:space="preserve"> (42 </w:t>
      </w:r>
      <w:r w:rsidR="0062698B" w:rsidRPr="003B4362">
        <w:t>U.S.C.</w:t>
      </w:r>
      <w:r w:rsidRPr="003B4362">
        <w:t xml:space="preserve"> 300g-1(b)(15))</w:t>
      </w:r>
      <w:r w:rsidRPr="003B4362">
        <w:rPr>
          <w:spacing w:val="-2"/>
        </w:rPr>
        <w:t>.</w:t>
      </w:r>
    </w:p>
    <w:p w14:paraId="2BF94784" w14:textId="77777777" w:rsidR="00150379" w:rsidRDefault="00150379" w:rsidP="00150379">
      <w:pPr>
        <w:suppressAutoHyphens/>
        <w:ind w:left="2160"/>
        <w:rPr>
          <w:spacing w:val="-2"/>
        </w:rPr>
      </w:pPr>
    </w:p>
    <w:p w14:paraId="128B774F" w14:textId="1C135038" w:rsidR="008D6A0C" w:rsidRPr="003B4362" w:rsidRDefault="008D6A0C" w:rsidP="00150379">
      <w:pPr>
        <w:suppressAutoHyphens/>
        <w:ind w:left="2160"/>
        <w:rPr>
          <w:spacing w:val="-2"/>
        </w:rPr>
      </w:pPr>
      <w:r w:rsidRPr="003B4362">
        <w:rPr>
          <w:spacing w:val="-2"/>
        </w:rPr>
        <w:t xml:space="preserve">BOARD NOTE:  Small system variances are not available above </w:t>
      </w:r>
      <w:r w:rsidR="00F67842" w:rsidRPr="003B4362">
        <w:rPr>
          <w:spacing w:val="-2"/>
        </w:rPr>
        <w:t xml:space="preserve">a </w:t>
      </w:r>
      <w:r w:rsidRPr="003B4362">
        <w:rPr>
          <w:spacing w:val="-2"/>
        </w:rPr>
        <w:t xml:space="preserve">pre-1986 </w:t>
      </w:r>
      <w:r w:rsidRPr="003B4362">
        <w:t xml:space="preserve">MCL </w:t>
      </w:r>
      <w:r w:rsidRPr="003B4362">
        <w:rPr>
          <w:spacing w:val="-2"/>
        </w:rPr>
        <w:t xml:space="preserve">even if </w:t>
      </w:r>
      <w:r w:rsidR="00F67842" w:rsidRPr="003B4362">
        <w:rPr>
          <w:spacing w:val="-2"/>
        </w:rPr>
        <w:t xml:space="preserve">USEPA </w:t>
      </w:r>
      <w:r w:rsidRPr="003B4362">
        <w:rPr>
          <w:spacing w:val="-2"/>
        </w:rPr>
        <w:t>subsequently revised</w:t>
      </w:r>
      <w:r w:rsidR="00F67842" w:rsidRPr="003B4362">
        <w:rPr>
          <w:spacing w:val="-2"/>
        </w:rPr>
        <w:t xml:space="preserve"> the MCL</w:t>
      </w:r>
      <w:r w:rsidRPr="003B4362">
        <w:rPr>
          <w:spacing w:val="-2"/>
        </w:rPr>
        <w:t xml:space="preserve">.  If the USEPA revises a pre-1986 </w:t>
      </w:r>
      <w:r w:rsidRPr="003B4362">
        <w:t>MCL</w:t>
      </w:r>
      <w:r w:rsidRPr="003B4362">
        <w:rPr>
          <w:spacing w:val="-2"/>
        </w:rPr>
        <w:t xml:space="preserve"> and makes it more stringent, a variance is available for that contaminant, but only up to the pre-1986 maximum contaminant level.  See subpart B of 40 CFR 141 (1985) for the pre-1986 MCLs </w:t>
      </w:r>
      <w:r w:rsidR="00F67842" w:rsidRPr="003B4362">
        <w:rPr>
          <w:spacing w:val="-2"/>
        </w:rPr>
        <w:t>and</w:t>
      </w:r>
      <w:r w:rsidRPr="003B4362">
        <w:rPr>
          <w:spacing w:val="-2"/>
        </w:rPr>
        <w:t xml:space="preserve"> treatment techniques.</w:t>
      </w:r>
      <w:r w:rsidR="00570512" w:rsidRPr="003B4362">
        <w:rPr>
          <w:spacing w:val="-2"/>
        </w:rPr>
        <w:t xml:space="preserve">  See “Variance Technology Findings for Contaminants Regulated Before 1996”, USEPA, Office of Water, doc. no. EPA 815-R-98-003 (available online at nepis.epa.gov</w:t>
      </w:r>
      <w:r w:rsidR="006A7DA0" w:rsidRPr="003B4362">
        <w:rPr>
          <w:spacing w:val="-2"/>
        </w:rPr>
        <w:t>;</w:t>
      </w:r>
      <w:r w:rsidR="00570512" w:rsidRPr="003B4362">
        <w:rPr>
          <w:spacing w:val="-2"/>
        </w:rPr>
        <w:t xml:space="preserve"> search “815R98003”).</w:t>
      </w:r>
    </w:p>
    <w:p w14:paraId="54E1D282" w14:textId="77777777" w:rsidR="00150379" w:rsidRDefault="00150379" w:rsidP="00150379">
      <w:pPr>
        <w:suppressAutoHyphens/>
        <w:ind w:left="1440" w:hanging="720"/>
        <w:rPr>
          <w:spacing w:val="-2"/>
        </w:rPr>
      </w:pPr>
    </w:p>
    <w:p w14:paraId="0B6CCA93" w14:textId="15395E42" w:rsidR="008D6A0C" w:rsidRPr="003B4362" w:rsidRDefault="008D6A0C" w:rsidP="00150379">
      <w:pPr>
        <w:suppressAutoHyphens/>
        <w:ind w:left="1440" w:hanging="720"/>
        <w:rPr>
          <w:spacing w:val="-2"/>
        </w:rPr>
      </w:pPr>
      <w:r w:rsidRPr="003B4362">
        <w:rPr>
          <w:spacing w:val="-2"/>
        </w:rPr>
        <w:t>d)</w:t>
      </w:r>
      <w:r w:rsidRPr="003B4362">
        <w:rPr>
          <w:spacing w:val="-2"/>
        </w:rPr>
        <w:tab/>
        <w:t xml:space="preserve">No small system variance is effective until after the </w:t>
      </w:r>
      <w:r w:rsidR="005010FA" w:rsidRPr="003B4362">
        <w:rPr>
          <w:spacing w:val="-2"/>
        </w:rPr>
        <w:t>last applicable event</w:t>
      </w:r>
      <w:r w:rsidRPr="003B4362">
        <w:rPr>
          <w:spacing w:val="-2"/>
        </w:rPr>
        <w:t>:</w:t>
      </w:r>
    </w:p>
    <w:p w14:paraId="4CC72C3A" w14:textId="77777777" w:rsidR="00150379" w:rsidRDefault="00150379" w:rsidP="00150379">
      <w:pPr>
        <w:suppressAutoHyphens/>
        <w:ind w:left="2160" w:hanging="720"/>
        <w:rPr>
          <w:spacing w:val="-2"/>
        </w:rPr>
      </w:pPr>
    </w:p>
    <w:p w14:paraId="67A42335" w14:textId="76559878" w:rsidR="008D6A0C" w:rsidRPr="003B4362" w:rsidRDefault="008D6A0C" w:rsidP="00150379">
      <w:pPr>
        <w:suppressAutoHyphens/>
        <w:ind w:left="2160" w:hanging="720"/>
        <w:rPr>
          <w:spacing w:val="-2"/>
        </w:rPr>
      </w:pPr>
      <w:r w:rsidRPr="003B4362">
        <w:rPr>
          <w:spacing w:val="-2"/>
        </w:rPr>
        <w:t>1)</w:t>
      </w:r>
      <w:r w:rsidRPr="003B4362">
        <w:rPr>
          <w:spacing w:val="-2"/>
        </w:rPr>
        <w:tab/>
        <w:t>90 days after the Board grants the small system variance;</w:t>
      </w:r>
    </w:p>
    <w:p w14:paraId="4EEBCCD4" w14:textId="77777777" w:rsidR="00150379" w:rsidRDefault="00150379" w:rsidP="00150379">
      <w:pPr>
        <w:suppressAutoHyphens/>
        <w:ind w:left="2160" w:hanging="720"/>
        <w:rPr>
          <w:spacing w:val="-2"/>
        </w:rPr>
      </w:pPr>
    </w:p>
    <w:p w14:paraId="1EE79A7C" w14:textId="0FF897FF" w:rsidR="008D6A0C" w:rsidRPr="003B4362" w:rsidRDefault="008D6A0C" w:rsidP="00150379">
      <w:pPr>
        <w:suppressAutoHyphens/>
        <w:ind w:left="2160" w:hanging="720"/>
        <w:rPr>
          <w:spacing w:val="-2"/>
        </w:rPr>
      </w:pPr>
      <w:r w:rsidRPr="003B4362">
        <w:rPr>
          <w:spacing w:val="-2"/>
        </w:rPr>
        <w:t>2)</w:t>
      </w:r>
      <w:r w:rsidRPr="003B4362">
        <w:rPr>
          <w:spacing w:val="-2"/>
        </w:rPr>
        <w:tab/>
        <w:t xml:space="preserve">If </w:t>
      </w:r>
      <w:r w:rsidR="005010FA" w:rsidRPr="003B4362">
        <w:rPr>
          <w:spacing w:val="-2"/>
        </w:rPr>
        <w:t xml:space="preserve">USEPA objects to </w:t>
      </w:r>
      <w:r w:rsidRPr="003B4362">
        <w:rPr>
          <w:spacing w:val="-2"/>
        </w:rPr>
        <w:t xml:space="preserve">a small system variance </w:t>
      </w:r>
      <w:r w:rsidR="005010FA" w:rsidRPr="003B4362">
        <w:rPr>
          <w:spacing w:val="-2"/>
        </w:rPr>
        <w:t xml:space="preserve">for </w:t>
      </w:r>
      <w:r w:rsidRPr="003B4362">
        <w:rPr>
          <w:spacing w:val="-2"/>
        </w:rPr>
        <w:t xml:space="preserve">a </w:t>
      </w:r>
      <w:r w:rsidRPr="003B4362">
        <w:t xml:space="preserve">PWS </w:t>
      </w:r>
      <w:r w:rsidRPr="003B4362">
        <w:rPr>
          <w:spacing w:val="-2"/>
        </w:rPr>
        <w:t xml:space="preserve">serving fewer than 3,300 persons, after the Board </w:t>
      </w:r>
      <w:r w:rsidR="005010FA" w:rsidRPr="003B4362">
        <w:rPr>
          <w:spacing w:val="-2"/>
        </w:rPr>
        <w:t xml:space="preserve">modifies </w:t>
      </w:r>
      <w:r w:rsidRPr="003B4362">
        <w:rPr>
          <w:spacing w:val="-2"/>
        </w:rPr>
        <w:t xml:space="preserve">the </w:t>
      </w:r>
      <w:r w:rsidR="005010FA" w:rsidRPr="003B4362">
        <w:rPr>
          <w:spacing w:val="-2"/>
        </w:rPr>
        <w:t xml:space="preserve">variance as USEPA </w:t>
      </w:r>
      <w:r w:rsidRPr="003B4362">
        <w:rPr>
          <w:spacing w:val="-2"/>
        </w:rPr>
        <w:t xml:space="preserve">recommended or responds in writing to each </w:t>
      </w:r>
      <w:r w:rsidR="00F6673F" w:rsidRPr="003B4362">
        <w:rPr>
          <w:spacing w:val="-2"/>
        </w:rPr>
        <w:t xml:space="preserve">USEPA </w:t>
      </w:r>
      <w:r w:rsidRPr="003B4362">
        <w:rPr>
          <w:spacing w:val="-2"/>
        </w:rPr>
        <w:t>objection; or</w:t>
      </w:r>
    </w:p>
    <w:p w14:paraId="7BECBEBB" w14:textId="77777777" w:rsidR="00150379" w:rsidRDefault="00150379" w:rsidP="00150379">
      <w:pPr>
        <w:suppressAutoHyphens/>
        <w:ind w:left="2160" w:hanging="720"/>
        <w:rPr>
          <w:spacing w:val="-2"/>
        </w:rPr>
      </w:pPr>
    </w:p>
    <w:p w14:paraId="361E4A55" w14:textId="7A6B280F" w:rsidR="008D6A0C" w:rsidRPr="003B4362" w:rsidRDefault="008D6A0C" w:rsidP="00150379">
      <w:pPr>
        <w:suppressAutoHyphens/>
        <w:ind w:left="2160" w:hanging="720"/>
        <w:rPr>
          <w:spacing w:val="-2"/>
        </w:rPr>
      </w:pPr>
      <w:r w:rsidRPr="003B4362">
        <w:rPr>
          <w:spacing w:val="-2"/>
        </w:rPr>
        <w:t>3)</w:t>
      </w:r>
      <w:r w:rsidRPr="003B4362">
        <w:rPr>
          <w:spacing w:val="-2"/>
        </w:rPr>
        <w:tab/>
        <w:t xml:space="preserve">If the Board grants a small system variance to a </w:t>
      </w:r>
      <w:r w:rsidRPr="003B4362">
        <w:t xml:space="preserve">PWS </w:t>
      </w:r>
      <w:r w:rsidRPr="003B4362">
        <w:rPr>
          <w:spacing w:val="-2"/>
        </w:rPr>
        <w:t xml:space="preserve">serving a population </w:t>
      </w:r>
      <w:r w:rsidRPr="003B4362">
        <w:t xml:space="preserve">of </w:t>
      </w:r>
      <w:r w:rsidRPr="003B4362">
        <w:rPr>
          <w:spacing w:val="-2"/>
        </w:rPr>
        <w:t>more than 3,300 but fewer than 10,000 persons, after USEPA approves the small system variance.</w:t>
      </w:r>
    </w:p>
    <w:p w14:paraId="68016114" w14:textId="77777777" w:rsidR="00150379" w:rsidRDefault="00150379" w:rsidP="00150379">
      <w:pPr>
        <w:suppressAutoHyphens/>
        <w:ind w:left="1440" w:hanging="720"/>
        <w:rPr>
          <w:spacing w:val="-2"/>
        </w:rPr>
      </w:pPr>
    </w:p>
    <w:p w14:paraId="43167D10" w14:textId="445E12BB" w:rsidR="008D6A0C" w:rsidRPr="003B4362" w:rsidRDefault="008D6A0C" w:rsidP="00150379">
      <w:pPr>
        <w:suppressAutoHyphens/>
        <w:ind w:left="1440" w:hanging="720"/>
        <w:rPr>
          <w:spacing w:val="-2"/>
        </w:rPr>
      </w:pPr>
      <w:r w:rsidRPr="003B4362">
        <w:rPr>
          <w:spacing w:val="-2"/>
        </w:rPr>
        <w:t>e)</w:t>
      </w:r>
      <w:r w:rsidRPr="003B4362">
        <w:rPr>
          <w:spacing w:val="-2"/>
        </w:rPr>
        <w:tab/>
        <w:t>A</w:t>
      </w:r>
      <w:r w:rsidRPr="003B4362">
        <w:t xml:space="preserve">s part of </w:t>
      </w:r>
      <w:r w:rsidR="00F6673F" w:rsidRPr="003B4362">
        <w:t xml:space="preserve">its </w:t>
      </w:r>
      <w:r w:rsidRPr="003B4362">
        <w:t xml:space="preserve">showing of arbitrary or unreasonable hardship, </w:t>
      </w:r>
      <w:r w:rsidRPr="003B4362">
        <w:rPr>
          <w:spacing w:val="-2"/>
        </w:rPr>
        <w:t xml:space="preserve">the </w:t>
      </w:r>
      <w:r w:rsidRPr="003B4362">
        <w:t xml:space="preserve">PWS must prove </w:t>
      </w:r>
      <w:r w:rsidRPr="003B4362">
        <w:rPr>
          <w:spacing w:val="-2"/>
        </w:rPr>
        <w:t xml:space="preserve">and document certain information </w:t>
      </w:r>
      <w:r w:rsidRPr="003B4362">
        <w:t>to the Board</w:t>
      </w:r>
      <w:r w:rsidRPr="003B4362">
        <w:rPr>
          <w:spacing w:val="-2"/>
        </w:rPr>
        <w:t>:</w:t>
      </w:r>
    </w:p>
    <w:p w14:paraId="5AD9CC04" w14:textId="77777777" w:rsidR="00150379" w:rsidRDefault="00150379" w:rsidP="00150379">
      <w:pPr>
        <w:suppressAutoHyphens/>
        <w:ind w:left="2160" w:hanging="720"/>
        <w:rPr>
          <w:spacing w:val="-2"/>
        </w:rPr>
      </w:pPr>
    </w:p>
    <w:p w14:paraId="50C8B504" w14:textId="17F6319B" w:rsidR="008D6A0C" w:rsidRPr="003B4362" w:rsidRDefault="008D6A0C" w:rsidP="00150379">
      <w:pPr>
        <w:suppressAutoHyphens/>
        <w:ind w:left="2160" w:hanging="720"/>
        <w:rPr>
          <w:spacing w:val="-2"/>
        </w:rPr>
      </w:pPr>
      <w:r w:rsidRPr="003B4362">
        <w:rPr>
          <w:spacing w:val="-2"/>
        </w:rPr>
        <w:t>1)</w:t>
      </w:r>
      <w:r w:rsidRPr="003B4362">
        <w:rPr>
          <w:spacing w:val="-2"/>
        </w:rPr>
        <w:tab/>
        <w:t xml:space="preserve">That the </w:t>
      </w:r>
      <w:r w:rsidRPr="003B4362">
        <w:t xml:space="preserve">PWS </w:t>
      </w:r>
      <w:r w:rsidRPr="003B4362">
        <w:rPr>
          <w:spacing w:val="-2"/>
        </w:rPr>
        <w:t xml:space="preserve">is eligible for a small system variance </w:t>
      </w:r>
      <w:r w:rsidRPr="003B4362">
        <w:t>under subsection (c)</w:t>
      </w:r>
      <w:r w:rsidRPr="003B4362">
        <w:rPr>
          <w:spacing w:val="-2"/>
        </w:rPr>
        <w:t>;</w:t>
      </w:r>
    </w:p>
    <w:p w14:paraId="45E8BC8B" w14:textId="77777777" w:rsidR="00150379" w:rsidRDefault="00150379" w:rsidP="00150379">
      <w:pPr>
        <w:suppressAutoHyphens/>
        <w:ind w:left="2160" w:hanging="720"/>
        <w:rPr>
          <w:spacing w:val="-2"/>
        </w:rPr>
      </w:pPr>
    </w:p>
    <w:p w14:paraId="3ED52B00" w14:textId="7074A4F2" w:rsidR="008D6A0C" w:rsidRPr="003B4362" w:rsidRDefault="008D6A0C" w:rsidP="00150379">
      <w:pPr>
        <w:suppressAutoHyphens/>
        <w:ind w:left="2160" w:hanging="720"/>
        <w:rPr>
          <w:spacing w:val="-2"/>
        </w:rPr>
      </w:pPr>
      <w:r w:rsidRPr="003B4362">
        <w:rPr>
          <w:spacing w:val="-2"/>
        </w:rPr>
        <w:t>2)</w:t>
      </w:r>
      <w:r w:rsidRPr="003B4362">
        <w:rPr>
          <w:spacing w:val="-2"/>
        </w:rPr>
        <w:tab/>
        <w:t xml:space="preserve">That the </w:t>
      </w:r>
      <w:r w:rsidRPr="003B4362">
        <w:t xml:space="preserve">PWS </w:t>
      </w:r>
      <w:r w:rsidRPr="003B4362">
        <w:rPr>
          <w:spacing w:val="-2"/>
        </w:rPr>
        <w:t xml:space="preserve">cannot afford </w:t>
      </w:r>
      <w:r w:rsidR="00D3450B" w:rsidRPr="003B4362">
        <w:rPr>
          <w:spacing w:val="-2"/>
        </w:rPr>
        <w:t xml:space="preserve">pursue specific alternatives </w:t>
      </w:r>
      <w:r w:rsidRPr="003B4362">
        <w:rPr>
          <w:spacing w:val="-2"/>
        </w:rPr>
        <w:t>to comply with the NPDWR for which it seeks a small system variance:</w:t>
      </w:r>
    </w:p>
    <w:p w14:paraId="70610A88" w14:textId="77777777" w:rsidR="00150379" w:rsidRDefault="00150379" w:rsidP="00150379">
      <w:pPr>
        <w:suppressAutoHyphens/>
        <w:ind w:left="2880" w:hanging="720"/>
        <w:rPr>
          <w:spacing w:val="-2"/>
        </w:rPr>
      </w:pPr>
    </w:p>
    <w:p w14:paraId="12DF82F5" w14:textId="0C95F83E" w:rsidR="008D6A0C" w:rsidRPr="003B4362" w:rsidRDefault="008D6A0C" w:rsidP="00150379">
      <w:pPr>
        <w:suppressAutoHyphens/>
        <w:ind w:left="2880" w:hanging="720"/>
        <w:rPr>
          <w:spacing w:val="-2"/>
        </w:rPr>
      </w:pPr>
      <w:r w:rsidRPr="003B4362">
        <w:rPr>
          <w:spacing w:val="-2"/>
        </w:rPr>
        <w:t>A)</w:t>
      </w:r>
      <w:r w:rsidRPr="003B4362">
        <w:rPr>
          <w:spacing w:val="-2"/>
        </w:rPr>
        <w:tab/>
        <w:t>Treatment;</w:t>
      </w:r>
    </w:p>
    <w:p w14:paraId="413789AD" w14:textId="77777777" w:rsidR="00150379" w:rsidRDefault="00150379" w:rsidP="00150379">
      <w:pPr>
        <w:suppressAutoHyphens/>
        <w:ind w:left="2880" w:hanging="720"/>
        <w:rPr>
          <w:spacing w:val="-2"/>
        </w:rPr>
      </w:pPr>
    </w:p>
    <w:p w14:paraId="23AFB052" w14:textId="55DE0375" w:rsidR="008D6A0C" w:rsidRPr="003B4362" w:rsidRDefault="008D6A0C" w:rsidP="00150379">
      <w:pPr>
        <w:suppressAutoHyphens/>
        <w:ind w:left="2880" w:hanging="720"/>
        <w:rPr>
          <w:spacing w:val="-2"/>
        </w:rPr>
      </w:pPr>
      <w:r w:rsidRPr="003B4362">
        <w:rPr>
          <w:spacing w:val="-2"/>
        </w:rPr>
        <w:t>B)</w:t>
      </w:r>
      <w:r w:rsidRPr="003B4362">
        <w:rPr>
          <w:spacing w:val="-2"/>
        </w:rPr>
        <w:tab/>
        <w:t>Alternative sources of water supply;</w:t>
      </w:r>
    </w:p>
    <w:p w14:paraId="2796F722" w14:textId="77777777" w:rsidR="00150379" w:rsidRDefault="00150379" w:rsidP="00150379">
      <w:pPr>
        <w:suppressAutoHyphens/>
        <w:ind w:left="2880" w:hanging="720"/>
        <w:rPr>
          <w:spacing w:val="-2"/>
        </w:rPr>
      </w:pPr>
    </w:p>
    <w:p w14:paraId="260BFFED" w14:textId="0AA99A73" w:rsidR="008D6A0C" w:rsidRPr="003B4362" w:rsidRDefault="008D6A0C" w:rsidP="00150379">
      <w:pPr>
        <w:suppressAutoHyphens/>
        <w:ind w:left="2880" w:hanging="720"/>
        <w:rPr>
          <w:spacing w:val="-2"/>
        </w:rPr>
      </w:pPr>
      <w:r w:rsidRPr="003B4362">
        <w:rPr>
          <w:spacing w:val="-2"/>
        </w:rPr>
        <w:t>C)</w:t>
      </w:r>
      <w:r w:rsidRPr="003B4362">
        <w:rPr>
          <w:spacing w:val="-2"/>
        </w:rPr>
        <w:tab/>
        <w:t xml:space="preserve">Restructuring or consolidation changes, including ownership change or physical consolidation with another </w:t>
      </w:r>
      <w:r w:rsidRPr="003B4362">
        <w:t>PWS</w:t>
      </w:r>
      <w:r w:rsidRPr="003B4362">
        <w:rPr>
          <w:spacing w:val="-2"/>
        </w:rPr>
        <w:t>; or</w:t>
      </w:r>
    </w:p>
    <w:p w14:paraId="6C682DFB" w14:textId="77777777" w:rsidR="00150379" w:rsidRDefault="00150379" w:rsidP="00150379">
      <w:pPr>
        <w:suppressAutoHyphens/>
        <w:ind w:left="2880" w:hanging="720"/>
        <w:rPr>
          <w:spacing w:val="-2"/>
        </w:rPr>
      </w:pPr>
    </w:p>
    <w:p w14:paraId="3565DB2C" w14:textId="6593A685" w:rsidR="008D6A0C" w:rsidRPr="003B4362" w:rsidRDefault="008D6A0C" w:rsidP="00150379">
      <w:pPr>
        <w:suppressAutoHyphens/>
        <w:ind w:left="2880" w:hanging="720"/>
        <w:rPr>
          <w:spacing w:val="-2"/>
        </w:rPr>
      </w:pPr>
      <w:r w:rsidRPr="003B4362">
        <w:rPr>
          <w:spacing w:val="-2"/>
        </w:rPr>
        <w:t>D)</w:t>
      </w:r>
      <w:r w:rsidRPr="003B4362">
        <w:rPr>
          <w:spacing w:val="-2"/>
        </w:rPr>
        <w:tab/>
        <w:t xml:space="preserve">Obtaining financial assistance </w:t>
      </w:r>
      <w:r w:rsidRPr="003B4362">
        <w:t xml:space="preserve">under section </w:t>
      </w:r>
      <w:r w:rsidRPr="003B4362">
        <w:rPr>
          <w:spacing w:val="-2"/>
        </w:rPr>
        <w:t xml:space="preserve">1452 of the </w:t>
      </w:r>
      <w:r w:rsidRPr="003B4362">
        <w:t xml:space="preserve">federal </w:t>
      </w:r>
      <w:r w:rsidRPr="003B4362">
        <w:rPr>
          <w:spacing w:val="-2"/>
        </w:rPr>
        <w:t xml:space="preserve">SDWA or any other </w:t>
      </w:r>
      <w:r w:rsidRPr="003B4362">
        <w:t>f</w:t>
      </w:r>
      <w:r w:rsidRPr="003B4362">
        <w:rPr>
          <w:spacing w:val="-2"/>
        </w:rPr>
        <w:t>ederal or State program;</w:t>
      </w:r>
    </w:p>
    <w:p w14:paraId="17390384" w14:textId="77777777" w:rsidR="00150379" w:rsidRDefault="00150379" w:rsidP="00150379">
      <w:pPr>
        <w:suppressAutoHyphens/>
        <w:ind w:left="2160" w:hanging="720"/>
        <w:rPr>
          <w:spacing w:val="-2"/>
        </w:rPr>
      </w:pPr>
    </w:p>
    <w:p w14:paraId="1F960A0B" w14:textId="73B8E513" w:rsidR="008D6A0C" w:rsidRPr="003B4362" w:rsidRDefault="008D6A0C" w:rsidP="00150379">
      <w:pPr>
        <w:suppressAutoHyphens/>
        <w:ind w:left="2160" w:hanging="720"/>
        <w:rPr>
          <w:spacing w:val="-2"/>
        </w:rPr>
      </w:pPr>
      <w:r w:rsidRPr="003B4362">
        <w:rPr>
          <w:spacing w:val="-2"/>
        </w:rPr>
        <w:lastRenderedPageBreak/>
        <w:t>3)</w:t>
      </w:r>
      <w:r w:rsidRPr="003B4362">
        <w:rPr>
          <w:spacing w:val="-2"/>
        </w:rPr>
        <w:tab/>
        <w:t xml:space="preserve">That the </w:t>
      </w:r>
      <w:r w:rsidRPr="003B4362">
        <w:t xml:space="preserve">PWS </w:t>
      </w:r>
      <w:r w:rsidRPr="003B4362">
        <w:rPr>
          <w:spacing w:val="-2"/>
        </w:rPr>
        <w:t xml:space="preserve">meets the source water quality requirements for installing the small system variance technology developed </w:t>
      </w:r>
      <w:r w:rsidRPr="003B4362">
        <w:t xml:space="preserve">under </w:t>
      </w:r>
      <w:r w:rsidRPr="003B4362">
        <w:rPr>
          <w:spacing w:val="-2"/>
        </w:rPr>
        <w:t xml:space="preserve">guidance </w:t>
      </w:r>
      <w:r w:rsidR="008523FC" w:rsidRPr="003B4362">
        <w:rPr>
          <w:spacing w:val="-2"/>
        </w:rPr>
        <w:t xml:space="preserve">that </w:t>
      </w:r>
      <w:r w:rsidRPr="003B4362">
        <w:rPr>
          <w:spacing w:val="-2"/>
        </w:rPr>
        <w:t xml:space="preserve">USEPA published under </w:t>
      </w:r>
      <w:r w:rsidRPr="003B4362">
        <w:t>section 141</w:t>
      </w:r>
      <w:r w:rsidRPr="003B4362">
        <w:rPr>
          <w:spacing w:val="-2"/>
        </w:rPr>
        <w:t>2(b)(15) of SDWA</w:t>
      </w:r>
      <w:r w:rsidRPr="003B4362">
        <w:t xml:space="preserve"> (42 </w:t>
      </w:r>
      <w:r w:rsidR="0062698B" w:rsidRPr="003B4362">
        <w:t>U.S.C.</w:t>
      </w:r>
      <w:r w:rsidRPr="003B4362">
        <w:t xml:space="preserve"> 300g-1(b)(15))</w:t>
      </w:r>
      <w:r w:rsidRPr="003B4362">
        <w:rPr>
          <w:spacing w:val="-2"/>
        </w:rPr>
        <w:t>;</w:t>
      </w:r>
    </w:p>
    <w:p w14:paraId="5706E490" w14:textId="77777777" w:rsidR="00150379" w:rsidRDefault="00150379" w:rsidP="00150379">
      <w:pPr>
        <w:suppressAutoHyphens/>
        <w:ind w:left="2160"/>
        <w:rPr>
          <w:spacing w:val="-2"/>
        </w:rPr>
      </w:pPr>
    </w:p>
    <w:p w14:paraId="24292E2E" w14:textId="01488AF1" w:rsidR="00D84B41" w:rsidRPr="003B4362" w:rsidRDefault="00D84B41" w:rsidP="00150379">
      <w:pPr>
        <w:suppressAutoHyphens/>
        <w:ind w:left="2160"/>
        <w:rPr>
          <w:spacing w:val="-2"/>
        </w:rPr>
      </w:pPr>
      <w:r w:rsidRPr="003B4362">
        <w:rPr>
          <w:spacing w:val="-2"/>
        </w:rPr>
        <w:t>BOARD NOTE:  See 71 Fed. Reg. 10671 (Mar. 2, 2006) (“Small Drinking Water Systems Variances—Revision o</w:t>
      </w:r>
      <w:r w:rsidR="00266C1B" w:rsidRPr="003B4362">
        <w:rPr>
          <w:spacing w:val="-2"/>
        </w:rPr>
        <w:t>f</w:t>
      </w:r>
      <w:r w:rsidRPr="003B4362">
        <w:rPr>
          <w:spacing w:val="-2"/>
        </w:rPr>
        <w:t xml:space="preserve"> Existing National-Level Affordability Methodology and Methodology to Identify Variance Technologies That Are Protective of Public Health”).</w:t>
      </w:r>
    </w:p>
    <w:p w14:paraId="1DD8BEF0" w14:textId="77777777" w:rsidR="00150379" w:rsidRDefault="00150379" w:rsidP="00150379">
      <w:pPr>
        <w:tabs>
          <w:tab w:val="left" w:pos="3690"/>
        </w:tabs>
        <w:suppressAutoHyphens/>
        <w:ind w:left="2160" w:hanging="720"/>
        <w:rPr>
          <w:spacing w:val="-2"/>
        </w:rPr>
      </w:pPr>
    </w:p>
    <w:p w14:paraId="5A0C006A" w14:textId="3E7B5E2D" w:rsidR="008D6A0C" w:rsidRPr="003B4362" w:rsidRDefault="008D6A0C" w:rsidP="00150379">
      <w:pPr>
        <w:tabs>
          <w:tab w:val="left" w:pos="3690"/>
        </w:tabs>
        <w:suppressAutoHyphens/>
        <w:ind w:left="2160" w:hanging="720"/>
        <w:rPr>
          <w:spacing w:val="-2"/>
        </w:rPr>
      </w:pPr>
      <w:r w:rsidRPr="003B4362">
        <w:rPr>
          <w:spacing w:val="-2"/>
        </w:rPr>
        <w:t>4)</w:t>
      </w:r>
      <w:r w:rsidRPr="003B4362">
        <w:rPr>
          <w:spacing w:val="-2"/>
        </w:rPr>
        <w:tab/>
        <w:t xml:space="preserve">That the </w:t>
      </w:r>
      <w:r w:rsidRPr="003B4362">
        <w:t xml:space="preserve">PWS </w:t>
      </w:r>
      <w:r w:rsidRPr="003B4362">
        <w:rPr>
          <w:spacing w:val="-2"/>
        </w:rPr>
        <w:t xml:space="preserve">is financially and technically </w:t>
      </w:r>
      <w:r w:rsidR="008523FC" w:rsidRPr="003B4362">
        <w:rPr>
          <w:spacing w:val="-2"/>
        </w:rPr>
        <w:t xml:space="preserve">able to </w:t>
      </w:r>
      <w:r w:rsidR="000C6A12" w:rsidRPr="003B4362">
        <w:rPr>
          <w:spacing w:val="-2"/>
        </w:rPr>
        <w:t xml:space="preserve">install, operated, </w:t>
      </w:r>
      <w:r w:rsidRPr="003B4362">
        <w:rPr>
          <w:spacing w:val="-2"/>
        </w:rPr>
        <w:t xml:space="preserve">and </w:t>
      </w:r>
      <w:r w:rsidR="000C6A12" w:rsidRPr="003B4362">
        <w:rPr>
          <w:spacing w:val="-2"/>
        </w:rPr>
        <w:t xml:space="preserve">maintain </w:t>
      </w:r>
      <w:r w:rsidRPr="003B4362">
        <w:rPr>
          <w:spacing w:val="-2"/>
        </w:rPr>
        <w:t>the applicable small system variance technology; and</w:t>
      </w:r>
    </w:p>
    <w:p w14:paraId="6DFB7377" w14:textId="77777777" w:rsidR="00150379" w:rsidRDefault="00150379" w:rsidP="00150379">
      <w:pPr>
        <w:suppressAutoHyphens/>
        <w:ind w:left="2160" w:hanging="720"/>
        <w:rPr>
          <w:spacing w:val="-2"/>
        </w:rPr>
      </w:pPr>
    </w:p>
    <w:p w14:paraId="1978DA19" w14:textId="1F21C7D2" w:rsidR="008D6A0C" w:rsidRPr="003B4362" w:rsidRDefault="008D6A0C" w:rsidP="00150379">
      <w:pPr>
        <w:suppressAutoHyphens/>
        <w:ind w:left="2160" w:hanging="720"/>
        <w:rPr>
          <w:spacing w:val="-2"/>
        </w:rPr>
      </w:pPr>
      <w:r w:rsidRPr="003B4362">
        <w:rPr>
          <w:spacing w:val="-2"/>
        </w:rPr>
        <w:t>5)</w:t>
      </w:r>
      <w:r w:rsidRPr="003B4362">
        <w:rPr>
          <w:spacing w:val="-2"/>
        </w:rPr>
        <w:tab/>
        <w:t>That the terms and conditions of the small system variance ensure adequate protection of human health, considering</w:t>
      </w:r>
      <w:r w:rsidR="000C6A12" w:rsidRPr="003B4362">
        <w:rPr>
          <w:spacing w:val="-2"/>
        </w:rPr>
        <w:t xml:space="preserve"> two factors</w:t>
      </w:r>
      <w:r w:rsidRPr="003B4362">
        <w:rPr>
          <w:spacing w:val="-2"/>
        </w:rPr>
        <w:t>:</w:t>
      </w:r>
    </w:p>
    <w:p w14:paraId="53154DB9" w14:textId="77777777" w:rsidR="00150379" w:rsidRDefault="00150379" w:rsidP="00150379">
      <w:pPr>
        <w:suppressAutoHyphens/>
        <w:ind w:left="2880" w:hanging="720"/>
        <w:rPr>
          <w:spacing w:val="-2"/>
        </w:rPr>
      </w:pPr>
    </w:p>
    <w:p w14:paraId="4C53A0A9" w14:textId="62899490" w:rsidR="008D6A0C" w:rsidRPr="003B4362" w:rsidRDefault="008D6A0C" w:rsidP="00150379">
      <w:pPr>
        <w:suppressAutoHyphens/>
        <w:ind w:left="2880" w:hanging="720"/>
        <w:rPr>
          <w:spacing w:val="-2"/>
        </w:rPr>
      </w:pPr>
      <w:r w:rsidRPr="003B4362">
        <w:rPr>
          <w:spacing w:val="-2"/>
        </w:rPr>
        <w:t>A)</w:t>
      </w:r>
      <w:r w:rsidRPr="003B4362">
        <w:rPr>
          <w:spacing w:val="-2"/>
        </w:rPr>
        <w:tab/>
        <w:t xml:space="preserve">The quality of the source water for the </w:t>
      </w:r>
      <w:r w:rsidRPr="003B4362">
        <w:t>PWS</w:t>
      </w:r>
      <w:r w:rsidRPr="003B4362">
        <w:rPr>
          <w:spacing w:val="-2"/>
        </w:rPr>
        <w:t>; and</w:t>
      </w:r>
    </w:p>
    <w:p w14:paraId="6AD0F042" w14:textId="77777777" w:rsidR="00150379" w:rsidRDefault="00150379" w:rsidP="00150379">
      <w:pPr>
        <w:suppressAutoHyphens/>
        <w:ind w:left="2880" w:hanging="720"/>
        <w:rPr>
          <w:spacing w:val="-2"/>
        </w:rPr>
      </w:pPr>
    </w:p>
    <w:p w14:paraId="3F475A59" w14:textId="7353A43F" w:rsidR="008D6A0C" w:rsidRPr="003B4362" w:rsidRDefault="008D6A0C" w:rsidP="00150379">
      <w:pPr>
        <w:suppressAutoHyphens/>
        <w:ind w:left="2880" w:hanging="720"/>
        <w:rPr>
          <w:spacing w:val="-2"/>
        </w:rPr>
      </w:pPr>
      <w:r w:rsidRPr="003B4362">
        <w:rPr>
          <w:spacing w:val="-2"/>
        </w:rPr>
        <w:t>B)</w:t>
      </w:r>
      <w:r w:rsidRPr="003B4362">
        <w:rPr>
          <w:spacing w:val="-2"/>
        </w:rPr>
        <w:tab/>
        <w:t>Removal efficiencies and expected useful life of the small system variance technology.</w:t>
      </w:r>
    </w:p>
    <w:p w14:paraId="03686947" w14:textId="77777777" w:rsidR="00150379" w:rsidRDefault="00150379" w:rsidP="00150379">
      <w:pPr>
        <w:suppressAutoHyphens/>
        <w:ind w:left="1440" w:hanging="720"/>
        <w:rPr>
          <w:spacing w:val="-2"/>
        </w:rPr>
      </w:pPr>
    </w:p>
    <w:p w14:paraId="2F61D1D7" w14:textId="6C9DF90D" w:rsidR="008D6A0C" w:rsidRPr="003B4362" w:rsidRDefault="008D6A0C" w:rsidP="00150379">
      <w:pPr>
        <w:suppressAutoHyphens/>
        <w:ind w:left="1440" w:hanging="720"/>
        <w:rPr>
          <w:spacing w:val="-2"/>
        </w:rPr>
      </w:pPr>
      <w:r w:rsidRPr="003B4362">
        <w:rPr>
          <w:spacing w:val="-2"/>
        </w:rPr>
        <w:t>f)</w:t>
      </w:r>
      <w:r w:rsidRPr="003B4362">
        <w:rPr>
          <w:spacing w:val="-2"/>
        </w:rPr>
        <w:tab/>
        <w:t>Terms and Conditions</w:t>
      </w:r>
    </w:p>
    <w:p w14:paraId="035170DD" w14:textId="77777777" w:rsidR="00150379" w:rsidRDefault="00150379" w:rsidP="00150379">
      <w:pPr>
        <w:suppressAutoHyphens/>
        <w:ind w:left="2160" w:hanging="720"/>
        <w:rPr>
          <w:spacing w:val="-2"/>
        </w:rPr>
      </w:pPr>
    </w:p>
    <w:p w14:paraId="56BBDFD9" w14:textId="579B7E84" w:rsidR="008D6A0C" w:rsidRPr="003B4362" w:rsidRDefault="008D6A0C" w:rsidP="00150379">
      <w:pPr>
        <w:suppressAutoHyphens/>
        <w:ind w:left="2160" w:hanging="720"/>
        <w:rPr>
          <w:spacing w:val="-2"/>
        </w:rPr>
      </w:pPr>
      <w:r w:rsidRPr="003B4362">
        <w:rPr>
          <w:spacing w:val="-2"/>
        </w:rPr>
        <w:t>1)</w:t>
      </w:r>
      <w:r w:rsidRPr="003B4362">
        <w:rPr>
          <w:spacing w:val="-2"/>
        </w:rPr>
        <w:tab/>
      </w:r>
      <w:r w:rsidRPr="003B4362">
        <w:t>The Board will set t</w:t>
      </w:r>
      <w:r w:rsidRPr="003B4362">
        <w:rPr>
          <w:spacing w:val="-2"/>
        </w:rPr>
        <w:t xml:space="preserve">he terms and conditions for a small system variance under this </w:t>
      </w:r>
      <w:r w:rsidRPr="003B4362">
        <w:t xml:space="preserve">Section and </w:t>
      </w:r>
      <w:r w:rsidRPr="003B4362">
        <w:rPr>
          <w:spacing w:val="-2"/>
        </w:rPr>
        <w:t>include specific minimum requirements:</w:t>
      </w:r>
    </w:p>
    <w:p w14:paraId="111CF709" w14:textId="77777777" w:rsidR="00150379" w:rsidRDefault="00150379" w:rsidP="00150379">
      <w:pPr>
        <w:suppressAutoHyphens/>
        <w:ind w:left="2880" w:hanging="720"/>
        <w:rPr>
          <w:spacing w:val="-2"/>
        </w:rPr>
      </w:pPr>
    </w:p>
    <w:p w14:paraId="00877143" w14:textId="666378C4" w:rsidR="008D6A0C" w:rsidRPr="003B4362" w:rsidRDefault="008D6A0C" w:rsidP="00150379">
      <w:pPr>
        <w:suppressAutoHyphens/>
        <w:ind w:left="2880" w:hanging="720"/>
        <w:rPr>
          <w:spacing w:val="-2"/>
        </w:rPr>
      </w:pPr>
      <w:r w:rsidRPr="003B4362">
        <w:rPr>
          <w:spacing w:val="-2"/>
        </w:rPr>
        <w:t>A)</w:t>
      </w:r>
      <w:r w:rsidRPr="003B4362">
        <w:rPr>
          <w:spacing w:val="-2"/>
        </w:rPr>
        <w:tab/>
      </w:r>
      <w:r w:rsidR="008A5CB1" w:rsidRPr="003B4362">
        <w:rPr>
          <w:spacing w:val="-2"/>
        </w:rPr>
        <w:t xml:space="preserve">The supplier must properly and effectively install, operate, </w:t>
      </w:r>
      <w:r w:rsidRPr="003B4362">
        <w:rPr>
          <w:spacing w:val="-2"/>
        </w:rPr>
        <w:t xml:space="preserve">and </w:t>
      </w:r>
      <w:r w:rsidR="008A5CB1" w:rsidRPr="003B4362">
        <w:rPr>
          <w:spacing w:val="-2"/>
        </w:rPr>
        <w:t xml:space="preserve">maintain </w:t>
      </w:r>
      <w:r w:rsidRPr="003B4362">
        <w:rPr>
          <w:spacing w:val="-2"/>
        </w:rPr>
        <w:t xml:space="preserve">the applicable small system variance technology </w:t>
      </w:r>
      <w:r w:rsidR="008A5CB1" w:rsidRPr="003B4362">
        <w:rPr>
          <w:spacing w:val="-2"/>
        </w:rPr>
        <w:t>that</w:t>
      </w:r>
      <w:r w:rsidRPr="003B4362">
        <w:rPr>
          <w:spacing w:val="-2"/>
        </w:rPr>
        <w:t xml:space="preserve"> USEPA</w:t>
      </w:r>
      <w:r w:rsidR="008A5CB1" w:rsidRPr="003B4362">
        <w:rPr>
          <w:spacing w:val="-2"/>
        </w:rPr>
        <w:t xml:space="preserve"> indicated</w:t>
      </w:r>
      <w:r w:rsidRPr="003B4362">
        <w:rPr>
          <w:spacing w:val="-2"/>
        </w:rPr>
        <w:t xml:space="preserve"> in </w:t>
      </w:r>
      <w:r w:rsidR="008A5CB1" w:rsidRPr="003B4362">
        <w:rPr>
          <w:spacing w:val="-2"/>
        </w:rPr>
        <w:t>published</w:t>
      </w:r>
      <w:r w:rsidRPr="003B4362">
        <w:rPr>
          <w:spacing w:val="-2"/>
        </w:rPr>
        <w:t xml:space="preserve"> guidance, taking into consideration any relevant source water characteristics and any other site</w:t>
      </w:r>
      <w:r w:rsidRPr="003B4362">
        <w:rPr>
          <w:spacing w:val="-2"/>
        </w:rPr>
        <w:noBreakHyphen/>
        <w:t>specific conditions that may affect proper and effective operation and maintenance of the technology;</w:t>
      </w:r>
    </w:p>
    <w:p w14:paraId="22E4FC60" w14:textId="77777777" w:rsidR="00150379" w:rsidRDefault="00150379" w:rsidP="00150379">
      <w:pPr>
        <w:suppressAutoHyphens/>
        <w:ind w:left="2880" w:hanging="720"/>
        <w:rPr>
          <w:spacing w:val="-2"/>
        </w:rPr>
      </w:pPr>
    </w:p>
    <w:p w14:paraId="6710BA41" w14:textId="1F3DDA1B" w:rsidR="008D6A0C" w:rsidRPr="003B4362" w:rsidRDefault="008D6A0C" w:rsidP="00150379">
      <w:pPr>
        <w:suppressAutoHyphens/>
        <w:ind w:left="2880" w:hanging="720"/>
        <w:rPr>
          <w:spacing w:val="-2"/>
        </w:rPr>
      </w:pPr>
      <w:r w:rsidRPr="003B4362">
        <w:rPr>
          <w:spacing w:val="-2"/>
        </w:rPr>
        <w:t>B)</w:t>
      </w:r>
      <w:r w:rsidRPr="003B4362">
        <w:rPr>
          <w:spacing w:val="-2"/>
        </w:rPr>
        <w:tab/>
      </w:r>
      <w:r w:rsidR="008A5CB1" w:rsidRPr="003B4362">
        <w:rPr>
          <w:spacing w:val="-2"/>
        </w:rPr>
        <w:t xml:space="preserve">The supplier must monitor </w:t>
      </w:r>
      <w:r w:rsidRPr="003B4362">
        <w:rPr>
          <w:spacing w:val="-2"/>
        </w:rPr>
        <w:t xml:space="preserve">for the contaminant from which </w:t>
      </w:r>
      <w:r w:rsidR="008A5CB1" w:rsidRPr="003B4362">
        <w:rPr>
          <w:spacing w:val="-2"/>
        </w:rPr>
        <w:t>the Board grants the</w:t>
      </w:r>
      <w:r w:rsidRPr="003B4362">
        <w:rPr>
          <w:spacing w:val="-2"/>
        </w:rPr>
        <w:t xml:space="preserve"> small system variance; and</w:t>
      </w:r>
    </w:p>
    <w:p w14:paraId="74E51C01" w14:textId="77777777" w:rsidR="00150379" w:rsidRDefault="00150379" w:rsidP="00150379">
      <w:pPr>
        <w:suppressAutoHyphens/>
        <w:ind w:left="2880" w:hanging="720"/>
        <w:rPr>
          <w:spacing w:val="-2"/>
        </w:rPr>
      </w:pPr>
    </w:p>
    <w:p w14:paraId="07C6422F" w14:textId="45B2BC0D" w:rsidR="008D6A0C" w:rsidRPr="003B4362" w:rsidRDefault="008D6A0C" w:rsidP="00150379">
      <w:pPr>
        <w:suppressAutoHyphens/>
        <w:ind w:left="2880" w:hanging="720"/>
        <w:rPr>
          <w:spacing w:val="-2"/>
        </w:rPr>
      </w:pPr>
      <w:r w:rsidRPr="003B4362">
        <w:rPr>
          <w:spacing w:val="-2"/>
        </w:rPr>
        <w:t>C)</w:t>
      </w:r>
      <w:r w:rsidRPr="003B4362">
        <w:rPr>
          <w:spacing w:val="-2"/>
        </w:rPr>
        <w:tab/>
        <w:t xml:space="preserve">Any other terms or conditions </w:t>
      </w:r>
      <w:r w:rsidR="008A5CB1" w:rsidRPr="003B4362">
        <w:rPr>
          <w:spacing w:val="-2"/>
        </w:rPr>
        <w:t xml:space="preserve">the Board determines </w:t>
      </w:r>
      <w:r w:rsidRPr="003B4362">
        <w:rPr>
          <w:spacing w:val="-2"/>
        </w:rPr>
        <w:t xml:space="preserve">are necessary to </w:t>
      </w:r>
      <w:r w:rsidR="008A5CB1" w:rsidRPr="003B4362">
        <w:rPr>
          <w:spacing w:val="-2"/>
        </w:rPr>
        <w:t xml:space="preserve">adequately protect human </w:t>
      </w:r>
      <w:r w:rsidRPr="003B4362">
        <w:rPr>
          <w:spacing w:val="-2"/>
        </w:rPr>
        <w:t>health, which may include</w:t>
      </w:r>
      <w:r w:rsidR="008A5CB1" w:rsidRPr="003B4362">
        <w:rPr>
          <w:spacing w:val="-2"/>
        </w:rPr>
        <w:t xml:space="preserve"> </w:t>
      </w:r>
      <w:r w:rsidR="00033DBD" w:rsidRPr="003B4362">
        <w:rPr>
          <w:spacing w:val="-2"/>
        </w:rPr>
        <w:t>certain</w:t>
      </w:r>
      <w:r w:rsidR="008A5CB1" w:rsidRPr="003B4362">
        <w:rPr>
          <w:spacing w:val="-2"/>
        </w:rPr>
        <w:t xml:space="preserve"> </w:t>
      </w:r>
      <w:r w:rsidR="00033DBD" w:rsidRPr="003B4362">
        <w:rPr>
          <w:spacing w:val="-2"/>
        </w:rPr>
        <w:t>requirements</w:t>
      </w:r>
      <w:r w:rsidRPr="003B4362">
        <w:rPr>
          <w:spacing w:val="-2"/>
        </w:rPr>
        <w:t>:</w:t>
      </w:r>
    </w:p>
    <w:p w14:paraId="34EE2CE8" w14:textId="77777777" w:rsidR="00150379" w:rsidRDefault="00150379" w:rsidP="00150379">
      <w:pPr>
        <w:suppressAutoHyphens/>
        <w:ind w:left="3600" w:hanging="720"/>
        <w:rPr>
          <w:spacing w:val="-2"/>
        </w:rPr>
      </w:pPr>
    </w:p>
    <w:p w14:paraId="5BE5B999" w14:textId="1470580A" w:rsidR="008D6A0C" w:rsidRPr="003B4362" w:rsidRDefault="008D6A0C" w:rsidP="00150379">
      <w:pPr>
        <w:suppressAutoHyphens/>
        <w:ind w:left="3600" w:hanging="720"/>
        <w:rPr>
          <w:spacing w:val="-2"/>
        </w:rPr>
      </w:pPr>
      <w:r w:rsidRPr="003B4362">
        <w:rPr>
          <w:spacing w:val="-2"/>
        </w:rPr>
        <w:t>i)</w:t>
      </w:r>
      <w:r w:rsidRPr="003B4362">
        <w:rPr>
          <w:spacing w:val="-2"/>
        </w:rPr>
        <w:tab/>
        <w:t>Public education requirements; and</w:t>
      </w:r>
    </w:p>
    <w:p w14:paraId="4725FF3C" w14:textId="77777777" w:rsidR="00150379" w:rsidRDefault="00150379" w:rsidP="00150379">
      <w:pPr>
        <w:suppressAutoHyphens/>
        <w:ind w:left="3600" w:hanging="720"/>
        <w:rPr>
          <w:spacing w:val="-2"/>
        </w:rPr>
      </w:pPr>
    </w:p>
    <w:p w14:paraId="170E0916" w14:textId="303D9FBE" w:rsidR="008D6A0C" w:rsidRPr="003B4362" w:rsidRDefault="008D6A0C" w:rsidP="00150379">
      <w:pPr>
        <w:suppressAutoHyphens/>
        <w:ind w:left="3600" w:hanging="720"/>
        <w:rPr>
          <w:spacing w:val="-2"/>
        </w:rPr>
      </w:pPr>
      <w:r w:rsidRPr="003B4362">
        <w:rPr>
          <w:spacing w:val="-2"/>
        </w:rPr>
        <w:t>ii)</w:t>
      </w:r>
      <w:r w:rsidRPr="003B4362">
        <w:rPr>
          <w:spacing w:val="-2"/>
        </w:rPr>
        <w:tab/>
        <w:t>Source water protection requirements.</w:t>
      </w:r>
    </w:p>
    <w:p w14:paraId="5AB1F569" w14:textId="77777777" w:rsidR="00150379" w:rsidRDefault="00150379" w:rsidP="00150379">
      <w:pPr>
        <w:suppressAutoHyphens/>
        <w:ind w:left="2160" w:hanging="720"/>
        <w:rPr>
          <w:spacing w:val="-2"/>
        </w:rPr>
      </w:pPr>
    </w:p>
    <w:p w14:paraId="107F570E" w14:textId="17BD7804" w:rsidR="008D6A0C" w:rsidRPr="003B4362" w:rsidRDefault="008D6A0C" w:rsidP="00150379">
      <w:pPr>
        <w:suppressAutoHyphens/>
        <w:ind w:left="2160" w:hanging="720"/>
        <w:rPr>
          <w:spacing w:val="-2"/>
        </w:rPr>
      </w:pPr>
      <w:r w:rsidRPr="003B4362">
        <w:rPr>
          <w:spacing w:val="-2"/>
        </w:rPr>
        <w:lastRenderedPageBreak/>
        <w:t>2)</w:t>
      </w:r>
      <w:r w:rsidRPr="003B4362">
        <w:rPr>
          <w:spacing w:val="-2"/>
        </w:rPr>
        <w:tab/>
        <w:t xml:space="preserve">The Board </w:t>
      </w:r>
      <w:r w:rsidRPr="003B4362">
        <w:t xml:space="preserve">will </w:t>
      </w:r>
      <w:r w:rsidRPr="003B4362">
        <w:rPr>
          <w:spacing w:val="-2"/>
        </w:rPr>
        <w:t xml:space="preserve">establish a schedule for the </w:t>
      </w:r>
      <w:r w:rsidRPr="003B4362">
        <w:t xml:space="preserve">PWS </w:t>
      </w:r>
      <w:r w:rsidRPr="003B4362">
        <w:rPr>
          <w:spacing w:val="-2"/>
        </w:rPr>
        <w:t>to comply with the terms and conditions of the small system variance</w:t>
      </w:r>
      <w:r w:rsidR="00033DBD" w:rsidRPr="003B4362">
        <w:rPr>
          <w:spacing w:val="-2"/>
        </w:rPr>
        <w:t xml:space="preserve"> including certain minimum </w:t>
      </w:r>
      <w:r w:rsidRPr="003B4362">
        <w:rPr>
          <w:spacing w:val="-2"/>
        </w:rPr>
        <w:t>requirements:</w:t>
      </w:r>
    </w:p>
    <w:p w14:paraId="199A01B1" w14:textId="77777777" w:rsidR="00150379" w:rsidRDefault="00150379" w:rsidP="00150379">
      <w:pPr>
        <w:suppressAutoHyphens/>
        <w:ind w:left="2880" w:hanging="720"/>
        <w:rPr>
          <w:spacing w:val="-2"/>
        </w:rPr>
      </w:pPr>
    </w:p>
    <w:p w14:paraId="003B6132" w14:textId="7820B3AE" w:rsidR="008D6A0C" w:rsidRPr="003B4362" w:rsidRDefault="008D6A0C" w:rsidP="00150379">
      <w:pPr>
        <w:suppressAutoHyphens/>
        <w:ind w:left="2880" w:hanging="720"/>
        <w:rPr>
          <w:spacing w:val="-2"/>
        </w:rPr>
      </w:pPr>
      <w:r w:rsidRPr="003B4362">
        <w:rPr>
          <w:spacing w:val="-2"/>
        </w:rPr>
        <w:t>A)</w:t>
      </w:r>
      <w:r w:rsidRPr="003B4362">
        <w:rPr>
          <w:spacing w:val="-2"/>
        </w:rPr>
        <w:tab/>
        <w:t xml:space="preserve">Increments of progress, such as milestone dates for the </w:t>
      </w:r>
      <w:r w:rsidRPr="003B4362">
        <w:t>PWS</w:t>
      </w:r>
      <w:r w:rsidRPr="003B4362">
        <w:rPr>
          <w:spacing w:val="-2"/>
        </w:rPr>
        <w:t xml:space="preserve"> to apply for financial assistance and begin capital improvements;</w:t>
      </w:r>
    </w:p>
    <w:p w14:paraId="55A7EC0D" w14:textId="77777777" w:rsidR="00150379" w:rsidRDefault="00150379" w:rsidP="00150379">
      <w:pPr>
        <w:suppressAutoHyphens/>
        <w:ind w:left="2880" w:hanging="720"/>
        <w:rPr>
          <w:spacing w:val="-2"/>
        </w:rPr>
      </w:pPr>
    </w:p>
    <w:p w14:paraId="010C7BFB" w14:textId="443F90EF" w:rsidR="008D6A0C" w:rsidRPr="003B4362" w:rsidRDefault="008D6A0C" w:rsidP="00150379">
      <w:pPr>
        <w:suppressAutoHyphens/>
        <w:ind w:left="2880" w:hanging="720"/>
        <w:rPr>
          <w:spacing w:val="-2"/>
        </w:rPr>
      </w:pPr>
      <w:r w:rsidRPr="003B4362">
        <w:rPr>
          <w:spacing w:val="-2"/>
        </w:rPr>
        <w:t>B)</w:t>
      </w:r>
      <w:r w:rsidRPr="003B4362">
        <w:rPr>
          <w:spacing w:val="-2"/>
        </w:rPr>
        <w:tab/>
        <w:t xml:space="preserve">Quarterly reporting to the </w:t>
      </w:r>
      <w:r w:rsidRPr="003B4362">
        <w:t>Agency</w:t>
      </w:r>
      <w:r w:rsidRPr="003B4362">
        <w:rPr>
          <w:spacing w:val="-2"/>
        </w:rPr>
        <w:t xml:space="preserve"> </w:t>
      </w:r>
      <w:r w:rsidR="00033DBD" w:rsidRPr="003B4362">
        <w:rPr>
          <w:spacing w:val="-2"/>
        </w:rPr>
        <w:t xml:space="preserve">how </w:t>
      </w:r>
      <w:r w:rsidRPr="003B4362">
        <w:rPr>
          <w:spacing w:val="-2"/>
        </w:rPr>
        <w:t xml:space="preserve">the </w:t>
      </w:r>
      <w:r w:rsidR="00033DBD" w:rsidRPr="003B4362">
        <w:rPr>
          <w:spacing w:val="-2"/>
        </w:rPr>
        <w:t xml:space="preserve">PWS complies </w:t>
      </w:r>
      <w:r w:rsidRPr="003B4362">
        <w:rPr>
          <w:spacing w:val="-2"/>
        </w:rPr>
        <w:t>with the terms and conditions of the small system variance;</w:t>
      </w:r>
    </w:p>
    <w:p w14:paraId="71FB35AB" w14:textId="77777777" w:rsidR="00150379" w:rsidRDefault="00150379" w:rsidP="00150379">
      <w:pPr>
        <w:suppressAutoHyphens/>
        <w:ind w:left="2880" w:hanging="720"/>
        <w:rPr>
          <w:spacing w:val="-2"/>
        </w:rPr>
      </w:pPr>
    </w:p>
    <w:p w14:paraId="56FD043B" w14:textId="261796A6" w:rsidR="008D6A0C" w:rsidRPr="003B4362" w:rsidRDefault="008D6A0C" w:rsidP="00150379">
      <w:pPr>
        <w:suppressAutoHyphens/>
        <w:ind w:left="2880" w:hanging="720"/>
        <w:rPr>
          <w:spacing w:val="-2"/>
        </w:rPr>
      </w:pPr>
      <w:r w:rsidRPr="003B4362">
        <w:rPr>
          <w:spacing w:val="-2"/>
        </w:rPr>
        <w:t>C)</w:t>
      </w:r>
      <w:r w:rsidRPr="003B4362">
        <w:rPr>
          <w:spacing w:val="-2"/>
        </w:rPr>
        <w:tab/>
        <w:t xml:space="preserve">A schedule for </w:t>
      </w:r>
      <w:r w:rsidR="00033DBD" w:rsidRPr="003B4362">
        <w:rPr>
          <w:spacing w:val="-2"/>
        </w:rPr>
        <w:t xml:space="preserve">the Agency </w:t>
      </w:r>
      <w:r w:rsidRPr="003B4362">
        <w:rPr>
          <w:spacing w:val="-2"/>
        </w:rPr>
        <w:t>to review the small system variance; and</w:t>
      </w:r>
    </w:p>
    <w:p w14:paraId="320E4C9C" w14:textId="77777777" w:rsidR="00150379" w:rsidRDefault="00150379" w:rsidP="00150379">
      <w:pPr>
        <w:suppressAutoHyphens/>
        <w:ind w:left="2880"/>
        <w:rPr>
          <w:spacing w:val="-2"/>
        </w:rPr>
      </w:pPr>
    </w:p>
    <w:p w14:paraId="43982E8D" w14:textId="4D46D961" w:rsidR="008D6A0C" w:rsidRPr="003B4362" w:rsidRDefault="008D6A0C" w:rsidP="00150379">
      <w:pPr>
        <w:suppressAutoHyphens/>
        <w:ind w:left="2880"/>
        <w:rPr>
          <w:spacing w:val="-2"/>
        </w:rPr>
      </w:pPr>
      <w:r w:rsidRPr="003B4362">
        <w:rPr>
          <w:spacing w:val="-2"/>
        </w:rPr>
        <w:t xml:space="preserve">BOARD NOTE:  Corresponding 40 CFR 142.307(d) provides that the states must review </w:t>
      </w:r>
      <w:r w:rsidR="00D714A3" w:rsidRPr="003B4362">
        <w:rPr>
          <w:spacing w:val="-2"/>
        </w:rPr>
        <w:t xml:space="preserve">small system </w:t>
      </w:r>
      <w:r w:rsidRPr="003B4362">
        <w:rPr>
          <w:spacing w:val="-2"/>
        </w:rPr>
        <w:t>variances no less frequently than every five years.</w:t>
      </w:r>
    </w:p>
    <w:p w14:paraId="64AEAE9E" w14:textId="77777777" w:rsidR="00150379" w:rsidRDefault="00150379" w:rsidP="00150379">
      <w:pPr>
        <w:suppressAutoHyphens/>
        <w:ind w:left="2880" w:hanging="720"/>
        <w:rPr>
          <w:spacing w:val="-2"/>
        </w:rPr>
      </w:pPr>
    </w:p>
    <w:p w14:paraId="403EB196" w14:textId="699DC580" w:rsidR="008D6A0C" w:rsidRPr="003B4362" w:rsidRDefault="008D6A0C" w:rsidP="00150379">
      <w:pPr>
        <w:suppressAutoHyphens/>
        <w:ind w:left="2880" w:hanging="720"/>
        <w:rPr>
          <w:spacing w:val="-2"/>
        </w:rPr>
      </w:pPr>
      <w:r w:rsidRPr="003B4362">
        <w:rPr>
          <w:spacing w:val="-2"/>
        </w:rPr>
        <w:t>D)</w:t>
      </w:r>
      <w:r w:rsidRPr="003B4362">
        <w:rPr>
          <w:spacing w:val="-2"/>
        </w:rPr>
        <w:tab/>
        <w:t xml:space="preserve">Compliance with the terms and conditions of the small system variance as soon as practicable, but not later than three years after the date </w:t>
      </w:r>
      <w:r w:rsidR="00D714A3" w:rsidRPr="003B4362">
        <w:rPr>
          <w:spacing w:val="-2"/>
        </w:rPr>
        <w:t>the Board granted</w:t>
      </w:r>
      <w:r w:rsidRPr="003B4362">
        <w:rPr>
          <w:spacing w:val="-2"/>
        </w:rPr>
        <w:t xml:space="preserve"> the small system variance.  The Board may allow up to two additional years upon determining that additional time is necessary for the </w:t>
      </w:r>
      <w:r w:rsidRPr="003B4362">
        <w:t xml:space="preserve">PWS </w:t>
      </w:r>
      <w:r w:rsidRPr="003B4362">
        <w:rPr>
          <w:spacing w:val="-2"/>
        </w:rPr>
        <w:t>to accomplish a specific objective:</w:t>
      </w:r>
    </w:p>
    <w:p w14:paraId="3B26A622" w14:textId="77777777" w:rsidR="00150379" w:rsidRDefault="00150379" w:rsidP="00150379">
      <w:pPr>
        <w:suppressAutoHyphens/>
        <w:ind w:left="3600" w:hanging="720"/>
        <w:rPr>
          <w:spacing w:val="-2"/>
        </w:rPr>
      </w:pPr>
    </w:p>
    <w:p w14:paraId="402FA394" w14:textId="1C6DCB8D" w:rsidR="008D6A0C" w:rsidRPr="003B4362" w:rsidRDefault="008D6A0C" w:rsidP="00150379">
      <w:pPr>
        <w:suppressAutoHyphens/>
        <w:ind w:left="3600" w:hanging="720"/>
        <w:rPr>
          <w:spacing w:val="-2"/>
        </w:rPr>
      </w:pPr>
      <w:r w:rsidRPr="003B4362">
        <w:rPr>
          <w:spacing w:val="-2"/>
        </w:rPr>
        <w:t>i)</w:t>
      </w:r>
      <w:r w:rsidRPr="003B4362">
        <w:rPr>
          <w:spacing w:val="-2"/>
        </w:rPr>
        <w:tab/>
      </w:r>
      <w:r w:rsidR="00D714A3" w:rsidRPr="003B4362">
        <w:rPr>
          <w:spacing w:val="-2"/>
        </w:rPr>
        <w:t xml:space="preserve">To complete </w:t>
      </w:r>
      <w:r w:rsidRPr="003B4362">
        <w:rPr>
          <w:spacing w:val="-2"/>
        </w:rPr>
        <w:t>necessary capital improvements to comply with the small system variance technology, secure an alternative source of water</w:t>
      </w:r>
      <w:r w:rsidRPr="003B4362">
        <w:t>, or</w:t>
      </w:r>
      <w:r w:rsidRPr="003B4362">
        <w:rPr>
          <w:spacing w:val="-2"/>
        </w:rPr>
        <w:t xml:space="preserve"> restructure or consolidate; or</w:t>
      </w:r>
    </w:p>
    <w:p w14:paraId="6B606C85" w14:textId="77777777" w:rsidR="00150379" w:rsidRDefault="00150379" w:rsidP="00150379">
      <w:pPr>
        <w:suppressAutoHyphens/>
        <w:ind w:left="3600" w:hanging="720"/>
        <w:rPr>
          <w:spacing w:val="-2"/>
        </w:rPr>
      </w:pPr>
    </w:p>
    <w:p w14:paraId="7EA347AB" w14:textId="54C02BE2" w:rsidR="008D6A0C" w:rsidRPr="003B4362" w:rsidRDefault="008D6A0C" w:rsidP="00150379">
      <w:pPr>
        <w:suppressAutoHyphens/>
        <w:ind w:left="3600" w:hanging="720"/>
        <w:rPr>
          <w:spacing w:val="-2"/>
        </w:rPr>
      </w:pPr>
      <w:r w:rsidRPr="003B4362">
        <w:rPr>
          <w:spacing w:val="-2"/>
        </w:rPr>
        <w:t>ii)</w:t>
      </w:r>
      <w:r w:rsidRPr="003B4362">
        <w:rPr>
          <w:spacing w:val="-2"/>
        </w:rPr>
        <w:tab/>
      </w:r>
      <w:r w:rsidR="00D714A3" w:rsidRPr="003B4362">
        <w:rPr>
          <w:spacing w:val="-2"/>
        </w:rPr>
        <w:t xml:space="preserve">To obtain </w:t>
      </w:r>
      <w:r w:rsidRPr="003B4362">
        <w:rPr>
          <w:spacing w:val="-2"/>
        </w:rPr>
        <w:t xml:space="preserve">financial assistance </w:t>
      </w:r>
      <w:r w:rsidRPr="003B4362">
        <w:t xml:space="preserve">under section </w:t>
      </w:r>
      <w:r w:rsidRPr="003B4362">
        <w:rPr>
          <w:spacing w:val="-2"/>
        </w:rPr>
        <w:t xml:space="preserve">1452 of SDWA (42 </w:t>
      </w:r>
      <w:r w:rsidR="0062698B" w:rsidRPr="003B4362">
        <w:t>U.S.C.</w:t>
      </w:r>
      <w:r w:rsidRPr="003B4362">
        <w:rPr>
          <w:spacing w:val="-2"/>
        </w:rPr>
        <w:t xml:space="preserve"> 300j-12) or any other </w:t>
      </w:r>
      <w:r w:rsidRPr="003B4362">
        <w:t>f</w:t>
      </w:r>
      <w:r w:rsidRPr="003B4362">
        <w:rPr>
          <w:spacing w:val="-2"/>
        </w:rPr>
        <w:t>ederal or State program.</w:t>
      </w:r>
    </w:p>
    <w:p w14:paraId="66AEDDC1" w14:textId="77777777" w:rsidR="00150379" w:rsidRDefault="00150379" w:rsidP="00150379">
      <w:pPr>
        <w:suppressAutoHyphens/>
        <w:ind w:left="1440" w:hanging="720"/>
        <w:rPr>
          <w:spacing w:val="-2"/>
        </w:rPr>
      </w:pPr>
    </w:p>
    <w:p w14:paraId="59016255" w14:textId="6D3007F9" w:rsidR="008D6A0C" w:rsidRPr="003B4362" w:rsidRDefault="008D6A0C" w:rsidP="00150379">
      <w:pPr>
        <w:suppressAutoHyphens/>
        <w:ind w:left="1440" w:hanging="720"/>
        <w:rPr>
          <w:spacing w:val="-2"/>
        </w:rPr>
      </w:pPr>
      <w:r w:rsidRPr="003B4362">
        <w:rPr>
          <w:spacing w:val="-2"/>
        </w:rPr>
        <w:t>g)</w:t>
      </w:r>
      <w:r w:rsidRPr="003B4362">
        <w:rPr>
          <w:spacing w:val="-2"/>
        </w:rPr>
        <w:tab/>
        <w:t xml:space="preserve">The Board will provide notice and opportunity for a public hearing, as </w:t>
      </w:r>
      <w:r w:rsidRPr="003B4362">
        <w:t xml:space="preserve">Subpart B of </w:t>
      </w:r>
      <w:r w:rsidRPr="003B4362">
        <w:rPr>
          <w:spacing w:val="-2"/>
        </w:rPr>
        <w:t xml:space="preserve">35 Ill. Adm. Code 104 provides, </w:t>
      </w:r>
      <w:r w:rsidRPr="003B4362">
        <w:t>except as this Section provides otherwise.</w:t>
      </w:r>
    </w:p>
    <w:p w14:paraId="4D183E60" w14:textId="77777777" w:rsidR="00150379" w:rsidRDefault="00150379" w:rsidP="00150379">
      <w:pPr>
        <w:suppressAutoHyphens/>
        <w:ind w:left="2160" w:hanging="720"/>
        <w:rPr>
          <w:spacing w:val="-2"/>
        </w:rPr>
      </w:pPr>
    </w:p>
    <w:p w14:paraId="2526306C" w14:textId="5D7E3085" w:rsidR="008D6A0C" w:rsidRPr="003B4362" w:rsidRDefault="008D6A0C" w:rsidP="00150379">
      <w:pPr>
        <w:suppressAutoHyphens/>
        <w:ind w:left="2160" w:hanging="720"/>
        <w:rPr>
          <w:spacing w:val="-2"/>
        </w:rPr>
      </w:pPr>
      <w:r w:rsidRPr="003B4362">
        <w:rPr>
          <w:spacing w:val="-2"/>
        </w:rPr>
        <w:t>1)</w:t>
      </w:r>
      <w:r w:rsidRPr="003B4362">
        <w:rPr>
          <w:spacing w:val="-2"/>
        </w:rPr>
        <w:tab/>
      </w:r>
      <w:r w:rsidRPr="003B4362">
        <w:t>At least 30 d</w:t>
      </w:r>
      <w:r w:rsidRPr="003B4362">
        <w:rPr>
          <w:spacing w:val="-2"/>
        </w:rPr>
        <w:t xml:space="preserve">ays before the public </w:t>
      </w:r>
      <w:r w:rsidRPr="003B4362">
        <w:t xml:space="preserve">hearing on </w:t>
      </w:r>
      <w:r w:rsidRPr="003B4362">
        <w:rPr>
          <w:spacing w:val="-2"/>
        </w:rPr>
        <w:t xml:space="preserve">the proposed small system variance, the </w:t>
      </w:r>
      <w:r w:rsidRPr="003B4362">
        <w:t>PWS</w:t>
      </w:r>
      <w:r w:rsidRPr="003B4362">
        <w:rPr>
          <w:spacing w:val="-2"/>
        </w:rPr>
        <w:t xml:space="preserve"> </w:t>
      </w:r>
      <w:r w:rsidRPr="003B4362">
        <w:t xml:space="preserve">must </w:t>
      </w:r>
      <w:r w:rsidRPr="003B4362">
        <w:rPr>
          <w:spacing w:val="-2"/>
        </w:rPr>
        <w:t xml:space="preserve">provide notice to all persons the </w:t>
      </w:r>
      <w:r w:rsidRPr="003B4362">
        <w:t>PWS serves</w:t>
      </w:r>
      <w:r w:rsidRPr="003B4362">
        <w:rPr>
          <w:spacing w:val="-2"/>
        </w:rPr>
        <w:t xml:space="preserve">.  For billed customers, this notice </w:t>
      </w:r>
      <w:r w:rsidRPr="003B4362">
        <w:t xml:space="preserve">must </w:t>
      </w:r>
      <w:r w:rsidRPr="003B4362">
        <w:rPr>
          <w:spacing w:val="-2"/>
        </w:rPr>
        <w:t xml:space="preserve">include the information listed in subsection (g)(2).  For other persons the </w:t>
      </w:r>
      <w:r w:rsidRPr="003B4362">
        <w:t>PWS regularly serves</w:t>
      </w:r>
      <w:r w:rsidRPr="003B4362">
        <w:rPr>
          <w:spacing w:val="-2"/>
        </w:rPr>
        <w:t xml:space="preserve">, the notice </w:t>
      </w:r>
      <w:r w:rsidRPr="003B4362">
        <w:t xml:space="preserve">must </w:t>
      </w:r>
      <w:r w:rsidRPr="003B4362">
        <w:rPr>
          <w:spacing w:val="-2"/>
        </w:rPr>
        <w:t xml:space="preserve">provide sufficient information to alert readers to the proposed variance and direct them to where to obtain additional information.  </w:t>
      </w:r>
      <w:r w:rsidR="009A2D96" w:rsidRPr="003B4362">
        <w:rPr>
          <w:spacing w:val="-2"/>
        </w:rPr>
        <w:t xml:space="preserve">The PWS must provide the notice </w:t>
      </w:r>
      <w:r w:rsidRPr="003B4362">
        <w:rPr>
          <w:spacing w:val="-2"/>
        </w:rPr>
        <w:t>by specifi</w:t>
      </w:r>
      <w:r w:rsidR="009A2D96" w:rsidRPr="003B4362">
        <w:rPr>
          <w:spacing w:val="-2"/>
        </w:rPr>
        <w:t>c</w:t>
      </w:r>
      <w:r w:rsidRPr="003B4362">
        <w:rPr>
          <w:spacing w:val="-2"/>
        </w:rPr>
        <w:t xml:space="preserve"> means:</w:t>
      </w:r>
    </w:p>
    <w:p w14:paraId="2DFA8135" w14:textId="77777777" w:rsidR="00150379" w:rsidRDefault="00150379" w:rsidP="00150379">
      <w:pPr>
        <w:suppressAutoHyphens/>
        <w:ind w:left="2880" w:hanging="720"/>
        <w:rPr>
          <w:spacing w:val="-2"/>
        </w:rPr>
      </w:pPr>
    </w:p>
    <w:p w14:paraId="451C5508" w14:textId="361DBD78" w:rsidR="008D6A0C" w:rsidRPr="003B4362" w:rsidRDefault="008D6A0C" w:rsidP="00150379">
      <w:pPr>
        <w:suppressAutoHyphens/>
        <w:ind w:left="2880" w:hanging="720"/>
        <w:rPr>
          <w:spacing w:val="-2"/>
        </w:rPr>
      </w:pPr>
      <w:r w:rsidRPr="003B4362">
        <w:rPr>
          <w:spacing w:val="-2"/>
        </w:rPr>
        <w:t>A)</w:t>
      </w:r>
      <w:r w:rsidRPr="003B4362">
        <w:rPr>
          <w:spacing w:val="-2"/>
        </w:rPr>
        <w:tab/>
        <w:t>Direct mail or other home delivery to billed customers or other service connections</w:t>
      </w:r>
      <w:r w:rsidRPr="003B4362">
        <w:t>;</w:t>
      </w:r>
      <w:r w:rsidRPr="003B4362">
        <w:rPr>
          <w:spacing w:val="-3"/>
        </w:rPr>
        <w:t xml:space="preserve"> and</w:t>
      </w:r>
    </w:p>
    <w:p w14:paraId="4ED812FB" w14:textId="77777777" w:rsidR="00150379" w:rsidRDefault="00150379" w:rsidP="00150379">
      <w:pPr>
        <w:suppressAutoHyphens/>
        <w:ind w:left="2880" w:hanging="720"/>
        <w:rPr>
          <w:spacing w:val="-2"/>
        </w:rPr>
      </w:pPr>
    </w:p>
    <w:p w14:paraId="6AF6FDC7" w14:textId="7E3B9535" w:rsidR="008D6A0C" w:rsidRPr="003B4362" w:rsidRDefault="008D6A0C" w:rsidP="00150379">
      <w:pPr>
        <w:suppressAutoHyphens/>
        <w:ind w:left="2880" w:hanging="720"/>
        <w:rPr>
          <w:spacing w:val="-2"/>
        </w:rPr>
      </w:pPr>
      <w:r w:rsidRPr="003B4362">
        <w:rPr>
          <w:spacing w:val="-2"/>
        </w:rPr>
        <w:lastRenderedPageBreak/>
        <w:t>B)</w:t>
      </w:r>
      <w:r w:rsidRPr="003B4362">
        <w:rPr>
          <w:spacing w:val="-2"/>
        </w:rPr>
        <w:tab/>
        <w:t xml:space="preserve">Any other method reasonably calculated to notify other persons regularly served by the </w:t>
      </w:r>
      <w:r w:rsidRPr="003B4362">
        <w:t>PWS</w:t>
      </w:r>
      <w:r w:rsidRPr="003B4362">
        <w:rPr>
          <w:spacing w:val="-2"/>
        </w:rPr>
        <w:t xml:space="preserve"> in a brief and concise manner.  The other method may include publication in a local newspaper, posting in public places, or delivery to community organizations.</w:t>
      </w:r>
    </w:p>
    <w:p w14:paraId="555910B6" w14:textId="77777777" w:rsidR="00150379" w:rsidRDefault="00150379" w:rsidP="00150379">
      <w:pPr>
        <w:suppressAutoHyphens/>
        <w:ind w:left="2160" w:hanging="720"/>
        <w:rPr>
          <w:spacing w:val="-2"/>
        </w:rPr>
      </w:pPr>
    </w:p>
    <w:p w14:paraId="2072AE63" w14:textId="525D036B" w:rsidR="008D6A0C" w:rsidRPr="003B4362" w:rsidRDefault="008D6A0C" w:rsidP="00150379">
      <w:pPr>
        <w:suppressAutoHyphens/>
        <w:ind w:left="2160" w:hanging="720"/>
        <w:rPr>
          <w:spacing w:val="-2"/>
        </w:rPr>
      </w:pPr>
      <w:r w:rsidRPr="003B4362">
        <w:rPr>
          <w:spacing w:val="-2"/>
        </w:rPr>
        <w:t>2)</w:t>
      </w:r>
      <w:r w:rsidRPr="003B4362">
        <w:rPr>
          <w:spacing w:val="-2"/>
        </w:rPr>
        <w:tab/>
        <w:t xml:space="preserve">The notice in subsection (g)(1)(A) </w:t>
      </w:r>
      <w:r w:rsidRPr="003B4362">
        <w:t>must i</w:t>
      </w:r>
      <w:r w:rsidRPr="003B4362">
        <w:rPr>
          <w:spacing w:val="-2"/>
        </w:rPr>
        <w:t>nclude certain minimum information:</w:t>
      </w:r>
    </w:p>
    <w:p w14:paraId="2446F735" w14:textId="77777777" w:rsidR="00150379" w:rsidRDefault="00150379" w:rsidP="00150379">
      <w:pPr>
        <w:suppressAutoHyphens/>
        <w:ind w:left="2880" w:hanging="720"/>
        <w:rPr>
          <w:spacing w:val="-2"/>
        </w:rPr>
      </w:pPr>
    </w:p>
    <w:p w14:paraId="6A98BF70" w14:textId="54E30516" w:rsidR="008D6A0C" w:rsidRPr="003B4362" w:rsidRDefault="008D6A0C" w:rsidP="00150379">
      <w:pPr>
        <w:suppressAutoHyphens/>
        <w:ind w:left="2880" w:hanging="720"/>
        <w:rPr>
          <w:spacing w:val="-2"/>
        </w:rPr>
      </w:pPr>
      <w:r w:rsidRPr="003B4362">
        <w:rPr>
          <w:spacing w:val="-2"/>
        </w:rPr>
        <w:t>A)</w:t>
      </w:r>
      <w:r w:rsidRPr="003B4362">
        <w:rPr>
          <w:spacing w:val="-2"/>
        </w:rPr>
        <w:tab/>
        <w:t>Identification of the contaminants for which the PWS seeks a small system variance;</w:t>
      </w:r>
    </w:p>
    <w:p w14:paraId="2F12AC91" w14:textId="77777777" w:rsidR="00150379" w:rsidRDefault="00150379" w:rsidP="00150379">
      <w:pPr>
        <w:suppressAutoHyphens/>
        <w:ind w:left="2880" w:hanging="720"/>
        <w:rPr>
          <w:spacing w:val="-2"/>
        </w:rPr>
      </w:pPr>
    </w:p>
    <w:p w14:paraId="00F523BA" w14:textId="51867A67" w:rsidR="008D6A0C" w:rsidRPr="003B4362" w:rsidRDefault="008D6A0C" w:rsidP="00150379">
      <w:pPr>
        <w:suppressAutoHyphens/>
        <w:ind w:left="2880" w:hanging="720"/>
        <w:rPr>
          <w:spacing w:val="-2"/>
        </w:rPr>
      </w:pPr>
      <w:r w:rsidRPr="003B4362">
        <w:rPr>
          <w:spacing w:val="-2"/>
        </w:rPr>
        <w:t>B)</w:t>
      </w:r>
      <w:r w:rsidRPr="003B4362">
        <w:rPr>
          <w:spacing w:val="-2"/>
        </w:rPr>
        <w:tab/>
        <w:t xml:space="preserve">A brief statement of the health effects associated with the contaminants for which the PWS seeks a small system variance, using language in </w:t>
      </w:r>
      <w:r w:rsidRPr="003B4362">
        <w:t>Appendix H;</w:t>
      </w:r>
    </w:p>
    <w:p w14:paraId="29D7BA70" w14:textId="77777777" w:rsidR="00150379" w:rsidRDefault="00150379" w:rsidP="00150379">
      <w:pPr>
        <w:suppressAutoHyphens/>
        <w:ind w:left="2880" w:hanging="720"/>
        <w:rPr>
          <w:spacing w:val="-2"/>
        </w:rPr>
      </w:pPr>
    </w:p>
    <w:p w14:paraId="57684998" w14:textId="7A7306C5" w:rsidR="008D6A0C" w:rsidRPr="003B4362" w:rsidRDefault="008D6A0C" w:rsidP="00150379">
      <w:pPr>
        <w:suppressAutoHyphens/>
        <w:ind w:left="2880" w:hanging="720"/>
        <w:rPr>
          <w:spacing w:val="-2"/>
        </w:rPr>
      </w:pPr>
      <w:r w:rsidRPr="003B4362">
        <w:rPr>
          <w:spacing w:val="-2"/>
        </w:rPr>
        <w:t>C)</w:t>
      </w:r>
      <w:r w:rsidRPr="003B4362">
        <w:rPr>
          <w:spacing w:val="-2"/>
        </w:rPr>
        <w:tab/>
        <w:t>The address and telephone number interested persons may use to obtain further information concerning the contaminant and the small system variance;</w:t>
      </w:r>
    </w:p>
    <w:p w14:paraId="3F5EF3D2" w14:textId="77777777" w:rsidR="00150379" w:rsidRDefault="00150379" w:rsidP="00150379">
      <w:pPr>
        <w:suppressAutoHyphens/>
        <w:ind w:left="2880" w:hanging="720"/>
        <w:rPr>
          <w:spacing w:val="-2"/>
        </w:rPr>
      </w:pPr>
    </w:p>
    <w:p w14:paraId="56DC40CF" w14:textId="541832BA" w:rsidR="008D6A0C" w:rsidRPr="003B4362" w:rsidRDefault="008D6A0C" w:rsidP="00150379">
      <w:pPr>
        <w:suppressAutoHyphens/>
        <w:ind w:left="2880" w:hanging="720"/>
        <w:rPr>
          <w:spacing w:val="-2"/>
        </w:rPr>
      </w:pPr>
      <w:r w:rsidRPr="003B4362">
        <w:rPr>
          <w:spacing w:val="-2"/>
        </w:rPr>
        <w:t>D)</w:t>
      </w:r>
      <w:r w:rsidRPr="003B4362">
        <w:rPr>
          <w:spacing w:val="-2"/>
        </w:rPr>
        <w:tab/>
        <w:t>A brief summary of the terms and conditions of the small system variance in easily understandable terms;</w:t>
      </w:r>
    </w:p>
    <w:p w14:paraId="33CD355F" w14:textId="77777777" w:rsidR="00150379" w:rsidRDefault="00150379" w:rsidP="00150379">
      <w:pPr>
        <w:suppressAutoHyphens/>
        <w:ind w:left="2880" w:hanging="720"/>
        <w:rPr>
          <w:spacing w:val="-2"/>
        </w:rPr>
      </w:pPr>
    </w:p>
    <w:p w14:paraId="5AAF1C6A" w14:textId="38BC887F" w:rsidR="008D6A0C" w:rsidRPr="003B4362" w:rsidRDefault="008D6A0C" w:rsidP="00150379">
      <w:pPr>
        <w:suppressAutoHyphens/>
        <w:ind w:left="2880" w:hanging="720"/>
        <w:rPr>
          <w:spacing w:val="-2"/>
        </w:rPr>
      </w:pPr>
      <w:r w:rsidRPr="003B4362">
        <w:rPr>
          <w:spacing w:val="-2"/>
        </w:rPr>
        <w:t>E)</w:t>
      </w:r>
      <w:r w:rsidRPr="003B4362">
        <w:rPr>
          <w:spacing w:val="-2"/>
        </w:rPr>
        <w:tab/>
        <w:t xml:space="preserve">A description of the consumer petition process under subsection (h) and information on contacting the Agency and USEPA </w:t>
      </w:r>
      <w:r w:rsidR="009A2D96" w:rsidRPr="003B4362">
        <w:rPr>
          <w:spacing w:val="-2"/>
        </w:rPr>
        <w:t>Region 5</w:t>
      </w:r>
      <w:r w:rsidRPr="003B4362">
        <w:t>;</w:t>
      </w:r>
    </w:p>
    <w:p w14:paraId="2F83743B" w14:textId="77777777" w:rsidR="00150379" w:rsidRDefault="00150379" w:rsidP="00150379">
      <w:pPr>
        <w:suppressAutoHyphens/>
        <w:ind w:left="2880" w:hanging="720"/>
        <w:rPr>
          <w:spacing w:val="-2"/>
        </w:rPr>
      </w:pPr>
    </w:p>
    <w:p w14:paraId="0AE1F8D6" w14:textId="6285510E" w:rsidR="008D6A0C" w:rsidRPr="003B4362" w:rsidRDefault="008D6A0C" w:rsidP="00150379">
      <w:pPr>
        <w:suppressAutoHyphens/>
        <w:ind w:left="2880" w:hanging="720"/>
        <w:rPr>
          <w:spacing w:val="-2"/>
        </w:rPr>
      </w:pPr>
      <w:r w:rsidRPr="003B4362">
        <w:rPr>
          <w:spacing w:val="-2"/>
        </w:rPr>
        <w:t>F)</w:t>
      </w:r>
      <w:r w:rsidRPr="003B4362">
        <w:rPr>
          <w:spacing w:val="-2"/>
        </w:rPr>
        <w:tab/>
        <w:t>A brief statement announcing the public meeting subsection (g)(3) requires, including a statement of the purpose of the meeting, information regarding the time and location for the meeting, and the address and telephone number interested persons may use to obtain further information concerning the meeting; and</w:t>
      </w:r>
    </w:p>
    <w:p w14:paraId="1129EF54" w14:textId="77777777" w:rsidR="00150379" w:rsidRDefault="00150379" w:rsidP="00150379">
      <w:pPr>
        <w:suppressAutoHyphens/>
        <w:ind w:left="2880" w:hanging="720"/>
        <w:rPr>
          <w:spacing w:val="-2"/>
        </w:rPr>
      </w:pPr>
    </w:p>
    <w:p w14:paraId="1A13D38E" w14:textId="610ED5B8" w:rsidR="008D6A0C" w:rsidRPr="003B4362" w:rsidRDefault="008D6A0C" w:rsidP="00150379">
      <w:pPr>
        <w:suppressAutoHyphens/>
        <w:ind w:left="2880" w:hanging="720"/>
        <w:rPr>
          <w:spacing w:val="-2"/>
        </w:rPr>
      </w:pPr>
      <w:r w:rsidRPr="003B4362">
        <w:rPr>
          <w:spacing w:val="-2"/>
        </w:rPr>
        <w:t>G)</w:t>
      </w:r>
      <w:r w:rsidRPr="003B4362">
        <w:rPr>
          <w:spacing w:val="-2"/>
        </w:rPr>
        <w:tab/>
        <w:t>In communities with a large proportion of non</w:t>
      </w:r>
      <w:r w:rsidRPr="003B4362">
        <w:rPr>
          <w:spacing w:val="-2"/>
        </w:rPr>
        <w:noBreakHyphen/>
        <w:t>English</w:t>
      </w:r>
      <w:r w:rsidRPr="003B4362">
        <w:rPr>
          <w:spacing w:val="-2"/>
        </w:rPr>
        <w:noBreakHyphen/>
        <w:t>speaking residents, as determined by the</w:t>
      </w:r>
      <w:r w:rsidR="00714C16" w:rsidRPr="003B4362">
        <w:rPr>
          <w:spacing w:val="-2"/>
        </w:rPr>
        <w:t xml:space="preserve"> Agency</w:t>
      </w:r>
      <w:r w:rsidRPr="003B4362">
        <w:rPr>
          <w:spacing w:val="-2"/>
        </w:rPr>
        <w:t>, information in the appropriate language regarding the content and importance of the notice</w:t>
      </w:r>
      <w:r w:rsidRPr="003B4362">
        <w:t>.</w:t>
      </w:r>
    </w:p>
    <w:p w14:paraId="7691F72E" w14:textId="77777777" w:rsidR="00150379" w:rsidRDefault="00150379" w:rsidP="00150379">
      <w:pPr>
        <w:suppressAutoHyphens/>
        <w:ind w:left="2160" w:hanging="720"/>
      </w:pPr>
    </w:p>
    <w:p w14:paraId="05A7AFB4" w14:textId="10CF2A2F" w:rsidR="008D6A0C" w:rsidRPr="003B4362" w:rsidRDefault="008D6A0C" w:rsidP="00150379">
      <w:pPr>
        <w:suppressAutoHyphens/>
        <w:ind w:left="2160" w:hanging="720"/>
      </w:pPr>
      <w:r w:rsidRPr="003B4362">
        <w:t>3)</w:t>
      </w:r>
      <w:r w:rsidRPr="003B4362">
        <w:tab/>
        <w:t>The Board will provide for at least one public hearing on the small system variance.  The PWS must provide notice in the manner required under subsection (g)(1) at least 30 days prior to the public hearing.</w:t>
      </w:r>
    </w:p>
    <w:p w14:paraId="0AB06054" w14:textId="77777777" w:rsidR="00150379" w:rsidRDefault="00150379" w:rsidP="00150379">
      <w:pPr>
        <w:suppressAutoHyphens/>
        <w:ind w:left="2160" w:hanging="720"/>
      </w:pPr>
    </w:p>
    <w:p w14:paraId="0D0C39F3" w14:textId="58C4A30F" w:rsidR="008D6A0C" w:rsidRPr="003B4362" w:rsidRDefault="008D6A0C" w:rsidP="00150379">
      <w:pPr>
        <w:suppressAutoHyphens/>
        <w:ind w:left="2160" w:hanging="720"/>
        <w:rPr>
          <w:spacing w:val="-2"/>
        </w:rPr>
      </w:pPr>
      <w:r w:rsidRPr="003B4362">
        <w:t>4</w:t>
      </w:r>
      <w:r w:rsidRPr="003B4362">
        <w:rPr>
          <w:spacing w:val="-2"/>
        </w:rPr>
        <w:t>)</w:t>
      </w:r>
      <w:r w:rsidRPr="003B4362">
        <w:rPr>
          <w:spacing w:val="-2"/>
        </w:rPr>
        <w:tab/>
        <w:t xml:space="preserve">When granting a small system variance, the Board </w:t>
      </w:r>
      <w:r w:rsidRPr="003B4362">
        <w:t xml:space="preserve">will issue a </w:t>
      </w:r>
      <w:r w:rsidRPr="003B4362">
        <w:rPr>
          <w:spacing w:val="-2"/>
        </w:rPr>
        <w:t xml:space="preserve">written opinion and order responding to all significant public comments received on the variance and stating the Board’s reasons for granting the variance.  The Board will make the variance petition, hearings transcripts, public comments received, and all other documents of record concerning the </w:t>
      </w:r>
      <w:r w:rsidRPr="003B4362">
        <w:rPr>
          <w:spacing w:val="-2"/>
        </w:rPr>
        <w:lastRenderedPageBreak/>
        <w:t>variance available to the public throughout the variance proceeding and after</w:t>
      </w:r>
      <w:r w:rsidR="00714C16" w:rsidRPr="003B4362">
        <w:rPr>
          <w:spacing w:val="-2"/>
        </w:rPr>
        <w:t xml:space="preserve"> adopting the variance</w:t>
      </w:r>
      <w:r w:rsidRPr="003B4362">
        <w:rPr>
          <w:spacing w:val="-2"/>
        </w:rPr>
        <w:t>.</w:t>
      </w:r>
    </w:p>
    <w:p w14:paraId="6D9CBD93" w14:textId="77777777" w:rsidR="00150379" w:rsidRDefault="00150379" w:rsidP="00150379">
      <w:pPr>
        <w:suppressAutoHyphens/>
        <w:ind w:left="1440" w:hanging="720"/>
        <w:rPr>
          <w:spacing w:val="-2"/>
        </w:rPr>
      </w:pPr>
    </w:p>
    <w:p w14:paraId="2917E38A" w14:textId="2B6C1CE1" w:rsidR="008D6A0C" w:rsidRPr="003B4362" w:rsidRDefault="008D6A0C" w:rsidP="00150379">
      <w:pPr>
        <w:suppressAutoHyphens/>
        <w:ind w:left="1440" w:hanging="720"/>
        <w:rPr>
          <w:spacing w:val="-2"/>
        </w:rPr>
      </w:pPr>
      <w:r w:rsidRPr="003B4362">
        <w:rPr>
          <w:spacing w:val="-2"/>
        </w:rPr>
        <w:t>h)</w:t>
      </w:r>
      <w:r w:rsidRPr="003B4362">
        <w:rPr>
          <w:spacing w:val="-2"/>
        </w:rPr>
        <w:tab/>
        <w:t>Any person</w:t>
      </w:r>
      <w:r w:rsidR="00227052" w:rsidRPr="003B4362">
        <w:rPr>
          <w:spacing w:val="-2"/>
        </w:rPr>
        <w:t xml:space="preserve"> </w:t>
      </w:r>
      <w:r w:rsidRPr="003B4362">
        <w:rPr>
          <w:spacing w:val="-2"/>
        </w:rPr>
        <w:t xml:space="preserve">the </w:t>
      </w:r>
      <w:r w:rsidRPr="003B4362">
        <w:t xml:space="preserve">PWS serves </w:t>
      </w:r>
      <w:r w:rsidRPr="003B4362">
        <w:rPr>
          <w:spacing w:val="-2"/>
        </w:rPr>
        <w:t xml:space="preserve">may petition </w:t>
      </w:r>
      <w:r w:rsidRPr="003B4362">
        <w:t>USEPA</w:t>
      </w:r>
      <w:r w:rsidRPr="003B4362">
        <w:rPr>
          <w:spacing w:val="-2"/>
        </w:rPr>
        <w:t xml:space="preserve"> to object to a small system variance within </w:t>
      </w:r>
      <w:r w:rsidRPr="003B4362">
        <w:t xml:space="preserve">30 </w:t>
      </w:r>
      <w:r w:rsidRPr="003B4362">
        <w:rPr>
          <w:spacing w:val="-2"/>
        </w:rPr>
        <w:t>days after the Board grants the variance.</w:t>
      </w:r>
    </w:p>
    <w:p w14:paraId="7347AA39" w14:textId="77777777" w:rsidR="00150379" w:rsidRDefault="00150379" w:rsidP="00150379">
      <w:pPr>
        <w:suppressAutoHyphens/>
        <w:ind w:left="1440" w:hanging="720"/>
        <w:rPr>
          <w:spacing w:val="-2"/>
        </w:rPr>
      </w:pPr>
    </w:p>
    <w:p w14:paraId="1480EAD2" w14:textId="3121A870" w:rsidR="008D6A0C" w:rsidRPr="003B4362" w:rsidRDefault="008D6A0C" w:rsidP="00150379">
      <w:pPr>
        <w:suppressAutoHyphens/>
        <w:ind w:left="1440" w:hanging="720"/>
        <w:rPr>
          <w:spacing w:val="-2"/>
        </w:rPr>
      </w:pPr>
      <w:r w:rsidRPr="003B4362">
        <w:rPr>
          <w:spacing w:val="-2"/>
        </w:rPr>
        <w:t>i)</w:t>
      </w:r>
      <w:r w:rsidRPr="003B4362">
        <w:rPr>
          <w:spacing w:val="-2"/>
        </w:rPr>
        <w:tab/>
        <w:t xml:space="preserve">The Agency must promptly send to USEPA the Board’s opinion and order granting the proposed small system variance.  The Board </w:t>
      </w:r>
      <w:r w:rsidRPr="003B4362">
        <w:t xml:space="preserve">will </w:t>
      </w:r>
      <w:r w:rsidRPr="003B4362">
        <w:rPr>
          <w:spacing w:val="-2"/>
        </w:rPr>
        <w:t>make recommended modifications, respond in writing to each objection</w:t>
      </w:r>
      <w:r w:rsidRPr="003B4362">
        <w:t>, or</w:t>
      </w:r>
      <w:r w:rsidRPr="003B4362">
        <w:rPr>
          <w:spacing w:val="-2"/>
        </w:rPr>
        <w:t xml:space="preserve"> reconsider the small system variance if USEPA notifies the Board of a finding </w:t>
      </w:r>
      <w:r w:rsidRPr="003B4362">
        <w:t>under section 1415(e)(8), (e)(9), or (e)(10)</w:t>
      </w:r>
      <w:r w:rsidRPr="003B4362">
        <w:rPr>
          <w:spacing w:val="-2"/>
        </w:rPr>
        <w:t xml:space="preserve"> of SDWA</w:t>
      </w:r>
      <w:r w:rsidRPr="003B4362">
        <w:t xml:space="preserve"> (42 </w:t>
      </w:r>
      <w:r w:rsidR="0062698B" w:rsidRPr="003B4362">
        <w:t>U.S.C.</w:t>
      </w:r>
      <w:r w:rsidRPr="003B4362">
        <w:t xml:space="preserve"> 300g-4(e)(8), (e)(9), or (e)(10))</w:t>
      </w:r>
      <w:r w:rsidRPr="003B4362">
        <w:rPr>
          <w:spacing w:val="-2"/>
        </w:rPr>
        <w:t>.</w:t>
      </w:r>
    </w:p>
    <w:p w14:paraId="669E7475" w14:textId="77777777" w:rsidR="00150379" w:rsidRDefault="00150379" w:rsidP="00150379">
      <w:pPr>
        <w:suppressAutoHyphens/>
        <w:ind w:left="1440" w:hanging="720"/>
      </w:pPr>
    </w:p>
    <w:p w14:paraId="30BD2AEB" w14:textId="1F5A4F3C" w:rsidR="008D6A0C" w:rsidRPr="003B4362" w:rsidRDefault="008D6A0C" w:rsidP="00150379">
      <w:pPr>
        <w:suppressAutoHyphens/>
        <w:ind w:left="1440" w:hanging="720"/>
      </w:pPr>
      <w:r w:rsidRPr="003B4362">
        <w:t>j)</w:t>
      </w:r>
      <w:r w:rsidRPr="003B4362">
        <w:tab/>
        <w:t>Section 611.111, 611.112, or 611.130 may apply to relief granted under this Section.</w:t>
      </w:r>
    </w:p>
    <w:p w14:paraId="11DC4E39" w14:textId="77777777" w:rsidR="00150379" w:rsidRDefault="00150379" w:rsidP="00150379">
      <w:pPr>
        <w:suppressAutoHyphens/>
      </w:pPr>
    </w:p>
    <w:p w14:paraId="64244ECA" w14:textId="67E6872A" w:rsidR="008D6A0C" w:rsidRPr="003B4362" w:rsidRDefault="008D6A0C" w:rsidP="00150379">
      <w:pPr>
        <w:suppressAutoHyphens/>
        <w:rPr>
          <w:spacing w:val="-2"/>
        </w:rPr>
      </w:pPr>
      <w:r w:rsidRPr="003B4362">
        <w:t xml:space="preserve">BOARD NOTE:  </w:t>
      </w:r>
      <w:r w:rsidR="0021011C" w:rsidRPr="003B4362">
        <w:rPr>
          <w:spacing w:val="-3"/>
        </w:rPr>
        <w:t xml:space="preserve">This Section derives </w:t>
      </w:r>
      <w:r w:rsidRPr="003B4362">
        <w:t>from 40 CFR 142, Subpart K.</w:t>
      </w:r>
    </w:p>
    <w:p w14:paraId="75720D8C" w14:textId="77777777" w:rsidR="00150379" w:rsidRDefault="00150379" w:rsidP="00150379">
      <w:pPr>
        <w:suppressAutoHyphens/>
        <w:ind w:left="720"/>
      </w:pPr>
    </w:p>
    <w:p w14:paraId="3EA1E989" w14:textId="33B51357" w:rsidR="005C2DE7" w:rsidRDefault="00EB353D"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44B3C486" w14:textId="77777777" w:rsidR="00757184" w:rsidRPr="003B4362" w:rsidRDefault="00757184" w:rsidP="00150379">
      <w:pPr>
        <w:suppressAutoHyphens/>
        <w:ind w:left="720"/>
        <w:rPr>
          <w:b/>
          <w:bCs/>
        </w:rPr>
      </w:pPr>
    </w:p>
    <w:p w14:paraId="3F67E53A" w14:textId="5172DD55" w:rsidR="004E2D35" w:rsidRPr="003B4362" w:rsidRDefault="004E2D35" w:rsidP="00150379">
      <w:pPr>
        <w:rPr>
          <w:b/>
          <w:bCs/>
        </w:rPr>
      </w:pPr>
      <w:r w:rsidRPr="003B4362">
        <w:rPr>
          <w:b/>
          <w:bCs/>
        </w:rPr>
        <w:t>Section 611.160  Composite Correction Program</w:t>
      </w:r>
    </w:p>
    <w:p w14:paraId="2102E4B4" w14:textId="77777777" w:rsidR="00150379" w:rsidRDefault="00150379" w:rsidP="00150379">
      <w:pPr>
        <w:suppressAutoHyphens/>
        <w:ind w:left="1440" w:hanging="720"/>
      </w:pPr>
    </w:p>
    <w:p w14:paraId="0FD1B1DF" w14:textId="41597C50" w:rsidR="004E2D35" w:rsidRPr="003B4362" w:rsidRDefault="004E2D35" w:rsidP="00150379">
      <w:pPr>
        <w:suppressAutoHyphens/>
        <w:ind w:left="1440" w:hanging="720"/>
      </w:pPr>
      <w:r w:rsidRPr="003B4362">
        <w:t>a)</w:t>
      </w:r>
      <w:r w:rsidRPr="003B4362">
        <w:tab/>
        <w:t xml:space="preserve">The Agency may </w:t>
      </w:r>
      <w:r w:rsidR="009654C4" w:rsidRPr="003B4362">
        <w:t xml:space="preserve">issue a SEP requiring </w:t>
      </w:r>
      <w:r w:rsidRPr="003B4362">
        <w:t xml:space="preserve">a PWS </w:t>
      </w:r>
      <w:r w:rsidR="009654C4" w:rsidRPr="003B4362">
        <w:t xml:space="preserve">to </w:t>
      </w:r>
      <w:r w:rsidRPr="003B4362">
        <w:t xml:space="preserve">conduct a Composite Correction Program (CCP). </w:t>
      </w:r>
      <w:r w:rsidR="00CE19B1" w:rsidRPr="003B4362">
        <w:t xml:space="preserve"> </w:t>
      </w:r>
      <w:r w:rsidRPr="003B4362">
        <w:t>The CCP must consist of two elements:  a Comprehensive Performance Evaluation (CPE) and a Comprehensive Technical Assistance (CTA).</w:t>
      </w:r>
    </w:p>
    <w:p w14:paraId="06902CA0" w14:textId="77777777" w:rsidR="00150379" w:rsidRDefault="00150379" w:rsidP="00150379">
      <w:pPr>
        <w:suppressAutoHyphens/>
        <w:ind w:left="2160" w:hanging="720"/>
      </w:pPr>
    </w:p>
    <w:p w14:paraId="7AA17CA5" w14:textId="070C867D" w:rsidR="004E2D35" w:rsidRPr="003B4362" w:rsidRDefault="004E2D35" w:rsidP="00150379">
      <w:pPr>
        <w:suppressAutoHyphens/>
        <w:ind w:left="2160" w:hanging="720"/>
      </w:pPr>
      <w:r w:rsidRPr="003B4362">
        <w:t>1)</w:t>
      </w:r>
      <w:r w:rsidRPr="003B4362">
        <w:tab/>
        <w:t>A CPE is a thorough review and analysis of a plant’s performance</w:t>
      </w:r>
      <w:r w:rsidRPr="003B4362">
        <w:noBreakHyphen/>
        <w:t xml:space="preserve">based capabilities and associated administrative, operation, and maintenance practices.  </w:t>
      </w:r>
      <w:r w:rsidR="00CE19B1" w:rsidRPr="003B4362">
        <w:t xml:space="preserve">The CPE </w:t>
      </w:r>
      <w:r w:rsidRPr="003B4362">
        <w:t xml:space="preserve">must identify factors that may adversely </w:t>
      </w:r>
      <w:r w:rsidR="00CE19B1" w:rsidRPr="003B4362">
        <w:t xml:space="preserve">affect the </w:t>
      </w:r>
      <w:r w:rsidRPr="003B4362">
        <w:t xml:space="preserve">plant’s </w:t>
      </w:r>
      <w:r w:rsidR="00CE19B1" w:rsidRPr="003B4362">
        <w:t xml:space="preserve">ability </w:t>
      </w:r>
      <w:r w:rsidRPr="003B4362">
        <w:t xml:space="preserve">to </w:t>
      </w:r>
      <w:r w:rsidR="00CE19B1" w:rsidRPr="003B4362">
        <w:t xml:space="preserve">comply </w:t>
      </w:r>
      <w:r w:rsidRPr="003B4362">
        <w:t xml:space="preserve">and emphasize approaches </w:t>
      </w:r>
      <w:r w:rsidR="00CE19B1" w:rsidRPr="003B4362">
        <w:t xml:space="preserve">the PWS </w:t>
      </w:r>
      <w:r w:rsidRPr="003B4362">
        <w:t xml:space="preserve">can </w:t>
      </w:r>
      <w:r w:rsidR="00CE19B1" w:rsidRPr="003B4362">
        <w:t xml:space="preserve">implement </w:t>
      </w:r>
      <w:r w:rsidRPr="003B4362">
        <w:t>without significant capital improvements.</w:t>
      </w:r>
    </w:p>
    <w:p w14:paraId="546EAF25" w14:textId="77777777" w:rsidR="00150379" w:rsidRDefault="00150379" w:rsidP="00150379">
      <w:pPr>
        <w:suppressAutoHyphens/>
        <w:ind w:left="2160" w:hanging="720"/>
      </w:pPr>
    </w:p>
    <w:p w14:paraId="2037AE78" w14:textId="640CA6FA" w:rsidR="004E2D35" w:rsidRPr="003B4362" w:rsidRDefault="004E2D35" w:rsidP="00150379">
      <w:pPr>
        <w:suppressAutoHyphens/>
        <w:ind w:left="2160" w:hanging="720"/>
      </w:pPr>
      <w:r w:rsidRPr="003B4362">
        <w:t>2)</w:t>
      </w:r>
      <w:r w:rsidRPr="003B4362">
        <w:tab/>
        <w:t xml:space="preserve">For purposes of compliance with Subparts R and X, the </w:t>
      </w:r>
      <w:r w:rsidR="00CE19B1" w:rsidRPr="003B4362">
        <w:t xml:space="preserve">CPE </w:t>
      </w:r>
      <w:r w:rsidRPr="003B4362">
        <w:t xml:space="preserve">must </w:t>
      </w:r>
      <w:r w:rsidR="00CE19B1" w:rsidRPr="003B4362">
        <w:t xml:space="preserve">minimally include specific </w:t>
      </w:r>
      <w:r w:rsidRPr="003B4362">
        <w:t xml:space="preserve">components:  </w:t>
      </w:r>
      <w:r w:rsidR="00CE19B1" w:rsidRPr="003B4362">
        <w:t xml:space="preserve">the CPE must assess </w:t>
      </w:r>
      <w:r w:rsidRPr="003B4362">
        <w:t xml:space="preserve">plant performance; </w:t>
      </w:r>
      <w:r w:rsidR="00CE19B1" w:rsidRPr="003B4362">
        <w:t xml:space="preserve">evaluate </w:t>
      </w:r>
      <w:r w:rsidRPr="003B4362">
        <w:t xml:space="preserve">major unit processes; </w:t>
      </w:r>
      <w:r w:rsidR="00CE19B1" w:rsidRPr="003B4362">
        <w:t xml:space="preserve">identify </w:t>
      </w:r>
      <w:r w:rsidRPr="003B4362">
        <w:t xml:space="preserve">and </w:t>
      </w:r>
      <w:r w:rsidR="00CE19B1" w:rsidRPr="003B4362">
        <w:t xml:space="preserve">prioritize performance-limiting </w:t>
      </w:r>
      <w:r w:rsidRPr="003B4362">
        <w:t xml:space="preserve">factors; </w:t>
      </w:r>
      <w:r w:rsidR="00CE19B1" w:rsidRPr="003B4362">
        <w:t xml:space="preserve">assess </w:t>
      </w:r>
      <w:r w:rsidRPr="003B4362">
        <w:t xml:space="preserve">the applicability of comprehensive technical assistance; and </w:t>
      </w:r>
      <w:r w:rsidR="00690B94" w:rsidRPr="003B4362">
        <w:t xml:space="preserve">how the PWS prepared </w:t>
      </w:r>
      <w:r w:rsidRPr="003B4362">
        <w:t>CPE report.</w:t>
      </w:r>
    </w:p>
    <w:p w14:paraId="3D6BE483" w14:textId="77777777" w:rsidR="00150379" w:rsidRDefault="00150379" w:rsidP="00150379">
      <w:pPr>
        <w:suppressAutoHyphens/>
        <w:ind w:left="2160"/>
      </w:pPr>
    </w:p>
    <w:p w14:paraId="132CF40F" w14:textId="3541EE9E" w:rsidR="004E2D35" w:rsidRPr="003B4362" w:rsidRDefault="004E2D35" w:rsidP="00150379">
      <w:pPr>
        <w:suppressAutoHyphens/>
        <w:ind w:left="2160"/>
      </w:pPr>
      <w:r w:rsidRPr="003B4362">
        <w:t xml:space="preserve">BOARD NOTE:  </w:t>
      </w:r>
      <w:r w:rsidR="0021011C" w:rsidRPr="003B4362">
        <w:rPr>
          <w:spacing w:val="-3"/>
        </w:rPr>
        <w:t xml:space="preserve">This subsection </w:t>
      </w:r>
      <w:r w:rsidRPr="003B4362">
        <w:t xml:space="preserve">(a)(2) </w:t>
      </w:r>
      <w:r w:rsidR="00690B94" w:rsidRPr="003B4362">
        <w:t xml:space="preserve">derives </w:t>
      </w:r>
      <w:r w:rsidRPr="003B4362">
        <w:t>from the third sentence of the definition of “comprehensive performance evaluation” in 40 CFR 141.2.</w:t>
      </w:r>
    </w:p>
    <w:p w14:paraId="4452EAD9" w14:textId="77777777" w:rsidR="00150379" w:rsidRDefault="00150379" w:rsidP="00150379">
      <w:pPr>
        <w:suppressAutoHyphens/>
        <w:ind w:left="2160" w:hanging="720"/>
      </w:pPr>
    </w:p>
    <w:p w14:paraId="3E9B9B59" w14:textId="6F2A4982" w:rsidR="004E2D35" w:rsidRPr="003B4362" w:rsidRDefault="004E2D35" w:rsidP="00150379">
      <w:pPr>
        <w:suppressAutoHyphens/>
        <w:ind w:left="2160" w:hanging="720"/>
      </w:pPr>
      <w:r w:rsidRPr="003B4362">
        <w:t>3)</w:t>
      </w:r>
      <w:r w:rsidRPr="003B4362">
        <w:tab/>
        <w:t>A CTA is the performance</w:t>
      </w:r>
      <w:r w:rsidR="00690B94" w:rsidRPr="003B4362">
        <w:t>-</w:t>
      </w:r>
      <w:r w:rsidRPr="003B4362">
        <w:t xml:space="preserve">improvement phase </w:t>
      </w:r>
      <w:r w:rsidR="00690B94" w:rsidRPr="003B4362">
        <w:t xml:space="preserve">the PWS implements </w:t>
      </w:r>
      <w:r w:rsidRPr="003B4362">
        <w:t xml:space="preserve">if the CPE results indicate </w:t>
      </w:r>
      <w:r w:rsidR="00690B94" w:rsidRPr="003B4362">
        <w:t xml:space="preserve">potential for </w:t>
      </w:r>
      <w:r w:rsidRPr="003B4362">
        <w:t>improved performance.  During the CTA phase, the PWS must identify and systematically address plant</w:t>
      </w:r>
      <w:r w:rsidRPr="003B4362">
        <w:noBreakHyphen/>
        <w:t xml:space="preserve">specific </w:t>
      </w:r>
      <w:r w:rsidRPr="003B4362">
        <w:lastRenderedPageBreak/>
        <w:t>factors.  The CTA is a combination of utilizing CPE results as a basis for followup, implementing process control priority</w:t>
      </w:r>
      <w:r w:rsidRPr="003B4362">
        <w:noBreakHyphen/>
        <w:t>setting techniques</w:t>
      </w:r>
      <w:r w:rsidR="00690B94" w:rsidRPr="003B4362">
        <w:t>,</w:t>
      </w:r>
      <w:r w:rsidRPr="003B4362">
        <w:t xml:space="preserve"> and maintaining long</w:t>
      </w:r>
      <w:r w:rsidRPr="003B4362">
        <w:noBreakHyphen/>
        <w:t>term involvement to systematically train staff and administrators.</w:t>
      </w:r>
    </w:p>
    <w:p w14:paraId="2B2ED89A" w14:textId="77777777" w:rsidR="00150379" w:rsidRDefault="00150379" w:rsidP="00150379">
      <w:pPr>
        <w:suppressAutoHyphens/>
        <w:ind w:left="1440" w:hanging="720"/>
      </w:pPr>
    </w:p>
    <w:p w14:paraId="72A36C23" w14:textId="3C0872F4" w:rsidR="004E2D35" w:rsidRPr="003B4362" w:rsidRDefault="004E2D35" w:rsidP="00150379">
      <w:pPr>
        <w:suppressAutoHyphens/>
        <w:ind w:left="1440" w:hanging="720"/>
      </w:pPr>
      <w:r w:rsidRPr="003B4362">
        <w:t>b)</w:t>
      </w:r>
      <w:r w:rsidRPr="003B4362">
        <w:tab/>
        <w:t xml:space="preserve">A PWS must implement any </w:t>
      </w:r>
      <w:r w:rsidR="006A7DA0" w:rsidRPr="003B4362">
        <w:t>follow-up</w:t>
      </w:r>
      <w:r w:rsidRPr="003B4362">
        <w:t xml:space="preserve"> recommendations </w:t>
      </w:r>
      <w:r w:rsidR="00690B94" w:rsidRPr="003B4362">
        <w:t xml:space="preserve">the Agency makes </w:t>
      </w:r>
      <w:r w:rsidRPr="003B4362">
        <w:t xml:space="preserve">in writing </w:t>
      </w:r>
      <w:r w:rsidR="00690B94" w:rsidRPr="003B4362">
        <w:t xml:space="preserve">as a </w:t>
      </w:r>
      <w:r w:rsidRPr="003B4362">
        <w:t>result of the CCP.</w:t>
      </w:r>
    </w:p>
    <w:p w14:paraId="705DF06F" w14:textId="77777777" w:rsidR="00150379" w:rsidRDefault="00150379" w:rsidP="00150379">
      <w:pPr>
        <w:suppressAutoHyphens/>
        <w:ind w:left="1440" w:hanging="720"/>
      </w:pPr>
    </w:p>
    <w:p w14:paraId="02786D82" w14:textId="3F385D3E" w:rsidR="004E2D35" w:rsidRPr="003B4362" w:rsidRDefault="004E2D35" w:rsidP="00150379">
      <w:pPr>
        <w:suppressAutoHyphens/>
        <w:ind w:left="1440" w:hanging="720"/>
      </w:pPr>
      <w:r w:rsidRPr="003B4362">
        <w:t>c)</w:t>
      </w:r>
      <w:r w:rsidRPr="003B4362">
        <w:tab/>
        <w:t xml:space="preserve">A PWS may appeal to the Board, </w:t>
      </w:r>
      <w:r w:rsidR="002257A9" w:rsidRPr="003B4362">
        <w:t xml:space="preserve">under </w:t>
      </w:r>
      <w:r w:rsidRPr="003B4362">
        <w:t xml:space="preserve">Section 40 of the </w:t>
      </w:r>
      <w:r w:rsidRPr="003B4362">
        <w:rPr>
          <w:spacing w:val="-2"/>
        </w:rPr>
        <w:t>Act</w:t>
      </w:r>
      <w:r w:rsidRPr="003B4362">
        <w:t xml:space="preserve">, any Agency requirement that it conduct a CCP or any </w:t>
      </w:r>
      <w:r w:rsidR="00F560FD" w:rsidRPr="003B4362">
        <w:t>follow-up</w:t>
      </w:r>
      <w:r w:rsidRPr="003B4362">
        <w:t xml:space="preserve"> recommendations </w:t>
      </w:r>
      <w:r w:rsidR="00690B94" w:rsidRPr="003B4362">
        <w:t xml:space="preserve">the Agency makes </w:t>
      </w:r>
      <w:r w:rsidRPr="003B4362">
        <w:t xml:space="preserve">in writing </w:t>
      </w:r>
      <w:r w:rsidR="00690B94" w:rsidRPr="003B4362">
        <w:t xml:space="preserve">as a </w:t>
      </w:r>
      <w:r w:rsidRPr="003B4362">
        <w:t>result of the CCP, except when a CPE is required under Section 611.745(b)(4).</w:t>
      </w:r>
    </w:p>
    <w:p w14:paraId="69CF4FAA" w14:textId="77777777" w:rsidR="00150379" w:rsidRDefault="00150379" w:rsidP="00150379"/>
    <w:p w14:paraId="610DD231" w14:textId="01A9CAA2" w:rsidR="004E2D35" w:rsidRPr="003B4362" w:rsidRDefault="004E2D35" w:rsidP="00150379">
      <w:r w:rsidRPr="003B4362">
        <w:t xml:space="preserve">BOARD NOTE:  </w:t>
      </w:r>
      <w:r w:rsidR="0021011C" w:rsidRPr="003B4362">
        <w:rPr>
          <w:spacing w:val="-3"/>
        </w:rPr>
        <w:t xml:space="preserve">This Section derives </w:t>
      </w:r>
      <w:r w:rsidRPr="003B4362">
        <w:t>from 40 CFR 142.16(g).</w:t>
      </w:r>
    </w:p>
    <w:p w14:paraId="3AFE32C5" w14:textId="77777777" w:rsidR="00150379" w:rsidRDefault="00150379" w:rsidP="00150379">
      <w:pPr>
        <w:suppressAutoHyphens/>
        <w:ind w:left="720"/>
      </w:pPr>
    </w:p>
    <w:p w14:paraId="5471EEA6" w14:textId="53427FCF" w:rsidR="005C2DE7" w:rsidRDefault="004E2D35" w:rsidP="00150379">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bookmarkStart w:id="533" w:name="_Hlk26188887"/>
      <w:bookmarkStart w:id="534" w:name="_Hlk530502505"/>
    </w:p>
    <w:p w14:paraId="392DFD9E" w14:textId="77777777" w:rsidR="00757184" w:rsidRPr="00150379" w:rsidRDefault="00757184" w:rsidP="00150379">
      <w:pPr>
        <w:suppressAutoHyphens/>
        <w:ind w:left="720"/>
      </w:pPr>
    </w:p>
    <w:p w14:paraId="6A5CBA9B" w14:textId="56BAB9AC" w:rsidR="002C37ED" w:rsidRPr="003B4362" w:rsidRDefault="002C37ED" w:rsidP="00150379">
      <w:pPr>
        <w:rPr>
          <w:b/>
          <w:bCs/>
        </w:rPr>
      </w:pPr>
      <w:r w:rsidRPr="003B4362">
        <w:rPr>
          <w:b/>
          <w:bCs/>
        </w:rPr>
        <w:t>Section 611.161  Case-by-Case Reduced Subpart Y Monitoring for Wholesale and Consecutive Systems</w:t>
      </w:r>
    </w:p>
    <w:p w14:paraId="378F043C" w14:textId="77777777" w:rsidR="00150379" w:rsidRDefault="00150379" w:rsidP="00150379">
      <w:pPr>
        <w:autoSpaceDE w:val="0"/>
        <w:autoSpaceDN w:val="0"/>
        <w:adjustRightInd w:val="0"/>
        <w:rPr>
          <w:szCs w:val="18"/>
        </w:rPr>
      </w:pPr>
    </w:p>
    <w:p w14:paraId="026FBDD4" w14:textId="653B85F5" w:rsidR="002C37ED" w:rsidRPr="003B4362" w:rsidRDefault="002C37ED" w:rsidP="00150379">
      <w:pPr>
        <w:autoSpaceDE w:val="0"/>
        <w:autoSpaceDN w:val="0"/>
        <w:adjustRightInd w:val="0"/>
        <w:rPr>
          <w:szCs w:val="18"/>
        </w:rPr>
      </w:pPr>
      <w:r w:rsidRPr="003B4362">
        <w:rPr>
          <w:szCs w:val="18"/>
        </w:rPr>
        <w:t>The Agency may</w:t>
      </w:r>
      <w:r w:rsidR="00CD3702" w:rsidRPr="003B4362">
        <w:rPr>
          <w:szCs w:val="18"/>
        </w:rPr>
        <w:t xml:space="preserve"> issue</w:t>
      </w:r>
      <w:r w:rsidRPr="003B4362">
        <w:rPr>
          <w:szCs w:val="18"/>
        </w:rPr>
        <w:t xml:space="preserve"> a SEP</w:t>
      </w:r>
      <w:r w:rsidR="00CD3702" w:rsidRPr="003B4362">
        <w:rPr>
          <w:szCs w:val="18"/>
        </w:rPr>
        <w:t xml:space="preserve"> reducing</w:t>
      </w:r>
      <w:r w:rsidRPr="003B4362">
        <w:rPr>
          <w:szCs w:val="18"/>
        </w:rPr>
        <w:t xml:space="preserve"> monitoring </w:t>
      </w:r>
      <w:r w:rsidR="009654C4" w:rsidRPr="003B4362">
        <w:rPr>
          <w:szCs w:val="18"/>
        </w:rPr>
        <w:t xml:space="preserve">under </w:t>
      </w:r>
      <w:r w:rsidRPr="003B4362">
        <w:rPr>
          <w:szCs w:val="18"/>
        </w:rPr>
        <w:t>Subpart Y as they apply to a wholesale system or a consecutive system, otherwise than as Section 611.500 provides, subject to limitations:</w:t>
      </w:r>
    </w:p>
    <w:p w14:paraId="62283348" w14:textId="77777777" w:rsidR="00150379" w:rsidRDefault="00150379" w:rsidP="00150379">
      <w:pPr>
        <w:autoSpaceDE w:val="0"/>
        <w:autoSpaceDN w:val="0"/>
        <w:adjustRightInd w:val="0"/>
        <w:ind w:left="1440" w:hanging="720"/>
        <w:rPr>
          <w:szCs w:val="18"/>
        </w:rPr>
      </w:pPr>
    </w:p>
    <w:p w14:paraId="13D2289D" w14:textId="04A251C9" w:rsidR="002C37ED" w:rsidRPr="003B4362" w:rsidRDefault="002C37ED" w:rsidP="00150379">
      <w:pPr>
        <w:autoSpaceDE w:val="0"/>
        <w:autoSpaceDN w:val="0"/>
        <w:adjustRightInd w:val="0"/>
        <w:ind w:left="1440" w:hanging="720"/>
        <w:rPr>
          <w:szCs w:val="18"/>
        </w:rPr>
      </w:pPr>
      <w:r w:rsidRPr="003B4362">
        <w:rPr>
          <w:szCs w:val="18"/>
        </w:rPr>
        <w:t>a)</w:t>
      </w:r>
      <w:r w:rsidRPr="003B4362">
        <w:rPr>
          <w:szCs w:val="18"/>
        </w:rPr>
        <w:tab/>
        <w:t xml:space="preserve">The Agency must consider the certain system-specific </w:t>
      </w:r>
      <w:r w:rsidR="00690B94" w:rsidRPr="003B4362">
        <w:rPr>
          <w:szCs w:val="18"/>
        </w:rPr>
        <w:t xml:space="preserve">factors </w:t>
      </w:r>
      <w:r w:rsidRPr="003B4362">
        <w:rPr>
          <w:szCs w:val="18"/>
        </w:rPr>
        <w:t>in making its determination:</w:t>
      </w:r>
    </w:p>
    <w:p w14:paraId="423ABE69" w14:textId="77777777" w:rsidR="00150379" w:rsidRDefault="00150379" w:rsidP="00150379">
      <w:pPr>
        <w:autoSpaceDE w:val="0"/>
        <w:autoSpaceDN w:val="0"/>
        <w:adjustRightInd w:val="0"/>
        <w:ind w:left="2160" w:hanging="720"/>
        <w:rPr>
          <w:szCs w:val="18"/>
        </w:rPr>
      </w:pPr>
    </w:p>
    <w:p w14:paraId="006CC42A" w14:textId="3B4431E4" w:rsidR="002C37ED" w:rsidRPr="003B4362" w:rsidRDefault="002C37ED" w:rsidP="00150379">
      <w:pPr>
        <w:autoSpaceDE w:val="0"/>
        <w:autoSpaceDN w:val="0"/>
        <w:adjustRightInd w:val="0"/>
        <w:ind w:left="2160" w:hanging="720"/>
        <w:rPr>
          <w:szCs w:val="18"/>
        </w:rPr>
      </w:pPr>
      <w:r w:rsidRPr="003B4362">
        <w:rPr>
          <w:szCs w:val="18"/>
        </w:rPr>
        <w:t>1)</w:t>
      </w:r>
      <w:r w:rsidRPr="003B4362">
        <w:rPr>
          <w:szCs w:val="18"/>
        </w:rPr>
        <w:tab/>
        <w:t>The amount and percentage of finished water</w:t>
      </w:r>
      <w:r w:rsidR="00DD4F9F" w:rsidRPr="003B4362">
        <w:rPr>
          <w:szCs w:val="18"/>
        </w:rPr>
        <w:t xml:space="preserve"> the PWS provides</w:t>
      </w:r>
      <w:r w:rsidRPr="003B4362">
        <w:rPr>
          <w:szCs w:val="18"/>
        </w:rPr>
        <w:t>;</w:t>
      </w:r>
    </w:p>
    <w:p w14:paraId="53B31D3C" w14:textId="77777777" w:rsidR="00150379" w:rsidRDefault="00150379" w:rsidP="00150379">
      <w:pPr>
        <w:autoSpaceDE w:val="0"/>
        <w:autoSpaceDN w:val="0"/>
        <w:adjustRightInd w:val="0"/>
        <w:ind w:left="2160" w:hanging="720"/>
        <w:rPr>
          <w:szCs w:val="18"/>
        </w:rPr>
      </w:pPr>
    </w:p>
    <w:p w14:paraId="67AE416B" w14:textId="62A7A007" w:rsidR="002C37ED" w:rsidRPr="003B4362" w:rsidRDefault="002C37ED" w:rsidP="00150379">
      <w:pPr>
        <w:autoSpaceDE w:val="0"/>
        <w:autoSpaceDN w:val="0"/>
        <w:adjustRightInd w:val="0"/>
        <w:ind w:left="2160" w:hanging="720"/>
        <w:rPr>
          <w:szCs w:val="18"/>
        </w:rPr>
      </w:pPr>
      <w:r w:rsidRPr="003B4362">
        <w:rPr>
          <w:szCs w:val="18"/>
        </w:rPr>
        <w:t>2)</w:t>
      </w:r>
      <w:r w:rsidRPr="003B4362">
        <w:rPr>
          <w:szCs w:val="18"/>
        </w:rPr>
        <w:tab/>
        <w:t xml:space="preserve">Whether finished </w:t>
      </w:r>
      <w:r w:rsidR="00DD4F9F" w:rsidRPr="003B4362">
        <w:rPr>
          <w:szCs w:val="18"/>
        </w:rPr>
        <w:t xml:space="preserve">the PWS provides </w:t>
      </w:r>
      <w:r w:rsidRPr="003B4362">
        <w:rPr>
          <w:szCs w:val="18"/>
        </w:rPr>
        <w:t>water seasonally, intermittently, or full-time;</w:t>
      </w:r>
    </w:p>
    <w:p w14:paraId="481D1279" w14:textId="77777777" w:rsidR="00150379" w:rsidRDefault="00150379" w:rsidP="00150379">
      <w:pPr>
        <w:autoSpaceDE w:val="0"/>
        <w:autoSpaceDN w:val="0"/>
        <w:adjustRightInd w:val="0"/>
        <w:ind w:left="2160" w:hanging="720"/>
        <w:rPr>
          <w:szCs w:val="18"/>
        </w:rPr>
      </w:pPr>
    </w:p>
    <w:p w14:paraId="23108EA0" w14:textId="197567D5" w:rsidR="002C37ED" w:rsidRPr="003B4362" w:rsidRDefault="002C37ED" w:rsidP="00150379">
      <w:pPr>
        <w:autoSpaceDE w:val="0"/>
        <w:autoSpaceDN w:val="0"/>
        <w:adjustRightInd w:val="0"/>
        <w:ind w:left="2160" w:hanging="720"/>
        <w:rPr>
          <w:szCs w:val="18"/>
        </w:rPr>
      </w:pPr>
      <w:r w:rsidRPr="003B4362">
        <w:rPr>
          <w:szCs w:val="18"/>
        </w:rPr>
        <w:t>3)</w:t>
      </w:r>
      <w:r w:rsidRPr="003B4362">
        <w:rPr>
          <w:szCs w:val="18"/>
        </w:rPr>
        <w:tab/>
        <w:t>Improved DBP occurrence information based on IDSE results;</w:t>
      </w:r>
    </w:p>
    <w:p w14:paraId="0FEE8A41" w14:textId="77777777" w:rsidR="00150379" w:rsidRDefault="00150379" w:rsidP="00150379">
      <w:pPr>
        <w:autoSpaceDE w:val="0"/>
        <w:autoSpaceDN w:val="0"/>
        <w:adjustRightInd w:val="0"/>
        <w:ind w:left="2160" w:hanging="720"/>
        <w:rPr>
          <w:szCs w:val="18"/>
        </w:rPr>
      </w:pPr>
    </w:p>
    <w:p w14:paraId="4D3C4C84" w14:textId="1E5A795C" w:rsidR="002C37ED" w:rsidRPr="003B4362" w:rsidRDefault="002C37ED" w:rsidP="00150379">
      <w:pPr>
        <w:autoSpaceDE w:val="0"/>
        <w:autoSpaceDN w:val="0"/>
        <w:adjustRightInd w:val="0"/>
        <w:ind w:left="2160" w:hanging="720"/>
        <w:rPr>
          <w:szCs w:val="18"/>
        </w:rPr>
      </w:pPr>
      <w:r w:rsidRPr="003B4362">
        <w:rPr>
          <w:szCs w:val="18"/>
        </w:rPr>
        <w:t>4)</w:t>
      </w:r>
      <w:r w:rsidRPr="003B4362">
        <w:rPr>
          <w:szCs w:val="18"/>
        </w:rPr>
        <w:tab/>
        <w:t xml:space="preserve">Significant changes in the supplier’s raw water quality, treatment, or distribution system after </w:t>
      </w:r>
      <w:r w:rsidR="00DD4F9F" w:rsidRPr="003B4362">
        <w:rPr>
          <w:szCs w:val="18"/>
        </w:rPr>
        <w:t xml:space="preserve">completing </w:t>
      </w:r>
      <w:r w:rsidRPr="003B4362">
        <w:rPr>
          <w:szCs w:val="18"/>
        </w:rPr>
        <w:t>the IDSE; and</w:t>
      </w:r>
    </w:p>
    <w:p w14:paraId="5A2136ED" w14:textId="77777777" w:rsidR="00150379" w:rsidRDefault="00150379" w:rsidP="00150379">
      <w:pPr>
        <w:autoSpaceDE w:val="0"/>
        <w:autoSpaceDN w:val="0"/>
        <w:adjustRightInd w:val="0"/>
        <w:ind w:left="2160" w:hanging="720"/>
        <w:rPr>
          <w:szCs w:val="18"/>
        </w:rPr>
      </w:pPr>
    </w:p>
    <w:p w14:paraId="1D504D3B" w14:textId="518C076E" w:rsidR="002C37ED" w:rsidRPr="003B4362" w:rsidRDefault="00150379" w:rsidP="00150379">
      <w:pPr>
        <w:autoSpaceDE w:val="0"/>
        <w:autoSpaceDN w:val="0"/>
        <w:adjustRightInd w:val="0"/>
        <w:ind w:left="2160" w:hanging="720"/>
        <w:rPr>
          <w:szCs w:val="18"/>
        </w:rPr>
      </w:pPr>
      <w:r>
        <w:rPr>
          <w:szCs w:val="18"/>
        </w:rPr>
        <w:t>5</w:t>
      </w:r>
      <w:r w:rsidR="002C37ED" w:rsidRPr="003B4362">
        <w:rPr>
          <w:szCs w:val="18"/>
        </w:rPr>
        <w:t>)</w:t>
      </w:r>
      <w:r w:rsidR="002C37ED" w:rsidRPr="003B4362">
        <w:rPr>
          <w:szCs w:val="18"/>
        </w:rPr>
        <w:tab/>
        <w:t xml:space="preserve">Other considerations </w:t>
      </w:r>
      <w:r w:rsidR="00DD4F9F" w:rsidRPr="003B4362">
        <w:rPr>
          <w:szCs w:val="18"/>
        </w:rPr>
        <w:t>bearing</w:t>
      </w:r>
      <w:r w:rsidR="002C37ED" w:rsidRPr="003B4362">
        <w:rPr>
          <w:szCs w:val="18"/>
        </w:rPr>
        <w:t xml:space="preserve"> on </w:t>
      </w:r>
      <w:r w:rsidR="00DD4F9F" w:rsidRPr="003B4362">
        <w:rPr>
          <w:szCs w:val="18"/>
        </w:rPr>
        <w:t xml:space="preserve">DBP </w:t>
      </w:r>
      <w:r w:rsidR="002C37ED" w:rsidRPr="003B4362">
        <w:rPr>
          <w:szCs w:val="18"/>
        </w:rPr>
        <w:t xml:space="preserve">occurrence in the </w:t>
      </w:r>
      <w:r w:rsidR="00DD4F9F" w:rsidRPr="003B4362">
        <w:rPr>
          <w:szCs w:val="18"/>
        </w:rPr>
        <w:t xml:space="preserve">supplier’s </w:t>
      </w:r>
      <w:r w:rsidR="002C37ED" w:rsidRPr="003B4362">
        <w:rPr>
          <w:szCs w:val="18"/>
        </w:rPr>
        <w:t xml:space="preserve">distribution system and the ability of the reduced monitoring to detect DBP in </w:t>
      </w:r>
      <w:r w:rsidR="00DD4F9F" w:rsidRPr="003B4362">
        <w:rPr>
          <w:szCs w:val="18"/>
        </w:rPr>
        <w:t xml:space="preserve">that </w:t>
      </w:r>
      <w:r w:rsidR="002C37ED" w:rsidRPr="003B4362">
        <w:rPr>
          <w:szCs w:val="18"/>
        </w:rPr>
        <w:t>distribution system.</w:t>
      </w:r>
    </w:p>
    <w:p w14:paraId="7325EC44" w14:textId="77777777" w:rsidR="00150379" w:rsidRDefault="00150379" w:rsidP="00150379">
      <w:pPr>
        <w:autoSpaceDE w:val="0"/>
        <w:autoSpaceDN w:val="0"/>
        <w:adjustRightInd w:val="0"/>
        <w:ind w:left="1440" w:hanging="720"/>
        <w:rPr>
          <w:szCs w:val="18"/>
        </w:rPr>
      </w:pPr>
    </w:p>
    <w:p w14:paraId="2CAF8BC7" w14:textId="0405F21D" w:rsidR="002C37ED" w:rsidRPr="003B4362" w:rsidRDefault="002C37ED" w:rsidP="00150379">
      <w:pPr>
        <w:autoSpaceDE w:val="0"/>
        <w:autoSpaceDN w:val="0"/>
        <w:adjustRightInd w:val="0"/>
        <w:ind w:left="1440" w:hanging="720"/>
        <w:rPr>
          <w:szCs w:val="18"/>
        </w:rPr>
      </w:pPr>
      <w:r w:rsidRPr="003B4362">
        <w:rPr>
          <w:szCs w:val="18"/>
        </w:rPr>
        <w:t>b)</w:t>
      </w:r>
      <w:r w:rsidRPr="003B4362">
        <w:rPr>
          <w:szCs w:val="18"/>
        </w:rPr>
        <w:tab/>
        <w:t xml:space="preserve">Any reduced monitoring </w:t>
      </w:r>
      <w:r w:rsidR="00DD4F9F" w:rsidRPr="003B4362">
        <w:rPr>
          <w:szCs w:val="18"/>
        </w:rPr>
        <w:t xml:space="preserve">the Agency allows </w:t>
      </w:r>
      <w:r w:rsidRPr="003B4362">
        <w:rPr>
          <w:szCs w:val="18"/>
        </w:rPr>
        <w:t xml:space="preserve">under this Section must require </w:t>
      </w:r>
      <w:r w:rsidR="00151277" w:rsidRPr="003B4362">
        <w:rPr>
          <w:szCs w:val="18"/>
        </w:rPr>
        <w:t xml:space="preserve">that the PWS maintain </w:t>
      </w:r>
      <w:r w:rsidRPr="003B4362">
        <w:rPr>
          <w:szCs w:val="18"/>
        </w:rPr>
        <w:t>a minimum of one compliance monitoring location.</w:t>
      </w:r>
    </w:p>
    <w:p w14:paraId="60BE2671" w14:textId="77777777" w:rsidR="00150379" w:rsidRDefault="00150379" w:rsidP="00150379">
      <w:pPr>
        <w:autoSpaceDE w:val="0"/>
        <w:autoSpaceDN w:val="0"/>
        <w:adjustRightInd w:val="0"/>
        <w:ind w:left="1440" w:hanging="720"/>
        <w:rPr>
          <w:szCs w:val="18"/>
        </w:rPr>
      </w:pPr>
    </w:p>
    <w:p w14:paraId="659225BC" w14:textId="10E5F394" w:rsidR="002C37ED" w:rsidRPr="003B4362" w:rsidRDefault="002C37ED" w:rsidP="00150379">
      <w:pPr>
        <w:autoSpaceDE w:val="0"/>
        <w:autoSpaceDN w:val="0"/>
        <w:adjustRightInd w:val="0"/>
        <w:ind w:left="1440" w:hanging="720"/>
        <w:rPr>
          <w:szCs w:val="18"/>
        </w:rPr>
      </w:pPr>
      <w:r w:rsidRPr="003B4362">
        <w:rPr>
          <w:szCs w:val="18"/>
        </w:rPr>
        <w:lastRenderedPageBreak/>
        <w:t>c)</w:t>
      </w:r>
      <w:r w:rsidRPr="003B4362">
        <w:rPr>
          <w:szCs w:val="18"/>
        </w:rPr>
        <w:tab/>
        <w:t xml:space="preserve">The supplier must report any changes in its raw water quality, treatment, or distribution system or any other factors </w:t>
      </w:r>
      <w:r w:rsidR="00151277" w:rsidRPr="003B4362">
        <w:rPr>
          <w:szCs w:val="18"/>
        </w:rPr>
        <w:t xml:space="preserve">arising </w:t>
      </w:r>
      <w:r w:rsidRPr="003B4362">
        <w:rPr>
          <w:szCs w:val="18"/>
        </w:rPr>
        <w:t xml:space="preserve">after the Agency issues the SEP under this Section that would bear on occurrence of DBP in the </w:t>
      </w:r>
      <w:r w:rsidR="00151277" w:rsidRPr="003B4362">
        <w:rPr>
          <w:szCs w:val="18"/>
        </w:rPr>
        <w:t xml:space="preserve">supplier’s </w:t>
      </w:r>
      <w:r w:rsidRPr="003B4362">
        <w:rPr>
          <w:szCs w:val="18"/>
        </w:rPr>
        <w:t xml:space="preserve">distribution system and the </w:t>
      </w:r>
      <w:r w:rsidR="00151277" w:rsidRPr="003B4362">
        <w:rPr>
          <w:szCs w:val="18"/>
        </w:rPr>
        <w:t xml:space="preserve">supplier’s </w:t>
      </w:r>
      <w:r w:rsidRPr="003B4362">
        <w:rPr>
          <w:szCs w:val="18"/>
        </w:rPr>
        <w:t xml:space="preserve">ability to detect DBP in </w:t>
      </w:r>
      <w:r w:rsidR="00151277" w:rsidRPr="003B4362">
        <w:rPr>
          <w:szCs w:val="18"/>
        </w:rPr>
        <w:t xml:space="preserve">its </w:t>
      </w:r>
      <w:r w:rsidRPr="003B4362">
        <w:rPr>
          <w:szCs w:val="18"/>
        </w:rPr>
        <w:t>distribution system</w:t>
      </w:r>
      <w:r w:rsidR="00151277" w:rsidRPr="003B4362">
        <w:rPr>
          <w:szCs w:val="18"/>
        </w:rPr>
        <w:t xml:space="preserve"> under the reduced monitoring</w:t>
      </w:r>
      <w:r w:rsidRPr="003B4362">
        <w:rPr>
          <w:szCs w:val="18"/>
        </w:rPr>
        <w:t>.</w:t>
      </w:r>
    </w:p>
    <w:p w14:paraId="147FFE2E" w14:textId="77777777" w:rsidR="00150379" w:rsidRDefault="00150379" w:rsidP="00150379"/>
    <w:p w14:paraId="5400BC71" w14:textId="79D5A74C" w:rsidR="002C37ED" w:rsidRPr="003B4362" w:rsidRDefault="002C37ED" w:rsidP="00150379">
      <w:r w:rsidRPr="003B4362">
        <w:t xml:space="preserve">BOARD NOTE:  </w:t>
      </w:r>
      <w:r w:rsidR="0021011C" w:rsidRPr="003B4362">
        <w:rPr>
          <w:spacing w:val="-3"/>
        </w:rPr>
        <w:t xml:space="preserve">This Section derives </w:t>
      </w:r>
      <w:r w:rsidRPr="003B4362">
        <w:t xml:space="preserve">from 40 CFR 142.16(m) and the preamble discussion at 71 Fed. Reg. 388, 430-31 (Jan. 4, 2006).  USEPA stated that the State </w:t>
      </w:r>
      <w:r w:rsidR="00F844A5" w:rsidRPr="003B4362">
        <w:t xml:space="preserve">may </w:t>
      </w:r>
      <w:r w:rsidRPr="003B4362">
        <w:t xml:space="preserve">authorize reduced monitoring </w:t>
      </w:r>
      <w:r w:rsidR="00F844A5" w:rsidRPr="003B4362">
        <w:t xml:space="preserve">under </w:t>
      </w:r>
      <w:r w:rsidRPr="003B4362">
        <w:t xml:space="preserve">a </w:t>
      </w:r>
      <w:r w:rsidR="00F844A5" w:rsidRPr="003B4362">
        <w:t xml:space="preserve">State- devised </w:t>
      </w:r>
      <w:r w:rsidRPr="003B4362">
        <w:t xml:space="preserve">procedure.  The Board borrowed from </w:t>
      </w:r>
      <w:r w:rsidR="00F844A5" w:rsidRPr="003B4362">
        <w:t xml:space="preserve">USEPA’s </w:t>
      </w:r>
      <w:r w:rsidRPr="003B4362">
        <w:t xml:space="preserve">special primacy requirements </w:t>
      </w:r>
      <w:r w:rsidR="00F844A5" w:rsidRPr="003B4362">
        <w:t xml:space="preserve">for its subpart V:  State 2 Disinfection Byproducts Requirements </w:t>
      </w:r>
      <w:r w:rsidRPr="003B4362">
        <w:t>and the accompanying preamble discussion to derive the procedure in this Section.</w:t>
      </w:r>
    </w:p>
    <w:p w14:paraId="7572CA54" w14:textId="77777777" w:rsidR="00150379" w:rsidRDefault="00150379" w:rsidP="00150379">
      <w:pPr>
        <w:suppressAutoHyphens/>
        <w:ind w:left="720"/>
      </w:pPr>
    </w:p>
    <w:p w14:paraId="3B4A14AA" w14:textId="7FB1212C" w:rsidR="002C37ED" w:rsidRPr="003B4362" w:rsidRDefault="002C37ED" w:rsidP="00150379">
      <w:pPr>
        <w:suppressAutoHyphens/>
        <w:ind w:left="720"/>
      </w:pPr>
      <w:r w:rsidRPr="003B4362">
        <w:t>(Source:  A</w:t>
      </w:r>
      <w:r w:rsidR="005C2DE7" w:rsidRPr="003B4362">
        <w:t>mended</w:t>
      </w:r>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5BA41AAD" w14:textId="77777777" w:rsidR="005C2DE7" w:rsidRPr="003B4362" w:rsidRDefault="005C2DE7" w:rsidP="00E23222">
      <w:pPr>
        <w:suppressAutoHyphens/>
        <w:ind w:left="720"/>
      </w:pPr>
    </w:p>
    <w:bookmarkEnd w:id="533"/>
    <w:p w14:paraId="12A3C171" w14:textId="77777777" w:rsidR="00C24354" w:rsidRPr="003B4362" w:rsidRDefault="00C24354" w:rsidP="005C2DE7">
      <w:pPr>
        <w:jc w:val="center"/>
      </w:pPr>
      <w:r w:rsidRPr="003B4362">
        <w:t>SUBPART B:  FILTRATION AND DISINFECTION</w:t>
      </w:r>
    </w:p>
    <w:p w14:paraId="132025E7" w14:textId="77777777" w:rsidR="005C2DE7" w:rsidRPr="003B4362" w:rsidRDefault="005C2DE7" w:rsidP="005C2DE7">
      <w:pPr>
        <w:rPr>
          <w:b/>
          <w:bCs/>
        </w:rPr>
      </w:pPr>
      <w:bookmarkStart w:id="535" w:name="_Hlk8213590"/>
      <w:bookmarkEnd w:id="534"/>
    </w:p>
    <w:p w14:paraId="14B923A9" w14:textId="5B637F86" w:rsidR="00462973" w:rsidRPr="003B4362" w:rsidRDefault="00462973" w:rsidP="00150379">
      <w:pPr>
        <w:rPr>
          <w:b/>
          <w:bCs/>
        </w:rPr>
      </w:pPr>
      <w:r w:rsidRPr="003B4362">
        <w:rPr>
          <w:b/>
          <w:bCs/>
        </w:rPr>
        <w:t>Section 611.201  Requiring a Demonstration</w:t>
      </w:r>
    </w:p>
    <w:p w14:paraId="3072F825" w14:textId="77777777" w:rsidR="00150379" w:rsidRDefault="00150379" w:rsidP="00150379">
      <w:pPr>
        <w:suppressAutoHyphens/>
      </w:pPr>
    </w:p>
    <w:p w14:paraId="1D99BCD3" w14:textId="230FCE88" w:rsidR="00462973" w:rsidRPr="003B4362" w:rsidRDefault="00462973" w:rsidP="00150379">
      <w:pPr>
        <w:suppressAutoHyphens/>
      </w:pPr>
      <w:r w:rsidRPr="003B4362">
        <w:t xml:space="preserve">The Agency must </w:t>
      </w:r>
      <w:r w:rsidR="00F5285E" w:rsidRPr="003B4362">
        <w:t>issue a SEP notifying a</w:t>
      </w:r>
      <w:r w:rsidRPr="003B4362">
        <w:t xml:space="preserve"> supplier when the Agency requires the supplier to make demonstrations under this Subpart B.  The Agency must require demonstrations when USEPA </w:t>
      </w:r>
      <w:r w:rsidR="00F5285E" w:rsidRPr="003B4362">
        <w:t xml:space="preserve">requires the </w:t>
      </w:r>
      <w:r w:rsidRPr="003B4362">
        <w:t>type of demonstration, allowing sufficient time for the supplier to collect the necessary information.</w:t>
      </w:r>
    </w:p>
    <w:p w14:paraId="1EC508F8" w14:textId="77777777" w:rsidR="00150379" w:rsidRDefault="00150379" w:rsidP="00150379">
      <w:pPr>
        <w:suppressAutoHyphens/>
        <w:ind w:left="720"/>
      </w:pPr>
    </w:p>
    <w:p w14:paraId="2DEDA77F" w14:textId="00E45C2C" w:rsidR="00462973" w:rsidRPr="003B4362" w:rsidRDefault="00462973"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03DA7412" w14:textId="77777777" w:rsidR="005C2DE7" w:rsidRPr="003B4362" w:rsidRDefault="005C2DE7" w:rsidP="005C2DE7">
      <w:pPr>
        <w:rPr>
          <w:b/>
          <w:bCs/>
        </w:rPr>
      </w:pPr>
      <w:bookmarkStart w:id="536" w:name="_Hlk26196187"/>
    </w:p>
    <w:p w14:paraId="003BFF51" w14:textId="4B93E58F" w:rsidR="00D773E7" w:rsidRPr="003B4362" w:rsidRDefault="00D773E7" w:rsidP="00150379">
      <w:pPr>
        <w:rPr>
          <w:b/>
          <w:bCs/>
        </w:rPr>
      </w:pPr>
      <w:r w:rsidRPr="003B4362">
        <w:rPr>
          <w:b/>
          <w:bCs/>
        </w:rPr>
        <w:t>Section 611.202  Procedures for Agency Determinations (Repealed)</w:t>
      </w:r>
    </w:p>
    <w:p w14:paraId="75CD6E0B" w14:textId="77777777" w:rsidR="00150379" w:rsidRDefault="00150379" w:rsidP="00150379">
      <w:pPr>
        <w:suppressAutoHyphens/>
        <w:ind w:left="720"/>
      </w:pPr>
    </w:p>
    <w:p w14:paraId="60684CCB" w14:textId="3AA97C00" w:rsidR="00D773E7" w:rsidRPr="003B4362" w:rsidRDefault="00D773E7" w:rsidP="00150379">
      <w:pPr>
        <w:suppressAutoHyphens/>
        <w:ind w:left="720"/>
      </w:pPr>
      <w:r w:rsidRPr="003B4362">
        <w:t xml:space="preserve">(Source:  </w:t>
      </w:r>
      <w:r w:rsidR="005C2DE7" w:rsidRPr="003B4362">
        <w:t>Repealed</w:t>
      </w:r>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bookmarkEnd w:id="536"/>
    <w:p w14:paraId="567C7EAD" w14:textId="77777777" w:rsidR="005C2DE7" w:rsidRPr="003B4362" w:rsidRDefault="005C2DE7" w:rsidP="005C2DE7">
      <w:pPr>
        <w:rPr>
          <w:b/>
          <w:bCs/>
        </w:rPr>
      </w:pPr>
    </w:p>
    <w:p w14:paraId="1C56F87F" w14:textId="3FE53058" w:rsidR="00D773E7" w:rsidRPr="003B4362" w:rsidRDefault="00D773E7" w:rsidP="00150379">
      <w:pPr>
        <w:rPr>
          <w:b/>
          <w:bCs/>
        </w:rPr>
      </w:pPr>
      <w:r w:rsidRPr="003B4362">
        <w:rPr>
          <w:b/>
          <w:bCs/>
        </w:rPr>
        <w:t>Section 611.211  Filtration Required</w:t>
      </w:r>
    </w:p>
    <w:p w14:paraId="633F1820" w14:textId="77777777" w:rsidR="00150379" w:rsidRDefault="00150379" w:rsidP="00150379">
      <w:pPr>
        <w:suppressAutoHyphens/>
      </w:pPr>
    </w:p>
    <w:p w14:paraId="4F87E9A4" w14:textId="0AC5D9BF" w:rsidR="00D773E7" w:rsidRPr="003B4362" w:rsidRDefault="00D773E7" w:rsidP="00150379">
      <w:pPr>
        <w:suppressAutoHyphens/>
      </w:pPr>
      <w:r w:rsidRPr="003B4362">
        <w:t>The Agency must require a supplier using a surface water source or groundwater under the direct influence of surface water to filter the water it provides to the public.</w:t>
      </w:r>
    </w:p>
    <w:p w14:paraId="7BF9255A" w14:textId="77777777" w:rsidR="00150379" w:rsidRDefault="00150379" w:rsidP="00150379">
      <w:pPr>
        <w:suppressAutoHyphens/>
      </w:pPr>
    </w:p>
    <w:p w14:paraId="4E6A34E8" w14:textId="068D761F" w:rsidR="00D773E7" w:rsidRPr="003B4362" w:rsidRDefault="00D773E7" w:rsidP="00150379">
      <w:pPr>
        <w:suppressAutoHyphens/>
      </w:pPr>
      <w:r w:rsidRPr="003B4362">
        <w:t xml:space="preserve">BOARD NOTE:  </w:t>
      </w:r>
      <w:r w:rsidRPr="003B4362">
        <w:rPr>
          <w:spacing w:val="-3"/>
        </w:rPr>
        <w:t xml:space="preserve">This Section originally derived </w:t>
      </w:r>
      <w:r w:rsidRPr="003B4362">
        <w:t>from 40 CFR 141.71 and the preamble discussion at 54 Fed. Reg. 27505 (June 29, 1989).  The Board replaced the original rule with the present requirement that a supplier apply filtration treatment because no supplier using a surface water source or groundwater under the direct influence of surface water operates in Illinois.  This rule avoids a gap in the Illinois rules.</w:t>
      </w:r>
    </w:p>
    <w:p w14:paraId="421D19C9" w14:textId="77777777" w:rsidR="00150379" w:rsidRDefault="00150379" w:rsidP="00150379">
      <w:pPr>
        <w:suppressAutoHyphens/>
        <w:ind w:left="720"/>
      </w:pPr>
    </w:p>
    <w:p w14:paraId="5B7C8D35" w14:textId="0C1C2A3A" w:rsidR="00D773E7" w:rsidRPr="003B4362" w:rsidRDefault="00EB353D"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0EE9EB2B" w14:textId="77777777" w:rsidR="005C2DE7" w:rsidRPr="003B4362" w:rsidRDefault="005C2DE7" w:rsidP="005C2DE7">
      <w:pPr>
        <w:rPr>
          <w:b/>
          <w:bCs/>
        </w:rPr>
      </w:pPr>
    </w:p>
    <w:p w14:paraId="4E654355" w14:textId="31CFE0A5" w:rsidR="008553D1" w:rsidRPr="003B4362" w:rsidRDefault="008553D1" w:rsidP="00150379">
      <w:pPr>
        <w:rPr>
          <w:b/>
          <w:bCs/>
        </w:rPr>
      </w:pPr>
      <w:r w:rsidRPr="003B4362">
        <w:rPr>
          <w:b/>
          <w:bCs/>
        </w:rPr>
        <w:t>Section 611.212  Groundwater under Direct Influence of Surface Water</w:t>
      </w:r>
    </w:p>
    <w:p w14:paraId="1D9C2AE4" w14:textId="77777777" w:rsidR="00150379" w:rsidRDefault="00150379" w:rsidP="00150379">
      <w:pPr>
        <w:suppressAutoHyphens/>
      </w:pPr>
    </w:p>
    <w:p w14:paraId="1DD4E926" w14:textId="29AE450F" w:rsidR="008553D1" w:rsidRPr="003B4362" w:rsidRDefault="008553D1" w:rsidP="00150379">
      <w:pPr>
        <w:suppressAutoHyphens/>
      </w:pPr>
      <w:r w:rsidRPr="003B4362">
        <w:lastRenderedPageBreak/>
        <w:t xml:space="preserve">The Agency must require a CWS supplier to demonstrate under Section 611.201 whether it uses “groundwater under the direct influence of surface water”.  Based on the information the supplier provides, the Agency must determine whether a PWS uses “groundwater under the direct influence of surface water”.  The Agency must </w:t>
      </w:r>
      <w:r w:rsidR="00CF142D" w:rsidRPr="003B4362">
        <w:t>base this determination on specific factors</w:t>
      </w:r>
      <w:r w:rsidRPr="003B4362">
        <w:t>:</w:t>
      </w:r>
    </w:p>
    <w:p w14:paraId="5213B21A" w14:textId="77777777" w:rsidR="00150379" w:rsidRDefault="00150379" w:rsidP="00150379">
      <w:pPr>
        <w:suppressAutoHyphens/>
        <w:ind w:left="1440" w:hanging="720"/>
      </w:pPr>
    </w:p>
    <w:p w14:paraId="0C012568" w14:textId="0B262986" w:rsidR="008553D1" w:rsidRPr="003B4362" w:rsidRDefault="008553D1" w:rsidP="00150379">
      <w:pPr>
        <w:suppressAutoHyphens/>
        <w:ind w:left="1440" w:hanging="720"/>
      </w:pPr>
      <w:r w:rsidRPr="003B4362">
        <w:t>a)</w:t>
      </w:r>
      <w:r w:rsidRPr="003B4362">
        <w:tab/>
        <w:t>Physical Characteristics of the Source.  Whether the source is obviously a surface water source, such as a lake or stream.  Other sources possibly subject to influence from surface waters include springs, infiltration galleries, wells, or other collectors in subsurface aquifers.</w:t>
      </w:r>
    </w:p>
    <w:p w14:paraId="351D5611" w14:textId="77777777" w:rsidR="00150379" w:rsidRDefault="00150379" w:rsidP="00150379">
      <w:pPr>
        <w:suppressAutoHyphens/>
        <w:ind w:left="1440" w:hanging="720"/>
      </w:pPr>
    </w:p>
    <w:p w14:paraId="2304CF04" w14:textId="58A460AB" w:rsidR="008553D1" w:rsidRPr="003B4362" w:rsidRDefault="008553D1" w:rsidP="00150379">
      <w:pPr>
        <w:suppressAutoHyphens/>
        <w:ind w:left="1440" w:hanging="720"/>
      </w:pPr>
      <w:r w:rsidRPr="003B4362">
        <w:t>b)</w:t>
      </w:r>
      <w:r w:rsidRPr="003B4362">
        <w:tab/>
        <w:t>Well Construction Characteristics and Geology with Field Evaluation</w:t>
      </w:r>
    </w:p>
    <w:p w14:paraId="3B874AB5" w14:textId="77777777" w:rsidR="00150379" w:rsidRDefault="00150379" w:rsidP="00150379">
      <w:pPr>
        <w:suppressAutoHyphens/>
        <w:ind w:left="2160" w:hanging="720"/>
      </w:pPr>
    </w:p>
    <w:p w14:paraId="0A8683D4" w14:textId="417B8AC4" w:rsidR="008553D1" w:rsidRPr="003B4362" w:rsidRDefault="008553D1" w:rsidP="00150379">
      <w:pPr>
        <w:suppressAutoHyphens/>
        <w:ind w:left="2160" w:hanging="720"/>
      </w:pPr>
      <w:r w:rsidRPr="003B4362">
        <w:t>1)</w:t>
      </w:r>
      <w:r w:rsidRPr="003B4362">
        <w:tab/>
        <w:t xml:space="preserve">The Agency may use the wellhead protection program’s requirements, which include delineation of wellhead protection areas, assessment of sources of contamination, and implementation of management control systems, to determine if the wellhead is under the </w:t>
      </w:r>
      <w:r w:rsidR="00354E43" w:rsidRPr="003B4362">
        <w:t>direct influence of surface water</w:t>
      </w:r>
      <w:r w:rsidRPr="003B4362">
        <w:t>.</w:t>
      </w:r>
    </w:p>
    <w:p w14:paraId="3D90FB59" w14:textId="77777777" w:rsidR="00150379" w:rsidRDefault="00150379" w:rsidP="00150379">
      <w:pPr>
        <w:suppressAutoHyphens/>
        <w:ind w:left="2160" w:hanging="720"/>
      </w:pPr>
    </w:p>
    <w:p w14:paraId="657C1868" w14:textId="5049E2DC" w:rsidR="008553D1" w:rsidRPr="003B4362" w:rsidRDefault="008553D1" w:rsidP="00150379">
      <w:pPr>
        <w:suppressAutoHyphens/>
        <w:ind w:left="2160" w:hanging="720"/>
      </w:pPr>
      <w:r w:rsidRPr="003B4362">
        <w:t>2)</w:t>
      </w:r>
      <w:r w:rsidRPr="003B4362">
        <w:tab/>
      </w:r>
      <w:r w:rsidR="00143968" w:rsidRPr="003B4362">
        <w:t xml:space="preserve">A well </w:t>
      </w:r>
      <w:r w:rsidRPr="003B4362">
        <w:t xml:space="preserve">less than or equal to 50 feet </w:t>
      </w:r>
      <w:r w:rsidR="005C2955" w:rsidRPr="003B4362">
        <w:t xml:space="preserve">deep is </w:t>
      </w:r>
      <w:r w:rsidRPr="003B4362">
        <w:t xml:space="preserve">likely under the </w:t>
      </w:r>
      <w:r w:rsidR="00354E43" w:rsidRPr="003B4362">
        <w:t>direct influence of surface water</w:t>
      </w:r>
      <w:r w:rsidRPr="003B4362">
        <w:t>.</w:t>
      </w:r>
    </w:p>
    <w:p w14:paraId="795FA93C" w14:textId="77777777" w:rsidR="00150379" w:rsidRDefault="00150379" w:rsidP="00150379">
      <w:pPr>
        <w:suppressAutoHyphens/>
        <w:ind w:left="2160" w:hanging="720"/>
      </w:pPr>
    </w:p>
    <w:p w14:paraId="64C1370E" w14:textId="7E074E9C" w:rsidR="008553D1" w:rsidRPr="003B4362" w:rsidRDefault="008553D1" w:rsidP="00150379">
      <w:pPr>
        <w:suppressAutoHyphens/>
        <w:ind w:left="2160" w:hanging="720"/>
      </w:pPr>
      <w:r w:rsidRPr="003B4362">
        <w:t>3)</w:t>
      </w:r>
      <w:r w:rsidRPr="003B4362">
        <w:tab/>
      </w:r>
      <w:r w:rsidR="005C2955" w:rsidRPr="003B4362">
        <w:t xml:space="preserve">A well more </w:t>
      </w:r>
      <w:r w:rsidRPr="003B4362">
        <w:t xml:space="preserve">than 50 feet </w:t>
      </w:r>
      <w:r w:rsidR="005C2955" w:rsidRPr="003B4362">
        <w:t xml:space="preserve">deep is </w:t>
      </w:r>
      <w:r w:rsidRPr="003B4362">
        <w:t xml:space="preserve">likely under the </w:t>
      </w:r>
      <w:r w:rsidR="00354E43" w:rsidRPr="003B4362">
        <w:t>direct influence of surface water</w:t>
      </w:r>
      <w:r w:rsidRPr="003B4362">
        <w:t xml:space="preserve">, unless </w:t>
      </w:r>
      <w:r w:rsidR="005C2955" w:rsidRPr="003B4362">
        <w:t xml:space="preserve">it includes </w:t>
      </w:r>
      <w:r w:rsidRPr="003B4362">
        <w:t>specific features:</w:t>
      </w:r>
    </w:p>
    <w:p w14:paraId="37121A98" w14:textId="77777777" w:rsidR="00150379" w:rsidRDefault="00150379" w:rsidP="00150379">
      <w:pPr>
        <w:suppressAutoHyphens/>
        <w:ind w:left="2880" w:hanging="720"/>
      </w:pPr>
    </w:p>
    <w:p w14:paraId="6369F5CA" w14:textId="65EC58A8" w:rsidR="008553D1" w:rsidRPr="003B4362" w:rsidRDefault="008553D1" w:rsidP="00150379">
      <w:pPr>
        <w:suppressAutoHyphens/>
        <w:ind w:left="2880" w:hanging="720"/>
      </w:pPr>
      <w:r w:rsidRPr="003B4362">
        <w:t>A)</w:t>
      </w:r>
      <w:r w:rsidRPr="003B4362">
        <w:tab/>
        <w:t>A surface sanitary seal using bentonite clay, concrete, or similar material;</w:t>
      </w:r>
    </w:p>
    <w:p w14:paraId="41465882" w14:textId="77777777" w:rsidR="00150379" w:rsidRDefault="00150379" w:rsidP="00150379">
      <w:pPr>
        <w:suppressAutoHyphens/>
        <w:ind w:left="2880" w:hanging="720"/>
      </w:pPr>
    </w:p>
    <w:p w14:paraId="73074130" w14:textId="4C9312D5" w:rsidR="008553D1" w:rsidRPr="003B4362" w:rsidRDefault="008553D1" w:rsidP="00150379">
      <w:pPr>
        <w:suppressAutoHyphens/>
        <w:ind w:left="2880" w:hanging="720"/>
      </w:pPr>
      <w:r w:rsidRPr="003B4362">
        <w:t>B)</w:t>
      </w:r>
      <w:r w:rsidRPr="003B4362">
        <w:tab/>
        <w:t xml:space="preserve">A well casing </w:t>
      </w:r>
      <w:r w:rsidR="005C2955" w:rsidRPr="003B4362">
        <w:t xml:space="preserve">penetrating </w:t>
      </w:r>
      <w:r w:rsidRPr="003B4362">
        <w:t>consolidated (slowly permeable) material;</w:t>
      </w:r>
      <w:r w:rsidRPr="003B4362">
        <w:rPr>
          <w:spacing w:val="-3"/>
        </w:rPr>
        <w:t xml:space="preserve"> and</w:t>
      </w:r>
    </w:p>
    <w:p w14:paraId="1B68624A" w14:textId="77777777" w:rsidR="00150379" w:rsidRDefault="00150379" w:rsidP="00150379">
      <w:pPr>
        <w:suppressAutoHyphens/>
        <w:ind w:left="2880" w:hanging="720"/>
      </w:pPr>
    </w:p>
    <w:p w14:paraId="785CC379" w14:textId="42BE58FB" w:rsidR="008553D1" w:rsidRPr="003B4362" w:rsidRDefault="008553D1" w:rsidP="00150379">
      <w:pPr>
        <w:suppressAutoHyphens/>
        <w:ind w:left="2880" w:hanging="720"/>
      </w:pPr>
      <w:r w:rsidRPr="003B4362">
        <w:t>C)</w:t>
      </w:r>
      <w:r w:rsidRPr="003B4362">
        <w:tab/>
        <w:t>A well casing that is only perforated or screened below consolidated (slowly permeable) material.</w:t>
      </w:r>
    </w:p>
    <w:p w14:paraId="2D82D52C" w14:textId="77777777" w:rsidR="00150379" w:rsidRDefault="00150379" w:rsidP="00150379">
      <w:pPr>
        <w:suppressAutoHyphens/>
        <w:ind w:left="2160" w:hanging="720"/>
      </w:pPr>
    </w:p>
    <w:p w14:paraId="19C3EEAC" w14:textId="0E8F60D7" w:rsidR="008553D1" w:rsidRPr="003B4362" w:rsidRDefault="008553D1" w:rsidP="00150379">
      <w:pPr>
        <w:suppressAutoHyphens/>
        <w:ind w:left="2160" w:hanging="720"/>
      </w:pPr>
      <w:r w:rsidRPr="003B4362">
        <w:t>4)</w:t>
      </w:r>
      <w:r w:rsidRPr="003B4362">
        <w:tab/>
        <w:t xml:space="preserve">A source less than 200 feet from any surface water is likely under the </w:t>
      </w:r>
      <w:r w:rsidR="00354E43" w:rsidRPr="003B4362">
        <w:t>direct influence of surface water</w:t>
      </w:r>
      <w:r w:rsidRPr="003B4362">
        <w:t>.</w:t>
      </w:r>
    </w:p>
    <w:p w14:paraId="123357DF" w14:textId="77777777" w:rsidR="00150379" w:rsidRDefault="00150379" w:rsidP="00150379">
      <w:pPr>
        <w:suppressAutoHyphens/>
        <w:ind w:left="1440" w:hanging="720"/>
      </w:pPr>
    </w:p>
    <w:p w14:paraId="0CA7FDC0" w14:textId="0F38D440" w:rsidR="008553D1" w:rsidRPr="003B4362" w:rsidRDefault="008553D1" w:rsidP="00150379">
      <w:pPr>
        <w:suppressAutoHyphens/>
        <w:ind w:left="1440" w:hanging="720"/>
      </w:pPr>
      <w:r w:rsidRPr="003B4362">
        <w:t>c)</w:t>
      </w:r>
      <w:r w:rsidRPr="003B4362">
        <w:tab/>
        <w:t>Any structural modifications to prevent the direct influence of surface water and eliminate the potential for Giardia lamblia cyst contamination.</w:t>
      </w:r>
    </w:p>
    <w:p w14:paraId="6D912592" w14:textId="77777777" w:rsidR="00150379" w:rsidRDefault="00150379" w:rsidP="00150379">
      <w:pPr>
        <w:suppressAutoHyphens/>
        <w:ind w:left="1440" w:hanging="720"/>
      </w:pPr>
    </w:p>
    <w:p w14:paraId="23BE6A3F" w14:textId="56BEB777" w:rsidR="008553D1" w:rsidRPr="003B4362" w:rsidRDefault="008553D1" w:rsidP="00150379">
      <w:pPr>
        <w:suppressAutoHyphens/>
        <w:ind w:left="1440" w:hanging="720"/>
      </w:pPr>
      <w:r w:rsidRPr="003B4362">
        <w:t>d)</w:t>
      </w:r>
      <w:r w:rsidRPr="003B4362">
        <w:tab/>
        <w:t xml:space="preserve">Source Water Quality Records.  Specific factors indicate that a source is under the </w:t>
      </w:r>
      <w:r w:rsidR="00354E43" w:rsidRPr="003B4362">
        <w:t>direct influence of surface water</w:t>
      </w:r>
      <w:r w:rsidRPr="003B4362">
        <w:t>:</w:t>
      </w:r>
    </w:p>
    <w:p w14:paraId="6DCB0DB7" w14:textId="77777777" w:rsidR="00150379" w:rsidRDefault="00150379" w:rsidP="00150379">
      <w:pPr>
        <w:suppressAutoHyphens/>
        <w:ind w:left="2160" w:hanging="720"/>
      </w:pPr>
    </w:p>
    <w:p w14:paraId="5AFEAEE7" w14:textId="745B4DF8" w:rsidR="008553D1" w:rsidRPr="003B4362" w:rsidRDefault="008553D1" w:rsidP="00150379">
      <w:pPr>
        <w:suppressAutoHyphens/>
        <w:ind w:left="2160" w:hanging="720"/>
      </w:pPr>
      <w:r w:rsidRPr="003B4362">
        <w:t>1)</w:t>
      </w:r>
      <w:r w:rsidRPr="003B4362">
        <w:tab/>
        <w:t>A record of total coliform or fecal coliform contamination in untreated samples collected over the past three years;</w:t>
      </w:r>
    </w:p>
    <w:p w14:paraId="45E21EFB" w14:textId="77777777" w:rsidR="00150379" w:rsidRDefault="00150379" w:rsidP="00150379">
      <w:pPr>
        <w:suppressAutoHyphens/>
        <w:ind w:left="720" w:firstLine="720"/>
      </w:pPr>
    </w:p>
    <w:p w14:paraId="7788C0B6" w14:textId="21DA119B" w:rsidR="008553D1" w:rsidRPr="003B4362" w:rsidRDefault="008553D1" w:rsidP="00150379">
      <w:pPr>
        <w:suppressAutoHyphens/>
        <w:ind w:left="720" w:firstLine="720"/>
      </w:pPr>
      <w:r w:rsidRPr="003B4362">
        <w:lastRenderedPageBreak/>
        <w:t>2)</w:t>
      </w:r>
      <w:r w:rsidRPr="003B4362">
        <w:tab/>
        <w:t>A history of turbidity problems associated with the source;</w:t>
      </w:r>
      <w:r w:rsidRPr="003B4362">
        <w:rPr>
          <w:spacing w:val="-3"/>
        </w:rPr>
        <w:t xml:space="preserve"> or</w:t>
      </w:r>
    </w:p>
    <w:p w14:paraId="2A802392" w14:textId="77777777" w:rsidR="00150379" w:rsidRDefault="00150379" w:rsidP="00150379">
      <w:pPr>
        <w:suppressAutoHyphens/>
        <w:ind w:left="2160" w:hanging="720"/>
      </w:pPr>
    </w:p>
    <w:p w14:paraId="5455FC6E" w14:textId="0ECB5B74" w:rsidR="008553D1" w:rsidRPr="003B4362" w:rsidRDefault="008553D1" w:rsidP="00150379">
      <w:pPr>
        <w:suppressAutoHyphens/>
        <w:ind w:left="2160" w:hanging="720"/>
      </w:pPr>
      <w:r w:rsidRPr="003B4362">
        <w:t>3)</w:t>
      </w:r>
      <w:r w:rsidRPr="003B4362">
        <w:tab/>
        <w:t>A history of known or suspected outbreaks of Giardia lamblia, Cryptosporidium</w:t>
      </w:r>
      <w:r w:rsidR="00FC4573" w:rsidRPr="003B4362">
        <w:t>,</w:t>
      </w:r>
      <w:r w:rsidRPr="003B4362">
        <w:t xml:space="preserve"> or other pathogenic organisms associated with surface water </w:t>
      </w:r>
      <w:r w:rsidR="00FC4573" w:rsidRPr="003B4362">
        <w:t xml:space="preserve">attributable </w:t>
      </w:r>
      <w:r w:rsidRPr="003B4362">
        <w:t xml:space="preserve">to </w:t>
      </w:r>
      <w:r w:rsidR="00FC4573" w:rsidRPr="003B4362">
        <w:t xml:space="preserve">the </w:t>
      </w:r>
      <w:r w:rsidRPr="003B4362">
        <w:t>source.</w:t>
      </w:r>
    </w:p>
    <w:p w14:paraId="2F822876" w14:textId="77777777" w:rsidR="00150379" w:rsidRDefault="00150379" w:rsidP="00150379">
      <w:pPr>
        <w:suppressAutoHyphens/>
        <w:ind w:left="1440" w:hanging="720"/>
      </w:pPr>
    </w:p>
    <w:p w14:paraId="01C1DA9C" w14:textId="10E154E2" w:rsidR="008553D1" w:rsidRPr="003B4362" w:rsidRDefault="008553D1" w:rsidP="00150379">
      <w:pPr>
        <w:suppressAutoHyphens/>
        <w:ind w:left="1440" w:hanging="720"/>
      </w:pPr>
      <w:r w:rsidRPr="003B4362">
        <w:t>e)</w:t>
      </w:r>
      <w:r w:rsidRPr="003B4362">
        <w:tab/>
        <w:t>Significant and relatively rapid shifts in water characteristics, such as turbidity, temperature, conductivity, or pH.</w:t>
      </w:r>
    </w:p>
    <w:p w14:paraId="37A1FE86" w14:textId="77777777" w:rsidR="00150379" w:rsidRDefault="00150379" w:rsidP="00150379">
      <w:pPr>
        <w:suppressAutoHyphens/>
        <w:ind w:left="2160" w:hanging="720"/>
      </w:pPr>
    </w:p>
    <w:p w14:paraId="04EC5390" w14:textId="2F56FFD9" w:rsidR="008553D1" w:rsidRPr="003B4362" w:rsidRDefault="008553D1" w:rsidP="00150379">
      <w:pPr>
        <w:suppressAutoHyphens/>
        <w:ind w:left="2160" w:hanging="720"/>
      </w:pPr>
      <w:r w:rsidRPr="003B4362">
        <w:t>1)</w:t>
      </w:r>
      <w:r w:rsidRPr="003B4362">
        <w:tab/>
        <w:t>A variation in turbidity of 0.5 NTU or more over one year is indicative of surface influence.</w:t>
      </w:r>
    </w:p>
    <w:p w14:paraId="230A7984" w14:textId="77777777" w:rsidR="00150379" w:rsidRDefault="00150379" w:rsidP="00150379">
      <w:pPr>
        <w:suppressAutoHyphens/>
        <w:ind w:left="2160" w:hanging="720"/>
      </w:pPr>
    </w:p>
    <w:p w14:paraId="794E7A54" w14:textId="5CAE3A96" w:rsidR="008553D1" w:rsidRPr="003B4362" w:rsidRDefault="008553D1" w:rsidP="00150379">
      <w:pPr>
        <w:suppressAutoHyphens/>
        <w:ind w:left="2160" w:hanging="720"/>
      </w:pPr>
      <w:r w:rsidRPr="003B4362">
        <w:t>2)</w:t>
      </w:r>
      <w:r w:rsidRPr="003B4362">
        <w:tab/>
        <w:t>A variation in temperature of nine Fahrenheit degrees or more over one year is indicative of surface influence.</w:t>
      </w:r>
    </w:p>
    <w:p w14:paraId="4F608A9F" w14:textId="77777777" w:rsidR="00150379" w:rsidRDefault="00150379" w:rsidP="00150379">
      <w:pPr>
        <w:suppressAutoHyphens/>
        <w:ind w:left="1440" w:hanging="720"/>
      </w:pPr>
    </w:p>
    <w:p w14:paraId="52B7D022" w14:textId="63E47B71" w:rsidR="008553D1" w:rsidRPr="003B4362" w:rsidRDefault="008553D1" w:rsidP="00150379">
      <w:pPr>
        <w:suppressAutoHyphens/>
        <w:ind w:left="1440" w:hanging="720"/>
      </w:pPr>
      <w:r w:rsidRPr="003B4362">
        <w:t>f)</w:t>
      </w:r>
      <w:r w:rsidRPr="003B4362">
        <w:tab/>
        <w:t>Significant and relatively rapid shifts in water characteristics, such as turbidity, temperature, conductivity, or pH, closely correlating with climatological or surface water conditions indicate surface water influence.</w:t>
      </w:r>
    </w:p>
    <w:p w14:paraId="78F56B8D" w14:textId="77777777" w:rsidR="00150379" w:rsidRDefault="00150379" w:rsidP="00150379">
      <w:pPr>
        <w:suppressAutoHyphens/>
        <w:ind w:left="2160" w:hanging="720"/>
      </w:pPr>
    </w:p>
    <w:p w14:paraId="70B87AFF" w14:textId="45B2D72B" w:rsidR="008553D1" w:rsidRPr="003B4362" w:rsidRDefault="008553D1" w:rsidP="00150379">
      <w:pPr>
        <w:suppressAutoHyphens/>
        <w:ind w:left="2160" w:hanging="720"/>
      </w:pPr>
      <w:r w:rsidRPr="003B4362">
        <w:t>1)</w:t>
      </w:r>
      <w:r w:rsidRPr="003B4362">
        <w:tab/>
        <w:t>Evidence of particulate matter associated with the surface water; or</w:t>
      </w:r>
    </w:p>
    <w:p w14:paraId="05E53E3E" w14:textId="77777777" w:rsidR="00150379" w:rsidRDefault="00150379" w:rsidP="00150379">
      <w:pPr>
        <w:suppressAutoHyphens/>
        <w:ind w:left="2160" w:hanging="720"/>
      </w:pPr>
    </w:p>
    <w:p w14:paraId="70536FE3" w14:textId="7A2C05BE" w:rsidR="008553D1" w:rsidRPr="003B4362" w:rsidRDefault="008553D1" w:rsidP="00150379">
      <w:pPr>
        <w:suppressAutoHyphens/>
        <w:ind w:left="2160" w:hanging="720"/>
      </w:pPr>
      <w:r w:rsidRPr="003B4362">
        <w:t>2)</w:t>
      </w:r>
      <w:r w:rsidRPr="003B4362">
        <w:tab/>
        <w:t>Turbidity or temperature data that correlates with that of a nearby surface water source.</w:t>
      </w:r>
    </w:p>
    <w:p w14:paraId="55EF57C7" w14:textId="77777777" w:rsidR="00150379" w:rsidRDefault="00150379" w:rsidP="00150379">
      <w:pPr>
        <w:suppressAutoHyphens/>
        <w:ind w:left="1440" w:hanging="720"/>
      </w:pPr>
    </w:p>
    <w:p w14:paraId="4BF83CFE" w14:textId="46917982" w:rsidR="008553D1" w:rsidRPr="003B4362" w:rsidRDefault="008553D1" w:rsidP="00150379">
      <w:pPr>
        <w:suppressAutoHyphens/>
        <w:ind w:left="1440" w:hanging="720"/>
      </w:pPr>
      <w:r w:rsidRPr="003B4362">
        <w:t>g)</w:t>
      </w:r>
      <w:r w:rsidRPr="003B4362">
        <w:tab/>
        <w:t>Particulate Analysis.  Significant occurrence of insects or other macroorganisms, algae, or large</w:t>
      </w:r>
      <w:r w:rsidR="00FC4573" w:rsidRPr="003B4362">
        <w:t>-</w:t>
      </w:r>
      <w:r w:rsidRPr="003B4362">
        <w:t>diameter pathogens, such as Giardia lamblia, indicates surface influence.</w:t>
      </w:r>
    </w:p>
    <w:p w14:paraId="6468F336" w14:textId="77777777" w:rsidR="00150379" w:rsidRDefault="00150379" w:rsidP="00150379">
      <w:pPr>
        <w:suppressAutoHyphens/>
        <w:ind w:left="2160" w:hanging="720"/>
      </w:pPr>
    </w:p>
    <w:p w14:paraId="0D48BAE9" w14:textId="5A07482E" w:rsidR="008553D1" w:rsidRPr="003B4362" w:rsidRDefault="008553D1" w:rsidP="00150379">
      <w:pPr>
        <w:suppressAutoHyphens/>
        <w:ind w:left="2160" w:hanging="720"/>
      </w:pPr>
      <w:r w:rsidRPr="003B4362">
        <w:t>1)</w:t>
      </w:r>
      <w:r w:rsidRPr="003B4362">
        <w:tab/>
        <w:t>“</w:t>
      </w:r>
      <w:r w:rsidR="00BA1235" w:rsidRPr="003B4362">
        <w:t>Large-diameter pathogens</w:t>
      </w:r>
      <w:r w:rsidRPr="003B4362">
        <w:t>” are those over seven micrometers.</w:t>
      </w:r>
    </w:p>
    <w:p w14:paraId="2F16921B" w14:textId="77777777" w:rsidR="00150379" w:rsidRDefault="00150379" w:rsidP="00150379">
      <w:pPr>
        <w:suppressAutoHyphens/>
        <w:ind w:left="2160" w:hanging="720"/>
      </w:pPr>
    </w:p>
    <w:p w14:paraId="3A373FEE" w14:textId="29474B0A" w:rsidR="008553D1" w:rsidRPr="003B4362" w:rsidRDefault="008553D1" w:rsidP="00150379">
      <w:pPr>
        <w:suppressAutoHyphens/>
        <w:ind w:left="2160" w:hanging="720"/>
      </w:pPr>
      <w:r w:rsidRPr="003B4362">
        <w:t>2)</w:t>
      </w:r>
      <w:r w:rsidRPr="003B4362">
        <w:tab/>
        <w:t xml:space="preserve">The supplier must measure particulates as the </w:t>
      </w:r>
      <w:bookmarkStart w:id="537" w:name="_Hlk12881561"/>
      <w:r w:rsidRPr="003B4362">
        <w:t>Guidance Manual for Filtration and Disinfection (91)</w:t>
      </w:r>
      <w:bookmarkEnd w:id="537"/>
      <w:r w:rsidRPr="003B4362">
        <w:rPr>
          <w:szCs w:val="16"/>
        </w:rPr>
        <w:t>,</w:t>
      </w:r>
      <w:r w:rsidRPr="003B4362">
        <w:t xml:space="preserve"> incorporated by reference in Section 611.102</w:t>
      </w:r>
      <w:r w:rsidR="00FC4573" w:rsidRPr="003B4362">
        <w:t>, specifies</w:t>
      </w:r>
      <w:r w:rsidRPr="003B4362">
        <w:t>.</w:t>
      </w:r>
    </w:p>
    <w:p w14:paraId="7F09702B" w14:textId="77777777" w:rsidR="00150379" w:rsidRDefault="00150379" w:rsidP="00150379">
      <w:pPr>
        <w:suppressAutoHyphens/>
        <w:ind w:left="1440" w:hanging="720"/>
      </w:pPr>
    </w:p>
    <w:p w14:paraId="749C6BA5" w14:textId="0FEFD6A0" w:rsidR="008553D1" w:rsidRPr="003B4362" w:rsidRDefault="008553D1" w:rsidP="00150379">
      <w:pPr>
        <w:suppressAutoHyphens/>
        <w:ind w:left="1440" w:hanging="720"/>
      </w:pPr>
      <w:r w:rsidRPr="003B4362">
        <w:t>h)</w:t>
      </w:r>
      <w:r w:rsidRPr="003B4362">
        <w:tab/>
        <w:t>The potential for contamination by small-diameter pathogens, such as bacteria or viruses, does not alone render the source “under the direct influence of surface water”.</w:t>
      </w:r>
    </w:p>
    <w:p w14:paraId="1957F632" w14:textId="77777777" w:rsidR="00150379" w:rsidRDefault="00150379" w:rsidP="00150379">
      <w:pPr>
        <w:suppressAutoHyphens/>
      </w:pPr>
    </w:p>
    <w:p w14:paraId="2FDA7F25" w14:textId="28211CBB" w:rsidR="008553D1" w:rsidRPr="003B4362" w:rsidRDefault="008553D1" w:rsidP="00150379">
      <w:pPr>
        <w:suppressAutoHyphens/>
      </w:pPr>
      <w:r w:rsidRPr="003B4362">
        <w:t xml:space="preserve">BOARD NOTE:  </w:t>
      </w:r>
      <w:r w:rsidR="0021011C" w:rsidRPr="003B4362">
        <w:rPr>
          <w:spacing w:val="-3"/>
        </w:rPr>
        <w:t xml:space="preserve">This Section derives </w:t>
      </w:r>
      <w:r w:rsidRPr="003B4362">
        <w:t>from the definition of “groundwater under the direct influence of surface water” in 40 CFR 141.2; from the Preamble at 54 Fed. Reg. 27489 (June 29, 1989); and from the USEPA Guidance Manual for Filtration and Disinfection (91).</w:t>
      </w:r>
    </w:p>
    <w:p w14:paraId="5429D8D3" w14:textId="77777777" w:rsidR="00150379" w:rsidRDefault="00150379" w:rsidP="00150379">
      <w:pPr>
        <w:suppressAutoHyphens/>
        <w:ind w:left="720"/>
      </w:pPr>
    </w:p>
    <w:p w14:paraId="6C4C7EFD" w14:textId="433CCAC1" w:rsidR="008553D1" w:rsidRPr="003B4362" w:rsidRDefault="00EB353D"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bookmarkEnd w:id="535"/>
    <w:p w14:paraId="60D45816" w14:textId="77777777" w:rsidR="005C2DE7" w:rsidRPr="003B4362" w:rsidRDefault="005C2DE7" w:rsidP="005C2DE7">
      <w:pPr>
        <w:rPr>
          <w:b/>
          <w:bCs/>
        </w:rPr>
      </w:pPr>
    </w:p>
    <w:p w14:paraId="1835E21C" w14:textId="715EE717" w:rsidR="004E2D35" w:rsidRPr="003B4362" w:rsidRDefault="004E2D35" w:rsidP="00150379">
      <w:pPr>
        <w:rPr>
          <w:b/>
          <w:bCs/>
        </w:rPr>
      </w:pPr>
      <w:r w:rsidRPr="003B4362">
        <w:rPr>
          <w:b/>
          <w:bCs/>
        </w:rPr>
        <w:t>Section 611.213  No Method of HPC Analysis</w:t>
      </w:r>
    </w:p>
    <w:p w14:paraId="2E366A73" w14:textId="77777777" w:rsidR="00150379" w:rsidRDefault="00150379" w:rsidP="00150379">
      <w:pPr>
        <w:suppressAutoHyphens/>
      </w:pPr>
    </w:p>
    <w:p w14:paraId="662FFADA" w14:textId="69E26B2C" w:rsidR="004E2D35" w:rsidRPr="003B4362" w:rsidRDefault="004E2D35" w:rsidP="00150379">
      <w:pPr>
        <w:suppressAutoHyphens/>
      </w:pPr>
      <w:r w:rsidRPr="003B4362">
        <w:t>Sections 611.241(d)(2), 611.242(c)(2), 611.261(b)(8)(G), 611.262(b)(3)(G), 611.532(f)(2), and 611.533(c)(2)</w:t>
      </w:r>
      <w:r w:rsidR="00FC4573" w:rsidRPr="003B4362">
        <w:t xml:space="preserve"> rely on this Sect</w:t>
      </w:r>
      <w:r w:rsidR="005D3EA4" w:rsidRPr="003B4362">
        <w:t>i</w:t>
      </w:r>
      <w:r w:rsidR="00FC4573" w:rsidRPr="003B4362">
        <w:t>on</w:t>
      </w:r>
      <w:r w:rsidRPr="003B4362">
        <w:t xml:space="preserve">.  The Agency must determine that a system </w:t>
      </w:r>
      <w:r w:rsidR="00A854C7" w:rsidRPr="003B4362">
        <w:t>has</w:t>
      </w:r>
      <w:r w:rsidRPr="003B4362">
        <w:t xml:space="preserve"> no means for having a sample analyzed for HPC based on </w:t>
      </w:r>
      <w:r w:rsidR="004D1D59" w:rsidRPr="003B4362">
        <w:t xml:space="preserve">specific </w:t>
      </w:r>
      <w:r w:rsidRPr="003B4362">
        <w:t>site-specific conditions:</w:t>
      </w:r>
    </w:p>
    <w:p w14:paraId="76A44025" w14:textId="77777777" w:rsidR="00150379" w:rsidRDefault="00150379" w:rsidP="00150379">
      <w:pPr>
        <w:suppressAutoHyphens/>
        <w:ind w:left="1440" w:hanging="720"/>
      </w:pPr>
    </w:p>
    <w:p w14:paraId="59B75D41" w14:textId="789E9417" w:rsidR="004E2D35" w:rsidRPr="003B4362" w:rsidRDefault="004E2D35" w:rsidP="00150379">
      <w:pPr>
        <w:suppressAutoHyphens/>
        <w:ind w:left="1440" w:hanging="720"/>
      </w:pPr>
      <w:r w:rsidRPr="003B4362">
        <w:t>a)</w:t>
      </w:r>
      <w:r w:rsidRPr="003B4362">
        <w:tab/>
        <w:t>There is no certified laboratory that can analyze the sample within the time and temperatures the Board Note appended to Section 611.531(a)(2)(A)</w:t>
      </w:r>
      <w:r w:rsidR="004D1D59" w:rsidRPr="003B4362">
        <w:t xml:space="preserve"> specifies</w:t>
      </w:r>
      <w:r w:rsidRPr="003B4362">
        <w:t>;</w:t>
      </w:r>
    </w:p>
    <w:p w14:paraId="5BF3C81A" w14:textId="77777777" w:rsidR="00150379" w:rsidRDefault="00150379" w:rsidP="00150379">
      <w:pPr>
        <w:suppressAutoHyphens/>
        <w:ind w:left="1440" w:hanging="720"/>
      </w:pPr>
    </w:p>
    <w:p w14:paraId="6A815B34" w14:textId="163DCD25" w:rsidR="004E2D35" w:rsidRPr="003B4362" w:rsidRDefault="004E2D35" w:rsidP="00150379">
      <w:pPr>
        <w:suppressAutoHyphens/>
        <w:ind w:left="1440" w:hanging="720"/>
      </w:pPr>
      <w:r w:rsidRPr="003B4362">
        <w:t>b)</w:t>
      </w:r>
      <w:r w:rsidRPr="003B4362">
        <w:tab/>
        <w:t xml:space="preserve">The supplier </w:t>
      </w:r>
      <w:r w:rsidR="004D1D59" w:rsidRPr="003B4362">
        <w:t xml:space="preserve">provides </w:t>
      </w:r>
      <w:r w:rsidRPr="003B4362">
        <w:t>adequate disinfection in the distribution system, considering</w:t>
      </w:r>
      <w:r w:rsidR="004D1D59" w:rsidRPr="003B4362">
        <w:t xml:space="preserve"> certain factors</w:t>
      </w:r>
      <w:r w:rsidRPr="003B4362">
        <w:t>:</w:t>
      </w:r>
    </w:p>
    <w:p w14:paraId="51B6CBC5" w14:textId="77777777" w:rsidR="00150379" w:rsidRDefault="00150379" w:rsidP="00150379">
      <w:pPr>
        <w:suppressAutoHyphens/>
        <w:ind w:left="2160" w:hanging="720"/>
      </w:pPr>
    </w:p>
    <w:p w14:paraId="7F94DCDD" w14:textId="3250681C" w:rsidR="004E2D35" w:rsidRPr="003B4362" w:rsidRDefault="004E2D35" w:rsidP="00150379">
      <w:pPr>
        <w:suppressAutoHyphens/>
        <w:ind w:left="2160" w:hanging="720"/>
      </w:pPr>
      <w:r w:rsidRPr="003B4362">
        <w:t>1)</w:t>
      </w:r>
      <w:r w:rsidRPr="003B4362">
        <w:tab/>
        <w:t xml:space="preserve">Other measurements </w:t>
      </w:r>
      <w:r w:rsidR="004D1D59" w:rsidRPr="003B4362">
        <w:t xml:space="preserve">showing </w:t>
      </w:r>
      <w:r w:rsidRPr="003B4362">
        <w:t>the presence of RDC in the distribution system;</w:t>
      </w:r>
    </w:p>
    <w:p w14:paraId="53E2BA41" w14:textId="77777777" w:rsidR="00150379" w:rsidRDefault="00150379" w:rsidP="00150379">
      <w:pPr>
        <w:suppressAutoHyphens/>
        <w:ind w:left="2160" w:hanging="720"/>
      </w:pPr>
    </w:p>
    <w:p w14:paraId="0CE9F79C" w14:textId="6CB416FC" w:rsidR="004E2D35" w:rsidRPr="003B4362" w:rsidRDefault="004E2D35" w:rsidP="00150379">
      <w:pPr>
        <w:suppressAutoHyphens/>
        <w:ind w:left="2160" w:hanging="720"/>
      </w:pPr>
      <w:r w:rsidRPr="003B4362">
        <w:t>2)</w:t>
      </w:r>
      <w:r w:rsidRPr="003B4362">
        <w:tab/>
        <w:t xml:space="preserve">The </w:t>
      </w:r>
      <w:r w:rsidR="004D1D59" w:rsidRPr="003B4362">
        <w:t xml:space="preserve">distribution system </w:t>
      </w:r>
      <w:r w:rsidRPr="003B4362">
        <w:t>size;</w:t>
      </w:r>
      <w:r w:rsidR="004D1D59" w:rsidRPr="003B4362">
        <w:t xml:space="preserve"> and</w:t>
      </w:r>
    </w:p>
    <w:p w14:paraId="56AAEF6D" w14:textId="77777777" w:rsidR="00150379" w:rsidRDefault="00150379" w:rsidP="00150379">
      <w:pPr>
        <w:suppressAutoHyphens/>
        <w:ind w:left="2160" w:hanging="720"/>
      </w:pPr>
    </w:p>
    <w:p w14:paraId="06CCCFC0" w14:textId="3C10416E" w:rsidR="004E2D35" w:rsidRPr="003B4362" w:rsidRDefault="004E2D35" w:rsidP="00150379">
      <w:pPr>
        <w:suppressAutoHyphens/>
        <w:ind w:left="2160" w:hanging="720"/>
      </w:pPr>
      <w:r w:rsidRPr="003B4362">
        <w:t>3)</w:t>
      </w:r>
      <w:r w:rsidRPr="003B4362">
        <w:tab/>
        <w:t>The adequacy of the supplier’s cross connection control program; and</w:t>
      </w:r>
    </w:p>
    <w:p w14:paraId="5CE0EBC0" w14:textId="77777777" w:rsidR="00150379" w:rsidRDefault="00150379" w:rsidP="00150379">
      <w:pPr>
        <w:suppressAutoHyphens/>
        <w:ind w:left="1440" w:hanging="720"/>
      </w:pPr>
    </w:p>
    <w:p w14:paraId="7A4AB570" w14:textId="76B019F6" w:rsidR="004E2D35" w:rsidRPr="003B4362" w:rsidRDefault="004E2D35" w:rsidP="00150379">
      <w:pPr>
        <w:suppressAutoHyphens/>
        <w:ind w:left="1440" w:hanging="720"/>
      </w:pPr>
      <w:r w:rsidRPr="003B4362">
        <w:t>c)</w:t>
      </w:r>
      <w:r w:rsidRPr="003B4362">
        <w:tab/>
        <w:t xml:space="preserve">The PWS cannot maintain an RDC in </w:t>
      </w:r>
      <w:r w:rsidR="004D1D59" w:rsidRPr="003B4362">
        <w:t xml:space="preserve">its </w:t>
      </w:r>
      <w:r w:rsidRPr="003B4362">
        <w:t>distribution system.</w:t>
      </w:r>
    </w:p>
    <w:p w14:paraId="776F2774" w14:textId="77777777" w:rsidR="00150379" w:rsidRDefault="00150379" w:rsidP="00150379">
      <w:pPr>
        <w:suppressAutoHyphens/>
      </w:pPr>
    </w:p>
    <w:p w14:paraId="1F1F8ED6" w14:textId="3BC1087B" w:rsidR="004E2D35" w:rsidRPr="003B4362" w:rsidRDefault="004E2D35" w:rsidP="00150379">
      <w:pPr>
        <w:suppressAutoHyphens/>
      </w:pPr>
      <w:r w:rsidRPr="003B4362">
        <w:t xml:space="preserve">BOARD NOTE:  </w:t>
      </w:r>
      <w:r w:rsidR="0021011C" w:rsidRPr="003B4362">
        <w:rPr>
          <w:spacing w:val="-3"/>
        </w:rPr>
        <w:t xml:space="preserve">This Section derives </w:t>
      </w:r>
      <w:r w:rsidRPr="003B4362">
        <w:t>from 40 CFR 141.72(a)(4)(ii).</w:t>
      </w:r>
    </w:p>
    <w:p w14:paraId="65A68763" w14:textId="77777777" w:rsidR="00150379" w:rsidRDefault="00150379" w:rsidP="00150379">
      <w:pPr>
        <w:suppressAutoHyphens/>
        <w:ind w:left="720"/>
      </w:pPr>
    </w:p>
    <w:p w14:paraId="18B7790B" w14:textId="0DCC1513" w:rsidR="004E2D35" w:rsidRPr="003B4362" w:rsidRDefault="004E2D35" w:rsidP="00150379">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5D5D634D" w14:textId="77777777" w:rsidR="005C2DE7" w:rsidRPr="003B4362" w:rsidRDefault="005C2DE7" w:rsidP="005C2DE7">
      <w:pPr>
        <w:rPr>
          <w:b/>
          <w:bCs/>
        </w:rPr>
      </w:pPr>
    </w:p>
    <w:p w14:paraId="6AD568BA" w14:textId="40000F72" w:rsidR="009B1902" w:rsidRPr="003B4362" w:rsidRDefault="009B1902" w:rsidP="00150379">
      <w:pPr>
        <w:rPr>
          <w:b/>
          <w:bCs/>
        </w:rPr>
      </w:pPr>
      <w:r w:rsidRPr="003B4362">
        <w:rPr>
          <w:b/>
          <w:bCs/>
        </w:rPr>
        <w:t>Section 611.220  General Requirements</w:t>
      </w:r>
    </w:p>
    <w:p w14:paraId="2F18615B" w14:textId="77777777" w:rsidR="00150379" w:rsidRDefault="00150379" w:rsidP="00150379">
      <w:pPr>
        <w:suppressAutoHyphens/>
        <w:ind w:left="1440" w:hanging="720"/>
      </w:pPr>
    </w:p>
    <w:p w14:paraId="181F9CE9" w14:textId="1C4C1D9A" w:rsidR="009B1902" w:rsidRPr="003B4362" w:rsidRDefault="009B1902" w:rsidP="00150379">
      <w:pPr>
        <w:suppressAutoHyphens/>
        <w:ind w:left="1440" w:hanging="720"/>
      </w:pPr>
      <w:r w:rsidRPr="003B4362">
        <w:t>a)</w:t>
      </w:r>
      <w:r w:rsidRPr="003B4362">
        <w:tab/>
        <w:t>This Subpart B constitutes NPDWRs.  This Subpart B establishes criteria for filtration as a treatment technique for PWSs using a surface water source or groundwater source under the direct influence of surface water.  This Subpart B also establishes treatment techniques in lieu of MCLs for specific contaminants:  Giardia lamblia, viruses, HPC bacteria, Legionella, and turbidity.  A supplier using a surface water source or a groundwater source under the direct influence of surface water must treat that source water and comply with these treatment techniques.  The treatment techniques comprise installing and properly operating water treatment processes that reliably achieve specific objectives:</w:t>
      </w:r>
    </w:p>
    <w:p w14:paraId="3A08E8F6" w14:textId="77777777" w:rsidR="00150379" w:rsidRDefault="00150379" w:rsidP="00150379">
      <w:pPr>
        <w:suppressAutoHyphens/>
        <w:ind w:left="2160" w:hanging="720"/>
      </w:pPr>
    </w:p>
    <w:p w14:paraId="0FD35B82" w14:textId="555BB3AD" w:rsidR="009B1902" w:rsidRPr="003B4362" w:rsidRDefault="009B1902" w:rsidP="00150379">
      <w:pPr>
        <w:suppressAutoHyphens/>
        <w:ind w:left="2160" w:hanging="720"/>
      </w:pPr>
      <w:r w:rsidRPr="003B4362">
        <w:t>1)</w:t>
      </w:r>
      <w:r w:rsidRPr="003B4362">
        <w:tab/>
        <w:t>At least 99.9 percent (3-log) removal or inactivation of Giardia lamblia cysts between a point where the raw water is not subject to recontamination by surface water runoff and a downstream point before or at the first customer; and</w:t>
      </w:r>
    </w:p>
    <w:p w14:paraId="19078C44" w14:textId="77777777" w:rsidR="00150379" w:rsidRDefault="00150379" w:rsidP="00150379">
      <w:pPr>
        <w:suppressAutoHyphens/>
        <w:ind w:left="2160" w:hanging="720"/>
      </w:pPr>
    </w:p>
    <w:p w14:paraId="3A6A3AEE" w14:textId="02DDFB8A" w:rsidR="009B1902" w:rsidRPr="003B4362" w:rsidRDefault="009B1902" w:rsidP="00150379">
      <w:pPr>
        <w:suppressAutoHyphens/>
        <w:ind w:left="2160" w:hanging="720"/>
      </w:pPr>
      <w:r w:rsidRPr="003B4362">
        <w:t>2)</w:t>
      </w:r>
      <w:r w:rsidRPr="003B4362">
        <w:tab/>
        <w:t>At least 99.99 percent (4-log) removal or inactivation of viruses between a point where the raw water is not subject to recontamination by surface water runoff and a downstream point before or at the first customer.</w:t>
      </w:r>
    </w:p>
    <w:p w14:paraId="06F85CB5" w14:textId="77777777" w:rsidR="00150379" w:rsidRDefault="00150379" w:rsidP="00150379">
      <w:pPr>
        <w:suppressAutoHyphens/>
        <w:ind w:left="1440" w:hanging="720"/>
      </w:pPr>
    </w:p>
    <w:p w14:paraId="186398DA" w14:textId="519CC9D9" w:rsidR="009B1902" w:rsidRPr="003B4362" w:rsidRDefault="009B1902" w:rsidP="00150379">
      <w:pPr>
        <w:suppressAutoHyphens/>
        <w:ind w:left="1440" w:hanging="720"/>
      </w:pPr>
      <w:r w:rsidRPr="003B4362">
        <w:lastRenderedPageBreak/>
        <w:t>b)</w:t>
      </w:r>
      <w:r w:rsidRPr="003B4362">
        <w:tab/>
        <w:t>A supplier using a surface water source or a groundwater source under the direct influence of surface water complying with Section 611.250 (filtration) and Section 611.241 (disinfection) complies with subsection (a).</w:t>
      </w:r>
    </w:p>
    <w:p w14:paraId="5A305316" w14:textId="77777777" w:rsidR="00150379" w:rsidRDefault="00150379" w:rsidP="00150379">
      <w:pPr>
        <w:suppressAutoHyphens/>
        <w:ind w:left="1440" w:hanging="720"/>
      </w:pPr>
    </w:p>
    <w:p w14:paraId="0B24FA00" w14:textId="01093B30" w:rsidR="009B1902" w:rsidRPr="003B4362" w:rsidRDefault="009B1902" w:rsidP="00150379">
      <w:pPr>
        <w:suppressAutoHyphens/>
        <w:ind w:left="1440" w:hanging="720"/>
      </w:pPr>
      <w:r w:rsidRPr="003B4362">
        <w:t>c)</w:t>
      </w:r>
      <w:r w:rsidRPr="003B4362">
        <w:tab/>
        <w:t>A supplier using a surface water source or groundwater source under the direct influence of surface water must have a certified operator under 35 Ill. Adm. Code 603.103 and the Public Water Supply Operations Act [415 ILCS 45].</w:t>
      </w:r>
    </w:p>
    <w:p w14:paraId="4449B044" w14:textId="77777777" w:rsidR="00150379" w:rsidRDefault="00150379" w:rsidP="00150379">
      <w:pPr>
        <w:suppressAutoHyphens/>
        <w:ind w:left="1440" w:hanging="720"/>
      </w:pPr>
    </w:p>
    <w:p w14:paraId="2497991C" w14:textId="0AF06B1B" w:rsidR="009B1902" w:rsidRPr="003B4362" w:rsidRDefault="009B1902" w:rsidP="00150379">
      <w:pPr>
        <w:suppressAutoHyphens/>
        <w:ind w:left="1440" w:hanging="720"/>
      </w:pPr>
      <w:r w:rsidRPr="003B4362">
        <w:t>d)</w:t>
      </w:r>
      <w:r w:rsidRPr="003B4362">
        <w:tab/>
        <w:t>Additional Requirements for PWSs Serving 10,000 or More Persons.  In addition to this Subpart B, a PWS serving 10,000 or more persons must also comply with Subpart R.</w:t>
      </w:r>
    </w:p>
    <w:p w14:paraId="2A353971" w14:textId="77777777" w:rsidR="005F3E16" w:rsidRPr="003B4362" w:rsidRDefault="005F3E16" w:rsidP="00150379">
      <w:pPr>
        <w:ind w:left="1440" w:hanging="720"/>
      </w:pPr>
    </w:p>
    <w:p w14:paraId="66D9891B" w14:textId="6A32640D" w:rsidR="009B1902" w:rsidRPr="003B4362" w:rsidRDefault="009B1902" w:rsidP="00150379">
      <w:pPr>
        <w:ind w:left="1440" w:hanging="720"/>
      </w:pPr>
      <w:r w:rsidRPr="003B4362">
        <w:t>e)</w:t>
      </w:r>
      <w:r w:rsidRPr="003B4362">
        <w:tab/>
        <w:t>Additional Requirements for Systems Serving Fewer Than 10,000 People.  In addition to this Subpart B, a supplier serving fewer than 10,000 people must also comply with Subpart X.</w:t>
      </w:r>
    </w:p>
    <w:p w14:paraId="68402F76" w14:textId="77777777" w:rsidR="005F3E16" w:rsidRPr="003B4362" w:rsidRDefault="005F3E16" w:rsidP="00150379">
      <w:pPr>
        <w:ind w:left="1440" w:hanging="720"/>
      </w:pPr>
    </w:p>
    <w:p w14:paraId="426DCB04" w14:textId="4B9B98BB" w:rsidR="009B1902" w:rsidRPr="003B4362" w:rsidRDefault="009B1902" w:rsidP="00150379">
      <w:pPr>
        <w:suppressAutoHyphens/>
      </w:pPr>
      <w:r w:rsidRPr="003B4362">
        <w:t xml:space="preserve">BOARD NOTE:  </w:t>
      </w:r>
      <w:r w:rsidRPr="003B4362">
        <w:rPr>
          <w:spacing w:val="-3"/>
        </w:rPr>
        <w:t xml:space="preserve">This Section derives </w:t>
      </w:r>
      <w:r w:rsidRPr="003B4362">
        <w:t xml:space="preserve">from 40 CFR 141.70.  The Public Water Supply Operations </w:t>
      </w:r>
      <w:r w:rsidRPr="003B4362">
        <w:rPr>
          <w:spacing w:val="-2"/>
        </w:rPr>
        <w:t>Act</w:t>
      </w:r>
      <w:r w:rsidRPr="003B4362">
        <w:t xml:space="preserve"> applies only to CWSs, which the Agency regulates.  It does not apply to non-CWSs, which Public Health regulates.  Public Health has its own requirements for personnel operating water supplies, e.g., 77 Ill. Adm. Code 900.40(e).  The Board removed provisions for unfiltered system suppliers.  A supplier in Illinois using a surface water source or groundwater under the direct influence of surface water must apply filtration treatment and disinfection to water it provides to the public.</w:t>
      </w:r>
    </w:p>
    <w:p w14:paraId="1007C3A8" w14:textId="77777777" w:rsidR="004C15CC" w:rsidRPr="003B4362" w:rsidRDefault="004C15CC" w:rsidP="00150379">
      <w:pPr>
        <w:suppressAutoHyphens/>
      </w:pPr>
    </w:p>
    <w:p w14:paraId="09123C1D" w14:textId="6CC4D733" w:rsidR="009B1902" w:rsidRPr="003B4362" w:rsidRDefault="00EB353D"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0998BB8F" w14:textId="77777777" w:rsidR="007C143C" w:rsidRPr="003B4362" w:rsidRDefault="007C143C" w:rsidP="004C15CC">
      <w:pPr>
        <w:suppressAutoHyphens/>
        <w:ind w:left="720"/>
      </w:pPr>
    </w:p>
    <w:p w14:paraId="1B98C7FB" w14:textId="77777777" w:rsidR="009B1902" w:rsidRPr="003B4362" w:rsidRDefault="009B1902" w:rsidP="00150379">
      <w:pPr>
        <w:rPr>
          <w:b/>
          <w:bCs/>
        </w:rPr>
      </w:pPr>
      <w:r w:rsidRPr="003B4362">
        <w:rPr>
          <w:b/>
          <w:bCs/>
        </w:rPr>
        <w:t>Section 611.230  Filtration Effective Dates (Repealed)</w:t>
      </w:r>
    </w:p>
    <w:p w14:paraId="72CDF10B" w14:textId="77777777" w:rsidR="00150379" w:rsidRDefault="00150379" w:rsidP="00150379">
      <w:pPr>
        <w:suppressAutoHyphens/>
        <w:ind w:left="720"/>
      </w:pPr>
    </w:p>
    <w:p w14:paraId="4778EF7C" w14:textId="1F577396" w:rsidR="009B1902" w:rsidRPr="003B4362" w:rsidRDefault="009B1902" w:rsidP="00150379">
      <w:pPr>
        <w:suppressAutoHyphens/>
        <w:ind w:left="720"/>
      </w:pPr>
      <w:r w:rsidRPr="003B4362">
        <w:t xml:space="preserve">(Source:  </w:t>
      </w:r>
      <w:r w:rsidR="005C2DE7" w:rsidRPr="003B4362">
        <w:t>Repealed</w:t>
      </w:r>
      <w:r w:rsidRPr="003B4362">
        <w:rPr>
          <w:szCs w:val="17"/>
        </w:rPr>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669E6166" w14:textId="77777777" w:rsidR="005C2DE7" w:rsidRPr="003B4362" w:rsidRDefault="005C2DE7" w:rsidP="005C2DE7">
      <w:pPr>
        <w:rPr>
          <w:b/>
          <w:bCs/>
        </w:rPr>
      </w:pPr>
    </w:p>
    <w:p w14:paraId="0588451D" w14:textId="2F113B49" w:rsidR="009B1902" w:rsidRPr="003B4362" w:rsidRDefault="009B1902" w:rsidP="00150379">
      <w:pPr>
        <w:rPr>
          <w:b/>
          <w:bCs/>
        </w:rPr>
      </w:pPr>
      <w:r w:rsidRPr="003B4362">
        <w:rPr>
          <w:b/>
          <w:bCs/>
        </w:rPr>
        <w:t>Section 611.231  Source Water</w:t>
      </w:r>
      <w:r w:rsidRPr="003B4362">
        <w:rPr>
          <w:b/>
          <w:bCs/>
          <w:spacing w:val="-3"/>
        </w:rPr>
        <w:t xml:space="preserve"> Limitation</w:t>
      </w:r>
    </w:p>
    <w:p w14:paraId="11BE66AB" w14:textId="77777777" w:rsidR="00150379" w:rsidRDefault="00150379" w:rsidP="00150379">
      <w:pPr>
        <w:suppressAutoHyphens/>
      </w:pPr>
    </w:p>
    <w:p w14:paraId="57D00D93" w14:textId="5E7A37E0" w:rsidR="009B1902" w:rsidRPr="003B4362" w:rsidRDefault="009B1902" w:rsidP="00150379">
      <w:pPr>
        <w:suppressAutoHyphens/>
      </w:pPr>
      <w:r w:rsidRPr="003B4362">
        <w:t>No CWS may use recycled sewage treatment plant effluent on a routine basis.</w:t>
      </w:r>
    </w:p>
    <w:p w14:paraId="4178E467" w14:textId="77777777" w:rsidR="00150379" w:rsidRDefault="00150379" w:rsidP="00150379">
      <w:pPr>
        <w:suppressAutoHyphens/>
      </w:pPr>
    </w:p>
    <w:p w14:paraId="5CD9557E" w14:textId="50755CE0" w:rsidR="009B1902" w:rsidRPr="003B4362" w:rsidRDefault="009B1902" w:rsidP="00150379">
      <w:pPr>
        <w:suppressAutoHyphens/>
      </w:pPr>
      <w:r w:rsidRPr="003B4362">
        <w:t>BOARD NOTE:  This is an additional State requirement.</w:t>
      </w:r>
    </w:p>
    <w:p w14:paraId="6A0AEED0" w14:textId="77777777" w:rsidR="00150379" w:rsidRDefault="00150379" w:rsidP="00150379">
      <w:pPr>
        <w:suppressAutoHyphens/>
        <w:ind w:left="720"/>
      </w:pPr>
    </w:p>
    <w:p w14:paraId="18B1A0F6" w14:textId="2AB8A2ED" w:rsidR="009B1902" w:rsidRPr="003B4362" w:rsidRDefault="009B1902" w:rsidP="00150379">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6A321F7B" w14:textId="77777777" w:rsidR="00DE0E35" w:rsidRPr="003B4362" w:rsidRDefault="00DE0E35" w:rsidP="00150379">
      <w:pPr>
        <w:rPr>
          <w:b/>
          <w:bCs/>
        </w:rPr>
      </w:pPr>
    </w:p>
    <w:p w14:paraId="7178BD34" w14:textId="69D9F8FE" w:rsidR="009B1902" w:rsidRPr="003B4362" w:rsidRDefault="009B1902" w:rsidP="00150379">
      <w:pPr>
        <w:rPr>
          <w:b/>
          <w:bCs/>
        </w:rPr>
      </w:pPr>
      <w:r w:rsidRPr="003B4362">
        <w:rPr>
          <w:b/>
          <w:bCs/>
        </w:rPr>
        <w:t>Section 611.232  Site-Specific Conditions (Repealed)</w:t>
      </w:r>
    </w:p>
    <w:p w14:paraId="4537E3DE" w14:textId="77777777" w:rsidR="00150379" w:rsidRDefault="00150379" w:rsidP="00150379">
      <w:pPr>
        <w:suppressAutoHyphens/>
        <w:ind w:left="720"/>
      </w:pPr>
    </w:p>
    <w:p w14:paraId="77C59568" w14:textId="62558188" w:rsidR="009B1902" w:rsidRPr="003B4362" w:rsidRDefault="00EB353D" w:rsidP="00150379">
      <w:pPr>
        <w:suppressAutoHyphens/>
        <w:ind w:left="720"/>
      </w:pPr>
      <w:r w:rsidRPr="003B4362">
        <w:t xml:space="preserve">(Source:  </w:t>
      </w:r>
      <w:r w:rsidR="00E23222" w:rsidRPr="003B4362">
        <w:t>Repealed</w:t>
      </w:r>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2CDF34E8" w14:textId="77777777" w:rsidR="00DE0E35" w:rsidRPr="003B4362" w:rsidRDefault="00DE0E35" w:rsidP="00150379">
      <w:pPr>
        <w:rPr>
          <w:b/>
          <w:bCs/>
        </w:rPr>
      </w:pPr>
    </w:p>
    <w:p w14:paraId="7201A380" w14:textId="7E44B4F6" w:rsidR="009B1902" w:rsidRPr="003B4362" w:rsidRDefault="009B1902" w:rsidP="00150379">
      <w:pPr>
        <w:rPr>
          <w:b/>
          <w:bCs/>
        </w:rPr>
      </w:pPr>
      <w:r w:rsidRPr="003B4362">
        <w:rPr>
          <w:b/>
          <w:bCs/>
        </w:rPr>
        <w:t>Section 611.233  Treatment Technique Violations</w:t>
      </w:r>
    </w:p>
    <w:p w14:paraId="47A9A611" w14:textId="77777777" w:rsidR="00150379" w:rsidRDefault="00150379" w:rsidP="00150379">
      <w:pPr>
        <w:suppressAutoHyphens/>
      </w:pPr>
    </w:p>
    <w:p w14:paraId="43EA54EB" w14:textId="747856DF" w:rsidR="009B1902" w:rsidRPr="003B4362" w:rsidRDefault="009B1902" w:rsidP="00150379">
      <w:pPr>
        <w:suppressAutoHyphens/>
      </w:pPr>
      <w:r w:rsidRPr="003B4362">
        <w:lastRenderedPageBreak/>
        <w:t>A supplier violates a treatment technique requirement if not applying required filtration when the Agency requires in a SEP.</w:t>
      </w:r>
    </w:p>
    <w:p w14:paraId="17768486" w14:textId="77777777" w:rsidR="00150379" w:rsidRDefault="00150379" w:rsidP="00150379">
      <w:pPr>
        <w:suppressAutoHyphens/>
        <w:ind w:left="720"/>
      </w:pPr>
    </w:p>
    <w:p w14:paraId="1C1EC8C4" w14:textId="799A76EF" w:rsidR="009B1902" w:rsidRPr="003B4362" w:rsidRDefault="009B1902" w:rsidP="00150379">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3BCE0CA5" w14:textId="77777777" w:rsidR="00DE0E35" w:rsidRPr="003B4362" w:rsidRDefault="00DE0E35" w:rsidP="00DE0E35">
      <w:pPr>
        <w:rPr>
          <w:b/>
          <w:bCs/>
        </w:rPr>
      </w:pPr>
    </w:p>
    <w:p w14:paraId="6408D474" w14:textId="12CF7527" w:rsidR="009B1902" w:rsidRPr="003B4362" w:rsidRDefault="009B1902" w:rsidP="00150379">
      <w:pPr>
        <w:rPr>
          <w:b/>
          <w:bCs/>
        </w:rPr>
      </w:pPr>
      <w:r w:rsidRPr="003B4362">
        <w:rPr>
          <w:b/>
          <w:bCs/>
        </w:rPr>
        <w:t>Section 611.240  Disinfection</w:t>
      </w:r>
    </w:p>
    <w:p w14:paraId="00BC775D" w14:textId="77777777" w:rsidR="00150379" w:rsidRDefault="00150379" w:rsidP="00150379">
      <w:pPr>
        <w:suppressAutoHyphens/>
        <w:ind w:left="1440" w:hanging="720"/>
      </w:pPr>
    </w:p>
    <w:p w14:paraId="41CB4A65" w14:textId="289BEC14" w:rsidR="009B1902" w:rsidRPr="003B4362" w:rsidRDefault="009B1902" w:rsidP="00150379">
      <w:pPr>
        <w:suppressAutoHyphens/>
        <w:ind w:left="1440" w:hanging="720"/>
      </w:pPr>
      <w:r w:rsidRPr="003B4362">
        <w:t>a)</w:t>
      </w:r>
      <w:r w:rsidRPr="003B4362">
        <w:tab/>
        <w:t>This subsection (a) corresponds with the first sentence of 40 CFR 141.72, pertaining to unfiltered system suppliers using a surface water source not providing filtration treatment.  These no longer exist in Illinois.  This statement maintains structural consistency with USEPA regulations.</w:t>
      </w:r>
    </w:p>
    <w:p w14:paraId="66ED577B" w14:textId="77777777" w:rsidR="00150379" w:rsidRDefault="00150379" w:rsidP="00150379">
      <w:pPr>
        <w:suppressAutoHyphens/>
        <w:ind w:left="1440" w:hanging="720"/>
      </w:pPr>
    </w:p>
    <w:p w14:paraId="2EF1DFE1" w14:textId="593BD1D2" w:rsidR="009B1902" w:rsidRPr="003B4362" w:rsidRDefault="009B1902" w:rsidP="00150379">
      <w:pPr>
        <w:suppressAutoHyphens/>
        <w:ind w:left="1440" w:hanging="720"/>
      </w:pPr>
      <w:r w:rsidRPr="003B4362">
        <w:t>b)</w:t>
      </w:r>
      <w:r w:rsidRPr="003B4362">
        <w:tab/>
        <w:t>This subsection (a) corresponds with the second sentence of 40 CFR 141.72, pertaining to unfiltered system suppliers using groundwater source under the direct influence of surface water not providing filtration treatment.  These no longer exist in Illinois.  This statement maintains structural consistency with USEPA regulations.</w:t>
      </w:r>
    </w:p>
    <w:p w14:paraId="0D71B577" w14:textId="77777777" w:rsidR="00150379" w:rsidRDefault="00150379" w:rsidP="00150379">
      <w:pPr>
        <w:suppressAutoHyphens/>
        <w:ind w:left="1440" w:hanging="720"/>
      </w:pPr>
    </w:p>
    <w:p w14:paraId="102696C1" w14:textId="3A41E818" w:rsidR="009B1902" w:rsidRPr="003B4362" w:rsidRDefault="009B1902" w:rsidP="00150379">
      <w:pPr>
        <w:suppressAutoHyphens/>
        <w:ind w:left="1440" w:hanging="720"/>
      </w:pPr>
      <w:r w:rsidRPr="003B4362">
        <w:t>c)</w:t>
      </w:r>
      <w:r w:rsidRPr="003B4362">
        <w:tab/>
        <w:t>Upon determining that a supplier must apply filtration, the Agency may issue a SEP requiring the supplier to comply with interim disinfection requirements before installing filtration.</w:t>
      </w:r>
    </w:p>
    <w:p w14:paraId="0BD87997" w14:textId="77777777" w:rsidR="00150379" w:rsidRDefault="00150379" w:rsidP="00150379">
      <w:pPr>
        <w:suppressAutoHyphens/>
        <w:ind w:left="1440" w:hanging="720"/>
      </w:pPr>
    </w:p>
    <w:p w14:paraId="33721FB0" w14:textId="5E4B5A6A" w:rsidR="009B1902" w:rsidRPr="003B4362" w:rsidRDefault="009B1902" w:rsidP="00150379">
      <w:pPr>
        <w:suppressAutoHyphens/>
        <w:ind w:left="1440" w:hanging="720"/>
      </w:pPr>
      <w:r w:rsidRPr="003B4362">
        <w:t>d)</w:t>
      </w:r>
      <w:r w:rsidRPr="003B4362">
        <w:tab/>
        <w:t>A supplier using a surface water source and providing filtration treatment must provide the disinfection treatment Section 611.242 specifies.</w:t>
      </w:r>
    </w:p>
    <w:p w14:paraId="1AE3F15B" w14:textId="77777777" w:rsidR="00150379" w:rsidRDefault="00150379" w:rsidP="00150379">
      <w:pPr>
        <w:suppressAutoHyphens/>
        <w:ind w:left="1440" w:hanging="720"/>
      </w:pPr>
    </w:p>
    <w:p w14:paraId="3C3677E8" w14:textId="0ABD4A9C" w:rsidR="009B1902" w:rsidRPr="003B4362" w:rsidRDefault="009B1902" w:rsidP="00150379">
      <w:pPr>
        <w:suppressAutoHyphens/>
        <w:ind w:left="1440" w:hanging="720"/>
      </w:pPr>
      <w:r w:rsidRPr="003B4362">
        <w:t>e)</w:t>
      </w:r>
      <w:r w:rsidRPr="003B4362">
        <w:tab/>
        <w:t>A supplier using a groundwater source under the direct influence of surface water and providing filtration treatment must provide the disinfection treatment Section 611.242 specifies</w:t>
      </w:r>
      <w:r w:rsidR="005F3E16" w:rsidRPr="003B4362">
        <w:t xml:space="preserve"> </w:t>
      </w:r>
      <w:r w:rsidRPr="003B4362">
        <w:t>beginning when the supplier installs filtration.</w:t>
      </w:r>
    </w:p>
    <w:p w14:paraId="124A65B6" w14:textId="77777777" w:rsidR="00150379" w:rsidRDefault="00150379" w:rsidP="00150379">
      <w:pPr>
        <w:suppressAutoHyphens/>
        <w:ind w:left="1440" w:hanging="720"/>
      </w:pPr>
    </w:p>
    <w:p w14:paraId="10A2D860" w14:textId="35AEE9C1" w:rsidR="009B1902" w:rsidRPr="003B4362" w:rsidRDefault="009B1902" w:rsidP="00150379">
      <w:pPr>
        <w:suppressAutoHyphens/>
        <w:ind w:left="1440" w:hanging="720"/>
      </w:pPr>
      <w:r w:rsidRPr="003B4362">
        <w:t>f)</w:t>
      </w:r>
      <w:r w:rsidRPr="003B4362">
        <w:tab/>
        <w:t xml:space="preserve">Failing to comply with </w:t>
      </w:r>
      <w:r w:rsidR="00FC0D9D" w:rsidRPr="003B4362">
        <w:t xml:space="preserve">Section 611.242 before the Agency requires in a SEP </w:t>
      </w:r>
      <w:r w:rsidRPr="003B4362">
        <w:t>is a treatment technique violation.</w:t>
      </w:r>
    </w:p>
    <w:p w14:paraId="0C03B61C" w14:textId="77777777" w:rsidR="00150379" w:rsidRDefault="00150379" w:rsidP="00150379">
      <w:pPr>
        <w:suppressAutoHyphens/>
        <w:ind w:left="1440"/>
      </w:pPr>
    </w:p>
    <w:p w14:paraId="52538D3A" w14:textId="4B2CAD5D" w:rsidR="009B1902" w:rsidRPr="003B4362" w:rsidRDefault="009B1902" w:rsidP="00150379">
      <w:pPr>
        <w:suppressAutoHyphens/>
        <w:ind w:left="1440"/>
      </w:pPr>
      <w:r w:rsidRPr="003B4362">
        <w:t xml:space="preserve">BOARD NOTE:  </w:t>
      </w:r>
      <w:r w:rsidRPr="003B4362">
        <w:rPr>
          <w:spacing w:val="-3"/>
        </w:rPr>
        <w:t xml:space="preserve">This Section </w:t>
      </w:r>
      <w:r w:rsidRPr="003B4362">
        <w:t>from 40 CFR 141.72 preamble.</w:t>
      </w:r>
    </w:p>
    <w:p w14:paraId="68A2E812" w14:textId="77777777" w:rsidR="00150379" w:rsidRDefault="00150379" w:rsidP="00150379">
      <w:pPr>
        <w:suppressAutoHyphens/>
        <w:ind w:left="720"/>
      </w:pPr>
    </w:p>
    <w:p w14:paraId="6A5DC64E" w14:textId="4817B295" w:rsidR="009B1902" w:rsidRPr="003B4362" w:rsidRDefault="009B1902" w:rsidP="00150379">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5F3A9BE3" w14:textId="77777777" w:rsidR="00DE0E35" w:rsidRPr="003B4362" w:rsidRDefault="00DE0E35" w:rsidP="00DE0E35">
      <w:pPr>
        <w:rPr>
          <w:b/>
          <w:bCs/>
        </w:rPr>
      </w:pPr>
    </w:p>
    <w:p w14:paraId="2A8D8F2E" w14:textId="2F0B4AA0" w:rsidR="009B1902" w:rsidRPr="003B4362" w:rsidRDefault="009B1902" w:rsidP="00150379">
      <w:pPr>
        <w:rPr>
          <w:b/>
          <w:bCs/>
        </w:rPr>
      </w:pPr>
      <w:r w:rsidRPr="003B4362">
        <w:rPr>
          <w:b/>
          <w:bCs/>
        </w:rPr>
        <w:t>Section 611.241  Unfiltered PWSs</w:t>
      </w:r>
      <w:r w:rsidRPr="003B4362">
        <w:rPr>
          <w:b/>
          <w:bCs/>
          <w:spacing w:val="-3"/>
        </w:rPr>
        <w:t xml:space="preserve"> (Repealed)</w:t>
      </w:r>
    </w:p>
    <w:p w14:paraId="5595AB64" w14:textId="77777777" w:rsidR="00150379" w:rsidRDefault="00150379" w:rsidP="00150379">
      <w:pPr>
        <w:suppressAutoHyphens/>
        <w:ind w:left="720"/>
      </w:pPr>
    </w:p>
    <w:p w14:paraId="06607233" w14:textId="1813669A" w:rsidR="009B1902" w:rsidRPr="003B4362" w:rsidRDefault="00EB353D" w:rsidP="00150379">
      <w:pPr>
        <w:suppressAutoHyphens/>
        <w:ind w:left="720"/>
      </w:pPr>
      <w:r w:rsidRPr="003B4362">
        <w:t xml:space="preserve">(Source:  </w:t>
      </w:r>
      <w:r w:rsidR="00DE0E35" w:rsidRPr="003B4362">
        <w:t>Repealed</w:t>
      </w:r>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76539AEC" w14:textId="77777777" w:rsidR="00F829FE" w:rsidRPr="003B4362" w:rsidRDefault="00F829FE" w:rsidP="00F829FE">
      <w:pPr>
        <w:rPr>
          <w:b/>
          <w:bCs/>
        </w:rPr>
      </w:pPr>
      <w:bookmarkStart w:id="538" w:name="_Hlk530505297"/>
    </w:p>
    <w:p w14:paraId="625D1FC8" w14:textId="3236AB3A" w:rsidR="009B1902" w:rsidRPr="003B4362" w:rsidRDefault="009B1902" w:rsidP="00150379">
      <w:pPr>
        <w:rPr>
          <w:b/>
          <w:bCs/>
        </w:rPr>
      </w:pPr>
      <w:r w:rsidRPr="003B4362">
        <w:rPr>
          <w:b/>
          <w:bCs/>
        </w:rPr>
        <w:t>Section 611.242  Filtered PWSs</w:t>
      </w:r>
    </w:p>
    <w:p w14:paraId="538C711B" w14:textId="77777777" w:rsidR="00150379" w:rsidRDefault="00150379" w:rsidP="00150379">
      <w:pPr>
        <w:suppressAutoHyphens/>
      </w:pPr>
    </w:p>
    <w:p w14:paraId="29991559" w14:textId="6A86E1AC" w:rsidR="009B1902" w:rsidRPr="003B4362" w:rsidRDefault="009B1902" w:rsidP="00150379">
      <w:pPr>
        <w:suppressAutoHyphens/>
      </w:pPr>
      <w:r w:rsidRPr="003B4362">
        <w:t>E</w:t>
      </w:r>
      <w:bookmarkStart w:id="539" w:name="_Hlk134005453"/>
      <w:r w:rsidRPr="003B4362">
        <w:t>ach supplier providing filtration treatment</w:t>
      </w:r>
      <w:bookmarkEnd w:id="539"/>
      <w:r w:rsidRPr="003B4362">
        <w:t xml:space="preserve"> must provide </w:t>
      </w:r>
      <w:bookmarkStart w:id="540" w:name="_Hlk134005585"/>
      <w:r w:rsidRPr="003B4362">
        <w:t>disinfection treatment</w:t>
      </w:r>
      <w:bookmarkEnd w:id="540"/>
      <w:r w:rsidRPr="003B4362">
        <w:t>:</w:t>
      </w:r>
    </w:p>
    <w:p w14:paraId="087A4D2E" w14:textId="77777777" w:rsidR="00150379" w:rsidRDefault="00150379" w:rsidP="00150379">
      <w:pPr>
        <w:suppressAutoHyphens/>
        <w:ind w:left="1440" w:hanging="720"/>
      </w:pPr>
    </w:p>
    <w:p w14:paraId="70D4BB11" w14:textId="4DDBE8AE" w:rsidR="009B1902" w:rsidRPr="003B4362" w:rsidRDefault="009B1902" w:rsidP="00150379">
      <w:pPr>
        <w:suppressAutoHyphens/>
        <w:ind w:left="1440" w:hanging="720"/>
      </w:pPr>
      <w:r w:rsidRPr="003B4362">
        <w:lastRenderedPageBreak/>
        <w:t>a)</w:t>
      </w:r>
      <w:r w:rsidRPr="003B4362">
        <w:tab/>
        <w:t xml:space="preserve">The disinfection treatment </w:t>
      </w:r>
      <w:bookmarkStart w:id="541" w:name="_Hlk134005618"/>
      <w:r w:rsidRPr="003B4362">
        <w:t>must sufficiently ensure</w:t>
      </w:r>
      <w:bookmarkEnd w:id="541"/>
      <w:r w:rsidRPr="003B4362">
        <w:t xml:space="preserve"> that </w:t>
      </w:r>
      <w:bookmarkStart w:id="542" w:name="_Hlk134005657"/>
      <w:r w:rsidRPr="003B4362">
        <w:t xml:space="preserve">the system’s total treatment processes </w:t>
      </w:r>
      <w:bookmarkEnd w:id="542"/>
      <w:r w:rsidRPr="003B4362">
        <w:t>achieve at least 99.9 percent (3-log) inactivation or removal of Giardia lamblia cysts and at least 99.99 percent (4-log) inactivation or removal of viruses.</w:t>
      </w:r>
    </w:p>
    <w:p w14:paraId="4136FDE0" w14:textId="77777777" w:rsidR="00150379" w:rsidRDefault="00150379" w:rsidP="00150379">
      <w:pPr>
        <w:suppressAutoHyphens/>
        <w:ind w:left="1440" w:hanging="720"/>
      </w:pPr>
    </w:p>
    <w:p w14:paraId="2C195CCF" w14:textId="56EF9BC0" w:rsidR="009B1902" w:rsidRPr="003B4362" w:rsidRDefault="009B1902" w:rsidP="00150379">
      <w:pPr>
        <w:suppressAutoHyphens/>
        <w:ind w:left="1440" w:hanging="720"/>
      </w:pPr>
      <w:r w:rsidRPr="003B4362">
        <w:t>b)</w:t>
      </w:r>
      <w:r w:rsidRPr="003B4362">
        <w:tab/>
        <w:t xml:space="preserve">The RDC in the water entering the distribution system, </w:t>
      </w:r>
      <w:bookmarkStart w:id="543" w:name="_Hlk134005731"/>
      <w:r w:rsidRPr="003B4362">
        <w:t>measured as Sections 611.531(b) and 611.533(b) specify</w:t>
      </w:r>
      <w:bookmarkEnd w:id="543"/>
      <w:r w:rsidRPr="003B4362">
        <w:t>, cannot be less than 0.2 mg/</w:t>
      </w:r>
      <w:r w:rsidR="00F560FD" w:rsidRPr="003B4362">
        <w:t xml:space="preserve"> L </w:t>
      </w:r>
      <w:r w:rsidRPr="003B4362">
        <w:t>for more than four hours.</w:t>
      </w:r>
    </w:p>
    <w:p w14:paraId="6DE0BE20" w14:textId="77777777" w:rsidR="00150379" w:rsidRDefault="00150379" w:rsidP="00150379">
      <w:pPr>
        <w:suppressAutoHyphens/>
        <w:ind w:left="1440" w:hanging="720"/>
      </w:pPr>
    </w:p>
    <w:p w14:paraId="640A3EC0" w14:textId="75B64E24" w:rsidR="009B1902" w:rsidRPr="003B4362" w:rsidRDefault="009B1902" w:rsidP="00150379">
      <w:pPr>
        <w:suppressAutoHyphens/>
        <w:ind w:left="1440" w:hanging="720"/>
      </w:pPr>
      <w:r w:rsidRPr="003B4362">
        <w:t>c)</w:t>
      </w:r>
      <w:r w:rsidRPr="003B4362">
        <w:tab/>
        <w:t>RDC in the Distribution System</w:t>
      </w:r>
    </w:p>
    <w:p w14:paraId="06BA5833" w14:textId="77777777" w:rsidR="00150379" w:rsidRDefault="00150379" w:rsidP="00150379">
      <w:pPr>
        <w:suppressAutoHyphens/>
        <w:ind w:left="2160" w:hanging="720"/>
      </w:pPr>
    </w:p>
    <w:p w14:paraId="78162583" w14:textId="61EAC5FD" w:rsidR="009B1902" w:rsidRPr="003B4362" w:rsidRDefault="009B1902" w:rsidP="00150379">
      <w:pPr>
        <w:suppressAutoHyphens/>
        <w:ind w:left="2160" w:hanging="720"/>
      </w:pPr>
      <w:r w:rsidRPr="003B4362">
        <w:t>1)</w:t>
      </w:r>
      <w:r w:rsidRPr="003B4362">
        <w:tab/>
        <w:t xml:space="preserve">The RDC in the distribution system, measured as total chlorine, combined chlorine, or chlorine dioxide, </w:t>
      </w:r>
      <w:bookmarkStart w:id="544" w:name="_Hlk134005900"/>
      <w:r w:rsidRPr="003B4362">
        <w:t>as Sections 611.531(b) and 611.533(c) specify</w:t>
      </w:r>
      <w:bookmarkEnd w:id="544"/>
      <w:r w:rsidRPr="003B4362">
        <w:t xml:space="preserve">, cannot be undetectable in more than 5 percent of </w:t>
      </w:r>
      <w:bookmarkStart w:id="545" w:name="_Hlk134005956"/>
      <w:r w:rsidRPr="003B4362">
        <w:t>the samples the supplier collects each month</w:t>
      </w:r>
      <w:bookmarkEnd w:id="545"/>
      <w:r w:rsidRPr="003B4362">
        <w:t xml:space="preserve"> for any two consecutive </w:t>
      </w:r>
      <w:bookmarkStart w:id="546" w:name="_Hlk134006079"/>
      <w:r w:rsidRPr="003B4362">
        <w:t>months during which the system serves water</w:t>
      </w:r>
      <w:bookmarkEnd w:id="546"/>
      <w:r w:rsidRPr="003B4362">
        <w:t xml:space="preserve"> to the public.  Water in the distribution system with HPC less than or equal to 500/ml, measured </w:t>
      </w:r>
      <w:bookmarkStart w:id="547" w:name="_Hlk134006123"/>
      <w:r w:rsidRPr="003B4362">
        <w:t>as Section 611.531(a) specifies</w:t>
      </w:r>
      <w:bookmarkEnd w:id="547"/>
      <w:r w:rsidRPr="003B4362">
        <w:t xml:space="preserve">, is deemed to have a detectable RDC </w:t>
      </w:r>
      <w:bookmarkStart w:id="548" w:name="_Hlk134006239"/>
      <w:r w:rsidRPr="003B4362">
        <w:t>for complying with this requirement</w:t>
      </w:r>
      <w:bookmarkEnd w:id="548"/>
      <w:r w:rsidRPr="003B4362">
        <w:t xml:space="preserve">.  Thus, the value “V” </w:t>
      </w:r>
      <w:bookmarkStart w:id="549" w:name="_Hlk134006287"/>
      <w:r w:rsidRPr="003B4362">
        <w:t>in this formula</w:t>
      </w:r>
      <w:bookmarkEnd w:id="549"/>
      <w:r w:rsidRPr="003B4362">
        <w:t xml:space="preserve"> cannot exceed 5 percent in one month, for any two consecutive months:</w:t>
      </w:r>
    </w:p>
    <w:p w14:paraId="7A99DE97" w14:textId="77777777" w:rsidR="00150379" w:rsidRDefault="00150379" w:rsidP="00150379">
      <w:pPr>
        <w:suppressAutoHyphens/>
        <w:ind w:left="2880"/>
      </w:pPr>
    </w:p>
    <w:p w14:paraId="04AA03A9" w14:textId="35D65579" w:rsidR="009B1902" w:rsidRPr="003B4362" w:rsidRDefault="009B1902" w:rsidP="00150379">
      <w:pPr>
        <w:suppressAutoHyphens/>
        <w:ind w:left="2880"/>
      </w:pPr>
      <w:r w:rsidRPr="003B4362">
        <w:rPr>
          <w:position w:val="-28"/>
        </w:rPr>
        <w:object w:dxaOrig="1820" w:dyaOrig="660" w14:anchorId="2B0AD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7pt" o:ole="">
            <v:imagedata r:id="rId20" o:title=""/>
          </v:shape>
          <o:OLEObject Type="Embed" ProgID="Equation.3" ShapeID="_x0000_i1025" DrawAspect="Content" ObjectID="_1801494020" r:id="rId21"/>
        </w:object>
      </w:r>
    </w:p>
    <w:p w14:paraId="594C0F15" w14:textId="77777777" w:rsidR="000F08BB" w:rsidRDefault="000F08BB" w:rsidP="00150379">
      <w:pPr>
        <w:suppressAutoHyphens/>
        <w:ind w:left="2160"/>
      </w:pPr>
      <w:bookmarkStart w:id="550" w:name="_Hlk134006414"/>
    </w:p>
    <w:p w14:paraId="08257F39" w14:textId="1697D17B" w:rsidR="009B1902" w:rsidRPr="003B4362" w:rsidRDefault="009B1902" w:rsidP="00150379">
      <w:pPr>
        <w:suppressAutoHyphens/>
        <w:ind w:left="2160"/>
      </w:pPr>
      <w:r w:rsidRPr="003B4362">
        <w:t>where</w:t>
      </w:r>
      <w:bookmarkEnd w:id="550"/>
      <w:r w:rsidRPr="003B4362">
        <w:t>:</w:t>
      </w:r>
    </w:p>
    <w:p w14:paraId="480E4F2D" w14:textId="77777777" w:rsidR="000F08BB" w:rsidRDefault="000F08BB" w:rsidP="00150379">
      <w:pPr>
        <w:suppressAutoHyphens/>
        <w:ind w:left="3600" w:hanging="720"/>
      </w:pPr>
    </w:p>
    <w:p w14:paraId="218E5280" w14:textId="55EB89B2" w:rsidR="009B1902" w:rsidRPr="003B4362" w:rsidRDefault="009B1902" w:rsidP="00150379">
      <w:pPr>
        <w:suppressAutoHyphens/>
        <w:ind w:left="3600" w:hanging="720"/>
      </w:pPr>
      <w:r w:rsidRPr="003B4362">
        <w:t>a =</w:t>
      </w:r>
      <w:r w:rsidRPr="003B4362">
        <w:tab/>
        <w:t xml:space="preserve">The number </w:t>
      </w:r>
      <w:bookmarkStart w:id="551" w:name="_Hlk134006584"/>
      <w:r w:rsidRPr="003B4362">
        <w:t>of times when the supplier measured the RDC</w:t>
      </w:r>
      <w:bookmarkEnd w:id="551"/>
      <w:r w:rsidRPr="003B4362">
        <w:t>;</w:t>
      </w:r>
    </w:p>
    <w:p w14:paraId="6C8556CD" w14:textId="77777777" w:rsidR="000F08BB" w:rsidRDefault="000F08BB" w:rsidP="00150379">
      <w:pPr>
        <w:suppressAutoHyphens/>
        <w:ind w:left="3600" w:hanging="720"/>
      </w:pPr>
    </w:p>
    <w:p w14:paraId="6BFFB317" w14:textId="68003F32" w:rsidR="009B1902" w:rsidRPr="003B4362" w:rsidRDefault="009B1902" w:rsidP="00150379">
      <w:pPr>
        <w:suppressAutoHyphens/>
        <w:ind w:left="3600" w:hanging="720"/>
      </w:pPr>
      <w:r w:rsidRPr="003B4362">
        <w:t>b =</w:t>
      </w:r>
      <w:r w:rsidRPr="003B4362">
        <w:tab/>
        <w:t xml:space="preserve">The number </w:t>
      </w:r>
      <w:bookmarkStart w:id="552" w:name="_Hlk134006724"/>
      <w:r w:rsidRPr="003B4362">
        <w:t>of times when the supplier did not measure the RDC but did measure HPC</w:t>
      </w:r>
      <w:bookmarkEnd w:id="552"/>
      <w:r w:rsidRPr="003B4362">
        <w:t>;</w:t>
      </w:r>
    </w:p>
    <w:p w14:paraId="41CA132C" w14:textId="77777777" w:rsidR="000F08BB" w:rsidRDefault="000F08BB" w:rsidP="00150379">
      <w:pPr>
        <w:suppressAutoHyphens/>
        <w:ind w:left="3600" w:hanging="720"/>
      </w:pPr>
    </w:p>
    <w:p w14:paraId="4B867B35" w14:textId="525FD70E" w:rsidR="009B1902" w:rsidRPr="003B4362" w:rsidRDefault="009B1902" w:rsidP="00150379">
      <w:pPr>
        <w:suppressAutoHyphens/>
        <w:ind w:left="3600" w:hanging="720"/>
      </w:pPr>
      <w:r w:rsidRPr="003B4362">
        <w:t>c =</w:t>
      </w:r>
      <w:r w:rsidRPr="003B4362">
        <w:tab/>
        <w:t xml:space="preserve">The </w:t>
      </w:r>
      <w:bookmarkStart w:id="553" w:name="_Hlk134006864"/>
      <w:r w:rsidRPr="003B4362">
        <w:t>number of times when the supplier measured but did not detect RDC but did not measure HPC</w:t>
      </w:r>
      <w:bookmarkEnd w:id="553"/>
      <w:r w:rsidRPr="003B4362">
        <w:t>;</w:t>
      </w:r>
    </w:p>
    <w:p w14:paraId="55D5694D" w14:textId="77777777" w:rsidR="000F08BB" w:rsidRDefault="000F08BB" w:rsidP="00150379">
      <w:pPr>
        <w:suppressAutoHyphens/>
        <w:ind w:left="3600" w:hanging="720"/>
      </w:pPr>
    </w:p>
    <w:p w14:paraId="5DFEFA67" w14:textId="77777777" w:rsidR="000F08BB" w:rsidRDefault="009B1902" w:rsidP="00150379">
      <w:pPr>
        <w:suppressAutoHyphens/>
        <w:ind w:left="3600" w:hanging="720"/>
      </w:pPr>
      <w:r w:rsidRPr="003B4362">
        <w:t>d =</w:t>
      </w:r>
      <w:r w:rsidRPr="003B4362">
        <w:tab/>
        <w:t xml:space="preserve">The </w:t>
      </w:r>
      <w:bookmarkStart w:id="554" w:name="_Hlk134006956"/>
      <w:r w:rsidRPr="003B4362">
        <w:t>number of times when the supplier measured but did not detect the RDC</w:t>
      </w:r>
      <w:bookmarkEnd w:id="554"/>
      <w:r w:rsidRPr="003B4362">
        <w:t xml:space="preserve">, </w:t>
      </w:r>
      <w:bookmarkStart w:id="555" w:name="_Hlk134007019"/>
      <w:r w:rsidRPr="003B4362">
        <w:t>and the HPC is greater</w:t>
      </w:r>
      <w:bookmarkEnd w:id="555"/>
      <w:r w:rsidRPr="003B4362">
        <w:t xml:space="preserve"> than 500/ml; </w:t>
      </w:r>
    </w:p>
    <w:p w14:paraId="013171DB" w14:textId="7735976C" w:rsidR="009B1902" w:rsidRPr="003B4362" w:rsidRDefault="009B1902" w:rsidP="00150379">
      <w:pPr>
        <w:suppressAutoHyphens/>
        <w:ind w:left="3600" w:hanging="720"/>
      </w:pPr>
      <w:r w:rsidRPr="003B4362">
        <w:t>and</w:t>
      </w:r>
    </w:p>
    <w:p w14:paraId="387ECA15" w14:textId="77777777" w:rsidR="000F08BB" w:rsidRDefault="000F08BB" w:rsidP="00150379">
      <w:pPr>
        <w:suppressAutoHyphens/>
        <w:ind w:left="3600" w:hanging="720"/>
      </w:pPr>
    </w:p>
    <w:p w14:paraId="60E98A9D" w14:textId="19D9181D" w:rsidR="009B1902" w:rsidRPr="003B4362" w:rsidRDefault="009B1902" w:rsidP="00150379">
      <w:pPr>
        <w:suppressAutoHyphens/>
        <w:ind w:left="3600" w:hanging="720"/>
      </w:pPr>
      <w:r w:rsidRPr="003B4362">
        <w:t>e =</w:t>
      </w:r>
      <w:r w:rsidRPr="003B4362">
        <w:tab/>
        <w:t xml:space="preserve">The </w:t>
      </w:r>
      <w:bookmarkStart w:id="556" w:name="_Hlk134007057"/>
      <w:r w:rsidRPr="003B4362">
        <w:t xml:space="preserve">number of times when the supplier did not measure the RDC, </w:t>
      </w:r>
      <w:bookmarkStart w:id="557" w:name="_Hlk134007151"/>
      <w:bookmarkEnd w:id="556"/>
      <w:r w:rsidRPr="003B4362">
        <w:t>and HPC is greater</w:t>
      </w:r>
      <w:bookmarkEnd w:id="557"/>
      <w:r w:rsidRPr="003B4362">
        <w:t xml:space="preserve"> than 500/ml.</w:t>
      </w:r>
    </w:p>
    <w:p w14:paraId="79972B5F" w14:textId="77777777" w:rsidR="000F08BB" w:rsidRDefault="000F08BB" w:rsidP="00150379">
      <w:pPr>
        <w:suppressAutoHyphens/>
        <w:ind w:left="2160" w:hanging="720"/>
      </w:pPr>
    </w:p>
    <w:p w14:paraId="7A77A1BE" w14:textId="731B4E49" w:rsidR="009B1902" w:rsidRPr="003B4362" w:rsidRDefault="009B1902" w:rsidP="00150379">
      <w:pPr>
        <w:suppressAutoHyphens/>
        <w:ind w:left="2160" w:hanging="720"/>
      </w:pPr>
      <w:r w:rsidRPr="003B4362">
        <w:t>2)</w:t>
      </w:r>
      <w:r w:rsidRPr="003B4362">
        <w:tab/>
        <w:t xml:space="preserve">Subsection (c)(1) does not apply if the Agency determines, under Section 611.213, that a supplier has no means for having a sample analyzed for HPC by a certified laboratory under the requisite time and temperature </w:t>
      </w:r>
      <w:bookmarkStart w:id="558" w:name="_Hlk134007264"/>
      <w:r w:rsidRPr="003B4362">
        <w:lastRenderedPageBreak/>
        <w:t>conditions Section 611.531(a) specifies</w:t>
      </w:r>
      <w:bookmarkEnd w:id="558"/>
      <w:r w:rsidRPr="003B4362">
        <w:t xml:space="preserve"> and that </w:t>
      </w:r>
      <w:bookmarkStart w:id="559" w:name="_Hlk134007320"/>
      <w:r w:rsidRPr="003B4362">
        <w:t>the supplier provides adequate disinfection</w:t>
      </w:r>
      <w:bookmarkEnd w:id="559"/>
      <w:r w:rsidRPr="003B4362">
        <w:t xml:space="preserve"> </w:t>
      </w:r>
      <w:bookmarkStart w:id="560" w:name="_Hlk134007357"/>
      <w:r w:rsidRPr="003B4362">
        <w:t>in its distribution system</w:t>
      </w:r>
      <w:bookmarkEnd w:id="560"/>
      <w:r w:rsidRPr="003B4362">
        <w:t>.</w:t>
      </w:r>
    </w:p>
    <w:p w14:paraId="23796EDB" w14:textId="77777777" w:rsidR="000F08BB" w:rsidRDefault="000F08BB" w:rsidP="00150379"/>
    <w:p w14:paraId="5A84F33A" w14:textId="3767C83C" w:rsidR="009B1902" w:rsidRPr="003B4362" w:rsidRDefault="009B1902" w:rsidP="00150379">
      <w:r w:rsidRPr="003B4362">
        <w:t xml:space="preserve">BOARD NOTE:  </w:t>
      </w:r>
      <w:r w:rsidRPr="003B4362">
        <w:rPr>
          <w:spacing w:val="-3"/>
        </w:rPr>
        <w:t xml:space="preserve">This Section derives </w:t>
      </w:r>
      <w:r w:rsidRPr="003B4362">
        <w:t>from 40 CFR 141.72(b).</w:t>
      </w:r>
    </w:p>
    <w:p w14:paraId="4F757358" w14:textId="77777777" w:rsidR="000F08BB" w:rsidRDefault="000F08BB" w:rsidP="00150379">
      <w:pPr>
        <w:suppressAutoHyphens/>
        <w:ind w:left="720"/>
      </w:pPr>
    </w:p>
    <w:p w14:paraId="3973E5FE" w14:textId="1D685CCB" w:rsidR="009B1902" w:rsidRPr="003B4362" w:rsidRDefault="00EB353D"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1B3A0832" w14:textId="77777777" w:rsidR="00F829FE" w:rsidRPr="003B4362" w:rsidRDefault="00F829FE" w:rsidP="00F829FE">
      <w:pPr>
        <w:rPr>
          <w:b/>
          <w:bCs/>
        </w:rPr>
      </w:pPr>
    </w:p>
    <w:p w14:paraId="2E4B06A9" w14:textId="52622BE0" w:rsidR="009B1902" w:rsidRPr="003B4362" w:rsidRDefault="009B1902" w:rsidP="000F08BB">
      <w:pPr>
        <w:rPr>
          <w:b/>
          <w:bCs/>
        </w:rPr>
      </w:pPr>
      <w:r w:rsidRPr="003B4362">
        <w:rPr>
          <w:b/>
          <w:bCs/>
        </w:rPr>
        <w:t>Section 611.250  Filtration</w:t>
      </w:r>
    </w:p>
    <w:p w14:paraId="307BE458" w14:textId="77777777" w:rsidR="000F08BB" w:rsidRDefault="000F08BB" w:rsidP="000F08BB"/>
    <w:p w14:paraId="0F4B3C84" w14:textId="247ED346" w:rsidR="009B1902" w:rsidRPr="003B4362" w:rsidRDefault="009B1902" w:rsidP="000F08BB">
      <w:r w:rsidRPr="003B4362">
        <w:t xml:space="preserve">A supplier using a surface water source or a groundwater source under the direct influence of surface water must provide both disinfection treatment, as Section 611.242 specifies, and filtration treatment complying with subsection (a), (b), (c), (d), or (e) </w:t>
      </w:r>
      <w:bookmarkStart w:id="561" w:name="_Hlk133839436"/>
      <w:r w:rsidRPr="003B4362">
        <w:t>within 18 months after the Agency issues a SEP requiring the supplier to apply filtration treatment</w:t>
      </w:r>
      <w:bookmarkEnd w:id="561"/>
      <w:r w:rsidRPr="003B4362">
        <w:t>.  F</w:t>
      </w:r>
      <w:bookmarkStart w:id="562" w:name="_Hlk133839654"/>
      <w:r w:rsidRPr="003B4362">
        <w:t>ailing to apply filtration treatment before the time the Agency provides in a SEP violates a treatment technique</w:t>
      </w:r>
      <w:bookmarkEnd w:id="562"/>
      <w:r w:rsidRPr="003B4362">
        <w:t>.</w:t>
      </w:r>
    </w:p>
    <w:p w14:paraId="753803E1" w14:textId="77777777" w:rsidR="000F08BB" w:rsidRDefault="000F08BB" w:rsidP="000F08BB">
      <w:pPr>
        <w:ind w:left="1440" w:hanging="720"/>
      </w:pPr>
    </w:p>
    <w:p w14:paraId="545D537E" w14:textId="1BF3DB7D" w:rsidR="009B1902" w:rsidRPr="003B4362" w:rsidRDefault="009B1902" w:rsidP="000F08BB">
      <w:pPr>
        <w:ind w:left="1440" w:hanging="720"/>
      </w:pPr>
      <w:r w:rsidRPr="003B4362">
        <w:t>a)</w:t>
      </w:r>
      <w:r w:rsidRPr="003B4362">
        <w:tab/>
        <w:t>Conventional Filtration Treatment or Direct Filtration</w:t>
      </w:r>
    </w:p>
    <w:p w14:paraId="06999283" w14:textId="77777777" w:rsidR="000F08BB" w:rsidRDefault="000F08BB" w:rsidP="000F08BB">
      <w:pPr>
        <w:ind w:left="2160" w:hanging="720"/>
      </w:pPr>
    </w:p>
    <w:p w14:paraId="1B58E3D0" w14:textId="00F9B4CB" w:rsidR="009B1902" w:rsidRPr="003B4362" w:rsidRDefault="009B1902" w:rsidP="000F08BB">
      <w:pPr>
        <w:ind w:left="2160" w:hanging="720"/>
      </w:pPr>
      <w:r w:rsidRPr="003B4362">
        <w:t>1)</w:t>
      </w:r>
      <w:r w:rsidRPr="003B4362">
        <w:tab/>
        <w:t xml:space="preserve">For </w:t>
      </w:r>
      <w:bookmarkStart w:id="563" w:name="_Hlk133846975"/>
      <w:r w:rsidRPr="003B4362">
        <w:t>a supplier using conventional filtration</w:t>
      </w:r>
      <w:bookmarkEnd w:id="563"/>
      <w:r w:rsidRPr="003B4362">
        <w:t xml:space="preserve"> or direct filtration, </w:t>
      </w:r>
      <w:bookmarkStart w:id="564" w:name="_Hlk133847056"/>
      <w:r w:rsidRPr="003B4362">
        <w:t>the turbidity level of its filtered water</w:t>
      </w:r>
      <w:bookmarkEnd w:id="564"/>
      <w:r w:rsidRPr="003B4362">
        <w:t xml:space="preserve"> </w:t>
      </w:r>
      <w:bookmarkStart w:id="565" w:name="_Hlk133848915"/>
      <w:r w:rsidRPr="003B4362">
        <w:t>must not exceed 0.5 NTU in more than five percent</w:t>
      </w:r>
      <w:bookmarkEnd w:id="565"/>
      <w:r w:rsidRPr="003B4362">
        <w:t xml:space="preserve"> of the </w:t>
      </w:r>
      <w:bookmarkStart w:id="566" w:name="_Hlk133849021"/>
      <w:r w:rsidRPr="003B4362">
        <w:t xml:space="preserve">measurements each month under </w:t>
      </w:r>
      <w:bookmarkStart w:id="567" w:name="_Hlk133849419"/>
      <w:r w:rsidRPr="003B4362">
        <w:t>Sections 611.531(a) and 611.533(a)</w:t>
      </w:r>
      <w:bookmarkEnd w:id="566"/>
      <w:bookmarkEnd w:id="567"/>
      <w:r w:rsidRPr="003B4362">
        <w:t xml:space="preserve">.  However, if </w:t>
      </w:r>
      <w:bookmarkStart w:id="568" w:name="_Hlk133850204"/>
      <w:r w:rsidRPr="003B4362">
        <w:t>the Agency issues a SEP determining that the supplier can achieve at least 99.9 percent removal</w:t>
      </w:r>
      <w:bookmarkEnd w:id="568"/>
      <w:r w:rsidRPr="003B4362">
        <w:t xml:space="preserve"> or inactivation of Giardia lamblia cysts at some turbidity level higher than 0.5 NTU in at least 95 percent of the </w:t>
      </w:r>
      <w:bookmarkStart w:id="569" w:name="_Hlk133852247"/>
      <w:r w:rsidRPr="003B4362">
        <w:t>measurements each month</w:t>
      </w:r>
      <w:bookmarkEnd w:id="569"/>
      <w:r w:rsidRPr="003B4362">
        <w:t xml:space="preserve">, the Agency must </w:t>
      </w:r>
      <w:bookmarkStart w:id="570" w:name="_Hlk133852277"/>
      <w:r w:rsidRPr="003B4362">
        <w:t>substitute this higher turbidity limit in the SEP</w:t>
      </w:r>
      <w:bookmarkEnd w:id="570"/>
      <w:r w:rsidRPr="003B4362">
        <w:t xml:space="preserve">.  However, </w:t>
      </w:r>
      <w:bookmarkStart w:id="571" w:name="_Hlk133852329"/>
      <w:r w:rsidRPr="003B4362">
        <w:t xml:space="preserve">the Agency must not approve a turbidity limit allowing </w:t>
      </w:r>
      <w:bookmarkEnd w:id="571"/>
      <w:r w:rsidRPr="003B4362">
        <w:t xml:space="preserve">more than 1 NTU in more than five percent of the samples </w:t>
      </w:r>
      <w:bookmarkStart w:id="572" w:name="_Hlk133852661"/>
      <w:r w:rsidRPr="003B4362">
        <w:t>each month under Sections 611.531(a) and 611.533(a)</w:t>
      </w:r>
      <w:bookmarkEnd w:id="572"/>
      <w:r w:rsidRPr="003B4362">
        <w:t>.</w:t>
      </w:r>
    </w:p>
    <w:p w14:paraId="3EE116D2" w14:textId="77777777" w:rsidR="000F08BB" w:rsidRDefault="000F08BB" w:rsidP="000F08BB">
      <w:pPr>
        <w:ind w:left="2160" w:hanging="720"/>
      </w:pPr>
    </w:p>
    <w:p w14:paraId="3C2870A3" w14:textId="4C9658FF" w:rsidR="009B1902" w:rsidRPr="003B4362" w:rsidRDefault="009B1902" w:rsidP="000F08BB">
      <w:pPr>
        <w:ind w:left="2160" w:hanging="720"/>
      </w:pPr>
      <w:r w:rsidRPr="003B4362">
        <w:t>2)</w:t>
      </w:r>
      <w:r w:rsidRPr="003B4362">
        <w:tab/>
        <w:t xml:space="preserve">The turbidity level of representative samples of </w:t>
      </w:r>
      <w:bookmarkStart w:id="573" w:name="_Hlk133859017"/>
      <w:r w:rsidRPr="003B4362">
        <w:t>a supplier’s filtered water</w:t>
      </w:r>
      <w:bookmarkEnd w:id="573"/>
      <w:r w:rsidRPr="003B4362">
        <w:t xml:space="preserve"> </w:t>
      </w:r>
      <w:bookmarkStart w:id="574" w:name="_Hlk133852800"/>
      <w:r w:rsidRPr="003B4362">
        <w:t>must never exceed</w:t>
      </w:r>
      <w:bookmarkEnd w:id="574"/>
      <w:r w:rsidRPr="003B4362">
        <w:t xml:space="preserve"> 5 NTU.</w:t>
      </w:r>
    </w:p>
    <w:p w14:paraId="0394FC12" w14:textId="77777777" w:rsidR="000F08BB" w:rsidRDefault="000F08BB" w:rsidP="000F08BB">
      <w:pPr>
        <w:ind w:left="2160" w:hanging="720"/>
      </w:pPr>
    </w:p>
    <w:p w14:paraId="76760164" w14:textId="5C354B42" w:rsidR="009B1902" w:rsidRPr="003B4362" w:rsidRDefault="009B1902" w:rsidP="000F08BB">
      <w:pPr>
        <w:ind w:left="2160" w:hanging="720"/>
      </w:pPr>
      <w:r w:rsidRPr="003B4362">
        <w:t>3)</w:t>
      </w:r>
      <w:r w:rsidRPr="003B4362">
        <w:tab/>
        <w:t>A</w:t>
      </w:r>
      <w:bookmarkStart w:id="575" w:name="_Hlk133852904"/>
      <w:r w:rsidRPr="003B4362">
        <w:t xml:space="preserve"> supplier serving 10,000 or more persons</w:t>
      </w:r>
      <w:bookmarkEnd w:id="575"/>
      <w:r w:rsidRPr="003B4362">
        <w:t xml:space="preserve"> must </w:t>
      </w:r>
      <w:bookmarkStart w:id="576" w:name="_Hlk133852945"/>
      <w:r w:rsidRPr="003B4362">
        <w:t>comply with the turbidity in Section 611.743(a)</w:t>
      </w:r>
      <w:bookmarkEnd w:id="576"/>
      <w:r w:rsidRPr="003B4362">
        <w:t>.</w:t>
      </w:r>
    </w:p>
    <w:p w14:paraId="1210A853" w14:textId="77777777" w:rsidR="000F08BB" w:rsidRDefault="000F08BB" w:rsidP="000F08BB">
      <w:pPr>
        <w:ind w:left="2160" w:hanging="720"/>
      </w:pPr>
    </w:p>
    <w:p w14:paraId="282053EA" w14:textId="288F071D" w:rsidR="009B1902" w:rsidRPr="003B4362" w:rsidRDefault="009B1902" w:rsidP="000F08BB">
      <w:pPr>
        <w:ind w:left="2160" w:hanging="720"/>
      </w:pPr>
      <w:r w:rsidRPr="003B4362">
        <w:t>4)</w:t>
      </w:r>
      <w:r w:rsidRPr="003B4362">
        <w:tab/>
        <w:t>A</w:t>
      </w:r>
      <w:bookmarkStart w:id="577" w:name="_Hlk133853054"/>
      <w:r w:rsidRPr="003B4362">
        <w:t xml:space="preserve"> supplier serving fewer than 10,000 people</w:t>
      </w:r>
      <w:bookmarkEnd w:id="577"/>
      <w:r w:rsidRPr="003B4362">
        <w:t xml:space="preserve"> must </w:t>
      </w:r>
      <w:bookmarkStart w:id="578" w:name="_Hlk133853112"/>
      <w:r w:rsidRPr="003B4362">
        <w:t>comply with the turbidity in Section 611.955</w:t>
      </w:r>
      <w:bookmarkEnd w:id="578"/>
      <w:r w:rsidRPr="003B4362">
        <w:t>.</w:t>
      </w:r>
    </w:p>
    <w:p w14:paraId="001EE1FA" w14:textId="77777777" w:rsidR="000F08BB" w:rsidRDefault="000F08BB" w:rsidP="000F08BB">
      <w:pPr>
        <w:ind w:firstLine="720"/>
      </w:pPr>
    </w:p>
    <w:p w14:paraId="7B3FF1C6" w14:textId="241621E4" w:rsidR="009B1902" w:rsidRPr="003B4362" w:rsidRDefault="009B1902" w:rsidP="000F08BB">
      <w:pPr>
        <w:ind w:firstLine="720"/>
      </w:pPr>
      <w:r w:rsidRPr="003B4362">
        <w:t>b)</w:t>
      </w:r>
      <w:r w:rsidRPr="003B4362">
        <w:tab/>
        <w:t>Slow Sand Filtration</w:t>
      </w:r>
    </w:p>
    <w:p w14:paraId="31A42363" w14:textId="77777777" w:rsidR="000F08BB" w:rsidRDefault="000F08BB" w:rsidP="000F08BB">
      <w:pPr>
        <w:ind w:left="2160" w:hanging="720"/>
      </w:pPr>
    </w:p>
    <w:p w14:paraId="5F2B3ADB" w14:textId="3BCFE580" w:rsidR="009B1902" w:rsidRPr="003B4362" w:rsidRDefault="009B1902" w:rsidP="000F08BB">
      <w:pPr>
        <w:ind w:left="2160" w:hanging="720"/>
      </w:pPr>
      <w:r w:rsidRPr="003B4362">
        <w:t>1)</w:t>
      </w:r>
      <w:r w:rsidRPr="003B4362">
        <w:tab/>
        <w:t xml:space="preserve">For a supplier using slow sand filtration, the turbidity level of its filtered water must not exceed 1 NTU in more than five percent of the measurements each month under Section 611.531(a) and 611.533(a).  However, if the Agency issues a SEP determining that there is no </w:t>
      </w:r>
      <w:r w:rsidRPr="003B4362">
        <w:lastRenderedPageBreak/>
        <w:t>significant interference with disinfection at a higher level, the Agency must substitute the higher turbidity limit in the SEP.</w:t>
      </w:r>
    </w:p>
    <w:p w14:paraId="54948263" w14:textId="77777777" w:rsidR="000F08BB" w:rsidRDefault="000F08BB" w:rsidP="000F08BB">
      <w:pPr>
        <w:ind w:left="2160" w:hanging="720"/>
      </w:pPr>
    </w:p>
    <w:p w14:paraId="187DBC34" w14:textId="00EE648F" w:rsidR="009B1902" w:rsidRPr="003B4362" w:rsidRDefault="009B1902" w:rsidP="000F08BB">
      <w:pPr>
        <w:ind w:left="2160" w:hanging="720"/>
      </w:pPr>
      <w:r w:rsidRPr="003B4362">
        <w:t>2)</w:t>
      </w:r>
      <w:r w:rsidRPr="003B4362">
        <w:tab/>
        <w:t>The turbidity of a supplier’s filtered water must never exceed 5 NTU, measured as Sections 611.531(a) and 611.533(a) specify.</w:t>
      </w:r>
    </w:p>
    <w:p w14:paraId="1BFED302" w14:textId="77777777" w:rsidR="000F08BB" w:rsidRDefault="000F08BB" w:rsidP="000F08BB">
      <w:pPr>
        <w:ind w:firstLine="720"/>
      </w:pPr>
    </w:p>
    <w:p w14:paraId="2AA9C5CC" w14:textId="605AF1E5" w:rsidR="009B1902" w:rsidRPr="003B4362" w:rsidRDefault="009B1902" w:rsidP="000F08BB">
      <w:pPr>
        <w:ind w:firstLine="720"/>
      </w:pPr>
      <w:r w:rsidRPr="003B4362">
        <w:t>c)</w:t>
      </w:r>
      <w:r w:rsidRPr="003B4362">
        <w:tab/>
        <w:t>Diatomaceous Earth Filtration</w:t>
      </w:r>
    </w:p>
    <w:p w14:paraId="67ADDBCB" w14:textId="77777777" w:rsidR="000F08BB" w:rsidRDefault="000F08BB" w:rsidP="000F08BB">
      <w:pPr>
        <w:ind w:left="2160" w:hanging="720"/>
      </w:pPr>
    </w:p>
    <w:p w14:paraId="4E15F1B5" w14:textId="19F1AE06" w:rsidR="009B1902" w:rsidRPr="003B4362" w:rsidRDefault="009B1902" w:rsidP="000F08BB">
      <w:pPr>
        <w:ind w:left="2160" w:hanging="720"/>
      </w:pPr>
      <w:r w:rsidRPr="003B4362">
        <w:t>1)</w:t>
      </w:r>
      <w:r w:rsidRPr="003B4362">
        <w:tab/>
        <w:t>For a supplier using diatomaceous earth filtration, the turbidity level of its filtered water must not exceed 1 NTU in more than five percent of the measurements each month under Sections 611.531(a) and 611.533(a).</w:t>
      </w:r>
    </w:p>
    <w:p w14:paraId="0E82A212" w14:textId="77777777" w:rsidR="000F08BB" w:rsidRDefault="000F08BB" w:rsidP="000F08BB">
      <w:pPr>
        <w:ind w:left="2160" w:hanging="720"/>
      </w:pPr>
    </w:p>
    <w:p w14:paraId="3AE69B59" w14:textId="13D5DCC1" w:rsidR="009B1902" w:rsidRPr="003B4362" w:rsidRDefault="009B1902" w:rsidP="000F08BB">
      <w:pPr>
        <w:ind w:left="2160" w:hanging="720"/>
      </w:pPr>
      <w:r w:rsidRPr="003B4362">
        <w:t>2)</w:t>
      </w:r>
      <w:r w:rsidRPr="003B4362">
        <w:tab/>
        <w:t>The turbidity level of representative samples of a supplier’s filtered water must never exceed 5 NTU under Sections 611.531(a) and 611.533(a).</w:t>
      </w:r>
    </w:p>
    <w:p w14:paraId="6E8FB8A1" w14:textId="77777777" w:rsidR="000F08BB" w:rsidRDefault="000F08BB" w:rsidP="000F08BB">
      <w:pPr>
        <w:ind w:left="1440" w:hanging="720"/>
      </w:pPr>
    </w:p>
    <w:p w14:paraId="3BE28311" w14:textId="44904ABB" w:rsidR="009B1902" w:rsidRPr="003B4362" w:rsidRDefault="009B1902" w:rsidP="000F08BB">
      <w:pPr>
        <w:ind w:left="1440" w:hanging="720"/>
      </w:pPr>
      <w:r w:rsidRPr="003B4362">
        <w:t>d)</w:t>
      </w:r>
      <w:r w:rsidRPr="003B4362">
        <w:tab/>
        <w:t>Other Filtration Technologies.  The Agency may issue a SEP allowing a supplier to use a filtration technology not included in subsections (a) through (c) if the supplier demonstrates, using pilot plant studies or other means, that the alternative filtration technology, in combination with disinfection treatment complying with Section 611.242, consistently achieves 99.9 percent removal or inactivation of Giardia lamblia cysts and 99.99 percent removal or inactivation of viruses.  Subsection (b) applies to a supplier making this demonstration.  A supplier serving 10,000 or more persons must comply with Section 611.743(b).  A supplier serving fewer than 10,000 people must comply with Section 611.955.</w:t>
      </w:r>
    </w:p>
    <w:p w14:paraId="29EE68AD" w14:textId="77777777" w:rsidR="000F08BB" w:rsidRDefault="000F08BB" w:rsidP="000F08BB">
      <w:pPr>
        <w:suppressAutoHyphens/>
      </w:pPr>
    </w:p>
    <w:p w14:paraId="7BCB05EE" w14:textId="1AAAEA62" w:rsidR="009B1902" w:rsidRPr="003B4362" w:rsidRDefault="009B1902" w:rsidP="000F08BB">
      <w:pPr>
        <w:suppressAutoHyphens/>
      </w:pPr>
      <w:r w:rsidRPr="003B4362">
        <w:t xml:space="preserve">BOARD NOTE:  </w:t>
      </w:r>
      <w:r w:rsidRPr="003B4362">
        <w:rPr>
          <w:spacing w:val="-3"/>
        </w:rPr>
        <w:t xml:space="preserve">This Section derives </w:t>
      </w:r>
      <w:r w:rsidRPr="003B4362">
        <w:t>from 40 CFR 141.73.</w:t>
      </w:r>
    </w:p>
    <w:p w14:paraId="3DC18854" w14:textId="77777777" w:rsidR="000F08BB" w:rsidRDefault="000F08BB" w:rsidP="000F08BB">
      <w:pPr>
        <w:suppressAutoHyphens/>
        <w:ind w:left="720"/>
      </w:pPr>
    </w:p>
    <w:p w14:paraId="36AF64BC" w14:textId="281EB0E8" w:rsidR="009B1902" w:rsidRPr="003B4362" w:rsidRDefault="00EB353D" w:rsidP="000F08BB">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6D95238D" w14:textId="77777777" w:rsidR="00F829FE" w:rsidRPr="003B4362" w:rsidRDefault="00F829FE" w:rsidP="00F829FE">
      <w:pPr>
        <w:rPr>
          <w:b/>
          <w:bCs/>
        </w:rPr>
      </w:pPr>
    </w:p>
    <w:p w14:paraId="01B86215" w14:textId="52750030" w:rsidR="009B1902" w:rsidRPr="003B4362" w:rsidRDefault="009B1902" w:rsidP="000F08BB">
      <w:pPr>
        <w:rPr>
          <w:b/>
          <w:bCs/>
        </w:rPr>
      </w:pPr>
      <w:r w:rsidRPr="003B4362">
        <w:rPr>
          <w:b/>
          <w:bCs/>
        </w:rPr>
        <w:t>Section 611.261  Unfiltered PWSs:  Reporting and Recordkeeping</w:t>
      </w:r>
    </w:p>
    <w:p w14:paraId="1EDF3FDC" w14:textId="77777777" w:rsidR="000F08BB" w:rsidRDefault="000F08BB" w:rsidP="000F08BB"/>
    <w:p w14:paraId="199774AE" w14:textId="5EC3F6C8" w:rsidR="009B1902" w:rsidRPr="003B4362" w:rsidRDefault="009B1902" w:rsidP="000F08BB">
      <w:r w:rsidRPr="003B4362">
        <w:t>A</w:t>
      </w:r>
      <w:bookmarkStart w:id="579" w:name="_Hlk133873239"/>
      <w:r w:rsidRPr="003B4362">
        <w:t xml:space="preserve"> supplier using a groundwater source under the direct influence of surface water not providing filtration treatment</w:t>
      </w:r>
      <w:bookmarkEnd w:id="579"/>
      <w:r w:rsidRPr="003B4362">
        <w:t xml:space="preserve"> must report monthly to the Agency </w:t>
      </w:r>
      <w:bookmarkStart w:id="580" w:name="_Hlk133873451"/>
      <w:r w:rsidRPr="003B4362">
        <w:t>the information this Section specifies beginning six months after</w:t>
      </w:r>
      <w:bookmarkEnd w:id="580"/>
      <w:r w:rsidRPr="003B4362">
        <w:t xml:space="preserve"> the Agency determines that the groundwater source is under the direct influence of surface water.  When </w:t>
      </w:r>
      <w:bookmarkStart w:id="581" w:name="_Hlk133873857"/>
      <w:r w:rsidRPr="003B4362">
        <w:t>the Agency issues a SEP requiring filtration treatment and specifying appropriate alternative reporting requirements until the supplier applies filtration treatment</w:t>
      </w:r>
      <w:bookmarkEnd w:id="581"/>
      <w:r w:rsidRPr="003B4362">
        <w:t>.</w:t>
      </w:r>
    </w:p>
    <w:p w14:paraId="52032F2D" w14:textId="77777777" w:rsidR="000F08BB" w:rsidRDefault="000F08BB" w:rsidP="000F08BB">
      <w:pPr>
        <w:ind w:left="1440" w:hanging="720"/>
      </w:pPr>
    </w:p>
    <w:p w14:paraId="626401C4" w14:textId="75A18F4B" w:rsidR="009B1902" w:rsidRPr="003B4362" w:rsidRDefault="009B1902" w:rsidP="000F08BB">
      <w:pPr>
        <w:ind w:left="1440" w:hanging="720"/>
      </w:pPr>
      <w:r w:rsidRPr="003B4362">
        <w:t>a)</w:t>
      </w:r>
      <w:r w:rsidRPr="003B4362">
        <w:tab/>
        <w:t>T</w:t>
      </w:r>
      <w:bookmarkStart w:id="582" w:name="_Hlk133874329"/>
      <w:r w:rsidRPr="003B4362">
        <w:t xml:space="preserve">he supplier must report source water quality information </w:t>
      </w:r>
      <w:bookmarkEnd w:id="582"/>
      <w:r w:rsidRPr="003B4362">
        <w:t xml:space="preserve">to the Agency within ten days after the end of </w:t>
      </w:r>
      <w:bookmarkStart w:id="583" w:name="_Hlk133874416"/>
      <w:r w:rsidRPr="003B4362">
        <w:t>each month the supplier serves water to the public</w:t>
      </w:r>
      <w:bookmarkEnd w:id="583"/>
      <w:r w:rsidRPr="003B4362">
        <w:t>.  T</w:t>
      </w:r>
      <w:bookmarkStart w:id="584" w:name="_Hlk133874513"/>
      <w:r w:rsidRPr="003B4362">
        <w:t>he information must include certain information</w:t>
      </w:r>
      <w:bookmarkEnd w:id="584"/>
      <w:r w:rsidRPr="003B4362">
        <w:t>:</w:t>
      </w:r>
    </w:p>
    <w:p w14:paraId="274035C5" w14:textId="77777777" w:rsidR="000F08BB" w:rsidRDefault="000F08BB" w:rsidP="000F08BB">
      <w:pPr>
        <w:ind w:left="2160" w:hanging="720"/>
      </w:pPr>
    </w:p>
    <w:p w14:paraId="31A4A2C8" w14:textId="5F359FCC" w:rsidR="009B1902" w:rsidRPr="003B4362" w:rsidRDefault="009B1902" w:rsidP="000F08BB">
      <w:pPr>
        <w:ind w:left="2160" w:hanging="720"/>
      </w:pPr>
      <w:r w:rsidRPr="003B4362">
        <w:t>1)</w:t>
      </w:r>
      <w:r w:rsidRPr="003B4362">
        <w:tab/>
        <w:t>The cumulative number of months for which the supplier reports results.</w:t>
      </w:r>
    </w:p>
    <w:p w14:paraId="033774B9" w14:textId="77777777" w:rsidR="000F08BB" w:rsidRDefault="000F08BB" w:rsidP="000F08BB">
      <w:pPr>
        <w:ind w:left="2160" w:hanging="720"/>
      </w:pPr>
    </w:p>
    <w:p w14:paraId="14059FAF" w14:textId="655B862E" w:rsidR="009B1902" w:rsidRPr="003B4362" w:rsidRDefault="009B1902" w:rsidP="000F08BB">
      <w:pPr>
        <w:ind w:left="2160" w:hanging="720"/>
      </w:pPr>
      <w:r w:rsidRPr="003B4362">
        <w:lastRenderedPageBreak/>
        <w:t>2)</w:t>
      </w:r>
      <w:r w:rsidRPr="003B4362">
        <w:tab/>
        <w:t>The number of fecal or total coliform samples, whichever the supplier analyzed during the month (if a supplier monitors for both, the supplier needs only report fecal coliform samples), the dates the supplied collected the samples, and the dates when the turbidity level exceeded 1 NTU.</w:t>
      </w:r>
    </w:p>
    <w:p w14:paraId="79AAF6AA" w14:textId="77777777" w:rsidR="000F08BB" w:rsidRDefault="000F08BB" w:rsidP="000F08BB">
      <w:pPr>
        <w:ind w:left="2160" w:hanging="720"/>
      </w:pPr>
    </w:p>
    <w:p w14:paraId="36CBCBED" w14:textId="018580CD" w:rsidR="009B1902" w:rsidRPr="003B4362" w:rsidRDefault="009B1902" w:rsidP="000F08BB">
      <w:pPr>
        <w:ind w:left="2160" w:hanging="720"/>
      </w:pPr>
      <w:r w:rsidRPr="003B4362">
        <w:t>3)</w:t>
      </w:r>
      <w:r w:rsidRPr="003B4362">
        <w:tab/>
        <w:t>The number of samples during the month that had equal to or fewer than 20/100 ml fecal coliforms or equal to or fewer than 100/100 ml total coliforms, whichever the supplier analyzed.</w:t>
      </w:r>
    </w:p>
    <w:p w14:paraId="734E9AEE" w14:textId="77777777" w:rsidR="000F08BB" w:rsidRDefault="000F08BB" w:rsidP="000F08BB">
      <w:pPr>
        <w:ind w:left="2160" w:hanging="720"/>
      </w:pPr>
    </w:p>
    <w:p w14:paraId="435B0449" w14:textId="2EC5BF74" w:rsidR="009B1902" w:rsidRPr="003B4362" w:rsidRDefault="009B1902" w:rsidP="000F08BB">
      <w:pPr>
        <w:ind w:left="2160" w:hanging="720"/>
      </w:pPr>
      <w:r w:rsidRPr="003B4362">
        <w:t>4)</w:t>
      </w:r>
      <w:r w:rsidRPr="003B4362">
        <w:tab/>
        <w:t xml:space="preserve">The cumulative number of fecal or total coliform samples, whichever the supplier analyzed, during the previous six </w:t>
      </w:r>
      <w:bookmarkStart w:id="585" w:name="_Hlk133875854"/>
      <w:r w:rsidRPr="003B4362">
        <w:t>months the supplier served water to the public</w:t>
      </w:r>
      <w:bookmarkEnd w:id="585"/>
      <w:r w:rsidRPr="003B4362">
        <w:t>.</w:t>
      </w:r>
    </w:p>
    <w:p w14:paraId="2B5958DB" w14:textId="77777777" w:rsidR="000F08BB" w:rsidRDefault="000F08BB" w:rsidP="000F08BB">
      <w:pPr>
        <w:ind w:left="2160" w:hanging="720"/>
      </w:pPr>
    </w:p>
    <w:p w14:paraId="15C03F69" w14:textId="299A9BD7" w:rsidR="009B1902" w:rsidRPr="003B4362" w:rsidRDefault="009B1902" w:rsidP="000F08BB">
      <w:pPr>
        <w:ind w:left="2160" w:hanging="720"/>
      </w:pPr>
      <w:r w:rsidRPr="003B4362">
        <w:t>5)</w:t>
      </w:r>
      <w:r w:rsidRPr="003B4362">
        <w:tab/>
        <w:t>The cumulative number of samples that had equal to or fewer than 20/100 ml fecal coliforms or equal to or fewer than 100/100 ml total coliforms, whichever the supplier analyzed, during the previous six months the supplier served water to the public.</w:t>
      </w:r>
    </w:p>
    <w:p w14:paraId="646DA8B0" w14:textId="77777777" w:rsidR="000F08BB" w:rsidRDefault="000F08BB" w:rsidP="000F08BB">
      <w:pPr>
        <w:ind w:left="2160" w:hanging="720"/>
      </w:pPr>
    </w:p>
    <w:p w14:paraId="0B4D5F49" w14:textId="1DB2838E" w:rsidR="009B1902" w:rsidRPr="003B4362" w:rsidRDefault="009B1902" w:rsidP="000F08BB">
      <w:pPr>
        <w:ind w:left="2160" w:hanging="720"/>
      </w:pPr>
      <w:r w:rsidRPr="003B4362">
        <w:t>6)</w:t>
      </w:r>
      <w:r w:rsidRPr="003B4362">
        <w:tab/>
        <w:t>The percentage of samples that had equal to or fewer than 20/100 ml fecal coliforms or equal to or fewer than 100/100 ml total coliforms, whichever the supplier analyzed, during the previous six months the supplier served water to the public.</w:t>
      </w:r>
    </w:p>
    <w:p w14:paraId="75B2F66A" w14:textId="77777777" w:rsidR="000F08BB" w:rsidRDefault="000F08BB" w:rsidP="000F08BB">
      <w:pPr>
        <w:ind w:left="2160" w:hanging="720"/>
      </w:pPr>
    </w:p>
    <w:p w14:paraId="324D3994" w14:textId="5DED5A6D" w:rsidR="009B1902" w:rsidRPr="003B4362" w:rsidRDefault="009B1902" w:rsidP="000F08BB">
      <w:pPr>
        <w:ind w:left="2160" w:hanging="720"/>
      </w:pPr>
      <w:r w:rsidRPr="003B4362">
        <w:t>7)</w:t>
      </w:r>
      <w:r w:rsidRPr="003B4362">
        <w:tab/>
        <w:t xml:space="preserve">The maximum </w:t>
      </w:r>
      <w:bookmarkStart w:id="586" w:name="_Hlk133922526"/>
      <w:r w:rsidRPr="003B4362">
        <w:t>turbidity level the supplier measured</w:t>
      </w:r>
      <w:bookmarkEnd w:id="586"/>
      <w:r w:rsidRPr="003B4362">
        <w:t xml:space="preserve"> during the month, the dates of occurrence for any </w:t>
      </w:r>
      <w:bookmarkStart w:id="587" w:name="_Hlk133922583"/>
      <w:r w:rsidRPr="003B4362">
        <w:t>measurements exceeding 5 NTU</w:t>
      </w:r>
      <w:bookmarkEnd w:id="587"/>
      <w:r w:rsidRPr="003B4362">
        <w:t xml:space="preserve">, and </w:t>
      </w:r>
      <w:bookmarkStart w:id="588" w:name="_Hlk133922678"/>
      <w:r w:rsidRPr="003B4362">
        <w:t>the dates the supplier reported the occurrences to the Agency</w:t>
      </w:r>
      <w:bookmarkEnd w:id="588"/>
      <w:r w:rsidRPr="003B4362">
        <w:t>.</w:t>
      </w:r>
    </w:p>
    <w:p w14:paraId="4F4B0F59" w14:textId="77777777" w:rsidR="000F08BB" w:rsidRDefault="000F08BB" w:rsidP="000F08BB">
      <w:pPr>
        <w:ind w:left="2160" w:hanging="720"/>
      </w:pPr>
    </w:p>
    <w:p w14:paraId="57A6B63C" w14:textId="6DA43325" w:rsidR="009B1902" w:rsidRPr="003B4362" w:rsidRDefault="009B1902" w:rsidP="000F08BB">
      <w:pPr>
        <w:ind w:left="2160" w:hanging="720"/>
      </w:pPr>
      <w:r w:rsidRPr="003B4362">
        <w:t>8)</w:t>
      </w:r>
      <w:r w:rsidRPr="003B4362">
        <w:tab/>
        <w:t xml:space="preserve">For the first 12 months of recordkeeping, the dates and cumulative number of events during which the </w:t>
      </w:r>
      <w:bookmarkStart w:id="589" w:name="_Hlk133922879"/>
      <w:r w:rsidRPr="003B4362">
        <w:t xml:space="preserve">turbidity exceeded </w:t>
      </w:r>
      <w:bookmarkEnd w:id="589"/>
      <w:r w:rsidRPr="003B4362">
        <w:t xml:space="preserve">5 NTU.  After one year of recordkeeping for turbidity measurements, the dates and cumulative number of events during which the turbidity exceeded 5 NTU in the previous 12 months </w:t>
      </w:r>
      <w:bookmarkStart w:id="590" w:name="_Hlk133922911"/>
      <w:r w:rsidRPr="003B4362">
        <w:t>the supplier  served water</w:t>
      </w:r>
      <w:bookmarkEnd w:id="590"/>
      <w:r w:rsidRPr="003B4362">
        <w:t xml:space="preserve"> to the public.</w:t>
      </w:r>
    </w:p>
    <w:p w14:paraId="328DAE1B" w14:textId="77777777" w:rsidR="000F08BB" w:rsidRDefault="000F08BB" w:rsidP="000F08BB">
      <w:pPr>
        <w:ind w:left="2160" w:hanging="720"/>
      </w:pPr>
    </w:p>
    <w:p w14:paraId="31AA02F9" w14:textId="0D989B62" w:rsidR="009B1902" w:rsidRPr="003B4362" w:rsidRDefault="009B1902" w:rsidP="000F08BB">
      <w:pPr>
        <w:ind w:left="2160" w:hanging="720"/>
      </w:pPr>
      <w:r w:rsidRPr="003B4362">
        <w:t>9)</w:t>
      </w:r>
      <w:r w:rsidRPr="003B4362">
        <w:tab/>
        <w:t>For the first 120 months of recordkeeping, the dates and cumulative number of events during which the turbidity exceeded 5 NTU.  After ten years of recordkeeping for turbidity measurements, the dates and cumulative number of events during which the turbidity exceeded 5 NTU in the previous 120 months the supplier served water to the public.</w:t>
      </w:r>
    </w:p>
    <w:p w14:paraId="0FE63660" w14:textId="77777777" w:rsidR="000F08BB" w:rsidRDefault="000F08BB" w:rsidP="000F08BB">
      <w:pPr>
        <w:ind w:left="1440" w:hanging="720"/>
      </w:pPr>
    </w:p>
    <w:p w14:paraId="6240E8DD" w14:textId="005D21CC" w:rsidR="009B1902" w:rsidRPr="003B4362" w:rsidRDefault="009B1902" w:rsidP="000F08BB">
      <w:pPr>
        <w:ind w:left="1440" w:hanging="720"/>
      </w:pPr>
      <w:r w:rsidRPr="003B4362">
        <w:t>b)</w:t>
      </w:r>
      <w:r w:rsidRPr="003B4362">
        <w:tab/>
        <w:t>T</w:t>
      </w:r>
      <w:bookmarkStart w:id="591" w:name="_Hlk133923068"/>
      <w:r w:rsidRPr="003B4362">
        <w:t xml:space="preserve">he supplier must report the Agency disinfection information Section 611.532 specifies </w:t>
      </w:r>
      <w:bookmarkEnd w:id="591"/>
      <w:r w:rsidRPr="003B4362">
        <w:t xml:space="preserve">within ten days after the end of each month </w:t>
      </w:r>
      <w:bookmarkStart w:id="592" w:name="_Hlk133923198"/>
      <w:r w:rsidRPr="003B4362">
        <w:t>the supplier serves water</w:t>
      </w:r>
      <w:bookmarkEnd w:id="592"/>
      <w:r w:rsidRPr="003B4362">
        <w:t xml:space="preserve"> to the public.  T</w:t>
      </w:r>
      <w:bookmarkStart w:id="593" w:name="_Hlk133923242"/>
      <w:r w:rsidRPr="003B4362">
        <w:t>he information the supplier reports must include specific information</w:t>
      </w:r>
      <w:bookmarkEnd w:id="593"/>
      <w:r w:rsidRPr="003B4362">
        <w:t>:</w:t>
      </w:r>
    </w:p>
    <w:p w14:paraId="35DC34D6" w14:textId="77777777" w:rsidR="000F08BB" w:rsidRDefault="000F08BB" w:rsidP="000F08BB">
      <w:pPr>
        <w:ind w:left="2160" w:hanging="720"/>
      </w:pPr>
    </w:p>
    <w:p w14:paraId="6F326164" w14:textId="0DC0BB40" w:rsidR="009B1902" w:rsidRPr="003B4362" w:rsidRDefault="009B1902" w:rsidP="000F08BB">
      <w:pPr>
        <w:ind w:left="2160" w:hanging="720"/>
      </w:pPr>
      <w:r w:rsidRPr="003B4362">
        <w:lastRenderedPageBreak/>
        <w:t>1)</w:t>
      </w:r>
      <w:r w:rsidRPr="003B4362">
        <w:tab/>
        <w:t xml:space="preserve">For each day, </w:t>
      </w:r>
      <w:bookmarkStart w:id="594" w:name="_Hlk133923375"/>
      <w:r w:rsidRPr="003B4362">
        <w:t xml:space="preserve">the lowest RDC measurement </w:t>
      </w:r>
      <w:bookmarkEnd w:id="594"/>
      <w:r w:rsidRPr="003B4362">
        <w:t>in mg/</w:t>
      </w:r>
      <w:r w:rsidR="00F560FD" w:rsidRPr="003B4362">
        <w:t xml:space="preserve"> L</w:t>
      </w:r>
      <w:r w:rsidRPr="003B4362">
        <w:t xml:space="preserve"> in water entering the distribution system.</w:t>
      </w:r>
    </w:p>
    <w:p w14:paraId="4EAFB491" w14:textId="77777777" w:rsidR="000F08BB" w:rsidRDefault="000F08BB" w:rsidP="000F08BB">
      <w:pPr>
        <w:ind w:left="2160" w:hanging="720"/>
      </w:pPr>
    </w:p>
    <w:p w14:paraId="7ACF23DF" w14:textId="5BE3D6AE" w:rsidR="009B1902" w:rsidRPr="003B4362" w:rsidRDefault="009B1902" w:rsidP="000F08BB">
      <w:pPr>
        <w:ind w:left="2160" w:hanging="720"/>
      </w:pPr>
      <w:r w:rsidRPr="003B4362">
        <w:t>2)</w:t>
      </w:r>
      <w:r w:rsidRPr="003B4362">
        <w:tab/>
        <w:t xml:space="preserve">The date and duration of </w:t>
      </w:r>
      <w:bookmarkStart w:id="595" w:name="_Hlk133923557"/>
      <w:r w:rsidRPr="003B4362">
        <w:t xml:space="preserve">each period during which </w:t>
      </w:r>
      <w:bookmarkEnd w:id="595"/>
      <w:r w:rsidRPr="003B4362">
        <w:t>the RDC in water entering the distribution system fell below 0.2 mg/</w:t>
      </w:r>
      <w:r w:rsidR="00F560FD" w:rsidRPr="003B4362">
        <w:t xml:space="preserve"> L</w:t>
      </w:r>
      <w:r w:rsidRPr="003B4362">
        <w:t xml:space="preserve"> and </w:t>
      </w:r>
      <w:bookmarkStart w:id="596" w:name="_Hlk133923608"/>
      <w:r w:rsidRPr="003B4362">
        <w:t xml:space="preserve">the supplier notified the Agency </w:t>
      </w:r>
      <w:bookmarkEnd w:id="596"/>
      <w:r w:rsidRPr="003B4362">
        <w:t>of the occurrence.</w:t>
      </w:r>
    </w:p>
    <w:p w14:paraId="63ABFB31" w14:textId="77777777" w:rsidR="000F08BB" w:rsidRDefault="000F08BB" w:rsidP="000F08BB">
      <w:pPr>
        <w:ind w:left="2160" w:hanging="720"/>
      </w:pPr>
    </w:p>
    <w:p w14:paraId="77A02D9A" w14:textId="45AEF2F8" w:rsidR="009B1902" w:rsidRPr="003B4362" w:rsidRDefault="009B1902" w:rsidP="000F08BB">
      <w:pPr>
        <w:ind w:left="2160" w:hanging="720"/>
      </w:pPr>
      <w:r w:rsidRPr="003B4362">
        <w:t>3)</w:t>
      </w:r>
      <w:r w:rsidRPr="003B4362">
        <w:tab/>
        <w:t>The daily RDCs (in mg/</w:t>
      </w:r>
      <w:r w:rsidR="00F560FD" w:rsidRPr="003B4362">
        <w:t xml:space="preserve"> L)</w:t>
      </w:r>
      <w:r w:rsidRPr="003B4362">
        <w:t xml:space="preserve"> and disinfectant </w:t>
      </w:r>
      <w:bookmarkStart w:id="597" w:name="_Hlk133923701"/>
      <w:r w:rsidRPr="003B4362">
        <w:t>contact times (in minutes) the supplier used for calculating</w:t>
      </w:r>
      <w:bookmarkEnd w:id="597"/>
      <w:r w:rsidRPr="003B4362">
        <w:t xml:space="preserve"> the CT values.</w:t>
      </w:r>
    </w:p>
    <w:p w14:paraId="757C072C" w14:textId="77777777" w:rsidR="000F08BB" w:rsidRDefault="000F08BB" w:rsidP="000F08BB">
      <w:pPr>
        <w:ind w:left="2160" w:hanging="720"/>
      </w:pPr>
    </w:p>
    <w:p w14:paraId="57025612" w14:textId="57D0849B" w:rsidR="009B1902" w:rsidRPr="003B4362" w:rsidRDefault="009B1902" w:rsidP="000F08BB">
      <w:pPr>
        <w:ind w:left="2160" w:hanging="720"/>
      </w:pPr>
      <w:r w:rsidRPr="003B4362">
        <w:t>4)</w:t>
      </w:r>
      <w:r w:rsidRPr="003B4362">
        <w:tab/>
        <w:t>I</w:t>
      </w:r>
      <w:bookmarkStart w:id="598" w:name="_Hlk133923822"/>
      <w:r w:rsidRPr="003B4362">
        <w:t>f the supplier uses chlorine</w:t>
      </w:r>
      <w:bookmarkEnd w:id="598"/>
      <w:r w:rsidRPr="003B4362">
        <w:t xml:space="preserve">, the </w:t>
      </w:r>
      <w:bookmarkStart w:id="599" w:name="_Hlk133923861"/>
      <w:r w:rsidRPr="003B4362">
        <w:t xml:space="preserve">daily pH measurements </w:t>
      </w:r>
      <w:bookmarkEnd w:id="599"/>
      <w:r w:rsidRPr="003B4362">
        <w:t>of disinfected water following each point of chlorine disinfection.</w:t>
      </w:r>
    </w:p>
    <w:p w14:paraId="5F01A034" w14:textId="77777777" w:rsidR="000F08BB" w:rsidRDefault="000F08BB" w:rsidP="000F08BB">
      <w:pPr>
        <w:ind w:left="2160" w:hanging="720"/>
      </w:pPr>
    </w:p>
    <w:p w14:paraId="0FACC463" w14:textId="322C0D29" w:rsidR="009B1902" w:rsidRPr="003B4362" w:rsidRDefault="009B1902" w:rsidP="000F08BB">
      <w:pPr>
        <w:ind w:left="2160" w:hanging="720"/>
      </w:pPr>
      <w:r w:rsidRPr="003B4362">
        <w:t>5)</w:t>
      </w:r>
      <w:r w:rsidRPr="003B4362">
        <w:tab/>
        <w:t xml:space="preserve">The </w:t>
      </w:r>
      <w:bookmarkStart w:id="600" w:name="_Hlk133923916"/>
      <w:r w:rsidRPr="003B4362">
        <w:t xml:space="preserve">daily water temperature measurements (in ° C) </w:t>
      </w:r>
      <w:bookmarkEnd w:id="600"/>
      <w:r w:rsidRPr="003B4362">
        <w:t>following each point of disinfection.</w:t>
      </w:r>
    </w:p>
    <w:p w14:paraId="31B9B9D1" w14:textId="77777777" w:rsidR="000F08BB" w:rsidRDefault="000F08BB" w:rsidP="000F08BB">
      <w:pPr>
        <w:ind w:left="2160" w:hanging="720"/>
      </w:pPr>
    </w:p>
    <w:p w14:paraId="71F6C741" w14:textId="5C6BE193" w:rsidR="009B1902" w:rsidRPr="003B4362" w:rsidRDefault="009B1902" w:rsidP="000F08BB">
      <w:pPr>
        <w:ind w:left="2160" w:hanging="720"/>
      </w:pPr>
      <w:r w:rsidRPr="003B4362">
        <w:t>6)</w:t>
      </w:r>
      <w:r w:rsidRPr="003B4362">
        <w:tab/>
        <w:t xml:space="preserve">The daily </w:t>
      </w:r>
      <w:bookmarkStart w:id="601" w:name="_Hlk133924009"/>
      <w:r w:rsidRPr="003B4362">
        <w:t>CT</w:t>
      </w:r>
      <w:r w:rsidRPr="003B4362">
        <w:rPr>
          <w:vertAlign w:val="subscript"/>
        </w:rPr>
        <w:t>calc</w:t>
      </w:r>
      <w:r w:rsidRPr="003B4362">
        <w:t xml:space="preserve"> </w:t>
      </w:r>
      <w:bookmarkEnd w:id="601"/>
      <w:r w:rsidRPr="003B4362">
        <w:t xml:space="preserve">and </w:t>
      </w:r>
      <w:bookmarkStart w:id="602" w:name="_Hlk133924116"/>
      <w:r w:rsidRPr="003B4362">
        <w:t>A</w:t>
      </w:r>
      <w:r w:rsidRPr="003B4362">
        <w:rPr>
          <w:vertAlign w:val="subscript"/>
        </w:rPr>
        <w:t>i</w:t>
      </w:r>
      <w:r w:rsidRPr="003B4362">
        <w:t xml:space="preserve"> </w:t>
      </w:r>
      <w:bookmarkEnd w:id="602"/>
      <w:r w:rsidRPr="003B4362">
        <w:t>values for each disinfectant measurement or sequence and the sum of all A</w:t>
      </w:r>
      <w:r w:rsidRPr="003B4362">
        <w:rPr>
          <w:vertAlign w:val="subscript"/>
        </w:rPr>
        <w:t>i</w:t>
      </w:r>
      <w:r w:rsidRPr="003B4362">
        <w:t xml:space="preserve"> values (B) before or at the first customer.</w:t>
      </w:r>
    </w:p>
    <w:p w14:paraId="35DFC952" w14:textId="77777777" w:rsidR="000F08BB" w:rsidRDefault="000F08BB" w:rsidP="000F08BB">
      <w:pPr>
        <w:ind w:left="2160" w:hanging="720"/>
      </w:pPr>
    </w:p>
    <w:p w14:paraId="2346F8C8" w14:textId="3D1A529B" w:rsidR="009B1902" w:rsidRPr="003B4362" w:rsidRDefault="009B1902" w:rsidP="000F08BB">
      <w:pPr>
        <w:ind w:left="2160" w:hanging="720"/>
      </w:pPr>
      <w:r w:rsidRPr="003B4362">
        <w:t>7)</w:t>
      </w:r>
      <w:r w:rsidRPr="003B4362">
        <w:tab/>
        <w:t xml:space="preserve">The daily </w:t>
      </w:r>
      <w:bookmarkStart w:id="603" w:name="_Hlk133927402"/>
      <w:r w:rsidRPr="003B4362">
        <w:t>determination whether</w:t>
      </w:r>
      <w:bookmarkEnd w:id="603"/>
      <w:r w:rsidRPr="003B4362">
        <w:t xml:space="preserve"> disinfection achieves adequate Giardia cyst and virus inactivation, i.e., whether A</w:t>
      </w:r>
      <w:r w:rsidRPr="003B4362">
        <w:rPr>
          <w:vertAlign w:val="subscript"/>
        </w:rPr>
        <w:t>i</w:t>
      </w:r>
      <w:r w:rsidRPr="003B4362">
        <w:t xml:space="preserve"> is at least 1.0.  I</w:t>
      </w:r>
      <w:bookmarkStart w:id="604" w:name="_Hlk133928279"/>
      <w:r w:rsidRPr="003B4362">
        <w:t>f the supplier uses a disinfectant other than chlorine, the supplier must use other indicator conditions</w:t>
      </w:r>
      <w:bookmarkEnd w:id="604"/>
      <w:r w:rsidRPr="003B4362">
        <w:t xml:space="preserve"> </w:t>
      </w:r>
      <w:bookmarkStart w:id="605" w:name="_Hlk133928438"/>
      <w:r w:rsidRPr="003B4362">
        <w:t>the Agency determines appropriate under Section 611.241(a)(1)</w:t>
      </w:r>
      <w:bookmarkEnd w:id="605"/>
      <w:r w:rsidRPr="003B4362">
        <w:t>.</w:t>
      </w:r>
    </w:p>
    <w:p w14:paraId="257F091B" w14:textId="77777777" w:rsidR="000F08BB" w:rsidRDefault="000F08BB" w:rsidP="000F08BB">
      <w:pPr>
        <w:ind w:left="2160" w:hanging="720"/>
      </w:pPr>
    </w:p>
    <w:p w14:paraId="74C2E758" w14:textId="653B0D6D" w:rsidR="009B1902" w:rsidRPr="003B4362" w:rsidRDefault="009B1902" w:rsidP="000F08BB">
      <w:pPr>
        <w:ind w:left="2160" w:hanging="720"/>
      </w:pPr>
      <w:r w:rsidRPr="003B4362">
        <w:t>8)</w:t>
      </w:r>
      <w:r w:rsidRPr="003B4362">
        <w:tab/>
        <w:t>S</w:t>
      </w:r>
      <w:bookmarkStart w:id="606" w:name="_Hlk133928610"/>
      <w:r w:rsidRPr="003B4362">
        <w:t xml:space="preserve">pecific information on the supplier’s distribution system samples </w:t>
      </w:r>
      <w:bookmarkStart w:id="607" w:name="_Hlk133928866"/>
      <w:r w:rsidRPr="003B4362">
        <w:t xml:space="preserve">the supplier took for </w:t>
      </w:r>
      <w:bookmarkEnd w:id="606"/>
      <w:r w:rsidRPr="003B4362">
        <w:t>total coliform monitoring</w:t>
      </w:r>
      <w:bookmarkEnd w:id="607"/>
      <w:r w:rsidRPr="003B4362">
        <w:t xml:space="preserve"> </w:t>
      </w:r>
      <w:bookmarkStart w:id="608" w:name="_Hlk133928979"/>
      <w:r w:rsidRPr="003B4362">
        <w:t>under Sections 611.240 through 611.242</w:t>
      </w:r>
      <w:bookmarkEnd w:id="608"/>
      <w:r w:rsidRPr="003B4362">
        <w:t>:</w:t>
      </w:r>
    </w:p>
    <w:p w14:paraId="63901523" w14:textId="77777777" w:rsidR="000F08BB" w:rsidRDefault="000F08BB" w:rsidP="000F08BB">
      <w:pPr>
        <w:ind w:left="2880" w:hanging="720"/>
      </w:pPr>
    </w:p>
    <w:p w14:paraId="7432213D" w14:textId="158D29FA" w:rsidR="009B1902" w:rsidRPr="003B4362" w:rsidRDefault="009B1902" w:rsidP="000F08BB">
      <w:pPr>
        <w:ind w:left="2880" w:hanging="720"/>
      </w:pPr>
      <w:r w:rsidRPr="003B4362">
        <w:t>A)</w:t>
      </w:r>
      <w:r w:rsidRPr="003B4362">
        <w:tab/>
        <w:t>T</w:t>
      </w:r>
      <w:bookmarkStart w:id="609" w:name="_Hlk133929174"/>
      <w:r w:rsidRPr="003B4362">
        <w:t>he number of times when the supplier measured the RDC</w:t>
      </w:r>
      <w:bookmarkEnd w:id="609"/>
      <w:r w:rsidRPr="003B4362">
        <w:t>;</w:t>
      </w:r>
    </w:p>
    <w:p w14:paraId="5C63EF04" w14:textId="77777777" w:rsidR="000F08BB" w:rsidRDefault="000F08BB" w:rsidP="000F08BB">
      <w:pPr>
        <w:ind w:left="2880" w:hanging="720"/>
      </w:pPr>
    </w:p>
    <w:p w14:paraId="42320E2E" w14:textId="2987DE32" w:rsidR="009B1902" w:rsidRPr="003B4362" w:rsidRDefault="009B1902" w:rsidP="000F08BB">
      <w:pPr>
        <w:ind w:left="2880" w:hanging="720"/>
      </w:pPr>
      <w:r w:rsidRPr="003B4362">
        <w:t>B)</w:t>
      </w:r>
      <w:r w:rsidRPr="003B4362">
        <w:tab/>
        <w:t>T</w:t>
      </w:r>
      <w:bookmarkStart w:id="610" w:name="_Hlk133929723"/>
      <w:r w:rsidRPr="003B4362">
        <w:t xml:space="preserve">he number of times when the supplier did not measure the RDC </w:t>
      </w:r>
      <w:bookmarkStart w:id="611" w:name="_Hlk133929860"/>
      <w:bookmarkEnd w:id="610"/>
      <w:r w:rsidRPr="003B4362">
        <w:t>but did measure HPC</w:t>
      </w:r>
      <w:bookmarkEnd w:id="611"/>
      <w:r w:rsidRPr="003B4362">
        <w:t>;</w:t>
      </w:r>
    </w:p>
    <w:p w14:paraId="1399FE88" w14:textId="77777777" w:rsidR="000F08BB" w:rsidRDefault="000F08BB" w:rsidP="000F08BB">
      <w:pPr>
        <w:ind w:left="2880" w:hanging="720"/>
      </w:pPr>
    </w:p>
    <w:p w14:paraId="1556DFA4" w14:textId="00D557E8" w:rsidR="009B1902" w:rsidRPr="003B4362" w:rsidRDefault="009B1902" w:rsidP="000F08BB">
      <w:pPr>
        <w:ind w:left="2880" w:hanging="720"/>
      </w:pPr>
      <w:r w:rsidRPr="003B4362">
        <w:t>C)</w:t>
      </w:r>
      <w:r w:rsidRPr="003B4362">
        <w:tab/>
        <w:t>T</w:t>
      </w:r>
      <w:bookmarkStart w:id="612" w:name="_Hlk133930187"/>
      <w:r w:rsidRPr="003B4362">
        <w:t xml:space="preserve">he number of times the supplier measured but did not detect RDC </w:t>
      </w:r>
      <w:bookmarkStart w:id="613" w:name="_Hlk133929271"/>
      <w:bookmarkEnd w:id="612"/>
      <w:r w:rsidRPr="003B4362">
        <w:t xml:space="preserve"> </w:t>
      </w:r>
      <w:bookmarkStart w:id="614" w:name="_Hlk133930986"/>
      <w:r w:rsidRPr="003B4362">
        <w:t>and measured HPC</w:t>
      </w:r>
      <w:bookmarkEnd w:id="613"/>
      <w:bookmarkEnd w:id="614"/>
      <w:r w:rsidRPr="003B4362">
        <w:t>;</w:t>
      </w:r>
    </w:p>
    <w:p w14:paraId="7420DE37" w14:textId="77777777" w:rsidR="000F08BB" w:rsidRDefault="000F08BB" w:rsidP="000F08BB">
      <w:pPr>
        <w:ind w:left="2880" w:hanging="720"/>
      </w:pPr>
    </w:p>
    <w:p w14:paraId="40CE63C1" w14:textId="15C65112" w:rsidR="009B1902" w:rsidRPr="003B4362" w:rsidRDefault="009B1902" w:rsidP="000F08BB">
      <w:pPr>
        <w:ind w:left="2880" w:hanging="720"/>
      </w:pPr>
      <w:r w:rsidRPr="003B4362">
        <w:t>D)</w:t>
      </w:r>
      <w:r w:rsidRPr="003B4362">
        <w:tab/>
        <w:t>T</w:t>
      </w:r>
      <w:bookmarkStart w:id="615" w:name="_Hlk133931129"/>
      <w:r w:rsidRPr="003B4362">
        <w:t>he number of times when the supplier measured but did not detect the RDC</w:t>
      </w:r>
      <w:bookmarkEnd w:id="615"/>
      <w:r w:rsidRPr="003B4362">
        <w:t xml:space="preserve">, </w:t>
      </w:r>
      <w:bookmarkStart w:id="616" w:name="_Hlk133931206"/>
      <w:r w:rsidRPr="003B4362">
        <w:t>and the HPC is greater than 500/ml</w:t>
      </w:r>
      <w:bookmarkEnd w:id="616"/>
      <w:r w:rsidRPr="003B4362">
        <w:t>;</w:t>
      </w:r>
    </w:p>
    <w:p w14:paraId="297F05B5" w14:textId="77777777" w:rsidR="000F08BB" w:rsidRDefault="000F08BB" w:rsidP="000F08BB">
      <w:pPr>
        <w:ind w:left="2880" w:hanging="720"/>
      </w:pPr>
    </w:p>
    <w:p w14:paraId="48D5C066" w14:textId="2BF9CECB" w:rsidR="009B1902" w:rsidRPr="003B4362" w:rsidRDefault="009B1902" w:rsidP="000F08BB">
      <w:pPr>
        <w:ind w:left="2880" w:hanging="720"/>
      </w:pPr>
      <w:r w:rsidRPr="003B4362">
        <w:t>E)</w:t>
      </w:r>
      <w:r w:rsidRPr="003B4362">
        <w:tab/>
        <w:t>T</w:t>
      </w:r>
      <w:bookmarkStart w:id="617" w:name="_Hlk133931342"/>
      <w:r w:rsidRPr="003B4362">
        <w:t xml:space="preserve">he number of times when the supplier did not measure the RDC, </w:t>
      </w:r>
      <w:bookmarkStart w:id="618" w:name="_Hlk133931681"/>
      <w:bookmarkEnd w:id="617"/>
      <w:r w:rsidRPr="003B4362">
        <w:t>and the HPC is greater than 500/ml</w:t>
      </w:r>
      <w:bookmarkEnd w:id="618"/>
      <w:r w:rsidRPr="003B4362">
        <w:t>;</w:t>
      </w:r>
    </w:p>
    <w:p w14:paraId="7C982B92" w14:textId="77777777" w:rsidR="000F08BB" w:rsidRDefault="000F08BB" w:rsidP="000F08BB">
      <w:pPr>
        <w:ind w:left="2880" w:hanging="720"/>
      </w:pPr>
    </w:p>
    <w:p w14:paraId="4B42E85D" w14:textId="090AC0EE" w:rsidR="009B1902" w:rsidRPr="003B4362" w:rsidRDefault="009B1902" w:rsidP="000F08BB">
      <w:pPr>
        <w:ind w:left="2880" w:hanging="720"/>
      </w:pPr>
      <w:r w:rsidRPr="003B4362">
        <w:t>F)</w:t>
      </w:r>
      <w:r w:rsidRPr="003B4362">
        <w:tab/>
        <w:t xml:space="preserve">For the current and previous month </w:t>
      </w:r>
      <w:bookmarkStart w:id="619" w:name="_Hlk133931804"/>
      <w:r w:rsidRPr="003B4362">
        <w:t>the supplier served water</w:t>
      </w:r>
      <w:bookmarkEnd w:id="619"/>
      <w:r w:rsidRPr="003B4362">
        <w:t xml:space="preserve"> to the public, the value of “V” in the following formula:</w:t>
      </w:r>
    </w:p>
    <w:p w14:paraId="637D8669" w14:textId="77777777" w:rsidR="000F08BB" w:rsidRDefault="000F08BB" w:rsidP="000F08BB">
      <w:pPr>
        <w:ind w:left="3600"/>
      </w:pPr>
    </w:p>
    <w:p w14:paraId="60D9136C" w14:textId="74CC7A52" w:rsidR="009B1902" w:rsidRPr="003B4362" w:rsidRDefault="009B1902" w:rsidP="000F08BB">
      <w:pPr>
        <w:ind w:left="3600"/>
      </w:pPr>
      <w:r w:rsidRPr="003B4362">
        <w:rPr>
          <w:position w:val="-26"/>
        </w:rPr>
        <w:object w:dxaOrig="2040" w:dyaOrig="680" w14:anchorId="5A8CB087">
          <v:shape id="_x0000_i1026" type="#_x0000_t75" style="width:100pt;height:37pt" o:ole="" fillcolor="window">
            <v:imagedata r:id="rId22" o:title=""/>
          </v:shape>
          <o:OLEObject Type="Embed" ProgID="Equation.2" ShapeID="_x0000_i1026" DrawAspect="Content" ObjectID="_1801494021" r:id="rId23"/>
        </w:object>
      </w:r>
    </w:p>
    <w:p w14:paraId="78EC4CA9" w14:textId="77777777" w:rsidR="000F08BB" w:rsidRDefault="000F08BB" w:rsidP="000F08BB">
      <w:pPr>
        <w:ind w:left="2880"/>
      </w:pPr>
      <w:bookmarkStart w:id="620" w:name="_Hlk133931851"/>
    </w:p>
    <w:p w14:paraId="02CAF5B2" w14:textId="619A5644" w:rsidR="009B1902" w:rsidRPr="003B4362" w:rsidRDefault="009B1902" w:rsidP="000F08BB">
      <w:pPr>
        <w:ind w:left="2880"/>
      </w:pPr>
      <w:r w:rsidRPr="003B4362">
        <w:t>where</w:t>
      </w:r>
      <w:bookmarkEnd w:id="620"/>
      <w:r w:rsidRPr="003B4362">
        <w:t>:</w:t>
      </w:r>
    </w:p>
    <w:p w14:paraId="40BDE112" w14:textId="77777777" w:rsidR="000F08BB" w:rsidRDefault="000F08BB" w:rsidP="000F08BB">
      <w:pPr>
        <w:ind w:left="4320" w:hanging="720"/>
      </w:pPr>
    </w:p>
    <w:p w14:paraId="3F4070E0" w14:textId="1C45E70F" w:rsidR="009B1902" w:rsidRPr="003B4362" w:rsidRDefault="009B1902" w:rsidP="000F08BB">
      <w:pPr>
        <w:ind w:left="4320" w:hanging="720"/>
      </w:pPr>
      <w:r w:rsidRPr="003B4362">
        <w:t>a =</w:t>
      </w:r>
      <w:r w:rsidRPr="003B4362">
        <w:tab/>
        <w:t>The value in subsection (b)(8)(A);</w:t>
      </w:r>
    </w:p>
    <w:p w14:paraId="2420245E" w14:textId="77777777" w:rsidR="000F08BB" w:rsidRDefault="000F08BB" w:rsidP="000F08BB">
      <w:pPr>
        <w:ind w:left="4320" w:hanging="720"/>
      </w:pPr>
    </w:p>
    <w:p w14:paraId="26371899" w14:textId="4F705956" w:rsidR="009B1902" w:rsidRPr="003B4362" w:rsidRDefault="009B1902" w:rsidP="000F08BB">
      <w:pPr>
        <w:ind w:left="4320" w:hanging="720"/>
      </w:pPr>
      <w:r w:rsidRPr="003B4362">
        <w:t>b =</w:t>
      </w:r>
      <w:r w:rsidRPr="003B4362">
        <w:tab/>
        <w:t>The value subsection (b)(8)(B);</w:t>
      </w:r>
    </w:p>
    <w:p w14:paraId="62242DAF" w14:textId="77777777" w:rsidR="000F08BB" w:rsidRDefault="000F08BB" w:rsidP="000F08BB">
      <w:pPr>
        <w:ind w:left="4320" w:hanging="720"/>
      </w:pPr>
    </w:p>
    <w:p w14:paraId="2AB75A2F" w14:textId="001FE1C0" w:rsidR="009B1902" w:rsidRPr="003B4362" w:rsidRDefault="009B1902" w:rsidP="000F08BB">
      <w:pPr>
        <w:ind w:left="4320" w:hanging="720"/>
      </w:pPr>
      <w:r w:rsidRPr="003B4362">
        <w:t>c =</w:t>
      </w:r>
      <w:r w:rsidRPr="003B4362">
        <w:tab/>
        <w:t>The value in subsection (b)(8)(C);</w:t>
      </w:r>
    </w:p>
    <w:p w14:paraId="1C36D944" w14:textId="77777777" w:rsidR="000F08BB" w:rsidRDefault="000F08BB" w:rsidP="000F08BB">
      <w:pPr>
        <w:ind w:left="4320" w:hanging="720"/>
      </w:pPr>
    </w:p>
    <w:p w14:paraId="570B842E" w14:textId="20F96F7D" w:rsidR="009B1902" w:rsidRPr="003B4362" w:rsidRDefault="009B1902" w:rsidP="000F08BB">
      <w:pPr>
        <w:ind w:left="4320" w:hanging="720"/>
      </w:pPr>
      <w:r w:rsidRPr="003B4362">
        <w:t>d =</w:t>
      </w:r>
      <w:r w:rsidRPr="003B4362">
        <w:tab/>
        <w:t>The value in subsection (b)(8)(D); and</w:t>
      </w:r>
    </w:p>
    <w:p w14:paraId="67256CFD" w14:textId="77777777" w:rsidR="000F08BB" w:rsidRDefault="000F08BB" w:rsidP="000F08BB">
      <w:pPr>
        <w:ind w:left="4320" w:hanging="720"/>
      </w:pPr>
    </w:p>
    <w:p w14:paraId="6FDAC102" w14:textId="7F39CAC9" w:rsidR="009B1902" w:rsidRPr="003B4362" w:rsidRDefault="009B1902" w:rsidP="000F08BB">
      <w:pPr>
        <w:ind w:left="4320" w:hanging="720"/>
      </w:pPr>
      <w:r w:rsidRPr="003B4362">
        <w:t>e =</w:t>
      </w:r>
      <w:r w:rsidRPr="003B4362">
        <w:tab/>
        <w:t>The value in subsection (b)(8)(E).</w:t>
      </w:r>
    </w:p>
    <w:p w14:paraId="3AF44905" w14:textId="77777777" w:rsidR="000F08BB" w:rsidRDefault="000F08BB" w:rsidP="000F08BB">
      <w:pPr>
        <w:ind w:left="2880" w:hanging="720"/>
      </w:pPr>
    </w:p>
    <w:p w14:paraId="362B63EF" w14:textId="21D31C60" w:rsidR="009B1902" w:rsidRPr="003B4362" w:rsidRDefault="009B1902" w:rsidP="000F08BB">
      <w:pPr>
        <w:ind w:left="2880" w:hanging="720"/>
      </w:pPr>
      <w:r w:rsidRPr="003B4362">
        <w:t>G)</w:t>
      </w:r>
      <w:r w:rsidRPr="003B4362">
        <w:tab/>
        <w:t>S</w:t>
      </w:r>
      <w:bookmarkStart w:id="621" w:name="_Hlk133932729"/>
      <w:r w:rsidRPr="003B4362">
        <w:t>ubsections (b)(8)(A) through (b)(8)(F)</w:t>
      </w:r>
      <w:bookmarkStart w:id="622" w:name="_Hlk133932771"/>
      <w:bookmarkEnd w:id="621"/>
      <w:r w:rsidRPr="003B4362">
        <w:t xml:space="preserve"> do not apply</w:t>
      </w:r>
      <w:bookmarkEnd w:id="622"/>
      <w:r w:rsidRPr="003B4362">
        <w:t xml:space="preserve"> if the Agency determines, under Section 611.213, that </w:t>
      </w:r>
      <w:bookmarkStart w:id="623" w:name="_Hlk133932797"/>
      <w:r w:rsidRPr="003B4362">
        <w:t>a supplier has no means</w:t>
      </w:r>
      <w:bookmarkEnd w:id="623"/>
      <w:r w:rsidRPr="003B4362">
        <w:t xml:space="preserve"> for having a sample analyzed for HPC by a certified laboratory under the requisite time and temperature conditions specified by Section 611.531(a) and that </w:t>
      </w:r>
      <w:bookmarkStart w:id="624" w:name="_Hlk133932878"/>
      <w:r w:rsidRPr="003B4362">
        <w:t>the supplier adequately provides disinfection</w:t>
      </w:r>
      <w:bookmarkEnd w:id="624"/>
      <w:r w:rsidRPr="003B4362">
        <w:t xml:space="preserve"> in the distribution system.</w:t>
      </w:r>
    </w:p>
    <w:p w14:paraId="0E39E7CF" w14:textId="77777777" w:rsidR="000F08BB" w:rsidRDefault="000F08BB" w:rsidP="000F08BB">
      <w:pPr>
        <w:ind w:left="2160" w:hanging="720"/>
      </w:pPr>
    </w:p>
    <w:p w14:paraId="39A5AB8E" w14:textId="48A21CDB" w:rsidR="009B1902" w:rsidRPr="003B4362" w:rsidRDefault="009B1902" w:rsidP="000F08BB">
      <w:pPr>
        <w:ind w:left="2160" w:hanging="720"/>
      </w:pPr>
      <w:r w:rsidRPr="003B4362">
        <w:t>9)</w:t>
      </w:r>
      <w:r w:rsidRPr="003B4362">
        <w:tab/>
        <w:t>A</w:t>
      </w:r>
      <w:bookmarkStart w:id="625" w:name="_Hlk133933752"/>
      <w:r w:rsidRPr="003B4362">
        <w:t xml:space="preserve"> supplier needs not report</w:t>
      </w:r>
      <w:bookmarkEnd w:id="625"/>
      <w:r w:rsidRPr="003B4362">
        <w:t xml:space="preserve"> </w:t>
      </w:r>
      <w:bookmarkStart w:id="626" w:name="_Hlk133933833"/>
      <w:r w:rsidRPr="003B4362">
        <w:t>the data subsections (b)(1) and (b)(3) through (b)(6) require if all data subsections (b)(1) through (b)(8) require remain on file</w:t>
      </w:r>
      <w:bookmarkEnd w:id="626"/>
      <w:r w:rsidRPr="003B4362">
        <w:t xml:space="preserve"> at the system, and </w:t>
      </w:r>
      <w:bookmarkStart w:id="627" w:name="_Hlk133934028"/>
      <w:r w:rsidRPr="003B4362">
        <w:t>the Agency issues  a SEP making specific determinations</w:t>
      </w:r>
      <w:bookmarkEnd w:id="627"/>
      <w:r w:rsidRPr="003B4362">
        <w:t>:</w:t>
      </w:r>
    </w:p>
    <w:p w14:paraId="3E9B9004" w14:textId="77777777" w:rsidR="000F08BB" w:rsidRDefault="000F08BB" w:rsidP="000F08BB">
      <w:pPr>
        <w:ind w:left="2880" w:hanging="720"/>
      </w:pPr>
    </w:p>
    <w:p w14:paraId="23B3375C" w14:textId="5E7EB967" w:rsidR="009B1902" w:rsidRPr="003B4362" w:rsidRDefault="009B1902" w:rsidP="000F08BB">
      <w:pPr>
        <w:ind w:left="2880" w:hanging="720"/>
      </w:pPr>
      <w:r w:rsidRPr="003B4362">
        <w:t>A)</w:t>
      </w:r>
      <w:r w:rsidRPr="003B4362">
        <w:tab/>
        <w:t>T</w:t>
      </w:r>
      <w:bookmarkStart w:id="628" w:name="_Hlk133934218"/>
      <w:r w:rsidRPr="003B4362">
        <w:t xml:space="preserve">hat the supplier submitted </w:t>
      </w:r>
      <w:bookmarkEnd w:id="628"/>
      <w:r w:rsidRPr="003B4362">
        <w:t xml:space="preserve">all the </w:t>
      </w:r>
      <w:bookmarkStart w:id="629" w:name="_Hlk133934403"/>
      <w:r w:rsidRPr="003B4362">
        <w:t>information subsections (b)(1) through (b)(8) require</w:t>
      </w:r>
      <w:bookmarkEnd w:id="629"/>
      <w:r w:rsidRPr="003B4362">
        <w:t xml:space="preserve"> to the Agency for at least 12 months; and</w:t>
      </w:r>
    </w:p>
    <w:p w14:paraId="5E8F70C8" w14:textId="77777777" w:rsidR="000F08BB" w:rsidRDefault="000F08BB" w:rsidP="000F08BB">
      <w:pPr>
        <w:ind w:left="2880" w:hanging="720"/>
      </w:pPr>
    </w:p>
    <w:p w14:paraId="2D5F96EB" w14:textId="70F0BCFF" w:rsidR="009B1902" w:rsidRPr="003B4362" w:rsidRDefault="009B1902" w:rsidP="000F08BB">
      <w:pPr>
        <w:ind w:left="2880" w:hanging="720"/>
      </w:pPr>
      <w:r w:rsidRPr="003B4362">
        <w:t>B)</w:t>
      </w:r>
      <w:r w:rsidRPr="003B4362">
        <w:tab/>
        <w:t>T</w:t>
      </w:r>
      <w:bookmarkStart w:id="630" w:name="_Hlk133934501"/>
      <w:r w:rsidRPr="003B4362">
        <w:t>hat the supplier needs not provide</w:t>
      </w:r>
      <w:bookmarkEnd w:id="630"/>
      <w:r w:rsidRPr="003B4362">
        <w:t xml:space="preserve"> filtration treatment.</w:t>
      </w:r>
    </w:p>
    <w:p w14:paraId="094012C7" w14:textId="77777777" w:rsidR="000F08BB" w:rsidRDefault="000F08BB" w:rsidP="000F08BB">
      <w:pPr>
        <w:ind w:left="1440" w:hanging="720"/>
      </w:pPr>
    </w:p>
    <w:p w14:paraId="472D8EAF" w14:textId="3FE68318" w:rsidR="009B1902" w:rsidRPr="003B4362" w:rsidRDefault="009B1902" w:rsidP="000F08BB">
      <w:pPr>
        <w:ind w:left="1440" w:hanging="720"/>
      </w:pPr>
      <w:r w:rsidRPr="003B4362">
        <w:t>c)</w:t>
      </w:r>
      <w:r w:rsidRPr="003B4362">
        <w:tab/>
        <w:t xml:space="preserve">By October 10 of each year, </w:t>
      </w:r>
      <w:bookmarkStart w:id="631" w:name="_Hlk133934584"/>
      <w:r w:rsidRPr="003B4362">
        <w:t xml:space="preserve">every supplier must provide a report to the Agency summarizing </w:t>
      </w:r>
      <w:bookmarkEnd w:id="631"/>
      <w:r w:rsidRPr="003B4362">
        <w:t>its compliance with all watershed control program requirements in Section 611.232(b).</w:t>
      </w:r>
    </w:p>
    <w:p w14:paraId="48B081B4" w14:textId="77777777" w:rsidR="000F08BB" w:rsidRDefault="000F08BB" w:rsidP="000F08BB">
      <w:pPr>
        <w:ind w:left="1440" w:hanging="720"/>
      </w:pPr>
    </w:p>
    <w:p w14:paraId="39C7BD32" w14:textId="7A1D14B6" w:rsidR="009B1902" w:rsidRPr="003B4362" w:rsidRDefault="009B1902" w:rsidP="000F08BB">
      <w:pPr>
        <w:ind w:left="1440" w:hanging="720"/>
      </w:pPr>
      <w:r w:rsidRPr="003B4362">
        <w:t>d)</w:t>
      </w:r>
      <w:r w:rsidRPr="003B4362">
        <w:tab/>
        <w:t xml:space="preserve">By October 10 of each year, </w:t>
      </w:r>
      <w:bookmarkStart w:id="632" w:name="_Hlk133934890"/>
      <w:r w:rsidRPr="003B4362">
        <w:t>every supplier must provide a report to the Agency</w:t>
      </w:r>
      <w:bookmarkEnd w:id="632"/>
      <w:r w:rsidRPr="003B4362">
        <w:t xml:space="preserve"> on the </w:t>
      </w:r>
      <w:bookmarkStart w:id="633" w:name="_Hlk133935031"/>
      <w:r w:rsidRPr="003B4362">
        <w:t>on-site inspection the supplier conducted</w:t>
      </w:r>
      <w:bookmarkEnd w:id="633"/>
      <w:r w:rsidRPr="003B4362">
        <w:t xml:space="preserve"> during that year under Section 611.232(c), </w:t>
      </w:r>
      <w:bookmarkStart w:id="634" w:name="_Hlk133935102"/>
      <w:r w:rsidRPr="003B4362">
        <w:t>unless the Agency conducted the on-site inspection</w:t>
      </w:r>
      <w:bookmarkEnd w:id="634"/>
      <w:r w:rsidRPr="003B4362">
        <w:t>.  If the Agency conducted the inspection, the Agency must provide a copy of its report to the supplier.</w:t>
      </w:r>
    </w:p>
    <w:p w14:paraId="021C1FD6" w14:textId="77777777" w:rsidR="000F08BB" w:rsidRDefault="000F08BB" w:rsidP="000F08BB">
      <w:pPr>
        <w:ind w:left="1440" w:hanging="720"/>
      </w:pPr>
    </w:p>
    <w:p w14:paraId="3EB1F70A" w14:textId="366CAC56" w:rsidR="009B1902" w:rsidRPr="003B4362" w:rsidRDefault="009B1902" w:rsidP="000F08BB">
      <w:pPr>
        <w:ind w:left="1440" w:hanging="720"/>
      </w:pPr>
      <w:r w:rsidRPr="003B4362">
        <w:t>e)</w:t>
      </w:r>
      <w:r w:rsidRPr="003B4362">
        <w:tab/>
        <w:t>Reporting Health Threats</w:t>
      </w:r>
    </w:p>
    <w:p w14:paraId="291B7A36" w14:textId="77777777" w:rsidR="000F08BB" w:rsidRDefault="000F08BB" w:rsidP="000F08BB">
      <w:pPr>
        <w:ind w:left="2160" w:hanging="720"/>
      </w:pPr>
    </w:p>
    <w:p w14:paraId="4C5F063C" w14:textId="0BFDF7E3" w:rsidR="009B1902" w:rsidRPr="003B4362" w:rsidRDefault="009B1902" w:rsidP="000F08BB">
      <w:pPr>
        <w:ind w:left="2160" w:hanging="720"/>
      </w:pPr>
      <w:r w:rsidRPr="003B4362">
        <w:t>1)</w:t>
      </w:r>
      <w:r w:rsidRPr="003B4362">
        <w:tab/>
        <w:t>U</w:t>
      </w:r>
      <w:bookmarkStart w:id="635" w:name="_Hlk133935295"/>
      <w:r w:rsidRPr="003B4362">
        <w:t>pon discovering that a waterborne disease outbreak occurred that is potentially attributable to its water system, a supplier must report</w:t>
      </w:r>
      <w:bookmarkEnd w:id="635"/>
      <w:r w:rsidRPr="003B4362">
        <w:t xml:space="preserve"> that occurrence to the Agency </w:t>
      </w:r>
      <w:bookmarkStart w:id="636" w:name="_Hlk133935405"/>
      <w:r w:rsidRPr="003B4362">
        <w:t>as soon as possible but no later than</w:t>
      </w:r>
      <w:bookmarkEnd w:id="636"/>
      <w:r w:rsidRPr="003B4362">
        <w:t xml:space="preserve"> by the end of the next business day.</w:t>
      </w:r>
    </w:p>
    <w:p w14:paraId="232CF4D1" w14:textId="77777777" w:rsidR="000F08BB" w:rsidRDefault="000F08BB" w:rsidP="000F08BB">
      <w:pPr>
        <w:ind w:left="2160" w:hanging="720"/>
      </w:pPr>
    </w:p>
    <w:p w14:paraId="747F1033" w14:textId="1E2C43AD" w:rsidR="009B1902" w:rsidRPr="003B4362" w:rsidRDefault="009B1902" w:rsidP="000F08BB">
      <w:pPr>
        <w:ind w:left="2160" w:hanging="720"/>
      </w:pPr>
      <w:r w:rsidRPr="003B4362">
        <w:t>2)</w:t>
      </w:r>
      <w:r w:rsidRPr="003B4362">
        <w:tab/>
        <w:t xml:space="preserve">If at any time the turbidity exceeds 5 NTU, </w:t>
      </w:r>
      <w:bookmarkStart w:id="637" w:name="_Hlk133935489"/>
      <w:r w:rsidRPr="003B4362">
        <w:t>the supplier must consult</w:t>
      </w:r>
      <w:bookmarkEnd w:id="637"/>
      <w:r w:rsidRPr="003B4362">
        <w:t xml:space="preserve"> with the Agency as soon as practical, but no later than 24 hours </w:t>
      </w:r>
      <w:bookmarkStart w:id="638" w:name="_Hlk133935540"/>
      <w:r w:rsidRPr="003B4362">
        <w:t>after the supplier knows of the exceedance</w:t>
      </w:r>
      <w:bookmarkEnd w:id="638"/>
      <w:r w:rsidRPr="003B4362">
        <w:t xml:space="preserve">, </w:t>
      </w:r>
      <w:bookmarkStart w:id="639" w:name="_Hlk133935615"/>
      <w:r w:rsidRPr="003B4362">
        <w:t>under Section 611.903(b)(3)</w:t>
      </w:r>
      <w:bookmarkEnd w:id="639"/>
      <w:r w:rsidRPr="003B4362">
        <w:t>.</w:t>
      </w:r>
    </w:p>
    <w:p w14:paraId="5E7128B4" w14:textId="77777777" w:rsidR="000F08BB" w:rsidRDefault="000F08BB" w:rsidP="000F08BB">
      <w:pPr>
        <w:ind w:left="2160" w:hanging="720"/>
      </w:pPr>
    </w:p>
    <w:p w14:paraId="499D5DA7" w14:textId="0EB8B129" w:rsidR="009B1902" w:rsidRPr="003B4362" w:rsidRDefault="009B1902" w:rsidP="000F08BB">
      <w:pPr>
        <w:ind w:left="2160" w:hanging="720"/>
      </w:pPr>
      <w:r w:rsidRPr="003B4362">
        <w:t>3)</w:t>
      </w:r>
      <w:r w:rsidRPr="003B4362">
        <w:tab/>
        <w:t>If at any time the RDC falls below 0.2 mg/</w:t>
      </w:r>
      <w:r w:rsidR="00F560FD" w:rsidRPr="003B4362">
        <w:t xml:space="preserve"> L</w:t>
      </w:r>
      <w:r w:rsidRPr="003B4362">
        <w:t xml:space="preserve"> in the water entering the distribution system, the supplier must notify the Agency as soon as possible but no later than by the end of the next business day.  T</w:t>
      </w:r>
      <w:bookmarkStart w:id="640" w:name="_Hlk133936025"/>
      <w:r w:rsidRPr="003B4362">
        <w:t>he supplier must also notify</w:t>
      </w:r>
      <w:bookmarkEnd w:id="640"/>
      <w:r w:rsidRPr="003B4362">
        <w:t xml:space="preserve"> the Agency by the end of the next business day </w:t>
      </w:r>
      <w:bookmarkStart w:id="641" w:name="_Hlk133936090"/>
      <w:r w:rsidRPr="003B4362">
        <w:t xml:space="preserve">whether or not the supplier restored the RDC </w:t>
      </w:r>
      <w:bookmarkEnd w:id="641"/>
      <w:r w:rsidRPr="003B4362">
        <w:t>to at least 0.2 mg/</w:t>
      </w:r>
      <w:r w:rsidR="00F560FD" w:rsidRPr="003B4362">
        <w:t xml:space="preserve"> L</w:t>
      </w:r>
      <w:r w:rsidRPr="003B4362">
        <w:t xml:space="preserve"> within four hours.</w:t>
      </w:r>
    </w:p>
    <w:p w14:paraId="6D606FA2" w14:textId="77777777" w:rsidR="000F08BB" w:rsidRDefault="000F08BB" w:rsidP="000F08BB"/>
    <w:p w14:paraId="351EA384" w14:textId="3633696E" w:rsidR="009B1902" w:rsidRPr="003B4362" w:rsidRDefault="009B1902" w:rsidP="000F08BB">
      <w:r w:rsidRPr="003B4362">
        <w:t xml:space="preserve">BOARD NOTE:  </w:t>
      </w:r>
      <w:r w:rsidRPr="003B4362">
        <w:rPr>
          <w:spacing w:val="-3"/>
        </w:rPr>
        <w:t xml:space="preserve">This Section derives </w:t>
      </w:r>
      <w:r w:rsidRPr="003B4362">
        <w:t>from 40 CFR 141.75(a).</w:t>
      </w:r>
    </w:p>
    <w:p w14:paraId="6235AF32" w14:textId="77777777" w:rsidR="000F08BB" w:rsidRDefault="000F08BB" w:rsidP="000F08BB">
      <w:pPr>
        <w:suppressAutoHyphens/>
        <w:ind w:left="720"/>
      </w:pPr>
    </w:p>
    <w:p w14:paraId="7373BC3E" w14:textId="00C0DC24" w:rsidR="009B1902" w:rsidRPr="003B4362" w:rsidRDefault="00EB353D" w:rsidP="000F08BB">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56045F75" w14:textId="77777777" w:rsidR="00F829FE" w:rsidRPr="003B4362" w:rsidRDefault="00F829FE" w:rsidP="00F829FE">
      <w:pPr>
        <w:rPr>
          <w:b/>
          <w:bCs/>
        </w:rPr>
      </w:pPr>
    </w:p>
    <w:p w14:paraId="5F460B53" w14:textId="31DBBD92" w:rsidR="00B87EF4" w:rsidRPr="003B4362" w:rsidRDefault="00B87EF4" w:rsidP="00F829FE">
      <w:pPr>
        <w:rPr>
          <w:b/>
          <w:bCs/>
        </w:rPr>
      </w:pPr>
      <w:r w:rsidRPr="003B4362">
        <w:rPr>
          <w:b/>
          <w:bCs/>
        </w:rPr>
        <w:t>Section 611.262  Filtered PWSs:  Reporting and Recordkeeping</w:t>
      </w:r>
    </w:p>
    <w:p w14:paraId="1D2D4CD1" w14:textId="03ADA128" w:rsidR="00B87EF4" w:rsidRPr="003B4362" w:rsidRDefault="00B87EF4" w:rsidP="00B87EF4">
      <w:pPr>
        <w:suppressAutoHyphens/>
        <w:spacing w:before="240"/>
      </w:pPr>
      <w:r w:rsidRPr="003B4362">
        <w:t xml:space="preserve">A supplier </w:t>
      </w:r>
      <w:r w:rsidR="00383B2E" w:rsidRPr="003B4362">
        <w:t xml:space="preserve">using </w:t>
      </w:r>
      <w:r w:rsidRPr="003B4362">
        <w:t xml:space="preserve">a surface water source or a groundwater source under the direct influence of surface water </w:t>
      </w:r>
      <w:r w:rsidR="00FF3051" w:rsidRPr="003B4362">
        <w:t xml:space="preserve">that </w:t>
      </w:r>
      <w:r w:rsidRPr="003B4362">
        <w:t xml:space="preserve">provides filtration treatment must </w:t>
      </w:r>
      <w:r w:rsidR="00FF3051" w:rsidRPr="003B4362">
        <w:t xml:space="preserve">monthly </w:t>
      </w:r>
      <w:r w:rsidRPr="003B4362">
        <w:t xml:space="preserve">report </w:t>
      </w:r>
      <w:r w:rsidR="00FF3051" w:rsidRPr="003B4362">
        <w:t xml:space="preserve">specific information </w:t>
      </w:r>
      <w:r w:rsidRPr="003B4362">
        <w:t>to the Agency.</w:t>
      </w:r>
    </w:p>
    <w:p w14:paraId="6DE8A359" w14:textId="1EF23C07" w:rsidR="00B87EF4" w:rsidRPr="003B4362" w:rsidRDefault="00B87EF4" w:rsidP="00B87EF4">
      <w:pPr>
        <w:suppressAutoHyphens/>
        <w:spacing w:before="240"/>
        <w:ind w:left="1440" w:hanging="720"/>
      </w:pPr>
      <w:r w:rsidRPr="003B4362">
        <w:t>a)</w:t>
      </w:r>
      <w:r w:rsidRPr="003B4362">
        <w:tab/>
      </w:r>
      <w:r w:rsidR="00FF3051" w:rsidRPr="003B4362">
        <w:t xml:space="preserve">The supplier must report turbidity </w:t>
      </w:r>
      <w:r w:rsidRPr="003B4362">
        <w:t xml:space="preserve">measurements </w:t>
      </w:r>
      <w:r w:rsidR="00FF3051" w:rsidRPr="003B4362">
        <w:t xml:space="preserve">that </w:t>
      </w:r>
      <w:r w:rsidRPr="003B4362">
        <w:t xml:space="preserve">Section 611.533(a) </w:t>
      </w:r>
      <w:r w:rsidR="00FF3051" w:rsidRPr="003B4362">
        <w:t xml:space="preserve">requires </w:t>
      </w:r>
      <w:r w:rsidRPr="003B4362">
        <w:t xml:space="preserve">within ten days after the end of each month the supplier serves water to the public.  </w:t>
      </w:r>
      <w:r w:rsidR="00630198" w:rsidRPr="003B4362">
        <w:t>T</w:t>
      </w:r>
      <w:r w:rsidR="00FF3051" w:rsidRPr="003B4362">
        <w:t xml:space="preserve">he report </w:t>
      </w:r>
      <w:r w:rsidRPr="003B4362">
        <w:t>must</w:t>
      </w:r>
      <w:r w:rsidR="00FF3051" w:rsidRPr="003B4362">
        <w:t xml:space="preserve"> include specific information</w:t>
      </w:r>
      <w:r w:rsidRPr="003B4362">
        <w:t>:</w:t>
      </w:r>
    </w:p>
    <w:p w14:paraId="10CF7ABB" w14:textId="4DF59AC7" w:rsidR="00B87EF4" w:rsidRPr="003B4362" w:rsidRDefault="00B87EF4" w:rsidP="00B87EF4">
      <w:pPr>
        <w:suppressAutoHyphens/>
        <w:spacing w:before="240"/>
        <w:ind w:left="2160" w:hanging="720"/>
      </w:pPr>
      <w:r w:rsidRPr="003B4362">
        <w:t>1)</w:t>
      </w:r>
      <w:r w:rsidRPr="003B4362">
        <w:tab/>
        <w:t xml:space="preserve">The total number of filtered water turbidity measurements </w:t>
      </w:r>
      <w:r w:rsidR="00FF3051" w:rsidRPr="003B4362">
        <w:t xml:space="preserve">the supplier took </w:t>
      </w:r>
      <w:r w:rsidRPr="003B4362">
        <w:t>during the month.</w:t>
      </w:r>
    </w:p>
    <w:p w14:paraId="02A412E8" w14:textId="5F3597A4" w:rsidR="00B87EF4" w:rsidRPr="003B4362" w:rsidRDefault="00B87EF4" w:rsidP="00B87EF4">
      <w:pPr>
        <w:suppressAutoHyphens/>
        <w:spacing w:before="240"/>
        <w:ind w:left="2160" w:hanging="720"/>
      </w:pPr>
      <w:r w:rsidRPr="003B4362">
        <w:t>2)</w:t>
      </w:r>
      <w:r w:rsidRPr="003B4362">
        <w:tab/>
        <w:t xml:space="preserve">The number and percentage of filtered water turbidity measurements </w:t>
      </w:r>
      <w:r w:rsidR="00FF3051" w:rsidRPr="003B4362">
        <w:t xml:space="preserve">the supplier took </w:t>
      </w:r>
      <w:r w:rsidRPr="003B4362">
        <w:t xml:space="preserve">during the month that are less than or equal to the turbidity limits Section 611.250 </w:t>
      </w:r>
      <w:r w:rsidR="00FF3051" w:rsidRPr="003B4362">
        <w:t xml:space="preserve">specifies </w:t>
      </w:r>
      <w:r w:rsidRPr="003B4362">
        <w:t>for the filtration technology</w:t>
      </w:r>
      <w:r w:rsidR="00FF3051" w:rsidRPr="003B4362">
        <w:t xml:space="preserve"> the supplier uses</w:t>
      </w:r>
      <w:r w:rsidRPr="003B4362">
        <w:t>.</w:t>
      </w:r>
    </w:p>
    <w:p w14:paraId="6B75FFE2" w14:textId="26075D79" w:rsidR="00B87EF4" w:rsidRPr="003B4362" w:rsidRDefault="00B87EF4" w:rsidP="00B87EF4">
      <w:pPr>
        <w:suppressAutoHyphens/>
        <w:spacing w:before="240"/>
        <w:ind w:left="2160" w:hanging="720"/>
      </w:pPr>
      <w:r w:rsidRPr="003B4362">
        <w:t>3)</w:t>
      </w:r>
      <w:r w:rsidRPr="003B4362">
        <w:tab/>
        <w:t xml:space="preserve">The date and value of any turbidity measurements </w:t>
      </w:r>
      <w:r w:rsidR="00FF3051" w:rsidRPr="003B4362">
        <w:t xml:space="preserve">the supplier took </w:t>
      </w:r>
      <w:r w:rsidRPr="003B4362">
        <w:t>during the month that exceed 5 NTU.</w:t>
      </w:r>
    </w:p>
    <w:p w14:paraId="28E66463" w14:textId="474204C6" w:rsidR="00B87EF4" w:rsidRPr="003B4362" w:rsidRDefault="00B87EF4" w:rsidP="00B87EF4">
      <w:pPr>
        <w:suppressAutoHyphens/>
        <w:spacing w:before="240"/>
        <w:ind w:left="1440" w:hanging="720"/>
      </w:pPr>
      <w:r w:rsidRPr="003B4362">
        <w:t>b)</w:t>
      </w:r>
      <w:r w:rsidRPr="003B4362">
        <w:tab/>
      </w:r>
      <w:r w:rsidR="00630198" w:rsidRPr="003B4362">
        <w:t xml:space="preserve">The supplier must report the disinfection </w:t>
      </w:r>
      <w:r w:rsidRPr="003B4362">
        <w:t xml:space="preserve">information Section 611.533 </w:t>
      </w:r>
      <w:r w:rsidR="00630198" w:rsidRPr="003B4362">
        <w:t xml:space="preserve">specifies </w:t>
      </w:r>
      <w:r w:rsidRPr="003B4362">
        <w:t xml:space="preserve">to the Agency within ten days after the end of each month the supplier serves water to the public.  </w:t>
      </w:r>
      <w:r w:rsidR="00630198" w:rsidRPr="003B4362">
        <w:t>The report must include specific information</w:t>
      </w:r>
      <w:r w:rsidRPr="003B4362">
        <w:t>:</w:t>
      </w:r>
    </w:p>
    <w:p w14:paraId="29A5E7EF" w14:textId="7496F293" w:rsidR="00B87EF4" w:rsidRPr="003B4362" w:rsidRDefault="00B87EF4" w:rsidP="00B87EF4">
      <w:pPr>
        <w:suppressAutoHyphens/>
        <w:spacing w:before="240"/>
        <w:ind w:left="2160" w:hanging="720"/>
      </w:pPr>
      <w:r w:rsidRPr="003B4362">
        <w:lastRenderedPageBreak/>
        <w:t>1)</w:t>
      </w:r>
      <w:r w:rsidRPr="003B4362">
        <w:tab/>
        <w:t xml:space="preserve">For each day, the lowest </w:t>
      </w:r>
      <w:r w:rsidR="00630198" w:rsidRPr="003B4362">
        <w:t xml:space="preserve">RDC </w:t>
      </w:r>
      <w:r w:rsidRPr="003B4362">
        <w:t xml:space="preserve">measurement </w:t>
      </w:r>
      <w:r w:rsidR="00630198" w:rsidRPr="003B4362">
        <w:t>(</w:t>
      </w:r>
      <w:r w:rsidRPr="003B4362">
        <w:t>in mg/</w:t>
      </w:r>
      <w:r w:rsidR="00F560FD" w:rsidRPr="003B4362">
        <w:t xml:space="preserve"> L</w:t>
      </w:r>
      <w:r w:rsidR="00630198" w:rsidRPr="003B4362">
        <w:t>)</w:t>
      </w:r>
      <w:r w:rsidRPr="003B4362">
        <w:t xml:space="preserve"> in water entering the distribution system.</w:t>
      </w:r>
    </w:p>
    <w:p w14:paraId="5CBF779E" w14:textId="63424272" w:rsidR="00B87EF4" w:rsidRPr="003B4362" w:rsidRDefault="00B87EF4" w:rsidP="00B87EF4">
      <w:pPr>
        <w:suppressAutoHyphens/>
        <w:spacing w:before="240"/>
        <w:ind w:left="2160" w:hanging="720"/>
      </w:pPr>
      <w:r w:rsidRPr="003B4362">
        <w:t>2)</w:t>
      </w:r>
      <w:r w:rsidRPr="003B4362">
        <w:tab/>
        <w:t xml:space="preserve">The date and duration of each period </w:t>
      </w:r>
      <w:r w:rsidR="00630198" w:rsidRPr="003B4362">
        <w:t xml:space="preserve">during which </w:t>
      </w:r>
      <w:r w:rsidRPr="003B4362">
        <w:t>the RDC in water entering the distribution system fell below 0.2 mg/</w:t>
      </w:r>
      <w:r w:rsidR="00F560FD" w:rsidRPr="003B4362">
        <w:t xml:space="preserve"> L</w:t>
      </w:r>
      <w:r w:rsidRPr="003B4362">
        <w:t xml:space="preserve"> and when </w:t>
      </w:r>
      <w:r w:rsidR="00630198" w:rsidRPr="003B4362">
        <w:t xml:space="preserve">the supplier notified </w:t>
      </w:r>
      <w:r w:rsidRPr="003B4362">
        <w:t>the Agency of the occurrence.</w:t>
      </w:r>
    </w:p>
    <w:p w14:paraId="385CC04A" w14:textId="2D195C56" w:rsidR="00B87EF4" w:rsidRPr="003B4362" w:rsidRDefault="00B87EF4" w:rsidP="00B87EF4">
      <w:pPr>
        <w:suppressAutoHyphens/>
        <w:spacing w:before="240"/>
        <w:ind w:left="2160" w:hanging="720"/>
      </w:pPr>
      <w:r w:rsidRPr="003B4362">
        <w:t>3)</w:t>
      </w:r>
      <w:r w:rsidRPr="003B4362">
        <w:tab/>
      </w:r>
      <w:r w:rsidR="00630198" w:rsidRPr="003B4362">
        <w:t xml:space="preserve">Specific </w:t>
      </w:r>
      <w:r w:rsidRPr="003B4362">
        <w:t xml:space="preserve">information on the samples </w:t>
      </w:r>
      <w:r w:rsidR="00630198" w:rsidRPr="003B4362">
        <w:t xml:space="preserve">the supplier took </w:t>
      </w:r>
      <w:r w:rsidRPr="003B4362">
        <w:t xml:space="preserve">in the distribution system </w:t>
      </w:r>
      <w:r w:rsidR="00630198" w:rsidRPr="003B4362">
        <w:t xml:space="preserve">for </w:t>
      </w:r>
      <w:r w:rsidRPr="003B4362">
        <w:t>total coliform monitoring under Sections 611.240 through 611.242:</w:t>
      </w:r>
    </w:p>
    <w:p w14:paraId="5949B331" w14:textId="77C8B255" w:rsidR="00B87EF4" w:rsidRPr="003B4362" w:rsidRDefault="00B87EF4" w:rsidP="00B87EF4">
      <w:pPr>
        <w:suppressAutoHyphens/>
        <w:spacing w:before="240"/>
        <w:ind w:left="2880" w:hanging="720"/>
      </w:pPr>
      <w:r w:rsidRPr="003B4362">
        <w:t>A)</w:t>
      </w:r>
      <w:r w:rsidRPr="003B4362">
        <w:tab/>
      </w:r>
      <w:r w:rsidR="00630198" w:rsidRPr="003B4362">
        <w:t>The number of times when the supplier measured the RDC</w:t>
      </w:r>
      <w:r w:rsidRPr="003B4362">
        <w:t>;</w:t>
      </w:r>
    </w:p>
    <w:p w14:paraId="7B6C569C" w14:textId="3F249C42" w:rsidR="00B87EF4" w:rsidRPr="003B4362" w:rsidRDefault="00B87EF4" w:rsidP="00B87EF4">
      <w:pPr>
        <w:suppressAutoHyphens/>
        <w:spacing w:before="240"/>
        <w:ind w:left="2880" w:hanging="720"/>
      </w:pPr>
      <w:r w:rsidRPr="003B4362">
        <w:t>B)</w:t>
      </w:r>
      <w:r w:rsidRPr="003B4362">
        <w:tab/>
      </w:r>
      <w:r w:rsidR="00630198" w:rsidRPr="003B4362">
        <w:t>The number of times when the supplier did not measure the RDC but did measure HPC</w:t>
      </w:r>
      <w:r w:rsidRPr="003B4362">
        <w:t>;</w:t>
      </w:r>
    </w:p>
    <w:p w14:paraId="06438986" w14:textId="5268AC1F" w:rsidR="00B87EF4" w:rsidRPr="003B4362" w:rsidRDefault="00B87EF4" w:rsidP="00B87EF4">
      <w:pPr>
        <w:suppressAutoHyphens/>
        <w:spacing w:before="240"/>
        <w:ind w:left="2880" w:hanging="720"/>
      </w:pPr>
      <w:r w:rsidRPr="003B4362">
        <w:t>C)</w:t>
      </w:r>
      <w:r w:rsidRPr="003B4362">
        <w:tab/>
      </w:r>
      <w:r w:rsidR="00630198" w:rsidRPr="003B4362">
        <w:t>The number of times when the supplier measured but did not detect RDC but did not measure HPC</w:t>
      </w:r>
      <w:r w:rsidRPr="003B4362">
        <w:t>;</w:t>
      </w:r>
    </w:p>
    <w:p w14:paraId="67FF8E0D" w14:textId="70358292" w:rsidR="00B87EF4" w:rsidRPr="003B4362" w:rsidRDefault="00B87EF4" w:rsidP="00B87EF4">
      <w:pPr>
        <w:suppressAutoHyphens/>
        <w:spacing w:before="240"/>
        <w:ind w:left="2880" w:hanging="720"/>
      </w:pPr>
      <w:r w:rsidRPr="003B4362">
        <w:t>D)</w:t>
      </w:r>
      <w:r w:rsidRPr="003B4362">
        <w:tab/>
      </w:r>
      <w:r w:rsidR="00630198" w:rsidRPr="003B4362">
        <w:t>The number of times when the supplier measured but did not detect the RDC, and the HPC is greater than 500/ml</w:t>
      </w:r>
      <w:r w:rsidRPr="003B4362">
        <w:t>;</w:t>
      </w:r>
    </w:p>
    <w:p w14:paraId="51F987A7" w14:textId="54589E21" w:rsidR="00B87EF4" w:rsidRPr="003B4362" w:rsidRDefault="00B87EF4" w:rsidP="00B87EF4">
      <w:pPr>
        <w:suppressAutoHyphens/>
        <w:spacing w:before="240"/>
        <w:ind w:left="2880" w:hanging="720"/>
      </w:pPr>
      <w:r w:rsidRPr="003B4362">
        <w:t>E)</w:t>
      </w:r>
      <w:r w:rsidRPr="003B4362">
        <w:tab/>
      </w:r>
      <w:r w:rsidR="00630198" w:rsidRPr="003B4362">
        <w:t>The number of times when the supplier did not measure the RDC, and HPC is greater than 500/ml</w:t>
      </w:r>
      <w:r w:rsidRPr="003B4362">
        <w:t>;</w:t>
      </w:r>
    </w:p>
    <w:p w14:paraId="6CD5DFF7" w14:textId="5156C1A3" w:rsidR="00B87EF4" w:rsidRPr="003B4362" w:rsidRDefault="00B87EF4" w:rsidP="00B87EF4">
      <w:pPr>
        <w:suppressAutoHyphens/>
        <w:spacing w:before="240"/>
        <w:ind w:left="2880" w:hanging="720"/>
      </w:pPr>
      <w:r w:rsidRPr="003B4362">
        <w:t>F)</w:t>
      </w:r>
      <w:r w:rsidRPr="003B4362">
        <w:tab/>
        <w:t>For the current and previous month the supplier serves water to the public,</w:t>
      </w:r>
      <w:r w:rsidR="005F3E16" w:rsidRPr="003B4362">
        <w:t xml:space="preserve"> </w:t>
      </w:r>
      <w:r w:rsidRPr="003B4362">
        <w:t>the value of “V” in the following formula:</w:t>
      </w:r>
    </w:p>
    <w:p w14:paraId="63FDFFD0" w14:textId="77777777" w:rsidR="00B87EF4" w:rsidRPr="003B4362" w:rsidRDefault="00B87EF4" w:rsidP="00B87EF4">
      <w:pPr>
        <w:suppressAutoHyphens/>
        <w:spacing w:before="240"/>
        <w:ind w:left="3600"/>
      </w:pPr>
      <w:r w:rsidRPr="003B4362">
        <w:rPr>
          <w:position w:val="-26"/>
        </w:rPr>
        <w:object w:dxaOrig="2040" w:dyaOrig="680" w14:anchorId="65B9BD60">
          <v:shape id="_x0000_i1027" type="#_x0000_t75" style="width:100pt;height:37pt" o:ole="">
            <v:imagedata r:id="rId24" o:title=""/>
          </v:shape>
          <o:OLEObject Type="Embed" ProgID="Equation.2" ShapeID="_x0000_i1027" DrawAspect="Content" ObjectID="_1801494022" r:id="rId25"/>
        </w:object>
      </w:r>
    </w:p>
    <w:p w14:paraId="224BBCC9" w14:textId="66B73978" w:rsidR="00B87EF4" w:rsidRPr="003B4362" w:rsidRDefault="00B87EF4" w:rsidP="00630198">
      <w:pPr>
        <w:suppressAutoHyphens/>
        <w:spacing w:before="240"/>
        <w:ind w:left="2880"/>
      </w:pPr>
      <w:r w:rsidRPr="003B4362">
        <w:t>where:</w:t>
      </w:r>
    </w:p>
    <w:p w14:paraId="4E9625EA" w14:textId="1E249680" w:rsidR="00B87EF4" w:rsidRPr="003B4362" w:rsidRDefault="00B87EF4" w:rsidP="00630198">
      <w:pPr>
        <w:suppressAutoHyphens/>
        <w:spacing w:before="240"/>
        <w:ind w:left="4050" w:hanging="450"/>
      </w:pPr>
      <w:r w:rsidRPr="003B4362">
        <w:t>a =</w:t>
      </w:r>
      <w:r w:rsidRPr="003B4362">
        <w:tab/>
      </w:r>
      <w:r w:rsidR="00630198" w:rsidRPr="003B4362">
        <w:t xml:space="preserve">The value </w:t>
      </w:r>
      <w:r w:rsidRPr="003B4362">
        <w:t>in subsection (b)(3)(A);</w:t>
      </w:r>
    </w:p>
    <w:p w14:paraId="71395301" w14:textId="7CAE612C" w:rsidR="00B87EF4" w:rsidRPr="003B4362" w:rsidRDefault="00B87EF4" w:rsidP="00630198">
      <w:pPr>
        <w:suppressAutoHyphens/>
        <w:ind w:left="4050" w:hanging="450"/>
      </w:pPr>
      <w:r w:rsidRPr="003B4362">
        <w:t>b =</w:t>
      </w:r>
      <w:r w:rsidRPr="003B4362">
        <w:tab/>
      </w:r>
      <w:r w:rsidR="00630198" w:rsidRPr="003B4362">
        <w:t xml:space="preserve">The value </w:t>
      </w:r>
      <w:r w:rsidRPr="003B4362">
        <w:t>in subsection (b)(3)(B);</w:t>
      </w:r>
    </w:p>
    <w:p w14:paraId="3F3234C4" w14:textId="48D2C96C" w:rsidR="00B87EF4" w:rsidRPr="003B4362" w:rsidRDefault="00B87EF4" w:rsidP="00630198">
      <w:pPr>
        <w:suppressAutoHyphens/>
        <w:ind w:left="4050" w:hanging="450"/>
      </w:pPr>
      <w:r w:rsidRPr="003B4362">
        <w:t>c =</w:t>
      </w:r>
      <w:r w:rsidRPr="003B4362">
        <w:tab/>
      </w:r>
      <w:r w:rsidR="00630198" w:rsidRPr="003B4362">
        <w:t xml:space="preserve">The value </w:t>
      </w:r>
      <w:r w:rsidRPr="003B4362">
        <w:t>in subsection (b)(3)(C);</w:t>
      </w:r>
    </w:p>
    <w:p w14:paraId="041F1029" w14:textId="59861890" w:rsidR="00B87EF4" w:rsidRPr="003B4362" w:rsidRDefault="00B87EF4" w:rsidP="00630198">
      <w:pPr>
        <w:suppressAutoHyphens/>
        <w:ind w:left="4050" w:hanging="450"/>
      </w:pPr>
      <w:r w:rsidRPr="003B4362">
        <w:t>d =</w:t>
      </w:r>
      <w:r w:rsidRPr="003B4362">
        <w:tab/>
      </w:r>
      <w:r w:rsidR="00630198" w:rsidRPr="003B4362">
        <w:t xml:space="preserve">The value </w:t>
      </w:r>
      <w:r w:rsidRPr="003B4362">
        <w:t>in subsection (b)(3)(D); and</w:t>
      </w:r>
    </w:p>
    <w:p w14:paraId="36BB96EA" w14:textId="08692E79" w:rsidR="00B87EF4" w:rsidRPr="003B4362" w:rsidRDefault="00B87EF4" w:rsidP="00630198">
      <w:pPr>
        <w:suppressAutoHyphens/>
        <w:ind w:left="4050" w:hanging="450"/>
      </w:pPr>
      <w:r w:rsidRPr="003B4362">
        <w:t>e =</w:t>
      </w:r>
      <w:r w:rsidRPr="003B4362">
        <w:tab/>
      </w:r>
      <w:r w:rsidR="00630198" w:rsidRPr="003B4362">
        <w:t xml:space="preserve">The value </w:t>
      </w:r>
      <w:r w:rsidRPr="003B4362">
        <w:t>in subsection (b)(3)(E).</w:t>
      </w:r>
    </w:p>
    <w:p w14:paraId="55995451" w14:textId="4628897C" w:rsidR="00B87EF4" w:rsidRPr="003B4362" w:rsidRDefault="00B87EF4" w:rsidP="00B87EF4">
      <w:pPr>
        <w:suppressAutoHyphens/>
        <w:spacing w:before="240"/>
        <w:ind w:left="2880" w:hanging="720"/>
      </w:pPr>
      <w:r w:rsidRPr="003B4362">
        <w:t>G)</w:t>
      </w:r>
      <w:r w:rsidRPr="003B4362">
        <w:tab/>
        <w:t xml:space="preserve">Subsections (b)(3)(A) through (b)(3)(F) do not apply if the Agency determines, under Section 611.213, that a supplier </w:t>
      </w:r>
      <w:r w:rsidR="00A854C7" w:rsidRPr="003B4362">
        <w:t>has</w:t>
      </w:r>
      <w:r w:rsidRPr="003B4362">
        <w:t xml:space="preserve"> no means for having a sample analyzed for HPC by a certified laboratory under the requisite time and temperature conditions specified by Section 611.531(a) and that the supplier </w:t>
      </w:r>
      <w:r w:rsidR="00630198" w:rsidRPr="003B4362">
        <w:t xml:space="preserve">adequately provides </w:t>
      </w:r>
      <w:r w:rsidRPr="003B4362">
        <w:t>disinfection in the distribution system.</w:t>
      </w:r>
    </w:p>
    <w:p w14:paraId="764481F0" w14:textId="77777777" w:rsidR="00B87EF4" w:rsidRPr="003B4362" w:rsidRDefault="00B87EF4" w:rsidP="00B87EF4">
      <w:pPr>
        <w:suppressAutoHyphens/>
        <w:spacing w:before="240"/>
        <w:ind w:left="1440" w:hanging="720"/>
      </w:pPr>
      <w:r w:rsidRPr="003B4362">
        <w:lastRenderedPageBreak/>
        <w:t>c)</w:t>
      </w:r>
      <w:r w:rsidRPr="003B4362">
        <w:tab/>
        <w:t>Reporting Health Threats</w:t>
      </w:r>
    </w:p>
    <w:p w14:paraId="3D39BE36" w14:textId="1891EDBA" w:rsidR="00B87EF4" w:rsidRPr="003B4362" w:rsidRDefault="00B87EF4" w:rsidP="00B87EF4">
      <w:pPr>
        <w:suppressAutoHyphens/>
        <w:spacing w:before="240"/>
        <w:ind w:left="2160" w:hanging="720"/>
      </w:pPr>
      <w:r w:rsidRPr="003B4362">
        <w:t>1)</w:t>
      </w:r>
      <w:r w:rsidRPr="003B4362">
        <w:tab/>
      </w:r>
      <w:r w:rsidR="00103724" w:rsidRPr="003B4362">
        <w:t>Upon discovering that a waterborne disease outbreak occurred that is potentially attributable to its water system, a supplier must report that occurrence to the Agency as soon as possible but no later than by the end of the next business day</w:t>
      </w:r>
      <w:r w:rsidRPr="003B4362">
        <w:t>.</w:t>
      </w:r>
    </w:p>
    <w:p w14:paraId="6B42F85A" w14:textId="5BA25211" w:rsidR="00B87EF4" w:rsidRPr="003B4362" w:rsidRDefault="00B87EF4" w:rsidP="00B87EF4">
      <w:pPr>
        <w:suppressAutoHyphens/>
        <w:spacing w:before="240"/>
        <w:ind w:left="2160" w:hanging="720"/>
      </w:pPr>
      <w:r w:rsidRPr="003B4362">
        <w:t>2)</w:t>
      </w:r>
      <w:r w:rsidRPr="003B4362">
        <w:tab/>
        <w:t xml:space="preserve">If at any time the turbidity exceeds 5 NTU, the supplier must consult with the Agency as soon as practical, but no later than 24 hours </w:t>
      </w:r>
      <w:r w:rsidR="00103724" w:rsidRPr="003B4362">
        <w:t>the supplier knows of the exceedance</w:t>
      </w:r>
      <w:r w:rsidRPr="003B4362">
        <w:t>, under Section 611.903(b)(3).</w:t>
      </w:r>
    </w:p>
    <w:p w14:paraId="033E93A1" w14:textId="49ECEF09" w:rsidR="00B87EF4" w:rsidRPr="003B4362" w:rsidRDefault="00B87EF4" w:rsidP="00B87EF4">
      <w:pPr>
        <w:suppressAutoHyphens/>
        <w:spacing w:before="240"/>
        <w:ind w:left="2160" w:hanging="720"/>
      </w:pPr>
      <w:r w:rsidRPr="003B4362">
        <w:t>3)</w:t>
      </w:r>
      <w:r w:rsidRPr="003B4362">
        <w:tab/>
        <w:t xml:space="preserve">If at any time the </w:t>
      </w:r>
      <w:r w:rsidR="00103724" w:rsidRPr="003B4362">
        <w:t xml:space="preserve">RDC </w:t>
      </w:r>
      <w:r w:rsidRPr="003B4362">
        <w:t>falls below 0.2 mg/</w:t>
      </w:r>
      <w:r w:rsidR="00F560FD" w:rsidRPr="003B4362">
        <w:t xml:space="preserve"> L</w:t>
      </w:r>
      <w:r w:rsidRPr="003B4362">
        <w:t xml:space="preserve"> in the water entering the distribution system, the supplier must notify the Agency as soon as possible, but no later than by the end of the next business day. The supplier </w:t>
      </w:r>
      <w:r w:rsidR="00103724" w:rsidRPr="003B4362">
        <w:t xml:space="preserve">must also </w:t>
      </w:r>
      <w:r w:rsidRPr="003B4362">
        <w:t xml:space="preserve">notify the Agency by the end of the next business day whether or not </w:t>
      </w:r>
      <w:r w:rsidR="00103724" w:rsidRPr="003B4362">
        <w:t xml:space="preserve">the supplier restored </w:t>
      </w:r>
      <w:r w:rsidRPr="003B4362">
        <w:t>the to at least 0.2 mg/</w:t>
      </w:r>
      <w:r w:rsidR="00F560FD" w:rsidRPr="003B4362">
        <w:t xml:space="preserve"> L</w:t>
      </w:r>
      <w:r w:rsidRPr="003B4362">
        <w:t xml:space="preserve"> within four hours.</w:t>
      </w:r>
    </w:p>
    <w:p w14:paraId="12B22F94" w14:textId="219B07D6" w:rsidR="00B87EF4" w:rsidRPr="003B4362" w:rsidRDefault="00B87EF4" w:rsidP="00B87EF4">
      <w:pPr>
        <w:spacing w:before="240"/>
      </w:pPr>
      <w:r w:rsidRPr="003B4362">
        <w:t xml:space="preserve">BOARD NOTE:  </w:t>
      </w:r>
      <w:r w:rsidR="0021011C" w:rsidRPr="003B4362">
        <w:rPr>
          <w:spacing w:val="-3"/>
        </w:rPr>
        <w:t xml:space="preserve">This Section derives </w:t>
      </w:r>
      <w:r w:rsidRPr="003B4362">
        <w:t>from 40 CFR 141.75(b).</w:t>
      </w:r>
    </w:p>
    <w:p w14:paraId="58D7FB10" w14:textId="3F3FE033" w:rsidR="00B87EF4" w:rsidRPr="003B4362" w:rsidRDefault="00EB353D" w:rsidP="00B87EF4">
      <w:pPr>
        <w:suppressAutoHyphens/>
        <w:spacing w:before="240"/>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5E54D347" w14:textId="77777777" w:rsidR="005769F0" w:rsidRDefault="005769F0" w:rsidP="005769F0"/>
    <w:p w14:paraId="41BF0114" w14:textId="2D9593D3" w:rsidR="005769F0" w:rsidRPr="005769F0" w:rsidRDefault="005769F0" w:rsidP="005769F0">
      <w:pPr>
        <w:rPr>
          <w:b/>
          <w:bCs/>
        </w:rPr>
      </w:pPr>
      <w:r w:rsidRPr="005769F0">
        <w:rPr>
          <w:b/>
          <w:bCs/>
        </w:rPr>
        <w:t>Section 611.271  Protection during Repair Work (Repealed)</w:t>
      </w:r>
    </w:p>
    <w:p w14:paraId="579921CC" w14:textId="77777777" w:rsidR="005769F0" w:rsidRPr="001A7517" w:rsidRDefault="005769F0" w:rsidP="005769F0"/>
    <w:p w14:paraId="28B27E88" w14:textId="0DA4A0A1" w:rsidR="005769F0" w:rsidRDefault="005769F0" w:rsidP="005769F0">
      <w:r>
        <w:tab/>
      </w:r>
      <w:r w:rsidRPr="001A7517">
        <w:t>(Source:  Repealed at 43 Ill. Reg. 8206, effective July 26, 2019)</w:t>
      </w:r>
    </w:p>
    <w:p w14:paraId="7FB2F828" w14:textId="77777777" w:rsidR="005769F0" w:rsidRPr="001A7517" w:rsidRDefault="005769F0" w:rsidP="005769F0"/>
    <w:p w14:paraId="62ACDEB4" w14:textId="77777777" w:rsidR="005769F0" w:rsidRPr="005769F0" w:rsidRDefault="005769F0" w:rsidP="005769F0">
      <w:pPr>
        <w:rPr>
          <w:b/>
          <w:bCs/>
        </w:rPr>
      </w:pPr>
      <w:r w:rsidRPr="005769F0">
        <w:rPr>
          <w:b/>
          <w:bCs/>
        </w:rPr>
        <w:t>Section 611.272  Disinfection Following Repair (Repealed)</w:t>
      </w:r>
    </w:p>
    <w:p w14:paraId="1CE87B2E" w14:textId="77777777" w:rsidR="005769F0" w:rsidRPr="001A7517" w:rsidRDefault="005769F0" w:rsidP="005769F0"/>
    <w:p w14:paraId="1DCA5ABF" w14:textId="0FE7152A" w:rsidR="005769F0" w:rsidRPr="001A7517" w:rsidRDefault="005769F0" w:rsidP="005769F0">
      <w:r>
        <w:tab/>
      </w:r>
      <w:r w:rsidRPr="001A7517">
        <w:t>(Source:  Repealed at 43 Ill. Reg. 8206, effective July 26, 2019)</w:t>
      </w:r>
    </w:p>
    <w:p w14:paraId="6A968045" w14:textId="77777777" w:rsidR="00631B8E" w:rsidRPr="003B4362" w:rsidRDefault="00631B8E" w:rsidP="00631B8E">
      <w:pPr>
        <w:suppressAutoHyphens/>
        <w:ind w:left="720"/>
      </w:pPr>
    </w:p>
    <w:p w14:paraId="7E123F28" w14:textId="77777777" w:rsidR="00631B8E" w:rsidRPr="003B4362" w:rsidRDefault="00631B8E" w:rsidP="00631B8E">
      <w:pPr>
        <w:rPr>
          <w:szCs w:val="24"/>
        </w:rPr>
      </w:pPr>
      <w:bookmarkStart w:id="642" w:name="_Hlk530505462"/>
      <w:bookmarkStart w:id="643" w:name="_Hlk26205662"/>
      <w:bookmarkEnd w:id="538"/>
      <w:r w:rsidRPr="003B4362">
        <w:rPr>
          <w:b/>
          <w:szCs w:val="24"/>
        </w:rPr>
        <w:t>Section 611.276  Recycle Provisions</w:t>
      </w:r>
    </w:p>
    <w:p w14:paraId="1D0DD9F2" w14:textId="77777777" w:rsidR="00631B8E" w:rsidRPr="003B4362" w:rsidRDefault="00631B8E" w:rsidP="00631B8E">
      <w:pPr>
        <w:rPr>
          <w:szCs w:val="24"/>
        </w:rPr>
      </w:pPr>
    </w:p>
    <w:p w14:paraId="376EC87F" w14:textId="794CE90A" w:rsidR="00631B8E" w:rsidRPr="003B4362" w:rsidRDefault="00631B8E" w:rsidP="00631B8E">
      <w:pPr>
        <w:ind w:left="1440" w:hanging="720"/>
        <w:rPr>
          <w:szCs w:val="24"/>
        </w:rPr>
      </w:pPr>
      <w:r w:rsidRPr="003B4362">
        <w:rPr>
          <w:szCs w:val="24"/>
        </w:rPr>
        <w:t>a)</w:t>
      </w:r>
      <w:r w:rsidRPr="003B4362">
        <w:rPr>
          <w:szCs w:val="24"/>
        </w:rPr>
        <w:tab/>
        <w:t>Applicability.  A Subpart B system supplier employing  conventional filtration or direct filtration treatment  that recycles spent filter backwash water, thickener supernatant, or liquids from dewatering processes must comply with   subsections (b) through (d).</w:t>
      </w:r>
    </w:p>
    <w:p w14:paraId="300E70BA" w14:textId="77777777" w:rsidR="00631B8E" w:rsidRPr="003B4362" w:rsidRDefault="00631B8E" w:rsidP="00631B8E">
      <w:pPr>
        <w:ind w:left="1440" w:hanging="720"/>
        <w:rPr>
          <w:szCs w:val="24"/>
        </w:rPr>
      </w:pPr>
    </w:p>
    <w:p w14:paraId="35075913" w14:textId="3AF5BACE" w:rsidR="00631B8E" w:rsidRPr="003B4362" w:rsidRDefault="00631B8E" w:rsidP="00631B8E">
      <w:pPr>
        <w:ind w:left="1440" w:hanging="720"/>
        <w:rPr>
          <w:szCs w:val="24"/>
        </w:rPr>
      </w:pPr>
      <w:r w:rsidRPr="003B4362">
        <w:rPr>
          <w:szCs w:val="24"/>
        </w:rPr>
        <w:t>b)</w:t>
      </w:r>
      <w:r w:rsidRPr="003B4362">
        <w:rPr>
          <w:szCs w:val="24"/>
        </w:rPr>
        <w:tab/>
        <w:t>Reporting.  A supplier must notify the Agency in writing if the supplier recycles spent filter backwash water, thickener supernatant, or liquids from dewatering processes.  This notification must minimally include the information  subsections (b)(1) and (b)(2) specify:</w:t>
      </w:r>
    </w:p>
    <w:p w14:paraId="75F10F02" w14:textId="77777777" w:rsidR="00631B8E" w:rsidRPr="003B4362" w:rsidRDefault="00631B8E" w:rsidP="00631B8E">
      <w:pPr>
        <w:ind w:left="2160" w:hanging="720"/>
        <w:rPr>
          <w:szCs w:val="24"/>
        </w:rPr>
      </w:pPr>
    </w:p>
    <w:p w14:paraId="3BD9A927" w14:textId="7CE336D4" w:rsidR="00631B8E" w:rsidRPr="003B4362" w:rsidRDefault="00631B8E" w:rsidP="00631B8E">
      <w:pPr>
        <w:ind w:left="2160" w:hanging="720"/>
        <w:rPr>
          <w:szCs w:val="24"/>
        </w:rPr>
      </w:pPr>
      <w:r w:rsidRPr="003B4362">
        <w:rPr>
          <w:szCs w:val="24"/>
        </w:rPr>
        <w:t>1)</w:t>
      </w:r>
      <w:r w:rsidRPr="003B4362">
        <w:rPr>
          <w:szCs w:val="24"/>
        </w:rPr>
        <w:tab/>
        <w:t xml:space="preserve">A plant schematic showing the origin of all recycled flows  (including spent filter backwash water, thickener supernatant, and liquids from dewatering processes), the hydraulic conveyance used to transport these </w:t>
      </w:r>
      <w:r w:rsidRPr="003B4362">
        <w:rPr>
          <w:szCs w:val="24"/>
        </w:rPr>
        <w:lastRenderedPageBreak/>
        <w:t>fluids , and the location where the supplier reintroduces these fluids  back into the treatment plant.</w:t>
      </w:r>
    </w:p>
    <w:p w14:paraId="283B0686" w14:textId="77777777" w:rsidR="00631B8E" w:rsidRPr="003B4362" w:rsidRDefault="00631B8E" w:rsidP="00631B8E">
      <w:pPr>
        <w:ind w:left="2160" w:hanging="720"/>
        <w:rPr>
          <w:szCs w:val="24"/>
        </w:rPr>
      </w:pPr>
    </w:p>
    <w:p w14:paraId="7B7615D9" w14:textId="740DA35F" w:rsidR="00631B8E" w:rsidRPr="003B4362" w:rsidRDefault="00631B8E" w:rsidP="00631B8E">
      <w:pPr>
        <w:ind w:left="2160" w:hanging="720"/>
        <w:rPr>
          <w:szCs w:val="24"/>
        </w:rPr>
      </w:pPr>
      <w:r w:rsidRPr="003B4362">
        <w:rPr>
          <w:szCs w:val="24"/>
        </w:rPr>
        <w:t>2)</w:t>
      </w:r>
      <w:r w:rsidRPr="003B4362">
        <w:rPr>
          <w:szCs w:val="24"/>
        </w:rPr>
        <w:tab/>
        <w:t xml:space="preserve">The typical  recycle flow in gallons per minute (gpm), the highest plant flow the supplier observed  in the previous year (gpm), design flow for the treatment plant (gpm), and the Agency-approved operating capacity for the plant </w:t>
      </w:r>
      <w:r w:rsidRPr="003B4362">
        <w:rPr>
          <w:spacing w:val="-3"/>
          <w:szCs w:val="24"/>
        </w:rPr>
        <w:t xml:space="preserve">if </w:t>
      </w:r>
      <w:r w:rsidRPr="003B4362">
        <w:rPr>
          <w:szCs w:val="24"/>
        </w:rPr>
        <w:t>the Agency makes this  determination.</w:t>
      </w:r>
    </w:p>
    <w:p w14:paraId="7C31177F" w14:textId="77777777" w:rsidR="00631B8E" w:rsidRPr="003B4362" w:rsidRDefault="00631B8E" w:rsidP="00631B8E">
      <w:pPr>
        <w:ind w:left="1440" w:hanging="720"/>
        <w:rPr>
          <w:szCs w:val="24"/>
        </w:rPr>
      </w:pPr>
    </w:p>
    <w:p w14:paraId="025F521C" w14:textId="4A415CB6" w:rsidR="00631B8E" w:rsidRPr="003B4362" w:rsidRDefault="00631B8E" w:rsidP="00631B8E">
      <w:pPr>
        <w:ind w:left="1440" w:hanging="720"/>
        <w:rPr>
          <w:szCs w:val="24"/>
        </w:rPr>
      </w:pPr>
      <w:r w:rsidRPr="003B4362">
        <w:rPr>
          <w:szCs w:val="24"/>
        </w:rPr>
        <w:t>c)</w:t>
      </w:r>
      <w:r w:rsidRPr="003B4362">
        <w:rPr>
          <w:szCs w:val="24"/>
        </w:rPr>
        <w:tab/>
        <w:t>Treatment Technique Requirement.  Any supplier recycling  spent filter backwash water, thickener supernatant, or liquids from dewatering processes must return these flows through the processes of the supplier's existing conventional filtration or direct filtration system, as defined in Section 611.101, or at an alternative location approved by a permit issued by the Agency.</w:t>
      </w:r>
    </w:p>
    <w:p w14:paraId="1DDDB019" w14:textId="77777777" w:rsidR="00631B8E" w:rsidRPr="003B4362" w:rsidRDefault="00631B8E" w:rsidP="00631B8E">
      <w:pPr>
        <w:ind w:left="1440" w:hanging="720"/>
        <w:rPr>
          <w:szCs w:val="24"/>
        </w:rPr>
      </w:pPr>
    </w:p>
    <w:p w14:paraId="5CB98434" w14:textId="1FBE8620" w:rsidR="00631B8E" w:rsidRPr="003B4362" w:rsidRDefault="00631B8E" w:rsidP="00631B8E">
      <w:pPr>
        <w:ind w:left="1440" w:hanging="720"/>
        <w:rPr>
          <w:szCs w:val="24"/>
        </w:rPr>
      </w:pPr>
      <w:r w:rsidRPr="003B4362">
        <w:rPr>
          <w:szCs w:val="24"/>
        </w:rPr>
        <w:t>d)</w:t>
      </w:r>
      <w:r w:rsidRPr="003B4362">
        <w:rPr>
          <w:szCs w:val="24"/>
        </w:rPr>
        <w:tab/>
        <w:t>Recordkeeping.  The supplier must collect and retain on file the recycle flow information  subsections (d)(1) through (d)(6) specify for review and evaluation by the Agency:</w:t>
      </w:r>
    </w:p>
    <w:p w14:paraId="5411968E" w14:textId="77777777" w:rsidR="00631B8E" w:rsidRPr="003B4362" w:rsidRDefault="00631B8E" w:rsidP="00631B8E">
      <w:pPr>
        <w:ind w:left="2160" w:hanging="720"/>
        <w:rPr>
          <w:szCs w:val="24"/>
        </w:rPr>
      </w:pPr>
    </w:p>
    <w:p w14:paraId="41C9B35B" w14:textId="6B2C47EC" w:rsidR="00631B8E" w:rsidRPr="003B4362" w:rsidRDefault="00631B8E" w:rsidP="00631B8E">
      <w:pPr>
        <w:ind w:left="2160" w:hanging="720"/>
        <w:rPr>
          <w:szCs w:val="24"/>
        </w:rPr>
      </w:pPr>
      <w:r w:rsidRPr="003B4362">
        <w:rPr>
          <w:szCs w:val="24"/>
        </w:rPr>
        <w:t>1)</w:t>
      </w:r>
      <w:r w:rsidRPr="003B4362">
        <w:rPr>
          <w:szCs w:val="24"/>
        </w:rPr>
        <w:tab/>
        <w:t>A copy of the recycle notification and information the supplier submitted to the Agency  under subsection (b).</w:t>
      </w:r>
    </w:p>
    <w:p w14:paraId="71F287DE" w14:textId="77777777" w:rsidR="00631B8E" w:rsidRPr="003B4362" w:rsidRDefault="00631B8E" w:rsidP="00631B8E">
      <w:pPr>
        <w:ind w:left="2160" w:hanging="720"/>
        <w:rPr>
          <w:szCs w:val="24"/>
        </w:rPr>
      </w:pPr>
    </w:p>
    <w:p w14:paraId="00533960" w14:textId="1CD021D2" w:rsidR="00631B8E" w:rsidRPr="003B4362" w:rsidRDefault="00631B8E" w:rsidP="00631B8E">
      <w:pPr>
        <w:ind w:left="2160" w:hanging="720"/>
        <w:rPr>
          <w:szCs w:val="24"/>
        </w:rPr>
      </w:pPr>
      <w:r w:rsidRPr="003B4362">
        <w:rPr>
          <w:szCs w:val="24"/>
        </w:rPr>
        <w:t>2)</w:t>
      </w:r>
      <w:r w:rsidRPr="003B4362">
        <w:rPr>
          <w:szCs w:val="24"/>
        </w:rPr>
        <w:tab/>
        <w:t>A list of all recycle flows and the frequency with which the supplier returns them .</w:t>
      </w:r>
    </w:p>
    <w:p w14:paraId="13CCD6BE" w14:textId="77777777" w:rsidR="00631B8E" w:rsidRPr="003B4362" w:rsidRDefault="00631B8E" w:rsidP="00631B8E">
      <w:pPr>
        <w:ind w:left="2160" w:hanging="720"/>
        <w:rPr>
          <w:szCs w:val="24"/>
        </w:rPr>
      </w:pPr>
    </w:p>
    <w:p w14:paraId="3456F9B6" w14:textId="77AE3D24" w:rsidR="00631B8E" w:rsidRPr="003B4362" w:rsidRDefault="00631B8E" w:rsidP="00631B8E">
      <w:pPr>
        <w:ind w:left="2160" w:hanging="720"/>
        <w:rPr>
          <w:szCs w:val="24"/>
        </w:rPr>
      </w:pPr>
      <w:r w:rsidRPr="003B4362">
        <w:rPr>
          <w:szCs w:val="24"/>
        </w:rPr>
        <w:t>3)</w:t>
      </w:r>
      <w:r w:rsidRPr="003B4362">
        <w:rPr>
          <w:szCs w:val="24"/>
        </w:rPr>
        <w:tab/>
        <w:t>The average and maximum backwash flow rate through the filters and the average and maximum  filter backwash process duration in minutes.</w:t>
      </w:r>
    </w:p>
    <w:p w14:paraId="07B6964A" w14:textId="77777777" w:rsidR="00631B8E" w:rsidRPr="003B4362" w:rsidRDefault="00631B8E" w:rsidP="00631B8E">
      <w:pPr>
        <w:ind w:left="2160" w:hanging="720"/>
        <w:rPr>
          <w:szCs w:val="24"/>
        </w:rPr>
      </w:pPr>
    </w:p>
    <w:p w14:paraId="02B05267" w14:textId="77777777" w:rsidR="00631B8E" w:rsidRPr="003B4362" w:rsidRDefault="00631B8E" w:rsidP="00631B8E">
      <w:pPr>
        <w:ind w:left="2160" w:hanging="720"/>
        <w:rPr>
          <w:szCs w:val="24"/>
        </w:rPr>
      </w:pPr>
      <w:r w:rsidRPr="003B4362">
        <w:rPr>
          <w:szCs w:val="24"/>
        </w:rPr>
        <w:t>4)</w:t>
      </w:r>
      <w:r w:rsidRPr="003B4362">
        <w:rPr>
          <w:szCs w:val="24"/>
        </w:rPr>
        <w:tab/>
        <w:t>The typical filter run length and a written summary of how filter the run length is determined.</w:t>
      </w:r>
    </w:p>
    <w:p w14:paraId="4155F1C4" w14:textId="77777777" w:rsidR="00631B8E" w:rsidRPr="003B4362" w:rsidRDefault="00631B8E" w:rsidP="00631B8E">
      <w:pPr>
        <w:ind w:left="2160" w:hanging="720"/>
        <w:rPr>
          <w:szCs w:val="24"/>
        </w:rPr>
      </w:pPr>
    </w:p>
    <w:p w14:paraId="1928B676" w14:textId="726C95B2" w:rsidR="00631B8E" w:rsidRPr="003B4362" w:rsidRDefault="00631B8E" w:rsidP="00631B8E">
      <w:pPr>
        <w:ind w:left="2160" w:hanging="720"/>
        <w:rPr>
          <w:szCs w:val="24"/>
        </w:rPr>
      </w:pPr>
      <w:r w:rsidRPr="003B4362">
        <w:rPr>
          <w:szCs w:val="24"/>
        </w:rPr>
        <w:t>5)</w:t>
      </w:r>
      <w:r w:rsidRPr="003B4362">
        <w:rPr>
          <w:szCs w:val="24"/>
        </w:rPr>
        <w:tab/>
        <w:t>The type of treatment the supplier provides  for the recycle flow.</w:t>
      </w:r>
    </w:p>
    <w:p w14:paraId="49EC9792" w14:textId="77777777" w:rsidR="00631B8E" w:rsidRPr="003B4362" w:rsidRDefault="00631B8E" w:rsidP="00631B8E">
      <w:pPr>
        <w:ind w:left="2160" w:hanging="720"/>
        <w:rPr>
          <w:szCs w:val="24"/>
        </w:rPr>
      </w:pPr>
    </w:p>
    <w:p w14:paraId="147F998D" w14:textId="4AB7C52D" w:rsidR="00631B8E" w:rsidRPr="003B4362" w:rsidRDefault="00631B8E" w:rsidP="00631B8E">
      <w:pPr>
        <w:ind w:left="2160" w:hanging="720"/>
        <w:rPr>
          <w:szCs w:val="24"/>
        </w:rPr>
      </w:pPr>
      <w:r w:rsidRPr="003B4362">
        <w:rPr>
          <w:szCs w:val="24"/>
        </w:rPr>
        <w:t>6)</w:t>
      </w:r>
      <w:r w:rsidRPr="003B4362">
        <w:rPr>
          <w:szCs w:val="24"/>
        </w:rPr>
        <w:tab/>
        <w:t>Data on the physical dimensions of the equalization or treatment units, typical and maximum hydraulic loading rates, type of treatment chemicals used and average dose and frequency of use, and the frequency at which the supplier removes solids if applicable.</w:t>
      </w:r>
    </w:p>
    <w:p w14:paraId="7E328412" w14:textId="77777777" w:rsidR="00631B8E" w:rsidRPr="003B4362" w:rsidRDefault="00631B8E" w:rsidP="00631B8E">
      <w:pPr>
        <w:rPr>
          <w:szCs w:val="24"/>
        </w:rPr>
      </w:pPr>
    </w:p>
    <w:p w14:paraId="73019C2C" w14:textId="401396C0" w:rsidR="00631B8E" w:rsidRPr="003B4362" w:rsidRDefault="00631B8E" w:rsidP="00631B8E">
      <w:pPr>
        <w:rPr>
          <w:szCs w:val="24"/>
        </w:rPr>
      </w:pPr>
      <w:r w:rsidRPr="003B4362">
        <w:rPr>
          <w:szCs w:val="24"/>
        </w:rPr>
        <w:t>BOARD NOTE:  This Section derives from 40 CFR 141.76.</w:t>
      </w:r>
    </w:p>
    <w:p w14:paraId="1FD14B15" w14:textId="77777777" w:rsidR="00631B8E" w:rsidRPr="003B4362" w:rsidRDefault="00631B8E" w:rsidP="00631B8E">
      <w:pPr>
        <w:suppressAutoHyphens/>
        <w:ind w:left="720"/>
        <w:rPr>
          <w:szCs w:val="24"/>
        </w:rPr>
      </w:pPr>
    </w:p>
    <w:p w14:paraId="3B3A2B49" w14:textId="6A8D0C09" w:rsidR="00631B8E" w:rsidRPr="003B4362" w:rsidRDefault="00631B8E" w:rsidP="00631B8E">
      <w:pPr>
        <w:suppressAutoHyphens/>
        <w:ind w:left="720"/>
        <w:rPr>
          <w:szCs w:val="24"/>
        </w:rPr>
      </w:pPr>
      <w:r w:rsidRPr="003B4362">
        <w:rPr>
          <w:szCs w:val="24"/>
        </w:rPr>
        <w:t xml:space="preserve">(Source:  Amended at </w:t>
      </w:r>
      <w:r w:rsidR="00757184" w:rsidRPr="003B4362">
        <w:t xml:space="preserve">47 Ill. Reg. </w:t>
      </w:r>
      <w:r w:rsidR="00757184">
        <w:t>16486</w:t>
      </w:r>
      <w:r w:rsidR="00757184" w:rsidRPr="003B4362">
        <w:t xml:space="preserve">, effective </w:t>
      </w:r>
      <w:r w:rsidR="00757184">
        <w:t>November 2, 2023</w:t>
      </w:r>
      <w:r w:rsidRPr="003B4362">
        <w:rPr>
          <w:szCs w:val="24"/>
        </w:rPr>
        <w:t>)</w:t>
      </w:r>
    </w:p>
    <w:p w14:paraId="4160BCF4" w14:textId="77777777" w:rsidR="00F829FE" w:rsidRPr="003B4362" w:rsidRDefault="00F829FE" w:rsidP="00631B8E">
      <w:pPr>
        <w:suppressAutoHyphens/>
        <w:ind w:left="720"/>
      </w:pPr>
    </w:p>
    <w:p w14:paraId="37D65ADD" w14:textId="77777777" w:rsidR="00C24354" w:rsidRPr="003B4362" w:rsidRDefault="00C24354" w:rsidP="00F829FE">
      <w:pPr>
        <w:jc w:val="center"/>
      </w:pPr>
      <w:r w:rsidRPr="003B4362">
        <w:t>SUBPART C:  USE OF NON-CENTRALIZED TREATMENT DEVICES</w:t>
      </w:r>
    </w:p>
    <w:bookmarkEnd w:id="642"/>
    <w:p w14:paraId="1D3AC98F" w14:textId="77777777" w:rsidR="00F829FE" w:rsidRPr="003B4362" w:rsidRDefault="00F829FE" w:rsidP="00F829FE">
      <w:pPr>
        <w:rPr>
          <w:b/>
          <w:bCs/>
        </w:rPr>
      </w:pPr>
    </w:p>
    <w:p w14:paraId="3568B2D1" w14:textId="5B81CA4D" w:rsidR="00C24354" w:rsidRPr="003B4362" w:rsidRDefault="00C24354" w:rsidP="00F829FE">
      <w:pPr>
        <w:rPr>
          <w:b/>
          <w:bCs/>
        </w:rPr>
      </w:pPr>
      <w:r w:rsidRPr="003B4362">
        <w:rPr>
          <w:b/>
          <w:bCs/>
        </w:rPr>
        <w:t>Section 611.280</w:t>
      </w:r>
      <w:r w:rsidR="00D33CD3" w:rsidRPr="003B4362">
        <w:rPr>
          <w:b/>
          <w:bCs/>
        </w:rPr>
        <w:t xml:space="preserve">  </w:t>
      </w:r>
      <w:r w:rsidRPr="003B4362">
        <w:rPr>
          <w:b/>
          <w:bCs/>
        </w:rPr>
        <w:t>Point-of-Entry Devices</w:t>
      </w:r>
    </w:p>
    <w:p w14:paraId="0CA0D04C" w14:textId="11626C58" w:rsidR="00C24354" w:rsidRPr="003B4362" w:rsidRDefault="00C24354" w:rsidP="00EC7CDE">
      <w:pPr>
        <w:suppressAutoHyphens/>
        <w:spacing w:before="240"/>
        <w:ind w:left="1440" w:hanging="720"/>
      </w:pPr>
      <w:r w:rsidRPr="003B4362">
        <w:lastRenderedPageBreak/>
        <w:t>a)</w:t>
      </w:r>
      <w:r w:rsidRPr="003B4362">
        <w:tab/>
      </w:r>
      <w:r w:rsidR="00512861" w:rsidRPr="003B4362">
        <w:t xml:space="preserve">A supplier </w:t>
      </w:r>
      <w:r w:rsidRPr="003B4362">
        <w:t xml:space="preserve">may use point-of-entry devices to comply with </w:t>
      </w:r>
      <w:r w:rsidR="00512861" w:rsidRPr="003B4362">
        <w:t xml:space="preserve">an MCL </w:t>
      </w:r>
      <w:r w:rsidRPr="003B4362">
        <w:t xml:space="preserve">only </w:t>
      </w:r>
      <w:r w:rsidR="00512861" w:rsidRPr="003B4362">
        <w:t xml:space="preserve">while complying with </w:t>
      </w:r>
      <w:r w:rsidRPr="003B4362">
        <w:t>this Section.</w:t>
      </w:r>
    </w:p>
    <w:p w14:paraId="1063BB52" w14:textId="07E319C1" w:rsidR="00C24354" w:rsidRPr="003B4362" w:rsidRDefault="00C24354" w:rsidP="00EC7CDE">
      <w:pPr>
        <w:suppressAutoHyphens/>
        <w:spacing w:before="240"/>
        <w:ind w:left="1440" w:hanging="720"/>
      </w:pPr>
      <w:r w:rsidRPr="003B4362">
        <w:t>b)</w:t>
      </w:r>
      <w:r w:rsidRPr="003B4362">
        <w:tab/>
      </w:r>
      <w:r w:rsidR="00512861" w:rsidRPr="003B4362">
        <w:t xml:space="preserve">The supplier is responsible </w:t>
      </w:r>
      <w:r w:rsidRPr="003B4362">
        <w:t>to operate and maintain the point-of entry treatment system.</w:t>
      </w:r>
    </w:p>
    <w:p w14:paraId="5D15E5BF" w14:textId="2E5FB3EB" w:rsidR="00C24354" w:rsidRPr="003B4362" w:rsidRDefault="00C24354" w:rsidP="00EC7CDE">
      <w:pPr>
        <w:suppressAutoHyphens/>
        <w:spacing w:before="240"/>
        <w:ind w:left="1440" w:hanging="720"/>
      </w:pPr>
      <w:r w:rsidRPr="003B4362">
        <w:t>c)</w:t>
      </w:r>
      <w:r w:rsidRPr="003B4362">
        <w:tab/>
        <w:t xml:space="preserve">The supplier must develop a monitoring plan before </w:t>
      </w:r>
      <w:r w:rsidR="00512861" w:rsidRPr="003B4362">
        <w:t xml:space="preserve">installing </w:t>
      </w:r>
      <w:r w:rsidRPr="003B4362">
        <w:t>point-of-entry devices</w:t>
      </w:r>
      <w:r w:rsidR="00512861" w:rsidRPr="003B4362">
        <w:t xml:space="preserve"> to comply</w:t>
      </w:r>
      <w:r w:rsidRPr="003B4362">
        <w:t>.</w:t>
      </w:r>
    </w:p>
    <w:p w14:paraId="2C1BA9A1" w14:textId="1E9EAEA4" w:rsidR="00C24354" w:rsidRPr="003B4362" w:rsidRDefault="00C24354" w:rsidP="00EC7CDE">
      <w:pPr>
        <w:suppressAutoHyphens/>
        <w:spacing w:before="240"/>
        <w:ind w:left="2160" w:hanging="720"/>
      </w:pPr>
      <w:r w:rsidRPr="003B4362">
        <w:t>1)</w:t>
      </w:r>
      <w:r w:rsidRPr="003B4362">
        <w:tab/>
        <w:t xml:space="preserve">Point-of-entry devices must </w:t>
      </w:r>
      <w:r w:rsidR="00512861" w:rsidRPr="003B4362">
        <w:t xml:space="preserve">protect human </w:t>
      </w:r>
      <w:r w:rsidRPr="003B4362">
        <w:t xml:space="preserve">health </w:t>
      </w:r>
      <w:r w:rsidR="00512861" w:rsidRPr="003B4362">
        <w:t xml:space="preserve">equivalently </w:t>
      </w:r>
      <w:r w:rsidRPr="003B4362">
        <w:t>to central water treatment.  “Equivalent</w:t>
      </w:r>
      <w:r w:rsidR="00512861" w:rsidRPr="003B4362">
        <w:t>ly</w:t>
      </w:r>
      <w:r w:rsidRPr="003B4362">
        <w:t xml:space="preserve">” means that the water would meet all </w:t>
      </w:r>
      <w:r w:rsidR="00512861" w:rsidRPr="003B4362">
        <w:t>N</w:t>
      </w:r>
      <w:r w:rsidR="005B4D1B" w:rsidRPr="003B4362">
        <w:t>P</w:t>
      </w:r>
      <w:r w:rsidR="00512861" w:rsidRPr="003B4362">
        <w:t xml:space="preserve">DWRs </w:t>
      </w:r>
      <w:r w:rsidRPr="003B4362">
        <w:t>and be of acceptable quality similar to water distributed by a well-operated central treatment plant.</w:t>
      </w:r>
    </w:p>
    <w:p w14:paraId="3C4745C7" w14:textId="6052D263" w:rsidR="00C24354" w:rsidRPr="003B4362" w:rsidRDefault="00C24354" w:rsidP="00EC7CDE">
      <w:pPr>
        <w:suppressAutoHyphens/>
        <w:spacing w:before="240"/>
        <w:ind w:left="2160" w:hanging="720"/>
      </w:pPr>
      <w:r w:rsidRPr="003B4362">
        <w:t>2)</w:t>
      </w:r>
      <w:r w:rsidRPr="003B4362">
        <w:tab/>
        <w:t xml:space="preserve">In addition to the VOCs, </w:t>
      </w:r>
      <w:r w:rsidR="008A2017" w:rsidRPr="003B4362">
        <w:t xml:space="preserve">the supplier’s </w:t>
      </w:r>
      <w:r w:rsidRPr="003B4362">
        <w:t xml:space="preserve">monitoring must include physical measurements and observations </w:t>
      </w:r>
      <w:r w:rsidR="00F560FD" w:rsidRPr="003B4362">
        <w:t xml:space="preserve">such as </w:t>
      </w:r>
      <w:r w:rsidRPr="003B4362">
        <w:t>total flow treated and mechanical condition of the treatment equipment.</w:t>
      </w:r>
    </w:p>
    <w:p w14:paraId="154CB74A" w14:textId="0ED5AB36" w:rsidR="00C24354" w:rsidRPr="003B4362" w:rsidRDefault="00C24354" w:rsidP="00EC7CDE">
      <w:pPr>
        <w:suppressAutoHyphens/>
        <w:spacing w:before="240"/>
        <w:ind w:left="2160" w:hanging="720"/>
      </w:pPr>
      <w:r w:rsidRPr="003B4362">
        <w:t>3)</w:t>
      </w:r>
      <w:r w:rsidRPr="003B4362">
        <w:tab/>
      </w:r>
      <w:r w:rsidR="00201C92" w:rsidRPr="003B4362">
        <w:t xml:space="preserve">The Agency must approve any use </w:t>
      </w:r>
      <w:r w:rsidRPr="003B4362">
        <w:t xml:space="preserve">of point-of-entry devices </w:t>
      </w:r>
      <w:r w:rsidR="00201C92" w:rsidRPr="003B4362">
        <w:t xml:space="preserve">in </w:t>
      </w:r>
      <w:r w:rsidRPr="003B4362">
        <w:t xml:space="preserve">a </w:t>
      </w:r>
      <w:r w:rsidR="00201C92" w:rsidRPr="003B4362">
        <w:t>SEP</w:t>
      </w:r>
      <w:r w:rsidRPr="003B4362">
        <w:t>.</w:t>
      </w:r>
    </w:p>
    <w:p w14:paraId="3B205D1D" w14:textId="2965DF33" w:rsidR="00C24354" w:rsidRPr="003B4362" w:rsidRDefault="00C24354" w:rsidP="00EC7CDE">
      <w:pPr>
        <w:suppressAutoHyphens/>
        <w:spacing w:before="240"/>
        <w:ind w:left="1440" w:hanging="720"/>
      </w:pPr>
      <w:r w:rsidRPr="003B4362">
        <w:t>d)</w:t>
      </w:r>
      <w:r w:rsidRPr="003B4362">
        <w:tab/>
      </w:r>
      <w:r w:rsidR="008A2017" w:rsidRPr="003B4362">
        <w:t xml:space="preserve">The supplier must properly apply effective </w:t>
      </w:r>
      <w:r w:rsidRPr="003B4362">
        <w:t xml:space="preserve">technology under </w:t>
      </w:r>
      <w:r w:rsidR="008A2017" w:rsidRPr="003B4362">
        <w:t xml:space="preserve">an Agency-approved </w:t>
      </w:r>
      <w:r w:rsidRPr="003B4362">
        <w:t>plan</w:t>
      </w:r>
      <w:r w:rsidR="008A2017" w:rsidRPr="003B4362">
        <w:t>,</w:t>
      </w:r>
      <w:r w:rsidRPr="003B4362">
        <w:t xml:space="preserve"> and the </w:t>
      </w:r>
      <w:r w:rsidR="008A2017" w:rsidRPr="003B4362">
        <w:t xml:space="preserve">supplier must maintain the </w:t>
      </w:r>
      <w:r w:rsidRPr="003B4362">
        <w:t>microbiological safety of the water.</w:t>
      </w:r>
    </w:p>
    <w:p w14:paraId="63A0E318" w14:textId="301456EC" w:rsidR="00C24354" w:rsidRPr="003B4362" w:rsidRDefault="00C24354" w:rsidP="00EC7CDE">
      <w:pPr>
        <w:suppressAutoHyphens/>
        <w:spacing w:before="240"/>
        <w:ind w:left="2160" w:hanging="720"/>
      </w:pPr>
      <w:r w:rsidRPr="003B4362">
        <w:t>1)</w:t>
      </w:r>
      <w:r w:rsidRPr="003B4362">
        <w:tab/>
        <w:t xml:space="preserve">The Agency must require adequate </w:t>
      </w:r>
      <w:r w:rsidR="00925B16" w:rsidRPr="003B4362">
        <w:t xml:space="preserve">performance </w:t>
      </w:r>
      <w:r w:rsidRPr="003B4362">
        <w:t>certification, field testing, and</w:t>
      </w:r>
      <w:r w:rsidR="00925B16" w:rsidRPr="003B4362">
        <w:t xml:space="preserve"> rigorous engineering design review of the point-of-entry devices</w:t>
      </w:r>
      <w:r w:rsidRPr="003B4362">
        <w:t xml:space="preserve"> </w:t>
      </w:r>
      <w:r w:rsidR="00925B16" w:rsidRPr="003B4362">
        <w:t>(</w:t>
      </w:r>
      <w:r w:rsidRPr="003B4362">
        <w:t>if not included in the certification process</w:t>
      </w:r>
      <w:r w:rsidR="00175E6C" w:rsidRPr="003B4362">
        <w:t>)</w:t>
      </w:r>
      <w:r w:rsidRPr="003B4362">
        <w:t>.</w:t>
      </w:r>
    </w:p>
    <w:p w14:paraId="2E350D73" w14:textId="084B6AB8" w:rsidR="00C24354" w:rsidRPr="003B4362" w:rsidRDefault="00C24354" w:rsidP="00EC7CDE">
      <w:pPr>
        <w:suppressAutoHyphens/>
        <w:spacing w:before="240"/>
        <w:ind w:left="2160" w:hanging="720"/>
      </w:pPr>
      <w:r w:rsidRPr="003B4362">
        <w:t>2)</w:t>
      </w:r>
      <w:r w:rsidRPr="003B4362">
        <w:tab/>
        <w:t xml:space="preserve">The design and application of the point-of-entry devices must consider the tendency for </w:t>
      </w:r>
      <w:r w:rsidR="00175E6C" w:rsidRPr="003B4362">
        <w:t xml:space="preserve">increased </w:t>
      </w:r>
      <w:r w:rsidRPr="003B4362">
        <w:t xml:space="preserve">heterotrophic bacteria concentrations in water treated with activated carbon.  The Agency may </w:t>
      </w:r>
      <w:r w:rsidR="00201C92" w:rsidRPr="003B4362">
        <w:t xml:space="preserve">issue </w:t>
      </w:r>
      <w:r w:rsidRPr="003B4362">
        <w:t>a SEP</w:t>
      </w:r>
      <w:r w:rsidR="00201C92" w:rsidRPr="003B4362">
        <w:t xml:space="preserve"> requiring</w:t>
      </w:r>
      <w:r w:rsidRPr="003B4362">
        <w:t xml:space="preserve"> frequent backwashing, post-contactor disinfection</w:t>
      </w:r>
      <w:r w:rsidR="00201C92" w:rsidRPr="003B4362">
        <w:t>,</w:t>
      </w:r>
      <w:r w:rsidRPr="003B4362">
        <w:t xml:space="preserve"> and HPC monitoring to ensure that </w:t>
      </w:r>
      <w:r w:rsidR="00201C92" w:rsidRPr="003B4362">
        <w:t xml:space="preserve">nothing compromises </w:t>
      </w:r>
      <w:r w:rsidRPr="003B4362">
        <w:t>the microbiological safety of the water.</w:t>
      </w:r>
    </w:p>
    <w:p w14:paraId="4451C6AD" w14:textId="4462330A" w:rsidR="00C24354" w:rsidRPr="003B4362" w:rsidRDefault="00C24354" w:rsidP="00EC7CDE">
      <w:pPr>
        <w:suppressAutoHyphens/>
        <w:spacing w:before="240"/>
        <w:ind w:left="1440" w:hanging="720"/>
      </w:pPr>
      <w:r w:rsidRPr="003B4362">
        <w:t>e)</w:t>
      </w:r>
      <w:r w:rsidRPr="003B4362">
        <w:tab/>
      </w:r>
      <w:r w:rsidR="00E00BD1" w:rsidRPr="003B4362">
        <w:t xml:space="preserve">The point-of-entry devices must protect all </w:t>
      </w:r>
      <w:r w:rsidRPr="003B4362">
        <w:t>consumers.  Every building connected to the system must have a point-of-entry device installed, maintained</w:t>
      </w:r>
      <w:r w:rsidR="00E00BD1" w:rsidRPr="003B4362">
        <w:t>,</w:t>
      </w:r>
      <w:r w:rsidRPr="003B4362">
        <w:t xml:space="preserve"> and adequately monitored.  The </w:t>
      </w:r>
      <w:r w:rsidR="00E00BD1" w:rsidRPr="003B4362">
        <w:t xml:space="preserve">supplier must assure the </w:t>
      </w:r>
      <w:r w:rsidRPr="003B4362">
        <w:t xml:space="preserve">Agency that every building is subject to treatment and monitoring, and that the rights and responsibilities of the PWS customer convey with title upon sale of </w:t>
      </w:r>
      <w:r w:rsidR="00E00BD1" w:rsidRPr="003B4362">
        <w:t xml:space="preserve">the </w:t>
      </w:r>
      <w:r w:rsidRPr="003B4362">
        <w:t>property.</w:t>
      </w:r>
    </w:p>
    <w:p w14:paraId="103FA2C8" w14:textId="568DB890" w:rsidR="00C24354" w:rsidRPr="003B4362" w:rsidRDefault="00C24354" w:rsidP="00EC7CDE">
      <w:pPr>
        <w:suppressAutoHyphens/>
        <w:spacing w:before="240"/>
        <w:ind w:left="1440" w:hanging="720"/>
      </w:pPr>
      <w:r w:rsidRPr="003B4362">
        <w:t>f)</w:t>
      </w:r>
      <w:r w:rsidRPr="003B4362">
        <w:tab/>
      </w:r>
      <w:r w:rsidR="00E00BD1" w:rsidRPr="003B4362">
        <w:t xml:space="preserve">Using </w:t>
      </w:r>
      <w:r w:rsidRPr="003B4362">
        <w:t>any point-of-entry device must not cause increased corrosion of lead</w:t>
      </w:r>
      <w:r w:rsidR="00E00BD1" w:rsidRPr="003B4362">
        <w:t>-</w:t>
      </w:r>
      <w:r w:rsidRPr="003B4362">
        <w:t xml:space="preserve"> and copper</w:t>
      </w:r>
      <w:r w:rsidR="00E00BD1" w:rsidRPr="003B4362">
        <w:t>-</w:t>
      </w:r>
      <w:r w:rsidRPr="003B4362">
        <w:t>bearing materials between the device and the tap that could increase contaminant levels at the tap.</w:t>
      </w:r>
    </w:p>
    <w:p w14:paraId="74549484" w14:textId="70B59B75" w:rsidR="00C24354" w:rsidRPr="003B4362" w:rsidRDefault="00C24354" w:rsidP="00EC7CDE">
      <w:pPr>
        <w:spacing w:before="240"/>
      </w:pPr>
      <w:r w:rsidRPr="003B4362">
        <w:t xml:space="preserve">BOARD NOTE:  </w:t>
      </w:r>
      <w:r w:rsidR="0021011C" w:rsidRPr="003B4362">
        <w:rPr>
          <w:spacing w:val="-3"/>
        </w:rPr>
        <w:t xml:space="preserve">This Section derives </w:t>
      </w:r>
      <w:r w:rsidRPr="003B4362">
        <w:t>from 40 CFR 141.100 and 142.62(h)(7).</w:t>
      </w:r>
    </w:p>
    <w:p w14:paraId="6BD27F31" w14:textId="1823449E" w:rsidR="00C24354" w:rsidRPr="003B4362" w:rsidRDefault="00C24354" w:rsidP="00EC7CDE">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7A09AC7F" w14:textId="77777777" w:rsidR="00F829FE" w:rsidRPr="003B4362" w:rsidRDefault="00F829FE" w:rsidP="00F829FE">
      <w:pPr>
        <w:rPr>
          <w:b/>
          <w:bCs/>
        </w:rPr>
      </w:pPr>
      <w:bookmarkStart w:id="644" w:name="_Hlk530505488"/>
      <w:bookmarkEnd w:id="643"/>
    </w:p>
    <w:p w14:paraId="5F1A9E53" w14:textId="0219D78F" w:rsidR="00571AC3" w:rsidRPr="003B4362" w:rsidRDefault="00571AC3" w:rsidP="00F829FE">
      <w:pPr>
        <w:rPr>
          <w:b/>
          <w:bCs/>
        </w:rPr>
      </w:pPr>
      <w:r w:rsidRPr="003B4362">
        <w:rPr>
          <w:b/>
          <w:bCs/>
        </w:rPr>
        <w:t>Section 611.290  Point-of-Use Devices or Bottled Water</w:t>
      </w:r>
    </w:p>
    <w:p w14:paraId="1B38CA85" w14:textId="2CE09715" w:rsidR="00571AC3" w:rsidRPr="003B4362" w:rsidRDefault="00571AC3" w:rsidP="00571AC3">
      <w:pPr>
        <w:suppressAutoHyphens/>
        <w:spacing w:before="240"/>
        <w:ind w:left="1440" w:hanging="720"/>
      </w:pPr>
      <w:r w:rsidRPr="003B4362">
        <w:t>a)</w:t>
      </w:r>
      <w:r w:rsidRPr="003B4362">
        <w:tab/>
        <w:t>A supplier</w:t>
      </w:r>
      <w:r w:rsidR="00E00BD1" w:rsidRPr="003B4362">
        <w:t xml:space="preserve"> may</w:t>
      </w:r>
      <w:r w:rsidRPr="003B4362">
        <w:t xml:space="preserve"> not use bottled water to </w:t>
      </w:r>
      <w:r w:rsidR="00E00BD1" w:rsidRPr="003B4362">
        <w:t xml:space="preserve">comply </w:t>
      </w:r>
      <w:r w:rsidRPr="003B4362">
        <w:t>with an MCL.</w:t>
      </w:r>
    </w:p>
    <w:p w14:paraId="6CBE12A0" w14:textId="736619C4" w:rsidR="00571AC3" w:rsidRPr="003B4362" w:rsidRDefault="00571AC3" w:rsidP="00571AC3">
      <w:pPr>
        <w:suppressAutoHyphens/>
        <w:spacing w:before="240"/>
        <w:ind w:left="1440" w:hanging="720"/>
      </w:pPr>
      <w:r w:rsidRPr="003B4362">
        <w:t>b)</w:t>
      </w:r>
      <w:r w:rsidRPr="003B4362">
        <w:tab/>
        <w:t xml:space="preserve">A supplier may use bottled water or point-of-use devices on a temporary basis to avoid an unreasonable risk to </w:t>
      </w:r>
      <w:r w:rsidR="00E00BD1" w:rsidRPr="003B4362">
        <w:t xml:space="preserve">human </w:t>
      </w:r>
      <w:r w:rsidRPr="003B4362">
        <w:t xml:space="preserve">health under </w:t>
      </w:r>
      <w:r w:rsidR="002B1FAE" w:rsidRPr="003B4362">
        <w:t xml:space="preserve">an Agency-issued </w:t>
      </w:r>
      <w:r w:rsidRPr="003B4362">
        <w:t>SEP.</w:t>
      </w:r>
    </w:p>
    <w:p w14:paraId="52DD7AD0" w14:textId="6D43E0B6" w:rsidR="00571AC3" w:rsidRPr="003B4362" w:rsidRDefault="00571AC3" w:rsidP="00571AC3">
      <w:pPr>
        <w:suppressAutoHyphens/>
        <w:spacing w:before="240"/>
        <w:ind w:left="1440" w:hanging="720"/>
      </w:pPr>
      <w:r w:rsidRPr="003B4362">
        <w:t>c)</w:t>
      </w:r>
      <w:r w:rsidRPr="003B4362">
        <w:tab/>
        <w:t xml:space="preserve">Any use of bottled water must comply with Section 611.130(d), except that the supplier must submit </w:t>
      </w:r>
      <w:r w:rsidR="005F4377" w:rsidRPr="003B4362">
        <w:t xml:space="preserve">this </w:t>
      </w:r>
      <w:r w:rsidRPr="003B4362">
        <w:t xml:space="preserve">quality control plan </w:t>
      </w:r>
      <w:r w:rsidR="005F4377" w:rsidRPr="003B4362">
        <w:t xml:space="preserve">to the </w:t>
      </w:r>
      <w:r w:rsidRPr="003B4362">
        <w:t xml:space="preserve">Agency </w:t>
      </w:r>
      <w:r w:rsidR="005F4377" w:rsidRPr="003B4362">
        <w:t>f</w:t>
      </w:r>
      <w:r w:rsidR="005B4D1B" w:rsidRPr="003B4362">
        <w:t>o</w:t>
      </w:r>
      <w:r w:rsidR="005F4377" w:rsidRPr="003B4362">
        <w:t xml:space="preserve">r </w:t>
      </w:r>
      <w:r w:rsidRPr="003B4362">
        <w:t xml:space="preserve">review as part of its SEP request, rather than </w:t>
      </w:r>
      <w:r w:rsidR="005F4377" w:rsidRPr="003B4362">
        <w:t xml:space="preserve">to the </w:t>
      </w:r>
      <w:r w:rsidRPr="003B4362">
        <w:t xml:space="preserve">Board </w:t>
      </w:r>
      <w:r w:rsidR="005F4377" w:rsidRPr="003B4362">
        <w:t xml:space="preserve">for </w:t>
      </w:r>
      <w:r w:rsidRPr="003B4362">
        <w:t>review.</w:t>
      </w:r>
    </w:p>
    <w:p w14:paraId="15BD4C9D" w14:textId="60108A38" w:rsidR="00571AC3" w:rsidRPr="003B4362" w:rsidRDefault="00571AC3" w:rsidP="00571AC3">
      <w:pPr>
        <w:suppressAutoHyphens/>
        <w:spacing w:before="240"/>
      </w:pPr>
      <w:r w:rsidRPr="003B4362">
        <w:t xml:space="preserve">BOARD NOTE:  </w:t>
      </w:r>
      <w:r w:rsidR="0021011C" w:rsidRPr="003B4362">
        <w:rPr>
          <w:spacing w:val="-3"/>
        </w:rPr>
        <w:t xml:space="preserve">This Section derives </w:t>
      </w:r>
      <w:r w:rsidRPr="003B4362">
        <w:t>from 40 CFR 141.101.</w:t>
      </w:r>
    </w:p>
    <w:p w14:paraId="05084860" w14:textId="77777777" w:rsidR="00FC0D9D" w:rsidRPr="003B4362" w:rsidRDefault="00FC0D9D" w:rsidP="00FC0D9D">
      <w:pPr>
        <w:suppressAutoHyphens/>
      </w:pPr>
    </w:p>
    <w:p w14:paraId="1A30EEB7" w14:textId="18FC4ADB" w:rsidR="00571AC3" w:rsidRPr="003B4362" w:rsidRDefault="00EB353D" w:rsidP="001B4CDE">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6A22DC77" w14:textId="77777777" w:rsidR="00F829FE" w:rsidRPr="003B4362" w:rsidRDefault="00F829FE" w:rsidP="001B4CDE">
      <w:pPr>
        <w:suppressAutoHyphens/>
        <w:ind w:left="720"/>
      </w:pPr>
    </w:p>
    <w:p w14:paraId="1AB45619" w14:textId="77777777" w:rsidR="00C24354" w:rsidRPr="003B4362" w:rsidRDefault="00C24354" w:rsidP="00F829FE">
      <w:pPr>
        <w:jc w:val="center"/>
      </w:pPr>
      <w:r w:rsidRPr="003B4362">
        <w:t>SUBPART D:  TREATMENT TECHNIQUES</w:t>
      </w:r>
    </w:p>
    <w:bookmarkEnd w:id="644"/>
    <w:p w14:paraId="644D9F4C" w14:textId="77777777" w:rsidR="00F829FE" w:rsidRPr="003B4362" w:rsidRDefault="00F829FE" w:rsidP="00F829FE">
      <w:pPr>
        <w:rPr>
          <w:b/>
          <w:bCs/>
        </w:rPr>
      </w:pPr>
    </w:p>
    <w:p w14:paraId="1357C8C3" w14:textId="36F807BD" w:rsidR="00C24354" w:rsidRPr="003B4362" w:rsidRDefault="00C24354" w:rsidP="00F829FE">
      <w:pPr>
        <w:rPr>
          <w:b/>
          <w:bCs/>
        </w:rPr>
      </w:pPr>
      <w:r w:rsidRPr="003B4362">
        <w:rPr>
          <w:b/>
          <w:bCs/>
        </w:rPr>
        <w:t>Section 611.295</w:t>
      </w:r>
      <w:r w:rsidR="00D33CD3" w:rsidRPr="003B4362">
        <w:rPr>
          <w:b/>
          <w:bCs/>
        </w:rPr>
        <w:t xml:space="preserve">  </w:t>
      </w:r>
      <w:r w:rsidRPr="003B4362">
        <w:rPr>
          <w:b/>
          <w:bCs/>
        </w:rPr>
        <w:t>General Requirements</w:t>
      </w:r>
    </w:p>
    <w:p w14:paraId="29BDA5DA" w14:textId="10630CBE" w:rsidR="00C24354" w:rsidRPr="003B4362" w:rsidRDefault="00F01C05" w:rsidP="00EC7CDE">
      <w:pPr>
        <w:suppressAutoHyphens/>
        <w:spacing w:before="240"/>
      </w:pPr>
      <w:r w:rsidRPr="003B4362">
        <w:t xml:space="preserve">This </w:t>
      </w:r>
      <w:r w:rsidR="00C24354" w:rsidRPr="003B4362">
        <w:t>Subpart D constitute</w:t>
      </w:r>
      <w:r w:rsidR="000C4788" w:rsidRPr="003B4362">
        <w:t>s</w:t>
      </w:r>
      <w:r w:rsidR="00C24354" w:rsidRPr="003B4362">
        <w:t xml:space="preserve"> NPDWRs.  This Subpart D establishes treatment techniques in lieu of MCLs for specified contaminants.</w:t>
      </w:r>
    </w:p>
    <w:p w14:paraId="6B905AD5" w14:textId="061275A0" w:rsidR="00C24354" w:rsidRPr="003B4362" w:rsidRDefault="00C24354" w:rsidP="00EC7CDE">
      <w:pPr>
        <w:suppressAutoHyphens/>
        <w:spacing w:before="240"/>
      </w:pPr>
      <w:r w:rsidRPr="003B4362">
        <w:t xml:space="preserve">BOARD NOTE:  </w:t>
      </w:r>
      <w:r w:rsidR="0021011C" w:rsidRPr="003B4362">
        <w:rPr>
          <w:spacing w:val="-3"/>
        </w:rPr>
        <w:t xml:space="preserve">This Section derives </w:t>
      </w:r>
      <w:r w:rsidRPr="003B4362">
        <w:t>from 40 CFR 141.110.</w:t>
      </w:r>
    </w:p>
    <w:p w14:paraId="1BF997E4" w14:textId="5654F02D" w:rsidR="00C24354" w:rsidRPr="003B4362" w:rsidRDefault="00C24354" w:rsidP="00EC7CDE">
      <w:pPr>
        <w:suppressAutoHyphens/>
        <w:spacing w:before="240"/>
        <w:ind w:left="720"/>
      </w:pPr>
      <w:r w:rsidRPr="003B4362">
        <w:t>(Source:  Amended at</w:t>
      </w:r>
      <w:r w:rsidR="00FC0D9D" w:rsidRPr="003B4362">
        <w:t xml:space="preserve"> </w:t>
      </w:r>
      <w:r w:rsidR="005605D6" w:rsidRPr="003B4362">
        <w:t xml:space="preserve">47 Ill. Reg. </w:t>
      </w:r>
      <w:r w:rsidR="005605D6">
        <w:t>16486</w:t>
      </w:r>
      <w:r w:rsidR="005605D6" w:rsidRPr="003B4362">
        <w:t xml:space="preserve">, effective </w:t>
      </w:r>
      <w:r w:rsidR="005605D6">
        <w:t>November 2, 2023</w:t>
      </w:r>
      <w:r w:rsidRPr="003B4362">
        <w:t>)</w:t>
      </w:r>
    </w:p>
    <w:p w14:paraId="5F1FC2F6" w14:textId="77777777" w:rsidR="00F829FE" w:rsidRPr="003B4362" w:rsidRDefault="00F829FE" w:rsidP="00F829FE">
      <w:pPr>
        <w:suppressAutoHyphens/>
        <w:ind w:left="720"/>
      </w:pPr>
    </w:p>
    <w:p w14:paraId="5144B8B4" w14:textId="77777777" w:rsidR="00C24354" w:rsidRPr="003B4362" w:rsidRDefault="00C24354" w:rsidP="00F829FE">
      <w:pPr>
        <w:rPr>
          <w:b/>
          <w:bCs/>
        </w:rPr>
      </w:pPr>
      <w:r w:rsidRPr="003B4362">
        <w:rPr>
          <w:b/>
          <w:bCs/>
        </w:rPr>
        <w:t>Section 611.296</w:t>
      </w:r>
      <w:r w:rsidR="00D33CD3" w:rsidRPr="003B4362">
        <w:rPr>
          <w:b/>
          <w:bCs/>
        </w:rPr>
        <w:t xml:space="preserve">  </w:t>
      </w:r>
      <w:r w:rsidRPr="003B4362">
        <w:rPr>
          <w:b/>
          <w:bCs/>
        </w:rPr>
        <w:t>Acrylamide and Epichlorohydrin</w:t>
      </w:r>
    </w:p>
    <w:p w14:paraId="546EB80B" w14:textId="6409253C" w:rsidR="00C24354" w:rsidRPr="003B4362" w:rsidRDefault="00C24354" w:rsidP="00EC7CDE">
      <w:pPr>
        <w:suppressAutoHyphens/>
        <w:spacing w:before="240"/>
        <w:ind w:left="1440" w:hanging="720"/>
      </w:pPr>
      <w:r w:rsidRPr="003B4362">
        <w:t>a)</w:t>
      </w:r>
      <w:r w:rsidRPr="003B4362">
        <w:tab/>
        <w:t xml:space="preserve">Each supplier must </w:t>
      </w:r>
      <w:r w:rsidR="00ED0A51" w:rsidRPr="003B4362">
        <w:t xml:space="preserve">annually </w:t>
      </w:r>
      <w:r w:rsidRPr="003B4362">
        <w:t xml:space="preserve">certify in writing to the Agency that when </w:t>
      </w:r>
      <w:r w:rsidR="00ED0A51" w:rsidRPr="003B4362">
        <w:t xml:space="preserve">it uses </w:t>
      </w:r>
      <w:r w:rsidRPr="003B4362">
        <w:t xml:space="preserve">products containing acrylamide or epichlorohydrin in the PWS, the product of monomer level and dose does not exceed the </w:t>
      </w:r>
      <w:r w:rsidR="008E34BF" w:rsidRPr="003B4362">
        <w:t xml:space="preserve">level </w:t>
      </w:r>
      <w:r w:rsidRPr="003B4362">
        <w:t>subsection (b)</w:t>
      </w:r>
      <w:r w:rsidR="00ED0A51" w:rsidRPr="003B4362">
        <w:t xml:space="preserve"> specifies</w:t>
      </w:r>
      <w:r w:rsidRPr="003B4362">
        <w:t xml:space="preserve">.  The </w:t>
      </w:r>
      <w:r w:rsidR="00ED0A51" w:rsidRPr="003B4362">
        <w:t xml:space="preserve">supplier must compute the </w:t>
      </w:r>
      <w:r w:rsidRPr="003B4362">
        <w:t>product of monomer level and dose:</w:t>
      </w:r>
    </w:p>
    <w:p w14:paraId="369751FE" w14:textId="77777777" w:rsidR="00C24354" w:rsidRPr="003B4362" w:rsidRDefault="00C24354" w:rsidP="00EC7CDE">
      <w:pPr>
        <w:suppressAutoHyphens/>
        <w:spacing w:before="240"/>
        <w:ind w:left="2160"/>
      </w:pPr>
      <w:r w:rsidRPr="003B4362">
        <w:t>P = A × B</w:t>
      </w:r>
    </w:p>
    <w:p w14:paraId="66314880" w14:textId="4DE64CAE" w:rsidR="00C24354" w:rsidRPr="003B4362" w:rsidRDefault="00C24354" w:rsidP="00ED0A51">
      <w:pPr>
        <w:suppressAutoHyphens/>
        <w:spacing w:before="240"/>
        <w:ind w:left="1440"/>
      </w:pPr>
      <w:r w:rsidRPr="003B4362">
        <w:t>Where:</w:t>
      </w:r>
    </w:p>
    <w:p w14:paraId="0BB73E6E" w14:textId="77777777" w:rsidR="00C24354" w:rsidRPr="003B4362" w:rsidRDefault="00C24354" w:rsidP="00ED0A51">
      <w:pPr>
        <w:suppressAutoHyphens/>
        <w:spacing w:before="240"/>
        <w:ind w:left="2880" w:hanging="720"/>
      </w:pPr>
      <w:r w:rsidRPr="003B4362">
        <w:t>A =</w:t>
      </w:r>
      <w:r w:rsidRPr="003B4362">
        <w:tab/>
        <w:t>Percent by weight of unreacted monomer in the product used;</w:t>
      </w:r>
    </w:p>
    <w:p w14:paraId="0FE2B2F8" w14:textId="17189FE8" w:rsidR="00C24354" w:rsidRPr="003B4362" w:rsidRDefault="00C24354" w:rsidP="00ED0A51">
      <w:pPr>
        <w:suppressAutoHyphens/>
        <w:spacing w:before="240"/>
        <w:ind w:left="2880" w:hanging="720"/>
      </w:pPr>
      <w:r w:rsidRPr="003B4362">
        <w:t>B =</w:t>
      </w:r>
      <w:r w:rsidRPr="003B4362">
        <w:tab/>
        <w:t xml:space="preserve">Parts per million by weight of finished water at which the </w:t>
      </w:r>
      <w:r w:rsidR="008E34BF" w:rsidRPr="003B4362">
        <w:t xml:space="preserve">supplier doses the </w:t>
      </w:r>
      <w:r w:rsidRPr="003B4362">
        <w:t>product; and</w:t>
      </w:r>
    </w:p>
    <w:p w14:paraId="06F87FA2" w14:textId="77777777" w:rsidR="00C24354" w:rsidRPr="003B4362" w:rsidRDefault="00C24354" w:rsidP="00ED0A51">
      <w:pPr>
        <w:suppressAutoHyphens/>
        <w:spacing w:before="240"/>
        <w:ind w:left="2880" w:hanging="720"/>
      </w:pPr>
      <w:r w:rsidRPr="003B4362">
        <w:t>P =</w:t>
      </w:r>
      <w:r w:rsidRPr="003B4362">
        <w:tab/>
        <w:t>Product of monomer level and dose.</w:t>
      </w:r>
    </w:p>
    <w:p w14:paraId="06450B6C" w14:textId="26BB41F4" w:rsidR="00C24354" w:rsidRPr="003B4362" w:rsidRDefault="00C24354" w:rsidP="00EC7CDE">
      <w:pPr>
        <w:suppressAutoHyphens/>
        <w:spacing w:before="240"/>
        <w:ind w:left="1440" w:hanging="720"/>
      </w:pPr>
      <w:r w:rsidRPr="003B4362">
        <w:t>b)</w:t>
      </w:r>
      <w:r w:rsidRPr="003B4362">
        <w:tab/>
        <w:t>Maximum Product of monomer level and dose:</w:t>
      </w:r>
    </w:p>
    <w:p w14:paraId="21D3F019" w14:textId="4D073E3F" w:rsidR="00C24354" w:rsidRPr="003B4362" w:rsidRDefault="00C24354" w:rsidP="00EC7CDE">
      <w:pPr>
        <w:suppressAutoHyphens/>
        <w:spacing w:before="240"/>
        <w:ind w:left="2160" w:hanging="720"/>
      </w:pPr>
      <w:r w:rsidRPr="003B4362">
        <w:lastRenderedPageBreak/>
        <w:t>1)</w:t>
      </w:r>
      <w:r w:rsidRPr="003B4362">
        <w:tab/>
        <w:t>For acrylamide, P = 0.05</w:t>
      </w:r>
      <w:r w:rsidR="00A21997" w:rsidRPr="003B4362">
        <w:t xml:space="preserve"> ppm</w:t>
      </w:r>
      <w:r w:rsidRPr="003B4362">
        <w:t>; and</w:t>
      </w:r>
    </w:p>
    <w:p w14:paraId="5AAEBBF5" w14:textId="711986C0" w:rsidR="00C24354" w:rsidRPr="003B4362" w:rsidRDefault="00C24354" w:rsidP="00EC7CDE">
      <w:pPr>
        <w:suppressAutoHyphens/>
        <w:spacing w:before="240"/>
        <w:ind w:left="2160" w:hanging="720"/>
      </w:pPr>
      <w:r w:rsidRPr="003B4362">
        <w:t>2)</w:t>
      </w:r>
      <w:r w:rsidRPr="003B4362">
        <w:tab/>
        <w:t>For epichlorohydrin, P = 0.20</w:t>
      </w:r>
      <w:r w:rsidR="00A21997" w:rsidRPr="003B4362">
        <w:t xml:space="preserve"> ppm</w:t>
      </w:r>
      <w:r w:rsidRPr="003B4362">
        <w:t>.</w:t>
      </w:r>
    </w:p>
    <w:p w14:paraId="7C6D8DC7" w14:textId="745C9EB2" w:rsidR="00C24354" w:rsidRPr="003B4362" w:rsidRDefault="00C24354" w:rsidP="00EC7CDE">
      <w:pPr>
        <w:suppressAutoHyphens/>
        <w:spacing w:before="240"/>
        <w:ind w:left="1440" w:hanging="720"/>
      </w:pPr>
      <w:r w:rsidRPr="003B4362">
        <w:t>c)</w:t>
      </w:r>
      <w:r w:rsidRPr="003B4362">
        <w:tab/>
      </w:r>
      <w:r w:rsidR="00A21997" w:rsidRPr="003B4362">
        <w:t xml:space="preserve">The supplier’s certification </w:t>
      </w:r>
      <w:r w:rsidRPr="003B4362">
        <w:t>may rely on manufacturers or third parties, as the Agency</w:t>
      </w:r>
      <w:r w:rsidR="00A21997" w:rsidRPr="003B4362">
        <w:t xml:space="preserve"> approves</w:t>
      </w:r>
      <w:r w:rsidRPr="003B4362">
        <w:t>.</w:t>
      </w:r>
    </w:p>
    <w:p w14:paraId="11E4FB17" w14:textId="7966F872" w:rsidR="00C24354" w:rsidRPr="003B4362" w:rsidRDefault="00C24354" w:rsidP="00EC7CDE">
      <w:pPr>
        <w:spacing w:before="240"/>
      </w:pPr>
      <w:r w:rsidRPr="003B4362">
        <w:t xml:space="preserve">BOARD NOTE:  </w:t>
      </w:r>
      <w:r w:rsidR="0021011C" w:rsidRPr="003B4362">
        <w:rPr>
          <w:spacing w:val="-3"/>
        </w:rPr>
        <w:t xml:space="preserve">This Section derives </w:t>
      </w:r>
      <w:r w:rsidRPr="003B4362">
        <w:t>from 40 CFR 141.111.</w:t>
      </w:r>
    </w:p>
    <w:p w14:paraId="18815522" w14:textId="6B34C1FB" w:rsidR="00C24354" w:rsidRPr="003B4362" w:rsidRDefault="00C24354" w:rsidP="00EC7CDE">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11ED79CD" w14:textId="196C6FF2" w:rsidR="00FC0D9D" w:rsidRDefault="00FC0D9D" w:rsidP="00FC0D9D">
      <w:pPr>
        <w:suppressAutoHyphens/>
        <w:ind w:left="720"/>
      </w:pPr>
    </w:p>
    <w:p w14:paraId="150D6DDC" w14:textId="77777777" w:rsidR="00810215" w:rsidRPr="00810215" w:rsidRDefault="00810215" w:rsidP="00810215">
      <w:pPr>
        <w:rPr>
          <w:b/>
          <w:bCs/>
        </w:rPr>
      </w:pPr>
      <w:r w:rsidRPr="00810215">
        <w:rPr>
          <w:b/>
          <w:bCs/>
        </w:rPr>
        <w:t>Section 611.297  Corrosion Control (Repealed)</w:t>
      </w:r>
    </w:p>
    <w:p w14:paraId="3F3C557B" w14:textId="77777777" w:rsidR="00810215" w:rsidRPr="001A7517" w:rsidRDefault="00810215" w:rsidP="00810215"/>
    <w:p w14:paraId="08A8313E" w14:textId="6385E9FE" w:rsidR="00810215" w:rsidRPr="001A7517" w:rsidRDefault="00810215" w:rsidP="00810215">
      <w:r>
        <w:tab/>
      </w:r>
      <w:r w:rsidRPr="001A7517">
        <w:t>(Source:  Repealed at 43 Ill. Reg. 8206, effective July 26 2019)</w:t>
      </w:r>
    </w:p>
    <w:p w14:paraId="700F466B" w14:textId="77777777" w:rsidR="00810215" w:rsidRPr="003B4362" w:rsidRDefault="00810215" w:rsidP="00FC0D9D">
      <w:pPr>
        <w:suppressAutoHyphens/>
        <w:ind w:left="720"/>
      </w:pPr>
    </w:p>
    <w:p w14:paraId="319264F1" w14:textId="6694696E" w:rsidR="00B87EF4" w:rsidRPr="003B4362" w:rsidRDefault="00B87EF4" w:rsidP="00F829FE">
      <w:pPr>
        <w:jc w:val="center"/>
      </w:pPr>
      <w:r w:rsidRPr="003B4362">
        <w:rPr>
          <w:spacing w:val="-3"/>
        </w:rPr>
        <w:t>SUBPART F:  MAXIMUM CONTAMINANT LEVELS (MCLs)</w:t>
      </w:r>
      <w:r w:rsidRPr="003B4362">
        <w:t xml:space="preserve"> AND MAXIMUM RESIDUAL DISINFECTANT LEVELS (MRDLs)</w:t>
      </w:r>
    </w:p>
    <w:p w14:paraId="669D853F" w14:textId="77777777" w:rsidR="00F829FE" w:rsidRPr="003B4362" w:rsidRDefault="00F829FE" w:rsidP="00F829FE">
      <w:pPr>
        <w:jc w:val="center"/>
        <w:rPr>
          <w:spacing w:val="-3"/>
        </w:rPr>
      </w:pPr>
    </w:p>
    <w:p w14:paraId="4AE5BE36" w14:textId="6A48788F" w:rsidR="00166CA9" w:rsidRPr="003B4362" w:rsidRDefault="00166CA9" w:rsidP="001B4CDE">
      <w:pPr>
        <w:rPr>
          <w:b/>
          <w:bCs/>
        </w:rPr>
      </w:pPr>
      <w:r w:rsidRPr="003B4362">
        <w:rPr>
          <w:b/>
          <w:bCs/>
        </w:rPr>
        <w:t xml:space="preserve">Section 611.300  </w:t>
      </w:r>
      <w:r w:rsidR="00230F66" w:rsidRPr="003B4362">
        <w:rPr>
          <w:b/>
          <w:bCs/>
        </w:rPr>
        <w:t xml:space="preserve">State-Only </w:t>
      </w:r>
      <w:r w:rsidRPr="003B4362">
        <w:rPr>
          <w:b/>
          <w:bCs/>
        </w:rPr>
        <w:t>MCLs for Inorganic Chemical Contaminants</w:t>
      </w:r>
    </w:p>
    <w:p w14:paraId="61F00ED3" w14:textId="77777777" w:rsidR="00F829FE" w:rsidRPr="003B4362" w:rsidRDefault="00F829FE" w:rsidP="001B4CDE">
      <w:pPr>
        <w:rPr>
          <w:b/>
          <w:bCs/>
        </w:rPr>
      </w:pPr>
    </w:p>
    <w:p w14:paraId="6ABF07DD" w14:textId="30715025" w:rsidR="00166CA9" w:rsidRPr="003B4362" w:rsidRDefault="00166CA9" w:rsidP="001B4CDE">
      <w:pPr>
        <w:suppressAutoHyphens/>
        <w:ind w:left="1440" w:hanging="720"/>
      </w:pPr>
      <w:r w:rsidRPr="003B4362">
        <w:t>a)</w:t>
      </w:r>
      <w:r w:rsidRPr="003B4362">
        <w:tab/>
        <w:t xml:space="preserve">The </w:t>
      </w:r>
      <w:r w:rsidR="00D52BA3" w:rsidRPr="003B4362">
        <w:t xml:space="preserve">State-only </w:t>
      </w:r>
      <w:r w:rsidRPr="003B4362">
        <w:t xml:space="preserve">MCLs listed in subsection (b) for inorganic chemical contaminants (IOCs) are additional State requirements.  The </w:t>
      </w:r>
      <w:r w:rsidR="00D52BA3" w:rsidRPr="003B4362">
        <w:t xml:space="preserve">State-only </w:t>
      </w:r>
      <w:r w:rsidRPr="003B4362">
        <w:t xml:space="preserve">MCLs apply only to CWS suppliers.  </w:t>
      </w:r>
      <w:r w:rsidR="00A21997" w:rsidRPr="003B4362">
        <w:t xml:space="preserve">The supplier must determine compliance </w:t>
      </w:r>
      <w:r w:rsidRPr="003B4362">
        <w:t xml:space="preserve">with </w:t>
      </w:r>
      <w:r w:rsidR="00A21997" w:rsidRPr="003B4362">
        <w:t xml:space="preserve">the </w:t>
      </w:r>
      <w:r w:rsidR="00D52BA3" w:rsidRPr="003B4362">
        <w:t xml:space="preserve">State-only </w:t>
      </w:r>
      <w:r w:rsidRPr="003B4362">
        <w:t>MCLs for inorganic chemicals under Section 611.612.</w:t>
      </w:r>
    </w:p>
    <w:p w14:paraId="61FDCECA" w14:textId="0ACF53B9" w:rsidR="00166CA9" w:rsidRPr="003B4362" w:rsidRDefault="00166CA9" w:rsidP="00166CA9">
      <w:pPr>
        <w:suppressAutoHyphens/>
        <w:spacing w:before="240" w:after="240"/>
        <w:ind w:left="1440" w:hanging="720"/>
      </w:pPr>
      <w:r w:rsidRPr="003B4362">
        <w:t>b)</w:t>
      </w:r>
      <w:r w:rsidRPr="003B4362">
        <w:tab/>
      </w:r>
      <w:r w:rsidR="00D52BA3" w:rsidRPr="003B4362">
        <w:t>State-only</w:t>
      </w:r>
      <w:r w:rsidRPr="003B4362">
        <w:t xml:space="preserve"> MCLs for IOCs</w:t>
      </w:r>
    </w:p>
    <w:tbl>
      <w:tblPr>
        <w:tblW w:w="0" w:type="auto"/>
        <w:tblInd w:w="2160" w:type="dxa"/>
        <w:tblLayout w:type="fixed"/>
        <w:tblCellMar>
          <w:top w:w="115" w:type="dxa"/>
          <w:left w:w="72" w:type="dxa"/>
          <w:bottom w:w="115" w:type="dxa"/>
          <w:right w:w="72" w:type="dxa"/>
        </w:tblCellMar>
        <w:tblLook w:val="0000" w:firstRow="0" w:lastRow="0" w:firstColumn="0" w:lastColumn="0" w:noHBand="0" w:noVBand="0"/>
      </w:tblPr>
      <w:tblGrid>
        <w:gridCol w:w="2880"/>
        <w:gridCol w:w="2160"/>
      </w:tblGrid>
      <w:tr w:rsidR="001628C1" w:rsidRPr="003B4362" w14:paraId="5811A47F" w14:textId="77777777" w:rsidTr="00166CA9">
        <w:tc>
          <w:tcPr>
            <w:tcW w:w="2880" w:type="dxa"/>
          </w:tcPr>
          <w:p w14:paraId="60F3154A" w14:textId="77777777" w:rsidR="00A21997" w:rsidRPr="003B4362" w:rsidRDefault="00A21997" w:rsidP="00166CA9">
            <w:pPr>
              <w:suppressAutoHyphens/>
            </w:pPr>
            <w:r w:rsidRPr="003B4362">
              <w:t>Contaminant</w:t>
            </w:r>
          </w:p>
        </w:tc>
        <w:tc>
          <w:tcPr>
            <w:tcW w:w="2160" w:type="dxa"/>
          </w:tcPr>
          <w:p w14:paraId="6884A606" w14:textId="4ECB93C2" w:rsidR="00A21997" w:rsidRPr="003B4362" w:rsidRDefault="00A21997" w:rsidP="00166CA9">
            <w:pPr>
              <w:suppressAutoHyphens/>
              <w:jc w:val="center"/>
            </w:pPr>
            <w:r w:rsidRPr="003B4362">
              <w:t>Level, mg/</w:t>
            </w:r>
            <w:r w:rsidR="00F560FD" w:rsidRPr="003B4362">
              <w:t xml:space="preserve"> L</w:t>
            </w:r>
          </w:p>
        </w:tc>
      </w:tr>
      <w:tr w:rsidR="001628C1" w:rsidRPr="003B4362" w14:paraId="033FFD2D" w14:textId="77777777" w:rsidTr="00166CA9">
        <w:tc>
          <w:tcPr>
            <w:tcW w:w="2880" w:type="dxa"/>
          </w:tcPr>
          <w:p w14:paraId="37E0832A" w14:textId="77777777" w:rsidR="00A21997" w:rsidRPr="003B4362" w:rsidRDefault="00A21997" w:rsidP="00166CA9">
            <w:pPr>
              <w:suppressAutoHyphens/>
            </w:pPr>
            <w:r w:rsidRPr="003B4362">
              <w:t>Iron</w:t>
            </w:r>
          </w:p>
        </w:tc>
        <w:tc>
          <w:tcPr>
            <w:tcW w:w="2160" w:type="dxa"/>
          </w:tcPr>
          <w:p w14:paraId="3B14B2BB" w14:textId="77777777" w:rsidR="00A21997" w:rsidRPr="003B4362" w:rsidRDefault="00A21997" w:rsidP="00166CA9">
            <w:pPr>
              <w:suppressAutoHyphens/>
              <w:jc w:val="center"/>
            </w:pPr>
            <w:r w:rsidRPr="003B4362">
              <w:t>1.0</w:t>
            </w:r>
          </w:p>
        </w:tc>
      </w:tr>
      <w:tr w:rsidR="001628C1" w:rsidRPr="003B4362" w14:paraId="58FB5BAD" w14:textId="77777777" w:rsidTr="00166CA9">
        <w:tc>
          <w:tcPr>
            <w:tcW w:w="2880" w:type="dxa"/>
          </w:tcPr>
          <w:p w14:paraId="48E046BE" w14:textId="77777777" w:rsidR="00A21997" w:rsidRPr="003B4362" w:rsidRDefault="00A21997" w:rsidP="00166CA9">
            <w:pPr>
              <w:suppressAutoHyphens/>
            </w:pPr>
            <w:r w:rsidRPr="003B4362">
              <w:t>Manganese</w:t>
            </w:r>
          </w:p>
        </w:tc>
        <w:tc>
          <w:tcPr>
            <w:tcW w:w="2160" w:type="dxa"/>
          </w:tcPr>
          <w:p w14:paraId="5F06C4FC" w14:textId="77777777" w:rsidR="00A21997" w:rsidRPr="003B4362" w:rsidRDefault="00A21997" w:rsidP="00166CA9">
            <w:pPr>
              <w:suppressAutoHyphens/>
              <w:jc w:val="center"/>
            </w:pPr>
            <w:r w:rsidRPr="003B4362">
              <w:t>0.15</w:t>
            </w:r>
          </w:p>
        </w:tc>
      </w:tr>
      <w:tr w:rsidR="001628C1" w:rsidRPr="003B4362" w14:paraId="0317F29B" w14:textId="77777777" w:rsidTr="00166CA9">
        <w:tc>
          <w:tcPr>
            <w:tcW w:w="2880" w:type="dxa"/>
          </w:tcPr>
          <w:p w14:paraId="3DF8DF81" w14:textId="77777777" w:rsidR="00A21997" w:rsidRPr="003B4362" w:rsidRDefault="00A21997" w:rsidP="00166CA9">
            <w:pPr>
              <w:suppressAutoHyphens/>
            </w:pPr>
            <w:r w:rsidRPr="003B4362">
              <w:t>Zinc</w:t>
            </w:r>
          </w:p>
        </w:tc>
        <w:tc>
          <w:tcPr>
            <w:tcW w:w="2160" w:type="dxa"/>
          </w:tcPr>
          <w:p w14:paraId="0FA321AC" w14:textId="77777777" w:rsidR="00A21997" w:rsidRPr="003B4362" w:rsidRDefault="00A21997" w:rsidP="00166CA9">
            <w:pPr>
              <w:suppressAutoHyphens/>
              <w:jc w:val="center"/>
            </w:pPr>
            <w:r w:rsidRPr="003B4362">
              <w:t>5.</w:t>
            </w:r>
          </w:p>
        </w:tc>
      </w:tr>
    </w:tbl>
    <w:p w14:paraId="739B540F" w14:textId="77777777" w:rsidR="00166CA9" w:rsidRPr="003B4362" w:rsidRDefault="00166CA9" w:rsidP="00166CA9">
      <w:pPr>
        <w:suppressAutoHyphens/>
        <w:spacing w:before="240"/>
        <w:ind w:left="1440" w:hanging="720"/>
      </w:pPr>
      <w:r w:rsidRPr="003B4362">
        <w:t>c)</w:t>
      </w:r>
      <w:r w:rsidRPr="003B4362">
        <w:tab/>
        <w:t>This subsection corresponds with 40 CFR 141.11(c), marked as reserved by USEPA.  This statement maintains structural parity with the federal rules.</w:t>
      </w:r>
    </w:p>
    <w:p w14:paraId="28F4AED3" w14:textId="77777777" w:rsidR="00166CA9" w:rsidRPr="003B4362" w:rsidRDefault="00166CA9" w:rsidP="00166CA9">
      <w:pPr>
        <w:suppressAutoHyphens/>
        <w:spacing w:before="240"/>
        <w:ind w:left="1440" w:hanging="720"/>
      </w:pPr>
      <w:r w:rsidRPr="003B4362">
        <w:t>d)</w:t>
      </w:r>
      <w:r w:rsidRPr="003B4362">
        <w:tab/>
        <w:t>Nitrate</w:t>
      </w:r>
    </w:p>
    <w:p w14:paraId="4DE3935E" w14:textId="088B1E2C" w:rsidR="00166CA9" w:rsidRPr="003B4362" w:rsidRDefault="00A21997" w:rsidP="00367A2A">
      <w:pPr>
        <w:suppressAutoHyphens/>
        <w:spacing w:before="240"/>
        <w:ind w:left="1440"/>
      </w:pPr>
      <w:r w:rsidRPr="003B4362">
        <w:t xml:space="preserve">A non-CWS </w:t>
      </w:r>
      <w:r w:rsidR="00166CA9" w:rsidRPr="003B4362">
        <w:t>may exceed the MCL for nitrate under certain circumstances:</w:t>
      </w:r>
    </w:p>
    <w:p w14:paraId="2E995843" w14:textId="5C11265F" w:rsidR="00166CA9" w:rsidRPr="003B4362" w:rsidRDefault="00166CA9" w:rsidP="00166CA9">
      <w:pPr>
        <w:suppressAutoHyphens/>
        <w:spacing w:before="240"/>
        <w:ind w:left="2160" w:hanging="720"/>
      </w:pPr>
      <w:r w:rsidRPr="003B4362">
        <w:t>1)</w:t>
      </w:r>
      <w:r w:rsidRPr="003B4362">
        <w:tab/>
        <w:t>The nitrate level must not exceed 20 mg/</w:t>
      </w:r>
      <w:r w:rsidR="00F560FD" w:rsidRPr="003B4362">
        <w:t xml:space="preserve"> L</w:t>
      </w:r>
      <w:r w:rsidRPr="003B4362">
        <w:t>;</w:t>
      </w:r>
    </w:p>
    <w:p w14:paraId="4BDBD762" w14:textId="18F9E0AF" w:rsidR="00166CA9" w:rsidRPr="003B4362" w:rsidRDefault="00166CA9" w:rsidP="00166CA9">
      <w:pPr>
        <w:suppressAutoHyphens/>
        <w:spacing w:before="240"/>
        <w:ind w:left="2160" w:hanging="720"/>
      </w:pPr>
      <w:r w:rsidRPr="003B4362">
        <w:t>2)</w:t>
      </w:r>
      <w:r w:rsidRPr="003B4362">
        <w:tab/>
        <w:t xml:space="preserve">The water must not be available </w:t>
      </w:r>
      <w:r w:rsidR="00A21997" w:rsidRPr="003B4362">
        <w:t xml:space="preserve">for consumption by </w:t>
      </w:r>
      <w:r w:rsidRPr="003B4362">
        <w:t>children under six months of age;</w:t>
      </w:r>
    </w:p>
    <w:p w14:paraId="4BE2AAA9" w14:textId="72AEB92A" w:rsidR="00166CA9" w:rsidRPr="003B4362" w:rsidRDefault="00166CA9" w:rsidP="00166CA9">
      <w:pPr>
        <w:suppressAutoHyphens/>
        <w:spacing w:before="240"/>
        <w:ind w:left="2160" w:hanging="720"/>
      </w:pPr>
      <w:r w:rsidRPr="003B4362">
        <w:lastRenderedPageBreak/>
        <w:t>3)</w:t>
      </w:r>
      <w:r w:rsidRPr="003B4362">
        <w:tab/>
        <w:t>The NCWS supplier complies with the public notification requirements under Section 611.909, including continuous posting that the nitrate level exceeds 10 mg/</w:t>
      </w:r>
      <w:r w:rsidR="00F560FD" w:rsidRPr="003B4362">
        <w:t xml:space="preserve"> L</w:t>
      </w:r>
      <w:r w:rsidRPr="003B4362">
        <w:t xml:space="preserve"> with the potential health effects of exposure;</w:t>
      </w:r>
    </w:p>
    <w:p w14:paraId="51B9E9FD" w14:textId="4F0304A3" w:rsidR="00166CA9" w:rsidRPr="003B4362" w:rsidRDefault="00166CA9" w:rsidP="00166CA9">
      <w:pPr>
        <w:suppressAutoHyphens/>
        <w:spacing w:before="240"/>
        <w:ind w:left="2160" w:hanging="720"/>
      </w:pPr>
      <w:r w:rsidRPr="003B4362">
        <w:t>4)</w:t>
      </w:r>
      <w:r w:rsidRPr="003B4362">
        <w:tab/>
        <w:t>The supplier annually notifies local public health authorities and the Department of Public Health of nitrate levels exceeding 10 mg/</w:t>
      </w:r>
      <w:r w:rsidR="00F560FD" w:rsidRPr="003B4362">
        <w:t xml:space="preserve"> L</w:t>
      </w:r>
      <w:r w:rsidRPr="003B4362">
        <w:t>;</w:t>
      </w:r>
      <w:r w:rsidRPr="003B4362">
        <w:rPr>
          <w:spacing w:val="-3"/>
        </w:rPr>
        <w:t xml:space="preserve"> and</w:t>
      </w:r>
    </w:p>
    <w:p w14:paraId="64526B85" w14:textId="77777777" w:rsidR="00166CA9" w:rsidRPr="003B4362" w:rsidRDefault="00166CA9" w:rsidP="00166CA9">
      <w:pPr>
        <w:suppressAutoHyphens/>
        <w:spacing w:before="240"/>
        <w:ind w:left="2160" w:hanging="720"/>
      </w:pPr>
      <w:r w:rsidRPr="003B4362">
        <w:t>5)</w:t>
      </w:r>
      <w:r w:rsidRPr="003B4362">
        <w:tab/>
        <w:t>No adverse public health effects result.</w:t>
      </w:r>
    </w:p>
    <w:p w14:paraId="48F3BAA3" w14:textId="414D448C" w:rsidR="00166CA9" w:rsidRPr="003B4362" w:rsidRDefault="00166CA9" w:rsidP="00166CA9">
      <w:pPr>
        <w:spacing w:before="240"/>
        <w:ind w:left="1440"/>
      </w:pPr>
      <w:r w:rsidRPr="003B4362">
        <w:t xml:space="preserve">BOARD NOTE:  </w:t>
      </w:r>
      <w:r w:rsidR="0021011C" w:rsidRPr="003B4362">
        <w:rPr>
          <w:spacing w:val="-3"/>
        </w:rPr>
        <w:t xml:space="preserve">This subsection (d) derives </w:t>
      </w:r>
      <w:r w:rsidRPr="003B4362">
        <w:t>from 40 CFR 141.11(d).  The Department of Public Health regulations may impose a nitrate limitation requirement at 77 Ill. Adm. Code 900.50.</w:t>
      </w:r>
    </w:p>
    <w:p w14:paraId="494BD994" w14:textId="0AEA3421" w:rsidR="00166CA9" w:rsidRPr="003B4362" w:rsidRDefault="00166CA9" w:rsidP="00166CA9">
      <w:pPr>
        <w:suppressAutoHyphens/>
        <w:spacing w:before="240"/>
        <w:ind w:left="1440" w:hanging="720"/>
      </w:pPr>
      <w:r w:rsidRPr="003B4362">
        <w:t>e)</w:t>
      </w:r>
      <w:r w:rsidRPr="003B4362">
        <w:tab/>
        <w:t>Supplementary conditions apply to the MCLs for iron and manganese</w:t>
      </w:r>
      <w:r w:rsidR="00ED4C58" w:rsidRPr="003B4362">
        <w:t xml:space="preserve"> in subsection (b)</w:t>
      </w:r>
      <w:r w:rsidRPr="003B4362">
        <w:t>:</w:t>
      </w:r>
    </w:p>
    <w:p w14:paraId="7DE6DED9" w14:textId="103C9EF2" w:rsidR="00166CA9" w:rsidRPr="003B4362" w:rsidRDefault="00166CA9" w:rsidP="00166CA9">
      <w:pPr>
        <w:suppressAutoHyphens/>
        <w:spacing w:before="240"/>
        <w:ind w:left="2160" w:hanging="720"/>
      </w:pPr>
      <w:r w:rsidRPr="003B4362">
        <w:t>1)</w:t>
      </w:r>
      <w:r w:rsidRPr="003B4362">
        <w:tab/>
      </w:r>
      <w:r w:rsidR="00ED4C58" w:rsidRPr="003B4362">
        <w:t xml:space="preserve">A CWS supplier serving </w:t>
      </w:r>
      <w:r w:rsidRPr="003B4362">
        <w:t>a population of 1</w:t>
      </w:r>
      <w:r w:rsidR="00ED4C58" w:rsidRPr="003B4362">
        <w:t>,</w:t>
      </w:r>
      <w:r w:rsidRPr="003B4362">
        <w:t>000 or fewer or 300 service connections or fewer are exempt from the standards for iron and manganese.</w:t>
      </w:r>
    </w:p>
    <w:p w14:paraId="1D00341A" w14:textId="7FE77F27" w:rsidR="00166CA9" w:rsidRPr="003B4362" w:rsidRDefault="00166CA9" w:rsidP="00166CA9">
      <w:pPr>
        <w:suppressAutoHyphens/>
        <w:spacing w:before="240"/>
        <w:ind w:left="2160" w:hanging="720"/>
      </w:pPr>
      <w:r w:rsidRPr="003B4362">
        <w:t>2)</w:t>
      </w:r>
      <w:r w:rsidRPr="003B4362">
        <w:tab/>
        <w:t>The Agency may</w:t>
      </w:r>
      <w:r w:rsidR="002B1FAE" w:rsidRPr="003B4362">
        <w:t xml:space="preserve"> issue</w:t>
      </w:r>
      <w:r w:rsidRPr="003B4362">
        <w:t xml:space="preserve"> a SEP</w:t>
      </w:r>
      <w:r w:rsidR="002B1FAE" w:rsidRPr="003B4362">
        <w:t xml:space="preserve"> allowing</w:t>
      </w:r>
      <w:r w:rsidRPr="003B4362">
        <w:t xml:space="preserve"> iron and manganese in excess of the MCL if sequestration proves effective on an experimental basis.  If sequestration is not effective, the </w:t>
      </w:r>
      <w:r w:rsidR="00227052" w:rsidRPr="003B4362">
        <w:t>s</w:t>
      </w:r>
      <w:r w:rsidRPr="003B4362">
        <w:t xml:space="preserve">upplier must provide positive iron or manganese reduction treatment, as applicable.  A supplier may try experimental use a sequestering agent only if </w:t>
      </w:r>
      <w:r w:rsidR="00ED4C58" w:rsidRPr="003B4362">
        <w:t xml:space="preserve">the Agency approves in </w:t>
      </w:r>
      <w:r w:rsidRPr="003B4362">
        <w:t>a SEP.</w:t>
      </w:r>
    </w:p>
    <w:p w14:paraId="2BDB9A4B" w14:textId="77777777" w:rsidR="00166CA9" w:rsidRPr="003B4362" w:rsidRDefault="00166CA9" w:rsidP="00166CA9">
      <w:pPr>
        <w:spacing w:before="240"/>
        <w:ind w:left="1440"/>
      </w:pPr>
      <w:r w:rsidRPr="003B4362">
        <w:t>BOARD NOTE:  This subsection (e) is an additional State requirement.</w:t>
      </w:r>
    </w:p>
    <w:p w14:paraId="22BB08B6" w14:textId="1CB84518" w:rsidR="00166CA9" w:rsidRPr="003B4362" w:rsidRDefault="00EB353D" w:rsidP="00166CA9">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78973376" w14:textId="77777777" w:rsidR="00F829FE" w:rsidRPr="003B4362" w:rsidRDefault="00F829FE" w:rsidP="00F829FE">
      <w:pPr>
        <w:rPr>
          <w:b/>
          <w:bCs/>
        </w:rPr>
      </w:pPr>
    </w:p>
    <w:p w14:paraId="148E0058" w14:textId="06B21333" w:rsidR="004E2D35" w:rsidRPr="003B4362" w:rsidRDefault="004E2D35" w:rsidP="00F829FE">
      <w:pPr>
        <w:rPr>
          <w:b/>
          <w:bCs/>
        </w:rPr>
      </w:pPr>
      <w:r w:rsidRPr="003B4362">
        <w:rPr>
          <w:b/>
          <w:bCs/>
        </w:rPr>
        <w:t>Section 611.301  Revised MCLs for Inorganic Chemical Contaminants</w:t>
      </w:r>
    </w:p>
    <w:p w14:paraId="26AFF129" w14:textId="28D00A00" w:rsidR="004E2D35" w:rsidRPr="003B4362" w:rsidRDefault="004E2D35" w:rsidP="004E2D35">
      <w:pPr>
        <w:suppressAutoHyphens/>
        <w:spacing w:before="240"/>
        <w:ind w:left="1440" w:hanging="720"/>
      </w:pPr>
      <w:r w:rsidRPr="003B4362">
        <w:t>a)</w:t>
      </w:r>
      <w:r w:rsidRPr="003B4362">
        <w:tab/>
        <w:t>This subsection corresponds with 40 CFR 141.62(a), reserved by USEPA.  This statement maintains structural consistency with USEPA rules.</w:t>
      </w:r>
    </w:p>
    <w:p w14:paraId="46C3666B" w14:textId="3A76E1BC" w:rsidR="004E2D35" w:rsidRPr="003B4362" w:rsidRDefault="004E2D35" w:rsidP="004E2D35">
      <w:pPr>
        <w:suppressAutoHyphens/>
        <w:spacing w:before="240" w:after="240"/>
        <w:ind w:left="1440" w:hanging="720"/>
      </w:pPr>
      <w:r w:rsidRPr="003B4362">
        <w:t>b)</w:t>
      </w:r>
      <w:r w:rsidRPr="003B4362">
        <w:tab/>
        <w:t>The MCLs in the following table apply to CWSs.  Except for fluoride, the MCLs also apply to NTNCWSs.  The MCLs for nitrate, nitrite, and total nitrate and nitrite also apply to transient non-CWSs.</w:t>
      </w:r>
    </w:p>
    <w:tbl>
      <w:tblPr>
        <w:tblW w:w="0" w:type="auto"/>
        <w:tblInd w:w="2160" w:type="dxa"/>
        <w:tblLayout w:type="fixed"/>
        <w:tblLook w:val="0000" w:firstRow="0" w:lastRow="0" w:firstColumn="0" w:lastColumn="0" w:noHBand="0" w:noVBand="0"/>
      </w:tblPr>
      <w:tblGrid>
        <w:gridCol w:w="2716"/>
        <w:gridCol w:w="876"/>
        <w:gridCol w:w="998"/>
      </w:tblGrid>
      <w:tr w:rsidR="001628C1" w:rsidRPr="003B4362" w14:paraId="23CF116D" w14:textId="77777777" w:rsidTr="00F560FD">
        <w:tc>
          <w:tcPr>
            <w:tcW w:w="2716" w:type="dxa"/>
          </w:tcPr>
          <w:p w14:paraId="513CFD5F" w14:textId="77777777" w:rsidR="004E2D35" w:rsidRPr="003B4362" w:rsidRDefault="004E2D35" w:rsidP="004E2D35">
            <w:pPr>
              <w:suppressAutoHyphens/>
            </w:pPr>
            <w:r w:rsidRPr="003B4362">
              <w:t>Contaminant</w:t>
            </w:r>
          </w:p>
        </w:tc>
        <w:tc>
          <w:tcPr>
            <w:tcW w:w="876" w:type="dxa"/>
          </w:tcPr>
          <w:p w14:paraId="2BD111EF" w14:textId="2A81D137" w:rsidR="006A2B91" w:rsidRPr="003B4362" w:rsidRDefault="004E2D35" w:rsidP="006A2B91">
            <w:pPr>
              <w:suppressAutoHyphens/>
            </w:pPr>
            <w:r w:rsidRPr="003B4362">
              <w:t>MCL</w:t>
            </w:r>
          </w:p>
        </w:tc>
        <w:tc>
          <w:tcPr>
            <w:tcW w:w="998" w:type="dxa"/>
          </w:tcPr>
          <w:p w14:paraId="0EA9D14C" w14:textId="77777777" w:rsidR="004E2D35" w:rsidRPr="003B4362" w:rsidRDefault="004E2D35" w:rsidP="004E2D35">
            <w:pPr>
              <w:suppressAutoHyphens/>
            </w:pPr>
            <w:r w:rsidRPr="003B4362">
              <w:t>Units</w:t>
            </w:r>
          </w:p>
        </w:tc>
      </w:tr>
      <w:tr w:rsidR="001628C1" w:rsidRPr="003B4362" w14:paraId="60913E7D" w14:textId="77777777" w:rsidTr="00F560FD">
        <w:tc>
          <w:tcPr>
            <w:tcW w:w="2716" w:type="dxa"/>
          </w:tcPr>
          <w:p w14:paraId="59DC3AA5" w14:textId="77777777" w:rsidR="004E2D35" w:rsidRPr="003B4362" w:rsidRDefault="004E2D35" w:rsidP="004E2D35">
            <w:pPr>
              <w:suppressAutoHyphens/>
            </w:pPr>
          </w:p>
        </w:tc>
        <w:tc>
          <w:tcPr>
            <w:tcW w:w="876" w:type="dxa"/>
          </w:tcPr>
          <w:p w14:paraId="70C2A0AF" w14:textId="77777777" w:rsidR="004E2D35" w:rsidRPr="003B4362" w:rsidRDefault="004E2D35" w:rsidP="004E2D35">
            <w:pPr>
              <w:suppressAutoHyphens/>
            </w:pPr>
          </w:p>
        </w:tc>
        <w:tc>
          <w:tcPr>
            <w:tcW w:w="998" w:type="dxa"/>
          </w:tcPr>
          <w:p w14:paraId="759B441F" w14:textId="77777777" w:rsidR="004E2D35" w:rsidRPr="003B4362" w:rsidRDefault="004E2D35" w:rsidP="004E2D35">
            <w:pPr>
              <w:suppressAutoHyphens/>
            </w:pPr>
          </w:p>
        </w:tc>
      </w:tr>
      <w:tr w:rsidR="001628C1" w:rsidRPr="003B4362" w14:paraId="357AAD4A" w14:textId="77777777" w:rsidTr="00F560FD">
        <w:tc>
          <w:tcPr>
            <w:tcW w:w="2716" w:type="dxa"/>
          </w:tcPr>
          <w:p w14:paraId="3F172A89" w14:textId="77777777" w:rsidR="004E2D35" w:rsidRPr="003B4362" w:rsidRDefault="004E2D35" w:rsidP="004E2D35">
            <w:pPr>
              <w:suppressAutoHyphens/>
            </w:pPr>
            <w:r w:rsidRPr="003B4362">
              <w:t>Antimony</w:t>
            </w:r>
          </w:p>
        </w:tc>
        <w:tc>
          <w:tcPr>
            <w:tcW w:w="876" w:type="dxa"/>
          </w:tcPr>
          <w:p w14:paraId="76C79D89" w14:textId="77777777" w:rsidR="004E2D35" w:rsidRPr="003B4362" w:rsidRDefault="004E2D35" w:rsidP="004E2D35">
            <w:pPr>
              <w:suppressAutoHyphens/>
            </w:pPr>
            <w:r w:rsidRPr="003B4362">
              <w:t>0.006</w:t>
            </w:r>
          </w:p>
        </w:tc>
        <w:tc>
          <w:tcPr>
            <w:tcW w:w="998" w:type="dxa"/>
          </w:tcPr>
          <w:p w14:paraId="62F393D1" w14:textId="0E05426E" w:rsidR="004E2D35" w:rsidRPr="003B4362" w:rsidRDefault="004E2D35" w:rsidP="004E2D35">
            <w:pPr>
              <w:suppressAutoHyphens/>
            </w:pPr>
            <w:r w:rsidRPr="003B4362">
              <w:t>mg/</w:t>
            </w:r>
            <w:r w:rsidR="00F560FD" w:rsidRPr="003B4362">
              <w:t xml:space="preserve"> L</w:t>
            </w:r>
          </w:p>
        </w:tc>
      </w:tr>
      <w:tr w:rsidR="001628C1" w:rsidRPr="003B4362" w14:paraId="5F5CCD56" w14:textId="77777777" w:rsidTr="00F560FD">
        <w:tc>
          <w:tcPr>
            <w:tcW w:w="2716" w:type="dxa"/>
          </w:tcPr>
          <w:p w14:paraId="3E56CD18" w14:textId="77777777" w:rsidR="004E2D35" w:rsidRPr="003B4362" w:rsidRDefault="004E2D35" w:rsidP="004E2D35">
            <w:pPr>
              <w:suppressAutoHyphens/>
            </w:pPr>
            <w:r w:rsidRPr="003B4362">
              <w:t>Arsenic</w:t>
            </w:r>
          </w:p>
        </w:tc>
        <w:tc>
          <w:tcPr>
            <w:tcW w:w="876" w:type="dxa"/>
          </w:tcPr>
          <w:p w14:paraId="2306EA10" w14:textId="77777777" w:rsidR="004E2D35" w:rsidRPr="003B4362" w:rsidRDefault="004E2D35" w:rsidP="004E2D35">
            <w:pPr>
              <w:suppressAutoHyphens/>
            </w:pPr>
            <w:r w:rsidRPr="003B4362">
              <w:t>0.010</w:t>
            </w:r>
          </w:p>
        </w:tc>
        <w:tc>
          <w:tcPr>
            <w:tcW w:w="998" w:type="dxa"/>
          </w:tcPr>
          <w:p w14:paraId="5B4E2135" w14:textId="7AD227DC" w:rsidR="004E2D35" w:rsidRPr="003B4362" w:rsidRDefault="004E2D35" w:rsidP="004E2D35">
            <w:pPr>
              <w:suppressAutoHyphens/>
            </w:pPr>
            <w:r w:rsidRPr="003B4362">
              <w:t>mg/</w:t>
            </w:r>
            <w:r w:rsidR="00F560FD" w:rsidRPr="003B4362">
              <w:t xml:space="preserve"> L</w:t>
            </w:r>
          </w:p>
        </w:tc>
      </w:tr>
      <w:tr w:rsidR="001628C1" w:rsidRPr="003B4362" w14:paraId="6E90361E" w14:textId="77777777" w:rsidTr="00F560FD">
        <w:tc>
          <w:tcPr>
            <w:tcW w:w="2716" w:type="dxa"/>
          </w:tcPr>
          <w:p w14:paraId="063E4957" w14:textId="77777777" w:rsidR="004E2D35" w:rsidRPr="003B4362" w:rsidRDefault="004E2D35" w:rsidP="004E2D35">
            <w:pPr>
              <w:suppressAutoHyphens/>
            </w:pPr>
            <w:r w:rsidRPr="003B4362">
              <w:t>Asbestos</w:t>
            </w:r>
          </w:p>
        </w:tc>
        <w:tc>
          <w:tcPr>
            <w:tcW w:w="876" w:type="dxa"/>
          </w:tcPr>
          <w:p w14:paraId="1E905411" w14:textId="77777777" w:rsidR="004E2D35" w:rsidRPr="003B4362" w:rsidRDefault="004E2D35" w:rsidP="004E2D35">
            <w:pPr>
              <w:suppressAutoHyphens/>
            </w:pPr>
            <w:r w:rsidRPr="003B4362">
              <w:t>7</w:t>
            </w:r>
          </w:p>
        </w:tc>
        <w:tc>
          <w:tcPr>
            <w:tcW w:w="998" w:type="dxa"/>
          </w:tcPr>
          <w:p w14:paraId="21F5D244" w14:textId="77777777" w:rsidR="004E2D35" w:rsidRPr="003B4362" w:rsidRDefault="004E2D35" w:rsidP="004E2D35">
            <w:pPr>
              <w:suppressAutoHyphens/>
            </w:pPr>
            <w:r w:rsidRPr="003B4362">
              <w:t>MFL</w:t>
            </w:r>
          </w:p>
        </w:tc>
      </w:tr>
      <w:tr w:rsidR="001628C1" w:rsidRPr="003B4362" w14:paraId="51F7B15E" w14:textId="77777777" w:rsidTr="00F560FD">
        <w:tc>
          <w:tcPr>
            <w:tcW w:w="2716" w:type="dxa"/>
          </w:tcPr>
          <w:p w14:paraId="2D791EAD" w14:textId="77777777" w:rsidR="004E2D35" w:rsidRPr="003B4362" w:rsidRDefault="004E2D35" w:rsidP="004E2D35">
            <w:pPr>
              <w:suppressAutoHyphens/>
            </w:pPr>
            <w:r w:rsidRPr="003B4362">
              <w:t>Barium</w:t>
            </w:r>
          </w:p>
        </w:tc>
        <w:tc>
          <w:tcPr>
            <w:tcW w:w="876" w:type="dxa"/>
          </w:tcPr>
          <w:p w14:paraId="1A9A9D67" w14:textId="77777777" w:rsidR="004E2D35" w:rsidRPr="003B4362" w:rsidRDefault="004E2D35" w:rsidP="004E2D35">
            <w:pPr>
              <w:suppressAutoHyphens/>
            </w:pPr>
            <w:r w:rsidRPr="003B4362">
              <w:t>2</w:t>
            </w:r>
          </w:p>
        </w:tc>
        <w:tc>
          <w:tcPr>
            <w:tcW w:w="998" w:type="dxa"/>
          </w:tcPr>
          <w:p w14:paraId="389547FE" w14:textId="6B502213" w:rsidR="004E2D35" w:rsidRPr="003B4362" w:rsidRDefault="004E2D35" w:rsidP="004E2D35">
            <w:pPr>
              <w:suppressAutoHyphens/>
            </w:pPr>
            <w:r w:rsidRPr="003B4362">
              <w:t>mg/</w:t>
            </w:r>
            <w:r w:rsidR="00F560FD" w:rsidRPr="003B4362">
              <w:t xml:space="preserve"> L</w:t>
            </w:r>
          </w:p>
        </w:tc>
      </w:tr>
      <w:tr w:rsidR="001628C1" w:rsidRPr="003B4362" w14:paraId="5423C5EC" w14:textId="77777777" w:rsidTr="00F560FD">
        <w:tc>
          <w:tcPr>
            <w:tcW w:w="2716" w:type="dxa"/>
          </w:tcPr>
          <w:p w14:paraId="265C31AD" w14:textId="77777777" w:rsidR="004E2D35" w:rsidRPr="003B4362" w:rsidRDefault="004E2D35" w:rsidP="004E2D35">
            <w:pPr>
              <w:suppressAutoHyphens/>
            </w:pPr>
            <w:r w:rsidRPr="003B4362">
              <w:lastRenderedPageBreak/>
              <w:t>Beryllium</w:t>
            </w:r>
          </w:p>
        </w:tc>
        <w:tc>
          <w:tcPr>
            <w:tcW w:w="876" w:type="dxa"/>
          </w:tcPr>
          <w:p w14:paraId="39EA7B1C" w14:textId="77777777" w:rsidR="004E2D35" w:rsidRPr="003B4362" w:rsidRDefault="004E2D35" w:rsidP="004E2D35">
            <w:pPr>
              <w:suppressAutoHyphens/>
            </w:pPr>
            <w:r w:rsidRPr="003B4362">
              <w:t>0.004</w:t>
            </w:r>
          </w:p>
        </w:tc>
        <w:tc>
          <w:tcPr>
            <w:tcW w:w="998" w:type="dxa"/>
          </w:tcPr>
          <w:p w14:paraId="7381C307" w14:textId="7C38162E" w:rsidR="004E2D35" w:rsidRPr="003B4362" w:rsidRDefault="004E2D35" w:rsidP="004E2D35">
            <w:pPr>
              <w:suppressAutoHyphens/>
            </w:pPr>
            <w:r w:rsidRPr="003B4362">
              <w:t>mg/</w:t>
            </w:r>
            <w:r w:rsidR="00F560FD" w:rsidRPr="003B4362">
              <w:t xml:space="preserve"> L</w:t>
            </w:r>
          </w:p>
        </w:tc>
      </w:tr>
      <w:tr w:rsidR="001628C1" w:rsidRPr="003B4362" w14:paraId="36E091FA" w14:textId="77777777" w:rsidTr="00F560FD">
        <w:tc>
          <w:tcPr>
            <w:tcW w:w="2716" w:type="dxa"/>
          </w:tcPr>
          <w:p w14:paraId="7B6CDB9A" w14:textId="77777777" w:rsidR="004E2D35" w:rsidRPr="003B4362" w:rsidRDefault="004E2D35" w:rsidP="004E2D35">
            <w:pPr>
              <w:suppressAutoHyphens/>
            </w:pPr>
            <w:r w:rsidRPr="003B4362">
              <w:t>Cadmium</w:t>
            </w:r>
          </w:p>
        </w:tc>
        <w:tc>
          <w:tcPr>
            <w:tcW w:w="876" w:type="dxa"/>
          </w:tcPr>
          <w:p w14:paraId="1A31A03A" w14:textId="77777777" w:rsidR="004E2D35" w:rsidRPr="003B4362" w:rsidRDefault="004E2D35" w:rsidP="004E2D35">
            <w:pPr>
              <w:suppressAutoHyphens/>
            </w:pPr>
            <w:r w:rsidRPr="003B4362">
              <w:t>0.005</w:t>
            </w:r>
          </w:p>
        </w:tc>
        <w:tc>
          <w:tcPr>
            <w:tcW w:w="998" w:type="dxa"/>
          </w:tcPr>
          <w:p w14:paraId="7CDC9F84" w14:textId="0EB7D67A" w:rsidR="004E2D35" w:rsidRPr="003B4362" w:rsidRDefault="004E2D35" w:rsidP="004E2D35">
            <w:pPr>
              <w:suppressAutoHyphens/>
            </w:pPr>
            <w:r w:rsidRPr="003B4362">
              <w:t>mg/</w:t>
            </w:r>
            <w:r w:rsidR="00F560FD" w:rsidRPr="003B4362">
              <w:t xml:space="preserve"> L</w:t>
            </w:r>
          </w:p>
        </w:tc>
      </w:tr>
      <w:tr w:rsidR="001628C1" w:rsidRPr="003B4362" w14:paraId="60683156" w14:textId="77777777" w:rsidTr="00F560FD">
        <w:tc>
          <w:tcPr>
            <w:tcW w:w="2716" w:type="dxa"/>
          </w:tcPr>
          <w:p w14:paraId="604CE395" w14:textId="77777777" w:rsidR="004E2D35" w:rsidRPr="003B4362" w:rsidRDefault="004E2D35" w:rsidP="004E2D35">
            <w:pPr>
              <w:suppressAutoHyphens/>
            </w:pPr>
            <w:r w:rsidRPr="003B4362">
              <w:t>Chromium</w:t>
            </w:r>
          </w:p>
        </w:tc>
        <w:tc>
          <w:tcPr>
            <w:tcW w:w="876" w:type="dxa"/>
          </w:tcPr>
          <w:p w14:paraId="00C3BB13" w14:textId="77777777" w:rsidR="004E2D35" w:rsidRPr="003B4362" w:rsidRDefault="004E2D35" w:rsidP="004E2D35">
            <w:pPr>
              <w:suppressAutoHyphens/>
            </w:pPr>
            <w:r w:rsidRPr="003B4362">
              <w:t>0.1</w:t>
            </w:r>
          </w:p>
        </w:tc>
        <w:tc>
          <w:tcPr>
            <w:tcW w:w="998" w:type="dxa"/>
          </w:tcPr>
          <w:p w14:paraId="6FEC899D" w14:textId="3DABD239" w:rsidR="004E2D35" w:rsidRPr="003B4362" w:rsidRDefault="004E2D35" w:rsidP="004E2D35">
            <w:pPr>
              <w:suppressAutoHyphens/>
            </w:pPr>
            <w:r w:rsidRPr="003B4362">
              <w:t>mg/</w:t>
            </w:r>
            <w:r w:rsidR="00F560FD" w:rsidRPr="003B4362">
              <w:t xml:space="preserve"> L</w:t>
            </w:r>
          </w:p>
        </w:tc>
      </w:tr>
      <w:tr w:rsidR="001628C1" w:rsidRPr="003B4362" w14:paraId="5AA15154" w14:textId="77777777" w:rsidTr="00F560FD">
        <w:tc>
          <w:tcPr>
            <w:tcW w:w="2716" w:type="dxa"/>
          </w:tcPr>
          <w:p w14:paraId="1839ABCD" w14:textId="77777777" w:rsidR="004E2D35" w:rsidRPr="003B4362" w:rsidRDefault="004E2D35" w:rsidP="004E2D35">
            <w:pPr>
              <w:suppressAutoHyphens/>
            </w:pPr>
            <w:r w:rsidRPr="003B4362">
              <w:t>Cyanide (as free CN</w:t>
            </w:r>
            <w:r w:rsidRPr="003B4362">
              <w:rPr>
                <w:vertAlign w:val="superscript"/>
              </w:rPr>
              <w:t>-</w:t>
            </w:r>
            <w:r w:rsidRPr="003B4362">
              <w:t>)</w:t>
            </w:r>
          </w:p>
        </w:tc>
        <w:tc>
          <w:tcPr>
            <w:tcW w:w="876" w:type="dxa"/>
          </w:tcPr>
          <w:p w14:paraId="77809F1A" w14:textId="77777777" w:rsidR="004E2D35" w:rsidRPr="003B4362" w:rsidRDefault="004E2D35" w:rsidP="004E2D35">
            <w:pPr>
              <w:suppressAutoHyphens/>
            </w:pPr>
            <w:r w:rsidRPr="003B4362">
              <w:t>0.2</w:t>
            </w:r>
          </w:p>
        </w:tc>
        <w:tc>
          <w:tcPr>
            <w:tcW w:w="998" w:type="dxa"/>
          </w:tcPr>
          <w:p w14:paraId="1C649B2A" w14:textId="03ACAEA0" w:rsidR="004E2D35" w:rsidRPr="003B4362" w:rsidRDefault="004E2D35" w:rsidP="004E2D35">
            <w:pPr>
              <w:suppressAutoHyphens/>
            </w:pPr>
            <w:r w:rsidRPr="003B4362">
              <w:t>mg/</w:t>
            </w:r>
            <w:r w:rsidR="00F560FD" w:rsidRPr="003B4362">
              <w:t xml:space="preserve"> L</w:t>
            </w:r>
          </w:p>
        </w:tc>
      </w:tr>
      <w:tr w:rsidR="001628C1" w:rsidRPr="003B4362" w14:paraId="77F6AAD6" w14:textId="77777777" w:rsidTr="00F560FD">
        <w:tc>
          <w:tcPr>
            <w:tcW w:w="2716" w:type="dxa"/>
          </w:tcPr>
          <w:p w14:paraId="79B9F0C2" w14:textId="77777777" w:rsidR="004E2D35" w:rsidRPr="003B4362" w:rsidRDefault="004E2D35" w:rsidP="004E2D35">
            <w:pPr>
              <w:suppressAutoHyphens/>
            </w:pPr>
            <w:r w:rsidRPr="003B4362">
              <w:t>Fluoride</w:t>
            </w:r>
          </w:p>
        </w:tc>
        <w:tc>
          <w:tcPr>
            <w:tcW w:w="876" w:type="dxa"/>
          </w:tcPr>
          <w:p w14:paraId="6D563C3C" w14:textId="77777777" w:rsidR="004E2D35" w:rsidRPr="003B4362" w:rsidRDefault="004E2D35" w:rsidP="004E2D35">
            <w:pPr>
              <w:suppressAutoHyphens/>
            </w:pPr>
            <w:r w:rsidRPr="003B4362">
              <w:t>4.0</w:t>
            </w:r>
          </w:p>
        </w:tc>
        <w:tc>
          <w:tcPr>
            <w:tcW w:w="998" w:type="dxa"/>
          </w:tcPr>
          <w:p w14:paraId="2051AA15" w14:textId="12B3E268" w:rsidR="004E2D35" w:rsidRPr="003B4362" w:rsidRDefault="004E2D35" w:rsidP="004E2D35">
            <w:pPr>
              <w:suppressAutoHyphens/>
            </w:pPr>
            <w:r w:rsidRPr="003B4362">
              <w:t>mg/</w:t>
            </w:r>
            <w:r w:rsidR="00F560FD" w:rsidRPr="003B4362">
              <w:t xml:space="preserve"> L</w:t>
            </w:r>
          </w:p>
        </w:tc>
      </w:tr>
      <w:tr w:rsidR="001628C1" w:rsidRPr="003B4362" w14:paraId="31E1783B" w14:textId="77777777" w:rsidTr="00F560FD">
        <w:tc>
          <w:tcPr>
            <w:tcW w:w="2716" w:type="dxa"/>
          </w:tcPr>
          <w:p w14:paraId="4D04D152" w14:textId="77777777" w:rsidR="004E2D35" w:rsidRPr="003B4362" w:rsidRDefault="004E2D35" w:rsidP="004E2D35">
            <w:pPr>
              <w:suppressAutoHyphens/>
            </w:pPr>
            <w:r w:rsidRPr="003B4362">
              <w:t>Mercury</w:t>
            </w:r>
          </w:p>
        </w:tc>
        <w:tc>
          <w:tcPr>
            <w:tcW w:w="876" w:type="dxa"/>
          </w:tcPr>
          <w:p w14:paraId="4CDF211D" w14:textId="77777777" w:rsidR="004E2D35" w:rsidRPr="003B4362" w:rsidRDefault="004E2D35" w:rsidP="004E2D35">
            <w:pPr>
              <w:suppressAutoHyphens/>
            </w:pPr>
            <w:r w:rsidRPr="003B4362">
              <w:t>0.002</w:t>
            </w:r>
          </w:p>
        </w:tc>
        <w:tc>
          <w:tcPr>
            <w:tcW w:w="998" w:type="dxa"/>
          </w:tcPr>
          <w:p w14:paraId="270625B6" w14:textId="1A015EB0" w:rsidR="004E2D35" w:rsidRPr="003B4362" w:rsidRDefault="004E2D35" w:rsidP="004E2D35">
            <w:pPr>
              <w:suppressAutoHyphens/>
            </w:pPr>
            <w:r w:rsidRPr="003B4362">
              <w:t>mg/</w:t>
            </w:r>
            <w:r w:rsidR="00F560FD" w:rsidRPr="003B4362">
              <w:t xml:space="preserve"> L</w:t>
            </w:r>
          </w:p>
        </w:tc>
      </w:tr>
      <w:tr w:rsidR="001628C1" w:rsidRPr="003B4362" w14:paraId="209899F3" w14:textId="77777777" w:rsidTr="00F560FD">
        <w:tc>
          <w:tcPr>
            <w:tcW w:w="2716" w:type="dxa"/>
          </w:tcPr>
          <w:p w14:paraId="31CE435B" w14:textId="77777777" w:rsidR="004E2D35" w:rsidRPr="003B4362" w:rsidRDefault="004E2D35" w:rsidP="004E2D35">
            <w:pPr>
              <w:suppressAutoHyphens/>
            </w:pPr>
            <w:r w:rsidRPr="003B4362">
              <w:t>Nitrate (as N)</w:t>
            </w:r>
          </w:p>
        </w:tc>
        <w:tc>
          <w:tcPr>
            <w:tcW w:w="876" w:type="dxa"/>
          </w:tcPr>
          <w:p w14:paraId="50FABE51" w14:textId="77777777" w:rsidR="004E2D35" w:rsidRPr="003B4362" w:rsidRDefault="004E2D35" w:rsidP="004E2D35">
            <w:pPr>
              <w:suppressAutoHyphens/>
            </w:pPr>
            <w:r w:rsidRPr="003B4362">
              <w:t>10</w:t>
            </w:r>
          </w:p>
        </w:tc>
        <w:tc>
          <w:tcPr>
            <w:tcW w:w="998" w:type="dxa"/>
          </w:tcPr>
          <w:p w14:paraId="3E641579" w14:textId="419A548A" w:rsidR="004E2D35" w:rsidRPr="003B4362" w:rsidRDefault="004E2D35" w:rsidP="004E2D35">
            <w:pPr>
              <w:suppressAutoHyphens/>
            </w:pPr>
            <w:r w:rsidRPr="003B4362">
              <w:t>mg/</w:t>
            </w:r>
            <w:r w:rsidR="00F560FD" w:rsidRPr="003B4362">
              <w:t xml:space="preserve"> L</w:t>
            </w:r>
          </w:p>
        </w:tc>
      </w:tr>
      <w:tr w:rsidR="001628C1" w:rsidRPr="003B4362" w14:paraId="47A26D39" w14:textId="77777777" w:rsidTr="00F560FD">
        <w:tc>
          <w:tcPr>
            <w:tcW w:w="2716" w:type="dxa"/>
          </w:tcPr>
          <w:p w14:paraId="1956D4B3" w14:textId="77777777" w:rsidR="004E2D35" w:rsidRPr="003B4362" w:rsidRDefault="004E2D35" w:rsidP="004E2D35">
            <w:pPr>
              <w:suppressAutoHyphens/>
            </w:pPr>
            <w:r w:rsidRPr="003B4362">
              <w:t>Nitrite (as N)</w:t>
            </w:r>
          </w:p>
        </w:tc>
        <w:tc>
          <w:tcPr>
            <w:tcW w:w="876" w:type="dxa"/>
          </w:tcPr>
          <w:p w14:paraId="332A8D34" w14:textId="77777777" w:rsidR="004E2D35" w:rsidRPr="003B4362" w:rsidRDefault="004E2D35" w:rsidP="004E2D35">
            <w:pPr>
              <w:suppressAutoHyphens/>
            </w:pPr>
            <w:r w:rsidRPr="003B4362">
              <w:t>1</w:t>
            </w:r>
          </w:p>
        </w:tc>
        <w:tc>
          <w:tcPr>
            <w:tcW w:w="998" w:type="dxa"/>
          </w:tcPr>
          <w:p w14:paraId="0277C3E2" w14:textId="58A9FA5D" w:rsidR="004E2D35" w:rsidRPr="003B4362" w:rsidRDefault="004E2D35" w:rsidP="004E2D35">
            <w:pPr>
              <w:suppressAutoHyphens/>
            </w:pPr>
            <w:r w:rsidRPr="003B4362">
              <w:t>mg/</w:t>
            </w:r>
            <w:r w:rsidR="00F560FD" w:rsidRPr="003B4362">
              <w:t xml:space="preserve"> L</w:t>
            </w:r>
          </w:p>
        </w:tc>
      </w:tr>
      <w:tr w:rsidR="001628C1" w:rsidRPr="003B4362" w14:paraId="09E460D7" w14:textId="77777777" w:rsidTr="00F560FD">
        <w:tc>
          <w:tcPr>
            <w:tcW w:w="2716" w:type="dxa"/>
          </w:tcPr>
          <w:p w14:paraId="3D44FF6C" w14:textId="77777777" w:rsidR="004E2D35" w:rsidRPr="003B4362" w:rsidRDefault="004E2D35" w:rsidP="004E2D35">
            <w:pPr>
              <w:suppressAutoHyphens/>
            </w:pPr>
            <w:r w:rsidRPr="003B4362">
              <w:t>Total Nitrate and Nitrite (as N)</w:t>
            </w:r>
          </w:p>
        </w:tc>
        <w:tc>
          <w:tcPr>
            <w:tcW w:w="876" w:type="dxa"/>
          </w:tcPr>
          <w:p w14:paraId="1B07A94E" w14:textId="77777777" w:rsidR="004E2D35" w:rsidRPr="003B4362" w:rsidRDefault="004E2D35" w:rsidP="004E2D35">
            <w:pPr>
              <w:suppressAutoHyphens/>
            </w:pPr>
            <w:r w:rsidRPr="003B4362">
              <w:t>10</w:t>
            </w:r>
          </w:p>
        </w:tc>
        <w:tc>
          <w:tcPr>
            <w:tcW w:w="998" w:type="dxa"/>
          </w:tcPr>
          <w:p w14:paraId="0FF6CB5D" w14:textId="0BF69F86" w:rsidR="004E2D35" w:rsidRPr="003B4362" w:rsidRDefault="004E2D35" w:rsidP="004E2D35">
            <w:pPr>
              <w:suppressAutoHyphens/>
            </w:pPr>
            <w:r w:rsidRPr="003B4362">
              <w:t>mg/</w:t>
            </w:r>
            <w:r w:rsidR="00F560FD" w:rsidRPr="003B4362">
              <w:t xml:space="preserve"> L</w:t>
            </w:r>
          </w:p>
        </w:tc>
      </w:tr>
      <w:tr w:rsidR="001628C1" w:rsidRPr="003B4362" w14:paraId="4B418063" w14:textId="77777777" w:rsidTr="00F560FD">
        <w:tc>
          <w:tcPr>
            <w:tcW w:w="2716" w:type="dxa"/>
          </w:tcPr>
          <w:p w14:paraId="1963D879" w14:textId="77777777" w:rsidR="004E2D35" w:rsidRPr="003B4362" w:rsidRDefault="004E2D35" w:rsidP="004E2D35">
            <w:pPr>
              <w:suppressAutoHyphens/>
            </w:pPr>
            <w:r w:rsidRPr="003B4362">
              <w:t>Selenium</w:t>
            </w:r>
          </w:p>
        </w:tc>
        <w:tc>
          <w:tcPr>
            <w:tcW w:w="876" w:type="dxa"/>
          </w:tcPr>
          <w:p w14:paraId="26744E8F" w14:textId="77777777" w:rsidR="004E2D35" w:rsidRPr="003B4362" w:rsidRDefault="004E2D35" w:rsidP="004E2D35">
            <w:pPr>
              <w:suppressAutoHyphens/>
            </w:pPr>
            <w:r w:rsidRPr="003B4362">
              <w:t>0.05</w:t>
            </w:r>
          </w:p>
        </w:tc>
        <w:tc>
          <w:tcPr>
            <w:tcW w:w="998" w:type="dxa"/>
          </w:tcPr>
          <w:p w14:paraId="56F68B0E" w14:textId="0F529413" w:rsidR="004E2D35" w:rsidRPr="003B4362" w:rsidRDefault="004E2D35" w:rsidP="004E2D35">
            <w:pPr>
              <w:suppressAutoHyphens/>
            </w:pPr>
            <w:r w:rsidRPr="003B4362">
              <w:t>mg/</w:t>
            </w:r>
            <w:r w:rsidR="00F560FD" w:rsidRPr="003B4362">
              <w:t xml:space="preserve"> L</w:t>
            </w:r>
          </w:p>
        </w:tc>
      </w:tr>
      <w:tr w:rsidR="001628C1" w:rsidRPr="003B4362" w14:paraId="50FB0A67" w14:textId="77777777" w:rsidTr="00F560FD">
        <w:tc>
          <w:tcPr>
            <w:tcW w:w="2716" w:type="dxa"/>
          </w:tcPr>
          <w:p w14:paraId="2AE729D0" w14:textId="77777777" w:rsidR="004E2D35" w:rsidRPr="003B4362" w:rsidRDefault="004E2D35" w:rsidP="004E2D35">
            <w:pPr>
              <w:suppressAutoHyphens/>
            </w:pPr>
            <w:r w:rsidRPr="003B4362">
              <w:t>Thallium</w:t>
            </w:r>
          </w:p>
        </w:tc>
        <w:tc>
          <w:tcPr>
            <w:tcW w:w="876" w:type="dxa"/>
          </w:tcPr>
          <w:p w14:paraId="013BCDDC" w14:textId="77777777" w:rsidR="004E2D35" w:rsidRPr="003B4362" w:rsidRDefault="004E2D35" w:rsidP="004E2D35">
            <w:pPr>
              <w:suppressAutoHyphens/>
            </w:pPr>
            <w:r w:rsidRPr="003B4362">
              <w:t>0.002</w:t>
            </w:r>
          </w:p>
        </w:tc>
        <w:tc>
          <w:tcPr>
            <w:tcW w:w="998" w:type="dxa"/>
          </w:tcPr>
          <w:p w14:paraId="6E55145C" w14:textId="6E075FD0" w:rsidR="004E2D35" w:rsidRPr="003B4362" w:rsidRDefault="004E2D35" w:rsidP="004E2D35">
            <w:pPr>
              <w:suppressAutoHyphens/>
            </w:pPr>
            <w:r w:rsidRPr="003B4362">
              <w:t>mg/</w:t>
            </w:r>
            <w:r w:rsidR="00F560FD" w:rsidRPr="003B4362">
              <w:t xml:space="preserve"> L</w:t>
            </w:r>
          </w:p>
        </w:tc>
      </w:tr>
    </w:tbl>
    <w:p w14:paraId="49CAF5E6" w14:textId="2BF39045" w:rsidR="004E2D35" w:rsidRPr="003B4362" w:rsidRDefault="004E2D35" w:rsidP="00B778DC">
      <w:pPr>
        <w:suppressAutoHyphens/>
        <w:spacing w:before="240"/>
        <w:ind w:left="2160"/>
      </w:pPr>
      <w:r w:rsidRPr="003B4362">
        <w:t xml:space="preserve">BOARD NOTE:  See Section 611.300(d) for an elevated nitrate level for non-CWSs.  USEPA removed and reserved the MCL for nickel on June 29, 1995, at 60 Fed. Reg. 33932, as a result of a judicial order in Nickel Development Institute v. EPA, No. 92-1407, and Specialty Steel Industry of the U.S. v. Browner, No. 92-1410 (D.C. Cir. Feb. 23 &amp; Mar. 6, 1995), while retaining the contaminant, analytical methodology, and detection limit </w:t>
      </w:r>
      <w:r w:rsidR="00680141" w:rsidRPr="003B4362">
        <w:t xml:space="preserve">entries </w:t>
      </w:r>
      <w:r w:rsidRPr="003B4362">
        <w:t>for this contaminant.</w:t>
      </w:r>
    </w:p>
    <w:p w14:paraId="0A48424A" w14:textId="1E607189" w:rsidR="004E2D35" w:rsidRPr="003B4362" w:rsidRDefault="004E2D35" w:rsidP="004E2D35">
      <w:pPr>
        <w:suppressAutoHyphens/>
        <w:spacing w:before="240" w:after="240"/>
        <w:ind w:left="1440" w:hanging="720"/>
      </w:pPr>
      <w:r w:rsidRPr="003B4362">
        <w:t>c)</w:t>
      </w:r>
      <w:r w:rsidRPr="003B4362">
        <w:tab/>
        <w:t xml:space="preserve">USEPA </w:t>
      </w:r>
      <w:r w:rsidR="00680141" w:rsidRPr="003B4362">
        <w:t xml:space="preserve">identifies specific treatment technologies </w:t>
      </w:r>
      <w:r w:rsidRPr="003B4362">
        <w:t>as BAT for achieving compliance with the</w:t>
      </w:r>
      <w:r w:rsidR="0074078B" w:rsidRPr="003B4362">
        <w:t xml:space="preserve"> IOC MCLs</w:t>
      </w:r>
      <w:r w:rsidRPr="003B4362">
        <w:t>, except for fluoride:</w:t>
      </w:r>
    </w:p>
    <w:tbl>
      <w:tblPr>
        <w:tblW w:w="7200" w:type="dxa"/>
        <w:tblInd w:w="2160" w:type="dxa"/>
        <w:tblLayout w:type="fixed"/>
        <w:tblCellMar>
          <w:top w:w="115" w:type="dxa"/>
          <w:left w:w="115" w:type="dxa"/>
          <w:bottom w:w="115" w:type="dxa"/>
          <w:right w:w="115" w:type="dxa"/>
        </w:tblCellMar>
        <w:tblLook w:val="0000" w:firstRow="0" w:lastRow="0" w:firstColumn="0" w:lastColumn="0" w:noHBand="0" w:noVBand="0"/>
      </w:tblPr>
      <w:tblGrid>
        <w:gridCol w:w="2160"/>
        <w:gridCol w:w="5040"/>
      </w:tblGrid>
      <w:tr w:rsidR="001628C1" w:rsidRPr="003B4362" w14:paraId="6A1D63FA" w14:textId="77777777" w:rsidTr="004E2D35">
        <w:trPr>
          <w:cantSplit/>
        </w:trPr>
        <w:tc>
          <w:tcPr>
            <w:tcW w:w="2160" w:type="dxa"/>
          </w:tcPr>
          <w:p w14:paraId="1123BA2C" w14:textId="77777777" w:rsidR="004E2D35" w:rsidRPr="003B4362" w:rsidRDefault="004E2D35" w:rsidP="004E2D35">
            <w:pPr>
              <w:keepNext/>
              <w:keepLines/>
              <w:suppressAutoHyphens/>
            </w:pPr>
            <w:r w:rsidRPr="003B4362">
              <w:t>Contaminant</w:t>
            </w:r>
          </w:p>
        </w:tc>
        <w:tc>
          <w:tcPr>
            <w:tcW w:w="5040" w:type="dxa"/>
          </w:tcPr>
          <w:p w14:paraId="22A9E0AF" w14:textId="77777777" w:rsidR="004E2D35" w:rsidRPr="003B4362" w:rsidRDefault="004E2D35" w:rsidP="004E2D35">
            <w:pPr>
              <w:keepNext/>
              <w:keepLines/>
              <w:suppressAutoHyphens/>
            </w:pPr>
            <w:r w:rsidRPr="003B4362">
              <w:t>BATs</w:t>
            </w:r>
          </w:p>
        </w:tc>
      </w:tr>
      <w:tr w:rsidR="001628C1" w:rsidRPr="003B4362" w14:paraId="58A1E039" w14:textId="77777777" w:rsidTr="004E2D35">
        <w:trPr>
          <w:cantSplit/>
        </w:trPr>
        <w:tc>
          <w:tcPr>
            <w:tcW w:w="2160" w:type="dxa"/>
          </w:tcPr>
          <w:p w14:paraId="049155D3" w14:textId="77777777" w:rsidR="004E2D35" w:rsidRPr="003B4362" w:rsidRDefault="004E2D35" w:rsidP="004E2D35">
            <w:pPr>
              <w:suppressAutoHyphens/>
            </w:pPr>
            <w:r w:rsidRPr="003B4362">
              <w:t>Antimony</w:t>
            </w:r>
          </w:p>
        </w:tc>
        <w:tc>
          <w:tcPr>
            <w:tcW w:w="5040" w:type="dxa"/>
          </w:tcPr>
          <w:p w14:paraId="5696379F" w14:textId="77777777" w:rsidR="004E2D35" w:rsidRPr="003B4362" w:rsidRDefault="004E2D35" w:rsidP="004E2D35">
            <w:pPr>
              <w:suppressAutoHyphens/>
            </w:pPr>
            <w:r w:rsidRPr="003B4362">
              <w:t>C/F</w:t>
            </w:r>
          </w:p>
          <w:p w14:paraId="5BE0C2E6" w14:textId="77777777" w:rsidR="004E2D35" w:rsidRPr="003B4362" w:rsidRDefault="004E2D35" w:rsidP="004E2D35">
            <w:pPr>
              <w:suppressAutoHyphens/>
            </w:pPr>
            <w:r w:rsidRPr="003B4362">
              <w:t>RO</w:t>
            </w:r>
          </w:p>
        </w:tc>
      </w:tr>
      <w:tr w:rsidR="001628C1" w:rsidRPr="003B4362" w14:paraId="434A8087" w14:textId="77777777" w:rsidTr="004E2D35">
        <w:trPr>
          <w:cantSplit/>
        </w:trPr>
        <w:tc>
          <w:tcPr>
            <w:tcW w:w="2160" w:type="dxa"/>
          </w:tcPr>
          <w:p w14:paraId="5523CF69" w14:textId="77777777" w:rsidR="004E2D35" w:rsidRPr="003B4362" w:rsidRDefault="004E2D35" w:rsidP="004E2D35">
            <w:pPr>
              <w:suppressAutoHyphens/>
            </w:pPr>
            <w:r w:rsidRPr="003B4362">
              <w:t>Arsenic (BATs for As</w:t>
            </w:r>
            <w:r w:rsidRPr="003B4362">
              <w:rPr>
                <w:vertAlign w:val="superscript"/>
              </w:rPr>
              <w:t>V</w:t>
            </w:r>
            <w:r w:rsidRPr="003B4362">
              <w:t>.  Pre-oxidation may be required to convert As</w:t>
            </w:r>
            <w:r w:rsidRPr="003B4362">
              <w:rPr>
                <w:vertAlign w:val="superscript"/>
              </w:rPr>
              <w:t>III</w:t>
            </w:r>
            <w:r w:rsidRPr="003B4362">
              <w:t xml:space="preserve"> to As</w:t>
            </w:r>
            <w:r w:rsidRPr="003B4362">
              <w:rPr>
                <w:vertAlign w:val="superscript"/>
              </w:rPr>
              <w:t>V</w:t>
            </w:r>
            <w:r w:rsidRPr="003B4362">
              <w:t>.)</w:t>
            </w:r>
          </w:p>
        </w:tc>
        <w:tc>
          <w:tcPr>
            <w:tcW w:w="5040" w:type="dxa"/>
          </w:tcPr>
          <w:p w14:paraId="59D8CDC7" w14:textId="77777777" w:rsidR="004E2D35" w:rsidRPr="003B4362" w:rsidRDefault="004E2D35" w:rsidP="004E2D35">
            <w:pPr>
              <w:suppressAutoHyphens/>
            </w:pPr>
            <w:r w:rsidRPr="003B4362">
              <w:t>AAL</w:t>
            </w:r>
          </w:p>
          <w:p w14:paraId="6D5B34F0" w14:textId="77777777" w:rsidR="004E2D35" w:rsidRPr="003B4362" w:rsidRDefault="004E2D35" w:rsidP="004E2D35">
            <w:pPr>
              <w:suppressAutoHyphens/>
            </w:pPr>
            <w:r w:rsidRPr="003B4362">
              <w:t>C/F</w:t>
            </w:r>
          </w:p>
          <w:p w14:paraId="5F0ADFBC" w14:textId="77777777" w:rsidR="004E2D35" w:rsidRPr="003B4362" w:rsidRDefault="004E2D35" w:rsidP="004E2D35">
            <w:pPr>
              <w:suppressAutoHyphens/>
            </w:pPr>
            <w:r w:rsidRPr="003B4362">
              <w:t>IX</w:t>
            </w:r>
          </w:p>
          <w:p w14:paraId="3F361593" w14:textId="77777777" w:rsidR="004E2D35" w:rsidRPr="003B4362" w:rsidRDefault="004E2D35" w:rsidP="004E2D35">
            <w:pPr>
              <w:suppressAutoHyphens/>
            </w:pPr>
            <w:r w:rsidRPr="003B4362">
              <w:t>LIME</w:t>
            </w:r>
          </w:p>
          <w:p w14:paraId="18E67FEC" w14:textId="77777777" w:rsidR="004E2D35" w:rsidRPr="003B4362" w:rsidRDefault="004E2D35" w:rsidP="004E2D35">
            <w:pPr>
              <w:suppressAutoHyphens/>
            </w:pPr>
            <w:r w:rsidRPr="003B4362">
              <w:t>RO</w:t>
            </w:r>
          </w:p>
          <w:p w14:paraId="5DC63A34" w14:textId="77777777" w:rsidR="004E2D35" w:rsidRPr="003B4362" w:rsidRDefault="004E2D35" w:rsidP="004E2D35">
            <w:pPr>
              <w:suppressAutoHyphens/>
            </w:pPr>
            <w:r w:rsidRPr="003B4362">
              <w:t>ED</w:t>
            </w:r>
          </w:p>
          <w:p w14:paraId="18B3C2F2" w14:textId="74F05189" w:rsidR="004E2D35" w:rsidRPr="003B4362" w:rsidRDefault="004E2D35" w:rsidP="004E2D35">
            <w:pPr>
              <w:suppressAutoHyphens/>
            </w:pPr>
            <w:r w:rsidRPr="003B4362">
              <w:t>O/F (</w:t>
            </w:r>
            <w:r w:rsidR="0074078B" w:rsidRPr="003B4362">
              <w:t xml:space="preserve">to </w:t>
            </w:r>
            <w:r w:rsidRPr="003B4362">
              <w:t>obtain high removals, the iron to arsenic ratio must be at least 20:1)</w:t>
            </w:r>
          </w:p>
        </w:tc>
      </w:tr>
      <w:tr w:rsidR="001628C1" w:rsidRPr="003B4362" w14:paraId="6B3529AE" w14:textId="77777777" w:rsidTr="004E2D35">
        <w:trPr>
          <w:cantSplit/>
        </w:trPr>
        <w:tc>
          <w:tcPr>
            <w:tcW w:w="2160" w:type="dxa"/>
          </w:tcPr>
          <w:p w14:paraId="1C3180E1" w14:textId="77777777" w:rsidR="004E2D35" w:rsidRPr="003B4362" w:rsidRDefault="004E2D35" w:rsidP="004E2D35">
            <w:pPr>
              <w:suppressAutoHyphens/>
            </w:pPr>
            <w:r w:rsidRPr="003B4362">
              <w:t>Asbestos</w:t>
            </w:r>
          </w:p>
        </w:tc>
        <w:tc>
          <w:tcPr>
            <w:tcW w:w="5040" w:type="dxa"/>
          </w:tcPr>
          <w:p w14:paraId="3229F64E" w14:textId="77777777" w:rsidR="004E2D35" w:rsidRPr="003B4362" w:rsidRDefault="004E2D35" w:rsidP="004E2D35">
            <w:pPr>
              <w:suppressAutoHyphens/>
            </w:pPr>
            <w:r w:rsidRPr="003B4362">
              <w:t>C/F</w:t>
            </w:r>
          </w:p>
          <w:p w14:paraId="0EDADB84" w14:textId="77777777" w:rsidR="004E2D35" w:rsidRPr="003B4362" w:rsidRDefault="004E2D35" w:rsidP="004E2D35">
            <w:pPr>
              <w:suppressAutoHyphens/>
            </w:pPr>
            <w:r w:rsidRPr="003B4362">
              <w:t>DDF</w:t>
            </w:r>
          </w:p>
          <w:p w14:paraId="7D240DDF" w14:textId="77777777" w:rsidR="004E2D35" w:rsidRPr="003B4362" w:rsidRDefault="004E2D35" w:rsidP="004E2D35">
            <w:pPr>
              <w:suppressAutoHyphens/>
            </w:pPr>
            <w:r w:rsidRPr="003B4362">
              <w:t>CC</w:t>
            </w:r>
          </w:p>
        </w:tc>
      </w:tr>
      <w:tr w:rsidR="001628C1" w:rsidRPr="003B4362" w14:paraId="18DB3477" w14:textId="77777777" w:rsidTr="004E2D35">
        <w:trPr>
          <w:cantSplit/>
        </w:trPr>
        <w:tc>
          <w:tcPr>
            <w:tcW w:w="2160" w:type="dxa"/>
          </w:tcPr>
          <w:p w14:paraId="718CFA35" w14:textId="77777777" w:rsidR="004E2D35" w:rsidRPr="003B4362" w:rsidRDefault="004E2D35" w:rsidP="004E2D35">
            <w:pPr>
              <w:suppressAutoHyphens/>
            </w:pPr>
            <w:r w:rsidRPr="003B4362">
              <w:lastRenderedPageBreak/>
              <w:t>Barium</w:t>
            </w:r>
          </w:p>
        </w:tc>
        <w:tc>
          <w:tcPr>
            <w:tcW w:w="5040" w:type="dxa"/>
          </w:tcPr>
          <w:p w14:paraId="4867C927" w14:textId="77777777" w:rsidR="004E2D35" w:rsidRPr="003B4362" w:rsidRDefault="004E2D35" w:rsidP="004E2D35">
            <w:pPr>
              <w:suppressAutoHyphens/>
            </w:pPr>
            <w:r w:rsidRPr="003B4362">
              <w:t>IX</w:t>
            </w:r>
          </w:p>
          <w:p w14:paraId="509CA76C" w14:textId="77777777" w:rsidR="004E2D35" w:rsidRPr="003B4362" w:rsidRDefault="004E2D35" w:rsidP="004E2D35">
            <w:pPr>
              <w:suppressAutoHyphens/>
            </w:pPr>
            <w:r w:rsidRPr="003B4362">
              <w:t>LIME</w:t>
            </w:r>
          </w:p>
          <w:p w14:paraId="24CFB44D" w14:textId="77777777" w:rsidR="004E2D35" w:rsidRPr="003B4362" w:rsidRDefault="004E2D35" w:rsidP="004E2D35">
            <w:pPr>
              <w:suppressAutoHyphens/>
            </w:pPr>
            <w:r w:rsidRPr="003B4362">
              <w:t>RO</w:t>
            </w:r>
          </w:p>
          <w:p w14:paraId="4F44AE30" w14:textId="77777777" w:rsidR="004E2D35" w:rsidRPr="003B4362" w:rsidRDefault="004E2D35" w:rsidP="004E2D35">
            <w:pPr>
              <w:suppressAutoHyphens/>
            </w:pPr>
            <w:r w:rsidRPr="003B4362">
              <w:t>ED</w:t>
            </w:r>
          </w:p>
        </w:tc>
      </w:tr>
      <w:tr w:rsidR="001628C1" w:rsidRPr="003B4362" w14:paraId="6C18EF87" w14:textId="77777777" w:rsidTr="004E2D35">
        <w:trPr>
          <w:cantSplit/>
        </w:trPr>
        <w:tc>
          <w:tcPr>
            <w:tcW w:w="2160" w:type="dxa"/>
          </w:tcPr>
          <w:p w14:paraId="2C788895" w14:textId="77777777" w:rsidR="004E2D35" w:rsidRPr="003B4362" w:rsidRDefault="004E2D35" w:rsidP="004E2D35">
            <w:pPr>
              <w:suppressAutoHyphens/>
            </w:pPr>
            <w:r w:rsidRPr="003B4362">
              <w:t>Beryllium</w:t>
            </w:r>
          </w:p>
        </w:tc>
        <w:tc>
          <w:tcPr>
            <w:tcW w:w="5040" w:type="dxa"/>
          </w:tcPr>
          <w:p w14:paraId="271C7D52" w14:textId="77777777" w:rsidR="004E2D35" w:rsidRPr="003B4362" w:rsidRDefault="004E2D35" w:rsidP="004E2D35">
            <w:pPr>
              <w:suppressAutoHyphens/>
            </w:pPr>
            <w:r w:rsidRPr="003B4362">
              <w:t>AA</w:t>
            </w:r>
          </w:p>
          <w:p w14:paraId="0B006751" w14:textId="77777777" w:rsidR="004E2D35" w:rsidRPr="003B4362" w:rsidRDefault="004E2D35" w:rsidP="004E2D35">
            <w:pPr>
              <w:suppressAutoHyphens/>
            </w:pPr>
            <w:r w:rsidRPr="003B4362">
              <w:t>C/F</w:t>
            </w:r>
          </w:p>
          <w:p w14:paraId="29884E91" w14:textId="77777777" w:rsidR="004E2D35" w:rsidRPr="003B4362" w:rsidRDefault="004E2D35" w:rsidP="004E2D35">
            <w:pPr>
              <w:suppressAutoHyphens/>
            </w:pPr>
            <w:r w:rsidRPr="003B4362">
              <w:t>IX</w:t>
            </w:r>
          </w:p>
          <w:p w14:paraId="6D3AD6BB" w14:textId="77777777" w:rsidR="004E2D35" w:rsidRPr="003B4362" w:rsidRDefault="004E2D35" w:rsidP="004E2D35">
            <w:pPr>
              <w:suppressAutoHyphens/>
            </w:pPr>
            <w:r w:rsidRPr="003B4362">
              <w:t>LIME</w:t>
            </w:r>
          </w:p>
          <w:p w14:paraId="054CBDC5" w14:textId="77777777" w:rsidR="004E2D35" w:rsidRPr="003B4362" w:rsidRDefault="004E2D35" w:rsidP="004E2D35">
            <w:pPr>
              <w:suppressAutoHyphens/>
            </w:pPr>
            <w:r w:rsidRPr="003B4362">
              <w:t>RO</w:t>
            </w:r>
          </w:p>
        </w:tc>
      </w:tr>
      <w:tr w:rsidR="001628C1" w:rsidRPr="003B4362" w14:paraId="1A06A9A5" w14:textId="77777777" w:rsidTr="004E2D35">
        <w:trPr>
          <w:cantSplit/>
        </w:trPr>
        <w:tc>
          <w:tcPr>
            <w:tcW w:w="2160" w:type="dxa"/>
          </w:tcPr>
          <w:p w14:paraId="13A9FA64" w14:textId="77777777" w:rsidR="004E2D35" w:rsidRPr="003B4362" w:rsidRDefault="004E2D35" w:rsidP="004E2D35">
            <w:pPr>
              <w:suppressAutoHyphens/>
            </w:pPr>
            <w:r w:rsidRPr="003B4362">
              <w:t>Cadmium</w:t>
            </w:r>
          </w:p>
        </w:tc>
        <w:tc>
          <w:tcPr>
            <w:tcW w:w="5040" w:type="dxa"/>
          </w:tcPr>
          <w:p w14:paraId="7AF79AFA" w14:textId="77777777" w:rsidR="004E2D35" w:rsidRPr="003B4362" w:rsidRDefault="004E2D35" w:rsidP="004E2D35">
            <w:pPr>
              <w:suppressAutoHyphens/>
            </w:pPr>
            <w:r w:rsidRPr="003B4362">
              <w:t>C/F</w:t>
            </w:r>
          </w:p>
          <w:p w14:paraId="0801620F" w14:textId="77777777" w:rsidR="004E2D35" w:rsidRPr="003B4362" w:rsidRDefault="004E2D35" w:rsidP="004E2D35">
            <w:pPr>
              <w:suppressAutoHyphens/>
            </w:pPr>
            <w:r w:rsidRPr="003B4362">
              <w:t>IX</w:t>
            </w:r>
          </w:p>
          <w:p w14:paraId="381B8908" w14:textId="77777777" w:rsidR="004E2D35" w:rsidRPr="003B4362" w:rsidRDefault="004E2D35" w:rsidP="004E2D35">
            <w:pPr>
              <w:suppressAutoHyphens/>
            </w:pPr>
            <w:r w:rsidRPr="003B4362">
              <w:t>LIME</w:t>
            </w:r>
          </w:p>
          <w:p w14:paraId="1364B87F" w14:textId="77777777" w:rsidR="004E2D35" w:rsidRPr="003B4362" w:rsidRDefault="004E2D35" w:rsidP="004E2D35">
            <w:pPr>
              <w:suppressAutoHyphens/>
            </w:pPr>
            <w:r w:rsidRPr="003B4362">
              <w:t>RO</w:t>
            </w:r>
          </w:p>
        </w:tc>
      </w:tr>
      <w:tr w:rsidR="001628C1" w:rsidRPr="003B4362" w14:paraId="115983C6" w14:textId="77777777" w:rsidTr="004E2D35">
        <w:trPr>
          <w:cantSplit/>
        </w:trPr>
        <w:tc>
          <w:tcPr>
            <w:tcW w:w="2160" w:type="dxa"/>
          </w:tcPr>
          <w:p w14:paraId="0CA6D9B0" w14:textId="77777777" w:rsidR="004E2D35" w:rsidRPr="003B4362" w:rsidRDefault="004E2D35" w:rsidP="004E2D35">
            <w:pPr>
              <w:suppressAutoHyphens/>
            </w:pPr>
            <w:r w:rsidRPr="003B4362">
              <w:t>Chromium</w:t>
            </w:r>
          </w:p>
        </w:tc>
        <w:tc>
          <w:tcPr>
            <w:tcW w:w="5040" w:type="dxa"/>
          </w:tcPr>
          <w:p w14:paraId="77F9F7FF" w14:textId="77777777" w:rsidR="004E2D35" w:rsidRPr="003B4362" w:rsidRDefault="004E2D35" w:rsidP="004E2D35">
            <w:pPr>
              <w:suppressAutoHyphens/>
            </w:pPr>
            <w:r w:rsidRPr="003B4362">
              <w:t>C/F</w:t>
            </w:r>
          </w:p>
          <w:p w14:paraId="4BABE148" w14:textId="77777777" w:rsidR="004E2D35" w:rsidRPr="003B4362" w:rsidRDefault="004E2D35" w:rsidP="004E2D35">
            <w:pPr>
              <w:suppressAutoHyphens/>
            </w:pPr>
            <w:r w:rsidRPr="003B4362">
              <w:t>IX</w:t>
            </w:r>
          </w:p>
          <w:p w14:paraId="1BEE5383" w14:textId="4274DA86" w:rsidR="004E2D35" w:rsidRPr="003B4362" w:rsidRDefault="004E2D35" w:rsidP="004E2D35">
            <w:pPr>
              <w:suppressAutoHyphens/>
            </w:pPr>
            <w:r w:rsidRPr="003B4362">
              <w:t xml:space="preserve">LIME </w:t>
            </w:r>
            <w:r w:rsidR="0074078B" w:rsidRPr="003B4362">
              <w:t>(</w:t>
            </w:r>
            <w:r w:rsidRPr="003B4362">
              <w:t>for Cr</w:t>
            </w:r>
            <w:r w:rsidRPr="003B4362">
              <w:rPr>
                <w:vertAlign w:val="superscript"/>
              </w:rPr>
              <w:t>III</w:t>
            </w:r>
            <w:r w:rsidRPr="003B4362">
              <w:t xml:space="preserve"> only</w:t>
            </w:r>
            <w:r w:rsidR="0074078B" w:rsidRPr="003B4362">
              <w:t>)</w:t>
            </w:r>
          </w:p>
          <w:p w14:paraId="21067F97" w14:textId="77777777" w:rsidR="004E2D35" w:rsidRPr="003B4362" w:rsidRDefault="004E2D35" w:rsidP="004E2D35">
            <w:pPr>
              <w:suppressAutoHyphens/>
            </w:pPr>
            <w:r w:rsidRPr="003B4362">
              <w:t>RO</w:t>
            </w:r>
          </w:p>
        </w:tc>
      </w:tr>
      <w:tr w:rsidR="001628C1" w:rsidRPr="003B4362" w14:paraId="43E73D2A" w14:textId="77777777" w:rsidTr="004E2D35">
        <w:trPr>
          <w:cantSplit/>
        </w:trPr>
        <w:tc>
          <w:tcPr>
            <w:tcW w:w="2160" w:type="dxa"/>
          </w:tcPr>
          <w:p w14:paraId="3220F415" w14:textId="77777777" w:rsidR="004E2D35" w:rsidRPr="003B4362" w:rsidRDefault="004E2D35" w:rsidP="004E2D35">
            <w:pPr>
              <w:suppressAutoHyphens/>
            </w:pPr>
            <w:r w:rsidRPr="003B4362">
              <w:t>Cyanide</w:t>
            </w:r>
          </w:p>
        </w:tc>
        <w:tc>
          <w:tcPr>
            <w:tcW w:w="5040" w:type="dxa"/>
          </w:tcPr>
          <w:p w14:paraId="3540A977" w14:textId="77777777" w:rsidR="004E2D35" w:rsidRPr="003B4362" w:rsidRDefault="004E2D35" w:rsidP="004E2D35">
            <w:pPr>
              <w:suppressAutoHyphens/>
            </w:pPr>
            <w:r w:rsidRPr="003B4362">
              <w:t>IX</w:t>
            </w:r>
          </w:p>
          <w:p w14:paraId="0CB1F9EC" w14:textId="77777777" w:rsidR="004E2D35" w:rsidRPr="003B4362" w:rsidRDefault="004E2D35" w:rsidP="004E2D35">
            <w:pPr>
              <w:suppressAutoHyphens/>
            </w:pPr>
            <w:r w:rsidRPr="003B4362">
              <w:t>RO</w:t>
            </w:r>
          </w:p>
          <w:p w14:paraId="22CD9559" w14:textId="77777777" w:rsidR="004E2D35" w:rsidRPr="003B4362" w:rsidRDefault="004E2D35" w:rsidP="004E2D35">
            <w:pPr>
              <w:suppressAutoHyphens/>
            </w:pPr>
            <w:r w:rsidRPr="003B4362">
              <w:t>ALK Cl</w:t>
            </w:r>
            <w:r w:rsidRPr="003B4362">
              <w:rPr>
                <w:vertAlign w:val="subscript"/>
              </w:rPr>
              <w:t>2</w:t>
            </w:r>
          </w:p>
        </w:tc>
      </w:tr>
      <w:tr w:rsidR="001628C1" w:rsidRPr="003B4362" w14:paraId="1C954C4E" w14:textId="77777777" w:rsidTr="004E2D35">
        <w:trPr>
          <w:cantSplit/>
        </w:trPr>
        <w:tc>
          <w:tcPr>
            <w:tcW w:w="2160" w:type="dxa"/>
          </w:tcPr>
          <w:p w14:paraId="19225930" w14:textId="77777777" w:rsidR="004E2D35" w:rsidRPr="003B4362" w:rsidRDefault="004E2D35" w:rsidP="004E2D35">
            <w:pPr>
              <w:suppressAutoHyphens/>
            </w:pPr>
            <w:r w:rsidRPr="003B4362">
              <w:t>Mercury</w:t>
            </w:r>
          </w:p>
        </w:tc>
        <w:tc>
          <w:tcPr>
            <w:tcW w:w="5040" w:type="dxa"/>
          </w:tcPr>
          <w:p w14:paraId="55C4539D" w14:textId="703975B6" w:rsidR="004E2D35" w:rsidRPr="003B4362" w:rsidRDefault="004E2D35" w:rsidP="004E2D35">
            <w:pPr>
              <w:suppressAutoHyphens/>
            </w:pPr>
            <w:r w:rsidRPr="003B4362">
              <w:t xml:space="preserve">C/F </w:t>
            </w:r>
            <w:r w:rsidR="0074078B" w:rsidRPr="003B4362">
              <w:t>(</w:t>
            </w:r>
            <w:r w:rsidRPr="003B4362">
              <w:t>only if influent Hg concentrations less than or equal to 10 µg/</w:t>
            </w:r>
            <w:r w:rsidR="00F560FD" w:rsidRPr="003B4362">
              <w:t xml:space="preserve"> L</w:t>
            </w:r>
            <w:r w:rsidR="0074078B" w:rsidRPr="003B4362">
              <w:t>)</w:t>
            </w:r>
          </w:p>
          <w:p w14:paraId="67C88B52" w14:textId="77777777" w:rsidR="004E2D35" w:rsidRPr="003B4362" w:rsidRDefault="004E2D35" w:rsidP="004E2D35">
            <w:pPr>
              <w:suppressAutoHyphens/>
            </w:pPr>
            <w:r w:rsidRPr="003B4362">
              <w:t>GAC</w:t>
            </w:r>
          </w:p>
          <w:p w14:paraId="1395A81A" w14:textId="46D02435" w:rsidR="004E2D35" w:rsidRPr="003B4362" w:rsidRDefault="004E2D35" w:rsidP="004E2D35">
            <w:pPr>
              <w:suppressAutoHyphens/>
            </w:pPr>
            <w:r w:rsidRPr="003B4362">
              <w:t xml:space="preserve">LIME </w:t>
            </w:r>
            <w:r w:rsidR="0074078B" w:rsidRPr="003B4362">
              <w:t>(</w:t>
            </w:r>
            <w:r w:rsidRPr="003B4362">
              <w:t>only if influent Hg concentrations less than or equal to 10 µg/</w:t>
            </w:r>
            <w:r w:rsidR="00F560FD" w:rsidRPr="003B4362">
              <w:t xml:space="preserve"> L</w:t>
            </w:r>
            <w:r w:rsidR="0074078B" w:rsidRPr="003B4362">
              <w:t>)</w:t>
            </w:r>
          </w:p>
          <w:p w14:paraId="6F5EA2B7" w14:textId="291C3DBE" w:rsidR="004E2D35" w:rsidRPr="003B4362" w:rsidRDefault="004E2D35" w:rsidP="004E2D35">
            <w:pPr>
              <w:suppressAutoHyphens/>
            </w:pPr>
            <w:r w:rsidRPr="003B4362">
              <w:t xml:space="preserve">RO </w:t>
            </w:r>
            <w:r w:rsidR="0074078B" w:rsidRPr="003B4362">
              <w:t>(</w:t>
            </w:r>
            <w:r w:rsidRPr="003B4362">
              <w:t>only if influent Hg concentrations less than or equal to 10 µg/</w:t>
            </w:r>
            <w:r w:rsidR="00F560FD" w:rsidRPr="003B4362">
              <w:t xml:space="preserve"> L</w:t>
            </w:r>
            <w:r w:rsidR="0074078B" w:rsidRPr="003B4362">
              <w:t>)</w:t>
            </w:r>
          </w:p>
        </w:tc>
      </w:tr>
      <w:tr w:rsidR="001628C1" w:rsidRPr="003B4362" w14:paraId="30A3119C" w14:textId="77777777" w:rsidTr="004E2D35">
        <w:trPr>
          <w:cantSplit/>
        </w:trPr>
        <w:tc>
          <w:tcPr>
            <w:tcW w:w="2160" w:type="dxa"/>
          </w:tcPr>
          <w:p w14:paraId="269D0FB3" w14:textId="77777777" w:rsidR="004E2D35" w:rsidRPr="003B4362" w:rsidRDefault="004E2D35" w:rsidP="004E2D35">
            <w:pPr>
              <w:suppressAutoHyphens/>
            </w:pPr>
            <w:r w:rsidRPr="003B4362">
              <w:t>Nickel</w:t>
            </w:r>
          </w:p>
        </w:tc>
        <w:tc>
          <w:tcPr>
            <w:tcW w:w="5040" w:type="dxa"/>
          </w:tcPr>
          <w:p w14:paraId="727004D1" w14:textId="77777777" w:rsidR="004E2D35" w:rsidRPr="003B4362" w:rsidRDefault="004E2D35" w:rsidP="004E2D35">
            <w:pPr>
              <w:suppressAutoHyphens/>
            </w:pPr>
            <w:r w:rsidRPr="003B4362">
              <w:t>IX</w:t>
            </w:r>
          </w:p>
          <w:p w14:paraId="4E75A802" w14:textId="77777777" w:rsidR="004E2D35" w:rsidRPr="003B4362" w:rsidRDefault="004E2D35" w:rsidP="004E2D35">
            <w:pPr>
              <w:suppressAutoHyphens/>
            </w:pPr>
            <w:r w:rsidRPr="003B4362">
              <w:t>LIME</w:t>
            </w:r>
          </w:p>
          <w:p w14:paraId="12BB25BA" w14:textId="77777777" w:rsidR="004E2D35" w:rsidRPr="003B4362" w:rsidRDefault="004E2D35" w:rsidP="004E2D35">
            <w:pPr>
              <w:suppressAutoHyphens/>
            </w:pPr>
            <w:r w:rsidRPr="003B4362">
              <w:t>RO</w:t>
            </w:r>
          </w:p>
        </w:tc>
      </w:tr>
      <w:tr w:rsidR="001628C1" w:rsidRPr="003B4362" w14:paraId="7441A5F5" w14:textId="77777777" w:rsidTr="004E2D35">
        <w:trPr>
          <w:cantSplit/>
        </w:trPr>
        <w:tc>
          <w:tcPr>
            <w:tcW w:w="2160" w:type="dxa"/>
          </w:tcPr>
          <w:p w14:paraId="7AE75A9F" w14:textId="77777777" w:rsidR="004E2D35" w:rsidRPr="003B4362" w:rsidRDefault="004E2D35" w:rsidP="004E2D35">
            <w:pPr>
              <w:suppressAutoHyphens/>
            </w:pPr>
            <w:r w:rsidRPr="003B4362">
              <w:t>Nitrate</w:t>
            </w:r>
          </w:p>
        </w:tc>
        <w:tc>
          <w:tcPr>
            <w:tcW w:w="5040" w:type="dxa"/>
          </w:tcPr>
          <w:p w14:paraId="188C7482" w14:textId="77777777" w:rsidR="004E2D35" w:rsidRPr="003B4362" w:rsidRDefault="004E2D35" w:rsidP="004E2D35">
            <w:pPr>
              <w:suppressAutoHyphens/>
            </w:pPr>
            <w:r w:rsidRPr="003B4362">
              <w:t>IX</w:t>
            </w:r>
          </w:p>
          <w:p w14:paraId="5F5E64AF" w14:textId="77777777" w:rsidR="004E2D35" w:rsidRPr="003B4362" w:rsidRDefault="004E2D35" w:rsidP="004E2D35">
            <w:pPr>
              <w:suppressAutoHyphens/>
            </w:pPr>
            <w:r w:rsidRPr="003B4362">
              <w:t>RO</w:t>
            </w:r>
          </w:p>
          <w:p w14:paraId="43497606" w14:textId="77777777" w:rsidR="004E2D35" w:rsidRPr="003B4362" w:rsidRDefault="004E2D35" w:rsidP="004E2D35">
            <w:pPr>
              <w:suppressAutoHyphens/>
            </w:pPr>
            <w:r w:rsidRPr="003B4362">
              <w:t>ED</w:t>
            </w:r>
          </w:p>
        </w:tc>
      </w:tr>
      <w:tr w:rsidR="001628C1" w:rsidRPr="003B4362" w14:paraId="6A3380E4" w14:textId="77777777" w:rsidTr="004E2D35">
        <w:trPr>
          <w:cantSplit/>
        </w:trPr>
        <w:tc>
          <w:tcPr>
            <w:tcW w:w="2160" w:type="dxa"/>
          </w:tcPr>
          <w:p w14:paraId="1588A9C8" w14:textId="77777777" w:rsidR="004E2D35" w:rsidRPr="003B4362" w:rsidRDefault="004E2D35" w:rsidP="004E2D35">
            <w:pPr>
              <w:suppressAutoHyphens/>
            </w:pPr>
            <w:r w:rsidRPr="003B4362">
              <w:t>Nitrite</w:t>
            </w:r>
          </w:p>
        </w:tc>
        <w:tc>
          <w:tcPr>
            <w:tcW w:w="5040" w:type="dxa"/>
          </w:tcPr>
          <w:p w14:paraId="36E62836" w14:textId="77777777" w:rsidR="004E2D35" w:rsidRPr="003B4362" w:rsidRDefault="004E2D35" w:rsidP="004E2D35">
            <w:pPr>
              <w:suppressAutoHyphens/>
            </w:pPr>
            <w:r w:rsidRPr="003B4362">
              <w:t>IX</w:t>
            </w:r>
          </w:p>
          <w:p w14:paraId="36A16F31" w14:textId="77777777" w:rsidR="004E2D35" w:rsidRPr="003B4362" w:rsidRDefault="004E2D35" w:rsidP="004E2D35">
            <w:pPr>
              <w:suppressAutoHyphens/>
            </w:pPr>
            <w:r w:rsidRPr="003B4362">
              <w:t>RO</w:t>
            </w:r>
          </w:p>
        </w:tc>
      </w:tr>
      <w:tr w:rsidR="001628C1" w:rsidRPr="003B4362" w14:paraId="6308E4B4" w14:textId="77777777" w:rsidTr="004E2D35">
        <w:trPr>
          <w:cantSplit/>
        </w:trPr>
        <w:tc>
          <w:tcPr>
            <w:tcW w:w="2160" w:type="dxa"/>
          </w:tcPr>
          <w:p w14:paraId="54E49FB7" w14:textId="77777777" w:rsidR="004E2D35" w:rsidRPr="003B4362" w:rsidRDefault="004E2D35" w:rsidP="004E2D35">
            <w:pPr>
              <w:suppressAutoHyphens/>
            </w:pPr>
            <w:r w:rsidRPr="003B4362">
              <w:lastRenderedPageBreak/>
              <w:t>Selenium</w:t>
            </w:r>
          </w:p>
        </w:tc>
        <w:tc>
          <w:tcPr>
            <w:tcW w:w="5040" w:type="dxa"/>
          </w:tcPr>
          <w:p w14:paraId="61D0171B" w14:textId="77777777" w:rsidR="004E2D35" w:rsidRPr="003B4362" w:rsidRDefault="004E2D35" w:rsidP="004E2D35">
            <w:pPr>
              <w:suppressAutoHyphens/>
            </w:pPr>
            <w:r w:rsidRPr="003B4362">
              <w:t>AAL</w:t>
            </w:r>
          </w:p>
          <w:p w14:paraId="071348AB" w14:textId="3B797B7D" w:rsidR="004E2D35" w:rsidRPr="003B4362" w:rsidRDefault="004E2D35" w:rsidP="004E2D35">
            <w:pPr>
              <w:suppressAutoHyphens/>
            </w:pPr>
            <w:r w:rsidRPr="003B4362">
              <w:t xml:space="preserve">C/F </w:t>
            </w:r>
            <w:r w:rsidR="0074078B" w:rsidRPr="003B4362">
              <w:t>(</w:t>
            </w:r>
            <w:r w:rsidRPr="003B4362">
              <w:t>for Se</w:t>
            </w:r>
            <w:r w:rsidRPr="003B4362">
              <w:rPr>
                <w:vertAlign w:val="superscript"/>
              </w:rPr>
              <w:t>IV</w:t>
            </w:r>
            <w:r w:rsidRPr="003B4362">
              <w:t xml:space="preserve"> only</w:t>
            </w:r>
            <w:r w:rsidR="0074078B" w:rsidRPr="003B4362">
              <w:t>)</w:t>
            </w:r>
          </w:p>
          <w:p w14:paraId="09D78424" w14:textId="77777777" w:rsidR="004E2D35" w:rsidRPr="003B4362" w:rsidRDefault="004E2D35" w:rsidP="004E2D35">
            <w:pPr>
              <w:suppressAutoHyphens/>
            </w:pPr>
            <w:r w:rsidRPr="003B4362">
              <w:t>LIME</w:t>
            </w:r>
          </w:p>
          <w:p w14:paraId="2BF51F83" w14:textId="77777777" w:rsidR="004E2D35" w:rsidRPr="003B4362" w:rsidRDefault="004E2D35" w:rsidP="004E2D35">
            <w:pPr>
              <w:suppressAutoHyphens/>
            </w:pPr>
            <w:r w:rsidRPr="003B4362">
              <w:t>RO</w:t>
            </w:r>
          </w:p>
          <w:p w14:paraId="75C6B489" w14:textId="77777777" w:rsidR="004E2D35" w:rsidRPr="003B4362" w:rsidRDefault="004E2D35" w:rsidP="004E2D35">
            <w:pPr>
              <w:suppressAutoHyphens/>
            </w:pPr>
            <w:r w:rsidRPr="003B4362">
              <w:t>ED</w:t>
            </w:r>
          </w:p>
        </w:tc>
      </w:tr>
      <w:tr w:rsidR="001628C1" w:rsidRPr="003B4362" w14:paraId="68D52998" w14:textId="77777777" w:rsidTr="004E2D35">
        <w:trPr>
          <w:cantSplit/>
        </w:trPr>
        <w:tc>
          <w:tcPr>
            <w:tcW w:w="2160" w:type="dxa"/>
          </w:tcPr>
          <w:p w14:paraId="673AADD2" w14:textId="77777777" w:rsidR="004E2D35" w:rsidRPr="003B4362" w:rsidRDefault="004E2D35" w:rsidP="004E2D35">
            <w:pPr>
              <w:suppressAutoHyphens/>
            </w:pPr>
            <w:r w:rsidRPr="003B4362">
              <w:t>Thallium</w:t>
            </w:r>
          </w:p>
        </w:tc>
        <w:tc>
          <w:tcPr>
            <w:tcW w:w="5040" w:type="dxa"/>
          </w:tcPr>
          <w:p w14:paraId="512B48B9" w14:textId="77777777" w:rsidR="004E2D35" w:rsidRPr="003B4362" w:rsidRDefault="004E2D35" w:rsidP="004E2D35">
            <w:pPr>
              <w:suppressAutoHyphens/>
            </w:pPr>
            <w:r w:rsidRPr="003B4362">
              <w:t>AAL</w:t>
            </w:r>
          </w:p>
          <w:p w14:paraId="0491CF95" w14:textId="77777777" w:rsidR="004E2D35" w:rsidRPr="003B4362" w:rsidRDefault="004E2D35" w:rsidP="004E2D35">
            <w:pPr>
              <w:suppressAutoHyphens/>
            </w:pPr>
            <w:r w:rsidRPr="003B4362">
              <w:t>IX</w:t>
            </w:r>
          </w:p>
        </w:tc>
      </w:tr>
    </w:tbl>
    <w:p w14:paraId="54A99B56" w14:textId="77777777" w:rsidR="004E2D35" w:rsidRPr="003B4362" w:rsidRDefault="004E2D35" w:rsidP="004E2D35">
      <w:pPr>
        <w:suppressAutoHyphens/>
        <w:spacing w:before="240" w:after="240"/>
        <w:ind w:left="2880"/>
        <w:outlineLvl w:val="0"/>
      </w:pPr>
      <w:r w:rsidRPr="003B4362">
        <w:t>Abbreviations</w:t>
      </w:r>
    </w:p>
    <w:tbl>
      <w:tblPr>
        <w:tblW w:w="6480" w:type="dxa"/>
        <w:tblInd w:w="2880" w:type="dxa"/>
        <w:tblLayout w:type="fixed"/>
        <w:tblCellMar>
          <w:left w:w="0" w:type="dxa"/>
          <w:right w:w="0" w:type="dxa"/>
        </w:tblCellMar>
        <w:tblLook w:val="04A0" w:firstRow="1" w:lastRow="0" w:firstColumn="1" w:lastColumn="0" w:noHBand="0" w:noVBand="1"/>
      </w:tblPr>
      <w:tblGrid>
        <w:gridCol w:w="1440"/>
        <w:gridCol w:w="5040"/>
      </w:tblGrid>
      <w:tr w:rsidR="001628C1" w:rsidRPr="003B4362" w14:paraId="493E8B7B" w14:textId="77777777" w:rsidTr="004E2D35">
        <w:tc>
          <w:tcPr>
            <w:tcW w:w="1440" w:type="dxa"/>
          </w:tcPr>
          <w:p w14:paraId="09B91A65" w14:textId="77777777" w:rsidR="004E2D35" w:rsidRPr="003B4362" w:rsidRDefault="004E2D35" w:rsidP="004E2D35">
            <w:pPr>
              <w:suppressAutoHyphens/>
              <w:spacing w:after="240"/>
            </w:pPr>
            <w:r w:rsidRPr="003B4362">
              <w:t>AAL</w:t>
            </w:r>
          </w:p>
        </w:tc>
        <w:tc>
          <w:tcPr>
            <w:tcW w:w="5040" w:type="dxa"/>
          </w:tcPr>
          <w:p w14:paraId="1D365A9A" w14:textId="77777777" w:rsidR="004E2D35" w:rsidRPr="003B4362" w:rsidRDefault="004E2D35" w:rsidP="004E2D35">
            <w:pPr>
              <w:suppressAutoHyphens/>
              <w:spacing w:after="240"/>
            </w:pPr>
            <w:r w:rsidRPr="003B4362">
              <w:t>Activated alumina</w:t>
            </w:r>
          </w:p>
        </w:tc>
      </w:tr>
      <w:tr w:rsidR="001628C1" w:rsidRPr="003B4362" w14:paraId="521D7BBA" w14:textId="77777777" w:rsidTr="004E2D35">
        <w:tc>
          <w:tcPr>
            <w:tcW w:w="1440" w:type="dxa"/>
          </w:tcPr>
          <w:p w14:paraId="7F79B6BC" w14:textId="77777777" w:rsidR="004E2D35" w:rsidRPr="003B4362" w:rsidRDefault="004E2D35" w:rsidP="004E2D35">
            <w:pPr>
              <w:suppressAutoHyphens/>
              <w:spacing w:after="240"/>
            </w:pPr>
            <w:r w:rsidRPr="003B4362">
              <w:t>ALK Cl</w:t>
            </w:r>
            <w:r w:rsidRPr="003B4362">
              <w:rPr>
                <w:vertAlign w:val="subscript"/>
              </w:rPr>
              <w:t>2</w:t>
            </w:r>
          </w:p>
        </w:tc>
        <w:tc>
          <w:tcPr>
            <w:tcW w:w="5040" w:type="dxa"/>
          </w:tcPr>
          <w:p w14:paraId="7B644E51" w14:textId="77777777" w:rsidR="004E2D35" w:rsidRPr="003B4362" w:rsidRDefault="004E2D35" w:rsidP="004E2D35">
            <w:pPr>
              <w:suppressAutoHyphens/>
              <w:spacing w:after="240"/>
            </w:pPr>
            <w:r w:rsidRPr="003B4362">
              <w:t>Alkaline chlorination (pH ≥ 8.5)</w:t>
            </w:r>
          </w:p>
        </w:tc>
      </w:tr>
      <w:tr w:rsidR="001628C1" w:rsidRPr="003B4362" w14:paraId="0E189351" w14:textId="77777777" w:rsidTr="004E2D35">
        <w:tc>
          <w:tcPr>
            <w:tcW w:w="1440" w:type="dxa"/>
          </w:tcPr>
          <w:p w14:paraId="5020639D" w14:textId="77777777" w:rsidR="004E2D35" w:rsidRPr="003B4362" w:rsidRDefault="004E2D35" w:rsidP="004E2D35">
            <w:pPr>
              <w:suppressAutoHyphens/>
              <w:spacing w:after="240"/>
            </w:pPr>
            <w:r w:rsidRPr="003B4362">
              <w:t>C/F</w:t>
            </w:r>
          </w:p>
        </w:tc>
        <w:tc>
          <w:tcPr>
            <w:tcW w:w="5040" w:type="dxa"/>
          </w:tcPr>
          <w:p w14:paraId="059A5E19" w14:textId="3E833F9B" w:rsidR="004E2D35" w:rsidRPr="003B4362" w:rsidRDefault="004E2D35" w:rsidP="004E2D35">
            <w:pPr>
              <w:suppressAutoHyphens/>
              <w:spacing w:after="240"/>
            </w:pPr>
            <w:r w:rsidRPr="003B4362">
              <w:t xml:space="preserve">Coagulation/filtration (not BAT for a system </w:t>
            </w:r>
            <w:r w:rsidR="000D22B9" w:rsidRPr="003B4362">
              <w:t xml:space="preserve">having </w:t>
            </w:r>
            <w:r w:rsidRPr="003B4362">
              <w:t>fewer than 500 service connections)</w:t>
            </w:r>
          </w:p>
        </w:tc>
      </w:tr>
      <w:tr w:rsidR="001628C1" w:rsidRPr="003B4362" w14:paraId="5ED70033" w14:textId="77777777" w:rsidTr="004E2D35">
        <w:tc>
          <w:tcPr>
            <w:tcW w:w="1440" w:type="dxa"/>
          </w:tcPr>
          <w:p w14:paraId="5FD840AC" w14:textId="77777777" w:rsidR="004E2D35" w:rsidRPr="003B4362" w:rsidRDefault="004E2D35" w:rsidP="004E2D35">
            <w:pPr>
              <w:suppressAutoHyphens/>
              <w:spacing w:after="240"/>
            </w:pPr>
            <w:r w:rsidRPr="003B4362">
              <w:t>CC</w:t>
            </w:r>
          </w:p>
        </w:tc>
        <w:tc>
          <w:tcPr>
            <w:tcW w:w="5040" w:type="dxa"/>
          </w:tcPr>
          <w:p w14:paraId="0635F3CF" w14:textId="77777777" w:rsidR="004E2D35" w:rsidRPr="003B4362" w:rsidRDefault="004E2D35" w:rsidP="004E2D35">
            <w:pPr>
              <w:suppressAutoHyphens/>
              <w:spacing w:after="240"/>
            </w:pPr>
            <w:r w:rsidRPr="003B4362">
              <w:t>Corrosion control</w:t>
            </w:r>
          </w:p>
        </w:tc>
      </w:tr>
      <w:tr w:rsidR="001628C1" w:rsidRPr="003B4362" w14:paraId="16CC9367" w14:textId="77777777" w:rsidTr="004E2D35">
        <w:tc>
          <w:tcPr>
            <w:tcW w:w="1440" w:type="dxa"/>
          </w:tcPr>
          <w:p w14:paraId="792F809C" w14:textId="77777777" w:rsidR="004E2D35" w:rsidRPr="003B4362" w:rsidRDefault="004E2D35" w:rsidP="004E2D35">
            <w:pPr>
              <w:suppressAutoHyphens/>
              <w:spacing w:after="240"/>
            </w:pPr>
            <w:r w:rsidRPr="003B4362">
              <w:t>Cl</w:t>
            </w:r>
            <w:r w:rsidRPr="003B4362">
              <w:rPr>
                <w:vertAlign w:val="subscript"/>
              </w:rPr>
              <w:t>2</w:t>
            </w:r>
          </w:p>
        </w:tc>
        <w:tc>
          <w:tcPr>
            <w:tcW w:w="5040" w:type="dxa"/>
          </w:tcPr>
          <w:p w14:paraId="2E65E9F1" w14:textId="77777777" w:rsidR="004E2D35" w:rsidRPr="003B4362" w:rsidRDefault="004E2D35" w:rsidP="004E2D35">
            <w:pPr>
              <w:suppressAutoHyphens/>
              <w:spacing w:after="240"/>
            </w:pPr>
            <w:r w:rsidRPr="003B4362">
              <w:t>Oxidation (chlorine)</w:t>
            </w:r>
          </w:p>
        </w:tc>
      </w:tr>
      <w:tr w:rsidR="001628C1" w:rsidRPr="003B4362" w14:paraId="2D00D139" w14:textId="77777777" w:rsidTr="004E2D35">
        <w:tc>
          <w:tcPr>
            <w:tcW w:w="1440" w:type="dxa"/>
          </w:tcPr>
          <w:p w14:paraId="413F8985" w14:textId="77777777" w:rsidR="004E2D35" w:rsidRPr="003B4362" w:rsidRDefault="004E2D35" w:rsidP="004E2D35">
            <w:pPr>
              <w:suppressAutoHyphens/>
              <w:spacing w:after="240"/>
            </w:pPr>
            <w:r w:rsidRPr="003B4362">
              <w:t>DDF</w:t>
            </w:r>
          </w:p>
        </w:tc>
        <w:tc>
          <w:tcPr>
            <w:tcW w:w="5040" w:type="dxa"/>
          </w:tcPr>
          <w:p w14:paraId="3D8B8883" w14:textId="77777777" w:rsidR="004E2D35" w:rsidRPr="003B4362" w:rsidRDefault="004E2D35" w:rsidP="004E2D35">
            <w:pPr>
              <w:suppressAutoHyphens/>
              <w:spacing w:after="240"/>
            </w:pPr>
            <w:r w:rsidRPr="003B4362">
              <w:t>Direct and diatomite filtration</w:t>
            </w:r>
          </w:p>
        </w:tc>
      </w:tr>
      <w:tr w:rsidR="001628C1" w:rsidRPr="003B4362" w14:paraId="63197B79" w14:textId="77777777" w:rsidTr="004E2D35">
        <w:tc>
          <w:tcPr>
            <w:tcW w:w="1440" w:type="dxa"/>
          </w:tcPr>
          <w:p w14:paraId="13674410" w14:textId="77777777" w:rsidR="004E2D35" w:rsidRPr="003B4362" w:rsidRDefault="004E2D35" w:rsidP="004E2D35">
            <w:pPr>
              <w:suppressAutoHyphens/>
              <w:spacing w:after="240"/>
            </w:pPr>
            <w:r w:rsidRPr="003B4362">
              <w:t>ED</w:t>
            </w:r>
          </w:p>
        </w:tc>
        <w:tc>
          <w:tcPr>
            <w:tcW w:w="5040" w:type="dxa"/>
          </w:tcPr>
          <w:p w14:paraId="7BAAD0CE" w14:textId="77777777" w:rsidR="004E2D35" w:rsidRPr="003B4362" w:rsidRDefault="004E2D35" w:rsidP="004E2D35">
            <w:pPr>
              <w:suppressAutoHyphens/>
              <w:spacing w:after="240"/>
            </w:pPr>
            <w:r w:rsidRPr="003B4362">
              <w:t>Electrodialysis</w:t>
            </w:r>
          </w:p>
        </w:tc>
      </w:tr>
      <w:tr w:rsidR="001628C1" w:rsidRPr="003B4362" w14:paraId="336CA259" w14:textId="77777777" w:rsidTr="004E2D35">
        <w:tc>
          <w:tcPr>
            <w:tcW w:w="1440" w:type="dxa"/>
          </w:tcPr>
          <w:p w14:paraId="63A2CEE9" w14:textId="77777777" w:rsidR="004E2D35" w:rsidRPr="003B4362" w:rsidRDefault="004E2D35" w:rsidP="004E2D35">
            <w:pPr>
              <w:suppressAutoHyphens/>
              <w:spacing w:after="240"/>
            </w:pPr>
            <w:r w:rsidRPr="003B4362">
              <w:t>GAC</w:t>
            </w:r>
          </w:p>
        </w:tc>
        <w:tc>
          <w:tcPr>
            <w:tcW w:w="5040" w:type="dxa"/>
          </w:tcPr>
          <w:p w14:paraId="77E8A771" w14:textId="77777777" w:rsidR="004E2D35" w:rsidRPr="003B4362" w:rsidRDefault="004E2D35" w:rsidP="004E2D35">
            <w:pPr>
              <w:suppressAutoHyphens/>
              <w:spacing w:after="240"/>
            </w:pPr>
            <w:r w:rsidRPr="003B4362">
              <w:t>Granular activated carbon</w:t>
            </w:r>
          </w:p>
        </w:tc>
      </w:tr>
      <w:tr w:rsidR="001628C1" w:rsidRPr="003B4362" w14:paraId="31DA46A9" w14:textId="77777777" w:rsidTr="004E2D35">
        <w:tc>
          <w:tcPr>
            <w:tcW w:w="1440" w:type="dxa"/>
          </w:tcPr>
          <w:p w14:paraId="699CF364" w14:textId="77777777" w:rsidR="004E2D35" w:rsidRPr="003B4362" w:rsidRDefault="004E2D35" w:rsidP="004E2D35">
            <w:pPr>
              <w:suppressAutoHyphens/>
              <w:spacing w:after="240"/>
            </w:pPr>
            <w:r w:rsidRPr="003B4362">
              <w:t>IX</w:t>
            </w:r>
          </w:p>
        </w:tc>
        <w:tc>
          <w:tcPr>
            <w:tcW w:w="5040" w:type="dxa"/>
          </w:tcPr>
          <w:p w14:paraId="453232F9" w14:textId="77777777" w:rsidR="004E2D35" w:rsidRPr="003B4362" w:rsidRDefault="004E2D35" w:rsidP="004E2D35">
            <w:pPr>
              <w:suppressAutoHyphens/>
              <w:spacing w:after="240"/>
            </w:pPr>
            <w:r w:rsidRPr="003B4362">
              <w:t>Ion exchange</w:t>
            </w:r>
          </w:p>
        </w:tc>
      </w:tr>
      <w:tr w:rsidR="001628C1" w:rsidRPr="003B4362" w14:paraId="13AF3C2F" w14:textId="77777777" w:rsidTr="004E2D35">
        <w:tc>
          <w:tcPr>
            <w:tcW w:w="1440" w:type="dxa"/>
          </w:tcPr>
          <w:p w14:paraId="1DD590D2" w14:textId="77777777" w:rsidR="004E2D35" w:rsidRPr="003B4362" w:rsidRDefault="004E2D35" w:rsidP="004E2D35">
            <w:pPr>
              <w:suppressAutoHyphens/>
              <w:spacing w:after="240"/>
            </w:pPr>
            <w:r w:rsidRPr="003B4362">
              <w:t>LIME</w:t>
            </w:r>
          </w:p>
        </w:tc>
        <w:tc>
          <w:tcPr>
            <w:tcW w:w="5040" w:type="dxa"/>
          </w:tcPr>
          <w:p w14:paraId="25219072" w14:textId="77777777" w:rsidR="004E2D35" w:rsidRPr="003B4362" w:rsidRDefault="004E2D35" w:rsidP="004E2D35">
            <w:pPr>
              <w:suppressAutoHyphens/>
              <w:spacing w:after="240"/>
            </w:pPr>
            <w:r w:rsidRPr="003B4362">
              <w:t>Lime softening</w:t>
            </w:r>
          </w:p>
        </w:tc>
      </w:tr>
      <w:tr w:rsidR="001628C1" w:rsidRPr="003B4362" w14:paraId="495E678E" w14:textId="77777777" w:rsidTr="004E2D35">
        <w:tc>
          <w:tcPr>
            <w:tcW w:w="1440" w:type="dxa"/>
          </w:tcPr>
          <w:p w14:paraId="44A49796" w14:textId="77777777" w:rsidR="004E2D35" w:rsidRPr="003B4362" w:rsidRDefault="004E2D35" w:rsidP="004E2D35">
            <w:pPr>
              <w:suppressAutoHyphens/>
              <w:spacing w:after="240"/>
            </w:pPr>
            <w:r w:rsidRPr="003B4362">
              <w:t>O/F</w:t>
            </w:r>
          </w:p>
        </w:tc>
        <w:tc>
          <w:tcPr>
            <w:tcW w:w="5040" w:type="dxa"/>
          </w:tcPr>
          <w:p w14:paraId="79583E63" w14:textId="77777777" w:rsidR="004E2D35" w:rsidRPr="003B4362" w:rsidRDefault="004E2D35" w:rsidP="004E2D35">
            <w:pPr>
              <w:suppressAutoHyphens/>
              <w:spacing w:after="240"/>
            </w:pPr>
            <w:r w:rsidRPr="003B4362">
              <w:t>Oxidation/filtration</w:t>
            </w:r>
          </w:p>
        </w:tc>
      </w:tr>
      <w:tr w:rsidR="001628C1" w:rsidRPr="003B4362" w14:paraId="5C0DA926" w14:textId="77777777" w:rsidTr="004E2D35">
        <w:tc>
          <w:tcPr>
            <w:tcW w:w="1440" w:type="dxa"/>
          </w:tcPr>
          <w:p w14:paraId="45B79BB6" w14:textId="77777777" w:rsidR="004E2D35" w:rsidRPr="003B4362" w:rsidRDefault="004E2D35" w:rsidP="004E2D35">
            <w:pPr>
              <w:suppressAutoHyphens/>
              <w:spacing w:after="240"/>
            </w:pPr>
            <w:r w:rsidRPr="003B4362">
              <w:t>RO</w:t>
            </w:r>
          </w:p>
        </w:tc>
        <w:tc>
          <w:tcPr>
            <w:tcW w:w="5040" w:type="dxa"/>
          </w:tcPr>
          <w:p w14:paraId="2FDD68E3" w14:textId="77777777" w:rsidR="004E2D35" w:rsidRPr="003B4362" w:rsidRDefault="004E2D35" w:rsidP="004E2D35">
            <w:pPr>
              <w:suppressAutoHyphens/>
              <w:spacing w:after="240"/>
            </w:pPr>
            <w:r w:rsidRPr="003B4362">
              <w:t>Reverse osmosis</w:t>
            </w:r>
          </w:p>
        </w:tc>
      </w:tr>
      <w:tr w:rsidR="001628C1" w:rsidRPr="003B4362" w14:paraId="03FC52D5" w14:textId="77777777" w:rsidTr="004E2D35">
        <w:tc>
          <w:tcPr>
            <w:tcW w:w="1440" w:type="dxa"/>
          </w:tcPr>
          <w:p w14:paraId="131F0B19" w14:textId="77777777" w:rsidR="004E2D35" w:rsidRPr="003B4362" w:rsidRDefault="004E2D35" w:rsidP="004E2D35">
            <w:pPr>
              <w:suppressAutoHyphens/>
              <w:spacing w:after="240"/>
            </w:pPr>
            <w:r w:rsidRPr="003B4362">
              <w:t>UV</w:t>
            </w:r>
          </w:p>
        </w:tc>
        <w:tc>
          <w:tcPr>
            <w:tcW w:w="5040" w:type="dxa"/>
          </w:tcPr>
          <w:p w14:paraId="28F96DF7" w14:textId="77777777" w:rsidR="004E2D35" w:rsidRPr="003B4362" w:rsidRDefault="004E2D35" w:rsidP="004E2D35">
            <w:pPr>
              <w:suppressAutoHyphens/>
              <w:spacing w:after="240"/>
            </w:pPr>
            <w:r w:rsidRPr="003B4362">
              <w:t>Ultraviolet irradiation</w:t>
            </w:r>
          </w:p>
        </w:tc>
      </w:tr>
    </w:tbl>
    <w:p w14:paraId="02026E67" w14:textId="715D7094" w:rsidR="004E2D35" w:rsidRPr="003B4362" w:rsidRDefault="004E2D35" w:rsidP="004E2D35">
      <w:pPr>
        <w:suppressAutoHyphens/>
        <w:spacing w:before="240"/>
        <w:ind w:left="1440" w:hanging="720"/>
      </w:pPr>
      <w:r w:rsidRPr="003B4362">
        <w:t>d)</w:t>
      </w:r>
      <w:r w:rsidRPr="003B4362">
        <w:tab/>
        <w:t xml:space="preserve">At 40 CFR 141.62(d), USEPA identified the affordable technology, treatment technique, or other means available to systems serving 10,000 persons or fewer for achieving compliance with the </w:t>
      </w:r>
      <w:r w:rsidR="0074078B" w:rsidRPr="003B4362">
        <w:t xml:space="preserve">MCL </w:t>
      </w:r>
      <w:r w:rsidRPr="003B4362">
        <w:t>for arsenic:</w:t>
      </w:r>
    </w:p>
    <w:p w14:paraId="325221A9" w14:textId="77777777" w:rsidR="004E2D35" w:rsidRPr="003B4362" w:rsidRDefault="004E2D35" w:rsidP="004E2D35">
      <w:pPr>
        <w:spacing w:before="240"/>
        <w:ind w:left="1440"/>
        <w:jc w:val="center"/>
        <w:outlineLvl w:val="0"/>
      </w:pPr>
      <w:r w:rsidRPr="003B4362">
        <w:t>Small System Compliance Technologies (SSCTs)</w:t>
      </w:r>
      <w:r w:rsidRPr="003B4362">
        <w:rPr>
          <w:vertAlign w:val="superscript"/>
        </w:rPr>
        <w:t>1</w:t>
      </w:r>
      <w:r w:rsidRPr="003B4362">
        <w:t xml:space="preserve"> for Arsenic</w:t>
      </w:r>
      <w:r w:rsidRPr="003B4362">
        <w:rPr>
          <w:vertAlign w:val="superscript"/>
        </w:rPr>
        <w:t>2</w:t>
      </w:r>
    </w:p>
    <w:tbl>
      <w:tblPr>
        <w:tblW w:w="7920" w:type="dxa"/>
        <w:tblInd w:w="1440" w:type="dxa"/>
        <w:tblLayout w:type="fixed"/>
        <w:tblCellMar>
          <w:top w:w="115" w:type="dxa"/>
          <w:left w:w="115" w:type="dxa"/>
          <w:bottom w:w="115" w:type="dxa"/>
          <w:right w:w="115" w:type="dxa"/>
        </w:tblCellMar>
        <w:tblLook w:val="0000" w:firstRow="0" w:lastRow="0" w:firstColumn="0" w:lastColumn="0" w:noHBand="0" w:noVBand="0"/>
      </w:tblPr>
      <w:tblGrid>
        <w:gridCol w:w="3888"/>
        <w:gridCol w:w="4032"/>
      </w:tblGrid>
      <w:tr w:rsidR="001628C1" w:rsidRPr="003B4362" w14:paraId="3B4CC018" w14:textId="77777777" w:rsidTr="004E2D35">
        <w:trPr>
          <w:cantSplit/>
        </w:trPr>
        <w:tc>
          <w:tcPr>
            <w:tcW w:w="3888" w:type="dxa"/>
            <w:vAlign w:val="bottom"/>
          </w:tcPr>
          <w:p w14:paraId="13E22BBD" w14:textId="77777777" w:rsidR="004E2D35" w:rsidRPr="003B4362" w:rsidRDefault="004E2D35" w:rsidP="004E2D35">
            <w:r w:rsidRPr="003B4362">
              <w:lastRenderedPageBreak/>
              <w:t>Small system compliance technology</w:t>
            </w:r>
          </w:p>
        </w:tc>
        <w:tc>
          <w:tcPr>
            <w:tcW w:w="4032" w:type="dxa"/>
            <w:vAlign w:val="bottom"/>
          </w:tcPr>
          <w:p w14:paraId="66B4A5E2" w14:textId="77777777" w:rsidR="004E2D35" w:rsidRPr="003B4362" w:rsidRDefault="004E2D35" w:rsidP="004E2D35">
            <w:r w:rsidRPr="003B4362">
              <w:t>Affordable for listed small system categories</w:t>
            </w:r>
            <w:r w:rsidRPr="003B4362">
              <w:rPr>
                <w:vertAlign w:val="superscript"/>
              </w:rPr>
              <w:t>3</w:t>
            </w:r>
          </w:p>
        </w:tc>
      </w:tr>
      <w:tr w:rsidR="001628C1" w:rsidRPr="003B4362" w14:paraId="68689EF6" w14:textId="77777777" w:rsidTr="004E2D35">
        <w:trPr>
          <w:cantSplit/>
        </w:trPr>
        <w:tc>
          <w:tcPr>
            <w:tcW w:w="3888" w:type="dxa"/>
          </w:tcPr>
          <w:p w14:paraId="0A722F44" w14:textId="77777777" w:rsidR="004E2D35" w:rsidRPr="003B4362" w:rsidRDefault="004E2D35" w:rsidP="004E2D35">
            <w:r w:rsidRPr="003B4362">
              <w:t>Activated alumina (centralized)</w:t>
            </w:r>
          </w:p>
        </w:tc>
        <w:tc>
          <w:tcPr>
            <w:tcW w:w="4032" w:type="dxa"/>
          </w:tcPr>
          <w:p w14:paraId="598BEF4F" w14:textId="77777777" w:rsidR="004E2D35" w:rsidRPr="003B4362" w:rsidRDefault="004E2D35" w:rsidP="004E2D35">
            <w:r w:rsidRPr="003B4362">
              <w:t>All size categories</w:t>
            </w:r>
          </w:p>
        </w:tc>
      </w:tr>
      <w:tr w:rsidR="001628C1" w:rsidRPr="003B4362" w14:paraId="20D44783" w14:textId="77777777" w:rsidTr="004E2D35">
        <w:trPr>
          <w:cantSplit/>
        </w:trPr>
        <w:tc>
          <w:tcPr>
            <w:tcW w:w="3888" w:type="dxa"/>
          </w:tcPr>
          <w:p w14:paraId="10A72779" w14:textId="77777777" w:rsidR="004E2D35" w:rsidRPr="003B4362" w:rsidRDefault="004E2D35" w:rsidP="004E2D35">
            <w:r w:rsidRPr="003B4362">
              <w:t>Activated alumina (point-of-use)</w:t>
            </w:r>
            <w:r w:rsidRPr="003B4362">
              <w:rPr>
                <w:vertAlign w:val="superscript"/>
              </w:rPr>
              <w:t>4</w:t>
            </w:r>
          </w:p>
        </w:tc>
        <w:tc>
          <w:tcPr>
            <w:tcW w:w="4032" w:type="dxa"/>
          </w:tcPr>
          <w:p w14:paraId="77A21A34" w14:textId="77777777" w:rsidR="004E2D35" w:rsidRPr="003B4362" w:rsidRDefault="004E2D35" w:rsidP="004E2D35">
            <w:r w:rsidRPr="003B4362">
              <w:t>All size categories</w:t>
            </w:r>
          </w:p>
        </w:tc>
      </w:tr>
      <w:tr w:rsidR="001628C1" w:rsidRPr="003B4362" w14:paraId="611C67FC" w14:textId="77777777" w:rsidTr="004E2D35">
        <w:trPr>
          <w:cantSplit/>
        </w:trPr>
        <w:tc>
          <w:tcPr>
            <w:tcW w:w="3888" w:type="dxa"/>
          </w:tcPr>
          <w:p w14:paraId="0AC82191" w14:textId="77777777" w:rsidR="004E2D35" w:rsidRPr="003B4362" w:rsidRDefault="004E2D35" w:rsidP="004E2D35">
            <w:r w:rsidRPr="003B4362">
              <w:t>Coagulation/filtration</w:t>
            </w:r>
            <w:r w:rsidRPr="003B4362">
              <w:rPr>
                <w:vertAlign w:val="superscript"/>
              </w:rPr>
              <w:t>5</w:t>
            </w:r>
          </w:p>
        </w:tc>
        <w:tc>
          <w:tcPr>
            <w:tcW w:w="4032" w:type="dxa"/>
          </w:tcPr>
          <w:p w14:paraId="3ABC7B43" w14:textId="07009E13" w:rsidR="004E2D35" w:rsidRPr="003B4362" w:rsidRDefault="004E2D35" w:rsidP="004E2D35">
            <w:r w:rsidRPr="003B4362">
              <w:t>501</w:t>
            </w:r>
            <w:r w:rsidR="00CA327E" w:rsidRPr="003B4362">
              <w:t xml:space="preserve"> to </w:t>
            </w:r>
            <w:r w:rsidRPr="003B4362">
              <w:t>3,300 persons,</w:t>
            </w:r>
          </w:p>
          <w:p w14:paraId="6BD18D08" w14:textId="3DBCF00E" w:rsidR="004E2D35" w:rsidRPr="003B4362" w:rsidRDefault="004E2D35" w:rsidP="004E2D35">
            <w:r w:rsidRPr="003B4362">
              <w:t>3,301</w:t>
            </w:r>
            <w:r w:rsidR="00CA327E" w:rsidRPr="003B4362">
              <w:t xml:space="preserve"> to </w:t>
            </w:r>
            <w:r w:rsidRPr="003B4362">
              <w:t>10,000 persons</w:t>
            </w:r>
          </w:p>
        </w:tc>
      </w:tr>
      <w:tr w:rsidR="001628C1" w:rsidRPr="003B4362" w14:paraId="1CF99044" w14:textId="77777777" w:rsidTr="004E2D35">
        <w:trPr>
          <w:cantSplit/>
        </w:trPr>
        <w:tc>
          <w:tcPr>
            <w:tcW w:w="3888" w:type="dxa"/>
          </w:tcPr>
          <w:p w14:paraId="19CE26F6" w14:textId="77777777" w:rsidR="004E2D35" w:rsidRPr="003B4362" w:rsidRDefault="004E2D35" w:rsidP="004E2D35">
            <w:r w:rsidRPr="003B4362">
              <w:t>Coagulation-assisted microfiltration</w:t>
            </w:r>
          </w:p>
        </w:tc>
        <w:tc>
          <w:tcPr>
            <w:tcW w:w="4032" w:type="dxa"/>
          </w:tcPr>
          <w:p w14:paraId="14B95AE0" w14:textId="145228EC" w:rsidR="004E2D35" w:rsidRPr="003B4362" w:rsidRDefault="00CA327E" w:rsidP="004E2D35">
            <w:r w:rsidRPr="003B4362">
              <w:t xml:space="preserve">501 to 3,300 </w:t>
            </w:r>
            <w:r w:rsidR="004E2D35" w:rsidRPr="003B4362">
              <w:t>persons,</w:t>
            </w:r>
          </w:p>
          <w:p w14:paraId="25DFFCFF" w14:textId="2EF8A56D" w:rsidR="004E2D35" w:rsidRPr="003B4362" w:rsidRDefault="00CA327E" w:rsidP="004E2D35">
            <w:r w:rsidRPr="003B4362">
              <w:t xml:space="preserve">3,301 to 10,000 </w:t>
            </w:r>
            <w:r w:rsidR="004E2D35" w:rsidRPr="003B4362">
              <w:t>persons</w:t>
            </w:r>
          </w:p>
        </w:tc>
      </w:tr>
      <w:tr w:rsidR="001628C1" w:rsidRPr="003B4362" w14:paraId="39E90327" w14:textId="77777777" w:rsidTr="004E2D35">
        <w:trPr>
          <w:cantSplit/>
        </w:trPr>
        <w:tc>
          <w:tcPr>
            <w:tcW w:w="3888" w:type="dxa"/>
          </w:tcPr>
          <w:p w14:paraId="2D203B13" w14:textId="77777777" w:rsidR="004E2D35" w:rsidRPr="003B4362" w:rsidRDefault="004E2D35" w:rsidP="004E2D35">
            <w:r w:rsidRPr="003B4362">
              <w:t>Electrodialysis reversal</w:t>
            </w:r>
            <w:r w:rsidRPr="003B4362">
              <w:rPr>
                <w:vertAlign w:val="superscript"/>
              </w:rPr>
              <w:t>6</w:t>
            </w:r>
          </w:p>
        </w:tc>
        <w:tc>
          <w:tcPr>
            <w:tcW w:w="4032" w:type="dxa"/>
          </w:tcPr>
          <w:p w14:paraId="48870E7C" w14:textId="13EF0936" w:rsidR="004E2D35" w:rsidRPr="003B4362" w:rsidRDefault="00CA327E" w:rsidP="004E2D35">
            <w:r w:rsidRPr="003B4362">
              <w:t xml:space="preserve">501 to 3,300 </w:t>
            </w:r>
            <w:r w:rsidR="004E2D35" w:rsidRPr="003B4362">
              <w:t>persons,</w:t>
            </w:r>
          </w:p>
          <w:p w14:paraId="004388F0" w14:textId="54412273" w:rsidR="004E2D35" w:rsidRPr="003B4362" w:rsidRDefault="00CA327E" w:rsidP="004E2D35">
            <w:r w:rsidRPr="003B4362">
              <w:t xml:space="preserve">3,301 to 10,000 </w:t>
            </w:r>
            <w:r w:rsidR="004E2D35" w:rsidRPr="003B4362">
              <w:t>persons</w:t>
            </w:r>
          </w:p>
        </w:tc>
      </w:tr>
      <w:tr w:rsidR="001628C1" w:rsidRPr="003B4362" w14:paraId="3FE0761E" w14:textId="77777777" w:rsidTr="004E2D35">
        <w:trPr>
          <w:cantSplit/>
        </w:trPr>
        <w:tc>
          <w:tcPr>
            <w:tcW w:w="3888" w:type="dxa"/>
          </w:tcPr>
          <w:p w14:paraId="3B2AD034" w14:textId="77777777" w:rsidR="004E2D35" w:rsidRPr="003B4362" w:rsidRDefault="004E2D35" w:rsidP="004E2D35">
            <w:r w:rsidRPr="003B4362">
              <w:t>Enhanced coagulation/filtration</w:t>
            </w:r>
          </w:p>
        </w:tc>
        <w:tc>
          <w:tcPr>
            <w:tcW w:w="4032" w:type="dxa"/>
          </w:tcPr>
          <w:p w14:paraId="7482255E" w14:textId="77777777" w:rsidR="004E2D35" w:rsidRPr="003B4362" w:rsidRDefault="004E2D35" w:rsidP="004E2D35">
            <w:r w:rsidRPr="003B4362">
              <w:t>All size categories</w:t>
            </w:r>
          </w:p>
        </w:tc>
      </w:tr>
      <w:tr w:rsidR="001628C1" w:rsidRPr="003B4362" w14:paraId="3E328B9D" w14:textId="77777777" w:rsidTr="004E2D35">
        <w:trPr>
          <w:cantSplit/>
        </w:trPr>
        <w:tc>
          <w:tcPr>
            <w:tcW w:w="3888" w:type="dxa"/>
          </w:tcPr>
          <w:p w14:paraId="21203730" w14:textId="77777777" w:rsidR="004E2D35" w:rsidRPr="003B4362" w:rsidRDefault="004E2D35" w:rsidP="004E2D35">
            <w:r w:rsidRPr="003B4362">
              <w:t>Enhanced lime softening (pH&gt; 10.5)</w:t>
            </w:r>
          </w:p>
        </w:tc>
        <w:tc>
          <w:tcPr>
            <w:tcW w:w="4032" w:type="dxa"/>
          </w:tcPr>
          <w:p w14:paraId="6BF2018E" w14:textId="77777777" w:rsidR="004E2D35" w:rsidRPr="003B4362" w:rsidRDefault="004E2D35" w:rsidP="004E2D35">
            <w:r w:rsidRPr="003B4362">
              <w:t>All size categories</w:t>
            </w:r>
          </w:p>
        </w:tc>
      </w:tr>
      <w:tr w:rsidR="001628C1" w:rsidRPr="003B4362" w14:paraId="02836950" w14:textId="77777777" w:rsidTr="004E2D35">
        <w:trPr>
          <w:cantSplit/>
        </w:trPr>
        <w:tc>
          <w:tcPr>
            <w:tcW w:w="3888" w:type="dxa"/>
          </w:tcPr>
          <w:p w14:paraId="3422D696" w14:textId="77777777" w:rsidR="004E2D35" w:rsidRPr="003B4362" w:rsidRDefault="004E2D35" w:rsidP="004E2D35">
            <w:r w:rsidRPr="003B4362">
              <w:t>Ion exchange</w:t>
            </w:r>
          </w:p>
        </w:tc>
        <w:tc>
          <w:tcPr>
            <w:tcW w:w="4032" w:type="dxa"/>
          </w:tcPr>
          <w:p w14:paraId="378EF616" w14:textId="77777777" w:rsidR="004E2D35" w:rsidRPr="003B4362" w:rsidRDefault="004E2D35" w:rsidP="004E2D35">
            <w:r w:rsidRPr="003B4362">
              <w:t>All size categories</w:t>
            </w:r>
          </w:p>
        </w:tc>
      </w:tr>
      <w:tr w:rsidR="001628C1" w:rsidRPr="003B4362" w14:paraId="4DE5EE54" w14:textId="77777777" w:rsidTr="004E2D35">
        <w:trPr>
          <w:cantSplit/>
        </w:trPr>
        <w:tc>
          <w:tcPr>
            <w:tcW w:w="3888" w:type="dxa"/>
          </w:tcPr>
          <w:p w14:paraId="066BC1D6" w14:textId="77777777" w:rsidR="004E2D35" w:rsidRPr="003B4362" w:rsidRDefault="004E2D35" w:rsidP="004E2D35">
            <w:r w:rsidRPr="003B4362">
              <w:t>Lime softening</w:t>
            </w:r>
            <w:r w:rsidRPr="003B4362">
              <w:rPr>
                <w:vertAlign w:val="superscript"/>
              </w:rPr>
              <w:t>5</w:t>
            </w:r>
          </w:p>
        </w:tc>
        <w:tc>
          <w:tcPr>
            <w:tcW w:w="4032" w:type="dxa"/>
          </w:tcPr>
          <w:p w14:paraId="6EF7E2D1" w14:textId="61D37AB4" w:rsidR="004E2D35" w:rsidRPr="003B4362" w:rsidRDefault="00CA327E" w:rsidP="004E2D35">
            <w:r w:rsidRPr="003B4362">
              <w:t xml:space="preserve">501 to 3,300 </w:t>
            </w:r>
            <w:r w:rsidR="004E2D35" w:rsidRPr="003B4362">
              <w:t>persons,</w:t>
            </w:r>
          </w:p>
          <w:p w14:paraId="36C565FA" w14:textId="09173EEF" w:rsidR="004E2D35" w:rsidRPr="003B4362" w:rsidRDefault="00CA327E" w:rsidP="004E2D35">
            <w:r w:rsidRPr="003B4362">
              <w:t xml:space="preserve">3,301 to 10,000 </w:t>
            </w:r>
            <w:r w:rsidR="004E2D35" w:rsidRPr="003B4362">
              <w:t>persons</w:t>
            </w:r>
          </w:p>
        </w:tc>
      </w:tr>
      <w:tr w:rsidR="001628C1" w:rsidRPr="003B4362" w14:paraId="04597797" w14:textId="77777777" w:rsidTr="004E2D35">
        <w:trPr>
          <w:cantSplit/>
        </w:trPr>
        <w:tc>
          <w:tcPr>
            <w:tcW w:w="3888" w:type="dxa"/>
          </w:tcPr>
          <w:p w14:paraId="08F4E370" w14:textId="77777777" w:rsidR="004E2D35" w:rsidRPr="003B4362" w:rsidRDefault="004E2D35" w:rsidP="004E2D35">
            <w:r w:rsidRPr="003B4362">
              <w:t>Oxidation/filtration</w:t>
            </w:r>
            <w:r w:rsidRPr="003B4362">
              <w:rPr>
                <w:vertAlign w:val="superscript"/>
              </w:rPr>
              <w:t>7</w:t>
            </w:r>
          </w:p>
        </w:tc>
        <w:tc>
          <w:tcPr>
            <w:tcW w:w="4032" w:type="dxa"/>
          </w:tcPr>
          <w:p w14:paraId="35C5E7C6" w14:textId="77777777" w:rsidR="004E2D35" w:rsidRPr="003B4362" w:rsidRDefault="004E2D35" w:rsidP="004E2D35">
            <w:r w:rsidRPr="003B4362">
              <w:t>All size categories</w:t>
            </w:r>
          </w:p>
        </w:tc>
      </w:tr>
      <w:tr w:rsidR="001628C1" w:rsidRPr="003B4362" w14:paraId="7805312E" w14:textId="77777777" w:rsidTr="004E2D35">
        <w:trPr>
          <w:cantSplit/>
        </w:trPr>
        <w:tc>
          <w:tcPr>
            <w:tcW w:w="3888" w:type="dxa"/>
          </w:tcPr>
          <w:p w14:paraId="774D9B77" w14:textId="77777777" w:rsidR="004E2D35" w:rsidRPr="003B4362" w:rsidRDefault="004E2D35" w:rsidP="004E2D35">
            <w:r w:rsidRPr="003B4362">
              <w:t>Reverse osmosis (centralized)</w:t>
            </w:r>
            <w:r w:rsidRPr="003B4362">
              <w:rPr>
                <w:vertAlign w:val="superscript"/>
              </w:rPr>
              <w:t>6</w:t>
            </w:r>
          </w:p>
        </w:tc>
        <w:tc>
          <w:tcPr>
            <w:tcW w:w="4032" w:type="dxa"/>
          </w:tcPr>
          <w:p w14:paraId="77522C99" w14:textId="5BD60DBF" w:rsidR="004E2D35" w:rsidRPr="003B4362" w:rsidRDefault="00CA327E" w:rsidP="004E2D35">
            <w:r w:rsidRPr="003B4362">
              <w:t xml:space="preserve">501 to 3,300 </w:t>
            </w:r>
            <w:r w:rsidR="004E2D35" w:rsidRPr="003B4362">
              <w:t>persons,</w:t>
            </w:r>
          </w:p>
          <w:p w14:paraId="2685D9E7" w14:textId="3DDA37B2" w:rsidR="004E2D35" w:rsidRPr="003B4362" w:rsidRDefault="00CA327E" w:rsidP="004E2D35">
            <w:r w:rsidRPr="003B4362">
              <w:t xml:space="preserve">3,301 to 10,000 </w:t>
            </w:r>
            <w:r w:rsidR="004E2D35" w:rsidRPr="003B4362">
              <w:t>persons</w:t>
            </w:r>
          </w:p>
        </w:tc>
      </w:tr>
      <w:tr w:rsidR="001628C1" w:rsidRPr="003B4362" w14:paraId="7077C096" w14:textId="77777777" w:rsidTr="004E2D35">
        <w:trPr>
          <w:cantSplit/>
        </w:trPr>
        <w:tc>
          <w:tcPr>
            <w:tcW w:w="3888" w:type="dxa"/>
          </w:tcPr>
          <w:p w14:paraId="7A3CAFBD" w14:textId="77777777" w:rsidR="004E2D35" w:rsidRPr="003B4362" w:rsidRDefault="004E2D35" w:rsidP="004E2D35">
            <w:r w:rsidRPr="003B4362">
              <w:t>Reverse osmosis (point-of-use)</w:t>
            </w:r>
            <w:r w:rsidRPr="003B4362">
              <w:rPr>
                <w:vertAlign w:val="superscript"/>
              </w:rPr>
              <w:t>4</w:t>
            </w:r>
          </w:p>
        </w:tc>
        <w:tc>
          <w:tcPr>
            <w:tcW w:w="4032" w:type="dxa"/>
          </w:tcPr>
          <w:p w14:paraId="052ED395" w14:textId="77777777" w:rsidR="004E2D35" w:rsidRPr="003B4362" w:rsidRDefault="004E2D35" w:rsidP="004E2D35">
            <w:r w:rsidRPr="003B4362">
              <w:t>All size categories</w:t>
            </w:r>
          </w:p>
        </w:tc>
      </w:tr>
    </w:tbl>
    <w:p w14:paraId="3D2422F1" w14:textId="21CFCFBB" w:rsidR="004E2D35" w:rsidRPr="003B4362" w:rsidRDefault="004E2D35" w:rsidP="004E2D35">
      <w:pPr>
        <w:spacing w:before="240"/>
        <w:ind w:left="1800" w:hanging="360"/>
      </w:pPr>
      <w:r w:rsidRPr="003B4362">
        <w:rPr>
          <w:vertAlign w:val="superscript"/>
        </w:rPr>
        <w:t>1</w:t>
      </w:r>
      <w:r w:rsidRPr="003B4362">
        <w:tab/>
        <w:t>Section 1412(b)(4)(E)(</w:t>
      </w:r>
      <w:r w:rsidR="005C7821" w:rsidRPr="003B4362">
        <w:t>i</w:t>
      </w:r>
      <w:r w:rsidRPr="003B4362">
        <w:t>)</w:t>
      </w:r>
      <w:r w:rsidR="005C7821" w:rsidRPr="003B4362">
        <w:t xml:space="preserve"> through (iii)</w:t>
      </w:r>
      <w:r w:rsidRPr="003B4362">
        <w:t xml:space="preserve"> of SDWA (42 </w:t>
      </w:r>
      <w:r w:rsidR="0062698B" w:rsidRPr="003B4362">
        <w:t>U.S.C.</w:t>
      </w:r>
      <w:r w:rsidRPr="003B4362">
        <w:t xml:space="preserve"> 300g-1(b)(4)(E)(</w:t>
      </w:r>
      <w:r w:rsidR="005C7821" w:rsidRPr="003B4362">
        <w:t>i</w:t>
      </w:r>
      <w:r w:rsidRPr="003B4362">
        <w:t>)</w:t>
      </w:r>
      <w:r w:rsidR="005C7821" w:rsidRPr="003B4362">
        <w:t xml:space="preserve"> through (iii)</w:t>
      </w:r>
      <w:r w:rsidRPr="003B4362">
        <w:t>) specifies that SSCTs must be affordable and technically feasible for a small system supplier.</w:t>
      </w:r>
    </w:p>
    <w:p w14:paraId="2E5D597C" w14:textId="77777777" w:rsidR="004E2D35" w:rsidRPr="003B4362" w:rsidRDefault="004E2D35" w:rsidP="004E2D35">
      <w:pPr>
        <w:spacing w:before="240"/>
        <w:ind w:left="1800" w:hanging="360"/>
      </w:pPr>
      <w:r w:rsidRPr="003B4362">
        <w:rPr>
          <w:vertAlign w:val="superscript"/>
        </w:rPr>
        <w:t>2</w:t>
      </w:r>
      <w:r w:rsidRPr="003B4362">
        <w:tab/>
        <w:t>SSCTs for As</w:t>
      </w:r>
      <w:r w:rsidRPr="003B4362">
        <w:rPr>
          <w:vertAlign w:val="superscript"/>
        </w:rPr>
        <w:t>V</w:t>
      </w:r>
      <w:r w:rsidRPr="003B4362">
        <w:t>.  Pre-oxidation may be required to convert As</w:t>
      </w:r>
      <w:r w:rsidRPr="003B4362">
        <w:rPr>
          <w:vertAlign w:val="superscript"/>
        </w:rPr>
        <w:t>III</w:t>
      </w:r>
      <w:r w:rsidRPr="003B4362">
        <w:t xml:space="preserve"> to As</w:t>
      </w:r>
      <w:r w:rsidRPr="003B4362">
        <w:rPr>
          <w:vertAlign w:val="superscript"/>
        </w:rPr>
        <w:t>V</w:t>
      </w:r>
      <w:r w:rsidRPr="003B4362">
        <w:t>.</w:t>
      </w:r>
    </w:p>
    <w:p w14:paraId="4E3EAD08" w14:textId="3C60F4A7" w:rsidR="004E2D35" w:rsidRPr="003B4362" w:rsidRDefault="004E2D35" w:rsidP="004E2D35">
      <w:pPr>
        <w:spacing w:before="240"/>
        <w:ind w:left="1800" w:hanging="360"/>
      </w:pPr>
      <w:r w:rsidRPr="003B4362">
        <w:rPr>
          <w:vertAlign w:val="superscript"/>
        </w:rPr>
        <w:t>3</w:t>
      </w:r>
      <w:r w:rsidRPr="003B4362">
        <w:tab/>
        <w:t>SDWA specifies three categories of small system suppliers:  (1) those serving 25 or more, but fewer than 501 persons, (2) those serving more than 500 but fewer than 3,301 persons, and (3) those serving more than 3,300 but fewer than 10,001 persons.</w:t>
      </w:r>
      <w:r w:rsidR="004D7B74" w:rsidRPr="003B4362">
        <w:t xml:space="preserve">  42 U.S.C. 300g-1(b)(4)(E)(ii).</w:t>
      </w:r>
    </w:p>
    <w:p w14:paraId="5580F495" w14:textId="1E10304A" w:rsidR="004E2D35" w:rsidRPr="003B4362" w:rsidRDefault="004E2D35" w:rsidP="004E2D35">
      <w:pPr>
        <w:spacing w:before="240"/>
        <w:ind w:left="1800" w:hanging="360"/>
      </w:pPr>
      <w:r w:rsidRPr="003B4362">
        <w:rPr>
          <w:vertAlign w:val="superscript"/>
        </w:rPr>
        <w:t>4</w:t>
      </w:r>
      <w:r w:rsidRPr="003B4362">
        <w:tab/>
        <w:t xml:space="preserve">When </w:t>
      </w:r>
      <w:r w:rsidR="00502927" w:rsidRPr="003B4362">
        <w:t xml:space="preserve">a supplier uses </w:t>
      </w:r>
      <w:r w:rsidRPr="003B4362">
        <w:t xml:space="preserve">POU or POE devices for compliance, </w:t>
      </w:r>
      <w:r w:rsidR="00502927" w:rsidRPr="003B4362">
        <w:t xml:space="preserve">the supplier must provide </w:t>
      </w:r>
      <w:r w:rsidRPr="003B4362">
        <w:t>programs to ensure proper long-term operation, maintenance, and monitoring to ensure adequate performance.</w:t>
      </w:r>
    </w:p>
    <w:p w14:paraId="4F33C874" w14:textId="36290F6F" w:rsidR="004E2D35" w:rsidRPr="003B4362" w:rsidRDefault="004E2D35" w:rsidP="004E2D35">
      <w:pPr>
        <w:spacing w:before="240"/>
        <w:ind w:left="1800" w:hanging="360"/>
      </w:pPr>
      <w:r w:rsidRPr="003B4362">
        <w:rPr>
          <w:vertAlign w:val="superscript"/>
        </w:rPr>
        <w:lastRenderedPageBreak/>
        <w:t>5</w:t>
      </w:r>
      <w:r w:rsidRPr="003B4362">
        <w:tab/>
      </w:r>
      <w:r w:rsidR="00502927" w:rsidRPr="003B4362">
        <w:t xml:space="preserve">A supplier will not likely install this technology </w:t>
      </w:r>
      <w:r w:rsidRPr="003B4362">
        <w:t xml:space="preserve">solely for arsenic removal.  </w:t>
      </w:r>
      <w:r w:rsidR="00502927" w:rsidRPr="003B4362">
        <w:t xml:space="preserve">This technology may </w:t>
      </w:r>
      <w:r w:rsidRPr="003B4362">
        <w:t xml:space="preserve">require pH adjustment to optimal range </w:t>
      </w:r>
      <w:r w:rsidR="00502927" w:rsidRPr="003B4362">
        <w:t xml:space="preserve">to obtain </w:t>
      </w:r>
      <w:r w:rsidRPr="003B4362">
        <w:t>high removals.</w:t>
      </w:r>
    </w:p>
    <w:p w14:paraId="109DD931" w14:textId="7EDB6721" w:rsidR="004E2D35" w:rsidRPr="003B4362" w:rsidRDefault="004E2D35" w:rsidP="004E2D35">
      <w:pPr>
        <w:spacing w:before="240"/>
        <w:ind w:left="1800" w:hanging="360"/>
      </w:pPr>
      <w:r w:rsidRPr="003B4362">
        <w:rPr>
          <w:vertAlign w:val="superscript"/>
        </w:rPr>
        <w:t>6</w:t>
      </w:r>
      <w:r w:rsidRPr="003B4362">
        <w:tab/>
      </w:r>
      <w:r w:rsidR="00502927" w:rsidRPr="003B4362">
        <w:t xml:space="preserve">This technology rejects </w:t>
      </w:r>
      <w:r w:rsidRPr="003B4362">
        <w:t xml:space="preserve">a large volume of </w:t>
      </w:r>
      <w:r w:rsidR="00502927" w:rsidRPr="003B4362">
        <w:t xml:space="preserve">water and may </w:t>
      </w:r>
      <w:r w:rsidRPr="003B4362">
        <w:t xml:space="preserve">not be appropriate for areas </w:t>
      </w:r>
      <w:r w:rsidR="00833CD9" w:rsidRPr="003B4362">
        <w:rPr>
          <w:spacing w:val="-3"/>
        </w:rPr>
        <w:t xml:space="preserve">where </w:t>
      </w:r>
      <w:r w:rsidRPr="003B4362">
        <w:t xml:space="preserve">water quantity </w:t>
      </w:r>
      <w:r w:rsidR="00502927" w:rsidRPr="003B4362">
        <w:t xml:space="preserve">is </w:t>
      </w:r>
      <w:r w:rsidRPr="003B4362">
        <w:t>an issue.</w:t>
      </w:r>
    </w:p>
    <w:p w14:paraId="12A1F87B" w14:textId="3591548B" w:rsidR="004E2D35" w:rsidRPr="003B4362" w:rsidRDefault="004E2D35" w:rsidP="004E2D35">
      <w:pPr>
        <w:spacing w:before="240"/>
        <w:ind w:left="1800" w:hanging="360"/>
      </w:pPr>
      <w:r w:rsidRPr="003B4362">
        <w:rPr>
          <w:vertAlign w:val="superscript"/>
        </w:rPr>
        <w:t>7</w:t>
      </w:r>
      <w:r w:rsidRPr="003B4362">
        <w:tab/>
        <w:t>To obtain high removals</w:t>
      </w:r>
      <w:r w:rsidR="00502927" w:rsidRPr="003B4362">
        <w:t xml:space="preserve"> using this technology</w:t>
      </w:r>
      <w:r w:rsidRPr="003B4362">
        <w:t xml:space="preserve">, </w:t>
      </w:r>
      <w:r w:rsidR="00502927" w:rsidRPr="003B4362">
        <w:t xml:space="preserve">the </w:t>
      </w:r>
      <w:r w:rsidRPr="003B4362">
        <w:t>iron to arsenic ratio must be at least 20:1.</w:t>
      </w:r>
    </w:p>
    <w:p w14:paraId="6AC64BB1" w14:textId="08FF10B0" w:rsidR="004E2D35" w:rsidRPr="003B4362" w:rsidRDefault="004E2D35" w:rsidP="004E2D35">
      <w:pPr>
        <w:suppressAutoHyphens/>
        <w:spacing w:before="240"/>
      </w:pPr>
      <w:r w:rsidRPr="003B4362">
        <w:t xml:space="preserve">BOARD NOTE:  </w:t>
      </w:r>
      <w:r w:rsidR="0021011C" w:rsidRPr="003B4362">
        <w:rPr>
          <w:spacing w:val="-3"/>
        </w:rPr>
        <w:t xml:space="preserve">This Section derives </w:t>
      </w:r>
      <w:r w:rsidRPr="003B4362">
        <w:t>from 40 CFR 141.62.</w:t>
      </w:r>
    </w:p>
    <w:p w14:paraId="5452AA4E" w14:textId="717C0F94" w:rsidR="004E2D35" w:rsidRPr="003B4362" w:rsidRDefault="004E2D35" w:rsidP="004E2D35">
      <w:pPr>
        <w:suppressAutoHyphens/>
        <w:spacing w:before="240"/>
        <w:ind w:left="720"/>
      </w:pPr>
      <w:r w:rsidRPr="003B4362">
        <w:t>(Source:  A</w:t>
      </w:r>
      <w:r w:rsidRPr="003B4362">
        <w:rPr>
          <w:szCs w:val="17"/>
        </w:rPr>
        <w:t xml:space="preserve">mended at </w:t>
      </w:r>
      <w:r w:rsidR="005605D6" w:rsidRPr="003B4362">
        <w:t xml:space="preserve">47 Ill. Reg. </w:t>
      </w:r>
      <w:r w:rsidR="005605D6">
        <w:t>16486</w:t>
      </w:r>
      <w:r w:rsidR="005605D6" w:rsidRPr="003B4362">
        <w:t xml:space="preserve">, effective </w:t>
      </w:r>
      <w:r w:rsidR="005605D6">
        <w:t>November 2, 2023</w:t>
      </w:r>
      <w:r w:rsidRPr="003B4362">
        <w:t>)</w:t>
      </w:r>
    </w:p>
    <w:p w14:paraId="2BF20DBE" w14:textId="77777777" w:rsidR="00F829FE" w:rsidRPr="003B4362" w:rsidRDefault="00F829FE" w:rsidP="00F829FE">
      <w:pPr>
        <w:rPr>
          <w:b/>
          <w:bCs/>
        </w:rPr>
      </w:pPr>
    </w:p>
    <w:p w14:paraId="0BAB7AE6" w14:textId="4354EC17" w:rsidR="00C24354" w:rsidRPr="003B4362" w:rsidRDefault="00C24354" w:rsidP="00F829FE">
      <w:pPr>
        <w:rPr>
          <w:rFonts w:eastAsia="Arial Unicode MS"/>
          <w:b/>
          <w:bCs/>
        </w:rPr>
      </w:pPr>
      <w:r w:rsidRPr="003B4362">
        <w:rPr>
          <w:b/>
          <w:bCs/>
        </w:rPr>
        <w:t>Section 611.310</w:t>
      </w:r>
      <w:r w:rsidR="00D33CD3" w:rsidRPr="003B4362">
        <w:rPr>
          <w:b/>
          <w:bCs/>
        </w:rPr>
        <w:t xml:space="preserve">  </w:t>
      </w:r>
      <w:r w:rsidRPr="003B4362">
        <w:rPr>
          <w:b/>
          <w:bCs/>
        </w:rPr>
        <w:t>State-Only Maximum Contaminant Levels (MCLs) for Organic Chemical Contaminants</w:t>
      </w:r>
    </w:p>
    <w:p w14:paraId="4C967730" w14:textId="2190890E" w:rsidR="00C24354" w:rsidRPr="003B4362" w:rsidRDefault="00C24354" w:rsidP="00EE0CDE">
      <w:pPr>
        <w:spacing w:before="240" w:after="240"/>
      </w:pPr>
      <w:r w:rsidRPr="003B4362">
        <w:t xml:space="preserve">The following are State-only MCLs for organic chemical contaminants.  </w:t>
      </w:r>
      <w:r w:rsidR="00A87B3E" w:rsidRPr="003B4362">
        <w:t xml:space="preserve">These </w:t>
      </w:r>
      <w:r w:rsidRPr="003B4362">
        <w:t xml:space="preserve">State-only MCLs apply to all CWSs.  </w:t>
      </w:r>
      <w:r w:rsidR="00A87B3E" w:rsidRPr="003B4362">
        <w:t xml:space="preserve">A supplier must calculate compliance </w:t>
      </w:r>
      <w:r w:rsidRPr="003B4362">
        <w:t xml:space="preserve">with </w:t>
      </w:r>
      <w:r w:rsidR="00A87B3E" w:rsidRPr="003B4362">
        <w:t xml:space="preserve">these </w:t>
      </w:r>
      <w:r w:rsidRPr="003B4362">
        <w:t xml:space="preserve">State-only MCLs in subsections (a) and (b) </w:t>
      </w:r>
      <w:r w:rsidR="002257A9" w:rsidRPr="003B4362">
        <w:t xml:space="preserve">under </w:t>
      </w:r>
      <w:r w:rsidRPr="003B4362">
        <w:t>Subpart 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160"/>
      </w:tblGrid>
      <w:tr w:rsidR="001628C1" w:rsidRPr="003B4362" w14:paraId="53237CF1" w14:textId="77777777">
        <w:trPr>
          <w:cantSplit/>
        </w:trPr>
        <w:tc>
          <w:tcPr>
            <w:tcW w:w="4320" w:type="dxa"/>
            <w:tcBorders>
              <w:top w:val="nil"/>
              <w:left w:val="nil"/>
              <w:bottom w:val="nil"/>
              <w:right w:val="nil"/>
            </w:tcBorders>
            <w:vAlign w:val="bottom"/>
          </w:tcPr>
          <w:p w14:paraId="436737AA" w14:textId="77777777" w:rsidR="00C24354" w:rsidRPr="003B4362" w:rsidRDefault="00C24354">
            <w:r w:rsidRPr="003B4362">
              <w:t>Contaminant</w:t>
            </w:r>
          </w:p>
        </w:tc>
        <w:tc>
          <w:tcPr>
            <w:tcW w:w="2160" w:type="dxa"/>
            <w:tcBorders>
              <w:top w:val="nil"/>
              <w:left w:val="nil"/>
              <w:bottom w:val="nil"/>
              <w:right w:val="nil"/>
            </w:tcBorders>
            <w:vAlign w:val="bottom"/>
          </w:tcPr>
          <w:p w14:paraId="69CF5CAE" w14:textId="40E6B454" w:rsidR="00C24354" w:rsidRPr="003B4362" w:rsidRDefault="00C24354">
            <w:r w:rsidRPr="003B4362">
              <w:t>MCL (mg/</w:t>
            </w:r>
            <w:r w:rsidR="00F560FD" w:rsidRPr="003B4362">
              <w:t xml:space="preserve"> L</w:t>
            </w:r>
            <w:r w:rsidRPr="003B4362">
              <w:t>)</w:t>
            </w:r>
          </w:p>
        </w:tc>
      </w:tr>
      <w:tr w:rsidR="001628C1" w:rsidRPr="003B4362" w14:paraId="40F131FB" w14:textId="77777777">
        <w:trPr>
          <w:cantSplit/>
        </w:trPr>
        <w:tc>
          <w:tcPr>
            <w:tcW w:w="4320" w:type="dxa"/>
            <w:tcBorders>
              <w:top w:val="nil"/>
              <w:left w:val="nil"/>
              <w:bottom w:val="nil"/>
              <w:right w:val="nil"/>
            </w:tcBorders>
          </w:tcPr>
          <w:p w14:paraId="137CFB73" w14:textId="77777777" w:rsidR="00C24354" w:rsidRPr="003B4362" w:rsidRDefault="00C24354">
            <w:r w:rsidRPr="003B4362">
              <w:t>Aldrin</w:t>
            </w:r>
          </w:p>
        </w:tc>
        <w:tc>
          <w:tcPr>
            <w:tcW w:w="2160" w:type="dxa"/>
            <w:tcBorders>
              <w:top w:val="nil"/>
              <w:left w:val="nil"/>
              <w:bottom w:val="nil"/>
              <w:right w:val="nil"/>
            </w:tcBorders>
          </w:tcPr>
          <w:p w14:paraId="3CC732B6" w14:textId="77777777" w:rsidR="00C24354" w:rsidRPr="003B4362" w:rsidRDefault="00C24354">
            <w:r w:rsidRPr="003B4362">
              <w:t>0.001</w:t>
            </w:r>
          </w:p>
        </w:tc>
      </w:tr>
      <w:tr w:rsidR="001628C1" w:rsidRPr="003B4362" w14:paraId="6E35D480" w14:textId="77777777">
        <w:trPr>
          <w:cantSplit/>
        </w:trPr>
        <w:tc>
          <w:tcPr>
            <w:tcW w:w="4320" w:type="dxa"/>
            <w:tcBorders>
              <w:top w:val="nil"/>
              <w:left w:val="nil"/>
              <w:bottom w:val="nil"/>
              <w:right w:val="nil"/>
            </w:tcBorders>
          </w:tcPr>
          <w:p w14:paraId="00173710" w14:textId="77777777" w:rsidR="00C24354" w:rsidRPr="003B4362" w:rsidRDefault="00C24354">
            <w:r w:rsidRPr="003B4362">
              <w:t>DDT</w:t>
            </w:r>
          </w:p>
        </w:tc>
        <w:tc>
          <w:tcPr>
            <w:tcW w:w="2160" w:type="dxa"/>
            <w:tcBorders>
              <w:top w:val="nil"/>
              <w:left w:val="nil"/>
              <w:bottom w:val="nil"/>
              <w:right w:val="nil"/>
            </w:tcBorders>
          </w:tcPr>
          <w:p w14:paraId="15A8223A" w14:textId="77777777" w:rsidR="00C24354" w:rsidRPr="003B4362" w:rsidRDefault="00C24354">
            <w:r w:rsidRPr="003B4362">
              <w:t>0.05</w:t>
            </w:r>
          </w:p>
        </w:tc>
      </w:tr>
      <w:tr w:rsidR="001628C1" w:rsidRPr="003B4362" w14:paraId="5F790A17" w14:textId="77777777">
        <w:trPr>
          <w:cantSplit/>
        </w:trPr>
        <w:tc>
          <w:tcPr>
            <w:tcW w:w="4320" w:type="dxa"/>
            <w:tcBorders>
              <w:top w:val="nil"/>
              <w:left w:val="nil"/>
              <w:bottom w:val="nil"/>
              <w:right w:val="nil"/>
            </w:tcBorders>
          </w:tcPr>
          <w:p w14:paraId="22261A4C" w14:textId="77777777" w:rsidR="00C24354" w:rsidRPr="003B4362" w:rsidRDefault="00C24354">
            <w:r w:rsidRPr="003B4362">
              <w:t>Dieldrin</w:t>
            </w:r>
          </w:p>
        </w:tc>
        <w:tc>
          <w:tcPr>
            <w:tcW w:w="2160" w:type="dxa"/>
            <w:tcBorders>
              <w:top w:val="nil"/>
              <w:left w:val="nil"/>
              <w:bottom w:val="nil"/>
              <w:right w:val="nil"/>
            </w:tcBorders>
          </w:tcPr>
          <w:p w14:paraId="2ACB9753" w14:textId="77777777" w:rsidR="00C24354" w:rsidRPr="003B4362" w:rsidRDefault="00C24354">
            <w:r w:rsidRPr="003B4362">
              <w:t>0.001</w:t>
            </w:r>
          </w:p>
        </w:tc>
      </w:tr>
      <w:tr w:rsidR="001628C1" w:rsidRPr="003B4362" w14:paraId="1DC6EBC5" w14:textId="77777777">
        <w:trPr>
          <w:cantSplit/>
        </w:trPr>
        <w:tc>
          <w:tcPr>
            <w:tcW w:w="4320" w:type="dxa"/>
            <w:tcBorders>
              <w:top w:val="nil"/>
              <w:left w:val="nil"/>
              <w:bottom w:val="nil"/>
              <w:right w:val="nil"/>
            </w:tcBorders>
          </w:tcPr>
          <w:p w14:paraId="41850460" w14:textId="77777777" w:rsidR="00C24354" w:rsidRPr="003B4362" w:rsidRDefault="00C24354">
            <w:r w:rsidRPr="003B4362">
              <w:t>Heptachlor</w:t>
            </w:r>
          </w:p>
        </w:tc>
        <w:tc>
          <w:tcPr>
            <w:tcW w:w="2160" w:type="dxa"/>
            <w:tcBorders>
              <w:top w:val="nil"/>
              <w:left w:val="nil"/>
              <w:bottom w:val="nil"/>
              <w:right w:val="nil"/>
            </w:tcBorders>
          </w:tcPr>
          <w:p w14:paraId="27059F8F" w14:textId="77777777" w:rsidR="00C24354" w:rsidRPr="003B4362" w:rsidRDefault="00C24354">
            <w:r w:rsidRPr="003B4362">
              <w:t>0.0001</w:t>
            </w:r>
          </w:p>
        </w:tc>
      </w:tr>
      <w:tr w:rsidR="001628C1" w:rsidRPr="003B4362" w14:paraId="72928DAC" w14:textId="77777777">
        <w:trPr>
          <w:cantSplit/>
        </w:trPr>
        <w:tc>
          <w:tcPr>
            <w:tcW w:w="4320" w:type="dxa"/>
            <w:tcBorders>
              <w:top w:val="nil"/>
              <w:left w:val="nil"/>
              <w:bottom w:val="nil"/>
              <w:right w:val="nil"/>
            </w:tcBorders>
          </w:tcPr>
          <w:p w14:paraId="734FAE98" w14:textId="77777777" w:rsidR="00C24354" w:rsidRPr="003B4362" w:rsidRDefault="00C24354">
            <w:r w:rsidRPr="003B4362">
              <w:t>Heptachlor epoxide</w:t>
            </w:r>
          </w:p>
        </w:tc>
        <w:tc>
          <w:tcPr>
            <w:tcW w:w="2160" w:type="dxa"/>
            <w:tcBorders>
              <w:top w:val="nil"/>
              <w:left w:val="nil"/>
              <w:bottom w:val="nil"/>
              <w:right w:val="nil"/>
            </w:tcBorders>
          </w:tcPr>
          <w:p w14:paraId="52E9E8BD" w14:textId="77777777" w:rsidR="00C24354" w:rsidRPr="003B4362" w:rsidRDefault="00C24354">
            <w:r w:rsidRPr="003B4362">
              <w:t>0.0001</w:t>
            </w:r>
          </w:p>
        </w:tc>
      </w:tr>
      <w:tr w:rsidR="001628C1" w:rsidRPr="003B4362" w14:paraId="57BC860B" w14:textId="77777777">
        <w:trPr>
          <w:cantSplit/>
        </w:trPr>
        <w:tc>
          <w:tcPr>
            <w:tcW w:w="4320" w:type="dxa"/>
            <w:tcBorders>
              <w:top w:val="nil"/>
              <w:left w:val="nil"/>
              <w:bottom w:val="nil"/>
              <w:right w:val="nil"/>
            </w:tcBorders>
          </w:tcPr>
          <w:p w14:paraId="7B51F8B7" w14:textId="77777777" w:rsidR="00C24354" w:rsidRPr="003B4362" w:rsidRDefault="00C24354">
            <w:r w:rsidRPr="003B4362">
              <w:t>2,4-D</w:t>
            </w:r>
          </w:p>
        </w:tc>
        <w:tc>
          <w:tcPr>
            <w:tcW w:w="2160" w:type="dxa"/>
            <w:tcBorders>
              <w:top w:val="nil"/>
              <w:left w:val="nil"/>
              <w:bottom w:val="nil"/>
              <w:right w:val="nil"/>
            </w:tcBorders>
          </w:tcPr>
          <w:p w14:paraId="12BF80CA" w14:textId="77777777" w:rsidR="00C24354" w:rsidRPr="003B4362" w:rsidRDefault="00C24354">
            <w:r w:rsidRPr="003B4362">
              <w:t>0.01</w:t>
            </w:r>
          </w:p>
        </w:tc>
      </w:tr>
    </w:tbl>
    <w:p w14:paraId="766F4AD4" w14:textId="21D884EA" w:rsidR="00C24354" w:rsidRPr="003B4362" w:rsidRDefault="00C24354" w:rsidP="00EE0CDE">
      <w:pPr>
        <w:spacing w:before="240"/>
      </w:pPr>
      <w:r w:rsidRPr="003B4362">
        <w:t xml:space="preserve">BOARD NOTE:  </w:t>
      </w:r>
      <w:r w:rsidR="0021011C" w:rsidRPr="003B4362">
        <w:t xml:space="preserve">This Section originally </w:t>
      </w:r>
      <w:r w:rsidRPr="003B4362">
        <w:t>derived from 40 CFR 141.12 (1992)</w:t>
      </w:r>
      <w:r w:rsidR="0021011C" w:rsidRPr="003B4362">
        <w:t xml:space="preserve">. </w:t>
      </w:r>
      <w:r w:rsidRPr="003B4362">
        <w:t xml:space="preserve"> USEPA removed the last </w:t>
      </w:r>
      <w:r w:rsidR="007A7587" w:rsidRPr="003B4362">
        <w:t xml:space="preserve">entries from </w:t>
      </w:r>
      <w:r w:rsidRPr="003B4362">
        <w:t xml:space="preserve">subsections (a) and (b) and marked them reserved at 57 Fed. Reg. 31838 (July 17, 1992).  USEPA </w:t>
      </w:r>
      <w:r w:rsidR="007A7587" w:rsidRPr="003B4362">
        <w:t xml:space="preserve">entirely </w:t>
      </w:r>
      <w:r w:rsidRPr="003B4362">
        <w:t xml:space="preserve">removed 40 CFR 141.12 and marked it “reserved” at 71 Fed. Reg. 388 (Jan. 4, 2006).  </w:t>
      </w:r>
      <w:r w:rsidR="00EE3224" w:rsidRPr="003B4362">
        <w:t xml:space="preserve">USEPA’s </w:t>
      </w:r>
      <w:r w:rsidRPr="003B4362">
        <w:t xml:space="preserve">organic </w:t>
      </w:r>
      <w:r w:rsidR="00A87B3E" w:rsidRPr="003B4362">
        <w:t xml:space="preserve">chemical </w:t>
      </w:r>
      <w:r w:rsidRPr="003B4362">
        <w:t xml:space="preserve">MCLs </w:t>
      </w:r>
      <w:r w:rsidR="00A87B3E" w:rsidRPr="003B4362">
        <w:t xml:space="preserve">are </w:t>
      </w:r>
      <w:r w:rsidR="00EE3224" w:rsidRPr="003B4362">
        <w:t xml:space="preserve">now </w:t>
      </w:r>
      <w:r w:rsidRPr="003B4362">
        <w:t>at 40 CFR 141.61</w:t>
      </w:r>
      <w:r w:rsidR="00A87B3E" w:rsidRPr="003B4362">
        <w:t>, which corresponds with Section 611.311</w:t>
      </w:r>
      <w:r w:rsidRPr="003B4362">
        <w:t xml:space="preserve">.  </w:t>
      </w:r>
      <w:r w:rsidR="00EE3224" w:rsidRPr="003B4362">
        <w:t xml:space="preserve">Different MCLs for heptachlor, </w:t>
      </w:r>
      <w:r w:rsidRPr="003B4362">
        <w:t xml:space="preserve">heptachlor epoxide, and 2,4-D appear in both this Section and Section 611.311.  The heptachlor, heptachlor epoxide, and 2,4-D MCLs in this Section are Illinois limitations that are more stringent than the federal requirements.  However, detection of these contaminants or violation of </w:t>
      </w:r>
      <w:r w:rsidR="00EE3224" w:rsidRPr="003B4362">
        <w:t xml:space="preserve">the </w:t>
      </w:r>
      <w:r w:rsidRPr="003B4362">
        <w:t xml:space="preserve">federally-derived </w:t>
      </w:r>
      <w:r w:rsidR="00EE3224" w:rsidRPr="003B4362">
        <w:t xml:space="preserve">revised MCLs in </w:t>
      </w:r>
      <w:r w:rsidRPr="003B4362">
        <w:t>Section 611.311 imposes more stringent monitoring, reporting, and notice requirements.</w:t>
      </w:r>
    </w:p>
    <w:p w14:paraId="2696AA5E" w14:textId="10870E43" w:rsidR="00C24354" w:rsidRPr="003B4362" w:rsidRDefault="00C24354" w:rsidP="00EE0CDE">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0F016F49" w14:textId="77777777" w:rsidR="00F829FE" w:rsidRPr="003B4362" w:rsidRDefault="00F829FE" w:rsidP="00F829FE">
      <w:pPr>
        <w:rPr>
          <w:b/>
          <w:bCs/>
        </w:rPr>
      </w:pPr>
    </w:p>
    <w:p w14:paraId="1E9CF18D" w14:textId="2FBA093E" w:rsidR="000759F5" w:rsidRPr="003B4362" w:rsidRDefault="000759F5" w:rsidP="00F829FE">
      <w:pPr>
        <w:rPr>
          <w:b/>
          <w:bCs/>
        </w:rPr>
      </w:pPr>
      <w:r w:rsidRPr="003B4362">
        <w:rPr>
          <w:b/>
          <w:bCs/>
        </w:rPr>
        <w:t>Section 611.311  Revised MCLs for Organic Chemical Contaminants</w:t>
      </w:r>
    </w:p>
    <w:p w14:paraId="05EB7E40" w14:textId="7F0CCA50" w:rsidR="000759F5" w:rsidRPr="003B4362" w:rsidRDefault="000759F5" w:rsidP="000759F5">
      <w:pPr>
        <w:suppressAutoHyphens/>
        <w:spacing w:before="240" w:after="240"/>
        <w:ind w:left="1440" w:hanging="720"/>
      </w:pPr>
      <w:r w:rsidRPr="003B4362">
        <w:t>a)</w:t>
      </w:r>
      <w:r w:rsidRPr="003B4362">
        <w:tab/>
        <w:t>Volatile Organic Chemical Contaminants.  The MCLs for VOCs apply to CWS suppliers and NTNCWS suppliers:</w:t>
      </w:r>
    </w:p>
    <w:tbl>
      <w:tblPr>
        <w:tblW w:w="7416" w:type="dxa"/>
        <w:tblInd w:w="2160" w:type="dxa"/>
        <w:tblLayout w:type="fixed"/>
        <w:tblCellMar>
          <w:left w:w="0" w:type="dxa"/>
          <w:right w:w="115" w:type="dxa"/>
        </w:tblCellMar>
        <w:tblLook w:val="0000" w:firstRow="0" w:lastRow="0" w:firstColumn="0" w:lastColumn="0" w:noHBand="0" w:noVBand="0"/>
      </w:tblPr>
      <w:tblGrid>
        <w:gridCol w:w="1336"/>
        <w:gridCol w:w="4464"/>
        <w:gridCol w:w="1616"/>
      </w:tblGrid>
      <w:tr w:rsidR="001628C1" w:rsidRPr="003B4362" w14:paraId="5F0E9E6C" w14:textId="77777777" w:rsidTr="008C0979">
        <w:tc>
          <w:tcPr>
            <w:tcW w:w="1336" w:type="dxa"/>
          </w:tcPr>
          <w:p w14:paraId="3657106D" w14:textId="77777777" w:rsidR="000759F5" w:rsidRPr="003B4362" w:rsidRDefault="000759F5" w:rsidP="008C0979">
            <w:pPr>
              <w:suppressAutoHyphens/>
              <w:spacing w:after="240"/>
            </w:pPr>
            <w:r w:rsidRPr="003B4362">
              <w:lastRenderedPageBreak/>
              <w:t>CAS No.</w:t>
            </w:r>
          </w:p>
        </w:tc>
        <w:tc>
          <w:tcPr>
            <w:tcW w:w="4464" w:type="dxa"/>
          </w:tcPr>
          <w:p w14:paraId="451E01C2" w14:textId="77777777" w:rsidR="000759F5" w:rsidRPr="003B4362" w:rsidRDefault="000759F5" w:rsidP="008C0979">
            <w:pPr>
              <w:suppressAutoHyphens/>
              <w:spacing w:after="240"/>
            </w:pPr>
            <w:r w:rsidRPr="003B4362">
              <w:t>Contaminant</w:t>
            </w:r>
          </w:p>
        </w:tc>
        <w:tc>
          <w:tcPr>
            <w:tcW w:w="1616" w:type="dxa"/>
          </w:tcPr>
          <w:p w14:paraId="2B36595A" w14:textId="28BA66FC" w:rsidR="000759F5" w:rsidRPr="003B4362" w:rsidRDefault="000759F5" w:rsidP="008C0979">
            <w:pPr>
              <w:suppressAutoHyphens/>
              <w:spacing w:after="240"/>
            </w:pPr>
            <w:r w:rsidRPr="003B4362">
              <w:t>MCL (mg/</w:t>
            </w:r>
            <w:r w:rsidR="00F560FD" w:rsidRPr="003B4362">
              <w:t xml:space="preserve"> L</w:t>
            </w:r>
            <w:r w:rsidRPr="003B4362">
              <w:t>)</w:t>
            </w:r>
          </w:p>
        </w:tc>
      </w:tr>
      <w:tr w:rsidR="001628C1" w:rsidRPr="003B4362" w14:paraId="27FF3EF9" w14:textId="77777777" w:rsidTr="008C0979">
        <w:tc>
          <w:tcPr>
            <w:tcW w:w="1336" w:type="dxa"/>
          </w:tcPr>
          <w:p w14:paraId="4EE06F13" w14:textId="77777777" w:rsidR="000759F5" w:rsidRPr="003B4362" w:rsidRDefault="000759F5" w:rsidP="008C0979">
            <w:pPr>
              <w:suppressAutoHyphens/>
            </w:pPr>
            <w:r w:rsidRPr="003B4362">
              <w:t>71-43-2</w:t>
            </w:r>
          </w:p>
        </w:tc>
        <w:tc>
          <w:tcPr>
            <w:tcW w:w="4464" w:type="dxa"/>
          </w:tcPr>
          <w:p w14:paraId="1311FD94" w14:textId="77777777" w:rsidR="000759F5" w:rsidRPr="003B4362" w:rsidRDefault="000759F5" w:rsidP="008C0979">
            <w:pPr>
              <w:suppressAutoHyphens/>
            </w:pPr>
            <w:r w:rsidRPr="003B4362">
              <w:t>Benzene</w:t>
            </w:r>
          </w:p>
        </w:tc>
        <w:tc>
          <w:tcPr>
            <w:tcW w:w="1616" w:type="dxa"/>
          </w:tcPr>
          <w:p w14:paraId="3439C9CB" w14:textId="77777777" w:rsidR="000759F5" w:rsidRPr="003B4362" w:rsidRDefault="000759F5" w:rsidP="008C0979">
            <w:pPr>
              <w:suppressAutoHyphens/>
            </w:pPr>
            <w:r w:rsidRPr="003B4362">
              <w:t>0.005</w:t>
            </w:r>
          </w:p>
        </w:tc>
      </w:tr>
      <w:tr w:rsidR="001628C1" w:rsidRPr="003B4362" w14:paraId="292026F7" w14:textId="77777777" w:rsidTr="008C0979">
        <w:tc>
          <w:tcPr>
            <w:tcW w:w="1336" w:type="dxa"/>
          </w:tcPr>
          <w:p w14:paraId="061FA237" w14:textId="77777777" w:rsidR="000759F5" w:rsidRPr="003B4362" w:rsidRDefault="000759F5" w:rsidP="008C0979">
            <w:pPr>
              <w:suppressAutoHyphens/>
            </w:pPr>
            <w:r w:rsidRPr="003B4362">
              <w:t>56-23-5</w:t>
            </w:r>
          </w:p>
        </w:tc>
        <w:tc>
          <w:tcPr>
            <w:tcW w:w="4464" w:type="dxa"/>
          </w:tcPr>
          <w:p w14:paraId="069EBD99" w14:textId="77777777" w:rsidR="000759F5" w:rsidRPr="003B4362" w:rsidRDefault="000759F5" w:rsidP="008C0979">
            <w:pPr>
              <w:suppressAutoHyphens/>
            </w:pPr>
            <w:r w:rsidRPr="003B4362">
              <w:t>Carbon tetrachloride</w:t>
            </w:r>
          </w:p>
        </w:tc>
        <w:tc>
          <w:tcPr>
            <w:tcW w:w="1616" w:type="dxa"/>
          </w:tcPr>
          <w:p w14:paraId="12DC511B" w14:textId="77777777" w:rsidR="000759F5" w:rsidRPr="003B4362" w:rsidRDefault="000759F5" w:rsidP="008C0979">
            <w:pPr>
              <w:suppressAutoHyphens/>
            </w:pPr>
            <w:r w:rsidRPr="003B4362">
              <w:t>0.005</w:t>
            </w:r>
          </w:p>
        </w:tc>
      </w:tr>
      <w:tr w:rsidR="001628C1" w:rsidRPr="003B4362" w14:paraId="546E1A19" w14:textId="77777777" w:rsidTr="008C0979">
        <w:tc>
          <w:tcPr>
            <w:tcW w:w="1336" w:type="dxa"/>
          </w:tcPr>
          <w:p w14:paraId="5183A75F" w14:textId="77777777" w:rsidR="000759F5" w:rsidRPr="003B4362" w:rsidRDefault="000759F5" w:rsidP="008C0979">
            <w:pPr>
              <w:suppressAutoHyphens/>
            </w:pPr>
            <w:r w:rsidRPr="003B4362">
              <w:t>95-50-1</w:t>
            </w:r>
          </w:p>
        </w:tc>
        <w:tc>
          <w:tcPr>
            <w:tcW w:w="4464" w:type="dxa"/>
          </w:tcPr>
          <w:p w14:paraId="42B8D8F4" w14:textId="77777777" w:rsidR="000759F5" w:rsidRPr="003B4362" w:rsidRDefault="000759F5" w:rsidP="008C0979">
            <w:pPr>
              <w:suppressAutoHyphens/>
            </w:pPr>
            <w:r w:rsidRPr="003B4362">
              <w:t>o-Dichlorobenzene</w:t>
            </w:r>
          </w:p>
        </w:tc>
        <w:tc>
          <w:tcPr>
            <w:tcW w:w="1616" w:type="dxa"/>
          </w:tcPr>
          <w:p w14:paraId="4867E2A1" w14:textId="77777777" w:rsidR="000759F5" w:rsidRPr="003B4362" w:rsidRDefault="000759F5" w:rsidP="008C0979">
            <w:pPr>
              <w:suppressAutoHyphens/>
            </w:pPr>
            <w:r w:rsidRPr="003B4362">
              <w:t>0.6</w:t>
            </w:r>
          </w:p>
        </w:tc>
      </w:tr>
      <w:tr w:rsidR="001628C1" w:rsidRPr="003B4362" w14:paraId="6B417AB0" w14:textId="77777777" w:rsidTr="008C0979">
        <w:tc>
          <w:tcPr>
            <w:tcW w:w="1336" w:type="dxa"/>
          </w:tcPr>
          <w:p w14:paraId="1EEC023B" w14:textId="77777777" w:rsidR="000759F5" w:rsidRPr="003B4362" w:rsidRDefault="000759F5" w:rsidP="008C0979">
            <w:pPr>
              <w:suppressAutoHyphens/>
            </w:pPr>
            <w:r w:rsidRPr="003B4362">
              <w:t>106-46-7</w:t>
            </w:r>
          </w:p>
        </w:tc>
        <w:tc>
          <w:tcPr>
            <w:tcW w:w="4464" w:type="dxa"/>
          </w:tcPr>
          <w:p w14:paraId="5F1E6068" w14:textId="77777777" w:rsidR="000759F5" w:rsidRPr="003B4362" w:rsidRDefault="000759F5" w:rsidP="008C0979">
            <w:pPr>
              <w:suppressAutoHyphens/>
            </w:pPr>
            <w:r w:rsidRPr="003B4362">
              <w:t>p-Dichlorobenzene</w:t>
            </w:r>
          </w:p>
        </w:tc>
        <w:tc>
          <w:tcPr>
            <w:tcW w:w="1616" w:type="dxa"/>
          </w:tcPr>
          <w:p w14:paraId="2B6560DB" w14:textId="77777777" w:rsidR="000759F5" w:rsidRPr="003B4362" w:rsidRDefault="000759F5" w:rsidP="008C0979">
            <w:pPr>
              <w:suppressAutoHyphens/>
            </w:pPr>
            <w:r w:rsidRPr="003B4362">
              <w:t>0.075</w:t>
            </w:r>
          </w:p>
        </w:tc>
      </w:tr>
      <w:tr w:rsidR="001628C1" w:rsidRPr="003B4362" w14:paraId="67D7F593" w14:textId="77777777" w:rsidTr="008C0979">
        <w:tc>
          <w:tcPr>
            <w:tcW w:w="1336" w:type="dxa"/>
          </w:tcPr>
          <w:p w14:paraId="4A0C9691" w14:textId="77777777" w:rsidR="000759F5" w:rsidRPr="003B4362" w:rsidRDefault="000759F5" w:rsidP="008C0979">
            <w:pPr>
              <w:suppressAutoHyphens/>
            </w:pPr>
            <w:r w:rsidRPr="003B4362">
              <w:t>107-06-2</w:t>
            </w:r>
          </w:p>
        </w:tc>
        <w:tc>
          <w:tcPr>
            <w:tcW w:w="4464" w:type="dxa"/>
          </w:tcPr>
          <w:p w14:paraId="5FF9106A" w14:textId="77777777" w:rsidR="000759F5" w:rsidRPr="003B4362" w:rsidRDefault="000759F5" w:rsidP="008C0979">
            <w:pPr>
              <w:suppressAutoHyphens/>
            </w:pPr>
            <w:r w:rsidRPr="003B4362">
              <w:t>1,2-Dichloroethane</w:t>
            </w:r>
          </w:p>
        </w:tc>
        <w:tc>
          <w:tcPr>
            <w:tcW w:w="1616" w:type="dxa"/>
          </w:tcPr>
          <w:p w14:paraId="70F7A73E" w14:textId="77777777" w:rsidR="000759F5" w:rsidRPr="003B4362" w:rsidRDefault="000759F5" w:rsidP="008C0979">
            <w:pPr>
              <w:suppressAutoHyphens/>
            </w:pPr>
            <w:r w:rsidRPr="003B4362">
              <w:t>0.005</w:t>
            </w:r>
          </w:p>
        </w:tc>
      </w:tr>
      <w:tr w:rsidR="001628C1" w:rsidRPr="003B4362" w14:paraId="45CC6304" w14:textId="77777777" w:rsidTr="008C0979">
        <w:tc>
          <w:tcPr>
            <w:tcW w:w="1336" w:type="dxa"/>
          </w:tcPr>
          <w:p w14:paraId="62F4F293" w14:textId="77777777" w:rsidR="000759F5" w:rsidRPr="003B4362" w:rsidRDefault="000759F5" w:rsidP="008C0979">
            <w:pPr>
              <w:suppressAutoHyphens/>
            </w:pPr>
            <w:r w:rsidRPr="003B4362">
              <w:t>75-35-4</w:t>
            </w:r>
          </w:p>
        </w:tc>
        <w:tc>
          <w:tcPr>
            <w:tcW w:w="4464" w:type="dxa"/>
          </w:tcPr>
          <w:p w14:paraId="6A0ADA00" w14:textId="77777777" w:rsidR="000759F5" w:rsidRPr="003B4362" w:rsidRDefault="000759F5" w:rsidP="008C0979">
            <w:pPr>
              <w:suppressAutoHyphens/>
            </w:pPr>
            <w:r w:rsidRPr="003B4362">
              <w:t>1,1-Dichloroethylene</w:t>
            </w:r>
          </w:p>
        </w:tc>
        <w:tc>
          <w:tcPr>
            <w:tcW w:w="1616" w:type="dxa"/>
          </w:tcPr>
          <w:p w14:paraId="3D5A21B8" w14:textId="77777777" w:rsidR="000759F5" w:rsidRPr="003B4362" w:rsidRDefault="000759F5" w:rsidP="008C0979">
            <w:pPr>
              <w:suppressAutoHyphens/>
            </w:pPr>
            <w:r w:rsidRPr="003B4362">
              <w:t>0.007</w:t>
            </w:r>
          </w:p>
        </w:tc>
      </w:tr>
      <w:tr w:rsidR="001628C1" w:rsidRPr="003B4362" w14:paraId="02311FCF" w14:textId="77777777" w:rsidTr="008C0979">
        <w:tc>
          <w:tcPr>
            <w:tcW w:w="1336" w:type="dxa"/>
          </w:tcPr>
          <w:p w14:paraId="4CFF5BC1" w14:textId="77777777" w:rsidR="000759F5" w:rsidRPr="003B4362" w:rsidRDefault="000759F5" w:rsidP="008C0979">
            <w:pPr>
              <w:suppressAutoHyphens/>
            </w:pPr>
            <w:r w:rsidRPr="003B4362">
              <w:t>156-59-2</w:t>
            </w:r>
          </w:p>
        </w:tc>
        <w:tc>
          <w:tcPr>
            <w:tcW w:w="4464" w:type="dxa"/>
          </w:tcPr>
          <w:p w14:paraId="7B6FEA01" w14:textId="77777777" w:rsidR="000759F5" w:rsidRPr="003B4362" w:rsidRDefault="000759F5" w:rsidP="008C0979">
            <w:pPr>
              <w:suppressAutoHyphens/>
            </w:pPr>
            <w:r w:rsidRPr="003B4362">
              <w:t>cis-1,2-Dichloroethylene</w:t>
            </w:r>
          </w:p>
        </w:tc>
        <w:tc>
          <w:tcPr>
            <w:tcW w:w="1616" w:type="dxa"/>
          </w:tcPr>
          <w:p w14:paraId="0F7121FA" w14:textId="77777777" w:rsidR="000759F5" w:rsidRPr="003B4362" w:rsidRDefault="000759F5" w:rsidP="008C0979">
            <w:pPr>
              <w:suppressAutoHyphens/>
            </w:pPr>
            <w:r w:rsidRPr="003B4362">
              <w:t>0.07</w:t>
            </w:r>
          </w:p>
        </w:tc>
      </w:tr>
      <w:tr w:rsidR="001628C1" w:rsidRPr="003B4362" w14:paraId="4D634F24" w14:textId="77777777" w:rsidTr="008C0979">
        <w:tc>
          <w:tcPr>
            <w:tcW w:w="1336" w:type="dxa"/>
          </w:tcPr>
          <w:p w14:paraId="319DED37" w14:textId="77777777" w:rsidR="000759F5" w:rsidRPr="003B4362" w:rsidRDefault="000759F5" w:rsidP="008C0979">
            <w:pPr>
              <w:suppressAutoHyphens/>
            </w:pPr>
            <w:r w:rsidRPr="003B4362">
              <w:t>156-60-5</w:t>
            </w:r>
          </w:p>
        </w:tc>
        <w:tc>
          <w:tcPr>
            <w:tcW w:w="4464" w:type="dxa"/>
          </w:tcPr>
          <w:p w14:paraId="12A2267C" w14:textId="77777777" w:rsidR="000759F5" w:rsidRPr="003B4362" w:rsidRDefault="000759F5" w:rsidP="008C0979">
            <w:pPr>
              <w:suppressAutoHyphens/>
            </w:pPr>
            <w:r w:rsidRPr="003B4362">
              <w:t>trans-1,2-Dichloroethylene</w:t>
            </w:r>
          </w:p>
        </w:tc>
        <w:tc>
          <w:tcPr>
            <w:tcW w:w="1616" w:type="dxa"/>
          </w:tcPr>
          <w:p w14:paraId="71AB22CF" w14:textId="77777777" w:rsidR="000759F5" w:rsidRPr="003B4362" w:rsidRDefault="000759F5" w:rsidP="008C0979">
            <w:pPr>
              <w:suppressAutoHyphens/>
            </w:pPr>
            <w:r w:rsidRPr="003B4362">
              <w:t>0.1</w:t>
            </w:r>
          </w:p>
        </w:tc>
      </w:tr>
      <w:tr w:rsidR="001628C1" w:rsidRPr="003B4362" w14:paraId="7A7F73DC" w14:textId="77777777" w:rsidTr="008C0979">
        <w:tc>
          <w:tcPr>
            <w:tcW w:w="1336" w:type="dxa"/>
          </w:tcPr>
          <w:p w14:paraId="75E0004D" w14:textId="77777777" w:rsidR="000759F5" w:rsidRPr="003B4362" w:rsidRDefault="000759F5" w:rsidP="008C0979">
            <w:pPr>
              <w:suppressAutoHyphens/>
            </w:pPr>
            <w:r w:rsidRPr="003B4362">
              <w:t>75-09-2</w:t>
            </w:r>
          </w:p>
        </w:tc>
        <w:tc>
          <w:tcPr>
            <w:tcW w:w="4464" w:type="dxa"/>
          </w:tcPr>
          <w:p w14:paraId="2D787D37" w14:textId="77777777" w:rsidR="000759F5" w:rsidRPr="003B4362" w:rsidRDefault="000759F5" w:rsidP="008C0979">
            <w:pPr>
              <w:suppressAutoHyphens/>
            </w:pPr>
            <w:r w:rsidRPr="003B4362">
              <w:t>Dichloromethane (methylene chloride)</w:t>
            </w:r>
          </w:p>
        </w:tc>
        <w:tc>
          <w:tcPr>
            <w:tcW w:w="1616" w:type="dxa"/>
          </w:tcPr>
          <w:p w14:paraId="0268688C" w14:textId="77777777" w:rsidR="000759F5" w:rsidRPr="003B4362" w:rsidRDefault="000759F5" w:rsidP="008C0979">
            <w:pPr>
              <w:suppressAutoHyphens/>
            </w:pPr>
            <w:r w:rsidRPr="003B4362">
              <w:t>0.005</w:t>
            </w:r>
          </w:p>
        </w:tc>
      </w:tr>
      <w:tr w:rsidR="001628C1" w:rsidRPr="003B4362" w14:paraId="5475BE2A" w14:textId="77777777" w:rsidTr="008C0979">
        <w:tc>
          <w:tcPr>
            <w:tcW w:w="1336" w:type="dxa"/>
          </w:tcPr>
          <w:p w14:paraId="068CB730" w14:textId="77777777" w:rsidR="000759F5" w:rsidRPr="003B4362" w:rsidRDefault="000759F5" w:rsidP="008C0979">
            <w:pPr>
              <w:suppressAutoHyphens/>
            </w:pPr>
            <w:r w:rsidRPr="003B4362">
              <w:t>78-87-5</w:t>
            </w:r>
          </w:p>
        </w:tc>
        <w:tc>
          <w:tcPr>
            <w:tcW w:w="4464" w:type="dxa"/>
          </w:tcPr>
          <w:p w14:paraId="5F5C6502" w14:textId="77777777" w:rsidR="000759F5" w:rsidRPr="003B4362" w:rsidRDefault="000759F5" w:rsidP="008C0979">
            <w:pPr>
              <w:suppressAutoHyphens/>
            </w:pPr>
            <w:r w:rsidRPr="003B4362">
              <w:t>1,2-Dichloropropane</w:t>
            </w:r>
          </w:p>
        </w:tc>
        <w:tc>
          <w:tcPr>
            <w:tcW w:w="1616" w:type="dxa"/>
          </w:tcPr>
          <w:p w14:paraId="769BDCE2" w14:textId="77777777" w:rsidR="000759F5" w:rsidRPr="003B4362" w:rsidRDefault="000759F5" w:rsidP="008C0979">
            <w:pPr>
              <w:suppressAutoHyphens/>
            </w:pPr>
            <w:r w:rsidRPr="003B4362">
              <w:t>0.005</w:t>
            </w:r>
          </w:p>
        </w:tc>
      </w:tr>
      <w:tr w:rsidR="001628C1" w:rsidRPr="003B4362" w14:paraId="0B27E0CE" w14:textId="77777777" w:rsidTr="008C0979">
        <w:tc>
          <w:tcPr>
            <w:tcW w:w="1336" w:type="dxa"/>
          </w:tcPr>
          <w:p w14:paraId="440D3909" w14:textId="77777777" w:rsidR="000759F5" w:rsidRPr="003B4362" w:rsidRDefault="000759F5" w:rsidP="008C0979">
            <w:pPr>
              <w:suppressAutoHyphens/>
            </w:pPr>
            <w:r w:rsidRPr="003B4362">
              <w:t>100-41-4</w:t>
            </w:r>
          </w:p>
        </w:tc>
        <w:tc>
          <w:tcPr>
            <w:tcW w:w="4464" w:type="dxa"/>
          </w:tcPr>
          <w:p w14:paraId="4A51D7B3" w14:textId="77777777" w:rsidR="000759F5" w:rsidRPr="003B4362" w:rsidRDefault="000759F5" w:rsidP="008C0979">
            <w:pPr>
              <w:suppressAutoHyphens/>
            </w:pPr>
            <w:r w:rsidRPr="003B4362">
              <w:t>Ethylbenzene</w:t>
            </w:r>
          </w:p>
        </w:tc>
        <w:tc>
          <w:tcPr>
            <w:tcW w:w="1616" w:type="dxa"/>
          </w:tcPr>
          <w:p w14:paraId="40CCC82B" w14:textId="77777777" w:rsidR="000759F5" w:rsidRPr="003B4362" w:rsidRDefault="000759F5" w:rsidP="008C0979">
            <w:pPr>
              <w:suppressAutoHyphens/>
            </w:pPr>
            <w:r w:rsidRPr="003B4362">
              <w:t>0.7</w:t>
            </w:r>
          </w:p>
        </w:tc>
      </w:tr>
      <w:tr w:rsidR="001628C1" w:rsidRPr="003B4362" w14:paraId="16351128" w14:textId="77777777" w:rsidTr="008C0979">
        <w:tc>
          <w:tcPr>
            <w:tcW w:w="1336" w:type="dxa"/>
          </w:tcPr>
          <w:p w14:paraId="13E807BF" w14:textId="77777777" w:rsidR="000759F5" w:rsidRPr="003B4362" w:rsidRDefault="000759F5" w:rsidP="008C0979">
            <w:pPr>
              <w:suppressAutoHyphens/>
            </w:pPr>
            <w:r w:rsidRPr="003B4362">
              <w:t>108-90-7</w:t>
            </w:r>
          </w:p>
        </w:tc>
        <w:tc>
          <w:tcPr>
            <w:tcW w:w="4464" w:type="dxa"/>
          </w:tcPr>
          <w:p w14:paraId="477DD3BF" w14:textId="77777777" w:rsidR="000759F5" w:rsidRPr="003B4362" w:rsidRDefault="000759F5" w:rsidP="008C0979">
            <w:pPr>
              <w:suppressAutoHyphens/>
            </w:pPr>
            <w:r w:rsidRPr="003B4362">
              <w:t>Monochlorobenzene</w:t>
            </w:r>
          </w:p>
        </w:tc>
        <w:tc>
          <w:tcPr>
            <w:tcW w:w="1616" w:type="dxa"/>
          </w:tcPr>
          <w:p w14:paraId="41312A6B" w14:textId="77777777" w:rsidR="000759F5" w:rsidRPr="003B4362" w:rsidRDefault="000759F5" w:rsidP="008C0979">
            <w:pPr>
              <w:suppressAutoHyphens/>
            </w:pPr>
            <w:r w:rsidRPr="003B4362">
              <w:t>0.1</w:t>
            </w:r>
          </w:p>
        </w:tc>
      </w:tr>
      <w:tr w:rsidR="001628C1" w:rsidRPr="003B4362" w14:paraId="6340EDF9" w14:textId="77777777" w:rsidTr="008C0979">
        <w:tc>
          <w:tcPr>
            <w:tcW w:w="1336" w:type="dxa"/>
          </w:tcPr>
          <w:p w14:paraId="0CDFED8C" w14:textId="77777777" w:rsidR="000759F5" w:rsidRPr="003B4362" w:rsidRDefault="000759F5" w:rsidP="008C0979">
            <w:pPr>
              <w:suppressAutoHyphens/>
            </w:pPr>
            <w:r w:rsidRPr="003B4362">
              <w:t>100-42-5</w:t>
            </w:r>
          </w:p>
        </w:tc>
        <w:tc>
          <w:tcPr>
            <w:tcW w:w="4464" w:type="dxa"/>
          </w:tcPr>
          <w:p w14:paraId="05A8C850" w14:textId="77777777" w:rsidR="000759F5" w:rsidRPr="003B4362" w:rsidRDefault="000759F5" w:rsidP="008C0979">
            <w:pPr>
              <w:suppressAutoHyphens/>
            </w:pPr>
            <w:r w:rsidRPr="003B4362">
              <w:t>Styrene</w:t>
            </w:r>
          </w:p>
        </w:tc>
        <w:tc>
          <w:tcPr>
            <w:tcW w:w="1616" w:type="dxa"/>
          </w:tcPr>
          <w:p w14:paraId="37195E3C" w14:textId="77777777" w:rsidR="000759F5" w:rsidRPr="003B4362" w:rsidRDefault="000759F5" w:rsidP="008C0979">
            <w:pPr>
              <w:suppressAutoHyphens/>
            </w:pPr>
            <w:r w:rsidRPr="003B4362">
              <w:t>0.1</w:t>
            </w:r>
          </w:p>
        </w:tc>
      </w:tr>
      <w:tr w:rsidR="001628C1" w:rsidRPr="003B4362" w14:paraId="330021A7" w14:textId="77777777" w:rsidTr="008C0979">
        <w:tc>
          <w:tcPr>
            <w:tcW w:w="1336" w:type="dxa"/>
          </w:tcPr>
          <w:p w14:paraId="4CF662EA" w14:textId="77777777" w:rsidR="000759F5" w:rsidRPr="003B4362" w:rsidRDefault="000759F5" w:rsidP="008C0979">
            <w:pPr>
              <w:suppressAutoHyphens/>
            </w:pPr>
            <w:r w:rsidRPr="003B4362">
              <w:t>127-18-4</w:t>
            </w:r>
          </w:p>
        </w:tc>
        <w:tc>
          <w:tcPr>
            <w:tcW w:w="4464" w:type="dxa"/>
          </w:tcPr>
          <w:p w14:paraId="233D95B5" w14:textId="77777777" w:rsidR="000759F5" w:rsidRPr="003B4362" w:rsidRDefault="000759F5" w:rsidP="008C0979">
            <w:pPr>
              <w:suppressAutoHyphens/>
            </w:pPr>
            <w:r w:rsidRPr="003B4362">
              <w:t>Tetrachloroethylene</w:t>
            </w:r>
          </w:p>
        </w:tc>
        <w:tc>
          <w:tcPr>
            <w:tcW w:w="1616" w:type="dxa"/>
          </w:tcPr>
          <w:p w14:paraId="0CA50D69" w14:textId="77777777" w:rsidR="000759F5" w:rsidRPr="003B4362" w:rsidRDefault="000759F5" w:rsidP="008C0979">
            <w:pPr>
              <w:suppressAutoHyphens/>
            </w:pPr>
            <w:r w:rsidRPr="003B4362">
              <w:t>0.005</w:t>
            </w:r>
          </w:p>
        </w:tc>
      </w:tr>
      <w:tr w:rsidR="001628C1" w:rsidRPr="003B4362" w14:paraId="36BF3431" w14:textId="77777777" w:rsidTr="008C0979">
        <w:tc>
          <w:tcPr>
            <w:tcW w:w="1336" w:type="dxa"/>
          </w:tcPr>
          <w:p w14:paraId="2717D976" w14:textId="77777777" w:rsidR="000759F5" w:rsidRPr="003B4362" w:rsidRDefault="000759F5" w:rsidP="008C0979">
            <w:pPr>
              <w:suppressAutoHyphens/>
            </w:pPr>
            <w:r w:rsidRPr="003B4362">
              <w:t>108-88-3</w:t>
            </w:r>
          </w:p>
        </w:tc>
        <w:tc>
          <w:tcPr>
            <w:tcW w:w="4464" w:type="dxa"/>
          </w:tcPr>
          <w:p w14:paraId="58FE5CE1" w14:textId="77777777" w:rsidR="000759F5" w:rsidRPr="003B4362" w:rsidRDefault="000759F5" w:rsidP="008C0979">
            <w:pPr>
              <w:suppressAutoHyphens/>
            </w:pPr>
            <w:r w:rsidRPr="003B4362">
              <w:t>Toluene</w:t>
            </w:r>
          </w:p>
        </w:tc>
        <w:tc>
          <w:tcPr>
            <w:tcW w:w="1616" w:type="dxa"/>
          </w:tcPr>
          <w:p w14:paraId="313E1BD9" w14:textId="77777777" w:rsidR="000759F5" w:rsidRPr="003B4362" w:rsidRDefault="000759F5" w:rsidP="008C0979">
            <w:pPr>
              <w:suppressAutoHyphens/>
            </w:pPr>
            <w:r w:rsidRPr="003B4362">
              <w:t>1</w:t>
            </w:r>
          </w:p>
        </w:tc>
      </w:tr>
      <w:tr w:rsidR="001628C1" w:rsidRPr="003B4362" w14:paraId="29F1FD39" w14:textId="77777777" w:rsidTr="008C0979">
        <w:tc>
          <w:tcPr>
            <w:tcW w:w="1336" w:type="dxa"/>
          </w:tcPr>
          <w:p w14:paraId="604205E7" w14:textId="77777777" w:rsidR="000759F5" w:rsidRPr="003B4362" w:rsidRDefault="000759F5" w:rsidP="008C0979">
            <w:pPr>
              <w:suppressAutoHyphens/>
            </w:pPr>
            <w:r w:rsidRPr="003B4362">
              <w:t>120-82-1</w:t>
            </w:r>
          </w:p>
        </w:tc>
        <w:tc>
          <w:tcPr>
            <w:tcW w:w="4464" w:type="dxa"/>
          </w:tcPr>
          <w:p w14:paraId="5FE96168" w14:textId="77777777" w:rsidR="000759F5" w:rsidRPr="003B4362" w:rsidRDefault="000759F5" w:rsidP="008C0979">
            <w:pPr>
              <w:suppressAutoHyphens/>
            </w:pPr>
            <w:r w:rsidRPr="003B4362">
              <w:t>1,2,4-Trichlorobenzene</w:t>
            </w:r>
          </w:p>
        </w:tc>
        <w:tc>
          <w:tcPr>
            <w:tcW w:w="1616" w:type="dxa"/>
          </w:tcPr>
          <w:p w14:paraId="174AC19A" w14:textId="77777777" w:rsidR="000759F5" w:rsidRPr="003B4362" w:rsidRDefault="000759F5" w:rsidP="008C0979">
            <w:pPr>
              <w:suppressAutoHyphens/>
            </w:pPr>
            <w:r w:rsidRPr="003B4362">
              <w:t>0.07</w:t>
            </w:r>
          </w:p>
        </w:tc>
      </w:tr>
      <w:tr w:rsidR="001628C1" w:rsidRPr="003B4362" w14:paraId="272DB616" w14:textId="77777777" w:rsidTr="008C0979">
        <w:tc>
          <w:tcPr>
            <w:tcW w:w="1336" w:type="dxa"/>
          </w:tcPr>
          <w:p w14:paraId="438C4A19" w14:textId="77777777" w:rsidR="000759F5" w:rsidRPr="003B4362" w:rsidRDefault="000759F5" w:rsidP="008C0979">
            <w:pPr>
              <w:suppressAutoHyphens/>
            </w:pPr>
            <w:r w:rsidRPr="003B4362">
              <w:t>71-55-6</w:t>
            </w:r>
          </w:p>
        </w:tc>
        <w:tc>
          <w:tcPr>
            <w:tcW w:w="4464" w:type="dxa"/>
          </w:tcPr>
          <w:p w14:paraId="78038B7A" w14:textId="77777777" w:rsidR="000759F5" w:rsidRPr="003B4362" w:rsidRDefault="000759F5" w:rsidP="008C0979">
            <w:pPr>
              <w:suppressAutoHyphens/>
            </w:pPr>
            <w:r w:rsidRPr="003B4362">
              <w:t>1,1,1-Trichloroethane</w:t>
            </w:r>
          </w:p>
        </w:tc>
        <w:tc>
          <w:tcPr>
            <w:tcW w:w="1616" w:type="dxa"/>
          </w:tcPr>
          <w:p w14:paraId="3B0AC4D3" w14:textId="77777777" w:rsidR="000759F5" w:rsidRPr="003B4362" w:rsidRDefault="000759F5" w:rsidP="008C0979">
            <w:pPr>
              <w:suppressAutoHyphens/>
            </w:pPr>
            <w:r w:rsidRPr="003B4362">
              <w:t>0.2</w:t>
            </w:r>
          </w:p>
        </w:tc>
      </w:tr>
      <w:tr w:rsidR="001628C1" w:rsidRPr="003B4362" w14:paraId="6C3082CB" w14:textId="77777777" w:rsidTr="008C0979">
        <w:tc>
          <w:tcPr>
            <w:tcW w:w="1336" w:type="dxa"/>
          </w:tcPr>
          <w:p w14:paraId="1FAF1EE5" w14:textId="77777777" w:rsidR="000759F5" w:rsidRPr="003B4362" w:rsidRDefault="000759F5" w:rsidP="008C0979">
            <w:pPr>
              <w:suppressAutoHyphens/>
            </w:pPr>
            <w:r w:rsidRPr="003B4362">
              <w:t>79-00-5</w:t>
            </w:r>
          </w:p>
        </w:tc>
        <w:tc>
          <w:tcPr>
            <w:tcW w:w="4464" w:type="dxa"/>
          </w:tcPr>
          <w:p w14:paraId="1C40F3D0" w14:textId="77777777" w:rsidR="000759F5" w:rsidRPr="003B4362" w:rsidRDefault="000759F5" w:rsidP="008C0979">
            <w:pPr>
              <w:suppressAutoHyphens/>
            </w:pPr>
            <w:r w:rsidRPr="003B4362">
              <w:t>1,1,2-Trichloroethane</w:t>
            </w:r>
          </w:p>
        </w:tc>
        <w:tc>
          <w:tcPr>
            <w:tcW w:w="1616" w:type="dxa"/>
          </w:tcPr>
          <w:p w14:paraId="02D62405" w14:textId="77777777" w:rsidR="000759F5" w:rsidRPr="003B4362" w:rsidRDefault="000759F5" w:rsidP="008C0979">
            <w:pPr>
              <w:suppressAutoHyphens/>
            </w:pPr>
            <w:r w:rsidRPr="003B4362">
              <w:t>0.005</w:t>
            </w:r>
          </w:p>
        </w:tc>
      </w:tr>
      <w:tr w:rsidR="001628C1" w:rsidRPr="003B4362" w14:paraId="3046DC1D" w14:textId="77777777" w:rsidTr="008C0979">
        <w:tc>
          <w:tcPr>
            <w:tcW w:w="1336" w:type="dxa"/>
          </w:tcPr>
          <w:p w14:paraId="1C16A1AF" w14:textId="77777777" w:rsidR="000759F5" w:rsidRPr="003B4362" w:rsidRDefault="000759F5" w:rsidP="008C0979">
            <w:pPr>
              <w:suppressAutoHyphens/>
            </w:pPr>
            <w:r w:rsidRPr="003B4362">
              <w:t>79-01-6</w:t>
            </w:r>
          </w:p>
        </w:tc>
        <w:tc>
          <w:tcPr>
            <w:tcW w:w="4464" w:type="dxa"/>
          </w:tcPr>
          <w:p w14:paraId="2B456B66" w14:textId="77777777" w:rsidR="000759F5" w:rsidRPr="003B4362" w:rsidRDefault="000759F5" w:rsidP="008C0979">
            <w:pPr>
              <w:suppressAutoHyphens/>
            </w:pPr>
            <w:r w:rsidRPr="003B4362">
              <w:t>Trichloroethylene</w:t>
            </w:r>
          </w:p>
        </w:tc>
        <w:tc>
          <w:tcPr>
            <w:tcW w:w="1616" w:type="dxa"/>
          </w:tcPr>
          <w:p w14:paraId="21360412" w14:textId="77777777" w:rsidR="000759F5" w:rsidRPr="003B4362" w:rsidRDefault="000759F5" w:rsidP="008C0979">
            <w:pPr>
              <w:suppressAutoHyphens/>
            </w:pPr>
            <w:r w:rsidRPr="003B4362">
              <w:t>0.005</w:t>
            </w:r>
          </w:p>
        </w:tc>
      </w:tr>
      <w:tr w:rsidR="001628C1" w:rsidRPr="003B4362" w14:paraId="67FB764B" w14:textId="77777777" w:rsidTr="008C0979">
        <w:tc>
          <w:tcPr>
            <w:tcW w:w="1336" w:type="dxa"/>
          </w:tcPr>
          <w:p w14:paraId="29771981" w14:textId="77777777" w:rsidR="000759F5" w:rsidRPr="003B4362" w:rsidRDefault="000759F5" w:rsidP="008C0979">
            <w:pPr>
              <w:suppressAutoHyphens/>
            </w:pPr>
            <w:r w:rsidRPr="003B4362">
              <w:t>75-01-4</w:t>
            </w:r>
          </w:p>
        </w:tc>
        <w:tc>
          <w:tcPr>
            <w:tcW w:w="4464" w:type="dxa"/>
          </w:tcPr>
          <w:p w14:paraId="591A42F4" w14:textId="77777777" w:rsidR="000759F5" w:rsidRPr="003B4362" w:rsidRDefault="000759F5" w:rsidP="008C0979">
            <w:pPr>
              <w:suppressAutoHyphens/>
            </w:pPr>
            <w:r w:rsidRPr="003B4362">
              <w:t>Vinyl chloride</w:t>
            </w:r>
          </w:p>
        </w:tc>
        <w:tc>
          <w:tcPr>
            <w:tcW w:w="1616" w:type="dxa"/>
          </w:tcPr>
          <w:p w14:paraId="5F87635B" w14:textId="77777777" w:rsidR="000759F5" w:rsidRPr="003B4362" w:rsidRDefault="000759F5" w:rsidP="008C0979">
            <w:pPr>
              <w:suppressAutoHyphens/>
            </w:pPr>
            <w:r w:rsidRPr="003B4362">
              <w:t>0.002</w:t>
            </w:r>
          </w:p>
        </w:tc>
      </w:tr>
      <w:tr w:rsidR="001628C1" w:rsidRPr="003B4362" w14:paraId="041A6348" w14:textId="77777777" w:rsidTr="008C0979">
        <w:tc>
          <w:tcPr>
            <w:tcW w:w="1336" w:type="dxa"/>
          </w:tcPr>
          <w:p w14:paraId="34F60C17" w14:textId="77777777" w:rsidR="000759F5" w:rsidRPr="003B4362" w:rsidRDefault="000759F5" w:rsidP="008C0979">
            <w:pPr>
              <w:suppressAutoHyphens/>
            </w:pPr>
            <w:r w:rsidRPr="003B4362">
              <w:t>1330-20-7</w:t>
            </w:r>
          </w:p>
        </w:tc>
        <w:tc>
          <w:tcPr>
            <w:tcW w:w="4464" w:type="dxa"/>
          </w:tcPr>
          <w:p w14:paraId="5E3A96F6" w14:textId="77777777" w:rsidR="000759F5" w:rsidRPr="003B4362" w:rsidRDefault="000759F5" w:rsidP="008C0979">
            <w:pPr>
              <w:suppressAutoHyphens/>
            </w:pPr>
            <w:r w:rsidRPr="003B4362">
              <w:t>Xylenes (total)</w:t>
            </w:r>
          </w:p>
        </w:tc>
        <w:tc>
          <w:tcPr>
            <w:tcW w:w="1616" w:type="dxa"/>
          </w:tcPr>
          <w:p w14:paraId="08BE3596" w14:textId="77777777" w:rsidR="000759F5" w:rsidRPr="003B4362" w:rsidRDefault="000759F5" w:rsidP="008C0979">
            <w:pPr>
              <w:suppressAutoHyphens/>
            </w:pPr>
            <w:r w:rsidRPr="003B4362">
              <w:t>10</w:t>
            </w:r>
          </w:p>
        </w:tc>
      </w:tr>
    </w:tbl>
    <w:p w14:paraId="02A23EA7" w14:textId="780C471A" w:rsidR="000759F5" w:rsidRPr="003B4362" w:rsidRDefault="000759F5" w:rsidP="000759F5">
      <w:pPr>
        <w:suppressAutoHyphens/>
        <w:spacing w:before="240" w:after="240"/>
        <w:ind w:left="1440" w:hanging="720"/>
      </w:pPr>
      <w:r w:rsidRPr="003B4362">
        <w:t>b)</w:t>
      </w:r>
      <w:r w:rsidRPr="003B4362">
        <w:tab/>
        <w:t xml:space="preserve">USEPA </w:t>
      </w:r>
      <w:r w:rsidR="000D22B9" w:rsidRPr="003B4362">
        <w:t xml:space="preserve">identifies </w:t>
      </w:r>
      <w:r w:rsidRPr="003B4362">
        <w:t xml:space="preserve"> granular activated carbon (GAC), packed tower aeration (PTA), or oxidation (OX) as BAT for achieving compliance with the MCLs for VOCs and SOCs in subsections (a) and (c), as indicated:</w:t>
      </w:r>
    </w:p>
    <w:tbl>
      <w:tblPr>
        <w:tblW w:w="7344" w:type="dxa"/>
        <w:tblInd w:w="2160" w:type="dxa"/>
        <w:tblLayout w:type="fixed"/>
        <w:tblCellMar>
          <w:left w:w="0" w:type="dxa"/>
          <w:right w:w="72" w:type="dxa"/>
        </w:tblCellMar>
        <w:tblLook w:val="0000" w:firstRow="0" w:lastRow="0" w:firstColumn="0" w:lastColumn="0" w:noHBand="0" w:noVBand="0"/>
      </w:tblPr>
      <w:tblGrid>
        <w:gridCol w:w="1584"/>
        <w:gridCol w:w="4176"/>
        <w:gridCol w:w="1584"/>
      </w:tblGrid>
      <w:tr w:rsidR="001628C1" w:rsidRPr="003B4362" w14:paraId="5636BEAA" w14:textId="77777777" w:rsidTr="008C0979">
        <w:tc>
          <w:tcPr>
            <w:tcW w:w="1584" w:type="dxa"/>
          </w:tcPr>
          <w:p w14:paraId="254A46D0" w14:textId="77777777" w:rsidR="000759F5" w:rsidRPr="003B4362" w:rsidRDefault="000759F5" w:rsidP="008C0979">
            <w:pPr>
              <w:keepNext/>
              <w:keepLines/>
              <w:suppressAutoHyphens/>
              <w:spacing w:after="240"/>
            </w:pPr>
            <w:r w:rsidRPr="003B4362">
              <w:t>CAS No.</w:t>
            </w:r>
          </w:p>
        </w:tc>
        <w:tc>
          <w:tcPr>
            <w:tcW w:w="4176" w:type="dxa"/>
          </w:tcPr>
          <w:p w14:paraId="2D8B719B" w14:textId="77777777" w:rsidR="000759F5" w:rsidRPr="003B4362" w:rsidRDefault="000759F5" w:rsidP="008C0979">
            <w:pPr>
              <w:keepNext/>
              <w:keepLines/>
              <w:suppressAutoHyphens/>
              <w:spacing w:after="240"/>
            </w:pPr>
            <w:r w:rsidRPr="003B4362">
              <w:t>Contaminant</w:t>
            </w:r>
          </w:p>
        </w:tc>
        <w:tc>
          <w:tcPr>
            <w:tcW w:w="1584" w:type="dxa"/>
          </w:tcPr>
          <w:p w14:paraId="59922232" w14:textId="0A1099A6" w:rsidR="000759F5" w:rsidRPr="003B4362" w:rsidRDefault="000759F5" w:rsidP="008C0979">
            <w:pPr>
              <w:keepNext/>
              <w:keepLines/>
              <w:suppressAutoHyphens/>
              <w:spacing w:after="240"/>
            </w:pPr>
            <w:r w:rsidRPr="003B4362">
              <w:t>MCL (mg/</w:t>
            </w:r>
            <w:r w:rsidR="00F560FD" w:rsidRPr="003B4362">
              <w:t xml:space="preserve"> L</w:t>
            </w:r>
            <w:r w:rsidRPr="003B4362">
              <w:t>)</w:t>
            </w:r>
          </w:p>
        </w:tc>
      </w:tr>
      <w:tr w:rsidR="001628C1" w:rsidRPr="003B4362" w14:paraId="3D6835E0" w14:textId="77777777" w:rsidTr="008C0979">
        <w:tc>
          <w:tcPr>
            <w:tcW w:w="1584" w:type="dxa"/>
          </w:tcPr>
          <w:p w14:paraId="0D3D6C2F" w14:textId="77777777" w:rsidR="000759F5" w:rsidRPr="003B4362" w:rsidRDefault="000759F5" w:rsidP="008C0979">
            <w:pPr>
              <w:suppressAutoHyphens/>
            </w:pPr>
            <w:r w:rsidRPr="003B4362">
              <w:t>15972-60-8</w:t>
            </w:r>
          </w:p>
        </w:tc>
        <w:tc>
          <w:tcPr>
            <w:tcW w:w="4176" w:type="dxa"/>
          </w:tcPr>
          <w:p w14:paraId="086BF42F" w14:textId="77777777" w:rsidR="000759F5" w:rsidRPr="003B4362" w:rsidRDefault="000759F5" w:rsidP="008C0979">
            <w:pPr>
              <w:suppressAutoHyphens/>
            </w:pPr>
            <w:r w:rsidRPr="003B4362">
              <w:t>Alachlor</w:t>
            </w:r>
          </w:p>
        </w:tc>
        <w:tc>
          <w:tcPr>
            <w:tcW w:w="1584" w:type="dxa"/>
          </w:tcPr>
          <w:p w14:paraId="30836FE3" w14:textId="77777777" w:rsidR="000759F5" w:rsidRPr="003B4362" w:rsidRDefault="000759F5" w:rsidP="008C0979">
            <w:pPr>
              <w:suppressAutoHyphens/>
            </w:pPr>
            <w:r w:rsidRPr="003B4362">
              <w:t>GAC</w:t>
            </w:r>
          </w:p>
        </w:tc>
      </w:tr>
      <w:tr w:rsidR="001628C1" w:rsidRPr="003B4362" w14:paraId="634E42E2" w14:textId="77777777" w:rsidTr="008C0979">
        <w:tc>
          <w:tcPr>
            <w:tcW w:w="1584" w:type="dxa"/>
          </w:tcPr>
          <w:p w14:paraId="61E7A71E" w14:textId="77777777" w:rsidR="000759F5" w:rsidRPr="003B4362" w:rsidRDefault="000759F5" w:rsidP="008C0979">
            <w:pPr>
              <w:suppressAutoHyphens/>
            </w:pPr>
            <w:r w:rsidRPr="003B4362">
              <w:t>116-06-3</w:t>
            </w:r>
          </w:p>
        </w:tc>
        <w:tc>
          <w:tcPr>
            <w:tcW w:w="4176" w:type="dxa"/>
          </w:tcPr>
          <w:p w14:paraId="0F031473" w14:textId="77777777" w:rsidR="000759F5" w:rsidRPr="003B4362" w:rsidRDefault="000759F5" w:rsidP="008C0979">
            <w:pPr>
              <w:keepNext/>
              <w:keepLines/>
              <w:suppressAutoHyphens/>
            </w:pPr>
            <w:r w:rsidRPr="003B4362">
              <w:t>Aldicarb*</w:t>
            </w:r>
          </w:p>
        </w:tc>
        <w:tc>
          <w:tcPr>
            <w:tcW w:w="1584" w:type="dxa"/>
          </w:tcPr>
          <w:p w14:paraId="04343E7F" w14:textId="77777777" w:rsidR="000759F5" w:rsidRPr="003B4362" w:rsidRDefault="000759F5" w:rsidP="008C0979">
            <w:pPr>
              <w:keepNext/>
              <w:keepLines/>
              <w:suppressAutoHyphens/>
            </w:pPr>
            <w:r w:rsidRPr="003B4362">
              <w:t>GAC</w:t>
            </w:r>
          </w:p>
        </w:tc>
      </w:tr>
      <w:tr w:rsidR="001628C1" w:rsidRPr="003B4362" w14:paraId="5A6C5838" w14:textId="77777777" w:rsidTr="008C0979">
        <w:tc>
          <w:tcPr>
            <w:tcW w:w="1584" w:type="dxa"/>
          </w:tcPr>
          <w:p w14:paraId="4C68D382" w14:textId="77777777" w:rsidR="000759F5" w:rsidRPr="003B4362" w:rsidRDefault="000759F5" w:rsidP="008C0979">
            <w:pPr>
              <w:suppressAutoHyphens/>
            </w:pPr>
            <w:r w:rsidRPr="003B4362">
              <w:t>1646-87-4</w:t>
            </w:r>
          </w:p>
        </w:tc>
        <w:tc>
          <w:tcPr>
            <w:tcW w:w="4176" w:type="dxa"/>
          </w:tcPr>
          <w:p w14:paraId="6C870248" w14:textId="77777777" w:rsidR="000759F5" w:rsidRPr="003B4362" w:rsidRDefault="000759F5" w:rsidP="008C0979">
            <w:pPr>
              <w:keepNext/>
              <w:keepLines/>
              <w:suppressAutoHyphens/>
            </w:pPr>
            <w:r w:rsidRPr="003B4362">
              <w:t>Aldicarb sulfone*</w:t>
            </w:r>
          </w:p>
        </w:tc>
        <w:tc>
          <w:tcPr>
            <w:tcW w:w="1584" w:type="dxa"/>
          </w:tcPr>
          <w:p w14:paraId="126F7F1E" w14:textId="77777777" w:rsidR="000759F5" w:rsidRPr="003B4362" w:rsidRDefault="000759F5" w:rsidP="008C0979">
            <w:pPr>
              <w:keepNext/>
              <w:keepLines/>
              <w:suppressAutoHyphens/>
            </w:pPr>
            <w:r w:rsidRPr="003B4362">
              <w:t>GAC</w:t>
            </w:r>
          </w:p>
        </w:tc>
      </w:tr>
      <w:tr w:rsidR="001628C1" w:rsidRPr="003B4362" w14:paraId="60FF9A18" w14:textId="77777777" w:rsidTr="008C0979">
        <w:tc>
          <w:tcPr>
            <w:tcW w:w="1584" w:type="dxa"/>
          </w:tcPr>
          <w:p w14:paraId="098150A3" w14:textId="77777777" w:rsidR="000759F5" w:rsidRPr="003B4362" w:rsidRDefault="000759F5" w:rsidP="008C0979">
            <w:pPr>
              <w:suppressAutoHyphens/>
            </w:pPr>
            <w:r w:rsidRPr="003B4362">
              <w:t>1646-87-3</w:t>
            </w:r>
          </w:p>
        </w:tc>
        <w:tc>
          <w:tcPr>
            <w:tcW w:w="4176" w:type="dxa"/>
          </w:tcPr>
          <w:p w14:paraId="40FF2D18" w14:textId="77777777" w:rsidR="000759F5" w:rsidRPr="003B4362" w:rsidRDefault="000759F5" w:rsidP="008C0979">
            <w:pPr>
              <w:keepNext/>
              <w:keepLines/>
              <w:suppressAutoHyphens/>
            </w:pPr>
            <w:r w:rsidRPr="003B4362">
              <w:t>Aldicarb sulfoxide*</w:t>
            </w:r>
          </w:p>
        </w:tc>
        <w:tc>
          <w:tcPr>
            <w:tcW w:w="1584" w:type="dxa"/>
          </w:tcPr>
          <w:p w14:paraId="1871CE2F" w14:textId="77777777" w:rsidR="000759F5" w:rsidRPr="003B4362" w:rsidRDefault="000759F5" w:rsidP="008C0979">
            <w:pPr>
              <w:keepNext/>
              <w:keepLines/>
              <w:suppressAutoHyphens/>
            </w:pPr>
            <w:r w:rsidRPr="003B4362">
              <w:t>GAC</w:t>
            </w:r>
          </w:p>
        </w:tc>
      </w:tr>
      <w:tr w:rsidR="001628C1" w:rsidRPr="003B4362" w14:paraId="205F921E" w14:textId="77777777" w:rsidTr="008C0979">
        <w:tc>
          <w:tcPr>
            <w:tcW w:w="1584" w:type="dxa"/>
          </w:tcPr>
          <w:p w14:paraId="48C76D53" w14:textId="77777777" w:rsidR="000759F5" w:rsidRPr="003B4362" w:rsidRDefault="000759F5" w:rsidP="008C0979">
            <w:pPr>
              <w:suppressAutoHyphens/>
            </w:pPr>
            <w:r w:rsidRPr="003B4362">
              <w:t>1912-24-9</w:t>
            </w:r>
          </w:p>
        </w:tc>
        <w:tc>
          <w:tcPr>
            <w:tcW w:w="4176" w:type="dxa"/>
          </w:tcPr>
          <w:p w14:paraId="25B9E47E" w14:textId="77777777" w:rsidR="000759F5" w:rsidRPr="003B4362" w:rsidRDefault="000759F5" w:rsidP="008C0979">
            <w:pPr>
              <w:keepNext/>
              <w:keepLines/>
              <w:suppressAutoHyphens/>
            </w:pPr>
            <w:r w:rsidRPr="003B4362">
              <w:t>Atrazine</w:t>
            </w:r>
          </w:p>
        </w:tc>
        <w:tc>
          <w:tcPr>
            <w:tcW w:w="1584" w:type="dxa"/>
          </w:tcPr>
          <w:p w14:paraId="677F795B" w14:textId="77777777" w:rsidR="000759F5" w:rsidRPr="003B4362" w:rsidRDefault="000759F5" w:rsidP="008C0979">
            <w:pPr>
              <w:keepNext/>
              <w:keepLines/>
              <w:suppressAutoHyphens/>
            </w:pPr>
            <w:r w:rsidRPr="003B4362">
              <w:t>GAC</w:t>
            </w:r>
          </w:p>
        </w:tc>
      </w:tr>
      <w:tr w:rsidR="001628C1" w:rsidRPr="003B4362" w14:paraId="56FD9623" w14:textId="77777777" w:rsidTr="008C0979">
        <w:tc>
          <w:tcPr>
            <w:tcW w:w="1584" w:type="dxa"/>
          </w:tcPr>
          <w:p w14:paraId="0D755E9F" w14:textId="77777777" w:rsidR="000759F5" w:rsidRPr="003B4362" w:rsidRDefault="000759F5" w:rsidP="008C0979">
            <w:pPr>
              <w:suppressAutoHyphens/>
            </w:pPr>
            <w:r w:rsidRPr="003B4362">
              <w:t>71-43-2</w:t>
            </w:r>
          </w:p>
        </w:tc>
        <w:tc>
          <w:tcPr>
            <w:tcW w:w="4176" w:type="dxa"/>
          </w:tcPr>
          <w:p w14:paraId="6ABBA571" w14:textId="77777777" w:rsidR="000759F5" w:rsidRPr="003B4362" w:rsidRDefault="000759F5" w:rsidP="008C0979">
            <w:pPr>
              <w:suppressAutoHyphens/>
            </w:pPr>
            <w:r w:rsidRPr="003B4362">
              <w:t>Benzene</w:t>
            </w:r>
          </w:p>
        </w:tc>
        <w:tc>
          <w:tcPr>
            <w:tcW w:w="1584" w:type="dxa"/>
          </w:tcPr>
          <w:p w14:paraId="3BC6DC48" w14:textId="77777777" w:rsidR="000759F5" w:rsidRPr="003B4362" w:rsidRDefault="000759F5" w:rsidP="008C0979">
            <w:pPr>
              <w:suppressAutoHyphens/>
            </w:pPr>
            <w:r w:rsidRPr="003B4362">
              <w:t>GAC, PTA</w:t>
            </w:r>
          </w:p>
        </w:tc>
      </w:tr>
      <w:tr w:rsidR="001628C1" w:rsidRPr="003B4362" w14:paraId="312B7324" w14:textId="77777777" w:rsidTr="008C0979">
        <w:tc>
          <w:tcPr>
            <w:tcW w:w="1584" w:type="dxa"/>
          </w:tcPr>
          <w:p w14:paraId="5975B0B4" w14:textId="77777777" w:rsidR="000759F5" w:rsidRPr="003B4362" w:rsidRDefault="000759F5" w:rsidP="008C0979">
            <w:pPr>
              <w:suppressAutoHyphens/>
            </w:pPr>
            <w:r w:rsidRPr="003B4362">
              <w:t>50-32-8</w:t>
            </w:r>
          </w:p>
        </w:tc>
        <w:tc>
          <w:tcPr>
            <w:tcW w:w="4176" w:type="dxa"/>
          </w:tcPr>
          <w:p w14:paraId="1308CA20" w14:textId="77777777" w:rsidR="000759F5" w:rsidRPr="003B4362" w:rsidRDefault="000759F5" w:rsidP="008C0979">
            <w:pPr>
              <w:suppressAutoHyphens/>
            </w:pPr>
            <w:r w:rsidRPr="003B4362">
              <w:t>Benzo(a)pyrene</w:t>
            </w:r>
          </w:p>
        </w:tc>
        <w:tc>
          <w:tcPr>
            <w:tcW w:w="1584" w:type="dxa"/>
          </w:tcPr>
          <w:p w14:paraId="533EF435" w14:textId="77777777" w:rsidR="000759F5" w:rsidRPr="003B4362" w:rsidRDefault="000759F5" w:rsidP="008C0979">
            <w:pPr>
              <w:suppressAutoHyphens/>
            </w:pPr>
            <w:r w:rsidRPr="003B4362">
              <w:t>GAC</w:t>
            </w:r>
          </w:p>
        </w:tc>
      </w:tr>
      <w:tr w:rsidR="001628C1" w:rsidRPr="003B4362" w14:paraId="536CF716" w14:textId="77777777" w:rsidTr="008C0979">
        <w:tc>
          <w:tcPr>
            <w:tcW w:w="1584" w:type="dxa"/>
          </w:tcPr>
          <w:p w14:paraId="6AECF668" w14:textId="77777777" w:rsidR="000759F5" w:rsidRPr="003B4362" w:rsidRDefault="000759F5" w:rsidP="008C0979">
            <w:pPr>
              <w:suppressAutoHyphens/>
            </w:pPr>
            <w:r w:rsidRPr="003B4362">
              <w:t>1563-66-2</w:t>
            </w:r>
          </w:p>
        </w:tc>
        <w:tc>
          <w:tcPr>
            <w:tcW w:w="4176" w:type="dxa"/>
          </w:tcPr>
          <w:p w14:paraId="1FB5D4D1" w14:textId="77777777" w:rsidR="000759F5" w:rsidRPr="003B4362" w:rsidRDefault="000759F5" w:rsidP="008C0979">
            <w:pPr>
              <w:suppressAutoHyphens/>
            </w:pPr>
            <w:r w:rsidRPr="003B4362">
              <w:t>Carbofuran</w:t>
            </w:r>
          </w:p>
        </w:tc>
        <w:tc>
          <w:tcPr>
            <w:tcW w:w="1584" w:type="dxa"/>
          </w:tcPr>
          <w:p w14:paraId="1DB21218" w14:textId="77777777" w:rsidR="000759F5" w:rsidRPr="003B4362" w:rsidRDefault="000759F5" w:rsidP="008C0979">
            <w:pPr>
              <w:suppressAutoHyphens/>
            </w:pPr>
            <w:r w:rsidRPr="003B4362">
              <w:t>GAC</w:t>
            </w:r>
          </w:p>
        </w:tc>
      </w:tr>
      <w:tr w:rsidR="001628C1" w:rsidRPr="003B4362" w14:paraId="736E9E81" w14:textId="77777777" w:rsidTr="008C0979">
        <w:tc>
          <w:tcPr>
            <w:tcW w:w="1584" w:type="dxa"/>
          </w:tcPr>
          <w:p w14:paraId="164FF511" w14:textId="77777777" w:rsidR="000759F5" w:rsidRPr="003B4362" w:rsidRDefault="000759F5" w:rsidP="008C0979">
            <w:pPr>
              <w:suppressAutoHyphens/>
            </w:pPr>
            <w:r w:rsidRPr="003B4362">
              <w:t>56-23-5</w:t>
            </w:r>
          </w:p>
        </w:tc>
        <w:tc>
          <w:tcPr>
            <w:tcW w:w="4176" w:type="dxa"/>
          </w:tcPr>
          <w:p w14:paraId="14793A23" w14:textId="77777777" w:rsidR="000759F5" w:rsidRPr="003B4362" w:rsidRDefault="000759F5" w:rsidP="008C0979">
            <w:pPr>
              <w:suppressAutoHyphens/>
            </w:pPr>
            <w:r w:rsidRPr="003B4362">
              <w:t>Carbon tetrachloride</w:t>
            </w:r>
          </w:p>
        </w:tc>
        <w:tc>
          <w:tcPr>
            <w:tcW w:w="1584" w:type="dxa"/>
          </w:tcPr>
          <w:p w14:paraId="09B80398" w14:textId="77777777" w:rsidR="000759F5" w:rsidRPr="003B4362" w:rsidRDefault="000759F5" w:rsidP="008C0979">
            <w:pPr>
              <w:suppressAutoHyphens/>
            </w:pPr>
            <w:r w:rsidRPr="003B4362">
              <w:t>GAC, PTA</w:t>
            </w:r>
          </w:p>
        </w:tc>
      </w:tr>
      <w:tr w:rsidR="001628C1" w:rsidRPr="003B4362" w14:paraId="753104F3" w14:textId="77777777" w:rsidTr="008C0979">
        <w:tc>
          <w:tcPr>
            <w:tcW w:w="1584" w:type="dxa"/>
          </w:tcPr>
          <w:p w14:paraId="75C3B538" w14:textId="77777777" w:rsidR="000759F5" w:rsidRPr="003B4362" w:rsidRDefault="000759F5" w:rsidP="008C0979">
            <w:pPr>
              <w:suppressAutoHyphens/>
            </w:pPr>
            <w:r w:rsidRPr="003B4362">
              <w:t>57-74-9</w:t>
            </w:r>
          </w:p>
        </w:tc>
        <w:tc>
          <w:tcPr>
            <w:tcW w:w="4176" w:type="dxa"/>
          </w:tcPr>
          <w:p w14:paraId="700C1702" w14:textId="77777777" w:rsidR="000759F5" w:rsidRPr="003B4362" w:rsidRDefault="000759F5" w:rsidP="008C0979">
            <w:pPr>
              <w:suppressAutoHyphens/>
            </w:pPr>
            <w:r w:rsidRPr="003B4362">
              <w:t>Chlordane</w:t>
            </w:r>
          </w:p>
        </w:tc>
        <w:tc>
          <w:tcPr>
            <w:tcW w:w="1584" w:type="dxa"/>
          </w:tcPr>
          <w:p w14:paraId="1ADB96B3" w14:textId="77777777" w:rsidR="000759F5" w:rsidRPr="003B4362" w:rsidRDefault="000759F5" w:rsidP="008C0979">
            <w:pPr>
              <w:suppressAutoHyphens/>
            </w:pPr>
            <w:r w:rsidRPr="003B4362">
              <w:t>GAC</w:t>
            </w:r>
          </w:p>
        </w:tc>
      </w:tr>
      <w:tr w:rsidR="001628C1" w:rsidRPr="003B4362" w14:paraId="1690CF1A" w14:textId="77777777" w:rsidTr="008C0979">
        <w:tc>
          <w:tcPr>
            <w:tcW w:w="1584" w:type="dxa"/>
          </w:tcPr>
          <w:p w14:paraId="7497D9C2" w14:textId="77777777" w:rsidR="000759F5" w:rsidRPr="003B4362" w:rsidRDefault="000759F5" w:rsidP="008C0979">
            <w:pPr>
              <w:suppressAutoHyphens/>
            </w:pPr>
            <w:r w:rsidRPr="003B4362">
              <w:t>94-75-7</w:t>
            </w:r>
          </w:p>
        </w:tc>
        <w:tc>
          <w:tcPr>
            <w:tcW w:w="4176" w:type="dxa"/>
          </w:tcPr>
          <w:p w14:paraId="0089CE82" w14:textId="77777777" w:rsidR="000759F5" w:rsidRPr="003B4362" w:rsidRDefault="000759F5" w:rsidP="008C0979">
            <w:pPr>
              <w:suppressAutoHyphens/>
            </w:pPr>
            <w:r w:rsidRPr="003B4362">
              <w:t>2,4-D</w:t>
            </w:r>
          </w:p>
        </w:tc>
        <w:tc>
          <w:tcPr>
            <w:tcW w:w="1584" w:type="dxa"/>
          </w:tcPr>
          <w:p w14:paraId="41C3FB69" w14:textId="77777777" w:rsidR="000759F5" w:rsidRPr="003B4362" w:rsidRDefault="000759F5" w:rsidP="008C0979">
            <w:pPr>
              <w:suppressAutoHyphens/>
            </w:pPr>
            <w:r w:rsidRPr="003B4362">
              <w:t>GAC</w:t>
            </w:r>
          </w:p>
        </w:tc>
      </w:tr>
      <w:tr w:rsidR="001628C1" w:rsidRPr="003B4362" w14:paraId="00B40646" w14:textId="77777777" w:rsidTr="008C0979">
        <w:tc>
          <w:tcPr>
            <w:tcW w:w="1584" w:type="dxa"/>
          </w:tcPr>
          <w:p w14:paraId="4C65E339" w14:textId="77777777" w:rsidR="000759F5" w:rsidRPr="003B4362" w:rsidRDefault="000759F5" w:rsidP="008C0979">
            <w:pPr>
              <w:suppressAutoHyphens/>
            </w:pPr>
            <w:r w:rsidRPr="003B4362">
              <w:t>75-99-0</w:t>
            </w:r>
          </w:p>
        </w:tc>
        <w:tc>
          <w:tcPr>
            <w:tcW w:w="4176" w:type="dxa"/>
          </w:tcPr>
          <w:p w14:paraId="7BCAE62F" w14:textId="77777777" w:rsidR="000759F5" w:rsidRPr="003B4362" w:rsidRDefault="000759F5" w:rsidP="008C0979">
            <w:pPr>
              <w:suppressAutoHyphens/>
            </w:pPr>
            <w:r w:rsidRPr="003B4362">
              <w:t>Dalapon</w:t>
            </w:r>
          </w:p>
        </w:tc>
        <w:tc>
          <w:tcPr>
            <w:tcW w:w="1584" w:type="dxa"/>
          </w:tcPr>
          <w:p w14:paraId="31ED892B" w14:textId="77777777" w:rsidR="000759F5" w:rsidRPr="003B4362" w:rsidRDefault="000759F5" w:rsidP="008C0979">
            <w:pPr>
              <w:suppressAutoHyphens/>
            </w:pPr>
            <w:r w:rsidRPr="003B4362">
              <w:t>GAC</w:t>
            </w:r>
          </w:p>
        </w:tc>
      </w:tr>
      <w:tr w:rsidR="001628C1" w:rsidRPr="003B4362" w14:paraId="7BFC0AF5" w14:textId="77777777" w:rsidTr="008C0979">
        <w:tc>
          <w:tcPr>
            <w:tcW w:w="1584" w:type="dxa"/>
          </w:tcPr>
          <w:p w14:paraId="15616221" w14:textId="77777777" w:rsidR="000759F5" w:rsidRPr="003B4362" w:rsidRDefault="000759F5" w:rsidP="008C0979">
            <w:pPr>
              <w:suppressAutoHyphens/>
            </w:pPr>
            <w:r w:rsidRPr="003B4362">
              <w:t>96-12-8</w:t>
            </w:r>
          </w:p>
        </w:tc>
        <w:tc>
          <w:tcPr>
            <w:tcW w:w="4176" w:type="dxa"/>
          </w:tcPr>
          <w:p w14:paraId="53FE5664" w14:textId="77777777" w:rsidR="000759F5" w:rsidRPr="003B4362" w:rsidRDefault="000759F5" w:rsidP="008C0979">
            <w:pPr>
              <w:suppressAutoHyphens/>
            </w:pPr>
            <w:r w:rsidRPr="003B4362">
              <w:t>Dibromochloropropane</w:t>
            </w:r>
          </w:p>
        </w:tc>
        <w:tc>
          <w:tcPr>
            <w:tcW w:w="1584" w:type="dxa"/>
          </w:tcPr>
          <w:p w14:paraId="5F452DD4" w14:textId="77777777" w:rsidR="000759F5" w:rsidRPr="003B4362" w:rsidRDefault="000759F5" w:rsidP="008C0979">
            <w:pPr>
              <w:suppressAutoHyphens/>
            </w:pPr>
            <w:r w:rsidRPr="003B4362">
              <w:t>GAC, PTA</w:t>
            </w:r>
          </w:p>
        </w:tc>
      </w:tr>
      <w:tr w:rsidR="001628C1" w:rsidRPr="003B4362" w14:paraId="331FB67A" w14:textId="77777777" w:rsidTr="008C0979">
        <w:tc>
          <w:tcPr>
            <w:tcW w:w="1584" w:type="dxa"/>
          </w:tcPr>
          <w:p w14:paraId="0F3D5D41" w14:textId="77777777" w:rsidR="000759F5" w:rsidRPr="003B4362" w:rsidRDefault="000759F5" w:rsidP="008C0979">
            <w:pPr>
              <w:suppressAutoHyphens/>
            </w:pPr>
            <w:r w:rsidRPr="003B4362">
              <w:t>95-50-1</w:t>
            </w:r>
          </w:p>
        </w:tc>
        <w:tc>
          <w:tcPr>
            <w:tcW w:w="4176" w:type="dxa"/>
          </w:tcPr>
          <w:p w14:paraId="402F5104" w14:textId="77777777" w:rsidR="000759F5" w:rsidRPr="003B4362" w:rsidRDefault="000759F5" w:rsidP="008C0979">
            <w:pPr>
              <w:suppressAutoHyphens/>
            </w:pPr>
            <w:r w:rsidRPr="003B4362">
              <w:t>o-Dichlorobenzene</w:t>
            </w:r>
          </w:p>
        </w:tc>
        <w:tc>
          <w:tcPr>
            <w:tcW w:w="1584" w:type="dxa"/>
          </w:tcPr>
          <w:p w14:paraId="7243EE73" w14:textId="77777777" w:rsidR="000759F5" w:rsidRPr="003B4362" w:rsidRDefault="000759F5" w:rsidP="008C0979">
            <w:pPr>
              <w:suppressAutoHyphens/>
            </w:pPr>
            <w:r w:rsidRPr="003B4362">
              <w:t>GAC, PTA</w:t>
            </w:r>
          </w:p>
        </w:tc>
      </w:tr>
      <w:tr w:rsidR="001628C1" w:rsidRPr="003B4362" w14:paraId="73AF63F5" w14:textId="77777777" w:rsidTr="008C0979">
        <w:tc>
          <w:tcPr>
            <w:tcW w:w="1584" w:type="dxa"/>
          </w:tcPr>
          <w:p w14:paraId="62A8342B" w14:textId="77777777" w:rsidR="000759F5" w:rsidRPr="003B4362" w:rsidRDefault="000759F5" w:rsidP="008C0979">
            <w:pPr>
              <w:suppressAutoHyphens/>
            </w:pPr>
            <w:r w:rsidRPr="003B4362">
              <w:t>106-46-7</w:t>
            </w:r>
          </w:p>
        </w:tc>
        <w:tc>
          <w:tcPr>
            <w:tcW w:w="4176" w:type="dxa"/>
          </w:tcPr>
          <w:p w14:paraId="69E64B42" w14:textId="77777777" w:rsidR="000759F5" w:rsidRPr="003B4362" w:rsidRDefault="000759F5" w:rsidP="008C0979">
            <w:pPr>
              <w:suppressAutoHyphens/>
            </w:pPr>
            <w:r w:rsidRPr="003B4362">
              <w:t>p-Dichlorobenzene</w:t>
            </w:r>
          </w:p>
        </w:tc>
        <w:tc>
          <w:tcPr>
            <w:tcW w:w="1584" w:type="dxa"/>
          </w:tcPr>
          <w:p w14:paraId="42E2038F" w14:textId="77777777" w:rsidR="000759F5" w:rsidRPr="003B4362" w:rsidRDefault="000759F5" w:rsidP="008C0979">
            <w:pPr>
              <w:suppressAutoHyphens/>
            </w:pPr>
            <w:r w:rsidRPr="003B4362">
              <w:t>GAC, PTA</w:t>
            </w:r>
          </w:p>
        </w:tc>
      </w:tr>
      <w:tr w:rsidR="001628C1" w:rsidRPr="003B4362" w14:paraId="07846DF8" w14:textId="77777777" w:rsidTr="008C0979">
        <w:tc>
          <w:tcPr>
            <w:tcW w:w="1584" w:type="dxa"/>
          </w:tcPr>
          <w:p w14:paraId="2A9A9422" w14:textId="77777777" w:rsidR="000759F5" w:rsidRPr="003B4362" w:rsidRDefault="000759F5" w:rsidP="008C0979">
            <w:pPr>
              <w:suppressAutoHyphens/>
            </w:pPr>
            <w:r w:rsidRPr="003B4362">
              <w:lastRenderedPageBreak/>
              <w:t>107-06-2</w:t>
            </w:r>
          </w:p>
        </w:tc>
        <w:tc>
          <w:tcPr>
            <w:tcW w:w="4176" w:type="dxa"/>
          </w:tcPr>
          <w:p w14:paraId="0731A603" w14:textId="77777777" w:rsidR="000759F5" w:rsidRPr="003B4362" w:rsidRDefault="000759F5" w:rsidP="008C0979">
            <w:pPr>
              <w:suppressAutoHyphens/>
            </w:pPr>
            <w:r w:rsidRPr="003B4362">
              <w:t>1,2-Dichloroethane</w:t>
            </w:r>
          </w:p>
        </w:tc>
        <w:tc>
          <w:tcPr>
            <w:tcW w:w="1584" w:type="dxa"/>
          </w:tcPr>
          <w:p w14:paraId="16BA6369" w14:textId="77777777" w:rsidR="000759F5" w:rsidRPr="003B4362" w:rsidRDefault="000759F5" w:rsidP="008C0979">
            <w:pPr>
              <w:suppressAutoHyphens/>
            </w:pPr>
            <w:r w:rsidRPr="003B4362">
              <w:t>GAC, PTA</w:t>
            </w:r>
          </w:p>
        </w:tc>
      </w:tr>
      <w:tr w:rsidR="001628C1" w:rsidRPr="003B4362" w14:paraId="1DAB618B" w14:textId="77777777" w:rsidTr="008C0979">
        <w:tc>
          <w:tcPr>
            <w:tcW w:w="1584" w:type="dxa"/>
          </w:tcPr>
          <w:p w14:paraId="7E7B66C2" w14:textId="77777777" w:rsidR="000759F5" w:rsidRPr="003B4362" w:rsidRDefault="000759F5" w:rsidP="008C0979">
            <w:pPr>
              <w:suppressAutoHyphens/>
            </w:pPr>
            <w:r w:rsidRPr="003B4362">
              <w:t>156-59-2</w:t>
            </w:r>
          </w:p>
        </w:tc>
        <w:tc>
          <w:tcPr>
            <w:tcW w:w="4176" w:type="dxa"/>
          </w:tcPr>
          <w:p w14:paraId="5F220BFF" w14:textId="77777777" w:rsidR="000759F5" w:rsidRPr="003B4362" w:rsidRDefault="000759F5" w:rsidP="008C0979">
            <w:pPr>
              <w:suppressAutoHyphens/>
            </w:pPr>
            <w:r w:rsidRPr="003B4362">
              <w:t>cis-1,2-Dichloroethylene</w:t>
            </w:r>
          </w:p>
        </w:tc>
        <w:tc>
          <w:tcPr>
            <w:tcW w:w="1584" w:type="dxa"/>
          </w:tcPr>
          <w:p w14:paraId="383328A7" w14:textId="77777777" w:rsidR="000759F5" w:rsidRPr="003B4362" w:rsidRDefault="000759F5" w:rsidP="008C0979">
            <w:pPr>
              <w:suppressAutoHyphens/>
            </w:pPr>
            <w:r w:rsidRPr="003B4362">
              <w:t>GAC, PTA</w:t>
            </w:r>
          </w:p>
        </w:tc>
      </w:tr>
      <w:tr w:rsidR="001628C1" w:rsidRPr="003B4362" w14:paraId="6922B183" w14:textId="77777777" w:rsidTr="008C0979">
        <w:tc>
          <w:tcPr>
            <w:tcW w:w="1584" w:type="dxa"/>
          </w:tcPr>
          <w:p w14:paraId="52C9C0ED" w14:textId="77777777" w:rsidR="000759F5" w:rsidRPr="003B4362" w:rsidRDefault="000759F5" w:rsidP="008C0979">
            <w:pPr>
              <w:suppressAutoHyphens/>
            </w:pPr>
            <w:r w:rsidRPr="003B4362">
              <w:t>156-60-5</w:t>
            </w:r>
          </w:p>
        </w:tc>
        <w:tc>
          <w:tcPr>
            <w:tcW w:w="4176" w:type="dxa"/>
          </w:tcPr>
          <w:p w14:paraId="20FB1D1D" w14:textId="77777777" w:rsidR="000759F5" w:rsidRPr="003B4362" w:rsidRDefault="000759F5" w:rsidP="008C0979">
            <w:pPr>
              <w:suppressAutoHyphens/>
            </w:pPr>
            <w:r w:rsidRPr="003B4362">
              <w:t>trans-1,2-Dichoroethylene</w:t>
            </w:r>
          </w:p>
        </w:tc>
        <w:tc>
          <w:tcPr>
            <w:tcW w:w="1584" w:type="dxa"/>
          </w:tcPr>
          <w:p w14:paraId="5C98B348" w14:textId="77777777" w:rsidR="000759F5" w:rsidRPr="003B4362" w:rsidRDefault="000759F5" w:rsidP="008C0979">
            <w:pPr>
              <w:suppressAutoHyphens/>
            </w:pPr>
            <w:r w:rsidRPr="003B4362">
              <w:t>GAC, PTA</w:t>
            </w:r>
          </w:p>
        </w:tc>
      </w:tr>
      <w:tr w:rsidR="001628C1" w:rsidRPr="003B4362" w14:paraId="7077B2FB" w14:textId="77777777" w:rsidTr="008C0979">
        <w:tc>
          <w:tcPr>
            <w:tcW w:w="1584" w:type="dxa"/>
          </w:tcPr>
          <w:p w14:paraId="7300DF0E" w14:textId="77777777" w:rsidR="000759F5" w:rsidRPr="003B4362" w:rsidRDefault="000759F5" w:rsidP="008C0979">
            <w:pPr>
              <w:suppressAutoHyphens/>
            </w:pPr>
            <w:r w:rsidRPr="003B4362">
              <w:t>75-35-4</w:t>
            </w:r>
          </w:p>
        </w:tc>
        <w:tc>
          <w:tcPr>
            <w:tcW w:w="4176" w:type="dxa"/>
          </w:tcPr>
          <w:p w14:paraId="037A0E95" w14:textId="77777777" w:rsidR="000759F5" w:rsidRPr="003B4362" w:rsidRDefault="000759F5" w:rsidP="008C0979">
            <w:pPr>
              <w:suppressAutoHyphens/>
            </w:pPr>
            <w:r w:rsidRPr="003B4362">
              <w:t>1,1-Dichloroethylene</w:t>
            </w:r>
          </w:p>
        </w:tc>
        <w:tc>
          <w:tcPr>
            <w:tcW w:w="1584" w:type="dxa"/>
          </w:tcPr>
          <w:p w14:paraId="7C8E0C38" w14:textId="77777777" w:rsidR="000759F5" w:rsidRPr="003B4362" w:rsidRDefault="000759F5" w:rsidP="008C0979">
            <w:pPr>
              <w:suppressAutoHyphens/>
            </w:pPr>
            <w:r w:rsidRPr="003B4362">
              <w:t>GAC, PTA</w:t>
            </w:r>
          </w:p>
        </w:tc>
      </w:tr>
      <w:tr w:rsidR="001628C1" w:rsidRPr="003B4362" w14:paraId="5D3799A7" w14:textId="77777777" w:rsidTr="008C0979">
        <w:tc>
          <w:tcPr>
            <w:tcW w:w="1584" w:type="dxa"/>
          </w:tcPr>
          <w:p w14:paraId="3B1A4417" w14:textId="77777777" w:rsidR="000759F5" w:rsidRPr="003B4362" w:rsidRDefault="000759F5" w:rsidP="008C0979">
            <w:pPr>
              <w:suppressAutoHyphens/>
            </w:pPr>
            <w:r w:rsidRPr="003B4362">
              <w:t>75-09-2</w:t>
            </w:r>
          </w:p>
        </w:tc>
        <w:tc>
          <w:tcPr>
            <w:tcW w:w="4176" w:type="dxa"/>
          </w:tcPr>
          <w:p w14:paraId="79B2F866" w14:textId="77777777" w:rsidR="000759F5" w:rsidRPr="003B4362" w:rsidRDefault="000759F5" w:rsidP="008C0979">
            <w:pPr>
              <w:suppressAutoHyphens/>
            </w:pPr>
            <w:r w:rsidRPr="003B4362">
              <w:t>Dichloromethane</w:t>
            </w:r>
          </w:p>
        </w:tc>
        <w:tc>
          <w:tcPr>
            <w:tcW w:w="1584" w:type="dxa"/>
          </w:tcPr>
          <w:p w14:paraId="61F05D49" w14:textId="77777777" w:rsidR="000759F5" w:rsidRPr="003B4362" w:rsidRDefault="000759F5" w:rsidP="008C0979">
            <w:pPr>
              <w:suppressAutoHyphens/>
            </w:pPr>
            <w:r w:rsidRPr="003B4362">
              <w:t>PTA</w:t>
            </w:r>
          </w:p>
        </w:tc>
      </w:tr>
      <w:tr w:rsidR="001628C1" w:rsidRPr="003B4362" w14:paraId="7D444BCD" w14:textId="77777777" w:rsidTr="008C0979">
        <w:tc>
          <w:tcPr>
            <w:tcW w:w="1584" w:type="dxa"/>
          </w:tcPr>
          <w:p w14:paraId="390E773B" w14:textId="77777777" w:rsidR="000759F5" w:rsidRPr="003B4362" w:rsidRDefault="000759F5" w:rsidP="008C0979">
            <w:pPr>
              <w:suppressAutoHyphens/>
            </w:pPr>
            <w:r w:rsidRPr="003B4362">
              <w:t>78-87-5</w:t>
            </w:r>
          </w:p>
        </w:tc>
        <w:tc>
          <w:tcPr>
            <w:tcW w:w="4176" w:type="dxa"/>
          </w:tcPr>
          <w:p w14:paraId="7B00EAEC" w14:textId="77777777" w:rsidR="000759F5" w:rsidRPr="003B4362" w:rsidRDefault="000759F5" w:rsidP="008C0979">
            <w:pPr>
              <w:suppressAutoHyphens/>
            </w:pPr>
            <w:r w:rsidRPr="003B4362">
              <w:t>1,2-Dichloropropane</w:t>
            </w:r>
          </w:p>
        </w:tc>
        <w:tc>
          <w:tcPr>
            <w:tcW w:w="1584" w:type="dxa"/>
          </w:tcPr>
          <w:p w14:paraId="6D414D6D" w14:textId="77777777" w:rsidR="000759F5" w:rsidRPr="003B4362" w:rsidRDefault="000759F5" w:rsidP="008C0979">
            <w:pPr>
              <w:suppressAutoHyphens/>
            </w:pPr>
            <w:r w:rsidRPr="003B4362">
              <w:t>GAC, PTA</w:t>
            </w:r>
          </w:p>
        </w:tc>
      </w:tr>
      <w:tr w:rsidR="001628C1" w:rsidRPr="003B4362" w14:paraId="415E3265" w14:textId="77777777" w:rsidTr="008C0979">
        <w:tc>
          <w:tcPr>
            <w:tcW w:w="1584" w:type="dxa"/>
          </w:tcPr>
          <w:p w14:paraId="401CE565" w14:textId="77777777" w:rsidR="000759F5" w:rsidRPr="003B4362" w:rsidRDefault="000759F5" w:rsidP="008C0979">
            <w:pPr>
              <w:suppressAutoHyphens/>
            </w:pPr>
            <w:r w:rsidRPr="003B4362">
              <w:t>103-23-1</w:t>
            </w:r>
          </w:p>
        </w:tc>
        <w:tc>
          <w:tcPr>
            <w:tcW w:w="4176" w:type="dxa"/>
          </w:tcPr>
          <w:p w14:paraId="2F991927" w14:textId="77777777" w:rsidR="000759F5" w:rsidRPr="003B4362" w:rsidRDefault="000759F5" w:rsidP="008C0979">
            <w:pPr>
              <w:suppressAutoHyphens/>
            </w:pPr>
            <w:r w:rsidRPr="003B4362">
              <w:t>Di(2-ethylhexyl)adipate</w:t>
            </w:r>
          </w:p>
        </w:tc>
        <w:tc>
          <w:tcPr>
            <w:tcW w:w="1584" w:type="dxa"/>
          </w:tcPr>
          <w:p w14:paraId="1F66AF42" w14:textId="77777777" w:rsidR="000759F5" w:rsidRPr="003B4362" w:rsidRDefault="000759F5" w:rsidP="008C0979">
            <w:pPr>
              <w:suppressAutoHyphens/>
            </w:pPr>
            <w:r w:rsidRPr="003B4362">
              <w:t>GAC, PTA</w:t>
            </w:r>
          </w:p>
        </w:tc>
      </w:tr>
      <w:tr w:rsidR="001628C1" w:rsidRPr="003B4362" w14:paraId="0862D085" w14:textId="77777777" w:rsidTr="008C0979">
        <w:tc>
          <w:tcPr>
            <w:tcW w:w="1584" w:type="dxa"/>
          </w:tcPr>
          <w:p w14:paraId="55C0281A" w14:textId="77777777" w:rsidR="000759F5" w:rsidRPr="003B4362" w:rsidRDefault="000759F5" w:rsidP="008C0979">
            <w:pPr>
              <w:suppressAutoHyphens/>
            </w:pPr>
            <w:r w:rsidRPr="003B4362">
              <w:t>117-81-7</w:t>
            </w:r>
          </w:p>
        </w:tc>
        <w:tc>
          <w:tcPr>
            <w:tcW w:w="4176" w:type="dxa"/>
          </w:tcPr>
          <w:p w14:paraId="47CF5E5D" w14:textId="77777777" w:rsidR="000759F5" w:rsidRPr="003B4362" w:rsidRDefault="000759F5" w:rsidP="008C0979">
            <w:pPr>
              <w:suppressAutoHyphens/>
            </w:pPr>
            <w:r w:rsidRPr="003B4362">
              <w:t>Di(2-ethylhexyl)phthalate</w:t>
            </w:r>
          </w:p>
        </w:tc>
        <w:tc>
          <w:tcPr>
            <w:tcW w:w="1584" w:type="dxa"/>
          </w:tcPr>
          <w:p w14:paraId="7963E55B" w14:textId="77777777" w:rsidR="000759F5" w:rsidRPr="003B4362" w:rsidRDefault="000759F5" w:rsidP="008C0979">
            <w:pPr>
              <w:suppressAutoHyphens/>
            </w:pPr>
            <w:r w:rsidRPr="003B4362">
              <w:t>GAC</w:t>
            </w:r>
          </w:p>
        </w:tc>
      </w:tr>
      <w:tr w:rsidR="001628C1" w:rsidRPr="003B4362" w14:paraId="662CCE26" w14:textId="77777777" w:rsidTr="008C0979">
        <w:tc>
          <w:tcPr>
            <w:tcW w:w="1584" w:type="dxa"/>
          </w:tcPr>
          <w:p w14:paraId="51E6268D" w14:textId="77777777" w:rsidR="000759F5" w:rsidRPr="003B4362" w:rsidRDefault="000759F5" w:rsidP="008C0979">
            <w:pPr>
              <w:suppressAutoHyphens/>
            </w:pPr>
            <w:r w:rsidRPr="003B4362">
              <w:t>88-85-7</w:t>
            </w:r>
          </w:p>
        </w:tc>
        <w:tc>
          <w:tcPr>
            <w:tcW w:w="4176" w:type="dxa"/>
          </w:tcPr>
          <w:p w14:paraId="0561DDD2" w14:textId="77777777" w:rsidR="000759F5" w:rsidRPr="003B4362" w:rsidRDefault="000759F5" w:rsidP="008C0979">
            <w:pPr>
              <w:suppressAutoHyphens/>
            </w:pPr>
            <w:r w:rsidRPr="003B4362">
              <w:t>Dinoseb</w:t>
            </w:r>
          </w:p>
        </w:tc>
        <w:tc>
          <w:tcPr>
            <w:tcW w:w="1584" w:type="dxa"/>
          </w:tcPr>
          <w:p w14:paraId="168778AA" w14:textId="77777777" w:rsidR="000759F5" w:rsidRPr="003B4362" w:rsidRDefault="000759F5" w:rsidP="008C0979">
            <w:pPr>
              <w:suppressAutoHyphens/>
            </w:pPr>
            <w:r w:rsidRPr="003B4362">
              <w:t>GAC</w:t>
            </w:r>
          </w:p>
        </w:tc>
      </w:tr>
      <w:tr w:rsidR="001628C1" w:rsidRPr="003B4362" w14:paraId="08809599" w14:textId="77777777" w:rsidTr="008C0979">
        <w:tc>
          <w:tcPr>
            <w:tcW w:w="1584" w:type="dxa"/>
          </w:tcPr>
          <w:p w14:paraId="5FED7114" w14:textId="77777777" w:rsidR="000759F5" w:rsidRPr="003B4362" w:rsidRDefault="000759F5" w:rsidP="008C0979">
            <w:pPr>
              <w:suppressAutoHyphens/>
            </w:pPr>
            <w:r w:rsidRPr="003B4362">
              <w:t>85-00-7</w:t>
            </w:r>
          </w:p>
        </w:tc>
        <w:tc>
          <w:tcPr>
            <w:tcW w:w="4176" w:type="dxa"/>
          </w:tcPr>
          <w:p w14:paraId="3317EDF9" w14:textId="77777777" w:rsidR="000759F5" w:rsidRPr="003B4362" w:rsidRDefault="000759F5" w:rsidP="008C0979">
            <w:pPr>
              <w:suppressAutoHyphens/>
            </w:pPr>
            <w:r w:rsidRPr="003B4362">
              <w:t>Diquat</w:t>
            </w:r>
          </w:p>
        </w:tc>
        <w:tc>
          <w:tcPr>
            <w:tcW w:w="1584" w:type="dxa"/>
          </w:tcPr>
          <w:p w14:paraId="38113DE7" w14:textId="77777777" w:rsidR="000759F5" w:rsidRPr="003B4362" w:rsidRDefault="000759F5" w:rsidP="008C0979">
            <w:pPr>
              <w:suppressAutoHyphens/>
            </w:pPr>
            <w:r w:rsidRPr="003B4362">
              <w:t>GAC</w:t>
            </w:r>
          </w:p>
        </w:tc>
      </w:tr>
      <w:tr w:rsidR="001628C1" w:rsidRPr="003B4362" w14:paraId="1FA8411A" w14:textId="77777777" w:rsidTr="008C0979">
        <w:tc>
          <w:tcPr>
            <w:tcW w:w="1584" w:type="dxa"/>
          </w:tcPr>
          <w:p w14:paraId="47F7B76B" w14:textId="77777777" w:rsidR="000759F5" w:rsidRPr="003B4362" w:rsidRDefault="000759F5" w:rsidP="008C0979">
            <w:pPr>
              <w:suppressAutoHyphens/>
            </w:pPr>
            <w:r w:rsidRPr="003B4362">
              <w:t>145-73-3</w:t>
            </w:r>
          </w:p>
        </w:tc>
        <w:tc>
          <w:tcPr>
            <w:tcW w:w="4176" w:type="dxa"/>
          </w:tcPr>
          <w:p w14:paraId="05445D7D" w14:textId="77777777" w:rsidR="000759F5" w:rsidRPr="003B4362" w:rsidRDefault="000759F5" w:rsidP="008C0979">
            <w:pPr>
              <w:suppressAutoHyphens/>
            </w:pPr>
            <w:r w:rsidRPr="003B4362">
              <w:t>Endothall</w:t>
            </w:r>
          </w:p>
        </w:tc>
        <w:tc>
          <w:tcPr>
            <w:tcW w:w="1584" w:type="dxa"/>
          </w:tcPr>
          <w:p w14:paraId="2AC3412E" w14:textId="77777777" w:rsidR="000759F5" w:rsidRPr="003B4362" w:rsidRDefault="000759F5" w:rsidP="008C0979">
            <w:pPr>
              <w:suppressAutoHyphens/>
            </w:pPr>
            <w:r w:rsidRPr="003B4362">
              <w:t>GAC</w:t>
            </w:r>
          </w:p>
        </w:tc>
      </w:tr>
      <w:tr w:rsidR="001628C1" w:rsidRPr="003B4362" w14:paraId="01F3CEA2" w14:textId="77777777" w:rsidTr="008C0979">
        <w:tc>
          <w:tcPr>
            <w:tcW w:w="1584" w:type="dxa"/>
          </w:tcPr>
          <w:p w14:paraId="14D64F8D" w14:textId="77777777" w:rsidR="000759F5" w:rsidRPr="003B4362" w:rsidRDefault="000759F5" w:rsidP="008C0979">
            <w:pPr>
              <w:suppressAutoHyphens/>
            </w:pPr>
            <w:r w:rsidRPr="003B4362">
              <w:t>72-20-8</w:t>
            </w:r>
          </w:p>
        </w:tc>
        <w:tc>
          <w:tcPr>
            <w:tcW w:w="4176" w:type="dxa"/>
          </w:tcPr>
          <w:p w14:paraId="7CB6842C" w14:textId="77777777" w:rsidR="000759F5" w:rsidRPr="003B4362" w:rsidRDefault="000759F5" w:rsidP="008C0979">
            <w:pPr>
              <w:suppressAutoHyphens/>
            </w:pPr>
            <w:r w:rsidRPr="003B4362">
              <w:t>Endrin</w:t>
            </w:r>
          </w:p>
        </w:tc>
        <w:tc>
          <w:tcPr>
            <w:tcW w:w="1584" w:type="dxa"/>
          </w:tcPr>
          <w:p w14:paraId="00F995C8" w14:textId="77777777" w:rsidR="000759F5" w:rsidRPr="003B4362" w:rsidRDefault="000759F5" w:rsidP="008C0979">
            <w:pPr>
              <w:suppressAutoHyphens/>
            </w:pPr>
            <w:r w:rsidRPr="003B4362">
              <w:t>GAC</w:t>
            </w:r>
          </w:p>
        </w:tc>
      </w:tr>
      <w:tr w:rsidR="001628C1" w:rsidRPr="003B4362" w14:paraId="557E9F3A" w14:textId="77777777" w:rsidTr="008C0979">
        <w:tc>
          <w:tcPr>
            <w:tcW w:w="1584" w:type="dxa"/>
          </w:tcPr>
          <w:p w14:paraId="014AE071" w14:textId="77777777" w:rsidR="000759F5" w:rsidRPr="003B4362" w:rsidRDefault="000759F5" w:rsidP="008C0979">
            <w:pPr>
              <w:suppressAutoHyphens/>
            </w:pPr>
            <w:r w:rsidRPr="003B4362">
              <w:t>106-93-4</w:t>
            </w:r>
          </w:p>
        </w:tc>
        <w:tc>
          <w:tcPr>
            <w:tcW w:w="4176" w:type="dxa"/>
          </w:tcPr>
          <w:p w14:paraId="309107E2" w14:textId="77777777" w:rsidR="000759F5" w:rsidRPr="003B4362" w:rsidRDefault="000759F5" w:rsidP="008C0979">
            <w:pPr>
              <w:suppressAutoHyphens/>
            </w:pPr>
            <w:r w:rsidRPr="003B4362">
              <w:t>Ethylene dibromide (EDB)</w:t>
            </w:r>
          </w:p>
        </w:tc>
        <w:tc>
          <w:tcPr>
            <w:tcW w:w="1584" w:type="dxa"/>
          </w:tcPr>
          <w:p w14:paraId="46E83679" w14:textId="77777777" w:rsidR="000759F5" w:rsidRPr="003B4362" w:rsidRDefault="000759F5" w:rsidP="008C0979">
            <w:pPr>
              <w:suppressAutoHyphens/>
            </w:pPr>
            <w:r w:rsidRPr="003B4362">
              <w:t>GAC, PTA</w:t>
            </w:r>
          </w:p>
        </w:tc>
      </w:tr>
      <w:tr w:rsidR="001628C1" w:rsidRPr="003B4362" w14:paraId="3AFAA844" w14:textId="77777777" w:rsidTr="008C0979">
        <w:tc>
          <w:tcPr>
            <w:tcW w:w="1584" w:type="dxa"/>
          </w:tcPr>
          <w:p w14:paraId="75AF5F5D" w14:textId="77777777" w:rsidR="000759F5" w:rsidRPr="003B4362" w:rsidRDefault="000759F5" w:rsidP="008C0979">
            <w:pPr>
              <w:suppressAutoHyphens/>
            </w:pPr>
            <w:r w:rsidRPr="003B4362">
              <w:t>100-41-4</w:t>
            </w:r>
          </w:p>
        </w:tc>
        <w:tc>
          <w:tcPr>
            <w:tcW w:w="4176" w:type="dxa"/>
          </w:tcPr>
          <w:p w14:paraId="63EA772E" w14:textId="77777777" w:rsidR="000759F5" w:rsidRPr="003B4362" w:rsidRDefault="000759F5" w:rsidP="008C0979">
            <w:pPr>
              <w:suppressAutoHyphens/>
            </w:pPr>
            <w:r w:rsidRPr="003B4362">
              <w:t>Ethylbenzene</w:t>
            </w:r>
          </w:p>
        </w:tc>
        <w:tc>
          <w:tcPr>
            <w:tcW w:w="1584" w:type="dxa"/>
          </w:tcPr>
          <w:p w14:paraId="34EB1E6A" w14:textId="77777777" w:rsidR="000759F5" w:rsidRPr="003B4362" w:rsidRDefault="000759F5" w:rsidP="008C0979">
            <w:pPr>
              <w:suppressAutoHyphens/>
            </w:pPr>
            <w:r w:rsidRPr="003B4362">
              <w:t>GAC, PTA</w:t>
            </w:r>
          </w:p>
        </w:tc>
      </w:tr>
      <w:tr w:rsidR="001628C1" w:rsidRPr="003B4362" w14:paraId="79871E81" w14:textId="77777777" w:rsidTr="008C0979">
        <w:tc>
          <w:tcPr>
            <w:tcW w:w="1584" w:type="dxa"/>
          </w:tcPr>
          <w:p w14:paraId="3D1617CA" w14:textId="77777777" w:rsidR="000759F5" w:rsidRPr="003B4362" w:rsidRDefault="000759F5" w:rsidP="008C0979">
            <w:pPr>
              <w:suppressAutoHyphens/>
            </w:pPr>
            <w:r w:rsidRPr="003B4362">
              <w:t>1071-53-6</w:t>
            </w:r>
          </w:p>
        </w:tc>
        <w:tc>
          <w:tcPr>
            <w:tcW w:w="4176" w:type="dxa"/>
          </w:tcPr>
          <w:p w14:paraId="139B671E" w14:textId="77777777" w:rsidR="000759F5" w:rsidRPr="003B4362" w:rsidRDefault="000759F5" w:rsidP="008C0979">
            <w:pPr>
              <w:suppressAutoHyphens/>
            </w:pPr>
            <w:r w:rsidRPr="003B4362">
              <w:t>Glyphosate</w:t>
            </w:r>
          </w:p>
        </w:tc>
        <w:tc>
          <w:tcPr>
            <w:tcW w:w="1584" w:type="dxa"/>
          </w:tcPr>
          <w:p w14:paraId="4BCFAF5B" w14:textId="77777777" w:rsidR="000759F5" w:rsidRPr="003B4362" w:rsidRDefault="000759F5" w:rsidP="008C0979">
            <w:pPr>
              <w:suppressAutoHyphens/>
            </w:pPr>
            <w:r w:rsidRPr="003B4362">
              <w:t>OX</w:t>
            </w:r>
          </w:p>
        </w:tc>
      </w:tr>
      <w:tr w:rsidR="001628C1" w:rsidRPr="003B4362" w14:paraId="29884A51" w14:textId="77777777" w:rsidTr="008C0979">
        <w:tc>
          <w:tcPr>
            <w:tcW w:w="1584" w:type="dxa"/>
          </w:tcPr>
          <w:p w14:paraId="4FAA4302" w14:textId="77777777" w:rsidR="000759F5" w:rsidRPr="003B4362" w:rsidRDefault="000759F5" w:rsidP="008C0979">
            <w:pPr>
              <w:suppressAutoHyphens/>
            </w:pPr>
            <w:r w:rsidRPr="003B4362">
              <w:t>76-44-8</w:t>
            </w:r>
          </w:p>
        </w:tc>
        <w:tc>
          <w:tcPr>
            <w:tcW w:w="4176" w:type="dxa"/>
          </w:tcPr>
          <w:p w14:paraId="51D97F37" w14:textId="77777777" w:rsidR="000759F5" w:rsidRPr="003B4362" w:rsidRDefault="000759F5" w:rsidP="008C0979">
            <w:pPr>
              <w:suppressAutoHyphens/>
            </w:pPr>
            <w:r w:rsidRPr="003B4362">
              <w:t>Heptachlor</w:t>
            </w:r>
          </w:p>
        </w:tc>
        <w:tc>
          <w:tcPr>
            <w:tcW w:w="1584" w:type="dxa"/>
          </w:tcPr>
          <w:p w14:paraId="1FF23281" w14:textId="77777777" w:rsidR="000759F5" w:rsidRPr="003B4362" w:rsidRDefault="000759F5" w:rsidP="008C0979">
            <w:pPr>
              <w:suppressAutoHyphens/>
            </w:pPr>
            <w:r w:rsidRPr="003B4362">
              <w:t>GAC</w:t>
            </w:r>
          </w:p>
        </w:tc>
      </w:tr>
      <w:tr w:rsidR="001628C1" w:rsidRPr="003B4362" w14:paraId="3C367EAD" w14:textId="77777777" w:rsidTr="008C0979">
        <w:tc>
          <w:tcPr>
            <w:tcW w:w="1584" w:type="dxa"/>
          </w:tcPr>
          <w:p w14:paraId="6C97DBE4" w14:textId="77777777" w:rsidR="000759F5" w:rsidRPr="003B4362" w:rsidRDefault="000759F5" w:rsidP="008C0979">
            <w:pPr>
              <w:suppressAutoHyphens/>
            </w:pPr>
            <w:r w:rsidRPr="003B4362">
              <w:t>1024-57-3</w:t>
            </w:r>
          </w:p>
        </w:tc>
        <w:tc>
          <w:tcPr>
            <w:tcW w:w="4176" w:type="dxa"/>
          </w:tcPr>
          <w:p w14:paraId="18DBAB33" w14:textId="77777777" w:rsidR="000759F5" w:rsidRPr="003B4362" w:rsidRDefault="000759F5" w:rsidP="008C0979">
            <w:pPr>
              <w:suppressAutoHyphens/>
            </w:pPr>
            <w:r w:rsidRPr="003B4362">
              <w:t>Heptachlor epoxide</w:t>
            </w:r>
          </w:p>
        </w:tc>
        <w:tc>
          <w:tcPr>
            <w:tcW w:w="1584" w:type="dxa"/>
          </w:tcPr>
          <w:p w14:paraId="3E437043" w14:textId="77777777" w:rsidR="000759F5" w:rsidRPr="003B4362" w:rsidRDefault="000759F5" w:rsidP="008C0979">
            <w:pPr>
              <w:suppressAutoHyphens/>
            </w:pPr>
            <w:r w:rsidRPr="003B4362">
              <w:t>GAC</w:t>
            </w:r>
          </w:p>
        </w:tc>
      </w:tr>
      <w:tr w:rsidR="001628C1" w:rsidRPr="003B4362" w14:paraId="3CF0575A" w14:textId="77777777" w:rsidTr="008C0979">
        <w:tc>
          <w:tcPr>
            <w:tcW w:w="1584" w:type="dxa"/>
          </w:tcPr>
          <w:p w14:paraId="11A67F81" w14:textId="77777777" w:rsidR="000759F5" w:rsidRPr="003B4362" w:rsidRDefault="000759F5" w:rsidP="008C0979">
            <w:pPr>
              <w:suppressAutoHyphens/>
            </w:pPr>
            <w:r w:rsidRPr="003B4362">
              <w:t>118-74-1</w:t>
            </w:r>
          </w:p>
        </w:tc>
        <w:tc>
          <w:tcPr>
            <w:tcW w:w="4176" w:type="dxa"/>
          </w:tcPr>
          <w:p w14:paraId="3B76245F" w14:textId="77777777" w:rsidR="000759F5" w:rsidRPr="003B4362" w:rsidRDefault="000759F5" w:rsidP="008C0979">
            <w:pPr>
              <w:suppressAutoHyphens/>
            </w:pPr>
            <w:r w:rsidRPr="003B4362">
              <w:t>Hexachlorobenzene</w:t>
            </w:r>
          </w:p>
        </w:tc>
        <w:tc>
          <w:tcPr>
            <w:tcW w:w="1584" w:type="dxa"/>
          </w:tcPr>
          <w:p w14:paraId="3E5E264E" w14:textId="77777777" w:rsidR="000759F5" w:rsidRPr="003B4362" w:rsidRDefault="000759F5" w:rsidP="008C0979">
            <w:pPr>
              <w:suppressAutoHyphens/>
            </w:pPr>
            <w:r w:rsidRPr="003B4362">
              <w:t>GAC</w:t>
            </w:r>
          </w:p>
        </w:tc>
      </w:tr>
      <w:tr w:rsidR="001628C1" w:rsidRPr="003B4362" w14:paraId="1F42E51F" w14:textId="77777777" w:rsidTr="008C0979">
        <w:tc>
          <w:tcPr>
            <w:tcW w:w="1584" w:type="dxa"/>
          </w:tcPr>
          <w:p w14:paraId="6B53E971" w14:textId="77777777" w:rsidR="000759F5" w:rsidRPr="003B4362" w:rsidRDefault="000759F5" w:rsidP="008C0979">
            <w:pPr>
              <w:suppressAutoHyphens/>
            </w:pPr>
            <w:r w:rsidRPr="003B4362">
              <w:t>77-47-3</w:t>
            </w:r>
          </w:p>
        </w:tc>
        <w:tc>
          <w:tcPr>
            <w:tcW w:w="4176" w:type="dxa"/>
          </w:tcPr>
          <w:p w14:paraId="0D2F7469" w14:textId="77777777" w:rsidR="000759F5" w:rsidRPr="003B4362" w:rsidRDefault="000759F5" w:rsidP="008C0979">
            <w:pPr>
              <w:suppressAutoHyphens/>
            </w:pPr>
            <w:r w:rsidRPr="003B4362">
              <w:t>Hexachlorocyclopentadiene</w:t>
            </w:r>
          </w:p>
        </w:tc>
        <w:tc>
          <w:tcPr>
            <w:tcW w:w="1584" w:type="dxa"/>
          </w:tcPr>
          <w:p w14:paraId="7091AA65" w14:textId="77777777" w:rsidR="000759F5" w:rsidRPr="003B4362" w:rsidRDefault="000759F5" w:rsidP="008C0979">
            <w:pPr>
              <w:suppressAutoHyphens/>
            </w:pPr>
            <w:r w:rsidRPr="003B4362">
              <w:t>GAC, PTA</w:t>
            </w:r>
          </w:p>
        </w:tc>
      </w:tr>
      <w:tr w:rsidR="001628C1" w:rsidRPr="003B4362" w14:paraId="31A4772B" w14:textId="77777777" w:rsidTr="008C0979">
        <w:tc>
          <w:tcPr>
            <w:tcW w:w="1584" w:type="dxa"/>
          </w:tcPr>
          <w:p w14:paraId="645C96A0" w14:textId="77777777" w:rsidR="000759F5" w:rsidRPr="003B4362" w:rsidRDefault="000759F5" w:rsidP="008C0979">
            <w:pPr>
              <w:suppressAutoHyphens/>
            </w:pPr>
            <w:r w:rsidRPr="003B4362">
              <w:t>58-89-9</w:t>
            </w:r>
          </w:p>
        </w:tc>
        <w:tc>
          <w:tcPr>
            <w:tcW w:w="4176" w:type="dxa"/>
          </w:tcPr>
          <w:p w14:paraId="4F0B5316" w14:textId="77777777" w:rsidR="000759F5" w:rsidRPr="003B4362" w:rsidRDefault="000759F5" w:rsidP="008C0979">
            <w:pPr>
              <w:suppressAutoHyphens/>
            </w:pPr>
            <w:r w:rsidRPr="003B4362">
              <w:t>Lindane</w:t>
            </w:r>
          </w:p>
        </w:tc>
        <w:tc>
          <w:tcPr>
            <w:tcW w:w="1584" w:type="dxa"/>
          </w:tcPr>
          <w:p w14:paraId="007F6077" w14:textId="77777777" w:rsidR="000759F5" w:rsidRPr="003B4362" w:rsidRDefault="000759F5" w:rsidP="008C0979">
            <w:pPr>
              <w:suppressAutoHyphens/>
            </w:pPr>
            <w:r w:rsidRPr="003B4362">
              <w:t>GAC</w:t>
            </w:r>
          </w:p>
        </w:tc>
      </w:tr>
      <w:tr w:rsidR="001628C1" w:rsidRPr="003B4362" w14:paraId="55497A03" w14:textId="77777777" w:rsidTr="008C0979">
        <w:tc>
          <w:tcPr>
            <w:tcW w:w="1584" w:type="dxa"/>
          </w:tcPr>
          <w:p w14:paraId="0D7C8078" w14:textId="77777777" w:rsidR="000759F5" w:rsidRPr="003B4362" w:rsidRDefault="000759F5" w:rsidP="008C0979">
            <w:pPr>
              <w:suppressAutoHyphens/>
            </w:pPr>
            <w:r w:rsidRPr="003B4362">
              <w:t>72-43-5</w:t>
            </w:r>
          </w:p>
        </w:tc>
        <w:tc>
          <w:tcPr>
            <w:tcW w:w="4176" w:type="dxa"/>
          </w:tcPr>
          <w:p w14:paraId="7C594462" w14:textId="77777777" w:rsidR="000759F5" w:rsidRPr="003B4362" w:rsidRDefault="000759F5" w:rsidP="008C0979">
            <w:pPr>
              <w:suppressAutoHyphens/>
            </w:pPr>
            <w:r w:rsidRPr="003B4362">
              <w:t>Methoxychlor</w:t>
            </w:r>
          </w:p>
        </w:tc>
        <w:tc>
          <w:tcPr>
            <w:tcW w:w="1584" w:type="dxa"/>
          </w:tcPr>
          <w:p w14:paraId="07A1626C" w14:textId="77777777" w:rsidR="000759F5" w:rsidRPr="003B4362" w:rsidRDefault="000759F5" w:rsidP="008C0979">
            <w:pPr>
              <w:suppressAutoHyphens/>
            </w:pPr>
            <w:r w:rsidRPr="003B4362">
              <w:t>GAC</w:t>
            </w:r>
          </w:p>
        </w:tc>
      </w:tr>
      <w:tr w:rsidR="001628C1" w:rsidRPr="003B4362" w14:paraId="65A4EFDE" w14:textId="77777777" w:rsidTr="008C0979">
        <w:tc>
          <w:tcPr>
            <w:tcW w:w="1584" w:type="dxa"/>
          </w:tcPr>
          <w:p w14:paraId="7EDAA871" w14:textId="77777777" w:rsidR="000759F5" w:rsidRPr="003B4362" w:rsidRDefault="000759F5" w:rsidP="008C0979">
            <w:pPr>
              <w:suppressAutoHyphens/>
            </w:pPr>
            <w:r w:rsidRPr="003B4362">
              <w:t>108-90-7</w:t>
            </w:r>
          </w:p>
        </w:tc>
        <w:tc>
          <w:tcPr>
            <w:tcW w:w="4176" w:type="dxa"/>
          </w:tcPr>
          <w:p w14:paraId="257CF1B6" w14:textId="77777777" w:rsidR="000759F5" w:rsidRPr="003B4362" w:rsidRDefault="000759F5" w:rsidP="008C0979">
            <w:pPr>
              <w:suppressAutoHyphens/>
            </w:pPr>
            <w:r w:rsidRPr="003B4362">
              <w:t>Monochlorobenzene</w:t>
            </w:r>
          </w:p>
        </w:tc>
        <w:tc>
          <w:tcPr>
            <w:tcW w:w="1584" w:type="dxa"/>
          </w:tcPr>
          <w:p w14:paraId="455193EE" w14:textId="77777777" w:rsidR="000759F5" w:rsidRPr="003B4362" w:rsidRDefault="000759F5" w:rsidP="008C0979">
            <w:pPr>
              <w:suppressAutoHyphens/>
            </w:pPr>
            <w:r w:rsidRPr="003B4362">
              <w:t>GAC, PTA</w:t>
            </w:r>
          </w:p>
        </w:tc>
      </w:tr>
      <w:tr w:rsidR="001628C1" w:rsidRPr="003B4362" w14:paraId="5317B512" w14:textId="77777777" w:rsidTr="008C0979">
        <w:tc>
          <w:tcPr>
            <w:tcW w:w="1584" w:type="dxa"/>
          </w:tcPr>
          <w:p w14:paraId="039312C2" w14:textId="77777777" w:rsidR="000759F5" w:rsidRPr="003B4362" w:rsidRDefault="000759F5" w:rsidP="008C0979">
            <w:pPr>
              <w:suppressAutoHyphens/>
            </w:pPr>
            <w:r w:rsidRPr="003B4362">
              <w:t>23135-22-0</w:t>
            </w:r>
          </w:p>
        </w:tc>
        <w:tc>
          <w:tcPr>
            <w:tcW w:w="4176" w:type="dxa"/>
          </w:tcPr>
          <w:p w14:paraId="3C4360A9" w14:textId="77777777" w:rsidR="000759F5" w:rsidRPr="003B4362" w:rsidRDefault="000759F5" w:rsidP="008C0979">
            <w:pPr>
              <w:suppressAutoHyphens/>
            </w:pPr>
            <w:r w:rsidRPr="003B4362">
              <w:t>Oxamyl</w:t>
            </w:r>
          </w:p>
        </w:tc>
        <w:tc>
          <w:tcPr>
            <w:tcW w:w="1584" w:type="dxa"/>
          </w:tcPr>
          <w:p w14:paraId="7FE01878" w14:textId="77777777" w:rsidR="000759F5" w:rsidRPr="003B4362" w:rsidRDefault="000759F5" w:rsidP="008C0979">
            <w:pPr>
              <w:suppressAutoHyphens/>
            </w:pPr>
            <w:r w:rsidRPr="003B4362">
              <w:t>GAC</w:t>
            </w:r>
          </w:p>
        </w:tc>
      </w:tr>
      <w:tr w:rsidR="001628C1" w:rsidRPr="003B4362" w14:paraId="70337984" w14:textId="77777777" w:rsidTr="008C0979">
        <w:tc>
          <w:tcPr>
            <w:tcW w:w="1584" w:type="dxa"/>
          </w:tcPr>
          <w:p w14:paraId="4F8A4895" w14:textId="77777777" w:rsidR="000759F5" w:rsidRPr="003B4362" w:rsidRDefault="000759F5" w:rsidP="008C0979">
            <w:pPr>
              <w:suppressAutoHyphens/>
            </w:pPr>
            <w:r w:rsidRPr="003B4362">
              <w:t>87-86-5</w:t>
            </w:r>
          </w:p>
        </w:tc>
        <w:tc>
          <w:tcPr>
            <w:tcW w:w="4176" w:type="dxa"/>
          </w:tcPr>
          <w:p w14:paraId="070F5C31" w14:textId="77777777" w:rsidR="000759F5" w:rsidRPr="003B4362" w:rsidRDefault="000759F5" w:rsidP="008C0979">
            <w:pPr>
              <w:suppressAutoHyphens/>
            </w:pPr>
            <w:r w:rsidRPr="003B4362">
              <w:t>Pentachlorophenol</w:t>
            </w:r>
          </w:p>
        </w:tc>
        <w:tc>
          <w:tcPr>
            <w:tcW w:w="1584" w:type="dxa"/>
          </w:tcPr>
          <w:p w14:paraId="73507207" w14:textId="77777777" w:rsidR="000759F5" w:rsidRPr="003B4362" w:rsidRDefault="000759F5" w:rsidP="008C0979">
            <w:pPr>
              <w:suppressAutoHyphens/>
            </w:pPr>
            <w:r w:rsidRPr="003B4362">
              <w:t>GAC</w:t>
            </w:r>
          </w:p>
        </w:tc>
      </w:tr>
      <w:tr w:rsidR="001628C1" w:rsidRPr="003B4362" w14:paraId="7204BB2D" w14:textId="77777777" w:rsidTr="008C0979">
        <w:tc>
          <w:tcPr>
            <w:tcW w:w="1584" w:type="dxa"/>
          </w:tcPr>
          <w:p w14:paraId="01C9AA47" w14:textId="77777777" w:rsidR="000759F5" w:rsidRPr="003B4362" w:rsidRDefault="000759F5" w:rsidP="008C0979">
            <w:pPr>
              <w:suppressAutoHyphens/>
            </w:pPr>
            <w:r w:rsidRPr="003B4362">
              <w:t>1918-02-1</w:t>
            </w:r>
          </w:p>
        </w:tc>
        <w:tc>
          <w:tcPr>
            <w:tcW w:w="4176" w:type="dxa"/>
          </w:tcPr>
          <w:p w14:paraId="309619DF" w14:textId="77777777" w:rsidR="000759F5" w:rsidRPr="003B4362" w:rsidRDefault="000759F5" w:rsidP="008C0979">
            <w:pPr>
              <w:suppressAutoHyphens/>
            </w:pPr>
            <w:r w:rsidRPr="003B4362">
              <w:t>Picloram</w:t>
            </w:r>
          </w:p>
        </w:tc>
        <w:tc>
          <w:tcPr>
            <w:tcW w:w="1584" w:type="dxa"/>
          </w:tcPr>
          <w:p w14:paraId="096B3CB6" w14:textId="77777777" w:rsidR="000759F5" w:rsidRPr="003B4362" w:rsidRDefault="000759F5" w:rsidP="008C0979">
            <w:pPr>
              <w:suppressAutoHyphens/>
            </w:pPr>
            <w:r w:rsidRPr="003B4362">
              <w:t>GAC</w:t>
            </w:r>
          </w:p>
        </w:tc>
      </w:tr>
      <w:tr w:rsidR="001628C1" w:rsidRPr="003B4362" w14:paraId="35AB4165" w14:textId="77777777" w:rsidTr="008C0979">
        <w:tc>
          <w:tcPr>
            <w:tcW w:w="1584" w:type="dxa"/>
          </w:tcPr>
          <w:p w14:paraId="3A8D9BDE" w14:textId="77777777" w:rsidR="000759F5" w:rsidRPr="003B4362" w:rsidRDefault="000759F5" w:rsidP="008C0979">
            <w:pPr>
              <w:suppressAutoHyphens/>
            </w:pPr>
            <w:r w:rsidRPr="003B4362">
              <w:t>1336-36-3</w:t>
            </w:r>
          </w:p>
        </w:tc>
        <w:tc>
          <w:tcPr>
            <w:tcW w:w="4176" w:type="dxa"/>
          </w:tcPr>
          <w:p w14:paraId="65A16A7D" w14:textId="77777777" w:rsidR="000759F5" w:rsidRPr="003B4362" w:rsidRDefault="000759F5" w:rsidP="008C0979">
            <w:pPr>
              <w:suppressAutoHyphens/>
            </w:pPr>
            <w:r w:rsidRPr="003B4362">
              <w:t>Polychlorinated biphenyls (PCB)</w:t>
            </w:r>
          </w:p>
        </w:tc>
        <w:tc>
          <w:tcPr>
            <w:tcW w:w="1584" w:type="dxa"/>
          </w:tcPr>
          <w:p w14:paraId="7C7F2B40" w14:textId="77777777" w:rsidR="000759F5" w:rsidRPr="003B4362" w:rsidRDefault="000759F5" w:rsidP="008C0979">
            <w:pPr>
              <w:suppressAutoHyphens/>
            </w:pPr>
            <w:r w:rsidRPr="003B4362">
              <w:t>GAC</w:t>
            </w:r>
          </w:p>
        </w:tc>
      </w:tr>
      <w:tr w:rsidR="001628C1" w:rsidRPr="003B4362" w14:paraId="078B937B" w14:textId="77777777" w:rsidTr="008C0979">
        <w:tc>
          <w:tcPr>
            <w:tcW w:w="1584" w:type="dxa"/>
          </w:tcPr>
          <w:p w14:paraId="05F87F02" w14:textId="77777777" w:rsidR="000759F5" w:rsidRPr="003B4362" w:rsidRDefault="000759F5" w:rsidP="008C0979">
            <w:pPr>
              <w:suppressAutoHyphens/>
            </w:pPr>
            <w:r w:rsidRPr="003B4362">
              <w:t>122-34-9</w:t>
            </w:r>
          </w:p>
        </w:tc>
        <w:tc>
          <w:tcPr>
            <w:tcW w:w="4176" w:type="dxa"/>
          </w:tcPr>
          <w:p w14:paraId="292D35DC" w14:textId="77777777" w:rsidR="000759F5" w:rsidRPr="003B4362" w:rsidRDefault="000759F5" w:rsidP="008C0979">
            <w:pPr>
              <w:suppressAutoHyphens/>
            </w:pPr>
            <w:r w:rsidRPr="003B4362">
              <w:t>Simazine</w:t>
            </w:r>
          </w:p>
        </w:tc>
        <w:tc>
          <w:tcPr>
            <w:tcW w:w="1584" w:type="dxa"/>
          </w:tcPr>
          <w:p w14:paraId="4678135C" w14:textId="77777777" w:rsidR="000759F5" w:rsidRPr="003B4362" w:rsidRDefault="000759F5" w:rsidP="008C0979">
            <w:pPr>
              <w:suppressAutoHyphens/>
            </w:pPr>
            <w:r w:rsidRPr="003B4362">
              <w:t>GAC</w:t>
            </w:r>
          </w:p>
        </w:tc>
      </w:tr>
      <w:tr w:rsidR="001628C1" w:rsidRPr="003B4362" w14:paraId="4F089EC8" w14:textId="77777777" w:rsidTr="008C0979">
        <w:tc>
          <w:tcPr>
            <w:tcW w:w="1584" w:type="dxa"/>
          </w:tcPr>
          <w:p w14:paraId="10A58E1C" w14:textId="77777777" w:rsidR="000759F5" w:rsidRPr="003B4362" w:rsidRDefault="000759F5" w:rsidP="008C0979">
            <w:pPr>
              <w:suppressAutoHyphens/>
            </w:pPr>
            <w:r w:rsidRPr="003B4362">
              <w:t>100-42-5</w:t>
            </w:r>
          </w:p>
        </w:tc>
        <w:tc>
          <w:tcPr>
            <w:tcW w:w="4176" w:type="dxa"/>
          </w:tcPr>
          <w:p w14:paraId="3A497308" w14:textId="77777777" w:rsidR="000759F5" w:rsidRPr="003B4362" w:rsidRDefault="000759F5" w:rsidP="008C0979">
            <w:pPr>
              <w:suppressAutoHyphens/>
            </w:pPr>
            <w:r w:rsidRPr="003B4362">
              <w:t>Styrene</w:t>
            </w:r>
          </w:p>
        </w:tc>
        <w:tc>
          <w:tcPr>
            <w:tcW w:w="1584" w:type="dxa"/>
          </w:tcPr>
          <w:p w14:paraId="2ECECFDA" w14:textId="77777777" w:rsidR="000759F5" w:rsidRPr="003B4362" w:rsidRDefault="000759F5" w:rsidP="008C0979">
            <w:pPr>
              <w:suppressAutoHyphens/>
            </w:pPr>
            <w:r w:rsidRPr="003B4362">
              <w:t>GAC, PTA</w:t>
            </w:r>
          </w:p>
        </w:tc>
      </w:tr>
      <w:tr w:rsidR="001628C1" w:rsidRPr="003B4362" w14:paraId="4C62A9B2" w14:textId="77777777" w:rsidTr="008C0979">
        <w:tc>
          <w:tcPr>
            <w:tcW w:w="1584" w:type="dxa"/>
          </w:tcPr>
          <w:p w14:paraId="18C04E87" w14:textId="77777777" w:rsidR="000759F5" w:rsidRPr="003B4362" w:rsidRDefault="000759F5" w:rsidP="008C0979">
            <w:pPr>
              <w:suppressAutoHyphens/>
            </w:pPr>
            <w:r w:rsidRPr="003B4362">
              <w:t>1746-01-6</w:t>
            </w:r>
          </w:p>
        </w:tc>
        <w:tc>
          <w:tcPr>
            <w:tcW w:w="4176" w:type="dxa"/>
          </w:tcPr>
          <w:p w14:paraId="24914BCA" w14:textId="77777777" w:rsidR="000759F5" w:rsidRPr="003B4362" w:rsidRDefault="000759F5" w:rsidP="008C0979">
            <w:pPr>
              <w:suppressAutoHyphens/>
            </w:pPr>
            <w:r w:rsidRPr="003B4362">
              <w:t>2,3,7,8-TCDD</w:t>
            </w:r>
          </w:p>
        </w:tc>
        <w:tc>
          <w:tcPr>
            <w:tcW w:w="1584" w:type="dxa"/>
          </w:tcPr>
          <w:p w14:paraId="75154771" w14:textId="77777777" w:rsidR="000759F5" w:rsidRPr="003B4362" w:rsidRDefault="000759F5" w:rsidP="008C0979">
            <w:pPr>
              <w:suppressAutoHyphens/>
            </w:pPr>
            <w:r w:rsidRPr="003B4362">
              <w:t>GAC</w:t>
            </w:r>
          </w:p>
        </w:tc>
      </w:tr>
      <w:tr w:rsidR="001628C1" w:rsidRPr="003B4362" w14:paraId="043D4643" w14:textId="77777777" w:rsidTr="008C0979">
        <w:tc>
          <w:tcPr>
            <w:tcW w:w="1584" w:type="dxa"/>
          </w:tcPr>
          <w:p w14:paraId="0014DE05" w14:textId="77777777" w:rsidR="000759F5" w:rsidRPr="003B4362" w:rsidRDefault="000759F5" w:rsidP="008C0979">
            <w:pPr>
              <w:suppressAutoHyphens/>
            </w:pPr>
            <w:r w:rsidRPr="003B4362">
              <w:t>127-18-4</w:t>
            </w:r>
          </w:p>
        </w:tc>
        <w:tc>
          <w:tcPr>
            <w:tcW w:w="4176" w:type="dxa"/>
          </w:tcPr>
          <w:p w14:paraId="3B961CD0" w14:textId="77777777" w:rsidR="000759F5" w:rsidRPr="003B4362" w:rsidRDefault="000759F5" w:rsidP="008C0979">
            <w:pPr>
              <w:suppressAutoHyphens/>
            </w:pPr>
            <w:r w:rsidRPr="003B4362">
              <w:t>Tetrachloroethylene</w:t>
            </w:r>
          </w:p>
        </w:tc>
        <w:tc>
          <w:tcPr>
            <w:tcW w:w="1584" w:type="dxa"/>
          </w:tcPr>
          <w:p w14:paraId="08DC3DD8" w14:textId="77777777" w:rsidR="000759F5" w:rsidRPr="003B4362" w:rsidRDefault="000759F5" w:rsidP="008C0979">
            <w:pPr>
              <w:suppressAutoHyphens/>
            </w:pPr>
            <w:r w:rsidRPr="003B4362">
              <w:t>GAC, PTA</w:t>
            </w:r>
          </w:p>
        </w:tc>
      </w:tr>
      <w:tr w:rsidR="001628C1" w:rsidRPr="003B4362" w14:paraId="2927D4FD" w14:textId="77777777" w:rsidTr="008C0979">
        <w:tc>
          <w:tcPr>
            <w:tcW w:w="1584" w:type="dxa"/>
          </w:tcPr>
          <w:p w14:paraId="3DBD340F" w14:textId="77777777" w:rsidR="000759F5" w:rsidRPr="003B4362" w:rsidRDefault="000759F5" w:rsidP="008C0979">
            <w:pPr>
              <w:suppressAutoHyphens/>
            </w:pPr>
            <w:r w:rsidRPr="003B4362">
              <w:t>108-88-3</w:t>
            </w:r>
          </w:p>
        </w:tc>
        <w:tc>
          <w:tcPr>
            <w:tcW w:w="4176" w:type="dxa"/>
          </w:tcPr>
          <w:p w14:paraId="1E82F460" w14:textId="77777777" w:rsidR="000759F5" w:rsidRPr="003B4362" w:rsidRDefault="000759F5" w:rsidP="008C0979">
            <w:pPr>
              <w:suppressAutoHyphens/>
            </w:pPr>
            <w:r w:rsidRPr="003B4362">
              <w:t>Toluene</w:t>
            </w:r>
          </w:p>
        </w:tc>
        <w:tc>
          <w:tcPr>
            <w:tcW w:w="1584" w:type="dxa"/>
          </w:tcPr>
          <w:p w14:paraId="20E5C0F2" w14:textId="77777777" w:rsidR="000759F5" w:rsidRPr="003B4362" w:rsidRDefault="000759F5" w:rsidP="008C0979">
            <w:pPr>
              <w:suppressAutoHyphens/>
            </w:pPr>
            <w:r w:rsidRPr="003B4362">
              <w:t>GAC</w:t>
            </w:r>
          </w:p>
        </w:tc>
      </w:tr>
      <w:tr w:rsidR="001628C1" w:rsidRPr="003B4362" w14:paraId="6D369217" w14:textId="77777777" w:rsidTr="008C0979">
        <w:tc>
          <w:tcPr>
            <w:tcW w:w="1584" w:type="dxa"/>
          </w:tcPr>
          <w:p w14:paraId="7822B5EA" w14:textId="77777777" w:rsidR="000759F5" w:rsidRPr="003B4362" w:rsidRDefault="000759F5" w:rsidP="008C0979">
            <w:pPr>
              <w:suppressAutoHyphens/>
            </w:pPr>
            <w:r w:rsidRPr="003B4362">
              <w:t>8001-35-2</w:t>
            </w:r>
          </w:p>
        </w:tc>
        <w:tc>
          <w:tcPr>
            <w:tcW w:w="4176" w:type="dxa"/>
          </w:tcPr>
          <w:p w14:paraId="66A9C133" w14:textId="77777777" w:rsidR="000759F5" w:rsidRPr="003B4362" w:rsidRDefault="000759F5" w:rsidP="008C0979">
            <w:pPr>
              <w:suppressAutoHyphens/>
            </w:pPr>
            <w:r w:rsidRPr="003B4362">
              <w:t>Toxaphene</w:t>
            </w:r>
          </w:p>
        </w:tc>
        <w:tc>
          <w:tcPr>
            <w:tcW w:w="1584" w:type="dxa"/>
          </w:tcPr>
          <w:p w14:paraId="1965B0A6" w14:textId="77777777" w:rsidR="000759F5" w:rsidRPr="003B4362" w:rsidRDefault="000759F5" w:rsidP="008C0979">
            <w:pPr>
              <w:suppressAutoHyphens/>
            </w:pPr>
            <w:r w:rsidRPr="003B4362">
              <w:t>GAC</w:t>
            </w:r>
          </w:p>
        </w:tc>
      </w:tr>
      <w:tr w:rsidR="001628C1" w:rsidRPr="003B4362" w14:paraId="36227659" w14:textId="77777777" w:rsidTr="008C0979">
        <w:tc>
          <w:tcPr>
            <w:tcW w:w="1584" w:type="dxa"/>
          </w:tcPr>
          <w:p w14:paraId="618F68A0" w14:textId="77777777" w:rsidR="000759F5" w:rsidRPr="003B4362" w:rsidRDefault="000759F5" w:rsidP="008C0979">
            <w:pPr>
              <w:suppressAutoHyphens/>
            </w:pPr>
            <w:r w:rsidRPr="003B4362">
              <w:t>120-82-1</w:t>
            </w:r>
          </w:p>
        </w:tc>
        <w:tc>
          <w:tcPr>
            <w:tcW w:w="4176" w:type="dxa"/>
          </w:tcPr>
          <w:p w14:paraId="55ADAE18" w14:textId="77777777" w:rsidR="000759F5" w:rsidRPr="003B4362" w:rsidRDefault="000759F5" w:rsidP="008C0979">
            <w:pPr>
              <w:suppressAutoHyphens/>
            </w:pPr>
            <w:r w:rsidRPr="003B4362">
              <w:t>1,2,4-trichlorobenzene</w:t>
            </w:r>
          </w:p>
        </w:tc>
        <w:tc>
          <w:tcPr>
            <w:tcW w:w="1584" w:type="dxa"/>
          </w:tcPr>
          <w:p w14:paraId="02FCC51C" w14:textId="77777777" w:rsidR="000759F5" w:rsidRPr="003B4362" w:rsidRDefault="000759F5" w:rsidP="008C0979">
            <w:pPr>
              <w:suppressAutoHyphens/>
            </w:pPr>
            <w:r w:rsidRPr="003B4362">
              <w:t>GAC, PTA</w:t>
            </w:r>
          </w:p>
        </w:tc>
      </w:tr>
      <w:tr w:rsidR="001628C1" w:rsidRPr="003B4362" w14:paraId="0BE1952F" w14:textId="77777777" w:rsidTr="008C0979">
        <w:tc>
          <w:tcPr>
            <w:tcW w:w="1584" w:type="dxa"/>
          </w:tcPr>
          <w:p w14:paraId="6323107F" w14:textId="77777777" w:rsidR="000759F5" w:rsidRPr="003B4362" w:rsidRDefault="000759F5" w:rsidP="008C0979">
            <w:pPr>
              <w:suppressAutoHyphens/>
            </w:pPr>
            <w:r w:rsidRPr="003B4362">
              <w:t>71-55-6</w:t>
            </w:r>
          </w:p>
        </w:tc>
        <w:tc>
          <w:tcPr>
            <w:tcW w:w="4176" w:type="dxa"/>
          </w:tcPr>
          <w:p w14:paraId="533CB2A6" w14:textId="77777777" w:rsidR="000759F5" w:rsidRPr="003B4362" w:rsidRDefault="000759F5" w:rsidP="008C0979">
            <w:pPr>
              <w:suppressAutoHyphens/>
            </w:pPr>
            <w:r w:rsidRPr="003B4362">
              <w:t>1,1,1-Trichloroethane</w:t>
            </w:r>
          </w:p>
        </w:tc>
        <w:tc>
          <w:tcPr>
            <w:tcW w:w="1584" w:type="dxa"/>
          </w:tcPr>
          <w:p w14:paraId="5A9E7454" w14:textId="77777777" w:rsidR="000759F5" w:rsidRPr="003B4362" w:rsidRDefault="000759F5" w:rsidP="008C0979">
            <w:pPr>
              <w:suppressAutoHyphens/>
            </w:pPr>
            <w:r w:rsidRPr="003B4362">
              <w:t>GAC, PTA</w:t>
            </w:r>
          </w:p>
        </w:tc>
      </w:tr>
      <w:tr w:rsidR="001628C1" w:rsidRPr="003B4362" w14:paraId="1FF84B0D" w14:textId="77777777" w:rsidTr="008C0979">
        <w:tc>
          <w:tcPr>
            <w:tcW w:w="1584" w:type="dxa"/>
          </w:tcPr>
          <w:p w14:paraId="6824D74E" w14:textId="77777777" w:rsidR="000759F5" w:rsidRPr="003B4362" w:rsidRDefault="000759F5" w:rsidP="008C0979">
            <w:pPr>
              <w:suppressAutoHyphens/>
            </w:pPr>
            <w:r w:rsidRPr="003B4362">
              <w:t>79-00-5</w:t>
            </w:r>
          </w:p>
        </w:tc>
        <w:tc>
          <w:tcPr>
            <w:tcW w:w="4176" w:type="dxa"/>
          </w:tcPr>
          <w:p w14:paraId="6864C41E" w14:textId="77777777" w:rsidR="000759F5" w:rsidRPr="003B4362" w:rsidRDefault="000759F5" w:rsidP="008C0979">
            <w:pPr>
              <w:suppressAutoHyphens/>
            </w:pPr>
            <w:r w:rsidRPr="003B4362">
              <w:t>1,1,2-trichloroethane</w:t>
            </w:r>
          </w:p>
        </w:tc>
        <w:tc>
          <w:tcPr>
            <w:tcW w:w="1584" w:type="dxa"/>
          </w:tcPr>
          <w:p w14:paraId="7CC4AB9B" w14:textId="77777777" w:rsidR="000759F5" w:rsidRPr="003B4362" w:rsidRDefault="000759F5" w:rsidP="008C0979">
            <w:pPr>
              <w:suppressAutoHyphens/>
            </w:pPr>
            <w:r w:rsidRPr="003B4362">
              <w:t>GAC, PTA</w:t>
            </w:r>
          </w:p>
        </w:tc>
      </w:tr>
      <w:tr w:rsidR="001628C1" w:rsidRPr="003B4362" w14:paraId="674F59E9" w14:textId="77777777" w:rsidTr="008C0979">
        <w:tc>
          <w:tcPr>
            <w:tcW w:w="1584" w:type="dxa"/>
          </w:tcPr>
          <w:p w14:paraId="13640160" w14:textId="77777777" w:rsidR="000759F5" w:rsidRPr="003B4362" w:rsidRDefault="000759F5" w:rsidP="008C0979">
            <w:pPr>
              <w:suppressAutoHyphens/>
            </w:pPr>
            <w:r w:rsidRPr="003B4362">
              <w:t>79-01-6</w:t>
            </w:r>
          </w:p>
        </w:tc>
        <w:tc>
          <w:tcPr>
            <w:tcW w:w="4176" w:type="dxa"/>
          </w:tcPr>
          <w:p w14:paraId="7E957692" w14:textId="77777777" w:rsidR="000759F5" w:rsidRPr="003B4362" w:rsidRDefault="000759F5" w:rsidP="008C0979">
            <w:pPr>
              <w:suppressAutoHyphens/>
            </w:pPr>
            <w:r w:rsidRPr="003B4362">
              <w:t>Trichloroethylene</w:t>
            </w:r>
          </w:p>
        </w:tc>
        <w:tc>
          <w:tcPr>
            <w:tcW w:w="1584" w:type="dxa"/>
          </w:tcPr>
          <w:p w14:paraId="46F2AFCE" w14:textId="77777777" w:rsidR="000759F5" w:rsidRPr="003B4362" w:rsidRDefault="000759F5" w:rsidP="008C0979">
            <w:pPr>
              <w:suppressAutoHyphens/>
            </w:pPr>
            <w:r w:rsidRPr="003B4362">
              <w:t>GAC, PTA</w:t>
            </w:r>
          </w:p>
        </w:tc>
      </w:tr>
      <w:tr w:rsidR="001628C1" w:rsidRPr="003B4362" w14:paraId="4F038A0B" w14:textId="77777777" w:rsidTr="008C0979">
        <w:tc>
          <w:tcPr>
            <w:tcW w:w="1584" w:type="dxa"/>
          </w:tcPr>
          <w:p w14:paraId="6A3924F2" w14:textId="77777777" w:rsidR="000759F5" w:rsidRPr="003B4362" w:rsidRDefault="000759F5" w:rsidP="008C0979">
            <w:pPr>
              <w:suppressAutoHyphens/>
            </w:pPr>
            <w:r w:rsidRPr="003B4362">
              <w:t>93-72-1</w:t>
            </w:r>
          </w:p>
        </w:tc>
        <w:tc>
          <w:tcPr>
            <w:tcW w:w="4176" w:type="dxa"/>
          </w:tcPr>
          <w:p w14:paraId="2D4B47EF" w14:textId="77777777" w:rsidR="000759F5" w:rsidRPr="003B4362" w:rsidRDefault="000759F5" w:rsidP="008C0979">
            <w:pPr>
              <w:suppressAutoHyphens/>
            </w:pPr>
            <w:r w:rsidRPr="003B4362">
              <w:t>2,4,5-TP</w:t>
            </w:r>
          </w:p>
        </w:tc>
        <w:tc>
          <w:tcPr>
            <w:tcW w:w="1584" w:type="dxa"/>
          </w:tcPr>
          <w:p w14:paraId="3C136481" w14:textId="77777777" w:rsidR="000759F5" w:rsidRPr="003B4362" w:rsidRDefault="000759F5" w:rsidP="008C0979">
            <w:pPr>
              <w:suppressAutoHyphens/>
            </w:pPr>
            <w:r w:rsidRPr="003B4362">
              <w:t>GAC</w:t>
            </w:r>
          </w:p>
        </w:tc>
      </w:tr>
      <w:tr w:rsidR="001628C1" w:rsidRPr="003B4362" w14:paraId="25DAE1D0" w14:textId="77777777" w:rsidTr="008C0979">
        <w:tc>
          <w:tcPr>
            <w:tcW w:w="1584" w:type="dxa"/>
          </w:tcPr>
          <w:p w14:paraId="55D3B863" w14:textId="77777777" w:rsidR="000759F5" w:rsidRPr="003B4362" w:rsidRDefault="000759F5" w:rsidP="008C0979">
            <w:pPr>
              <w:suppressAutoHyphens/>
            </w:pPr>
            <w:r w:rsidRPr="003B4362">
              <w:t>75-01-4</w:t>
            </w:r>
          </w:p>
        </w:tc>
        <w:tc>
          <w:tcPr>
            <w:tcW w:w="4176" w:type="dxa"/>
          </w:tcPr>
          <w:p w14:paraId="3655997D" w14:textId="77777777" w:rsidR="000759F5" w:rsidRPr="003B4362" w:rsidRDefault="000759F5" w:rsidP="008C0979">
            <w:pPr>
              <w:suppressAutoHyphens/>
            </w:pPr>
            <w:r w:rsidRPr="003B4362">
              <w:t>Vinyl chloride</w:t>
            </w:r>
          </w:p>
        </w:tc>
        <w:tc>
          <w:tcPr>
            <w:tcW w:w="1584" w:type="dxa"/>
          </w:tcPr>
          <w:p w14:paraId="0CEE1CFE" w14:textId="77777777" w:rsidR="000759F5" w:rsidRPr="003B4362" w:rsidRDefault="000759F5" w:rsidP="008C0979">
            <w:pPr>
              <w:suppressAutoHyphens/>
            </w:pPr>
            <w:r w:rsidRPr="003B4362">
              <w:t>PTA</w:t>
            </w:r>
          </w:p>
        </w:tc>
      </w:tr>
      <w:tr w:rsidR="001628C1" w:rsidRPr="003B4362" w14:paraId="25ABCFD1" w14:textId="77777777" w:rsidTr="008C0979">
        <w:tc>
          <w:tcPr>
            <w:tcW w:w="1584" w:type="dxa"/>
          </w:tcPr>
          <w:p w14:paraId="5915C27A" w14:textId="77777777" w:rsidR="000759F5" w:rsidRPr="003B4362" w:rsidRDefault="000759F5" w:rsidP="008C0979">
            <w:pPr>
              <w:suppressAutoHyphens/>
            </w:pPr>
            <w:r w:rsidRPr="003B4362">
              <w:t>1330-20-7</w:t>
            </w:r>
          </w:p>
        </w:tc>
        <w:tc>
          <w:tcPr>
            <w:tcW w:w="4176" w:type="dxa"/>
          </w:tcPr>
          <w:p w14:paraId="32D29AF6" w14:textId="77777777" w:rsidR="000759F5" w:rsidRPr="003B4362" w:rsidRDefault="000759F5" w:rsidP="008C0979">
            <w:pPr>
              <w:suppressAutoHyphens/>
            </w:pPr>
            <w:r w:rsidRPr="003B4362">
              <w:t>Xylene</w:t>
            </w:r>
          </w:p>
        </w:tc>
        <w:tc>
          <w:tcPr>
            <w:tcW w:w="1584" w:type="dxa"/>
          </w:tcPr>
          <w:p w14:paraId="548FA4A2" w14:textId="77777777" w:rsidR="000759F5" w:rsidRPr="003B4362" w:rsidRDefault="000759F5" w:rsidP="008C0979">
            <w:pPr>
              <w:suppressAutoHyphens/>
            </w:pPr>
            <w:r w:rsidRPr="003B4362">
              <w:t>GAC, PTA</w:t>
            </w:r>
          </w:p>
        </w:tc>
      </w:tr>
    </w:tbl>
    <w:p w14:paraId="4B504D28" w14:textId="39E329AE" w:rsidR="000759F5" w:rsidRPr="003B4362" w:rsidRDefault="000759F5" w:rsidP="000759F5">
      <w:pPr>
        <w:suppressAutoHyphens/>
        <w:spacing w:before="240" w:after="240"/>
        <w:ind w:left="2160"/>
      </w:pPr>
      <w:r w:rsidRPr="003B4362">
        <w:t>* See the Board note at the end of this Section.</w:t>
      </w:r>
    </w:p>
    <w:p w14:paraId="62ACD544" w14:textId="7ED03097" w:rsidR="000759F5" w:rsidRPr="003B4362" w:rsidRDefault="000759F5" w:rsidP="000759F5">
      <w:pPr>
        <w:suppressAutoHyphens/>
        <w:spacing w:before="240" w:after="240"/>
        <w:ind w:left="1440" w:hanging="720"/>
      </w:pPr>
      <w:r w:rsidRPr="003B4362">
        <w:t>c)</w:t>
      </w:r>
      <w:r w:rsidRPr="003B4362">
        <w:tab/>
        <w:t>Synthetic Organic Chemical Contaminants.  MCLs for SOCs apply to CWS and NTNCWS suppliers:</w:t>
      </w:r>
    </w:p>
    <w:tbl>
      <w:tblPr>
        <w:tblW w:w="0" w:type="auto"/>
        <w:tblInd w:w="2160" w:type="dxa"/>
        <w:tblLayout w:type="fixed"/>
        <w:tblCellMar>
          <w:left w:w="0" w:type="dxa"/>
          <w:right w:w="72" w:type="dxa"/>
        </w:tblCellMar>
        <w:tblLook w:val="0000" w:firstRow="0" w:lastRow="0" w:firstColumn="0" w:lastColumn="0" w:noHBand="0" w:noVBand="0"/>
      </w:tblPr>
      <w:tblGrid>
        <w:gridCol w:w="1584"/>
        <w:gridCol w:w="4176"/>
        <w:gridCol w:w="1584"/>
      </w:tblGrid>
      <w:tr w:rsidR="001628C1" w:rsidRPr="003B4362" w14:paraId="53B43571" w14:textId="77777777" w:rsidTr="008C0979">
        <w:tc>
          <w:tcPr>
            <w:tcW w:w="1584" w:type="dxa"/>
          </w:tcPr>
          <w:p w14:paraId="1B7E7476" w14:textId="77777777" w:rsidR="000759F5" w:rsidRPr="003B4362" w:rsidRDefault="000759F5" w:rsidP="008C0979">
            <w:pPr>
              <w:suppressAutoHyphens/>
              <w:spacing w:after="240"/>
            </w:pPr>
            <w:r w:rsidRPr="003B4362">
              <w:lastRenderedPageBreak/>
              <w:t>CAS Number</w:t>
            </w:r>
          </w:p>
        </w:tc>
        <w:tc>
          <w:tcPr>
            <w:tcW w:w="4176" w:type="dxa"/>
          </w:tcPr>
          <w:p w14:paraId="5D4695C7" w14:textId="77777777" w:rsidR="000759F5" w:rsidRPr="003B4362" w:rsidRDefault="000759F5" w:rsidP="008C0979">
            <w:pPr>
              <w:suppressAutoHyphens/>
              <w:spacing w:after="240"/>
            </w:pPr>
            <w:r w:rsidRPr="003B4362">
              <w:t>Contaminant</w:t>
            </w:r>
          </w:p>
        </w:tc>
        <w:tc>
          <w:tcPr>
            <w:tcW w:w="1584" w:type="dxa"/>
          </w:tcPr>
          <w:p w14:paraId="77ECD4FF" w14:textId="13E509F1" w:rsidR="000759F5" w:rsidRPr="003B4362" w:rsidRDefault="000759F5" w:rsidP="008C0979">
            <w:pPr>
              <w:suppressAutoHyphens/>
              <w:spacing w:after="240"/>
            </w:pPr>
            <w:r w:rsidRPr="003B4362">
              <w:t>MCL (mg/</w:t>
            </w:r>
            <w:r w:rsidR="00F560FD" w:rsidRPr="003B4362">
              <w:t xml:space="preserve"> L</w:t>
            </w:r>
            <w:r w:rsidRPr="003B4362">
              <w:t>)</w:t>
            </w:r>
          </w:p>
        </w:tc>
      </w:tr>
      <w:tr w:rsidR="001628C1" w:rsidRPr="003B4362" w14:paraId="0E9496DD" w14:textId="77777777" w:rsidTr="008C0979">
        <w:tc>
          <w:tcPr>
            <w:tcW w:w="1584" w:type="dxa"/>
          </w:tcPr>
          <w:p w14:paraId="4373252A" w14:textId="77777777" w:rsidR="000759F5" w:rsidRPr="003B4362" w:rsidRDefault="000759F5" w:rsidP="008C0979">
            <w:pPr>
              <w:suppressAutoHyphens/>
            </w:pPr>
            <w:r w:rsidRPr="003B4362">
              <w:t>15972-60-8</w:t>
            </w:r>
          </w:p>
        </w:tc>
        <w:tc>
          <w:tcPr>
            <w:tcW w:w="4176" w:type="dxa"/>
          </w:tcPr>
          <w:p w14:paraId="3365926D" w14:textId="77777777" w:rsidR="000759F5" w:rsidRPr="003B4362" w:rsidRDefault="000759F5" w:rsidP="008C0979">
            <w:pPr>
              <w:suppressAutoHyphens/>
            </w:pPr>
            <w:r w:rsidRPr="003B4362">
              <w:t>Alachlor</w:t>
            </w:r>
          </w:p>
        </w:tc>
        <w:tc>
          <w:tcPr>
            <w:tcW w:w="1584" w:type="dxa"/>
          </w:tcPr>
          <w:p w14:paraId="5AAF3517" w14:textId="77777777" w:rsidR="000759F5" w:rsidRPr="003B4362" w:rsidRDefault="000759F5" w:rsidP="008C0979">
            <w:pPr>
              <w:suppressAutoHyphens/>
            </w:pPr>
            <w:r w:rsidRPr="003B4362">
              <w:t>0.002</w:t>
            </w:r>
          </w:p>
        </w:tc>
      </w:tr>
      <w:tr w:rsidR="001628C1" w:rsidRPr="003B4362" w14:paraId="12BCF8DD" w14:textId="77777777" w:rsidTr="008C0979">
        <w:tc>
          <w:tcPr>
            <w:tcW w:w="1584" w:type="dxa"/>
          </w:tcPr>
          <w:p w14:paraId="756C5826" w14:textId="77777777" w:rsidR="000759F5" w:rsidRPr="003B4362" w:rsidRDefault="000759F5" w:rsidP="008C0979">
            <w:pPr>
              <w:suppressAutoHyphens/>
            </w:pPr>
            <w:r w:rsidRPr="003B4362">
              <w:t>116-06-3</w:t>
            </w:r>
          </w:p>
        </w:tc>
        <w:tc>
          <w:tcPr>
            <w:tcW w:w="4176" w:type="dxa"/>
          </w:tcPr>
          <w:p w14:paraId="587EAF07" w14:textId="77777777" w:rsidR="000759F5" w:rsidRPr="003B4362" w:rsidRDefault="000759F5" w:rsidP="008C0979">
            <w:pPr>
              <w:suppressAutoHyphens/>
            </w:pPr>
            <w:r w:rsidRPr="003B4362">
              <w:t>Aldicarb*</w:t>
            </w:r>
          </w:p>
        </w:tc>
        <w:tc>
          <w:tcPr>
            <w:tcW w:w="1584" w:type="dxa"/>
          </w:tcPr>
          <w:p w14:paraId="0F0D77E3" w14:textId="77777777" w:rsidR="000759F5" w:rsidRPr="003B4362" w:rsidRDefault="000759F5" w:rsidP="008C0979">
            <w:pPr>
              <w:suppressAutoHyphens/>
            </w:pPr>
            <w:r w:rsidRPr="003B4362">
              <w:t>0.002</w:t>
            </w:r>
          </w:p>
        </w:tc>
      </w:tr>
      <w:tr w:rsidR="001628C1" w:rsidRPr="003B4362" w14:paraId="6C98129A" w14:textId="77777777" w:rsidTr="008C0979">
        <w:tc>
          <w:tcPr>
            <w:tcW w:w="1584" w:type="dxa"/>
          </w:tcPr>
          <w:p w14:paraId="76A3EF01" w14:textId="77777777" w:rsidR="000759F5" w:rsidRPr="003B4362" w:rsidRDefault="000759F5" w:rsidP="008C0979">
            <w:pPr>
              <w:suppressAutoHyphens/>
            </w:pPr>
            <w:r w:rsidRPr="003B4362">
              <w:t>1646-87-4</w:t>
            </w:r>
          </w:p>
        </w:tc>
        <w:tc>
          <w:tcPr>
            <w:tcW w:w="4176" w:type="dxa"/>
          </w:tcPr>
          <w:p w14:paraId="0A14E676" w14:textId="77777777" w:rsidR="000759F5" w:rsidRPr="003B4362" w:rsidRDefault="000759F5" w:rsidP="008C0979">
            <w:pPr>
              <w:suppressAutoHyphens/>
            </w:pPr>
            <w:r w:rsidRPr="003B4362">
              <w:t>Aldicarb sulfone*</w:t>
            </w:r>
          </w:p>
        </w:tc>
        <w:tc>
          <w:tcPr>
            <w:tcW w:w="1584" w:type="dxa"/>
          </w:tcPr>
          <w:p w14:paraId="5EDA0253" w14:textId="77777777" w:rsidR="000759F5" w:rsidRPr="003B4362" w:rsidRDefault="000759F5" w:rsidP="008C0979">
            <w:pPr>
              <w:suppressAutoHyphens/>
            </w:pPr>
            <w:r w:rsidRPr="003B4362">
              <w:t>0.002</w:t>
            </w:r>
          </w:p>
        </w:tc>
      </w:tr>
      <w:tr w:rsidR="001628C1" w:rsidRPr="003B4362" w14:paraId="3B9539E9" w14:textId="77777777" w:rsidTr="008C0979">
        <w:tc>
          <w:tcPr>
            <w:tcW w:w="1584" w:type="dxa"/>
          </w:tcPr>
          <w:p w14:paraId="210E7FBB" w14:textId="77777777" w:rsidR="000759F5" w:rsidRPr="003B4362" w:rsidRDefault="000759F5" w:rsidP="008C0979">
            <w:pPr>
              <w:suppressAutoHyphens/>
            </w:pPr>
            <w:r w:rsidRPr="003B4362">
              <w:t>1646-87-3</w:t>
            </w:r>
          </w:p>
        </w:tc>
        <w:tc>
          <w:tcPr>
            <w:tcW w:w="4176" w:type="dxa"/>
          </w:tcPr>
          <w:p w14:paraId="4446DE0F" w14:textId="77777777" w:rsidR="000759F5" w:rsidRPr="003B4362" w:rsidRDefault="000759F5" w:rsidP="008C0979">
            <w:pPr>
              <w:suppressAutoHyphens/>
            </w:pPr>
            <w:r w:rsidRPr="003B4362">
              <w:t>Aldicarb sulfoxide*</w:t>
            </w:r>
          </w:p>
        </w:tc>
        <w:tc>
          <w:tcPr>
            <w:tcW w:w="1584" w:type="dxa"/>
          </w:tcPr>
          <w:p w14:paraId="6DC1B6F8" w14:textId="77777777" w:rsidR="000759F5" w:rsidRPr="003B4362" w:rsidRDefault="000759F5" w:rsidP="008C0979">
            <w:pPr>
              <w:suppressAutoHyphens/>
            </w:pPr>
            <w:r w:rsidRPr="003B4362">
              <w:t>0.004</w:t>
            </w:r>
          </w:p>
        </w:tc>
      </w:tr>
      <w:tr w:rsidR="001628C1" w:rsidRPr="003B4362" w14:paraId="2F75B21A" w14:textId="77777777" w:rsidTr="008C0979">
        <w:tc>
          <w:tcPr>
            <w:tcW w:w="1584" w:type="dxa"/>
          </w:tcPr>
          <w:p w14:paraId="66DB762F" w14:textId="77777777" w:rsidR="000759F5" w:rsidRPr="003B4362" w:rsidRDefault="000759F5" w:rsidP="008C0979">
            <w:pPr>
              <w:suppressAutoHyphens/>
            </w:pPr>
            <w:r w:rsidRPr="003B4362">
              <w:t>1912-24-9</w:t>
            </w:r>
          </w:p>
        </w:tc>
        <w:tc>
          <w:tcPr>
            <w:tcW w:w="4176" w:type="dxa"/>
          </w:tcPr>
          <w:p w14:paraId="0C51E16A" w14:textId="77777777" w:rsidR="000759F5" w:rsidRPr="003B4362" w:rsidRDefault="000759F5" w:rsidP="008C0979">
            <w:pPr>
              <w:suppressAutoHyphens/>
            </w:pPr>
            <w:r w:rsidRPr="003B4362">
              <w:t>Atrazine</w:t>
            </w:r>
          </w:p>
        </w:tc>
        <w:tc>
          <w:tcPr>
            <w:tcW w:w="1584" w:type="dxa"/>
          </w:tcPr>
          <w:p w14:paraId="3C41480B" w14:textId="77777777" w:rsidR="000759F5" w:rsidRPr="003B4362" w:rsidRDefault="000759F5" w:rsidP="008C0979">
            <w:pPr>
              <w:suppressAutoHyphens/>
            </w:pPr>
            <w:r w:rsidRPr="003B4362">
              <w:t>0.003</w:t>
            </w:r>
          </w:p>
        </w:tc>
      </w:tr>
      <w:tr w:rsidR="001628C1" w:rsidRPr="003B4362" w14:paraId="37BCAFF6" w14:textId="77777777" w:rsidTr="008C0979">
        <w:tc>
          <w:tcPr>
            <w:tcW w:w="1584" w:type="dxa"/>
          </w:tcPr>
          <w:p w14:paraId="513E5CB2" w14:textId="77777777" w:rsidR="000759F5" w:rsidRPr="003B4362" w:rsidRDefault="000759F5" w:rsidP="008C0979">
            <w:pPr>
              <w:suppressAutoHyphens/>
            </w:pPr>
            <w:r w:rsidRPr="003B4362">
              <w:t>50-32-8</w:t>
            </w:r>
          </w:p>
        </w:tc>
        <w:tc>
          <w:tcPr>
            <w:tcW w:w="4176" w:type="dxa"/>
          </w:tcPr>
          <w:p w14:paraId="6076FCEB" w14:textId="77777777" w:rsidR="000759F5" w:rsidRPr="003B4362" w:rsidRDefault="000759F5" w:rsidP="008C0979">
            <w:pPr>
              <w:suppressAutoHyphens/>
            </w:pPr>
            <w:r w:rsidRPr="003B4362">
              <w:t>Benzo(a)pyrene</w:t>
            </w:r>
          </w:p>
        </w:tc>
        <w:tc>
          <w:tcPr>
            <w:tcW w:w="1584" w:type="dxa"/>
          </w:tcPr>
          <w:p w14:paraId="4FD19E8F" w14:textId="77777777" w:rsidR="000759F5" w:rsidRPr="003B4362" w:rsidRDefault="000759F5" w:rsidP="008C0979">
            <w:pPr>
              <w:suppressAutoHyphens/>
            </w:pPr>
            <w:r w:rsidRPr="003B4362">
              <w:t>0.0002</w:t>
            </w:r>
          </w:p>
        </w:tc>
      </w:tr>
      <w:tr w:rsidR="001628C1" w:rsidRPr="003B4362" w14:paraId="59C2DC63" w14:textId="77777777" w:rsidTr="008C0979">
        <w:tc>
          <w:tcPr>
            <w:tcW w:w="1584" w:type="dxa"/>
          </w:tcPr>
          <w:p w14:paraId="5CB74C4E" w14:textId="77777777" w:rsidR="000759F5" w:rsidRPr="003B4362" w:rsidRDefault="000759F5" w:rsidP="008C0979">
            <w:pPr>
              <w:suppressAutoHyphens/>
            </w:pPr>
            <w:r w:rsidRPr="003B4362">
              <w:t>1563-66-2</w:t>
            </w:r>
          </w:p>
        </w:tc>
        <w:tc>
          <w:tcPr>
            <w:tcW w:w="4176" w:type="dxa"/>
          </w:tcPr>
          <w:p w14:paraId="7EF7214D" w14:textId="77777777" w:rsidR="000759F5" w:rsidRPr="003B4362" w:rsidRDefault="000759F5" w:rsidP="008C0979">
            <w:pPr>
              <w:suppressAutoHyphens/>
            </w:pPr>
            <w:r w:rsidRPr="003B4362">
              <w:t>Carbofuran</w:t>
            </w:r>
          </w:p>
        </w:tc>
        <w:tc>
          <w:tcPr>
            <w:tcW w:w="1584" w:type="dxa"/>
          </w:tcPr>
          <w:p w14:paraId="69C5866C" w14:textId="77777777" w:rsidR="000759F5" w:rsidRPr="003B4362" w:rsidRDefault="000759F5" w:rsidP="008C0979">
            <w:pPr>
              <w:suppressAutoHyphens/>
            </w:pPr>
            <w:r w:rsidRPr="003B4362">
              <w:t>0.04</w:t>
            </w:r>
          </w:p>
        </w:tc>
      </w:tr>
      <w:tr w:rsidR="001628C1" w:rsidRPr="003B4362" w14:paraId="58B75FF8" w14:textId="77777777" w:rsidTr="008C0979">
        <w:tc>
          <w:tcPr>
            <w:tcW w:w="1584" w:type="dxa"/>
          </w:tcPr>
          <w:p w14:paraId="238DA52C" w14:textId="77777777" w:rsidR="000759F5" w:rsidRPr="003B4362" w:rsidRDefault="000759F5" w:rsidP="008C0979">
            <w:pPr>
              <w:suppressAutoHyphens/>
            </w:pPr>
            <w:r w:rsidRPr="003B4362">
              <w:t>57-74-9</w:t>
            </w:r>
          </w:p>
        </w:tc>
        <w:tc>
          <w:tcPr>
            <w:tcW w:w="4176" w:type="dxa"/>
          </w:tcPr>
          <w:p w14:paraId="0C064F58" w14:textId="77777777" w:rsidR="000759F5" w:rsidRPr="003B4362" w:rsidRDefault="000759F5" w:rsidP="008C0979">
            <w:pPr>
              <w:suppressAutoHyphens/>
            </w:pPr>
            <w:r w:rsidRPr="003B4362">
              <w:t>Chlordane</w:t>
            </w:r>
          </w:p>
        </w:tc>
        <w:tc>
          <w:tcPr>
            <w:tcW w:w="1584" w:type="dxa"/>
          </w:tcPr>
          <w:p w14:paraId="691EABF2" w14:textId="77777777" w:rsidR="000759F5" w:rsidRPr="003B4362" w:rsidRDefault="000759F5" w:rsidP="008C0979">
            <w:pPr>
              <w:suppressAutoHyphens/>
            </w:pPr>
            <w:r w:rsidRPr="003B4362">
              <w:t>0.002</w:t>
            </w:r>
          </w:p>
        </w:tc>
      </w:tr>
      <w:tr w:rsidR="001628C1" w:rsidRPr="003B4362" w14:paraId="0349F6B2" w14:textId="77777777" w:rsidTr="008C0979">
        <w:tc>
          <w:tcPr>
            <w:tcW w:w="1584" w:type="dxa"/>
          </w:tcPr>
          <w:p w14:paraId="0DE98D01" w14:textId="77777777" w:rsidR="000759F5" w:rsidRPr="003B4362" w:rsidRDefault="000759F5" w:rsidP="008C0979">
            <w:pPr>
              <w:suppressAutoHyphens/>
            </w:pPr>
            <w:r w:rsidRPr="003B4362">
              <w:t>94-75-7</w:t>
            </w:r>
          </w:p>
        </w:tc>
        <w:tc>
          <w:tcPr>
            <w:tcW w:w="4176" w:type="dxa"/>
          </w:tcPr>
          <w:p w14:paraId="53D32605" w14:textId="77777777" w:rsidR="000759F5" w:rsidRPr="003B4362" w:rsidRDefault="000759F5" w:rsidP="008C0979">
            <w:pPr>
              <w:suppressAutoHyphens/>
            </w:pPr>
            <w:r w:rsidRPr="003B4362">
              <w:t>2,4-D</w:t>
            </w:r>
          </w:p>
        </w:tc>
        <w:tc>
          <w:tcPr>
            <w:tcW w:w="1584" w:type="dxa"/>
          </w:tcPr>
          <w:p w14:paraId="666672AB" w14:textId="77777777" w:rsidR="000759F5" w:rsidRPr="003B4362" w:rsidRDefault="000759F5" w:rsidP="008C0979">
            <w:pPr>
              <w:suppressAutoHyphens/>
            </w:pPr>
            <w:r w:rsidRPr="003B4362">
              <w:t>0.07</w:t>
            </w:r>
          </w:p>
        </w:tc>
      </w:tr>
      <w:tr w:rsidR="001628C1" w:rsidRPr="003B4362" w14:paraId="10A42F15" w14:textId="77777777" w:rsidTr="008C0979">
        <w:tc>
          <w:tcPr>
            <w:tcW w:w="1584" w:type="dxa"/>
          </w:tcPr>
          <w:p w14:paraId="4789C5B5" w14:textId="77777777" w:rsidR="000759F5" w:rsidRPr="003B4362" w:rsidRDefault="000759F5" w:rsidP="008C0979">
            <w:pPr>
              <w:suppressAutoHyphens/>
            </w:pPr>
            <w:r w:rsidRPr="003B4362">
              <w:t>75-99-0</w:t>
            </w:r>
          </w:p>
        </w:tc>
        <w:tc>
          <w:tcPr>
            <w:tcW w:w="4176" w:type="dxa"/>
          </w:tcPr>
          <w:p w14:paraId="0B728FB2" w14:textId="77777777" w:rsidR="000759F5" w:rsidRPr="003B4362" w:rsidRDefault="000759F5" w:rsidP="008C0979">
            <w:pPr>
              <w:suppressAutoHyphens/>
            </w:pPr>
            <w:r w:rsidRPr="003B4362">
              <w:t>Dalapon</w:t>
            </w:r>
          </w:p>
        </w:tc>
        <w:tc>
          <w:tcPr>
            <w:tcW w:w="1584" w:type="dxa"/>
          </w:tcPr>
          <w:p w14:paraId="44FF4919" w14:textId="77777777" w:rsidR="000759F5" w:rsidRPr="003B4362" w:rsidRDefault="000759F5" w:rsidP="008C0979">
            <w:pPr>
              <w:suppressAutoHyphens/>
            </w:pPr>
            <w:r w:rsidRPr="003B4362">
              <w:t>0.2</w:t>
            </w:r>
          </w:p>
        </w:tc>
      </w:tr>
      <w:tr w:rsidR="001628C1" w:rsidRPr="003B4362" w14:paraId="7FBB57DE" w14:textId="77777777" w:rsidTr="008C0979">
        <w:tc>
          <w:tcPr>
            <w:tcW w:w="1584" w:type="dxa"/>
          </w:tcPr>
          <w:p w14:paraId="05AEFACB" w14:textId="77777777" w:rsidR="000759F5" w:rsidRPr="003B4362" w:rsidRDefault="000759F5" w:rsidP="008C0979">
            <w:pPr>
              <w:suppressAutoHyphens/>
            </w:pPr>
            <w:r w:rsidRPr="003B4362">
              <w:t>96-12-8</w:t>
            </w:r>
          </w:p>
        </w:tc>
        <w:tc>
          <w:tcPr>
            <w:tcW w:w="4176" w:type="dxa"/>
          </w:tcPr>
          <w:p w14:paraId="24D80022" w14:textId="77777777" w:rsidR="000759F5" w:rsidRPr="003B4362" w:rsidRDefault="000759F5" w:rsidP="008C0979">
            <w:pPr>
              <w:suppressAutoHyphens/>
            </w:pPr>
            <w:r w:rsidRPr="003B4362">
              <w:t>Dibromochloropropane</w:t>
            </w:r>
          </w:p>
        </w:tc>
        <w:tc>
          <w:tcPr>
            <w:tcW w:w="1584" w:type="dxa"/>
          </w:tcPr>
          <w:p w14:paraId="0D89EFA5" w14:textId="77777777" w:rsidR="000759F5" w:rsidRPr="003B4362" w:rsidRDefault="000759F5" w:rsidP="008C0979">
            <w:pPr>
              <w:suppressAutoHyphens/>
            </w:pPr>
            <w:r w:rsidRPr="003B4362">
              <w:t>0.0002</w:t>
            </w:r>
          </w:p>
        </w:tc>
      </w:tr>
      <w:tr w:rsidR="001628C1" w:rsidRPr="003B4362" w14:paraId="12ECAF71" w14:textId="77777777" w:rsidTr="008C0979">
        <w:tc>
          <w:tcPr>
            <w:tcW w:w="1584" w:type="dxa"/>
          </w:tcPr>
          <w:p w14:paraId="5126D210" w14:textId="77777777" w:rsidR="000759F5" w:rsidRPr="003B4362" w:rsidRDefault="000759F5" w:rsidP="008C0979">
            <w:pPr>
              <w:suppressAutoHyphens/>
            </w:pPr>
            <w:r w:rsidRPr="003B4362">
              <w:t>103-23-1</w:t>
            </w:r>
          </w:p>
        </w:tc>
        <w:tc>
          <w:tcPr>
            <w:tcW w:w="4176" w:type="dxa"/>
          </w:tcPr>
          <w:p w14:paraId="595597BD" w14:textId="77777777" w:rsidR="000759F5" w:rsidRPr="003B4362" w:rsidRDefault="000759F5" w:rsidP="008C0979">
            <w:pPr>
              <w:suppressAutoHyphens/>
            </w:pPr>
            <w:r w:rsidRPr="003B4362">
              <w:t>Di(2-ethylhexyl)adipate</w:t>
            </w:r>
          </w:p>
        </w:tc>
        <w:tc>
          <w:tcPr>
            <w:tcW w:w="1584" w:type="dxa"/>
          </w:tcPr>
          <w:p w14:paraId="43AB0507" w14:textId="77777777" w:rsidR="000759F5" w:rsidRPr="003B4362" w:rsidRDefault="000759F5" w:rsidP="008C0979">
            <w:pPr>
              <w:suppressAutoHyphens/>
            </w:pPr>
            <w:r w:rsidRPr="003B4362">
              <w:t>0.4</w:t>
            </w:r>
          </w:p>
        </w:tc>
      </w:tr>
      <w:tr w:rsidR="001628C1" w:rsidRPr="003B4362" w14:paraId="60054697" w14:textId="77777777" w:rsidTr="008C0979">
        <w:tc>
          <w:tcPr>
            <w:tcW w:w="1584" w:type="dxa"/>
          </w:tcPr>
          <w:p w14:paraId="1D1349FC" w14:textId="77777777" w:rsidR="000759F5" w:rsidRPr="003B4362" w:rsidRDefault="000759F5" w:rsidP="008C0979">
            <w:pPr>
              <w:suppressAutoHyphens/>
            </w:pPr>
            <w:r w:rsidRPr="003B4362">
              <w:t>117-81-7</w:t>
            </w:r>
          </w:p>
        </w:tc>
        <w:tc>
          <w:tcPr>
            <w:tcW w:w="4176" w:type="dxa"/>
          </w:tcPr>
          <w:p w14:paraId="080A0A6A" w14:textId="77777777" w:rsidR="000759F5" w:rsidRPr="003B4362" w:rsidRDefault="000759F5" w:rsidP="008C0979">
            <w:pPr>
              <w:keepNext/>
              <w:keepLines/>
              <w:suppressAutoHyphens/>
            </w:pPr>
            <w:r w:rsidRPr="003B4362">
              <w:t>Di(2-ethylhexyl)phthalate</w:t>
            </w:r>
          </w:p>
        </w:tc>
        <w:tc>
          <w:tcPr>
            <w:tcW w:w="1584" w:type="dxa"/>
          </w:tcPr>
          <w:p w14:paraId="043E2B06" w14:textId="77777777" w:rsidR="000759F5" w:rsidRPr="003B4362" w:rsidRDefault="000759F5" w:rsidP="008C0979">
            <w:pPr>
              <w:keepNext/>
              <w:keepLines/>
              <w:suppressAutoHyphens/>
            </w:pPr>
            <w:r w:rsidRPr="003B4362">
              <w:t>0.006</w:t>
            </w:r>
          </w:p>
        </w:tc>
      </w:tr>
      <w:tr w:rsidR="001628C1" w:rsidRPr="003B4362" w14:paraId="183FA27D" w14:textId="77777777" w:rsidTr="008C0979">
        <w:tc>
          <w:tcPr>
            <w:tcW w:w="1584" w:type="dxa"/>
          </w:tcPr>
          <w:p w14:paraId="4571FEA6" w14:textId="77777777" w:rsidR="000759F5" w:rsidRPr="003B4362" w:rsidRDefault="000759F5" w:rsidP="008C0979">
            <w:pPr>
              <w:suppressAutoHyphens/>
            </w:pPr>
            <w:r w:rsidRPr="003B4362">
              <w:t>88-85-7</w:t>
            </w:r>
          </w:p>
        </w:tc>
        <w:tc>
          <w:tcPr>
            <w:tcW w:w="4176" w:type="dxa"/>
          </w:tcPr>
          <w:p w14:paraId="41430072" w14:textId="77777777" w:rsidR="000759F5" w:rsidRPr="003B4362" w:rsidRDefault="000759F5" w:rsidP="008C0979">
            <w:pPr>
              <w:suppressAutoHyphens/>
            </w:pPr>
            <w:r w:rsidRPr="003B4362">
              <w:t>Dinoseb</w:t>
            </w:r>
          </w:p>
        </w:tc>
        <w:tc>
          <w:tcPr>
            <w:tcW w:w="1584" w:type="dxa"/>
          </w:tcPr>
          <w:p w14:paraId="4274DC99" w14:textId="77777777" w:rsidR="000759F5" w:rsidRPr="003B4362" w:rsidRDefault="000759F5" w:rsidP="008C0979">
            <w:pPr>
              <w:suppressAutoHyphens/>
            </w:pPr>
            <w:r w:rsidRPr="003B4362">
              <w:t>0.007</w:t>
            </w:r>
          </w:p>
        </w:tc>
      </w:tr>
      <w:tr w:rsidR="001628C1" w:rsidRPr="003B4362" w14:paraId="77081C79" w14:textId="77777777" w:rsidTr="008C0979">
        <w:tc>
          <w:tcPr>
            <w:tcW w:w="1584" w:type="dxa"/>
          </w:tcPr>
          <w:p w14:paraId="5C496522" w14:textId="77777777" w:rsidR="000759F5" w:rsidRPr="003B4362" w:rsidRDefault="000759F5" w:rsidP="008C0979">
            <w:pPr>
              <w:suppressAutoHyphens/>
            </w:pPr>
            <w:r w:rsidRPr="003B4362">
              <w:t>85-00-7</w:t>
            </w:r>
          </w:p>
        </w:tc>
        <w:tc>
          <w:tcPr>
            <w:tcW w:w="4176" w:type="dxa"/>
          </w:tcPr>
          <w:p w14:paraId="06B9AD62" w14:textId="77777777" w:rsidR="000759F5" w:rsidRPr="003B4362" w:rsidRDefault="000759F5" w:rsidP="008C0979">
            <w:pPr>
              <w:suppressAutoHyphens/>
            </w:pPr>
            <w:r w:rsidRPr="003B4362">
              <w:t>Diquat</w:t>
            </w:r>
          </w:p>
        </w:tc>
        <w:tc>
          <w:tcPr>
            <w:tcW w:w="1584" w:type="dxa"/>
          </w:tcPr>
          <w:p w14:paraId="1C3D4EE3" w14:textId="77777777" w:rsidR="000759F5" w:rsidRPr="003B4362" w:rsidRDefault="000759F5" w:rsidP="008C0979">
            <w:pPr>
              <w:suppressAutoHyphens/>
            </w:pPr>
            <w:r w:rsidRPr="003B4362">
              <w:t>0.02</w:t>
            </w:r>
          </w:p>
        </w:tc>
      </w:tr>
      <w:tr w:rsidR="001628C1" w:rsidRPr="003B4362" w14:paraId="6006DD09" w14:textId="77777777" w:rsidTr="008C0979">
        <w:tc>
          <w:tcPr>
            <w:tcW w:w="1584" w:type="dxa"/>
          </w:tcPr>
          <w:p w14:paraId="0D394F23" w14:textId="77777777" w:rsidR="000759F5" w:rsidRPr="003B4362" w:rsidRDefault="000759F5" w:rsidP="008C0979">
            <w:pPr>
              <w:suppressAutoHyphens/>
            </w:pPr>
            <w:r w:rsidRPr="003B4362">
              <w:t>145-73-3</w:t>
            </w:r>
          </w:p>
        </w:tc>
        <w:tc>
          <w:tcPr>
            <w:tcW w:w="4176" w:type="dxa"/>
          </w:tcPr>
          <w:p w14:paraId="6A9DAAE2" w14:textId="77777777" w:rsidR="000759F5" w:rsidRPr="003B4362" w:rsidRDefault="000759F5" w:rsidP="008C0979">
            <w:pPr>
              <w:suppressAutoHyphens/>
            </w:pPr>
            <w:r w:rsidRPr="003B4362">
              <w:t>Endothall</w:t>
            </w:r>
          </w:p>
        </w:tc>
        <w:tc>
          <w:tcPr>
            <w:tcW w:w="1584" w:type="dxa"/>
          </w:tcPr>
          <w:p w14:paraId="3DB190A5" w14:textId="77777777" w:rsidR="000759F5" w:rsidRPr="003B4362" w:rsidRDefault="000759F5" w:rsidP="008C0979">
            <w:pPr>
              <w:suppressAutoHyphens/>
            </w:pPr>
            <w:r w:rsidRPr="003B4362">
              <w:t>0.1</w:t>
            </w:r>
          </w:p>
        </w:tc>
      </w:tr>
      <w:tr w:rsidR="001628C1" w:rsidRPr="003B4362" w14:paraId="140E1CC7" w14:textId="77777777" w:rsidTr="008C0979">
        <w:tc>
          <w:tcPr>
            <w:tcW w:w="1584" w:type="dxa"/>
          </w:tcPr>
          <w:p w14:paraId="025A8CF9" w14:textId="77777777" w:rsidR="000759F5" w:rsidRPr="003B4362" w:rsidRDefault="000759F5" w:rsidP="008C0979">
            <w:pPr>
              <w:suppressAutoHyphens/>
            </w:pPr>
            <w:r w:rsidRPr="003B4362">
              <w:t>72-20-8</w:t>
            </w:r>
          </w:p>
        </w:tc>
        <w:tc>
          <w:tcPr>
            <w:tcW w:w="4176" w:type="dxa"/>
          </w:tcPr>
          <w:p w14:paraId="66DED2BE" w14:textId="77777777" w:rsidR="000759F5" w:rsidRPr="003B4362" w:rsidRDefault="000759F5" w:rsidP="008C0979">
            <w:pPr>
              <w:suppressAutoHyphens/>
            </w:pPr>
            <w:r w:rsidRPr="003B4362">
              <w:t>Endrin</w:t>
            </w:r>
          </w:p>
        </w:tc>
        <w:tc>
          <w:tcPr>
            <w:tcW w:w="1584" w:type="dxa"/>
          </w:tcPr>
          <w:p w14:paraId="0D47BC43" w14:textId="77777777" w:rsidR="000759F5" w:rsidRPr="003B4362" w:rsidRDefault="000759F5" w:rsidP="008C0979">
            <w:pPr>
              <w:suppressAutoHyphens/>
            </w:pPr>
            <w:r w:rsidRPr="003B4362">
              <w:t>0.002</w:t>
            </w:r>
          </w:p>
        </w:tc>
      </w:tr>
      <w:tr w:rsidR="001628C1" w:rsidRPr="003B4362" w14:paraId="6D58016C" w14:textId="77777777" w:rsidTr="008C0979">
        <w:tc>
          <w:tcPr>
            <w:tcW w:w="1584" w:type="dxa"/>
          </w:tcPr>
          <w:p w14:paraId="7C72A7E0" w14:textId="77777777" w:rsidR="000759F5" w:rsidRPr="003B4362" w:rsidRDefault="000759F5" w:rsidP="008C0979">
            <w:pPr>
              <w:suppressAutoHyphens/>
            </w:pPr>
            <w:r w:rsidRPr="003B4362">
              <w:t>106-93-4</w:t>
            </w:r>
          </w:p>
        </w:tc>
        <w:tc>
          <w:tcPr>
            <w:tcW w:w="4176" w:type="dxa"/>
          </w:tcPr>
          <w:p w14:paraId="559F354F" w14:textId="77777777" w:rsidR="000759F5" w:rsidRPr="003B4362" w:rsidRDefault="000759F5" w:rsidP="008C0979">
            <w:pPr>
              <w:suppressAutoHyphens/>
            </w:pPr>
            <w:r w:rsidRPr="003B4362">
              <w:t>Ethylene dibromide</w:t>
            </w:r>
          </w:p>
        </w:tc>
        <w:tc>
          <w:tcPr>
            <w:tcW w:w="1584" w:type="dxa"/>
          </w:tcPr>
          <w:p w14:paraId="57CCF821" w14:textId="77777777" w:rsidR="000759F5" w:rsidRPr="003B4362" w:rsidRDefault="000759F5" w:rsidP="008C0979">
            <w:pPr>
              <w:suppressAutoHyphens/>
            </w:pPr>
            <w:r w:rsidRPr="003B4362">
              <w:t>0.00005</w:t>
            </w:r>
          </w:p>
        </w:tc>
      </w:tr>
      <w:tr w:rsidR="001628C1" w:rsidRPr="003B4362" w14:paraId="2EB2536C" w14:textId="77777777" w:rsidTr="008C0979">
        <w:tc>
          <w:tcPr>
            <w:tcW w:w="1584" w:type="dxa"/>
          </w:tcPr>
          <w:p w14:paraId="643B7A9A" w14:textId="77777777" w:rsidR="000759F5" w:rsidRPr="003B4362" w:rsidRDefault="000759F5" w:rsidP="008C0979">
            <w:pPr>
              <w:suppressAutoHyphens/>
            </w:pPr>
            <w:r w:rsidRPr="003B4362">
              <w:t>1071-53-6</w:t>
            </w:r>
          </w:p>
        </w:tc>
        <w:tc>
          <w:tcPr>
            <w:tcW w:w="4176" w:type="dxa"/>
          </w:tcPr>
          <w:p w14:paraId="58DB5536" w14:textId="77777777" w:rsidR="000759F5" w:rsidRPr="003B4362" w:rsidRDefault="000759F5" w:rsidP="008C0979">
            <w:pPr>
              <w:suppressAutoHyphens/>
            </w:pPr>
            <w:r w:rsidRPr="003B4362">
              <w:t>Glyphosate</w:t>
            </w:r>
          </w:p>
        </w:tc>
        <w:tc>
          <w:tcPr>
            <w:tcW w:w="1584" w:type="dxa"/>
          </w:tcPr>
          <w:p w14:paraId="7160EEB4" w14:textId="77777777" w:rsidR="000759F5" w:rsidRPr="003B4362" w:rsidRDefault="000759F5" w:rsidP="008C0979">
            <w:pPr>
              <w:suppressAutoHyphens/>
            </w:pPr>
            <w:r w:rsidRPr="003B4362">
              <w:t>0.7</w:t>
            </w:r>
          </w:p>
        </w:tc>
      </w:tr>
      <w:tr w:rsidR="001628C1" w:rsidRPr="003B4362" w14:paraId="50F78F54" w14:textId="77777777" w:rsidTr="008C0979">
        <w:tc>
          <w:tcPr>
            <w:tcW w:w="1584" w:type="dxa"/>
          </w:tcPr>
          <w:p w14:paraId="0A371C98" w14:textId="77777777" w:rsidR="000759F5" w:rsidRPr="003B4362" w:rsidRDefault="000759F5" w:rsidP="008C0979">
            <w:pPr>
              <w:suppressAutoHyphens/>
            </w:pPr>
            <w:r w:rsidRPr="003B4362">
              <w:t>76-44-8</w:t>
            </w:r>
          </w:p>
        </w:tc>
        <w:tc>
          <w:tcPr>
            <w:tcW w:w="4176" w:type="dxa"/>
          </w:tcPr>
          <w:p w14:paraId="7F50BC32" w14:textId="77777777" w:rsidR="000759F5" w:rsidRPr="003B4362" w:rsidRDefault="000759F5" w:rsidP="008C0979">
            <w:pPr>
              <w:suppressAutoHyphens/>
            </w:pPr>
            <w:r w:rsidRPr="003B4362">
              <w:t>Heptachlor</w:t>
            </w:r>
          </w:p>
        </w:tc>
        <w:tc>
          <w:tcPr>
            <w:tcW w:w="1584" w:type="dxa"/>
          </w:tcPr>
          <w:p w14:paraId="5750C738" w14:textId="77777777" w:rsidR="000759F5" w:rsidRPr="003B4362" w:rsidRDefault="000759F5" w:rsidP="008C0979">
            <w:pPr>
              <w:suppressAutoHyphens/>
            </w:pPr>
            <w:r w:rsidRPr="003B4362">
              <w:t>0.0004</w:t>
            </w:r>
          </w:p>
        </w:tc>
      </w:tr>
      <w:tr w:rsidR="001628C1" w:rsidRPr="003B4362" w14:paraId="17823354" w14:textId="77777777" w:rsidTr="008C0979">
        <w:tc>
          <w:tcPr>
            <w:tcW w:w="1584" w:type="dxa"/>
          </w:tcPr>
          <w:p w14:paraId="44425724" w14:textId="77777777" w:rsidR="000759F5" w:rsidRPr="003B4362" w:rsidRDefault="000759F5" w:rsidP="008C0979">
            <w:pPr>
              <w:suppressAutoHyphens/>
            </w:pPr>
            <w:r w:rsidRPr="003B4362">
              <w:t>1024-57-3</w:t>
            </w:r>
          </w:p>
        </w:tc>
        <w:tc>
          <w:tcPr>
            <w:tcW w:w="4176" w:type="dxa"/>
          </w:tcPr>
          <w:p w14:paraId="4015E0D0" w14:textId="77777777" w:rsidR="000759F5" w:rsidRPr="003B4362" w:rsidRDefault="000759F5" w:rsidP="008C0979">
            <w:pPr>
              <w:suppressAutoHyphens/>
            </w:pPr>
            <w:r w:rsidRPr="003B4362">
              <w:t>Heptachlor epoxide</w:t>
            </w:r>
          </w:p>
        </w:tc>
        <w:tc>
          <w:tcPr>
            <w:tcW w:w="1584" w:type="dxa"/>
          </w:tcPr>
          <w:p w14:paraId="225E5226" w14:textId="77777777" w:rsidR="000759F5" w:rsidRPr="003B4362" w:rsidRDefault="000759F5" w:rsidP="008C0979">
            <w:pPr>
              <w:suppressAutoHyphens/>
            </w:pPr>
            <w:r w:rsidRPr="003B4362">
              <w:t>0.0002</w:t>
            </w:r>
          </w:p>
        </w:tc>
      </w:tr>
      <w:tr w:rsidR="001628C1" w:rsidRPr="003B4362" w14:paraId="65932E46" w14:textId="77777777" w:rsidTr="008C0979">
        <w:tc>
          <w:tcPr>
            <w:tcW w:w="1584" w:type="dxa"/>
          </w:tcPr>
          <w:p w14:paraId="78F7E7D7" w14:textId="77777777" w:rsidR="000759F5" w:rsidRPr="003B4362" w:rsidRDefault="000759F5" w:rsidP="008C0979">
            <w:pPr>
              <w:suppressAutoHyphens/>
            </w:pPr>
            <w:r w:rsidRPr="003B4362">
              <w:t>118-74-1</w:t>
            </w:r>
          </w:p>
        </w:tc>
        <w:tc>
          <w:tcPr>
            <w:tcW w:w="4176" w:type="dxa"/>
          </w:tcPr>
          <w:p w14:paraId="59862A80" w14:textId="77777777" w:rsidR="000759F5" w:rsidRPr="003B4362" w:rsidRDefault="000759F5" w:rsidP="008C0979">
            <w:pPr>
              <w:suppressAutoHyphens/>
            </w:pPr>
            <w:r w:rsidRPr="003B4362">
              <w:t>Hexachlorobenzene</w:t>
            </w:r>
          </w:p>
        </w:tc>
        <w:tc>
          <w:tcPr>
            <w:tcW w:w="1584" w:type="dxa"/>
          </w:tcPr>
          <w:p w14:paraId="0B195309" w14:textId="77777777" w:rsidR="000759F5" w:rsidRPr="003B4362" w:rsidRDefault="000759F5" w:rsidP="008C0979">
            <w:pPr>
              <w:suppressAutoHyphens/>
            </w:pPr>
            <w:r w:rsidRPr="003B4362">
              <w:t>0.001</w:t>
            </w:r>
          </w:p>
        </w:tc>
      </w:tr>
      <w:tr w:rsidR="001628C1" w:rsidRPr="003B4362" w14:paraId="22D5FCB2" w14:textId="77777777" w:rsidTr="008C0979">
        <w:tc>
          <w:tcPr>
            <w:tcW w:w="1584" w:type="dxa"/>
          </w:tcPr>
          <w:p w14:paraId="5A632180" w14:textId="77777777" w:rsidR="000759F5" w:rsidRPr="003B4362" w:rsidRDefault="000759F5" w:rsidP="008C0979">
            <w:pPr>
              <w:suppressAutoHyphens/>
            </w:pPr>
            <w:r w:rsidRPr="003B4362">
              <w:t>77-47-4</w:t>
            </w:r>
          </w:p>
        </w:tc>
        <w:tc>
          <w:tcPr>
            <w:tcW w:w="4176" w:type="dxa"/>
          </w:tcPr>
          <w:p w14:paraId="2808FED2" w14:textId="77777777" w:rsidR="000759F5" w:rsidRPr="003B4362" w:rsidRDefault="000759F5" w:rsidP="008C0979">
            <w:pPr>
              <w:suppressAutoHyphens/>
            </w:pPr>
            <w:r w:rsidRPr="003B4362">
              <w:t>Hexachlorocyclopentadiene</w:t>
            </w:r>
          </w:p>
        </w:tc>
        <w:tc>
          <w:tcPr>
            <w:tcW w:w="1584" w:type="dxa"/>
          </w:tcPr>
          <w:p w14:paraId="7C249786" w14:textId="77777777" w:rsidR="000759F5" w:rsidRPr="003B4362" w:rsidRDefault="000759F5" w:rsidP="008C0979">
            <w:pPr>
              <w:suppressAutoHyphens/>
            </w:pPr>
            <w:r w:rsidRPr="003B4362">
              <w:t>0.05</w:t>
            </w:r>
          </w:p>
        </w:tc>
      </w:tr>
      <w:tr w:rsidR="001628C1" w:rsidRPr="003B4362" w14:paraId="35C990B6" w14:textId="77777777" w:rsidTr="008C0979">
        <w:tc>
          <w:tcPr>
            <w:tcW w:w="1584" w:type="dxa"/>
          </w:tcPr>
          <w:p w14:paraId="064C0CD0" w14:textId="77777777" w:rsidR="000759F5" w:rsidRPr="003B4362" w:rsidRDefault="000759F5" w:rsidP="008C0979">
            <w:pPr>
              <w:suppressAutoHyphens/>
            </w:pPr>
            <w:r w:rsidRPr="003B4362">
              <w:t>58-89-9</w:t>
            </w:r>
          </w:p>
        </w:tc>
        <w:tc>
          <w:tcPr>
            <w:tcW w:w="4176" w:type="dxa"/>
          </w:tcPr>
          <w:p w14:paraId="2E943A5E" w14:textId="77777777" w:rsidR="000759F5" w:rsidRPr="003B4362" w:rsidRDefault="000759F5" w:rsidP="008C0979">
            <w:pPr>
              <w:suppressAutoHyphens/>
            </w:pPr>
            <w:r w:rsidRPr="003B4362">
              <w:t>Lindane</w:t>
            </w:r>
          </w:p>
        </w:tc>
        <w:tc>
          <w:tcPr>
            <w:tcW w:w="1584" w:type="dxa"/>
          </w:tcPr>
          <w:p w14:paraId="078FE179" w14:textId="77777777" w:rsidR="000759F5" w:rsidRPr="003B4362" w:rsidRDefault="000759F5" w:rsidP="008C0979">
            <w:pPr>
              <w:suppressAutoHyphens/>
            </w:pPr>
            <w:r w:rsidRPr="003B4362">
              <w:t>0.0002</w:t>
            </w:r>
          </w:p>
        </w:tc>
      </w:tr>
      <w:tr w:rsidR="001628C1" w:rsidRPr="003B4362" w14:paraId="78BC2AD4" w14:textId="77777777" w:rsidTr="008C0979">
        <w:tc>
          <w:tcPr>
            <w:tcW w:w="1584" w:type="dxa"/>
          </w:tcPr>
          <w:p w14:paraId="10C160F9" w14:textId="77777777" w:rsidR="000759F5" w:rsidRPr="003B4362" w:rsidRDefault="000759F5" w:rsidP="008C0979">
            <w:pPr>
              <w:suppressAutoHyphens/>
            </w:pPr>
            <w:r w:rsidRPr="003B4362">
              <w:t>72-43-5</w:t>
            </w:r>
          </w:p>
        </w:tc>
        <w:tc>
          <w:tcPr>
            <w:tcW w:w="4176" w:type="dxa"/>
          </w:tcPr>
          <w:p w14:paraId="65B1F58A" w14:textId="77777777" w:rsidR="000759F5" w:rsidRPr="003B4362" w:rsidRDefault="000759F5" w:rsidP="008C0979">
            <w:pPr>
              <w:suppressAutoHyphens/>
            </w:pPr>
            <w:r w:rsidRPr="003B4362">
              <w:t>Methoxychlor</w:t>
            </w:r>
          </w:p>
        </w:tc>
        <w:tc>
          <w:tcPr>
            <w:tcW w:w="1584" w:type="dxa"/>
          </w:tcPr>
          <w:p w14:paraId="77259B1A" w14:textId="77777777" w:rsidR="000759F5" w:rsidRPr="003B4362" w:rsidRDefault="000759F5" w:rsidP="008C0979">
            <w:pPr>
              <w:suppressAutoHyphens/>
            </w:pPr>
            <w:r w:rsidRPr="003B4362">
              <w:t>0.04</w:t>
            </w:r>
          </w:p>
        </w:tc>
      </w:tr>
      <w:tr w:rsidR="001628C1" w:rsidRPr="003B4362" w14:paraId="6CE248C5" w14:textId="77777777" w:rsidTr="008C0979">
        <w:tc>
          <w:tcPr>
            <w:tcW w:w="1584" w:type="dxa"/>
          </w:tcPr>
          <w:p w14:paraId="65C406EB" w14:textId="77777777" w:rsidR="000759F5" w:rsidRPr="003B4362" w:rsidRDefault="000759F5" w:rsidP="008C0979">
            <w:pPr>
              <w:suppressAutoHyphens/>
            </w:pPr>
            <w:r w:rsidRPr="003B4362">
              <w:t>23135-22-0</w:t>
            </w:r>
          </w:p>
        </w:tc>
        <w:tc>
          <w:tcPr>
            <w:tcW w:w="4176" w:type="dxa"/>
          </w:tcPr>
          <w:p w14:paraId="2C4A419C" w14:textId="77777777" w:rsidR="000759F5" w:rsidRPr="003B4362" w:rsidRDefault="000759F5" w:rsidP="008C0979">
            <w:pPr>
              <w:suppressAutoHyphens/>
            </w:pPr>
            <w:r w:rsidRPr="003B4362">
              <w:t>Oxamyl (Vydate)</w:t>
            </w:r>
          </w:p>
        </w:tc>
        <w:tc>
          <w:tcPr>
            <w:tcW w:w="1584" w:type="dxa"/>
          </w:tcPr>
          <w:p w14:paraId="37C3C827" w14:textId="77777777" w:rsidR="000759F5" w:rsidRPr="003B4362" w:rsidRDefault="000759F5" w:rsidP="008C0979">
            <w:pPr>
              <w:suppressAutoHyphens/>
            </w:pPr>
            <w:r w:rsidRPr="003B4362">
              <w:t>0.2</w:t>
            </w:r>
          </w:p>
        </w:tc>
      </w:tr>
      <w:tr w:rsidR="001628C1" w:rsidRPr="003B4362" w14:paraId="14151977" w14:textId="77777777" w:rsidTr="008C0979">
        <w:tc>
          <w:tcPr>
            <w:tcW w:w="1584" w:type="dxa"/>
          </w:tcPr>
          <w:p w14:paraId="400EAE25" w14:textId="77777777" w:rsidR="000759F5" w:rsidRPr="003B4362" w:rsidRDefault="000759F5" w:rsidP="008C0979">
            <w:pPr>
              <w:suppressAutoHyphens/>
            </w:pPr>
            <w:r w:rsidRPr="003B4362">
              <w:t>87-86-5</w:t>
            </w:r>
          </w:p>
        </w:tc>
        <w:tc>
          <w:tcPr>
            <w:tcW w:w="4176" w:type="dxa"/>
          </w:tcPr>
          <w:p w14:paraId="0E3B8F98" w14:textId="77777777" w:rsidR="000759F5" w:rsidRPr="003B4362" w:rsidRDefault="000759F5" w:rsidP="008C0979">
            <w:pPr>
              <w:suppressAutoHyphens/>
            </w:pPr>
            <w:r w:rsidRPr="003B4362">
              <w:t>Pentachlorophenol</w:t>
            </w:r>
          </w:p>
        </w:tc>
        <w:tc>
          <w:tcPr>
            <w:tcW w:w="1584" w:type="dxa"/>
          </w:tcPr>
          <w:p w14:paraId="1E007F01" w14:textId="77777777" w:rsidR="000759F5" w:rsidRPr="003B4362" w:rsidRDefault="000759F5" w:rsidP="008C0979">
            <w:pPr>
              <w:suppressAutoHyphens/>
            </w:pPr>
            <w:r w:rsidRPr="003B4362">
              <w:t>0.001</w:t>
            </w:r>
          </w:p>
        </w:tc>
      </w:tr>
      <w:tr w:rsidR="001628C1" w:rsidRPr="003B4362" w14:paraId="09929A56" w14:textId="77777777" w:rsidTr="008C0979">
        <w:tc>
          <w:tcPr>
            <w:tcW w:w="1584" w:type="dxa"/>
          </w:tcPr>
          <w:p w14:paraId="087EA461" w14:textId="77777777" w:rsidR="000759F5" w:rsidRPr="003B4362" w:rsidRDefault="000759F5" w:rsidP="008C0979">
            <w:pPr>
              <w:suppressAutoHyphens/>
            </w:pPr>
            <w:r w:rsidRPr="003B4362">
              <w:t>1918-02-1</w:t>
            </w:r>
          </w:p>
        </w:tc>
        <w:tc>
          <w:tcPr>
            <w:tcW w:w="4176" w:type="dxa"/>
          </w:tcPr>
          <w:p w14:paraId="7D74CEEA" w14:textId="77777777" w:rsidR="000759F5" w:rsidRPr="003B4362" w:rsidRDefault="000759F5" w:rsidP="008C0979">
            <w:pPr>
              <w:suppressAutoHyphens/>
            </w:pPr>
            <w:r w:rsidRPr="003B4362">
              <w:t>Picloram</w:t>
            </w:r>
          </w:p>
        </w:tc>
        <w:tc>
          <w:tcPr>
            <w:tcW w:w="1584" w:type="dxa"/>
          </w:tcPr>
          <w:p w14:paraId="0532D143" w14:textId="77777777" w:rsidR="000759F5" w:rsidRPr="003B4362" w:rsidRDefault="000759F5" w:rsidP="008C0979">
            <w:pPr>
              <w:suppressAutoHyphens/>
            </w:pPr>
            <w:r w:rsidRPr="003B4362">
              <w:t>0.5</w:t>
            </w:r>
          </w:p>
        </w:tc>
      </w:tr>
      <w:tr w:rsidR="001628C1" w:rsidRPr="003B4362" w14:paraId="1C32C526" w14:textId="77777777" w:rsidTr="008C0979">
        <w:tc>
          <w:tcPr>
            <w:tcW w:w="1584" w:type="dxa"/>
          </w:tcPr>
          <w:p w14:paraId="5837820C" w14:textId="77777777" w:rsidR="000759F5" w:rsidRPr="003B4362" w:rsidRDefault="000759F5" w:rsidP="008C0979">
            <w:pPr>
              <w:suppressAutoHyphens/>
            </w:pPr>
            <w:r w:rsidRPr="003B4362">
              <w:t>1336-36-3</w:t>
            </w:r>
          </w:p>
        </w:tc>
        <w:tc>
          <w:tcPr>
            <w:tcW w:w="4176" w:type="dxa"/>
          </w:tcPr>
          <w:p w14:paraId="6484F806" w14:textId="77777777" w:rsidR="000759F5" w:rsidRPr="003B4362" w:rsidRDefault="000759F5" w:rsidP="008C0979">
            <w:pPr>
              <w:suppressAutoHyphens/>
            </w:pPr>
            <w:r w:rsidRPr="003B4362">
              <w:t>Polychlorinated biphenyls (PCBs)</w:t>
            </w:r>
          </w:p>
        </w:tc>
        <w:tc>
          <w:tcPr>
            <w:tcW w:w="1584" w:type="dxa"/>
          </w:tcPr>
          <w:p w14:paraId="5C2BED12" w14:textId="77777777" w:rsidR="000759F5" w:rsidRPr="003B4362" w:rsidRDefault="000759F5" w:rsidP="008C0979">
            <w:pPr>
              <w:suppressAutoHyphens/>
            </w:pPr>
            <w:r w:rsidRPr="003B4362">
              <w:t>0.0005</w:t>
            </w:r>
          </w:p>
        </w:tc>
      </w:tr>
      <w:tr w:rsidR="001628C1" w:rsidRPr="003B4362" w14:paraId="753C0E57" w14:textId="77777777" w:rsidTr="008C0979">
        <w:tc>
          <w:tcPr>
            <w:tcW w:w="1584" w:type="dxa"/>
          </w:tcPr>
          <w:p w14:paraId="62C21513" w14:textId="77777777" w:rsidR="000759F5" w:rsidRPr="003B4362" w:rsidRDefault="000759F5" w:rsidP="008C0979">
            <w:pPr>
              <w:suppressAutoHyphens/>
            </w:pPr>
            <w:r w:rsidRPr="003B4362">
              <w:t>122-34-9</w:t>
            </w:r>
          </w:p>
        </w:tc>
        <w:tc>
          <w:tcPr>
            <w:tcW w:w="4176" w:type="dxa"/>
          </w:tcPr>
          <w:p w14:paraId="4AAF64AD" w14:textId="77777777" w:rsidR="000759F5" w:rsidRPr="003B4362" w:rsidRDefault="000759F5" w:rsidP="008C0979">
            <w:pPr>
              <w:suppressAutoHyphens/>
            </w:pPr>
            <w:r w:rsidRPr="003B4362">
              <w:t>Simazine</w:t>
            </w:r>
          </w:p>
        </w:tc>
        <w:tc>
          <w:tcPr>
            <w:tcW w:w="1584" w:type="dxa"/>
          </w:tcPr>
          <w:p w14:paraId="45B61478" w14:textId="77777777" w:rsidR="000759F5" w:rsidRPr="003B4362" w:rsidRDefault="000759F5" w:rsidP="008C0979">
            <w:pPr>
              <w:suppressAutoHyphens/>
            </w:pPr>
            <w:r w:rsidRPr="003B4362">
              <w:t>0.004</w:t>
            </w:r>
          </w:p>
        </w:tc>
      </w:tr>
      <w:tr w:rsidR="001628C1" w:rsidRPr="003B4362" w14:paraId="59910C7D" w14:textId="77777777" w:rsidTr="008C0979">
        <w:tc>
          <w:tcPr>
            <w:tcW w:w="1584" w:type="dxa"/>
          </w:tcPr>
          <w:p w14:paraId="1BFF1C24" w14:textId="77777777" w:rsidR="000759F5" w:rsidRPr="003B4362" w:rsidRDefault="000759F5" w:rsidP="008C0979">
            <w:pPr>
              <w:suppressAutoHyphens/>
            </w:pPr>
            <w:r w:rsidRPr="003B4362">
              <w:t>1746-01-6</w:t>
            </w:r>
          </w:p>
        </w:tc>
        <w:tc>
          <w:tcPr>
            <w:tcW w:w="4176" w:type="dxa"/>
          </w:tcPr>
          <w:p w14:paraId="24E7405C" w14:textId="77777777" w:rsidR="000759F5" w:rsidRPr="003B4362" w:rsidRDefault="000759F5" w:rsidP="008C0979">
            <w:pPr>
              <w:suppressAutoHyphens/>
            </w:pPr>
            <w:r w:rsidRPr="003B4362">
              <w:t>2,3,7,8-TCDD (Dioxin)</w:t>
            </w:r>
          </w:p>
        </w:tc>
        <w:tc>
          <w:tcPr>
            <w:tcW w:w="1584" w:type="dxa"/>
          </w:tcPr>
          <w:p w14:paraId="569CD480" w14:textId="77777777" w:rsidR="000759F5" w:rsidRPr="003B4362" w:rsidRDefault="000759F5" w:rsidP="008C0979">
            <w:pPr>
              <w:suppressAutoHyphens/>
            </w:pPr>
            <w:r w:rsidRPr="003B4362">
              <w:t>0.00000003</w:t>
            </w:r>
          </w:p>
        </w:tc>
      </w:tr>
      <w:tr w:rsidR="001628C1" w:rsidRPr="003B4362" w14:paraId="07581178" w14:textId="77777777" w:rsidTr="008C0979">
        <w:tc>
          <w:tcPr>
            <w:tcW w:w="1584" w:type="dxa"/>
          </w:tcPr>
          <w:p w14:paraId="2C98F705" w14:textId="77777777" w:rsidR="000759F5" w:rsidRPr="003B4362" w:rsidRDefault="000759F5" w:rsidP="008C0979">
            <w:pPr>
              <w:suppressAutoHyphens/>
            </w:pPr>
            <w:r w:rsidRPr="003B4362">
              <w:t>8001-35-2</w:t>
            </w:r>
          </w:p>
        </w:tc>
        <w:tc>
          <w:tcPr>
            <w:tcW w:w="4176" w:type="dxa"/>
          </w:tcPr>
          <w:p w14:paraId="03494BF8" w14:textId="77777777" w:rsidR="000759F5" w:rsidRPr="003B4362" w:rsidRDefault="000759F5" w:rsidP="008C0979">
            <w:pPr>
              <w:suppressAutoHyphens/>
            </w:pPr>
            <w:r w:rsidRPr="003B4362">
              <w:t>Toxaphene</w:t>
            </w:r>
          </w:p>
        </w:tc>
        <w:tc>
          <w:tcPr>
            <w:tcW w:w="1584" w:type="dxa"/>
          </w:tcPr>
          <w:p w14:paraId="2DF411B5" w14:textId="77777777" w:rsidR="000759F5" w:rsidRPr="003B4362" w:rsidRDefault="000759F5" w:rsidP="008C0979">
            <w:pPr>
              <w:suppressAutoHyphens/>
            </w:pPr>
            <w:r w:rsidRPr="003B4362">
              <w:t>0.003</w:t>
            </w:r>
          </w:p>
        </w:tc>
      </w:tr>
      <w:tr w:rsidR="001628C1" w:rsidRPr="003B4362" w14:paraId="1D29E910" w14:textId="77777777" w:rsidTr="008C0979">
        <w:tc>
          <w:tcPr>
            <w:tcW w:w="1584" w:type="dxa"/>
          </w:tcPr>
          <w:p w14:paraId="58A2E25D" w14:textId="77777777" w:rsidR="000759F5" w:rsidRPr="003B4362" w:rsidRDefault="000759F5" w:rsidP="008C0979">
            <w:pPr>
              <w:suppressAutoHyphens/>
            </w:pPr>
            <w:r w:rsidRPr="003B4362">
              <w:t>93-72-1</w:t>
            </w:r>
          </w:p>
        </w:tc>
        <w:tc>
          <w:tcPr>
            <w:tcW w:w="4176" w:type="dxa"/>
          </w:tcPr>
          <w:p w14:paraId="7BD2E558" w14:textId="77777777" w:rsidR="000759F5" w:rsidRPr="003B4362" w:rsidRDefault="000759F5" w:rsidP="008C0979">
            <w:pPr>
              <w:suppressAutoHyphens/>
            </w:pPr>
            <w:r w:rsidRPr="003B4362">
              <w:t>2,4,5-TP</w:t>
            </w:r>
          </w:p>
        </w:tc>
        <w:tc>
          <w:tcPr>
            <w:tcW w:w="1584" w:type="dxa"/>
          </w:tcPr>
          <w:p w14:paraId="64B55FD2" w14:textId="77777777" w:rsidR="000759F5" w:rsidRPr="003B4362" w:rsidRDefault="000759F5" w:rsidP="008C0979">
            <w:pPr>
              <w:suppressAutoHyphens/>
            </w:pPr>
            <w:r w:rsidRPr="003B4362">
              <w:t>0.05</w:t>
            </w:r>
          </w:p>
        </w:tc>
      </w:tr>
    </w:tbl>
    <w:p w14:paraId="6BDEC242" w14:textId="54BB2A68" w:rsidR="000759F5" w:rsidRPr="003B4362" w:rsidRDefault="000759F5" w:rsidP="000759F5">
      <w:pPr>
        <w:suppressAutoHyphens/>
        <w:spacing w:before="240" w:after="240"/>
        <w:ind w:left="2160"/>
      </w:pPr>
      <w:r w:rsidRPr="003B4362">
        <w:t>* See the Board note at the end of this Section.</w:t>
      </w:r>
    </w:p>
    <w:p w14:paraId="5BCF47B3" w14:textId="42A27F7B" w:rsidR="000759F5" w:rsidRPr="003B4362" w:rsidRDefault="000759F5" w:rsidP="000759F5">
      <w:pPr>
        <w:spacing w:before="240"/>
      </w:pPr>
      <w:r w:rsidRPr="003B4362">
        <w:t xml:space="preserve">BOARD NOTE:  </w:t>
      </w:r>
      <w:r w:rsidR="00C60F38" w:rsidRPr="003B4362">
        <w:rPr>
          <w:spacing w:val="-3"/>
        </w:rPr>
        <w:t xml:space="preserve">This Section derives </w:t>
      </w:r>
      <w:r w:rsidRPr="003B4362">
        <w:t>from 40 CFR 141.61.  More stringent state MCLs for 2,4</w:t>
      </w:r>
      <w:r w:rsidRPr="003B4362">
        <w:noBreakHyphen/>
        <w:t xml:space="preserve">D, heptachlor, and heptachlor epoxide appear at Section 611.310.  In 40 CFR 141.6(g), USEPA postponed the effectiveness of the MCLs for aldicarb, aldicarb sulfone, and aldicarb sulfoxide until it took further action on those MCLs.  See 40 CFR 141.6(g) and 57 Fed. Reg. 22178 (May 27, 1992).  USEPA later stated that it anticipated taking no action until 2005 on a federal national primary drinking water regulation (NPDWR) applicable to the aldicarbs.  68 Fed. Reg. 31108 (May 27, 2003).  In 2005, USEPA indicated no projected date for final action </w:t>
      </w:r>
      <w:r w:rsidRPr="003B4362">
        <w:lastRenderedPageBreak/>
        <w:t xml:space="preserve">on the aldicarbs.  </w:t>
      </w:r>
      <w:r w:rsidRPr="003B4362">
        <w:rPr>
          <w:i/>
        </w:rPr>
        <w:t>See</w:t>
      </w:r>
      <w:r w:rsidRPr="003B4362">
        <w:t xml:space="preserve"> 70 Fed. Reg. 27501, 671 (May 16, 2005).  An entry for the aldicarbs last appeared in USEPA’s Spring 2007 semiannual regulatory agenda, indicating no projected dates for further action.  </w:t>
      </w:r>
      <w:r w:rsidRPr="003B4362">
        <w:rPr>
          <w:i/>
        </w:rPr>
        <w:t>See</w:t>
      </w:r>
      <w:r w:rsidRPr="003B4362">
        <w:t xml:space="preserve"> 72 Fed. Reg. 23156, 97 (Apr. 30, 2007); </w:t>
      </w:r>
      <w:r w:rsidRPr="003B4362">
        <w:rPr>
          <w:i/>
        </w:rPr>
        <w:t>see also</w:t>
      </w:r>
      <w:r w:rsidRPr="003B4362">
        <w:t xml:space="preserve"> 72 Fed. Reg. 70118, 23 (Dec. 10, 2007) (the first USEPA regulatory agenda that included no entry for the aldicarbs).  As of early 2022, USEPA did not include the aldicarbs among the NPDWRs on its webpage.  USEPA, Ground Water and Drinking Water, National Primary Drinking Water Regul</w:t>
      </w:r>
      <w:r w:rsidR="005B4D1B" w:rsidRPr="003B4362">
        <w:t>a</w:t>
      </w:r>
      <w:r w:rsidRPr="003B4362">
        <w:t xml:space="preserve">tions (www.epa.gov/ground-water-and-drinking-water/national-primary-drinking-water-regulations; accessed February 16, 2022).  While the Board must maintain entries for aldicarb, aldicarb sulfoxide, and aldicarb sulfone to maintain consistency with the </w:t>
      </w:r>
      <w:r w:rsidR="007443C9" w:rsidRPr="003B4362">
        <w:t xml:space="preserve">literal text </w:t>
      </w:r>
      <w:r w:rsidRPr="003B4362">
        <w:t xml:space="preserve">of the federal </w:t>
      </w:r>
      <w:r w:rsidR="007443C9" w:rsidRPr="003B4362">
        <w:t xml:space="preserve">rules </w:t>
      </w:r>
      <w:r w:rsidRPr="003B4362">
        <w:t>(</w:t>
      </w:r>
      <w:r w:rsidRPr="003B4362">
        <w:rPr>
          <w:i/>
        </w:rPr>
        <w:t>see</w:t>
      </w:r>
      <w:r w:rsidRPr="003B4362">
        <w:t xml:space="preserve"> Sections 7.2 and 17.5 of the Act; 42 </w:t>
      </w:r>
      <w:r w:rsidR="0062698B" w:rsidRPr="003B4362">
        <w:t>U.S.C.</w:t>
      </w:r>
      <w:r w:rsidRPr="003B4362">
        <w:t xml:space="preserve"> 300g-2; 40 CFR 142.10), the Board intends that no aldicarb requirements apply in Illinois until after USEPA adopts such requirements, and the Board </w:t>
      </w:r>
      <w:r w:rsidR="000D22B9" w:rsidRPr="003B4362">
        <w:t xml:space="preserve">removes </w:t>
      </w:r>
      <w:r w:rsidRPr="003B4362">
        <w:t>this statement.</w:t>
      </w:r>
    </w:p>
    <w:p w14:paraId="39FE8342" w14:textId="75DF5372" w:rsidR="000759F5" w:rsidRPr="003B4362" w:rsidRDefault="00EB353D" w:rsidP="000759F5">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5ECD2A28" w14:textId="77777777" w:rsidR="00F829FE" w:rsidRPr="003B4362" w:rsidRDefault="00F829FE" w:rsidP="00F829FE">
      <w:pPr>
        <w:rPr>
          <w:b/>
          <w:bCs/>
        </w:rPr>
      </w:pPr>
    </w:p>
    <w:p w14:paraId="326E8093" w14:textId="2C734FE7" w:rsidR="00F90C65" w:rsidRPr="003B4362" w:rsidRDefault="00F90C65" w:rsidP="00F829FE">
      <w:pPr>
        <w:rPr>
          <w:b/>
          <w:bCs/>
        </w:rPr>
      </w:pPr>
      <w:r w:rsidRPr="003B4362">
        <w:rPr>
          <w:b/>
          <w:bCs/>
        </w:rPr>
        <w:t>Section 611.312  Maximum Contaminant Levels (MCLs) for Disinfection Byproducts (DBPs)</w:t>
      </w:r>
    </w:p>
    <w:p w14:paraId="544755DA" w14:textId="2458C76C" w:rsidR="00F90C65" w:rsidRPr="003B4362" w:rsidRDefault="00F90C65" w:rsidP="00F90C65">
      <w:pPr>
        <w:suppressAutoHyphens/>
        <w:spacing w:before="240" w:after="240"/>
        <w:ind w:left="1440" w:hanging="720"/>
        <w:rPr>
          <w:spacing w:val="-2"/>
        </w:rPr>
      </w:pPr>
      <w:r w:rsidRPr="003B4362">
        <w:rPr>
          <w:spacing w:val="-2"/>
        </w:rPr>
        <w:t>a)</w:t>
      </w:r>
      <w:r w:rsidRPr="003B4362">
        <w:rPr>
          <w:spacing w:val="-2"/>
        </w:rPr>
        <w:tab/>
        <w:t>Bromate and Chlorite.  MCLs for bromate and chlorite apply to CWS and NTNCWS suppliers:</w:t>
      </w:r>
    </w:p>
    <w:tbl>
      <w:tblPr>
        <w:tblW w:w="0" w:type="auto"/>
        <w:tblInd w:w="2160" w:type="dxa"/>
        <w:tblLayout w:type="fixed"/>
        <w:tblCellMar>
          <w:left w:w="0" w:type="dxa"/>
          <w:right w:w="115" w:type="dxa"/>
        </w:tblCellMar>
        <w:tblLook w:val="04A0" w:firstRow="1" w:lastRow="0" w:firstColumn="1" w:lastColumn="0" w:noHBand="0" w:noVBand="1"/>
      </w:tblPr>
      <w:tblGrid>
        <w:gridCol w:w="3263"/>
        <w:gridCol w:w="1561"/>
      </w:tblGrid>
      <w:tr w:rsidR="001628C1" w:rsidRPr="003B4362" w14:paraId="5854F2FD" w14:textId="77777777" w:rsidTr="008C0979">
        <w:tc>
          <w:tcPr>
            <w:tcW w:w="3263" w:type="dxa"/>
            <w:hideMark/>
          </w:tcPr>
          <w:p w14:paraId="4FB56CDA" w14:textId="77777777" w:rsidR="00F90C65" w:rsidRPr="003B4362" w:rsidRDefault="00F90C65" w:rsidP="008C0979">
            <w:pPr>
              <w:keepNext/>
              <w:keepLines/>
              <w:suppressAutoHyphens/>
              <w:spacing w:after="240"/>
              <w:rPr>
                <w:spacing w:val="-2"/>
              </w:rPr>
            </w:pPr>
            <w:bookmarkStart w:id="645" w:name="_Hlk37328982"/>
            <w:r w:rsidRPr="003B4362">
              <w:rPr>
                <w:spacing w:val="-2"/>
              </w:rPr>
              <w:t>Disinfection Byproduct</w:t>
            </w:r>
          </w:p>
        </w:tc>
        <w:tc>
          <w:tcPr>
            <w:tcW w:w="1561" w:type="dxa"/>
            <w:hideMark/>
          </w:tcPr>
          <w:p w14:paraId="7E1DCD2B" w14:textId="7CE748FB" w:rsidR="00F90C65" w:rsidRPr="003B4362" w:rsidRDefault="00F90C65" w:rsidP="008C0979">
            <w:pPr>
              <w:keepNext/>
              <w:keepLines/>
              <w:suppressAutoHyphens/>
              <w:spacing w:after="240"/>
              <w:rPr>
                <w:spacing w:val="-2"/>
              </w:rPr>
            </w:pPr>
            <w:r w:rsidRPr="003B4362">
              <w:rPr>
                <w:spacing w:val="-2"/>
              </w:rPr>
              <w:t>MCL (mg/</w:t>
            </w:r>
            <w:r w:rsidR="00240CA6" w:rsidRPr="003B4362">
              <w:t xml:space="preserve"> L</w:t>
            </w:r>
            <w:r w:rsidRPr="003B4362">
              <w:rPr>
                <w:spacing w:val="-2"/>
              </w:rPr>
              <w:t>)</w:t>
            </w:r>
          </w:p>
        </w:tc>
      </w:tr>
      <w:tr w:rsidR="001628C1" w:rsidRPr="003B4362" w14:paraId="3EB1CFD3" w14:textId="77777777" w:rsidTr="008C0979">
        <w:tc>
          <w:tcPr>
            <w:tcW w:w="3263" w:type="dxa"/>
            <w:hideMark/>
          </w:tcPr>
          <w:p w14:paraId="4DFAC43A" w14:textId="77777777" w:rsidR="00F90C65" w:rsidRPr="003B4362" w:rsidRDefault="00F90C65" w:rsidP="008C0979">
            <w:pPr>
              <w:suppressAutoHyphens/>
              <w:rPr>
                <w:spacing w:val="-2"/>
              </w:rPr>
            </w:pPr>
            <w:r w:rsidRPr="003B4362">
              <w:rPr>
                <w:spacing w:val="-2"/>
              </w:rPr>
              <w:t>Bromate</w:t>
            </w:r>
          </w:p>
        </w:tc>
        <w:tc>
          <w:tcPr>
            <w:tcW w:w="1561" w:type="dxa"/>
            <w:hideMark/>
          </w:tcPr>
          <w:p w14:paraId="2846C9A0" w14:textId="77777777" w:rsidR="00F90C65" w:rsidRPr="003B4362" w:rsidRDefault="00F90C65" w:rsidP="008C0979">
            <w:pPr>
              <w:suppressAutoHyphens/>
              <w:rPr>
                <w:spacing w:val="-2"/>
              </w:rPr>
            </w:pPr>
            <w:r w:rsidRPr="003B4362">
              <w:rPr>
                <w:spacing w:val="-2"/>
              </w:rPr>
              <w:t>0.010</w:t>
            </w:r>
          </w:p>
        </w:tc>
      </w:tr>
      <w:tr w:rsidR="001628C1" w:rsidRPr="003B4362" w14:paraId="565E37B0" w14:textId="77777777" w:rsidTr="008C0979">
        <w:tc>
          <w:tcPr>
            <w:tcW w:w="3263" w:type="dxa"/>
            <w:hideMark/>
          </w:tcPr>
          <w:p w14:paraId="467E9D2E" w14:textId="77777777" w:rsidR="00F90C65" w:rsidRPr="003B4362" w:rsidRDefault="00F90C65" w:rsidP="008C0979">
            <w:pPr>
              <w:suppressAutoHyphens/>
              <w:rPr>
                <w:spacing w:val="-2"/>
              </w:rPr>
            </w:pPr>
            <w:r w:rsidRPr="003B4362">
              <w:rPr>
                <w:spacing w:val="-2"/>
              </w:rPr>
              <w:t>Chlorite</w:t>
            </w:r>
          </w:p>
        </w:tc>
        <w:tc>
          <w:tcPr>
            <w:tcW w:w="1561" w:type="dxa"/>
            <w:hideMark/>
          </w:tcPr>
          <w:p w14:paraId="0260CB27" w14:textId="77777777" w:rsidR="00F90C65" w:rsidRPr="003B4362" w:rsidRDefault="00F90C65" w:rsidP="008C0979">
            <w:pPr>
              <w:suppressAutoHyphens/>
              <w:rPr>
                <w:spacing w:val="-2"/>
              </w:rPr>
            </w:pPr>
            <w:r w:rsidRPr="003B4362">
              <w:rPr>
                <w:spacing w:val="-2"/>
              </w:rPr>
              <w:t>1.0</w:t>
            </w:r>
          </w:p>
        </w:tc>
      </w:tr>
    </w:tbl>
    <w:bookmarkEnd w:id="645"/>
    <w:p w14:paraId="778B2E55" w14:textId="3C187D29" w:rsidR="00F90C65" w:rsidRPr="003B4362" w:rsidRDefault="00F90C65" w:rsidP="00F90C65">
      <w:pPr>
        <w:spacing w:before="240"/>
        <w:ind w:left="2160" w:hanging="720"/>
        <w:rPr>
          <w:szCs w:val="18"/>
        </w:rPr>
      </w:pPr>
      <w:r w:rsidRPr="003B4362">
        <w:rPr>
          <w:szCs w:val="18"/>
        </w:rPr>
        <w:t>1)</w:t>
      </w:r>
      <w:r w:rsidRPr="003B4362">
        <w:rPr>
          <w:szCs w:val="18"/>
        </w:rPr>
        <w:tab/>
        <w:t>A Subpart B system supplier must comply with this subsection (a).</w:t>
      </w:r>
    </w:p>
    <w:p w14:paraId="317D6A17" w14:textId="61BBC917" w:rsidR="00F90C65" w:rsidRPr="003B4362" w:rsidRDefault="00F90C65" w:rsidP="00F90C65">
      <w:pPr>
        <w:spacing w:before="240" w:after="240"/>
        <w:ind w:left="2160" w:hanging="720"/>
        <w:rPr>
          <w:szCs w:val="18"/>
        </w:rPr>
      </w:pPr>
      <w:r w:rsidRPr="003B4362">
        <w:rPr>
          <w:szCs w:val="18"/>
        </w:rPr>
        <w:t>2)</w:t>
      </w:r>
      <w:r w:rsidRPr="003B4362">
        <w:rPr>
          <w:szCs w:val="18"/>
        </w:rPr>
        <w:tab/>
        <w:t xml:space="preserve">USEPA </w:t>
      </w:r>
      <w:r w:rsidR="000D22B9" w:rsidRPr="003B4362">
        <w:rPr>
          <w:szCs w:val="18"/>
        </w:rPr>
        <w:t xml:space="preserve">identifies </w:t>
      </w:r>
      <w:r w:rsidRPr="003B4362">
        <w:rPr>
          <w:szCs w:val="18"/>
        </w:rPr>
        <w:t xml:space="preserve">best </w:t>
      </w:r>
      <w:r w:rsidRPr="003B4362">
        <w:t xml:space="preserve">available </w:t>
      </w:r>
      <w:r w:rsidRPr="003B4362">
        <w:rPr>
          <w:szCs w:val="18"/>
        </w:rPr>
        <w:t>technology, treatment techniques, or other means available for achieving compliance with the MCLs for bromate and chlorite:</w:t>
      </w:r>
    </w:p>
    <w:tbl>
      <w:tblPr>
        <w:tblW w:w="0" w:type="auto"/>
        <w:tblInd w:w="2880" w:type="dxa"/>
        <w:tblLayout w:type="fixed"/>
        <w:tblCellMar>
          <w:left w:w="0" w:type="dxa"/>
          <w:right w:w="115" w:type="dxa"/>
        </w:tblCellMar>
        <w:tblLook w:val="04A0" w:firstRow="1" w:lastRow="0" w:firstColumn="1" w:lastColumn="0" w:noHBand="0" w:noVBand="1"/>
      </w:tblPr>
      <w:tblGrid>
        <w:gridCol w:w="1458"/>
        <w:gridCol w:w="5040"/>
      </w:tblGrid>
      <w:tr w:rsidR="001628C1" w:rsidRPr="003B4362" w14:paraId="0858B493" w14:textId="77777777" w:rsidTr="008C0979">
        <w:tc>
          <w:tcPr>
            <w:tcW w:w="1458" w:type="dxa"/>
            <w:vAlign w:val="bottom"/>
            <w:hideMark/>
          </w:tcPr>
          <w:p w14:paraId="335BCDE5" w14:textId="77777777" w:rsidR="00F90C65" w:rsidRPr="003B4362" w:rsidRDefault="00F90C65" w:rsidP="008C0979">
            <w:pPr>
              <w:keepNext/>
              <w:keepLines/>
              <w:spacing w:after="240"/>
            </w:pPr>
            <w:bookmarkStart w:id="646" w:name="_Hlk37329033"/>
            <w:r w:rsidRPr="003B4362">
              <w:t>Disinfection Byproduct</w:t>
            </w:r>
          </w:p>
        </w:tc>
        <w:tc>
          <w:tcPr>
            <w:tcW w:w="5040" w:type="dxa"/>
            <w:vAlign w:val="bottom"/>
            <w:hideMark/>
          </w:tcPr>
          <w:p w14:paraId="63F6A65A" w14:textId="77777777" w:rsidR="00F90C65" w:rsidRPr="003B4362" w:rsidRDefault="00F90C65" w:rsidP="008C0979">
            <w:pPr>
              <w:keepNext/>
              <w:keepLines/>
              <w:spacing w:after="240"/>
            </w:pPr>
            <w:r w:rsidRPr="003B4362">
              <w:t>Best Available Technology</w:t>
            </w:r>
          </w:p>
        </w:tc>
      </w:tr>
      <w:tr w:rsidR="001628C1" w:rsidRPr="003B4362" w14:paraId="0B2985AC" w14:textId="77777777" w:rsidTr="008C0979">
        <w:tc>
          <w:tcPr>
            <w:tcW w:w="1458" w:type="dxa"/>
            <w:hideMark/>
          </w:tcPr>
          <w:p w14:paraId="4E1411C4" w14:textId="77777777" w:rsidR="00F90C65" w:rsidRPr="003B4362" w:rsidRDefault="00F90C65" w:rsidP="008C0979">
            <w:r w:rsidRPr="003B4362">
              <w:t>Bromate</w:t>
            </w:r>
          </w:p>
        </w:tc>
        <w:tc>
          <w:tcPr>
            <w:tcW w:w="5040" w:type="dxa"/>
            <w:hideMark/>
          </w:tcPr>
          <w:p w14:paraId="72FA660A" w14:textId="351A5A70" w:rsidR="00F90C65" w:rsidRPr="003B4362" w:rsidRDefault="003C5783" w:rsidP="008C0979">
            <w:r w:rsidRPr="003B4362">
              <w:t xml:space="preserve">Controlling the </w:t>
            </w:r>
            <w:r w:rsidR="00F90C65" w:rsidRPr="003B4362">
              <w:t xml:space="preserve">ozone treatment process to reduce </w:t>
            </w:r>
            <w:r w:rsidRPr="003B4362">
              <w:t xml:space="preserve">bromate </w:t>
            </w:r>
            <w:r w:rsidR="00F90C65" w:rsidRPr="003B4362">
              <w:t>production.</w:t>
            </w:r>
          </w:p>
        </w:tc>
      </w:tr>
      <w:tr w:rsidR="001628C1" w:rsidRPr="003B4362" w14:paraId="693CDE75" w14:textId="77777777" w:rsidTr="008C0979">
        <w:tc>
          <w:tcPr>
            <w:tcW w:w="1458" w:type="dxa"/>
            <w:hideMark/>
          </w:tcPr>
          <w:p w14:paraId="52F9CAA9" w14:textId="77777777" w:rsidR="00F90C65" w:rsidRPr="003B4362" w:rsidRDefault="00F90C65" w:rsidP="008C0979">
            <w:r w:rsidRPr="003B4362">
              <w:t>Chlorite</w:t>
            </w:r>
          </w:p>
        </w:tc>
        <w:tc>
          <w:tcPr>
            <w:tcW w:w="5040" w:type="dxa"/>
            <w:hideMark/>
          </w:tcPr>
          <w:p w14:paraId="53E0918E" w14:textId="23B53784" w:rsidR="00F90C65" w:rsidRPr="003B4362" w:rsidRDefault="003C5783" w:rsidP="008C0979">
            <w:r w:rsidRPr="003B4362">
              <w:t xml:space="preserve">Controlling the </w:t>
            </w:r>
            <w:r w:rsidR="00F90C65" w:rsidRPr="003B4362">
              <w:t xml:space="preserve">treatment processes to reduce disinfectant demand and </w:t>
            </w:r>
            <w:r w:rsidRPr="003B4362">
              <w:t xml:space="preserve">controlling the </w:t>
            </w:r>
            <w:r w:rsidR="00F90C65" w:rsidRPr="003B4362">
              <w:t>disinfection treatment processes to reduce disinfectant levels.</w:t>
            </w:r>
          </w:p>
        </w:tc>
      </w:tr>
    </w:tbl>
    <w:bookmarkEnd w:id="646"/>
    <w:p w14:paraId="5F2F2198" w14:textId="77777777" w:rsidR="00F90C65" w:rsidRPr="003B4362" w:rsidRDefault="00F90C65" w:rsidP="00F90C65">
      <w:pPr>
        <w:spacing w:before="240"/>
        <w:ind w:left="1440" w:hanging="720"/>
        <w:rPr>
          <w:szCs w:val="18"/>
        </w:rPr>
      </w:pPr>
      <w:r w:rsidRPr="003B4362">
        <w:rPr>
          <w:szCs w:val="18"/>
        </w:rPr>
        <w:t>b)</w:t>
      </w:r>
      <w:r w:rsidRPr="003B4362">
        <w:rPr>
          <w:szCs w:val="18"/>
        </w:rPr>
        <w:tab/>
        <w:t>TTHM and HAA5</w:t>
      </w:r>
    </w:p>
    <w:p w14:paraId="2E289E0F" w14:textId="18138DDD" w:rsidR="00F90C65" w:rsidRPr="003B4362" w:rsidRDefault="00F90C65" w:rsidP="00F90C65">
      <w:pPr>
        <w:spacing w:before="240" w:after="240"/>
        <w:ind w:left="2160" w:hanging="720"/>
        <w:rPr>
          <w:szCs w:val="18"/>
        </w:rPr>
      </w:pPr>
      <w:r w:rsidRPr="003B4362">
        <w:rPr>
          <w:szCs w:val="18"/>
        </w:rPr>
        <w:lastRenderedPageBreak/>
        <w:t>1)</w:t>
      </w:r>
      <w:r w:rsidRPr="003B4362">
        <w:rPr>
          <w:szCs w:val="18"/>
        </w:rPr>
        <w:tab/>
        <w:t xml:space="preserve">A supplier must comply with the </w:t>
      </w:r>
      <w:r w:rsidRPr="003B4362">
        <w:t>Subpart Y</w:t>
      </w:r>
      <w:r w:rsidRPr="003B4362">
        <w:rPr>
          <w:szCs w:val="18"/>
        </w:rPr>
        <w:t xml:space="preserve"> MCLs for TTHM and HAA5 as a locational running annual average at each monitoring location, as </w:t>
      </w:r>
      <w:bookmarkStart w:id="647" w:name="_Hlk27052042"/>
      <w:r w:rsidRPr="003B4362">
        <w:rPr>
          <w:szCs w:val="18"/>
        </w:rPr>
        <w:t xml:space="preserve">Section </w:t>
      </w:r>
      <w:bookmarkEnd w:id="647"/>
      <w:r w:rsidRPr="003B4362">
        <w:rPr>
          <w:szCs w:val="18"/>
        </w:rPr>
        <w:t>611.970(c) requires.</w:t>
      </w:r>
    </w:p>
    <w:tbl>
      <w:tblPr>
        <w:tblW w:w="0" w:type="auto"/>
        <w:tblInd w:w="2880" w:type="dxa"/>
        <w:tblLayout w:type="fixed"/>
        <w:tblCellMar>
          <w:left w:w="0" w:type="dxa"/>
          <w:right w:w="115" w:type="dxa"/>
        </w:tblCellMar>
        <w:tblLook w:val="04A0" w:firstRow="1" w:lastRow="0" w:firstColumn="1" w:lastColumn="0" w:noHBand="0" w:noVBand="1"/>
      </w:tblPr>
      <w:tblGrid>
        <w:gridCol w:w="4320"/>
        <w:gridCol w:w="1440"/>
      </w:tblGrid>
      <w:tr w:rsidR="001628C1" w:rsidRPr="003B4362" w14:paraId="72D109E4" w14:textId="77777777" w:rsidTr="008C0979">
        <w:tc>
          <w:tcPr>
            <w:tcW w:w="4320" w:type="dxa"/>
            <w:hideMark/>
          </w:tcPr>
          <w:p w14:paraId="6744771E" w14:textId="77777777" w:rsidR="00F90C65" w:rsidRPr="003B4362" w:rsidRDefault="00F90C65" w:rsidP="008C0979">
            <w:pPr>
              <w:keepNext/>
              <w:keepLines/>
              <w:suppressAutoHyphens/>
              <w:spacing w:after="240"/>
              <w:rPr>
                <w:spacing w:val="-2"/>
              </w:rPr>
            </w:pPr>
            <w:r w:rsidRPr="003B4362">
              <w:rPr>
                <w:spacing w:val="-2"/>
              </w:rPr>
              <w:t xml:space="preserve">Disinfection </w:t>
            </w:r>
            <w:r w:rsidRPr="003B4362">
              <w:t>B</w:t>
            </w:r>
            <w:r w:rsidRPr="003B4362">
              <w:rPr>
                <w:spacing w:val="-2"/>
              </w:rPr>
              <w:t>yproduct</w:t>
            </w:r>
          </w:p>
        </w:tc>
        <w:tc>
          <w:tcPr>
            <w:tcW w:w="1440" w:type="dxa"/>
          </w:tcPr>
          <w:p w14:paraId="489AB9A7" w14:textId="3C18B90D" w:rsidR="00F90C65" w:rsidRPr="003B4362" w:rsidRDefault="00F90C65" w:rsidP="008C0979">
            <w:pPr>
              <w:keepNext/>
              <w:keepLines/>
              <w:suppressAutoHyphens/>
              <w:spacing w:after="240"/>
              <w:rPr>
                <w:spacing w:val="-2"/>
              </w:rPr>
            </w:pPr>
            <w:r w:rsidRPr="003B4362">
              <w:rPr>
                <w:spacing w:val="-2"/>
              </w:rPr>
              <w:t>MCL (mg/</w:t>
            </w:r>
            <w:r w:rsidR="00240CA6" w:rsidRPr="003B4362">
              <w:t xml:space="preserve"> L</w:t>
            </w:r>
            <w:r w:rsidRPr="003B4362">
              <w:rPr>
                <w:spacing w:val="-2"/>
              </w:rPr>
              <w:t>)</w:t>
            </w:r>
          </w:p>
        </w:tc>
      </w:tr>
      <w:tr w:rsidR="001628C1" w:rsidRPr="003B4362" w14:paraId="40048795" w14:textId="77777777" w:rsidTr="008C0979">
        <w:tc>
          <w:tcPr>
            <w:tcW w:w="4320" w:type="dxa"/>
            <w:hideMark/>
          </w:tcPr>
          <w:p w14:paraId="587561F1" w14:textId="77777777" w:rsidR="00F90C65" w:rsidRPr="003B4362" w:rsidRDefault="00F90C65" w:rsidP="008C0979">
            <w:pPr>
              <w:suppressAutoHyphens/>
              <w:rPr>
                <w:spacing w:val="-2"/>
              </w:rPr>
            </w:pPr>
            <w:r w:rsidRPr="003B4362">
              <w:rPr>
                <w:spacing w:val="-2"/>
              </w:rPr>
              <w:t>Total trihalomethanes (TTHM)</w:t>
            </w:r>
          </w:p>
        </w:tc>
        <w:tc>
          <w:tcPr>
            <w:tcW w:w="1440" w:type="dxa"/>
            <w:hideMark/>
          </w:tcPr>
          <w:p w14:paraId="2A3B4CF8" w14:textId="77777777" w:rsidR="00F90C65" w:rsidRPr="003B4362" w:rsidRDefault="00F90C65" w:rsidP="008C0979">
            <w:pPr>
              <w:suppressAutoHyphens/>
              <w:rPr>
                <w:spacing w:val="-2"/>
              </w:rPr>
            </w:pPr>
            <w:r w:rsidRPr="003B4362">
              <w:rPr>
                <w:spacing w:val="-2"/>
              </w:rPr>
              <w:t>0.080</w:t>
            </w:r>
          </w:p>
        </w:tc>
      </w:tr>
      <w:tr w:rsidR="001628C1" w:rsidRPr="003B4362" w14:paraId="0952415F" w14:textId="77777777" w:rsidTr="008C0979">
        <w:tc>
          <w:tcPr>
            <w:tcW w:w="4320" w:type="dxa"/>
            <w:hideMark/>
          </w:tcPr>
          <w:p w14:paraId="08D22F88" w14:textId="77777777" w:rsidR="00F90C65" w:rsidRPr="003B4362" w:rsidRDefault="00F90C65" w:rsidP="008C0979">
            <w:pPr>
              <w:suppressAutoHyphens/>
              <w:rPr>
                <w:spacing w:val="-2"/>
              </w:rPr>
            </w:pPr>
            <w:r w:rsidRPr="003B4362">
              <w:rPr>
                <w:spacing w:val="-2"/>
              </w:rPr>
              <w:t>Haloacetic acids (five) (HAA5)</w:t>
            </w:r>
          </w:p>
        </w:tc>
        <w:tc>
          <w:tcPr>
            <w:tcW w:w="1440" w:type="dxa"/>
            <w:hideMark/>
          </w:tcPr>
          <w:p w14:paraId="02762411" w14:textId="77777777" w:rsidR="00F90C65" w:rsidRPr="003B4362" w:rsidRDefault="00F90C65" w:rsidP="008C0979">
            <w:pPr>
              <w:suppressAutoHyphens/>
              <w:rPr>
                <w:spacing w:val="-2"/>
              </w:rPr>
            </w:pPr>
            <w:r w:rsidRPr="003B4362">
              <w:rPr>
                <w:spacing w:val="-2"/>
              </w:rPr>
              <w:t>0.060</w:t>
            </w:r>
          </w:p>
        </w:tc>
      </w:tr>
    </w:tbl>
    <w:p w14:paraId="33A29EE6" w14:textId="493E252B" w:rsidR="00F90C65" w:rsidRPr="003B4362" w:rsidRDefault="00F90C65" w:rsidP="00F90C65">
      <w:pPr>
        <w:spacing w:before="240" w:after="240"/>
        <w:ind w:left="2160" w:hanging="720"/>
        <w:rPr>
          <w:szCs w:val="18"/>
        </w:rPr>
      </w:pPr>
      <w:r w:rsidRPr="003B4362">
        <w:rPr>
          <w:szCs w:val="18"/>
        </w:rPr>
        <w:t>2)</w:t>
      </w:r>
      <w:r w:rsidRPr="003B4362">
        <w:rPr>
          <w:szCs w:val="18"/>
        </w:rPr>
        <w:tab/>
        <w:t xml:space="preserve">USEPA </w:t>
      </w:r>
      <w:r w:rsidR="000D22B9" w:rsidRPr="003B4362">
        <w:rPr>
          <w:szCs w:val="18"/>
        </w:rPr>
        <w:t xml:space="preserve">identifies </w:t>
      </w:r>
      <w:r w:rsidRPr="003B4362">
        <w:rPr>
          <w:szCs w:val="18"/>
        </w:rPr>
        <w:t xml:space="preserve">the best </w:t>
      </w:r>
      <w:r w:rsidRPr="003B4362">
        <w:t xml:space="preserve">available </w:t>
      </w:r>
      <w:r w:rsidRPr="003B4362">
        <w:rPr>
          <w:szCs w:val="18"/>
        </w:rPr>
        <w:t>technology, treatment techniques, or other means available for complying with the MCLs for TTHM and HAA5 for any supplier disinfecting its source water:</w:t>
      </w:r>
    </w:p>
    <w:tbl>
      <w:tblPr>
        <w:tblW w:w="0" w:type="auto"/>
        <w:tblInd w:w="2880" w:type="dxa"/>
        <w:tblLayout w:type="fixed"/>
        <w:tblCellMar>
          <w:left w:w="0" w:type="dxa"/>
          <w:right w:w="115" w:type="dxa"/>
        </w:tblCellMar>
        <w:tblLook w:val="04A0" w:firstRow="1" w:lastRow="0" w:firstColumn="1" w:lastColumn="0" w:noHBand="0" w:noVBand="1"/>
      </w:tblPr>
      <w:tblGrid>
        <w:gridCol w:w="2880"/>
        <w:gridCol w:w="2880"/>
      </w:tblGrid>
      <w:tr w:rsidR="001628C1" w:rsidRPr="003B4362" w14:paraId="2BEE1030" w14:textId="77777777" w:rsidTr="008C0979">
        <w:tc>
          <w:tcPr>
            <w:tcW w:w="2880" w:type="dxa"/>
            <w:hideMark/>
          </w:tcPr>
          <w:p w14:paraId="00B6AFAC" w14:textId="77777777" w:rsidR="00F90C65" w:rsidRPr="003B4362" w:rsidRDefault="00F90C65" w:rsidP="008C0979">
            <w:pPr>
              <w:keepNext/>
              <w:keepLines/>
              <w:spacing w:after="240"/>
              <w:rPr>
                <w:spacing w:val="-2"/>
              </w:rPr>
            </w:pPr>
            <w:r w:rsidRPr="003B4362">
              <w:rPr>
                <w:spacing w:val="-2"/>
              </w:rPr>
              <w:t xml:space="preserve">Disinfection </w:t>
            </w:r>
            <w:r w:rsidRPr="003B4362">
              <w:t>B</w:t>
            </w:r>
            <w:r w:rsidRPr="003B4362">
              <w:rPr>
                <w:spacing w:val="-2"/>
              </w:rPr>
              <w:t>yproduct</w:t>
            </w:r>
          </w:p>
        </w:tc>
        <w:tc>
          <w:tcPr>
            <w:tcW w:w="2880" w:type="dxa"/>
          </w:tcPr>
          <w:p w14:paraId="7B7E00B5" w14:textId="77777777" w:rsidR="00F90C65" w:rsidRPr="003B4362" w:rsidRDefault="00F90C65" w:rsidP="008C0979">
            <w:pPr>
              <w:keepNext/>
              <w:keepLines/>
              <w:spacing w:after="240"/>
              <w:rPr>
                <w:spacing w:val="-2"/>
              </w:rPr>
            </w:pPr>
            <w:r w:rsidRPr="003B4362">
              <w:t>Best Available Technology</w:t>
            </w:r>
          </w:p>
        </w:tc>
      </w:tr>
      <w:tr w:rsidR="001628C1" w:rsidRPr="003B4362" w14:paraId="04B8F8AC" w14:textId="77777777" w:rsidTr="008C0979">
        <w:tc>
          <w:tcPr>
            <w:tcW w:w="2880" w:type="dxa"/>
            <w:hideMark/>
          </w:tcPr>
          <w:p w14:paraId="66EFC266" w14:textId="77777777" w:rsidR="00F90C65" w:rsidRPr="003B4362" w:rsidRDefault="00F90C65" w:rsidP="008C0979">
            <w:pPr>
              <w:rPr>
                <w:spacing w:val="-2"/>
              </w:rPr>
            </w:pPr>
            <w:r w:rsidRPr="003B4362">
              <w:rPr>
                <w:spacing w:val="-2"/>
              </w:rPr>
              <w:t>Total trihalomethanes (TTHM) and</w:t>
            </w:r>
          </w:p>
          <w:p w14:paraId="1701AF67" w14:textId="77777777" w:rsidR="00F90C65" w:rsidRPr="003B4362" w:rsidRDefault="00F90C65" w:rsidP="008C0979">
            <w:r w:rsidRPr="003B4362">
              <w:rPr>
                <w:spacing w:val="-2"/>
              </w:rPr>
              <w:t>Haloacetic acids (five) (HAA5)</w:t>
            </w:r>
          </w:p>
        </w:tc>
        <w:tc>
          <w:tcPr>
            <w:tcW w:w="2880" w:type="dxa"/>
            <w:hideMark/>
          </w:tcPr>
          <w:p w14:paraId="36B2CEEC" w14:textId="7024C2FA" w:rsidR="00F90C65" w:rsidRPr="003B4362" w:rsidRDefault="00F90C65" w:rsidP="008C0979">
            <w:pPr>
              <w:rPr>
                <w:spacing w:val="-2"/>
              </w:rPr>
            </w:pPr>
            <w:r w:rsidRPr="003B4362">
              <w:t>Enhanced coagulation or enhanced softening, plus GAC10; or nanofiltration with a molecular weight cutoff ≤1000 Daltons; or GAC20</w:t>
            </w:r>
          </w:p>
        </w:tc>
      </w:tr>
    </w:tbl>
    <w:p w14:paraId="47289628" w14:textId="5606234F" w:rsidR="00F90C65" w:rsidRPr="003B4362" w:rsidRDefault="00F90C65" w:rsidP="00F90C65">
      <w:pPr>
        <w:spacing w:before="240" w:after="240"/>
        <w:ind w:left="2160" w:hanging="720"/>
        <w:rPr>
          <w:szCs w:val="18"/>
        </w:rPr>
      </w:pPr>
      <w:r w:rsidRPr="003B4362">
        <w:rPr>
          <w:szCs w:val="18"/>
        </w:rPr>
        <w:t>3)</w:t>
      </w:r>
      <w:r w:rsidRPr="003B4362">
        <w:rPr>
          <w:szCs w:val="18"/>
        </w:rPr>
        <w:tab/>
        <w:t xml:space="preserve">USEPA </w:t>
      </w:r>
      <w:r w:rsidR="000D22B9" w:rsidRPr="003B4362">
        <w:rPr>
          <w:szCs w:val="18"/>
        </w:rPr>
        <w:t xml:space="preserve">identifies </w:t>
      </w:r>
      <w:r w:rsidRPr="003B4362">
        <w:rPr>
          <w:szCs w:val="18"/>
        </w:rPr>
        <w:t xml:space="preserve">the best </w:t>
      </w:r>
      <w:r w:rsidRPr="003B4362">
        <w:t xml:space="preserve">available </w:t>
      </w:r>
      <w:r w:rsidRPr="003B4362">
        <w:rPr>
          <w:szCs w:val="18"/>
        </w:rPr>
        <w:t>technology, treatment techniques, or other means available for achieving compliance with the MCLs TTHM and HAA5 for consecutive systems, which only apply to the disinfected water that a consecutive system buys or otherwise receives from a wholesale system:</w:t>
      </w:r>
    </w:p>
    <w:tbl>
      <w:tblPr>
        <w:tblW w:w="0" w:type="auto"/>
        <w:tblInd w:w="2880" w:type="dxa"/>
        <w:tblLayout w:type="fixed"/>
        <w:tblCellMar>
          <w:left w:w="0" w:type="dxa"/>
          <w:right w:w="115" w:type="dxa"/>
        </w:tblCellMar>
        <w:tblLook w:val="04A0" w:firstRow="1" w:lastRow="0" w:firstColumn="1" w:lastColumn="0" w:noHBand="0" w:noVBand="1"/>
      </w:tblPr>
      <w:tblGrid>
        <w:gridCol w:w="2880"/>
        <w:gridCol w:w="2880"/>
      </w:tblGrid>
      <w:tr w:rsidR="001628C1" w:rsidRPr="003B4362" w14:paraId="7A73D0D5" w14:textId="77777777" w:rsidTr="008C0979">
        <w:tc>
          <w:tcPr>
            <w:tcW w:w="2880" w:type="dxa"/>
            <w:hideMark/>
          </w:tcPr>
          <w:p w14:paraId="7B1554CB" w14:textId="77777777" w:rsidR="00F90C65" w:rsidRPr="003B4362" w:rsidRDefault="00F90C65" w:rsidP="008C0979">
            <w:pPr>
              <w:keepNext/>
              <w:keepLines/>
              <w:spacing w:after="240"/>
              <w:rPr>
                <w:spacing w:val="-2"/>
              </w:rPr>
            </w:pPr>
            <w:r w:rsidRPr="003B4362">
              <w:rPr>
                <w:spacing w:val="-2"/>
              </w:rPr>
              <w:t xml:space="preserve">Disinfection </w:t>
            </w:r>
            <w:r w:rsidRPr="003B4362">
              <w:t>B</w:t>
            </w:r>
            <w:r w:rsidRPr="003B4362">
              <w:rPr>
                <w:spacing w:val="-2"/>
              </w:rPr>
              <w:t>yproduct</w:t>
            </w:r>
          </w:p>
        </w:tc>
        <w:tc>
          <w:tcPr>
            <w:tcW w:w="2880" w:type="dxa"/>
          </w:tcPr>
          <w:p w14:paraId="7C62EEE5" w14:textId="77777777" w:rsidR="00F90C65" w:rsidRPr="003B4362" w:rsidRDefault="00F90C65" w:rsidP="008C0979">
            <w:pPr>
              <w:keepNext/>
              <w:keepLines/>
              <w:spacing w:after="240"/>
              <w:rPr>
                <w:spacing w:val="-2"/>
              </w:rPr>
            </w:pPr>
            <w:r w:rsidRPr="003B4362">
              <w:t>Best Available Technology</w:t>
            </w:r>
          </w:p>
        </w:tc>
      </w:tr>
      <w:tr w:rsidR="001628C1" w:rsidRPr="003B4362" w14:paraId="18E1CF4B" w14:textId="77777777" w:rsidTr="008C0979">
        <w:tc>
          <w:tcPr>
            <w:tcW w:w="2880" w:type="dxa"/>
            <w:hideMark/>
          </w:tcPr>
          <w:p w14:paraId="481F6F25" w14:textId="77777777" w:rsidR="00F90C65" w:rsidRPr="003B4362" w:rsidRDefault="00F90C65" w:rsidP="008C0979">
            <w:pPr>
              <w:rPr>
                <w:spacing w:val="-2"/>
              </w:rPr>
            </w:pPr>
            <w:r w:rsidRPr="003B4362">
              <w:rPr>
                <w:spacing w:val="-2"/>
              </w:rPr>
              <w:t>Total trihalomethanes (TTHM) and</w:t>
            </w:r>
          </w:p>
          <w:p w14:paraId="78F7AA57" w14:textId="77777777" w:rsidR="00F90C65" w:rsidRPr="003B4362" w:rsidRDefault="00F90C65" w:rsidP="008C0979">
            <w:r w:rsidRPr="003B4362">
              <w:rPr>
                <w:spacing w:val="-2"/>
              </w:rPr>
              <w:t>Haloacetic acids (five) (HAA5)</w:t>
            </w:r>
          </w:p>
        </w:tc>
        <w:tc>
          <w:tcPr>
            <w:tcW w:w="2880" w:type="dxa"/>
            <w:hideMark/>
          </w:tcPr>
          <w:p w14:paraId="504ECBE2" w14:textId="4EDBD40B" w:rsidR="00F90C65" w:rsidRPr="003B4362" w:rsidRDefault="00F90C65" w:rsidP="008C0979">
            <w:r w:rsidRPr="003B4362">
              <w:t xml:space="preserve">Any system </w:t>
            </w:r>
            <w:r w:rsidR="00D436DE" w:rsidRPr="003B4362">
              <w:t xml:space="preserve">serving </w:t>
            </w:r>
            <w:r w:rsidRPr="003B4362">
              <w:t xml:space="preserve">10,000 or more persons:  Improved distribution system and storage tank management to reduce residence time, plus </w:t>
            </w:r>
            <w:r w:rsidR="00D436DE" w:rsidRPr="003B4362">
              <w:t xml:space="preserve">using </w:t>
            </w:r>
            <w:r w:rsidRPr="003B4362">
              <w:t>chloramines for disinfectant residual maintenance; or</w:t>
            </w:r>
          </w:p>
          <w:p w14:paraId="79F075BD" w14:textId="626286FB" w:rsidR="00F90C65" w:rsidRPr="003B4362" w:rsidRDefault="00F90C65" w:rsidP="008C0979">
            <w:pPr>
              <w:rPr>
                <w:spacing w:val="-2"/>
              </w:rPr>
            </w:pPr>
            <w:r w:rsidRPr="003B4362">
              <w:t xml:space="preserve">Any system </w:t>
            </w:r>
            <w:r w:rsidR="006A06B9" w:rsidRPr="003B4362">
              <w:t xml:space="preserve">serving </w:t>
            </w:r>
            <w:r w:rsidRPr="003B4362">
              <w:t>fewer than 10,000 persons:  Improved distribution system and storage tank management to reduce residence time.</w:t>
            </w:r>
          </w:p>
        </w:tc>
      </w:tr>
    </w:tbl>
    <w:p w14:paraId="0209AD51" w14:textId="77777777" w:rsidR="005605D6" w:rsidRDefault="005605D6" w:rsidP="005605D6">
      <w:pPr>
        <w:suppressAutoHyphens/>
      </w:pPr>
    </w:p>
    <w:p w14:paraId="29DA3EFF" w14:textId="22D28A20" w:rsidR="00F90C65" w:rsidRPr="003B4362" w:rsidRDefault="00F90C65" w:rsidP="005605D6">
      <w:pPr>
        <w:suppressAutoHyphens/>
      </w:pPr>
      <w:r w:rsidRPr="003B4362">
        <w:t xml:space="preserve">BOARD NOTE:  </w:t>
      </w:r>
      <w:r w:rsidR="00C60F38" w:rsidRPr="003B4362">
        <w:rPr>
          <w:spacing w:val="-3"/>
        </w:rPr>
        <w:t xml:space="preserve">This Section derives </w:t>
      </w:r>
      <w:r w:rsidRPr="003B4362">
        <w:t>from 40 CFR 141.64.</w:t>
      </w:r>
    </w:p>
    <w:p w14:paraId="768FA877" w14:textId="77777777" w:rsidR="005605D6" w:rsidRDefault="005605D6" w:rsidP="005605D6">
      <w:pPr>
        <w:suppressAutoHyphens/>
        <w:ind w:left="720"/>
      </w:pPr>
    </w:p>
    <w:p w14:paraId="34AF92CE" w14:textId="484ABF09" w:rsidR="00F90C65" w:rsidRDefault="00EB353D" w:rsidP="005605D6">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77EE51BE" w14:textId="77777777" w:rsidR="005605D6" w:rsidRPr="003B4362" w:rsidRDefault="005605D6" w:rsidP="005605D6">
      <w:pPr>
        <w:suppressAutoHyphens/>
        <w:ind w:left="720"/>
      </w:pPr>
    </w:p>
    <w:p w14:paraId="3BC768B1" w14:textId="641A53C1" w:rsidR="003A2E01" w:rsidRPr="003B4362" w:rsidRDefault="003A2E01" w:rsidP="00F829FE">
      <w:pPr>
        <w:rPr>
          <w:b/>
          <w:bCs/>
        </w:rPr>
      </w:pPr>
      <w:r w:rsidRPr="003B4362">
        <w:rPr>
          <w:b/>
          <w:bCs/>
        </w:rPr>
        <w:t>Section 611.313  Maximum Residual Disinfectant Levels (MRDLs)</w:t>
      </w:r>
    </w:p>
    <w:p w14:paraId="6C0810C3" w14:textId="7500275E" w:rsidR="003A2E01" w:rsidRPr="003B4362" w:rsidRDefault="003A2E01" w:rsidP="003A2E01">
      <w:pPr>
        <w:suppressAutoHyphens/>
        <w:spacing w:before="240" w:after="240"/>
        <w:ind w:left="1440" w:hanging="720"/>
        <w:rPr>
          <w:spacing w:val="-2"/>
        </w:rPr>
      </w:pPr>
      <w:r w:rsidRPr="003B4362">
        <w:rPr>
          <w:spacing w:val="-2"/>
        </w:rPr>
        <w:t>a)</w:t>
      </w:r>
      <w:r w:rsidRPr="003B4362">
        <w:rPr>
          <w:spacing w:val="-2"/>
        </w:rPr>
        <w:tab/>
        <w:t>MRDLs:</w:t>
      </w:r>
    </w:p>
    <w:tbl>
      <w:tblPr>
        <w:tblW w:w="0" w:type="auto"/>
        <w:tblInd w:w="2160" w:type="dxa"/>
        <w:tblLayout w:type="fixed"/>
        <w:tblCellMar>
          <w:left w:w="0" w:type="dxa"/>
          <w:right w:w="115" w:type="dxa"/>
        </w:tblCellMar>
        <w:tblLook w:val="0000" w:firstRow="0" w:lastRow="0" w:firstColumn="0" w:lastColumn="0" w:noHBand="0" w:noVBand="0"/>
      </w:tblPr>
      <w:tblGrid>
        <w:gridCol w:w="2296"/>
        <w:gridCol w:w="1756"/>
      </w:tblGrid>
      <w:tr w:rsidR="001628C1" w:rsidRPr="003B4362" w14:paraId="126224C9" w14:textId="77777777" w:rsidTr="008C0979">
        <w:tc>
          <w:tcPr>
            <w:tcW w:w="2296" w:type="dxa"/>
          </w:tcPr>
          <w:p w14:paraId="0C77E71A" w14:textId="77777777" w:rsidR="003A2E01" w:rsidRPr="003B4362" w:rsidRDefault="003A2E01" w:rsidP="008C0979">
            <w:pPr>
              <w:keepNext/>
              <w:keepLines/>
              <w:suppressAutoHyphens/>
              <w:spacing w:after="240"/>
              <w:rPr>
                <w:spacing w:val="-2"/>
              </w:rPr>
            </w:pPr>
            <w:r w:rsidRPr="003B4362">
              <w:rPr>
                <w:spacing w:val="-2"/>
              </w:rPr>
              <w:t>Disinfectant residual</w:t>
            </w:r>
          </w:p>
        </w:tc>
        <w:tc>
          <w:tcPr>
            <w:tcW w:w="1756" w:type="dxa"/>
          </w:tcPr>
          <w:p w14:paraId="6EE99766" w14:textId="21F33FDB" w:rsidR="003A2E01" w:rsidRPr="003B4362" w:rsidRDefault="003A2E01" w:rsidP="008C0979">
            <w:pPr>
              <w:keepNext/>
              <w:keepLines/>
              <w:suppressAutoHyphens/>
              <w:spacing w:after="240"/>
              <w:rPr>
                <w:spacing w:val="-2"/>
              </w:rPr>
            </w:pPr>
            <w:r w:rsidRPr="003B4362">
              <w:rPr>
                <w:spacing w:val="-2"/>
              </w:rPr>
              <w:t>MRDL (mg/</w:t>
            </w:r>
            <w:r w:rsidR="00240CA6" w:rsidRPr="003B4362">
              <w:t xml:space="preserve"> L</w:t>
            </w:r>
            <w:r w:rsidRPr="003B4362">
              <w:rPr>
                <w:spacing w:val="-2"/>
              </w:rPr>
              <w:t>)</w:t>
            </w:r>
          </w:p>
        </w:tc>
      </w:tr>
      <w:tr w:rsidR="001628C1" w:rsidRPr="003B4362" w14:paraId="4C748617" w14:textId="77777777" w:rsidTr="008C0979">
        <w:tc>
          <w:tcPr>
            <w:tcW w:w="2296" w:type="dxa"/>
          </w:tcPr>
          <w:p w14:paraId="5A29E8E4" w14:textId="77777777" w:rsidR="003A2E01" w:rsidRPr="003B4362" w:rsidRDefault="003A2E01" w:rsidP="008C0979">
            <w:pPr>
              <w:suppressAutoHyphens/>
              <w:rPr>
                <w:spacing w:val="-2"/>
              </w:rPr>
            </w:pPr>
            <w:r w:rsidRPr="003B4362">
              <w:rPr>
                <w:spacing w:val="-2"/>
              </w:rPr>
              <w:t>Chlorine</w:t>
            </w:r>
          </w:p>
        </w:tc>
        <w:tc>
          <w:tcPr>
            <w:tcW w:w="1756" w:type="dxa"/>
          </w:tcPr>
          <w:p w14:paraId="14D863AC" w14:textId="77777777" w:rsidR="003A2E01" w:rsidRPr="003B4362" w:rsidRDefault="003A2E01" w:rsidP="008C0979">
            <w:pPr>
              <w:suppressAutoHyphens/>
              <w:rPr>
                <w:spacing w:val="-2"/>
              </w:rPr>
            </w:pPr>
            <w:r w:rsidRPr="003B4362">
              <w:rPr>
                <w:spacing w:val="-2"/>
              </w:rPr>
              <w:t>4.0 (as Cl</w:t>
            </w:r>
            <w:r w:rsidRPr="003B4362">
              <w:rPr>
                <w:spacing w:val="-2"/>
                <w:vertAlign w:val="subscript"/>
              </w:rPr>
              <w:t>2</w:t>
            </w:r>
            <w:r w:rsidRPr="003B4362">
              <w:rPr>
                <w:spacing w:val="-2"/>
              </w:rPr>
              <w:t>)</w:t>
            </w:r>
          </w:p>
        </w:tc>
      </w:tr>
      <w:tr w:rsidR="001628C1" w:rsidRPr="003B4362" w14:paraId="1185F997" w14:textId="77777777" w:rsidTr="008C0979">
        <w:tc>
          <w:tcPr>
            <w:tcW w:w="2296" w:type="dxa"/>
          </w:tcPr>
          <w:p w14:paraId="2D48FA92" w14:textId="77777777" w:rsidR="003A2E01" w:rsidRPr="003B4362" w:rsidRDefault="003A2E01" w:rsidP="008C0979">
            <w:pPr>
              <w:suppressAutoHyphens/>
              <w:rPr>
                <w:spacing w:val="-2"/>
              </w:rPr>
            </w:pPr>
            <w:r w:rsidRPr="003B4362">
              <w:rPr>
                <w:spacing w:val="-2"/>
              </w:rPr>
              <w:t>Chloramines</w:t>
            </w:r>
          </w:p>
        </w:tc>
        <w:tc>
          <w:tcPr>
            <w:tcW w:w="1756" w:type="dxa"/>
          </w:tcPr>
          <w:p w14:paraId="63C18130" w14:textId="77777777" w:rsidR="003A2E01" w:rsidRPr="003B4362" w:rsidRDefault="003A2E01" w:rsidP="008C0979">
            <w:pPr>
              <w:suppressAutoHyphens/>
              <w:rPr>
                <w:spacing w:val="-2"/>
              </w:rPr>
            </w:pPr>
            <w:r w:rsidRPr="003B4362">
              <w:rPr>
                <w:spacing w:val="-2"/>
              </w:rPr>
              <w:t>4.0 (as Cl</w:t>
            </w:r>
            <w:r w:rsidRPr="003B4362">
              <w:rPr>
                <w:spacing w:val="-2"/>
                <w:vertAlign w:val="subscript"/>
              </w:rPr>
              <w:t>2</w:t>
            </w:r>
            <w:r w:rsidRPr="003B4362">
              <w:rPr>
                <w:spacing w:val="-2"/>
              </w:rPr>
              <w:t>)</w:t>
            </w:r>
          </w:p>
        </w:tc>
      </w:tr>
      <w:tr w:rsidR="001628C1" w:rsidRPr="003B4362" w14:paraId="0BA39BD4" w14:textId="77777777" w:rsidTr="008C0979">
        <w:tc>
          <w:tcPr>
            <w:tcW w:w="2296" w:type="dxa"/>
          </w:tcPr>
          <w:p w14:paraId="5BC4BF97" w14:textId="77777777" w:rsidR="003A2E01" w:rsidRPr="003B4362" w:rsidRDefault="003A2E01" w:rsidP="008C0979">
            <w:pPr>
              <w:suppressAutoHyphens/>
              <w:rPr>
                <w:spacing w:val="-2"/>
              </w:rPr>
            </w:pPr>
            <w:r w:rsidRPr="003B4362">
              <w:rPr>
                <w:spacing w:val="-2"/>
              </w:rPr>
              <w:t>Chlorine dioxide</w:t>
            </w:r>
          </w:p>
        </w:tc>
        <w:tc>
          <w:tcPr>
            <w:tcW w:w="1756" w:type="dxa"/>
          </w:tcPr>
          <w:p w14:paraId="25F6E45D" w14:textId="77777777" w:rsidR="003A2E01" w:rsidRPr="003B4362" w:rsidRDefault="003A2E01" w:rsidP="008C0979">
            <w:pPr>
              <w:suppressAutoHyphens/>
              <w:rPr>
                <w:spacing w:val="-2"/>
              </w:rPr>
            </w:pPr>
            <w:r w:rsidRPr="003B4362">
              <w:rPr>
                <w:spacing w:val="-2"/>
              </w:rPr>
              <w:t>0.8 (as ClO</w:t>
            </w:r>
            <w:r w:rsidRPr="003B4362">
              <w:rPr>
                <w:spacing w:val="-2"/>
                <w:vertAlign w:val="subscript"/>
              </w:rPr>
              <w:t>2</w:t>
            </w:r>
            <w:r w:rsidRPr="003B4362">
              <w:rPr>
                <w:spacing w:val="-2"/>
              </w:rPr>
              <w:t>)</w:t>
            </w:r>
          </w:p>
        </w:tc>
      </w:tr>
    </w:tbl>
    <w:p w14:paraId="1E9DD7E7" w14:textId="0BE56E08" w:rsidR="003A2E01" w:rsidRPr="003B4362" w:rsidRDefault="003A2E01" w:rsidP="003A2E01">
      <w:pPr>
        <w:suppressAutoHyphens/>
        <w:spacing w:before="240" w:after="240"/>
        <w:ind w:left="1440" w:hanging="720"/>
        <w:rPr>
          <w:spacing w:val="-2"/>
        </w:rPr>
      </w:pPr>
      <w:r w:rsidRPr="003B4362">
        <w:rPr>
          <w:spacing w:val="-2"/>
        </w:rPr>
        <w:t>b)</w:t>
      </w:r>
      <w:r w:rsidRPr="003B4362">
        <w:rPr>
          <w:spacing w:val="-2"/>
        </w:rPr>
        <w:tab/>
        <w:t>Compliance</w:t>
      </w:r>
    </w:p>
    <w:p w14:paraId="28708220" w14:textId="4C79F831" w:rsidR="003A2E01" w:rsidRPr="003B4362" w:rsidRDefault="003A2E01" w:rsidP="003A2E01">
      <w:pPr>
        <w:suppressAutoHyphens/>
        <w:spacing w:before="240" w:after="240"/>
        <w:ind w:left="2160" w:hanging="720"/>
        <w:rPr>
          <w:spacing w:val="-2"/>
        </w:rPr>
      </w:pPr>
      <w:r w:rsidRPr="003B4362">
        <w:rPr>
          <w:spacing w:val="-2"/>
        </w:rPr>
        <w:t>1)</w:t>
      </w:r>
      <w:r w:rsidRPr="003B4362">
        <w:rPr>
          <w:spacing w:val="-2"/>
        </w:rPr>
        <w:tab/>
        <w:t xml:space="preserve">CWSs and NTNCWSs.  A Subpart B system </w:t>
      </w:r>
      <w:r w:rsidRPr="003B4362">
        <w:t xml:space="preserve">must </w:t>
      </w:r>
      <w:r w:rsidRPr="003B4362">
        <w:rPr>
          <w:spacing w:val="-2"/>
        </w:rPr>
        <w:t>comply with this Section.</w:t>
      </w:r>
    </w:p>
    <w:p w14:paraId="7F3CCADB" w14:textId="13600A70" w:rsidR="003A2E01" w:rsidRPr="003B4362" w:rsidRDefault="003A2E01" w:rsidP="003A2E01">
      <w:pPr>
        <w:suppressAutoHyphens/>
        <w:spacing w:before="240"/>
        <w:ind w:left="2160" w:hanging="720"/>
        <w:rPr>
          <w:spacing w:val="-2"/>
        </w:rPr>
      </w:pPr>
      <w:r w:rsidRPr="003B4362">
        <w:rPr>
          <w:spacing w:val="-2"/>
        </w:rPr>
        <w:t>2)</w:t>
      </w:r>
      <w:r w:rsidRPr="003B4362">
        <w:rPr>
          <w:spacing w:val="-2"/>
        </w:rPr>
        <w:tab/>
        <w:t xml:space="preserve">Transient NCWSs.  A Subpart B system supplier </w:t>
      </w:r>
      <w:r w:rsidRPr="003B4362">
        <w:t xml:space="preserve">must </w:t>
      </w:r>
      <w:r w:rsidRPr="003B4362">
        <w:rPr>
          <w:spacing w:val="-2"/>
        </w:rPr>
        <w:t>comply with the chlorine dioxide MRDL.</w:t>
      </w:r>
    </w:p>
    <w:p w14:paraId="5A3F2D77" w14:textId="62D1FF20" w:rsidR="003A2E01" w:rsidRPr="003B4362" w:rsidRDefault="003A2E01" w:rsidP="003A2E01">
      <w:pPr>
        <w:suppressAutoHyphens/>
        <w:spacing w:before="240"/>
        <w:ind w:left="1440" w:hanging="720"/>
        <w:rPr>
          <w:spacing w:val="-2"/>
        </w:rPr>
      </w:pPr>
      <w:r w:rsidRPr="003B4362">
        <w:rPr>
          <w:spacing w:val="-2"/>
        </w:rPr>
        <w:t>c)</w:t>
      </w:r>
      <w:r w:rsidRPr="003B4362">
        <w:rPr>
          <w:spacing w:val="-2"/>
        </w:rPr>
        <w:tab/>
        <w:t>USEPA identified the best technology, treatment techniques</w:t>
      </w:r>
      <w:r w:rsidRPr="003B4362">
        <w:t>, or</w:t>
      </w:r>
      <w:r w:rsidRPr="003B4362">
        <w:rPr>
          <w:spacing w:val="-2"/>
        </w:rPr>
        <w:t xml:space="preserve"> other means available for </w:t>
      </w:r>
      <w:r w:rsidR="00D436DE" w:rsidRPr="003B4362">
        <w:rPr>
          <w:spacing w:val="-2"/>
        </w:rPr>
        <w:t xml:space="preserve">complying </w:t>
      </w:r>
      <w:r w:rsidRPr="003B4362">
        <w:rPr>
          <w:spacing w:val="-2"/>
        </w:rPr>
        <w:t xml:space="preserve">with the MRDLs in subsection (a):  </w:t>
      </w:r>
      <w:r w:rsidR="00C35AE8" w:rsidRPr="003B4362">
        <w:rPr>
          <w:spacing w:val="-2"/>
        </w:rPr>
        <w:t xml:space="preserve">controlling </w:t>
      </w:r>
      <w:r w:rsidRPr="003B4362">
        <w:rPr>
          <w:spacing w:val="-2"/>
        </w:rPr>
        <w:t xml:space="preserve">treatment processes to reduce disinfectant demand and </w:t>
      </w:r>
      <w:r w:rsidR="00C35AE8" w:rsidRPr="003B4362">
        <w:rPr>
          <w:spacing w:val="-2"/>
        </w:rPr>
        <w:t xml:space="preserve">controlling </w:t>
      </w:r>
      <w:r w:rsidRPr="003B4362">
        <w:rPr>
          <w:spacing w:val="-2"/>
        </w:rPr>
        <w:t>disinfection treatment processes to reduce disinfectant levels.</w:t>
      </w:r>
    </w:p>
    <w:p w14:paraId="44C01C73" w14:textId="2D3568D6" w:rsidR="003A2E01" w:rsidRPr="003B4362" w:rsidRDefault="003A2E01" w:rsidP="003A2E01">
      <w:pPr>
        <w:suppressAutoHyphens/>
        <w:spacing w:before="240"/>
      </w:pPr>
      <w:r w:rsidRPr="003B4362">
        <w:t xml:space="preserve">BOARD NOTE:  </w:t>
      </w:r>
      <w:r w:rsidR="00C60F38" w:rsidRPr="003B4362">
        <w:rPr>
          <w:spacing w:val="-3"/>
        </w:rPr>
        <w:t xml:space="preserve">This Section derives </w:t>
      </w:r>
      <w:r w:rsidRPr="003B4362">
        <w:t>from 40 CFR 141.65.</w:t>
      </w:r>
    </w:p>
    <w:p w14:paraId="19104909" w14:textId="019EE2C7" w:rsidR="003A2E01" w:rsidRDefault="00EB353D" w:rsidP="003A2E01">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476E91AF" w14:textId="77777777" w:rsidR="00810215" w:rsidRPr="003B4362" w:rsidRDefault="00810215" w:rsidP="003A2E01">
      <w:pPr>
        <w:suppressAutoHyphens/>
        <w:spacing w:before="240"/>
        <w:ind w:left="720"/>
      </w:pPr>
    </w:p>
    <w:p w14:paraId="16D6ACF9" w14:textId="77777777" w:rsidR="00810215" w:rsidRPr="00810215" w:rsidRDefault="00810215" w:rsidP="00810215">
      <w:pPr>
        <w:rPr>
          <w:b/>
          <w:bCs/>
        </w:rPr>
      </w:pPr>
      <w:r w:rsidRPr="00810215">
        <w:rPr>
          <w:b/>
          <w:bCs/>
        </w:rPr>
        <w:t>Section 611.320  Turbidity (Repealed)</w:t>
      </w:r>
    </w:p>
    <w:p w14:paraId="44B68E05" w14:textId="77777777" w:rsidR="00810215" w:rsidRPr="001A7517" w:rsidRDefault="00810215" w:rsidP="00810215"/>
    <w:p w14:paraId="2A732D2F" w14:textId="77D7B28D" w:rsidR="00810215" w:rsidRPr="001A7517" w:rsidRDefault="00810215" w:rsidP="00810215">
      <w:r>
        <w:tab/>
      </w:r>
      <w:r w:rsidRPr="001A7517">
        <w:t>(Source:  Repealed at 27 Ill. Reg. 16447, effective October 10, 2003)</w:t>
      </w:r>
    </w:p>
    <w:p w14:paraId="750F3190" w14:textId="77777777" w:rsidR="00F829FE" w:rsidRPr="003B4362" w:rsidRDefault="00F829FE" w:rsidP="00F829FE">
      <w:pPr>
        <w:rPr>
          <w:b/>
          <w:bCs/>
        </w:rPr>
      </w:pPr>
    </w:p>
    <w:p w14:paraId="41AC9040" w14:textId="74FBA5A9" w:rsidR="00CA06CD" w:rsidRPr="003B4362" w:rsidRDefault="00CA06CD" w:rsidP="00F829FE">
      <w:pPr>
        <w:rPr>
          <w:b/>
          <w:bCs/>
        </w:rPr>
      </w:pPr>
      <w:r w:rsidRPr="003B4362">
        <w:rPr>
          <w:b/>
          <w:bCs/>
        </w:rPr>
        <w:t>Section 611.325  Microbiological Contaminants</w:t>
      </w:r>
    </w:p>
    <w:p w14:paraId="1426C537" w14:textId="6BA0C0A5" w:rsidR="00CA06CD" w:rsidRPr="003B4362" w:rsidRDefault="00CA06CD" w:rsidP="00CA06CD">
      <w:pPr>
        <w:spacing w:before="240" w:after="240"/>
        <w:ind w:left="1440" w:hanging="720"/>
        <w:rPr>
          <w:szCs w:val="24"/>
        </w:rPr>
      </w:pPr>
      <w:r w:rsidRPr="003B4362">
        <w:rPr>
          <w:szCs w:val="24"/>
        </w:rPr>
        <w:t>a)</w:t>
      </w:r>
      <w:r w:rsidRPr="003B4362">
        <w:rPr>
          <w:szCs w:val="24"/>
        </w:rPr>
        <w:tab/>
        <w:t xml:space="preserve">A supplier </w:t>
      </w:r>
      <w:r w:rsidR="00245856" w:rsidRPr="003B4362">
        <w:rPr>
          <w:szCs w:val="24"/>
        </w:rPr>
        <w:t xml:space="preserve">complies </w:t>
      </w:r>
      <w:r w:rsidRPr="003B4362">
        <w:rPr>
          <w:szCs w:val="24"/>
        </w:rPr>
        <w:t xml:space="preserve">with the MCL for </w:t>
      </w:r>
      <w:r w:rsidRPr="003B4362">
        <w:rPr>
          <w:iCs/>
          <w:szCs w:val="24"/>
        </w:rPr>
        <w:t xml:space="preserve">E. coli </w:t>
      </w:r>
      <w:r w:rsidRPr="003B4362">
        <w:rPr>
          <w:szCs w:val="24"/>
        </w:rPr>
        <w:t xml:space="preserve">for samples taken under Subpart AA, unless any of the conditions identified in subsections (a)(1) through (a)(4) occur.  For purposes of public notification </w:t>
      </w:r>
      <w:r w:rsidR="00245856" w:rsidRPr="003B4362">
        <w:rPr>
          <w:szCs w:val="24"/>
        </w:rPr>
        <w:t xml:space="preserve">under </w:t>
      </w:r>
      <w:r w:rsidRPr="003B4362">
        <w:rPr>
          <w:szCs w:val="24"/>
        </w:rPr>
        <w:t xml:space="preserve">Subpart V, </w:t>
      </w:r>
      <w:r w:rsidR="00245856" w:rsidRPr="003B4362">
        <w:rPr>
          <w:szCs w:val="24"/>
        </w:rPr>
        <w:t xml:space="preserve">violating </w:t>
      </w:r>
      <w:r w:rsidRPr="003B4362">
        <w:rPr>
          <w:szCs w:val="24"/>
        </w:rPr>
        <w:t xml:space="preserve">the MCL may pose an acute risk to </w:t>
      </w:r>
      <w:r w:rsidR="00245856" w:rsidRPr="003B4362">
        <w:rPr>
          <w:szCs w:val="24"/>
        </w:rPr>
        <w:t xml:space="preserve">human </w:t>
      </w:r>
      <w:r w:rsidRPr="003B4362">
        <w:rPr>
          <w:szCs w:val="24"/>
        </w:rPr>
        <w:t>health.</w:t>
      </w:r>
    </w:p>
    <w:p w14:paraId="2E6879EA" w14:textId="6CAF2E02" w:rsidR="00CA06CD" w:rsidRPr="003B4362" w:rsidRDefault="00CA06CD" w:rsidP="00CA06CD">
      <w:pPr>
        <w:spacing w:before="240" w:after="240"/>
        <w:ind w:left="2160" w:hanging="720"/>
        <w:rPr>
          <w:szCs w:val="24"/>
        </w:rPr>
      </w:pPr>
      <w:r w:rsidRPr="003B4362">
        <w:rPr>
          <w:szCs w:val="24"/>
        </w:rPr>
        <w:t>1)</w:t>
      </w:r>
      <w:r w:rsidRPr="003B4362">
        <w:rPr>
          <w:szCs w:val="24"/>
        </w:rPr>
        <w:tab/>
        <w:t xml:space="preserve">The supplier </w:t>
      </w:r>
      <w:r w:rsidR="00A854C7" w:rsidRPr="003B4362">
        <w:rPr>
          <w:szCs w:val="24"/>
        </w:rPr>
        <w:t>has</w:t>
      </w:r>
      <w:r w:rsidRPr="003B4362">
        <w:rPr>
          <w:szCs w:val="24"/>
        </w:rPr>
        <w:t xml:space="preserve"> an </w:t>
      </w:r>
      <w:r w:rsidRPr="003B4362">
        <w:rPr>
          <w:iCs/>
          <w:szCs w:val="24"/>
        </w:rPr>
        <w:t>E. coli</w:t>
      </w:r>
      <w:r w:rsidRPr="003B4362">
        <w:rPr>
          <w:szCs w:val="24"/>
        </w:rPr>
        <w:t>-positive repeat sample following a total coliform-positive routine sample.</w:t>
      </w:r>
    </w:p>
    <w:p w14:paraId="7919E2EA" w14:textId="63AEC323" w:rsidR="00CA06CD" w:rsidRPr="003B4362" w:rsidRDefault="00CA06CD" w:rsidP="00CA06CD">
      <w:pPr>
        <w:spacing w:before="240" w:after="240"/>
        <w:ind w:left="2160" w:hanging="720"/>
        <w:rPr>
          <w:szCs w:val="24"/>
        </w:rPr>
      </w:pPr>
      <w:r w:rsidRPr="003B4362">
        <w:rPr>
          <w:szCs w:val="24"/>
        </w:rPr>
        <w:lastRenderedPageBreak/>
        <w:t>2)</w:t>
      </w:r>
      <w:r w:rsidRPr="003B4362">
        <w:rPr>
          <w:szCs w:val="24"/>
        </w:rPr>
        <w:tab/>
        <w:t xml:space="preserve">The supplier </w:t>
      </w:r>
      <w:r w:rsidR="00A854C7" w:rsidRPr="003B4362">
        <w:rPr>
          <w:szCs w:val="24"/>
        </w:rPr>
        <w:t>has</w:t>
      </w:r>
      <w:r w:rsidRPr="003B4362">
        <w:rPr>
          <w:szCs w:val="24"/>
        </w:rPr>
        <w:t xml:space="preserve"> a total coliform-positive repeat sample following an </w:t>
      </w:r>
      <w:r w:rsidRPr="003B4362">
        <w:rPr>
          <w:iCs/>
          <w:szCs w:val="24"/>
        </w:rPr>
        <w:t>E. coli</w:t>
      </w:r>
      <w:r w:rsidRPr="003B4362">
        <w:rPr>
          <w:szCs w:val="24"/>
        </w:rPr>
        <w:t>-positive routine sample.</w:t>
      </w:r>
    </w:p>
    <w:p w14:paraId="71233433" w14:textId="77777777" w:rsidR="00CA06CD" w:rsidRPr="003B4362" w:rsidRDefault="00CA06CD" w:rsidP="00CA06CD">
      <w:pPr>
        <w:spacing w:before="240" w:after="240"/>
        <w:ind w:left="2160" w:hanging="720"/>
        <w:rPr>
          <w:szCs w:val="24"/>
        </w:rPr>
      </w:pPr>
      <w:r w:rsidRPr="003B4362">
        <w:rPr>
          <w:szCs w:val="24"/>
        </w:rPr>
        <w:t>3)</w:t>
      </w:r>
      <w:r w:rsidRPr="003B4362">
        <w:rPr>
          <w:szCs w:val="24"/>
        </w:rPr>
        <w:tab/>
        <w:t xml:space="preserve">The supplier fails to take all required repeat samples following an </w:t>
      </w:r>
      <w:r w:rsidRPr="003B4362">
        <w:rPr>
          <w:iCs/>
          <w:szCs w:val="24"/>
        </w:rPr>
        <w:t>E. coli</w:t>
      </w:r>
      <w:r w:rsidRPr="003B4362">
        <w:rPr>
          <w:szCs w:val="24"/>
        </w:rPr>
        <w:t>-positive routine sample.</w:t>
      </w:r>
    </w:p>
    <w:p w14:paraId="6E9678D8" w14:textId="77777777" w:rsidR="00CA06CD" w:rsidRPr="003B4362" w:rsidRDefault="00CA06CD" w:rsidP="00CA06CD">
      <w:pPr>
        <w:spacing w:before="240" w:after="240"/>
        <w:ind w:left="2160" w:hanging="720"/>
        <w:rPr>
          <w:szCs w:val="24"/>
        </w:rPr>
      </w:pPr>
      <w:r w:rsidRPr="003B4362">
        <w:rPr>
          <w:szCs w:val="24"/>
        </w:rPr>
        <w:t>4)</w:t>
      </w:r>
      <w:r w:rsidRPr="003B4362">
        <w:rPr>
          <w:szCs w:val="24"/>
        </w:rPr>
        <w:tab/>
        <w:t xml:space="preserve">The supplier fails to test for </w:t>
      </w:r>
      <w:r w:rsidRPr="003B4362">
        <w:rPr>
          <w:iCs/>
          <w:szCs w:val="24"/>
        </w:rPr>
        <w:t xml:space="preserve">E. coli </w:t>
      </w:r>
      <w:r w:rsidRPr="003B4362">
        <w:rPr>
          <w:szCs w:val="24"/>
        </w:rPr>
        <w:t>when any repeat sample tests positive for total coliform.</w:t>
      </w:r>
    </w:p>
    <w:p w14:paraId="1DA6DB1A" w14:textId="51408A93" w:rsidR="00CA06CD" w:rsidRPr="003B4362" w:rsidRDefault="00CA06CD" w:rsidP="00CA06CD">
      <w:pPr>
        <w:spacing w:before="240" w:after="240"/>
        <w:ind w:left="1440" w:hanging="720"/>
      </w:pPr>
      <w:r w:rsidRPr="003B4362">
        <w:rPr>
          <w:szCs w:val="24"/>
        </w:rPr>
        <w:t>b</w:t>
      </w:r>
      <w:r w:rsidRPr="003B4362">
        <w:t>)</w:t>
      </w:r>
      <w:r w:rsidRPr="003B4362">
        <w:tab/>
      </w:r>
      <w:r w:rsidRPr="003B4362">
        <w:rPr>
          <w:szCs w:val="24"/>
        </w:rPr>
        <w:t xml:space="preserve">A supplier must determine </w:t>
      </w:r>
      <w:r w:rsidR="00634B47" w:rsidRPr="003B4362">
        <w:rPr>
          <w:szCs w:val="24"/>
        </w:rPr>
        <w:t xml:space="preserve">whether it complies </w:t>
      </w:r>
      <w:r w:rsidRPr="003B4362">
        <w:rPr>
          <w:szCs w:val="24"/>
        </w:rPr>
        <w:t xml:space="preserve">with the MCL for </w:t>
      </w:r>
      <w:r w:rsidRPr="003B4362">
        <w:rPr>
          <w:iCs/>
          <w:szCs w:val="24"/>
        </w:rPr>
        <w:t xml:space="preserve">E. coli </w:t>
      </w:r>
      <w:r w:rsidRPr="003B4362">
        <w:rPr>
          <w:szCs w:val="24"/>
        </w:rPr>
        <w:t xml:space="preserve">in subsection (a) for each month </w:t>
      </w:r>
      <w:r w:rsidR="00634B47" w:rsidRPr="003B4362">
        <w:rPr>
          <w:szCs w:val="24"/>
        </w:rPr>
        <w:t xml:space="preserve">during </w:t>
      </w:r>
      <w:r w:rsidRPr="003B4362">
        <w:rPr>
          <w:szCs w:val="24"/>
        </w:rPr>
        <w:t xml:space="preserve">which </w:t>
      </w:r>
      <w:r w:rsidR="00634B47" w:rsidRPr="003B4362">
        <w:rPr>
          <w:szCs w:val="24"/>
        </w:rPr>
        <w:t xml:space="preserve">the supplier must </w:t>
      </w:r>
      <w:r w:rsidRPr="003B4362">
        <w:rPr>
          <w:szCs w:val="24"/>
        </w:rPr>
        <w:t>monitor for total coliforms.</w:t>
      </w:r>
    </w:p>
    <w:p w14:paraId="253025D3" w14:textId="0B43385F" w:rsidR="00CA06CD" w:rsidRPr="003B4362" w:rsidRDefault="00CA06CD" w:rsidP="00CA06CD">
      <w:pPr>
        <w:spacing w:before="240" w:after="240"/>
        <w:ind w:left="1440" w:hanging="720"/>
      </w:pPr>
      <w:r w:rsidRPr="003B4362">
        <w:rPr>
          <w:szCs w:val="24"/>
        </w:rPr>
        <w:t>c</w:t>
      </w:r>
      <w:r w:rsidRPr="003B4362">
        <w:t>)</w:t>
      </w:r>
      <w:r w:rsidRPr="003B4362">
        <w:tab/>
      </w:r>
      <w:r w:rsidR="001F6583" w:rsidRPr="003B4362">
        <w:t xml:space="preserve">USEPA identified the best technology, treatment techniques, or other means for complying </w:t>
      </w:r>
      <w:r w:rsidRPr="003B4362">
        <w:rPr>
          <w:szCs w:val="24"/>
        </w:rPr>
        <w:t xml:space="preserve">with the </w:t>
      </w:r>
      <w:r w:rsidR="001F6583" w:rsidRPr="003B4362">
        <w:rPr>
          <w:szCs w:val="24"/>
        </w:rPr>
        <w:t xml:space="preserve">MCL </w:t>
      </w:r>
      <w:r w:rsidRPr="003B4362">
        <w:rPr>
          <w:szCs w:val="24"/>
        </w:rPr>
        <w:t xml:space="preserve">maximum contaminant level for </w:t>
      </w:r>
      <w:r w:rsidRPr="003B4362">
        <w:rPr>
          <w:iCs/>
          <w:szCs w:val="24"/>
        </w:rPr>
        <w:t xml:space="preserve">E. coli </w:t>
      </w:r>
      <w:r w:rsidRPr="003B4362">
        <w:rPr>
          <w:szCs w:val="24"/>
        </w:rPr>
        <w:t>in subsection (a)</w:t>
      </w:r>
      <w:r w:rsidRPr="003B4362">
        <w:t>:</w:t>
      </w:r>
    </w:p>
    <w:p w14:paraId="4327DE07" w14:textId="2CD652EE" w:rsidR="00CA06CD" w:rsidRPr="003B4362" w:rsidRDefault="00CA06CD" w:rsidP="00CA06CD">
      <w:pPr>
        <w:spacing w:before="240" w:after="240"/>
        <w:ind w:left="2160" w:hanging="720"/>
      </w:pPr>
      <w:r w:rsidRPr="003B4362">
        <w:t>1)</w:t>
      </w:r>
      <w:r w:rsidRPr="003B4362">
        <w:tab/>
      </w:r>
      <w:r w:rsidR="001F6583" w:rsidRPr="003B4362">
        <w:t xml:space="preserve">Protecting </w:t>
      </w:r>
      <w:r w:rsidRPr="003B4362">
        <w:t xml:space="preserve">wells from </w:t>
      </w:r>
      <w:r w:rsidRPr="003B4362">
        <w:rPr>
          <w:szCs w:val="24"/>
        </w:rPr>
        <w:t xml:space="preserve">fecal contamination </w:t>
      </w:r>
      <w:r w:rsidRPr="003B4362">
        <w:t>by appropriate placement and construction;</w:t>
      </w:r>
    </w:p>
    <w:p w14:paraId="6B7D8C3B" w14:textId="353833B4" w:rsidR="00CA06CD" w:rsidRPr="003B4362" w:rsidRDefault="00CA06CD" w:rsidP="00CA06CD">
      <w:pPr>
        <w:spacing w:before="240" w:after="240"/>
        <w:ind w:left="2160" w:hanging="720"/>
      </w:pPr>
      <w:r w:rsidRPr="003B4362">
        <w:t>2)</w:t>
      </w:r>
      <w:r w:rsidRPr="003B4362">
        <w:tab/>
      </w:r>
      <w:r w:rsidR="001F6583" w:rsidRPr="003B4362">
        <w:t xml:space="preserve">Maintaining </w:t>
      </w:r>
      <w:r w:rsidRPr="003B4362">
        <w:t>RDC throughout the distribution system;</w:t>
      </w:r>
    </w:p>
    <w:p w14:paraId="4A799D88" w14:textId="7016B31F" w:rsidR="00CA06CD" w:rsidRPr="003B4362" w:rsidRDefault="00CA06CD" w:rsidP="00CA06CD">
      <w:pPr>
        <w:spacing w:before="240" w:after="240"/>
        <w:ind w:left="2160" w:hanging="720"/>
      </w:pPr>
      <w:r w:rsidRPr="003B4362">
        <w:t>3)</w:t>
      </w:r>
      <w:r w:rsidRPr="003B4362">
        <w:tab/>
      </w:r>
      <w:r w:rsidR="001F6583" w:rsidRPr="003B4362">
        <w:t xml:space="preserve">Properly maintaining </w:t>
      </w:r>
      <w:r w:rsidRPr="003B4362">
        <w:t>the distribution system</w:t>
      </w:r>
      <w:r w:rsidR="001F6583" w:rsidRPr="003B4362">
        <w:t>,</w:t>
      </w:r>
      <w:r w:rsidRPr="003B4362">
        <w:t xml:space="preserve"> including appropriate pipe replacement and repair procedures, main flushing programs, </w:t>
      </w:r>
      <w:r w:rsidR="001F6583" w:rsidRPr="003B4362">
        <w:t xml:space="preserve">properly operating and maintaining </w:t>
      </w:r>
      <w:r w:rsidRPr="003B4362">
        <w:t>storage tanks and reservoirs, cross-connection</w:t>
      </w:r>
      <w:r w:rsidRPr="003B4362">
        <w:rPr>
          <w:szCs w:val="24"/>
        </w:rPr>
        <w:t xml:space="preserve"> control, </w:t>
      </w:r>
      <w:r w:rsidRPr="003B4362">
        <w:t xml:space="preserve">and </w:t>
      </w:r>
      <w:r w:rsidR="001F6583" w:rsidRPr="003B4362">
        <w:t xml:space="preserve">continually maintaining </w:t>
      </w:r>
      <w:r w:rsidRPr="003B4362">
        <w:t>positive water pressure in all parts of the distribution system;</w:t>
      </w:r>
    </w:p>
    <w:p w14:paraId="369D4C0A" w14:textId="3DDB5C00" w:rsidR="00CA06CD" w:rsidRPr="003B4362" w:rsidRDefault="00CA06CD" w:rsidP="00CA06CD">
      <w:pPr>
        <w:spacing w:before="240" w:after="240"/>
        <w:ind w:left="2160" w:hanging="720"/>
      </w:pPr>
      <w:r w:rsidRPr="003B4362">
        <w:t>4)</w:t>
      </w:r>
      <w:r w:rsidRPr="003B4362">
        <w:tab/>
      </w:r>
      <w:r w:rsidR="009308FD" w:rsidRPr="003B4362">
        <w:t xml:space="preserve">Filtering </w:t>
      </w:r>
      <w:r w:rsidRPr="003B4362">
        <w:t xml:space="preserve">and </w:t>
      </w:r>
      <w:r w:rsidR="009308FD" w:rsidRPr="003B4362">
        <w:t xml:space="preserve">disinfecting </w:t>
      </w:r>
      <w:r w:rsidRPr="003B4362">
        <w:t xml:space="preserve">surface water, as Subparts B, R, </w:t>
      </w:r>
      <w:r w:rsidRPr="003B4362">
        <w:rPr>
          <w:szCs w:val="24"/>
        </w:rPr>
        <w:t>X, and Z</w:t>
      </w:r>
      <w:r w:rsidR="009308FD" w:rsidRPr="003B4362">
        <w:rPr>
          <w:szCs w:val="24"/>
        </w:rPr>
        <w:t xml:space="preserve"> describe</w:t>
      </w:r>
      <w:r w:rsidRPr="003B4362">
        <w:t xml:space="preserve">, or </w:t>
      </w:r>
      <w:r w:rsidR="009308FD" w:rsidRPr="003B4362">
        <w:t xml:space="preserve">disinfecting </w:t>
      </w:r>
      <w:r w:rsidRPr="003B4362">
        <w:t>groundwater</w:t>
      </w:r>
      <w:r w:rsidRPr="003B4362">
        <w:rPr>
          <w:szCs w:val="24"/>
        </w:rPr>
        <w:t>, as Subpart S</w:t>
      </w:r>
      <w:r w:rsidR="009308FD" w:rsidRPr="003B4362">
        <w:rPr>
          <w:szCs w:val="24"/>
        </w:rPr>
        <w:t xml:space="preserve"> describes</w:t>
      </w:r>
      <w:r w:rsidRPr="003B4362">
        <w:rPr>
          <w:szCs w:val="24"/>
        </w:rPr>
        <w:t>,</w:t>
      </w:r>
      <w:r w:rsidRPr="003B4362">
        <w:t xml:space="preserve"> using </w:t>
      </w:r>
      <w:r w:rsidR="009308FD" w:rsidRPr="003B4362">
        <w:t xml:space="preserve">a </w:t>
      </w:r>
      <w:r w:rsidRPr="003B4362">
        <w:t xml:space="preserve">strong </w:t>
      </w:r>
      <w:r w:rsidR="009308FD" w:rsidRPr="003B4362">
        <w:t xml:space="preserve">oxidant like </w:t>
      </w:r>
      <w:r w:rsidRPr="003B4362">
        <w:t>chlorine, chlorine dioxide, or ozone; or</w:t>
      </w:r>
    </w:p>
    <w:p w14:paraId="4B7AE91C" w14:textId="4D039B5E" w:rsidR="00CA06CD" w:rsidRPr="003B4362" w:rsidRDefault="00CA06CD" w:rsidP="00CA06CD">
      <w:pPr>
        <w:spacing w:before="240" w:after="240"/>
        <w:ind w:left="2160" w:hanging="720"/>
      </w:pPr>
      <w:r w:rsidRPr="003B4362">
        <w:t>5)</w:t>
      </w:r>
      <w:r w:rsidRPr="003B4362">
        <w:tab/>
        <w:t xml:space="preserve">For </w:t>
      </w:r>
      <w:r w:rsidR="009308FD" w:rsidRPr="003B4362">
        <w:t xml:space="preserve">a system </w:t>
      </w:r>
      <w:r w:rsidRPr="003B4362">
        <w:t xml:space="preserve">using groundwater, </w:t>
      </w:r>
      <w:r w:rsidR="009308FD" w:rsidRPr="003B4362">
        <w:t xml:space="preserve">complying </w:t>
      </w:r>
      <w:r w:rsidRPr="003B4362">
        <w:t xml:space="preserve">with </w:t>
      </w:r>
      <w:r w:rsidR="005F0DDA" w:rsidRPr="003B4362">
        <w:t xml:space="preserve">permit </w:t>
      </w:r>
      <w:r w:rsidR="008345D1" w:rsidRPr="003B4362">
        <w:t xml:space="preserve">conditions </w:t>
      </w:r>
      <w:r w:rsidR="005F0DDA" w:rsidRPr="003B4362">
        <w:t>the Agency imposes under</w:t>
      </w:r>
      <w:r w:rsidR="008345D1" w:rsidRPr="003B4362">
        <w:t xml:space="preserve"> </w:t>
      </w:r>
      <w:r w:rsidRPr="003B4362">
        <w:t xml:space="preserve">the </w:t>
      </w:r>
      <w:r w:rsidR="005F0DDA" w:rsidRPr="003B4362">
        <w:t xml:space="preserve">USEPA-endorsed Illinois </w:t>
      </w:r>
      <w:r w:rsidRPr="003B4362">
        <w:t>wellhead protection program.</w:t>
      </w:r>
    </w:p>
    <w:p w14:paraId="42489F0B" w14:textId="66DAB0CA" w:rsidR="005F0DDA" w:rsidRPr="003B4362" w:rsidRDefault="005F0DDA" w:rsidP="005F0DDA">
      <w:pPr>
        <w:spacing w:before="240" w:after="240"/>
        <w:ind w:left="2160"/>
        <w:rPr>
          <w:szCs w:val="24"/>
        </w:rPr>
      </w:pPr>
      <w:r w:rsidRPr="003B4362">
        <w:rPr>
          <w:szCs w:val="24"/>
        </w:rPr>
        <w:t>BOARD NOTE:</w:t>
      </w:r>
      <w:r w:rsidR="00882188" w:rsidRPr="003B4362">
        <w:rPr>
          <w:szCs w:val="24"/>
        </w:rPr>
        <w:t xml:space="preserve">  USEPA requires the supplier to comply with the wellhead protection program.  The Illinois program operates under the Illinois Groundwater Protection Act [415 ILCS 55].  USEPA endorses, rather than approves, state groundwater protection programs and periodically reviews those programs with the state.  See “Final Comprehensive State Ground Water Protection Program Guidance”, USEPA, Office of the Administrator, doc. no. EPA 100-R-93-001 (Dec. 1992), at p. 1-21 &amp; n. 4 and pp. 1-24 and 1-25.</w:t>
      </w:r>
      <w:r w:rsidRPr="003B4362">
        <w:rPr>
          <w:szCs w:val="24"/>
        </w:rPr>
        <w:t xml:space="preserve">  </w:t>
      </w:r>
      <w:r w:rsidR="00D85F20" w:rsidRPr="003B4362">
        <w:rPr>
          <w:szCs w:val="24"/>
        </w:rPr>
        <w:t>Section 18(a) of the Act requires a supplier to operate under an Agency-issued permit.</w:t>
      </w:r>
      <w:r w:rsidR="00882188" w:rsidRPr="003B4362">
        <w:rPr>
          <w:szCs w:val="24"/>
        </w:rPr>
        <w:t xml:space="preserve">  Other Illinois laws may require a permit for a groundwater well.  E.g., Sections </w:t>
      </w:r>
      <w:r w:rsidR="00882188" w:rsidRPr="003B4362">
        <w:rPr>
          <w:szCs w:val="24"/>
        </w:rPr>
        <w:lastRenderedPageBreak/>
        <w:t>5</w:t>
      </w:r>
      <w:r w:rsidR="0094354A" w:rsidRPr="003B4362">
        <w:rPr>
          <w:szCs w:val="24"/>
        </w:rPr>
        <w:t>(b),</w:t>
      </w:r>
      <w:r w:rsidR="00882188" w:rsidRPr="003B4362">
        <w:rPr>
          <w:szCs w:val="24"/>
        </w:rPr>
        <w:t xml:space="preserve"> 5b</w:t>
      </w:r>
      <w:r w:rsidR="0094354A" w:rsidRPr="003B4362">
        <w:rPr>
          <w:szCs w:val="24"/>
        </w:rPr>
        <w:t>,</w:t>
      </w:r>
      <w:r w:rsidR="00882188" w:rsidRPr="003B4362">
        <w:rPr>
          <w:szCs w:val="24"/>
        </w:rPr>
        <w:t xml:space="preserve"> </w:t>
      </w:r>
      <w:r w:rsidR="0094354A" w:rsidRPr="003B4362">
        <w:rPr>
          <w:szCs w:val="24"/>
        </w:rPr>
        <w:t xml:space="preserve">and 6 </w:t>
      </w:r>
      <w:r w:rsidR="00882188" w:rsidRPr="003B4362">
        <w:rPr>
          <w:szCs w:val="24"/>
        </w:rPr>
        <w:t xml:space="preserve">of the Illinois </w:t>
      </w:r>
      <w:r w:rsidR="0094354A" w:rsidRPr="003B4362">
        <w:rPr>
          <w:szCs w:val="24"/>
        </w:rPr>
        <w:t>Water Well Construction Code [415 ILCS 30/5(b), 5b, and 6].</w:t>
      </w:r>
    </w:p>
    <w:p w14:paraId="454DA9F8" w14:textId="4A0A53CE" w:rsidR="00CA06CD" w:rsidRPr="003B4362" w:rsidRDefault="00CA06CD" w:rsidP="00CA06CD">
      <w:pPr>
        <w:spacing w:before="240" w:after="240"/>
        <w:ind w:left="1440" w:hanging="720"/>
        <w:rPr>
          <w:szCs w:val="24"/>
        </w:rPr>
      </w:pPr>
      <w:r w:rsidRPr="003B4362">
        <w:rPr>
          <w:szCs w:val="24"/>
        </w:rPr>
        <w:t>d)</w:t>
      </w:r>
      <w:r w:rsidRPr="003B4362">
        <w:rPr>
          <w:szCs w:val="24"/>
        </w:rPr>
        <w:tab/>
        <w:t xml:space="preserve">USEPA </w:t>
      </w:r>
      <w:r w:rsidR="000D22B9" w:rsidRPr="003B4362">
        <w:rPr>
          <w:szCs w:val="24"/>
        </w:rPr>
        <w:t xml:space="preserve">identifies </w:t>
      </w:r>
      <w:r w:rsidRPr="003B4362">
        <w:rPr>
          <w:szCs w:val="24"/>
        </w:rPr>
        <w:t xml:space="preserve"> the technology, treatment techniques, or other means in subsection (c) as affordable technology, treatment techniques, or other means available to suppliers serving 10,000 or fewer people for achieving compliance with the for </w:t>
      </w:r>
      <w:r w:rsidRPr="003B4362">
        <w:rPr>
          <w:iCs/>
          <w:szCs w:val="24"/>
        </w:rPr>
        <w:t xml:space="preserve">E. coli </w:t>
      </w:r>
      <w:r w:rsidR="001451EE" w:rsidRPr="003B4362">
        <w:rPr>
          <w:szCs w:val="24"/>
        </w:rPr>
        <w:t xml:space="preserve">MCL </w:t>
      </w:r>
      <w:r w:rsidRPr="003B4362">
        <w:rPr>
          <w:szCs w:val="24"/>
        </w:rPr>
        <w:t>in subsection (a).</w:t>
      </w:r>
    </w:p>
    <w:p w14:paraId="4F7E5DEB" w14:textId="093DD26B" w:rsidR="00CA06CD" w:rsidRPr="003B4362" w:rsidRDefault="00CA06CD" w:rsidP="00CA06CD">
      <w:pPr>
        <w:spacing w:before="240" w:after="240"/>
      </w:pPr>
      <w:r w:rsidRPr="003B4362">
        <w:t>BOARD NOTE:</w:t>
      </w:r>
      <w:r w:rsidR="001451EE" w:rsidRPr="003B4362">
        <w:t xml:space="preserve">  </w:t>
      </w:r>
      <w:r w:rsidR="00C60F38" w:rsidRPr="003B4362">
        <w:t>This s</w:t>
      </w:r>
      <w:r w:rsidR="001451EE" w:rsidRPr="003B4362">
        <w:t>ubsection (a) derives from 40 CFR 141.63(c), subsection (b) derives from the second sentence of 40 CFR 141.63(d), and subsection (c) derives from 40 CFR 141.63(e).</w:t>
      </w:r>
      <w:r w:rsidR="00A559F9" w:rsidRPr="003B4362">
        <w:t xml:space="preserve">  The Board omits 40 CFR 141(a) and (b) and the first sentence of 40 CFR 141.63(d), which expired by their own terms March 31, 2016.</w:t>
      </w:r>
    </w:p>
    <w:p w14:paraId="3DE5DD82" w14:textId="4B724D5D" w:rsidR="00CA06CD" w:rsidRPr="003B4362" w:rsidRDefault="00CA06CD" w:rsidP="00CA06CD">
      <w:pPr>
        <w:suppressAutoHyphens/>
        <w:spacing w:before="240"/>
        <w:ind w:left="720"/>
      </w:pPr>
      <w:r w:rsidRPr="003B4362">
        <w:t>(Source:  A</w:t>
      </w:r>
      <w:r w:rsidRPr="003B4362">
        <w:rPr>
          <w:szCs w:val="17"/>
        </w:rPr>
        <w:t xml:space="preserve">mended at </w:t>
      </w:r>
      <w:r w:rsidR="005605D6" w:rsidRPr="003B4362">
        <w:t xml:space="preserve">47 Ill. Reg. </w:t>
      </w:r>
      <w:r w:rsidR="005605D6">
        <w:t>16486</w:t>
      </w:r>
      <w:r w:rsidR="005605D6" w:rsidRPr="003B4362">
        <w:t xml:space="preserve">, effective </w:t>
      </w:r>
      <w:r w:rsidR="005605D6">
        <w:t>November 2, 2023</w:t>
      </w:r>
      <w:r w:rsidRPr="003B4362">
        <w:t>)</w:t>
      </w:r>
    </w:p>
    <w:p w14:paraId="608DE9A1" w14:textId="77777777" w:rsidR="00F829FE" w:rsidRPr="003B4362" w:rsidRDefault="00F829FE" w:rsidP="00F829FE">
      <w:pPr>
        <w:rPr>
          <w:b/>
          <w:bCs/>
        </w:rPr>
      </w:pPr>
      <w:bookmarkStart w:id="648" w:name="_Hlk8214683"/>
    </w:p>
    <w:p w14:paraId="3992566F" w14:textId="2E968C37" w:rsidR="00A8517A" w:rsidRPr="003B4362" w:rsidRDefault="00A8517A" w:rsidP="00F829FE">
      <w:pPr>
        <w:rPr>
          <w:b/>
          <w:bCs/>
        </w:rPr>
      </w:pPr>
      <w:r w:rsidRPr="003B4362">
        <w:rPr>
          <w:b/>
          <w:bCs/>
        </w:rPr>
        <w:t>Section 611.330  Maximum Contaminant Levels for Radionuclides</w:t>
      </w:r>
    </w:p>
    <w:p w14:paraId="3E0AC4F4" w14:textId="1DB6C4AC" w:rsidR="00A8517A" w:rsidRPr="003B4362" w:rsidRDefault="00A8517A" w:rsidP="00A8517A">
      <w:pPr>
        <w:spacing w:before="240"/>
        <w:ind w:left="1440" w:hanging="720"/>
      </w:pPr>
      <w:r w:rsidRPr="003B4362">
        <w:t>a)</w:t>
      </w:r>
      <w:r w:rsidRPr="003B4362">
        <w:tab/>
        <w:t xml:space="preserve">This subsection </w:t>
      </w:r>
      <w:r w:rsidR="001451EE" w:rsidRPr="003B4362">
        <w:t xml:space="preserve">(a) </w:t>
      </w:r>
      <w:r w:rsidRPr="003B4362">
        <w:t>corresponds with 40 CFR 141.66(a), marked reserved by USEPA.  This statement maintains structural consistency with USEPA rules.</w:t>
      </w:r>
    </w:p>
    <w:p w14:paraId="3E329C4F" w14:textId="59B63A14" w:rsidR="00A8517A" w:rsidRPr="003B4362" w:rsidRDefault="00A8517A" w:rsidP="00A8517A">
      <w:pPr>
        <w:spacing w:before="240"/>
        <w:ind w:left="1440" w:hanging="720"/>
      </w:pPr>
      <w:r w:rsidRPr="003B4362">
        <w:t>b)</w:t>
      </w:r>
      <w:r w:rsidRPr="003B4362">
        <w:tab/>
        <w:t xml:space="preserve">MCL for Combined Radium-226 and </w:t>
      </w:r>
      <w:r w:rsidR="00276D77" w:rsidRPr="003B4362">
        <w:t>-</w:t>
      </w:r>
      <w:r w:rsidRPr="003B4362">
        <w:t>228.  The MCL for combined radium-226 and radium-228 is 5 pCi/</w:t>
      </w:r>
      <w:r w:rsidR="00240CA6" w:rsidRPr="003B4362">
        <w:t xml:space="preserve"> L</w:t>
      </w:r>
      <w:r w:rsidRPr="003B4362">
        <w:t>.  Determine the combined radium-226 and radium-228 value by adding the results of analyses for radium-226 and radium-228.</w:t>
      </w:r>
    </w:p>
    <w:p w14:paraId="36A34A1B" w14:textId="09A63435" w:rsidR="00A8517A" w:rsidRPr="003B4362" w:rsidRDefault="00A8517A" w:rsidP="00A8517A">
      <w:pPr>
        <w:spacing w:before="240"/>
        <w:ind w:left="1440" w:hanging="720"/>
      </w:pPr>
      <w:r w:rsidRPr="003B4362">
        <w:t>c)</w:t>
      </w:r>
      <w:r w:rsidRPr="003B4362">
        <w:tab/>
        <w:t>MCL for Gross Alpha Particle Activity (Excluding Radon and Uranium).  The MCL for gross alpha particle activity (including radium-226 but excluding radon and uranium) is 15 pCi/</w:t>
      </w:r>
      <w:r w:rsidR="00240CA6" w:rsidRPr="003B4362">
        <w:t xml:space="preserve"> L</w:t>
      </w:r>
      <w:r w:rsidRPr="003B4362">
        <w:t>.</w:t>
      </w:r>
    </w:p>
    <w:p w14:paraId="315ECB9F" w14:textId="77777777" w:rsidR="00A8517A" w:rsidRPr="003B4362" w:rsidRDefault="00A8517A" w:rsidP="00A8517A">
      <w:pPr>
        <w:spacing w:before="240"/>
        <w:ind w:left="1440" w:hanging="720"/>
      </w:pPr>
      <w:bookmarkStart w:id="649" w:name="_Hlk101353082"/>
      <w:r w:rsidRPr="003B4362">
        <w:t>d)</w:t>
      </w:r>
      <w:r w:rsidRPr="003B4362">
        <w:tab/>
        <w:t>MCL for Beta Particle and Photon Radioactivity</w:t>
      </w:r>
    </w:p>
    <w:bookmarkEnd w:id="649"/>
    <w:p w14:paraId="686522C4" w14:textId="77777777" w:rsidR="005F3E16" w:rsidRPr="003B4362" w:rsidRDefault="005F3E16" w:rsidP="00240CA6">
      <w:pPr>
        <w:ind w:left="2160" w:hanging="720"/>
      </w:pPr>
    </w:p>
    <w:p w14:paraId="1CB65620" w14:textId="084F61BC" w:rsidR="00A8517A" w:rsidRPr="003B4362" w:rsidRDefault="00A8517A" w:rsidP="00240CA6">
      <w:pPr>
        <w:ind w:left="2160" w:hanging="720"/>
      </w:pPr>
      <w:r w:rsidRPr="003B4362">
        <w:t>1)</w:t>
      </w:r>
      <w:r w:rsidRPr="003B4362">
        <w:tab/>
      </w:r>
      <w:bookmarkStart w:id="650" w:name="_Hlk97732290"/>
      <w:r w:rsidRPr="003B4362">
        <w:t>The average annual concentration of beta particle and photon radioactivity from man-made radionuclides in drinking water must not produce an annual dose equivalent to the total body or any internal organ greater than 4 millirem/year (mrem/year).</w:t>
      </w:r>
      <w:bookmarkEnd w:id="650"/>
    </w:p>
    <w:p w14:paraId="0AC39D1D" w14:textId="77777777" w:rsidR="00240CA6" w:rsidRPr="003B4362" w:rsidRDefault="00240CA6" w:rsidP="00240CA6">
      <w:pPr>
        <w:ind w:left="2160" w:hanging="720"/>
      </w:pPr>
    </w:p>
    <w:p w14:paraId="1A12C86B" w14:textId="5CD4F7C4" w:rsidR="00A8517A" w:rsidRPr="003B4362" w:rsidRDefault="00A8517A" w:rsidP="00240CA6">
      <w:pPr>
        <w:ind w:left="2160" w:hanging="720"/>
      </w:pPr>
      <w:r w:rsidRPr="003B4362">
        <w:t>2)</w:t>
      </w:r>
      <w:r w:rsidRPr="003B4362">
        <w:tab/>
      </w:r>
      <w:bookmarkStart w:id="651" w:name="_Hlk97732978"/>
      <w:r w:rsidRPr="003B4362">
        <w:t xml:space="preserve">Except for the radionuclides in this subsection (d)(2), the supplier must calculate the concentration of man-made radionuclides causing 4 mrem total body or organ dose equivalents on the basis of two liters per day drinking water intake using the 168-hour data list in </w:t>
      </w:r>
      <w:bookmarkStart w:id="652" w:name="_Hlk98145429"/>
      <w:r w:rsidRPr="003B4362">
        <w:t>NBS Handbook 69 (63)</w:t>
      </w:r>
      <w:bookmarkEnd w:id="652"/>
      <w:r w:rsidRPr="003B4362">
        <w:t>, incorporated by reference in Section 611.102.  If two or more radionuclides are present, the sum of their annual dose equivalent to the total body or to any organ must not exceed 4 mrem/year.</w:t>
      </w:r>
      <w:bookmarkEnd w:id="651"/>
    </w:p>
    <w:p w14:paraId="44548120" w14:textId="77777777" w:rsidR="00240CA6" w:rsidRPr="003B4362" w:rsidRDefault="00240CA6" w:rsidP="00240CA6">
      <w:pPr>
        <w:ind w:left="2160" w:hanging="720"/>
      </w:pPr>
    </w:p>
    <w:p w14:paraId="5D9F6C96" w14:textId="7975CBB3" w:rsidR="00A8517A" w:rsidRPr="003B4362" w:rsidRDefault="00A8517A" w:rsidP="00240CA6">
      <w:pPr>
        <w:ind w:left="2880"/>
        <w:rPr>
          <w:rFonts w:ascii="(normal text)" w:hAnsi="(normal text)"/>
        </w:rPr>
      </w:pPr>
      <w:bookmarkStart w:id="653" w:name="_Hlk97733070"/>
      <w:r w:rsidRPr="003B4362">
        <w:t>Average Annual Concentrations Assumed to Produce a Total Body</w:t>
      </w:r>
      <w:r w:rsidRPr="003B4362">
        <w:rPr>
          <w:rFonts w:ascii="(normal text)" w:hAnsi="(normal text)"/>
        </w:rPr>
        <w:t xml:space="preserve"> or Organ Dose of 4 mrem/yr</w:t>
      </w:r>
    </w:p>
    <w:p w14:paraId="3714832C" w14:textId="77777777" w:rsidR="00240CA6" w:rsidRPr="003B4362" w:rsidRDefault="00240CA6" w:rsidP="00240CA6">
      <w:pPr>
        <w:ind w:left="2880"/>
        <w:rPr>
          <w:rFonts w:ascii="(normal text)" w:hAnsi="(normal text)"/>
        </w:rPr>
      </w:pPr>
    </w:p>
    <w:tbl>
      <w:tblPr>
        <w:tblW w:w="6480" w:type="dxa"/>
        <w:tblInd w:w="2880" w:type="dxa"/>
        <w:tblLayout w:type="fixed"/>
        <w:tblCellMar>
          <w:left w:w="0" w:type="dxa"/>
          <w:right w:w="115" w:type="dxa"/>
        </w:tblCellMar>
        <w:tblLook w:val="04A0" w:firstRow="1" w:lastRow="0" w:firstColumn="1" w:lastColumn="0" w:noHBand="0" w:noVBand="1"/>
      </w:tblPr>
      <w:tblGrid>
        <w:gridCol w:w="2160"/>
        <w:gridCol w:w="2160"/>
        <w:gridCol w:w="2160"/>
      </w:tblGrid>
      <w:tr w:rsidR="001628C1" w:rsidRPr="003B4362" w14:paraId="199194F4" w14:textId="77777777" w:rsidTr="008C0979">
        <w:trPr>
          <w:cantSplit/>
        </w:trPr>
        <w:tc>
          <w:tcPr>
            <w:tcW w:w="2160" w:type="dxa"/>
            <w:hideMark/>
          </w:tcPr>
          <w:p w14:paraId="4815ADC7" w14:textId="77777777" w:rsidR="00A8517A" w:rsidRPr="003B4362" w:rsidRDefault="00A8517A" w:rsidP="008C0979">
            <w:pPr>
              <w:keepNext/>
              <w:keepLines/>
            </w:pPr>
            <w:r w:rsidRPr="003B4362">
              <w:lastRenderedPageBreak/>
              <w:t>Radionuclide</w:t>
            </w:r>
          </w:p>
        </w:tc>
        <w:tc>
          <w:tcPr>
            <w:tcW w:w="2160" w:type="dxa"/>
            <w:hideMark/>
          </w:tcPr>
          <w:p w14:paraId="02B88BBB" w14:textId="77777777" w:rsidR="00A8517A" w:rsidRPr="003B4362" w:rsidRDefault="00A8517A" w:rsidP="008C0979">
            <w:pPr>
              <w:keepNext/>
              <w:keepLines/>
            </w:pPr>
            <w:r w:rsidRPr="003B4362">
              <w:t>Critical organ</w:t>
            </w:r>
          </w:p>
        </w:tc>
        <w:tc>
          <w:tcPr>
            <w:tcW w:w="2160" w:type="dxa"/>
            <w:hideMark/>
          </w:tcPr>
          <w:p w14:paraId="7CD52FA4" w14:textId="77777777" w:rsidR="00A8517A" w:rsidRPr="003B4362" w:rsidRDefault="00A8517A" w:rsidP="008C0979">
            <w:pPr>
              <w:keepNext/>
              <w:keepLines/>
              <w:spacing w:after="240"/>
            </w:pPr>
            <w:r w:rsidRPr="003B4362">
              <w:t>pCi per liter</w:t>
            </w:r>
          </w:p>
        </w:tc>
      </w:tr>
      <w:tr w:rsidR="001628C1" w:rsidRPr="003B4362" w14:paraId="6253EFDF" w14:textId="77777777" w:rsidTr="008C0979">
        <w:trPr>
          <w:cantSplit/>
        </w:trPr>
        <w:tc>
          <w:tcPr>
            <w:tcW w:w="2160" w:type="dxa"/>
            <w:hideMark/>
          </w:tcPr>
          <w:p w14:paraId="010C0E1D" w14:textId="77777777" w:rsidR="00A8517A" w:rsidRPr="003B4362" w:rsidRDefault="00A8517A" w:rsidP="008C0979">
            <w:r w:rsidRPr="003B4362">
              <w:t>1. Tritium</w:t>
            </w:r>
          </w:p>
        </w:tc>
        <w:tc>
          <w:tcPr>
            <w:tcW w:w="2160" w:type="dxa"/>
            <w:hideMark/>
          </w:tcPr>
          <w:p w14:paraId="46862E39" w14:textId="77777777" w:rsidR="00A8517A" w:rsidRPr="003B4362" w:rsidRDefault="00A8517A" w:rsidP="008C0979">
            <w:r w:rsidRPr="003B4362">
              <w:t>Total body</w:t>
            </w:r>
          </w:p>
        </w:tc>
        <w:tc>
          <w:tcPr>
            <w:tcW w:w="2160" w:type="dxa"/>
            <w:hideMark/>
          </w:tcPr>
          <w:p w14:paraId="24A829AF" w14:textId="77777777" w:rsidR="00A8517A" w:rsidRPr="003B4362" w:rsidRDefault="00A8517A" w:rsidP="008C0979">
            <w:r w:rsidRPr="003B4362">
              <w:t>20,000</w:t>
            </w:r>
          </w:p>
        </w:tc>
      </w:tr>
      <w:tr w:rsidR="001628C1" w:rsidRPr="003B4362" w14:paraId="6E74DB2B" w14:textId="77777777" w:rsidTr="008C0979">
        <w:trPr>
          <w:cantSplit/>
        </w:trPr>
        <w:tc>
          <w:tcPr>
            <w:tcW w:w="2160" w:type="dxa"/>
            <w:hideMark/>
          </w:tcPr>
          <w:p w14:paraId="49261AEC" w14:textId="77777777" w:rsidR="00A8517A" w:rsidRPr="003B4362" w:rsidRDefault="00A8517A" w:rsidP="008C0979">
            <w:r w:rsidRPr="003B4362">
              <w:t>2. Strontium-90</w:t>
            </w:r>
          </w:p>
        </w:tc>
        <w:tc>
          <w:tcPr>
            <w:tcW w:w="2160" w:type="dxa"/>
            <w:hideMark/>
          </w:tcPr>
          <w:p w14:paraId="55E3B290" w14:textId="713206B2" w:rsidR="00A8517A" w:rsidRPr="003B4362" w:rsidRDefault="00A8517A" w:rsidP="008C0979">
            <w:r w:rsidRPr="003B4362">
              <w:t>Bone marrow</w:t>
            </w:r>
          </w:p>
        </w:tc>
        <w:tc>
          <w:tcPr>
            <w:tcW w:w="2160" w:type="dxa"/>
            <w:hideMark/>
          </w:tcPr>
          <w:p w14:paraId="1B462E8F" w14:textId="77777777" w:rsidR="00A8517A" w:rsidRPr="003B4362" w:rsidRDefault="00A8517A" w:rsidP="008C0979">
            <w:r w:rsidRPr="003B4362">
              <w:t>8</w:t>
            </w:r>
          </w:p>
        </w:tc>
      </w:tr>
    </w:tbl>
    <w:bookmarkEnd w:id="653"/>
    <w:p w14:paraId="20243168" w14:textId="5570866C" w:rsidR="00AB130A" w:rsidRPr="003B4362" w:rsidRDefault="00AB130A" w:rsidP="00755413">
      <w:pPr>
        <w:spacing w:before="240"/>
        <w:ind w:left="1440"/>
      </w:pPr>
      <w:r w:rsidRPr="003B4362">
        <w:t>BOARD NOTE:  USEPA</w:t>
      </w:r>
      <w:r w:rsidR="008855FC" w:rsidRPr="003B4362">
        <w:t xml:space="preserve"> </w:t>
      </w:r>
      <w:r w:rsidR="00633A9E" w:rsidRPr="003B4362">
        <w:t>list</w:t>
      </w:r>
      <w:r w:rsidR="008855FC" w:rsidRPr="003B4362">
        <w:t>ed</w:t>
      </w:r>
      <w:r w:rsidRPr="003B4362">
        <w:t xml:space="preserve"> factors for computing the fraction of the maximum permissible annual dose of 4 mrem/yr based on </w:t>
      </w:r>
      <w:r w:rsidR="008855FC" w:rsidRPr="003B4362">
        <w:t xml:space="preserve">NBS Handbook 69 (63) </w:t>
      </w:r>
      <w:r w:rsidR="00633A9E" w:rsidRPr="003B4362">
        <w:t xml:space="preserve">in Appendix I (Comparison of Derived Values of Beta and Photon Emitters), Implementation Guidance for Radionuclides, EPA 816-F-00-002.  </w:t>
      </w:r>
      <w:r w:rsidR="005811D5" w:rsidRPr="003B4362">
        <w:t>The units for</w:t>
      </w:r>
      <w:r w:rsidR="00C351B3" w:rsidRPr="003B4362">
        <w:t xml:space="preserve"> t</w:t>
      </w:r>
      <w:r w:rsidR="00633A9E" w:rsidRPr="003B4362">
        <w:t xml:space="preserve">hese factors allow direct use </w:t>
      </w:r>
      <w:r w:rsidR="00C351B3" w:rsidRPr="003B4362">
        <w:t xml:space="preserve">for computing fractional dose equivalents.  The Board listed USEPA’s conversion factors in </w:t>
      </w:r>
      <w:r w:rsidR="00FD1105" w:rsidRPr="003B4362">
        <w:t>Table</w:t>
      </w:r>
      <w:r w:rsidR="00C351B3" w:rsidRPr="003B4362">
        <w:t xml:space="preserve"> R, including information about applying the factors to determine compliance</w:t>
      </w:r>
      <w:r w:rsidRPr="003B4362">
        <w:t>.</w:t>
      </w:r>
    </w:p>
    <w:p w14:paraId="1408FBCE" w14:textId="24EB475D" w:rsidR="00A8517A" w:rsidRPr="003B4362" w:rsidRDefault="00A8517A" w:rsidP="00A8517A">
      <w:pPr>
        <w:spacing w:before="240"/>
        <w:ind w:left="1440" w:hanging="720"/>
      </w:pPr>
      <w:r w:rsidRPr="003B4362">
        <w:t>e)</w:t>
      </w:r>
      <w:r w:rsidRPr="003B4362">
        <w:tab/>
        <w:t>MCL for Uranium.  The MCL for uranium is 30 µg/</w:t>
      </w:r>
      <w:r w:rsidR="00240CA6" w:rsidRPr="003B4362">
        <w:t xml:space="preserve"> L</w:t>
      </w:r>
      <w:r w:rsidRPr="003B4362">
        <w:t>.</w:t>
      </w:r>
    </w:p>
    <w:p w14:paraId="37B0D8FD" w14:textId="71105B2B" w:rsidR="00A8517A" w:rsidRPr="003B4362" w:rsidRDefault="00A8517A" w:rsidP="00A8517A">
      <w:pPr>
        <w:tabs>
          <w:tab w:val="left" w:pos="4680"/>
        </w:tabs>
        <w:spacing w:before="240"/>
        <w:ind w:left="1440" w:hanging="720"/>
      </w:pPr>
      <w:r w:rsidRPr="003B4362">
        <w:t>f)</w:t>
      </w:r>
      <w:r w:rsidRPr="003B4362">
        <w:tab/>
        <w:t>Combined Radium-226 and -228, Gross Alpha Particle Activity, Gross Beta Particle and Photon Radioactivity, and Uranium.  A CWS supplier must comply with the MCLs listed in subsections (b) through (e), determining compliance as Subpart Q provides.</w:t>
      </w:r>
    </w:p>
    <w:p w14:paraId="73596C50" w14:textId="77777777" w:rsidR="001B4CDE" w:rsidRPr="003B4362" w:rsidRDefault="001B4CDE" w:rsidP="001B4CDE">
      <w:pPr>
        <w:ind w:left="1440"/>
      </w:pPr>
    </w:p>
    <w:p w14:paraId="04C08394" w14:textId="21EE1B5C" w:rsidR="001B4CDE" w:rsidRPr="003B4362" w:rsidRDefault="00A8517A" w:rsidP="001B4CDE">
      <w:pPr>
        <w:ind w:left="1440" w:hanging="720"/>
      </w:pPr>
      <w:r w:rsidRPr="003B4362">
        <w:t>g)</w:t>
      </w:r>
      <w:r w:rsidRPr="003B4362">
        <w:tab/>
        <w:t xml:space="preserve">Best Available Technologies (BATs) for Radionuclides.  USEPA </w:t>
      </w:r>
      <w:r w:rsidR="000D22B9" w:rsidRPr="003B4362">
        <w:t xml:space="preserve">identifies </w:t>
      </w:r>
      <w:r w:rsidRPr="003B4362">
        <w:t>the BAT for complying with the MCLs for combined radium-226 and -228, uranium, gross alpha particle activity, and beta particle and photon radioactivity</w:t>
      </w:r>
      <w:r w:rsidR="009A3C90" w:rsidRPr="003B4362">
        <w:t>:</w:t>
      </w:r>
    </w:p>
    <w:p w14:paraId="77EF1A22" w14:textId="77777777" w:rsidR="00A8517A" w:rsidRPr="003B4362" w:rsidRDefault="00A8517A" w:rsidP="001B4CDE">
      <w:pPr>
        <w:ind w:left="2160"/>
        <w:rPr>
          <w:rFonts w:ascii="(normal text)" w:hAnsi="(normal text)"/>
        </w:rPr>
      </w:pPr>
      <w:r w:rsidRPr="003B4362">
        <w:t>BAT for Combined Radium-226 and Radium-228, Uranium, Gross Alpha</w:t>
      </w:r>
      <w:r w:rsidRPr="003B4362">
        <w:rPr>
          <w:rFonts w:ascii="(normal text)" w:hAnsi="(normal text)"/>
        </w:rPr>
        <w:t xml:space="preserve"> Particle Activity, and Beta Particle and Photon Radioactivity</w:t>
      </w:r>
    </w:p>
    <w:tbl>
      <w:tblPr>
        <w:tblW w:w="7200" w:type="dxa"/>
        <w:tblInd w:w="2160" w:type="dxa"/>
        <w:tblLayout w:type="fixed"/>
        <w:tblCellMar>
          <w:left w:w="0" w:type="dxa"/>
          <w:right w:w="115" w:type="dxa"/>
        </w:tblCellMar>
        <w:tblLook w:val="04A0" w:firstRow="1" w:lastRow="0" w:firstColumn="1" w:lastColumn="0" w:noHBand="0" w:noVBand="1"/>
      </w:tblPr>
      <w:tblGrid>
        <w:gridCol w:w="3600"/>
        <w:gridCol w:w="3600"/>
      </w:tblGrid>
      <w:tr w:rsidR="001628C1" w:rsidRPr="003B4362" w14:paraId="4C904281" w14:textId="77777777" w:rsidTr="008C0979">
        <w:tc>
          <w:tcPr>
            <w:tcW w:w="3600" w:type="dxa"/>
            <w:hideMark/>
          </w:tcPr>
          <w:p w14:paraId="2ACA823D" w14:textId="77777777" w:rsidR="00A8517A" w:rsidRPr="003B4362" w:rsidRDefault="00A8517A" w:rsidP="008C0979">
            <w:pPr>
              <w:keepNext/>
              <w:keepLines/>
              <w:spacing w:before="240"/>
              <w:rPr>
                <w:rFonts w:ascii="(normal text)" w:hAnsi="(normal text)"/>
              </w:rPr>
            </w:pPr>
            <w:bookmarkStart w:id="654" w:name="_Hlk37330360"/>
            <w:r w:rsidRPr="003B4362">
              <w:rPr>
                <w:rFonts w:ascii="(normal text)" w:hAnsi="(normal text)"/>
              </w:rPr>
              <w:t>Contaminant</w:t>
            </w:r>
          </w:p>
        </w:tc>
        <w:tc>
          <w:tcPr>
            <w:tcW w:w="3600" w:type="dxa"/>
            <w:hideMark/>
          </w:tcPr>
          <w:p w14:paraId="35F3299D" w14:textId="77777777" w:rsidR="00A8517A" w:rsidRPr="003B4362" w:rsidRDefault="00A8517A" w:rsidP="008C0979">
            <w:pPr>
              <w:keepNext/>
              <w:keepLines/>
              <w:spacing w:before="240"/>
              <w:rPr>
                <w:rFonts w:ascii="(normal text)" w:hAnsi="(normal text)"/>
              </w:rPr>
            </w:pPr>
            <w:r w:rsidRPr="003B4362">
              <w:rPr>
                <w:rFonts w:ascii="(normal text)" w:hAnsi="(normal text)"/>
              </w:rPr>
              <w:t>BAT</w:t>
            </w:r>
          </w:p>
        </w:tc>
      </w:tr>
      <w:tr w:rsidR="001628C1" w:rsidRPr="003B4362" w14:paraId="0ECB7FDB" w14:textId="77777777" w:rsidTr="008C0979">
        <w:tc>
          <w:tcPr>
            <w:tcW w:w="3600" w:type="dxa"/>
            <w:hideMark/>
          </w:tcPr>
          <w:p w14:paraId="555419DE" w14:textId="469C6CB7" w:rsidR="00A8517A" w:rsidRPr="003B4362" w:rsidRDefault="00A8517A" w:rsidP="009A3C90">
            <w:pPr>
              <w:spacing w:before="240"/>
              <w:ind w:left="-6" w:firstLine="6"/>
            </w:pPr>
            <w:r w:rsidRPr="003B4362">
              <w:tab/>
              <w:t>Combined radium-226 and radium-228</w:t>
            </w:r>
          </w:p>
        </w:tc>
        <w:tc>
          <w:tcPr>
            <w:tcW w:w="3600" w:type="dxa"/>
            <w:hideMark/>
          </w:tcPr>
          <w:p w14:paraId="16712CAC" w14:textId="7A038F94" w:rsidR="00A8517A" w:rsidRPr="003B4362" w:rsidRDefault="00A8517A" w:rsidP="008C0979">
            <w:pPr>
              <w:spacing w:before="240"/>
            </w:pPr>
            <w:r w:rsidRPr="003B4362">
              <w:t>Ion exchange, reverse osmosis, lime softening</w:t>
            </w:r>
          </w:p>
        </w:tc>
      </w:tr>
      <w:tr w:rsidR="001628C1" w:rsidRPr="003B4362" w14:paraId="096A142C" w14:textId="77777777" w:rsidTr="008C0979">
        <w:tc>
          <w:tcPr>
            <w:tcW w:w="3600" w:type="dxa"/>
            <w:hideMark/>
          </w:tcPr>
          <w:p w14:paraId="2FF49EF8" w14:textId="75A81E91" w:rsidR="00A8517A" w:rsidRPr="003B4362" w:rsidRDefault="00A8517A" w:rsidP="009A3C90">
            <w:pPr>
              <w:spacing w:before="240"/>
            </w:pPr>
            <w:r w:rsidRPr="003B4362">
              <w:tab/>
              <w:t>Uranium</w:t>
            </w:r>
          </w:p>
        </w:tc>
        <w:tc>
          <w:tcPr>
            <w:tcW w:w="3600" w:type="dxa"/>
            <w:hideMark/>
          </w:tcPr>
          <w:p w14:paraId="56836297" w14:textId="4DA99FFA" w:rsidR="00A8517A" w:rsidRPr="003B4362" w:rsidRDefault="00A8517A" w:rsidP="008C0979">
            <w:pPr>
              <w:spacing w:before="240"/>
            </w:pPr>
            <w:r w:rsidRPr="003B4362">
              <w:t>Ion exchange, reverse osmosis, lime softening, coagulation/filtration</w:t>
            </w:r>
          </w:p>
        </w:tc>
      </w:tr>
      <w:tr w:rsidR="001628C1" w:rsidRPr="003B4362" w14:paraId="350A81A9" w14:textId="77777777" w:rsidTr="008C0979">
        <w:tc>
          <w:tcPr>
            <w:tcW w:w="3600" w:type="dxa"/>
            <w:hideMark/>
          </w:tcPr>
          <w:p w14:paraId="4594A33E" w14:textId="4C52CF9A" w:rsidR="00A8517A" w:rsidRPr="003B4362" w:rsidRDefault="00A8517A" w:rsidP="009A3C90">
            <w:pPr>
              <w:spacing w:before="240"/>
            </w:pPr>
            <w:r w:rsidRPr="003B4362">
              <w:tab/>
              <w:t>Gross alpha particle activity (excluding radon and uranium)</w:t>
            </w:r>
          </w:p>
        </w:tc>
        <w:tc>
          <w:tcPr>
            <w:tcW w:w="3600" w:type="dxa"/>
            <w:hideMark/>
          </w:tcPr>
          <w:p w14:paraId="72475165" w14:textId="1FF324E8" w:rsidR="00A8517A" w:rsidRPr="003B4362" w:rsidRDefault="00A8517A" w:rsidP="008C0979">
            <w:pPr>
              <w:spacing w:before="240"/>
            </w:pPr>
            <w:r w:rsidRPr="003B4362">
              <w:t>Reverse osmosis</w:t>
            </w:r>
          </w:p>
        </w:tc>
      </w:tr>
      <w:tr w:rsidR="001628C1" w:rsidRPr="003B4362" w14:paraId="712ED66F" w14:textId="77777777" w:rsidTr="008C0979">
        <w:tc>
          <w:tcPr>
            <w:tcW w:w="3600" w:type="dxa"/>
            <w:hideMark/>
          </w:tcPr>
          <w:p w14:paraId="6F1CEE82" w14:textId="4DDBA994" w:rsidR="00A8517A" w:rsidRPr="003B4362" w:rsidRDefault="00A8517A" w:rsidP="009A3C90">
            <w:pPr>
              <w:spacing w:before="240"/>
            </w:pPr>
            <w:r w:rsidRPr="003B4362">
              <w:tab/>
              <w:t>Beta particle and photon radioactivity</w:t>
            </w:r>
          </w:p>
        </w:tc>
        <w:tc>
          <w:tcPr>
            <w:tcW w:w="3600" w:type="dxa"/>
            <w:hideMark/>
          </w:tcPr>
          <w:p w14:paraId="43F6E152" w14:textId="7F056FAC" w:rsidR="00A8517A" w:rsidRPr="003B4362" w:rsidRDefault="00A8517A" w:rsidP="008C0979">
            <w:pPr>
              <w:spacing w:before="240"/>
            </w:pPr>
            <w:r w:rsidRPr="003B4362">
              <w:t>Ion exchange, reverse osmosis</w:t>
            </w:r>
          </w:p>
        </w:tc>
      </w:tr>
    </w:tbl>
    <w:bookmarkEnd w:id="654"/>
    <w:p w14:paraId="2CE563C0" w14:textId="0C7515C4" w:rsidR="00A8517A" w:rsidRPr="003B4362" w:rsidRDefault="00A8517A" w:rsidP="00A8517A">
      <w:pPr>
        <w:spacing w:before="240"/>
        <w:ind w:left="1440" w:hanging="720"/>
      </w:pPr>
      <w:r w:rsidRPr="003B4362">
        <w:t>h)</w:t>
      </w:r>
      <w:r w:rsidRPr="003B4362">
        <w:tab/>
        <w:t>Small Systems Compliance Technologies List for Radionuclides</w:t>
      </w:r>
      <w:r w:rsidR="0039507E" w:rsidRPr="003B4362">
        <w:t xml:space="preserve">.  </w:t>
      </w:r>
      <w:r w:rsidR="0039507E" w:rsidRPr="003B4362">
        <w:rPr>
          <w:szCs w:val="24"/>
        </w:rPr>
        <w:t>USEPA identified BAT as affordable technology, treatment techniques, or other means available to suppliers serving 10,000 or fewer people for achieving compliance with the radionuclides</w:t>
      </w:r>
      <w:r w:rsidR="0039507E" w:rsidRPr="003B4362">
        <w:rPr>
          <w:iCs/>
          <w:szCs w:val="24"/>
        </w:rPr>
        <w:t xml:space="preserve"> </w:t>
      </w:r>
      <w:r w:rsidR="0039507E" w:rsidRPr="003B4362">
        <w:rPr>
          <w:szCs w:val="24"/>
        </w:rPr>
        <w:t>MCLs in subsections (a) through (e).</w:t>
      </w:r>
    </w:p>
    <w:p w14:paraId="6138ED46" w14:textId="77777777" w:rsidR="00F829FE" w:rsidRPr="003B4362" w:rsidRDefault="00F829FE" w:rsidP="00F829FE">
      <w:pPr>
        <w:ind w:left="2160"/>
      </w:pPr>
    </w:p>
    <w:p w14:paraId="7730874D" w14:textId="40A3A68B" w:rsidR="00A8517A" w:rsidRPr="003B4362" w:rsidRDefault="00A8517A" w:rsidP="00F829FE">
      <w:pPr>
        <w:ind w:left="2160"/>
      </w:pPr>
      <w:r w:rsidRPr="003B4362">
        <w:lastRenderedPageBreak/>
        <w:t>List of Small Systems Compliance Technologies for Radionuclides and Limitations to Use</w:t>
      </w:r>
    </w:p>
    <w:p w14:paraId="1BC38AEA" w14:textId="77777777" w:rsidR="00A8517A" w:rsidRPr="003B4362" w:rsidRDefault="00A8517A" w:rsidP="00A8517A"/>
    <w:tbl>
      <w:tblPr>
        <w:tblW w:w="7200" w:type="dxa"/>
        <w:tblInd w:w="2160" w:type="dxa"/>
        <w:tblLayout w:type="fixed"/>
        <w:tblCellMar>
          <w:top w:w="115" w:type="dxa"/>
          <w:left w:w="0" w:type="dxa"/>
          <w:bottom w:w="115" w:type="dxa"/>
          <w:right w:w="72" w:type="dxa"/>
        </w:tblCellMar>
        <w:tblLook w:val="0000" w:firstRow="0" w:lastRow="0" w:firstColumn="0" w:lastColumn="0" w:noHBand="0" w:noVBand="0"/>
      </w:tblPr>
      <w:tblGrid>
        <w:gridCol w:w="2016"/>
        <w:gridCol w:w="1152"/>
        <w:gridCol w:w="1872"/>
        <w:gridCol w:w="2160"/>
      </w:tblGrid>
      <w:tr w:rsidR="001628C1" w:rsidRPr="003B4362" w14:paraId="5317FC38" w14:textId="77777777" w:rsidTr="008C0979">
        <w:trPr>
          <w:cantSplit/>
        </w:trPr>
        <w:tc>
          <w:tcPr>
            <w:tcW w:w="2016" w:type="dxa"/>
            <w:vAlign w:val="bottom"/>
          </w:tcPr>
          <w:p w14:paraId="37B4E2E3" w14:textId="77777777" w:rsidR="00A8517A" w:rsidRPr="003B4362" w:rsidRDefault="00A8517A" w:rsidP="008C0979">
            <w:pPr>
              <w:keepNext/>
              <w:keepLines/>
              <w:ind w:left="360" w:hanging="360"/>
              <w:rPr>
                <w:rFonts w:ascii="(normal text)" w:hAnsi="(normal text)"/>
              </w:rPr>
            </w:pPr>
            <w:bookmarkStart w:id="655" w:name="_Hlk37336140"/>
            <w:r w:rsidRPr="003B4362">
              <w:rPr>
                <w:rFonts w:ascii="(normal text)" w:hAnsi="(normal text)"/>
              </w:rPr>
              <w:t>Unit technologies</w:t>
            </w:r>
          </w:p>
        </w:tc>
        <w:tc>
          <w:tcPr>
            <w:tcW w:w="1152" w:type="dxa"/>
            <w:vAlign w:val="bottom"/>
          </w:tcPr>
          <w:p w14:paraId="3170FAED" w14:textId="77777777" w:rsidR="00A8517A" w:rsidRPr="003B4362" w:rsidRDefault="00A8517A" w:rsidP="008C0979">
            <w:pPr>
              <w:keepNext/>
              <w:keepLines/>
              <w:rPr>
                <w:rFonts w:ascii="(normal text)" w:hAnsi="(normal text)"/>
              </w:rPr>
            </w:pPr>
            <w:r w:rsidRPr="003B4362">
              <w:rPr>
                <w:rFonts w:ascii="(normal text)" w:hAnsi="(normal text)"/>
              </w:rPr>
              <w:t>Limita</w:t>
            </w:r>
            <w:r w:rsidRPr="003B4362">
              <w:rPr>
                <w:rFonts w:ascii="(normal text)" w:hAnsi="(normal text)"/>
              </w:rPr>
              <w:softHyphen/>
              <w:t>tions (see footnotes)</w:t>
            </w:r>
          </w:p>
        </w:tc>
        <w:tc>
          <w:tcPr>
            <w:tcW w:w="1872" w:type="dxa"/>
            <w:vAlign w:val="bottom"/>
          </w:tcPr>
          <w:p w14:paraId="5657357B" w14:textId="77777777" w:rsidR="00A8517A" w:rsidRPr="003B4362" w:rsidRDefault="00A8517A" w:rsidP="008C0979">
            <w:pPr>
              <w:keepNext/>
              <w:keepLines/>
              <w:rPr>
                <w:rFonts w:ascii="(normal text)" w:hAnsi="(normal text)"/>
              </w:rPr>
            </w:pPr>
            <w:r w:rsidRPr="003B4362">
              <w:rPr>
                <w:rFonts w:ascii="(normal text)" w:hAnsi="(normal text)"/>
              </w:rPr>
              <w:t>Operator skill level required</w:t>
            </w:r>
            <w:r w:rsidRPr="003B4362">
              <w:rPr>
                <w:rFonts w:ascii="(normal text)" w:hAnsi="(normal text)"/>
                <w:vertAlign w:val="superscript"/>
              </w:rPr>
              <w:t>1</w:t>
            </w:r>
          </w:p>
        </w:tc>
        <w:tc>
          <w:tcPr>
            <w:tcW w:w="2160" w:type="dxa"/>
            <w:vAlign w:val="bottom"/>
          </w:tcPr>
          <w:p w14:paraId="6AAB9249" w14:textId="77777777" w:rsidR="00A8517A" w:rsidRPr="003B4362" w:rsidRDefault="00A8517A" w:rsidP="008C0979">
            <w:pPr>
              <w:keepNext/>
              <w:keepLines/>
              <w:rPr>
                <w:rFonts w:ascii="(normal text)" w:hAnsi="(normal text)"/>
              </w:rPr>
            </w:pPr>
            <w:r w:rsidRPr="003B4362">
              <w:rPr>
                <w:rFonts w:ascii="(normal text)" w:hAnsi="(normal text)"/>
              </w:rPr>
              <w:t>Raw water quality range and considerations</w:t>
            </w:r>
            <w:r w:rsidRPr="003B4362">
              <w:rPr>
                <w:rFonts w:ascii="(normal text)" w:hAnsi="(normal text)"/>
                <w:vertAlign w:val="superscript"/>
              </w:rPr>
              <w:t>1</w:t>
            </w:r>
          </w:p>
        </w:tc>
      </w:tr>
      <w:tr w:rsidR="001628C1" w:rsidRPr="003B4362" w14:paraId="716A2866" w14:textId="77777777" w:rsidTr="008C0979">
        <w:trPr>
          <w:cantSplit/>
        </w:trPr>
        <w:tc>
          <w:tcPr>
            <w:tcW w:w="2016" w:type="dxa"/>
          </w:tcPr>
          <w:p w14:paraId="5A33DA4B" w14:textId="77777777" w:rsidR="00A8517A" w:rsidRPr="003B4362" w:rsidRDefault="00A8517A" w:rsidP="008C0979">
            <w:pPr>
              <w:ind w:left="360" w:hanging="360"/>
            </w:pPr>
            <w:r w:rsidRPr="003B4362">
              <w:t>1.</w:t>
            </w:r>
            <w:r w:rsidRPr="003B4362">
              <w:tab/>
              <w:t>Ion exchange (IE)</w:t>
            </w:r>
          </w:p>
        </w:tc>
        <w:tc>
          <w:tcPr>
            <w:tcW w:w="1152" w:type="dxa"/>
          </w:tcPr>
          <w:p w14:paraId="124A42F2" w14:textId="77777777" w:rsidR="00A8517A" w:rsidRPr="003B4362" w:rsidRDefault="00A8517A" w:rsidP="008C0979">
            <w:pPr>
              <w:jc w:val="center"/>
            </w:pPr>
            <w:r w:rsidRPr="003B4362">
              <w:t>(a)</w:t>
            </w:r>
          </w:p>
        </w:tc>
        <w:tc>
          <w:tcPr>
            <w:tcW w:w="1872" w:type="dxa"/>
          </w:tcPr>
          <w:p w14:paraId="45F6ED45" w14:textId="77777777" w:rsidR="00A8517A" w:rsidRPr="003B4362" w:rsidRDefault="00A8517A" w:rsidP="008C0979">
            <w:r w:rsidRPr="003B4362">
              <w:t>Intermediate</w:t>
            </w:r>
          </w:p>
        </w:tc>
        <w:tc>
          <w:tcPr>
            <w:tcW w:w="2160" w:type="dxa"/>
          </w:tcPr>
          <w:p w14:paraId="2CF9421D" w14:textId="0E9A22AE" w:rsidR="00A8517A" w:rsidRPr="003B4362" w:rsidRDefault="00A8517A" w:rsidP="008C0979">
            <w:r w:rsidRPr="003B4362">
              <w:t>All ground waters</w:t>
            </w:r>
          </w:p>
        </w:tc>
      </w:tr>
      <w:tr w:rsidR="001628C1" w:rsidRPr="003B4362" w14:paraId="649E000A" w14:textId="77777777" w:rsidTr="008C0979">
        <w:trPr>
          <w:cantSplit/>
        </w:trPr>
        <w:tc>
          <w:tcPr>
            <w:tcW w:w="2016" w:type="dxa"/>
          </w:tcPr>
          <w:p w14:paraId="109CD768" w14:textId="77777777" w:rsidR="00A8517A" w:rsidRPr="003B4362" w:rsidRDefault="00A8517A" w:rsidP="008C0979">
            <w:pPr>
              <w:ind w:left="360" w:hanging="360"/>
            </w:pPr>
            <w:r w:rsidRPr="003B4362">
              <w:t>2.</w:t>
            </w:r>
            <w:r w:rsidRPr="003B4362">
              <w:tab/>
              <w:t>Point of use (POU</w:t>
            </w:r>
            <w:r w:rsidRPr="003B4362">
              <w:rPr>
                <w:vertAlign w:val="superscript"/>
              </w:rPr>
              <w:t>2</w:t>
            </w:r>
            <w:r w:rsidRPr="003B4362">
              <w:t>) IE</w:t>
            </w:r>
          </w:p>
        </w:tc>
        <w:tc>
          <w:tcPr>
            <w:tcW w:w="1152" w:type="dxa"/>
          </w:tcPr>
          <w:p w14:paraId="6C00581E" w14:textId="77777777" w:rsidR="00A8517A" w:rsidRPr="003B4362" w:rsidRDefault="00A8517A" w:rsidP="008C0979">
            <w:pPr>
              <w:jc w:val="center"/>
            </w:pPr>
            <w:r w:rsidRPr="003B4362">
              <w:t>(b)</w:t>
            </w:r>
          </w:p>
        </w:tc>
        <w:tc>
          <w:tcPr>
            <w:tcW w:w="1872" w:type="dxa"/>
          </w:tcPr>
          <w:p w14:paraId="64415E99" w14:textId="77777777" w:rsidR="00A8517A" w:rsidRPr="003B4362" w:rsidRDefault="00A8517A" w:rsidP="008C0979">
            <w:r w:rsidRPr="003B4362">
              <w:t>Basic</w:t>
            </w:r>
          </w:p>
        </w:tc>
        <w:tc>
          <w:tcPr>
            <w:tcW w:w="2160" w:type="dxa"/>
          </w:tcPr>
          <w:p w14:paraId="3AD6FC68" w14:textId="4A31372A" w:rsidR="00A8517A" w:rsidRPr="003B4362" w:rsidRDefault="00A8517A" w:rsidP="008C0979">
            <w:r w:rsidRPr="003B4362">
              <w:t>All ground waters</w:t>
            </w:r>
          </w:p>
        </w:tc>
      </w:tr>
      <w:tr w:rsidR="001628C1" w:rsidRPr="003B4362" w14:paraId="1D0A16B0" w14:textId="77777777" w:rsidTr="008C0979">
        <w:trPr>
          <w:cantSplit/>
        </w:trPr>
        <w:tc>
          <w:tcPr>
            <w:tcW w:w="2016" w:type="dxa"/>
          </w:tcPr>
          <w:p w14:paraId="1C746CCE" w14:textId="77777777" w:rsidR="00A8517A" w:rsidRPr="003B4362" w:rsidRDefault="00A8517A" w:rsidP="008C0979">
            <w:pPr>
              <w:ind w:left="360" w:hanging="360"/>
            </w:pPr>
            <w:r w:rsidRPr="003B4362">
              <w:t>3.</w:t>
            </w:r>
            <w:r w:rsidRPr="003B4362">
              <w:tab/>
              <w:t>Reverse osmosis (RO)</w:t>
            </w:r>
          </w:p>
        </w:tc>
        <w:tc>
          <w:tcPr>
            <w:tcW w:w="1152" w:type="dxa"/>
          </w:tcPr>
          <w:p w14:paraId="397EE743" w14:textId="77777777" w:rsidR="00A8517A" w:rsidRPr="003B4362" w:rsidRDefault="00A8517A" w:rsidP="008C0979">
            <w:pPr>
              <w:jc w:val="center"/>
            </w:pPr>
            <w:r w:rsidRPr="003B4362">
              <w:t>(c)</w:t>
            </w:r>
          </w:p>
        </w:tc>
        <w:tc>
          <w:tcPr>
            <w:tcW w:w="1872" w:type="dxa"/>
          </w:tcPr>
          <w:p w14:paraId="547AD9AB" w14:textId="77777777" w:rsidR="00A8517A" w:rsidRPr="003B4362" w:rsidRDefault="00A8517A" w:rsidP="008C0979">
            <w:r w:rsidRPr="003B4362">
              <w:t>Advanced</w:t>
            </w:r>
          </w:p>
        </w:tc>
        <w:tc>
          <w:tcPr>
            <w:tcW w:w="2160" w:type="dxa"/>
          </w:tcPr>
          <w:p w14:paraId="07FD5748" w14:textId="5D1E2ACF" w:rsidR="00A8517A" w:rsidRPr="003B4362" w:rsidRDefault="00A8517A" w:rsidP="008C0979">
            <w:r w:rsidRPr="003B4362">
              <w:t>Surface waters usually require pre-filtration</w:t>
            </w:r>
          </w:p>
        </w:tc>
      </w:tr>
      <w:tr w:rsidR="001628C1" w:rsidRPr="003B4362" w14:paraId="2F8AAF28" w14:textId="77777777" w:rsidTr="008C0979">
        <w:trPr>
          <w:cantSplit/>
        </w:trPr>
        <w:tc>
          <w:tcPr>
            <w:tcW w:w="2016" w:type="dxa"/>
          </w:tcPr>
          <w:p w14:paraId="271513E3" w14:textId="77777777" w:rsidR="00A8517A" w:rsidRPr="003B4362" w:rsidRDefault="00A8517A" w:rsidP="008C0979">
            <w:pPr>
              <w:ind w:left="360" w:hanging="360"/>
            </w:pPr>
            <w:r w:rsidRPr="003B4362">
              <w:t>4.</w:t>
            </w:r>
            <w:r w:rsidRPr="003B4362">
              <w:tab/>
              <w:t>POU</w:t>
            </w:r>
            <w:r w:rsidRPr="003B4362">
              <w:rPr>
                <w:vertAlign w:val="superscript"/>
              </w:rPr>
              <w:t>2</w:t>
            </w:r>
            <w:r w:rsidRPr="003B4362">
              <w:t xml:space="preserve"> RO</w:t>
            </w:r>
          </w:p>
        </w:tc>
        <w:tc>
          <w:tcPr>
            <w:tcW w:w="1152" w:type="dxa"/>
          </w:tcPr>
          <w:p w14:paraId="6EA8BCE9" w14:textId="77777777" w:rsidR="00A8517A" w:rsidRPr="003B4362" w:rsidRDefault="00A8517A" w:rsidP="008C0979">
            <w:pPr>
              <w:jc w:val="center"/>
            </w:pPr>
            <w:r w:rsidRPr="003B4362">
              <w:t>(b)</w:t>
            </w:r>
          </w:p>
        </w:tc>
        <w:tc>
          <w:tcPr>
            <w:tcW w:w="1872" w:type="dxa"/>
          </w:tcPr>
          <w:p w14:paraId="5A64217E" w14:textId="77777777" w:rsidR="00A8517A" w:rsidRPr="003B4362" w:rsidRDefault="00A8517A" w:rsidP="008C0979">
            <w:r w:rsidRPr="003B4362">
              <w:t>Basic</w:t>
            </w:r>
          </w:p>
        </w:tc>
        <w:tc>
          <w:tcPr>
            <w:tcW w:w="2160" w:type="dxa"/>
          </w:tcPr>
          <w:p w14:paraId="4E65B983" w14:textId="695D3E42" w:rsidR="00A8517A" w:rsidRPr="003B4362" w:rsidRDefault="00A8517A" w:rsidP="008C0979">
            <w:r w:rsidRPr="003B4362">
              <w:t>Surface waters usually require pre-filtration</w:t>
            </w:r>
          </w:p>
        </w:tc>
      </w:tr>
      <w:tr w:rsidR="001628C1" w:rsidRPr="003B4362" w14:paraId="444BA195" w14:textId="77777777" w:rsidTr="008C0979">
        <w:trPr>
          <w:cantSplit/>
        </w:trPr>
        <w:tc>
          <w:tcPr>
            <w:tcW w:w="2016" w:type="dxa"/>
          </w:tcPr>
          <w:p w14:paraId="766E5FD4" w14:textId="77777777" w:rsidR="00A8517A" w:rsidRPr="003B4362" w:rsidRDefault="00A8517A" w:rsidP="008C0979">
            <w:pPr>
              <w:ind w:left="360" w:hanging="360"/>
            </w:pPr>
            <w:r w:rsidRPr="003B4362">
              <w:t>5.</w:t>
            </w:r>
            <w:r w:rsidRPr="003B4362">
              <w:tab/>
              <w:t>Lime softening</w:t>
            </w:r>
          </w:p>
        </w:tc>
        <w:tc>
          <w:tcPr>
            <w:tcW w:w="1152" w:type="dxa"/>
          </w:tcPr>
          <w:p w14:paraId="035F411B" w14:textId="77777777" w:rsidR="00A8517A" w:rsidRPr="003B4362" w:rsidRDefault="00A8517A" w:rsidP="008C0979">
            <w:pPr>
              <w:jc w:val="center"/>
            </w:pPr>
            <w:r w:rsidRPr="003B4362">
              <w:t>(d)</w:t>
            </w:r>
          </w:p>
        </w:tc>
        <w:tc>
          <w:tcPr>
            <w:tcW w:w="1872" w:type="dxa"/>
          </w:tcPr>
          <w:p w14:paraId="78514A4C" w14:textId="77777777" w:rsidR="00A8517A" w:rsidRPr="003B4362" w:rsidRDefault="00A8517A" w:rsidP="008C0979">
            <w:r w:rsidRPr="003B4362">
              <w:t>Advanced</w:t>
            </w:r>
          </w:p>
        </w:tc>
        <w:tc>
          <w:tcPr>
            <w:tcW w:w="2160" w:type="dxa"/>
          </w:tcPr>
          <w:p w14:paraId="619C4D3A" w14:textId="392A5BDE" w:rsidR="00A8517A" w:rsidRPr="003B4362" w:rsidRDefault="00A8517A" w:rsidP="008C0979">
            <w:r w:rsidRPr="003B4362">
              <w:t>All waters</w:t>
            </w:r>
          </w:p>
        </w:tc>
      </w:tr>
      <w:tr w:rsidR="001628C1" w:rsidRPr="003B4362" w14:paraId="5BB1AEA9" w14:textId="77777777" w:rsidTr="008C0979">
        <w:trPr>
          <w:cantSplit/>
        </w:trPr>
        <w:tc>
          <w:tcPr>
            <w:tcW w:w="2016" w:type="dxa"/>
          </w:tcPr>
          <w:p w14:paraId="2482A01B" w14:textId="77777777" w:rsidR="00A8517A" w:rsidRPr="003B4362" w:rsidRDefault="00A8517A" w:rsidP="008C0979">
            <w:pPr>
              <w:ind w:left="360" w:hanging="360"/>
            </w:pPr>
            <w:r w:rsidRPr="003B4362">
              <w:t>6.</w:t>
            </w:r>
            <w:r w:rsidRPr="003B4362">
              <w:tab/>
              <w:t>Green sand filtration</w:t>
            </w:r>
          </w:p>
        </w:tc>
        <w:tc>
          <w:tcPr>
            <w:tcW w:w="1152" w:type="dxa"/>
          </w:tcPr>
          <w:p w14:paraId="4244F085" w14:textId="77777777" w:rsidR="00A8517A" w:rsidRPr="003B4362" w:rsidRDefault="00A8517A" w:rsidP="008C0979">
            <w:pPr>
              <w:jc w:val="center"/>
            </w:pPr>
            <w:r w:rsidRPr="003B4362">
              <w:t>(e)</w:t>
            </w:r>
          </w:p>
        </w:tc>
        <w:tc>
          <w:tcPr>
            <w:tcW w:w="1872" w:type="dxa"/>
          </w:tcPr>
          <w:p w14:paraId="69CBE772" w14:textId="77777777" w:rsidR="00A8517A" w:rsidRPr="003B4362" w:rsidRDefault="00A8517A" w:rsidP="008C0979">
            <w:r w:rsidRPr="003B4362">
              <w:t>Basic</w:t>
            </w:r>
          </w:p>
        </w:tc>
        <w:tc>
          <w:tcPr>
            <w:tcW w:w="2160" w:type="dxa"/>
          </w:tcPr>
          <w:p w14:paraId="4E7AE50B" w14:textId="77777777" w:rsidR="00A8517A" w:rsidRPr="003B4362" w:rsidRDefault="00A8517A" w:rsidP="008C0979"/>
        </w:tc>
      </w:tr>
      <w:tr w:rsidR="001628C1" w:rsidRPr="003B4362" w14:paraId="12983ED7" w14:textId="77777777" w:rsidTr="008C0979">
        <w:trPr>
          <w:cantSplit/>
        </w:trPr>
        <w:tc>
          <w:tcPr>
            <w:tcW w:w="2016" w:type="dxa"/>
          </w:tcPr>
          <w:p w14:paraId="4A86772A" w14:textId="77777777" w:rsidR="00A8517A" w:rsidRPr="003B4362" w:rsidRDefault="00A8517A" w:rsidP="008C0979">
            <w:pPr>
              <w:ind w:left="360" w:hanging="360"/>
            </w:pPr>
            <w:r w:rsidRPr="003B4362">
              <w:t>7.</w:t>
            </w:r>
            <w:r w:rsidRPr="003B4362">
              <w:tab/>
              <w:t>Co-precipitation with Barium sulfate</w:t>
            </w:r>
          </w:p>
        </w:tc>
        <w:tc>
          <w:tcPr>
            <w:tcW w:w="1152" w:type="dxa"/>
          </w:tcPr>
          <w:p w14:paraId="23966412" w14:textId="77777777" w:rsidR="00A8517A" w:rsidRPr="003B4362" w:rsidRDefault="00A8517A" w:rsidP="008C0979">
            <w:pPr>
              <w:jc w:val="center"/>
            </w:pPr>
            <w:r w:rsidRPr="003B4362">
              <w:t>(f)</w:t>
            </w:r>
          </w:p>
        </w:tc>
        <w:tc>
          <w:tcPr>
            <w:tcW w:w="1872" w:type="dxa"/>
          </w:tcPr>
          <w:p w14:paraId="5B89C9E6" w14:textId="29133116" w:rsidR="00A8517A" w:rsidRPr="003B4362" w:rsidRDefault="00A8517A" w:rsidP="008C0979">
            <w:r w:rsidRPr="003B4362">
              <w:t>Intermediate to advanced</w:t>
            </w:r>
          </w:p>
        </w:tc>
        <w:tc>
          <w:tcPr>
            <w:tcW w:w="2160" w:type="dxa"/>
          </w:tcPr>
          <w:p w14:paraId="501361B5" w14:textId="604EDFDF" w:rsidR="00A8517A" w:rsidRPr="003B4362" w:rsidRDefault="00A8517A" w:rsidP="008C0979">
            <w:r w:rsidRPr="003B4362">
              <w:t>Ground waters with suitable water quality</w:t>
            </w:r>
          </w:p>
        </w:tc>
      </w:tr>
      <w:tr w:rsidR="001628C1" w:rsidRPr="003B4362" w14:paraId="19E54953" w14:textId="77777777" w:rsidTr="008C0979">
        <w:trPr>
          <w:cantSplit/>
        </w:trPr>
        <w:tc>
          <w:tcPr>
            <w:tcW w:w="2016" w:type="dxa"/>
          </w:tcPr>
          <w:p w14:paraId="75AF68A9" w14:textId="77777777" w:rsidR="00A8517A" w:rsidRPr="003B4362" w:rsidRDefault="00A8517A" w:rsidP="008C0979">
            <w:pPr>
              <w:ind w:left="360" w:hanging="360"/>
            </w:pPr>
            <w:r w:rsidRPr="003B4362">
              <w:t>8.</w:t>
            </w:r>
            <w:r w:rsidRPr="003B4362">
              <w:tab/>
              <w:t>Electrodialysis/ electrodialysis reversal</w:t>
            </w:r>
          </w:p>
        </w:tc>
        <w:tc>
          <w:tcPr>
            <w:tcW w:w="1152" w:type="dxa"/>
          </w:tcPr>
          <w:p w14:paraId="654F2230" w14:textId="77777777" w:rsidR="00A8517A" w:rsidRPr="003B4362" w:rsidRDefault="00A8517A" w:rsidP="008C0979">
            <w:pPr>
              <w:jc w:val="center"/>
            </w:pPr>
          </w:p>
        </w:tc>
        <w:tc>
          <w:tcPr>
            <w:tcW w:w="1872" w:type="dxa"/>
          </w:tcPr>
          <w:p w14:paraId="27DF82F3" w14:textId="4CEF67C5" w:rsidR="00A8517A" w:rsidRPr="003B4362" w:rsidRDefault="00A8517A" w:rsidP="008C0979">
            <w:r w:rsidRPr="003B4362">
              <w:t>Basic to intermediate</w:t>
            </w:r>
          </w:p>
        </w:tc>
        <w:tc>
          <w:tcPr>
            <w:tcW w:w="2160" w:type="dxa"/>
          </w:tcPr>
          <w:p w14:paraId="44AF7340" w14:textId="176CD0C7" w:rsidR="00A8517A" w:rsidRPr="003B4362" w:rsidRDefault="00A8517A" w:rsidP="008C0979">
            <w:r w:rsidRPr="003B4362">
              <w:t>All ground waters</w:t>
            </w:r>
          </w:p>
        </w:tc>
      </w:tr>
      <w:tr w:rsidR="001628C1" w:rsidRPr="003B4362" w14:paraId="2E43E2C8" w14:textId="77777777" w:rsidTr="008C0979">
        <w:trPr>
          <w:cantSplit/>
        </w:trPr>
        <w:tc>
          <w:tcPr>
            <w:tcW w:w="2016" w:type="dxa"/>
          </w:tcPr>
          <w:p w14:paraId="0C3ABE49" w14:textId="77777777" w:rsidR="00A8517A" w:rsidRPr="003B4362" w:rsidRDefault="00A8517A" w:rsidP="008C0979">
            <w:pPr>
              <w:ind w:left="360" w:hanging="360"/>
            </w:pPr>
            <w:r w:rsidRPr="003B4362">
              <w:t>9.</w:t>
            </w:r>
            <w:r w:rsidRPr="003B4362">
              <w:tab/>
              <w:t>Pre-formed hydrous Manganese oxide filtration</w:t>
            </w:r>
          </w:p>
        </w:tc>
        <w:tc>
          <w:tcPr>
            <w:tcW w:w="1152" w:type="dxa"/>
          </w:tcPr>
          <w:p w14:paraId="44A2B4C9" w14:textId="77777777" w:rsidR="00A8517A" w:rsidRPr="003B4362" w:rsidRDefault="00A8517A" w:rsidP="008C0979">
            <w:pPr>
              <w:jc w:val="center"/>
            </w:pPr>
            <w:r w:rsidRPr="003B4362">
              <w:t>(g)</w:t>
            </w:r>
          </w:p>
        </w:tc>
        <w:tc>
          <w:tcPr>
            <w:tcW w:w="1872" w:type="dxa"/>
          </w:tcPr>
          <w:p w14:paraId="30FE5AB0" w14:textId="77777777" w:rsidR="00A8517A" w:rsidRPr="003B4362" w:rsidRDefault="00A8517A" w:rsidP="008C0979">
            <w:r w:rsidRPr="003B4362">
              <w:t>Intermediate</w:t>
            </w:r>
          </w:p>
        </w:tc>
        <w:tc>
          <w:tcPr>
            <w:tcW w:w="2160" w:type="dxa"/>
          </w:tcPr>
          <w:p w14:paraId="28E9D959" w14:textId="44921E76" w:rsidR="00A8517A" w:rsidRPr="003B4362" w:rsidRDefault="00A8517A" w:rsidP="008C0979">
            <w:r w:rsidRPr="003B4362">
              <w:t>All ground waters</w:t>
            </w:r>
          </w:p>
        </w:tc>
      </w:tr>
      <w:tr w:rsidR="001628C1" w:rsidRPr="003B4362" w14:paraId="633BEC76" w14:textId="77777777" w:rsidTr="008C0979">
        <w:trPr>
          <w:cantSplit/>
        </w:trPr>
        <w:tc>
          <w:tcPr>
            <w:tcW w:w="2016" w:type="dxa"/>
          </w:tcPr>
          <w:p w14:paraId="7D5FD603" w14:textId="77777777" w:rsidR="00A8517A" w:rsidRPr="003B4362" w:rsidRDefault="00A8517A" w:rsidP="008C0979">
            <w:pPr>
              <w:ind w:left="360" w:hanging="360"/>
            </w:pPr>
            <w:r w:rsidRPr="003B4362">
              <w:t>10.</w:t>
            </w:r>
            <w:r w:rsidRPr="003B4362">
              <w:tab/>
              <w:t>Activated alumina</w:t>
            </w:r>
          </w:p>
        </w:tc>
        <w:tc>
          <w:tcPr>
            <w:tcW w:w="1152" w:type="dxa"/>
          </w:tcPr>
          <w:p w14:paraId="60A23C9B" w14:textId="77777777" w:rsidR="00A8517A" w:rsidRPr="003B4362" w:rsidRDefault="00A8517A" w:rsidP="008C0979">
            <w:pPr>
              <w:jc w:val="center"/>
            </w:pPr>
            <w:r w:rsidRPr="003B4362">
              <w:t>(a), (h)</w:t>
            </w:r>
          </w:p>
        </w:tc>
        <w:tc>
          <w:tcPr>
            <w:tcW w:w="1872" w:type="dxa"/>
          </w:tcPr>
          <w:p w14:paraId="4AFBE88A" w14:textId="77777777" w:rsidR="00A8517A" w:rsidRPr="003B4362" w:rsidRDefault="00A8517A" w:rsidP="008C0979">
            <w:r w:rsidRPr="003B4362">
              <w:t>Advanced</w:t>
            </w:r>
          </w:p>
        </w:tc>
        <w:tc>
          <w:tcPr>
            <w:tcW w:w="2160" w:type="dxa"/>
          </w:tcPr>
          <w:p w14:paraId="3D14D4FE" w14:textId="34A7693D" w:rsidR="00A8517A" w:rsidRPr="003B4362" w:rsidRDefault="00A8517A" w:rsidP="008C0979">
            <w:r w:rsidRPr="003B4362">
              <w:t>All ground waters; competing anion concentrations may affect regeneration frequency</w:t>
            </w:r>
          </w:p>
        </w:tc>
      </w:tr>
      <w:tr w:rsidR="001628C1" w:rsidRPr="003B4362" w14:paraId="3AA0F1FC" w14:textId="77777777" w:rsidTr="008C0979">
        <w:trPr>
          <w:cantSplit/>
        </w:trPr>
        <w:tc>
          <w:tcPr>
            <w:tcW w:w="2016" w:type="dxa"/>
          </w:tcPr>
          <w:p w14:paraId="0CEB630E" w14:textId="77777777" w:rsidR="00A8517A" w:rsidRPr="003B4362" w:rsidRDefault="00A8517A" w:rsidP="008C0979">
            <w:pPr>
              <w:ind w:left="360" w:hanging="360"/>
            </w:pPr>
            <w:r w:rsidRPr="003B4362">
              <w:lastRenderedPageBreak/>
              <w:t>11.</w:t>
            </w:r>
            <w:r w:rsidRPr="003B4362">
              <w:tab/>
              <w:t>Enhanced coagulation/ filtration</w:t>
            </w:r>
          </w:p>
        </w:tc>
        <w:tc>
          <w:tcPr>
            <w:tcW w:w="1152" w:type="dxa"/>
          </w:tcPr>
          <w:p w14:paraId="3D43D10D" w14:textId="77777777" w:rsidR="00A8517A" w:rsidRPr="003B4362" w:rsidRDefault="00A8517A" w:rsidP="008C0979">
            <w:pPr>
              <w:jc w:val="center"/>
            </w:pPr>
            <w:r w:rsidRPr="003B4362">
              <w:t>(i)</w:t>
            </w:r>
          </w:p>
        </w:tc>
        <w:tc>
          <w:tcPr>
            <w:tcW w:w="1872" w:type="dxa"/>
          </w:tcPr>
          <w:p w14:paraId="6DB7A5B4" w14:textId="77777777" w:rsidR="00A8517A" w:rsidRPr="003B4362" w:rsidRDefault="00A8517A" w:rsidP="008C0979">
            <w:r w:rsidRPr="003B4362">
              <w:t>Advanced</w:t>
            </w:r>
          </w:p>
        </w:tc>
        <w:tc>
          <w:tcPr>
            <w:tcW w:w="2160" w:type="dxa"/>
          </w:tcPr>
          <w:p w14:paraId="395CDD42" w14:textId="157D10DF" w:rsidR="00A8517A" w:rsidRPr="003B4362" w:rsidRDefault="00A8517A" w:rsidP="008C0979">
            <w:r w:rsidRPr="003B4362">
              <w:t>Can treat a wide range of water qualities</w:t>
            </w:r>
          </w:p>
        </w:tc>
      </w:tr>
    </w:tbl>
    <w:bookmarkEnd w:id="655"/>
    <w:p w14:paraId="4B70358D" w14:textId="77777777" w:rsidR="00A8517A" w:rsidRPr="003B4362" w:rsidRDefault="00A8517A" w:rsidP="00A8517A">
      <w:pPr>
        <w:spacing w:before="240"/>
        <w:ind w:left="2520" w:hanging="360"/>
      </w:pPr>
      <w:r w:rsidRPr="003B4362">
        <w:rPr>
          <w:vertAlign w:val="superscript"/>
        </w:rPr>
        <w:t>1</w:t>
      </w:r>
      <w:r w:rsidRPr="003B4362">
        <w:tab/>
        <w:t>National Research Council (NRC).  “Safe Water from Every Tap:  Improving Water Service to Small Communities</w:t>
      </w:r>
      <w:r w:rsidRPr="003B4362">
        <w:rPr>
          <w:szCs w:val="16"/>
        </w:rPr>
        <w:t>”,</w:t>
      </w:r>
      <w:r w:rsidRPr="003B4362">
        <w:t xml:space="preserve"> National Academy Press, Washington, D.C. 1997.</w:t>
      </w:r>
    </w:p>
    <w:p w14:paraId="2AC3365E" w14:textId="6F876668" w:rsidR="00A8517A" w:rsidRPr="003B4362" w:rsidRDefault="00A8517A" w:rsidP="00A8517A">
      <w:pPr>
        <w:spacing w:before="240" w:after="240"/>
        <w:ind w:left="2520" w:hanging="360"/>
      </w:pPr>
      <w:r w:rsidRPr="003B4362">
        <w:rPr>
          <w:vertAlign w:val="superscript"/>
        </w:rPr>
        <w:t>2</w:t>
      </w:r>
      <w:r w:rsidRPr="003B4362">
        <w:tab/>
        <w:t>A POU, or “point-of-use” technology is a treatment device at a single consumer’s tap for reducing contaminants in drinking water at that tap.  POU devices are typically on a kitchen tap.</w:t>
      </w:r>
    </w:p>
    <w:p w14:paraId="1E098D51" w14:textId="501CBCA9" w:rsidR="00A8517A" w:rsidRPr="003B4362" w:rsidRDefault="00A8517A" w:rsidP="00A8517A">
      <w:pPr>
        <w:ind w:left="2520"/>
      </w:pPr>
      <w:r w:rsidRPr="003B4362">
        <w:t>BOARD NOTE:  USEPA refers to the notice of data availability (NODA) at 66 Fed. Reg. 21576 (April 21, 2000) for details.</w:t>
      </w:r>
    </w:p>
    <w:p w14:paraId="2FA8F8C5" w14:textId="77777777" w:rsidR="00F829FE" w:rsidRPr="003B4362" w:rsidRDefault="00F829FE" w:rsidP="00A8517A">
      <w:pPr>
        <w:ind w:left="2520"/>
      </w:pPr>
    </w:p>
    <w:p w14:paraId="6F7F15BE" w14:textId="797E867E" w:rsidR="00A8517A" w:rsidRPr="003B4362" w:rsidRDefault="00A8517A" w:rsidP="00F829FE">
      <w:pPr>
        <w:ind w:left="2520"/>
      </w:pPr>
      <w:r w:rsidRPr="003B4362">
        <w:t>Limitations Footnotes:  Technologies for Radionuclides</w:t>
      </w:r>
    </w:p>
    <w:p w14:paraId="79721880" w14:textId="78163FB4" w:rsidR="00A8517A" w:rsidRPr="003B4362" w:rsidRDefault="00A8517A" w:rsidP="00A8517A">
      <w:pPr>
        <w:spacing w:before="240"/>
        <w:ind w:left="2880" w:hanging="360"/>
      </w:pPr>
      <w:r w:rsidRPr="003B4362">
        <w:t>(a)</w:t>
      </w:r>
      <w:r w:rsidRPr="003B4362">
        <w:tab/>
        <w:t>The regeneration solution contains high concentrations of the contaminant ions.  A supplier should carefully consider disposal options before choosing this technology.</w:t>
      </w:r>
    </w:p>
    <w:p w14:paraId="2922D7B8" w14:textId="1C57BF0A" w:rsidR="00A8517A" w:rsidRPr="003B4362" w:rsidRDefault="00A8517A" w:rsidP="00A8517A">
      <w:pPr>
        <w:spacing w:before="240"/>
        <w:ind w:left="2880" w:hanging="360"/>
      </w:pPr>
      <w:r w:rsidRPr="003B4362">
        <w:t>(b)</w:t>
      </w:r>
      <w:r w:rsidRPr="003B4362">
        <w:tab/>
        <w:t>When a supplier uses POU devices to comply, the supplier must provide programs for long-term operation, maintenance, and monitoring to ensure proper performance.</w:t>
      </w:r>
    </w:p>
    <w:p w14:paraId="38BA7301" w14:textId="14602599" w:rsidR="00A8517A" w:rsidRPr="003B4362" w:rsidRDefault="00A8517A" w:rsidP="00A8517A">
      <w:pPr>
        <w:spacing w:before="240"/>
        <w:ind w:left="2880" w:hanging="360"/>
      </w:pPr>
      <w:r w:rsidRPr="003B4362">
        <w:t>(c)</w:t>
      </w:r>
      <w:r w:rsidRPr="003B4362">
        <w:tab/>
        <w:t>The supplier should carefully consider reject water disposal options before choosing this technology.</w:t>
      </w:r>
    </w:p>
    <w:p w14:paraId="63DAB9F0" w14:textId="4A8A38D8" w:rsidR="00A8517A" w:rsidRPr="003B4362" w:rsidRDefault="00A8517A" w:rsidP="00A8517A">
      <w:pPr>
        <w:spacing w:before="240"/>
        <w:ind w:left="2880"/>
      </w:pPr>
      <w:r w:rsidRPr="003B4362">
        <w:t>BOARD NOTE:  In corresponding 40 CFR 141.66, Table C, footnote c states in part:  “See other RO limitations described in the SWTR Compliance Technologies Table.”  USEPA based Table C on “</w:t>
      </w:r>
      <w:bookmarkStart w:id="656" w:name="_Hlk36900750"/>
      <w:r w:rsidRPr="003B4362">
        <w:t>Table 13.—Technologies for Radionuclides</w:t>
      </w:r>
      <w:bookmarkEnd w:id="656"/>
      <w:r w:rsidRPr="003B4362">
        <w:t>” appearing at 63 Fed. Reg. 42032, 42043 (Aug. 6, 1998).  Table 13 refers to “</w:t>
      </w:r>
      <w:bookmarkStart w:id="657" w:name="_Hlk36900807"/>
      <w:r w:rsidRPr="003B4362">
        <w:t>Table 2.—SWTR Compliance Technology Table:  Filtration</w:t>
      </w:r>
      <w:bookmarkEnd w:id="657"/>
      <w:r w:rsidRPr="003B4362">
        <w:t>”.  That Table 2, at 63 Fed. Reg. at 42036, lists the limitations on RO:</w:t>
      </w:r>
    </w:p>
    <w:p w14:paraId="591C1E74" w14:textId="77777777" w:rsidR="00A8517A" w:rsidRPr="003B4362" w:rsidRDefault="00A8517A" w:rsidP="00A8517A">
      <w:pPr>
        <w:spacing w:before="240"/>
        <w:ind w:left="3600" w:right="360" w:hanging="360"/>
      </w:pPr>
      <w:r w:rsidRPr="003B4362">
        <w:rPr>
          <w:vertAlign w:val="superscript"/>
        </w:rPr>
        <w:t>d</w:t>
      </w:r>
      <w:r w:rsidRPr="003B4362">
        <w:tab/>
        <w:t>Blending (combining treated water with untreated raw water) cannot be practiced at risk of increasing microbial concentrations in finished water.</w:t>
      </w:r>
    </w:p>
    <w:p w14:paraId="26C9220E" w14:textId="77777777" w:rsidR="00A8517A" w:rsidRPr="003B4362" w:rsidRDefault="00A8517A" w:rsidP="00A8517A">
      <w:pPr>
        <w:ind w:left="3600" w:right="360" w:hanging="360"/>
      </w:pPr>
      <w:r w:rsidRPr="003B4362">
        <w:rPr>
          <w:vertAlign w:val="superscript"/>
        </w:rPr>
        <w:t>e</w:t>
      </w:r>
      <w:r w:rsidRPr="003B4362">
        <w:tab/>
        <w:t>Post-disinfection recommended as a safety measure and for residual maintenance.</w:t>
      </w:r>
    </w:p>
    <w:p w14:paraId="0D2C4BBB" w14:textId="77777777" w:rsidR="00A8517A" w:rsidRPr="003B4362" w:rsidRDefault="00A8517A" w:rsidP="00A8517A">
      <w:pPr>
        <w:ind w:left="3600" w:right="360" w:hanging="360"/>
      </w:pPr>
      <w:r w:rsidRPr="003B4362">
        <w:rPr>
          <w:vertAlign w:val="superscript"/>
        </w:rPr>
        <w:t>f</w:t>
      </w:r>
      <w:r w:rsidRPr="003B4362">
        <w:tab/>
        <w:t>Post-treatment corrosion control will be needed prior to distribution.</w:t>
      </w:r>
    </w:p>
    <w:p w14:paraId="7761F3D6" w14:textId="33B383DF" w:rsidR="00A8517A" w:rsidRPr="003B4362" w:rsidRDefault="00A8517A" w:rsidP="00A8517A">
      <w:pPr>
        <w:spacing w:before="240"/>
        <w:ind w:left="2880" w:hanging="360"/>
      </w:pPr>
      <w:r w:rsidRPr="003B4362">
        <w:lastRenderedPageBreak/>
        <w:t>(d)</w:t>
      </w:r>
      <w:r w:rsidRPr="003B4362">
        <w:tab/>
        <w:t>The combination of variable source water quality and the complexity of the water chemistry involved may make this technology too complex for a small surface water system.</w:t>
      </w:r>
    </w:p>
    <w:p w14:paraId="03D44DB6" w14:textId="77777777" w:rsidR="00A8517A" w:rsidRPr="003B4362" w:rsidRDefault="00A8517A" w:rsidP="00A8517A">
      <w:pPr>
        <w:spacing w:before="240"/>
        <w:ind w:left="2880" w:hanging="360"/>
      </w:pPr>
      <w:r w:rsidRPr="003B4362">
        <w:t>(e)</w:t>
      </w:r>
      <w:r w:rsidRPr="003B4362">
        <w:tab/>
        <w:t>Removal efficiencies can vary depending on water quality.</w:t>
      </w:r>
    </w:p>
    <w:p w14:paraId="02B5E110" w14:textId="7E8EC4A7" w:rsidR="00A8517A" w:rsidRPr="003B4362" w:rsidRDefault="00A8517A" w:rsidP="00A8517A">
      <w:pPr>
        <w:spacing w:before="240"/>
        <w:ind w:left="2880" w:hanging="360"/>
      </w:pPr>
      <w:r w:rsidRPr="003B4362">
        <w:t>(f)</w:t>
      </w:r>
      <w:r w:rsidRPr="003B4362">
        <w:tab/>
        <w:t>This technology may be very limited in application to small systems.  Since the process requires static mixing, detention basins, and filtration, it is most applicable to systems with sufficiently high sulfate levels that already have a suitable filtration treatment train in place.</w:t>
      </w:r>
    </w:p>
    <w:p w14:paraId="1687E128" w14:textId="77777777" w:rsidR="00A8517A" w:rsidRPr="003B4362" w:rsidRDefault="00A8517A" w:rsidP="00A8517A">
      <w:pPr>
        <w:spacing w:before="240"/>
        <w:ind w:left="2880" w:hanging="360"/>
      </w:pPr>
      <w:r w:rsidRPr="003B4362">
        <w:t>(g)</w:t>
      </w:r>
      <w:r w:rsidRPr="003B4362">
        <w:tab/>
        <w:t>This technology is most applicable to small systems that already have filtration in place.</w:t>
      </w:r>
    </w:p>
    <w:p w14:paraId="75D573CD" w14:textId="08D6CDD8" w:rsidR="00A8517A" w:rsidRPr="003B4362" w:rsidRDefault="00A8517A" w:rsidP="00A8517A">
      <w:pPr>
        <w:spacing w:before="240"/>
        <w:ind w:left="2880" w:hanging="360"/>
      </w:pPr>
      <w:r w:rsidRPr="003B4362">
        <w:t>(h)</w:t>
      </w:r>
      <w:r w:rsidRPr="003B4362">
        <w:tab/>
        <w:t>Handling chemicals required during regeneration and pH adjustment may be too difficult for small systems without an adequately trained operator.</w:t>
      </w:r>
    </w:p>
    <w:p w14:paraId="18C88021" w14:textId="33A3840D" w:rsidR="00A8517A" w:rsidRPr="003B4362" w:rsidRDefault="00A8517A" w:rsidP="00A8517A">
      <w:pPr>
        <w:spacing w:before="240"/>
        <w:ind w:left="2880" w:hanging="360"/>
      </w:pPr>
      <w:r w:rsidRPr="003B4362">
        <w:t>(i)</w:t>
      </w:r>
      <w:r w:rsidRPr="003B4362">
        <w:tab/>
        <w:t>Assumes modification of a coagulation/filtration process already in place.</w:t>
      </w:r>
    </w:p>
    <w:p w14:paraId="5EE820D1" w14:textId="77777777" w:rsidR="00A8517A" w:rsidRPr="003B4362" w:rsidRDefault="00A8517A" w:rsidP="00A8517A">
      <w:pPr>
        <w:spacing w:before="240" w:after="160"/>
        <w:ind w:left="2160"/>
      </w:pPr>
      <w:r w:rsidRPr="003B4362">
        <w:t>Compliance Technologies by System Size Category for Radionuclide NPDWRs</w:t>
      </w:r>
    </w:p>
    <w:tbl>
      <w:tblPr>
        <w:tblW w:w="7200"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448"/>
        <w:gridCol w:w="1584"/>
        <w:gridCol w:w="1584"/>
        <w:gridCol w:w="1584"/>
      </w:tblGrid>
      <w:tr w:rsidR="001628C1" w:rsidRPr="003B4362" w14:paraId="4DD5A7F5" w14:textId="77777777" w:rsidTr="00DD60FB">
        <w:trPr>
          <w:cantSplit/>
        </w:trPr>
        <w:tc>
          <w:tcPr>
            <w:tcW w:w="2448" w:type="dxa"/>
            <w:tcBorders>
              <w:top w:val="nil"/>
              <w:left w:val="nil"/>
              <w:bottom w:val="nil"/>
              <w:right w:val="nil"/>
            </w:tcBorders>
          </w:tcPr>
          <w:p w14:paraId="3C09D5E2" w14:textId="7754F29A" w:rsidR="0039507E" w:rsidRPr="003B4362" w:rsidRDefault="0039507E" w:rsidP="00B810FE"/>
        </w:tc>
        <w:tc>
          <w:tcPr>
            <w:tcW w:w="4752" w:type="dxa"/>
            <w:gridSpan w:val="3"/>
            <w:tcBorders>
              <w:top w:val="nil"/>
              <w:left w:val="nil"/>
              <w:bottom w:val="nil"/>
              <w:right w:val="nil"/>
            </w:tcBorders>
          </w:tcPr>
          <w:p w14:paraId="4DFBBEDB" w14:textId="76DEC040" w:rsidR="0039507E" w:rsidRPr="003B4362" w:rsidRDefault="0039507E" w:rsidP="00DD60FB">
            <w:pPr>
              <w:keepNext/>
              <w:keepLines/>
              <w:jc w:val="center"/>
            </w:pPr>
            <w:r w:rsidRPr="003B4362">
              <w:t>Compliance Technologies for System Size Categories (Population Served)</w:t>
            </w:r>
          </w:p>
        </w:tc>
      </w:tr>
      <w:tr w:rsidR="001628C1" w:rsidRPr="003B4362" w14:paraId="068614CD" w14:textId="77777777" w:rsidTr="0039507E">
        <w:trPr>
          <w:cantSplit/>
        </w:trPr>
        <w:tc>
          <w:tcPr>
            <w:tcW w:w="2448" w:type="dxa"/>
            <w:tcBorders>
              <w:top w:val="nil"/>
              <w:left w:val="nil"/>
              <w:bottom w:val="nil"/>
              <w:right w:val="nil"/>
            </w:tcBorders>
          </w:tcPr>
          <w:p w14:paraId="7A599CF8" w14:textId="77777777" w:rsidR="00A8517A" w:rsidRPr="003B4362" w:rsidRDefault="00A8517A" w:rsidP="00B810FE">
            <w:r w:rsidRPr="003B4362">
              <w:t>Contaminant</w:t>
            </w:r>
          </w:p>
        </w:tc>
        <w:tc>
          <w:tcPr>
            <w:tcW w:w="1584" w:type="dxa"/>
            <w:tcBorders>
              <w:top w:val="nil"/>
              <w:left w:val="nil"/>
              <w:bottom w:val="nil"/>
              <w:right w:val="nil"/>
            </w:tcBorders>
          </w:tcPr>
          <w:p w14:paraId="5AE7D3F9" w14:textId="77777777" w:rsidR="00A8517A" w:rsidRPr="003B4362" w:rsidRDefault="00A8517A" w:rsidP="008C0979">
            <w:pPr>
              <w:keepNext/>
              <w:keepLines/>
              <w:jc w:val="center"/>
            </w:pPr>
            <w:r w:rsidRPr="003B4362">
              <w:t>25-500</w:t>
            </w:r>
          </w:p>
        </w:tc>
        <w:tc>
          <w:tcPr>
            <w:tcW w:w="1584" w:type="dxa"/>
            <w:tcBorders>
              <w:top w:val="nil"/>
              <w:left w:val="nil"/>
              <w:bottom w:val="nil"/>
              <w:right w:val="nil"/>
            </w:tcBorders>
          </w:tcPr>
          <w:p w14:paraId="0ABBD74B" w14:textId="77777777" w:rsidR="00A8517A" w:rsidRPr="003B4362" w:rsidRDefault="00A8517A" w:rsidP="008C0979">
            <w:pPr>
              <w:keepNext/>
              <w:keepLines/>
              <w:jc w:val="center"/>
            </w:pPr>
            <w:r w:rsidRPr="003B4362">
              <w:t>501-3,300</w:t>
            </w:r>
          </w:p>
        </w:tc>
        <w:tc>
          <w:tcPr>
            <w:tcW w:w="1584" w:type="dxa"/>
            <w:tcBorders>
              <w:top w:val="nil"/>
              <w:left w:val="nil"/>
              <w:bottom w:val="nil"/>
              <w:right w:val="nil"/>
            </w:tcBorders>
          </w:tcPr>
          <w:p w14:paraId="633F17EF" w14:textId="77777777" w:rsidR="00A8517A" w:rsidRPr="003B4362" w:rsidRDefault="00A8517A" w:rsidP="008C0979">
            <w:pPr>
              <w:keepNext/>
              <w:keepLines/>
              <w:jc w:val="center"/>
            </w:pPr>
            <w:r w:rsidRPr="003B4362">
              <w:t>3,300-10,000</w:t>
            </w:r>
          </w:p>
        </w:tc>
      </w:tr>
      <w:tr w:rsidR="001628C1" w:rsidRPr="003B4362" w14:paraId="77DA963A" w14:textId="77777777" w:rsidTr="0039507E">
        <w:tblPrEx>
          <w:tblCellMar>
            <w:left w:w="0" w:type="dxa"/>
          </w:tblCellMar>
        </w:tblPrEx>
        <w:trPr>
          <w:cantSplit/>
        </w:trPr>
        <w:tc>
          <w:tcPr>
            <w:tcW w:w="2448" w:type="dxa"/>
            <w:tcBorders>
              <w:top w:val="nil"/>
              <w:left w:val="nil"/>
              <w:bottom w:val="nil"/>
              <w:right w:val="nil"/>
            </w:tcBorders>
          </w:tcPr>
          <w:p w14:paraId="60D8C24E" w14:textId="77777777" w:rsidR="00A8517A" w:rsidRPr="003B4362" w:rsidRDefault="00A8517A" w:rsidP="008C0979">
            <w:pPr>
              <w:ind w:left="360" w:hanging="360"/>
            </w:pPr>
            <w:r w:rsidRPr="003B4362">
              <w:t>1.</w:t>
            </w:r>
            <w:r w:rsidRPr="003B4362">
              <w:tab/>
              <w:t>Combined radium-226 and radium-228</w:t>
            </w:r>
          </w:p>
        </w:tc>
        <w:tc>
          <w:tcPr>
            <w:tcW w:w="1584" w:type="dxa"/>
            <w:tcBorders>
              <w:top w:val="nil"/>
              <w:left w:val="nil"/>
              <w:bottom w:val="nil"/>
              <w:right w:val="nil"/>
            </w:tcBorders>
          </w:tcPr>
          <w:p w14:paraId="76A30F43" w14:textId="77777777" w:rsidR="00A8517A" w:rsidRPr="003B4362" w:rsidRDefault="00A8517A" w:rsidP="008C0979">
            <w:r w:rsidRPr="003B4362">
              <w:t>1, 2, 3, 4, 5, 6, 7, 8, 9</w:t>
            </w:r>
          </w:p>
        </w:tc>
        <w:tc>
          <w:tcPr>
            <w:tcW w:w="1584" w:type="dxa"/>
            <w:tcBorders>
              <w:top w:val="nil"/>
              <w:left w:val="nil"/>
              <w:bottom w:val="nil"/>
              <w:right w:val="nil"/>
            </w:tcBorders>
          </w:tcPr>
          <w:p w14:paraId="688D70E1" w14:textId="77777777" w:rsidR="00A8517A" w:rsidRPr="003B4362" w:rsidRDefault="00A8517A" w:rsidP="008C0979">
            <w:r w:rsidRPr="003B4362">
              <w:t>1, 2, 3, 4, 5, 6, 7, 8, 9</w:t>
            </w:r>
          </w:p>
        </w:tc>
        <w:tc>
          <w:tcPr>
            <w:tcW w:w="1584" w:type="dxa"/>
            <w:tcBorders>
              <w:top w:val="nil"/>
              <w:left w:val="nil"/>
              <w:bottom w:val="nil"/>
              <w:right w:val="nil"/>
            </w:tcBorders>
          </w:tcPr>
          <w:p w14:paraId="1530452D" w14:textId="77777777" w:rsidR="00A8517A" w:rsidRPr="003B4362" w:rsidRDefault="00A8517A" w:rsidP="008C0979">
            <w:r w:rsidRPr="003B4362">
              <w:t>1, 2, 3, 4, 5, 6, 7, 8, 9</w:t>
            </w:r>
          </w:p>
        </w:tc>
      </w:tr>
      <w:tr w:rsidR="001628C1" w:rsidRPr="003B4362" w14:paraId="0BE60765" w14:textId="77777777" w:rsidTr="0039507E">
        <w:tblPrEx>
          <w:tblCellMar>
            <w:left w:w="0" w:type="dxa"/>
          </w:tblCellMar>
        </w:tblPrEx>
        <w:trPr>
          <w:cantSplit/>
        </w:trPr>
        <w:tc>
          <w:tcPr>
            <w:tcW w:w="2448" w:type="dxa"/>
            <w:tcBorders>
              <w:top w:val="nil"/>
              <w:left w:val="nil"/>
              <w:bottom w:val="nil"/>
              <w:right w:val="nil"/>
            </w:tcBorders>
          </w:tcPr>
          <w:p w14:paraId="17C228D5" w14:textId="77777777" w:rsidR="00A8517A" w:rsidRPr="003B4362" w:rsidRDefault="00A8517A" w:rsidP="008C0979">
            <w:pPr>
              <w:ind w:left="360" w:hanging="360"/>
            </w:pPr>
            <w:r w:rsidRPr="003B4362">
              <w:t>2.</w:t>
            </w:r>
            <w:r w:rsidRPr="003B4362">
              <w:tab/>
              <w:t>Gross alpha particle activity</w:t>
            </w:r>
          </w:p>
        </w:tc>
        <w:tc>
          <w:tcPr>
            <w:tcW w:w="1584" w:type="dxa"/>
            <w:tcBorders>
              <w:top w:val="nil"/>
              <w:left w:val="nil"/>
              <w:bottom w:val="nil"/>
              <w:right w:val="nil"/>
            </w:tcBorders>
          </w:tcPr>
          <w:p w14:paraId="0EA52D4D" w14:textId="77777777" w:rsidR="00A8517A" w:rsidRPr="003B4362" w:rsidRDefault="00A8517A" w:rsidP="008C0979">
            <w:r w:rsidRPr="003B4362">
              <w:t>3, 4</w:t>
            </w:r>
          </w:p>
        </w:tc>
        <w:tc>
          <w:tcPr>
            <w:tcW w:w="1584" w:type="dxa"/>
            <w:tcBorders>
              <w:top w:val="nil"/>
              <w:left w:val="nil"/>
              <w:bottom w:val="nil"/>
              <w:right w:val="nil"/>
            </w:tcBorders>
          </w:tcPr>
          <w:p w14:paraId="71C7A61B" w14:textId="77777777" w:rsidR="00A8517A" w:rsidRPr="003B4362" w:rsidRDefault="00A8517A" w:rsidP="008C0979">
            <w:r w:rsidRPr="003B4362">
              <w:t>3, 4</w:t>
            </w:r>
          </w:p>
        </w:tc>
        <w:tc>
          <w:tcPr>
            <w:tcW w:w="1584" w:type="dxa"/>
            <w:tcBorders>
              <w:top w:val="nil"/>
              <w:left w:val="nil"/>
              <w:bottom w:val="nil"/>
              <w:right w:val="nil"/>
            </w:tcBorders>
          </w:tcPr>
          <w:p w14:paraId="133C506C" w14:textId="77777777" w:rsidR="00A8517A" w:rsidRPr="003B4362" w:rsidRDefault="00A8517A" w:rsidP="008C0979">
            <w:r w:rsidRPr="003B4362">
              <w:t>3, 4</w:t>
            </w:r>
          </w:p>
        </w:tc>
      </w:tr>
      <w:tr w:rsidR="001628C1" w:rsidRPr="003B4362" w14:paraId="7B6F71AC" w14:textId="77777777" w:rsidTr="0039507E">
        <w:tblPrEx>
          <w:tblCellMar>
            <w:left w:w="0" w:type="dxa"/>
          </w:tblCellMar>
        </w:tblPrEx>
        <w:trPr>
          <w:cantSplit/>
        </w:trPr>
        <w:tc>
          <w:tcPr>
            <w:tcW w:w="2448" w:type="dxa"/>
            <w:tcBorders>
              <w:top w:val="nil"/>
              <w:left w:val="nil"/>
              <w:bottom w:val="nil"/>
              <w:right w:val="nil"/>
            </w:tcBorders>
          </w:tcPr>
          <w:p w14:paraId="12B65E19" w14:textId="77777777" w:rsidR="00A8517A" w:rsidRPr="003B4362" w:rsidRDefault="00A8517A" w:rsidP="008C0979">
            <w:pPr>
              <w:ind w:left="360" w:hanging="360"/>
            </w:pPr>
            <w:r w:rsidRPr="003B4362">
              <w:t>3.</w:t>
            </w:r>
            <w:r w:rsidRPr="003B4362">
              <w:tab/>
              <w:t>Beta particle activity and photon activity</w:t>
            </w:r>
          </w:p>
        </w:tc>
        <w:tc>
          <w:tcPr>
            <w:tcW w:w="1584" w:type="dxa"/>
            <w:tcBorders>
              <w:top w:val="nil"/>
              <w:left w:val="nil"/>
              <w:bottom w:val="nil"/>
              <w:right w:val="nil"/>
            </w:tcBorders>
          </w:tcPr>
          <w:p w14:paraId="7944A598" w14:textId="77777777" w:rsidR="00A8517A" w:rsidRPr="003B4362" w:rsidRDefault="00A8517A" w:rsidP="008C0979">
            <w:r w:rsidRPr="003B4362">
              <w:t>1, 2, 3, 4</w:t>
            </w:r>
          </w:p>
        </w:tc>
        <w:tc>
          <w:tcPr>
            <w:tcW w:w="1584" w:type="dxa"/>
            <w:tcBorders>
              <w:top w:val="nil"/>
              <w:left w:val="nil"/>
              <w:bottom w:val="nil"/>
              <w:right w:val="nil"/>
            </w:tcBorders>
          </w:tcPr>
          <w:p w14:paraId="5991A11E" w14:textId="77777777" w:rsidR="00A8517A" w:rsidRPr="003B4362" w:rsidRDefault="00A8517A" w:rsidP="008C0979">
            <w:r w:rsidRPr="003B4362">
              <w:t>1, 2, 3, 4</w:t>
            </w:r>
          </w:p>
        </w:tc>
        <w:tc>
          <w:tcPr>
            <w:tcW w:w="1584" w:type="dxa"/>
            <w:tcBorders>
              <w:top w:val="nil"/>
              <w:left w:val="nil"/>
              <w:bottom w:val="nil"/>
              <w:right w:val="nil"/>
            </w:tcBorders>
          </w:tcPr>
          <w:p w14:paraId="42DEE120" w14:textId="77777777" w:rsidR="00A8517A" w:rsidRPr="003B4362" w:rsidRDefault="00A8517A" w:rsidP="008C0979">
            <w:r w:rsidRPr="003B4362">
              <w:t>1, 2, 3, 4</w:t>
            </w:r>
          </w:p>
        </w:tc>
      </w:tr>
      <w:tr w:rsidR="001628C1" w:rsidRPr="003B4362" w14:paraId="6E554945" w14:textId="77777777" w:rsidTr="0039507E">
        <w:tblPrEx>
          <w:tblCellMar>
            <w:left w:w="0" w:type="dxa"/>
          </w:tblCellMar>
        </w:tblPrEx>
        <w:trPr>
          <w:cantSplit/>
        </w:trPr>
        <w:tc>
          <w:tcPr>
            <w:tcW w:w="2448" w:type="dxa"/>
            <w:tcBorders>
              <w:top w:val="nil"/>
              <w:left w:val="nil"/>
              <w:bottom w:val="nil"/>
              <w:right w:val="nil"/>
            </w:tcBorders>
          </w:tcPr>
          <w:p w14:paraId="7D68C6A5" w14:textId="77777777" w:rsidR="00A8517A" w:rsidRPr="003B4362" w:rsidRDefault="00A8517A" w:rsidP="008C0979">
            <w:pPr>
              <w:ind w:left="360" w:hanging="360"/>
            </w:pPr>
            <w:r w:rsidRPr="003B4362">
              <w:t>4.</w:t>
            </w:r>
            <w:r w:rsidRPr="003B4362">
              <w:tab/>
              <w:t>Uranium</w:t>
            </w:r>
          </w:p>
        </w:tc>
        <w:tc>
          <w:tcPr>
            <w:tcW w:w="1584" w:type="dxa"/>
            <w:tcBorders>
              <w:top w:val="nil"/>
              <w:left w:val="nil"/>
              <w:bottom w:val="nil"/>
              <w:right w:val="nil"/>
            </w:tcBorders>
          </w:tcPr>
          <w:p w14:paraId="3799AF30" w14:textId="77777777" w:rsidR="00A8517A" w:rsidRPr="003B4362" w:rsidRDefault="00A8517A" w:rsidP="008C0979">
            <w:r w:rsidRPr="003B4362">
              <w:t>1, 2, 4, 10, 11</w:t>
            </w:r>
          </w:p>
        </w:tc>
        <w:tc>
          <w:tcPr>
            <w:tcW w:w="1584" w:type="dxa"/>
            <w:tcBorders>
              <w:top w:val="nil"/>
              <w:left w:val="nil"/>
              <w:bottom w:val="nil"/>
              <w:right w:val="nil"/>
            </w:tcBorders>
          </w:tcPr>
          <w:p w14:paraId="1DE29909" w14:textId="77777777" w:rsidR="00A8517A" w:rsidRPr="003B4362" w:rsidRDefault="00A8517A" w:rsidP="008C0979">
            <w:r w:rsidRPr="003B4362">
              <w:t>1, 2, 3, 4, 5, 10, 11</w:t>
            </w:r>
          </w:p>
        </w:tc>
        <w:tc>
          <w:tcPr>
            <w:tcW w:w="1584" w:type="dxa"/>
            <w:tcBorders>
              <w:top w:val="nil"/>
              <w:left w:val="nil"/>
              <w:bottom w:val="nil"/>
              <w:right w:val="nil"/>
            </w:tcBorders>
          </w:tcPr>
          <w:p w14:paraId="1915A485" w14:textId="77777777" w:rsidR="00A8517A" w:rsidRPr="003B4362" w:rsidRDefault="00A8517A" w:rsidP="008C0979">
            <w:r w:rsidRPr="003B4362">
              <w:t>1, 2, 3, 4, 5, 10, 11</w:t>
            </w:r>
          </w:p>
        </w:tc>
      </w:tr>
    </w:tbl>
    <w:p w14:paraId="337BE4D3" w14:textId="77777777" w:rsidR="005605D6" w:rsidRDefault="005605D6" w:rsidP="005605D6">
      <w:pPr>
        <w:ind w:left="2160"/>
      </w:pPr>
    </w:p>
    <w:p w14:paraId="786B33FB" w14:textId="3D384A01" w:rsidR="00A8517A" w:rsidRPr="003B4362" w:rsidRDefault="00A8517A" w:rsidP="005605D6">
      <w:pPr>
        <w:ind w:left="2160"/>
      </w:pPr>
      <w:r w:rsidRPr="003B4362">
        <w:t>Note:</w:t>
      </w:r>
      <w:r w:rsidR="000B5981" w:rsidRPr="003B4362">
        <w:t xml:space="preserve">  </w:t>
      </w:r>
      <w:r w:rsidRPr="003B4362">
        <w:t xml:space="preserve">Numbers correspond to </w:t>
      </w:r>
      <w:r w:rsidR="003C3EB1" w:rsidRPr="003B4362">
        <w:t xml:space="preserve">the numbered </w:t>
      </w:r>
      <w:r w:rsidRPr="003B4362">
        <w:t>technologies in the above table, “List of Small Systems Compliance Technologies for Radionuclides and Limitations to Use</w:t>
      </w:r>
      <w:r w:rsidRPr="003B4362">
        <w:rPr>
          <w:szCs w:val="16"/>
        </w:rPr>
        <w:t>”</w:t>
      </w:r>
      <w:r w:rsidRPr="003B4362">
        <w:t>.</w:t>
      </w:r>
    </w:p>
    <w:p w14:paraId="148605E1" w14:textId="77777777" w:rsidR="005605D6" w:rsidRDefault="005605D6" w:rsidP="005605D6"/>
    <w:p w14:paraId="43B61507" w14:textId="3306520A" w:rsidR="00A8517A" w:rsidRPr="003B4362" w:rsidRDefault="00A8517A" w:rsidP="005605D6">
      <w:r w:rsidRPr="003B4362">
        <w:t xml:space="preserve">BOARD NOTE:  </w:t>
      </w:r>
      <w:r w:rsidR="00C60F38" w:rsidRPr="003B4362">
        <w:rPr>
          <w:spacing w:val="-3"/>
        </w:rPr>
        <w:t xml:space="preserve">This Section derives </w:t>
      </w:r>
      <w:r w:rsidRPr="003B4362">
        <w:t>from 40 CFR 141.66.</w:t>
      </w:r>
    </w:p>
    <w:p w14:paraId="28F85911" w14:textId="77777777" w:rsidR="005605D6" w:rsidRDefault="005605D6" w:rsidP="005605D6">
      <w:pPr>
        <w:suppressAutoHyphens/>
        <w:ind w:left="720"/>
      </w:pPr>
    </w:p>
    <w:p w14:paraId="6AEEC96E" w14:textId="749C3DB6" w:rsidR="008F565D" w:rsidRPr="003B4362" w:rsidRDefault="00EB353D" w:rsidP="005605D6">
      <w:pPr>
        <w:suppressAutoHyphens/>
        <w:ind w:left="720"/>
        <w:rPr>
          <w:rFonts w:eastAsia="Calibri"/>
        </w:rPr>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bookmarkEnd w:id="648"/>
    </w:p>
    <w:p w14:paraId="23966479" w14:textId="5F96D8ED" w:rsidR="005605D6" w:rsidRDefault="005605D6" w:rsidP="00810215">
      <w:pPr>
        <w:rPr>
          <w:rFonts w:eastAsia="Calibri"/>
        </w:rPr>
      </w:pPr>
    </w:p>
    <w:p w14:paraId="3F63883C" w14:textId="77777777" w:rsidR="00810215" w:rsidRPr="00810215" w:rsidRDefault="00810215" w:rsidP="00810215">
      <w:pPr>
        <w:rPr>
          <w:b/>
          <w:bCs/>
        </w:rPr>
      </w:pPr>
      <w:r w:rsidRPr="00810215">
        <w:rPr>
          <w:b/>
          <w:bCs/>
        </w:rPr>
        <w:t>Section 611.331  Beta Particle and Photon Radioactivity (Repealed)</w:t>
      </w:r>
    </w:p>
    <w:p w14:paraId="686E41E2" w14:textId="77777777" w:rsidR="00810215" w:rsidRPr="001A7517" w:rsidRDefault="00810215" w:rsidP="00810215"/>
    <w:p w14:paraId="68E25E01" w14:textId="4D5C374F" w:rsidR="00810215" w:rsidRPr="001A7517" w:rsidRDefault="00810215" w:rsidP="00810215">
      <w:r>
        <w:tab/>
      </w:r>
      <w:r w:rsidRPr="001A7517">
        <w:t>(Source:  Repealed at 28 Ill. Reg. 5269, effective March 10, 2004)</w:t>
      </w:r>
    </w:p>
    <w:p w14:paraId="390CE96B" w14:textId="77777777" w:rsidR="00810215" w:rsidRDefault="00810215" w:rsidP="00810215">
      <w:pPr>
        <w:rPr>
          <w:rFonts w:eastAsia="Calibri"/>
        </w:rPr>
      </w:pPr>
    </w:p>
    <w:p w14:paraId="6B254B0B" w14:textId="5A7DB505" w:rsidR="005451CE" w:rsidRPr="003B4362" w:rsidRDefault="005451CE" w:rsidP="008F565D">
      <w:pPr>
        <w:jc w:val="center"/>
        <w:rPr>
          <w:rFonts w:eastAsia="Calibri"/>
        </w:rPr>
      </w:pPr>
      <w:r w:rsidRPr="003B4362">
        <w:rPr>
          <w:rFonts w:eastAsia="Calibri"/>
        </w:rPr>
        <w:t>SUBPART G: LEAD AND COPPER</w:t>
      </w:r>
    </w:p>
    <w:p w14:paraId="76E4F68F" w14:textId="77777777" w:rsidR="008F565D" w:rsidRPr="003B4362" w:rsidRDefault="008F565D" w:rsidP="008F565D">
      <w:pPr>
        <w:rPr>
          <w:rFonts w:eastAsia="Calibri"/>
          <w:b/>
          <w:bCs/>
        </w:rPr>
      </w:pPr>
    </w:p>
    <w:p w14:paraId="10BCE5BA" w14:textId="768C13EA" w:rsidR="005451CE" w:rsidRPr="003B4362" w:rsidRDefault="005451CE" w:rsidP="008F565D">
      <w:pPr>
        <w:rPr>
          <w:rFonts w:eastAsia="Calibri"/>
          <w:b/>
          <w:bCs/>
        </w:rPr>
      </w:pPr>
      <w:r w:rsidRPr="003B4362">
        <w:rPr>
          <w:rFonts w:eastAsia="Calibri"/>
          <w:b/>
          <w:bCs/>
        </w:rPr>
        <w:t>Section 611.350  General Requirements</w:t>
      </w:r>
    </w:p>
    <w:p w14:paraId="39C5C672" w14:textId="77777777" w:rsidR="005451CE" w:rsidRPr="003B4362" w:rsidRDefault="005451CE" w:rsidP="005451CE">
      <w:pPr>
        <w:spacing w:before="240" w:after="240"/>
        <w:ind w:left="720"/>
        <w:rPr>
          <w:rFonts w:eastAsia="Calibri"/>
        </w:rPr>
      </w:pPr>
      <w:r w:rsidRPr="003B4362">
        <w:rPr>
          <w:rFonts w:eastAsia="Calibri"/>
        </w:rPr>
        <w:t>a)</w:t>
      </w:r>
      <w:r w:rsidRPr="003B4362">
        <w:rPr>
          <w:rFonts w:eastAsia="Calibri"/>
        </w:rPr>
        <w:tab/>
        <w:t>Applicability and Scope</w:t>
      </w:r>
    </w:p>
    <w:p w14:paraId="735ACDE4" w14:textId="2411F2F4"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r>
      <w:bookmarkStart w:id="658" w:name="_Hlk128564713"/>
      <w:r w:rsidRPr="003B4362">
        <w:rPr>
          <w:rFonts w:eastAsia="Calibri"/>
        </w:rPr>
        <w:t>Applicability</w:t>
      </w:r>
      <w:r w:rsidR="00651CD5" w:rsidRPr="003B4362">
        <w:t xml:space="preserve"> </w:t>
      </w:r>
      <w:r w:rsidR="00DB50FB" w:rsidRPr="003B4362">
        <w:t xml:space="preserve">of </w:t>
      </w:r>
      <w:r w:rsidR="00651CD5" w:rsidRPr="003B4362">
        <w:t xml:space="preserve">and </w:t>
      </w:r>
      <w:r w:rsidR="00240CA6" w:rsidRPr="003B4362">
        <w:t>Compliance</w:t>
      </w:r>
      <w:r w:rsidR="008B6AE0" w:rsidRPr="003B4362">
        <w:t xml:space="preserve"> </w:t>
      </w:r>
      <w:r w:rsidR="00651CD5" w:rsidRPr="003B4362">
        <w:t>with this Subpart G</w:t>
      </w:r>
      <w:bookmarkEnd w:id="658"/>
      <w:r w:rsidRPr="003B4362">
        <w:rPr>
          <w:rFonts w:eastAsia="Calibri"/>
        </w:rPr>
        <w:t>.  This Subpart G</w:t>
      </w:r>
      <w:r w:rsidR="00133928" w:rsidRPr="003B4362">
        <w:rPr>
          <w:rFonts w:eastAsia="Calibri"/>
        </w:rPr>
        <w:t xml:space="preserve"> and Subpart AG </w:t>
      </w:r>
      <w:r w:rsidRPr="003B4362">
        <w:rPr>
          <w:rFonts w:eastAsia="Calibri"/>
        </w:rPr>
        <w:t>constitute NPDWRs for lead and copper.  This Subpart G</w:t>
      </w:r>
      <w:r w:rsidR="00133928" w:rsidRPr="003B4362">
        <w:rPr>
          <w:rFonts w:eastAsia="Calibri"/>
        </w:rPr>
        <w:t xml:space="preserve"> and Subpart AG apply </w:t>
      </w:r>
      <w:r w:rsidRPr="003B4362">
        <w:rPr>
          <w:rFonts w:eastAsia="Calibri"/>
        </w:rPr>
        <w:t>to all community water</w:t>
      </w:r>
      <w:r w:rsidR="00B810FE" w:rsidRPr="003B4362">
        <w:rPr>
          <w:rFonts w:eastAsia="Calibri"/>
        </w:rPr>
        <w:t xml:space="preserve"> </w:t>
      </w:r>
      <w:r w:rsidRPr="003B4362">
        <w:rPr>
          <w:rFonts w:eastAsia="Calibri"/>
        </w:rPr>
        <w:t>systems (CWSs) and non-transient, non-community water systems (NTNCWSs).</w:t>
      </w:r>
    </w:p>
    <w:p w14:paraId="28C0DB1C" w14:textId="42B04CB4" w:rsidR="00133928" w:rsidRPr="003B4362" w:rsidRDefault="00133928" w:rsidP="00133928">
      <w:pPr>
        <w:spacing w:before="240" w:after="240"/>
        <w:ind w:left="2880" w:hanging="720"/>
        <w:rPr>
          <w:rFonts w:eastAsia="Calibri"/>
        </w:rPr>
      </w:pPr>
      <w:r w:rsidRPr="003B4362">
        <w:rPr>
          <w:rFonts w:eastAsia="Calibri"/>
        </w:rPr>
        <w:t>A)</w:t>
      </w:r>
      <w:r w:rsidRPr="003B4362">
        <w:rPr>
          <w:rFonts w:eastAsia="Calibri"/>
        </w:rPr>
        <w:tab/>
      </w:r>
      <w:r w:rsidR="00301A81" w:rsidRPr="003B4362">
        <w:rPr>
          <w:szCs w:val="24"/>
        </w:rPr>
        <w:t xml:space="preserve">A supplier must comply with this Subpart G </w:t>
      </w:r>
      <w:r w:rsidR="00240CA6" w:rsidRPr="003B4362">
        <w:rPr>
          <w:szCs w:val="24"/>
        </w:rPr>
        <w:t>by</w:t>
      </w:r>
      <w:r w:rsidR="00301A81" w:rsidRPr="003B4362">
        <w:rPr>
          <w:szCs w:val="24"/>
        </w:rPr>
        <w:t xml:space="preserve"> October 16, 2024, except as otherwise required by Section 611.351, </w:t>
      </w:r>
      <w:r w:rsidR="00806A1E" w:rsidRPr="003B4362">
        <w:rPr>
          <w:szCs w:val="24"/>
        </w:rPr>
        <w:t>611</w:t>
      </w:r>
      <w:r w:rsidR="00301A81" w:rsidRPr="003B4362">
        <w:rPr>
          <w:szCs w:val="24"/>
        </w:rPr>
        <w:t>.354, 611.</w:t>
      </w:r>
      <w:r w:rsidR="00806A1E" w:rsidRPr="003B4362">
        <w:rPr>
          <w:szCs w:val="24"/>
        </w:rPr>
        <w:t>355</w:t>
      </w:r>
      <w:r w:rsidR="00301A81" w:rsidRPr="003B4362">
        <w:rPr>
          <w:szCs w:val="24"/>
        </w:rPr>
        <w:t>, 611.</w:t>
      </w:r>
      <w:r w:rsidR="00806A1E" w:rsidRPr="003B4362">
        <w:rPr>
          <w:szCs w:val="24"/>
        </w:rPr>
        <w:t>356</w:t>
      </w:r>
      <w:r w:rsidR="00301A81" w:rsidRPr="003B4362">
        <w:rPr>
          <w:szCs w:val="24"/>
        </w:rPr>
        <w:t>, or 611.360.</w:t>
      </w:r>
    </w:p>
    <w:p w14:paraId="09A29B2A" w14:textId="62ADD284" w:rsidR="00133928" w:rsidRPr="003B4362" w:rsidRDefault="00133928" w:rsidP="00133928">
      <w:pPr>
        <w:spacing w:before="240" w:after="240"/>
        <w:ind w:left="2880" w:hanging="720"/>
        <w:rPr>
          <w:rFonts w:eastAsia="Calibri"/>
        </w:rPr>
      </w:pPr>
      <w:r w:rsidRPr="003B4362">
        <w:rPr>
          <w:rFonts w:eastAsia="Calibri"/>
        </w:rPr>
        <w:t>B)</w:t>
      </w:r>
      <w:r w:rsidRPr="003B4362">
        <w:rPr>
          <w:rFonts w:eastAsia="Calibri"/>
        </w:rPr>
        <w:tab/>
      </w:r>
      <w:r w:rsidR="00876298" w:rsidRPr="003B4362">
        <w:rPr>
          <w:szCs w:val="24"/>
        </w:rPr>
        <w:t>If the Agency issued a SEP before December 16, 2021, that expires on or after October 16, 2024, and the SEP exempts a supplier under any rule in former Subpart G (now redesignated Subpart AG), the supplier must comply with this Subpart G after the SEP expires</w:t>
      </w:r>
      <w:bookmarkStart w:id="659" w:name="_Hlk136416378"/>
      <w:r w:rsidR="00876298" w:rsidRPr="003B4362">
        <w:rPr>
          <w:szCs w:val="24"/>
        </w:rPr>
        <w:t>, regardless of subsection (a)(1)(A).  If the SEP expires before October 16, 2024, the supplier must comply with this Subpart G as required by subsection (a)(1)(A)</w:t>
      </w:r>
      <w:bookmarkEnd w:id="659"/>
      <w:r w:rsidR="00876298" w:rsidRPr="003B4362">
        <w:rPr>
          <w:szCs w:val="24"/>
        </w:rPr>
        <w:t>.</w:t>
      </w:r>
    </w:p>
    <w:p w14:paraId="3CA1C4D8" w14:textId="007B63FF" w:rsidR="00DE04B8" w:rsidRPr="003B4362" w:rsidRDefault="005A11AB" w:rsidP="00133928">
      <w:pPr>
        <w:spacing w:before="240" w:after="240"/>
        <w:ind w:left="2880" w:hanging="720"/>
        <w:rPr>
          <w:rFonts w:eastAsia="Calibri"/>
        </w:rPr>
      </w:pPr>
      <w:bookmarkStart w:id="660" w:name="_Hlk115718213"/>
      <w:r w:rsidRPr="003B4362">
        <w:rPr>
          <w:rFonts w:eastAsia="Calibri"/>
        </w:rPr>
        <w:t>C</w:t>
      </w:r>
      <w:r w:rsidR="00DE04B8" w:rsidRPr="003B4362">
        <w:rPr>
          <w:rFonts w:eastAsia="Calibri"/>
        </w:rPr>
        <w:t>)</w:t>
      </w:r>
      <w:r w:rsidR="00DE04B8" w:rsidRPr="003B4362">
        <w:rPr>
          <w:rFonts w:eastAsia="Calibri"/>
        </w:rPr>
        <w:tab/>
      </w:r>
      <w:r w:rsidR="00476CF2" w:rsidRPr="003B4362">
        <w:rPr>
          <w:szCs w:val="24"/>
        </w:rPr>
        <w:t>The Agency may issue a SEP requiring a supplier to comply with specified rules in this Subpart G before subsection (a)(1)(A) or (a)(1)(B) otherwise requires or as necessary to address issues in a notice the Agency received from USEPA under 40 CFR 142.23 or 142.30.</w:t>
      </w:r>
      <w:r w:rsidR="00240CA6" w:rsidRPr="003B4362">
        <w:rPr>
          <w:szCs w:val="24"/>
        </w:rPr>
        <w:t xml:space="preserve"> </w:t>
      </w:r>
      <w:r w:rsidR="00476CF2" w:rsidRPr="003B4362">
        <w:rPr>
          <w:szCs w:val="24"/>
        </w:rPr>
        <w:t xml:space="preserve"> The SEP must specify the rules in this Subpart G with which the supplier must comply and their counterparts in Subpart AG with which the supplier </w:t>
      </w:r>
      <w:r w:rsidR="00240CA6" w:rsidRPr="003B4362">
        <w:rPr>
          <w:szCs w:val="24"/>
        </w:rPr>
        <w:t>no longer needs to</w:t>
      </w:r>
      <w:r w:rsidR="00476CF2" w:rsidRPr="003B4362">
        <w:rPr>
          <w:szCs w:val="24"/>
        </w:rPr>
        <w:t xml:space="preserve"> comply.</w:t>
      </w:r>
      <w:r w:rsidR="00240CA6" w:rsidRPr="003B4362">
        <w:rPr>
          <w:szCs w:val="24"/>
        </w:rPr>
        <w:t xml:space="preserve"> </w:t>
      </w:r>
      <w:r w:rsidR="00476CF2" w:rsidRPr="003B4362">
        <w:rPr>
          <w:szCs w:val="24"/>
        </w:rPr>
        <w:t xml:space="preserve"> The supplier must comply with the SEP-specified Subpart G rules in lieu of their counterparts in Subpart AG.</w:t>
      </w:r>
    </w:p>
    <w:p w14:paraId="57B383F4" w14:textId="06CE0CEB" w:rsidR="00086340" w:rsidRPr="003B4362" w:rsidRDefault="00086340" w:rsidP="00086340">
      <w:pPr>
        <w:spacing w:before="240" w:after="240"/>
        <w:ind w:left="2160"/>
        <w:rPr>
          <w:rFonts w:eastAsia="Calibri"/>
        </w:rPr>
      </w:pPr>
      <w:bookmarkStart w:id="661" w:name="_Hlk115720821"/>
      <w:bookmarkEnd w:id="660"/>
      <w:r w:rsidRPr="003B4362">
        <w:rPr>
          <w:rFonts w:eastAsia="Calibri"/>
        </w:rPr>
        <w:t xml:space="preserve">BOARD NOTE:  </w:t>
      </w:r>
      <w:r w:rsidR="00A4335F" w:rsidRPr="003B4362">
        <w:rPr>
          <w:rFonts w:eastAsia="Calibri"/>
        </w:rPr>
        <w:t>This s</w:t>
      </w:r>
      <w:r w:rsidR="00F010DD" w:rsidRPr="003B4362">
        <w:rPr>
          <w:rFonts w:eastAsia="Calibri"/>
        </w:rPr>
        <w:t>ubsection (a)(1) derives from 40 CFR 141.</w:t>
      </w:r>
      <w:r w:rsidR="00253863" w:rsidRPr="003B4362">
        <w:rPr>
          <w:rFonts w:eastAsia="Calibri"/>
        </w:rPr>
        <w:t>8</w:t>
      </w:r>
      <w:r w:rsidR="00F010DD" w:rsidRPr="003B4362">
        <w:rPr>
          <w:rFonts w:eastAsia="Calibri"/>
        </w:rPr>
        <w:t xml:space="preserve">0(a).  </w:t>
      </w:r>
      <w:r w:rsidRPr="003B4362">
        <w:rPr>
          <w:rFonts w:eastAsia="Calibri"/>
        </w:rPr>
        <w:t xml:space="preserve">USEPA’s Lead and Copper Rules Revisions (LCRR) apply to all suppliers on December </w:t>
      </w:r>
      <w:r w:rsidR="002068F7" w:rsidRPr="003B4362">
        <w:rPr>
          <w:rFonts w:eastAsia="Calibri"/>
        </w:rPr>
        <w:t>16</w:t>
      </w:r>
      <w:r w:rsidRPr="003B4362">
        <w:rPr>
          <w:rFonts w:eastAsia="Calibri"/>
        </w:rPr>
        <w:t xml:space="preserve">, 2021.  </w:t>
      </w:r>
      <w:r w:rsidR="002D5FCF" w:rsidRPr="003B4362">
        <w:rPr>
          <w:rFonts w:eastAsia="Calibri"/>
        </w:rPr>
        <w:t xml:space="preserve">However, </w:t>
      </w:r>
      <w:r w:rsidRPr="003B4362">
        <w:rPr>
          <w:rFonts w:eastAsia="Calibri"/>
        </w:rPr>
        <w:t xml:space="preserve">USEPA </w:t>
      </w:r>
      <w:r w:rsidR="002D5FCF" w:rsidRPr="003B4362">
        <w:rPr>
          <w:rFonts w:eastAsia="Calibri"/>
        </w:rPr>
        <w:t>delays</w:t>
      </w:r>
      <w:r w:rsidRPr="003B4362">
        <w:rPr>
          <w:rFonts w:eastAsia="Calibri"/>
        </w:rPr>
        <w:t xml:space="preserve"> compl</w:t>
      </w:r>
      <w:r w:rsidR="002D5FCF" w:rsidRPr="003B4362">
        <w:rPr>
          <w:rFonts w:eastAsia="Calibri"/>
        </w:rPr>
        <w:t>ying</w:t>
      </w:r>
      <w:r w:rsidRPr="003B4362">
        <w:rPr>
          <w:rFonts w:eastAsia="Calibri"/>
        </w:rPr>
        <w:t xml:space="preserve"> with LCRR </w:t>
      </w:r>
      <w:r w:rsidRPr="003B4362">
        <w:rPr>
          <w:rFonts w:eastAsia="Calibri"/>
        </w:rPr>
        <w:lastRenderedPageBreak/>
        <w:t xml:space="preserve">until October 16, 2024, when any previously granted exemption expires, or as provided </w:t>
      </w:r>
      <w:r w:rsidR="00DC6BBE" w:rsidRPr="003B4362">
        <w:rPr>
          <w:rFonts w:eastAsia="Calibri"/>
        </w:rPr>
        <w:t>otherwise by</w:t>
      </w:r>
      <w:r w:rsidRPr="003B4362">
        <w:rPr>
          <w:rFonts w:eastAsia="Calibri"/>
        </w:rPr>
        <w:t xml:space="preserve"> </w:t>
      </w:r>
      <w:r w:rsidR="002D5FCF" w:rsidRPr="003B4362">
        <w:rPr>
          <w:rFonts w:eastAsia="Calibri"/>
        </w:rPr>
        <w:t>any of several specified rules</w:t>
      </w:r>
      <w:r w:rsidR="00DC6BBE" w:rsidRPr="003B4362">
        <w:rPr>
          <w:rFonts w:eastAsia="Calibri"/>
        </w:rPr>
        <w:t xml:space="preserve"> for corrosion control treatment; lead service line replacement; public education, supplemental monitoring, and mitigation; monitoring; and reporting (corresponding with 35 Ill. Adm. Code 611.351, 622.354, 611.3</w:t>
      </w:r>
      <w:r w:rsidR="003D46C7" w:rsidRPr="003B4362">
        <w:rPr>
          <w:rFonts w:eastAsia="Calibri"/>
        </w:rPr>
        <w:t>5</w:t>
      </w:r>
      <w:r w:rsidR="00DC6BBE" w:rsidRPr="003B4362">
        <w:rPr>
          <w:rFonts w:eastAsia="Calibri"/>
        </w:rPr>
        <w:t>5, 611.3</w:t>
      </w:r>
      <w:r w:rsidR="003D46C7" w:rsidRPr="003B4362">
        <w:rPr>
          <w:rFonts w:eastAsia="Calibri"/>
        </w:rPr>
        <w:t>5</w:t>
      </w:r>
      <w:r w:rsidR="00DC6BBE" w:rsidRPr="003B4362">
        <w:rPr>
          <w:rFonts w:eastAsia="Calibri"/>
        </w:rPr>
        <w:t>6, or 611.360</w:t>
      </w:r>
      <w:r w:rsidR="00040A34" w:rsidRPr="003B4362">
        <w:rPr>
          <w:rFonts w:eastAsia="Calibri"/>
        </w:rPr>
        <w:t>)</w:t>
      </w:r>
      <w:r w:rsidR="002D5FCF" w:rsidRPr="003B4362">
        <w:rPr>
          <w:rFonts w:eastAsia="Calibri"/>
        </w:rPr>
        <w:t>.</w:t>
      </w:r>
      <w:r w:rsidR="00DC6BBE" w:rsidRPr="003B4362">
        <w:rPr>
          <w:rFonts w:eastAsia="Calibri"/>
        </w:rPr>
        <w:t xml:space="preserve">  Until </w:t>
      </w:r>
      <w:r w:rsidR="00040A34" w:rsidRPr="003B4362">
        <w:rPr>
          <w:rFonts w:eastAsia="Calibri"/>
        </w:rPr>
        <w:t>a supplier must comply with the LCRR</w:t>
      </w:r>
      <w:r w:rsidR="00DE04B8" w:rsidRPr="003B4362">
        <w:rPr>
          <w:rFonts w:eastAsia="Calibri"/>
        </w:rPr>
        <w:t>,</w:t>
      </w:r>
      <w:r w:rsidR="00DC6BBE" w:rsidRPr="003B4362">
        <w:rPr>
          <w:rFonts w:eastAsia="Calibri"/>
        </w:rPr>
        <w:t xml:space="preserve"> </w:t>
      </w:r>
      <w:r w:rsidR="00DE04B8" w:rsidRPr="003B4362">
        <w:rPr>
          <w:rFonts w:eastAsia="Calibri"/>
        </w:rPr>
        <w:t>USEPA requires th</w:t>
      </w:r>
      <w:r w:rsidR="00040A34" w:rsidRPr="003B4362">
        <w:rPr>
          <w:rFonts w:eastAsia="Calibri"/>
        </w:rPr>
        <w:t>e</w:t>
      </w:r>
      <w:r w:rsidR="00DE04B8" w:rsidRPr="003B4362">
        <w:rPr>
          <w:rFonts w:eastAsia="Calibri"/>
        </w:rPr>
        <w:t xml:space="preserve"> supplier</w:t>
      </w:r>
      <w:r w:rsidR="00040A34" w:rsidRPr="003B4362">
        <w:rPr>
          <w:rFonts w:eastAsia="Calibri"/>
        </w:rPr>
        <w:t xml:space="preserve"> to</w:t>
      </w:r>
      <w:r w:rsidR="00DE04B8" w:rsidRPr="003B4362">
        <w:rPr>
          <w:rFonts w:eastAsia="Calibri"/>
        </w:rPr>
        <w:t xml:space="preserve"> comply with subpart I of 40 CFR 141 (2020).</w:t>
      </w:r>
      <w:r w:rsidR="00DC6BBE" w:rsidRPr="003B4362">
        <w:rPr>
          <w:rFonts w:eastAsia="Calibri"/>
        </w:rPr>
        <w:t xml:space="preserve"> </w:t>
      </w:r>
      <w:r w:rsidR="00DE04B8" w:rsidRPr="003B4362">
        <w:rPr>
          <w:rFonts w:eastAsia="Calibri"/>
        </w:rPr>
        <w:t xml:space="preserve"> </w:t>
      </w:r>
      <w:r w:rsidR="00427947" w:rsidRPr="003B4362">
        <w:rPr>
          <w:rFonts w:eastAsia="Calibri"/>
        </w:rPr>
        <w:t>This requires the Board to codify two versions of the Lead and Copper Rule:  one in Subpart AG, representing the Lead and Copper Rules prior to the LCRR (40 CFR 141 (2020)), and the other in this Subpart G, representing 40 CFR 141 incorporating the LCRR.</w:t>
      </w:r>
    </w:p>
    <w:bookmarkEnd w:id="661"/>
    <w:p w14:paraId="7D9992CB" w14:textId="5169660E"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Scope.  This Subpart G establishes a treatment technique including  requirements for corrosion control treatment, source water treatment, </w:t>
      </w:r>
      <w:r w:rsidR="00573151" w:rsidRPr="003B4362">
        <w:rPr>
          <w:szCs w:val="24"/>
        </w:rPr>
        <w:t xml:space="preserve">lead service line inventory, </w:t>
      </w:r>
      <w:r w:rsidR="00602172" w:rsidRPr="003B4362">
        <w:rPr>
          <w:szCs w:val="24"/>
        </w:rPr>
        <w:t xml:space="preserve">replacing </w:t>
      </w:r>
      <w:r w:rsidRPr="003B4362">
        <w:rPr>
          <w:rFonts w:eastAsia="Calibri"/>
        </w:rPr>
        <w:t>lead service</w:t>
      </w:r>
      <w:r w:rsidR="00602172" w:rsidRPr="003B4362">
        <w:rPr>
          <w:rFonts w:eastAsia="Calibri"/>
        </w:rPr>
        <w:t xml:space="preserve"> lines</w:t>
      </w:r>
      <w:r w:rsidRPr="003B4362">
        <w:rPr>
          <w:rFonts w:eastAsia="Calibri"/>
        </w:rPr>
        <w:t xml:space="preserve">, </w:t>
      </w:r>
      <w:r w:rsidR="00573151" w:rsidRPr="003B4362">
        <w:rPr>
          <w:szCs w:val="24"/>
        </w:rPr>
        <w:t xml:space="preserve">public notice, monitoring for lead in schools and child care facilities, </w:t>
      </w:r>
      <w:r w:rsidRPr="003B4362">
        <w:rPr>
          <w:rFonts w:eastAsia="Calibri"/>
        </w:rPr>
        <w:t>and public education.  L</w:t>
      </w:r>
      <w:bookmarkStart w:id="662" w:name="_Hlk116409332"/>
      <w:r w:rsidRPr="003B4362">
        <w:rPr>
          <w:rFonts w:eastAsia="Calibri"/>
        </w:rPr>
        <w:t xml:space="preserve">ead and copper action levels </w:t>
      </w:r>
      <w:r w:rsidR="00E00D96" w:rsidRPr="003B4362">
        <w:rPr>
          <w:rFonts w:eastAsia="Calibri"/>
        </w:rPr>
        <w:t xml:space="preserve">and the lead trigger level </w:t>
      </w:r>
      <w:r w:rsidRPr="003B4362">
        <w:rPr>
          <w:rFonts w:eastAsia="Calibri"/>
        </w:rPr>
        <w:t xml:space="preserve">in samples collected at consumers’ taps </w:t>
      </w:r>
      <w:r w:rsidR="00EB6A34" w:rsidRPr="003B4362">
        <w:rPr>
          <w:rFonts w:eastAsia="Calibri"/>
        </w:rPr>
        <w:t>prompt</w:t>
      </w:r>
      <w:r w:rsidRPr="003B4362">
        <w:rPr>
          <w:rFonts w:eastAsia="Calibri"/>
        </w:rPr>
        <w:t xml:space="preserve"> these requirements</w:t>
      </w:r>
      <w:bookmarkEnd w:id="662"/>
      <w:r w:rsidRPr="003B4362">
        <w:rPr>
          <w:rFonts w:eastAsia="Calibri"/>
        </w:rPr>
        <w:t>.</w:t>
      </w:r>
      <w:r w:rsidR="00EB6A34" w:rsidRPr="003B4362">
        <w:rPr>
          <w:szCs w:val="24"/>
        </w:rPr>
        <w:t xml:space="preserve">  T</w:t>
      </w:r>
      <w:bookmarkStart w:id="663" w:name="_Hlk116409470"/>
      <w:bookmarkStart w:id="664" w:name="_Hlk116410046"/>
      <w:r w:rsidR="00EB6A34" w:rsidRPr="003B4362">
        <w:rPr>
          <w:szCs w:val="24"/>
        </w:rPr>
        <w:t xml:space="preserve">he </w:t>
      </w:r>
      <w:r w:rsidR="00960E64" w:rsidRPr="003B4362">
        <w:rPr>
          <w:szCs w:val="24"/>
        </w:rPr>
        <w:t xml:space="preserve">rules in this Subpart G requiring lead </w:t>
      </w:r>
      <w:r w:rsidR="00EB6A34" w:rsidRPr="003B4362">
        <w:rPr>
          <w:szCs w:val="24"/>
        </w:rPr>
        <w:t xml:space="preserve">sampling in schools and child care facilities and public education apply to all </w:t>
      </w:r>
      <w:r w:rsidR="00960E64" w:rsidRPr="003B4362">
        <w:rPr>
          <w:szCs w:val="24"/>
        </w:rPr>
        <w:t>CWS</w:t>
      </w:r>
      <w:bookmarkEnd w:id="663"/>
      <w:bookmarkEnd w:id="664"/>
      <w:r w:rsidR="00EB6A34" w:rsidRPr="003B4362">
        <w:rPr>
          <w:szCs w:val="24"/>
        </w:rPr>
        <w:t>.</w:t>
      </w:r>
    </w:p>
    <w:p w14:paraId="07A17667" w14:textId="7E2E7A43" w:rsidR="005451CE" w:rsidRPr="003B4362" w:rsidRDefault="005451CE" w:rsidP="005451CE">
      <w:pPr>
        <w:spacing w:before="240" w:after="240"/>
        <w:ind w:left="1440" w:hanging="720"/>
        <w:rPr>
          <w:rFonts w:eastAsia="Calibri"/>
        </w:rPr>
      </w:pPr>
      <w:r w:rsidRPr="003B4362">
        <w:rPr>
          <w:rFonts w:eastAsia="Calibri"/>
        </w:rPr>
        <w:t>b)</w:t>
      </w:r>
      <w:r w:rsidRPr="003B4362">
        <w:rPr>
          <w:rFonts w:eastAsia="Calibri"/>
        </w:rPr>
        <w:tab/>
        <w:t>Definitions.  For this Subpart G only, this subsection (b) defines certain terms :</w:t>
      </w:r>
    </w:p>
    <w:p w14:paraId="5847FC3F" w14:textId="7A95EF92" w:rsidR="005451CE" w:rsidRPr="003B4362" w:rsidRDefault="005451CE" w:rsidP="005451CE">
      <w:pPr>
        <w:spacing w:before="240" w:after="240"/>
        <w:ind w:left="2160"/>
        <w:rPr>
          <w:rFonts w:eastAsia="Calibri"/>
        </w:rPr>
      </w:pPr>
      <w:r w:rsidRPr="003B4362">
        <w:rPr>
          <w:rFonts w:eastAsia="Calibri"/>
        </w:rPr>
        <w:t>“Action level” means the computed concentration of lead or copper in water under subsection (c) determining applicability of some treatment requirements under this Subpart G.  The action level for lead is 0.015 mg/</w:t>
      </w:r>
      <w:r w:rsidR="00730055" w:rsidRPr="003B4362">
        <w:t xml:space="preserve"> L</w:t>
      </w:r>
      <w:r w:rsidR="00E108B8" w:rsidRPr="003B4362">
        <w:rPr>
          <w:rFonts w:eastAsia="Calibri"/>
        </w:rPr>
        <w:t xml:space="preserve">, and the </w:t>
      </w:r>
      <w:r w:rsidRPr="003B4362">
        <w:rPr>
          <w:rFonts w:eastAsia="Calibri"/>
        </w:rPr>
        <w:t>action level for copper is 1.3 mg/</w:t>
      </w:r>
      <w:r w:rsidR="00730055" w:rsidRPr="003B4362">
        <w:t xml:space="preserve"> L</w:t>
      </w:r>
      <w:r w:rsidRPr="003B4362">
        <w:rPr>
          <w:rFonts w:eastAsia="Calibri"/>
        </w:rPr>
        <w:t>.</w:t>
      </w:r>
    </w:p>
    <w:p w14:paraId="5CA4EAE1" w14:textId="77777777"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“Aerator” means the device embedded in a water faucet to enhance air flow in the water stream and prevent splashing.</w:t>
      </w:r>
    </w:p>
    <w:p w14:paraId="3DD3AC74" w14:textId="4FBA13F3" w:rsidR="005451CE" w:rsidRPr="003B4362" w:rsidRDefault="005451CE" w:rsidP="005451CE">
      <w:pPr>
        <w:autoSpaceDE w:val="0"/>
        <w:autoSpaceDN w:val="0"/>
        <w:adjustRightInd w:val="0"/>
        <w:spacing w:before="240"/>
        <w:ind w:left="2160"/>
        <w:rPr>
          <w:rFonts w:eastAsia="Calibri"/>
          <w:szCs w:val="24"/>
        </w:rPr>
      </w:pPr>
      <w:r w:rsidRPr="003B4362">
        <w:rPr>
          <w:rFonts w:eastAsia="Calibri"/>
          <w:szCs w:val="24"/>
        </w:rPr>
        <w:t xml:space="preserve">“Child care facility” means </w:t>
      </w:r>
      <w:bookmarkStart w:id="665" w:name="_Hlk128591115"/>
      <w:r w:rsidRPr="003B4362">
        <w:rPr>
          <w:rFonts w:eastAsia="Calibri"/>
          <w:szCs w:val="24"/>
        </w:rPr>
        <w:t>a</w:t>
      </w:r>
      <w:r w:rsidR="00253863" w:rsidRPr="003B4362">
        <w:rPr>
          <w:rFonts w:eastAsia="Calibri"/>
          <w:szCs w:val="24"/>
        </w:rPr>
        <w:t xml:space="preserve"> facility providing</w:t>
      </w:r>
      <w:r w:rsidRPr="003B4362">
        <w:rPr>
          <w:rFonts w:eastAsia="Calibri"/>
          <w:szCs w:val="24"/>
        </w:rPr>
        <w:t xml:space="preserve"> child care, day care, or early learning services to children</w:t>
      </w:r>
      <w:bookmarkEnd w:id="665"/>
      <w:r w:rsidRPr="003B4362">
        <w:rPr>
          <w:rFonts w:eastAsia="Calibri"/>
          <w:szCs w:val="24"/>
        </w:rPr>
        <w:t xml:space="preserve"> </w:t>
      </w:r>
      <w:bookmarkStart w:id="666" w:name="_Hlk128591182"/>
      <w:r w:rsidR="00253863" w:rsidRPr="003B4362">
        <w:rPr>
          <w:rFonts w:eastAsia="Calibri"/>
          <w:szCs w:val="24"/>
        </w:rPr>
        <w:t>under a</w:t>
      </w:r>
      <w:r w:rsidRPr="003B4362">
        <w:rPr>
          <w:rFonts w:eastAsia="Calibri"/>
          <w:szCs w:val="24"/>
        </w:rPr>
        <w:t xml:space="preserve"> license</w:t>
      </w:r>
      <w:r w:rsidR="00DA4DB0" w:rsidRPr="003B4362">
        <w:rPr>
          <w:rFonts w:eastAsia="Calibri"/>
          <w:szCs w:val="24"/>
        </w:rPr>
        <w:t xml:space="preserve"> issued</w:t>
      </w:r>
      <w:r w:rsidRPr="003B4362">
        <w:rPr>
          <w:rFonts w:eastAsia="Calibri"/>
          <w:szCs w:val="24"/>
        </w:rPr>
        <w:t xml:space="preserve"> by a</w:t>
      </w:r>
      <w:r w:rsidR="002A7BD4" w:rsidRPr="003B4362">
        <w:rPr>
          <w:rFonts w:eastAsia="Calibri"/>
          <w:szCs w:val="24"/>
        </w:rPr>
        <w:t xml:space="preserve"> </w:t>
      </w:r>
      <w:r w:rsidRPr="003B4362">
        <w:rPr>
          <w:rFonts w:eastAsia="Calibri"/>
          <w:szCs w:val="24"/>
        </w:rPr>
        <w:t>State or local agency</w:t>
      </w:r>
      <w:bookmarkEnd w:id="666"/>
      <w:r w:rsidRPr="003B4362">
        <w:rPr>
          <w:rFonts w:eastAsia="Calibri"/>
          <w:szCs w:val="24"/>
        </w:rPr>
        <w:t>.</w:t>
      </w:r>
    </w:p>
    <w:p w14:paraId="7C8BBB7F" w14:textId="77777777" w:rsidR="005451CE" w:rsidRPr="003B4362" w:rsidRDefault="005451CE" w:rsidP="005451CE">
      <w:pPr>
        <w:autoSpaceDE w:val="0"/>
        <w:autoSpaceDN w:val="0"/>
        <w:adjustRightInd w:val="0"/>
        <w:spacing w:after="240"/>
        <w:ind w:left="2160"/>
        <w:rPr>
          <w:rFonts w:eastAsia="Calibri"/>
          <w:szCs w:val="24"/>
        </w:rPr>
      </w:pPr>
      <w:r w:rsidRPr="003B4362">
        <w:rPr>
          <w:rFonts w:eastAsia="Calibri"/>
          <w:szCs w:val="24"/>
        </w:rPr>
        <w:t>BOARD NOTE:  See, e.g., the Child Care Act of 1969 [225 ILCS 10].</w:t>
      </w:r>
    </w:p>
    <w:p w14:paraId="17A503C8" w14:textId="6514AC5F" w:rsidR="005451CE" w:rsidRPr="003B4362" w:rsidRDefault="005451CE" w:rsidP="005451CE">
      <w:pPr>
        <w:spacing w:before="240" w:after="240"/>
        <w:ind w:left="2160"/>
        <w:rPr>
          <w:rFonts w:eastAsia="Calibri"/>
        </w:rPr>
      </w:pPr>
      <w:r w:rsidRPr="003B4362">
        <w:rPr>
          <w:rFonts w:eastAsia="Calibri"/>
        </w:rPr>
        <w:t xml:space="preserve">“Corrosion inhibitor” means </w:t>
      </w:r>
      <w:bookmarkStart w:id="667" w:name="_Hlk113880049"/>
      <w:r w:rsidRPr="003B4362">
        <w:rPr>
          <w:rFonts w:eastAsia="Calibri"/>
        </w:rPr>
        <w:t>a substance that can reduce corrosivity</w:t>
      </w:r>
      <w:bookmarkEnd w:id="667"/>
      <w:r w:rsidRPr="003B4362">
        <w:rPr>
          <w:rFonts w:eastAsia="Calibri"/>
        </w:rPr>
        <w:t xml:space="preserve"> of water toward metal plumbing materials, especially lead and copper, by forming a protective film on the interior surface of those materials.</w:t>
      </w:r>
    </w:p>
    <w:p w14:paraId="308EC0E3" w14:textId="6D1401A7" w:rsidR="005451CE" w:rsidRPr="003B4362" w:rsidRDefault="005451CE" w:rsidP="005451CE">
      <w:pPr>
        <w:spacing w:before="240" w:after="240"/>
        <w:ind w:left="2160"/>
        <w:rPr>
          <w:rFonts w:eastAsia="Calibri"/>
        </w:rPr>
      </w:pPr>
      <w:r w:rsidRPr="003B4362">
        <w:rPr>
          <w:rFonts w:eastAsia="Calibri"/>
        </w:rPr>
        <w:t xml:space="preserve">“Effective corrosion inhibitor residual” means a </w:t>
      </w:r>
      <w:bookmarkStart w:id="668" w:name="_Hlk113880187"/>
      <w:r w:rsidRPr="003B4362">
        <w:rPr>
          <w:rFonts w:eastAsia="Calibri"/>
        </w:rPr>
        <w:t>concentration of corrosion inhibitor</w:t>
      </w:r>
      <w:bookmarkEnd w:id="668"/>
      <w:r w:rsidRPr="003B4362">
        <w:rPr>
          <w:rFonts w:eastAsia="Calibri"/>
        </w:rPr>
        <w:t xml:space="preserve"> in the drinking water sufficient to form a passivating film on the </w:t>
      </w:r>
      <w:bookmarkStart w:id="669" w:name="_Hlk113880250"/>
      <w:r w:rsidRPr="003B4362">
        <w:rPr>
          <w:rFonts w:eastAsia="Calibri"/>
        </w:rPr>
        <w:t>interior walls of pipe</w:t>
      </w:r>
      <w:bookmarkEnd w:id="669"/>
      <w:r w:rsidRPr="003B4362">
        <w:rPr>
          <w:rFonts w:eastAsia="Calibri"/>
        </w:rPr>
        <w:t>.</w:t>
      </w:r>
    </w:p>
    <w:p w14:paraId="6F8A84E7" w14:textId="7A094436"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lastRenderedPageBreak/>
        <w:t xml:space="preserve">“Elementary school” means a school </w:t>
      </w:r>
      <w:r w:rsidR="00730055" w:rsidRPr="003B4362">
        <w:rPr>
          <w:rFonts w:eastAsia="Calibri"/>
          <w:szCs w:val="24"/>
        </w:rPr>
        <w:t xml:space="preserve">classified by </w:t>
      </w:r>
      <w:r w:rsidRPr="003B4362">
        <w:rPr>
          <w:rFonts w:eastAsia="Calibri"/>
          <w:szCs w:val="24"/>
        </w:rPr>
        <w:t xml:space="preserve">State and local practice as elementary </w:t>
      </w:r>
      <w:r w:rsidR="00DA4DB0" w:rsidRPr="003B4362">
        <w:rPr>
          <w:rFonts w:eastAsia="Calibri"/>
          <w:szCs w:val="24"/>
        </w:rPr>
        <w:t xml:space="preserve">and </w:t>
      </w:r>
      <w:r w:rsidRPr="003B4362">
        <w:rPr>
          <w:rFonts w:eastAsia="Calibri"/>
          <w:szCs w:val="24"/>
        </w:rPr>
        <w:t xml:space="preserve">comprising any span of grades (including pre-school) </w:t>
      </w:r>
      <w:r w:rsidR="00730055" w:rsidRPr="003B4362">
        <w:rPr>
          <w:rFonts w:eastAsia="Calibri"/>
          <w:szCs w:val="24"/>
        </w:rPr>
        <w:t>through</w:t>
      </w:r>
      <w:r w:rsidRPr="003B4362">
        <w:rPr>
          <w:rFonts w:eastAsia="Calibri"/>
          <w:szCs w:val="24"/>
        </w:rPr>
        <w:t xml:space="preserve"> grade 8.</w:t>
      </w:r>
    </w:p>
    <w:p w14:paraId="301973DA" w14:textId="2A9275EC" w:rsidR="005451CE" w:rsidRPr="003B4362" w:rsidRDefault="005451CE" w:rsidP="005451CE">
      <w:pPr>
        <w:spacing w:before="240" w:after="240"/>
        <w:ind w:left="2160"/>
        <w:rPr>
          <w:rFonts w:eastAsia="Calibri"/>
        </w:rPr>
      </w:pPr>
      <w:r w:rsidRPr="003B4362">
        <w:rPr>
          <w:rFonts w:eastAsia="Calibri"/>
        </w:rPr>
        <w:t>“Exceed</w:t>
      </w:r>
      <w:r w:rsidRPr="003B4362">
        <w:rPr>
          <w:rFonts w:eastAsia="Calibri"/>
          <w:szCs w:val="16"/>
        </w:rPr>
        <w:t>” or “exceedance”,</w:t>
      </w:r>
      <w:r w:rsidRPr="003B4362">
        <w:rPr>
          <w:rFonts w:eastAsia="Calibri"/>
        </w:rPr>
        <w:t xml:space="preserve"> </w:t>
      </w:r>
      <w:bookmarkStart w:id="670" w:name="_Hlk113880980"/>
      <w:r w:rsidRPr="003B4362">
        <w:rPr>
          <w:rFonts w:eastAsia="Calibri"/>
        </w:rPr>
        <w:t>relative to either the lead or the copper action level</w:t>
      </w:r>
      <w:bookmarkEnd w:id="670"/>
      <w:r w:rsidRPr="003B4362">
        <w:rPr>
          <w:rFonts w:eastAsia="Calibri"/>
        </w:rPr>
        <w:t xml:space="preserve">, means that the 90th percentile </w:t>
      </w:r>
      <w:bookmarkStart w:id="671" w:name="_Hlk113881071"/>
      <w:r w:rsidR="00B07D02" w:rsidRPr="003B4362">
        <w:rPr>
          <w:rFonts w:eastAsia="Calibri"/>
        </w:rPr>
        <w:t xml:space="preserve">concentration </w:t>
      </w:r>
      <w:r w:rsidRPr="003B4362">
        <w:rPr>
          <w:rFonts w:eastAsia="Calibri"/>
        </w:rPr>
        <w:t>of the samples the supplier collected</w:t>
      </w:r>
      <w:bookmarkEnd w:id="671"/>
      <w:r w:rsidRPr="003B4362">
        <w:rPr>
          <w:rFonts w:eastAsia="Calibri"/>
        </w:rPr>
        <w:t xml:space="preserve"> during </w:t>
      </w:r>
      <w:bookmarkStart w:id="672" w:name="_Hlk128062604"/>
      <w:bookmarkStart w:id="673" w:name="_Hlk128062490"/>
      <w:r w:rsidRPr="003B4362">
        <w:rPr>
          <w:rFonts w:eastAsia="Calibri"/>
        </w:rPr>
        <w:t xml:space="preserve">a six-month </w:t>
      </w:r>
      <w:r w:rsidR="00475048" w:rsidRPr="003B4362">
        <w:rPr>
          <w:rFonts w:eastAsia="Calibri"/>
        </w:rPr>
        <w:t xml:space="preserve">tap </w:t>
      </w:r>
      <w:r w:rsidRPr="003B4362">
        <w:rPr>
          <w:rFonts w:eastAsia="Calibri"/>
        </w:rPr>
        <w:t xml:space="preserve">monitoring </w:t>
      </w:r>
      <w:r w:rsidR="00475048" w:rsidRPr="003B4362">
        <w:rPr>
          <w:rFonts w:eastAsia="Calibri"/>
        </w:rPr>
        <w:t>cycle</w:t>
      </w:r>
      <w:bookmarkEnd w:id="672"/>
      <w:r w:rsidR="00475048" w:rsidRPr="003B4362">
        <w:rPr>
          <w:rFonts w:eastAsia="Calibri"/>
        </w:rPr>
        <w:t xml:space="preserve"> </w:t>
      </w:r>
      <w:bookmarkEnd w:id="673"/>
      <w:r w:rsidRPr="003B4362">
        <w:rPr>
          <w:rFonts w:eastAsia="Calibri"/>
        </w:rPr>
        <w:t xml:space="preserve">is </w:t>
      </w:r>
      <w:bookmarkStart w:id="674" w:name="_Hlk113881249"/>
      <w:r w:rsidRPr="003B4362">
        <w:rPr>
          <w:rFonts w:eastAsia="Calibri"/>
        </w:rPr>
        <w:t>greater than the lead or copper action level</w:t>
      </w:r>
      <w:bookmarkEnd w:id="674"/>
      <w:r w:rsidRPr="003B4362">
        <w:rPr>
          <w:rFonts w:eastAsia="Calibri"/>
        </w:rPr>
        <w:t>.</w:t>
      </w:r>
    </w:p>
    <w:p w14:paraId="5B7E3541" w14:textId="10FDC2C3"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“Fifth</w:t>
      </w:r>
      <w:r w:rsidR="00AA1D39" w:rsidRPr="003B4362">
        <w:rPr>
          <w:rFonts w:eastAsia="Calibri"/>
          <w:szCs w:val="24"/>
        </w:rPr>
        <w:t>-</w:t>
      </w:r>
      <w:r w:rsidRPr="003B4362">
        <w:rPr>
          <w:rFonts w:eastAsia="Calibri"/>
          <w:szCs w:val="24"/>
        </w:rPr>
        <w:t xml:space="preserve">liter </w:t>
      </w:r>
      <w:r w:rsidR="00595D5A" w:rsidRPr="003B4362">
        <w:rPr>
          <w:rFonts w:eastAsia="Calibri"/>
          <w:szCs w:val="24"/>
        </w:rPr>
        <w:t xml:space="preserve">tap </w:t>
      </w:r>
      <w:r w:rsidRPr="003B4362">
        <w:rPr>
          <w:rFonts w:eastAsia="Calibri"/>
          <w:szCs w:val="24"/>
        </w:rPr>
        <w:t>sample” means a one-liter tap water sample a supplier collects under Section 611.356(b).</w:t>
      </w:r>
    </w:p>
    <w:p w14:paraId="13CDEE42" w14:textId="7DEDCEEC"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 xml:space="preserve">“Find-and-fix” means the requirements under this Subpart G that water systems must perform at every tap sampling site yielding a lead result above 15 </w:t>
      </w:r>
      <w:r w:rsidR="00870D11" w:rsidRPr="003B4362">
        <w:rPr>
          <w:rFonts w:eastAsia="Calibri"/>
          <w:szCs w:val="24"/>
        </w:rPr>
        <w:t>µg</w:t>
      </w:r>
      <w:r w:rsidRPr="003B4362">
        <w:rPr>
          <w:rFonts w:eastAsia="Calibri"/>
          <w:szCs w:val="24"/>
        </w:rPr>
        <w:t>/</w:t>
      </w:r>
      <w:r w:rsidR="00730055" w:rsidRPr="003B4362">
        <w:t xml:space="preserve"> L</w:t>
      </w:r>
      <w:r w:rsidRPr="003B4362">
        <w:rPr>
          <w:rFonts w:eastAsia="Calibri"/>
          <w:szCs w:val="24"/>
        </w:rPr>
        <w:t>.</w:t>
      </w:r>
    </w:p>
    <w:p w14:paraId="5E3A262D" w14:textId="339C224F" w:rsidR="005451CE" w:rsidRPr="003B4362" w:rsidRDefault="005451CE" w:rsidP="005451CE">
      <w:pPr>
        <w:spacing w:before="240" w:after="240"/>
        <w:ind w:left="2160"/>
        <w:rPr>
          <w:rFonts w:eastAsia="Calibri"/>
          <w:szCs w:val="24"/>
        </w:rPr>
      </w:pPr>
      <w:r w:rsidRPr="003B4362">
        <w:rPr>
          <w:rFonts w:eastAsia="Calibri"/>
        </w:rPr>
        <w:t>“First</w:t>
      </w:r>
      <w:r w:rsidR="00DD6E76" w:rsidRPr="003B4362">
        <w:rPr>
          <w:rFonts w:eastAsia="Calibri"/>
        </w:rPr>
        <w:t>-</w:t>
      </w:r>
      <w:r w:rsidRPr="003B4362">
        <w:rPr>
          <w:rFonts w:eastAsia="Calibri"/>
        </w:rPr>
        <w:t xml:space="preserve">draw </w:t>
      </w:r>
      <w:r w:rsidR="00DD6E76" w:rsidRPr="003B4362">
        <w:rPr>
          <w:rFonts w:eastAsia="Calibri"/>
        </w:rPr>
        <w:t xml:space="preserve">tap </w:t>
      </w:r>
      <w:r w:rsidRPr="003B4362">
        <w:rPr>
          <w:rFonts w:eastAsia="Calibri"/>
        </w:rPr>
        <w:t xml:space="preserve">sample” means the first one-liter sample of tap water </w:t>
      </w:r>
      <w:bookmarkStart w:id="675" w:name="_Hlk113882531"/>
      <w:r w:rsidRPr="003B4362">
        <w:rPr>
          <w:rFonts w:eastAsia="Calibri"/>
        </w:rPr>
        <w:t>a supplier collects under Section 611.356(b)(2)</w:t>
      </w:r>
      <w:bookmarkEnd w:id="675"/>
    </w:p>
    <w:p w14:paraId="77D78222" w14:textId="7524E6C7" w:rsidR="005451CE" w:rsidRPr="003B4362" w:rsidRDefault="005451CE" w:rsidP="005451CE">
      <w:pPr>
        <w:autoSpaceDE w:val="0"/>
        <w:autoSpaceDN w:val="0"/>
        <w:adjustRightInd w:val="0"/>
        <w:spacing w:before="240" w:after="120"/>
        <w:ind w:left="2160"/>
        <w:rPr>
          <w:rFonts w:eastAsia="Calibri"/>
          <w:szCs w:val="24"/>
        </w:rPr>
      </w:pPr>
      <w:r w:rsidRPr="003B4362">
        <w:rPr>
          <w:rFonts w:eastAsia="Calibri"/>
          <w:szCs w:val="24"/>
        </w:rPr>
        <w:t xml:space="preserve">“Full lead service line replacement” means replacing a lead service line (as well as galvanized service lines requiring replacement) resulting in the entire length of the service line, regardless of service line ownership, complying with Section 611.126 at the time of replacement.  A full lead service line replacement </w:t>
      </w:r>
      <w:bookmarkStart w:id="676" w:name="_Hlk111558851"/>
      <w:r w:rsidRPr="003B4362">
        <w:rPr>
          <w:rFonts w:eastAsia="Calibri"/>
          <w:szCs w:val="24"/>
        </w:rPr>
        <w:t>includes replacing a service line having only one portion that is lead</w:t>
      </w:r>
      <w:bookmarkEnd w:id="676"/>
      <w:r w:rsidRPr="003B4362">
        <w:rPr>
          <w:rFonts w:eastAsia="Calibri"/>
          <w:szCs w:val="24"/>
        </w:rPr>
        <w:t xml:space="preserve">, </w:t>
      </w:r>
      <w:bookmarkStart w:id="677" w:name="_Hlk111559163"/>
      <w:r w:rsidR="00730055" w:rsidRPr="003B4362">
        <w:rPr>
          <w:rFonts w:eastAsia="Calibri"/>
          <w:szCs w:val="24"/>
        </w:rPr>
        <w:t>such as</w:t>
      </w:r>
      <w:r w:rsidRPr="003B4362">
        <w:rPr>
          <w:rFonts w:eastAsia="Calibri"/>
          <w:szCs w:val="24"/>
        </w:rPr>
        <w:t xml:space="preserve"> a service line previously subject to a partial lead service line replacement</w:t>
      </w:r>
      <w:bookmarkEnd w:id="677"/>
      <w:r w:rsidRPr="003B4362">
        <w:rPr>
          <w:rFonts w:eastAsia="Calibri"/>
          <w:szCs w:val="24"/>
        </w:rPr>
        <w:t xml:space="preserve">, </w:t>
      </w:r>
      <w:bookmarkStart w:id="678" w:name="_Hlk111559310"/>
      <w:r w:rsidRPr="003B4362">
        <w:rPr>
          <w:rFonts w:eastAsia="Calibri"/>
          <w:szCs w:val="24"/>
        </w:rPr>
        <w:t>as long as the entire service line complies with Section 611.126 after the replacement</w:t>
      </w:r>
      <w:bookmarkEnd w:id="678"/>
      <w:r w:rsidRPr="003B4362">
        <w:rPr>
          <w:rFonts w:eastAsia="Calibri"/>
          <w:szCs w:val="24"/>
        </w:rPr>
        <w:t>.  A full lead service line replacement requires replacing galvanized service lines downstream of a lead service line.</w:t>
      </w:r>
      <w:r w:rsidRPr="003B4362">
        <w:rPr>
          <w:rFonts w:eastAsia="Calibri"/>
          <w:i/>
          <w:iCs/>
          <w:szCs w:val="24"/>
        </w:rPr>
        <w:t xml:space="preserve">  </w:t>
      </w:r>
      <w:r w:rsidRPr="003B4362">
        <w:rPr>
          <w:rFonts w:eastAsia="Calibri"/>
          <w:szCs w:val="24"/>
        </w:rPr>
        <w:t xml:space="preserve">A full lead service line replacement could leave a lead service line in place in the ground but </w:t>
      </w:r>
      <w:r w:rsidR="00730055" w:rsidRPr="003B4362">
        <w:rPr>
          <w:rFonts w:eastAsia="Calibri"/>
          <w:szCs w:val="24"/>
        </w:rPr>
        <w:t>out of service</w:t>
      </w:r>
      <w:r w:rsidRPr="003B4362">
        <w:rPr>
          <w:rFonts w:eastAsia="Calibri"/>
          <w:szCs w:val="24"/>
        </w:rPr>
        <w:t xml:space="preserve"> </w:t>
      </w:r>
      <w:bookmarkStart w:id="679" w:name="_Hlk111560001"/>
      <w:r w:rsidRPr="003B4362">
        <w:rPr>
          <w:rFonts w:eastAsia="Calibri"/>
          <w:szCs w:val="24"/>
        </w:rPr>
        <w:t>if using a new non-lead service line replaces the out-of-service lead service line</w:t>
      </w:r>
      <w:bookmarkEnd w:id="679"/>
      <w:r w:rsidRPr="003B4362">
        <w:rPr>
          <w:rFonts w:eastAsia="Calibri"/>
          <w:szCs w:val="24"/>
        </w:rPr>
        <w:t>.</w:t>
      </w:r>
    </w:p>
    <w:p w14:paraId="6E7C843E" w14:textId="65F45974" w:rsidR="00082D53" w:rsidRPr="003B4362" w:rsidRDefault="00082D53" w:rsidP="00082D53">
      <w:pPr>
        <w:autoSpaceDE w:val="0"/>
        <w:autoSpaceDN w:val="0"/>
        <w:adjustRightInd w:val="0"/>
        <w:spacing w:before="240"/>
        <w:ind w:left="2160"/>
        <w:rPr>
          <w:rFonts w:eastAsia="Calibri"/>
          <w:szCs w:val="24"/>
        </w:rPr>
      </w:pPr>
      <w:r w:rsidRPr="003B4362">
        <w:rPr>
          <w:rFonts w:eastAsia="Calibri"/>
          <w:szCs w:val="24"/>
        </w:rPr>
        <w:t xml:space="preserve">“Galvanized </w:t>
      </w:r>
      <w:r w:rsidR="00DF6335" w:rsidRPr="003B4362">
        <w:rPr>
          <w:rFonts w:eastAsia="Calibri"/>
          <w:szCs w:val="24"/>
        </w:rPr>
        <w:t>r</w:t>
      </w:r>
      <w:r w:rsidRPr="003B4362">
        <w:rPr>
          <w:rFonts w:eastAsia="Calibri"/>
          <w:szCs w:val="24"/>
        </w:rPr>
        <w:t xml:space="preserve">equiring </w:t>
      </w:r>
      <w:r w:rsidR="00DF6335" w:rsidRPr="003B4362">
        <w:rPr>
          <w:rFonts w:eastAsia="Calibri"/>
          <w:szCs w:val="24"/>
        </w:rPr>
        <w:t>r</w:t>
      </w:r>
      <w:r w:rsidRPr="003B4362">
        <w:rPr>
          <w:rFonts w:eastAsia="Calibri"/>
          <w:szCs w:val="24"/>
        </w:rPr>
        <w:t>eplacement” refers to a galvanized service line Section 611.354(a)(4)(B)</w:t>
      </w:r>
      <w:r w:rsidR="006B5695" w:rsidRPr="003B4362">
        <w:rPr>
          <w:rFonts w:eastAsia="Calibri"/>
          <w:szCs w:val="24"/>
        </w:rPr>
        <w:t xml:space="preserve"> describes</w:t>
      </w:r>
      <w:r w:rsidRPr="003B4362">
        <w:rPr>
          <w:rFonts w:eastAsia="Calibri"/>
          <w:szCs w:val="24"/>
        </w:rPr>
        <w:t>.</w:t>
      </w:r>
    </w:p>
    <w:p w14:paraId="39EA35BC" w14:textId="77777777" w:rsidR="00082D53" w:rsidRPr="003B4362" w:rsidRDefault="00082D53" w:rsidP="00082D53">
      <w:pPr>
        <w:autoSpaceDE w:val="0"/>
        <w:autoSpaceDN w:val="0"/>
        <w:adjustRightInd w:val="0"/>
        <w:spacing w:after="240"/>
        <w:ind w:left="2160"/>
        <w:rPr>
          <w:rFonts w:eastAsia="Calibri"/>
          <w:szCs w:val="24"/>
        </w:rPr>
      </w:pPr>
      <w:r w:rsidRPr="003B4362">
        <w:rPr>
          <w:rFonts w:eastAsia="Calibri"/>
          <w:szCs w:val="24"/>
        </w:rPr>
        <w:t>BOARD NOTE:  This definition derives from 40 CFR 141.84(a)(4)(ii) for a term used in various rules.</w:t>
      </w:r>
    </w:p>
    <w:p w14:paraId="21A840DF" w14:textId="47FB220F" w:rsidR="005451CE" w:rsidRPr="003B4362" w:rsidRDefault="005451CE" w:rsidP="005451CE">
      <w:pPr>
        <w:autoSpaceDE w:val="0"/>
        <w:autoSpaceDN w:val="0"/>
        <w:adjustRightInd w:val="0"/>
        <w:spacing w:before="240" w:after="120"/>
        <w:ind w:left="2160"/>
        <w:rPr>
          <w:rFonts w:eastAsia="Calibri"/>
          <w:szCs w:val="24"/>
        </w:rPr>
      </w:pPr>
      <w:r w:rsidRPr="003B4362">
        <w:rPr>
          <w:rFonts w:eastAsia="Calibri"/>
          <w:szCs w:val="24"/>
        </w:rPr>
        <w:t>“</w:t>
      </w:r>
      <w:r w:rsidR="00082D53" w:rsidRPr="003B4362">
        <w:rPr>
          <w:rFonts w:eastAsia="Calibri"/>
          <w:szCs w:val="24"/>
        </w:rPr>
        <w:t>Galvanized service line</w:t>
      </w:r>
      <w:r w:rsidRPr="003B4362">
        <w:rPr>
          <w:rFonts w:eastAsia="Calibri"/>
          <w:szCs w:val="24"/>
        </w:rPr>
        <w:t xml:space="preserve">” means </w:t>
      </w:r>
      <w:bookmarkStart w:id="680" w:name="_Hlk111560294"/>
      <w:r w:rsidRPr="003B4362">
        <w:rPr>
          <w:rFonts w:eastAsia="Calibri"/>
          <w:szCs w:val="24"/>
        </w:rPr>
        <w:t>iron or steel piping zinc-dipped to prevent corrosion and rusting</w:t>
      </w:r>
      <w:bookmarkEnd w:id="680"/>
      <w:r w:rsidRPr="003B4362">
        <w:rPr>
          <w:rFonts w:eastAsia="Calibri"/>
          <w:szCs w:val="24"/>
        </w:rPr>
        <w:t>.</w:t>
      </w:r>
    </w:p>
    <w:p w14:paraId="4ECD81DA" w14:textId="5A53AD7C" w:rsidR="005451CE" w:rsidRPr="003B4362" w:rsidRDefault="005451CE" w:rsidP="005451CE">
      <w:pPr>
        <w:autoSpaceDE w:val="0"/>
        <w:autoSpaceDN w:val="0"/>
        <w:adjustRightInd w:val="0"/>
        <w:spacing w:before="240" w:after="120"/>
        <w:ind w:left="2160"/>
        <w:rPr>
          <w:rFonts w:eastAsia="Calibri"/>
          <w:szCs w:val="24"/>
        </w:rPr>
      </w:pPr>
      <w:r w:rsidRPr="003B4362">
        <w:rPr>
          <w:rFonts w:eastAsia="Calibri"/>
          <w:szCs w:val="24"/>
        </w:rPr>
        <w:t xml:space="preserve">“Gooseneck, pigtail, or connector” is a </w:t>
      </w:r>
      <w:bookmarkStart w:id="681" w:name="_Hlk111560511"/>
      <w:bookmarkStart w:id="682" w:name="_Hlk111560980"/>
      <w:r w:rsidRPr="003B4362">
        <w:rPr>
          <w:rFonts w:eastAsia="Calibri"/>
          <w:szCs w:val="24"/>
        </w:rPr>
        <w:t>short section of flexible piping, typically not exceeding two feet, connecti</w:t>
      </w:r>
      <w:bookmarkEnd w:id="681"/>
      <w:r w:rsidRPr="003B4362">
        <w:rPr>
          <w:rFonts w:eastAsia="Calibri"/>
          <w:szCs w:val="24"/>
        </w:rPr>
        <w:t>ng segments of rigid service piping</w:t>
      </w:r>
      <w:bookmarkEnd w:id="682"/>
      <w:r w:rsidRPr="003B4362">
        <w:rPr>
          <w:rFonts w:eastAsia="Calibri"/>
          <w:szCs w:val="24"/>
        </w:rPr>
        <w:t xml:space="preserve">.  Lead goosenecks, pigtails, and </w:t>
      </w:r>
      <w:bookmarkStart w:id="683" w:name="_Hlk111561496"/>
      <w:r w:rsidRPr="003B4362">
        <w:rPr>
          <w:rFonts w:eastAsia="Calibri"/>
          <w:szCs w:val="24"/>
        </w:rPr>
        <w:t>connectors are not part of the lead service line</w:t>
      </w:r>
      <w:bookmarkEnd w:id="683"/>
      <w:r w:rsidRPr="003B4362">
        <w:rPr>
          <w:rFonts w:eastAsia="Calibri"/>
          <w:szCs w:val="24"/>
        </w:rPr>
        <w:t xml:space="preserve">, </w:t>
      </w:r>
      <w:bookmarkStart w:id="684" w:name="_Hlk111561955"/>
      <w:r w:rsidRPr="003B4362">
        <w:rPr>
          <w:rFonts w:eastAsia="Calibri"/>
          <w:szCs w:val="24"/>
        </w:rPr>
        <w:t>but Section 611.354(c) may require replac</w:t>
      </w:r>
      <w:r w:rsidR="00D32A9D" w:rsidRPr="003B4362">
        <w:rPr>
          <w:rFonts w:eastAsia="Calibri"/>
          <w:szCs w:val="24"/>
        </w:rPr>
        <w:t>ing them</w:t>
      </w:r>
      <w:bookmarkEnd w:id="684"/>
      <w:r w:rsidRPr="003B4362">
        <w:rPr>
          <w:rFonts w:eastAsia="Calibri"/>
          <w:szCs w:val="24"/>
        </w:rPr>
        <w:t>.</w:t>
      </w:r>
    </w:p>
    <w:p w14:paraId="3CFB760A" w14:textId="1D42195F" w:rsidR="005451CE" w:rsidRPr="003B4362" w:rsidRDefault="005451CE" w:rsidP="005451CE">
      <w:pPr>
        <w:spacing w:before="240" w:after="240"/>
        <w:ind w:left="2160"/>
        <w:rPr>
          <w:rFonts w:eastAsia="Calibri"/>
        </w:rPr>
      </w:pPr>
      <w:r w:rsidRPr="003B4362">
        <w:rPr>
          <w:rFonts w:eastAsia="Calibri"/>
        </w:rPr>
        <w:lastRenderedPageBreak/>
        <w:t>“Large</w:t>
      </w:r>
      <w:r w:rsidR="00360722" w:rsidRPr="003B4362">
        <w:rPr>
          <w:rFonts w:eastAsia="Calibri"/>
        </w:rPr>
        <w:t xml:space="preserve"> supplier</w:t>
      </w:r>
      <w:r w:rsidRPr="003B4362">
        <w:rPr>
          <w:rFonts w:eastAsia="Calibri"/>
        </w:rPr>
        <w:t xml:space="preserve">” means </w:t>
      </w:r>
      <w:bookmarkStart w:id="685" w:name="_Hlk113886245"/>
      <w:r w:rsidRPr="003B4362">
        <w:rPr>
          <w:rFonts w:eastAsia="Calibri"/>
        </w:rPr>
        <w:t xml:space="preserve">a </w:t>
      </w:r>
      <w:r w:rsidR="00360722" w:rsidRPr="003B4362">
        <w:rPr>
          <w:rFonts w:eastAsia="Calibri"/>
        </w:rPr>
        <w:t xml:space="preserve">supplier </w:t>
      </w:r>
      <w:r w:rsidRPr="003B4362">
        <w:rPr>
          <w:rFonts w:eastAsia="Calibri"/>
        </w:rPr>
        <w:t>regularly serving water</w:t>
      </w:r>
      <w:bookmarkEnd w:id="685"/>
      <w:r w:rsidRPr="003B4362">
        <w:rPr>
          <w:rFonts w:eastAsia="Calibri"/>
        </w:rPr>
        <w:t xml:space="preserve"> to more than 50,000 persons.</w:t>
      </w:r>
    </w:p>
    <w:p w14:paraId="15EC426A" w14:textId="7C92A41E" w:rsidR="005451CE" w:rsidRPr="003B4362" w:rsidRDefault="005451CE" w:rsidP="0030174E">
      <w:pPr>
        <w:ind w:left="2160"/>
        <w:rPr>
          <w:rFonts w:eastAsia="Calibri"/>
          <w:szCs w:val="24"/>
        </w:rPr>
      </w:pPr>
      <w:r w:rsidRPr="003B4362">
        <w:rPr>
          <w:rFonts w:eastAsia="Calibri"/>
        </w:rPr>
        <w:t xml:space="preserve">“Lead service line” means a </w:t>
      </w:r>
      <w:r w:rsidRPr="003B4362">
        <w:rPr>
          <w:rFonts w:eastAsia="Calibri"/>
          <w:szCs w:val="24"/>
        </w:rPr>
        <w:t xml:space="preserve">portion of pipe </w:t>
      </w:r>
      <w:r w:rsidRPr="003B4362">
        <w:rPr>
          <w:rFonts w:eastAsia="Calibri"/>
        </w:rPr>
        <w:t xml:space="preserve">made of lead </w:t>
      </w:r>
      <w:bookmarkStart w:id="686" w:name="_Hlk113887817"/>
      <w:r w:rsidRPr="003B4362">
        <w:rPr>
          <w:rFonts w:eastAsia="Calibri"/>
        </w:rPr>
        <w:t>connecting the water main</w:t>
      </w:r>
      <w:bookmarkEnd w:id="686"/>
      <w:r w:rsidRPr="003B4362">
        <w:rPr>
          <w:rFonts w:eastAsia="Calibri"/>
        </w:rPr>
        <w:t xml:space="preserve"> to the building inlet.</w:t>
      </w:r>
      <w:r w:rsidRPr="003B4362">
        <w:rPr>
          <w:rFonts w:eastAsia="Calibri"/>
          <w:szCs w:val="24"/>
        </w:rPr>
        <w:t xml:space="preserve">  </w:t>
      </w:r>
      <w:r w:rsidR="00730055" w:rsidRPr="003B4362">
        <w:rPr>
          <w:rFonts w:eastAsia="Calibri"/>
          <w:szCs w:val="24"/>
        </w:rPr>
        <w:t>A lead service line may be owned by the water system, the property owner, or both.</w:t>
      </w:r>
      <w:r w:rsidRPr="003B4362">
        <w:rPr>
          <w:rFonts w:eastAsia="Calibri"/>
          <w:szCs w:val="24"/>
        </w:rPr>
        <w:t xml:space="preserve">  </w:t>
      </w:r>
      <w:bookmarkStart w:id="687" w:name="_Hlk111563295"/>
      <w:r w:rsidRPr="003B4362">
        <w:rPr>
          <w:rFonts w:eastAsia="Calibri"/>
          <w:szCs w:val="24"/>
        </w:rPr>
        <w:t>A galvanized service line is a lead service line</w:t>
      </w:r>
      <w:bookmarkEnd w:id="687"/>
      <w:r w:rsidRPr="003B4362">
        <w:rPr>
          <w:rFonts w:eastAsia="Calibri"/>
          <w:szCs w:val="24"/>
        </w:rPr>
        <w:t xml:space="preserve"> if </w:t>
      </w:r>
      <w:r w:rsidR="00730055" w:rsidRPr="003B4362">
        <w:rPr>
          <w:rFonts w:eastAsia="Calibri"/>
          <w:szCs w:val="24"/>
        </w:rPr>
        <w:t>it was or is</w:t>
      </w:r>
      <w:r w:rsidRPr="003B4362">
        <w:rPr>
          <w:rFonts w:eastAsia="Calibri"/>
          <w:szCs w:val="24"/>
        </w:rPr>
        <w:t xml:space="preserve"> downstream of any lead service line or service line of unknown material.  If the only lead piping serving a home is a lead gooseneck, pigtail, or connector</w:t>
      </w:r>
      <w:r w:rsidR="00730055" w:rsidRPr="003B4362">
        <w:rPr>
          <w:rFonts w:eastAsia="Calibri"/>
          <w:szCs w:val="24"/>
        </w:rPr>
        <w:t>, and it</w:t>
      </w:r>
      <w:r w:rsidRPr="003B4362">
        <w:rPr>
          <w:rFonts w:eastAsia="Calibri"/>
          <w:szCs w:val="24"/>
        </w:rPr>
        <w:t xml:space="preserve"> is not a galvanized service line that is </w:t>
      </w:r>
      <w:r w:rsidR="00730055" w:rsidRPr="003B4362">
        <w:rPr>
          <w:rFonts w:eastAsia="Calibri"/>
          <w:szCs w:val="24"/>
        </w:rPr>
        <w:t xml:space="preserve">considered </w:t>
      </w:r>
      <w:r w:rsidRPr="003B4362">
        <w:rPr>
          <w:rFonts w:eastAsia="Calibri"/>
          <w:szCs w:val="24"/>
        </w:rPr>
        <w:t xml:space="preserve">a lead service line, the service line is not a lead service line.  Under Section </w:t>
      </w:r>
      <w:r w:rsidR="00355BD1" w:rsidRPr="003B4362">
        <w:rPr>
          <w:rFonts w:eastAsia="Calibri"/>
          <w:szCs w:val="24"/>
        </w:rPr>
        <w:t>61</w:t>
      </w:r>
      <w:r w:rsidRPr="003B4362">
        <w:rPr>
          <w:rFonts w:eastAsia="Calibri"/>
          <w:szCs w:val="24"/>
        </w:rPr>
        <w:t>1.</w:t>
      </w:r>
      <w:r w:rsidR="00355BD1" w:rsidRPr="003B4362">
        <w:rPr>
          <w:rFonts w:eastAsia="Calibri"/>
          <w:szCs w:val="24"/>
        </w:rPr>
        <w:t>35</w:t>
      </w:r>
      <w:r w:rsidRPr="003B4362">
        <w:rPr>
          <w:rFonts w:eastAsia="Calibri"/>
          <w:szCs w:val="24"/>
        </w:rPr>
        <w:t xml:space="preserve">6(a) only, a galvanized service line is not </w:t>
      </w:r>
      <w:r w:rsidR="00730055" w:rsidRPr="003B4362">
        <w:rPr>
          <w:rFonts w:eastAsia="Calibri"/>
          <w:szCs w:val="24"/>
        </w:rPr>
        <w:t xml:space="preserve">considered </w:t>
      </w:r>
      <w:r w:rsidRPr="003B4362">
        <w:rPr>
          <w:rFonts w:eastAsia="Calibri"/>
          <w:szCs w:val="24"/>
        </w:rPr>
        <w:t>a lead service line.</w:t>
      </w:r>
    </w:p>
    <w:p w14:paraId="23BC9BC0" w14:textId="2884FD42" w:rsidR="005451CE" w:rsidRPr="003B4362" w:rsidRDefault="005451CE" w:rsidP="00937AE4">
      <w:pPr>
        <w:autoSpaceDE w:val="0"/>
        <w:autoSpaceDN w:val="0"/>
        <w:adjustRightInd w:val="0"/>
        <w:spacing w:before="240"/>
        <w:ind w:left="2160"/>
        <w:rPr>
          <w:rFonts w:eastAsia="Calibri"/>
          <w:szCs w:val="24"/>
        </w:rPr>
      </w:pPr>
      <w:r w:rsidRPr="003B4362">
        <w:rPr>
          <w:rFonts w:eastAsia="Calibri"/>
          <w:szCs w:val="24"/>
        </w:rPr>
        <w:t xml:space="preserve">“Lead status unknown service line” means </w:t>
      </w:r>
      <w:bookmarkStart w:id="688" w:name="_Hlk111564735"/>
      <w:r w:rsidRPr="003B4362">
        <w:rPr>
          <w:rFonts w:eastAsia="Calibri"/>
          <w:szCs w:val="24"/>
        </w:rPr>
        <w:t xml:space="preserve">a service line that </w:t>
      </w:r>
      <w:bookmarkStart w:id="689" w:name="_Hlk128592094"/>
      <w:r w:rsidR="00730055" w:rsidRPr="003B4362">
        <w:rPr>
          <w:rFonts w:eastAsia="Calibri"/>
          <w:szCs w:val="24"/>
        </w:rPr>
        <w:t xml:space="preserve">has </w:t>
      </w:r>
      <w:r w:rsidRPr="003B4362">
        <w:rPr>
          <w:rFonts w:eastAsia="Calibri"/>
          <w:szCs w:val="24"/>
        </w:rPr>
        <w:t xml:space="preserve">not </w:t>
      </w:r>
      <w:r w:rsidR="00730055" w:rsidRPr="003B4362">
        <w:rPr>
          <w:rFonts w:eastAsia="Calibri"/>
          <w:szCs w:val="24"/>
        </w:rPr>
        <w:t xml:space="preserve">been </w:t>
      </w:r>
      <w:r w:rsidR="00355BD1" w:rsidRPr="003B4362">
        <w:rPr>
          <w:rFonts w:eastAsia="Calibri"/>
          <w:szCs w:val="24"/>
        </w:rPr>
        <w:t xml:space="preserve">shown to </w:t>
      </w:r>
      <w:r w:rsidRPr="003B4362">
        <w:rPr>
          <w:rFonts w:eastAsia="Calibri"/>
          <w:szCs w:val="24"/>
        </w:rPr>
        <w:t>comply with Section 611.126</w:t>
      </w:r>
      <w:bookmarkEnd w:id="688"/>
      <w:bookmarkEnd w:id="689"/>
      <w:r w:rsidRPr="003B4362">
        <w:rPr>
          <w:rFonts w:eastAsia="Calibri"/>
          <w:szCs w:val="24"/>
        </w:rPr>
        <w:t xml:space="preserve">.  </w:t>
      </w:r>
      <w:r w:rsidR="00D32A9D" w:rsidRPr="003B4362">
        <w:rPr>
          <w:rFonts w:eastAsia="Calibri"/>
          <w:szCs w:val="24"/>
        </w:rPr>
        <w:t>P</w:t>
      </w:r>
      <w:bookmarkStart w:id="690" w:name="_Hlk128592241"/>
      <w:r w:rsidRPr="003B4362">
        <w:rPr>
          <w:rFonts w:eastAsia="Calibri"/>
          <w:szCs w:val="24"/>
        </w:rPr>
        <w:t>hysically verify</w:t>
      </w:r>
      <w:r w:rsidR="00D32A9D" w:rsidRPr="003B4362">
        <w:rPr>
          <w:rFonts w:eastAsia="Calibri"/>
          <w:szCs w:val="24"/>
        </w:rPr>
        <w:t>ing</w:t>
      </w:r>
      <w:r w:rsidRPr="003B4362">
        <w:rPr>
          <w:rFonts w:eastAsia="Calibri"/>
          <w:szCs w:val="24"/>
        </w:rPr>
        <w:t xml:space="preserve"> the material composition </w:t>
      </w:r>
      <w:r w:rsidR="00730055" w:rsidRPr="003B4362">
        <w:rPr>
          <w:rFonts w:eastAsia="Calibri"/>
          <w:szCs w:val="24"/>
        </w:rPr>
        <w:t>of a service line (e.g., copper or plastic)</w:t>
      </w:r>
      <w:r w:rsidR="00983BC8" w:rsidRPr="003B4362">
        <w:rPr>
          <w:rFonts w:eastAsia="Calibri"/>
          <w:szCs w:val="24"/>
        </w:rPr>
        <w:t xml:space="preserve"> </w:t>
      </w:r>
      <w:r w:rsidRPr="003B4362">
        <w:rPr>
          <w:rFonts w:eastAsia="Calibri"/>
          <w:szCs w:val="24"/>
        </w:rPr>
        <w:t>is not necessary</w:t>
      </w:r>
      <w:bookmarkEnd w:id="690"/>
      <w:r w:rsidRPr="003B4362">
        <w:rPr>
          <w:rFonts w:eastAsia="Calibri"/>
          <w:szCs w:val="24"/>
        </w:rPr>
        <w:t xml:space="preserve"> for its lead status to be identified (e.g., </w:t>
      </w:r>
      <w:r w:rsidR="00983BC8" w:rsidRPr="003B4362">
        <w:rPr>
          <w:rFonts w:eastAsia="Calibri"/>
          <w:szCs w:val="24"/>
        </w:rPr>
        <w:t>if records demonstrate that</w:t>
      </w:r>
      <w:r w:rsidRPr="003B4362">
        <w:rPr>
          <w:rFonts w:eastAsia="Calibri"/>
          <w:szCs w:val="24"/>
        </w:rPr>
        <w:t xml:space="preserve"> the service line was installed after a municipal, State, or </w:t>
      </w:r>
      <w:r w:rsidR="00983BC8" w:rsidRPr="003B4362">
        <w:rPr>
          <w:rFonts w:eastAsia="Calibri"/>
          <w:szCs w:val="24"/>
        </w:rPr>
        <w:t>f</w:t>
      </w:r>
      <w:r w:rsidRPr="003B4362">
        <w:rPr>
          <w:rFonts w:eastAsia="Calibri"/>
          <w:szCs w:val="24"/>
        </w:rPr>
        <w:t>ederal lead ban).</w:t>
      </w:r>
    </w:p>
    <w:p w14:paraId="6648E4E9" w14:textId="1681C9A6" w:rsidR="00937AE4" w:rsidRPr="003B4362" w:rsidRDefault="00937AE4" w:rsidP="00937AE4">
      <w:pPr>
        <w:autoSpaceDE w:val="0"/>
        <w:autoSpaceDN w:val="0"/>
        <w:adjustRightInd w:val="0"/>
        <w:spacing w:after="240"/>
        <w:ind w:left="2160"/>
        <w:rPr>
          <w:rFonts w:eastAsia="Calibri"/>
          <w:szCs w:val="24"/>
        </w:rPr>
      </w:pPr>
      <w:r w:rsidRPr="003B4362">
        <w:rPr>
          <w:rFonts w:eastAsia="Calibri"/>
          <w:szCs w:val="24"/>
        </w:rPr>
        <w:t>BOARD NOTE:  See the de</w:t>
      </w:r>
      <w:r w:rsidR="00355BD1" w:rsidRPr="003B4362">
        <w:rPr>
          <w:rFonts w:eastAsia="Calibri"/>
          <w:szCs w:val="24"/>
        </w:rPr>
        <w:t>scrip</w:t>
      </w:r>
      <w:r w:rsidRPr="003B4362">
        <w:rPr>
          <w:rFonts w:eastAsia="Calibri"/>
          <w:szCs w:val="24"/>
        </w:rPr>
        <w:t xml:space="preserve">tion </w:t>
      </w:r>
      <w:r w:rsidR="00F53E49" w:rsidRPr="003B4362">
        <w:rPr>
          <w:rFonts w:eastAsia="Calibri"/>
          <w:szCs w:val="24"/>
        </w:rPr>
        <w:t>of “</w:t>
      </w:r>
      <w:r w:rsidR="00DC29D1" w:rsidRPr="003B4362">
        <w:rPr>
          <w:rFonts w:eastAsia="Calibri"/>
          <w:szCs w:val="24"/>
        </w:rPr>
        <w:t>lead status unknown</w:t>
      </w:r>
      <w:r w:rsidR="00F53E49" w:rsidRPr="003B4362">
        <w:rPr>
          <w:rFonts w:eastAsia="Calibri"/>
          <w:szCs w:val="24"/>
        </w:rPr>
        <w:t xml:space="preserve">” </w:t>
      </w:r>
      <w:r w:rsidRPr="003B4362">
        <w:rPr>
          <w:rFonts w:eastAsia="Calibri"/>
          <w:szCs w:val="24"/>
        </w:rPr>
        <w:t>in Section 611.354(a)(4)(D).</w:t>
      </w:r>
    </w:p>
    <w:p w14:paraId="15AFD3EB" w14:textId="20AF1174"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 xml:space="preserve">“Lead trigger level” means a particular concentration of lead in water that prompts certain activities under this Subpart G.  The trigger level for lead is a concentration of 10 </w:t>
      </w:r>
      <w:r w:rsidR="00B0110E" w:rsidRPr="003B4362">
        <w:rPr>
          <w:rFonts w:eastAsia="Calibri"/>
          <w:szCs w:val="24"/>
        </w:rPr>
        <w:t>µ</w:t>
      </w:r>
      <w:r w:rsidRPr="003B4362">
        <w:rPr>
          <w:rFonts w:eastAsia="Calibri"/>
          <w:szCs w:val="24"/>
        </w:rPr>
        <w:t>g/</w:t>
      </w:r>
      <w:r w:rsidR="00983BC8" w:rsidRPr="003B4362">
        <w:t xml:space="preserve"> L</w:t>
      </w:r>
      <w:r w:rsidRPr="003B4362">
        <w:rPr>
          <w:rFonts w:eastAsia="Calibri"/>
          <w:szCs w:val="24"/>
        </w:rPr>
        <w:t>.</w:t>
      </w:r>
    </w:p>
    <w:p w14:paraId="15619692" w14:textId="2E376EFD" w:rsidR="005451CE" w:rsidRPr="003B4362" w:rsidRDefault="005451CE" w:rsidP="005451CE">
      <w:pPr>
        <w:spacing w:before="240"/>
        <w:ind w:left="2160"/>
        <w:rPr>
          <w:rFonts w:eastAsia="Calibri"/>
        </w:rPr>
      </w:pPr>
      <w:r w:rsidRPr="003B4362">
        <w:rPr>
          <w:rFonts w:eastAsia="Calibri"/>
        </w:rPr>
        <w:t xml:space="preserve">“Maximum permissible concentration” or “MPC” means </w:t>
      </w:r>
      <w:bookmarkStart w:id="691" w:name="_Hlk113892924"/>
      <w:r w:rsidRPr="003B4362">
        <w:rPr>
          <w:rFonts w:eastAsia="Calibri"/>
        </w:rPr>
        <w:t>the concentration of lead or copper in finished water</w:t>
      </w:r>
      <w:bookmarkEnd w:id="691"/>
      <w:r w:rsidRPr="003B4362">
        <w:rPr>
          <w:rFonts w:eastAsia="Calibri"/>
        </w:rPr>
        <w:t xml:space="preserve"> entering the supplier’s distribution system, </w:t>
      </w:r>
      <w:bookmarkStart w:id="692" w:name="_Hlk113893064"/>
      <w:r w:rsidRPr="003B4362">
        <w:rPr>
          <w:rFonts w:eastAsia="Calibri"/>
        </w:rPr>
        <w:t xml:space="preserve">which the Agency designates in a SEP based on the contaminant removal ability </w:t>
      </w:r>
      <w:bookmarkEnd w:id="692"/>
      <w:r w:rsidRPr="003B4362">
        <w:rPr>
          <w:rFonts w:eastAsia="Calibri"/>
        </w:rPr>
        <w:t>of the treatment properly operated and maintained.</w:t>
      </w:r>
    </w:p>
    <w:p w14:paraId="5BDA1B5B" w14:textId="1FA9B841" w:rsidR="005451CE" w:rsidRPr="003B4362" w:rsidRDefault="005451CE" w:rsidP="005451CE">
      <w:pPr>
        <w:spacing w:after="240"/>
        <w:ind w:left="2160"/>
        <w:rPr>
          <w:rFonts w:eastAsia="Calibri"/>
        </w:rPr>
      </w:pPr>
      <w:r w:rsidRPr="003B4362">
        <w:rPr>
          <w:rFonts w:eastAsia="Calibri"/>
        </w:rPr>
        <w:t>BOARD NOTE:  T</w:t>
      </w:r>
      <w:bookmarkStart w:id="693" w:name="_Hlk113893264"/>
      <w:r w:rsidRPr="003B4362">
        <w:rPr>
          <w:rFonts w:eastAsia="Calibri"/>
        </w:rPr>
        <w:t>his definition derives from 40 CFR 141.83(b)(4)</w:t>
      </w:r>
      <w:bookmarkEnd w:id="693"/>
      <w:r w:rsidRPr="003B4362">
        <w:rPr>
          <w:rFonts w:eastAsia="Calibri"/>
        </w:rPr>
        <w:t>.  (See Section 611.353(b)(4)(B).)</w:t>
      </w:r>
    </w:p>
    <w:p w14:paraId="2CA9599D" w14:textId="285C0DEB" w:rsidR="005451CE" w:rsidRPr="003B4362" w:rsidRDefault="005451CE" w:rsidP="005451CE">
      <w:pPr>
        <w:spacing w:before="240" w:after="240"/>
        <w:ind w:left="2160"/>
        <w:rPr>
          <w:rFonts w:eastAsia="Calibri"/>
        </w:rPr>
      </w:pPr>
      <w:r w:rsidRPr="003B4362">
        <w:rPr>
          <w:rFonts w:eastAsia="Calibri"/>
        </w:rPr>
        <w:t>“Meet</w:t>
      </w:r>
      <w:r w:rsidRPr="003B4362">
        <w:rPr>
          <w:rFonts w:eastAsia="Calibri"/>
          <w:szCs w:val="16"/>
        </w:rPr>
        <w:t>” or “comply with”,</w:t>
      </w:r>
      <w:r w:rsidRPr="003B4362">
        <w:rPr>
          <w:rFonts w:eastAsia="Calibri"/>
        </w:rPr>
        <w:t xml:space="preserve"> relating to either the lead or the copper action level, means that the 90th percentile </w:t>
      </w:r>
      <w:r w:rsidR="00CD16D3" w:rsidRPr="003B4362">
        <w:rPr>
          <w:rFonts w:eastAsia="Calibri"/>
        </w:rPr>
        <w:t xml:space="preserve">concentration </w:t>
      </w:r>
      <w:r w:rsidRPr="003B4362">
        <w:rPr>
          <w:rFonts w:eastAsia="Calibri"/>
        </w:rPr>
        <w:t xml:space="preserve">of the supplier’s samples collected during </w:t>
      </w:r>
      <w:r w:rsidR="00C828AD" w:rsidRPr="003B4362">
        <w:rPr>
          <w:rFonts w:eastAsia="Calibri"/>
        </w:rPr>
        <w:t xml:space="preserve">a six-month tap monitoring cycle </w:t>
      </w:r>
      <w:r w:rsidRPr="003B4362">
        <w:rPr>
          <w:rFonts w:eastAsia="Calibri"/>
        </w:rPr>
        <w:t xml:space="preserve">is less than or equal to </w:t>
      </w:r>
      <w:bookmarkStart w:id="694" w:name="_Hlk113897343"/>
      <w:r w:rsidRPr="003B4362">
        <w:rPr>
          <w:rFonts w:eastAsia="Calibri"/>
        </w:rPr>
        <w:t>the lead or copper action level</w:t>
      </w:r>
      <w:bookmarkEnd w:id="694"/>
      <w:r w:rsidRPr="003B4362">
        <w:rPr>
          <w:rFonts w:eastAsia="Calibri"/>
        </w:rPr>
        <w:t>.</w:t>
      </w:r>
    </w:p>
    <w:p w14:paraId="1FC79E62" w14:textId="5AA53DB0" w:rsidR="00C828AD" w:rsidRPr="003B4362" w:rsidRDefault="00C828AD" w:rsidP="00C828AD">
      <w:pPr>
        <w:spacing w:before="240" w:after="240"/>
        <w:ind w:left="2160"/>
        <w:rPr>
          <w:rFonts w:eastAsia="Calibri"/>
        </w:rPr>
      </w:pPr>
      <w:r w:rsidRPr="003B4362">
        <w:rPr>
          <w:rFonts w:eastAsia="Calibri"/>
        </w:rPr>
        <w:t xml:space="preserve">“Mid-sized supplier” means a supplier regularly serving water to more than </w:t>
      </w:r>
      <w:r w:rsidRPr="003B4362">
        <w:rPr>
          <w:rFonts w:eastAsia="Calibri"/>
          <w:szCs w:val="24"/>
        </w:rPr>
        <w:t xml:space="preserve">10,000 persons </w:t>
      </w:r>
      <w:r w:rsidRPr="003B4362">
        <w:rPr>
          <w:rFonts w:eastAsia="Calibri"/>
        </w:rPr>
        <w:t>up to 50,000 persons.</w:t>
      </w:r>
    </w:p>
    <w:p w14:paraId="1C0A8D0E" w14:textId="0EC89F0D" w:rsidR="005451CE" w:rsidRPr="003B4362" w:rsidRDefault="005451CE" w:rsidP="005451CE">
      <w:pPr>
        <w:spacing w:before="240" w:after="240"/>
        <w:ind w:left="2160"/>
        <w:rPr>
          <w:rFonts w:eastAsia="Calibri"/>
        </w:rPr>
      </w:pPr>
      <w:r w:rsidRPr="003B4362">
        <w:rPr>
          <w:rFonts w:eastAsia="Calibri"/>
        </w:rPr>
        <w:t xml:space="preserve">“Multiple-family residence” means </w:t>
      </w:r>
      <w:bookmarkStart w:id="695" w:name="_Hlk113902258"/>
      <w:r w:rsidRPr="003B4362">
        <w:rPr>
          <w:rFonts w:eastAsia="Calibri"/>
        </w:rPr>
        <w:t>a building in which multiple families currently reside</w:t>
      </w:r>
      <w:bookmarkEnd w:id="695"/>
      <w:r w:rsidRPr="003B4362">
        <w:rPr>
          <w:rFonts w:eastAsia="Calibri"/>
        </w:rPr>
        <w:t>, but not one that is also a “single-family structure”.</w:t>
      </w:r>
    </w:p>
    <w:p w14:paraId="5BD205C9" w14:textId="2F4FD1E0" w:rsidR="005451CE" w:rsidRPr="003B4362" w:rsidRDefault="005451CE" w:rsidP="00622E3C">
      <w:pPr>
        <w:spacing w:before="240"/>
        <w:ind w:left="2160"/>
        <w:rPr>
          <w:rFonts w:eastAsia="Calibri"/>
        </w:rPr>
      </w:pPr>
      <w:r w:rsidRPr="003B4362">
        <w:rPr>
          <w:rFonts w:eastAsia="Calibri"/>
        </w:rPr>
        <w:t>“90th percentile</w:t>
      </w:r>
      <w:r w:rsidR="00B07D02" w:rsidRPr="003B4362">
        <w:rPr>
          <w:rFonts w:eastAsia="Calibri"/>
        </w:rPr>
        <w:t xml:space="preserve"> concentration</w:t>
      </w:r>
      <w:r w:rsidRPr="003B4362">
        <w:rPr>
          <w:rFonts w:eastAsia="Calibri"/>
        </w:rPr>
        <w:t>” means the concentration of lead or copper</w:t>
      </w:r>
      <w:bookmarkStart w:id="696" w:name="_Hlk113902614"/>
      <w:r w:rsidR="00895B08" w:rsidRPr="003B4362">
        <w:rPr>
          <w:rFonts w:eastAsia="Calibri"/>
        </w:rPr>
        <w:t xml:space="preserve"> </w:t>
      </w:r>
      <w:bookmarkStart w:id="697" w:name="_Hlk127453061"/>
      <w:r w:rsidRPr="003B4362">
        <w:rPr>
          <w:rFonts w:eastAsia="Calibri"/>
        </w:rPr>
        <w:t>th</w:t>
      </w:r>
      <w:r w:rsidR="00895B08" w:rsidRPr="003B4362">
        <w:rPr>
          <w:rFonts w:eastAsia="Calibri"/>
        </w:rPr>
        <w:t>e supplier computes under subsection (c)(4) using the results of tap water sampling under Section 611.356</w:t>
      </w:r>
      <w:bookmarkEnd w:id="697"/>
      <w:bookmarkEnd w:id="696"/>
      <w:r w:rsidRPr="003B4362">
        <w:rPr>
          <w:rFonts w:eastAsia="Calibri"/>
        </w:rPr>
        <w:t>.</w:t>
      </w:r>
    </w:p>
    <w:p w14:paraId="2334D699" w14:textId="1B5ADB8F" w:rsidR="005451CE" w:rsidRPr="003B4362" w:rsidRDefault="005451CE" w:rsidP="00622E3C">
      <w:pPr>
        <w:spacing w:after="240"/>
        <w:ind w:left="2160"/>
        <w:rPr>
          <w:rFonts w:eastAsia="Calibri"/>
        </w:rPr>
      </w:pPr>
      <w:r w:rsidRPr="003B4362">
        <w:rPr>
          <w:rFonts w:eastAsia="Calibri"/>
        </w:rPr>
        <w:lastRenderedPageBreak/>
        <w:t>BOARD NOTE:</w:t>
      </w:r>
      <w:r w:rsidR="00F93ACF" w:rsidRPr="003B4362">
        <w:rPr>
          <w:rFonts w:eastAsia="Calibri"/>
        </w:rPr>
        <w:t xml:space="preserve"> </w:t>
      </w:r>
      <w:r w:rsidRPr="003B4362">
        <w:rPr>
          <w:rFonts w:eastAsia="Calibri"/>
        </w:rPr>
        <w:t xml:space="preserve"> This definition derives from 40 CFR 141.80(c)</w:t>
      </w:r>
      <w:r w:rsidR="00895B08" w:rsidRPr="003B4362">
        <w:rPr>
          <w:rFonts w:eastAsia="Calibri"/>
        </w:rPr>
        <w:t>(4)</w:t>
      </w:r>
      <w:r w:rsidRPr="003B4362">
        <w:rPr>
          <w:rFonts w:eastAsia="Calibri"/>
        </w:rPr>
        <w:t>.</w:t>
      </w:r>
    </w:p>
    <w:p w14:paraId="3D19789C" w14:textId="71D6E053" w:rsidR="005451CE" w:rsidRPr="003B4362" w:rsidRDefault="005451CE" w:rsidP="005451CE">
      <w:pPr>
        <w:spacing w:before="240" w:after="240"/>
        <w:ind w:left="2160"/>
        <w:rPr>
          <w:rFonts w:eastAsia="Calibri"/>
        </w:rPr>
      </w:pPr>
      <w:r w:rsidRPr="003B4362">
        <w:rPr>
          <w:rFonts w:eastAsia="Calibri"/>
        </w:rPr>
        <w:t xml:space="preserve">“Optimal corrosion control treatment” </w:t>
      </w:r>
      <w:r w:rsidR="00463226" w:rsidRPr="003B4362">
        <w:rPr>
          <w:rFonts w:eastAsia="Calibri"/>
        </w:rPr>
        <w:t xml:space="preserve">or “OCCT” </w:t>
      </w:r>
      <w:r w:rsidRPr="003B4362">
        <w:rPr>
          <w:rFonts w:eastAsia="Calibri"/>
        </w:rPr>
        <w:t>means the corrosion control treatment minimizing the lead and copper concentrations at users’ taps while ensuring that the treatment will not violate any national primary drinking water regulations.</w:t>
      </w:r>
    </w:p>
    <w:p w14:paraId="1534C806" w14:textId="1401197D"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 xml:space="preserve">“Partial lead service line replacement” means replacing any portion of a lead service line or </w:t>
      </w:r>
      <w:r w:rsidR="00D738A4" w:rsidRPr="003B4362">
        <w:rPr>
          <w:rFonts w:eastAsia="Calibri"/>
          <w:szCs w:val="24"/>
        </w:rPr>
        <w:t>galvanized requiring re</w:t>
      </w:r>
      <w:r w:rsidR="00646A69" w:rsidRPr="003B4362">
        <w:rPr>
          <w:rFonts w:eastAsia="Calibri"/>
          <w:szCs w:val="24"/>
        </w:rPr>
        <w:t xml:space="preserve">placement </w:t>
      </w:r>
      <w:r w:rsidRPr="003B4362">
        <w:rPr>
          <w:rFonts w:eastAsia="Calibri"/>
          <w:szCs w:val="24"/>
        </w:rPr>
        <w:t>service line leaving any length of the lead service line or</w:t>
      </w:r>
      <w:r w:rsidR="00D738A4" w:rsidRPr="003B4362">
        <w:rPr>
          <w:rFonts w:eastAsia="Calibri"/>
          <w:szCs w:val="24"/>
        </w:rPr>
        <w:t xml:space="preserve"> galvanized requiring r</w:t>
      </w:r>
      <w:r w:rsidR="00646A69" w:rsidRPr="003B4362">
        <w:rPr>
          <w:rFonts w:eastAsia="Calibri"/>
          <w:szCs w:val="24"/>
        </w:rPr>
        <w:t>eplacement</w:t>
      </w:r>
      <w:r w:rsidRPr="003B4362">
        <w:rPr>
          <w:rFonts w:eastAsia="Calibri"/>
          <w:szCs w:val="24"/>
        </w:rPr>
        <w:t xml:space="preserve"> service line in service and requiring replacement upon completion of the work.  </w:t>
      </w:r>
      <w:bookmarkStart w:id="698" w:name="_Hlk111734122"/>
      <w:r w:rsidR="0030174E" w:rsidRPr="003B4362">
        <w:rPr>
          <w:rFonts w:eastAsia="Calibri"/>
          <w:szCs w:val="24"/>
        </w:rPr>
        <w:t xml:space="preserve">40 CFR </w:t>
      </w:r>
      <w:r w:rsidRPr="003B4362">
        <w:rPr>
          <w:rFonts w:eastAsia="Calibri"/>
          <w:szCs w:val="24"/>
        </w:rPr>
        <w:t>141.84(d) allows partial lead service line replacements</w:t>
      </w:r>
      <w:r w:rsidR="0030174E" w:rsidRPr="003B4362">
        <w:rPr>
          <w:rFonts w:eastAsia="Calibri"/>
          <w:szCs w:val="24"/>
        </w:rPr>
        <w:t xml:space="preserve"> under limited circumstances</w:t>
      </w:r>
      <w:r w:rsidRPr="003B4362">
        <w:rPr>
          <w:rFonts w:eastAsia="Calibri"/>
          <w:szCs w:val="24"/>
        </w:rPr>
        <w:t>, but these do not count</w:t>
      </w:r>
      <w:bookmarkEnd w:id="698"/>
      <w:r w:rsidRPr="003B4362">
        <w:rPr>
          <w:rFonts w:eastAsia="Calibri"/>
          <w:szCs w:val="24"/>
        </w:rPr>
        <w:t xml:space="preserve"> towards the mandatory or goal-based lead service line replacement rate under Section </w:t>
      </w:r>
      <w:r w:rsidR="0030174E" w:rsidRPr="003B4362">
        <w:rPr>
          <w:rFonts w:eastAsia="Calibri"/>
          <w:szCs w:val="24"/>
        </w:rPr>
        <w:t>611.354</w:t>
      </w:r>
      <w:r w:rsidRPr="003B4362">
        <w:rPr>
          <w:rFonts w:eastAsia="Calibri"/>
          <w:szCs w:val="24"/>
        </w:rPr>
        <w:t>.</w:t>
      </w:r>
    </w:p>
    <w:p w14:paraId="24EA4F5F" w14:textId="4E5BA950" w:rsidR="005451CE" w:rsidRPr="003B4362" w:rsidRDefault="005451CE" w:rsidP="005451CE">
      <w:pPr>
        <w:autoSpaceDE w:val="0"/>
        <w:autoSpaceDN w:val="0"/>
        <w:adjustRightInd w:val="0"/>
        <w:spacing w:before="240"/>
        <w:ind w:left="2160"/>
        <w:rPr>
          <w:rFonts w:eastAsia="Calibri"/>
          <w:szCs w:val="24"/>
        </w:rPr>
      </w:pPr>
      <w:r w:rsidRPr="003B4362">
        <w:rPr>
          <w:rFonts w:eastAsia="Calibri"/>
          <w:szCs w:val="24"/>
        </w:rPr>
        <w:t xml:space="preserve">“Pitcher filter” means a non-plumbed water filtration device consisting of a </w:t>
      </w:r>
      <w:r w:rsidR="0084199E" w:rsidRPr="003B4362">
        <w:rPr>
          <w:rFonts w:eastAsia="Calibri"/>
          <w:szCs w:val="24"/>
        </w:rPr>
        <w:t>gravity-fed</w:t>
      </w:r>
      <w:r w:rsidRPr="003B4362">
        <w:rPr>
          <w:rFonts w:eastAsia="Calibri"/>
          <w:szCs w:val="24"/>
        </w:rPr>
        <w:t xml:space="preserve"> water filtration cartridge and a filtered drinking water reservoir that is </w:t>
      </w:r>
      <w:bookmarkStart w:id="699" w:name="_Hlk111742061"/>
      <w:r w:rsidRPr="003B4362">
        <w:rPr>
          <w:rFonts w:eastAsia="Calibri"/>
          <w:szCs w:val="24"/>
        </w:rPr>
        <w:t xml:space="preserve">certified by its manufacturer, importer, or </w:t>
      </w:r>
      <w:r w:rsidR="0084199E" w:rsidRPr="003B4362">
        <w:rPr>
          <w:rFonts w:eastAsia="Calibri"/>
          <w:szCs w:val="24"/>
        </w:rPr>
        <w:t xml:space="preserve">an </w:t>
      </w:r>
      <w:r w:rsidRPr="003B4362">
        <w:rPr>
          <w:rFonts w:eastAsia="Calibri"/>
          <w:szCs w:val="24"/>
        </w:rPr>
        <w:t xml:space="preserve">accredited third-party certifying body as complying with </w:t>
      </w:r>
      <w:r w:rsidR="0084199E" w:rsidRPr="003B4362">
        <w:rPr>
          <w:rFonts w:eastAsia="Calibri"/>
          <w:szCs w:val="24"/>
        </w:rPr>
        <w:t xml:space="preserve">the version of </w:t>
      </w:r>
      <w:r w:rsidRPr="003B4362">
        <w:rPr>
          <w:rFonts w:eastAsia="Calibri"/>
          <w:szCs w:val="24"/>
        </w:rPr>
        <w:t>NSF/ANSI 53 in effect on the date of manufacture or import</w:t>
      </w:r>
      <w:bookmarkEnd w:id="699"/>
      <w:r w:rsidRPr="003B4362">
        <w:rPr>
          <w:rFonts w:eastAsia="Calibri"/>
          <w:szCs w:val="24"/>
        </w:rPr>
        <w:t>.</w:t>
      </w:r>
    </w:p>
    <w:p w14:paraId="4BF3A409" w14:textId="54792FE9" w:rsidR="005451CE" w:rsidRPr="003B4362" w:rsidRDefault="005451CE" w:rsidP="005451CE">
      <w:pPr>
        <w:autoSpaceDE w:val="0"/>
        <w:autoSpaceDN w:val="0"/>
        <w:adjustRightInd w:val="0"/>
        <w:spacing w:after="240"/>
        <w:ind w:left="2160"/>
        <w:rPr>
          <w:rFonts w:eastAsia="Calibri"/>
          <w:szCs w:val="24"/>
        </w:rPr>
      </w:pPr>
      <w:r w:rsidRPr="003B4362">
        <w:rPr>
          <w:rFonts w:eastAsia="Calibri"/>
          <w:szCs w:val="24"/>
        </w:rPr>
        <w:t xml:space="preserve">BOARD NOTE:  NSF/ANSI 53 is the health-based </w:t>
      </w:r>
      <w:bookmarkStart w:id="700" w:name="_Hlk112061924"/>
      <w:r w:rsidRPr="003B4362">
        <w:rPr>
          <w:rFonts w:eastAsia="Calibri"/>
          <w:szCs w:val="24"/>
        </w:rPr>
        <w:t xml:space="preserve">standard for lead and several other contaminants for water filter devices, including </w:t>
      </w:r>
      <w:bookmarkEnd w:id="700"/>
      <w:r w:rsidRPr="003B4362">
        <w:rPr>
          <w:rFonts w:eastAsia="Calibri"/>
          <w:szCs w:val="24"/>
        </w:rPr>
        <w:t>pitcher filter-type devices.  Identifying a device as certified under NSF/ANSI 53 at the time of purchase is possible.  NSF maintains an on-line list of certified devices at info.nsf.org/Certified/dwtu/listings_leadreduction.asp.  See the definition of “accredited third-party certifying body” in 35 Ill. Adm. Code 611.126(b) relating to NSF/ANSI 372.</w:t>
      </w:r>
    </w:p>
    <w:p w14:paraId="5CE8D3C5" w14:textId="6772666F" w:rsidR="005451CE" w:rsidRPr="003B4362" w:rsidRDefault="005451CE" w:rsidP="005451CE">
      <w:pPr>
        <w:spacing w:before="240"/>
        <w:ind w:left="2160"/>
        <w:rPr>
          <w:rFonts w:eastAsia="Calibri"/>
        </w:rPr>
      </w:pPr>
      <w:r w:rsidRPr="003B4362">
        <w:rPr>
          <w:rFonts w:eastAsia="Calibri"/>
        </w:rPr>
        <w:t xml:space="preserve">“Practical quantitation limit” or “PQL” means the lowest concentration of </w:t>
      </w:r>
      <w:r w:rsidRPr="003B4362">
        <w:rPr>
          <w:rFonts w:eastAsia="Calibri"/>
          <w:szCs w:val="24"/>
        </w:rPr>
        <w:t xml:space="preserve">an analyte (substance) </w:t>
      </w:r>
      <w:r w:rsidRPr="003B4362">
        <w:rPr>
          <w:rFonts w:eastAsia="Calibri"/>
        </w:rPr>
        <w:t>that a well-operated laboratory can</w:t>
      </w:r>
      <w:r w:rsidRPr="003B4362">
        <w:rPr>
          <w:rFonts w:eastAsia="Calibri"/>
          <w:szCs w:val="24"/>
        </w:rPr>
        <w:t xml:space="preserve"> measure with a high degree of confidence that the analyte is present at or above that concentration</w:t>
      </w:r>
      <w:r w:rsidRPr="003B4362">
        <w:rPr>
          <w:rFonts w:eastAsia="Calibri"/>
        </w:rPr>
        <w:t>.</w:t>
      </w:r>
    </w:p>
    <w:p w14:paraId="6B1118FC" w14:textId="2AD0AB95" w:rsidR="005451CE" w:rsidRPr="003B4362" w:rsidRDefault="005451CE" w:rsidP="005451CE">
      <w:pPr>
        <w:spacing w:after="240"/>
        <w:ind w:left="2160"/>
        <w:rPr>
          <w:rFonts w:eastAsia="Calibri"/>
        </w:rPr>
      </w:pPr>
      <w:r w:rsidRPr="003B4362">
        <w:rPr>
          <w:rFonts w:eastAsia="Calibri"/>
        </w:rPr>
        <w:t>BOARD NOTE:  This definition derives from 40 CFR 141.89(a)(1)(ii) and (a)(1)(iv).</w:t>
      </w:r>
    </w:p>
    <w:p w14:paraId="09F87562" w14:textId="56DC1059"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 xml:space="preserve">“Pre-stagnation flushing” means opening taps to flush standing water from plumbing </w:t>
      </w:r>
      <w:r w:rsidR="00F93ACF" w:rsidRPr="003B4362">
        <w:rPr>
          <w:rFonts w:eastAsia="Calibri"/>
          <w:szCs w:val="24"/>
        </w:rPr>
        <w:t>before</w:t>
      </w:r>
      <w:r w:rsidRPr="003B4362">
        <w:rPr>
          <w:rFonts w:eastAsia="Calibri"/>
          <w:szCs w:val="24"/>
        </w:rPr>
        <w:t xml:space="preserve"> a minimum six-hour stagnation period before lead and copper tap sampling under Subpart G.</w:t>
      </w:r>
    </w:p>
    <w:p w14:paraId="1BBBF191" w14:textId="2D7B44D2"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 xml:space="preserve">“School” means any building or building complex associated with public, private, or charter institutions </w:t>
      </w:r>
      <w:r w:rsidR="0084199E" w:rsidRPr="003B4362">
        <w:rPr>
          <w:rFonts w:eastAsia="Calibri"/>
          <w:szCs w:val="24"/>
        </w:rPr>
        <w:t>that primarily provides teaching and learning for</w:t>
      </w:r>
      <w:r w:rsidRPr="003B4362">
        <w:rPr>
          <w:rFonts w:eastAsia="Calibri"/>
          <w:szCs w:val="24"/>
        </w:rPr>
        <w:t xml:space="preserve"> elementary or secondary students.</w:t>
      </w:r>
    </w:p>
    <w:p w14:paraId="142F0DA9" w14:textId="4F46E517"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 xml:space="preserve">“Secondary school” means a school comprising any span of grades beginning with the next grade following an elementary or middle school </w:t>
      </w:r>
      <w:r w:rsidRPr="003B4362">
        <w:rPr>
          <w:rFonts w:eastAsia="Calibri"/>
          <w:szCs w:val="24"/>
        </w:rPr>
        <w:lastRenderedPageBreak/>
        <w:t>(usually 7, 8, or 9) and ending with or below grade 12.  T</w:t>
      </w:r>
      <w:bookmarkStart w:id="701" w:name="_Hlk113918447"/>
      <w:r w:rsidRPr="003B4362">
        <w:rPr>
          <w:rFonts w:eastAsia="Calibri"/>
          <w:szCs w:val="24"/>
        </w:rPr>
        <w:t>his definition includes both junior high schools and senior high schools</w:t>
      </w:r>
      <w:bookmarkEnd w:id="701"/>
      <w:r w:rsidRPr="003B4362">
        <w:rPr>
          <w:rFonts w:eastAsia="Calibri"/>
          <w:szCs w:val="24"/>
        </w:rPr>
        <w:t>.</w:t>
      </w:r>
    </w:p>
    <w:p w14:paraId="7314FD71" w14:textId="2FE06543" w:rsidR="005451CE" w:rsidRPr="003B4362" w:rsidRDefault="005451CE" w:rsidP="005451CE">
      <w:pPr>
        <w:spacing w:before="240" w:after="240"/>
        <w:ind w:left="2160"/>
        <w:rPr>
          <w:rFonts w:eastAsia="Calibri"/>
        </w:rPr>
      </w:pPr>
      <w:r w:rsidRPr="003B4362">
        <w:rPr>
          <w:rFonts w:eastAsia="Calibri"/>
        </w:rPr>
        <w:t xml:space="preserve">“Single-family structure” means a building constructed as a residence for a single-family </w:t>
      </w:r>
      <w:bookmarkStart w:id="702" w:name="_Hlk113920719"/>
      <w:r w:rsidRPr="003B4362">
        <w:rPr>
          <w:rFonts w:eastAsia="Calibri"/>
        </w:rPr>
        <w:t xml:space="preserve">that the occupant currently uses </w:t>
      </w:r>
      <w:bookmarkStart w:id="703" w:name="_Hlk113920844"/>
      <w:bookmarkEnd w:id="702"/>
      <w:r w:rsidRPr="003B4362">
        <w:rPr>
          <w:rFonts w:eastAsia="Calibri"/>
        </w:rPr>
        <w:t>as a residence or place of business</w:t>
      </w:r>
      <w:bookmarkEnd w:id="703"/>
      <w:r w:rsidRPr="003B4362">
        <w:rPr>
          <w:rFonts w:eastAsia="Calibri"/>
        </w:rPr>
        <w:t>.</w:t>
      </w:r>
    </w:p>
    <w:p w14:paraId="6B40CA06" w14:textId="3A591E62" w:rsidR="0086660B" w:rsidRPr="003B4362" w:rsidRDefault="0086660B" w:rsidP="0086660B">
      <w:pPr>
        <w:spacing w:before="240"/>
        <w:ind w:left="2160"/>
        <w:rPr>
          <w:rFonts w:eastAsia="Calibri"/>
        </w:rPr>
      </w:pPr>
      <w:r w:rsidRPr="003B4362">
        <w:rPr>
          <w:rFonts w:eastAsia="Calibri"/>
        </w:rPr>
        <w:t xml:space="preserve">“Small </w:t>
      </w:r>
      <w:r w:rsidR="004604D0" w:rsidRPr="003B4362">
        <w:rPr>
          <w:rFonts w:eastAsia="Calibri"/>
        </w:rPr>
        <w:t>s</w:t>
      </w:r>
      <w:r w:rsidRPr="003B4362">
        <w:rPr>
          <w:rFonts w:eastAsia="Calibri"/>
        </w:rPr>
        <w:t>ystem</w:t>
      </w:r>
      <w:r w:rsidR="00CA4697" w:rsidRPr="003B4362">
        <w:rPr>
          <w:rFonts w:eastAsia="Calibri"/>
        </w:rPr>
        <w:t xml:space="preserve"> supplier</w:t>
      </w:r>
      <w:r w:rsidRPr="003B4362">
        <w:rPr>
          <w:rFonts w:eastAsia="Calibri"/>
        </w:rPr>
        <w:t>” or “small CWS</w:t>
      </w:r>
      <w:r w:rsidR="00CA4697" w:rsidRPr="003B4362">
        <w:rPr>
          <w:rFonts w:eastAsia="Calibri"/>
        </w:rPr>
        <w:t xml:space="preserve"> supplier</w:t>
      </w:r>
      <w:r w:rsidRPr="003B4362">
        <w:rPr>
          <w:rFonts w:eastAsia="Calibri"/>
        </w:rPr>
        <w:t>” means a CWS serving 10,000 or fewer persons.</w:t>
      </w:r>
    </w:p>
    <w:p w14:paraId="54AB3C23" w14:textId="11CA7DD5" w:rsidR="0086660B" w:rsidRPr="003B4362" w:rsidRDefault="0086660B" w:rsidP="0086660B">
      <w:pPr>
        <w:spacing w:after="240"/>
        <w:ind w:left="2160"/>
        <w:rPr>
          <w:rFonts w:eastAsia="Calibri"/>
        </w:rPr>
      </w:pPr>
      <w:r w:rsidRPr="003B4362">
        <w:rPr>
          <w:rFonts w:eastAsia="Calibri"/>
        </w:rPr>
        <w:t xml:space="preserve">BOARD NOTE:  </w:t>
      </w:r>
      <w:r w:rsidR="003631B3" w:rsidRPr="003B4362">
        <w:rPr>
          <w:rFonts w:eastAsia="Calibri"/>
        </w:rPr>
        <w:t>A small CWS is a small s</w:t>
      </w:r>
      <w:r w:rsidR="00515D35" w:rsidRPr="003B4362">
        <w:rPr>
          <w:rFonts w:eastAsia="Calibri"/>
        </w:rPr>
        <w:t>upplier</w:t>
      </w:r>
      <w:r w:rsidR="003631B3" w:rsidRPr="003B4362">
        <w:rPr>
          <w:rFonts w:eastAsia="Calibri"/>
        </w:rPr>
        <w:t xml:space="preserve"> that is a CWS.  This definition derives from the preamble of 40 CFR 141.93.  </w:t>
      </w:r>
      <w:bookmarkStart w:id="704" w:name="_Hlk126164832"/>
      <w:r w:rsidR="003631B3" w:rsidRPr="003B4362">
        <w:rPr>
          <w:rFonts w:eastAsia="Calibri"/>
        </w:rPr>
        <w:t>Corresponding Section 611.363 distinguishes a s</w:t>
      </w:r>
      <w:r w:rsidR="001900AB" w:rsidRPr="003B4362">
        <w:rPr>
          <w:rFonts w:eastAsia="Calibri"/>
        </w:rPr>
        <w:t>mall CWS supplier from an NTNCWS supplier.</w:t>
      </w:r>
      <w:bookmarkEnd w:id="704"/>
    </w:p>
    <w:p w14:paraId="074BD6AF" w14:textId="17783077" w:rsidR="005451CE" w:rsidRPr="003B4362" w:rsidRDefault="005451CE" w:rsidP="005451CE">
      <w:pPr>
        <w:spacing w:before="240"/>
        <w:ind w:left="2160"/>
        <w:rPr>
          <w:rFonts w:eastAsia="Calibri"/>
        </w:rPr>
      </w:pPr>
      <w:r w:rsidRPr="003B4362">
        <w:rPr>
          <w:rFonts w:eastAsia="Calibri"/>
        </w:rPr>
        <w:t>“Small</w:t>
      </w:r>
      <w:r w:rsidR="00093105" w:rsidRPr="003B4362">
        <w:rPr>
          <w:rFonts w:eastAsia="Calibri"/>
        </w:rPr>
        <w:t xml:space="preserve"> supplier</w:t>
      </w:r>
      <w:r w:rsidRPr="003B4362">
        <w:rPr>
          <w:rFonts w:eastAsia="Calibri"/>
        </w:rPr>
        <w:t xml:space="preserve">” means a </w:t>
      </w:r>
      <w:r w:rsidR="00093105" w:rsidRPr="003B4362">
        <w:rPr>
          <w:rFonts w:eastAsia="Calibri"/>
        </w:rPr>
        <w:t xml:space="preserve">supplier </w:t>
      </w:r>
      <w:bookmarkStart w:id="705" w:name="_Hlk113921126"/>
      <w:r w:rsidRPr="003B4362">
        <w:rPr>
          <w:rFonts w:eastAsia="Calibri"/>
        </w:rPr>
        <w:t>regularly serving water</w:t>
      </w:r>
      <w:bookmarkEnd w:id="705"/>
      <w:r w:rsidRPr="003B4362">
        <w:rPr>
          <w:rFonts w:eastAsia="Calibri"/>
        </w:rPr>
        <w:t xml:space="preserve"> to </w:t>
      </w:r>
      <w:r w:rsidR="00505C53" w:rsidRPr="003B4362">
        <w:rPr>
          <w:rFonts w:eastAsia="Calibri"/>
        </w:rPr>
        <w:t xml:space="preserve">10,000 </w:t>
      </w:r>
      <w:r w:rsidRPr="003B4362">
        <w:rPr>
          <w:rFonts w:eastAsia="Calibri"/>
        </w:rPr>
        <w:t>or fewer persons.</w:t>
      </w:r>
    </w:p>
    <w:p w14:paraId="0377AA28" w14:textId="113BE361" w:rsidR="005451CE" w:rsidRPr="003B4362" w:rsidRDefault="005451CE" w:rsidP="005451CE">
      <w:pPr>
        <w:spacing w:after="240"/>
        <w:ind w:left="2160"/>
        <w:rPr>
          <w:rFonts w:eastAsia="Calibri"/>
        </w:rPr>
      </w:pPr>
      <w:r w:rsidRPr="003B4362">
        <w:rPr>
          <w:rFonts w:eastAsia="Calibri"/>
        </w:rPr>
        <w:t xml:space="preserve">BOARD NOTE:  </w:t>
      </w:r>
      <w:r w:rsidR="001900AB" w:rsidRPr="003B4362">
        <w:rPr>
          <w:rFonts w:eastAsia="Calibri"/>
        </w:rPr>
        <w:t xml:space="preserve">USEPA did not revise </w:t>
      </w:r>
      <w:r w:rsidR="00515D35" w:rsidRPr="003B4362">
        <w:rPr>
          <w:rFonts w:eastAsia="Calibri"/>
        </w:rPr>
        <w:t>its</w:t>
      </w:r>
      <w:r w:rsidR="001900AB" w:rsidRPr="003B4362">
        <w:rPr>
          <w:rFonts w:eastAsia="Calibri"/>
        </w:rPr>
        <w:t xml:space="preserve"> corresponding definition of “small water system” in 40 CFR 141.2 from 3,300 or fewer to 10,000 or fewer persons</w:t>
      </w:r>
      <w:r w:rsidR="00577603" w:rsidRPr="003B4362">
        <w:rPr>
          <w:rFonts w:eastAsia="Calibri"/>
        </w:rPr>
        <w:t>.</w:t>
      </w:r>
      <w:r w:rsidR="001900AB" w:rsidRPr="003B4362">
        <w:rPr>
          <w:rFonts w:eastAsia="Calibri"/>
        </w:rPr>
        <w:t xml:space="preserve">  This creates an inconsistency the Board corrected.</w:t>
      </w:r>
    </w:p>
    <w:p w14:paraId="71506302" w14:textId="38F89869" w:rsidR="00646ED6" w:rsidRPr="003B4362" w:rsidRDefault="00646ED6" w:rsidP="00646ED6">
      <w:pPr>
        <w:spacing w:before="240"/>
        <w:ind w:left="2160"/>
        <w:rPr>
          <w:rFonts w:eastAsia="Calibri"/>
        </w:rPr>
      </w:pPr>
      <w:r w:rsidRPr="003B4362">
        <w:rPr>
          <w:rFonts w:eastAsia="Calibri"/>
        </w:rPr>
        <w:t>“Source water monitoring period” means any of the six-month periods during which a supplier must complete source water monitoring under Section 611.358.</w:t>
      </w:r>
    </w:p>
    <w:p w14:paraId="33F32908" w14:textId="2182FEEE" w:rsidR="00646ED6" w:rsidRPr="003B4362" w:rsidRDefault="00646ED6" w:rsidP="00646ED6">
      <w:pPr>
        <w:spacing w:after="240"/>
        <w:ind w:left="2160"/>
        <w:rPr>
          <w:rFonts w:eastAsia="Calibri"/>
        </w:rPr>
      </w:pPr>
      <w:r w:rsidRPr="003B4362">
        <w:rPr>
          <w:rFonts w:eastAsia="Calibri"/>
        </w:rPr>
        <w:t>BOARD NOTE: The Board added this definition to avoid confusion with “tap sampling period,” “tap monitoring cycle</w:t>
      </w:r>
      <w:r w:rsidRPr="003B4362">
        <w:rPr>
          <w:rFonts w:eastAsia="Calibri"/>
          <w:szCs w:val="16"/>
        </w:rPr>
        <w:t>”, and “water quality monitoring period”, as used under this Subpart G,</w:t>
      </w:r>
      <w:r w:rsidRPr="003B4362">
        <w:rPr>
          <w:rFonts w:eastAsia="Calibri"/>
        </w:rPr>
        <w:t xml:space="preserve"> and “compliance period” and “compliance cycle”, as used elsewhere in this Part and Section 611.101 defines.</w:t>
      </w:r>
    </w:p>
    <w:p w14:paraId="20C764F3" w14:textId="5B3D8502"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w:t>
      </w:r>
      <w:r w:rsidR="00FB434E" w:rsidRPr="003B4362">
        <w:rPr>
          <w:rFonts w:eastAsia="Calibri"/>
          <w:szCs w:val="24"/>
        </w:rPr>
        <w:t>Supplier not applying</w:t>
      </w:r>
      <w:r w:rsidRPr="003B4362">
        <w:rPr>
          <w:rFonts w:eastAsia="Calibri"/>
          <w:szCs w:val="24"/>
        </w:rPr>
        <w:t xml:space="preserve"> corrosion control treatment” means a PWS not fulfilling either of two conditions or purchasing all of its water from a supplier not fulfilling either of two conditions:</w:t>
      </w:r>
    </w:p>
    <w:p w14:paraId="1C787C65" w14:textId="0E60CB0A" w:rsidR="005451CE" w:rsidRPr="003B4362" w:rsidRDefault="005451CE" w:rsidP="005451CE">
      <w:pPr>
        <w:autoSpaceDE w:val="0"/>
        <w:autoSpaceDN w:val="0"/>
        <w:adjustRightInd w:val="0"/>
        <w:spacing w:before="240" w:after="240"/>
        <w:ind w:left="2880"/>
        <w:rPr>
          <w:rFonts w:eastAsia="Calibri"/>
          <w:szCs w:val="24"/>
        </w:rPr>
      </w:pPr>
      <w:r w:rsidRPr="003B4362">
        <w:rPr>
          <w:rFonts w:eastAsia="Calibri"/>
          <w:szCs w:val="24"/>
        </w:rPr>
        <w:t xml:space="preserve">Neither the PWS nor the supplier </w:t>
      </w:r>
      <w:r w:rsidR="00333CA7" w:rsidRPr="003B4362">
        <w:rPr>
          <w:rFonts w:eastAsia="Calibri"/>
          <w:szCs w:val="24"/>
        </w:rPr>
        <w:t xml:space="preserve">providing its water </w:t>
      </w:r>
      <w:r w:rsidRPr="003B4362">
        <w:rPr>
          <w:rFonts w:eastAsia="Calibri"/>
          <w:szCs w:val="24"/>
        </w:rPr>
        <w:t>has Agency-approve</w:t>
      </w:r>
      <w:r w:rsidR="00333CA7" w:rsidRPr="003B4362">
        <w:rPr>
          <w:rFonts w:eastAsia="Calibri"/>
          <w:szCs w:val="24"/>
        </w:rPr>
        <w:t>d</w:t>
      </w:r>
      <w:r w:rsidRPr="003B4362">
        <w:rPr>
          <w:rFonts w:eastAsia="Calibri"/>
          <w:szCs w:val="24"/>
        </w:rPr>
        <w:t xml:space="preserve"> optimal corrosion control treatment; or</w:t>
      </w:r>
    </w:p>
    <w:p w14:paraId="5548F86B" w14:textId="77777777" w:rsidR="005451CE" w:rsidRPr="003B4362" w:rsidRDefault="005451CE" w:rsidP="005451CE">
      <w:pPr>
        <w:autoSpaceDE w:val="0"/>
        <w:autoSpaceDN w:val="0"/>
        <w:adjustRightInd w:val="0"/>
        <w:spacing w:before="240" w:after="240"/>
        <w:ind w:left="2880"/>
        <w:rPr>
          <w:rFonts w:eastAsia="Calibri"/>
          <w:szCs w:val="24"/>
        </w:rPr>
      </w:pPr>
      <w:r w:rsidRPr="003B4362">
        <w:rPr>
          <w:rFonts w:eastAsia="Calibri"/>
          <w:szCs w:val="24"/>
        </w:rPr>
        <w:t>No other water quality adjustment in either the PWS’s or the supplier’s treatment train infrastructure includes adjusting pH or alkalinity or adding corrosion inhibitor.</w:t>
      </w:r>
    </w:p>
    <w:p w14:paraId="51839084" w14:textId="7DE4593B" w:rsidR="00EC3652" w:rsidRPr="003B4362" w:rsidRDefault="00EC3652" w:rsidP="00EC3652">
      <w:pPr>
        <w:autoSpaceDE w:val="0"/>
        <w:autoSpaceDN w:val="0"/>
        <w:adjustRightInd w:val="0"/>
        <w:ind w:left="2160"/>
        <w:rPr>
          <w:szCs w:val="24"/>
        </w:rPr>
      </w:pPr>
      <w:r w:rsidRPr="003B4362">
        <w:rPr>
          <w:szCs w:val="24"/>
        </w:rPr>
        <w:t xml:space="preserve">“Tap monitoring </w:t>
      </w:r>
      <w:r w:rsidR="0045214D" w:rsidRPr="003B4362">
        <w:rPr>
          <w:szCs w:val="24"/>
        </w:rPr>
        <w:t>cycle</w:t>
      </w:r>
      <w:r w:rsidRPr="003B4362">
        <w:rPr>
          <w:szCs w:val="24"/>
        </w:rPr>
        <w:t xml:space="preserve">” means the </w:t>
      </w:r>
      <w:r w:rsidR="0084199E" w:rsidRPr="003B4362">
        <w:rPr>
          <w:szCs w:val="24"/>
        </w:rPr>
        <w:t>period of time during which</w:t>
      </w:r>
      <w:r w:rsidRPr="003B4362">
        <w:rPr>
          <w:szCs w:val="24"/>
        </w:rPr>
        <w:t xml:space="preserve"> a supplier must sample taps for lead and copper analyses.  The lead and copper concentrations in tap samples </w:t>
      </w:r>
      <w:r w:rsidR="0084199E" w:rsidRPr="003B4362">
        <w:rPr>
          <w:szCs w:val="24"/>
        </w:rPr>
        <w:t>determine</w:t>
      </w:r>
      <w:r w:rsidRPr="003B4362">
        <w:rPr>
          <w:szCs w:val="24"/>
        </w:rPr>
        <w:t xml:space="preserve"> the tap monitoring </w:t>
      </w:r>
      <w:r w:rsidR="00E64F25" w:rsidRPr="003B4362">
        <w:rPr>
          <w:szCs w:val="24"/>
        </w:rPr>
        <w:t>cycle</w:t>
      </w:r>
      <w:r w:rsidRPr="003B4362">
        <w:rPr>
          <w:szCs w:val="24"/>
        </w:rPr>
        <w:t xml:space="preserve">, and the frequency can range from every six months (i.e., </w:t>
      </w:r>
      <w:bookmarkStart w:id="706" w:name="_Hlk128067609"/>
      <w:r w:rsidRPr="003B4362">
        <w:rPr>
          <w:szCs w:val="24"/>
        </w:rPr>
        <w:t>semi-annual</w:t>
      </w:r>
      <w:r w:rsidR="00420A59" w:rsidRPr="003B4362">
        <w:rPr>
          <w:szCs w:val="24"/>
        </w:rPr>
        <w:t>ly</w:t>
      </w:r>
      <w:bookmarkEnd w:id="706"/>
      <w:r w:rsidRPr="003B4362">
        <w:rPr>
          <w:szCs w:val="24"/>
        </w:rPr>
        <w:t xml:space="preserve">) to once every nine years.  </w:t>
      </w:r>
      <w:bookmarkStart w:id="707" w:name="_Hlk112084973"/>
      <w:r w:rsidRPr="003B4362">
        <w:rPr>
          <w:szCs w:val="24"/>
        </w:rPr>
        <w:t xml:space="preserve">A supplier semi-annually sampling </w:t>
      </w:r>
      <w:bookmarkEnd w:id="707"/>
      <w:r w:rsidRPr="003B4362">
        <w:rPr>
          <w:szCs w:val="24"/>
        </w:rPr>
        <w:t xml:space="preserve">taps must collect samples no less frequently than every six months, while a supplier </w:t>
      </w:r>
      <w:r w:rsidRPr="003B4362">
        <w:rPr>
          <w:szCs w:val="24"/>
        </w:rPr>
        <w:lastRenderedPageBreak/>
        <w:t xml:space="preserve">annually sampling taps must sample no less frequently than every year.  A supplier triennially sampling taps must collect samples no less frequently than every three years, and a supplier sampling taps under an Agency-issued waiver must sample no less frequently than every nine years.  The start of each new tap monitoring </w:t>
      </w:r>
      <w:r w:rsidR="00420A59" w:rsidRPr="003B4362">
        <w:rPr>
          <w:szCs w:val="24"/>
        </w:rPr>
        <w:t>cycle</w:t>
      </w:r>
      <w:r w:rsidRPr="003B4362">
        <w:rPr>
          <w:szCs w:val="24"/>
        </w:rPr>
        <w:t>, with the exception of semi-annual monitoring, must begin on January 1.</w:t>
      </w:r>
    </w:p>
    <w:p w14:paraId="2C556054" w14:textId="0C9A07AF" w:rsidR="00A029EB" w:rsidRPr="003B4362" w:rsidRDefault="00A029EB" w:rsidP="00EC3652">
      <w:pPr>
        <w:autoSpaceDE w:val="0"/>
        <w:autoSpaceDN w:val="0"/>
        <w:adjustRightInd w:val="0"/>
        <w:ind w:left="2160"/>
        <w:rPr>
          <w:szCs w:val="24"/>
        </w:rPr>
      </w:pPr>
      <w:r w:rsidRPr="003B4362">
        <w:rPr>
          <w:szCs w:val="24"/>
        </w:rPr>
        <w:t xml:space="preserve">BOARD NOTE:  </w:t>
      </w:r>
      <w:r w:rsidR="00420A59" w:rsidRPr="003B4362">
        <w:rPr>
          <w:szCs w:val="24"/>
        </w:rPr>
        <w:t xml:space="preserve">This term is equivalent to “tap sampling monitoring period” in 40 CFR 141.  </w:t>
      </w:r>
      <w:r w:rsidRPr="003B4362">
        <w:rPr>
          <w:szCs w:val="24"/>
        </w:rPr>
        <w:t xml:space="preserve">“Tap monitoring </w:t>
      </w:r>
      <w:r w:rsidR="00420A59" w:rsidRPr="003B4362">
        <w:rPr>
          <w:szCs w:val="24"/>
        </w:rPr>
        <w:t>cycle</w:t>
      </w:r>
      <w:r w:rsidRPr="003B4362">
        <w:rPr>
          <w:szCs w:val="24"/>
        </w:rPr>
        <w:t>” describes</w:t>
      </w:r>
      <w:r w:rsidR="00AD466B" w:rsidRPr="003B4362">
        <w:rPr>
          <w:szCs w:val="24"/>
        </w:rPr>
        <w:t xml:space="preserve"> sampling</w:t>
      </w:r>
      <w:r w:rsidRPr="003B4362">
        <w:rPr>
          <w:szCs w:val="24"/>
        </w:rPr>
        <w:t xml:space="preserve"> frequency.</w:t>
      </w:r>
    </w:p>
    <w:p w14:paraId="6B6F16E1" w14:textId="1D5C0651" w:rsidR="005451CE" w:rsidRPr="003B4362" w:rsidRDefault="005451CE" w:rsidP="00A029EB">
      <w:pPr>
        <w:autoSpaceDE w:val="0"/>
        <w:autoSpaceDN w:val="0"/>
        <w:adjustRightInd w:val="0"/>
        <w:spacing w:before="240"/>
        <w:ind w:left="2160"/>
        <w:rPr>
          <w:rFonts w:eastAsia="Calibri"/>
          <w:szCs w:val="24"/>
        </w:rPr>
      </w:pPr>
      <w:r w:rsidRPr="003B4362">
        <w:rPr>
          <w:rFonts w:eastAsia="Calibri"/>
          <w:szCs w:val="24"/>
        </w:rPr>
        <w:t xml:space="preserve">“Tap sampling period” means the period within </w:t>
      </w:r>
      <w:bookmarkStart w:id="708" w:name="_Hlk112089873"/>
      <w:r w:rsidRPr="003B4362">
        <w:rPr>
          <w:rFonts w:eastAsia="Calibri"/>
          <w:szCs w:val="24"/>
        </w:rPr>
        <w:t xml:space="preserve">a tap monitoring </w:t>
      </w:r>
      <w:bookmarkEnd w:id="708"/>
      <w:r w:rsidR="00524724" w:rsidRPr="003B4362">
        <w:rPr>
          <w:rFonts w:eastAsia="Calibri"/>
          <w:szCs w:val="24"/>
        </w:rPr>
        <w:t>cycle</w:t>
      </w:r>
      <w:r w:rsidRPr="003B4362">
        <w:rPr>
          <w:rFonts w:eastAsia="Calibri"/>
          <w:szCs w:val="24"/>
        </w:rPr>
        <w:t xml:space="preserve"> when the supplier must collect samples for lead and copper analysis.  For a supplier sampling at a reduced frequency, the supplier must sample taps between June and September, unless the Agency issues a SEP approving a different four-month period.</w:t>
      </w:r>
    </w:p>
    <w:p w14:paraId="72970F63" w14:textId="5320EBA8" w:rsidR="00A029EB" w:rsidRPr="003B4362" w:rsidRDefault="00A029EB" w:rsidP="00A029EB">
      <w:pPr>
        <w:autoSpaceDE w:val="0"/>
        <w:autoSpaceDN w:val="0"/>
        <w:adjustRightInd w:val="0"/>
        <w:ind w:left="2160"/>
        <w:rPr>
          <w:szCs w:val="24"/>
        </w:rPr>
      </w:pPr>
      <w:r w:rsidRPr="003B4362">
        <w:rPr>
          <w:szCs w:val="24"/>
        </w:rPr>
        <w:t>BOARD NOTE:  “Tap sampling period” describes when the supplier collects samples.</w:t>
      </w:r>
    </w:p>
    <w:p w14:paraId="1FCDB92A" w14:textId="77777777"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 xml:space="preserve">“Tap sampling protocol” means </w:t>
      </w:r>
      <w:bookmarkStart w:id="709" w:name="_Hlk112092120"/>
      <w:r w:rsidRPr="003B4362">
        <w:rPr>
          <w:rFonts w:eastAsia="Calibri"/>
          <w:szCs w:val="24"/>
        </w:rPr>
        <w:t>the instructions a supplier gives to residents</w:t>
      </w:r>
      <w:bookmarkEnd w:id="709"/>
      <w:r w:rsidRPr="003B4362">
        <w:rPr>
          <w:rFonts w:eastAsia="Calibri"/>
          <w:szCs w:val="24"/>
        </w:rPr>
        <w:t xml:space="preserve"> or those sampling on the supplier’s behalf to sample taps under this Subpart G.</w:t>
      </w:r>
    </w:p>
    <w:p w14:paraId="512BAD9E" w14:textId="33FBD853" w:rsidR="00E82D83" w:rsidRPr="003B4362" w:rsidRDefault="00E82D83" w:rsidP="00E82D83">
      <w:pPr>
        <w:spacing w:before="240"/>
        <w:ind w:left="2160"/>
        <w:rPr>
          <w:rFonts w:eastAsia="Calibri"/>
        </w:rPr>
      </w:pPr>
      <w:r w:rsidRPr="003B4362">
        <w:rPr>
          <w:rFonts w:eastAsia="Calibri"/>
        </w:rPr>
        <w:t xml:space="preserve">“Water quality monitoring period” means any of the six-month periods during which a supplier must complete </w:t>
      </w:r>
      <w:bookmarkStart w:id="710" w:name="_Hlk128479455"/>
      <w:r w:rsidRPr="003B4362">
        <w:rPr>
          <w:rFonts w:eastAsia="Calibri"/>
        </w:rPr>
        <w:t>a cycle of tap and entry point water quality monitoring under Section 611.357</w:t>
      </w:r>
      <w:bookmarkEnd w:id="710"/>
      <w:r w:rsidRPr="003B4362">
        <w:rPr>
          <w:rFonts w:eastAsia="Calibri"/>
        </w:rPr>
        <w:t>.</w:t>
      </w:r>
    </w:p>
    <w:p w14:paraId="13B075AC" w14:textId="0003AD9F" w:rsidR="00E82D83" w:rsidRPr="003B4362" w:rsidRDefault="00E82D83" w:rsidP="00E82D83">
      <w:pPr>
        <w:spacing w:after="240"/>
        <w:ind w:left="2160"/>
        <w:rPr>
          <w:rFonts w:eastAsia="Calibri"/>
        </w:rPr>
      </w:pPr>
      <w:r w:rsidRPr="003B4362">
        <w:rPr>
          <w:rFonts w:eastAsia="Calibri"/>
        </w:rPr>
        <w:t xml:space="preserve">BOARD NOTE: </w:t>
      </w:r>
      <w:r w:rsidR="008B128C" w:rsidRPr="003B4362">
        <w:rPr>
          <w:rFonts w:eastAsia="Calibri"/>
        </w:rPr>
        <w:t xml:space="preserve">The Board added this definition.  </w:t>
      </w:r>
      <w:r w:rsidRPr="003B4362">
        <w:rPr>
          <w:rFonts w:eastAsia="Calibri"/>
        </w:rPr>
        <w:t>USEPA refers to these as “monitoring periods”.  The Board uses “</w:t>
      </w:r>
      <w:bookmarkStart w:id="711" w:name="_Hlk128479887"/>
      <w:r w:rsidR="00275C1D" w:rsidRPr="003B4362">
        <w:rPr>
          <w:rFonts w:eastAsia="Calibri"/>
        </w:rPr>
        <w:t>water quality</w:t>
      </w:r>
      <w:r w:rsidRPr="003B4362">
        <w:rPr>
          <w:rFonts w:eastAsia="Calibri"/>
        </w:rPr>
        <w:t xml:space="preserve"> monitoring period” to avoid confusion with “</w:t>
      </w:r>
      <w:r w:rsidR="00275C1D" w:rsidRPr="003B4362">
        <w:rPr>
          <w:rFonts w:eastAsia="Calibri"/>
        </w:rPr>
        <w:t>tap sampling period</w:t>
      </w:r>
      <w:r w:rsidR="00646ED6" w:rsidRPr="003B4362">
        <w:rPr>
          <w:rFonts w:eastAsia="Calibri"/>
        </w:rPr>
        <w:t>,</w:t>
      </w:r>
      <w:r w:rsidR="00275C1D" w:rsidRPr="003B4362">
        <w:rPr>
          <w:rFonts w:eastAsia="Calibri"/>
        </w:rPr>
        <w:t>” “tap monitoring cycle</w:t>
      </w:r>
      <w:r w:rsidRPr="003B4362">
        <w:rPr>
          <w:rFonts w:eastAsia="Calibri"/>
          <w:szCs w:val="16"/>
        </w:rPr>
        <w:t>”</w:t>
      </w:r>
      <w:r w:rsidR="00275C1D" w:rsidRPr="003B4362">
        <w:rPr>
          <w:rFonts w:eastAsia="Calibri"/>
          <w:szCs w:val="16"/>
        </w:rPr>
        <w:t xml:space="preserve">, </w:t>
      </w:r>
      <w:r w:rsidR="00646ED6" w:rsidRPr="003B4362">
        <w:rPr>
          <w:rFonts w:eastAsia="Calibri"/>
          <w:szCs w:val="16"/>
        </w:rPr>
        <w:t xml:space="preserve">and “source water monitoring period”, </w:t>
      </w:r>
      <w:r w:rsidR="00275C1D" w:rsidRPr="003B4362">
        <w:rPr>
          <w:rFonts w:eastAsia="Calibri"/>
          <w:szCs w:val="16"/>
        </w:rPr>
        <w:t>as used under this Subpart G,</w:t>
      </w:r>
      <w:r w:rsidRPr="003B4362">
        <w:rPr>
          <w:rFonts w:eastAsia="Calibri"/>
        </w:rPr>
        <w:t xml:space="preserve"> </w:t>
      </w:r>
      <w:r w:rsidR="00275C1D" w:rsidRPr="003B4362">
        <w:rPr>
          <w:rFonts w:eastAsia="Calibri"/>
        </w:rPr>
        <w:t>and “compliance period” and “compliance cycle”</w:t>
      </w:r>
      <w:bookmarkEnd w:id="711"/>
      <w:r w:rsidR="00275C1D" w:rsidRPr="003B4362">
        <w:rPr>
          <w:rFonts w:eastAsia="Calibri"/>
        </w:rPr>
        <w:t xml:space="preserve">, </w:t>
      </w:r>
      <w:r w:rsidRPr="003B4362">
        <w:rPr>
          <w:rFonts w:eastAsia="Calibri"/>
        </w:rPr>
        <w:t>as used elsewhere in this Part and Section 611.101</w:t>
      </w:r>
      <w:r w:rsidR="00646ED6" w:rsidRPr="003B4362">
        <w:rPr>
          <w:rFonts w:eastAsia="Calibri"/>
        </w:rPr>
        <w:t xml:space="preserve"> defines</w:t>
      </w:r>
      <w:r w:rsidRPr="003B4362">
        <w:rPr>
          <w:rFonts w:eastAsia="Calibri"/>
        </w:rPr>
        <w:t>.</w:t>
      </w:r>
    </w:p>
    <w:p w14:paraId="32454AD0" w14:textId="77777777"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“Wide-mouthed bottles” means bottles one liter in volume having a mouth that is at least 55 mm wide.</w:t>
      </w:r>
    </w:p>
    <w:p w14:paraId="2753DD23" w14:textId="78E7F0FC" w:rsidR="005451CE" w:rsidRPr="003B4362" w:rsidRDefault="005451CE" w:rsidP="005451CE">
      <w:pPr>
        <w:spacing w:before="240" w:after="240"/>
        <w:ind w:left="1440"/>
        <w:rPr>
          <w:rFonts w:eastAsia="Calibri"/>
        </w:rPr>
      </w:pPr>
      <w:r w:rsidRPr="003B4362">
        <w:rPr>
          <w:rFonts w:eastAsia="Calibri"/>
        </w:rPr>
        <w:t xml:space="preserve">BOARD NOTE: </w:t>
      </w:r>
      <w:r w:rsidRPr="003B4362">
        <w:rPr>
          <w:rFonts w:eastAsia="Calibri"/>
          <w:spacing w:val="-3"/>
        </w:rPr>
        <w:t xml:space="preserve">This subsection (b) derives </w:t>
      </w:r>
      <w:r w:rsidRPr="003B4362">
        <w:rPr>
          <w:rFonts w:eastAsia="Calibri"/>
        </w:rPr>
        <w:t>from 40 CFR 141.2.</w:t>
      </w:r>
    </w:p>
    <w:p w14:paraId="4DB69CB9" w14:textId="6F0C1C0E" w:rsidR="005451CE" w:rsidRPr="003B4362" w:rsidRDefault="005451CE" w:rsidP="00E8404F">
      <w:pPr>
        <w:spacing w:before="240" w:after="240"/>
        <w:ind w:left="1440" w:hanging="720"/>
        <w:rPr>
          <w:rFonts w:eastAsia="Calibri"/>
        </w:rPr>
      </w:pPr>
      <w:r w:rsidRPr="003B4362">
        <w:rPr>
          <w:rFonts w:eastAsia="Calibri"/>
        </w:rPr>
        <w:t>c)</w:t>
      </w:r>
      <w:r w:rsidRPr="003B4362">
        <w:rPr>
          <w:rFonts w:eastAsia="Calibri"/>
        </w:rPr>
        <w:tab/>
      </w:r>
      <w:bookmarkStart w:id="712" w:name="_Hlk116470597"/>
      <w:r w:rsidR="00CF245E" w:rsidRPr="003B4362">
        <w:rPr>
          <w:rFonts w:eastAsia="Calibri"/>
        </w:rPr>
        <w:t xml:space="preserve">Lead Trigger Level and </w:t>
      </w:r>
      <w:r w:rsidRPr="003B4362">
        <w:rPr>
          <w:rFonts w:eastAsia="Calibri"/>
        </w:rPr>
        <w:t>Lead and Copper Action Levels</w:t>
      </w:r>
      <w:bookmarkEnd w:id="712"/>
      <w:r w:rsidR="00D724BF" w:rsidRPr="003B4362">
        <w:rPr>
          <w:rFonts w:eastAsia="Calibri"/>
        </w:rPr>
        <w:t>.</w:t>
      </w:r>
      <w:r w:rsidR="00D724BF" w:rsidRPr="003B4362">
        <w:rPr>
          <w:szCs w:val="24"/>
        </w:rPr>
        <w:t xml:space="preserve">  The supplier determines the lead trigger levels and lead and copper action levels based on tap water samples </w:t>
      </w:r>
      <w:bookmarkStart w:id="713" w:name="_Hlk116471086"/>
      <w:r w:rsidR="00D724BF" w:rsidRPr="003B4362">
        <w:rPr>
          <w:szCs w:val="24"/>
        </w:rPr>
        <w:t xml:space="preserve">it collects under </w:t>
      </w:r>
      <w:r w:rsidR="002A7BD4" w:rsidRPr="003B4362">
        <w:rPr>
          <w:szCs w:val="24"/>
        </w:rPr>
        <w:t>4</w:t>
      </w:r>
      <w:r w:rsidR="00697E80" w:rsidRPr="003B4362">
        <w:rPr>
          <w:szCs w:val="24"/>
        </w:rPr>
        <w:t>0 C.F.R.</w:t>
      </w:r>
      <w:r w:rsidR="00D724BF" w:rsidRPr="003B4362">
        <w:rPr>
          <w:szCs w:val="24"/>
        </w:rPr>
        <w:t xml:space="preserve"> 141.86</w:t>
      </w:r>
      <w:bookmarkEnd w:id="713"/>
      <w:r w:rsidR="00D724BF" w:rsidRPr="003B4362">
        <w:rPr>
          <w:szCs w:val="24"/>
        </w:rPr>
        <w:t xml:space="preserve"> </w:t>
      </w:r>
      <w:bookmarkStart w:id="714" w:name="_Hlk116471291"/>
      <w:r w:rsidR="00831B84" w:rsidRPr="003B4362">
        <w:rPr>
          <w:szCs w:val="24"/>
        </w:rPr>
        <w:t>to</w:t>
      </w:r>
      <w:r w:rsidR="00D724BF" w:rsidRPr="003B4362">
        <w:rPr>
          <w:szCs w:val="24"/>
        </w:rPr>
        <w:t xml:space="preserve"> calculat</w:t>
      </w:r>
      <w:r w:rsidR="00831B84" w:rsidRPr="003B4362">
        <w:rPr>
          <w:szCs w:val="24"/>
        </w:rPr>
        <w:t>e</w:t>
      </w:r>
      <w:r w:rsidR="00D724BF" w:rsidRPr="003B4362">
        <w:rPr>
          <w:szCs w:val="24"/>
        </w:rPr>
        <w:t xml:space="preserve"> the 90th percentile </w:t>
      </w:r>
      <w:bookmarkEnd w:id="714"/>
      <w:r w:rsidR="00945D09" w:rsidRPr="003B4362">
        <w:rPr>
          <w:szCs w:val="24"/>
        </w:rPr>
        <w:t>concentration</w:t>
      </w:r>
      <w:r w:rsidR="00831B84" w:rsidRPr="003B4362">
        <w:rPr>
          <w:szCs w:val="24"/>
        </w:rPr>
        <w:t xml:space="preserve"> </w:t>
      </w:r>
      <w:r w:rsidR="00D724BF" w:rsidRPr="003B4362">
        <w:rPr>
          <w:szCs w:val="24"/>
        </w:rPr>
        <w:t>and test</w:t>
      </w:r>
      <w:r w:rsidR="00831B84" w:rsidRPr="003B4362">
        <w:rPr>
          <w:szCs w:val="24"/>
        </w:rPr>
        <w:t>s</w:t>
      </w:r>
      <w:r w:rsidR="00D724BF" w:rsidRPr="003B4362">
        <w:rPr>
          <w:szCs w:val="24"/>
        </w:rPr>
        <w:t xml:space="preserve"> </w:t>
      </w:r>
      <w:bookmarkStart w:id="715" w:name="_Hlk116472033"/>
      <w:r w:rsidR="00D724BF" w:rsidRPr="003B4362">
        <w:rPr>
          <w:szCs w:val="24"/>
        </w:rPr>
        <w:t xml:space="preserve">using the analytical methods in </w:t>
      </w:r>
      <w:r w:rsidR="00697E80" w:rsidRPr="003B4362">
        <w:rPr>
          <w:szCs w:val="24"/>
        </w:rPr>
        <w:t>40 C.F.R.</w:t>
      </w:r>
      <w:r w:rsidR="00D724BF" w:rsidRPr="003B4362">
        <w:rPr>
          <w:szCs w:val="24"/>
        </w:rPr>
        <w:t xml:space="preserve"> 141.89</w:t>
      </w:r>
      <w:bookmarkEnd w:id="715"/>
      <w:r w:rsidR="00D724BF" w:rsidRPr="003B4362">
        <w:rPr>
          <w:szCs w:val="24"/>
        </w:rPr>
        <w:t>.</w:t>
      </w:r>
    </w:p>
    <w:p w14:paraId="581A0274" w14:textId="7514F6BE" w:rsidR="00265D29" w:rsidRPr="003B4362" w:rsidRDefault="00265D29" w:rsidP="00265D29">
      <w:pPr>
        <w:spacing w:before="240" w:after="240"/>
        <w:ind w:left="2160" w:hanging="720"/>
        <w:rPr>
          <w:rFonts w:eastAsia="Calibri"/>
        </w:rPr>
      </w:pPr>
      <w:r w:rsidRPr="003B4362">
        <w:rPr>
          <w:rFonts w:eastAsia="Calibri"/>
        </w:rPr>
        <w:t>1)</w:t>
      </w:r>
      <w:r w:rsidRPr="003B4362">
        <w:rPr>
          <w:rFonts w:eastAsia="Calibri"/>
        </w:rPr>
        <w:tab/>
      </w:r>
      <w:r w:rsidRPr="003B4362">
        <w:rPr>
          <w:szCs w:val="24"/>
        </w:rPr>
        <w:t>T</w:t>
      </w:r>
      <w:bookmarkStart w:id="716" w:name="_Hlk116475310"/>
      <w:r w:rsidRPr="003B4362">
        <w:rPr>
          <w:szCs w:val="24"/>
        </w:rPr>
        <w:t xml:space="preserve">he </w:t>
      </w:r>
      <w:r w:rsidR="00BE7E37" w:rsidRPr="003B4362">
        <w:rPr>
          <w:szCs w:val="24"/>
        </w:rPr>
        <w:t xml:space="preserve">supplier exceeds the </w:t>
      </w:r>
      <w:r w:rsidRPr="003B4362">
        <w:rPr>
          <w:szCs w:val="24"/>
        </w:rPr>
        <w:t xml:space="preserve">lead trigger level </w:t>
      </w:r>
      <w:bookmarkEnd w:id="716"/>
      <w:r w:rsidRPr="003B4362">
        <w:rPr>
          <w:szCs w:val="24"/>
        </w:rPr>
        <w:t xml:space="preserve">if the 90th percentile </w:t>
      </w:r>
      <w:bookmarkStart w:id="717" w:name="_Hlk116476174"/>
      <w:r w:rsidR="006E4DC4" w:rsidRPr="003B4362">
        <w:rPr>
          <w:szCs w:val="24"/>
        </w:rPr>
        <w:t xml:space="preserve">lead </w:t>
      </w:r>
      <w:r w:rsidRPr="003B4362">
        <w:rPr>
          <w:szCs w:val="24"/>
        </w:rPr>
        <w:t>concentration</w:t>
      </w:r>
      <w:r w:rsidR="00F53D55" w:rsidRPr="003B4362">
        <w:rPr>
          <w:szCs w:val="24"/>
        </w:rPr>
        <w:t xml:space="preserve"> </w:t>
      </w:r>
      <w:r w:rsidR="00166F58" w:rsidRPr="003B4362">
        <w:rPr>
          <w:szCs w:val="24"/>
        </w:rPr>
        <w:t xml:space="preserve">as subsection (c)(4) specifies is </w:t>
      </w:r>
      <w:r w:rsidR="0084199E" w:rsidRPr="003B4362">
        <w:rPr>
          <w:szCs w:val="24"/>
        </w:rPr>
        <w:t xml:space="preserve">determined </w:t>
      </w:r>
      <w:r w:rsidR="00166F58" w:rsidRPr="003B4362">
        <w:rPr>
          <w:szCs w:val="24"/>
        </w:rPr>
        <w:t xml:space="preserve">to be </w:t>
      </w:r>
      <w:r w:rsidRPr="003B4362">
        <w:rPr>
          <w:szCs w:val="24"/>
        </w:rPr>
        <w:t xml:space="preserve">greater than 10 </w:t>
      </w:r>
      <w:r w:rsidR="00B0110E" w:rsidRPr="003B4362">
        <w:rPr>
          <w:szCs w:val="24"/>
        </w:rPr>
        <w:t>µg</w:t>
      </w:r>
      <w:r w:rsidRPr="003B4362">
        <w:rPr>
          <w:szCs w:val="24"/>
        </w:rPr>
        <w:t>/</w:t>
      </w:r>
      <w:bookmarkEnd w:id="717"/>
      <w:r w:rsidR="0084199E" w:rsidRPr="003B4362">
        <w:t xml:space="preserve"> L</w:t>
      </w:r>
      <w:r w:rsidRPr="003B4362">
        <w:rPr>
          <w:szCs w:val="24"/>
        </w:rPr>
        <w:t>.</w:t>
      </w:r>
    </w:p>
    <w:p w14:paraId="71A74CD5" w14:textId="7A2BFFA4" w:rsidR="005451CE" w:rsidRPr="003B4362" w:rsidRDefault="00265D29" w:rsidP="005451CE">
      <w:pPr>
        <w:spacing w:before="240" w:after="240"/>
        <w:ind w:left="2160" w:hanging="720"/>
        <w:rPr>
          <w:rFonts w:eastAsia="Calibri"/>
        </w:rPr>
      </w:pPr>
      <w:r w:rsidRPr="003B4362">
        <w:rPr>
          <w:rFonts w:eastAsia="Calibri"/>
        </w:rPr>
        <w:lastRenderedPageBreak/>
        <w:t>2</w:t>
      </w:r>
      <w:r w:rsidR="005451CE" w:rsidRPr="003B4362">
        <w:rPr>
          <w:rFonts w:eastAsia="Calibri"/>
        </w:rPr>
        <w:t>)</w:t>
      </w:r>
      <w:r w:rsidR="005451CE" w:rsidRPr="003B4362">
        <w:rPr>
          <w:rFonts w:eastAsia="Calibri"/>
        </w:rPr>
        <w:tab/>
        <w:t>T</w:t>
      </w:r>
      <w:bookmarkStart w:id="718" w:name="_Hlk116476038"/>
      <w:r w:rsidR="005451CE" w:rsidRPr="003B4362">
        <w:rPr>
          <w:rFonts w:eastAsia="Calibri"/>
        </w:rPr>
        <w:t>he supplier exceeds the lead action level</w:t>
      </w:r>
      <w:bookmarkEnd w:id="718"/>
      <w:r w:rsidR="005451CE" w:rsidRPr="003B4362">
        <w:rPr>
          <w:rFonts w:eastAsia="Calibri"/>
        </w:rPr>
        <w:t xml:space="preserve"> if the 90th percentile lead </w:t>
      </w:r>
      <w:bookmarkStart w:id="719" w:name="_Hlk127455526"/>
      <w:r w:rsidR="00090B4E" w:rsidRPr="003B4362">
        <w:rPr>
          <w:rFonts w:eastAsia="Calibri"/>
        </w:rPr>
        <w:t>conce</w:t>
      </w:r>
      <w:r w:rsidR="00166F58" w:rsidRPr="003B4362">
        <w:rPr>
          <w:rFonts w:eastAsia="Calibri"/>
        </w:rPr>
        <w:t>n</w:t>
      </w:r>
      <w:r w:rsidR="00090B4E" w:rsidRPr="003B4362">
        <w:rPr>
          <w:rFonts w:eastAsia="Calibri"/>
        </w:rPr>
        <w:t xml:space="preserve">tration </w:t>
      </w:r>
      <w:bookmarkEnd w:id="719"/>
      <w:r w:rsidR="005451CE" w:rsidRPr="003B4362">
        <w:rPr>
          <w:rFonts w:eastAsia="Calibri"/>
        </w:rPr>
        <w:t xml:space="preserve">is greater than 15 </w:t>
      </w:r>
      <w:r w:rsidR="00B0110E" w:rsidRPr="003B4362">
        <w:rPr>
          <w:rFonts w:eastAsia="Calibri"/>
        </w:rPr>
        <w:t>µg</w:t>
      </w:r>
      <w:r w:rsidR="005451CE" w:rsidRPr="003B4362">
        <w:rPr>
          <w:rFonts w:eastAsia="Calibri"/>
        </w:rPr>
        <w:t>/</w:t>
      </w:r>
      <w:r w:rsidR="0084199E" w:rsidRPr="003B4362">
        <w:t xml:space="preserve"> L</w:t>
      </w:r>
      <w:r w:rsidR="005451CE" w:rsidRPr="003B4362">
        <w:rPr>
          <w:rFonts w:eastAsia="Calibri"/>
        </w:rPr>
        <w:t>.</w:t>
      </w:r>
    </w:p>
    <w:p w14:paraId="3A3B693C" w14:textId="3DD0CCF5" w:rsidR="005451CE" w:rsidRPr="003B4362" w:rsidRDefault="00265D29" w:rsidP="005451CE">
      <w:pPr>
        <w:spacing w:before="240" w:after="240"/>
        <w:ind w:left="2160" w:hanging="720"/>
        <w:rPr>
          <w:rFonts w:eastAsia="Calibri"/>
        </w:rPr>
      </w:pPr>
      <w:r w:rsidRPr="003B4362">
        <w:rPr>
          <w:rFonts w:eastAsia="Calibri"/>
        </w:rPr>
        <w:t>3</w:t>
      </w:r>
      <w:r w:rsidR="005451CE" w:rsidRPr="003B4362">
        <w:rPr>
          <w:rFonts w:eastAsia="Calibri"/>
        </w:rPr>
        <w:t>)</w:t>
      </w:r>
      <w:r w:rsidR="005451CE" w:rsidRPr="003B4362">
        <w:rPr>
          <w:rFonts w:eastAsia="Calibri"/>
        </w:rPr>
        <w:tab/>
        <w:t xml:space="preserve">The supplier exceeds the copper action level if the 90th percentile copper </w:t>
      </w:r>
      <w:r w:rsidR="00090B4E" w:rsidRPr="003B4362">
        <w:rPr>
          <w:rFonts w:eastAsia="Calibri"/>
        </w:rPr>
        <w:t>conce</w:t>
      </w:r>
      <w:r w:rsidR="00166F58" w:rsidRPr="003B4362">
        <w:rPr>
          <w:rFonts w:eastAsia="Calibri"/>
        </w:rPr>
        <w:t>n</w:t>
      </w:r>
      <w:r w:rsidR="00090B4E" w:rsidRPr="003B4362">
        <w:rPr>
          <w:rFonts w:eastAsia="Calibri"/>
        </w:rPr>
        <w:t xml:space="preserve">tration </w:t>
      </w:r>
      <w:r w:rsidR="005451CE" w:rsidRPr="003B4362">
        <w:rPr>
          <w:rFonts w:eastAsia="Calibri"/>
        </w:rPr>
        <w:t>is greater than 1.3 mg/</w:t>
      </w:r>
      <w:r w:rsidR="0084199E" w:rsidRPr="003B4362">
        <w:t xml:space="preserve"> L</w:t>
      </w:r>
      <w:r w:rsidR="005451CE" w:rsidRPr="003B4362">
        <w:rPr>
          <w:rFonts w:eastAsia="Calibri"/>
        </w:rPr>
        <w:t>.</w:t>
      </w:r>
    </w:p>
    <w:p w14:paraId="14410555" w14:textId="2541738A" w:rsidR="005451CE" w:rsidRPr="003B4362" w:rsidRDefault="00265D29" w:rsidP="005451CE">
      <w:pPr>
        <w:spacing w:before="240" w:after="240"/>
        <w:ind w:left="2160" w:hanging="720"/>
        <w:rPr>
          <w:rFonts w:eastAsia="Calibri"/>
        </w:rPr>
      </w:pPr>
      <w:r w:rsidRPr="003B4362">
        <w:rPr>
          <w:rFonts w:eastAsia="Calibri"/>
        </w:rPr>
        <w:t>4</w:t>
      </w:r>
      <w:r w:rsidR="005451CE" w:rsidRPr="003B4362">
        <w:rPr>
          <w:rFonts w:eastAsia="Calibri"/>
        </w:rPr>
        <w:t>)</w:t>
      </w:r>
      <w:r w:rsidR="005451CE" w:rsidRPr="003B4362">
        <w:rPr>
          <w:rFonts w:eastAsia="Calibri"/>
        </w:rPr>
        <w:tab/>
      </w:r>
      <w:r w:rsidR="005E32EB" w:rsidRPr="003B4362">
        <w:rPr>
          <w:rFonts w:eastAsia="Calibri"/>
        </w:rPr>
        <w:t xml:space="preserve">The supplier </w:t>
      </w:r>
      <w:r w:rsidR="005451CE" w:rsidRPr="003B4362">
        <w:rPr>
          <w:rFonts w:eastAsia="Calibri"/>
        </w:rPr>
        <w:t>must compute the 90th percentile lead and copper</w:t>
      </w:r>
      <w:r w:rsidR="00090B4E" w:rsidRPr="003B4362">
        <w:rPr>
          <w:rFonts w:eastAsia="Calibri"/>
        </w:rPr>
        <w:t xml:space="preserve"> </w:t>
      </w:r>
      <w:r w:rsidR="00DC0700" w:rsidRPr="003B4362">
        <w:rPr>
          <w:rFonts w:eastAsia="Calibri"/>
        </w:rPr>
        <w:t>concentrations</w:t>
      </w:r>
      <w:r w:rsidR="00090B4E" w:rsidRPr="003B4362">
        <w:rPr>
          <w:rFonts w:eastAsia="Calibri"/>
        </w:rPr>
        <w:t xml:space="preserve"> using the specified procedure</w:t>
      </w:r>
      <w:r w:rsidR="005451CE" w:rsidRPr="003B4362">
        <w:rPr>
          <w:rFonts w:eastAsia="Calibri"/>
        </w:rPr>
        <w:t>:</w:t>
      </w:r>
    </w:p>
    <w:p w14:paraId="66CD8347" w14:textId="2EB7FF09" w:rsidR="00FC3AA3" w:rsidRPr="003B4362" w:rsidRDefault="00FC3AA3" w:rsidP="00FC3AA3">
      <w:pPr>
        <w:autoSpaceDE w:val="0"/>
        <w:autoSpaceDN w:val="0"/>
        <w:adjustRightInd w:val="0"/>
        <w:ind w:left="2880" w:hanging="720"/>
        <w:rPr>
          <w:szCs w:val="24"/>
        </w:rPr>
      </w:pPr>
      <w:r w:rsidRPr="003B4362">
        <w:rPr>
          <w:szCs w:val="24"/>
        </w:rPr>
        <w:t>A)</w:t>
      </w:r>
      <w:r w:rsidRPr="003B4362">
        <w:rPr>
          <w:szCs w:val="24"/>
        </w:rPr>
        <w:tab/>
      </w:r>
      <w:bookmarkStart w:id="720" w:name="_Hlk116482083"/>
      <w:r w:rsidRPr="003B4362">
        <w:rPr>
          <w:szCs w:val="24"/>
        </w:rPr>
        <w:t>Supp</w:t>
      </w:r>
      <w:r w:rsidR="00B07D02" w:rsidRPr="003B4362">
        <w:rPr>
          <w:szCs w:val="24"/>
        </w:rPr>
        <w:t>l</w:t>
      </w:r>
      <w:r w:rsidRPr="003B4362">
        <w:rPr>
          <w:szCs w:val="24"/>
        </w:rPr>
        <w:t xml:space="preserve">iers Not Having Sites with a Lead Service Line and </w:t>
      </w:r>
      <w:r w:rsidR="000325FD" w:rsidRPr="003B4362">
        <w:rPr>
          <w:szCs w:val="24"/>
        </w:rPr>
        <w:t>O</w:t>
      </w:r>
      <w:r w:rsidRPr="003B4362">
        <w:rPr>
          <w:szCs w:val="24"/>
        </w:rPr>
        <w:t xml:space="preserve">nly </w:t>
      </w:r>
      <w:r w:rsidR="000325FD" w:rsidRPr="003B4362">
        <w:rPr>
          <w:szCs w:val="24"/>
        </w:rPr>
        <w:t>H</w:t>
      </w:r>
      <w:r w:rsidRPr="003B4362">
        <w:rPr>
          <w:szCs w:val="24"/>
        </w:rPr>
        <w:t>av</w:t>
      </w:r>
      <w:r w:rsidR="000325FD" w:rsidRPr="003B4362">
        <w:rPr>
          <w:szCs w:val="24"/>
        </w:rPr>
        <w:t xml:space="preserve">ing </w:t>
      </w:r>
      <w:r w:rsidRPr="003B4362">
        <w:rPr>
          <w:szCs w:val="24"/>
        </w:rPr>
        <w:t xml:space="preserve">Tier 3, 4, or 5 </w:t>
      </w:r>
      <w:r w:rsidR="000325FD" w:rsidRPr="003B4362">
        <w:rPr>
          <w:szCs w:val="24"/>
        </w:rPr>
        <w:t>Sites U</w:t>
      </w:r>
      <w:r w:rsidRPr="003B4362">
        <w:rPr>
          <w:szCs w:val="24"/>
        </w:rPr>
        <w:t xml:space="preserve">nder </w:t>
      </w:r>
      <w:r w:rsidR="00DC0700" w:rsidRPr="003B4362">
        <w:rPr>
          <w:szCs w:val="24"/>
        </w:rPr>
        <w:t>40 C.F.R.</w:t>
      </w:r>
      <w:r w:rsidRPr="003B4362">
        <w:rPr>
          <w:szCs w:val="24"/>
        </w:rPr>
        <w:t xml:space="preserve"> 141.86(a)</w:t>
      </w:r>
      <w:bookmarkEnd w:id="720"/>
    </w:p>
    <w:p w14:paraId="1D763BE3" w14:textId="56517B74" w:rsidR="005451CE" w:rsidRPr="003B4362" w:rsidRDefault="000325FD" w:rsidP="000325FD">
      <w:pPr>
        <w:spacing w:before="240" w:after="240"/>
        <w:ind w:left="3600" w:hanging="720"/>
        <w:rPr>
          <w:rFonts w:eastAsia="Calibri"/>
        </w:rPr>
      </w:pPr>
      <w:r w:rsidRPr="003B4362">
        <w:rPr>
          <w:rFonts w:eastAsia="Calibri"/>
        </w:rPr>
        <w:t>i</w:t>
      </w:r>
      <w:r w:rsidR="005451CE" w:rsidRPr="003B4362">
        <w:rPr>
          <w:rFonts w:eastAsia="Calibri"/>
        </w:rPr>
        <w:t>)</w:t>
      </w:r>
      <w:r w:rsidR="005451CE" w:rsidRPr="003B4362">
        <w:rPr>
          <w:rFonts w:eastAsia="Calibri"/>
        </w:rPr>
        <w:tab/>
        <w:t xml:space="preserve">The supplier must list the results of all lead or copper samples it took during </w:t>
      </w:r>
      <w:r w:rsidR="00276D77" w:rsidRPr="003B4362">
        <w:rPr>
          <w:rFonts w:eastAsia="Calibri"/>
        </w:rPr>
        <w:t xml:space="preserve">a </w:t>
      </w:r>
      <w:r w:rsidR="005F08EC" w:rsidRPr="003B4362">
        <w:rPr>
          <w:szCs w:val="24"/>
        </w:rPr>
        <w:t xml:space="preserve">tap sampling </w:t>
      </w:r>
      <w:r w:rsidR="005451CE" w:rsidRPr="003B4362">
        <w:rPr>
          <w:rFonts w:eastAsia="Calibri"/>
        </w:rPr>
        <w:t>period in ascending order, ranging from the sample with the lowest concentration to the sample with the highest concentration.  The supplier must assign each sampling result an ordinal number, ascending by single integers, assigning the number 1 for the sample with the lowest contaminant level.  The number the supplier assigns to the sample with the highest contaminant level must equal the total number of samples the supplier took.</w:t>
      </w:r>
    </w:p>
    <w:p w14:paraId="5BE43B2B" w14:textId="4A4B1230" w:rsidR="005451CE" w:rsidRPr="003B4362" w:rsidRDefault="000325FD" w:rsidP="000325FD">
      <w:pPr>
        <w:spacing w:before="240" w:after="240"/>
        <w:ind w:left="3600" w:hanging="720"/>
        <w:rPr>
          <w:rFonts w:eastAsia="Calibri"/>
        </w:rPr>
      </w:pPr>
      <w:r w:rsidRPr="003B4362">
        <w:rPr>
          <w:rFonts w:eastAsia="Calibri"/>
        </w:rPr>
        <w:t>ii</w:t>
      </w:r>
      <w:r w:rsidR="005451CE" w:rsidRPr="003B4362">
        <w:rPr>
          <w:rFonts w:eastAsia="Calibri"/>
        </w:rPr>
        <w:t>)</w:t>
      </w:r>
      <w:r w:rsidR="005451CE" w:rsidRPr="003B4362">
        <w:rPr>
          <w:rFonts w:eastAsia="Calibri"/>
        </w:rPr>
        <w:tab/>
        <w:t xml:space="preserve">To determine the 90th percentile sample, the supplier must multiply the total number of samples taken during the </w:t>
      </w:r>
      <w:r w:rsidR="00387C73" w:rsidRPr="003B4362">
        <w:rPr>
          <w:szCs w:val="24"/>
        </w:rPr>
        <w:t xml:space="preserve">tap sampling </w:t>
      </w:r>
      <w:r w:rsidR="005451CE" w:rsidRPr="003B4362">
        <w:rPr>
          <w:rFonts w:eastAsia="Calibri"/>
        </w:rPr>
        <w:t>period times 0.9.</w:t>
      </w:r>
    </w:p>
    <w:p w14:paraId="5DBEDA4E" w14:textId="681284DA" w:rsidR="005451CE" w:rsidRPr="003B4362" w:rsidRDefault="000325FD" w:rsidP="000325FD">
      <w:pPr>
        <w:spacing w:before="240" w:after="240"/>
        <w:ind w:left="3600" w:hanging="720"/>
        <w:rPr>
          <w:rFonts w:eastAsia="Calibri"/>
        </w:rPr>
      </w:pPr>
      <w:r w:rsidRPr="003B4362">
        <w:rPr>
          <w:rFonts w:eastAsia="Calibri"/>
        </w:rPr>
        <w:t>iii</w:t>
      </w:r>
      <w:r w:rsidR="005451CE" w:rsidRPr="003B4362">
        <w:rPr>
          <w:rFonts w:eastAsia="Calibri"/>
        </w:rPr>
        <w:t>)</w:t>
      </w:r>
      <w:r w:rsidR="005451CE" w:rsidRPr="003B4362">
        <w:rPr>
          <w:rFonts w:eastAsia="Calibri"/>
        </w:rPr>
        <w:tab/>
        <w:t xml:space="preserve">The contaminant concentration in </w:t>
      </w:r>
      <w:bookmarkStart w:id="721" w:name="_Hlk114001590"/>
      <w:r w:rsidR="005451CE" w:rsidRPr="003B4362">
        <w:rPr>
          <w:rFonts w:eastAsia="Calibri"/>
        </w:rPr>
        <w:t xml:space="preserve">the sample corresponding with the ordinal number subsection </w:t>
      </w:r>
      <w:r w:rsidR="00447A00" w:rsidRPr="003B4362">
        <w:rPr>
          <w:rFonts w:eastAsia="Calibri"/>
        </w:rPr>
        <w:t>(c)(4)(</w:t>
      </w:r>
      <w:r w:rsidR="00447A00" w:rsidRPr="003B4362">
        <w:rPr>
          <w:szCs w:val="24"/>
        </w:rPr>
        <w:t>A)(ii</w:t>
      </w:r>
      <w:r w:rsidR="00447A00" w:rsidRPr="003B4362">
        <w:rPr>
          <w:rFonts w:eastAsia="Calibri"/>
        </w:rPr>
        <w:t xml:space="preserve">) yields </w:t>
      </w:r>
      <w:bookmarkEnd w:id="721"/>
      <w:r w:rsidR="005451CE" w:rsidRPr="003B4362">
        <w:rPr>
          <w:rFonts w:eastAsia="Calibri"/>
        </w:rPr>
        <w:t>is the 90th percentile</w:t>
      </w:r>
      <w:r w:rsidR="00447A00" w:rsidRPr="003B4362">
        <w:rPr>
          <w:rFonts w:eastAsia="Calibri"/>
        </w:rPr>
        <w:t xml:space="preserve"> concentration</w:t>
      </w:r>
      <w:r w:rsidR="005451CE" w:rsidRPr="003B4362">
        <w:rPr>
          <w:rFonts w:eastAsia="Calibri"/>
        </w:rPr>
        <w:t>.</w:t>
      </w:r>
    </w:p>
    <w:p w14:paraId="7DC9BB92" w14:textId="2327B6A8" w:rsidR="005451CE" w:rsidRPr="003B4362" w:rsidRDefault="000325FD" w:rsidP="000325FD">
      <w:pPr>
        <w:spacing w:before="240" w:after="240"/>
        <w:ind w:left="3600" w:hanging="720"/>
        <w:rPr>
          <w:rFonts w:eastAsia="Calibri"/>
        </w:rPr>
      </w:pPr>
      <w:r w:rsidRPr="003B4362">
        <w:rPr>
          <w:rFonts w:eastAsia="Calibri"/>
        </w:rPr>
        <w:t>iv</w:t>
      </w:r>
      <w:r w:rsidR="005451CE" w:rsidRPr="003B4362">
        <w:rPr>
          <w:rFonts w:eastAsia="Calibri"/>
        </w:rPr>
        <w:t>)</w:t>
      </w:r>
      <w:r w:rsidR="005451CE" w:rsidRPr="003B4362">
        <w:rPr>
          <w:rFonts w:eastAsia="Calibri"/>
        </w:rPr>
        <w:tab/>
        <w:t xml:space="preserve">For </w:t>
      </w:r>
      <w:bookmarkStart w:id="722" w:name="_Hlk114001822"/>
      <w:r w:rsidR="005451CE" w:rsidRPr="003B4362">
        <w:rPr>
          <w:rFonts w:eastAsia="Calibri"/>
        </w:rPr>
        <w:t>a supplier collecting five samples</w:t>
      </w:r>
      <w:bookmarkEnd w:id="722"/>
      <w:r w:rsidR="005451CE" w:rsidRPr="003B4362">
        <w:rPr>
          <w:rFonts w:eastAsia="Calibri"/>
        </w:rPr>
        <w:t xml:space="preserve"> per </w:t>
      </w:r>
      <w:r w:rsidR="00447A00" w:rsidRPr="003B4362">
        <w:rPr>
          <w:rFonts w:eastAsia="Calibri"/>
        </w:rPr>
        <w:t xml:space="preserve">tap sampling </w:t>
      </w:r>
      <w:r w:rsidR="005451CE" w:rsidRPr="003B4362">
        <w:rPr>
          <w:rFonts w:eastAsia="Calibri"/>
        </w:rPr>
        <w:t xml:space="preserve">period, </w:t>
      </w:r>
      <w:bookmarkStart w:id="723" w:name="_Hlk114002007"/>
      <w:r w:rsidR="005451CE" w:rsidRPr="003B4362">
        <w:rPr>
          <w:rFonts w:eastAsia="Calibri"/>
        </w:rPr>
        <w:t xml:space="preserve">the 90th percentile </w:t>
      </w:r>
      <w:r w:rsidR="00E12F89" w:rsidRPr="003B4362">
        <w:rPr>
          <w:szCs w:val="24"/>
        </w:rPr>
        <w:t xml:space="preserve">concentration </w:t>
      </w:r>
      <w:r w:rsidR="005451CE" w:rsidRPr="003B4362">
        <w:rPr>
          <w:rFonts w:eastAsia="Calibri"/>
        </w:rPr>
        <w:t>is the average</w:t>
      </w:r>
      <w:bookmarkEnd w:id="723"/>
      <w:r w:rsidR="005451CE" w:rsidRPr="003B4362">
        <w:rPr>
          <w:rFonts w:eastAsia="Calibri"/>
        </w:rPr>
        <w:t xml:space="preserve"> of the highest and second highest concentrations.</w:t>
      </w:r>
    </w:p>
    <w:p w14:paraId="3F2DDD0E" w14:textId="3B0C5CE1" w:rsidR="005451CE" w:rsidRPr="003B4362" w:rsidRDefault="000325FD" w:rsidP="000325FD">
      <w:pPr>
        <w:spacing w:before="240" w:after="240"/>
        <w:ind w:left="3600" w:hanging="720"/>
        <w:rPr>
          <w:rFonts w:eastAsia="Calibri"/>
        </w:rPr>
      </w:pPr>
      <w:r w:rsidRPr="003B4362">
        <w:rPr>
          <w:rFonts w:eastAsia="Calibri"/>
        </w:rPr>
        <w:t>v</w:t>
      </w:r>
      <w:r w:rsidR="005451CE" w:rsidRPr="003B4362">
        <w:rPr>
          <w:rFonts w:eastAsia="Calibri"/>
        </w:rPr>
        <w:t>)</w:t>
      </w:r>
      <w:r w:rsidR="005451CE" w:rsidRPr="003B4362">
        <w:rPr>
          <w:rFonts w:eastAsia="Calibri"/>
        </w:rPr>
        <w:tab/>
        <w:t xml:space="preserve">For </w:t>
      </w:r>
      <w:bookmarkStart w:id="724" w:name="_Hlk114002152"/>
      <w:r w:rsidR="005451CE" w:rsidRPr="003B4362">
        <w:rPr>
          <w:rFonts w:eastAsia="Calibri"/>
        </w:rPr>
        <w:t>a supplier the Agency allows to collect</w:t>
      </w:r>
      <w:bookmarkEnd w:id="724"/>
      <w:r w:rsidR="005451CE" w:rsidRPr="003B4362">
        <w:rPr>
          <w:rFonts w:eastAsia="Calibri"/>
        </w:rPr>
        <w:t xml:space="preserve"> fewer than five samples under Section 611.356(c)</w:t>
      </w:r>
      <w:r w:rsidR="00881243" w:rsidRPr="003B4362">
        <w:rPr>
          <w:szCs w:val="24"/>
        </w:rPr>
        <w:t xml:space="preserve"> or failing to collect five samples</w:t>
      </w:r>
      <w:r w:rsidR="005451CE" w:rsidRPr="003B4362">
        <w:rPr>
          <w:rFonts w:eastAsia="Calibri"/>
        </w:rPr>
        <w:t xml:space="preserve">, </w:t>
      </w:r>
      <w:bookmarkStart w:id="725" w:name="_Hlk114002245"/>
      <w:r w:rsidR="005451CE" w:rsidRPr="003B4362">
        <w:rPr>
          <w:rFonts w:eastAsia="Calibri"/>
        </w:rPr>
        <w:t>the result for the sample with the highest concentration is the 90th percentile</w:t>
      </w:r>
      <w:r w:rsidR="00921969" w:rsidRPr="003B4362">
        <w:rPr>
          <w:rFonts w:eastAsia="Calibri"/>
        </w:rPr>
        <w:t xml:space="preserve"> concentration</w:t>
      </w:r>
      <w:bookmarkEnd w:id="725"/>
      <w:r w:rsidR="005451CE" w:rsidRPr="003B4362">
        <w:rPr>
          <w:rFonts w:eastAsia="Calibri"/>
        </w:rPr>
        <w:t>.</w:t>
      </w:r>
    </w:p>
    <w:p w14:paraId="5CD2F7BE" w14:textId="53227914" w:rsidR="00613243" w:rsidRPr="003B4362" w:rsidRDefault="00613243" w:rsidP="00613243">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bookmarkStart w:id="726" w:name="_Hlk116509061"/>
      <w:bookmarkStart w:id="727" w:name="_Hlk116511358"/>
      <w:r w:rsidR="00CA7473" w:rsidRPr="003B4362">
        <w:rPr>
          <w:rFonts w:eastAsia="Calibri"/>
          <w:szCs w:val="24"/>
        </w:rPr>
        <w:t xml:space="preserve">Suppliers Having </w:t>
      </w:r>
      <w:r w:rsidR="00C34C6D" w:rsidRPr="003B4362">
        <w:rPr>
          <w:rFonts w:eastAsia="Calibri"/>
          <w:szCs w:val="24"/>
        </w:rPr>
        <w:t xml:space="preserve">Enough </w:t>
      </w:r>
      <w:r w:rsidR="00CA7473" w:rsidRPr="003B4362">
        <w:rPr>
          <w:rFonts w:eastAsia="Calibri"/>
          <w:szCs w:val="24"/>
        </w:rPr>
        <w:t xml:space="preserve">Sites with </w:t>
      </w:r>
      <w:r w:rsidR="00C34C6D" w:rsidRPr="003B4362">
        <w:rPr>
          <w:rFonts w:eastAsia="Calibri"/>
          <w:szCs w:val="24"/>
        </w:rPr>
        <w:t>a L</w:t>
      </w:r>
      <w:r w:rsidRPr="003B4362">
        <w:rPr>
          <w:rFonts w:eastAsia="Calibri"/>
          <w:szCs w:val="24"/>
        </w:rPr>
        <w:t xml:space="preserve">ead </w:t>
      </w:r>
      <w:r w:rsidR="00C34C6D" w:rsidRPr="003B4362">
        <w:rPr>
          <w:rFonts w:eastAsia="Calibri"/>
          <w:szCs w:val="24"/>
        </w:rPr>
        <w:t>S</w:t>
      </w:r>
      <w:r w:rsidRPr="003B4362">
        <w:rPr>
          <w:rFonts w:eastAsia="Calibri"/>
          <w:szCs w:val="24"/>
        </w:rPr>
        <w:t xml:space="preserve">ervice </w:t>
      </w:r>
      <w:r w:rsidR="00C34C6D" w:rsidRPr="003B4362">
        <w:rPr>
          <w:rFonts w:eastAsia="Calibri"/>
          <w:szCs w:val="24"/>
        </w:rPr>
        <w:t>L</w:t>
      </w:r>
      <w:r w:rsidRPr="003B4362">
        <w:rPr>
          <w:rFonts w:eastAsia="Calibri"/>
          <w:szCs w:val="24"/>
        </w:rPr>
        <w:t>ine</w:t>
      </w:r>
      <w:r w:rsidR="00C34C6D" w:rsidRPr="003B4362">
        <w:rPr>
          <w:rFonts w:eastAsia="Calibri"/>
          <w:szCs w:val="24"/>
        </w:rPr>
        <w:t xml:space="preserve"> I</w:t>
      </w:r>
      <w:r w:rsidRPr="003B4362">
        <w:rPr>
          <w:rFonts w:eastAsia="Calibri"/>
          <w:szCs w:val="24"/>
        </w:rPr>
        <w:t xml:space="preserve">dentified as Tier 1 or 2 </w:t>
      </w:r>
      <w:r w:rsidR="00C34C6D" w:rsidRPr="003B4362">
        <w:rPr>
          <w:rFonts w:eastAsia="Calibri"/>
          <w:szCs w:val="24"/>
        </w:rPr>
        <w:t>U</w:t>
      </w:r>
      <w:r w:rsidRPr="003B4362">
        <w:rPr>
          <w:rFonts w:eastAsia="Calibri"/>
          <w:szCs w:val="24"/>
        </w:rPr>
        <w:t xml:space="preserve">nder </w:t>
      </w:r>
      <w:r w:rsidR="00DC0700" w:rsidRPr="003B4362">
        <w:rPr>
          <w:rFonts w:eastAsia="Calibri"/>
          <w:szCs w:val="24"/>
        </w:rPr>
        <w:t>40 C.F.R.</w:t>
      </w:r>
      <w:r w:rsidRPr="003B4362">
        <w:rPr>
          <w:rFonts w:eastAsia="Calibri"/>
          <w:szCs w:val="24"/>
        </w:rPr>
        <w:t xml:space="preserve"> 141.86(a)</w:t>
      </w:r>
      <w:r w:rsidR="00C34C6D" w:rsidRPr="003B4362">
        <w:rPr>
          <w:rFonts w:eastAsia="Calibri"/>
          <w:szCs w:val="24"/>
        </w:rPr>
        <w:t xml:space="preserve"> </w:t>
      </w:r>
      <w:r w:rsidRPr="003B4362">
        <w:rPr>
          <w:rFonts w:eastAsia="Calibri"/>
          <w:szCs w:val="24"/>
        </w:rPr>
        <w:t xml:space="preserve">to </w:t>
      </w:r>
      <w:r w:rsidR="00C34C6D" w:rsidRPr="003B4362">
        <w:rPr>
          <w:rFonts w:eastAsia="Calibri"/>
          <w:szCs w:val="24"/>
        </w:rPr>
        <w:t>M</w:t>
      </w:r>
      <w:r w:rsidRPr="003B4362">
        <w:rPr>
          <w:rFonts w:eastAsia="Calibri"/>
          <w:szCs w:val="24"/>
        </w:rPr>
        <w:t xml:space="preserve">eet the </w:t>
      </w:r>
      <w:r w:rsidR="00C34C6D" w:rsidRPr="003B4362">
        <w:rPr>
          <w:rFonts w:eastAsia="Calibri"/>
          <w:szCs w:val="24"/>
        </w:rPr>
        <w:t>M</w:t>
      </w:r>
      <w:r w:rsidRPr="003B4362">
        <w:rPr>
          <w:rFonts w:eastAsia="Calibri"/>
          <w:szCs w:val="24"/>
        </w:rPr>
        <w:t xml:space="preserve">inimum </w:t>
      </w:r>
      <w:r w:rsidR="00C34C6D" w:rsidRPr="003B4362">
        <w:rPr>
          <w:rFonts w:eastAsia="Calibri"/>
          <w:szCs w:val="24"/>
        </w:rPr>
        <w:t>N</w:t>
      </w:r>
      <w:r w:rsidRPr="003B4362">
        <w:rPr>
          <w:rFonts w:eastAsia="Calibri"/>
          <w:szCs w:val="24"/>
        </w:rPr>
        <w:t xml:space="preserve">umber of </w:t>
      </w:r>
      <w:r w:rsidR="00C34C6D" w:rsidRPr="003B4362">
        <w:rPr>
          <w:rFonts w:eastAsia="Calibri"/>
          <w:szCs w:val="24"/>
        </w:rPr>
        <w:t>S</w:t>
      </w:r>
      <w:r w:rsidRPr="003B4362">
        <w:rPr>
          <w:rFonts w:eastAsia="Calibri"/>
          <w:szCs w:val="24"/>
        </w:rPr>
        <w:t>ites</w:t>
      </w:r>
      <w:r w:rsidR="003032DE" w:rsidRPr="003B4362">
        <w:rPr>
          <w:rFonts w:eastAsia="Calibri"/>
          <w:szCs w:val="24"/>
        </w:rPr>
        <w:t xml:space="preserve"> </w:t>
      </w:r>
      <w:r w:rsidR="00DC0700" w:rsidRPr="003B4362">
        <w:rPr>
          <w:rFonts w:eastAsia="Calibri"/>
          <w:szCs w:val="24"/>
        </w:rPr>
        <w:t>40 C.F.R.</w:t>
      </w:r>
      <w:r w:rsidRPr="003B4362">
        <w:rPr>
          <w:rFonts w:eastAsia="Calibri"/>
          <w:szCs w:val="24"/>
        </w:rPr>
        <w:t xml:space="preserve"> 141.86(c)</w:t>
      </w:r>
      <w:bookmarkEnd w:id="726"/>
      <w:r w:rsidR="003032DE" w:rsidRPr="003B4362">
        <w:rPr>
          <w:rFonts w:eastAsia="Calibri"/>
          <w:szCs w:val="24"/>
        </w:rPr>
        <w:t xml:space="preserve"> Requires</w:t>
      </w:r>
      <w:bookmarkEnd w:id="727"/>
    </w:p>
    <w:p w14:paraId="24771A87" w14:textId="274FD241"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t>T</w:t>
      </w:r>
      <w:bookmarkStart w:id="728" w:name="_Hlk116513092"/>
      <w:r w:rsidRPr="003B4362">
        <w:rPr>
          <w:rFonts w:eastAsia="Calibri"/>
          <w:szCs w:val="24"/>
        </w:rPr>
        <w:t xml:space="preserve">he </w:t>
      </w:r>
      <w:r w:rsidR="003F3FE0" w:rsidRPr="003B4362">
        <w:rPr>
          <w:rFonts w:eastAsia="Calibri"/>
          <w:szCs w:val="24"/>
        </w:rPr>
        <w:t xml:space="preserve">supplier must </w:t>
      </w:r>
      <w:r w:rsidR="004E37E8" w:rsidRPr="003B4362">
        <w:rPr>
          <w:rFonts w:eastAsia="Calibri"/>
          <w:szCs w:val="24"/>
        </w:rPr>
        <w:t>arrange</w:t>
      </w:r>
      <w:r w:rsidR="00B50AFE" w:rsidRPr="003B4362">
        <w:rPr>
          <w:rFonts w:eastAsia="Calibri"/>
          <w:szCs w:val="24"/>
        </w:rPr>
        <w:t xml:space="preserve"> the </w:t>
      </w:r>
      <w:r w:rsidRPr="003B4362">
        <w:rPr>
          <w:rFonts w:eastAsia="Calibri"/>
          <w:szCs w:val="24"/>
        </w:rPr>
        <w:t xml:space="preserve">results of all lead or copper samples </w:t>
      </w:r>
      <w:r w:rsidR="00B50AFE" w:rsidRPr="003B4362">
        <w:rPr>
          <w:rFonts w:eastAsia="Calibri"/>
          <w:szCs w:val="24"/>
        </w:rPr>
        <w:t xml:space="preserve">it took </w:t>
      </w:r>
      <w:r w:rsidRPr="003B4362">
        <w:rPr>
          <w:rFonts w:eastAsia="Calibri"/>
          <w:szCs w:val="24"/>
        </w:rPr>
        <w:t xml:space="preserve">at Tier 1 or Tier 2 sites during a tap </w:t>
      </w:r>
      <w:r w:rsidRPr="003B4362">
        <w:rPr>
          <w:rFonts w:eastAsia="Calibri"/>
          <w:szCs w:val="24"/>
        </w:rPr>
        <w:lastRenderedPageBreak/>
        <w:t>sampling period in ascending order</w:t>
      </w:r>
      <w:bookmarkEnd w:id="728"/>
      <w:r w:rsidRPr="003B4362">
        <w:rPr>
          <w:rFonts w:eastAsia="Calibri"/>
          <w:szCs w:val="24"/>
        </w:rPr>
        <w:t xml:space="preserve"> from the sample with the lowest concentration to the sample with the highest concentration.  </w:t>
      </w:r>
      <w:bookmarkStart w:id="729" w:name="_Hlk116513619"/>
      <w:r w:rsidR="00BF1739" w:rsidRPr="003B4362">
        <w:rPr>
          <w:rFonts w:eastAsia="Calibri"/>
          <w:szCs w:val="24"/>
        </w:rPr>
        <w:t>T</w:t>
      </w:r>
      <w:bookmarkStart w:id="730" w:name="_Hlk116513755"/>
      <w:r w:rsidR="00BF1739" w:rsidRPr="003B4362">
        <w:rPr>
          <w:rFonts w:eastAsia="Calibri"/>
          <w:szCs w:val="24"/>
        </w:rPr>
        <w:t>he supplier must not include s</w:t>
      </w:r>
      <w:r w:rsidRPr="003B4362">
        <w:rPr>
          <w:rFonts w:eastAsia="Calibri"/>
          <w:szCs w:val="24"/>
        </w:rPr>
        <w:t>ample results from Tier 3, 4, or 5 sites</w:t>
      </w:r>
      <w:bookmarkEnd w:id="730"/>
      <w:r w:rsidR="00BF1739" w:rsidRPr="003B4362">
        <w:rPr>
          <w:rFonts w:eastAsia="Calibri"/>
          <w:szCs w:val="24"/>
        </w:rPr>
        <w:t xml:space="preserve"> </w:t>
      </w:r>
      <w:bookmarkEnd w:id="729"/>
      <w:r w:rsidRPr="003B4362">
        <w:rPr>
          <w:rFonts w:eastAsia="Calibri"/>
          <w:szCs w:val="24"/>
        </w:rPr>
        <w:t xml:space="preserve">in this calculation.  </w:t>
      </w:r>
      <w:bookmarkStart w:id="731" w:name="_Hlk116513837"/>
      <w:r w:rsidR="00BF1739" w:rsidRPr="003B4362">
        <w:rPr>
          <w:rFonts w:eastAsia="Calibri"/>
          <w:szCs w:val="24"/>
        </w:rPr>
        <w:t>T</w:t>
      </w:r>
      <w:bookmarkStart w:id="732" w:name="_Hlk116513953"/>
      <w:r w:rsidR="00BF1739" w:rsidRPr="003B4362">
        <w:rPr>
          <w:rFonts w:eastAsia="Calibri"/>
          <w:szCs w:val="24"/>
        </w:rPr>
        <w:t>he supplier must assign e</w:t>
      </w:r>
      <w:r w:rsidRPr="003B4362">
        <w:rPr>
          <w:rFonts w:eastAsia="Calibri"/>
          <w:szCs w:val="24"/>
        </w:rPr>
        <w:t>ach sampling result</w:t>
      </w:r>
      <w:r w:rsidR="00BF1739" w:rsidRPr="003B4362">
        <w:rPr>
          <w:rFonts w:eastAsia="Calibri"/>
          <w:szCs w:val="24"/>
        </w:rPr>
        <w:t xml:space="preserve"> </w:t>
      </w:r>
      <w:r w:rsidRPr="003B4362">
        <w:rPr>
          <w:rFonts w:eastAsia="Calibri"/>
          <w:szCs w:val="24"/>
        </w:rPr>
        <w:t>a number</w:t>
      </w:r>
      <w:bookmarkEnd w:id="731"/>
      <w:bookmarkEnd w:id="732"/>
      <w:r w:rsidRPr="003B4362">
        <w:rPr>
          <w:rFonts w:eastAsia="Calibri"/>
          <w:szCs w:val="24"/>
        </w:rPr>
        <w:t xml:space="preserve">, </w:t>
      </w:r>
      <w:bookmarkStart w:id="733" w:name="_Hlk116515012"/>
      <w:r w:rsidRPr="003B4362">
        <w:rPr>
          <w:rFonts w:eastAsia="Calibri"/>
          <w:szCs w:val="24"/>
        </w:rPr>
        <w:t xml:space="preserve">beginning with the number 1 for the sample with the lowest contaminant </w:t>
      </w:r>
      <w:r w:rsidR="00BF1739" w:rsidRPr="003B4362">
        <w:rPr>
          <w:rFonts w:eastAsia="Calibri"/>
          <w:szCs w:val="24"/>
        </w:rPr>
        <w:t>concentration and ascending by single integers</w:t>
      </w:r>
      <w:r w:rsidR="003A4211" w:rsidRPr="003B4362">
        <w:rPr>
          <w:rFonts w:eastAsia="Calibri"/>
          <w:szCs w:val="24"/>
        </w:rPr>
        <w:t xml:space="preserve"> through increasing concentrations</w:t>
      </w:r>
      <w:bookmarkEnd w:id="733"/>
      <w:r w:rsidRPr="003B4362">
        <w:rPr>
          <w:rFonts w:eastAsia="Calibri"/>
          <w:szCs w:val="24"/>
        </w:rPr>
        <w:t xml:space="preserve">.  The number assigned to the sample with the highest contaminant </w:t>
      </w:r>
      <w:r w:rsidR="00BF1739" w:rsidRPr="003B4362">
        <w:rPr>
          <w:rFonts w:eastAsia="Calibri"/>
          <w:szCs w:val="24"/>
        </w:rPr>
        <w:t>concentration</w:t>
      </w:r>
      <w:r w:rsidRPr="003B4362">
        <w:rPr>
          <w:rFonts w:eastAsia="Calibri"/>
          <w:szCs w:val="24"/>
        </w:rPr>
        <w:t xml:space="preserve"> </w:t>
      </w:r>
      <w:r w:rsidR="003A4211" w:rsidRPr="003B4362">
        <w:rPr>
          <w:rFonts w:eastAsia="Calibri"/>
          <w:szCs w:val="24"/>
        </w:rPr>
        <w:t>mus</w:t>
      </w:r>
      <w:r w:rsidR="008C434A" w:rsidRPr="003B4362">
        <w:rPr>
          <w:rFonts w:eastAsia="Calibri"/>
          <w:szCs w:val="24"/>
        </w:rPr>
        <w:t xml:space="preserve">t </w:t>
      </w:r>
      <w:r w:rsidRPr="003B4362">
        <w:rPr>
          <w:rFonts w:eastAsia="Calibri"/>
          <w:szCs w:val="24"/>
        </w:rPr>
        <w:t>equal</w:t>
      </w:r>
      <w:r w:rsidR="008C434A" w:rsidRPr="003B4362">
        <w:rPr>
          <w:rFonts w:eastAsia="Calibri"/>
          <w:szCs w:val="24"/>
        </w:rPr>
        <w:t xml:space="preserve"> </w:t>
      </w:r>
      <w:r w:rsidRPr="003B4362">
        <w:rPr>
          <w:rFonts w:eastAsia="Calibri"/>
          <w:szCs w:val="24"/>
        </w:rPr>
        <w:t xml:space="preserve">the total number of samples </w:t>
      </w:r>
      <w:r w:rsidR="008C434A" w:rsidRPr="003B4362">
        <w:rPr>
          <w:rFonts w:eastAsia="Calibri"/>
          <w:szCs w:val="24"/>
        </w:rPr>
        <w:t>the supplier took.</w:t>
      </w:r>
    </w:p>
    <w:p w14:paraId="0841731B" w14:textId="1EED7F9C"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t>T</w:t>
      </w:r>
      <w:bookmarkStart w:id="734" w:name="_Hlk116566599"/>
      <w:r w:rsidRPr="003B4362">
        <w:rPr>
          <w:rFonts w:eastAsia="Calibri"/>
          <w:szCs w:val="24"/>
        </w:rPr>
        <w:t xml:space="preserve">he </w:t>
      </w:r>
      <w:r w:rsidR="00C87594" w:rsidRPr="003B4362">
        <w:rPr>
          <w:rFonts w:eastAsia="Calibri"/>
          <w:szCs w:val="24"/>
        </w:rPr>
        <w:t xml:space="preserve">supplier must multiply the </w:t>
      </w:r>
      <w:r w:rsidRPr="003B4362">
        <w:rPr>
          <w:rFonts w:eastAsia="Calibri"/>
          <w:szCs w:val="24"/>
        </w:rPr>
        <w:t xml:space="preserve">number of Tier 1 or Tier 2 sites during the tap sampling period </w:t>
      </w:r>
      <w:r w:rsidR="00C87594" w:rsidRPr="003B4362">
        <w:rPr>
          <w:rFonts w:eastAsia="Calibri"/>
          <w:szCs w:val="24"/>
        </w:rPr>
        <w:t>times</w:t>
      </w:r>
      <w:r w:rsidRPr="003B4362">
        <w:rPr>
          <w:rFonts w:eastAsia="Calibri"/>
          <w:szCs w:val="24"/>
        </w:rPr>
        <w:t xml:space="preserve"> 0.9</w:t>
      </w:r>
      <w:bookmarkEnd w:id="734"/>
      <w:r w:rsidRPr="003B4362">
        <w:rPr>
          <w:rFonts w:eastAsia="Calibri"/>
          <w:szCs w:val="24"/>
        </w:rPr>
        <w:t>.</w:t>
      </w:r>
    </w:p>
    <w:p w14:paraId="51E97FEA" w14:textId="62B9C8DF"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iii)</w:t>
      </w:r>
      <w:r w:rsidRPr="003B4362">
        <w:rPr>
          <w:rFonts w:eastAsia="Calibri"/>
          <w:szCs w:val="24"/>
        </w:rPr>
        <w:tab/>
        <w:t>T</w:t>
      </w:r>
      <w:bookmarkStart w:id="735" w:name="_Hlk116567274"/>
      <w:bookmarkStart w:id="736" w:name="_Hlk116567799"/>
      <w:r w:rsidRPr="003B4362">
        <w:rPr>
          <w:rFonts w:eastAsia="Calibri"/>
          <w:szCs w:val="24"/>
        </w:rPr>
        <w:t>he</w:t>
      </w:r>
      <w:r w:rsidR="001F1596" w:rsidRPr="003B4362">
        <w:rPr>
          <w:rFonts w:eastAsia="Calibri"/>
          <w:szCs w:val="24"/>
        </w:rPr>
        <w:t xml:space="preserve"> 90th percentile concentration is the</w:t>
      </w:r>
      <w:r w:rsidRPr="003B4362">
        <w:rPr>
          <w:rFonts w:eastAsia="Calibri"/>
          <w:szCs w:val="24"/>
        </w:rPr>
        <w:t xml:space="preserve"> contaminant concentration in the numbered sample </w:t>
      </w:r>
      <w:r w:rsidR="001F1596" w:rsidRPr="003B4362">
        <w:rPr>
          <w:rFonts w:eastAsia="Calibri"/>
          <w:szCs w:val="24"/>
        </w:rPr>
        <w:t xml:space="preserve">corresponding with the number </w:t>
      </w:r>
      <w:r w:rsidRPr="003B4362">
        <w:rPr>
          <w:rFonts w:eastAsia="Calibri"/>
          <w:szCs w:val="24"/>
        </w:rPr>
        <w:t xml:space="preserve">the calculation </w:t>
      </w:r>
      <w:r w:rsidR="001F1596" w:rsidRPr="003B4362">
        <w:rPr>
          <w:rFonts w:eastAsia="Calibri"/>
          <w:szCs w:val="24"/>
        </w:rPr>
        <w:t>under</w:t>
      </w:r>
      <w:r w:rsidRPr="003B4362">
        <w:rPr>
          <w:rFonts w:eastAsia="Calibri"/>
          <w:szCs w:val="24"/>
        </w:rPr>
        <w:t xml:space="preserve"> subsection (c)(4)(B)(ii) </w:t>
      </w:r>
      <w:bookmarkEnd w:id="735"/>
      <w:r w:rsidR="001F1596" w:rsidRPr="003B4362">
        <w:rPr>
          <w:rFonts w:eastAsia="Calibri"/>
          <w:szCs w:val="24"/>
        </w:rPr>
        <w:t>yields</w:t>
      </w:r>
      <w:bookmarkEnd w:id="736"/>
      <w:r w:rsidRPr="003B4362">
        <w:rPr>
          <w:rFonts w:eastAsia="Calibri"/>
          <w:szCs w:val="24"/>
        </w:rPr>
        <w:t>.</w:t>
      </w:r>
    </w:p>
    <w:p w14:paraId="05DD1B30" w14:textId="29D22483"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iv)</w:t>
      </w:r>
      <w:r w:rsidRPr="003B4362">
        <w:rPr>
          <w:rFonts w:eastAsia="Calibri"/>
          <w:szCs w:val="24"/>
        </w:rPr>
        <w:tab/>
        <w:t xml:space="preserve">For </w:t>
      </w:r>
      <w:r w:rsidR="00310C1D" w:rsidRPr="003B4362">
        <w:rPr>
          <w:rFonts w:eastAsia="Calibri"/>
          <w:szCs w:val="24"/>
        </w:rPr>
        <w:t>a supplier</w:t>
      </w:r>
      <w:r w:rsidRPr="003B4362">
        <w:rPr>
          <w:rFonts w:eastAsia="Calibri"/>
          <w:szCs w:val="24"/>
        </w:rPr>
        <w:t xml:space="preserve"> serving fewer than 100 people</w:t>
      </w:r>
      <w:r w:rsidR="00310C1D" w:rsidRPr="003B4362">
        <w:rPr>
          <w:rFonts w:eastAsia="Calibri"/>
          <w:szCs w:val="24"/>
        </w:rPr>
        <w:t xml:space="preserve"> that collects</w:t>
      </w:r>
      <w:r w:rsidRPr="003B4362">
        <w:rPr>
          <w:rFonts w:eastAsia="Calibri"/>
          <w:szCs w:val="24"/>
        </w:rPr>
        <w:t xml:space="preserve"> </w:t>
      </w:r>
      <w:r w:rsidR="00310C1D" w:rsidRPr="003B4362">
        <w:rPr>
          <w:rFonts w:eastAsia="Calibri"/>
          <w:szCs w:val="24"/>
        </w:rPr>
        <w:t>five</w:t>
      </w:r>
      <w:r w:rsidRPr="003B4362">
        <w:rPr>
          <w:rFonts w:eastAsia="Calibri"/>
          <w:szCs w:val="24"/>
        </w:rPr>
        <w:t xml:space="preserve"> samples per tap sampling period, the 90th percentile concentration is the average of the highest and second highest concentration.</w:t>
      </w:r>
    </w:p>
    <w:p w14:paraId="0E68B87D" w14:textId="6C8BC842"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v)</w:t>
      </w:r>
      <w:r w:rsidRPr="003B4362">
        <w:rPr>
          <w:rFonts w:eastAsia="Calibri"/>
          <w:szCs w:val="24"/>
        </w:rPr>
        <w:tab/>
        <w:t xml:space="preserve">For a </w:t>
      </w:r>
      <w:r w:rsidR="00471B7A" w:rsidRPr="003B4362">
        <w:rPr>
          <w:rFonts w:eastAsia="Calibri"/>
          <w:szCs w:val="24"/>
        </w:rPr>
        <w:t>supplier</w:t>
      </w:r>
      <w:r w:rsidRPr="003B4362">
        <w:rPr>
          <w:rFonts w:eastAsia="Calibri"/>
          <w:szCs w:val="24"/>
        </w:rPr>
        <w:t xml:space="preserve"> </w:t>
      </w:r>
      <w:bookmarkStart w:id="737" w:name="_Hlk116569255"/>
      <w:r w:rsidR="00CE116D" w:rsidRPr="003B4362">
        <w:rPr>
          <w:rFonts w:eastAsia="Calibri"/>
          <w:szCs w:val="24"/>
        </w:rPr>
        <w:t>the Agency allows</w:t>
      </w:r>
      <w:bookmarkEnd w:id="737"/>
      <w:r w:rsidRPr="003B4362">
        <w:rPr>
          <w:rFonts w:eastAsia="Calibri"/>
          <w:szCs w:val="24"/>
        </w:rPr>
        <w:t xml:space="preserve"> to collect fewer than five samples </w:t>
      </w:r>
      <w:bookmarkStart w:id="738" w:name="_Hlk116569431"/>
      <w:r w:rsidR="00CE116D" w:rsidRPr="003B4362">
        <w:rPr>
          <w:rFonts w:eastAsia="Calibri"/>
          <w:szCs w:val="24"/>
        </w:rPr>
        <w:t>under</w:t>
      </w:r>
      <w:r w:rsidRPr="003B4362">
        <w:rPr>
          <w:rFonts w:eastAsia="Calibri"/>
          <w:szCs w:val="24"/>
        </w:rPr>
        <w:t xml:space="preserve"> Section 141.86(c)</w:t>
      </w:r>
      <w:bookmarkEnd w:id="738"/>
      <w:r w:rsidRPr="003B4362">
        <w:rPr>
          <w:rFonts w:eastAsia="Calibri"/>
          <w:szCs w:val="24"/>
        </w:rPr>
        <w:t xml:space="preserve"> or </w:t>
      </w:r>
      <w:r w:rsidR="00CE116D" w:rsidRPr="003B4362">
        <w:rPr>
          <w:rFonts w:eastAsia="Calibri"/>
          <w:szCs w:val="24"/>
        </w:rPr>
        <w:t>failing</w:t>
      </w:r>
      <w:r w:rsidRPr="003B4362">
        <w:rPr>
          <w:rFonts w:eastAsia="Calibri"/>
          <w:szCs w:val="24"/>
        </w:rPr>
        <w:t xml:space="preserve"> to collect five samples, </w:t>
      </w:r>
      <w:bookmarkStart w:id="739" w:name="_Hlk116572166"/>
      <w:r w:rsidRPr="003B4362">
        <w:rPr>
          <w:rFonts w:eastAsia="Calibri"/>
          <w:szCs w:val="24"/>
        </w:rPr>
        <w:t>the</w:t>
      </w:r>
      <w:r w:rsidR="005543FA" w:rsidRPr="003B4362">
        <w:rPr>
          <w:rFonts w:eastAsia="Calibri"/>
          <w:szCs w:val="24"/>
        </w:rPr>
        <w:t xml:space="preserve"> </w:t>
      </w:r>
      <w:r w:rsidRPr="003B4362">
        <w:rPr>
          <w:rFonts w:eastAsia="Calibri"/>
          <w:szCs w:val="24"/>
        </w:rPr>
        <w:t xml:space="preserve">highest </w:t>
      </w:r>
      <w:r w:rsidR="005543FA" w:rsidRPr="003B4362">
        <w:rPr>
          <w:rFonts w:eastAsia="Calibri"/>
          <w:szCs w:val="24"/>
        </w:rPr>
        <w:t xml:space="preserve">sample </w:t>
      </w:r>
      <w:r w:rsidRPr="003B4362">
        <w:rPr>
          <w:rFonts w:eastAsia="Calibri"/>
          <w:szCs w:val="24"/>
        </w:rPr>
        <w:t>concentration</w:t>
      </w:r>
      <w:bookmarkEnd w:id="739"/>
      <w:r w:rsidRPr="003B4362">
        <w:rPr>
          <w:rFonts w:eastAsia="Calibri"/>
          <w:szCs w:val="24"/>
        </w:rPr>
        <w:t xml:space="preserve"> is</w:t>
      </w:r>
      <w:r w:rsidR="005543FA" w:rsidRPr="003B4362">
        <w:rPr>
          <w:rFonts w:eastAsia="Calibri"/>
          <w:szCs w:val="24"/>
        </w:rPr>
        <w:t xml:space="preserve"> </w:t>
      </w:r>
      <w:r w:rsidRPr="003B4362">
        <w:rPr>
          <w:rFonts w:eastAsia="Calibri"/>
          <w:szCs w:val="24"/>
        </w:rPr>
        <w:t xml:space="preserve">the </w:t>
      </w:r>
      <w:bookmarkStart w:id="740" w:name="_Hlk116572235"/>
      <w:r w:rsidRPr="003B4362">
        <w:rPr>
          <w:rFonts w:eastAsia="Calibri"/>
          <w:szCs w:val="24"/>
        </w:rPr>
        <w:t xml:space="preserve">90th percentile </w:t>
      </w:r>
      <w:r w:rsidR="0014349F" w:rsidRPr="003B4362">
        <w:rPr>
          <w:rFonts w:eastAsia="Calibri"/>
          <w:szCs w:val="24"/>
        </w:rPr>
        <w:t>concentration</w:t>
      </w:r>
      <w:bookmarkEnd w:id="740"/>
      <w:r w:rsidRPr="003B4362">
        <w:rPr>
          <w:rFonts w:eastAsia="Calibri"/>
          <w:szCs w:val="24"/>
        </w:rPr>
        <w:t>.</w:t>
      </w:r>
    </w:p>
    <w:p w14:paraId="0B2572A1" w14:textId="536A5EDC" w:rsidR="00613243" w:rsidRPr="003B4362" w:rsidRDefault="00613243" w:rsidP="00613243">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r>
      <w:bookmarkStart w:id="741" w:name="_Hlk116512328"/>
      <w:r w:rsidR="005E3C43" w:rsidRPr="003B4362">
        <w:rPr>
          <w:rFonts w:eastAsia="Calibri"/>
          <w:szCs w:val="24"/>
        </w:rPr>
        <w:t xml:space="preserve">Suppliers </w:t>
      </w:r>
      <w:r w:rsidR="003F3FE0" w:rsidRPr="003B4362">
        <w:rPr>
          <w:rFonts w:eastAsia="Calibri"/>
          <w:szCs w:val="24"/>
        </w:rPr>
        <w:t xml:space="preserve">Having </w:t>
      </w:r>
      <w:r w:rsidR="005E3C43" w:rsidRPr="003B4362">
        <w:rPr>
          <w:rFonts w:eastAsia="Calibri"/>
          <w:szCs w:val="24"/>
        </w:rPr>
        <w:t>Sites with a Lead Service Line Identified as Tier 1 or 2 Under Section 141.86(a) but Fewer Than the Minimum Number of Sites Section 141.86(c) Requires</w:t>
      </w:r>
      <w:bookmarkEnd w:id="741"/>
    </w:p>
    <w:p w14:paraId="36AB4EC0" w14:textId="089FA21A"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r>
      <w:bookmarkStart w:id="742" w:name="_Hlk116576917"/>
      <w:r w:rsidRPr="003B4362">
        <w:rPr>
          <w:rFonts w:eastAsia="Calibri"/>
          <w:szCs w:val="24"/>
        </w:rPr>
        <w:t>T</w:t>
      </w:r>
      <w:bookmarkStart w:id="743" w:name="_Hlk116572860"/>
      <w:r w:rsidRPr="003B4362">
        <w:rPr>
          <w:rFonts w:eastAsia="Calibri"/>
          <w:szCs w:val="24"/>
        </w:rPr>
        <w:t xml:space="preserve">he </w:t>
      </w:r>
      <w:r w:rsidR="00CA6002" w:rsidRPr="003B4362">
        <w:rPr>
          <w:rFonts w:eastAsia="Calibri"/>
          <w:szCs w:val="24"/>
        </w:rPr>
        <w:t xml:space="preserve">supplier must </w:t>
      </w:r>
      <w:r w:rsidR="00921DDA" w:rsidRPr="003B4362">
        <w:rPr>
          <w:rFonts w:eastAsia="Calibri"/>
          <w:szCs w:val="24"/>
        </w:rPr>
        <w:t>combin</w:t>
      </w:r>
      <w:r w:rsidR="00CA6002" w:rsidRPr="003B4362">
        <w:rPr>
          <w:rFonts w:eastAsia="Calibri"/>
          <w:szCs w:val="24"/>
        </w:rPr>
        <w:t xml:space="preserve">e the </w:t>
      </w:r>
      <w:r w:rsidRPr="003B4362">
        <w:rPr>
          <w:rFonts w:eastAsia="Calibri"/>
          <w:szCs w:val="24"/>
        </w:rPr>
        <w:t xml:space="preserve">results of all lead or copper samples </w:t>
      </w:r>
      <w:r w:rsidR="00CA6002" w:rsidRPr="003B4362">
        <w:rPr>
          <w:rFonts w:eastAsia="Calibri"/>
          <w:szCs w:val="24"/>
        </w:rPr>
        <w:t>it took</w:t>
      </w:r>
      <w:r w:rsidRPr="003B4362">
        <w:rPr>
          <w:rFonts w:eastAsia="Calibri"/>
          <w:szCs w:val="24"/>
        </w:rPr>
        <w:t xml:space="preserve"> at Tier 1 or Tier 2 sites </w:t>
      </w:r>
      <w:r w:rsidR="00921DDA" w:rsidRPr="003B4362">
        <w:rPr>
          <w:rFonts w:eastAsia="Calibri"/>
          <w:szCs w:val="24"/>
        </w:rPr>
        <w:t xml:space="preserve">with a sufficient number of </w:t>
      </w:r>
      <w:r w:rsidRPr="003B4362">
        <w:rPr>
          <w:rFonts w:eastAsia="Calibri"/>
          <w:szCs w:val="24"/>
        </w:rPr>
        <w:t>the highest results from Tier 3, 4, or 5 sites</w:t>
      </w:r>
      <w:r w:rsidR="00921DDA" w:rsidRPr="003B4362">
        <w:rPr>
          <w:rFonts w:eastAsia="Calibri"/>
          <w:szCs w:val="24"/>
        </w:rPr>
        <w:t xml:space="preserve"> </w:t>
      </w:r>
      <w:r w:rsidRPr="003B4362">
        <w:rPr>
          <w:rFonts w:eastAsia="Calibri"/>
          <w:szCs w:val="24"/>
        </w:rPr>
        <w:t xml:space="preserve">to </w:t>
      </w:r>
      <w:r w:rsidR="00921DDA" w:rsidRPr="003B4362">
        <w:rPr>
          <w:rFonts w:eastAsia="Calibri"/>
          <w:szCs w:val="24"/>
        </w:rPr>
        <w:t>complete</w:t>
      </w:r>
      <w:r w:rsidRPr="003B4362">
        <w:rPr>
          <w:rFonts w:eastAsia="Calibri"/>
          <w:szCs w:val="24"/>
        </w:rPr>
        <w:t xml:space="preserve"> the minimum number of sites</w:t>
      </w:r>
      <w:bookmarkEnd w:id="742"/>
      <w:r w:rsidR="00AA3205" w:rsidRPr="003B4362">
        <w:rPr>
          <w:rFonts w:eastAsia="Calibri"/>
          <w:szCs w:val="24"/>
        </w:rPr>
        <w:t>.  T</w:t>
      </w:r>
      <w:bookmarkStart w:id="744" w:name="_Hlk116577787"/>
      <w:r w:rsidR="00AA3205" w:rsidRPr="003B4362">
        <w:rPr>
          <w:rFonts w:eastAsia="Calibri"/>
          <w:szCs w:val="24"/>
        </w:rPr>
        <w:t>he supplier must arrange the combined results</w:t>
      </w:r>
      <w:r w:rsidRPr="003B4362">
        <w:rPr>
          <w:rFonts w:eastAsia="Calibri"/>
          <w:szCs w:val="24"/>
        </w:rPr>
        <w:t xml:space="preserve"> in ascending order</w:t>
      </w:r>
      <w:bookmarkEnd w:id="743"/>
      <w:bookmarkEnd w:id="744"/>
      <w:r w:rsidRPr="003B4362">
        <w:rPr>
          <w:rFonts w:eastAsia="Calibri"/>
          <w:szCs w:val="24"/>
        </w:rPr>
        <w:t xml:space="preserve"> from the sample with the lowest concentration to the sample with the highest concentration.  </w:t>
      </w:r>
      <w:r w:rsidR="00AA3205" w:rsidRPr="003B4362">
        <w:rPr>
          <w:rFonts w:eastAsia="Calibri"/>
          <w:szCs w:val="24"/>
        </w:rPr>
        <w:t>T</w:t>
      </w:r>
      <w:bookmarkStart w:id="745" w:name="_Hlk116580684"/>
      <w:r w:rsidR="00AA3205" w:rsidRPr="003B4362">
        <w:rPr>
          <w:rFonts w:eastAsia="Calibri"/>
          <w:szCs w:val="24"/>
        </w:rPr>
        <w:t xml:space="preserve">he supplier must </w:t>
      </w:r>
      <w:r w:rsidR="007100F8" w:rsidRPr="003B4362">
        <w:rPr>
          <w:rFonts w:eastAsia="Calibri"/>
          <w:szCs w:val="24"/>
        </w:rPr>
        <w:t xml:space="preserve">not </w:t>
      </w:r>
      <w:r w:rsidR="00AA3205" w:rsidRPr="003B4362">
        <w:rPr>
          <w:rFonts w:eastAsia="Calibri"/>
          <w:szCs w:val="24"/>
        </w:rPr>
        <w:t>include s</w:t>
      </w:r>
      <w:r w:rsidRPr="003B4362">
        <w:rPr>
          <w:rFonts w:eastAsia="Calibri"/>
          <w:szCs w:val="24"/>
        </w:rPr>
        <w:t>ample results from any remaining Tier 3, 4, and 5 sites</w:t>
      </w:r>
      <w:bookmarkEnd w:id="745"/>
      <w:r w:rsidR="00AA3205" w:rsidRPr="003B4362">
        <w:rPr>
          <w:rFonts w:eastAsia="Calibri"/>
          <w:szCs w:val="24"/>
        </w:rPr>
        <w:t xml:space="preserve"> </w:t>
      </w:r>
      <w:r w:rsidRPr="003B4362">
        <w:rPr>
          <w:rFonts w:eastAsia="Calibri"/>
          <w:szCs w:val="24"/>
        </w:rPr>
        <w:t xml:space="preserve">in this calculation.  </w:t>
      </w:r>
      <w:r w:rsidR="007100F8" w:rsidRPr="003B4362">
        <w:rPr>
          <w:rFonts w:eastAsia="Calibri"/>
          <w:szCs w:val="24"/>
        </w:rPr>
        <w:t xml:space="preserve">The supplier must assign each sampling result </w:t>
      </w:r>
      <w:r w:rsidRPr="003B4362">
        <w:rPr>
          <w:rFonts w:eastAsia="Calibri"/>
          <w:szCs w:val="24"/>
        </w:rPr>
        <w:t>a number,</w:t>
      </w:r>
      <w:r w:rsidR="00730957" w:rsidRPr="003B4362">
        <w:rPr>
          <w:rFonts w:eastAsia="Calibri"/>
          <w:szCs w:val="24"/>
        </w:rPr>
        <w:t xml:space="preserve"> beginning with the number 1 for the sample with the lowest contaminant concentration and ascending by single integers through increasing </w:t>
      </w:r>
      <w:r w:rsidR="00730957" w:rsidRPr="003B4362">
        <w:rPr>
          <w:rFonts w:eastAsia="Calibri"/>
          <w:szCs w:val="24"/>
        </w:rPr>
        <w:lastRenderedPageBreak/>
        <w:t>concentrations</w:t>
      </w:r>
      <w:r w:rsidRPr="003B4362">
        <w:rPr>
          <w:rFonts w:eastAsia="Calibri"/>
          <w:szCs w:val="24"/>
        </w:rPr>
        <w:t xml:space="preserve">.  The number </w:t>
      </w:r>
      <w:bookmarkStart w:id="746" w:name="_Hlk116581472"/>
      <w:r w:rsidR="007100F8" w:rsidRPr="003B4362">
        <w:rPr>
          <w:rFonts w:eastAsia="Calibri"/>
          <w:szCs w:val="24"/>
        </w:rPr>
        <w:t xml:space="preserve">the supplier </w:t>
      </w:r>
      <w:r w:rsidRPr="003B4362">
        <w:rPr>
          <w:rFonts w:eastAsia="Calibri"/>
          <w:szCs w:val="24"/>
        </w:rPr>
        <w:t>assign</w:t>
      </w:r>
      <w:r w:rsidR="007100F8" w:rsidRPr="003B4362">
        <w:rPr>
          <w:rFonts w:eastAsia="Calibri"/>
          <w:szCs w:val="24"/>
        </w:rPr>
        <w:t>s</w:t>
      </w:r>
      <w:bookmarkEnd w:id="746"/>
      <w:r w:rsidRPr="003B4362">
        <w:rPr>
          <w:rFonts w:eastAsia="Calibri"/>
          <w:szCs w:val="24"/>
        </w:rPr>
        <w:t xml:space="preserve"> to the sample with the highest contaminant </w:t>
      </w:r>
      <w:r w:rsidR="007A7971" w:rsidRPr="003B4362">
        <w:rPr>
          <w:rFonts w:eastAsia="Calibri"/>
          <w:szCs w:val="24"/>
        </w:rPr>
        <w:t>concentration</w:t>
      </w:r>
      <w:r w:rsidRPr="003B4362">
        <w:rPr>
          <w:rFonts w:eastAsia="Calibri"/>
          <w:szCs w:val="24"/>
        </w:rPr>
        <w:t xml:space="preserve"> </w:t>
      </w:r>
      <w:r w:rsidR="007A7971" w:rsidRPr="003B4362">
        <w:rPr>
          <w:rFonts w:eastAsia="Calibri"/>
          <w:szCs w:val="24"/>
        </w:rPr>
        <w:t>must</w:t>
      </w:r>
      <w:r w:rsidRPr="003B4362">
        <w:rPr>
          <w:rFonts w:eastAsia="Calibri"/>
          <w:szCs w:val="24"/>
        </w:rPr>
        <w:t xml:space="preserve"> equal the total minimum number of sites listed in Section 141.86(c).</w:t>
      </w:r>
    </w:p>
    <w:p w14:paraId="64F8E16E" w14:textId="498E7D91"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t xml:space="preserve">The </w:t>
      </w:r>
      <w:r w:rsidR="007A7971" w:rsidRPr="003B4362">
        <w:rPr>
          <w:rFonts w:eastAsia="Calibri"/>
          <w:szCs w:val="24"/>
        </w:rPr>
        <w:t>supplier must multiply the number of Tier 1 or Tier 2 sites during the tap sampling period times 0.9.</w:t>
      </w:r>
    </w:p>
    <w:p w14:paraId="3AED3651" w14:textId="2805EEC8"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iii)</w:t>
      </w:r>
      <w:r w:rsidRPr="003B4362">
        <w:rPr>
          <w:rFonts w:eastAsia="Calibri"/>
          <w:szCs w:val="24"/>
        </w:rPr>
        <w:tab/>
      </w:r>
      <w:r w:rsidR="007A7971" w:rsidRPr="003B4362">
        <w:rPr>
          <w:rFonts w:eastAsia="Calibri"/>
          <w:szCs w:val="24"/>
        </w:rPr>
        <w:t>The 90th percentile concentration is the contaminant concentration in the numbered sample corresponding with the number the calculation under subsection (c)(4)(C)(ii) yields.</w:t>
      </w:r>
    </w:p>
    <w:p w14:paraId="394996D8" w14:textId="490CE214"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iv)</w:t>
      </w:r>
      <w:r w:rsidRPr="003B4362">
        <w:rPr>
          <w:rFonts w:eastAsia="Calibri"/>
          <w:szCs w:val="24"/>
        </w:rPr>
        <w:tab/>
      </w:r>
      <w:r w:rsidR="007A7971" w:rsidRPr="003B4362">
        <w:rPr>
          <w:rFonts w:eastAsia="Calibri"/>
          <w:szCs w:val="24"/>
        </w:rPr>
        <w:t>For a supplier serving fewer than 100 people that collects five samples per tap sampling period, the 90th percentile concentration is the average of the highest and second highest concentration.</w:t>
      </w:r>
    </w:p>
    <w:p w14:paraId="572CB901" w14:textId="7A740B99"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v)</w:t>
      </w:r>
      <w:r w:rsidRPr="003B4362">
        <w:rPr>
          <w:rFonts w:eastAsia="Calibri"/>
          <w:szCs w:val="24"/>
        </w:rPr>
        <w:tab/>
      </w:r>
      <w:r w:rsidR="007A7971" w:rsidRPr="003B4362">
        <w:rPr>
          <w:rFonts w:eastAsia="Calibri"/>
          <w:szCs w:val="24"/>
        </w:rPr>
        <w:t xml:space="preserve">For a supplier the Agency allows to collect fewer than five samples under Section </w:t>
      </w:r>
      <w:r w:rsidR="00AD3A4C" w:rsidRPr="003B4362">
        <w:rPr>
          <w:rFonts w:eastAsia="Calibri"/>
          <w:szCs w:val="24"/>
        </w:rPr>
        <w:t>611.35</w:t>
      </w:r>
      <w:r w:rsidR="007A7971" w:rsidRPr="003B4362">
        <w:rPr>
          <w:rFonts w:eastAsia="Calibri"/>
          <w:szCs w:val="24"/>
        </w:rPr>
        <w:t>6(c) or failing to collect five samples, the highest sample concentration is the 90th percentile concentration.</w:t>
      </w:r>
    </w:p>
    <w:p w14:paraId="5D86363B" w14:textId="29079192" w:rsidR="005451CE" w:rsidRPr="003B4362" w:rsidRDefault="005451CE" w:rsidP="005451CE">
      <w:pPr>
        <w:spacing w:before="240" w:after="240"/>
        <w:ind w:left="720"/>
        <w:rPr>
          <w:rFonts w:eastAsia="Calibri"/>
        </w:rPr>
      </w:pPr>
      <w:r w:rsidRPr="003B4362">
        <w:rPr>
          <w:rFonts w:eastAsia="Calibri"/>
        </w:rPr>
        <w:t>d)</w:t>
      </w:r>
      <w:r w:rsidRPr="003B4362">
        <w:rPr>
          <w:rFonts w:eastAsia="Calibri"/>
        </w:rPr>
        <w:tab/>
        <w:t>Corrosion Control Requirements</w:t>
      </w:r>
    </w:p>
    <w:p w14:paraId="00DB4E9A" w14:textId="226851A0"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r>
      <w:bookmarkStart w:id="747" w:name="_Hlk114002443"/>
      <w:r w:rsidRPr="003B4362">
        <w:rPr>
          <w:rFonts w:eastAsia="Calibri"/>
        </w:rPr>
        <w:t>Every supplier must install</w:t>
      </w:r>
      <w:bookmarkEnd w:id="747"/>
      <w:r w:rsidRPr="003B4362">
        <w:rPr>
          <w:rFonts w:eastAsia="Calibri"/>
        </w:rPr>
        <w:t xml:space="preserve"> and operate </w:t>
      </w:r>
      <w:r w:rsidR="0061465B" w:rsidRPr="003B4362">
        <w:rPr>
          <w:rFonts w:eastAsia="Calibri"/>
        </w:rPr>
        <w:t xml:space="preserve">corrosion control treatment under </w:t>
      </w:r>
      <w:r w:rsidR="0061465B" w:rsidRPr="003B4362">
        <w:rPr>
          <w:szCs w:val="24"/>
        </w:rPr>
        <w:t xml:space="preserve">Sections </w:t>
      </w:r>
      <w:r w:rsidR="00AD3A4C" w:rsidRPr="003B4362">
        <w:rPr>
          <w:rFonts w:eastAsia="Calibri"/>
          <w:szCs w:val="24"/>
        </w:rPr>
        <w:t>611.35</w:t>
      </w:r>
      <w:r w:rsidR="0061465B" w:rsidRPr="003B4362">
        <w:rPr>
          <w:szCs w:val="24"/>
        </w:rPr>
        <w:t xml:space="preserve">1 and </w:t>
      </w:r>
      <w:r w:rsidR="00AD3A4C" w:rsidRPr="003B4362">
        <w:rPr>
          <w:rFonts w:eastAsia="Calibri"/>
          <w:szCs w:val="24"/>
        </w:rPr>
        <w:t>611.35</w:t>
      </w:r>
      <w:r w:rsidR="0061465B" w:rsidRPr="003B4362">
        <w:rPr>
          <w:szCs w:val="24"/>
        </w:rPr>
        <w:t xml:space="preserve">2 </w:t>
      </w:r>
      <w:bookmarkStart w:id="748" w:name="_Hlk116584704"/>
      <w:r w:rsidR="0061465B" w:rsidRPr="003B4362">
        <w:rPr>
          <w:szCs w:val="24"/>
        </w:rPr>
        <w:t>meet</w:t>
      </w:r>
      <w:bookmarkEnd w:id="748"/>
      <w:r w:rsidR="00800C6A" w:rsidRPr="003B4362">
        <w:rPr>
          <w:szCs w:val="24"/>
        </w:rPr>
        <w:t>ing</w:t>
      </w:r>
      <w:r w:rsidR="0061465B" w:rsidRPr="003B4362">
        <w:rPr>
          <w:szCs w:val="24"/>
        </w:rPr>
        <w:t xml:space="preserve"> the definition of </w:t>
      </w:r>
      <w:r w:rsidRPr="003B4362">
        <w:rPr>
          <w:rFonts w:eastAsia="Calibri"/>
        </w:rPr>
        <w:t>optimal corrosion control treatment.</w:t>
      </w:r>
    </w:p>
    <w:p w14:paraId="78632343" w14:textId="677BA97C"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A</w:t>
      </w:r>
      <w:bookmarkStart w:id="749" w:name="_Hlk114002580"/>
      <w:r w:rsidRPr="003B4362">
        <w:rPr>
          <w:rFonts w:eastAsia="Calibri"/>
        </w:rPr>
        <w:t xml:space="preserve">ny supplier complying </w:t>
      </w:r>
      <w:bookmarkEnd w:id="749"/>
      <w:r w:rsidRPr="003B4362">
        <w:rPr>
          <w:rFonts w:eastAsia="Calibri"/>
        </w:rPr>
        <w:t xml:space="preserve">with the applicable corrosion control treatment </w:t>
      </w:r>
      <w:bookmarkStart w:id="750" w:name="_Hlk114003241"/>
      <w:r w:rsidRPr="003B4362">
        <w:rPr>
          <w:rFonts w:eastAsia="Calibri"/>
        </w:rPr>
        <w:t>requirements the Agency specifies</w:t>
      </w:r>
      <w:bookmarkEnd w:id="750"/>
      <w:r w:rsidRPr="003B4362">
        <w:rPr>
          <w:rFonts w:eastAsia="Calibri"/>
        </w:rPr>
        <w:t xml:space="preserve"> under Sections 611.351 and 611.352 </w:t>
      </w:r>
      <w:bookmarkStart w:id="751" w:name="_Hlk114003322"/>
      <w:r w:rsidRPr="003B4362">
        <w:rPr>
          <w:rFonts w:eastAsia="Calibri"/>
        </w:rPr>
        <w:t>is deemed as complying with subsection (d)(1)</w:t>
      </w:r>
      <w:bookmarkEnd w:id="751"/>
      <w:r w:rsidRPr="003B4362">
        <w:rPr>
          <w:rFonts w:eastAsia="Calibri"/>
        </w:rPr>
        <w:t>.</w:t>
      </w:r>
    </w:p>
    <w:p w14:paraId="0BF5F2D8" w14:textId="50EDEA50" w:rsidR="003C2861" w:rsidRPr="003B4362" w:rsidRDefault="003C2861" w:rsidP="003C2861">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A</w:t>
      </w:r>
      <w:bookmarkStart w:id="752" w:name="_Hlk116586116"/>
      <w:bookmarkStart w:id="753" w:name="_Hlk116586379"/>
      <w:r w:rsidRPr="003B4362">
        <w:rPr>
          <w:rFonts w:eastAsia="Calibri"/>
          <w:szCs w:val="24"/>
        </w:rPr>
        <w:t xml:space="preserve"> small</w:t>
      </w:r>
      <w:r w:rsidR="00515D35" w:rsidRPr="003B4362">
        <w:rPr>
          <w:rFonts w:eastAsia="Calibri"/>
          <w:szCs w:val="24"/>
        </w:rPr>
        <w:t xml:space="preserve"> CWS</w:t>
      </w:r>
      <w:r w:rsidR="0005519D" w:rsidRPr="003B4362">
        <w:rPr>
          <w:rFonts w:eastAsia="Calibri"/>
          <w:szCs w:val="24"/>
        </w:rPr>
        <w:t xml:space="preserve"> </w:t>
      </w:r>
      <w:r w:rsidRPr="003B4362">
        <w:rPr>
          <w:rFonts w:eastAsia="Calibri"/>
          <w:szCs w:val="24"/>
        </w:rPr>
        <w:t xml:space="preserve">or </w:t>
      </w:r>
      <w:bookmarkEnd w:id="752"/>
      <w:r w:rsidRPr="003B4362">
        <w:rPr>
          <w:rFonts w:eastAsia="Calibri"/>
          <w:szCs w:val="24"/>
        </w:rPr>
        <w:t>NTNCWS</w:t>
      </w:r>
      <w:bookmarkEnd w:id="753"/>
      <w:r w:rsidR="0005519D" w:rsidRPr="003B4362">
        <w:rPr>
          <w:rFonts w:eastAsia="Calibri"/>
          <w:szCs w:val="24"/>
        </w:rPr>
        <w:t xml:space="preserve"> supplier</w:t>
      </w:r>
      <w:r w:rsidRPr="003B4362">
        <w:rPr>
          <w:rFonts w:eastAsia="Calibri"/>
          <w:szCs w:val="24"/>
        </w:rPr>
        <w:t xml:space="preserve"> complying with the applicable small</w:t>
      </w:r>
      <w:r w:rsidR="0005519D" w:rsidRPr="003B4362">
        <w:rPr>
          <w:rFonts w:eastAsia="Calibri"/>
          <w:szCs w:val="24"/>
        </w:rPr>
        <w:t xml:space="preserve"> supplier</w:t>
      </w:r>
      <w:r w:rsidR="00F046F2" w:rsidRPr="003B4362">
        <w:rPr>
          <w:rFonts w:eastAsia="Calibri"/>
          <w:szCs w:val="24"/>
        </w:rPr>
        <w:t xml:space="preserve"> </w:t>
      </w:r>
      <w:r w:rsidR="00030555" w:rsidRPr="003B4362">
        <w:rPr>
          <w:rFonts w:eastAsia="Calibri"/>
          <w:szCs w:val="24"/>
        </w:rPr>
        <w:t xml:space="preserve">compliance </w:t>
      </w:r>
      <w:r w:rsidRPr="003B4362">
        <w:rPr>
          <w:rFonts w:eastAsia="Calibri"/>
          <w:szCs w:val="24"/>
        </w:rPr>
        <w:t>flexibility requirements</w:t>
      </w:r>
      <w:bookmarkStart w:id="754" w:name="_Hlk116586829"/>
      <w:r w:rsidRPr="003B4362">
        <w:rPr>
          <w:rFonts w:eastAsia="Calibri"/>
          <w:szCs w:val="24"/>
        </w:rPr>
        <w:t xml:space="preserve"> </w:t>
      </w:r>
      <w:r w:rsidR="00F046F2" w:rsidRPr="003B4362">
        <w:rPr>
          <w:rFonts w:eastAsia="Calibri"/>
          <w:szCs w:val="24"/>
        </w:rPr>
        <w:t xml:space="preserve">the Agency </w:t>
      </w:r>
      <w:r w:rsidRPr="003B4362">
        <w:rPr>
          <w:rFonts w:eastAsia="Calibri"/>
          <w:szCs w:val="24"/>
        </w:rPr>
        <w:t>specifie</w:t>
      </w:r>
      <w:r w:rsidR="00F046F2" w:rsidRPr="003B4362">
        <w:rPr>
          <w:rFonts w:eastAsia="Calibri"/>
          <w:szCs w:val="24"/>
        </w:rPr>
        <w:t>s</w:t>
      </w:r>
      <w:bookmarkEnd w:id="754"/>
      <w:r w:rsidR="00F046F2" w:rsidRPr="003B4362">
        <w:rPr>
          <w:rFonts w:eastAsia="Calibri"/>
          <w:szCs w:val="24"/>
        </w:rPr>
        <w:t xml:space="preserve"> </w:t>
      </w:r>
      <w:r w:rsidRPr="003B4362">
        <w:rPr>
          <w:rFonts w:eastAsia="Calibri"/>
          <w:szCs w:val="24"/>
        </w:rPr>
        <w:t xml:space="preserve">under Sections </w:t>
      </w:r>
      <w:bookmarkStart w:id="755" w:name="_Hlk116590692"/>
      <w:r w:rsidR="006B1662" w:rsidRPr="003B4362">
        <w:rPr>
          <w:rFonts w:eastAsia="Calibri"/>
          <w:szCs w:val="24"/>
        </w:rPr>
        <w:t>61</w:t>
      </w:r>
      <w:r w:rsidRPr="003B4362">
        <w:rPr>
          <w:rFonts w:eastAsia="Calibri"/>
          <w:szCs w:val="24"/>
        </w:rPr>
        <w:t>1.</w:t>
      </w:r>
      <w:r w:rsidR="006B1662" w:rsidRPr="003B4362">
        <w:rPr>
          <w:rFonts w:eastAsia="Calibri"/>
          <w:szCs w:val="24"/>
        </w:rPr>
        <w:t>35</w:t>
      </w:r>
      <w:bookmarkEnd w:id="755"/>
      <w:r w:rsidRPr="003B4362">
        <w:rPr>
          <w:rFonts w:eastAsia="Calibri"/>
          <w:szCs w:val="24"/>
        </w:rPr>
        <w:t xml:space="preserve">1(a)(3) and </w:t>
      </w:r>
      <w:r w:rsidR="006B1662" w:rsidRPr="003B4362">
        <w:rPr>
          <w:rFonts w:eastAsia="Calibri"/>
          <w:szCs w:val="24"/>
        </w:rPr>
        <w:t>611.</w:t>
      </w:r>
      <w:r w:rsidR="00166F58" w:rsidRPr="003B4362">
        <w:rPr>
          <w:rFonts w:eastAsia="Calibri"/>
          <w:szCs w:val="24"/>
        </w:rPr>
        <w:t>363</w:t>
      </w:r>
      <w:r w:rsidRPr="003B4362">
        <w:rPr>
          <w:rFonts w:eastAsia="Calibri"/>
          <w:szCs w:val="24"/>
        </w:rPr>
        <w:t xml:space="preserve"> </w:t>
      </w:r>
      <w:r w:rsidR="005B1111" w:rsidRPr="003B4362">
        <w:rPr>
          <w:rFonts w:eastAsia="Calibri"/>
          <w:szCs w:val="24"/>
        </w:rPr>
        <w:t>complies</w:t>
      </w:r>
      <w:r w:rsidRPr="003B4362">
        <w:rPr>
          <w:rFonts w:eastAsia="Calibri"/>
          <w:szCs w:val="24"/>
        </w:rPr>
        <w:t xml:space="preserve"> with </w:t>
      </w:r>
      <w:bookmarkStart w:id="756" w:name="_Hlk116588725"/>
      <w:r w:rsidRPr="003B4362">
        <w:rPr>
          <w:rFonts w:eastAsia="Calibri"/>
          <w:szCs w:val="24"/>
        </w:rPr>
        <w:t xml:space="preserve">the treatment requirement in </w:t>
      </w:r>
      <w:bookmarkStart w:id="757" w:name="_Hlk116588781"/>
      <w:r w:rsidRPr="003B4362">
        <w:rPr>
          <w:rFonts w:eastAsia="Calibri"/>
          <w:szCs w:val="24"/>
        </w:rPr>
        <w:t>subsection (d)(1)</w:t>
      </w:r>
      <w:bookmarkEnd w:id="756"/>
      <w:bookmarkEnd w:id="757"/>
      <w:r w:rsidRPr="003B4362">
        <w:rPr>
          <w:rFonts w:eastAsia="Calibri"/>
          <w:szCs w:val="24"/>
        </w:rPr>
        <w:t>.</w:t>
      </w:r>
    </w:p>
    <w:p w14:paraId="757208D4" w14:textId="5242D11C" w:rsidR="003C2861" w:rsidRPr="003B4362" w:rsidRDefault="003C2861" w:rsidP="003C2861">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t>A</w:t>
      </w:r>
      <w:bookmarkStart w:id="758" w:name="_Hlk116588941"/>
      <w:r w:rsidR="008F576C" w:rsidRPr="003B4362">
        <w:rPr>
          <w:rFonts w:eastAsia="Calibri"/>
          <w:szCs w:val="24"/>
        </w:rPr>
        <w:t xml:space="preserve"> supplier must</w:t>
      </w:r>
      <w:r w:rsidRPr="003B4362">
        <w:rPr>
          <w:rFonts w:eastAsia="Calibri"/>
          <w:szCs w:val="24"/>
        </w:rPr>
        <w:t xml:space="preserve"> notify the </w:t>
      </w:r>
      <w:r w:rsidR="008F576C" w:rsidRPr="003B4362">
        <w:rPr>
          <w:rFonts w:eastAsia="Calibri"/>
          <w:szCs w:val="24"/>
        </w:rPr>
        <w:t>Agency</w:t>
      </w:r>
      <w:r w:rsidRPr="003B4362">
        <w:rPr>
          <w:rFonts w:eastAsia="Calibri"/>
          <w:szCs w:val="24"/>
        </w:rPr>
        <w:t xml:space="preserve"> in writing </w:t>
      </w:r>
      <w:r w:rsidR="008F576C" w:rsidRPr="003B4362">
        <w:rPr>
          <w:rFonts w:eastAsia="Calibri"/>
          <w:szCs w:val="24"/>
        </w:rPr>
        <w:t>under</w:t>
      </w:r>
      <w:r w:rsidRPr="003B4362">
        <w:rPr>
          <w:rFonts w:eastAsia="Calibri"/>
          <w:szCs w:val="24"/>
        </w:rPr>
        <w:t xml:space="preserve"> </w:t>
      </w:r>
      <w:r w:rsidR="00166F58" w:rsidRPr="003B4362">
        <w:rPr>
          <w:rFonts w:eastAsia="Calibri"/>
          <w:szCs w:val="24"/>
        </w:rPr>
        <w:t>40 CFR</w:t>
      </w:r>
      <w:r w:rsidRPr="003B4362">
        <w:rPr>
          <w:rFonts w:eastAsia="Calibri"/>
          <w:szCs w:val="24"/>
        </w:rPr>
        <w:t xml:space="preserve"> 141.90(a)(3)</w:t>
      </w:r>
      <w:bookmarkEnd w:id="758"/>
      <w:r w:rsidRPr="003B4362">
        <w:rPr>
          <w:rFonts w:eastAsia="Calibri"/>
          <w:szCs w:val="24"/>
        </w:rPr>
        <w:t xml:space="preserve"> of any </w:t>
      </w:r>
      <w:bookmarkStart w:id="759" w:name="_Hlk116590728"/>
      <w:r w:rsidRPr="003B4362">
        <w:rPr>
          <w:rFonts w:eastAsia="Calibri"/>
          <w:szCs w:val="24"/>
        </w:rPr>
        <w:t xml:space="preserve">upcoming long-term change in </w:t>
      </w:r>
      <w:r w:rsidR="000507E8" w:rsidRPr="003B4362">
        <w:rPr>
          <w:rFonts w:eastAsia="Calibri"/>
          <w:szCs w:val="24"/>
        </w:rPr>
        <w:t xml:space="preserve">water </w:t>
      </w:r>
      <w:r w:rsidRPr="003B4362">
        <w:rPr>
          <w:rFonts w:eastAsia="Calibri"/>
          <w:szCs w:val="24"/>
        </w:rPr>
        <w:t xml:space="preserve">treatment or </w:t>
      </w:r>
      <w:r w:rsidR="006B1662" w:rsidRPr="003B4362">
        <w:rPr>
          <w:rFonts w:eastAsia="Calibri"/>
          <w:szCs w:val="24"/>
        </w:rPr>
        <w:t xml:space="preserve">plan to </w:t>
      </w:r>
      <w:r w:rsidRPr="003B4362">
        <w:rPr>
          <w:rFonts w:eastAsia="Calibri"/>
          <w:szCs w:val="24"/>
        </w:rPr>
        <w:t>add a new source</w:t>
      </w:r>
      <w:bookmarkEnd w:id="759"/>
      <w:r w:rsidRPr="003B4362">
        <w:rPr>
          <w:rFonts w:eastAsia="Calibri"/>
          <w:szCs w:val="24"/>
        </w:rPr>
        <w:t xml:space="preserve"> </w:t>
      </w:r>
      <w:bookmarkStart w:id="760" w:name="_Hlk116590857"/>
      <w:r w:rsidRPr="003B4362">
        <w:rPr>
          <w:rFonts w:eastAsia="Calibri"/>
          <w:szCs w:val="24"/>
        </w:rPr>
        <w:t>as</w:t>
      </w:r>
      <w:r w:rsidR="009279F2" w:rsidRPr="003B4362">
        <w:rPr>
          <w:rFonts w:eastAsia="Calibri"/>
          <w:szCs w:val="24"/>
        </w:rPr>
        <w:t xml:space="preserve"> </w:t>
      </w:r>
      <w:r w:rsidRPr="003B4362">
        <w:rPr>
          <w:rFonts w:eastAsia="Calibri"/>
          <w:szCs w:val="24"/>
        </w:rPr>
        <w:t xml:space="preserve">Section </w:t>
      </w:r>
      <w:r w:rsidR="006B1662" w:rsidRPr="003B4362">
        <w:rPr>
          <w:rFonts w:eastAsia="Calibri"/>
          <w:szCs w:val="24"/>
        </w:rPr>
        <w:t>611.36</w:t>
      </w:r>
      <w:r w:rsidRPr="003B4362">
        <w:rPr>
          <w:rFonts w:eastAsia="Calibri"/>
          <w:szCs w:val="24"/>
        </w:rPr>
        <w:t>0(a)(3)</w:t>
      </w:r>
      <w:r w:rsidR="009279F2" w:rsidRPr="003B4362">
        <w:rPr>
          <w:rFonts w:eastAsia="Calibri"/>
          <w:szCs w:val="24"/>
        </w:rPr>
        <w:t xml:space="preserve"> describes</w:t>
      </w:r>
      <w:bookmarkEnd w:id="760"/>
      <w:r w:rsidRPr="003B4362">
        <w:rPr>
          <w:rFonts w:eastAsia="Calibri"/>
          <w:szCs w:val="24"/>
        </w:rPr>
        <w:t xml:space="preserve">.  </w:t>
      </w:r>
      <w:bookmarkStart w:id="761" w:name="_Hlk116594070"/>
      <w:r w:rsidRPr="003B4362">
        <w:rPr>
          <w:rFonts w:eastAsia="Calibri"/>
          <w:szCs w:val="24"/>
        </w:rPr>
        <w:t>T</w:t>
      </w:r>
      <w:bookmarkStart w:id="762" w:name="_Hlk116591243"/>
      <w:bookmarkStart w:id="763" w:name="_Hlk116591726"/>
      <w:r w:rsidRPr="003B4362">
        <w:rPr>
          <w:rFonts w:eastAsia="Calibri"/>
          <w:szCs w:val="24"/>
        </w:rPr>
        <w:t xml:space="preserve">he </w:t>
      </w:r>
      <w:r w:rsidR="000507E8" w:rsidRPr="003B4362">
        <w:rPr>
          <w:rFonts w:eastAsia="Calibri"/>
          <w:szCs w:val="24"/>
        </w:rPr>
        <w:t xml:space="preserve">supplier must not implement a long-term change in water treatment or add a new source until after the Agency </w:t>
      </w:r>
      <w:r w:rsidRPr="003B4362">
        <w:rPr>
          <w:rFonts w:eastAsia="Calibri"/>
          <w:szCs w:val="24"/>
        </w:rPr>
        <w:t>review</w:t>
      </w:r>
      <w:r w:rsidR="000507E8" w:rsidRPr="003B4362">
        <w:rPr>
          <w:rFonts w:eastAsia="Calibri"/>
          <w:szCs w:val="24"/>
        </w:rPr>
        <w:t>s</w:t>
      </w:r>
      <w:r w:rsidRPr="003B4362">
        <w:rPr>
          <w:rFonts w:eastAsia="Calibri"/>
          <w:szCs w:val="24"/>
        </w:rPr>
        <w:t xml:space="preserve"> and approve</w:t>
      </w:r>
      <w:r w:rsidR="000507E8" w:rsidRPr="003B4362">
        <w:rPr>
          <w:rFonts w:eastAsia="Calibri"/>
          <w:szCs w:val="24"/>
        </w:rPr>
        <w:t>s</w:t>
      </w:r>
      <w:r w:rsidRPr="003B4362">
        <w:rPr>
          <w:rFonts w:eastAsia="Calibri"/>
          <w:szCs w:val="24"/>
        </w:rPr>
        <w:t xml:space="preserve"> the </w:t>
      </w:r>
      <w:bookmarkEnd w:id="762"/>
      <w:r w:rsidR="000507E8" w:rsidRPr="003B4362">
        <w:rPr>
          <w:rFonts w:eastAsia="Calibri"/>
          <w:szCs w:val="24"/>
        </w:rPr>
        <w:t>action in a SEP</w:t>
      </w:r>
      <w:bookmarkEnd w:id="761"/>
      <w:bookmarkEnd w:id="763"/>
      <w:r w:rsidRPr="003B4362">
        <w:rPr>
          <w:rFonts w:eastAsia="Calibri"/>
          <w:szCs w:val="24"/>
        </w:rPr>
        <w:t>.  T</w:t>
      </w:r>
      <w:bookmarkStart w:id="764" w:name="_Hlk116592000"/>
      <w:r w:rsidRPr="003B4362">
        <w:rPr>
          <w:rFonts w:eastAsia="Calibri"/>
          <w:szCs w:val="24"/>
        </w:rPr>
        <w:t xml:space="preserve">he </w:t>
      </w:r>
      <w:r w:rsidR="00855377" w:rsidRPr="003B4362">
        <w:rPr>
          <w:rFonts w:eastAsia="Calibri"/>
          <w:szCs w:val="24"/>
        </w:rPr>
        <w:t>SEP</w:t>
      </w:r>
      <w:r w:rsidRPr="003B4362">
        <w:rPr>
          <w:rFonts w:eastAsia="Calibri"/>
          <w:szCs w:val="24"/>
        </w:rPr>
        <w:t xml:space="preserve"> may require </w:t>
      </w:r>
      <w:r w:rsidR="00855377" w:rsidRPr="003B4362">
        <w:rPr>
          <w:rFonts w:eastAsia="Calibri"/>
          <w:szCs w:val="24"/>
        </w:rPr>
        <w:t>the supplier</w:t>
      </w:r>
      <w:r w:rsidRPr="003B4362">
        <w:rPr>
          <w:rFonts w:eastAsia="Calibri"/>
          <w:szCs w:val="24"/>
        </w:rPr>
        <w:t xml:space="preserve"> to conduct</w:t>
      </w:r>
      <w:bookmarkEnd w:id="764"/>
      <w:r w:rsidRPr="003B4362">
        <w:rPr>
          <w:rFonts w:eastAsia="Calibri"/>
          <w:szCs w:val="24"/>
        </w:rPr>
        <w:t xml:space="preserve"> additional monitoring or take other action the </w:t>
      </w:r>
      <w:r w:rsidR="00855377" w:rsidRPr="003B4362">
        <w:rPr>
          <w:rFonts w:eastAsia="Calibri"/>
          <w:szCs w:val="24"/>
        </w:rPr>
        <w:t>Agency</w:t>
      </w:r>
      <w:r w:rsidRPr="003B4362">
        <w:rPr>
          <w:rFonts w:eastAsia="Calibri"/>
          <w:szCs w:val="24"/>
        </w:rPr>
        <w:t xml:space="preserve"> deems appropriate </w:t>
      </w:r>
      <w:bookmarkStart w:id="765" w:name="_Hlk116592417"/>
      <w:r w:rsidRPr="003B4362">
        <w:rPr>
          <w:rFonts w:eastAsia="Calibri"/>
          <w:szCs w:val="24"/>
        </w:rPr>
        <w:t xml:space="preserve">to ensure that </w:t>
      </w:r>
      <w:r w:rsidR="000C7A89" w:rsidRPr="003B4362">
        <w:rPr>
          <w:rFonts w:eastAsia="Calibri"/>
          <w:szCs w:val="24"/>
        </w:rPr>
        <w:t>the supplier</w:t>
      </w:r>
      <w:r w:rsidRPr="003B4362">
        <w:rPr>
          <w:rFonts w:eastAsia="Calibri"/>
          <w:szCs w:val="24"/>
        </w:rPr>
        <w:t xml:space="preserve"> maintains</w:t>
      </w:r>
      <w:bookmarkEnd w:id="765"/>
      <w:r w:rsidRPr="003B4362">
        <w:rPr>
          <w:rFonts w:eastAsia="Calibri"/>
          <w:szCs w:val="24"/>
        </w:rPr>
        <w:t xml:space="preserve"> minimal levels of corrosion control in its distribution system.</w:t>
      </w:r>
    </w:p>
    <w:p w14:paraId="4222D7E9" w14:textId="04E8DFBC" w:rsidR="000C7A89" w:rsidRPr="003B4362" w:rsidRDefault="005451CE" w:rsidP="005451CE">
      <w:pPr>
        <w:spacing w:before="240" w:after="240"/>
        <w:ind w:left="1440" w:hanging="720"/>
        <w:rPr>
          <w:rFonts w:eastAsia="Calibri"/>
        </w:rPr>
      </w:pPr>
      <w:r w:rsidRPr="003B4362">
        <w:rPr>
          <w:rFonts w:eastAsia="Calibri"/>
        </w:rPr>
        <w:lastRenderedPageBreak/>
        <w:t>e)</w:t>
      </w:r>
      <w:r w:rsidRPr="003B4362">
        <w:rPr>
          <w:rFonts w:eastAsia="Calibri"/>
        </w:rPr>
        <w:tab/>
        <w:t>Source Water Requirements</w:t>
      </w:r>
    </w:p>
    <w:p w14:paraId="0E4CBFD3" w14:textId="297E2188" w:rsidR="005451CE" w:rsidRPr="003B4362" w:rsidRDefault="000C7A89" w:rsidP="000C7A89">
      <w:pPr>
        <w:spacing w:before="240" w:after="240"/>
        <w:ind w:left="2160" w:hanging="720"/>
        <w:rPr>
          <w:rFonts w:eastAsia="Calibri"/>
        </w:rPr>
      </w:pPr>
      <w:r w:rsidRPr="003B4362">
        <w:rPr>
          <w:rFonts w:eastAsia="Calibri"/>
        </w:rPr>
        <w:t>1)</w:t>
      </w:r>
      <w:r w:rsidRPr="003B4362">
        <w:rPr>
          <w:rFonts w:eastAsia="Calibri"/>
        </w:rPr>
        <w:tab/>
      </w:r>
      <w:r w:rsidR="005451CE" w:rsidRPr="003B4362">
        <w:rPr>
          <w:rFonts w:eastAsia="Calibri"/>
        </w:rPr>
        <w:t xml:space="preserve">Any supplier </w:t>
      </w:r>
      <w:bookmarkStart w:id="766" w:name="_Hlk116592995"/>
      <w:r w:rsidRPr="003B4362">
        <w:rPr>
          <w:rFonts w:eastAsia="Calibri"/>
        </w:rPr>
        <w:t xml:space="preserve">exceeding </w:t>
      </w:r>
      <w:bookmarkStart w:id="767" w:name="_Hlk116593039"/>
      <w:bookmarkEnd w:id="766"/>
      <w:r w:rsidR="005451CE" w:rsidRPr="003B4362">
        <w:rPr>
          <w:rFonts w:eastAsia="Calibri"/>
        </w:rPr>
        <w:t>the lead or copper action level</w:t>
      </w:r>
      <w:bookmarkEnd w:id="767"/>
      <w:r w:rsidR="005451CE" w:rsidRPr="003B4362">
        <w:rPr>
          <w:rFonts w:eastAsia="Calibri"/>
        </w:rPr>
        <w:t xml:space="preserve"> must implement all applicable source water treatment </w:t>
      </w:r>
      <w:bookmarkStart w:id="768" w:name="_Hlk116593233"/>
      <w:r w:rsidR="005451CE" w:rsidRPr="003B4362">
        <w:rPr>
          <w:rFonts w:eastAsia="Calibri"/>
        </w:rPr>
        <w:t>requirements the Agency specifies</w:t>
      </w:r>
      <w:bookmarkEnd w:id="768"/>
      <w:r w:rsidR="005451CE" w:rsidRPr="003B4362">
        <w:rPr>
          <w:rFonts w:eastAsia="Calibri"/>
        </w:rPr>
        <w:t xml:space="preserve"> under Section 611.353.</w:t>
      </w:r>
    </w:p>
    <w:p w14:paraId="1A888046" w14:textId="48D3C435" w:rsidR="00E20842" w:rsidRPr="003B4362" w:rsidRDefault="00E20842" w:rsidP="00E20842">
      <w:pPr>
        <w:autoSpaceDE w:val="0"/>
        <w:autoSpaceDN w:val="0"/>
        <w:adjustRightInd w:val="0"/>
        <w:ind w:left="2160" w:hanging="720"/>
        <w:rPr>
          <w:szCs w:val="24"/>
        </w:rPr>
      </w:pPr>
      <w:r w:rsidRPr="003B4362">
        <w:rPr>
          <w:szCs w:val="24"/>
        </w:rPr>
        <w:t>2)</w:t>
      </w:r>
      <w:r w:rsidRPr="003B4362">
        <w:rPr>
          <w:szCs w:val="24"/>
        </w:rPr>
        <w:tab/>
        <w:t>A</w:t>
      </w:r>
      <w:bookmarkStart w:id="769" w:name="_Hlk116593479"/>
      <w:bookmarkStart w:id="770" w:name="_Hlk116593624"/>
      <w:r w:rsidRPr="003B4362">
        <w:rPr>
          <w:szCs w:val="24"/>
        </w:rPr>
        <w:t xml:space="preserve"> supplier planning changes in its source water or making long-term treatment changes </w:t>
      </w:r>
      <w:bookmarkEnd w:id="769"/>
      <w:r w:rsidRPr="003B4362">
        <w:rPr>
          <w:szCs w:val="24"/>
        </w:rPr>
        <w:t>must</w:t>
      </w:r>
      <w:bookmarkEnd w:id="770"/>
      <w:r w:rsidR="00C303E7" w:rsidRPr="003B4362">
        <w:rPr>
          <w:szCs w:val="24"/>
        </w:rPr>
        <w:t xml:space="preserve"> </w:t>
      </w:r>
      <w:bookmarkStart w:id="771" w:name="_Hlk116594017"/>
      <w:r w:rsidRPr="003B4362">
        <w:rPr>
          <w:szCs w:val="24"/>
        </w:rPr>
        <w:t>describ</w:t>
      </w:r>
      <w:r w:rsidR="00C303E7" w:rsidRPr="003B4362">
        <w:rPr>
          <w:szCs w:val="24"/>
        </w:rPr>
        <w:t>e</w:t>
      </w:r>
      <w:r w:rsidRPr="003B4362">
        <w:rPr>
          <w:szCs w:val="24"/>
        </w:rPr>
        <w:t xml:space="preserve"> the change </w:t>
      </w:r>
      <w:r w:rsidR="00C303E7" w:rsidRPr="003B4362">
        <w:rPr>
          <w:szCs w:val="24"/>
        </w:rPr>
        <w:t xml:space="preserve">to the Agency </w:t>
      </w:r>
      <w:r w:rsidRPr="003B4362">
        <w:rPr>
          <w:szCs w:val="24"/>
        </w:rPr>
        <w:t xml:space="preserve">in </w:t>
      </w:r>
      <w:r w:rsidR="00C303E7" w:rsidRPr="003B4362">
        <w:rPr>
          <w:szCs w:val="24"/>
        </w:rPr>
        <w:t>writing under</w:t>
      </w:r>
      <w:r w:rsidRPr="003B4362">
        <w:rPr>
          <w:szCs w:val="24"/>
        </w:rPr>
        <w:t xml:space="preserve"> Sections </w:t>
      </w:r>
      <w:r w:rsidR="00C303E7" w:rsidRPr="003B4362">
        <w:rPr>
          <w:rFonts w:eastAsia="Calibri"/>
          <w:szCs w:val="24"/>
        </w:rPr>
        <w:t>611.35</w:t>
      </w:r>
      <w:r w:rsidRPr="003B4362">
        <w:rPr>
          <w:szCs w:val="24"/>
        </w:rPr>
        <w:t xml:space="preserve">1(a)(3), </w:t>
      </w:r>
      <w:r w:rsidR="00C303E7" w:rsidRPr="003B4362">
        <w:rPr>
          <w:rFonts w:eastAsia="Calibri"/>
          <w:szCs w:val="24"/>
        </w:rPr>
        <w:t>611.35</w:t>
      </w:r>
      <w:r w:rsidRPr="003B4362">
        <w:rPr>
          <w:szCs w:val="24"/>
        </w:rPr>
        <w:t xml:space="preserve">6(d)(2)(D), and </w:t>
      </w:r>
      <w:r w:rsidR="00C303E7" w:rsidRPr="003B4362">
        <w:rPr>
          <w:rFonts w:eastAsia="Calibri"/>
          <w:szCs w:val="24"/>
        </w:rPr>
        <w:t>611.36</w:t>
      </w:r>
      <w:r w:rsidRPr="003B4362">
        <w:rPr>
          <w:szCs w:val="24"/>
        </w:rPr>
        <w:t>0(a)(3)</w:t>
      </w:r>
      <w:bookmarkEnd w:id="771"/>
      <w:r w:rsidRPr="003B4362">
        <w:rPr>
          <w:szCs w:val="24"/>
        </w:rPr>
        <w:t>.  T</w:t>
      </w:r>
      <w:r w:rsidR="00C303E7" w:rsidRPr="003B4362">
        <w:rPr>
          <w:rFonts w:eastAsia="Calibri"/>
          <w:szCs w:val="24"/>
        </w:rPr>
        <w:t>he supplier must not implement</w:t>
      </w:r>
      <w:bookmarkStart w:id="772" w:name="_Hlk116594297"/>
      <w:r w:rsidRPr="003B4362">
        <w:rPr>
          <w:szCs w:val="24"/>
        </w:rPr>
        <w:t xml:space="preserve"> the change </w:t>
      </w:r>
      <w:bookmarkEnd w:id="772"/>
      <w:r w:rsidR="0002349A" w:rsidRPr="003B4362">
        <w:rPr>
          <w:rFonts w:eastAsia="Calibri"/>
          <w:szCs w:val="24"/>
        </w:rPr>
        <w:t>until the Agency reviews and approves the change in a SEP</w:t>
      </w:r>
      <w:r w:rsidRPr="003B4362">
        <w:rPr>
          <w:szCs w:val="24"/>
        </w:rPr>
        <w:t>.</w:t>
      </w:r>
    </w:p>
    <w:p w14:paraId="7F1B139F" w14:textId="77777777" w:rsidR="008F565D" w:rsidRPr="003B4362" w:rsidRDefault="008F565D" w:rsidP="00E20842">
      <w:pPr>
        <w:autoSpaceDE w:val="0"/>
        <w:autoSpaceDN w:val="0"/>
        <w:adjustRightInd w:val="0"/>
        <w:ind w:left="2160" w:hanging="720"/>
        <w:rPr>
          <w:szCs w:val="24"/>
        </w:rPr>
      </w:pPr>
    </w:p>
    <w:p w14:paraId="5F6DAC80" w14:textId="0AC300A0" w:rsidR="00A255FA" w:rsidRPr="003B4362" w:rsidRDefault="005451CE" w:rsidP="00A255FA">
      <w:pPr>
        <w:autoSpaceDE w:val="0"/>
        <w:autoSpaceDN w:val="0"/>
        <w:adjustRightInd w:val="0"/>
        <w:ind w:left="1440" w:hanging="720"/>
        <w:rPr>
          <w:szCs w:val="24"/>
        </w:rPr>
      </w:pPr>
      <w:r w:rsidRPr="003B4362">
        <w:rPr>
          <w:rFonts w:eastAsia="Calibri"/>
        </w:rPr>
        <w:t>f)</w:t>
      </w:r>
      <w:r w:rsidRPr="003B4362">
        <w:rPr>
          <w:rFonts w:eastAsia="Calibri"/>
        </w:rPr>
        <w:tab/>
      </w:r>
      <w:bookmarkStart w:id="773" w:name="_Hlk116934891"/>
      <w:r w:rsidRPr="003B4362">
        <w:rPr>
          <w:rFonts w:eastAsia="Calibri"/>
        </w:rPr>
        <w:t>Lead Service Line</w:t>
      </w:r>
      <w:r w:rsidR="00A255FA" w:rsidRPr="003B4362">
        <w:rPr>
          <w:rFonts w:eastAsia="Calibri"/>
        </w:rPr>
        <w:t xml:space="preserve"> Replacement and Inventory</w:t>
      </w:r>
      <w:bookmarkEnd w:id="773"/>
      <w:r w:rsidRPr="003B4362">
        <w:rPr>
          <w:rFonts w:eastAsia="Calibri"/>
        </w:rPr>
        <w:t xml:space="preserve">.  </w:t>
      </w:r>
      <w:r w:rsidR="00A255FA" w:rsidRPr="003B4362">
        <w:rPr>
          <w:szCs w:val="24"/>
        </w:rPr>
        <w:t xml:space="preserve">A supplier </w:t>
      </w:r>
      <w:bookmarkStart w:id="774" w:name="_Hlk116934602"/>
      <w:r w:rsidR="00A255FA" w:rsidRPr="003B4362">
        <w:rPr>
          <w:szCs w:val="24"/>
        </w:rPr>
        <w:t>must conduct lead service line replacements as this subsection (f) requires</w:t>
      </w:r>
      <w:bookmarkEnd w:id="774"/>
      <w:r w:rsidR="00A255FA" w:rsidRPr="003B4362">
        <w:rPr>
          <w:szCs w:val="24"/>
        </w:rPr>
        <w:t>.</w:t>
      </w:r>
    </w:p>
    <w:p w14:paraId="3167B1AF" w14:textId="6D1164EF" w:rsidR="005451CE" w:rsidRPr="003B4362" w:rsidRDefault="00A255FA" w:rsidP="00CF5FD5">
      <w:pPr>
        <w:spacing w:before="240" w:after="240"/>
        <w:ind w:left="2160" w:hanging="720"/>
        <w:rPr>
          <w:rFonts w:eastAsia="Calibri"/>
        </w:rPr>
      </w:pPr>
      <w:r w:rsidRPr="003B4362">
        <w:rPr>
          <w:szCs w:val="24"/>
        </w:rPr>
        <w:t>1)</w:t>
      </w:r>
      <w:r w:rsidRPr="003B4362">
        <w:rPr>
          <w:szCs w:val="24"/>
        </w:rPr>
        <w:tab/>
      </w:r>
      <w:r w:rsidR="005451CE" w:rsidRPr="003B4362">
        <w:rPr>
          <w:rFonts w:eastAsia="Calibri"/>
        </w:rPr>
        <w:t xml:space="preserve">Any supplier whose system exceeds the lead action level </w:t>
      </w:r>
      <w:bookmarkStart w:id="775" w:name="_Hlk114003571"/>
      <w:r w:rsidR="00C15761" w:rsidRPr="003B4362">
        <w:rPr>
          <w:rFonts w:eastAsia="Calibri"/>
        </w:rPr>
        <w:t xml:space="preserve">subsection (c) specifies </w:t>
      </w:r>
      <w:bookmarkEnd w:id="775"/>
      <w:r w:rsidR="005451CE" w:rsidRPr="003B4362">
        <w:rPr>
          <w:rFonts w:eastAsia="Calibri"/>
        </w:rPr>
        <w:t xml:space="preserve">must </w:t>
      </w:r>
      <w:bookmarkStart w:id="776" w:name="_Hlk114003724"/>
      <w:r w:rsidR="005451CE" w:rsidRPr="003B4362">
        <w:rPr>
          <w:rFonts w:eastAsia="Calibri"/>
        </w:rPr>
        <w:t xml:space="preserve">complete </w:t>
      </w:r>
      <w:r w:rsidR="008A6165" w:rsidRPr="003B4362">
        <w:rPr>
          <w:szCs w:val="24"/>
        </w:rPr>
        <w:t xml:space="preserve">mandatory </w:t>
      </w:r>
      <w:r w:rsidR="005451CE" w:rsidRPr="003B4362">
        <w:rPr>
          <w:rFonts w:eastAsia="Calibri"/>
        </w:rPr>
        <w:t>lead service line replacement</w:t>
      </w:r>
      <w:bookmarkEnd w:id="776"/>
      <w:r w:rsidR="005451CE" w:rsidRPr="003B4362">
        <w:rPr>
          <w:rFonts w:eastAsia="Calibri"/>
        </w:rPr>
        <w:t>.</w:t>
      </w:r>
      <w:r w:rsidR="00C15761" w:rsidRPr="003B4362">
        <w:rPr>
          <w:szCs w:val="24"/>
        </w:rPr>
        <w:t xml:space="preserve">  T</w:t>
      </w:r>
      <w:bookmarkStart w:id="777" w:name="_Hlk116936609"/>
      <w:r w:rsidR="00C15761" w:rsidRPr="003B4362">
        <w:rPr>
          <w:szCs w:val="24"/>
        </w:rPr>
        <w:t>he supplier must conduct lead service line replacement</w:t>
      </w:r>
      <w:bookmarkEnd w:id="777"/>
      <w:r w:rsidR="005024C8" w:rsidRPr="003B4362">
        <w:rPr>
          <w:szCs w:val="24"/>
        </w:rPr>
        <w:t xml:space="preserve"> </w:t>
      </w:r>
      <w:bookmarkStart w:id="778" w:name="_Hlk116936749"/>
      <w:r w:rsidR="005024C8" w:rsidRPr="003B4362">
        <w:rPr>
          <w:szCs w:val="24"/>
        </w:rPr>
        <w:t>under</w:t>
      </w:r>
      <w:r w:rsidR="00C15761" w:rsidRPr="003B4362">
        <w:rPr>
          <w:szCs w:val="24"/>
        </w:rPr>
        <w:t xml:space="preserve"> Section </w:t>
      </w:r>
      <w:r w:rsidR="005024C8" w:rsidRPr="003B4362">
        <w:rPr>
          <w:szCs w:val="24"/>
        </w:rPr>
        <w:t>61</w:t>
      </w:r>
      <w:r w:rsidR="00C15761" w:rsidRPr="003B4362">
        <w:rPr>
          <w:szCs w:val="24"/>
        </w:rPr>
        <w:t>1.</w:t>
      </w:r>
      <w:r w:rsidR="002A3A8A" w:rsidRPr="003B4362">
        <w:rPr>
          <w:szCs w:val="24"/>
        </w:rPr>
        <w:t>35</w:t>
      </w:r>
      <w:r w:rsidR="00C15761" w:rsidRPr="003B4362">
        <w:rPr>
          <w:szCs w:val="24"/>
        </w:rPr>
        <w:t>4(g)</w:t>
      </w:r>
      <w:bookmarkEnd w:id="778"/>
      <w:r w:rsidR="00C15761" w:rsidRPr="003B4362">
        <w:rPr>
          <w:szCs w:val="24"/>
        </w:rPr>
        <w:t xml:space="preserve"> and must include public education </w:t>
      </w:r>
      <w:bookmarkStart w:id="779" w:name="_Hlk116936801"/>
      <w:r w:rsidR="005024C8" w:rsidRPr="003B4362">
        <w:rPr>
          <w:szCs w:val="24"/>
        </w:rPr>
        <w:t>under</w:t>
      </w:r>
      <w:r w:rsidR="00C15761" w:rsidRPr="003B4362">
        <w:rPr>
          <w:szCs w:val="24"/>
        </w:rPr>
        <w:t xml:space="preserve"> Section </w:t>
      </w:r>
      <w:r w:rsidR="005024C8" w:rsidRPr="003B4362">
        <w:rPr>
          <w:szCs w:val="24"/>
        </w:rPr>
        <w:t>611.</w:t>
      </w:r>
      <w:r w:rsidR="002A3A8A" w:rsidRPr="003B4362">
        <w:rPr>
          <w:szCs w:val="24"/>
        </w:rPr>
        <w:t>35</w:t>
      </w:r>
      <w:r w:rsidR="00C15761" w:rsidRPr="003B4362">
        <w:rPr>
          <w:szCs w:val="24"/>
        </w:rPr>
        <w:t>5(a) and (b)</w:t>
      </w:r>
      <w:bookmarkEnd w:id="779"/>
      <w:r w:rsidR="00C15761" w:rsidRPr="003B4362">
        <w:rPr>
          <w:szCs w:val="24"/>
        </w:rPr>
        <w:t>.</w:t>
      </w:r>
    </w:p>
    <w:p w14:paraId="73BC8325" w14:textId="759ECA7B" w:rsidR="005024C8" w:rsidRPr="003B4362" w:rsidRDefault="005024C8" w:rsidP="005024C8">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A</w:t>
      </w:r>
      <w:r w:rsidR="002A3A8A" w:rsidRPr="003B4362">
        <w:rPr>
          <w:rFonts w:eastAsia="Calibri"/>
          <w:szCs w:val="24"/>
        </w:rPr>
        <w:t xml:space="preserve"> supplier</w:t>
      </w:r>
      <w:r w:rsidRPr="003B4362">
        <w:rPr>
          <w:rFonts w:eastAsia="Calibri"/>
          <w:szCs w:val="24"/>
        </w:rPr>
        <w:t xml:space="preserve"> exceeding the lead trigger level </w:t>
      </w:r>
      <w:bookmarkStart w:id="780" w:name="_Hlk116937923"/>
      <w:r w:rsidRPr="003B4362">
        <w:rPr>
          <w:rFonts w:eastAsia="Calibri"/>
          <w:szCs w:val="24"/>
        </w:rPr>
        <w:t xml:space="preserve">subsection (c) </w:t>
      </w:r>
      <w:bookmarkEnd w:id="780"/>
      <w:r w:rsidR="002A3A8A" w:rsidRPr="003B4362">
        <w:rPr>
          <w:rFonts w:eastAsia="Calibri"/>
          <w:szCs w:val="24"/>
        </w:rPr>
        <w:t>specifies</w:t>
      </w:r>
      <w:r w:rsidRPr="003B4362">
        <w:rPr>
          <w:rFonts w:eastAsia="Calibri"/>
          <w:szCs w:val="24"/>
        </w:rPr>
        <w:t xml:space="preserve"> must complete goal-based lead service line replacement </w:t>
      </w:r>
      <w:bookmarkStart w:id="781" w:name="_Hlk116936632"/>
      <w:r w:rsidR="002A3A8A" w:rsidRPr="003B4362">
        <w:rPr>
          <w:rFonts w:eastAsia="Calibri"/>
          <w:szCs w:val="24"/>
        </w:rPr>
        <w:t>under</w:t>
      </w:r>
      <w:r w:rsidRPr="003B4362">
        <w:rPr>
          <w:rFonts w:eastAsia="Calibri"/>
          <w:szCs w:val="24"/>
        </w:rPr>
        <w:t xml:space="preserve"> Section </w:t>
      </w:r>
      <w:r w:rsidR="002A3A8A" w:rsidRPr="003B4362">
        <w:rPr>
          <w:szCs w:val="24"/>
        </w:rPr>
        <w:t>611.35</w:t>
      </w:r>
      <w:r w:rsidRPr="003B4362">
        <w:rPr>
          <w:rFonts w:eastAsia="Calibri"/>
          <w:szCs w:val="24"/>
        </w:rPr>
        <w:t>4(f)</w:t>
      </w:r>
      <w:bookmarkEnd w:id="781"/>
      <w:r w:rsidRPr="003B4362">
        <w:rPr>
          <w:rFonts w:eastAsia="Calibri"/>
          <w:szCs w:val="24"/>
        </w:rPr>
        <w:t xml:space="preserve"> and public education </w:t>
      </w:r>
      <w:bookmarkStart w:id="782" w:name="_Hlk116936776"/>
      <w:r w:rsidR="002A3A8A" w:rsidRPr="003B4362">
        <w:rPr>
          <w:rFonts w:eastAsia="Calibri"/>
          <w:szCs w:val="24"/>
        </w:rPr>
        <w:t>under</w:t>
      </w:r>
      <w:r w:rsidRPr="003B4362">
        <w:rPr>
          <w:rFonts w:eastAsia="Calibri"/>
          <w:szCs w:val="24"/>
        </w:rPr>
        <w:t xml:space="preserve"> Section </w:t>
      </w:r>
      <w:r w:rsidR="002A3A8A" w:rsidRPr="003B4362">
        <w:rPr>
          <w:szCs w:val="24"/>
        </w:rPr>
        <w:t>611.35</w:t>
      </w:r>
      <w:r w:rsidRPr="003B4362">
        <w:rPr>
          <w:rFonts w:eastAsia="Calibri"/>
          <w:szCs w:val="24"/>
        </w:rPr>
        <w:t>5(g) and (h)</w:t>
      </w:r>
      <w:bookmarkEnd w:id="782"/>
      <w:r w:rsidRPr="003B4362">
        <w:rPr>
          <w:rFonts w:eastAsia="Calibri"/>
          <w:szCs w:val="24"/>
        </w:rPr>
        <w:t>.</w:t>
      </w:r>
    </w:p>
    <w:p w14:paraId="22000ABE" w14:textId="2C46E4FC" w:rsidR="005024C8" w:rsidRPr="003B4362" w:rsidRDefault="005024C8" w:rsidP="005024C8">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A</w:t>
      </w:r>
      <w:bookmarkStart w:id="783" w:name="_Hlk116938504"/>
      <w:r w:rsidRPr="003B4362">
        <w:rPr>
          <w:rFonts w:eastAsia="Calibri"/>
          <w:szCs w:val="24"/>
        </w:rPr>
        <w:t xml:space="preserve">ll </w:t>
      </w:r>
      <w:r w:rsidR="002A3A8A" w:rsidRPr="003B4362">
        <w:rPr>
          <w:rFonts w:eastAsia="Calibri"/>
          <w:szCs w:val="24"/>
        </w:rPr>
        <w:t>supplier</w:t>
      </w:r>
      <w:r w:rsidRPr="003B4362">
        <w:rPr>
          <w:rFonts w:eastAsia="Calibri"/>
          <w:szCs w:val="24"/>
        </w:rPr>
        <w:t>s</w:t>
      </w:r>
      <w:bookmarkEnd w:id="783"/>
      <w:r w:rsidRPr="003B4362">
        <w:rPr>
          <w:rFonts w:eastAsia="Calibri"/>
          <w:szCs w:val="24"/>
        </w:rPr>
        <w:t xml:space="preserve"> must prepare an inventory of service lines </w:t>
      </w:r>
      <w:bookmarkStart w:id="784" w:name="_Hlk116938651"/>
      <w:r w:rsidRPr="003B4362">
        <w:rPr>
          <w:rFonts w:eastAsia="Calibri"/>
          <w:szCs w:val="24"/>
        </w:rPr>
        <w:t xml:space="preserve">connected to </w:t>
      </w:r>
      <w:r w:rsidR="002A3A8A" w:rsidRPr="003B4362">
        <w:rPr>
          <w:rFonts w:eastAsia="Calibri"/>
          <w:szCs w:val="24"/>
        </w:rPr>
        <w:t>their</w:t>
      </w:r>
      <w:r w:rsidRPr="003B4362">
        <w:rPr>
          <w:rFonts w:eastAsia="Calibri"/>
          <w:szCs w:val="24"/>
        </w:rPr>
        <w:t xml:space="preserve"> distribution system</w:t>
      </w:r>
      <w:r w:rsidR="002A3A8A" w:rsidRPr="003B4362">
        <w:rPr>
          <w:rFonts w:eastAsia="Calibri"/>
          <w:szCs w:val="24"/>
        </w:rPr>
        <w:t>s</w:t>
      </w:r>
      <w:bookmarkEnd w:id="784"/>
      <w:r w:rsidRPr="003B4362">
        <w:rPr>
          <w:rFonts w:eastAsia="Calibri"/>
          <w:szCs w:val="24"/>
        </w:rPr>
        <w:t xml:space="preserve">, whether or not </w:t>
      </w:r>
      <w:bookmarkStart w:id="785" w:name="_Hlk116938742"/>
      <w:bookmarkStart w:id="786" w:name="_Hlk116939027"/>
      <w:r w:rsidRPr="003B4362">
        <w:rPr>
          <w:rFonts w:eastAsia="Calibri"/>
          <w:szCs w:val="24"/>
        </w:rPr>
        <w:t>the</w:t>
      </w:r>
      <w:r w:rsidR="002A3A8A" w:rsidRPr="003B4362">
        <w:rPr>
          <w:rFonts w:eastAsia="Calibri"/>
          <w:szCs w:val="24"/>
        </w:rPr>
        <w:t xml:space="preserve"> supplier</w:t>
      </w:r>
      <w:r w:rsidRPr="003B4362">
        <w:rPr>
          <w:rFonts w:eastAsia="Calibri"/>
          <w:szCs w:val="24"/>
        </w:rPr>
        <w:t xml:space="preserve"> own</w:t>
      </w:r>
      <w:r w:rsidR="002A3A8A" w:rsidRPr="003B4362">
        <w:rPr>
          <w:rFonts w:eastAsia="Calibri"/>
          <w:szCs w:val="24"/>
        </w:rPr>
        <w:t>s</w:t>
      </w:r>
      <w:r w:rsidRPr="003B4362">
        <w:rPr>
          <w:rFonts w:eastAsia="Calibri"/>
          <w:szCs w:val="24"/>
        </w:rPr>
        <w:t xml:space="preserve"> or control</w:t>
      </w:r>
      <w:r w:rsidR="002A3A8A" w:rsidRPr="003B4362">
        <w:rPr>
          <w:rFonts w:eastAsia="Calibri"/>
          <w:szCs w:val="24"/>
        </w:rPr>
        <w:t xml:space="preserve">s </w:t>
      </w:r>
      <w:r w:rsidRPr="003B4362">
        <w:rPr>
          <w:rFonts w:eastAsia="Calibri"/>
          <w:szCs w:val="24"/>
        </w:rPr>
        <w:t xml:space="preserve">the </w:t>
      </w:r>
      <w:bookmarkEnd w:id="785"/>
      <w:r w:rsidR="002A3A8A" w:rsidRPr="003B4362">
        <w:rPr>
          <w:rFonts w:eastAsia="Calibri"/>
          <w:szCs w:val="24"/>
        </w:rPr>
        <w:t>service lines</w:t>
      </w:r>
      <w:bookmarkEnd w:id="786"/>
      <w:r w:rsidRPr="003B4362">
        <w:rPr>
          <w:rFonts w:eastAsia="Calibri"/>
          <w:szCs w:val="24"/>
        </w:rPr>
        <w:t xml:space="preserve">, to </w:t>
      </w:r>
      <w:bookmarkStart w:id="787" w:name="_Hlk116939162"/>
      <w:bookmarkStart w:id="788" w:name="_Hlk116939320"/>
      <w:r w:rsidRPr="003B4362">
        <w:rPr>
          <w:rFonts w:eastAsia="Calibri"/>
          <w:szCs w:val="24"/>
        </w:rPr>
        <w:t xml:space="preserve">identify </w:t>
      </w:r>
      <w:r w:rsidR="003113F7" w:rsidRPr="003B4362">
        <w:rPr>
          <w:rFonts w:eastAsia="Calibri"/>
          <w:szCs w:val="24"/>
        </w:rPr>
        <w:t>lead</w:t>
      </w:r>
      <w:r w:rsidRPr="003B4362">
        <w:rPr>
          <w:rFonts w:eastAsia="Calibri"/>
          <w:szCs w:val="24"/>
        </w:rPr>
        <w:t xml:space="preserve"> service lines </w:t>
      </w:r>
      <w:r w:rsidR="003113F7" w:rsidRPr="003B4362">
        <w:rPr>
          <w:rFonts w:eastAsia="Calibri"/>
          <w:szCs w:val="24"/>
        </w:rPr>
        <w:t>and</w:t>
      </w:r>
      <w:r w:rsidRPr="003B4362">
        <w:rPr>
          <w:rFonts w:eastAsia="Calibri"/>
          <w:szCs w:val="24"/>
        </w:rPr>
        <w:t xml:space="preserve"> lead </w:t>
      </w:r>
      <w:r w:rsidR="003113F7" w:rsidRPr="003B4362">
        <w:rPr>
          <w:rFonts w:eastAsia="Calibri"/>
          <w:szCs w:val="24"/>
        </w:rPr>
        <w:t>status</w:t>
      </w:r>
      <w:r w:rsidRPr="003B4362">
        <w:rPr>
          <w:rFonts w:eastAsia="Calibri"/>
          <w:szCs w:val="24"/>
        </w:rPr>
        <w:t xml:space="preserve"> unknown </w:t>
      </w:r>
      <w:bookmarkEnd w:id="787"/>
      <w:r w:rsidR="003113F7" w:rsidRPr="003B4362">
        <w:rPr>
          <w:rFonts w:eastAsia="Calibri"/>
          <w:szCs w:val="24"/>
        </w:rPr>
        <w:t>service lines</w:t>
      </w:r>
      <w:bookmarkEnd w:id="788"/>
      <w:r w:rsidRPr="003B4362">
        <w:rPr>
          <w:rFonts w:eastAsia="Calibri"/>
          <w:szCs w:val="24"/>
        </w:rPr>
        <w:t>.  T</w:t>
      </w:r>
      <w:bookmarkStart w:id="789" w:name="_Hlk116939504"/>
      <w:r w:rsidRPr="003B4362">
        <w:rPr>
          <w:rFonts w:eastAsia="Calibri"/>
          <w:szCs w:val="24"/>
        </w:rPr>
        <w:t xml:space="preserve">he </w:t>
      </w:r>
      <w:r w:rsidR="009551E2" w:rsidRPr="003B4362">
        <w:rPr>
          <w:rFonts w:eastAsia="Calibri"/>
          <w:szCs w:val="24"/>
        </w:rPr>
        <w:t xml:space="preserve">supplier must prepare the </w:t>
      </w:r>
      <w:r w:rsidRPr="003B4362">
        <w:rPr>
          <w:rFonts w:eastAsia="Calibri"/>
          <w:szCs w:val="24"/>
        </w:rPr>
        <w:t>inventory</w:t>
      </w:r>
      <w:bookmarkEnd w:id="789"/>
      <w:r w:rsidR="009551E2" w:rsidRPr="003B4362">
        <w:rPr>
          <w:rFonts w:eastAsia="Calibri"/>
          <w:szCs w:val="24"/>
        </w:rPr>
        <w:t xml:space="preserve"> </w:t>
      </w:r>
      <w:bookmarkStart w:id="790" w:name="_Hlk116939724"/>
      <w:r w:rsidR="009551E2" w:rsidRPr="003B4362">
        <w:rPr>
          <w:rFonts w:eastAsia="Calibri"/>
          <w:szCs w:val="24"/>
        </w:rPr>
        <w:t>under</w:t>
      </w:r>
      <w:r w:rsidRPr="003B4362">
        <w:rPr>
          <w:rFonts w:eastAsia="Calibri"/>
          <w:szCs w:val="24"/>
        </w:rPr>
        <w:t xml:space="preserve"> Section </w:t>
      </w:r>
      <w:r w:rsidR="002A3A8A" w:rsidRPr="003B4362">
        <w:rPr>
          <w:szCs w:val="24"/>
        </w:rPr>
        <w:t>611.35</w:t>
      </w:r>
      <w:r w:rsidRPr="003B4362">
        <w:rPr>
          <w:rFonts w:eastAsia="Calibri"/>
          <w:szCs w:val="24"/>
        </w:rPr>
        <w:t>4(a)</w:t>
      </w:r>
      <w:bookmarkEnd w:id="790"/>
      <w:r w:rsidRPr="003B4362">
        <w:rPr>
          <w:rFonts w:eastAsia="Calibri"/>
          <w:szCs w:val="24"/>
        </w:rPr>
        <w:t>.</w:t>
      </w:r>
    </w:p>
    <w:p w14:paraId="131CC715" w14:textId="3ABD487E" w:rsidR="00B74DAD" w:rsidRPr="003B4362" w:rsidRDefault="005451CE" w:rsidP="00B74DAD">
      <w:pPr>
        <w:autoSpaceDE w:val="0"/>
        <w:autoSpaceDN w:val="0"/>
        <w:adjustRightInd w:val="0"/>
        <w:ind w:left="1440" w:hanging="720"/>
        <w:rPr>
          <w:szCs w:val="24"/>
        </w:rPr>
      </w:pPr>
      <w:r w:rsidRPr="003B4362">
        <w:rPr>
          <w:rFonts w:eastAsia="Calibri"/>
        </w:rPr>
        <w:t>g)</w:t>
      </w:r>
      <w:r w:rsidRPr="003B4362">
        <w:rPr>
          <w:rFonts w:eastAsia="Calibri"/>
        </w:rPr>
        <w:tab/>
      </w:r>
      <w:bookmarkStart w:id="791" w:name="_Hlk116983196"/>
      <w:r w:rsidRPr="003B4362">
        <w:rPr>
          <w:rFonts w:eastAsia="Calibri"/>
        </w:rPr>
        <w:t xml:space="preserve">Public Education </w:t>
      </w:r>
      <w:r w:rsidR="00B74DAD" w:rsidRPr="003B4362">
        <w:rPr>
          <w:rFonts w:eastAsia="Calibri"/>
        </w:rPr>
        <w:t xml:space="preserve">and Notification </w:t>
      </w:r>
      <w:r w:rsidRPr="003B4362">
        <w:rPr>
          <w:rFonts w:eastAsia="Calibri"/>
        </w:rPr>
        <w:t>Requirements</w:t>
      </w:r>
      <w:bookmarkEnd w:id="791"/>
      <w:r w:rsidRPr="003B4362">
        <w:rPr>
          <w:rFonts w:eastAsia="Calibri"/>
        </w:rPr>
        <w:t>.  Under Section 611.355</w:t>
      </w:r>
      <w:r w:rsidR="00B74DAD" w:rsidRPr="003B4362">
        <w:rPr>
          <w:szCs w:val="24"/>
        </w:rPr>
        <w:t>(d)</w:t>
      </w:r>
      <w:r w:rsidRPr="003B4362">
        <w:rPr>
          <w:rFonts w:eastAsia="Calibri"/>
        </w:rPr>
        <w:t xml:space="preserve">, the supplier must provide </w:t>
      </w:r>
      <w:r w:rsidR="00B74DAD" w:rsidRPr="003B4362">
        <w:rPr>
          <w:szCs w:val="24"/>
        </w:rPr>
        <w:t xml:space="preserve">notification </w:t>
      </w:r>
      <w:r w:rsidRPr="003B4362">
        <w:rPr>
          <w:rFonts w:eastAsia="Calibri"/>
        </w:rPr>
        <w:t xml:space="preserve">of the lead tap water monitoring results to the persons served at </w:t>
      </w:r>
      <w:bookmarkStart w:id="792" w:name="_Hlk114003858"/>
      <w:r w:rsidRPr="003B4362">
        <w:rPr>
          <w:rFonts w:eastAsia="Calibri"/>
        </w:rPr>
        <w:t>each tested site (tap)</w:t>
      </w:r>
      <w:bookmarkEnd w:id="792"/>
      <w:r w:rsidRPr="003B4362">
        <w:rPr>
          <w:rFonts w:eastAsia="Calibri"/>
        </w:rPr>
        <w:t>.</w:t>
      </w:r>
      <w:r w:rsidR="00B74DAD" w:rsidRPr="003B4362">
        <w:rPr>
          <w:szCs w:val="24"/>
        </w:rPr>
        <w:t xml:space="preserve">  A</w:t>
      </w:r>
      <w:r w:rsidR="00C44769" w:rsidRPr="003B4362">
        <w:rPr>
          <w:szCs w:val="24"/>
        </w:rPr>
        <w:t xml:space="preserve"> CWS supplier</w:t>
      </w:r>
      <w:r w:rsidR="00B74DAD" w:rsidRPr="003B4362">
        <w:rPr>
          <w:szCs w:val="24"/>
        </w:rPr>
        <w:t xml:space="preserve"> must conduct annual </w:t>
      </w:r>
      <w:bookmarkStart w:id="793" w:name="_Hlk116983594"/>
      <w:r w:rsidR="00B74DAD" w:rsidRPr="003B4362">
        <w:rPr>
          <w:szCs w:val="24"/>
        </w:rPr>
        <w:t xml:space="preserve">outreach to </w:t>
      </w:r>
      <w:r w:rsidR="00C44769" w:rsidRPr="003B4362">
        <w:rPr>
          <w:szCs w:val="24"/>
        </w:rPr>
        <w:t xml:space="preserve">the Illinois Department of Public Health and </w:t>
      </w:r>
      <w:r w:rsidR="00B74DAD" w:rsidRPr="003B4362">
        <w:rPr>
          <w:szCs w:val="24"/>
        </w:rPr>
        <w:t>local</w:t>
      </w:r>
      <w:r w:rsidR="00C44769" w:rsidRPr="003B4362">
        <w:rPr>
          <w:szCs w:val="24"/>
        </w:rPr>
        <w:t xml:space="preserve"> </w:t>
      </w:r>
      <w:r w:rsidR="00B74DAD" w:rsidRPr="003B4362">
        <w:rPr>
          <w:szCs w:val="24"/>
        </w:rPr>
        <w:t>health agencies</w:t>
      </w:r>
      <w:bookmarkEnd w:id="793"/>
      <w:r w:rsidR="00B74DAD" w:rsidRPr="003B4362">
        <w:rPr>
          <w:szCs w:val="24"/>
        </w:rPr>
        <w:t xml:space="preserve"> </w:t>
      </w:r>
      <w:bookmarkStart w:id="794" w:name="_Hlk116984304"/>
      <w:r w:rsidR="00C44769" w:rsidRPr="003B4362">
        <w:rPr>
          <w:szCs w:val="24"/>
        </w:rPr>
        <w:t>under</w:t>
      </w:r>
      <w:r w:rsidR="00B74DAD" w:rsidRPr="003B4362">
        <w:rPr>
          <w:szCs w:val="24"/>
        </w:rPr>
        <w:t xml:space="preserve"> Section </w:t>
      </w:r>
      <w:r w:rsidR="00E133BC" w:rsidRPr="003B4362">
        <w:rPr>
          <w:szCs w:val="24"/>
        </w:rPr>
        <w:t>61</w:t>
      </w:r>
      <w:r w:rsidR="00B74DAD" w:rsidRPr="003B4362">
        <w:rPr>
          <w:szCs w:val="24"/>
        </w:rPr>
        <w:t>1.</w:t>
      </w:r>
      <w:r w:rsidR="00E133BC" w:rsidRPr="003B4362">
        <w:rPr>
          <w:szCs w:val="24"/>
        </w:rPr>
        <w:t>35</w:t>
      </w:r>
      <w:r w:rsidR="00B74DAD" w:rsidRPr="003B4362">
        <w:rPr>
          <w:szCs w:val="24"/>
        </w:rPr>
        <w:t>5(i)</w:t>
      </w:r>
      <w:bookmarkEnd w:id="794"/>
      <w:r w:rsidR="00B74DAD" w:rsidRPr="003B4362">
        <w:rPr>
          <w:szCs w:val="24"/>
        </w:rPr>
        <w:t xml:space="preserve">.  </w:t>
      </w:r>
      <w:r w:rsidR="00FA6FB5" w:rsidRPr="003B4362">
        <w:rPr>
          <w:szCs w:val="24"/>
        </w:rPr>
        <w:t>T</w:t>
      </w:r>
      <w:bookmarkStart w:id="795" w:name="_Hlk116987668"/>
      <w:r w:rsidR="00FA6FB5" w:rsidRPr="003B4362">
        <w:rPr>
          <w:szCs w:val="24"/>
        </w:rPr>
        <w:t>he supplier must complete additional actions</w:t>
      </w:r>
      <w:bookmarkEnd w:id="795"/>
      <w:r w:rsidR="00B74DAD" w:rsidRPr="003B4362">
        <w:rPr>
          <w:szCs w:val="24"/>
        </w:rPr>
        <w:t>:</w:t>
      </w:r>
    </w:p>
    <w:p w14:paraId="72184A9B" w14:textId="687D2667" w:rsidR="005451CE" w:rsidRPr="003B4362" w:rsidRDefault="00B74DAD" w:rsidP="00DE41CA">
      <w:pPr>
        <w:spacing w:before="240" w:after="240"/>
        <w:ind w:left="2160" w:hanging="720"/>
        <w:rPr>
          <w:rFonts w:eastAsia="Calibri"/>
        </w:rPr>
      </w:pPr>
      <w:r w:rsidRPr="003B4362">
        <w:rPr>
          <w:szCs w:val="24"/>
        </w:rPr>
        <w:t>1)</w:t>
      </w:r>
      <w:r w:rsidRPr="003B4362">
        <w:rPr>
          <w:szCs w:val="24"/>
        </w:rPr>
        <w:tab/>
      </w:r>
      <w:r w:rsidR="005451CE" w:rsidRPr="003B4362">
        <w:rPr>
          <w:rFonts w:eastAsia="Calibri"/>
        </w:rPr>
        <w:t>A</w:t>
      </w:r>
      <w:bookmarkStart w:id="796" w:name="_Hlk116986083"/>
      <w:r w:rsidR="005451CE" w:rsidRPr="003B4362">
        <w:rPr>
          <w:rFonts w:eastAsia="Calibri"/>
        </w:rPr>
        <w:t xml:space="preserve">ny supplier </w:t>
      </w:r>
      <w:r w:rsidR="00BC7723" w:rsidRPr="003B4362">
        <w:rPr>
          <w:rFonts w:eastAsia="Calibri"/>
        </w:rPr>
        <w:t xml:space="preserve">exceeding </w:t>
      </w:r>
      <w:r w:rsidR="005451CE" w:rsidRPr="003B4362">
        <w:rPr>
          <w:rFonts w:eastAsia="Calibri"/>
        </w:rPr>
        <w:t>the lead action level</w:t>
      </w:r>
      <w:bookmarkEnd w:id="796"/>
      <w:r w:rsidR="005451CE" w:rsidRPr="003B4362">
        <w:rPr>
          <w:rFonts w:eastAsia="Calibri"/>
        </w:rPr>
        <w:t xml:space="preserve"> must implement the public education requirements</w:t>
      </w:r>
      <w:r w:rsidR="00C05174" w:rsidRPr="003B4362">
        <w:rPr>
          <w:rFonts w:eastAsia="Calibri"/>
        </w:rPr>
        <w:t xml:space="preserve"> under Section 611.355</w:t>
      </w:r>
      <w:r w:rsidR="005451CE" w:rsidRPr="003B4362">
        <w:rPr>
          <w:rFonts w:eastAsia="Calibri"/>
        </w:rPr>
        <w:t>.</w:t>
      </w:r>
    </w:p>
    <w:p w14:paraId="01CC25FD" w14:textId="458F2E5A" w:rsidR="00DE41CA" w:rsidRPr="003B4362" w:rsidRDefault="00DE41CA" w:rsidP="00DE41CA">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A</w:t>
      </w:r>
      <w:bookmarkStart w:id="797" w:name="_Hlk116989984"/>
      <w:r w:rsidRPr="003B4362">
        <w:rPr>
          <w:rFonts w:eastAsia="Calibri"/>
          <w:szCs w:val="24"/>
        </w:rPr>
        <w:t xml:space="preserve">ny </w:t>
      </w:r>
      <w:bookmarkEnd w:id="797"/>
      <w:r w:rsidR="001A5F25" w:rsidRPr="003B4362">
        <w:rPr>
          <w:rFonts w:eastAsia="Calibri"/>
          <w:szCs w:val="24"/>
        </w:rPr>
        <w:t>supplier</w:t>
      </w:r>
      <w:r w:rsidRPr="003B4362">
        <w:rPr>
          <w:rFonts w:eastAsia="Calibri"/>
          <w:szCs w:val="24"/>
        </w:rPr>
        <w:t xml:space="preserve"> exceeding the lead </w:t>
      </w:r>
      <w:bookmarkStart w:id="798" w:name="_Hlk116990279"/>
      <w:bookmarkStart w:id="799" w:name="_Hlk116990403"/>
      <w:r w:rsidRPr="003B4362">
        <w:rPr>
          <w:rFonts w:eastAsia="Calibri"/>
          <w:szCs w:val="24"/>
        </w:rPr>
        <w:t xml:space="preserve">trigger level </w:t>
      </w:r>
      <w:bookmarkStart w:id="800" w:name="_Hlk116990249"/>
      <w:bookmarkEnd w:id="798"/>
      <w:r w:rsidRPr="003B4362">
        <w:rPr>
          <w:rFonts w:eastAsia="Calibri"/>
          <w:szCs w:val="24"/>
        </w:rPr>
        <w:t xml:space="preserve">subsection (c) </w:t>
      </w:r>
      <w:bookmarkEnd w:id="800"/>
      <w:r w:rsidR="001A5F25" w:rsidRPr="003B4362">
        <w:rPr>
          <w:rFonts w:eastAsia="Calibri"/>
          <w:szCs w:val="24"/>
        </w:rPr>
        <w:t>specifies</w:t>
      </w:r>
      <w:bookmarkEnd w:id="799"/>
      <w:r w:rsidRPr="003B4362">
        <w:rPr>
          <w:rFonts w:eastAsia="Calibri"/>
          <w:szCs w:val="24"/>
        </w:rPr>
        <w:t xml:space="preserve"> </w:t>
      </w:r>
      <w:bookmarkStart w:id="801" w:name="_Hlk116990571"/>
      <w:r w:rsidR="001A5F25" w:rsidRPr="003B4362">
        <w:rPr>
          <w:rFonts w:eastAsia="Calibri"/>
          <w:szCs w:val="24"/>
        </w:rPr>
        <w:t>must</w:t>
      </w:r>
      <w:r w:rsidRPr="003B4362">
        <w:rPr>
          <w:rFonts w:eastAsia="Calibri"/>
          <w:szCs w:val="24"/>
        </w:rPr>
        <w:t xml:space="preserve"> </w:t>
      </w:r>
      <w:bookmarkStart w:id="802" w:name="_Hlk116990516"/>
      <w:r w:rsidR="001A5F25" w:rsidRPr="003B4362">
        <w:rPr>
          <w:rFonts w:eastAsia="Calibri"/>
          <w:szCs w:val="24"/>
        </w:rPr>
        <w:t>notify</w:t>
      </w:r>
      <w:bookmarkEnd w:id="801"/>
      <w:r w:rsidRPr="003B4362">
        <w:rPr>
          <w:rFonts w:eastAsia="Calibri"/>
          <w:szCs w:val="24"/>
        </w:rPr>
        <w:t xml:space="preserve"> all customers</w:t>
      </w:r>
      <w:bookmarkEnd w:id="802"/>
      <w:r w:rsidRPr="003B4362">
        <w:rPr>
          <w:rFonts w:eastAsia="Calibri"/>
          <w:szCs w:val="24"/>
        </w:rPr>
        <w:t xml:space="preserve"> with a lead service line </w:t>
      </w:r>
      <w:bookmarkStart w:id="803" w:name="_Hlk116990654"/>
      <w:r w:rsidR="001A5F25" w:rsidRPr="003B4362">
        <w:rPr>
          <w:rFonts w:eastAsia="Calibri"/>
          <w:szCs w:val="24"/>
        </w:rPr>
        <w:t>under</w:t>
      </w:r>
      <w:r w:rsidRPr="003B4362">
        <w:rPr>
          <w:rFonts w:eastAsia="Calibri"/>
          <w:szCs w:val="24"/>
        </w:rPr>
        <w:t xml:space="preserve"> Section </w:t>
      </w:r>
      <w:r w:rsidR="0023051E" w:rsidRPr="003B4362">
        <w:rPr>
          <w:szCs w:val="24"/>
        </w:rPr>
        <w:t>611.35</w:t>
      </w:r>
      <w:r w:rsidRPr="003B4362">
        <w:rPr>
          <w:rFonts w:eastAsia="Calibri"/>
          <w:szCs w:val="24"/>
        </w:rPr>
        <w:t>5(g)</w:t>
      </w:r>
      <w:bookmarkEnd w:id="803"/>
      <w:r w:rsidRPr="003B4362">
        <w:rPr>
          <w:rFonts w:eastAsia="Calibri"/>
          <w:szCs w:val="24"/>
        </w:rPr>
        <w:t>.</w:t>
      </w:r>
    </w:p>
    <w:p w14:paraId="0FDA192E" w14:textId="079CB723" w:rsidR="00DE41CA" w:rsidRPr="003B4362" w:rsidRDefault="00DE41CA" w:rsidP="00DE41CA">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 xml:space="preserve">Any </w:t>
      </w:r>
      <w:r w:rsidR="001A5F25" w:rsidRPr="003B4362">
        <w:rPr>
          <w:rFonts w:eastAsia="Calibri"/>
          <w:szCs w:val="24"/>
        </w:rPr>
        <w:t>supplier</w:t>
      </w:r>
      <w:r w:rsidRPr="003B4362">
        <w:rPr>
          <w:rFonts w:eastAsia="Calibri"/>
          <w:szCs w:val="24"/>
        </w:rPr>
        <w:t xml:space="preserve"> exceeding the lead action level subsection (c) </w:t>
      </w:r>
      <w:r w:rsidR="001A5F25" w:rsidRPr="003B4362">
        <w:rPr>
          <w:rFonts w:eastAsia="Calibri"/>
          <w:szCs w:val="24"/>
        </w:rPr>
        <w:t>specifies must</w:t>
      </w:r>
      <w:r w:rsidRPr="003B4362">
        <w:rPr>
          <w:rFonts w:eastAsia="Calibri"/>
          <w:szCs w:val="24"/>
        </w:rPr>
        <w:t xml:space="preserve"> notify the public </w:t>
      </w:r>
      <w:bookmarkStart w:id="804" w:name="_Hlk116991057"/>
      <w:bookmarkStart w:id="805" w:name="_Hlk116991283"/>
      <w:r w:rsidR="009F24EB" w:rsidRPr="003B4362">
        <w:rPr>
          <w:rFonts w:eastAsia="Calibri"/>
          <w:szCs w:val="24"/>
        </w:rPr>
        <w:t>under</w:t>
      </w:r>
      <w:r w:rsidRPr="003B4362">
        <w:rPr>
          <w:rFonts w:eastAsia="Calibri"/>
          <w:szCs w:val="24"/>
        </w:rPr>
        <w:t xml:space="preserve"> </w:t>
      </w:r>
      <w:r w:rsidR="009F24EB" w:rsidRPr="003B4362">
        <w:rPr>
          <w:rFonts w:eastAsia="Calibri"/>
          <w:szCs w:val="24"/>
        </w:rPr>
        <w:t>S</w:t>
      </w:r>
      <w:r w:rsidRPr="003B4362">
        <w:rPr>
          <w:rFonts w:eastAsia="Calibri"/>
          <w:szCs w:val="24"/>
        </w:rPr>
        <w:t xml:space="preserve">ubpart </w:t>
      </w:r>
      <w:bookmarkEnd w:id="804"/>
      <w:r w:rsidR="009F24EB" w:rsidRPr="003B4362">
        <w:rPr>
          <w:rFonts w:eastAsia="Calibri"/>
          <w:szCs w:val="24"/>
        </w:rPr>
        <w:t>V</w:t>
      </w:r>
      <w:bookmarkEnd w:id="805"/>
      <w:r w:rsidRPr="003B4362">
        <w:rPr>
          <w:rFonts w:eastAsia="Calibri"/>
          <w:szCs w:val="24"/>
        </w:rPr>
        <w:t>.</w:t>
      </w:r>
    </w:p>
    <w:p w14:paraId="3D04AB04" w14:textId="472BD1B9" w:rsidR="00DE41CA" w:rsidRPr="003B4362" w:rsidRDefault="00DE41CA" w:rsidP="00DE41CA">
      <w:pPr>
        <w:autoSpaceDE w:val="0"/>
        <w:autoSpaceDN w:val="0"/>
        <w:adjustRightInd w:val="0"/>
        <w:spacing w:before="240" w:after="240"/>
        <w:ind w:left="2160" w:hanging="720"/>
        <w:rPr>
          <w:rFonts w:eastAsia="Calibri"/>
          <w:szCs w:val="24"/>
        </w:rPr>
      </w:pPr>
      <w:r w:rsidRPr="003B4362">
        <w:rPr>
          <w:rFonts w:eastAsia="Calibri"/>
          <w:szCs w:val="24"/>
        </w:rPr>
        <w:lastRenderedPageBreak/>
        <w:t>4)</w:t>
      </w:r>
      <w:r w:rsidRPr="003B4362">
        <w:rPr>
          <w:rFonts w:eastAsia="Calibri"/>
          <w:szCs w:val="24"/>
        </w:rPr>
        <w:tab/>
        <w:t xml:space="preserve">Any </w:t>
      </w:r>
      <w:r w:rsidR="009F24EB" w:rsidRPr="003B4362">
        <w:rPr>
          <w:rFonts w:eastAsia="Calibri"/>
          <w:szCs w:val="24"/>
        </w:rPr>
        <w:t>supplier</w:t>
      </w:r>
      <w:r w:rsidRPr="003B4362">
        <w:rPr>
          <w:rFonts w:eastAsia="Calibri"/>
          <w:szCs w:val="24"/>
        </w:rPr>
        <w:t xml:space="preserve"> with lead service lines, </w:t>
      </w:r>
      <w:bookmarkStart w:id="806" w:name="_Hlk116991932"/>
      <w:r w:rsidRPr="003B4362">
        <w:rPr>
          <w:rFonts w:eastAsia="Calibri"/>
          <w:szCs w:val="24"/>
        </w:rPr>
        <w:t xml:space="preserve">galvanized </w:t>
      </w:r>
      <w:r w:rsidR="009F24EB" w:rsidRPr="003B4362">
        <w:rPr>
          <w:rFonts w:eastAsia="Calibri"/>
          <w:szCs w:val="24"/>
        </w:rPr>
        <w:t>service lines</w:t>
      </w:r>
      <w:r w:rsidR="0023051E" w:rsidRPr="003B4362">
        <w:rPr>
          <w:rFonts w:eastAsia="Calibri"/>
          <w:szCs w:val="24"/>
        </w:rPr>
        <w:t xml:space="preserve"> needing</w:t>
      </w:r>
      <w:r w:rsidRPr="003B4362">
        <w:rPr>
          <w:rFonts w:eastAsia="Calibri"/>
          <w:szCs w:val="24"/>
        </w:rPr>
        <w:t xml:space="preserve"> replacement</w:t>
      </w:r>
      <w:bookmarkEnd w:id="806"/>
      <w:r w:rsidR="009F24EB" w:rsidRPr="003B4362">
        <w:rPr>
          <w:rFonts w:eastAsia="Calibri"/>
          <w:szCs w:val="24"/>
        </w:rPr>
        <w:t>,</w:t>
      </w:r>
      <w:r w:rsidRPr="003B4362">
        <w:rPr>
          <w:rFonts w:eastAsia="Calibri"/>
          <w:szCs w:val="24"/>
        </w:rPr>
        <w:t xml:space="preserve"> or lead status unknown service lines in </w:t>
      </w:r>
      <w:bookmarkStart w:id="807" w:name="_Hlk116992107"/>
      <w:r w:rsidR="009F24EB" w:rsidRPr="003B4362">
        <w:rPr>
          <w:rFonts w:eastAsia="Calibri"/>
          <w:szCs w:val="24"/>
        </w:rPr>
        <w:t>its</w:t>
      </w:r>
      <w:r w:rsidRPr="003B4362">
        <w:rPr>
          <w:rFonts w:eastAsia="Calibri"/>
          <w:szCs w:val="24"/>
        </w:rPr>
        <w:t xml:space="preserve"> inventory</w:t>
      </w:r>
      <w:bookmarkEnd w:id="807"/>
      <w:r w:rsidR="009F24EB" w:rsidRPr="003B4362">
        <w:rPr>
          <w:rFonts w:eastAsia="Calibri"/>
          <w:szCs w:val="24"/>
        </w:rPr>
        <w:t>,</w:t>
      </w:r>
      <w:r w:rsidRPr="003B4362">
        <w:rPr>
          <w:rFonts w:eastAsia="Calibri"/>
          <w:szCs w:val="24"/>
        </w:rPr>
        <w:t xml:space="preserve"> </w:t>
      </w:r>
      <w:bookmarkStart w:id="808" w:name="_Hlk116992261"/>
      <w:r w:rsidRPr="003B4362">
        <w:rPr>
          <w:rFonts w:eastAsia="Calibri"/>
          <w:szCs w:val="24"/>
        </w:rPr>
        <w:t xml:space="preserve">as Section </w:t>
      </w:r>
      <w:r w:rsidR="0023051E" w:rsidRPr="003B4362">
        <w:rPr>
          <w:szCs w:val="24"/>
        </w:rPr>
        <w:t>611.35</w:t>
      </w:r>
      <w:r w:rsidRPr="003B4362">
        <w:rPr>
          <w:rFonts w:eastAsia="Calibri"/>
          <w:szCs w:val="24"/>
        </w:rPr>
        <w:t>4(a)</w:t>
      </w:r>
      <w:r w:rsidR="009F24EB" w:rsidRPr="003B4362">
        <w:rPr>
          <w:rFonts w:eastAsia="Calibri"/>
          <w:szCs w:val="24"/>
        </w:rPr>
        <w:t xml:space="preserve"> specifies</w:t>
      </w:r>
      <w:bookmarkEnd w:id="808"/>
      <w:r w:rsidR="009F24EB" w:rsidRPr="003B4362">
        <w:rPr>
          <w:rFonts w:eastAsia="Calibri"/>
          <w:szCs w:val="24"/>
        </w:rPr>
        <w:t>,</w:t>
      </w:r>
      <w:r w:rsidRPr="003B4362">
        <w:rPr>
          <w:rFonts w:eastAsia="Calibri"/>
          <w:szCs w:val="24"/>
        </w:rPr>
        <w:t xml:space="preserve"> </w:t>
      </w:r>
      <w:r w:rsidR="009F24EB" w:rsidRPr="003B4362">
        <w:rPr>
          <w:rFonts w:eastAsia="Calibri"/>
          <w:szCs w:val="24"/>
        </w:rPr>
        <w:t>must</w:t>
      </w:r>
      <w:r w:rsidRPr="003B4362">
        <w:rPr>
          <w:rFonts w:eastAsia="Calibri"/>
          <w:szCs w:val="24"/>
        </w:rPr>
        <w:t xml:space="preserve"> </w:t>
      </w:r>
      <w:r w:rsidR="0023051E" w:rsidRPr="003B4362">
        <w:rPr>
          <w:rFonts w:eastAsia="Calibri"/>
          <w:szCs w:val="24"/>
        </w:rPr>
        <w:t>notify</w:t>
      </w:r>
      <w:r w:rsidRPr="003B4362">
        <w:rPr>
          <w:rFonts w:eastAsia="Calibri"/>
          <w:szCs w:val="24"/>
        </w:rPr>
        <w:t xml:space="preserve"> </w:t>
      </w:r>
      <w:bookmarkStart w:id="809" w:name="_Hlk116992385"/>
      <w:r w:rsidRPr="003B4362">
        <w:rPr>
          <w:rFonts w:eastAsia="Calibri"/>
          <w:szCs w:val="24"/>
        </w:rPr>
        <w:t>all consumers</w:t>
      </w:r>
      <w:bookmarkEnd w:id="809"/>
      <w:r w:rsidRPr="003B4362">
        <w:rPr>
          <w:rFonts w:eastAsia="Calibri"/>
          <w:szCs w:val="24"/>
        </w:rPr>
        <w:t xml:space="preserve"> with a lead service line, galvanized </w:t>
      </w:r>
      <w:r w:rsidR="0023051E" w:rsidRPr="003B4362">
        <w:rPr>
          <w:rFonts w:eastAsia="Calibri"/>
          <w:szCs w:val="24"/>
        </w:rPr>
        <w:t>service line needing</w:t>
      </w:r>
      <w:r w:rsidRPr="003B4362">
        <w:rPr>
          <w:rFonts w:eastAsia="Calibri"/>
          <w:szCs w:val="24"/>
        </w:rPr>
        <w:t xml:space="preserve"> replacement, or a lead status unknown service line </w:t>
      </w:r>
      <w:bookmarkStart w:id="810" w:name="_Hlk116992641"/>
      <w:r w:rsidR="0023051E" w:rsidRPr="003B4362">
        <w:rPr>
          <w:rFonts w:eastAsia="Calibri"/>
          <w:szCs w:val="24"/>
        </w:rPr>
        <w:t>under</w:t>
      </w:r>
      <w:r w:rsidRPr="003B4362">
        <w:rPr>
          <w:rFonts w:eastAsia="Calibri"/>
          <w:szCs w:val="24"/>
        </w:rPr>
        <w:t xml:space="preserve"> Section </w:t>
      </w:r>
      <w:r w:rsidR="0023051E" w:rsidRPr="003B4362">
        <w:rPr>
          <w:szCs w:val="24"/>
        </w:rPr>
        <w:t>611.35</w:t>
      </w:r>
      <w:r w:rsidRPr="003B4362">
        <w:rPr>
          <w:rFonts w:eastAsia="Calibri"/>
          <w:szCs w:val="24"/>
        </w:rPr>
        <w:t>5(e)</w:t>
      </w:r>
      <w:bookmarkEnd w:id="810"/>
      <w:r w:rsidRPr="003B4362">
        <w:rPr>
          <w:rFonts w:eastAsia="Calibri"/>
          <w:szCs w:val="24"/>
        </w:rPr>
        <w:t>.</w:t>
      </w:r>
    </w:p>
    <w:p w14:paraId="772196DC" w14:textId="107B3584" w:rsidR="00DE41CA" w:rsidRPr="003B4362" w:rsidRDefault="00DE41CA" w:rsidP="00DE41CA">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t xml:space="preserve">Any </w:t>
      </w:r>
      <w:r w:rsidR="00865A65" w:rsidRPr="003B4362">
        <w:rPr>
          <w:rFonts w:eastAsia="Calibri"/>
          <w:szCs w:val="24"/>
        </w:rPr>
        <w:t>supplier</w:t>
      </w:r>
      <w:r w:rsidRPr="003B4362">
        <w:rPr>
          <w:rFonts w:eastAsia="Calibri"/>
          <w:szCs w:val="24"/>
        </w:rPr>
        <w:t xml:space="preserve"> </w:t>
      </w:r>
      <w:bookmarkStart w:id="811" w:name="_Hlk116992758"/>
      <w:r w:rsidR="00865A65" w:rsidRPr="003B4362">
        <w:rPr>
          <w:rFonts w:eastAsia="Calibri"/>
          <w:szCs w:val="24"/>
        </w:rPr>
        <w:t>failing</w:t>
      </w:r>
      <w:r w:rsidRPr="003B4362">
        <w:rPr>
          <w:rFonts w:eastAsia="Calibri"/>
          <w:szCs w:val="24"/>
        </w:rPr>
        <w:t xml:space="preserve"> to reach its</w:t>
      </w:r>
      <w:bookmarkEnd w:id="811"/>
      <w:r w:rsidR="0008420B" w:rsidRPr="003B4362">
        <w:rPr>
          <w:rFonts w:eastAsia="Calibri"/>
          <w:szCs w:val="24"/>
        </w:rPr>
        <w:t xml:space="preserve"> </w:t>
      </w:r>
      <w:bookmarkStart w:id="812" w:name="_Hlk116993890"/>
      <w:r w:rsidRPr="003B4362">
        <w:rPr>
          <w:rFonts w:eastAsia="Calibri"/>
          <w:szCs w:val="24"/>
        </w:rPr>
        <w:t>lead service line replacement rate</w:t>
      </w:r>
      <w:bookmarkEnd w:id="812"/>
      <w:r w:rsidRPr="003B4362">
        <w:rPr>
          <w:rFonts w:eastAsia="Calibri"/>
          <w:szCs w:val="24"/>
        </w:rPr>
        <w:t xml:space="preserve"> </w:t>
      </w:r>
      <w:r w:rsidR="0008420B" w:rsidRPr="003B4362">
        <w:rPr>
          <w:rFonts w:eastAsia="Calibri"/>
          <w:szCs w:val="24"/>
        </w:rPr>
        <w:t xml:space="preserve">goal, </w:t>
      </w:r>
      <w:r w:rsidRPr="003B4362">
        <w:rPr>
          <w:rFonts w:eastAsia="Calibri"/>
          <w:szCs w:val="24"/>
        </w:rPr>
        <w:t xml:space="preserve">as required under Section </w:t>
      </w:r>
      <w:r w:rsidR="0023051E" w:rsidRPr="003B4362">
        <w:rPr>
          <w:szCs w:val="24"/>
        </w:rPr>
        <w:t>611.35</w:t>
      </w:r>
      <w:r w:rsidRPr="003B4362">
        <w:rPr>
          <w:rFonts w:eastAsia="Calibri"/>
          <w:szCs w:val="24"/>
        </w:rPr>
        <w:t xml:space="preserve">4(f) </w:t>
      </w:r>
      <w:bookmarkStart w:id="813" w:name="_Hlk116994066"/>
      <w:r w:rsidR="0008420B" w:rsidRPr="003B4362">
        <w:rPr>
          <w:rFonts w:eastAsia="Calibri"/>
          <w:szCs w:val="24"/>
        </w:rPr>
        <w:t>must</w:t>
      </w:r>
      <w:r w:rsidRPr="003B4362">
        <w:rPr>
          <w:rFonts w:eastAsia="Calibri"/>
          <w:szCs w:val="24"/>
        </w:rPr>
        <w:t xml:space="preserve"> conduct outreach activities</w:t>
      </w:r>
      <w:bookmarkEnd w:id="813"/>
      <w:r w:rsidRPr="003B4362">
        <w:rPr>
          <w:rFonts w:eastAsia="Calibri"/>
          <w:szCs w:val="24"/>
        </w:rPr>
        <w:t xml:space="preserve"> in accordance with Section </w:t>
      </w:r>
      <w:bookmarkStart w:id="814" w:name="_Hlk117003796"/>
      <w:r w:rsidR="0023051E" w:rsidRPr="003B4362">
        <w:rPr>
          <w:szCs w:val="24"/>
        </w:rPr>
        <w:t>611.35</w:t>
      </w:r>
      <w:bookmarkEnd w:id="814"/>
      <w:r w:rsidRPr="003B4362">
        <w:rPr>
          <w:rFonts w:eastAsia="Calibri"/>
          <w:szCs w:val="24"/>
        </w:rPr>
        <w:t>5(h).</w:t>
      </w:r>
    </w:p>
    <w:p w14:paraId="28F319D1" w14:textId="7DFBB968" w:rsidR="005451CE" w:rsidRPr="003B4362" w:rsidRDefault="005451CE" w:rsidP="005451CE">
      <w:pPr>
        <w:spacing w:before="240" w:after="240"/>
        <w:ind w:left="1440" w:hanging="720"/>
        <w:rPr>
          <w:rFonts w:eastAsia="Calibri"/>
        </w:rPr>
      </w:pPr>
      <w:r w:rsidRPr="003B4362">
        <w:rPr>
          <w:rFonts w:eastAsia="Calibri"/>
        </w:rPr>
        <w:t>h)</w:t>
      </w:r>
      <w:r w:rsidRPr="003B4362">
        <w:rPr>
          <w:rFonts w:eastAsia="Calibri"/>
        </w:rPr>
        <w:tab/>
        <w:t>Monitoring and Analytical Requirements.  A</w:t>
      </w:r>
      <w:bookmarkStart w:id="815" w:name="_Hlk114004262"/>
      <w:r w:rsidRPr="003B4362">
        <w:rPr>
          <w:rFonts w:eastAsia="Calibri"/>
        </w:rPr>
        <w:t xml:space="preserve"> supplier must complete</w:t>
      </w:r>
      <w:bookmarkEnd w:id="815"/>
      <w:r w:rsidRPr="003B4362">
        <w:rPr>
          <w:rFonts w:eastAsia="Calibri"/>
        </w:rPr>
        <w:t xml:space="preserve"> all tap water monitoring for lead and copper, monitoring for water quality parameters, and source water monitoring for lead and copper and analyze the monitoring results under this Subpart G </w:t>
      </w:r>
      <w:bookmarkStart w:id="816" w:name="_Hlk114004889"/>
      <w:r w:rsidRPr="003B4362">
        <w:rPr>
          <w:rFonts w:eastAsia="Calibri"/>
        </w:rPr>
        <w:t>as Sections 611.356, 611.357, 611.358, and 611.359 require</w:t>
      </w:r>
      <w:bookmarkEnd w:id="816"/>
      <w:r w:rsidRPr="003B4362">
        <w:rPr>
          <w:rFonts w:eastAsia="Calibri"/>
        </w:rPr>
        <w:t>.</w:t>
      </w:r>
    </w:p>
    <w:p w14:paraId="113223FF" w14:textId="6C60448C" w:rsidR="005451CE" w:rsidRPr="003B4362" w:rsidRDefault="005451CE" w:rsidP="005451CE">
      <w:pPr>
        <w:spacing w:before="240" w:after="240"/>
        <w:ind w:left="1440" w:hanging="720"/>
        <w:rPr>
          <w:rFonts w:eastAsia="Calibri"/>
        </w:rPr>
      </w:pPr>
      <w:r w:rsidRPr="003B4362">
        <w:rPr>
          <w:rFonts w:eastAsia="Calibri"/>
        </w:rPr>
        <w:t>i)</w:t>
      </w:r>
      <w:r w:rsidRPr="003B4362">
        <w:rPr>
          <w:rFonts w:eastAsia="Calibri"/>
        </w:rPr>
        <w:tab/>
        <w:t>Reporting Requirements.  A supplier must report any information the treatment provisions of this Subpart G and Section 611.360 require to the Agency.</w:t>
      </w:r>
    </w:p>
    <w:p w14:paraId="4B9BA289" w14:textId="641D110B" w:rsidR="005451CE" w:rsidRPr="003B4362" w:rsidRDefault="005451CE" w:rsidP="005451CE">
      <w:pPr>
        <w:spacing w:before="240" w:after="240"/>
        <w:ind w:left="1440" w:hanging="720"/>
        <w:rPr>
          <w:rFonts w:eastAsia="Calibri"/>
        </w:rPr>
      </w:pPr>
      <w:r w:rsidRPr="003B4362">
        <w:rPr>
          <w:rFonts w:eastAsia="Calibri"/>
        </w:rPr>
        <w:t>j)</w:t>
      </w:r>
      <w:r w:rsidRPr="003B4362">
        <w:rPr>
          <w:rFonts w:eastAsia="Calibri"/>
        </w:rPr>
        <w:tab/>
        <w:t xml:space="preserve">Recordkeeping Requirements.  A supplier must maintain records </w:t>
      </w:r>
      <w:bookmarkStart w:id="817" w:name="_Hlk114005478"/>
      <w:r w:rsidRPr="003B4362">
        <w:rPr>
          <w:rFonts w:eastAsia="Calibri"/>
        </w:rPr>
        <w:t>as Section 611.361 requires</w:t>
      </w:r>
      <w:bookmarkEnd w:id="817"/>
      <w:r w:rsidRPr="003B4362">
        <w:rPr>
          <w:rFonts w:eastAsia="Calibri"/>
        </w:rPr>
        <w:t>.</w:t>
      </w:r>
    </w:p>
    <w:p w14:paraId="2CB744C0" w14:textId="046FA9BA" w:rsidR="005451CE" w:rsidRPr="003B4362" w:rsidRDefault="005451CE" w:rsidP="005451CE">
      <w:pPr>
        <w:spacing w:before="240" w:after="240"/>
        <w:ind w:left="1440" w:hanging="720"/>
        <w:rPr>
          <w:rFonts w:eastAsia="Calibri"/>
        </w:rPr>
      </w:pPr>
      <w:r w:rsidRPr="003B4362">
        <w:rPr>
          <w:rFonts w:eastAsia="Calibri"/>
        </w:rPr>
        <w:t>k)</w:t>
      </w:r>
      <w:r w:rsidRPr="003B4362">
        <w:rPr>
          <w:rFonts w:eastAsia="Calibri"/>
        </w:rPr>
        <w:tab/>
      </w:r>
      <w:r w:rsidR="00614B21" w:rsidRPr="003B4362">
        <w:rPr>
          <w:rFonts w:eastAsia="Calibri"/>
        </w:rPr>
        <w:t xml:space="preserve">Violating </w:t>
      </w:r>
      <w:r w:rsidRPr="003B4362">
        <w:rPr>
          <w:rFonts w:eastAsia="Calibri"/>
        </w:rPr>
        <w:t>National Primary Drinking Water Regulations.  F</w:t>
      </w:r>
      <w:bookmarkStart w:id="818" w:name="_Hlk114005612"/>
      <w:r w:rsidRPr="003B4362">
        <w:rPr>
          <w:rFonts w:eastAsia="Calibri"/>
        </w:rPr>
        <w:t>ailing to comply with this Subpart G</w:t>
      </w:r>
      <w:bookmarkEnd w:id="818"/>
      <w:r w:rsidRPr="003B4362">
        <w:rPr>
          <w:rFonts w:eastAsia="Calibri"/>
        </w:rPr>
        <w:t xml:space="preserve">, including </w:t>
      </w:r>
      <w:bookmarkStart w:id="819" w:name="_Hlk114005783"/>
      <w:r w:rsidRPr="003B4362">
        <w:rPr>
          <w:rFonts w:eastAsia="Calibri"/>
        </w:rPr>
        <w:t>conditions the Agency imposes in a SEP</w:t>
      </w:r>
      <w:bookmarkEnd w:id="819"/>
      <w:r w:rsidRPr="003B4362">
        <w:rPr>
          <w:rFonts w:eastAsia="Calibri"/>
        </w:rPr>
        <w:t xml:space="preserve">, </w:t>
      </w:r>
      <w:bookmarkStart w:id="820" w:name="_Hlk117000078"/>
      <w:bookmarkStart w:id="821" w:name="_Hlk114005927"/>
      <w:r w:rsidRPr="003B4362">
        <w:rPr>
          <w:rFonts w:eastAsia="Calibri"/>
        </w:rPr>
        <w:t xml:space="preserve">violates </w:t>
      </w:r>
      <w:bookmarkEnd w:id="820"/>
      <w:r w:rsidRPr="003B4362">
        <w:rPr>
          <w:rFonts w:eastAsia="Calibri"/>
        </w:rPr>
        <w:t xml:space="preserve">the lead </w:t>
      </w:r>
      <w:r w:rsidR="000257D8" w:rsidRPr="003B4362">
        <w:rPr>
          <w:rFonts w:eastAsia="Calibri"/>
        </w:rPr>
        <w:t xml:space="preserve">and </w:t>
      </w:r>
      <w:r w:rsidRPr="003B4362">
        <w:rPr>
          <w:rFonts w:eastAsia="Calibri"/>
        </w:rPr>
        <w:t>copper NPDWR</w:t>
      </w:r>
      <w:bookmarkEnd w:id="821"/>
      <w:r w:rsidRPr="003B4362">
        <w:rPr>
          <w:rFonts w:eastAsia="Calibri"/>
        </w:rPr>
        <w:t>.</w:t>
      </w:r>
    </w:p>
    <w:p w14:paraId="51488105" w14:textId="103F9009" w:rsidR="009147E8" w:rsidRPr="003B4362" w:rsidRDefault="009147E8" w:rsidP="009147E8">
      <w:pPr>
        <w:autoSpaceDE w:val="0"/>
        <w:autoSpaceDN w:val="0"/>
        <w:adjustRightInd w:val="0"/>
        <w:ind w:left="1440" w:hanging="720"/>
        <w:rPr>
          <w:szCs w:val="24"/>
        </w:rPr>
      </w:pPr>
      <w:r w:rsidRPr="003B4362">
        <w:rPr>
          <w:szCs w:val="24"/>
        </w:rPr>
        <w:t>l)</w:t>
      </w:r>
      <w:r w:rsidRPr="003B4362">
        <w:rPr>
          <w:szCs w:val="24"/>
        </w:rPr>
        <w:tab/>
      </w:r>
      <w:bookmarkStart w:id="822" w:name="_Hlk117003367"/>
      <w:r w:rsidRPr="003B4362">
        <w:rPr>
          <w:szCs w:val="24"/>
        </w:rPr>
        <w:t xml:space="preserve">Testing in Schools and Child </w:t>
      </w:r>
      <w:r w:rsidR="00277D80" w:rsidRPr="003B4362">
        <w:rPr>
          <w:szCs w:val="24"/>
        </w:rPr>
        <w:t>C</w:t>
      </w:r>
      <w:r w:rsidRPr="003B4362">
        <w:rPr>
          <w:szCs w:val="24"/>
        </w:rPr>
        <w:t xml:space="preserve">are </w:t>
      </w:r>
      <w:r w:rsidR="00277D80" w:rsidRPr="003B4362">
        <w:rPr>
          <w:szCs w:val="24"/>
        </w:rPr>
        <w:t>F</w:t>
      </w:r>
      <w:r w:rsidRPr="003B4362">
        <w:rPr>
          <w:szCs w:val="24"/>
        </w:rPr>
        <w:t>acilities</w:t>
      </w:r>
      <w:bookmarkEnd w:id="822"/>
      <w:r w:rsidRPr="003B4362">
        <w:rPr>
          <w:szCs w:val="24"/>
        </w:rPr>
        <w:t xml:space="preserve">.  </w:t>
      </w:r>
      <w:r w:rsidR="00277D80" w:rsidRPr="003B4362">
        <w:rPr>
          <w:szCs w:val="24"/>
        </w:rPr>
        <w:t>A supp</w:t>
      </w:r>
      <w:r w:rsidR="00BA5BFB" w:rsidRPr="003B4362">
        <w:rPr>
          <w:szCs w:val="24"/>
        </w:rPr>
        <w:t>lier</w:t>
      </w:r>
      <w:r w:rsidRPr="003B4362">
        <w:rPr>
          <w:szCs w:val="24"/>
        </w:rPr>
        <w:t xml:space="preserve"> must collect samples from all schools and child care facilities within its distribution system </w:t>
      </w:r>
      <w:bookmarkStart w:id="823" w:name="_Hlk117003671"/>
      <w:r w:rsidR="00BA5BFB" w:rsidRPr="003B4362">
        <w:rPr>
          <w:szCs w:val="24"/>
        </w:rPr>
        <w:t>under</w:t>
      </w:r>
      <w:r w:rsidRPr="003B4362">
        <w:rPr>
          <w:szCs w:val="24"/>
        </w:rPr>
        <w:t xml:space="preserve"> Section </w:t>
      </w:r>
      <w:r w:rsidR="00BA5BFB" w:rsidRPr="003B4362">
        <w:rPr>
          <w:szCs w:val="24"/>
        </w:rPr>
        <w:t>611.36</w:t>
      </w:r>
      <w:r w:rsidRPr="003B4362">
        <w:rPr>
          <w:szCs w:val="24"/>
        </w:rPr>
        <w:t>2</w:t>
      </w:r>
      <w:bookmarkEnd w:id="823"/>
      <w:r w:rsidRPr="003B4362">
        <w:rPr>
          <w:szCs w:val="24"/>
        </w:rPr>
        <w:t>.</w:t>
      </w:r>
    </w:p>
    <w:p w14:paraId="0DD55192" w14:textId="3B993042" w:rsidR="005451CE" w:rsidRPr="003B4362" w:rsidRDefault="005451CE" w:rsidP="005451CE">
      <w:pPr>
        <w:widowControl w:val="0"/>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141.80.</w:t>
      </w:r>
    </w:p>
    <w:p w14:paraId="4BA6FD05" w14:textId="212FF276"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60457E62" w14:textId="77777777" w:rsidR="005451CE" w:rsidRPr="003B4362" w:rsidRDefault="005451CE" w:rsidP="008F565D">
      <w:pPr>
        <w:rPr>
          <w:rFonts w:eastAsia="Calibri"/>
          <w:b/>
          <w:bCs/>
        </w:rPr>
      </w:pPr>
      <w:r w:rsidRPr="003B4362">
        <w:rPr>
          <w:rFonts w:eastAsia="Calibri"/>
          <w:b/>
          <w:bCs/>
        </w:rPr>
        <w:t>Section 611.351  Applicability of Corrosion Control</w:t>
      </w:r>
    </w:p>
    <w:p w14:paraId="650E6013" w14:textId="05AF428D" w:rsidR="005451CE" w:rsidRPr="003B4362" w:rsidRDefault="005451CE" w:rsidP="005451CE">
      <w:pPr>
        <w:spacing w:before="240" w:after="240"/>
        <w:ind w:left="1440" w:hanging="720"/>
        <w:rPr>
          <w:rFonts w:eastAsia="Calibri"/>
        </w:rPr>
      </w:pPr>
      <w:r w:rsidRPr="003B4362">
        <w:rPr>
          <w:rFonts w:eastAsia="Calibri"/>
        </w:rPr>
        <w:t>a)</w:t>
      </w:r>
      <w:r w:rsidRPr="003B4362">
        <w:rPr>
          <w:rFonts w:eastAsia="Calibri"/>
        </w:rPr>
        <w:tab/>
        <w:t>Corrosion Control</w:t>
      </w:r>
      <w:r w:rsidR="00D728E3" w:rsidRPr="003B4362">
        <w:rPr>
          <w:rFonts w:eastAsia="Calibri"/>
        </w:rPr>
        <w:t xml:space="preserve"> Treatment</w:t>
      </w:r>
      <w:r w:rsidRPr="003B4362">
        <w:rPr>
          <w:rFonts w:eastAsia="Calibri"/>
        </w:rPr>
        <w:t>.</w:t>
      </w:r>
      <w:r w:rsidR="00D728E3" w:rsidRPr="003B4362">
        <w:rPr>
          <w:szCs w:val="24"/>
        </w:rPr>
        <w:t xml:space="preserve">  T</w:t>
      </w:r>
      <w:bookmarkStart w:id="824" w:name="_Hlk117004768"/>
      <w:r w:rsidR="00D728E3" w:rsidRPr="003B4362">
        <w:rPr>
          <w:szCs w:val="24"/>
        </w:rPr>
        <w:t xml:space="preserve">his </w:t>
      </w:r>
      <w:r w:rsidR="00113E52" w:rsidRPr="003B4362">
        <w:rPr>
          <w:szCs w:val="24"/>
        </w:rPr>
        <w:t>S</w:t>
      </w:r>
      <w:r w:rsidR="00D728E3" w:rsidRPr="003B4362">
        <w:rPr>
          <w:szCs w:val="24"/>
        </w:rPr>
        <w:t xml:space="preserve">ection </w:t>
      </w:r>
      <w:r w:rsidR="00113E52" w:rsidRPr="003B4362">
        <w:rPr>
          <w:szCs w:val="24"/>
        </w:rPr>
        <w:t>provides</w:t>
      </w:r>
      <w:r w:rsidR="00D728E3" w:rsidRPr="003B4362">
        <w:rPr>
          <w:szCs w:val="24"/>
        </w:rPr>
        <w:t xml:space="preserve"> when a s</w:t>
      </w:r>
      <w:bookmarkEnd w:id="824"/>
      <w:r w:rsidR="00113E52" w:rsidRPr="003B4362">
        <w:rPr>
          <w:szCs w:val="24"/>
        </w:rPr>
        <w:t>upplier</w:t>
      </w:r>
      <w:r w:rsidR="00D728E3" w:rsidRPr="003B4362">
        <w:rPr>
          <w:szCs w:val="24"/>
        </w:rPr>
        <w:t xml:space="preserve"> must complete the corrosion control </w:t>
      </w:r>
      <w:bookmarkStart w:id="825" w:name="_Hlk117005036"/>
      <w:r w:rsidR="00D728E3" w:rsidRPr="003B4362">
        <w:rPr>
          <w:szCs w:val="24"/>
        </w:rPr>
        <w:t>treatment steps</w:t>
      </w:r>
      <w:r w:rsidR="00113E52" w:rsidRPr="003B4362">
        <w:rPr>
          <w:rFonts w:eastAsia="Calibri"/>
          <w:spacing w:val="-3"/>
        </w:rPr>
        <w:t xml:space="preserve"> </w:t>
      </w:r>
      <w:r w:rsidR="00D728E3" w:rsidRPr="003B4362">
        <w:rPr>
          <w:szCs w:val="24"/>
        </w:rPr>
        <w:t>in subsection (d) or (e)</w:t>
      </w:r>
      <w:bookmarkEnd w:id="825"/>
      <w:r w:rsidR="00113E52" w:rsidRPr="003B4362">
        <w:rPr>
          <w:rFonts w:eastAsia="Calibri"/>
        </w:rPr>
        <w:t xml:space="preserve"> </w:t>
      </w:r>
      <w:r w:rsidR="00D728E3" w:rsidRPr="003B4362">
        <w:rPr>
          <w:szCs w:val="24"/>
        </w:rPr>
        <w:t xml:space="preserve">to optimize or re-optimize corrosion control treatment based on size, whether the </w:t>
      </w:r>
      <w:r w:rsidR="00113E52" w:rsidRPr="003B4362">
        <w:rPr>
          <w:szCs w:val="24"/>
        </w:rPr>
        <w:t>supplier</w:t>
      </w:r>
      <w:r w:rsidR="00D728E3" w:rsidRPr="003B4362">
        <w:rPr>
          <w:szCs w:val="24"/>
        </w:rPr>
        <w:t xml:space="preserve"> has corrosion control treatment, and whether </w:t>
      </w:r>
      <w:bookmarkStart w:id="826" w:name="_Hlk117005350"/>
      <w:r w:rsidR="0002275D" w:rsidRPr="003B4362">
        <w:rPr>
          <w:szCs w:val="24"/>
        </w:rPr>
        <w:t>the supplier</w:t>
      </w:r>
      <w:r w:rsidR="00D728E3" w:rsidRPr="003B4362">
        <w:rPr>
          <w:szCs w:val="24"/>
        </w:rPr>
        <w:t xml:space="preserve"> exceeded</w:t>
      </w:r>
      <w:bookmarkEnd w:id="826"/>
      <w:r w:rsidR="00D728E3" w:rsidRPr="003B4362">
        <w:rPr>
          <w:szCs w:val="24"/>
        </w:rPr>
        <w:t xml:space="preserve"> </w:t>
      </w:r>
      <w:bookmarkStart w:id="827" w:name="_Hlk117005879"/>
      <w:r w:rsidR="00D728E3" w:rsidRPr="003B4362">
        <w:rPr>
          <w:szCs w:val="24"/>
        </w:rPr>
        <w:t xml:space="preserve">the lead trigger </w:t>
      </w:r>
      <w:r w:rsidR="0002275D" w:rsidRPr="003B4362">
        <w:rPr>
          <w:szCs w:val="24"/>
        </w:rPr>
        <w:t>level, lead</w:t>
      </w:r>
      <w:r w:rsidR="00D728E3" w:rsidRPr="003B4362">
        <w:rPr>
          <w:szCs w:val="24"/>
        </w:rPr>
        <w:t xml:space="preserve"> action level</w:t>
      </w:r>
      <w:r w:rsidR="0002275D" w:rsidRPr="003B4362">
        <w:rPr>
          <w:szCs w:val="24"/>
        </w:rPr>
        <w:t>,</w:t>
      </w:r>
      <w:r w:rsidR="00D728E3" w:rsidRPr="003B4362">
        <w:rPr>
          <w:szCs w:val="24"/>
        </w:rPr>
        <w:t xml:space="preserve"> or</w:t>
      </w:r>
      <w:r w:rsidR="0002275D" w:rsidRPr="003B4362">
        <w:rPr>
          <w:szCs w:val="24"/>
        </w:rPr>
        <w:t xml:space="preserve"> </w:t>
      </w:r>
      <w:r w:rsidR="00D728E3" w:rsidRPr="003B4362">
        <w:rPr>
          <w:szCs w:val="24"/>
        </w:rPr>
        <w:t>copper action level</w:t>
      </w:r>
      <w:bookmarkEnd w:id="827"/>
      <w:r w:rsidR="00D728E3" w:rsidRPr="003B4362">
        <w:rPr>
          <w:szCs w:val="24"/>
        </w:rPr>
        <w:t>.</w:t>
      </w:r>
    </w:p>
    <w:p w14:paraId="73889702" w14:textId="2F98CC01"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r>
      <w:bookmarkStart w:id="828" w:name="_Hlk114080338"/>
      <w:r w:rsidRPr="003B4362">
        <w:rPr>
          <w:rFonts w:eastAsia="Calibri"/>
        </w:rPr>
        <w:t>Large</w:t>
      </w:r>
      <w:r w:rsidR="00D11209" w:rsidRPr="003B4362">
        <w:rPr>
          <w:rFonts w:eastAsia="Calibri"/>
        </w:rPr>
        <w:t xml:space="preserve"> </w:t>
      </w:r>
      <w:r w:rsidRPr="003B4362">
        <w:rPr>
          <w:rFonts w:eastAsia="Calibri"/>
        </w:rPr>
        <w:t>S</w:t>
      </w:r>
      <w:r w:rsidR="00D11209" w:rsidRPr="003B4362">
        <w:rPr>
          <w:rFonts w:eastAsia="Calibri"/>
        </w:rPr>
        <w:t>uppliers</w:t>
      </w:r>
      <w:bookmarkEnd w:id="828"/>
    </w:p>
    <w:p w14:paraId="1BD0B370" w14:textId="685CF50A" w:rsidR="00A60185" w:rsidRPr="003B4362" w:rsidRDefault="00A60185" w:rsidP="00A60185">
      <w:pPr>
        <w:autoSpaceDE w:val="0"/>
        <w:autoSpaceDN w:val="0"/>
        <w:adjustRightInd w:val="0"/>
        <w:spacing w:before="240" w:after="240"/>
        <w:ind w:left="2880" w:hanging="720"/>
        <w:rPr>
          <w:szCs w:val="24"/>
        </w:rPr>
      </w:pPr>
      <w:r w:rsidRPr="003B4362">
        <w:rPr>
          <w:szCs w:val="24"/>
        </w:rPr>
        <w:t>A)</w:t>
      </w:r>
      <w:r w:rsidRPr="003B4362">
        <w:rPr>
          <w:szCs w:val="24"/>
        </w:rPr>
        <w:tab/>
        <w:t xml:space="preserve">A large </w:t>
      </w:r>
      <w:r w:rsidR="00372D71" w:rsidRPr="003B4362">
        <w:rPr>
          <w:szCs w:val="24"/>
        </w:rPr>
        <w:t>supplier</w:t>
      </w:r>
      <w:r w:rsidRPr="003B4362">
        <w:rPr>
          <w:szCs w:val="24"/>
        </w:rPr>
        <w:t xml:space="preserve"> </w:t>
      </w:r>
      <w:bookmarkStart w:id="829" w:name="_Hlk117007231"/>
      <w:r w:rsidRPr="003B4362">
        <w:rPr>
          <w:szCs w:val="24"/>
        </w:rPr>
        <w:t>applying corrosion control</w:t>
      </w:r>
      <w:bookmarkEnd w:id="829"/>
      <w:r w:rsidRPr="003B4362">
        <w:rPr>
          <w:szCs w:val="24"/>
        </w:rPr>
        <w:t xml:space="preserve"> treatment </w:t>
      </w:r>
      <w:r w:rsidR="00AD79B1" w:rsidRPr="003B4362">
        <w:rPr>
          <w:szCs w:val="24"/>
        </w:rPr>
        <w:t>that exceeds</w:t>
      </w:r>
      <w:r w:rsidRPr="003B4362">
        <w:rPr>
          <w:szCs w:val="24"/>
        </w:rPr>
        <w:t xml:space="preserve"> either the lead trigger level or copper action level must complete the corrosion control </w:t>
      </w:r>
      <w:bookmarkStart w:id="830" w:name="_Hlk117007366"/>
      <w:bookmarkStart w:id="831" w:name="_Hlk117007384"/>
      <w:r w:rsidRPr="003B4362">
        <w:rPr>
          <w:szCs w:val="24"/>
        </w:rPr>
        <w:t xml:space="preserve">treatment </w:t>
      </w:r>
      <w:bookmarkEnd w:id="830"/>
      <w:r w:rsidRPr="003B4362">
        <w:rPr>
          <w:szCs w:val="24"/>
        </w:rPr>
        <w:t>steps subsection (d) specifies</w:t>
      </w:r>
      <w:bookmarkEnd w:id="831"/>
      <w:r w:rsidRPr="003B4362">
        <w:rPr>
          <w:szCs w:val="24"/>
        </w:rPr>
        <w:t>.</w:t>
      </w:r>
    </w:p>
    <w:p w14:paraId="308087BC" w14:textId="13D6FF5C" w:rsidR="00A60185" w:rsidRPr="003B4362" w:rsidRDefault="00A60185" w:rsidP="00A60185">
      <w:pPr>
        <w:autoSpaceDE w:val="0"/>
        <w:autoSpaceDN w:val="0"/>
        <w:adjustRightInd w:val="0"/>
        <w:spacing w:before="240" w:after="240"/>
        <w:ind w:left="2880" w:hanging="720"/>
        <w:rPr>
          <w:szCs w:val="24"/>
        </w:rPr>
      </w:pPr>
      <w:r w:rsidRPr="003B4362">
        <w:rPr>
          <w:szCs w:val="24"/>
        </w:rPr>
        <w:lastRenderedPageBreak/>
        <w:t>B)</w:t>
      </w:r>
      <w:r w:rsidRPr="003B4362">
        <w:rPr>
          <w:szCs w:val="24"/>
        </w:rPr>
        <w:tab/>
      </w:r>
      <w:r w:rsidR="000E6882" w:rsidRPr="003B4362">
        <w:rPr>
          <w:szCs w:val="24"/>
        </w:rPr>
        <w:t>A large supplier not</w:t>
      </w:r>
      <w:bookmarkStart w:id="832" w:name="_Hlk117009179"/>
      <w:r w:rsidR="000E6882" w:rsidRPr="003B4362">
        <w:rPr>
          <w:szCs w:val="24"/>
        </w:rPr>
        <w:t xml:space="preserve"> </w:t>
      </w:r>
      <w:bookmarkEnd w:id="832"/>
      <w:r w:rsidR="000E6882" w:rsidRPr="003B4362">
        <w:rPr>
          <w:szCs w:val="24"/>
        </w:rPr>
        <w:t>applying</w:t>
      </w:r>
      <w:r w:rsidRPr="003B4362">
        <w:rPr>
          <w:szCs w:val="24"/>
        </w:rPr>
        <w:t xml:space="preserve"> corrosion control treatment </w:t>
      </w:r>
      <w:bookmarkStart w:id="833" w:name="_Hlk117007969"/>
      <w:r w:rsidRPr="003B4362">
        <w:rPr>
          <w:szCs w:val="24"/>
        </w:rPr>
        <w:t xml:space="preserve">with 90th percentile </w:t>
      </w:r>
      <w:r w:rsidR="00176AAC" w:rsidRPr="003B4362">
        <w:rPr>
          <w:szCs w:val="24"/>
        </w:rPr>
        <w:t xml:space="preserve">concentration </w:t>
      </w:r>
      <w:r w:rsidRPr="003B4362">
        <w:rPr>
          <w:szCs w:val="24"/>
        </w:rPr>
        <w:t xml:space="preserve">results </w:t>
      </w:r>
      <w:r w:rsidR="004E7D76" w:rsidRPr="003B4362">
        <w:rPr>
          <w:szCs w:val="24"/>
        </w:rPr>
        <w:t>under</w:t>
      </w:r>
      <w:r w:rsidRPr="003B4362">
        <w:rPr>
          <w:szCs w:val="24"/>
        </w:rPr>
        <w:t xml:space="preserve"> Section </w:t>
      </w:r>
      <w:r w:rsidR="00357BEA" w:rsidRPr="003B4362">
        <w:rPr>
          <w:szCs w:val="24"/>
        </w:rPr>
        <w:t>611.35</w:t>
      </w:r>
      <w:r w:rsidRPr="003B4362">
        <w:rPr>
          <w:szCs w:val="24"/>
        </w:rPr>
        <w:t>0(c)(4)</w:t>
      </w:r>
      <w:bookmarkEnd w:id="833"/>
      <w:r w:rsidRPr="003B4362">
        <w:rPr>
          <w:szCs w:val="24"/>
        </w:rPr>
        <w:t xml:space="preserve"> </w:t>
      </w:r>
      <w:r w:rsidR="00AD79B1" w:rsidRPr="003B4362">
        <w:rPr>
          <w:szCs w:val="24"/>
        </w:rPr>
        <w:t>that exceeds</w:t>
      </w:r>
      <w:r w:rsidRPr="003B4362">
        <w:rPr>
          <w:szCs w:val="24"/>
        </w:rPr>
        <w:t xml:space="preserve"> either the lead practical quantitation limit of 0.005 </w:t>
      </w:r>
      <w:bookmarkStart w:id="834" w:name="_Hlk117008315"/>
      <w:r w:rsidRPr="003B4362">
        <w:rPr>
          <w:szCs w:val="24"/>
        </w:rPr>
        <w:t>mg/</w:t>
      </w:r>
      <w:bookmarkEnd w:id="834"/>
      <w:r w:rsidR="0084199E" w:rsidRPr="003B4362">
        <w:t xml:space="preserve"> L</w:t>
      </w:r>
      <w:r w:rsidRPr="003B4362">
        <w:rPr>
          <w:szCs w:val="24"/>
        </w:rPr>
        <w:t xml:space="preserve"> or the copper action level </w:t>
      </w:r>
      <w:r w:rsidR="004E7D76" w:rsidRPr="003B4362">
        <w:rPr>
          <w:szCs w:val="24"/>
        </w:rPr>
        <w:t>must</w:t>
      </w:r>
      <w:r w:rsidRPr="003B4362">
        <w:rPr>
          <w:szCs w:val="24"/>
        </w:rPr>
        <w:t xml:space="preserve"> complete the corrosion control treatment steps</w:t>
      </w:r>
      <w:r w:rsidR="004E7D76" w:rsidRPr="003B4362">
        <w:rPr>
          <w:szCs w:val="24"/>
        </w:rPr>
        <w:t xml:space="preserve"> </w:t>
      </w:r>
      <w:r w:rsidRPr="003B4362">
        <w:rPr>
          <w:szCs w:val="24"/>
        </w:rPr>
        <w:t xml:space="preserve">subsection (e) </w:t>
      </w:r>
      <w:r w:rsidR="004E7D76" w:rsidRPr="003B4362">
        <w:rPr>
          <w:szCs w:val="24"/>
        </w:rPr>
        <w:t>specifies</w:t>
      </w:r>
      <w:r w:rsidRPr="003B4362">
        <w:rPr>
          <w:szCs w:val="24"/>
        </w:rPr>
        <w:t>.</w:t>
      </w:r>
    </w:p>
    <w:p w14:paraId="4DE40C0A" w14:textId="0025C32D" w:rsidR="00A60185" w:rsidRPr="003B4362" w:rsidRDefault="00A60185" w:rsidP="00A60185">
      <w:pPr>
        <w:autoSpaceDE w:val="0"/>
        <w:autoSpaceDN w:val="0"/>
        <w:adjustRightInd w:val="0"/>
        <w:spacing w:before="240" w:after="240"/>
        <w:ind w:left="2880" w:hanging="720"/>
        <w:rPr>
          <w:szCs w:val="24"/>
        </w:rPr>
      </w:pPr>
      <w:r w:rsidRPr="003B4362">
        <w:rPr>
          <w:szCs w:val="24"/>
        </w:rPr>
        <w:t>C)</w:t>
      </w:r>
      <w:r w:rsidRPr="003B4362">
        <w:rPr>
          <w:szCs w:val="24"/>
        </w:rPr>
        <w:tab/>
      </w:r>
      <w:r w:rsidR="00805DF1" w:rsidRPr="003B4362">
        <w:rPr>
          <w:szCs w:val="24"/>
        </w:rPr>
        <w:t>T</w:t>
      </w:r>
      <w:bookmarkStart w:id="835" w:name="_Hlk117009283"/>
      <w:r w:rsidR="00805DF1" w:rsidRPr="003B4362">
        <w:rPr>
          <w:szCs w:val="24"/>
        </w:rPr>
        <w:t>he Agency may issue a SEP requiring</w:t>
      </w:r>
      <w:bookmarkEnd w:id="835"/>
      <w:r w:rsidR="00805DF1" w:rsidRPr="003B4362">
        <w:rPr>
          <w:szCs w:val="24"/>
        </w:rPr>
        <w:t xml:space="preserve"> a large supplier applying</w:t>
      </w:r>
      <w:r w:rsidRPr="003B4362">
        <w:rPr>
          <w:szCs w:val="24"/>
        </w:rPr>
        <w:t xml:space="preserve"> corrosion control treatment with 90th percentile </w:t>
      </w:r>
      <w:r w:rsidR="00176AAC" w:rsidRPr="003B4362">
        <w:rPr>
          <w:szCs w:val="24"/>
        </w:rPr>
        <w:t xml:space="preserve">concentration </w:t>
      </w:r>
      <w:r w:rsidRPr="003B4362">
        <w:rPr>
          <w:szCs w:val="24"/>
        </w:rPr>
        <w:t xml:space="preserve">results </w:t>
      </w:r>
      <w:r w:rsidR="00805DF1" w:rsidRPr="003B4362">
        <w:rPr>
          <w:szCs w:val="24"/>
        </w:rPr>
        <w:t>under</w:t>
      </w:r>
      <w:r w:rsidRPr="003B4362">
        <w:rPr>
          <w:szCs w:val="24"/>
        </w:rPr>
        <w:t xml:space="preserve"> Section </w:t>
      </w:r>
      <w:r w:rsidR="00357BEA" w:rsidRPr="003B4362">
        <w:rPr>
          <w:szCs w:val="24"/>
        </w:rPr>
        <w:t>611.35</w:t>
      </w:r>
      <w:r w:rsidRPr="003B4362">
        <w:rPr>
          <w:szCs w:val="24"/>
        </w:rPr>
        <w:t xml:space="preserve">0(c)(4) </w:t>
      </w:r>
      <w:r w:rsidR="00805DF1" w:rsidRPr="003B4362">
        <w:rPr>
          <w:szCs w:val="24"/>
        </w:rPr>
        <w:t>exceeding</w:t>
      </w:r>
      <w:r w:rsidRPr="003B4362">
        <w:rPr>
          <w:szCs w:val="24"/>
        </w:rPr>
        <w:t xml:space="preserve"> the lead practical quantitation limit </w:t>
      </w:r>
      <w:r w:rsidR="002D4FCD" w:rsidRPr="003B4362">
        <w:rPr>
          <w:szCs w:val="24"/>
        </w:rPr>
        <w:t>but</w:t>
      </w:r>
      <w:r w:rsidR="00805DF1" w:rsidRPr="003B4362">
        <w:rPr>
          <w:szCs w:val="24"/>
        </w:rPr>
        <w:t xml:space="preserve"> </w:t>
      </w:r>
      <w:r w:rsidRPr="003B4362">
        <w:rPr>
          <w:szCs w:val="24"/>
        </w:rPr>
        <w:t>not exceed</w:t>
      </w:r>
      <w:r w:rsidR="00805DF1" w:rsidRPr="003B4362">
        <w:rPr>
          <w:szCs w:val="24"/>
        </w:rPr>
        <w:t>ing</w:t>
      </w:r>
      <w:r w:rsidRPr="003B4362">
        <w:rPr>
          <w:szCs w:val="24"/>
        </w:rPr>
        <w:t xml:space="preserve"> </w:t>
      </w:r>
      <w:r w:rsidR="00805DF1" w:rsidRPr="003B4362">
        <w:rPr>
          <w:szCs w:val="24"/>
        </w:rPr>
        <w:t xml:space="preserve">the </w:t>
      </w:r>
      <w:r w:rsidRPr="003B4362">
        <w:rPr>
          <w:szCs w:val="24"/>
        </w:rPr>
        <w:t>lead trigger level or the copper action level</w:t>
      </w:r>
      <w:r w:rsidR="006F3348" w:rsidRPr="003B4362">
        <w:rPr>
          <w:szCs w:val="24"/>
        </w:rPr>
        <w:t xml:space="preserve"> </w:t>
      </w:r>
      <w:r w:rsidRPr="003B4362">
        <w:rPr>
          <w:szCs w:val="24"/>
        </w:rPr>
        <w:t>to complete the corrosion control treatment steps in subsection (d).</w:t>
      </w:r>
    </w:p>
    <w:p w14:paraId="3EF4A768" w14:textId="2FB27FF5" w:rsidR="009B4457" w:rsidRPr="003B4362" w:rsidRDefault="009B4457" w:rsidP="009B4457">
      <w:pPr>
        <w:autoSpaceDE w:val="0"/>
        <w:autoSpaceDN w:val="0"/>
        <w:adjustRightInd w:val="0"/>
        <w:spacing w:before="240" w:after="240"/>
        <w:ind w:left="2160" w:hanging="720"/>
        <w:rPr>
          <w:rFonts w:eastAsia="Calibri"/>
          <w:i/>
          <w:iCs/>
          <w:szCs w:val="24"/>
        </w:rPr>
      </w:pPr>
      <w:r w:rsidRPr="003B4362">
        <w:rPr>
          <w:rFonts w:eastAsia="Calibri"/>
          <w:szCs w:val="24"/>
        </w:rPr>
        <w:t>2)</w:t>
      </w:r>
      <w:r w:rsidRPr="003B4362">
        <w:rPr>
          <w:rFonts w:eastAsia="Calibri"/>
          <w:szCs w:val="24"/>
        </w:rPr>
        <w:tab/>
        <w:t>M</w:t>
      </w:r>
      <w:r w:rsidR="0029331E" w:rsidRPr="003B4362">
        <w:rPr>
          <w:rFonts w:eastAsia="Calibri"/>
          <w:szCs w:val="24"/>
        </w:rPr>
        <w:t>id</w:t>
      </w:r>
      <w:r w:rsidRPr="003B4362">
        <w:rPr>
          <w:rFonts w:eastAsia="Calibri"/>
          <w:szCs w:val="24"/>
        </w:rPr>
        <w:t>-</w:t>
      </w:r>
      <w:r w:rsidR="00EB2B04" w:rsidRPr="003B4362">
        <w:rPr>
          <w:rFonts w:eastAsia="Calibri"/>
          <w:szCs w:val="24"/>
        </w:rPr>
        <w:t>S</w:t>
      </w:r>
      <w:r w:rsidRPr="003B4362">
        <w:rPr>
          <w:rFonts w:eastAsia="Calibri"/>
          <w:szCs w:val="24"/>
        </w:rPr>
        <w:t>ize</w:t>
      </w:r>
      <w:r w:rsidR="00243161" w:rsidRPr="003B4362">
        <w:rPr>
          <w:rFonts w:eastAsia="Calibri"/>
          <w:szCs w:val="24"/>
        </w:rPr>
        <w:t>d</w:t>
      </w:r>
      <w:r w:rsidRPr="003B4362">
        <w:rPr>
          <w:rFonts w:eastAsia="Calibri"/>
          <w:szCs w:val="24"/>
        </w:rPr>
        <w:t xml:space="preserve"> </w:t>
      </w:r>
      <w:r w:rsidR="00EB2B04" w:rsidRPr="003B4362">
        <w:rPr>
          <w:rFonts w:eastAsia="Calibri"/>
          <w:szCs w:val="24"/>
        </w:rPr>
        <w:t>S</w:t>
      </w:r>
      <w:r w:rsidR="0029331E" w:rsidRPr="003B4362">
        <w:rPr>
          <w:rFonts w:eastAsia="Calibri"/>
          <w:szCs w:val="24"/>
        </w:rPr>
        <w:t>upplier</w:t>
      </w:r>
      <w:r w:rsidRPr="003B4362">
        <w:rPr>
          <w:rFonts w:eastAsia="Calibri"/>
          <w:szCs w:val="24"/>
        </w:rPr>
        <w:t xml:space="preserve">s (serving </w:t>
      </w:r>
      <w:bookmarkStart w:id="836" w:name="_Hlk117012649"/>
      <w:r w:rsidRPr="003B4362">
        <w:rPr>
          <w:rFonts w:eastAsia="Calibri"/>
          <w:szCs w:val="24"/>
        </w:rPr>
        <w:t>&gt;10,000 and ≤50,000 people</w:t>
      </w:r>
      <w:bookmarkEnd w:id="836"/>
      <w:r w:rsidRPr="003B4362">
        <w:rPr>
          <w:rFonts w:eastAsia="Calibri"/>
          <w:szCs w:val="24"/>
        </w:rPr>
        <w:t>)</w:t>
      </w:r>
    </w:p>
    <w:p w14:paraId="4AC719B9" w14:textId="475E990C" w:rsidR="009B4457" w:rsidRPr="003B4362" w:rsidRDefault="009B4457" w:rsidP="009B445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r w:rsidR="00E656F3" w:rsidRPr="003B4362">
        <w:rPr>
          <w:rFonts w:eastAsia="Calibri"/>
          <w:szCs w:val="24"/>
        </w:rPr>
        <w:t>A m</w:t>
      </w:r>
      <w:r w:rsidR="0029331E" w:rsidRPr="003B4362">
        <w:rPr>
          <w:rFonts w:eastAsia="Calibri"/>
          <w:szCs w:val="24"/>
        </w:rPr>
        <w:t>id</w:t>
      </w:r>
      <w:r w:rsidRPr="003B4362">
        <w:rPr>
          <w:rFonts w:eastAsia="Calibri"/>
          <w:szCs w:val="24"/>
        </w:rPr>
        <w:t>-size</w:t>
      </w:r>
      <w:r w:rsidR="00243161" w:rsidRPr="003B4362">
        <w:rPr>
          <w:rFonts w:eastAsia="Calibri"/>
          <w:szCs w:val="24"/>
        </w:rPr>
        <w:t>d</w:t>
      </w:r>
      <w:r w:rsidRPr="003B4362">
        <w:rPr>
          <w:rFonts w:eastAsia="Calibri"/>
          <w:szCs w:val="24"/>
        </w:rPr>
        <w:t xml:space="preserve"> </w:t>
      </w:r>
      <w:r w:rsidR="00E656F3" w:rsidRPr="003B4362">
        <w:rPr>
          <w:szCs w:val="24"/>
        </w:rPr>
        <w:t>supplier</w:t>
      </w:r>
      <w:r w:rsidRPr="003B4362">
        <w:rPr>
          <w:rFonts w:eastAsia="Calibri"/>
          <w:szCs w:val="24"/>
        </w:rPr>
        <w:t xml:space="preserve"> </w:t>
      </w:r>
      <w:r w:rsidR="00243161" w:rsidRPr="003B4362">
        <w:rPr>
          <w:rFonts w:eastAsia="Calibri"/>
          <w:szCs w:val="24"/>
        </w:rPr>
        <w:t>applying</w:t>
      </w:r>
      <w:r w:rsidRPr="003B4362">
        <w:rPr>
          <w:rFonts w:eastAsia="Calibri"/>
          <w:szCs w:val="24"/>
        </w:rPr>
        <w:t xml:space="preserve"> corrosion control treatment </w:t>
      </w:r>
      <w:r w:rsidR="00534C5B" w:rsidRPr="003B4362">
        <w:rPr>
          <w:rFonts w:eastAsia="Calibri"/>
          <w:szCs w:val="24"/>
        </w:rPr>
        <w:t>that exceeds</w:t>
      </w:r>
      <w:r w:rsidRPr="003B4362">
        <w:rPr>
          <w:rFonts w:eastAsia="Calibri"/>
          <w:szCs w:val="24"/>
        </w:rPr>
        <w:t xml:space="preserve"> either the lead trigger level or </w:t>
      </w:r>
      <w:r w:rsidR="00E656F3" w:rsidRPr="003B4362">
        <w:rPr>
          <w:rFonts w:eastAsia="Calibri"/>
          <w:szCs w:val="24"/>
        </w:rPr>
        <w:t xml:space="preserve">the </w:t>
      </w:r>
      <w:bookmarkStart w:id="837" w:name="_Hlk117014815"/>
      <w:r w:rsidRPr="003B4362">
        <w:rPr>
          <w:rFonts w:eastAsia="Calibri"/>
          <w:szCs w:val="24"/>
        </w:rPr>
        <w:t>copper action level</w:t>
      </w:r>
      <w:bookmarkEnd w:id="837"/>
      <w:r w:rsidRPr="003B4362">
        <w:rPr>
          <w:rFonts w:eastAsia="Calibri"/>
          <w:szCs w:val="24"/>
        </w:rPr>
        <w:t xml:space="preserve"> </w:t>
      </w:r>
      <w:r w:rsidR="00E656F3" w:rsidRPr="003B4362">
        <w:rPr>
          <w:rFonts w:eastAsia="Calibri"/>
          <w:szCs w:val="24"/>
        </w:rPr>
        <w:t>must</w:t>
      </w:r>
      <w:r w:rsidRPr="003B4362">
        <w:rPr>
          <w:rFonts w:eastAsia="Calibri"/>
          <w:szCs w:val="24"/>
        </w:rPr>
        <w:t xml:space="preserve"> complete the corrosion control treatment steps</w:t>
      </w:r>
      <w:r w:rsidR="00E656F3" w:rsidRPr="003B4362">
        <w:rPr>
          <w:szCs w:val="24"/>
        </w:rPr>
        <w:t xml:space="preserve"> </w:t>
      </w:r>
      <w:r w:rsidRPr="003B4362">
        <w:rPr>
          <w:rFonts w:eastAsia="Calibri"/>
          <w:szCs w:val="24"/>
        </w:rPr>
        <w:t xml:space="preserve">subsection (d) </w:t>
      </w:r>
      <w:r w:rsidR="00E656F3" w:rsidRPr="003B4362">
        <w:rPr>
          <w:rFonts w:eastAsia="Calibri"/>
          <w:szCs w:val="24"/>
        </w:rPr>
        <w:t>specifies</w:t>
      </w:r>
      <w:r w:rsidRPr="003B4362">
        <w:rPr>
          <w:rFonts w:eastAsia="Calibri"/>
          <w:szCs w:val="24"/>
        </w:rPr>
        <w:t>.</w:t>
      </w:r>
    </w:p>
    <w:p w14:paraId="533298FC" w14:textId="21B09770" w:rsidR="009B4457" w:rsidRPr="003B4362" w:rsidRDefault="009B4457" w:rsidP="009B445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r w:rsidR="002E6F24" w:rsidRPr="003B4362">
        <w:rPr>
          <w:rFonts w:eastAsia="Calibri"/>
          <w:szCs w:val="24"/>
        </w:rPr>
        <w:t>A m</w:t>
      </w:r>
      <w:r w:rsidR="002E1284" w:rsidRPr="003B4362">
        <w:rPr>
          <w:rFonts w:eastAsia="Calibri"/>
          <w:szCs w:val="24"/>
        </w:rPr>
        <w:t>id</w:t>
      </w:r>
      <w:r w:rsidRPr="003B4362">
        <w:rPr>
          <w:rFonts w:eastAsia="Calibri"/>
          <w:szCs w:val="24"/>
        </w:rPr>
        <w:t>-size</w:t>
      </w:r>
      <w:r w:rsidR="00243161" w:rsidRPr="003B4362">
        <w:rPr>
          <w:rFonts w:eastAsia="Calibri"/>
          <w:szCs w:val="24"/>
        </w:rPr>
        <w:t>d</w:t>
      </w:r>
      <w:r w:rsidR="002E6F24" w:rsidRPr="003B4362">
        <w:rPr>
          <w:szCs w:val="24"/>
        </w:rPr>
        <w:t xml:space="preserve"> supplier not applying</w:t>
      </w:r>
      <w:r w:rsidRPr="003B4362">
        <w:rPr>
          <w:rFonts w:eastAsia="Calibri"/>
          <w:szCs w:val="24"/>
        </w:rPr>
        <w:t xml:space="preserve"> corrosion control treatment </w:t>
      </w:r>
      <w:r w:rsidR="00534C5B" w:rsidRPr="003B4362">
        <w:rPr>
          <w:rFonts w:eastAsia="Calibri"/>
          <w:szCs w:val="24"/>
        </w:rPr>
        <w:t>that exceeds</w:t>
      </w:r>
      <w:r w:rsidRPr="003B4362">
        <w:rPr>
          <w:rFonts w:eastAsia="Calibri"/>
          <w:szCs w:val="24"/>
        </w:rPr>
        <w:t xml:space="preserve"> either the lead or copper action level </w:t>
      </w:r>
      <w:r w:rsidR="002E6F24" w:rsidRPr="003B4362">
        <w:rPr>
          <w:rFonts w:eastAsia="Calibri"/>
          <w:szCs w:val="24"/>
        </w:rPr>
        <w:t>must</w:t>
      </w:r>
      <w:r w:rsidRPr="003B4362">
        <w:rPr>
          <w:rFonts w:eastAsia="Calibri"/>
          <w:szCs w:val="24"/>
        </w:rPr>
        <w:t xml:space="preserve"> complete the corrosion control treatment steps</w:t>
      </w:r>
      <w:r w:rsidR="002E6F24" w:rsidRPr="003B4362">
        <w:rPr>
          <w:szCs w:val="24"/>
        </w:rPr>
        <w:t xml:space="preserve"> </w:t>
      </w:r>
      <w:r w:rsidR="002E6F24" w:rsidRPr="003B4362">
        <w:rPr>
          <w:rFonts w:eastAsia="Calibri"/>
          <w:szCs w:val="24"/>
        </w:rPr>
        <w:t>subsection (</w:t>
      </w:r>
      <w:r w:rsidR="00166F58" w:rsidRPr="003B4362">
        <w:rPr>
          <w:rFonts w:eastAsia="Calibri"/>
          <w:szCs w:val="24"/>
        </w:rPr>
        <w:t>e</w:t>
      </w:r>
      <w:r w:rsidR="002E6F24" w:rsidRPr="003B4362">
        <w:rPr>
          <w:rFonts w:eastAsia="Calibri"/>
          <w:szCs w:val="24"/>
        </w:rPr>
        <w:t>) specifies</w:t>
      </w:r>
      <w:r w:rsidRPr="003B4362">
        <w:rPr>
          <w:rFonts w:eastAsia="Calibri"/>
          <w:szCs w:val="24"/>
        </w:rPr>
        <w:t>.</w:t>
      </w:r>
    </w:p>
    <w:p w14:paraId="5723E006" w14:textId="52190F01" w:rsidR="009B4457" w:rsidRPr="003B4362" w:rsidRDefault="009B4457" w:rsidP="009B4457">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r>
      <w:r w:rsidR="002E6F24" w:rsidRPr="003B4362">
        <w:rPr>
          <w:rFonts w:eastAsia="Calibri"/>
          <w:szCs w:val="24"/>
        </w:rPr>
        <w:t>A m</w:t>
      </w:r>
      <w:r w:rsidR="002E1284" w:rsidRPr="003B4362">
        <w:rPr>
          <w:rFonts w:eastAsia="Calibri"/>
          <w:szCs w:val="24"/>
        </w:rPr>
        <w:t>id</w:t>
      </w:r>
      <w:r w:rsidRPr="003B4362">
        <w:rPr>
          <w:rFonts w:eastAsia="Calibri"/>
          <w:szCs w:val="24"/>
        </w:rPr>
        <w:t>-size</w:t>
      </w:r>
      <w:r w:rsidR="00243161" w:rsidRPr="003B4362">
        <w:rPr>
          <w:rFonts w:eastAsia="Calibri"/>
          <w:szCs w:val="24"/>
        </w:rPr>
        <w:t>d</w:t>
      </w:r>
      <w:r w:rsidR="002E6F24" w:rsidRPr="003B4362">
        <w:rPr>
          <w:szCs w:val="24"/>
        </w:rPr>
        <w:t xml:space="preserve"> supplier not applying</w:t>
      </w:r>
      <w:r w:rsidRPr="003B4362">
        <w:rPr>
          <w:rFonts w:eastAsia="Calibri"/>
          <w:szCs w:val="24"/>
        </w:rPr>
        <w:t xml:space="preserve"> corrosion control treatment </w:t>
      </w:r>
      <w:r w:rsidR="000A77B8" w:rsidRPr="003B4362">
        <w:rPr>
          <w:rFonts w:eastAsia="Calibri"/>
          <w:szCs w:val="24"/>
        </w:rPr>
        <w:t>that exceeds</w:t>
      </w:r>
      <w:r w:rsidRPr="003B4362">
        <w:rPr>
          <w:rFonts w:eastAsia="Calibri"/>
          <w:szCs w:val="24"/>
        </w:rPr>
        <w:t xml:space="preserve"> the lead trigger level but</w:t>
      </w:r>
      <w:r w:rsidR="002E6F24" w:rsidRPr="003B4362">
        <w:rPr>
          <w:szCs w:val="24"/>
        </w:rPr>
        <w:t xml:space="preserve"> </w:t>
      </w:r>
      <w:r w:rsidR="000A77B8" w:rsidRPr="003B4362">
        <w:rPr>
          <w:rFonts w:eastAsia="Calibri"/>
          <w:szCs w:val="24"/>
        </w:rPr>
        <w:t>does not exceed</w:t>
      </w:r>
      <w:r w:rsidRPr="003B4362">
        <w:rPr>
          <w:rFonts w:eastAsia="Calibri"/>
          <w:szCs w:val="24"/>
        </w:rPr>
        <w:t xml:space="preserve"> the </w:t>
      </w:r>
      <w:bookmarkStart w:id="838" w:name="_Hlk117015737"/>
      <w:r w:rsidRPr="003B4362">
        <w:rPr>
          <w:rFonts w:eastAsia="Calibri"/>
          <w:szCs w:val="24"/>
        </w:rPr>
        <w:t>lead or copper action level</w:t>
      </w:r>
      <w:bookmarkEnd w:id="838"/>
      <w:r w:rsidRPr="003B4362">
        <w:rPr>
          <w:rFonts w:eastAsia="Calibri"/>
          <w:szCs w:val="24"/>
        </w:rPr>
        <w:t xml:space="preserve"> </w:t>
      </w:r>
      <w:r w:rsidR="002E6F24" w:rsidRPr="003B4362">
        <w:rPr>
          <w:rFonts w:eastAsia="Calibri"/>
          <w:szCs w:val="24"/>
        </w:rPr>
        <w:t>must</w:t>
      </w:r>
      <w:r w:rsidRPr="003B4362">
        <w:rPr>
          <w:rFonts w:eastAsia="Calibri"/>
          <w:szCs w:val="24"/>
        </w:rPr>
        <w:t xml:space="preserve"> complete the </w:t>
      </w:r>
      <w:bookmarkStart w:id="839" w:name="_Hlk117016038"/>
      <w:r w:rsidRPr="003B4362">
        <w:rPr>
          <w:rFonts w:eastAsia="Calibri"/>
          <w:szCs w:val="24"/>
        </w:rPr>
        <w:t>treatment recommendation step</w:t>
      </w:r>
      <w:r w:rsidR="002E6F24" w:rsidRPr="003B4362">
        <w:rPr>
          <w:szCs w:val="24"/>
        </w:rPr>
        <w:t xml:space="preserve"> </w:t>
      </w:r>
      <w:r w:rsidRPr="003B4362">
        <w:rPr>
          <w:rFonts w:eastAsia="Calibri"/>
          <w:szCs w:val="24"/>
        </w:rPr>
        <w:t xml:space="preserve">subsection (e)(1) </w:t>
      </w:r>
      <w:r w:rsidR="002E6F24" w:rsidRPr="003B4362">
        <w:rPr>
          <w:rFonts w:eastAsia="Calibri"/>
          <w:szCs w:val="24"/>
        </w:rPr>
        <w:t>specifies</w:t>
      </w:r>
      <w:bookmarkEnd w:id="839"/>
      <w:r w:rsidRPr="003B4362">
        <w:rPr>
          <w:rFonts w:eastAsia="Calibri"/>
          <w:szCs w:val="24"/>
        </w:rPr>
        <w:t xml:space="preserve"> (Step 1).  The water system </w:t>
      </w:r>
      <w:r w:rsidR="003F7882" w:rsidRPr="003B4362">
        <w:rPr>
          <w:rFonts w:eastAsia="Calibri"/>
          <w:szCs w:val="24"/>
        </w:rPr>
        <w:t>must</w:t>
      </w:r>
      <w:r w:rsidRPr="003B4362">
        <w:rPr>
          <w:rFonts w:eastAsia="Calibri"/>
          <w:szCs w:val="24"/>
        </w:rPr>
        <w:t xml:space="preserve"> complete the remaining steps</w:t>
      </w:r>
      <w:r w:rsidR="003F7882" w:rsidRPr="003B4362">
        <w:rPr>
          <w:szCs w:val="24"/>
        </w:rPr>
        <w:t xml:space="preserve"> </w:t>
      </w:r>
      <w:r w:rsidRPr="003B4362">
        <w:rPr>
          <w:rFonts w:eastAsia="Calibri"/>
          <w:szCs w:val="24"/>
        </w:rPr>
        <w:t xml:space="preserve">subsection (e) </w:t>
      </w:r>
      <w:r w:rsidR="002E6F24" w:rsidRPr="003B4362">
        <w:rPr>
          <w:rFonts w:eastAsia="Calibri"/>
          <w:szCs w:val="24"/>
        </w:rPr>
        <w:t>specifies</w:t>
      </w:r>
      <w:r w:rsidRPr="003B4362">
        <w:rPr>
          <w:rFonts w:eastAsia="Calibri"/>
          <w:szCs w:val="24"/>
        </w:rPr>
        <w:t xml:space="preserve"> if </w:t>
      </w:r>
      <w:bookmarkStart w:id="840" w:name="_Hlk117016192"/>
      <w:r w:rsidR="003F7882" w:rsidRPr="003B4362">
        <w:rPr>
          <w:rFonts w:eastAsia="Calibri"/>
          <w:szCs w:val="24"/>
        </w:rPr>
        <w:t>the supplier</w:t>
      </w:r>
      <w:r w:rsidRPr="003B4362">
        <w:rPr>
          <w:rFonts w:eastAsia="Calibri"/>
          <w:szCs w:val="24"/>
        </w:rPr>
        <w:t xml:space="preserve"> subsequently exceeds</w:t>
      </w:r>
      <w:bookmarkEnd w:id="840"/>
      <w:r w:rsidRPr="003B4362">
        <w:rPr>
          <w:rFonts w:eastAsia="Calibri"/>
          <w:szCs w:val="24"/>
        </w:rPr>
        <w:t xml:space="preserve"> either the lead or copper action level.</w:t>
      </w:r>
    </w:p>
    <w:p w14:paraId="0B190E93" w14:textId="0AF39F42" w:rsidR="00AA65E8" w:rsidRPr="003B4362" w:rsidRDefault="00AA65E8" w:rsidP="00AA65E8">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r>
      <w:bookmarkStart w:id="841" w:name="_Hlk117016992"/>
      <w:r w:rsidRPr="003B4362">
        <w:rPr>
          <w:rFonts w:eastAsia="Calibri"/>
          <w:szCs w:val="24"/>
        </w:rPr>
        <w:t>Small</w:t>
      </w:r>
      <w:r w:rsidR="002E1284" w:rsidRPr="003B4362">
        <w:rPr>
          <w:rFonts w:eastAsia="Calibri"/>
          <w:szCs w:val="24"/>
        </w:rPr>
        <w:t xml:space="preserve"> </w:t>
      </w:r>
      <w:r w:rsidR="00653A97" w:rsidRPr="003B4362">
        <w:rPr>
          <w:rFonts w:eastAsia="Calibri"/>
          <w:szCs w:val="24"/>
        </w:rPr>
        <w:t xml:space="preserve">CWS </w:t>
      </w:r>
      <w:r w:rsidRPr="003B4362">
        <w:rPr>
          <w:rFonts w:eastAsia="Calibri"/>
          <w:szCs w:val="24"/>
        </w:rPr>
        <w:t xml:space="preserve">and </w:t>
      </w:r>
      <w:r w:rsidR="002B7713" w:rsidRPr="003B4362">
        <w:rPr>
          <w:rFonts w:eastAsia="Calibri"/>
          <w:szCs w:val="24"/>
        </w:rPr>
        <w:t>N</w:t>
      </w:r>
      <w:r w:rsidRPr="003B4362">
        <w:rPr>
          <w:rFonts w:eastAsia="Calibri"/>
          <w:szCs w:val="24"/>
        </w:rPr>
        <w:t>on-</w:t>
      </w:r>
      <w:r w:rsidR="002B7713" w:rsidRPr="003B4362">
        <w:rPr>
          <w:rFonts w:eastAsia="Calibri"/>
          <w:szCs w:val="24"/>
        </w:rPr>
        <w:t>T</w:t>
      </w:r>
      <w:r w:rsidRPr="003B4362">
        <w:rPr>
          <w:rFonts w:eastAsia="Calibri"/>
          <w:szCs w:val="24"/>
        </w:rPr>
        <w:t xml:space="preserve">ransient, </w:t>
      </w:r>
      <w:r w:rsidR="002B7713" w:rsidRPr="003B4362">
        <w:rPr>
          <w:rFonts w:eastAsia="Calibri"/>
          <w:szCs w:val="24"/>
        </w:rPr>
        <w:t>N</w:t>
      </w:r>
      <w:r w:rsidRPr="003B4362">
        <w:rPr>
          <w:rFonts w:eastAsia="Calibri"/>
          <w:szCs w:val="24"/>
        </w:rPr>
        <w:t>on</w:t>
      </w:r>
      <w:r w:rsidR="00044CAF" w:rsidRPr="003B4362">
        <w:rPr>
          <w:rFonts w:eastAsia="Calibri"/>
          <w:szCs w:val="24"/>
        </w:rPr>
        <w:t>-C</w:t>
      </w:r>
      <w:r w:rsidRPr="003B4362">
        <w:rPr>
          <w:rFonts w:eastAsia="Calibri"/>
          <w:szCs w:val="24"/>
        </w:rPr>
        <w:t xml:space="preserve">ommunity </w:t>
      </w:r>
      <w:r w:rsidR="002B7713" w:rsidRPr="003B4362">
        <w:rPr>
          <w:rFonts w:eastAsia="Calibri"/>
          <w:szCs w:val="24"/>
        </w:rPr>
        <w:t>W</w:t>
      </w:r>
      <w:r w:rsidRPr="003B4362">
        <w:rPr>
          <w:rFonts w:eastAsia="Calibri"/>
          <w:szCs w:val="24"/>
        </w:rPr>
        <w:t xml:space="preserve">ater </w:t>
      </w:r>
      <w:r w:rsidR="002B7713" w:rsidRPr="003B4362">
        <w:rPr>
          <w:rFonts w:eastAsia="Calibri"/>
          <w:szCs w:val="24"/>
        </w:rPr>
        <w:t>S</w:t>
      </w:r>
      <w:r w:rsidRPr="003B4362">
        <w:rPr>
          <w:rFonts w:eastAsia="Calibri"/>
          <w:szCs w:val="24"/>
        </w:rPr>
        <w:t>ystem</w:t>
      </w:r>
      <w:r w:rsidR="005C350B" w:rsidRPr="003B4362">
        <w:rPr>
          <w:rFonts w:eastAsia="Calibri"/>
          <w:szCs w:val="24"/>
        </w:rPr>
        <w:t xml:space="preserve"> Supplier</w:t>
      </w:r>
      <w:r w:rsidRPr="003B4362">
        <w:rPr>
          <w:rFonts w:eastAsia="Calibri"/>
          <w:szCs w:val="24"/>
        </w:rPr>
        <w:t>s</w:t>
      </w:r>
      <w:bookmarkEnd w:id="841"/>
    </w:p>
    <w:p w14:paraId="5B50CF01" w14:textId="68E1876E" w:rsidR="00AA65E8" w:rsidRPr="003B4362" w:rsidRDefault="00AA65E8" w:rsidP="00AA65E8">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r w:rsidR="002B7713" w:rsidRPr="003B4362">
        <w:rPr>
          <w:rFonts w:eastAsia="Calibri"/>
          <w:szCs w:val="24"/>
        </w:rPr>
        <w:t>A s</w:t>
      </w:r>
      <w:r w:rsidRPr="003B4362">
        <w:rPr>
          <w:rFonts w:eastAsia="Calibri"/>
          <w:szCs w:val="24"/>
        </w:rPr>
        <w:t>mall</w:t>
      </w:r>
      <w:r w:rsidR="002B7713" w:rsidRPr="003B4362">
        <w:rPr>
          <w:rFonts w:eastAsia="Calibri"/>
          <w:szCs w:val="24"/>
        </w:rPr>
        <w:t xml:space="preserve"> </w:t>
      </w:r>
      <w:r w:rsidR="00653A97" w:rsidRPr="003B4362">
        <w:rPr>
          <w:rFonts w:eastAsia="Calibri"/>
          <w:szCs w:val="24"/>
        </w:rPr>
        <w:t>CWS</w:t>
      </w:r>
      <w:r w:rsidRPr="003B4362">
        <w:rPr>
          <w:rFonts w:eastAsia="Calibri"/>
          <w:szCs w:val="24"/>
        </w:rPr>
        <w:t xml:space="preserve"> </w:t>
      </w:r>
      <w:r w:rsidR="002B7713" w:rsidRPr="003B4362">
        <w:rPr>
          <w:rFonts w:eastAsia="Calibri"/>
          <w:szCs w:val="24"/>
        </w:rPr>
        <w:t>or</w:t>
      </w:r>
      <w:r w:rsidRPr="003B4362">
        <w:rPr>
          <w:rFonts w:eastAsia="Calibri"/>
          <w:szCs w:val="24"/>
        </w:rPr>
        <w:t xml:space="preserve"> </w:t>
      </w:r>
      <w:r w:rsidR="00044CAF" w:rsidRPr="003B4362">
        <w:rPr>
          <w:rFonts w:eastAsia="Calibri"/>
          <w:szCs w:val="24"/>
        </w:rPr>
        <w:t>NTNCWS</w:t>
      </w:r>
      <w:r w:rsidR="00357BEA" w:rsidRPr="003B4362">
        <w:rPr>
          <w:rFonts w:eastAsia="Calibri"/>
          <w:szCs w:val="24"/>
        </w:rPr>
        <w:t xml:space="preserve"> supplier applying</w:t>
      </w:r>
      <w:r w:rsidRPr="003B4362">
        <w:rPr>
          <w:rFonts w:eastAsia="Calibri"/>
          <w:szCs w:val="24"/>
        </w:rPr>
        <w:t xml:space="preserve"> corrosion control treatment </w:t>
      </w:r>
      <w:r w:rsidR="000167FA" w:rsidRPr="003B4362">
        <w:rPr>
          <w:rFonts w:eastAsia="Calibri"/>
          <w:szCs w:val="24"/>
        </w:rPr>
        <w:t>that exceeds</w:t>
      </w:r>
      <w:r w:rsidRPr="003B4362">
        <w:rPr>
          <w:rFonts w:eastAsia="Calibri"/>
          <w:szCs w:val="24"/>
        </w:rPr>
        <w:t xml:space="preserve"> the lead trigger level or the lead action level </w:t>
      </w:r>
      <w:r w:rsidR="000167FA" w:rsidRPr="003B4362">
        <w:rPr>
          <w:rFonts w:eastAsia="Calibri"/>
          <w:szCs w:val="24"/>
        </w:rPr>
        <w:t>but does not exceed</w:t>
      </w:r>
      <w:r w:rsidRPr="003B4362">
        <w:rPr>
          <w:rFonts w:eastAsia="Calibri"/>
          <w:szCs w:val="24"/>
        </w:rPr>
        <w:t xml:space="preserve"> the copper action level </w:t>
      </w:r>
      <w:r w:rsidR="00357BEA" w:rsidRPr="003B4362">
        <w:rPr>
          <w:rFonts w:eastAsia="Calibri"/>
          <w:szCs w:val="24"/>
        </w:rPr>
        <w:t>must</w:t>
      </w:r>
      <w:r w:rsidRPr="003B4362">
        <w:rPr>
          <w:rFonts w:eastAsia="Calibri"/>
          <w:szCs w:val="24"/>
        </w:rPr>
        <w:t xml:space="preserve"> complete the corrosion control treatment steps</w:t>
      </w:r>
      <w:r w:rsidR="00357BEA" w:rsidRPr="003B4362">
        <w:rPr>
          <w:rFonts w:eastAsia="Calibri"/>
          <w:szCs w:val="24"/>
        </w:rPr>
        <w:t xml:space="preserve"> </w:t>
      </w:r>
      <w:r w:rsidRPr="003B4362">
        <w:rPr>
          <w:rFonts w:eastAsia="Calibri"/>
          <w:szCs w:val="24"/>
        </w:rPr>
        <w:t xml:space="preserve">subsection (d) </w:t>
      </w:r>
      <w:r w:rsidR="00357BEA" w:rsidRPr="003B4362">
        <w:rPr>
          <w:rFonts w:eastAsia="Calibri"/>
          <w:szCs w:val="24"/>
        </w:rPr>
        <w:t>specifies</w:t>
      </w:r>
      <w:r w:rsidRPr="003B4362">
        <w:rPr>
          <w:rFonts w:eastAsia="Calibri"/>
          <w:szCs w:val="24"/>
        </w:rPr>
        <w:t xml:space="preserve"> if </w:t>
      </w:r>
      <w:r w:rsidR="00357BEA" w:rsidRPr="003B4362">
        <w:rPr>
          <w:rFonts w:eastAsia="Calibri"/>
          <w:szCs w:val="24"/>
        </w:rPr>
        <w:t xml:space="preserve">the Agency issues a SEP approving </w:t>
      </w:r>
      <w:r w:rsidRPr="003B4362">
        <w:rPr>
          <w:rFonts w:eastAsia="Calibri"/>
          <w:szCs w:val="24"/>
        </w:rPr>
        <w:t>corrosion control treatment</w:t>
      </w:r>
      <w:r w:rsidR="00357BEA" w:rsidRPr="003B4362">
        <w:rPr>
          <w:rFonts w:eastAsia="Calibri"/>
          <w:szCs w:val="24"/>
        </w:rPr>
        <w:t xml:space="preserve"> </w:t>
      </w:r>
      <w:r w:rsidRPr="003B4362">
        <w:rPr>
          <w:rFonts w:eastAsia="Calibri"/>
          <w:szCs w:val="24"/>
        </w:rPr>
        <w:t xml:space="preserve">as a compliance option under Section </w:t>
      </w:r>
      <w:r w:rsidR="009705AB" w:rsidRPr="003B4362">
        <w:rPr>
          <w:szCs w:val="24"/>
        </w:rPr>
        <w:t>611.36</w:t>
      </w:r>
      <w:r w:rsidRPr="003B4362">
        <w:rPr>
          <w:rFonts w:eastAsia="Calibri"/>
          <w:szCs w:val="24"/>
        </w:rPr>
        <w:t>3(a).</w:t>
      </w:r>
    </w:p>
    <w:p w14:paraId="46223CA5" w14:textId="2F157615" w:rsidR="00AA65E8" w:rsidRPr="003B4362" w:rsidRDefault="00AA65E8" w:rsidP="00AA65E8">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r w:rsidR="009705AB" w:rsidRPr="003B4362">
        <w:rPr>
          <w:rFonts w:eastAsia="Calibri"/>
          <w:szCs w:val="24"/>
        </w:rPr>
        <w:t xml:space="preserve">A small </w:t>
      </w:r>
      <w:r w:rsidR="00653A97" w:rsidRPr="003B4362">
        <w:rPr>
          <w:rFonts w:eastAsia="Calibri"/>
          <w:szCs w:val="24"/>
        </w:rPr>
        <w:t>CWS</w:t>
      </w:r>
      <w:r w:rsidR="009705AB" w:rsidRPr="003B4362">
        <w:rPr>
          <w:rFonts w:eastAsia="Calibri"/>
          <w:szCs w:val="24"/>
        </w:rPr>
        <w:t xml:space="preserve"> or </w:t>
      </w:r>
      <w:r w:rsidR="00044CAF" w:rsidRPr="003B4362">
        <w:rPr>
          <w:rFonts w:eastAsia="Calibri"/>
          <w:szCs w:val="24"/>
        </w:rPr>
        <w:t>NTNCWS</w:t>
      </w:r>
      <w:r w:rsidR="009705AB" w:rsidRPr="003B4362">
        <w:rPr>
          <w:rFonts w:eastAsia="Calibri"/>
          <w:szCs w:val="24"/>
        </w:rPr>
        <w:t xml:space="preserve"> supplier applying</w:t>
      </w:r>
      <w:r w:rsidRPr="003B4362">
        <w:rPr>
          <w:rFonts w:eastAsia="Calibri"/>
          <w:szCs w:val="24"/>
        </w:rPr>
        <w:t xml:space="preserve"> corrosion control treatment </w:t>
      </w:r>
      <w:r w:rsidR="00436FA3" w:rsidRPr="003B4362">
        <w:rPr>
          <w:rFonts w:eastAsia="Calibri"/>
          <w:szCs w:val="24"/>
        </w:rPr>
        <w:t>that exceeds</w:t>
      </w:r>
      <w:r w:rsidRPr="003B4362">
        <w:rPr>
          <w:rFonts w:eastAsia="Calibri"/>
          <w:szCs w:val="24"/>
        </w:rPr>
        <w:t xml:space="preserve"> the copper action level </w:t>
      </w:r>
      <w:r w:rsidR="009705AB" w:rsidRPr="003B4362">
        <w:rPr>
          <w:rFonts w:eastAsia="Calibri"/>
          <w:szCs w:val="24"/>
        </w:rPr>
        <w:t>must</w:t>
      </w:r>
      <w:r w:rsidRPr="003B4362">
        <w:rPr>
          <w:rFonts w:eastAsia="Calibri"/>
          <w:szCs w:val="24"/>
        </w:rPr>
        <w:t xml:space="preserve"> complete the corrosion control treatment steps</w:t>
      </w:r>
      <w:r w:rsidR="00D06E64" w:rsidRPr="003B4362">
        <w:rPr>
          <w:szCs w:val="24"/>
        </w:rPr>
        <w:t xml:space="preserve"> </w:t>
      </w:r>
      <w:r w:rsidRPr="003B4362">
        <w:rPr>
          <w:rFonts w:eastAsia="Calibri"/>
          <w:szCs w:val="24"/>
        </w:rPr>
        <w:t xml:space="preserve">subsection (d) </w:t>
      </w:r>
      <w:r w:rsidR="00D06E64" w:rsidRPr="003B4362">
        <w:rPr>
          <w:rFonts w:eastAsia="Calibri"/>
          <w:szCs w:val="24"/>
        </w:rPr>
        <w:t>specifies</w:t>
      </w:r>
      <w:r w:rsidRPr="003B4362">
        <w:rPr>
          <w:rFonts w:eastAsia="Calibri"/>
          <w:szCs w:val="24"/>
        </w:rPr>
        <w:t>.</w:t>
      </w:r>
    </w:p>
    <w:p w14:paraId="2A7D5345" w14:textId="655FC56A" w:rsidR="00AA65E8" w:rsidRPr="003B4362" w:rsidRDefault="00AA65E8" w:rsidP="00AA65E8">
      <w:pPr>
        <w:autoSpaceDE w:val="0"/>
        <w:autoSpaceDN w:val="0"/>
        <w:adjustRightInd w:val="0"/>
        <w:spacing w:before="240" w:after="240"/>
        <w:ind w:left="2880" w:hanging="720"/>
        <w:rPr>
          <w:rFonts w:eastAsia="Calibri"/>
          <w:szCs w:val="24"/>
        </w:rPr>
      </w:pPr>
      <w:r w:rsidRPr="003B4362">
        <w:rPr>
          <w:rFonts w:eastAsia="Calibri"/>
          <w:szCs w:val="24"/>
        </w:rPr>
        <w:lastRenderedPageBreak/>
        <w:t>C)</w:t>
      </w:r>
      <w:r w:rsidRPr="003B4362">
        <w:rPr>
          <w:rFonts w:eastAsia="Calibri"/>
          <w:szCs w:val="24"/>
        </w:rPr>
        <w:tab/>
      </w:r>
      <w:r w:rsidR="00E5268D" w:rsidRPr="003B4362">
        <w:rPr>
          <w:rFonts w:eastAsia="Calibri"/>
          <w:szCs w:val="24"/>
        </w:rPr>
        <w:t xml:space="preserve">A small </w:t>
      </w:r>
      <w:r w:rsidR="00653A97" w:rsidRPr="003B4362">
        <w:rPr>
          <w:rFonts w:eastAsia="Calibri"/>
          <w:szCs w:val="24"/>
        </w:rPr>
        <w:t>CWS</w:t>
      </w:r>
      <w:r w:rsidR="00E5268D" w:rsidRPr="003B4362">
        <w:rPr>
          <w:rFonts w:eastAsia="Calibri"/>
          <w:szCs w:val="24"/>
        </w:rPr>
        <w:t xml:space="preserve"> or </w:t>
      </w:r>
      <w:r w:rsidR="00044CAF" w:rsidRPr="003B4362">
        <w:rPr>
          <w:rFonts w:eastAsia="Calibri"/>
          <w:szCs w:val="24"/>
        </w:rPr>
        <w:t>NTNCWS</w:t>
      </w:r>
      <w:r w:rsidR="00E5268D" w:rsidRPr="003B4362">
        <w:rPr>
          <w:rFonts w:eastAsia="Calibri"/>
          <w:szCs w:val="24"/>
        </w:rPr>
        <w:t xml:space="preserve"> supplier </w:t>
      </w:r>
      <w:r w:rsidR="00DE7B78" w:rsidRPr="003B4362">
        <w:rPr>
          <w:rFonts w:eastAsia="Calibri"/>
          <w:szCs w:val="24"/>
        </w:rPr>
        <w:t xml:space="preserve">not </w:t>
      </w:r>
      <w:r w:rsidR="00E5268D" w:rsidRPr="003B4362">
        <w:rPr>
          <w:rFonts w:eastAsia="Calibri"/>
          <w:szCs w:val="24"/>
        </w:rPr>
        <w:t>applying</w:t>
      </w:r>
      <w:r w:rsidRPr="003B4362">
        <w:rPr>
          <w:rFonts w:eastAsia="Calibri"/>
          <w:szCs w:val="24"/>
        </w:rPr>
        <w:t xml:space="preserve"> corrosion control treatment </w:t>
      </w:r>
      <w:r w:rsidR="006A5375" w:rsidRPr="003B4362">
        <w:rPr>
          <w:rFonts w:eastAsia="Calibri"/>
          <w:szCs w:val="24"/>
        </w:rPr>
        <w:t>that exceeds</w:t>
      </w:r>
      <w:r w:rsidRPr="003B4362">
        <w:rPr>
          <w:rFonts w:eastAsia="Calibri"/>
          <w:szCs w:val="24"/>
        </w:rPr>
        <w:t xml:space="preserve"> the lead action level </w:t>
      </w:r>
      <w:r w:rsidR="00D06E64" w:rsidRPr="003B4362">
        <w:rPr>
          <w:rFonts w:eastAsia="Calibri"/>
          <w:szCs w:val="24"/>
        </w:rPr>
        <w:t>must</w:t>
      </w:r>
      <w:r w:rsidRPr="003B4362">
        <w:rPr>
          <w:rFonts w:eastAsia="Calibri"/>
          <w:szCs w:val="24"/>
        </w:rPr>
        <w:t xml:space="preserve"> complete the corrosion control treatment steps</w:t>
      </w:r>
      <w:r w:rsidR="00D06E64" w:rsidRPr="003B4362">
        <w:rPr>
          <w:szCs w:val="24"/>
        </w:rPr>
        <w:t xml:space="preserve"> </w:t>
      </w:r>
      <w:r w:rsidRPr="003B4362">
        <w:rPr>
          <w:rFonts w:eastAsia="Calibri"/>
          <w:szCs w:val="24"/>
        </w:rPr>
        <w:t xml:space="preserve">subsection (e) </w:t>
      </w:r>
      <w:r w:rsidR="00D06E64" w:rsidRPr="003B4362">
        <w:rPr>
          <w:rFonts w:eastAsia="Calibri"/>
          <w:szCs w:val="24"/>
        </w:rPr>
        <w:t>specifies</w:t>
      </w:r>
      <w:r w:rsidRPr="003B4362">
        <w:rPr>
          <w:rFonts w:eastAsia="Calibri"/>
          <w:szCs w:val="24"/>
        </w:rPr>
        <w:t xml:space="preserve"> if </w:t>
      </w:r>
      <w:r w:rsidR="00D06E64" w:rsidRPr="003B4362">
        <w:rPr>
          <w:rFonts w:eastAsia="Calibri"/>
          <w:szCs w:val="24"/>
        </w:rPr>
        <w:t xml:space="preserve">the Agency issues a SEP approving </w:t>
      </w:r>
      <w:r w:rsidRPr="003B4362">
        <w:rPr>
          <w:rFonts w:eastAsia="Calibri"/>
          <w:szCs w:val="24"/>
        </w:rPr>
        <w:t>corrosion control treatment</w:t>
      </w:r>
      <w:r w:rsidR="00D06E64" w:rsidRPr="003B4362">
        <w:rPr>
          <w:rFonts w:eastAsia="Calibri"/>
          <w:szCs w:val="24"/>
        </w:rPr>
        <w:t xml:space="preserve"> </w:t>
      </w:r>
      <w:r w:rsidRPr="003B4362">
        <w:rPr>
          <w:rFonts w:eastAsia="Calibri"/>
          <w:szCs w:val="24"/>
        </w:rPr>
        <w:t xml:space="preserve">as a compliance option under Section </w:t>
      </w:r>
      <w:r w:rsidR="009705AB" w:rsidRPr="003B4362">
        <w:rPr>
          <w:szCs w:val="24"/>
        </w:rPr>
        <w:t>611.36</w:t>
      </w:r>
      <w:r w:rsidRPr="003B4362">
        <w:rPr>
          <w:rFonts w:eastAsia="Calibri"/>
          <w:szCs w:val="24"/>
        </w:rPr>
        <w:t>3.</w:t>
      </w:r>
    </w:p>
    <w:p w14:paraId="24F042ED" w14:textId="26255FC8" w:rsidR="00AA65E8" w:rsidRPr="003B4362" w:rsidRDefault="00AA65E8" w:rsidP="00AA65E8">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r>
      <w:r w:rsidR="00DE7B78" w:rsidRPr="003B4362">
        <w:rPr>
          <w:rFonts w:eastAsia="Calibri"/>
          <w:szCs w:val="24"/>
        </w:rPr>
        <w:t xml:space="preserve">A small </w:t>
      </w:r>
      <w:r w:rsidR="00653A97" w:rsidRPr="003B4362">
        <w:rPr>
          <w:rFonts w:eastAsia="Calibri"/>
          <w:szCs w:val="24"/>
        </w:rPr>
        <w:t>CWS</w:t>
      </w:r>
      <w:r w:rsidR="00DE7B78" w:rsidRPr="003B4362">
        <w:rPr>
          <w:rFonts w:eastAsia="Calibri"/>
          <w:szCs w:val="24"/>
        </w:rPr>
        <w:t xml:space="preserve"> or </w:t>
      </w:r>
      <w:r w:rsidR="00044CAF" w:rsidRPr="003B4362">
        <w:rPr>
          <w:rFonts w:eastAsia="Calibri"/>
          <w:szCs w:val="24"/>
        </w:rPr>
        <w:t>NTNCWS</w:t>
      </w:r>
      <w:r w:rsidR="00DE7B78" w:rsidRPr="003B4362">
        <w:rPr>
          <w:rFonts w:eastAsia="Calibri"/>
          <w:szCs w:val="24"/>
        </w:rPr>
        <w:t xml:space="preserve"> supplier not applying</w:t>
      </w:r>
      <w:r w:rsidRPr="003B4362">
        <w:rPr>
          <w:rFonts w:eastAsia="Calibri"/>
          <w:szCs w:val="24"/>
        </w:rPr>
        <w:t xml:space="preserve"> corrosion control treatment </w:t>
      </w:r>
      <w:r w:rsidR="006A5375" w:rsidRPr="003B4362">
        <w:rPr>
          <w:rFonts w:eastAsia="Calibri"/>
          <w:szCs w:val="24"/>
        </w:rPr>
        <w:t>that exceeds</w:t>
      </w:r>
      <w:r w:rsidRPr="003B4362">
        <w:rPr>
          <w:rFonts w:eastAsia="Calibri"/>
          <w:szCs w:val="24"/>
        </w:rPr>
        <w:t xml:space="preserve"> the copper action level </w:t>
      </w:r>
      <w:r w:rsidR="00D06E64" w:rsidRPr="003B4362">
        <w:rPr>
          <w:rFonts w:eastAsia="Calibri"/>
          <w:szCs w:val="24"/>
        </w:rPr>
        <w:t>must</w:t>
      </w:r>
      <w:r w:rsidRPr="003B4362">
        <w:rPr>
          <w:rFonts w:eastAsia="Calibri"/>
          <w:szCs w:val="24"/>
        </w:rPr>
        <w:t xml:space="preserve"> complete the corrosion control treatment steps</w:t>
      </w:r>
      <w:r w:rsidR="001E7CD4" w:rsidRPr="003B4362">
        <w:rPr>
          <w:rFonts w:eastAsia="Calibri"/>
          <w:szCs w:val="24"/>
        </w:rPr>
        <w:t xml:space="preserve"> </w:t>
      </w:r>
      <w:r w:rsidRPr="003B4362">
        <w:rPr>
          <w:rFonts w:eastAsia="Calibri"/>
          <w:szCs w:val="24"/>
        </w:rPr>
        <w:t xml:space="preserve">subsection (e) </w:t>
      </w:r>
      <w:r w:rsidR="001E7CD4" w:rsidRPr="003B4362">
        <w:rPr>
          <w:rFonts w:eastAsia="Calibri"/>
          <w:szCs w:val="24"/>
        </w:rPr>
        <w:t>specifies</w:t>
      </w:r>
      <w:r w:rsidRPr="003B4362">
        <w:rPr>
          <w:rFonts w:eastAsia="Calibri"/>
          <w:szCs w:val="24"/>
        </w:rPr>
        <w:t>.</w:t>
      </w:r>
    </w:p>
    <w:p w14:paraId="1FD59DE6" w14:textId="6B1BF288" w:rsidR="005451CE" w:rsidRPr="003B4362" w:rsidRDefault="005451CE" w:rsidP="005451CE">
      <w:pPr>
        <w:spacing w:before="240" w:after="240"/>
        <w:ind w:left="1440" w:hanging="720"/>
        <w:rPr>
          <w:rFonts w:eastAsia="Calibri"/>
        </w:rPr>
      </w:pPr>
      <w:r w:rsidRPr="003B4362">
        <w:rPr>
          <w:rFonts w:eastAsia="Calibri"/>
        </w:rPr>
        <w:t>b)</w:t>
      </w:r>
      <w:r w:rsidRPr="003B4362">
        <w:rPr>
          <w:rFonts w:eastAsia="Calibri"/>
        </w:rPr>
        <w:tab/>
      </w:r>
      <w:bookmarkStart w:id="842" w:name="_Hlk117023276"/>
      <w:r w:rsidRPr="003B4362">
        <w:rPr>
          <w:rFonts w:eastAsia="Calibri"/>
        </w:rPr>
        <w:t>Suppliers Deemed to Have Optimized Corrosion Control</w:t>
      </w:r>
      <w:bookmarkEnd w:id="842"/>
      <w:r w:rsidRPr="003B4362">
        <w:rPr>
          <w:rFonts w:eastAsia="Calibri"/>
        </w:rPr>
        <w:t>.  S</w:t>
      </w:r>
      <w:bookmarkStart w:id="843" w:name="_Hlk114081411"/>
      <w:r w:rsidRPr="003B4362">
        <w:rPr>
          <w:rFonts w:eastAsia="Calibri"/>
        </w:rPr>
        <w:t xml:space="preserve">ubsection (b)(1), (b)(2), or (b)(3) deems a supplier to have </w:t>
      </w:r>
      <w:r w:rsidR="00872FA2" w:rsidRPr="003B4362">
        <w:rPr>
          <w:szCs w:val="24"/>
        </w:rPr>
        <w:t>OCCT</w:t>
      </w:r>
      <w:r w:rsidR="001E7CD4" w:rsidRPr="003B4362">
        <w:rPr>
          <w:szCs w:val="24"/>
        </w:rPr>
        <w:t xml:space="preserve"> </w:t>
      </w:r>
      <w:r w:rsidR="008269A7" w:rsidRPr="003B4362">
        <w:rPr>
          <w:rFonts w:eastAsia="Calibri"/>
        </w:rPr>
        <w:t xml:space="preserve">or re-optimized OCCT if the supplier satisfies </w:t>
      </w:r>
      <w:r w:rsidR="00CE6149" w:rsidRPr="003B4362">
        <w:rPr>
          <w:rFonts w:eastAsia="Calibri"/>
        </w:rPr>
        <w:t xml:space="preserve">one of </w:t>
      </w:r>
      <w:r w:rsidR="008269A7" w:rsidRPr="003B4362">
        <w:rPr>
          <w:rFonts w:eastAsia="Calibri"/>
        </w:rPr>
        <w:t xml:space="preserve">the </w:t>
      </w:r>
      <w:r w:rsidR="00CE6149" w:rsidRPr="003B4362">
        <w:rPr>
          <w:rFonts w:eastAsia="Calibri"/>
        </w:rPr>
        <w:t xml:space="preserve">criteria specified in </w:t>
      </w:r>
      <w:r w:rsidR="008269A7" w:rsidRPr="003B4362">
        <w:rPr>
          <w:rFonts w:eastAsia="Calibri"/>
        </w:rPr>
        <w:t xml:space="preserve">the subsection </w:t>
      </w:r>
      <w:bookmarkEnd w:id="843"/>
      <w:r w:rsidRPr="003B4362">
        <w:rPr>
          <w:rFonts w:eastAsia="Calibri"/>
        </w:rPr>
        <w:t>.  A</w:t>
      </w:r>
      <w:bookmarkStart w:id="844" w:name="_Hlk114081945"/>
      <w:r w:rsidRPr="003B4362">
        <w:rPr>
          <w:rFonts w:eastAsia="Calibri"/>
        </w:rPr>
        <w:t xml:space="preserve">ny system subsection (b)(1), (b)(2), or (b)(3) deems to have </w:t>
      </w:r>
      <w:r w:rsidR="000B791C" w:rsidRPr="003B4362">
        <w:rPr>
          <w:rFonts w:eastAsia="Calibri"/>
        </w:rPr>
        <w:t xml:space="preserve">OCCT </w:t>
      </w:r>
      <w:r w:rsidRPr="003B4362">
        <w:rPr>
          <w:rFonts w:eastAsia="Calibri"/>
        </w:rPr>
        <w:t xml:space="preserve">having </w:t>
      </w:r>
      <w:r w:rsidR="008269A7" w:rsidRPr="003B4362">
        <w:rPr>
          <w:szCs w:val="24"/>
        </w:rPr>
        <w:t xml:space="preserve">corrosion control </w:t>
      </w:r>
      <w:r w:rsidRPr="003B4362">
        <w:rPr>
          <w:rFonts w:eastAsia="Calibri"/>
        </w:rPr>
        <w:t xml:space="preserve">treatment in place must continue operating and maintaining </w:t>
      </w:r>
      <w:r w:rsidR="00FA5166" w:rsidRPr="003B4362">
        <w:rPr>
          <w:szCs w:val="24"/>
        </w:rPr>
        <w:t xml:space="preserve">that </w:t>
      </w:r>
      <w:r w:rsidRPr="003B4362">
        <w:rPr>
          <w:rFonts w:eastAsia="Calibri"/>
        </w:rPr>
        <w:t>treatment</w:t>
      </w:r>
      <w:bookmarkEnd w:id="844"/>
      <w:r w:rsidRPr="003B4362">
        <w:rPr>
          <w:rFonts w:eastAsia="Calibri"/>
        </w:rPr>
        <w:t xml:space="preserve"> and </w:t>
      </w:r>
      <w:bookmarkStart w:id="845" w:name="_Hlk114082113"/>
      <w:r w:rsidRPr="003B4362">
        <w:rPr>
          <w:rFonts w:eastAsia="Calibri"/>
        </w:rPr>
        <w:t xml:space="preserve">meeting any </w:t>
      </w:r>
      <w:r w:rsidR="00FA5166" w:rsidRPr="003B4362">
        <w:rPr>
          <w:szCs w:val="24"/>
        </w:rPr>
        <w:t xml:space="preserve">additional </w:t>
      </w:r>
      <w:r w:rsidRPr="003B4362">
        <w:rPr>
          <w:rFonts w:eastAsia="Calibri"/>
        </w:rPr>
        <w:t>requirements the Agency determines are appropriate to ensure</w:t>
      </w:r>
      <w:r w:rsidR="00FA5166" w:rsidRPr="003B4362">
        <w:rPr>
          <w:rFonts w:eastAsia="Calibri"/>
        </w:rPr>
        <w:t xml:space="preserve"> </w:t>
      </w:r>
      <w:r w:rsidRPr="003B4362">
        <w:rPr>
          <w:rFonts w:eastAsia="Calibri"/>
        </w:rPr>
        <w:t xml:space="preserve">that the supplier maintains </w:t>
      </w:r>
      <w:r w:rsidR="00FA5166" w:rsidRPr="003B4362">
        <w:rPr>
          <w:rFonts w:eastAsia="Calibri"/>
        </w:rPr>
        <w:t>OCCT</w:t>
      </w:r>
      <w:bookmarkEnd w:id="845"/>
      <w:r w:rsidRPr="003B4362">
        <w:rPr>
          <w:rFonts w:eastAsia="Calibri"/>
        </w:rPr>
        <w:t>.</w:t>
      </w:r>
    </w:p>
    <w:p w14:paraId="209EBF37" w14:textId="3AEED7D5" w:rsidR="005451CE" w:rsidRPr="003B4362" w:rsidRDefault="00AB7134" w:rsidP="005451CE">
      <w:pPr>
        <w:spacing w:before="240" w:after="240"/>
        <w:ind w:left="2160" w:hanging="720"/>
        <w:rPr>
          <w:rFonts w:eastAsia="Calibri"/>
        </w:rPr>
      </w:pPr>
      <w:r w:rsidRPr="003B4362">
        <w:rPr>
          <w:szCs w:val="24"/>
        </w:rPr>
        <w:t>1)</w:t>
      </w:r>
      <w:r w:rsidRPr="003B4362">
        <w:rPr>
          <w:szCs w:val="24"/>
        </w:rPr>
        <w:tab/>
      </w:r>
      <w:r w:rsidR="001A4B3E" w:rsidRPr="003B4362">
        <w:rPr>
          <w:rFonts w:eastAsia="Calibri"/>
        </w:rPr>
        <w:t>Small and M</w:t>
      </w:r>
      <w:r w:rsidR="005C350B" w:rsidRPr="003B4362">
        <w:rPr>
          <w:rFonts w:eastAsia="Calibri"/>
        </w:rPr>
        <w:t>id</w:t>
      </w:r>
      <w:r w:rsidR="001A4B3E" w:rsidRPr="003B4362">
        <w:rPr>
          <w:rFonts w:eastAsia="Calibri"/>
        </w:rPr>
        <w:t xml:space="preserve">-Sized Suppliers Not Applying Corrosion Control Treatment.  </w:t>
      </w:r>
      <w:r w:rsidR="0084199E" w:rsidRPr="003B4362">
        <w:rPr>
          <w:rFonts w:eastAsia="Calibri"/>
        </w:rPr>
        <w:t>A small or mid-sized supplier not applying corrosion control treatment is deemed to have OCCT if it does not exceed</w:t>
      </w:r>
      <w:r w:rsidR="001A4B3E" w:rsidRPr="003B4362">
        <w:rPr>
          <w:szCs w:val="24"/>
        </w:rPr>
        <w:t xml:space="preserve"> the lead </w:t>
      </w:r>
      <w:r w:rsidR="0084515A" w:rsidRPr="003B4362">
        <w:rPr>
          <w:szCs w:val="24"/>
        </w:rPr>
        <w:t>or</w:t>
      </w:r>
      <w:r w:rsidR="001A4B3E" w:rsidRPr="003B4362">
        <w:rPr>
          <w:szCs w:val="24"/>
        </w:rPr>
        <w:t xml:space="preserve"> copper action level during two consecutive six-month tap monitoring </w:t>
      </w:r>
      <w:r w:rsidR="00CA6137" w:rsidRPr="003B4362">
        <w:rPr>
          <w:szCs w:val="24"/>
        </w:rPr>
        <w:t>cycles</w:t>
      </w:r>
      <w:r w:rsidR="001A4B3E" w:rsidRPr="003B4362">
        <w:rPr>
          <w:szCs w:val="24"/>
        </w:rPr>
        <w:t xml:space="preserve"> and </w:t>
      </w:r>
      <w:r w:rsidR="0084199E" w:rsidRPr="003B4362">
        <w:rPr>
          <w:szCs w:val="24"/>
        </w:rPr>
        <w:t>remains</w:t>
      </w:r>
      <w:r w:rsidR="002A7BD4" w:rsidRPr="003B4362">
        <w:rPr>
          <w:szCs w:val="24"/>
        </w:rPr>
        <w:t xml:space="preserve"> </w:t>
      </w:r>
      <w:r w:rsidR="001A4B3E" w:rsidRPr="003B4362">
        <w:rPr>
          <w:szCs w:val="24"/>
        </w:rPr>
        <w:t xml:space="preserve">at or below the lead trigger level and copper action level in all subsequent tap </w:t>
      </w:r>
      <w:r w:rsidR="00FB4DFC" w:rsidRPr="003B4362">
        <w:rPr>
          <w:szCs w:val="24"/>
        </w:rPr>
        <w:t>monitor</w:t>
      </w:r>
      <w:r w:rsidR="001A4B3E" w:rsidRPr="003B4362">
        <w:rPr>
          <w:szCs w:val="24"/>
        </w:rPr>
        <w:t xml:space="preserve">ing </w:t>
      </w:r>
      <w:r w:rsidR="00FB4DFC" w:rsidRPr="003B4362">
        <w:rPr>
          <w:szCs w:val="24"/>
        </w:rPr>
        <w:t>cycle</w:t>
      </w:r>
      <w:r w:rsidR="001A4B3E" w:rsidRPr="003B4362">
        <w:rPr>
          <w:szCs w:val="24"/>
        </w:rPr>
        <w:t xml:space="preserve">s under Section </w:t>
      </w:r>
      <w:r w:rsidR="00D35948" w:rsidRPr="003B4362">
        <w:rPr>
          <w:szCs w:val="24"/>
        </w:rPr>
        <w:t>61</w:t>
      </w:r>
      <w:r w:rsidR="001A4B3E" w:rsidRPr="003B4362">
        <w:rPr>
          <w:szCs w:val="24"/>
        </w:rPr>
        <w:t>1</w:t>
      </w:r>
      <w:r w:rsidR="00D35948" w:rsidRPr="003B4362">
        <w:rPr>
          <w:szCs w:val="24"/>
        </w:rPr>
        <w:t>.35</w:t>
      </w:r>
      <w:r w:rsidR="001A4B3E" w:rsidRPr="003B4362">
        <w:rPr>
          <w:szCs w:val="24"/>
        </w:rPr>
        <w:t>6</w:t>
      </w:r>
      <w:r w:rsidRPr="003B4362">
        <w:rPr>
          <w:szCs w:val="24"/>
        </w:rPr>
        <w:t>.</w:t>
      </w:r>
      <w:bookmarkStart w:id="846" w:name="_Hlk117074136"/>
      <w:r w:rsidR="008F565D" w:rsidRPr="003B4362">
        <w:rPr>
          <w:szCs w:val="24"/>
        </w:rPr>
        <w:t xml:space="preserve">  </w:t>
      </w:r>
      <w:bookmarkEnd w:id="846"/>
      <w:r w:rsidRPr="003B4362">
        <w:rPr>
          <w:szCs w:val="24"/>
        </w:rPr>
        <w:t>2)</w:t>
      </w:r>
      <w:r w:rsidRPr="003B4362">
        <w:rPr>
          <w:szCs w:val="24"/>
        </w:rPr>
        <w:tab/>
      </w:r>
      <w:bookmarkStart w:id="847" w:name="_Hlk117084085"/>
      <w:r w:rsidRPr="003B4362">
        <w:rPr>
          <w:szCs w:val="24"/>
        </w:rPr>
        <w:t>Small</w:t>
      </w:r>
      <w:r w:rsidR="00B60690" w:rsidRPr="003B4362">
        <w:rPr>
          <w:szCs w:val="24"/>
        </w:rPr>
        <w:t xml:space="preserve"> and M</w:t>
      </w:r>
      <w:r w:rsidR="00D1749E" w:rsidRPr="003B4362">
        <w:rPr>
          <w:szCs w:val="24"/>
        </w:rPr>
        <w:t>id</w:t>
      </w:r>
      <w:r w:rsidR="00B60690" w:rsidRPr="003B4362">
        <w:rPr>
          <w:szCs w:val="24"/>
        </w:rPr>
        <w:t>-</w:t>
      </w:r>
      <w:r w:rsidRPr="003B4362">
        <w:rPr>
          <w:szCs w:val="24"/>
        </w:rPr>
        <w:t>Sized Suppliers Applying Corrosion Control Treatment and Not Exceeding Levels</w:t>
      </w:r>
      <w:bookmarkEnd w:id="847"/>
      <w:r w:rsidRPr="003B4362">
        <w:rPr>
          <w:szCs w:val="24"/>
        </w:rPr>
        <w:t xml:space="preserve">.  </w:t>
      </w:r>
      <w:r w:rsidR="0084199E" w:rsidRPr="003B4362">
        <w:rPr>
          <w:szCs w:val="24"/>
        </w:rPr>
        <w:t>A small or mid-sized supplier applying corrosion control treatment is deemed to have OCCT if it does not exceed</w:t>
      </w:r>
      <w:r w:rsidR="00B60690" w:rsidRPr="003B4362">
        <w:rPr>
          <w:szCs w:val="24"/>
        </w:rPr>
        <w:t xml:space="preserve"> the lead </w:t>
      </w:r>
      <w:r w:rsidR="0084515A" w:rsidRPr="003B4362">
        <w:rPr>
          <w:szCs w:val="24"/>
        </w:rPr>
        <w:t>or</w:t>
      </w:r>
      <w:r w:rsidR="00B60690" w:rsidRPr="003B4362">
        <w:rPr>
          <w:szCs w:val="24"/>
        </w:rPr>
        <w:t xml:space="preserve"> copper action level during two consecutive six-month tap monitoring </w:t>
      </w:r>
      <w:r w:rsidR="00CA6137" w:rsidRPr="003B4362">
        <w:rPr>
          <w:szCs w:val="24"/>
        </w:rPr>
        <w:t>cycle</w:t>
      </w:r>
      <w:r w:rsidR="00B60690" w:rsidRPr="003B4362">
        <w:rPr>
          <w:szCs w:val="24"/>
        </w:rPr>
        <w:t xml:space="preserve">s under Section 611.356 and </w:t>
      </w:r>
      <w:r w:rsidR="0084199E" w:rsidRPr="003B4362">
        <w:rPr>
          <w:szCs w:val="24"/>
        </w:rPr>
        <w:t xml:space="preserve">remains </w:t>
      </w:r>
      <w:r w:rsidR="00B60690" w:rsidRPr="003B4362">
        <w:rPr>
          <w:szCs w:val="24"/>
        </w:rPr>
        <w:t xml:space="preserve">at or below the lead trigger level and copper action level in all </w:t>
      </w:r>
      <w:r w:rsidR="00542EE0" w:rsidRPr="003B4362">
        <w:rPr>
          <w:szCs w:val="24"/>
        </w:rPr>
        <w:t xml:space="preserve">subsequent </w:t>
      </w:r>
      <w:r w:rsidR="00B60690" w:rsidRPr="003B4362">
        <w:rPr>
          <w:szCs w:val="24"/>
        </w:rPr>
        <w:t xml:space="preserve">tap </w:t>
      </w:r>
      <w:r w:rsidR="002C642A" w:rsidRPr="003B4362">
        <w:rPr>
          <w:szCs w:val="24"/>
        </w:rPr>
        <w:t>monitor</w:t>
      </w:r>
      <w:r w:rsidR="00B60690" w:rsidRPr="003B4362">
        <w:rPr>
          <w:szCs w:val="24"/>
        </w:rPr>
        <w:t xml:space="preserve">ing </w:t>
      </w:r>
      <w:r w:rsidR="002C642A" w:rsidRPr="003B4362">
        <w:rPr>
          <w:szCs w:val="24"/>
        </w:rPr>
        <w:t>cycle</w:t>
      </w:r>
      <w:r w:rsidR="00B60690" w:rsidRPr="003B4362">
        <w:rPr>
          <w:szCs w:val="24"/>
        </w:rPr>
        <w:t xml:space="preserve">s </w:t>
      </w:r>
      <w:r w:rsidR="00542EE0" w:rsidRPr="003B4362">
        <w:rPr>
          <w:szCs w:val="24"/>
        </w:rPr>
        <w:t>under</w:t>
      </w:r>
      <w:r w:rsidR="00B60690" w:rsidRPr="003B4362">
        <w:rPr>
          <w:szCs w:val="24"/>
        </w:rPr>
        <w:t xml:space="preserve"> Section </w:t>
      </w:r>
      <w:r w:rsidR="00542EE0" w:rsidRPr="003B4362">
        <w:rPr>
          <w:szCs w:val="24"/>
        </w:rPr>
        <w:t>611.35</w:t>
      </w:r>
      <w:r w:rsidR="00B60690" w:rsidRPr="003B4362">
        <w:rPr>
          <w:szCs w:val="24"/>
        </w:rPr>
        <w:t>6</w:t>
      </w:r>
      <w:r w:rsidRPr="003B4362">
        <w:rPr>
          <w:szCs w:val="24"/>
        </w:rPr>
        <w:t xml:space="preserve">.  </w:t>
      </w:r>
      <w:r w:rsidR="0084199E" w:rsidRPr="003B4362">
        <w:rPr>
          <w:szCs w:val="24"/>
        </w:rPr>
        <w:t>If</w:t>
      </w:r>
      <w:r w:rsidR="00F14162" w:rsidRPr="003B4362">
        <w:rPr>
          <w:szCs w:val="24"/>
        </w:rPr>
        <w:t xml:space="preserve"> a s</w:t>
      </w:r>
      <w:r w:rsidRPr="003B4362">
        <w:rPr>
          <w:szCs w:val="24"/>
        </w:rPr>
        <w:t>mall or m</w:t>
      </w:r>
      <w:r w:rsidR="00D1749E" w:rsidRPr="003B4362">
        <w:rPr>
          <w:szCs w:val="24"/>
        </w:rPr>
        <w:t>id</w:t>
      </w:r>
      <w:r w:rsidRPr="003B4362">
        <w:rPr>
          <w:szCs w:val="24"/>
        </w:rPr>
        <w:t>-size</w:t>
      </w:r>
      <w:r w:rsidR="00F14162" w:rsidRPr="003B4362">
        <w:rPr>
          <w:szCs w:val="24"/>
        </w:rPr>
        <w:t>d</w:t>
      </w:r>
      <w:r w:rsidRPr="003B4362">
        <w:rPr>
          <w:szCs w:val="24"/>
        </w:rPr>
        <w:t xml:space="preserve"> </w:t>
      </w:r>
      <w:r w:rsidR="00F14162" w:rsidRPr="003B4362">
        <w:rPr>
          <w:szCs w:val="24"/>
        </w:rPr>
        <w:t>supplier</w:t>
      </w:r>
      <w:r w:rsidRPr="003B4362">
        <w:rPr>
          <w:szCs w:val="24"/>
        </w:rPr>
        <w:t xml:space="preserve"> </w:t>
      </w:r>
      <w:r w:rsidR="00A369F0" w:rsidRPr="003B4362">
        <w:rPr>
          <w:szCs w:val="24"/>
        </w:rPr>
        <w:t>applying</w:t>
      </w:r>
      <w:r w:rsidRPr="003B4362">
        <w:rPr>
          <w:szCs w:val="24"/>
        </w:rPr>
        <w:t xml:space="preserve"> corrosion control treatment</w:t>
      </w:r>
      <w:bookmarkStart w:id="848" w:name="_Hlk117090955"/>
      <w:r w:rsidR="0084515A" w:rsidRPr="003B4362">
        <w:rPr>
          <w:szCs w:val="24"/>
        </w:rPr>
        <w:t xml:space="preserve"> </w:t>
      </w:r>
      <w:r w:rsidR="0084199E" w:rsidRPr="003B4362">
        <w:rPr>
          <w:szCs w:val="24"/>
        </w:rPr>
        <w:t>exceeds</w:t>
      </w:r>
      <w:r w:rsidR="002A7BD4" w:rsidRPr="003B4362">
        <w:rPr>
          <w:szCs w:val="24"/>
        </w:rPr>
        <w:t xml:space="preserve"> </w:t>
      </w:r>
      <w:r w:rsidRPr="003B4362">
        <w:rPr>
          <w:szCs w:val="24"/>
        </w:rPr>
        <w:t>the lead trigger level but</w:t>
      </w:r>
      <w:r w:rsidR="00A369F0" w:rsidRPr="003B4362">
        <w:rPr>
          <w:szCs w:val="24"/>
        </w:rPr>
        <w:t xml:space="preserve"> </w:t>
      </w:r>
      <w:r w:rsidR="0084199E" w:rsidRPr="003B4362">
        <w:rPr>
          <w:szCs w:val="24"/>
        </w:rPr>
        <w:t xml:space="preserve">does not exceed </w:t>
      </w:r>
      <w:bookmarkStart w:id="849" w:name="_Hlk117091217"/>
      <w:bookmarkEnd w:id="848"/>
      <w:r w:rsidRPr="003B4362">
        <w:rPr>
          <w:szCs w:val="24"/>
        </w:rPr>
        <w:t xml:space="preserve">the lead </w:t>
      </w:r>
      <w:r w:rsidR="0084515A" w:rsidRPr="003B4362">
        <w:rPr>
          <w:szCs w:val="24"/>
        </w:rPr>
        <w:t>or</w:t>
      </w:r>
      <w:r w:rsidRPr="003B4362">
        <w:rPr>
          <w:szCs w:val="24"/>
        </w:rPr>
        <w:t xml:space="preserve"> copper action level</w:t>
      </w:r>
      <w:bookmarkEnd w:id="849"/>
      <w:r w:rsidRPr="003B4362">
        <w:rPr>
          <w:szCs w:val="24"/>
        </w:rPr>
        <w:t xml:space="preserve"> during two consecutive </w:t>
      </w:r>
      <w:r w:rsidR="0084515A" w:rsidRPr="003B4362">
        <w:rPr>
          <w:szCs w:val="24"/>
        </w:rPr>
        <w:t>six</w:t>
      </w:r>
      <w:r w:rsidRPr="003B4362">
        <w:rPr>
          <w:szCs w:val="24"/>
        </w:rPr>
        <w:t xml:space="preserve">-month </w:t>
      </w:r>
      <w:bookmarkStart w:id="850" w:name="_Hlk117103579"/>
      <w:r w:rsidR="009178FA" w:rsidRPr="003B4362">
        <w:rPr>
          <w:szCs w:val="24"/>
        </w:rPr>
        <w:t xml:space="preserve">tap </w:t>
      </w:r>
      <w:r w:rsidRPr="003B4362">
        <w:rPr>
          <w:szCs w:val="24"/>
        </w:rPr>
        <w:t xml:space="preserve">monitoring </w:t>
      </w:r>
      <w:bookmarkEnd w:id="850"/>
      <w:r w:rsidR="0002014E" w:rsidRPr="003B4362">
        <w:rPr>
          <w:szCs w:val="24"/>
        </w:rPr>
        <w:t>cycles</w:t>
      </w:r>
      <w:r w:rsidRPr="003B4362">
        <w:rPr>
          <w:szCs w:val="24"/>
        </w:rPr>
        <w:t xml:space="preserve"> </w:t>
      </w:r>
      <w:bookmarkStart w:id="851" w:name="_Hlk117103739"/>
      <w:r w:rsidRPr="003B4362">
        <w:rPr>
          <w:szCs w:val="24"/>
        </w:rPr>
        <w:t>and</w:t>
      </w:r>
      <w:r w:rsidR="009178FA" w:rsidRPr="003B4362">
        <w:rPr>
          <w:szCs w:val="24"/>
        </w:rPr>
        <w:t xml:space="preserve"> </w:t>
      </w:r>
      <w:r w:rsidR="0084199E" w:rsidRPr="003B4362">
        <w:rPr>
          <w:szCs w:val="24"/>
        </w:rPr>
        <w:t xml:space="preserve">remains </w:t>
      </w:r>
      <w:r w:rsidRPr="003B4362">
        <w:rPr>
          <w:szCs w:val="24"/>
        </w:rPr>
        <w:t xml:space="preserve">at or below the lead and copper action levels in all </w:t>
      </w:r>
      <w:r w:rsidR="009178FA" w:rsidRPr="003B4362">
        <w:rPr>
          <w:szCs w:val="24"/>
        </w:rPr>
        <w:t xml:space="preserve">subsequent </w:t>
      </w:r>
      <w:r w:rsidRPr="003B4362">
        <w:rPr>
          <w:szCs w:val="24"/>
        </w:rPr>
        <w:t xml:space="preserve">tap </w:t>
      </w:r>
      <w:r w:rsidR="002C642A" w:rsidRPr="003B4362">
        <w:rPr>
          <w:szCs w:val="24"/>
        </w:rPr>
        <w:t>monitor</w:t>
      </w:r>
      <w:r w:rsidRPr="003B4362">
        <w:rPr>
          <w:szCs w:val="24"/>
        </w:rPr>
        <w:t xml:space="preserve">ing </w:t>
      </w:r>
      <w:r w:rsidR="002C642A" w:rsidRPr="003B4362">
        <w:rPr>
          <w:szCs w:val="24"/>
        </w:rPr>
        <w:t>cycle</w:t>
      </w:r>
      <w:r w:rsidRPr="003B4362">
        <w:rPr>
          <w:szCs w:val="24"/>
        </w:rPr>
        <w:t>s</w:t>
      </w:r>
      <w:bookmarkEnd w:id="851"/>
      <w:r w:rsidRPr="003B4362">
        <w:rPr>
          <w:szCs w:val="24"/>
        </w:rPr>
        <w:t xml:space="preserve"> </w:t>
      </w:r>
      <w:bookmarkStart w:id="852" w:name="_Hlk117103904"/>
      <w:r w:rsidR="009178FA" w:rsidRPr="003B4362">
        <w:rPr>
          <w:szCs w:val="24"/>
        </w:rPr>
        <w:t xml:space="preserve">the supplier </w:t>
      </w:r>
      <w:r w:rsidRPr="003B4362">
        <w:rPr>
          <w:szCs w:val="24"/>
        </w:rPr>
        <w:t>conduct</w:t>
      </w:r>
      <w:r w:rsidR="009178FA" w:rsidRPr="003B4362">
        <w:rPr>
          <w:szCs w:val="24"/>
        </w:rPr>
        <w:t>s</w:t>
      </w:r>
      <w:r w:rsidRPr="003B4362">
        <w:rPr>
          <w:szCs w:val="24"/>
        </w:rPr>
        <w:t xml:space="preserve"> </w:t>
      </w:r>
      <w:r w:rsidR="009178FA" w:rsidRPr="003B4362">
        <w:rPr>
          <w:szCs w:val="24"/>
        </w:rPr>
        <w:t>under</w:t>
      </w:r>
      <w:r w:rsidRPr="003B4362">
        <w:rPr>
          <w:szCs w:val="24"/>
        </w:rPr>
        <w:t xml:space="preserve"> Section </w:t>
      </w:r>
      <w:r w:rsidR="0086546D" w:rsidRPr="003B4362">
        <w:rPr>
          <w:szCs w:val="24"/>
        </w:rPr>
        <w:t>61</w:t>
      </w:r>
      <w:r w:rsidRPr="003B4362">
        <w:rPr>
          <w:szCs w:val="24"/>
        </w:rPr>
        <w:t>1.</w:t>
      </w:r>
      <w:r w:rsidR="0086546D" w:rsidRPr="003B4362">
        <w:rPr>
          <w:szCs w:val="24"/>
        </w:rPr>
        <w:t>35</w:t>
      </w:r>
      <w:r w:rsidRPr="003B4362">
        <w:rPr>
          <w:szCs w:val="24"/>
        </w:rPr>
        <w:t>6</w:t>
      </w:r>
      <w:bookmarkEnd w:id="852"/>
      <w:r w:rsidR="0084199E" w:rsidRPr="003B4362">
        <w:rPr>
          <w:szCs w:val="24"/>
        </w:rPr>
        <w:t>, that supplier is deemed</w:t>
      </w:r>
      <w:r w:rsidR="009178FA" w:rsidRPr="003B4362">
        <w:rPr>
          <w:szCs w:val="24"/>
        </w:rPr>
        <w:t xml:space="preserve"> </w:t>
      </w:r>
      <w:r w:rsidRPr="003B4362">
        <w:rPr>
          <w:szCs w:val="24"/>
        </w:rPr>
        <w:t xml:space="preserve">to have re-optimized </w:t>
      </w:r>
      <w:r w:rsidR="009178FA" w:rsidRPr="003B4362">
        <w:rPr>
          <w:szCs w:val="24"/>
        </w:rPr>
        <w:t>OCCT</w:t>
      </w:r>
      <w:r w:rsidR="0084199E" w:rsidRPr="003B4362">
        <w:rPr>
          <w:szCs w:val="24"/>
        </w:rPr>
        <w:t xml:space="preserve"> by complying with this Section</w:t>
      </w:r>
      <w:r w:rsidRPr="003B4362">
        <w:rPr>
          <w:szCs w:val="24"/>
        </w:rPr>
        <w:t xml:space="preserve">.  </w:t>
      </w:r>
      <w:bookmarkStart w:id="853" w:name="_Hlk117104698"/>
      <w:r w:rsidR="006E5F28" w:rsidRPr="003B4362">
        <w:rPr>
          <w:szCs w:val="24"/>
        </w:rPr>
        <w:t>I</w:t>
      </w:r>
      <w:bookmarkStart w:id="854" w:name="_Hlk117104896"/>
      <w:r w:rsidR="006E5F28" w:rsidRPr="003B4362">
        <w:rPr>
          <w:szCs w:val="24"/>
        </w:rPr>
        <w:t>f</w:t>
      </w:r>
      <w:r w:rsidRPr="003B4362">
        <w:rPr>
          <w:szCs w:val="24"/>
        </w:rPr>
        <w:t xml:space="preserve"> the </w:t>
      </w:r>
      <w:r w:rsidR="006E5F28" w:rsidRPr="003B4362">
        <w:rPr>
          <w:szCs w:val="24"/>
        </w:rPr>
        <w:t>Agency issued a SEP setting</w:t>
      </w:r>
      <w:r w:rsidRPr="003B4362">
        <w:rPr>
          <w:szCs w:val="24"/>
        </w:rPr>
        <w:t xml:space="preserve"> optimal water quality parameters (OWQPs)</w:t>
      </w:r>
      <w:bookmarkEnd w:id="853"/>
      <w:bookmarkEnd w:id="854"/>
      <w:r w:rsidRPr="003B4362">
        <w:rPr>
          <w:szCs w:val="24"/>
        </w:rPr>
        <w:t xml:space="preserve"> under subsection (d) or (e)</w:t>
      </w:r>
      <w:r w:rsidR="006E5F28" w:rsidRPr="003B4362">
        <w:rPr>
          <w:szCs w:val="24"/>
        </w:rPr>
        <w:t xml:space="preserve">, </w:t>
      </w:r>
      <w:bookmarkStart w:id="855" w:name="_Hlk117105326"/>
      <w:r w:rsidRPr="003B4362">
        <w:rPr>
          <w:szCs w:val="24"/>
        </w:rPr>
        <w:t xml:space="preserve">a </w:t>
      </w:r>
      <w:r w:rsidR="006E5F28" w:rsidRPr="003B4362">
        <w:rPr>
          <w:szCs w:val="24"/>
        </w:rPr>
        <w:t>supplier</w:t>
      </w:r>
      <w:r w:rsidRPr="003B4362">
        <w:rPr>
          <w:szCs w:val="24"/>
        </w:rPr>
        <w:t xml:space="preserve"> </w:t>
      </w:r>
      <w:r w:rsidR="0030793B" w:rsidRPr="003B4362">
        <w:rPr>
          <w:szCs w:val="24"/>
        </w:rPr>
        <w:t>is</w:t>
      </w:r>
      <w:r w:rsidRPr="003B4362">
        <w:rPr>
          <w:szCs w:val="24"/>
        </w:rPr>
        <w:t xml:space="preserve"> not</w:t>
      </w:r>
      <w:r w:rsidR="0030793B" w:rsidRPr="003B4362">
        <w:rPr>
          <w:szCs w:val="24"/>
        </w:rPr>
        <w:t xml:space="preserve"> </w:t>
      </w:r>
      <w:r w:rsidRPr="003B4362">
        <w:rPr>
          <w:szCs w:val="24"/>
        </w:rPr>
        <w:t xml:space="preserve">eligible </w:t>
      </w:r>
      <w:r w:rsidR="00E14403" w:rsidRPr="003B4362">
        <w:rPr>
          <w:szCs w:val="24"/>
        </w:rPr>
        <w:t>to be deemed</w:t>
      </w:r>
      <w:r w:rsidRPr="003B4362">
        <w:rPr>
          <w:szCs w:val="24"/>
        </w:rPr>
        <w:t xml:space="preserve"> </w:t>
      </w:r>
      <w:r w:rsidR="0030793B" w:rsidRPr="003B4362">
        <w:rPr>
          <w:szCs w:val="24"/>
        </w:rPr>
        <w:t>as</w:t>
      </w:r>
      <w:r w:rsidRPr="003B4362">
        <w:rPr>
          <w:szCs w:val="24"/>
        </w:rPr>
        <w:t xml:space="preserve"> hav</w:t>
      </w:r>
      <w:r w:rsidR="0030793B" w:rsidRPr="003B4362">
        <w:rPr>
          <w:szCs w:val="24"/>
        </w:rPr>
        <w:t>ing</w:t>
      </w:r>
      <w:r w:rsidRPr="003B4362">
        <w:rPr>
          <w:szCs w:val="24"/>
        </w:rPr>
        <w:t xml:space="preserve"> optimized or re-optimized OCCT</w:t>
      </w:r>
      <w:bookmarkEnd w:id="855"/>
      <w:r w:rsidRPr="003B4362">
        <w:rPr>
          <w:szCs w:val="24"/>
        </w:rPr>
        <w:t xml:space="preserve"> </w:t>
      </w:r>
      <w:r w:rsidR="0030793B" w:rsidRPr="003B4362">
        <w:rPr>
          <w:szCs w:val="24"/>
        </w:rPr>
        <w:t>under</w:t>
      </w:r>
      <w:r w:rsidRPr="003B4362">
        <w:rPr>
          <w:szCs w:val="24"/>
        </w:rPr>
        <w:t xml:space="preserve"> subsection (b).</w:t>
      </w:r>
      <w:r w:rsidR="008F565D" w:rsidRPr="003B4362">
        <w:rPr>
          <w:szCs w:val="24"/>
        </w:rPr>
        <w:t xml:space="preserve">  </w:t>
      </w:r>
      <w:r w:rsidR="005451CE" w:rsidRPr="003B4362">
        <w:rPr>
          <w:rFonts w:eastAsia="Calibri"/>
        </w:rPr>
        <w:tab/>
      </w:r>
      <w:r w:rsidR="005451CE" w:rsidRPr="003B4362">
        <w:rPr>
          <w:rFonts w:eastAsia="Calibri"/>
        </w:rPr>
        <w:tab/>
      </w:r>
      <w:r w:rsidR="005451CE" w:rsidRPr="003B4362">
        <w:rPr>
          <w:rFonts w:eastAsia="Calibri"/>
        </w:rPr>
        <w:tab/>
      </w:r>
      <w:r w:rsidR="005451CE" w:rsidRPr="003B4362">
        <w:rPr>
          <w:rFonts w:eastAsia="Calibri"/>
        </w:rPr>
        <w:tab/>
        <w:t>3)</w:t>
      </w:r>
      <w:r w:rsidR="005451CE" w:rsidRPr="003B4362">
        <w:rPr>
          <w:rFonts w:eastAsia="Calibri"/>
        </w:rPr>
        <w:tab/>
      </w:r>
      <w:bookmarkStart w:id="856" w:name="_Hlk117176293"/>
      <w:r w:rsidR="005451CE" w:rsidRPr="003B4362">
        <w:rPr>
          <w:rFonts w:eastAsia="Calibri"/>
        </w:rPr>
        <w:t xml:space="preserve">Results Less Than </w:t>
      </w:r>
      <w:r w:rsidR="002F1ECD" w:rsidRPr="003B4362">
        <w:rPr>
          <w:rFonts w:eastAsia="Calibri"/>
        </w:rPr>
        <w:t xml:space="preserve">or Equal to the </w:t>
      </w:r>
      <w:r w:rsidR="005451CE" w:rsidRPr="003B4362">
        <w:rPr>
          <w:rFonts w:eastAsia="Calibri"/>
        </w:rPr>
        <w:t>Practical Quantitation Level (PQL) for Lead</w:t>
      </w:r>
      <w:bookmarkEnd w:id="856"/>
      <w:r w:rsidR="005451CE" w:rsidRPr="003B4362">
        <w:rPr>
          <w:rFonts w:eastAsia="Calibri"/>
        </w:rPr>
        <w:t xml:space="preserve">.  </w:t>
      </w:r>
      <w:bookmarkStart w:id="857" w:name="_Hlk114138530"/>
      <w:r w:rsidR="005451CE" w:rsidRPr="003B4362">
        <w:rPr>
          <w:rFonts w:eastAsia="Calibri"/>
        </w:rPr>
        <w:t>Monitoring results deem</w:t>
      </w:r>
      <w:r w:rsidR="00783B0B" w:rsidRPr="003B4362">
        <w:rPr>
          <w:rFonts w:eastAsia="Calibri"/>
        </w:rPr>
        <w:t xml:space="preserve"> a</w:t>
      </w:r>
      <w:r w:rsidR="005451CE" w:rsidRPr="003B4362">
        <w:rPr>
          <w:rFonts w:eastAsia="Calibri"/>
        </w:rPr>
        <w:t xml:space="preserve"> supplier to have optimized</w:t>
      </w:r>
      <w:bookmarkEnd w:id="857"/>
      <w:r w:rsidR="005451CE" w:rsidRPr="003B4362">
        <w:rPr>
          <w:rFonts w:eastAsia="Calibri"/>
        </w:rPr>
        <w:t xml:space="preserve"> </w:t>
      </w:r>
      <w:r w:rsidR="00232CEB" w:rsidRPr="003B4362">
        <w:rPr>
          <w:szCs w:val="24"/>
        </w:rPr>
        <w:t xml:space="preserve">or re-optimized </w:t>
      </w:r>
      <w:r w:rsidR="00783B0B" w:rsidRPr="003B4362">
        <w:rPr>
          <w:szCs w:val="24"/>
        </w:rPr>
        <w:t>OCC</w:t>
      </w:r>
      <w:r w:rsidR="00276D77" w:rsidRPr="003B4362">
        <w:rPr>
          <w:szCs w:val="24"/>
        </w:rPr>
        <w:t>T</w:t>
      </w:r>
      <w:r w:rsidR="00783B0B" w:rsidRPr="003B4362">
        <w:rPr>
          <w:szCs w:val="24"/>
        </w:rPr>
        <w:t xml:space="preserve"> </w:t>
      </w:r>
      <w:bookmarkStart w:id="858" w:name="_Hlk114138716"/>
      <w:r w:rsidR="005451CE" w:rsidRPr="003B4362">
        <w:rPr>
          <w:rFonts w:eastAsia="Calibri"/>
        </w:rPr>
        <w:t>if the supplier submits results</w:t>
      </w:r>
      <w:bookmarkEnd w:id="858"/>
      <w:r w:rsidR="005451CE" w:rsidRPr="003B4362">
        <w:rPr>
          <w:rFonts w:eastAsia="Calibri"/>
        </w:rPr>
        <w:t xml:space="preserve"> of tap water </w:t>
      </w:r>
      <w:bookmarkStart w:id="859" w:name="_Hlk114138817"/>
      <w:r w:rsidR="005451CE" w:rsidRPr="003B4362">
        <w:rPr>
          <w:rFonts w:eastAsia="Calibri"/>
        </w:rPr>
        <w:t xml:space="preserve">monitoring under </w:t>
      </w:r>
      <w:bookmarkStart w:id="860" w:name="_Hlk117110890"/>
      <w:r w:rsidR="005451CE" w:rsidRPr="003B4362">
        <w:rPr>
          <w:rFonts w:eastAsia="Calibri"/>
        </w:rPr>
        <w:t>Section 611.356</w:t>
      </w:r>
      <w:bookmarkEnd w:id="859"/>
      <w:bookmarkEnd w:id="860"/>
      <w:r w:rsidR="005451CE" w:rsidRPr="003B4362">
        <w:rPr>
          <w:rFonts w:eastAsia="Calibri"/>
        </w:rPr>
        <w:t xml:space="preserve"> </w:t>
      </w:r>
      <w:r w:rsidR="00232CEB" w:rsidRPr="003B4362">
        <w:rPr>
          <w:szCs w:val="24"/>
        </w:rPr>
        <w:t xml:space="preserve">demonstrating </w:t>
      </w:r>
      <w:bookmarkStart w:id="861" w:name="_Hlk114138938"/>
      <w:r w:rsidR="005451CE" w:rsidRPr="003B4362">
        <w:rPr>
          <w:rFonts w:eastAsia="Calibri"/>
        </w:rPr>
        <w:t>that</w:t>
      </w:r>
      <w:bookmarkEnd w:id="861"/>
      <w:r w:rsidR="005451CE" w:rsidRPr="003B4362">
        <w:rPr>
          <w:rFonts w:eastAsia="Calibri"/>
        </w:rPr>
        <w:t xml:space="preserve"> the 90th percentile lead</w:t>
      </w:r>
      <w:r w:rsidR="00214E9D" w:rsidRPr="003B4362">
        <w:rPr>
          <w:rFonts w:eastAsia="Calibri"/>
        </w:rPr>
        <w:t xml:space="preserve"> concentration</w:t>
      </w:r>
      <w:r w:rsidR="005451CE" w:rsidRPr="003B4362">
        <w:rPr>
          <w:rFonts w:eastAsia="Calibri"/>
        </w:rPr>
        <w:t xml:space="preserve"> is less than </w:t>
      </w:r>
      <w:bookmarkStart w:id="862" w:name="_Hlk114139083"/>
      <w:r w:rsidR="006E79AA" w:rsidRPr="003B4362">
        <w:rPr>
          <w:szCs w:val="24"/>
        </w:rPr>
        <w:t xml:space="preserve">or equal to </w:t>
      </w:r>
      <w:r w:rsidR="005451CE" w:rsidRPr="003B4362">
        <w:rPr>
          <w:rFonts w:eastAsia="Calibri"/>
        </w:rPr>
        <w:t>the</w:t>
      </w:r>
      <w:bookmarkEnd w:id="862"/>
      <w:r w:rsidR="00892A6A" w:rsidRPr="003B4362">
        <w:rPr>
          <w:szCs w:val="24"/>
        </w:rPr>
        <w:t xml:space="preserve"> lead </w:t>
      </w:r>
      <w:r w:rsidR="00860ED6" w:rsidRPr="003B4362">
        <w:rPr>
          <w:szCs w:val="24"/>
        </w:rPr>
        <w:t>PQL</w:t>
      </w:r>
      <w:r w:rsidR="00892A6A" w:rsidRPr="003B4362">
        <w:rPr>
          <w:szCs w:val="24"/>
        </w:rPr>
        <w:t xml:space="preserve"> of 0.005 </w:t>
      </w:r>
      <w:bookmarkStart w:id="863" w:name="_Hlk117110981"/>
      <w:r w:rsidR="00892A6A" w:rsidRPr="003B4362">
        <w:rPr>
          <w:szCs w:val="24"/>
        </w:rPr>
        <w:t>mg/</w:t>
      </w:r>
      <w:bookmarkEnd w:id="863"/>
      <w:r w:rsidR="00FB2248" w:rsidRPr="003B4362">
        <w:t xml:space="preserve"> L</w:t>
      </w:r>
      <w:r w:rsidR="00892A6A" w:rsidRPr="003B4362">
        <w:rPr>
          <w:szCs w:val="24"/>
        </w:rPr>
        <w:t xml:space="preserve"> and does not exceed the copper </w:t>
      </w:r>
      <w:r w:rsidR="00892A6A" w:rsidRPr="003B4362">
        <w:rPr>
          <w:szCs w:val="24"/>
        </w:rPr>
        <w:lastRenderedPageBreak/>
        <w:t xml:space="preserve">action level for two consecutive </w:t>
      </w:r>
      <w:r w:rsidR="007C2DBC" w:rsidRPr="003B4362">
        <w:rPr>
          <w:szCs w:val="24"/>
        </w:rPr>
        <w:t>six</w:t>
      </w:r>
      <w:r w:rsidR="00892A6A" w:rsidRPr="003B4362">
        <w:rPr>
          <w:szCs w:val="24"/>
        </w:rPr>
        <w:t xml:space="preserve">-month tap monitoring </w:t>
      </w:r>
      <w:r w:rsidR="0002014E" w:rsidRPr="003B4362">
        <w:rPr>
          <w:szCs w:val="24"/>
        </w:rPr>
        <w:t>cycles</w:t>
      </w:r>
      <w:r w:rsidR="00892A6A" w:rsidRPr="003B4362">
        <w:rPr>
          <w:szCs w:val="24"/>
        </w:rPr>
        <w:t xml:space="preserve">, and </w:t>
      </w:r>
      <w:bookmarkStart w:id="864" w:name="_Hlk117111310"/>
      <w:r w:rsidR="00D73489" w:rsidRPr="003B4362">
        <w:rPr>
          <w:szCs w:val="24"/>
        </w:rPr>
        <w:t>the Agency did not issue a SEP setting</w:t>
      </w:r>
      <w:r w:rsidR="00892A6A" w:rsidRPr="003B4362">
        <w:rPr>
          <w:szCs w:val="24"/>
        </w:rPr>
        <w:t xml:space="preserve"> </w:t>
      </w:r>
      <w:r w:rsidR="00D73489" w:rsidRPr="003B4362">
        <w:rPr>
          <w:szCs w:val="24"/>
        </w:rPr>
        <w:t>OWQP</w:t>
      </w:r>
      <w:r w:rsidR="00892A6A" w:rsidRPr="003B4362">
        <w:rPr>
          <w:szCs w:val="24"/>
        </w:rPr>
        <w:t>s</w:t>
      </w:r>
      <w:bookmarkEnd w:id="864"/>
      <w:r w:rsidR="00D73489" w:rsidRPr="003B4362">
        <w:rPr>
          <w:szCs w:val="24"/>
        </w:rPr>
        <w:t xml:space="preserve"> </w:t>
      </w:r>
      <w:r w:rsidR="00892A6A" w:rsidRPr="003B4362">
        <w:rPr>
          <w:szCs w:val="24"/>
        </w:rPr>
        <w:t>under subsection (d) or (e)</w:t>
      </w:r>
      <w:r w:rsidR="005451CE" w:rsidRPr="003B4362">
        <w:rPr>
          <w:rFonts w:eastAsia="Calibri"/>
        </w:rPr>
        <w:t>.</w:t>
      </w:r>
      <w:r w:rsidR="007F67AC" w:rsidRPr="003B4362">
        <w:rPr>
          <w:rFonts w:eastAsia="Calibri"/>
        </w:rPr>
        <w:t xml:space="preserve">  Any water system this subsection (b)(3) deems to have optimized corrosion control must continue tap water monitoring for lead and copper no less frequently than once every three calendar years using the reduced number of sites Section 611.356(c) specifies and collecting the samples at times and locations Section 611.356(d)(4)(E) specifies.</w:t>
      </w:r>
      <w:r w:rsidR="002F1ECD" w:rsidRPr="003B4362">
        <w:rPr>
          <w:rFonts w:eastAsia="Calibri"/>
        </w:rPr>
        <w:t xml:space="preserve">  </w:t>
      </w:r>
      <w:r w:rsidR="00CE6149" w:rsidRPr="003B4362">
        <w:rPr>
          <w:rFonts w:eastAsia="Calibri"/>
        </w:rPr>
        <w:t>If 90</w:t>
      </w:r>
      <w:r w:rsidR="00CE6149" w:rsidRPr="003B4362">
        <w:rPr>
          <w:rFonts w:eastAsia="Calibri"/>
          <w:vertAlign w:val="superscript"/>
        </w:rPr>
        <w:t>th</w:t>
      </w:r>
      <w:r w:rsidR="00CE6149" w:rsidRPr="003B4362">
        <w:rPr>
          <w:rFonts w:eastAsia="Calibri"/>
        </w:rPr>
        <w:t xml:space="preserve"> percentile tap sample results exceeds the lead practical quantitation level (0.005 mg/L) or copper action level during any tap sampling period, the supplier is no longer eligible to be deemed to have optimized OCCT under this subsection without first completing the treatment steps specified in subsection (d) and (e) of this section.  </w:t>
      </w:r>
    </w:p>
    <w:p w14:paraId="35E53600" w14:textId="77777777" w:rsidR="0077118A" w:rsidRPr="003B4362" w:rsidRDefault="008D5EE9" w:rsidP="005F3E16">
      <w:pPr>
        <w:spacing w:before="240" w:after="240"/>
        <w:ind w:left="1440" w:hanging="720"/>
        <w:rPr>
          <w:rFonts w:eastAsia="Calibri"/>
        </w:rPr>
      </w:pPr>
      <w:r w:rsidRPr="003B4362">
        <w:rPr>
          <w:rFonts w:eastAsia="Calibri"/>
        </w:rPr>
        <w:t>c)</w:t>
      </w:r>
      <w:r w:rsidRPr="003B4362">
        <w:rPr>
          <w:rFonts w:eastAsia="Calibri"/>
        </w:rPr>
        <w:tab/>
      </w:r>
      <w:bookmarkStart w:id="865" w:name="_Hlk117183008"/>
      <w:r w:rsidR="00E366C1" w:rsidRPr="003B4362">
        <w:rPr>
          <w:rFonts w:eastAsia="Calibri"/>
        </w:rPr>
        <w:t>Completing Corrosion Control Steps for Small and M</w:t>
      </w:r>
      <w:r w:rsidR="00D1749E" w:rsidRPr="003B4362">
        <w:rPr>
          <w:rFonts w:eastAsia="Calibri"/>
        </w:rPr>
        <w:t>id</w:t>
      </w:r>
      <w:r w:rsidR="00E366C1" w:rsidRPr="003B4362">
        <w:rPr>
          <w:rFonts w:eastAsia="Calibri"/>
        </w:rPr>
        <w:t>-Sized S</w:t>
      </w:r>
      <w:r w:rsidR="00D1749E" w:rsidRPr="003B4362">
        <w:rPr>
          <w:rFonts w:eastAsia="Calibri"/>
        </w:rPr>
        <w:t>uppliers</w:t>
      </w:r>
      <w:r w:rsidR="00E366C1" w:rsidRPr="003B4362">
        <w:rPr>
          <w:rFonts w:eastAsia="Calibri"/>
        </w:rPr>
        <w:t xml:space="preserve"> </w:t>
      </w:r>
      <w:r w:rsidR="00CE6149" w:rsidRPr="003B4362">
        <w:rPr>
          <w:rFonts w:eastAsia="Calibri"/>
        </w:rPr>
        <w:t xml:space="preserve">Not </w:t>
      </w:r>
      <w:r w:rsidR="00E366C1" w:rsidRPr="003B4362">
        <w:rPr>
          <w:rFonts w:eastAsia="Calibri"/>
        </w:rPr>
        <w:t>Applying Corrosion Control Treatment</w:t>
      </w:r>
      <w:bookmarkEnd w:id="865"/>
      <w:r w:rsidR="008F565D" w:rsidRPr="003B4362">
        <w:rPr>
          <w:rFonts w:eastAsia="Calibri"/>
        </w:rPr>
        <w:t xml:space="preserve"> </w:t>
      </w:r>
      <w:bookmarkStart w:id="866" w:name="_Hlk117197763"/>
    </w:p>
    <w:p w14:paraId="15EE0C86" w14:textId="663A8360" w:rsidR="00E8616D" w:rsidRPr="003B4362" w:rsidRDefault="005451CE" w:rsidP="0077118A">
      <w:pPr>
        <w:spacing w:before="240" w:after="240"/>
        <w:ind w:left="2160" w:hanging="720"/>
        <w:rPr>
          <w:rFonts w:eastAsia="Calibri"/>
        </w:rPr>
      </w:pPr>
      <w:r w:rsidRPr="003B4362">
        <w:rPr>
          <w:rFonts w:eastAsia="Calibri"/>
        </w:rPr>
        <w:t>1)</w:t>
      </w:r>
      <w:r w:rsidRPr="003B4362">
        <w:rPr>
          <w:rFonts w:eastAsia="Calibri"/>
        </w:rPr>
        <w:tab/>
        <w:t>A</w:t>
      </w:r>
      <w:bookmarkStart w:id="867" w:name="_Hlk114145898"/>
      <w:r w:rsidRPr="003B4362">
        <w:rPr>
          <w:rFonts w:eastAsia="Calibri"/>
        </w:rPr>
        <w:t xml:space="preserve">ny small or </w:t>
      </w:r>
      <w:r w:rsidR="00D1749E" w:rsidRPr="003B4362">
        <w:rPr>
          <w:rFonts w:eastAsia="Calibri"/>
        </w:rPr>
        <w:t xml:space="preserve">mid-sized </w:t>
      </w:r>
      <w:bookmarkEnd w:id="867"/>
      <w:r w:rsidRPr="003B4362">
        <w:rPr>
          <w:rFonts w:eastAsia="Calibri"/>
        </w:rPr>
        <w:t>supplier</w:t>
      </w:r>
      <w:r w:rsidR="005079DD" w:rsidRPr="003B4362">
        <w:rPr>
          <w:rFonts w:eastAsia="Calibri"/>
        </w:rPr>
        <w:t xml:space="preserve"> not applying corrosion control treatment,</w:t>
      </w:r>
      <w:r w:rsidRPr="003B4362">
        <w:rPr>
          <w:rFonts w:eastAsia="Calibri"/>
        </w:rPr>
        <w:t xml:space="preserve"> otherwise required to complete the corrosion control steps </w:t>
      </w:r>
      <w:bookmarkStart w:id="868" w:name="_Hlk114145981"/>
      <w:r w:rsidR="005079DD" w:rsidRPr="003B4362">
        <w:rPr>
          <w:szCs w:val="24"/>
        </w:rPr>
        <w:t xml:space="preserve">in subsection (e) </w:t>
      </w:r>
      <w:r w:rsidRPr="003B4362">
        <w:rPr>
          <w:rFonts w:eastAsia="Calibri"/>
        </w:rPr>
        <w:t>because it exceeded the lead or copper action level</w:t>
      </w:r>
      <w:bookmarkEnd w:id="868"/>
      <w:r w:rsidRPr="003B4362">
        <w:rPr>
          <w:rFonts w:eastAsia="Calibri"/>
        </w:rPr>
        <w:t xml:space="preserve">, may cease completing the steps </w:t>
      </w:r>
      <w:bookmarkStart w:id="869" w:name="_Hlk114146065"/>
      <w:r w:rsidRPr="003B4362">
        <w:rPr>
          <w:rFonts w:eastAsia="Calibri"/>
        </w:rPr>
        <w:t>after</w:t>
      </w:r>
      <w:r w:rsidR="00E8616D" w:rsidRPr="003B4362">
        <w:rPr>
          <w:szCs w:val="24"/>
        </w:rPr>
        <w:t xml:space="preserve"> not exceeding </w:t>
      </w:r>
      <w:bookmarkStart w:id="870" w:name="_Hlk117193386"/>
      <w:r w:rsidR="00E8616D" w:rsidRPr="003B4362">
        <w:rPr>
          <w:szCs w:val="24"/>
        </w:rPr>
        <w:t>either the lead or copper action levels</w:t>
      </w:r>
      <w:bookmarkEnd w:id="870"/>
      <w:r w:rsidR="00E8616D" w:rsidRPr="003B4362">
        <w:rPr>
          <w:szCs w:val="24"/>
        </w:rPr>
        <w:t xml:space="preserve"> during each of two consecutive six-month tap monitoring </w:t>
      </w:r>
      <w:r w:rsidR="0002014E" w:rsidRPr="003B4362">
        <w:rPr>
          <w:szCs w:val="24"/>
        </w:rPr>
        <w:t>cycles</w:t>
      </w:r>
      <w:r w:rsidR="00E8616D" w:rsidRPr="003B4362">
        <w:rPr>
          <w:szCs w:val="24"/>
        </w:rPr>
        <w:t xml:space="preserve"> </w:t>
      </w:r>
      <w:bookmarkStart w:id="871" w:name="_Hlk117193559"/>
      <w:r w:rsidR="00E8616D" w:rsidRPr="003B4362">
        <w:rPr>
          <w:szCs w:val="24"/>
        </w:rPr>
        <w:t>under Section 611.3</w:t>
      </w:r>
      <w:bookmarkEnd w:id="871"/>
      <w:r w:rsidR="0077118A" w:rsidRPr="003B4362">
        <w:rPr>
          <w:szCs w:val="24"/>
        </w:rPr>
        <w:t>63</w:t>
      </w:r>
      <w:r w:rsidR="00E8616D" w:rsidRPr="003B4362">
        <w:rPr>
          <w:szCs w:val="24"/>
        </w:rPr>
        <w:t xml:space="preserve"> </w:t>
      </w:r>
      <w:bookmarkStart w:id="872" w:name="_Hlk117194007"/>
      <w:r w:rsidR="00E8616D" w:rsidRPr="003B4362">
        <w:rPr>
          <w:szCs w:val="24"/>
        </w:rPr>
        <w:t xml:space="preserve">before </w:t>
      </w:r>
      <w:bookmarkStart w:id="873" w:name="_Hlk117193722"/>
      <w:r w:rsidR="00E8616D" w:rsidRPr="003B4362">
        <w:rPr>
          <w:szCs w:val="24"/>
        </w:rPr>
        <w:t>beginning Step 3</w:t>
      </w:r>
      <w:bookmarkStart w:id="874" w:name="_Hlk117193870"/>
      <w:bookmarkEnd w:id="873"/>
      <w:r w:rsidR="00E8616D" w:rsidRPr="003B4362">
        <w:rPr>
          <w:szCs w:val="24"/>
        </w:rPr>
        <w:t xml:space="preserve"> under subsection (e)(3) or Step 5 under subsection (e)(5)</w:t>
      </w:r>
      <w:bookmarkEnd w:id="872"/>
      <w:bookmarkEnd w:id="874"/>
      <w:r w:rsidR="0052459D" w:rsidRPr="003B4362">
        <w:rPr>
          <w:szCs w:val="24"/>
        </w:rPr>
        <w:t xml:space="preserve">.  </w:t>
      </w:r>
      <w:r w:rsidR="001E042A" w:rsidRPr="003B4362">
        <w:rPr>
          <w:szCs w:val="24"/>
        </w:rPr>
        <w:t>The</w:t>
      </w:r>
      <w:r w:rsidRPr="003B4362">
        <w:rPr>
          <w:rFonts w:eastAsia="Calibri"/>
        </w:rPr>
        <w:t xml:space="preserve"> supplier</w:t>
      </w:r>
      <w:r w:rsidR="001E042A" w:rsidRPr="003B4362">
        <w:rPr>
          <w:szCs w:val="24"/>
        </w:rPr>
        <w:t xml:space="preserve"> needs not</w:t>
      </w:r>
      <w:r w:rsidR="001E042A" w:rsidRPr="003B4362">
        <w:rPr>
          <w:rFonts w:eastAsia="Calibri"/>
        </w:rPr>
        <w:t xml:space="preserve"> </w:t>
      </w:r>
      <w:r w:rsidR="001E042A" w:rsidRPr="003B4362">
        <w:rPr>
          <w:szCs w:val="24"/>
        </w:rPr>
        <w:t xml:space="preserve">begin </w:t>
      </w:r>
      <w:bookmarkStart w:id="875" w:name="_Hlk117204309"/>
      <w:r w:rsidR="001E042A" w:rsidRPr="003B4362">
        <w:rPr>
          <w:szCs w:val="24"/>
        </w:rPr>
        <w:t>th</w:t>
      </w:r>
      <w:r w:rsidR="004C7131" w:rsidRPr="003B4362">
        <w:rPr>
          <w:szCs w:val="24"/>
        </w:rPr>
        <w:t>e</w:t>
      </w:r>
      <w:r w:rsidR="001E042A" w:rsidRPr="003B4362">
        <w:rPr>
          <w:szCs w:val="24"/>
        </w:rPr>
        <w:t xml:space="preserve"> applicable of </w:t>
      </w:r>
      <w:bookmarkStart w:id="876" w:name="_Hlk117204288"/>
      <w:r w:rsidR="001E042A" w:rsidRPr="003B4362">
        <w:rPr>
          <w:szCs w:val="24"/>
        </w:rPr>
        <w:t>Step 3 or Step 5</w:t>
      </w:r>
      <w:bookmarkEnd w:id="875"/>
      <w:bookmarkEnd w:id="876"/>
      <w:r w:rsidR="001E042A" w:rsidRPr="003B4362">
        <w:rPr>
          <w:szCs w:val="24"/>
        </w:rPr>
        <w:t xml:space="preserve">, except that </w:t>
      </w:r>
      <w:bookmarkStart w:id="877" w:name="_Hlk117204759"/>
      <w:r w:rsidR="004C7131" w:rsidRPr="003B4362">
        <w:rPr>
          <w:szCs w:val="24"/>
        </w:rPr>
        <w:t xml:space="preserve">a </w:t>
      </w:r>
      <w:r w:rsidR="001E042A" w:rsidRPr="003B4362">
        <w:rPr>
          <w:szCs w:val="24"/>
        </w:rPr>
        <w:t>m</w:t>
      </w:r>
      <w:r w:rsidR="00265539" w:rsidRPr="003B4362">
        <w:rPr>
          <w:szCs w:val="24"/>
        </w:rPr>
        <w:t>id</w:t>
      </w:r>
      <w:r w:rsidR="001E042A" w:rsidRPr="003B4362">
        <w:rPr>
          <w:szCs w:val="24"/>
        </w:rPr>
        <w:t xml:space="preserve">-sized </w:t>
      </w:r>
      <w:r w:rsidR="004C7131" w:rsidRPr="003B4362">
        <w:rPr>
          <w:szCs w:val="24"/>
        </w:rPr>
        <w:t xml:space="preserve">supplier </w:t>
      </w:r>
      <w:r w:rsidR="001E042A" w:rsidRPr="003B4362">
        <w:rPr>
          <w:szCs w:val="24"/>
        </w:rPr>
        <w:t xml:space="preserve">with lead service lines </w:t>
      </w:r>
      <w:r w:rsidR="004C7131" w:rsidRPr="003B4362">
        <w:rPr>
          <w:szCs w:val="24"/>
        </w:rPr>
        <w:t>or a</w:t>
      </w:r>
      <w:r w:rsidR="001E042A" w:rsidRPr="003B4362">
        <w:rPr>
          <w:szCs w:val="24"/>
        </w:rPr>
        <w:t xml:space="preserve"> small</w:t>
      </w:r>
      <w:r w:rsidR="004C7131" w:rsidRPr="003B4362">
        <w:rPr>
          <w:szCs w:val="24"/>
        </w:rPr>
        <w:t xml:space="preserve"> supplier </w:t>
      </w:r>
      <w:r w:rsidR="001E042A" w:rsidRPr="003B4362">
        <w:rPr>
          <w:szCs w:val="24"/>
        </w:rPr>
        <w:t>with lead service lines choos</w:t>
      </w:r>
      <w:r w:rsidR="004C7131" w:rsidRPr="003B4362">
        <w:rPr>
          <w:szCs w:val="24"/>
        </w:rPr>
        <w:t>ing</w:t>
      </w:r>
      <w:bookmarkEnd w:id="877"/>
      <w:r w:rsidR="001E042A" w:rsidRPr="003B4362">
        <w:rPr>
          <w:szCs w:val="24"/>
        </w:rPr>
        <w:t xml:space="preserve"> the corrosion control option </w:t>
      </w:r>
      <w:bookmarkStart w:id="878" w:name="_Hlk117204830"/>
      <w:r w:rsidR="004C7131" w:rsidRPr="003B4362">
        <w:rPr>
          <w:szCs w:val="24"/>
        </w:rPr>
        <w:t>under</w:t>
      </w:r>
      <w:r w:rsidR="001E042A" w:rsidRPr="003B4362">
        <w:rPr>
          <w:szCs w:val="24"/>
        </w:rPr>
        <w:t xml:space="preserve"> Section </w:t>
      </w:r>
      <w:r w:rsidR="00FB2248" w:rsidRPr="003B4362">
        <w:rPr>
          <w:szCs w:val="24"/>
        </w:rPr>
        <w:t>611.363</w:t>
      </w:r>
      <w:bookmarkEnd w:id="878"/>
      <w:r w:rsidR="001E042A" w:rsidRPr="003B4362">
        <w:rPr>
          <w:szCs w:val="24"/>
        </w:rPr>
        <w:t xml:space="preserve"> must complete a corrosion control treatment study under subsection (e)(3)(A)</w:t>
      </w:r>
      <w:r w:rsidR="00484CBD" w:rsidRPr="003B4362">
        <w:rPr>
          <w:szCs w:val="24"/>
        </w:rPr>
        <w:t>.</w:t>
      </w:r>
      <w:r w:rsidR="00C71F52" w:rsidRPr="003B4362">
        <w:rPr>
          <w:szCs w:val="24"/>
        </w:rPr>
        <w:t xml:space="preserve">  A supplier initiating Step 5</w:t>
      </w:r>
      <w:r w:rsidR="00FD11B6" w:rsidRPr="003B4362">
        <w:rPr>
          <w:szCs w:val="24"/>
        </w:rPr>
        <w:t xml:space="preserve"> may not</w:t>
      </w:r>
      <w:r w:rsidR="00FD11B6" w:rsidRPr="003B4362">
        <w:rPr>
          <w:rFonts w:eastAsia="Calibri"/>
        </w:rPr>
        <w:t xml:space="preserve"> </w:t>
      </w:r>
      <w:r w:rsidR="00FD11B6" w:rsidRPr="003B4362">
        <w:rPr>
          <w:szCs w:val="24"/>
        </w:rPr>
        <w:t>cease the steps</w:t>
      </w:r>
      <w:r w:rsidR="00C71F52" w:rsidRPr="003B4362">
        <w:rPr>
          <w:szCs w:val="24"/>
        </w:rPr>
        <w:t xml:space="preserve"> </w:t>
      </w:r>
      <w:r w:rsidR="00FD11B6" w:rsidRPr="003B4362">
        <w:rPr>
          <w:szCs w:val="24"/>
        </w:rPr>
        <w:t xml:space="preserve">and </w:t>
      </w:r>
      <w:r w:rsidR="00C71F52" w:rsidRPr="003B4362">
        <w:rPr>
          <w:szCs w:val="24"/>
        </w:rPr>
        <w:t xml:space="preserve">must complete all remaining steps in </w:t>
      </w:r>
      <w:bookmarkStart w:id="879" w:name="_Hlk117206458"/>
      <w:r w:rsidR="00C71F52" w:rsidRPr="003B4362">
        <w:rPr>
          <w:szCs w:val="24"/>
        </w:rPr>
        <w:t xml:space="preserve">subsections (e)(6) through </w:t>
      </w:r>
      <w:r w:rsidR="00FD11B6" w:rsidRPr="003B4362">
        <w:rPr>
          <w:szCs w:val="24"/>
        </w:rPr>
        <w:t>(e)</w:t>
      </w:r>
      <w:r w:rsidR="00C71F52" w:rsidRPr="003B4362">
        <w:rPr>
          <w:szCs w:val="24"/>
        </w:rPr>
        <w:t>(8)</w:t>
      </w:r>
      <w:bookmarkEnd w:id="879"/>
      <w:r w:rsidR="00C71F52" w:rsidRPr="003B4362">
        <w:rPr>
          <w:szCs w:val="24"/>
        </w:rPr>
        <w:t>.</w:t>
      </w:r>
      <w:bookmarkEnd w:id="869"/>
    </w:p>
    <w:p w14:paraId="44F64302" w14:textId="2F71124C"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A supplier </w:t>
      </w:r>
      <w:r w:rsidR="00DC6000" w:rsidRPr="003B4362">
        <w:rPr>
          <w:rFonts w:eastAsia="Calibri"/>
        </w:rPr>
        <w:t xml:space="preserve">ceasing </w:t>
      </w:r>
      <w:r w:rsidR="00DC6000" w:rsidRPr="003B4362">
        <w:rPr>
          <w:szCs w:val="24"/>
        </w:rPr>
        <w:t xml:space="preserve">the steps </w:t>
      </w:r>
      <w:bookmarkStart w:id="880" w:name="_Hlk117505322"/>
      <w:r w:rsidR="00DC6000" w:rsidRPr="003B4362">
        <w:rPr>
          <w:szCs w:val="24"/>
        </w:rPr>
        <w:t xml:space="preserve">prior to </w:t>
      </w:r>
      <w:r w:rsidR="00E067AD" w:rsidRPr="003B4362">
        <w:rPr>
          <w:szCs w:val="24"/>
        </w:rPr>
        <w:t xml:space="preserve">either </w:t>
      </w:r>
      <w:r w:rsidR="00DC6000" w:rsidRPr="003B4362">
        <w:rPr>
          <w:szCs w:val="24"/>
        </w:rPr>
        <w:t>Step 3 or Step 5</w:t>
      </w:r>
      <w:bookmarkEnd w:id="880"/>
      <w:r w:rsidR="00DC6000" w:rsidRPr="003B4362">
        <w:rPr>
          <w:szCs w:val="24"/>
        </w:rPr>
        <w:t xml:space="preserve"> and </w:t>
      </w:r>
      <w:r w:rsidR="00E067AD" w:rsidRPr="003B4362">
        <w:rPr>
          <w:szCs w:val="24"/>
        </w:rPr>
        <w:t xml:space="preserve">later </w:t>
      </w:r>
      <w:r w:rsidR="00E067AD" w:rsidRPr="003B4362">
        <w:rPr>
          <w:rFonts w:eastAsia="Calibri"/>
        </w:rPr>
        <w:t>exceed</w:t>
      </w:r>
      <w:r w:rsidR="00537FBE" w:rsidRPr="003B4362">
        <w:rPr>
          <w:rFonts w:eastAsia="Calibri"/>
        </w:rPr>
        <w:t>ing</w:t>
      </w:r>
      <w:r w:rsidR="00E067AD" w:rsidRPr="003B4362">
        <w:rPr>
          <w:rFonts w:eastAsia="Calibri"/>
        </w:rPr>
        <w:t xml:space="preserve"> the lead or copper action level </w:t>
      </w:r>
      <w:bookmarkStart w:id="881" w:name="_Hlk117505476"/>
      <w:r w:rsidR="001B1D9D" w:rsidRPr="003B4362">
        <w:rPr>
          <w:rFonts w:eastAsia="Calibri"/>
        </w:rPr>
        <w:t>may not cease</w:t>
      </w:r>
      <w:bookmarkEnd w:id="881"/>
      <w:r w:rsidR="001B1D9D" w:rsidRPr="003B4362">
        <w:rPr>
          <w:rFonts w:eastAsia="Calibri"/>
        </w:rPr>
        <w:t xml:space="preserve"> the steps a second time and </w:t>
      </w:r>
      <w:r w:rsidRPr="003B4362">
        <w:rPr>
          <w:rFonts w:eastAsia="Calibri"/>
        </w:rPr>
        <w:t xml:space="preserve">must </w:t>
      </w:r>
      <w:r w:rsidR="001B1D9D" w:rsidRPr="003B4362">
        <w:rPr>
          <w:rFonts w:eastAsia="Calibri"/>
        </w:rPr>
        <w:t xml:space="preserve">complete </w:t>
      </w:r>
      <w:r w:rsidRPr="003B4362">
        <w:rPr>
          <w:rFonts w:eastAsia="Calibri"/>
        </w:rPr>
        <w:t>the applicable treatment steps beginning with the first treatment step that the supplier previously did not complete in its entirety.</w:t>
      </w:r>
    </w:p>
    <w:p w14:paraId="367574F3" w14:textId="07072542"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T</w:t>
      </w:r>
      <w:bookmarkStart w:id="882" w:name="_Hlk114146635"/>
      <w:r w:rsidRPr="003B4362">
        <w:rPr>
          <w:rFonts w:eastAsia="Calibri"/>
        </w:rPr>
        <w:t>he Agency may issue a SEP requiring a supplier to repeat</w:t>
      </w:r>
      <w:bookmarkEnd w:id="882"/>
      <w:r w:rsidRPr="003B4362">
        <w:rPr>
          <w:rFonts w:eastAsia="Calibri"/>
        </w:rPr>
        <w:t xml:space="preserve"> </w:t>
      </w:r>
      <w:bookmarkStart w:id="883" w:name="_Hlk114146710"/>
      <w:r w:rsidRPr="003B4362">
        <w:rPr>
          <w:rFonts w:eastAsia="Calibri"/>
        </w:rPr>
        <w:t>treatment steps the supplier previously completed</w:t>
      </w:r>
      <w:bookmarkEnd w:id="883"/>
      <w:r w:rsidRPr="003B4362">
        <w:rPr>
          <w:rFonts w:eastAsia="Calibri"/>
        </w:rPr>
        <w:t xml:space="preserve"> </w:t>
      </w:r>
      <w:bookmarkStart w:id="884" w:name="_Hlk114146806"/>
      <w:r w:rsidRPr="003B4362">
        <w:rPr>
          <w:rFonts w:eastAsia="Calibri"/>
          <w:spacing w:val="-3"/>
        </w:rPr>
        <w:t xml:space="preserve">if the Agency </w:t>
      </w:r>
      <w:r w:rsidRPr="003B4362">
        <w:rPr>
          <w:rFonts w:eastAsia="Calibri"/>
        </w:rPr>
        <w:t>determines that this is necessary</w:t>
      </w:r>
      <w:bookmarkEnd w:id="884"/>
      <w:r w:rsidRPr="003B4362">
        <w:rPr>
          <w:rFonts w:eastAsia="Calibri"/>
        </w:rPr>
        <w:t xml:space="preserve"> to properly implement the treatment requirements of this Section.  </w:t>
      </w:r>
      <w:bookmarkStart w:id="885" w:name="_Hlk114146870"/>
      <w:r w:rsidR="0023572A" w:rsidRPr="003B4362">
        <w:rPr>
          <w:rFonts w:eastAsia="Calibri"/>
        </w:rPr>
        <w:t xml:space="preserve">The Agency </w:t>
      </w:r>
      <w:r w:rsidRPr="003B4362">
        <w:rPr>
          <w:rFonts w:eastAsia="Calibri"/>
        </w:rPr>
        <w:t xml:space="preserve">must explain the basis for </w:t>
      </w:r>
      <w:r w:rsidR="0023572A" w:rsidRPr="003B4362">
        <w:rPr>
          <w:rFonts w:eastAsia="Calibri"/>
        </w:rPr>
        <w:t xml:space="preserve">its </w:t>
      </w:r>
      <w:r w:rsidRPr="003B4362">
        <w:rPr>
          <w:rFonts w:eastAsia="Calibri"/>
        </w:rPr>
        <w:t>decision</w:t>
      </w:r>
      <w:bookmarkEnd w:id="885"/>
      <w:r w:rsidR="0023572A" w:rsidRPr="003B4362">
        <w:rPr>
          <w:rFonts w:eastAsia="Calibri"/>
        </w:rPr>
        <w:t xml:space="preserve"> in any SEP</w:t>
      </w:r>
      <w:r w:rsidRPr="003B4362">
        <w:rPr>
          <w:rFonts w:eastAsia="Calibri"/>
        </w:rPr>
        <w:t>.</w:t>
      </w:r>
    </w:p>
    <w:p w14:paraId="53146438" w14:textId="054505DF"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r>
      <w:bookmarkStart w:id="886" w:name="_Hlk129043982"/>
      <w:bookmarkStart w:id="887" w:name="_Hlk114146978"/>
      <w:r w:rsidR="001855F7" w:rsidRPr="003B4362">
        <w:rPr>
          <w:rFonts w:eastAsia="Calibri"/>
        </w:rPr>
        <w:t>A</w:t>
      </w:r>
      <w:bookmarkStart w:id="888" w:name="_Hlk129044434"/>
      <w:r w:rsidR="001855F7" w:rsidRPr="003B4362">
        <w:rPr>
          <w:rFonts w:eastAsia="Calibri"/>
        </w:rPr>
        <w:t xml:space="preserve"> small</w:t>
      </w:r>
      <w:r w:rsidR="003D35F0" w:rsidRPr="003B4362">
        <w:rPr>
          <w:rFonts w:eastAsia="Calibri"/>
        </w:rPr>
        <w:t xml:space="preserve"> </w:t>
      </w:r>
      <w:r w:rsidR="001855F7" w:rsidRPr="003B4362">
        <w:rPr>
          <w:rFonts w:eastAsia="Calibri"/>
        </w:rPr>
        <w:t>or m</w:t>
      </w:r>
      <w:r w:rsidR="003D35F0" w:rsidRPr="003B4362">
        <w:rPr>
          <w:rFonts w:eastAsia="Calibri"/>
        </w:rPr>
        <w:t>id</w:t>
      </w:r>
      <w:r w:rsidR="001855F7" w:rsidRPr="003B4362">
        <w:rPr>
          <w:rFonts w:eastAsia="Calibri"/>
        </w:rPr>
        <w:t>-sized</w:t>
      </w:r>
      <w:r w:rsidR="003D35F0" w:rsidRPr="003B4362">
        <w:rPr>
          <w:rFonts w:eastAsia="Calibri"/>
        </w:rPr>
        <w:t xml:space="preserve"> </w:t>
      </w:r>
      <w:r w:rsidR="001855F7" w:rsidRPr="003B4362">
        <w:rPr>
          <w:rFonts w:eastAsia="Calibri"/>
        </w:rPr>
        <w:t xml:space="preserve">supplier exceeding the lead or copper action level </w:t>
      </w:r>
      <w:r w:rsidR="003D35F0" w:rsidRPr="003B4362">
        <w:rPr>
          <w:rFonts w:eastAsia="Calibri"/>
        </w:rPr>
        <w:t xml:space="preserve">must </w:t>
      </w:r>
      <w:r w:rsidRPr="003B4362">
        <w:rPr>
          <w:rFonts w:eastAsia="Calibri"/>
        </w:rPr>
        <w:t>implement</w:t>
      </w:r>
      <w:bookmarkEnd w:id="888"/>
      <w:r w:rsidRPr="003B4362">
        <w:rPr>
          <w:rFonts w:eastAsia="Calibri"/>
        </w:rPr>
        <w:t xml:space="preserve"> corrosion control treatment steps </w:t>
      </w:r>
      <w:bookmarkStart w:id="889" w:name="_Hlk114147165"/>
      <w:r w:rsidR="003D35F0" w:rsidRPr="003B4362">
        <w:rPr>
          <w:rFonts w:eastAsia="Calibri"/>
        </w:rPr>
        <w:t xml:space="preserve">under </w:t>
      </w:r>
      <w:r w:rsidRPr="003B4362">
        <w:rPr>
          <w:rFonts w:eastAsia="Calibri"/>
        </w:rPr>
        <w:t>subsection (e)</w:t>
      </w:r>
      <w:bookmarkEnd w:id="889"/>
      <w:r w:rsidRPr="003B4362">
        <w:rPr>
          <w:rFonts w:eastAsia="Calibri"/>
        </w:rPr>
        <w:t xml:space="preserve"> (including </w:t>
      </w:r>
      <w:r w:rsidR="003D35F0" w:rsidRPr="003B4362">
        <w:rPr>
          <w:rFonts w:eastAsia="Calibri"/>
        </w:rPr>
        <w:t xml:space="preserve">a supplier </w:t>
      </w:r>
      <w:r w:rsidRPr="003B4362">
        <w:rPr>
          <w:rFonts w:eastAsia="Calibri"/>
        </w:rPr>
        <w:t>deemed to have optimized corrosion control under subsection (b)(1))</w:t>
      </w:r>
      <w:bookmarkEnd w:id="886"/>
      <w:bookmarkEnd w:id="887"/>
    </w:p>
    <w:bookmarkEnd w:id="866"/>
    <w:p w14:paraId="29EC0CB4" w14:textId="7B980B1D" w:rsidR="000A2D26" w:rsidRPr="003B4362" w:rsidRDefault="005451CE" w:rsidP="005451CE">
      <w:pPr>
        <w:spacing w:before="240" w:after="240"/>
        <w:ind w:left="1440" w:hanging="720"/>
        <w:rPr>
          <w:szCs w:val="24"/>
        </w:rPr>
      </w:pPr>
      <w:r w:rsidRPr="003B4362">
        <w:rPr>
          <w:rFonts w:eastAsia="Calibri"/>
        </w:rPr>
        <w:lastRenderedPageBreak/>
        <w:t>d)</w:t>
      </w:r>
      <w:r w:rsidRPr="003B4362">
        <w:rPr>
          <w:rFonts w:eastAsia="Calibri"/>
        </w:rPr>
        <w:tab/>
      </w:r>
      <w:bookmarkStart w:id="890" w:name="_Hlk117524098"/>
      <w:r w:rsidRPr="003B4362">
        <w:rPr>
          <w:rFonts w:eastAsia="Calibri"/>
        </w:rPr>
        <w:t xml:space="preserve">Treatment Steps </w:t>
      </w:r>
      <w:r w:rsidR="00305539" w:rsidRPr="003B4362">
        <w:rPr>
          <w:szCs w:val="24"/>
        </w:rPr>
        <w:t xml:space="preserve">and Deadlines </w:t>
      </w:r>
      <w:r w:rsidRPr="003B4362">
        <w:rPr>
          <w:rFonts w:eastAsia="Calibri"/>
        </w:rPr>
        <w:t>for</w:t>
      </w:r>
      <w:r w:rsidR="00305539" w:rsidRPr="003B4362">
        <w:rPr>
          <w:szCs w:val="24"/>
        </w:rPr>
        <w:t xml:space="preserve"> Suppliers Re-Optimizing </w:t>
      </w:r>
      <w:r w:rsidR="0043468E" w:rsidRPr="003B4362">
        <w:rPr>
          <w:szCs w:val="24"/>
        </w:rPr>
        <w:t>O</w:t>
      </w:r>
      <w:r w:rsidR="00305539" w:rsidRPr="003B4362">
        <w:rPr>
          <w:szCs w:val="24"/>
        </w:rPr>
        <w:t>CCT</w:t>
      </w:r>
      <w:bookmarkEnd w:id="890"/>
      <w:r w:rsidRPr="003B4362">
        <w:rPr>
          <w:rFonts w:eastAsia="Calibri"/>
        </w:rPr>
        <w:t>.  E</w:t>
      </w:r>
      <w:bookmarkStart w:id="891" w:name="_Hlk117524596"/>
      <w:bookmarkStart w:id="892" w:name="_Hlk114147480"/>
      <w:r w:rsidRPr="003B4362">
        <w:rPr>
          <w:rFonts w:eastAsia="Calibri"/>
        </w:rPr>
        <w:t xml:space="preserve">xcept as </w:t>
      </w:r>
      <w:r w:rsidR="0043468E" w:rsidRPr="003B4362">
        <w:rPr>
          <w:rFonts w:eastAsia="Calibri"/>
        </w:rPr>
        <w:t xml:space="preserve">subsection </w:t>
      </w:r>
      <w:r w:rsidRPr="003B4362">
        <w:rPr>
          <w:rFonts w:eastAsia="Calibri"/>
        </w:rPr>
        <w:t>(b)(2)</w:t>
      </w:r>
      <w:r w:rsidR="0043468E" w:rsidRPr="003B4362">
        <w:rPr>
          <w:szCs w:val="24"/>
        </w:rPr>
        <w:t xml:space="preserve"> or </w:t>
      </w:r>
      <w:r w:rsidR="00765F21" w:rsidRPr="003B4362">
        <w:rPr>
          <w:szCs w:val="24"/>
        </w:rPr>
        <w:t xml:space="preserve">Section </w:t>
      </w:r>
      <w:r w:rsidR="0043468E" w:rsidRPr="003B4362">
        <w:rPr>
          <w:szCs w:val="24"/>
        </w:rPr>
        <w:t>611.363</w:t>
      </w:r>
      <w:r w:rsidR="0043468E" w:rsidRPr="003B4362">
        <w:rPr>
          <w:rFonts w:eastAsia="Calibri"/>
        </w:rPr>
        <w:t xml:space="preserve"> provides otherwise</w:t>
      </w:r>
      <w:bookmarkEnd w:id="891"/>
      <w:bookmarkEnd w:id="892"/>
      <w:r w:rsidRPr="003B4362">
        <w:rPr>
          <w:rFonts w:eastAsia="Calibri"/>
        </w:rPr>
        <w:t xml:space="preserve">, </w:t>
      </w:r>
      <w:bookmarkStart w:id="893" w:name="_Hlk114147598"/>
      <w:r w:rsidRPr="003B4362">
        <w:rPr>
          <w:rFonts w:eastAsia="Calibri"/>
        </w:rPr>
        <w:t xml:space="preserve">a </w:t>
      </w:r>
      <w:r w:rsidR="000A2D26" w:rsidRPr="003B4362">
        <w:rPr>
          <w:rFonts w:eastAsia="Calibri"/>
        </w:rPr>
        <w:t xml:space="preserve">supplier </w:t>
      </w:r>
      <w:r w:rsidR="000A2D26" w:rsidRPr="003B4362">
        <w:rPr>
          <w:szCs w:val="24"/>
        </w:rPr>
        <w:t xml:space="preserve">with corrosion control treatment </w:t>
      </w:r>
      <w:bookmarkStart w:id="894" w:name="_Hlk117526786"/>
      <w:r w:rsidRPr="003B4362">
        <w:rPr>
          <w:rFonts w:eastAsia="Calibri"/>
        </w:rPr>
        <w:t>must complete certain corrosion control treatment steps</w:t>
      </w:r>
      <w:bookmarkStart w:id="895" w:name="_Hlk114147722"/>
      <w:bookmarkEnd w:id="893"/>
      <w:r w:rsidRPr="003B4362">
        <w:rPr>
          <w:rFonts w:eastAsia="Calibri"/>
        </w:rPr>
        <w:t xml:space="preserve"> (the referenced portions of Sections 611.352, 611.356, and 611.357</w:t>
      </w:r>
      <w:r w:rsidR="000A2D26" w:rsidRPr="003B4362">
        <w:rPr>
          <w:rFonts w:eastAsia="Calibri"/>
        </w:rPr>
        <w:t xml:space="preserve"> </w:t>
      </w:r>
      <w:r w:rsidR="00A85E69" w:rsidRPr="003B4362">
        <w:rPr>
          <w:rFonts w:eastAsia="Calibri"/>
        </w:rPr>
        <w:t xml:space="preserve">the steps </w:t>
      </w:r>
      <w:r w:rsidR="000A2D26" w:rsidRPr="003B4362">
        <w:rPr>
          <w:rFonts w:eastAsia="Calibri"/>
        </w:rPr>
        <w:t>describe</w:t>
      </w:r>
      <w:r w:rsidRPr="003B4362">
        <w:rPr>
          <w:rFonts w:eastAsia="Calibri"/>
        </w:rPr>
        <w:t>)</w:t>
      </w:r>
      <w:bookmarkEnd w:id="895"/>
      <w:r w:rsidR="000A2D26" w:rsidRPr="003B4362">
        <w:rPr>
          <w:szCs w:val="24"/>
        </w:rPr>
        <w:t xml:space="preserve"> before the indicated times</w:t>
      </w:r>
      <w:bookmarkEnd w:id="894"/>
      <w:r w:rsidR="00045669" w:rsidRPr="003B4362">
        <w:rPr>
          <w:szCs w:val="24"/>
        </w:rPr>
        <w:t>:</w:t>
      </w:r>
    </w:p>
    <w:p w14:paraId="7FCCF01C" w14:textId="0A658417"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Step 1</w:t>
      </w:r>
    </w:p>
    <w:p w14:paraId="50CE00ED" w14:textId="49AF8F30" w:rsidR="00B71148" w:rsidRPr="003B4362" w:rsidRDefault="00B71148" w:rsidP="00B71148">
      <w:pPr>
        <w:autoSpaceDE w:val="0"/>
        <w:autoSpaceDN w:val="0"/>
        <w:adjustRightInd w:val="0"/>
        <w:spacing w:before="240" w:after="240"/>
        <w:ind w:left="2880" w:hanging="720"/>
        <w:rPr>
          <w:szCs w:val="24"/>
        </w:rPr>
      </w:pPr>
      <w:r w:rsidRPr="003B4362">
        <w:rPr>
          <w:szCs w:val="24"/>
        </w:rPr>
        <w:t>A)</w:t>
      </w:r>
      <w:r w:rsidRPr="003B4362">
        <w:rPr>
          <w:szCs w:val="24"/>
        </w:rPr>
        <w:tab/>
        <w:t>A</w:t>
      </w:r>
      <w:bookmarkStart w:id="896" w:name="_Hlk117527364"/>
      <w:bookmarkStart w:id="897" w:name="_Hlk117527672"/>
      <w:r w:rsidRPr="003B4362">
        <w:rPr>
          <w:szCs w:val="24"/>
        </w:rPr>
        <w:t xml:space="preserve"> supplier other than one to which subsection </w:t>
      </w:r>
      <w:r w:rsidR="00166F58" w:rsidRPr="003B4362">
        <w:rPr>
          <w:szCs w:val="24"/>
        </w:rPr>
        <w:t>(d)(1)(B)</w:t>
      </w:r>
      <w:r w:rsidRPr="003B4362">
        <w:rPr>
          <w:szCs w:val="24"/>
        </w:rPr>
        <w:t xml:space="preserve"> </w:t>
      </w:r>
      <w:r w:rsidR="00D070AB" w:rsidRPr="003B4362">
        <w:rPr>
          <w:szCs w:val="24"/>
        </w:rPr>
        <w:t>applies</w:t>
      </w:r>
      <w:r w:rsidRPr="003B4362">
        <w:rPr>
          <w:szCs w:val="24"/>
        </w:rPr>
        <w:t xml:space="preserve"> </w:t>
      </w:r>
      <w:bookmarkEnd w:id="896"/>
      <w:r w:rsidR="00D070AB" w:rsidRPr="003B4362">
        <w:rPr>
          <w:szCs w:val="24"/>
        </w:rPr>
        <w:t>must</w:t>
      </w:r>
      <w:bookmarkEnd w:id="897"/>
      <w:r w:rsidRPr="003B4362">
        <w:rPr>
          <w:szCs w:val="24"/>
        </w:rPr>
        <w:t xml:space="preserve"> recommend re-optimized </w:t>
      </w:r>
      <w:r w:rsidR="00D070AB" w:rsidRPr="003B4362">
        <w:rPr>
          <w:szCs w:val="24"/>
        </w:rPr>
        <w:t>OCCT</w:t>
      </w:r>
      <w:r w:rsidRPr="003B4362">
        <w:rPr>
          <w:szCs w:val="24"/>
        </w:rPr>
        <w:t xml:space="preserve"> (</w:t>
      </w:r>
      <w:r w:rsidR="00D070AB" w:rsidRPr="003B4362">
        <w:rPr>
          <w:szCs w:val="24"/>
        </w:rPr>
        <w:t xml:space="preserve">Section 611.352(c)) within six months after the end of the tap sampling period during which the supplier </w:t>
      </w:r>
      <w:r w:rsidRPr="003B4362">
        <w:rPr>
          <w:szCs w:val="24"/>
        </w:rPr>
        <w:t xml:space="preserve">exceeds either the lead trigger level or copper action level.  </w:t>
      </w:r>
      <w:bookmarkStart w:id="898" w:name="_Hlk117528183"/>
      <w:r w:rsidR="00D070AB" w:rsidRPr="003B4362">
        <w:rPr>
          <w:szCs w:val="24"/>
        </w:rPr>
        <w:t>T</w:t>
      </w:r>
      <w:bookmarkStart w:id="899" w:name="_Hlk117528363"/>
      <w:r w:rsidR="00D070AB" w:rsidRPr="003B4362">
        <w:rPr>
          <w:szCs w:val="24"/>
        </w:rPr>
        <w:t>he Agency</w:t>
      </w:r>
      <w:r w:rsidRPr="003B4362">
        <w:rPr>
          <w:szCs w:val="24"/>
        </w:rPr>
        <w:t xml:space="preserve"> may </w:t>
      </w:r>
      <w:r w:rsidR="004F5E3B" w:rsidRPr="003B4362">
        <w:rPr>
          <w:szCs w:val="24"/>
        </w:rPr>
        <w:t>issue a SEP allowing a supplier to</w:t>
      </w:r>
      <w:r w:rsidRPr="003B4362">
        <w:rPr>
          <w:szCs w:val="24"/>
        </w:rPr>
        <w:t xml:space="preserve"> modif</w:t>
      </w:r>
      <w:r w:rsidR="004F5E3B" w:rsidRPr="003B4362">
        <w:rPr>
          <w:szCs w:val="24"/>
        </w:rPr>
        <w:t>y</w:t>
      </w:r>
      <w:r w:rsidRPr="003B4362">
        <w:rPr>
          <w:szCs w:val="24"/>
        </w:rPr>
        <w:t xml:space="preserve"> </w:t>
      </w:r>
      <w:r w:rsidR="004F5E3B" w:rsidRPr="003B4362">
        <w:rPr>
          <w:szCs w:val="24"/>
        </w:rPr>
        <w:t xml:space="preserve">its </w:t>
      </w:r>
      <w:r w:rsidRPr="003B4362">
        <w:rPr>
          <w:szCs w:val="24"/>
        </w:rPr>
        <w:t>existing corrosion control treatment</w:t>
      </w:r>
      <w:bookmarkEnd w:id="898"/>
      <w:bookmarkEnd w:id="899"/>
      <w:r w:rsidRPr="003B4362">
        <w:rPr>
          <w:szCs w:val="24"/>
        </w:rPr>
        <w:t xml:space="preserve"> without a study for </w:t>
      </w:r>
      <w:bookmarkStart w:id="900" w:name="_Hlk117528555"/>
      <w:r w:rsidR="004F5E3B" w:rsidRPr="003B4362">
        <w:rPr>
          <w:szCs w:val="24"/>
        </w:rPr>
        <w:t>a supplier</w:t>
      </w:r>
      <w:r w:rsidRPr="003B4362">
        <w:rPr>
          <w:szCs w:val="24"/>
        </w:rPr>
        <w:t xml:space="preserve"> exceed</w:t>
      </w:r>
      <w:r w:rsidR="004F5E3B" w:rsidRPr="003B4362">
        <w:rPr>
          <w:szCs w:val="24"/>
        </w:rPr>
        <w:t>ing</w:t>
      </w:r>
      <w:r w:rsidRPr="003B4362">
        <w:rPr>
          <w:szCs w:val="24"/>
        </w:rPr>
        <w:t xml:space="preserve"> the lead trigger level</w:t>
      </w:r>
      <w:r w:rsidR="004F5E3B" w:rsidRPr="003B4362">
        <w:rPr>
          <w:szCs w:val="24"/>
        </w:rPr>
        <w:t xml:space="preserve"> </w:t>
      </w:r>
      <w:r w:rsidRPr="003B4362">
        <w:rPr>
          <w:szCs w:val="24"/>
        </w:rPr>
        <w:t>but</w:t>
      </w:r>
      <w:r w:rsidR="004F5E3B" w:rsidRPr="003B4362">
        <w:rPr>
          <w:szCs w:val="24"/>
        </w:rPr>
        <w:t xml:space="preserve"> </w:t>
      </w:r>
      <w:r w:rsidRPr="003B4362">
        <w:rPr>
          <w:szCs w:val="24"/>
        </w:rPr>
        <w:t>not</w:t>
      </w:r>
      <w:r w:rsidR="004F5E3B" w:rsidRPr="003B4362">
        <w:rPr>
          <w:szCs w:val="24"/>
        </w:rPr>
        <w:t xml:space="preserve"> </w:t>
      </w:r>
      <w:r w:rsidRPr="003B4362">
        <w:rPr>
          <w:szCs w:val="24"/>
        </w:rPr>
        <w:t>the lead or copper action level</w:t>
      </w:r>
      <w:bookmarkEnd w:id="900"/>
      <w:r w:rsidRPr="003B4362">
        <w:rPr>
          <w:szCs w:val="24"/>
        </w:rPr>
        <w:t>.  T</w:t>
      </w:r>
      <w:bookmarkStart w:id="901" w:name="_Hlk117528758"/>
      <w:bookmarkStart w:id="902" w:name="_Hlk117528843"/>
      <w:r w:rsidRPr="003B4362">
        <w:rPr>
          <w:szCs w:val="24"/>
        </w:rPr>
        <w:t xml:space="preserve">he </w:t>
      </w:r>
      <w:r w:rsidR="004F5E3B" w:rsidRPr="003B4362">
        <w:rPr>
          <w:szCs w:val="24"/>
        </w:rPr>
        <w:t>Agency</w:t>
      </w:r>
      <w:r w:rsidRPr="003B4362">
        <w:rPr>
          <w:szCs w:val="24"/>
        </w:rPr>
        <w:t xml:space="preserve"> </w:t>
      </w:r>
      <w:r w:rsidR="004F5E3B" w:rsidRPr="003B4362">
        <w:rPr>
          <w:szCs w:val="24"/>
        </w:rPr>
        <w:t>must</w:t>
      </w:r>
      <w:r w:rsidRPr="003B4362">
        <w:rPr>
          <w:szCs w:val="24"/>
        </w:rPr>
        <w:t xml:space="preserve"> specify re-optimized </w:t>
      </w:r>
      <w:bookmarkEnd w:id="901"/>
      <w:r w:rsidR="004F5E3B" w:rsidRPr="003B4362">
        <w:rPr>
          <w:szCs w:val="24"/>
        </w:rPr>
        <w:t>OCCT</w:t>
      </w:r>
      <w:bookmarkEnd w:id="902"/>
      <w:r w:rsidRPr="003B4362">
        <w:rPr>
          <w:szCs w:val="24"/>
        </w:rPr>
        <w:t xml:space="preserve"> </w:t>
      </w:r>
      <w:bookmarkStart w:id="903" w:name="_Hlk117528973"/>
      <w:r w:rsidRPr="003B4362">
        <w:rPr>
          <w:szCs w:val="24"/>
        </w:rPr>
        <w:t xml:space="preserve">within six months </w:t>
      </w:r>
      <w:r w:rsidR="00E74662" w:rsidRPr="003B4362">
        <w:rPr>
          <w:szCs w:val="24"/>
        </w:rPr>
        <w:t>after</w:t>
      </w:r>
      <w:r w:rsidRPr="003B4362">
        <w:rPr>
          <w:szCs w:val="24"/>
        </w:rPr>
        <w:t xml:space="preserve"> receiving the </w:t>
      </w:r>
      <w:r w:rsidR="00E74662" w:rsidRPr="003B4362">
        <w:rPr>
          <w:szCs w:val="24"/>
        </w:rPr>
        <w:t xml:space="preserve">supplier’s </w:t>
      </w:r>
      <w:r w:rsidRPr="003B4362">
        <w:rPr>
          <w:szCs w:val="24"/>
        </w:rPr>
        <w:t>treatment recommendation</w:t>
      </w:r>
      <w:bookmarkEnd w:id="903"/>
      <w:r w:rsidRPr="003B4362">
        <w:rPr>
          <w:szCs w:val="24"/>
        </w:rPr>
        <w:t>.  T</w:t>
      </w:r>
      <w:bookmarkStart w:id="904" w:name="_Hlk117529066"/>
      <w:bookmarkStart w:id="905" w:name="_Hlk117529253"/>
      <w:r w:rsidRPr="003B4362">
        <w:rPr>
          <w:szCs w:val="24"/>
        </w:rPr>
        <w:t xml:space="preserve">he </w:t>
      </w:r>
      <w:r w:rsidR="00E74662" w:rsidRPr="003B4362">
        <w:rPr>
          <w:szCs w:val="24"/>
        </w:rPr>
        <w:t>supplier</w:t>
      </w:r>
      <w:r w:rsidRPr="003B4362">
        <w:rPr>
          <w:szCs w:val="24"/>
        </w:rPr>
        <w:t xml:space="preserve"> </w:t>
      </w:r>
      <w:r w:rsidR="00E74662" w:rsidRPr="003B4362">
        <w:rPr>
          <w:szCs w:val="24"/>
        </w:rPr>
        <w:t>must</w:t>
      </w:r>
      <w:r w:rsidRPr="003B4362">
        <w:rPr>
          <w:szCs w:val="24"/>
        </w:rPr>
        <w:t xml:space="preserve"> modif</w:t>
      </w:r>
      <w:r w:rsidR="00E74662" w:rsidRPr="003B4362">
        <w:rPr>
          <w:szCs w:val="24"/>
        </w:rPr>
        <w:t>y</w:t>
      </w:r>
      <w:r w:rsidRPr="003B4362">
        <w:rPr>
          <w:szCs w:val="24"/>
        </w:rPr>
        <w:t xml:space="preserve"> </w:t>
      </w:r>
      <w:r w:rsidR="00E74662" w:rsidRPr="003B4362">
        <w:rPr>
          <w:szCs w:val="24"/>
        </w:rPr>
        <w:t xml:space="preserve">its </w:t>
      </w:r>
      <w:r w:rsidRPr="003B4362">
        <w:rPr>
          <w:szCs w:val="24"/>
        </w:rPr>
        <w:t>corrosion control treatment</w:t>
      </w:r>
      <w:bookmarkEnd w:id="904"/>
      <w:r w:rsidRPr="003B4362">
        <w:rPr>
          <w:szCs w:val="24"/>
        </w:rPr>
        <w:t xml:space="preserve"> to </w:t>
      </w:r>
      <w:r w:rsidR="00E74662" w:rsidRPr="003B4362">
        <w:rPr>
          <w:szCs w:val="24"/>
        </w:rPr>
        <w:t>install</w:t>
      </w:r>
      <w:r w:rsidRPr="003B4362">
        <w:rPr>
          <w:szCs w:val="24"/>
        </w:rPr>
        <w:t xml:space="preserve"> re-optimized </w:t>
      </w:r>
      <w:r w:rsidR="00E74662" w:rsidRPr="003B4362">
        <w:rPr>
          <w:szCs w:val="24"/>
        </w:rPr>
        <w:t>OCCT</w:t>
      </w:r>
      <w:bookmarkStart w:id="906" w:name="_Hlk117529523"/>
      <w:bookmarkEnd w:id="905"/>
      <w:r w:rsidR="00E74662" w:rsidRPr="003B4362">
        <w:rPr>
          <w:szCs w:val="24"/>
        </w:rPr>
        <w:t xml:space="preserve"> </w:t>
      </w:r>
      <w:r w:rsidRPr="003B4362">
        <w:rPr>
          <w:szCs w:val="24"/>
        </w:rPr>
        <w:t xml:space="preserve">within six months </w:t>
      </w:r>
      <w:r w:rsidR="00E74662" w:rsidRPr="003B4362">
        <w:rPr>
          <w:szCs w:val="24"/>
        </w:rPr>
        <w:t>after</w:t>
      </w:r>
      <w:r w:rsidRPr="003B4362">
        <w:rPr>
          <w:szCs w:val="24"/>
        </w:rPr>
        <w:t xml:space="preserve"> the </w:t>
      </w:r>
      <w:r w:rsidR="00E74662" w:rsidRPr="003B4362">
        <w:rPr>
          <w:szCs w:val="24"/>
        </w:rPr>
        <w:t>Agency</w:t>
      </w:r>
      <w:r w:rsidRPr="003B4362">
        <w:rPr>
          <w:szCs w:val="24"/>
        </w:rPr>
        <w:t xml:space="preserve"> specif</w:t>
      </w:r>
      <w:r w:rsidR="00551A42" w:rsidRPr="003B4362">
        <w:rPr>
          <w:szCs w:val="24"/>
        </w:rPr>
        <w:t>ies</w:t>
      </w:r>
      <w:r w:rsidRPr="003B4362">
        <w:rPr>
          <w:szCs w:val="24"/>
        </w:rPr>
        <w:t xml:space="preserve"> re-optimized </w:t>
      </w:r>
      <w:r w:rsidR="00551A42" w:rsidRPr="003B4362">
        <w:rPr>
          <w:szCs w:val="24"/>
        </w:rPr>
        <w:t>OCCT</w:t>
      </w:r>
      <w:bookmarkEnd w:id="906"/>
      <w:r w:rsidRPr="003B4362">
        <w:rPr>
          <w:szCs w:val="24"/>
        </w:rPr>
        <w:t>.</w:t>
      </w:r>
    </w:p>
    <w:p w14:paraId="0A0676D1" w14:textId="6F14FD13" w:rsidR="00B71148" w:rsidRPr="003B4362" w:rsidRDefault="00B71148" w:rsidP="00B71148">
      <w:pPr>
        <w:autoSpaceDE w:val="0"/>
        <w:autoSpaceDN w:val="0"/>
        <w:adjustRightInd w:val="0"/>
        <w:spacing w:before="240" w:after="240"/>
        <w:ind w:left="2880" w:hanging="720"/>
        <w:rPr>
          <w:szCs w:val="24"/>
        </w:rPr>
      </w:pPr>
      <w:r w:rsidRPr="003B4362">
        <w:rPr>
          <w:szCs w:val="24"/>
        </w:rPr>
        <w:t>B)</w:t>
      </w:r>
      <w:r w:rsidRPr="003B4362">
        <w:rPr>
          <w:szCs w:val="24"/>
        </w:rPr>
        <w:tab/>
        <w:t>A</w:t>
      </w:r>
      <w:bookmarkStart w:id="907" w:name="_Hlk117529688"/>
      <w:r w:rsidRPr="003B4362">
        <w:rPr>
          <w:szCs w:val="24"/>
        </w:rPr>
        <w:t xml:space="preserve"> </w:t>
      </w:r>
      <w:r w:rsidR="00551A42" w:rsidRPr="003B4362">
        <w:rPr>
          <w:szCs w:val="24"/>
        </w:rPr>
        <w:t>supplier</w:t>
      </w:r>
      <w:r w:rsidRPr="003B4362">
        <w:rPr>
          <w:szCs w:val="24"/>
        </w:rPr>
        <w:t xml:space="preserve"> </w:t>
      </w:r>
      <w:r w:rsidR="00551A42" w:rsidRPr="003B4362">
        <w:rPr>
          <w:szCs w:val="24"/>
        </w:rPr>
        <w:t>having</w:t>
      </w:r>
      <w:r w:rsidRPr="003B4362">
        <w:rPr>
          <w:szCs w:val="24"/>
        </w:rPr>
        <w:t xml:space="preserve"> lead service lines </w:t>
      </w:r>
      <w:r w:rsidR="00F4232C" w:rsidRPr="003B4362">
        <w:rPr>
          <w:szCs w:val="24"/>
        </w:rPr>
        <w:t>that exceeds</w:t>
      </w:r>
      <w:r w:rsidRPr="003B4362">
        <w:rPr>
          <w:szCs w:val="24"/>
        </w:rPr>
        <w:t xml:space="preserve"> the lead action level</w:t>
      </w:r>
      <w:bookmarkEnd w:id="907"/>
      <w:r w:rsidRPr="003B4362">
        <w:rPr>
          <w:szCs w:val="24"/>
        </w:rPr>
        <w:t xml:space="preserve"> must </w:t>
      </w:r>
      <w:bookmarkStart w:id="908" w:name="_Hlk117530195"/>
      <w:r w:rsidRPr="003B4362">
        <w:rPr>
          <w:szCs w:val="24"/>
        </w:rPr>
        <w:t xml:space="preserve">harvest lead pipes from </w:t>
      </w:r>
      <w:r w:rsidR="000D0057" w:rsidRPr="003B4362">
        <w:rPr>
          <w:szCs w:val="24"/>
        </w:rPr>
        <w:t>its</w:t>
      </w:r>
      <w:r w:rsidRPr="003B4362">
        <w:rPr>
          <w:szCs w:val="24"/>
        </w:rPr>
        <w:t xml:space="preserve"> distribution system</w:t>
      </w:r>
      <w:r w:rsidR="000D0057" w:rsidRPr="003B4362">
        <w:rPr>
          <w:szCs w:val="24"/>
        </w:rPr>
        <w:t xml:space="preserve">, </w:t>
      </w:r>
      <w:r w:rsidRPr="003B4362">
        <w:rPr>
          <w:szCs w:val="24"/>
        </w:rPr>
        <w:t>construct flow</w:t>
      </w:r>
      <w:r w:rsidR="000D0057" w:rsidRPr="003B4362">
        <w:rPr>
          <w:szCs w:val="24"/>
        </w:rPr>
        <w:t>-</w:t>
      </w:r>
      <w:r w:rsidRPr="003B4362">
        <w:rPr>
          <w:szCs w:val="24"/>
        </w:rPr>
        <w:t>through pipe loops</w:t>
      </w:r>
      <w:r w:rsidR="000D0057" w:rsidRPr="003B4362">
        <w:rPr>
          <w:szCs w:val="24"/>
        </w:rPr>
        <w:t>,</w:t>
      </w:r>
      <w:r w:rsidRPr="003B4362">
        <w:rPr>
          <w:szCs w:val="24"/>
        </w:rPr>
        <w:t xml:space="preserve"> and operate the loops</w:t>
      </w:r>
      <w:bookmarkEnd w:id="908"/>
      <w:r w:rsidRPr="003B4362">
        <w:rPr>
          <w:szCs w:val="24"/>
        </w:rPr>
        <w:t xml:space="preserve"> with finished water within one year after the end of the tap sampling period </w:t>
      </w:r>
      <w:bookmarkStart w:id="909" w:name="_Hlk117532102"/>
      <w:r w:rsidRPr="003B4362">
        <w:rPr>
          <w:szCs w:val="24"/>
        </w:rPr>
        <w:t xml:space="preserve">during which </w:t>
      </w:r>
      <w:r w:rsidR="000D0057" w:rsidRPr="003B4362">
        <w:rPr>
          <w:szCs w:val="24"/>
        </w:rPr>
        <w:t>the supplier</w:t>
      </w:r>
      <w:r w:rsidRPr="003B4362">
        <w:rPr>
          <w:szCs w:val="24"/>
        </w:rPr>
        <w:t xml:space="preserve"> exceeds</w:t>
      </w:r>
      <w:bookmarkEnd w:id="909"/>
      <w:r w:rsidRPr="003B4362">
        <w:rPr>
          <w:szCs w:val="24"/>
        </w:rPr>
        <w:t xml:space="preserve"> the lead action level.  T</w:t>
      </w:r>
      <w:bookmarkStart w:id="910" w:name="_Hlk117532163"/>
      <w:r w:rsidRPr="003B4362">
        <w:rPr>
          <w:szCs w:val="24"/>
        </w:rPr>
        <w:t xml:space="preserve">he </w:t>
      </w:r>
      <w:r w:rsidR="000D0057" w:rsidRPr="003B4362">
        <w:rPr>
          <w:szCs w:val="24"/>
        </w:rPr>
        <w:t>supplier</w:t>
      </w:r>
      <w:r w:rsidRPr="003B4362">
        <w:rPr>
          <w:szCs w:val="24"/>
        </w:rPr>
        <w:t xml:space="preserve"> must proceed to Step 3</w:t>
      </w:r>
      <w:bookmarkEnd w:id="910"/>
      <w:r w:rsidRPr="003B4362">
        <w:rPr>
          <w:szCs w:val="24"/>
        </w:rPr>
        <w:t xml:space="preserve"> </w:t>
      </w:r>
      <w:r w:rsidR="000D0057" w:rsidRPr="003B4362">
        <w:rPr>
          <w:szCs w:val="24"/>
        </w:rPr>
        <w:t>under</w:t>
      </w:r>
      <w:r w:rsidRPr="003B4362">
        <w:rPr>
          <w:szCs w:val="24"/>
        </w:rPr>
        <w:t xml:space="preserve"> subsection (d)(3) and conduct the corrosion control </w:t>
      </w:r>
      <w:bookmarkStart w:id="911" w:name="_Hlk117532687"/>
      <w:r w:rsidRPr="003B4362">
        <w:rPr>
          <w:szCs w:val="24"/>
        </w:rPr>
        <w:t>studies for re-optimiz</w:t>
      </w:r>
      <w:r w:rsidR="0000779A" w:rsidRPr="003B4362">
        <w:rPr>
          <w:szCs w:val="24"/>
        </w:rPr>
        <w:t>ing</w:t>
      </w:r>
      <w:bookmarkEnd w:id="911"/>
      <w:r w:rsidRPr="003B4362">
        <w:rPr>
          <w:szCs w:val="24"/>
        </w:rPr>
        <w:t xml:space="preserve"> </w:t>
      </w:r>
      <w:r w:rsidR="0000779A" w:rsidRPr="003B4362">
        <w:rPr>
          <w:szCs w:val="24"/>
        </w:rPr>
        <w:t xml:space="preserve">OCCT </w:t>
      </w:r>
      <w:r w:rsidRPr="003B4362">
        <w:rPr>
          <w:szCs w:val="24"/>
        </w:rPr>
        <w:t>under subsection (d)(3)(A) using the pipe loops.</w:t>
      </w:r>
    </w:p>
    <w:p w14:paraId="742469A4" w14:textId="73891F60"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Step 2</w:t>
      </w:r>
    </w:p>
    <w:p w14:paraId="71529B6C" w14:textId="1A4EA17A" w:rsidR="0000779A" w:rsidRPr="003B4362" w:rsidRDefault="0000779A" w:rsidP="0000779A">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bookmarkStart w:id="912" w:name="_Hlk117533194"/>
      <w:r w:rsidR="00741EEA" w:rsidRPr="003B4362">
        <w:rPr>
          <w:rFonts w:eastAsia="Calibri"/>
          <w:szCs w:val="24"/>
        </w:rPr>
        <w:t>A</w:t>
      </w:r>
      <w:bookmarkStart w:id="913" w:name="_Hlk117533613"/>
      <w:r w:rsidR="00741EEA" w:rsidRPr="003B4362">
        <w:rPr>
          <w:rFonts w:eastAsia="Calibri"/>
          <w:szCs w:val="24"/>
        </w:rPr>
        <w:t xml:space="preserve"> l</w:t>
      </w:r>
      <w:r w:rsidRPr="003B4362">
        <w:rPr>
          <w:rFonts w:eastAsia="Calibri"/>
          <w:szCs w:val="24"/>
        </w:rPr>
        <w:t>arge</w:t>
      </w:r>
      <w:r w:rsidR="00741EEA" w:rsidRPr="003B4362">
        <w:rPr>
          <w:rFonts w:eastAsia="Calibri"/>
          <w:szCs w:val="24"/>
        </w:rPr>
        <w:t xml:space="preserve"> supplier</w:t>
      </w:r>
      <w:r w:rsidRPr="003B4362">
        <w:rPr>
          <w:rFonts w:eastAsia="Calibri"/>
          <w:szCs w:val="24"/>
        </w:rPr>
        <w:t xml:space="preserve"> </w:t>
      </w:r>
      <w:bookmarkEnd w:id="912"/>
      <w:r w:rsidR="00741EEA" w:rsidRPr="003B4362">
        <w:rPr>
          <w:rFonts w:eastAsia="Calibri"/>
          <w:szCs w:val="24"/>
        </w:rPr>
        <w:t>must</w:t>
      </w:r>
      <w:bookmarkEnd w:id="913"/>
      <w:r w:rsidRPr="003B4362">
        <w:rPr>
          <w:rFonts w:eastAsia="Calibri"/>
          <w:szCs w:val="24"/>
        </w:rPr>
        <w:t xml:space="preserve"> conduct the corrosion control studies for re-optimiz</w:t>
      </w:r>
      <w:r w:rsidR="008364E0" w:rsidRPr="003B4362">
        <w:rPr>
          <w:rFonts w:eastAsia="Calibri"/>
          <w:szCs w:val="24"/>
        </w:rPr>
        <w:t>ing</w:t>
      </w:r>
      <w:r w:rsidRPr="003B4362">
        <w:rPr>
          <w:rFonts w:eastAsia="Calibri"/>
          <w:szCs w:val="24"/>
        </w:rPr>
        <w:t xml:space="preserve"> </w:t>
      </w:r>
      <w:r w:rsidR="008364E0" w:rsidRPr="003B4362">
        <w:rPr>
          <w:rFonts w:eastAsia="Calibri"/>
          <w:szCs w:val="24"/>
        </w:rPr>
        <w:t xml:space="preserve">OCCT </w:t>
      </w:r>
      <w:r w:rsidRPr="003B4362">
        <w:rPr>
          <w:rFonts w:eastAsia="Calibri"/>
          <w:szCs w:val="24"/>
        </w:rPr>
        <w:t xml:space="preserve">under subsection (d)(3) (Step 3) unless the system is at or below the lead action level and </w:t>
      </w:r>
      <w:bookmarkStart w:id="914" w:name="_Hlk117534381"/>
      <w:bookmarkStart w:id="915" w:name="_Hlk117535537"/>
      <w:r w:rsidRPr="003B4362">
        <w:rPr>
          <w:rFonts w:eastAsia="Calibri"/>
          <w:szCs w:val="24"/>
        </w:rPr>
        <w:t xml:space="preserve">the </w:t>
      </w:r>
      <w:r w:rsidR="00565EA0" w:rsidRPr="003B4362">
        <w:rPr>
          <w:rFonts w:eastAsia="Calibri"/>
          <w:szCs w:val="24"/>
        </w:rPr>
        <w:t>Agency</w:t>
      </w:r>
      <w:r w:rsidRPr="003B4362">
        <w:rPr>
          <w:rFonts w:eastAsia="Calibri"/>
          <w:szCs w:val="24"/>
        </w:rPr>
        <w:t xml:space="preserve"> </w:t>
      </w:r>
      <w:r w:rsidR="00565EA0" w:rsidRPr="003B4362">
        <w:rPr>
          <w:rFonts w:eastAsia="Calibri"/>
          <w:szCs w:val="24"/>
        </w:rPr>
        <w:t>issues a SEP modify</w:t>
      </w:r>
      <w:r w:rsidR="00753F22" w:rsidRPr="003B4362">
        <w:rPr>
          <w:rFonts w:eastAsia="Calibri"/>
          <w:szCs w:val="24"/>
        </w:rPr>
        <w:t>ing</w:t>
      </w:r>
      <w:r w:rsidR="00565EA0" w:rsidRPr="003B4362">
        <w:rPr>
          <w:rFonts w:eastAsia="Calibri"/>
          <w:szCs w:val="24"/>
        </w:rPr>
        <w:t xml:space="preserve"> </w:t>
      </w:r>
      <w:r w:rsidR="00753F22" w:rsidRPr="003B4362">
        <w:rPr>
          <w:rFonts w:eastAsia="Calibri"/>
          <w:szCs w:val="24"/>
        </w:rPr>
        <w:t>the</w:t>
      </w:r>
      <w:r w:rsidRPr="003B4362">
        <w:rPr>
          <w:rFonts w:eastAsia="Calibri"/>
          <w:szCs w:val="24"/>
        </w:rPr>
        <w:t xml:space="preserve"> existing corrosion control treatment </w:t>
      </w:r>
      <w:bookmarkEnd w:id="914"/>
      <w:r w:rsidR="00753F22" w:rsidRPr="003B4362">
        <w:rPr>
          <w:rFonts w:eastAsia="Calibri"/>
          <w:szCs w:val="24"/>
        </w:rPr>
        <w:t xml:space="preserve">the Agency </w:t>
      </w:r>
      <w:r w:rsidR="00B81DEA" w:rsidRPr="003B4362">
        <w:rPr>
          <w:rFonts w:eastAsia="Calibri"/>
          <w:szCs w:val="24"/>
        </w:rPr>
        <w:t>specifi</w:t>
      </w:r>
      <w:r w:rsidR="00753F22" w:rsidRPr="003B4362">
        <w:rPr>
          <w:rFonts w:eastAsia="Calibri"/>
          <w:szCs w:val="24"/>
        </w:rPr>
        <w:t>ed</w:t>
      </w:r>
      <w:bookmarkEnd w:id="915"/>
      <w:r w:rsidRPr="003B4362">
        <w:rPr>
          <w:rFonts w:eastAsia="Calibri"/>
          <w:szCs w:val="24"/>
        </w:rPr>
        <w:t xml:space="preserve"> under </w:t>
      </w:r>
      <w:bookmarkStart w:id="916" w:name="_Hlk117535580"/>
      <w:r w:rsidRPr="003B4362">
        <w:rPr>
          <w:rFonts w:eastAsia="Calibri"/>
          <w:szCs w:val="24"/>
        </w:rPr>
        <w:t>subsection (d)(</w:t>
      </w:r>
      <w:r w:rsidR="00753F22" w:rsidRPr="003B4362">
        <w:rPr>
          <w:rFonts w:eastAsia="Calibri"/>
          <w:szCs w:val="24"/>
        </w:rPr>
        <w:t>1</w:t>
      </w:r>
      <w:r w:rsidRPr="003B4362">
        <w:rPr>
          <w:rFonts w:eastAsia="Calibri"/>
          <w:szCs w:val="24"/>
        </w:rPr>
        <w:t>)(A) (Step 1)</w:t>
      </w:r>
      <w:bookmarkEnd w:id="916"/>
      <w:r w:rsidRPr="003B4362">
        <w:rPr>
          <w:rFonts w:eastAsia="Calibri"/>
          <w:szCs w:val="24"/>
        </w:rPr>
        <w:t>.</w:t>
      </w:r>
    </w:p>
    <w:p w14:paraId="092166FD" w14:textId="1DBBF0B6" w:rsidR="0000779A" w:rsidRPr="003B4362" w:rsidRDefault="0000779A" w:rsidP="0000779A">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 xml:space="preserve">Within 12 months after the end of the tap sampling period during which </w:t>
      </w:r>
      <w:bookmarkStart w:id="917" w:name="_Hlk117535893"/>
      <w:bookmarkStart w:id="918" w:name="_Hlk117536005"/>
      <w:r w:rsidRPr="003B4362">
        <w:rPr>
          <w:rFonts w:eastAsia="Calibri"/>
          <w:szCs w:val="24"/>
        </w:rPr>
        <w:t>a small or m</w:t>
      </w:r>
      <w:r w:rsidR="00265539" w:rsidRPr="003B4362">
        <w:rPr>
          <w:rFonts w:eastAsia="Calibri"/>
          <w:szCs w:val="24"/>
        </w:rPr>
        <w:t>id</w:t>
      </w:r>
      <w:r w:rsidRPr="003B4362">
        <w:rPr>
          <w:rFonts w:eastAsia="Calibri"/>
          <w:szCs w:val="24"/>
        </w:rPr>
        <w:t>-size</w:t>
      </w:r>
      <w:r w:rsidR="00B81DEA" w:rsidRPr="003B4362">
        <w:rPr>
          <w:rFonts w:eastAsia="Calibri"/>
          <w:szCs w:val="24"/>
        </w:rPr>
        <w:t>d</w:t>
      </w:r>
      <w:r w:rsidRPr="003B4362">
        <w:rPr>
          <w:rFonts w:eastAsia="Calibri"/>
          <w:szCs w:val="24"/>
        </w:rPr>
        <w:t xml:space="preserve"> </w:t>
      </w:r>
      <w:bookmarkEnd w:id="917"/>
      <w:r w:rsidR="00B81DEA" w:rsidRPr="003B4362">
        <w:rPr>
          <w:rFonts w:eastAsia="Calibri"/>
          <w:szCs w:val="24"/>
        </w:rPr>
        <w:t>supplier applying</w:t>
      </w:r>
      <w:r w:rsidRPr="003B4362">
        <w:rPr>
          <w:rFonts w:eastAsia="Calibri"/>
          <w:szCs w:val="24"/>
        </w:rPr>
        <w:t xml:space="preserve"> </w:t>
      </w:r>
      <w:bookmarkStart w:id="919" w:name="_Hlk117535991"/>
      <w:r w:rsidRPr="003B4362">
        <w:rPr>
          <w:rFonts w:eastAsia="Calibri"/>
          <w:szCs w:val="24"/>
        </w:rPr>
        <w:t>corrosion control treatment</w:t>
      </w:r>
      <w:bookmarkEnd w:id="918"/>
      <w:bookmarkEnd w:id="919"/>
      <w:r w:rsidRPr="003B4362">
        <w:rPr>
          <w:rFonts w:eastAsia="Calibri"/>
          <w:szCs w:val="24"/>
        </w:rPr>
        <w:t xml:space="preserve"> exceeds the lead trigger level or copper action level, </w:t>
      </w:r>
      <w:bookmarkStart w:id="920" w:name="_Hlk117536074"/>
      <w:r w:rsidRPr="003B4362">
        <w:rPr>
          <w:rFonts w:eastAsia="Calibri"/>
          <w:szCs w:val="24"/>
        </w:rPr>
        <w:t xml:space="preserve">the </w:t>
      </w:r>
      <w:r w:rsidR="00E568B4" w:rsidRPr="003B4362">
        <w:rPr>
          <w:rFonts w:eastAsia="Calibri"/>
          <w:szCs w:val="24"/>
        </w:rPr>
        <w:t>Agency</w:t>
      </w:r>
      <w:r w:rsidRPr="003B4362">
        <w:rPr>
          <w:rFonts w:eastAsia="Calibri"/>
          <w:szCs w:val="24"/>
        </w:rPr>
        <w:t xml:space="preserve"> may </w:t>
      </w:r>
      <w:r w:rsidR="00E568B4" w:rsidRPr="003B4362">
        <w:rPr>
          <w:rFonts w:eastAsia="Calibri"/>
          <w:szCs w:val="24"/>
        </w:rPr>
        <w:t xml:space="preserve">issue a SEP </w:t>
      </w:r>
      <w:r w:rsidRPr="003B4362">
        <w:rPr>
          <w:rFonts w:eastAsia="Calibri"/>
          <w:szCs w:val="24"/>
        </w:rPr>
        <w:t>requir</w:t>
      </w:r>
      <w:r w:rsidR="00E568B4" w:rsidRPr="003B4362">
        <w:rPr>
          <w:rFonts w:eastAsia="Calibri"/>
          <w:szCs w:val="24"/>
        </w:rPr>
        <w:t>ing</w:t>
      </w:r>
      <w:r w:rsidRPr="003B4362">
        <w:rPr>
          <w:rFonts w:eastAsia="Calibri"/>
          <w:szCs w:val="24"/>
        </w:rPr>
        <w:t xml:space="preserve"> the </w:t>
      </w:r>
      <w:r w:rsidR="00E568B4" w:rsidRPr="003B4362">
        <w:rPr>
          <w:rFonts w:eastAsia="Calibri"/>
          <w:szCs w:val="24"/>
        </w:rPr>
        <w:t>supplier</w:t>
      </w:r>
      <w:r w:rsidRPr="003B4362">
        <w:rPr>
          <w:rFonts w:eastAsia="Calibri"/>
          <w:szCs w:val="24"/>
        </w:rPr>
        <w:t xml:space="preserve"> to perform</w:t>
      </w:r>
      <w:bookmarkEnd w:id="920"/>
      <w:r w:rsidRPr="003B4362">
        <w:rPr>
          <w:rFonts w:eastAsia="Calibri"/>
          <w:szCs w:val="24"/>
        </w:rPr>
        <w:t xml:space="preserve"> corrosion control studies for re-optimizi</w:t>
      </w:r>
      <w:r w:rsidR="00E568B4" w:rsidRPr="003B4362">
        <w:rPr>
          <w:rFonts w:eastAsia="Calibri"/>
          <w:szCs w:val="24"/>
        </w:rPr>
        <w:t>ng OCCT</w:t>
      </w:r>
      <w:r w:rsidRPr="003B4362">
        <w:rPr>
          <w:rFonts w:eastAsia="Calibri"/>
          <w:szCs w:val="24"/>
        </w:rPr>
        <w:t xml:space="preserve"> </w:t>
      </w:r>
      <w:bookmarkStart w:id="921" w:name="_Hlk117536896"/>
      <w:r w:rsidRPr="003B4362">
        <w:rPr>
          <w:rFonts w:eastAsia="Calibri"/>
          <w:szCs w:val="24"/>
        </w:rPr>
        <w:t xml:space="preserve">(Section </w:t>
      </w:r>
      <w:r w:rsidR="00E568B4" w:rsidRPr="003B4362">
        <w:rPr>
          <w:rFonts w:eastAsia="Calibri"/>
          <w:szCs w:val="24"/>
        </w:rPr>
        <w:t>61</w:t>
      </w:r>
      <w:r w:rsidRPr="003B4362">
        <w:rPr>
          <w:rFonts w:eastAsia="Calibri"/>
          <w:szCs w:val="24"/>
        </w:rPr>
        <w:t>1.</w:t>
      </w:r>
      <w:r w:rsidR="00E568B4" w:rsidRPr="003B4362">
        <w:rPr>
          <w:rFonts w:eastAsia="Calibri"/>
          <w:szCs w:val="24"/>
        </w:rPr>
        <w:t>35</w:t>
      </w:r>
      <w:r w:rsidRPr="003B4362">
        <w:rPr>
          <w:rFonts w:eastAsia="Calibri"/>
          <w:szCs w:val="24"/>
        </w:rPr>
        <w:t>2</w:t>
      </w:r>
      <w:r w:rsidR="00A409B5" w:rsidRPr="003B4362">
        <w:rPr>
          <w:rFonts w:eastAsia="Calibri"/>
          <w:szCs w:val="24"/>
        </w:rPr>
        <w:t>(c)(1) or (c)(2)</w:t>
      </w:r>
      <w:r w:rsidRPr="003B4362">
        <w:rPr>
          <w:rFonts w:eastAsia="Calibri"/>
          <w:szCs w:val="24"/>
        </w:rPr>
        <w:t>)</w:t>
      </w:r>
      <w:bookmarkEnd w:id="921"/>
      <w:r w:rsidRPr="003B4362">
        <w:rPr>
          <w:rFonts w:eastAsia="Calibri"/>
          <w:szCs w:val="24"/>
        </w:rPr>
        <w:t>.  I</w:t>
      </w:r>
      <w:bookmarkStart w:id="922" w:name="_Hlk117539470"/>
      <w:r w:rsidRPr="003B4362">
        <w:rPr>
          <w:rFonts w:eastAsia="Calibri"/>
          <w:szCs w:val="24"/>
        </w:rPr>
        <w:t xml:space="preserve">f the </w:t>
      </w:r>
      <w:r w:rsidR="001506B7" w:rsidRPr="003B4362">
        <w:rPr>
          <w:rFonts w:eastAsia="Calibri"/>
          <w:szCs w:val="24"/>
        </w:rPr>
        <w:t>Agency</w:t>
      </w:r>
      <w:r w:rsidRPr="003B4362">
        <w:rPr>
          <w:rFonts w:eastAsia="Calibri"/>
          <w:szCs w:val="24"/>
        </w:rPr>
        <w:t xml:space="preserve"> does not require the </w:t>
      </w:r>
      <w:r w:rsidR="001506B7" w:rsidRPr="003B4362">
        <w:rPr>
          <w:rFonts w:eastAsia="Calibri"/>
          <w:szCs w:val="24"/>
        </w:rPr>
        <w:t>supplier</w:t>
      </w:r>
      <w:r w:rsidRPr="003B4362">
        <w:rPr>
          <w:rFonts w:eastAsia="Calibri"/>
          <w:szCs w:val="24"/>
        </w:rPr>
        <w:t xml:space="preserve"> to perform </w:t>
      </w:r>
      <w:r w:rsidR="001506B7" w:rsidRPr="003B4362">
        <w:rPr>
          <w:rFonts w:eastAsia="Calibri"/>
          <w:szCs w:val="24"/>
        </w:rPr>
        <w:t>corrosion control</w:t>
      </w:r>
      <w:r w:rsidRPr="003B4362">
        <w:rPr>
          <w:rFonts w:eastAsia="Calibri"/>
          <w:szCs w:val="24"/>
        </w:rPr>
        <w:t xml:space="preserve"> studies</w:t>
      </w:r>
      <w:bookmarkEnd w:id="922"/>
      <w:r w:rsidRPr="003B4362">
        <w:rPr>
          <w:rFonts w:eastAsia="Calibri"/>
          <w:szCs w:val="24"/>
        </w:rPr>
        <w:t xml:space="preserve">, </w:t>
      </w:r>
      <w:bookmarkStart w:id="923" w:name="_Hlk117539515"/>
      <w:bookmarkStart w:id="924" w:name="_Hlk117540297"/>
      <w:r w:rsidRPr="003B4362">
        <w:rPr>
          <w:rFonts w:eastAsia="Calibri"/>
          <w:szCs w:val="24"/>
        </w:rPr>
        <w:t xml:space="preserve">the </w:t>
      </w:r>
      <w:r w:rsidR="001506B7" w:rsidRPr="003B4362">
        <w:rPr>
          <w:rFonts w:eastAsia="Calibri"/>
          <w:szCs w:val="24"/>
        </w:rPr>
        <w:t>Agency</w:t>
      </w:r>
      <w:r w:rsidRPr="003B4362">
        <w:rPr>
          <w:rFonts w:eastAsia="Calibri"/>
          <w:szCs w:val="24"/>
        </w:rPr>
        <w:t xml:space="preserve"> must </w:t>
      </w:r>
      <w:r w:rsidR="001506B7" w:rsidRPr="003B4362">
        <w:rPr>
          <w:rFonts w:eastAsia="Calibri"/>
          <w:szCs w:val="24"/>
        </w:rPr>
        <w:lastRenderedPageBreak/>
        <w:t xml:space="preserve">issue a SEP </w:t>
      </w:r>
      <w:r w:rsidRPr="003B4362">
        <w:rPr>
          <w:rFonts w:eastAsia="Calibri"/>
          <w:szCs w:val="24"/>
        </w:rPr>
        <w:t>specif</w:t>
      </w:r>
      <w:r w:rsidR="00A85E69" w:rsidRPr="003B4362">
        <w:rPr>
          <w:rFonts w:eastAsia="Calibri"/>
          <w:szCs w:val="24"/>
        </w:rPr>
        <w:t>y</w:t>
      </w:r>
      <w:r w:rsidR="001506B7" w:rsidRPr="003B4362">
        <w:rPr>
          <w:rFonts w:eastAsia="Calibri"/>
          <w:szCs w:val="24"/>
        </w:rPr>
        <w:t>ing</w:t>
      </w:r>
      <w:r w:rsidRPr="003B4362">
        <w:rPr>
          <w:rFonts w:eastAsia="Calibri"/>
          <w:szCs w:val="24"/>
        </w:rPr>
        <w:t xml:space="preserve"> re-optimized </w:t>
      </w:r>
      <w:bookmarkEnd w:id="923"/>
      <w:r w:rsidR="001506B7" w:rsidRPr="003B4362">
        <w:rPr>
          <w:rFonts w:eastAsia="Calibri"/>
          <w:szCs w:val="24"/>
        </w:rPr>
        <w:t>OCCT</w:t>
      </w:r>
      <w:bookmarkEnd w:id="924"/>
      <w:r w:rsidRPr="003B4362">
        <w:rPr>
          <w:rFonts w:eastAsia="Calibri"/>
          <w:szCs w:val="24"/>
        </w:rPr>
        <w:t xml:space="preserve"> (Section </w:t>
      </w:r>
      <w:r w:rsidR="00650E6A" w:rsidRPr="003B4362">
        <w:rPr>
          <w:rFonts w:eastAsia="Calibri"/>
          <w:szCs w:val="24"/>
        </w:rPr>
        <w:t>611.35</w:t>
      </w:r>
      <w:r w:rsidRPr="003B4362">
        <w:rPr>
          <w:rFonts w:eastAsia="Calibri"/>
          <w:szCs w:val="24"/>
        </w:rPr>
        <w:t xml:space="preserve">2(d)(2)) within </w:t>
      </w:r>
      <w:bookmarkStart w:id="925" w:name="_Hlk117540251"/>
      <w:r w:rsidRPr="003B4362">
        <w:rPr>
          <w:rFonts w:eastAsia="Calibri"/>
          <w:szCs w:val="24"/>
        </w:rPr>
        <w:t>the timeframes</w:t>
      </w:r>
      <w:r w:rsidR="00A85E69" w:rsidRPr="003B4362">
        <w:rPr>
          <w:rFonts w:eastAsia="Calibri"/>
          <w:szCs w:val="24"/>
        </w:rPr>
        <w:t xml:space="preserve"> </w:t>
      </w:r>
      <w:r w:rsidR="00FB2248" w:rsidRPr="003B4362">
        <w:rPr>
          <w:rFonts w:eastAsia="Calibri"/>
          <w:szCs w:val="24"/>
        </w:rPr>
        <w:t xml:space="preserve">in </w:t>
      </w:r>
      <w:r w:rsidRPr="003B4362">
        <w:rPr>
          <w:rFonts w:eastAsia="Calibri"/>
          <w:szCs w:val="24"/>
        </w:rPr>
        <w:t xml:space="preserve">subsections (d)(2)(B)(i) and </w:t>
      </w:r>
      <w:r w:rsidR="00A85E69" w:rsidRPr="003B4362">
        <w:rPr>
          <w:rFonts w:eastAsia="Calibri"/>
          <w:szCs w:val="24"/>
        </w:rPr>
        <w:t>(d)(2)(B)</w:t>
      </w:r>
      <w:r w:rsidRPr="003B4362">
        <w:rPr>
          <w:rFonts w:eastAsia="Calibri"/>
          <w:szCs w:val="24"/>
        </w:rPr>
        <w:t>(ii)</w:t>
      </w:r>
      <w:bookmarkEnd w:id="925"/>
      <w:r w:rsidRPr="003B4362">
        <w:rPr>
          <w:rFonts w:eastAsia="Calibri"/>
          <w:szCs w:val="24"/>
        </w:rPr>
        <w:t>.</w:t>
      </w:r>
    </w:p>
    <w:p w14:paraId="6178A8FD" w14:textId="4CEA458E" w:rsidR="0000779A" w:rsidRPr="003B4362" w:rsidRDefault="0000779A" w:rsidP="0000779A">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r>
      <w:bookmarkStart w:id="926" w:name="_Hlk117540713"/>
      <w:r w:rsidR="00E17566" w:rsidRPr="003B4362">
        <w:rPr>
          <w:rFonts w:eastAsia="Calibri"/>
          <w:szCs w:val="24"/>
        </w:rPr>
        <w:t>A</w:t>
      </w:r>
      <w:r w:rsidRPr="003B4362">
        <w:rPr>
          <w:rFonts w:eastAsia="Calibri"/>
          <w:szCs w:val="24"/>
        </w:rPr>
        <w:t xml:space="preserve"> </w:t>
      </w:r>
      <w:bookmarkStart w:id="927" w:name="_Hlk117540947"/>
      <w:r w:rsidRPr="003B4362">
        <w:rPr>
          <w:rFonts w:eastAsia="Calibri"/>
          <w:szCs w:val="24"/>
        </w:rPr>
        <w:t>m</w:t>
      </w:r>
      <w:r w:rsidR="00265539" w:rsidRPr="003B4362">
        <w:rPr>
          <w:rFonts w:eastAsia="Calibri"/>
          <w:szCs w:val="24"/>
        </w:rPr>
        <w:t>id</w:t>
      </w:r>
      <w:r w:rsidRPr="003B4362">
        <w:rPr>
          <w:rFonts w:eastAsia="Calibri"/>
          <w:szCs w:val="24"/>
        </w:rPr>
        <w:t>-size</w:t>
      </w:r>
      <w:r w:rsidR="00E17566" w:rsidRPr="003B4362">
        <w:rPr>
          <w:rFonts w:eastAsia="Calibri"/>
          <w:szCs w:val="24"/>
        </w:rPr>
        <w:t>d</w:t>
      </w:r>
      <w:r w:rsidRPr="003B4362">
        <w:rPr>
          <w:rFonts w:eastAsia="Calibri"/>
          <w:szCs w:val="24"/>
        </w:rPr>
        <w:t xml:space="preserve"> s</w:t>
      </w:r>
      <w:r w:rsidR="00E17566" w:rsidRPr="003B4362">
        <w:rPr>
          <w:rFonts w:eastAsia="Calibri"/>
          <w:szCs w:val="24"/>
        </w:rPr>
        <w:t>upplier must perform corrosion control studies for re-optimizing OCCT</w:t>
      </w:r>
      <w:bookmarkEnd w:id="927"/>
      <w:r w:rsidRPr="003B4362">
        <w:rPr>
          <w:rFonts w:eastAsia="Calibri"/>
          <w:szCs w:val="24"/>
        </w:rPr>
        <w:t xml:space="preserve"> within 12 months</w:t>
      </w:r>
      <w:bookmarkEnd w:id="926"/>
      <w:r w:rsidRPr="003B4362">
        <w:rPr>
          <w:rFonts w:eastAsia="Calibri"/>
          <w:szCs w:val="24"/>
        </w:rPr>
        <w:t xml:space="preserve"> after the end of the tap sampling period during which </w:t>
      </w:r>
      <w:bookmarkStart w:id="928" w:name="_Hlk117540983"/>
      <w:bookmarkStart w:id="929" w:name="_Hlk117541061"/>
      <w:r w:rsidR="00E17566" w:rsidRPr="003B4362">
        <w:rPr>
          <w:rFonts w:eastAsia="Calibri"/>
          <w:szCs w:val="24"/>
        </w:rPr>
        <w:t>the supplier</w:t>
      </w:r>
      <w:r w:rsidRPr="003B4362">
        <w:rPr>
          <w:rFonts w:eastAsia="Calibri"/>
          <w:szCs w:val="24"/>
        </w:rPr>
        <w:t xml:space="preserve"> exceed</w:t>
      </w:r>
      <w:bookmarkEnd w:id="928"/>
      <w:r w:rsidR="00E17566" w:rsidRPr="003B4362">
        <w:rPr>
          <w:rFonts w:eastAsia="Calibri"/>
          <w:szCs w:val="24"/>
        </w:rPr>
        <w:t>ed</w:t>
      </w:r>
      <w:bookmarkEnd w:id="929"/>
      <w:r w:rsidRPr="003B4362">
        <w:rPr>
          <w:rFonts w:eastAsia="Calibri"/>
          <w:szCs w:val="24"/>
        </w:rPr>
        <w:t xml:space="preserve"> the lead trigger level or copper action level.</w:t>
      </w:r>
    </w:p>
    <w:p w14:paraId="6CF7CAC6" w14:textId="2584F669" w:rsidR="0000779A" w:rsidRPr="003B4362" w:rsidRDefault="0000779A" w:rsidP="0000779A">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r>
      <w:r w:rsidR="00E17566" w:rsidRPr="003B4362">
        <w:rPr>
          <w:rFonts w:eastAsia="Calibri"/>
          <w:szCs w:val="24"/>
        </w:rPr>
        <w:t>A</w:t>
      </w:r>
      <w:r w:rsidRPr="003B4362">
        <w:rPr>
          <w:rFonts w:eastAsia="Calibri"/>
          <w:szCs w:val="24"/>
        </w:rPr>
        <w:t xml:space="preserve"> </w:t>
      </w:r>
      <w:bookmarkStart w:id="930" w:name="_Hlk117541118"/>
      <w:r w:rsidRPr="003B4362">
        <w:rPr>
          <w:rFonts w:eastAsia="Calibri"/>
          <w:szCs w:val="24"/>
        </w:rPr>
        <w:t xml:space="preserve">small </w:t>
      </w:r>
      <w:r w:rsidR="00E17566" w:rsidRPr="003B4362">
        <w:rPr>
          <w:rFonts w:eastAsia="Calibri"/>
          <w:szCs w:val="24"/>
        </w:rPr>
        <w:t>supplier must perform corrosion control studies for re-optimizing OCCT</w:t>
      </w:r>
      <w:r w:rsidRPr="003B4362">
        <w:rPr>
          <w:rFonts w:eastAsia="Calibri"/>
          <w:szCs w:val="24"/>
        </w:rPr>
        <w:t xml:space="preserve"> within 18 months</w:t>
      </w:r>
      <w:bookmarkEnd w:id="930"/>
      <w:r w:rsidRPr="003B4362">
        <w:rPr>
          <w:rFonts w:eastAsia="Calibri"/>
          <w:szCs w:val="24"/>
        </w:rPr>
        <w:t xml:space="preserve"> after the end of the tap sampling period during which </w:t>
      </w:r>
      <w:r w:rsidR="00E17566" w:rsidRPr="003B4362">
        <w:rPr>
          <w:rFonts w:eastAsia="Calibri"/>
          <w:szCs w:val="24"/>
        </w:rPr>
        <w:t>the supplier exceeded</w:t>
      </w:r>
      <w:r w:rsidRPr="003B4362">
        <w:rPr>
          <w:rFonts w:eastAsia="Calibri"/>
          <w:szCs w:val="24"/>
        </w:rPr>
        <w:t xml:space="preserve"> the lead trigger level or copper action level.</w:t>
      </w:r>
    </w:p>
    <w:p w14:paraId="33F5A201" w14:textId="6E85887A"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Step 3</w:t>
      </w:r>
    </w:p>
    <w:p w14:paraId="4249FFAD" w14:textId="4E0E3D4C" w:rsidR="009E214B" w:rsidRPr="003B4362" w:rsidRDefault="009E214B" w:rsidP="009E214B">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A</w:t>
      </w:r>
      <w:bookmarkStart w:id="931" w:name="_Hlk117541452"/>
      <w:bookmarkStart w:id="932" w:name="_Hlk117541653"/>
      <w:r w:rsidRPr="003B4362">
        <w:rPr>
          <w:rFonts w:eastAsia="Calibri"/>
          <w:szCs w:val="24"/>
        </w:rPr>
        <w:t xml:space="preserve"> supplier having lead service lines </w:t>
      </w:r>
      <w:bookmarkEnd w:id="931"/>
      <w:bookmarkEnd w:id="932"/>
      <w:r w:rsidR="001F112C" w:rsidRPr="003B4362">
        <w:rPr>
          <w:rFonts w:eastAsia="Calibri"/>
          <w:szCs w:val="24"/>
        </w:rPr>
        <w:t>that exceeds</w:t>
      </w:r>
      <w:r w:rsidRPr="003B4362">
        <w:rPr>
          <w:rFonts w:eastAsia="Calibri"/>
          <w:szCs w:val="24"/>
        </w:rPr>
        <w:t xml:space="preserve"> the lead action level must complete the corrosion control treatment studies for </w:t>
      </w:r>
      <w:bookmarkStart w:id="933" w:name="_Hlk117541736"/>
      <w:r w:rsidRPr="003B4362">
        <w:rPr>
          <w:rFonts w:eastAsia="Calibri"/>
          <w:szCs w:val="24"/>
        </w:rPr>
        <w:t>re-optimizing OCCT</w:t>
      </w:r>
      <w:bookmarkEnd w:id="933"/>
      <w:r w:rsidRPr="003B4362">
        <w:rPr>
          <w:rFonts w:eastAsia="Calibri"/>
          <w:szCs w:val="24"/>
        </w:rPr>
        <w:t xml:space="preserve"> within 30 months after the end of the tap sampling period during which the supplier exceeded the lead action level.</w:t>
      </w:r>
    </w:p>
    <w:p w14:paraId="2BE25BFA" w14:textId="3F17C0BD" w:rsidR="009E214B" w:rsidRPr="003B4362" w:rsidRDefault="009E214B" w:rsidP="009E214B">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I</w:t>
      </w:r>
      <w:bookmarkStart w:id="934" w:name="_Hlk117542102"/>
      <w:r w:rsidRPr="003B4362">
        <w:rPr>
          <w:rFonts w:eastAsia="Calibri"/>
          <w:szCs w:val="24"/>
        </w:rPr>
        <w:t>f</w:t>
      </w:r>
      <w:r w:rsidR="00373AB8" w:rsidRPr="003B4362">
        <w:rPr>
          <w:rFonts w:eastAsia="Calibri"/>
          <w:szCs w:val="24"/>
        </w:rPr>
        <w:t xml:space="preserve"> subsection (d)(2) (Step 2)</w:t>
      </w:r>
      <w:r w:rsidRPr="003B4362">
        <w:rPr>
          <w:rFonts w:eastAsia="Calibri"/>
          <w:szCs w:val="24"/>
        </w:rPr>
        <w:t xml:space="preserve"> </w:t>
      </w:r>
      <w:r w:rsidR="00373AB8" w:rsidRPr="003B4362">
        <w:rPr>
          <w:rFonts w:eastAsia="Calibri"/>
          <w:szCs w:val="24"/>
        </w:rPr>
        <w:t xml:space="preserve">requires </w:t>
      </w:r>
      <w:r w:rsidRPr="003B4362">
        <w:rPr>
          <w:rFonts w:eastAsia="Calibri"/>
          <w:szCs w:val="24"/>
        </w:rPr>
        <w:t xml:space="preserve">the </w:t>
      </w:r>
      <w:r w:rsidR="00373AB8" w:rsidRPr="003B4362">
        <w:rPr>
          <w:rFonts w:eastAsia="Calibri"/>
          <w:szCs w:val="24"/>
        </w:rPr>
        <w:t>supplier</w:t>
      </w:r>
      <w:r w:rsidRPr="003B4362">
        <w:rPr>
          <w:rFonts w:eastAsia="Calibri"/>
          <w:szCs w:val="24"/>
        </w:rPr>
        <w:t xml:space="preserve"> to perform corrosion control studies</w:t>
      </w:r>
      <w:bookmarkEnd w:id="934"/>
      <w:r w:rsidRPr="003B4362">
        <w:rPr>
          <w:rFonts w:eastAsia="Calibri"/>
          <w:szCs w:val="24"/>
        </w:rPr>
        <w:t xml:space="preserve">, </w:t>
      </w:r>
      <w:bookmarkStart w:id="935" w:name="_Hlk117542389"/>
      <w:r w:rsidRPr="003B4362">
        <w:rPr>
          <w:rFonts w:eastAsia="Calibri"/>
          <w:szCs w:val="24"/>
        </w:rPr>
        <w:t xml:space="preserve">the </w:t>
      </w:r>
      <w:r w:rsidR="00373AB8" w:rsidRPr="003B4362">
        <w:rPr>
          <w:rFonts w:eastAsia="Calibri"/>
          <w:szCs w:val="24"/>
        </w:rPr>
        <w:t>supplier</w:t>
      </w:r>
      <w:r w:rsidRPr="003B4362">
        <w:rPr>
          <w:rFonts w:eastAsia="Calibri"/>
          <w:szCs w:val="24"/>
        </w:rPr>
        <w:t xml:space="preserve"> </w:t>
      </w:r>
      <w:r w:rsidR="00373AB8" w:rsidRPr="003B4362">
        <w:rPr>
          <w:rFonts w:eastAsia="Calibri"/>
          <w:szCs w:val="24"/>
        </w:rPr>
        <w:t>must</w:t>
      </w:r>
      <w:r w:rsidRPr="003B4362">
        <w:rPr>
          <w:rFonts w:eastAsia="Calibri"/>
          <w:szCs w:val="24"/>
        </w:rPr>
        <w:t xml:space="preserve"> complete</w:t>
      </w:r>
      <w:bookmarkEnd w:id="935"/>
      <w:r w:rsidRPr="003B4362">
        <w:rPr>
          <w:rFonts w:eastAsia="Calibri"/>
          <w:szCs w:val="24"/>
        </w:rPr>
        <w:t xml:space="preserve"> the studies (Section </w:t>
      </w:r>
      <w:r w:rsidR="00650E6A" w:rsidRPr="003B4362">
        <w:rPr>
          <w:rFonts w:eastAsia="Calibri"/>
          <w:szCs w:val="24"/>
        </w:rPr>
        <w:t>611.35</w:t>
      </w:r>
      <w:r w:rsidRPr="003B4362">
        <w:rPr>
          <w:rFonts w:eastAsia="Calibri"/>
          <w:szCs w:val="24"/>
        </w:rPr>
        <w:t xml:space="preserve">2(c)(2)) within 18 months </w:t>
      </w:r>
      <w:bookmarkStart w:id="936" w:name="_Hlk117542651"/>
      <w:r w:rsidRPr="003B4362">
        <w:rPr>
          <w:rFonts w:eastAsia="Calibri"/>
          <w:szCs w:val="24"/>
        </w:rPr>
        <w:t xml:space="preserve">after </w:t>
      </w:r>
      <w:bookmarkStart w:id="937" w:name="_Hlk117542809"/>
      <w:r w:rsidRPr="003B4362">
        <w:rPr>
          <w:rFonts w:eastAsia="Calibri"/>
          <w:szCs w:val="24"/>
        </w:rPr>
        <w:t xml:space="preserve">the </w:t>
      </w:r>
      <w:r w:rsidR="009C0D2A" w:rsidRPr="003B4362">
        <w:rPr>
          <w:rFonts w:eastAsia="Calibri"/>
          <w:szCs w:val="24"/>
        </w:rPr>
        <w:t>Agency issues a SEP</w:t>
      </w:r>
      <w:r w:rsidRPr="003B4362">
        <w:rPr>
          <w:rFonts w:eastAsia="Calibri"/>
          <w:szCs w:val="24"/>
        </w:rPr>
        <w:t xml:space="preserve"> requir</w:t>
      </w:r>
      <w:r w:rsidR="009C0D2A" w:rsidRPr="003B4362">
        <w:rPr>
          <w:rFonts w:eastAsia="Calibri"/>
          <w:szCs w:val="24"/>
        </w:rPr>
        <w:t>ing</w:t>
      </w:r>
      <w:r w:rsidRPr="003B4362">
        <w:rPr>
          <w:rFonts w:eastAsia="Calibri"/>
          <w:szCs w:val="24"/>
        </w:rPr>
        <w:t xml:space="preserve"> </w:t>
      </w:r>
      <w:r w:rsidR="009C0D2A" w:rsidRPr="003B4362">
        <w:rPr>
          <w:rFonts w:eastAsia="Calibri"/>
          <w:szCs w:val="24"/>
        </w:rPr>
        <w:t>the supplier to conduct the</w:t>
      </w:r>
      <w:r w:rsidRPr="003B4362">
        <w:rPr>
          <w:rFonts w:eastAsia="Calibri"/>
          <w:szCs w:val="24"/>
        </w:rPr>
        <w:t xml:space="preserve"> studies</w:t>
      </w:r>
      <w:bookmarkEnd w:id="936"/>
      <w:bookmarkEnd w:id="937"/>
      <w:r w:rsidRPr="003B4362">
        <w:rPr>
          <w:rFonts w:eastAsia="Calibri"/>
          <w:szCs w:val="24"/>
        </w:rPr>
        <w:t>.</w:t>
      </w:r>
    </w:p>
    <w:p w14:paraId="7154C9B7" w14:textId="13D1B206"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Step 4</w:t>
      </w:r>
    </w:p>
    <w:p w14:paraId="4F4C03D3" w14:textId="616508FF" w:rsidR="00514D66" w:rsidRPr="003B4362" w:rsidRDefault="00514D66" w:rsidP="00514D66">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T</w:t>
      </w:r>
      <w:bookmarkStart w:id="938" w:name="_Hlk117544485"/>
      <w:r w:rsidRPr="003B4362">
        <w:rPr>
          <w:rFonts w:eastAsia="Calibri"/>
          <w:szCs w:val="24"/>
        </w:rPr>
        <w:t xml:space="preserve">he </w:t>
      </w:r>
      <w:r w:rsidR="00650E6A" w:rsidRPr="003B4362">
        <w:rPr>
          <w:rFonts w:eastAsia="Calibri"/>
          <w:szCs w:val="24"/>
        </w:rPr>
        <w:t>Agency</w:t>
      </w:r>
      <w:r w:rsidRPr="003B4362">
        <w:rPr>
          <w:rFonts w:eastAsia="Calibri"/>
          <w:szCs w:val="24"/>
        </w:rPr>
        <w:t xml:space="preserve"> </w:t>
      </w:r>
      <w:r w:rsidR="00650E6A" w:rsidRPr="003B4362">
        <w:rPr>
          <w:rFonts w:eastAsia="Calibri"/>
          <w:szCs w:val="24"/>
        </w:rPr>
        <w:t>must issue a SEP</w:t>
      </w:r>
      <w:r w:rsidRPr="003B4362">
        <w:rPr>
          <w:rFonts w:eastAsia="Calibri"/>
          <w:szCs w:val="24"/>
        </w:rPr>
        <w:t xml:space="preserve"> designat</w:t>
      </w:r>
      <w:r w:rsidR="00650E6A" w:rsidRPr="003B4362">
        <w:rPr>
          <w:rFonts w:eastAsia="Calibri"/>
          <w:szCs w:val="24"/>
        </w:rPr>
        <w:t>ing</w:t>
      </w:r>
      <w:r w:rsidRPr="003B4362">
        <w:rPr>
          <w:rFonts w:eastAsia="Calibri"/>
          <w:szCs w:val="24"/>
        </w:rPr>
        <w:t xml:space="preserve"> re-optimized </w:t>
      </w:r>
      <w:r w:rsidR="00650E6A" w:rsidRPr="003B4362">
        <w:rPr>
          <w:rFonts w:eastAsia="Calibri"/>
          <w:szCs w:val="24"/>
        </w:rPr>
        <w:t>OCCT</w:t>
      </w:r>
      <w:bookmarkEnd w:id="938"/>
      <w:r w:rsidRPr="003B4362">
        <w:rPr>
          <w:rFonts w:eastAsia="Calibri"/>
          <w:szCs w:val="24"/>
        </w:rPr>
        <w:t xml:space="preserve"> (</w:t>
      </w:r>
      <w:r w:rsidR="00F078C9" w:rsidRPr="003B4362">
        <w:rPr>
          <w:rFonts w:eastAsia="Calibri"/>
          <w:szCs w:val="24"/>
        </w:rPr>
        <w:t>sub</w:t>
      </w:r>
      <w:r w:rsidR="009B27EE" w:rsidRPr="003B4362">
        <w:rPr>
          <w:rFonts w:eastAsia="Calibri"/>
          <w:szCs w:val="24"/>
        </w:rPr>
        <w:t>s</w:t>
      </w:r>
      <w:r w:rsidRPr="003B4362">
        <w:rPr>
          <w:rFonts w:eastAsia="Calibri"/>
          <w:szCs w:val="24"/>
        </w:rPr>
        <w:t>ection (d)(</w:t>
      </w:r>
      <w:r w:rsidR="001D6813" w:rsidRPr="003B4362">
        <w:rPr>
          <w:rFonts w:eastAsia="Calibri"/>
          <w:szCs w:val="24"/>
        </w:rPr>
        <w:t>3</w:t>
      </w:r>
      <w:r w:rsidRPr="003B4362">
        <w:rPr>
          <w:rFonts w:eastAsia="Calibri"/>
          <w:szCs w:val="24"/>
        </w:rPr>
        <w:t>)</w:t>
      </w:r>
      <w:r w:rsidR="0077118A" w:rsidRPr="003B4362">
        <w:rPr>
          <w:rFonts w:eastAsia="Calibri"/>
          <w:szCs w:val="24"/>
        </w:rPr>
        <w:t>(A)</w:t>
      </w:r>
      <w:r w:rsidRPr="003B4362">
        <w:rPr>
          <w:rFonts w:eastAsia="Calibri"/>
          <w:szCs w:val="24"/>
        </w:rPr>
        <w:t xml:space="preserve">) within six months </w:t>
      </w:r>
      <w:bookmarkStart w:id="939" w:name="_Hlk117544693"/>
      <w:r w:rsidRPr="003B4362">
        <w:rPr>
          <w:rFonts w:eastAsia="Calibri"/>
          <w:szCs w:val="24"/>
        </w:rPr>
        <w:t xml:space="preserve">after </w:t>
      </w:r>
      <w:r w:rsidR="000360B3" w:rsidRPr="003B4362">
        <w:rPr>
          <w:rFonts w:eastAsia="Calibri"/>
          <w:szCs w:val="24"/>
        </w:rPr>
        <w:t xml:space="preserve">the supplier </w:t>
      </w:r>
      <w:r w:rsidRPr="003B4362">
        <w:rPr>
          <w:rFonts w:eastAsia="Calibri"/>
          <w:szCs w:val="24"/>
        </w:rPr>
        <w:t>complet</w:t>
      </w:r>
      <w:r w:rsidR="000360B3" w:rsidRPr="003B4362">
        <w:rPr>
          <w:rFonts w:eastAsia="Calibri"/>
          <w:szCs w:val="24"/>
        </w:rPr>
        <w:t>es</w:t>
      </w:r>
      <w:r w:rsidRPr="003B4362">
        <w:rPr>
          <w:rFonts w:eastAsia="Calibri"/>
          <w:szCs w:val="24"/>
        </w:rPr>
        <w:t xml:space="preserve"> subsection (</w:t>
      </w:r>
      <w:r w:rsidR="001D6813" w:rsidRPr="003B4362">
        <w:rPr>
          <w:rFonts w:eastAsia="Calibri"/>
          <w:szCs w:val="24"/>
        </w:rPr>
        <w:t>d</w:t>
      </w:r>
      <w:r w:rsidRPr="003B4362">
        <w:rPr>
          <w:rFonts w:eastAsia="Calibri"/>
          <w:szCs w:val="24"/>
        </w:rPr>
        <w:t>)(</w:t>
      </w:r>
      <w:r w:rsidR="009B27EE" w:rsidRPr="003B4362">
        <w:rPr>
          <w:rFonts w:eastAsia="Calibri"/>
          <w:szCs w:val="24"/>
        </w:rPr>
        <w:t>3</w:t>
      </w:r>
      <w:r w:rsidRPr="003B4362">
        <w:rPr>
          <w:rFonts w:eastAsia="Calibri"/>
          <w:szCs w:val="24"/>
        </w:rPr>
        <w:t>)(</w:t>
      </w:r>
      <w:r w:rsidR="00650E6A" w:rsidRPr="003B4362">
        <w:rPr>
          <w:rFonts w:eastAsia="Calibri"/>
          <w:szCs w:val="24"/>
        </w:rPr>
        <w:t>A</w:t>
      </w:r>
      <w:r w:rsidRPr="003B4362">
        <w:rPr>
          <w:rFonts w:eastAsia="Calibri"/>
          <w:szCs w:val="24"/>
        </w:rPr>
        <w:t>) (Step 3)</w:t>
      </w:r>
      <w:bookmarkEnd w:id="939"/>
      <w:r w:rsidRPr="003B4362">
        <w:rPr>
          <w:rFonts w:eastAsia="Calibri"/>
          <w:szCs w:val="24"/>
        </w:rPr>
        <w:t>.</w:t>
      </w:r>
    </w:p>
    <w:p w14:paraId="323B9BA2" w14:textId="676DB7EC" w:rsidR="00514D66" w:rsidRPr="003B4362" w:rsidRDefault="00514D66" w:rsidP="00514D66">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I</w:t>
      </w:r>
      <w:bookmarkStart w:id="940" w:name="_Hlk117545103"/>
      <w:r w:rsidRPr="003B4362">
        <w:rPr>
          <w:rFonts w:eastAsia="Calibri"/>
          <w:szCs w:val="24"/>
        </w:rPr>
        <w:t xml:space="preserve">f the </w:t>
      </w:r>
      <w:r w:rsidR="000360B3" w:rsidRPr="003B4362">
        <w:rPr>
          <w:rFonts w:eastAsia="Calibri"/>
          <w:szCs w:val="24"/>
        </w:rPr>
        <w:t xml:space="preserve">supplier </w:t>
      </w:r>
      <w:r w:rsidRPr="003B4362">
        <w:rPr>
          <w:rFonts w:eastAsia="Calibri"/>
          <w:szCs w:val="24"/>
        </w:rPr>
        <w:t>performed corrosion control studies</w:t>
      </w:r>
      <w:bookmarkEnd w:id="940"/>
      <w:r w:rsidRPr="003B4362">
        <w:rPr>
          <w:rFonts w:eastAsia="Calibri"/>
          <w:szCs w:val="24"/>
        </w:rPr>
        <w:t xml:space="preserve"> under subsection (d)(2) (Step 2), the </w:t>
      </w:r>
      <w:r w:rsidR="000360B3" w:rsidRPr="003B4362">
        <w:rPr>
          <w:rFonts w:eastAsia="Calibri"/>
          <w:szCs w:val="24"/>
        </w:rPr>
        <w:t>Agency</w:t>
      </w:r>
      <w:r w:rsidRPr="003B4362">
        <w:rPr>
          <w:rFonts w:eastAsia="Calibri"/>
          <w:szCs w:val="24"/>
        </w:rPr>
        <w:t xml:space="preserve"> </w:t>
      </w:r>
      <w:r w:rsidR="000360B3" w:rsidRPr="003B4362">
        <w:rPr>
          <w:rFonts w:eastAsia="Calibri"/>
          <w:szCs w:val="24"/>
        </w:rPr>
        <w:t>must issue a SEP designating</w:t>
      </w:r>
      <w:r w:rsidRPr="003B4362">
        <w:rPr>
          <w:rFonts w:eastAsia="Calibri"/>
          <w:szCs w:val="24"/>
        </w:rPr>
        <w:t xml:space="preserve"> re-optimized </w:t>
      </w:r>
      <w:r w:rsidR="000360B3" w:rsidRPr="003B4362">
        <w:rPr>
          <w:rFonts w:eastAsia="Calibri"/>
          <w:szCs w:val="24"/>
        </w:rPr>
        <w:t>OCCT</w:t>
      </w:r>
      <w:r w:rsidRPr="003B4362">
        <w:rPr>
          <w:rFonts w:eastAsia="Calibri"/>
          <w:szCs w:val="24"/>
        </w:rPr>
        <w:t xml:space="preserve"> (Section </w:t>
      </w:r>
      <w:r w:rsidR="00650E6A" w:rsidRPr="003B4362">
        <w:rPr>
          <w:rFonts w:eastAsia="Calibri"/>
          <w:szCs w:val="24"/>
        </w:rPr>
        <w:t>611.35</w:t>
      </w:r>
      <w:r w:rsidRPr="003B4362">
        <w:rPr>
          <w:rFonts w:eastAsia="Calibri"/>
          <w:szCs w:val="24"/>
        </w:rPr>
        <w:t xml:space="preserve">2(d)(2) or </w:t>
      </w:r>
      <w:r w:rsidR="000360B3" w:rsidRPr="003B4362">
        <w:rPr>
          <w:rFonts w:eastAsia="Calibri"/>
          <w:szCs w:val="24"/>
        </w:rPr>
        <w:t>(d)</w:t>
      </w:r>
      <w:r w:rsidRPr="003B4362">
        <w:rPr>
          <w:rFonts w:eastAsia="Calibri"/>
          <w:szCs w:val="24"/>
        </w:rPr>
        <w:t xml:space="preserve">(4)) within six months after </w:t>
      </w:r>
      <w:r w:rsidR="000360B3" w:rsidRPr="003B4362">
        <w:rPr>
          <w:rFonts w:eastAsia="Calibri"/>
          <w:szCs w:val="24"/>
        </w:rPr>
        <w:t xml:space="preserve">the supplier </w:t>
      </w:r>
      <w:r w:rsidRPr="003B4362">
        <w:rPr>
          <w:rFonts w:eastAsia="Calibri"/>
          <w:szCs w:val="24"/>
        </w:rPr>
        <w:t>complet</w:t>
      </w:r>
      <w:r w:rsidR="000360B3" w:rsidRPr="003B4362">
        <w:rPr>
          <w:rFonts w:eastAsia="Calibri"/>
          <w:szCs w:val="24"/>
        </w:rPr>
        <w:t>es</w:t>
      </w:r>
      <w:r w:rsidRPr="003B4362">
        <w:rPr>
          <w:rFonts w:eastAsia="Calibri"/>
          <w:szCs w:val="24"/>
        </w:rPr>
        <w:t xml:space="preserve"> subsection (d)(3)(B) (Step 3).</w:t>
      </w:r>
    </w:p>
    <w:p w14:paraId="5CCB6B03" w14:textId="6EA753D6" w:rsidR="005451CE" w:rsidRPr="003B4362" w:rsidRDefault="005451CE" w:rsidP="005451CE">
      <w:pPr>
        <w:spacing w:before="240" w:after="240"/>
        <w:ind w:left="2160" w:hanging="720"/>
        <w:rPr>
          <w:rFonts w:eastAsia="Calibri"/>
        </w:rPr>
      </w:pPr>
      <w:r w:rsidRPr="003B4362">
        <w:rPr>
          <w:rFonts w:eastAsia="Calibri"/>
        </w:rPr>
        <w:t>5)</w:t>
      </w:r>
      <w:r w:rsidRPr="003B4362">
        <w:rPr>
          <w:rFonts w:eastAsia="Calibri"/>
        </w:rPr>
        <w:tab/>
        <w:t>Step 5</w:t>
      </w:r>
    </w:p>
    <w:p w14:paraId="6F22F5D4" w14:textId="14C07114" w:rsidR="0009696D" w:rsidRPr="003B4362" w:rsidRDefault="0009696D" w:rsidP="0009696D">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bookmarkStart w:id="941" w:name="_Hlk117545527"/>
      <w:r w:rsidRPr="003B4362">
        <w:rPr>
          <w:rFonts w:eastAsia="Calibri"/>
          <w:szCs w:val="24"/>
        </w:rPr>
        <w:t>A</w:t>
      </w:r>
      <w:bookmarkStart w:id="942" w:name="_Hlk117545687"/>
      <w:r w:rsidRPr="003B4362">
        <w:rPr>
          <w:rFonts w:eastAsia="Calibri"/>
          <w:szCs w:val="24"/>
        </w:rPr>
        <w:t xml:space="preserve"> large supplier must complete modifying its corrosion control treatment</w:t>
      </w:r>
      <w:bookmarkEnd w:id="941"/>
      <w:bookmarkEnd w:id="942"/>
      <w:r w:rsidRPr="003B4362">
        <w:rPr>
          <w:rFonts w:eastAsia="Calibri"/>
          <w:szCs w:val="24"/>
        </w:rPr>
        <w:t xml:space="preserve"> </w:t>
      </w:r>
      <w:bookmarkStart w:id="943" w:name="_Hlk117546224"/>
      <w:r w:rsidRPr="003B4362">
        <w:rPr>
          <w:rFonts w:eastAsia="Calibri"/>
          <w:szCs w:val="24"/>
        </w:rPr>
        <w:t xml:space="preserve">to have </w:t>
      </w:r>
      <w:r w:rsidR="004E515A" w:rsidRPr="003B4362">
        <w:rPr>
          <w:rFonts w:eastAsia="Calibri"/>
          <w:szCs w:val="24"/>
        </w:rPr>
        <w:t xml:space="preserve">installed </w:t>
      </w:r>
      <w:r w:rsidRPr="003B4362">
        <w:rPr>
          <w:rFonts w:eastAsia="Calibri"/>
          <w:szCs w:val="24"/>
        </w:rPr>
        <w:t xml:space="preserve">re-optimized </w:t>
      </w:r>
      <w:r w:rsidR="004E515A" w:rsidRPr="003B4362">
        <w:rPr>
          <w:rFonts w:eastAsia="Calibri"/>
          <w:szCs w:val="24"/>
        </w:rPr>
        <w:t>OCCT</w:t>
      </w:r>
      <w:r w:rsidRPr="003B4362">
        <w:rPr>
          <w:rFonts w:eastAsia="Calibri"/>
          <w:szCs w:val="24"/>
        </w:rPr>
        <w:t xml:space="preserve"> within 12 months</w:t>
      </w:r>
      <w:bookmarkEnd w:id="943"/>
      <w:r w:rsidRPr="003B4362">
        <w:rPr>
          <w:rFonts w:eastAsia="Calibri"/>
          <w:szCs w:val="24"/>
        </w:rPr>
        <w:t xml:space="preserve"> after </w:t>
      </w:r>
      <w:r w:rsidR="004E515A" w:rsidRPr="003B4362">
        <w:rPr>
          <w:rFonts w:eastAsia="Calibri"/>
          <w:szCs w:val="24"/>
        </w:rPr>
        <w:t>the supplier completes</w:t>
      </w:r>
      <w:r w:rsidRPr="003B4362">
        <w:rPr>
          <w:rFonts w:eastAsia="Calibri"/>
          <w:szCs w:val="24"/>
        </w:rPr>
        <w:t xml:space="preserve"> subsection (d)(4)(A) (Step 4).</w:t>
      </w:r>
    </w:p>
    <w:p w14:paraId="2B3DC3F9" w14:textId="5E05484A" w:rsidR="0009696D" w:rsidRPr="003B4362" w:rsidRDefault="0009696D" w:rsidP="0009696D">
      <w:pPr>
        <w:autoSpaceDE w:val="0"/>
        <w:autoSpaceDN w:val="0"/>
        <w:adjustRightInd w:val="0"/>
        <w:spacing w:before="240" w:after="240"/>
        <w:ind w:left="2880" w:hanging="720"/>
        <w:rPr>
          <w:rFonts w:eastAsia="Calibri"/>
          <w:szCs w:val="24"/>
        </w:rPr>
      </w:pPr>
      <w:r w:rsidRPr="003B4362">
        <w:rPr>
          <w:rFonts w:eastAsia="Calibri"/>
          <w:szCs w:val="24"/>
        </w:rPr>
        <w:lastRenderedPageBreak/>
        <w:t>B)</w:t>
      </w:r>
      <w:r w:rsidRPr="003B4362">
        <w:rPr>
          <w:rFonts w:eastAsia="Calibri"/>
          <w:szCs w:val="24"/>
        </w:rPr>
        <w:tab/>
      </w:r>
      <w:r w:rsidR="004E515A" w:rsidRPr="003B4362">
        <w:rPr>
          <w:rFonts w:eastAsia="Calibri"/>
          <w:szCs w:val="24"/>
        </w:rPr>
        <w:t>A</w:t>
      </w:r>
      <w:bookmarkStart w:id="944" w:name="_Hlk117546638"/>
      <w:r w:rsidR="004E515A" w:rsidRPr="003B4362">
        <w:rPr>
          <w:rFonts w:eastAsia="Calibri"/>
          <w:szCs w:val="24"/>
        </w:rPr>
        <w:t xml:space="preserve"> s</w:t>
      </w:r>
      <w:r w:rsidRPr="003B4362">
        <w:rPr>
          <w:rFonts w:eastAsia="Calibri"/>
          <w:szCs w:val="24"/>
        </w:rPr>
        <w:t>mall or m</w:t>
      </w:r>
      <w:r w:rsidR="00265539" w:rsidRPr="003B4362">
        <w:rPr>
          <w:rFonts w:eastAsia="Calibri"/>
          <w:szCs w:val="24"/>
        </w:rPr>
        <w:t>id</w:t>
      </w:r>
      <w:r w:rsidRPr="003B4362">
        <w:rPr>
          <w:rFonts w:eastAsia="Calibri"/>
          <w:szCs w:val="24"/>
        </w:rPr>
        <w:t>-size</w:t>
      </w:r>
      <w:r w:rsidR="004E515A" w:rsidRPr="003B4362">
        <w:rPr>
          <w:rFonts w:eastAsia="Calibri"/>
          <w:szCs w:val="24"/>
        </w:rPr>
        <w:t>d</w:t>
      </w:r>
      <w:r w:rsidRPr="003B4362">
        <w:rPr>
          <w:rFonts w:eastAsia="Calibri"/>
          <w:szCs w:val="24"/>
        </w:rPr>
        <w:t xml:space="preserve"> s</w:t>
      </w:r>
      <w:r w:rsidR="004E515A" w:rsidRPr="003B4362">
        <w:rPr>
          <w:rFonts w:eastAsia="Calibri"/>
          <w:szCs w:val="24"/>
        </w:rPr>
        <w:t>upplier</w:t>
      </w:r>
      <w:r w:rsidRPr="003B4362">
        <w:rPr>
          <w:rFonts w:eastAsia="Calibri"/>
          <w:szCs w:val="24"/>
        </w:rPr>
        <w:t xml:space="preserve"> </w:t>
      </w:r>
      <w:r w:rsidR="004E515A" w:rsidRPr="003B4362">
        <w:rPr>
          <w:rFonts w:eastAsia="Calibri"/>
          <w:szCs w:val="24"/>
        </w:rPr>
        <w:t>must</w:t>
      </w:r>
      <w:r w:rsidRPr="003B4362">
        <w:rPr>
          <w:rFonts w:eastAsia="Calibri"/>
          <w:szCs w:val="24"/>
        </w:rPr>
        <w:t xml:space="preserve"> install</w:t>
      </w:r>
      <w:bookmarkEnd w:id="944"/>
      <w:r w:rsidRPr="003B4362">
        <w:rPr>
          <w:rFonts w:eastAsia="Calibri"/>
          <w:szCs w:val="24"/>
        </w:rPr>
        <w:t xml:space="preserve"> re-optimized </w:t>
      </w:r>
      <w:r w:rsidR="004E515A" w:rsidRPr="003B4362">
        <w:rPr>
          <w:rFonts w:eastAsia="Calibri"/>
          <w:szCs w:val="24"/>
        </w:rPr>
        <w:t>OCCT</w:t>
      </w:r>
      <w:r w:rsidRPr="003B4362">
        <w:rPr>
          <w:rFonts w:eastAsia="Calibri"/>
          <w:szCs w:val="24"/>
        </w:rPr>
        <w:t xml:space="preserve"> (Section </w:t>
      </w:r>
      <w:r w:rsidR="00292773" w:rsidRPr="003B4362">
        <w:rPr>
          <w:rFonts w:eastAsia="Calibri"/>
          <w:szCs w:val="24"/>
        </w:rPr>
        <w:t>611.35</w:t>
      </w:r>
      <w:r w:rsidRPr="003B4362">
        <w:rPr>
          <w:rFonts w:eastAsia="Calibri"/>
          <w:szCs w:val="24"/>
        </w:rPr>
        <w:t xml:space="preserve">2(e)(1)) within 12 months after </w:t>
      </w:r>
      <w:r w:rsidR="00292773" w:rsidRPr="003B4362">
        <w:rPr>
          <w:rFonts w:eastAsia="Calibri"/>
          <w:szCs w:val="24"/>
        </w:rPr>
        <w:t>the supplier completes</w:t>
      </w:r>
      <w:r w:rsidRPr="003B4362">
        <w:rPr>
          <w:rFonts w:eastAsia="Calibri"/>
          <w:szCs w:val="24"/>
        </w:rPr>
        <w:t xml:space="preserve"> subsection (d)(4)(B) (Step 4).</w:t>
      </w:r>
    </w:p>
    <w:p w14:paraId="02D543E9" w14:textId="244839C5" w:rsidR="005451CE" w:rsidRPr="003B4362" w:rsidRDefault="005451CE" w:rsidP="005451CE">
      <w:pPr>
        <w:spacing w:before="240" w:after="240"/>
        <w:ind w:left="2160" w:hanging="720"/>
        <w:rPr>
          <w:rFonts w:eastAsia="Calibri"/>
        </w:rPr>
      </w:pPr>
      <w:r w:rsidRPr="003B4362">
        <w:rPr>
          <w:rFonts w:eastAsia="Calibri"/>
        </w:rPr>
        <w:t>6)</w:t>
      </w:r>
      <w:r w:rsidRPr="003B4362">
        <w:rPr>
          <w:rFonts w:eastAsia="Calibri"/>
        </w:rPr>
        <w:tab/>
        <w:t>Step 6</w:t>
      </w:r>
      <w:r w:rsidR="00982D40" w:rsidRPr="003B4362">
        <w:rPr>
          <w:rFonts w:eastAsia="Calibri"/>
        </w:rPr>
        <w:t xml:space="preserve"> </w:t>
      </w:r>
      <w:r w:rsidR="00982D40" w:rsidRPr="003B4362">
        <w:rPr>
          <w:szCs w:val="24"/>
        </w:rPr>
        <w:t xml:space="preserve"> A</w:t>
      </w:r>
      <w:bookmarkStart w:id="945" w:name="_Hlk117549638"/>
      <w:r w:rsidR="00982D40" w:rsidRPr="003B4362">
        <w:rPr>
          <w:szCs w:val="24"/>
        </w:rPr>
        <w:t xml:space="preserve"> supplier</w:t>
      </w:r>
      <w:bookmarkEnd w:id="945"/>
      <w:r w:rsidR="00982D40" w:rsidRPr="003B4362">
        <w:rPr>
          <w:szCs w:val="24"/>
        </w:rPr>
        <w:t xml:space="preserve"> must complete follow-up sampling (Sections </w:t>
      </w:r>
      <w:r w:rsidR="00982D40" w:rsidRPr="003B4362">
        <w:rPr>
          <w:rFonts w:eastAsia="Calibri"/>
          <w:szCs w:val="24"/>
        </w:rPr>
        <w:t>611.35</w:t>
      </w:r>
      <w:r w:rsidR="00982D40" w:rsidRPr="003B4362">
        <w:rPr>
          <w:szCs w:val="24"/>
        </w:rPr>
        <w:t xml:space="preserve">6(d)(2) and </w:t>
      </w:r>
      <w:r w:rsidR="00982D40" w:rsidRPr="003B4362">
        <w:rPr>
          <w:rFonts w:eastAsia="Calibri"/>
          <w:szCs w:val="24"/>
        </w:rPr>
        <w:t>611.35</w:t>
      </w:r>
      <w:r w:rsidR="00982D40" w:rsidRPr="003B4362">
        <w:rPr>
          <w:szCs w:val="24"/>
        </w:rPr>
        <w:t xml:space="preserve">7(c)) within 12 months after </w:t>
      </w:r>
      <w:r w:rsidR="00982D40" w:rsidRPr="003B4362">
        <w:rPr>
          <w:rFonts w:eastAsia="Calibri"/>
          <w:szCs w:val="24"/>
        </w:rPr>
        <w:t>the supplier completes</w:t>
      </w:r>
      <w:r w:rsidR="00982D40" w:rsidRPr="003B4362">
        <w:rPr>
          <w:szCs w:val="24"/>
        </w:rPr>
        <w:t xml:space="preserve"> subsection (d)(5)(A) or (d)(5)(B) (Step 5).</w:t>
      </w:r>
    </w:p>
    <w:p w14:paraId="4A9AF1C0" w14:textId="01DD0C51" w:rsidR="005451CE" w:rsidRPr="003B4362" w:rsidRDefault="005451CE" w:rsidP="005451CE">
      <w:pPr>
        <w:spacing w:before="240" w:after="240"/>
        <w:ind w:left="2160" w:hanging="720"/>
        <w:rPr>
          <w:rFonts w:eastAsia="Calibri"/>
        </w:rPr>
      </w:pPr>
      <w:r w:rsidRPr="003B4362">
        <w:rPr>
          <w:rFonts w:eastAsia="Calibri"/>
        </w:rPr>
        <w:t>7)</w:t>
      </w:r>
      <w:r w:rsidRPr="003B4362">
        <w:rPr>
          <w:rFonts w:eastAsia="Calibri"/>
        </w:rPr>
        <w:tab/>
        <w:t>Step 7</w:t>
      </w:r>
      <w:r w:rsidR="00982D40" w:rsidRPr="003B4362">
        <w:rPr>
          <w:szCs w:val="24"/>
        </w:rPr>
        <w:t xml:space="preserve">  T</w:t>
      </w:r>
      <w:bookmarkStart w:id="946" w:name="_Hlk117549877"/>
      <w:r w:rsidR="00982D40" w:rsidRPr="003B4362">
        <w:rPr>
          <w:szCs w:val="24"/>
        </w:rPr>
        <w:t>he Agency must review</w:t>
      </w:r>
      <w:bookmarkEnd w:id="946"/>
      <w:r w:rsidR="00982D40" w:rsidRPr="003B4362">
        <w:rPr>
          <w:szCs w:val="24"/>
        </w:rPr>
        <w:t xml:space="preserve"> </w:t>
      </w:r>
      <w:bookmarkStart w:id="947" w:name="_Hlk117549986"/>
      <w:r w:rsidR="00982D40" w:rsidRPr="003B4362">
        <w:rPr>
          <w:szCs w:val="24"/>
        </w:rPr>
        <w:t>the supplier’s installed treatment</w:t>
      </w:r>
      <w:bookmarkEnd w:id="947"/>
      <w:r w:rsidR="00982D40" w:rsidRPr="003B4362">
        <w:rPr>
          <w:szCs w:val="24"/>
        </w:rPr>
        <w:t xml:space="preserve"> and designate optimal water quality control parameters (Section </w:t>
      </w:r>
      <w:r w:rsidR="00982D40" w:rsidRPr="003B4362">
        <w:rPr>
          <w:rFonts w:eastAsia="Calibri"/>
          <w:szCs w:val="24"/>
        </w:rPr>
        <w:t>611.35</w:t>
      </w:r>
      <w:r w:rsidR="00982D40" w:rsidRPr="003B4362">
        <w:rPr>
          <w:szCs w:val="24"/>
        </w:rPr>
        <w:t xml:space="preserve">2(f)(1)) </w:t>
      </w:r>
      <w:bookmarkStart w:id="948" w:name="_Hlk117550051"/>
      <w:r w:rsidR="00982D40" w:rsidRPr="003B4362">
        <w:rPr>
          <w:szCs w:val="24"/>
        </w:rPr>
        <w:t>within six months after completing subsection (d)(6) (Step 6)</w:t>
      </w:r>
      <w:bookmarkEnd w:id="948"/>
      <w:r w:rsidR="00982D40" w:rsidRPr="003B4362">
        <w:rPr>
          <w:szCs w:val="24"/>
        </w:rPr>
        <w:t>.</w:t>
      </w:r>
      <w:r w:rsidRPr="003B4362">
        <w:rPr>
          <w:rFonts w:eastAsia="Calibri"/>
        </w:rPr>
        <w:t>.</w:t>
      </w:r>
      <w:r w:rsidR="00292773" w:rsidRPr="003B4362">
        <w:rPr>
          <w:szCs w:val="24"/>
        </w:rPr>
        <w:t xml:space="preserve">  </w:t>
      </w:r>
    </w:p>
    <w:p w14:paraId="3D173506" w14:textId="71E07342" w:rsidR="00292773" w:rsidRPr="003B4362" w:rsidRDefault="00292773" w:rsidP="00292773">
      <w:pPr>
        <w:autoSpaceDE w:val="0"/>
        <w:autoSpaceDN w:val="0"/>
        <w:adjustRightInd w:val="0"/>
        <w:ind w:left="2160" w:hanging="720"/>
        <w:rPr>
          <w:szCs w:val="24"/>
        </w:rPr>
      </w:pPr>
      <w:r w:rsidRPr="003B4362">
        <w:rPr>
          <w:szCs w:val="24"/>
        </w:rPr>
        <w:t>8)</w:t>
      </w:r>
      <w:r w:rsidRPr="003B4362">
        <w:rPr>
          <w:szCs w:val="24"/>
        </w:rPr>
        <w:tab/>
        <w:t>Step 8  T</w:t>
      </w:r>
      <w:bookmarkStart w:id="949" w:name="_Hlk117550298"/>
      <w:r w:rsidRPr="003B4362">
        <w:rPr>
          <w:szCs w:val="24"/>
        </w:rPr>
        <w:t xml:space="preserve">he </w:t>
      </w:r>
      <w:r w:rsidR="00D720AD" w:rsidRPr="003B4362">
        <w:rPr>
          <w:szCs w:val="24"/>
        </w:rPr>
        <w:t>supplier</w:t>
      </w:r>
      <w:r w:rsidRPr="003B4362">
        <w:rPr>
          <w:szCs w:val="24"/>
        </w:rPr>
        <w:t xml:space="preserve"> must operate compl</w:t>
      </w:r>
      <w:r w:rsidR="00D720AD" w:rsidRPr="003B4362">
        <w:rPr>
          <w:szCs w:val="24"/>
        </w:rPr>
        <w:t>ying</w:t>
      </w:r>
      <w:r w:rsidRPr="003B4362">
        <w:rPr>
          <w:szCs w:val="24"/>
        </w:rPr>
        <w:t xml:space="preserve"> with the </w:t>
      </w:r>
      <w:r w:rsidR="00D720AD" w:rsidRPr="003B4362">
        <w:rPr>
          <w:szCs w:val="24"/>
        </w:rPr>
        <w:t>Agency</w:t>
      </w:r>
      <w:r w:rsidRPr="003B4362">
        <w:rPr>
          <w:szCs w:val="24"/>
        </w:rPr>
        <w:t>-designated</w:t>
      </w:r>
      <w:bookmarkEnd w:id="949"/>
      <w:r w:rsidRPr="003B4362">
        <w:rPr>
          <w:szCs w:val="24"/>
        </w:rPr>
        <w:t xml:space="preserve"> optimal water quality control parameters (Section </w:t>
      </w:r>
      <w:r w:rsidR="00D720AD" w:rsidRPr="003B4362">
        <w:rPr>
          <w:rFonts w:eastAsia="Calibri"/>
          <w:szCs w:val="24"/>
        </w:rPr>
        <w:t>611.35</w:t>
      </w:r>
      <w:r w:rsidRPr="003B4362">
        <w:rPr>
          <w:szCs w:val="24"/>
        </w:rPr>
        <w:t xml:space="preserve">2(g)) and </w:t>
      </w:r>
      <w:bookmarkStart w:id="950" w:name="_Hlk117550409"/>
      <w:r w:rsidRPr="003B4362">
        <w:rPr>
          <w:szCs w:val="24"/>
        </w:rPr>
        <w:t>continue conduct</w:t>
      </w:r>
      <w:r w:rsidR="00D720AD" w:rsidRPr="003B4362">
        <w:rPr>
          <w:szCs w:val="24"/>
        </w:rPr>
        <w:t>ing</w:t>
      </w:r>
      <w:r w:rsidRPr="003B4362">
        <w:rPr>
          <w:szCs w:val="24"/>
        </w:rPr>
        <w:t xml:space="preserve"> tap sampling</w:t>
      </w:r>
      <w:bookmarkEnd w:id="950"/>
      <w:r w:rsidRPr="003B4362">
        <w:rPr>
          <w:szCs w:val="24"/>
        </w:rPr>
        <w:t xml:space="preserve"> (Section </w:t>
      </w:r>
      <w:r w:rsidR="00D720AD" w:rsidRPr="003B4362">
        <w:rPr>
          <w:rFonts w:eastAsia="Calibri"/>
          <w:szCs w:val="24"/>
        </w:rPr>
        <w:t>611.35</w:t>
      </w:r>
      <w:r w:rsidRPr="003B4362">
        <w:rPr>
          <w:szCs w:val="24"/>
        </w:rPr>
        <w:t xml:space="preserve">6(d)(3) and </w:t>
      </w:r>
      <w:bookmarkStart w:id="951" w:name="_Hlk117550485"/>
      <w:r w:rsidR="00D720AD" w:rsidRPr="003B4362">
        <w:rPr>
          <w:szCs w:val="24"/>
        </w:rPr>
        <w:t xml:space="preserve">monitoring </w:t>
      </w:r>
      <w:r w:rsidRPr="003B4362">
        <w:rPr>
          <w:szCs w:val="24"/>
        </w:rPr>
        <w:t>water quality parameter</w:t>
      </w:r>
      <w:r w:rsidR="00D720AD" w:rsidRPr="003B4362">
        <w:rPr>
          <w:szCs w:val="24"/>
        </w:rPr>
        <w:t>s</w:t>
      </w:r>
      <w:bookmarkEnd w:id="951"/>
      <w:r w:rsidR="00D720AD" w:rsidRPr="003B4362">
        <w:rPr>
          <w:rFonts w:eastAsia="Calibri"/>
          <w:szCs w:val="24"/>
        </w:rPr>
        <w:t xml:space="preserve"> </w:t>
      </w:r>
      <w:r w:rsidRPr="003B4362">
        <w:rPr>
          <w:szCs w:val="24"/>
        </w:rPr>
        <w:t xml:space="preserve">under Section </w:t>
      </w:r>
      <w:r w:rsidR="00D720AD" w:rsidRPr="003B4362">
        <w:rPr>
          <w:rFonts w:eastAsia="Calibri"/>
          <w:szCs w:val="24"/>
        </w:rPr>
        <w:t>611.35</w:t>
      </w:r>
      <w:r w:rsidRPr="003B4362">
        <w:rPr>
          <w:szCs w:val="24"/>
        </w:rPr>
        <w:t>7(d)).</w:t>
      </w:r>
    </w:p>
    <w:p w14:paraId="35391DC2" w14:textId="0DE253AA" w:rsidR="005451CE" w:rsidRPr="003B4362" w:rsidRDefault="005451CE" w:rsidP="005451CE">
      <w:pPr>
        <w:spacing w:before="240" w:after="240"/>
        <w:ind w:left="1440" w:hanging="720"/>
        <w:rPr>
          <w:rFonts w:eastAsia="Calibri"/>
        </w:rPr>
      </w:pPr>
      <w:r w:rsidRPr="003B4362">
        <w:rPr>
          <w:rFonts w:eastAsia="Calibri"/>
        </w:rPr>
        <w:t>e)</w:t>
      </w:r>
      <w:r w:rsidRPr="003B4362">
        <w:rPr>
          <w:rFonts w:eastAsia="Calibri"/>
        </w:rPr>
        <w:tab/>
      </w:r>
      <w:bookmarkStart w:id="952" w:name="_Hlk117588682"/>
      <w:r w:rsidRPr="003B4362">
        <w:rPr>
          <w:rFonts w:eastAsia="Calibri"/>
        </w:rPr>
        <w:t>Treatment Steps and Deadlines for</w:t>
      </w:r>
      <w:r w:rsidR="004E15F5" w:rsidRPr="003B4362">
        <w:rPr>
          <w:rFonts w:eastAsia="Calibri"/>
        </w:rPr>
        <w:t xml:space="preserve"> </w:t>
      </w:r>
      <w:r w:rsidR="00653F31" w:rsidRPr="003B4362">
        <w:rPr>
          <w:rFonts w:eastAsia="Calibri"/>
        </w:rPr>
        <w:t>Supplier</w:t>
      </w:r>
      <w:r w:rsidR="004E15F5" w:rsidRPr="003B4362">
        <w:rPr>
          <w:rFonts w:eastAsia="Calibri"/>
        </w:rPr>
        <w:t>s</w:t>
      </w:r>
      <w:r w:rsidR="00133083" w:rsidRPr="003B4362">
        <w:rPr>
          <w:szCs w:val="24"/>
        </w:rPr>
        <w:t xml:space="preserve"> Not Applying Corrosion Control Treatment</w:t>
      </w:r>
      <w:bookmarkEnd w:id="952"/>
      <w:r w:rsidRPr="003B4362">
        <w:rPr>
          <w:rFonts w:eastAsia="Calibri"/>
        </w:rPr>
        <w:t>.  Except as subsection (b)</w:t>
      </w:r>
      <w:r w:rsidR="008E19D3" w:rsidRPr="003B4362">
        <w:rPr>
          <w:szCs w:val="24"/>
        </w:rPr>
        <w:t xml:space="preserve"> or Section </w:t>
      </w:r>
      <w:r w:rsidR="008B4AD5" w:rsidRPr="003B4362">
        <w:rPr>
          <w:rFonts w:eastAsia="Calibri"/>
          <w:szCs w:val="24"/>
        </w:rPr>
        <w:t>611.36</w:t>
      </w:r>
      <w:r w:rsidR="008E19D3" w:rsidRPr="003B4362">
        <w:rPr>
          <w:szCs w:val="24"/>
        </w:rPr>
        <w:t>3</w:t>
      </w:r>
      <w:r w:rsidRPr="003B4362">
        <w:rPr>
          <w:rFonts w:eastAsia="Calibri"/>
        </w:rPr>
        <w:t xml:space="preserve"> provides otherwise, </w:t>
      </w:r>
      <w:bookmarkStart w:id="953" w:name="_Hlk117592661"/>
      <w:bookmarkStart w:id="954" w:name="_Hlk114149294"/>
      <w:r w:rsidR="008E19D3" w:rsidRPr="003B4362">
        <w:rPr>
          <w:rFonts w:eastAsia="Calibri"/>
        </w:rPr>
        <w:t>a supplier not applying</w:t>
      </w:r>
      <w:r w:rsidR="008E19D3" w:rsidRPr="003B4362">
        <w:rPr>
          <w:szCs w:val="24"/>
        </w:rPr>
        <w:t xml:space="preserve"> corrosion control treatment</w:t>
      </w:r>
      <w:bookmarkEnd w:id="953"/>
      <w:r w:rsidR="008E19D3" w:rsidRPr="003B4362">
        <w:rPr>
          <w:szCs w:val="24"/>
        </w:rPr>
        <w:t xml:space="preserve"> </w:t>
      </w:r>
      <w:bookmarkEnd w:id="954"/>
      <w:r w:rsidRPr="003B4362">
        <w:rPr>
          <w:rFonts w:eastAsia="Calibri"/>
        </w:rPr>
        <w:t xml:space="preserve">must </w:t>
      </w:r>
      <w:bookmarkStart w:id="955" w:name="_Hlk114149404"/>
      <w:r w:rsidRPr="003B4362">
        <w:rPr>
          <w:rFonts w:eastAsia="Calibri"/>
        </w:rPr>
        <w:t xml:space="preserve">complete certain corrosion control treatment steps </w:t>
      </w:r>
      <w:bookmarkStart w:id="956" w:name="_Hlk117593267"/>
      <w:r w:rsidR="00B54359" w:rsidRPr="003B4362">
        <w:rPr>
          <w:rFonts w:eastAsia="Calibri"/>
        </w:rPr>
        <w:t>(described in the referenced portions of Sections 611.352, 611.356, and 611.357)</w:t>
      </w:r>
      <w:bookmarkEnd w:id="956"/>
      <w:r w:rsidR="00B54359" w:rsidRPr="003B4362">
        <w:rPr>
          <w:rFonts w:eastAsia="Calibri"/>
        </w:rPr>
        <w:t xml:space="preserve"> </w:t>
      </w:r>
      <w:r w:rsidR="00B54359" w:rsidRPr="003B4362">
        <w:rPr>
          <w:szCs w:val="24"/>
        </w:rPr>
        <w:t xml:space="preserve">before </w:t>
      </w:r>
      <w:bookmarkStart w:id="957" w:name="_Hlk114149942"/>
      <w:r w:rsidRPr="003B4362">
        <w:rPr>
          <w:rFonts w:eastAsia="Calibri"/>
        </w:rPr>
        <w:t>the indicated</w:t>
      </w:r>
      <w:r w:rsidR="00B54359" w:rsidRPr="003B4362">
        <w:rPr>
          <w:szCs w:val="24"/>
        </w:rPr>
        <w:t xml:space="preserve"> times</w:t>
      </w:r>
      <w:bookmarkEnd w:id="955"/>
      <w:bookmarkEnd w:id="957"/>
      <w:r w:rsidRPr="003B4362">
        <w:rPr>
          <w:rFonts w:eastAsia="Calibri"/>
        </w:rPr>
        <w:t>.</w:t>
      </w:r>
    </w:p>
    <w:p w14:paraId="0CC78F46" w14:textId="15A2A3D0" w:rsidR="008269A7" w:rsidRPr="003B4362" w:rsidRDefault="005451CE" w:rsidP="008269A7">
      <w:pPr>
        <w:ind w:left="2160" w:hanging="720"/>
        <w:rPr>
          <w:rFonts w:eastAsia="Calibri"/>
        </w:rPr>
      </w:pPr>
      <w:r w:rsidRPr="003B4362">
        <w:rPr>
          <w:rFonts w:eastAsia="Calibri"/>
        </w:rPr>
        <w:t>1)</w:t>
      </w:r>
      <w:r w:rsidRPr="003B4362">
        <w:rPr>
          <w:rFonts w:eastAsia="Calibri"/>
        </w:rPr>
        <w:tab/>
        <w:t>Step 1</w:t>
      </w:r>
    </w:p>
    <w:p w14:paraId="3305C438" w14:textId="77777777" w:rsidR="005F3E16" w:rsidRPr="003B4362" w:rsidRDefault="005F3E16" w:rsidP="008269A7">
      <w:pPr>
        <w:autoSpaceDE w:val="0"/>
        <w:autoSpaceDN w:val="0"/>
        <w:adjustRightInd w:val="0"/>
        <w:ind w:left="2880" w:hanging="720"/>
        <w:rPr>
          <w:szCs w:val="24"/>
        </w:rPr>
      </w:pPr>
    </w:p>
    <w:p w14:paraId="6997B8DB" w14:textId="1FD7C0A2" w:rsidR="00C463CF" w:rsidRPr="003B4362" w:rsidRDefault="00C463CF" w:rsidP="008269A7">
      <w:pPr>
        <w:autoSpaceDE w:val="0"/>
        <w:autoSpaceDN w:val="0"/>
        <w:adjustRightInd w:val="0"/>
        <w:ind w:left="2880" w:hanging="720"/>
        <w:rPr>
          <w:szCs w:val="24"/>
        </w:rPr>
      </w:pPr>
      <w:r w:rsidRPr="003B4362">
        <w:rPr>
          <w:szCs w:val="24"/>
        </w:rPr>
        <w:t>A)</w:t>
      </w:r>
      <w:r w:rsidRPr="003B4362">
        <w:rPr>
          <w:szCs w:val="24"/>
        </w:rPr>
        <w:tab/>
        <w:t>A</w:t>
      </w:r>
      <w:bookmarkStart w:id="958" w:name="_Hlk117599972"/>
      <w:r w:rsidRPr="003B4362">
        <w:rPr>
          <w:szCs w:val="24"/>
        </w:rPr>
        <w:t xml:space="preserve"> </w:t>
      </w:r>
      <w:r w:rsidR="00D379CF" w:rsidRPr="003B4362">
        <w:rPr>
          <w:szCs w:val="24"/>
        </w:rPr>
        <w:t xml:space="preserve">supplier </w:t>
      </w:r>
      <w:r w:rsidRPr="003B4362">
        <w:rPr>
          <w:szCs w:val="24"/>
        </w:rPr>
        <w:t xml:space="preserve">other than one to which </w:t>
      </w:r>
      <w:r w:rsidR="008B4524" w:rsidRPr="003B4362">
        <w:rPr>
          <w:szCs w:val="24"/>
        </w:rPr>
        <w:t>subsection (e)(1)(B) or (e)(1)(C)</w:t>
      </w:r>
      <w:r w:rsidRPr="003B4362">
        <w:rPr>
          <w:szCs w:val="24"/>
        </w:rPr>
        <w:t xml:space="preserve"> </w:t>
      </w:r>
      <w:r w:rsidR="008B4524" w:rsidRPr="003B4362">
        <w:rPr>
          <w:szCs w:val="24"/>
        </w:rPr>
        <w:t>applies</w:t>
      </w:r>
      <w:bookmarkEnd w:id="958"/>
      <w:r w:rsidR="00D379CF" w:rsidRPr="003B4362">
        <w:rPr>
          <w:szCs w:val="24"/>
        </w:rPr>
        <w:t xml:space="preserve"> </w:t>
      </w:r>
      <w:r w:rsidR="00D379CF" w:rsidRPr="003B4362">
        <w:rPr>
          <w:rFonts w:eastAsia="Calibri"/>
        </w:rPr>
        <w:t xml:space="preserve">must recommend OCCT </w:t>
      </w:r>
      <w:r w:rsidRPr="003B4362">
        <w:rPr>
          <w:szCs w:val="24"/>
        </w:rPr>
        <w:t xml:space="preserve">(Section </w:t>
      </w:r>
      <w:r w:rsidR="008B4AD5" w:rsidRPr="003B4362">
        <w:rPr>
          <w:rFonts w:eastAsia="Calibri"/>
          <w:szCs w:val="24"/>
        </w:rPr>
        <w:t>611.35</w:t>
      </w:r>
      <w:r w:rsidR="00DC7826" w:rsidRPr="003B4362">
        <w:rPr>
          <w:rFonts w:eastAsia="Calibri"/>
          <w:szCs w:val="24"/>
        </w:rPr>
        <w:t>2</w:t>
      </w:r>
      <w:r w:rsidRPr="003B4362">
        <w:rPr>
          <w:szCs w:val="24"/>
        </w:rPr>
        <w:t xml:space="preserve">(a)(1), </w:t>
      </w:r>
      <w:r w:rsidR="00D379CF" w:rsidRPr="003B4362">
        <w:rPr>
          <w:szCs w:val="24"/>
        </w:rPr>
        <w:t>(a)</w:t>
      </w:r>
      <w:r w:rsidRPr="003B4362">
        <w:rPr>
          <w:szCs w:val="24"/>
        </w:rPr>
        <w:t xml:space="preserve">(2), </w:t>
      </w:r>
      <w:r w:rsidR="00D379CF" w:rsidRPr="003B4362">
        <w:rPr>
          <w:szCs w:val="24"/>
        </w:rPr>
        <w:t>(a)</w:t>
      </w:r>
      <w:r w:rsidRPr="003B4362">
        <w:rPr>
          <w:szCs w:val="24"/>
        </w:rPr>
        <w:t xml:space="preserve">(3), or </w:t>
      </w:r>
      <w:r w:rsidR="00D379CF" w:rsidRPr="003B4362">
        <w:rPr>
          <w:szCs w:val="24"/>
        </w:rPr>
        <w:t>(a)</w:t>
      </w:r>
      <w:r w:rsidRPr="003B4362">
        <w:rPr>
          <w:szCs w:val="24"/>
        </w:rPr>
        <w:t xml:space="preserve">(4)) within six months after the end of the tap sampling period during which </w:t>
      </w:r>
      <w:r w:rsidR="00A51E32" w:rsidRPr="003B4362">
        <w:rPr>
          <w:szCs w:val="24"/>
        </w:rPr>
        <w:t>the supplier</w:t>
      </w:r>
      <w:r w:rsidRPr="003B4362">
        <w:rPr>
          <w:szCs w:val="24"/>
        </w:rPr>
        <w:t xml:space="preserve"> exceeds either the lead trigger level or copper action level.</w:t>
      </w:r>
    </w:p>
    <w:p w14:paraId="6C14F048" w14:textId="77777777" w:rsidR="008269A7" w:rsidRPr="003B4362" w:rsidRDefault="008269A7" w:rsidP="008269A7">
      <w:pPr>
        <w:autoSpaceDE w:val="0"/>
        <w:autoSpaceDN w:val="0"/>
        <w:adjustRightInd w:val="0"/>
        <w:ind w:left="2880" w:hanging="720"/>
        <w:rPr>
          <w:szCs w:val="24"/>
        </w:rPr>
      </w:pPr>
    </w:p>
    <w:p w14:paraId="7C9B88CA" w14:textId="3B1E0952" w:rsidR="00C463CF" w:rsidRPr="003B4362" w:rsidRDefault="00C463CF" w:rsidP="008269A7">
      <w:pPr>
        <w:autoSpaceDE w:val="0"/>
        <w:autoSpaceDN w:val="0"/>
        <w:adjustRightInd w:val="0"/>
        <w:ind w:left="2880" w:hanging="720"/>
        <w:rPr>
          <w:szCs w:val="24"/>
        </w:rPr>
      </w:pPr>
      <w:r w:rsidRPr="003B4362">
        <w:rPr>
          <w:szCs w:val="24"/>
        </w:rPr>
        <w:t>B)</w:t>
      </w:r>
      <w:r w:rsidRPr="003B4362">
        <w:rPr>
          <w:szCs w:val="24"/>
        </w:rPr>
        <w:tab/>
        <w:t>A</w:t>
      </w:r>
      <w:bookmarkStart w:id="959" w:name="_Hlk117600237"/>
      <w:r w:rsidRPr="003B4362">
        <w:rPr>
          <w:szCs w:val="24"/>
        </w:rPr>
        <w:t xml:space="preserve"> </w:t>
      </w:r>
      <w:r w:rsidR="00A53D4A" w:rsidRPr="003B4362">
        <w:rPr>
          <w:szCs w:val="24"/>
        </w:rPr>
        <w:t>supplier</w:t>
      </w:r>
      <w:r w:rsidRPr="003B4362">
        <w:rPr>
          <w:szCs w:val="24"/>
        </w:rPr>
        <w:t xml:space="preserve"> </w:t>
      </w:r>
      <w:r w:rsidR="00A53D4A" w:rsidRPr="003B4362">
        <w:rPr>
          <w:szCs w:val="24"/>
        </w:rPr>
        <w:t>having</w:t>
      </w:r>
      <w:r w:rsidRPr="003B4362">
        <w:rPr>
          <w:szCs w:val="24"/>
        </w:rPr>
        <w:t xml:space="preserve"> lead service lines </w:t>
      </w:r>
      <w:r w:rsidR="00A53D4A" w:rsidRPr="003B4362">
        <w:rPr>
          <w:szCs w:val="24"/>
        </w:rPr>
        <w:t>and exceeding</w:t>
      </w:r>
      <w:r w:rsidRPr="003B4362">
        <w:rPr>
          <w:szCs w:val="24"/>
        </w:rPr>
        <w:t xml:space="preserve"> the lead action level</w:t>
      </w:r>
      <w:bookmarkEnd w:id="959"/>
      <w:r w:rsidRPr="003B4362">
        <w:rPr>
          <w:szCs w:val="24"/>
        </w:rPr>
        <w:t xml:space="preserve"> must </w:t>
      </w:r>
      <w:bookmarkStart w:id="960" w:name="_Hlk117600479"/>
      <w:r w:rsidRPr="003B4362">
        <w:rPr>
          <w:szCs w:val="24"/>
        </w:rPr>
        <w:t xml:space="preserve">harvest lead pipes from </w:t>
      </w:r>
      <w:r w:rsidR="00A53D4A" w:rsidRPr="003B4362">
        <w:rPr>
          <w:szCs w:val="24"/>
        </w:rPr>
        <w:t>its</w:t>
      </w:r>
      <w:r w:rsidRPr="003B4362">
        <w:rPr>
          <w:szCs w:val="24"/>
        </w:rPr>
        <w:t xml:space="preserve"> distribution system</w:t>
      </w:r>
      <w:r w:rsidR="00A53D4A" w:rsidRPr="003B4362">
        <w:rPr>
          <w:szCs w:val="24"/>
        </w:rPr>
        <w:t>,</w:t>
      </w:r>
      <w:r w:rsidRPr="003B4362">
        <w:rPr>
          <w:szCs w:val="24"/>
        </w:rPr>
        <w:t xml:space="preserve"> construct flowthrough pipe loops</w:t>
      </w:r>
      <w:r w:rsidR="00A53D4A" w:rsidRPr="003B4362">
        <w:rPr>
          <w:szCs w:val="24"/>
        </w:rPr>
        <w:t>,</w:t>
      </w:r>
      <w:r w:rsidRPr="003B4362">
        <w:rPr>
          <w:szCs w:val="24"/>
        </w:rPr>
        <w:t xml:space="preserve"> and operate the loops</w:t>
      </w:r>
      <w:bookmarkEnd w:id="960"/>
      <w:r w:rsidRPr="003B4362">
        <w:rPr>
          <w:szCs w:val="24"/>
        </w:rPr>
        <w:t xml:space="preserve"> with finished water within one year after the end of the tap sampling period during which </w:t>
      </w:r>
      <w:r w:rsidR="00A53D4A" w:rsidRPr="003B4362">
        <w:rPr>
          <w:szCs w:val="24"/>
        </w:rPr>
        <w:t>the supplier</w:t>
      </w:r>
      <w:r w:rsidRPr="003B4362">
        <w:rPr>
          <w:szCs w:val="24"/>
        </w:rPr>
        <w:t xml:space="preserve"> exceeds the lead action level.  The</w:t>
      </w:r>
      <w:r w:rsidR="000F2A24" w:rsidRPr="003B4362">
        <w:rPr>
          <w:szCs w:val="24"/>
        </w:rPr>
        <w:t xml:space="preserve"> supplier</w:t>
      </w:r>
      <w:bookmarkStart w:id="961" w:name="_Hlk117601056"/>
      <w:r w:rsidRPr="003B4362">
        <w:rPr>
          <w:szCs w:val="24"/>
        </w:rPr>
        <w:t xml:space="preserve"> must proceed</w:t>
      </w:r>
      <w:bookmarkEnd w:id="961"/>
      <w:r w:rsidRPr="003B4362">
        <w:rPr>
          <w:szCs w:val="24"/>
        </w:rPr>
        <w:t xml:space="preserve"> to Step 3 in subsection (e)(3) of this section and</w:t>
      </w:r>
      <w:r w:rsidR="000F2A24" w:rsidRPr="003B4362">
        <w:rPr>
          <w:szCs w:val="24"/>
        </w:rPr>
        <w:t xml:space="preserve"> </w:t>
      </w:r>
      <w:r w:rsidR="00CE6149" w:rsidRPr="003B4362">
        <w:rPr>
          <w:szCs w:val="24"/>
        </w:rPr>
        <w:t xml:space="preserve">conduct the corrosion control studies under subsection (e)(3) using the pipe loops, </w:t>
      </w:r>
      <w:r w:rsidRPr="003B4362">
        <w:rPr>
          <w:szCs w:val="24"/>
        </w:rPr>
        <w:t xml:space="preserve">for </w:t>
      </w:r>
      <w:bookmarkStart w:id="962" w:name="_Hlk117601463"/>
      <w:r w:rsidRPr="003B4362">
        <w:rPr>
          <w:szCs w:val="24"/>
        </w:rPr>
        <w:t>optimiz</w:t>
      </w:r>
      <w:r w:rsidR="000F2A24" w:rsidRPr="003B4362">
        <w:rPr>
          <w:szCs w:val="24"/>
        </w:rPr>
        <w:t>ing OCCT</w:t>
      </w:r>
      <w:bookmarkEnd w:id="962"/>
      <w:r w:rsidRPr="003B4362">
        <w:rPr>
          <w:szCs w:val="24"/>
        </w:rPr>
        <w:t xml:space="preserve"> under subsection (e)(3)(A).</w:t>
      </w:r>
    </w:p>
    <w:p w14:paraId="63F88C87" w14:textId="3554C44B" w:rsidR="008269A7" w:rsidRPr="003B4362" w:rsidRDefault="008269A7" w:rsidP="008269A7">
      <w:pPr>
        <w:autoSpaceDE w:val="0"/>
        <w:autoSpaceDN w:val="0"/>
        <w:adjustRightInd w:val="0"/>
        <w:ind w:left="2880" w:hanging="720"/>
        <w:rPr>
          <w:szCs w:val="24"/>
        </w:rPr>
      </w:pPr>
    </w:p>
    <w:p w14:paraId="75DBA86A" w14:textId="4711FB15" w:rsidR="00C463CF" w:rsidRPr="003B4362" w:rsidRDefault="00C463CF" w:rsidP="00C463CF">
      <w:pPr>
        <w:autoSpaceDE w:val="0"/>
        <w:autoSpaceDN w:val="0"/>
        <w:adjustRightInd w:val="0"/>
        <w:ind w:left="2880" w:hanging="720"/>
        <w:rPr>
          <w:szCs w:val="24"/>
        </w:rPr>
      </w:pPr>
      <w:r w:rsidRPr="003B4362">
        <w:rPr>
          <w:szCs w:val="24"/>
        </w:rPr>
        <w:t>C)</w:t>
      </w:r>
      <w:r w:rsidRPr="003B4362">
        <w:rPr>
          <w:szCs w:val="24"/>
        </w:rPr>
        <w:tab/>
      </w:r>
      <w:bookmarkStart w:id="963" w:name="_Hlk117602280"/>
      <w:r w:rsidR="00F033EA" w:rsidRPr="003B4362">
        <w:rPr>
          <w:szCs w:val="24"/>
        </w:rPr>
        <w:t>A l</w:t>
      </w:r>
      <w:r w:rsidRPr="003B4362">
        <w:rPr>
          <w:szCs w:val="24"/>
        </w:rPr>
        <w:t xml:space="preserve">arge </w:t>
      </w:r>
      <w:r w:rsidR="00F033EA" w:rsidRPr="003B4362">
        <w:rPr>
          <w:szCs w:val="24"/>
        </w:rPr>
        <w:t>supplier</w:t>
      </w:r>
      <w:r w:rsidRPr="003B4362">
        <w:rPr>
          <w:szCs w:val="24"/>
        </w:rPr>
        <w:t xml:space="preserve"> </w:t>
      </w:r>
      <w:bookmarkStart w:id="964" w:name="_Hlk117605747"/>
      <w:r w:rsidRPr="003B4362">
        <w:rPr>
          <w:szCs w:val="24"/>
        </w:rPr>
        <w:t xml:space="preserve">subsection (a)(1)(B) </w:t>
      </w:r>
      <w:bookmarkEnd w:id="963"/>
      <w:r w:rsidR="00FB0669" w:rsidRPr="003B4362">
        <w:rPr>
          <w:szCs w:val="24"/>
        </w:rPr>
        <w:t>directs to perform corrosion control treatment under this subsection (e)</w:t>
      </w:r>
      <w:bookmarkEnd w:id="964"/>
      <w:r w:rsidRPr="003B4362">
        <w:rPr>
          <w:szCs w:val="24"/>
        </w:rPr>
        <w:t xml:space="preserve"> must conduct the corrosion control studies for </w:t>
      </w:r>
      <w:r w:rsidR="00FB0669" w:rsidRPr="003B4362">
        <w:rPr>
          <w:szCs w:val="24"/>
        </w:rPr>
        <w:t>optimizing OCCT</w:t>
      </w:r>
      <w:r w:rsidRPr="003B4362">
        <w:rPr>
          <w:szCs w:val="24"/>
        </w:rPr>
        <w:t xml:space="preserve"> under subsection (e)(3) (Step 3).</w:t>
      </w:r>
    </w:p>
    <w:p w14:paraId="46499C61" w14:textId="55720DF0" w:rsidR="005451CE" w:rsidRPr="003B4362" w:rsidRDefault="005451CE" w:rsidP="005451CE">
      <w:pPr>
        <w:spacing w:before="240" w:after="240"/>
        <w:ind w:left="2160" w:hanging="720"/>
        <w:rPr>
          <w:rFonts w:eastAsia="Calibri"/>
        </w:rPr>
      </w:pPr>
      <w:r w:rsidRPr="003B4362">
        <w:rPr>
          <w:rFonts w:eastAsia="Calibri"/>
        </w:rPr>
        <w:lastRenderedPageBreak/>
        <w:t>2)</w:t>
      </w:r>
      <w:r w:rsidRPr="003B4362">
        <w:rPr>
          <w:rFonts w:eastAsia="Calibri"/>
        </w:rPr>
        <w:tab/>
        <w:t>Step 2</w:t>
      </w:r>
      <w:r w:rsidR="008E72A6" w:rsidRPr="003B4362">
        <w:rPr>
          <w:rFonts w:eastAsia="Calibri"/>
        </w:rPr>
        <w:t>.</w:t>
      </w:r>
      <w:r w:rsidRPr="003B4362">
        <w:rPr>
          <w:rFonts w:eastAsia="Calibri"/>
        </w:rPr>
        <w:t xml:space="preserve">  Within 12 months after the end of the </w:t>
      </w:r>
      <w:r w:rsidR="007C02E7" w:rsidRPr="003B4362">
        <w:rPr>
          <w:szCs w:val="24"/>
        </w:rPr>
        <w:t xml:space="preserve">tap sampling </w:t>
      </w:r>
      <w:r w:rsidRPr="003B4362">
        <w:rPr>
          <w:rFonts w:eastAsia="Calibri"/>
        </w:rPr>
        <w:t xml:space="preserve">period during which a supplier exceeds the lead or copper action level, </w:t>
      </w:r>
      <w:bookmarkStart w:id="965" w:name="_Hlk117608472"/>
      <w:r w:rsidR="007C02E7" w:rsidRPr="003B4362">
        <w:rPr>
          <w:szCs w:val="24"/>
        </w:rPr>
        <w:t>if not otherwise required by this rule</w:t>
      </w:r>
      <w:bookmarkEnd w:id="965"/>
      <w:r w:rsidR="007C02E7" w:rsidRPr="003B4362">
        <w:rPr>
          <w:szCs w:val="24"/>
        </w:rPr>
        <w:t xml:space="preserve">, </w:t>
      </w:r>
      <w:r w:rsidRPr="003B4362">
        <w:rPr>
          <w:rFonts w:eastAsia="Calibri"/>
        </w:rPr>
        <w:t xml:space="preserve">the Agency may </w:t>
      </w:r>
      <w:r w:rsidR="00BE5638" w:rsidRPr="003B4362">
        <w:rPr>
          <w:rFonts w:eastAsia="Calibri"/>
        </w:rPr>
        <w:t>issue a SEP requiring</w:t>
      </w:r>
      <w:r w:rsidRPr="003B4362">
        <w:rPr>
          <w:rFonts w:eastAsia="Calibri"/>
        </w:rPr>
        <w:t xml:space="preserve"> </w:t>
      </w:r>
      <w:r w:rsidR="008E72A6" w:rsidRPr="003B4362">
        <w:rPr>
          <w:rFonts w:eastAsia="Calibri"/>
        </w:rPr>
        <w:t xml:space="preserve">the </w:t>
      </w:r>
      <w:r w:rsidRPr="003B4362">
        <w:rPr>
          <w:rFonts w:eastAsia="Calibri"/>
        </w:rPr>
        <w:t>supplier to perform corrosion control studies (Section 611.352(b)</w:t>
      </w:r>
      <w:r w:rsidR="001D6813" w:rsidRPr="003B4362">
        <w:rPr>
          <w:rFonts w:eastAsia="Calibri"/>
        </w:rPr>
        <w:t>(1)</w:t>
      </w:r>
      <w:r w:rsidRPr="003B4362">
        <w:rPr>
          <w:rFonts w:eastAsia="Calibri"/>
        </w:rPr>
        <w:t>).  If the Agency does not require the supplier to perform corrosion control studies, the Agency must issue a SEP specifying</w:t>
      </w:r>
      <w:r w:rsidR="00982D40" w:rsidRPr="003B4362">
        <w:rPr>
          <w:rFonts w:eastAsia="Calibri"/>
        </w:rPr>
        <w:t xml:space="preserve"> OCCT</w:t>
      </w:r>
      <w:r w:rsidRPr="003B4362">
        <w:rPr>
          <w:rFonts w:eastAsia="Calibri"/>
        </w:rPr>
        <w:t xml:space="preserve"> (under Section 611.352(d)</w:t>
      </w:r>
      <w:r w:rsidR="00A90E55" w:rsidRPr="003B4362">
        <w:rPr>
          <w:rFonts w:eastAsia="Calibri"/>
        </w:rPr>
        <w:t>(1)</w:t>
      </w:r>
      <w:r w:rsidRPr="003B4362">
        <w:rPr>
          <w:rFonts w:eastAsia="Calibri"/>
        </w:rPr>
        <w:t xml:space="preserve">) within the </w:t>
      </w:r>
      <w:r w:rsidR="008E72A6" w:rsidRPr="003B4362">
        <w:rPr>
          <w:rFonts w:eastAsia="Calibri"/>
        </w:rPr>
        <w:t xml:space="preserve">applicable timeframe in </w:t>
      </w:r>
      <w:r w:rsidRPr="003B4362">
        <w:rPr>
          <w:rFonts w:eastAsia="Calibri"/>
        </w:rPr>
        <w:t xml:space="preserve"> </w:t>
      </w:r>
      <w:bookmarkStart w:id="966" w:name="_Hlk117611054"/>
      <w:r w:rsidR="002A5AC2" w:rsidRPr="003B4362">
        <w:rPr>
          <w:rFonts w:eastAsia="Calibri"/>
        </w:rPr>
        <w:t xml:space="preserve"> </w:t>
      </w:r>
      <w:r w:rsidR="00EE66F7" w:rsidRPr="003B4362">
        <w:rPr>
          <w:szCs w:val="24"/>
        </w:rPr>
        <w:t xml:space="preserve">subsections (e)(2)(A) and </w:t>
      </w:r>
      <w:r w:rsidR="002A5AC2" w:rsidRPr="003B4362">
        <w:rPr>
          <w:szCs w:val="24"/>
        </w:rPr>
        <w:t>(e)(2)</w:t>
      </w:r>
      <w:r w:rsidR="00EE66F7" w:rsidRPr="003B4362">
        <w:rPr>
          <w:szCs w:val="24"/>
        </w:rPr>
        <w:t>(B)</w:t>
      </w:r>
      <w:bookmarkEnd w:id="966"/>
      <w:r w:rsidR="00EE66F7" w:rsidRPr="003B4362">
        <w:rPr>
          <w:szCs w:val="24"/>
        </w:rPr>
        <w:t>.</w:t>
      </w:r>
    </w:p>
    <w:p w14:paraId="110106FD" w14:textId="06BBB20E"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For a </w:t>
      </w:r>
      <w:bookmarkStart w:id="967" w:name="_Hlk117611359"/>
      <w:r w:rsidR="009F58F0" w:rsidRPr="003B4362">
        <w:rPr>
          <w:rFonts w:eastAsia="Calibri"/>
        </w:rPr>
        <w:t>mid-sized</w:t>
      </w:r>
      <w:r w:rsidRPr="003B4362">
        <w:rPr>
          <w:rFonts w:eastAsia="Calibri"/>
        </w:rPr>
        <w:t xml:space="preserve"> s</w:t>
      </w:r>
      <w:bookmarkEnd w:id="967"/>
      <w:r w:rsidR="009F58F0" w:rsidRPr="003B4362">
        <w:rPr>
          <w:rFonts w:eastAsia="Calibri"/>
        </w:rPr>
        <w:t>upplier</w:t>
      </w:r>
      <w:r w:rsidRPr="003B4362">
        <w:rPr>
          <w:rFonts w:eastAsia="Calibri"/>
        </w:rPr>
        <w:t xml:space="preserve">, </w:t>
      </w:r>
      <w:bookmarkStart w:id="968" w:name="_Hlk117611826"/>
      <w:r w:rsidRPr="003B4362">
        <w:rPr>
          <w:rFonts w:eastAsia="Calibri"/>
        </w:rPr>
        <w:t>within 18 months</w:t>
      </w:r>
      <w:bookmarkEnd w:id="968"/>
      <w:r w:rsidRPr="003B4362">
        <w:rPr>
          <w:rFonts w:eastAsia="Calibri"/>
        </w:rPr>
        <w:t xml:space="preserve"> after the end of the </w:t>
      </w:r>
      <w:r w:rsidR="00FC5529" w:rsidRPr="003B4362">
        <w:rPr>
          <w:szCs w:val="24"/>
        </w:rPr>
        <w:t xml:space="preserve">tap </w:t>
      </w:r>
      <w:r w:rsidRPr="003B4362">
        <w:rPr>
          <w:rFonts w:eastAsia="Calibri"/>
        </w:rPr>
        <w:t xml:space="preserve">monitoring </w:t>
      </w:r>
      <w:bookmarkStart w:id="969" w:name="_Hlk114177898"/>
      <w:r w:rsidR="00081C2C" w:rsidRPr="003B4362">
        <w:rPr>
          <w:szCs w:val="24"/>
        </w:rPr>
        <w:t>cycle</w:t>
      </w:r>
      <w:r w:rsidRPr="003B4362">
        <w:rPr>
          <w:rFonts w:eastAsia="Calibri"/>
        </w:rPr>
        <w:t xml:space="preserve"> during which </w:t>
      </w:r>
      <w:bookmarkStart w:id="970" w:name="_Hlk117612043"/>
      <w:r w:rsidRPr="003B4362">
        <w:rPr>
          <w:rFonts w:eastAsia="Calibri"/>
        </w:rPr>
        <w:t xml:space="preserve">the supplier exceeded </w:t>
      </w:r>
      <w:bookmarkEnd w:id="970"/>
      <w:r w:rsidRPr="003B4362">
        <w:rPr>
          <w:rFonts w:eastAsia="Calibri"/>
        </w:rPr>
        <w:t xml:space="preserve">the lead </w:t>
      </w:r>
      <w:r w:rsidR="002A5AC2" w:rsidRPr="003B4362">
        <w:rPr>
          <w:szCs w:val="24"/>
        </w:rPr>
        <w:t xml:space="preserve">trigger </w:t>
      </w:r>
      <w:r w:rsidRPr="003B4362">
        <w:rPr>
          <w:rFonts w:eastAsia="Calibri"/>
        </w:rPr>
        <w:t>level or copper action level</w:t>
      </w:r>
      <w:bookmarkEnd w:id="969"/>
      <w:r w:rsidRPr="003B4362">
        <w:rPr>
          <w:rFonts w:eastAsia="Calibri"/>
        </w:rPr>
        <w:t>; or</w:t>
      </w:r>
    </w:p>
    <w:p w14:paraId="6F75D1E7" w14:textId="240B0D4B"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For a </w:t>
      </w:r>
      <w:bookmarkStart w:id="971" w:name="_Hlk114178171"/>
      <w:r w:rsidRPr="003B4362">
        <w:rPr>
          <w:rFonts w:eastAsia="Calibri"/>
        </w:rPr>
        <w:t xml:space="preserve">small </w:t>
      </w:r>
      <w:r w:rsidR="009F58F0" w:rsidRPr="003B4362">
        <w:rPr>
          <w:rFonts w:eastAsia="Calibri"/>
        </w:rPr>
        <w:t>supplier</w:t>
      </w:r>
      <w:bookmarkEnd w:id="971"/>
      <w:r w:rsidRPr="003B4362">
        <w:rPr>
          <w:rFonts w:eastAsia="Calibri"/>
        </w:rPr>
        <w:t xml:space="preserve">, within 24 months after the end of the </w:t>
      </w:r>
      <w:r w:rsidR="00FC5529" w:rsidRPr="003B4362">
        <w:rPr>
          <w:szCs w:val="24"/>
        </w:rPr>
        <w:t xml:space="preserve">tap </w:t>
      </w:r>
      <w:r w:rsidR="00A90E55" w:rsidRPr="003B4362">
        <w:rPr>
          <w:szCs w:val="24"/>
        </w:rPr>
        <w:t>m</w:t>
      </w:r>
      <w:r w:rsidRPr="003B4362">
        <w:rPr>
          <w:rFonts w:eastAsia="Calibri"/>
        </w:rPr>
        <w:t xml:space="preserve">onitoring </w:t>
      </w:r>
      <w:r w:rsidR="00327187" w:rsidRPr="003B4362">
        <w:rPr>
          <w:szCs w:val="24"/>
        </w:rPr>
        <w:t xml:space="preserve">cycle </w:t>
      </w:r>
      <w:r w:rsidRPr="003B4362">
        <w:rPr>
          <w:rFonts w:eastAsia="Calibri"/>
        </w:rPr>
        <w:t xml:space="preserve">during which the supplier exceeded the lead </w:t>
      </w:r>
      <w:r w:rsidR="00FC5529" w:rsidRPr="003B4362">
        <w:rPr>
          <w:szCs w:val="24"/>
        </w:rPr>
        <w:t xml:space="preserve">trigger </w:t>
      </w:r>
      <w:r w:rsidR="00FC5529" w:rsidRPr="003B4362">
        <w:rPr>
          <w:rFonts w:eastAsia="Calibri"/>
        </w:rPr>
        <w:t xml:space="preserve">level </w:t>
      </w:r>
      <w:r w:rsidRPr="003B4362">
        <w:rPr>
          <w:rFonts w:eastAsia="Calibri"/>
        </w:rPr>
        <w:t>or copper action level.</w:t>
      </w:r>
    </w:p>
    <w:p w14:paraId="16027B63" w14:textId="5709BC27"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Step 3</w:t>
      </w:r>
    </w:p>
    <w:p w14:paraId="31C28524" w14:textId="739205BC" w:rsidR="00016D0B" w:rsidRPr="003B4362" w:rsidRDefault="00016D0B" w:rsidP="00016D0B">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r w:rsidR="00CC5D6E" w:rsidRPr="003B4362">
        <w:rPr>
          <w:rFonts w:eastAsia="Calibri"/>
          <w:szCs w:val="24"/>
        </w:rPr>
        <w:t xml:space="preserve">A </w:t>
      </w:r>
      <w:bookmarkStart w:id="972" w:name="_Hlk117614633"/>
      <w:r w:rsidR="00CC5D6E" w:rsidRPr="003B4362">
        <w:rPr>
          <w:rFonts w:eastAsia="Calibri"/>
          <w:szCs w:val="24"/>
        </w:rPr>
        <w:t>l</w:t>
      </w:r>
      <w:r w:rsidRPr="003B4362">
        <w:rPr>
          <w:rFonts w:eastAsia="Calibri"/>
          <w:szCs w:val="24"/>
        </w:rPr>
        <w:t xml:space="preserve">arge </w:t>
      </w:r>
      <w:r w:rsidR="00CC5D6E" w:rsidRPr="003B4362">
        <w:rPr>
          <w:rFonts w:eastAsia="Calibri"/>
          <w:szCs w:val="24"/>
        </w:rPr>
        <w:t>supplier</w:t>
      </w:r>
      <w:r w:rsidRPr="003B4362">
        <w:rPr>
          <w:rFonts w:eastAsia="Calibri"/>
          <w:szCs w:val="24"/>
        </w:rPr>
        <w:t xml:space="preserve"> </w:t>
      </w:r>
      <w:r w:rsidR="00CC5D6E" w:rsidRPr="003B4362">
        <w:rPr>
          <w:rFonts w:eastAsia="Calibri"/>
          <w:szCs w:val="24"/>
        </w:rPr>
        <w:t>having</w:t>
      </w:r>
      <w:r w:rsidRPr="003B4362">
        <w:rPr>
          <w:rFonts w:eastAsia="Calibri"/>
          <w:szCs w:val="24"/>
        </w:rPr>
        <w:t xml:space="preserve"> or </w:t>
      </w:r>
      <w:r w:rsidR="00CC5D6E" w:rsidRPr="003B4362">
        <w:rPr>
          <w:rFonts w:eastAsia="Calibri"/>
          <w:szCs w:val="24"/>
        </w:rPr>
        <w:t>not having</w:t>
      </w:r>
      <w:r w:rsidRPr="003B4362">
        <w:rPr>
          <w:rFonts w:eastAsia="Calibri"/>
          <w:szCs w:val="24"/>
        </w:rPr>
        <w:t xml:space="preserve"> lead service line</w:t>
      </w:r>
      <w:r w:rsidR="00CC5D6E" w:rsidRPr="003B4362">
        <w:rPr>
          <w:rFonts w:eastAsia="Calibri"/>
          <w:szCs w:val="24"/>
        </w:rPr>
        <w:t>s</w:t>
      </w:r>
      <w:bookmarkStart w:id="973" w:name="_Hlk117615082"/>
      <w:bookmarkEnd w:id="972"/>
      <w:r w:rsidRPr="003B4362">
        <w:rPr>
          <w:rFonts w:eastAsia="Calibri"/>
          <w:szCs w:val="24"/>
        </w:rPr>
        <w:t xml:space="preserve"> </w:t>
      </w:r>
      <w:r w:rsidR="001F112C" w:rsidRPr="003B4362">
        <w:rPr>
          <w:rFonts w:eastAsia="Calibri"/>
          <w:szCs w:val="24"/>
        </w:rPr>
        <w:t>that exceeds</w:t>
      </w:r>
      <w:r w:rsidR="008E71FD" w:rsidRPr="003B4362">
        <w:rPr>
          <w:rFonts w:eastAsia="Calibri"/>
          <w:szCs w:val="24"/>
        </w:rPr>
        <w:t xml:space="preserve"> the lead action level or</w:t>
      </w:r>
      <w:r w:rsidRPr="003B4362">
        <w:rPr>
          <w:rFonts w:eastAsia="Calibri"/>
          <w:szCs w:val="24"/>
        </w:rPr>
        <w:t xml:space="preserve"> </w:t>
      </w:r>
      <w:r w:rsidR="008E71FD" w:rsidRPr="003B4362">
        <w:rPr>
          <w:rFonts w:eastAsia="Calibri"/>
          <w:szCs w:val="24"/>
        </w:rPr>
        <w:t xml:space="preserve">a </w:t>
      </w:r>
      <w:r w:rsidR="00D708D3" w:rsidRPr="003B4362">
        <w:rPr>
          <w:rFonts w:eastAsia="Calibri"/>
          <w:szCs w:val="24"/>
        </w:rPr>
        <w:t xml:space="preserve">small or </w:t>
      </w:r>
      <w:r w:rsidRPr="003B4362">
        <w:rPr>
          <w:rFonts w:eastAsia="Calibri"/>
          <w:szCs w:val="24"/>
        </w:rPr>
        <w:t>m</w:t>
      </w:r>
      <w:r w:rsidR="00D708D3" w:rsidRPr="003B4362">
        <w:rPr>
          <w:rFonts w:eastAsia="Calibri"/>
          <w:szCs w:val="24"/>
        </w:rPr>
        <w:t>id-sized</w:t>
      </w:r>
      <w:r w:rsidRPr="003B4362">
        <w:rPr>
          <w:rFonts w:eastAsia="Calibri"/>
          <w:szCs w:val="24"/>
        </w:rPr>
        <w:t xml:space="preserve"> </w:t>
      </w:r>
      <w:r w:rsidR="008E71FD" w:rsidRPr="003B4362">
        <w:rPr>
          <w:rFonts w:eastAsia="Calibri"/>
          <w:szCs w:val="24"/>
        </w:rPr>
        <w:t>supplier</w:t>
      </w:r>
      <w:r w:rsidRPr="003B4362">
        <w:rPr>
          <w:rFonts w:eastAsia="Calibri"/>
          <w:szCs w:val="24"/>
        </w:rPr>
        <w:t xml:space="preserve"> </w:t>
      </w:r>
      <w:r w:rsidR="008E71FD" w:rsidRPr="003B4362">
        <w:rPr>
          <w:rFonts w:eastAsia="Calibri"/>
          <w:szCs w:val="24"/>
        </w:rPr>
        <w:t>having</w:t>
      </w:r>
      <w:r w:rsidRPr="003B4362">
        <w:rPr>
          <w:rFonts w:eastAsia="Calibri"/>
          <w:szCs w:val="24"/>
        </w:rPr>
        <w:t xml:space="preserve"> lead service lines </w:t>
      </w:r>
      <w:bookmarkStart w:id="974" w:name="_Hlk117615518"/>
      <w:r w:rsidR="001F112C" w:rsidRPr="003B4362">
        <w:rPr>
          <w:rFonts w:eastAsia="Calibri"/>
          <w:szCs w:val="24"/>
        </w:rPr>
        <w:t>that exceeds</w:t>
      </w:r>
      <w:r w:rsidRPr="003B4362">
        <w:rPr>
          <w:rFonts w:eastAsia="Calibri"/>
          <w:szCs w:val="24"/>
        </w:rPr>
        <w:t xml:space="preserve"> the lead action level </w:t>
      </w:r>
      <w:bookmarkEnd w:id="974"/>
      <w:r w:rsidR="008E71FD" w:rsidRPr="003B4362">
        <w:rPr>
          <w:rFonts w:eastAsia="Calibri"/>
          <w:szCs w:val="24"/>
        </w:rPr>
        <w:t>must</w:t>
      </w:r>
      <w:bookmarkEnd w:id="973"/>
      <w:r w:rsidRPr="003B4362">
        <w:rPr>
          <w:rFonts w:eastAsia="Calibri"/>
          <w:szCs w:val="24"/>
        </w:rPr>
        <w:t xml:space="preserve"> complete the corrosion control treatment studies for optimiz</w:t>
      </w:r>
      <w:r w:rsidR="008E71FD" w:rsidRPr="003B4362">
        <w:rPr>
          <w:rFonts w:eastAsia="Calibri"/>
          <w:szCs w:val="24"/>
        </w:rPr>
        <w:t>ing OCCT</w:t>
      </w:r>
      <w:r w:rsidRPr="003B4362">
        <w:rPr>
          <w:rFonts w:eastAsia="Calibri"/>
          <w:szCs w:val="24"/>
        </w:rPr>
        <w:t xml:space="preserve"> within 30 months after the end of the tap sampling period during which </w:t>
      </w:r>
      <w:r w:rsidR="008E71FD" w:rsidRPr="003B4362">
        <w:rPr>
          <w:rFonts w:eastAsia="Calibri"/>
          <w:szCs w:val="24"/>
        </w:rPr>
        <w:t>the supplier</w:t>
      </w:r>
      <w:r w:rsidRPr="003B4362">
        <w:rPr>
          <w:rFonts w:eastAsia="Calibri"/>
          <w:szCs w:val="24"/>
        </w:rPr>
        <w:t xml:space="preserve"> exceeds the lead action level.</w:t>
      </w:r>
    </w:p>
    <w:p w14:paraId="0E7A79E4" w14:textId="43F2F375" w:rsidR="00016D0B" w:rsidRPr="003B4362" w:rsidRDefault="00016D0B" w:rsidP="00016D0B">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 xml:space="preserve">If the </w:t>
      </w:r>
      <w:r w:rsidR="00E46470" w:rsidRPr="003B4362">
        <w:rPr>
          <w:rFonts w:eastAsia="Calibri"/>
          <w:szCs w:val="24"/>
        </w:rPr>
        <w:t>Agency</w:t>
      </w:r>
      <w:r w:rsidRPr="003B4362">
        <w:rPr>
          <w:rFonts w:eastAsia="Calibri"/>
          <w:szCs w:val="24"/>
        </w:rPr>
        <w:t xml:space="preserve"> requires a </w:t>
      </w:r>
      <w:r w:rsidR="00E46470" w:rsidRPr="003B4362">
        <w:rPr>
          <w:rFonts w:eastAsia="Calibri"/>
          <w:szCs w:val="24"/>
        </w:rPr>
        <w:t>supplier</w:t>
      </w:r>
      <w:r w:rsidRPr="003B4362">
        <w:rPr>
          <w:rFonts w:eastAsia="Calibri"/>
          <w:szCs w:val="24"/>
        </w:rPr>
        <w:t xml:space="preserve"> to perform corrosion control studies under subsection (e)(2) (Step 2), the </w:t>
      </w:r>
      <w:r w:rsidR="00E46470" w:rsidRPr="003B4362">
        <w:rPr>
          <w:rFonts w:eastAsia="Calibri"/>
          <w:szCs w:val="24"/>
        </w:rPr>
        <w:t>supplier</w:t>
      </w:r>
      <w:r w:rsidRPr="003B4362">
        <w:rPr>
          <w:rFonts w:eastAsia="Calibri"/>
          <w:szCs w:val="24"/>
        </w:rPr>
        <w:t xml:space="preserve"> must complete the studies (Section </w:t>
      </w:r>
      <w:r w:rsidR="00C70EF0" w:rsidRPr="003B4362">
        <w:rPr>
          <w:rFonts w:eastAsia="Calibri"/>
          <w:szCs w:val="24"/>
        </w:rPr>
        <w:t>61</w:t>
      </w:r>
      <w:r w:rsidRPr="003B4362">
        <w:rPr>
          <w:rFonts w:eastAsia="Calibri"/>
          <w:szCs w:val="24"/>
        </w:rPr>
        <w:t>1.</w:t>
      </w:r>
      <w:r w:rsidR="00C70EF0" w:rsidRPr="003B4362">
        <w:rPr>
          <w:rFonts w:eastAsia="Calibri"/>
          <w:szCs w:val="24"/>
        </w:rPr>
        <w:t>35</w:t>
      </w:r>
      <w:r w:rsidRPr="003B4362">
        <w:rPr>
          <w:rFonts w:eastAsia="Calibri"/>
          <w:szCs w:val="24"/>
        </w:rPr>
        <w:t xml:space="preserve">2(c)(1)) within 18 months after </w:t>
      </w:r>
      <w:bookmarkStart w:id="975" w:name="_Hlk117618442"/>
      <w:r w:rsidRPr="003B4362">
        <w:rPr>
          <w:rFonts w:eastAsia="Calibri"/>
          <w:szCs w:val="24"/>
        </w:rPr>
        <w:t xml:space="preserve">the </w:t>
      </w:r>
      <w:r w:rsidR="00C70EF0" w:rsidRPr="003B4362">
        <w:rPr>
          <w:rFonts w:eastAsia="Calibri"/>
          <w:szCs w:val="24"/>
        </w:rPr>
        <w:t>Agency</w:t>
      </w:r>
      <w:r w:rsidRPr="003B4362">
        <w:rPr>
          <w:rFonts w:eastAsia="Calibri"/>
          <w:szCs w:val="24"/>
        </w:rPr>
        <w:t xml:space="preserve"> </w:t>
      </w:r>
      <w:r w:rsidR="00C70EF0" w:rsidRPr="003B4362">
        <w:rPr>
          <w:rFonts w:eastAsia="Calibri"/>
          <w:szCs w:val="24"/>
        </w:rPr>
        <w:t>issues a SEP requiring the supplier to conduct the studies</w:t>
      </w:r>
      <w:bookmarkEnd w:id="975"/>
      <w:r w:rsidRPr="003B4362">
        <w:rPr>
          <w:rFonts w:eastAsia="Calibri"/>
          <w:szCs w:val="24"/>
        </w:rPr>
        <w:t>.</w:t>
      </w:r>
    </w:p>
    <w:p w14:paraId="7844512A" w14:textId="2B841011"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Step 4</w:t>
      </w:r>
    </w:p>
    <w:p w14:paraId="6EB61975" w14:textId="6C1FE50D" w:rsidR="007E3DDF" w:rsidRPr="003B4362" w:rsidRDefault="007E3DDF" w:rsidP="007E3DDF">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T</w:t>
      </w:r>
      <w:bookmarkStart w:id="976" w:name="_Hlk117620339"/>
      <w:r w:rsidRPr="003B4362">
        <w:rPr>
          <w:rFonts w:eastAsia="Calibri"/>
          <w:szCs w:val="24"/>
        </w:rPr>
        <w:t xml:space="preserve">he </w:t>
      </w:r>
      <w:r w:rsidR="006C2C8E" w:rsidRPr="003B4362">
        <w:rPr>
          <w:rFonts w:eastAsia="Calibri"/>
          <w:szCs w:val="24"/>
        </w:rPr>
        <w:t>Age</w:t>
      </w:r>
      <w:r w:rsidR="008B4AD5" w:rsidRPr="003B4362">
        <w:rPr>
          <w:rFonts w:eastAsia="Calibri"/>
          <w:szCs w:val="24"/>
        </w:rPr>
        <w:t>n</w:t>
      </w:r>
      <w:r w:rsidR="006C2C8E" w:rsidRPr="003B4362">
        <w:rPr>
          <w:rFonts w:eastAsia="Calibri"/>
          <w:szCs w:val="24"/>
        </w:rPr>
        <w:t>cy</w:t>
      </w:r>
      <w:r w:rsidRPr="003B4362">
        <w:rPr>
          <w:rFonts w:eastAsia="Calibri"/>
          <w:szCs w:val="24"/>
        </w:rPr>
        <w:t xml:space="preserve"> </w:t>
      </w:r>
      <w:r w:rsidR="006C2C8E" w:rsidRPr="003B4362">
        <w:rPr>
          <w:rFonts w:eastAsia="Calibri"/>
          <w:szCs w:val="24"/>
        </w:rPr>
        <w:t>must</w:t>
      </w:r>
      <w:r w:rsidRPr="003B4362">
        <w:rPr>
          <w:rFonts w:eastAsia="Calibri"/>
          <w:szCs w:val="24"/>
        </w:rPr>
        <w:t xml:space="preserve"> </w:t>
      </w:r>
      <w:r w:rsidR="006C2C8E" w:rsidRPr="003B4362">
        <w:rPr>
          <w:rFonts w:eastAsia="Calibri"/>
          <w:szCs w:val="24"/>
        </w:rPr>
        <w:t xml:space="preserve">issue a SEP </w:t>
      </w:r>
      <w:r w:rsidRPr="003B4362">
        <w:rPr>
          <w:rFonts w:eastAsia="Calibri"/>
          <w:szCs w:val="24"/>
        </w:rPr>
        <w:t>designat</w:t>
      </w:r>
      <w:r w:rsidR="006C2C8E" w:rsidRPr="003B4362">
        <w:rPr>
          <w:rFonts w:eastAsia="Calibri"/>
          <w:szCs w:val="24"/>
        </w:rPr>
        <w:t>ing</w:t>
      </w:r>
      <w:r w:rsidRPr="003B4362">
        <w:rPr>
          <w:rFonts w:eastAsia="Calibri"/>
          <w:szCs w:val="24"/>
        </w:rPr>
        <w:t xml:space="preserve"> re-optimized </w:t>
      </w:r>
      <w:r w:rsidR="006C2C8E" w:rsidRPr="003B4362">
        <w:rPr>
          <w:rFonts w:eastAsia="Calibri"/>
          <w:szCs w:val="24"/>
        </w:rPr>
        <w:t>OCCT</w:t>
      </w:r>
      <w:bookmarkEnd w:id="976"/>
      <w:r w:rsidRPr="003B4362">
        <w:rPr>
          <w:rFonts w:eastAsia="Calibri"/>
          <w:szCs w:val="24"/>
        </w:rPr>
        <w:t xml:space="preserve"> (Section </w:t>
      </w:r>
      <w:r w:rsidR="008B4AD5" w:rsidRPr="003B4362">
        <w:rPr>
          <w:rFonts w:eastAsia="Calibri"/>
          <w:szCs w:val="24"/>
        </w:rPr>
        <w:t>611.35</w:t>
      </w:r>
      <w:r w:rsidRPr="003B4362">
        <w:rPr>
          <w:rFonts w:eastAsia="Calibri"/>
          <w:szCs w:val="24"/>
        </w:rPr>
        <w:t xml:space="preserve">2(d)(3)) within six months </w:t>
      </w:r>
      <w:bookmarkStart w:id="977" w:name="_Hlk117620755"/>
      <w:r w:rsidRPr="003B4362">
        <w:rPr>
          <w:rFonts w:eastAsia="Calibri"/>
          <w:szCs w:val="24"/>
        </w:rPr>
        <w:t xml:space="preserve">after </w:t>
      </w:r>
      <w:r w:rsidR="006C2C8E" w:rsidRPr="003B4362">
        <w:rPr>
          <w:rFonts w:eastAsia="Calibri"/>
          <w:szCs w:val="24"/>
        </w:rPr>
        <w:t xml:space="preserve">the supplier </w:t>
      </w:r>
      <w:r w:rsidRPr="003B4362">
        <w:rPr>
          <w:rFonts w:eastAsia="Calibri"/>
          <w:szCs w:val="24"/>
        </w:rPr>
        <w:t>complet</w:t>
      </w:r>
      <w:r w:rsidR="006C2C8E" w:rsidRPr="003B4362">
        <w:rPr>
          <w:rFonts w:eastAsia="Calibri"/>
          <w:szCs w:val="24"/>
        </w:rPr>
        <w:t>es</w:t>
      </w:r>
      <w:bookmarkEnd w:id="977"/>
      <w:r w:rsidRPr="003B4362">
        <w:rPr>
          <w:rFonts w:eastAsia="Calibri"/>
          <w:szCs w:val="24"/>
        </w:rPr>
        <w:t xml:space="preserve"> subsection (d)(3)(A) (Step 3).</w:t>
      </w:r>
    </w:p>
    <w:p w14:paraId="5AFBA041" w14:textId="73B18C53" w:rsidR="007E3DDF" w:rsidRPr="003B4362" w:rsidRDefault="007E3DDF" w:rsidP="007E3DDF">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 xml:space="preserve">If the </w:t>
      </w:r>
      <w:r w:rsidR="006C2C8E" w:rsidRPr="003B4362">
        <w:rPr>
          <w:rFonts w:eastAsia="Calibri"/>
          <w:szCs w:val="24"/>
        </w:rPr>
        <w:t>supplier</w:t>
      </w:r>
      <w:r w:rsidRPr="003B4362">
        <w:rPr>
          <w:rFonts w:eastAsia="Calibri"/>
          <w:szCs w:val="24"/>
        </w:rPr>
        <w:t xml:space="preserve"> has performed corrosion control studies under subsection (e)(2) (Step 2), the </w:t>
      </w:r>
      <w:r w:rsidR="006C2C8E" w:rsidRPr="003B4362">
        <w:rPr>
          <w:rFonts w:eastAsia="Calibri"/>
          <w:szCs w:val="24"/>
        </w:rPr>
        <w:t>Agency</w:t>
      </w:r>
      <w:r w:rsidRPr="003B4362">
        <w:rPr>
          <w:rFonts w:eastAsia="Calibri"/>
          <w:szCs w:val="24"/>
        </w:rPr>
        <w:t xml:space="preserve"> must </w:t>
      </w:r>
      <w:r w:rsidR="008B4AD5" w:rsidRPr="003B4362">
        <w:rPr>
          <w:rFonts w:eastAsia="Calibri"/>
          <w:szCs w:val="24"/>
        </w:rPr>
        <w:t>issue a SEP designating</w:t>
      </w:r>
      <w:r w:rsidRPr="003B4362">
        <w:rPr>
          <w:rFonts w:eastAsia="Calibri"/>
          <w:szCs w:val="24"/>
        </w:rPr>
        <w:t xml:space="preserve"> </w:t>
      </w:r>
      <w:r w:rsidR="008B4AD5" w:rsidRPr="003B4362">
        <w:rPr>
          <w:rFonts w:eastAsia="Calibri"/>
          <w:szCs w:val="24"/>
        </w:rPr>
        <w:t>OCCT</w:t>
      </w:r>
      <w:r w:rsidRPr="003B4362">
        <w:rPr>
          <w:rFonts w:eastAsia="Calibri"/>
          <w:szCs w:val="24"/>
        </w:rPr>
        <w:t xml:space="preserve"> (Section </w:t>
      </w:r>
      <w:r w:rsidR="008B4AD5" w:rsidRPr="003B4362">
        <w:rPr>
          <w:rFonts w:eastAsia="Calibri"/>
          <w:szCs w:val="24"/>
        </w:rPr>
        <w:t>611.35</w:t>
      </w:r>
      <w:r w:rsidRPr="003B4362">
        <w:rPr>
          <w:rFonts w:eastAsia="Calibri"/>
          <w:szCs w:val="24"/>
        </w:rPr>
        <w:t>2(d)(1)) within six months after</w:t>
      </w:r>
      <w:r w:rsidR="00236A24" w:rsidRPr="003B4362">
        <w:rPr>
          <w:rFonts w:eastAsia="Calibri"/>
          <w:szCs w:val="24"/>
        </w:rPr>
        <w:t xml:space="preserve"> </w:t>
      </w:r>
      <w:r w:rsidRPr="003B4362">
        <w:rPr>
          <w:rFonts w:eastAsia="Calibri"/>
          <w:szCs w:val="24"/>
        </w:rPr>
        <w:t>subsection (e)(3) (Step 3)</w:t>
      </w:r>
      <w:r w:rsidR="00236A24" w:rsidRPr="003B4362">
        <w:rPr>
          <w:rFonts w:eastAsia="Calibri"/>
          <w:szCs w:val="24"/>
        </w:rPr>
        <w:t xml:space="preserve"> is complete</w:t>
      </w:r>
      <w:r w:rsidRPr="003B4362">
        <w:rPr>
          <w:rFonts w:eastAsia="Calibri"/>
          <w:szCs w:val="24"/>
        </w:rPr>
        <w:t>.</w:t>
      </w:r>
    </w:p>
    <w:p w14:paraId="6FEAAE0B" w14:textId="5CB04281" w:rsidR="005451CE" w:rsidRPr="003B4362" w:rsidRDefault="005451CE" w:rsidP="005451CE">
      <w:pPr>
        <w:spacing w:before="240" w:after="240"/>
        <w:ind w:left="2160" w:hanging="720"/>
        <w:rPr>
          <w:rFonts w:eastAsia="Calibri"/>
        </w:rPr>
      </w:pPr>
      <w:r w:rsidRPr="003B4362">
        <w:rPr>
          <w:rFonts w:eastAsia="Calibri"/>
        </w:rPr>
        <w:t>5)</w:t>
      </w:r>
      <w:r w:rsidRPr="003B4362">
        <w:rPr>
          <w:rFonts w:eastAsia="Calibri"/>
        </w:rPr>
        <w:tab/>
        <w:t xml:space="preserve">Step 5  The supplier must install </w:t>
      </w:r>
      <w:r w:rsidR="00DB6617" w:rsidRPr="003B4362">
        <w:rPr>
          <w:rFonts w:eastAsia="Calibri"/>
        </w:rPr>
        <w:t xml:space="preserve">OCCT </w:t>
      </w:r>
      <w:r w:rsidRPr="003B4362">
        <w:rPr>
          <w:rFonts w:eastAsia="Calibri"/>
        </w:rPr>
        <w:t>(Section 611.352(e)) within 24 months after the Agency</w:t>
      </w:r>
      <w:r w:rsidR="00DB6617" w:rsidRPr="003B4362">
        <w:rPr>
          <w:rFonts w:eastAsia="Calibri"/>
        </w:rPr>
        <w:t xml:space="preserve"> designates OCCT </w:t>
      </w:r>
      <w:r w:rsidR="00DB6617" w:rsidRPr="003B4362">
        <w:rPr>
          <w:szCs w:val="24"/>
        </w:rPr>
        <w:t xml:space="preserve">under subsection (e)(2) or </w:t>
      </w:r>
      <w:r w:rsidR="004F12B4" w:rsidRPr="003B4362">
        <w:rPr>
          <w:szCs w:val="24"/>
        </w:rPr>
        <w:t>(e)</w:t>
      </w:r>
      <w:r w:rsidR="00DB6617" w:rsidRPr="003B4362">
        <w:rPr>
          <w:szCs w:val="24"/>
        </w:rPr>
        <w:t>(4) (Step 2 or Step 4)</w:t>
      </w:r>
      <w:r w:rsidRPr="003B4362">
        <w:rPr>
          <w:rFonts w:eastAsia="Calibri"/>
        </w:rPr>
        <w:t>.</w:t>
      </w:r>
    </w:p>
    <w:p w14:paraId="1923CA85" w14:textId="5D538D02" w:rsidR="005451CE" w:rsidRPr="003B4362" w:rsidRDefault="005451CE" w:rsidP="005451CE">
      <w:pPr>
        <w:spacing w:before="240" w:after="240"/>
        <w:ind w:left="2160" w:hanging="720"/>
        <w:rPr>
          <w:rFonts w:eastAsia="Calibri"/>
        </w:rPr>
      </w:pPr>
      <w:r w:rsidRPr="003B4362">
        <w:rPr>
          <w:rFonts w:eastAsia="Calibri"/>
        </w:rPr>
        <w:lastRenderedPageBreak/>
        <w:t>6)</w:t>
      </w:r>
      <w:r w:rsidRPr="003B4362">
        <w:rPr>
          <w:rFonts w:eastAsia="Calibri"/>
        </w:rPr>
        <w:tab/>
        <w:t xml:space="preserve">Step 6  The supplier must complete follow-up sampling </w:t>
      </w:r>
      <w:bookmarkStart w:id="978" w:name="_Hlk128665212"/>
      <w:r w:rsidRPr="003B4362">
        <w:rPr>
          <w:rFonts w:eastAsia="Calibri"/>
        </w:rPr>
        <w:t xml:space="preserve">under </w:t>
      </w:r>
      <w:bookmarkStart w:id="979" w:name="_Hlk114478297"/>
      <w:r w:rsidRPr="003B4362">
        <w:rPr>
          <w:rFonts w:eastAsia="Calibri"/>
        </w:rPr>
        <w:t>Sections 611.356(d)(2)</w:t>
      </w:r>
      <w:r w:rsidR="004F12B4" w:rsidRPr="003B4362">
        <w:rPr>
          <w:szCs w:val="24"/>
        </w:rPr>
        <w:t>(A)</w:t>
      </w:r>
      <w:r w:rsidRPr="003B4362">
        <w:rPr>
          <w:rFonts w:eastAsia="Calibri"/>
        </w:rPr>
        <w:t xml:space="preserve"> and 611.357(c)</w:t>
      </w:r>
      <w:bookmarkEnd w:id="979"/>
      <w:bookmarkEnd w:id="978"/>
      <w:r w:rsidRPr="003B4362">
        <w:rPr>
          <w:rFonts w:eastAsia="Calibri"/>
        </w:rPr>
        <w:t xml:space="preserve"> within </w:t>
      </w:r>
      <w:r w:rsidR="004F12B4" w:rsidRPr="003B4362">
        <w:rPr>
          <w:szCs w:val="24"/>
        </w:rPr>
        <w:t xml:space="preserve">12 </w:t>
      </w:r>
      <w:r w:rsidRPr="003B4362">
        <w:rPr>
          <w:rFonts w:eastAsia="Calibri"/>
        </w:rPr>
        <w:t>months after</w:t>
      </w:r>
      <w:r w:rsidR="000F5A79" w:rsidRPr="003B4362">
        <w:rPr>
          <w:szCs w:val="24"/>
        </w:rPr>
        <w:t xml:space="preserve"> completing subsection (e)(5) (Step 5)</w:t>
      </w:r>
      <w:r w:rsidRPr="003B4362">
        <w:rPr>
          <w:rFonts w:eastAsia="Calibri"/>
        </w:rPr>
        <w:t>.</w:t>
      </w:r>
    </w:p>
    <w:p w14:paraId="0D1D00CC" w14:textId="4BFECEA9" w:rsidR="005451CE" w:rsidRPr="003B4362" w:rsidRDefault="005451CE" w:rsidP="005451CE">
      <w:pPr>
        <w:spacing w:before="240" w:after="240"/>
        <w:ind w:left="2160" w:hanging="720"/>
        <w:rPr>
          <w:rFonts w:eastAsia="Calibri"/>
        </w:rPr>
      </w:pPr>
      <w:r w:rsidRPr="003B4362">
        <w:rPr>
          <w:rFonts w:eastAsia="Calibri"/>
        </w:rPr>
        <w:t>7)</w:t>
      </w:r>
      <w:r w:rsidRPr="003B4362">
        <w:rPr>
          <w:rFonts w:eastAsia="Calibri"/>
        </w:rPr>
        <w:tab/>
        <w:t>Step 7  The Agency must review the supplier’s installation of treatment and issue a SEP approving optimal water quality control parameters (Section 611.352(f)</w:t>
      </w:r>
      <w:r w:rsidR="001D6813" w:rsidRPr="003B4362">
        <w:rPr>
          <w:rFonts w:eastAsia="Calibri"/>
        </w:rPr>
        <w:t>(1)</w:t>
      </w:r>
      <w:r w:rsidRPr="003B4362">
        <w:rPr>
          <w:rFonts w:eastAsia="Calibri"/>
        </w:rPr>
        <w:t xml:space="preserve">) within six months </w:t>
      </w:r>
      <w:bookmarkStart w:id="980" w:name="_Hlk117624191"/>
      <w:r w:rsidRPr="003B4362">
        <w:rPr>
          <w:rFonts w:eastAsia="Calibri"/>
        </w:rPr>
        <w:t xml:space="preserve">after </w:t>
      </w:r>
      <w:bookmarkStart w:id="981" w:name="_Hlk117626191"/>
      <w:r w:rsidRPr="003B4362">
        <w:rPr>
          <w:rFonts w:eastAsia="Calibri"/>
        </w:rPr>
        <w:t xml:space="preserve">the supplier completes </w:t>
      </w:r>
      <w:r w:rsidR="000F5A79" w:rsidRPr="003B4362">
        <w:rPr>
          <w:szCs w:val="24"/>
        </w:rPr>
        <w:t>subsection (e)(5) (Step 5)</w:t>
      </w:r>
      <w:bookmarkEnd w:id="980"/>
      <w:bookmarkEnd w:id="981"/>
      <w:r w:rsidRPr="003B4362">
        <w:rPr>
          <w:rFonts w:eastAsia="Calibri"/>
        </w:rPr>
        <w:t>.</w:t>
      </w:r>
    </w:p>
    <w:p w14:paraId="2CB45998" w14:textId="18017C0C" w:rsidR="005451CE" w:rsidRPr="003B4362" w:rsidRDefault="005451CE" w:rsidP="005451CE">
      <w:pPr>
        <w:spacing w:before="240" w:after="240"/>
        <w:ind w:left="2160" w:hanging="720"/>
        <w:rPr>
          <w:rFonts w:eastAsia="Calibri"/>
        </w:rPr>
      </w:pPr>
      <w:r w:rsidRPr="003B4362">
        <w:rPr>
          <w:rFonts w:eastAsia="Calibri"/>
        </w:rPr>
        <w:t>8)</w:t>
      </w:r>
      <w:r w:rsidRPr="003B4362">
        <w:rPr>
          <w:rFonts w:eastAsia="Calibri"/>
        </w:rPr>
        <w:tab/>
        <w:t>Step 8  T</w:t>
      </w:r>
      <w:bookmarkStart w:id="982" w:name="_Hlk114479274"/>
      <w:r w:rsidRPr="003B4362">
        <w:rPr>
          <w:rFonts w:eastAsia="Calibri"/>
        </w:rPr>
        <w:t>he supplier must comply with</w:t>
      </w:r>
      <w:bookmarkEnd w:id="982"/>
      <w:r w:rsidRPr="003B4362">
        <w:rPr>
          <w:rFonts w:eastAsia="Calibri"/>
        </w:rPr>
        <w:t xml:space="preserve"> the Agency-approved optimal water quality control parameters (Section 611.352(g)</w:t>
      </w:r>
      <w:r w:rsidR="00A20D53" w:rsidRPr="003B4362">
        <w:rPr>
          <w:szCs w:val="24"/>
        </w:rPr>
        <w:t>(1)</w:t>
      </w:r>
      <w:r w:rsidRPr="003B4362">
        <w:rPr>
          <w:rFonts w:eastAsia="Calibri"/>
        </w:rPr>
        <w:t xml:space="preserve">) and </w:t>
      </w:r>
      <w:bookmarkStart w:id="983" w:name="_Hlk114479581"/>
      <w:r w:rsidRPr="003B4362">
        <w:rPr>
          <w:rFonts w:eastAsia="Calibri"/>
        </w:rPr>
        <w:t xml:space="preserve">continue </w:t>
      </w:r>
      <w:bookmarkStart w:id="984" w:name="_Hlk117628377"/>
      <w:r w:rsidRPr="003B4362">
        <w:rPr>
          <w:rFonts w:eastAsia="Calibri"/>
        </w:rPr>
        <w:t>tap sampling</w:t>
      </w:r>
      <w:bookmarkEnd w:id="983"/>
      <w:r w:rsidRPr="003B4362">
        <w:rPr>
          <w:rFonts w:eastAsia="Calibri"/>
        </w:rPr>
        <w:t xml:space="preserve"> (</w:t>
      </w:r>
      <w:bookmarkStart w:id="985" w:name="_Hlk114479668"/>
      <w:r w:rsidR="005326E7" w:rsidRPr="003B4362">
        <w:rPr>
          <w:rFonts w:eastAsia="Calibri"/>
        </w:rPr>
        <w:t xml:space="preserve">Section </w:t>
      </w:r>
      <w:r w:rsidRPr="003B4362">
        <w:rPr>
          <w:rFonts w:eastAsia="Calibri"/>
        </w:rPr>
        <w:t>611.356(d)(3)</w:t>
      </w:r>
      <w:r w:rsidR="005326E7" w:rsidRPr="003B4362">
        <w:rPr>
          <w:rFonts w:eastAsia="Calibri"/>
        </w:rPr>
        <w:t>)</w:t>
      </w:r>
      <w:r w:rsidRPr="003B4362">
        <w:rPr>
          <w:rFonts w:eastAsia="Calibri"/>
        </w:rPr>
        <w:t xml:space="preserve"> and </w:t>
      </w:r>
      <w:r w:rsidR="00B738DA" w:rsidRPr="003B4362">
        <w:rPr>
          <w:rFonts w:eastAsia="Calibri"/>
        </w:rPr>
        <w:t xml:space="preserve">monitoring </w:t>
      </w:r>
      <w:r w:rsidR="005326E7" w:rsidRPr="003B4362">
        <w:rPr>
          <w:szCs w:val="24"/>
        </w:rPr>
        <w:t>water quality parameter</w:t>
      </w:r>
      <w:r w:rsidR="00B738DA" w:rsidRPr="003B4362">
        <w:rPr>
          <w:szCs w:val="24"/>
        </w:rPr>
        <w:t>s</w:t>
      </w:r>
      <w:r w:rsidR="005326E7" w:rsidRPr="003B4362">
        <w:rPr>
          <w:rFonts w:eastAsia="Calibri"/>
          <w:spacing w:val="-3"/>
        </w:rPr>
        <w:t xml:space="preserve"> (Section </w:t>
      </w:r>
      <w:r w:rsidRPr="003B4362">
        <w:rPr>
          <w:rFonts w:eastAsia="Calibri"/>
        </w:rPr>
        <w:t>611.357(d)</w:t>
      </w:r>
      <w:bookmarkEnd w:id="985"/>
      <w:r w:rsidRPr="003B4362">
        <w:rPr>
          <w:rFonts w:eastAsia="Calibri"/>
        </w:rPr>
        <w:t>)</w:t>
      </w:r>
      <w:bookmarkEnd w:id="984"/>
      <w:r w:rsidRPr="003B4362">
        <w:rPr>
          <w:rFonts w:eastAsia="Calibri"/>
        </w:rPr>
        <w:t>.</w:t>
      </w:r>
    </w:p>
    <w:p w14:paraId="62CF5E85" w14:textId="7759FE7D" w:rsidR="00B07756" w:rsidRPr="003B4362" w:rsidRDefault="00B07756" w:rsidP="00B07756">
      <w:pPr>
        <w:autoSpaceDE w:val="0"/>
        <w:autoSpaceDN w:val="0"/>
        <w:adjustRightInd w:val="0"/>
        <w:spacing w:before="240" w:after="240"/>
        <w:ind w:left="1440" w:hanging="720"/>
        <w:rPr>
          <w:rFonts w:eastAsia="Calibri"/>
          <w:szCs w:val="24"/>
        </w:rPr>
      </w:pPr>
      <w:r w:rsidRPr="003B4362">
        <w:rPr>
          <w:rFonts w:eastAsia="Calibri"/>
          <w:szCs w:val="24"/>
        </w:rPr>
        <w:t>f)</w:t>
      </w:r>
      <w:r w:rsidRPr="003B4362">
        <w:rPr>
          <w:rFonts w:eastAsia="Calibri"/>
          <w:szCs w:val="24"/>
        </w:rPr>
        <w:tab/>
      </w:r>
      <w:bookmarkStart w:id="986" w:name="_Hlk117629821"/>
      <w:r w:rsidRPr="003B4362">
        <w:rPr>
          <w:rFonts w:eastAsia="Calibri"/>
          <w:szCs w:val="24"/>
        </w:rPr>
        <w:t>Treatment Steps and Deadlines for Small CWS and NTNCWS</w:t>
      </w:r>
      <w:r w:rsidR="00D53276" w:rsidRPr="003B4362">
        <w:rPr>
          <w:rFonts w:eastAsia="Calibri"/>
          <w:szCs w:val="24"/>
        </w:rPr>
        <w:t xml:space="preserve"> Suppliers</w:t>
      </w:r>
      <w:r w:rsidRPr="003B4362">
        <w:rPr>
          <w:rFonts w:eastAsia="Calibri"/>
          <w:szCs w:val="24"/>
        </w:rPr>
        <w:t xml:space="preserve"> Electing Corrosion Control Treatment (CCT) </w:t>
      </w:r>
      <w:r w:rsidR="00653F31" w:rsidRPr="003B4362">
        <w:rPr>
          <w:rFonts w:eastAsia="Calibri"/>
          <w:szCs w:val="24"/>
        </w:rPr>
        <w:t>A</w:t>
      </w:r>
      <w:r w:rsidRPr="003B4362">
        <w:rPr>
          <w:rFonts w:eastAsia="Calibri"/>
          <w:szCs w:val="24"/>
        </w:rPr>
        <w:t xml:space="preserve">s a Compliance Option under Section </w:t>
      </w:r>
      <w:r w:rsidR="00DB3AAB" w:rsidRPr="003B4362">
        <w:rPr>
          <w:rFonts w:eastAsia="Calibri"/>
          <w:szCs w:val="24"/>
        </w:rPr>
        <w:t>61</w:t>
      </w:r>
      <w:r w:rsidRPr="003B4362">
        <w:rPr>
          <w:rFonts w:eastAsia="Calibri"/>
          <w:szCs w:val="24"/>
        </w:rPr>
        <w:t>1.</w:t>
      </w:r>
      <w:r w:rsidR="00DB3AAB" w:rsidRPr="003B4362">
        <w:rPr>
          <w:rFonts w:eastAsia="Calibri"/>
          <w:szCs w:val="24"/>
        </w:rPr>
        <w:t>36</w:t>
      </w:r>
      <w:r w:rsidRPr="003B4362">
        <w:rPr>
          <w:rFonts w:eastAsia="Calibri"/>
          <w:szCs w:val="24"/>
        </w:rPr>
        <w:t xml:space="preserve">3 or </w:t>
      </w:r>
      <w:r w:rsidR="00653F31" w:rsidRPr="003B4362">
        <w:rPr>
          <w:rFonts w:eastAsia="Calibri"/>
          <w:szCs w:val="24"/>
        </w:rPr>
        <w:t>A</w:t>
      </w:r>
      <w:r w:rsidRPr="003B4362">
        <w:rPr>
          <w:rFonts w:eastAsia="Calibri"/>
          <w:szCs w:val="24"/>
        </w:rPr>
        <w:t>s</w:t>
      </w:r>
      <w:r w:rsidR="00DB3AAB" w:rsidRPr="003B4362">
        <w:rPr>
          <w:rFonts w:eastAsia="Calibri"/>
          <w:szCs w:val="24"/>
        </w:rPr>
        <w:t xml:space="preserve"> the Agency</w:t>
      </w:r>
      <w:r w:rsidRPr="003B4362">
        <w:rPr>
          <w:rFonts w:eastAsia="Calibri"/>
          <w:szCs w:val="24"/>
        </w:rPr>
        <w:t xml:space="preserve"> Require</w:t>
      </w:r>
      <w:r w:rsidR="00DB3AAB" w:rsidRPr="003B4362">
        <w:rPr>
          <w:rFonts w:eastAsia="Calibri"/>
          <w:szCs w:val="24"/>
        </w:rPr>
        <w:t>s</w:t>
      </w:r>
      <w:bookmarkEnd w:id="986"/>
      <w:r w:rsidRPr="003B4362">
        <w:rPr>
          <w:rFonts w:eastAsia="Calibri"/>
          <w:szCs w:val="24"/>
        </w:rPr>
        <w:t xml:space="preserve">.  </w:t>
      </w:r>
      <w:r w:rsidR="00DB3AAB" w:rsidRPr="003B4362">
        <w:rPr>
          <w:rFonts w:eastAsia="Calibri"/>
          <w:szCs w:val="24"/>
        </w:rPr>
        <w:t xml:space="preserve">A </w:t>
      </w:r>
      <w:r w:rsidR="00653F31" w:rsidRPr="003B4362">
        <w:rPr>
          <w:rFonts w:eastAsia="Calibri"/>
          <w:szCs w:val="24"/>
        </w:rPr>
        <w:t xml:space="preserve">small CWS or NTNCWS </w:t>
      </w:r>
      <w:r w:rsidR="00DB3AAB" w:rsidRPr="003B4362">
        <w:rPr>
          <w:rFonts w:eastAsia="Calibri"/>
          <w:szCs w:val="24"/>
        </w:rPr>
        <w:t>supplier</w:t>
      </w:r>
      <w:r w:rsidRPr="003B4362">
        <w:rPr>
          <w:rFonts w:eastAsia="Calibri"/>
          <w:szCs w:val="24"/>
        </w:rPr>
        <w:t xml:space="preserve"> selecting </w:t>
      </w:r>
      <w:bookmarkStart w:id="987" w:name="_Hlk117630382"/>
      <w:r w:rsidRPr="003B4362">
        <w:rPr>
          <w:rFonts w:eastAsia="Calibri"/>
          <w:szCs w:val="24"/>
        </w:rPr>
        <w:t xml:space="preserve">the corrosion control </w:t>
      </w:r>
      <w:r w:rsidR="00DB3AAB" w:rsidRPr="003B4362">
        <w:rPr>
          <w:rFonts w:eastAsia="Calibri"/>
          <w:szCs w:val="24"/>
        </w:rPr>
        <w:t xml:space="preserve">treatment </w:t>
      </w:r>
      <w:r w:rsidR="006A30D4" w:rsidRPr="003B4362">
        <w:rPr>
          <w:rFonts w:eastAsia="Calibri"/>
          <w:szCs w:val="24"/>
        </w:rPr>
        <w:t xml:space="preserve">option as </w:t>
      </w:r>
      <w:r w:rsidRPr="003B4362">
        <w:rPr>
          <w:rFonts w:eastAsia="Calibri"/>
          <w:szCs w:val="24"/>
        </w:rPr>
        <w:t xml:space="preserve">small </w:t>
      </w:r>
      <w:r w:rsidR="00C56332" w:rsidRPr="003B4362">
        <w:rPr>
          <w:rFonts w:eastAsia="Calibri"/>
          <w:szCs w:val="24"/>
        </w:rPr>
        <w:t>supplier</w:t>
      </w:r>
      <w:r w:rsidRPr="003B4362">
        <w:rPr>
          <w:rFonts w:eastAsia="Calibri"/>
          <w:szCs w:val="24"/>
        </w:rPr>
        <w:t xml:space="preserve"> compliance flexibility</w:t>
      </w:r>
      <w:bookmarkStart w:id="988" w:name="_Hlk117697946"/>
      <w:bookmarkEnd w:id="987"/>
      <w:r w:rsidR="006A30D4" w:rsidRPr="003B4362">
        <w:rPr>
          <w:rFonts w:eastAsia="Calibri"/>
          <w:szCs w:val="24"/>
        </w:rPr>
        <w:t xml:space="preserve"> </w:t>
      </w:r>
      <w:r w:rsidR="00653F31" w:rsidRPr="003B4362">
        <w:rPr>
          <w:rFonts w:eastAsia="Calibri"/>
          <w:szCs w:val="24"/>
        </w:rPr>
        <w:t>under Section 611.363(a)(2)</w:t>
      </w:r>
      <w:bookmarkEnd w:id="988"/>
      <w:r w:rsidR="00653F31" w:rsidRPr="003B4362">
        <w:rPr>
          <w:rFonts w:eastAsia="Calibri"/>
          <w:szCs w:val="24"/>
        </w:rPr>
        <w:t xml:space="preserve"> </w:t>
      </w:r>
      <w:r w:rsidRPr="003B4362">
        <w:rPr>
          <w:rFonts w:eastAsia="Calibri"/>
          <w:szCs w:val="24"/>
        </w:rPr>
        <w:t xml:space="preserve">must </w:t>
      </w:r>
      <w:bookmarkStart w:id="989" w:name="_Hlk117630481"/>
      <w:r w:rsidRPr="003B4362">
        <w:rPr>
          <w:rFonts w:eastAsia="Calibri"/>
          <w:szCs w:val="24"/>
        </w:rPr>
        <w:t xml:space="preserve">complete </w:t>
      </w:r>
      <w:r w:rsidR="006A30D4" w:rsidRPr="003B4362">
        <w:rPr>
          <w:rFonts w:eastAsia="Calibri"/>
          <w:szCs w:val="24"/>
        </w:rPr>
        <w:t>two</w:t>
      </w:r>
      <w:r w:rsidRPr="003B4362">
        <w:rPr>
          <w:rFonts w:eastAsia="Calibri"/>
          <w:szCs w:val="24"/>
        </w:rPr>
        <w:t xml:space="preserve"> steps by the indicated time</w:t>
      </w:r>
      <w:r w:rsidR="006A30D4" w:rsidRPr="003B4362">
        <w:rPr>
          <w:rFonts w:eastAsia="Calibri"/>
          <w:szCs w:val="24"/>
        </w:rPr>
        <w:t>s:</w:t>
      </w:r>
      <w:bookmarkEnd w:id="989"/>
    </w:p>
    <w:p w14:paraId="486A0815" w14:textId="24CC9DD2" w:rsidR="00B07756" w:rsidRPr="003B4362" w:rsidRDefault="00B07756" w:rsidP="00B07756">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 xml:space="preserve">Step 1.  A </w:t>
      </w:r>
      <w:r w:rsidR="00330360" w:rsidRPr="003B4362">
        <w:rPr>
          <w:rFonts w:eastAsia="Calibri"/>
          <w:szCs w:val="24"/>
        </w:rPr>
        <w:t>supplier</w:t>
      </w:r>
      <w:bookmarkStart w:id="990" w:name="_Hlk117631106"/>
      <w:r w:rsidR="00330360" w:rsidRPr="003B4362">
        <w:rPr>
          <w:rFonts w:eastAsia="Calibri"/>
          <w:szCs w:val="24"/>
        </w:rPr>
        <w:t xml:space="preserve"> must</w:t>
      </w:r>
      <w:r w:rsidRPr="003B4362">
        <w:rPr>
          <w:rFonts w:eastAsia="Calibri"/>
          <w:szCs w:val="24"/>
        </w:rPr>
        <w:t xml:space="preserve"> recommend</w:t>
      </w:r>
      <w:bookmarkStart w:id="991" w:name="_Hlk117630970"/>
      <w:r w:rsidRPr="003B4362">
        <w:rPr>
          <w:rFonts w:eastAsia="Calibri"/>
          <w:szCs w:val="24"/>
        </w:rPr>
        <w:t xml:space="preserve"> </w:t>
      </w:r>
      <w:r w:rsidR="00330360" w:rsidRPr="003B4362">
        <w:rPr>
          <w:rFonts w:eastAsia="Calibri"/>
          <w:szCs w:val="24"/>
        </w:rPr>
        <w:t xml:space="preserve">the </w:t>
      </w:r>
      <w:r w:rsidRPr="003B4362">
        <w:rPr>
          <w:rFonts w:eastAsia="Calibri"/>
          <w:szCs w:val="24"/>
        </w:rPr>
        <w:t xml:space="preserve">corrosion control treatment </w:t>
      </w:r>
      <w:r w:rsidR="00DB3AAB" w:rsidRPr="003B4362">
        <w:rPr>
          <w:rFonts w:eastAsia="Calibri"/>
          <w:szCs w:val="24"/>
        </w:rPr>
        <w:t xml:space="preserve">option </w:t>
      </w:r>
      <w:r w:rsidRPr="003B4362">
        <w:rPr>
          <w:rFonts w:eastAsia="Calibri"/>
          <w:szCs w:val="24"/>
        </w:rPr>
        <w:t>as</w:t>
      </w:r>
      <w:r w:rsidR="00330360" w:rsidRPr="003B4362">
        <w:rPr>
          <w:rFonts w:eastAsia="Calibri"/>
          <w:szCs w:val="24"/>
        </w:rPr>
        <w:t xml:space="preserve"> </w:t>
      </w:r>
      <w:r w:rsidRPr="003B4362">
        <w:rPr>
          <w:rFonts w:eastAsia="Calibri"/>
          <w:szCs w:val="24"/>
        </w:rPr>
        <w:t xml:space="preserve">small </w:t>
      </w:r>
      <w:r w:rsidR="00C56332" w:rsidRPr="003B4362">
        <w:rPr>
          <w:rFonts w:eastAsia="Calibri"/>
          <w:szCs w:val="24"/>
        </w:rPr>
        <w:t>supplier</w:t>
      </w:r>
      <w:r w:rsidRPr="003B4362">
        <w:rPr>
          <w:rFonts w:eastAsia="Calibri"/>
          <w:szCs w:val="24"/>
        </w:rPr>
        <w:t xml:space="preserve"> compliance flexibility</w:t>
      </w:r>
      <w:bookmarkEnd w:id="990"/>
      <w:bookmarkEnd w:id="991"/>
      <w:r w:rsidR="006A30D4" w:rsidRPr="003B4362">
        <w:rPr>
          <w:rFonts w:eastAsia="Calibri"/>
          <w:szCs w:val="24"/>
        </w:rPr>
        <w:t xml:space="preserve"> </w:t>
      </w:r>
      <w:bookmarkStart w:id="992" w:name="_Hlk117632750"/>
      <w:r w:rsidRPr="003B4362">
        <w:rPr>
          <w:rFonts w:eastAsia="Calibri"/>
          <w:szCs w:val="24"/>
        </w:rPr>
        <w:t xml:space="preserve">under Section </w:t>
      </w:r>
      <w:r w:rsidR="00B72922" w:rsidRPr="003B4362">
        <w:rPr>
          <w:rFonts w:eastAsia="Calibri"/>
          <w:szCs w:val="24"/>
        </w:rPr>
        <w:t>611.36</w:t>
      </w:r>
      <w:r w:rsidRPr="003B4362">
        <w:rPr>
          <w:rFonts w:eastAsia="Calibri"/>
          <w:szCs w:val="24"/>
        </w:rPr>
        <w:t>3(a)(2)</w:t>
      </w:r>
      <w:bookmarkEnd w:id="992"/>
      <w:r w:rsidRPr="003B4362">
        <w:rPr>
          <w:rFonts w:eastAsia="Calibri"/>
          <w:szCs w:val="24"/>
        </w:rPr>
        <w:t xml:space="preserve"> within six months after the end of the tap sampling period during which </w:t>
      </w:r>
      <w:r w:rsidR="00330360" w:rsidRPr="003B4362">
        <w:rPr>
          <w:rFonts w:eastAsia="Calibri"/>
          <w:szCs w:val="24"/>
        </w:rPr>
        <w:t>the supplier</w:t>
      </w:r>
      <w:r w:rsidRPr="003B4362">
        <w:rPr>
          <w:rFonts w:eastAsia="Calibri"/>
          <w:szCs w:val="24"/>
        </w:rPr>
        <w:t xml:space="preserve"> exceeds either the lead trigger level or the lead action level.</w:t>
      </w:r>
      <w:r w:rsidR="004470C8" w:rsidRPr="003B4362">
        <w:rPr>
          <w:szCs w:val="24"/>
        </w:rPr>
        <w:t xml:space="preserve">  </w:t>
      </w:r>
      <w:r w:rsidR="001F3EEF" w:rsidRPr="003B4362">
        <w:rPr>
          <w:szCs w:val="24"/>
        </w:rPr>
        <w:t>When recommending to the Agency, the supplier must comply with Section 611.</w:t>
      </w:r>
      <w:r w:rsidR="001D6813" w:rsidRPr="003B4362">
        <w:rPr>
          <w:szCs w:val="24"/>
        </w:rPr>
        <w:t>352</w:t>
      </w:r>
      <w:r w:rsidR="001F3EEF" w:rsidRPr="003B4362">
        <w:rPr>
          <w:szCs w:val="24"/>
        </w:rPr>
        <w:t>(a)(1).</w:t>
      </w:r>
    </w:p>
    <w:p w14:paraId="26C4D975" w14:textId="075B8ACF" w:rsidR="00B07756" w:rsidRPr="003B4362" w:rsidRDefault="00B07756" w:rsidP="00B07756">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Step 2.  T</w:t>
      </w:r>
      <w:bookmarkStart w:id="993" w:name="_Hlk117632444"/>
      <w:r w:rsidRPr="003B4362">
        <w:rPr>
          <w:rFonts w:eastAsia="Calibri"/>
          <w:szCs w:val="24"/>
        </w:rPr>
        <w:t xml:space="preserve">he </w:t>
      </w:r>
      <w:r w:rsidR="00881F4B" w:rsidRPr="003B4362">
        <w:rPr>
          <w:rFonts w:eastAsia="Calibri"/>
          <w:szCs w:val="24"/>
        </w:rPr>
        <w:t>Agency</w:t>
      </w:r>
      <w:r w:rsidRPr="003B4362">
        <w:rPr>
          <w:rFonts w:eastAsia="Calibri"/>
          <w:szCs w:val="24"/>
        </w:rPr>
        <w:t xml:space="preserve"> </w:t>
      </w:r>
      <w:r w:rsidR="00881F4B" w:rsidRPr="003B4362">
        <w:rPr>
          <w:rFonts w:eastAsia="Calibri"/>
          <w:szCs w:val="24"/>
        </w:rPr>
        <w:t>must issue a SEP approving</w:t>
      </w:r>
      <w:r w:rsidRPr="003B4362">
        <w:rPr>
          <w:rFonts w:eastAsia="Calibri"/>
          <w:szCs w:val="24"/>
        </w:rPr>
        <w:t xml:space="preserve"> the recommendation</w:t>
      </w:r>
      <w:bookmarkEnd w:id="993"/>
      <w:r w:rsidRPr="003B4362">
        <w:rPr>
          <w:rFonts w:eastAsia="Calibri"/>
          <w:szCs w:val="24"/>
        </w:rPr>
        <w:t xml:space="preserve"> of </w:t>
      </w:r>
      <w:bookmarkStart w:id="994" w:name="_Hlk117632597"/>
      <w:r w:rsidRPr="003B4362">
        <w:rPr>
          <w:rFonts w:eastAsia="Calibri"/>
          <w:szCs w:val="24"/>
        </w:rPr>
        <w:t xml:space="preserve">corrosion control treatment </w:t>
      </w:r>
      <w:r w:rsidR="00881F4B" w:rsidRPr="003B4362">
        <w:rPr>
          <w:rFonts w:eastAsia="Calibri"/>
          <w:szCs w:val="24"/>
        </w:rPr>
        <w:t xml:space="preserve">option </w:t>
      </w:r>
      <w:r w:rsidRPr="003B4362">
        <w:rPr>
          <w:rFonts w:eastAsia="Calibri"/>
          <w:szCs w:val="24"/>
        </w:rPr>
        <w:t>as</w:t>
      </w:r>
      <w:r w:rsidR="00881F4B" w:rsidRPr="003B4362">
        <w:rPr>
          <w:rFonts w:eastAsia="Calibri"/>
          <w:szCs w:val="24"/>
        </w:rPr>
        <w:t xml:space="preserve"> </w:t>
      </w:r>
      <w:r w:rsidRPr="003B4362">
        <w:rPr>
          <w:rFonts w:eastAsia="Calibri"/>
          <w:szCs w:val="24"/>
        </w:rPr>
        <w:t xml:space="preserve">small </w:t>
      </w:r>
      <w:r w:rsidR="00C56332" w:rsidRPr="003B4362">
        <w:rPr>
          <w:rFonts w:eastAsia="Calibri"/>
          <w:szCs w:val="24"/>
        </w:rPr>
        <w:t>supplier</w:t>
      </w:r>
      <w:r w:rsidRPr="003B4362">
        <w:rPr>
          <w:rFonts w:eastAsia="Calibri"/>
          <w:szCs w:val="24"/>
        </w:rPr>
        <w:t xml:space="preserve"> compliance flexibility</w:t>
      </w:r>
      <w:bookmarkEnd w:id="994"/>
      <w:r w:rsidRPr="003B4362">
        <w:rPr>
          <w:rFonts w:eastAsia="Calibri"/>
          <w:szCs w:val="24"/>
        </w:rPr>
        <w:t xml:space="preserve"> or designat</w:t>
      </w:r>
      <w:r w:rsidR="00881F4B" w:rsidRPr="003B4362">
        <w:rPr>
          <w:rFonts w:eastAsia="Calibri"/>
          <w:szCs w:val="24"/>
        </w:rPr>
        <w:t>ing</w:t>
      </w:r>
      <w:r w:rsidRPr="003B4362">
        <w:rPr>
          <w:rFonts w:eastAsia="Calibri"/>
          <w:szCs w:val="24"/>
        </w:rPr>
        <w:t xml:space="preserve"> an alternative option </w:t>
      </w:r>
      <w:r w:rsidR="00881F4B" w:rsidRPr="003B4362">
        <w:rPr>
          <w:rFonts w:eastAsia="Calibri"/>
          <w:szCs w:val="24"/>
        </w:rPr>
        <w:t>under</w:t>
      </w:r>
      <w:r w:rsidRPr="003B4362">
        <w:rPr>
          <w:rFonts w:eastAsia="Calibri"/>
          <w:szCs w:val="24"/>
        </w:rPr>
        <w:t xml:space="preserve"> Section </w:t>
      </w:r>
      <w:r w:rsidR="00B72922" w:rsidRPr="003B4362">
        <w:rPr>
          <w:rFonts w:eastAsia="Calibri"/>
          <w:szCs w:val="24"/>
        </w:rPr>
        <w:t>611.36</w:t>
      </w:r>
      <w:r w:rsidRPr="003B4362">
        <w:rPr>
          <w:rFonts w:eastAsia="Calibri"/>
          <w:szCs w:val="24"/>
        </w:rPr>
        <w:t xml:space="preserve">3(a) </w:t>
      </w:r>
      <w:bookmarkStart w:id="995" w:name="_Hlk117632866"/>
      <w:r w:rsidRPr="003B4362">
        <w:rPr>
          <w:rFonts w:eastAsia="Calibri"/>
          <w:szCs w:val="24"/>
        </w:rPr>
        <w:t xml:space="preserve">within six months </w:t>
      </w:r>
      <w:r w:rsidR="00881F4B" w:rsidRPr="003B4362">
        <w:rPr>
          <w:rFonts w:eastAsia="Calibri"/>
          <w:szCs w:val="24"/>
        </w:rPr>
        <w:t>after</w:t>
      </w:r>
      <w:r w:rsidRPr="003B4362">
        <w:rPr>
          <w:rFonts w:eastAsia="Calibri"/>
          <w:szCs w:val="24"/>
        </w:rPr>
        <w:t xml:space="preserve"> the </w:t>
      </w:r>
      <w:r w:rsidR="00B72922" w:rsidRPr="003B4362">
        <w:rPr>
          <w:rFonts w:eastAsia="Calibri"/>
          <w:szCs w:val="24"/>
        </w:rPr>
        <w:t xml:space="preserve">supplier </w:t>
      </w:r>
      <w:r w:rsidR="00881F4B" w:rsidRPr="003B4362">
        <w:rPr>
          <w:rFonts w:eastAsia="Calibri"/>
          <w:szCs w:val="24"/>
        </w:rPr>
        <w:t>recommends the option under</w:t>
      </w:r>
      <w:r w:rsidRPr="003B4362">
        <w:rPr>
          <w:rFonts w:eastAsia="Calibri"/>
          <w:szCs w:val="24"/>
        </w:rPr>
        <w:t xml:space="preserve"> subsection (f)(1)</w:t>
      </w:r>
      <w:bookmarkEnd w:id="995"/>
      <w:r w:rsidRPr="003B4362">
        <w:rPr>
          <w:rFonts w:eastAsia="Calibri"/>
          <w:szCs w:val="24"/>
        </w:rPr>
        <w:t xml:space="preserve"> (Step 1).  </w:t>
      </w:r>
      <w:r w:rsidR="00881F4B" w:rsidRPr="003B4362">
        <w:rPr>
          <w:rFonts w:eastAsia="Calibri"/>
          <w:szCs w:val="24"/>
        </w:rPr>
        <w:t>A</w:t>
      </w:r>
      <w:bookmarkStart w:id="996" w:name="_Hlk117632940"/>
      <w:r w:rsidR="00881F4B" w:rsidRPr="003B4362">
        <w:rPr>
          <w:rFonts w:eastAsia="Calibri"/>
          <w:szCs w:val="24"/>
        </w:rPr>
        <w:t xml:space="preserve"> supplier the Agency requires</w:t>
      </w:r>
      <w:r w:rsidRPr="003B4362">
        <w:rPr>
          <w:rFonts w:eastAsia="Calibri"/>
          <w:szCs w:val="24"/>
        </w:rPr>
        <w:t xml:space="preserve"> to optimize</w:t>
      </w:r>
      <w:bookmarkEnd w:id="996"/>
      <w:r w:rsidRPr="003B4362">
        <w:rPr>
          <w:rFonts w:eastAsia="Calibri"/>
          <w:szCs w:val="24"/>
        </w:rPr>
        <w:t xml:space="preserve"> or re-optimize </w:t>
      </w:r>
      <w:r w:rsidR="00095134" w:rsidRPr="003B4362">
        <w:rPr>
          <w:rFonts w:eastAsia="Calibri"/>
          <w:szCs w:val="24"/>
        </w:rPr>
        <w:t>OCCT</w:t>
      </w:r>
      <w:r w:rsidRPr="003B4362">
        <w:rPr>
          <w:rFonts w:eastAsia="Calibri"/>
          <w:szCs w:val="24"/>
        </w:rPr>
        <w:t xml:space="preserve"> must follow the schedules in subsection (d) or (e), beginning with Step 3 in subsection (d)(3) or (e)(3)</w:t>
      </w:r>
      <w:r w:rsidR="00095134" w:rsidRPr="003B4362">
        <w:rPr>
          <w:rFonts w:eastAsia="Calibri"/>
          <w:szCs w:val="24"/>
        </w:rPr>
        <w:t>,</w:t>
      </w:r>
      <w:r w:rsidRPr="003B4362">
        <w:rPr>
          <w:rFonts w:eastAsia="Calibri"/>
          <w:szCs w:val="24"/>
        </w:rPr>
        <w:t xml:space="preserve"> unless the </w:t>
      </w:r>
      <w:r w:rsidR="00095134" w:rsidRPr="003B4362">
        <w:rPr>
          <w:rFonts w:eastAsia="Calibri"/>
          <w:szCs w:val="24"/>
        </w:rPr>
        <w:t>Agency</w:t>
      </w:r>
      <w:r w:rsidRPr="003B4362">
        <w:rPr>
          <w:rFonts w:eastAsia="Calibri"/>
          <w:szCs w:val="24"/>
        </w:rPr>
        <w:t xml:space="preserve"> specifies </w:t>
      </w:r>
      <w:r w:rsidR="00095134" w:rsidRPr="003B4362">
        <w:rPr>
          <w:rFonts w:eastAsia="Calibri"/>
          <w:szCs w:val="24"/>
        </w:rPr>
        <w:t>OCCT</w:t>
      </w:r>
      <w:r w:rsidRPr="003B4362">
        <w:rPr>
          <w:rFonts w:eastAsia="Calibri"/>
          <w:szCs w:val="24"/>
        </w:rPr>
        <w:t xml:space="preserve"> </w:t>
      </w:r>
      <w:bookmarkStart w:id="997" w:name="_Hlk117633310"/>
      <w:r w:rsidR="00095134" w:rsidRPr="003B4362">
        <w:rPr>
          <w:rFonts w:eastAsia="Calibri"/>
          <w:szCs w:val="24"/>
        </w:rPr>
        <w:t>under</w:t>
      </w:r>
      <w:r w:rsidRPr="003B4362">
        <w:rPr>
          <w:rFonts w:eastAsia="Calibri"/>
          <w:szCs w:val="24"/>
        </w:rPr>
        <w:t xml:space="preserve"> </w:t>
      </w:r>
      <w:r w:rsidR="00095134" w:rsidRPr="003B4362">
        <w:rPr>
          <w:rFonts w:eastAsia="Calibri"/>
          <w:szCs w:val="24"/>
        </w:rPr>
        <w:t>the applicable of</w:t>
      </w:r>
      <w:r w:rsidRPr="003B4362">
        <w:rPr>
          <w:rFonts w:eastAsia="Calibri"/>
          <w:szCs w:val="24"/>
        </w:rPr>
        <w:t xml:space="preserve"> subsection (d)(2)(B) or (e)(2)(B)</w:t>
      </w:r>
      <w:bookmarkEnd w:id="997"/>
      <w:r w:rsidRPr="003B4362">
        <w:rPr>
          <w:rFonts w:eastAsia="Calibri"/>
          <w:szCs w:val="24"/>
        </w:rPr>
        <w:t>.</w:t>
      </w:r>
    </w:p>
    <w:p w14:paraId="1DDDDAA3" w14:textId="73071330" w:rsidR="005451CE" w:rsidRPr="003B4362" w:rsidRDefault="005451CE" w:rsidP="005451CE">
      <w:pPr>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141.81.</w:t>
      </w:r>
    </w:p>
    <w:p w14:paraId="63195E74" w14:textId="79DC1F30"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5F496DAB" w14:textId="77777777" w:rsidR="005451CE" w:rsidRPr="003B4362" w:rsidRDefault="005451CE" w:rsidP="00982D40">
      <w:pPr>
        <w:rPr>
          <w:rFonts w:eastAsia="Calibri"/>
          <w:b/>
          <w:bCs/>
        </w:rPr>
      </w:pPr>
      <w:r w:rsidRPr="003B4362">
        <w:rPr>
          <w:rFonts w:eastAsia="Calibri"/>
          <w:b/>
          <w:bCs/>
        </w:rPr>
        <w:t>Section 611.352  Corrosion Control Treatment</w:t>
      </w:r>
    </w:p>
    <w:p w14:paraId="063F418C" w14:textId="77777777" w:rsidR="00982D40" w:rsidRPr="003B4362" w:rsidRDefault="00982D40" w:rsidP="008269A7">
      <w:pPr>
        <w:rPr>
          <w:szCs w:val="24"/>
        </w:rPr>
      </w:pPr>
      <w:bookmarkStart w:id="998" w:name="_Hlk117671590"/>
    </w:p>
    <w:p w14:paraId="1F0117AF" w14:textId="20358BAC" w:rsidR="005451CE" w:rsidRPr="003B4362" w:rsidRDefault="00A82E0D" w:rsidP="008269A7">
      <w:pPr>
        <w:rPr>
          <w:rFonts w:eastAsia="Calibri"/>
        </w:rPr>
      </w:pPr>
      <w:r w:rsidRPr="003B4362">
        <w:rPr>
          <w:szCs w:val="24"/>
        </w:rPr>
        <w:t>D</w:t>
      </w:r>
      <w:r w:rsidR="003B13D0" w:rsidRPr="003B4362">
        <w:rPr>
          <w:szCs w:val="24"/>
        </w:rPr>
        <w:t>esignat</w:t>
      </w:r>
      <w:r w:rsidRPr="003B4362">
        <w:rPr>
          <w:szCs w:val="24"/>
        </w:rPr>
        <w:t>ing</w:t>
      </w:r>
      <w:r w:rsidR="003B13D0" w:rsidRPr="003B4362">
        <w:rPr>
          <w:szCs w:val="24"/>
        </w:rPr>
        <w:t xml:space="preserve"> </w:t>
      </w:r>
      <w:r w:rsidRPr="003B4362">
        <w:rPr>
          <w:szCs w:val="24"/>
        </w:rPr>
        <w:t>O</w:t>
      </w:r>
      <w:r w:rsidR="003B13D0" w:rsidRPr="003B4362">
        <w:rPr>
          <w:szCs w:val="24"/>
        </w:rPr>
        <w:t xml:space="preserve">ptimal </w:t>
      </w:r>
      <w:r w:rsidRPr="003B4362">
        <w:rPr>
          <w:szCs w:val="24"/>
        </w:rPr>
        <w:t>C</w:t>
      </w:r>
      <w:r w:rsidR="003B13D0" w:rsidRPr="003B4362">
        <w:rPr>
          <w:szCs w:val="24"/>
        </w:rPr>
        <w:t xml:space="preserve">orrosion </w:t>
      </w:r>
      <w:r w:rsidRPr="003B4362">
        <w:rPr>
          <w:szCs w:val="24"/>
        </w:rPr>
        <w:t>C</w:t>
      </w:r>
      <w:r w:rsidR="003B13D0" w:rsidRPr="003B4362">
        <w:rPr>
          <w:szCs w:val="24"/>
        </w:rPr>
        <w:t xml:space="preserve">ontrol </w:t>
      </w:r>
      <w:r w:rsidRPr="003B4362">
        <w:rPr>
          <w:szCs w:val="24"/>
        </w:rPr>
        <w:t>T</w:t>
      </w:r>
      <w:r w:rsidR="003B13D0" w:rsidRPr="003B4362">
        <w:rPr>
          <w:szCs w:val="24"/>
        </w:rPr>
        <w:t>reatment fo</w:t>
      </w:r>
      <w:r w:rsidRPr="003B4362">
        <w:rPr>
          <w:szCs w:val="24"/>
        </w:rPr>
        <w:t>r</w:t>
      </w:r>
      <w:r w:rsidR="003B13D0" w:rsidRPr="003B4362">
        <w:rPr>
          <w:szCs w:val="24"/>
        </w:rPr>
        <w:t xml:space="preserve"> </w:t>
      </w:r>
      <w:r w:rsidRPr="003B4362">
        <w:rPr>
          <w:szCs w:val="24"/>
        </w:rPr>
        <w:t>S</w:t>
      </w:r>
      <w:r w:rsidR="003B13D0" w:rsidRPr="003B4362">
        <w:rPr>
          <w:szCs w:val="24"/>
        </w:rPr>
        <w:t>ystem</w:t>
      </w:r>
      <w:r w:rsidRPr="003B4362">
        <w:rPr>
          <w:szCs w:val="24"/>
        </w:rPr>
        <w:t>s O</w:t>
      </w:r>
      <w:r w:rsidR="003B13D0" w:rsidRPr="003B4362">
        <w:rPr>
          <w:szCs w:val="24"/>
        </w:rPr>
        <w:t xml:space="preserve">ptimizing or </w:t>
      </w:r>
      <w:r w:rsidR="005E0864" w:rsidRPr="003B4362">
        <w:rPr>
          <w:szCs w:val="24"/>
        </w:rPr>
        <w:t>R</w:t>
      </w:r>
      <w:r w:rsidR="003B13D0" w:rsidRPr="003B4362">
        <w:rPr>
          <w:szCs w:val="24"/>
        </w:rPr>
        <w:t>e</w:t>
      </w:r>
      <w:r w:rsidR="000763AA" w:rsidRPr="003B4362">
        <w:rPr>
          <w:szCs w:val="24"/>
        </w:rPr>
        <w:t>-O</w:t>
      </w:r>
      <w:r w:rsidR="003B13D0" w:rsidRPr="003B4362">
        <w:rPr>
          <w:szCs w:val="24"/>
        </w:rPr>
        <w:t xml:space="preserve">ptimizing </w:t>
      </w:r>
      <w:r w:rsidR="005E0864" w:rsidRPr="003B4362">
        <w:rPr>
          <w:szCs w:val="24"/>
        </w:rPr>
        <w:t>C</w:t>
      </w:r>
      <w:r w:rsidR="003B13D0" w:rsidRPr="003B4362">
        <w:rPr>
          <w:szCs w:val="24"/>
        </w:rPr>
        <w:t xml:space="preserve">orrosion </w:t>
      </w:r>
      <w:r w:rsidR="005E0864" w:rsidRPr="003B4362">
        <w:rPr>
          <w:szCs w:val="24"/>
        </w:rPr>
        <w:t>C</w:t>
      </w:r>
      <w:r w:rsidR="003B13D0" w:rsidRPr="003B4362">
        <w:rPr>
          <w:szCs w:val="24"/>
        </w:rPr>
        <w:t xml:space="preserve">ontrol </w:t>
      </w:r>
      <w:r w:rsidR="005E0864" w:rsidRPr="003B4362">
        <w:rPr>
          <w:szCs w:val="24"/>
        </w:rPr>
        <w:t>T</w:t>
      </w:r>
      <w:r w:rsidR="003B13D0" w:rsidRPr="003B4362">
        <w:rPr>
          <w:szCs w:val="24"/>
        </w:rPr>
        <w:t>reatment</w:t>
      </w:r>
      <w:bookmarkEnd w:id="998"/>
      <w:r w:rsidR="003B13D0" w:rsidRPr="003B4362">
        <w:rPr>
          <w:szCs w:val="24"/>
        </w:rPr>
        <w:t xml:space="preserve">.  </w:t>
      </w:r>
      <w:r w:rsidR="005E0864" w:rsidRPr="003B4362">
        <w:rPr>
          <w:szCs w:val="24"/>
        </w:rPr>
        <w:t xml:space="preserve">A </w:t>
      </w:r>
      <w:r w:rsidR="005451CE" w:rsidRPr="003B4362">
        <w:rPr>
          <w:rFonts w:eastAsia="Calibri"/>
        </w:rPr>
        <w:t xml:space="preserve">supplier must complete the corrosion control treatment requirements </w:t>
      </w:r>
      <w:r w:rsidR="00E867D2" w:rsidRPr="003B4362">
        <w:rPr>
          <w:szCs w:val="24"/>
        </w:rPr>
        <w:t xml:space="preserve">in this </w:t>
      </w:r>
      <w:r w:rsidR="00E867D2" w:rsidRPr="003B4362">
        <w:rPr>
          <w:rFonts w:eastAsia="Calibri"/>
        </w:rPr>
        <w:t>S</w:t>
      </w:r>
      <w:r w:rsidR="00E867D2" w:rsidRPr="003B4362">
        <w:rPr>
          <w:szCs w:val="24"/>
        </w:rPr>
        <w:t xml:space="preserve">ection as </w:t>
      </w:r>
      <w:r w:rsidR="00173984" w:rsidRPr="003B4362">
        <w:rPr>
          <w:rFonts w:eastAsia="Calibri"/>
        </w:rPr>
        <w:t xml:space="preserve">they </w:t>
      </w:r>
      <w:r w:rsidR="005451CE" w:rsidRPr="003B4362">
        <w:rPr>
          <w:rFonts w:eastAsia="Calibri"/>
        </w:rPr>
        <w:t xml:space="preserve">apply to </w:t>
      </w:r>
      <w:r w:rsidR="00173984" w:rsidRPr="003B4362">
        <w:rPr>
          <w:rFonts w:eastAsia="Calibri"/>
        </w:rPr>
        <w:t xml:space="preserve">the </w:t>
      </w:r>
      <w:r w:rsidR="005451CE" w:rsidRPr="003B4362">
        <w:rPr>
          <w:rFonts w:eastAsia="Calibri"/>
        </w:rPr>
        <w:t>supplier under Section 611.351.</w:t>
      </w:r>
    </w:p>
    <w:p w14:paraId="07F650E5" w14:textId="4976803F" w:rsidR="005451CE" w:rsidRPr="003B4362" w:rsidRDefault="005451CE" w:rsidP="005451CE">
      <w:pPr>
        <w:spacing w:before="240" w:after="240"/>
        <w:ind w:left="1440" w:hanging="720"/>
        <w:rPr>
          <w:rFonts w:eastAsia="Calibri"/>
        </w:rPr>
      </w:pPr>
      <w:r w:rsidRPr="003B4362">
        <w:rPr>
          <w:rFonts w:eastAsia="Calibri"/>
        </w:rPr>
        <w:lastRenderedPageBreak/>
        <w:t>a)</w:t>
      </w:r>
      <w:r w:rsidRPr="003B4362">
        <w:rPr>
          <w:rFonts w:eastAsia="Calibri"/>
        </w:rPr>
        <w:tab/>
        <w:t>System Recommendation Regarding Corrosion Control Treatment</w:t>
      </w:r>
      <w:r w:rsidR="00F94EB7" w:rsidRPr="003B4362">
        <w:rPr>
          <w:rFonts w:eastAsia="Calibri"/>
        </w:rPr>
        <w:t xml:space="preserve"> </w:t>
      </w:r>
      <w:bookmarkStart w:id="999" w:name="_Hlk117675196"/>
      <w:r w:rsidR="00F94EB7" w:rsidRPr="003B4362">
        <w:rPr>
          <w:rFonts w:eastAsia="Calibri"/>
        </w:rPr>
        <w:t>for Suppliers Not Having Lead Service Lines and Suppliers Having Lead Service Lines but Not Exceeding the Lead Action Level</w:t>
      </w:r>
      <w:bookmarkEnd w:id="999"/>
    </w:p>
    <w:p w14:paraId="0F8A1D23" w14:textId="36297743"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r>
      <w:bookmarkStart w:id="1000" w:name="_Hlk117680476"/>
      <w:bookmarkStart w:id="1001" w:name="_Hlk129043220"/>
      <w:bookmarkStart w:id="1002" w:name="_Hlk117708570"/>
      <w:r w:rsidR="000B1044" w:rsidRPr="003B4362">
        <w:rPr>
          <w:szCs w:val="24"/>
        </w:rPr>
        <w:t>A</w:t>
      </w:r>
      <w:r w:rsidR="00E939DC" w:rsidRPr="003B4362">
        <w:rPr>
          <w:szCs w:val="24"/>
        </w:rPr>
        <w:t xml:space="preserve"> supplier </w:t>
      </w:r>
      <w:bookmarkStart w:id="1003" w:name="_Hlk117676906"/>
      <w:bookmarkEnd w:id="1000"/>
      <w:r w:rsidR="00BD79C8" w:rsidRPr="003B4362">
        <w:rPr>
          <w:szCs w:val="24"/>
        </w:rPr>
        <w:t xml:space="preserve">without corrosion control </w:t>
      </w:r>
      <w:r w:rsidR="00F94EB7" w:rsidRPr="003B4362">
        <w:rPr>
          <w:szCs w:val="24"/>
        </w:rPr>
        <w:t xml:space="preserve">that </w:t>
      </w:r>
      <w:r w:rsidR="0066370E" w:rsidRPr="003B4362">
        <w:rPr>
          <w:szCs w:val="24"/>
        </w:rPr>
        <w:t xml:space="preserve">must recommend under </w:t>
      </w:r>
      <w:r w:rsidR="00E939DC" w:rsidRPr="003B4362">
        <w:rPr>
          <w:szCs w:val="24"/>
        </w:rPr>
        <w:t>Section 611.351(e)</w:t>
      </w:r>
      <w:bookmarkStart w:id="1004" w:name="_Hlk117678607"/>
      <w:r w:rsidR="0066370E" w:rsidRPr="003B4362">
        <w:rPr>
          <w:szCs w:val="24"/>
        </w:rPr>
        <w:t xml:space="preserve"> </w:t>
      </w:r>
      <w:r w:rsidR="00DC3532" w:rsidRPr="003B4362">
        <w:rPr>
          <w:szCs w:val="24"/>
        </w:rPr>
        <w:t>one or more of the corrosion control treatments in subsection (c)(1)(A)</w:t>
      </w:r>
      <w:r w:rsidR="003F1C02" w:rsidRPr="003B4362">
        <w:rPr>
          <w:szCs w:val="24"/>
        </w:rPr>
        <w:t xml:space="preserve"> </w:t>
      </w:r>
      <w:bookmarkStart w:id="1005" w:name="_Hlk129042493"/>
      <w:bookmarkEnd w:id="1003"/>
      <w:bookmarkEnd w:id="1004"/>
      <w:r w:rsidR="003462A2" w:rsidRPr="003B4362">
        <w:rPr>
          <w:szCs w:val="24"/>
        </w:rPr>
        <w:t xml:space="preserve">for the </w:t>
      </w:r>
      <w:r w:rsidR="00107D5C" w:rsidRPr="003B4362">
        <w:rPr>
          <w:szCs w:val="24"/>
        </w:rPr>
        <w:t>Agency</w:t>
      </w:r>
      <w:r w:rsidR="003462A2" w:rsidRPr="003B4362">
        <w:rPr>
          <w:szCs w:val="24"/>
        </w:rPr>
        <w:t xml:space="preserve"> to designate</w:t>
      </w:r>
      <w:r w:rsidR="00107D5C" w:rsidRPr="003B4362">
        <w:rPr>
          <w:szCs w:val="24"/>
        </w:rPr>
        <w:t xml:space="preserve"> </w:t>
      </w:r>
      <w:r w:rsidR="00B00B66" w:rsidRPr="003B4362">
        <w:rPr>
          <w:szCs w:val="24"/>
        </w:rPr>
        <w:t xml:space="preserve">must </w:t>
      </w:r>
      <w:r w:rsidR="0066370E" w:rsidRPr="003B4362">
        <w:rPr>
          <w:szCs w:val="24"/>
        </w:rPr>
        <w:t xml:space="preserve">base its </w:t>
      </w:r>
      <w:r w:rsidR="00DC3532" w:rsidRPr="003B4362">
        <w:rPr>
          <w:szCs w:val="24"/>
        </w:rPr>
        <w:t>recommend</w:t>
      </w:r>
      <w:r w:rsidR="0066370E" w:rsidRPr="003B4362">
        <w:rPr>
          <w:szCs w:val="24"/>
        </w:rPr>
        <w:t>ation</w:t>
      </w:r>
      <w:r w:rsidR="00DC3532" w:rsidRPr="003B4362">
        <w:rPr>
          <w:szCs w:val="24"/>
        </w:rPr>
        <w:t xml:space="preserve"> </w:t>
      </w:r>
      <w:r w:rsidR="00F94EB7" w:rsidRPr="003B4362">
        <w:rPr>
          <w:szCs w:val="24"/>
        </w:rPr>
        <w:t xml:space="preserve">on </w:t>
      </w:r>
      <w:r w:rsidRPr="003B4362">
        <w:rPr>
          <w:rFonts w:eastAsia="Calibri"/>
        </w:rPr>
        <w:t>the results of lead and copper tap monitoring and water quality parameter monitoring</w:t>
      </w:r>
      <w:bookmarkEnd w:id="1001"/>
      <w:bookmarkEnd w:id="1005"/>
      <w:r w:rsidRPr="003B4362">
        <w:rPr>
          <w:rFonts w:eastAsia="Calibri"/>
        </w:rPr>
        <w:t>.</w:t>
      </w:r>
    </w:p>
    <w:p w14:paraId="7ADC5976" w14:textId="6476809A" w:rsidR="004D785F" w:rsidRPr="003B4362" w:rsidRDefault="004D785F" w:rsidP="004D785F">
      <w:pPr>
        <w:spacing w:before="240" w:after="240"/>
        <w:ind w:left="2880" w:hanging="720"/>
        <w:rPr>
          <w:rFonts w:eastAsia="Calibri"/>
        </w:rPr>
      </w:pPr>
      <w:r w:rsidRPr="003B4362">
        <w:rPr>
          <w:rFonts w:eastAsia="Calibri"/>
        </w:rPr>
        <w:t>A)</w:t>
      </w:r>
      <w:r w:rsidRPr="003B4362">
        <w:rPr>
          <w:rFonts w:eastAsia="Calibri"/>
        </w:rPr>
        <w:tab/>
      </w:r>
      <w:r w:rsidR="007F64E3" w:rsidRPr="003B4362">
        <w:rPr>
          <w:szCs w:val="24"/>
        </w:rPr>
        <w:t>A</w:t>
      </w:r>
      <w:bookmarkStart w:id="1006" w:name="_Hlk117681097"/>
      <w:r w:rsidR="007F64E3" w:rsidRPr="003B4362">
        <w:rPr>
          <w:szCs w:val="24"/>
        </w:rPr>
        <w:t xml:space="preserve"> small CWS supplier or NTNCWS supplier</w:t>
      </w:r>
      <w:bookmarkEnd w:id="1006"/>
      <w:r w:rsidR="007F64E3" w:rsidRPr="003B4362">
        <w:rPr>
          <w:szCs w:val="24"/>
        </w:rPr>
        <w:t xml:space="preserve"> </w:t>
      </w:r>
      <w:bookmarkStart w:id="1007" w:name="_Hlk117681203"/>
      <w:r w:rsidR="007F64E3" w:rsidRPr="003B4362">
        <w:rPr>
          <w:szCs w:val="24"/>
        </w:rPr>
        <w:t>exceeding the copper action level</w:t>
      </w:r>
      <w:bookmarkEnd w:id="1007"/>
      <w:r w:rsidR="007F64E3" w:rsidRPr="003B4362">
        <w:rPr>
          <w:szCs w:val="24"/>
        </w:rPr>
        <w:t xml:space="preserve"> </w:t>
      </w:r>
      <w:r w:rsidR="00BC5691" w:rsidRPr="003B4362">
        <w:rPr>
          <w:szCs w:val="24"/>
        </w:rPr>
        <w:t xml:space="preserve">and recommending corrosion control treatment to the Agency under Section 611.363(a) </w:t>
      </w:r>
      <w:r w:rsidR="007F64E3" w:rsidRPr="003B4362">
        <w:rPr>
          <w:szCs w:val="24"/>
        </w:rPr>
        <w:t>must comply with this subsection (a)(1).</w:t>
      </w:r>
    </w:p>
    <w:p w14:paraId="408C872E" w14:textId="29349EE5" w:rsidR="005451CE" w:rsidRPr="003B4362" w:rsidRDefault="004D785F" w:rsidP="004D785F">
      <w:pPr>
        <w:spacing w:before="240" w:after="240"/>
        <w:ind w:left="2880" w:hanging="720"/>
        <w:rPr>
          <w:rFonts w:eastAsia="Calibri"/>
        </w:rPr>
      </w:pPr>
      <w:r w:rsidRPr="003B4362">
        <w:rPr>
          <w:rFonts w:eastAsia="Calibri"/>
        </w:rPr>
        <w:t>B</w:t>
      </w:r>
      <w:r w:rsidR="005451CE" w:rsidRPr="003B4362">
        <w:rPr>
          <w:rFonts w:eastAsia="Calibri"/>
        </w:rPr>
        <w:t>)</w:t>
      </w:r>
      <w:r w:rsidR="005451CE" w:rsidRPr="003B4362">
        <w:rPr>
          <w:rFonts w:eastAsia="Calibri"/>
        </w:rPr>
        <w:tab/>
        <w:t xml:space="preserve">The Agency </w:t>
      </w:r>
      <w:bookmarkStart w:id="1008" w:name="_Hlk114484524"/>
      <w:r w:rsidR="005451CE" w:rsidRPr="003B4362">
        <w:rPr>
          <w:rFonts w:eastAsia="Calibri"/>
        </w:rPr>
        <w:t>may issue a SEP requiring</w:t>
      </w:r>
      <w:bookmarkEnd w:id="1008"/>
      <w:r w:rsidR="005451CE" w:rsidRPr="003B4362">
        <w:rPr>
          <w:rFonts w:eastAsia="Calibri"/>
        </w:rPr>
        <w:t xml:space="preserve"> the supplier to conduct additional water quality parameter </w:t>
      </w:r>
      <w:bookmarkStart w:id="1009" w:name="_Hlk114484673"/>
      <w:r w:rsidR="005451CE" w:rsidRPr="003B4362">
        <w:rPr>
          <w:rFonts w:eastAsia="Calibri"/>
        </w:rPr>
        <w:t xml:space="preserve">monitoring </w:t>
      </w:r>
      <w:bookmarkStart w:id="1010" w:name="_Hlk114484762"/>
      <w:bookmarkEnd w:id="1009"/>
      <w:r w:rsidR="005451CE" w:rsidRPr="003B4362">
        <w:rPr>
          <w:rFonts w:eastAsia="Calibri"/>
        </w:rPr>
        <w:t>to assist the Agency in reviewing</w:t>
      </w:r>
      <w:bookmarkEnd w:id="1010"/>
      <w:r w:rsidR="005451CE" w:rsidRPr="003B4362">
        <w:rPr>
          <w:rFonts w:eastAsia="Calibri"/>
        </w:rPr>
        <w:t xml:space="preserve"> the supplier’s recommendation.</w:t>
      </w:r>
    </w:p>
    <w:bookmarkEnd w:id="1002"/>
    <w:p w14:paraId="64C6BC95" w14:textId="62506D4E" w:rsidR="00116148" w:rsidRPr="003B4362" w:rsidRDefault="00116148" w:rsidP="00116148">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bookmarkStart w:id="1011" w:name="_Hlk117682673"/>
      <w:r w:rsidR="000B1044" w:rsidRPr="003B4362">
        <w:rPr>
          <w:szCs w:val="24"/>
        </w:rPr>
        <w:t>A</w:t>
      </w:r>
      <w:r w:rsidRPr="003B4362">
        <w:rPr>
          <w:szCs w:val="24"/>
        </w:rPr>
        <w:t xml:space="preserve"> small CWS supplier or NTNCWS supplier</w:t>
      </w:r>
      <w:bookmarkEnd w:id="1011"/>
      <w:r w:rsidRPr="003B4362">
        <w:rPr>
          <w:szCs w:val="24"/>
        </w:rPr>
        <w:t xml:space="preserve"> </w:t>
      </w:r>
      <w:bookmarkStart w:id="1012" w:name="_Hlk117682830"/>
      <w:r w:rsidR="000B1044" w:rsidRPr="003B4362">
        <w:rPr>
          <w:szCs w:val="24"/>
        </w:rPr>
        <w:t xml:space="preserve">subject to this subsection (a) </w:t>
      </w:r>
      <w:r w:rsidR="001A25D8" w:rsidRPr="003B4362">
        <w:rPr>
          <w:rFonts w:eastAsia="Calibri"/>
          <w:szCs w:val="24"/>
        </w:rPr>
        <w:t>not applying</w:t>
      </w:r>
      <w:r w:rsidRPr="003B4362">
        <w:rPr>
          <w:rFonts w:eastAsia="Calibri"/>
          <w:szCs w:val="24"/>
        </w:rPr>
        <w:t xml:space="preserve"> corrosion control treatment</w:t>
      </w:r>
      <w:bookmarkEnd w:id="1012"/>
      <w:r w:rsidR="001A25D8" w:rsidRPr="003B4362">
        <w:rPr>
          <w:rFonts w:eastAsia="Calibri"/>
          <w:szCs w:val="24"/>
        </w:rPr>
        <w:t xml:space="preserve"> </w:t>
      </w:r>
      <w:r w:rsidR="006A37EB" w:rsidRPr="003B4362">
        <w:rPr>
          <w:rFonts w:eastAsia="Calibri"/>
          <w:szCs w:val="24"/>
        </w:rPr>
        <w:t xml:space="preserve">that </w:t>
      </w:r>
      <w:bookmarkStart w:id="1013" w:name="_Hlk117798242"/>
      <w:r w:rsidR="001D6813" w:rsidRPr="003B4362">
        <w:rPr>
          <w:rFonts w:eastAsia="Calibri"/>
          <w:szCs w:val="24"/>
        </w:rPr>
        <w:t xml:space="preserve">chooses to pursue a small water system compliance flexibility option and is required to recommend an option in compliance with </w:t>
      </w:r>
      <w:r w:rsidR="006A37EB" w:rsidRPr="003B4362">
        <w:rPr>
          <w:rFonts w:eastAsia="Calibri"/>
          <w:szCs w:val="24"/>
        </w:rPr>
        <w:t>Section 611.</w:t>
      </w:r>
      <w:r w:rsidR="001D6813" w:rsidRPr="003B4362">
        <w:rPr>
          <w:rFonts w:eastAsia="Calibri"/>
          <w:szCs w:val="24"/>
        </w:rPr>
        <w:t>351</w:t>
      </w:r>
      <w:r w:rsidR="006A37EB" w:rsidRPr="003B4362">
        <w:rPr>
          <w:rFonts w:eastAsia="Calibri"/>
          <w:szCs w:val="24"/>
        </w:rPr>
        <w:t xml:space="preserve">(f) </w:t>
      </w:r>
      <w:bookmarkStart w:id="1014" w:name="_Hlk117799478"/>
      <w:bookmarkEnd w:id="1013"/>
      <w:r w:rsidRPr="003B4362">
        <w:rPr>
          <w:rFonts w:eastAsia="Calibri"/>
          <w:szCs w:val="24"/>
        </w:rPr>
        <w:t>must</w:t>
      </w:r>
      <w:r w:rsidR="00A510FA" w:rsidRPr="003B4362">
        <w:rPr>
          <w:rFonts w:eastAsia="Calibri"/>
          <w:szCs w:val="24"/>
        </w:rPr>
        <w:t>, based</w:t>
      </w:r>
      <w:r w:rsidRPr="003B4362">
        <w:rPr>
          <w:rFonts w:eastAsia="Calibri"/>
          <w:szCs w:val="24"/>
        </w:rPr>
        <w:t xml:space="preserve"> on the results of lead tap sampling and water quality parameter monitoring</w:t>
      </w:r>
      <w:bookmarkEnd w:id="1014"/>
      <w:r w:rsidR="00A510FA" w:rsidRPr="003B4362">
        <w:rPr>
          <w:rFonts w:eastAsia="Calibri"/>
          <w:szCs w:val="24"/>
        </w:rPr>
        <w:t>, recommend designation of one of the options listed in Section 611.363</w:t>
      </w:r>
      <w:r w:rsidRPr="003B4362">
        <w:rPr>
          <w:rFonts w:eastAsia="Calibri"/>
          <w:szCs w:val="24"/>
        </w:rPr>
        <w:t xml:space="preserve">.  </w:t>
      </w:r>
      <w:bookmarkStart w:id="1015" w:name="_Hlk117799671"/>
      <w:r w:rsidR="00F238E9" w:rsidRPr="003B4362">
        <w:rPr>
          <w:rFonts w:eastAsia="Calibri"/>
          <w:szCs w:val="24"/>
        </w:rPr>
        <w:t>A supplier not having</w:t>
      </w:r>
      <w:r w:rsidRPr="003B4362">
        <w:rPr>
          <w:rFonts w:eastAsia="Calibri"/>
          <w:szCs w:val="24"/>
        </w:rPr>
        <w:t xml:space="preserve"> lead service lines</w:t>
      </w:r>
      <w:bookmarkStart w:id="1016" w:name="_Hlk117799903"/>
      <w:bookmarkEnd w:id="1015"/>
      <w:r w:rsidR="00F238E9" w:rsidRPr="003B4362">
        <w:rPr>
          <w:rFonts w:eastAsia="Calibri"/>
          <w:szCs w:val="24"/>
        </w:rPr>
        <w:t>,</w:t>
      </w:r>
      <w:r w:rsidRPr="003B4362">
        <w:rPr>
          <w:rFonts w:eastAsia="Calibri"/>
          <w:szCs w:val="24"/>
        </w:rPr>
        <w:t xml:space="preserve"> </w:t>
      </w:r>
      <w:r w:rsidR="00F238E9" w:rsidRPr="003B4362">
        <w:rPr>
          <w:rFonts w:eastAsia="Calibri"/>
          <w:szCs w:val="24"/>
        </w:rPr>
        <w:t>exceeding</w:t>
      </w:r>
      <w:r w:rsidRPr="003B4362">
        <w:rPr>
          <w:rFonts w:eastAsia="Calibri"/>
          <w:szCs w:val="24"/>
        </w:rPr>
        <w:t xml:space="preserve"> the lead action level</w:t>
      </w:r>
      <w:r w:rsidR="00F238E9" w:rsidRPr="003B4362">
        <w:rPr>
          <w:rFonts w:eastAsia="Calibri"/>
          <w:szCs w:val="24"/>
        </w:rPr>
        <w:t>,</w:t>
      </w:r>
      <w:r w:rsidRPr="003B4362">
        <w:rPr>
          <w:rFonts w:eastAsia="Calibri"/>
          <w:szCs w:val="24"/>
        </w:rPr>
        <w:t xml:space="preserve"> and select</w:t>
      </w:r>
      <w:r w:rsidR="00F238E9" w:rsidRPr="003B4362">
        <w:rPr>
          <w:rFonts w:eastAsia="Calibri"/>
          <w:szCs w:val="24"/>
        </w:rPr>
        <w:t>ing</w:t>
      </w:r>
      <w:r w:rsidRPr="003B4362">
        <w:rPr>
          <w:rFonts w:eastAsia="Calibri"/>
          <w:szCs w:val="24"/>
        </w:rPr>
        <w:t xml:space="preserve"> corrosion control</w:t>
      </w:r>
      <w:bookmarkEnd w:id="1016"/>
      <w:r w:rsidRPr="003B4362">
        <w:rPr>
          <w:rFonts w:eastAsia="Calibri"/>
          <w:szCs w:val="24"/>
        </w:rPr>
        <w:t xml:space="preserve"> under Section </w:t>
      </w:r>
      <w:r w:rsidR="00B40042" w:rsidRPr="003B4362">
        <w:rPr>
          <w:rFonts w:eastAsia="Calibri"/>
          <w:szCs w:val="24"/>
        </w:rPr>
        <w:t>61</w:t>
      </w:r>
      <w:r w:rsidRPr="003B4362">
        <w:rPr>
          <w:rFonts w:eastAsia="Calibri"/>
          <w:szCs w:val="24"/>
        </w:rPr>
        <w:t>1.</w:t>
      </w:r>
      <w:r w:rsidR="00B40042" w:rsidRPr="003B4362">
        <w:rPr>
          <w:rFonts w:eastAsia="Calibri"/>
          <w:szCs w:val="24"/>
        </w:rPr>
        <w:t>36</w:t>
      </w:r>
      <w:r w:rsidRPr="003B4362">
        <w:rPr>
          <w:rFonts w:eastAsia="Calibri"/>
          <w:szCs w:val="24"/>
        </w:rPr>
        <w:t xml:space="preserve">3(a)(2) must </w:t>
      </w:r>
      <w:bookmarkStart w:id="1017" w:name="_Hlk117800364"/>
      <w:r w:rsidRPr="003B4362">
        <w:rPr>
          <w:rFonts w:eastAsia="Calibri"/>
          <w:szCs w:val="24"/>
        </w:rPr>
        <w:t xml:space="preserve">recommend </w:t>
      </w:r>
      <w:r w:rsidR="008E72A6" w:rsidRPr="003B4362">
        <w:rPr>
          <w:rFonts w:eastAsia="Calibri"/>
          <w:szCs w:val="24"/>
        </w:rPr>
        <w:t xml:space="preserve">that </w:t>
      </w:r>
      <w:r w:rsidR="000F7716" w:rsidRPr="003B4362">
        <w:rPr>
          <w:rFonts w:eastAsia="Calibri"/>
          <w:szCs w:val="24"/>
        </w:rPr>
        <w:t xml:space="preserve">the Agency </w:t>
      </w:r>
      <w:r w:rsidRPr="003B4362">
        <w:rPr>
          <w:rFonts w:eastAsia="Calibri"/>
          <w:szCs w:val="24"/>
        </w:rPr>
        <w:t>designat</w:t>
      </w:r>
      <w:r w:rsidR="000F7716" w:rsidRPr="003B4362">
        <w:rPr>
          <w:rFonts w:eastAsia="Calibri"/>
          <w:szCs w:val="24"/>
        </w:rPr>
        <w:t>e</w:t>
      </w:r>
      <w:bookmarkEnd w:id="1017"/>
      <w:r w:rsidRPr="003B4362">
        <w:rPr>
          <w:rFonts w:eastAsia="Calibri"/>
          <w:szCs w:val="24"/>
        </w:rPr>
        <w:t xml:space="preserve"> one or more of the corrosion control </w:t>
      </w:r>
      <w:bookmarkStart w:id="1018" w:name="_Hlk117800450"/>
      <w:bookmarkStart w:id="1019" w:name="_Hlk117800475"/>
      <w:r w:rsidRPr="003B4362">
        <w:rPr>
          <w:rFonts w:eastAsia="Calibri"/>
          <w:szCs w:val="24"/>
        </w:rPr>
        <w:t>treatments</w:t>
      </w:r>
      <w:r w:rsidR="000F7716" w:rsidRPr="003B4362">
        <w:rPr>
          <w:rFonts w:eastAsia="Calibri"/>
          <w:szCs w:val="24"/>
        </w:rPr>
        <w:t xml:space="preserve"> </w:t>
      </w:r>
      <w:bookmarkEnd w:id="1018"/>
      <w:r w:rsidRPr="003B4362">
        <w:rPr>
          <w:rFonts w:eastAsia="Calibri"/>
          <w:szCs w:val="24"/>
        </w:rPr>
        <w:t>in subsection (c)(1)</w:t>
      </w:r>
      <w:bookmarkEnd w:id="1019"/>
      <w:r w:rsidRPr="003B4362">
        <w:rPr>
          <w:rFonts w:eastAsia="Calibri"/>
          <w:szCs w:val="24"/>
        </w:rPr>
        <w:t xml:space="preserve"> as </w:t>
      </w:r>
      <w:r w:rsidR="000F7716" w:rsidRPr="003B4362">
        <w:rPr>
          <w:rFonts w:eastAsia="Calibri"/>
          <w:szCs w:val="24"/>
        </w:rPr>
        <w:t xml:space="preserve">OCCT </w:t>
      </w:r>
      <w:r w:rsidRPr="003B4362">
        <w:rPr>
          <w:rFonts w:eastAsia="Calibri"/>
          <w:szCs w:val="24"/>
        </w:rPr>
        <w:t>for that system.</w:t>
      </w:r>
    </w:p>
    <w:p w14:paraId="373D9B16" w14:textId="7FFDBA24" w:rsidR="00116148" w:rsidRPr="003B4362" w:rsidRDefault="00116148" w:rsidP="00116148">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r>
      <w:r w:rsidR="00232A5C" w:rsidRPr="003B4362">
        <w:rPr>
          <w:rFonts w:eastAsia="Calibri"/>
          <w:szCs w:val="24"/>
        </w:rPr>
        <w:t xml:space="preserve">A supplier </w:t>
      </w:r>
      <w:bookmarkStart w:id="1020" w:name="_Hlk117801978"/>
      <w:r w:rsidRPr="003B4362">
        <w:rPr>
          <w:rFonts w:eastAsia="Calibri"/>
          <w:szCs w:val="24"/>
        </w:rPr>
        <w:t>exceed</w:t>
      </w:r>
      <w:r w:rsidR="00232A5C" w:rsidRPr="003B4362">
        <w:rPr>
          <w:rFonts w:eastAsia="Calibri"/>
          <w:szCs w:val="24"/>
        </w:rPr>
        <w:t>ing</w:t>
      </w:r>
      <w:r w:rsidRPr="003B4362">
        <w:rPr>
          <w:rFonts w:eastAsia="Calibri"/>
          <w:szCs w:val="24"/>
        </w:rPr>
        <w:t xml:space="preserve"> the lead action level and select</w:t>
      </w:r>
      <w:r w:rsidR="00232A5C" w:rsidRPr="003B4362">
        <w:rPr>
          <w:rFonts w:eastAsia="Calibri"/>
          <w:szCs w:val="24"/>
        </w:rPr>
        <w:t>ing</w:t>
      </w:r>
      <w:r w:rsidRPr="003B4362">
        <w:rPr>
          <w:rFonts w:eastAsia="Calibri"/>
          <w:szCs w:val="24"/>
        </w:rPr>
        <w:t xml:space="preserve"> corrosion control </w:t>
      </w:r>
      <w:r w:rsidR="009F6429" w:rsidRPr="003B4362">
        <w:rPr>
          <w:rFonts w:eastAsia="Calibri"/>
          <w:szCs w:val="24"/>
        </w:rPr>
        <w:t>treatment</w:t>
      </w:r>
      <w:bookmarkEnd w:id="1020"/>
      <w:r w:rsidR="009F6429" w:rsidRPr="003B4362">
        <w:rPr>
          <w:rFonts w:eastAsia="Calibri"/>
          <w:szCs w:val="24"/>
        </w:rPr>
        <w:t xml:space="preserve"> </w:t>
      </w:r>
      <w:r w:rsidRPr="003B4362">
        <w:rPr>
          <w:rFonts w:eastAsia="Calibri"/>
          <w:szCs w:val="24"/>
        </w:rPr>
        <w:t xml:space="preserve">under Section </w:t>
      </w:r>
      <w:r w:rsidR="009F6429" w:rsidRPr="003B4362">
        <w:rPr>
          <w:rFonts w:eastAsia="Calibri"/>
          <w:szCs w:val="24"/>
        </w:rPr>
        <w:t>61</w:t>
      </w:r>
      <w:r w:rsidRPr="003B4362">
        <w:rPr>
          <w:rFonts w:eastAsia="Calibri"/>
          <w:szCs w:val="24"/>
        </w:rPr>
        <w:t>1.</w:t>
      </w:r>
      <w:r w:rsidR="009F6429" w:rsidRPr="003B4362">
        <w:rPr>
          <w:rFonts w:eastAsia="Calibri"/>
          <w:szCs w:val="24"/>
        </w:rPr>
        <w:t>36</w:t>
      </w:r>
      <w:r w:rsidRPr="003B4362">
        <w:rPr>
          <w:rFonts w:eastAsia="Calibri"/>
          <w:szCs w:val="24"/>
        </w:rPr>
        <w:t xml:space="preserve">3(a)(2) must recommend </w:t>
      </w:r>
      <w:r w:rsidR="009F6429" w:rsidRPr="003B4362">
        <w:rPr>
          <w:rFonts w:eastAsia="Calibri"/>
          <w:szCs w:val="24"/>
        </w:rPr>
        <w:t xml:space="preserve">that the Agency </w:t>
      </w:r>
      <w:r w:rsidRPr="003B4362">
        <w:rPr>
          <w:rFonts w:eastAsia="Calibri"/>
          <w:szCs w:val="24"/>
        </w:rPr>
        <w:t>designat</w:t>
      </w:r>
      <w:r w:rsidR="009F6429" w:rsidRPr="003B4362">
        <w:rPr>
          <w:rFonts w:eastAsia="Calibri"/>
          <w:szCs w:val="24"/>
        </w:rPr>
        <w:t>e</w:t>
      </w:r>
      <w:r w:rsidRPr="003B4362">
        <w:rPr>
          <w:rFonts w:eastAsia="Calibri"/>
          <w:szCs w:val="24"/>
        </w:rPr>
        <w:t xml:space="preserve"> one or more of the corrosion control treatments</w:t>
      </w:r>
      <w:r w:rsidR="009F6429" w:rsidRPr="003B4362">
        <w:rPr>
          <w:rFonts w:eastAsia="Calibri"/>
          <w:szCs w:val="24"/>
        </w:rPr>
        <w:t xml:space="preserve"> </w:t>
      </w:r>
      <w:r w:rsidRPr="003B4362">
        <w:rPr>
          <w:rFonts w:eastAsia="Calibri"/>
          <w:szCs w:val="24"/>
        </w:rPr>
        <w:t xml:space="preserve">in subsection (c)(1)(A) as the </w:t>
      </w:r>
      <w:bookmarkStart w:id="1021" w:name="_Hlk117802551"/>
      <w:r w:rsidR="009F6429" w:rsidRPr="003B4362">
        <w:rPr>
          <w:rFonts w:eastAsia="Calibri"/>
          <w:szCs w:val="24"/>
        </w:rPr>
        <w:t>OCCT</w:t>
      </w:r>
      <w:r w:rsidRPr="003B4362">
        <w:rPr>
          <w:rFonts w:eastAsia="Calibri"/>
          <w:szCs w:val="24"/>
        </w:rPr>
        <w:t xml:space="preserve"> for </w:t>
      </w:r>
      <w:r w:rsidR="009F6429" w:rsidRPr="003B4362">
        <w:rPr>
          <w:rFonts w:eastAsia="Calibri"/>
          <w:szCs w:val="24"/>
        </w:rPr>
        <w:t>its</w:t>
      </w:r>
      <w:r w:rsidRPr="003B4362">
        <w:rPr>
          <w:rFonts w:eastAsia="Calibri"/>
          <w:szCs w:val="24"/>
        </w:rPr>
        <w:t xml:space="preserve"> system</w:t>
      </w:r>
      <w:bookmarkEnd w:id="1021"/>
      <w:r w:rsidRPr="003B4362">
        <w:rPr>
          <w:rFonts w:eastAsia="Calibri"/>
          <w:szCs w:val="24"/>
        </w:rPr>
        <w:t xml:space="preserve">.  </w:t>
      </w:r>
      <w:r w:rsidR="001730F5" w:rsidRPr="003B4362">
        <w:rPr>
          <w:rFonts w:eastAsia="Calibri"/>
          <w:szCs w:val="24"/>
        </w:rPr>
        <w:t xml:space="preserve">A </w:t>
      </w:r>
      <w:r w:rsidR="00D708D3" w:rsidRPr="003B4362">
        <w:rPr>
          <w:rFonts w:eastAsia="Calibri"/>
          <w:szCs w:val="24"/>
        </w:rPr>
        <w:t xml:space="preserve">small or </w:t>
      </w:r>
      <w:r w:rsidR="001730F5" w:rsidRPr="003B4362">
        <w:rPr>
          <w:rFonts w:eastAsia="Calibri"/>
          <w:szCs w:val="24"/>
        </w:rPr>
        <w:t>m</w:t>
      </w:r>
      <w:r w:rsidR="00C6469C" w:rsidRPr="003B4362">
        <w:rPr>
          <w:rFonts w:eastAsia="Calibri"/>
          <w:szCs w:val="24"/>
        </w:rPr>
        <w:t>id</w:t>
      </w:r>
      <w:r w:rsidR="001730F5" w:rsidRPr="003B4362">
        <w:rPr>
          <w:rFonts w:eastAsia="Calibri"/>
          <w:szCs w:val="24"/>
        </w:rPr>
        <w:t>-sized supplier</w:t>
      </w:r>
      <w:r w:rsidRPr="003B4362">
        <w:rPr>
          <w:rFonts w:eastAsia="Calibri"/>
          <w:szCs w:val="24"/>
        </w:rPr>
        <w:t xml:space="preserve"> exceed</w:t>
      </w:r>
      <w:r w:rsidR="001730F5" w:rsidRPr="003B4362">
        <w:rPr>
          <w:rFonts w:eastAsia="Calibri"/>
          <w:szCs w:val="24"/>
        </w:rPr>
        <w:t>ing</w:t>
      </w:r>
      <w:r w:rsidRPr="003B4362">
        <w:rPr>
          <w:rFonts w:eastAsia="Calibri"/>
          <w:szCs w:val="24"/>
        </w:rPr>
        <w:t xml:space="preserve"> the lead trigger level but</w:t>
      </w:r>
      <w:r w:rsidR="001730F5" w:rsidRPr="003B4362">
        <w:rPr>
          <w:rFonts w:eastAsia="Calibri"/>
          <w:szCs w:val="24"/>
        </w:rPr>
        <w:t xml:space="preserve"> </w:t>
      </w:r>
      <w:r w:rsidRPr="003B4362">
        <w:rPr>
          <w:rFonts w:eastAsia="Calibri"/>
          <w:szCs w:val="24"/>
        </w:rPr>
        <w:t>not exceed</w:t>
      </w:r>
      <w:r w:rsidR="001730F5" w:rsidRPr="003B4362">
        <w:rPr>
          <w:rFonts w:eastAsia="Calibri"/>
          <w:szCs w:val="24"/>
        </w:rPr>
        <w:t>ing</w:t>
      </w:r>
      <w:r w:rsidRPr="003B4362">
        <w:rPr>
          <w:rFonts w:eastAsia="Calibri"/>
          <w:szCs w:val="24"/>
        </w:rPr>
        <w:t xml:space="preserve"> the lead </w:t>
      </w:r>
      <w:r w:rsidR="001730F5" w:rsidRPr="003B4362">
        <w:rPr>
          <w:rFonts w:eastAsia="Calibri"/>
          <w:szCs w:val="24"/>
        </w:rPr>
        <w:t>or</w:t>
      </w:r>
      <w:r w:rsidRPr="003B4362">
        <w:rPr>
          <w:rFonts w:eastAsia="Calibri"/>
          <w:szCs w:val="24"/>
        </w:rPr>
        <w:t xml:space="preserve"> copper action level</w:t>
      </w:r>
      <w:r w:rsidR="00C53380" w:rsidRPr="003B4362">
        <w:rPr>
          <w:rFonts w:eastAsia="Calibri"/>
          <w:szCs w:val="24"/>
        </w:rPr>
        <w:t xml:space="preserve"> </w:t>
      </w:r>
      <w:r w:rsidR="008E72A6" w:rsidRPr="003B4362">
        <w:rPr>
          <w:rFonts w:eastAsia="Calibri"/>
          <w:szCs w:val="24"/>
        </w:rPr>
        <w:t>does not need to</w:t>
      </w:r>
      <w:r w:rsidR="00C53380" w:rsidRPr="003B4362">
        <w:rPr>
          <w:rFonts w:eastAsia="Calibri"/>
          <w:szCs w:val="24"/>
        </w:rPr>
        <w:t xml:space="preserve"> perform a corrosion control study under subsection (c)</w:t>
      </w:r>
      <w:r w:rsidRPr="003B4362">
        <w:rPr>
          <w:rFonts w:eastAsia="Calibri"/>
          <w:szCs w:val="24"/>
        </w:rPr>
        <w:t xml:space="preserve"> </w:t>
      </w:r>
      <w:bookmarkStart w:id="1022" w:name="_Hlk117803722"/>
      <w:r w:rsidRPr="003B4362">
        <w:rPr>
          <w:rFonts w:eastAsia="Calibri"/>
          <w:szCs w:val="24"/>
        </w:rPr>
        <w:t xml:space="preserve">unless </w:t>
      </w:r>
      <w:r w:rsidR="00C53380" w:rsidRPr="003B4362">
        <w:rPr>
          <w:rFonts w:eastAsia="Calibri"/>
          <w:szCs w:val="24"/>
        </w:rPr>
        <w:t xml:space="preserve">the Agency issues a SEP </w:t>
      </w:r>
      <w:r w:rsidRPr="003B4362">
        <w:rPr>
          <w:rFonts w:eastAsia="Calibri"/>
          <w:szCs w:val="24"/>
        </w:rPr>
        <w:t>requir</w:t>
      </w:r>
      <w:r w:rsidR="00C53380" w:rsidRPr="003B4362">
        <w:rPr>
          <w:rFonts w:eastAsia="Calibri"/>
          <w:szCs w:val="24"/>
        </w:rPr>
        <w:t>ing the supplier to do so</w:t>
      </w:r>
      <w:bookmarkEnd w:id="1022"/>
      <w:r w:rsidRPr="003B4362">
        <w:rPr>
          <w:rFonts w:eastAsia="Calibri"/>
          <w:szCs w:val="24"/>
        </w:rPr>
        <w:t>.</w:t>
      </w:r>
    </w:p>
    <w:p w14:paraId="5173779A" w14:textId="489DED31" w:rsidR="00116148" w:rsidRPr="003B4362" w:rsidRDefault="00116148" w:rsidP="00116148">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t>A</w:t>
      </w:r>
      <w:bookmarkStart w:id="1023" w:name="_Hlk118143049"/>
      <w:r w:rsidRPr="003B4362">
        <w:rPr>
          <w:rFonts w:eastAsia="Calibri"/>
          <w:szCs w:val="24"/>
        </w:rPr>
        <w:t xml:space="preserve"> small </w:t>
      </w:r>
      <w:r w:rsidR="0013201A" w:rsidRPr="003B4362">
        <w:rPr>
          <w:rFonts w:eastAsia="Calibri"/>
          <w:szCs w:val="24"/>
        </w:rPr>
        <w:t>CWS</w:t>
      </w:r>
      <w:r w:rsidRPr="003B4362">
        <w:rPr>
          <w:rFonts w:eastAsia="Calibri"/>
          <w:szCs w:val="24"/>
        </w:rPr>
        <w:t xml:space="preserve"> or </w:t>
      </w:r>
      <w:r w:rsidR="0013201A" w:rsidRPr="003B4362">
        <w:rPr>
          <w:rFonts w:eastAsia="Calibri"/>
          <w:szCs w:val="24"/>
        </w:rPr>
        <w:t>NTNCWS supplier</w:t>
      </w:r>
      <w:r w:rsidRPr="003B4362">
        <w:rPr>
          <w:rFonts w:eastAsia="Calibri"/>
          <w:szCs w:val="24"/>
        </w:rPr>
        <w:t xml:space="preserve"> </w:t>
      </w:r>
      <w:r w:rsidR="0013201A" w:rsidRPr="003B4362">
        <w:rPr>
          <w:rFonts w:eastAsia="Calibri"/>
          <w:szCs w:val="24"/>
        </w:rPr>
        <w:t>applying</w:t>
      </w:r>
      <w:r w:rsidRPr="003B4362">
        <w:rPr>
          <w:rFonts w:eastAsia="Calibri"/>
          <w:szCs w:val="24"/>
        </w:rPr>
        <w:t xml:space="preserve"> corrosion control treatment</w:t>
      </w:r>
      <w:bookmarkStart w:id="1024" w:name="_Hlk118143312"/>
      <w:bookmarkEnd w:id="1023"/>
      <w:r w:rsidR="00363694" w:rsidRPr="003B4362">
        <w:rPr>
          <w:rFonts w:eastAsia="Calibri"/>
          <w:szCs w:val="24"/>
        </w:rPr>
        <w:t xml:space="preserve"> </w:t>
      </w:r>
      <w:r w:rsidRPr="003B4362">
        <w:rPr>
          <w:rFonts w:eastAsia="Calibri"/>
          <w:szCs w:val="24"/>
        </w:rPr>
        <w:t>exceed</w:t>
      </w:r>
      <w:r w:rsidR="0013201A" w:rsidRPr="003B4362">
        <w:rPr>
          <w:rFonts w:eastAsia="Calibri"/>
          <w:szCs w:val="24"/>
        </w:rPr>
        <w:t>ing</w:t>
      </w:r>
      <w:r w:rsidRPr="003B4362">
        <w:rPr>
          <w:rFonts w:eastAsia="Calibri"/>
          <w:szCs w:val="24"/>
        </w:rPr>
        <w:t xml:space="preserve"> the lead action level and select</w:t>
      </w:r>
      <w:r w:rsidR="00363694" w:rsidRPr="003B4362">
        <w:rPr>
          <w:rFonts w:eastAsia="Calibri"/>
          <w:szCs w:val="24"/>
        </w:rPr>
        <w:t>ing</w:t>
      </w:r>
      <w:r w:rsidRPr="003B4362">
        <w:rPr>
          <w:rFonts w:eastAsia="Calibri"/>
          <w:szCs w:val="24"/>
        </w:rPr>
        <w:t xml:space="preserve"> corrosion control</w:t>
      </w:r>
      <w:bookmarkEnd w:id="1024"/>
      <w:r w:rsidRPr="003B4362">
        <w:rPr>
          <w:rFonts w:eastAsia="Calibri"/>
          <w:szCs w:val="24"/>
        </w:rPr>
        <w:t xml:space="preserve"> under Section </w:t>
      </w:r>
      <w:r w:rsidR="00363694" w:rsidRPr="003B4362">
        <w:rPr>
          <w:rFonts w:eastAsia="Calibri"/>
          <w:szCs w:val="24"/>
        </w:rPr>
        <w:t>611.36</w:t>
      </w:r>
      <w:r w:rsidRPr="003B4362">
        <w:rPr>
          <w:rFonts w:eastAsia="Calibri"/>
          <w:szCs w:val="24"/>
        </w:rPr>
        <w:t xml:space="preserve">3(a)(2) must </w:t>
      </w:r>
      <w:bookmarkStart w:id="1025" w:name="_Hlk118143501"/>
      <w:r w:rsidRPr="003B4362">
        <w:rPr>
          <w:rFonts w:eastAsia="Calibri"/>
          <w:szCs w:val="24"/>
        </w:rPr>
        <w:t>recommend designation of one or more of the corrosion control treatments</w:t>
      </w:r>
      <w:r w:rsidR="00363694" w:rsidRPr="003B4362">
        <w:rPr>
          <w:rFonts w:eastAsia="Calibri"/>
          <w:szCs w:val="24"/>
        </w:rPr>
        <w:t xml:space="preserve"> </w:t>
      </w:r>
      <w:r w:rsidRPr="003B4362">
        <w:rPr>
          <w:rFonts w:eastAsia="Calibri"/>
          <w:szCs w:val="24"/>
        </w:rPr>
        <w:t xml:space="preserve">in subsection (c)(2) </w:t>
      </w:r>
      <w:bookmarkEnd w:id="1025"/>
      <w:r w:rsidRPr="003B4362">
        <w:rPr>
          <w:rFonts w:eastAsia="Calibri"/>
          <w:szCs w:val="24"/>
        </w:rPr>
        <w:t xml:space="preserve">as </w:t>
      </w:r>
      <w:bookmarkStart w:id="1026" w:name="_Hlk118143673"/>
      <w:r w:rsidR="00363694" w:rsidRPr="003B4362">
        <w:rPr>
          <w:rFonts w:eastAsia="Calibri"/>
          <w:szCs w:val="24"/>
        </w:rPr>
        <w:t>OCCT</w:t>
      </w:r>
      <w:r w:rsidRPr="003B4362">
        <w:rPr>
          <w:rFonts w:eastAsia="Calibri"/>
          <w:szCs w:val="24"/>
        </w:rPr>
        <w:t xml:space="preserve"> for </w:t>
      </w:r>
      <w:r w:rsidR="00363694" w:rsidRPr="003B4362">
        <w:rPr>
          <w:rFonts w:eastAsia="Calibri"/>
          <w:szCs w:val="24"/>
        </w:rPr>
        <w:t>its</w:t>
      </w:r>
      <w:r w:rsidRPr="003B4362">
        <w:rPr>
          <w:rFonts w:eastAsia="Calibri"/>
          <w:szCs w:val="24"/>
        </w:rPr>
        <w:t xml:space="preserve"> system</w:t>
      </w:r>
      <w:bookmarkEnd w:id="1026"/>
      <w:r w:rsidRPr="003B4362">
        <w:rPr>
          <w:rFonts w:eastAsia="Calibri"/>
          <w:szCs w:val="24"/>
        </w:rPr>
        <w:t>.</w:t>
      </w:r>
    </w:p>
    <w:p w14:paraId="55C03C44" w14:textId="3F78898D" w:rsidR="00116148" w:rsidRPr="003B4362" w:rsidRDefault="00116148" w:rsidP="00116148">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r>
      <w:r w:rsidR="000B3217" w:rsidRPr="003B4362">
        <w:rPr>
          <w:rFonts w:eastAsia="Calibri"/>
          <w:szCs w:val="24"/>
        </w:rPr>
        <w:t xml:space="preserve">The Agency may issue a SEP waiving subsection (a)(4)’s OCCT-recommendation requirement for a supplier if the SEP requires the </w:t>
      </w:r>
      <w:r w:rsidR="000B3217" w:rsidRPr="003B4362">
        <w:rPr>
          <w:rFonts w:eastAsia="Calibri"/>
          <w:szCs w:val="24"/>
        </w:rPr>
        <w:lastRenderedPageBreak/>
        <w:t>supplier to complete a corrosion control study within three months after the end of the tap sampling period during which the supplier exceeded the lead action level.  In that case, the supplier must proceed directly to subsection (c) and complete a corrosion control study.</w:t>
      </w:r>
    </w:p>
    <w:p w14:paraId="769453C6" w14:textId="7D9464D8" w:rsidR="001426AF" w:rsidRPr="003B4362" w:rsidRDefault="005451CE" w:rsidP="00B201AA">
      <w:pPr>
        <w:spacing w:before="240" w:after="240"/>
        <w:ind w:left="1440" w:hanging="720"/>
        <w:rPr>
          <w:szCs w:val="24"/>
        </w:rPr>
      </w:pPr>
      <w:r w:rsidRPr="003B4362">
        <w:rPr>
          <w:rFonts w:eastAsia="Calibri"/>
        </w:rPr>
        <w:t>b)</w:t>
      </w:r>
      <w:r w:rsidRPr="003B4362">
        <w:rPr>
          <w:rFonts w:eastAsia="Calibri"/>
        </w:rPr>
        <w:tab/>
      </w:r>
      <w:bookmarkStart w:id="1027" w:name="_Hlk118146844"/>
      <w:r w:rsidRPr="003B4362">
        <w:rPr>
          <w:rFonts w:eastAsia="Calibri"/>
        </w:rPr>
        <w:t xml:space="preserve">Agency-Required Studies </w:t>
      </w:r>
      <w:r w:rsidR="0015402B" w:rsidRPr="003B4362">
        <w:rPr>
          <w:rFonts w:eastAsia="Calibri"/>
        </w:rPr>
        <w:t xml:space="preserve">to Identify Initial Optimal </w:t>
      </w:r>
      <w:r w:rsidRPr="003B4362">
        <w:rPr>
          <w:rFonts w:eastAsia="Calibri"/>
        </w:rPr>
        <w:t>Corrosion Control Treatment</w:t>
      </w:r>
      <w:r w:rsidR="0015402B" w:rsidRPr="003B4362">
        <w:rPr>
          <w:rFonts w:eastAsia="Calibri"/>
        </w:rPr>
        <w:t xml:space="preserve"> and Re-Optimized OCCT Except for Large Suppliers and Small and M</w:t>
      </w:r>
      <w:r w:rsidR="003B6249" w:rsidRPr="003B4362">
        <w:rPr>
          <w:rFonts w:eastAsia="Calibri"/>
        </w:rPr>
        <w:t>id</w:t>
      </w:r>
      <w:r w:rsidR="0015402B" w:rsidRPr="003B4362">
        <w:rPr>
          <w:rFonts w:eastAsia="Calibri"/>
        </w:rPr>
        <w:t>-Sized Suppliers Having Lead Service Lines and Exceeding the Lead Action Level</w:t>
      </w:r>
      <w:bookmarkEnd w:id="1027"/>
      <w:r w:rsidRPr="003B4362">
        <w:rPr>
          <w:rFonts w:eastAsia="Calibri"/>
        </w:rPr>
        <w:t xml:space="preserve">.  </w:t>
      </w:r>
      <w:r w:rsidR="00E47836" w:rsidRPr="003B4362">
        <w:rPr>
          <w:szCs w:val="24"/>
        </w:rPr>
        <w:t>C</w:t>
      </w:r>
      <w:bookmarkStart w:id="1028" w:name="_Hlk118192126"/>
      <w:r w:rsidR="00E47836" w:rsidRPr="003B4362">
        <w:rPr>
          <w:szCs w:val="24"/>
        </w:rPr>
        <w:t>ertain suppliers must conduct c</w:t>
      </w:r>
      <w:r w:rsidR="00554D3B" w:rsidRPr="003B4362">
        <w:rPr>
          <w:szCs w:val="24"/>
        </w:rPr>
        <w:t>orrosion control treatment studies</w:t>
      </w:r>
      <w:bookmarkEnd w:id="1028"/>
      <w:r w:rsidR="00E47836" w:rsidRPr="003B4362">
        <w:rPr>
          <w:szCs w:val="24"/>
        </w:rPr>
        <w:t xml:space="preserve">: </w:t>
      </w:r>
      <w:r w:rsidR="00554D3B" w:rsidRPr="003B4362">
        <w:rPr>
          <w:szCs w:val="24"/>
        </w:rPr>
        <w:t xml:space="preserve"> </w:t>
      </w:r>
      <w:r w:rsidR="00E47836" w:rsidRPr="003B4362">
        <w:rPr>
          <w:szCs w:val="24"/>
        </w:rPr>
        <w:t>large</w:t>
      </w:r>
      <w:r w:rsidR="003B6249" w:rsidRPr="003B4362">
        <w:rPr>
          <w:szCs w:val="24"/>
        </w:rPr>
        <w:t xml:space="preserve"> </w:t>
      </w:r>
      <w:r w:rsidR="0060691B" w:rsidRPr="003B4362">
        <w:rPr>
          <w:szCs w:val="24"/>
        </w:rPr>
        <w:t xml:space="preserve">suppliers </w:t>
      </w:r>
      <w:r w:rsidR="00E47836" w:rsidRPr="003B4362">
        <w:rPr>
          <w:szCs w:val="24"/>
        </w:rPr>
        <w:t>exceed</w:t>
      </w:r>
      <w:r w:rsidR="0060691B" w:rsidRPr="003B4362">
        <w:rPr>
          <w:szCs w:val="24"/>
        </w:rPr>
        <w:t>ing</w:t>
      </w:r>
      <w:r w:rsidR="00E47836" w:rsidRPr="003B4362">
        <w:rPr>
          <w:szCs w:val="24"/>
        </w:rPr>
        <w:t xml:space="preserve"> the lead action level, </w:t>
      </w:r>
      <w:bookmarkStart w:id="1029" w:name="_Hlk118192907"/>
      <w:bookmarkStart w:id="1030" w:name="_Hlk118192321"/>
      <w:r w:rsidR="004C686C" w:rsidRPr="003B4362">
        <w:rPr>
          <w:szCs w:val="24"/>
        </w:rPr>
        <w:t>large</w:t>
      </w:r>
      <w:r w:rsidR="003B6249" w:rsidRPr="003B4362">
        <w:rPr>
          <w:szCs w:val="24"/>
        </w:rPr>
        <w:t xml:space="preserve"> </w:t>
      </w:r>
      <w:r w:rsidR="004C686C" w:rsidRPr="003B4362">
        <w:rPr>
          <w:szCs w:val="24"/>
        </w:rPr>
        <w:t>suppliers</w:t>
      </w:r>
      <w:r w:rsidR="00E47836" w:rsidRPr="003B4362">
        <w:rPr>
          <w:szCs w:val="24"/>
        </w:rPr>
        <w:t xml:space="preserve"> </w:t>
      </w:r>
      <w:r w:rsidR="004C686C" w:rsidRPr="003B4362">
        <w:rPr>
          <w:szCs w:val="24"/>
        </w:rPr>
        <w:t>not applying</w:t>
      </w:r>
      <w:r w:rsidR="00E47836" w:rsidRPr="003B4362">
        <w:rPr>
          <w:szCs w:val="24"/>
        </w:rPr>
        <w:t xml:space="preserve"> corrosion control treatment</w:t>
      </w:r>
      <w:bookmarkEnd w:id="1029"/>
      <w:r w:rsidR="00E47836" w:rsidRPr="003B4362">
        <w:rPr>
          <w:szCs w:val="24"/>
        </w:rPr>
        <w:t xml:space="preserve"> </w:t>
      </w:r>
      <w:bookmarkStart w:id="1031" w:name="_Hlk118193512"/>
      <w:r w:rsidR="004C686C" w:rsidRPr="003B4362">
        <w:rPr>
          <w:szCs w:val="24"/>
        </w:rPr>
        <w:t>whose</w:t>
      </w:r>
      <w:r w:rsidR="00E47836" w:rsidRPr="003B4362">
        <w:rPr>
          <w:szCs w:val="24"/>
        </w:rPr>
        <w:t xml:space="preserve"> 90th percentile </w:t>
      </w:r>
      <w:r w:rsidR="00214E9D" w:rsidRPr="003B4362">
        <w:rPr>
          <w:szCs w:val="24"/>
        </w:rPr>
        <w:t xml:space="preserve">concentration </w:t>
      </w:r>
      <w:r w:rsidR="00E47836" w:rsidRPr="003B4362">
        <w:rPr>
          <w:szCs w:val="24"/>
        </w:rPr>
        <w:t>results</w:t>
      </w:r>
      <w:r w:rsidR="004C686C" w:rsidRPr="003B4362">
        <w:rPr>
          <w:szCs w:val="24"/>
        </w:rPr>
        <w:t xml:space="preserve"> </w:t>
      </w:r>
      <w:r w:rsidR="00E47836" w:rsidRPr="003B4362">
        <w:rPr>
          <w:szCs w:val="24"/>
        </w:rPr>
        <w:t>exceed</w:t>
      </w:r>
      <w:bookmarkEnd w:id="1031"/>
      <w:r w:rsidR="00E47836" w:rsidRPr="003B4362">
        <w:rPr>
          <w:szCs w:val="24"/>
        </w:rPr>
        <w:t xml:space="preserve"> either the lead practical quantitation limit of 0.005 mg/</w:t>
      </w:r>
      <w:r w:rsidR="008E72A6" w:rsidRPr="003B4362">
        <w:t xml:space="preserve"> L</w:t>
      </w:r>
      <w:r w:rsidR="00E47836" w:rsidRPr="003B4362">
        <w:rPr>
          <w:szCs w:val="24"/>
        </w:rPr>
        <w:t xml:space="preserve"> or the copper action level</w:t>
      </w:r>
      <w:bookmarkEnd w:id="1030"/>
      <w:r w:rsidR="00E47836" w:rsidRPr="003B4362">
        <w:rPr>
          <w:szCs w:val="24"/>
        </w:rPr>
        <w:t xml:space="preserve">, </w:t>
      </w:r>
      <w:bookmarkStart w:id="1032" w:name="_Hlk118193787"/>
      <w:bookmarkStart w:id="1033" w:name="_Hlk118194020"/>
      <w:r w:rsidR="00E47836" w:rsidRPr="003B4362">
        <w:rPr>
          <w:szCs w:val="24"/>
        </w:rPr>
        <w:t>m</w:t>
      </w:r>
      <w:r w:rsidR="003B6249" w:rsidRPr="003B4362">
        <w:rPr>
          <w:szCs w:val="24"/>
        </w:rPr>
        <w:t>id</w:t>
      </w:r>
      <w:r w:rsidR="002820D2" w:rsidRPr="003B4362">
        <w:rPr>
          <w:szCs w:val="24"/>
        </w:rPr>
        <w:t>-</w:t>
      </w:r>
      <w:r w:rsidR="00E47836" w:rsidRPr="003B4362">
        <w:rPr>
          <w:szCs w:val="24"/>
        </w:rPr>
        <w:t xml:space="preserve">sized </w:t>
      </w:r>
      <w:r w:rsidR="001426AF" w:rsidRPr="003B4362">
        <w:rPr>
          <w:szCs w:val="24"/>
        </w:rPr>
        <w:t xml:space="preserve">water </w:t>
      </w:r>
      <w:r w:rsidR="00E47836" w:rsidRPr="003B4362">
        <w:rPr>
          <w:szCs w:val="24"/>
        </w:rPr>
        <w:t>system</w:t>
      </w:r>
      <w:r w:rsidR="002820D2" w:rsidRPr="003B4362">
        <w:rPr>
          <w:szCs w:val="24"/>
        </w:rPr>
        <w:t xml:space="preserve"> suppliers</w:t>
      </w:r>
      <w:r w:rsidR="00E47836" w:rsidRPr="003B4362">
        <w:rPr>
          <w:szCs w:val="24"/>
        </w:rPr>
        <w:t xml:space="preserve"> </w:t>
      </w:r>
      <w:r w:rsidR="002820D2" w:rsidRPr="003B4362">
        <w:rPr>
          <w:szCs w:val="24"/>
        </w:rPr>
        <w:t>having</w:t>
      </w:r>
      <w:r w:rsidR="00E47836" w:rsidRPr="003B4362">
        <w:rPr>
          <w:szCs w:val="24"/>
        </w:rPr>
        <w:t xml:space="preserve"> lead service lines </w:t>
      </w:r>
      <w:r w:rsidR="002820D2" w:rsidRPr="003B4362">
        <w:rPr>
          <w:szCs w:val="24"/>
        </w:rPr>
        <w:t>and</w:t>
      </w:r>
      <w:r w:rsidR="00E47836" w:rsidRPr="003B4362">
        <w:rPr>
          <w:szCs w:val="24"/>
        </w:rPr>
        <w:t xml:space="preserve"> exceed</w:t>
      </w:r>
      <w:bookmarkEnd w:id="1032"/>
      <w:r w:rsidR="002820D2" w:rsidRPr="003B4362">
        <w:rPr>
          <w:szCs w:val="24"/>
        </w:rPr>
        <w:t>ing</w:t>
      </w:r>
      <w:bookmarkEnd w:id="1033"/>
      <w:r w:rsidR="00E47836" w:rsidRPr="003B4362">
        <w:rPr>
          <w:szCs w:val="24"/>
        </w:rPr>
        <w:t xml:space="preserve"> the lead action level, and </w:t>
      </w:r>
      <w:bookmarkStart w:id="1034" w:name="_Hlk118194583"/>
      <w:r w:rsidR="00E47836" w:rsidRPr="003B4362">
        <w:rPr>
          <w:szCs w:val="24"/>
        </w:rPr>
        <w:t>small</w:t>
      </w:r>
      <w:r w:rsidR="003B6249" w:rsidRPr="003B4362">
        <w:rPr>
          <w:szCs w:val="24"/>
        </w:rPr>
        <w:t xml:space="preserve"> </w:t>
      </w:r>
      <w:r w:rsidR="001426AF" w:rsidRPr="003B4362">
        <w:rPr>
          <w:szCs w:val="24"/>
        </w:rPr>
        <w:t>suppliers</w:t>
      </w:r>
      <w:r w:rsidR="00E47836" w:rsidRPr="003B4362">
        <w:rPr>
          <w:szCs w:val="24"/>
        </w:rPr>
        <w:t xml:space="preserve"> </w:t>
      </w:r>
      <w:r w:rsidR="001426AF" w:rsidRPr="003B4362">
        <w:rPr>
          <w:szCs w:val="24"/>
        </w:rPr>
        <w:t>having</w:t>
      </w:r>
      <w:r w:rsidR="00E47836" w:rsidRPr="003B4362">
        <w:rPr>
          <w:szCs w:val="24"/>
        </w:rPr>
        <w:t xml:space="preserve"> lead service lines </w:t>
      </w:r>
      <w:r w:rsidR="001426AF" w:rsidRPr="003B4362">
        <w:rPr>
          <w:szCs w:val="24"/>
        </w:rPr>
        <w:t>and exceeding</w:t>
      </w:r>
      <w:r w:rsidR="00E47836" w:rsidRPr="003B4362">
        <w:rPr>
          <w:szCs w:val="24"/>
        </w:rPr>
        <w:t xml:space="preserve"> the lead action level and select</w:t>
      </w:r>
      <w:r w:rsidR="001426AF" w:rsidRPr="003B4362">
        <w:rPr>
          <w:szCs w:val="24"/>
        </w:rPr>
        <w:t>ing</w:t>
      </w:r>
      <w:r w:rsidR="00E47836" w:rsidRPr="003B4362">
        <w:rPr>
          <w:szCs w:val="24"/>
        </w:rPr>
        <w:t xml:space="preserve"> the corrosion control treatment option</w:t>
      </w:r>
      <w:bookmarkEnd w:id="1034"/>
      <w:r w:rsidR="00E47836" w:rsidRPr="003B4362">
        <w:rPr>
          <w:szCs w:val="24"/>
        </w:rPr>
        <w:t xml:space="preserve"> under Section </w:t>
      </w:r>
      <w:r w:rsidR="00B201AA" w:rsidRPr="003B4362">
        <w:rPr>
          <w:rFonts w:eastAsia="Calibri"/>
          <w:szCs w:val="24"/>
        </w:rPr>
        <w:t>611.36</w:t>
      </w:r>
      <w:r w:rsidR="00E47836" w:rsidRPr="003B4362">
        <w:rPr>
          <w:szCs w:val="24"/>
        </w:rPr>
        <w:t>3(a).</w:t>
      </w:r>
    </w:p>
    <w:p w14:paraId="6A2AC3C7" w14:textId="75EBF770" w:rsidR="005451CE" w:rsidRPr="003B4362" w:rsidRDefault="00D62957" w:rsidP="00D62957">
      <w:pPr>
        <w:spacing w:before="240" w:after="240"/>
        <w:ind w:left="2160" w:hanging="720"/>
        <w:rPr>
          <w:rFonts w:eastAsia="Calibri"/>
        </w:rPr>
      </w:pPr>
      <w:r w:rsidRPr="003B4362">
        <w:rPr>
          <w:rFonts w:eastAsia="Calibri"/>
        </w:rPr>
        <w:t>1)</w:t>
      </w:r>
      <w:r w:rsidRPr="003B4362">
        <w:rPr>
          <w:rFonts w:eastAsia="Calibri"/>
        </w:rPr>
        <w:tab/>
      </w:r>
      <w:r w:rsidR="005451CE" w:rsidRPr="003B4362">
        <w:rPr>
          <w:rFonts w:eastAsia="Calibri"/>
        </w:rPr>
        <w:t xml:space="preserve">The Agency may issue a SEP requiring </w:t>
      </w:r>
      <w:bookmarkStart w:id="1035" w:name="_Hlk114485245"/>
      <w:r w:rsidR="005451CE" w:rsidRPr="003B4362">
        <w:rPr>
          <w:rFonts w:eastAsia="Calibri"/>
        </w:rPr>
        <w:t xml:space="preserve">a </w:t>
      </w:r>
      <w:r w:rsidR="00C6469C" w:rsidRPr="003B4362">
        <w:rPr>
          <w:rFonts w:eastAsia="Calibri"/>
        </w:rPr>
        <w:t xml:space="preserve">small </w:t>
      </w:r>
      <w:r w:rsidR="005451CE" w:rsidRPr="003B4362">
        <w:rPr>
          <w:rFonts w:eastAsia="Calibri"/>
        </w:rPr>
        <w:t xml:space="preserve">or </w:t>
      </w:r>
      <w:r w:rsidR="00C6469C" w:rsidRPr="003B4362">
        <w:rPr>
          <w:rFonts w:eastAsia="Calibri"/>
        </w:rPr>
        <w:t xml:space="preserve">mid-sized </w:t>
      </w:r>
      <w:r w:rsidR="005451CE" w:rsidRPr="003B4362">
        <w:rPr>
          <w:rFonts w:eastAsia="Calibri"/>
        </w:rPr>
        <w:t xml:space="preserve">supplier </w:t>
      </w:r>
      <w:r w:rsidR="00FB434E" w:rsidRPr="003B4362">
        <w:rPr>
          <w:rFonts w:eastAsia="Calibri"/>
        </w:rPr>
        <w:t xml:space="preserve">not </w:t>
      </w:r>
      <w:r w:rsidR="00B201AA" w:rsidRPr="003B4362">
        <w:rPr>
          <w:szCs w:val="24"/>
        </w:rPr>
        <w:t>applying corrosion control</w:t>
      </w:r>
      <w:r w:rsidR="00B201AA" w:rsidRPr="003B4362">
        <w:t xml:space="preserve"> treatment</w:t>
      </w:r>
      <w:r w:rsidR="00B201AA" w:rsidRPr="003B4362">
        <w:rPr>
          <w:szCs w:val="24"/>
        </w:rPr>
        <w:t xml:space="preserve"> </w:t>
      </w:r>
      <w:r w:rsidR="005451CE" w:rsidRPr="003B4362">
        <w:rPr>
          <w:rFonts w:eastAsia="Calibri"/>
        </w:rPr>
        <w:t xml:space="preserve">exceeding </w:t>
      </w:r>
      <w:bookmarkStart w:id="1036" w:name="_Hlk114485391"/>
      <w:bookmarkEnd w:id="1035"/>
      <w:r w:rsidR="005451CE" w:rsidRPr="003B4362">
        <w:rPr>
          <w:rFonts w:eastAsia="Calibri"/>
        </w:rPr>
        <w:t>the lead or copper action level</w:t>
      </w:r>
      <w:bookmarkEnd w:id="1036"/>
      <w:r w:rsidR="005451CE" w:rsidRPr="003B4362">
        <w:rPr>
          <w:rFonts w:eastAsia="Calibri"/>
        </w:rPr>
        <w:t xml:space="preserve"> to perform corrosion control </w:t>
      </w:r>
      <w:r w:rsidR="00B201AA" w:rsidRPr="003B4362">
        <w:rPr>
          <w:szCs w:val="24"/>
        </w:rPr>
        <w:t xml:space="preserve">treatment </w:t>
      </w:r>
      <w:r w:rsidR="005451CE" w:rsidRPr="003B4362">
        <w:rPr>
          <w:rFonts w:eastAsia="Calibri"/>
        </w:rPr>
        <w:t>studies under subsection (c)</w:t>
      </w:r>
      <w:r w:rsidR="00A510FA" w:rsidRPr="003B4362">
        <w:rPr>
          <w:rFonts w:eastAsia="Calibri"/>
        </w:rPr>
        <w:t>(1)</w:t>
      </w:r>
      <w:r w:rsidR="005451CE" w:rsidRPr="003B4362">
        <w:rPr>
          <w:rFonts w:eastAsia="Calibri"/>
        </w:rPr>
        <w:t xml:space="preserve"> to identify </w:t>
      </w:r>
      <w:bookmarkStart w:id="1037" w:name="_Hlk118196031"/>
      <w:r w:rsidR="00A2717E" w:rsidRPr="003B4362">
        <w:rPr>
          <w:rFonts w:eastAsia="Calibri"/>
        </w:rPr>
        <w:t xml:space="preserve">OCCT </w:t>
      </w:r>
      <w:bookmarkStart w:id="1038" w:name="_Hlk114488791"/>
      <w:bookmarkStart w:id="1039" w:name="_Hlk114485477"/>
      <w:bookmarkEnd w:id="1037"/>
      <w:r w:rsidR="005451CE" w:rsidRPr="003B4362">
        <w:rPr>
          <w:rFonts w:eastAsia="Calibri"/>
        </w:rPr>
        <w:t>for the supplier’s system</w:t>
      </w:r>
      <w:bookmarkEnd w:id="1038"/>
      <w:bookmarkEnd w:id="1039"/>
      <w:r w:rsidR="005451CE" w:rsidRPr="003B4362">
        <w:rPr>
          <w:rFonts w:eastAsia="Calibri"/>
        </w:rPr>
        <w:t>.</w:t>
      </w:r>
    </w:p>
    <w:p w14:paraId="77F19CDB" w14:textId="7F84E00E" w:rsidR="009C030B" w:rsidRPr="003B4362" w:rsidRDefault="009C030B" w:rsidP="009C030B">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T</w:t>
      </w:r>
      <w:bookmarkStart w:id="1040" w:name="_Hlk118196874"/>
      <w:bookmarkStart w:id="1041" w:name="_Hlk118196452"/>
      <w:r w:rsidRPr="003B4362">
        <w:rPr>
          <w:rFonts w:eastAsia="Calibri"/>
          <w:szCs w:val="24"/>
        </w:rPr>
        <w:t xml:space="preserve">he </w:t>
      </w:r>
      <w:bookmarkStart w:id="1042" w:name="_Hlk118198491"/>
      <w:r w:rsidR="005C7C5B" w:rsidRPr="003B4362">
        <w:rPr>
          <w:rFonts w:eastAsia="Calibri"/>
          <w:szCs w:val="24"/>
        </w:rPr>
        <w:t xml:space="preserve">Agency </w:t>
      </w:r>
      <w:r w:rsidR="007F5F11" w:rsidRPr="003B4362">
        <w:rPr>
          <w:rFonts w:eastAsia="Calibri"/>
          <w:szCs w:val="24"/>
        </w:rPr>
        <w:t xml:space="preserve">may </w:t>
      </w:r>
      <w:r w:rsidR="005C7C5B" w:rsidRPr="003B4362">
        <w:rPr>
          <w:rFonts w:eastAsia="Calibri"/>
          <w:szCs w:val="24"/>
        </w:rPr>
        <w:t xml:space="preserve">issue a SEP </w:t>
      </w:r>
      <w:r w:rsidRPr="003B4362">
        <w:rPr>
          <w:rFonts w:eastAsia="Calibri"/>
          <w:szCs w:val="24"/>
        </w:rPr>
        <w:t>requir</w:t>
      </w:r>
      <w:r w:rsidR="005C7C5B" w:rsidRPr="003B4362">
        <w:rPr>
          <w:rFonts w:eastAsia="Calibri"/>
          <w:szCs w:val="24"/>
        </w:rPr>
        <w:t>ing</w:t>
      </w:r>
      <w:r w:rsidRPr="003B4362">
        <w:rPr>
          <w:rFonts w:eastAsia="Calibri"/>
          <w:szCs w:val="24"/>
        </w:rPr>
        <w:t xml:space="preserve"> a small or m</w:t>
      </w:r>
      <w:r w:rsidR="00C6469C" w:rsidRPr="003B4362">
        <w:rPr>
          <w:rFonts w:eastAsia="Calibri"/>
          <w:szCs w:val="24"/>
        </w:rPr>
        <w:t>id</w:t>
      </w:r>
      <w:r w:rsidRPr="003B4362">
        <w:rPr>
          <w:rFonts w:eastAsia="Calibri"/>
          <w:szCs w:val="24"/>
        </w:rPr>
        <w:t>-size</w:t>
      </w:r>
      <w:r w:rsidR="005C7C5B" w:rsidRPr="003B4362">
        <w:rPr>
          <w:rFonts w:eastAsia="Calibri"/>
          <w:szCs w:val="24"/>
        </w:rPr>
        <w:t>d</w:t>
      </w:r>
      <w:r w:rsidRPr="003B4362">
        <w:rPr>
          <w:rFonts w:eastAsia="Calibri"/>
          <w:szCs w:val="24"/>
        </w:rPr>
        <w:t xml:space="preserve"> </w:t>
      </w:r>
      <w:r w:rsidR="005C7C5B" w:rsidRPr="003B4362">
        <w:rPr>
          <w:rFonts w:eastAsia="Calibri"/>
          <w:szCs w:val="24"/>
        </w:rPr>
        <w:t>supplier not applying</w:t>
      </w:r>
      <w:bookmarkEnd w:id="1042"/>
      <w:r w:rsidRPr="003B4362">
        <w:rPr>
          <w:rFonts w:eastAsia="Calibri"/>
          <w:szCs w:val="24"/>
        </w:rPr>
        <w:t xml:space="preserve"> corrosion control </w:t>
      </w:r>
      <w:r w:rsidR="005C7C5B" w:rsidRPr="003B4362">
        <w:rPr>
          <w:rFonts w:eastAsia="Calibri"/>
          <w:szCs w:val="24"/>
        </w:rPr>
        <w:t>treatment</w:t>
      </w:r>
      <w:r w:rsidRPr="003B4362">
        <w:rPr>
          <w:rFonts w:eastAsia="Calibri"/>
          <w:szCs w:val="24"/>
        </w:rPr>
        <w:t xml:space="preserve"> </w:t>
      </w:r>
      <w:r w:rsidR="00341A28" w:rsidRPr="003B4362">
        <w:rPr>
          <w:rFonts w:eastAsia="Calibri"/>
          <w:szCs w:val="24"/>
        </w:rPr>
        <w:t xml:space="preserve">and </w:t>
      </w:r>
      <w:r w:rsidRPr="003B4362">
        <w:rPr>
          <w:rFonts w:eastAsia="Calibri"/>
          <w:szCs w:val="24"/>
        </w:rPr>
        <w:t>exceed</w:t>
      </w:r>
      <w:r w:rsidR="005C7C5B" w:rsidRPr="003B4362">
        <w:rPr>
          <w:rFonts w:eastAsia="Calibri"/>
          <w:szCs w:val="24"/>
        </w:rPr>
        <w:t>ing</w:t>
      </w:r>
      <w:r w:rsidRPr="003B4362">
        <w:rPr>
          <w:rFonts w:eastAsia="Calibri"/>
          <w:szCs w:val="24"/>
        </w:rPr>
        <w:t xml:space="preserve"> the lead trigger level but not the lead or copper action level</w:t>
      </w:r>
      <w:bookmarkEnd w:id="1040"/>
      <w:r w:rsidRPr="003B4362">
        <w:rPr>
          <w:rFonts w:eastAsia="Calibri"/>
          <w:szCs w:val="24"/>
        </w:rPr>
        <w:t xml:space="preserve"> to perform corrosion control treatment studies</w:t>
      </w:r>
      <w:bookmarkEnd w:id="1041"/>
      <w:r w:rsidRPr="003B4362">
        <w:rPr>
          <w:rFonts w:eastAsia="Calibri"/>
          <w:szCs w:val="24"/>
        </w:rPr>
        <w:t xml:space="preserve"> under subsection (c)(1) to </w:t>
      </w:r>
      <w:bookmarkStart w:id="1043" w:name="_Hlk118197525"/>
      <w:r w:rsidRPr="003B4362">
        <w:rPr>
          <w:rFonts w:eastAsia="Calibri"/>
          <w:szCs w:val="24"/>
        </w:rPr>
        <w:t xml:space="preserve">identify </w:t>
      </w:r>
      <w:r w:rsidR="00C06CA9" w:rsidRPr="003B4362">
        <w:rPr>
          <w:rFonts w:eastAsia="Calibri"/>
          <w:szCs w:val="24"/>
        </w:rPr>
        <w:t>OCCT</w:t>
      </w:r>
      <w:r w:rsidRPr="003B4362">
        <w:rPr>
          <w:rFonts w:eastAsia="Calibri"/>
          <w:szCs w:val="24"/>
        </w:rPr>
        <w:t xml:space="preserve"> for </w:t>
      </w:r>
      <w:r w:rsidR="00C06CA9" w:rsidRPr="003B4362">
        <w:rPr>
          <w:rFonts w:eastAsia="Calibri"/>
          <w:szCs w:val="24"/>
        </w:rPr>
        <w:t>its</w:t>
      </w:r>
      <w:r w:rsidRPr="003B4362">
        <w:rPr>
          <w:rFonts w:eastAsia="Calibri"/>
          <w:szCs w:val="24"/>
        </w:rPr>
        <w:t xml:space="preserve"> system</w:t>
      </w:r>
      <w:bookmarkEnd w:id="1043"/>
      <w:r w:rsidRPr="003B4362">
        <w:rPr>
          <w:rFonts w:eastAsia="Calibri"/>
          <w:szCs w:val="24"/>
        </w:rPr>
        <w:t>.  T</w:t>
      </w:r>
      <w:bookmarkStart w:id="1044" w:name="_Hlk118197785"/>
      <w:r w:rsidR="00C06CA9" w:rsidRPr="003B4362">
        <w:rPr>
          <w:rFonts w:eastAsia="Calibri"/>
          <w:szCs w:val="24"/>
        </w:rPr>
        <w:t>he supplier must install t</w:t>
      </w:r>
      <w:r w:rsidRPr="003B4362">
        <w:rPr>
          <w:rFonts w:eastAsia="Calibri"/>
          <w:szCs w:val="24"/>
        </w:rPr>
        <w:t>his corrosion control treatment</w:t>
      </w:r>
      <w:bookmarkEnd w:id="1044"/>
      <w:r w:rsidR="00C06CA9" w:rsidRPr="003B4362">
        <w:rPr>
          <w:rFonts w:eastAsia="Calibri"/>
          <w:szCs w:val="24"/>
        </w:rPr>
        <w:t xml:space="preserve"> </w:t>
      </w:r>
      <w:bookmarkStart w:id="1045" w:name="_Hlk118197835"/>
      <w:r w:rsidRPr="003B4362">
        <w:rPr>
          <w:rFonts w:eastAsia="Calibri"/>
          <w:szCs w:val="24"/>
        </w:rPr>
        <w:t xml:space="preserve">if </w:t>
      </w:r>
      <w:r w:rsidR="00C06CA9" w:rsidRPr="003B4362">
        <w:rPr>
          <w:rFonts w:eastAsia="Calibri"/>
          <w:szCs w:val="24"/>
        </w:rPr>
        <w:t xml:space="preserve">the supplier subsequently exceeds the </w:t>
      </w:r>
      <w:r w:rsidRPr="003B4362">
        <w:rPr>
          <w:rFonts w:eastAsia="Calibri"/>
          <w:szCs w:val="24"/>
        </w:rPr>
        <w:t>lead or copper action level</w:t>
      </w:r>
      <w:bookmarkEnd w:id="1045"/>
      <w:r w:rsidRPr="003B4362">
        <w:rPr>
          <w:rFonts w:eastAsia="Calibri"/>
          <w:szCs w:val="24"/>
        </w:rPr>
        <w:t>.</w:t>
      </w:r>
    </w:p>
    <w:p w14:paraId="0B1B828F" w14:textId="33B37974" w:rsidR="009C030B" w:rsidRPr="003B4362" w:rsidRDefault="009C030B" w:rsidP="009C030B">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 xml:space="preserve">The </w:t>
      </w:r>
      <w:r w:rsidR="007F5F11" w:rsidRPr="003B4362">
        <w:rPr>
          <w:rFonts w:eastAsia="Calibri"/>
          <w:szCs w:val="24"/>
        </w:rPr>
        <w:t>Agency may issue a SEP requiring a small or m</w:t>
      </w:r>
      <w:r w:rsidR="00C6469C" w:rsidRPr="003B4362">
        <w:rPr>
          <w:rFonts w:eastAsia="Calibri"/>
          <w:szCs w:val="24"/>
        </w:rPr>
        <w:t>id</w:t>
      </w:r>
      <w:r w:rsidR="007F5F11" w:rsidRPr="003B4362">
        <w:rPr>
          <w:rFonts w:eastAsia="Calibri"/>
          <w:szCs w:val="24"/>
        </w:rPr>
        <w:t>-sized supplier applying</w:t>
      </w:r>
      <w:r w:rsidRPr="003B4362">
        <w:rPr>
          <w:rFonts w:eastAsia="Calibri"/>
          <w:szCs w:val="24"/>
        </w:rPr>
        <w:t xml:space="preserve"> corrosion control treatment exceeding either the lead trigger level or copper action level to perform corrosion control treatment studies under subsection (c)(2) to identify re-optimized</w:t>
      </w:r>
      <w:r w:rsidR="00C63A4D" w:rsidRPr="003B4362">
        <w:rPr>
          <w:rFonts w:eastAsia="Calibri"/>
          <w:szCs w:val="24"/>
        </w:rPr>
        <w:t xml:space="preserve"> OCCT for its</w:t>
      </w:r>
      <w:r w:rsidRPr="003B4362">
        <w:rPr>
          <w:rFonts w:eastAsia="Calibri"/>
          <w:szCs w:val="24"/>
        </w:rPr>
        <w:t xml:space="preserve"> system (i.e.,</w:t>
      </w:r>
      <w:bookmarkStart w:id="1046" w:name="_Hlk118199018"/>
      <w:r w:rsidR="009A2221" w:rsidRPr="003B4362">
        <w:rPr>
          <w:rFonts w:eastAsia="Calibri"/>
          <w:szCs w:val="24"/>
        </w:rPr>
        <w:t xml:space="preserve"> </w:t>
      </w:r>
      <w:bookmarkStart w:id="1047" w:name="_Hlk118199265"/>
      <w:r w:rsidR="009A2221" w:rsidRPr="003B4362">
        <w:rPr>
          <w:rFonts w:eastAsia="Calibri"/>
          <w:szCs w:val="24"/>
        </w:rPr>
        <w:t>after evaluating re-optimiz</w:t>
      </w:r>
      <w:bookmarkEnd w:id="1046"/>
      <w:r w:rsidR="009A2221" w:rsidRPr="003B4362">
        <w:rPr>
          <w:rFonts w:eastAsia="Calibri"/>
          <w:szCs w:val="24"/>
        </w:rPr>
        <w:t>ed</w:t>
      </w:r>
      <w:r w:rsidRPr="003B4362">
        <w:rPr>
          <w:rFonts w:eastAsia="Calibri"/>
          <w:szCs w:val="24"/>
        </w:rPr>
        <w:t xml:space="preserve"> </w:t>
      </w:r>
      <w:bookmarkEnd w:id="1047"/>
      <w:r w:rsidR="00F97A4D" w:rsidRPr="003B4362">
        <w:rPr>
          <w:rFonts w:eastAsia="Calibri"/>
          <w:szCs w:val="24"/>
        </w:rPr>
        <w:t>OCCT</w:t>
      </w:r>
      <w:r w:rsidRPr="003B4362">
        <w:rPr>
          <w:rFonts w:eastAsia="Calibri"/>
          <w:szCs w:val="24"/>
        </w:rPr>
        <w:t>).</w:t>
      </w:r>
    </w:p>
    <w:p w14:paraId="05A5A1DB" w14:textId="61800926" w:rsidR="005451CE" w:rsidRPr="003B4362" w:rsidRDefault="005451CE" w:rsidP="005451CE">
      <w:pPr>
        <w:spacing w:before="240" w:after="240"/>
        <w:ind w:left="1440" w:hanging="720"/>
        <w:rPr>
          <w:rFonts w:eastAsia="Calibri"/>
        </w:rPr>
      </w:pPr>
      <w:r w:rsidRPr="003B4362">
        <w:rPr>
          <w:rFonts w:eastAsia="Calibri"/>
        </w:rPr>
        <w:t>c)</w:t>
      </w:r>
      <w:r w:rsidRPr="003B4362">
        <w:rPr>
          <w:rFonts w:eastAsia="Calibri"/>
        </w:rPr>
        <w:tab/>
      </w:r>
      <w:bookmarkStart w:id="1048" w:name="_Hlk118199491"/>
      <w:r w:rsidR="009A2221" w:rsidRPr="003B4362">
        <w:rPr>
          <w:rFonts w:eastAsia="Calibri"/>
        </w:rPr>
        <w:t>Per</w:t>
      </w:r>
      <w:bookmarkStart w:id="1049" w:name="_Hlk118199580"/>
      <w:r w:rsidR="009A2221" w:rsidRPr="003B4362">
        <w:rPr>
          <w:rFonts w:eastAsia="Calibri"/>
        </w:rPr>
        <w:t xml:space="preserve">forming Corrosion Control </w:t>
      </w:r>
      <w:r w:rsidRPr="003B4362">
        <w:rPr>
          <w:rFonts w:eastAsia="Calibri"/>
        </w:rPr>
        <w:t>Studies</w:t>
      </w:r>
      <w:bookmarkEnd w:id="1048"/>
    </w:p>
    <w:p w14:paraId="4481E92F" w14:textId="43DAEC44" w:rsidR="00FD6555" w:rsidRPr="003B4362" w:rsidRDefault="005451CE" w:rsidP="005451CE">
      <w:pPr>
        <w:spacing w:before="240" w:after="240"/>
        <w:ind w:left="2160" w:hanging="720"/>
        <w:rPr>
          <w:rFonts w:eastAsia="Calibri"/>
        </w:rPr>
      </w:pPr>
      <w:r w:rsidRPr="003B4362">
        <w:rPr>
          <w:rFonts w:eastAsia="Calibri"/>
        </w:rPr>
        <w:t>1)</w:t>
      </w:r>
      <w:bookmarkEnd w:id="1049"/>
      <w:r w:rsidRPr="003B4362">
        <w:rPr>
          <w:rFonts w:eastAsia="Calibri"/>
        </w:rPr>
        <w:tab/>
      </w:r>
      <w:bookmarkStart w:id="1050" w:name="_Hlk118199770"/>
      <w:r w:rsidR="00914AD8" w:rsidRPr="003B4362">
        <w:rPr>
          <w:szCs w:val="24"/>
        </w:rPr>
        <w:t xml:space="preserve">A </w:t>
      </w:r>
      <w:bookmarkStart w:id="1051" w:name="_Hlk118200196"/>
      <w:r w:rsidR="00914AD8" w:rsidRPr="003B4362">
        <w:rPr>
          <w:szCs w:val="24"/>
        </w:rPr>
        <w:t>supplier</w:t>
      </w:r>
      <w:r w:rsidR="00FD6555" w:rsidRPr="003B4362">
        <w:rPr>
          <w:szCs w:val="24"/>
        </w:rPr>
        <w:t xml:space="preserve"> </w:t>
      </w:r>
      <w:r w:rsidR="00914AD8" w:rsidRPr="003B4362">
        <w:rPr>
          <w:szCs w:val="24"/>
        </w:rPr>
        <w:t>not applying</w:t>
      </w:r>
      <w:r w:rsidR="00FD6555" w:rsidRPr="003B4362">
        <w:rPr>
          <w:szCs w:val="24"/>
        </w:rPr>
        <w:t xml:space="preserve"> corrosion control treatment</w:t>
      </w:r>
      <w:bookmarkEnd w:id="1050"/>
      <w:bookmarkEnd w:id="1051"/>
      <w:r w:rsidR="00914AD8" w:rsidRPr="003B4362">
        <w:rPr>
          <w:szCs w:val="24"/>
        </w:rPr>
        <w:t xml:space="preserve"> </w:t>
      </w:r>
      <w:bookmarkStart w:id="1052" w:name="_Hlk118200320"/>
      <w:r w:rsidR="00BD79C8" w:rsidRPr="003B4362">
        <w:rPr>
          <w:szCs w:val="24"/>
        </w:rPr>
        <w:t xml:space="preserve">that is required to conduct </w:t>
      </w:r>
      <w:r w:rsidR="00FD6555" w:rsidRPr="003B4362">
        <w:rPr>
          <w:szCs w:val="24"/>
        </w:rPr>
        <w:t>corrosion control studies</w:t>
      </w:r>
      <w:bookmarkEnd w:id="1052"/>
      <w:r w:rsidR="00FD6555" w:rsidRPr="003B4362">
        <w:rPr>
          <w:szCs w:val="24"/>
        </w:rPr>
        <w:t xml:space="preserve"> </w:t>
      </w:r>
      <w:bookmarkStart w:id="1053" w:name="_Hlk118200369"/>
      <w:r w:rsidR="00FD6555" w:rsidRPr="003B4362">
        <w:rPr>
          <w:szCs w:val="24"/>
        </w:rPr>
        <w:t xml:space="preserve">must complete </w:t>
      </w:r>
      <w:r w:rsidR="00914AD8" w:rsidRPr="003B4362">
        <w:rPr>
          <w:szCs w:val="24"/>
        </w:rPr>
        <w:t>certain actions</w:t>
      </w:r>
      <w:bookmarkEnd w:id="1053"/>
      <w:r w:rsidR="00FD6555" w:rsidRPr="003B4362">
        <w:rPr>
          <w:szCs w:val="24"/>
        </w:rPr>
        <w:t>:</w:t>
      </w:r>
    </w:p>
    <w:p w14:paraId="3E3F0C00" w14:textId="15C3EBC3" w:rsidR="005451CE" w:rsidRPr="003B4362" w:rsidRDefault="00FD6555" w:rsidP="00FD6555">
      <w:pPr>
        <w:spacing w:before="240" w:after="240"/>
        <w:ind w:left="2880" w:hanging="720"/>
        <w:rPr>
          <w:rFonts w:eastAsia="Calibri"/>
        </w:rPr>
      </w:pPr>
      <w:r w:rsidRPr="003B4362">
        <w:rPr>
          <w:rFonts w:eastAsia="Calibri"/>
        </w:rPr>
        <w:t>A)</w:t>
      </w:r>
      <w:r w:rsidRPr="003B4362">
        <w:rPr>
          <w:rFonts w:eastAsia="Calibri"/>
        </w:rPr>
        <w:tab/>
      </w:r>
      <w:r w:rsidR="0041746F" w:rsidRPr="003B4362">
        <w:rPr>
          <w:rFonts w:eastAsia="Calibri"/>
        </w:rPr>
        <w:t xml:space="preserve">A </w:t>
      </w:r>
      <w:r w:rsidR="005451CE" w:rsidRPr="003B4362">
        <w:rPr>
          <w:rFonts w:eastAsia="Calibri"/>
        </w:rPr>
        <w:t xml:space="preserve">supplier </w:t>
      </w:r>
      <w:bookmarkStart w:id="1054" w:name="_Hlk118208585"/>
      <w:r w:rsidR="0041746F" w:rsidRPr="003B4362">
        <w:rPr>
          <w:szCs w:val="24"/>
        </w:rPr>
        <w:t>not applying corrosion control treatment</w:t>
      </w:r>
      <w:bookmarkEnd w:id="1054"/>
      <w:r w:rsidR="0041746F" w:rsidRPr="003B4362">
        <w:rPr>
          <w:szCs w:val="24"/>
        </w:rPr>
        <w:t xml:space="preserve"> </w:t>
      </w:r>
      <w:r w:rsidR="005451CE" w:rsidRPr="003B4362">
        <w:rPr>
          <w:rFonts w:eastAsia="Calibri"/>
        </w:rPr>
        <w:t xml:space="preserve">must evaluate </w:t>
      </w:r>
      <w:bookmarkStart w:id="1055" w:name="_Hlk114487290"/>
      <w:r w:rsidR="005451CE" w:rsidRPr="003B4362">
        <w:rPr>
          <w:rFonts w:eastAsia="Calibri"/>
        </w:rPr>
        <w:t xml:space="preserve">the effectiveness of </w:t>
      </w:r>
      <w:bookmarkStart w:id="1056" w:name="_Hlk114488622"/>
      <w:r w:rsidR="005451CE" w:rsidRPr="003B4362">
        <w:rPr>
          <w:rFonts w:eastAsia="Calibri"/>
        </w:rPr>
        <w:t>each of certain treatments and combinations of those treatments</w:t>
      </w:r>
      <w:bookmarkEnd w:id="1055"/>
      <w:r w:rsidR="005451CE" w:rsidRPr="003B4362">
        <w:rPr>
          <w:rFonts w:eastAsia="Calibri"/>
        </w:rPr>
        <w:t xml:space="preserve"> if appropriate to identify</w:t>
      </w:r>
      <w:bookmarkEnd w:id="1056"/>
      <w:r w:rsidR="005451CE" w:rsidRPr="003B4362">
        <w:rPr>
          <w:rFonts w:eastAsia="Calibri"/>
        </w:rPr>
        <w:t xml:space="preserve"> the </w:t>
      </w:r>
      <w:r w:rsidR="00BB05AF" w:rsidRPr="003B4362">
        <w:rPr>
          <w:rFonts w:eastAsia="Calibri"/>
        </w:rPr>
        <w:t xml:space="preserve">OCCT </w:t>
      </w:r>
      <w:r w:rsidR="005451CE" w:rsidRPr="003B4362">
        <w:rPr>
          <w:rFonts w:eastAsia="Calibri"/>
        </w:rPr>
        <w:t>for its system:</w:t>
      </w:r>
    </w:p>
    <w:p w14:paraId="13BC33BE" w14:textId="32177DA5" w:rsidR="005451CE" w:rsidRPr="003B4362" w:rsidRDefault="00BB05AF" w:rsidP="00B41735">
      <w:pPr>
        <w:spacing w:before="240" w:after="240"/>
        <w:ind w:left="3600" w:hanging="720"/>
        <w:rPr>
          <w:rFonts w:eastAsia="Calibri"/>
        </w:rPr>
      </w:pPr>
      <w:r w:rsidRPr="003B4362">
        <w:rPr>
          <w:rFonts w:eastAsia="Calibri"/>
        </w:rPr>
        <w:t>i</w:t>
      </w:r>
      <w:r w:rsidR="005451CE" w:rsidRPr="003B4362">
        <w:rPr>
          <w:rFonts w:eastAsia="Calibri"/>
        </w:rPr>
        <w:t>)</w:t>
      </w:r>
      <w:r w:rsidR="005451CE" w:rsidRPr="003B4362">
        <w:rPr>
          <w:rFonts w:eastAsia="Calibri"/>
        </w:rPr>
        <w:tab/>
        <w:t>A</w:t>
      </w:r>
      <w:bookmarkStart w:id="1057" w:name="_Hlk114491312"/>
      <w:r w:rsidR="005451CE" w:rsidRPr="003B4362">
        <w:rPr>
          <w:rFonts w:eastAsia="Calibri"/>
        </w:rPr>
        <w:t>djusting alkalinity and pH</w:t>
      </w:r>
      <w:bookmarkEnd w:id="1057"/>
      <w:r w:rsidR="005451CE" w:rsidRPr="003B4362">
        <w:rPr>
          <w:rFonts w:eastAsia="Calibri"/>
        </w:rPr>
        <w:t>;</w:t>
      </w:r>
    </w:p>
    <w:p w14:paraId="170FF8BF" w14:textId="7BB0D3B0" w:rsidR="005451CE" w:rsidRPr="003B4362" w:rsidRDefault="005451CE" w:rsidP="00B41735">
      <w:pPr>
        <w:spacing w:before="240" w:after="240"/>
        <w:ind w:left="3600" w:hanging="720"/>
        <w:rPr>
          <w:rFonts w:eastAsia="Calibri"/>
        </w:rPr>
      </w:pPr>
      <w:r w:rsidRPr="003B4362">
        <w:rPr>
          <w:rFonts w:eastAsia="Calibri"/>
        </w:rPr>
        <w:lastRenderedPageBreak/>
        <w:tab/>
      </w:r>
      <w:r w:rsidR="00BB05AF" w:rsidRPr="003B4362">
        <w:rPr>
          <w:rFonts w:eastAsia="Calibri"/>
        </w:rPr>
        <w:t>ii</w:t>
      </w:r>
      <w:r w:rsidRPr="003B4362">
        <w:rPr>
          <w:rFonts w:eastAsia="Calibri"/>
        </w:rPr>
        <w:t>)</w:t>
      </w:r>
      <w:r w:rsidRPr="003B4362">
        <w:rPr>
          <w:rFonts w:eastAsia="Calibri"/>
        </w:rPr>
        <w:tab/>
        <w:t>A</w:t>
      </w:r>
      <w:bookmarkStart w:id="1058" w:name="_Hlk114491466"/>
      <w:r w:rsidRPr="003B4362">
        <w:rPr>
          <w:rFonts w:eastAsia="Calibri"/>
        </w:rPr>
        <w:t xml:space="preserve">dding </w:t>
      </w:r>
      <w:r w:rsidR="00BB05AF" w:rsidRPr="003B4362">
        <w:rPr>
          <w:szCs w:val="24"/>
        </w:rPr>
        <w:t xml:space="preserve">an orthophosphate- </w:t>
      </w:r>
      <w:r w:rsidRPr="003B4362">
        <w:rPr>
          <w:rFonts w:eastAsia="Calibri"/>
        </w:rPr>
        <w:t>or silicate-based corrosion inhibitor</w:t>
      </w:r>
      <w:bookmarkEnd w:id="1058"/>
      <w:r w:rsidRPr="003B4362">
        <w:rPr>
          <w:rFonts w:eastAsia="Calibri"/>
        </w:rPr>
        <w:t xml:space="preserve"> at a concentration sufficient to maintain an effective </w:t>
      </w:r>
      <w:r w:rsidR="00BB05AF" w:rsidRPr="003B4362">
        <w:rPr>
          <w:szCs w:val="24"/>
        </w:rPr>
        <w:t xml:space="preserve">corrosion inhibitor </w:t>
      </w:r>
      <w:r w:rsidRPr="003B4362">
        <w:rPr>
          <w:rFonts w:eastAsia="Calibri"/>
        </w:rPr>
        <w:t>residual concentration in all test samples.</w:t>
      </w:r>
    </w:p>
    <w:p w14:paraId="04E14F0C" w14:textId="49B60F3B" w:rsidR="00BB05AF" w:rsidRPr="003B4362" w:rsidRDefault="00BB05AF" w:rsidP="00B41735">
      <w:pPr>
        <w:autoSpaceDE w:val="0"/>
        <w:autoSpaceDN w:val="0"/>
        <w:adjustRightInd w:val="0"/>
        <w:spacing w:before="240" w:after="240"/>
        <w:ind w:left="3600" w:hanging="720"/>
        <w:rPr>
          <w:szCs w:val="24"/>
        </w:rPr>
      </w:pPr>
      <w:r w:rsidRPr="003B4362">
        <w:rPr>
          <w:szCs w:val="24"/>
        </w:rPr>
        <w:t>iii)</w:t>
      </w:r>
      <w:r w:rsidRPr="003B4362">
        <w:rPr>
          <w:szCs w:val="24"/>
        </w:rPr>
        <w:tab/>
      </w:r>
      <w:r w:rsidR="00B41735" w:rsidRPr="003B4362">
        <w:rPr>
          <w:rFonts w:eastAsia="Calibri"/>
        </w:rPr>
        <w:t xml:space="preserve">Adding </w:t>
      </w:r>
      <w:r w:rsidRPr="003B4362">
        <w:rPr>
          <w:szCs w:val="24"/>
        </w:rPr>
        <w:t xml:space="preserve">an orthophosphate-based corrosion inhibitor at a concentration sufficient to maintain an orthophosphate residual concentration of 1 </w:t>
      </w:r>
      <w:bookmarkStart w:id="1059" w:name="_Hlk118214321"/>
      <w:r w:rsidRPr="003B4362">
        <w:rPr>
          <w:szCs w:val="24"/>
        </w:rPr>
        <w:t>mg/</w:t>
      </w:r>
      <w:bookmarkEnd w:id="1059"/>
      <w:r w:rsidR="008E72A6" w:rsidRPr="003B4362">
        <w:t xml:space="preserve"> L</w:t>
      </w:r>
      <w:r w:rsidRPr="003B4362">
        <w:rPr>
          <w:szCs w:val="24"/>
        </w:rPr>
        <w:t xml:space="preserve"> (as PO</w:t>
      </w:r>
      <w:r w:rsidRPr="003B4362">
        <w:rPr>
          <w:szCs w:val="24"/>
          <w:vertAlign w:val="subscript"/>
        </w:rPr>
        <w:t>4</w:t>
      </w:r>
      <w:r w:rsidRPr="003B4362">
        <w:rPr>
          <w:szCs w:val="24"/>
        </w:rPr>
        <w:t>) in all test samples; and</w:t>
      </w:r>
    </w:p>
    <w:p w14:paraId="52A24006" w14:textId="687333DB" w:rsidR="00BB05AF" w:rsidRPr="003B4362" w:rsidRDefault="00BB05AF" w:rsidP="00B41735">
      <w:pPr>
        <w:autoSpaceDE w:val="0"/>
        <w:autoSpaceDN w:val="0"/>
        <w:adjustRightInd w:val="0"/>
        <w:spacing w:before="240" w:after="240"/>
        <w:ind w:left="3600" w:hanging="720"/>
        <w:rPr>
          <w:szCs w:val="24"/>
        </w:rPr>
      </w:pPr>
      <w:r w:rsidRPr="003B4362">
        <w:rPr>
          <w:szCs w:val="24"/>
        </w:rPr>
        <w:t>iv)</w:t>
      </w:r>
      <w:r w:rsidRPr="003B4362">
        <w:rPr>
          <w:szCs w:val="24"/>
        </w:rPr>
        <w:tab/>
      </w:r>
      <w:r w:rsidR="00C24877" w:rsidRPr="003B4362">
        <w:rPr>
          <w:rFonts w:eastAsia="Calibri"/>
        </w:rPr>
        <w:t xml:space="preserve">Adding </w:t>
      </w:r>
      <w:r w:rsidRPr="003B4362">
        <w:rPr>
          <w:szCs w:val="24"/>
        </w:rPr>
        <w:t>an orthophosphate-based corrosion inhibitor at a concentration sufficient to maintain an orthophosphate residual concentration of 3 mg/</w:t>
      </w:r>
      <w:r w:rsidR="008E72A6" w:rsidRPr="003B4362">
        <w:t xml:space="preserve"> L</w:t>
      </w:r>
      <w:r w:rsidRPr="003B4362">
        <w:rPr>
          <w:szCs w:val="24"/>
        </w:rPr>
        <w:t xml:space="preserve"> (as PO</w:t>
      </w:r>
      <w:r w:rsidRPr="003B4362">
        <w:rPr>
          <w:szCs w:val="24"/>
          <w:vertAlign w:val="subscript"/>
        </w:rPr>
        <w:t>4</w:t>
      </w:r>
      <w:r w:rsidRPr="003B4362">
        <w:rPr>
          <w:szCs w:val="24"/>
        </w:rPr>
        <w:t>) in all test samples.</w:t>
      </w:r>
    </w:p>
    <w:p w14:paraId="5AC67B1F" w14:textId="26994834" w:rsidR="005451CE" w:rsidRPr="003B4362" w:rsidRDefault="00D75A80" w:rsidP="00D75A80">
      <w:pPr>
        <w:spacing w:before="240" w:after="240"/>
        <w:ind w:left="2880" w:hanging="720"/>
        <w:rPr>
          <w:rFonts w:eastAsia="Calibri"/>
        </w:rPr>
      </w:pPr>
      <w:r w:rsidRPr="003B4362">
        <w:rPr>
          <w:rFonts w:eastAsia="Calibri"/>
        </w:rPr>
        <w:t>B</w:t>
      </w:r>
      <w:r w:rsidR="005451CE" w:rsidRPr="003B4362">
        <w:rPr>
          <w:rFonts w:eastAsia="Calibri"/>
        </w:rPr>
        <w:t>)</w:t>
      </w:r>
      <w:r w:rsidR="005451CE" w:rsidRPr="003B4362">
        <w:rPr>
          <w:rFonts w:eastAsia="Calibri"/>
        </w:rPr>
        <w:tab/>
        <w:t>The supplier must evaluate each of the corrosion control treatments using pipe rig/loop tests; metal coupon tests; partial-system tests; or analyses based on documented analogous treatments in other systems of similar size, water chemistry, and distribution system configuration.</w:t>
      </w:r>
      <w:r w:rsidRPr="003B4362">
        <w:rPr>
          <w:szCs w:val="24"/>
        </w:rPr>
        <w:t xml:space="preserve">  </w:t>
      </w:r>
      <w:bookmarkStart w:id="1060" w:name="_Hlk118215848"/>
      <w:r w:rsidRPr="003B4362">
        <w:rPr>
          <w:szCs w:val="24"/>
        </w:rPr>
        <w:t>A</w:t>
      </w:r>
      <w:bookmarkStart w:id="1061" w:name="_Hlk118216382"/>
      <w:r w:rsidRPr="003B4362">
        <w:rPr>
          <w:szCs w:val="24"/>
        </w:rPr>
        <w:t xml:space="preserve"> large </w:t>
      </w:r>
      <w:r w:rsidR="00DC07ED" w:rsidRPr="003B4362">
        <w:rPr>
          <w:szCs w:val="24"/>
        </w:rPr>
        <w:t>or</w:t>
      </w:r>
      <w:r w:rsidRPr="003B4362">
        <w:rPr>
          <w:szCs w:val="24"/>
        </w:rPr>
        <w:t xml:space="preserve"> m</w:t>
      </w:r>
      <w:r w:rsidR="00C81BF7" w:rsidRPr="003B4362">
        <w:rPr>
          <w:szCs w:val="24"/>
        </w:rPr>
        <w:t>id</w:t>
      </w:r>
      <w:r w:rsidR="00DC07ED" w:rsidRPr="003B4362">
        <w:rPr>
          <w:szCs w:val="24"/>
        </w:rPr>
        <w:t>-sized</w:t>
      </w:r>
      <w:r w:rsidR="00C81BF7" w:rsidRPr="003B4362">
        <w:rPr>
          <w:szCs w:val="24"/>
        </w:rPr>
        <w:t xml:space="preserve"> supplier or a</w:t>
      </w:r>
      <w:r w:rsidR="00DC07ED" w:rsidRPr="003B4362">
        <w:rPr>
          <w:szCs w:val="24"/>
        </w:rPr>
        <w:t xml:space="preserve"> </w:t>
      </w:r>
      <w:r w:rsidRPr="003B4362">
        <w:rPr>
          <w:szCs w:val="24"/>
        </w:rPr>
        <w:t xml:space="preserve">small </w:t>
      </w:r>
      <w:r w:rsidR="00DC07ED" w:rsidRPr="003B4362">
        <w:rPr>
          <w:szCs w:val="24"/>
        </w:rPr>
        <w:t>CWS</w:t>
      </w:r>
      <w:r w:rsidRPr="003B4362">
        <w:rPr>
          <w:szCs w:val="24"/>
        </w:rPr>
        <w:t xml:space="preserve"> </w:t>
      </w:r>
      <w:r w:rsidR="00DC07ED" w:rsidRPr="003B4362">
        <w:rPr>
          <w:szCs w:val="24"/>
        </w:rPr>
        <w:t>or</w:t>
      </w:r>
      <w:r w:rsidRPr="003B4362">
        <w:rPr>
          <w:szCs w:val="24"/>
        </w:rPr>
        <w:t xml:space="preserve"> </w:t>
      </w:r>
      <w:r w:rsidR="00DC07ED" w:rsidRPr="003B4362">
        <w:rPr>
          <w:szCs w:val="24"/>
        </w:rPr>
        <w:t>NTNCWS supplier</w:t>
      </w:r>
      <w:r w:rsidRPr="003B4362">
        <w:rPr>
          <w:szCs w:val="24"/>
        </w:rPr>
        <w:t xml:space="preserve"> select</w:t>
      </w:r>
      <w:r w:rsidR="00DC07ED" w:rsidRPr="003B4362">
        <w:rPr>
          <w:szCs w:val="24"/>
        </w:rPr>
        <w:t>ing</w:t>
      </w:r>
      <w:r w:rsidRPr="003B4362">
        <w:rPr>
          <w:szCs w:val="24"/>
        </w:rPr>
        <w:t xml:space="preserve"> the corrosion control treatment option</w:t>
      </w:r>
      <w:bookmarkEnd w:id="1060"/>
      <w:bookmarkEnd w:id="1061"/>
      <w:r w:rsidRPr="003B4362">
        <w:rPr>
          <w:szCs w:val="24"/>
        </w:rPr>
        <w:t xml:space="preserve"> under Section </w:t>
      </w:r>
      <w:r w:rsidR="00DC07ED" w:rsidRPr="003B4362">
        <w:rPr>
          <w:szCs w:val="24"/>
        </w:rPr>
        <w:t>61</w:t>
      </w:r>
      <w:r w:rsidRPr="003B4362">
        <w:rPr>
          <w:szCs w:val="24"/>
        </w:rPr>
        <w:t>1.</w:t>
      </w:r>
      <w:r w:rsidR="00DC07ED" w:rsidRPr="003B4362">
        <w:rPr>
          <w:szCs w:val="24"/>
        </w:rPr>
        <w:t>36</w:t>
      </w:r>
      <w:r w:rsidRPr="003B4362">
        <w:rPr>
          <w:szCs w:val="24"/>
        </w:rPr>
        <w:t xml:space="preserve">3 </w:t>
      </w:r>
      <w:bookmarkStart w:id="1062" w:name="_Hlk118225157"/>
      <w:r w:rsidR="00DC07ED" w:rsidRPr="003B4362">
        <w:rPr>
          <w:szCs w:val="24"/>
        </w:rPr>
        <w:t>having</w:t>
      </w:r>
      <w:r w:rsidRPr="003B4362">
        <w:rPr>
          <w:szCs w:val="24"/>
        </w:rPr>
        <w:t xml:space="preserve"> lead service lines </w:t>
      </w:r>
      <w:r w:rsidR="00DC07ED" w:rsidRPr="003B4362">
        <w:rPr>
          <w:szCs w:val="24"/>
        </w:rPr>
        <w:t>and</w:t>
      </w:r>
      <w:r w:rsidRPr="003B4362">
        <w:rPr>
          <w:szCs w:val="24"/>
        </w:rPr>
        <w:t xml:space="preserve"> exceed</w:t>
      </w:r>
      <w:r w:rsidR="00DC07ED" w:rsidRPr="003B4362">
        <w:rPr>
          <w:szCs w:val="24"/>
        </w:rPr>
        <w:t>ing</w:t>
      </w:r>
      <w:r w:rsidRPr="003B4362">
        <w:rPr>
          <w:szCs w:val="24"/>
        </w:rPr>
        <w:t xml:space="preserve"> the lead action level</w:t>
      </w:r>
      <w:bookmarkEnd w:id="1062"/>
      <w:r w:rsidRPr="003B4362">
        <w:rPr>
          <w:szCs w:val="24"/>
        </w:rPr>
        <w:t xml:space="preserve"> must conduct pipe rig/loop studies using harvested </w:t>
      </w:r>
      <w:bookmarkStart w:id="1063" w:name="_Hlk118225962"/>
      <w:r w:rsidRPr="003B4362">
        <w:rPr>
          <w:szCs w:val="24"/>
        </w:rPr>
        <w:t xml:space="preserve">lead service lines from </w:t>
      </w:r>
      <w:r w:rsidR="00DC07ED" w:rsidRPr="003B4362">
        <w:rPr>
          <w:szCs w:val="24"/>
        </w:rPr>
        <w:t>its</w:t>
      </w:r>
      <w:r w:rsidRPr="003B4362">
        <w:rPr>
          <w:szCs w:val="24"/>
        </w:rPr>
        <w:t xml:space="preserve"> distribution system</w:t>
      </w:r>
      <w:bookmarkEnd w:id="1063"/>
      <w:r w:rsidRPr="003B4362">
        <w:rPr>
          <w:szCs w:val="24"/>
        </w:rPr>
        <w:t xml:space="preserve"> to assess the effectiveness of corrosion control treatment options on the existing pipe scale.  </w:t>
      </w:r>
      <w:bookmarkStart w:id="1064" w:name="_Hlk118226035"/>
      <w:r w:rsidR="009C371A" w:rsidRPr="003B4362">
        <w:rPr>
          <w:szCs w:val="24"/>
        </w:rPr>
        <w:t>T</w:t>
      </w:r>
      <w:bookmarkStart w:id="1065" w:name="_Hlk118226261"/>
      <w:r w:rsidR="009C371A" w:rsidRPr="003B4362">
        <w:rPr>
          <w:szCs w:val="24"/>
        </w:rPr>
        <w:t>he supplier may use</w:t>
      </w:r>
      <w:r w:rsidRPr="003B4362">
        <w:rPr>
          <w:szCs w:val="24"/>
        </w:rPr>
        <w:t xml:space="preserve"> metal coupon tests</w:t>
      </w:r>
      <w:bookmarkEnd w:id="1064"/>
      <w:bookmarkEnd w:id="1065"/>
      <w:r w:rsidR="009C371A" w:rsidRPr="003B4362">
        <w:rPr>
          <w:szCs w:val="24"/>
        </w:rPr>
        <w:t xml:space="preserve"> </w:t>
      </w:r>
      <w:r w:rsidRPr="003B4362">
        <w:rPr>
          <w:szCs w:val="24"/>
        </w:rPr>
        <w:t xml:space="preserve">as a screen to reduce the </w:t>
      </w:r>
      <w:bookmarkStart w:id="1066" w:name="_Hlk118226305"/>
      <w:bookmarkStart w:id="1067" w:name="_Hlk118226452"/>
      <w:r w:rsidRPr="003B4362">
        <w:rPr>
          <w:szCs w:val="24"/>
        </w:rPr>
        <w:t xml:space="preserve">number of options </w:t>
      </w:r>
      <w:r w:rsidR="009C371A" w:rsidRPr="003B4362">
        <w:rPr>
          <w:szCs w:val="24"/>
        </w:rPr>
        <w:t>the supplier</w:t>
      </w:r>
      <w:r w:rsidRPr="003B4362">
        <w:rPr>
          <w:szCs w:val="24"/>
        </w:rPr>
        <w:t xml:space="preserve"> evaluate</w:t>
      </w:r>
      <w:bookmarkEnd w:id="1066"/>
      <w:r w:rsidR="009C371A" w:rsidRPr="003B4362">
        <w:rPr>
          <w:szCs w:val="24"/>
        </w:rPr>
        <w:t>s</w:t>
      </w:r>
      <w:bookmarkEnd w:id="1067"/>
      <w:r w:rsidRPr="003B4362">
        <w:rPr>
          <w:szCs w:val="24"/>
        </w:rPr>
        <w:t xml:space="preserve"> using pipe rig/loop</w:t>
      </w:r>
      <w:r w:rsidR="008A5B96" w:rsidRPr="003B4362">
        <w:rPr>
          <w:szCs w:val="24"/>
        </w:rPr>
        <w:t xml:space="preserve"> test</w:t>
      </w:r>
      <w:r w:rsidRPr="003B4362">
        <w:rPr>
          <w:szCs w:val="24"/>
        </w:rPr>
        <w:t>s to the current conditions and two options.</w:t>
      </w:r>
    </w:p>
    <w:p w14:paraId="0B6E35E6" w14:textId="5F424E59" w:rsidR="005451CE" w:rsidRPr="003B4362" w:rsidRDefault="006E0635" w:rsidP="006E0635">
      <w:pPr>
        <w:spacing w:before="240" w:after="240"/>
        <w:ind w:left="2880" w:hanging="720"/>
        <w:rPr>
          <w:rFonts w:eastAsia="Calibri"/>
        </w:rPr>
      </w:pPr>
      <w:r w:rsidRPr="003B4362">
        <w:rPr>
          <w:rFonts w:eastAsia="Calibri"/>
        </w:rPr>
        <w:t>C</w:t>
      </w:r>
      <w:r w:rsidR="005451CE" w:rsidRPr="003B4362">
        <w:rPr>
          <w:rFonts w:eastAsia="Calibri"/>
        </w:rPr>
        <w:t>)</w:t>
      </w:r>
      <w:r w:rsidR="005451CE" w:rsidRPr="003B4362">
        <w:rPr>
          <w:rFonts w:eastAsia="Calibri"/>
        </w:rPr>
        <w:tab/>
        <w:t>The supplier must measure specific water quality parameters in any tests the supplier conducts under this subsection (c)</w:t>
      </w:r>
      <w:r w:rsidR="00A510FA" w:rsidRPr="003B4362">
        <w:rPr>
          <w:rFonts w:eastAsia="Calibri"/>
        </w:rPr>
        <w:t>(1)(C)</w:t>
      </w:r>
      <w:r w:rsidR="005451CE" w:rsidRPr="003B4362">
        <w:rPr>
          <w:rFonts w:eastAsia="Calibri"/>
        </w:rPr>
        <w:t xml:space="preserve"> before and after evaluating the corrosion control treatments in subsection</w:t>
      </w:r>
      <w:r w:rsidRPr="003B4362">
        <w:rPr>
          <w:rFonts w:eastAsia="Calibri"/>
        </w:rPr>
        <w:t>s</w:t>
      </w:r>
      <w:r w:rsidRPr="003B4362">
        <w:rPr>
          <w:szCs w:val="24"/>
        </w:rPr>
        <w:t xml:space="preserve"> (c)(1)(A) and (c)(1)(B)</w:t>
      </w:r>
      <w:r w:rsidR="005451CE" w:rsidRPr="003B4362">
        <w:rPr>
          <w:rFonts w:eastAsia="Calibri"/>
        </w:rPr>
        <w:t>:</w:t>
      </w:r>
    </w:p>
    <w:p w14:paraId="1E165FAB" w14:textId="0DC49336" w:rsidR="005451CE" w:rsidRPr="003B4362" w:rsidRDefault="0052021D" w:rsidP="0052021D">
      <w:pPr>
        <w:spacing w:before="240" w:after="240"/>
        <w:ind w:left="3600" w:hanging="720"/>
        <w:rPr>
          <w:rFonts w:eastAsia="Calibri"/>
        </w:rPr>
      </w:pPr>
      <w:r w:rsidRPr="003B4362">
        <w:rPr>
          <w:rFonts w:eastAsia="Calibri"/>
        </w:rPr>
        <w:t>i</w:t>
      </w:r>
      <w:r w:rsidR="005451CE" w:rsidRPr="003B4362">
        <w:rPr>
          <w:rFonts w:eastAsia="Calibri"/>
        </w:rPr>
        <w:t>)</w:t>
      </w:r>
      <w:r w:rsidR="005451CE" w:rsidRPr="003B4362">
        <w:rPr>
          <w:rFonts w:eastAsia="Calibri"/>
        </w:rPr>
        <w:tab/>
        <w:t>Lead;</w:t>
      </w:r>
    </w:p>
    <w:p w14:paraId="5B60F5EA" w14:textId="49504127" w:rsidR="005451CE" w:rsidRPr="003B4362" w:rsidRDefault="0052021D" w:rsidP="0052021D">
      <w:pPr>
        <w:spacing w:before="240" w:after="240"/>
        <w:ind w:left="3600" w:hanging="720"/>
        <w:rPr>
          <w:rFonts w:eastAsia="Calibri"/>
        </w:rPr>
      </w:pPr>
      <w:r w:rsidRPr="003B4362">
        <w:rPr>
          <w:rFonts w:eastAsia="Calibri"/>
        </w:rPr>
        <w:t>ii</w:t>
      </w:r>
      <w:r w:rsidR="005451CE" w:rsidRPr="003B4362">
        <w:rPr>
          <w:rFonts w:eastAsia="Calibri"/>
        </w:rPr>
        <w:t>)</w:t>
      </w:r>
      <w:r w:rsidR="005451CE" w:rsidRPr="003B4362">
        <w:rPr>
          <w:rFonts w:eastAsia="Calibri"/>
        </w:rPr>
        <w:tab/>
        <w:t>Copper;</w:t>
      </w:r>
    </w:p>
    <w:p w14:paraId="31C70732" w14:textId="26E05A66" w:rsidR="005451CE" w:rsidRPr="003B4362" w:rsidRDefault="0052021D" w:rsidP="0052021D">
      <w:pPr>
        <w:spacing w:before="240" w:after="240"/>
        <w:ind w:left="3600" w:hanging="720"/>
        <w:rPr>
          <w:rFonts w:eastAsia="Calibri"/>
        </w:rPr>
      </w:pPr>
      <w:r w:rsidRPr="003B4362">
        <w:rPr>
          <w:rFonts w:eastAsia="Calibri"/>
        </w:rPr>
        <w:t>iii</w:t>
      </w:r>
      <w:r w:rsidR="005451CE" w:rsidRPr="003B4362">
        <w:rPr>
          <w:rFonts w:eastAsia="Calibri"/>
        </w:rPr>
        <w:t>)</w:t>
      </w:r>
      <w:r w:rsidR="005451CE" w:rsidRPr="003B4362">
        <w:rPr>
          <w:rFonts w:eastAsia="Calibri"/>
        </w:rPr>
        <w:tab/>
        <w:t>pH;</w:t>
      </w:r>
    </w:p>
    <w:p w14:paraId="3B6BE64D" w14:textId="07F8BDBF" w:rsidR="005451CE" w:rsidRPr="003B4362" w:rsidRDefault="0052021D" w:rsidP="0052021D">
      <w:pPr>
        <w:spacing w:before="240" w:after="240"/>
        <w:ind w:left="3600" w:hanging="720"/>
        <w:rPr>
          <w:rFonts w:eastAsia="Calibri"/>
        </w:rPr>
      </w:pPr>
      <w:r w:rsidRPr="003B4362">
        <w:rPr>
          <w:rFonts w:eastAsia="Calibri"/>
        </w:rPr>
        <w:t>iv</w:t>
      </w:r>
      <w:r w:rsidR="005451CE" w:rsidRPr="003B4362">
        <w:rPr>
          <w:rFonts w:eastAsia="Calibri"/>
        </w:rPr>
        <w:t>)</w:t>
      </w:r>
      <w:r w:rsidR="005451CE" w:rsidRPr="003B4362">
        <w:rPr>
          <w:rFonts w:eastAsia="Calibri"/>
        </w:rPr>
        <w:tab/>
        <w:t>Alkalinity;</w:t>
      </w:r>
    </w:p>
    <w:p w14:paraId="7F923B8A" w14:textId="24DE7665" w:rsidR="005451CE" w:rsidRPr="003B4362" w:rsidRDefault="0052021D" w:rsidP="0052021D">
      <w:pPr>
        <w:spacing w:before="240" w:after="240"/>
        <w:ind w:left="3600" w:hanging="720"/>
        <w:rPr>
          <w:rFonts w:eastAsia="Calibri"/>
        </w:rPr>
      </w:pPr>
      <w:r w:rsidRPr="003B4362">
        <w:rPr>
          <w:rFonts w:eastAsia="Calibri"/>
        </w:rPr>
        <w:t>v</w:t>
      </w:r>
      <w:r w:rsidR="005451CE" w:rsidRPr="003B4362">
        <w:rPr>
          <w:rFonts w:eastAsia="Calibri"/>
        </w:rPr>
        <w:t>)</w:t>
      </w:r>
      <w:r w:rsidR="005451CE" w:rsidRPr="003B4362">
        <w:rPr>
          <w:rFonts w:eastAsia="Calibri"/>
        </w:rPr>
        <w:tab/>
        <w:t xml:space="preserve">Orthophosphate </w:t>
      </w:r>
      <w:r w:rsidRPr="003B4362">
        <w:rPr>
          <w:szCs w:val="24"/>
        </w:rPr>
        <w:t>as PO</w:t>
      </w:r>
      <w:r w:rsidRPr="003B4362">
        <w:rPr>
          <w:szCs w:val="24"/>
          <w:vertAlign w:val="subscript"/>
        </w:rPr>
        <w:t>4</w:t>
      </w:r>
      <w:r w:rsidRPr="003B4362">
        <w:rPr>
          <w:szCs w:val="24"/>
        </w:rPr>
        <w:t xml:space="preserve"> </w:t>
      </w:r>
      <w:r w:rsidR="005451CE" w:rsidRPr="003B4362">
        <w:rPr>
          <w:rFonts w:eastAsia="Calibri"/>
        </w:rPr>
        <w:t>(</w:t>
      </w:r>
      <w:bookmarkStart w:id="1068" w:name="_Hlk114492278"/>
      <w:r w:rsidR="005451CE" w:rsidRPr="003B4362">
        <w:rPr>
          <w:rFonts w:eastAsia="Calibri"/>
        </w:rPr>
        <w:t>when the supplier uses an</w:t>
      </w:r>
      <w:r w:rsidRPr="003B4362">
        <w:rPr>
          <w:szCs w:val="24"/>
        </w:rPr>
        <w:t xml:space="preserve"> orthophosphate-based</w:t>
      </w:r>
      <w:r w:rsidRPr="003B4362">
        <w:rPr>
          <w:rFonts w:eastAsia="Calibri"/>
        </w:rPr>
        <w:t xml:space="preserve"> </w:t>
      </w:r>
      <w:r w:rsidR="005451CE" w:rsidRPr="003B4362">
        <w:rPr>
          <w:rFonts w:eastAsia="Calibri"/>
        </w:rPr>
        <w:t>inhibitor</w:t>
      </w:r>
      <w:bookmarkEnd w:id="1068"/>
      <w:r w:rsidR="005451CE" w:rsidRPr="003B4362">
        <w:rPr>
          <w:rFonts w:eastAsia="Calibri"/>
        </w:rPr>
        <w:t>);</w:t>
      </w:r>
      <w:r w:rsidR="008C19CE" w:rsidRPr="003B4362">
        <w:rPr>
          <w:rFonts w:eastAsia="Calibri"/>
        </w:rPr>
        <w:t xml:space="preserve"> and</w:t>
      </w:r>
    </w:p>
    <w:p w14:paraId="28030DC0" w14:textId="6AB70E3E" w:rsidR="005451CE" w:rsidRPr="003B4362" w:rsidRDefault="0052021D" w:rsidP="0052021D">
      <w:pPr>
        <w:spacing w:before="240" w:after="240"/>
        <w:ind w:left="3600" w:hanging="720"/>
        <w:rPr>
          <w:rFonts w:eastAsia="Calibri"/>
        </w:rPr>
      </w:pPr>
      <w:r w:rsidRPr="003B4362">
        <w:rPr>
          <w:rFonts w:eastAsia="Calibri"/>
        </w:rPr>
        <w:lastRenderedPageBreak/>
        <w:t>vi</w:t>
      </w:r>
      <w:r w:rsidR="005451CE" w:rsidRPr="003B4362">
        <w:rPr>
          <w:rFonts w:eastAsia="Calibri"/>
        </w:rPr>
        <w:t>)</w:t>
      </w:r>
      <w:r w:rsidR="005451CE" w:rsidRPr="003B4362">
        <w:rPr>
          <w:rFonts w:eastAsia="Calibri"/>
        </w:rPr>
        <w:tab/>
        <w:t>Silicate (when the supplier uses an inhibitor containing a silicate compound)</w:t>
      </w:r>
      <w:r w:rsidR="008C19CE" w:rsidRPr="003B4362">
        <w:rPr>
          <w:szCs w:val="24"/>
        </w:rPr>
        <w:t>.</w:t>
      </w:r>
    </w:p>
    <w:p w14:paraId="04E5EA04" w14:textId="7C0255FE" w:rsidR="005451CE" w:rsidRPr="003B4362" w:rsidRDefault="008C19CE" w:rsidP="00D45C30">
      <w:pPr>
        <w:spacing w:before="240" w:after="240"/>
        <w:ind w:left="2880" w:hanging="720"/>
        <w:rPr>
          <w:rFonts w:eastAsia="Calibri"/>
        </w:rPr>
      </w:pPr>
      <w:r w:rsidRPr="003B4362">
        <w:rPr>
          <w:rFonts w:eastAsia="Calibri"/>
        </w:rPr>
        <w:t>D</w:t>
      </w:r>
      <w:r w:rsidR="005451CE" w:rsidRPr="003B4362">
        <w:rPr>
          <w:rFonts w:eastAsia="Calibri"/>
        </w:rPr>
        <w:t>)</w:t>
      </w:r>
      <w:r w:rsidR="005451CE" w:rsidRPr="003B4362">
        <w:rPr>
          <w:rFonts w:eastAsia="Calibri"/>
        </w:rPr>
        <w:tab/>
        <w:t xml:space="preserve">The supplier must identify all chemical or physical constraints that limit or </w:t>
      </w:r>
      <w:bookmarkStart w:id="1069" w:name="_Hlk114492486"/>
      <w:r w:rsidR="005451CE" w:rsidRPr="003B4362">
        <w:rPr>
          <w:rFonts w:eastAsia="Calibri"/>
        </w:rPr>
        <w:t>prohibit using any particular corrosion control treatment</w:t>
      </w:r>
      <w:bookmarkEnd w:id="1069"/>
      <w:r w:rsidR="005451CE" w:rsidRPr="003B4362">
        <w:rPr>
          <w:rFonts w:eastAsia="Calibri"/>
        </w:rPr>
        <w:t xml:space="preserve"> and </w:t>
      </w:r>
      <w:bookmarkStart w:id="1070" w:name="_Hlk114494828"/>
      <w:r w:rsidR="005451CE" w:rsidRPr="003B4362">
        <w:rPr>
          <w:rFonts w:eastAsia="Calibri"/>
        </w:rPr>
        <w:t>document those constraints</w:t>
      </w:r>
      <w:bookmarkEnd w:id="1070"/>
      <w:r w:rsidR="005451CE" w:rsidRPr="003B4362">
        <w:rPr>
          <w:rFonts w:eastAsia="Calibri"/>
        </w:rPr>
        <w:t>:</w:t>
      </w:r>
    </w:p>
    <w:p w14:paraId="034F3E00" w14:textId="17FAC4B8" w:rsidR="005451CE" w:rsidRPr="003B4362" w:rsidRDefault="00D45C30" w:rsidP="00D45C30">
      <w:pPr>
        <w:spacing w:before="240" w:after="240"/>
        <w:ind w:left="3600" w:hanging="720"/>
        <w:rPr>
          <w:rFonts w:eastAsia="Calibri"/>
        </w:rPr>
      </w:pPr>
      <w:r w:rsidRPr="003B4362">
        <w:rPr>
          <w:rFonts w:eastAsia="Calibri"/>
        </w:rPr>
        <w:t>i</w:t>
      </w:r>
      <w:r w:rsidR="005451CE" w:rsidRPr="003B4362">
        <w:rPr>
          <w:rFonts w:eastAsia="Calibri"/>
        </w:rPr>
        <w:t>)</w:t>
      </w:r>
      <w:r w:rsidR="005451CE" w:rsidRPr="003B4362">
        <w:rPr>
          <w:rFonts w:eastAsia="Calibri"/>
        </w:rPr>
        <w:tab/>
        <w:t>W</w:t>
      </w:r>
      <w:bookmarkStart w:id="1071" w:name="_Hlk114495094"/>
      <w:r w:rsidR="005451CE" w:rsidRPr="003B4362">
        <w:rPr>
          <w:rFonts w:eastAsia="Calibri"/>
        </w:rPr>
        <w:t xml:space="preserve">ith data and </w:t>
      </w:r>
      <w:r w:rsidR="00341A28" w:rsidRPr="003B4362">
        <w:rPr>
          <w:rFonts w:eastAsia="Calibri"/>
        </w:rPr>
        <w:t xml:space="preserve">documents </w:t>
      </w:r>
      <w:bookmarkEnd w:id="1071"/>
      <w:r w:rsidR="005451CE" w:rsidRPr="003B4362">
        <w:rPr>
          <w:rFonts w:eastAsia="Calibri"/>
        </w:rPr>
        <w:t xml:space="preserve">showing that a particular corrosion control </w:t>
      </w:r>
      <w:bookmarkStart w:id="1072" w:name="_Hlk114495164"/>
      <w:r w:rsidR="005451CE" w:rsidRPr="003B4362">
        <w:rPr>
          <w:rFonts w:eastAsia="Calibri"/>
        </w:rPr>
        <w:t>treatment adversely affected other</w:t>
      </w:r>
      <w:bookmarkEnd w:id="1072"/>
      <w:r w:rsidR="005451CE" w:rsidRPr="003B4362">
        <w:rPr>
          <w:rFonts w:eastAsia="Calibri"/>
        </w:rPr>
        <w:t xml:space="preserve"> </w:t>
      </w:r>
      <w:r w:rsidR="00BD79C8" w:rsidRPr="003B4362">
        <w:rPr>
          <w:rFonts w:eastAsia="Calibri"/>
        </w:rPr>
        <w:t xml:space="preserve">drinking </w:t>
      </w:r>
      <w:r w:rsidR="005451CE" w:rsidRPr="003B4362">
        <w:rPr>
          <w:rFonts w:eastAsia="Calibri"/>
        </w:rPr>
        <w:t xml:space="preserve">water treatment processes </w:t>
      </w:r>
      <w:bookmarkStart w:id="1073" w:name="_Hlk114495246"/>
      <w:r w:rsidR="005451CE" w:rsidRPr="003B4362">
        <w:rPr>
          <w:rFonts w:eastAsia="Calibri"/>
        </w:rPr>
        <w:t xml:space="preserve">when </w:t>
      </w:r>
      <w:r w:rsidR="00BD79C8" w:rsidRPr="003B4362">
        <w:rPr>
          <w:rFonts w:eastAsia="Calibri"/>
        </w:rPr>
        <w:t xml:space="preserve">that treatment was used by </w:t>
      </w:r>
      <w:r w:rsidR="005451CE" w:rsidRPr="003B4362">
        <w:rPr>
          <w:rFonts w:eastAsia="Calibri"/>
        </w:rPr>
        <w:t>another supplier with water having comparable water quality characteristics</w:t>
      </w:r>
      <w:bookmarkEnd w:id="1073"/>
      <w:r w:rsidRPr="003B4362">
        <w:rPr>
          <w:rFonts w:eastAsia="Calibri"/>
        </w:rPr>
        <w:t>.</w:t>
      </w:r>
      <w:r w:rsidR="00BD79C8" w:rsidRPr="003B4362">
        <w:rPr>
          <w:rFonts w:eastAsia="Calibri"/>
        </w:rPr>
        <w:t xml:space="preserve">  </w:t>
      </w:r>
      <w:r w:rsidR="00941AAC" w:rsidRPr="003B4362">
        <w:rPr>
          <w:rFonts w:eastAsia="Calibri"/>
        </w:rPr>
        <w:t>S</w:t>
      </w:r>
      <w:r w:rsidR="00541CD5" w:rsidRPr="003B4362">
        <w:rPr>
          <w:rFonts w:eastAsia="Calibri"/>
        </w:rPr>
        <w:t xml:space="preserve">ystems </w:t>
      </w:r>
      <w:r w:rsidR="00BD79C8" w:rsidRPr="003B4362">
        <w:rPr>
          <w:rFonts w:eastAsia="Calibri"/>
        </w:rPr>
        <w:t>using coupon studies to screen or pipe loop/rig studies to evaluate treatment options must not exclude treatment strategies from the studies based on the constraints identified in this section.</w:t>
      </w:r>
    </w:p>
    <w:p w14:paraId="120A2F5D" w14:textId="50E3DEF1" w:rsidR="005451CE" w:rsidRPr="003B4362" w:rsidRDefault="00D45C30" w:rsidP="00D45C30">
      <w:pPr>
        <w:spacing w:before="240" w:after="240"/>
        <w:ind w:left="3600" w:hanging="720"/>
        <w:rPr>
          <w:rFonts w:eastAsia="Calibri"/>
        </w:rPr>
      </w:pPr>
      <w:r w:rsidRPr="003B4362">
        <w:rPr>
          <w:rFonts w:eastAsia="Calibri"/>
        </w:rPr>
        <w:t>ii</w:t>
      </w:r>
      <w:r w:rsidR="005451CE" w:rsidRPr="003B4362">
        <w:rPr>
          <w:rFonts w:eastAsia="Calibri"/>
        </w:rPr>
        <w:t>)</w:t>
      </w:r>
      <w:r w:rsidR="005451CE" w:rsidRPr="003B4362">
        <w:rPr>
          <w:rFonts w:eastAsia="Calibri"/>
        </w:rPr>
        <w:tab/>
        <w:t xml:space="preserve">With data and </w:t>
      </w:r>
      <w:r w:rsidR="00341A28" w:rsidRPr="003B4362">
        <w:rPr>
          <w:rFonts w:eastAsia="Calibri"/>
        </w:rPr>
        <w:t xml:space="preserve">documents </w:t>
      </w:r>
      <w:r w:rsidR="005451CE" w:rsidRPr="003B4362">
        <w:rPr>
          <w:rFonts w:eastAsia="Calibri"/>
        </w:rPr>
        <w:t xml:space="preserve">demonstrating that the supplier previously evaluated a particular corrosion control treatment, </w:t>
      </w:r>
      <w:bookmarkStart w:id="1074" w:name="_Hlk114498007"/>
      <w:r w:rsidR="005451CE" w:rsidRPr="003B4362">
        <w:rPr>
          <w:rFonts w:eastAsia="Calibri"/>
        </w:rPr>
        <w:t xml:space="preserve">finding either that the treatment is ineffective or adversely affects other </w:t>
      </w:r>
      <w:r w:rsidRPr="003B4362">
        <w:rPr>
          <w:szCs w:val="24"/>
        </w:rPr>
        <w:t xml:space="preserve">drinking </w:t>
      </w:r>
      <w:r w:rsidR="005451CE" w:rsidRPr="003B4362">
        <w:rPr>
          <w:rFonts w:eastAsia="Calibri"/>
        </w:rPr>
        <w:t>water quality treatment processes</w:t>
      </w:r>
      <w:bookmarkEnd w:id="1074"/>
      <w:r w:rsidR="005451CE" w:rsidRPr="003B4362">
        <w:rPr>
          <w:rFonts w:eastAsia="Calibri"/>
        </w:rPr>
        <w:t>.</w:t>
      </w:r>
      <w:r w:rsidR="00BD79C8" w:rsidRPr="003B4362">
        <w:rPr>
          <w:rFonts w:eastAsia="Calibri"/>
        </w:rPr>
        <w:t xml:space="preserve">  </w:t>
      </w:r>
      <w:r w:rsidR="00941AAC" w:rsidRPr="003B4362">
        <w:rPr>
          <w:rFonts w:eastAsia="Calibri"/>
        </w:rPr>
        <w:t>S</w:t>
      </w:r>
      <w:r w:rsidR="00541CD5" w:rsidRPr="003B4362">
        <w:rPr>
          <w:rFonts w:eastAsia="Calibri"/>
        </w:rPr>
        <w:t xml:space="preserve">ystems </w:t>
      </w:r>
      <w:r w:rsidR="00BD79C8" w:rsidRPr="003B4362">
        <w:rPr>
          <w:rFonts w:eastAsia="Calibri"/>
        </w:rPr>
        <w:t>using coupon studies to screen or pipe loop/rig studies to evaluate treatment options must not exclude treatment strategies from the studies based on the constraints identified in this section unless the treatment was found to be ineffective in a previous pipe loop/rig study.</w:t>
      </w:r>
    </w:p>
    <w:p w14:paraId="2BC7C074" w14:textId="4F82E78A" w:rsidR="005451CE" w:rsidRPr="003B4362" w:rsidRDefault="00954AF7" w:rsidP="00954AF7">
      <w:pPr>
        <w:spacing w:before="240" w:after="240"/>
        <w:ind w:left="2880" w:hanging="720"/>
        <w:rPr>
          <w:rFonts w:eastAsia="Calibri"/>
        </w:rPr>
      </w:pPr>
      <w:r w:rsidRPr="003B4362">
        <w:rPr>
          <w:rFonts w:eastAsia="Calibri"/>
        </w:rPr>
        <w:t>E</w:t>
      </w:r>
      <w:r w:rsidR="005451CE" w:rsidRPr="003B4362">
        <w:rPr>
          <w:rFonts w:eastAsia="Calibri"/>
        </w:rPr>
        <w:t>)</w:t>
      </w:r>
      <w:r w:rsidR="005451CE" w:rsidRPr="003B4362">
        <w:rPr>
          <w:rFonts w:eastAsia="Calibri"/>
        </w:rPr>
        <w:tab/>
        <w:t xml:space="preserve">The supplier must evaluate the </w:t>
      </w:r>
      <w:bookmarkStart w:id="1075" w:name="_Hlk114498172"/>
      <w:r w:rsidR="005451CE" w:rsidRPr="003B4362">
        <w:rPr>
          <w:rFonts w:eastAsia="Calibri"/>
        </w:rPr>
        <w:t>effect of the evaluated corrosion control treatment chemicals</w:t>
      </w:r>
      <w:bookmarkEnd w:id="1075"/>
      <w:r w:rsidR="005451CE" w:rsidRPr="003B4362">
        <w:rPr>
          <w:rFonts w:eastAsia="Calibri"/>
        </w:rPr>
        <w:t xml:space="preserve"> on other water quality treatment processes.</w:t>
      </w:r>
      <w:r w:rsidRPr="003B4362">
        <w:rPr>
          <w:szCs w:val="24"/>
        </w:rPr>
        <w:t xml:space="preserve">  </w:t>
      </w:r>
      <w:r w:rsidR="006D2B45" w:rsidRPr="003B4362">
        <w:rPr>
          <w:szCs w:val="24"/>
        </w:rPr>
        <w:t>A supplier</w:t>
      </w:r>
      <w:r w:rsidRPr="003B4362">
        <w:rPr>
          <w:szCs w:val="24"/>
        </w:rPr>
        <w:t xml:space="preserve"> using </w:t>
      </w:r>
      <w:bookmarkStart w:id="1076" w:name="_Hlk118234752"/>
      <w:r w:rsidRPr="003B4362">
        <w:rPr>
          <w:szCs w:val="24"/>
        </w:rPr>
        <w:t>coupon studies to screen or pipe loop/rig studies to evaluate</w:t>
      </w:r>
      <w:bookmarkEnd w:id="1076"/>
      <w:r w:rsidRPr="003B4362">
        <w:rPr>
          <w:szCs w:val="24"/>
        </w:rPr>
        <w:t xml:space="preserve"> treatment options </w:t>
      </w:r>
      <w:r w:rsidR="006D2B45" w:rsidRPr="003B4362">
        <w:rPr>
          <w:szCs w:val="24"/>
        </w:rPr>
        <w:t>must</w:t>
      </w:r>
      <w:r w:rsidRPr="003B4362">
        <w:rPr>
          <w:szCs w:val="24"/>
        </w:rPr>
        <w:t xml:space="preserve"> not exclude treatment strategies from the studies based on the </w:t>
      </w:r>
      <w:bookmarkStart w:id="1077" w:name="_Hlk118235477"/>
      <w:r w:rsidRPr="003B4362">
        <w:rPr>
          <w:szCs w:val="24"/>
        </w:rPr>
        <w:t>effects</w:t>
      </w:r>
      <w:r w:rsidR="006D2B45" w:rsidRPr="003B4362">
        <w:rPr>
          <w:szCs w:val="24"/>
        </w:rPr>
        <w:t xml:space="preserve"> </w:t>
      </w:r>
      <w:r w:rsidR="0073367E" w:rsidRPr="003B4362">
        <w:rPr>
          <w:szCs w:val="24"/>
        </w:rPr>
        <w:t xml:space="preserve">the supplier identifies under </w:t>
      </w:r>
      <w:r w:rsidRPr="003B4362">
        <w:rPr>
          <w:szCs w:val="24"/>
        </w:rPr>
        <w:t xml:space="preserve">this </w:t>
      </w:r>
      <w:r w:rsidR="006D2B45" w:rsidRPr="003B4362">
        <w:rPr>
          <w:szCs w:val="24"/>
        </w:rPr>
        <w:t>S</w:t>
      </w:r>
      <w:r w:rsidRPr="003B4362">
        <w:rPr>
          <w:szCs w:val="24"/>
        </w:rPr>
        <w:t>ection</w:t>
      </w:r>
      <w:bookmarkEnd w:id="1077"/>
      <w:r w:rsidRPr="003B4362">
        <w:rPr>
          <w:szCs w:val="24"/>
        </w:rPr>
        <w:t>.</w:t>
      </w:r>
    </w:p>
    <w:p w14:paraId="292EFF6E" w14:textId="322E0F3F" w:rsidR="005451CE" w:rsidRPr="003B4362" w:rsidRDefault="0073367E" w:rsidP="0073367E">
      <w:pPr>
        <w:spacing w:before="240" w:after="240"/>
        <w:ind w:left="2880" w:hanging="720"/>
        <w:rPr>
          <w:rFonts w:eastAsia="Calibri"/>
        </w:rPr>
      </w:pPr>
      <w:r w:rsidRPr="003B4362">
        <w:rPr>
          <w:rFonts w:eastAsia="Calibri"/>
        </w:rPr>
        <w:t>F</w:t>
      </w:r>
      <w:r w:rsidR="005451CE" w:rsidRPr="003B4362">
        <w:rPr>
          <w:rFonts w:eastAsia="Calibri"/>
        </w:rPr>
        <w:t>)</w:t>
      </w:r>
      <w:r w:rsidR="005451CE" w:rsidRPr="003B4362">
        <w:rPr>
          <w:rFonts w:eastAsia="Calibri"/>
        </w:rPr>
        <w:tab/>
      </w:r>
      <w:bookmarkStart w:id="1078" w:name="_Hlk114498318"/>
      <w:r w:rsidR="005451CE" w:rsidRPr="003B4362">
        <w:rPr>
          <w:rFonts w:eastAsia="Calibri"/>
        </w:rPr>
        <w:t>Based on an analysis of the data the supplier generated</w:t>
      </w:r>
      <w:bookmarkEnd w:id="1078"/>
      <w:r w:rsidR="005451CE" w:rsidRPr="003B4362">
        <w:rPr>
          <w:rFonts w:eastAsia="Calibri"/>
        </w:rPr>
        <w:t xml:space="preserve"> during each evaluation, the supplier must </w:t>
      </w:r>
      <w:bookmarkStart w:id="1079" w:name="_Hlk114498432"/>
      <w:r w:rsidR="005451CE" w:rsidRPr="003B4362">
        <w:rPr>
          <w:rFonts w:eastAsia="Calibri"/>
        </w:rPr>
        <w:t>recommend in writing to the Agency the treatment option</w:t>
      </w:r>
      <w:bookmarkEnd w:id="1079"/>
      <w:r w:rsidR="005451CE" w:rsidRPr="003B4362">
        <w:rPr>
          <w:rFonts w:eastAsia="Calibri"/>
        </w:rPr>
        <w:t xml:space="preserve"> the corrosion control studies indicate constitutes </w:t>
      </w:r>
      <w:r w:rsidRPr="003B4362">
        <w:rPr>
          <w:rFonts w:eastAsia="Calibri"/>
        </w:rPr>
        <w:t xml:space="preserve">OCCT </w:t>
      </w:r>
      <w:bookmarkStart w:id="1080" w:name="_Hlk114498492"/>
      <w:r w:rsidR="005451CE" w:rsidRPr="003B4362">
        <w:rPr>
          <w:rFonts w:eastAsia="Calibri"/>
        </w:rPr>
        <w:t>for the supplier’s system</w:t>
      </w:r>
      <w:bookmarkEnd w:id="1080"/>
      <w:r w:rsidR="005451CE" w:rsidRPr="003B4362">
        <w:rPr>
          <w:rFonts w:eastAsia="Calibri"/>
        </w:rPr>
        <w:t>.  T</w:t>
      </w:r>
      <w:bookmarkStart w:id="1081" w:name="_Hlk114498660"/>
      <w:r w:rsidR="005451CE" w:rsidRPr="003B4362">
        <w:rPr>
          <w:rFonts w:eastAsia="Calibri"/>
        </w:rPr>
        <w:t>he supplier must give a rationale</w:t>
      </w:r>
      <w:bookmarkEnd w:id="1081"/>
      <w:r w:rsidR="005451CE" w:rsidRPr="003B4362">
        <w:rPr>
          <w:rFonts w:eastAsia="Calibri"/>
        </w:rPr>
        <w:t xml:space="preserve"> for its recommendation </w:t>
      </w:r>
      <w:bookmarkStart w:id="1082" w:name="_Hlk114498911"/>
      <w:r w:rsidR="005451CE" w:rsidRPr="003B4362">
        <w:rPr>
          <w:rFonts w:eastAsia="Calibri"/>
        </w:rPr>
        <w:t xml:space="preserve">together with all supporting </w:t>
      </w:r>
      <w:bookmarkStart w:id="1083" w:name="_Hlk114499117"/>
      <w:r w:rsidR="005451CE" w:rsidRPr="003B4362">
        <w:rPr>
          <w:rFonts w:eastAsia="Calibri"/>
        </w:rPr>
        <w:t>documentation</w:t>
      </w:r>
      <w:bookmarkEnd w:id="1082"/>
      <w:r w:rsidR="005451CE" w:rsidRPr="003B4362">
        <w:rPr>
          <w:rFonts w:eastAsia="Calibri"/>
        </w:rPr>
        <w:t xml:space="preserve"> subsections </w:t>
      </w:r>
      <w:r w:rsidR="00297C99" w:rsidRPr="003B4362">
        <w:rPr>
          <w:szCs w:val="24"/>
        </w:rPr>
        <w:t xml:space="preserve">(c)(2)(A) </w:t>
      </w:r>
      <w:r w:rsidR="005451CE" w:rsidRPr="003B4362">
        <w:rPr>
          <w:rFonts w:eastAsia="Calibri"/>
        </w:rPr>
        <w:t>through</w:t>
      </w:r>
      <w:r w:rsidR="00297C99" w:rsidRPr="003B4362">
        <w:rPr>
          <w:rFonts w:eastAsia="Calibri"/>
        </w:rPr>
        <w:t xml:space="preserve"> (c)(2)(E) specify</w:t>
      </w:r>
      <w:bookmarkEnd w:id="1083"/>
      <w:r w:rsidR="005451CE" w:rsidRPr="003B4362">
        <w:rPr>
          <w:rFonts w:eastAsia="Calibri"/>
        </w:rPr>
        <w:t>.</w:t>
      </w:r>
    </w:p>
    <w:p w14:paraId="777768A2" w14:textId="6899EC5F" w:rsidR="006704B4" w:rsidRPr="003B4362" w:rsidRDefault="006704B4" w:rsidP="006704B4">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bookmarkStart w:id="1084" w:name="_Hlk118241451"/>
      <w:r w:rsidRPr="003B4362">
        <w:rPr>
          <w:rFonts w:eastAsia="Calibri"/>
          <w:szCs w:val="24"/>
        </w:rPr>
        <w:t>A</w:t>
      </w:r>
      <w:bookmarkStart w:id="1085" w:name="_Hlk118241535"/>
      <w:r w:rsidRPr="003B4362">
        <w:rPr>
          <w:rFonts w:eastAsia="Calibri"/>
          <w:szCs w:val="24"/>
        </w:rPr>
        <w:t xml:space="preserve"> supplier applying corrosion control treatment</w:t>
      </w:r>
      <w:bookmarkEnd w:id="1084"/>
      <w:bookmarkEnd w:id="1085"/>
      <w:r w:rsidRPr="003B4362">
        <w:rPr>
          <w:rFonts w:eastAsia="Calibri"/>
          <w:szCs w:val="24"/>
        </w:rPr>
        <w:t xml:space="preserve"> </w:t>
      </w:r>
      <w:bookmarkStart w:id="1086" w:name="_Hlk118241599"/>
      <w:r w:rsidRPr="003B4362">
        <w:rPr>
          <w:rFonts w:eastAsia="Calibri"/>
          <w:szCs w:val="24"/>
        </w:rPr>
        <w:t>that must conduct corrosion control studies</w:t>
      </w:r>
      <w:bookmarkEnd w:id="1086"/>
      <w:r w:rsidRPr="003B4362">
        <w:rPr>
          <w:rFonts w:eastAsia="Calibri"/>
          <w:szCs w:val="24"/>
        </w:rPr>
        <w:t xml:space="preserve"> to determine re-optimized OCCT </w:t>
      </w:r>
      <w:bookmarkStart w:id="1087" w:name="_Hlk118241761"/>
      <w:r w:rsidRPr="003B4362">
        <w:rPr>
          <w:rFonts w:eastAsia="Calibri"/>
          <w:szCs w:val="24"/>
        </w:rPr>
        <w:t xml:space="preserve">must complete </w:t>
      </w:r>
      <w:r w:rsidR="00D935CE" w:rsidRPr="003B4362">
        <w:rPr>
          <w:rFonts w:eastAsia="Calibri"/>
          <w:szCs w:val="24"/>
        </w:rPr>
        <w:t>specific tasks</w:t>
      </w:r>
      <w:bookmarkEnd w:id="1087"/>
      <w:r w:rsidRPr="003B4362">
        <w:rPr>
          <w:rFonts w:eastAsia="Calibri"/>
          <w:szCs w:val="24"/>
        </w:rPr>
        <w:t>:</w:t>
      </w:r>
    </w:p>
    <w:p w14:paraId="3AF60A42" w14:textId="4F1B453D" w:rsidR="006704B4" w:rsidRPr="003B4362" w:rsidRDefault="006704B4" w:rsidP="006704B4">
      <w:pPr>
        <w:autoSpaceDE w:val="0"/>
        <w:autoSpaceDN w:val="0"/>
        <w:adjustRightInd w:val="0"/>
        <w:spacing w:before="240" w:after="240"/>
        <w:ind w:left="2880" w:hanging="720"/>
        <w:rPr>
          <w:rFonts w:eastAsia="Calibri"/>
          <w:szCs w:val="24"/>
        </w:rPr>
      </w:pPr>
      <w:r w:rsidRPr="003B4362">
        <w:rPr>
          <w:rFonts w:eastAsia="Calibri"/>
          <w:szCs w:val="24"/>
        </w:rPr>
        <w:lastRenderedPageBreak/>
        <w:t>A)</w:t>
      </w:r>
      <w:r w:rsidRPr="003B4362">
        <w:rPr>
          <w:rFonts w:eastAsia="Calibri"/>
          <w:szCs w:val="24"/>
        </w:rPr>
        <w:tab/>
        <w:t xml:space="preserve">The </w:t>
      </w:r>
      <w:r w:rsidR="001D2E6C" w:rsidRPr="003B4362">
        <w:rPr>
          <w:rFonts w:eastAsia="Calibri"/>
          <w:szCs w:val="24"/>
        </w:rPr>
        <w:t>supplier</w:t>
      </w:r>
      <w:r w:rsidRPr="003B4362">
        <w:rPr>
          <w:rFonts w:eastAsia="Calibri"/>
          <w:szCs w:val="24"/>
        </w:rPr>
        <w:t xml:space="preserve"> must evaluate the </w:t>
      </w:r>
      <w:bookmarkStart w:id="1088" w:name="_Hlk118277456"/>
      <w:r w:rsidRPr="003B4362">
        <w:rPr>
          <w:rFonts w:eastAsia="Calibri"/>
          <w:szCs w:val="24"/>
        </w:rPr>
        <w:t>eff</w:t>
      </w:r>
      <w:r w:rsidR="001D2E6C" w:rsidRPr="003B4362">
        <w:rPr>
          <w:rFonts w:eastAsia="Calibri"/>
          <w:szCs w:val="24"/>
        </w:rPr>
        <w:t>i</w:t>
      </w:r>
      <w:r w:rsidRPr="003B4362">
        <w:rPr>
          <w:rFonts w:eastAsia="Calibri"/>
          <w:szCs w:val="24"/>
        </w:rPr>
        <w:t>c</w:t>
      </w:r>
      <w:r w:rsidR="001D2E6C" w:rsidRPr="003B4362">
        <w:rPr>
          <w:rFonts w:eastAsia="Calibri"/>
          <w:szCs w:val="24"/>
        </w:rPr>
        <w:t>acy</w:t>
      </w:r>
      <w:r w:rsidRPr="003B4362">
        <w:rPr>
          <w:rFonts w:eastAsia="Calibri"/>
          <w:szCs w:val="24"/>
        </w:rPr>
        <w:t xml:space="preserve"> of </w:t>
      </w:r>
      <w:r w:rsidR="001D2E6C" w:rsidRPr="003B4362">
        <w:rPr>
          <w:rFonts w:eastAsia="Calibri"/>
          <w:szCs w:val="24"/>
        </w:rPr>
        <w:t>certain</w:t>
      </w:r>
      <w:r w:rsidRPr="003B4362">
        <w:rPr>
          <w:rFonts w:eastAsia="Calibri"/>
          <w:szCs w:val="24"/>
        </w:rPr>
        <w:t xml:space="preserve"> treatments</w:t>
      </w:r>
      <w:r w:rsidR="001D2E6C" w:rsidRPr="003B4362">
        <w:rPr>
          <w:rFonts w:eastAsia="Calibri"/>
          <w:szCs w:val="24"/>
        </w:rPr>
        <w:t xml:space="preserve"> </w:t>
      </w:r>
      <w:r w:rsidRPr="003B4362">
        <w:rPr>
          <w:rFonts w:eastAsia="Calibri"/>
          <w:szCs w:val="24"/>
        </w:rPr>
        <w:t>and</w:t>
      </w:r>
      <w:r w:rsidR="001D2E6C" w:rsidRPr="003B4362">
        <w:rPr>
          <w:rFonts w:eastAsia="Calibri"/>
          <w:szCs w:val="24"/>
        </w:rPr>
        <w:t xml:space="preserve"> </w:t>
      </w:r>
      <w:r w:rsidRPr="003B4362">
        <w:rPr>
          <w:rFonts w:eastAsia="Calibri"/>
          <w:szCs w:val="24"/>
        </w:rPr>
        <w:t>appropriate</w:t>
      </w:r>
      <w:r w:rsidR="001D2E6C" w:rsidRPr="003B4362">
        <w:rPr>
          <w:rFonts w:eastAsia="Calibri"/>
          <w:szCs w:val="24"/>
        </w:rPr>
        <w:t xml:space="preserve"> </w:t>
      </w:r>
      <w:r w:rsidRPr="003B4362">
        <w:rPr>
          <w:rFonts w:eastAsia="Calibri"/>
          <w:szCs w:val="24"/>
        </w:rPr>
        <w:t xml:space="preserve">combinations of </w:t>
      </w:r>
      <w:r w:rsidR="001D2E6C" w:rsidRPr="003B4362">
        <w:rPr>
          <w:rFonts w:eastAsia="Calibri"/>
          <w:szCs w:val="24"/>
        </w:rPr>
        <w:t>those</w:t>
      </w:r>
      <w:r w:rsidRPr="003B4362">
        <w:rPr>
          <w:rFonts w:eastAsia="Calibri"/>
          <w:szCs w:val="24"/>
        </w:rPr>
        <w:t xml:space="preserve"> treatments</w:t>
      </w:r>
      <w:bookmarkEnd w:id="1088"/>
      <w:r w:rsidRPr="003B4362">
        <w:rPr>
          <w:rFonts w:eastAsia="Calibri"/>
          <w:szCs w:val="24"/>
        </w:rPr>
        <w:t xml:space="preserve"> to identify the re-optimized </w:t>
      </w:r>
      <w:r w:rsidR="001D2E6C" w:rsidRPr="003B4362">
        <w:rPr>
          <w:rFonts w:eastAsia="Calibri"/>
          <w:szCs w:val="24"/>
        </w:rPr>
        <w:t>OCCT</w:t>
      </w:r>
      <w:bookmarkStart w:id="1089" w:name="_Hlk118279297"/>
      <w:r w:rsidRPr="003B4362">
        <w:rPr>
          <w:rFonts w:eastAsia="Calibri"/>
          <w:szCs w:val="24"/>
        </w:rPr>
        <w:t xml:space="preserve"> for </w:t>
      </w:r>
      <w:r w:rsidR="000E445D" w:rsidRPr="003B4362">
        <w:rPr>
          <w:rFonts w:eastAsia="Calibri"/>
          <w:szCs w:val="24"/>
        </w:rPr>
        <w:t>its</w:t>
      </w:r>
      <w:r w:rsidRPr="003B4362">
        <w:rPr>
          <w:rFonts w:eastAsia="Calibri"/>
          <w:szCs w:val="24"/>
        </w:rPr>
        <w:t xml:space="preserve"> system</w:t>
      </w:r>
      <w:bookmarkEnd w:id="1089"/>
      <w:r w:rsidRPr="003B4362">
        <w:rPr>
          <w:rFonts w:eastAsia="Calibri"/>
          <w:szCs w:val="24"/>
        </w:rPr>
        <w:t>:</w:t>
      </w:r>
    </w:p>
    <w:p w14:paraId="0BF4661D" w14:textId="470C8A7D"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t>Alkalinity or pH adjustment</w:t>
      </w:r>
      <w:r w:rsidR="00575EA2" w:rsidRPr="003B4362">
        <w:rPr>
          <w:rFonts w:eastAsia="Calibri"/>
          <w:szCs w:val="24"/>
        </w:rPr>
        <w:t xml:space="preserve"> </w:t>
      </w:r>
      <w:r w:rsidRPr="003B4362">
        <w:rPr>
          <w:rFonts w:eastAsia="Calibri"/>
          <w:szCs w:val="24"/>
        </w:rPr>
        <w:t>or re-adjustment;</w:t>
      </w:r>
    </w:p>
    <w:p w14:paraId="39FE1BBC" w14:textId="3D824729"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r>
      <w:bookmarkStart w:id="1090" w:name="_Hlk118280330"/>
      <w:r w:rsidR="002B0E02" w:rsidRPr="003B4362">
        <w:rPr>
          <w:rFonts w:eastAsia="Calibri"/>
          <w:szCs w:val="24"/>
        </w:rPr>
        <w:t>A</w:t>
      </w:r>
      <w:bookmarkStart w:id="1091" w:name="_Hlk118280401"/>
      <w:r w:rsidR="002B0E02" w:rsidRPr="003B4362">
        <w:rPr>
          <w:rFonts w:eastAsia="Calibri"/>
          <w:szCs w:val="24"/>
        </w:rPr>
        <w:t>dding</w:t>
      </w:r>
      <w:r w:rsidRPr="003B4362">
        <w:rPr>
          <w:rFonts w:eastAsia="Calibri"/>
          <w:szCs w:val="24"/>
        </w:rPr>
        <w:t xml:space="preserve"> an orthophosphate- or silicate-based corrosion inhibitor</w:t>
      </w:r>
      <w:bookmarkEnd w:id="1090"/>
      <w:bookmarkEnd w:id="1091"/>
      <w:r w:rsidRPr="003B4362">
        <w:rPr>
          <w:rFonts w:eastAsia="Calibri"/>
          <w:szCs w:val="24"/>
        </w:rPr>
        <w:t xml:space="preserve"> at a concentration sufficient to maintain an effective corrosion inhibitor residual concentration in all test samples </w:t>
      </w:r>
      <w:bookmarkStart w:id="1092" w:name="_Hlk118280565"/>
      <w:r w:rsidRPr="003B4362">
        <w:rPr>
          <w:rFonts w:eastAsia="Calibri"/>
          <w:szCs w:val="24"/>
        </w:rPr>
        <w:t xml:space="preserve">if </w:t>
      </w:r>
      <w:r w:rsidR="002B0E02" w:rsidRPr="003B4362">
        <w:rPr>
          <w:rFonts w:eastAsia="Calibri"/>
          <w:szCs w:val="24"/>
        </w:rPr>
        <w:t>the supplier does not already use the</w:t>
      </w:r>
      <w:r w:rsidRPr="003B4362">
        <w:rPr>
          <w:rFonts w:eastAsia="Calibri"/>
          <w:szCs w:val="24"/>
        </w:rPr>
        <w:t xml:space="preserve"> inhibitor</w:t>
      </w:r>
      <w:bookmarkEnd w:id="1092"/>
      <w:r w:rsidRPr="003B4362">
        <w:rPr>
          <w:rFonts w:eastAsia="Calibri"/>
          <w:szCs w:val="24"/>
        </w:rPr>
        <w:t>;</w:t>
      </w:r>
    </w:p>
    <w:p w14:paraId="647AD3C9" w14:textId="3DC8E7D7"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iii)</w:t>
      </w:r>
      <w:r w:rsidRPr="003B4362">
        <w:rPr>
          <w:rFonts w:eastAsia="Calibri"/>
          <w:szCs w:val="24"/>
        </w:rPr>
        <w:tab/>
      </w:r>
      <w:r w:rsidR="002B0E02" w:rsidRPr="003B4362">
        <w:rPr>
          <w:rFonts w:eastAsia="Calibri"/>
          <w:szCs w:val="24"/>
        </w:rPr>
        <w:t>Adding</w:t>
      </w:r>
      <w:r w:rsidRPr="003B4362">
        <w:rPr>
          <w:rFonts w:eastAsia="Calibri"/>
          <w:szCs w:val="24"/>
        </w:rPr>
        <w:t xml:space="preserve"> an orthophosphate-based corrosion inhibitor at a concentration sufficient to maintain an orthophosphate residual concentration of 1 </w:t>
      </w:r>
      <w:bookmarkStart w:id="1093" w:name="_Hlk118280925"/>
      <w:r w:rsidRPr="003B4362">
        <w:rPr>
          <w:rFonts w:eastAsia="Calibri"/>
          <w:szCs w:val="24"/>
        </w:rPr>
        <w:t>mg/</w:t>
      </w:r>
      <w:bookmarkEnd w:id="1093"/>
      <w:r w:rsidR="008E72A6" w:rsidRPr="003B4362">
        <w:t xml:space="preserve"> L</w:t>
      </w:r>
      <w:r w:rsidRPr="003B4362">
        <w:rPr>
          <w:rFonts w:eastAsia="Calibri"/>
          <w:szCs w:val="24"/>
        </w:rPr>
        <w:t xml:space="preserve"> (PO</w:t>
      </w:r>
      <w:r w:rsidRPr="003B4362">
        <w:rPr>
          <w:rFonts w:eastAsia="Calibri"/>
          <w:szCs w:val="24"/>
          <w:vertAlign w:val="subscript"/>
        </w:rPr>
        <w:t>4</w:t>
      </w:r>
      <w:r w:rsidRPr="003B4362">
        <w:rPr>
          <w:rFonts w:eastAsia="Calibri"/>
          <w:szCs w:val="24"/>
        </w:rPr>
        <w:t>) in all test samples unless the current inhibitor process already meets this residual; and</w:t>
      </w:r>
    </w:p>
    <w:p w14:paraId="571BB3B7" w14:textId="5F730A6E"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iv)</w:t>
      </w:r>
      <w:r w:rsidRPr="003B4362">
        <w:rPr>
          <w:rFonts w:eastAsia="Calibri"/>
          <w:szCs w:val="24"/>
        </w:rPr>
        <w:tab/>
      </w:r>
      <w:r w:rsidR="00F805E6" w:rsidRPr="003B4362">
        <w:rPr>
          <w:rFonts w:eastAsia="Calibri"/>
          <w:szCs w:val="24"/>
        </w:rPr>
        <w:t>Adding</w:t>
      </w:r>
      <w:r w:rsidRPr="003B4362">
        <w:rPr>
          <w:rFonts w:eastAsia="Calibri"/>
          <w:szCs w:val="24"/>
        </w:rPr>
        <w:t xml:space="preserve"> an orthophosphate-based corrosion inhibitor at a concentration sufficient to maintain an orthophosphate residual concentration of 3 mg/</w:t>
      </w:r>
      <w:r w:rsidR="008E72A6" w:rsidRPr="003B4362">
        <w:t xml:space="preserve"> L</w:t>
      </w:r>
      <w:r w:rsidRPr="003B4362">
        <w:rPr>
          <w:rFonts w:eastAsia="Calibri"/>
          <w:szCs w:val="24"/>
        </w:rPr>
        <w:t xml:space="preserve"> (PO</w:t>
      </w:r>
      <w:r w:rsidRPr="003B4362">
        <w:rPr>
          <w:rFonts w:eastAsia="Calibri"/>
          <w:szCs w:val="24"/>
          <w:vertAlign w:val="subscript"/>
        </w:rPr>
        <w:t>4</w:t>
      </w:r>
      <w:r w:rsidRPr="003B4362">
        <w:rPr>
          <w:rFonts w:eastAsia="Calibri"/>
          <w:szCs w:val="24"/>
        </w:rPr>
        <w:t>) in all test samples unless the current inhibitor process already meets this residual.</w:t>
      </w:r>
    </w:p>
    <w:p w14:paraId="5CCA4A52" w14:textId="16993EC8" w:rsidR="006704B4" w:rsidRPr="003B4362" w:rsidRDefault="006704B4" w:rsidP="006704B4">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 xml:space="preserve">The </w:t>
      </w:r>
      <w:r w:rsidR="00F805E6" w:rsidRPr="003B4362">
        <w:rPr>
          <w:rFonts w:eastAsia="Calibri"/>
          <w:szCs w:val="24"/>
        </w:rPr>
        <w:t>supplier</w:t>
      </w:r>
      <w:r w:rsidRPr="003B4362">
        <w:rPr>
          <w:rFonts w:eastAsia="Calibri"/>
          <w:szCs w:val="24"/>
        </w:rPr>
        <w:t xml:space="preserve"> must evaluate each of the corrosion control treatments using</w:t>
      </w:r>
      <w:r w:rsidR="00F805E6" w:rsidRPr="003B4362">
        <w:rPr>
          <w:rFonts w:eastAsia="Calibri"/>
          <w:szCs w:val="24"/>
        </w:rPr>
        <w:t xml:space="preserve"> </w:t>
      </w:r>
      <w:bookmarkStart w:id="1094" w:name="_Hlk118282447"/>
      <w:r w:rsidRPr="003B4362">
        <w:rPr>
          <w:rFonts w:eastAsia="Calibri"/>
          <w:szCs w:val="24"/>
        </w:rPr>
        <w:t>pipe rig/loop tests, metal coupon tests, partial-system tests, or analyses</w:t>
      </w:r>
      <w:bookmarkEnd w:id="1094"/>
      <w:r w:rsidRPr="003B4362">
        <w:rPr>
          <w:rFonts w:eastAsia="Calibri"/>
          <w:szCs w:val="24"/>
        </w:rPr>
        <w:t xml:space="preserve"> based on documented analogous treatments with other systems of similar size, water chemistry, and distribution system configurations.  I</w:t>
      </w:r>
      <w:bookmarkStart w:id="1095" w:name="_Hlk118283925"/>
      <w:r w:rsidRPr="003B4362">
        <w:rPr>
          <w:rFonts w:eastAsia="Calibri"/>
          <w:szCs w:val="24"/>
        </w:rPr>
        <w:t xml:space="preserve">f the </w:t>
      </w:r>
      <w:r w:rsidR="0059510C" w:rsidRPr="003B4362">
        <w:rPr>
          <w:rFonts w:eastAsia="Calibri"/>
          <w:szCs w:val="24"/>
        </w:rPr>
        <w:t>supplier’s</w:t>
      </w:r>
      <w:r w:rsidRPr="003B4362">
        <w:rPr>
          <w:rFonts w:eastAsia="Calibri"/>
          <w:szCs w:val="24"/>
        </w:rPr>
        <w:t xml:space="preserve"> system has lead service lines</w:t>
      </w:r>
      <w:bookmarkEnd w:id="1095"/>
      <w:r w:rsidRPr="003B4362">
        <w:rPr>
          <w:rFonts w:eastAsia="Calibri"/>
          <w:szCs w:val="24"/>
        </w:rPr>
        <w:t xml:space="preserve"> and exceeds the lead action level, </w:t>
      </w:r>
      <w:r w:rsidR="0059510C" w:rsidRPr="003B4362">
        <w:rPr>
          <w:rFonts w:eastAsia="Calibri"/>
          <w:szCs w:val="24"/>
        </w:rPr>
        <w:t>the supplier</w:t>
      </w:r>
      <w:r w:rsidRPr="003B4362">
        <w:rPr>
          <w:rFonts w:eastAsia="Calibri"/>
          <w:szCs w:val="24"/>
        </w:rPr>
        <w:t xml:space="preserve"> must conduct pipe rig/loop studies using harvested </w:t>
      </w:r>
      <w:bookmarkStart w:id="1096" w:name="_Hlk118284355"/>
      <w:r w:rsidRPr="003B4362">
        <w:rPr>
          <w:rFonts w:eastAsia="Calibri"/>
          <w:szCs w:val="24"/>
        </w:rPr>
        <w:t xml:space="preserve">lead service lines from </w:t>
      </w:r>
      <w:r w:rsidR="0059510C" w:rsidRPr="003B4362">
        <w:rPr>
          <w:rFonts w:eastAsia="Calibri"/>
          <w:szCs w:val="24"/>
        </w:rPr>
        <w:t>its</w:t>
      </w:r>
      <w:r w:rsidRPr="003B4362">
        <w:rPr>
          <w:rFonts w:eastAsia="Calibri"/>
          <w:szCs w:val="24"/>
        </w:rPr>
        <w:t xml:space="preserve"> distribution system</w:t>
      </w:r>
      <w:bookmarkEnd w:id="1096"/>
      <w:r w:rsidRPr="003B4362">
        <w:rPr>
          <w:rFonts w:eastAsia="Calibri"/>
          <w:szCs w:val="24"/>
        </w:rPr>
        <w:t xml:space="preserve"> to assess </w:t>
      </w:r>
      <w:bookmarkStart w:id="1097" w:name="_Hlk118284666"/>
      <w:r w:rsidRPr="003B4362">
        <w:rPr>
          <w:rFonts w:eastAsia="Calibri"/>
          <w:szCs w:val="24"/>
        </w:rPr>
        <w:t>the eff</w:t>
      </w:r>
      <w:r w:rsidR="0059510C" w:rsidRPr="003B4362">
        <w:rPr>
          <w:rFonts w:eastAsia="Calibri"/>
          <w:szCs w:val="24"/>
        </w:rPr>
        <w:t>i</w:t>
      </w:r>
      <w:r w:rsidRPr="003B4362">
        <w:rPr>
          <w:rFonts w:eastAsia="Calibri"/>
          <w:szCs w:val="24"/>
        </w:rPr>
        <w:t>c</w:t>
      </w:r>
      <w:r w:rsidR="0059510C" w:rsidRPr="003B4362">
        <w:rPr>
          <w:rFonts w:eastAsia="Calibri"/>
          <w:szCs w:val="24"/>
        </w:rPr>
        <w:t>acy</w:t>
      </w:r>
      <w:r w:rsidRPr="003B4362">
        <w:rPr>
          <w:rFonts w:eastAsia="Calibri"/>
          <w:szCs w:val="24"/>
        </w:rPr>
        <w:t xml:space="preserve"> of corrosion control treatment options</w:t>
      </w:r>
      <w:bookmarkEnd w:id="1097"/>
      <w:r w:rsidRPr="003B4362">
        <w:rPr>
          <w:rFonts w:eastAsia="Calibri"/>
          <w:szCs w:val="24"/>
        </w:rPr>
        <w:t xml:space="preserve"> on the existing pipe scale.  </w:t>
      </w:r>
      <w:bookmarkStart w:id="1098" w:name="_Hlk118284870"/>
      <w:r w:rsidR="0037566F" w:rsidRPr="003B4362">
        <w:rPr>
          <w:rFonts w:eastAsia="Calibri"/>
          <w:szCs w:val="24"/>
        </w:rPr>
        <w:t>T</w:t>
      </w:r>
      <w:bookmarkStart w:id="1099" w:name="_Hlk118284954"/>
      <w:r w:rsidR="0037566F" w:rsidRPr="003B4362">
        <w:rPr>
          <w:rFonts w:eastAsia="Calibri"/>
          <w:szCs w:val="24"/>
        </w:rPr>
        <w:t>he supplier can use</w:t>
      </w:r>
      <w:r w:rsidRPr="003B4362">
        <w:rPr>
          <w:rFonts w:eastAsia="Calibri"/>
          <w:szCs w:val="24"/>
        </w:rPr>
        <w:t xml:space="preserve"> metal coupon tests</w:t>
      </w:r>
      <w:r w:rsidR="0037566F" w:rsidRPr="003B4362">
        <w:rPr>
          <w:rFonts w:eastAsia="Calibri"/>
          <w:szCs w:val="24"/>
        </w:rPr>
        <w:t xml:space="preserve"> </w:t>
      </w:r>
      <w:r w:rsidRPr="003B4362">
        <w:rPr>
          <w:rFonts w:eastAsia="Calibri"/>
          <w:szCs w:val="24"/>
        </w:rPr>
        <w:t>as a screen</w:t>
      </w:r>
      <w:bookmarkEnd w:id="1098"/>
      <w:bookmarkEnd w:id="1099"/>
      <w:r w:rsidRPr="003B4362">
        <w:rPr>
          <w:rFonts w:eastAsia="Calibri"/>
          <w:szCs w:val="24"/>
        </w:rPr>
        <w:t xml:space="preserve"> to </w:t>
      </w:r>
      <w:bookmarkStart w:id="1100" w:name="_Hlk118285078"/>
      <w:bookmarkStart w:id="1101" w:name="_Hlk118285134"/>
      <w:r w:rsidRPr="003B4362">
        <w:rPr>
          <w:rFonts w:eastAsia="Calibri"/>
          <w:szCs w:val="24"/>
        </w:rPr>
        <w:t xml:space="preserve">reduce the number of options </w:t>
      </w:r>
      <w:r w:rsidR="0037566F" w:rsidRPr="003B4362">
        <w:rPr>
          <w:rFonts w:eastAsia="Calibri"/>
          <w:szCs w:val="24"/>
        </w:rPr>
        <w:t>it</w:t>
      </w:r>
      <w:r w:rsidRPr="003B4362">
        <w:rPr>
          <w:rFonts w:eastAsia="Calibri"/>
          <w:szCs w:val="24"/>
        </w:rPr>
        <w:t xml:space="preserve"> evaluate</w:t>
      </w:r>
      <w:bookmarkEnd w:id="1100"/>
      <w:r w:rsidR="0037566F" w:rsidRPr="003B4362">
        <w:rPr>
          <w:rFonts w:eastAsia="Calibri"/>
          <w:szCs w:val="24"/>
        </w:rPr>
        <w:t>s</w:t>
      </w:r>
      <w:bookmarkEnd w:id="1101"/>
      <w:r w:rsidRPr="003B4362">
        <w:rPr>
          <w:rFonts w:eastAsia="Calibri"/>
          <w:szCs w:val="24"/>
        </w:rPr>
        <w:t xml:space="preserve"> using pipe rig/loops to the current conditions and two options.</w:t>
      </w:r>
    </w:p>
    <w:p w14:paraId="579219A2" w14:textId="26C1D0AA" w:rsidR="006704B4" w:rsidRPr="003B4362" w:rsidRDefault="006704B4" w:rsidP="006704B4">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 xml:space="preserve">The </w:t>
      </w:r>
      <w:r w:rsidR="0037566F" w:rsidRPr="003B4362">
        <w:rPr>
          <w:rFonts w:eastAsia="Calibri"/>
          <w:szCs w:val="24"/>
        </w:rPr>
        <w:t>supplier</w:t>
      </w:r>
      <w:r w:rsidRPr="003B4362">
        <w:rPr>
          <w:rFonts w:eastAsia="Calibri"/>
          <w:szCs w:val="24"/>
        </w:rPr>
        <w:t xml:space="preserve"> must measure </w:t>
      </w:r>
      <w:bookmarkStart w:id="1102" w:name="_Hlk118285277"/>
      <w:r w:rsidR="00A74F28" w:rsidRPr="003B4362">
        <w:rPr>
          <w:rFonts w:eastAsia="Calibri"/>
          <w:szCs w:val="24"/>
        </w:rPr>
        <w:t>specific</w:t>
      </w:r>
      <w:r w:rsidRPr="003B4362">
        <w:rPr>
          <w:rFonts w:eastAsia="Calibri"/>
          <w:szCs w:val="24"/>
        </w:rPr>
        <w:t xml:space="preserve"> water quality parameters</w:t>
      </w:r>
      <w:bookmarkEnd w:id="1102"/>
      <w:r w:rsidRPr="003B4362">
        <w:rPr>
          <w:rFonts w:eastAsia="Calibri"/>
          <w:szCs w:val="24"/>
        </w:rPr>
        <w:t xml:space="preserve"> in any tests conducted under this subsection (c)(2)(</w:t>
      </w:r>
      <w:r w:rsidR="00A74F28" w:rsidRPr="003B4362">
        <w:rPr>
          <w:rFonts w:eastAsia="Calibri"/>
          <w:szCs w:val="24"/>
        </w:rPr>
        <w:t>C</w:t>
      </w:r>
      <w:r w:rsidRPr="003B4362">
        <w:rPr>
          <w:rFonts w:eastAsia="Calibri"/>
          <w:szCs w:val="24"/>
        </w:rPr>
        <w:t xml:space="preserve">) before and after evaluating </w:t>
      </w:r>
      <w:bookmarkStart w:id="1103" w:name="_Hlk118285474"/>
      <w:r w:rsidRPr="003B4362">
        <w:rPr>
          <w:rFonts w:eastAsia="Calibri"/>
          <w:szCs w:val="24"/>
        </w:rPr>
        <w:t>the corrosion control treatments</w:t>
      </w:r>
      <w:r w:rsidR="00A74F28" w:rsidRPr="003B4362">
        <w:rPr>
          <w:rFonts w:eastAsia="Calibri"/>
          <w:szCs w:val="24"/>
        </w:rPr>
        <w:t xml:space="preserve"> </w:t>
      </w:r>
      <w:r w:rsidRPr="003B4362">
        <w:rPr>
          <w:rFonts w:eastAsia="Calibri"/>
          <w:szCs w:val="24"/>
        </w:rPr>
        <w:t xml:space="preserve">in subsections (c)(2)(A) and </w:t>
      </w:r>
      <w:r w:rsidR="00A74F28" w:rsidRPr="003B4362">
        <w:rPr>
          <w:rFonts w:eastAsia="Calibri"/>
          <w:szCs w:val="24"/>
        </w:rPr>
        <w:t>(c)(2)</w:t>
      </w:r>
      <w:r w:rsidRPr="003B4362">
        <w:rPr>
          <w:rFonts w:eastAsia="Calibri"/>
          <w:szCs w:val="24"/>
        </w:rPr>
        <w:t>(B)</w:t>
      </w:r>
      <w:bookmarkEnd w:id="1103"/>
      <w:r w:rsidRPr="003B4362">
        <w:rPr>
          <w:rFonts w:eastAsia="Calibri"/>
          <w:szCs w:val="24"/>
        </w:rPr>
        <w:t>:</w:t>
      </w:r>
    </w:p>
    <w:p w14:paraId="1AEE40A2" w14:textId="77777777"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t>Lead;</w:t>
      </w:r>
    </w:p>
    <w:p w14:paraId="41324617" w14:textId="77777777"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t>Copper;</w:t>
      </w:r>
    </w:p>
    <w:p w14:paraId="40B7C5E2" w14:textId="77777777"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lastRenderedPageBreak/>
        <w:t>iii)</w:t>
      </w:r>
      <w:r w:rsidRPr="003B4362">
        <w:rPr>
          <w:rFonts w:eastAsia="Calibri"/>
          <w:szCs w:val="24"/>
        </w:rPr>
        <w:tab/>
        <w:t>pH;</w:t>
      </w:r>
    </w:p>
    <w:p w14:paraId="652F4DA9" w14:textId="77777777"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iv)</w:t>
      </w:r>
      <w:r w:rsidRPr="003B4362">
        <w:rPr>
          <w:rFonts w:eastAsia="Calibri"/>
          <w:szCs w:val="24"/>
        </w:rPr>
        <w:tab/>
        <w:t>Alkalinity;</w:t>
      </w:r>
    </w:p>
    <w:p w14:paraId="62C32F13" w14:textId="03D3E06C"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v)</w:t>
      </w:r>
      <w:r w:rsidRPr="003B4362">
        <w:rPr>
          <w:rFonts w:eastAsia="Calibri"/>
          <w:szCs w:val="24"/>
        </w:rPr>
        <w:tab/>
        <w:t>Orthophosphate as PO</w:t>
      </w:r>
      <w:r w:rsidRPr="003B4362">
        <w:rPr>
          <w:rFonts w:eastAsia="Calibri"/>
          <w:szCs w:val="24"/>
          <w:vertAlign w:val="subscript"/>
        </w:rPr>
        <w:t>4</w:t>
      </w:r>
      <w:r w:rsidRPr="003B4362">
        <w:rPr>
          <w:rFonts w:eastAsia="Calibri"/>
          <w:szCs w:val="24"/>
        </w:rPr>
        <w:t xml:space="preserve"> (</w:t>
      </w:r>
      <w:bookmarkStart w:id="1104" w:name="_Hlk118285923"/>
      <w:r w:rsidR="00A74F28" w:rsidRPr="003B4362">
        <w:rPr>
          <w:rFonts w:eastAsia="Calibri"/>
          <w:szCs w:val="24"/>
        </w:rPr>
        <w:t>if</w:t>
      </w:r>
      <w:r w:rsidRPr="003B4362">
        <w:rPr>
          <w:rFonts w:eastAsia="Calibri"/>
          <w:szCs w:val="24"/>
        </w:rPr>
        <w:t xml:space="preserve"> </w:t>
      </w:r>
      <w:r w:rsidR="00A74F28" w:rsidRPr="003B4362">
        <w:rPr>
          <w:rFonts w:eastAsia="Calibri"/>
          <w:szCs w:val="24"/>
        </w:rPr>
        <w:t xml:space="preserve">the supplier uses </w:t>
      </w:r>
      <w:r w:rsidRPr="003B4362">
        <w:rPr>
          <w:rFonts w:eastAsia="Calibri"/>
          <w:szCs w:val="24"/>
        </w:rPr>
        <w:t>an orthophosphate-based inhibitor</w:t>
      </w:r>
      <w:bookmarkEnd w:id="1104"/>
      <w:r w:rsidRPr="003B4362">
        <w:rPr>
          <w:rFonts w:eastAsia="Calibri"/>
          <w:szCs w:val="24"/>
        </w:rPr>
        <w:t>); and</w:t>
      </w:r>
    </w:p>
    <w:p w14:paraId="74F1CE35" w14:textId="71244047"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vi)</w:t>
      </w:r>
      <w:r w:rsidRPr="003B4362">
        <w:rPr>
          <w:rFonts w:eastAsia="Calibri"/>
          <w:szCs w:val="24"/>
        </w:rPr>
        <w:tab/>
        <w:t>Silicate (</w:t>
      </w:r>
      <w:r w:rsidR="00A355A5" w:rsidRPr="003B4362">
        <w:rPr>
          <w:rFonts w:eastAsia="Calibri"/>
          <w:szCs w:val="24"/>
        </w:rPr>
        <w:t xml:space="preserve">if the supplier uses </w:t>
      </w:r>
      <w:bookmarkStart w:id="1105" w:name="_Hlk118286113"/>
      <w:r w:rsidRPr="003B4362">
        <w:rPr>
          <w:rFonts w:eastAsia="Calibri"/>
          <w:szCs w:val="24"/>
        </w:rPr>
        <w:t>a silicate-based</w:t>
      </w:r>
      <w:bookmarkEnd w:id="1105"/>
      <w:r w:rsidRPr="003B4362">
        <w:rPr>
          <w:rFonts w:eastAsia="Calibri"/>
          <w:szCs w:val="24"/>
        </w:rPr>
        <w:t xml:space="preserve"> inhibitor).</w:t>
      </w:r>
    </w:p>
    <w:p w14:paraId="7B80AD14" w14:textId="1B836B9D" w:rsidR="006704B4" w:rsidRPr="003B4362" w:rsidRDefault="006704B4" w:rsidP="006704B4">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t xml:space="preserve">The </w:t>
      </w:r>
      <w:r w:rsidR="00A355A5" w:rsidRPr="003B4362">
        <w:rPr>
          <w:rFonts w:eastAsia="Calibri"/>
          <w:szCs w:val="24"/>
        </w:rPr>
        <w:t>supplier</w:t>
      </w:r>
      <w:r w:rsidRPr="003B4362">
        <w:rPr>
          <w:rFonts w:eastAsia="Calibri"/>
          <w:szCs w:val="24"/>
        </w:rPr>
        <w:t xml:space="preserve"> must identify all chemical or physical </w:t>
      </w:r>
      <w:bookmarkStart w:id="1106" w:name="_Hlk118286258"/>
      <w:bookmarkStart w:id="1107" w:name="_Hlk118287602"/>
      <w:r w:rsidRPr="003B4362">
        <w:rPr>
          <w:rFonts w:eastAsia="Calibri"/>
          <w:szCs w:val="24"/>
        </w:rPr>
        <w:t xml:space="preserve">constraints </w:t>
      </w:r>
      <w:r w:rsidR="00A355A5" w:rsidRPr="003B4362">
        <w:rPr>
          <w:rFonts w:eastAsia="Calibri"/>
          <w:szCs w:val="24"/>
        </w:rPr>
        <w:t>limiting</w:t>
      </w:r>
      <w:r w:rsidRPr="003B4362">
        <w:rPr>
          <w:rFonts w:eastAsia="Calibri"/>
          <w:szCs w:val="24"/>
        </w:rPr>
        <w:t xml:space="preserve"> or prohibit</w:t>
      </w:r>
      <w:r w:rsidR="00A355A5" w:rsidRPr="003B4362">
        <w:rPr>
          <w:rFonts w:eastAsia="Calibri"/>
          <w:szCs w:val="24"/>
        </w:rPr>
        <w:t>ing</w:t>
      </w:r>
      <w:r w:rsidRPr="003B4362">
        <w:rPr>
          <w:rFonts w:eastAsia="Calibri"/>
          <w:szCs w:val="24"/>
        </w:rPr>
        <w:t xml:space="preserve"> </w:t>
      </w:r>
      <w:r w:rsidR="00A355A5" w:rsidRPr="003B4362">
        <w:rPr>
          <w:rFonts w:eastAsia="Calibri"/>
          <w:szCs w:val="24"/>
        </w:rPr>
        <w:t>u</w:t>
      </w:r>
      <w:r w:rsidRPr="003B4362">
        <w:rPr>
          <w:rFonts w:eastAsia="Calibri"/>
          <w:szCs w:val="24"/>
        </w:rPr>
        <w:t>s</w:t>
      </w:r>
      <w:bookmarkEnd w:id="1106"/>
      <w:r w:rsidR="00A355A5" w:rsidRPr="003B4362">
        <w:rPr>
          <w:rFonts w:eastAsia="Calibri"/>
          <w:szCs w:val="24"/>
        </w:rPr>
        <w:t>ing</w:t>
      </w:r>
      <w:bookmarkEnd w:id="1107"/>
      <w:r w:rsidRPr="003B4362">
        <w:rPr>
          <w:rFonts w:eastAsia="Calibri"/>
          <w:szCs w:val="24"/>
        </w:rPr>
        <w:t xml:space="preserve"> a particular corrosion control treatment and </w:t>
      </w:r>
      <w:bookmarkStart w:id="1108" w:name="_Hlk118287728"/>
      <w:r w:rsidRPr="003B4362">
        <w:rPr>
          <w:rFonts w:eastAsia="Calibri"/>
          <w:szCs w:val="24"/>
        </w:rPr>
        <w:t xml:space="preserve">document </w:t>
      </w:r>
      <w:r w:rsidR="004C53FF" w:rsidRPr="003B4362">
        <w:rPr>
          <w:rFonts w:eastAsia="Calibri"/>
          <w:szCs w:val="24"/>
        </w:rPr>
        <w:t>those</w:t>
      </w:r>
      <w:r w:rsidRPr="003B4362">
        <w:rPr>
          <w:rFonts w:eastAsia="Calibri"/>
          <w:szCs w:val="24"/>
        </w:rPr>
        <w:t xml:space="preserve"> constraints</w:t>
      </w:r>
      <w:bookmarkEnd w:id="1108"/>
      <w:r w:rsidRPr="003B4362">
        <w:rPr>
          <w:rFonts w:eastAsia="Calibri"/>
          <w:szCs w:val="24"/>
        </w:rPr>
        <w:t xml:space="preserve"> </w:t>
      </w:r>
      <w:bookmarkStart w:id="1109" w:name="_Hlk118288079"/>
      <w:r w:rsidRPr="003B4362">
        <w:rPr>
          <w:rFonts w:eastAsia="Calibri"/>
          <w:szCs w:val="24"/>
        </w:rPr>
        <w:t xml:space="preserve">with </w:t>
      </w:r>
      <w:r w:rsidR="004C53FF" w:rsidRPr="003B4362">
        <w:rPr>
          <w:rFonts w:eastAsia="Calibri"/>
          <w:szCs w:val="24"/>
        </w:rPr>
        <w:t>certain information</w:t>
      </w:r>
      <w:bookmarkEnd w:id="1109"/>
      <w:r w:rsidRPr="003B4362">
        <w:rPr>
          <w:rFonts w:eastAsia="Calibri"/>
          <w:szCs w:val="24"/>
        </w:rPr>
        <w:t>:</w:t>
      </w:r>
    </w:p>
    <w:p w14:paraId="127CD2C7" w14:textId="1571B668"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t>D</w:t>
      </w:r>
      <w:bookmarkStart w:id="1110" w:name="_Hlk118288313"/>
      <w:bookmarkStart w:id="1111" w:name="_Hlk118288360"/>
      <w:r w:rsidRPr="003B4362">
        <w:rPr>
          <w:rFonts w:eastAsia="Calibri"/>
          <w:szCs w:val="24"/>
        </w:rPr>
        <w:t>ata and document</w:t>
      </w:r>
      <w:bookmarkEnd w:id="1110"/>
      <w:r w:rsidR="00F31E2F" w:rsidRPr="003B4362">
        <w:rPr>
          <w:rFonts w:eastAsia="Calibri"/>
          <w:szCs w:val="24"/>
        </w:rPr>
        <w:t>s</w:t>
      </w:r>
      <w:r w:rsidRPr="003B4362">
        <w:rPr>
          <w:rFonts w:eastAsia="Calibri"/>
          <w:szCs w:val="24"/>
        </w:rPr>
        <w:t xml:space="preserve"> showing</w:t>
      </w:r>
      <w:bookmarkEnd w:id="1111"/>
      <w:r w:rsidRPr="003B4362">
        <w:rPr>
          <w:rFonts w:eastAsia="Calibri"/>
          <w:szCs w:val="24"/>
        </w:rPr>
        <w:t xml:space="preserve"> that a particular corrosion control treatment</w:t>
      </w:r>
      <w:bookmarkStart w:id="1112" w:name="_Hlk118288985"/>
      <w:r w:rsidR="00047F13" w:rsidRPr="003B4362">
        <w:rPr>
          <w:rFonts w:eastAsia="Calibri"/>
          <w:szCs w:val="24"/>
        </w:rPr>
        <w:t xml:space="preserve"> </w:t>
      </w:r>
      <w:r w:rsidRPr="003B4362">
        <w:rPr>
          <w:rFonts w:eastAsia="Calibri"/>
          <w:szCs w:val="24"/>
        </w:rPr>
        <w:t>adversely affected</w:t>
      </w:r>
      <w:bookmarkEnd w:id="1112"/>
      <w:r w:rsidRPr="003B4362">
        <w:rPr>
          <w:rFonts w:eastAsia="Calibri"/>
          <w:szCs w:val="24"/>
        </w:rPr>
        <w:t xml:space="preserve"> other drinking water treatment processes </w:t>
      </w:r>
      <w:bookmarkStart w:id="1113" w:name="_Hlk118289558"/>
      <w:r w:rsidRPr="003B4362">
        <w:rPr>
          <w:rFonts w:eastAsia="Calibri"/>
          <w:szCs w:val="24"/>
        </w:rPr>
        <w:t xml:space="preserve">when </w:t>
      </w:r>
      <w:r w:rsidR="00047F13" w:rsidRPr="003B4362">
        <w:rPr>
          <w:rFonts w:eastAsia="Calibri"/>
          <w:szCs w:val="24"/>
        </w:rPr>
        <w:t xml:space="preserve">another supplier </w:t>
      </w:r>
      <w:r w:rsidRPr="003B4362">
        <w:rPr>
          <w:rFonts w:eastAsia="Calibri"/>
          <w:szCs w:val="24"/>
        </w:rPr>
        <w:t>with comparable water quality characteristics</w:t>
      </w:r>
      <w:r w:rsidR="00047F13" w:rsidRPr="003B4362">
        <w:rPr>
          <w:rFonts w:eastAsia="Calibri"/>
          <w:szCs w:val="24"/>
        </w:rPr>
        <w:t xml:space="preserve"> used the treatment</w:t>
      </w:r>
      <w:bookmarkEnd w:id="1113"/>
      <w:r w:rsidRPr="003B4362">
        <w:rPr>
          <w:rFonts w:eastAsia="Calibri"/>
          <w:szCs w:val="24"/>
        </w:rPr>
        <w:t xml:space="preserve">.  </w:t>
      </w:r>
      <w:bookmarkStart w:id="1114" w:name="_Hlk118290130"/>
      <w:r w:rsidR="00B323D4" w:rsidRPr="003B4362">
        <w:rPr>
          <w:rFonts w:eastAsia="Calibri"/>
          <w:szCs w:val="24"/>
        </w:rPr>
        <w:t xml:space="preserve">A </w:t>
      </w:r>
      <w:bookmarkStart w:id="1115" w:name="_Hlk118290229"/>
      <w:r w:rsidR="00B323D4" w:rsidRPr="003B4362">
        <w:rPr>
          <w:rFonts w:eastAsia="Calibri"/>
          <w:szCs w:val="24"/>
        </w:rPr>
        <w:t>supplier</w:t>
      </w:r>
      <w:r w:rsidRPr="003B4362">
        <w:rPr>
          <w:rFonts w:eastAsia="Calibri"/>
          <w:szCs w:val="24"/>
        </w:rPr>
        <w:t xml:space="preserve"> using coupon studies</w:t>
      </w:r>
      <w:bookmarkEnd w:id="1114"/>
      <w:bookmarkEnd w:id="1115"/>
      <w:r w:rsidRPr="003B4362">
        <w:rPr>
          <w:rFonts w:eastAsia="Calibri"/>
          <w:szCs w:val="24"/>
        </w:rPr>
        <w:t xml:space="preserve"> to screen or pipe loop/rig studies to evaluate treatment options must not exclude treatment strategies from the studies based on the constraints </w:t>
      </w:r>
      <w:r w:rsidR="00BB7A3F" w:rsidRPr="003B4362">
        <w:rPr>
          <w:szCs w:val="24"/>
        </w:rPr>
        <w:t>the supplier identifies under this Section</w:t>
      </w:r>
      <w:r w:rsidR="006B1894" w:rsidRPr="003B4362">
        <w:rPr>
          <w:rFonts w:eastAsia="Calibri"/>
          <w:szCs w:val="24"/>
        </w:rPr>
        <w:t>; or</w:t>
      </w:r>
    </w:p>
    <w:p w14:paraId="59AECF2B" w14:textId="526FF377"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t xml:space="preserve">Data and </w:t>
      </w:r>
      <w:r w:rsidR="009310C8" w:rsidRPr="003B4362">
        <w:rPr>
          <w:rFonts w:eastAsia="Calibri"/>
          <w:szCs w:val="24"/>
        </w:rPr>
        <w:t>documents</w:t>
      </w:r>
      <w:r w:rsidRPr="003B4362">
        <w:rPr>
          <w:rFonts w:eastAsia="Calibri"/>
          <w:szCs w:val="24"/>
        </w:rPr>
        <w:t xml:space="preserve"> demonstrating that </w:t>
      </w:r>
      <w:bookmarkStart w:id="1116" w:name="_Hlk118292105"/>
      <w:r w:rsidRPr="003B4362">
        <w:rPr>
          <w:rFonts w:eastAsia="Calibri"/>
          <w:szCs w:val="24"/>
        </w:rPr>
        <w:t xml:space="preserve">the </w:t>
      </w:r>
      <w:r w:rsidR="006B1894" w:rsidRPr="003B4362">
        <w:rPr>
          <w:rFonts w:eastAsia="Calibri"/>
          <w:szCs w:val="24"/>
        </w:rPr>
        <w:t>supplier</w:t>
      </w:r>
      <w:r w:rsidRPr="003B4362">
        <w:rPr>
          <w:rFonts w:eastAsia="Calibri"/>
          <w:szCs w:val="24"/>
        </w:rPr>
        <w:t xml:space="preserve"> previously evaluate</w:t>
      </w:r>
      <w:r w:rsidR="00DB3315" w:rsidRPr="003B4362">
        <w:rPr>
          <w:rFonts w:eastAsia="Calibri"/>
          <w:szCs w:val="24"/>
        </w:rPr>
        <w:t>d</w:t>
      </w:r>
      <w:bookmarkEnd w:id="1116"/>
      <w:r w:rsidRPr="003B4362">
        <w:rPr>
          <w:rFonts w:eastAsia="Calibri"/>
          <w:szCs w:val="24"/>
        </w:rPr>
        <w:t xml:space="preserve"> a particular corrosion control treatment and</w:t>
      </w:r>
      <w:r w:rsidR="00DB3315" w:rsidRPr="003B4362">
        <w:rPr>
          <w:rFonts w:eastAsia="Calibri"/>
          <w:szCs w:val="24"/>
        </w:rPr>
        <w:t xml:space="preserve"> </w:t>
      </w:r>
      <w:r w:rsidRPr="003B4362">
        <w:rPr>
          <w:rFonts w:eastAsia="Calibri"/>
          <w:szCs w:val="24"/>
        </w:rPr>
        <w:t xml:space="preserve">found that the treatment is ineffective or adversely affects other drinking water quality treatment processes.  </w:t>
      </w:r>
      <w:bookmarkStart w:id="1117" w:name="_Hlk118292389"/>
      <w:r w:rsidR="00DB3315" w:rsidRPr="003B4362">
        <w:rPr>
          <w:rFonts w:eastAsia="Calibri"/>
          <w:szCs w:val="24"/>
        </w:rPr>
        <w:t>A supplier</w:t>
      </w:r>
      <w:r w:rsidRPr="003B4362">
        <w:rPr>
          <w:rFonts w:eastAsia="Calibri"/>
          <w:szCs w:val="24"/>
        </w:rPr>
        <w:t xml:space="preserve"> using coupon studies</w:t>
      </w:r>
      <w:bookmarkEnd w:id="1117"/>
      <w:r w:rsidRPr="003B4362">
        <w:rPr>
          <w:rFonts w:eastAsia="Calibri"/>
          <w:szCs w:val="24"/>
        </w:rPr>
        <w:t xml:space="preserve"> to screen or pipe loop/rig studies to evaluate treatment options </w:t>
      </w:r>
      <w:bookmarkStart w:id="1118" w:name="_Hlk118292674"/>
      <w:r w:rsidR="00DE4EBB" w:rsidRPr="003B4362">
        <w:rPr>
          <w:rFonts w:eastAsia="Calibri"/>
          <w:szCs w:val="24"/>
        </w:rPr>
        <w:t>must</w:t>
      </w:r>
      <w:r w:rsidRPr="003B4362">
        <w:rPr>
          <w:rFonts w:eastAsia="Calibri"/>
          <w:szCs w:val="24"/>
        </w:rPr>
        <w:t xml:space="preserve"> not exclude</w:t>
      </w:r>
      <w:bookmarkEnd w:id="1118"/>
      <w:r w:rsidRPr="003B4362">
        <w:rPr>
          <w:rFonts w:eastAsia="Calibri"/>
          <w:szCs w:val="24"/>
        </w:rPr>
        <w:t xml:space="preserve"> treatment strategies from the studies based on the </w:t>
      </w:r>
      <w:r w:rsidR="00DE4EBB" w:rsidRPr="003B4362">
        <w:rPr>
          <w:rFonts w:eastAsia="Calibri"/>
          <w:szCs w:val="24"/>
        </w:rPr>
        <w:t xml:space="preserve">constraints </w:t>
      </w:r>
      <w:r w:rsidR="00DE4EBB" w:rsidRPr="003B4362">
        <w:rPr>
          <w:szCs w:val="24"/>
        </w:rPr>
        <w:t>the supplier identifies under this Section,</w:t>
      </w:r>
      <w:r w:rsidRPr="003B4362">
        <w:rPr>
          <w:rFonts w:eastAsia="Calibri"/>
          <w:szCs w:val="24"/>
        </w:rPr>
        <w:t xml:space="preserve"> </w:t>
      </w:r>
      <w:bookmarkStart w:id="1119" w:name="_Hlk118292968"/>
      <w:r w:rsidRPr="003B4362">
        <w:rPr>
          <w:rFonts w:eastAsia="Calibri"/>
          <w:szCs w:val="24"/>
        </w:rPr>
        <w:t xml:space="preserve">unless </w:t>
      </w:r>
      <w:r w:rsidR="00F724AC" w:rsidRPr="003B4362">
        <w:rPr>
          <w:rFonts w:eastAsia="Calibri"/>
          <w:szCs w:val="24"/>
        </w:rPr>
        <w:t xml:space="preserve">the supplier found </w:t>
      </w:r>
      <w:r w:rsidRPr="003B4362">
        <w:rPr>
          <w:rFonts w:eastAsia="Calibri"/>
          <w:szCs w:val="24"/>
        </w:rPr>
        <w:t>the treatment</w:t>
      </w:r>
      <w:r w:rsidR="00F724AC" w:rsidRPr="003B4362">
        <w:rPr>
          <w:szCs w:val="24"/>
        </w:rPr>
        <w:t xml:space="preserve"> </w:t>
      </w:r>
      <w:r w:rsidRPr="003B4362">
        <w:rPr>
          <w:rFonts w:eastAsia="Calibri"/>
          <w:szCs w:val="24"/>
        </w:rPr>
        <w:t>ineffective</w:t>
      </w:r>
      <w:bookmarkEnd w:id="1119"/>
      <w:r w:rsidRPr="003B4362">
        <w:rPr>
          <w:rFonts w:eastAsia="Calibri"/>
          <w:szCs w:val="24"/>
        </w:rPr>
        <w:t xml:space="preserve"> in a previous pipe loop/rig study.</w:t>
      </w:r>
    </w:p>
    <w:p w14:paraId="224E8B46" w14:textId="4A169E14" w:rsidR="006704B4" w:rsidRPr="003B4362" w:rsidRDefault="006704B4" w:rsidP="006704B4">
      <w:pPr>
        <w:autoSpaceDE w:val="0"/>
        <w:autoSpaceDN w:val="0"/>
        <w:adjustRightInd w:val="0"/>
        <w:spacing w:before="240" w:after="240"/>
        <w:ind w:left="2880" w:hanging="720"/>
        <w:rPr>
          <w:rFonts w:eastAsia="Calibri"/>
          <w:szCs w:val="24"/>
        </w:rPr>
      </w:pPr>
      <w:r w:rsidRPr="003B4362">
        <w:rPr>
          <w:rFonts w:eastAsia="Calibri"/>
          <w:szCs w:val="24"/>
        </w:rPr>
        <w:t>E)</w:t>
      </w:r>
      <w:r w:rsidRPr="003B4362">
        <w:rPr>
          <w:rFonts w:eastAsia="Calibri"/>
          <w:szCs w:val="24"/>
        </w:rPr>
        <w:tab/>
        <w:t xml:space="preserve">The </w:t>
      </w:r>
      <w:r w:rsidR="00E3080D" w:rsidRPr="003B4362">
        <w:rPr>
          <w:rFonts w:eastAsia="Calibri"/>
          <w:szCs w:val="24"/>
        </w:rPr>
        <w:t>supplier</w:t>
      </w:r>
      <w:r w:rsidRPr="003B4362">
        <w:rPr>
          <w:rFonts w:eastAsia="Calibri"/>
          <w:szCs w:val="24"/>
        </w:rPr>
        <w:t xml:space="preserve"> must evaluate the effect of </w:t>
      </w:r>
      <w:bookmarkStart w:id="1120" w:name="_Hlk118294318"/>
      <w:bookmarkStart w:id="1121" w:name="_Hlk118294151"/>
      <w:r w:rsidRPr="003B4362">
        <w:rPr>
          <w:rFonts w:eastAsia="Calibri"/>
          <w:szCs w:val="24"/>
        </w:rPr>
        <w:t xml:space="preserve">the chemicals </w:t>
      </w:r>
      <w:r w:rsidR="00E3080D" w:rsidRPr="003B4362">
        <w:rPr>
          <w:rFonts w:eastAsia="Calibri"/>
          <w:szCs w:val="24"/>
        </w:rPr>
        <w:t xml:space="preserve">it </w:t>
      </w:r>
      <w:r w:rsidRPr="003B4362">
        <w:rPr>
          <w:rFonts w:eastAsia="Calibri"/>
          <w:szCs w:val="24"/>
        </w:rPr>
        <w:t>use</w:t>
      </w:r>
      <w:r w:rsidR="00E3080D" w:rsidRPr="003B4362">
        <w:rPr>
          <w:rFonts w:eastAsia="Calibri"/>
          <w:szCs w:val="24"/>
        </w:rPr>
        <w:t>s</w:t>
      </w:r>
      <w:bookmarkEnd w:id="1120"/>
      <w:r w:rsidRPr="003B4362">
        <w:rPr>
          <w:rFonts w:eastAsia="Calibri"/>
          <w:szCs w:val="24"/>
        </w:rPr>
        <w:t xml:space="preserve"> for corrosion control treatment</w:t>
      </w:r>
      <w:bookmarkEnd w:id="1121"/>
      <w:r w:rsidRPr="003B4362">
        <w:rPr>
          <w:rFonts w:eastAsia="Calibri"/>
          <w:szCs w:val="24"/>
        </w:rPr>
        <w:t xml:space="preserve"> on other drinking water quality treatment processes.  </w:t>
      </w:r>
      <w:bookmarkStart w:id="1122" w:name="_Hlk118294377"/>
      <w:r w:rsidR="003A395A" w:rsidRPr="003B4362">
        <w:rPr>
          <w:rFonts w:eastAsia="Calibri"/>
          <w:szCs w:val="24"/>
        </w:rPr>
        <w:t xml:space="preserve">A </w:t>
      </w:r>
      <w:bookmarkStart w:id="1123" w:name="_Hlk118294417"/>
      <w:r w:rsidR="003A395A" w:rsidRPr="003B4362">
        <w:rPr>
          <w:rFonts w:eastAsia="Calibri"/>
          <w:szCs w:val="24"/>
        </w:rPr>
        <w:t>supplier</w:t>
      </w:r>
      <w:r w:rsidRPr="003B4362">
        <w:rPr>
          <w:rFonts w:eastAsia="Calibri"/>
          <w:szCs w:val="24"/>
        </w:rPr>
        <w:t xml:space="preserve"> using coupon studies</w:t>
      </w:r>
      <w:bookmarkEnd w:id="1122"/>
      <w:bookmarkEnd w:id="1123"/>
      <w:r w:rsidRPr="003B4362">
        <w:rPr>
          <w:rFonts w:eastAsia="Calibri"/>
          <w:szCs w:val="24"/>
        </w:rPr>
        <w:t xml:space="preserve"> to screen or pipe loop/rig studies to evaluate treatment options </w:t>
      </w:r>
      <w:r w:rsidR="003A395A" w:rsidRPr="003B4362">
        <w:rPr>
          <w:rFonts w:eastAsia="Calibri"/>
          <w:szCs w:val="24"/>
        </w:rPr>
        <w:t>must</w:t>
      </w:r>
      <w:r w:rsidRPr="003B4362">
        <w:rPr>
          <w:rFonts w:eastAsia="Calibri"/>
          <w:szCs w:val="24"/>
        </w:rPr>
        <w:t xml:space="preserve"> not exclude treatment strategies from the studies based on the effects </w:t>
      </w:r>
      <w:r w:rsidR="003A395A" w:rsidRPr="003B4362">
        <w:rPr>
          <w:szCs w:val="24"/>
        </w:rPr>
        <w:t>the supplier identifies under this Section</w:t>
      </w:r>
      <w:r w:rsidRPr="003B4362">
        <w:rPr>
          <w:rFonts w:eastAsia="Calibri"/>
          <w:szCs w:val="24"/>
        </w:rPr>
        <w:t>.</w:t>
      </w:r>
    </w:p>
    <w:p w14:paraId="3A41D06D" w14:textId="0C256482" w:rsidR="006704B4" w:rsidRPr="003B4362" w:rsidRDefault="006704B4" w:rsidP="006704B4">
      <w:pPr>
        <w:autoSpaceDE w:val="0"/>
        <w:autoSpaceDN w:val="0"/>
        <w:adjustRightInd w:val="0"/>
        <w:spacing w:before="240" w:after="240"/>
        <w:ind w:left="2880" w:hanging="720"/>
        <w:rPr>
          <w:rFonts w:eastAsia="Calibri"/>
          <w:szCs w:val="24"/>
        </w:rPr>
      </w:pPr>
      <w:r w:rsidRPr="003B4362">
        <w:rPr>
          <w:rFonts w:eastAsia="Calibri"/>
          <w:szCs w:val="24"/>
        </w:rPr>
        <w:t>F)</w:t>
      </w:r>
      <w:r w:rsidRPr="003B4362">
        <w:rPr>
          <w:rFonts w:eastAsia="Calibri"/>
          <w:szCs w:val="24"/>
        </w:rPr>
        <w:tab/>
      </w:r>
      <w:bookmarkStart w:id="1124" w:name="_Hlk118294790"/>
      <w:r w:rsidR="003A395A" w:rsidRPr="003B4362">
        <w:rPr>
          <w:rFonts w:eastAsia="Calibri"/>
          <w:szCs w:val="24"/>
        </w:rPr>
        <w:t>B</w:t>
      </w:r>
      <w:bookmarkStart w:id="1125" w:name="_Hlk118295007"/>
      <w:r w:rsidR="003A395A" w:rsidRPr="003B4362">
        <w:rPr>
          <w:rFonts w:eastAsia="Calibri"/>
          <w:szCs w:val="24"/>
        </w:rPr>
        <w:t>ased o</w:t>
      </w:r>
      <w:r w:rsidRPr="003B4362">
        <w:rPr>
          <w:rFonts w:eastAsia="Calibri"/>
          <w:szCs w:val="24"/>
        </w:rPr>
        <w:t xml:space="preserve">n </w:t>
      </w:r>
      <w:r w:rsidR="003A395A" w:rsidRPr="003B4362">
        <w:rPr>
          <w:rFonts w:eastAsia="Calibri"/>
          <w:szCs w:val="24"/>
        </w:rPr>
        <w:t>its</w:t>
      </w:r>
      <w:r w:rsidRPr="003B4362">
        <w:rPr>
          <w:rFonts w:eastAsia="Calibri"/>
          <w:szCs w:val="24"/>
        </w:rPr>
        <w:t xml:space="preserve"> analysis of the data </w:t>
      </w:r>
      <w:r w:rsidR="003A395A" w:rsidRPr="003B4362">
        <w:rPr>
          <w:rFonts w:eastAsia="Calibri"/>
          <w:szCs w:val="24"/>
        </w:rPr>
        <w:t xml:space="preserve">the supplier </w:t>
      </w:r>
      <w:r w:rsidRPr="003B4362">
        <w:rPr>
          <w:rFonts w:eastAsia="Calibri"/>
          <w:szCs w:val="24"/>
        </w:rPr>
        <w:t>generated</w:t>
      </w:r>
      <w:bookmarkEnd w:id="1124"/>
      <w:bookmarkEnd w:id="1125"/>
      <w:r w:rsidRPr="003B4362">
        <w:rPr>
          <w:rFonts w:eastAsia="Calibri"/>
          <w:szCs w:val="24"/>
        </w:rPr>
        <w:t xml:space="preserve"> during each evaluation, </w:t>
      </w:r>
      <w:bookmarkStart w:id="1126" w:name="_Hlk118295145"/>
      <w:r w:rsidRPr="003B4362">
        <w:rPr>
          <w:rFonts w:eastAsia="Calibri"/>
          <w:szCs w:val="24"/>
        </w:rPr>
        <w:t xml:space="preserve">the </w:t>
      </w:r>
      <w:r w:rsidR="007E7ECF" w:rsidRPr="003B4362">
        <w:rPr>
          <w:rFonts w:eastAsia="Calibri"/>
          <w:szCs w:val="24"/>
        </w:rPr>
        <w:t>supplier</w:t>
      </w:r>
      <w:r w:rsidRPr="003B4362">
        <w:rPr>
          <w:rFonts w:eastAsia="Calibri"/>
          <w:szCs w:val="24"/>
        </w:rPr>
        <w:t xml:space="preserve"> must </w:t>
      </w:r>
      <w:bookmarkStart w:id="1127" w:name="_Hlk118295498"/>
      <w:r w:rsidRPr="003B4362">
        <w:rPr>
          <w:rFonts w:eastAsia="Calibri"/>
          <w:szCs w:val="24"/>
        </w:rPr>
        <w:t xml:space="preserve">recommend to the </w:t>
      </w:r>
      <w:r w:rsidR="007E7ECF" w:rsidRPr="003B4362">
        <w:rPr>
          <w:rFonts w:eastAsia="Calibri"/>
          <w:szCs w:val="24"/>
        </w:rPr>
        <w:t>Agency</w:t>
      </w:r>
      <w:r w:rsidRPr="003B4362">
        <w:rPr>
          <w:rFonts w:eastAsia="Calibri"/>
          <w:szCs w:val="24"/>
        </w:rPr>
        <w:t xml:space="preserve"> in writing</w:t>
      </w:r>
      <w:bookmarkEnd w:id="1126"/>
      <w:bookmarkEnd w:id="1127"/>
      <w:r w:rsidRPr="003B4362">
        <w:rPr>
          <w:rFonts w:eastAsia="Calibri"/>
          <w:szCs w:val="24"/>
        </w:rPr>
        <w:t xml:space="preserve"> the treatment option that the corrosion control studies indicate constitutes </w:t>
      </w:r>
      <w:bookmarkStart w:id="1128" w:name="_Hlk118295606"/>
      <w:r w:rsidR="007E7ECF" w:rsidRPr="003B4362">
        <w:rPr>
          <w:rFonts w:eastAsia="Calibri"/>
          <w:szCs w:val="24"/>
        </w:rPr>
        <w:t>OCCT</w:t>
      </w:r>
      <w:r w:rsidRPr="003B4362">
        <w:rPr>
          <w:rFonts w:eastAsia="Calibri"/>
          <w:szCs w:val="24"/>
        </w:rPr>
        <w:t xml:space="preserve"> for </w:t>
      </w:r>
      <w:r w:rsidR="007E7ECF" w:rsidRPr="003B4362">
        <w:rPr>
          <w:rFonts w:eastAsia="Calibri"/>
          <w:szCs w:val="24"/>
        </w:rPr>
        <w:t>its</w:t>
      </w:r>
      <w:r w:rsidRPr="003B4362">
        <w:rPr>
          <w:rFonts w:eastAsia="Calibri"/>
          <w:szCs w:val="24"/>
        </w:rPr>
        <w:t xml:space="preserve"> system</w:t>
      </w:r>
      <w:bookmarkEnd w:id="1128"/>
      <w:r w:rsidRPr="003B4362">
        <w:rPr>
          <w:rFonts w:eastAsia="Calibri"/>
          <w:szCs w:val="24"/>
        </w:rPr>
        <w:t>.  T</w:t>
      </w:r>
      <w:bookmarkStart w:id="1129" w:name="_Hlk118295795"/>
      <w:bookmarkStart w:id="1130" w:name="_Hlk118295840"/>
      <w:r w:rsidRPr="003B4362">
        <w:rPr>
          <w:rFonts w:eastAsia="Calibri"/>
          <w:szCs w:val="24"/>
        </w:rPr>
        <w:t xml:space="preserve">he </w:t>
      </w:r>
      <w:bookmarkEnd w:id="1129"/>
      <w:r w:rsidR="003E3713" w:rsidRPr="003B4362">
        <w:rPr>
          <w:rFonts w:eastAsia="Calibri"/>
          <w:szCs w:val="24"/>
        </w:rPr>
        <w:t>supplier</w:t>
      </w:r>
      <w:bookmarkEnd w:id="1130"/>
      <w:r w:rsidRPr="003B4362">
        <w:rPr>
          <w:rFonts w:eastAsia="Calibri"/>
          <w:szCs w:val="24"/>
        </w:rPr>
        <w:t xml:space="preserve"> must provide a rationale for its recommendation </w:t>
      </w:r>
      <w:bookmarkStart w:id="1131" w:name="_Hlk118295997"/>
      <w:r w:rsidR="003E3713" w:rsidRPr="003B4362">
        <w:rPr>
          <w:rFonts w:eastAsia="Calibri"/>
          <w:szCs w:val="24"/>
        </w:rPr>
        <w:t>together</w:t>
      </w:r>
      <w:r w:rsidRPr="003B4362">
        <w:rPr>
          <w:rFonts w:eastAsia="Calibri"/>
          <w:szCs w:val="24"/>
        </w:rPr>
        <w:t xml:space="preserve"> with all supporting documentation</w:t>
      </w:r>
      <w:bookmarkStart w:id="1132" w:name="_Hlk118296060"/>
      <w:bookmarkEnd w:id="1131"/>
      <w:r w:rsidR="003E3713" w:rsidRPr="003B4362">
        <w:rPr>
          <w:rFonts w:eastAsia="Calibri"/>
          <w:szCs w:val="24"/>
        </w:rPr>
        <w:t xml:space="preserve"> </w:t>
      </w:r>
      <w:bookmarkStart w:id="1133" w:name="_Hlk118296213"/>
      <w:r w:rsidRPr="003B4362">
        <w:rPr>
          <w:rFonts w:eastAsia="Calibri"/>
          <w:szCs w:val="24"/>
        </w:rPr>
        <w:t>subsection</w:t>
      </w:r>
      <w:r w:rsidR="003E3713" w:rsidRPr="003B4362">
        <w:rPr>
          <w:rFonts w:eastAsia="Calibri"/>
          <w:szCs w:val="24"/>
        </w:rPr>
        <w:t>s</w:t>
      </w:r>
      <w:r w:rsidRPr="003B4362">
        <w:rPr>
          <w:rFonts w:eastAsia="Calibri"/>
          <w:szCs w:val="24"/>
        </w:rPr>
        <w:t xml:space="preserve"> (c)(1)(A) through </w:t>
      </w:r>
      <w:r w:rsidR="003E3713" w:rsidRPr="003B4362">
        <w:rPr>
          <w:rFonts w:eastAsia="Calibri"/>
          <w:szCs w:val="24"/>
        </w:rPr>
        <w:t>(c)(1)</w:t>
      </w:r>
      <w:r w:rsidRPr="003B4362">
        <w:rPr>
          <w:rFonts w:eastAsia="Calibri"/>
          <w:szCs w:val="24"/>
        </w:rPr>
        <w:t xml:space="preserve">(E) </w:t>
      </w:r>
      <w:bookmarkEnd w:id="1132"/>
      <w:r w:rsidR="003E3713" w:rsidRPr="003B4362">
        <w:rPr>
          <w:rFonts w:eastAsia="Calibri"/>
          <w:szCs w:val="24"/>
        </w:rPr>
        <w:t>specify</w:t>
      </w:r>
      <w:bookmarkEnd w:id="1133"/>
      <w:r w:rsidRPr="003B4362">
        <w:rPr>
          <w:rFonts w:eastAsia="Calibri"/>
          <w:szCs w:val="24"/>
        </w:rPr>
        <w:t>.</w:t>
      </w:r>
    </w:p>
    <w:p w14:paraId="0B09D7E9" w14:textId="5A7FBF16" w:rsidR="005451CE" w:rsidRPr="003B4362" w:rsidRDefault="005451CE" w:rsidP="005451CE">
      <w:pPr>
        <w:spacing w:before="240" w:after="240"/>
        <w:ind w:left="1440" w:hanging="720"/>
        <w:rPr>
          <w:rFonts w:eastAsia="Calibri"/>
        </w:rPr>
      </w:pPr>
      <w:r w:rsidRPr="003B4362">
        <w:rPr>
          <w:rFonts w:eastAsia="Calibri"/>
        </w:rPr>
        <w:lastRenderedPageBreak/>
        <w:t>d)</w:t>
      </w:r>
      <w:r w:rsidRPr="003B4362">
        <w:rPr>
          <w:rFonts w:eastAsia="Calibri"/>
        </w:rPr>
        <w:tab/>
      </w:r>
      <w:bookmarkStart w:id="1134" w:name="_Hlk118296610"/>
      <w:r w:rsidRPr="003B4362">
        <w:rPr>
          <w:rFonts w:eastAsia="Calibri"/>
        </w:rPr>
        <w:t>Agency Approval of</w:t>
      </w:r>
      <w:r w:rsidR="00805AC3" w:rsidRPr="003B4362">
        <w:rPr>
          <w:rFonts w:eastAsia="Calibri"/>
        </w:rPr>
        <w:t xml:space="preserve"> Optimized and Re-Optimized Corrosion Control </w:t>
      </w:r>
      <w:r w:rsidRPr="003B4362">
        <w:rPr>
          <w:rFonts w:eastAsia="Calibri"/>
        </w:rPr>
        <w:t>Treatment</w:t>
      </w:r>
      <w:bookmarkEnd w:id="1134"/>
      <w:r w:rsidR="00967232" w:rsidRPr="003B4362">
        <w:rPr>
          <w:rFonts w:eastAsia="Calibri"/>
        </w:rPr>
        <w:t>.  When designating OCCT, the Agency must consider the effects of additional corrosion control treatment on water quality parameters and other water quality treatment processes.</w:t>
      </w:r>
      <w:r w:rsidR="007865EE" w:rsidRPr="003B4362">
        <w:rPr>
          <w:rFonts w:eastAsia="Calibri"/>
        </w:rPr>
        <w:t xml:space="preserve">  The Agency must notify the supplier of the basis for de</w:t>
      </w:r>
      <w:r w:rsidR="00E705D8" w:rsidRPr="003B4362">
        <w:rPr>
          <w:rFonts w:eastAsia="Calibri"/>
        </w:rPr>
        <w:t>sig</w:t>
      </w:r>
      <w:r w:rsidR="007865EE" w:rsidRPr="003B4362">
        <w:rPr>
          <w:rFonts w:eastAsia="Calibri"/>
        </w:rPr>
        <w:t>nati</w:t>
      </w:r>
      <w:r w:rsidR="00E705D8" w:rsidRPr="003B4362">
        <w:rPr>
          <w:rFonts w:eastAsia="Calibri"/>
        </w:rPr>
        <w:t>ng OCCT</w:t>
      </w:r>
      <w:r w:rsidR="007865EE" w:rsidRPr="003B4362">
        <w:rPr>
          <w:rFonts w:eastAsia="Calibri"/>
        </w:rPr>
        <w:t xml:space="preserve"> in any SEP it issues under </w:t>
      </w:r>
      <w:r w:rsidR="00F830AE" w:rsidRPr="003B4362">
        <w:rPr>
          <w:rFonts w:eastAsia="Calibri"/>
        </w:rPr>
        <w:t xml:space="preserve">this </w:t>
      </w:r>
      <w:r w:rsidR="007865EE" w:rsidRPr="003B4362">
        <w:rPr>
          <w:rFonts w:eastAsia="Calibri"/>
        </w:rPr>
        <w:t>subsection (d).</w:t>
      </w:r>
    </w:p>
    <w:p w14:paraId="7DB0F76E" w14:textId="4C3732C6" w:rsidR="00955141" w:rsidRPr="003B4362" w:rsidRDefault="00F830AE" w:rsidP="00955141">
      <w:pPr>
        <w:spacing w:before="240" w:after="240"/>
        <w:ind w:left="2160" w:hanging="720"/>
        <w:rPr>
          <w:szCs w:val="24"/>
        </w:rPr>
      </w:pPr>
      <w:r w:rsidRPr="003B4362">
        <w:rPr>
          <w:szCs w:val="24"/>
        </w:rPr>
        <w:t>1)</w:t>
      </w:r>
      <w:r w:rsidRPr="003B4362">
        <w:rPr>
          <w:szCs w:val="24"/>
        </w:rPr>
        <w:tab/>
      </w:r>
      <w:bookmarkStart w:id="1135" w:name="_Hlk118306128"/>
      <w:r w:rsidRPr="003B4362">
        <w:rPr>
          <w:szCs w:val="24"/>
        </w:rPr>
        <w:t>Designati</w:t>
      </w:r>
      <w:r w:rsidR="004C073A" w:rsidRPr="003B4362">
        <w:rPr>
          <w:szCs w:val="24"/>
        </w:rPr>
        <w:t>ng</w:t>
      </w:r>
      <w:r w:rsidRPr="003B4362">
        <w:rPr>
          <w:szCs w:val="24"/>
        </w:rPr>
        <w:t xml:space="preserve"> OCCT for </w:t>
      </w:r>
      <w:r w:rsidR="004C073A" w:rsidRPr="003B4362">
        <w:rPr>
          <w:szCs w:val="24"/>
        </w:rPr>
        <w:t>a Supplier</w:t>
      </w:r>
      <w:r w:rsidRPr="003B4362">
        <w:rPr>
          <w:szCs w:val="24"/>
        </w:rPr>
        <w:t xml:space="preserve"> </w:t>
      </w:r>
      <w:r w:rsidR="0077118A" w:rsidRPr="003B4362">
        <w:rPr>
          <w:szCs w:val="24"/>
        </w:rPr>
        <w:t xml:space="preserve">Without </w:t>
      </w:r>
      <w:r w:rsidR="004C073A" w:rsidRPr="003B4362">
        <w:rPr>
          <w:szCs w:val="24"/>
        </w:rPr>
        <w:t>C</w:t>
      </w:r>
      <w:r w:rsidRPr="003B4362">
        <w:rPr>
          <w:szCs w:val="24"/>
        </w:rPr>
        <w:t xml:space="preserve">orrosion </w:t>
      </w:r>
      <w:r w:rsidR="004C073A" w:rsidRPr="003B4362">
        <w:rPr>
          <w:szCs w:val="24"/>
        </w:rPr>
        <w:t>C</w:t>
      </w:r>
      <w:r w:rsidRPr="003B4362">
        <w:rPr>
          <w:szCs w:val="24"/>
        </w:rPr>
        <w:t xml:space="preserve">ontrol </w:t>
      </w:r>
      <w:r w:rsidR="004C073A" w:rsidRPr="003B4362">
        <w:rPr>
          <w:szCs w:val="24"/>
        </w:rPr>
        <w:t>T</w:t>
      </w:r>
      <w:r w:rsidRPr="003B4362">
        <w:rPr>
          <w:szCs w:val="24"/>
        </w:rPr>
        <w:t>reatment</w:t>
      </w:r>
      <w:bookmarkEnd w:id="1135"/>
      <w:r w:rsidRPr="003B4362">
        <w:rPr>
          <w:szCs w:val="24"/>
        </w:rPr>
        <w:t xml:space="preserve">.  </w:t>
      </w:r>
      <w:bookmarkStart w:id="1136" w:name="_Hlk118306392"/>
      <w:r w:rsidR="00234201" w:rsidRPr="003B4362">
        <w:rPr>
          <w:szCs w:val="24"/>
        </w:rPr>
        <w:t>C</w:t>
      </w:r>
      <w:r w:rsidRPr="003B4362">
        <w:rPr>
          <w:szCs w:val="24"/>
        </w:rPr>
        <w:t>onsider</w:t>
      </w:r>
      <w:r w:rsidR="00234201" w:rsidRPr="003B4362">
        <w:rPr>
          <w:szCs w:val="24"/>
        </w:rPr>
        <w:t>ing</w:t>
      </w:r>
      <w:r w:rsidRPr="003B4362">
        <w:rPr>
          <w:szCs w:val="24"/>
        </w:rPr>
        <w:t xml:space="preserve"> available information</w:t>
      </w:r>
      <w:r w:rsidR="00234201" w:rsidRPr="003B4362">
        <w:rPr>
          <w:szCs w:val="24"/>
        </w:rPr>
        <w:t>,</w:t>
      </w:r>
      <w:r w:rsidRPr="003B4362">
        <w:rPr>
          <w:szCs w:val="24"/>
        </w:rPr>
        <w:t xml:space="preserve"> including</w:t>
      </w:r>
      <w:r w:rsidR="00234201" w:rsidRPr="003B4362">
        <w:rPr>
          <w:szCs w:val="24"/>
        </w:rPr>
        <w:t xml:space="preserve"> </w:t>
      </w:r>
      <w:r w:rsidRPr="003B4362">
        <w:rPr>
          <w:szCs w:val="24"/>
        </w:rPr>
        <w:t>applicable</w:t>
      </w:r>
      <w:r w:rsidR="00234201" w:rsidRPr="003B4362">
        <w:rPr>
          <w:szCs w:val="24"/>
        </w:rPr>
        <w:t xml:space="preserve"> </w:t>
      </w:r>
      <w:r w:rsidRPr="003B4362">
        <w:rPr>
          <w:szCs w:val="24"/>
        </w:rPr>
        <w:t>studies conducted under subsection (c)(1)</w:t>
      </w:r>
      <w:r w:rsidR="00234201" w:rsidRPr="003B4362">
        <w:rPr>
          <w:szCs w:val="24"/>
        </w:rPr>
        <w:t xml:space="preserve"> </w:t>
      </w:r>
      <w:r w:rsidRPr="003B4362">
        <w:rPr>
          <w:szCs w:val="24"/>
        </w:rPr>
        <w:t xml:space="preserve">or </w:t>
      </w:r>
      <w:r w:rsidR="00234201" w:rsidRPr="003B4362">
        <w:rPr>
          <w:szCs w:val="24"/>
        </w:rPr>
        <w:t>the</w:t>
      </w:r>
      <w:r w:rsidRPr="003B4362">
        <w:rPr>
          <w:szCs w:val="24"/>
        </w:rPr>
        <w:t xml:space="preserve"> </w:t>
      </w:r>
      <w:r w:rsidR="00234201" w:rsidRPr="003B4362">
        <w:rPr>
          <w:szCs w:val="24"/>
        </w:rPr>
        <w:t>supplier</w:t>
      </w:r>
      <w:r w:rsidRPr="003B4362">
        <w:rPr>
          <w:szCs w:val="24"/>
        </w:rPr>
        <w:t xml:space="preserve">’s recommended corrosion control treatment option, </w:t>
      </w:r>
      <w:bookmarkStart w:id="1137" w:name="_Hlk118310481"/>
      <w:r w:rsidRPr="003B4362">
        <w:rPr>
          <w:szCs w:val="24"/>
        </w:rPr>
        <w:t xml:space="preserve">the </w:t>
      </w:r>
      <w:r w:rsidR="00234201" w:rsidRPr="003B4362">
        <w:rPr>
          <w:szCs w:val="24"/>
        </w:rPr>
        <w:t>Agency</w:t>
      </w:r>
      <w:r w:rsidRPr="003B4362">
        <w:rPr>
          <w:szCs w:val="24"/>
        </w:rPr>
        <w:t xml:space="preserve"> must </w:t>
      </w:r>
      <w:r w:rsidR="00234201" w:rsidRPr="003B4362">
        <w:rPr>
          <w:szCs w:val="24"/>
        </w:rPr>
        <w:t xml:space="preserve">issue a SEP </w:t>
      </w:r>
      <w:r w:rsidR="005C36AC" w:rsidRPr="003B4362">
        <w:rPr>
          <w:szCs w:val="24"/>
        </w:rPr>
        <w:t>designating</w:t>
      </w:r>
      <w:r w:rsidR="00EE678D" w:rsidRPr="003B4362">
        <w:rPr>
          <w:szCs w:val="24"/>
        </w:rPr>
        <w:t xml:space="preserve"> from among</w:t>
      </w:r>
      <w:r w:rsidR="005C36AC" w:rsidRPr="003B4362">
        <w:rPr>
          <w:szCs w:val="24"/>
        </w:rPr>
        <w:t xml:space="preserve"> </w:t>
      </w:r>
      <w:r w:rsidRPr="003B4362">
        <w:rPr>
          <w:szCs w:val="24"/>
        </w:rPr>
        <w:t xml:space="preserve">the </w:t>
      </w:r>
      <w:r w:rsidR="005C36AC" w:rsidRPr="003B4362">
        <w:rPr>
          <w:szCs w:val="24"/>
        </w:rPr>
        <w:t xml:space="preserve">supplier-recommended </w:t>
      </w:r>
      <w:r w:rsidRPr="003B4362">
        <w:rPr>
          <w:szCs w:val="24"/>
        </w:rPr>
        <w:t>corrosion control treatment option</w:t>
      </w:r>
      <w:bookmarkEnd w:id="1136"/>
      <w:r w:rsidR="005C36AC" w:rsidRPr="003B4362">
        <w:rPr>
          <w:szCs w:val="24"/>
        </w:rPr>
        <w:t xml:space="preserve">, </w:t>
      </w:r>
      <w:r w:rsidRPr="003B4362">
        <w:rPr>
          <w:szCs w:val="24"/>
        </w:rPr>
        <w:t>alternative corrosion control treatments from among those</w:t>
      </w:r>
      <w:r w:rsidR="005C36AC" w:rsidRPr="003B4362">
        <w:rPr>
          <w:szCs w:val="24"/>
        </w:rPr>
        <w:t xml:space="preserve"> </w:t>
      </w:r>
      <w:r w:rsidRPr="003B4362">
        <w:rPr>
          <w:szCs w:val="24"/>
        </w:rPr>
        <w:t>in subsection (c)(1)(A)</w:t>
      </w:r>
      <w:r w:rsidR="005C36AC" w:rsidRPr="003B4362">
        <w:rPr>
          <w:szCs w:val="24"/>
        </w:rPr>
        <w:t>,</w:t>
      </w:r>
      <w:r w:rsidR="009820B7" w:rsidRPr="003B4362">
        <w:rPr>
          <w:szCs w:val="24"/>
        </w:rPr>
        <w:t xml:space="preserve"> </w:t>
      </w:r>
      <w:r w:rsidRPr="003B4362">
        <w:rPr>
          <w:szCs w:val="24"/>
        </w:rPr>
        <w:t>or</w:t>
      </w:r>
      <w:r w:rsidR="009820B7" w:rsidRPr="003B4362">
        <w:rPr>
          <w:szCs w:val="24"/>
        </w:rPr>
        <w:t xml:space="preserve"> </w:t>
      </w:r>
      <w:r w:rsidRPr="003B4362">
        <w:rPr>
          <w:szCs w:val="24"/>
        </w:rPr>
        <w:t xml:space="preserve">an </w:t>
      </w:r>
      <w:r w:rsidR="009820B7" w:rsidRPr="003B4362">
        <w:rPr>
          <w:szCs w:val="24"/>
        </w:rPr>
        <w:t xml:space="preserve">applicable </w:t>
      </w:r>
      <w:r w:rsidRPr="003B4362">
        <w:rPr>
          <w:szCs w:val="24"/>
        </w:rPr>
        <w:t>alternat</w:t>
      </w:r>
      <w:r w:rsidR="009820B7" w:rsidRPr="003B4362">
        <w:rPr>
          <w:szCs w:val="24"/>
        </w:rPr>
        <w:t>iv</w:t>
      </w:r>
      <w:r w:rsidRPr="003B4362">
        <w:rPr>
          <w:szCs w:val="24"/>
        </w:rPr>
        <w:t xml:space="preserve">e small </w:t>
      </w:r>
      <w:r w:rsidR="006C212F" w:rsidRPr="003B4362">
        <w:rPr>
          <w:szCs w:val="24"/>
        </w:rPr>
        <w:t>supplier</w:t>
      </w:r>
      <w:r w:rsidRPr="003B4362">
        <w:rPr>
          <w:szCs w:val="24"/>
        </w:rPr>
        <w:t xml:space="preserve"> compliance flexibility option under Section </w:t>
      </w:r>
      <w:r w:rsidR="009820B7" w:rsidRPr="003B4362">
        <w:rPr>
          <w:szCs w:val="24"/>
        </w:rPr>
        <w:t>61</w:t>
      </w:r>
      <w:r w:rsidRPr="003B4362">
        <w:rPr>
          <w:szCs w:val="24"/>
        </w:rPr>
        <w:t>1.</w:t>
      </w:r>
      <w:r w:rsidR="009820B7" w:rsidRPr="003B4362">
        <w:rPr>
          <w:szCs w:val="24"/>
        </w:rPr>
        <w:t>36</w:t>
      </w:r>
      <w:r w:rsidRPr="003B4362">
        <w:rPr>
          <w:szCs w:val="24"/>
        </w:rPr>
        <w:t>3(a)</w:t>
      </w:r>
      <w:bookmarkEnd w:id="1137"/>
      <w:r w:rsidRPr="003B4362">
        <w:rPr>
          <w:szCs w:val="24"/>
        </w:rPr>
        <w:t>.</w:t>
      </w:r>
      <w:r w:rsidR="00126E1F" w:rsidRPr="003B4362">
        <w:rPr>
          <w:szCs w:val="24"/>
        </w:rPr>
        <w:t xml:space="preserve">  </w:t>
      </w:r>
    </w:p>
    <w:p w14:paraId="5CD8B697" w14:textId="03D0D611" w:rsidR="005451CE" w:rsidRPr="003B4362" w:rsidRDefault="00F830AE" w:rsidP="00955141">
      <w:pPr>
        <w:spacing w:before="240" w:after="240"/>
        <w:ind w:left="2160" w:hanging="720"/>
        <w:rPr>
          <w:rFonts w:eastAsia="Calibri"/>
        </w:rPr>
      </w:pPr>
      <w:r w:rsidRPr="003B4362">
        <w:rPr>
          <w:szCs w:val="24"/>
        </w:rPr>
        <w:t>2)</w:t>
      </w:r>
      <w:r w:rsidRPr="003B4362">
        <w:rPr>
          <w:szCs w:val="24"/>
        </w:rPr>
        <w:tab/>
      </w:r>
      <w:bookmarkStart w:id="1138" w:name="_Hlk118310785"/>
      <w:r w:rsidRPr="003B4362">
        <w:rPr>
          <w:szCs w:val="24"/>
        </w:rPr>
        <w:t xml:space="preserve">Designation of </w:t>
      </w:r>
      <w:r w:rsidR="00EE678D" w:rsidRPr="003B4362">
        <w:rPr>
          <w:szCs w:val="24"/>
        </w:rPr>
        <w:t>R</w:t>
      </w:r>
      <w:r w:rsidRPr="003B4362">
        <w:rPr>
          <w:szCs w:val="24"/>
        </w:rPr>
        <w:t>e-</w:t>
      </w:r>
      <w:r w:rsidR="00EE678D" w:rsidRPr="003B4362">
        <w:rPr>
          <w:szCs w:val="24"/>
        </w:rPr>
        <w:t>O</w:t>
      </w:r>
      <w:r w:rsidRPr="003B4362">
        <w:rPr>
          <w:szCs w:val="24"/>
        </w:rPr>
        <w:t xml:space="preserve">ptimized OCCT for </w:t>
      </w:r>
      <w:r w:rsidR="00EE678D" w:rsidRPr="003B4362">
        <w:rPr>
          <w:szCs w:val="24"/>
        </w:rPr>
        <w:t>Supplier</w:t>
      </w:r>
      <w:r w:rsidRPr="003B4362">
        <w:rPr>
          <w:szCs w:val="24"/>
        </w:rPr>
        <w:t xml:space="preserve">s </w:t>
      </w:r>
      <w:r w:rsidR="00EE678D" w:rsidRPr="003B4362">
        <w:rPr>
          <w:szCs w:val="24"/>
        </w:rPr>
        <w:t>Applying</w:t>
      </w:r>
      <w:r w:rsidRPr="003B4362">
        <w:rPr>
          <w:szCs w:val="24"/>
        </w:rPr>
        <w:t xml:space="preserve"> </w:t>
      </w:r>
      <w:r w:rsidR="00EE678D" w:rsidRPr="003B4362">
        <w:rPr>
          <w:szCs w:val="24"/>
        </w:rPr>
        <w:t>C</w:t>
      </w:r>
      <w:r w:rsidRPr="003B4362">
        <w:rPr>
          <w:szCs w:val="24"/>
        </w:rPr>
        <w:t xml:space="preserve">orrosion </w:t>
      </w:r>
      <w:r w:rsidR="00EE678D" w:rsidRPr="003B4362">
        <w:rPr>
          <w:szCs w:val="24"/>
        </w:rPr>
        <w:t>C</w:t>
      </w:r>
      <w:r w:rsidRPr="003B4362">
        <w:rPr>
          <w:szCs w:val="24"/>
        </w:rPr>
        <w:t xml:space="preserve">ontrol </w:t>
      </w:r>
      <w:r w:rsidR="00EE678D" w:rsidRPr="003B4362">
        <w:rPr>
          <w:szCs w:val="24"/>
        </w:rPr>
        <w:t>T</w:t>
      </w:r>
      <w:r w:rsidRPr="003B4362">
        <w:rPr>
          <w:szCs w:val="24"/>
        </w:rPr>
        <w:t>reatment</w:t>
      </w:r>
      <w:bookmarkEnd w:id="1138"/>
      <w:r w:rsidRPr="003B4362">
        <w:rPr>
          <w:szCs w:val="24"/>
        </w:rPr>
        <w:t xml:space="preserve">.  </w:t>
      </w:r>
      <w:r w:rsidR="00B26358" w:rsidRPr="003B4362">
        <w:rPr>
          <w:szCs w:val="24"/>
        </w:rPr>
        <w:t>Considering available information, including applicable studies under</w:t>
      </w:r>
      <w:r w:rsidRPr="003B4362">
        <w:rPr>
          <w:szCs w:val="24"/>
        </w:rPr>
        <w:t xml:space="preserve"> subsection (c)(2) or </w:t>
      </w:r>
      <w:r w:rsidR="00B26358" w:rsidRPr="003B4362">
        <w:rPr>
          <w:szCs w:val="24"/>
        </w:rPr>
        <w:t>the</w:t>
      </w:r>
      <w:r w:rsidRPr="003B4362">
        <w:rPr>
          <w:szCs w:val="24"/>
        </w:rPr>
        <w:t xml:space="preserve"> </w:t>
      </w:r>
      <w:r w:rsidR="00B26358" w:rsidRPr="003B4362">
        <w:rPr>
          <w:szCs w:val="24"/>
        </w:rPr>
        <w:t>supplier</w:t>
      </w:r>
      <w:r w:rsidRPr="003B4362">
        <w:rPr>
          <w:szCs w:val="24"/>
        </w:rPr>
        <w:t xml:space="preserve">’s recommended </w:t>
      </w:r>
      <w:r w:rsidR="00B26358" w:rsidRPr="003B4362">
        <w:rPr>
          <w:szCs w:val="24"/>
        </w:rPr>
        <w:t xml:space="preserve">corrosion control </w:t>
      </w:r>
      <w:r w:rsidRPr="003B4362">
        <w:rPr>
          <w:szCs w:val="24"/>
        </w:rPr>
        <w:t xml:space="preserve">treatment </w:t>
      </w:r>
      <w:r w:rsidR="00B26358" w:rsidRPr="003B4362">
        <w:rPr>
          <w:szCs w:val="24"/>
        </w:rPr>
        <w:t>option</w:t>
      </w:r>
      <w:r w:rsidRPr="003B4362">
        <w:rPr>
          <w:szCs w:val="24"/>
        </w:rPr>
        <w:t xml:space="preserve">, the </w:t>
      </w:r>
      <w:r w:rsidR="00DD775F" w:rsidRPr="003B4362">
        <w:rPr>
          <w:szCs w:val="24"/>
        </w:rPr>
        <w:t>Agency must issue a SEP designating from among the supplier-recommended corrosion control treatment option, alternative corrosion control treatments from among those in subsection</w:t>
      </w:r>
      <w:r w:rsidRPr="003B4362">
        <w:rPr>
          <w:szCs w:val="24"/>
        </w:rPr>
        <w:t xml:space="preserve"> (c)(2)(A)</w:t>
      </w:r>
      <w:r w:rsidR="00DD775F" w:rsidRPr="003B4362">
        <w:rPr>
          <w:szCs w:val="24"/>
        </w:rPr>
        <w:t xml:space="preserve">, or an applicable alternative small </w:t>
      </w:r>
      <w:r w:rsidR="006C212F" w:rsidRPr="003B4362">
        <w:rPr>
          <w:szCs w:val="24"/>
        </w:rPr>
        <w:t>supplier</w:t>
      </w:r>
      <w:r w:rsidR="00DD775F" w:rsidRPr="003B4362">
        <w:rPr>
          <w:szCs w:val="24"/>
        </w:rPr>
        <w:t xml:space="preserve"> compliance flexibility option under Section 611.363(a).</w:t>
      </w:r>
      <w:r w:rsidR="00126E1F" w:rsidRPr="003B4362">
        <w:rPr>
          <w:szCs w:val="24"/>
        </w:rPr>
        <w:t xml:space="preserve">  </w:t>
      </w:r>
      <w:r w:rsidR="005451CE" w:rsidRPr="003B4362">
        <w:rPr>
          <w:rFonts w:eastAsia="Calibri"/>
        </w:rPr>
        <w:t>e)</w:t>
      </w:r>
      <w:r w:rsidR="005451CE" w:rsidRPr="003B4362">
        <w:rPr>
          <w:rFonts w:eastAsia="Calibri"/>
        </w:rPr>
        <w:tab/>
      </w:r>
      <w:bookmarkStart w:id="1139" w:name="_Hlk114500528"/>
      <w:bookmarkStart w:id="1140" w:name="_Hlk118312799"/>
      <w:r w:rsidR="005451CE" w:rsidRPr="003B4362">
        <w:rPr>
          <w:rFonts w:eastAsia="Calibri"/>
        </w:rPr>
        <w:t xml:space="preserve">Installing </w:t>
      </w:r>
      <w:r w:rsidR="00667FAD" w:rsidRPr="003B4362">
        <w:rPr>
          <w:rFonts w:eastAsia="Calibri"/>
        </w:rPr>
        <w:t>OCCT</w:t>
      </w:r>
      <w:r w:rsidR="009B072C" w:rsidRPr="003B4362">
        <w:rPr>
          <w:rFonts w:eastAsia="Calibri"/>
        </w:rPr>
        <w:t xml:space="preserve"> </w:t>
      </w:r>
      <w:r w:rsidR="009B072C" w:rsidRPr="003B4362">
        <w:rPr>
          <w:szCs w:val="24"/>
        </w:rPr>
        <w:t>and Re-Optimizing OCCT</w:t>
      </w:r>
      <w:bookmarkEnd w:id="1139"/>
      <w:bookmarkEnd w:id="1140"/>
      <w:r w:rsidR="005451CE" w:rsidRPr="003B4362">
        <w:rPr>
          <w:rFonts w:eastAsia="Calibri"/>
        </w:rPr>
        <w:t xml:space="preserve">.  A supplier must properly install and operate </w:t>
      </w:r>
      <w:bookmarkStart w:id="1141" w:name="_Hlk114500724"/>
      <w:r w:rsidR="005451CE" w:rsidRPr="003B4362">
        <w:rPr>
          <w:rFonts w:eastAsia="Calibri"/>
        </w:rPr>
        <w:t>the</w:t>
      </w:r>
      <w:r w:rsidR="00453BC1" w:rsidRPr="003B4362">
        <w:rPr>
          <w:rFonts w:eastAsia="Calibri"/>
        </w:rPr>
        <w:t xml:space="preserve"> OCCT throughout its distribution system that </w:t>
      </w:r>
      <w:bookmarkStart w:id="1142" w:name="_Hlk114500838"/>
      <w:bookmarkEnd w:id="1141"/>
      <w:r w:rsidR="005451CE" w:rsidRPr="003B4362">
        <w:rPr>
          <w:rFonts w:eastAsia="Calibri"/>
        </w:rPr>
        <w:t>the Agency approved</w:t>
      </w:r>
      <w:bookmarkEnd w:id="1142"/>
      <w:r w:rsidR="005451CE" w:rsidRPr="003B4362">
        <w:rPr>
          <w:rFonts w:eastAsia="Calibri"/>
        </w:rPr>
        <w:t xml:space="preserve"> under subsection (d).</w:t>
      </w:r>
    </w:p>
    <w:p w14:paraId="00E19614" w14:textId="5B2F9C57" w:rsidR="005451CE" w:rsidRPr="003B4362" w:rsidRDefault="005451CE" w:rsidP="005451CE">
      <w:pPr>
        <w:spacing w:before="240" w:after="240"/>
        <w:ind w:left="1440" w:hanging="720"/>
        <w:rPr>
          <w:rFonts w:eastAsia="Calibri"/>
        </w:rPr>
      </w:pPr>
      <w:r w:rsidRPr="003B4362">
        <w:rPr>
          <w:rFonts w:eastAsia="Calibri"/>
        </w:rPr>
        <w:t>f)</w:t>
      </w:r>
      <w:r w:rsidRPr="003B4362">
        <w:rPr>
          <w:rFonts w:eastAsia="Calibri"/>
        </w:rPr>
        <w:tab/>
      </w:r>
      <w:bookmarkStart w:id="1143" w:name="_Hlk118315823"/>
      <w:r w:rsidRPr="003B4362">
        <w:rPr>
          <w:rFonts w:eastAsia="Calibri"/>
        </w:rPr>
        <w:t>Agency Review of Treatment and Specification of Optimal Water Quality Control Parameters</w:t>
      </w:r>
      <w:r w:rsidR="00453BC1" w:rsidRPr="003B4362">
        <w:rPr>
          <w:szCs w:val="24"/>
        </w:rPr>
        <w:t xml:space="preserve"> for </w:t>
      </w:r>
      <w:r w:rsidR="00C65C36" w:rsidRPr="003B4362">
        <w:rPr>
          <w:szCs w:val="24"/>
        </w:rPr>
        <w:t>OCCT</w:t>
      </w:r>
      <w:r w:rsidR="00453BC1" w:rsidRPr="003B4362">
        <w:rPr>
          <w:szCs w:val="24"/>
        </w:rPr>
        <w:t xml:space="preserve"> and </w:t>
      </w:r>
      <w:r w:rsidR="00C65C36" w:rsidRPr="003B4362">
        <w:rPr>
          <w:szCs w:val="24"/>
        </w:rPr>
        <w:t>R</w:t>
      </w:r>
      <w:r w:rsidR="00453BC1" w:rsidRPr="003B4362">
        <w:rPr>
          <w:szCs w:val="24"/>
        </w:rPr>
        <w:t>e</w:t>
      </w:r>
      <w:r w:rsidR="00C65C36" w:rsidRPr="003B4362">
        <w:rPr>
          <w:szCs w:val="24"/>
        </w:rPr>
        <w:t>-O</w:t>
      </w:r>
      <w:r w:rsidR="00453BC1" w:rsidRPr="003B4362">
        <w:rPr>
          <w:szCs w:val="24"/>
        </w:rPr>
        <w:t xml:space="preserve">ptimized </w:t>
      </w:r>
      <w:r w:rsidR="00C65C36" w:rsidRPr="003B4362">
        <w:rPr>
          <w:szCs w:val="24"/>
        </w:rPr>
        <w:t>OCCT</w:t>
      </w:r>
      <w:bookmarkEnd w:id="1143"/>
      <w:r w:rsidRPr="003B4362">
        <w:rPr>
          <w:rFonts w:eastAsia="Calibri"/>
        </w:rPr>
        <w:t xml:space="preserve">.  The Agency must evaluate the results of all lead and copper tap </w:t>
      </w:r>
      <w:r w:rsidR="00301100" w:rsidRPr="003B4362">
        <w:rPr>
          <w:szCs w:val="24"/>
        </w:rPr>
        <w:t xml:space="preserve">sampling </w:t>
      </w:r>
      <w:r w:rsidRPr="003B4362">
        <w:rPr>
          <w:rFonts w:eastAsia="Calibri"/>
        </w:rPr>
        <w:t xml:space="preserve">and water quality parameter </w:t>
      </w:r>
      <w:bookmarkStart w:id="1144" w:name="_Hlk114500981"/>
      <w:r w:rsidR="00301100" w:rsidRPr="003B4362">
        <w:rPr>
          <w:szCs w:val="24"/>
        </w:rPr>
        <w:t xml:space="preserve">sampling </w:t>
      </w:r>
      <w:r w:rsidRPr="003B4362">
        <w:rPr>
          <w:rFonts w:eastAsia="Calibri"/>
        </w:rPr>
        <w:t>the supplier submits</w:t>
      </w:r>
      <w:bookmarkEnd w:id="1144"/>
      <w:r w:rsidRPr="003B4362">
        <w:rPr>
          <w:rFonts w:eastAsia="Calibri"/>
        </w:rPr>
        <w:t xml:space="preserve"> and determine </w:t>
      </w:r>
      <w:bookmarkStart w:id="1145" w:name="_Hlk114501050"/>
      <w:r w:rsidRPr="003B4362">
        <w:rPr>
          <w:rFonts w:eastAsia="Calibri"/>
        </w:rPr>
        <w:t xml:space="preserve">whether the supplier properly installs and operates </w:t>
      </w:r>
      <w:bookmarkEnd w:id="1145"/>
      <w:r w:rsidRPr="003B4362">
        <w:rPr>
          <w:rFonts w:eastAsia="Calibri"/>
        </w:rPr>
        <w:t xml:space="preserve">the </w:t>
      </w:r>
      <w:bookmarkStart w:id="1146" w:name="_Hlk114501133"/>
      <w:r w:rsidR="00301100" w:rsidRPr="003B4362">
        <w:rPr>
          <w:rFonts w:eastAsia="Calibri"/>
        </w:rPr>
        <w:t xml:space="preserve">OCCT </w:t>
      </w:r>
      <w:r w:rsidRPr="003B4362">
        <w:rPr>
          <w:rFonts w:eastAsia="Calibri"/>
        </w:rPr>
        <w:t xml:space="preserve">the Agency approves </w:t>
      </w:r>
      <w:bookmarkEnd w:id="1146"/>
      <w:r w:rsidRPr="003B4362">
        <w:rPr>
          <w:rFonts w:eastAsia="Calibri"/>
        </w:rPr>
        <w:t>under subsection (d)</w:t>
      </w:r>
      <w:r w:rsidR="00301100" w:rsidRPr="003B4362">
        <w:rPr>
          <w:szCs w:val="24"/>
        </w:rPr>
        <w:t xml:space="preserve">(1) or </w:t>
      </w:r>
      <w:r w:rsidR="00301100" w:rsidRPr="003B4362">
        <w:rPr>
          <w:rFonts w:eastAsia="Calibri"/>
        </w:rPr>
        <w:t>(d)</w:t>
      </w:r>
      <w:r w:rsidR="00301100" w:rsidRPr="003B4362">
        <w:rPr>
          <w:szCs w:val="24"/>
        </w:rPr>
        <w:t>(2)</w:t>
      </w:r>
      <w:r w:rsidRPr="003B4362">
        <w:rPr>
          <w:rFonts w:eastAsia="Calibri"/>
        </w:rPr>
        <w:t>.</w:t>
      </w:r>
    </w:p>
    <w:p w14:paraId="69471ADC" w14:textId="417BE533"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Upon reviewing </w:t>
      </w:r>
      <w:bookmarkStart w:id="1147" w:name="_Hlk114501287"/>
      <w:r w:rsidRPr="003B4362">
        <w:rPr>
          <w:rFonts w:eastAsia="Calibri"/>
        </w:rPr>
        <w:t>the results of the supplier’s tap water and water quality parameter monitoring</w:t>
      </w:r>
      <w:bookmarkEnd w:id="1147"/>
      <w:r w:rsidRPr="003B4362">
        <w:rPr>
          <w:rFonts w:eastAsia="Calibri"/>
        </w:rPr>
        <w:t xml:space="preserve">, both before and </w:t>
      </w:r>
      <w:bookmarkStart w:id="1148" w:name="_Hlk114501340"/>
      <w:r w:rsidRPr="003B4362">
        <w:rPr>
          <w:rFonts w:eastAsia="Calibri"/>
        </w:rPr>
        <w:t xml:space="preserve">after installing </w:t>
      </w:r>
      <w:r w:rsidR="00F97A4D" w:rsidRPr="003B4362">
        <w:rPr>
          <w:rFonts w:eastAsia="Calibri"/>
        </w:rPr>
        <w:t xml:space="preserve">OCCT </w:t>
      </w:r>
      <w:bookmarkEnd w:id="1148"/>
      <w:r w:rsidRPr="003B4362">
        <w:rPr>
          <w:rFonts w:eastAsia="Calibri"/>
        </w:rPr>
        <w:t xml:space="preserve">, </w:t>
      </w:r>
      <w:bookmarkStart w:id="1149" w:name="_Hlk114501397"/>
      <w:r w:rsidRPr="003B4362">
        <w:rPr>
          <w:rFonts w:eastAsia="Calibri"/>
        </w:rPr>
        <w:t>the Agency must issue a SEP specifying operating parameters</w:t>
      </w:r>
      <w:bookmarkEnd w:id="1149"/>
      <w:r w:rsidRPr="003B4362">
        <w:rPr>
          <w:rFonts w:eastAsia="Calibri"/>
        </w:rPr>
        <w:t>:</w:t>
      </w:r>
    </w:p>
    <w:p w14:paraId="67DE6075" w14:textId="03B5B180"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A minimum </w:t>
      </w:r>
      <w:bookmarkStart w:id="1150" w:name="_Hlk114501533"/>
      <w:r w:rsidRPr="003B4362">
        <w:rPr>
          <w:rFonts w:eastAsia="Calibri"/>
        </w:rPr>
        <w:t>value or range of values for pH at each entry point</w:t>
      </w:r>
      <w:bookmarkEnd w:id="1150"/>
      <w:r w:rsidRPr="003B4362">
        <w:rPr>
          <w:rFonts w:eastAsia="Calibri"/>
        </w:rPr>
        <w:t xml:space="preserve"> to the distribution system</w:t>
      </w:r>
      <w:r w:rsidR="005708FF" w:rsidRPr="003B4362">
        <w:rPr>
          <w:szCs w:val="24"/>
        </w:rPr>
        <w:t>.</w:t>
      </w:r>
    </w:p>
    <w:p w14:paraId="59275B71" w14:textId="524C57AD"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A minimum </w:t>
      </w:r>
      <w:bookmarkStart w:id="1151" w:name="_Hlk114501627"/>
      <w:r w:rsidRPr="003B4362">
        <w:rPr>
          <w:rFonts w:eastAsia="Calibri"/>
        </w:rPr>
        <w:t>pH value for all tap samples</w:t>
      </w:r>
      <w:bookmarkEnd w:id="1151"/>
      <w:r w:rsidRPr="003B4362">
        <w:rPr>
          <w:rFonts w:eastAsia="Calibri"/>
        </w:rPr>
        <w:t xml:space="preserve">.  </w:t>
      </w:r>
      <w:bookmarkStart w:id="1152" w:name="_Hlk114501680"/>
      <w:r w:rsidRPr="003B4362">
        <w:rPr>
          <w:rFonts w:eastAsia="Calibri"/>
        </w:rPr>
        <w:t>This value</w:t>
      </w:r>
      <w:bookmarkEnd w:id="1152"/>
      <w:r w:rsidRPr="003B4362">
        <w:rPr>
          <w:rFonts w:eastAsia="Calibri"/>
        </w:rPr>
        <w:t xml:space="preserve"> must be equal to or greater than 7.0, unless </w:t>
      </w:r>
      <w:bookmarkStart w:id="1153" w:name="_Hlk114501736"/>
      <w:r w:rsidRPr="003B4362">
        <w:rPr>
          <w:rFonts w:eastAsia="Calibri"/>
        </w:rPr>
        <w:t>the Agency determines that a pH 7.0 is not technologically feasible</w:t>
      </w:r>
      <w:bookmarkEnd w:id="1153"/>
      <w:r w:rsidRPr="003B4362">
        <w:rPr>
          <w:rFonts w:eastAsia="Calibri"/>
        </w:rPr>
        <w:t xml:space="preserve"> or is not necessary for the supplier to optimize corrosion control</w:t>
      </w:r>
      <w:r w:rsidR="005708FF" w:rsidRPr="003B4362">
        <w:rPr>
          <w:szCs w:val="24"/>
        </w:rPr>
        <w:t>.</w:t>
      </w:r>
    </w:p>
    <w:p w14:paraId="55EBF051" w14:textId="6691D9B6" w:rsidR="005451CE" w:rsidRPr="003B4362" w:rsidRDefault="005451CE" w:rsidP="005451CE">
      <w:pPr>
        <w:spacing w:before="240" w:after="240"/>
        <w:ind w:left="2880" w:hanging="720"/>
        <w:rPr>
          <w:rFonts w:eastAsia="Calibri"/>
        </w:rPr>
      </w:pPr>
      <w:r w:rsidRPr="003B4362">
        <w:rPr>
          <w:rFonts w:eastAsia="Calibri"/>
        </w:rPr>
        <w:lastRenderedPageBreak/>
        <w:t>C)</w:t>
      </w:r>
      <w:r w:rsidRPr="003B4362">
        <w:rPr>
          <w:rFonts w:eastAsia="Calibri"/>
        </w:rPr>
        <w:tab/>
        <w:t xml:space="preserve">If the supplier uses a corrosion inhibitor, a minimum inhibitor concentration or range of concentrations for </w:t>
      </w:r>
      <w:r w:rsidR="005708FF" w:rsidRPr="003B4362">
        <w:rPr>
          <w:szCs w:val="24"/>
        </w:rPr>
        <w:t>orthophosphate (as PO</w:t>
      </w:r>
      <w:r w:rsidR="005708FF" w:rsidRPr="003B4362">
        <w:rPr>
          <w:szCs w:val="24"/>
          <w:vertAlign w:val="subscript"/>
        </w:rPr>
        <w:t>4</w:t>
      </w:r>
      <w:r w:rsidR="005708FF" w:rsidRPr="003B4362">
        <w:rPr>
          <w:szCs w:val="24"/>
        </w:rPr>
        <w:t xml:space="preserve">) or silicate </w:t>
      </w:r>
      <w:r w:rsidRPr="003B4362">
        <w:rPr>
          <w:rFonts w:eastAsia="Calibri"/>
        </w:rPr>
        <w:t>measured at each entry point to the distribution system</w:t>
      </w:r>
      <w:r w:rsidR="005708FF" w:rsidRPr="003B4362">
        <w:rPr>
          <w:rFonts w:eastAsia="Calibri"/>
        </w:rPr>
        <w:t>.</w:t>
      </w:r>
    </w:p>
    <w:p w14:paraId="7A4DD520" w14:textId="0E9D9890" w:rsidR="001348D8" w:rsidRPr="003B4362" w:rsidRDefault="001348D8" w:rsidP="001348D8">
      <w:pPr>
        <w:autoSpaceDE w:val="0"/>
        <w:autoSpaceDN w:val="0"/>
        <w:adjustRightInd w:val="0"/>
        <w:ind w:left="2880" w:hanging="720"/>
        <w:rPr>
          <w:i/>
          <w:iCs/>
          <w:szCs w:val="24"/>
        </w:rPr>
      </w:pPr>
      <w:r w:rsidRPr="003B4362">
        <w:rPr>
          <w:szCs w:val="24"/>
        </w:rPr>
        <w:t>D)</w:t>
      </w:r>
      <w:r w:rsidRPr="003B4362">
        <w:rPr>
          <w:szCs w:val="24"/>
        </w:rPr>
        <w:tab/>
        <w:t>I</w:t>
      </w:r>
      <w:bookmarkStart w:id="1154" w:name="_Hlk118319884"/>
      <w:r w:rsidRPr="003B4362">
        <w:rPr>
          <w:szCs w:val="24"/>
        </w:rPr>
        <w:t>f the supplier uses a corrosion inhibitor</w:t>
      </w:r>
      <w:bookmarkEnd w:id="1154"/>
      <w:r w:rsidRPr="003B4362">
        <w:rPr>
          <w:szCs w:val="24"/>
        </w:rPr>
        <w:t xml:space="preserve">, the supplier must maintain </w:t>
      </w:r>
      <w:bookmarkStart w:id="1155" w:name="_Hlk118320145"/>
      <w:bookmarkStart w:id="1156" w:name="_Hlk118320528"/>
      <w:r w:rsidRPr="003B4362">
        <w:rPr>
          <w:szCs w:val="24"/>
        </w:rPr>
        <w:t>a minimum orthophosphate or silicate concentration measured in all tap samples that</w:t>
      </w:r>
      <w:r w:rsidR="000C007E" w:rsidRPr="003B4362">
        <w:rPr>
          <w:szCs w:val="24"/>
        </w:rPr>
        <w:t xml:space="preserve"> </w:t>
      </w:r>
      <w:r w:rsidRPr="003B4362">
        <w:rPr>
          <w:szCs w:val="24"/>
        </w:rPr>
        <w:t>is necessary to form a passivating film on the interior walls of the pipes of the distribution system</w:t>
      </w:r>
      <w:bookmarkEnd w:id="1155"/>
      <w:r w:rsidR="000C007E" w:rsidRPr="003B4362">
        <w:rPr>
          <w:szCs w:val="24"/>
        </w:rPr>
        <w:t>, as determined by the Agency in a SEP</w:t>
      </w:r>
      <w:bookmarkEnd w:id="1156"/>
      <w:r w:rsidRPr="003B4362">
        <w:rPr>
          <w:szCs w:val="24"/>
        </w:rPr>
        <w:t xml:space="preserve">.  </w:t>
      </w:r>
      <w:bookmarkStart w:id="1157" w:name="_Hlk118320651"/>
      <w:r w:rsidR="000C007E" w:rsidRPr="003B4362">
        <w:rPr>
          <w:szCs w:val="24"/>
        </w:rPr>
        <w:t>I</w:t>
      </w:r>
      <w:bookmarkStart w:id="1158" w:name="_Hlk118320755"/>
      <w:r w:rsidR="000C007E" w:rsidRPr="003B4362">
        <w:rPr>
          <w:szCs w:val="24"/>
        </w:rPr>
        <w:t>f the supplier uses</w:t>
      </w:r>
      <w:r w:rsidRPr="003B4362">
        <w:rPr>
          <w:szCs w:val="24"/>
        </w:rPr>
        <w:t xml:space="preserve"> orthophosphate</w:t>
      </w:r>
      <w:bookmarkEnd w:id="1157"/>
      <w:bookmarkEnd w:id="1158"/>
      <w:r w:rsidRPr="003B4362">
        <w:rPr>
          <w:szCs w:val="24"/>
        </w:rPr>
        <w:t xml:space="preserve">, </w:t>
      </w:r>
      <w:bookmarkStart w:id="1159" w:name="_Hlk118320863"/>
      <w:r w:rsidR="000C007E" w:rsidRPr="003B4362">
        <w:rPr>
          <w:szCs w:val="24"/>
        </w:rPr>
        <w:t>the supplier must maintain</w:t>
      </w:r>
      <w:r w:rsidRPr="003B4362">
        <w:rPr>
          <w:szCs w:val="24"/>
        </w:rPr>
        <w:t xml:space="preserve"> an orthophosphate concentration</w:t>
      </w:r>
      <w:r w:rsidR="000C007E" w:rsidRPr="003B4362">
        <w:rPr>
          <w:szCs w:val="24"/>
        </w:rPr>
        <w:t xml:space="preserve"> </w:t>
      </w:r>
      <w:r w:rsidRPr="003B4362">
        <w:rPr>
          <w:szCs w:val="24"/>
        </w:rPr>
        <w:t xml:space="preserve">equal to or greater than 0.5 </w:t>
      </w:r>
      <w:bookmarkStart w:id="1160" w:name="_Hlk118321683"/>
      <w:r w:rsidRPr="003B4362">
        <w:rPr>
          <w:szCs w:val="24"/>
        </w:rPr>
        <w:t>mg/</w:t>
      </w:r>
      <w:bookmarkEnd w:id="1160"/>
      <w:r w:rsidR="008E72A6" w:rsidRPr="003B4362">
        <w:t xml:space="preserve"> L</w:t>
      </w:r>
      <w:r w:rsidRPr="003B4362">
        <w:rPr>
          <w:szCs w:val="24"/>
        </w:rPr>
        <w:t xml:space="preserve"> </w:t>
      </w:r>
      <w:bookmarkStart w:id="1161" w:name="_Hlk128671841"/>
      <w:r w:rsidRPr="003B4362">
        <w:rPr>
          <w:szCs w:val="24"/>
        </w:rPr>
        <w:t>(as</w:t>
      </w:r>
      <w:r w:rsidR="00E974E7" w:rsidRPr="003B4362">
        <w:rPr>
          <w:szCs w:val="24"/>
        </w:rPr>
        <w:t xml:space="preserve"> </w:t>
      </w:r>
      <w:r w:rsidRPr="003B4362">
        <w:rPr>
          <w:szCs w:val="24"/>
        </w:rPr>
        <w:t>PO</w:t>
      </w:r>
      <w:r w:rsidRPr="003B4362">
        <w:rPr>
          <w:szCs w:val="24"/>
          <w:vertAlign w:val="subscript"/>
        </w:rPr>
        <w:t>4</w:t>
      </w:r>
      <w:r w:rsidRPr="003B4362">
        <w:rPr>
          <w:szCs w:val="24"/>
        </w:rPr>
        <w:t xml:space="preserve">) </w:t>
      </w:r>
      <w:bookmarkEnd w:id="1161"/>
      <w:r w:rsidRPr="003B4362">
        <w:rPr>
          <w:szCs w:val="24"/>
        </w:rPr>
        <w:t>for OCCT</w:t>
      </w:r>
      <w:r w:rsidRPr="003B4362">
        <w:rPr>
          <w:i/>
          <w:iCs/>
          <w:szCs w:val="24"/>
        </w:rPr>
        <w:t xml:space="preserve"> </w:t>
      </w:r>
      <w:r w:rsidR="00B904E4" w:rsidRPr="003B4362">
        <w:rPr>
          <w:szCs w:val="24"/>
        </w:rPr>
        <w:t>the Agency designates</w:t>
      </w:r>
      <w:r w:rsidRPr="003B4362">
        <w:rPr>
          <w:szCs w:val="24"/>
        </w:rPr>
        <w:t xml:space="preserve"> under subsection (d)(1) </w:t>
      </w:r>
      <w:r w:rsidR="00B904E4" w:rsidRPr="003B4362">
        <w:rPr>
          <w:szCs w:val="24"/>
        </w:rPr>
        <w:t>or</w:t>
      </w:r>
      <w:r w:rsidRPr="003B4362">
        <w:rPr>
          <w:szCs w:val="24"/>
        </w:rPr>
        <w:t xml:space="preserve"> 1.0 mg/</w:t>
      </w:r>
      <w:r w:rsidR="008E72A6" w:rsidRPr="003B4362">
        <w:t xml:space="preserve"> L</w:t>
      </w:r>
      <w:r w:rsidRPr="003B4362">
        <w:rPr>
          <w:szCs w:val="24"/>
        </w:rPr>
        <w:t xml:space="preserve"> for OCCT </w:t>
      </w:r>
      <w:bookmarkStart w:id="1162" w:name="_Hlk118321185"/>
      <w:r w:rsidR="00B904E4" w:rsidRPr="003B4362">
        <w:rPr>
          <w:szCs w:val="24"/>
        </w:rPr>
        <w:t>the Agency designates</w:t>
      </w:r>
      <w:bookmarkEnd w:id="1162"/>
      <w:r w:rsidRPr="003B4362">
        <w:rPr>
          <w:szCs w:val="24"/>
        </w:rPr>
        <w:t xml:space="preserve"> under subsection (d)(2)</w:t>
      </w:r>
      <w:bookmarkEnd w:id="1159"/>
      <w:r w:rsidRPr="003B4362">
        <w:rPr>
          <w:szCs w:val="24"/>
        </w:rPr>
        <w:t xml:space="preserve">, unless the </w:t>
      </w:r>
      <w:r w:rsidR="003F0EE5" w:rsidRPr="003B4362">
        <w:rPr>
          <w:szCs w:val="24"/>
        </w:rPr>
        <w:t>Agency</w:t>
      </w:r>
      <w:r w:rsidRPr="003B4362">
        <w:rPr>
          <w:szCs w:val="24"/>
        </w:rPr>
        <w:t xml:space="preserve"> determines that meeting the applicable minimum orthophosphate residual is not technologically feasible or is not necessary for </w:t>
      </w:r>
      <w:r w:rsidR="003F0EE5" w:rsidRPr="003B4362">
        <w:rPr>
          <w:szCs w:val="24"/>
        </w:rPr>
        <w:t>OCCT</w:t>
      </w:r>
      <w:r w:rsidRPr="003B4362">
        <w:rPr>
          <w:i/>
          <w:iCs/>
          <w:szCs w:val="24"/>
        </w:rPr>
        <w:t>.</w:t>
      </w:r>
    </w:p>
    <w:p w14:paraId="576F2D57" w14:textId="7DE345F9" w:rsidR="005451CE" w:rsidRPr="003B4362" w:rsidRDefault="003F0EE5" w:rsidP="005451CE">
      <w:pPr>
        <w:spacing w:before="240" w:after="240"/>
        <w:ind w:left="2880" w:hanging="720"/>
        <w:rPr>
          <w:rFonts w:eastAsia="Calibri"/>
        </w:rPr>
      </w:pPr>
      <w:r w:rsidRPr="003B4362">
        <w:rPr>
          <w:rFonts w:eastAsia="Calibri"/>
        </w:rPr>
        <w:t>E</w:t>
      </w:r>
      <w:r w:rsidR="005451CE" w:rsidRPr="003B4362">
        <w:rPr>
          <w:rFonts w:eastAsia="Calibri"/>
        </w:rPr>
        <w:t>)</w:t>
      </w:r>
      <w:r w:rsidR="005451CE" w:rsidRPr="003B4362">
        <w:rPr>
          <w:rFonts w:eastAsia="Calibri"/>
        </w:rPr>
        <w:tab/>
        <w:t xml:space="preserve">If the supplier adjusts alkalinity as part of </w:t>
      </w:r>
      <w:r w:rsidR="001918F3" w:rsidRPr="003B4362">
        <w:rPr>
          <w:rFonts w:eastAsia="Calibri"/>
        </w:rPr>
        <w:t>OCCT</w:t>
      </w:r>
      <w:r w:rsidR="005451CE" w:rsidRPr="003B4362">
        <w:rPr>
          <w:rFonts w:eastAsia="Calibri"/>
        </w:rPr>
        <w:t>, a minimum concentration or a range of concentrations for alkalinity for each entry point to the distribution system and in all tap samples</w:t>
      </w:r>
      <w:r w:rsidRPr="003B4362">
        <w:rPr>
          <w:rFonts w:eastAsia="Calibri"/>
        </w:rPr>
        <w:t>.</w:t>
      </w:r>
    </w:p>
    <w:p w14:paraId="188CB528" w14:textId="09112C14"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The values for the applicable water quality control parameters</w:t>
      </w:r>
      <w:r w:rsidR="002D27F9" w:rsidRPr="003B4362">
        <w:rPr>
          <w:rFonts w:eastAsia="Calibri"/>
        </w:rPr>
        <w:t xml:space="preserve"> </w:t>
      </w:r>
      <w:r w:rsidRPr="003B4362">
        <w:rPr>
          <w:rFonts w:eastAsia="Calibri"/>
        </w:rPr>
        <w:t xml:space="preserve">in subsection (f)(1) must be those the Agency determines reflect </w:t>
      </w:r>
      <w:r w:rsidR="00184161" w:rsidRPr="003B4362">
        <w:rPr>
          <w:rFonts w:eastAsia="Calibri"/>
        </w:rPr>
        <w:t xml:space="preserve">OCCT </w:t>
      </w:r>
      <w:r w:rsidRPr="003B4362">
        <w:rPr>
          <w:rFonts w:eastAsia="Calibri"/>
        </w:rPr>
        <w:t>for the supplier.</w:t>
      </w:r>
    </w:p>
    <w:p w14:paraId="6E6F7694" w14:textId="72D4AB24" w:rsidR="005451CE" w:rsidRPr="003B4362" w:rsidRDefault="00E64283" w:rsidP="005451CE">
      <w:pPr>
        <w:spacing w:before="240" w:after="240"/>
        <w:ind w:left="2160" w:hanging="720"/>
        <w:rPr>
          <w:rFonts w:eastAsia="Calibri"/>
        </w:rPr>
      </w:pPr>
      <w:r w:rsidRPr="003B4362">
        <w:rPr>
          <w:rFonts w:eastAsia="Calibri"/>
        </w:rPr>
        <w:t>3</w:t>
      </w:r>
      <w:r w:rsidR="005451CE" w:rsidRPr="003B4362">
        <w:rPr>
          <w:rFonts w:eastAsia="Calibri"/>
        </w:rPr>
        <w:t>)</w:t>
      </w:r>
      <w:r w:rsidR="005451CE" w:rsidRPr="003B4362">
        <w:rPr>
          <w:rFonts w:eastAsia="Calibri"/>
        </w:rPr>
        <w:tab/>
        <w:t xml:space="preserve">The Agency must explain these determinations </w:t>
      </w:r>
      <w:r w:rsidR="002D27F9" w:rsidRPr="003B4362">
        <w:rPr>
          <w:rFonts w:eastAsia="Calibri"/>
        </w:rPr>
        <w:t>and give</w:t>
      </w:r>
      <w:r w:rsidR="005451CE" w:rsidRPr="003B4362">
        <w:rPr>
          <w:rFonts w:eastAsia="Calibri"/>
        </w:rPr>
        <w:t xml:space="preserve"> the basis for its decisions when issuing a SEP.</w:t>
      </w:r>
    </w:p>
    <w:p w14:paraId="45250FDD" w14:textId="6677C63E" w:rsidR="005451CE" w:rsidRPr="003B4362" w:rsidRDefault="005451CE" w:rsidP="005451CE">
      <w:pPr>
        <w:spacing w:before="240" w:after="240"/>
        <w:ind w:left="1440" w:hanging="720"/>
        <w:rPr>
          <w:rFonts w:eastAsia="Calibri"/>
        </w:rPr>
      </w:pPr>
      <w:r w:rsidRPr="003B4362">
        <w:rPr>
          <w:rFonts w:eastAsia="Calibri"/>
        </w:rPr>
        <w:t>g)</w:t>
      </w:r>
      <w:r w:rsidRPr="003B4362">
        <w:rPr>
          <w:rFonts w:eastAsia="Calibri"/>
        </w:rPr>
        <w:tab/>
      </w:r>
      <w:bookmarkStart w:id="1163" w:name="_Hlk118374545"/>
      <w:r w:rsidRPr="003B4362">
        <w:rPr>
          <w:rFonts w:eastAsia="Calibri"/>
        </w:rPr>
        <w:t>Continued Operation and Monitoring</w:t>
      </w:r>
      <w:r w:rsidR="00734285" w:rsidRPr="003B4362">
        <w:rPr>
          <w:szCs w:val="24"/>
        </w:rPr>
        <w:t xml:space="preserve"> for OCCT and </w:t>
      </w:r>
      <w:r w:rsidR="00A55573" w:rsidRPr="003B4362">
        <w:rPr>
          <w:szCs w:val="24"/>
        </w:rPr>
        <w:t>R</w:t>
      </w:r>
      <w:r w:rsidR="00734285" w:rsidRPr="003B4362">
        <w:rPr>
          <w:szCs w:val="24"/>
        </w:rPr>
        <w:t>e-</w:t>
      </w:r>
      <w:r w:rsidR="00A55573" w:rsidRPr="003B4362">
        <w:rPr>
          <w:szCs w:val="24"/>
        </w:rPr>
        <w:t>O</w:t>
      </w:r>
      <w:r w:rsidR="00734285" w:rsidRPr="003B4362">
        <w:rPr>
          <w:szCs w:val="24"/>
        </w:rPr>
        <w:t xml:space="preserve">ptimized </w:t>
      </w:r>
      <w:r w:rsidR="00A55573" w:rsidRPr="003B4362">
        <w:rPr>
          <w:szCs w:val="24"/>
        </w:rPr>
        <w:t>OCCT</w:t>
      </w:r>
      <w:bookmarkEnd w:id="1163"/>
      <w:r w:rsidRPr="003B4362">
        <w:rPr>
          <w:rFonts w:eastAsia="Calibri"/>
        </w:rPr>
        <w:t xml:space="preserve">.  All suppliers optimizing </w:t>
      </w:r>
      <w:r w:rsidR="00A55573" w:rsidRPr="003B4362">
        <w:rPr>
          <w:szCs w:val="24"/>
        </w:rPr>
        <w:t xml:space="preserve">or re-optimizing </w:t>
      </w:r>
      <w:r w:rsidRPr="003B4362">
        <w:rPr>
          <w:rFonts w:eastAsia="Calibri"/>
        </w:rPr>
        <w:t>corrosion control must continue to operate and maintain</w:t>
      </w:r>
      <w:r w:rsidR="00A55573" w:rsidRPr="003B4362">
        <w:rPr>
          <w:rFonts w:eastAsia="Calibri"/>
        </w:rPr>
        <w:t xml:space="preserve"> </w:t>
      </w:r>
      <w:bookmarkStart w:id="1164" w:name="_Hlk118387645"/>
      <w:r w:rsidR="00A55573" w:rsidRPr="003B4362">
        <w:rPr>
          <w:rFonts w:eastAsia="Calibri"/>
        </w:rPr>
        <w:t>OCCT</w:t>
      </w:r>
      <w:bookmarkEnd w:id="1164"/>
      <w:r w:rsidRPr="003B4362">
        <w:rPr>
          <w:rFonts w:eastAsia="Calibri"/>
        </w:rPr>
        <w:t xml:space="preserve">, including maintaining water quality parameter values at or above minimum values or within </w:t>
      </w:r>
      <w:bookmarkStart w:id="1165" w:name="_Hlk114504560"/>
      <w:bookmarkStart w:id="1166" w:name="_Hlk118387712"/>
      <w:r w:rsidRPr="003B4362">
        <w:rPr>
          <w:rFonts w:eastAsia="Calibri"/>
        </w:rPr>
        <w:t>ranges the Agency approved</w:t>
      </w:r>
      <w:bookmarkEnd w:id="1165"/>
      <w:r w:rsidRPr="003B4362">
        <w:rPr>
          <w:rFonts w:eastAsia="Calibri"/>
        </w:rPr>
        <w:t xml:space="preserve"> </w:t>
      </w:r>
      <w:bookmarkEnd w:id="1166"/>
      <w:r w:rsidRPr="003B4362">
        <w:rPr>
          <w:rFonts w:eastAsia="Calibri"/>
        </w:rPr>
        <w:t xml:space="preserve">under subsection (f), </w:t>
      </w:r>
      <w:bookmarkStart w:id="1167" w:name="_Hlk114504611"/>
      <w:r w:rsidRPr="003B4362">
        <w:rPr>
          <w:rFonts w:eastAsia="Calibri"/>
        </w:rPr>
        <w:t>under this subsection (g)</w:t>
      </w:r>
      <w:bookmarkEnd w:id="1167"/>
      <w:r w:rsidRPr="003B4362">
        <w:rPr>
          <w:rFonts w:eastAsia="Calibri"/>
        </w:rPr>
        <w:t xml:space="preserve"> for </w:t>
      </w:r>
      <w:bookmarkStart w:id="1168" w:name="_Hlk114504674"/>
      <w:r w:rsidRPr="003B4362">
        <w:rPr>
          <w:rFonts w:eastAsia="Calibri"/>
        </w:rPr>
        <w:t xml:space="preserve">all samples the supplier collects </w:t>
      </w:r>
      <w:bookmarkEnd w:id="1168"/>
      <w:r w:rsidRPr="003B4362">
        <w:rPr>
          <w:rFonts w:eastAsia="Calibri"/>
        </w:rPr>
        <w:t xml:space="preserve">under Section 611.357(d) through (f).  </w:t>
      </w:r>
      <w:r w:rsidR="00A55573" w:rsidRPr="003B4362">
        <w:rPr>
          <w:szCs w:val="24"/>
        </w:rPr>
        <w:t>This subsection (g) appl</w:t>
      </w:r>
      <w:r w:rsidR="004842B0" w:rsidRPr="003B4362">
        <w:rPr>
          <w:szCs w:val="24"/>
        </w:rPr>
        <w:t>ies</w:t>
      </w:r>
      <w:r w:rsidR="00A55573" w:rsidRPr="003B4362">
        <w:rPr>
          <w:szCs w:val="24"/>
        </w:rPr>
        <w:t xml:space="preserve"> to all </w:t>
      </w:r>
      <w:r w:rsidR="00DB641C" w:rsidRPr="003B4362">
        <w:rPr>
          <w:szCs w:val="24"/>
        </w:rPr>
        <w:t>suppliers</w:t>
      </w:r>
      <w:r w:rsidR="00A55573" w:rsidRPr="003B4362">
        <w:rPr>
          <w:i/>
          <w:iCs/>
          <w:szCs w:val="24"/>
        </w:rPr>
        <w:t xml:space="preserve"> </w:t>
      </w:r>
      <w:bookmarkStart w:id="1169" w:name="_Hlk118379712"/>
      <w:r w:rsidR="00A55573" w:rsidRPr="003B4362">
        <w:rPr>
          <w:szCs w:val="24"/>
        </w:rPr>
        <w:t>that</w:t>
      </w:r>
      <w:r w:rsidR="00DB641C" w:rsidRPr="003B4362">
        <w:rPr>
          <w:szCs w:val="24"/>
        </w:rPr>
        <w:t xml:space="preserve"> Section </w:t>
      </w:r>
      <w:r w:rsidR="00AB2A8D" w:rsidRPr="003B4362">
        <w:rPr>
          <w:szCs w:val="24"/>
        </w:rPr>
        <w:t>61</w:t>
      </w:r>
      <w:r w:rsidR="00DB641C" w:rsidRPr="003B4362">
        <w:rPr>
          <w:szCs w:val="24"/>
        </w:rPr>
        <w:t>1.</w:t>
      </w:r>
      <w:r w:rsidR="00AB2A8D" w:rsidRPr="003B4362">
        <w:rPr>
          <w:szCs w:val="24"/>
        </w:rPr>
        <w:t>35</w:t>
      </w:r>
      <w:r w:rsidR="00DB641C" w:rsidRPr="003B4362">
        <w:rPr>
          <w:szCs w:val="24"/>
        </w:rPr>
        <w:t>7</w:t>
      </w:r>
      <w:r w:rsidR="00A55573" w:rsidRPr="003B4362">
        <w:rPr>
          <w:szCs w:val="24"/>
        </w:rPr>
        <w:t xml:space="preserve"> </w:t>
      </w:r>
      <w:r w:rsidR="00DB641C" w:rsidRPr="003B4362">
        <w:rPr>
          <w:szCs w:val="24"/>
        </w:rPr>
        <w:t>doe</w:t>
      </w:r>
      <w:r w:rsidR="00A55573" w:rsidRPr="003B4362">
        <w:rPr>
          <w:szCs w:val="24"/>
        </w:rPr>
        <w:t xml:space="preserve">s not </w:t>
      </w:r>
      <w:bookmarkStart w:id="1170" w:name="_Hlk118379771"/>
      <w:r w:rsidR="00A55573" w:rsidRPr="003B4362">
        <w:rPr>
          <w:szCs w:val="24"/>
        </w:rPr>
        <w:t>require to monitor water quality parameters</w:t>
      </w:r>
      <w:bookmarkEnd w:id="1169"/>
      <w:bookmarkEnd w:id="1170"/>
      <w:r w:rsidR="00DB641C" w:rsidRPr="003B4362">
        <w:rPr>
          <w:szCs w:val="24"/>
        </w:rPr>
        <w:t xml:space="preserve">, including </w:t>
      </w:r>
      <w:bookmarkStart w:id="1171" w:name="_Hlk118380107"/>
      <w:r w:rsidR="00DB641C" w:rsidRPr="003B4362">
        <w:rPr>
          <w:szCs w:val="24"/>
        </w:rPr>
        <w:t>consecutive system</w:t>
      </w:r>
      <w:r w:rsidR="002717A2" w:rsidRPr="003B4362">
        <w:rPr>
          <w:szCs w:val="24"/>
        </w:rPr>
        <w:t xml:space="preserve"> supplier</w:t>
      </w:r>
      <w:r w:rsidR="00DB641C" w:rsidRPr="003B4362">
        <w:rPr>
          <w:szCs w:val="24"/>
        </w:rPr>
        <w:t xml:space="preserve">s </w:t>
      </w:r>
      <w:r w:rsidR="004842B0" w:rsidRPr="003B4362">
        <w:rPr>
          <w:szCs w:val="24"/>
        </w:rPr>
        <w:t>distributing</w:t>
      </w:r>
      <w:r w:rsidR="00DB641C" w:rsidRPr="003B4362">
        <w:rPr>
          <w:szCs w:val="24"/>
        </w:rPr>
        <w:t xml:space="preserve"> water that</w:t>
      </w:r>
      <w:r w:rsidR="002717A2" w:rsidRPr="003B4362">
        <w:rPr>
          <w:szCs w:val="24"/>
        </w:rPr>
        <w:t xml:space="preserve"> another supplier</w:t>
      </w:r>
      <w:r w:rsidR="00DB641C" w:rsidRPr="003B4362">
        <w:rPr>
          <w:szCs w:val="24"/>
        </w:rPr>
        <w:t xml:space="preserve"> has treated </w:t>
      </w:r>
      <w:r w:rsidR="002717A2" w:rsidRPr="003B4362">
        <w:rPr>
          <w:szCs w:val="24"/>
        </w:rPr>
        <w:t xml:space="preserve">applying </w:t>
      </w:r>
      <w:bookmarkStart w:id="1172" w:name="_Hlk118380443"/>
      <w:bookmarkEnd w:id="1171"/>
      <w:r w:rsidR="002717A2" w:rsidRPr="003B4362">
        <w:rPr>
          <w:szCs w:val="24"/>
        </w:rPr>
        <w:t>corrosion control treatment</w:t>
      </w:r>
      <w:bookmarkEnd w:id="1172"/>
      <w:r w:rsidR="00DB641C" w:rsidRPr="003B4362">
        <w:rPr>
          <w:szCs w:val="24"/>
        </w:rPr>
        <w:t xml:space="preserve"> </w:t>
      </w:r>
      <w:bookmarkStart w:id="1173" w:name="_Hlk118382125"/>
      <w:r w:rsidR="00DB641C" w:rsidRPr="003B4362">
        <w:rPr>
          <w:szCs w:val="24"/>
        </w:rPr>
        <w:t xml:space="preserve">and any </w:t>
      </w:r>
      <w:r w:rsidR="002717A2" w:rsidRPr="003B4362">
        <w:rPr>
          <w:szCs w:val="24"/>
        </w:rPr>
        <w:t>suppliers</w:t>
      </w:r>
      <w:r w:rsidR="00DB641C" w:rsidRPr="003B4362">
        <w:rPr>
          <w:szCs w:val="24"/>
        </w:rPr>
        <w:t xml:space="preserve"> </w:t>
      </w:r>
      <w:r w:rsidR="002717A2" w:rsidRPr="003B4362">
        <w:rPr>
          <w:szCs w:val="24"/>
        </w:rPr>
        <w:t>applying</w:t>
      </w:r>
      <w:r w:rsidR="00DB641C" w:rsidRPr="003B4362">
        <w:rPr>
          <w:szCs w:val="24"/>
        </w:rPr>
        <w:t xml:space="preserve"> corrosion control treatment</w:t>
      </w:r>
      <w:bookmarkEnd w:id="1173"/>
      <w:r w:rsidR="00DB641C" w:rsidRPr="003B4362">
        <w:rPr>
          <w:szCs w:val="24"/>
        </w:rPr>
        <w:t xml:space="preserve">, </w:t>
      </w:r>
      <w:r w:rsidR="002717A2" w:rsidRPr="003B4362">
        <w:rPr>
          <w:szCs w:val="24"/>
        </w:rPr>
        <w:t>OCCT</w:t>
      </w:r>
      <w:r w:rsidR="00DB641C" w:rsidRPr="003B4362">
        <w:rPr>
          <w:i/>
          <w:iCs/>
          <w:szCs w:val="24"/>
        </w:rPr>
        <w:t xml:space="preserve">, </w:t>
      </w:r>
      <w:r w:rsidR="00DB641C" w:rsidRPr="003B4362">
        <w:rPr>
          <w:szCs w:val="24"/>
        </w:rPr>
        <w:t>or re-optimized OCCT</w:t>
      </w:r>
      <w:r w:rsidR="00A55573" w:rsidRPr="003B4362">
        <w:rPr>
          <w:szCs w:val="24"/>
        </w:rPr>
        <w:t xml:space="preserve">.  </w:t>
      </w:r>
      <w:bookmarkStart w:id="1174" w:name="_Hlk118387940"/>
      <w:r w:rsidRPr="003B4362">
        <w:rPr>
          <w:rFonts w:eastAsia="Calibri"/>
        </w:rPr>
        <w:t>T</w:t>
      </w:r>
      <w:bookmarkStart w:id="1175" w:name="_Hlk114504753"/>
      <w:r w:rsidRPr="003B4362">
        <w:rPr>
          <w:rFonts w:eastAsia="Calibri"/>
        </w:rPr>
        <w:t xml:space="preserve">he supplier must determine whether it complies </w:t>
      </w:r>
      <w:bookmarkStart w:id="1176" w:name="_Hlk118387903"/>
      <w:r w:rsidRPr="003B4362">
        <w:rPr>
          <w:rFonts w:eastAsia="Calibri"/>
        </w:rPr>
        <w:t>with this subsection (g)</w:t>
      </w:r>
      <w:bookmarkEnd w:id="1174"/>
      <w:r w:rsidRPr="003B4362">
        <w:rPr>
          <w:rFonts w:eastAsia="Calibri"/>
        </w:rPr>
        <w:t xml:space="preserve"> </w:t>
      </w:r>
      <w:bookmarkEnd w:id="1175"/>
      <w:bookmarkEnd w:id="1176"/>
      <w:r w:rsidRPr="003B4362">
        <w:rPr>
          <w:rFonts w:eastAsia="Calibri"/>
        </w:rPr>
        <w:t xml:space="preserve">every six months, </w:t>
      </w:r>
      <w:bookmarkStart w:id="1177" w:name="_Hlk114504989"/>
      <w:r w:rsidRPr="003B4362">
        <w:rPr>
          <w:rFonts w:eastAsia="Calibri"/>
        </w:rPr>
        <w:t>as Section 611.357(d) specifies</w:t>
      </w:r>
      <w:bookmarkEnd w:id="1177"/>
      <w:r w:rsidRPr="003B4362">
        <w:rPr>
          <w:rFonts w:eastAsia="Calibri"/>
        </w:rPr>
        <w:t>.  A</w:t>
      </w:r>
      <w:bookmarkStart w:id="1178" w:name="_Hlk114505076"/>
      <w:r w:rsidRPr="003B4362">
        <w:rPr>
          <w:rFonts w:eastAsia="Calibri"/>
        </w:rPr>
        <w:t xml:space="preserve"> </w:t>
      </w:r>
      <w:r w:rsidR="003C0DC4" w:rsidRPr="003B4362">
        <w:rPr>
          <w:rFonts w:eastAsia="Calibri"/>
        </w:rPr>
        <w:t xml:space="preserve">supplier </w:t>
      </w:r>
      <w:r w:rsidRPr="003B4362">
        <w:rPr>
          <w:rFonts w:eastAsia="Calibri"/>
        </w:rPr>
        <w:t>does not comply with this subsection (g)</w:t>
      </w:r>
      <w:bookmarkEnd w:id="1178"/>
      <w:r w:rsidRPr="003B4362">
        <w:rPr>
          <w:rFonts w:eastAsia="Calibri"/>
        </w:rPr>
        <w:t xml:space="preserve"> </w:t>
      </w:r>
      <w:bookmarkStart w:id="1179" w:name="_Hlk114505170"/>
      <w:r w:rsidRPr="003B4362">
        <w:rPr>
          <w:rFonts w:eastAsia="Calibri"/>
        </w:rPr>
        <w:t xml:space="preserve">in any six-month period during which the supplier has excursions </w:t>
      </w:r>
      <w:r w:rsidR="0042049C" w:rsidRPr="003B4362">
        <w:rPr>
          <w:rFonts w:eastAsia="Calibri"/>
        </w:rPr>
        <w:t xml:space="preserve">from </w:t>
      </w:r>
      <w:r w:rsidRPr="003B4362">
        <w:rPr>
          <w:rFonts w:eastAsia="Calibri"/>
        </w:rPr>
        <w:t xml:space="preserve">any Agency-specified </w:t>
      </w:r>
      <w:r w:rsidR="0042049C" w:rsidRPr="003B4362">
        <w:rPr>
          <w:rFonts w:eastAsia="Calibri"/>
        </w:rPr>
        <w:t xml:space="preserve">water quality </w:t>
      </w:r>
      <w:r w:rsidRPr="003B4362">
        <w:rPr>
          <w:rFonts w:eastAsia="Calibri"/>
        </w:rPr>
        <w:t xml:space="preserve">parameter on more than nine </w:t>
      </w:r>
      <w:r w:rsidR="00AB2A8D" w:rsidRPr="003B4362">
        <w:rPr>
          <w:rFonts w:eastAsia="Calibri"/>
        </w:rPr>
        <w:t xml:space="preserve">cumulative </w:t>
      </w:r>
      <w:r w:rsidRPr="003B4362">
        <w:rPr>
          <w:rFonts w:eastAsia="Calibri"/>
        </w:rPr>
        <w:t xml:space="preserve">days during the </w:t>
      </w:r>
      <w:r w:rsidR="004C02B9" w:rsidRPr="003B4362">
        <w:rPr>
          <w:rFonts w:eastAsia="Calibri"/>
        </w:rPr>
        <w:t>six-month</w:t>
      </w:r>
      <w:r w:rsidR="00766B4E" w:rsidRPr="003B4362">
        <w:rPr>
          <w:rFonts w:eastAsia="Calibri"/>
        </w:rPr>
        <w:t xml:space="preserve"> </w:t>
      </w:r>
      <w:r w:rsidRPr="003B4362">
        <w:rPr>
          <w:rFonts w:eastAsia="Calibri"/>
        </w:rPr>
        <w:t>period</w:t>
      </w:r>
      <w:bookmarkEnd w:id="1179"/>
      <w:r w:rsidRPr="003B4362">
        <w:rPr>
          <w:rFonts w:eastAsia="Calibri"/>
        </w:rPr>
        <w:t xml:space="preserve">.  An excursion occurs whenever the daily value for one or more of the water quality parameters measured at a sampling location is </w:t>
      </w:r>
      <w:bookmarkStart w:id="1180" w:name="_Hlk114505342"/>
      <w:r w:rsidRPr="003B4362">
        <w:rPr>
          <w:rFonts w:eastAsia="Calibri"/>
        </w:rPr>
        <w:t>below the Agency-</w:t>
      </w:r>
      <w:r w:rsidRPr="003B4362">
        <w:rPr>
          <w:rFonts w:eastAsia="Calibri"/>
        </w:rPr>
        <w:lastRenderedPageBreak/>
        <w:t>designated minimum value or outside the Agency-designated range</w:t>
      </w:r>
      <w:bookmarkEnd w:id="1180"/>
      <w:r w:rsidRPr="003B4362">
        <w:rPr>
          <w:rFonts w:eastAsia="Calibri"/>
        </w:rPr>
        <w:t>.  T</w:t>
      </w:r>
      <w:bookmarkStart w:id="1181" w:name="_Hlk114505518"/>
      <w:r w:rsidRPr="003B4362">
        <w:rPr>
          <w:rFonts w:eastAsia="Calibri"/>
        </w:rPr>
        <w:t xml:space="preserve">he supplier calculates daily values </w:t>
      </w:r>
      <w:bookmarkStart w:id="1182" w:name="_Hlk118387236"/>
      <w:r w:rsidRPr="003B4362">
        <w:rPr>
          <w:rFonts w:eastAsia="Calibri"/>
        </w:rPr>
        <w:t>as subsections (g)(1) through (g)(3) provide</w:t>
      </w:r>
      <w:bookmarkEnd w:id="1181"/>
      <w:bookmarkEnd w:id="1182"/>
      <w:r w:rsidRPr="003B4362">
        <w:rPr>
          <w:rFonts w:eastAsia="Calibri"/>
        </w:rPr>
        <w:t xml:space="preserve">.  The Agency </w:t>
      </w:r>
      <w:r w:rsidR="004C02B9" w:rsidRPr="003B4362">
        <w:rPr>
          <w:rFonts w:eastAsia="Calibri"/>
        </w:rPr>
        <w:t xml:space="preserve">may exclude </w:t>
      </w:r>
      <w:bookmarkStart w:id="1183" w:name="_Hlk114505642"/>
      <w:r w:rsidRPr="003B4362">
        <w:rPr>
          <w:rFonts w:eastAsia="Calibri"/>
        </w:rPr>
        <w:t>results from this calculation that it determines are obvious sampling errors</w:t>
      </w:r>
      <w:bookmarkEnd w:id="1183"/>
      <w:r w:rsidR="00031753" w:rsidRPr="003B4362">
        <w:rPr>
          <w:szCs w:val="24"/>
        </w:rPr>
        <w:t xml:space="preserve">.  </w:t>
      </w:r>
      <w:bookmarkStart w:id="1184" w:name="_Hlk118388380"/>
      <w:r w:rsidR="003C0DC4" w:rsidRPr="003B4362">
        <w:rPr>
          <w:szCs w:val="24"/>
        </w:rPr>
        <w:t>The supplier must record s</w:t>
      </w:r>
      <w:r w:rsidR="00031753" w:rsidRPr="003B4362">
        <w:rPr>
          <w:szCs w:val="24"/>
        </w:rPr>
        <w:t>ampling errors</w:t>
      </w:r>
      <w:bookmarkEnd w:id="1184"/>
      <w:r w:rsidR="00253454" w:rsidRPr="003B4362">
        <w:rPr>
          <w:szCs w:val="24"/>
        </w:rPr>
        <w:t xml:space="preserve"> </w:t>
      </w:r>
      <w:r w:rsidR="00031753" w:rsidRPr="003B4362">
        <w:rPr>
          <w:szCs w:val="24"/>
        </w:rPr>
        <w:t>even when not included in calculations.</w:t>
      </w:r>
    </w:p>
    <w:p w14:paraId="39DE741E" w14:textId="40C1604B"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On days </w:t>
      </w:r>
      <w:bookmarkStart w:id="1185" w:name="_Hlk114506720"/>
      <w:r w:rsidRPr="003B4362">
        <w:rPr>
          <w:rFonts w:eastAsia="Calibri"/>
        </w:rPr>
        <w:t>when the supplier collects more than one measurement for a water quality parameter at a sampling location</w:t>
      </w:r>
      <w:bookmarkEnd w:id="1185"/>
      <w:r w:rsidRPr="003B4362">
        <w:rPr>
          <w:rFonts w:eastAsia="Calibri"/>
        </w:rPr>
        <w:t xml:space="preserve">, </w:t>
      </w:r>
      <w:bookmarkStart w:id="1186" w:name="_Hlk114506891"/>
      <w:r w:rsidRPr="003B4362">
        <w:rPr>
          <w:rFonts w:eastAsia="Calibri"/>
        </w:rPr>
        <w:t xml:space="preserve">the daily value is the average of all results the supplier collected during the day, regardless of whether the supplier collected the samples </w:t>
      </w:r>
      <w:bookmarkEnd w:id="1186"/>
      <w:r w:rsidRPr="003B4362">
        <w:rPr>
          <w:rFonts w:eastAsia="Calibri"/>
        </w:rPr>
        <w:t>through continuous monitoring, grab sampling, or a combination of both.</w:t>
      </w:r>
    </w:p>
    <w:p w14:paraId="26196CC8" w14:textId="40E6C5BB" w:rsidR="005451CE" w:rsidRPr="003B4362" w:rsidRDefault="005451CE" w:rsidP="005451CE">
      <w:pPr>
        <w:spacing w:before="240" w:after="240"/>
        <w:ind w:left="2160"/>
        <w:rPr>
          <w:rFonts w:eastAsia="Calibri"/>
        </w:rPr>
      </w:pPr>
      <w:r w:rsidRPr="003B4362">
        <w:rPr>
          <w:rFonts w:eastAsia="Calibri"/>
        </w:rPr>
        <w:t>BOARD NOTE:  Corresponding 40 CFR 141.82(g)(1) further provides as follows:  If USEPA approves an alternative formula under 40 CFR 142.16</w:t>
      </w:r>
      <w:r w:rsidR="00253454" w:rsidRPr="003B4362">
        <w:rPr>
          <w:szCs w:val="24"/>
        </w:rPr>
        <w:t>(d)(1)(ii)</w:t>
      </w:r>
      <w:r w:rsidRPr="003B4362">
        <w:rPr>
          <w:rFonts w:eastAsia="Calibri"/>
        </w:rPr>
        <w:t xml:space="preserve"> in the State’s application for a program revision submitted under 40 CFR 142.12, </w:t>
      </w:r>
      <w:bookmarkStart w:id="1187" w:name="_Hlk114507174"/>
      <w:r w:rsidRPr="003B4362">
        <w:rPr>
          <w:rFonts w:eastAsia="Calibri"/>
        </w:rPr>
        <w:t>the approved formula is used to aggregate multiple measurements at a sampling point</w:t>
      </w:r>
      <w:bookmarkEnd w:id="1187"/>
      <w:r w:rsidRPr="003B4362">
        <w:rPr>
          <w:rFonts w:eastAsia="Calibri"/>
        </w:rPr>
        <w:t xml:space="preserve"> for the water quality </w:t>
      </w:r>
      <w:r w:rsidR="00253454" w:rsidRPr="003B4362">
        <w:rPr>
          <w:szCs w:val="24"/>
        </w:rPr>
        <w:t xml:space="preserve">parameters </w:t>
      </w:r>
      <w:r w:rsidRPr="003B4362">
        <w:rPr>
          <w:rFonts w:eastAsia="Calibri"/>
        </w:rPr>
        <w:t>in lieu of the formula in this subsection (g)</w:t>
      </w:r>
      <w:r w:rsidR="00253454" w:rsidRPr="003B4362">
        <w:rPr>
          <w:szCs w:val="24"/>
        </w:rPr>
        <w:t>(1)</w:t>
      </w:r>
      <w:r w:rsidRPr="003B4362">
        <w:rPr>
          <w:rFonts w:eastAsia="Calibri"/>
        </w:rPr>
        <w:t>.</w:t>
      </w:r>
    </w:p>
    <w:p w14:paraId="386EEBE1" w14:textId="44ADBDDE"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On days </w:t>
      </w:r>
      <w:bookmarkStart w:id="1188" w:name="_Hlk114508956"/>
      <w:r w:rsidRPr="003B4362">
        <w:rPr>
          <w:rFonts w:eastAsia="Calibri"/>
        </w:rPr>
        <w:t>when the supplier collects only one measurement for a water quality parameter at a sampling location</w:t>
      </w:r>
      <w:bookmarkEnd w:id="1188"/>
      <w:r w:rsidRPr="003B4362">
        <w:rPr>
          <w:rFonts w:eastAsia="Calibri"/>
        </w:rPr>
        <w:t xml:space="preserve">, </w:t>
      </w:r>
      <w:bookmarkStart w:id="1189" w:name="_Hlk114509042"/>
      <w:r w:rsidRPr="003B4362">
        <w:rPr>
          <w:rFonts w:eastAsia="Calibri"/>
        </w:rPr>
        <w:t>the daily value is that measurement</w:t>
      </w:r>
      <w:bookmarkEnd w:id="1189"/>
      <w:r w:rsidRPr="003B4362">
        <w:rPr>
          <w:rFonts w:eastAsia="Calibri"/>
        </w:rPr>
        <w:t>.</w:t>
      </w:r>
    </w:p>
    <w:p w14:paraId="125BEB8F" w14:textId="21D3AC53"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On days </w:t>
      </w:r>
      <w:bookmarkStart w:id="1190" w:name="_Hlk114509198"/>
      <w:r w:rsidRPr="003B4362">
        <w:rPr>
          <w:rFonts w:eastAsia="Calibri"/>
        </w:rPr>
        <w:t>when the supplier collects no measurement for a water quality parameter at a sampling location</w:t>
      </w:r>
      <w:bookmarkEnd w:id="1190"/>
      <w:r w:rsidRPr="003B4362">
        <w:rPr>
          <w:rFonts w:eastAsia="Calibri"/>
        </w:rPr>
        <w:t xml:space="preserve">, </w:t>
      </w:r>
      <w:bookmarkStart w:id="1191" w:name="_Hlk114509312"/>
      <w:r w:rsidRPr="003B4362">
        <w:rPr>
          <w:rFonts w:eastAsia="Calibri"/>
        </w:rPr>
        <w:t>the daily value is the daily value calculated on the most recent day on which the supplier measured the water quality parameter at the</w:t>
      </w:r>
      <w:r w:rsidR="00253454" w:rsidRPr="003B4362">
        <w:rPr>
          <w:rFonts w:eastAsia="Calibri"/>
        </w:rPr>
        <w:t xml:space="preserve"> sampling</w:t>
      </w:r>
      <w:r w:rsidR="00253454" w:rsidRPr="003B4362">
        <w:rPr>
          <w:szCs w:val="24"/>
        </w:rPr>
        <w:t xml:space="preserve"> location</w:t>
      </w:r>
      <w:bookmarkEnd w:id="1191"/>
      <w:r w:rsidRPr="003B4362">
        <w:rPr>
          <w:rFonts w:eastAsia="Calibri"/>
        </w:rPr>
        <w:t>.</w:t>
      </w:r>
    </w:p>
    <w:p w14:paraId="6B68981A" w14:textId="5086B79B" w:rsidR="005451CE" w:rsidRPr="003B4362" w:rsidRDefault="005451CE" w:rsidP="005451CE">
      <w:pPr>
        <w:spacing w:before="240" w:after="240"/>
        <w:ind w:left="1440" w:hanging="720"/>
        <w:rPr>
          <w:rFonts w:eastAsia="Calibri"/>
        </w:rPr>
      </w:pPr>
      <w:r w:rsidRPr="003B4362">
        <w:rPr>
          <w:rFonts w:eastAsia="Calibri"/>
        </w:rPr>
        <w:t>h)</w:t>
      </w:r>
      <w:r w:rsidRPr="003B4362">
        <w:rPr>
          <w:rFonts w:eastAsia="Calibri"/>
        </w:rPr>
        <w:tab/>
      </w:r>
      <w:bookmarkStart w:id="1192" w:name="_Hlk114509434"/>
      <w:bookmarkStart w:id="1193" w:name="_Hlk118394073"/>
      <w:r w:rsidRPr="003B4362">
        <w:rPr>
          <w:rFonts w:eastAsia="Calibri"/>
        </w:rPr>
        <w:t>Modifying Agency Treatment Decisions</w:t>
      </w:r>
      <w:bookmarkEnd w:id="1192"/>
      <w:r w:rsidR="005F3417" w:rsidRPr="003B4362">
        <w:rPr>
          <w:szCs w:val="24"/>
        </w:rPr>
        <w:t xml:space="preserve"> for OCCT and re-optimized OCCT</w:t>
      </w:r>
      <w:bookmarkEnd w:id="1193"/>
    </w:p>
    <w:p w14:paraId="269FFE68" w14:textId="4614D5E9"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O</w:t>
      </w:r>
      <w:bookmarkStart w:id="1194" w:name="_Hlk114509525"/>
      <w:r w:rsidRPr="003B4362">
        <w:rPr>
          <w:rFonts w:eastAsia="Calibri"/>
        </w:rPr>
        <w:t>n its own initiative or in response to a request by the supplier</w:t>
      </w:r>
      <w:bookmarkEnd w:id="1194"/>
      <w:r w:rsidRPr="003B4362">
        <w:rPr>
          <w:rFonts w:eastAsia="Calibri"/>
        </w:rPr>
        <w:t xml:space="preserve">, </w:t>
      </w:r>
      <w:bookmarkStart w:id="1195" w:name="_Hlk114509605"/>
      <w:r w:rsidRPr="003B4362">
        <w:rPr>
          <w:rFonts w:eastAsia="Calibri"/>
        </w:rPr>
        <w:t>the Agency may issue a SEP modifying its determination</w:t>
      </w:r>
      <w:bookmarkEnd w:id="1195"/>
      <w:r w:rsidRPr="003B4362">
        <w:rPr>
          <w:rFonts w:eastAsia="Calibri"/>
        </w:rPr>
        <w:t xml:space="preserve"> of the </w:t>
      </w:r>
      <w:r w:rsidR="001918F3" w:rsidRPr="003B4362">
        <w:rPr>
          <w:rFonts w:eastAsia="Calibri"/>
        </w:rPr>
        <w:t xml:space="preserve">OCCT </w:t>
      </w:r>
      <w:r w:rsidRPr="003B4362">
        <w:rPr>
          <w:rFonts w:eastAsia="Calibri"/>
        </w:rPr>
        <w:t>under subsection (d) or of the optimal water quality control parameters under subsection (f).</w:t>
      </w:r>
    </w:p>
    <w:p w14:paraId="62EF910E" w14:textId="40F068A9"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A</w:t>
      </w:r>
      <w:bookmarkStart w:id="1196" w:name="_Hlk114509722"/>
      <w:r w:rsidRPr="003B4362">
        <w:rPr>
          <w:rFonts w:eastAsia="Calibri"/>
        </w:rPr>
        <w:t xml:space="preserve"> supplier must request modification in writing</w:t>
      </w:r>
      <w:bookmarkEnd w:id="1196"/>
      <w:r w:rsidRPr="003B4362">
        <w:rPr>
          <w:rFonts w:eastAsia="Calibri"/>
        </w:rPr>
        <w:t xml:space="preserve">, </w:t>
      </w:r>
      <w:bookmarkStart w:id="1197" w:name="_Hlk114509787"/>
      <w:r w:rsidRPr="003B4362">
        <w:rPr>
          <w:rFonts w:eastAsia="Calibri"/>
        </w:rPr>
        <w:t>explaining the propriety of the modification and providing supporting documentation</w:t>
      </w:r>
      <w:bookmarkEnd w:id="1197"/>
      <w:r w:rsidRPr="003B4362">
        <w:rPr>
          <w:rFonts w:eastAsia="Calibri"/>
        </w:rPr>
        <w:t>.</w:t>
      </w:r>
    </w:p>
    <w:p w14:paraId="1B9CA58C" w14:textId="7AD95B64"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The Agency may </w:t>
      </w:r>
      <w:bookmarkStart w:id="1198" w:name="_Hlk114509950"/>
      <w:r w:rsidRPr="003B4362">
        <w:rPr>
          <w:rFonts w:eastAsia="Calibri"/>
        </w:rPr>
        <w:t xml:space="preserve">modify its determination </w:t>
      </w:r>
      <w:r w:rsidRPr="003B4362">
        <w:rPr>
          <w:rFonts w:eastAsia="Calibri"/>
          <w:spacing w:val="-3"/>
        </w:rPr>
        <w:t xml:space="preserve">if </w:t>
      </w:r>
      <w:r w:rsidRPr="003B4362">
        <w:rPr>
          <w:rFonts w:eastAsia="Calibri"/>
        </w:rPr>
        <w:t>it determines that a change will ensure that the supplier continues optimizing corrosion control treatment</w:t>
      </w:r>
      <w:bookmarkEnd w:id="1198"/>
      <w:r w:rsidRPr="003B4362">
        <w:rPr>
          <w:rFonts w:eastAsia="Calibri"/>
        </w:rPr>
        <w:t xml:space="preserve">.  A revised determination must </w:t>
      </w:r>
      <w:bookmarkStart w:id="1199" w:name="_Hlk114510037"/>
      <w:r w:rsidRPr="003B4362">
        <w:rPr>
          <w:rFonts w:eastAsia="Calibri"/>
        </w:rPr>
        <w:t>give the new treatment requirements</w:t>
      </w:r>
      <w:bookmarkEnd w:id="1199"/>
      <w:r w:rsidR="005D0770" w:rsidRPr="003B4362">
        <w:rPr>
          <w:szCs w:val="24"/>
        </w:rPr>
        <w:t xml:space="preserve"> or water quality parameters</w:t>
      </w:r>
      <w:r w:rsidRPr="003B4362">
        <w:rPr>
          <w:rFonts w:eastAsia="Calibri"/>
        </w:rPr>
        <w:t>, explain the basis for the Agency’s decision, and provide an implementation schedule for completing the treatment modifications</w:t>
      </w:r>
      <w:r w:rsidR="005D0770" w:rsidRPr="003B4362">
        <w:rPr>
          <w:szCs w:val="24"/>
        </w:rPr>
        <w:t xml:space="preserve"> for re-optimized OCCT</w:t>
      </w:r>
      <w:r w:rsidRPr="003B4362">
        <w:rPr>
          <w:rFonts w:eastAsia="Calibri"/>
        </w:rPr>
        <w:t>.</w:t>
      </w:r>
    </w:p>
    <w:p w14:paraId="6387AF11" w14:textId="3CAF42B8" w:rsidR="005451CE" w:rsidRPr="003B4362" w:rsidRDefault="005451CE" w:rsidP="005451CE">
      <w:pPr>
        <w:spacing w:before="240" w:after="240"/>
        <w:ind w:left="2160" w:hanging="720"/>
        <w:rPr>
          <w:rFonts w:eastAsia="Calibri"/>
        </w:rPr>
      </w:pPr>
      <w:r w:rsidRPr="003B4362">
        <w:rPr>
          <w:rFonts w:eastAsia="Calibri"/>
        </w:rPr>
        <w:lastRenderedPageBreak/>
        <w:t>4)</w:t>
      </w:r>
      <w:r w:rsidRPr="003B4362">
        <w:rPr>
          <w:rFonts w:eastAsia="Calibri"/>
        </w:rPr>
        <w:tab/>
        <w:t xml:space="preserve">Any interested person may submit information to the Agency bearing on </w:t>
      </w:r>
      <w:bookmarkStart w:id="1200" w:name="_Hlk114510128"/>
      <w:r w:rsidRPr="003B4362">
        <w:rPr>
          <w:rFonts w:eastAsia="Calibri"/>
        </w:rPr>
        <w:t>whether the Agency should exercise its discretion and issue a SEP modifying its determination</w:t>
      </w:r>
      <w:bookmarkEnd w:id="1200"/>
      <w:r w:rsidRPr="003B4362">
        <w:rPr>
          <w:rFonts w:eastAsia="Calibri"/>
        </w:rPr>
        <w:t xml:space="preserve"> under subsection (h)(1).  An Agency determination </w:t>
      </w:r>
      <w:bookmarkStart w:id="1201" w:name="_Hlk114510203"/>
      <w:r w:rsidRPr="003B4362">
        <w:rPr>
          <w:rFonts w:eastAsia="Calibri"/>
        </w:rPr>
        <w:t>not to act on information an interested person submits</w:t>
      </w:r>
      <w:bookmarkEnd w:id="1201"/>
      <w:r w:rsidRPr="003B4362">
        <w:rPr>
          <w:rFonts w:eastAsia="Calibri"/>
        </w:rPr>
        <w:t xml:space="preserve"> is not an Agency determination for the purposes of Sections 39 and 40 of the Act.</w:t>
      </w:r>
    </w:p>
    <w:p w14:paraId="67541CC1" w14:textId="42F4A139" w:rsidR="005451CE" w:rsidRPr="003B4362" w:rsidRDefault="005451CE" w:rsidP="005451CE">
      <w:pPr>
        <w:spacing w:before="240" w:after="240"/>
        <w:ind w:left="1440" w:hanging="720"/>
        <w:rPr>
          <w:rFonts w:eastAsia="Calibri"/>
        </w:rPr>
      </w:pPr>
      <w:r w:rsidRPr="003B4362">
        <w:rPr>
          <w:rFonts w:eastAsia="Calibri"/>
        </w:rPr>
        <w:t>i)</w:t>
      </w:r>
      <w:r w:rsidRPr="003B4362">
        <w:rPr>
          <w:rFonts w:eastAsia="Calibri"/>
        </w:rPr>
        <w:tab/>
      </w:r>
      <w:bookmarkStart w:id="1202" w:name="_Hlk118395344"/>
      <w:bookmarkStart w:id="1203" w:name="_Hlk114510358"/>
      <w:r w:rsidRPr="003B4362">
        <w:rPr>
          <w:rFonts w:eastAsia="Calibri"/>
        </w:rPr>
        <w:t>USEPA Treatment Decisions</w:t>
      </w:r>
      <w:r w:rsidR="00A0445B" w:rsidRPr="003B4362">
        <w:rPr>
          <w:szCs w:val="24"/>
        </w:rPr>
        <w:t xml:space="preserve"> on OCCT and re-optimized OCCT</w:t>
      </w:r>
      <w:bookmarkEnd w:id="1202"/>
      <w:bookmarkEnd w:id="1203"/>
      <w:r w:rsidRPr="003B4362">
        <w:rPr>
          <w:rFonts w:eastAsia="Calibri"/>
        </w:rPr>
        <w:t>.  U</w:t>
      </w:r>
      <w:bookmarkStart w:id="1204" w:name="_Hlk114510522"/>
      <w:r w:rsidRPr="003B4362">
        <w:rPr>
          <w:rFonts w:eastAsia="Calibri"/>
        </w:rPr>
        <w:t>nder 40 CFR 142.19</w:t>
      </w:r>
      <w:bookmarkEnd w:id="1204"/>
      <w:r w:rsidRPr="003B4362">
        <w:rPr>
          <w:rFonts w:eastAsia="Calibri"/>
        </w:rPr>
        <w:t xml:space="preserve">, </w:t>
      </w:r>
      <w:bookmarkStart w:id="1205" w:name="_Hlk114510566"/>
      <w:r w:rsidRPr="003B4362">
        <w:rPr>
          <w:rFonts w:eastAsia="Calibri"/>
        </w:rPr>
        <w:t xml:space="preserve">USEPA reserves the prerogative to </w:t>
      </w:r>
      <w:bookmarkStart w:id="1206" w:name="_Hlk118395755"/>
      <w:r w:rsidRPr="003B4362">
        <w:rPr>
          <w:rFonts w:eastAsia="Calibri"/>
        </w:rPr>
        <w:t xml:space="preserve">review Agency </w:t>
      </w:r>
      <w:r w:rsidR="00A0445B" w:rsidRPr="003B4362">
        <w:rPr>
          <w:rFonts w:eastAsia="Calibri"/>
        </w:rPr>
        <w:t xml:space="preserve">OCCT </w:t>
      </w:r>
      <w:r w:rsidRPr="003B4362">
        <w:rPr>
          <w:rFonts w:eastAsia="Calibri"/>
        </w:rPr>
        <w:t>treatment determinations</w:t>
      </w:r>
      <w:bookmarkEnd w:id="1206"/>
      <w:r w:rsidRPr="003B4362">
        <w:rPr>
          <w:rFonts w:eastAsia="Calibri"/>
        </w:rPr>
        <w:t xml:space="preserve"> </w:t>
      </w:r>
      <w:bookmarkEnd w:id="1205"/>
      <w:r w:rsidRPr="003B4362">
        <w:rPr>
          <w:rFonts w:eastAsia="Calibri"/>
        </w:rPr>
        <w:t>under subsections (d)</w:t>
      </w:r>
      <w:r w:rsidR="00E72761" w:rsidRPr="003B4362">
        <w:rPr>
          <w:szCs w:val="24"/>
        </w:rPr>
        <w:t xml:space="preserve">(1) or </w:t>
      </w:r>
      <w:r w:rsidR="00E72761" w:rsidRPr="003B4362">
        <w:rPr>
          <w:rFonts w:eastAsia="Calibri"/>
        </w:rPr>
        <w:t>(d)</w:t>
      </w:r>
      <w:r w:rsidR="00E72761" w:rsidRPr="003B4362">
        <w:rPr>
          <w:szCs w:val="24"/>
        </w:rPr>
        <w:t>(2)</w:t>
      </w:r>
      <w:r w:rsidRPr="003B4362">
        <w:rPr>
          <w:rFonts w:eastAsia="Calibri"/>
        </w:rPr>
        <w:t xml:space="preserve">, (f), or (h) and </w:t>
      </w:r>
      <w:bookmarkStart w:id="1207" w:name="_Hlk114510959"/>
      <w:r w:rsidRPr="003B4362">
        <w:rPr>
          <w:rFonts w:eastAsia="Calibri"/>
        </w:rPr>
        <w:t>issue federal treatment determinations consistent with 40 CFR 141.82(d)</w:t>
      </w:r>
      <w:r w:rsidR="00E72761" w:rsidRPr="003B4362">
        <w:rPr>
          <w:szCs w:val="24"/>
        </w:rPr>
        <w:t xml:space="preserve">(1) or </w:t>
      </w:r>
      <w:r w:rsidR="00E72761" w:rsidRPr="003B4362">
        <w:rPr>
          <w:rFonts w:eastAsia="Calibri"/>
        </w:rPr>
        <w:t>(d)</w:t>
      </w:r>
      <w:r w:rsidR="00E72761" w:rsidRPr="003B4362">
        <w:rPr>
          <w:szCs w:val="24"/>
        </w:rPr>
        <w:t>(2)</w:t>
      </w:r>
      <w:r w:rsidRPr="003B4362">
        <w:rPr>
          <w:rFonts w:eastAsia="Calibri"/>
        </w:rPr>
        <w:t>, (</w:t>
      </w:r>
      <w:r w:rsidR="00A510FA" w:rsidRPr="003B4362">
        <w:rPr>
          <w:rFonts w:eastAsia="Calibri"/>
        </w:rPr>
        <w:t>f</w:t>
      </w:r>
      <w:r w:rsidRPr="003B4362">
        <w:rPr>
          <w:rFonts w:eastAsia="Calibri"/>
        </w:rPr>
        <w:t xml:space="preserve">), or (h) </w:t>
      </w:r>
      <w:r w:rsidRPr="003B4362">
        <w:rPr>
          <w:rFonts w:eastAsia="Calibri"/>
          <w:spacing w:val="-3"/>
        </w:rPr>
        <w:t xml:space="preserve">if USEPA </w:t>
      </w:r>
      <w:r w:rsidRPr="003B4362">
        <w:rPr>
          <w:rFonts w:eastAsia="Calibri"/>
        </w:rPr>
        <w:t>finds that certain conditions exist</w:t>
      </w:r>
      <w:bookmarkEnd w:id="1207"/>
      <w:r w:rsidRPr="003B4362">
        <w:rPr>
          <w:rFonts w:eastAsia="Calibri"/>
        </w:rPr>
        <w:t>:</w:t>
      </w:r>
    </w:p>
    <w:p w14:paraId="20E00270" w14:textId="403A348A"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T</w:t>
      </w:r>
      <w:bookmarkStart w:id="1208" w:name="_Hlk114511129"/>
      <w:r w:rsidRPr="003B4362">
        <w:rPr>
          <w:rFonts w:eastAsia="Calibri"/>
        </w:rPr>
        <w:t>he Agency fails to issue a treatment determination</w:t>
      </w:r>
      <w:bookmarkEnd w:id="1208"/>
      <w:r w:rsidRPr="003B4362">
        <w:rPr>
          <w:rFonts w:eastAsia="Calibri"/>
        </w:rPr>
        <w:t xml:space="preserve"> by the applicable </w:t>
      </w:r>
      <w:bookmarkStart w:id="1209" w:name="_Hlk114511186"/>
      <w:r w:rsidRPr="003B4362">
        <w:rPr>
          <w:rFonts w:eastAsia="Calibri"/>
        </w:rPr>
        <w:t>deadlines in Section 611.351</w:t>
      </w:r>
      <w:bookmarkEnd w:id="1209"/>
      <w:r w:rsidRPr="003B4362">
        <w:rPr>
          <w:rFonts w:eastAsia="Calibri"/>
        </w:rPr>
        <w:t xml:space="preserve"> </w:t>
      </w:r>
      <w:bookmarkStart w:id="1210" w:name="_Hlk114511264"/>
      <w:r w:rsidRPr="003B4362">
        <w:rPr>
          <w:rFonts w:eastAsia="Calibri"/>
        </w:rPr>
        <w:t>(corresponding with 40 CFR 141.81)</w:t>
      </w:r>
      <w:bookmarkEnd w:id="1210"/>
      <w:r w:rsidRPr="003B4362">
        <w:rPr>
          <w:rFonts w:eastAsia="Calibri"/>
        </w:rPr>
        <w:t>;</w:t>
      </w:r>
    </w:p>
    <w:p w14:paraId="4CCA52DC" w14:textId="55FB6F7F"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T</w:t>
      </w:r>
      <w:bookmarkStart w:id="1211" w:name="_Hlk114511395"/>
      <w:r w:rsidRPr="003B4362">
        <w:rPr>
          <w:rFonts w:eastAsia="Calibri"/>
        </w:rPr>
        <w:t>he Agency abuses its discretion in a substantial number of instances or in instances affecting a substantial population</w:t>
      </w:r>
      <w:bookmarkEnd w:id="1211"/>
      <w:r w:rsidRPr="003B4362">
        <w:rPr>
          <w:rFonts w:eastAsia="Calibri"/>
        </w:rPr>
        <w:t>; or</w:t>
      </w:r>
    </w:p>
    <w:p w14:paraId="08D9A967" w14:textId="4B5178D6"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The technical aspects of the Agency’s determination would be indefensible </w:t>
      </w:r>
      <w:bookmarkStart w:id="1212" w:name="_Hlk114511500"/>
      <w:r w:rsidRPr="003B4362">
        <w:rPr>
          <w:rFonts w:eastAsia="Calibri"/>
        </w:rPr>
        <w:t>in a federal enforcement action taken against the supplier</w:t>
      </w:r>
      <w:bookmarkEnd w:id="1212"/>
      <w:r w:rsidRPr="003B4362">
        <w:rPr>
          <w:rFonts w:eastAsia="Calibri"/>
        </w:rPr>
        <w:t>.</w:t>
      </w:r>
    </w:p>
    <w:p w14:paraId="7B556C4E" w14:textId="7ED17BAC" w:rsidR="00E72761" w:rsidRPr="003B4362" w:rsidRDefault="00E72761" w:rsidP="00E72761">
      <w:pPr>
        <w:autoSpaceDE w:val="0"/>
        <w:autoSpaceDN w:val="0"/>
        <w:adjustRightInd w:val="0"/>
        <w:spacing w:before="240" w:after="240"/>
        <w:ind w:left="1440" w:hanging="720"/>
        <w:rPr>
          <w:rFonts w:eastAsia="Calibri"/>
          <w:szCs w:val="24"/>
        </w:rPr>
      </w:pPr>
      <w:r w:rsidRPr="003B4362">
        <w:rPr>
          <w:rFonts w:eastAsia="Calibri"/>
          <w:szCs w:val="24"/>
        </w:rPr>
        <w:t>j)</w:t>
      </w:r>
      <w:r w:rsidRPr="003B4362">
        <w:rPr>
          <w:rFonts w:eastAsia="Calibri"/>
          <w:szCs w:val="24"/>
        </w:rPr>
        <w:tab/>
      </w:r>
      <w:bookmarkStart w:id="1213" w:name="_Hlk118396803"/>
      <w:r w:rsidRPr="003B4362">
        <w:rPr>
          <w:rFonts w:eastAsia="Calibri"/>
          <w:szCs w:val="24"/>
        </w:rPr>
        <w:t xml:space="preserve">Find-and-fix </w:t>
      </w:r>
      <w:r w:rsidR="00056318" w:rsidRPr="003B4362">
        <w:rPr>
          <w:rFonts w:eastAsia="Calibri"/>
          <w:szCs w:val="24"/>
        </w:rPr>
        <w:t>A</w:t>
      </w:r>
      <w:r w:rsidRPr="003B4362">
        <w:rPr>
          <w:rFonts w:eastAsia="Calibri"/>
          <w:szCs w:val="24"/>
        </w:rPr>
        <w:t xml:space="preserve">ssessment for </w:t>
      </w:r>
      <w:r w:rsidR="00056318" w:rsidRPr="003B4362">
        <w:rPr>
          <w:rFonts w:eastAsia="Calibri"/>
          <w:szCs w:val="24"/>
        </w:rPr>
        <w:t>T</w:t>
      </w:r>
      <w:r w:rsidRPr="003B4362">
        <w:rPr>
          <w:rFonts w:eastAsia="Calibri"/>
          <w:szCs w:val="24"/>
        </w:rPr>
        <w:t xml:space="preserve">ap </w:t>
      </w:r>
      <w:r w:rsidR="00056318" w:rsidRPr="003B4362">
        <w:rPr>
          <w:rFonts w:eastAsia="Calibri"/>
          <w:szCs w:val="24"/>
        </w:rPr>
        <w:t>S</w:t>
      </w:r>
      <w:r w:rsidRPr="003B4362">
        <w:rPr>
          <w:rFonts w:eastAsia="Calibri"/>
          <w:szCs w:val="24"/>
        </w:rPr>
        <w:t xml:space="preserve">ample </w:t>
      </w:r>
      <w:r w:rsidR="00056318" w:rsidRPr="003B4362">
        <w:rPr>
          <w:rFonts w:eastAsia="Calibri"/>
          <w:szCs w:val="24"/>
        </w:rPr>
        <w:t>S</w:t>
      </w:r>
      <w:r w:rsidRPr="003B4362">
        <w:rPr>
          <w:rFonts w:eastAsia="Calibri"/>
          <w:szCs w:val="24"/>
        </w:rPr>
        <w:t xml:space="preserve">ites </w:t>
      </w:r>
      <w:r w:rsidR="00056318" w:rsidRPr="003B4362">
        <w:rPr>
          <w:rFonts w:eastAsia="Calibri"/>
          <w:szCs w:val="24"/>
        </w:rPr>
        <w:t>E</w:t>
      </w:r>
      <w:r w:rsidRPr="003B4362">
        <w:rPr>
          <w:rFonts w:eastAsia="Calibri"/>
          <w:szCs w:val="24"/>
        </w:rPr>
        <w:t>xceed</w:t>
      </w:r>
      <w:r w:rsidR="00056318" w:rsidRPr="003B4362">
        <w:rPr>
          <w:rFonts w:eastAsia="Calibri"/>
          <w:szCs w:val="24"/>
        </w:rPr>
        <w:t>ing</w:t>
      </w:r>
      <w:r w:rsidRPr="003B4362">
        <w:rPr>
          <w:rFonts w:eastAsia="Calibri"/>
          <w:szCs w:val="24"/>
        </w:rPr>
        <w:t xml:space="preserve"> the </w:t>
      </w:r>
      <w:r w:rsidR="00056318" w:rsidRPr="003B4362">
        <w:rPr>
          <w:rFonts w:eastAsia="Calibri"/>
          <w:szCs w:val="24"/>
        </w:rPr>
        <w:t>L</w:t>
      </w:r>
      <w:r w:rsidRPr="003B4362">
        <w:rPr>
          <w:rFonts w:eastAsia="Calibri"/>
          <w:szCs w:val="24"/>
        </w:rPr>
        <w:t xml:space="preserve">ead </w:t>
      </w:r>
      <w:r w:rsidR="00056318" w:rsidRPr="003B4362">
        <w:rPr>
          <w:rFonts w:eastAsia="Calibri"/>
          <w:szCs w:val="24"/>
        </w:rPr>
        <w:t>A</w:t>
      </w:r>
      <w:r w:rsidRPr="003B4362">
        <w:rPr>
          <w:rFonts w:eastAsia="Calibri"/>
          <w:szCs w:val="24"/>
        </w:rPr>
        <w:t xml:space="preserve">ction </w:t>
      </w:r>
      <w:r w:rsidR="00056318" w:rsidRPr="003B4362">
        <w:rPr>
          <w:rFonts w:eastAsia="Calibri"/>
          <w:szCs w:val="24"/>
        </w:rPr>
        <w:t>L</w:t>
      </w:r>
      <w:r w:rsidRPr="003B4362">
        <w:rPr>
          <w:rFonts w:eastAsia="Calibri"/>
          <w:szCs w:val="24"/>
        </w:rPr>
        <w:t>evel</w:t>
      </w:r>
      <w:bookmarkEnd w:id="1213"/>
      <w:r w:rsidRPr="003B4362">
        <w:rPr>
          <w:rFonts w:eastAsia="Calibri"/>
          <w:szCs w:val="24"/>
        </w:rPr>
        <w:t>.  T</w:t>
      </w:r>
      <w:bookmarkStart w:id="1214" w:name="_Hlk118397010"/>
      <w:r w:rsidRPr="003B4362">
        <w:rPr>
          <w:rFonts w:eastAsia="Calibri"/>
          <w:szCs w:val="24"/>
        </w:rPr>
        <w:t xml:space="preserve">he </w:t>
      </w:r>
      <w:r w:rsidR="00056318" w:rsidRPr="003B4362">
        <w:rPr>
          <w:rFonts w:eastAsia="Calibri"/>
          <w:szCs w:val="24"/>
        </w:rPr>
        <w:t>supplier</w:t>
      </w:r>
      <w:r w:rsidRPr="003B4362">
        <w:rPr>
          <w:rFonts w:eastAsia="Calibri"/>
          <w:szCs w:val="24"/>
        </w:rPr>
        <w:t xml:space="preserve"> </w:t>
      </w:r>
      <w:r w:rsidR="00056318" w:rsidRPr="003B4362">
        <w:rPr>
          <w:rFonts w:eastAsia="Calibri"/>
          <w:szCs w:val="24"/>
        </w:rPr>
        <w:t>must</w:t>
      </w:r>
      <w:r w:rsidRPr="003B4362">
        <w:rPr>
          <w:rFonts w:eastAsia="Calibri"/>
          <w:szCs w:val="24"/>
        </w:rPr>
        <w:t xml:space="preserve"> conduct </w:t>
      </w:r>
      <w:r w:rsidR="00056318" w:rsidRPr="003B4362">
        <w:rPr>
          <w:rFonts w:eastAsia="Calibri"/>
          <w:szCs w:val="24"/>
        </w:rPr>
        <w:t>specific</w:t>
      </w:r>
      <w:r w:rsidRPr="003B4362">
        <w:rPr>
          <w:rFonts w:eastAsia="Calibri"/>
          <w:szCs w:val="24"/>
        </w:rPr>
        <w:t xml:space="preserve"> steps</w:t>
      </w:r>
      <w:bookmarkEnd w:id="1214"/>
      <w:r w:rsidR="00056318" w:rsidRPr="003B4362">
        <w:rPr>
          <w:rFonts w:eastAsia="Calibri"/>
        </w:rPr>
        <w:t xml:space="preserve"> </w:t>
      </w:r>
      <w:r w:rsidRPr="003B4362">
        <w:rPr>
          <w:rFonts w:eastAsia="Calibri"/>
          <w:szCs w:val="24"/>
        </w:rPr>
        <w:t>when a tap sampl</w:t>
      </w:r>
      <w:r w:rsidR="00056318" w:rsidRPr="003B4362">
        <w:rPr>
          <w:rFonts w:eastAsia="Calibri"/>
          <w:szCs w:val="24"/>
        </w:rPr>
        <w:t>ing</w:t>
      </w:r>
      <w:r w:rsidRPr="003B4362">
        <w:rPr>
          <w:rFonts w:eastAsia="Calibri"/>
          <w:szCs w:val="24"/>
        </w:rPr>
        <w:t xml:space="preserve"> site </w:t>
      </w:r>
      <w:bookmarkStart w:id="1215" w:name="_Hlk118397958"/>
      <w:r w:rsidRPr="003B4362">
        <w:rPr>
          <w:rFonts w:eastAsia="Calibri"/>
          <w:szCs w:val="24"/>
        </w:rPr>
        <w:t xml:space="preserve">exceeds the lead action level </w:t>
      </w:r>
      <w:r w:rsidR="0028163E" w:rsidRPr="003B4362">
        <w:rPr>
          <w:rFonts w:eastAsia="Calibri"/>
          <w:szCs w:val="24"/>
        </w:rPr>
        <w:t>in</w:t>
      </w:r>
      <w:r w:rsidRPr="003B4362">
        <w:rPr>
          <w:rFonts w:eastAsia="Calibri"/>
          <w:szCs w:val="24"/>
        </w:rPr>
        <w:t xml:space="preserve"> monitoring</w:t>
      </w:r>
      <w:r w:rsidR="0028163E" w:rsidRPr="003B4362">
        <w:rPr>
          <w:rFonts w:eastAsia="Calibri"/>
        </w:rPr>
        <w:t xml:space="preserve"> </w:t>
      </w:r>
      <w:r w:rsidRPr="003B4362">
        <w:rPr>
          <w:rFonts w:eastAsia="Calibri"/>
          <w:szCs w:val="24"/>
        </w:rPr>
        <w:t xml:space="preserve">under Section </w:t>
      </w:r>
      <w:r w:rsidR="0028163E" w:rsidRPr="003B4362">
        <w:rPr>
          <w:rFonts w:eastAsia="Calibri"/>
          <w:szCs w:val="24"/>
        </w:rPr>
        <w:t>61</w:t>
      </w:r>
      <w:r w:rsidRPr="003B4362">
        <w:rPr>
          <w:rFonts w:eastAsia="Calibri"/>
          <w:szCs w:val="24"/>
        </w:rPr>
        <w:t>1.</w:t>
      </w:r>
      <w:r w:rsidR="0028163E" w:rsidRPr="003B4362">
        <w:rPr>
          <w:rFonts w:eastAsia="Calibri"/>
          <w:szCs w:val="24"/>
        </w:rPr>
        <w:t>35</w:t>
      </w:r>
      <w:r w:rsidRPr="003B4362">
        <w:rPr>
          <w:rFonts w:eastAsia="Calibri"/>
          <w:szCs w:val="24"/>
        </w:rPr>
        <w:t>6</w:t>
      </w:r>
      <w:bookmarkEnd w:id="1215"/>
      <w:r w:rsidRPr="003B4362">
        <w:rPr>
          <w:rFonts w:eastAsia="Calibri"/>
          <w:szCs w:val="24"/>
        </w:rPr>
        <w:t>.</w:t>
      </w:r>
    </w:p>
    <w:p w14:paraId="1728D5FD" w14:textId="261812F8" w:rsidR="00E72761" w:rsidRPr="003B4362" w:rsidRDefault="00E72761" w:rsidP="00E72761">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r>
      <w:bookmarkStart w:id="1216" w:name="_Hlk118398093"/>
      <w:r w:rsidRPr="003B4362">
        <w:rPr>
          <w:rFonts w:eastAsia="Calibri"/>
          <w:szCs w:val="24"/>
        </w:rPr>
        <w:t>Step 1:</w:t>
      </w:r>
      <w:r w:rsidR="0028163E" w:rsidRPr="003B4362">
        <w:rPr>
          <w:rFonts w:eastAsia="Calibri"/>
          <w:szCs w:val="24"/>
        </w:rPr>
        <w:t xml:space="preserve"> </w:t>
      </w:r>
      <w:r w:rsidRPr="003B4362">
        <w:rPr>
          <w:rFonts w:eastAsia="Calibri"/>
          <w:szCs w:val="24"/>
        </w:rPr>
        <w:t xml:space="preserve"> </w:t>
      </w:r>
      <w:r w:rsidR="0028163E" w:rsidRPr="003B4362">
        <w:rPr>
          <w:rFonts w:eastAsia="Calibri"/>
          <w:szCs w:val="24"/>
        </w:rPr>
        <w:t>C</w:t>
      </w:r>
      <w:r w:rsidRPr="003B4362">
        <w:rPr>
          <w:rFonts w:eastAsia="Calibri"/>
          <w:szCs w:val="24"/>
        </w:rPr>
        <w:t xml:space="preserve">orrosion </w:t>
      </w:r>
      <w:r w:rsidR="0028163E" w:rsidRPr="003B4362">
        <w:rPr>
          <w:rFonts w:eastAsia="Calibri"/>
          <w:szCs w:val="24"/>
        </w:rPr>
        <w:t>C</w:t>
      </w:r>
      <w:r w:rsidRPr="003B4362">
        <w:rPr>
          <w:rFonts w:eastAsia="Calibri"/>
          <w:szCs w:val="24"/>
        </w:rPr>
        <w:t xml:space="preserve">ontrol </w:t>
      </w:r>
      <w:r w:rsidR="0028163E" w:rsidRPr="003B4362">
        <w:rPr>
          <w:rFonts w:eastAsia="Calibri"/>
          <w:szCs w:val="24"/>
        </w:rPr>
        <w:t>T</w:t>
      </w:r>
      <w:r w:rsidRPr="003B4362">
        <w:rPr>
          <w:rFonts w:eastAsia="Calibri"/>
          <w:szCs w:val="24"/>
        </w:rPr>
        <w:t xml:space="preserve">reatment </w:t>
      </w:r>
      <w:r w:rsidR="0028163E" w:rsidRPr="003B4362">
        <w:rPr>
          <w:rFonts w:eastAsia="Calibri"/>
          <w:szCs w:val="24"/>
        </w:rPr>
        <w:t>A</w:t>
      </w:r>
      <w:r w:rsidRPr="003B4362">
        <w:rPr>
          <w:rFonts w:eastAsia="Calibri"/>
          <w:szCs w:val="24"/>
        </w:rPr>
        <w:t>ssessment</w:t>
      </w:r>
      <w:bookmarkEnd w:id="1216"/>
      <w:r w:rsidRPr="003B4362">
        <w:rPr>
          <w:rFonts w:eastAsia="Calibri"/>
          <w:szCs w:val="24"/>
        </w:rPr>
        <w:t xml:space="preserve">.  The </w:t>
      </w:r>
      <w:r w:rsidR="0028163E" w:rsidRPr="003B4362">
        <w:rPr>
          <w:rFonts w:eastAsia="Calibri"/>
          <w:szCs w:val="24"/>
        </w:rPr>
        <w:t>supplier</w:t>
      </w:r>
      <w:r w:rsidRPr="003B4362">
        <w:rPr>
          <w:rFonts w:eastAsia="Calibri"/>
          <w:szCs w:val="24"/>
        </w:rPr>
        <w:t xml:space="preserve"> must sample at a new water quality parameter </w:t>
      </w:r>
      <w:r w:rsidR="00812B31" w:rsidRPr="003B4362">
        <w:rPr>
          <w:rFonts w:eastAsia="Calibri"/>
          <w:szCs w:val="24"/>
        </w:rPr>
        <w:t xml:space="preserve">sampling </w:t>
      </w:r>
      <w:r w:rsidRPr="003B4362">
        <w:rPr>
          <w:rFonts w:eastAsia="Calibri"/>
          <w:szCs w:val="24"/>
        </w:rPr>
        <w:t xml:space="preserve">site that is on the </w:t>
      </w:r>
      <w:bookmarkStart w:id="1217" w:name="_Hlk118398926"/>
      <w:r w:rsidRPr="003B4362">
        <w:rPr>
          <w:rFonts w:eastAsia="Calibri"/>
          <w:szCs w:val="24"/>
        </w:rPr>
        <w:t>same</w:t>
      </w:r>
      <w:r w:rsidR="00812B31" w:rsidRPr="003B4362">
        <w:rPr>
          <w:rFonts w:eastAsia="Calibri"/>
          <w:szCs w:val="24"/>
        </w:rPr>
        <w:t>-</w:t>
      </w:r>
      <w:r w:rsidRPr="003B4362">
        <w:rPr>
          <w:rFonts w:eastAsia="Calibri"/>
          <w:szCs w:val="24"/>
        </w:rPr>
        <w:t>size</w:t>
      </w:r>
      <w:r w:rsidR="00812B31" w:rsidRPr="003B4362">
        <w:rPr>
          <w:rFonts w:eastAsia="Calibri"/>
          <w:szCs w:val="24"/>
        </w:rPr>
        <w:t>d</w:t>
      </w:r>
      <w:r w:rsidRPr="003B4362">
        <w:rPr>
          <w:rFonts w:eastAsia="Calibri"/>
          <w:szCs w:val="24"/>
        </w:rPr>
        <w:t xml:space="preserve"> water main</w:t>
      </w:r>
      <w:r w:rsidR="00812B31" w:rsidRPr="003B4362">
        <w:rPr>
          <w:rFonts w:eastAsia="Calibri"/>
          <w:szCs w:val="24"/>
        </w:rPr>
        <w:t>,</w:t>
      </w:r>
      <w:r w:rsidRPr="003B4362">
        <w:rPr>
          <w:rFonts w:eastAsia="Calibri"/>
          <w:szCs w:val="24"/>
        </w:rPr>
        <w:t xml:space="preserve"> in the same pressure zone</w:t>
      </w:r>
      <w:r w:rsidR="00812B31" w:rsidRPr="003B4362">
        <w:rPr>
          <w:rFonts w:eastAsia="Calibri"/>
          <w:szCs w:val="24"/>
        </w:rPr>
        <w:t>,</w:t>
      </w:r>
      <w:r w:rsidRPr="003B4362">
        <w:rPr>
          <w:rFonts w:eastAsia="Calibri"/>
          <w:szCs w:val="24"/>
        </w:rPr>
        <w:t xml:space="preserve"> and located within a half mile of the </w:t>
      </w:r>
      <w:r w:rsidR="00812B31" w:rsidRPr="003B4362">
        <w:rPr>
          <w:rFonts w:eastAsia="Calibri"/>
          <w:szCs w:val="24"/>
        </w:rPr>
        <w:t>sampling site</w:t>
      </w:r>
      <w:bookmarkStart w:id="1218" w:name="_Hlk118399040"/>
      <w:bookmarkEnd w:id="1217"/>
      <w:r w:rsidR="00812B31" w:rsidRPr="003B4362">
        <w:rPr>
          <w:rFonts w:eastAsia="Calibri"/>
          <w:szCs w:val="24"/>
        </w:rPr>
        <w:t xml:space="preserve"> that exceeded</w:t>
      </w:r>
      <w:r w:rsidRPr="003B4362">
        <w:rPr>
          <w:rFonts w:eastAsia="Calibri"/>
          <w:szCs w:val="24"/>
        </w:rPr>
        <w:t xml:space="preserve"> the action </w:t>
      </w:r>
      <w:r w:rsidR="00812B31" w:rsidRPr="003B4362">
        <w:rPr>
          <w:rFonts w:eastAsia="Calibri"/>
          <w:szCs w:val="24"/>
        </w:rPr>
        <w:t xml:space="preserve">lead </w:t>
      </w:r>
      <w:r w:rsidRPr="003B4362">
        <w:rPr>
          <w:rFonts w:eastAsia="Calibri"/>
          <w:szCs w:val="24"/>
        </w:rPr>
        <w:t>level</w:t>
      </w:r>
      <w:bookmarkEnd w:id="1218"/>
      <w:r w:rsidR="00812B31" w:rsidRPr="003B4362">
        <w:rPr>
          <w:rFonts w:eastAsia="Calibri"/>
          <w:szCs w:val="24"/>
        </w:rPr>
        <w:t xml:space="preserve"> </w:t>
      </w:r>
      <w:bookmarkStart w:id="1219" w:name="_Hlk118399082"/>
      <w:r w:rsidRPr="003B4362">
        <w:rPr>
          <w:rFonts w:eastAsia="Calibri"/>
          <w:szCs w:val="24"/>
        </w:rPr>
        <w:t xml:space="preserve">within </w:t>
      </w:r>
      <w:r w:rsidR="00812B31" w:rsidRPr="003B4362">
        <w:rPr>
          <w:rFonts w:eastAsia="Calibri"/>
          <w:szCs w:val="24"/>
        </w:rPr>
        <w:t>five</w:t>
      </w:r>
      <w:r w:rsidRPr="003B4362">
        <w:rPr>
          <w:rFonts w:eastAsia="Calibri"/>
          <w:szCs w:val="24"/>
        </w:rPr>
        <w:t xml:space="preserve"> days </w:t>
      </w:r>
      <w:r w:rsidR="00812B31" w:rsidRPr="003B4362">
        <w:rPr>
          <w:rFonts w:eastAsia="Calibri"/>
          <w:szCs w:val="24"/>
        </w:rPr>
        <w:t>after</w:t>
      </w:r>
      <w:r w:rsidRPr="003B4362">
        <w:rPr>
          <w:rFonts w:eastAsia="Calibri"/>
          <w:szCs w:val="24"/>
        </w:rPr>
        <w:t xml:space="preserve"> receiving</w:t>
      </w:r>
      <w:bookmarkEnd w:id="1219"/>
      <w:r w:rsidRPr="003B4362">
        <w:rPr>
          <w:rFonts w:eastAsia="Calibri"/>
          <w:szCs w:val="24"/>
        </w:rPr>
        <w:t xml:space="preserve"> the sample results.  </w:t>
      </w:r>
      <w:r w:rsidR="00812B31" w:rsidRPr="003B4362">
        <w:rPr>
          <w:rFonts w:eastAsia="Calibri"/>
          <w:szCs w:val="24"/>
        </w:rPr>
        <w:t>A</w:t>
      </w:r>
      <w:bookmarkStart w:id="1220" w:name="_Hlk118404336"/>
      <w:r w:rsidR="00812B31" w:rsidRPr="003B4362">
        <w:rPr>
          <w:rFonts w:eastAsia="Calibri"/>
          <w:szCs w:val="24"/>
        </w:rPr>
        <w:t xml:space="preserve"> s</w:t>
      </w:r>
      <w:r w:rsidRPr="003B4362">
        <w:rPr>
          <w:rFonts w:eastAsia="Calibri"/>
          <w:szCs w:val="24"/>
        </w:rPr>
        <w:t xml:space="preserve">mall </w:t>
      </w:r>
      <w:r w:rsidR="00812B31" w:rsidRPr="003B4362">
        <w:rPr>
          <w:rFonts w:eastAsia="Calibri"/>
          <w:szCs w:val="24"/>
        </w:rPr>
        <w:t>supplier</w:t>
      </w:r>
      <w:r w:rsidRPr="003B4362">
        <w:rPr>
          <w:rFonts w:eastAsia="Calibri"/>
          <w:szCs w:val="24"/>
        </w:rPr>
        <w:t xml:space="preserve"> </w:t>
      </w:r>
      <w:r w:rsidR="00812B31" w:rsidRPr="003B4362">
        <w:rPr>
          <w:rFonts w:eastAsia="Calibri"/>
          <w:szCs w:val="24"/>
        </w:rPr>
        <w:t>not applying</w:t>
      </w:r>
      <w:r w:rsidRPr="003B4362">
        <w:rPr>
          <w:rFonts w:eastAsia="Calibri"/>
          <w:szCs w:val="24"/>
        </w:rPr>
        <w:t xml:space="preserve"> corrosion control treatment</w:t>
      </w:r>
      <w:bookmarkEnd w:id="1220"/>
      <w:r w:rsidRPr="003B4362">
        <w:rPr>
          <w:rFonts w:eastAsia="Calibri"/>
          <w:szCs w:val="24"/>
        </w:rPr>
        <w:t xml:space="preserve"> </w:t>
      </w:r>
      <w:bookmarkStart w:id="1221" w:name="_Hlk118404387"/>
      <w:r w:rsidRPr="003B4362">
        <w:rPr>
          <w:rFonts w:eastAsia="Calibri"/>
          <w:szCs w:val="24"/>
        </w:rPr>
        <w:t xml:space="preserve">may </w:t>
      </w:r>
      <w:r w:rsidR="00812B31" w:rsidRPr="003B4362">
        <w:rPr>
          <w:rFonts w:eastAsia="Calibri"/>
          <w:szCs w:val="24"/>
        </w:rPr>
        <w:t>take</w:t>
      </w:r>
      <w:r w:rsidRPr="003B4362">
        <w:rPr>
          <w:rFonts w:eastAsia="Calibri"/>
          <w:szCs w:val="24"/>
        </w:rPr>
        <w:t xml:space="preserve"> up to 14 days</w:t>
      </w:r>
      <w:bookmarkEnd w:id="1221"/>
      <w:r w:rsidRPr="003B4362">
        <w:rPr>
          <w:rFonts w:eastAsia="Calibri"/>
          <w:szCs w:val="24"/>
        </w:rPr>
        <w:t xml:space="preserve"> to collect the samples.  The </w:t>
      </w:r>
      <w:r w:rsidR="00812B31" w:rsidRPr="003B4362">
        <w:rPr>
          <w:rFonts w:eastAsia="Calibri"/>
          <w:szCs w:val="24"/>
        </w:rPr>
        <w:t>supplier</w:t>
      </w:r>
      <w:r w:rsidRPr="003B4362">
        <w:rPr>
          <w:rFonts w:eastAsia="Calibri"/>
          <w:szCs w:val="24"/>
        </w:rPr>
        <w:t xml:space="preserve"> must </w:t>
      </w:r>
      <w:bookmarkStart w:id="1222" w:name="_Hlk118404440"/>
      <w:r w:rsidRPr="003B4362">
        <w:rPr>
          <w:rFonts w:eastAsia="Calibri"/>
          <w:szCs w:val="24"/>
        </w:rPr>
        <w:t xml:space="preserve">measure </w:t>
      </w:r>
      <w:r w:rsidR="00812B31" w:rsidRPr="003B4362">
        <w:rPr>
          <w:rFonts w:eastAsia="Calibri"/>
          <w:szCs w:val="24"/>
        </w:rPr>
        <w:t>certain</w:t>
      </w:r>
      <w:r w:rsidRPr="003B4362">
        <w:rPr>
          <w:rFonts w:eastAsia="Calibri"/>
          <w:szCs w:val="24"/>
        </w:rPr>
        <w:t xml:space="preserve"> parameters</w:t>
      </w:r>
      <w:bookmarkEnd w:id="1222"/>
      <w:r w:rsidRPr="003B4362">
        <w:rPr>
          <w:rFonts w:eastAsia="Calibri"/>
          <w:szCs w:val="24"/>
        </w:rPr>
        <w:t>:</w:t>
      </w:r>
    </w:p>
    <w:p w14:paraId="14A602E2" w14:textId="77777777" w:rsidR="00E72761" w:rsidRPr="003B4362" w:rsidRDefault="00E72761" w:rsidP="00E72761">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pH;</w:t>
      </w:r>
    </w:p>
    <w:p w14:paraId="3FC965E1" w14:textId="77777777" w:rsidR="00E72761" w:rsidRPr="003B4362" w:rsidRDefault="00E72761" w:rsidP="00E72761">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Alkalinity;</w:t>
      </w:r>
    </w:p>
    <w:p w14:paraId="2C56310C" w14:textId="50B4D32B" w:rsidR="00E72761" w:rsidRPr="003B4362" w:rsidRDefault="00E72761" w:rsidP="00E72761">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Orthophosphate (as PO</w:t>
      </w:r>
      <w:r w:rsidRPr="003B4362">
        <w:rPr>
          <w:rFonts w:eastAsia="Calibri"/>
          <w:szCs w:val="24"/>
          <w:vertAlign w:val="subscript"/>
        </w:rPr>
        <w:t>4</w:t>
      </w:r>
      <w:r w:rsidRPr="003B4362">
        <w:rPr>
          <w:rFonts w:eastAsia="Calibri"/>
          <w:szCs w:val="24"/>
        </w:rPr>
        <w:t xml:space="preserve">), </w:t>
      </w:r>
      <w:bookmarkStart w:id="1223" w:name="_Hlk118404609"/>
      <w:r w:rsidR="002B1047" w:rsidRPr="003B4362">
        <w:rPr>
          <w:rFonts w:eastAsia="Calibri"/>
          <w:szCs w:val="24"/>
        </w:rPr>
        <w:t>if</w:t>
      </w:r>
      <w:r w:rsidRPr="003B4362">
        <w:rPr>
          <w:rFonts w:eastAsia="Calibri"/>
          <w:szCs w:val="24"/>
        </w:rPr>
        <w:t xml:space="preserve"> </w:t>
      </w:r>
      <w:r w:rsidR="002B1047" w:rsidRPr="003B4362">
        <w:rPr>
          <w:rFonts w:eastAsia="Calibri"/>
          <w:szCs w:val="24"/>
        </w:rPr>
        <w:t xml:space="preserve">the supplier uses </w:t>
      </w:r>
      <w:r w:rsidRPr="003B4362">
        <w:rPr>
          <w:rFonts w:eastAsia="Calibri"/>
          <w:szCs w:val="24"/>
        </w:rPr>
        <w:t>an inhibitor containing an orthophosphate compound</w:t>
      </w:r>
      <w:bookmarkEnd w:id="1223"/>
      <w:r w:rsidRPr="003B4362">
        <w:rPr>
          <w:rFonts w:eastAsia="Calibri"/>
          <w:szCs w:val="24"/>
        </w:rPr>
        <w:t>;</w:t>
      </w:r>
    </w:p>
    <w:p w14:paraId="01A457B4" w14:textId="2D62EF12" w:rsidR="00E72761" w:rsidRPr="003B4362" w:rsidRDefault="00E72761" w:rsidP="00E72761">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t xml:space="preserve">Silica, </w:t>
      </w:r>
      <w:r w:rsidR="00482D3C" w:rsidRPr="003B4362">
        <w:rPr>
          <w:rFonts w:eastAsia="Calibri"/>
          <w:szCs w:val="24"/>
        </w:rPr>
        <w:t xml:space="preserve">if the supplier uses </w:t>
      </w:r>
      <w:r w:rsidRPr="003B4362">
        <w:rPr>
          <w:rFonts w:eastAsia="Calibri"/>
          <w:szCs w:val="24"/>
        </w:rPr>
        <w:t xml:space="preserve">an inhibitor containing </w:t>
      </w:r>
      <w:bookmarkStart w:id="1224" w:name="_Hlk118408894"/>
      <w:r w:rsidRPr="003B4362">
        <w:rPr>
          <w:rFonts w:eastAsia="Calibri"/>
          <w:szCs w:val="24"/>
        </w:rPr>
        <w:t>a silicate</w:t>
      </w:r>
      <w:bookmarkEnd w:id="1224"/>
      <w:r w:rsidRPr="003B4362">
        <w:rPr>
          <w:rFonts w:eastAsia="Calibri"/>
          <w:szCs w:val="24"/>
        </w:rPr>
        <w:t xml:space="preserve"> compound; and</w:t>
      </w:r>
    </w:p>
    <w:p w14:paraId="18C54CAA" w14:textId="6F504ABE" w:rsidR="00E72761" w:rsidRPr="003B4362" w:rsidRDefault="00E72761" w:rsidP="00E72761">
      <w:pPr>
        <w:autoSpaceDE w:val="0"/>
        <w:autoSpaceDN w:val="0"/>
        <w:adjustRightInd w:val="0"/>
        <w:spacing w:before="240" w:after="240"/>
        <w:ind w:left="2880" w:hanging="720"/>
        <w:rPr>
          <w:rFonts w:eastAsia="Calibri"/>
          <w:szCs w:val="24"/>
        </w:rPr>
      </w:pPr>
      <w:r w:rsidRPr="003B4362">
        <w:rPr>
          <w:rFonts w:eastAsia="Calibri"/>
          <w:szCs w:val="24"/>
        </w:rPr>
        <w:t>E)</w:t>
      </w:r>
      <w:r w:rsidRPr="003B4362">
        <w:rPr>
          <w:rFonts w:eastAsia="Calibri"/>
          <w:szCs w:val="24"/>
        </w:rPr>
        <w:tab/>
      </w:r>
      <w:bookmarkStart w:id="1225" w:name="_Hlk118409207"/>
      <w:r w:rsidR="00482D3C" w:rsidRPr="003B4362">
        <w:rPr>
          <w:rFonts w:eastAsia="Calibri"/>
          <w:szCs w:val="24"/>
        </w:rPr>
        <w:t>A</w:t>
      </w:r>
      <w:bookmarkStart w:id="1226" w:name="_Hlk118409589"/>
      <w:r w:rsidR="00482D3C" w:rsidRPr="003B4362">
        <w:rPr>
          <w:rFonts w:eastAsia="Calibri"/>
          <w:szCs w:val="24"/>
        </w:rPr>
        <w:t xml:space="preserve"> supplier</w:t>
      </w:r>
      <w:r w:rsidRPr="003B4362">
        <w:rPr>
          <w:rFonts w:eastAsia="Calibri"/>
          <w:szCs w:val="24"/>
        </w:rPr>
        <w:t xml:space="preserve"> </w:t>
      </w:r>
      <w:r w:rsidR="00482D3C" w:rsidRPr="003B4362">
        <w:rPr>
          <w:rFonts w:eastAsia="Calibri"/>
          <w:szCs w:val="24"/>
        </w:rPr>
        <w:t>having</w:t>
      </w:r>
      <w:r w:rsidRPr="003B4362">
        <w:rPr>
          <w:rFonts w:eastAsia="Calibri"/>
          <w:szCs w:val="24"/>
        </w:rPr>
        <w:t xml:space="preserve"> an existing water quality parameter </w:t>
      </w:r>
      <w:r w:rsidR="00482D3C" w:rsidRPr="003B4362">
        <w:rPr>
          <w:rFonts w:eastAsia="Calibri"/>
          <w:szCs w:val="24"/>
        </w:rPr>
        <w:t>sampling site</w:t>
      </w:r>
      <w:r w:rsidRPr="003B4362">
        <w:rPr>
          <w:rFonts w:eastAsia="Calibri"/>
          <w:szCs w:val="24"/>
        </w:rPr>
        <w:t xml:space="preserve"> </w:t>
      </w:r>
      <w:r w:rsidR="00482D3C" w:rsidRPr="003B4362">
        <w:rPr>
          <w:rFonts w:eastAsia="Calibri"/>
          <w:szCs w:val="24"/>
        </w:rPr>
        <w:t>complying with</w:t>
      </w:r>
      <w:r w:rsidRPr="003B4362">
        <w:rPr>
          <w:rFonts w:eastAsia="Calibri"/>
          <w:szCs w:val="24"/>
        </w:rPr>
        <w:t xml:space="preserve"> this </w:t>
      </w:r>
      <w:r w:rsidR="00482D3C" w:rsidRPr="003B4362">
        <w:rPr>
          <w:rFonts w:eastAsia="Calibri"/>
          <w:szCs w:val="24"/>
        </w:rPr>
        <w:t>S</w:t>
      </w:r>
      <w:r w:rsidRPr="003B4362">
        <w:rPr>
          <w:rFonts w:eastAsia="Calibri"/>
          <w:szCs w:val="24"/>
        </w:rPr>
        <w:t>ection</w:t>
      </w:r>
      <w:bookmarkEnd w:id="1225"/>
      <w:bookmarkEnd w:id="1226"/>
      <w:r w:rsidRPr="003B4362">
        <w:rPr>
          <w:rFonts w:eastAsia="Calibri"/>
          <w:szCs w:val="24"/>
        </w:rPr>
        <w:t xml:space="preserve"> </w:t>
      </w:r>
      <w:bookmarkStart w:id="1227" w:name="_Hlk118409656"/>
      <w:r w:rsidR="00283C08" w:rsidRPr="003B4362">
        <w:rPr>
          <w:rFonts w:eastAsia="Calibri"/>
          <w:szCs w:val="24"/>
        </w:rPr>
        <w:t xml:space="preserve">may </w:t>
      </w:r>
      <w:r w:rsidRPr="003B4362">
        <w:rPr>
          <w:rFonts w:eastAsia="Calibri"/>
          <w:szCs w:val="24"/>
        </w:rPr>
        <w:t>sampl</w:t>
      </w:r>
      <w:r w:rsidR="00283C08" w:rsidRPr="003B4362">
        <w:rPr>
          <w:rFonts w:eastAsia="Calibri"/>
          <w:szCs w:val="24"/>
        </w:rPr>
        <w:t>e</w:t>
      </w:r>
      <w:r w:rsidRPr="003B4362">
        <w:rPr>
          <w:rFonts w:eastAsia="Calibri"/>
          <w:szCs w:val="24"/>
        </w:rPr>
        <w:t xml:space="preserve"> </w:t>
      </w:r>
      <w:r w:rsidR="00283C08" w:rsidRPr="003B4362">
        <w:rPr>
          <w:rFonts w:eastAsia="Calibri"/>
          <w:szCs w:val="24"/>
        </w:rPr>
        <w:t>from</w:t>
      </w:r>
      <w:r w:rsidRPr="003B4362">
        <w:rPr>
          <w:rFonts w:eastAsia="Calibri"/>
          <w:szCs w:val="24"/>
        </w:rPr>
        <w:t xml:space="preserve"> that </w:t>
      </w:r>
      <w:r w:rsidR="00283C08" w:rsidRPr="003B4362">
        <w:rPr>
          <w:rFonts w:eastAsia="Calibri"/>
          <w:szCs w:val="24"/>
        </w:rPr>
        <w:t>site</w:t>
      </w:r>
      <w:bookmarkEnd w:id="1227"/>
      <w:r w:rsidRPr="003B4362">
        <w:rPr>
          <w:rFonts w:eastAsia="Calibri"/>
          <w:szCs w:val="24"/>
        </w:rPr>
        <w:t>.</w:t>
      </w:r>
    </w:p>
    <w:p w14:paraId="641AD90B" w14:textId="3E1DC242" w:rsidR="00E72761" w:rsidRPr="003B4362" w:rsidRDefault="00E72761" w:rsidP="00E72761">
      <w:pPr>
        <w:autoSpaceDE w:val="0"/>
        <w:autoSpaceDN w:val="0"/>
        <w:adjustRightInd w:val="0"/>
        <w:spacing w:before="240" w:after="240"/>
        <w:ind w:left="2880" w:hanging="720"/>
        <w:rPr>
          <w:rFonts w:eastAsia="Calibri"/>
          <w:szCs w:val="24"/>
        </w:rPr>
      </w:pPr>
      <w:r w:rsidRPr="003B4362">
        <w:rPr>
          <w:rFonts w:eastAsia="Calibri"/>
          <w:szCs w:val="24"/>
        </w:rPr>
        <w:lastRenderedPageBreak/>
        <w:t>F)</w:t>
      </w:r>
      <w:r w:rsidRPr="003B4362">
        <w:rPr>
          <w:rFonts w:eastAsia="Calibri"/>
          <w:szCs w:val="24"/>
        </w:rPr>
        <w:tab/>
        <w:t>A</w:t>
      </w:r>
      <w:bookmarkStart w:id="1228" w:name="_Hlk118409781"/>
      <w:bookmarkStart w:id="1229" w:name="_Hlk118410564"/>
      <w:r w:rsidR="00283C08" w:rsidRPr="003B4362">
        <w:rPr>
          <w:rFonts w:eastAsia="Calibri"/>
          <w:szCs w:val="24"/>
        </w:rPr>
        <w:t xml:space="preserve"> supplier that must</w:t>
      </w:r>
      <w:r w:rsidRPr="003B4362">
        <w:rPr>
          <w:rFonts w:eastAsia="Calibri"/>
          <w:szCs w:val="24"/>
        </w:rPr>
        <w:t xml:space="preserve"> meet optimal water quality control parameters but</w:t>
      </w:r>
      <w:r w:rsidR="00283C08" w:rsidRPr="003B4362">
        <w:rPr>
          <w:rFonts w:eastAsia="Calibri"/>
          <w:szCs w:val="24"/>
        </w:rPr>
        <w:t xml:space="preserve"> </w:t>
      </w:r>
      <w:r w:rsidRPr="003B4362">
        <w:rPr>
          <w:rFonts w:eastAsia="Calibri"/>
          <w:szCs w:val="24"/>
        </w:rPr>
        <w:t>not hav</w:t>
      </w:r>
      <w:r w:rsidR="00283C08" w:rsidRPr="003B4362">
        <w:rPr>
          <w:rFonts w:eastAsia="Calibri"/>
          <w:szCs w:val="24"/>
        </w:rPr>
        <w:t>ing</w:t>
      </w:r>
      <w:r w:rsidRPr="003B4362">
        <w:rPr>
          <w:rFonts w:eastAsia="Calibri"/>
          <w:szCs w:val="24"/>
        </w:rPr>
        <w:t xml:space="preserve"> an existing water quality parameter </w:t>
      </w:r>
      <w:r w:rsidR="00283C08" w:rsidRPr="003B4362">
        <w:rPr>
          <w:rFonts w:eastAsia="Calibri"/>
          <w:szCs w:val="24"/>
        </w:rPr>
        <w:t>sampling site</w:t>
      </w:r>
      <w:r w:rsidRPr="003B4362">
        <w:rPr>
          <w:rFonts w:eastAsia="Calibri"/>
          <w:szCs w:val="24"/>
        </w:rPr>
        <w:t xml:space="preserve"> </w:t>
      </w:r>
      <w:bookmarkEnd w:id="1228"/>
      <w:r w:rsidR="0009648B" w:rsidRPr="003B4362">
        <w:rPr>
          <w:rFonts w:eastAsia="Calibri"/>
          <w:szCs w:val="24"/>
        </w:rPr>
        <w:t>complying with this Section</w:t>
      </w:r>
      <w:bookmarkEnd w:id="1229"/>
      <w:r w:rsidRPr="003B4362">
        <w:rPr>
          <w:rFonts w:eastAsia="Calibri"/>
          <w:szCs w:val="24"/>
        </w:rPr>
        <w:t xml:space="preserve"> </w:t>
      </w:r>
      <w:bookmarkStart w:id="1230" w:name="_Hlk118410625"/>
      <w:r w:rsidRPr="003B4362">
        <w:rPr>
          <w:rFonts w:eastAsia="Calibri"/>
          <w:szCs w:val="24"/>
        </w:rPr>
        <w:t xml:space="preserve">must add new </w:t>
      </w:r>
      <w:r w:rsidR="0009648B" w:rsidRPr="003B4362">
        <w:rPr>
          <w:rFonts w:eastAsia="Calibri"/>
          <w:szCs w:val="24"/>
        </w:rPr>
        <w:t xml:space="preserve">sampling </w:t>
      </w:r>
      <w:r w:rsidRPr="003B4362">
        <w:rPr>
          <w:rFonts w:eastAsia="Calibri"/>
          <w:szCs w:val="24"/>
        </w:rPr>
        <w:t>sites</w:t>
      </w:r>
      <w:bookmarkEnd w:id="1230"/>
      <w:r w:rsidRPr="003B4362">
        <w:rPr>
          <w:rFonts w:eastAsia="Calibri"/>
          <w:szCs w:val="24"/>
        </w:rPr>
        <w:t xml:space="preserve"> to the minimum </w:t>
      </w:r>
      <w:bookmarkStart w:id="1231" w:name="_Hlk118410844"/>
      <w:r w:rsidRPr="003B4362">
        <w:rPr>
          <w:rFonts w:eastAsia="Calibri"/>
          <w:szCs w:val="24"/>
        </w:rPr>
        <w:t>number of sites</w:t>
      </w:r>
      <w:r w:rsidR="0009648B" w:rsidRPr="003B4362">
        <w:rPr>
          <w:rFonts w:eastAsia="Calibri"/>
          <w:szCs w:val="24"/>
        </w:rPr>
        <w:t xml:space="preserve"> </w:t>
      </w:r>
      <w:r w:rsidRPr="003B4362">
        <w:rPr>
          <w:rFonts w:eastAsia="Calibri"/>
          <w:szCs w:val="24"/>
        </w:rPr>
        <w:t xml:space="preserve">Section </w:t>
      </w:r>
      <w:r w:rsidR="00742EC5" w:rsidRPr="003B4362">
        <w:rPr>
          <w:rFonts w:eastAsia="Calibri"/>
          <w:szCs w:val="24"/>
        </w:rPr>
        <w:t>61</w:t>
      </w:r>
      <w:r w:rsidRPr="003B4362">
        <w:rPr>
          <w:rFonts w:eastAsia="Calibri"/>
          <w:szCs w:val="24"/>
        </w:rPr>
        <w:t>1.</w:t>
      </w:r>
      <w:r w:rsidR="00742EC5" w:rsidRPr="003B4362">
        <w:rPr>
          <w:rFonts w:eastAsia="Calibri"/>
          <w:szCs w:val="24"/>
        </w:rPr>
        <w:t>35</w:t>
      </w:r>
      <w:r w:rsidRPr="003B4362">
        <w:rPr>
          <w:rFonts w:eastAsia="Calibri"/>
          <w:szCs w:val="24"/>
        </w:rPr>
        <w:t>7(g)</w:t>
      </w:r>
      <w:r w:rsidR="0009648B" w:rsidRPr="003B4362">
        <w:rPr>
          <w:rFonts w:eastAsia="Calibri"/>
          <w:szCs w:val="24"/>
        </w:rPr>
        <w:t xml:space="preserve"> requires</w:t>
      </w:r>
      <w:bookmarkEnd w:id="1231"/>
      <w:r w:rsidRPr="003B4362">
        <w:rPr>
          <w:rFonts w:eastAsia="Calibri"/>
          <w:szCs w:val="24"/>
        </w:rPr>
        <w:t xml:space="preserve">.  </w:t>
      </w:r>
      <w:r w:rsidR="009775A6" w:rsidRPr="003B4362">
        <w:rPr>
          <w:rFonts w:eastAsia="Calibri"/>
          <w:szCs w:val="24"/>
        </w:rPr>
        <w:t>T</w:t>
      </w:r>
      <w:bookmarkStart w:id="1232" w:name="_Hlk118715817"/>
      <w:r w:rsidR="009775A6" w:rsidRPr="003B4362">
        <w:rPr>
          <w:rFonts w:eastAsia="Calibri"/>
          <w:szCs w:val="24"/>
        </w:rPr>
        <w:t xml:space="preserve">he supplier </w:t>
      </w:r>
      <w:bookmarkStart w:id="1233" w:name="_Hlk118715263"/>
      <w:r w:rsidRPr="003B4362">
        <w:rPr>
          <w:rFonts w:eastAsia="Calibri"/>
          <w:szCs w:val="24"/>
        </w:rPr>
        <w:t xml:space="preserve">must </w:t>
      </w:r>
      <w:r w:rsidR="009775A6" w:rsidRPr="003B4362">
        <w:rPr>
          <w:rFonts w:eastAsia="Calibri"/>
          <w:szCs w:val="24"/>
        </w:rPr>
        <w:t>add sites</w:t>
      </w:r>
      <w:r w:rsidRPr="003B4362">
        <w:rPr>
          <w:rFonts w:eastAsia="Calibri"/>
          <w:szCs w:val="24"/>
        </w:rPr>
        <w:t xml:space="preserve"> until </w:t>
      </w:r>
      <w:r w:rsidR="009775A6" w:rsidRPr="003B4362">
        <w:rPr>
          <w:rFonts w:eastAsia="Calibri"/>
          <w:szCs w:val="24"/>
        </w:rPr>
        <w:t>it</w:t>
      </w:r>
      <w:r w:rsidRPr="003B4362">
        <w:rPr>
          <w:rFonts w:eastAsia="Calibri"/>
          <w:szCs w:val="24"/>
        </w:rPr>
        <w:t xml:space="preserve"> has twice the minimum number of sites</w:t>
      </w:r>
      <w:r w:rsidR="009775A6" w:rsidRPr="003B4362">
        <w:rPr>
          <w:rFonts w:eastAsia="Calibri"/>
          <w:szCs w:val="24"/>
        </w:rPr>
        <w:t xml:space="preserve"> </w:t>
      </w:r>
      <w:bookmarkStart w:id="1234" w:name="_Hlk118716088"/>
      <w:r w:rsidR="00DE5465" w:rsidRPr="003B4362">
        <w:rPr>
          <w:rFonts w:eastAsia="Calibri"/>
          <w:szCs w:val="24"/>
        </w:rPr>
        <w:t>Section 611.357(a)(2)(A)</w:t>
      </w:r>
      <w:bookmarkEnd w:id="1234"/>
      <w:r w:rsidRPr="003B4362">
        <w:rPr>
          <w:rFonts w:eastAsia="Calibri"/>
          <w:szCs w:val="24"/>
        </w:rPr>
        <w:t xml:space="preserve"> </w:t>
      </w:r>
      <w:bookmarkEnd w:id="1233"/>
      <w:r w:rsidR="009775A6" w:rsidRPr="003B4362">
        <w:rPr>
          <w:rFonts w:eastAsia="Calibri"/>
          <w:szCs w:val="24"/>
        </w:rPr>
        <w:t>requires</w:t>
      </w:r>
      <w:bookmarkEnd w:id="1232"/>
      <w:r w:rsidRPr="003B4362">
        <w:rPr>
          <w:rFonts w:eastAsia="Calibri"/>
          <w:szCs w:val="24"/>
        </w:rPr>
        <w:t xml:space="preserve">.  </w:t>
      </w:r>
      <w:bookmarkStart w:id="1235" w:name="_Hlk118717347"/>
      <w:r w:rsidR="00842BDC" w:rsidRPr="003B4362">
        <w:rPr>
          <w:rFonts w:eastAsia="Calibri"/>
          <w:szCs w:val="24"/>
        </w:rPr>
        <w:t>I</w:t>
      </w:r>
      <w:bookmarkStart w:id="1236" w:name="_Hlk118717591"/>
      <w:r w:rsidR="00842BDC" w:rsidRPr="003B4362">
        <w:rPr>
          <w:rFonts w:eastAsia="Calibri"/>
          <w:szCs w:val="24"/>
        </w:rPr>
        <w:t>f</w:t>
      </w:r>
      <w:r w:rsidRPr="003B4362">
        <w:rPr>
          <w:rFonts w:eastAsia="Calibri"/>
          <w:szCs w:val="24"/>
        </w:rPr>
        <w:t xml:space="preserve"> a </w:t>
      </w:r>
      <w:r w:rsidR="00842BDC" w:rsidRPr="003B4362">
        <w:rPr>
          <w:rFonts w:eastAsia="Calibri"/>
          <w:szCs w:val="24"/>
        </w:rPr>
        <w:t>supplier</w:t>
      </w:r>
      <w:r w:rsidRPr="003B4362">
        <w:rPr>
          <w:rFonts w:eastAsia="Calibri"/>
          <w:szCs w:val="24"/>
        </w:rPr>
        <w:t xml:space="preserve"> exceeds this upper threshold</w:t>
      </w:r>
      <w:bookmarkEnd w:id="1235"/>
      <w:bookmarkEnd w:id="1236"/>
      <w:r w:rsidRPr="003B4362">
        <w:rPr>
          <w:rFonts w:eastAsia="Calibri"/>
          <w:szCs w:val="24"/>
        </w:rPr>
        <w:t xml:space="preserve"> for the number of sites, </w:t>
      </w:r>
      <w:bookmarkStart w:id="1237" w:name="_Hlk118718486"/>
      <w:r w:rsidRPr="003B4362">
        <w:rPr>
          <w:rFonts w:eastAsia="Calibri"/>
          <w:szCs w:val="24"/>
        </w:rPr>
        <w:t>t</w:t>
      </w:r>
      <w:bookmarkStart w:id="1238" w:name="_Hlk118717935"/>
      <w:r w:rsidRPr="003B4362">
        <w:rPr>
          <w:rFonts w:eastAsia="Calibri"/>
          <w:szCs w:val="24"/>
        </w:rPr>
        <w:t xml:space="preserve">he </w:t>
      </w:r>
      <w:r w:rsidR="00850729" w:rsidRPr="003B4362">
        <w:rPr>
          <w:rFonts w:eastAsia="Calibri"/>
          <w:szCs w:val="24"/>
        </w:rPr>
        <w:t>Agency may issue a SEP</w:t>
      </w:r>
      <w:r w:rsidRPr="003B4362">
        <w:rPr>
          <w:rFonts w:eastAsia="Calibri"/>
          <w:szCs w:val="24"/>
        </w:rPr>
        <w:t xml:space="preserve"> determin</w:t>
      </w:r>
      <w:r w:rsidR="00850729" w:rsidRPr="003B4362">
        <w:rPr>
          <w:rFonts w:eastAsia="Calibri"/>
          <w:szCs w:val="24"/>
        </w:rPr>
        <w:t>ing that a</w:t>
      </w:r>
      <w:r w:rsidRPr="003B4362">
        <w:rPr>
          <w:rFonts w:eastAsia="Calibri"/>
          <w:szCs w:val="24"/>
        </w:rPr>
        <w:t xml:space="preserve"> newer site </w:t>
      </w:r>
      <w:bookmarkStart w:id="1239" w:name="_Hlk118718342"/>
      <w:r w:rsidRPr="003B4362">
        <w:rPr>
          <w:rFonts w:eastAsia="Calibri"/>
          <w:szCs w:val="24"/>
        </w:rPr>
        <w:t>can better assess the effi</w:t>
      </w:r>
      <w:r w:rsidR="00850729" w:rsidRPr="003B4362">
        <w:rPr>
          <w:rFonts w:eastAsia="Calibri"/>
          <w:szCs w:val="24"/>
        </w:rPr>
        <w:t>cacy</w:t>
      </w:r>
      <w:r w:rsidRPr="003B4362">
        <w:rPr>
          <w:rFonts w:eastAsia="Calibri"/>
          <w:szCs w:val="24"/>
        </w:rPr>
        <w:t xml:space="preserve"> </w:t>
      </w:r>
      <w:bookmarkEnd w:id="1239"/>
      <w:r w:rsidRPr="003B4362">
        <w:rPr>
          <w:rFonts w:eastAsia="Calibri"/>
          <w:szCs w:val="24"/>
        </w:rPr>
        <w:t>of the corrosion control treatment and</w:t>
      </w:r>
      <w:r w:rsidR="00850729" w:rsidRPr="003B4362">
        <w:rPr>
          <w:rFonts w:eastAsia="Calibri"/>
          <w:szCs w:val="24"/>
        </w:rPr>
        <w:t xml:space="preserve"> </w:t>
      </w:r>
      <w:r w:rsidRPr="003B4362">
        <w:rPr>
          <w:rFonts w:eastAsia="Calibri"/>
          <w:szCs w:val="24"/>
        </w:rPr>
        <w:t>remove existing sites</w:t>
      </w:r>
      <w:bookmarkEnd w:id="1237"/>
      <w:bookmarkEnd w:id="1238"/>
      <w:r w:rsidRPr="003B4362">
        <w:rPr>
          <w:rFonts w:eastAsia="Calibri"/>
          <w:szCs w:val="24"/>
        </w:rPr>
        <w:t xml:space="preserve"> during sanitary survey </w:t>
      </w:r>
      <w:bookmarkStart w:id="1240" w:name="_Hlk118718708"/>
      <w:r w:rsidRPr="003B4362">
        <w:rPr>
          <w:rFonts w:eastAsia="Calibri"/>
          <w:szCs w:val="24"/>
        </w:rPr>
        <w:t>evaluati</w:t>
      </w:r>
      <w:r w:rsidR="00CB6155" w:rsidRPr="003B4362">
        <w:rPr>
          <w:rFonts w:eastAsia="Calibri"/>
          <w:szCs w:val="24"/>
        </w:rPr>
        <w:t>ng</w:t>
      </w:r>
      <w:r w:rsidRPr="003B4362">
        <w:rPr>
          <w:rFonts w:eastAsia="Calibri"/>
          <w:szCs w:val="24"/>
        </w:rPr>
        <w:t xml:space="preserve"> OCCT</w:t>
      </w:r>
      <w:bookmarkEnd w:id="1240"/>
      <w:r w:rsidRPr="003B4362">
        <w:rPr>
          <w:rFonts w:eastAsia="Calibri"/>
          <w:szCs w:val="24"/>
        </w:rPr>
        <w:t>.</w:t>
      </w:r>
    </w:p>
    <w:p w14:paraId="750564AE" w14:textId="0D1B21BB" w:rsidR="00E72761" w:rsidRPr="003B4362" w:rsidRDefault="00E72761" w:rsidP="00E72761">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bookmarkStart w:id="1241" w:name="_Hlk118719013"/>
      <w:r w:rsidRPr="003B4362">
        <w:rPr>
          <w:rFonts w:eastAsia="Calibri"/>
          <w:szCs w:val="24"/>
        </w:rPr>
        <w:t xml:space="preserve">Step 2: </w:t>
      </w:r>
      <w:r w:rsidR="00CB6155" w:rsidRPr="003B4362">
        <w:rPr>
          <w:rFonts w:eastAsia="Calibri"/>
          <w:szCs w:val="24"/>
        </w:rPr>
        <w:t xml:space="preserve"> </w:t>
      </w:r>
      <w:r w:rsidRPr="003B4362">
        <w:rPr>
          <w:rFonts w:eastAsia="Calibri"/>
          <w:szCs w:val="24"/>
        </w:rPr>
        <w:t xml:space="preserve">Site </w:t>
      </w:r>
      <w:r w:rsidR="00CB6155" w:rsidRPr="003B4362">
        <w:rPr>
          <w:rFonts w:eastAsia="Calibri"/>
          <w:szCs w:val="24"/>
        </w:rPr>
        <w:t>A</w:t>
      </w:r>
      <w:r w:rsidRPr="003B4362">
        <w:rPr>
          <w:rFonts w:eastAsia="Calibri"/>
          <w:szCs w:val="24"/>
        </w:rPr>
        <w:t>ssessment</w:t>
      </w:r>
      <w:bookmarkEnd w:id="1241"/>
      <w:r w:rsidRPr="003B4362">
        <w:rPr>
          <w:rFonts w:eastAsia="Calibri"/>
          <w:szCs w:val="24"/>
        </w:rPr>
        <w:t xml:space="preserve">.  </w:t>
      </w:r>
      <w:bookmarkStart w:id="1242" w:name="_Hlk118719060"/>
      <w:r w:rsidR="00CB6155" w:rsidRPr="003B4362">
        <w:rPr>
          <w:rFonts w:eastAsia="Calibri"/>
          <w:szCs w:val="24"/>
        </w:rPr>
        <w:t>A</w:t>
      </w:r>
      <w:bookmarkStart w:id="1243" w:name="_Hlk118719224"/>
      <w:r w:rsidR="00CB6155" w:rsidRPr="003B4362">
        <w:rPr>
          <w:rFonts w:eastAsia="Calibri"/>
          <w:szCs w:val="24"/>
        </w:rPr>
        <w:t xml:space="preserve"> supplier</w:t>
      </w:r>
      <w:r w:rsidRPr="003B4362">
        <w:rPr>
          <w:rFonts w:eastAsia="Calibri"/>
          <w:szCs w:val="24"/>
        </w:rPr>
        <w:t xml:space="preserve"> </w:t>
      </w:r>
      <w:r w:rsidR="00CB6155" w:rsidRPr="003B4362">
        <w:rPr>
          <w:rFonts w:eastAsia="Calibri"/>
          <w:szCs w:val="24"/>
        </w:rPr>
        <w:t>must</w:t>
      </w:r>
      <w:r w:rsidRPr="003B4362">
        <w:rPr>
          <w:rFonts w:eastAsia="Calibri"/>
          <w:szCs w:val="24"/>
        </w:rPr>
        <w:t xml:space="preserve"> collect</w:t>
      </w:r>
      <w:bookmarkEnd w:id="1242"/>
      <w:bookmarkEnd w:id="1243"/>
      <w:r w:rsidRPr="003B4362">
        <w:rPr>
          <w:rFonts w:eastAsia="Calibri"/>
          <w:szCs w:val="24"/>
        </w:rPr>
        <w:t xml:space="preserve"> a follow-up sample at </w:t>
      </w:r>
      <w:bookmarkStart w:id="1244" w:name="_Hlk118719331"/>
      <w:r w:rsidRPr="003B4362">
        <w:rPr>
          <w:rFonts w:eastAsia="Calibri"/>
          <w:szCs w:val="24"/>
        </w:rPr>
        <w:t>any tap sampl</w:t>
      </w:r>
      <w:r w:rsidR="009F7FB9" w:rsidRPr="003B4362">
        <w:rPr>
          <w:rFonts w:eastAsia="Calibri"/>
          <w:szCs w:val="24"/>
        </w:rPr>
        <w:t>ing</w:t>
      </w:r>
      <w:r w:rsidRPr="003B4362">
        <w:rPr>
          <w:rFonts w:eastAsia="Calibri"/>
          <w:szCs w:val="24"/>
        </w:rPr>
        <w:t xml:space="preserve"> site exceed</w:t>
      </w:r>
      <w:r w:rsidR="009F7FB9" w:rsidRPr="003B4362">
        <w:rPr>
          <w:rFonts w:eastAsia="Calibri"/>
          <w:szCs w:val="24"/>
        </w:rPr>
        <w:t>ing</w:t>
      </w:r>
      <w:r w:rsidRPr="003B4362">
        <w:rPr>
          <w:rFonts w:eastAsia="Calibri"/>
          <w:szCs w:val="24"/>
        </w:rPr>
        <w:t xml:space="preserve"> the </w:t>
      </w:r>
      <w:r w:rsidR="009F7FB9" w:rsidRPr="003B4362">
        <w:rPr>
          <w:rFonts w:eastAsia="Calibri"/>
          <w:szCs w:val="24"/>
        </w:rPr>
        <w:t xml:space="preserve">lead </w:t>
      </w:r>
      <w:r w:rsidRPr="003B4362">
        <w:rPr>
          <w:rFonts w:eastAsia="Calibri"/>
          <w:szCs w:val="24"/>
        </w:rPr>
        <w:t>action level</w:t>
      </w:r>
      <w:bookmarkEnd w:id="1244"/>
      <w:r w:rsidRPr="003B4362">
        <w:rPr>
          <w:rFonts w:eastAsia="Calibri"/>
          <w:szCs w:val="24"/>
        </w:rPr>
        <w:t xml:space="preserve"> </w:t>
      </w:r>
      <w:bookmarkStart w:id="1245" w:name="_Hlk118719542"/>
      <w:r w:rsidRPr="003B4362">
        <w:rPr>
          <w:rFonts w:eastAsia="Calibri"/>
          <w:szCs w:val="24"/>
        </w:rPr>
        <w:t xml:space="preserve">within 30 days </w:t>
      </w:r>
      <w:r w:rsidR="009F7FB9" w:rsidRPr="003B4362">
        <w:rPr>
          <w:rFonts w:eastAsia="Calibri"/>
          <w:szCs w:val="24"/>
        </w:rPr>
        <w:t>after</w:t>
      </w:r>
      <w:r w:rsidRPr="003B4362">
        <w:rPr>
          <w:rFonts w:eastAsia="Calibri"/>
          <w:szCs w:val="24"/>
        </w:rPr>
        <w:t xml:space="preserve"> receiving</w:t>
      </w:r>
      <w:bookmarkEnd w:id="1245"/>
      <w:r w:rsidRPr="003B4362">
        <w:rPr>
          <w:rFonts w:eastAsia="Calibri"/>
          <w:szCs w:val="24"/>
        </w:rPr>
        <w:t xml:space="preserve"> the sample results.  </w:t>
      </w:r>
      <w:bookmarkStart w:id="1246" w:name="_Hlk118720206"/>
      <w:r w:rsidR="00F172EB" w:rsidRPr="003B4362">
        <w:rPr>
          <w:rFonts w:eastAsia="Calibri"/>
          <w:szCs w:val="24"/>
        </w:rPr>
        <w:t>T</w:t>
      </w:r>
      <w:bookmarkStart w:id="1247" w:name="_Hlk118720523"/>
      <w:bookmarkEnd w:id="1246"/>
      <w:r w:rsidR="00F172EB" w:rsidRPr="003B4362">
        <w:rPr>
          <w:rFonts w:eastAsia="Calibri"/>
          <w:szCs w:val="24"/>
        </w:rPr>
        <w:t>he supplier may use different sample volumes or different sampling procedures collecting these follow-up samples</w:t>
      </w:r>
      <w:bookmarkEnd w:id="1247"/>
      <w:r w:rsidR="00F172EB" w:rsidRPr="003B4362">
        <w:rPr>
          <w:rFonts w:eastAsia="Calibri"/>
          <w:szCs w:val="24"/>
        </w:rPr>
        <w:t xml:space="preserve"> </w:t>
      </w:r>
      <w:r w:rsidRPr="003B4362">
        <w:rPr>
          <w:rFonts w:eastAsia="Calibri"/>
          <w:szCs w:val="24"/>
        </w:rPr>
        <w:t xml:space="preserve">to assess the source of elevated lead levels.  </w:t>
      </w:r>
      <w:bookmarkStart w:id="1248" w:name="_Hlk118720665"/>
      <w:r w:rsidR="00F172EB" w:rsidRPr="003B4362">
        <w:rPr>
          <w:rFonts w:eastAsia="Calibri"/>
          <w:szCs w:val="24"/>
        </w:rPr>
        <w:t>T</w:t>
      </w:r>
      <w:bookmarkStart w:id="1249" w:name="_Hlk118720898"/>
      <w:r w:rsidR="00F172EB" w:rsidRPr="003B4362">
        <w:rPr>
          <w:rFonts w:eastAsia="Calibri"/>
          <w:szCs w:val="24"/>
        </w:rPr>
        <w:t>he supplier must sub</w:t>
      </w:r>
      <w:r w:rsidR="0097731B" w:rsidRPr="003B4362">
        <w:rPr>
          <w:rFonts w:eastAsia="Calibri"/>
          <w:szCs w:val="24"/>
        </w:rPr>
        <w:t>m</w:t>
      </w:r>
      <w:r w:rsidR="00F172EB" w:rsidRPr="003B4362">
        <w:rPr>
          <w:rFonts w:eastAsia="Calibri"/>
          <w:szCs w:val="24"/>
        </w:rPr>
        <w:t>it s</w:t>
      </w:r>
      <w:r w:rsidRPr="003B4362">
        <w:rPr>
          <w:rFonts w:eastAsia="Calibri"/>
          <w:szCs w:val="24"/>
        </w:rPr>
        <w:t xml:space="preserve">amples </w:t>
      </w:r>
      <w:r w:rsidR="00F172EB" w:rsidRPr="003B4362">
        <w:rPr>
          <w:rFonts w:eastAsia="Calibri"/>
          <w:szCs w:val="24"/>
        </w:rPr>
        <w:t xml:space="preserve">it </w:t>
      </w:r>
      <w:r w:rsidRPr="003B4362">
        <w:rPr>
          <w:rFonts w:eastAsia="Calibri"/>
          <w:szCs w:val="24"/>
        </w:rPr>
        <w:t>collect</w:t>
      </w:r>
      <w:r w:rsidR="00F172EB" w:rsidRPr="003B4362">
        <w:rPr>
          <w:rFonts w:eastAsia="Calibri"/>
          <w:szCs w:val="24"/>
        </w:rPr>
        <w:t>s</w:t>
      </w:r>
      <w:r w:rsidRPr="003B4362">
        <w:rPr>
          <w:rFonts w:eastAsia="Calibri"/>
          <w:szCs w:val="24"/>
        </w:rPr>
        <w:t xml:space="preserve"> under this </w:t>
      </w:r>
      <w:r w:rsidR="00F172EB" w:rsidRPr="003B4362">
        <w:rPr>
          <w:rFonts w:eastAsia="Calibri"/>
          <w:szCs w:val="24"/>
        </w:rPr>
        <w:t>S</w:t>
      </w:r>
      <w:r w:rsidRPr="003B4362">
        <w:rPr>
          <w:rFonts w:eastAsia="Calibri"/>
          <w:szCs w:val="24"/>
        </w:rPr>
        <w:t>ection</w:t>
      </w:r>
      <w:r w:rsidR="00F172EB" w:rsidRPr="003B4362">
        <w:rPr>
          <w:rFonts w:eastAsia="Calibri"/>
          <w:szCs w:val="24"/>
        </w:rPr>
        <w:t xml:space="preserve"> </w:t>
      </w:r>
      <w:r w:rsidRPr="003B4362">
        <w:rPr>
          <w:rFonts w:eastAsia="Calibri"/>
          <w:szCs w:val="24"/>
        </w:rPr>
        <w:t xml:space="preserve">to the </w:t>
      </w:r>
      <w:r w:rsidR="0086780C" w:rsidRPr="003B4362">
        <w:rPr>
          <w:rFonts w:eastAsia="Calibri"/>
          <w:szCs w:val="24"/>
        </w:rPr>
        <w:t>Agency</w:t>
      </w:r>
      <w:r w:rsidRPr="003B4362">
        <w:rPr>
          <w:rFonts w:eastAsia="Calibri"/>
          <w:szCs w:val="24"/>
        </w:rPr>
        <w:t xml:space="preserve"> but </w:t>
      </w:r>
      <w:r w:rsidR="0086780C" w:rsidRPr="003B4362">
        <w:rPr>
          <w:rFonts w:eastAsia="Calibri"/>
          <w:szCs w:val="24"/>
        </w:rPr>
        <w:t>must</w:t>
      </w:r>
      <w:r w:rsidRPr="003B4362">
        <w:rPr>
          <w:rFonts w:eastAsia="Calibri"/>
          <w:szCs w:val="24"/>
        </w:rPr>
        <w:t xml:space="preserve"> not</w:t>
      </w:r>
      <w:r w:rsidR="0086780C" w:rsidRPr="003B4362">
        <w:rPr>
          <w:rFonts w:eastAsia="Calibri"/>
          <w:szCs w:val="24"/>
        </w:rPr>
        <w:t xml:space="preserve"> </w:t>
      </w:r>
      <w:r w:rsidRPr="003B4362">
        <w:rPr>
          <w:rFonts w:eastAsia="Calibri"/>
          <w:szCs w:val="24"/>
        </w:rPr>
        <w:t>include</w:t>
      </w:r>
      <w:r w:rsidR="0086780C" w:rsidRPr="003B4362">
        <w:rPr>
          <w:rFonts w:eastAsia="Calibri"/>
          <w:szCs w:val="24"/>
        </w:rPr>
        <w:t xml:space="preserve"> them</w:t>
      </w:r>
      <w:bookmarkEnd w:id="1249"/>
      <w:r w:rsidRPr="003B4362">
        <w:rPr>
          <w:rFonts w:eastAsia="Calibri"/>
          <w:szCs w:val="24"/>
        </w:rPr>
        <w:t xml:space="preserve"> in </w:t>
      </w:r>
      <w:bookmarkStart w:id="1250" w:name="_Hlk118721298"/>
      <w:r w:rsidR="00311200" w:rsidRPr="003B4362">
        <w:rPr>
          <w:rFonts w:eastAsia="Calibri"/>
          <w:szCs w:val="24"/>
        </w:rPr>
        <w:t xml:space="preserve">calculating </w:t>
      </w:r>
      <w:r w:rsidRPr="003B4362">
        <w:rPr>
          <w:rFonts w:eastAsia="Calibri"/>
          <w:szCs w:val="24"/>
        </w:rPr>
        <w:t xml:space="preserve">the </w:t>
      </w:r>
      <w:bookmarkStart w:id="1251" w:name="_Hlk118721102"/>
      <w:r w:rsidRPr="003B4362">
        <w:rPr>
          <w:rFonts w:eastAsia="Calibri"/>
          <w:szCs w:val="24"/>
        </w:rPr>
        <w:t xml:space="preserve">90th percentile </w:t>
      </w:r>
      <w:r w:rsidR="00311200" w:rsidRPr="003B4362">
        <w:rPr>
          <w:rFonts w:eastAsia="Calibri"/>
          <w:szCs w:val="24"/>
        </w:rPr>
        <w:t>concentr</w:t>
      </w:r>
      <w:r w:rsidRPr="003B4362">
        <w:rPr>
          <w:rFonts w:eastAsia="Calibri"/>
          <w:szCs w:val="24"/>
        </w:rPr>
        <w:t>ation</w:t>
      </w:r>
      <w:bookmarkEnd w:id="1248"/>
      <w:r w:rsidR="0086780C" w:rsidRPr="003B4362">
        <w:rPr>
          <w:rFonts w:eastAsia="Calibri"/>
          <w:szCs w:val="24"/>
        </w:rPr>
        <w:t xml:space="preserve"> </w:t>
      </w:r>
      <w:r w:rsidRPr="003B4362">
        <w:rPr>
          <w:rFonts w:eastAsia="Calibri"/>
          <w:szCs w:val="24"/>
        </w:rPr>
        <w:t xml:space="preserve">under Section </w:t>
      </w:r>
      <w:r w:rsidR="0086780C" w:rsidRPr="003B4362">
        <w:rPr>
          <w:rFonts w:eastAsia="Calibri"/>
          <w:szCs w:val="24"/>
        </w:rPr>
        <w:t>61</w:t>
      </w:r>
      <w:r w:rsidRPr="003B4362">
        <w:rPr>
          <w:rFonts w:eastAsia="Calibri"/>
          <w:szCs w:val="24"/>
        </w:rPr>
        <w:t>1.</w:t>
      </w:r>
      <w:r w:rsidR="0086780C" w:rsidRPr="003B4362">
        <w:rPr>
          <w:rFonts w:eastAsia="Calibri"/>
          <w:szCs w:val="24"/>
        </w:rPr>
        <w:t>35</w:t>
      </w:r>
      <w:r w:rsidRPr="003B4362">
        <w:rPr>
          <w:rFonts w:eastAsia="Calibri"/>
          <w:szCs w:val="24"/>
        </w:rPr>
        <w:t>6</w:t>
      </w:r>
      <w:bookmarkEnd w:id="1250"/>
      <w:bookmarkEnd w:id="1251"/>
      <w:r w:rsidRPr="003B4362">
        <w:rPr>
          <w:rFonts w:eastAsia="Calibri"/>
          <w:szCs w:val="24"/>
        </w:rPr>
        <w:t>.  I</w:t>
      </w:r>
      <w:bookmarkStart w:id="1252" w:name="_Hlk118721443"/>
      <w:bookmarkStart w:id="1253" w:name="_Hlk118721367"/>
      <w:r w:rsidRPr="003B4362">
        <w:rPr>
          <w:rFonts w:eastAsia="Calibri"/>
          <w:szCs w:val="24"/>
        </w:rPr>
        <w:t xml:space="preserve">f the </w:t>
      </w:r>
      <w:r w:rsidR="0086780C" w:rsidRPr="003B4362">
        <w:rPr>
          <w:rFonts w:eastAsia="Calibri"/>
          <w:szCs w:val="24"/>
        </w:rPr>
        <w:t>supplier</w:t>
      </w:r>
      <w:r w:rsidR="005A292B" w:rsidRPr="003B4362">
        <w:rPr>
          <w:rFonts w:eastAsia="Calibri"/>
          <w:szCs w:val="24"/>
        </w:rPr>
        <w:t xml:space="preserve"> </w:t>
      </w:r>
      <w:r w:rsidR="00220312" w:rsidRPr="003B4362">
        <w:rPr>
          <w:rFonts w:eastAsia="Calibri"/>
          <w:szCs w:val="24"/>
        </w:rPr>
        <w:t>cannot</w:t>
      </w:r>
      <w:r w:rsidRPr="003B4362">
        <w:rPr>
          <w:rFonts w:eastAsia="Calibri"/>
          <w:szCs w:val="24"/>
        </w:rPr>
        <w:t xml:space="preserve"> collect a follow-up sample</w:t>
      </w:r>
      <w:bookmarkEnd w:id="1252"/>
      <w:r w:rsidRPr="003B4362">
        <w:rPr>
          <w:rFonts w:eastAsia="Calibri"/>
          <w:szCs w:val="24"/>
        </w:rPr>
        <w:t xml:space="preserve"> at a site</w:t>
      </w:r>
      <w:bookmarkEnd w:id="1253"/>
      <w:r w:rsidRPr="003B4362">
        <w:rPr>
          <w:rFonts w:eastAsia="Calibri"/>
          <w:szCs w:val="24"/>
        </w:rPr>
        <w:t xml:space="preserve">, </w:t>
      </w:r>
      <w:bookmarkStart w:id="1254" w:name="_Hlk118721664"/>
      <w:r w:rsidRPr="003B4362">
        <w:rPr>
          <w:rFonts w:eastAsia="Calibri"/>
          <w:szCs w:val="24"/>
        </w:rPr>
        <w:t xml:space="preserve">the </w:t>
      </w:r>
      <w:r w:rsidR="00220312" w:rsidRPr="003B4362">
        <w:rPr>
          <w:rFonts w:eastAsia="Calibri"/>
          <w:szCs w:val="24"/>
        </w:rPr>
        <w:t>supplier</w:t>
      </w:r>
      <w:r w:rsidRPr="003B4362">
        <w:rPr>
          <w:rFonts w:eastAsia="Calibri"/>
          <w:szCs w:val="24"/>
        </w:rPr>
        <w:t xml:space="preserve"> must document to the </w:t>
      </w:r>
      <w:r w:rsidR="00220312" w:rsidRPr="003B4362">
        <w:rPr>
          <w:rFonts w:eastAsia="Calibri"/>
          <w:szCs w:val="24"/>
        </w:rPr>
        <w:t>Agency</w:t>
      </w:r>
      <w:r w:rsidRPr="003B4362">
        <w:rPr>
          <w:rFonts w:eastAsia="Calibri"/>
          <w:szCs w:val="24"/>
        </w:rPr>
        <w:t xml:space="preserve"> why</w:t>
      </w:r>
      <w:bookmarkEnd w:id="1254"/>
      <w:r w:rsidRPr="003B4362">
        <w:rPr>
          <w:rFonts w:eastAsia="Calibri"/>
          <w:szCs w:val="24"/>
        </w:rPr>
        <w:t xml:space="preserve"> it was unable to collect a follow-up sample.</w:t>
      </w:r>
    </w:p>
    <w:p w14:paraId="6AF45C19" w14:textId="02B11E01" w:rsidR="00E72761" w:rsidRPr="003B4362" w:rsidRDefault="00E72761" w:rsidP="00E72761">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r>
      <w:bookmarkStart w:id="1255" w:name="_Hlk118726974"/>
      <w:r w:rsidRPr="003B4362">
        <w:rPr>
          <w:rFonts w:eastAsia="Calibri"/>
          <w:szCs w:val="24"/>
        </w:rPr>
        <w:t>Step 3</w:t>
      </w:r>
      <w:r w:rsidR="003060C4" w:rsidRPr="003B4362">
        <w:rPr>
          <w:rFonts w:eastAsia="Calibri"/>
          <w:szCs w:val="24"/>
        </w:rPr>
        <w:t>:  Evaluating Results and Recommending OCCT or Other Actions</w:t>
      </w:r>
      <w:bookmarkEnd w:id="1255"/>
      <w:r w:rsidRPr="003B4362">
        <w:rPr>
          <w:rFonts w:eastAsia="Calibri"/>
          <w:szCs w:val="24"/>
        </w:rPr>
        <w:t xml:space="preserve">.  </w:t>
      </w:r>
      <w:r w:rsidR="00392865" w:rsidRPr="003B4362">
        <w:rPr>
          <w:rFonts w:eastAsia="Calibri"/>
          <w:szCs w:val="24"/>
        </w:rPr>
        <w:t>W</w:t>
      </w:r>
      <w:bookmarkStart w:id="1256" w:name="_Hlk118728055"/>
      <w:r w:rsidR="00392865" w:rsidRPr="003B4362">
        <w:rPr>
          <w:rFonts w:eastAsia="Calibri"/>
          <w:szCs w:val="24"/>
        </w:rPr>
        <w:t>ithin six months after the end of the tap sampling period during which a supplier exceeds the lead action level</w:t>
      </w:r>
      <w:bookmarkEnd w:id="1256"/>
      <w:r w:rsidR="00392865" w:rsidRPr="003B4362">
        <w:rPr>
          <w:rFonts w:eastAsia="Calibri"/>
          <w:szCs w:val="24"/>
        </w:rPr>
        <w:t>, the</w:t>
      </w:r>
      <w:r w:rsidR="003060C4" w:rsidRPr="003B4362">
        <w:rPr>
          <w:rFonts w:eastAsia="Calibri"/>
          <w:szCs w:val="24"/>
        </w:rPr>
        <w:t xml:space="preserve"> supplier</w:t>
      </w:r>
      <w:r w:rsidRPr="003B4362">
        <w:rPr>
          <w:rFonts w:eastAsia="Calibri"/>
          <w:szCs w:val="24"/>
        </w:rPr>
        <w:t xml:space="preserve"> </w:t>
      </w:r>
      <w:r w:rsidR="003060C4" w:rsidRPr="003B4362">
        <w:rPr>
          <w:rFonts w:eastAsia="Calibri"/>
          <w:szCs w:val="24"/>
        </w:rPr>
        <w:t>must</w:t>
      </w:r>
      <w:r w:rsidRPr="003B4362">
        <w:rPr>
          <w:rFonts w:eastAsia="Calibri"/>
          <w:szCs w:val="24"/>
        </w:rPr>
        <w:t xml:space="preserve"> evaluate the results of </w:t>
      </w:r>
      <w:bookmarkStart w:id="1257" w:name="_Hlk118727098"/>
      <w:r w:rsidRPr="003B4362">
        <w:rPr>
          <w:rFonts w:eastAsia="Calibri"/>
          <w:szCs w:val="24"/>
        </w:rPr>
        <w:t>the monitoring conducted under subsection</w:t>
      </w:r>
      <w:r w:rsidR="00C22C94" w:rsidRPr="003B4362">
        <w:rPr>
          <w:rFonts w:eastAsia="Calibri"/>
          <w:szCs w:val="24"/>
        </w:rPr>
        <w:t>s (j)(1) and</w:t>
      </w:r>
      <w:r w:rsidRPr="003B4362">
        <w:rPr>
          <w:rFonts w:eastAsia="Calibri"/>
          <w:szCs w:val="24"/>
        </w:rPr>
        <w:t xml:space="preserve"> (j)(</w:t>
      </w:r>
      <w:r w:rsidR="0033331A" w:rsidRPr="003B4362">
        <w:rPr>
          <w:rFonts w:eastAsia="Calibri"/>
          <w:szCs w:val="24"/>
        </w:rPr>
        <w:t>2</w:t>
      </w:r>
      <w:r w:rsidRPr="003B4362">
        <w:rPr>
          <w:rFonts w:eastAsia="Calibri"/>
          <w:szCs w:val="24"/>
        </w:rPr>
        <w:t>)</w:t>
      </w:r>
      <w:bookmarkEnd w:id="1257"/>
      <w:r w:rsidRPr="003B4362">
        <w:rPr>
          <w:rFonts w:eastAsia="Calibri"/>
          <w:szCs w:val="24"/>
        </w:rPr>
        <w:t xml:space="preserve"> to determine if </w:t>
      </w:r>
      <w:r w:rsidR="005A292B" w:rsidRPr="003B4362">
        <w:rPr>
          <w:rFonts w:eastAsia="Calibri"/>
          <w:szCs w:val="24"/>
        </w:rPr>
        <w:t xml:space="preserve">the supplier must </w:t>
      </w:r>
      <w:r w:rsidRPr="003B4362">
        <w:rPr>
          <w:rFonts w:eastAsia="Calibri"/>
          <w:szCs w:val="24"/>
        </w:rPr>
        <w:t xml:space="preserve">either </w:t>
      </w:r>
      <w:bookmarkStart w:id="1258" w:name="_Hlk118727345"/>
      <w:bookmarkStart w:id="1259" w:name="_Hlk118727399"/>
      <w:r w:rsidRPr="003B4362">
        <w:rPr>
          <w:rFonts w:eastAsia="Calibri"/>
          <w:szCs w:val="24"/>
        </w:rPr>
        <w:t>local</w:t>
      </w:r>
      <w:r w:rsidR="005A292B" w:rsidRPr="003B4362">
        <w:rPr>
          <w:rFonts w:eastAsia="Calibri"/>
          <w:szCs w:val="24"/>
        </w:rPr>
        <w:t>ly</w:t>
      </w:r>
      <w:r w:rsidRPr="003B4362">
        <w:rPr>
          <w:rFonts w:eastAsia="Calibri"/>
          <w:szCs w:val="24"/>
        </w:rPr>
        <w:t xml:space="preserve"> or central</w:t>
      </w:r>
      <w:r w:rsidR="005A292B" w:rsidRPr="003B4362">
        <w:rPr>
          <w:rFonts w:eastAsia="Calibri"/>
          <w:szCs w:val="24"/>
        </w:rPr>
        <w:t>ly</w:t>
      </w:r>
      <w:r w:rsidRPr="003B4362">
        <w:rPr>
          <w:rFonts w:eastAsia="Calibri"/>
          <w:szCs w:val="24"/>
        </w:rPr>
        <w:t xml:space="preserve"> </w:t>
      </w:r>
      <w:bookmarkEnd w:id="1258"/>
      <w:r w:rsidRPr="003B4362">
        <w:rPr>
          <w:rFonts w:eastAsia="Calibri"/>
          <w:szCs w:val="24"/>
        </w:rPr>
        <w:t xml:space="preserve">adjust the </w:t>
      </w:r>
      <w:r w:rsidR="003060C4" w:rsidRPr="003B4362">
        <w:rPr>
          <w:rFonts w:eastAsia="Calibri"/>
          <w:szCs w:val="24"/>
        </w:rPr>
        <w:t>OCCT</w:t>
      </w:r>
      <w:bookmarkEnd w:id="1259"/>
      <w:r w:rsidRPr="003B4362">
        <w:rPr>
          <w:rFonts w:eastAsia="Calibri"/>
          <w:szCs w:val="24"/>
        </w:rPr>
        <w:t xml:space="preserve"> or other distribution system actions are necessary and submit the recommendation to the </w:t>
      </w:r>
      <w:r w:rsidR="00392865" w:rsidRPr="003B4362">
        <w:rPr>
          <w:rFonts w:eastAsia="Calibri"/>
          <w:szCs w:val="24"/>
        </w:rPr>
        <w:t>Agency</w:t>
      </w:r>
      <w:r w:rsidRPr="003B4362">
        <w:rPr>
          <w:rFonts w:eastAsia="Calibri"/>
          <w:szCs w:val="24"/>
        </w:rPr>
        <w:t xml:space="preserve">.  </w:t>
      </w:r>
      <w:bookmarkStart w:id="1260" w:name="_Hlk118728202"/>
      <w:r w:rsidR="006B5455" w:rsidRPr="003B4362">
        <w:rPr>
          <w:rFonts w:eastAsia="Calibri"/>
          <w:szCs w:val="24"/>
        </w:rPr>
        <w:t>M</w:t>
      </w:r>
      <w:bookmarkStart w:id="1261" w:name="_Hlk118728820"/>
      <w:r w:rsidR="006B5455" w:rsidRPr="003B4362">
        <w:rPr>
          <w:rFonts w:eastAsia="Calibri"/>
          <w:szCs w:val="24"/>
        </w:rPr>
        <w:t>odifying c</w:t>
      </w:r>
      <w:r w:rsidRPr="003B4362">
        <w:rPr>
          <w:rFonts w:eastAsia="Calibri"/>
          <w:szCs w:val="24"/>
        </w:rPr>
        <w:t>orrosion control treatment</w:t>
      </w:r>
      <w:bookmarkEnd w:id="1260"/>
      <w:r w:rsidR="006B5455" w:rsidRPr="003B4362">
        <w:rPr>
          <w:rFonts w:eastAsia="Calibri"/>
          <w:szCs w:val="24"/>
        </w:rPr>
        <w:t xml:space="preserve"> </w:t>
      </w:r>
      <w:r w:rsidRPr="003B4362">
        <w:rPr>
          <w:rFonts w:eastAsia="Calibri"/>
          <w:szCs w:val="24"/>
        </w:rPr>
        <w:t>m</w:t>
      </w:r>
      <w:r w:rsidR="00415AD6" w:rsidRPr="003B4362">
        <w:rPr>
          <w:rFonts w:eastAsia="Calibri"/>
          <w:szCs w:val="24"/>
        </w:rPr>
        <w:t>ight</w:t>
      </w:r>
      <w:r w:rsidRPr="003B4362">
        <w:rPr>
          <w:rFonts w:eastAsia="Calibri"/>
          <w:szCs w:val="24"/>
        </w:rPr>
        <w:t xml:space="preserve"> not be necessary</w:t>
      </w:r>
      <w:bookmarkEnd w:id="1261"/>
      <w:r w:rsidRPr="003B4362">
        <w:rPr>
          <w:rFonts w:eastAsia="Calibri"/>
          <w:szCs w:val="24"/>
        </w:rPr>
        <w:t xml:space="preserve"> to address every exceedance.  Other distribution system actions may include flushing to </w:t>
      </w:r>
      <w:bookmarkStart w:id="1262" w:name="_Hlk118730382"/>
      <w:r w:rsidRPr="003B4362">
        <w:rPr>
          <w:rFonts w:eastAsia="Calibri"/>
          <w:szCs w:val="24"/>
        </w:rPr>
        <w:t xml:space="preserve">reduce water </w:t>
      </w:r>
      <w:r w:rsidR="00B66E89" w:rsidRPr="003B4362">
        <w:rPr>
          <w:rFonts w:eastAsia="Calibri"/>
          <w:szCs w:val="24"/>
        </w:rPr>
        <w:t>residence</w:t>
      </w:r>
      <w:bookmarkStart w:id="1263" w:name="_Hlk118737676"/>
      <w:r w:rsidR="00B66E89" w:rsidRPr="003B4362">
        <w:rPr>
          <w:rFonts w:eastAsia="Calibri"/>
          <w:szCs w:val="24"/>
        </w:rPr>
        <w:t xml:space="preserve"> </w:t>
      </w:r>
      <w:bookmarkEnd w:id="1263"/>
      <w:r w:rsidR="00B66E89" w:rsidRPr="003B4362">
        <w:rPr>
          <w:rFonts w:eastAsia="Calibri"/>
          <w:szCs w:val="24"/>
        </w:rPr>
        <w:t>time in the system</w:t>
      </w:r>
      <w:bookmarkEnd w:id="1262"/>
      <w:r w:rsidRPr="003B4362">
        <w:rPr>
          <w:rFonts w:eastAsia="Calibri"/>
          <w:szCs w:val="24"/>
        </w:rPr>
        <w:t xml:space="preserve">.  </w:t>
      </w:r>
      <w:r w:rsidR="00F46D0C" w:rsidRPr="003B4362">
        <w:rPr>
          <w:rFonts w:eastAsia="Calibri"/>
          <w:szCs w:val="24"/>
        </w:rPr>
        <w:t>I</w:t>
      </w:r>
      <w:bookmarkStart w:id="1264" w:name="_Hlk118731888"/>
      <w:r w:rsidR="00F46D0C" w:rsidRPr="003B4362">
        <w:rPr>
          <w:rFonts w:eastAsia="Calibri"/>
          <w:szCs w:val="24"/>
        </w:rPr>
        <w:t>f known from the site assessment</w:t>
      </w:r>
      <w:bookmarkEnd w:id="1264"/>
      <w:r w:rsidR="00F46D0C" w:rsidRPr="003B4362">
        <w:rPr>
          <w:rFonts w:eastAsia="Calibri"/>
          <w:szCs w:val="24"/>
        </w:rPr>
        <w:t>, the</w:t>
      </w:r>
      <w:r w:rsidR="00B66E89" w:rsidRPr="003B4362">
        <w:rPr>
          <w:rFonts w:eastAsia="Calibri"/>
          <w:szCs w:val="24"/>
        </w:rPr>
        <w:t xml:space="preserve"> supplier</w:t>
      </w:r>
      <w:r w:rsidRPr="003B4362">
        <w:rPr>
          <w:rFonts w:eastAsia="Calibri"/>
          <w:szCs w:val="24"/>
        </w:rPr>
        <w:t xml:space="preserve"> must note the cause of the elevated lead level</w:t>
      </w:r>
      <w:r w:rsidR="00F46D0C" w:rsidRPr="003B4362">
        <w:rPr>
          <w:rFonts w:eastAsia="Calibri"/>
          <w:szCs w:val="24"/>
        </w:rPr>
        <w:t xml:space="preserve"> </w:t>
      </w:r>
      <w:r w:rsidRPr="003B4362">
        <w:rPr>
          <w:rFonts w:eastAsia="Calibri"/>
          <w:szCs w:val="24"/>
        </w:rPr>
        <w:t xml:space="preserve">in </w:t>
      </w:r>
      <w:r w:rsidR="00F46D0C" w:rsidRPr="003B4362">
        <w:rPr>
          <w:rFonts w:eastAsia="Calibri"/>
          <w:szCs w:val="24"/>
        </w:rPr>
        <w:t>its</w:t>
      </w:r>
      <w:r w:rsidRPr="003B4362">
        <w:rPr>
          <w:rFonts w:eastAsia="Calibri"/>
          <w:szCs w:val="24"/>
        </w:rPr>
        <w:t xml:space="preserve"> recommendation to the </w:t>
      </w:r>
      <w:r w:rsidR="00F46D0C" w:rsidRPr="003B4362">
        <w:rPr>
          <w:rFonts w:eastAsia="Calibri"/>
          <w:szCs w:val="24"/>
        </w:rPr>
        <w:t>Agency</w:t>
      </w:r>
      <w:r w:rsidRPr="003B4362">
        <w:rPr>
          <w:rFonts w:eastAsia="Calibri"/>
          <w:szCs w:val="24"/>
        </w:rPr>
        <w:t xml:space="preserve"> </w:t>
      </w:r>
      <w:r w:rsidR="00FE668F" w:rsidRPr="003B4362">
        <w:rPr>
          <w:rFonts w:eastAsia="Calibri"/>
          <w:szCs w:val="24"/>
        </w:rPr>
        <w:t>because</w:t>
      </w:r>
      <w:r w:rsidRPr="003B4362">
        <w:rPr>
          <w:rFonts w:eastAsia="Calibri"/>
          <w:szCs w:val="24"/>
        </w:rPr>
        <w:t xml:space="preserve"> site-specific issues can be an important factor in why the </w:t>
      </w:r>
      <w:r w:rsidR="00B474E7" w:rsidRPr="003B4362">
        <w:rPr>
          <w:rFonts w:eastAsia="Calibri"/>
          <w:szCs w:val="24"/>
        </w:rPr>
        <w:t>supplier</w:t>
      </w:r>
      <w:r w:rsidRPr="003B4362">
        <w:rPr>
          <w:rFonts w:eastAsia="Calibri"/>
          <w:szCs w:val="24"/>
        </w:rPr>
        <w:t xml:space="preserve"> </w:t>
      </w:r>
      <w:r w:rsidR="00B474E7" w:rsidRPr="003B4362">
        <w:rPr>
          <w:rFonts w:eastAsia="Calibri"/>
          <w:szCs w:val="24"/>
        </w:rPr>
        <w:t>does</w:t>
      </w:r>
      <w:r w:rsidRPr="003B4362">
        <w:rPr>
          <w:rFonts w:eastAsia="Calibri"/>
          <w:szCs w:val="24"/>
        </w:rPr>
        <w:t xml:space="preserve"> not recommend any adjustment of corrosion control treatment or other distribution system actions.  </w:t>
      </w:r>
      <w:r w:rsidR="004E17A9" w:rsidRPr="003B4362">
        <w:rPr>
          <w:rFonts w:eastAsia="Calibri"/>
          <w:szCs w:val="24"/>
        </w:rPr>
        <w:t>A supplier</w:t>
      </w:r>
      <w:r w:rsidRPr="003B4362">
        <w:rPr>
          <w:rFonts w:eastAsia="Calibri"/>
          <w:szCs w:val="24"/>
        </w:rPr>
        <w:t xml:space="preserve"> in the process of </w:t>
      </w:r>
      <w:bookmarkStart w:id="1265" w:name="_Hlk118735859"/>
      <w:r w:rsidRPr="003B4362">
        <w:rPr>
          <w:rFonts w:eastAsia="Calibri"/>
          <w:szCs w:val="24"/>
        </w:rPr>
        <w:t>optimizing or re</w:t>
      </w:r>
      <w:r w:rsidR="004E17A9" w:rsidRPr="003B4362">
        <w:rPr>
          <w:rFonts w:eastAsia="Calibri"/>
          <w:szCs w:val="24"/>
        </w:rPr>
        <w:t>-</w:t>
      </w:r>
      <w:r w:rsidRPr="003B4362">
        <w:rPr>
          <w:rFonts w:eastAsia="Calibri"/>
          <w:szCs w:val="24"/>
        </w:rPr>
        <w:t xml:space="preserve">optimizing </w:t>
      </w:r>
      <w:bookmarkEnd w:id="1265"/>
      <w:r w:rsidR="000D48CD" w:rsidRPr="003B4362">
        <w:rPr>
          <w:rFonts w:eastAsia="Calibri"/>
          <w:szCs w:val="24"/>
        </w:rPr>
        <w:t>OCCT</w:t>
      </w:r>
      <w:r w:rsidRPr="003B4362">
        <w:rPr>
          <w:rFonts w:eastAsia="Calibri"/>
          <w:szCs w:val="24"/>
        </w:rPr>
        <w:t xml:space="preserve"> under subsections (a) through (f) </w:t>
      </w:r>
      <w:bookmarkStart w:id="1266" w:name="_Hlk118737180"/>
      <w:r w:rsidR="00741938" w:rsidRPr="003B4362">
        <w:rPr>
          <w:rFonts w:eastAsia="Calibri"/>
          <w:szCs w:val="24"/>
        </w:rPr>
        <w:t>needs not</w:t>
      </w:r>
      <w:bookmarkStart w:id="1267" w:name="_Hlk118737430"/>
      <w:r w:rsidRPr="003B4362">
        <w:rPr>
          <w:rFonts w:eastAsia="Calibri"/>
          <w:szCs w:val="24"/>
        </w:rPr>
        <w:t xml:space="preserve"> </w:t>
      </w:r>
      <w:bookmarkEnd w:id="1266"/>
      <w:r w:rsidR="00741938" w:rsidRPr="003B4362">
        <w:rPr>
          <w:rFonts w:eastAsia="Calibri"/>
          <w:szCs w:val="24"/>
        </w:rPr>
        <w:t>recommend</w:t>
      </w:r>
      <w:r w:rsidRPr="003B4362">
        <w:rPr>
          <w:rFonts w:eastAsia="Calibri"/>
          <w:szCs w:val="24"/>
        </w:rPr>
        <w:t xml:space="preserve"> a</w:t>
      </w:r>
      <w:r w:rsidR="00741938" w:rsidRPr="003B4362">
        <w:rPr>
          <w:rFonts w:eastAsia="Calibri"/>
          <w:szCs w:val="24"/>
        </w:rPr>
        <w:t xml:space="preserve"> </w:t>
      </w:r>
      <w:r w:rsidRPr="003B4362">
        <w:rPr>
          <w:rFonts w:eastAsia="Calibri"/>
          <w:szCs w:val="24"/>
        </w:rPr>
        <w:t>find-and-fix</w:t>
      </w:r>
      <w:bookmarkEnd w:id="1267"/>
      <w:r w:rsidR="00741938" w:rsidRPr="003B4362">
        <w:rPr>
          <w:rFonts w:eastAsia="Calibri"/>
          <w:szCs w:val="24"/>
        </w:rPr>
        <w:t xml:space="preserve"> treatment to the Agency</w:t>
      </w:r>
      <w:r w:rsidRPr="003B4362">
        <w:rPr>
          <w:rFonts w:eastAsia="Calibri"/>
          <w:szCs w:val="24"/>
        </w:rPr>
        <w:t>.</w:t>
      </w:r>
    </w:p>
    <w:p w14:paraId="3B7E12B5" w14:textId="5140B821" w:rsidR="00E72761" w:rsidRPr="003B4362" w:rsidRDefault="00E72761" w:rsidP="00E72761">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t>Step 4</w:t>
      </w:r>
      <w:r w:rsidR="0096247B" w:rsidRPr="003B4362">
        <w:rPr>
          <w:rFonts w:eastAsia="Calibri"/>
          <w:szCs w:val="24"/>
        </w:rPr>
        <w:t>:  Agency Action</w:t>
      </w:r>
      <w:r w:rsidRPr="003B4362">
        <w:rPr>
          <w:rFonts w:eastAsia="Calibri"/>
          <w:szCs w:val="24"/>
        </w:rPr>
        <w:t>.  T</w:t>
      </w:r>
      <w:bookmarkStart w:id="1268" w:name="_Hlk118737926"/>
      <w:r w:rsidRPr="003B4362">
        <w:rPr>
          <w:rFonts w:eastAsia="Calibri"/>
          <w:szCs w:val="24"/>
        </w:rPr>
        <w:t xml:space="preserve">he </w:t>
      </w:r>
      <w:r w:rsidR="007B741B" w:rsidRPr="003B4362">
        <w:rPr>
          <w:rFonts w:eastAsia="Calibri"/>
          <w:szCs w:val="24"/>
        </w:rPr>
        <w:t>Agency</w:t>
      </w:r>
      <w:r w:rsidRPr="003B4362">
        <w:rPr>
          <w:rFonts w:eastAsia="Calibri"/>
          <w:szCs w:val="24"/>
        </w:rPr>
        <w:t xml:space="preserve"> </w:t>
      </w:r>
      <w:r w:rsidR="007B741B" w:rsidRPr="003B4362">
        <w:rPr>
          <w:rFonts w:eastAsia="Calibri"/>
          <w:szCs w:val="24"/>
        </w:rPr>
        <w:t>must</w:t>
      </w:r>
      <w:r w:rsidRPr="003B4362">
        <w:rPr>
          <w:rFonts w:eastAsia="Calibri"/>
          <w:szCs w:val="24"/>
        </w:rPr>
        <w:t xml:space="preserve"> </w:t>
      </w:r>
      <w:r w:rsidR="007B741B" w:rsidRPr="003B4362">
        <w:rPr>
          <w:rFonts w:eastAsia="Calibri"/>
          <w:szCs w:val="24"/>
        </w:rPr>
        <w:t xml:space="preserve">issue a SEP </w:t>
      </w:r>
      <w:r w:rsidRPr="003B4362">
        <w:rPr>
          <w:rFonts w:eastAsia="Calibri"/>
          <w:szCs w:val="24"/>
        </w:rPr>
        <w:t>approv</w:t>
      </w:r>
      <w:r w:rsidR="007B741B" w:rsidRPr="003B4362">
        <w:rPr>
          <w:rFonts w:eastAsia="Calibri"/>
          <w:szCs w:val="24"/>
        </w:rPr>
        <w:t>ing</w:t>
      </w:r>
      <w:r w:rsidRPr="003B4362">
        <w:rPr>
          <w:rFonts w:eastAsia="Calibri"/>
          <w:szCs w:val="24"/>
        </w:rPr>
        <w:t xml:space="preserve"> the </w:t>
      </w:r>
      <w:r w:rsidR="007B741B" w:rsidRPr="003B4362">
        <w:rPr>
          <w:rFonts w:eastAsia="Calibri"/>
          <w:szCs w:val="24"/>
        </w:rPr>
        <w:t xml:space="preserve">supplier’s </w:t>
      </w:r>
      <w:r w:rsidRPr="003B4362">
        <w:rPr>
          <w:rFonts w:eastAsia="Calibri"/>
          <w:szCs w:val="24"/>
        </w:rPr>
        <w:t>treatment recommendation</w:t>
      </w:r>
      <w:bookmarkEnd w:id="1268"/>
      <w:r w:rsidRPr="003B4362">
        <w:rPr>
          <w:rFonts w:eastAsia="Calibri"/>
          <w:szCs w:val="24"/>
        </w:rPr>
        <w:t xml:space="preserve"> or specify a different approach </w:t>
      </w:r>
      <w:bookmarkStart w:id="1269" w:name="_Hlk118738626"/>
      <w:r w:rsidRPr="003B4362">
        <w:rPr>
          <w:rFonts w:eastAsia="Calibri"/>
          <w:szCs w:val="24"/>
        </w:rPr>
        <w:t xml:space="preserve">within six months </w:t>
      </w:r>
      <w:r w:rsidR="007B741B" w:rsidRPr="003B4362">
        <w:rPr>
          <w:rFonts w:eastAsia="Calibri"/>
          <w:szCs w:val="24"/>
        </w:rPr>
        <w:t>after</w:t>
      </w:r>
      <w:r w:rsidRPr="003B4362">
        <w:rPr>
          <w:rFonts w:eastAsia="Calibri"/>
          <w:szCs w:val="24"/>
        </w:rPr>
        <w:t xml:space="preserve"> </w:t>
      </w:r>
      <w:r w:rsidR="007B741B" w:rsidRPr="003B4362">
        <w:rPr>
          <w:rFonts w:eastAsia="Calibri"/>
          <w:szCs w:val="24"/>
        </w:rPr>
        <w:t xml:space="preserve">the supplier </w:t>
      </w:r>
      <w:r w:rsidRPr="003B4362">
        <w:rPr>
          <w:rFonts w:eastAsia="Calibri"/>
          <w:szCs w:val="24"/>
        </w:rPr>
        <w:t>complet</w:t>
      </w:r>
      <w:r w:rsidR="0095486D" w:rsidRPr="003B4362">
        <w:rPr>
          <w:rFonts w:eastAsia="Calibri"/>
          <w:szCs w:val="24"/>
        </w:rPr>
        <w:t>es</w:t>
      </w:r>
      <w:r w:rsidRPr="003B4362">
        <w:rPr>
          <w:rFonts w:eastAsia="Calibri"/>
          <w:szCs w:val="24"/>
        </w:rPr>
        <w:t xml:space="preserve"> Step 3</w:t>
      </w:r>
      <w:r w:rsidR="007B741B" w:rsidRPr="003B4362">
        <w:rPr>
          <w:rFonts w:eastAsia="Calibri"/>
          <w:szCs w:val="24"/>
        </w:rPr>
        <w:t>,</w:t>
      </w:r>
      <w:r w:rsidRPr="003B4362">
        <w:rPr>
          <w:rFonts w:eastAsia="Calibri"/>
          <w:szCs w:val="24"/>
        </w:rPr>
        <w:t xml:space="preserve"> as subsection (j)(3) </w:t>
      </w:r>
      <w:r w:rsidR="007B741B" w:rsidRPr="003B4362">
        <w:rPr>
          <w:rFonts w:eastAsia="Calibri"/>
          <w:szCs w:val="24"/>
        </w:rPr>
        <w:t>describes</w:t>
      </w:r>
      <w:bookmarkEnd w:id="1269"/>
      <w:r w:rsidRPr="003B4362">
        <w:rPr>
          <w:rFonts w:eastAsia="Calibri"/>
          <w:szCs w:val="24"/>
        </w:rPr>
        <w:t>.</w:t>
      </w:r>
    </w:p>
    <w:p w14:paraId="6EA08BAF" w14:textId="142A34CD" w:rsidR="00E72761" w:rsidRPr="003B4362" w:rsidRDefault="00E72761" w:rsidP="00E72761">
      <w:pPr>
        <w:autoSpaceDE w:val="0"/>
        <w:autoSpaceDN w:val="0"/>
        <w:adjustRightInd w:val="0"/>
        <w:spacing w:before="240" w:after="240"/>
        <w:ind w:left="2160" w:hanging="720"/>
        <w:rPr>
          <w:rFonts w:eastAsia="Calibri"/>
          <w:szCs w:val="24"/>
        </w:rPr>
      </w:pPr>
      <w:r w:rsidRPr="003B4362">
        <w:rPr>
          <w:rFonts w:eastAsia="Calibri"/>
          <w:szCs w:val="24"/>
        </w:rPr>
        <w:lastRenderedPageBreak/>
        <w:t>5)</w:t>
      </w:r>
      <w:r w:rsidRPr="003B4362">
        <w:rPr>
          <w:rFonts w:eastAsia="Calibri"/>
          <w:szCs w:val="24"/>
        </w:rPr>
        <w:tab/>
        <w:t>Step 5</w:t>
      </w:r>
      <w:bookmarkStart w:id="1270" w:name="_Hlk118739757"/>
      <w:r w:rsidR="00B512CB" w:rsidRPr="003B4362">
        <w:rPr>
          <w:rFonts w:eastAsia="Calibri"/>
          <w:szCs w:val="24"/>
        </w:rPr>
        <w:t>:  Implementing the Agency’s SEP</w:t>
      </w:r>
      <w:bookmarkEnd w:id="1270"/>
      <w:r w:rsidRPr="003B4362">
        <w:rPr>
          <w:rFonts w:eastAsia="Calibri"/>
          <w:szCs w:val="24"/>
        </w:rPr>
        <w:t>.  I</w:t>
      </w:r>
      <w:bookmarkStart w:id="1271" w:name="_Hlk118738838"/>
      <w:bookmarkStart w:id="1272" w:name="_Hlk118738932"/>
      <w:r w:rsidRPr="003B4362">
        <w:rPr>
          <w:rFonts w:eastAsia="Calibri"/>
          <w:szCs w:val="24"/>
        </w:rPr>
        <w:t xml:space="preserve">f the </w:t>
      </w:r>
      <w:r w:rsidR="0096247B" w:rsidRPr="003B4362">
        <w:rPr>
          <w:rFonts w:eastAsia="Calibri"/>
          <w:szCs w:val="24"/>
        </w:rPr>
        <w:t>Agency</w:t>
      </w:r>
      <w:r w:rsidRPr="003B4362">
        <w:rPr>
          <w:rFonts w:eastAsia="Calibri"/>
          <w:szCs w:val="24"/>
        </w:rPr>
        <w:t>-</w:t>
      </w:r>
      <w:bookmarkEnd w:id="1271"/>
      <w:r w:rsidR="0096247B" w:rsidRPr="003B4362">
        <w:rPr>
          <w:rFonts w:eastAsia="Calibri"/>
          <w:szCs w:val="24"/>
        </w:rPr>
        <w:t>issued SEP</w:t>
      </w:r>
      <w:bookmarkStart w:id="1273" w:name="_Hlk118738960"/>
      <w:bookmarkEnd w:id="1272"/>
      <w:r w:rsidRPr="003B4362">
        <w:rPr>
          <w:rFonts w:eastAsia="Calibri"/>
          <w:szCs w:val="24"/>
        </w:rPr>
        <w:t xml:space="preserve"> requires</w:t>
      </w:r>
      <w:bookmarkEnd w:id="1273"/>
      <w:r w:rsidRPr="003B4362">
        <w:rPr>
          <w:rFonts w:eastAsia="Calibri"/>
          <w:szCs w:val="24"/>
        </w:rPr>
        <w:t xml:space="preserve"> the water system to </w:t>
      </w:r>
      <w:bookmarkStart w:id="1274" w:name="_Hlk118739167"/>
      <w:r w:rsidRPr="003B4362">
        <w:rPr>
          <w:rFonts w:eastAsia="Calibri"/>
          <w:szCs w:val="24"/>
        </w:rPr>
        <w:t xml:space="preserve">adjust the </w:t>
      </w:r>
      <w:bookmarkEnd w:id="1274"/>
      <w:r w:rsidR="00C97157" w:rsidRPr="003B4362">
        <w:rPr>
          <w:rFonts w:eastAsia="Calibri"/>
          <w:szCs w:val="24"/>
        </w:rPr>
        <w:t>OCCT</w:t>
      </w:r>
      <w:r w:rsidRPr="003B4362">
        <w:rPr>
          <w:rFonts w:eastAsia="Calibri"/>
          <w:szCs w:val="24"/>
        </w:rPr>
        <w:t xml:space="preserve">, the </w:t>
      </w:r>
      <w:r w:rsidR="00C97157" w:rsidRPr="003B4362">
        <w:rPr>
          <w:rFonts w:eastAsia="Calibri"/>
          <w:szCs w:val="24"/>
        </w:rPr>
        <w:t>supplier</w:t>
      </w:r>
      <w:r w:rsidRPr="003B4362">
        <w:rPr>
          <w:rFonts w:eastAsia="Calibri"/>
          <w:szCs w:val="24"/>
        </w:rPr>
        <w:t xml:space="preserve"> </w:t>
      </w:r>
      <w:bookmarkStart w:id="1275" w:name="_Hlk118740495"/>
      <w:r w:rsidRPr="003B4362">
        <w:rPr>
          <w:rFonts w:eastAsia="Calibri"/>
          <w:szCs w:val="24"/>
        </w:rPr>
        <w:t xml:space="preserve">must </w:t>
      </w:r>
      <w:bookmarkStart w:id="1276" w:name="_Hlk118740383"/>
      <w:r w:rsidR="003F1113" w:rsidRPr="003B4362">
        <w:rPr>
          <w:rFonts w:eastAsia="Calibri"/>
          <w:szCs w:val="24"/>
        </w:rPr>
        <w:t>modify</w:t>
      </w:r>
      <w:r w:rsidRPr="003B4362">
        <w:rPr>
          <w:rFonts w:eastAsia="Calibri"/>
          <w:szCs w:val="24"/>
        </w:rPr>
        <w:t xml:space="preserve"> its corrosion control treatmen</w:t>
      </w:r>
      <w:bookmarkEnd w:id="1276"/>
      <w:r w:rsidRPr="003B4362">
        <w:rPr>
          <w:rFonts w:eastAsia="Calibri"/>
          <w:szCs w:val="24"/>
        </w:rPr>
        <w:t>t</w:t>
      </w:r>
      <w:bookmarkEnd w:id="1275"/>
      <w:r w:rsidRPr="003B4362">
        <w:rPr>
          <w:rFonts w:eastAsia="Calibri"/>
          <w:szCs w:val="24"/>
        </w:rPr>
        <w:t xml:space="preserve"> </w:t>
      </w:r>
      <w:bookmarkStart w:id="1277" w:name="_Hlk118739633"/>
      <w:r w:rsidRPr="003B4362">
        <w:rPr>
          <w:rFonts w:eastAsia="Calibri"/>
          <w:szCs w:val="24"/>
        </w:rPr>
        <w:t>within 12 months after completi</w:t>
      </w:r>
      <w:r w:rsidR="00C97157" w:rsidRPr="003B4362">
        <w:rPr>
          <w:rFonts w:eastAsia="Calibri"/>
          <w:szCs w:val="24"/>
        </w:rPr>
        <w:t>ng</w:t>
      </w:r>
      <w:r w:rsidRPr="003B4362">
        <w:rPr>
          <w:rFonts w:eastAsia="Calibri"/>
          <w:szCs w:val="24"/>
        </w:rPr>
        <w:t xml:space="preserve"> Step 4</w:t>
      </w:r>
      <w:r w:rsidR="00C97157" w:rsidRPr="003B4362">
        <w:rPr>
          <w:rFonts w:eastAsia="Calibri"/>
          <w:szCs w:val="24"/>
        </w:rPr>
        <w:t>,</w:t>
      </w:r>
      <w:r w:rsidRPr="003B4362">
        <w:rPr>
          <w:rFonts w:eastAsia="Calibri"/>
          <w:szCs w:val="24"/>
        </w:rPr>
        <w:t xml:space="preserve"> as</w:t>
      </w:r>
      <w:r w:rsidR="00C97157" w:rsidRPr="003B4362">
        <w:rPr>
          <w:rFonts w:eastAsia="Calibri"/>
          <w:szCs w:val="24"/>
        </w:rPr>
        <w:t xml:space="preserve"> </w:t>
      </w:r>
      <w:r w:rsidRPr="003B4362">
        <w:rPr>
          <w:rFonts w:eastAsia="Calibri"/>
          <w:szCs w:val="24"/>
        </w:rPr>
        <w:t xml:space="preserve">subsection (j)(4) </w:t>
      </w:r>
      <w:r w:rsidR="00C97157" w:rsidRPr="003B4362">
        <w:rPr>
          <w:rFonts w:eastAsia="Calibri"/>
          <w:szCs w:val="24"/>
        </w:rPr>
        <w:t>describes</w:t>
      </w:r>
      <w:bookmarkEnd w:id="1277"/>
      <w:r w:rsidRPr="003B4362">
        <w:rPr>
          <w:rFonts w:eastAsia="Calibri"/>
          <w:szCs w:val="24"/>
        </w:rPr>
        <w:t xml:space="preserve">.  </w:t>
      </w:r>
      <w:bookmarkStart w:id="1278" w:name="_Hlk118740650"/>
      <w:r w:rsidR="003F1113" w:rsidRPr="003B4362">
        <w:rPr>
          <w:rFonts w:eastAsia="Calibri"/>
          <w:szCs w:val="24"/>
        </w:rPr>
        <w:t>A</w:t>
      </w:r>
      <w:bookmarkStart w:id="1279" w:name="_Hlk118741137"/>
      <w:r w:rsidR="003F1113" w:rsidRPr="003B4362">
        <w:rPr>
          <w:rFonts w:eastAsia="Calibri"/>
          <w:szCs w:val="24"/>
        </w:rPr>
        <w:t xml:space="preserve"> supplier</w:t>
      </w:r>
      <w:r w:rsidRPr="003B4362">
        <w:rPr>
          <w:rFonts w:eastAsia="Calibri"/>
          <w:szCs w:val="24"/>
        </w:rPr>
        <w:t xml:space="preserve"> </w:t>
      </w:r>
      <w:r w:rsidR="003F1113" w:rsidRPr="003B4362">
        <w:rPr>
          <w:rFonts w:eastAsia="Calibri"/>
          <w:szCs w:val="24"/>
        </w:rPr>
        <w:t>not applying</w:t>
      </w:r>
      <w:r w:rsidRPr="003B4362">
        <w:rPr>
          <w:rFonts w:eastAsia="Calibri"/>
          <w:szCs w:val="24"/>
        </w:rPr>
        <w:t xml:space="preserve"> corrosion control treatment </w:t>
      </w:r>
      <w:r w:rsidR="00E101FE" w:rsidRPr="003B4362">
        <w:rPr>
          <w:rFonts w:eastAsia="Calibri"/>
          <w:szCs w:val="24"/>
        </w:rPr>
        <w:t xml:space="preserve">and </w:t>
      </w:r>
      <w:r w:rsidR="003F1113" w:rsidRPr="003B4362">
        <w:rPr>
          <w:rFonts w:eastAsia="Calibri"/>
          <w:szCs w:val="24"/>
        </w:rPr>
        <w:t>needing</w:t>
      </w:r>
      <w:r w:rsidRPr="003B4362">
        <w:rPr>
          <w:rFonts w:eastAsia="Calibri"/>
          <w:szCs w:val="24"/>
        </w:rPr>
        <w:t xml:space="preserve"> to install </w:t>
      </w:r>
      <w:bookmarkEnd w:id="1278"/>
      <w:r w:rsidR="003F1113" w:rsidRPr="003B4362">
        <w:rPr>
          <w:rFonts w:eastAsia="Calibri"/>
          <w:szCs w:val="24"/>
        </w:rPr>
        <w:t>OCCT</w:t>
      </w:r>
      <w:bookmarkEnd w:id="1279"/>
      <w:r w:rsidRPr="003B4362">
        <w:rPr>
          <w:rFonts w:eastAsia="Calibri"/>
          <w:szCs w:val="24"/>
        </w:rPr>
        <w:t xml:space="preserve"> must follow the schedule in Section </w:t>
      </w:r>
      <w:r w:rsidR="00E101FE" w:rsidRPr="003B4362">
        <w:rPr>
          <w:rFonts w:eastAsia="Calibri"/>
          <w:szCs w:val="24"/>
        </w:rPr>
        <w:t>61</w:t>
      </w:r>
      <w:r w:rsidRPr="003B4362">
        <w:rPr>
          <w:rFonts w:eastAsia="Calibri"/>
          <w:szCs w:val="24"/>
        </w:rPr>
        <w:t>1.</w:t>
      </w:r>
      <w:r w:rsidR="00E101FE" w:rsidRPr="003B4362">
        <w:rPr>
          <w:rFonts w:eastAsia="Calibri"/>
          <w:szCs w:val="24"/>
        </w:rPr>
        <w:t>35</w:t>
      </w:r>
      <w:r w:rsidRPr="003B4362">
        <w:rPr>
          <w:rFonts w:eastAsia="Calibri"/>
          <w:szCs w:val="24"/>
        </w:rPr>
        <w:t>1(e).</w:t>
      </w:r>
    </w:p>
    <w:p w14:paraId="201BA1ED" w14:textId="4F4FCBA8" w:rsidR="00E72761" w:rsidRPr="003B4362" w:rsidRDefault="00E72761" w:rsidP="00E72761">
      <w:pPr>
        <w:autoSpaceDE w:val="0"/>
        <w:autoSpaceDN w:val="0"/>
        <w:adjustRightInd w:val="0"/>
        <w:spacing w:before="240" w:after="240"/>
        <w:ind w:left="2160" w:hanging="720"/>
        <w:rPr>
          <w:rFonts w:eastAsia="Calibri"/>
          <w:szCs w:val="24"/>
        </w:rPr>
      </w:pPr>
      <w:r w:rsidRPr="003B4362">
        <w:rPr>
          <w:rFonts w:eastAsia="Calibri"/>
          <w:szCs w:val="24"/>
        </w:rPr>
        <w:t>6)</w:t>
      </w:r>
      <w:r w:rsidRPr="003B4362">
        <w:rPr>
          <w:rFonts w:eastAsia="Calibri"/>
          <w:szCs w:val="24"/>
        </w:rPr>
        <w:tab/>
        <w:t>Step 6</w:t>
      </w:r>
      <w:r w:rsidR="00602CA3" w:rsidRPr="003B4362">
        <w:rPr>
          <w:rFonts w:eastAsia="Calibri"/>
          <w:szCs w:val="24"/>
        </w:rPr>
        <w:t xml:space="preserve">:  </w:t>
      </w:r>
      <w:bookmarkStart w:id="1280" w:name="_Hlk118743287"/>
      <w:r w:rsidR="00602CA3" w:rsidRPr="003B4362">
        <w:rPr>
          <w:rFonts w:eastAsia="Calibri"/>
          <w:szCs w:val="24"/>
        </w:rPr>
        <w:t>Follow-up Sampling</w:t>
      </w:r>
      <w:bookmarkEnd w:id="1280"/>
      <w:r w:rsidRPr="003B4362">
        <w:rPr>
          <w:rFonts w:eastAsia="Calibri"/>
          <w:szCs w:val="24"/>
        </w:rPr>
        <w:t xml:space="preserve">.  </w:t>
      </w:r>
      <w:bookmarkStart w:id="1281" w:name="_Hlk118743490"/>
      <w:r w:rsidR="00602CA3" w:rsidRPr="003B4362">
        <w:rPr>
          <w:rFonts w:eastAsia="Calibri"/>
          <w:szCs w:val="24"/>
        </w:rPr>
        <w:t>A</w:t>
      </w:r>
      <w:bookmarkStart w:id="1282" w:name="_Hlk118743593"/>
      <w:r w:rsidR="00602CA3" w:rsidRPr="003B4362">
        <w:rPr>
          <w:rFonts w:eastAsia="Calibri"/>
          <w:szCs w:val="24"/>
        </w:rPr>
        <w:t xml:space="preserve"> supplier</w:t>
      </w:r>
      <w:r w:rsidRPr="003B4362">
        <w:rPr>
          <w:rFonts w:eastAsia="Calibri"/>
          <w:szCs w:val="24"/>
        </w:rPr>
        <w:t xml:space="preserve"> adjusting its </w:t>
      </w:r>
      <w:bookmarkEnd w:id="1281"/>
      <w:r w:rsidR="00602CA3" w:rsidRPr="003B4362">
        <w:rPr>
          <w:rFonts w:eastAsia="Calibri"/>
          <w:szCs w:val="24"/>
        </w:rPr>
        <w:t>OCCT</w:t>
      </w:r>
      <w:bookmarkEnd w:id="1282"/>
      <w:r w:rsidRPr="003B4362">
        <w:rPr>
          <w:rFonts w:eastAsia="Calibri"/>
          <w:szCs w:val="24"/>
        </w:rPr>
        <w:t xml:space="preserve"> must complete follow-up sampling (Sections </w:t>
      </w:r>
      <w:r w:rsidR="0095486D" w:rsidRPr="003B4362">
        <w:rPr>
          <w:rFonts w:eastAsia="Calibri"/>
          <w:szCs w:val="24"/>
        </w:rPr>
        <w:t>61</w:t>
      </w:r>
      <w:r w:rsidRPr="003B4362">
        <w:rPr>
          <w:rFonts w:eastAsia="Calibri"/>
          <w:szCs w:val="24"/>
        </w:rPr>
        <w:t>1.</w:t>
      </w:r>
      <w:r w:rsidR="0095486D" w:rsidRPr="003B4362">
        <w:rPr>
          <w:rFonts w:eastAsia="Calibri"/>
          <w:szCs w:val="24"/>
        </w:rPr>
        <w:t>35</w:t>
      </w:r>
      <w:r w:rsidRPr="003B4362">
        <w:rPr>
          <w:rFonts w:eastAsia="Calibri"/>
          <w:szCs w:val="24"/>
        </w:rPr>
        <w:t xml:space="preserve">6(d)(2) and </w:t>
      </w:r>
      <w:r w:rsidR="0095486D" w:rsidRPr="003B4362">
        <w:rPr>
          <w:rFonts w:eastAsia="Calibri"/>
          <w:szCs w:val="24"/>
        </w:rPr>
        <w:t>611.35</w:t>
      </w:r>
      <w:r w:rsidRPr="003B4362">
        <w:rPr>
          <w:rFonts w:eastAsia="Calibri"/>
          <w:szCs w:val="24"/>
        </w:rPr>
        <w:t>7(c)) within 12 months after completi</w:t>
      </w:r>
      <w:r w:rsidR="0095486D" w:rsidRPr="003B4362">
        <w:rPr>
          <w:rFonts w:eastAsia="Calibri"/>
          <w:szCs w:val="24"/>
        </w:rPr>
        <w:t>ng</w:t>
      </w:r>
      <w:r w:rsidRPr="003B4362">
        <w:rPr>
          <w:rFonts w:eastAsia="Calibri"/>
          <w:szCs w:val="24"/>
        </w:rPr>
        <w:t xml:space="preserve"> Step 5</w:t>
      </w:r>
      <w:r w:rsidR="0095486D" w:rsidRPr="003B4362">
        <w:rPr>
          <w:rFonts w:eastAsia="Calibri"/>
          <w:szCs w:val="24"/>
        </w:rPr>
        <w:t>,</w:t>
      </w:r>
      <w:r w:rsidRPr="003B4362">
        <w:rPr>
          <w:rFonts w:eastAsia="Calibri"/>
          <w:szCs w:val="24"/>
        </w:rPr>
        <w:t xml:space="preserve"> as</w:t>
      </w:r>
      <w:r w:rsidR="0095486D" w:rsidRPr="003B4362">
        <w:rPr>
          <w:rFonts w:eastAsia="Calibri"/>
          <w:szCs w:val="24"/>
        </w:rPr>
        <w:t xml:space="preserve"> subsection</w:t>
      </w:r>
      <w:r w:rsidRPr="003B4362">
        <w:rPr>
          <w:rFonts w:eastAsia="Calibri"/>
          <w:szCs w:val="24"/>
        </w:rPr>
        <w:t xml:space="preserve"> (j)(5) </w:t>
      </w:r>
      <w:r w:rsidR="0095486D" w:rsidRPr="003B4362">
        <w:rPr>
          <w:rFonts w:eastAsia="Calibri"/>
          <w:szCs w:val="24"/>
        </w:rPr>
        <w:t>describes</w:t>
      </w:r>
      <w:r w:rsidRPr="003B4362">
        <w:rPr>
          <w:rFonts w:eastAsia="Calibri"/>
          <w:szCs w:val="24"/>
        </w:rPr>
        <w:t>.</w:t>
      </w:r>
    </w:p>
    <w:p w14:paraId="5F1FC38F" w14:textId="788A5ABE" w:rsidR="00E72761" w:rsidRPr="003B4362" w:rsidRDefault="00E72761" w:rsidP="00E72761">
      <w:pPr>
        <w:autoSpaceDE w:val="0"/>
        <w:autoSpaceDN w:val="0"/>
        <w:adjustRightInd w:val="0"/>
        <w:spacing w:before="240" w:after="240"/>
        <w:ind w:left="2160" w:hanging="720"/>
        <w:rPr>
          <w:rFonts w:eastAsia="Calibri"/>
          <w:szCs w:val="24"/>
        </w:rPr>
      </w:pPr>
      <w:r w:rsidRPr="003B4362">
        <w:rPr>
          <w:rFonts w:eastAsia="Calibri"/>
          <w:szCs w:val="24"/>
        </w:rPr>
        <w:t>7)</w:t>
      </w:r>
      <w:r w:rsidRPr="003B4362">
        <w:rPr>
          <w:rFonts w:eastAsia="Calibri"/>
          <w:szCs w:val="24"/>
        </w:rPr>
        <w:tab/>
        <w:t>Step 7</w:t>
      </w:r>
      <w:r w:rsidR="0095486D" w:rsidRPr="003B4362">
        <w:rPr>
          <w:rFonts w:eastAsia="Calibri"/>
          <w:szCs w:val="24"/>
        </w:rPr>
        <w:t>:  Agency Review</w:t>
      </w:r>
      <w:r w:rsidRPr="003B4362">
        <w:rPr>
          <w:rFonts w:eastAsia="Calibri"/>
          <w:szCs w:val="24"/>
        </w:rPr>
        <w:t>.  F</w:t>
      </w:r>
      <w:bookmarkStart w:id="1283" w:name="_Hlk118744406"/>
      <w:bookmarkStart w:id="1284" w:name="_Hlk118744714"/>
      <w:r w:rsidRPr="003B4362">
        <w:rPr>
          <w:rFonts w:eastAsia="Calibri"/>
          <w:szCs w:val="24"/>
        </w:rPr>
        <w:t xml:space="preserve">or </w:t>
      </w:r>
      <w:r w:rsidR="0009110C" w:rsidRPr="003B4362">
        <w:rPr>
          <w:rFonts w:eastAsia="Calibri"/>
          <w:szCs w:val="24"/>
        </w:rPr>
        <w:t>a supplier</w:t>
      </w:r>
      <w:r w:rsidRPr="003B4362">
        <w:rPr>
          <w:rFonts w:eastAsia="Calibri"/>
          <w:szCs w:val="24"/>
        </w:rPr>
        <w:t xml:space="preserve"> adjusting its </w:t>
      </w:r>
      <w:bookmarkEnd w:id="1283"/>
      <w:r w:rsidR="0009110C" w:rsidRPr="003B4362">
        <w:rPr>
          <w:rFonts w:eastAsia="Calibri"/>
          <w:szCs w:val="24"/>
        </w:rPr>
        <w:t>OCCT</w:t>
      </w:r>
      <w:bookmarkEnd w:id="1284"/>
      <w:r w:rsidRPr="003B4362">
        <w:rPr>
          <w:rFonts w:eastAsia="Calibri"/>
          <w:i/>
          <w:iCs/>
          <w:szCs w:val="24"/>
        </w:rPr>
        <w:t xml:space="preserve">, </w:t>
      </w:r>
      <w:r w:rsidRPr="003B4362">
        <w:rPr>
          <w:rFonts w:eastAsia="Calibri"/>
          <w:szCs w:val="24"/>
        </w:rPr>
        <w:t xml:space="preserve">the </w:t>
      </w:r>
      <w:r w:rsidR="0009110C" w:rsidRPr="003B4362">
        <w:rPr>
          <w:rFonts w:eastAsia="Calibri"/>
          <w:szCs w:val="24"/>
        </w:rPr>
        <w:t>Agency</w:t>
      </w:r>
      <w:r w:rsidRPr="003B4362">
        <w:rPr>
          <w:rFonts w:eastAsia="Calibri"/>
          <w:szCs w:val="24"/>
        </w:rPr>
        <w:t xml:space="preserve"> must review the </w:t>
      </w:r>
      <w:r w:rsidR="0009110C" w:rsidRPr="003B4362">
        <w:rPr>
          <w:rFonts w:eastAsia="Calibri"/>
          <w:szCs w:val="24"/>
        </w:rPr>
        <w:t>supplier</w:t>
      </w:r>
      <w:r w:rsidRPr="003B4362">
        <w:rPr>
          <w:rFonts w:eastAsia="Calibri"/>
          <w:szCs w:val="24"/>
        </w:rPr>
        <w:t>’s modif</w:t>
      </w:r>
      <w:r w:rsidR="00572E15" w:rsidRPr="003B4362">
        <w:rPr>
          <w:rFonts w:eastAsia="Calibri"/>
          <w:szCs w:val="24"/>
        </w:rPr>
        <w:t>ied</w:t>
      </w:r>
      <w:r w:rsidR="0009110C" w:rsidRPr="003B4362">
        <w:rPr>
          <w:rFonts w:eastAsia="Calibri"/>
          <w:szCs w:val="24"/>
        </w:rPr>
        <w:t xml:space="preserve"> </w:t>
      </w:r>
      <w:r w:rsidRPr="003B4362">
        <w:rPr>
          <w:rFonts w:eastAsia="Calibri"/>
          <w:szCs w:val="24"/>
        </w:rPr>
        <w:t>corrosion control treatment</w:t>
      </w:r>
      <w:r w:rsidR="0009110C" w:rsidRPr="003B4362">
        <w:rPr>
          <w:rFonts w:eastAsia="Calibri"/>
          <w:szCs w:val="24"/>
        </w:rPr>
        <w:t>,</w:t>
      </w:r>
      <w:r w:rsidRPr="003B4362">
        <w:rPr>
          <w:rFonts w:eastAsia="Calibri"/>
          <w:szCs w:val="24"/>
        </w:rPr>
        <w:t xml:space="preserve"> and </w:t>
      </w:r>
      <w:r w:rsidR="0009110C" w:rsidRPr="003B4362">
        <w:rPr>
          <w:rFonts w:eastAsia="Calibri"/>
          <w:szCs w:val="24"/>
        </w:rPr>
        <w:t xml:space="preserve">the Agency must </w:t>
      </w:r>
      <w:r w:rsidRPr="003B4362">
        <w:rPr>
          <w:rFonts w:eastAsia="Calibri"/>
          <w:szCs w:val="24"/>
        </w:rPr>
        <w:t xml:space="preserve">designate optimal water quality control parameters (Section </w:t>
      </w:r>
      <w:r w:rsidR="0052232E" w:rsidRPr="003B4362">
        <w:rPr>
          <w:rFonts w:eastAsia="Calibri"/>
          <w:szCs w:val="24"/>
        </w:rPr>
        <w:t>611.35</w:t>
      </w:r>
      <w:r w:rsidRPr="003B4362">
        <w:rPr>
          <w:rFonts w:eastAsia="Calibri"/>
          <w:szCs w:val="24"/>
        </w:rPr>
        <w:t xml:space="preserve">2(f)(1)) within six months </w:t>
      </w:r>
      <w:r w:rsidR="0052232E" w:rsidRPr="003B4362">
        <w:rPr>
          <w:rFonts w:eastAsia="Calibri"/>
          <w:szCs w:val="24"/>
        </w:rPr>
        <w:t>after</w:t>
      </w:r>
      <w:r w:rsidRPr="003B4362">
        <w:rPr>
          <w:rFonts w:eastAsia="Calibri"/>
          <w:szCs w:val="24"/>
        </w:rPr>
        <w:t xml:space="preserve"> </w:t>
      </w:r>
      <w:r w:rsidR="0052232E" w:rsidRPr="003B4362">
        <w:rPr>
          <w:rFonts w:eastAsia="Calibri"/>
          <w:szCs w:val="24"/>
        </w:rPr>
        <w:t xml:space="preserve">the supplier </w:t>
      </w:r>
      <w:r w:rsidRPr="003B4362">
        <w:rPr>
          <w:rFonts w:eastAsia="Calibri"/>
          <w:szCs w:val="24"/>
        </w:rPr>
        <w:t>complet</w:t>
      </w:r>
      <w:r w:rsidR="0052232E" w:rsidRPr="003B4362">
        <w:rPr>
          <w:rFonts w:eastAsia="Calibri"/>
          <w:szCs w:val="24"/>
        </w:rPr>
        <w:t>es</w:t>
      </w:r>
      <w:r w:rsidRPr="003B4362">
        <w:rPr>
          <w:rFonts w:eastAsia="Calibri"/>
          <w:szCs w:val="24"/>
        </w:rPr>
        <w:t xml:space="preserve"> Step 6</w:t>
      </w:r>
      <w:r w:rsidR="0052232E" w:rsidRPr="003B4362">
        <w:rPr>
          <w:rFonts w:eastAsia="Calibri"/>
          <w:szCs w:val="24"/>
        </w:rPr>
        <w:t>, as subsection</w:t>
      </w:r>
      <w:r w:rsidRPr="003B4362">
        <w:rPr>
          <w:rFonts w:eastAsia="Calibri"/>
          <w:szCs w:val="24"/>
        </w:rPr>
        <w:t xml:space="preserve"> (j)(6) </w:t>
      </w:r>
      <w:r w:rsidR="0052232E" w:rsidRPr="003B4362">
        <w:rPr>
          <w:rFonts w:eastAsia="Calibri"/>
          <w:szCs w:val="24"/>
        </w:rPr>
        <w:t>describes</w:t>
      </w:r>
      <w:r w:rsidRPr="003B4362">
        <w:rPr>
          <w:rFonts w:eastAsia="Calibri"/>
          <w:szCs w:val="24"/>
        </w:rPr>
        <w:t>.</w:t>
      </w:r>
    </w:p>
    <w:p w14:paraId="609E2335" w14:textId="51DDEFE7" w:rsidR="00E72761" w:rsidRPr="003B4362" w:rsidRDefault="00E72761" w:rsidP="00E72761">
      <w:pPr>
        <w:autoSpaceDE w:val="0"/>
        <w:autoSpaceDN w:val="0"/>
        <w:adjustRightInd w:val="0"/>
        <w:spacing w:before="240" w:after="240"/>
        <w:ind w:left="2160" w:hanging="720"/>
        <w:rPr>
          <w:rFonts w:eastAsia="Calibri"/>
          <w:szCs w:val="24"/>
        </w:rPr>
      </w:pPr>
      <w:r w:rsidRPr="003B4362">
        <w:rPr>
          <w:rFonts w:eastAsia="Calibri"/>
          <w:szCs w:val="24"/>
        </w:rPr>
        <w:t>8)</w:t>
      </w:r>
      <w:r w:rsidRPr="003B4362">
        <w:rPr>
          <w:rFonts w:eastAsia="Calibri"/>
          <w:szCs w:val="24"/>
        </w:rPr>
        <w:tab/>
        <w:t>Step 8</w:t>
      </w:r>
      <w:r w:rsidR="0052232E" w:rsidRPr="003B4362">
        <w:rPr>
          <w:rFonts w:eastAsia="Calibri"/>
          <w:szCs w:val="24"/>
        </w:rPr>
        <w:t>:  Operating and Complying</w:t>
      </w:r>
      <w:r w:rsidRPr="003B4362">
        <w:rPr>
          <w:rFonts w:eastAsia="Calibri"/>
          <w:szCs w:val="24"/>
        </w:rPr>
        <w:t xml:space="preserve">.  </w:t>
      </w:r>
      <w:bookmarkStart w:id="1285" w:name="_Hlk118745522"/>
      <w:r w:rsidR="0052232E" w:rsidRPr="003B4362">
        <w:rPr>
          <w:rFonts w:eastAsia="Calibri"/>
          <w:szCs w:val="24"/>
        </w:rPr>
        <w:t>A</w:t>
      </w:r>
      <w:r w:rsidRPr="003B4362">
        <w:rPr>
          <w:rFonts w:eastAsia="Calibri"/>
          <w:szCs w:val="24"/>
        </w:rPr>
        <w:t xml:space="preserve"> </w:t>
      </w:r>
      <w:r w:rsidR="0052232E" w:rsidRPr="003B4362">
        <w:rPr>
          <w:rFonts w:eastAsia="Calibri"/>
          <w:szCs w:val="24"/>
        </w:rPr>
        <w:t>supplier</w:t>
      </w:r>
      <w:r w:rsidRPr="003B4362">
        <w:rPr>
          <w:rFonts w:eastAsia="Calibri"/>
          <w:szCs w:val="24"/>
        </w:rPr>
        <w:t xml:space="preserve"> adjusting its </w:t>
      </w:r>
      <w:bookmarkEnd w:id="1285"/>
      <w:r w:rsidR="0052232E" w:rsidRPr="003B4362">
        <w:rPr>
          <w:rFonts w:eastAsia="Calibri"/>
          <w:szCs w:val="24"/>
        </w:rPr>
        <w:t xml:space="preserve">OCCT </w:t>
      </w:r>
      <w:r w:rsidRPr="003B4362">
        <w:rPr>
          <w:rFonts w:eastAsia="Calibri"/>
          <w:szCs w:val="24"/>
        </w:rPr>
        <w:t>must</w:t>
      </w:r>
      <w:r w:rsidR="006B38A8" w:rsidRPr="003B4362">
        <w:rPr>
          <w:rFonts w:eastAsia="Calibri"/>
          <w:szCs w:val="24"/>
        </w:rPr>
        <w:t xml:space="preserve"> </w:t>
      </w:r>
      <w:r w:rsidRPr="003B4362">
        <w:rPr>
          <w:rFonts w:eastAsia="Calibri"/>
          <w:szCs w:val="24"/>
        </w:rPr>
        <w:t>compl</w:t>
      </w:r>
      <w:r w:rsidR="006B38A8" w:rsidRPr="003B4362">
        <w:rPr>
          <w:rFonts w:eastAsia="Calibri"/>
          <w:szCs w:val="24"/>
        </w:rPr>
        <w:t>y</w:t>
      </w:r>
      <w:r w:rsidRPr="003B4362">
        <w:rPr>
          <w:rFonts w:eastAsia="Calibri"/>
          <w:szCs w:val="24"/>
        </w:rPr>
        <w:t xml:space="preserve"> with the </w:t>
      </w:r>
      <w:r w:rsidR="006B38A8" w:rsidRPr="003B4362">
        <w:rPr>
          <w:rFonts w:eastAsia="Calibri"/>
          <w:szCs w:val="24"/>
        </w:rPr>
        <w:t>Agency</w:t>
      </w:r>
      <w:r w:rsidRPr="003B4362">
        <w:rPr>
          <w:rFonts w:eastAsia="Calibri"/>
          <w:szCs w:val="24"/>
        </w:rPr>
        <w:t xml:space="preserve">-designated optimal water quality control parameters (Section </w:t>
      </w:r>
      <w:r w:rsidR="006B38A8" w:rsidRPr="003B4362">
        <w:rPr>
          <w:rFonts w:eastAsia="Calibri"/>
          <w:szCs w:val="24"/>
        </w:rPr>
        <w:t>611.35</w:t>
      </w:r>
      <w:r w:rsidRPr="003B4362">
        <w:rPr>
          <w:rFonts w:eastAsia="Calibri"/>
          <w:szCs w:val="24"/>
        </w:rPr>
        <w:t xml:space="preserve">2(g)) and </w:t>
      </w:r>
      <w:bookmarkStart w:id="1286" w:name="_Hlk118746097"/>
      <w:r w:rsidRPr="003B4362">
        <w:rPr>
          <w:rFonts w:eastAsia="Calibri"/>
          <w:szCs w:val="24"/>
        </w:rPr>
        <w:t>continue</w:t>
      </w:r>
      <w:r w:rsidR="006B38A8" w:rsidRPr="003B4362">
        <w:rPr>
          <w:rFonts w:eastAsia="Calibri"/>
          <w:szCs w:val="24"/>
        </w:rPr>
        <w:t xml:space="preserve"> </w:t>
      </w:r>
      <w:r w:rsidRPr="003B4362">
        <w:rPr>
          <w:rFonts w:eastAsia="Calibri"/>
          <w:szCs w:val="24"/>
        </w:rPr>
        <w:t>tap sampling</w:t>
      </w:r>
      <w:bookmarkEnd w:id="1286"/>
      <w:r w:rsidRPr="003B4362">
        <w:rPr>
          <w:rFonts w:eastAsia="Calibri"/>
          <w:szCs w:val="24"/>
        </w:rPr>
        <w:t xml:space="preserve"> (Sections </w:t>
      </w:r>
      <w:r w:rsidR="006B38A8" w:rsidRPr="003B4362">
        <w:rPr>
          <w:rFonts w:eastAsia="Calibri"/>
          <w:szCs w:val="24"/>
        </w:rPr>
        <w:t>611.35</w:t>
      </w:r>
      <w:r w:rsidRPr="003B4362">
        <w:rPr>
          <w:rFonts w:eastAsia="Calibri"/>
          <w:szCs w:val="24"/>
        </w:rPr>
        <w:t xml:space="preserve">6(d)(3) and </w:t>
      </w:r>
      <w:r w:rsidR="006B38A8" w:rsidRPr="003B4362">
        <w:rPr>
          <w:rFonts w:eastAsia="Calibri"/>
          <w:szCs w:val="24"/>
        </w:rPr>
        <w:t>611.35</w:t>
      </w:r>
      <w:r w:rsidRPr="003B4362">
        <w:rPr>
          <w:rFonts w:eastAsia="Calibri"/>
          <w:szCs w:val="24"/>
        </w:rPr>
        <w:t>7(d)).</w:t>
      </w:r>
    </w:p>
    <w:p w14:paraId="214481FA" w14:textId="4939EE2C" w:rsidR="005451CE" w:rsidRPr="003B4362" w:rsidRDefault="005451CE" w:rsidP="005451CE">
      <w:pPr>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141.82.</w:t>
      </w:r>
    </w:p>
    <w:p w14:paraId="5C3B1814" w14:textId="4410B6F6"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6217A34F" w14:textId="77777777" w:rsidR="005451CE" w:rsidRPr="003B4362" w:rsidRDefault="005451CE" w:rsidP="00D32905">
      <w:pPr>
        <w:rPr>
          <w:rFonts w:eastAsia="Calibri"/>
          <w:b/>
          <w:bCs/>
        </w:rPr>
      </w:pPr>
      <w:r w:rsidRPr="003B4362">
        <w:rPr>
          <w:rFonts w:eastAsia="Calibri"/>
          <w:b/>
          <w:bCs/>
        </w:rPr>
        <w:t>Section 611.353  Source Water Treatment</w:t>
      </w:r>
    </w:p>
    <w:p w14:paraId="3FE10B0E" w14:textId="2D3C33E0" w:rsidR="005451CE" w:rsidRPr="003B4362" w:rsidRDefault="005451CE" w:rsidP="005451CE">
      <w:pPr>
        <w:spacing w:before="240" w:after="240"/>
        <w:rPr>
          <w:rFonts w:eastAsia="Calibri"/>
        </w:rPr>
      </w:pPr>
      <w:r w:rsidRPr="003B4362">
        <w:rPr>
          <w:rFonts w:eastAsia="Calibri"/>
        </w:rPr>
        <w:t>A</w:t>
      </w:r>
      <w:bookmarkStart w:id="1287" w:name="_Hlk114511992"/>
      <w:r w:rsidRPr="003B4362">
        <w:rPr>
          <w:rFonts w:eastAsia="Calibri"/>
        </w:rPr>
        <w:t xml:space="preserve"> supplier must complete source water monitoring</w:t>
      </w:r>
      <w:bookmarkEnd w:id="1287"/>
      <w:r w:rsidRPr="003B4362">
        <w:rPr>
          <w:rFonts w:eastAsia="Calibri"/>
        </w:rPr>
        <w:t xml:space="preserve"> and treatment requirements </w:t>
      </w:r>
      <w:bookmarkStart w:id="1288" w:name="_Hlk114512111"/>
      <w:r w:rsidRPr="003B4362">
        <w:rPr>
          <w:rFonts w:eastAsia="Calibri"/>
        </w:rPr>
        <w:t>(under subsection (b)</w:t>
      </w:r>
      <w:bookmarkStart w:id="1289" w:name="_Hlk114512175"/>
      <w:bookmarkEnd w:id="1288"/>
      <w:r w:rsidRPr="003B4362">
        <w:rPr>
          <w:rFonts w:eastAsia="Calibri"/>
        </w:rPr>
        <w:t xml:space="preserve"> and Sections 611.356 and 611.358)</w:t>
      </w:r>
      <w:bookmarkEnd w:id="1289"/>
      <w:r w:rsidRPr="003B4362">
        <w:rPr>
          <w:rFonts w:eastAsia="Calibri"/>
        </w:rPr>
        <w:t xml:space="preserve"> before specific deadlines.</w:t>
      </w:r>
    </w:p>
    <w:p w14:paraId="3771ED81" w14:textId="77777777" w:rsidR="005451CE" w:rsidRPr="003B4362" w:rsidRDefault="005451CE" w:rsidP="005451CE">
      <w:pPr>
        <w:spacing w:before="240" w:after="240"/>
        <w:ind w:left="1440" w:hanging="720"/>
        <w:rPr>
          <w:rFonts w:eastAsia="Calibri"/>
        </w:rPr>
      </w:pPr>
      <w:r w:rsidRPr="003B4362">
        <w:rPr>
          <w:rFonts w:eastAsia="Calibri"/>
        </w:rPr>
        <w:t>a)</w:t>
      </w:r>
      <w:r w:rsidRPr="003B4362">
        <w:rPr>
          <w:rFonts w:eastAsia="Calibri"/>
        </w:rPr>
        <w:tab/>
        <w:t>Deadlines for Completing Source Water Treatment Steps</w:t>
      </w:r>
    </w:p>
    <w:p w14:paraId="28B14A67" w14:textId="09AA80D6"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Step 1:  A supplier exceeding </w:t>
      </w:r>
      <w:bookmarkStart w:id="1290" w:name="_Hlk114512310"/>
      <w:r w:rsidRPr="003B4362">
        <w:rPr>
          <w:rFonts w:eastAsia="Calibri"/>
        </w:rPr>
        <w:t>the lead or copper action level</w:t>
      </w:r>
      <w:bookmarkEnd w:id="1290"/>
      <w:r w:rsidRPr="003B4362">
        <w:rPr>
          <w:rFonts w:eastAsia="Calibri"/>
        </w:rPr>
        <w:t xml:space="preserve"> must complete lead and copper source water monitoring </w:t>
      </w:r>
      <w:bookmarkStart w:id="1291" w:name="_Hlk114512370"/>
      <w:r w:rsidRPr="003B4362">
        <w:rPr>
          <w:rFonts w:eastAsia="Calibri"/>
        </w:rPr>
        <w:t>(under Section 611.358(b))</w:t>
      </w:r>
      <w:bookmarkEnd w:id="1291"/>
      <w:r w:rsidRPr="003B4362">
        <w:rPr>
          <w:rFonts w:eastAsia="Calibri"/>
        </w:rPr>
        <w:t xml:space="preserve"> and recommend treatment to the Agency (under subsection (b)(1)) within 180 days after the end of the </w:t>
      </w:r>
      <w:bookmarkStart w:id="1292" w:name="_Hlk127908979"/>
      <w:r w:rsidR="001B2CF8" w:rsidRPr="003B4362">
        <w:rPr>
          <w:rFonts w:eastAsia="Calibri"/>
        </w:rPr>
        <w:t xml:space="preserve">tap </w:t>
      </w:r>
      <w:r w:rsidRPr="003B4362">
        <w:rPr>
          <w:rFonts w:eastAsia="Calibri"/>
        </w:rPr>
        <w:t>monitoring period</w:t>
      </w:r>
      <w:bookmarkEnd w:id="1292"/>
      <w:r w:rsidRPr="003B4362">
        <w:rPr>
          <w:rFonts w:eastAsia="Calibri"/>
        </w:rPr>
        <w:t xml:space="preserve"> during which the supplier </w:t>
      </w:r>
      <w:bookmarkStart w:id="1293" w:name="_Hlk114512409"/>
      <w:r w:rsidRPr="003B4362">
        <w:rPr>
          <w:rFonts w:eastAsia="Calibri"/>
        </w:rPr>
        <w:t>exceeded the action level</w:t>
      </w:r>
      <w:bookmarkEnd w:id="1293"/>
      <w:r w:rsidRPr="003B4362">
        <w:rPr>
          <w:rFonts w:eastAsia="Calibri"/>
        </w:rPr>
        <w:t>.</w:t>
      </w:r>
    </w:p>
    <w:p w14:paraId="34801168" w14:textId="4326FA06"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Step 2:  T</w:t>
      </w:r>
      <w:bookmarkStart w:id="1294" w:name="_Hlk114512523"/>
      <w:r w:rsidRPr="003B4362">
        <w:rPr>
          <w:rFonts w:eastAsia="Calibri"/>
        </w:rPr>
        <w:t>he Agency must issue a SEP determining source water treatment</w:t>
      </w:r>
      <w:bookmarkEnd w:id="1294"/>
      <w:r w:rsidRPr="003B4362">
        <w:rPr>
          <w:rFonts w:eastAsia="Calibri"/>
        </w:rPr>
        <w:t xml:space="preserve"> </w:t>
      </w:r>
      <w:bookmarkStart w:id="1295" w:name="_Hlk114512583"/>
      <w:r w:rsidRPr="003B4362">
        <w:rPr>
          <w:rFonts w:eastAsia="Calibri"/>
        </w:rPr>
        <w:t>(under subsection (b)(2))</w:t>
      </w:r>
      <w:bookmarkEnd w:id="1295"/>
      <w:r w:rsidRPr="003B4362">
        <w:rPr>
          <w:rFonts w:eastAsia="Calibri"/>
        </w:rPr>
        <w:t xml:space="preserve"> within six months </w:t>
      </w:r>
      <w:bookmarkStart w:id="1296" w:name="_Hlk114512635"/>
      <w:r w:rsidRPr="003B4362">
        <w:rPr>
          <w:rFonts w:eastAsia="Calibri"/>
        </w:rPr>
        <w:t>after the supplier submits monitoring results</w:t>
      </w:r>
      <w:bookmarkEnd w:id="1296"/>
      <w:r w:rsidRPr="003B4362">
        <w:rPr>
          <w:rFonts w:eastAsia="Calibri"/>
        </w:rPr>
        <w:t xml:space="preserve"> under step 1.</w:t>
      </w:r>
    </w:p>
    <w:p w14:paraId="3028A144" w14:textId="5570B507"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Step 3:  If </w:t>
      </w:r>
      <w:bookmarkStart w:id="1297" w:name="_Hlk114512820"/>
      <w:r w:rsidRPr="003B4362">
        <w:rPr>
          <w:rFonts w:eastAsia="Calibri"/>
        </w:rPr>
        <w:t xml:space="preserve">the Agency requires </w:t>
      </w:r>
      <w:r w:rsidR="00572E15" w:rsidRPr="003B4362">
        <w:rPr>
          <w:rFonts w:eastAsia="Calibri"/>
        </w:rPr>
        <w:t xml:space="preserve">installing </w:t>
      </w:r>
      <w:r w:rsidRPr="003B4362">
        <w:rPr>
          <w:rFonts w:eastAsia="Calibri"/>
        </w:rPr>
        <w:t>source water treatment</w:t>
      </w:r>
      <w:bookmarkEnd w:id="1297"/>
      <w:r w:rsidRPr="003B4362">
        <w:rPr>
          <w:rFonts w:eastAsia="Calibri"/>
        </w:rPr>
        <w:t xml:space="preserve">, the supplier must install that treatment (under subsection (b)(3)) within 24 months </w:t>
      </w:r>
      <w:bookmarkStart w:id="1298" w:name="_Hlk114512870"/>
      <w:r w:rsidRPr="003B4362">
        <w:rPr>
          <w:rFonts w:eastAsia="Calibri"/>
        </w:rPr>
        <w:t>after the Agency completes step 2</w:t>
      </w:r>
      <w:bookmarkEnd w:id="1298"/>
      <w:r w:rsidRPr="003B4362">
        <w:rPr>
          <w:rFonts w:eastAsia="Calibri"/>
        </w:rPr>
        <w:t>.</w:t>
      </w:r>
    </w:p>
    <w:p w14:paraId="21BF896B" w14:textId="77777777" w:rsidR="005451CE" w:rsidRPr="003B4362" w:rsidRDefault="005451CE" w:rsidP="005451CE">
      <w:pPr>
        <w:spacing w:before="240" w:after="240"/>
        <w:ind w:left="2160" w:hanging="720"/>
        <w:rPr>
          <w:rFonts w:eastAsia="Calibri"/>
        </w:rPr>
      </w:pPr>
      <w:bookmarkStart w:id="1299" w:name="_Hlk114512920"/>
      <w:r w:rsidRPr="003B4362">
        <w:rPr>
          <w:rFonts w:eastAsia="Calibri"/>
        </w:rPr>
        <w:lastRenderedPageBreak/>
        <w:t>4)</w:t>
      </w:r>
      <w:r w:rsidRPr="003B4362">
        <w:rPr>
          <w:rFonts w:eastAsia="Calibri"/>
        </w:rPr>
        <w:tab/>
        <w:t xml:space="preserve">Step 4: The supplier must complete follow-up tap water monitoring </w:t>
      </w:r>
      <w:bookmarkStart w:id="1300" w:name="_Hlk114512958"/>
      <w:r w:rsidRPr="003B4362">
        <w:rPr>
          <w:rFonts w:eastAsia="Calibri"/>
        </w:rPr>
        <w:t>(under Section 611.356(d)(2))</w:t>
      </w:r>
      <w:bookmarkEnd w:id="1300"/>
      <w:r w:rsidRPr="003B4362">
        <w:rPr>
          <w:rFonts w:eastAsia="Calibri"/>
        </w:rPr>
        <w:t xml:space="preserve"> and source water monitoring </w:t>
      </w:r>
      <w:bookmarkStart w:id="1301" w:name="_Hlk114512984"/>
      <w:r w:rsidRPr="003B4362">
        <w:rPr>
          <w:rFonts w:eastAsia="Calibri"/>
        </w:rPr>
        <w:t>(under Section 611.358(c))</w:t>
      </w:r>
      <w:bookmarkEnd w:id="1301"/>
      <w:r w:rsidRPr="003B4362">
        <w:rPr>
          <w:rFonts w:eastAsia="Calibri"/>
        </w:rPr>
        <w:t xml:space="preserve"> within 36 months after completion of step 2.</w:t>
      </w:r>
    </w:p>
    <w:bookmarkEnd w:id="1299"/>
    <w:p w14:paraId="4C078DEF" w14:textId="78AB1B27" w:rsidR="005451CE" w:rsidRPr="003B4362" w:rsidRDefault="005451CE" w:rsidP="005451CE">
      <w:pPr>
        <w:spacing w:before="240" w:after="240"/>
        <w:ind w:left="2160" w:hanging="720"/>
        <w:rPr>
          <w:rFonts w:eastAsia="Calibri"/>
        </w:rPr>
      </w:pPr>
      <w:r w:rsidRPr="003B4362">
        <w:rPr>
          <w:rFonts w:eastAsia="Calibri"/>
        </w:rPr>
        <w:t>5)</w:t>
      </w:r>
      <w:r w:rsidRPr="003B4362">
        <w:rPr>
          <w:rFonts w:eastAsia="Calibri"/>
        </w:rPr>
        <w:tab/>
        <w:t>Step 5: T</w:t>
      </w:r>
      <w:bookmarkStart w:id="1302" w:name="_Hlk114514290"/>
      <w:r w:rsidRPr="003B4362">
        <w:rPr>
          <w:rFonts w:eastAsia="Calibri"/>
        </w:rPr>
        <w:t>he Agency must issue a SEP reviewing the supplier’s installation</w:t>
      </w:r>
      <w:bookmarkEnd w:id="1302"/>
      <w:r w:rsidRPr="003B4362">
        <w:rPr>
          <w:rFonts w:eastAsia="Calibri"/>
        </w:rPr>
        <w:t xml:space="preserve"> and operation of source water treatment and specify MPCs for lead and copper (under </w:t>
      </w:r>
      <w:bookmarkStart w:id="1303" w:name="_Hlk114514361"/>
      <w:r w:rsidRPr="003B4362">
        <w:rPr>
          <w:rFonts w:eastAsia="Calibri"/>
        </w:rPr>
        <w:t>subsection (b)(4)</w:t>
      </w:r>
      <w:bookmarkEnd w:id="1303"/>
      <w:r w:rsidRPr="003B4362">
        <w:rPr>
          <w:rFonts w:eastAsia="Calibri"/>
        </w:rPr>
        <w:t xml:space="preserve">) within six months </w:t>
      </w:r>
      <w:bookmarkStart w:id="1304" w:name="_Hlk114514415"/>
      <w:r w:rsidRPr="003B4362">
        <w:rPr>
          <w:rFonts w:eastAsia="Calibri"/>
        </w:rPr>
        <w:t xml:space="preserve">after the </w:t>
      </w:r>
      <w:r w:rsidR="00EE2E96" w:rsidRPr="003B4362">
        <w:rPr>
          <w:rFonts w:eastAsia="Calibri"/>
        </w:rPr>
        <w:t xml:space="preserve">supplier </w:t>
      </w:r>
      <w:r w:rsidRPr="003B4362">
        <w:rPr>
          <w:rFonts w:eastAsia="Calibri"/>
        </w:rPr>
        <w:t>completes step 4</w:t>
      </w:r>
      <w:bookmarkEnd w:id="1304"/>
      <w:r w:rsidRPr="003B4362">
        <w:rPr>
          <w:rFonts w:eastAsia="Calibri"/>
        </w:rPr>
        <w:t>.</w:t>
      </w:r>
    </w:p>
    <w:p w14:paraId="58DCEF47" w14:textId="1BE20C25" w:rsidR="005451CE" w:rsidRPr="003B4362" w:rsidRDefault="005451CE" w:rsidP="005451CE">
      <w:pPr>
        <w:spacing w:before="240" w:after="240"/>
        <w:ind w:left="2160" w:hanging="720"/>
        <w:rPr>
          <w:rFonts w:eastAsia="Calibri"/>
        </w:rPr>
      </w:pPr>
      <w:r w:rsidRPr="003B4362">
        <w:rPr>
          <w:rFonts w:eastAsia="Calibri"/>
        </w:rPr>
        <w:t>6)</w:t>
      </w:r>
      <w:r w:rsidRPr="003B4362">
        <w:rPr>
          <w:rFonts w:eastAsia="Calibri"/>
        </w:rPr>
        <w:tab/>
        <w:t>Step 6: T</w:t>
      </w:r>
      <w:bookmarkStart w:id="1305" w:name="_Hlk114514614"/>
      <w:r w:rsidRPr="003B4362">
        <w:rPr>
          <w:rFonts w:eastAsia="Calibri"/>
        </w:rPr>
        <w:t>he supplier must comply with the Agency-specified lead and copper MPCs</w:t>
      </w:r>
      <w:bookmarkEnd w:id="1305"/>
      <w:r w:rsidRPr="003B4362">
        <w:rPr>
          <w:rFonts w:eastAsia="Calibri"/>
        </w:rPr>
        <w:t xml:space="preserve"> (under subsection (b)(4)) and continue source water monitoring (under </w:t>
      </w:r>
      <w:bookmarkStart w:id="1306" w:name="_Hlk114514717"/>
      <w:r w:rsidRPr="003B4362">
        <w:rPr>
          <w:rFonts w:eastAsia="Calibri"/>
        </w:rPr>
        <w:t>Section 611.358(d)</w:t>
      </w:r>
      <w:bookmarkEnd w:id="1306"/>
      <w:r w:rsidRPr="003B4362">
        <w:rPr>
          <w:rFonts w:eastAsia="Calibri"/>
        </w:rPr>
        <w:t>).</w:t>
      </w:r>
    </w:p>
    <w:p w14:paraId="2ED44E63" w14:textId="29EEC251" w:rsidR="005451CE" w:rsidRPr="003B4362" w:rsidRDefault="005451CE" w:rsidP="005451CE">
      <w:pPr>
        <w:widowControl w:val="0"/>
        <w:spacing w:before="240" w:after="240"/>
        <w:ind w:left="1440" w:hanging="720"/>
        <w:rPr>
          <w:rFonts w:eastAsia="Calibri"/>
        </w:rPr>
      </w:pPr>
      <w:r w:rsidRPr="003B4362">
        <w:rPr>
          <w:rFonts w:eastAsia="Calibri"/>
        </w:rPr>
        <w:t>b)</w:t>
      </w:r>
      <w:r w:rsidRPr="003B4362">
        <w:rPr>
          <w:rFonts w:eastAsia="Calibri"/>
        </w:rPr>
        <w:tab/>
      </w:r>
      <w:bookmarkStart w:id="1307" w:name="_Hlk114514798"/>
      <w:r w:rsidRPr="003B4362">
        <w:rPr>
          <w:rFonts w:eastAsia="Calibri"/>
        </w:rPr>
        <w:t>Source Water Treatment Requirements</w:t>
      </w:r>
      <w:bookmarkEnd w:id="1307"/>
    </w:p>
    <w:p w14:paraId="21CFEC68" w14:textId="06985C27"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System Treatment Recommendation.  A</w:t>
      </w:r>
      <w:bookmarkStart w:id="1308" w:name="_Hlk114514888"/>
      <w:r w:rsidRPr="003B4362">
        <w:rPr>
          <w:rFonts w:eastAsia="Calibri"/>
        </w:rPr>
        <w:t>ny supplier exceeding the lead or copper action level</w:t>
      </w:r>
      <w:bookmarkEnd w:id="1308"/>
      <w:r w:rsidRPr="003B4362">
        <w:rPr>
          <w:rFonts w:eastAsia="Calibri"/>
        </w:rPr>
        <w:t xml:space="preserve"> must </w:t>
      </w:r>
      <w:bookmarkStart w:id="1309" w:name="_Hlk114515013"/>
      <w:r w:rsidRPr="003B4362">
        <w:rPr>
          <w:rFonts w:eastAsia="Calibri"/>
        </w:rPr>
        <w:t>recommend to the Agency in writing one of the source water treatments</w:t>
      </w:r>
      <w:bookmarkStart w:id="1310" w:name="_Hlk114515086"/>
      <w:bookmarkEnd w:id="1309"/>
      <w:r w:rsidRPr="003B4362">
        <w:rPr>
          <w:rFonts w:eastAsia="Calibri"/>
        </w:rPr>
        <w:t xml:space="preserve"> in subsection (b)(2)</w:t>
      </w:r>
      <w:bookmarkEnd w:id="1310"/>
      <w:r w:rsidRPr="003B4362">
        <w:rPr>
          <w:rFonts w:eastAsia="Calibri"/>
        </w:rPr>
        <w:t xml:space="preserve">.  A supplier may </w:t>
      </w:r>
      <w:bookmarkStart w:id="1311" w:name="_Hlk114515162"/>
      <w:r w:rsidRPr="003B4362">
        <w:rPr>
          <w:rFonts w:eastAsia="Calibri"/>
        </w:rPr>
        <w:t xml:space="preserve">recommend </w:t>
      </w:r>
      <w:r w:rsidR="00572E15" w:rsidRPr="003B4362">
        <w:rPr>
          <w:rFonts w:eastAsia="Calibri"/>
        </w:rPr>
        <w:t xml:space="preserve">installing </w:t>
      </w:r>
      <w:r w:rsidRPr="003B4362">
        <w:rPr>
          <w:rFonts w:eastAsia="Calibri"/>
        </w:rPr>
        <w:t xml:space="preserve">no treatment </w:t>
      </w:r>
      <w:bookmarkEnd w:id="1311"/>
      <w:r w:rsidRPr="003B4362">
        <w:rPr>
          <w:rFonts w:eastAsia="Calibri"/>
        </w:rPr>
        <w:t>based on a demonstration that source water treatment is not necessary to minimize lead and copper levels at users’ taps.</w:t>
      </w:r>
    </w:p>
    <w:p w14:paraId="40AD0D59" w14:textId="77777777"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Agency Determination Regarding Source Water Treatment</w:t>
      </w:r>
    </w:p>
    <w:p w14:paraId="49E5F8AE" w14:textId="31C846F1"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w:t>
      </w:r>
      <w:bookmarkStart w:id="1312" w:name="_Hlk114515249"/>
      <w:r w:rsidRPr="003B4362">
        <w:rPr>
          <w:rFonts w:eastAsia="Calibri"/>
        </w:rPr>
        <w:t>he Agency must evaluate the results</w:t>
      </w:r>
      <w:bookmarkEnd w:id="1312"/>
      <w:r w:rsidRPr="003B4362">
        <w:rPr>
          <w:rFonts w:eastAsia="Calibri"/>
        </w:rPr>
        <w:t xml:space="preserve"> of all </w:t>
      </w:r>
      <w:bookmarkStart w:id="1313" w:name="_Hlk114515314"/>
      <w:r w:rsidRPr="003B4362">
        <w:rPr>
          <w:rFonts w:eastAsia="Calibri"/>
        </w:rPr>
        <w:t xml:space="preserve">source water samples the supplier submitted </w:t>
      </w:r>
      <w:bookmarkEnd w:id="1313"/>
      <w:r w:rsidRPr="003B4362">
        <w:rPr>
          <w:rFonts w:eastAsia="Calibri"/>
        </w:rPr>
        <w:t xml:space="preserve">to determine whether source water treatment is necessary to minimize lead or copper levels in </w:t>
      </w:r>
      <w:bookmarkStart w:id="1314" w:name="_Hlk114515361"/>
      <w:r w:rsidRPr="003B4362">
        <w:rPr>
          <w:rFonts w:eastAsia="Calibri"/>
        </w:rPr>
        <w:t>water the supplier delivers to users’ taps</w:t>
      </w:r>
      <w:bookmarkEnd w:id="1314"/>
      <w:r w:rsidRPr="003B4362">
        <w:rPr>
          <w:rFonts w:eastAsia="Calibri"/>
        </w:rPr>
        <w:t>.</w:t>
      </w:r>
    </w:p>
    <w:p w14:paraId="168213E3" w14:textId="5B15653B"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If </w:t>
      </w:r>
      <w:bookmarkStart w:id="1315" w:name="_Hlk114515524"/>
      <w:r w:rsidRPr="003B4362">
        <w:rPr>
          <w:rFonts w:eastAsia="Calibri"/>
        </w:rPr>
        <w:t>the Agency determines treatment</w:t>
      </w:r>
      <w:r w:rsidR="00A510FA" w:rsidRPr="003B4362">
        <w:rPr>
          <w:rFonts w:eastAsia="Calibri"/>
        </w:rPr>
        <w:t xml:space="preserve"> is</w:t>
      </w:r>
      <w:r w:rsidRPr="003B4362">
        <w:rPr>
          <w:rFonts w:eastAsia="Calibri"/>
        </w:rPr>
        <w:t xml:space="preserve"> necessary</w:t>
      </w:r>
      <w:bookmarkEnd w:id="1315"/>
      <w:r w:rsidRPr="003B4362">
        <w:rPr>
          <w:rFonts w:eastAsia="Calibri"/>
        </w:rPr>
        <w:t xml:space="preserve">, </w:t>
      </w:r>
      <w:bookmarkStart w:id="1316" w:name="_Hlk114515609"/>
      <w:r w:rsidRPr="003B4362">
        <w:rPr>
          <w:rFonts w:eastAsia="Calibri"/>
        </w:rPr>
        <w:t>the Agency must issue a SEP requiring the supplier to install and operate either the source water treatment</w:t>
      </w:r>
      <w:bookmarkStart w:id="1317" w:name="_Hlk114515719"/>
      <w:bookmarkEnd w:id="1316"/>
      <w:r w:rsidRPr="003B4362">
        <w:rPr>
          <w:rFonts w:eastAsia="Calibri"/>
        </w:rPr>
        <w:t xml:space="preserve"> the supplier recommended </w:t>
      </w:r>
      <w:bookmarkEnd w:id="1317"/>
      <w:r w:rsidRPr="003B4362">
        <w:rPr>
          <w:rFonts w:eastAsia="Calibri"/>
        </w:rPr>
        <w:t xml:space="preserve">(if any) </w:t>
      </w:r>
      <w:bookmarkStart w:id="1318" w:name="_Hlk114515812"/>
      <w:r w:rsidRPr="003B4362">
        <w:rPr>
          <w:rFonts w:eastAsia="Calibri"/>
        </w:rPr>
        <w:t>or another from among specific source water treatment techniques</w:t>
      </w:r>
      <w:bookmarkEnd w:id="1318"/>
      <w:r w:rsidRPr="003B4362">
        <w:rPr>
          <w:rFonts w:eastAsia="Calibri"/>
        </w:rPr>
        <w:t>:</w:t>
      </w:r>
    </w:p>
    <w:p w14:paraId="1741BBCA" w14:textId="77777777" w:rsidR="005451CE" w:rsidRPr="003B4362" w:rsidRDefault="005451CE" w:rsidP="005451CE">
      <w:pPr>
        <w:spacing w:before="240" w:after="240"/>
        <w:ind w:left="2880"/>
        <w:rPr>
          <w:rFonts w:eastAsia="Calibri"/>
        </w:rPr>
      </w:pPr>
      <w:r w:rsidRPr="003B4362">
        <w:rPr>
          <w:rFonts w:eastAsia="Calibri"/>
        </w:rPr>
        <w:t>i)</w:t>
      </w:r>
      <w:r w:rsidRPr="003B4362">
        <w:rPr>
          <w:rFonts w:eastAsia="Calibri"/>
        </w:rPr>
        <w:tab/>
        <w:t>ion exchange;</w:t>
      </w:r>
    </w:p>
    <w:p w14:paraId="4FCE036E" w14:textId="77777777" w:rsidR="005451CE" w:rsidRPr="003B4362" w:rsidRDefault="005451CE" w:rsidP="005451CE">
      <w:pPr>
        <w:spacing w:before="240" w:after="240"/>
        <w:ind w:left="2880"/>
        <w:rPr>
          <w:rFonts w:eastAsia="Calibri"/>
        </w:rPr>
      </w:pPr>
      <w:r w:rsidRPr="003B4362">
        <w:rPr>
          <w:rFonts w:eastAsia="Calibri"/>
        </w:rPr>
        <w:t>ii)</w:t>
      </w:r>
      <w:r w:rsidRPr="003B4362">
        <w:rPr>
          <w:rFonts w:eastAsia="Calibri"/>
        </w:rPr>
        <w:tab/>
        <w:t>reverse osmosis;</w:t>
      </w:r>
    </w:p>
    <w:p w14:paraId="2D668501" w14:textId="77777777" w:rsidR="005451CE" w:rsidRPr="003B4362" w:rsidRDefault="005451CE" w:rsidP="005451CE">
      <w:pPr>
        <w:spacing w:before="240" w:after="240"/>
        <w:ind w:left="2880"/>
        <w:rPr>
          <w:rFonts w:eastAsia="Calibri"/>
        </w:rPr>
      </w:pPr>
      <w:r w:rsidRPr="003B4362">
        <w:rPr>
          <w:rFonts w:eastAsia="Calibri"/>
        </w:rPr>
        <w:t>iii)</w:t>
      </w:r>
      <w:r w:rsidRPr="003B4362">
        <w:rPr>
          <w:rFonts w:eastAsia="Calibri"/>
        </w:rPr>
        <w:tab/>
        <w:t>lime softening;</w:t>
      </w:r>
      <w:r w:rsidRPr="003B4362">
        <w:rPr>
          <w:rFonts w:eastAsia="Calibri"/>
          <w:spacing w:val="-3"/>
        </w:rPr>
        <w:t xml:space="preserve"> or</w:t>
      </w:r>
    </w:p>
    <w:p w14:paraId="51093C5F" w14:textId="77777777" w:rsidR="005451CE" w:rsidRPr="003B4362" w:rsidRDefault="005451CE" w:rsidP="005451CE">
      <w:pPr>
        <w:spacing w:before="240" w:after="240"/>
        <w:ind w:left="2880"/>
        <w:rPr>
          <w:rFonts w:eastAsia="Calibri"/>
        </w:rPr>
      </w:pPr>
      <w:r w:rsidRPr="003B4362">
        <w:rPr>
          <w:rFonts w:eastAsia="Calibri"/>
        </w:rPr>
        <w:t>iv)</w:t>
      </w:r>
      <w:r w:rsidRPr="003B4362">
        <w:rPr>
          <w:rFonts w:eastAsia="Calibri"/>
        </w:rPr>
        <w:tab/>
        <w:t>coagulation/filtration.</w:t>
      </w:r>
    </w:p>
    <w:p w14:paraId="6A5DED83" w14:textId="553752AF"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T</w:t>
      </w:r>
      <w:bookmarkStart w:id="1319" w:name="_Hlk114516057"/>
      <w:r w:rsidRPr="003B4362">
        <w:rPr>
          <w:rFonts w:eastAsia="Calibri"/>
        </w:rPr>
        <w:t>he Agency may require the supplier to submit</w:t>
      </w:r>
      <w:bookmarkEnd w:id="1319"/>
      <w:r w:rsidRPr="003B4362">
        <w:rPr>
          <w:rFonts w:eastAsia="Calibri"/>
        </w:rPr>
        <w:t xml:space="preserve">, on or before a certain date, </w:t>
      </w:r>
      <w:bookmarkStart w:id="1320" w:name="_Hlk114516172"/>
      <w:r w:rsidRPr="003B4362">
        <w:rPr>
          <w:rFonts w:eastAsia="Calibri"/>
        </w:rPr>
        <w:t>any additional information</w:t>
      </w:r>
      <w:bookmarkEnd w:id="1320"/>
      <w:r w:rsidRPr="003B4362">
        <w:rPr>
          <w:rFonts w:eastAsia="Calibri"/>
        </w:rPr>
        <w:t xml:space="preserve"> as the Agency determines is necessary to aid its review.</w:t>
      </w:r>
    </w:p>
    <w:p w14:paraId="306DB519" w14:textId="466BE8A7" w:rsidR="005451CE" w:rsidRPr="003B4362" w:rsidRDefault="005451CE" w:rsidP="005451CE">
      <w:pPr>
        <w:spacing w:before="240" w:after="240"/>
        <w:ind w:left="2880" w:hanging="720"/>
        <w:rPr>
          <w:rFonts w:eastAsia="Calibri"/>
        </w:rPr>
      </w:pPr>
      <w:r w:rsidRPr="003B4362">
        <w:rPr>
          <w:rFonts w:eastAsia="Calibri"/>
        </w:rPr>
        <w:lastRenderedPageBreak/>
        <w:t>D)</w:t>
      </w:r>
      <w:r w:rsidRPr="003B4362">
        <w:rPr>
          <w:rFonts w:eastAsia="Calibri"/>
        </w:rPr>
        <w:tab/>
        <w:t xml:space="preserve">The Agency must notify the supplier in writing of its determination, </w:t>
      </w:r>
      <w:bookmarkStart w:id="1321" w:name="_Hlk114516434"/>
      <w:r w:rsidRPr="003B4362">
        <w:rPr>
          <w:rFonts w:eastAsia="Calibri"/>
        </w:rPr>
        <w:t>stating the basis for its decision</w:t>
      </w:r>
      <w:bookmarkEnd w:id="1321"/>
      <w:r w:rsidRPr="003B4362">
        <w:rPr>
          <w:rFonts w:eastAsia="Calibri"/>
        </w:rPr>
        <w:t>.</w:t>
      </w:r>
    </w:p>
    <w:p w14:paraId="7BC9593E" w14:textId="2CA11AEE"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r>
      <w:bookmarkStart w:id="1322" w:name="_Hlk114516685"/>
      <w:r w:rsidRPr="003B4362">
        <w:rPr>
          <w:rFonts w:eastAsia="Calibri"/>
        </w:rPr>
        <w:t>Installing Source Water Treatment</w:t>
      </w:r>
      <w:bookmarkEnd w:id="1322"/>
      <w:r w:rsidRPr="003B4362">
        <w:rPr>
          <w:rFonts w:eastAsia="Calibri"/>
        </w:rPr>
        <w:t xml:space="preserve">.  A supplier must properly install and operate the source water </w:t>
      </w:r>
      <w:bookmarkStart w:id="1323" w:name="_Hlk114516773"/>
      <w:r w:rsidRPr="003B4362">
        <w:rPr>
          <w:rFonts w:eastAsia="Calibri"/>
        </w:rPr>
        <w:t>treatment the Agency approves</w:t>
      </w:r>
      <w:bookmarkEnd w:id="1323"/>
      <w:r w:rsidRPr="003B4362">
        <w:rPr>
          <w:rFonts w:eastAsia="Calibri"/>
        </w:rPr>
        <w:t xml:space="preserve"> under subsection (b)(2).</w:t>
      </w:r>
    </w:p>
    <w:p w14:paraId="7671A591" w14:textId="23B63111"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r>
      <w:bookmarkStart w:id="1324" w:name="_Hlk114516895"/>
      <w:r w:rsidRPr="003B4362">
        <w:rPr>
          <w:rFonts w:eastAsia="Calibri"/>
        </w:rPr>
        <w:t>Agency Reviewing Source Water Treatment and Specifying Maximum Permissible Source Water Levels (MPCs)</w:t>
      </w:r>
      <w:bookmarkEnd w:id="1324"/>
    </w:p>
    <w:p w14:paraId="00E9AA3C" w14:textId="6F3FE092"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The Agency must review the source water </w:t>
      </w:r>
      <w:bookmarkStart w:id="1325" w:name="_Hlk114516988"/>
      <w:r w:rsidRPr="003B4362">
        <w:rPr>
          <w:rFonts w:eastAsia="Calibri"/>
        </w:rPr>
        <w:t>samples the supplier took</w:t>
      </w:r>
      <w:bookmarkEnd w:id="1325"/>
      <w:r w:rsidRPr="003B4362">
        <w:rPr>
          <w:rFonts w:eastAsia="Calibri"/>
        </w:rPr>
        <w:t xml:space="preserve"> both before and after the supplier installs source water treatment and determine whether </w:t>
      </w:r>
      <w:bookmarkStart w:id="1326" w:name="_Hlk114517115"/>
      <w:r w:rsidRPr="003B4362">
        <w:rPr>
          <w:rFonts w:eastAsia="Calibri"/>
        </w:rPr>
        <w:t>the supplier properly installs and operates the approved source water treatment</w:t>
      </w:r>
      <w:bookmarkEnd w:id="1326"/>
      <w:r w:rsidRPr="003B4362">
        <w:rPr>
          <w:rFonts w:eastAsia="Calibri"/>
        </w:rPr>
        <w:t>.</w:t>
      </w:r>
    </w:p>
    <w:p w14:paraId="1F346B55" w14:textId="423F826D"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Based on its review, t</w:t>
      </w:r>
      <w:bookmarkStart w:id="1327" w:name="_Hlk114517233"/>
      <w:r w:rsidRPr="003B4362">
        <w:rPr>
          <w:rFonts w:eastAsia="Calibri"/>
        </w:rPr>
        <w:t>he Agency must issue a SEP approving the lead and copper MPCs</w:t>
      </w:r>
      <w:bookmarkEnd w:id="1327"/>
      <w:r w:rsidRPr="003B4362">
        <w:rPr>
          <w:rFonts w:eastAsia="Calibri"/>
        </w:rPr>
        <w:t xml:space="preserve"> for finished water entering the supplier’s distribution system.  T</w:t>
      </w:r>
      <w:bookmarkStart w:id="1328" w:name="_Hlk114517335"/>
      <w:r w:rsidRPr="003B4362">
        <w:rPr>
          <w:rFonts w:eastAsia="Calibri"/>
        </w:rPr>
        <w:t>he MPC levels</w:t>
      </w:r>
      <w:bookmarkEnd w:id="1328"/>
      <w:r w:rsidRPr="003B4362">
        <w:rPr>
          <w:rFonts w:eastAsia="Calibri"/>
        </w:rPr>
        <w:t xml:space="preserve"> must reflect the contaminant removal </w:t>
      </w:r>
      <w:bookmarkStart w:id="1329" w:name="_Hlk114517399"/>
      <w:r w:rsidRPr="003B4362">
        <w:rPr>
          <w:rFonts w:eastAsia="Calibri"/>
        </w:rPr>
        <w:t>capability of the treatment when properly operated</w:t>
      </w:r>
      <w:bookmarkEnd w:id="1329"/>
      <w:r w:rsidRPr="003B4362">
        <w:rPr>
          <w:rFonts w:eastAsia="Calibri"/>
        </w:rPr>
        <w:t xml:space="preserve"> and maintained.</w:t>
      </w:r>
    </w:p>
    <w:p w14:paraId="390663D0" w14:textId="6455A338"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The </w:t>
      </w:r>
      <w:r w:rsidR="00EE2E96" w:rsidRPr="003B4362">
        <w:rPr>
          <w:rFonts w:eastAsia="Calibri"/>
        </w:rPr>
        <w:t xml:space="preserve">SEP issued under subsection (b)(4)(B) must include the Agency's explanation of </w:t>
      </w:r>
      <w:r w:rsidRPr="003B4362">
        <w:rPr>
          <w:rFonts w:eastAsia="Calibri"/>
        </w:rPr>
        <w:t xml:space="preserve"> the basis for its decision under subsection (b)(4)(B).</w:t>
      </w:r>
    </w:p>
    <w:p w14:paraId="452FEFED" w14:textId="5233A5D1" w:rsidR="005451CE" w:rsidRPr="003B4362" w:rsidRDefault="005451CE" w:rsidP="005451CE">
      <w:pPr>
        <w:spacing w:before="240" w:after="240"/>
        <w:ind w:left="2160" w:hanging="720"/>
        <w:rPr>
          <w:rFonts w:eastAsia="Calibri"/>
        </w:rPr>
      </w:pPr>
      <w:r w:rsidRPr="003B4362">
        <w:rPr>
          <w:rFonts w:eastAsia="Calibri"/>
        </w:rPr>
        <w:t>5)</w:t>
      </w:r>
      <w:r w:rsidRPr="003B4362">
        <w:rPr>
          <w:rFonts w:eastAsia="Calibri"/>
        </w:rPr>
        <w:tab/>
        <w:t>Continued Operation and Maintenance.  A supplier must maintain lead and copper levels below the MPCs the Agency approved at every sampling point the supplier monitors under Section 611.358.  The supplier does not comply with this subsection (b) if the level of lead or copper at any sampling point is greater than the MPC the Agency approved under subsection (b)(4)(B).</w:t>
      </w:r>
    </w:p>
    <w:p w14:paraId="5B1432A9" w14:textId="226D2D07" w:rsidR="005451CE" w:rsidRPr="003B4362" w:rsidRDefault="005451CE" w:rsidP="005451CE">
      <w:pPr>
        <w:spacing w:before="240" w:after="240"/>
        <w:ind w:left="2160" w:hanging="720"/>
        <w:rPr>
          <w:rFonts w:eastAsia="Calibri"/>
        </w:rPr>
      </w:pPr>
      <w:r w:rsidRPr="003B4362">
        <w:rPr>
          <w:rFonts w:eastAsia="Calibri"/>
        </w:rPr>
        <w:t>6)</w:t>
      </w:r>
      <w:r w:rsidRPr="003B4362">
        <w:rPr>
          <w:rFonts w:eastAsia="Calibri"/>
        </w:rPr>
        <w:tab/>
        <w:t>Modifying Agency Treatment Decisions</w:t>
      </w:r>
    </w:p>
    <w:p w14:paraId="30E855E3" w14:textId="019C957B"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On its own initiative, or in response to </w:t>
      </w:r>
      <w:bookmarkStart w:id="1330" w:name="_Hlk114519020"/>
      <w:r w:rsidRPr="003B4362">
        <w:rPr>
          <w:rFonts w:eastAsia="Calibri"/>
        </w:rPr>
        <w:t>a request by the supplier</w:t>
      </w:r>
      <w:bookmarkEnd w:id="1330"/>
      <w:r w:rsidRPr="003B4362">
        <w:rPr>
          <w:rFonts w:eastAsia="Calibri"/>
        </w:rPr>
        <w:t xml:space="preserve">, </w:t>
      </w:r>
      <w:bookmarkStart w:id="1331" w:name="_Hlk114519101"/>
      <w:r w:rsidRPr="003B4362">
        <w:rPr>
          <w:rFonts w:eastAsia="Calibri"/>
        </w:rPr>
        <w:t>the Agency may issue a SEP modifying its determination</w:t>
      </w:r>
      <w:bookmarkEnd w:id="1331"/>
      <w:r w:rsidRPr="003B4362">
        <w:rPr>
          <w:rFonts w:eastAsia="Calibri"/>
        </w:rPr>
        <w:t xml:space="preserve"> of the source water treatment under subsection (b)(2) </w:t>
      </w:r>
      <w:bookmarkStart w:id="1332" w:name="_Hlk114519218"/>
      <w:r w:rsidRPr="003B4362">
        <w:rPr>
          <w:rFonts w:eastAsia="Calibri"/>
        </w:rPr>
        <w:t>or the lead and copper MPCs</w:t>
      </w:r>
      <w:bookmarkEnd w:id="1332"/>
      <w:r w:rsidRPr="003B4362">
        <w:rPr>
          <w:rFonts w:eastAsia="Calibri"/>
        </w:rPr>
        <w:t xml:space="preserve"> under subsection (b)(4).</w:t>
      </w:r>
    </w:p>
    <w:p w14:paraId="5C33ACCC" w14:textId="5DBDA9E1"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A supplier must make a request to modify in writing, explaining the propriety of the modification, and providing supporting documentation.</w:t>
      </w:r>
    </w:p>
    <w:p w14:paraId="4578E4F4" w14:textId="7563B49B"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The Agency may issue a SEP modifying its determination </w:t>
      </w:r>
      <w:r w:rsidRPr="003B4362">
        <w:rPr>
          <w:rFonts w:eastAsia="Calibri"/>
          <w:spacing w:val="-3"/>
        </w:rPr>
        <w:t xml:space="preserve">if </w:t>
      </w:r>
      <w:r w:rsidRPr="003B4362">
        <w:rPr>
          <w:rFonts w:eastAsia="Calibri"/>
        </w:rPr>
        <w:t xml:space="preserve">it concludes that the change is necessary to ensure that the supplier </w:t>
      </w:r>
      <w:r w:rsidRPr="003B4362">
        <w:rPr>
          <w:rFonts w:eastAsia="Calibri"/>
        </w:rPr>
        <w:lastRenderedPageBreak/>
        <w:t>continues minimizing lead and copper concentrations in source water.</w:t>
      </w:r>
    </w:p>
    <w:p w14:paraId="49F42C1F" w14:textId="60073D23" w:rsidR="005451CE" w:rsidRPr="003B4362" w:rsidRDefault="005451CE" w:rsidP="005451CE">
      <w:pPr>
        <w:spacing w:before="240" w:after="240"/>
        <w:ind w:left="2880" w:hanging="720"/>
        <w:rPr>
          <w:rFonts w:eastAsia="Calibri"/>
        </w:rPr>
      </w:pPr>
      <w:r w:rsidRPr="003B4362">
        <w:rPr>
          <w:rFonts w:eastAsia="Calibri"/>
        </w:rPr>
        <w:t>D)</w:t>
      </w:r>
      <w:r w:rsidRPr="003B4362">
        <w:rPr>
          <w:rFonts w:eastAsia="Calibri"/>
        </w:rPr>
        <w:tab/>
        <w:t>A revised determination under subsection (b)(6)(C) must state the new treatment requirements, explain the basis for the Agency’s decision, and provide a schedule for completing the treatment modifications.</w:t>
      </w:r>
    </w:p>
    <w:p w14:paraId="374D860B" w14:textId="066AAB8D" w:rsidR="005451CE" w:rsidRPr="003B4362" w:rsidRDefault="005451CE" w:rsidP="005451CE">
      <w:pPr>
        <w:spacing w:before="240" w:after="240"/>
        <w:ind w:left="2880" w:hanging="720"/>
        <w:rPr>
          <w:rFonts w:eastAsia="Calibri"/>
        </w:rPr>
      </w:pPr>
      <w:r w:rsidRPr="003B4362">
        <w:rPr>
          <w:rFonts w:eastAsia="Calibri"/>
        </w:rPr>
        <w:t>E)</w:t>
      </w:r>
      <w:r w:rsidRPr="003B4362">
        <w:rPr>
          <w:rFonts w:eastAsia="Calibri"/>
        </w:rPr>
        <w:tab/>
        <w:t>Any interested person may submit information to the Agency in writing bearing on whether the Agency should exercise its discretion and issue a SEP modifying its determination under subsection (b)(2).  An Agency determination not to act on information an interested person submits is not an Agency determination for the purposes of Sections 39 and 40 of the Act.</w:t>
      </w:r>
    </w:p>
    <w:p w14:paraId="341C133D" w14:textId="10B87F7B" w:rsidR="005451CE" w:rsidRPr="003B4362" w:rsidRDefault="005451CE" w:rsidP="005451CE">
      <w:pPr>
        <w:spacing w:before="240" w:after="240"/>
        <w:ind w:left="2160" w:hanging="720"/>
        <w:rPr>
          <w:rFonts w:eastAsia="Calibri"/>
        </w:rPr>
      </w:pPr>
      <w:r w:rsidRPr="003B4362">
        <w:rPr>
          <w:rFonts w:eastAsia="Calibri"/>
        </w:rPr>
        <w:t>7)</w:t>
      </w:r>
      <w:r w:rsidRPr="003B4362">
        <w:rPr>
          <w:rFonts w:eastAsia="Calibri"/>
        </w:rPr>
        <w:tab/>
        <w:t xml:space="preserve">USEPA Treatment Decisions.  Under 40 CFR 142.19, USEPA reserves the prerogative to review </w:t>
      </w:r>
      <w:r w:rsidR="007B6C03" w:rsidRPr="003B4362">
        <w:rPr>
          <w:rFonts w:eastAsia="Calibri"/>
        </w:rPr>
        <w:t xml:space="preserve">Agency </w:t>
      </w:r>
      <w:r w:rsidRPr="003B4362">
        <w:rPr>
          <w:rFonts w:eastAsia="Calibri"/>
        </w:rPr>
        <w:t xml:space="preserve">treatment determinations under subsections (b)(2), (b)(4), or (b)(6) and issue federal treatment determinations consistent with 40 CFR 141.83(b)(2), (b)(4), and (b)(6) </w:t>
      </w:r>
      <w:r w:rsidRPr="003B4362">
        <w:rPr>
          <w:rFonts w:eastAsia="Calibri"/>
          <w:spacing w:val="-3"/>
        </w:rPr>
        <w:t xml:space="preserve">if USEPA </w:t>
      </w:r>
      <w:r w:rsidRPr="003B4362">
        <w:rPr>
          <w:rFonts w:eastAsia="Calibri"/>
        </w:rPr>
        <w:t>finds that certain conditions exist:</w:t>
      </w:r>
    </w:p>
    <w:p w14:paraId="341ACA53" w14:textId="2D4099BB"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the Agency fails to issue a treatment determination by the applicable deadline in subsection (a);</w:t>
      </w:r>
    </w:p>
    <w:p w14:paraId="02D0B0B7" w14:textId="0C6948A8"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the Agency abuses its discretion in a substantial number of instances or in instances affecting a substantial population; or</w:t>
      </w:r>
    </w:p>
    <w:p w14:paraId="1B1818CD" w14:textId="48EB69C7"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the technical aspects of the Agency’s determination would be indefensible in a federal enforcement action taken against the supplier.</w:t>
      </w:r>
    </w:p>
    <w:p w14:paraId="067C2C6C" w14:textId="0A45C78B" w:rsidR="005451CE" w:rsidRPr="003B4362" w:rsidRDefault="005451CE" w:rsidP="005451CE">
      <w:pPr>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141.83.</w:t>
      </w:r>
    </w:p>
    <w:p w14:paraId="64C0DB56" w14:textId="6E4F897C"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55AB639C" w14:textId="3204E794" w:rsidR="005451CE" w:rsidRPr="003B4362" w:rsidRDefault="005451CE" w:rsidP="00D32905">
      <w:pPr>
        <w:rPr>
          <w:rFonts w:eastAsia="Calibri"/>
          <w:b/>
          <w:bCs/>
        </w:rPr>
      </w:pPr>
      <w:r w:rsidRPr="003B4362">
        <w:rPr>
          <w:rFonts w:eastAsia="Calibri"/>
          <w:b/>
          <w:bCs/>
        </w:rPr>
        <w:t xml:space="preserve">Section 611.354  </w:t>
      </w:r>
      <w:bookmarkStart w:id="1333" w:name="_Hlk127880897"/>
      <w:r w:rsidRPr="003B4362">
        <w:rPr>
          <w:rFonts w:eastAsia="Calibri"/>
          <w:b/>
          <w:bCs/>
        </w:rPr>
        <w:t>Lead Service</w:t>
      </w:r>
      <w:r w:rsidR="00932742" w:rsidRPr="003B4362">
        <w:rPr>
          <w:rFonts w:eastAsia="Calibri"/>
          <w:b/>
          <w:bCs/>
        </w:rPr>
        <w:t xml:space="preserve"> Line</w:t>
      </w:r>
      <w:r w:rsidR="003A3469" w:rsidRPr="003B4362">
        <w:rPr>
          <w:rFonts w:eastAsia="Calibri"/>
          <w:b/>
          <w:bCs/>
        </w:rPr>
        <w:t xml:space="preserve"> </w:t>
      </w:r>
      <w:r w:rsidR="00932742" w:rsidRPr="003B4362">
        <w:rPr>
          <w:rFonts w:eastAsia="Calibri"/>
          <w:b/>
          <w:bCs/>
        </w:rPr>
        <w:t xml:space="preserve">Inventory and Replacing Lead Service </w:t>
      </w:r>
      <w:r w:rsidR="003A3469" w:rsidRPr="003B4362">
        <w:rPr>
          <w:rFonts w:eastAsia="Calibri"/>
          <w:b/>
          <w:bCs/>
        </w:rPr>
        <w:t>Lines</w:t>
      </w:r>
      <w:bookmarkEnd w:id="1333"/>
    </w:p>
    <w:p w14:paraId="5AF914BF" w14:textId="00014E1E" w:rsidR="009557C7" w:rsidRPr="003B4362" w:rsidRDefault="009557C7" w:rsidP="009557C7">
      <w:pPr>
        <w:autoSpaceDE w:val="0"/>
        <w:autoSpaceDN w:val="0"/>
        <w:adjustRightInd w:val="0"/>
        <w:spacing w:before="240" w:after="240"/>
        <w:ind w:left="1440" w:hanging="720"/>
        <w:rPr>
          <w:rFonts w:eastAsia="Calibri"/>
          <w:szCs w:val="24"/>
        </w:rPr>
      </w:pPr>
      <w:r w:rsidRPr="003B4362">
        <w:rPr>
          <w:rFonts w:eastAsia="Calibri"/>
          <w:szCs w:val="24"/>
        </w:rPr>
        <w:t>a)</w:t>
      </w:r>
      <w:r w:rsidRPr="003B4362">
        <w:rPr>
          <w:rFonts w:eastAsia="Calibri"/>
          <w:szCs w:val="24"/>
        </w:rPr>
        <w:tab/>
      </w:r>
      <w:bookmarkStart w:id="1334" w:name="_Hlk118987847"/>
      <w:r w:rsidRPr="003B4362">
        <w:rPr>
          <w:rFonts w:eastAsia="Calibri"/>
          <w:szCs w:val="24"/>
        </w:rPr>
        <w:t xml:space="preserve">Lead </w:t>
      </w:r>
      <w:r w:rsidR="00EF5713" w:rsidRPr="003B4362">
        <w:rPr>
          <w:rFonts w:eastAsia="Calibri"/>
          <w:szCs w:val="24"/>
        </w:rPr>
        <w:t>S</w:t>
      </w:r>
      <w:r w:rsidRPr="003B4362">
        <w:rPr>
          <w:rFonts w:eastAsia="Calibri"/>
          <w:szCs w:val="24"/>
        </w:rPr>
        <w:t xml:space="preserve">ervice </w:t>
      </w:r>
      <w:r w:rsidR="00EF5713" w:rsidRPr="003B4362">
        <w:rPr>
          <w:rFonts w:eastAsia="Calibri"/>
          <w:szCs w:val="24"/>
        </w:rPr>
        <w:t>L</w:t>
      </w:r>
      <w:r w:rsidRPr="003B4362">
        <w:rPr>
          <w:rFonts w:eastAsia="Calibri"/>
          <w:szCs w:val="24"/>
        </w:rPr>
        <w:t xml:space="preserve">ine </w:t>
      </w:r>
      <w:r w:rsidR="00EF5713" w:rsidRPr="003B4362">
        <w:rPr>
          <w:rFonts w:eastAsia="Calibri"/>
          <w:szCs w:val="24"/>
        </w:rPr>
        <w:t>I</w:t>
      </w:r>
      <w:r w:rsidRPr="003B4362">
        <w:rPr>
          <w:rFonts w:eastAsia="Calibri"/>
          <w:szCs w:val="24"/>
        </w:rPr>
        <w:t>nventory</w:t>
      </w:r>
      <w:bookmarkEnd w:id="1334"/>
      <w:r w:rsidRPr="003B4362">
        <w:rPr>
          <w:rFonts w:eastAsia="Calibri"/>
          <w:szCs w:val="24"/>
        </w:rPr>
        <w:t>.  A</w:t>
      </w:r>
      <w:r w:rsidR="002A69F8" w:rsidRPr="003B4362">
        <w:rPr>
          <w:rFonts w:eastAsia="Calibri"/>
          <w:szCs w:val="24"/>
        </w:rPr>
        <w:t xml:space="preserve"> supplier</w:t>
      </w:r>
      <w:r w:rsidRPr="003B4362">
        <w:rPr>
          <w:rFonts w:eastAsia="Calibri"/>
          <w:szCs w:val="24"/>
        </w:rPr>
        <w:t xml:space="preserve"> must develop</w:t>
      </w:r>
      <w:bookmarkStart w:id="1335" w:name="_Hlk118994330"/>
      <w:r w:rsidRPr="003B4362">
        <w:rPr>
          <w:rFonts w:eastAsia="Calibri"/>
          <w:szCs w:val="24"/>
        </w:rPr>
        <w:t xml:space="preserve"> </w:t>
      </w:r>
      <w:bookmarkStart w:id="1336" w:name="_Hlk118988140"/>
      <w:r w:rsidRPr="003B4362">
        <w:rPr>
          <w:rFonts w:eastAsia="Calibri"/>
          <w:szCs w:val="24"/>
        </w:rPr>
        <w:t>an inventory</w:t>
      </w:r>
      <w:r w:rsidR="002A69F8" w:rsidRPr="003B4362">
        <w:rPr>
          <w:rFonts w:eastAsia="Calibri"/>
          <w:szCs w:val="24"/>
        </w:rPr>
        <w:t xml:space="preserve"> </w:t>
      </w:r>
      <w:r w:rsidRPr="003B4362">
        <w:rPr>
          <w:rFonts w:eastAsia="Calibri"/>
          <w:szCs w:val="24"/>
        </w:rPr>
        <w:t>identify</w:t>
      </w:r>
      <w:r w:rsidR="002A69F8" w:rsidRPr="003B4362">
        <w:rPr>
          <w:rFonts w:eastAsia="Calibri"/>
          <w:szCs w:val="24"/>
        </w:rPr>
        <w:t>ing</w:t>
      </w:r>
      <w:r w:rsidRPr="003B4362">
        <w:rPr>
          <w:rFonts w:eastAsia="Calibri"/>
          <w:szCs w:val="24"/>
        </w:rPr>
        <w:t xml:space="preserve"> the materials </w:t>
      </w:r>
      <w:r w:rsidR="002A69F8" w:rsidRPr="003B4362">
        <w:rPr>
          <w:rFonts w:eastAsia="Calibri"/>
          <w:szCs w:val="24"/>
        </w:rPr>
        <w:t>co</w:t>
      </w:r>
      <w:r w:rsidR="008F7741" w:rsidRPr="003B4362">
        <w:rPr>
          <w:rFonts w:eastAsia="Calibri"/>
          <w:szCs w:val="24"/>
        </w:rPr>
        <w:t>mposit</w:t>
      </w:r>
      <w:r w:rsidR="002A69F8" w:rsidRPr="003B4362">
        <w:rPr>
          <w:rFonts w:eastAsia="Calibri"/>
          <w:szCs w:val="24"/>
        </w:rPr>
        <w:t xml:space="preserve">ion for all </w:t>
      </w:r>
      <w:r w:rsidRPr="003B4362">
        <w:rPr>
          <w:rFonts w:eastAsia="Calibri"/>
          <w:szCs w:val="24"/>
        </w:rPr>
        <w:t>service lines</w:t>
      </w:r>
      <w:bookmarkEnd w:id="1335"/>
      <w:bookmarkEnd w:id="1336"/>
      <w:r w:rsidRPr="003B4362">
        <w:rPr>
          <w:rFonts w:eastAsia="Calibri"/>
          <w:szCs w:val="24"/>
        </w:rPr>
        <w:t xml:space="preserve"> </w:t>
      </w:r>
      <w:bookmarkStart w:id="1337" w:name="_Hlk118994540"/>
      <w:r w:rsidRPr="003B4362">
        <w:rPr>
          <w:rFonts w:eastAsia="Calibri"/>
          <w:szCs w:val="24"/>
        </w:rPr>
        <w:t xml:space="preserve">connected to </w:t>
      </w:r>
      <w:r w:rsidR="002A69F8" w:rsidRPr="003B4362">
        <w:rPr>
          <w:rFonts w:eastAsia="Calibri"/>
          <w:szCs w:val="24"/>
        </w:rPr>
        <w:t>its</w:t>
      </w:r>
      <w:r w:rsidRPr="003B4362">
        <w:rPr>
          <w:rFonts w:eastAsia="Calibri"/>
          <w:szCs w:val="24"/>
        </w:rPr>
        <w:t xml:space="preserve"> distribution system</w:t>
      </w:r>
      <w:bookmarkEnd w:id="1337"/>
      <w:r w:rsidRPr="003B4362">
        <w:rPr>
          <w:rFonts w:eastAsia="Calibri"/>
          <w:szCs w:val="24"/>
        </w:rPr>
        <w:t>.  T</w:t>
      </w:r>
      <w:bookmarkStart w:id="1338" w:name="_Hlk118994674"/>
      <w:r w:rsidRPr="003B4362">
        <w:rPr>
          <w:rFonts w:eastAsia="Calibri"/>
          <w:szCs w:val="24"/>
        </w:rPr>
        <w:t xml:space="preserve">he </w:t>
      </w:r>
      <w:r w:rsidR="008F7741" w:rsidRPr="003B4362">
        <w:rPr>
          <w:rFonts w:eastAsia="Calibri"/>
          <w:szCs w:val="24"/>
        </w:rPr>
        <w:t xml:space="preserve">inventory must meet </w:t>
      </w:r>
      <w:r w:rsidR="00224FA0" w:rsidRPr="003B4362">
        <w:rPr>
          <w:rFonts w:eastAsia="Calibri"/>
          <w:szCs w:val="24"/>
        </w:rPr>
        <w:t>specific requirements</w:t>
      </w:r>
      <w:bookmarkEnd w:id="1338"/>
      <w:r w:rsidRPr="003B4362">
        <w:rPr>
          <w:rFonts w:eastAsia="Calibri"/>
          <w:szCs w:val="24"/>
        </w:rPr>
        <w:t>:</w:t>
      </w:r>
    </w:p>
    <w:p w14:paraId="209DBA3B" w14:textId="46046970"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r>
      <w:r w:rsidR="00224FA0" w:rsidRPr="003B4362">
        <w:rPr>
          <w:rFonts w:eastAsia="Calibri"/>
          <w:szCs w:val="24"/>
        </w:rPr>
        <w:t>The supplier</w:t>
      </w:r>
      <w:r w:rsidRPr="003B4362">
        <w:rPr>
          <w:rFonts w:eastAsia="Calibri"/>
          <w:szCs w:val="24"/>
        </w:rPr>
        <w:t xml:space="preserve"> must develop an initial inventory </w:t>
      </w:r>
      <w:bookmarkStart w:id="1339" w:name="_Hlk118995083"/>
      <w:r w:rsidRPr="003B4362">
        <w:rPr>
          <w:rFonts w:eastAsia="Calibri"/>
          <w:szCs w:val="24"/>
        </w:rPr>
        <w:t>b</w:t>
      </w:r>
      <w:r w:rsidR="00224FA0" w:rsidRPr="003B4362">
        <w:rPr>
          <w:rFonts w:eastAsia="Calibri"/>
          <w:szCs w:val="24"/>
        </w:rPr>
        <w:t>efore</w:t>
      </w:r>
      <w:r w:rsidRPr="003B4362">
        <w:rPr>
          <w:rFonts w:eastAsia="Calibri"/>
          <w:szCs w:val="24"/>
        </w:rPr>
        <w:t xml:space="preserve"> October 16, 2024</w:t>
      </w:r>
      <w:bookmarkEnd w:id="1339"/>
      <w:r w:rsidR="00DE54D7" w:rsidRPr="003B4362">
        <w:rPr>
          <w:rFonts w:eastAsia="Calibri"/>
          <w:szCs w:val="24"/>
        </w:rPr>
        <w:t xml:space="preserve"> </w:t>
      </w:r>
      <w:r w:rsidRPr="003B4362">
        <w:rPr>
          <w:rFonts w:eastAsia="Calibri"/>
          <w:szCs w:val="24"/>
        </w:rPr>
        <w:t xml:space="preserve">and </w:t>
      </w:r>
      <w:bookmarkStart w:id="1340" w:name="_Hlk118995378"/>
      <w:r w:rsidRPr="003B4362">
        <w:rPr>
          <w:rFonts w:eastAsia="Calibri"/>
          <w:szCs w:val="24"/>
        </w:rPr>
        <w:t xml:space="preserve">submit </w:t>
      </w:r>
      <w:r w:rsidR="00224FA0" w:rsidRPr="003B4362">
        <w:rPr>
          <w:rFonts w:eastAsia="Calibri"/>
          <w:szCs w:val="24"/>
        </w:rPr>
        <w:t>the inventory</w:t>
      </w:r>
      <w:r w:rsidRPr="003B4362">
        <w:rPr>
          <w:rFonts w:eastAsia="Calibri"/>
          <w:szCs w:val="24"/>
        </w:rPr>
        <w:t xml:space="preserve"> to the </w:t>
      </w:r>
      <w:r w:rsidR="00224FA0" w:rsidRPr="003B4362">
        <w:rPr>
          <w:rFonts w:eastAsia="Calibri"/>
          <w:szCs w:val="24"/>
        </w:rPr>
        <w:t>A</w:t>
      </w:r>
      <w:r w:rsidRPr="003B4362">
        <w:rPr>
          <w:rFonts w:eastAsia="Calibri"/>
          <w:szCs w:val="24"/>
        </w:rPr>
        <w:t xml:space="preserve">gency </w:t>
      </w:r>
      <w:r w:rsidR="00830254" w:rsidRPr="003B4362">
        <w:rPr>
          <w:rFonts w:eastAsia="Calibri"/>
          <w:szCs w:val="24"/>
        </w:rPr>
        <w:t>as</w:t>
      </w:r>
      <w:r w:rsidRPr="003B4362">
        <w:rPr>
          <w:rFonts w:eastAsia="Calibri"/>
          <w:szCs w:val="24"/>
        </w:rPr>
        <w:t xml:space="preserve"> Section </w:t>
      </w:r>
      <w:r w:rsidR="00224FA0" w:rsidRPr="003B4362">
        <w:rPr>
          <w:rFonts w:eastAsia="Calibri"/>
          <w:szCs w:val="24"/>
        </w:rPr>
        <w:t>61</w:t>
      </w:r>
      <w:r w:rsidRPr="003B4362">
        <w:rPr>
          <w:rFonts w:eastAsia="Calibri"/>
          <w:szCs w:val="24"/>
        </w:rPr>
        <w:t>1.</w:t>
      </w:r>
      <w:r w:rsidR="00224FA0" w:rsidRPr="003B4362">
        <w:rPr>
          <w:rFonts w:eastAsia="Calibri"/>
          <w:szCs w:val="24"/>
        </w:rPr>
        <w:t>36</w:t>
      </w:r>
      <w:r w:rsidRPr="003B4362">
        <w:rPr>
          <w:rFonts w:eastAsia="Calibri"/>
          <w:szCs w:val="24"/>
        </w:rPr>
        <w:t>0(e)</w:t>
      </w:r>
      <w:bookmarkEnd w:id="1340"/>
      <w:r w:rsidR="00830254" w:rsidRPr="003B4362">
        <w:rPr>
          <w:rFonts w:eastAsia="Calibri"/>
          <w:szCs w:val="24"/>
        </w:rPr>
        <w:t xml:space="preserve"> requires</w:t>
      </w:r>
      <w:r w:rsidRPr="003B4362">
        <w:rPr>
          <w:rFonts w:eastAsia="Calibri"/>
          <w:szCs w:val="24"/>
        </w:rPr>
        <w:t>.</w:t>
      </w:r>
    </w:p>
    <w:p w14:paraId="5DFE30EA" w14:textId="787395C5"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 xml:space="preserve">The inventory must include all service lines </w:t>
      </w:r>
      <w:bookmarkStart w:id="1341" w:name="_Hlk118996682"/>
      <w:r w:rsidRPr="003B4362">
        <w:rPr>
          <w:rFonts w:eastAsia="Calibri"/>
          <w:szCs w:val="24"/>
        </w:rPr>
        <w:t xml:space="preserve">connected to </w:t>
      </w:r>
      <w:bookmarkStart w:id="1342" w:name="_Hlk118996823"/>
      <w:r w:rsidR="000A72F1" w:rsidRPr="003B4362">
        <w:rPr>
          <w:rFonts w:eastAsia="Calibri"/>
          <w:szCs w:val="24"/>
        </w:rPr>
        <w:t>the supplier’</w:t>
      </w:r>
      <w:bookmarkEnd w:id="1342"/>
      <w:r w:rsidR="000A72F1" w:rsidRPr="003B4362">
        <w:rPr>
          <w:rFonts w:eastAsia="Calibri"/>
          <w:szCs w:val="24"/>
        </w:rPr>
        <w:t>s</w:t>
      </w:r>
      <w:r w:rsidRPr="003B4362">
        <w:rPr>
          <w:rFonts w:eastAsia="Calibri"/>
          <w:szCs w:val="24"/>
        </w:rPr>
        <w:t xml:space="preserve"> distribution system</w:t>
      </w:r>
      <w:bookmarkEnd w:id="1341"/>
      <w:r w:rsidRPr="003B4362">
        <w:rPr>
          <w:rFonts w:eastAsia="Calibri"/>
          <w:szCs w:val="24"/>
        </w:rPr>
        <w:t xml:space="preserve"> regardless of ownership status (</w:t>
      </w:r>
      <w:bookmarkStart w:id="1343" w:name="_Hlk119416644"/>
      <w:r w:rsidRPr="003B4362">
        <w:rPr>
          <w:rFonts w:eastAsia="Calibri"/>
          <w:szCs w:val="24"/>
        </w:rPr>
        <w:t xml:space="preserve">e.g., </w:t>
      </w:r>
      <w:bookmarkStart w:id="1344" w:name="_Hlk119416855"/>
      <w:r w:rsidRPr="003B4362">
        <w:rPr>
          <w:rFonts w:eastAsia="Calibri"/>
          <w:szCs w:val="24"/>
        </w:rPr>
        <w:t xml:space="preserve">where </w:t>
      </w:r>
      <w:r w:rsidR="00A80BFB" w:rsidRPr="003B4362">
        <w:rPr>
          <w:rFonts w:eastAsia="Calibri"/>
          <w:szCs w:val="24"/>
        </w:rPr>
        <w:t xml:space="preserve">the supplier </w:t>
      </w:r>
      <w:r w:rsidR="00A80BFB" w:rsidRPr="003B4362">
        <w:rPr>
          <w:rFonts w:eastAsia="Calibri"/>
          <w:szCs w:val="24"/>
        </w:rPr>
        <w:lastRenderedPageBreak/>
        <w:t>share</w:t>
      </w:r>
      <w:r w:rsidR="00AF3AF8" w:rsidRPr="003B4362">
        <w:rPr>
          <w:rFonts w:eastAsia="Calibri"/>
          <w:szCs w:val="24"/>
        </w:rPr>
        <w:t>s</w:t>
      </w:r>
      <w:r w:rsidR="00A80BFB" w:rsidRPr="003B4362">
        <w:rPr>
          <w:rFonts w:eastAsia="Calibri"/>
          <w:szCs w:val="24"/>
        </w:rPr>
        <w:t xml:space="preserve"> </w:t>
      </w:r>
      <w:r w:rsidRPr="003B4362">
        <w:rPr>
          <w:rFonts w:eastAsia="Calibri"/>
          <w:szCs w:val="24"/>
        </w:rPr>
        <w:t>service line ownership</w:t>
      </w:r>
      <w:bookmarkEnd w:id="1343"/>
      <w:bookmarkEnd w:id="1344"/>
      <w:r w:rsidRPr="003B4362">
        <w:rPr>
          <w:rFonts w:eastAsia="Calibri"/>
          <w:szCs w:val="24"/>
        </w:rPr>
        <w:t xml:space="preserve">, the inventory would include both </w:t>
      </w:r>
      <w:bookmarkStart w:id="1345" w:name="_Hlk118996895"/>
      <w:bookmarkStart w:id="1346" w:name="_Hlk118997024"/>
      <w:r w:rsidRPr="003B4362">
        <w:rPr>
          <w:rFonts w:eastAsia="Calibri"/>
          <w:szCs w:val="24"/>
        </w:rPr>
        <w:t xml:space="preserve">the </w:t>
      </w:r>
      <w:r w:rsidR="000A72F1" w:rsidRPr="003B4362">
        <w:rPr>
          <w:rFonts w:eastAsia="Calibri"/>
          <w:szCs w:val="24"/>
        </w:rPr>
        <w:t xml:space="preserve">supplier-owned </w:t>
      </w:r>
      <w:r w:rsidRPr="003B4362">
        <w:rPr>
          <w:rFonts w:eastAsia="Calibri"/>
          <w:szCs w:val="24"/>
        </w:rPr>
        <w:t>and</w:t>
      </w:r>
      <w:r w:rsidR="000A72F1" w:rsidRPr="003B4362">
        <w:rPr>
          <w:rFonts w:eastAsia="Calibri"/>
          <w:szCs w:val="24"/>
        </w:rPr>
        <w:t xml:space="preserve"> </w:t>
      </w:r>
      <w:r w:rsidRPr="003B4362">
        <w:rPr>
          <w:rFonts w:eastAsia="Calibri"/>
          <w:szCs w:val="24"/>
        </w:rPr>
        <w:t>customer-owned portion</w:t>
      </w:r>
      <w:bookmarkEnd w:id="1345"/>
      <w:r w:rsidR="000A72F1" w:rsidRPr="003B4362">
        <w:rPr>
          <w:rFonts w:eastAsia="Calibri"/>
          <w:szCs w:val="24"/>
        </w:rPr>
        <w:t>s</w:t>
      </w:r>
      <w:bookmarkEnd w:id="1346"/>
      <w:r w:rsidRPr="003B4362">
        <w:rPr>
          <w:rFonts w:eastAsia="Calibri"/>
          <w:szCs w:val="24"/>
        </w:rPr>
        <w:t xml:space="preserve"> of the service line).</w:t>
      </w:r>
    </w:p>
    <w:p w14:paraId="7BA765C8" w14:textId="3EC069FF"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r>
      <w:bookmarkStart w:id="1347" w:name="_Hlk119008840"/>
      <w:r w:rsidR="005F0A02" w:rsidRPr="003B4362">
        <w:rPr>
          <w:rFonts w:eastAsia="Calibri"/>
          <w:szCs w:val="24"/>
        </w:rPr>
        <w:t>When conducting the inventory of service lines in its distribution system for the initial inventory under subsection (a)(1)</w:t>
      </w:r>
      <w:bookmarkEnd w:id="1347"/>
      <w:r w:rsidR="005F0A02" w:rsidRPr="003B4362">
        <w:rPr>
          <w:rFonts w:eastAsia="Calibri"/>
          <w:szCs w:val="24"/>
        </w:rPr>
        <w:t>, t</w:t>
      </w:r>
      <w:r w:rsidR="000A72F1" w:rsidRPr="003B4362">
        <w:rPr>
          <w:rFonts w:eastAsia="Calibri"/>
          <w:szCs w:val="24"/>
        </w:rPr>
        <w:t>he supplier</w:t>
      </w:r>
      <w:r w:rsidRPr="003B4362">
        <w:rPr>
          <w:rFonts w:eastAsia="Calibri"/>
          <w:szCs w:val="24"/>
        </w:rPr>
        <w:t xml:space="preserve"> must use any information on </w:t>
      </w:r>
      <w:bookmarkStart w:id="1348" w:name="_Hlk119007906"/>
      <w:r w:rsidRPr="003B4362">
        <w:rPr>
          <w:rFonts w:eastAsia="Calibri"/>
          <w:szCs w:val="24"/>
        </w:rPr>
        <w:t xml:space="preserve">lead and galvanized iron or steel </w:t>
      </w:r>
      <w:r w:rsidR="004D4916" w:rsidRPr="003B4362">
        <w:rPr>
          <w:rFonts w:eastAsia="Calibri"/>
          <w:szCs w:val="24"/>
        </w:rPr>
        <w:t>system components the supplier</w:t>
      </w:r>
      <w:r w:rsidRPr="003B4362">
        <w:rPr>
          <w:rFonts w:eastAsia="Calibri"/>
          <w:szCs w:val="24"/>
        </w:rPr>
        <w:t xml:space="preserve"> identified </w:t>
      </w:r>
      <w:r w:rsidR="004D4916" w:rsidRPr="003B4362">
        <w:rPr>
          <w:rFonts w:eastAsia="Calibri"/>
          <w:szCs w:val="24"/>
        </w:rPr>
        <w:t>complying with</w:t>
      </w:r>
      <w:r w:rsidRPr="003B4362">
        <w:rPr>
          <w:rFonts w:eastAsia="Calibri"/>
          <w:szCs w:val="24"/>
        </w:rPr>
        <w:t xml:space="preserve"> </w:t>
      </w:r>
      <w:r w:rsidR="00DE54D7" w:rsidRPr="003B4362">
        <w:rPr>
          <w:rFonts w:eastAsia="Calibri"/>
          <w:szCs w:val="24"/>
        </w:rPr>
        <w:t>40 CFR</w:t>
      </w:r>
      <w:r w:rsidRPr="003B4362">
        <w:rPr>
          <w:rFonts w:eastAsia="Calibri"/>
          <w:szCs w:val="24"/>
        </w:rPr>
        <w:t xml:space="preserve"> 141.42(d)</w:t>
      </w:r>
      <w:bookmarkEnd w:id="1348"/>
      <w:r w:rsidRPr="003B4362">
        <w:rPr>
          <w:rFonts w:eastAsia="Calibri"/>
          <w:szCs w:val="24"/>
        </w:rPr>
        <w:t>.  T</w:t>
      </w:r>
      <w:bookmarkStart w:id="1349" w:name="_Hlk119009158"/>
      <w:bookmarkStart w:id="1350" w:name="_Hlk119009192"/>
      <w:r w:rsidRPr="003B4362">
        <w:rPr>
          <w:rFonts w:eastAsia="Calibri"/>
          <w:szCs w:val="24"/>
        </w:rPr>
        <w:t xml:space="preserve">he </w:t>
      </w:r>
      <w:bookmarkEnd w:id="1349"/>
      <w:r w:rsidR="005F0A02" w:rsidRPr="003B4362">
        <w:rPr>
          <w:rFonts w:eastAsia="Calibri"/>
          <w:szCs w:val="24"/>
        </w:rPr>
        <w:t>supplier</w:t>
      </w:r>
      <w:bookmarkEnd w:id="1350"/>
      <w:r w:rsidRPr="003B4362">
        <w:rPr>
          <w:rFonts w:eastAsia="Calibri"/>
          <w:szCs w:val="24"/>
        </w:rPr>
        <w:t xml:space="preserve"> must also review the sources of information</w:t>
      </w:r>
      <w:bookmarkStart w:id="1351" w:name="_Hlk119009278"/>
      <w:r w:rsidR="005518A6" w:rsidRPr="003B4362">
        <w:rPr>
          <w:rFonts w:eastAsia="Calibri"/>
          <w:szCs w:val="24"/>
        </w:rPr>
        <w:t xml:space="preserve"> </w:t>
      </w:r>
      <w:r w:rsidRPr="003B4362">
        <w:rPr>
          <w:rFonts w:eastAsia="Calibri"/>
          <w:szCs w:val="24"/>
        </w:rPr>
        <w:t xml:space="preserve">in subsections (a)(3)(A) through </w:t>
      </w:r>
      <w:r w:rsidR="005518A6" w:rsidRPr="003B4362">
        <w:rPr>
          <w:rFonts w:eastAsia="Calibri"/>
          <w:szCs w:val="24"/>
        </w:rPr>
        <w:t>(a)(3)</w:t>
      </w:r>
      <w:r w:rsidRPr="003B4362">
        <w:rPr>
          <w:rFonts w:eastAsia="Calibri"/>
          <w:szCs w:val="24"/>
        </w:rPr>
        <w:t xml:space="preserve">(D) </w:t>
      </w:r>
      <w:bookmarkEnd w:id="1351"/>
      <w:r w:rsidRPr="003B4362">
        <w:rPr>
          <w:rFonts w:eastAsia="Calibri"/>
          <w:szCs w:val="24"/>
        </w:rPr>
        <w:t xml:space="preserve">to identify service line materials for the initial inventory.  The </w:t>
      </w:r>
      <w:r w:rsidR="005518A6" w:rsidRPr="003B4362">
        <w:rPr>
          <w:rFonts w:eastAsia="Calibri"/>
          <w:szCs w:val="24"/>
        </w:rPr>
        <w:t>supplier</w:t>
      </w:r>
      <w:r w:rsidRPr="003B4362">
        <w:rPr>
          <w:rFonts w:eastAsia="Calibri"/>
          <w:szCs w:val="24"/>
        </w:rPr>
        <w:t xml:space="preserve"> may use </w:t>
      </w:r>
      <w:bookmarkStart w:id="1352" w:name="_Hlk119009708"/>
      <w:r w:rsidRPr="003B4362">
        <w:rPr>
          <w:rFonts w:eastAsia="Calibri"/>
          <w:szCs w:val="24"/>
        </w:rPr>
        <w:t>other sources of information</w:t>
      </w:r>
      <w:r w:rsidR="005518A6" w:rsidRPr="003B4362">
        <w:rPr>
          <w:rFonts w:eastAsia="Calibri"/>
          <w:szCs w:val="24"/>
        </w:rPr>
        <w:t xml:space="preserve"> </w:t>
      </w:r>
      <w:bookmarkStart w:id="1353" w:name="_Hlk119009880"/>
      <w:bookmarkEnd w:id="1352"/>
      <w:r w:rsidRPr="003B4362">
        <w:rPr>
          <w:rFonts w:eastAsia="Calibri"/>
          <w:szCs w:val="24"/>
        </w:rPr>
        <w:t xml:space="preserve">the </w:t>
      </w:r>
      <w:r w:rsidR="005518A6" w:rsidRPr="003B4362">
        <w:rPr>
          <w:rFonts w:eastAsia="Calibri"/>
          <w:szCs w:val="24"/>
        </w:rPr>
        <w:t>Agency approves in a SEP</w:t>
      </w:r>
      <w:bookmarkEnd w:id="1353"/>
      <w:r w:rsidRPr="003B4362">
        <w:rPr>
          <w:rFonts w:eastAsia="Calibri"/>
          <w:szCs w:val="24"/>
        </w:rPr>
        <w:t>.</w:t>
      </w:r>
    </w:p>
    <w:p w14:paraId="5FF8B59F" w14:textId="6E598ACB"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 xml:space="preserve">All construction and plumbing codes, permits, and existing records or other </w:t>
      </w:r>
      <w:bookmarkStart w:id="1354" w:name="_Hlk119015404"/>
      <w:r w:rsidRPr="003B4362">
        <w:rPr>
          <w:rFonts w:eastAsia="Calibri"/>
          <w:szCs w:val="24"/>
        </w:rPr>
        <w:t>document</w:t>
      </w:r>
      <w:r w:rsidR="00065ACD" w:rsidRPr="003B4362">
        <w:rPr>
          <w:rFonts w:eastAsia="Calibri"/>
          <w:szCs w:val="24"/>
        </w:rPr>
        <w:t xml:space="preserve">s </w:t>
      </w:r>
      <w:r w:rsidRPr="003B4362">
        <w:rPr>
          <w:rFonts w:eastAsia="Calibri"/>
          <w:szCs w:val="24"/>
        </w:rPr>
        <w:t>indicat</w:t>
      </w:r>
      <w:r w:rsidR="00065ACD" w:rsidRPr="003B4362">
        <w:rPr>
          <w:rFonts w:eastAsia="Calibri"/>
          <w:szCs w:val="24"/>
        </w:rPr>
        <w:t>ing</w:t>
      </w:r>
      <w:bookmarkEnd w:id="1354"/>
      <w:r w:rsidRPr="003B4362">
        <w:rPr>
          <w:rFonts w:eastAsia="Calibri"/>
          <w:szCs w:val="24"/>
        </w:rPr>
        <w:t xml:space="preserve"> the service line materials </w:t>
      </w:r>
      <w:r w:rsidR="00065ACD" w:rsidRPr="003B4362">
        <w:rPr>
          <w:rFonts w:eastAsia="Calibri"/>
          <w:szCs w:val="24"/>
        </w:rPr>
        <w:t>connecting</w:t>
      </w:r>
      <w:r w:rsidRPr="003B4362">
        <w:rPr>
          <w:rFonts w:eastAsia="Calibri"/>
          <w:szCs w:val="24"/>
        </w:rPr>
        <w:t xml:space="preserve"> structures to </w:t>
      </w:r>
      <w:bookmarkStart w:id="1355" w:name="_Hlk119015635"/>
      <w:r w:rsidR="00065ACD" w:rsidRPr="003B4362">
        <w:rPr>
          <w:rFonts w:eastAsia="Calibri"/>
          <w:szCs w:val="24"/>
        </w:rPr>
        <w:t>its</w:t>
      </w:r>
      <w:r w:rsidRPr="003B4362">
        <w:rPr>
          <w:rFonts w:eastAsia="Calibri"/>
          <w:szCs w:val="24"/>
        </w:rPr>
        <w:t xml:space="preserve"> distribution system</w:t>
      </w:r>
      <w:bookmarkEnd w:id="1355"/>
      <w:r w:rsidRPr="003B4362">
        <w:rPr>
          <w:rFonts w:eastAsia="Calibri"/>
          <w:szCs w:val="24"/>
        </w:rPr>
        <w:t>.</w:t>
      </w:r>
    </w:p>
    <w:p w14:paraId="635C7A4A" w14:textId="225FB1F6"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A</w:t>
      </w:r>
      <w:bookmarkStart w:id="1356" w:name="_Hlk119015771"/>
      <w:r w:rsidRPr="003B4362">
        <w:rPr>
          <w:rFonts w:eastAsia="Calibri"/>
          <w:szCs w:val="24"/>
        </w:rPr>
        <w:t xml:space="preserve">ll </w:t>
      </w:r>
      <w:r w:rsidR="00065ACD" w:rsidRPr="003B4362">
        <w:rPr>
          <w:rFonts w:eastAsia="Calibri"/>
          <w:szCs w:val="24"/>
        </w:rPr>
        <w:t>supplier</w:t>
      </w:r>
      <w:r w:rsidRPr="003B4362">
        <w:rPr>
          <w:rFonts w:eastAsia="Calibri"/>
          <w:szCs w:val="24"/>
        </w:rPr>
        <w:t xml:space="preserve"> records</w:t>
      </w:r>
      <w:bookmarkEnd w:id="1356"/>
      <w:r w:rsidRPr="003B4362">
        <w:rPr>
          <w:rFonts w:eastAsia="Calibri"/>
          <w:szCs w:val="24"/>
        </w:rPr>
        <w:t>, including distribution system maps and drawings, historical records on each service connection, meter installation records, historical capital improvement or master plans, and standard operating procedures.</w:t>
      </w:r>
    </w:p>
    <w:p w14:paraId="6DCC4771" w14:textId="4818D722"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All inspections and</w:t>
      </w:r>
      <w:bookmarkStart w:id="1357" w:name="_Hlk119015954"/>
      <w:r w:rsidR="00D008FC" w:rsidRPr="003B4362">
        <w:rPr>
          <w:rFonts w:eastAsia="Calibri"/>
          <w:szCs w:val="24"/>
        </w:rPr>
        <w:t xml:space="preserve"> </w:t>
      </w:r>
      <w:bookmarkStart w:id="1358" w:name="_Hlk119016069"/>
      <w:r w:rsidRPr="003B4362">
        <w:rPr>
          <w:rFonts w:eastAsia="Calibri"/>
          <w:szCs w:val="24"/>
        </w:rPr>
        <w:t xml:space="preserve">distribution system </w:t>
      </w:r>
      <w:r w:rsidR="00D008FC" w:rsidRPr="003B4362">
        <w:rPr>
          <w:rFonts w:eastAsia="Calibri"/>
          <w:szCs w:val="24"/>
        </w:rPr>
        <w:t xml:space="preserve">records </w:t>
      </w:r>
      <w:r w:rsidRPr="003B4362">
        <w:rPr>
          <w:rFonts w:eastAsia="Calibri"/>
          <w:szCs w:val="24"/>
        </w:rPr>
        <w:t>indicat</w:t>
      </w:r>
      <w:bookmarkEnd w:id="1357"/>
      <w:r w:rsidR="00D008FC" w:rsidRPr="003B4362">
        <w:rPr>
          <w:rFonts w:eastAsia="Calibri"/>
          <w:szCs w:val="24"/>
        </w:rPr>
        <w:t>ing</w:t>
      </w:r>
      <w:bookmarkEnd w:id="1358"/>
      <w:r w:rsidRPr="003B4362">
        <w:rPr>
          <w:rFonts w:eastAsia="Calibri"/>
          <w:szCs w:val="24"/>
        </w:rPr>
        <w:t xml:space="preserve"> the </w:t>
      </w:r>
      <w:bookmarkStart w:id="1359" w:name="_Hlk119016150"/>
      <w:r w:rsidRPr="003B4362">
        <w:rPr>
          <w:rFonts w:eastAsia="Calibri"/>
          <w:szCs w:val="24"/>
        </w:rPr>
        <w:t>material</w:t>
      </w:r>
      <w:r w:rsidR="00D008FC" w:rsidRPr="003B4362">
        <w:rPr>
          <w:rFonts w:eastAsia="Calibri"/>
          <w:szCs w:val="24"/>
        </w:rPr>
        <w:t>s</w:t>
      </w:r>
      <w:r w:rsidRPr="003B4362">
        <w:rPr>
          <w:rFonts w:eastAsia="Calibri"/>
          <w:szCs w:val="24"/>
        </w:rPr>
        <w:t xml:space="preserve"> composi</w:t>
      </w:r>
      <w:r w:rsidR="00D008FC" w:rsidRPr="003B4362">
        <w:rPr>
          <w:rFonts w:eastAsia="Calibri"/>
          <w:szCs w:val="24"/>
        </w:rPr>
        <w:t>ng</w:t>
      </w:r>
      <w:r w:rsidRPr="003B4362">
        <w:rPr>
          <w:rFonts w:eastAsia="Calibri"/>
          <w:szCs w:val="24"/>
        </w:rPr>
        <w:t xml:space="preserve"> the service connections connect</w:t>
      </w:r>
      <w:bookmarkEnd w:id="1359"/>
      <w:r w:rsidR="00D008FC" w:rsidRPr="003B4362">
        <w:rPr>
          <w:rFonts w:eastAsia="Calibri"/>
          <w:szCs w:val="24"/>
        </w:rPr>
        <w:t>ing</w:t>
      </w:r>
      <w:r w:rsidRPr="003B4362">
        <w:rPr>
          <w:rFonts w:eastAsia="Calibri"/>
          <w:szCs w:val="24"/>
        </w:rPr>
        <w:t xml:space="preserve"> structure</w:t>
      </w:r>
      <w:r w:rsidR="00D008FC" w:rsidRPr="003B4362">
        <w:rPr>
          <w:rFonts w:eastAsia="Calibri"/>
          <w:szCs w:val="24"/>
        </w:rPr>
        <w:t>s</w:t>
      </w:r>
      <w:r w:rsidRPr="003B4362">
        <w:rPr>
          <w:rFonts w:eastAsia="Calibri"/>
          <w:szCs w:val="24"/>
        </w:rPr>
        <w:t xml:space="preserve"> to </w:t>
      </w:r>
      <w:r w:rsidR="00D008FC" w:rsidRPr="003B4362">
        <w:rPr>
          <w:rFonts w:eastAsia="Calibri"/>
          <w:szCs w:val="24"/>
        </w:rPr>
        <w:t>its</w:t>
      </w:r>
      <w:r w:rsidRPr="003B4362">
        <w:rPr>
          <w:rFonts w:eastAsia="Calibri"/>
          <w:szCs w:val="24"/>
        </w:rPr>
        <w:t xml:space="preserve"> distribution system.</w:t>
      </w:r>
    </w:p>
    <w:p w14:paraId="50DD9CBB" w14:textId="3A4AC5FA"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t>Any resource, information, or</w:t>
      </w:r>
      <w:r w:rsidR="00CF7962" w:rsidRPr="003B4362">
        <w:rPr>
          <w:rFonts w:eastAsia="Calibri"/>
          <w:szCs w:val="24"/>
        </w:rPr>
        <w:t xml:space="preserve"> </w:t>
      </w:r>
      <w:bookmarkStart w:id="1360" w:name="_Hlk119016914"/>
      <w:r w:rsidRPr="003B4362">
        <w:rPr>
          <w:rFonts w:eastAsia="Calibri"/>
          <w:szCs w:val="24"/>
        </w:rPr>
        <w:t xml:space="preserve">method </w:t>
      </w:r>
      <w:r w:rsidR="00CF7962" w:rsidRPr="003B4362">
        <w:rPr>
          <w:rFonts w:eastAsia="Calibri"/>
          <w:szCs w:val="24"/>
        </w:rPr>
        <w:t>for identifying and assessing service line materials</w:t>
      </w:r>
      <w:bookmarkStart w:id="1361" w:name="_Hlk119016953"/>
      <w:bookmarkEnd w:id="1360"/>
      <w:r w:rsidR="00CF7962" w:rsidRPr="003B4362">
        <w:rPr>
          <w:rFonts w:eastAsia="Calibri"/>
          <w:szCs w:val="24"/>
        </w:rPr>
        <w:t xml:space="preserve"> </w:t>
      </w:r>
      <w:bookmarkStart w:id="1362" w:name="_Hlk119017061"/>
      <w:r w:rsidRPr="003B4362">
        <w:rPr>
          <w:rFonts w:eastAsia="Calibri"/>
          <w:szCs w:val="24"/>
        </w:rPr>
        <w:t xml:space="preserve">the </w:t>
      </w:r>
      <w:bookmarkEnd w:id="1361"/>
      <w:r w:rsidR="00CF7962" w:rsidRPr="003B4362">
        <w:rPr>
          <w:rFonts w:eastAsia="Calibri"/>
          <w:szCs w:val="24"/>
        </w:rPr>
        <w:t>Agency provides or requires in a SEP</w:t>
      </w:r>
      <w:bookmarkEnd w:id="1362"/>
      <w:r w:rsidRPr="003B4362">
        <w:rPr>
          <w:rFonts w:eastAsia="Calibri"/>
          <w:szCs w:val="24"/>
        </w:rPr>
        <w:t>.</w:t>
      </w:r>
    </w:p>
    <w:p w14:paraId="60D29450" w14:textId="28F8AC3F"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r>
      <w:r w:rsidR="00D70671" w:rsidRPr="003B4362">
        <w:rPr>
          <w:rFonts w:eastAsia="Calibri"/>
          <w:szCs w:val="24"/>
        </w:rPr>
        <w:t>T</w:t>
      </w:r>
      <w:bookmarkStart w:id="1363" w:name="_Hlk119337847"/>
      <w:r w:rsidR="00D70671" w:rsidRPr="003B4362">
        <w:rPr>
          <w:rFonts w:eastAsia="Calibri"/>
          <w:szCs w:val="24"/>
        </w:rPr>
        <w:t>he supplier must categorize every</w:t>
      </w:r>
      <w:r w:rsidRPr="003B4362">
        <w:rPr>
          <w:rFonts w:eastAsia="Calibri"/>
          <w:szCs w:val="24"/>
        </w:rPr>
        <w:t xml:space="preserve"> service line</w:t>
      </w:r>
      <w:r w:rsidR="00D70671" w:rsidRPr="003B4362">
        <w:rPr>
          <w:rFonts w:eastAsia="Calibri"/>
          <w:szCs w:val="24"/>
        </w:rPr>
        <w:t xml:space="preserve"> and supplier-owned </w:t>
      </w:r>
      <w:r w:rsidRPr="003B4362">
        <w:rPr>
          <w:rFonts w:eastAsia="Calibri"/>
          <w:szCs w:val="24"/>
        </w:rPr>
        <w:t xml:space="preserve">portion of </w:t>
      </w:r>
      <w:r w:rsidR="00D70671" w:rsidRPr="003B4362">
        <w:rPr>
          <w:rFonts w:eastAsia="Calibri"/>
          <w:szCs w:val="24"/>
        </w:rPr>
        <w:t>a</w:t>
      </w:r>
      <w:r w:rsidRPr="003B4362">
        <w:rPr>
          <w:rFonts w:eastAsia="Calibri"/>
          <w:szCs w:val="24"/>
        </w:rPr>
        <w:t xml:space="preserve"> service line </w:t>
      </w:r>
      <w:r w:rsidR="00D70671" w:rsidRPr="003B4362">
        <w:rPr>
          <w:rFonts w:eastAsia="Calibri"/>
          <w:szCs w:val="24"/>
        </w:rPr>
        <w:t>under split</w:t>
      </w:r>
      <w:r w:rsidRPr="003B4362">
        <w:rPr>
          <w:rFonts w:eastAsia="Calibri"/>
          <w:szCs w:val="24"/>
        </w:rPr>
        <w:t xml:space="preserve"> ownership</w:t>
      </w:r>
      <w:bookmarkEnd w:id="1363"/>
      <w:r w:rsidRPr="003B4362">
        <w:rPr>
          <w:rFonts w:eastAsia="Calibri"/>
          <w:szCs w:val="24"/>
        </w:rPr>
        <w:t>:</w:t>
      </w:r>
    </w:p>
    <w:p w14:paraId="0990ADDD" w14:textId="3183FC3D"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 xml:space="preserve">“Lead” </w:t>
      </w:r>
      <w:bookmarkStart w:id="1364" w:name="_Hlk119337972"/>
      <w:r w:rsidR="00D70671" w:rsidRPr="003B4362">
        <w:rPr>
          <w:rFonts w:eastAsia="Calibri"/>
          <w:szCs w:val="24"/>
        </w:rPr>
        <w:t>for a</w:t>
      </w:r>
      <w:r w:rsidR="00975AD1" w:rsidRPr="003B4362">
        <w:rPr>
          <w:rFonts w:eastAsia="Calibri"/>
          <w:szCs w:val="24"/>
        </w:rPr>
        <w:t xml:space="preserve"> lead</w:t>
      </w:r>
      <w:r w:rsidRPr="003B4362">
        <w:rPr>
          <w:rFonts w:eastAsia="Calibri"/>
          <w:szCs w:val="24"/>
        </w:rPr>
        <w:t xml:space="preserve"> service line</w:t>
      </w:r>
      <w:bookmarkEnd w:id="1364"/>
      <w:r w:rsidRPr="003B4362">
        <w:rPr>
          <w:rFonts w:eastAsia="Calibri"/>
          <w:szCs w:val="24"/>
        </w:rPr>
        <w:t>.</w:t>
      </w:r>
    </w:p>
    <w:p w14:paraId="0E6AA0E0" w14:textId="576DAE2D"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 xml:space="preserve">“Galvanized Requiring Replacement” </w:t>
      </w:r>
      <w:bookmarkStart w:id="1365" w:name="_Hlk119338751"/>
      <w:bookmarkStart w:id="1366" w:name="_Hlk119338365"/>
      <w:r w:rsidR="00975AD1" w:rsidRPr="003B4362">
        <w:rPr>
          <w:rFonts w:eastAsia="Calibri"/>
          <w:szCs w:val="24"/>
        </w:rPr>
        <w:t>for</w:t>
      </w:r>
      <w:r w:rsidRPr="003B4362">
        <w:rPr>
          <w:rFonts w:eastAsia="Calibri"/>
          <w:szCs w:val="24"/>
        </w:rPr>
        <w:t xml:space="preserve"> a galvanized service line</w:t>
      </w:r>
      <w:r w:rsidR="006B5695" w:rsidRPr="003B4362">
        <w:rPr>
          <w:rFonts w:eastAsia="Calibri"/>
          <w:szCs w:val="24"/>
        </w:rPr>
        <w:t xml:space="preserve"> at any time</w:t>
      </w:r>
      <w:r w:rsidRPr="003B4362">
        <w:rPr>
          <w:rFonts w:eastAsia="Calibri"/>
          <w:szCs w:val="24"/>
        </w:rPr>
        <w:t xml:space="preserve"> downstream</w:t>
      </w:r>
      <w:bookmarkEnd w:id="1365"/>
      <w:r w:rsidRPr="003B4362">
        <w:rPr>
          <w:rFonts w:eastAsia="Calibri"/>
          <w:szCs w:val="24"/>
        </w:rPr>
        <w:t xml:space="preserve"> of a </w:t>
      </w:r>
      <w:r w:rsidR="00DF6335" w:rsidRPr="003B4362">
        <w:rPr>
          <w:rFonts w:eastAsia="Calibri"/>
          <w:szCs w:val="24"/>
        </w:rPr>
        <w:t>l</w:t>
      </w:r>
      <w:r w:rsidRPr="003B4362">
        <w:rPr>
          <w:rFonts w:eastAsia="Calibri"/>
          <w:szCs w:val="24"/>
        </w:rPr>
        <w:t xml:space="preserve">ead service line </w:t>
      </w:r>
      <w:bookmarkStart w:id="1367" w:name="_Hlk119338816"/>
      <w:r w:rsidRPr="003B4362">
        <w:rPr>
          <w:rFonts w:eastAsia="Calibri"/>
          <w:szCs w:val="24"/>
        </w:rPr>
        <w:t>or</w:t>
      </w:r>
      <w:r w:rsidR="004678D7" w:rsidRPr="003B4362">
        <w:rPr>
          <w:rFonts w:eastAsia="Calibri"/>
          <w:szCs w:val="24"/>
        </w:rPr>
        <w:t xml:space="preserve"> </w:t>
      </w:r>
      <w:r w:rsidRPr="003B4362">
        <w:rPr>
          <w:rFonts w:eastAsia="Calibri"/>
          <w:szCs w:val="24"/>
        </w:rPr>
        <w:t xml:space="preserve">currently downstream of a </w:t>
      </w:r>
      <w:r w:rsidR="00DF6335" w:rsidRPr="003B4362">
        <w:rPr>
          <w:rFonts w:eastAsia="Calibri"/>
          <w:szCs w:val="24"/>
        </w:rPr>
        <w:t>lead status u</w:t>
      </w:r>
      <w:r w:rsidR="00F53E49" w:rsidRPr="003B4362">
        <w:rPr>
          <w:rFonts w:eastAsia="Calibri"/>
          <w:szCs w:val="24"/>
        </w:rPr>
        <w:t>n</w:t>
      </w:r>
      <w:r w:rsidRPr="003B4362">
        <w:rPr>
          <w:rFonts w:eastAsia="Calibri"/>
          <w:szCs w:val="24"/>
        </w:rPr>
        <w:t>known service line</w:t>
      </w:r>
      <w:bookmarkEnd w:id="1366"/>
      <w:bookmarkEnd w:id="1367"/>
      <w:r w:rsidRPr="003B4362">
        <w:rPr>
          <w:rFonts w:eastAsia="Calibri"/>
          <w:szCs w:val="24"/>
        </w:rPr>
        <w:t>.  I</w:t>
      </w:r>
      <w:bookmarkStart w:id="1368" w:name="_Hlk119339129"/>
      <w:r w:rsidRPr="003B4362">
        <w:rPr>
          <w:rFonts w:eastAsia="Calibri"/>
          <w:szCs w:val="24"/>
        </w:rPr>
        <w:t xml:space="preserve">f </w:t>
      </w:r>
      <w:bookmarkStart w:id="1369" w:name="_Hlk119339402"/>
      <w:r w:rsidRPr="003B4362">
        <w:rPr>
          <w:rFonts w:eastAsia="Calibri"/>
          <w:szCs w:val="24"/>
        </w:rPr>
        <w:t xml:space="preserve">the </w:t>
      </w:r>
      <w:r w:rsidR="004678D7" w:rsidRPr="003B4362">
        <w:rPr>
          <w:rFonts w:eastAsia="Calibri"/>
          <w:szCs w:val="24"/>
        </w:rPr>
        <w:t>supplier</w:t>
      </w:r>
      <w:r w:rsidRPr="003B4362">
        <w:rPr>
          <w:rFonts w:eastAsia="Calibri"/>
          <w:szCs w:val="24"/>
        </w:rPr>
        <w:t xml:space="preserve"> </w:t>
      </w:r>
      <w:r w:rsidR="004678D7" w:rsidRPr="003B4362">
        <w:rPr>
          <w:rFonts w:eastAsia="Calibri"/>
          <w:szCs w:val="24"/>
        </w:rPr>
        <w:t>cannot</w:t>
      </w:r>
      <w:r w:rsidRPr="003B4362">
        <w:rPr>
          <w:rFonts w:eastAsia="Calibri"/>
          <w:szCs w:val="24"/>
        </w:rPr>
        <w:t xml:space="preserve"> demonstrate</w:t>
      </w:r>
      <w:bookmarkEnd w:id="1368"/>
      <w:bookmarkEnd w:id="1369"/>
      <w:r w:rsidRPr="003B4362">
        <w:rPr>
          <w:rFonts w:eastAsia="Calibri"/>
          <w:szCs w:val="24"/>
        </w:rPr>
        <w:t xml:space="preserve"> that </w:t>
      </w:r>
      <w:bookmarkStart w:id="1370" w:name="_Hlk119339619"/>
      <w:r w:rsidR="00E63275" w:rsidRPr="003B4362">
        <w:rPr>
          <w:rFonts w:eastAsia="Calibri"/>
          <w:szCs w:val="24"/>
        </w:rPr>
        <w:t>a</w:t>
      </w:r>
      <w:r w:rsidRPr="003B4362">
        <w:rPr>
          <w:rFonts w:eastAsia="Calibri"/>
          <w:szCs w:val="24"/>
        </w:rPr>
        <w:t xml:space="preserve"> galvanized service line</w:t>
      </w:r>
      <w:bookmarkEnd w:id="1370"/>
      <w:r w:rsidRPr="003B4362">
        <w:rPr>
          <w:rFonts w:eastAsia="Calibri"/>
          <w:szCs w:val="24"/>
        </w:rPr>
        <w:t xml:space="preserve"> was </w:t>
      </w:r>
      <w:bookmarkStart w:id="1371" w:name="_Hlk120042277"/>
      <w:r w:rsidRPr="003B4362">
        <w:rPr>
          <w:rFonts w:eastAsia="Calibri"/>
          <w:szCs w:val="24"/>
        </w:rPr>
        <w:t xml:space="preserve">never downstream of a </w:t>
      </w:r>
      <w:r w:rsidR="00AD0D72" w:rsidRPr="003B4362">
        <w:rPr>
          <w:rFonts w:eastAsia="Calibri"/>
          <w:szCs w:val="24"/>
        </w:rPr>
        <w:t>l</w:t>
      </w:r>
      <w:r w:rsidRPr="003B4362">
        <w:rPr>
          <w:rFonts w:eastAsia="Calibri"/>
          <w:szCs w:val="24"/>
        </w:rPr>
        <w:t>ead service line</w:t>
      </w:r>
      <w:bookmarkEnd w:id="1371"/>
      <w:r w:rsidRPr="003B4362">
        <w:rPr>
          <w:rFonts w:eastAsia="Calibri"/>
          <w:szCs w:val="24"/>
        </w:rPr>
        <w:t xml:space="preserve">, </w:t>
      </w:r>
      <w:bookmarkStart w:id="1372" w:name="_Hlk119339783"/>
      <w:r w:rsidR="00E63275" w:rsidRPr="003B4362">
        <w:rPr>
          <w:rFonts w:eastAsia="Calibri"/>
          <w:szCs w:val="24"/>
        </w:rPr>
        <w:t>the supplier</w:t>
      </w:r>
      <w:r w:rsidRPr="003B4362">
        <w:rPr>
          <w:rFonts w:eastAsia="Calibri"/>
          <w:szCs w:val="24"/>
        </w:rPr>
        <w:t xml:space="preserve"> must presume </w:t>
      </w:r>
      <w:r w:rsidR="00F670C1" w:rsidRPr="003B4362">
        <w:rPr>
          <w:rFonts w:eastAsia="Calibri"/>
          <w:szCs w:val="24"/>
        </w:rPr>
        <w:t xml:space="preserve">a lead service line </w:t>
      </w:r>
      <w:r w:rsidRPr="003B4362">
        <w:rPr>
          <w:rFonts w:eastAsia="Calibri"/>
          <w:szCs w:val="24"/>
        </w:rPr>
        <w:t>was</w:t>
      </w:r>
      <w:r w:rsidR="00F670C1" w:rsidRPr="003B4362">
        <w:rPr>
          <w:rFonts w:eastAsia="Calibri"/>
          <w:szCs w:val="24"/>
        </w:rPr>
        <w:t xml:space="preserve"> </w:t>
      </w:r>
      <w:r w:rsidRPr="003B4362">
        <w:rPr>
          <w:rFonts w:eastAsia="Calibri"/>
          <w:szCs w:val="24"/>
        </w:rPr>
        <w:t>upstream</w:t>
      </w:r>
      <w:bookmarkEnd w:id="1372"/>
      <w:r w:rsidRPr="003B4362">
        <w:rPr>
          <w:rFonts w:eastAsia="Calibri"/>
          <w:szCs w:val="24"/>
        </w:rPr>
        <w:t>.</w:t>
      </w:r>
    </w:p>
    <w:p w14:paraId="2BAA5D96" w14:textId="49AEB664"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“Non-</w:t>
      </w:r>
      <w:r w:rsidR="00C23DBB" w:rsidRPr="003B4362">
        <w:rPr>
          <w:rFonts w:eastAsia="Calibri"/>
          <w:szCs w:val="24"/>
        </w:rPr>
        <w:t>L</w:t>
      </w:r>
      <w:r w:rsidRPr="003B4362">
        <w:rPr>
          <w:rFonts w:eastAsia="Calibri"/>
          <w:szCs w:val="24"/>
        </w:rPr>
        <w:t xml:space="preserve">ead” </w:t>
      </w:r>
      <w:bookmarkStart w:id="1373" w:name="_Hlk119340538"/>
      <w:bookmarkStart w:id="1374" w:name="_Hlk119341167"/>
      <w:r w:rsidR="0090613B" w:rsidRPr="003B4362">
        <w:rPr>
          <w:rFonts w:eastAsia="Calibri"/>
          <w:szCs w:val="24"/>
        </w:rPr>
        <w:t>for</w:t>
      </w:r>
      <w:r w:rsidRPr="003B4362">
        <w:rPr>
          <w:rFonts w:eastAsia="Calibri"/>
          <w:szCs w:val="24"/>
        </w:rPr>
        <w:t xml:space="preserve"> </w:t>
      </w:r>
      <w:r w:rsidR="0090613B" w:rsidRPr="003B4362">
        <w:rPr>
          <w:rFonts w:eastAsia="Calibri"/>
          <w:szCs w:val="24"/>
        </w:rPr>
        <w:t>a</w:t>
      </w:r>
      <w:r w:rsidRPr="003B4362">
        <w:rPr>
          <w:rFonts w:eastAsia="Calibri"/>
          <w:szCs w:val="24"/>
        </w:rPr>
        <w:t xml:space="preserve"> service line </w:t>
      </w:r>
      <w:r w:rsidR="0090613B" w:rsidRPr="003B4362">
        <w:rPr>
          <w:rFonts w:eastAsia="Calibri"/>
          <w:szCs w:val="24"/>
        </w:rPr>
        <w:t>the supplier</w:t>
      </w:r>
      <w:r w:rsidRPr="003B4362">
        <w:rPr>
          <w:rFonts w:eastAsia="Calibri"/>
          <w:szCs w:val="24"/>
        </w:rPr>
        <w:t xml:space="preserve"> determine</w:t>
      </w:r>
      <w:bookmarkEnd w:id="1373"/>
      <w:r w:rsidR="0090613B" w:rsidRPr="003B4362">
        <w:rPr>
          <w:rFonts w:eastAsia="Calibri"/>
          <w:szCs w:val="24"/>
        </w:rPr>
        <w:t>s</w:t>
      </w:r>
      <w:bookmarkEnd w:id="1374"/>
      <w:r w:rsidRPr="003B4362">
        <w:rPr>
          <w:rFonts w:eastAsia="Calibri"/>
          <w:szCs w:val="24"/>
        </w:rPr>
        <w:t xml:space="preserve"> through an evidence-based record, method, or technique </w:t>
      </w:r>
      <w:bookmarkStart w:id="1375" w:name="_Hlk119340778"/>
      <w:bookmarkStart w:id="1376" w:name="_Hlk119341394"/>
      <w:r w:rsidR="0090613B" w:rsidRPr="003B4362">
        <w:rPr>
          <w:rFonts w:eastAsia="Calibri"/>
          <w:szCs w:val="24"/>
        </w:rPr>
        <w:t xml:space="preserve">is </w:t>
      </w:r>
      <w:r w:rsidRPr="003B4362">
        <w:rPr>
          <w:rFonts w:eastAsia="Calibri"/>
          <w:szCs w:val="24"/>
        </w:rPr>
        <w:t xml:space="preserve">not </w:t>
      </w:r>
      <w:r w:rsidR="00AD0D72" w:rsidRPr="003B4362">
        <w:rPr>
          <w:rFonts w:eastAsia="Calibri"/>
          <w:szCs w:val="24"/>
        </w:rPr>
        <w:t>lead or galvanized requiring replacement</w:t>
      </w:r>
      <w:bookmarkEnd w:id="1375"/>
      <w:r w:rsidR="00AD0D72" w:rsidRPr="003B4362">
        <w:rPr>
          <w:rFonts w:eastAsia="Calibri"/>
          <w:szCs w:val="24"/>
        </w:rPr>
        <w:t xml:space="preserve"> </w:t>
      </w:r>
      <w:r w:rsidR="0090613B" w:rsidRPr="003B4362">
        <w:rPr>
          <w:rFonts w:eastAsia="Calibri"/>
          <w:szCs w:val="24"/>
        </w:rPr>
        <w:t>under subsection (a)(4)(A) or (a)(4)(B)</w:t>
      </w:r>
      <w:bookmarkEnd w:id="1376"/>
      <w:r w:rsidRPr="003B4362">
        <w:rPr>
          <w:rFonts w:eastAsia="Calibri"/>
          <w:szCs w:val="24"/>
        </w:rPr>
        <w:t>.  T</w:t>
      </w:r>
      <w:bookmarkStart w:id="1377" w:name="_Hlk119341628"/>
      <w:r w:rsidRPr="003B4362">
        <w:rPr>
          <w:rFonts w:eastAsia="Calibri"/>
          <w:szCs w:val="24"/>
        </w:rPr>
        <w:t xml:space="preserve">he </w:t>
      </w:r>
      <w:r w:rsidR="00677B5A" w:rsidRPr="003B4362">
        <w:rPr>
          <w:rFonts w:eastAsia="Calibri"/>
          <w:szCs w:val="24"/>
        </w:rPr>
        <w:t>supplier</w:t>
      </w:r>
      <w:r w:rsidRPr="003B4362">
        <w:rPr>
          <w:rFonts w:eastAsia="Calibri"/>
          <w:szCs w:val="24"/>
        </w:rPr>
        <w:t xml:space="preserve"> may classify the </w:t>
      </w:r>
      <w:r w:rsidR="00677B5A" w:rsidRPr="003B4362">
        <w:rPr>
          <w:rFonts w:eastAsia="Calibri"/>
          <w:szCs w:val="24"/>
        </w:rPr>
        <w:t xml:space="preserve">service line using its </w:t>
      </w:r>
      <w:r w:rsidRPr="003B4362">
        <w:rPr>
          <w:rFonts w:eastAsia="Calibri"/>
          <w:szCs w:val="24"/>
        </w:rPr>
        <w:t>actual material</w:t>
      </w:r>
      <w:bookmarkEnd w:id="1377"/>
      <w:r w:rsidR="005D79AC" w:rsidRPr="003B4362">
        <w:rPr>
          <w:rFonts w:eastAsia="Calibri"/>
          <w:szCs w:val="24"/>
        </w:rPr>
        <w:t xml:space="preserve"> </w:t>
      </w:r>
      <w:r w:rsidR="005D79AC" w:rsidRPr="003B4362">
        <w:rPr>
          <w:rFonts w:eastAsia="Calibri"/>
        </w:rPr>
        <w:t>of construction</w:t>
      </w:r>
      <w:r w:rsidR="005D79AC" w:rsidRPr="003B4362">
        <w:rPr>
          <w:rFonts w:eastAsia="Calibri"/>
          <w:szCs w:val="24"/>
        </w:rPr>
        <w:t xml:space="preserve"> </w:t>
      </w:r>
      <w:bookmarkStart w:id="1378" w:name="_Hlk119342114"/>
      <w:r w:rsidRPr="003B4362">
        <w:rPr>
          <w:rFonts w:eastAsia="Calibri"/>
          <w:szCs w:val="24"/>
        </w:rPr>
        <w:t>(</w:t>
      </w:r>
      <w:r w:rsidR="005D79AC" w:rsidRPr="003B4362">
        <w:rPr>
          <w:rFonts w:eastAsia="Calibri"/>
          <w:szCs w:val="24"/>
        </w:rPr>
        <w:t>e</w:t>
      </w:r>
      <w:r w:rsidRPr="003B4362">
        <w:rPr>
          <w:rFonts w:eastAsia="Calibri"/>
          <w:szCs w:val="24"/>
        </w:rPr>
        <w:t>.</w:t>
      </w:r>
      <w:r w:rsidR="005D79AC" w:rsidRPr="003B4362">
        <w:rPr>
          <w:rFonts w:eastAsia="Calibri"/>
          <w:szCs w:val="24"/>
        </w:rPr>
        <w:t>g</w:t>
      </w:r>
      <w:r w:rsidRPr="003B4362">
        <w:rPr>
          <w:rFonts w:eastAsia="Calibri"/>
          <w:szCs w:val="24"/>
        </w:rPr>
        <w:t xml:space="preserve">., </w:t>
      </w:r>
      <w:r w:rsidR="005D79AC" w:rsidRPr="003B4362">
        <w:rPr>
          <w:rFonts w:eastAsia="Calibri"/>
          <w:szCs w:val="24"/>
        </w:rPr>
        <w:t>“</w:t>
      </w:r>
      <w:r w:rsidRPr="003B4362">
        <w:rPr>
          <w:rFonts w:eastAsia="Calibri"/>
          <w:szCs w:val="24"/>
        </w:rPr>
        <w:t>plastic</w:t>
      </w:r>
      <w:r w:rsidR="005D79AC" w:rsidRPr="003B4362">
        <w:rPr>
          <w:rFonts w:eastAsia="Calibri"/>
          <w:szCs w:val="24"/>
        </w:rPr>
        <w:t>”</w:t>
      </w:r>
      <w:r w:rsidRPr="003B4362">
        <w:rPr>
          <w:rFonts w:eastAsia="Calibri"/>
          <w:szCs w:val="24"/>
        </w:rPr>
        <w:t xml:space="preserve"> or </w:t>
      </w:r>
      <w:r w:rsidR="005D79AC" w:rsidRPr="003B4362">
        <w:rPr>
          <w:rFonts w:eastAsia="Calibri"/>
          <w:szCs w:val="24"/>
        </w:rPr>
        <w:t>“</w:t>
      </w:r>
      <w:r w:rsidRPr="003B4362">
        <w:rPr>
          <w:rFonts w:eastAsia="Calibri"/>
          <w:szCs w:val="24"/>
        </w:rPr>
        <w:t>copper</w:t>
      </w:r>
      <w:r w:rsidR="005D79AC" w:rsidRPr="003B4362">
        <w:rPr>
          <w:rFonts w:eastAsia="Calibri"/>
          <w:szCs w:val="24"/>
        </w:rPr>
        <w:t>”</w:t>
      </w:r>
      <w:r w:rsidRPr="003B4362">
        <w:rPr>
          <w:rFonts w:eastAsia="Calibri"/>
          <w:szCs w:val="24"/>
        </w:rPr>
        <w:t>)</w:t>
      </w:r>
      <w:bookmarkEnd w:id="1378"/>
      <w:r w:rsidRPr="003B4362">
        <w:rPr>
          <w:rFonts w:eastAsia="Calibri"/>
          <w:szCs w:val="24"/>
        </w:rPr>
        <w:t xml:space="preserve"> </w:t>
      </w:r>
      <w:bookmarkStart w:id="1379" w:name="_Hlk119342300"/>
      <w:r w:rsidRPr="003B4362">
        <w:rPr>
          <w:rFonts w:eastAsia="Calibri"/>
          <w:szCs w:val="24"/>
        </w:rPr>
        <w:t xml:space="preserve">as an </w:t>
      </w:r>
      <w:bookmarkStart w:id="1380" w:name="_Hlk119342173"/>
      <w:r w:rsidRPr="003B4362">
        <w:rPr>
          <w:rFonts w:eastAsia="Calibri"/>
          <w:szCs w:val="24"/>
        </w:rPr>
        <w:t>alternative to</w:t>
      </w:r>
      <w:r w:rsidR="0003348C" w:rsidRPr="003B4362">
        <w:rPr>
          <w:rFonts w:eastAsia="Calibri"/>
        </w:rPr>
        <w:t xml:space="preserve"> </w:t>
      </w:r>
      <w:r w:rsidR="0003348C" w:rsidRPr="003B4362">
        <w:rPr>
          <w:rFonts w:eastAsia="Calibri"/>
          <w:szCs w:val="24"/>
        </w:rPr>
        <w:t>non-le</w:t>
      </w:r>
      <w:r w:rsidRPr="003B4362">
        <w:rPr>
          <w:rFonts w:eastAsia="Calibri"/>
          <w:szCs w:val="24"/>
        </w:rPr>
        <w:t>ad</w:t>
      </w:r>
      <w:bookmarkEnd w:id="1380"/>
      <w:r w:rsidR="005D79AC" w:rsidRPr="003B4362">
        <w:rPr>
          <w:rFonts w:eastAsia="Calibri"/>
          <w:szCs w:val="24"/>
        </w:rPr>
        <w:t>.</w:t>
      </w:r>
      <w:bookmarkEnd w:id="1379"/>
    </w:p>
    <w:p w14:paraId="41D4FD69" w14:textId="79C4966F" w:rsidR="009557C7" w:rsidRPr="003B4362" w:rsidRDefault="009557C7" w:rsidP="00937AE4">
      <w:pPr>
        <w:autoSpaceDE w:val="0"/>
        <w:autoSpaceDN w:val="0"/>
        <w:adjustRightInd w:val="0"/>
        <w:spacing w:before="240"/>
        <w:ind w:left="2880" w:hanging="720"/>
        <w:rPr>
          <w:rFonts w:eastAsia="Calibri"/>
          <w:szCs w:val="24"/>
        </w:rPr>
      </w:pPr>
      <w:r w:rsidRPr="003B4362">
        <w:rPr>
          <w:rFonts w:eastAsia="Calibri"/>
          <w:szCs w:val="24"/>
        </w:rPr>
        <w:lastRenderedPageBreak/>
        <w:t>D)</w:t>
      </w:r>
      <w:r w:rsidRPr="003B4362">
        <w:rPr>
          <w:rFonts w:eastAsia="Calibri"/>
          <w:szCs w:val="24"/>
        </w:rPr>
        <w:tab/>
        <w:t xml:space="preserve">“Lead Status Unknown” </w:t>
      </w:r>
      <w:bookmarkStart w:id="1381" w:name="_Hlk119342629"/>
      <w:bookmarkStart w:id="1382" w:name="_Hlk119342909"/>
      <w:r w:rsidR="00C23DBB" w:rsidRPr="003B4362">
        <w:rPr>
          <w:rFonts w:eastAsia="Calibri"/>
          <w:szCs w:val="24"/>
        </w:rPr>
        <w:t>for</w:t>
      </w:r>
      <w:r w:rsidRPr="003B4362">
        <w:rPr>
          <w:rFonts w:eastAsia="Calibri"/>
          <w:szCs w:val="24"/>
        </w:rPr>
        <w:t xml:space="preserve"> </w:t>
      </w:r>
      <w:r w:rsidR="00C23DBB" w:rsidRPr="003B4362">
        <w:rPr>
          <w:rFonts w:eastAsia="Calibri"/>
          <w:szCs w:val="24"/>
        </w:rPr>
        <w:t>a</w:t>
      </w:r>
      <w:r w:rsidRPr="003B4362">
        <w:rPr>
          <w:rFonts w:eastAsia="Calibri"/>
          <w:szCs w:val="24"/>
        </w:rPr>
        <w:t xml:space="preserve"> service line </w:t>
      </w:r>
      <w:r w:rsidR="00C23DBB" w:rsidRPr="003B4362">
        <w:rPr>
          <w:rFonts w:eastAsia="Calibri"/>
          <w:szCs w:val="24"/>
        </w:rPr>
        <w:t xml:space="preserve">of </w:t>
      </w:r>
      <w:r w:rsidRPr="003B4362">
        <w:rPr>
          <w:rFonts w:eastAsia="Calibri"/>
          <w:szCs w:val="24"/>
        </w:rPr>
        <w:t xml:space="preserve">material </w:t>
      </w:r>
      <w:r w:rsidR="00C23DBB" w:rsidRPr="003B4362">
        <w:rPr>
          <w:rFonts w:eastAsia="Calibri"/>
          <w:szCs w:val="24"/>
        </w:rPr>
        <w:t>the supplier does</w:t>
      </w:r>
      <w:r w:rsidRPr="003B4362">
        <w:rPr>
          <w:rFonts w:eastAsia="Calibri"/>
          <w:szCs w:val="24"/>
        </w:rPr>
        <w:t xml:space="preserve"> not know </w:t>
      </w:r>
      <w:bookmarkEnd w:id="1381"/>
      <w:r w:rsidR="00C23DBB" w:rsidRPr="003B4362">
        <w:rPr>
          <w:rFonts w:eastAsia="Calibri"/>
          <w:szCs w:val="24"/>
        </w:rPr>
        <w:t>is</w:t>
      </w:r>
      <w:bookmarkEnd w:id="1382"/>
      <w:r w:rsidRPr="003B4362">
        <w:rPr>
          <w:rFonts w:eastAsia="Calibri"/>
          <w:szCs w:val="24"/>
        </w:rPr>
        <w:t xml:space="preserve"> </w:t>
      </w:r>
      <w:bookmarkStart w:id="1383" w:name="_Hlk119343116"/>
      <w:bookmarkStart w:id="1384" w:name="_Hlk119343238"/>
      <w:r w:rsidR="0003348C" w:rsidRPr="003B4362">
        <w:rPr>
          <w:rFonts w:eastAsia="Calibri"/>
          <w:szCs w:val="24"/>
        </w:rPr>
        <w:t>lead, galvanized requiring replacement, or non-lead s</w:t>
      </w:r>
      <w:r w:rsidRPr="003B4362">
        <w:rPr>
          <w:rFonts w:eastAsia="Calibri"/>
          <w:szCs w:val="24"/>
        </w:rPr>
        <w:t>ervice line</w:t>
      </w:r>
      <w:bookmarkEnd w:id="1383"/>
      <w:r w:rsidR="0084383D" w:rsidRPr="003B4362">
        <w:rPr>
          <w:rFonts w:eastAsia="Calibri"/>
          <w:szCs w:val="24"/>
        </w:rPr>
        <w:t xml:space="preserve"> under subsection (a)(4)(A), (a)(4)(B), or (a)(4)(C)</w:t>
      </w:r>
      <w:bookmarkEnd w:id="1384"/>
      <w:r w:rsidRPr="003B4362">
        <w:rPr>
          <w:rFonts w:eastAsia="Calibri"/>
          <w:szCs w:val="24"/>
        </w:rPr>
        <w:t xml:space="preserve">, </w:t>
      </w:r>
      <w:bookmarkStart w:id="1385" w:name="_Hlk119343489"/>
      <w:r w:rsidR="0084383D" w:rsidRPr="003B4362">
        <w:rPr>
          <w:rFonts w:eastAsia="Calibri"/>
          <w:szCs w:val="24"/>
        </w:rPr>
        <w:t>e.g.,</w:t>
      </w:r>
      <w:r w:rsidRPr="003B4362">
        <w:rPr>
          <w:rFonts w:eastAsia="Calibri"/>
          <w:szCs w:val="24"/>
        </w:rPr>
        <w:t xml:space="preserve"> </w:t>
      </w:r>
      <w:bookmarkStart w:id="1386" w:name="_Hlk119343369"/>
      <w:r w:rsidR="0084383D" w:rsidRPr="003B4362">
        <w:rPr>
          <w:rFonts w:eastAsia="Calibri"/>
          <w:szCs w:val="24"/>
        </w:rPr>
        <w:t>if</w:t>
      </w:r>
      <w:r w:rsidRPr="003B4362">
        <w:rPr>
          <w:rFonts w:eastAsia="Calibri"/>
          <w:szCs w:val="24"/>
        </w:rPr>
        <w:t xml:space="preserve"> the</w:t>
      </w:r>
      <w:r w:rsidR="0084383D" w:rsidRPr="003B4362">
        <w:rPr>
          <w:rFonts w:eastAsia="Calibri"/>
          <w:szCs w:val="24"/>
        </w:rPr>
        <w:t xml:space="preserve"> supplier has</w:t>
      </w:r>
      <w:r w:rsidRPr="003B4362">
        <w:rPr>
          <w:rFonts w:eastAsia="Calibri"/>
          <w:szCs w:val="24"/>
        </w:rPr>
        <w:t xml:space="preserve"> no documented evidence</w:t>
      </w:r>
      <w:bookmarkEnd w:id="1385"/>
      <w:bookmarkEnd w:id="1386"/>
      <w:r w:rsidRPr="003B4362">
        <w:rPr>
          <w:rFonts w:eastAsia="Calibri"/>
          <w:szCs w:val="24"/>
        </w:rPr>
        <w:t xml:space="preserve"> supporting material classification.  The </w:t>
      </w:r>
      <w:r w:rsidR="0084383D" w:rsidRPr="003B4362">
        <w:rPr>
          <w:rFonts w:eastAsia="Calibri"/>
          <w:szCs w:val="24"/>
        </w:rPr>
        <w:t>supplier</w:t>
      </w:r>
      <w:r w:rsidRPr="003B4362">
        <w:rPr>
          <w:rFonts w:eastAsia="Calibri"/>
          <w:szCs w:val="24"/>
        </w:rPr>
        <w:t xml:space="preserve"> may classify the line as “</w:t>
      </w:r>
      <w:r w:rsidR="00BB1685" w:rsidRPr="003B4362">
        <w:rPr>
          <w:rFonts w:eastAsia="Calibri"/>
          <w:szCs w:val="24"/>
        </w:rPr>
        <w:t>u</w:t>
      </w:r>
      <w:r w:rsidRPr="003B4362">
        <w:rPr>
          <w:rFonts w:eastAsia="Calibri"/>
          <w:szCs w:val="24"/>
        </w:rPr>
        <w:t>nknown”</w:t>
      </w:r>
      <w:r w:rsidR="0060771D" w:rsidRPr="003B4362">
        <w:rPr>
          <w:rFonts w:eastAsia="Calibri"/>
          <w:szCs w:val="24"/>
        </w:rPr>
        <w:t>,</w:t>
      </w:r>
      <w:r w:rsidRPr="003B4362">
        <w:rPr>
          <w:rFonts w:eastAsia="Calibri"/>
          <w:szCs w:val="24"/>
        </w:rPr>
        <w:t xml:space="preserve"> as an alternative to classifying it as </w:t>
      </w:r>
      <w:r w:rsidR="00AD0D72" w:rsidRPr="003B4362">
        <w:rPr>
          <w:rFonts w:eastAsia="Calibri"/>
          <w:szCs w:val="24"/>
        </w:rPr>
        <w:t>l</w:t>
      </w:r>
      <w:r w:rsidRPr="003B4362">
        <w:rPr>
          <w:rFonts w:eastAsia="Calibri"/>
          <w:szCs w:val="24"/>
        </w:rPr>
        <w:t xml:space="preserve">ead </w:t>
      </w:r>
      <w:r w:rsidR="00BB1685" w:rsidRPr="003B4362">
        <w:rPr>
          <w:rFonts w:eastAsia="Calibri"/>
          <w:szCs w:val="24"/>
        </w:rPr>
        <w:t>status unknown</w:t>
      </w:r>
      <w:r w:rsidR="0084383D" w:rsidRPr="003B4362">
        <w:rPr>
          <w:rFonts w:eastAsia="Calibri"/>
          <w:szCs w:val="24"/>
        </w:rPr>
        <w:t>,</w:t>
      </w:r>
      <w:r w:rsidRPr="003B4362">
        <w:rPr>
          <w:rFonts w:eastAsia="Calibri"/>
          <w:szCs w:val="24"/>
        </w:rPr>
        <w:t xml:space="preserve"> however, all requirements apply</w:t>
      </w:r>
      <w:r w:rsidR="0060771D" w:rsidRPr="003B4362">
        <w:rPr>
          <w:rFonts w:eastAsia="Calibri"/>
          <w:szCs w:val="24"/>
        </w:rPr>
        <w:t>ing</w:t>
      </w:r>
      <w:r w:rsidRPr="003B4362">
        <w:rPr>
          <w:rFonts w:eastAsia="Calibri"/>
          <w:szCs w:val="24"/>
        </w:rPr>
        <w:t xml:space="preserve"> to </w:t>
      </w:r>
      <w:r w:rsidR="00BB1685" w:rsidRPr="003B4362">
        <w:rPr>
          <w:rFonts w:eastAsia="Calibri"/>
          <w:szCs w:val="24"/>
        </w:rPr>
        <w:t>l</w:t>
      </w:r>
      <w:r w:rsidRPr="003B4362">
        <w:rPr>
          <w:rFonts w:eastAsia="Calibri"/>
          <w:szCs w:val="24"/>
        </w:rPr>
        <w:t xml:space="preserve">ead </w:t>
      </w:r>
      <w:r w:rsidR="00BB1685" w:rsidRPr="003B4362">
        <w:rPr>
          <w:rFonts w:eastAsia="Calibri"/>
          <w:szCs w:val="24"/>
        </w:rPr>
        <w:t>s</w:t>
      </w:r>
      <w:r w:rsidRPr="003B4362">
        <w:rPr>
          <w:rFonts w:eastAsia="Calibri"/>
          <w:szCs w:val="24"/>
        </w:rPr>
        <w:t xml:space="preserve">tatus </w:t>
      </w:r>
      <w:r w:rsidR="00BB1685" w:rsidRPr="003B4362">
        <w:rPr>
          <w:rFonts w:eastAsia="Calibri"/>
          <w:szCs w:val="24"/>
        </w:rPr>
        <w:t>u</w:t>
      </w:r>
      <w:r w:rsidRPr="003B4362">
        <w:rPr>
          <w:rFonts w:eastAsia="Calibri"/>
          <w:szCs w:val="24"/>
        </w:rPr>
        <w:t xml:space="preserve">nknown service lines </w:t>
      </w:r>
      <w:bookmarkStart w:id="1387" w:name="_Hlk119344044"/>
      <w:r w:rsidR="0060771D" w:rsidRPr="003B4362">
        <w:rPr>
          <w:rFonts w:eastAsia="Calibri"/>
          <w:szCs w:val="24"/>
        </w:rPr>
        <w:t>will</w:t>
      </w:r>
      <w:r w:rsidRPr="003B4362">
        <w:rPr>
          <w:rFonts w:eastAsia="Calibri"/>
          <w:szCs w:val="24"/>
        </w:rPr>
        <w:t xml:space="preserve"> apply to those </w:t>
      </w:r>
      <w:r w:rsidR="0060771D" w:rsidRPr="003B4362">
        <w:rPr>
          <w:rFonts w:eastAsia="Calibri"/>
          <w:szCs w:val="24"/>
        </w:rPr>
        <w:t>the supplier classifies</w:t>
      </w:r>
      <w:bookmarkEnd w:id="1387"/>
      <w:r w:rsidRPr="003B4362">
        <w:rPr>
          <w:rFonts w:eastAsia="Calibri"/>
          <w:szCs w:val="24"/>
        </w:rPr>
        <w:t xml:space="preserve"> as Unknown</w:t>
      </w:r>
      <w:r w:rsidR="0084383D" w:rsidRPr="003B4362">
        <w:rPr>
          <w:rFonts w:eastAsia="Calibri"/>
          <w:szCs w:val="24"/>
        </w:rPr>
        <w:t>.</w:t>
      </w:r>
      <w:r w:rsidRPr="003B4362">
        <w:rPr>
          <w:rFonts w:eastAsia="Calibri"/>
          <w:szCs w:val="24"/>
        </w:rPr>
        <w:t xml:space="preserve">  </w:t>
      </w:r>
      <w:bookmarkStart w:id="1388" w:name="_Hlk119344320"/>
      <w:r w:rsidR="00B0136A" w:rsidRPr="003B4362">
        <w:rPr>
          <w:rFonts w:eastAsia="Calibri"/>
          <w:szCs w:val="24"/>
        </w:rPr>
        <w:t>A</w:t>
      </w:r>
      <w:bookmarkStart w:id="1389" w:name="_Hlk119344437"/>
      <w:r w:rsidR="00B0136A" w:rsidRPr="003B4362">
        <w:rPr>
          <w:rFonts w:eastAsia="Calibri"/>
          <w:szCs w:val="24"/>
        </w:rPr>
        <w:t xml:space="preserve"> supplier</w:t>
      </w:r>
      <w:r w:rsidRPr="003B4362">
        <w:rPr>
          <w:rFonts w:eastAsia="Calibri"/>
          <w:szCs w:val="24"/>
        </w:rPr>
        <w:t xml:space="preserve"> may</w:t>
      </w:r>
      <w:r w:rsidR="00B0136A" w:rsidRPr="003B4362">
        <w:rPr>
          <w:rFonts w:eastAsia="Calibri"/>
          <w:szCs w:val="24"/>
        </w:rPr>
        <w:t xml:space="preserve"> </w:t>
      </w:r>
      <w:r w:rsidRPr="003B4362">
        <w:rPr>
          <w:rFonts w:eastAsia="Calibri"/>
          <w:szCs w:val="24"/>
        </w:rPr>
        <w:t xml:space="preserve">provide more information regarding </w:t>
      </w:r>
      <w:r w:rsidR="00B0136A" w:rsidRPr="003B4362">
        <w:rPr>
          <w:rFonts w:eastAsia="Calibri"/>
          <w:szCs w:val="24"/>
        </w:rPr>
        <w:t>its</w:t>
      </w:r>
      <w:r w:rsidRPr="003B4362">
        <w:rPr>
          <w:rFonts w:eastAsia="Calibri"/>
          <w:szCs w:val="24"/>
        </w:rPr>
        <w:t xml:space="preserve"> </w:t>
      </w:r>
      <w:r w:rsidR="00BB1685" w:rsidRPr="003B4362">
        <w:rPr>
          <w:rFonts w:eastAsia="Calibri"/>
          <w:szCs w:val="24"/>
        </w:rPr>
        <w:t>l</w:t>
      </w:r>
      <w:r w:rsidR="00B0136A" w:rsidRPr="003B4362">
        <w:rPr>
          <w:rFonts w:eastAsia="Calibri"/>
          <w:szCs w:val="24"/>
        </w:rPr>
        <w:t xml:space="preserve">ead </w:t>
      </w:r>
      <w:r w:rsidR="00BB1685" w:rsidRPr="003B4362">
        <w:rPr>
          <w:rFonts w:eastAsia="Calibri"/>
          <w:szCs w:val="24"/>
        </w:rPr>
        <w:t>s</w:t>
      </w:r>
      <w:r w:rsidR="00B0136A" w:rsidRPr="003B4362">
        <w:rPr>
          <w:rFonts w:eastAsia="Calibri"/>
          <w:szCs w:val="24"/>
        </w:rPr>
        <w:t xml:space="preserve">tatus </w:t>
      </w:r>
      <w:r w:rsidR="00BB1685" w:rsidRPr="003B4362">
        <w:rPr>
          <w:rFonts w:eastAsia="Calibri"/>
          <w:szCs w:val="24"/>
        </w:rPr>
        <w:t>unknown l</w:t>
      </w:r>
      <w:r w:rsidRPr="003B4362">
        <w:rPr>
          <w:rFonts w:eastAsia="Calibri"/>
          <w:szCs w:val="24"/>
        </w:rPr>
        <w:t>ines</w:t>
      </w:r>
      <w:bookmarkEnd w:id="1388"/>
      <w:bookmarkEnd w:id="1389"/>
      <w:r w:rsidR="00B0136A" w:rsidRPr="003B4362">
        <w:rPr>
          <w:rFonts w:eastAsia="Calibri"/>
          <w:szCs w:val="24"/>
        </w:rPr>
        <w:t>,</w:t>
      </w:r>
      <w:r w:rsidRPr="003B4362">
        <w:rPr>
          <w:rFonts w:eastAsia="Calibri"/>
          <w:szCs w:val="24"/>
        </w:rPr>
        <w:t xml:space="preserve"> as long as the inventory clearly distinguishes unknown service lines from those </w:t>
      </w:r>
      <w:bookmarkStart w:id="1390" w:name="_Hlk119345153"/>
      <w:bookmarkStart w:id="1391" w:name="_Hlk119345284"/>
      <w:r w:rsidR="005F050B" w:rsidRPr="003B4362">
        <w:rPr>
          <w:rFonts w:eastAsia="Calibri"/>
          <w:szCs w:val="24"/>
        </w:rPr>
        <w:t>for which the supplier verified</w:t>
      </w:r>
      <w:r w:rsidRPr="003B4362">
        <w:rPr>
          <w:rFonts w:eastAsia="Calibri"/>
          <w:szCs w:val="24"/>
        </w:rPr>
        <w:t xml:space="preserve"> the material </w:t>
      </w:r>
      <w:bookmarkEnd w:id="1390"/>
      <w:r w:rsidR="005F050B" w:rsidRPr="003B4362">
        <w:rPr>
          <w:rFonts w:eastAsia="Calibri"/>
          <w:szCs w:val="24"/>
        </w:rPr>
        <w:t>of construction</w:t>
      </w:r>
      <w:bookmarkEnd w:id="1391"/>
      <w:r w:rsidRPr="003B4362">
        <w:rPr>
          <w:rFonts w:eastAsia="Calibri"/>
          <w:szCs w:val="24"/>
        </w:rPr>
        <w:t xml:space="preserve"> through records or inspection.</w:t>
      </w:r>
    </w:p>
    <w:p w14:paraId="24A6A336" w14:textId="1EBBB5AC" w:rsidR="00937AE4" w:rsidRPr="003B4362" w:rsidRDefault="00937AE4" w:rsidP="00937AE4">
      <w:pPr>
        <w:autoSpaceDE w:val="0"/>
        <w:autoSpaceDN w:val="0"/>
        <w:adjustRightInd w:val="0"/>
        <w:spacing w:after="240"/>
        <w:ind w:left="2880"/>
        <w:rPr>
          <w:rFonts w:eastAsia="Calibri"/>
          <w:szCs w:val="24"/>
        </w:rPr>
      </w:pPr>
      <w:r w:rsidRPr="003B4362">
        <w:rPr>
          <w:rFonts w:eastAsia="Calibri"/>
          <w:szCs w:val="24"/>
        </w:rPr>
        <w:t xml:space="preserve">BOARD NOTE:  See the definition </w:t>
      </w:r>
      <w:r w:rsidR="00F53E49" w:rsidRPr="003B4362">
        <w:rPr>
          <w:rFonts w:eastAsia="Calibri"/>
          <w:szCs w:val="24"/>
        </w:rPr>
        <w:t xml:space="preserve">of “lead status unknown service line” </w:t>
      </w:r>
      <w:r w:rsidRPr="003B4362">
        <w:rPr>
          <w:rFonts w:eastAsia="Calibri"/>
          <w:szCs w:val="24"/>
        </w:rPr>
        <w:t>in Section 611.350(b).</w:t>
      </w:r>
    </w:p>
    <w:p w14:paraId="230A8EA5" w14:textId="41A22347"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r>
      <w:bookmarkStart w:id="1392" w:name="_Hlk119345385"/>
      <w:r w:rsidR="005F050B" w:rsidRPr="003B4362">
        <w:rPr>
          <w:rFonts w:eastAsia="Calibri"/>
          <w:szCs w:val="24"/>
        </w:rPr>
        <w:t>T</w:t>
      </w:r>
      <w:bookmarkStart w:id="1393" w:name="_Hlk119345816"/>
      <w:r w:rsidR="005F050B" w:rsidRPr="003B4362">
        <w:rPr>
          <w:rFonts w:eastAsia="Calibri"/>
          <w:szCs w:val="24"/>
        </w:rPr>
        <w:t>he supplier</w:t>
      </w:r>
      <w:r w:rsidRPr="003B4362">
        <w:rPr>
          <w:rFonts w:eastAsia="Calibri"/>
          <w:szCs w:val="24"/>
        </w:rPr>
        <w:t xml:space="preserve"> </w:t>
      </w:r>
      <w:r w:rsidR="005F050B" w:rsidRPr="003B4362">
        <w:rPr>
          <w:rFonts w:eastAsia="Calibri"/>
          <w:szCs w:val="24"/>
        </w:rPr>
        <w:t xml:space="preserve">must </w:t>
      </w:r>
      <w:r w:rsidRPr="003B4362">
        <w:rPr>
          <w:rFonts w:eastAsia="Calibri"/>
          <w:szCs w:val="24"/>
        </w:rPr>
        <w:t xml:space="preserve">identify and track service line materials in </w:t>
      </w:r>
      <w:r w:rsidR="005F050B" w:rsidRPr="003B4362">
        <w:rPr>
          <w:rFonts w:eastAsia="Calibri"/>
          <w:szCs w:val="24"/>
        </w:rPr>
        <w:t>its</w:t>
      </w:r>
      <w:r w:rsidRPr="003B4362">
        <w:rPr>
          <w:rFonts w:eastAsia="Calibri"/>
          <w:szCs w:val="24"/>
        </w:rPr>
        <w:t xml:space="preserve"> inventory as </w:t>
      </w:r>
      <w:r w:rsidR="00654CC4" w:rsidRPr="003B4362">
        <w:rPr>
          <w:rFonts w:eastAsia="Calibri"/>
          <w:szCs w:val="24"/>
        </w:rPr>
        <w:t>the supplier</w:t>
      </w:r>
      <w:r w:rsidRPr="003B4362">
        <w:rPr>
          <w:rFonts w:eastAsia="Calibri"/>
          <w:szCs w:val="24"/>
        </w:rPr>
        <w:t xml:space="preserve"> encounter</w:t>
      </w:r>
      <w:bookmarkEnd w:id="1392"/>
      <w:r w:rsidR="00654CC4" w:rsidRPr="003B4362">
        <w:rPr>
          <w:rFonts w:eastAsia="Calibri"/>
          <w:szCs w:val="24"/>
        </w:rPr>
        <w:t>s them</w:t>
      </w:r>
      <w:bookmarkEnd w:id="1393"/>
      <w:r w:rsidRPr="003B4362">
        <w:rPr>
          <w:rFonts w:eastAsia="Calibri"/>
          <w:szCs w:val="24"/>
        </w:rPr>
        <w:t xml:space="preserve"> in the course of its normal operations (e.g., checking service line materials when reading water meters or performing maintenance activities).</w:t>
      </w:r>
    </w:p>
    <w:p w14:paraId="670F2030" w14:textId="0EC3F994"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6)</w:t>
      </w:r>
      <w:r w:rsidRPr="003B4362">
        <w:rPr>
          <w:rFonts w:eastAsia="Calibri"/>
          <w:szCs w:val="24"/>
        </w:rPr>
        <w:tab/>
      </w:r>
      <w:bookmarkStart w:id="1394" w:name="_Hlk119345986"/>
      <w:r w:rsidR="00A321AE" w:rsidRPr="003B4362">
        <w:rPr>
          <w:rFonts w:eastAsia="Calibri"/>
          <w:szCs w:val="24"/>
        </w:rPr>
        <w:t>The</w:t>
      </w:r>
      <w:r w:rsidR="00654CC4" w:rsidRPr="003B4362">
        <w:rPr>
          <w:rFonts w:eastAsia="Calibri"/>
          <w:szCs w:val="24"/>
        </w:rPr>
        <w:t xml:space="preserve"> supplier</w:t>
      </w:r>
      <w:r w:rsidRPr="003B4362">
        <w:rPr>
          <w:rFonts w:eastAsia="Calibri"/>
          <w:szCs w:val="24"/>
        </w:rPr>
        <w:t xml:space="preserve"> must update </w:t>
      </w:r>
      <w:r w:rsidR="00654CC4" w:rsidRPr="003B4362">
        <w:rPr>
          <w:rFonts w:eastAsia="Calibri"/>
          <w:szCs w:val="24"/>
        </w:rPr>
        <w:t>its</w:t>
      </w:r>
      <w:r w:rsidRPr="003B4362">
        <w:rPr>
          <w:rFonts w:eastAsia="Calibri"/>
          <w:szCs w:val="24"/>
        </w:rPr>
        <w:t xml:space="preserve"> inventory</w:t>
      </w:r>
      <w:bookmarkEnd w:id="1394"/>
      <w:r w:rsidRPr="003B4362">
        <w:rPr>
          <w:rFonts w:eastAsia="Calibri"/>
          <w:szCs w:val="24"/>
        </w:rPr>
        <w:t xml:space="preserve"> based on all </w:t>
      </w:r>
      <w:bookmarkStart w:id="1395" w:name="_Hlk119346230"/>
      <w:r w:rsidRPr="003B4362">
        <w:rPr>
          <w:rFonts w:eastAsia="Calibri"/>
          <w:szCs w:val="24"/>
        </w:rPr>
        <w:t>applicable sources</w:t>
      </w:r>
      <w:r w:rsidR="00A321AE" w:rsidRPr="003B4362">
        <w:rPr>
          <w:rFonts w:eastAsia="Calibri"/>
          <w:szCs w:val="24"/>
        </w:rPr>
        <w:t xml:space="preserve"> </w:t>
      </w:r>
      <w:r w:rsidRPr="003B4362">
        <w:rPr>
          <w:rFonts w:eastAsia="Calibri"/>
          <w:szCs w:val="24"/>
        </w:rPr>
        <w:t xml:space="preserve">in subsections (a)(3) and </w:t>
      </w:r>
      <w:r w:rsidR="00A321AE" w:rsidRPr="003B4362">
        <w:rPr>
          <w:rFonts w:eastAsia="Calibri"/>
          <w:szCs w:val="24"/>
        </w:rPr>
        <w:t>(a)</w:t>
      </w:r>
      <w:r w:rsidRPr="003B4362">
        <w:rPr>
          <w:rFonts w:eastAsia="Calibri"/>
          <w:szCs w:val="24"/>
        </w:rPr>
        <w:t xml:space="preserve">(5) </w:t>
      </w:r>
      <w:bookmarkEnd w:id="1395"/>
      <w:r w:rsidRPr="003B4362">
        <w:rPr>
          <w:rFonts w:eastAsia="Calibri"/>
          <w:szCs w:val="24"/>
        </w:rPr>
        <w:t xml:space="preserve">and any </w:t>
      </w:r>
      <w:r w:rsidR="00844701" w:rsidRPr="003B4362">
        <w:rPr>
          <w:rFonts w:eastAsia="Calibri"/>
          <w:szCs w:val="24"/>
        </w:rPr>
        <w:t>l</w:t>
      </w:r>
      <w:r w:rsidRPr="003B4362">
        <w:rPr>
          <w:rFonts w:eastAsia="Calibri"/>
          <w:szCs w:val="24"/>
        </w:rPr>
        <w:t xml:space="preserve">ead service line replacements or service line material </w:t>
      </w:r>
      <w:bookmarkStart w:id="1396" w:name="_Hlk119346778"/>
      <w:r w:rsidRPr="003B4362">
        <w:rPr>
          <w:rFonts w:eastAsia="Calibri"/>
          <w:szCs w:val="24"/>
        </w:rPr>
        <w:t xml:space="preserve">inspections </w:t>
      </w:r>
      <w:bookmarkStart w:id="1397" w:name="_Hlk119346408"/>
      <w:r w:rsidR="00A321AE" w:rsidRPr="003B4362">
        <w:rPr>
          <w:rFonts w:eastAsia="Calibri"/>
          <w:szCs w:val="24"/>
        </w:rPr>
        <w:t xml:space="preserve">the supplier </w:t>
      </w:r>
      <w:r w:rsidRPr="003B4362">
        <w:rPr>
          <w:rFonts w:eastAsia="Calibri"/>
          <w:szCs w:val="24"/>
        </w:rPr>
        <w:t>conducted</w:t>
      </w:r>
      <w:bookmarkEnd w:id="1396"/>
      <w:bookmarkEnd w:id="1397"/>
      <w:r w:rsidRPr="003B4362">
        <w:rPr>
          <w:rFonts w:eastAsia="Calibri"/>
          <w:szCs w:val="24"/>
        </w:rPr>
        <w:t xml:space="preserve">.  The </w:t>
      </w:r>
      <w:r w:rsidR="00A321AE" w:rsidRPr="003B4362">
        <w:rPr>
          <w:rFonts w:eastAsia="Calibri"/>
          <w:szCs w:val="24"/>
        </w:rPr>
        <w:t>supplier</w:t>
      </w:r>
      <w:r w:rsidRPr="003B4362">
        <w:rPr>
          <w:rFonts w:eastAsia="Calibri"/>
          <w:szCs w:val="24"/>
        </w:rPr>
        <w:t xml:space="preserve"> may use other sources of information </w:t>
      </w:r>
      <w:r w:rsidR="00EC23E3" w:rsidRPr="003B4362">
        <w:rPr>
          <w:rFonts w:eastAsia="Calibri"/>
          <w:szCs w:val="24"/>
        </w:rPr>
        <w:t>the Agency approves in a SEP</w:t>
      </w:r>
      <w:r w:rsidRPr="003B4362">
        <w:rPr>
          <w:rFonts w:eastAsia="Calibri"/>
          <w:szCs w:val="24"/>
        </w:rPr>
        <w:t xml:space="preserve"> and must use other sources of information </w:t>
      </w:r>
      <w:bookmarkStart w:id="1398" w:name="_Hlk119347016"/>
      <w:r w:rsidR="00EC23E3" w:rsidRPr="003B4362">
        <w:rPr>
          <w:rFonts w:eastAsia="Calibri"/>
          <w:szCs w:val="24"/>
        </w:rPr>
        <w:t>the Agency requires in a SEP</w:t>
      </w:r>
      <w:bookmarkEnd w:id="1398"/>
      <w:r w:rsidRPr="003B4362">
        <w:rPr>
          <w:rFonts w:eastAsia="Calibri"/>
          <w:szCs w:val="24"/>
        </w:rPr>
        <w:t xml:space="preserve">.  </w:t>
      </w:r>
      <w:r w:rsidR="00EC23E3" w:rsidRPr="003B4362">
        <w:rPr>
          <w:rFonts w:eastAsia="Calibri"/>
          <w:szCs w:val="24"/>
        </w:rPr>
        <w:t>The supplier</w:t>
      </w:r>
      <w:r w:rsidRPr="003B4362">
        <w:rPr>
          <w:rFonts w:eastAsia="Calibri"/>
          <w:szCs w:val="24"/>
        </w:rPr>
        <w:t xml:space="preserve"> must submit the updated inventory </w:t>
      </w:r>
      <w:bookmarkStart w:id="1399" w:name="_Hlk119347109"/>
      <w:bookmarkStart w:id="1400" w:name="_Hlk119347215"/>
      <w:r w:rsidRPr="003B4362">
        <w:rPr>
          <w:rFonts w:eastAsia="Calibri"/>
          <w:szCs w:val="24"/>
        </w:rPr>
        <w:t xml:space="preserve">to the </w:t>
      </w:r>
      <w:r w:rsidR="00EC23E3" w:rsidRPr="003B4362">
        <w:rPr>
          <w:rFonts w:eastAsia="Calibri"/>
          <w:szCs w:val="24"/>
        </w:rPr>
        <w:t>Agency</w:t>
      </w:r>
      <w:r w:rsidRPr="003B4362">
        <w:rPr>
          <w:rFonts w:eastAsia="Calibri"/>
          <w:szCs w:val="24"/>
        </w:rPr>
        <w:t xml:space="preserve"> </w:t>
      </w:r>
      <w:r w:rsidR="00EC23E3" w:rsidRPr="003B4362">
        <w:rPr>
          <w:rFonts w:eastAsia="Calibri"/>
          <w:szCs w:val="24"/>
        </w:rPr>
        <w:t>as</w:t>
      </w:r>
      <w:r w:rsidRPr="003B4362">
        <w:rPr>
          <w:rFonts w:eastAsia="Calibri"/>
          <w:szCs w:val="24"/>
        </w:rPr>
        <w:t xml:space="preserve"> Section </w:t>
      </w:r>
      <w:r w:rsidR="00EC23E3" w:rsidRPr="003B4362">
        <w:rPr>
          <w:rFonts w:eastAsia="Calibri"/>
          <w:szCs w:val="24"/>
        </w:rPr>
        <w:t>61</w:t>
      </w:r>
      <w:r w:rsidRPr="003B4362">
        <w:rPr>
          <w:rFonts w:eastAsia="Calibri"/>
          <w:szCs w:val="24"/>
        </w:rPr>
        <w:t>1.</w:t>
      </w:r>
      <w:r w:rsidR="00EC23E3" w:rsidRPr="003B4362">
        <w:rPr>
          <w:rFonts w:eastAsia="Calibri"/>
          <w:szCs w:val="24"/>
        </w:rPr>
        <w:t>36</w:t>
      </w:r>
      <w:r w:rsidRPr="003B4362">
        <w:rPr>
          <w:rFonts w:eastAsia="Calibri"/>
          <w:szCs w:val="24"/>
        </w:rPr>
        <w:t>0(e)</w:t>
      </w:r>
      <w:bookmarkEnd w:id="1399"/>
      <w:r w:rsidR="00EC23E3" w:rsidRPr="003B4362">
        <w:rPr>
          <w:rFonts w:eastAsia="Calibri"/>
          <w:szCs w:val="24"/>
        </w:rPr>
        <w:t xml:space="preserve"> requires</w:t>
      </w:r>
      <w:bookmarkEnd w:id="1400"/>
      <w:r w:rsidRPr="003B4362">
        <w:rPr>
          <w:rFonts w:eastAsia="Calibri"/>
          <w:szCs w:val="24"/>
        </w:rPr>
        <w:t>.  T</w:t>
      </w:r>
      <w:bookmarkStart w:id="1401" w:name="_Hlk119347460"/>
      <w:r w:rsidRPr="003B4362">
        <w:rPr>
          <w:rFonts w:eastAsia="Calibri"/>
          <w:szCs w:val="24"/>
        </w:rPr>
        <w:t xml:space="preserve">he </w:t>
      </w:r>
      <w:r w:rsidR="00EC23E3" w:rsidRPr="003B4362">
        <w:rPr>
          <w:rFonts w:eastAsia="Calibri"/>
          <w:szCs w:val="24"/>
        </w:rPr>
        <w:t xml:space="preserve">publicly accessible inventory must reflect </w:t>
      </w:r>
      <w:r w:rsidRPr="003B4362">
        <w:rPr>
          <w:rFonts w:eastAsia="Calibri"/>
          <w:szCs w:val="24"/>
        </w:rPr>
        <w:t>inventory updates</w:t>
      </w:r>
      <w:bookmarkEnd w:id="1401"/>
      <w:r w:rsidR="00766801" w:rsidRPr="003B4362">
        <w:rPr>
          <w:rFonts w:eastAsia="Calibri"/>
          <w:szCs w:val="24"/>
        </w:rPr>
        <w:t xml:space="preserve"> </w:t>
      </w:r>
      <w:bookmarkStart w:id="1402" w:name="_Hlk119347481"/>
      <w:bookmarkStart w:id="1403" w:name="_Hlk119347635"/>
      <w:r w:rsidRPr="003B4362">
        <w:rPr>
          <w:rFonts w:eastAsia="Calibri"/>
          <w:szCs w:val="24"/>
        </w:rPr>
        <w:t xml:space="preserve">no less frequently than when </w:t>
      </w:r>
      <w:r w:rsidR="00766801" w:rsidRPr="003B4362">
        <w:rPr>
          <w:rFonts w:eastAsia="Calibri"/>
          <w:szCs w:val="24"/>
        </w:rPr>
        <w:t>the supplier must</w:t>
      </w:r>
      <w:r w:rsidRPr="003B4362">
        <w:rPr>
          <w:rFonts w:eastAsia="Calibri"/>
          <w:szCs w:val="24"/>
        </w:rPr>
        <w:t xml:space="preserve"> submit</w:t>
      </w:r>
      <w:r w:rsidR="00766801" w:rsidRPr="003B4362">
        <w:rPr>
          <w:rFonts w:eastAsia="Calibri"/>
          <w:szCs w:val="24"/>
        </w:rPr>
        <w:t xml:space="preserve"> them</w:t>
      </w:r>
      <w:r w:rsidRPr="003B4362">
        <w:rPr>
          <w:rFonts w:eastAsia="Calibri"/>
          <w:szCs w:val="24"/>
        </w:rPr>
        <w:t xml:space="preserve"> to the </w:t>
      </w:r>
      <w:bookmarkEnd w:id="1402"/>
      <w:r w:rsidR="00766801" w:rsidRPr="003B4362">
        <w:rPr>
          <w:rFonts w:eastAsia="Calibri"/>
          <w:szCs w:val="24"/>
        </w:rPr>
        <w:t>Agency</w:t>
      </w:r>
      <w:bookmarkEnd w:id="1403"/>
      <w:r w:rsidRPr="003B4362">
        <w:rPr>
          <w:rFonts w:eastAsia="Calibri"/>
          <w:szCs w:val="24"/>
        </w:rPr>
        <w:t>.</w:t>
      </w:r>
    </w:p>
    <w:p w14:paraId="4A52BFE2" w14:textId="28C7C4D9"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r w:rsidR="001E5C64" w:rsidRPr="003B4362">
        <w:rPr>
          <w:rFonts w:eastAsia="Calibri"/>
          <w:szCs w:val="24"/>
        </w:rPr>
        <w:t>A supplier</w:t>
      </w:r>
      <w:bookmarkStart w:id="1404" w:name="_Hlk119405150"/>
      <w:r w:rsidRPr="003B4362">
        <w:rPr>
          <w:rFonts w:eastAsia="Calibri"/>
          <w:szCs w:val="24"/>
        </w:rPr>
        <w:t xml:space="preserve"> whose inventor</w:t>
      </w:r>
      <w:r w:rsidR="001E5C64" w:rsidRPr="003B4362">
        <w:rPr>
          <w:rFonts w:eastAsia="Calibri"/>
          <w:szCs w:val="24"/>
        </w:rPr>
        <w:t>y</w:t>
      </w:r>
      <w:r w:rsidRPr="003B4362">
        <w:rPr>
          <w:rFonts w:eastAsia="Calibri"/>
          <w:szCs w:val="24"/>
        </w:rPr>
        <w:t xml:space="preserve"> contain</w:t>
      </w:r>
      <w:r w:rsidR="001E5C64" w:rsidRPr="003B4362">
        <w:rPr>
          <w:rFonts w:eastAsia="Calibri"/>
          <w:szCs w:val="24"/>
        </w:rPr>
        <w:t>s</w:t>
      </w:r>
      <w:bookmarkEnd w:id="1404"/>
      <w:r w:rsidRPr="003B4362">
        <w:rPr>
          <w:rFonts w:eastAsia="Calibri"/>
          <w:szCs w:val="24"/>
        </w:rPr>
        <w:t xml:space="preserve"> only</w:t>
      </w:r>
      <w:r w:rsidR="00BB1685" w:rsidRPr="003B4362">
        <w:rPr>
          <w:rFonts w:eastAsia="Calibri"/>
          <w:szCs w:val="24"/>
        </w:rPr>
        <w:t xml:space="preserve"> non-l</w:t>
      </w:r>
      <w:r w:rsidRPr="003B4362">
        <w:rPr>
          <w:rFonts w:eastAsia="Calibri"/>
          <w:szCs w:val="24"/>
        </w:rPr>
        <w:t xml:space="preserve">ead service lines </w:t>
      </w:r>
      <w:r w:rsidR="00594471" w:rsidRPr="003B4362">
        <w:rPr>
          <w:rFonts w:eastAsia="Calibri"/>
          <w:szCs w:val="24"/>
        </w:rPr>
        <w:t>needs</w:t>
      </w:r>
      <w:r w:rsidRPr="003B4362">
        <w:rPr>
          <w:rFonts w:eastAsia="Calibri"/>
          <w:szCs w:val="24"/>
        </w:rPr>
        <w:t xml:space="preserve"> not</w:t>
      </w:r>
      <w:r w:rsidR="00594471" w:rsidRPr="003B4362">
        <w:rPr>
          <w:rFonts w:eastAsia="Calibri"/>
          <w:szCs w:val="24"/>
        </w:rPr>
        <w:t xml:space="preserve"> </w:t>
      </w:r>
      <w:r w:rsidRPr="003B4362">
        <w:rPr>
          <w:rFonts w:eastAsia="Calibri"/>
          <w:szCs w:val="24"/>
        </w:rPr>
        <w:t xml:space="preserve">provide inventory updates </w:t>
      </w:r>
      <w:bookmarkStart w:id="1405" w:name="_Hlk119408830"/>
      <w:r w:rsidRPr="003B4362">
        <w:rPr>
          <w:rFonts w:eastAsia="Calibri"/>
          <w:szCs w:val="24"/>
        </w:rPr>
        <w:t xml:space="preserve">to the </w:t>
      </w:r>
      <w:r w:rsidR="00594471" w:rsidRPr="003B4362">
        <w:rPr>
          <w:rFonts w:eastAsia="Calibri"/>
          <w:szCs w:val="24"/>
        </w:rPr>
        <w:t>Agency</w:t>
      </w:r>
      <w:r w:rsidRPr="003B4362">
        <w:rPr>
          <w:rFonts w:eastAsia="Calibri"/>
          <w:szCs w:val="24"/>
        </w:rPr>
        <w:t xml:space="preserve"> or</w:t>
      </w:r>
      <w:r w:rsidR="00594471" w:rsidRPr="003B4362">
        <w:rPr>
          <w:rFonts w:eastAsia="Calibri"/>
          <w:szCs w:val="24"/>
        </w:rPr>
        <w:t xml:space="preserve"> </w:t>
      </w:r>
      <w:r w:rsidRPr="003B4362">
        <w:rPr>
          <w:rFonts w:eastAsia="Calibri"/>
          <w:szCs w:val="24"/>
        </w:rPr>
        <w:t>public</w:t>
      </w:r>
      <w:bookmarkEnd w:id="1405"/>
      <w:r w:rsidRPr="003B4362">
        <w:rPr>
          <w:rFonts w:eastAsia="Calibri"/>
          <w:szCs w:val="24"/>
        </w:rPr>
        <w:t xml:space="preserve">.  </w:t>
      </w:r>
      <w:bookmarkStart w:id="1406" w:name="_Hlk119409112"/>
      <w:r w:rsidRPr="003B4362">
        <w:rPr>
          <w:rFonts w:eastAsia="Calibri"/>
          <w:szCs w:val="24"/>
        </w:rPr>
        <w:t>I</w:t>
      </w:r>
      <w:bookmarkStart w:id="1407" w:name="_Hlk119409004"/>
      <w:r w:rsidRPr="003B4362">
        <w:rPr>
          <w:rFonts w:eastAsia="Calibri"/>
          <w:szCs w:val="24"/>
        </w:rPr>
        <w:t>f</w:t>
      </w:r>
      <w:bookmarkEnd w:id="1407"/>
      <w:r w:rsidR="00594471" w:rsidRPr="003B4362">
        <w:rPr>
          <w:rFonts w:eastAsia="Calibri"/>
          <w:szCs w:val="24"/>
        </w:rPr>
        <w:t xml:space="preserve"> the supplier subsequently</w:t>
      </w:r>
      <w:r w:rsidRPr="003B4362">
        <w:rPr>
          <w:rFonts w:eastAsia="Calibri"/>
          <w:szCs w:val="24"/>
        </w:rPr>
        <w:t xml:space="preserve"> finds</w:t>
      </w:r>
      <w:bookmarkEnd w:id="1406"/>
      <w:r w:rsidRPr="003B4362">
        <w:rPr>
          <w:rFonts w:eastAsia="Calibri"/>
          <w:szCs w:val="24"/>
        </w:rPr>
        <w:t xml:space="preserve"> a </w:t>
      </w:r>
      <w:r w:rsidR="00BB1685" w:rsidRPr="003B4362">
        <w:rPr>
          <w:rFonts w:eastAsia="Calibri"/>
          <w:szCs w:val="24"/>
        </w:rPr>
        <w:t>l</w:t>
      </w:r>
      <w:r w:rsidRPr="003B4362">
        <w:rPr>
          <w:rFonts w:eastAsia="Calibri"/>
          <w:szCs w:val="24"/>
        </w:rPr>
        <w:t xml:space="preserve">ead service line within its system, </w:t>
      </w:r>
      <w:bookmarkStart w:id="1408" w:name="_Hlk119409248"/>
      <w:r w:rsidR="00A451C8" w:rsidRPr="003B4362">
        <w:rPr>
          <w:rFonts w:eastAsia="Calibri"/>
          <w:szCs w:val="24"/>
        </w:rPr>
        <w:t>the supplier</w:t>
      </w:r>
      <w:r w:rsidRPr="003B4362">
        <w:rPr>
          <w:rFonts w:eastAsia="Calibri"/>
          <w:szCs w:val="24"/>
        </w:rPr>
        <w:t xml:space="preserve"> must prepare</w:t>
      </w:r>
      <w:bookmarkEnd w:id="1408"/>
      <w:r w:rsidRPr="003B4362">
        <w:rPr>
          <w:rFonts w:eastAsia="Calibri"/>
          <w:szCs w:val="24"/>
        </w:rPr>
        <w:t xml:space="preserve"> an updated inventory </w:t>
      </w:r>
      <w:bookmarkStart w:id="1409" w:name="_Hlk119409444"/>
      <w:bookmarkStart w:id="1410" w:name="_Hlk119409356"/>
      <w:r w:rsidR="00A451C8" w:rsidRPr="003B4362">
        <w:rPr>
          <w:rFonts w:eastAsia="Calibri"/>
          <w:szCs w:val="24"/>
        </w:rPr>
        <w:t>under</w:t>
      </w:r>
      <w:r w:rsidRPr="003B4362">
        <w:rPr>
          <w:rFonts w:eastAsia="Calibri"/>
          <w:szCs w:val="24"/>
        </w:rPr>
        <w:t xml:space="preserve"> subsection (a)</w:t>
      </w:r>
      <w:bookmarkEnd w:id="1409"/>
      <w:r w:rsidRPr="003B4362">
        <w:rPr>
          <w:rFonts w:eastAsia="Calibri"/>
          <w:szCs w:val="24"/>
        </w:rPr>
        <w:t xml:space="preserve"> </w:t>
      </w:r>
      <w:bookmarkEnd w:id="1410"/>
      <w:r w:rsidRPr="003B4362">
        <w:rPr>
          <w:rFonts w:eastAsia="Calibri"/>
          <w:szCs w:val="24"/>
        </w:rPr>
        <w:t xml:space="preserve">on </w:t>
      </w:r>
      <w:bookmarkStart w:id="1411" w:name="_Hlk119409515"/>
      <w:bookmarkStart w:id="1412" w:name="_Hlk119409613"/>
      <w:r w:rsidRPr="003B4362">
        <w:rPr>
          <w:rFonts w:eastAsia="Calibri"/>
          <w:szCs w:val="24"/>
        </w:rPr>
        <w:t xml:space="preserve">a schedule </w:t>
      </w:r>
      <w:r w:rsidR="00A451C8" w:rsidRPr="003B4362">
        <w:rPr>
          <w:rFonts w:eastAsia="Calibri"/>
          <w:szCs w:val="24"/>
        </w:rPr>
        <w:t xml:space="preserve">the Agency </w:t>
      </w:r>
      <w:r w:rsidRPr="003B4362">
        <w:rPr>
          <w:rFonts w:eastAsia="Calibri"/>
          <w:szCs w:val="24"/>
        </w:rPr>
        <w:t>establishe</w:t>
      </w:r>
      <w:bookmarkEnd w:id="1411"/>
      <w:r w:rsidR="00A451C8" w:rsidRPr="003B4362">
        <w:rPr>
          <w:rFonts w:eastAsia="Calibri"/>
          <w:szCs w:val="24"/>
        </w:rPr>
        <w:t>s in a SEP</w:t>
      </w:r>
      <w:bookmarkEnd w:id="1412"/>
      <w:r w:rsidRPr="003B4362">
        <w:rPr>
          <w:rFonts w:eastAsia="Calibri"/>
          <w:szCs w:val="24"/>
        </w:rPr>
        <w:t>.</w:t>
      </w:r>
    </w:p>
    <w:p w14:paraId="639810E6" w14:textId="0CB0B434"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r w:rsidR="00A451C8" w:rsidRPr="003B4362">
        <w:rPr>
          <w:rFonts w:eastAsia="Calibri"/>
          <w:szCs w:val="24"/>
        </w:rPr>
        <w:t>This subsection (a)(6)(B) corresponds with 40 CFR 141.84(a)(6)(ii), which USEPA marked “Res</w:t>
      </w:r>
      <w:r w:rsidR="009F594C" w:rsidRPr="003B4362">
        <w:rPr>
          <w:rFonts w:eastAsia="Calibri"/>
          <w:szCs w:val="24"/>
        </w:rPr>
        <w:t>e</w:t>
      </w:r>
      <w:r w:rsidR="00A451C8" w:rsidRPr="003B4362">
        <w:rPr>
          <w:rFonts w:eastAsia="Calibri"/>
          <w:szCs w:val="24"/>
        </w:rPr>
        <w:t>rved”.  This statement maintains structural consistency with USEPA’s rule.</w:t>
      </w:r>
    </w:p>
    <w:p w14:paraId="5BCD328D" w14:textId="32D989D4"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7)</w:t>
      </w:r>
      <w:r w:rsidRPr="003B4362">
        <w:rPr>
          <w:rFonts w:eastAsia="Calibri"/>
          <w:szCs w:val="24"/>
        </w:rPr>
        <w:tab/>
        <w:t xml:space="preserve">To calculate the number of </w:t>
      </w:r>
      <w:bookmarkStart w:id="1413" w:name="_Hlk119411210"/>
      <w:r w:rsidRPr="003B4362">
        <w:rPr>
          <w:rFonts w:eastAsia="Calibri"/>
          <w:szCs w:val="24"/>
        </w:rPr>
        <w:t xml:space="preserve">service line replacements </w:t>
      </w:r>
      <w:r w:rsidR="00975D34" w:rsidRPr="003B4362">
        <w:rPr>
          <w:rFonts w:eastAsia="Calibri"/>
          <w:szCs w:val="24"/>
        </w:rPr>
        <w:t>under</w:t>
      </w:r>
      <w:r w:rsidRPr="003B4362">
        <w:rPr>
          <w:rFonts w:eastAsia="Calibri"/>
          <w:szCs w:val="24"/>
        </w:rPr>
        <w:t xml:space="preserve"> subsections (f) </w:t>
      </w:r>
      <w:r w:rsidR="00975D34" w:rsidRPr="003B4362">
        <w:rPr>
          <w:rFonts w:eastAsia="Calibri"/>
          <w:szCs w:val="24"/>
        </w:rPr>
        <w:t>or</w:t>
      </w:r>
      <w:r w:rsidRPr="003B4362">
        <w:rPr>
          <w:rFonts w:eastAsia="Calibri"/>
          <w:szCs w:val="24"/>
        </w:rPr>
        <w:t xml:space="preserve"> (g)</w:t>
      </w:r>
      <w:bookmarkEnd w:id="1413"/>
      <w:r w:rsidRPr="003B4362">
        <w:rPr>
          <w:rFonts w:eastAsia="Calibri"/>
          <w:szCs w:val="24"/>
        </w:rPr>
        <w:t xml:space="preserve">, </w:t>
      </w:r>
      <w:bookmarkStart w:id="1414" w:name="_Hlk119411743"/>
      <w:r w:rsidR="00975D34" w:rsidRPr="003B4362">
        <w:rPr>
          <w:rFonts w:eastAsia="Calibri"/>
          <w:szCs w:val="24"/>
        </w:rPr>
        <w:t xml:space="preserve">the supplier must apply </w:t>
      </w:r>
      <w:bookmarkStart w:id="1415" w:name="_Hlk119411668"/>
      <w:r w:rsidRPr="003B4362">
        <w:rPr>
          <w:rFonts w:eastAsia="Calibri"/>
          <w:szCs w:val="24"/>
        </w:rPr>
        <w:t>the replacement rate</w:t>
      </w:r>
      <w:bookmarkEnd w:id="1414"/>
      <w:bookmarkEnd w:id="1415"/>
      <w:r w:rsidR="007D28ED" w:rsidRPr="003B4362">
        <w:rPr>
          <w:rFonts w:eastAsia="Calibri"/>
          <w:szCs w:val="24"/>
        </w:rPr>
        <w:t xml:space="preserve"> </w:t>
      </w:r>
      <w:r w:rsidRPr="003B4362">
        <w:rPr>
          <w:rFonts w:eastAsia="Calibri"/>
          <w:szCs w:val="24"/>
        </w:rPr>
        <w:t xml:space="preserve">to the sum of known </w:t>
      </w:r>
      <w:bookmarkStart w:id="1416" w:name="_Hlk119411839"/>
      <w:r w:rsidR="00BB1685" w:rsidRPr="003B4362">
        <w:rPr>
          <w:rFonts w:eastAsia="Calibri"/>
          <w:szCs w:val="24"/>
        </w:rPr>
        <w:t>lead and galvanized requiring r</w:t>
      </w:r>
      <w:r w:rsidRPr="003B4362">
        <w:rPr>
          <w:rFonts w:eastAsia="Calibri"/>
          <w:szCs w:val="24"/>
        </w:rPr>
        <w:t>eplacement service lines</w:t>
      </w:r>
      <w:bookmarkEnd w:id="1416"/>
      <w:r w:rsidRPr="003B4362">
        <w:rPr>
          <w:rFonts w:eastAsia="Calibri"/>
          <w:szCs w:val="24"/>
        </w:rPr>
        <w:t xml:space="preserve"> when </w:t>
      </w:r>
      <w:bookmarkStart w:id="1417" w:name="_Hlk119412036"/>
      <w:r w:rsidRPr="003B4362">
        <w:rPr>
          <w:rFonts w:eastAsia="Calibri"/>
          <w:szCs w:val="24"/>
        </w:rPr>
        <w:t xml:space="preserve">the </w:t>
      </w:r>
      <w:bookmarkEnd w:id="1417"/>
      <w:r w:rsidR="007D28ED" w:rsidRPr="003B4362">
        <w:rPr>
          <w:rFonts w:eastAsia="Calibri"/>
          <w:szCs w:val="24"/>
        </w:rPr>
        <w:t>supplier</w:t>
      </w:r>
      <w:r w:rsidRPr="003B4362">
        <w:rPr>
          <w:rFonts w:eastAsia="Calibri"/>
          <w:szCs w:val="24"/>
        </w:rPr>
        <w:t xml:space="preserve"> first exceeds </w:t>
      </w:r>
      <w:bookmarkStart w:id="1418" w:name="_Hlk119412485"/>
      <w:r w:rsidRPr="003B4362">
        <w:rPr>
          <w:rFonts w:eastAsia="Calibri"/>
          <w:szCs w:val="24"/>
        </w:rPr>
        <w:t xml:space="preserve">the </w:t>
      </w:r>
      <w:r w:rsidR="00B83D12" w:rsidRPr="003B4362">
        <w:rPr>
          <w:rFonts w:eastAsia="Calibri"/>
          <w:szCs w:val="24"/>
        </w:rPr>
        <w:t xml:space="preserve">lead </w:t>
      </w:r>
      <w:r w:rsidRPr="003B4362">
        <w:rPr>
          <w:rFonts w:eastAsia="Calibri"/>
          <w:szCs w:val="24"/>
        </w:rPr>
        <w:t xml:space="preserve">trigger </w:t>
      </w:r>
      <w:r w:rsidR="00B83D12" w:rsidRPr="003B4362">
        <w:rPr>
          <w:rFonts w:eastAsia="Calibri"/>
          <w:szCs w:val="24"/>
        </w:rPr>
        <w:t xml:space="preserve">level </w:t>
      </w:r>
      <w:r w:rsidRPr="003B4362">
        <w:rPr>
          <w:rFonts w:eastAsia="Calibri"/>
          <w:szCs w:val="24"/>
        </w:rPr>
        <w:t xml:space="preserve">or </w:t>
      </w:r>
      <w:r w:rsidR="00B83D12" w:rsidRPr="003B4362">
        <w:rPr>
          <w:rFonts w:eastAsia="Calibri"/>
          <w:szCs w:val="24"/>
        </w:rPr>
        <w:t xml:space="preserve">lead </w:t>
      </w:r>
      <w:r w:rsidRPr="003B4362">
        <w:rPr>
          <w:rFonts w:eastAsia="Calibri"/>
          <w:szCs w:val="24"/>
        </w:rPr>
        <w:t>action level</w:t>
      </w:r>
      <w:bookmarkEnd w:id="1418"/>
      <w:r w:rsidRPr="003B4362">
        <w:rPr>
          <w:rFonts w:eastAsia="Calibri"/>
          <w:szCs w:val="24"/>
        </w:rPr>
        <w:t xml:space="preserve"> plus the number of </w:t>
      </w:r>
      <w:bookmarkStart w:id="1419" w:name="_Hlk119412326"/>
      <w:r w:rsidR="00BB1685" w:rsidRPr="003B4362">
        <w:rPr>
          <w:rFonts w:eastAsia="Calibri"/>
          <w:szCs w:val="24"/>
        </w:rPr>
        <w:lastRenderedPageBreak/>
        <w:t>lead status u</w:t>
      </w:r>
      <w:r w:rsidRPr="003B4362">
        <w:rPr>
          <w:rFonts w:eastAsia="Calibri"/>
          <w:szCs w:val="24"/>
        </w:rPr>
        <w:t>nknown service lines</w:t>
      </w:r>
      <w:bookmarkEnd w:id="1419"/>
      <w:r w:rsidRPr="003B4362">
        <w:rPr>
          <w:rFonts w:eastAsia="Calibri"/>
          <w:szCs w:val="24"/>
        </w:rPr>
        <w:t xml:space="preserve"> in the beginning of </w:t>
      </w:r>
      <w:bookmarkStart w:id="1420" w:name="_Hlk119412834"/>
      <w:r w:rsidRPr="003B4362">
        <w:rPr>
          <w:rFonts w:eastAsia="Calibri"/>
          <w:szCs w:val="24"/>
        </w:rPr>
        <w:t xml:space="preserve">each year of </w:t>
      </w:r>
      <w:r w:rsidR="00B83D12" w:rsidRPr="003B4362">
        <w:rPr>
          <w:rFonts w:eastAsia="Calibri"/>
          <w:szCs w:val="24"/>
        </w:rPr>
        <w:t>the</w:t>
      </w:r>
      <w:r w:rsidRPr="003B4362">
        <w:rPr>
          <w:rFonts w:eastAsia="Calibri"/>
          <w:szCs w:val="24"/>
        </w:rPr>
        <w:t xml:space="preserve"> </w:t>
      </w:r>
      <w:r w:rsidR="00B83D12" w:rsidRPr="003B4362">
        <w:rPr>
          <w:rFonts w:eastAsia="Calibri"/>
          <w:szCs w:val="24"/>
        </w:rPr>
        <w:t>supplier</w:t>
      </w:r>
      <w:r w:rsidRPr="003B4362">
        <w:rPr>
          <w:rFonts w:eastAsia="Calibri"/>
          <w:szCs w:val="24"/>
        </w:rPr>
        <w:t xml:space="preserve">’s </w:t>
      </w:r>
      <w:bookmarkStart w:id="1421" w:name="_Hlk119413231"/>
      <w:r w:rsidRPr="003B4362">
        <w:rPr>
          <w:rFonts w:eastAsia="Calibri"/>
          <w:szCs w:val="24"/>
        </w:rPr>
        <w:t>annual goal</w:t>
      </w:r>
      <w:bookmarkEnd w:id="1420"/>
      <w:r w:rsidR="00B83D12" w:rsidRPr="003B4362">
        <w:rPr>
          <w:rFonts w:eastAsia="Calibri"/>
          <w:szCs w:val="24"/>
        </w:rPr>
        <w:t>-based</w:t>
      </w:r>
      <w:r w:rsidRPr="003B4362">
        <w:rPr>
          <w:rFonts w:eastAsia="Calibri"/>
          <w:szCs w:val="24"/>
        </w:rPr>
        <w:t xml:space="preserve"> or mandatory </w:t>
      </w:r>
      <w:r w:rsidR="00E364D5" w:rsidRPr="003B4362">
        <w:rPr>
          <w:rFonts w:eastAsia="Calibri"/>
          <w:szCs w:val="24"/>
        </w:rPr>
        <w:t xml:space="preserve">full </w:t>
      </w:r>
      <w:r w:rsidR="00BB1685" w:rsidRPr="003B4362">
        <w:rPr>
          <w:rFonts w:eastAsia="Calibri"/>
          <w:szCs w:val="24"/>
        </w:rPr>
        <w:t>l</w:t>
      </w:r>
      <w:r w:rsidRPr="003B4362">
        <w:rPr>
          <w:rFonts w:eastAsia="Calibri"/>
          <w:szCs w:val="24"/>
        </w:rPr>
        <w:t>ead service line replacement program</w:t>
      </w:r>
      <w:bookmarkEnd w:id="1421"/>
      <w:r w:rsidRPr="003B4362">
        <w:rPr>
          <w:rFonts w:eastAsia="Calibri"/>
          <w:szCs w:val="24"/>
        </w:rPr>
        <w:t>.</w:t>
      </w:r>
    </w:p>
    <w:p w14:paraId="6A1933BF" w14:textId="7BEB1A5C"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bookmarkStart w:id="1422" w:name="_Hlk119415437"/>
      <w:r w:rsidR="003A3CEF" w:rsidRPr="003B4362">
        <w:rPr>
          <w:rFonts w:eastAsia="Calibri"/>
          <w:szCs w:val="24"/>
        </w:rPr>
        <w:t>A</w:t>
      </w:r>
      <w:bookmarkStart w:id="1423" w:name="_Hlk119415555"/>
      <w:r w:rsidR="003A3CEF" w:rsidRPr="003B4362">
        <w:rPr>
          <w:rFonts w:eastAsia="Calibri"/>
          <w:szCs w:val="24"/>
        </w:rPr>
        <w:t xml:space="preserve"> supplier must count e</w:t>
      </w:r>
      <w:r w:rsidRPr="003B4362">
        <w:rPr>
          <w:rFonts w:eastAsia="Calibri"/>
          <w:szCs w:val="24"/>
        </w:rPr>
        <w:t>ach service line</w:t>
      </w:r>
      <w:r w:rsidR="003A3CEF" w:rsidRPr="003B4362">
        <w:rPr>
          <w:rFonts w:eastAsia="Calibri"/>
          <w:szCs w:val="24"/>
        </w:rPr>
        <w:t xml:space="preserve"> </w:t>
      </w:r>
      <w:r w:rsidRPr="003B4362">
        <w:rPr>
          <w:rFonts w:eastAsia="Calibri"/>
          <w:szCs w:val="24"/>
        </w:rPr>
        <w:t xml:space="preserve">only once </w:t>
      </w:r>
      <w:r w:rsidR="003A3CEF" w:rsidRPr="003B4362">
        <w:rPr>
          <w:rFonts w:eastAsia="Calibri"/>
          <w:szCs w:val="24"/>
        </w:rPr>
        <w:t>when</w:t>
      </w:r>
      <w:r w:rsidRPr="003B4362">
        <w:rPr>
          <w:rFonts w:eastAsia="Calibri"/>
          <w:szCs w:val="24"/>
        </w:rPr>
        <w:t xml:space="preserve"> calculating</w:t>
      </w:r>
      <w:bookmarkEnd w:id="1422"/>
      <w:bookmarkEnd w:id="1423"/>
      <w:r w:rsidRPr="003B4362">
        <w:rPr>
          <w:rFonts w:eastAsia="Calibri"/>
          <w:szCs w:val="24"/>
        </w:rPr>
        <w:t xml:space="preserve"> the required </w:t>
      </w:r>
      <w:bookmarkStart w:id="1424" w:name="_Hlk119415613"/>
      <w:r w:rsidRPr="003B4362">
        <w:rPr>
          <w:rFonts w:eastAsia="Calibri"/>
          <w:szCs w:val="24"/>
        </w:rPr>
        <w:t>number of service line</w:t>
      </w:r>
      <w:r w:rsidR="003A3CEF" w:rsidRPr="003B4362">
        <w:rPr>
          <w:rFonts w:eastAsia="Calibri"/>
          <w:szCs w:val="24"/>
        </w:rPr>
        <w:t>s</w:t>
      </w:r>
      <w:r w:rsidRPr="003B4362">
        <w:rPr>
          <w:rFonts w:eastAsia="Calibri"/>
          <w:szCs w:val="24"/>
        </w:rPr>
        <w:t xml:space="preserve"> </w:t>
      </w:r>
      <w:r w:rsidR="003A3CEF" w:rsidRPr="003B4362">
        <w:rPr>
          <w:rFonts w:eastAsia="Calibri"/>
          <w:szCs w:val="24"/>
        </w:rPr>
        <w:t xml:space="preserve">it must </w:t>
      </w:r>
      <w:r w:rsidRPr="003B4362">
        <w:rPr>
          <w:rFonts w:eastAsia="Calibri"/>
          <w:szCs w:val="24"/>
        </w:rPr>
        <w:t>replace</w:t>
      </w:r>
      <w:bookmarkEnd w:id="1424"/>
      <w:r w:rsidRPr="003B4362">
        <w:rPr>
          <w:rFonts w:eastAsia="Calibri"/>
          <w:szCs w:val="24"/>
        </w:rPr>
        <w:t xml:space="preserve">, </w:t>
      </w:r>
      <w:bookmarkStart w:id="1425" w:name="_Hlk119415993"/>
      <w:bookmarkStart w:id="1426" w:name="_Hlk119419124"/>
      <w:r w:rsidRPr="003B4362">
        <w:rPr>
          <w:rFonts w:eastAsia="Calibri"/>
          <w:szCs w:val="24"/>
        </w:rPr>
        <w:t xml:space="preserve">even </w:t>
      </w:r>
      <w:r w:rsidR="003A3CEF" w:rsidRPr="003B4362">
        <w:rPr>
          <w:rFonts w:eastAsia="Calibri"/>
          <w:szCs w:val="24"/>
        </w:rPr>
        <w:t>if</w:t>
      </w:r>
      <w:r w:rsidRPr="003B4362">
        <w:rPr>
          <w:rFonts w:eastAsia="Calibri"/>
          <w:szCs w:val="24"/>
        </w:rPr>
        <w:t xml:space="preserve"> the </w:t>
      </w:r>
      <w:r w:rsidR="007D4173" w:rsidRPr="003B4362">
        <w:rPr>
          <w:rFonts w:eastAsia="Calibri"/>
          <w:szCs w:val="24"/>
        </w:rPr>
        <w:t>supplier</w:t>
      </w:r>
      <w:bookmarkStart w:id="1427" w:name="_Hlk119419398"/>
      <w:r w:rsidR="007D4173" w:rsidRPr="003B4362">
        <w:rPr>
          <w:rFonts w:eastAsia="Calibri"/>
          <w:szCs w:val="24"/>
        </w:rPr>
        <w:t xml:space="preserve"> </w:t>
      </w:r>
      <w:bookmarkEnd w:id="1427"/>
      <w:r w:rsidR="007D4173" w:rsidRPr="003B4362">
        <w:rPr>
          <w:rFonts w:eastAsia="Calibri"/>
          <w:szCs w:val="24"/>
        </w:rPr>
        <w:t xml:space="preserve">shares </w:t>
      </w:r>
      <w:r w:rsidRPr="003B4362">
        <w:rPr>
          <w:rFonts w:eastAsia="Calibri"/>
          <w:szCs w:val="24"/>
        </w:rPr>
        <w:t>service line</w:t>
      </w:r>
      <w:bookmarkEnd w:id="1425"/>
      <w:r w:rsidRPr="003B4362">
        <w:rPr>
          <w:rFonts w:eastAsia="Calibri"/>
          <w:szCs w:val="24"/>
        </w:rPr>
        <w:t xml:space="preserve"> </w:t>
      </w:r>
      <w:r w:rsidR="007D4173" w:rsidRPr="003B4362">
        <w:rPr>
          <w:rFonts w:eastAsia="Calibri"/>
          <w:szCs w:val="24"/>
        </w:rPr>
        <w:t>ownership</w:t>
      </w:r>
      <w:bookmarkEnd w:id="1426"/>
      <w:r w:rsidR="007D4173" w:rsidRPr="003B4362">
        <w:rPr>
          <w:rFonts w:eastAsia="Calibri"/>
          <w:szCs w:val="24"/>
        </w:rPr>
        <w:t xml:space="preserve">, </w:t>
      </w:r>
      <w:r w:rsidRPr="003B4362">
        <w:rPr>
          <w:rFonts w:eastAsia="Calibri"/>
          <w:szCs w:val="24"/>
        </w:rPr>
        <w:t xml:space="preserve">and </w:t>
      </w:r>
      <w:r w:rsidR="007D4173" w:rsidRPr="003B4362">
        <w:rPr>
          <w:rFonts w:eastAsia="Calibri"/>
          <w:szCs w:val="24"/>
        </w:rPr>
        <w:t xml:space="preserve">the supplier must replace </w:t>
      </w:r>
      <w:r w:rsidRPr="003B4362">
        <w:rPr>
          <w:rFonts w:eastAsia="Calibri"/>
          <w:szCs w:val="24"/>
        </w:rPr>
        <w:t>both the customer-owned and system-owned portions.</w:t>
      </w:r>
    </w:p>
    <w:p w14:paraId="63E30F22" w14:textId="624141C5"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T</w:t>
      </w:r>
      <w:bookmarkStart w:id="1428" w:name="_Hlk119420281"/>
      <w:bookmarkStart w:id="1429" w:name="_Hlk119419674"/>
      <w:r w:rsidRPr="003B4362">
        <w:rPr>
          <w:rFonts w:eastAsia="Calibri"/>
          <w:szCs w:val="24"/>
        </w:rPr>
        <w:t xml:space="preserve">he </w:t>
      </w:r>
      <w:r w:rsidR="00B31CCE" w:rsidRPr="003B4362">
        <w:rPr>
          <w:rFonts w:eastAsia="Calibri"/>
          <w:szCs w:val="24"/>
        </w:rPr>
        <w:t xml:space="preserve">supplier must annually update the </w:t>
      </w:r>
      <w:r w:rsidRPr="003B4362">
        <w:rPr>
          <w:rFonts w:eastAsia="Calibri"/>
          <w:szCs w:val="24"/>
        </w:rPr>
        <w:t xml:space="preserve">number of </w:t>
      </w:r>
      <w:bookmarkStart w:id="1430" w:name="_Hlk119420231"/>
      <w:r w:rsidRPr="003B4362">
        <w:rPr>
          <w:rFonts w:eastAsia="Calibri"/>
          <w:szCs w:val="24"/>
        </w:rPr>
        <w:t>service lines</w:t>
      </w:r>
      <w:bookmarkEnd w:id="1428"/>
      <w:r w:rsidRPr="003B4362">
        <w:rPr>
          <w:rFonts w:eastAsia="Calibri"/>
          <w:szCs w:val="24"/>
        </w:rPr>
        <w:t xml:space="preserve"> </w:t>
      </w:r>
      <w:r w:rsidR="00B31CCE" w:rsidRPr="003B4362">
        <w:rPr>
          <w:rFonts w:eastAsia="Calibri"/>
          <w:szCs w:val="24"/>
        </w:rPr>
        <w:t>it needs to replace</w:t>
      </w:r>
      <w:bookmarkEnd w:id="1429"/>
      <w:bookmarkEnd w:id="1430"/>
      <w:r w:rsidRPr="003B4362">
        <w:rPr>
          <w:rFonts w:eastAsia="Calibri"/>
          <w:szCs w:val="24"/>
        </w:rPr>
        <w:t xml:space="preserve"> </w:t>
      </w:r>
      <w:r w:rsidR="00A30C77" w:rsidRPr="003B4362">
        <w:rPr>
          <w:rFonts w:eastAsia="Calibri"/>
          <w:szCs w:val="24"/>
        </w:rPr>
        <w:t>by subtracting</w:t>
      </w:r>
      <w:r w:rsidRPr="003B4362">
        <w:rPr>
          <w:rFonts w:eastAsia="Calibri"/>
          <w:szCs w:val="24"/>
        </w:rPr>
        <w:t xml:space="preserve"> the number of </w:t>
      </w:r>
      <w:bookmarkStart w:id="1431" w:name="_Hlk119420583"/>
      <w:bookmarkStart w:id="1432" w:name="_Hlk119420797"/>
      <w:r w:rsidR="00BB1685" w:rsidRPr="003B4362">
        <w:rPr>
          <w:rFonts w:eastAsia="Calibri"/>
          <w:szCs w:val="24"/>
        </w:rPr>
        <w:t>lead status u</w:t>
      </w:r>
      <w:r w:rsidRPr="003B4362">
        <w:rPr>
          <w:rFonts w:eastAsia="Calibri"/>
          <w:szCs w:val="24"/>
        </w:rPr>
        <w:t xml:space="preserve">nknown service lines </w:t>
      </w:r>
      <w:bookmarkStart w:id="1433" w:name="_Hlk119420549"/>
      <w:bookmarkEnd w:id="1431"/>
      <w:r w:rsidR="00A30C77" w:rsidRPr="003B4362">
        <w:rPr>
          <w:rFonts w:eastAsia="Calibri"/>
          <w:szCs w:val="24"/>
        </w:rPr>
        <w:t>the supplier</w:t>
      </w:r>
      <w:r w:rsidRPr="003B4362">
        <w:rPr>
          <w:rFonts w:eastAsia="Calibri"/>
          <w:szCs w:val="24"/>
        </w:rPr>
        <w:t xml:space="preserve"> discovered </w:t>
      </w:r>
      <w:r w:rsidR="00A30C77" w:rsidRPr="003B4362">
        <w:rPr>
          <w:rFonts w:eastAsia="Calibri"/>
          <w:szCs w:val="24"/>
        </w:rPr>
        <w:t>are</w:t>
      </w:r>
      <w:r w:rsidRPr="003B4362">
        <w:rPr>
          <w:rFonts w:eastAsia="Calibri"/>
          <w:szCs w:val="24"/>
        </w:rPr>
        <w:t xml:space="preserve"> </w:t>
      </w:r>
      <w:r w:rsidR="00BB2809" w:rsidRPr="003B4362">
        <w:rPr>
          <w:rFonts w:eastAsia="Calibri"/>
          <w:szCs w:val="24"/>
        </w:rPr>
        <w:t>non-l</w:t>
      </w:r>
      <w:r w:rsidRPr="003B4362">
        <w:rPr>
          <w:rFonts w:eastAsia="Calibri"/>
          <w:szCs w:val="24"/>
        </w:rPr>
        <w:t>ead</w:t>
      </w:r>
      <w:bookmarkEnd w:id="1432"/>
      <w:bookmarkEnd w:id="1433"/>
      <w:r w:rsidRPr="003B4362">
        <w:rPr>
          <w:rFonts w:eastAsia="Calibri"/>
          <w:szCs w:val="24"/>
        </w:rPr>
        <w:t xml:space="preserve"> </w:t>
      </w:r>
      <w:bookmarkStart w:id="1434" w:name="_Hlk119421014"/>
      <w:bookmarkStart w:id="1435" w:name="_Hlk119421222"/>
      <w:r w:rsidRPr="003B4362">
        <w:rPr>
          <w:rFonts w:eastAsia="Calibri"/>
          <w:szCs w:val="24"/>
        </w:rPr>
        <w:t xml:space="preserve">and </w:t>
      </w:r>
      <w:r w:rsidR="00294112" w:rsidRPr="003B4362">
        <w:rPr>
          <w:rFonts w:eastAsia="Calibri"/>
          <w:szCs w:val="24"/>
        </w:rPr>
        <w:t>adding</w:t>
      </w:r>
      <w:r w:rsidRPr="003B4362">
        <w:rPr>
          <w:rFonts w:eastAsia="Calibri"/>
          <w:szCs w:val="24"/>
        </w:rPr>
        <w:t xml:space="preserve"> the number of </w:t>
      </w:r>
      <w:r w:rsidR="00BB2809" w:rsidRPr="003B4362">
        <w:rPr>
          <w:rFonts w:eastAsia="Calibri"/>
          <w:szCs w:val="24"/>
        </w:rPr>
        <w:t>non-l</w:t>
      </w:r>
      <w:r w:rsidRPr="003B4362">
        <w:rPr>
          <w:rFonts w:eastAsia="Calibri"/>
          <w:szCs w:val="24"/>
        </w:rPr>
        <w:t xml:space="preserve">ead service lines </w:t>
      </w:r>
      <w:r w:rsidR="00294112" w:rsidRPr="003B4362">
        <w:rPr>
          <w:rFonts w:eastAsia="Calibri"/>
          <w:szCs w:val="24"/>
        </w:rPr>
        <w:t>the supplier</w:t>
      </w:r>
      <w:r w:rsidRPr="003B4362">
        <w:rPr>
          <w:rFonts w:eastAsia="Calibri"/>
          <w:szCs w:val="24"/>
        </w:rPr>
        <w:t xml:space="preserve"> discovered </w:t>
      </w:r>
      <w:r w:rsidR="00294112" w:rsidRPr="003B4362">
        <w:rPr>
          <w:rFonts w:eastAsia="Calibri"/>
          <w:szCs w:val="24"/>
        </w:rPr>
        <w:t>are</w:t>
      </w:r>
      <w:r w:rsidRPr="003B4362">
        <w:rPr>
          <w:rFonts w:eastAsia="Calibri"/>
          <w:szCs w:val="24"/>
        </w:rPr>
        <w:t xml:space="preserve"> </w:t>
      </w:r>
      <w:r w:rsidR="00BB2809" w:rsidRPr="003B4362">
        <w:rPr>
          <w:rFonts w:eastAsia="Calibri"/>
          <w:szCs w:val="24"/>
        </w:rPr>
        <w:t>lead or galvanized requiring r</w:t>
      </w:r>
      <w:r w:rsidRPr="003B4362">
        <w:rPr>
          <w:rFonts w:eastAsia="Calibri"/>
          <w:szCs w:val="24"/>
        </w:rPr>
        <w:t>eplacement service line</w:t>
      </w:r>
      <w:bookmarkEnd w:id="1434"/>
      <w:r w:rsidR="00294112" w:rsidRPr="003B4362">
        <w:rPr>
          <w:rFonts w:eastAsia="Calibri"/>
          <w:szCs w:val="24"/>
        </w:rPr>
        <w:t>s</w:t>
      </w:r>
      <w:bookmarkEnd w:id="1435"/>
      <w:r w:rsidRPr="003B4362">
        <w:rPr>
          <w:rFonts w:eastAsia="Calibri"/>
          <w:szCs w:val="24"/>
        </w:rPr>
        <w:t>.</w:t>
      </w:r>
    </w:p>
    <w:p w14:paraId="18C88902" w14:textId="1E3F57C9"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V</w:t>
      </w:r>
      <w:bookmarkStart w:id="1436" w:name="_Hlk119421507"/>
      <w:r w:rsidRPr="003B4362">
        <w:rPr>
          <w:rFonts w:eastAsia="Calibri"/>
          <w:szCs w:val="24"/>
        </w:rPr>
        <w:t>erif</w:t>
      </w:r>
      <w:r w:rsidR="00294112" w:rsidRPr="003B4362">
        <w:rPr>
          <w:rFonts w:eastAsia="Calibri"/>
          <w:szCs w:val="24"/>
        </w:rPr>
        <w:t>ying</w:t>
      </w:r>
      <w:r w:rsidRPr="003B4362">
        <w:rPr>
          <w:rFonts w:eastAsia="Calibri"/>
          <w:szCs w:val="24"/>
        </w:rPr>
        <w:t xml:space="preserve"> a </w:t>
      </w:r>
      <w:r w:rsidR="00AF1E34" w:rsidRPr="003B4362">
        <w:rPr>
          <w:rFonts w:eastAsia="Calibri"/>
          <w:szCs w:val="24"/>
        </w:rPr>
        <w:t>lead status u</w:t>
      </w:r>
      <w:r w:rsidRPr="003B4362">
        <w:rPr>
          <w:rFonts w:eastAsia="Calibri"/>
          <w:szCs w:val="24"/>
        </w:rPr>
        <w:t xml:space="preserve">nknown service line as </w:t>
      </w:r>
      <w:r w:rsidR="00AF1E34" w:rsidRPr="003B4362">
        <w:rPr>
          <w:rFonts w:eastAsia="Calibri"/>
          <w:szCs w:val="24"/>
        </w:rPr>
        <w:t>non-le</w:t>
      </w:r>
      <w:r w:rsidRPr="003B4362">
        <w:rPr>
          <w:rFonts w:eastAsia="Calibri"/>
          <w:szCs w:val="24"/>
        </w:rPr>
        <w:t>ad</w:t>
      </w:r>
      <w:bookmarkEnd w:id="1436"/>
      <w:r w:rsidRPr="003B4362">
        <w:rPr>
          <w:rFonts w:eastAsia="Calibri"/>
          <w:szCs w:val="24"/>
        </w:rPr>
        <w:t xml:space="preserve"> in </w:t>
      </w:r>
      <w:r w:rsidR="00BC2764" w:rsidRPr="003B4362">
        <w:rPr>
          <w:rFonts w:eastAsia="Calibri"/>
          <w:szCs w:val="24"/>
        </w:rPr>
        <w:t>its</w:t>
      </w:r>
      <w:r w:rsidRPr="003B4362">
        <w:rPr>
          <w:rFonts w:eastAsia="Calibri"/>
          <w:szCs w:val="24"/>
        </w:rPr>
        <w:t xml:space="preserve"> inventory does not </w:t>
      </w:r>
      <w:bookmarkStart w:id="1437" w:name="_Hlk119421832"/>
      <w:r w:rsidRPr="003B4362">
        <w:rPr>
          <w:rFonts w:eastAsia="Calibri"/>
          <w:szCs w:val="24"/>
        </w:rPr>
        <w:t xml:space="preserve">count as </w:t>
      </w:r>
      <w:r w:rsidR="00BC2764" w:rsidRPr="003B4362">
        <w:rPr>
          <w:rFonts w:eastAsia="Calibri"/>
          <w:szCs w:val="24"/>
        </w:rPr>
        <w:t xml:space="preserve">replacing </w:t>
      </w:r>
      <w:r w:rsidRPr="003B4362">
        <w:rPr>
          <w:rFonts w:eastAsia="Calibri"/>
          <w:szCs w:val="24"/>
        </w:rPr>
        <w:t>a service line</w:t>
      </w:r>
      <w:bookmarkEnd w:id="1437"/>
      <w:r w:rsidRPr="003B4362">
        <w:rPr>
          <w:rFonts w:eastAsia="Calibri"/>
          <w:szCs w:val="24"/>
        </w:rPr>
        <w:t>.</w:t>
      </w:r>
    </w:p>
    <w:p w14:paraId="36F09DFA" w14:textId="5BED7161" w:rsidR="0019331D" w:rsidRPr="003B4362" w:rsidRDefault="0019331D" w:rsidP="0019331D">
      <w:pPr>
        <w:autoSpaceDE w:val="0"/>
        <w:autoSpaceDN w:val="0"/>
        <w:adjustRightInd w:val="0"/>
        <w:spacing w:before="240" w:after="240"/>
        <w:ind w:left="2160"/>
        <w:rPr>
          <w:rFonts w:eastAsia="Calibri"/>
          <w:szCs w:val="24"/>
        </w:rPr>
      </w:pPr>
      <w:r w:rsidRPr="003B4362">
        <w:rPr>
          <w:rFonts w:eastAsia="Calibri"/>
          <w:szCs w:val="24"/>
        </w:rPr>
        <w:t>BOARD NOTE:  Using the number o</w:t>
      </w:r>
      <w:r w:rsidR="00254F0E" w:rsidRPr="003B4362">
        <w:rPr>
          <w:rFonts w:eastAsia="Calibri"/>
          <w:szCs w:val="24"/>
        </w:rPr>
        <w:t>f lead and galvanized requiring replacement servic</w:t>
      </w:r>
      <w:r w:rsidRPr="003B4362">
        <w:rPr>
          <w:rFonts w:eastAsia="Calibri"/>
          <w:szCs w:val="24"/>
        </w:rPr>
        <w:t xml:space="preserve">e lines at the time of first exceeding the lead trigger level applies for subsection (f).  The number at the time of first exceeding the lead action level </w:t>
      </w:r>
      <w:r w:rsidR="00E81418" w:rsidRPr="003B4362">
        <w:rPr>
          <w:rFonts w:eastAsia="Calibri"/>
          <w:szCs w:val="24"/>
        </w:rPr>
        <w:t>applies for</w:t>
      </w:r>
      <w:r w:rsidRPr="003B4362">
        <w:rPr>
          <w:rFonts w:eastAsia="Calibri"/>
          <w:szCs w:val="24"/>
        </w:rPr>
        <w:t xml:space="preserve"> subsection (</w:t>
      </w:r>
      <w:r w:rsidR="00E81418" w:rsidRPr="003B4362">
        <w:rPr>
          <w:rFonts w:eastAsia="Calibri"/>
          <w:szCs w:val="24"/>
        </w:rPr>
        <w:t>g</w:t>
      </w:r>
      <w:r w:rsidRPr="003B4362">
        <w:rPr>
          <w:rFonts w:eastAsia="Calibri"/>
          <w:szCs w:val="24"/>
        </w:rPr>
        <w:t>).</w:t>
      </w:r>
      <w:r w:rsidR="00C72004" w:rsidRPr="003B4362">
        <w:rPr>
          <w:rFonts w:eastAsia="Calibri"/>
          <w:szCs w:val="24"/>
        </w:rPr>
        <w:t xml:space="preserve">  The num</w:t>
      </w:r>
      <w:r w:rsidR="00254F0E" w:rsidRPr="003B4362">
        <w:rPr>
          <w:rFonts w:eastAsia="Calibri"/>
          <w:szCs w:val="24"/>
        </w:rPr>
        <w:t>ber of lead status unknown service lines remaining at the beginnin</w:t>
      </w:r>
      <w:r w:rsidR="00C72004" w:rsidRPr="003B4362">
        <w:rPr>
          <w:rFonts w:eastAsia="Calibri"/>
          <w:szCs w:val="24"/>
        </w:rPr>
        <w:t>g of each year applies to both.</w:t>
      </w:r>
    </w:p>
    <w:p w14:paraId="603CDCA7" w14:textId="2ECF582F"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8)</w:t>
      </w:r>
      <w:r w:rsidRPr="003B4362">
        <w:rPr>
          <w:rFonts w:eastAsia="Calibri"/>
          <w:szCs w:val="24"/>
        </w:rPr>
        <w:tab/>
        <w:t>T</w:t>
      </w:r>
      <w:bookmarkStart w:id="1438" w:name="_Hlk119422076"/>
      <w:r w:rsidRPr="003B4362">
        <w:rPr>
          <w:rFonts w:eastAsia="Calibri"/>
          <w:szCs w:val="24"/>
        </w:rPr>
        <w:t xml:space="preserve">he </w:t>
      </w:r>
      <w:r w:rsidR="00BC2764" w:rsidRPr="003B4362">
        <w:rPr>
          <w:rFonts w:eastAsia="Calibri"/>
          <w:szCs w:val="24"/>
        </w:rPr>
        <w:t xml:space="preserve">supplier must keep </w:t>
      </w:r>
      <w:r w:rsidR="00D62C7E" w:rsidRPr="003B4362">
        <w:rPr>
          <w:rFonts w:eastAsia="Calibri"/>
          <w:szCs w:val="24"/>
        </w:rPr>
        <w:t>its</w:t>
      </w:r>
      <w:r w:rsidR="00BC2764" w:rsidRPr="003B4362">
        <w:rPr>
          <w:rFonts w:eastAsia="Calibri"/>
          <w:szCs w:val="24"/>
        </w:rPr>
        <w:t xml:space="preserve"> </w:t>
      </w:r>
      <w:r w:rsidRPr="003B4362">
        <w:rPr>
          <w:rFonts w:eastAsia="Calibri"/>
          <w:szCs w:val="24"/>
        </w:rPr>
        <w:t>service line materials inventory</w:t>
      </w:r>
      <w:r w:rsidR="00D62C7E" w:rsidRPr="003B4362">
        <w:rPr>
          <w:rFonts w:eastAsia="Calibri"/>
          <w:szCs w:val="24"/>
        </w:rPr>
        <w:t xml:space="preserve"> </w:t>
      </w:r>
      <w:r w:rsidRPr="003B4362">
        <w:rPr>
          <w:rFonts w:eastAsia="Calibri"/>
          <w:szCs w:val="24"/>
        </w:rPr>
        <w:t>publicly accessible</w:t>
      </w:r>
      <w:bookmarkEnd w:id="1438"/>
      <w:r w:rsidRPr="003B4362">
        <w:rPr>
          <w:rFonts w:eastAsia="Calibri"/>
          <w:szCs w:val="24"/>
        </w:rPr>
        <w:t>.</w:t>
      </w:r>
    </w:p>
    <w:p w14:paraId="19E9E516" w14:textId="237BD57A"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The inventory must include a location</w:t>
      </w:r>
      <w:r w:rsidR="00A93690" w:rsidRPr="003B4362">
        <w:rPr>
          <w:rFonts w:eastAsia="Calibri"/>
          <w:szCs w:val="24"/>
        </w:rPr>
        <w:t>al</w:t>
      </w:r>
      <w:r w:rsidRPr="003B4362">
        <w:rPr>
          <w:rFonts w:eastAsia="Calibri"/>
          <w:szCs w:val="24"/>
        </w:rPr>
        <w:t xml:space="preserve"> identifier, </w:t>
      </w:r>
      <w:r w:rsidR="008E72A6" w:rsidRPr="003B4362">
        <w:rPr>
          <w:rFonts w:eastAsia="Calibri"/>
          <w:szCs w:val="24"/>
        </w:rPr>
        <w:t>such as</w:t>
      </w:r>
      <w:r w:rsidRPr="003B4362">
        <w:rPr>
          <w:rFonts w:eastAsia="Calibri"/>
          <w:szCs w:val="24"/>
        </w:rPr>
        <w:t xml:space="preserve"> a street address, block, intersection, or landmark, </w:t>
      </w:r>
      <w:bookmarkStart w:id="1439" w:name="_Hlk119424518"/>
      <w:r w:rsidR="00A93690" w:rsidRPr="003B4362">
        <w:rPr>
          <w:rFonts w:eastAsia="Calibri"/>
          <w:szCs w:val="24"/>
        </w:rPr>
        <w:t>f</w:t>
      </w:r>
      <w:bookmarkStart w:id="1440" w:name="_Hlk119424712"/>
      <w:r w:rsidR="00A93690" w:rsidRPr="003B4362">
        <w:rPr>
          <w:rFonts w:eastAsia="Calibri"/>
          <w:szCs w:val="24"/>
        </w:rPr>
        <w:t>or</w:t>
      </w:r>
      <w:r w:rsidRPr="003B4362">
        <w:rPr>
          <w:rFonts w:eastAsia="Calibri"/>
          <w:szCs w:val="24"/>
        </w:rPr>
        <w:t xml:space="preserve"> each </w:t>
      </w:r>
      <w:r w:rsidR="00254F0E" w:rsidRPr="003B4362">
        <w:rPr>
          <w:rFonts w:eastAsia="Calibri"/>
          <w:szCs w:val="24"/>
        </w:rPr>
        <w:t>l</w:t>
      </w:r>
      <w:r w:rsidRPr="003B4362">
        <w:rPr>
          <w:rFonts w:eastAsia="Calibri"/>
          <w:szCs w:val="24"/>
        </w:rPr>
        <w:t>ead</w:t>
      </w:r>
      <w:r w:rsidR="00A93690" w:rsidRPr="003B4362">
        <w:rPr>
          <w:rFonts w:eastAsia="Calibri"/>
          <w:szCs w:val="24"/>
        </w:rPr>
        <w:t xml:space="preserve"> or</w:t>
      </w:r>
      <w:r w:rsidRPr="003B4362">
        <w:rPr>
          <w:rFonts w:eastAsia="Calibri"/>
          <w:szCs w:val="24"/>
        </w:rPr>
        <w:t xml:space="preserve"> </w:t>
      </w:r>
      <w:r w:rsidR="00254F0E" w:rsidRPr="003B4362">
        <w:rPr>
          <w:rFonts w:eastAsia="Calibri"/>
          <w:szCs w:val="24"/>
        </w:rPr>
        <w:t>galvanized requiring r</w:t>
      </w:r>
      <w:r w:rsidRPr="003B4362">
        <w:rPr>
          <w:rFonts w:eastAsia="Calibri"/>
          <w:szCs w:val="24"/>
        </w:rPr>
        <w:t>eplacement service line</w:t>
      </w:r>
      <w:bookmarkEnd w:id="1439"/>
      <w:bookmarkEnd w:id="1440"/>
      <w:r w:rsidRPr="003B4362">
        <w:rPr>
          <w:rFonts w:eastAsia="Calibri"/>
          <w:szCs w:val="24"/>
        </w:rPr>
        <w:t xml:space="preserve">.  </w:t>
      </w:r>
      <w:bookmarkStart w:id="1441" w:name="_Hlk119425091"/>
      <w:r w:rsidR="00B35124" w:rsidRPr="003B4362">
        <w:rPr>
          <w:rFonts w:eastAsia="Calibri"/>
          <w:szCs w:val="24"/>
        </w:rPr>
        <w:t>A</w:t>
      </w:r>
      <w:bookmarkStart w:id="1442" w:name="_Hlk119425148"/>
      <w:r w:rsidR="00B35124" w:rsidRPr="003B4362">
        <w:rPr>
          <w:rFonts w:eastAsia="Calibri"/>
          <w:szCs w:val="24"/>
        </w:rPr>
        <w:t xml:space="preserve"> supplier</w:t>
      </w:r>
      <w:r w:rsidRPr="003B4362">
        <w:rPr>
          <w:rFonts w:eastAsia="Calibri"/>
          <w:szCs w:val="24"/>
        </w:rPr>
        <w:t xml:space="preserve"> may</w:t>
      </w:r>
      <w:r w:rsidR="00B35124" w:rsidRPr="003B4362">
        <w:rPr>
          <w:rFonts w:eastAsia="Calibri"/>
          <w:szCs w:val="24"/>
        </w:rPr>
        <w:t xml:space="preserve"> </w:t>
      </w:r>
      <w:r w:rsidRPr="003B4362">
        <w:rPr>
          <w:rFonts w:eastAsia="Calibri"/>
          <w:szCs w:val="24"/>
        </w:rPr>
        <w:t>include</w:t>
      </w:r>
      <w:bookmarkEnd w:id="1441"/>
      <w:bookmarkEnd w:id="1442"/>
      <w:r w:rsidRPr="003B4362">
        <w:rPr>
          <w:rFonts w:eastAsia="Calibri"/>
          <w:szCs w:val="24"/>
        </w:rPr>
        <w:t xml:space="preserve"> a locational identifier for </w:t>
      </w:r>
      <w:bookmarkStart w:id="1443" w:name="_Hlk119425486"/>
      <w:r w:rsidR="00254F0E" w:rsidRPr="003B4362">
        <w:rPr>
          <w:rFonts w:eastAsia="Calibri"/>
          <w:szCs w:val="24"/>
        </w:rPr>
        <w:t>lead status u</w:t>
      </w:r>
      <w:r w:rsidRPr="003B4362">
        <w:rPr>
          <w:rFonts w:eastAsia="Calibri"/>
          <w:szCs w:val="24"/>
        </w:rPr>
        <w:t>nknown service lines</w:t>
      </w:r>
      <w:bookmarkEnd w:id="1443"/>
      <w:r w:rsidRPr="003B4362">
        <w:rPr>
          <w:rFonts w:eastAsia="Calibri"/>
          <w:szCs w:val="24"/>
        </w:rPr>
        <w:t xml:space="preserve"> or list the exact address of each service line.</w:t>
      </w:r>
    </w:p>
    <w:p w14:paraId="3D063E7B" w14:textId="024D6D49"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bookmarkStart w:id="1444" w:name="_Hlk119425592"/>
      <w:r w:rsidR="00B35124" w:rsidRPr="003B4362">
        <w:rPr>
          <w:rFonts w:eastAsia="Calibri"/>
          <w:szCs w:val="24"/>
        </w:rPr>
        <w:t>A</w:t>
      </w:r>
      <w:bookmarkStart w:id="1445" w:name="_Hlk119425660"/>
      <w:r w:rsidR="00B35124" w:rsidRPr="003B4362">
        <w:rPr>
          <w:rFonts w:eastAsia="Calibri"/>
          <w:szCs w:val="24"/>
        </w:rPr>
        <w:t xml:space="preserve"> supplier</w:t>
      </w:r>
      <w:r w:rsidRPr="003B4362">
        <w:rPr>
          <w:rFonts w:eastAsia="Calibri"/>
          <w:szCs w:val="24"/>
        </w:rPr>
        <w:t xml:space="preserve"> serving </w:t>
      </w:r>
      <w:r w:rsidR="00B35124" w:rsidRPr="003B4362">
        <w:rPr>
          <w:rFonts w:eastAsia="Calibri"/>
          <w:szCs w:val="24"/>
        </w:rPr>
        <w:t>more</w:t>
      </w:r>
      <w:r w:rsidRPr="003B4362">
        <w:rPr>
          <w:rFonts w:eastAsia="Calibri"/>
          <w:szCs w:val="24"/>
        </w:rPr>
        <w:t xml:space="preserve"> than 50,000 persons</w:t>
      </w:r>
      <w:bookmarkEnd w:id="1444"/>
      <w:bookmarkEnd w:id="1445"/>
      <w:r w:rsidRPr="003B4362">
        <w:rPr>
          <w:rFonts w:eastAsia="Calibri"/>
          <w:szCs w:val="24"/>
        </w:rPr>
        <w:t xml:space="preserve"> must make the publicly accessible inventory available online.</w:t>
      </w:r>
    </w:p>
    <w:p w14:paraId="3397C515" w14:textId="4FF66F41"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9)</w:t>
      </w:r>
      <w:r w:rsidRPr="003B4362">
        <w:rPr>
          <w:rFonts w:eastAsia="Calibri"/>
          <w:szCs w:val="24"/>
        </w:rPr>
        <w:tab/>
      </w:r>
      <w:bookmarkStart w:id="1446" w:name="_Hlk119428036"/>
      <w:r w:rsidR="00473970" w:rsidRPr="003B4362">
        <w:rPr>
          <w:rFonts w:eastAsia="Calibri"/>
          <w:szCs w:val="24"/>
        </w:rPr>
        <w:t>I</w:t>
      </w:r>
      <w:bookmarkStart w:id="1447" w:name="_Hlk119428086"/>
      <w:r w:rsidR="00473970" w:rsidRPr="003B4362">
        <w:rPr>
          <w:rFonts w:eastAsia="Calibri"/>
          <w:szCs w:val="24"/>
        </w:rPr>
        <w:t>f</w:t>
      </w:r>
      <w:r w:rsidRPr="003B4362">
        <w:rPr>
          <w:rFonts w:eastAsia="Calibri"/>
          <w:szCs w:val="24"/>
        </w:rPr>
        <w:t xml:space="preserve"> a </w:t>
      </w:r>
      <w:bookmarkEnd w:id="1446"/>
      <w:r w:rsidR="00473970" w:rsidRPr="003B4362">
        <w:rPr>
          <w:rFonts w:eastAsia="Calibri"/>
          <w:szCs w:val="24"/>
        </w:rPr>
        <w:t>supplier</w:t>
      </w:r>
      <w:bookmarkEnd w:id="1447"/>
      <w:r w:rsidRPr="003B4362">
        <w:rPr>
          <w:rFonts w:eastAsia="Calibri"/>
          <w:szCs w:val="24"/>
        </w:rPr>
        <w:t xml:space="preserve"> has n</w:t>
      </w:r>
      <w:r w:rsidR="00254F0E" w:rsidRPr="003B4362">
        <w:rPr>
          <w:rFonts w:eastAsia="Calibri"/>
          <w:szCs w:val="24"/>
        </w:rPr>
        <w:t xml:space="preserve">o </w:t>
      </w:r>
      <w:bookmarkStart w:id="1448" w:name="_Hlk119425740"/>
      <w:r w:rsidR="00254F0E" w:rsidRPr="003B4362">
        <w:rPr>
          <w:rFonts w:eastAsia="Calibri"/>
          <w:szCs w:val="24"/>
        </w:rPr>
        <w:t>lead, galvanized requiring replacement, or lead status unknown s</w:t>
      </w:r>
      <w:r w:rsidRPr="003B4362">
        <w:rPr>
          <w:rFonts w:eastAsia="Calibri"/>
          <w:szCs w:val="24"/>
        </w:rPr>
        <w:t>ervice lines</w:t>
      </w:r>
      <w:bookmarkEnd w:id="1448"/>
      <w:r w:rsidRPr="003B4362">
        <w:rPr>
          <w:rFonts w:eastAsia="Calibri"/>
          <w:szCs w:val="24"/>
        </w:rPr>
        <w:t xml:space="preserve"> (regardless of ownership) in its inventory, </w:t>
      </w:r>
      <w:r w:rsidR="00473970" w:rsidRPr="003B4362">
        <w:rPr>
          <w:rFonts w:eastAsia="Calibri"/>
          <w:szCs w:val="24"/>
        </w:rPr>
        <w:t>the supplier</w:t>
      </w:r>
      <w:r w:rsidRPr="003B4362">
        <w:rPr>
          <w:rFonts w:eastAsia="Calibri"/>
          <w:szCs w:val="24"/>
        </w:rPr>
        <w:t xml:space="preserve"> may comply</w:t>
      </w:r>
      <w:bookmarkStart w:id="1449" w:name="_Hlk119428186"/>
      <w:r w:rsidRPr="003B4362">
        <w:rPr>
          <w:rFonts w:eastAsia="Calibri"/>
          <w:szCs w:val="24"/>
        </w:rPr>
        <w:t xml:space="preserve"> with</w:t>
      </w:r>
      <w:r w:rsidR="00473970" w:rsidRPr="003B4362">
        <w:rPr>
          <w:rFonts w:eastAsia="Calibri"/>
          <w:szCs w:val="24"/>
        </w:rPr>
        <w:t xml:space="preserve"> </w:t>
      </w:r>
      <w:r w:rsidRPr="003B4362">
        <w:rPr>
          <w:rFonts w:eastAsia="Calibri"/>
          <w:szCs w:val="24"/>
        </w:rPr>
        <w:t>subsection (a)(8)</w:t>
      </w:r>
      <w:bookmarkEnd w:id="1449"/>
      <w:r w:rsidRPr="003B4362">
        <w:rPr>
          <w:rFonts w:eastAsia="Calibri"/>
          <w:szCs w:val="24"/>
        </w:rPr>
        <w:t xml:space="preserve"> using a written statement, in lieu of the inventory, </w:t>
      </w:r>
      <w:bookmarkStart w:id="1450" w:name="_Hlk119428295"/>
      <w:r w:rsidRPr="003B4362">
        <w:rPr>
          <w:rFonts w:eastAsia="Calibri"/>
          <w:szCs w:val="24"/>
        </w:rPr>
        <w:t xml:space="preserve">declaring that </w:t>
      </w:r>
      <w:r w:rsidR="00473970" w:rsidRPr="003B4362">
        <w:rPr>
          <w:rFonts w:eastAsia="Calibri"/>
          <w:szCs w:val="24"/>
        </w:rPr>
        <w:t>its</w:t>
      </w:r>
      <w:r w:rsidRPr="003B4362">
        <w:rPr>
          <w:rFonts w:eastAsia="Calibri"/>
          <w:szCs w:val="24"/>
        </w:rPr>
        <w:t xml:space="preserve"> distribution system</w:t>
      </w:r>
      <w:bookmarkEnd w:id="1450"/>
      <w:r w:rsidRPr="003B4362">
        <w:rPr>
          <w:rFonts w:eastAsia="Calibri"/>
          <w:szCs w:val="24"/>
        </w:rPr>
        <w:t xml:space="preserve"> has </w:t>
      </w:r>
      <w:bookmarkStart w:id="1451" w:name="_Hlk119428489"/>
      <w:r w:rsidRPr="003B4362">
        <w:rPr>
          <w:rFonts w:eastAsia="Calibri"/>
          <w:szCs w:val="24"/>
        </w:rPr>
        <w:t xml:space="preserve">no </w:t>
      </w:r>
      <w:r w:rsidR="00254F0E" w:rsidRPr="003B4362">
        <w:rPr>
          <w:rFonts w:eastAsia="Calibri"/>
          <w:szCs w:val="24"/>
        </w:rPr>
        <w:t>l</w:t>
      </w:r>
      <w:r w:rsidRPr="003B4362">
        <w:rPr>
          <w:rFonts w:eastAsia="Calibri"/>
          <w:szCs w:val="24"/>
        </w:rPr>
        <w:t>ead</w:t>
      </w:r>
      <w:r w:rsidR="00473970" w:rsidRPr="003B4362">
        <w:rPr>
          <w:rFonts w:eastAsia="Calibri"/>
          <w:szCs w:val="24"/>
        </w:rPr>
        <w:t xml:space="preserve"> </w:t>
      </w:r>
      <w:r w:rsidRPr="003B4362">
        <w:rPr>
          <w:rFonts w:eastAsia="Calibri"/>
          <w:szCs w:val="24"/>
        </w:rPr>
        <w:t xml:space="preserve">or </w:t>
      </w:r>
      <w:r w:rsidR="00254F0E" w:rsidRPr="003B4362">
        <w:rPr>
          <w:rFonts w:eastAsia="Calibri"/>
          <w:szCs w:val="24"/>
        </w:rPr>
        <w:t>galvanized requiring r</w:t>
      </w:r>
      <w:r w:rsidRPr="003B4362">
        <w:rPr>
          <w:rFonts w:eastAsia="Calibri"/>
          <w:szCs w:val="24"/>
        </w:rPr>
        <w:t>eplacement service lines</w:t>
      </w:r>
      <w:bookmarkEnd w:id="1451"/>
      <w:r w:rsidRPr="003B4362">
        <w:rPr>
          <w:rFonts w:eastAsia="Calibri"/>
          <w:szCs w:val="24"/>
        </w:rPr>
        <w:t xml:space="preserve">.  The statement must include a general description of </w:t>
      </w:r>
      <w:bookmarkStart w:id="1452" w:name="_Hlk119428626"/>
      <w:bookmarkStart w:id="1453" w:name="_Hlk119428880"/>
      <w:r w:rsidRPr="003B4362">
        <w:rPr>
          <w:rFonts w:eastAsia="Calibri"/>
          <w:szCs w:val="24"/>
        </w:rPr>
        <w:t xml:space="preserve">all applicable sources </w:t>
      </w:r>
      <w:r w:rsidR="006E1D3F" w:rsidRPr="003B4362">
        <w:rPr>
          <w:rFonts w:eastAsia="Calibri"/>
          <w:szCs w:val="24"/>
        </w:rPr>
        <w:t>the supplier used</w:t>
      </w:r>
      <w:r w:rsidRPr="003B4362">
        <w:rPr>
          <w:rFonts w:eastAsia="Calibri"/>
          <w:szCs w:val="24"/>
        </w:rPr>
        <w:t xml:space="preserve"> </w:t>
      </w:r>
      <w:r w:rsidR="006E1D3F" w:rsidRPr="003B4362">
        <w:rPr>
          <w:rFonts w:eastAsia="Calibri"/>
          <w:szCs w:val="24"/>
        </w:rPr>
        <w:t>under</w:t>
      </w:r>
      <w:r w:rsidRPr="003B4362">
        <w:rPr>
          <w:rFonts w:eastAsia="Calibri"/>
          <w:szCs w:val="24"/>
        </w:rPr>
        <w:t xml:space="preserve"> subsections (a)(3), </w:t>
      </w:r>
      <w:r w:rsidR="006E1D3F" w:rsidRPr="003B4362">
        <w:rPr>
          <w:rFonts w:eastAsia="Calibri"/>
          <w:szCs w:val="24"/>
        </w:rPr>
        <w:t>(a)</w:t>
      </w:r>
      <w:r w:rsidRPr="003B4362">
        <w:rPr>
          <w:rFonts w:eastAsia="Calibri"/>
          <w:szCs w:val="24"/>
        </w:rPr>
        <w:t xml:space="preserve">(5), and </w:t>
      </w:r>
      <w:r w:rsidR="006E1D3F" w:rsidRPr="003B4362">
        <w:rPr>
          <w:rFonts w:eastAsia="Calibri"/>
          <w:szCs w:val="24"/>
        </w:rPr>
        <w:t>(a)</w:t>
      </w:r>
      <w:r w:rsidRPr="003B4362">
        <w:rPr>
          <w:rFonts w:eastAsia="Calibri"/>
          <w:szCs w:val="24"/>
        </w:rPr>
        <w:t>(6)</w:t>
      </w:r>
      <w:r w:rsidR="006E1D3F" w:rsidRPr="003B4362">
        <w:rPr>
          <w:rFonts w:eastAsia="Calibri"/>
          <w:szCs w:val="24"/>
        </w:rPr>
        <w:t xml:space="preserve"> </w:t>
      </w:r>
      <w:r w:rsidRPr="003B4362">
        <w:rPr>
          <w:rFonts w:eastAsia="Calibri"/>
          <w:szCs w:val="24"/>
        </w:rPr>
        <w:t>to</w:t>
      </w:r>
      <w:r w:rsidR="006E1D3F" w:rsidRPr="003B4362">
        <w:rPr>
          <w:rFonts w:eastAsia="Calibri"/>
          <w:szCs w:val="24"/>
        </w:rPr>
        <w:t xml:space="preserve"> </w:t>
      </w:r>
      <w:r w:rsidRPr="003B4362">
        <w:rPr>
          <w:rFonts w:eastAsia="Calibri"/>
          <w:szCs w:val="24"/>
        </w:rPr>
        <w:t>determin</w:t>
      </w:r>
      <w:bookmarkEnd w:id="1452"/>
      <w:r w:rsidR="006E1D3F" w:rsidRPr="003B4362">
        <w:rPr>
          <w:rFonts w:eastAsia="Calibri"/>
          <w:szCs w:val="24"/>
        </w:rPr>
        <w:t>e these service lines are absent</w:t>
      </w:r>
      <w:bookmarkEnd w:id="1453"/>
      <w:r w:rsidRPr="003B4362">
        <w:rPr>
          <w:rFonts w:eastAsia="Calibri"/>
          <w:szCs w:val="24"/>
        </w:rPr>
        <w:t>.</w:t>
      </w:r>
    </w:p>
    <w:p w14:paraId="60708CA5" w14:textId="2FCCFC5B"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lastRenderedPageBreak/>
        <w:t>10)</w:t>
      </w:r>
      <w:r w:rsidRPr="003B4362">
        <w:rPr>
          <w:rFonts w:eastAsia="Calibri"/>
          <w:szCs w:val="24"/>
        </w:rPr>
        <w:tab/>
      </w:r>
      <w:bookmarkStart w:id="1454" w:name="_Hlk119428983"/>
      <w:r w:rsidR="006E1D3F" w:rsidRPr="003B4362">
        <w:rPr>
          <w:rFonts w:eastAsia="Calibri"/>
          <w:szCs w:val="24"/>
        </w:rPr>
        <w:t>T</w:t>
      </w:r>
      <w:bookmarkStart w:id="1455" w:name="_Hlk119429255"/>
      <w:r w:rsidR="006E1D3F" w:rsidRPr="003B4362">
        <w:rPr>
          <w:rFonts w:eastAsia="Calibri"/>
          <w:szCs w:val="24"/>
        </w:rPr>
        <w:t>he supplier must include i</w:t>
      </w:r>
      <w:r w:rsidRPr="003B4362">
        <w:rPr>
          <w:rFonts w:eastAsia="Calibri"/>
          <w:szCs w:val="24"/>
        </w:rPr>
        <w:t xml:space="preserve">nstructions </w:t>
      </w:r>
      <w:r w:rsidR="006E1D3F" w:rsidRPr="003B4362">
        <w:rPr>
          <w:rFonts w:eastAsia="Calibri"/>
          <w:szCs w:val="24"/>
        </w:rPr>
        <w:t>for</w:t>
      </w:r>
      <w:r w:rsidRPr="003B4362">
        <w:rPr>
          <w:rFonts w:eastAsia="Calibri"/>
          <w:szCs w:val="24"/>
        </w:rPr>
        <w:t xml:space="preserve"> access</w:t>
      </w:r>
      <w:r w:rsidR="006E1D3F" w:rsidRPr="003B4362">
        <w:rPr>
          <w:rFonts w:eastAsia="Calibri"/>
          <w:szCs w:val="24"/>
        </w:rPr>
        <w:t>ing</w:t>
      </w:r>
      <w:r w:rsidRPr="003B4362">
        <w:rPr>
          <w:rFonts w:eastAsia="Calibri"/>
          <w:szCs w:val="24"/>
        </w:rPr>
        <w:t xml:space="preserve"> the service line inventory (including inventories consisting only of a statement </w:t>
      </w:r>
      <w:r w:rsidR="002A24C8" w:rsidRPr="003B4362">
        <w:rPr>
          <w:rFonts w:eastAsia="Calibri"/>
          <w:szCs w:val="24"/>
        </w:rPr>
        <w:t>under</w:t>
      </w:r>
      <w:r w:rsidRPr="003B4362">
        <w:rPr>
          <w:rFonts w:eastAsia="Calibri"/>
          <w:szCs w:val="24"/>
        </w:rPr>
        <w:t xml:space="preserve"> subsection (a)(9))</w:t>
      </w:r>
      <w:bookmarkEnd w:id="1454"/>
      <w:bookmarkEnd w:id="1455"/>
      <w:r w:rsidR="006E1D3F" w:rsidRPr="003B4362">
        <w:rPr>
          <w:rFonts w:eastAsia="Calibri"/>
          <w:szCs w:val="24"/>
        </w:rPr>
        <w:t xml:space="preserve"> </w:t>
      </w:r>
      <w:bookmarkStart w:id="1456" w:name="_Hlk119429300"/>
      <w:r w:rsidRPr="003B4362">
        <w:rPr>
          <w:rFonts w:eastAsia="Calibri"/>
          <w:szCs w:val="24"/>
        </w:rPr>
        <w:t xml:space="preserve">in </w:t>
      </w:r>
      <w:r w:rsidR="006E1D3F" w:rsidRPr="003B4362">
        <w:rPr>
          <w:rFonts w:eastAsia="Calibri"/>
          <w:szCs w:val="24"/>
        </w:rPr>
        <w:t xml:space="preserve">its </w:t>
      </w:r>
      <w:r w:rsidRPr="003B4362">
        <w:rPr>
          <w:rFonts w:eastAsia="Calibri"/>
          <w:szCs w:val="24"/>
        </w:rPr>
        <w:t xml:space="preserve">Consumer Confidence Report </w:t>
      </w:r>
      <w:r w:rsidR="002A24C8" w:rsidRPr="003B4362">
        <w:rPr>
          <w:rFonts w:eastAsia="Calibri"/>
          <w:szCs w:val="24"/>
        </w:rPr>
        <w:t>under</w:t>
      </w:r>
      <w:r w:rsidRPr="003B4362">
        <w:rPr>
          <w:rFonts w:eastAsia="Calibri"/>
          <w:szCs w:val="24"/>
        </w:rPr>
        <w:t xml:space="preserve"> Section 141.153(d)(4)(K)</w:t>
      </w:r>
      <w:bookmarkEnd w:id="1456"/>
      <w:r w:rsidRPr="003B4362">
        <w:rPr>
          <w:rFonts w:eastAsia="Calibri"/>
          <w:szCs w:val="24"/>
        </w:rPr>
        <w:t>.</w:t>
      </w:r>
    </w:p>
    <w:p w14:paraId="58D083DC" w14:textId="10B4904F" w:rsidR="009557C7" w:rsidRPr="003B4362" w:rsidRDefault="009557C7" w:rsidP="009557C7">
      <w:pPr>
        <w:autoSpaceDE w:val="0"/>
        <w:autoSpaceDN w:val="0"/>
        <w:adjustRightInd w:val="0"/>
        <w:spacing w:before="240" w:after="240"/>
        <w:ind w:left="1440" w:hanging="720"/>
        <w:rPr>
          <w:rFonts w:eastAsia="Calibri"/>
          <w:szCs w:val="24"/>
        </w:rPr>
      </w:pPr>
      <w:r w:rsidRPr="003B4362">
        <w:rPr>
          <w:rFonts w:eastAsia="Calibri"/>
          <w:szCs w:val="24"/>
        </w:rPr>
        <w:t>b)</w:t>
      </w:r>
      <w:r w:rsidRPr="003B4362">
        <w:rPr>
          <w:rFonts w:eastAsia="Calibri"/>
          <w:szCs w:val="24"/>
        </w:rPr>
        <w:tab/>
      </w:r>
      <w:bookmarkStart w:id="1457" w:name="_Hlk119431056"/>
      <w:r w:rsidRPr="003B4362">
        <w:rPr>
          <w:rFonts w:eastAsia="Calibri"/>
          <w:szCs w:val="24"/>
        </w:rPr>
        <w:t xml:space="preserve">Lead </w:t>
      </w:r>
      <w:r w:rsidR="00F82C17" w:rsidRPr="003B4362">
        <w:rPr>
          <w:rFonts w:eastAsia="Calibri"/>
          <w:szCs w:val="24"/>
        </w:rPr>
        <w:t>S</w:t>
      </w:r>
      <w:r w:rsidRPr="003B4362">
        <w:rPr>
          <w:rFonts w:eastAsia="Calibri"/>
          <w:szCs w:val="24"/>
        </w:rPr>
        <w:t xml:space="preserve">ervice </w:t>
      </w:r>
      <w:r w:rsidR="00F82C17" w:rsidRPr="003B4362">
        <w:rPr>
          <w:rFonts w:eastAsia="Calibri"/>
          <w:szCs w:val="24"/>
        </w:rPr>
        <w:t>L</w:t>
      </w:r>
      <w:r w:rsidRPr="003B4362">
        <w:rPr>
          <w:rFonts w:eastAsia="Calibri"/>
          <w:szCs w:val="24"/>
        </w:rPr>
        <w:t xml:space="preserve">ine </w:t>
      </w:r>
      <w:r w:rsidR="00F82C17" w:rsidRPr="003B4362">
        <w:rPr>
          <w:rFonts w:eastAsia="Calibri"/>
          <w:szCs w:val="24"/>
        </w:rPr>
        <w:t>R</w:t>
      </w:r>
      <w:r w:rsidRPr="003B4362">
        <w:rPr>
          <w:rFonts w:eastAsia="Calibri"/>
          <w:szCs w:val="24"/>
        </w:rPr>
        <w:t xml:space="preserve">eplacement </w:t>
      </w:r>
      <w:r w:rsidR="00F82C17" w:rsidRPr="003B4362">
        <w:rPr>
          <w:rFonts w:eastAsia="Calibri"/>
          <w:szCs w:val="24"/>
        </w:rPr>
        <w:t>P</w:t>
      </w:r>
      <w:r w:rsidRPr="003B4362">
        <w:rPr>
          <w:rFonts w:eastAsia="Calibri"/>
          <w:szCs w:val="24"/>
        </w:rPr>
        <w:t>lan</w:t>
      </w:r>
      <w:bookmarkEnd w:id="1457"/>
      <w:r w:rsidRPr="003B4362">
        <w:rPr>
          <w:rFonts w:eastAsia="Calibri"/>
          <w:szCs w:val="24"/>
        </w:rPr>
        <w:t xml:space="preserve">.  </w:t>
      </w:r>
      <w:bookmarkStart w:id="1458" w:name="_Hlk119431108"/>
      <w:r w:rsidR="00F82C17" w:rsidRPr="003B4362">
        <w:rPr>
          <w:rFonts w:eastAsia="Calibri"/>
          <w:szCs w:val="24"/>
        </w:rPr>
        <w:t>A</w:t>
      </w:r>
      <w:bookmarkStart w:id="1459" w:name="_Hlk119431230"/>
      <w:r w:rsidR="00F82C17" w:rsidRPr="003B4362">
        <w:rPr>
          <w:rFonts w:eastAsia="Calibri"/>
          <w:szCs w:val="24"/>
        </w:rPr>
        <w:t xml:space="preserve"> supplier</w:t>
      </w:r>
      <w:r w:rsidRPr="003B4362">
        <w:rPr>
          <w:rFonts w:eastAsia="Calibri"/>
          <w:szCs w:val="24"/>
        </w:rPr>
        <w:t xml:space="preserve"> with one or more </w:t>
      </w:r>
      <w:r w:rsidR="00254F0E" w:rsidRPr="003B4362">
        <w:rPr>
          <w:rFonts w:eastAsia="Calibri"/>
          <w:szCs w:val="24"/>
        </w:rPr>
        <w:t>lead, galvanized requiring replacement, or lead status u</w:t>
      </w:r>
      <w:r w:rsidRPr="003B4362">
        <w:rPr>
          <w:rFonts w:eastAsia="Calibri"/>
          <w:szCs w:val="24"/>
        </w:rPr>
        <w:t xml:space="preserve">nknown service lines in </w:t>
      </w:r>
      <w:r w:rsidR="00F82C17" w:rsidRPr="003B4362">
        <w:rPr>
          <w:rFonts w:eastAsia="Calibri"/>
          <w:szCs w:val="24"/>
        </w:rPr>
        <w:t>its</w:t>
      </w:r>
      <w:r w:rsidRPr="003B4362">
        <w:rPr>
          <w:rFonts w:eastAsia="Calibri"/>
          <w:szCs w:val="24"/>
        </w:rPr>
        <w:t xml:space="preserve"> distribution system</w:t>
      </w:r>
      <w:bookmarkEnd w:id="1458"/>
      <w:bookmarkEnd w:id="1459"/>
      <w:r w:rsidRPr="003B4362">
        <w:rPr>
          <w:rFonts w:eastAsia="Calibri"/>
          <w:szCs w:val="24"/>
        </w:rPr>
        <w:t xml:space="preserve"> must</w:t>
      </w:r>
      <w:r w:rsidR="003309F7" w:rsidRPr="003B4362">
        <w:rPr>
          <w:rFonts w:eastAsia="Calibri"/>
          <w:szCs w:val="24"/>
        </w:rPr>
        <w:t xml:space="preserve"> </w:t>
      </w:r>
      <w:r w:rsidRPr="003B4362">
        <w:rPr>
          <w:rFonts w:eastAsia="Calibri"/>
          <w:szCs w:val="24"/>
        </w:rPr>
        <w:t xml:space="preserve">submit a </w:t>
      </w:r>
      <w:bookmarkStart w:id="1460" w:name="_Hlk120043172"/>
      <w:r w:rsidR="00844701" w:rsidRPr="003B4362">
        <w:rPr>
          <w:rFonts w:eastAsia="Calibri"/>
          <w:szCs w:val="24"/>
        </w:rPr>
        <w:t>l</w:t>
      </w:r>
      <w:r w:rsidRPr="003B4362">
        <w:rPr>
          <w:rFonts w:eastAsia="Calibri"/>
          <w:szCs w:val="24"/>
        </w:rPr>
        <w:t>ead service line replacement plan</w:t>
      </w:r>
      <w:bookmarkEnd w:id="1460"/>
      <w:r w:rsidRPr="003B4362">
        <w:rPr>
          <w:rFonts w:eastAsia="Calibri"/>
          <w:szCs w:val="24"/>
        </w:rPr>
        <w:t xml:space="preserve"> to the </w:t>
      </w:r>
      <w:r w:rsidR="003309F7" w:rsidRPr="003B4362">
        <w:rPr>
          <w:rFonts w:eastAsia="Calibri"/>
          <w:szCs w:val="24"/>
        </w:rPr>
        <w:t>Agency</w:t>
      </w:r>
      <w:r w:rsidRPr="003B4362">
        <w:rPr>
          <w:rFonts w:eastAsia="Calibri"/>
          <w:szCs w:val="24"/>
        </w:rPr>
        <w:t xml:space="preserve"> </w:t>
      </w:r>
      <w:r w:rsidR="003309F7" w:rsidRPr="003B4362">
        <w:rPr>
          <w:rFonts w:eastAsia="Calibri"/>
          <w:szCs w:val="24"/>
        </w:rPr>
        <w:t>under</w:t>
      </w:r>
      <w:r w:rsidRPr="003B4362">
        <w:rPr>
          <w:rFonts w:eastAsia="Calibri"/>
          <w:szCs w:val="24"/>
        </w:rPr>
        <w:t xml:space="preserve"> Section </w:t>
      </w:r>
      <w:r w:rsidR="003309F7" w:rsidRPr="003B4362">
        <w:rPr>
          <w:rFonts w:eastAsia="Calibri"/>
          <w:szCs w:val="24"/>
        </w:rPr>
        <w:t>61</w:t>
      </w:r>
      <w:r w:rsidRPr="003B4362">
        <w:rPr>
          <w:rFonts w:eastAsia="Calibri"/>
          <w:szCs w:val="24"/>
        </w:rPr>
        <w:t>1.</w:t>
      </w:r>
      <w:r w:rsidR="003309F7" w:rsidRPr="003B4362">
        <w:rPr>
          <w:rFonts w:eastAsia="Calibri"/>
          <w:szCs w:val="24"/>
        </w:rPr>
        <w:t>36</w:t>
      </w:r>
      <w:r w:rsidRPr="003B4362">
        <w:rPr>
          <w:rFonts w:eastAsia="Calibri"/>
          <w:szCs w:val="24"/>
        </w:rPr>
        <w:t>0(e)</w:t>
      </w:r>
      <w:r w:rsidR="003309F7" w:rsidRPr="003B4362">
        <w:rPr>
          <w:rFonts w:eastAsia="Calibri"/>
          <w:szCs w:val="24"/>
        </w:rPr>
        <w:t xml:space="preserve"> </w:t>
      </w:r>
      <w:bookmarkStart w:id="1461" w:name="_Hlk119437055"/>
      <w:r w:rsidR="003309F7" w:rsidRPr="003B4362">
        <w:rPr>
          <w:rFonts w:eastAsia="Calibri"/>
          <w:szCs w:val="24"/>
        </w:rPr>
        <w:t>before October 16, 2024</w:t>
      </w:r>
      <w:bookmarkEnd w:id="1461"/>
      <w:r w:rsidRPr="003B4362">
        <w:rPr>
          <w:rFonts w:eastAsia="Calibri"/>
          <w:szCs w:val="24"/>
        </w:rPr>
        <w:t xml:space="preserve">.  The </w:t>
      </w:r>
      <w:r w:rsidR="00121F15" w:rsidRPr="003B4362">
        <w:rPr>
          <w:rFonts w:eastAsia="Calibri"/>
          <w:szCs w:val="24"/>
        </w:rPr>
        <w:t>l</w:t>
      </w:r>
      <w:r w:rsidRPr="003B4362">
        <w:rPr>
          <w:rFonts w:eastAsia="Calibri"/>
          <w:szCs w:val="24"/>
        </w:rPr>
        <w:t xml:space="preserve">ead service line replacement plan must </w:t>
      </w:r>
      <w:bookmarkStart w:id="1462" w:name="_Hlk119437918"/>
      <w:r w:rsidR="00AC6559" w:rsidRPr="003B4362">
        <w:rPr>
          <w:rFonts w:eastAsia="Calibri"/>
          <w:szCs w:val="24"/>
        </w:rPr>
        <w:t xml:space="preserve">have sufficient </w:t>
      </w:r>
      <w:r w:rsidRPr="003B4362">
        <w:rPr>
          <w:rFonts w:eastAsia="Calibri"/>
          <w:szCs w:val="24"/>
        </w:rPr>
        <w:t xml:space="preserve">detail to ensure </w:t>
      </w:r>
      <w:r w:rsidR="00AC6559" w:rsidRPr="003B4362">
        <w:rPr>
          <w:rFonts w:eastAsia="Calibri"/>
          <w:szCs w:val="24"/>
        </w:rPr>
        <w:t>the</w:t>
      </w:r>
      <w:r w:rsidRPr="003B4362">
        <w:rPr>
          <w:rFonts w:eastAsia="Calibri"/>
          <w:szCs w:val="24"/>
        </w:rPr>
        <w:t xml:space="preserve"> </w:t>
      </w:r>
      <w:r w:rsidR="00AC6559" w:rsidRPr="003B4362">
        <w:rPr>
          <w:rFonts w:eastAsia="Calibri"/>
          <w:szCs w:val="24"/>
        </w:rPr>
        <w:t>supplier</w:t>
      </w:r>
      <w:r w:rsidRPr="003B4362">
        <w:rPr>
          <w:rFonts w:eastAsia="Calibri"/>
          <w:szCs w:val="24"/>
        </w:rPr>
        <w:t xml:space="preserve"> </w:t>
      </w:r>
      <w:r w:rsidR="00AC6559" w:rsidRPr="003B4362">
        <w:rPr>
          <w:rFonts w:eastAsia="Calibri"/>
          <w:szCs w:val="24"/>
        </w:rPr>
        <w:t>can</w:t>
      </w:r>
      <w:r w:rsidRPr="003B4362">
        <w:rPr>
          <w:rFonts w:eastAsia="Calibri"/>
          <w:szCs w:val="24"/>
        </w:rPr>
        <w:t xml:space="preserve"> comply</w:t>
      </w:r>
      <w:bookmarkEnd w:id="1462"/>
      <w:r w:rsidRPr="003B4362">
        <w:rPr>
          <w:rFonts w:eastAsia="Calibri"/>
          <w:szCs w:val="24"/>
        </w:rPr>
        <w:t xml:space="preserve"> with</w:t>
      </w:r>
      <w:bookmarkStart w:id="1463" w:name="_Hlk119438305"/>
      <w:r w:rsidR="00AC6559" w:rsidRPr="003B4362">
        <w:rPr>
          <w:rFonts w:eastAsia="Calibri"/>
          <w:szCs w:val="24"/>
        </w:rPr>
        <w:t xml:space="preserve"> </w:t>
      </w:r>
      <w:bookmarkStart w:id="1464" w:name="_Hlk119438416"/>
      <w:r w:rsidR="00844701" w:rsidRPr="003B4362">
        <w:rPr>
          <w:rFonts w:eastAsia="Calibri"/>
          <w:szCs w:val="24"/>
        </w:rPr>
        <w:t>l</w:t>
      </w:r>
      <w:r w:rsidRPr="003B4362">
        <w:rPr>
          <w:rFonts w:eastAsia="Calibri"/>
          <w:szCs w:val="24"/>
        </w:rPr>
        <w:t xml:space="preserve">ead service line replacement requirements </w:t>
      </w:r>
      <w:r w:rsidR="00AC6559" w:rsidRPr="003B4362">
        <w:rPr>
          <w:rFonts w:eastAsia="Calibri"/>
          <w:szCs w:val="24"/>
        </w:rPr>
        <w:t>under</w:t>
      </w:r>
      <w:r w:rsidRPr="003B4362">
        <w:rPr>
          <w:rFonts w:eastAsia="Calibri"/>
          <w:szCs w:val="24"/>
        </w:rPr>
        <w:t xml:space="preserve"> this </w:t>
      </w:r>
      <w:r w:rsidR="00AC6559" w:rsidRPr="003B4362">
        <w:rPr>
          <w:rFonts w:eastAsia="Calibri"/>
          <w:szCs w:val="24"/>
        </w:rPr>
        <w:t>S</w:t>
      </w:r>
      <w:r w:rsidRPr="003B4362">
        <w:rPr>
          <w:rFonts w:eastAsia="Calibri"/>
          <w:szCs w:val="24"/>
        </w:rPr>
        <w:t>ection</w:t>
      </w:r>
      <w:bookmarkEnd w:id="1463"/>
      <w:bookmarkEnd w:id="1464"/>
      <w:r w:rsidRPr="003B4362">
        <w:rPr>
          <w:rFonts w:eastAsia="Calibri"/>
          <w:szCs w:val="24"/>
        </w:rPr>
        <w:t xml:space="preserve">.  The plan must include </w:t>
      </w:r>
      <w:r w:rsidR="00AC6559" w:rsidRPr="003B4362">
        <w:rPr>
          <w:rFonts w:eastAsia="Calibri"/>
          <w:szCs w:val="24"/>
        </w:rPr>
        <w:t>specific</w:t>
      </w:r>
      <w:r w:rsidRPr="003B4362">
        <w:rPr>
          <w:rFonts w:eastAsia="Calibri"/>
          <w:szCs w:val="24"/>
        </w:rPr>
        <w:t xml:space="preserve"> description</w:t>
      </w:r>
      <w:r w:rsidR="00AC6559" w:rsidRPr="003B4362">
        <w:rPr>
          <w:rFonts w:eastAsia="Calibri"/>
          <w:szCs w:val="24"/>
        </w:rPr>
        <w:t>s</w:t>
      </w:r>
      <w:r w:rsidRPr="003B4362">
        <w:rPr>
          <w:rFonts w:eastAsia="Calibri"/>
          <w:szCs w:val="24"/>
        </w:rPr>
        <w:t>:</w:t>
      </w:r>
    </w:p>
    <w:p w14:paraId="525F7AAB" w14:textId="6A89568F"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 xml:space="preserve">A strategy for determining the composition of </w:t>
      </w:r>
      <w:bookmarkStart w:id="1465" w:name="_Hlk119438785"/>
      <w:r w:rsidR="00121F15" w:rsidRPr="003B4362">
        <w:rPr>
          <w:rFonts w:eastAsia="Calibri"/>
          <w:szCs w:val="24"/>
        </w:rPr>
        <w:t>lead status unkno</w:t>
      </w:r>
      <w:r w:rsidRPr="003B4362">
        <w:rPr>
          <w:rFonts w:eastAsia="Calibri"/>
          <w:szCs w:val="24"/>
        </w:rPr>
        <w:t>wn service lines</w:t>
      </w:r>
      <w:bookmarkEnd w:id="1465"/>
      <w:r w:rsidRPr="003B4362">
        <w:rPr>
          <w:rFonts w:eastAsia="Calibri"/>
          <w:szCs w:val="24"/>
        </w:rPr>
        <w:t xml:space="preserve"> in its inventory;</w:t>
      </w:r>
    </w:p>
    <w:p w14:paraId="33F1D39B" w14:textId="60A2E6F8"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 xml:space="preserve">A procedure for conducting </w:t>
      </w:r>
      <w:bookmarkStart w:id="1466" w:name="_Hlk120043502"/>
      <w:r w:rsidRPr="003B4362">
        <w:rPr>
          <w:rFonts w:eastAsia="Calibri"/>
          <w:szCs w:val="24"/>
        </w:rPr>
        <w:t xml:space="preserve">full </w:t>
      </w:r>
      <w:bookmarkStart w:id="1467" w:name="_Hlk119439780"/>
      <w:r w:rsidR="00655876" w:rsidRPr="003B4362">
        <w:rPr>
          <w:rFonts w:eastAsia="Calibri"/>
          <w:szCs w:val="24"/>
        </w:rPr>
        <w:t>l</w:t>
      </w:r>
      <w:r w:rsidRPr="003B4362">
        <w:rPr>
          <w:rFonts w:eastAsia="Calibri"/>
          <w:szCs w:val="24"/>
        </w:rPr>
        <w:t>ead service line</w:t>
      </w:r>
      <w:bookmarkEnd w:id="1467"/>
      <w:r w:rsidRPr="003B4362">
        <w:rPr>
          <w:rFonts w:eastAsia="Calibri"/>
          <w:szCs w:val="24"/>
        </w:rPr>
        <w:t xml:space="preserve"> replacement</w:t>
      </w:r>
      <w:bookmarkEnd w:id="1466"/>
      <w:r w:rsidRPr="003B4362">
        <w:rPr>
          <w:rFonts w:eastAsia="Calibri"/>
          <w:szCs w:val="24"/>
        </w:rPr>
        <w:t>;</w:t>
      </w:r>
    </w:p>
    <w:p w14:paraId="5F4FA0D9" w14:textId="3F418095"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 xml:space="preserve">A strategy for informing customers before a full or partial </w:t>
      </w:r>
      <w:r w:rsidR="00C22A1F" w:rsidRPr="003B4362">
        <w:rPr>
          <w:rFonts w:eastAsia="Calibri"/>
          <w:szCs w:val="24"/>
        </w:rPr>
        <w:t>l</w:t>
      </w:r>
      <w:r w:rsidRPr="003B4362">
        <w:rPr>
          <w:rFonts w:eastAsia="Calibri"/>
          <w:szCs w:val="24"/>
        </w:rPr>
        <w:t>ead service line replacement;</w:t>
      </w:r>
    </w:p>
    <w:p w14:paraId="0CDA7FE0" w14:textId="424A5EBE"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t>F</w:t>
      </w:r>
      <w:bookmarkStart w:id="1468" w:name="_Hlk119440421"/>
      <w:bookmarkStart w:id="1469" w:name="_Hlk119440537"/>
      <w:r w:rsidRPr="003B4362">
        <w:rPr>
          <w:rFonts w:eastAsia="Calibri"/>
          <w:szCs w:val="24"/>
        </w:rPr>
        <w:t xml:space="preserve">or </w:t>
      </w:r>
      <w:r w:rsidR="00C22A1F" w:rsidRPr="003B4362">
        <w:rPr>
          <w:rFonts w:eastAsia="Calibri"/>
          <w:szCs w:val="24"/>
        </w:rPr>
        <w:t>a supplier</w:t>
      </w:r>
      <w:r w:rsidRPr="003B4362">
        <w:rPr>
          <w:rFonts w:eastAsia="Calibri"/>
          <w:szCs w:val="24"/>
        </w:rPr>
        <w:t xml:space="preserve"> </w:t>
      </w:r>
      <w:bookmarkEnd w:id="1468"/>
      <w:r w:rsidR="00C22A1F" w:rsidRPr="003B4362">
        <w:rPr>
          <w:rFonts w:eastAsia="Calibri"/>
          <w:szCs w:val="24"/>
        </w:rPr>
        <w:t>serving</w:t>
      </w:r>
      <w:bookmarkEnd w:id="1469"/>
      <w:r w:rsidRPr="003B4362">
        <w:rPr>
          <w:rFonts w:eastAsia="Calibri"/>
          <w:szCs w:val="24"/>
        </w:rPr>
        <w:t xml:space="preserve"> more than 10,000 persons, a </w:t>
      </w:r>
      <w:bookmarkStart w:id="1470" w:name="_Hlk120043634"/>
      <w:r w:rsidR="00121F15" w:rsidRPr="003B4362">
        <w:rPr>
          <w:rFonts w:eastAsia="Calibri"/>
          <w:szCs w:val="24"/>
        </w:rPr>
        <w:t>l</w:t>
      </w:r>
      <w:r w:rsidRPr="003B4362">
        <w:rPr>
          <w:rFonts w:eastAsia="Calibri"/>
          <w:szCs w:val="24"/>
        </w:rPr>
        <w:t xml:space="preserve">ead service line replacement goal </w:t>
      </w:r>
      <w:bookmarkStart w:id="1471" w:name="_Hlk119440740"/>
      <w:r w:rsidRPr="003B4362">
        <w:rPr>
          <w:rFonts w:eastAsia="Calibri"/>
          <w:szCs w:val="24"/>
        </w:rPr>
        <w:t>rate</w:t>
      </w:r>
      <w:bookmarkEnd w:id="1470"/>
      <w:r w:rsidRPr="003B4362">
        <w:rPr>
          <w:rFonts w:eastAsia="Calibri"/>
          <w:szCs w:val="24"/>
        </w:rPr>
        <w:t xml:space="preserve"> </w:t>
      </w:r>
      <w:r w:rsidR="00C22A1F" w:rsidRPr="003B4362">
        <w:rPr>
          <w:rFonts w:eastAsia="Calibri"/>
          <w:szCs w:val="24"/>
        </w:rPr>
        <w:t xml:space="preserve">the supplier </w:t>
      </w:r>
      <w:r w:rsidRPr="003B4362">
        <w:rPr>
          <w:rFonts w:eastAsia="Calibri"/>
          <w:szCs w:val="24"/>
        </w:rPr>
        <w:t>recommend</w:t>
      </w:r>
      <w:r w:rsidR="00C22A1F" w:rsidRPr="003B4362">
        <w:rPr>
          <w:rFonts w:eastAsia="Calibri"/>
          <w:szCs w:val="24"/>
        </w:rPr>
        <w:t>s</w:t>
      </w:r>
      <w:r w:rsidR="002A659B" w:rsidRPr="003B4362">
        <w:rPr>
          <w:rFonts w:eastAsia="Calibri"/>
          <w:szCs w:val="24"/>
        </w:rPr>
        <w:t xml:space="preserve"> if the supplier exceeds the</w:t>
      </w:r>
      <w:r w:rsidRPr="003B4362">
        <w:rPr>
          <w:rFonts w:eastAsia="Calibri"/>
          <w:szCs w:val="24"/>
        </w:rPr>
        <w:t xml:space="preserve"> lead trigger level</w:t>
      </w:r>
      <w:bookmarkEnd w:id="1471"/>
      <w:r w:rsidRPr="003B4362">
        <w:rPr>
          <w:rFonts w:eastAsia="Calibri"/>
          <w:szCs w:val="24"/>
        </w:rPr>
        <w:t>;</w:t>
      </w:r>
    </w:p>
    <w:p w14:paraId="35685C17" w14:textId="646D4764"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t xml:space="preserve">A procedure for customers to </w:t>
      </w:r>
      <w:bookmarkStart w:id="1472" w:name="_Hlk119441241"/>
      <w:r w:rsidRPr="003B4362">
        <w:rPr>
          <w:rFonts w:eastAsia="Calibri"/>
          <w:szCs w:val="24"/>
        </w:rPr>
        <w:t>flush</w:t>
      </w:r>
      <w:r w:rsidR="002A659B" w:rsidRPr="003B4362">
        <w:rPr>
          <w:rFonts w:eastAsia="Calibri"/>
          <w:szCs w:val="24"/>
        </w:rPr>
        <w:t xml:space="preserve"> particulate lead</w:t>
      </w:r>
      <w:r w:rsidRPr="003B4362">
        <w:rPr>
          <w:rFonts w:eastAsia="Calibri"/>
          <w:szCs w:val="24"/>
        </w:rPr>
        <w:t xml:space="preserve"> </w:t>
      </w:r>
      <w:r w:rsidR="002A659B" w:rsidRPr="003B4362">
        <w:rPr>
          <w:rFonts w:eastAsia="Calibri"/>
          <w:szCs w:val="24"/>
        </w:rPr>
        <w:t xml:space="preserve">from </w:t>
      </w:r>
      <w:r w:rsidRPr="003B4362">
        <w:rPr>
          <w:rFonts w:eastAsia="Calibri"/>
          <w:szCs w:val="24"/>
        </w:rPr>
        <w:t>service lines and premise</w:t>
      </w:r>
      <w:r w:rsidR="002A659B" w:rsidRPr="003B4362">
        <w:rPr>
          <w:rFonts w:eastAsia="Calibri"/>
          <w:szCs w:val="24"/>
        </w:rPr>
        <w:t>s</w:t>
      </w:r>
      <w:r w:rsidRPr="003B4362">
        <w:rPr>
          <w:rFonts w:eastAsia="Calibri"/>
          <w:szCs w:val="24"/>
        </w:rPr>
        <w:t xml:space="preserve"> plumbing</w:t>
      </w:r>
      <w:bookmarkEnd w:id="1472"/>
      <w:r w:rsidRPr="003B4362">
        <w:rPr>
          <w:rFonts w:eastAsia="Calibri"/>
          <w:szCs w:val="24"/>
        </w:rPr>
        <w:t>;</w:t>
      </w:r>
    </w:p>
    <w:p w14:paraId="7FA19C2B" w14:textId="7040831F"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6)</w:t>
      </w:r>
      <w:r w:rsidRPr="003B4362">
        <w:rPr>
          <w:rFonts w:eastAsia="Calibri"/>
          <w:szCs w:val="24"/>
        </w:rPr>
        <w:tab/>
        <w:t>A</w:t>
      </w:r>
      <w:bookmarkStart w:id="1473" w:name="_Hlk119441551"/>
      <w:r w:rsidRPr="003B4362">
        <w:rPr>
          <w:rFonts w:eastAsia="Calibri"/>
          <w:szCs w:val="24"/>
        </w:rPr>
        <w:t xml:space="preserve"> </w:t>
      </w:r>
      <w:r w:rsidR="001A7560" w:rsidRPr="003B4362">
        <w:rPr>
          <w:rFonts w:eastAsia="Calibri"/>
          <w:szCs w:val="24"/>
        </w:rPr>
        <w:t xml:space="preserve">prioritization strategy for </w:t>
      </w:r>
      <w:r w:rsidR="00121F15" w:rsidRPr="003B4362">
        <w:rPr>
          <w:rFonts w:eastAsia="Calibri"/>
          <w:szCs w:val="24"/>
        </w:rPr>
        <w:t>l</w:t>
      </w:r>
      <w:r w:rsidRPr="003B4362">
        <w:rPr>
          <w:rFonts w:eastAsia="Calibri"/>
          <w:szCs w:val="24"/>
        </w:rPr>
        <w:t>ead service line replacement</w:t>
      </w:r>
      <w:bookmarkEnd w:id="1473"/>
      <w:r w:rsidR="001A7560" w:rsidRPr="003B4362">
        <w:rPr>
          <w:rFonts w:eastAsia="Calibri"/>
          <w:szCs w:val="24"/>
        </w:rPr>
        <w:t xml:space="preserve"> </w:t>
      </w:r>
      <w:r w:rsidRPr="003B4362">
        <w:rPr>
          <w:rFonts w:eastAsia="Calibri"/>
          <w:szCs w:val="24"/>
        </w:rPr>
        <w:t>based on factors</w:t>
      </w:r>
      <w:r w:rsidR="001A7560" w:rsidRPr="003B4362">
        <w:rPr>
          <w:rFonts w:eastAsia="Calibri"/>
          <w:szCs w:val="24"/>
        </w:rPr>
        <w:t>,</w:t>
      </w:r>
      <w:r w:rsidRPr="003B4362">
        <w:rPr>
          <w:rFonts w:eastAsia="Calibri"/>
          <w:szCs w:val="24"/>
        </w:rPr>
        <w:t xml:space="preserve"> </w:t>
      </w:r>
      <w:bookmarkStart w:id="1474" w:name="_Hlk119441738"/>
      <w:r w:rsidRPr="003B4362">
        <w:rPr>
          <w:rFonts w:eastAsia="Calibri"/>
          <w:szCs w:val="24"/>
        </w:rPr>
        <w:t>including</w:t>
      </w:r>
      <w:bookmarkEnd w:id="1474"/>
      <w:r w:rsidR="001A7560" w:rsidRPr="003B4362">
        <w:rPr>
          <w:rFonts w:eastAsia="Calibri"/>
          <w:szCs w:val="24"/>
        </w:rPr>
        <w:t xml:space="preserve"> </w:t>
      </w:r>
      <w:r w:rsidRPr="003B4362">
        <w:rPr>
          <w:rFonts w:eastAsia="Calibri"/>
          <w:szCs w:val="24"/>
        </w:rPr>
        <w:t>targeting</w:t>
      </w:r>
      <w:r w:rsidR="001A7560" w:rsidRPr="003B4362">
        <w:rPr>
          <w:rFonts w:eastAsia="Calibri"/>
          <w:szCs w:val="24"/>
        </w:rPr>
        <w:t xml:space="preserve"> </w:t>
      </w:r>
      <w:r w:rsidRPr="003B4362">
        <w:rPr>
          <w:rFonts w:eastAsia="Calibri"/>
          <w:szCs w:val="24"/>
        </w:rPr>
        <w:t xml:space="preserve">known </w:t>
      </w:r>
      <w:r w:rsidR="00121F15" w:rsidRPr="003B4362">
        <w:rPr>
          <w:rFonts w:eastAsia="Calibri"/>
          <w:szCs w:val="24"/>
        </w:rPr>
        <w:t>l</w:t>
      </w:r>
      <w:r w:rsidRPr="003B4362">
        <w:rPr>
          <w:rFonts w:eastAsia="Calibri"/>
          <w:szCs w:val="24"/>
        </w:rPr>
        <w:t xml:space="preserve">ead service lines, </w:t>
      </w:r>
      <w:bookmarkStart w:id="1475" w:name="_Hlk119442184"/>
      <w:r w:rsidR="006517DE" w:rsidRPr="003B4362">
        <w:rPr>
          <w:rFonts w:eastAsia="Calibri"/>
          <w:szCs w:val="24"/>
        </w:rPr>
        <w:t xml:space="preserve">replacing </w:t>
      </w:r>
      <w:r w:rsidR="00655876" w:rsidRPr="003B4362">
        <w:rPr>
          <w:rFonts w:eastAsia="Calibri"/>
          <w:szCs w:val="24"/>
        </w:rPr>
        <w:t>l</w:t>
      </w:r>
      <w:r w:rsidRPr="003B4362">
        <w:rPr>
          <w:rFonts w:eastAsia="Calibri"/>
          <w:szCs w:val="24"/>
        </w:rPr>
        <w:t>ead service line</w:t>
      </w:r>
      <w:r w:rsidR="006517DE" w:rsidRPr="003B4362">
        <w:rPr>
          <w:rFonts w:eastAsia="Calibri"/>
          <w:szCs w:val="24"/>
        </w:rPr>
        <w:t>s</w:t>
      </w:r>
      <w:r w:rsidRPr="003B4362">
        <w:rPr>
          <w:rFonts w:eastAsia="Calibri"/>
          <w:szCs w:val="24"/>
        </w:rPr>
        <w:t xml:space="preserve"> for disadvantaged consumers and populations</w:t>
      </w:r>
      <w:bookmarkEnd w:id="1475"/>
      <w:r w:rsidRPr="003B4362">
        <w:rPr>
          <w:rFonts w:eastAsia="Calibri"/>
          <w:szCs w:val="24"/>
        </w:rPr>
        <w:t xml:space="preserve"> most sensitive to </w:t>
      </w:r>
      <w:bookmarkStart w:id="1476" w:name="_Hlk119443054"/>
      <w:r w:rsidRPr="003B4362">
        <w:rPr>
          <w:rFonts w:eastAsia="Calibri"/>
          <w:szCs w:val="24"/>
        </w:rPr>
        <w:t>the effects of lead</w:t>
      </w:r>
      <w:bookmarkEnd w:id="1476"/>
      <w:r w:rsidRPr="003B4362">
        <w:rPr>
          <w:rFonts w:eastAsia="Calibri"/>
          <w:szCs w:val="24"/>
        </w:rPr>
        <w:t>; and</w:t>
      </w:r>
    </w:p>
    <w:p w14:paraId="75F11833" w14:textId="4A3F1F70"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7)</w:t>
      </w:r>
      <w:r w:rsidRPr="003B4362">
        <w:rPr>
          <w:rFonts w:eastAsia="Calibri"/>
          <w:szCs w:val="24"/>
        </w:rPr>
        <w:tab/>
        <w:t>A</w:t>
      </w:r>
      <w:bookmarkStart w:id="1477" w:name="_Hlk119443258"/>
      <w:r w:rsidR="006815A8" w:rsidRPr="003B4362">
        <w:rPr>
          <w:rFonts w:eastAsia="Calibri"/>
          <w:szCs w:val="24"/>
        </w:rPr>
        <w:t xml:space="preserve"> </w:t>
      </w:r>
      <w:r w:rsidRPr="003B4362">
        <w:rPr>
          <w:rFonts w:eastAsia="Calibri"/>
          <w:szCs w:val="24"/>
        </w:rPr>
        <w:t xml:space="preserve">strategy for </w:t>
      </w:r>
      <w:r w:rsidR="006815A8" w:rsidRPr="003B4362">
        <w:rPr>
          <w:rFonts w:eastAsia="Calibri"/>
          <w:szCs w:val="24"/>
        </w:rPr>
        <w:t>funding</w:t>
      </w:r>
      <w:r w:rsidRPr="003B4362">
        <w:rPr>
          <w:rFonts w:eastAsia="Calibri"/>
          <w:szCs w:val="24"/>
        </w:rPr>
        <w:t xml:space="preserve"> </w:t>
      </w:r>
      <w:r w:rsidR="00121F15" w:rsidRPr="003B4362">
        <w:rPr>
          <w:rFonts w:eastAsia="Calibri"/>
          <w:szCs w:val="24"/>
        </w:rPr>
        <w:t>l</w:t>
      </w:r>
      <w:r w:rsidRPr="003B4362">
        <w:rPr>
          <w:rFonts w:eastAsia="Calibri"/>
          <w:szCs w:val="24"/>
        </w:rPr>
        <w:t>ead service line replacements</w:t>
      </w:r>
      <w:bookmarkEnd w:id="1477"/>
      <w:r w:rsidRPr="003B4362">
        <w:rPr>
          <w:rFonts w:eastAsia="Calibri"/>
          <w:szCs w:val="24"/>
        </w:rPr>
        <w:t xml:space="preserve"> </w:t>
      </w:r>
      <w:bookmarkStart w:id="1478" w:name="_Hlk119443394"/>
      <w:r w:rsidRPr="003B4362">
        <w:rPr>
          <w:rFonts w:eastAsia="Calibri"/>
          <w:szCs w:val="24"/>
        </w:rPr>
        <w:t>consider</w:t>
      </w:r>
      <w:r w:rsidR="006815A8" w:rsidRPr="003B4362">
        <w:rPr>
          <w:rFonts w:eastAsia="Calibri"/>
          <w:szCs w:val="24"/>
        </w:rPr>
        <w:t>ing</w:t>
      </w:r>
      <w:r w:rsidRPr="003B4362">
        <w:rPr>
          <w:rFonts w:eastAsia="Calibri"/>
          <w:szCs w:val="24"/>
        </w:rPr>
        <w:t xml:space="preserve"> ways to </w:t>
      </w:r>
      <w:r w:rsidR="005A0126" w:rsidRPr="003B4362">
        <w:rPr>
          <w:rFonts w:eastAsia="Calibri"/>
          <w:szCs w:val="24"/>
        </w:rPr>
        <w:t>replace the</w:t>
      </w:r>
      <w:r w:rsidRPr="003B4362">
        <w:rPr>
          <w:rFonts w:eastAsia="Calibri"/>
          <w:szCs w:val="24"/>
        </w:rPr>
        <w:t xml:space="preserve"> customer</w:t>
      </w:r>
      <w:r w:rsidR="005A0126" w:rsidRPr="003B4362">
        <w:rPr>
          <w:rFonts w:eastAsia="Calibri"/>
          <w:szCs w:val="24"/>
        </w:rPr>
        <w:t>-owned</w:t>
      </w:r>
      <w:r w:rsidR="006815A8" w:rsidRPr="003B4362">
        <w:rPr>
          <w:rFonts w:eastAsia="Calibri"/>
          <w:szCs w:val="24"/>
        </w:rPr>
        <w:t xml:space="preserve"> </w:t>
      </w:r>
      <w:r w:rsidR="005A0126" w:rsidRPr="003B4362">
        <w:rPr>
          <w:rFonts w:eastAsia="Calibri"/>
          <w:szCs w:val="24"/>
        </w:rPr>
        <w:t xml:space="preserve">portion for those </w:t>
      </w:r>
      <w:r w:rsidRPr="003B4362">
        <w:rPr>
          <w:rFonts w:eastAsia="Calibri"/>
          <w:szCs w:val="24"/>
        </w:rPr>
        <w:t>unable to pay</w:t>
      </w:r>
      <w:bookmarkEnd w:id="1478"/>
      <w:r w:rsidRPr="003B4362">
        <w:rPr>
          <w:rFonts w:eastAsia="Calibri"/>
          <w:szCs w:val="24"/>
        </w:rPr>
        <w:t>.</w:t>
      </w:r>
    </w:p>
    <w:p w14:paraId="3D3A6306" w14:textId="32607024" w:rsidR="009557C7" w:rsidRPr="003B4362" w:rsidRDefault="009557C7" w:rsidP="009557C7">
      <w:pPr>
        <w:autoSpaceDE w:val="0"/>
        <w:autoSpaceDN w:val="0"/>
        <w:adjustRightInd w:val="0"/>
        <w:spacing w:before="240" w:after="240"/>
        <w:ind w:left="1440" w:hanging="720"/>
        <w:rPr>
          <w:rFonts w:eastAsia="Calibri"/>
          <w:i/>
          <w:iCs/>
          <w:szCs w:val="24"/>
        </w:rPr>
      </w:pPr>
      <w:r w:rsidRPr="003B4362">
        <w:rPr>
          <w:rFonts w:eastAsia="Calibri"/>
          <w:szCs w:val="24"/>
        </w:rPr>
        <w:t>c)</w:t>
      </w:r>
      <w:r w:rsidRPr="003B4362">
        <w:rPr>
          <w:rFonts w:eastAsia="Calibri"/>
          <w:szCs w:val="24"/>
        </w:rPr>
        <w:tab/>
      </w:r>
      <w:bookmarkStart w:id="1479" w:name="_Hlk119443997"/>
      <w:r w:rsidRPr="003B4362">
        <w:rPr>
          <w:rFonts w:eastAsia="Calibri"/>
          <w:szCs w:val="24"/>
        </w:rPr>
        <w:t xml:space="preserve">Operating </w:t>
      </w:r>
      <w:r w:rsidR="005A0126" w:rsidRPr="003B4362">
        <w:rPr>
          <w:rFonts w:eastAsia="Calibri"/>
          <w:szCs w:val="24"/>
        </w:rPr>
        <w:t>P</w:t>
      </w:r>
      <w:r w:rsidRPr="003B4362">
        <w:rPr>
          <w:rFonts w:eastAsia="Calibri"/>
          <w:szCs w:val="24"/>
        </w:rPr>
        <w:t xml:space="preserve">rocedures for </w:t>
      </w:r>
      <w:r w:rsidR="005A0126" w:rsidRPr="003B4362">
        <w:rPr>
          <w:rFonts w:eastAsia="Calibri"/>
          <w:szCs w:val="24"/>
        </w:rPr>
        <w:t>R</w:t>
      </w:r>
      <w:r w:rsidRPr="003B4362">
        <w:rPr>
          <w:rFonts w:eastAsia="Calibri"/>
          <w:szCs w:val="24"/>
        </w:rPr>
        <w:t xml:space="preserve">eplacing </w:t>
      </w:r>
      <w:r w:rsidR="005A0126" w:rsidRPr="003B4362">
        <w:rPr>
          <w:rFonts w:eastAsia="Calibri"/>
          <w:szCs w:val="24"/>
        </w:rPr>
        <w:t>L</w:t>
      </w:r>
      <w:r w:rsidRPr="003B4362">
        <w:rPr>
          <w:rFonts w:eastAsia="Calibri"/>
          <w:szCs w:val="24"/>
        </w:rPr>
        <w:t xml:space="preserve">ead </w:t>
      </w:r>
      <w:r w:rsidR="005A0126" w:rsidRPr="003B4362">
        <w:rPr>
          <w:rFonts w:eastAsia="Calibri"/>
          <w:szCs w:val="24"/>
        </w:rPr>
        <w:t>G</w:t>
      </w:r>
      <w:r w:rsidRPr="003B4362">
        <w:rPr>
          <w:rFonts w:eastAsia="Calibri"/>
          <w:szCs w:val="24"/>
        </w:rPr>
        <w:t xml:space="preserve">oosenecks, </w:t>
      </w:r>
      <w:r w:rsidR="005A0126" w:rsidRPr="003B4362">
        <w:rPr>
          <w:rFonts w:eastAsia="Calibri"/>
          <w:szCs w:val="24"/>
        </w:rPr>
        <w:t>P</w:t>
      </w:r>
      <w:r w:rsidRPr="003B4362">
        <w:rPr>
          <w:rFonts w:eastAsia="Calibri"/>
          <w:szCs w:val="24"/>
        </w:rPr>
        <w:t xml:space="preserve">igtails, or </w:t>
      </w:r>
      <w:r w:rsidR="005A0126" w:rsidRPr="003B4362">
        <w:rPr>
          <w:rFonts w:eastAsia="Calibri"/>
          <w:szCs w:val="24"/>
        </w:rPr>
        <w:t>C</w:t>
      </w:r>
      <w:r w:rsidRPr="003B4362">
        <w:rPr>
          <w:rFonts w:eastAsia="Calibri"/>
          <w:szCs w:val="24"/>
        </w:rPr>
        <w:t>onnectors</w:t>
      </w:r>
      <w:bookmarkEnd w:id="1479"/>
    </w:p>
    <w:p w14:paraId="03F5B8D2" w14:textId="574E16AC"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 xml:space="preserve">The </w:t>
      </w:r>
      <w:r w:rsidR="004747C4" w:rsidRPr="003B4362">
        <w:rPr>
          <w:rFonts w:eastAsia="Calibri"/>
          <w:szCs w:val="24"/>
        </w:rPr>
        <w:t>supplier</w:t>
      </w:r>
      <w:r w:rsidRPr="003B4362">
        <w:rPr>
          <w:rFonts w:eastAsia="Calibri"/>
          <w:szCs w:val="24"/>
        </w:rPr>
        <w:t xml:space="preserve"> must replace any lead gooseneck, pigtail, or connector it owns </w:t>
      </w:r>
      <w:bookmarkStart w:id="1480" w:name="_Hlk119483163"/>
      <w:r w:rsidRPr="003B4362">
        <w:rPr>
          <w:rFonts w:eastAsia="Calibri"/>
          <w:szCs w:val="24"/>
        </w:rPr>
        <w:t xml:space="preserve">when </w:t>
      </w:r>
      <w:r w:rsidR="004747C4" w:rsidRPr="003B4362">
        <w:rPr>
          <w:rFonts w:eastAsia="Calibri"/>
          <w:szCs w:val="24"/>
        </w:rPr>
        <w:t xml:space="preserve">the supplier </w:t>
      </w:r>
      <w:r w:rsidRPr="003B4362">
        <w:rPr>
          <w:rFonts w:eastAsia="Calibri"/>
          <w:szCs w:val="24"/>
        </w:rPr>
        <w:t>encounter</w:t>
      </w:r>
      <w:r w:rsidR="004747C4" w:rsidRPr="003B4362">
        <w:rPr>
          <w:rFonts w:eastAsia="Calibri"/>
          <w:szCs w:val="24"/>
        </w:rPr>
        <w:t>s it</w:t>
      </w:r>
      <w:bookmarkEnd w:id="1480"/>
      <w:r w:rsidRPr="003B4362">
        <w:rPr>
          <w:rFonts w:eastAsia="Calibri"/>
          <w:szCs w:val="24"/>
        </w:rPr>
        <w:t xml:space="preserve"> during planned or unplanned water system infrastructure work.</w:t>
      </w:r>
    </w:p>
    <w:p w14:paraId="04C00963" w14:textId="0F2431CD"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 xml:space="preserve">The </w:t>
      </w:r>
      <w:r w:rsidR="004747C4" w:rsidRPr="003B4362">
        <w:rPr>
          <w:rFonts w:eastAsia="Calibri"/>
          <w:szCs w:val="24"/>
        </w:rPr>
        <w:t>supplier</w:t>
      </w:r>
      <w:r w:rsidRPr="003B4362">
        <w:rPr>
          <w:rFonts w:eastAsia="Calibri"/>
          <w:szCs w:val="24"/>
        </w:rPr>
        <w:t xml:space="preserve"> must offer to replace a customer-owned lead gooseneck, pigtail, or connector; however, the </w:t>
      </w:r>
      <w:r w:rsidR="004747C4" w:rsidRPr="003B4362">
        <w:rPr>
          <w:rFonts w:eastAsia="Calibri"/>
          <w:szCs w:val="24"/>
        </w:rPr>
        <w:t>supplier</w:t>
      </w:r>
      <w:r w:rsidRPr="003B4362">
        <w:rPr>
          <w:rFonts w:eastAsia="Calibri"/>
          <w:szCs w:val="24"/>
        </w:rPr>
        <w:t xml:space="preserve"> </w:t>
      </w:r>
      <w:bookmarkStart w:id="1481" w:name="_Hlk119483682"/>
      <w:r w:rsidR="004747C4" w:rsidRPr="003B4362">
        <w:rPr>
          <w:rFonts w:eastAsia="Calibri"/>
          <w:szCs w:val="24"/>
        </w:rPr>
        <w:t>need</w:t>
      </w:r>
      <w:r w:rsidRPr="003B4362">
        <w:rPr>
          <w:rFonts w:eastAsia="Calibri"/>
          <w:szCs w:val="24"/>
        </w:rPr>
        <w:t>s not</w:t>
      </w:r>
      <w:r w:rsidR="004747C4" w:rsidRPr="003B4362">
        <w:rPr>
          <w:rFonts w:eastAsia="Calibri"/>
          <w:szCs w:val="24"/>
        </w:rPr>
        <w:t xml:space="preserve"> </w:t>
      </w:r>
      <w:r w:rsidRPr="003B4362">
        <w:rPr>
          <w:rFonts w:eastAsia="Calibri"/>
          <w:szCs w:val="24"/>
        </w:rPr>
        <w:t>bear the cost of replac</w:t>
      </w:r>
      <w:r w:rsidR="004747C4" w:rsidRPr="003B4362">
        <w:rPr>
          <w:rFonts w:eastAsia="Calibri"/>
          <w:szCs w:val="24"/>
        </w:rPr>
        <w:t>ing</w:t>
      </w:r>
      <w:bookmarkEnd w:id="1481"/>
      <w:r w:rsidRPr="003B4362">
        <w:rPr>
          <w:rFonts w:eastAsia="Calibri"/>
          <w:szCs w:val="24"/>
        </w:rPr>
        <w:t xml:space="preserve"> the customer-owned parts.</w:t>
      </w:r>
    </w:p>
    <w:p w14:paraId="5634DE2D" w14:textId="7FAD21F5"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lastRenderedPageBreak/>
        <w:t>3)</w:t>
      </w:r>
      <w:r w:rsidRPr="003B4362">
        <w:rPr>
          <w:rFonts w:eastAsia="Calibri"/>
          <w:szCs w:val="24"/>
        </w:rPr>
        <w:tab/>
        <w:t xml:space="preserve">The </w:t>
      </w:r>
      <w:bookmarkStart w:id="1482" w:name="_Hlk119483813"/>
      <w:r w:rsidR="009619CB" w:rsidRPr="003B4362">
        <w:rPr>
          <w:rFonts w:eastAsia="Calibri"/>
          <w:szCs w:val="24"/>
        </w:rPr>
        <w:t>supplier</w:t>
      </w:r>
      <w:bookmarkStart w:id="1483" w:name="_Hlk119483891"/>
      <w:r w:rsidR="009619CB" w:rsidRPr="003B4362">
        <w:rPr>
          <w:rFonts w:eastAsia="Calibri"/>
          <w:szCs w:val="24"/>
        </w:rPr>
        <w:t xml:space="preserve"> needs not </w:t>
      </w:r>
      <w:r w:rsidRPr="003B4362">
        <w:rPr>
          <w:rFonts w:eastAsia="Calibri"/>
          <w:szCs w:val="24"/>
        </w:rPr>
        <w:t>replace</w:t>
      </w:r>
      <w:bookmarkEnd w:id="1482"/>
      <w:bookmarkEnd w:id="1483"/>
      <w:r w:rsidRPr="003B4362">
        <w:rPr>
          <w:rFonts w:eastAsia="Calibri"/>
          <w:szCs w:val="24"/>
        </w:rPr>
        <w:t xml:space="preserve"> a customer-owned lead gooseneck, pigtail, or connector if </w:t>
      </w:r>
      <w:bookmarkStart w:id="1484" w:name="_Hlk119491088"/>
      <w:bookmarkStart w:id="1485" w:name="_Hlk119491128"/>
      <w:r w:rsidRPr="003B4362">
        <w:rPr>
          <w:rFonts w:eastAsia="Calibri"/>
          <w:szCs w:val="24"/>
        </w:rPr>
        <w:t xml:space="preserve">the customer objects </w:t>
      </w:r>
      <w:bookmarkEnd w:id="1484"/>
      <w:r w:rsidR="0035360D" w:rsidRPr="003B4362">
        <w:rPr>
          <w:rFonts w:eastAsia="Calibri"/>
          <w:szCs w:val="24"/>
        </w:rPr>
        <w:t xml:space="preserve">to </w:t>
      </w:r>
      <w:r w:rsidR="008A0538" w:rsidRPr="003B4362">
        <w:rPr>
          <w:rFonts w:eastAsia="Calibri"/>
          <w:szCs w:val="24"/>
        </w:rPr>
        <w:t>replacing it</w:t>
      </w:r>
      <w:bookmarkEnd w:id="1485"/>
      <w:r w:rsidRPr="003B4362">
        <w:rPr>
          <w:rFonts w:eastAsia="Calibri"/>
          <w:szCs w:val="24"/>
        </w:rPr>
        <w:t>.</w:t>
      </w:r>
    </w:p>
    <w:p w14:paraId="453C3B90" w14:textId="64711A89"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r>
      <w:bookmarkStart w:id="1486" w:name="_Hlk119491203"/>
      <w:r w:rsidR="008A0538" w:rsidRPr="003B4362">
        <w:rPr>
          <w:rFonts w:eastAsia="Calibri"/>
          <w:szCs w:val="24"/>
        </w:rPr>
        <w:t>R</w:t>
      </w:r>
      <w:bookmarkStart w:id="1487" w:name="_Hlk119491238"/>
      <w:r w:rsidR="008A0538" w:rsidRPr="003B4362">
        <w:rPr>
          <w:rFonts w:eastAsia="Calibri"/>
          <w:szCs w:val="24"/>
        </w:rPr>
        <w:t>eplacing</w:t>
      </w:r>
      <w:r w:rsidRPr="003B4362">
        <w:rPr>
          <w:rFonts w:eastAsia="Calibri"/>
          <w:szCs w:val="24"/>
        </w:rPr>
        <w:t xml:space="preserve"> a lead gooseneck</w:t>
      </w:r>
      <w:bookmarkEnd w:id="1486"/>
      <w:bookmarkEnd w:id="1487"/>
      <w:r w:rsidRPr="003B4362">
        <w:rPr>
          <w:rFonts w:eastAsia="Calibri"/>
          <w:szCs w:val="24"/>
        </w:rPr>
        <w:t xml:space="preserve">, pigtail, or connector </w:t>
      </w:r>
      <w:bookmarkStart w:id="1488" w:name="_Hlk119491286"/>
      <w:r w:rsidRPr="003B4362">
        <w:rPr>
          <w:rFonts w:eastAsia="Calibri"/>
          <w:szCs w:val="24"/>
        </w:rPr>
        <w:t xml:space="preserve">does not count </w:t>
      </w:r>
      <w:r w:rsidR="008A0538" w:rsidRPr="003B4362">
        <w:rPr>
          <w:rFonts w:eastAsia="Calibri"/>
          <w:szCs w:val="24"/>
        </w:rPr>
        <w:t>towards</w:t>
      </w:r>
      <w:r w:rsidRPr="003B4362">
        <w:rPr>
          <w:rFonts w:eastAsia="Calibri"/>
          <w:szCs w:val="24"/>
        </w:rPr>
        <w:t xml:space="preserve"> goal-based</w:t>
      </w:r>
      <w:bookmarkStart w:id="1489" w:name="_Hlk119491380"/>
      <w:bookmarkEnd w:id="1488"/>
      <w:r w:rsidRPr="003B4362">
        <w:rPr>
          <w:rFonts w:eastAsia="Calibri"/>
          <w:szCs w:val="24"/>
        </w:rPr>
        <w:t xml:space="preserve"> or mandatory </w:t>
      </w:r>
      <w:bookmarkStart w:id="1490" w:name="_Hlk119491573"/>
      <w:r w:rsidR="00121F15" w:rsidRPr="003B4362">
        <w:rPr>
          <w:rFonts w:eastAsia="Calibri"/>
          <w:szCs w:val="24"/>
        </w:rPr>
        <w:t>l</w:t>
      </w:r>
      <w:r w:rsidRPr="003B4362">
        <w:rPr>
          <w:rFonts w:eastAsia="Calibri"/>
          <w:szCs w:val="24"/>
        </w:rPr>
        <w:t xml:space="preserve">ead </w:t>
      </w:r>
      <w:bookmarkStart w:id="1491" w:name="_Hlk119491479"/>
      <w:r w:rsidRPr="003B4362">
        <w:rPr>
          <w:rFonts w:eastAsia="Calibri"/>
          <w:szCs w:val="24"/>
        </w:rPr>
        <w:t>service line replacements</w:t>
      </w:r>
      <w:bookmarkEnd w:id="1489"/>
      <w:r w:rsidR="008A0538" w:rsidRPr="003B4362">
        <w:rPr>
          <w:rFonts w:eastAsia="Calibri"/>
          <w:szCs w:val="24"/>
        </w:rPr>
        <w:t xml:space="preserve"> under</w:t>
      </w:r>
      <w:r w:rsidRPr="003B4362">
        <w:rPr>
          <w:rFonts w:eastAsia="Calibri"/>
          <w:szCs w:val="24"/>
        </w:rPr>
        <w:t xml:space="preserve"> subsections (f) </w:t>
      </w:r>
      <w:r w:rsidR="008A0538" w:rsidRPr="003B4362">
        <w:rPr>
          <w:rFonts w:eastAsia="Calibri"/>
          <w:szCs w:val="24"/>
        </w:rPr>
        <w:t>or</w:t>
      </w:r>
      <w:r w:rsidRPr="003B4362">
        <w:rPr>
          <w:rFonts w:eastAsia="Calibri"/>
          <w:szCs w:val="24"/>
        </w:rPr>
        <w:t xml:space="preserve"> (g)</w:t>
      </w:r>
      <w:bookmarkEnd w:id="1490"/>
      <w:bookmarkEnd w:id="1491"/>
      <w:r w:rsidRPr="003B4362">
        <w:rPr>
          <w:rFonts w:eastAsia="Calibri"/>
          <w:szCs w:val="24"/>
        </w:rPr>
        <w:t>.</w:t>
      </w:r>
    </w:p>
    <w:p w14:paraId="32C5EDA3" w14:textId="677106CB"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r>
      <w:r w:rsidR="00600504" w:rsidRPr="003B4362">
        <w:rPr>
          <w:rFonts w:eastAsia="Calibri"/>
          <w:szCs w:val="24"/>
        </w:rPr>
        <w:t>W</w:t>
      </w:r>
      <w:bookmarkStart w:id="1492" w:name="_Hlk119507147"/>
      <w:r w:rsidR="00600504" w:rsidRPr="003B4362">
        <w:rPr>
          <w:rFonts w:eastAsia="Calibri"/>
          <w:szCs w:val="24"/>
        </w:rPr>
        <w:t>hen replacing</w:t>
      </w:r>
      <w:r w:rsidRPr="003B4362">
        <w:rPr>
          <w:rFonts w:eastAsia="Calibri"/>
          <w:szCs w:val="24"/>
        </w:rPr>
        <w:t xml:space="preserve"> any gooseneck</w:t>
      </w:r>
      <w:bookmarkEnd w:id="1492"/>
      <w:r w:rsidRPr="003B4362">
        <w:rPr>
          <w:rFonts w:eastAsia="Calibri"/>
          <w:szCs w:val="24"/>
        </w:rPr>
        <w:t xml:space="preserve">, pigtail, or </w:t>
      </w:r>
      <w:bookmarkStart w:id="1493" w:name="_Hlk119507350"/>
      <w:r w:rsidRPr="003B4362">
        <w:rPr>
          <w:rFonts w:eastAsia="Calibri"/>
          <w:szCs w:val="24"/>
        </w:rPr>
        <w:t>connector</w:t>
      </w:r>
      <w:r w:rsidR="00600504" w:rsidRPr="003B4362">
        <w:rPr>
          <w:rFonts w:eastAsia="Calibri"/>
          <w:szCs w:val="24"/>
        </w:rPr>
        <w:t xml:space="preserve"> </w:t>
      </w:r>
      <w:r w:rsidRPr="003B4362">
        <w:rPr>
          <w:rFonts w:eastAsia="Calibri"/>
          <w:szCs w:val="24"/>
        </w:rPr>
        <w:t xml:space="preserve">attached to a </w:t>
      </w:r>
      <w:r w:rsidR="00121F15" w:rsidRPr="003B4362">
        <w:rPr>
          <w:rFonts w:eastAsia="Calibri"/>
          <w:szCs w:val="24"/>
        </w:rPr>
        <w:t>l</w:t>
      </w:r>
      <w:r w:rsidRPr="003B4362">
        <w:rPr>
          <w:rFonts w:eastAsia="Calibri"/>
          <w:szCs w:val="24"/>
        </w:rPr>
        <w:t>ead service line</w:t>
      </w:r>
      <w:bookmarkEnd w:id="1493"/>
      <w:r w:rsidRPr="003B4362">
        <w:rPr>
          <w:rFonts w:eastAsia="Calibri"/>
          <w:szCs w:val="24"/>
        </w:rPr>
        <w:t xml:space="preserve">, </w:t>
      </w:r>
      <w:bookmarkStart w:id="1494" w:name="_Hlk119507447"/>
      <w:r w:rsidRPr="003B4362">
        <w:rPr>
          <w:rFonts w:eastAsia="Calibri"/>
          <w:szCs w:val="24"/>
        </w:rPr>
        <w:t xml:space="preserve">the </w:t>
      </w:r>
      <w:bookmarkEnd w:id="1494"/>
      <w:r w:rsidR="00600504" w:rsidRPr="003B4362">
        <w:rPr>
          <w:rFonts w:eastAsia="Calibri"/>
          <w:szCs w:val="24"/>
        </w:rPr>
        <w:t>supplier</w:t>
      </w:r>
      <w:r w:rsidRPr="003B4362">
        <w:rPr>
          <w:rFonts w:eastAsia="Calibri"/>
          <w:szCs w:val="24"/>
        </w:rPr>
        <w:t xml:space="preserve"> must follow </w:t>
      </w:r>
      <w:r w:rsidR="00600504" w:rsidRPr="003B4362">
        <w:rPr>
          <w:rFonts w:eastAsia="Calibri"/>
          <w:szCs w:val="24"/>
        </w:rPr>
        <w:t xml:space="preserve">the </w:t>
      </w:r>
      <w:bookmarkStart w:id="1495" w:name="_Hlk119507548"/>
      <w:r w:rsidRPr="003B4362">
        <w:rPr>
          <w:rFonts w:eastAsia="Calibri"/>
          <w:szCs w:val="24"/>
        </w:rPr>
        <w:t xml:space="preserve">risk mitigation procedures </w:t>
      </w:r>
      <w:r w:rsidR="00A510FA" w:rsidRPr="003B4362">
        <w:rPr>
          <w:rFonts w:eastAsia="Calibri"/>
          <w:szCs w:val="24"/>
        </w:rPr>
        <w:t xml:space="preserve">40 CFR </w:t>
      </w:r>
      <w:r w:rsidRPr="003B4362">
        <w:rPr>
          <w:rFonts w:eastAsia="Calibri"/>
          <w:szCs w:val="24"/>
        </w:rPr>
        <w:t>Section 141.85(f)(2)</w:t>
      </w:r>
      <w:bookmarkEnd w:id="1495"/>
      <w:r w:rsidR="00600504" w:rsidRPr="003B4362">
        <w:rPr>
          <w:rFonts w:eastAsia="Calibri"/>
          <w:szCs w:val="24"/>
        </w:rPr>
        <w:t xml:space="preserve"> specifies</w:t>
      </w:r>
      <w:r w:rsidRPr="003B4362">
        <w:rPr>
          <w:rFonts w:eastAsia="Calibri"/>
          <w:szCs w:val="24"/>
        </w:rPr>
        <w:t>.</w:t>
      </w:r>
    </w:p>
    <w:p w14:paraId="4F10FB71" w14:textId="525802D3" w:rsidR="009557C7" w:rsidRPr="003B4362" w:rsidRDefault="009557C7" w:rsidP="009557C7">
      <w:pPr>
        <w:autoSpaceDE w:val="0"/>
        <w:autoSpaceDN w:val="0"/>
        <w:adjustRightInd w:val="0"/>
        <w:spacing w:before="240" w:after="240"/>
        <w:ind w:left="1440" w:hanging="720"/>
        <w:rPr>
          <w:rFonts w:eastAsia="Calibri"/>
          <w:szCs w:val="24"/>
        </w:rPr>
      </w:pPr>
      <w:r w:rsidRPr="003B4362">
        <w:rPr>
          <w:rFonts w:eastAsia="Calibri"/>
          <w:szCs w:val="24"/>
        </w:rPr>
        <w:t>d)</w:t>
      </w:r>
      <w:r w:rsidRPr="003B4362">
        <w:rPr>
          <w:rFonts w:eastAsia="Calibri"/>
          <w:szCs w:val="24"/>
        </w:rPr>
        <w:tab/>
      </w:r>
      <w:bookmarkStart w:id="1496" w:name="_Hlk119512565"/>
      <w:r w:rsidR="009A3C2C" w:rsidRPr="003B4362">
        <w:rPr>
          <w:rFonts w:eastAsia="Calibri"/>
          <w:szCs w:val="24"/>
        </w:rPr>
        <w:t>C</w:t>
      </w:r>
      <w:r w:rsidRPr="003B4362">
        <w:rPr>
          <w:rFonts w:eastAsia="Calibri"/>
          <w:szCs w:val="24"/>
        </w:rPr>
        <w:t xml:space="preserve">onducting </w:t>
      </w:r>
      <w:r w:rsidR="009A3C2C" w:rsidRPr="003B4362">
        <w:rPr>
          <w:rFonts w:eastAsia="Calibri"/>
          <w:szCs w:val="24"/>
        </w:rPr>
        <w:t>L</w:t>
      </w:r>
      <w:r w:rsidRPr="003B4362">
        <w:rPr>
          <w:rFonts w:eastAsia="Calibri"/>
          <w:szCs w:val="24"/>
        </w:rPr>
        <w:t xml:space="preserve">ead </w:t>
      </w:r>
      <w:r w:rsidR="009A3C2C" w:rsidRPr="003B4362">
        <w:rPr>
          <w:rFonts w:eastAsia="Calibri"/>
          <w:szCs w:val="24"/>
        </w:rPr>
        <w:t>S</w:t>
      </w:r>
      <w:r w:rsidRPr="003B4362">
        <w:rPr>
          <w:rFonts w:eastAsia="Calibri"/>
          <w:szCs w:val="24"/>
        </w:rPr>
        <w:t xml:space="preserve">ervice </w:t>
      </w:r>
      <w:r w:rsidR="009A3C2C" w:rsidRPr="003B4362">
        <w:rPr>
          <w:rFonts w:eastAsia="Calibri"/>
          <w:szCs w:val="24"/>
        </w:rPr>
        <w:t>L</w:t>
      </w:r>
      <w:r w:rsidRPr="003B4362">
        <w:rPr>
          <w:rFonts w:eastAsia="Calibri"/>
          <w:szCs w:val="24"/>
        </w:rPr>
        <w:t xml:space="preserve">ine </w:t>
      </w:r>
      <w:r w:rsidR="009A3C2C" w:rsidRPr="003B4362">
        <w:rPr>
          <w:rFonts w:eastAsia="Calibri"/>
          <w:szCs w:val="24"/>
        </w:rPr>
        <w:t>R</w:t>
      </w:r>
      <w:r w:rsidRPr="003B4362">
        <w:rPr>
          <w:rFonts w:eastAsia="Calibri"/>
          <w:szCs w:val="24"/>
        </w:rPr>
        <w:t xml:space="preserve">eplacement </w:t>
      </w:r>
      <w:r w:rsidR="009A3C2C" w:rsidRPr="003B4362">
        <w:rPr>
          <w:rFonts w:eastAsia="Calibri"/>
          <w:szCs w:val="24"/>
        </w:rPr>
        <w:t>T</w:t>
      </w:r>
      <w:r w:rsidRPr="003B4362">
        <w:rPr>
          <w:rFonts w:eastAsia="Calibri"/>
          <w:szCs w:val="24"/>
        </w:rPr>
        <w:t xml:space="preserve">hat </w:t>
      </w:r>
      <w:r w:rsidR="009A3C2C" w:rsidRPr="003B4362">
        <w:rPr>
          <w:rFonts w:eastAsia="Calibri"/>
          <w:szCs w:val="24"/>
        </w:rPr>
        <w:t>M</w:t>
      </w:r>
      <w:r w:rsidRPr="003B4362">
        <w:rPr>
          <w:rFonts w:eastAsia="Calibri"/>
          <w:szCs w:val="24"/>
        </w:rPr>
        <w:t xml:space="preserve">ay </w:t>
      </w:r>
      <w:r w:rsidR="009A3C2C" w:rsidRPr="003B4362">
        <w:rPr>
          <w:rFonts w:eastAsia="Calibri"/>
          <w:szCs w:val="24"/>
        </w:rPr>
        <w:t>R</w:t>
      </w:r>
      <w:r w:rsidRPr="003B4362">
        <w:rPr>
          <w:rFonts w:eastAsia="Calibri"/>
          <w:szCs w:val="24"/>
        </w:rPr>
        <w:t xml:space="preserve">esult in </w:t>
      </w:r>
      <w:r w:rsidR="009A3C2C" w:rsidRPr="003B4362">
        <w:rPr>
          <w:rFonts w:eastAsia="Calibri"/>
          <w:szCs w:val="24"/>
        </w:rPr>
        <w:t>P</w:t>
      </w:r>
      <w:r w:rsidRPr="003B4362">
        <w:rPr>
          <w:rFonts w:eastAsia="Calibri"/>
          <w:szCs w:val="24"/>
        </w:rPr>
        <w:t xml:space="preserve">artial </w:t>
      </w:r>
      <w:r w:rsidR="009A3C2C" w:rsidRPr="003B4362">
        <w:rPr>
          <w:rFonts w:eastAsia="Calibri"/>
          <w:szCs w:val="24"/>
        </w:rPr>
        <w:t>R</w:t>
      </w:r>
      <w:r w:rsidRPr="003B4362">
        <w:rPr>
          <w:rFonts w:eastAsia="Calibri"/>
          <w:szCs w:val="24"/>
        </w:rPr>
        <w:t>eplacement</w:t>
      </w:r>
      <w:bookmarkEnd w:id="1496"/>
      <w:r w:rsidR="00630910" w:rsidRPr="003B4362">
        <w:rPr>
          <w:rFonts w:eastAsia="Calibri"/>
          <w:szCs w:val="24"/>
        </w:rPr>
        <w:t>s</w:t>
      </w:r>
    </w:p>
    <w:p w14:paraId="598AF20B" w14:textId="25B386D9"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r>
      <w:bookmarkStart w:id="1497" w:name="_Hlk119512673"/>
      <w:r w:rsidR="007F72AC" w:rsidRPr="003B4362">
        <w:rPr>
          <w:rFonts w:eastAsia="Calibri"/>
          <w:szCs w:val="24"/>
        </w:rPr>
        <w:t xml:space="preserve">A </w:t>
      </w:r>
      <w:bookmarkStart w:id="1498" w:name="_Hlk119512736"/>
      <w:r w:rsidR="007F72AC" w:rsidRPr="003B4362">
        <w:rPr>
          <w:rFonts w:eastAsia="Calibri"/>
          <w:szCs w:val="24"/>
        </w:rPr>
        <w:t>supplier</w:t>
      </w:r>
      <w:r w:rsidRPr="003B4362">
        <w:rPr>
          <w:rFonts w:eastAsia="Calibri"/>
          <w:szCs w:val="24"/>
        </w:rPr>
        <w:t xml:space="preserve"> </w:t>
      </w:r>
      <w:r w:rsidR="007F72AC" w:rsidRPr="003B4362">
        <w:rPr>
          <w:rFonts w:eastAsia="Calibri"/>
          <w:szCs w:val="24"/>
        </w:rPr>
        <w:t>planning</w:t>
      </w:r>
      <w:r w:rsidRPr="003B4362">
        <w:rPr>
          <w:rFonts w:eastAsia="Calibri"/>
          <w:szCs w:val="24"/>
        </w:rPr>
        <w:t xml:space="preserve"> to partially replace a </w:t>
      </w:r>
      <w:r w:rsidR="00655876" w:rsidRPr="003B4362">
        <w:rPr>
          <w:rFonts w:eastAsia="Calibri"/>
          <w:szCs w:val="24"/>
        </w:rPr>
        <w:t>lead</w:t>
      </w:r>
      <w:r w:rsidRPr="003B4362">
        <w:rPr>
          <w:rFonts w:eastAsia="Calibri"/>
          <w:szCs w:val="24"/>
        </w:rPr>
        <w:t xml:space="preserve"> service line</w:t>
      </w:r>
      <w:bookmarkEnd w:id="1497"/>
      <w:bookmarkEnd w:id="1498"/>
      <w:r w:rsidRPr="003B4362">
        <w:rPr>
          <w:rFonts w:eastAsia="Calibri"/>
          <w:szCs w:val="24"/>
        </w:rPr>
        <w:t xml:space="preserve"> (</w:t>
      </w:r>
      <w:bookmarkStart w:id="1499" w:name="_Hlk119512802"/>
      <w:r w:rsidRPr="003B4362">
        <w:rPr>
          <w:rFonts w:eastAsia="Calibri"/>
          <w:szCs w:val="24"/>
        </w:rPr>
        <w:t xml:space="preserve">e.g., replace only the </w:t>
      </w:r>
      <w:r w:rsidR="007F72AC" w:rsidRPr="003B4362">
        <w:rPr>
          <w:rFonts w:eastAsia="Calibri"/>
          <w:szCs w:val="24"/>
        </w:rPr>
        <w:t xml:space="preserve">supplier-owned </w:t>
      </w:r>
      <w:r w:rsidRPr="003B4362">
        <w:rPr>
          <w:rFonts w:eastAsia="Calibri"/>
          <w:szCs w:val="24"/>
        </w:rPr>
        <w:t>portion</w:t>
      </w:r>
      <w:bookmarkEnd w:id="1499"/>
      <w:r w:rsidRPr="003B4362">
        <w:rPr>
          <w:rFonts w:eastAsia="Calibri"/>
          <w:szCs w:val="24"/>
        </w:rPr>
        <w:t xml:space="preserve">) </w:t>
      </w:r>
      <w:bookmarkStart w:id="1500" w:name="_Hlk119513260"/>
      <w:r w:rsidRPr="003B4362">
        <w:rPr>
          <w:rFonts w:eastAsia="Calibri"/>
          <w:szCs w:val="24"/>
        </w:rPr>
        <w:t xml:space="preserve">in </w:t>
      </w:r>
      <w:r w:rsidR="0096378E" w:rsidRPr="003B4362">
        <w:rPr>
          <w:rFonts w:eastAsia="Calibri"/>
          <w:szCs w:val="24"/>
        </w:rPr>
        <w:t>the course of</w:t>
      </w:r>
      <w:r w:rsidRPr="003B4362">
        <w:rPr>
          <w:rFonts w:eastAsia="Calibri"/>
          <w:szCs w:val="24"/>
        </w:rPr>
        <w:t xml:space="preserve"> planned infrastructure work</w:t>
      </w:r>
      <w:bookmarkEnd w:id="1500"/>
      <w:r w:rsidRPr="003B4362">
        <w:rPr>
          <w:rFonts w:eastAsia="Calibri"/>
          <w:szCs w:val="24"/>
        </w:rPr>
        <w:t xml:space="preserve"> must </w:t>
      </w:r>
      <w:bookmarkStart w:id="1501" w:name="_Hlk119513351"/>
      <w:bookmarkStart w:id="1502" w:name="_Hlk119513861"/>
      <w:r w:rsidR="0096378E" w:rsidRPr="003B4362">
        <w:rPr>
          <w:rFonts w:eastAsia="Calibri"/>
          <w:szCs w:val="24"/>
        </w:rPr>
        <w:t>notify</w:t>
      </w:r>
      <w:r w:rsidRPr="003B4362">
        <w:rPr>
          <w:rFonts w:eastAsia="Calibri"/>
          <w:szCs w:val="24"/>
        </w:rPr>
        <w:t xml:space="preserve"> the </w:t>
      </w:r>
      <w:r w:rsidR="0096378E" w:rsidRPr="003B4362">
        <w:rPr>
          <w:rFonts w:eastAsia="Calibri"/>
          <w:szCs w:val="24"/>
        </w:rPr>
        <w:t xml:space="preserve">service line’s </w:t>
      </w:r>
      <w:r w:rsidRPr="003B4362">
        <w:rPr>
          <w:rFonts w:eastAsia="Calibri"/>
          <w:szCs w:val="24"/>
        </w:rPr>
        <w:t>owner</w:t>
      </w:r>
      <w:bookmarkStart w:id="1503" w:name="_Hlk119513568"/>
      <w:bookmarkEnd w:id="1501"/>
      <w:r w:rsidRPr="003B4362">
        <w:rPr>
          <w:rFonts w:eastAsia="Calibri"/>
          <w:szCs w:val="24"/>
        </w:rPr>
        <w:t xml:space="preserve">, or the owner’s authorized agent, </w:t>
      </w:r>
      <w:r w:rsidR="0096378E" w:rsidRPr="003B4362">
        <w:rPr>
          <w:rFonts w:eastAsia="Calibri"/>
          <w:szCs w:val="24"/>
        </w:rPr>
        <w:t>and any</w:t>
      </w:r>
      <w:r w:rsidRPr="003B4362">
        <w:rPr>
          <w:rFonts w:eastAsia="Calibri"/>
          <w:szCs w:val="24"/>
        </w:rPr>
        <w:t xml:space="preserve"> non-owner residents</w:t>
      </w:r>
      <w:r w:rsidR="0096378E" w:rsidRPr="003B4362">
        <w:rPr>
          <w:rFonts w:eastAsia="Calibri"/>
          <w:szCs w:val="24"/>
        </w:rPr>
        <w:t xml:space="preserve"> </w:t>
      </w:r>
      <w:r w:rsidRPr="003B4362">
        <w:rPr>
          <w:rFonts w:eastAsia="Calibri"/>
          <w:szCs w:val="24"/>
        </w:rPr>
        <w:t>the</w:t>
      </w:r>
      <w:r w:rsidR="0096378E" w:rsidRPr="003B4362">
        <w:rPr>
          <w:rFonts w:eastAsia="Calibri"/>
          <w:szCs w:val="24"/>
        </w:rPr>
        <w:t xml:space="preserve"> </w:t>
      </w:r>
      <w:r w:rsidRPr="003B4362">
        <w:rPr>
          <w:rFonts w:eastAsia="Calibri"/>
          <w:szCs w:val="24"/>
        </w:rPr>
        <w:t>service line</w:t>
      </w:r>
      <w:bookmarkEnd w:id="1503"/>
      <w:r w:rsidRPr="003B4362">
        <w:rPr>
          <w:rFonts w:eastAsia="Calibri"/>
          <w:szCs w:val="24"/>
        </w:rPr>
        <w:t xml:space="preserve"> </w:t>
      </w:r>
      <w:r w:rsidR="0096378E" w:rsidRPr="003B4362">
        <w:rPr>
          <w:rFonts w:eastAsia="Calibri"/>
          <w:szCs w:val="24"/>
        </w:rPr>
        <w:t>serves</w:t>
      </w:r>
      <w:bookmarkEnd w:id="1502"/>
      <w:r w:rsidR="0096378E" w:rsidRPr="003B4362">
        <w:rPr>
          <w:rFonts w:eastAsia="Calibri"/>
          <w:szCs w:val="24"/>
        </w:rPr>
        <w:t xml:space="preserve"> </w:t>
      </w:r>
      <w:bookmarkStart w:id="1504" w:name="_Hlk119514027"/>
      <w:r w:rsidRPr="003B4362">
        <w:rPr>
          <w:rFonts w:eastAsia="Calibri"/>
          <w:szCs w:val="24"/>
        </w:rPr>
        <w:t xml:space="preserve">at least 45 days </w:t>
      </w:r>
      <w:r w:rsidR="00525747" w:rsidRPr="003B4362">
        <w:rPr>
          <w:rFonts w:eastAsia="Calibri"/>
          <w:szCs w:val="24"/>
        </w:rPr>
        <w:t>before</w:t>
      </w:r>
      <w:r w:rsidRPr="003B4362">
        <w:rPr>
          <w:rFonts w:eastAsia="Calibri"/>
          <w:szCs w:val="24"/>
        </w:rPr>
        <w:t xml:space="preserve"> the replacement</w:t>
      </w:r>
      <w:bookmarkEnd w:id="1504"/>
      <w:r w:rsidRPr="003B4362">
        <w:rPr>
          <w:rFonts w:eastAsia="Calibri"/>
          <w:szCs w:val="24"/>
        </w:rPr>
        <w:t xml:space="preserve">.  The notice must explain that </w:t>
      </w:r>
      <w:bookmarkStart w:id="1505" w:name="_Hlk119514218"/>
      <w:bookmarkStart w:id="1506" w:name="_Hlk119515119"/>
      <w:r w:rsidRPr="003B4362">
        <w:rPr>
          <w:rFonts w:eastAsia="Calibri"/>
          <w:szCs w:val="24"/>
        </w:rPr>
        <w:t xml:space="preserve">the </w:t>
      </w:r>
      <w:bookmarkEnd w:id="1505"/>
      <w:r w:rsidR="00525747" w:rsidRPr="003B4362">
        <w:rPr>
          <w:rFonts w:eastAsia="Calibri"/>
          <w:szCs w:val="24"/>
        </w:rPr>
        <w:t>supplier</w:t>
      </w:r>
      <w:r w:rsidRPr="003B4362">
        <w:rPr>
          <w:rFonts w:eastAsia="Calibri"/>
          <w:szCs w:val="24"/>
        </w:rPr>
        <w:t xml:space="preserve"> will replace the </w:t>
      </w:r>
      <w:r w:rsidR="00525747" w:rsidRPr="003B4362">
        <w:rPr>
          <w:rFonts w:eastAsia="Calibri"/>
          <w:szCs w:val="24"/>
        </w:rPr>
        <w:t xml:space="preserve">supplier-owned </w:t>
      </w:r>
      <w:r w:rsidRPr="003B4362">
        <w:rPr>
          <w:rFonts w:eastAsia="Calibri"/>
          <w:szCs w:val="24"/>
        </w:rPr>
        <w:t xml:space="preserve">portion of the </w:t>
      </w:r>
      <w:r w:rsidR="00087619" w:rsidRPr="003B4362">
        <w:rPr>
          <w:rFonts w:eastAsia="Calibri"/>
          <w:szCs w:val="24"/>
        </w:rPr>
        <w:t xml:space="preserve">service </w:t>
      </w:r>
      <w:r w:rsidRPr="003B4362">
        <w:rPr>
          <w:rFonts w:eastAsia="Calibri"/>
          <w:szCs w:val="24"/>
        </w:rPr>
        <w:t>line</w:t>
      </w:r>
      <w:r w:rsidR="00525747" w:rsidRPr="003B4362">
        <w:rPr>
          <w:rFonts w:eastAsia="Calibri"/>
          <w:szCs w:val="24"/>
        </w:rPr>
        <w:t xml:space="preserve"> </w:t>
      </w:r>
      <w:r w:rsidRPr="003B4362">
        <w:rPr>
          <w:rFonts w:eastAsia="Calibri"/>
          <w:szCs w:val="24"/>
        </w:rPr>
        <w:t xml:space="preserve">and offer to replace the </w:t>
      </w:r>
      <w:r w:rsidR="001116A2" w:rsidRPr="003B4362">
        <w:rPr>
          <w:rFonts w:eastAsia="Calibri"/>
          <w:szCs w:val="24"/>
        </w:rPr>
        <w:t>customer</w:t>
      </w:r>
      <w:r w:rsidR="00087619" w:rsidRPr="003B4362">
        <w:rPr>
          <w:rFonts w:eastAsia="Calibri"/>
          <w:szCs w:val="24"/>
        </w:rPr>
        <w:t xml:space="preserve">-owned </w:t>
      </w:r>
      <w:r w:rsidRPr="003B4362">
        <w:rPr>
          <w:rFonts w:eastAsia="Calibri"/>
          <w:szCs w:val="24"/>
        </w:rPr>
        <w:t>portion</w:t>
      </w:r>
      <w:r w:rsidR="00087619" w:rsidRPr="003B4362">
        <w:rPr>
          <w:rFonts w:eastAsia="Calibri"/>
          <w:szCs w:val="24"/>
        </w:rPr>
        <w:t xml:space="preserve"> (</w:t>
      </w:r>
      <w:r w:rsidRPr="003B4362">
        <w:rPr>
          <w:rFonts w:eastAsia="Calibri"/>
          <w:szCs w:val="24"/>
        </w:rPr>
        <w:t xml:space="preserve">not </w:t>
      </w:r>
      <w:r w:rsidR="00087619" w:rsidRPr="003B4362">
        <w:rPr>
          <w:rFonts w:eastAsia="Calibri"/>
          <w:szCs w:val="24"/>
        </w:rPr>
        <w:t>supplier-</w:t>
      </w:r>
      <w:r w:rsidRPr="003B4362">
        <w:rPr>
          <w:rFonts w:eastAsia="Calibri"/>
          <w:szCs w:val="24"/>
        </w:rPr>
        <w:t>owned</w:t>
      </w:r>
      <w:r w:rsidR="00087619" w:rsidRPr="003B4362">
        <w:rPr>
          <w:rFonts w:eastAsia="Calibri"/>
          <w:szCs w:val="24"/>
        </w:rPr>
        <w:t>)</w:t>
      </w:r>
      <w:bookmarkEnd w:id="1506"/>
      <w:r w:rsidRPr="003B4362">
        <w:rPr>
          <w:rFonts w:eastAsia="Calibri"/>
          <w:szCs w:val="24"/>
        </w:rPr>
        <w:t>.  T</w:t>
      </w:r>
      <w:bookmarkStart w:id="1507" w:name="_Hlk119517577"/>
      <w:r w:rsidRPr="003B4362">
        <w:rPr>
          <w:rFonts w:eastAsia="Calibri"/>
          <w:szCs w:val="24"/>
        </w:rPr>
        <w:t xml:space="preserve">he </w:t>
      </w:r>
      <w:r w:rsidR="004D3E7A" w:rsidRPr="003B4362">
        <w:rPr>
          <w:rFonts w:eastAsia="Calibri"/>
          <w:szCs w:val="24"/>
        </w:rPr>
        <w:t>supplier</w:t>
      </w:r>
      <w:bookmarkStart w:id="1508" w:name="_Hlk119517303"/>
      <w:r w:rsidRPr="003B4362">
        <w:rPr>
          <w:rFonts w:eastAsia="Calibri"/>
          <w:szCs w:val="24"/>
        </w:rPr>
        <w:t xml:space="preserve"> </w:t>
      </w:r>
      <w:r w:rsidR="004D3E7A" w:rsidRPr="003B4362">
        <w:rPr>
          <w:rFonts w:eastAsia="Calibri"/>
          <w:szCs w:val="24"/>
        </w:rPr>
        <w:t>needs</w:t>
      </w:r>
      <w:r w:rsidRPr="003B4362">
        <w:rPr>
          <w:rFonts w:eastAsia="Calibri"/>
          <w:szCs w:val="24"/>
        </w:rPr>
        <w:t xml:space="preserve"> not</w:t>
      </w:r>
      <w:r w:rsidR="004D3E7A" w:rsidRPr="003B4362">
        <w:rPr>
          <w:rFonts w:eastAsia="Calibri"/>
          <w:szCs w:val="24"/>
        </w:rPr>
        <w:t xml:space="preserve"> </w:t>
      </w:r>
      <w:r w:rsidRPr="003B4362">
        <w:rPr>
          <w:rFonts w:eastAsia="Calibri"/>
          <w:szCs w:val="24"/>
        </w:rPr>
        <w:t>bear the cost of replac</w:t>
      </w:r>
      <w:r w:rsidR="004D3E7A" w:rsidRPr="003B4362">
        <w:rPr>
          <w:rFonts w:eastAsia="Calibri"/>
          <w:szCs w:val="24"/>
        </w:rPr>
        <w:t>ing</w:t>
      </w:r>
      <w:r w:rsidRPr="003B4362">
        <w:rPr>
          <w:rFonts w:eastAsia="Calibri"/>
          <w:szCs w:val="24"/>
        </w:rPr>
        <w:t xml:space="preserve"> the </w:t>
      </w:r>
      <w:bookmarkEnd w:id="1507"/>
      <w:bookmarkEnd w:id="1508"/>
      <w:r w:rsidR="0080318C" w:rsidRPr="003B4362">
        <w:rPr>
          <w:rFonts w:eastAsia="Calibri"/>
          <w:szCs w:val="24"/>
        </w:rPr>
        <w:t xml:space="preserve">customer-owned portion of the </w:t>
      </w:r>
      <w:r w:rsidR="00121F15" w:rsidRPr="003B4362">
        <w:rPr>
          <w:rFonts w:eastAsia="Calibri"/>
          <w:szCs w:val="24"/>
        </w:rPr>
        <w:t>l</w:t>
      </w:r>
      <w:r w:rsidR="0080318C" w:rsidRPr="003B4362">
        <w:rPr>
          <w:rFonts w:eastAsia="Calibri"/>
          <w:szCs w:val="24"/>
        </w:rPr>
        <w:t>ead service line</w:t>
      </w:r>
      <w:r w:rsidRPr="003B4362">
        <w:rPr>
          <w:rFonts w:eastAsia="Calibri"/>
          <w:szCs w:val="24"/>
        </w:rPr>
        <w:t>.</w:t>
      </w:r>
    </w:p>
    <w:p w14:paraId="42748196" w14:textId="4F986C48"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B</w:t>
      </w:r>
      <w:bookmarkStart w:id="1509" w:name="_Hlk119517689"/>
      <w:r w:rsidRPr="003B4362">
        <w:rPr>
          <w:rFonts w:eastAsia="Calibri"/>
          <w:szCs w:val="24"/>
        </w:rPr>
        <w:t xml:space="preserve">efore </w:t>
      </w:r>
      <w:r w:rsidR="004D3E7A" w:rsidRPr="003B4362">
        <w:rPr>
          <w:rFonts w:eastAsia="Calibri"/>
          <w:szCs w:val="24"/>
        </w:rPr>
        <w:t>returning a</w:t>
      </w:r>
      <w:r w:rsidRPr="003B4362">
        <w:rPr>
          <w:rFonts w:eastAsia="Calibri"/>
          <w:szCs w:val="24"/>
        </w:rPr>
        <w:t xml:space="preserve"> service line</w:t>
      </w:r>
      <w:r w:rsidR="004D3E7A" w:rsidRPr="003B4362">
        <w:rPr>
          <w:rFonts w:eastAsia="Calibri"/>
          <w:szCs w:val="24"/>
        </w:rPr>
        <w:t xml:space="preserve"> </w:t>
      </w:r>
      <w:r w:rsidRPr="003B4362">
        <w:rPr>
          <w:rFonts w:eastAsia="Calibri"/>
          <w:szCs w:val="24"/>
        </w:rPr>
        <w:t>to service</w:t>
      </w:r>
      <w:bookmarkEnd w:id="1509"/>
      <w:r w:rsidRPr="003B4362">
        <w:rPr>
          <w:rFonts w:eastAsia="Calibri"/>
          <w:szCs w:val="24"/>
        </w:rPr>
        <w:t xml:space="preserve">, </w:t>
      </w:r>
      <w:bookmarkStart w:id="1510" w:name="_Hlk119517900"/>
      <w:r w:rsidRPr="003B4362">
        <w:rPr>
          <w:rFonts w:eastAsia="Calibri"/>
          <w:szCs w:val="24"/>
        </w:rPr>
        <w:t xml:space="preserve">the </w:t>
      </w:r>
      <w:r w:rsidR="0001199B" w:rsidRPr="003B4362">
        <w:rPr>
          <w:rFonts w:eastAsia="Calibri"/>
          <w:szCs w:val="24"/>
        </w:rPr>
        <w:t>supplier</w:t>
      </w:r>
      <w:r w:rsidRPr="003B4362">
        <w:rPr>
          <w:rFonts w:eastAsia="Calibri"/>
          <w:szCs w:val="24"/>
        </w:rPr>
        <w:t xml:space="preserve"> must provide noti</w:t>
      </w:r>
      <w:r w:rsidR="0001199B" w:rsidRPr="003B4362">
        <w:rPr>
          <w:rFonts w:eastAsia="Calibri"/>
          <w:szCs w:val="24"/>
        </w:rPr>
        <w:t>ce</w:t>
      </w:r>
      <w:r w:rsidRPr="003B4362">
        <w:rPr>
          <w:rFonts w:eastAsia="Calibri"/>
          <w:szCs w:val="24"/>
        </w:rPr>
        <w:t xml:space="preserve"> </w:t>
      </w:r>
      <w:r w:rsidR="0001199B" w:rsidRPr="003B4362">
        <w:rPr>
          <w:rFonts w:eastAsia="Calibri"/>
          <w:szCs w:val="24"/>
        </w:rPr>
        <w:t>complying with</w:t>
      </w:r>
      <w:r w:rsidRPr="003B4362">
        <w:rPr>
          <w:rFonts w:eastAsia="Calibri"/>
          <w:szCs w:val="24"/>
        </w:rPr>
        <w:t xml:space="preserve"> Section </w:t>
      </w:r>
      <w:r w:rsidR="00C918D1" w:rsidRPr="003B4362">
        <w:rPr>
          <w:rFonts w:eastAsia="Calibri"/>
          <w:szCs w:val="24"/>
        </w:rPr>
        <w:t>61</w:t>
      </w:r>
      <w:r w:rsidRPr="003B4362">
        <w:rPr>
          <w:rFonts w:eastAsia="Calibri"/>
          <w:szCs w:val="24"/>
        </w:rPr>
        <w:t>1.</w:t>
      </w:r>
      <w:r w:rsidR="00C918D1" w:rsidRPr="003B4362">
        <w:rPr>
          <w:rFonts w:eastAsia="Calibri"/>
          <w:szCs w:val="24"/>
        </w:rPr>
        <w:t>35</w:t>
      </w:r>
      <w:r w:rsidRPr="003B4362">
        <w:rPr>
          <w:rFonts w:eastAsia="Calibri"/>
          <w:szCs w:val="24"/>
        </w:rPr>
        <w:t>5(a)</w:t>
      </w:r>
      <w:bookmarkEnd w:id="1510"/>
      <w:r w:rsidRPr="003B4362">
        <w:rPr>
          <w:rFonts w:eastAsia="Calibri"/>
          <w:szCs w:val="24"/>
        </w:rPr>
        <w:t xml:space="preserve"> </w:t>
      </w:r>
      <w:bookmarkStart w:id="1511" w:name="_Hlk119519340"/>
      <w:r w:rsidR="0001199B" w:rsidRPr="003B4362">
        <w:rPr>
          <w:rFonts w:eastAsia="Calibri"/>
          <w:szCs w:val="24"/>
        </w:rPr>
        <w:t xml:space="preserve">and </w:t>
      </w:r>
      <w:bookmarkStart w:id="1512" w:name="_Hlk119519115"/>
      <w:r w:rsidRPr="003B4362">
        <w:rPr>
          <w:rFonts w:eastAsia="Calibri"/>
          <w:szCs w:val="24"/>
        </w:rPr>
        <w:t xml:space="preserve">explaining that consumers may experience a temporary increase of lead levels in their drinking water due to the replacement, </w:t>
      </w:r>
      <w:r w:rsidR="00C918D1" w:rsidRPr="003B4362">
        <w:rPr>
          <w:rFonts w:eastAsia="Calibri"/>
          <w:szCs w:val="24"/>
        </w:rPr>
        <w:t xml:space="preserve">providing </w:t>
      </w:r>
      <w:r w:rsidRPr="003B4362">
        <w:rPr>
          <w:rFonts w:eastAsia="Calibri"/>
          <w:szCs w:val="24"/>
        </w:rPr>
        <w:t xml:space="preserve">information about the health effects of lead, and </w:t>
      </w:r>
      <w:r w:rsidR="00C918D1" w:rsidRPr="003B4362">
        <w:rPr>
          <w:rFonts w:eastAsia="Calibri"/>
          <w:szCs w:val="24"/>
        </w:rPr>
        <w:t xml:space="preserve">describing </w:t>
      </w:r>
      <w:r w:rsidRPr="003B4362">
        <w:rPr>
          <w:rFonts w:eastAsia="Calibri"/>
          <w:szCs w:val="24"/>
        </w:rPr>
        <w:t>actions</w:t>
      </w:r>
      <w:bookmarkEnd w:id="1512"/>
      <w:r w:rsidRPr="003B4362">
        <w:rPr>
          <w:rFonts w:eastAsia="Calibri"/>
          <w:szCs w:val="24"/>
        </w:rPr>
        <w:t xml:space="preserve"> consumers can take </w:t>
      </w:r>
      <w:bookmarkEnd w:id="1511"/>
      <w:r w:rsidRPr="003B4362">
        <w:rPr>
          <w:rFonts w:eastAsia="Calibri"/>
          <w:szCs w:val="24"/>
        </w:rPr>
        <w:t>to minimize their exposure to lead in drinking water.  I</w:t>
      </w:r>
      <w:bookmarkStart w:id="1513" w:name="_Hlk119519540"/>
      <w:r w:rsidR="002018AC" w:rsidRPr="003B4362">
        <w:rPr>
          <w:rFonts w:eastAsia="Calibri"/>
          <w:szCs w:val="24"/>
        </w:rPr>
        <w:t xml:space="preserve">f the </w:t>
      </w:r>
      <w:r w:rsidR="00655876" w:rsidRPr="003B4362">
        <w:rPr>
          <w:rFonts w:eastAsia="Calibri"/>
          <w:szCs w:val="24"/>
        </w:rPr>
        <w:t>l</w:t>
      </w:r>
      <w:r w:rsidR="002018AC" w:rsidRPr="003B4362">
        <w:rPr>
          <w:rFonts w:eastAsia="Calibri"/>
          <w:szCs w:val="24"/>
        </w:rPr>
        <w:t>ead service line undergoing partial replacement serves</w:t>
      </w:r>
      <w:r w:rsidRPr="003B4362">
        <w:rPr>
          <w:rFonts w:eastAsia="Calibri"/>
          <w:szCs w:val="24"/>
        </w:rPr>
        <w:t xml:space="preserve"> multi-family dwellings</w:t>
      </w:r>
      <w:bookmarkEnd w:id="1513"/>
      <w:r w:rsidRPr="003B4362">
        <w:rPr>
          <w:rFonts w:eastAsia="Calibri"/>
          <w:szCs w:val="24"/>
        </w:rPr>
        <w:t xml:space="preserve">, </w:t>
      </w:r>
      <w:bookmarkStart w:id="1514" w:name="_Hlk119530563"/>
      <w:r w:rsidRPr="003B4362">
        <w:rPr>
          <w:rFonts w:eastAsia="Calibri"/>
          <w:szCs w:val="24"/>
        </w:rPr>
        <w:t xml:space="preserve">the </w:t>
      </w:r>
      <w:r w:rsidR="00256103" w:rsidRPr="003B4362">
        <w:rPr>
          <w:rFonts w:eastAsia="Calibri"/>
          <w:szCs w:val="24"/>
        </w:rPr>
        <w:t>supplier</w:t>
      </w:r>
      <w:r w:rsidRPr="003B4362">
        <w:rPr>
          <w:rFonts w:eastAsia="Calibri"/>
          <w:szCs w:val="24"/>
        </w:rPr>
        <w:t xml:space="preserve"> may</w:t>
      </w:r>
      <w:r w:rsidR="00256103" w:rsidRPr="003B4362">
        <w:rPr>
          <w:rFonts w:eastAsia="Calibri"/>
          <w:szCs w:val="24"/>
        </w:rPr>
        <w:t xml:space="preserve"> </w:t>
      </w:r>
      <w:r w:rsidRPr="003B4362">
        <w:rPr>
          <w:rFonts w:eastAsia="Calibri"/>
          <w:szCs w:val="24"/>
        </w:rPr>
        <w:t>post the information</w:t>
      </w:r>
      <w:bookmarkEnd w:id="1514"/>
      <w:r w:rsidRPr="003B4362">
        <w:rPr>
          <w:rFonts w:eastAsia="Calibri"/>
          <w:szCs w:val="24"/>
        </w:rPr>
        <w:t xml:space="preserve"> at a conspicuous location instead of providing </w:t>
      </w:r>
      <w:bookmarkStart w:id="1515" w:name="_Hlk119530616"/>
      <w:r w:rsidRPr="003B4362">
        <w:rPr>
          <w:rFonts w:eastAsia="Calibri"/>
          <w:szCs w:val="24"/>
        </w:rPr>
        <w:t>individual noti</w:t>
      </w:r>
      <w:r w:rsidR="00256103" w:rsidRPr="003B4362">
        <w:rPr>
          <w:rFonts w:eastAsia="Calibri"/>
          <w:szCs w:val="24"/>
        </w:rPr>
        <w:t>ce</w:t>
      </w:r>
      <w:r w:rsidRPr="003B4362">
        <w:rPr>
          <w:rFonts w:eastAsia="Calibri"/>
          <w:szCs w:val="24"/>
        </w:rPr>
        <w:t xml:space="preserve"> to </w:t>
      </w:r>
      <w:r w:rsidR="00256103" w:rsidRPr="003B4362">
        <w:rPr>
          <w:rFonts w:eastAsia="Calibri"/>
          <w:szCs w:val="24"/>
        </w:rPr>
        <w:t>each</w:t>
      </w:r>
      <w:r w:rsidRPr="003B4362">
        <w:rPr>
          <w:rFonts w:eastAsia="Calibri"/>
          <w:szCs w:val="24"/>
        </w:rPr>
        <w:t xml:space="preserve"> resident</w:t>
      </w:r>
      <w:bookmarkEnd w:id="1515"/>
      <w:r w:rsidRPr="003B4362">
        <w:rPr>
          <w:rFonts w:eastAsia="Calibri"/>
          <w:szCs w:val="24"/>
        </w:rPr>
        <w:t>.</w:t>
      </w:r>
    </w:p>
    <w:p w14:paraId="0A9C3F6C" w14:textId="0E58BE0B"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 xml:space="preserve">The </w:t>
      </w:r>
      <w:r w:rsidR="00256103" w:rsidRPr="003B4362">
        <w:rPr>
          <w:rFonts w:eastAsia="Calibri"/>
          <w:szCs w:val="24"/>
        </w:rPr>
        <w:t>supplier</w:t>
      </w:r>
      <w:r w:rsidRPr="003B4362">
        <w:rPr>
          <w:rFonts w:eastAsia="Calibri"/>
          <w:szCs w:val="24"/>
        </w:rPr>
        <w:t xml:space="preserve"> must </w:t>
      </w:r>
      <w:bookmarkStart w:id="1516" w:name="_Hlk119530979"/>
      <w:bookmarkStart w:id="1517" w:name="_Hlk119531420"/>
      <w:r w:rsidRPr="003B4362">
        <w:rPr>
          <w:rFonts w:eastAsia="Calibri"/>
          <w:szCs w:val="24"/>
        </w:rPr>
        <w:t xml:space="preserve">inform </w:t>
      </w:r>
      <w:r w:rsidR="00215D52" w:rsidRPr="003B4362">
        <w:rPr>
          <w:rFonts w:eastAsia="Calibri"/>
          <w:szCs w:val="24"/>
        </w:rPr>
        <w:t xml:space="preserve">consumers </w:t>
      </w:r>
      <w:r w:rsidRPr="003B4362">
        <w:rPr>
          <w:rFonts w:eastAsia="Calibri"/>
          <w:szCs w:val="24"/>
        </w:rPr>
        <w:t xml:space="preserve">about service line flushing </w:t>
      </w:r>
      <w:r w:rsidR="00215D52" w:rsidRPr="003B4362">
        <w:rPr>
          <w:rFonts w:eastAsia="Calibri"/>
          <w:szCs w:val="24"/>
        </w:rPr>
        <w:t>using</w:t>
      </w:r>
      <w:r w:rsidRPr="003B4362">
        <w:rPr>
          <w:rFonts w:eastAsia="Calibri"/>
          <w:szCs w:val="24"/>
        </w:rPr>
        <w:t xml:space="preserve"> the procedure</w:t>
      </w:r>
      <w:r w:rsidR="00215D52" w:rsidRPr="003B4362">
        <w:rPr>
          <w:rFonts w:eastAsia="Calibri"/>
          <w:szCs w:val="24"/>
        </w:rPr>
        <w:t xml:space="preserve"> </w:t>
      </w:r>
      <w:r w:rsidRPr="003B4362">
        <w:rPr>
          <w:rFonts w:eastAsia="Calibri"/>
          <w:szCs w:val="24"/>
        </w:rPr>
        <w:t xml:space="preserve">in subsection (b)(5) </w:t>
      </w:r>
      <w:bookmarkEnd w:id="1516"/>
      <w:r w:rsidR="00215D52" w:rsidRPr="003B4362">
        <w:rPr>
          <w:rFonts w:eastAsia="Calibri"/>
          <w:szCs w:val="24"/>
        </w:rPr>
        <w:t>requires</w:t>
      </w:r>
      <w:bookmarkEnd w:id="1517"/>
      <w:r w:rsidRPr="003B4362">
        <w:rPr>
          <w:rFonts w:eastAsia="Calibri"/>
          <w:szCs w:val="24"/>
        </w:rPr>
        <w:t xml:space="preserve"> </w:t>
      </w:r>
      <w:bookmarkStart w:id="1518" w:name="_Hlk119531481"/>
      <w:r w:rsidRPr="003B4362">
        <w:rPr>
          <w:rFonts w:eastAsia="Calibri"/>
          <w:szCs w:val="24"/>
        </w:rPr>
        <w:t xml:space="preserve">before </w:t>
      </w:r>
      <w:r w:rsidR="00215D52" w:rsidRPr="003B4362">
        <w:rPr>
          <w:rFonts w:eastAsia="Calibri"/>
          <w:szCs w:val="24"/>
        </w:rPr>
        <w:t xml:space="preserve">returning </w:t>
      </w:r>
      <w:r w:rsidRPr="003B4362">
        <w:rPr>
          <w:rFonts w:eastAsia="Calibri"/>
          <w:szCs w:val="24"/>
        </w:rPr>
        <w:t>the affected service line</w:t>
      </w:r>
      <w:r w:rsidR="00215D52" w:rsidRPr="003B4362">
        <w:rPr>
          <w:rFonts w:eastAsia="Calibri"/>
          <w:szCs w:val="24"/>
        </w:rPr>
        <w:t xml:space="preserve"> </w:t>
      </w:r>
      <w:r w:rsidRPr="003B4362">
        <w:rPr>
          <w:rFonts w:eastAsia="Calibri"/>
          <w:szCs w:val="24"/>
        </w:rPr>
        <w:t>to service</w:t>
      </w:r>
      <w:bookmarkEnd w:id="1518"/>
      <w:r w:rsidRPr="003B4362">
        <w:rPr>
          <w:rFonts w:eastAsia="Calibri"/>
          <w:szCs w:val="24"/>
        </w:rPr>
        <w:t>.</w:t>
      </w:r>
    </w:p>
    <w:p w14:paraId="2739C33D" w14:textId="6D92BF65"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 xml:space="preserve">The </w:t>
      </w:r>
      <w:r w:rsidR="00BF61D4" w:rsidRPr="003B4362">
        <w:rPr>
          <w:rFonts w:eastAsia="Calibri"/>
          <w:szCs w:val="24"/>
        </w:rPr>
        <w:t>supplier</w:t>
      </w:r>
      <w:r w:rsidRPr="003B4362">
        <w:rPr>
          <w:rFonts w:eastAsia="Calibri"/>
          <w:szCs w:val="24"/>
        </w:rPr>
        <w:t xml:space="preserve"> must provide the consumer with a pitcher filter or point-of-use </w:t>
      </w:r>
      <w:r w:rsidR="00166ADA" w:rsidRPr="003B4362">
        <w:rPr>
          <w:rFonts w:eastAsia="Calibri"/>
          <w:szCs w:val="24"/>
        </w:rPr>
        <w:t xml:space="preserve">treatment </w:t>
      </w:r>
      <w:r w:rsidRPr="003B4362">
        <w:rPr>
          <w:rFonts w:eastAsia="Calibri"/>
          <w:szCs w:val="24"/>
        </w:rPr>
        <w:t>device</w:t>
      </w:r>
      <w:r w:rsidR="00BF61D4" w:rsidRPr="003B4362">
        <w:rPr>
          <w:rFonts w:eastAsia="Calibri"/>
          <w:szCs w:val="24"/>
        </w:rPr>
        <w:t xml:space="preserve"> </w:t>
      </w:r>
      <w:r w:rsidRPr="003B4362">
        <w:rPr>
          <w:rFonts w:eastAsia="Calibri"/>
          <w:szCs w:val="24"/>
        </w:rPr>
        <w:t xml:space="preserve">to reduce lead, six months of replacement cartridges, and </w:t>
      </w:r>
      <w:r w:rsidR="00BF61D4" w:rsidRPr="003B4362">
        <w:rPr>
          <w:rFonts w:eastAsia="Calibri"/>
          <w:szCs w:val="24"/>
        </w:rPr>
        <w:t xml:space="preserve">use </w:t>
      </w:r>
      <w:r w:rsidRPr="003B4362">
        <w:rPr>
          <w:rFonts w:eastAsia="Calibri"/>
          <w:szCs w:val="24"/>
        </w:rPr>
        <w:t>instructions</w:t>
      </w:r>
      <w:r w:rsidR="0010423F" w:rsidRPr="003B4362">
        <w:rPr>
          <w:rFonts w:eastAsia="Calibri"/>
          <w:szCs w:val="24"/>
        </w:rPr>
        <w:t xml:space="preserve"> </w:t>
      </w:r>
      <w:bookmarkStart w:id="1519" w:name="_Hlk119532485"/>
      <w:r w:rsidRPr="003B4362">
        <w:rPr>
          <w:rFonts w:eastAsia="Calibri"/>
          <w:szCs w:val="24"/>
        </w:rPr>
        <w:t xml:space="preserve">before </w:t>
      </w:r>
      <w:r w:rsidR="0010423F" w:rsidRPr="003B4362">
        <w:rPr>
          <w:rFonts w:eastAsia="Calibri"/>
          <w:szCs w:val="24"/>
        </w:rPr>
        <w:t xml:space="preserve">returning </w:t>
      </w:r>
      <w:r w:rsidRPr="003B4362">
        <w:rPr>
          <w:rFonts w:eastAsia="Calibri"/>
          <w:szCs w:val="24"/>
        </w:rPr>
        <w:t>the affected service line</w:t>
      </w:r>
      <w:r w:rsidR="0010423F" w:rsidRPr="003B4362">
        <w:rPr>
          <w:rFonts w:eastAsia="Calibri"/>
          <w:szCs w:val="24"/>
        </w:rPr>
        <w:t xml:space="preserve"> </w:t>
      </w:r>
      <w:r w:rsidRPr="003B4362">
        <w:rPr>
          <w:rFonts w:eastAsia="Calibri"/>
          <w:szCs w:val="24"/>
        </w:rPr>
        <w:t>to service</w:t>
      </w:r>
      <w:bookmarkEnd w:id="1519"/>
      <w:r w:rsidRPr="003B4362">
        <w:rPr>
          <w:rFonts w:eastAsia="Calibri"/>
          <w:szCs w:val="24"/>
        </w:rPr>
        <w:t xml:space="preserve">.  If the affected service line serves more than one residence or non-residential unit (e.g., a multi-unit building), the </w:t>
      </w:r>
      <w:r w:rsidR="0010423F" w:rsidRPr="003B4362">
        <w:rPr>
          <w:rFonts w:eastAsia="Calibri"/>
          <w:szCs w:val="24"/>
        </w:rPr>
        <w:t>supplier</w:t>
      </w:r>
      <w:r w:rsidRPr="003B4362">
        <w:rPr>
          <w:rFonts w:eastAsia="Calibri"/>
          <w:szCs w:val="24"/>
        </w:rPr>
        <w:t xml:space="preserve"> must provide a filter, six months of </w:t>
      </w:r>
      <w:r w:rsidRPr="003B4362">
        <w:rPr>
          <w:rFonts w:eastAsia="Calibri"/>
          <w:szCs w:val="24"/>
        </w:rPr>
        <w:lastRenderedPageBreak/>
        <w:t xml:space="preserve">replacement cartridges and use instructions to </w:t>
      </w:r>
      <w:bookmarkStart w:id="1520" w:name="_Hlk119532748"/>
      <w:r w:rsidRPr="003B4362">
        <w:rPr>
          <w:rFonts w:eastAsia="Calibri"/>
          <w:szCs w:val="24"/>
        </w:rPr>
        <w:t xml:space="preserve">every </w:t>
      </w:r>
      <w:r w:rsidR="0010423F" w:rsidRPr="003B4362">
        <w:rPr>
          <w:rFonts w:eastAsia="Calibri"/>
          <w:szCs w:val="24"/>
        </w:rPr>
        <w:t>unit</w:t>
      </w:r>
      <w:r w:rsidRPr="003B4362">
        <w:rPr>
          <w:rFonts w:eastAsia="Calibri"/>
          <w:szCs w:val="24"/>
        </w:rPr>
        <w:t xml:space="preserve"> in the building</w:t>
      </w:r>
      <w:bookmarkEnd w:id="1520"/>
      <w:r w:rsidRPr="003B4362">
        <w:rPr>
          <w:rFonts w:eastAsia="Calibri"/>
          <w:szCs w:val="24"/>
        </w:rPr>
        <w:t>.</w:t>
      </w:r>
    </w:p>
    <w:p w14:paraId="6E03CD0E" w14:textId="590DC647"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t xml:space="preserve">The </w:t>
      </w:r>
      <w:r w:rsidR="0010423F" w:rsidRPr="003B4362">
        <w:rPr>
          <w:rFonts w:eastAsia="Calibri"/>
          <w:szCs w:val="24"/>
        </w:rPr>
        <w:t>supplier</w:t>
      </w:r>
      <w:r w:rsidRPr="003B4362">
        <w:rPr>
          <w:rFonts w:eastAsia="Calibri"/>
          <w:szCs w:val="24"/>
        </w:rPr>
        <w:t xml:space="preserve"> must offer to collect a follow up tap sample </w:t>
      </w:r>
      <w:bookmarkStart w:id="1521" w:name="_Hlk119533046"/>
      <w:bookmarkStart w:id="1522" w:name="_Hlk119533378"/>
      <w:r w:rsidRPr="003B4362">
        <w:rPr>
          <w:rFonts w:eastAsia="Calibri"/>
          <w:szCs w:val="24"/>
        </w:rPr>
        <w:t>between three</w:t>
      </w:r>
      <w:r w:rsidR="001F62BB" w:rsidRPr="003B4362">
        <w:rPr>
          <w:rFonts w:eastAsia="Calibri"/>
          <w:szCs w:val="24"/>
        </w:rPr>
        <w:t xml:space="preserve"> </w:t>
      </w:r>
      <w:r w:rsidRPr="003B4362">
        <w:rPr>
          <w:rFonts w:eastAsia="Calibri"/>
          <w:szCs w:val="24"/>
        </w:rPr>
        <w:t>and six months after</w:t>
      </w:r>
      <w:r w:rsidR="001F62BB" w:rsidRPr="003B4362">
        <w:rPr>
          <w:rFonts w:eastAsia="Calibri"/>
          <w:szCs w:val="24"/>
        </w:rPr>
        <w:t xml:space="preserve"> </w:t>
      </w:r>
      <w:r w:rsidRPr="003B4362">
        <w:rPr>
          <w:rFonts w:eastAsia="Calibri"/>
          <w:szCs w:val="24"/>
        </w:rPr>
        <w:t>partial</w:t>
      </w:r>
      <w:r w:rsidR="001F62BB" w:rsidRPr="003B4362">
        <w:rPr>
          <w:rFonts w:eastAsia="Calibri"/>
          <w:szCs w:val="24"/>
        </w:rPr>
        <w:t>ly</w:t>
      </w:r>
      <w:r w:rsidRPr="003B4362">
        <w:rPr>
          <w:rFonts w:eastAsia="Calibri"/>
          <w:szCs w:val="24"/>
        </w:rPr>
        <w:t xml:space="preserve"> replac</w:t>
      </w:r>
      <w:bookmarkEnd w:id="1521"/>
      <w:r w:rsidR="001F62BB" w:rsidRPr="003B4362">
        <w:rPr>
          <w:rFonts w:eastAsia="Calibri"/>
          <w:szCs w:val="24"/>
        </w:rPr>
        <w:t>ing</w:t>
      </w:r>
      <w:r w:rsidRPr="003B4362">
        <w:rPr>
          <w:rFonts w:eastAsia="Calibri"/>
          <w:szCs w:val="24"/>
        </w:rPr>
        <w:t xml:space="preserve"> a </w:t>
      </w:r>
      <w:r w:rsidR="00121F15" w:rsidRPr="003B4362">
        <w:rPr>
          <w:rFonts w:eastAsia="Calibri"/>
          <w:szCs w:val="24"/>
        </w:rPr>
        <w:t>l</w:t>
      </w:r>
      <w:r w:rsidRPr="003B4362">
        <w:rPr>
          <w:rFonts w:eastAsia="Calibri"/>
          <w:szCs w:val="24"/>
        </w:rPr>
        <w:t>ead service line</w:t>
      </w:r>
      <w:bookmarkEnd w:id="1522"/>
      <w:r w:rsidRPr="003B4362">
        <w:rPr>
          <w:rFonts w:eastAsia="Calibri"/>
          <w:szCs w:val="24"/>
        </w:rPr>
        <w:t xml:space="preserve">.  The </w:t>
      </w:r>
      <w:r w:rsidR="00620D12" w:rsidRPr="003B4362">
        <w:rPr>
          <w:rFonts w:eastAsia="Calibri"/>
          <w:szCs w:val="24"/>
        </w:rPr>
        <w:t>supplier</w:t>
      </w:r>
      <w:r w:rsidRPr="003B4362">
        <w:rPr>
          <w:rFonts w:eastAsia="Calibri"/>
          <w:szCs w:val="24"/>
        </w:rPr>
        <w:t xml:space="preserve"> must provide </w:t>
      </w:r>
      <w:bookmarkStart w:id="1523" w:name="_Hlk119533711"/>
      <w:r w:rsidRPr="003B4362">
        <w:rPr>
          <w:rFonts w:eastAsia="Calibri"/>
          <w:szCs w:val="24"/>
        </w:rPr>
        <w:t xml:space="preserve">the results </w:t>
      </w:r>
      <w:r w:rsidR="00620D12" w:rsidRPr="003B4362">
        <w:rPr>
          <w:rFonts w:eastAsia="Calibri"/>
          <w:szCs w:val="24"/>
        </w:rPr>
        <w:t>from</w:t>
      </w:r>
      <w:r w:rsidRPr="003B4362">
        <w:rPr>
          <w:rFonts w:eastAsia="Calibri"/>
          <w:szCs w:val="24"/>
        </w:rPr>
        <w:t xml:space="preserve"> the </w:t>
      </w:r>
      <w:r w:rsidR="00620D12" w:rsidRPr="003B4362">
        <w:rPr>
          <w:rFonts w:eastAsia="Calibri"/>
          <w:szCs w:val="24"/>
        </w:rPr>
        <w:t xml:space="preserve">follow up </w:t>
      </w:r>
      <w:r w:rsidRPr="003B4362">
        <w:rPr>
          <w:rFonts w:eastAsia="Calibri"/>
          <w:szCs w:val="24"/>
        </w:rPr>
        <w:t xml:space="preserve">sample </w:t>
      </w:r>
      <w:r w:rsidR="00620D12" w:rsidRPr="003B4362">
        <w:rPr>
          <w:rFonts w:eastAsia="Calibri"/>
          <w:szCs w:val="24"/>
        </w:rPr>
        <w:t>under</w:t>
      </w:r>
      <w:r w:rsidRPr="003B4362">
        <w:rPr>
          <w:rFonts w:eastAsia="Calibri"/>
          <w:szCs w:val="24"/>
        </w:rPr>
        <w:t xml:space="preserve"> Section </w:t>
      </w:r>
      <w:r w:rsidR="00620D12" w:rsidRPr="003B4362">
        <w:rPr>
          <w:rFonts w:eastAsia="Calibri"/>
          <w:szCs w:val="24"/>
        </w:rPr>
        <w:t>61</w:t>
      </w:r>
      <w:r w:rsidRPr="003B4362">
        <w:rPr>
          <w:rFonts w:eastAsia="Calibri"/>
          <w:szCs w:val="24"/>
        </w:rPr>
        <w:t>1.</w:t>
      </w:r>
      <w:r w:rsidR="00620D12" w:rsidRPr="003B4362">
        <w:rPr>
          <w:rFonts w:eastAsia="Calibri"/>
          <w:szCs w:val="24"/>
        </w:rPr>
        <w:t>35</w:t>
      </w:r>
      <w:r w:rsidRPr="003B4362">
        <w:rPr>
          <w:rFonts w:eastAsia="Calibri"/>
          <w:szCs w:val="24"/>
        </w:rPr>
        <w:t>5(d)</w:t>
      </w:r>
      <w:bookmarkEnd w:id="1523"/>
      <w:r w:rsidRPr="003B4362">
        <w:rPr>
          <w:rFonts w:eastAsia="Calibri"/>
          <w:szCs w:val="24"/>
        </w:rPr>
        <w:t>.</w:t>
      </w:r>
    </w:p>
    <w:p w14:paraId="22DE8062" w14:textId="3FFABA5E"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A</w:t>
      </w:r>
      <w:bookmarkStart w:id="1524" w:name="_Hlk119576228"/>
      <w:r w:rsidRPr="003B4362">
        <w:rPr>
          <w:rFonts w:eastAsia="Calibri"/>
          <w:szCs w:val="24"/>
        </w:rPr>
        <w:t xml:space="preserve">ny </w:t>
      </w:r>
      <w:r w:rsidR="0033302C" w:rsidRPr="003B4362">
        <w:rPr>
          <w:rFonts w:eastAsia="Calibri"/>
          <w:szCs w:val="24"/>
        </w:rPr>
        <w:t>supplier</w:t>
      </w:r>
      <w:r w:rsidRPr="003B4362">
        <w:rPr>
          <w:rFonts w:eastAsia="Calibri"/>
          <w:szCs w:val="24"/>
        </w:rPr>
        <w:t xml:space="preserve"> </w:t>
      </w:r>
      <w:r w:rsidR="0033302C" w:rsidRPr="003B4362">
        <w:rPr>
          <w:rFonts w:eastAsia="Calibri"/>
          <w:szCs w:val="24"/>
        </w:rPr>
        <w:t>replacing</w:t>
      </w:r>
      <w:r w:rsidRPr="003B4362">
        <w:rPr>
          <w:rFonts w:eastAsia="Calibri"/>
          <w:szCs w:val="24"/>
        </w:rPr>
        <w:t xml:space="preserve"> the </w:t>
      </w:r>
      <w:r w:rsidR="0033302C" w:rsidRPr="003B4362">
        <w:rPr>
          <w:rFonts w:eastAsia="Calibri"/>
          <w:szCs w:val="24"/>
        </w:rPr>
        <w:t xml:space="preserve">supplier-owned </w:t>
      </w:r>
      <w:r w:rsidRPr="003B4362">
        <w:rPr>
          <w:rFonts w:eastAsia="Calibri"/>
          <w:szCs w:val="24"/>
        </w:rPr>
        <w:t xml:space="preserve">portion of </w:t>
      </w:r>
      <w:r w:rsidR="0033302C" w:rsidRPr="003B4362">
        <w:rPr>
          <w:rFonts w:eastAsia="Calibri"/>
          <w:szCs w:val="24"/>
        </w:rPr>
        <w:t>a</w:t>
      </w:r>
      <w:r w:rsidRPr="003B4362">
        <w:rPr>
          <w:rFonts w:eastAsia="Calibri"/>
          <w:szCs w:val="24"/>
        </w:rPr>
        <w:t xml:space="preserve"> </w:t>
      </w:r>
      <w:r w:rsidR="00121F15" w:rsidRPr="003B4362">
        <w:rPr>
          <w:rFonts w:eastAsia="Calibri"/>
          <w:szCs w:val="24"/>
        </w:rPr>
        <w:t>l</w:t>
      </w:r>
      <w:r w:rsidRPr="003B4362">
        <w:rPr>
          <w:rFonts w:eastAsia="Calibri"/>
          <w:szCs w:val="24"/>
        </w:rPr>
        <w:t>ead service line</w:t>
      </w:r>
      <w:bookmarkEnd w:id="1524"/>
      <w:r w:rsidR="0033302C" w:rsidRPr="003B4362">
        <w:rPr>
          <w:rFonts w:eastAsia="Calibri"/>
          <w:szCs w:val="24"/>
        </w:rPr>
        <w:t xml:space="preserve"> </w:t>
      </w:r>
      <w:bookmarkStart w:id="1525" w:name="_Hlk119576266"/>
      <w:r w:rsidR="0033302C" w:rsidRPr="003B4362">
        <w:rPr>
          <w:rFonts w:eastAsia="Calibri"/>
          <w:szCs w:val="24"/>
        </w:rPr>
        <w:t>in the course of</w:t>
      </w:r>
      <w:r w:rsidRPr="003B4362">
        <w:rPr>
          <w:rFonts w:eastAsia="Calibri"/>
          <w:szCs w:val="24"/>
        </w:rPr>
        <w:t xml:space="preserve"> an emergency repair</w:t>
      </w:r>
      <w:bookmarkEnd w:id="1525"/>
      <w:r w:rsidR="0033302C" w:rsidRPr="003B4362">
        <w:rPr>
          <w:rFonts w:eastAsia="Calibri"/>
          <w:szCs w:val="24"/>
        </w:rPr>
        <w:t xml:space="preserve"> </w:t>
      </w:r>
      <w:bookmarkStart w:id="1526" w:name="_Hlk119576451"/>
      <w:r w:rsidRPr="003B4362">
        <w:rPr>
          <w:rFonts w:eastAsia="Calibri"/>
          <w:szCs w:val="24"/>
        </w:rPr>
        <w:t xml:space="preserve">must </w:t>
      </w:r>
      <w:bookmarkStart w:id="1527" w:name="_Hlk119610759"/>
      <w:r w:rsidR="0033302C" w:rsidRPr="003B4362">
        <w:rPr>
          <w:rFonts w:eastAsia="Calibri"/>
          <w:szCs w:val="24"/>
        </w:rPr>
        <w:t xml:space="preserve">notify and </w:t>
      </w:r>
      <w:r w:rsidRPr="003B4362">
        <w:rPr>
          <w:rFonts w:eastAsia="Calibri"/>
          <w:szCs w:val="24"/>
        </w:rPr>
        <w:t>provide</w:t>
      </w:r>
      <w:r w:rsidR="0033302C" w:rsidRPr="003B4362">
        <w:rPr>
          <w:rFonts w:eastAsia="Calibri"/>
          <w:szCs w:val="24"/>
        </w:rPr>
        <w:t xml:space="preserve"> </w:t>
      </w:r>
      <w:r w:rsidRPr="003B4362">
        <w:rPr>
          <w:rFonts w:eastAsia="Calibri"/>
          <w:szCs w:val="24"/>
        </w:rPr>
        <w:t>risk mitigation measures</w:t>
      </w:r>
      <w:bookmarkEnd w:id="1526"/>
      <w:bookmarkEnd w:id="1527"/>
      <w:r w:rsidRPr="003B4362">
        <w:rPr>
          <w:rFonts w:eastAsia="Calibri"/>
          <w:szCs w:val="24"/>
        </w:rPr>
        <w:t xml:space="preserve"> to </w:t>
      </w:r>
      <w:bookmarkStart w:id="1528" w:name="_Hlk119603506"/>
      <w:r w:rsidRPr="003B4362">
        <w:rPr>
          <w:rFonts w:eastAsia="Calibri"/>
          <w:szCs w:val="24"/>
        </w:rPr>
        <w:t>the persons</w:t>
      </w:r>
      <w:r w:rsidR="00BE4E06" w:rsidRPr="003B4362">
        <w:rPr>
          <w:rFonts w:eastAsia="Calibri"/>
          <w:szCs w:val="24"/>
        </w:rPr>
        <w:t xml:space="preserve"> </w:t>
      </w:r>
      <w:r w:rsidRPr="003B4362">
        <w:rPr>
          <w:rFonts w:eastAsia="Calibri"/>
          <w:szCs w:val="24"/>
        </w:rPr>
        <w:t xml:space="preserve">the affected service line </w:t>
      </w:r>
      <w:r w:rsidR="00BE4E06" w:rsidRPr="003B4362">
        <w:rPr>
          <w:rFonts w:eastAsia="Calibri"/>
          <w:szCs w:val="24"/>
        </w:rPr>
        <w:t xml:space="preserve">serves </w:t>
      </w:r>
      <w:bookmarkStart w:id="1529" w:name="_Hlk119611016"/>
      <w:r w:rsidR="00BE4E06" w:rsidRPr="003B4362">
        <w:rPr>
          <w:rFonts w:eastAsia="Calibri"/>
          <w:szCs w:val="24"/>
        </w:rPr>
        <w:t>as</w:t>
      </w:r>
      <w:r w:rsidRPr="003B4362">
        <w:rPr>
          <w:rFonts w:eastAsia="Calibri"/>
          <w:szCs w:val="24"/>
        </w:rPr>
        <w:t xml:space="preserve"> subsections </w:t>
      </w:r>
      <w:bookmarkStart w:id="1530" w:name="_Hlk119604080"/>
      <w:r w:rsidRPr="003B4362">
        <w:rPr>
          <w:rFonts w:eastAsia="Calibri"/>
          <w:szCs w:val="24"/>
        </w:rPr>
        <w:t>(d)(1)</w:t>
      </w:r>
      <w:bookmarkEnd w:id="1530"/>
      <w:r w:rsidRPr="003B4362">
        <w:rPr>
          <w:rFonts w:eastAsia="Calibri"/>
          <w:szCs w:val="24"/>
        </w:rPr>
        <w:t xml:space="preserve">(A) through </w:t>
      </w:r>
      <w:r w:rsidR="00BE4E06" w:rsidRPr="003B4362">
        <w:rPr>
          <w:rFonts w:eastAsia="Calibri"/>
          <w:szCs w:val="24"/>
        </w:rPr>
        <w:t>(d)(1)</w:t>
      </w:r>
      <w:r w:rsidRPr="003B4362">
        <w:rPr>
          <w:rFonts w:eastAsia="Calibri"/>
          <w:szCs w:val="24"/>
        </w:rPr>
        <w:t xml:space="preserve">(C) </w:t>
      </w:r>
      <w:r w:rsidR="00BE4E06" w:rsidRPr="003B4362">
        <w:rPr>
          <w:rFonts w:eastAsia="Calibri"/>
          <w:szCs w:val="24"/>
        </w:rPr>
        <w:t>require</w:t>
      </w:r>
      <w:bookmarkEnd w:id="1528"/>
      <w:bookmarkEnd w:id="1529"/>
      <w:r w:rsidRPr="003B4362">
        <w:rPr>
          <w:rFonts w:eastAsia="Calibri"/>
          <w:szCs w:val="24"/>
        </w:rPr>
        <w:t xml:space="preserve"> </w:t>
      </w:r>
      <w:bookmarkStart w:id="1531" w:name="_Hlk119604024"/>
      <w:r w:rsidRPr="003B4362">
        <w:rPr>
          <w:rFonts w:eastAsia="Calibri"/>
          <w:szCs w:val="24"/>
        </w:rPr>
        <w:t xml:space="preserve">before </w:t>
      </w:r>
      <w:r w:rsidR="00BE4E06" w:rsidRPr="003B4362">
        <w:rPr>
          <w:rFonts w:eastAsia="Calibri"/>
          <w:szCs w:val="24"/>
        </w:rPr>
        <w:t xml:space="preserve">returning </w:t>
      </w:r>
      <w:r w:rsidRPr="003B4362">
        <w:rPr>
          <w:rFonts w:eastAsia="Calibri"/>
          <w:szCs w:val="24"/>
        </w:rPr>
        <w:t>the</w:t>
      </w:r>
      <w:r w:rsidR="00BE4E06" w:rsidRPr="003B4362">
        <w:rPr>
          <w:rFonts w:eastAsia="Calibri"/>
          <w:szCs w:val="24"/>
        </w:rPr>
        <w:t xml:space="preserve"> </w:t>
      </w:r>
      <w:r w:rsidRPr="003B4362">
        <w:rPr>
          <w:rFonts w:eastAsia="Calibri"/>
          <w:szCs w:val="24"/>
        </w:rPr>
        <w:t>line</w:t>
      </w:r>
      <w:r w:rsidR="00BE4E06" w:rsidRPr="003B4362">
        <w:rPr>
          <w:rFonts w:eastAsia="Calibri"/>
          <w:szCs w:val="24"/>
        </w:rPr>
        <w:t xml:space="preserve"> </w:t>
      </w:r>
      <w:r w:rsidRPr="003B4362">
        <w:rPr>
          <w:rFonts w:eastAsia="Calibri"/>
          <w:szCs w:val="24"/>
        </w:rPr>
        <w:t>to service</w:t>
      </w:r>
      <w:bookmarkEnd w:id="1531"/>
      <w:r w:rsidRPr="003B4362">
        <w:rPr>
          <w:rFonts w:eastAsia="Calibri"/>
          <w:szCs w:val="24"/>
        </w:rPr>
        <w:t>.</w:t>
      </w:r>
    </w:p>
    <w:p w14:paraId="4CEFF177" w14:textId="60B97CCA"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r>
      <w:bookmarkStart w:id="1532" w:name="_Hlk119604244"/>
      <w:r w:rsidR="0096009C" w:rsidRPr="003B4362">
        <w:rPr>
          <w:rFonts w:eastAsia="Calibri"/>
          <w:szCs w:val="24"/>
        </w:rPr>
        <w:t>If a customer notifies</w:t>
      </w:r>
      <w:r w:rsidRPr="003B4362">
        <w:rPr>
          <w:rFonts w:eastAsia="Calibri"/>
          <w:szCs w:val="24"/>
        </w:rPr>
        <w:t xml:space="preserve"> a </w:t>
      </w:r>
      <w:r w:rsidR="0096009C" w:rsidRPr="003B4362">
        <w:rPr>
          <w:rFonts w:eastAsia="Calibri"/>
          <w:szCs w:val="24"/>
        </w:rPr>
        <w:t>supplier</w:t>
      </w:r>
      <w:r w:rsidRPr="003B4362">
        <w:rPr>
          <w:rFonts w:eastAsia="Calibri"/>
          <w:szCs w:val="24"/>
        </w:rPr>
        <w:t xml:space="preserve"> </w:t>
      </w:r>
      <w:r w:rsidR="0096009C" w:rsidRPr="003B4362">
        <w:rPr>
          <w:rFonts w:eastAsia="Calibri"/>
          <w:szCs w:val="24"/>
        </w:rPr>
        <w:t>that</w:t>
      </w:r>
      <w:r w:rsidRPr="003B4362">
        <w:rPr>
          <w:rFonts w:eastAsia="Calibri"/>
          <w:szCs w:val="24"/>
        </w:rPr>
        <w:t xml:space="preserve"> the customer </w:t>
      </w:r>
      <w:r w:rsidR="00A050E6" w:rsidRPr="003B4362">
        <w:rPr>
          <w:rFonts w:eastAsia="Calibri"/>
          <w:szCs w:val="24"/>
        </w:rPr>
        <w:t xml:space="preserve">plans </w:t>
      </w:r>
      <w:r w:rsidR="009F594C" w:rsidRPr="003B4362">
        <w:rPr>
          <w:rFonts w:eastAsia="Calibri"/>
          <w:szCs w:val="24"/>
        </w:rPr>
        <w:t xml:space="preserve">to </w:t>
      </w:r>
      <w:r w:rsidR="00A050E6" w:rsidRPr="003B4362">
        <w:rPr>
          <w:rFonts w:eastAsia="Calibri"/>
          <w:szCs w:val="24"/>
        </w:rPr>
        <w:t>replac</w:t>
      </w:r>
      <w:r w:rsidR="009F594C" w:rsidRPr="003B4362">
        <w:rPr>
          <w:rFonts w:eastAsia="Calibri"/>
          <w:szCs w:val="24"/>
        </w:rPr>
        <w:t>e</w:t>
      </w:r>
      <w:r w:rsidRPr="003B4362">
        <w:rPr>
          <w:rFonts w:eastAsia="Calibri"/>
          <w:szCs w:val="24"/>
        </w:rPr>
        <w:t xml:space="preserve"> the customer’s portion of the </w:t>
      </w:r>
      <w:r w:rsidR="00121F15" w:rsidRPr="003B4362">
        <w:rPr>
          <w:rFonts w:eastAsia="Calibri"/>
          <w:szCs w:val="24"/>
        </w:rPr>
        <w:t>l</w:t>
      </w:r>
      <w:r w:rsidRPr="003B4362">
        <w:rPr>
          <w:rFonts w:eastAsia="Calibri"/>
          <w:szCs w:val="24"/>
        </w:rPr>
        <w:t>ead service line</w:t>
      </w:r>
      <w:bookmarkEnd w:id="1532"/>
      <w:r w:rsidRPr="003B4362">
        <w:rPr>
          <w:rFonts w:eastAsia="Calibri"/>
          <w:szCs w:val="24"/>
        </w:rPr>
        <w:t xml:space="preserve">, the </w:t>
      </w:r>
      <w:bookmarkStart w:id="1533" w:name="_Hlk119609571"/>
      <w:r w:rsidR="00A050E6" w:rsidRPr="003B4362">
        <w:rPr>
          <w:rFonts w:eastAsia="Calibri"/>
          <w:szCs w:val="24"/>
        </w:rPr>
        <w:t>supplier</w:t>
      </w:r>
      <w:bookmarkEnd w:id="1533"/>
      <w:r w:rsidRPr="003B4362">
        <w:rPr>
          <w:rFonts w:eastAsia="Calibri"/>
          <w:szCs w:val="24"/>
        </w:rPr>
        <w:t xml:space="preserve"> must make a good faith effort to </w:t>
      </w:r>
      <w:bookmarkStart w:id="1534" w:name="_Hlk119608605"/>
      <w:r w:rsidRPr="003B4362">
        <w:rPr>
          <w:rFonts w:eastAsia="Calibri"/>
          <w:szCs w:val="24"/>
        </w:rPr>
        <w:t>coordinate simultaneous</w:t>
      </w:r>
      <w:r w:rsidR="00CD06A2" w:rsidRPr="003B4362">
        <w:rPr>
          <w:rFonts w:eastAsia="Calibri"/>
          <w:szCs w:val="24"/>
        </w:rPr>
        <w:t>ly</w:t>
      </w:r>
      <w:r w:rsidRPr="003B4362">
        <w:rPr>
          <w:rFonts w:eastAsia="Calibri"/>
          <w:szCs w:val="24"/>
        </w:rPr>
        <w:t xml:space="preserve"> replac</w:t>
      </w:r>
      <w:r w:rsidR="00CD06A2" w:rsidRPr="003B4362">
        <w:rPr>
          <w:rFonts w:eastAsia="Calibri"/>
          <w:szCs w:val="24"/>
        </w:rPr>
        <w:t>ing</w:t>
      </w:r>
      <w:r w:rsidRPr="003B4362">
        <w:rPr>
          <w:rFonts w:eastAsia="Calibri"/>
          <w:szCs w:val="24"/>
        </w:rPr>
        <w:t xml:space="preserve"> </w:t>
      </w:r>
      <w:r w:rsidR="00CD06A2" w:rsidRPr="003B4362">
        <w:rPr>
          <w:rFonts w:eastAsia="Calibri"/>
          <w:szCs w:val="24"/>
        </w:rPr>
        <w:t>the supplier’s</w:t>
      </w:r>
      <w:r w:rsidRPr="003B4362">
        <w:rPr>
          <w:rFonts w:eastAsia="Calibri"/>
          <w:szCs w:val="24"/>
        </w:rPr>
        <w:t xml:space="preserve"> portion</w:t>
      </w:r>
      <w:bookmarkEnd w:id="1534"/>
      <w:r w:rsidRPr="003B4362">
        <w:rPr>
          <w:rFonts w:eastAsia="Calibri"/>
          <w:szCs w:val="24"/>
        </w:rPr>
        <w:t>.  I</w:t>
      </w:r>
      <w:bookmarkStart w:id="1535" w:name="_Hlk119609474"/>
      <w:r w:rsidRPr="003B4362">
        <w:rPr>
          <w:rFonts w:eastAsia="Calibri"/>
          <w:szCs w:val="24"/>
        </w:rPr>
        <w:t>f simultaneous</w:t>
      </w:r>
      <w:r w:rsidR="00CD06A2" w:rsidRPr="003B4362">
        <w:rPr>
          <w:rFonts w:eastAsia="Calibri"/>
          <w:szCs w:val="24"/>
        </w:rPr>
        <w:t>ly replacing</w:t>
      </w:r>
      <w:r w:rsidRPr="003B4362">
        <w:rPr>
          <w:rFonts w:eastAsia="Calibri"/>
          <w:szCs w:val="24"/>
        </w:rPr>
        <w:t xml:space="preserve"> </w:t>
      </w:r>
      <w:r w:rsidR="0040488D" w:rsidRPr="003B4362">
        <w:rPr>
          <w:rFonts w:eastAsia="Calibri"/>
          <w:szCs w:val="24"/>
        </w:rPr>
        <w:t xml:space="preserve">the supplier- and customer-owned portions </w:t>
      </w:r>
      <w:r w:rsidR="00DF18F8" w:rsidRPr="003B4362">
        <w:rPr>
          <w:rFonts w:eastAsia="Calibri"/>
          <w:szCs w:val="24"/>
        </w:rPr>
        <w:t>cannot be conducted</w:t>
      </w:r>
      <w:bookmarkEnd w:id="1535"/>
      <w:r w:rsidRPr="003B4362">
        <w:rPr>
          <w:rFonts w:eastAsia="Calibri"/>
          <w:szCs w:val="24"/>
        </w:rPr>
        <w:t xml:space="preserve">, the </w:t>
      </w:r>
      <w:r w:rsidR="0040488D" w:rsidRPr="003B4362">
        <w:rPr>
          <w:rFonts w:eastAsia="Calibri"/>
          <w:szCs w:val="24"/>
        </w:rPr>
        <w:t>supplier</w:t>
      </w:r>
      <w:r w:rsidRPr="003B4362">
        <w:rPr>
          <w:rFonts w:eastAsia="Calibri"/>
          <w:szCs w:val="24"/>
        </w:rPr>
        <w:t xml:space="preserve"> must </w:t>
      </w:r>
      <w:bookmarkStart w:id="1536" w:name="_Hlk119610052"/>
      <w:r w:rsidRPr="003B4362">
        <w:rPr>
          <w:rFonts w:eastAsia="Calibri"/>
          <w:szCs w:val="24"/>
        </w:rPr>
        <w:t xml:space="preserve">replace </w:t>
      </w:r>
      <w:r w:rsidR="00F00AC3" w:rsidRPr="003B4362">
        <w:rPr>
          <w:rFonts w:eastAsia="Calibri"/>
          <w:szCs w:val="24"/>
        </w:rPr>
        <w:t>the supplier-owned</w:t>
      </w:r>
      <w:r w:rsidRPr="003B4362">
        <w:rPr>
          <w:rFonts w:eastAsia="Calibri"/>
          <w:szCs w:val="24"/>
        </w:rPr>
        <w:t xml:space="preserve"> portion</w:t>
      </w:r>
      <w:bookmarkEnd w:id="1536"/>
      <w:r w:rsidRPr="003B4362">
        <w:rPr>
          <w:rFonts w:eastAsia="Calibri"/>
          <w:szCs w:val="24"/>
        </w:rPr>
        <w:t xml:space="preserve"> as soon as practicable but </w:t>
      </w:r>
      <w:bookmarkStart w:id="1537" w:name="_Hlk119609850"/>
      <w:bookmarkStart w:id="1538" w:name="_Hlk119610120"/>
      <w:r w:rsidRPr="003B4362">
        <w:rPr>
          <w:rFonts w:eastAsia="Calibri"/>
          <w:szCs w:val="24"/>
        </w:rPr>
        <w:t xml:space="preserve">no later than 45 days </w:t>
      </w:r>
      <w:bookmarkEnd w:id="1537"/>
      <w:r w:rsidR="00F00AC3" w:rsidRPr="003B4362">
        <w:rPr>
          <w:rFonts w:eastAsia="Calibri"/>
          <w:szCs w:val="24"/>
        </w:rPr>
        <w:t>after</w:t>
      </w:r>
      <w:bookmarkEnd w:id="1538"/>
      <w:r w:rsidRPr="003B4362">
        <w:rPr>
          <w:rFonts w:eastAsia="Calibri"/>
          <w:szCs w:val="24"/>
        </w:rPr>
        <w:t xml:space="preserve"> the customer </w:t>
      </w:r>
      <w:bookmarkStart w:id="1539" w:name="_Hlk119610187"/>
      <w:r w:rsidRPr="003B4362">
        <w:rPr>
          <w:rFonts w:eastAsia="Calibri"/>
          <w:szCs w:val="24"/>
        </w:rPr>
        <w:t xml:space="preserve">replaces </w:t>
      </w:r>
      <w:r w:rsidR="00F00AC3" w:rsidRPr="003B4362">
        <w:rPr>
          <w:rFonts w:eastAsia="Calibri"/>
          <w:szCs w:val="24"/>
        </w:rPr>
        <w:t>the customer-owned</w:t>
      </w:r>
      <w:r w:rsidRPr="003B4362">
        <w:rPr>
          <w:rFonts w:eastAsia="Calibri"/>
          <w:szCs w:val="24"/>
        </w:rPr>
        <w:t xml:space="preserve"> portion</w:t>
      </w:r>
      <w:bookmarkEnd w:id="1539"/>
      <w:r w:rsidRPr="003B4362">
        <w:rPr>
          <w:rFonts w:eastAsia="Calibri"/>
          <w:szCs w:val="24"/>
        </w:rPr>
        <w:t xml:space="preserve"> of the </w:t>
      </w:r>
      <w:r w:rsidR="009A463D" w:rsidRPr="003B4362">
        <w:rPr>
          <w:rFonts w:eastAsia="Calibri"/>
          <w:szCs w:val="24"/>
        </w:rPr>
        <w:t>l</w:t>
      </w:r>
      <w:r w:rsidRPr="003B4362">
        <w:rPr>
          <w:rFonts w:eastAsia="Calibri"/>
          <w:szCs w:val="24"/>
        </w:rPr>
        <w:t xml:space="preserve">ead service line.  The </w:t>
      </w:r>
      <w:r w:rsidR="0040488D" w:rsidRPr="003B4362">
        <w:rPr>
          <w:rFonts w:eastAsia="Calibri"/>
          <w:szCs w:val="24"/>
        </w:rPr>
        <w:t>supplier</w:t>
      </w:r>
      <w:r w:rsidRPr="003B4362">
        <w:rPr>
          <w:rFonts w:eastAsia="Calibri"/>
          <w:szCs w:val="24"/>
        </w:rPr>
        <w:t xml:space="preserve"> must </w:t>
      </w:r>
      <w:r w:rsidR="001116A2" w:rsidRPr="003B4362">
        <w:rPr>
          <w:rFonts w:eastAsia="Calibri"/>
          <w:szCs w:val="24"/>
        </w:rPr>
        <w:t>notify and provide risk mitigation measures</w:t>
      </w:r>
      <w:r w:rsidRPr="003B4362">
        <w:rPr>
          <w:rFonts w:eastAsia="Calibri"/>
          <w:szCs w:val="24"/>
        </w:rPr>
        <w:t xml:space="preserve"> </w:t>
      </w:r>
      <w:r w:rsidR="0033437A" w:rsidRPr="003B4362">
        <w:rPr>
          <w:rFonts w:eastAsia="Calibri"/>
          <w:szCs w:val="24"/>
        </w:rPr>
        <w:t>as subsections (d)(1)(A) through (d)(1)(C) require</w:t>
      </w:r>
      <w:r w:rsidRPr="003B4362">
        <w:rPr>
          <w:rFonts w:eastAsia="Calibri"/>
          <w:szCs w:val="24"/>
        </w:rPr>
        <w:t xml:space="preserve">.  If the </w:t>
      </w:r>
      <w:r w:rsidR="0040488D" w:rsidRPr="003B4362">
        <w:rPr>
          <w:rFonts w:eastAsia="Calibri"/>
          <w:szCs w:val="24"/>
        </w:rPr>
        <w:t>supplier</w:t>
      </w:r>
      <w:r w:rsidRPr="003B4362">
        <w:rPr>
          <w:rFonts w:eastAsia="Calibri"/>
          <w:szCs w:val="24"/>
        </w:rPr>
        <w:t xml:space="preserve"> fails to replace its </w:t>
      </w:r>
      <w:bookmarkStart w:id="1540" w:name="_Hlk120047576"/>
      <w:r w:rsidRPr="003B4362">
        <w:rPr>
          <w:rFonts w:eastAsia="Calibri"/>
          <w:szCs w:val="24"/>
        </w:rPr>
        <w:t xml:space="preserve">portion of the </w:t>
      </w:r>
      <w:r w:rsidR="009A463D" w:rsidRPr="003B4362">
        <w:rPr>
          <w:rFonts w:eastAsia="Calibri"/>
          <w:szCs w:val="24"/>
        </w:rPr>
        <w:t>l</w:t>
      </w:r>
      <w:r w:rsidRPr="003B4362">
        <w:rPr>
          <w:rFonts w:eastAsia="Calibri"/>
          <w:szCs w:val="24"/>
        </w:rPr>
        <w:t>ead service line</w:t>
      </w:r>
      <w:bookmarkEnd w:id="1540"/>
      <w:r w:rsidRPr="003B4362">
        <w:rPr>
          <w:rFonts w:eastAsia="Calibri"/>
          <w:szCs w:val="24"/>
        </w:rPr>
        <w:t xml:space="preserve"> </w:t>
      </w:r>
      <w:bookmarkStart w:id="1541" w:name="_Hlk119616623"/>
      <w:r w:rsidRPr="003B4362">
        <w:rPr>
          <w:rFonts w:eastAsia="Calibri"/>
          <w:szCs w:val="24"/>
        </w:rPr>
        <w:t xml:space="preserve">within 45 days </w:t>
      </w:r>
      <w:r w:rsidR="00123AD6" w:rsidRPr="003B4362">
        <w:rPr>
          <w:rFonts w:eastAsia="Calibri"/>
          <w:szCs w:val="24"/>
        </w:rPr>
        <w:t>after</w:t>
      </w:r>
      <w:bookmarkEnd w:id="1541"/>
      <w:r w:rsidRPr="003B4362">
        <w:rPr>
          <w:rFonts w:eastAsia="Calibri"/>
          <w:szCs w:val="24"/>
        </w:rPr>
        <w:t xml:space="preserve"> the customer replaces the customer’s portion of the </w:t>
      </w:r>
      <w:r w:rsidR="00121F15" w:rsidRPr="003B4362">
        <w:rPr>
          <w:rFonts w:eastAsia="Calibri"/>
          <w:szCs w:val="24"/>
        </w:rPr>
        <w:t>l</w:t>
      </w:r>
      <w:r w:rsidRPr="003B4362">
        <w:rPr>
          <w:rFonts w:eastAsia="Calibri"/>
          <w:szCs w:val="24"/>
        </w:rPr>
        <w:t xml:space="preserve">ead service line, the </w:t>
      </w:r>
      <w:r w:rsidR="0040488D" w:rsidRPr="003B4362">
        <w:rPr>
          <w:rFonts w:eastAsia="Calibri"/>
          <w:szCs w:val="24"/>
        </w:rPr>
        <w:t>supplier</w:t>
      </w:r>
      <w:r w:rsidRPr="003B4362">
        <w:rPr>
          <w:rFonts w:eastAsia="Calibri"/>
          <w:szCs w:val="24"/>
        </w:rPr>
        <w:t xml:space="preserve"> must </w:t>
      </w:r>
      <w:bookmarkStart w:id="1542" w:name="_Hlk119612664"/>
      <w:bookmarkStart w:id="1543" w:name="_Hlk119611144"/>
      <w:r w:rsidRPr="003B4362">
        <w:rPr>
          <w:rFonts w:eastAsia="Calibri"/>
          <w:szCs w:val="24"/>
        </w:rPr>
        <w:t xml:space="preserve">notify the </w:t>
      </w:r>
      <w:r w:rsidR="0033437A" w:rsidRPr="003B4362">
        <w:rPr>
          <w:rFonts w:eastAsia="Calibri"/>
          <w:szCs w:val="24"/>
        </w:rPr>
        <w:t>Agency</w:t>
      </w:r>
      <w:r w:rsidR="00911210" w:rsidRPr="003B4362">
        <w:rPr>
          <w:rFonts w:eastAsia="Calibri"/>
          <w:szCs w:val="24"/>
        </w:rPr>
        <w:t xml:space="preserve"> under Section 611.360(e) </w:t>
      </w:r>
      <w:r w:rsidRPr="003B4362">
        <w:rPr>
          <w:rFonts w:eastAsia="Calibri"/>
          <w:szCs w:val="24"/>
        </w:rPr>
        <w:t xml:space="preserve">within 30 days </w:t>
      </w:r>
      <w:r w:rsidR="0033437A" w:rsidRPr="003B4362">
        <w:rPr>
          <w:rFonts w:eastAsia="Calibri"/>
          <w:szCs w:val="24"/>
        </w:rPr>
        <w:t>after</w:t>
      </w:r>
      <w:r w:rsidRPr="003B4362">
        <w:rPr>
          <w:rFonts w:eastAsia="Calibri"/>
          <w:szCs w:val="24"/>
        </w:rPr>
        <w:t xml:space="preserve"> failing to meet the deadline</w:t>
      </w:r>
      <w:bookmarkEnd w:id="1542"/>
      <w:r w:rsidR="00911210" w:rsidRPr="003B4362">
        <w:rPr>
          <w:rFonts w:eastAsia="Calibri"/>
          <w:szCs w:val="24"/>
        </w:rPr>
        <w:t xml:space="preserve">.  </w:t>
      </w:r>
      <w:bookmarkEnd w:id="1543"/>
      <w:r w:rsidR="00911210" w:rsidRPr="003B4362">
        <w:rPr>
          <w:rFonts w:eastAsia="Calibri"/>
          <w:szCs w:val="24"/>
        </w:rPr>
        <w:t>The supplier must</w:t>
      </w:r>
      <w:r w:rsidRPr="003B4362">
        <w:rPr>
          <w:rFonts w:eastAsia="Calibri"/>
          <w:szCs w:val="24"/>
        </w:rPr>
        <w:t xml:space="preserve"> </w:t>
      </w:r>
      <w:bookmarkStart w:id="1544" w:name="_Hlk119613449"/>
      <w:r w:rsidRPr="003B4362">
        <w:rPr>
          <w:rFonts w:eastAsia="Calibri"/>
          <w:szCs w:val="24"/>
        </w:rPr>
        <w:t xml:space="preserve">complete </w:t>
      </w:r>
      <w:r w:rsidR="00911210" w:rsidRPr="003B4362">
        <w:rPr>
          <w:rFonts w:eastAsia="Calibri"/>
          <w:szCs w:val="24"/>
        </w:rPr>
        <w:t xml:space="preserve">replacing </w:t>
      </w:r>
      <w:r w:rsidR="002765C4" w:rsidRPr="003B4362">
        <w:rPr>
          <w:rFonts w:eastAsia="Calibri"/>
          <w:szCs w:val="24"/>
        </w:rPr>
        <w:t>the supplier-owned</w:t>
      </w:r>
      <w:r w:rsidR="00911210" w:rsidRPr="003B4362">
        <w:rPr>
          <w:rFonts w:eastAsia="Calibri"/>
          <w:szCs w:val="24"/>
        </w:rPr>
        <w:t xml:space="preserve"> portion of the </w:t>
      </w:r>
      <w:r w:rsidR="002765C4" w:rsidRPr="003B4362">
        <w:rPr>
          <w:rFonts w:eastAsia="Calibri"/>
          <w:szCs w:val="24"/>
        </w:rPr>
        <w:t>service line</w:t>
      </w:r>
      <w:r w:rsidRPr="003B4362">
        <w:rPr>
          <w:rFonts w:eastAsia="Calibri"/>
          <w:szCs w:val="24"/>
        </w:rPr>
        <w:t xml:space="preserve"> no later than 180 days </w:t>
      </w:r>
      <w:r w:rsidR="002765C4" w:rsidRPr="003B4362">
        <w:rPr>
          <w:rFonts w:eastAsia="Calibri"/>
          <w:szCs w:val="24"/>
        </w:rPr>
        <w:t>after</w:t>
      </w:r>
      <w:r w:rsidRPr="003B4362">
        <w:rPr>
          <w:rFonts w:eastAsia="Calibri"/>
          <w:szCs w:val="24"/>
        </w:rPr>
        <w:t xml:space="preserve"> the customer replaces </w:t>
      </w:r>
      <w:r w:rsidR="002765C4" w:rsidRPr="003B4362">
        <w:rPr>
          <w:rFonts w:eastAsia="Calibri"/>
          <w:szCs w:val="24"/>
        </w:rPr>
        <w:t>the customer-owned</w:t>
      </w:r>
      <w:r w:rsidRPr="003B4362">
        <w:rPr>
          <w:rFonts w:eastAsia="Calibri"/>
          <w:szCs w:val="24"/>
        </w:rPr>
        <w:t xml:space="preserve"> portion</w:t>
      </w:r>
      <w:bookmarkEnd w:id="1544"/>
      <w:r w:rsidRPr="003B4362">
        <w:rPr>
          <w:rFonts w:eastAsia="Calibri"/>
          <w:szCs w:val="24"/>
        </w:rPr>
        <w:t>.</w:t>
      </w:r>
    </w:p>
    <w:p w14:paraId="2EF81C4E" w14:textId="5FD74311" w:rsidR="0028461D"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r>
      <w:bookmarkStart w:id="1545" w:name="_Hlk119614240"/>
      <w:bookmarkStart w:id="1546" w:name="_Hlk119618280"/>
      <w:r w:rsidR="00E33B2C" w:rsidRPr="003B4362">
        <w:rPr>
          <w:rFonts w:eastAsia="Calibri"/>
          <w:szCs w:val="24"/>
        </w:rPr>
        <w:t>If</w:t>
      </w:r>
      <w:r w:rsidRPr="003B4362">
        <w:rPr>
          <w:rFonts w:eastAsia="Calibri"/>
          <w:szCs w:val="24"/>
        </w:rPr>
        <w:t xml:space="preserve"> </w:t>
      </w:r>
      <w:bookmarkStart w:id="1547" w:name="_Hlk119614728"/>
      <w:r w:rsidRPr="003B4362">
        <w:rPr>
          <w:rFonts w:eastAsia="Calibri"/>
          <w:szCs w:val="24"/>
        </w:rPr>
        <w:t xml:space="preserve">a </w:t>
      </w:r>
      <w:r w:rsidR="00E33B2C" w:rsidRPr="003B4362">
        <w:rPr>
          <w:rFonts w:eastAsia="Calibri"/>
          <w:szCs w:val="24"/>
        </w:rPr>
        <w:t>supplier</w:t>
      </w:r>
      <w:r w:rsidRPr="003B4362">
        <w:rPr>
          <w:rFonts w:eastAsia="Calibri"/>
          <w:szCs w:val="24"/>
        </w:rPr>
        <w:t xml:space="preserve"> </w:t>
      </w:r>
      <w:r w:rsidR="00E33B2C" w:rsidRPr="003B4362">
        <w:rPr>
          <w:rFonts w:eastAsia="Calibri"/>
          <w:szCs w:val="24"/>
        </w:rPr>
        <w:t>receives</w:t>
      </w:r>
      <w:r w:rsidRPr="003B4362">
        <w:rPr>
          <w:rFonts w:eastAsia="Calibri"/>
          <w:szCs w:val="24"/>
        </w:rPr>
        <w:t xml:space="preserve"> noti</w:t>
      </w:r>
      <w:r w:rsidR="00E33B2C" w:rsidRPr="003B4362">
        <w:rPr>
          <w:rFonts w:eastAsia="Calibri"/>
          <w:szCs w:val="24"/>
        </w:rPr>
        <w:t>ce</w:t>
      </w:r>
      <w:r w:rsidRPr="003B4362">
        <w:rPr>
          <w:rFonts w:eastAsia="Calibri"/>
          <w:szCs w:val="24"/>
        </w:rPr>
        <w:t xml:space="preserve"> or otherwise learns that </w:t>
      </w:r>
      <w:r w:rsidR="00E33B2C" w:rsidRPr="003B4362">
        <w:rPr>
          <w:rFonts w:eastAsia="Calibri"/>
          <w:szCs w:val="24"/>
        </w:rPr>
        <w:t xml:space="preserve">a customer </w:t>
      </w:r>
      <w:r w:rsidRPr="003B4362">
        <w:rPr>
          <w:rFonts w:eastAsia="Calibri"/>
          <w:szCs w:val="24"/>
        </w:rPr>
        <w:t>replace</w:t>
      </w:r>
      <w:r w:rsidR="00E33B2C" w:rsidRPr="003B4362">
        <w:rPr>
          <w:rFonts w:eastAsia="Calibri"/>
          <w:szCs w:val="24"/>
        </w:rPr>
        <w:t>d</w:t>
      </w:r>
      <w:r w:rsidRPr="003B4362">
        <w:rPr>
          <w:rFonts w:eastAsia="Calibri"/>
          <w:szCs w:val="24"/>
        </w:rPr>
        <w:t xml:space="preserve"> </w:t>
      </w:r>
      <w:r w:rsidR="00E33B2C" w:rsidRPr="003B4362">
        <w:rPr>
          <w:rFonts w:eastAsia="Calibri"/>
          <w:szCs w:val="24"/>
        </w:rPr>
        <w:t>the</w:t>
      </w:r>
      <w:r w:rsidRPr="003B4362">
        <w:rPr>
          <w:rFonts w:eastAsia="Calibri"/>
          <w:szCs w:val="24"/>
        </w:rPr>
        <w:t xml:space="preserve"> customer-owned </w:t>
      </w:r>
      <w:r w:rsidR="00E33B2C" w:rsidRPr="003B4362">
        <w:rPr>
          <w:rFonts w:eastAsia="Calibri"/>
          <w:szCs w:val="24"/>
        </w:rPr>
        <w:t xml:space="preserve">portion of a </w:t>
      </w:r>
      <w:r w:rsidR="00655876" w:rsidRPr="003B4362">
        <w:rPr>
          <w:rFonts w:eastAsia="Calibri"/>
          <w:szCs w:val="24"/>
        </w:rPr>
        <w:t>l</w:t>
      </w:r>
      <w:r w:rsidRPr="003B4362">
        <w:rPr>
          <w:rFonts w:eastAsia="Calibri"/>
          <w:szCs w:val="24"/>
        </w:rPr>
        <w:t>ead service line</w:t>
      </w:r>
      <w:bookmarkEnd w:id="1545"/>
      <w:bookmarkEnd w:id="1547"/>
      <w:r w:rsidR="00E33B2C" w:rsidRPr="003B4362">
        <w:rPr>
          <w:rFonts w:eastAsia="Calibri"/>
          <w:szCs w:val="24"/>
        </w:rPr>
        <w:t xml:space="preserve"> </w:t>
      </w:r>
      <w:bookmarkEnd w:id="1546"/>
      <w:r w:rsidRPr="003B4362">
        <w:rPr>
          <w:rFonts w:eastAsia="Calibri"/>
          <w:szCs w:val="24"/>
        </w:rPr>
        <w:t xml:space="preserve">within the previous six months </w:t>
      </w:r>
      <w:bookmarkStart w:id="1548" w:name="_Hlk119615074"/>
      <w:r w:rsidR="00A45723" w:rsidRPr="003B4362">
        <w:rPr>
          <w:rFonts w:eastAsia="Calibri"/>
          <w:szCs w:val="24"/>
        </w:rPr>
        <w:t>leaving</w:t>
      </w:r>
      <w:r w:rsidRPr="003B4362">
        <w:rPr>
          <w:rFonts w:eastAsia="Calibri"/>
          <w:szCs w:val="24"/>
        </w:rPr>
        <w:t xml:space="preserve"> </w:t>
      </w:r>
      <w:r w:rsidR="00A45723" w:rsidRPr="003B4362">
        <w:rPr>
          <w:rFonts w:eastAsia="Calibri"/>
          <w:szCs w:val="24"/>
        </w:rPr>
        <w:t>the</w:t>
      </w:r>
      <w:r w:rsidRPr="003B4362">
        <w:rPr>
          <w:rFonts w:eastAsia="Calibri"/>
          <w:szCs w:val="24"/>
        </w:rPr>
        <w:t xml:space="preserve"> system-owned </w:t>
      </w:r>
      <w:r w:rsidR="00A45723" w:rsidRPr="003B4362">
        <w:rPr>
          <w:rFonts w:eastAsia="Calibri"/>
          <w:szCs w:val="24"/>
        </w:rPr>
        <w:t>portion</w:t>
      </w:r>
      <w:r w:rsidRPr="003B4362">
        <w:rPr>
          <w:rFonts w:eastAsia="Calibri"/>
          <w:szCs w:val="24"/>
        </w:rPr>
        <w:t xml:space="preserve"> </w:t>
      </w:r>
      <w:r w:rsidR="00A45723" w:rsidRPr="003B4362">
        <w:rPr>
          <w:rFonts w:eastAsia="Calibri"/>
          <w:szCs w:val="24"/>
        </w:rPr>
        <w:t>in place</w:t>
      </w:r>
      <w:bookmarkEnd w:id="1548"/>
      <w:r w:rsidRPr="003B4362">
        <w:rPr>
          <w:rFonts w:eastAsia="Calibri"/>
          <w:szCs w:val="24"/>
        </w:rPr>
        <w:t xml:space="preserve">, the </w:t>
      </w:r>
      <w:bookmarkStart w:id="1549" w:name="_Hlk119618311"/>
      <w:r w:rsidR="0045298B" w:rsidRPr="003B4362">
        <w:rPr>
          <w:rFonts w:eastAsia="Calibri"/>
          <w:szCs w:val="24"/>
        </w:rPr>
        <w:t>supplier</w:t>
      </w:r>
      <w:bookmarkEnd w:id="1549"/>
      <w:r w:rsidRPr="003B4362">
        <w:rPr>
          <w:rFonts w:eastAsia="Calibri"/>
          <w:szCs w:val="24"/>
        </w:rPr>
        <w:t xml:space="preserve"> must replace its portion </w:t>
      </w:r>
      <w:bookmarkStart w:id="1550" w:name="_Hlk119615285"/>
      <w:bookmarkStart w:id="1551" w:name="_Hlk119615475"/>
      <w:r w:rsidRPr="003B4362">
        <w:rPr>
          <w:rFonts w:eastAsia="Calibri"/>
          <w:szCs w:val="24"/>
        </w:rPr>
        <w:t xml:space="preserve">within 45 days </w:t>
      </w:r>
      <w:r w:rsidR="0045298B" w:rsidRPr="003B4362">
        <w:rPr>
          <w:rFonts w:eastAsia="Calibri"/>
          <w:szCs w:val="24"/>
        </w:rPr>
        <w:t>after</w:t>
      </w:r>
      <w:r w:rsidRPr="003B4362">
        <w:rPr>
          <w:rFonts w:eastAsia="Calibri"/>
          <w:szCs w:val="24"/>
        </w:rPr>
        <w:t xml:space="preserve"> the </w:t>
      </w:r>
      <w:r w:rsidR="0045298B" w:rsidRPr="003B4362">
        <w:rPr>
          <w:rFonts w:eastAsia="Calibri"/>
          <w:szCs w:val="24"/>
        </w:rPr>
        <w:t>supplier becomes</w:t>
      </w:r>
      <w:r w:rsidRPr="003B4362">
        <w:rPr>
          <w:rFonts w:eastAsia="Calibri"/>
          <w:szCs w:val="24"/>
        </w:rPr>
        <w:t xml:space="preserve"> aware</w:t>
      </w:r>
      <w:r w:rsidR="0045298B" w:rsidRPr="003B4362">
        <w:rPr>
          <w:rFonts w:eastAsia="Calibri"/>
          <w:szCs w:val="24"/>
        </w:rPr>
        <w:t xml:space="preserve"> </w:t>
      </w:r>
      <w:r w:rsidRPr="003B4362">
        <w:rPr>
          <w:rFonts w:eastAsia="Calibri"/>
          <w:szCs w:val="24"/>
        </w:rPr>
        <w:t>the customer replace</w:t>
      </w:r>
      <w:bookmarkEnd w:id="1550"/>
      <w:r w:rsidR="0045298B" w:rsidRPr="003B4362">
        <w:rPr>
          <w:rFonts w:eastAsia="Calibri"/>
          <w:szCs w:val="24"/>
        </w:rPr>
        <w:t>d the customer-owned portion</w:t>
      </w:r>
      <w:bookmarkEnd w:id="1551"/>
      <w:r w:rsidRPr="003B4362">
        <w:rPr>
          <w:rFonts w:eastAsia="Calibri"/>
          <w:szCs w:val="24"/>
        </w:rPr>
        <w:t xml:space="preserve">.  The </w:t>
      </w:r>
      <w:r w:rsidR="0045298B" w:rsidRPr="003B4362">
        <w:rPr>
          <w:rFonts w:eastAsia="Calibri"/>
          <w:szCs w:val="24"/>
        </w:rPr>
        <w:t>supplier must notify and provide risk mitigation</w:t>
      </w:r>
      <w:r w:rsidRPr="003B4362">
        <w:rPr>
          <w:rFonts w:eastAsia="Calibri"/>
          <w:szCs w:val="24"/>
        </w:rPr>
        <w:t xml:space="preserve"> measures </w:t>
      </w:r>
      <w:r w:rsidR="0045298B" w:rsidRPr="003B4362">
        <w:rPr>
          <w:rFonts w:eastAsia="Calibri"/>
          <w:szCs w:val="24"/>
        </w:rPr>
        <w:t>as subsections (d)(1)(A) through (d)(1)(C) require</w:t>
      </w:r>
      <w:r w:rsidRPr="003B4362">
        <w:rPr>
          <w:rFonts w:eastAsia="Calibri"/>
          <w:szCs w:val="24"/>
        </w:rPr>
        <w:t xml:space="preserve"> </w:t>
      </w:r>
      <w:bookmarkStart w:id="1552" w:name="_Hlk119616733"/>
      <w:bookmarkStart w:id="1553" w:name="_Hlk119616850"/>
      <w:r w:rsidRPr="003B4362">
        <w:rPr>
          <w:rFonts w:eastAsia="Calibri"/>
          <w:szCs w:val="24"/>
        </w:rPr>
        <w:t xml:space="preserve">within 24 hours </w:t>
      </w:r>
      <w:r w:rsidR="00123AD6" w:rsidRPr="003B4362">
        <w:rPr>
          <w:rFonts w:eastAsia="Calibri"/>
          <w:szCs w:val="24"/>
        </w:rPr>
        <w:t>after the supplier</w:t>
      </w:r>
      <w:r w:rsidRPr="003B4362">
        <w:rPr>
          <w:rFonts w:eastAsia="Calibri"/>
          <w:szCs w:val="24"/>
        </w:rPr>
        <w:t xml:space="preserve"> becom</w:t>
      </w:r>
      <w:r w:rsidR="00123AD6" w:rsidRPr="003B4362">
        <w:rPr>
          <w:rFonts w:eastAsia="Calibri"/>
          <w:szCs w:val="24"/>
        </w:rPr>
        <w:t>es</w:t>
      </w:r>
      <w:r w:rsidRPr="003B4362">
        <w:rPr>
          <w:rFonts w:eastAsia="Calibri"/>
          <w:szCs w:val="24"/>
        </w:rPr>
        <w:t xml:space="preserve"> aware of the customer replac</w:t>
      </w:r>
      <w:bookmarkEnd w:id="1552"/>
      <w:r w:rsidR="00123AD6" w:rsidRPr="003B4362">
        <w:rPr>
          <w:rFonts w:eastAsia="Calibri"/>
          <w:szCs w:val="24"/>
        </w:rPr>
        <w:t>ing the customer-owned portion</w:t>
      </w:r>
      <w:bookmarkEnd w:id="1553"/>
      <w:r w:rsidRPr="003B4362">
        <w:rPr>
          <w:rFonts w:eastAsia="Calibri"/>
          <w:szCs w:val="24"/>
        </w:rPr>
        <w:t>.  I</w:t>
      </w:r>
      <w:bookmarkStart w:id="1554" w:name="_Hlk119617217"/>
      <w:r w:rsidRPr="003B4362">
        <w:rPr>
          <w:rFonts w:eastAsia="Calibri"/>
          <w:szCs w:val="24"/>
        </w:rPr>
        <w:t xml:space="preserve">f the </w:t>
      </w:r>
      <w:r w:rsidR="00123AD6" w:rsidRPr="003B4362">
        <w:rPr>
          <w:rFonts w:eastAsia="Calibri"/>
          <w:szCs w:val="24"/>
        </w:rPr>
        <w:t>supplier</w:t>
      </w:r>
      <w:r w:rsidRPr="003B4362">
        <w:rPr>
          <w:rFonts w:eastAsia="Calibri"/>
          <w:szCs w:val="24"/>
        </w:rPr>
        <w:t xml:space="preserve"> fails to replace </w:t>
      </w:r>
      <w:r w:rsidR="00123AD6" w:rsidRPr="003B4362">
        <w:rPr>
          <w:rFonts w:eastAsia="Calibri"/>
          <w:szCs w:val="24"/>
        </w:rPr>
        <w:t>the supplier-owned</w:t>
      </w:r>
      <w:r w:rsidRPr="003B4362">
        <w:rPr>
          <w:rFonts w:eastAsia="Calibri"/>
          <w:szCs w:val="24"/>
        </w:rPr>
        <w:t xml:space="preserve"> portion of the</w:t>
      </w:r>
      <w:r w:rsidR="00817E4E" w:rsidRPr="003B4362">
        <w:rPr>
          <w:rFonts w:eastAsia="Calibri"/>
          <w:szCs w:val="24"/>
        </w:rPr>
        <w:t xml:space="preserve"> </w:t>
      </w:r>
      <w:r w:rsidRPr="003B4362">
        <w:rPr>
          <w:rFonts w:eastAsia="Calibri"/>
          <w:szCs w:val="24"/>
        </w:rPr>
        <w:t xml:space="preserve">service line within 45 days </w:t>
      </w:r>
      <w:r w:rsidR="00817E4E" w:rsidRPr="003B4362">
        <w:rPr>
          <w:rFonts w:eastAsia="Calibri"/>
          <w:szCs w:val="24"/>
        </w:rPr>
        <w:t>after</w:t>
      </w:r>
      <w:r w:rsidRPr="003B4362">
        <w:rPr>
          <w:rFonts w:eastAsia="Calibri"/>
          <w:szCs w:val="24"/>
        </w:rPr>
        <w:t xml:space="preserve"> becoming aware of the customer replac</w:t>
      </w:r>
      <w:r w:rsidR="00817E4E" w:rsidRPr="003B4362">
        <w:rPr>
          <w:rFonts w:eastAsia="Calibri"/>
          <w:szCs w:val="24"/>
        </w:rPr>
        <w:t>ing the customer-owned portion</w:t>
      </w:r>
      <w:bookmarkEnd w:id="1554"/>
      <w:r w:rsidRPr="003B4362">
        <w:rPr>
          <w:rFonts w:eastAsia="Calibri"/>
          <w:szCs w:val="24"/>
        </w:rPr>
        <w:t xml:space="preserve">, </w:t>
      </w:r>
      <w:r w:rsidR="00817E4E" w:rsidRPr="003B4362">
        <w:rPr>
          <w:rFonts w:eastAsia="Calibri"/>
          <w:szCs w:val="24"/>
        </w:rPr>
        <w:t>the supplier</w:t>
      </w:r>
      <w:r w:rsidRPr="003B4362">
        <w:rPr>
          <w:rFonts w:eastAsia="Calibri"/>
          <w:szCs w:val="24"/>
        </w:rPr>
        <w:t xml:space="preserve"> must notify the </w:t>
      </w:r>
      <w:r w:rsidR="00817E4E" w:rsidRPr="003B4362">
        <w:rPr>
          <w:rFonts w:eastAsia="Calibri"/>
          <w:szCs w:val="24"/>
        </w:rPr>
        <w:t>Agency under Section 611.360(e)</w:t>
      </w:r>
      <w:r w:rsidRPr="003B4362">
        <w:rPr>
          <w:rFonts w:eastAsia="Calibri"/>
          <w:szCs w:val="24"/>
        </w:rPr>
        <w:t xml:space="preserve"> within 30 days </w:t>
      </w:r>
      <w:r w:rsidR="00817E4E" w:rsidRPr="003B4362">
        <w:rPr>
          <w:rFonts w:eastAsia="Calibri"/>
          <w:szCs w:val="24"/>
        </w:rPr>
        <w:t>after</w:t>
      </w:r>
      <w:r w:rsidRPr="003B4362">
        <w:rPr>
          <w:rFonts w:eastAsia="Calibri"/>
          <w:szCs w:val="24"/>
        </w:rPr>
        <w:t xml:space="preserve"> failing to meet the deadline.  The </w:t>
      </w:r>
      <w:r w:rsidR="00123AD6" w:rsidRPr="003B4362">
        <w:rPr>
          <w:rFonts w:eastAsia="Calibri"/>
          <w:szCs w:val="24"/>
        </w:rPr>
        <w:t>supplier</w:t>
      </w:r>
      <w:r w:rsidRPr="003B4362">
        <w:rPr>
          <w:rFonts w:eastAsia="Calibri"/>
          <w:szCs w:val="24"/>
        </w:rPr>
        <w:t xml:space="preserve"> must complete </w:t>
      </w:r>
      <w:r w:rsidR="0028461D" w:rsidRPr="003B4362">
        <w:rPr>
          <w:rFonts w:eastAsia="Calibri"/>
          <w:szCs w:val="24"/>
        </w:rPr>
        <w:t>replacing the supplier-owned portion of the service line</w:t>
      </w:r>
      <w:r w:rsidRPr="003B4362">
        <w:rPr>
          <w:rFonts w:eastAsia="Calibri"/>
          <w:szCs w:val="24"/>
        </w:rPr>
        <w:t xml:space="preserve"> no later than 180 days after</w:t>
      </w:r>
      <w:r w:rsidR="0028461D" w:rsidRPr="003B4362">
        <w:rPr>
          <w:rFonts w:eastAsia="Calibri"/>
          <w:szCs w:val="24"/>
        </w:rPr>
        <w:t xml:space="preserve"> </w:t>
      </w:r>
      <w:r w:rsidRPr="003B4362">
        <w:rPr>
          <w:rFonts w:eastAsia="Calibri"/>
          <w:szCs w:val="24"/>
        </w:rPr>
        <w:t xml:space="preserve">the customer replaces </w:t>
      </w:r>
      <w:r w:rsidR="0028461D" w:rsidRPr="003B4362">
        <w:rPr>
          <w:rFonts w:eastAsia="Calibri"/>
          <w:szCs w:val="24"/>
        </w:rPr>
        <w:t>the customer-owned</w:t>
      </w:r>
      <w:r w:rsidRPr="003B4362">
        <w:rPr>
          <w:rFonts w:eastAsia="Calibri"/>
          <w:szCs w:val="24"/>
        </w:rPr>
        <w:t xml:space="preserve"> portion.</w:t>
      </w:r>
    </w:p>
    <w:p w14:paraId="2C0F2F1C" w14:textId="204D0555"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lastRenderedPageBreak/>
        <w:t>5)</w:t>
      </w:r>
      <w:r w:rsidR="0028461D" w:rsidRPr="003B4362">
        <w:rPr>
          <w:rFonts w:eastAsia="Calibri"/>
          <w:szCs w:val="24"/>
        </w:rPr>
        <w:tab/>
      </w:r>
      <w:r w:rsidR="00391825" w:rsidRPr="003B4362">
        <w:rPr>
          <w:rFonts w:eastAsia="Calibri"/>
          <w:szCs w:val="24"/>
        </w:rPr>
        <w:t xml:space="preserve">If a supplier receives notice or otherwise learns that a customer replaced the customer-owned portion of a </w:t>
      </w:r>
      <w:r w:rsidR="00534363" w:rsidRPr="003B4362">
        <w:rPr>
          <w:rFonts w:eastAsia="Calibri"/>
          <w:szCs w:val="24"/>
        </w:rPr>
        <w:t>le</w:t>
      </w:r>
      <w:r w:rsidR="00391825" w:rsidRPr="003B4362">
        <w:rPr>
          <w:rFonts w:eastAsia="Calibri"/>
          <w:szCs w:val="24"/>
        </w:rPr>
        <w:t xml:space="preserve">ad service line </w:t>
      </w:r>
      <w:r w:rsidRPr="003B4362">
        <w:rPr>
          <w:rFonts w:eastAsia="Calibri"/>
          <w:szCs w:val="24"/>
        </w:rPr>
        <w:t xml:space="preserve">more than six months in the past, </w:t>
      </w:r>
      <w:bookmarkStart w:id="1555" w:name="_Hlk119619016"/>
      <w:r w:rsidRPr="003B4362">
        <w:rPr>
          <w:rFonts w:eastAsia="Calibri"/>
          <w:szCs w:val="24"/>
        </w:rPr>
        <w:t xml:space="preserve">the </w:t>
      </w:r>
      <w:r w:rsidR="00123AD6" w:rsidRPr="003B4362">
        <w:rPr>
          <w:rFonts w:eastAsia="Calibri"/>
          <w:szCs w:val="24"/>
        </w:rPr>
        <w:t>supplier</w:t>
      </w:r>
      <w:r w:rsidRPr="003B4362">
        <w:rPr>
          <w:rFonts w:eastAsia="Calibri"/>
          <w:szCs w:val="24"/>
        </w:rPr>
        <w:t xml:space="preserve"> </w:t>
      </w:r>
      <w:r w:rsidR="00391825" w:rsidRPr="003B4362">
        <w:rPr>
          <w:szCs w:val="24"/>
        </w:rPr>
        <w:t>needs not</w:t>
      </w:r>
      <w:r w:rsidR="00391825" w:rsidRPr="003B4362">
        <w:rPr>
          <w:rFonts w:eastAsia="Calibri"/>
          <w:szCs w:val="24"/>
        </w:rPr>
        <w:t xml:space="preserve"> replace the supplier-owned portion of</w:t>
      </w:r>
      <w:r w:rsidRPr="003B4362">
        <w:rPr>
          <w:rFonts w:eastAsia="Calibri"/>
          <w:szCs w:val="24"/>
        </w:rPr>
        <w:t xml:space="preserve"> the </w:t>
      </w:r>
      <w:r w:rsidR="00534363" w:rsidRPr="003B4362">
        <w:rPr>
          <w:rFonts w:eastAsia="Calibri"/>
          <w:szCs w:val="24"/>
        </w:rPr>
        <w:t>l</w:t>
      </w:r>
      <w:r w:rsidRPr="003B4362">
        <w:rPr>
          <w:rFonts w:eastAsia="Calibri"/>
          <w:szCs w:val="24"/>
        </w:rPr>
        <w:t>ead service line</w:t>
      </w:r>
      <w:bookmarkEnd w:id="1555"/>
      <w:r w:rsidR="00391825" w:rsidRPr="003B4362">
        <w:rPr>
          <w:rFonts w:eastAsia="Calibri"/>
          <w:szCs w:val="24"/>
        </w:rPr>
        <w:t xml:space="preserve"> </w:t>
      </w:r>
      <w:r w:rsidRPr="003B4362">
        <w:rPr>
          <w:rFonts w:eastAsia="Calibri"/>
          <w:szCs w:val="24"/>
        </w:rPr>
        <w:t>under this subsection (d)(5)</w:t>
      </w:r>
      <w:r w:rsidR="008634B9" w:rsidRPr="003B4362">
        <w:rPr>
          <w:rFonts w:eastAsia="Calibri"/>
          <w:szCs w:val="24"/>
        </w:rPr>
        <w:t>.  H</w:t>
      </w:r>
      <w:r w:rsidRPr="003B4362">
        <w:rPr>
          <w:rFonts w:eastAsia="Calibri"/>
          <w:szCs w:val="24"/>
        </w:rPr>
        <w:t>owever</w:t>
      </w:r>
      <w:r w:rsidR="008634B9" w:rsidRPr="003B4362">
        <w:rPr>
          <w:rFonts w:eastAsia="Calibri"/>
          <w:szCs w:val="24"/>
        </w:rPr>
        <w:t>,</w:t>
      </w:r>
      <w:r w:rsidRPr="003B4362">
        <w:rPr>
          <w:rFonts w:eastAsia="Calibri"/>
          <w:szCs w:val="24"/>
        </w:rPr>
        <w:t xml:space="preserve"> </w:t>
      </w:r>
      <w:bookmarkStart w:id="1556" w:name="_Hlk119619582"/>
      <w:r w:rsidRPr="003B4362">
        <w:rPr>
          <w:rFonts w:eastAsia="Calibri"/>
          <w:szCs w:val="24"/>
        </w:rPr>
        <w:t xml:space="preserve">the </w:t>
      </w:r>
      <w:r w:rsidR="008634B9" w:rsidRPr="003B4362">
        <w:rPr>
          <w:rFonts w:eastAsia="Calibri"/>
          <w:szCs w:val="24"/>
        </w:rPr>
        <w:t xml:space="preserve">supplier must still include the </w:t>
      </w:r>
      <w:r w:rsidRPr="003B4362">
        <w:rPr>
          <w:rFonts w:eastAsia="Calibri"/>
          <w:szCs w:val="24"/>
        </w:rPr>
        <w:t>system-owned portion</w:t>
      </w:r>
      <w:r w:rsidR="008634B9" w:rsidRPr="003B4362">
        <w:rPr>
          <w:rFonts w:eastAsia="Calibri"/>
          <w:szCs w:val="24"/>
        </w:rPr>
        <w:t xml:space="preserve"> when calculating</w:t>
      </w:r>
      <w:bookmarkEnd w:id="1556"/>
      <w:r w:rsidRPr="003B4362">
        <w:rPr>
          <w:rFonts w:eastAsia="Calibri"/>
          <w:szCs w:val="24"/>
        </w:rPr>
        <w:t xml:space="preserve"> a </w:t>
      </w:r>
      <w:bookmarkStart w:id="1557" w:name="_Hlk120048006"/>
      <w:r w:rsidR="00534363" w:rsidRPr="003B4362">
        <w:rPr>
          <w:rFonts w:eastAsia="Calibri"/>
          <w:szCs w:val="24"/>
        </w:rPr>
        <w:t>l</w:t>
      </w:r>
      <w:r w:rsidRPr="003B4362">
        <w:rPr>
          <w:rFonts w:eastAsia="Calibri"/>
          <w:szCs w:val="24"/>
        </w:rPr>
        <w:t>ead service line replacement rate</w:t>
      </w:r>
      <w:bookmarkEnd w:id="1557"/>
      <w:r w:rsidRPr="003B4362">
        <w:rPr>
          <w:rFonts w:eastAsia="Calibri"/>
          <w:szCs w:val="24"/>
        </w:rPr>
        <w:t xml:space="preserve"> under subsection (a)(7).</w:t>
      </w:r>
    </w:p>
    <w:p w14:paraId="5D8F0695" w14:textId="30277A74" w:rsidR="009557C7" w:rsidRPr="003B4362" w:rsidRDefault="009557C7" w:rsidP="009557C7">
      <w:pPr>
        <w:autoSpaceDE w:val="0"/>
        <w:autoSpaceDN w:val="0"/>
        <w:adjustRightInd w:val="0"/>
        <w:spacing w:before="240" w:after="240"/>
        <w:ind w:left="1440" w:hanging="720"/>
        <w:rPr>
          <w:rFonts w:eastAsia="Calibri"/>
          <w:szCs w:val="24"/>
        </w:rPr>
      </w:pPr>
      <w:r w:rsidRPr="003B4362">
        <w:rPr>
          <w:rFonts w:eastAsia="Calibri"/>
          <w:szCs w:val="24"/>
        </w:rPr>
        <w:t>e)</w:t>
      </w:r>
      <w:r w:rsidRPr="003B4362">
        <w:rPr>
          <w:rFonts w:eastAsia="Calibri"/>
          <w:szCs w:val="24"/>
        </w:rPr>
        <w:tab/>
      </w:r>
      <w:r w:rsidR="00630910" w:rsidRPr="003B4362">
        <w:rPr>
          <w:rFonts w:eastAsia="Calibri"/>
          <w:szCs w:val="24"/>
        </w:rPr>
        <w:t>C</w:t>
      </w:r>
      <w:r w:rsidRPr="003B4362">
        <w:rPr>
          <w:rFonts w:eastAsia="Calibri"/>
          <w:szCs w:val="24"/>
        </w:rPr>
        <w:t xml:space="preserve">onducting </w:t>
      </w:r>
      <w:r w:rsidR="00630910" w:rsidRPr="003B4362">
        <w:rPr>
          <w:rFonts w:eastAsia="Calibri"/>
          <w:szCs w:val="24"/>
        </w:rPr>
        <w:t>F</w:t>
      </w:r>
      <w:r w:rsidRPr="003B4362">
        <w:rPr>
          <w:rFonts w:eastAsia="Calibri"/>
          <w:szCs w:val="24"/>
        </w:rPr>
        <w:t xml:space="preserve">ull </w:t>
      </w:r>
      <w:r w:rsidR="00630910" w:rsidRPr="003B4362">
        <w:rPr>
          <w:rFonts w:eastAsia="Calibri"/>
          <w:szCs w:val="24"/>
        </w:rPr>
        <w:t>L</w:t>
      </w:r>
      <w:r w:rsidRPr="003B4362">
        <w:rPr>
          <w:rFonts w:eastAsia="Calibri"/>
          <w:szCs w:val="24"/>
        </w:rPr>
        <w:t xml:space="preserve">ead </w:t>
      </w:r>
      <w:r w:rsidR="00630910" w:rsidRPr="003B4362">
        <w:rPr>
          <w:rFonts w:eastAsia="Calibri"/>
          <w:szCs w:val="24"/>
        </w:rPr>
        <w:t>S</w:t>
      </w:r>
      <w:r w:rsidRPr="003B4362">
        <w:rPr>
          <w:rFonts w:eastAsia="Calibri"/>
          <w:szCs w:val="24"/>
        </w:rPr>
        <w:t xml:space="preserve">ervice </w:t>
      </w:r>
      <w:r w:rsidR="00630910" w:rsidRPr="003B4362">
        <w:rPr>
          <w:rFonts w:eastAsia="Calibri"/>
          <w:szCs w:val="24"/>
        </w:rPr>
        <w:t>L</w:t>
      </w:r>
      <w:r w:rsidRPr="003B4362">
        <w:rPr>
          <w:rFonts w:eastAsia="Calibri"/>
          <w:szCs w:val="24"/>
        </w:rPr>
        <w:t xml:space="preserve">ine </w:t>
      </w:r>
      <w:r w:rsidR="00630910" w:rsidRPr="003B4362">
        <w:rPr>
          <w:rFonts w:eastAsia="Calibri"/>
          <w:szCs w:val="24"/>
        </w:rPr>
        <w:t>R</w:t>
      </w:r>
      <w:r w:rsidRPr="003B4362">
        <w:rPr>
          <w:rFonts w:eastAsia="Calibri"/>
          <w:szCs w:val="24"/>
        </w:rPr>
        <w:t>eplacement</w:t>
      </w:r>
      <w:r w:rsidR="00630910" w:rsidRPr="003B4362">
        <w:rPr>
          <w:rFonts w:eastAsia="Calibri"/>
          <w:szCs w:val="24"/>
        </w:rPr>
        <w:t>s</w:t>
      </w:r>
      <w:r w:rsidRPr="003B4362">
        <w:rPr>
          <w:rFonts w:eastAsia="Calibri"/>
          <w:szCs w:val="24"/>
        </w:rPr>
        <w:t>.  A</w:t>
      </w:r>
      <w:r w:rsidR="00630910" w:rsidRPr="003B4362">
        <w:rPr>
          <w:rFonts w:eastAsia="Calibri"/>
          <w:szCs w:val="24"/>
        </w:rPr>
        <w:t xml:space="preserve"> supplier conducting</w:t>
      </w:r>
      <w:r w:rsidRPr="003B4362">
        <w:rPr>
          <w:rFonts w:eastAsia="Calibri"/>
          <w:szCs w:val="24"/>
        </w:rPr>
        <w:t xml:space="preserve"> a </w:t>
      </w:r>
      <w:bookmarkStart w:id="1558" w:name="_Hlk120048109"/>
      <w:r w:rsidRPr="003B4362">
        <w:rPr>
          <w:rFonts w:eastAsia="Calibri"/>
          <w:szCs w:val="24"/>
        </w:rPr>
        <w:t xml:space="preserve">full </w:t>
      </w:r>
      <w:r w:rsidR="00534363" w:rsidRPr="003B4362">
        <w:rPr>
          <w:rFonts w:eastAsia="Calibri"/>
          <w:szCs w:val="24"/>
        </w:rPr>
        <w:t>l</w:t>
      </w:r>
      <w:r w:rsidRPr="003B4362">
        <w:rPr>
          <w:rFonts w:eastAsia="Calibri"/>
          <w:szCs w:val="24"/>
        </w:rPr>
        <w:t>ead service line replacement</w:t>
      </w:r>
      <w:bookmarkEnd w:id="1558"/>
      <w:r w:rsidRPr="003B4362">
        <w:rPr>
          <w:rFonts w:eastAsia="Calibri"/>
          <w:szCs w:val="24"/>
        </w:rPr>
        <w:t xml:space="preserve"> must </w:t>
      </w:r>
      <w:bookmarkStart w:id="1559" w:name="_Hlk119921692"/>
      <w:r w:rsidRPr="003B4362">
        <w:rPr>
          <w:rFonts w:eastAsia="Calibri"/>
          <w:szCs w:val="24"/>
        </w:rPr>
        <w:t>noti</w:t>
      </w:r>
      <w:r w:rsidR="00630910" w:rsidRPr="003B4362">
        <w:rPr>
          <w:rFonts w:eastAsia="Calibri"/>
          <w:szCs w:val="24"/>
        </w:rPr>
        <w:t>fy</w:t>
      </w:r>
      <w:r w:rsidRPr="003B4362">
        <w:rPr>
          <w:rFonts w:eastAsia="Calibri"/>
          <w:szCs w:val="24"/>
        </w:rPr>
        <w:t xml:space="preserve"> the </w:t>
      </w:r>
      <w:bookmarkEnd w:id="1559"/>
      <w:r w:rsidR="00630910" w:rsidRPr="003B4362">
        <w:rPr>
          <w:rFonts w:eastAsia="Calibri"/>
          <w:szCs w:val="24"/>
        </w:rPr>
        <w:t>service line’s owner</w:t>
      </w:r>
      <w:r w:rsidRPr="003B4362">
        <w:rPr>
          <w:rFonts w:eastAsia="Calibri"/>
          <w:szCs w:val="24"/>
        </w:rPr>
        <w:t xml:space="preserve">, or the owner’s authorized agent, </w:t>
      </w:r>
      <w:r w:rsidR="00630910" w:rsidRPr="003B4362">
        <w:rPr>
          <w:rFonts w:eastAsia="Calibri"/>
          <w:szCs w:val="24"/>
        </w:rPr>
        <w:t>and any</w:t>
      </w:r>
      <w:r w:rsidRPr="003B4362">
        <w:rPr>
          <w:rFonts w:eastAsia="Calibri"/>
          <w:szCs w:val="24"/>
        </w:rPr>
        <w:t xml:space="preserve"> non-owner residents </w:t>
      </w:r>
      <w:r w:rsidR="00630910" w:rsidRPr="003B4362">
        <w:rPr>
          <w:rFonts w:eastAsia="Calibri"/>
          <w:szCs w:val="24"/>
        </w:rPr>
        <w:t xml:space="preserve">the service line serves </w:t>
      </w:r>
      <w:bookmarkStart w:id="1560" w:name="_Hlk119921987"/>
      <w:r w:rsidRPr="003B4362">
        <w:rPr>
          <w:rFonts w:eastAsia="Calibri"/>
          <w:szCs w:val="24"/>
        </w:rPr>
        <w:t xml:space="preserve">within 24 hours </w:t>
      </w:r>
      <w:r w:rsidR="007120A5" w:rsidRPr="003B4362">
        <w:rPr>
          <w:rFonts w:eastAsia="Calibri"/>
          <w:szCs w:val="24"/>
        </w:rPr>
        <w:t>after</w:t>
      </w:r>
      <w:r w:rsidRPr="003B4362">
        <w:rPr>
          <w:rFonts w:eastAsia="Calibri"/>
          <w:szCs w:val="24"/>
        </w:rPr>
        <w:t xml:space="preserve"> completi</w:t>
      </w:r>
      <w:r w:rsidR="007120A5" w:rsidRPr="003B4362">
        <w:rPr>
          <w:rFonts w:eastAsia="Calibri"/>
          <w:szCs w:val="24"/>
        </w:rPr>
        <w:t>ng</w:t>
      </w:r>
      <w:r w:rsidRPr="003B4362">
        <w:rPr>
          <w:rFonts w:eastAsia="Calibri"/>
          <w:szCs w:val="24"/>
        </w:rPr>
        <w:t xml:space="preserve"> the replacement</w:t>
      </w:r>
      <w:bookmarkEnd w:id="1560"/>
      <w:r w:rsidRPr="003B4362">
        <w:rPr>
          <w:rFonts w:eastAsia="Calibri"/>
          <w:szCs w:val="24"/>
        </w:rPr>
        <w:t>.  T</w:t>
      </w:r>
      <w:bookmarkStart w:id="1561" w:name="_Hlk119924737"/>
      <w:r w:rsidRPr="003B4362">
        <w:rPr>
          <w:rFonts w:eastAsia="Calibri"/>
          <w:szCs w:val="24"/>
        </w:rPr>
        <w:t xml:space="preserve">he </w:t>
      </w:r>
      <w:r w:rsidR="00C033EF" w:rsidRPr="003B4362">
        <w:rPr>
          <w:rFonts w:eastAsia="Calibri"/>
          <w:szCs w:val="24"/>
        </w:rPr>
        <w:t>supplier</w:t>
      </w:r>
      <w:r w:rsidRPr="003B4362">
        <w:rPr>
          <w:rFonts w:eastAsia="Calibri"/>
          <w:szCs w:val="24"/>
        </w:rPr>
        <w:t xml:space="preserve"> </w:t>
      </w:r>
      <w:r w:rsidR="0080318C" w:rsidRPr="003B4362">
        <w:rPr>
          <w:rFonts w:eastAsia="Calibri"/>
          <w:szCs w:val="24"/>
        </w:rPr>
        <w:t>needs</w:t>
      </w:r>
      <w:r w:rsidRPr="003B4362">
        <w:rPr>
          <w:rFonts w:eastAsia="Calibri"/>
          <w:szCs w:val="24"/>
        </w:rPr>
        <w:t xml:space="preserve"> not</w:t>
      </w:r>
      <w:r w:rsidR="0080318C" w:rsidRPr="003B4362">
        <w:rPr>
          <w:rFonts w:eastAsia="Calibri"/>
          <w:szCs w:val="24"/>
        </w:rPr>
        <w:t xml:space="preserve"> </w:t>
      </w:r>
      <w:r w:rsidRPr="003B4362">
        <w:rPr>
          <w:rFonts w:eastAsia="Calibri"/>
          <w:szCs w:val="24"/>
        </w:rPr>
        <w:t>bear the cost of replac</w:t>
      </w:r>
      <w:r w:rsidR="0080318C" w:rsidRPr="003B4362">
        <w:rPr>
          <w:rFonts w:eastAsia="Calibri"/>
          <w:szCs w:val="24"/>
        </w:rPr>
        <w:t>ing</w:t>
      </w:r>
      <w:r w:rsidRPr="003B4362">
        <w:rPr>
          <w:rFonts w:eastAsia="Calibri"/>
          <w:szCs w:val="24"/>
        </w:rPr>
        <w:t xml:space="preserve"> the </w:t>
      </w:r>
      <w:bookmarkStart w:id="1562" w:name="_Hlk119925884"/>
      <w:r w:rsidR="0080318C" w:rsidRPr="003B4362">
        <w:rPr>
          <w:rFonts w:eastAsia="Calibri"/>
          <w:szCs w:val="24"/>
        </w:rPr>
        <w:t xml:space="preserve">customer-owned </w:t>
      </w:r>
      <w:r w:rsidRPr="003B4362">
        <w:rPr>
          <w:rFonts w:eastAsia="Calibri"/>
          <w:szCs w:val="24"/>
        </w:rPr>
        <w:t xml:space="preserve">portion of the </w:t>
      </w:r>
      <w:r w:rsidR="00534363" w:rsidRPr="003B4362">
        <w:rPr>
          <w:rFonts w:eastAsia="Calibri"/>
          <w:szCs w:val="24"/>
        </w:rPr>
        <w:t>l</w:t>
      </w:r>
      <w:r w:rsidRPr="003B4362">
        <w:rPr>
          <w:rFonts w:eastAsia="Calibri"/>
          <w:szCs w:val="24"/>
        </w:rPr>
        <w:t>ead service line</w:t>
      </w:r>
      <w:bookmarkEnd w:id="1561"/>
      <w:bookmarkEnd w:id="1562"/>
      <w:r w:rsidRPr="003B4362">
        <w:rPr>
          <w:rFonts w:eastAsia="Calibri"/>
          <w:szCs w:val="24"/>
        </w:rPr>
        <w:t>.</w:t>
      </w:r>
    </w:p>
    <w:p w14:paraId="52FC71EC" w14:textId="6A00FEE0"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T</w:t>
      </w:r>
      <w:bookmarkStart w:id="1563" w:name="_Hlk119927085"/>
      <w:r w:rsidRPr="003B4362">
        <w:rPr>
          <w:rFonts w:eastAsia="Calibri"/>
          <w:szCs w:val="24"/>
        </w:rPr>
        <w:t>he noti</w:t>
      </w:r>
      <w:r w:rsidR="00686D5D" w:rsidRPr="003B4362">
        <w:rPr>
          <w:rFonts w:eastAsia="Calibri"/>
          <w:szCs w:val="24"/>
        </w:rPr>
        <w:t>ce</w:t>
      </w:r>
      <w:r w:rsidRPr="003B4362">
        <w:rPr>
          <w:rFonts w:eastAsia="Calibri"/>
          <w:szCs w:val="24"/>
        </w:rPr>
        <w:t xml:space="preserve"> must </w:t>
      </w:r>
      <w:r w:rsidR="00686D5D" w:rsidRPr="003B4362">
        <w:rPr>
          <w:rFonts w:eastAsia="Calibri"/>
          <w:szCs w:val="24"/>
        </w:rPr>
        <w:t>comply with</w:t>
      </w:r>
      <w:r w:rsidRPr="003B4362">
        <w:rPr>
          <w:rFonts w:eastAsia="Calibri"/>
          <w:szCs w:val="24"/>
        </w:rPr>
        <w:t xml:space="preserve"> Section </w:t>
      </w:r>
      <w:r w:rsidR="00686D5D" w:rsidRPr="003B4362">
        <w:rPr>
          <w:rFonts w:eastAsia="Calibri"/>
          <w:szCs w:val="24"/>
        </w:rPr>
        <w:t>61</w:t>
      </w:r>
      <w:r w:rsidRPr="003B4362">
        <w:rPr>
          <w:rFonts w:eastAsia="Calibri"/>
          <w:szCs w:val="24"/>
        </w:rPr>
        <w:t>1.</w:t>
      </w:r>
      <w:r w:rsidR="00686D5D" w:rsidRPr="003B4362">
        <w:rPr>
          <w:rFonts w:eastAsia="Calibri"/>
          <w:szCs w:val="24"/>
        </w:rPr>
        <w:t>35</w:t>
      </w:r>
      <w:r w:rsidRPr="003B4362">
        <w:rPr>
          <w:rFonts w:eastAsia="Calibri"/>
          <w:szCs w:val="24"/>
        </w:rPr>
        <w:t>5(a)</w:t>
      </w:r>
      <w:bookmarkEnd w:id="1563"/>
      <w:r w:rsidR="00D876A5" w:rsidRPr="003B4362">
        <w:rPr>
          <w:rFonts w:eastAsia="Calibri"/>
          <w:szCs w:val="24"/>
        </w:rPr>
        <w:t>,</w:t>
      </w:r>
      <w:r w:rsidRPr="003B4362">
        <w:rPr>
          <w:rFonts w:eastAsia="Calibri"/>
          <w:szCs w:val="24"/>
        </w:rPr>
        <w:t xml:space="preserve"> </w:t>
      </w:r>
      <w:bookmarkStart w:id="1564" w:name="_Hlk119927610"/>
      <w:r w:rsidRPr="003B4362">
        <w:rPr>
          <w:rFonts w:eastAsia="Calibri"/>
          <w:szCs w:val="24"/>
        </w:rPr>
        <w:t>explain that consumers may experience</w:t>
      </w:r>
      <w:bookmarkEnd w:id="1564"/>
      <w:r w:rsidRPr="003B4362">
        <w:rPr>
          <w:rFonts w:eastAsia="Calibri"/>
          <w:szCs w:val="24"/>
        </w:rPr>
        <w:t xml:space="preserve"> a temporary increase of lead levels in their drinking water due to the replacement, </w:t>
      </w:r>
      <w:bookmarkStart w:id="1565" w:name="_Hlk119927816"/>
      <w:r w:rsidRPr="003B4362">
        <w:rPr>
          <w:rFonts w:eastAsia="Calibri"/>
          <w:szCs w:val="24"/>
        </w:rPr>
        <w:t>inform about the health effects</w:t>
      </w:r>
      <w:bookmarkEnd w:id="1565"/>
      <w:r w:rsidRPr="003B4362">
        <w:rPr>
          <w:rFonts w:eastAsia="Calibri"/>
          <w:szCs w:val="24"/>
        </w:rPr>
        <w:t xml:space="preserve"> of lead, </w:t>
      </w:r>
      <w:bookmarkStart w:id="1566" w:name="_Hlk119927919"/>
      <w:r w:rsidRPr="003B4362">
        <w:rPr>
          <w:rFonts w:eastAsia="Calibri"/>
          <w:szCs w:val="24"/>
        </w:rPr>
        <w:t xml:space="preserve">and </w:t>
      </w:r>
      <w:r w:rsidR="00D876A5" w:rsidRPr="003B4362">
        <w:rPr>
          <w:rFonts w:eastAsia="Calibri"/>
          <w:szCs w:val="24"/>
        </w:rPr>
        <w:t xml:space="preserve">explain </w:t>
      </w:r>
      <w:bookmarkStart w:id="1567" w:name="_Hlk119927893"/>
      <w:r w:rsidRPr="003B4362">
        <w:rPr>
          <w:rFonts w:eastAsia="Calibri"/>
          <w:szCs w:val="24"/>
        </w:rPr>
        <w:t>actions</w:t>
      </w:r>
      <w:bookmarkEnd w:id="1566"/>
      <w:bookmarkEnd w:id="1567"/>
      <w:r w:rsidRPr="003B4362">
        <w:rPr>
          <w:rFonts w:eastAsia="Calibri"/>
          <w:szCs w:val="24"/>
        </w:rPr>
        <w:t xml:space="preserve"> </w:t>
      </w:r>
      <w:r w:rsidR="006E6321" w:rsidRPr="003B4362">
        <w:rPr>
          <w:rFonts w:eastAsia="Calibri"/>
          <w:szCs w:val="24"/>
        </w:rPr>
        <w:t xml:space="preserve">a </w:t>
      </w:r>
      <w:r w:rsidRPr="003B4362">
        <w:rPr>
          <w:rFonts w:eastAsia="Calibri"/>
          <w:szCs w:val="24"/>
        </w:rPr>
        <w:t>consumer can take to minimize</w:t>
      </w:r>
      <w:r w:rsidR="006E6321" w:rsidRPr="003B4362">
        <w:rPr>
          <w:rFonts w:eastAsia="Calibri"/>
          <w:szCs w:val="24"/>
        </w:rPr>
        <w:t xml:space="preserve"> </w:t>
      </w:r>
      <w:r w:rsidRPr="003B4362">
        <w:rPr>
          <w:rFonts w:eastAsia="Calibri"/>
          <w:szCs w:val="24"/>
        </w:rPr>
        <w:t>exposure to lead in drinking water.  I</w:t>
      </w:r>
      <w:bookmarkStart w:id="1568" w:name="_Hlk119927986"/>
      <w:r w:rsidR="00D876A5" w:rsidRPr="003B4362">
        <w:rPr>
          <w:rFonts w:eastAsia="Calibri"/>
          <w:szCs w:val="24"/>
        </w:rPr>
        <w:t>f</w:t>
      </w:r>
      <w:r w:rsidRPr="003B4362">
        <w:rPr>
          <w:rFonts w:eastAsia="Calibri"/>
          <w:szCs w:val="24"/>
        </w:rPr>
        <w:t xml:space="preserve"> </w:t>
      </w:r>
      <w:r w:rsidR="00D876A5" w:rsidRPr="003B4362">
        <w:rPr>
          <w:rFonts w:eastAsia="Calibri"/>
          <w:szCs w:val="24"/>
        </w:rPr>
        <w:t xml:space="preserve">the </w:t>
      </w:r>
      <w:r w:rsidR="00534363" w:rsidRPr="003B4362">
        <w:rPr>
          <w:rFonts w:eastAsia="Calibri"/>
          <w:szCs w:val="24"/>
        </w:rPr>
        <w:t>l</w:t>
      </w:r>
      <w:r w:rsidR="00D876A5" w:rsidRPr="003B4362">
        <w:rPr>
          <w:rFonts w:eastAsia="Calibri"/>
          <w:szCs w:val="24"/>
        </w:rPr>
        <w:t>ead service line the supplier will replace serves</w:t>
      </w:r>
      <w:r w:rsidRPr="003B4362">
        <w:rPr>
          <w:rFonts w:eastAsia="Calibri"/>
          <w:szCs w:val="24"/>
        </w:rPr>
        <w:t xml:space="preserve"> </w:t>
      </w:r>
      <w:r w:rsidR="00D876A5" w:rsidRPr="003B4362">
        <w:rPr>
          <w:rFonts w:eastAsia="Calibri"/>
          <w:szCs w:val="24"/>
        </w:rPr>
        <w:t xml:space="preserve">a </w:t>
      </w:r>
      <w:r w:rsidRPr="003B4362">
        <w:rPr>
          <w:rFonts w:eastAsia="Calibri"/>
          <w:szCs w:val="24"/>
        </w:rPr>
        <w:t>multi-family dwelling</w:t>
      </w:r>
      <w:bookmarkEnd w:id="1568"/>
      <w:r w:rsidRPr="003B4362">
        <w:rPr>
          <w:rFonts w:eastAsia="Calibri"/>
          <w:szCs w:val="24"/>
        </w:rPr>
        <w:t xml:space="preserve">, </w:t>
      </w:r>
      <w:bookmarkStart w:id="1569" w:name="_Hlk119929959"/>
      <w:r w:rsidRPr="003B4362">
        <w:rPr>
          <w:rFonts w:eastAsia="Calibri"/>
          <w:szCs w:val="24"/>
        </w:rPr>
        <w:t>t</w:t>
      </w:r>
      <w:bookmarkStart w:id="1570" w:name="_Hlk119929870"/>
      <w:r w:rsidRPr="003B4362">
        <w:rPr>
          <w:rFonts w:eastAsia="Calibri"/>
          <w:szCs w:val="24"/>
        </w:rPr>
        <w:t xml:space="preserve">he </w:t>
      </w:r>
      <w:r w:rsidR="000B246A" w:rsidRPr="003B4362">
        <w:rPr>
          <w:rFonts w:eastAsia="Calibri"/>
          <w:szCs w:val="24"/>
        </w:rPr>
        <w:t>supplier</w:t>
      </w:r>
      <w:r w:rsidRPr="003B4362">
        <w:rPr>
          <w:rFonts w:eastAsia="Calibri"/>
          <w:szCs w:val="24"/>
        </w:rPr>
        <w:t xml:space="preserve"> may</w:t>
      </w:r>
      <w:r w:rsidR="000B246A" w:rsidRPr="003B4362">
        <w:rPr>
          <w:rFonts w:eastAsia="Calibri"/>
          <w:szCs w:val="24"/>
        </w:rPr>
        <w:t xml:space="preserve"> </w:t>
      </w:r>
      <w:r w:rsidRPr="003B4362">
        <w:rPr>
          <w:rFonts w:eastAsia="Calibri"/>
          <w:szCs w:val="24"/>
        </w:rPr>
        <w:t>post the information</w:t>
      </w:r>
      <w:bookmarkEnd w:id="1569"/>
      <w:bookmarkEnd w:id="1570"/>
      <w:r w:rsidRPr="003B4362">
        <w:rPr>
          <w:rFonts w:eastAsia="Calibri"/>
          <w:szCs w:val="24"/>
        </w:rPr>
        <w:t xml:space="preserve"> at a conspicuous location instead of providing </w:t>
      </w:r>
      <w:bookmarkStart w:id="1571" w:name="_Hlk119930086"/>
      <w:r w:rsidRPr="003B4362">
        <w:rPr>
          <w:rFonts w:eastAsia="Calibri"/>
          <w:szCs w:val="24"/>
        </w:rPr>
        <w:t>individual noti</w:t>
      </w:r>
      <w:r w:rsidR="000B246A" w:rsidRPr="003B4362">
        <w:rPr>
          <w:rFonts w:eastAsia="Calibri"/>
          <w:szCs w:val="24"/>
        </w:rPr>
        <w:t>ce</w:t>
      </w:r>
      <w:r w:rsidRPr="003B4362">
        <w:rPr>
          <w:rFonts w:eastAsia="Calibri"/>
          <w:szCs w:val="24"/>
        </w:rPr>
        <w:t xml:space="preserve"> </w:t>
      </w:r>
      <w:r w:rsidR="000B246A" w:rsidRPr="003B4362">
        <w:rPr>
          <w:rFonts w:eastAsia="Calibri"/>
          <w:szCs w:val="24"/>
        </w:rPr>
        <w:t xml:space="preserve">to </w:t>
      </w:r>
      <w:r w:rsidRPr="003B4362">
        <w:rPr>
          <w:rFonts w:eastAsia="Calibri"/>
          <w:szCs w:val="24"/>
        </w:rPr>
        <w:t>all residents</w:t>
      </w:r>
      <w:bookmarkEnd w:id="1571"/>
      <w:r w:rsidRPr="003B4362">
        <w:rPr>
          <w:rFonts w:eastAsia="Calibri"/>
          <w:szCs w:val="24"/>
        </w:rPr>
        <w:t>.</w:t>
      </w:r>
    </w:p>
    <w:p w14:paraId="39AB44E0" w14:textId="10326242"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T</w:t>
      </w:r>
      <w:bookmarkStart w:id="1572" w:name="_Hlk119930316"/>
      <w:r w:rsidRPr="003B4362">
        <w:rPr>
          <w:rFonts w:eastAsia="Calibri"/>
          <w:szCs w:val="24"/>
        </w:rPr>
        <w:t xml:space="preserve">he </w:t>
      </w:r>
      <w:r w:rsidR="000B246A" w:rsidRPr="003B4362">
        <w:rPr>
          <w:rFonts w:eastAsia="Calibri"/>
          <w:szCs w:val="24"/>
        </w:rPr>
        <w:t>supplier</w:t>
      </w:r>
      <w:r w:rsidRPr="003B4362">
        <w:rPr>
          <w:rFonts w:eastAsia="Calibri"/>
          <w:szCs w:val="24"/>
        </w:rPr>
        <w:t xml:space="preserve"> must </w:t>
      </w:r>
      <w:r w:rsidR="000B246A" w:rsidRPr="003B4362">
        <w:rPr>
          <w:rFonts w:eastAsia="Calibri"/>
          <w:szCs w:val="24"/>
        </w:rPr>
        <w:t>inform</w:t>
      </w:r>
      <w:r w:rsidRPr="003B4362">
        <w:rPr>
          <w:rFonts w:eastAsia="Calibri"/>
          <w:szCs w:val="24"/>
        </w:rPr>
        <w:t xml:space="preserve"> about </w:t>
      </w:r>
      <w:r w:rsidR="000B246A" w:rsidRPr="003B4362">
        <w:rPr>
          <w:rFonts w:eastAsia="Calibri"/>
          <w:szCs w:val="24"/>
        </w:rPr>
        <w:t xml:space="preserve">flushing the </w:t>
      </w:r>
      <w:r w:rsidRPr="003B4362">
        <w:rPr>
          <w:rFonts w:eastAsia="Calibri"/>
          <w:szCs w:val="24"/>
        </w:rPr>
        <w:t xml:space="preserve">service line </w:t>
      </w:r>
      <w:r w:rsidR="00086091" w:rsidRPr="003B4362">
        <w:rPr>
          <w:rFonts w:eastAsia="Calibri"/>
          <w:szCs w:val="24"/>
        </w:rPr>
        <w:t>using</w:t>
      </w:r>
      <w:r w:rsidRPr="003B4362">
        <w:rPr>
          <w:rFonts w:eastAsia="Calibri"/>
          <w:szCs w:val="24"/>
        </w:rPr>
        <w:t xml:space="preserve"> the procedure </w:t>
      </w:r>
      <w:r w:rsidR="00086091" w:rsidRPr="003B4362">
        <w:rPr>
          <w:rFonts w:eastAsia="Calibri"/>
          <w:szCs w:val="24"/>
        </w:rPr>
        <w:t xml:space="preserve">the supplier </w:t>
      </w:r>
      <w:r w:rsidRPr="003B4362">
        <w:rPr>
          <w:rFonts w:eastAsia="Calibri"/>
          <w:szCs w:val="24"/>
        </w:rPr>
        <w:t>developed</w:t>
      </w:r>
      <w:bookmarkEnd w:id="1572"/>
      <w:r w:rsidRPr="003B4362">
        <w:rPr>
          <w:rFonts w:eastAsia="Calibri"/>
          <w:szCs w:val="24"/>
        </w:rPr>
        <w:t xml:space="preserve"> under subsection (b)(5)</w:t>
      </w:r>
      <w:r w:rsidR="00086091" w:rsidRPr="003B4362">
        <w:rPr>
          <w:rFonts w:eastAsia="Calibri"/>
          <w:szCs w:val="24"/>
        </w:rPr>
        <w:t xml:space="preserve"> </w:t>
      </w:r>
      <w:bookmarkStart w:id="1573" w:name="_Hlk119930719"/>
      <w:r w:rsidRPr="003B4362">
        <w:rPr>
          <w:rFonts w:eastAsia="Calibri"/>
          <w:szCs w:val="24"/>
        </w:rPr>
        <w:t xml:space="preserve">before </w:t>
      </w:r>
      <w:r w:rsidR="00086091" w:rsidRPr="003B4362">
        <w:rPr>
          <w:rFonts w:eastAsia="Calibri"/>
          <w:szCs w:val="24"/>
        </w:rPr>
        <w:t xml:space="preserve">returning </w:t>
      </w:r>
      <w:r w:rsidRPr="003B4362">
        <w:rPr>
          <w:rFonts w:eastAsia="Calibri"/>
          <w:szCs w:val="24"/>
        </w:rPr>
        <w:t>the replaced service line</w:t>
      </w:r>
      <w:r w:rsidR="00086091" w:rsidRPr="003B4362">
        <w:rPr>
          <w:rFonts w:eastAsia="Calibri"/>
          <w:szCs w:val="24"/>
        </w:rPr>
        <w:t xml:space="preserve"> </w:t>
      </w:r>
      <w:r w:rsidRPr="003B4362">
        <w:rPr>
          <w:rFonts w:eastAsia="Calibri"/>
          <w:szCs w:val="24"/>
        </w:rPr>
        <w:t>to service</w:t>
      </w:r>
      <w:bookmarkEnd w:id="1573"/>
      <w:r w:rsidRPr="003B4362">
        <w:rPr>
          <w:rFonts w:eastAsia="Calibri"/>
          <w:szCs w:val="24"/>
        </w:rPr>
        <w:t>.</w:t>
      </w:r>
    </w:p>
    <w:p w14:paraId="7A7E0C8E" w14:textId="57C25569"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 xml:space="preserve">The </w:t>
      </w:r>
      <w:r w:rsidR="00C05DFD" w:rsidRPr="003B4362">
        <w:rPr>
          <w:rFonts w:eastAsia="Calibri"/>
          <w:szCs w:val="24"/>
        </w:rPr>
        <w:t>supplier</w:t>
      </w:r>
      <w:r w:rsidRPr="003B4362">
        <w:rPr>
          <w:rFonts w:eastAsia="Calibri"/>
          <w:szCs w:val="24"/>
        </w:rPr>
        <w:t xml:space="preserve"> must provide the consumer with a pitcher filter or point-of-use </w:t>
      </w:r>
      <w:r w:rsidR="00C05DFD" w:rsidRPr="003B4362">
        <w:rPr>
          <w:rFonts w:eastAsia="Calibri"/>
          <w:szCs w:val="24"/>
        </w:rPr>
        <w:t xml:space="preserve">treatment </w:t>
      </w:r>
      <w:r w:rsidRPr="003B4362">
        <w:rPr>
          <w:rFonts w:eastAsia="Calibri"/>
          <w:szCs w:val="24"/>
        </w:rPr>
        <w:t>device</w:t>
      </w:r>
      <w:r w:rsidR="00166ADA" w:rsidRPr="003B4362">
        <w:rPr>
          <w:rFonts w:eastAsia="Calibri"/>
          <w:szCs w:val="24"/>
        </w:rPr>
        <w:t xml:space="preserve"> </w:t>
      </w:r>
      <w:r w:rsidRPr="003B4362">
        <w:rPr>
          <w:rFonts w:eastAsia="Calibri"/>
          <w:szCs w:val="24"/>
        </w:rPr>
        <w:t xml:space="preserve">to reduce lead, six months of replacement cartridges, and </w:t>
      </w:r>
      <w:r w:rsidR="00166ADA" w:rsidRPr="003B4362">
        <w:rPr>
          <w:rFonts w:eastAsia="Calibri"/>
          <w:szCs w:val="24"/>
        </w:rPr>
        <w:t xml:space="preserve">use </w:t>
      </w:r>
      <w:r w:rsidRPr="003B4362">
        <w:rPr>
          <w:rFonts w:eastAsia="Calibri"/>
          <w:szCs w:val="24"/>
        </w:rPr>
        <w:t>instructions</w:t>
      </w:r>
      <w:r w:rsidR="00166ADA" w:rsidRPr="003B4362">
        <w:rPr>
          <w:rFonts w:eastAsia="Calibri"/>
          <w:szCs w:val="24"/>
        </w:rPr>
        <w:t xml:space="preserve"> </w:t>
      </w:r>
      <w:r w:rsidRPr="003B4362">
        <w:rPr>
          <w:rFonts w:eastAsia="Calibri"/>
          <w:szCs w:val="24"/>
        </w:rPr>
        <w:t xml:space="preserve">before </w:t>
      </w:r>
      <w:r w:rsidR="00166ADA" w:rsidRPr="003B4362">
        <w:rPr>
          <w:rFonts w:eastAsia="Calibri"/>
          <w:szCs w:val="24"/>
        </w:rPr>
        <w:t xml:space="preserve">returning </w:t>
      </w:r>
      <w:r w:rsidRPr="003B4362">
        <w:rPr>
          <w:rFonts w:eastAsia="Calibri"/>
          <w:szCs w:val="24"/>
        </w:rPr>
        <w:t>the replaced service line</w:t>
      </w:r>
      <w:r w:rsidR="00166ADA" w:rsidRPr="003B4362">
        <w:rPr>
          <w:rFonts w:eastAsia="Calibri"/>
          <w:szCs w:val="24"/>
        </w:rPr>
        <w:t xml:space="preserve"> </w:t>
      </w:r>
      <w:r w:rsidRPr="003B4362">
        <w:rPr>
          <w:rFonts w:eastAsia="Calibri"/>
          <w:szCs w:val="24"/>
        </w:rPr>
        <w:t>to service.  I</w:t>
      </w:r>
      <w:bookmarkStart w:id="1574" w:name="_Hlk120049139"/>
      <w:r w:rsidRPr="003B4362">
        <w:rPr>
          <w:rFonts w:eastAsia="Calibri"/>
          <w:szCs w:val="24"/>
        </w:rPr>
        <w:t xml:space="preserve">f the </w:t>
      </w:r>
      <w:r w:rsidR="00534363" w:rsidRPr="003B4362">
        <w:rPr>
          <w:rFonts w:eastAsia="Calibri"/>
          <w:szCs w:val="24"/>
        </w:rPr>
        <w:t>l</w:t>
      </w:r>
      <w:r w:rsidRPr="003B4362">
        <w:rPr>
          <w:rFonts w:eastAsia="Calibri"/>
          <w:szCs w:val="24"/>
        </w:rPr>
        <w:t>ead service line serves</w:t>
      </w:r>
      <w:bookmarkEnd w:id="1574"/>
      <w:r w:rsidRPr="003B4362">
        <w:rPr>
          <w:rFonts w:eastAsia="Calibri"/>
          <w:szCs w:val="24"/>
        </w:rPr>
        <w:t xml:space="preserve"> more than one residence or non-residential unit (e.g., a multi-unit building), the </w:t>
      </w:r>
      <w:r w:rsidR="00166ADA" w:rsidRPr="003B4362">
        <w:rPr>
          <w:rFonts w:eastAsia="Calibri"/>
          <w:szCs w:val="24"/>
        </w:rPr>
        <w:t>supplier</w:t>
      </w:r>
      <w:r w:rsidRPr="003B4362">
        <w:rPr>
          <w:rFonts w:eastAsia="Calibri"/>
          <w:szCs w:val="24"/>
        </w:rPr>
        <w:t xml:space="preserve"> must provide a filter and six months of replacement cartridges and use instructions to every </w:t>
      </w:r>
      <w:r w:rsidR="00166ADA" w:rsidRPr="003B4362">
        <w:rPr>
          <w:rFonts w:eastAsia="Calibri"/>
          <w:szCs w:val="24"/>
        </w:rPr>
        <w:t>unit</w:t>
      </w:r>
      <w:r w:rsidRPr="003B4362">
        <w:rPr>
          <w:rFonts w:eastAsia="Calibri"/>
          <w:szCs w:val="24"/>
        </w:rPr>
        <w:t xml:space="preserve"> in the building.</w:t>
      </w:r>
    </w:p>
    <w:p w14:paraId="50B492DB" w14:textId="77A14DE7"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t xml:space="preserve">The </w:t>
      </w:r>
      <w:r w:rsidR="008D6375" w:rsidRPr="003B4362">
        <w:rPr>
          <w:rFonts w:eastAsia="Calibri"/>
          <w:szCs w:val="24"/>
        </w:rPr>
        <w:t>supplier</w:t>
      </w:r>
      <w:r w:rsidRPr="003B4362">
        <w:rPr>
          <w:rFonts w:eastAsia="Calibri"/>
          <w:szCs w:val="24"/>
        </w:rPr>
        <w:t xml:space="preserve"> must </w:t>
      </w:r>
      <w:bookmarkStart w:id="1575" w:name="_Hlk119932499"/>
      <w:r w:rsidRPr="003B4362">
        <w:rPr>
          <w:rFonts w:eastAsia="Calibri"/>
          <w:szCs w:val="24"/>
        </w:rPr>
        <w:t xml:space="preserve">offer </w:t>
      </w:r>
      <w:r w:rsidR="00A3328E" w:rsidRPr="003B4362">
        <w:rPr>
          <w:rFonts w:eastAsia="Calibri"/>
          <w:szCs w:val="24"/>
        </w:rPr>
        <w:t xml:space="preserve">to the consumer </w:t>
      </w:r>
      <w:r w:rsidRPr="003B4362">
        <w:rPr>
          <w:rFonts w:eastAsia="Calibri"/>
          <w:szCs w:val="24"/>
        </w:rPr>
        <w:t xml:space="preserve">to </w:t>
      </w:r>
      <w:r w:rsidR="008D6375" w:rsidRPr="003B4362">
        <w:rPr>
          <w:rFonts w:eastAsia="Calibri"/>
          <w:szCs w:val="24"/>
        </w:rPr>
        <w:t>collect</w:t>
      </w:r>
      <w:r w:rsidRPr="003B4362">
        <w:rPr>
          <w:rFonts w:eastAsia="Calibri"/>
          <w:szCs w:val="24"/>
        </w:rPr>
        <w:t xml:space="preserve"> a follow up tap sample</w:t>
      </w:r>
      <w:bookmarkEnd w:id="1575"/>
      <w:r w:rsidRPr="003B4362">
        <w:rPr>
          <w:rFonts w:eastAsia="Calibri"/>
          <w:szCs w:val="24"/>
        </w:rPr>
        <w:t xml:space="preserve"> between three</w:t>
      </w:r>
      <w:r w:rsidR="008D6375" w:rsidRPr="003B4362">
        <w:rPr>
          <w:rFonts w:eastAsia="Calibri"/>
          <w:szCs w:val="24"/>
        </w:rPr>
        <w:t xml:space="preserve"> </w:t>
      </w:r>
      <w:r w:rsidRPr="003B4362">
        <w:rPr>
          <w:rFonts w:eastAsia="Calibri"/>
          <w:szCs w:val="24"/>
        </w:rPr>
        <w:t xml:space="preserve">and six months after </w:t>
      </w:r>
      <w:r w:rsidR="008D6375" w:rsidRPr="003B4362">
        <w:rPr>
          <w:rFonts w:eastAsia="Calibri"/>
          <w:szCs w:val="24"/>
        </w:rPr>
        <w:t>replacing</w:t>
      </w:r>
      <w:r w:rsidRPr="003B4362">
        <w:rPr>
          <w:rFonts w:eastAsia="Calibri"/>
          <w:szCs w:val="24"/>
        </w:rPr>
        <w:t xml:space="preserve"> a </w:t>
      </w:r>
      <w:r w:rsidR="00534363" w:rsidRPr="003B4362">
        <w:rPr>
          <w:rFonts w:eastAsia="Calibri"/>
          <w:szCs w:val="24"/>
        </w:rPr>
        <w:t>l</w:t>
      </w:r>
      <w:r w:rsidRPr="003B4362">
        <w:rPr>
          <w:rFonts w:eastAsia="Calibri"/>
          <w:szCs w:val="24"/>
        </w:rPr>
        <w:t xml:space="preserve">ead service line.  The </w:t>
      </w:r>
      <w:r w:rsidR="008D6375" w:rsidRPr="003B4362">
        <w:rPr>
          <w:rFonts w:eastAsia="Calibri"/>
          <w:szCs w:val="24"/>
        </w:rPr>
        <w:t>supplier</w:t>
      </w:r>
      <w:r w:rsidRPr="003B4362">
        <w:rPr>
          <w:rFonts w:eastAsia="Calibri"/>
          <w:szCs w:val="24"/>
        </w:rPr>
        <w:t xml:space="preserve"> must provide the results </w:t>
      </w:r>
      <w:r w:rsidR="008D6375" w:rsidRPr="003B4362">
        <w:rPr>
          <w:rFonts w:eastAsia="Calibri"/>
          <w:szCs w:val="24"/>
        </w:rPr>
        <w:t xml:space="preserve">from the follow up </w:t>
      </w:r>
      <w:r w:rsidRPr="003B4362">
        <w:rPr>
          <w:rFonts w:eastAsia="Calibri"/>
          <w:szCs w:val="24"/>
        </w:rPr>
        <w:t>sample</w:t>
      </w:r>
      <w:r w:rsidR="00BA1208" w:rsidRPr="003B4362">
        <w:rPr>
          <w:rFonts w:eastAsia="Calibri"/>
          <w:szCs w:val="24"/>
        </w:rPr>
        <w:t xml:space="preserve"> </w:t>
      </w:r>
      <w:r w:rsidR="00A3328E" w:rsidRPr="003B4362">
        <w:rPr>
          <w:rFonts w:eastAsia="Calibri"/>
          <w:szCs w:val="24"/>
        </w:rPr>
        <w:t xml:space="preserve">to the consumer </w:t>
      </w:r>
      <w:r w:rsidR="00BA1208" w:rsidRPr="003B4362">
        <w:rPr>
          <w:rFonts w:eastAsia="Calibri"/>
          <w:szCs w:val="24"/>
        </w:rPr>
        <w:t>under Section 611.355(d)</w:t>
      </w:r>
      <w:r w:rsidRPr="003B4362">
        <w:rPr>
          <w:rFonts w:eastAsia="Calibri"/>
          <w:szCs w:val="24"/>
        </w:rPr>
        <w:t>.</w:t>
      </w:r>
    </w:p>
    <w:p w14:paraId="3A72AB5C" w14:textId="46F5388F" w:rsidR="009557C7" w:rsidRPr="003B4362" w:rsidRDefault="009557C7" w:rsidP="009557C7">
      <w:pPr>
        <w:autoSpaceDE w:val="0"/>
        <w:autoSpaceDN w:val="0"/>
        <w:adjustRightInd w:val="0"/>
        <w:spacing w:before="240" w:after="240"/>
        <w:ind w:left="1440" w:hanging="720"/>
        <w:rPr>
          <w:rFonts w:eastAsia="Calibri"/>
          <w:szCs w:val="24"/>
        </w:rPr>
      </w:pPr>
      <w:r w:rsidRPr="003B4362">
        <w:rPr>
          <w:rFonts w:eastAsia="Calibri"/>
          <w:szCs w:val="24"/>
        </w:rPr>
        <w:t>f)</w:t>
      </w:r>
      <w:r w:rsidRPr="003B4362">
        <w:rPr>
          <w:rFonts w:eastAsia="Calibri"/>
          <w:szCs w:val="24"/>
        </w:rPr>
        <w:tab/>
      </w:r>
      <w:bookmarkStart w:id="1576" w:name="_Hlk119940617"/>
      <w:r w:rsidRPr="003B4362">
        <w:rPr>
          <w:rFonts w:eastAsia="Calibri"/>
          <w:szCs w:val="24"/>
        </w:rPr>
        <w:t>Goal-</w:t>
      </w:r>
      <w:r w:rsidR="00D00DF2" w:rsidRPr="003B4362">
        <w:rPr>
          <w:rFonts w:eastAsia="Calibri"/>
          <w:szCs w:val="24"/>
        </w:rPr>
        <w:t>B</w:t>
      </w:r>
      <w:r w:rsidRPr="003B4362">
        <w:rPr>
          <w:rFonts w:eastAsia="Calibri"/>
          <w:szCs w:val="24"/>
        </w:rPr>
        <w:t xml:space="preserve">ased </w:t>
      </w:r>
      <w:r w:rsidR="00D00DF2" w:rsidRPr="003B4362">
        <w:rPr>
          <w:rFonts w:eastAsia="Calibri"/>
          <w:szCs w:val="24"/>
        </w:rPr>
        <w:t>F</w:t>
      </w:r>
      <w:r w:rsidRPr="003B4362">
        <w:rPr>
          <w:rFonts w:eastAsia="Calibri"/>
          <w:szCs w:val="24"/>
        </w:rPr>
        <w:t xml:space="preserve">ull </w:t>
      </w:r>
      <w:r w:rsidR="00D00DF2" w:rsidRPr="003B4362">
        <w:rPr>
          <w:rFonts w:eastAsia="Calibri"/>
          <w:szCs w:val="24"/>
        </w:rPr>
        <w:t>L</w:t>
      </w:r>
      <w:r w:rsidRPr="003B4362">
        <w:rPr>
          <w:rFonts w:eastAsia="Calibri"/>
          <w:szCs w:val="24"/>
        </w:rPr>
        <w:t xml:space="preserve">ead </w:t>
      </w:r>
      <w:r w:rsidR="00D00DF2" w:rsidRPr="003B4362">
        <w:rPr>
          <w:rFonts w:eastAsia="Calibri"/>
          <w:szCs w:val="24"/>
        </w:rPr>
        <w:t>S</w:t>
      </w:r>
      <w:r w:rsidRPr="003B4362">
        <w:rPr>
          <w:rFonts w:eastAsia="Calibri"/>
          <w:szCs w:val="24"/>
        </w:rPr>
        <w:t xml:space="preserve">ervice </w:t>
      </w:r>
      <w:r w:rsidR="00D00DF2" w:rsidRPr="003B4362">
        <w:rPr>
          <w:rFonts w:eastAsia="Calibri"/>
          <w:szCs w:val="24"/>
        </w:rPr>
        <w:t>L</w:t>
      </w:r>
      <w:r w:rsidRPr="003B4362">
        <w:rPr>
          <w:rFonts w:eastAsia="Calibri"/>
          <w:szCs w:val="24"/>
        </w:rPr>
        <w:t xml:space="preserve">ine </w:t>
      </w:r>
      <w:r w:rsidR="00D00DF2" w:rsidRPr="003B4362">
        <w:rPr>
          <w:rFonts w:eastAsia="Calibri"/>
          <w:szCs w:val="24"/>
        </w:rPr>
        <w:t>R</w:t>
      </w:r>
      <w:r w:rsidRPr="003B4362">
        <w:rPr>
          <w:rFonts w:eastAsia="Calibri"/>
          <w:szCs w:val="24"/>
        </w:rPr>
        <w:t xml:space="preserve">eplacement for </w:t>
      </w:r>
      <w:r w:rsidR="00D00DF2" w:rsidRPr="003B4362">
        <w:rPr>
          <w:rFonts w:eastAsia="Calibri"/>
          <w:szCs w:val="24"/>
        </w:rPr>
        <w:t>Suppliers</w:t>
      </w:r>
      <w:r w:rsidRPr="003B4362">
        <w:rPr>
          <w:rFonts w:eastAsia="Calibri"/>
          <w:szCs w:val="24"/>
        </w:rPr>
        <w:t xml:space="preserve"> </w:t>
      </w:r>
      <w:r w:rsidR="00D00DF2" w:rsidRPr="003B4362">
        <w:rPr>
          <w:rFonts w:eastAsia="Calibri"/>
          <w:szCs w:val="24"/>
        </w:rPr>
        <w:t>Having a</w:t>
      </w:r>
      <w:r w:rsidRPr="003B4362">
        <w:rPr>
          <w:rFonts w:eastAsia="Calibri"/>
          <w:szCs w:val="24"/>
        </w:rPr>
        <w:t xml:space="preserve"> 90th </w:t>
      </w:r>
      <w:r w:rsidR="00D00DF2" w:rsidRPr="003B4362">
        <w:rPr>
          <w:rFonts w:eastAsia="Calibri"/>
          <w:szCs w:val="24"/>
        </w:rPr>
        <w:t>P</w:t>
      </w:r>
      <w:r w:rsidRPr="003B4362">
        <w:rPr>
          <w:rFonts w:eastAsia="Calibri"/>
          <w:szCs w:val="24"/>
        </w:rPr>
        <w:t xml:space="preserve">ercentile </w:t>
      </w:r>
      <w:r w:rsidR="00D00DF2" w:rsidRPr="003B4362">
        <w:rPr>
          <w:rFonts w:eastAsia="Calibri"/>
          <w:szCs w:val="24"/>
        </w:rPr>
        <w:t>L</w:t>
      </w:r>
      <w:r w:rsidRPr="003B4362">
        <w:rPr>
          <w:rFonts w:eastAsia="Calibri"/>
          <w:szCs w:val="24"/>
        </w:rPr>
        <w:t xml:space="preserve">ead </w:t>
      </w:r>
      <w:r w:rsidR="00A56C1F" w:rsidRPr="003B4362">
        <w:rPr>
          <w:rFonts w:eastAsia="Calibri"/>
          <w:szCs w:val="24"/>
        </w:rPr>
        <w:t>Concentration</w:t>
      </w:r>
      <w:r w:rsidRPr="003B4362">
        <w:rPr>
          <w:rFonts w:eastAsia="Calibri"/>
          <w:szCs w:val="24"/>
        </w:rPr>
        <w:t xml:space="preserve"> </w:t>
      </w:r>
      <w:r w:rsidR="00D00DF2" w:rsidRPr="003B4362">
        <w:rPr>
          <w:rFonts w:eastAsia="Calibri"/>
          <w:szCs w:val="24"/>
        </w:rPr>
        <w:t>Exceeding</w:t>
      </w:r>
      <w:r w:rsidRPr="003B4362">
        <w:rPr>
          <w:rFonts w:eastAsia="Calibri"/>
          <w:szCs w:val="24"/>
        </w:rPr>
        <w:t xml:space="preserve"> the </w:t>
      </w:r>
      <w:r w:rsidR="00D00DF2" w:rsidRPr="003B4362">
        <w:rPr>
          <w:rFonts w:eastAsia="Calibri"/>
          <w:szCs w:val="24"/>
        </w:rPr>
        <w:t>Lead T</w:t>
      </w:r>
      <w:r w:rsidRPr="003B4362">
        <w:rPr>
          <w:rFonts w:eastAsia="Calibri"/>
          <w:szCs w:val="24"/>
        </w:rPr>
        <w:t xml:space="preserve">rigger </w:t>
      </w:r>
      <w:r w:rsidR="00D00DF2" w:rsidRPr="003B4362">
        <w:rPr>
          <w:rFonts w:eastAsia="Calibri"/>
          <w:szCs w:val="24"/>
        </w:rPr>
        <w:t>L</w:t>
      </w:r>
      <w:r w:rsidRPr="003B4362">
        <w:rPr>
          <w:rFonts w:eastAsia="Calibri"/>
          <w:szCs w:val="24"/>
        </w:rPr>
        <w:t xml:space="preserve">evel </w:t>
      </w:r>
      <w:r w:rsidR="00D00DF2" w:rsidRPr="003B4362">
        <w:rPr>
          <w:rFonts w:eastAsia="Calibri"/>
          <w:szCs w:val="24"/>
        </w:rPr>
        <w:t>B</w:t>
      </w:r>
      <w:r w:rsidRPr="003B4362">
        <w:rPr>
          <w:rFonts w:eastAsia="Calibri"/>
          <w:szCs w:val="24"/>
        </w:rPr>
        <w:t xml:space="preserve">ut </w:t>
      </w:r>
      <w:r w:rsidR="00D00DF2" w:rsidRPr="003B4362">
        <w:rPr>
          <w:rFonts w:eastAsia="Calibri"/>
          <w:szCs w:val="24"/>
        </w:rPr>
        <w:t>Not</w:t>
      </w:r>
      <w:r w:rsidRPr="003B4362">
        <w:rPr>
          <w:rFonts w:eastAsia="Calibri"/>
          <w:szCs w:val="24"/>
        </w:rPr>
        <w:t xml:space="preserve"> the </w:t>
      </w:r>
      <w:r w:rsidR="00D00DF2" w:rsidRPr="003B4362">
        <w:rPr>
          <w:rFonts w:eastAsia="Calibri"/>
          <w:szCs w:val="24"/>
        </w:rPr>
        <w:t>L</w:t>
      </w:r>
      <w:r w:rsidRPr="003B4362">
        <w:rPr>
          <w:rFonts w:eastAsia="Calibri"/>
          <w:szCs w:val="24"/>
        </w:rPr>
        <w:t xml:space="preserve">ead </w:t>
      </w:r>
      <w:r w:rsidR="00D00DF2" w:rsidRPr="003B4362">
        <w:rPr>
          <w:rFonts w:eastAsia="Calibri"/>
          <w:szCs w:val="24"/>
        </w:rPr>
        <w:t>A</w:t>
      </w:r>
      <w:r w:rsidRPr="003B4362">
        <w:rPr>
          <w:rFonts w:eastAsia="Calibri"/>
          <w:szCs w:val="24"/>
        </w:rPr>
        <w:t xml:space="preserve">ction </w:t>
      </w:r>
      <w:r w:rsidR="00D00DF2" w:rsidRPr="003B4362">
        <w:rPr>
          <w:rFonts w:eastAsia="Calibri"/>
          <w:szCs w:val="24"/>
        </w:rPr>
        <w:t>L</w:t>
      </w:r>
      <w:r w:rsidRPr="003B4362">
        <w:rPr>
          <w:rFonts w:eastAsia="Calibri"/>
          <w:szCs w:val="24"/>
        </w:rPr>
        <w:t>evel</w:t>
      </w:r>
      <w:bookmarkEnd w:id="1576"/>
      <w:r w:rsidRPr="003B4362">
        <w:rPr>
          <w:rFonts w:eastAsia="Calibri"/>
          <w:szCs w:val="24"/>
        </w:rPr>
        <w:t xml:space="preserve">.  </w:t>
      </w:r>
      <w:bookmarkStart w:id="1577" w:name="_Hlk119940775"/>
      <w:r w:rsidR="00D00DF2" w:rsidRPr="003B4362">
        <w:rPr>
          <w:rFonts w:eastAsia="Calibri"/>
          <w:szCs w:val="24"/>
        </w:rPr>
        <w:t>A</w:t>
      </w:r>
      <w:bookmarkStart w:id="1578" w:name="_Hlk119940879"/>
      <w:r w:rsidR="00D00DF2" w:rsidRPr="003B4362">
        <w:rPr>
          <w:rFonts w:eastAsia="Calibri"/>
          <w:szCs w:val="24"/>
        </w:rPr>
        <w:t xml:space="preserve"> supplier</w:t>
      </w:r>
      <w:r w:rsidRPr="003B4362">
        <w:rPr>
          <w:rFonts w:eastAsia="Calibri"/>
          <w:szCs w:val="24"/>
        </w:rPr>
        <w:t xml:space="preserve"> </w:t>
      </w:r>
      <w:bookmarkEnd w:id="1577"/>
      <w:r w:rsidR="00746AA2" w:rsidRPr="003B4362">
        <w:rPr>
          <w:rFonts w:eastAsia="Calibri"/>
          <w:szCs w:val="24"/>
        </w:rPr>
        <w:t>s</w:t>
      </w:r>
      <w:r w:rsidR="00D00DF2" w:rsidRPr="003B4362">
        <w:rPr>
          <w:rFonts w:eastAsia="Calibri"/>
          <w:szCs w:val="24"/>
        </w:rPr>
        <w:t>erv</w:t>
      </w:r>
      <w:r w:rsidR="00746AA2" w:rsidRPr="003B4362">
        <w:rPr>
          <w:rFonts w:eastAsia="Calibri"/>
          <w:szCs w:val="24"/>
        </w:rPr>
        <w:t>in</w:t>
      </w:r>
      <w:r w:rsidR="00D00DF2" w:rsidRPr="003B4362">
        <w:rPr>
          <w:rFonts w:eastAsia="Calibri"/>
          <w:szCs w:val="24"/>
        </w:rPr>
        <w:t>g</w:t>
      </w:r>
      <w:bookmarkEnd w:id="1578"/>
      <w:r w:rsidRPr="003B4362">
        <w:rPr>
          <w:rFonts w:eastAsia="Calibri"/>
          <w:szCs w:val="24"/>
        </w:rPr>
        <w:t xml:space="preserve"> more than 10,000 persons </w:t>
      </w:r>
      <w:bookmarkStart w:id="1579" w:name="_Hlk119941024"/>
      <w:bookmarkStart w:id="1580" w:name="_Hlk119941283"/>
      <w:r w:rsidR="00746AA2" w:rsidRPr="003B4362">
        <w:rPr>
          <w:rFonts w:eastAsia="Calibri"/>
          <w:szCs w:val="24"/>
        </w:rPr>
        <w:t>having a</w:t>
      </w:r>
      <w:r w:rsidRPr="003B4362">
        <w:rPr>
          <w:rFonts w:eastAsia="Calibri"/>
          <w:szCs w:val="24"/>
        </w:rPr>
        <w:t xml:space="preserve"> 90th percentile lead </w:t>
      </w:r>
      <w:bookmarkStart w:id="1581" w:name="_Hlk119941135"/>
      <w:bookmarkEnd w:id="1579"/>
      <w:r w:rsidR="00A56C1F" w:rsidRPr="003B4362">
        <w:rPr>
          <w:rFonts w:eastAsia="Calibri"/>
          <w:szCs w:val="24"/>
        </w:rPr>
        <w:t>concentration</w:t>
      </w:r>
      <w:r w:rsidR="00746AA2" w:rsidRPr="003B4362">
        <w:rPr>
          <w:rFonts w:eastAsia="Calibri"/>
          <w:szCs w:val="24"/>
        </w:rPr>
        <w:t xml:space="preserve"> under</w:t>
      </w:r>
      <w:r w:rsidRPr="003B4362">
        <w:rPr>
          <w:rFonts w:eastAsia="Calibri"/>
          <w:szCs w:val="24"/>
        </w:rPr>
        <w:t xml:space="preserve"> Section </w:t>
      </w:r>
      <w:r w:rsidR="00746AA2" w:rsidRPr="003B4362">
        <w:rPr>
          <w:rFonts w:eastAsia="Calibri"/>
          <w:szCs w:val="24"/>
        </w:rPr>
        <w:t>61</w:t>
      </w:r>
      <w:r w:rsidRPr="003B4362">
        <w:rPr>
          <w:rFonts w:eastAsia="Calibri"/>
          <w:szCs w:val="24"/>
        </w:rPr>
        <w:t>1.</w:t>
      </w:r>
      <w:r w:rsidR="00746AA2" w:rsidRPr="003B4362">
        <w:rPr>
          <w:rFonts w:eastAsia="Calibri"/>
          <w:szCs w:val="24"/>
        </w:rPr>
        <w:t>35</w:t>
      </w:r>
      <w:r w:rsidRPr="003B4362">
        <w:rPr>
          <w:rFonts w:eastAsia="Calibri"/>
          <w:szCs w:val="24"/>
        </w:rPr>
        <w:t>6</w:t>
      </w:r>
      <w:bookmarkEnd w:id="1580"/>
      <w:bookmarkEnd w:id="1581"/>
      <w:r w:rsidRPr="003B4362">
        <w:rPr>
          <w:rFonts w:eastAsia="Calibri"/>
          <w:szCs w:val="24"/>
        </w:rPr>
        <w:t xml:space="preserve"> </w:t>
      </w:r>
      <w:bookmarkStart w:id="1582" w:name="_Hlk119941508"/>
      <w:r w:rsidR="003E1624" w:rsidRPr="003B4362">
        <w:rPr>
          <w:rFonts w:eastAsia="Calibri"/>
          <w:szCs w:val="24"/>
        </w:rPr>
        <w:t>that exceeds</w:t>
      </w:r>
      <w:r w:rsidRPr="003B4362">
        <w:rPr>
          <w:rFonts w:eastAsia="Calibri"/>
          <w:szCs w:val="24"/>
        </w:rPr>
        <w:t xml:space="preserve"> the lead trigger level but </w:t>
      </w:r>
      <w:r w:rsidR="00C2743C" w:rsidRPr="003B4362">
        <w:rPr>
          <w:rFonts w:eastAsia="Calibri"/>
          <w:szCs w:val="24"/>
        </w:rPr>
        <w:t>not</w:t>
      </w:r>
      <w:r w:rsidRPr="003B4362">
        <w:rPr>
          <w:rFonts w:eastAsia="Calibri"/>
          <w:szCs w:val="24"/>
        </w:rPr>
        <w:t xml:space="preserve"> the lead action level</w:t>
      </w:r>
      <w:bookmarkEnd w:id="1582"/>
      <w:r w:rsidRPr="003B4362">
        <w:rPr>
          <w:rFonts w:eastAsia="Calibri"/>
          <w:szCs w:val="24"/>
        </w:rPr>
        <w:t xml:space="preserve"> must conduct goal-based </w:t>
      </w:r>
      <w:bookmarkStart w:id="1583" w:name="_Hlk120049424"/>
      <w:r w:rsidRPr="003B4362">
        <w:rPr>
          <w:rFonts w:eastAsia="Calibri"/>
          <w:szCs w:val="24"/>
        </w:rPr>
        <w:t xml:space="preserve">full </w:t>
      </w:r>
      <w:r w:rsidR="00534363" w:rsidRPr="003B4362">
        <w:rPr>
          <w:rFonts w:eastAsia="Calibri"/>
          <w:szCs w:val="24"/>
        </w:rPr>
        <w:t>l</w:t>
      </w:r>
      <w:r w:rsidRPr="003B4362">
        <w:rPr>
          <w:rFonts w:eastAsia="Calibri"/>
          <w:szCs w:val="24"/>
        </w:rPr>
        <w:t>ead service line replacement</w:t>
      </w:r>
      <w:bookmarkEnd w:id="1583"/>
      <w:r w:rsidRPr="003B4362">
        <w:rPr>
          <w:rFonts w:eastAsia="Calibri"/>
          <w:szCs w:val="24"/>
        </w:rPr>
        <w:t xml:space="preserve"> </w:t>
      </w:r>
      <w:bookmarkStart w:id="1584" w:name="_Hlk119941784"/>
      <w:r w:rsidRPr="003B4362">
        <w:rPr>
          <w:rFonts w:eastAsia="Calibri"/>
          <w:szCs w:val="24"/>
        </w:rPr>
        <w:t xml:space="preserve">at a rate approved </w:t>
      </w:r>
      <w:r w:rsidR="00C2743C" w:rsidRPr="003B4362">
        <w:rPr>
          <w:rFonts w:eastAsia="Calibri"/>
          <w:szCs w:val="24"/>
        </w:rPr>
        <w:t>in an Agency-issued SEP</w:t>
      </w:r>
      <w:bookmarkEnd w:id="1584"/>
      <w:r w:rsidRPr="003B4362">
        <w:rPr>
          <w:rFonts w:eastAsia="Calibri"/>
          <w:szCs w:val="24"/>
        </w:rPr>
        <w:t>.</w:t>
      </w:r>
    </w:p>
    <w:p w14:paraId="5C24AD0E" w14:textId="7AF8ED80"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lastRenderedPageBreak/>
        <w:t>1)</w:t>
      </w:r>
      <w:r w:rsidRPr="003B4362">
        <w:rPr>
          <w:rFonts w:eastAsia="Calibri"/>
          <w:szCs w:val="24"/>
        </w:rPr>
        <w:tab/>
        <w:t xml:space="preserve">The </w:t>
      </w:r>
      <w:r w:rsidR="00CC6099" w:rsidRPr="003B4362">
        <w:rPr>
          <w:rFonts w:eastAsia="Calibri"/>
          <w:szCs w:val="24"/>
        </w:rPr>
        <w:t>supplier</w:t>
      </w:r>
      <w:r w:rsidRPr="003B4362">
        <w:rPr>
          <w:rFonts w:eastAsia="Calibri"/>
          <w:szCs w:val="24"/>
        </w:rPr>
        <w:t xml:space="preserve"> </w:t>
      </w:r>
      <w:bookmarkStart w:id="1585" w:name="_Hlk124946393"/>
      <w:r w:rsidRPr="003B4362">
        <w:rPr>
          <w:rFonts w:eastAsia="Calibri"/>
          <w:szCs w:val="24"/>
        </w:rPr>
        <w:t xml:space="preserve">must </w:t>
      </w:r>
      <w:r w:rsidR="00D87AFB" w:rsidRPr="003B4362">
        <w:rPr>
          <w:rFonts w:eastAsia="Calibri"/>
          <w:szCs w:val="24"/>
        </w:rPr>
        <w:t xml:space="preserve">annually </w:t>
      </w:r>
      <w:r w:rsidRPr="003B4362">
        <w:rPr>
          <w:rFonts w:eastAsia="Calibri"/>
          <w:szCs w:val="24"/>
        </w:rPr>
        <w:t xml:space="preserve">calculate the number of full </w:t>
      </w:r>
      <w:r w:rsidR="00534363" w:rsidRPr="003B4362">
        <w:rPr>
          <w:rFonts w:eastAsia="Calibri"/>
          <w:szCs w:val="24"/>
        </w:rPr>
        <w:t>l</w:t>
      </w:r>
      <w:r w:rsidRPr="003B4362">
        <w:rPr>
          <w:rFonts w:eastAsia="Calibri"/>
          <w:szCs w:val="24"/>
        </w:rPr>
        <w:t>ead service line replacements it must conduct</w:t>
      </w:r>
      <w:bookmarkEnd w:id="1585"/>
      <w:r w:rsidRPr="003B4362">
        <w:rPr>
          <w:rFonts w:eastAsia="Calibri"/>
          <w:szCs w:val="24"/>
        </w:rPr>
        <w:t xml:space="preserve"> </w:t>
      </w:r>
      <w:bookmarkStart w:id="1586" w:name="_Hlk119942385"/>
      <w:r w:rsidR="00B447E7" w:rsidRPr="003B4362">
        <w:rPr>
          <w:rFonts w:eastAsia="Calibri"/>
          <w:szCs w:val="24"/>
        </w:rPr>
        <w:t>under</w:t>
      </w:r>
      <w:r w:rsidRPr="003B4362">
        <w:rPr>
          <w:rFonts w:eastAsia="Calibri"/>
          <w:szCs w:val="24"/>
        </w:rPr>
        <w:t xml:space="preserve"> subsection (a)(7)</w:t>
      </w:r>
      <w:bookmarkEnd w:id="1586"/>
      <w:r w:rsidRPr="003B4362">
        <w:rPr>
          <w:rFonts w:eastAsia="Calibri"/>
          <w:szCs w:val="24"/>
        </w:rPr>
        <w:t>.</w:t>
      </w:r>
    </w:p>
    <w:p w14:paraId="060FDA9D" w14:textId="21487C8D"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r w:rsidR="00B447E7" w:rsidRPr="003B4362">
        <w:rPr>
          <w:rFonts w:eastAsia="Calibri"/>
          <w:szCs w:val="24"/>
        </w:rPr>
        <w:t>The supplier</w:t>
      </w:r>
      <w:bookmarkStart w:id="1587" w:name="_Hlk119943201"/>
      <w:r w:rsidR="00B447E7" w:rsidRPr="003B4362">
        <w:rPr>
          <w:rFonts w:eastAsia="Calibri"/>
          <w:szCs w:val="24"/>
        </w:rPr>
        <w:t xml:space="preserve"> must replace</w:t>
      </w:r>
      <w:bookmarkStart w:id="1588" w:name="_Hlk119942929"/>
      <w:r w:rsidRPr="003B4362">
        <w:rPr>
          <w:rFonts w:eastAsia="Calibri"/>
          <w:szCs w:val="24"/>
        </w:rPr>
        <w:t xml:space="preserve"> </w:t>
      </w:r>
      <w:r w:rsidR="009E456D" w:rsidRPr="003B4362">
        <w:rPr>
          <w:rFonts w:eastAsia="Calibri"/>
          <w:szCs w:val="24"/>
        </w:rPr>
        <w:t>l</w:t>
      </w:r>
      <w:r w:rsidRPr="003B4362">
        <w:rPr>
          <w:rFonts w:eastAsia="Calibri"/>
          <w:szCs w:val="24"/>
        </w:rPr>
        <w:t>ead service lines</w:t>
      </w:r>
      <w:bookmarkEnd w:id="1587"/>
      <w:r w:rsidRPr="003B4362">
        <w:rPr>
          <w:rFonts w:eastAsia="Calibri"/>
          <w:szCs w:val="24"/>
        </w:rPr>
        <w:t xml:space="preserve"> </w:t>
      </w:r>
      <w:bookmarkEnd w:id="1588"/>
      <w:r w:rsidR="00B447E7" w:rsidRPr="003B4362">
        <w:rPr>
          <w:rFonts w:eastAsia="Calibri"/>
          <w:szCs w:val="24"/>
        </w:rPr>
        <w:t>complying</w:t>
      </w:r>
      <w:r w:rsidRPr="003B4362">
        <w:rPr>
          <w:rFonts w:eastAsia="Calibri"/>
          <w:szCs w:val="24"/>
        </w:rPr>
        <w:t xml:space="preserve"> with</w:t>
      </w:r>
      <w:r w:rsidR="00B447E7" w:rsidRPr="003B4362">
        <w:rPr>
          <w:rFonts w:eastAsia="Calibri"/>
          <w:szCs w:val="24"/>
        </w:rPr>
        <w:t xml:space="preserve"> </w:t>
      </w:r>
      <w:r w:rsidRPr="003B4362">
        <w:rPr>
          <w:rFonts w:eastAsia="Calibri"/>
          <w:szCs w:val="24"/>
        </w:rPr>
        <w:t>subsection (d) or (e).</w:t>
      </w:r>
    </w:p>
    <w:p w14:paraId="29427B6C" w14:textId="6034DF1B"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O</w:t>
      </w:r>
      <w:bookmarkStart w:id="1589" w:name="_Hlk119943412"/>
      <w:bookmarkStart w:id="1590" w:name="_Hlk119943493"/>
      <w:r w:rsidRPr="003B4362">
        <w:rPr>
          <w:rFonts w:eastAsia="Calibri"/>
          <w:szCs w:val="24"/>
        </w:rPr>
        <w:t xml:space="preserve">nly </w:t>
      </w:r>
      <w:r w:rsidR="00B447E7" w:rsidRPr="003B4362">
        <w:rPr>
          <w:rFonts w:eastAsia="Calibri"/>
          <w:szCs w:val="24"/>
        </w:rPr>
        <w:t xml:space="preserve">a </w:t>
      </w:r>
      <w:r w:rsidRPr="003B4362">
        <w:rPr>
          <w:rFonts w:eastAsia="Calibri"/>
          <w:szCs w:val="24"/>
        </w:rPr>
        <w:t xml:space="preserve">full </w:t>
      </w:r>
      <w:r w:rsidR="009E456D" w:rsidRPr="003B4362">
        <w:rPr>
          <w:rFonts w:eastAsia="Calibri"/>
          <w:szCs w:val="24"/>
        </w:rPr>
        <w:t>l</w:t>
      </w:r>
      <w:r w:rsidRPr="003B4362">
        <w:rPr>
          <w:rFonts w:eastAsia="Calibri"/>
          <w:szCs w:val="24"/>
        </w:rPr>
        <w:t>ead service line replacement count</w:t>
      </w:r>
      <w:bookmarkEnd w:id="1589"/>
      <w:r w:rsidR="00B447E7" w:rsidRPr="003B4362">
        <w:rPr>
          <w:rFonts w:eastAsia="Calibri"/>
          <w:szCs w:val="24"/>
        </w:rPr>
        <w:t>s</w:t>
      </w:r>
      <w:bookmarkEnd w:id="1590"/>
      <w:r w:rsidRPr="003B4362">
        <w:rPr>
          <w:rFonts w:eastAsia="Calibri"/>
          <w:szCs w:val="24"/>
        </w:rPr>
        <w:t xml:space="preserve"> towards </w:t>
      </w:r>
      <w:bookmarkStart w:id="1591" w:name="_Hlk119943619"/>
      <w:r w:rsidRPr="003B4362">
        <w:rPr>
          <w:rFonts w:eastAsia="Calibri"/>
          <w:szCs w:val="24"/>
        </w:rPr>
        <w:t xml:space="preserve">a </w:t>
      </w:r>
      <w:r w:rsidR="00AB23D0" w:rsidRPr="003B4362">
        <w:rPr>
          <w:rFonts w:eastAsia="Calibri"/>
          <w:szCs w:val="24"/>
        </w:rPr>
        <w:t>supplier</w:t>
      </w:r>
      <w:r w:rsidRPr="003B4362">
        <w:rPr>
          <w:rFonts w:eastAsia="Calibri"/>
          <w:szCs w:val="24"/>
        </w:rPr>
        <w:t>’s annual replacement goal</w:t>
      </w:r>
      <w:bookmarkEnd w:id="1591"/>
      <w:r w:rsidRPr="003B4362">
        <w:rPr>
          <w:rFonts w:eastAsia="Calibri"/>
          <w:szCs w:val="24"/>
        </w:rPr>
        <w:t xml:space="preserve">.  </w:t>
      </w:r>
      <w:bookmarkStart w:id="1592" w:name="_Hlk119943680"/>
      <w:r w:rsidR="00AB23D0" w:rsidRPr="003B4362">
        <w:rPr>
          <w:rFonts w:eastAsia="Calibri"/>
          <w:szCs w:val="24"/>
        </w:rPr>
        <w:t>A</w:t>
      </w:r>
      <w:bookmarkStart w:id="1593" w:name="_Hlk119943764"/>
      <w:r w:rsidR="00AB23D0" w:rsidRPr="003B4362">
        <w:rPr>
          <w:rFonts w:eastAsia="Calibri"/>
          <w:szCs w:val="24"/>
        </w:rPr>
        <w:t xml:space="preserve"> p</w:t>
      </w:r>
      <w:r w:rsidRPr="003B4362">
        <w:rPr>
          <w:rFonts w:eastAsia="Calibri"/>
          <w:szCs w:val="24"/>
        </w:rPr>
        <w:t xml:space="preserve">artial </w:t>
      </w:r>
      <w:r w:rsidR="009E456D" w:rsidRPr="003B4362">
        <w:rPr>
          <w:rFonts w:eastAsia="Calibri"/>
          <w:szCs w:val="24"/>
        </w:rPr>
        <w:t>l</w:t>
      </w:r>
      <w:r w:rsidRPr="003B4362">
        <w:rPr>
          <w:rFonts w:eastAsia="Calibri"/>
          <w:szCs w:val="24"/>
        </w:rPr>
        <w:t>ead service line replacement do</w:t>
      </w:r>
      <w:r w:rsidR="00AB23D0" w:rsidRPr="003B4362">
        <w:rPr>
          <w:rFonts w:eastAsia="Calibri"/>
          <w:szCs w:val="24"/>
        </w:rPr>
        <w:t>es</w:t>
      </w:r>
      <w:r w:rsidRPr="003B4362">
        <w:rPr>
          <w:rFonts w:eastAsia="Calibri"/>
          <w:szCs w:val="24"/>
        </w:rPr>
        <w:t xml:space="preserve"> not count</w:t>
      </w:r>
      <w:bookmarkEnd w:id="1592"/>
      <w:bookmarkEnd w:id="1593"/>
      <w:r w:rsidRPr="003B4362">
        <w:rPr>
          <w:rFonts w:eastAsia="Calibri"/>
          <w:szCs w:val="24"/>
        </w:rPr>
        <w:t xml:space="preserve"> towards the goal.</w:t>
      </w:r>
    </w:p>
    <w:p w14:paraId="7685B586" w14:textId="36728C4E"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t>T</w:t>
      </w:r>
      <w:bookmarkStart w:id="1594" w:name="_Hlk119943826"/>
      <w:bookmarkStart w:id="1595" w:name="_Hlk119943887"/>
      <w:r w:rsidRPr="003B4362">
        <w:rPr>
          <w:rFonts w:eastAsia="Calibri"/>
          <w:szCs w:val="24"/>
        </w:rPr>
        <w:t xml:space="preserve">he </w:t>
      </w:r>
      <w:bookmarkEnd w:id="1594"/>
      <w:r w:rsidR="00AB23D0" w:rsidRPr="003B4362">
        <w:rPr>
          <w:rFonts w:eastAsia="Calibri"/>
          <w:szCs w:val="24"/>
        </w:rPr>
        <w:t>supplier</w:t>
      </w:r>
      <w:bookmarkEnd w:id="1595"/>
      <w:r w:rsidRPr="003B4362">
        <w:rPr>
          <w:rFonts w:eastAsia="Calibri"/>
          <w:szCs w:val="24"/>
        </w:rPr>
        <w:t xml:space="preserve"> must </w:t>
      </w:r>
      <w:bookmarkStart w:id="1596" w:name="_Hlk119943999"/>
      <w:r w:rsidR="00AB23D0" w:rsidRPr="003B4362">
        <w:rPr>
          <w:rFonts w:eastAsia="Calibri"/>
          <w:szCs w:val="24"/>
        </w:rPr>
        <w:t>inform</w:t>
      </w:r>
      <w:r w:rsidRPr="003B4362">
        <w:rPr>
          <w:rFonts w:eastAsia="Calibri"/>
          <w:szCs w:val="24"/>
        </w:rPr>
        <w:t xml:space="preserve"> customers</w:t>
      </w:r>
      <w:bookmarkEnd w:id="1596"/>
      <w:r w:rsidRPr="003B4362">
        <w:rPr>
          <w:rFonts w:eastAsia="Calibri"/>
          <w:szCs w:val="24"/>
        </w:rPr>
        <w:t xml:space="preserve"> </w:t>
      </w:r>
      <w:bookmarkStart w:id="1597" w:name="_Hlk119944225"/>
      <w:r w:rsidR="0026748F" w:rsidRPr="003B4362">
        <w:rPr>
          <w:rFonts w:eastAsia="Calibri"/>
          <w:szCs w:val="24"/>
        </w:rPr>
        <w:t>having</w:t>
      </w:r>
      <w:r w:rsidRPr="003B4362">
        <w:rPr>
          <w:rFonts w:eastAsia="Calibri"/>
          <w:szCs w:val="24"/>
        </w:rPr>
        <w:t xml:space="preserve"> </w:t>
      </w:r>
      <w:r w:rsidR="0026748F" w:rsidRPr="003B4362">
        <w:rPr>
          <w:rFonts w:eastAsia="Calibri"/>
          <w:szCs w:val="24"/>
        </w:rPr>
        <w:t xml:space="preserve">a </w:t>
      </w:r>
      <w:r w:rsidR="009E456D" w:rsidRPr="003B4362">
        <w:rPr>
          <w:rFonts w:eastAsia="Calibri"/>
          <w:szCs w:val="24"/>
        </w:rPr>
        <w:t>lead, galvanized requiring replacement, or lead status unkno</w:t>
      </w:r>
      <w:r w:rsidRPr="003B4362">
        <w:rPr>
          <w:rFonts w:eastAsia="Calibri"/>
          <w:szCs w:val="24"/>
        </w:rPr>
        <w:t xml:space="preserve">wn service line </w:t>
      </w:r>
      <w:bookmarkStart w:id="1598" w:name="_Hlk119944271"/>
      <w:bookmarkStart w:id="1599" w:name="_Hlk119944478"/>
      <w:bookmarkEnd w:id="1597"/>
      <w:r w:rsidRPr="003B4362">
        <w:rPr>
          <w:rFonts w:eastAsia="Calibri"/>
          <w:szCs w:val="24"/>
        </w:rPr>
        <w:t>as</w:t>
      </w:r>
      <w:r w:rsidR="0026748F" w:rsidRPr="003B4362">
        <w:rPr>
          <w:rFonts w:eastAsia="Calibri"/>
          <w:szCs w:val="24"/>
        </w:rPr>
        <w:t xml:space="preserve"> </w:t>
      </w:r>
      <w:r w:rsidRPr="003B4362">
        <w:rPr>
          <w:rFonts w:eastAsia="Calibri"/>
          <w:szCs w:val="24"/>
        </w:rPr>
        <w:t xml:space="preserve">Section </w:t>
      </w:r>
      <w:r w:rsidR="0026748F" w:rsidRPr="003B4362">
        <w:rPr>
          <w:rFonts w:eastAsia="Calibri"/>
          <w:szCs w:val="24"/>
        </w:rPr>
        <w:t>61</w:t>
      </w:r>
      <w:r w:rsidRPr="003B4362">
        <w:rPr>
          <w:rFonts w:eastAsia="Calibri"/>
          <w:szCs w:val="24"/>
        </w:rPr>
        <w:t>1.</w:t>
      </w:r>
      <w:r w:rsidR="0026748F" w:rsidRPr="003B4362">
        <w:rPr>
          <w:rFonts w:eastAsia="Calibri"/>
          <w:szCs w:val="24"/>
        </w:rPr>
        <w:t>35</w:t>
      </w:r>
      <w:r w:rsidRPr="003B4362">
        <w:rPr>
          <w:rFonts w:eastAsia="Calibri"/>
          <w:szCs w:val="24"/>
        </w:rPr>
        <w:t>5(g)</w:t>
      </w:r>
      <w:bookmarkEnd w:id="1598"/>
      <w:r w:rsidR="0026748F" w:rsidRPr="003B4362">
        <w:rPr>
          <w:rFonts w:eastAsia="Calibri"/>
          <w:szCs w:val="24"/>
        </w:rPr>
        <w:t xml:space="preserve"> requires</w:t>
      </w:r>
      <w:bookmarkEnd w:id="1599"/>
      <w:r w:rsidRPr="003B4362">
        <w:rPr>
          <w:rFonts w:eastAsia="Calibri"/>
          <w:szCs w:val="24"/>
        </w:rPr>
        <w:t>.</w:t>
      </w:r>
    </w:p>
    <w:p w14:paraId="0291C6FA" w14:textId="5DA01430"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r>
      <w:r w:rsidR="0026748F" w:rsidRPr="003B4362">
        <w:rPr>
          <w:rFonts w:eastAsia="Calibri"/>
          <w:szCs w:val="24"/>
        </w:rPr>
        <w:t>A supplier</w:t>
      </w:r>
      <w:r w:rsidRPr="003B4362">
        <w:rPr>
          <w:rFonts w:eastAsia="Calibri"/>
          <w:szCs w:val="24"/>
        </w:rPr>
        <w:t xml:space="preserve"> </w:t>
      </w:r>
      <w:r w:rsidR="0026748F" w:rsidRPr="003B4362">
        <w:rPr>
          <w:rFonts w:eastAsia="Calibri"/>
          <w:szCs w:val="24"/>
        </w:rPr>
        <w:t>failing</w:t>
      </w:r>
      <w:r w:rsidRPr="003B4362">
        <w:rPr>
          <w:rFonts w:eastAsia="Calibri"/>
          <w:szCs w:val="24"/>
        </w:rPr>
        <w:t xml:space="preserve"> to meet its </w:t>
      </w:r>
      <w:bookmarkStart w:id="1600" w:name="_Hlk120049669"/>
      <w:r w:rsidR="009E456D" w:rsidRPr="003B4362">
        <w:rPr>
          <w:rFonts w:eastAsia="Calibri"/>
          <w:szCs w:val="24"/>
        </w:rPr>
        <w:t>l</w:t>
      </w:r>
      <w:r w:rsidRPr="003B4362">
        <w:rPr>
          <w:rFonts w:eastAsia="Calibri"/>
          <w:szCs w:val="24"/>
        </w:rPr>
        <w:t>ead service line replacement goal</w:t>
      </w:r>
      <w:bookmarkEnd w:id="1600"/>
      <w:r w:rsidRPr="003B4362">
        <w:rPr>
          <w:rFonts w:eastAsia="Calibri"/>
          <w:szCs w:val="24"/>
        </w:rPr>
        <w:t xml:space="preserve"> </w:t>
      </w:r>
      <w:bookmarkStart w:id="1601" w:name="_Hlk119944687"/>
      <w:r w:rsidRPr="003B4362">
        <w:rPr>
          <w:rFonts w:eastAsia="Calibri"/>
          <w:szCs w:val="24"/>
        </w:rPr>
        <w:t>must</w:t>
      </w:r>
      <w:r w:rsidR="0026748F" w:rsidRPr="003B4362">
        <w:rPr>
          <w:rFonts w:eastAsia="Calibri"/>
          <w:szCs w:val="24"/>
        </w:rPr>
        <w:t xml:space="preserve"> take certain actions</w:t>
      </w:r>
      <w:bookmarkEnd w:id="1601"/>
      <w:r w:rsidRPr="003B4362">
        <w:rPr>
          <w:rFonts w:eastAsia="Calibri"/>
          <w:szCs w:val="24"/>
        </w:rPr>
        <w:t>:</w:t>
      </w:r>
    </w:p>
    <w:p w14:paraId="2D8B0A83" w14:textId="635D8877"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 xml:space="preserve">Conduct public outreach activities </w:t>
      </w:r>
      <w:bookmarkStart w:id="1602" w:name="_Hlk119944797"/>
      <w:r w:rsidR="00AE3FC9" w:rsidRPr="003B4362">
        <w:rPr>
          <w:rFonts w:eastAsia="Calibri"/>
          <w:szCs w:val="24"/>
        </w:rPr>
        <w:t>under</w:t>
      </w:r>
      <w:r w:rsidRPr="003B4362">
        <w:rPr>
          <w:rFonts w:eastAsia="Calibri"/>
          <w:szCs w:val="24"/>
        </w:rPr>
        <w:t xml:space="preserve"> Section </w:t>
      </w:r>
      <w:r w:rsidR="00AE3FC9" w:rsidRPr="003B4362">
        <w:rPr>
          <w:rFonts w:eastAsia="Calibri"/>
          <w:szCs w:val="24"/>
        </w:rPr>
        <w:t>61</w:t>
      </w:r>
      <w:r w:rsidRPr="003B4362">
        <w:rPr>
          <w:rFonts w:eastAsia="Calibri"/>
          <w:szCs w:val="24"/>
        </w:rPr>
        <w:t>1.</w:t>
      </w:r>
      <w:r w:rsidR="00AE3FC9" w:rsidRPr="003B4362">
        <w:rPr>
          <w:rFonts w:eastAsia="Calibri"/>
          <w:szCs w:val="24"/>
        </w:rPr>
        <w:t>35</w:t>
      </w:r>
      <w:r w:rsidRPr="003B4362">
        <w:rPr>
          <w:rFonts w:eastAsia="Calibri"/>
          <w:szCs w:val="24"/>
        </w:rPr>
        <w:t>5(h)</w:t>
      </w:r>
      <w:bookmarkEnd w:id="1602"/>
      <w:r w:rsidRPr="003B4362">
        <w:rPr>
          <w:rFonts w:eastAsia="Calibri"/>
          <w:szCs w:val="24"/>
        </w:rPr>
        <w:t xml:space="preserve"> until either the </w:t>
      </w:r>
      <w:r w:rsidR="00AE3FC9" w:rsidRPr="003B4362">
        <w:rPr>
          <w:rFonts w:eastAsia="Calibri"/>
          <w:szCs w:val="24"/>
        </w:rPr>
        <w:t>supplier</w:t>
      </w:r>
      <w:r w:rsidRPr="003B4362">
        <w:rPr>
          <w:rFonts w:eastAsia="Calibri"/>
          <w:szCs w:val="24"/>
        </w:rPr>
        <w:t xml:space="preserve"> meets its replacement goal, or tap sampling shows </w:t>
      </w:r>
      <w:bookmarkStart w:id="1603" w:name="_Hlk119945611"/>
      <w:r w:rsidRPr="003B4362">
        <w:rPr>
          <w:rFonts w:eastAsia="Calibri"/>
          <w:szCs w:val="24"/>
        </w:rPr>
        <w:t xml:space="preserve">the </w:t>
      </w:r>
      <w:bookmarkStart w:id="1604" w:name="_Hlk119945029"/>
      <w:r w:rsidRPr="003B4362">
        <w:rPr>
          <w:rFonts w:eastAsia="Calibri"/>
          <w:szCs w:val="24"/>
        </w:rPr>
        <w:t>90th percentile</w:t>
      </w:r>
      <w:r w:rsidR="00AE3FC9" w:rsidRPr="003B4362">
        <w:rPr>
          <w:rFonts w:eastAsia="Calibri"/>
          <w:szCs w:val="24"/>
        </w:rPr>
        <w:t xml:space="preserve"> </w:t>
      </w:r>
      <w:bookmarkEnd w:id="1604"/>
      <w:r w:rsidR="00AE3FC9" w:rsidRPr="003B4362">
        <w:rPr>
          <w:rFonts w:eastAsia="Calibri"/>
          <w:szCs w:val="24"/>
        </w:rPr>
        <w:t xml:space="preserve">concentration </w:t>
      </w:r>
      <w:r w:rsidR="008E2B4C" w:rsidRPr="003B4362">
        <w:rPr>
          <w:rFonts w:eastAsia="Calibri"/>
          <w:szCs w:val="24"/>
        </w:rPr>
        <w:t>does not exceed</w:t>
      </w:r>
      <w:r w:rsidRPr="003B4362">
        <w:rPr>
          <w:rFonts w:eastAsia="Calibri"/>
          <w:szCs w:val="24"/>
        </w:rPr>
        <w:t xml:space="preserve"> the </w:t>
      </w:r>
      <w:r w:rsidR="008E2B4C" w:rsidRPr="003B4362">
        <w:rPr>
          <w:rFonts w:eastAsia="Calibri"/>
          <w:szCs w:val="24"/>
        </w:rPr>
        <w:t xml:space="preserve">lead </w:t>
      </w:r>
      <w:r w:rsidRPr="003B4362">
        <w:rPr>
          <w:rFonts w:eastAsia="Calibri"/>
          <w:szCs w:val="24"/>
        </w:rPr>
        <w:t>trigger level</w:t>
      </w:r>
      <w:bookmarkEnd w:id="1603"/>
      <w:r w:rsidRPr="003B4362">
        <w:rPr>
          <w:rFonts w:eastAsia="Calibri"/>
          <w:szCs w:val="24"/>
        </w:rPr>
        <w:t xml:space="preserve"> </w:t>
      </w:r>
      <w:bookmarkStart w:id="1605" w:name="_Hlk119952825"/>
      <w:r w:rsidRPr="003B4362">
        <w:rPr>
          <w:rFonts w:eastAsia="Calibri"/>
          <w:szCs w:val="24"/>
        </w:rPr>
        <w:t xml:space="preserve">for two </w:t>
      </w:r>
      <w:bookmarkEnd w:id="1605"/>
      <w:r w:rsidR="00A96645" w:rsidRPr="003B4362">
        <w:rPr>
          <w:rFonts w:eastAsia="Calibri"/>
          <w:szCs w:val="24"/>
        </w:rPr>
        <w:t>continuous years of monitoring</w:t>
      </w:r>
      <w:r w:rsidRPr="003B4362">
        <w:rPr>
          <w:rFonts w:eastAsia="Calibri"/>
          <w:szCs w:val="24"/>
        </w:rPr>
        <w:t>.</w:t>
      </w:r>
    </w:p>
    <w:p w14:paraId="4A1F0514" w14:textId="0D3231E5"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R</w:t>
      </w:r>
      <w:bookmarkStart w:id="1606" w:name="_Hlk119953253"/>
      <w:r w:rsidRPr="003B4362">
        <w:rPr>
          <w:rFonts w:eastAsia="Calibri"/>
          <w:szCs w:val="24"/>
        </w:rPr>
        <w:t>e</w:t>
      </w:r>
      <w:r w:rsidR="00A96645" w:rsidRPr="003B4362">
        <w:rPr>
          <w:rFonts w:eastAsia="Calibri"/>
          <w:szCs w:val="24"/>
        </w:rPr>
        <w:t>sum</w:t>
      </w:r>
      <w:r w:rsidRPr="003B4362">
        <w:rPr>
          <w:rFonts w:eastAsia="Calibri"/>
          <w:szCs w:val="24"/>
        </w:rPr>
        <w:t>e</w:t>
      </w:r>
      <w:bookmarkStart w:id="1607" w:name="_Hlk119953274"/>
      <w:bookmarkEnd w:id="1606"/>
      <w:r w:rsidRPr="003B4362">
        <w:rPr>
          <w:rFonts w:eastAsia="Calibri"/>
          <w:szCs w:val="24"/>
        </w:rPr>
        <w:t xml:space="preserve"> its goal-based </w:t>
      </w:r>
      <w:r w:rsidR="009E456D" w:rsidRPr="003B4362">
        <w:rPr>
          <w:rFonts w:eastAsia="Calibri"/>
          <w:szCs w:val="24"/>
        </w:rPr>
        <w:t>l</w:t>
      </w:r>
      <w:r w:rsidRPr="003B4362">
        <w:rPr>
          <w:rFonts w:eastAsia="Calibri"/>
          <w:szCs w:val="24"/>
        </w:rPr>
        <w:t>ead service line replacement program</w:t>
      </w:r>
      <w:bookmarkEnd w:id="1607"/>
      <w:r w:rsidRPr="003B4362">
        <w:rPr>
          <w:rFonts w:eastAsia="Calibri"/>
          <w:szCs w:val="24"/>
        </w:rPr>
        <w:t xml:space="preserve"> </w:t>
      </w:r>
      <w:bookmarkStart w:id="1608" w:name="_Hlk119953514"/>
      <w:r w:rsidR="00A96645" w:rsidRPr="003B4362">
        <w:rPr>
          <w:rFonts w:eastAsia="Calibri"/>
          <w:szCs w:val="24"/>
        </w:rPr>
        <w:t>under</w:t>
      </w:r>
      <w:r w:rsidRPr="003B4362">
        <w:rPr>
          <w:rFonts w:eastAsia="Calibri"/>
          <w:szCs w:val="24"/>
        </w:rPr>
        <w:t xml:space="preserve"> this subsection (f)</w:t>
      </w:r>
      <w:bookmarkEnd w:id="1608"/>
      <w:r w:rsidRPr="003B4362">
        <w:rPr>
          <w:rFonts w:eastAsia="Calibri"/>
          <w:szCs w:val="24"/>
        </w:rPr>
        <w:t xml:space="preserve"> if </w:t>
      </w:r>
      <w:bookmarkStart w:id="1609" w:name="_Hlk119953960"/>
      <w:r w:rsidR="00D63086" w:rsidRPr="003B4362">
        <w:rPr>
          <w:rFonts w:eastAsia="Calibri"/>
          <w:szCs w:val="24"/>
        </w:rPr>
        <w:t>its</w:t>
      </w:r>
      <w:r w:rsidRPr="003B4362">
        <w:rPr>
          <w:rFonts w:eastAsia="Calibri"/>
          <w:szCs w:val="24"/>
        </w:rPr>
        <w:t xml:space="preserve"> 90th percentile lead </w:t>
      </w:r>
      <w:r w:rsidR="00D63086" w:rsidRPr="003B4362">
        <w:rPr>
          <w:rFonts w:eastAsia="Calibri"/>
          <w:szCs w:val="24"/>
        </w:rPr>
        <w:t>concentration</w:t>
      </w:r>
      <w:bookmarkEnd w:id="1609"/>
      <w:r w:rsidRPr="003B4362">
        <w:rPr>
          <w:rFonts w:eastAsia="Calibri"/>
          <w:szCs w:val="24"/>
        </w:rPr>
        <w:t xml:space="preserve"> anytime </w:t>
      </w:r>
      <w:r w:rsidR="00D63086" w:rsidRPr="003B4362">
        <w:rPr>
          <w:rFonts w:eastAsia="Calibri"/>
          <w:szCs w:val="24"/>
        </w:rPr>
        <w:t>later</w:t>
      </w:r>
      <w:r w:rsidRPr="003B4362">
        <w:rPr>
          <w:rFonts w:eastAsia="Calibri"/>
          <w:szCs w:val="24"/>
        </w:rPr>
        <w:t xml:space="preserve"> </w:t>
      </w:r>
      <w:bookmarkStart w:id="1610" w:name="_Hlk119954077"/>
      <w:r w:rsidRPr="003B4362">
        <w:rPr>
          <w:rFonts w:eastAsia="Calibri"/>
          <w:szCs w:val="24"/>
        </w:rPr>
        <w:t xml:space="preserve">exceeds the lead trigger level but </w:t>
      </w:r>
      <w:r w:rsidR="00D63086" w:rsidRPr="003B4362">
        <w:rPr>
          <w:rFonts w:eastAsia="Calibri"/>
          <w:szCs w:val="24"/>
        </w:rPr>
        <w:t>not</w:t>
      </w:r>
      <w:r w:rsidRPr="003B4362">
        <w:rPr>
          <w:rFonts w:eastAsia="Calibri"/>
          <w:szCs w:val="24"/>
        </w:rPr>
        <w:t xml:space="preserve"> the lead action level</w:t>
      </w:r>
      <w:bookmarkEnd w:id="1610"/>
      <w:r w:rsidRPr="003B4362">
        <w:rPr>
          <w:rFonts w:eastAsia="Calibri"/>
          <w:szCs w:val="24"/>
        </w:rPr>
        <w:t>.</w:t>
      </w:r>
    </w:p>
    <w:p w14:paraId="2312B7AB" w14:textId="2D7698BD"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6)</w:t>
      </w:r>
      <w:r w:rsidRPr="003B4362">
        <w:rPr>
          <w:rFonts w:eastAsia="Calibri"/>
          <w:szCs w:val="24"/>
        </w:rPr>
        <w:tab/>
        <w:t>T</w:t>
      </w:r>
      <w:bookmarkStart w:id="1611" w:name="_Hlk119956986"/>
      <w:r w:rsidRPr="003B4362">
        <w:rPr>
          <w:rFonts w:eastAsia="Calibri"/>
          <w:szCs w:val="24"/>
        </w:rPr>
        <w:t xml:space="preserve">he first year of </w:t>
      </w:r>
      <w:r w:rsidR="00CE52B6" w:rsidRPr="003B4362">
        <w:rPr>
          <w:rFonts w:eastAsia="Calibri"/>
          <w:szCs w:val="24"/>
        </w:rPr>
        <w:t xml:space="preserve">a supplier’s </w:t>
      </w:r>
      <w:r w:rsidR="009E456D" w:rsidRPr="003B4362">
        <w:rPr>
          <w:rFonts w:eastAsia="Calibri"/>
          <w:szCs w:val="24"/>
        </w:rPr>
        <w:t>l</w:t>
      </w:r>
      <w:r w:rsidRPr="003B4362">
        <w:rPr>
          <w:rFonts w:eastAsia="Calibri"/>
          <w:szCs w:val="24"/>
        </w:rPr>
        <w:t xml:space="preserve">ead service line replacement </w:t>
      </w:r>
      <w:r w:rsidR="00CE52B6" w:rsidRPr="003B4362">
        <w:rPr>
          <w:rFonts w:eastAsia="Calibri"/>
          <w:szCs w:val="24"/>
        </w:rPr>
        <w:t>program</w:t>
      </w:r>
      <w:r w:rsidRPr="003B4362">
        <w:rPr>
          <w:rFonts w:eastAsia="Calibri"/>
          <w:szCs w:val="24"/>
        </w:rPr>
        <w:t xml:space="preserve"> begin</w:t>
      </w:r>
      <w:r w:rsidR="00CE52B6" w:rsidRPr="003B4362">
        <w:rPr>
          <w:rFonts w:eastAsia="Calibri"/>
          <w:szCs w:val="24"/>
        </w:rPr>
        <w:t>s</w:t>
      </w:r>
      <w:bookmarkEnd w:id="1611"/>
      <w:r w:rsidRPr="003B4362">
        <w:rPr>
          <w:rFonts w:eastAsia="Calibri"/>
          <w:szCs w:val="24"/>
        </w:rPr>
        <w:t xml:space="preserve"> on </w:t>
      </w:r>
      <w:bookmarkStart w:id="1612" w:name="_Hlk119957062"/>
      <w:r w:rsidRPr="003B4362">
        <w:rPr>
          <w:rFonts w:eastAsia="Calibri"/>
          <w:szCs w:val="24"/>
        </w:rPr>
        <w:t xml:space="preserve">the first day </w:t>
      </w:r>
      <w:r w:rsidR="00CE52B6" w:rsidRPr="003B4362">
        <w:rPr>
          <w:rFonts w:eastAsia="Calibri"/>
          <w:szCs w:val="24"/>
        </w:rPr>
        <w:t>after</w:t>
      </w:r>
      <w:r w:rsidRPr="003B4362">
        <w:rPr>
          <w:rFonts w:eastAsia="Calibri"/>
          <w:szCs w:val="24"/>
        </w:rPr>
        <w:t xml:space="preserve"> the end of the tap sampling period </w:t>
      </w:r>
      <w:r w:rsidR="00CE52B6" w:rsidRPr="003B4362">
        <w:rPr>
          <w:rFonts w:eastAsia="Calibri"/>
          <w:szCs w:val="24"/>
        </w:rPr>
        <w:t>during</w:t>
      </w:r>
      <w:r w:rsidRPr="003B4362">
        <w:rPr>
          <w:rFonts w:eastAsia="Calibri"/>
          <w:szCs w:val="24"/>
        </w:rPr>
        <w:t xml:space="preserve"> which</w:t>
      </w:r>
      <w:bookmarkEnd w:id="1612"/>
      <w:r w:rsidRPr="003B4362">
        <w:rPr>
          <w:rFonts w:eastAsia="Calibri"/>
          <w:szCs w:val="24"/>
        </w:rPr>
        <w:t xml:space="preserve"> </w:t>
      </w:r>
      <w:bookmarkStart w:id="1613" w:name="_Hlk119957134"/>
      <w:r w:rsidRPr="003B4362">
        <w:rPr>
          <w:rFonts w:eastAsia="Calibri"/>
          <w:szCs w:val="24"/>
        </w:rPr>
        <w:t xml:space="preserve">the </w:t>
      </w:r>
      <w:r w:rsidR="00CE52B6" w:rsidRPr="003B4362">
        <w:rPr>
          <w:rFonts w:eastAsia="Calibri"/>
          <w:szCs w:val="24"/>
        </w:rPr>
        <w:t>supplier</w:t>
      </w:r>
      <w:r w:rsidR="00522EDF" w:rsidRPr="003B4362">
        <w:rPr>
          <w:rFonts w:eastAsia="Calibri"/>
          <w:szCs w:val="24"/>
        </w:rPr>
        <w:t xml:space="preserve"> </w:t>
      </w:r>
      <w:r w:rsidR="00CE52B6" w:rsidRPr="003B4362">
        <w:rPr>
          <w:rFonts w:eastAsia="Calibri"/>
          <w:szCs w:val="24"/>
        </w:rPr>
        <w:t xml:space="preserve">exceeded the </w:t>
      </w:r>
      <w:r w:rsidRPr="003B4362">
        <w:rPr>
          <w:rFonts w:eastAsia="Calibri"/>
          <w:szCs w:val="24"/>
        </w:rPr>
        <w:t>lead trigger level</w:t>
      </w:r>
      <w:bookmarkEnd w:id="1613"/>
      <w:r w:rsidRPr="003B4362">
        <w:rPr>
          <w:rFonts w:eastAsia="Calibri"/>
          <w:szCs w:val="24"/>
        </w:rPr>
        <w:t>.  I</w:t>
      </w:r>
      <w:bookmarkStart w:id="1614" w:name="_Hlk119957357"/>
      <w:r w:rsidRPr="003B4362">
        <w:rPr>
          <w:rFonts w:eastAsia="Calibri"/>
          <w:szCs w:val="24"/>
        </w:rPr>
        <w:t xml:space="preserve">f </w:t>
      </w:r>
      <w:r w:rsidR="00522EDF" w:rsidRPr="003B4362">
        <w:rPr>
          <w:rFonts w:eastAsia="Calibri"/>
          <w:szCs w:val="24"/>
        </w:rPr>
        <w:t>the supplier</w:t>
      </w:r>
      <w:r w:rsidR="00F75091" w:rsidRPr="003B4362">
        <w:rPr>
          <w:rFonts w:eastAsia="Calibri"/>
          <w:szCs w:val="24"/>
        </w:rPr>
        <w:t xml:space="preserve"> </w:t>
      </w:r>
      <w:r w:rsidRPr="003B4362">
        <w:rPr>
          <w:rFonts w:eastAsia="Calibri"/>
          <w:szCs w:val="24"/>
        </w:rPr>
        <w:t>sampl</w:t>
      </w:r>
      <w:r w:rsidR="00522EDF" w:rsidRPr="003B4362">
        <w:rPr>
          <w:rFonts w:eastAsia="Calibri"/>
          <w:szCs w:val="24"/>
        </w:rPr>
        <w:t>e</w:t>
      </w:r>
      <w:r w:rsidR="00F75091" w:rsidRPr="003B4362">
        <w:rPr>
          <w:rFonts w:eastAsia="Calibri"/>
          <w:szCs w:val="24"/>
        </w:rPr>
        <w:t>s</w:t>
      </w:r>
      <w:r w:rsidRPr="003B4362">
        <w:rPr>
          <w:rFonts w:eastAsia="Calibri"/>
          <w:szCs w:val="24"/>
        </w:rPr>
        <w:t xml:space="preserve"> annually or less frequently</w:t>
      </w:r>
      <w:bookmarkEnd w:id="1614"/>
      <w:r w:rsidRPr="003B4362">
        <w:rPr>
          <w:rFonts w:eastAsia="Calibri"/>
          <w:szCs w:val="24"/>
        </w:rPr>
        <w:t xml:space="preserve">, the end of the tap </w:t>
      </w:r>
      <w:r w:rsidR="00F75091" w:rsidRPr="003B4362">
        <w:rPr>
          <w:rFonts w:eastAsia="Calibri"/>
          <w:szCs w:val="24"/>
        </w:rPr>
        <w:t xml:space="preserve">monitoring </w:t>
      </w:r>
      <w:bookmarkStart w:id="1615" w:name="_Hlk128390558"/>
      <w:r w:rsidR="00F6437D" w:rsidRPr="003B4362">
        <w:rPr>
          <w:rFonts w:eastAsia="Calibri"/>
          <w:szCs w:val="24"/>
        </w:rPr>
        <w:t>cycle</w:t>
      </w:r>
      <w:bookmarkEnd w:id="1615"/>
      <w:r w:rsidRPr="003B4362">
        <w:rPr>
          <w:rFonts w:eastAsia="Calibri"/>
          <w:szCs w:val="24"/>
        </w:rPr>
        <w:t xml:space="preserve"> is September 30 of </w:t>
      </w:r>
      <w:bookmarkStart w:id="1616" w:name="_Hlk119957541"/>
      <w:r w:rsidRPr="003B4362">
        <w:rPr>
          <w:rFonts w:eastAsia="Calibri"/>
          <w:szCs w:val="24"/>
        </w:rPr>
        <w:t xml:space="preserve">the calendar year </w:t>
      </w:r>
      <w:r w:rsidR="00522EDF" w:rsidRPr="003B4362">
        <w:rPr>
          <w:rFonts w:eastAsia="Calibri"/>
          <w:szCs w:val="24"/>
        </w:rPr>
        <w:t>during</w:t>
      </w:r>
      <w:r w:rsidRPr="003B4362">
        <w:rPr>
          <w:rFonts w:eastAsia="Calibri"/>
          <w:szCs w:val="24"/>
        </w:rPr>
        <w:t xml:space="preserve"> which the sampling occurs</w:t>
      </w:r>
      <w:bookmarkEnd w:id="1616"/>
      <w:r w:rsidRPr="003B4362">
        <w:rPr>
          <w:rFonts w:eastAsia="Calibri"/>
          <w:szCs w:val="24"/>
        </w:rPr>
        <w:t>.  I</w:t>
      </w:r>
      <w:bookmarkStart w:id="1617" w:name="_Hlk119957602"/>
      <w:r w:rsidRPr="003B4362">
        <w:rPr>
          <w:rFonts w:eastAsia="Calibri"/>
          <w:szCs w:val="24"/>
        </w:rPr>
        <w:t xml:space="preserve">f the </w:t>
      </w:r>
      <w:r w:rsidR="00522EDF" w:rsidRPr="003B4362">
        <w:rPr>
          <w:rFonts w:eastAsia="Calibri"/>
          <w:szCs w:val="24"/>
        </w:rPr>
        <w:t>Agency</w:t>
      </w:r>
      <w:r w:rsidRPr="003B4362">
        <w:rPr>
          <w:rFonts w:eastAsia="Calibri"/>
          <w:szCs w:val="24"/>
        </w:rPr>
        <w:t xml:space="preserve"> </w:t>
      </w:r>
      <w:r w:rsidR="00522EDF" w:rsidRPr="003B4362">
        <w:rPr>
          <w:rFonts w:eastAsia="Calibri"/>
          <w:szCs w:val="24"/>
        </w:rPr>
        <w:t>issues a SEP</w:t>
      </w:r>
      <w:r w:rsidRPr="003B4362">
        <w:rPr>
          <w:rFonts w:eastAsia="Calibri"/>
          <w:szCs w:val="24"/>
        </w:rPr>
        <w:t xml:space="preserve"> establish</w:t>
      </w:r>
      <w:r w:rsidR="00522EDF" w:rsidRPr="003B4362">
        <w:rPr>
          <w:rFonts w:eastAsia="Calibri"/>
          <w:szCs w:val="24"/>
        </w:rPr>
        <w:t>ing</w:t>
      </w:r>
      <w:r w:rsidRPr="003B4362">
        <w:rPr>
          <w:rFonts w:eastAsia="Calibri"/>
          <w:szCs w:val="24"/>
        </w:rPr>
        <w:t xml:space="preserve"> an alternat</w:t>
      </w:r>
      <w:r w:rsidR="00BB25B1" w:rsidRPr="003B4362">
        <w:rPr>
          <w:rFonts w:eastAsia="Calibri"/>
          <w:szCs w:val="24"/>
        </w:rPr>
        <w:t>iv</w:t>
      </w:r>
      <w:r w:rsidRPr="003B4362">
        <w:rPr>
          <w:rFonts w:eastAsia="Calibri"/>
          <w:szCs w:val="24"/>
        </w:rPr>
        <w:t xml:space="preserve">e </w:t>
      </w:r>
      <w:r w:rsidR="00BB25B1" w:rsidRPr="003B4362">
        <w:rPr>
          <w:rFonts w:eastAsia="Calibri"/>
          <w:szCs w:val="24"/>
        </w:rPr>
        <w:t xml:space="preserve">tap </w:t>
      </w:r>
      <w:r w:rsidRPr="003B4362">
        <w:rPr>
          <w:rFonts w:eastAsia="Calibri"/>
          <w:szCs w:val="24"/>
        </w:rPr>
        <w:t xml:space="preserve">monitoring </w:t>
      </w:r>
      <w:bookmarkEnd w:id="1617"/>
      <w:r w:rsidR="00F6437D" w:rsidRPr="003B4362">
        <w:rPr>
          <w:rFonts w:eastAsia="Calibri"/>
          <w:szCs w:val="24"/>
        </w:rPr>
        <w:t>cycle</w:t>
      </w:r>
      <w:r w:rsidRPr="003B4362">
        <w:rPr>
          <w:rFonts w:eastAsia="Calibri"/>
          <w:szCs w:val="24"/>
        </w:rPr>
        <w:t>,</w:t>
      </w:r>
      <w:bookmarkStart w:id="1618" w:name="_Hlk119957842"/>
      <w:r w:rsidR="00BB25B1" w:rsidRPr="003B4362">
        <w:rPr>
          <w:rFonts w:eastAsia="Calibri"/>
          <w:szCs w:val="24"/>
        </w:rPr>
        <w:t xml:space="preserve"> </w:t>
      </w:r>
      <w:bookmarkStart w:id="1619" w:name="_Hlk119957972"/>
      <w:r w:rsidRPr="003B4362">
        <w:rPr>
          <w:rFonts w:eastAsia="Calibri"/>
          <w:szCs w:val="24"/>
        </w:rPr>
        <w:t xml:space="preserve">the end of the </w:t>
      </w:r>
      <w:r w:rsidR="00BB25B1" w:rsidRPr="003B4362">
        <w:rPr>
          <w:rFonts w:eastAsia="Calibri"/>
          <w:szCs w:val="24"/>
        </w:rPr>
        <w:t xml:space="preserve">supplier’s tap </w:t>
      </w:r>
      <w:r w:rsidRPr="003B4362">
        <w:rPr>
          <w:rFonts w:eastAsia="Calibri"/>
          <w:szCs w:val="24"/>
        </w:rPr>
        <w:t xml:space="preserve">monitoring </w:t>
      </w:r>
      <w:r w:rsidR="00F6437D" w:rsidRPr="003B4362">
        <w:rPr>
          <w:rFonts w:eastAsia="Calibri"/>
          <w:szCs w:val="24"/>
        </w:rPr>
        <w:t>cycle</w:t>
      </w:r>
      <w:r w:rsidRPr="003B4362">
        <w:rPr>
          <w:rFonts w:eastAsia="Calibri"/>
          <w:szCs w:val="24"/>
        </w:rPr>
        <w:t xml:space="preserve"> </w:t>
      </w:r>
      <w:r w:rsidR="00BB25B1" w:rsidRPr="003B4362">
        <w:rPr>
          <w:rFonts w:eastAsia="Calibri"/>
          <w:szCs w:val="24"/>
        </w:rPr>
        <w:t>is</w:t>
      </w:r>
      <w:r w:rsidRPr="003B4362">
        <w:rPr>
          <w:rFonts w:eastAsia="Calibri"/>
          <w:szCs w:val="24"/>
        </w:rPr>
        <w:t xml:space="preserve"> the last day of that </w:t>
      </w:r>
      <w:bookmarkEnd w:id="1618"/>
      <w:bookmarkEnd w:id="1619"/>
      <w:r w:rsidR="00F6437D" w:rsidRPr="003B4362">
        <w:rPr>
          <w:rFonts w:eastAsia="Calibri"/>
          <w:szCs w:val="24"/>
        </w:rPr>
        <w:t>cycle</w:t>
      </w:r>
      <w:r w:rsidRPr="003B4362">
        <w:rPr>
          <w:rFonts w:eastAsia="Calibri"/>
          <w:szCs w:val="24"/>
        </w:rPr>
        <w:t>.</w:t>
      </w:r>
    </w:p>
    <w:p w14:paraId="201CE813" w14:textId="4887A45C" w:rsidR="009557C7" w:rsidRPr="003B4362" w:rsidRDefault="009557C7" w:rsidP="009557C7">
      <w:pPr>
        <w:autoSpaceDE w:val="0"/>
        <w:autoSpaceDN w:val="0"/>
        <w:adjustRightInd w:val="0"/>
        <w:spacing w:before="240" w:after="240"/>
        <w:ind w:left="1440" w:hanging="720"/>
        <w:rPr>
          <w:rFonts w:eastAsia="Calibri"/>
          <w:szCs w:val="24"/>
        </w:rPr>
      </w:pPr>
      <w:r w:rsidRPr="003B4362">
        <w:rPr>
          <w:rFonts w:eastAsia="Calibri"/>
          <w:szCs w:val="24"/>
        </w:rPr>
        <w:t>g)</w:t>
      </w:r>
      <w:r w:rsidRPr="003B4362">
        <w:rPr>
          <w:rFonts w:eastAsia="Calibri"/>
          <w:szCs w:val="24"/>
        </w:rPr>
        <w:tab/>
      </w:r>
      <w:bookmarkStart w:id="1620" w:name="_Hlk119958258"/>
      <w:bookmarkStart w:id="1621" w:name="_Hlk119958053"/>
      <w:r w:rsidRPr="003B4362">
        <w:rPr>
          <w:rFonts w:eastAsia="Calibri"/>
          <w:szCs w:val="24"/>
        </w:rPr>
        <w:t xml:space="preserve">Mandatory </w:t>
      </w:r>
      <w:r w:rsidR="00BB25B1" w:rsidRPr="003B4362">
        <w:rPr>
          <w:rFonts w:eastAsia="Calibri"/>
          <w:szCs w:val="24"/>
        </w:rPr>
        <w:t>F</w:t>
      </w:r>
      <w:r w:rsidRPr="003B4362">
        <w:rPr>
          <w:rFonts w:eastAsia="Calibri"/>
          <w:szCs w:val="24"/>
        </w:rPr>
        <w:t xml:space="preserve">ull </w:t>
      </w:r>
      <w:r w:rsidR="00BB25B1" w:rsidRPr="003B4362">
        <w:rPr>
          <w:rFonts w:eastAsia="Calibri"/>
          <w:szCs w:val="24"/>
        </w:rPr>
        <w:t>L</w:t>
      </w:r>
      <w:r w:rsidRPr="003B4362">
        <w:rPr>
          <w:rFonts w:eastAsia="Calibri"/>
          <w:szCs w:val="24"/>
        </w:rPr>
        <w:t xml:space="preserve">ead </w:t>
      </w:r>
      <w:r w:rsidR="00BB25B1" w:rsidRPr="003B4362">
        <w:rPr>
          <w:rFonts w:eastAsia="Calibri"/>
          <w:szCs w:val="24"/>
        </w:rPr>
        <w:t>S</w:t>
      </w:r>
      <w:r w:rsidRPr="003B4362">
        <w:rPr>
          <w:rFonts w:eastAsia="Calibri"/>
          <w:szCs w:val="24"/>
        </w:rPr>
        <w:t xml:space="preserve">ervice </w:t>
      </w:r>
      <w:r w:rsidR="00BB25B1" w:rsidRPr="003B4362">
        <w:rPr>
          <w:rFonts w:eastAsia="Calibri"/>
          <w:szCs w:val="24"/>
        </w:rPr>
        <w:t>L</w:t>
      </w:r>
      <w:r w:rsidRPr="003B4362">
        <w:rPr>
          <w:rFonts w:eastAsia="Calibri"/>
          <w:szCs w:val="24"/>
        </w:rPr>
        <w:t xml:space="preserve">ine </w:t>
      </w:r>
      <w:r w:rsidR="00BB25B1" w:rsidRPr="003B4362">
        <w:rPr>
          <w:rFonts w:eastAsia="Calibri"/>
          <w:szCs w:val="24"/>
        </w:rPr>
        <w:t>R</w:t>
      </w:r>
      <w:r w:rsidRPr="003B4362">
        <w:rPr>
          <w:rFonts w:eastAsia="Calibri"/>
          <w:szCs w:val="24"/>
        </w:rPr>
        <w:t xml:space="preserve">eplacement for </w:t>
      </w:r>
      <w:r w:rsidR="00BB25B1" w:rsidRPr="003B4362">
        <w:rPr>
          <w:rFonts w:eastAsia="Calibri"/>
          <w:szCs w:val="24"/>
        </w:rPr>
        <w:t>Suppliers</w:t>
      </w:r>
      <w:r w:rsidRPr="003B4362">
        <w:rPr>
          <w:rFonts w:eastAsia="Calibri"/>
          <w:szCs w:val="24"/>
        </w:rPr>
        <w:t xml:space="preserve"> </w:t>
      </w:r>
      <w:r w:rsidR="00BB25B1" w:rsidRPr="003B4362">
        <w:rPr>
          <w:rFonts w:eastAsia="Calibri"/>
          <w:szCs w:val="24"/>
        </w:rPr>
        <w:t>W</w:t>
      </w:r>
      <w:r w:rsidRPr="003B4362">
        <w:rPr>
          <w:rFonts w:eastAsia="Calibri"/>
          <w:szCs w:val="24"/>
        </w:rPr>
        <w:t xml:space="preserve">hose 90th </w:t>
      </w:r>
      <w:r w:rsidR="00BB25B1" w:rsidRPr="003B4362">
        <w:rPr>
          <w:rFonts w:eastAsia="Calibri"/>
          <w:szCs w:val="24"/>
        </w:rPr>
        <w:t>P</w:t>
      </w:r>
      <w:r w:rsidRPr="003B4362">
        <w:rPr>
          <w:rFonts w:eastAsia="Calibri"/>
          <w:szCs w:val="24"/>
        </w:rPr>
        <w:t xml:space="preserve">ercentile </w:t>
      </w:r>
      <w:r w:rsidR="00BB25B1" w:rsidRPr="003B4362">
        <w:rPr>
          <w:rFonts w:eastAsia="Calibri"/>
          <w:szCs w:val="24"/>
        </w:rPr>
        <w:t>L</w:t>
      </w:r>
      <w:r w:rsidRPr="003B4362">
        <w:rPr>
          <w:rFonts w:eastAsia="Calibri"/>
          <w:szCs w:val="24"/>
        </w:rPr>
        <w:t xml:space="preserve">ead </w:t>
      </w:r>
      <w:r w:rsidR="00BB25B1" w:rsidRPr="003B4362">
        <w:rPr>
          <w:rFonts w:eastAsia="Calibri"/>
          <w:szCs w:val="24"/>
        </w:rPr>
        <w:t>Concentration</w:t>
      </w:r>
      <w:r w:rsidRPr="003B4362">
        <w:rPr>
          <w:rFonts w:eastAsia="Calibri"/>
          <w:szCs w:val="24"/>
        </w:rPr>
        <w:t xml:space="preserve"> </w:t>
      </w:r>
      <w:r w:rsidR="00BB25B1" w:rsidRPr="003B4362">
        <w:rPr>
          <w:rFonts w:eastAsia="Calibri"/>
          <w:szCs w:val="24"/>
        </w:rPr>
        <w:t>E</w:t>
      </w:r>
      <w:r w:rsidRPr="003B4362">
        <w:rPr>
          <w:rFonts w:eastAsia="Calibri"/>
          <w:szCs w:val="24"/>
        </w:rPr>
        <w:t xml:space="preserve">xceeds the </w:t>
      </w:r>
      <w:r w:rsidR="00BB25B1" w:rsidRPr="003B4362">
        <w:rPr>
          <w:rFonts w:eastAsia="Calibri"/>
          <w:szCs w:val="24"/>
        </w:rPr>
        <w:t>L</w:t>
      </w:r>
      <w:r w:rsidRPr="003B4362">
        <w:rPr>
          <w:rFonts w:eastAsia="Calibri"/>
          <w:szCs w:val="24"/>
        </w:rPr>
        <w:t xml:space="preserve">ead </w:t>
      </w:r>
      <w:r w:rsidR="00BB25B1" w:rsidRPr="003B4362">
        <w:rPr>
          <w:rFonts w:eastAsia="Calibri"/>
          <w:szCs w:val="24"/>
        </w:rPr>
        <w:t>A</w:t>
      </w:r>
      <w:r w:rsidRPr="003B4362">
        <w:rPr>
          <w:rFonts w:eastAsia="Calibri"/>
          <w:szCs w:val="24"/>
        </w:rPr>
        <w:t xml:space="preserve">ction </w:t>
      </w:r>
      <w:r w:rsidR="00BB25B1" w:rsidRPr="003B4362">
        <w:rPr>
          <w:rFonts w:eastAsia="Calibri"/>
          <w:szCs w:val="24"/>
        </w:rPr>
        <w:t>L</w:t>
      </w:r>
      <w:r w:rsidRPr="003B4362">
        <w:rPr>
          <w:rFonts w:eastAsia="Calibri"/>
          <w:szCs w:val="24"/>
        </w:rPr>
        <w:t>evel</w:t>
      </w:r>
      <w:bookmarkEnd w:id="1620"/>
      <w:r w:rsidRPr="003B4362">
        <w:rPr>
          <w:rFonts w:eastAsia="Calibri"/>
          <w:szCs w:val="24"/>
        </w:rPr>
        <w:t xml:space="preserve">.  </w:t>
      </w:r>
      <w:bookmarkStart w:id="1622" w:name="_Hlk119958381"/>
      <w:bookmarkEnd w:id="1621"/>
      <w:r w:rsidR="00FA6398" w:rsidRPr="003B4362">
        <w:rPr>
          <w:rFonts w:eastAsia="Calibri"/>
          <w:szCs w:val="24"/>
        </w:rPr>
        <w:t>A supplier</w:t>
      </w:r>
      <w:r w:rsidRPr="003B4362">
        <w:rPr>
          <w:rFonts w:eastAsia="Calibri"/>
          <w:szCs w:val="24"/>
        </w:rPr>
        <w:t xml:space="preserve"> serving </w:t>
      </w:r>
      <w:bookmarkStart w:id="1623" w:name="_Hlk119958498"/>
      <w:r w:rsidRPr="003B4362">
        <w:rPr>
          <w:rFonts w:eastAsia="Calibri"/>
          <w:szCs w:val="24"/>
        </w:rPr>
        <w:t xml:space="preserve">more than 10,000 persons </w:t>
      </w:r>
      <w:r w:rsidR="003F7F32" w:rsidRPr="003B4362">
        <w:rPr>
          <w:rFonts w:eastAsia="Calibri"/>
          <w:szCs w:val="24"/>
        </w:rPr>
        <w:t>that exceeds</w:t>
      </w:r>
      <w:r w:rsidRPr="003B4362">
        <w:rPr>
          <w:rFonts w:eastAsia="Calibri"/>
          <w:szCs w:val="24"/>
        </w:rPr>
        <w:t xml:space="preserve"> the lead action level</w:t>
      </w:r>
      <w:bookmarkEnd w:id="1622"/>
      <w:bookmarkEnd w:id="1623"/>
      <w:r w:rsidRPr="003B4362">
        <w:rPr>
          <w:rFonts w:eastAsia="Calibri"/>
          <w:szCs w:val="24"/>
        </w:rPr>
        <w:t xml:space="preserve"> </w:t>
      </w:r>
      <w:bookmarkStart w:id="1624" w:name="_Hlk119958577"/>
      <w:r w:rsidRPr="003B4362">
        <w:rPr>
          <w:rFonts w:eastAsia="Calibri"/>
          <w:szCs w:val="24"/>
        </w:rPr>
        <w:t>in tap sampl</w:t>
      </w:r>
      <w:r w:rsidR="00FA6398" w:rsidRPr="003B4362">
        <w:rPr>
          <w:rFonts w:eastAsia="Calibri"/>
          <w:szCs w:val="24"/>
        </w:rPr>
        <w:t>ing monitoring</w:t>
      </w:r>
      <w:r w:rsidRPr="003B4362">
        <w:rPr>
          <w:rFonts w:eastAsia="Calibri"/>
          <w:szCs w:val="24"/>
        </w:rPr>
        <w:t xml:space="preserve"> </w:t>
      </w:r>
      <w:r w:rsidR="00FA6398" w:rsidRPr="003B4362">
        <w:rPr>
          <w:rFonts w:eastAsia="Calibri"/>
          <w:szCs w:val="24"/>
        </w:rPr>
        <w:t>under</w:t>
      </w:r>
      <w:r w:rsidRPr="003B4362">
        <w:rPr>
          <w:rFonts w:eastAsia="Calibri"/>
          <w:szCs w:val="24"/>
        </w:rPr>
        <w:t xml:space="preserve"> Section </w:t>
      </w:r>
      <w:r w:rsidR="00FA6398" w:rsidRPr="003B4362">
        <w:rPr>
          <w:rFonts w:eastAsia="Calibri"/>
          <w:szCs w:val="24"/>
        </w:rPr>
        <w:t>61</w:t>
      </w:r>
      <w:r w:rsidRPr="003B4362">
        <w:rPr>
          <w:rFonts w:eastAsia="Calibri"/>
          <w:szCs w:val="24"/>
        </w:rPr>
        <w:t>1.</w:t>
      </w:r>
      <w:r w:rsidR="00FA6398" w:rsidRPr="003B4362">
        <w:rPr>
          <w:rFonts w:eastAsia="Calibri"/>
          <w:szCs w:val="24"/>
        </w:rPr>
        <w:t>35</w:t>
      </w:r>
      <w:r w:rsidRPr="003B4362">
        <w:rPr>
          <w:rFonts w:eastAsia="Calibri"/>
          <w:szCs w:val="24"/>
        </w:rPr>
        <w:t>6</w:t>
      </w:r>
      <w:bookmarkEnd w:id="1624"/>
      <w:r w:rsidRPr="003B4362">
        <w:rPr>
          <w:rFonts w:eastAsia="Calibri"/>
          <w:szCs w:val="24"/>
        </w:rPr>
        <w:t xml:space="preserve"> </w:t>
      </w:r>
      <w:bookmarkStart w:id="1625" w:name="_Hlk119958869"/>
      <w:bookmarkStart w:id="1626" w:name="_Hlk119959196"/>
      <w:r w:rsidRPr="003B4362">
        <w:rPr>
          <w:rFonts w:eastAsia="Calibri"/>
          <w:szCs w:val="24"/>
        </w:rPr>
        <w:t xml:space="preserve">must </w:t>
      </w:r>
      <w:r w:rsidR="00FA6398" w:rsidRPr="003B4362">
        <w:rPr>
          <w:rFonts w:eastAsia="Calibri"/>
          <w:szCs w:val="24"/>
        </w:rPr>
        <w:t>replace</w:t>
      </w:r>
      <w:r w:rsidRPr="003B4362">
        <w:rPr>
          <w:rFonts w:eastAsia="Calibri"/>
          <w:szCs w:val="24"/>
        </w:rPr>
        <w:t xml:space="preserve"> full </w:t>
      </w:r>
      <w:r w:rsidR="009E456D" w:rsidRPr="003B4362">
        <w:rPr>
          <w:rFonts w:eastAsia="Calibri"/>
          <w:szCs w:val="24"/>
        </w:rPr>
        <w:t>l</w:t>
      </w:r>
      <w:r w:rsidRPr="003B4362">
        <w:rPr>
          <w:rFonts w:eastAsia="Calibri"/>
          <w:szCs w:val="24"/>
        </w:rPr>
        <w:t>ead service line</w:t>
      </w:r>
      <w:r w:rsidR="00F650FC" w:rsidRPr="003B4362">
        <w:rPr>
          <w:rFonts w:eastAsia="Calibri"/>
          <w:szCs w:val="24"/>
        </w:rPr>
        <w:t>s</w:t>
      </w:r>
      <w:r w:rsidRPr="003B4362">
        <w:rPr>
          <w:rFonts w:eastAsia="Calibri"/>
          <w:szCs w:val="24"/>
        </w:rPr>
        <w:t xml:space="preserve"> </w:t>
      </w:r>
      <w:bookmarkEnd w:id="1625"/>
      <w:r w:rsidR="00F650FC" w:rsidRPr="003B4362">
        <w:rPr>
          <w:rFonts w:eastAsia="Calibri"/>
          <w:szCs w:val="24"/>
        </w:rPr>
        <w:t>on its distribution system</w:t>
      </w:r>
      <w:bookmarkEnd w:id="1626"/>
      <w:r w:rsidRPr="003B4362">
        <w:rPr>
          <w:rFonts w:eastAsia="Calibri"/>
          <w:szCs w:val="24"/>
        </w:rPr>
        <w:t xml:space="preserve"> </w:t>
      </w:r>
      <w:bookmarkStart w:id="1627" w:name="_Hlk119959649"/>
      <w:r w:rsidRPr="003B4362">
        <w:rPr>
          <w:rFonts w:eastAsia="Calibri"/>
          <w:szCs w:val="24"/>
        </w:rPr>
        <w:t>at a</w:t>
      </w:r>
      <w:r w:rsidR="00D27821" w:rsidRPr="003B4362">
        <w:rPr>
          <w:rFonts w:eastAsia="Calibri"/>
          <w:szCs w:val="24"/>
        </w:rPr>
        <w:t>n annual</w:t>
      </w:r>
      <w:r w:rsidRPr="003B4362">
        <w:rPr>
          <w:rFonts w:eastAsia="Calibri"/>
          <w:szCs w:val="24"/>
        </w:rPr>
        <w:t xml:space="preserve"> rate of at least three percent</w:t>
      </w:r>
      <w:r w:rsidR="00F650FC" w:rsidRPr="003B4362">
        <w:rPr>
          <w:rFonts w:eastAsia="Calibri"/>
          <w:szCs w:val="24"/>
        </w:rPr>
        <w:t xml:space="preserve"> </w:t>
      </w:r>
      <w:r w:rsidRPr="003B4362">
        <w:rPr>
          <w:rFonts w:eastAsia="Calibri"/>
          <w:szCs w:val="24"/>
        </w:rPr>
        <w:t xml:space="preserve">on a two-year rolling </w:t>
      </w:r>
      <w:r w:rsidR="00F650FC" w:rsidRPr="003B4362">
        <w:rPr>
          <w:rFonts w:eastAsia="Calibri"/>
          <w:szCs w:val="24"/>
        </w:rPr>
        <w:t xml:space="preserve">average </w:t>
      </w:r>
      <w:r w:rsidRPr="003B4362">
        <w:rPr>
          <w:rFonts w:eastAsia="Calibri"/>
          <w:szCs w:val="24"/>
        </w:rPr>
        <w:t>basis</w:t>
      </w:r>
      <w:bookmarkEnd w:id="1627"/>
      <w:r w:rsidRPr="003B4362">
        <w:rPr>
          <w:rFonts w:eastAsia="Calibri"/>
          <w:szCs w:val="24"/>
        </w:rPr>
        <w:t>.</w:t>
      </w:r>
    </w:p>
    <w:p w14:paraId="0FFFE949" w14:textId="264F664F"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T</w:t>
      </w:r>
      <w:bookmarkStart w:id="1628" w:name="_Hlk119960364"/>
      <w:bookmarkStart w:id="1629" w:name="_Hlk119960173"/>
      <w:r w:rsidRPr="003B4362">
        <w:rPr>
          <w:rFonts w:eastAsia="Calibri"/>
          <w:szCs w:val="24"/>
        </w:rPr>
        <w:t xml:space="preserve">he </w:t>
      </w:r>
      <w:r w:rsidR="008701CE" w:rsidRPr="003B4362">
        <w:rPr>
          <w:rFonts w:eastAsia="Calibri"/>
          <w:szCs w:val="24"/>
        </w:rPr>
        <w:t xml:space="preserve">supplier must calculate its </w:t>
      </w:r>
      <w:r w:rsidRPr="003B4362">
        <w:rPr>
          <w:rFonts w:eastAsia="Calibri"/>
          <w:szCs w:val="24"/>
        </w:rPr>
        <w:t xml:space="preserve">average annual number of full </w:t>
      </w:r>
      <w:r w:rsidR="00945DF3" w:rsidRPr="003B4362">
        <w:rPr>
          <w:rFonts w:eastAsia="Calibri"/>
          <w:szCs w:val="24"/>
        </w:rPr>
        <w:t>l</w:t>
      </w:r>
      <w:r w:rsidRPr="003B4362">
        <w:rPr>
          <w:rFonts w:eastAsia="Calibri"/>
          <w:szCs w:val="24"/>
        </w:rPr>
        <w:t>ead service line replacements</w:t>
      </w:r>
      <w:bookmarkEnd w:id="1628"/>
      <w:bookmarkEnd w:id="1629"/>
      <w:r w:rsidR="008701CE" w:rsidRPr="003B4362">
        <w:rPr>
          <w:rFonts w:eastAsia="Calibri"/>
          <w:szCs w:val="24"/>
        </w:rPr>
        <w:t xml:space="preserve"> </w:t>
      </w:r>
      <w:bookmarkStart w:id="1630" w:name="_Hlk119960955"/>
      <w:r w:rsidR="008701CE" w:rsidRPr="003B4362">
        <w:rPr>
          <w:rFonts w:eastAsia="Calibri"/>
          <w:szCs w:val="24"/>
        </w:rPr>
        <w:t>under</w:t>
      </w:r>
      <w:r w:rsidRPr="003B4362">
        <w:rPr>
          <w:rFonts w:eastAsia="Calibri"/>
          <w:szCs w:val="24"/>
        </w:rPr>
        <w:t xml:space="preserve"> subsection (a)(7)</w:t>
      </w:r>
      <w:bookmarkEnd w:id="1630"/>
      <w:r w:rsidRPr="003B4362">
        <w:rPr>
          <w:rFonts w:eastAsia="Calibri"/>
          <w:szCs w:val="24"/>
        </w:rPr>
        <w:t>.</w:t>
      </w:r>
    </w:p>
    <w:p w14:paraId="67A55AD3" w14:textId="65BCB565"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bookmarkStart w:id="1631" w:name="_Hlk119960653"/>
      <w:r w:rsidR="008701CE" w:rsidRPr="003B4362">
        <w:rPr>
          <w:rFonts w:eastAsia="Calibri"/>
          <w:szCs w:val="24"/>
        </w:rPr>
        <w:t xml:space="preserve">The supplier </w:t>
      </w:r>
      <w:bookmarkStart w:id="1632" w:name="_Hlk119960910"/>
      <w:r w:rsidR="008701CE" w:rsidRPr="003B4362">
        <w:rPr>
          <w:rFonts w:eastAsia="Calibri"/>
          <w:szCs w:val="24"/>
        </w:rPr>
        <w:t xml:space="preserve">must replace </w:t>
      </w:r>
      <w:r w:rsidR="00945DF3" w:rsidRPr="003B4362">
        <w:rPr>
          <w:rFonts w:eastAsia="Calibri"/>
          <w:szCs w:val="24"/>
        </w:rPr>
        <w:t>l</w:t>
      </w:r>
      <w:r w:rsidRPr="003B4362">
        <w:rPr>
          <w:rFonts w:eastAsia="Calibri"/>
          <w:szCs w:val="24"/>
        </w:rPr>
        <w:t>ead service line</w:t>
      </w:r>
      <w:r w:rsidR="008701CE" w:rsidRPr="003B4362">
        <w:rPr>
          <w:rFonts w:eastAsia="Calibri"/>
          <w:szCs w:val="24"/>
        </w:rPr>
        <w:t>s</w:t>
      </w:r>
      <w:bookmarkEnd w:id="1631"/>
      <w:bookmarkEnd w:id="1632"/>
      <w:r w:rsidR="008701CE" w:rsidRPr="003B4362">
        <w:rPr>
          <w:rFonts w:eastAsia="Calibri"/>
          <w:szCs w:val="24"/>
        </w:rPr>
        <w:t xml:space="preserve"> </w:t>
      </w:r>
      <w:bookmarkStart w:id="1633" w:name="_Hlk119961023"/>
      <w:r w:rsidR="00480A42" w:rsidRPr="003B4362">
        <w:rPr>
          <w:rFonts w:eastAsia="Calibri"/>
          <w:szCs w:val="24"/>
        </w:rPr>
        <w:t>under</w:t>
      </w:r>
      <w:r w:rsidRPr="003B4362">
        <w:rPr>
          <w:rFonts w:eastAsia="Calibri"/>
          <w:szCs w:val="24"/>
        </w:rPr>
        <w:t xml:space="preserve"> subsections </w:t>
      </w:r>
      <w:bookmarkStart w:id="1634" w:name="_Hlk119961003"/>
      <w:r w:rsidRPr="003B4362">
        <w:rPr>
          <w:rFonts w:eastAsia="Calibri"/>
          <w:szCs w:val="24"/>
        </w:rPr>
        <w:t>(d) and (e)</w:t>
      </w:r>
      <w:bookmarkEnd w:id="1633"/>
      <w:bookmarkEnd w:id="1634"/>
      <w:r w:rsidRPr="003B4362">
        <w:rPr>
          <w:rFonts w:eastAsia="Calibri"/>
          <w:szCs w:val="24"/>
        </w:rPr>
        <w:t>.</w:t>
      </w:r>
    </w:p>
    <w:p w14:paraId="4D9A5187" w14:textId="48498531"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lastRenderedPageBreak/>
        <w:t>3)</w:t>
      </w:r>
      <w:r w:rsidRPr="003B4362">
        <w:rPr>
          <w:rFonts w:eastAsia="Calibri"/>
          <w:szCs w:val="24"/>
        </w:rPr>
        <w:tab/>
        <w:t>O</w:t>
      </w:r>
      <w:bookmarkStart w:id="1635" w:name="_Hlk119961123"/>
      <w:bookmarkStart w:id="1636" w:name="_Hlk119961194"/>
      <w:r w:rsidRPr="003B4362">
        <w:rPr>
          <w:rFonts w:eastAsia="Calibri"/>
          <w:szCs w:val="24"/>
        </w:rPr>
        <w:t xml:space="preserve">nly </w:t>
      </w:r>
      <w:r w:rsidR="00480A42" w:rsidRPr="003B4362">
        <w:rPr>
          <w:rFonts w:eastAsia="Calibri"/>
          <w:szCs w:val="24"/>
        </w:rPr>
        <w:t xml:space="preserve">a </w:t>
      </w:r>
      <w:r w:rsidRPr="003B4362">
        <w:rPr>
          <w:rFonts w:eastAsia="Calibri"/>
          <w:szCs w:val="24"/>
        </w:rPr>
        <w:t xml:space="preserve">full </w:t>
      </w:r>
      <w:r w:rsidR="00945DF3" w:rsidRPr="003B4362">
        <w:rPr>
          <w:rFonts w:eastAsia="Calibri"/>
          <w:szCs w:val="24"/>
        </w:rPr>
        <w:t>l</w:t>
      </w:r>
      <w:r w:rsidRPr="003B4362">
        <w:rPr>
          <w:rFonts w:eastAsia="Calibri"/>
          <w:szCs w:val="24"/>
        </w:rPr>
        <w:t>ead service line replacement count</w:t>
      </w:r>
      <w:bookmarkEnd w:id="1635"/>
      <w:r w:rsidR="00480A42" w:rsidRPr="003B4362">
        <w:rPr>
          <w:rFonts w:eastAsia="Calibri"/>
          <w:szCs w:val="24"/>
        </w:rPr>
        <w:t>s</w:t>
      </w:r>
      <w:bookmarkEnd w:id="1636"/>
      <w:r w:rsidRPr="003B4362">
        <w:rPr>
          <w:rFonts w:eastAsia="Calibri"/>
          <w:szCs w:val="24"/>
        </w:rPr>
        <w:t xml:space="preserve"> towards </w:t>
      </w:r>
      <w:bookmarkStart w:id="1637" w:name="_Hlk119961258"/>
      <w:r w:rsidRPr="003B4362">
        <w:rPr>
          <w:rFonts w:eastAsia="Calibri"/>
          <w:szCs w:val="24"/>
        </w:rPr>
        <w:t xml:space="preserve">a </w:t>
      </w:r>
      <w:r w:rsidR="00480A42" w:rsidRPr="003B4362">
        <w:rPr>
          <w:rFonts w:eastAsia="Calibri"/>
          <w:szCs w:val="24"/>
        </w:rPr>
        <w:t>supplier</w:t>
      </w:r>
      <w:r w:rsidRPr="003B4362">
        <w:rPr>
          <w:rFonts w:eastAsia="Calibri"/>
          <w:szCs w:val="24"/>
        </w:rPr>
        <w:t xml:space="preserve">’s mandatory </w:t>
      </w:r>
      <w:r w:rsidR="00480A42" w:rsidRPr="003B4362">
        <w:rPr>
          <w:rFonts w:eastAsia="Calibri"/>
          <w:szCs w:val="24"/>
        </w:rPr>
        <w:t xml:space="preserve">annual </w:t>
      </w:r>
      <w:r w:rsidRPr="003B4362">
        <w:rPr>
          <w:rFonts w:eastAsia="Calibri"/>
          <w:szCs w:val="24"/>
        </w:rPr>
        <w:t>replacement rate of at least three percent</w:t>
      </w:r>
      <w:bookmarkEnd w:id="1637"/>
      <w:r w:rsidRPr="003B4362">
        <w:rPr>
          <w:rFonts w:eastAsia="Calibri"/>
          <w:szCs w:val="24"/>
        </w:rPr>
        <w:t xml:space="preserve">.  </w:t>
      </w:r>
      <w:r w:rsidR="00F26F4A" w:rsidRPr="003B4362">
        <w:rPr>
          <w:rFonts w:eastAsia="Calibri"/>
          <w:szCs w:val="24"/>
        </w:rPr>
        <w:t>A</w:t>
      </w:r>
      <w:bookmarkStart w:id="1638" w:name="_Hlk119961549"/>
      <w:r w:rsidR="00F26F4A" w:rsidRPr="003B4362">
        <w:rPr>
          <w:rFonts w:eastAsia="Calibri"/>
          <w:szCs w:val="24"/>
        </w:rPr>
        <w:t xml:space="preserve"> p</w:t>
      </w:r>
      <w:r w:rsidRPr="003B4362">
        <w:rPr>
          <w:rFonts w:eastAsia="Calibri"/>
          <w:szCs w:val="24"/>
        </w:rPr>
        <w:t xml:space="preserve">artial </w:t>
      </w:r>
      <w:r w:rsidR="00945DF3" w:rsidRPr="003B4362">
        <w:rPr>
          <w:rFonts w:eastAsia="Calibri"/>
          <w:szCs w:val="24"/>
        </w:rPr>
        <w:t>l</w:t>
      </w:r>
      <w:r w:rsidRPr="003B4362">
        <w:rPr>
          <w:rFonts w:eastAsia="Calibri"/>
          <w:szCs w:val="24"/>
        </w:rPr>
        <w:t>ead service line replacement do</w:t>
      </w:r>
      <w:r w:rsidR="00F26F4A" w:rsidRPr="003B4362">
        <w:rPr>
          <w:rFonts w:eastAsia="Calibri"/>
          <w:szCs w:val="24"/>
        </w:rPr>
        <w:t>es</w:t>
      </w:r>
      <w:r w:rsidRPr="003B4362">
        <w:rPr>
          <w:rFonts w:eastAsia="Calibri"/>
          <w:szCs w:val="24"/>
        </w:rPr>
        <w:t xml:space="preserve"> not count</w:t>
      </w:r>
      <w:bookmarkEnd w:id="1638"/>
      <w:r w:rsidRPr="003B4362">
        <w:rPr>
          <w:rFonts w:eastAsia="Calibri"/>
          <w:szCs w:val="24"/>
        </w:rPr>
        <w:t xml:space="preserve"> towards </w:t>
      </w:r>
      <w:bookmarkStart w:id="1639" w:name="_Hlk119961593"/>
      <w:r w:rsidRPr="003B4362">
        <w:rPr>
          <w:rFonts w:eastAsia="Calibri"/>
          <w:szCs w:val="24"/>
        </w:rPr>
        <w:t xml:space="preserve">the </w:t>
      </w:r>
      <w:r w:rsidR="00F26F4A" w:rsidRPr="003B4362">
        <w:rPr>
          <w:rFonts w:eastAsia="Calibri"/>
          <w:szCs w:val="24"/>
        </w:rPr>
        <w:t xml:space="preserve">supplier’s </w:t>
      </w:r>
      <w:r w:rsidRPr="003B4362">
        <w:rPr>
          <w:rFonts w:eastAsia="Calibri"/>
          <w:szCs w:val="24"/>
        </w:rPr>
        <w:t>mandatory replacement rate</w:t>
      </w:r>
      <w:bookmarkEnd w:id="1639"/>
      <w:r w:rsidRPr="003B4362">
        <w:rPr>
          <w:rFonts w:eastAsia="Calibri"/>
          <w:szCs w:val="24"/>
        </w:rPr>
        <w:t>.</w:t>
      </w:r>
    </w:p>
    <w:p w14:paraId="34369211" w14:textId="0569CAB8"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r>
      <w:r w:rsidR="00F26F4A" w:rsidRPr="003B4362">
        <w:rPr>
          <w:rFonts w:eastAsia="Calibri"/>
          <w:szCs w:val="24"/>
        </w:rPr>
        <w:t>A</w:t>
      </w:r>
      <w:bookmarkStart w:id="1640" w:name="_Hlk119961679"/>
      <w:bookmarkStart w:id="1641" w:name="_Hlk119961982"/>
      <w:r w:rsidR="00F26F4A" w:rsidRPr="003B4362">
        <w:rPr>
          <w:rFonts w:eastAsia="Calibri"/>
          <w:szCs w:val="24"/>
        </w:rPr>
        <w:t xml:space="preserve"> supplier</w:t>
      </w:r>
      <w:bookmarkStart w:id="1642" w:name="_Hlk119961747"/>
      <w:bookmarkEnd w:id="1640"/>
      <w:r w:rsidRPr="003B4362">
        <w:rPr>
          <w:rFonts w:eastAsia="Calibri"/>
          <w:szCs w:val="24"/>
        </w:rPr>
        <w:t xml:space="preserve"> must </w:t>
      </w:r>
      <w:r w:rsidR="00F26F4A" w:rsidRPr="003B4362">
        <w:rPr>
          <w:rFonts w:eastAsia="Calibri"/>
          <w:szCs w:val="24"/>
        </w:rPr>
        <w:t>inform its</w:t>
      </w:r>
      <w:r w:rsidRPr="003B4362">
        <w:rPr>
          <w:rFonts w:eastAsia="Calibri"/>
          <w:szCs w:val="24"/>
        </w:rPr>
        <w:t xml:space="preserve"> customers</w:t>
      </w:r>
      <w:bookmarkEnd w:id="1641"/>
      <w:bookmarkEnd w:id="1642"/>
      <w:r w:rsidRPr="003B4362">
        <w:rPr>
          <w:rFonts w:eastAsia="Calibri"/>
          <w:szCs w:val="24"/>
        </w:rPr>
        <w:t xml:space="preserve"> </w:t>
      </w:r>
      <w:bookmarkStart w:id="1643" w:name="_Hlk119962061"/>
      <w:r w:rsidR="00F26F4A" w:rsidRPr="003B4362">
        <w:rPr>
          <w:rFonts w:eastAsia="Calibri"/>
          <w:szCs w:val="24"/>
        </w:rPr>
        <w:t>having</w:t>
      </w:r>
      <w:r w:rsidRPr="003B4362">
        <w:rPr>
          <w:rFonts w:eastAsia="Calibri"/>
          <w:szCs w:val="24"/>
        </w:rPr>
        <w:t xml:space="preserve"> </w:t>
      </w:r>
      <w:r w:rsidR="00F26F4A" w:rsidRPr="003B4362">
        <w:rPr>
          <w:rFonts w:eastAsia="Calibri"/>
          <w:szCs w:val="24"/>
        </w:rPr>
        <w:t xml:space="preserve">a </w:t>
      </w:r>
      <w:r w:rsidR="00945DF3" w:rsidRPr="003B4362">
        <w:rPr>
          <w:rFonts w:eastAsia="Calibri"/>
          <w:szCs w:val="24"/>
        </w:rPr>
        <w:t>l</w:t>
      </w:r>
      <w:r w:rsidRPr="003B4362">
        <w:rPr>
          <w:rFonts w:eastAsia="Calibri"/>
          <w:szCs w:val="24"/>
        </w:rPr>
        <w:t xml:space="preserve">ead, </w:t>
      </w:r>
      <w:r w:rsidR="00945DF3" w:rsidRPr="003B4362">
        <w:rPr>
          <w:rFonts w:eastAsia="Calibri"/>
          <w:szCs w:val="24"/>
        </w:rPr>
        <w:t>galvanized requiring replacement, or lead status un</w:t>
      </w:r>
      <w:r w:rsidRPr="003B4362">
        <w:rPr>
          <w:rFonts w:eastAsia="Calibri"/>
          <w:szCs w:val="24"/>
        </w:rPr>
        <w:t>known service line</w:t>
      </w:r>
      <w:bookmarkEnd w:id="1643"/>
      <w:r w:rsidRPr="003B4362">
        <w:rPr>
          <w:rFonts w:eastAsia="Calibri"/>
          <w:szCs w:val="24"/>
        </w:rPr>
        <w:t xml:space="preserve"> </w:t>
      </w:r>
      <w:bookmarkStart w:id="1644" w:name="_Hlk119962113"/>
      <w:r w:rsidR="00F26F4A" w:rsidRPr="003B4362">
        <w:rPr>
          <w:rFonts w:eastAsia="Calibri"/>
          <w:szCs w:val="24"/>
        </w:rPr>
        <w:t>as</w:t>
      </w:r>
      <w:r w:rsidRPr="003B4362">
        <w:rPr>
          <w:rFonts w:eastAsia="Calibri"/>
          <w:szCs w:val="24"/>
        </w:rPr>
        <w:t xml:space="preserve"> Section </w:t>
      </w:r>
      <w:r w:rsidR="00F26F4A" w:rsidRPr="003B4362">
        <w:rPr>
          <w:rFonts w:eastAsia="Calibri"/>
          <w:szCs w:val="24"/>
        </w:rPr>
        <w:t>61</w:t>
      </w:r>
      <w:r w:rsidRPr="003B4362">
        <w:rPr>
          <w:rFonts w:eastAsia="Calibri"/>
          <w:szCs w:val="24"/>
        </w:rPr>
        <w:t>1.</w:t>
      </w:r>
      <w:r w:rsidR="00F26F4A" w:rsidRPr="003B4362">
        <w:rPr>
          <w:rFonts w:eastAsia="Calibri"/>
          <w:szCs w:val="24"/>
        </w:rPr>
        <w:t>35</w:t>
      </w:r>
      <w:r w:rsidRPr="003B4362">
        <w:rPr>
          <w:rFonts w:eastAsia="Calibri"/>
          <w:szCs w:val="24"/>
        </w:rPr>
        <w:t>5(g)</w:t>
      </w:r>
      <w:r w:rsidR="00F26F4A" w:rsidRPr="003B4362">
        <w:rPr>
          <w:rFonts w:eastAsia="Calibri"/>
          <w:szCs w:val="24"/>
        </w:rPr>
        <w:t xml:space="preserve"> requires</w:t>
      </w:r>
      <w:bookmarkEnd w:id="1644"/>
      <w:r w:rsidRPr="003B4362">
        <w:rPr>
          <w:rFonts w:eastAsia="Calibri"/>
          <w:szCs w:val="24"/>
        </w:rPr>
        <w:t>.</w:t>
      </w:r>
    </w:p>
    <w:p w14:paraId="2C8E70D7" w14:textId="5CD3C967"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r>
      <w:r w:rsidR="00631863" w:rsidRPr="003B4362">
        <w:rPr>
          <w:rFonts w:eastAsia="Calibri"/>
          <w:szCs w:val="24"/>
        </w:rPr>
        <w:t>A</w:t>
      </w:r>
      <w:bookmarkStart w:id="1645" w:name="_Hlk120003182"/>
      <w:r w:rsidR="00631863" w:rsidRPr="003B4362">
        <w:rPr>
          <w:rFonts w:eastAsia="Calibri"/>
          <w:szCs w:val="24"/>
        </w:rPr>
        <w:t xml:space="preserve"> CWS supplier</w:t>
      </w:r>
      <w:bookmarkEnd w:id="1645"/>
      <w:r w:rsidRPr="003B4362">
        <w:rPr>
          <w:rFonts w:eastAsia="Calibri"/>
          <w:szCs w:val="24"/>
        </w:rPr>
        <w:t xml:space="preserve"> serving 10,000 or fewer persons </w:t>
      </w:r>
      <w:r w:rsidR="00631863" w:rsidRPr="003B4362">
        <w:rPr>
          <w:rFonts w:eastAsia="Calibri"/>
          <w:szCs w:val="24"/>
        </w:rPr>
        <w:t>or</w:t>
      </w:r>
      <w:r w:rsidRPr="003B4362">
        <w:rPr>
          <w:rFonts w:eastAsia="Calibri"/>
          <w:szCs w:val="24"/>
        </w:rPr>
        <w:t xml:space="preserve"> </w:t>
      </w:r>
      <w:bookmarkStart w:id="1646" w:name="_Hlk120003590"/>
      <w:r w:rsidR="00631863" w:rsidRPr="003B4362">
        <w:rPr>
          <w:rFonts w:eastAsia="Calibri"/>
          <w:szCs w:val="24"/>
        </w:rPr>
        <w:t>a NTNCWS supplier</w:t>
      </w:r>
      <w:bookmarkEnd w:id="1646"/>
      <w:r w:rsidRPr="003B4362">
        <w:rPr>
          <w:rFonts w:eastAsia="Calibri"/>
          <w:szCs w:val="24"/>
        </w:rPr>
        <w:t xml:space="preserve"> for which </w:t>
      </w:r>
      <w:bookmarkStart w:id="1647" w:name="_Hlk120003692"/>
      <w:r w:rsidRPr="003B4362">
        <w:rPr>
          <w:rFonts w:eastAsia="Calibri"/>
          <w:szCs w:val="24"/>
        </w:rPr>
        <w:t xml:space="preserve">the </w:t>
      </w:r>
      <w:r w:rsidR="00631863" w:rsidRPr="003B4362">
        <w:rPr>
          <w:rFonts w:eastAsia="Calibri"/>
          <w:szCs w:val="24"/>
        </w:rPr>
        <w:t>Agency</w:t>
      </w:r>
      <w:r w:rsidRPr="003B4362">
        <w:rPr>
          <w:rFonts w:eastAsia="Calibri"/>
          <w:szCs w:val="24"/>
        </w:rPr>
        <w:t xml:space="preserve"> </w:t>
      </w:r>
      <w:r w:rsidR="00DF70C3" w:rsidRPr="003B4362">
        <w:rPr>
          <w:rFonts w:eastAsia="Calibri"/>
          <w:szCs w:val="24"/>
        </w:rPr>
        <w:t>issues a SEP</w:t>
      </w:r>
      <w:r w:rsidRPr="003B4362">
        <w:rPr>
          <w:rFonts w:eastAsia="Calibri"/>
          <w:szCs w:val="24"/>
        </w:rPr>
        <w:t xml:space="preserve"> approv</w:t>
      </w:r>
      <w:r w:rsidR="00DF70C3" w:rsidRPr="003B4362">
        <w:rPr>
          <w:rFonts w:eastAsia="Calibri"/>
          <w:szCs w:val="24"/>
        </w:rPr>
        <w:t>ing</w:t>
      </w:r>
      <w:r w:rsidRPr="003B4362">
        <w:rPr>
          <w:rFonts w:eastAsia="Calibri"/>
          <w:szCs w:val="24"/>
        </w:rPr>
        <w:t xml:space="preserve"> or designat</w:t>
      </w:r>
      <w:r w:rsidR="00DF70C3" w:rsidRPr="003B4362">
        <w:rPr>
          <w:rFonts w:eastAsia="Calibri"/>
          <w:szCs w:val="24"/>
        </w:rPr>
        <w:t>ing</w:t>
      </w:r>
      <w:r w:rsidRPr="003B4362">
        <w:rPr>
          <w:rFonts w:eastAsia="Calibri"/>
          <w:szCs w:val="24"/>
        </w:rPr>
        <w:t xml:space="preserve"> </w:t>
      </w:r>
      <w:bookmarkStart w:id="1648" w:name="_Hlk120006228"/>
      <w:r w:rsidR="000C1C66" w:rsidRPr="003B4362">
        <w:rPr>
          <w:rFonts w:eastAsia="Calibri"/>
          <w:szCs w:val="24"/>
        </w:rPr>
        <w:t xml:space="preserve">replacing </w:t>
      </w:r>
      <w:r w:rsidR="00945DF3" w:rsidRPr="003B4362">
        <w:rPr>
          <w:rFonts w:eastAsia="Calibri"/>
          <w:szCs w:val="24"/>
        </w:rPr>
        <w:t>l</w:t>
      </w:r>
      <w:r w:rsidRPr="003B4362">
        <w:rPr>
          <w:rFonts w:eastAsia="Calibri"/>
          <w:szCs w:val="24"/>
        </w:rPr>
        <w:t>ead service line</w:t>
      </w:r>
      <w:r w:rsidR="000C1C66" w:rsidRPr="003B4362">
        <w:rPr>
          <w:rFonts w:eastAsia="Calibri"/>
          <w:szCs w:val="24"/>
        </w:rPr>
        <w:t>s</w:t>
      </w:r>
      <w:bookmarkEnd w:id="1648"/>
      <w:r w:rsidR="000C1C66" w:rsidRPr="003B4362">
        <w:rPr>
          <w:rFonts w:eastAsia="Calibri"/>
          <w:szCs w:val="24"/>
        </w:rPr>
        <w:t xml:space="preserve"> </w:t>
      </w:r>
      <w:r w:rsidRPr="003B4362">
        <w:rPr>
          <w:rFonts w:eastAsia="Calibri"/>
          <w:szCs w:val="24"/>
        </w:rPr>
        <w:t>as a compliance option</w:t>
      </w:r>
      <w:bookmarkEnd w:id="1647"/>
      <w:r w:rsidRPr="003B4362">
        <w:rPr>
          <w:rFonts w:eastAsia="Calibri"/>
          <w:szCs w:val="24"/>
        </w:rPr>
        <w:t xml:space="preserve"> </w:t>
      </w:r>
      <w:bookmarkStart w:id="1649" w:name="_Hlk120006812"/>
      <w:bookmarkStart w:id="1650" w:name="_Hlk120007002"/>
      <w:r w:rsidRPr="003B4362">
        <w:rPr>
          <w:rFonts w:eastAsia="Calibri"/>
          <w:szCs w:val="24"/>
        </w:rPr>
        <w:t xml:space="preserve">must </w:t>
      </w:r>
      <w:r w:rsidR="000C140A" w:rsidRPr="003B4362">
        <w:rPr>
          <w:rFonts w:eastAsia="Calibri"/>
          <w:szCs w:val="24"/>
        </w:rPr>
        <w:t>replace</w:t>
      </w:r>
      <w:r w:rsidRPr="003B4362">
        <w:rPr>
          <w:rFonts w:eastAsia="Calibri"/>
          <w:szCs w:val="24"/>
        </w:rPr>
        <w:t xml:space="preserve"> </w:t>
      </w:r>
      <w:r w:rsidR="00945DF3" w:rsidRPr="003B4362">
        <w:rPr>
          <w:rFonts w:eastAsia="Calibri"/>
          <w:szCs w:val="24"/>
        </w:rPr>
        <w:t>l</w:t>
      </w:r>
      <w:r w:rsidRPr="003B4362">
        <w:rPr>
          <w:rFonts w:eastAsia="Calibri"/>
          <w:szCs w:val="24"/>
        </w:rPr>
        <w:t>ead service line</w:t>
      </w:r>
      <w:r w:rsidR="000C140A" w:rsidRPr="003B4362">
        <w:rPr>
          <w:rFonts w:eastAsia="Calibri"/>
          <w:szCs w:val="24"/>
        </w:rPr>
        <w:t xml:space="preserve">s </w:t>
      </w:r>
      <w:r w:rsidRPr="003B4362">
        <w:rPr>
          <w:rFonts w:eastAsia="Calibri"/>
          <w:szCs w:val="24"/>
        </w:rPr>
        <w:t>as</w:t>
      </w:r>
      <w:r w:rsidR="000C140A" w:rsidRPr="003B4362">
        <w:rPr>
          <w:rFonts w:eastAsia="Calibri"/>
          <w:szCs w:val="24"/>
        </w:rPr>
        <w:t xml:space="preserve"> </w:t>
      </w:r>
      <w:r w:rsidRPr="003B4362">
        <w:rPr>
          <w:rFonts w:eastAsia="Calibri"/>
          <w:szCs w:val="24"/>
        </w:rPr>
        <w:t xml:space="preserve">Section </w:t>
      </w:r>
      <w:r w:rsidR="000C140A" w:rsidRPr="003B4362">
        <w:rPr>
          <w:rFonts w:eastAsia="Calibri"/>
          <w:szCs w:val="24"/>
        </w:rPr>
        <w:t>61</w:t>
      </w:r>
      <w:r w:rsidRPr="003B4362">
        <w:rPr>
          <w:rFonts w:eastAsia="Calibri"/>
          <w:szCs w:val="24"/>
        </w:rPr>
        <w:t>1.</w:t>
      </w:r>
      <w:r w:rsidR="000C140A" w:rsidRPr="003B4362">
        <w:rPr>
          <w:rFonts w:eastAsia="Calibri"/>
          <w:szCs w:val="24"/>
        </w:rPr>
        <w:t>36</w:t>
      </w:r>
      <w:r w:rsidRPr="003B4362">
        <w:rPr>
          <w:rFonts w:eastAsia="Calibri"/>
          <w:szCs w:val="24"/>
        </w:rPr>
        <w:t>3(a)(1)</w:t>
      </w:r>
      <w:bookmarkEnd w:id="1649"/>
      <w:r w:rsidR="000C140A" w:rsidRPr="003B4362">
        <w:rPr>
          <w:rFonts w:eastAsia="Calibri"/>
          <w:szCs w:val="24"/>
        </w:rPr>
        <w:t xml:space="preserve"> describes</w:t>
      </w:r>
      <w:bookmarkEnd w:id="1650"/>
      <w:r w:rsidRPr="003B4362">
        <w:rPr>
          <w:rFonts w:eastAsia="Calibri"/>
          <w:szCs w:val="24"/>
        </w:rPr>
        <w:t xml:space="preserve">.  </w:t>
      </w:r>
      <w:bookmarkStart w:id="1651" w:name="_Hlk120007048"/>
      <w:r w:rsidR="000C140A" w:rsidRPr="003B4362">
        <w:rPr>
          <w:rFonts w:eastAsia="Calibri"/>
          <w:szCs w:val="24"/>
        </w:rPr>
        <w:t>T</w:t>
      </w:r>
      <w:bookmarkStart w:id="1652" w:name="_Hlk120050117"/>
      <w:r w:rsidR="000C140A" w:rsidRPr="003B4362">
        <w:rPr>
          <w:rFonts w:eastAsia="Calibri"/>
          <w:szCs w:val="24"/>
        </w:rPr>
        <w:t>he supplier must replace</w:t>
      </w:r>
      <w:r w:rsidRPr="003B4362">
        <w:rPr>
          <w:rFonts w:eastAsia="Calibri"/>
          <w:szCs w:val="24"/>
        </w:rPr>
        <w:t xml:space="preserve"> </w:t>
      </w:r>
      <w:r w:rsidR="00945DF3" w:rsidRPr="003B4362">
        <w:rPr>
          <w:rFonts w:eastAsia="Calibri"/>
          <w:szCs w:val="24"/>
        </w:rPr>
        <w:t>l</w:t>
      </w:r>
      <w:r w:rsidRPr="003B4362">
        <w:rPr>
          <w:rFonts w:eastAsia="Calibri"/>
          <w:szCs w:val="24"/>
        </w:rPr>
        <w:t>ead service lines</w:t>
      </w:r>
      <w:bookmarkEnd w:id="1652"/>
      <w:r w:rsidR="000C140A" w:rsidRPr="003B4362">
        <w:rPr>
          <w:rFonts w:eastAsia="Calibri"/>
          <w:szCs w:val="24"/>
        </w:rPr>
        <w:t xml:space="preserve"> </w:t>
      </w:r>
      <w:bookmarkStart w:id="1653" w:name="_Hlk120007820"/>
      <w:r w:rsidR="00C5388D" w:rsidRPr="003B4362">
        <w:rPr>
          <w:rFonts w:eastAsia="Calibri"/>
          <w:szCs w:val="24"/>
        </w:rPr>
        <w:t>complying with</w:t>
      </w:r>
      <w:r w:rsidRPr="003B4362">
        <w:rPr>
          <w:rFonts w:eastAsia="Calibri"/>
          <w:szCs w:val="24"/>
        </w:rPr>
        <w:t xml:space="preserve"> subsections (d) and (e)</w:t>
      </w:r>
      <w:bookmarkEnd w:id="1651"/>
      <w:bookmarkEnd w:id="1653"/>
      <w:r w:rsidRPr="003B4362">
        <w:rPr>
          <w:rFonts w:eastAsia="Calibri"/>
          <w:szCs w:val="24"/>
        </w:rPr>
        <w:t>.</w:t>
      </w:r>
    </w:p>
    <w:p w14:paraId="6F8BB9B3" w14:textId="63176CD3"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6)</w:t>
      </w:r>
      <w:r w:rsidRPr="003B4362">
        <w:rPr>
          <w:rFonts w:eastAsia="Calibri"/>
          <w:szCs w:val="24"/>
        </w:rPr>
        <w:tab/>
        <w:t>A</w:t>
      </w:r>
      <w:bookmarkStart w:id="1654" w:name="_Hlk120012904"/>
      <w:r w:rsidRPr="003B4362">
        <w:rPr>
          <w:rFonts w:eastAsia="Calibri"/>
          <w:szCs w:val="24"/>
        </w:rPr>
        <w:t xml:space="preserve"> </w:t>
      </w:r>
      <w:r w:rsidR="00F70B20" w:rsidRPr="003B4362">
        <w:rPr>
          <w:rFonts w:eastAsia="Calibri"/>
          <w:szCs w:val="24"/>
        </w:rPr>
        <w:t>supplier</w:t>
      </w:r>
      <w:r w:rsidRPr="003B4362">
        <w:rPr>
          <w:rFonts w:eastAsia="Calibri"/>
          <w:szCs w:val="24"/>
        </w:rPr>
        <w:t xml:space="preserve"> may </w:t>
      </w:r>
      <w:r w:rsidR="00F70B20" w:rsidRPr="003B4362">
        <w:rPr>
          <w:rFonts w:eastAsia="Calibri"/>
          <w:szCs w:val="24"/>
        </w:rPr>
        <w:t>stop</w:t>
      </w:r>
      <w:r w:rsidRPr="003B4362">
        <w:rPr>
          <w:rFonts w:eastAsia="Calibri"/>
          <w:szCs w:val="24"/>
        </w:rPr>
        <w:t xml:space="preserve"> </w:t>
      </w:r>
      <w:r w:rsidR="00F70B20" w:rsidRPr="003B4362">
        <w:rPr>
          <w:rFonts w:eastAsia="Calibri"/>
          <w:szCs w:val="24"/>
        </w:rPr>
        <w:t xml:space="preserve">replacing </w:t>
      </w:r>
      <w:r w:rsidR="00655876" w:rsidRPr="003B4362">
        <w:rPr>
          <w:rFonts w:eastAsia="Calibri"/>
          <w:szCs w:val="24"/>
        </w:rPr>
        <w:t>l</w:t>
      </w:r>
      <w:r w:rsidRPr="003B4362">
        <w:rPr>
          <w:rFonts w:eastAsia="Calibri"/>
          <w:szCs w:val="24"/>
        </w:rPr>
        <w:t>ead service line</w:t>
      </w:r>
      <w:r w:rsidR="00F70B20" w:rsidRPr="003B4362">
        <w:rPr>
          <w:rFonts w:eastAsia="Calibri"/>
          <w:szCs w:val="24"/>
        </w:rPr>
        <w:t>s</w:t>
      </w:r>
      <w:bookmarkStart w:id="1655" w:name="_Hlk120013069"/>
      <w:bookmarkEnd w:id="1654"/>
      <w:r w:rsidR="00082F13" w:rsidRPr="003B4362">
        <w:rPr>
          <w:rFonts w:eastAsia="Calibri"/>
          <w:szCs w:val="24"/>
        </w:rPr>
        <w:t xml:space="preserve"> </w:t>
      </w:r>
      <w:bookmarkStart w:id="1656" w:name="_Hlk120014243"/>
      <w:r w:rsidR="00BF7AD8" w:rsidRPr="003B4362">
        <w:rPr>
          <w:rFonts w:eastAsia="Calibri"/>
          <w:szCs w:val="24"/>
        </w:rPr>
        <w:t xml:space="preserve">after </w:t>
      </w:r>
      <w:r w:rsidR="00082F13" w:rsidRPr="003B4362">
        <w:rPr>
          <w:rFonts w:eastAsia="Calibri"/>
          <w:szCs w:val="24"/>
        </w:rPr>
        <w:t>cumulatively replacin</w:t>
      </w:r>
      <w:r w:rsidR="00BF7AD8" w:rsidRPr="003B4362">
        <w:rPr>
          <w:rFonts w:eastAsia="Calibri"/>
          <w:szCs w:val="24"/>
        </w:rPr>
        <w:t>g</w:t>
      </w:r>
      <w:r w:rsidR="00082F13" w:rsidRPr="003B4362">
        <w:rPr>
          <w:rFonts w:eastAsia="Calibri"/>
          <w:szCs w:val="24"/>
        </w:rPr>
        <w:t xml:space="preserve"> the required number</w:t>
      </w:r>
      <w:bookmarkEnd w:id="1656"/>
      <w:r w:rsidR="00082F13" w:rsidRPr="003B4362">
        <w:rPr>
          <w:rFonts w:eastAsia="Calibri"/>
          <w:szCs w:val="24"/>
        </w:rPr>
        <w:t xml:space="preserve">.  </w:t>
      </w:r>
      <w:r w:rsidR="007B3387" w:rsidRPr="003B4362">
        <w:rPr>
          <w:rFonts w:eastAsia="Calibri"/>
          <w:szCs w:val="24"/>
        </w:rPr>
        <w:t>U</w:t>
      </w:r>
      <w:bookmarkStart w:id="1657" w:name="_Hlk120016811"/>
      <w:r w:rsidR="007B3387" w:rsidRPr="003B4362">
        <w:rPr>
          <w:rFonts w:eastAsia="Calibri"/>
          <w:szCs w:val="24"/>
        </w:rPr>
        <w:t>nless the Agency issue</w:t>
      </w:r>
      <w:r w:rsidR="00BF7723" w:rsidRPr="003B4362">
        <w:rPr>
          <w:rFonts w:eastAsia="Calibri"/>
          <w:szCs w:val="24"/>
        </w:rPr>
        <w:t>s</w:t>
      </w:r>
      <w:r w:rsidR="007B3387" w:rsidRPr="003B4362">
        <w:rPr>
          <w:rFonts w:eastAsia="Calibri"/>
          <w:szCs w:val="24"/>
        </w:rPr>
        <w:t xml:space="preserve"> a SEP under subsection (g)(9) requiring another percentage</w:t>
      </w:r>
      <w:bookmarkEnd w:id="1657"/>
      <w:r w:rsidR="007B3387" w:rsidRPr="003B4362">
        <w:rPr>
          <w:rFonts w:eastAsia="Calibri"/>
          <w:szCs w:val="24"/>
        </w:rPr>
        <w:t xml:space="preserve">, </w:t>
      </w:r>
      <w:bookmarkStart w:id="1658" w:name="_Hlk120017337"/>
      <w:r w:rsidR="007B3387" w:rsidRPr="003B4362">
        <w:rPr>
          <w:rFonts w:eastAsia="Calibri"/>
          <w:szCs w:val="24"/>
        </w:rPr>
        <w:t>t</w:t>
      </w:r>
      <w:r w:rsidR="00082F13" w:rsidRPr="003B4362">
        <w:rPr>
          <w:rFonts w:eastAsia="Calibri"/>
          <w:szCs w:val="24"/>
        </w:rPr>
        <w:t>he required number is</w:t>
      </w:r>
      <w:r w:rsidRPr="003B4362">
        <w:rPr>
          <w:rFonts w:eastAsia="Calibri"/>
          <w:szCs w:val="24"/>
        </w:rPr>
        <w:t xml:space="preserve"> </w:t>
      </w:r>
      <w:r w:rsidR="007B3387" w:rsidRPr="003B4362">
        <w:rPr>
          <w:rFonts w:eastAsia="Calibri"/>
          <w:szCs w:val="24"/>
        </w:rPr>
        <w:t xml:space="preserve">at least </w:t>
      </w:r>
      <w:r w:rsidR="00BF7AD8" w:rsidRPr="003B4362">
        <w:rPr>
          <w:rFonts w:eastAsia="Calibri"/>
          <w:szCs w:val="24"/>
        </w:rPr>
        <w:t>three percent</w:t>
      </w:r>
      <w:bookmarkEnd w:id="1658"/>
      <w:r w:rsidR="00BF7AD8" w:rsidRPr="003B4362">
        <w:rPr>
          <w:rFonts w:eastAsia="Calibri"/>
          <w:szCs w:val="24"/>
        </w:rPr>
        <w:t xml:space="preserve"> </w:t>
      </w:r>
      <w:bookmarkStart w:id="1659" w:name="_Hlk120013408"/>
      <w:bookmarkEnd w:id="1655"/>
      <w:r w:rsidRPr="003B4362">
        <w:rPr>
          <w:rFonts w:eastAsia="Calibri"/>
          <w:szCs w:val="24"/>
        </w:rPr>
        <w:t xml:space="preserve">of the service lines </w:t>
      </w:r>
      <w:bookmarkStart w:id="1660" w:name="_Hlk120017494"/>
      <w:r w:rsidRPr="003B4362">
        <w:rPr>
          <w:rFonts w:eastAsia="Calibri"/>
          <w:szCs w:val="24"/>
        </w:rPr>
        <w:t xml:space="preserve">subsection (a)(7) </w:t>
      </w:r>
      <w:r w:rsidR="007B3387" w:rsidRPr="003B4362">
        <w:rPr>
          <w:rFonts w:eastAsia="Calibri"/>
          <w:szCs w:val="24"/>
        </w:rPr>
        <w:t>determines</w:t>
      </w:r>
      <w:bookmarkEnd w:id="1660"/>
      <w:r w:rsidRPr="003B4362">
        <w:rPr>
          <w:rFonts w:eastAsia="Calibri"/>
          <w:szCs w:val="24"/>
        </w:rPr>
        <w:t xml:space="preserve"> </w:t>
      </w:r>
      <w:bookmarkStart w:id="1661" w:name="_Hlk120017596"/>
      <w:r w:rsidR="00F13631" w:rsidRPr="003B4362">
        <w:rPr>
          <w:rFonts w:eastAsia="Calibri"/>
          <w:szCs w:val="24"/>
        </w:rPr>
        <w:t>times</w:t>
      </w:r>
      <w:r w:rsidRPr="003B4362">
        <w:rPr>
          <w:rFonts w:eastAsia="Calibri"/>
          <w:szCs w:val="24"/>
        </w:rPr>
        <w:t xml:space="preserve"> </w:t>
      </w:r>
      <w:bookmarkStart w:id="1662" w:name="_Hlk120019917"/>
      <w:r w:rsidRPr="003B4362">
        <w:rPr>
          <w:rFonts w:eastAsia="Calibri"/>
          <w:szCs w:val="24"/>
        </w:rPr>
        <w:t xml:space="preserve">the number of years </w:t>
      </w:r>
      <w:r w:rsidR="006C5C30" w:rsidRPr="003B4362">
        <w:rPr>
          <w:rFonts w:eastAsia="Calibri"/>
          <w:szCs w:val="24"/>
        </w:rPr>
        <w:t>between</w:t>
      </w:r>
      <w:r w:rsidRPr="003B4362">
        <w:rPr>
          <w:rFonts w:eastAsia="Calibri"/>
          <w:szCs w:val="24"/>
        </w:rPr>
        <w:t xml:space="preserve"> when the </w:t>
      </w:r>
      <w:r w:rsidR="006C5C30" w:rsidRPr="003B4362">
        <w:rPr>
          <w:rFonts w:eastAsia="Calibri"/>
          <w:szCs w:val="24"/>
        </w:rPr>
        <w:t>supplier</w:t>
      </w:r>
      <w:r w:rsidRPr="003B4362">
        <w:rPr>
          <w:rFonts w:eastAsia="Calibri"/>
          <w:szCs w:val="24"/>
        </w:rPr>
        <w:t xml:space="preserve"> most recently began mandator</w:t>
      </w:r>
      <w:r w:rsidR="006C5C30" w:rsidRPr="003B4362">
        <w:rPr>
          <w:rFonts w:eastAsia="Calibri"/>
          <w:szCs w:val="24"/>
        </w:rPr>
        <w:t>il</w:t>
      </w:r>
      <w:r w:rsidRPr="003B4362">
        <w:rPr>
          <w:rFonts w:eastAsia="Calibri"/>
          <w:szCs w:val="24"/>
        </w:rPr>
        <w:t xml:space="preserve">y </w:t>
      </w:r>
      <w:r w:rsidR="006C5C30" w:rsidRPr="003B4362">
        <w:rPr>
          <w:rFonts w:eastAsia="Calibri"/>
          <w:szCs w:val="24"/>
        </w:rPr>
        <w:t xml:space="preserve">replacing </w:t>
      </w:r>
      <w:r w:rsidR="00945DF3" w:rsidRPr="003B4362">
        <w:rPr>
          <w:rFonts w:eastAsia="Calibri"/>
          <w:szCs w:val="24"/>
        </w:rPr>
        <w:t>l</w:t>
      </w:r>
      <w:r w:rsidRPr="003B4362">
        <w:rPr>
          <w:rFonts w:eastAsia="Calibri"/>
          <w:szCs w:val="24"/>
        </w:rPr>
        <w:t>ead service line</w:t>
      </w:r>
      <w:r w:rsidR="006C5C30" w:rsidRPr="003B4362">
        <w:rPr>
          <w:rFonts w:eastAsia="Calibri"/>
          <w:szCs w:val="24"/>
        </w:rPr>
        <w:t>s</w:t>
      </w:r>
      <w:bookmarkEnd w:id="1662"/>
      <w:r w:rsidR="006C5C30" w:rsidRPr="003B4362">
        <w:rPr>
          <w:rFonts w:eastAsia="Calibri"/>
          <w:szCs w:val="24"/>
        </w:rPr>
        <w:t xml:space="preserve"> </w:t>
      </w:r>
      <w:bookmarkStart w:id="1663" w:name="_Hlk120020137"/>
      <w:r w:rsidRPr="003B4362">
        <w:rPr>
          <w:rFonts w:eastAsia="Calibri"/>
          <w:szCs w:val="24"/>
        </w:rPr>
        <w:t xml:space="preserve">and </w:t>
      </w:r>
      <w:r w:rsidR="006C5C30" w:rsidRPr="003B4362">
        <w:rPr>
          <w:rFonts w:eastAsia="Calibri"/>
          <w:szCs w:val="24"/>
        </w:rPr>
        <w:t>when</w:t>
      </w:r>
      <w:r w:rsidRPr="003B4362">
        <w:rPr>
          <w:rFonts w:eastAsia="Calibri"/>
          <w:szCs w:val="24"/>
        </w:rPr>
        <w:t xml:space="preserve"> the </w:t>
      </w:r>
      <w:r w:rsidR="00FC31F9" w:rsidRPr="003B4362">
        <w:rPr>
          <w:rFonts w:eastAsia="Calibri"/>
          <w:szCs w:val="24"/>
        </w:rPr>
        <w:t>supplier calculates its</w:t>
      </w:r>
      <w:r w:rsidRPr="003B4362">
        <w:rPr>
          <w:rFonts w:eastAsia="Calibri"/>
          <w:szCs w:val="24"/>
        </w:rPr>
        <w:t xml:space="preserve"> </w:t>
      </w:r>
      <w:r w:rsidR="005969B9" w:rsidRPr="003B4362">
        <w:rPr>
          <w:rFonts w:eastAsia="Calibri"/>
          <w:szCs w:val="24"/>
        </w:rPr>
        <w:t xml:space="preserve">lead </w:t>
      </w:r>
      <w:r w:rsidRPr="003B4362">
        <w:rPr>
          <w:rFonts w:eastAsia="Calibri"/>
          <w:szCs w:val="24"/>
        </w:rPr>
        <w:t xml:space="preserve">90th percentile </w:t>
      </w:r>
      <w:r w:rsidR="005969B9" w:rsidRPr="003B4362">
        <w:rPr>
          <w:rFonts w:eastAsia="Calibri"/>
          <w:szCs w:val="24"/>
        </w:rPr>
        <w:t>concentration</w:t>
      </w:r>
      <w:bookmarkStart w:id="1664" w:name="_Hlk120019993"/>
      <w:bookmarkEnd w:id="1659"/>
      <w:bookmarkEnd w:id="1661"/>
      <w:r w:rsidR="005969B9" w:rsidRPr="003B4362">
        <w:rPr>
          <w:rFonts w:eastAsia="Calibri"/>
          <w:szCs w:val="24"/>
        </w:rPr>
        <w:t xml:space="preserve"> under</w:t>
      </w:r>
      <w:r w:rsidRPr="003B4362">
        <w:rPr>
          <w:rFonts w:eastAsia="Calibri"/>
          <w:szCs w:val="24"/>
        </w:rPr>
        <w:t xml:space="preserve"> Section </w:t>
      </w:r>
      <w:r w:rsidR="005969B9" w:rsidRPr="003B4362">
        <w:rPr>
          <w:rFonts w:eastAsia="Calibri"/>
          <w:szCs w:val="24"/>
        </w:rPr>
        <w:t>61</w:t>
      </w:r>
      <w:r w:rsidRPr="003B4362">
        <w:rPr>
          <w:rFonts w:eastAsia="Calibri"/>
          <w:szCs w:val="24"/>
        </w:rPr>
        <w:t>1.</w:t>
      </w:r>
      <w:r w:rsidR="005969B9" w:rsidRPr="003B4362">
        <w:rPr>
          <w:rFonts w:eastAsia="Calibri"/>
          <w:szCs w:val="24"/>
        </w:rPr>
        <w:t>36</w:t>
      </w:r>
      <w:r w:rsidRPr="003B4362">
        <w:rPr>
          <w:rFonts w:eastAsia="Calibri"/>
          <w:szCs w:val="24"/>
        </w:rPr>
        <w:t>0(c)(4)</w:t>
      </w:r>
      <w:r w:rsidR="005969B9" w:rsidRPr="003B4362">
        <w:rPr>
          <w:rFonts w:eastAsia="Calibri"/>
          <w:szCs w:val="24"/>
        </w:rPr>
        <w:t xml:space="preserve"> </w:t>
      </w:r>
      <w:r w:rsidRPr="003B4362">
        <w:rPr>
          <w:rFonts w:eastAsia="Calibri"/>
          <w:szCs w:val="24"/>
        </w:rPr>
        <w:t>to be at or below the lead action level</w:t>
      </w:r>
      <w:bookmarkEnd w:id="1663"/>
      <w:bookmarkEnd w:id="1664"/>
      <w:r w:rsidRPr="003B4362">
        <w:rPr>
          <w:rFonts w:eastAsia="Calibri"/>
          <w:szCs w:val="24"/>
        </w:rPr>
        <w:t xml:space="preserve"> during each of four consecutive six-month tap monitoring </w:t>
      </w:r>
      <w:r w:rsidR="00F6437D" w:rsidRPr="003B4362">
        <w:rPr>
          <w:rFonts w:eastAsia="Calibri"/>
          <w:szCs w:val="24"/>
        </w:rPr>
        <w:t>cycle</w:t>
      </w:r>
      <w:r w:rsidRPr="003B4362">
        <w:rPr>
          <w:rFonts w:eastAsia="Calibri"/>
          <w:szCs w:val="24"/>
        </w:rPr>
        <w:t>s.  I</w:t>
      </w:r>
      <w:bookmarkStart w:id="1665" w:name="_Hlk120020770"/>
      <w:r w:rsidRPr="003B4362">
        <w:rPr>
          <w:rFonts w:eastAsia="Calibri"/>
          <w:szCs w:val="24"/>
        </w:rPr>
        <w:t xml:space="preserve">f </w:t>
      </w:r>
      <w:r w:rsidR="00785DAE" w:rsidRPr="003B4362">
        <w:rPr>
          <w:rFonts w:eastAsia="Calibri"/>
          <w:szCs w:val="24"/>
        </w:rPr>
        <w:t>the supplier later</w:t>
      </w:r>
      <w:r w:rsidRPr="003B4362">
        <w:rPr>
          <w:rFonts w:eastAsia="Calibri"/>
          <w:szCs w:val="24"/>
        </w:rPr>
        <w:t xml:space="preserve"> exceed</w:t>
      </w:r>
      <w:r w:rsidR="00785DAE" w:rsidRPr="003B4362">
        <w:rPr>
          <w:rFonts w:eastAsia="Calibri"/>
          <w:szCs w:val="24"/>
        </w:rPr>
        <w:t>s</w:t>
      </w:r>
      <w:r w:rsidRPr="003B4362">
        <w:rPr>
          <w:rFonts w:eastAsia="Calibri"/>
          <w:szCs w:val="24"/>
        </w:rPr>
        <w:t xml:space="preserve"> the lead action level</w:t>
      </w:r>
      <w:bookmarkEnd w:id="1665"/>
      <w:r w:rsidRPr="003B4362">
        <w:rPr>
          <w:rFonts w:eastAsia="Calibri"/>
          <w:szCs w:val="24"/>
        </w:rPr>
        <w:t>,</w:t>
      </w:r>
      <w:bookmarkStart w:id="1666" w:name="_Hlk120021526"/>
      <w:r w:rsidRPr="003B4362">
        <w:rPr>
          <w:rFonts w:eastAsia="Calibri"/>
          <w:szCs w:val="24"/>
        </w:rPr>
        <w:t xml:space="preserve"> </w:t>
      </w:r>
      <w:bookmarkStart w:id="1667" w:name="_Hlk120021930"/>
      <w:r w:rsidR="00F73FFE" w:rsidRPr="003B4362">
        <w:rPr>
          <w:rFonts w:eastAsia="Calibri"/>
          <w:szCs w:val="24"/>
        </w:rPr>
        <w:t>it</w:t>
      </w:r>
      <w:r w:rsidRPr="003B4362">
        <w:rPr>
          <w:rFonts w:eastAsia="Calibri"/>
          <w:szCs w:val="24"/>
        </w:rPr>
        <w:t xml:space="preserve"> </w:t>
      </w:r>
      <w:r w:rsidR="00F73FFE" w:rsidRPr="003B4362">
        <w:rPr>
          <w:rFonts w:eastAsia="Calibri"/>
          <w:szCs w:val="24"/>
        </w:rPr>
        <w:t>must</w:t>
      </w:r>
      <w:r w:rsidRPr="003B4362">
        <w:rPr>
          <w:rFonts w:eastAsia="Calibri"/>
          <w:szCs w:val="24"/>
        </w:rPr>
        <w:t xml:space="preserve"> </w:t>
      </w:r>
      <w:r w:rsidR="00F73FFE" w:rsidRPr="003B4362">
        <w:rPr>
          <w:rFonts w:eastAsia="Calibri"/>
          <w:szCs w:val="24"/>
        </w:rPr>
        <w:t>restart</w:t>
      </w:r>
      <w:r w:rsidRPr="003B4362">
        <w:rPr>
          <w:rFonts w:eastAsia="Calibri"/>
          <w:szCs w:val="24"/>
        </w:rPr>
        <w:t xml:space="preserve"> mandator</w:t>
      </w:r>
      <w:r w:rsidR="00F73FFE" w:rsidRPr="003B4362">
        <w:rPr>
          <w:rFonts w:eastAsia="Calibri"/>
          <w:szCs w:val="24"/>
        </w:rPr>
        <w:t>il</w:t>
      </w:r>
      <w:r w:rsidRPr="003B4362">
        <w:rPr>
          <w:rFonts w:eastAsia="Calibri"/>
          <w:szCs w:val="24"/>
        </w:rPr>
        <w:t xml:space="preserve">y </w:t>
      </w:r>
      <w:r w:rsidR="00927FE2" w:rsidRPr="003B4362">
        <w:rPr>
          <w:rFonts w:eastAsia="Calibri"/>
          <w:szCs w:val="24"/>
        </w:rPr>
        <w:t xml:space="preserve">replacing </w:t>
      </w:r>
      <w:r w:rsidR="005D6932" w:rsidRPr="003B4362">
        <w:rPr>
          <w:rFonts w:eastAsia="Calibri"/>
          <w:szCs w:val="24"/>
        </w:rPr>
        <w:t>l</w:t>
      </w:r>
      <w:r w:rsidRPr="003B4362">
        <w:rPr>
          <w:rFonts w:eastAsia="Calibri"/>
          <w:szCs w:val="24"/>
        </w:rPr>
        <w:t>ead service line</w:t>
      </w:r>
      <w:r w:rsidR="00927FE2" w:rsidRPr="003B4362">
        <w:rPr>
          <w:rFonts w:eastAsia="Calibri"/>
          <w:szCs w:val="24"/>
        </w:rPr>
        <w:t>s</w:t>
      </w:r>
      <w:bookmarkEnd w:id="1666"/>
      <w:bookmarkEnd w:id="1667"/>
      <w:r w:rsidR="00927FE2" w:rsidRPr="003B4362">
        <w:rPr>
          <w:rFonts w:eastAsia="Calibri"/>
          <w:szCs w:val="24"/>
        </w:rPr>
        <w:t xml:space="preserve"> </w:t>
      </w:r>
      <w:bookmarkStart w:id="1668" w:name="_Hlk120022037"/>
      <w:bookmarkStart w:id="1669" w:name="_Hlk120022270"/>
      <w:r w:rsidRPr="003B4362">
        <w:rPr>
          <w:rFonts w:eastAsia="Calibri"/>
          <w:szCs w:val="24"/>
        </w:rPr>
        <w:t>at the same</w:t>
      </w:r>
      <w:r w:rsidR="00927FE2" w:rsidRPr="003B4362">
        <w:rPr>
          <w:rFonts w:eastAsia="Calibri"/>
          <w:szCs w:val="24"/>
        </w:rPr>
        <w:t xml:space="preserve"> rate</w:t>
      </w:r>
      <w:r w:rsidRPr="003B4362">
        <w:rPr>
          <w:rFonts w:eastAsia="Calibri"/>
          <w:szCs w:val="24"/>
        </w:rPr>
        <w:t xml:space="preserve"> </w:t>
      </w:r>
      <w:r w:rsidR="00927FE2" w:rsidRPr="003B4362">
        <w:rPr>
          <w:rFonts w:eastAsia="Calibri"/>
          <w:szCs w:val="24"/>
        </w:rPr>
        <w:t xml:space="preserve">on a </w:t>
      </w:r>
      <w:r w:rsidRPr="003B4362">
        <w:rPr>
          <w:rFonts w:eastAsia="Calibri"/>
          <w:szCs w:val="24"/>
        </w:rPr>
        <w:t>two-year rolling</w:t>
      </w:r>
      <w:bookmarkEnd w:id="1668"/>
      <w:r w:rsidR="00927FE2" w:rsidRPr="003B4362">
        <w:rPr>
          <w:rFonts w:eastAsia="Calibri"/>
          <w:szCs w:val="24"/>
        </w:rPr>
        <w:t xml:space="preserve"> average basis</w:t>
      </w:r>
      <w:bookmarkEnd w:id="1669"/>
      <w:r w:rsidRPr="003B4362">
        <w:rPr>
          <w:rFonts w:eastAsia="Calibri"/>
          <w:szCs w:val="24"/>
        </w:rPr>
        <w:t xml:space="preserve">, </w:t>
      </w:r>
      <w:bookmarkStart w:id="1670" w:name="_Hlk120022393"/>
      <w:r w:rsidRPr="003B4362">
        <w:rPr>
          <w:rFonts w:eastAsia="Calibri"/>
          <w:szCs w:val="24"/>
        </w:rPr>
        <w:t xml:space="preserve">unless the </w:t>
      </w:r>
      <w:r w:rsidR="00CE72AD" w:rsidRPr="003B4362">
        <w:rPr>
          <w:rFonts w:eastAsia="Calibri"/>
          <w:szCs w:val="24"/>
        </w:rPr>
        <w:t>Agency issues a SEP under subsection (g)(9) requiring</w:t>
      </w:r>
      <w:r w:rsidRPr="003B4362">
        <w:rPr>
          <w:rFonts w:eastAsia="Calibri"/>
          <w:szCs w:val="24"/>
        </w:rPr>
        <w:t xml:space="preserve"> an alternat</w:t>
      </w:r>
      <w:r w:rsidR="00CE72AD" w:rsidRPr="003B4362">
        <w:rPr>
          <w:rFonts w:eastAsia="Calibri"/>
          <w:szCs w:val="24"/>
        </w:rPr>
        <w:t>iv</w:t>
      </w:r>
      <w:r w:rsidRPr="003B4362">
        <w:rPr>
          <w:rFonts w:eastAsia="Calibri"/>
          <w:szCs w:val="24"/>
        </w:rPr>
        <w:t>e replacement rate</w:t>
      </w:r>
      <w:bookmarkEnd w:id="1670"/>
      <w:r w:rsidRPr="003B4362">
        <w:rPr>
          <w:rFonts w:eastAsia="Calibri"/>
          <w:szCs w:val="24"/>
        </w:rPr>
        <w:t>.</w:t>
      </w:r>
    </w:p>
    <w:p w14:paraId="5E6000CF" w14:textId="59C65FCE" w:rsidR="009557C7" w:rsidRPr="003B4362" w:rsidRDefault="009557C7" w:rsidP="00A3328E">
      <w:pPr>
        <w:autoSpaceDE w:val="0"/>
        <w:autoSpaceDN w:val="0"/>
        <w:adjustRightInd w:val="0"/>
        <w:ind w:left="2160" w:hanging="720"/>
        <w:rPr>
          <w:rFonts w:eastAsia="Calibri"/>
          <w:szCs w:val="24"/>
        </w:rPr>
      </w:pPr>
      <w:r w:rsidRPr="003B4362">
        <w:rPr>
          <w:rFonts w:eastAsia="Calibri"/>
          <w:szCs w:val="24"/>
        </w:rPr>
        <w:t>7)</w:t>
      </w:r>
      <w:r w:rsidRPr="003B4362">
        <w:rPr>
          <w:rFonts w:eastAsia="Calibri"/>
          <w:szCs w:val="24"/>
        </w:rPr>
        <w:tab/>
      </w:r>
      <w:r w:rsidR="00CE72AD" w:rsidRPr="003B4362">
        <w:rPr>
          <w:rFonts w:eastAsia="Calibri"/>
          <w:szCs w:val="24"/>
        </w:rPr>
        <w:t>A</w:t>
      </w:r>
      <w:r w:rsidRPr="003B4362">
        <w:rPr>
          <w:rFonts w:eastAsia="Calibri"/>
          <w:szCs w:val="24"/>
        </w:rPr>
        <w:t xml:space="preserve"> </w:t>
      </w:r>
      <w:r w:rsidR="00CE72AD" w:rsidRPr="003B4362">
        <w:rPr>
          <w:rFonts w:eastAsia="Calibri"/>
          <w:szCs w:val="24"/>
        </w:rPr>
        <w:t>supplier</w:t>
      </w:r>
      <w:r w:rsidRPr="003B4362">
        <w:rPr>
          <w:rFonts w:eastAsia="Calibri"/>
          <w:szCs w:val="24"/>
        </w:rPr>
        <w:t xml:space="preserve"> may also cease mandator</w:t>
      </w:r>
      <w:r w:rsidR="00CE72AD" w:rsidRPr="003B4362">
        <w:rPr>
          <w:rFonts w:eastAsia="Calibri"/>
          <w:szCs w:val="24"/>
        </w:rPr>
        <w:t>il</w:t>
      </w:r>
      <w:r w:rsidRPr="003B4362">
        <w:rPr>
          <w:rFonts w:eastAsia="Calibri"/>
          <w:szCs w:val="24"/>
        </w:rPr>
        <w:t xml:space="preserve">y </w:t>
      </w:r>
      <w:r w:rsidR="00CE72AD" w:rsidRPr="003B4362">
        <w:rPr>
          <w:rFonts w:eastAsia="Calibri"/>
          <w:szCs w:val="24"/>
        </w:rPr>
        <w:t xml:space="preserve">replacing </w:t>
      </w:r>
      <w:r w:rsidR="00655876" w:rsidRPr="003B4362">
        <w:rPr>
          <w:rFonts w:eastAsia="Calibri"/>
          <w:szCs w:val="24"/>
        </w:rPr>
        <w:t>l</w:t>
      </w:r>
      <w:r w:rsidRPr="003B4362">
        <w:rPr>
          <w:rFonts w:eastAsia="Calibri"/>
          <w:szCs w:val="24"/>
        </w:rPr>
        <w:t>ead service line</w:t>
      </w:r>
      <w:r w:rsidR="00CE72AD" w:rsidRPr="003B4362">
        <w:rPr>
          <w:rFonts w:eastAsia="Calibri"/>
          <w:szCs w:val="24"/>
        </w:rPr>
        <w:t xml:space="preserve">s </w:t>
      </w:r>
      <w:r w:rsidRPr="003B4362">
        <w:rPr>
          <w:rFonts w:eastAsia="Calibri"/>
          <w:szCs w:val="24"/>
        </w:rPr>
        <w:t xml:space="preserve">if the </w:t>
      </w:r>
      <w:r w:rsidR="00CE72AD" w:rsidRPr="003B4362">
        <w:rPr>
          <w:rFonts w:eastAsia="Calibri"/>
          <w:szCs w:val="24"/>
        </w:rPr>
        <w:t>supplier</w:t>
      </w:r>
      <w:r w:rsidRPr="003B4362">
        <w:rPr>
          <w:rFonts w:eastAsia="Calibri"/>
          <w:szCs w:val="24"/>
        </w:rPr>
        <w:t xml:space="preserve"> has no remaining</w:t>
      </w:r>
      <w:r w:rsidR="005D6932" w:rsidRPr="003B4362">
        <w:rPr>
          <w:rFonts w:eastAsia="Calibri"/>
          <w:szCs w:val="24"/>
        </w:rPr>
        <w:t xml:space="preserve"> </w:t>
      </w:r>
      <w:bookmarkStart w:id="1671" w:name="_Hlk120037430"/>
      <w:r w:rsidR="005D6932" w:rsidRPr="003B4362">
        <w:rPr>
          <w:rFonts w:eastAsia="Calibri"/>
          <w:szCs w:val="24"/>
        </w:rPr>
        <w:t>lead status un</w:t>
      </w:r>
      <w:r w:rsidRPr="003B4362">
        <w:rPr>
          <w:rFonts w:eastAsia="Calibri"/>
          <w:szCs w:val="24"/>
        </w:rPr>
        <w:t>known service lines</w:t>
      </w:r>
      <w:bookmarkEnd w:id="1671"/>
      <w:r w:rsidRPr="003B4362">
        <w:rPr>
          <w:rFonts w:eastAsia="Calibri"/>
          <w:szCs w:val="24"/>
        </w:rPr>
        <w:t xml:space="preserve"> in its inventory</w:t>
      </w:r>
      <w:r w:rsidR="00AB601F" w:rsidRPr="003B4362">
        <w:rPr>
          <w:rFonts w:eastAsia="Calibri"/>
          <w:szCs w:val="24"/>
        </w:rPr>
        <w:t>,</w:t>
      </w:r>
      <w:r w:rsidRPr="003B4362">
        <w:rPr>
          <w:rFonts w:eastAsia="Calibri"/>
          <w:szCs w:val="24"/>
        </w:rPr>
        <w:t xml:space="preserve"> and </w:t>
      </w:r>
      <w:r w:rsidR="00AB601F" w:rsidRPr="003B4362">
        <w:rPr>
          <w:rFonts w:eastAsia="Calibri"/>
          <w:szCs w:val="24"/>
        </w:rPr>
        <w:t xml:space="preserve">the supplier </w:t>
      </w:r>
      <w:r w:rsidRPr="003B4362">
        <w:rPr>
          <w:rFonts w:eastAsia="Calibri"/>
          <w:szCs w:val="24"/>
        </w:rPr>
        <w:t xml:space="preserve">obtains </w:t>
      </w:r>
      <w:bookmarkStart w:id="1672" w:name="_Hlk120032169"/>
      <w:r w:rsidRPr="003B4362">
        <w:rPr>
          <w:rFonts w:eastAsia="Calibri"/>
          <w:szCs w:val="24"/>
        </w:rPr>
        <w:t xml:space="preserve">refusals </w:t>
      </w:r>
      <w:r w:rsidR="00AB601F" w:rsidRPr="003B4362">
        <w:rPr>
          <w:rFonts w:eastAsia="Calibri"/>
          <w:szCs w:val="24"/>
        </w:rPr>
        <w:t xml:space="preserve">or non-responses to its </w:t>
      </w:r>
      <w:r w:rsidR="00704CAC" w:rsidRPr="003B4362">
        <w:rPr>
          <w:rFonts w:eastAsia="Calibri"/>
          <w:szCs w:val="24"/>
        </w:rPr>
        <w:t>offer</w:t>
      </w:r>
      <w:r w:rsidR="00AB601F" w:rsidRPr="003B4362">
        <w:rPr>
          <w:rFonts w:eastAsia="Calibri"/>
          <w:szCs w:val="24"/>
        </w:rPr>
        <w:t xml:space="preserve"> </w:t>
      </w:r>
      <w:r w:rsidRPr="003B4362">
        <w:rPr>
          <w:rFonts w:eastAsia="Calibri"/>
          <w:szCs w:val="24"/>
        </w:rPr>
        <w:t xml:space="preserve">to </w:t>
      </w:r>
      <w:r w:rsidR="00704CAC" w:rsidRPr="003B4362">
        <w:rPr>
          <w:rFonts w:eastAsia="Calibri"/>
          <w:szCs w:val="24"/>
        </w:rPr>
        <w:t xml:space="preserve">replace the customer-owned portion of the </w:t>
      </w:r>
      <w:r w:rsidR="005D6932" w:rsidRPr="003B4362">
        <w:rPr>
          <w:rFonts w:eastAsia="Calibri"/>
          <w:szCs w:val="24"/>
        </w:rPr>
        <w:t>l</w:t>
      </w:r>
      <w:r w:rsidRPr="003B4362">
        <w:rPr>
          <w:rFonts w:eastAsia="Calibri"/>
          <w:szCs w:val="24"/>
        </w:rPr>
        <w:t>ead service line</w:t>
      </w:r>
      <w:r w:rsidR="00704CAC" w:rsidRPr="003B4362">
        <w:rPr>
          <w:rFonts w:eastAsia="Calibri"/>
          <w:szCs w:val="24"/>
        </w:rPr>
        <w:t xml:space="preserve"> </w:t>
      </w:r>
      <w:r w:rsidRPr="003B4362">
        <w:rPr>
          <w:rFonts w:eastAsia="Calibri"/>
          <w:szCs w:val="24"/>
        </w:rPr>
        <w:t>from every</w:t>
      </w:r>
      <w:r w:rsidR="004A00B4" w:rsidRPr="003B4362">
        <w:rPr>
          <w:rFonts w:eastAsia="Calibri"/>
          <w:szCs w:val="24"/>
        </w:rPr>
        <w:t xml:space="preserve"> </w:t>
      </w:r>
      <w:r w:rsidRPr="003B4362">
        <w:rPr>
          <w:rFonts w:eastAsia="Calibri"/>
          <w:szCs w:val="24"/>
        </w:rPr>
        <w:t xml:space="preserve">customer </w:t>
      </w:r>
      <w:r w:rsidR="00AB601F" w:rsidRPr="003B4362">
        <w:rPr>
          <w:rFonts w:eastAsia="Calibri"/>
          <w:szCs w:val="24"/>
        </w:rPr>
        <w:t>on</w:t>
      </w:r>
      <w:r w:rsidRPr="003B4362">
        <w:rPr>
          <w:rFonts w:eastAsia="Calibri"/>
          <w:szCs w:val="24"/>
        </w:rPr>
        <w:t xml:space="preserve"> its distribution system </w:t>
      </w:r>
      <w:r w:rsidR="00715A8F" w:rsidRPr="003B4362">
        <w:rPr>
          <w:rFonts w:eastAsia="Calibri"/>
          <w:szCs w:val="24"/>
        </w:rPr>
        <w:t xml:space="preserve">still </w:t>
      </w:r>
      <w:r w:rsidRPr="003B4362">
        <w:rPr>
          <w:rFonts w:eastAsia="Calibri"/>
          <w:szCs w:val="24"/>
        </w:rPr>
        <w:t>served</w:t>
      </w:r>
      <w:bookmarkEnd w:id="1672"/>
      <w:r w:rsidRPr="003B4362">
        <w:rPr>
          <w:rFonts w:eastAsia="Calibri"/>
          <w:szCs w:val="24"/>
        </w:rPr>
        <w:t xml:space="preserve"> </w:t>
      </w:r>
      <w:bookmarkStart w:id="1673" w:name="_Hlk120032369"/>
      <w:r w:rsidRPr="003B4362">
        <w:rPr>
          <w:rFonts w:eastAsia="Calibri"/>
          <w:szCs w:val="24"/>
        </w:rPr>
        <w:t>by</w:t>
      </w:r>
      <w:r w:rsidR="00715A8F" w:rsidRPr="003B4362">
        <w:rPr>
          <w:rFonts w:eastAsia="Calibri"/>
          <w:szCs w:val="24"/>
        </w:rPr>
        <w:t xml:space="preserve"> </w:t>
      </w:r>
      <w:r w:rsidRPr="003B4362">
        <w:rPr>
          <w:rFonts w:eastAsia="Calibri"/>
          <w:szCs w:val="24"/>
        </w:rPr>
        <w:t xml:space="preserve">a </w:t>
      </w:r>
      <w:r w:rsidR="005D6932" w:rsidRPr="003B4362">
        <w:rPr>
          <w:rFonts w:eastAsia="Calibri"/>
          <w:szCs w:val="24"/>
        </w:rPr>
        <w:t xml:space="preserve">lead </w:t>
      </w:r>
      <w:r w:rsidRPr="003B4362">
        <w:rPr>
          <w:rFonts w:eastAsia="Calibri"/>
          <w:szCs w:val="24"/>
        </w:rPr>
        <w:t>service line</w:t>
      </w:r>
      <w:r w:rsidR="00715A8F" w:rsidRPr="003B4362">
        <w:rPr>
          <w:rFonts w:eastAsia="Calibri"/>
          <w:szCs w:val="24"/>
        </w:rPr>
        <w:t xml:space="preserve"> </w:t>
      </w:r>
      <w:r w:rsidRPr="003B4362">
        <w:rPr>
          <w:rFonts w:eastAsia="Calibri"/>
          <w:szCs w:val="24"/>
        </w:rPr>
        <w:t xml:space="preserve">or a </w:t>
      </w:r>
      <w:r w:rsidR="005D6932" w:rsidRPr="003B4362">
        <w:rPr>
          <w:rFonts w:eastAsia="Calibri"/>
          <w:szCs w:val="24"/>
        </w:rPr>
        <w:t>galvanized requiring re</w:t>
      </w:r>
      <w:r w:rsidRPr="003B4362">
        <w:rPr>
          <w:rFonts w:eastAsia="Calibri"/>
          <w:szCs w:val="24"/>
        </w:rPr>
        <w:t>placement service line</w:t>
      </w:r>
      <w:bookmarkEnd w:id="1673"/>
      <w:r w:rsidRPr="003B4362">
        <w:rPr>
          <w:rFonts w:eastAsia="Calibri"/>
          <w:szCs w:val="24"/>
        </w:rPr>
        <w:t>.  F</w:t>
      </w:r>
      <w:bookmarkStart w:id="1674" w:name="_Hlk120032555"/>
      <w:r w:rsidRPr="003B4362">
        <w:rPr>
          <w:rFonts w:eastAsia="Calibri"/>
          <w:szCs w:val="24"/>
        </w:rPr>
        <w:t>or</w:t>
      </w:r>
      <w:r w:rsidR="00E94796" w:rsidRPr="003B4362">
        <w:rPr>
          <w:rFonts w:eastAsia="Calibri"/>
          <w:szCs w:val="24"/>
        </w:rPr>
        <w:t xml:space="preserve"> </w:t>
      </w:r>
      <w:r w:rsidRPr="003B4362">
        <w:rPr>
          <w:rFonts w:eastAsia="Calibri"/>
          <w:szCs w:val="24"/>
        </w:rPr>
        <w:t xml:space="preserve">this subsection (g)(7) and </w:t>
      </w:r>
      <w:r w:rsidR="00E94796" w:rsidRPr="003B4362">
        <w:rPr>
          <w:rFonts w:eastAsia="Calibri"/>
          <w:szCs w:val="24"/>
        </w:rPr>
        <w:t>under</w:t>
      </w:r>
      <w:r w:rsidRPr="003B4362">
        <w:rPr>
          <w:rFonts w:eastAsia="Calibri"/>
          <w:szCs w:val="24"/>
        </w:rPr>
        <w:t xml:space="preserve"> Section </w:t>
      </w:r>
      <w:r w:rsidR="00E94796" w:rsidRPr="003B4362">
        <w:rPr>
          <w:rFonts w:eastAsia="Calibri"/>
          <w:szCs w:val="24"/>
        </w:rPr>
        <w:t>61</w:t>
      </w:r>
      <w:r w:rsidRPr="003B4362">
        <w:rPr>
          <w:rFonts w:eastAsia="Calibri"/>
          <w:szCs w:val="24"/>
        </w:rPr>
        <w:t>1.</w:t>
      </w:r>
      <w:r w:rsidR="00E94796" w:rsidRPr="003B4362">
        <w:rPr>
          <w:rFonts w:eastAsia="Calibri"/>
          <w:szCs w:val="24"/>
        </w:rPr>
        <w:t>36</w:t>
      </w:r>
      <w:r w:rsidRPr="003B4362">
        <w:rPr>
          <w:rFonts w:eastAsia="Calibri"/>
          <w:szCs w:val="24"/>
        </w:rPr>
        <w:t>0(e)</w:t>
      </w:r>
      <w:bookmarkEnd w:id="1674"/>
      <w:r w:rsidRPr="003B4362">
        <w:rPr>
          <w:rFonts w:eastAsia="Calibri"/>
          <w:szCs w:val="24"/>
        </w:rPr>
        <w:t xml:space="preserve">, </w:t>
      </w:r>
      <w:bookmarkStart w:id="1675" w:name="_Hlk120033161"/>
      <w:bookmarkStart w:id="1676" w:name="_Hlk120032902"/>
      <w:r w:rsidRPr="003B4362">
        <w:rPr>
          <w:rFonts w:eastAsia="Calibri"/>
          <w:szCs w:val="24"/>
        </w:rPr>
        <w:t xml:space="preserve">a </w:t>
      </w:r>
      <w:r w:rsidR="003621E6" w:rsidRPr="003B4362">
        <w:rPr>
          <w:rFonts w:eastAsia="Calibri"/>
          <w:szCs w:val="24"/>
        </w:rPr>
        <w:t>supplier</w:t>
      </w:r>
      <w:r w:rsidRPr="003B4362">
        <w:rPr>
          <w:rFonts w:eastAsia="Calibri"/>
          <w:szCs w:val="24"/>
        </w:rPr>
        <w:t xml:space="preserve"> must </w:t>
      </w:r>
      <w:r w:rsidR="003621E6" w:rsidRPr="003B4362">
        <w:rPr>
          <w:rFonts w:eastAsia="Calibri"/>
          <w:szCs w:val="24"/>
        </w:rPr>
        <w:t>document</w:t>
      </w:r>
      <w:r w:rsidRPr="003B4362">
        <w:rPr>
          <w:rFonts w:eastAsia="Calibri"/>
          <w:szCs w:val="24"/>
        </w:rPr>
        <w:t xml:space="preserve"> </w:t>
      </w:r>
      <w:r w:rsidR="003621E6" w:rsidRPr="003B4362">
        <w:rPr>
          <w:rFonts w:eastAsia="Calibri"/>
          <w:szCs w:val="24"/>
        </w:rPr>
        <w:t xml:space="preserve">customer refusals </w:t>
      </w:r>
      <w:r w:rsidRPr="003B4362">
        <w:rPr>
          <w:rFonts w:eastAsia="Calibri"/>
          <w:szCs w:val="24"/>
        </w:rPr>
        <w:t xml:space="preserve">to the </w:t>
      </w:r>
      <w:r w:rsidR="003621E6" w:rsidRPr="003B4362">
        <w:rPr>
          <w:rFonts w:eastAsia="Calibri"/>
          <w:szCs w:val="24"/>
        </w:rPr>
        <w:t>Agency</w:t>
      </w:r>
      <w:bookmarkEnd w:id="1675"/>
      <w:r w:rsidR="003621E6" w:rsidRPr="003B4362">
        <w:rPr>
          <w:rFonts w:eastAsia="Calibri"/>
          <w:szCs w:val="24"/>
        </w:rPr>
        <w:t>,</w:t>
      </w:r>
      <w:r w:rsidRPr="003B4362">
        <w:rPr>
          <w:rFonts w:eastAsia="Calibri"/>
          <w:szCs w:val="24"/>
        </w:rPr>
        <w:t xml:space="preserve"> </w:t>
      </w:r>
      <w:bookmarkEnd w:id="1676"/>
      <w:r w:rsidRPr="003B4362">
        <w:rPr>
          <w:rFonts w:eastAsia="Calibri"/>
          <w:szCs w:val="24"/>
        </w:rPr>
        <w:t xml:space="preserve">including </w:t>
      </w:r>
      <w:bookmarkStart w:id="1677" w:name="_Hlk120035045"/>
      <w:bookmarkStart w:id="1678" w:name="_Hlk120033341"/>
      <w:bookmarkStart w:id="1679" w:name="_Hlk120033418"/>
      <w:r w:rsidR="00A80993" w:rsidRPr="003B4362">
        <w:rPr>
          <w:rFonts w:eastAsia="Calibri"/>
          <w:szCs w:val="24"/>
        </w:rPr>
        <w:t xml:space="preserve">any </w:t>
      </w:r>
      <w:bookmarkEnd w:id="1677"/>
      <w:r w:rsidR="00182A24" w:rsidRPr="003B4362">
        <w:rPr>
          <w:rFonts w:eastAsia="Calibri"/>
          <w:szCs w:val="24"/>
        </w:rPr>
        <w:t xml:space="preserve">written </w:t>
      </w:r>
      <w:r w:rsidRPr="003B4362">
        <w:rPr>
          <w:rFonts w:eastAsia="Calibri"/>
          <w:szCs w:val="24"/>
        </w:rPr>
        <w:t>refusal</w:t>
      </w:r>
      <w:r w:rsidR="00182A24" w:rsidRPr="003B4362">
        <w:rPr>
          <w:rFonts w:eastAsia="Calibri"/>
          <w:szCs w:val="24"/>
        </w:rPr>
        <w:t>s</w:t>
      </w:r>
      <w:r w:rsidRPr="003B4362">
        <w:rPr>
          <w:rFonts w:eastAsia="Calibri"/>
          <w:szCs w:val="24"/>
        </w:rPr>
        <w:t xml:space="preserve"> signed by the customer</w:t>
      </w:r>
      <w:bookmarkEnd w:id="1678"/>
      <w:r w:rsidR="00182A24" w:rsidRPr="003B4362">
        <w:rPr>
          <w:rFonts w:eastAsia="Calibri"/>
          <w:szCs w:val="24"/>
        </w:rPr>
        <w:t>s</w:t>
      </w:r>
      <w:bookmarkEnd w:id="1679"/>
      <w:r w:rsidRPr="003B4362">
        <w:rPr>
          <w:rFonts w:eastAsia="Calibri"/>
          <w:szCs w:val="24"/>
        </w:rPr>
        <w:t xml:space="preserve">, </w:t>
      </w:r>
      <w:bookmarkStart w:id="1680" w:name="_Hlk120033544"/>
      <w:r w:rsidR="00A80993" w:rsidRPr="003B4362">
        <w:rPr>
          <w:rFonts w:eastAsia="Calibri"/>
          <w:szCs w:val="24"/>
        </w:rPr>
        <w:t xml:space="preserve">any </w:t>
      </w:r>
      <w:r w:rsidRPr="003B4362">
        <w:rPr>
          <w:rFonts w:eastAsia="Calibri"/>
          <w:szCs w:val="24"/>
        </w:rPr>
        <w:t>document</w:t>
      </w:r>
      <w:r w:rsidR="00182A24" w:rsidRPr="003B4362">
        <w:rPr>
          <w:rFonts w:eastAsia="Calibri"/>
          <w:szCs w:val="24"/>
        </w:rPr>
        <w:t>s</w:t>
      </w:r>
      <w:r w:rsidRPr="003B4362">
        <w:rPr>
          <w:rFonts w:eastAsia="Calibri"/>
          <w:szCs w:val="24"/>
        </w:rPr>
        <w:t xml:space="preserve"> </w:t>
      </w:r>
      <w:r w:rsidR="00182A24" w:rsidRPr="003B4362">
        <w:rPr>
          <w:rFonts w:eastAsia="Calibri"/>
          <w:szCs w:val="24"/>
        </w:rPr>
        <w:t xml:space="preserve">memorializing </w:t>
      </w:r>
      <w:r w:rsidRPr="003B4362">
        <w:rPr>
          <w:rFonts w:eastAsia="Calibri"/>
          <w:szCs w:val="24"/>
        </w:rPr>
        <w:t>customer</w:t>
      </w:r>
      <w:r w:rsidR="00182A24" w:rsidRPr="003B4362">
        <w:rPr>
          <w:rFonts w:eastAsia="Calibri"/>
          <w:szCs w:val="24"/>
        </w:rPr>
        <w:t>s</w:t>
      </w:r>
      <w:r w:rsidRPr="003B4362">
        <w:rPr>
          <w:rFonts w:eastAsia="Calibri"/>
          <w:szCs w:val="24"/>
        </w:rPr>
        <w:t xml:space="preserve"> </w:t>
      </w:r>
      <w:r w:rsidR="00182A24" w:rsidRPr="003B4362">
        <w:rPr>
          <w:rFonts w:eastAsia="Calibri"/>
          <w:szCs w:val="24"/>
        </w:rPr>
        <w:t xml:space="preserve">verbally </w:t>
      </w:r>
      <w:r w:rsidRPr="003B4362">
        <w:rPr>
          <w:rFonts w:eastAsia="Calibri"/>
          <w:szCs w:val="24"/>
        </w:rPr>
        <w:t>refusing</w:t>
      </w:r>
      <w:bookmarkEnd w:id="1680"/>
      <w:r w:rsidRPr="003B4362">
        <w:rPr>
          <w:rFonts w:eastAsia="Calibri"/>
          <w:szCs w:val="24"/>
        </w:rPr>
        <w:t xml:space="preserve">, </w:t>
      </w:r>
      <w:bookmarkStart w:id="1681" w:name="_Hlk120035242"/>
      <w:r w:rsidR="00A80993" w:rsidRPr="003B4362">
        <w:rPr>
          <w:rFonts w:eastAsia="Calibri"/>
          <w:szCs w:val="24"/>
        </w:rPr>
        <w:t>and</w:t>
      </w:r>
      <w:r w:rsidRPr="003B4362">
        <w:rPr>
          <w:rFonts w:eastAsia="Calibri"/>
          <w:szCs w:val="24"/>
        </w:rPr>
        <w:t xml:space="preserve"> </w:t>
      </w:r>
      <w:r w:rsidR="00A80993" w:rsidRPr="003B4362">
        <w:rPr>
          <w:rFonts w:eastAsia="Calibri"/>
          <w:szCs w:val="24"/>
        </w:rPr>
        <w:t xml:space="preserve">any </w:t>
      </w:r>
      <w:r w:rsidRPr="003B4362">
        <w:rPr>
          <w:rFonts w:eastAsia="Calibri"/>
          <w:szCs w:val="24"/>
        </w:rPr>
        <w:t>document</w:t>
      </w:r>
      <w:r w:rsidR="00182A24" w:rsidRPr="003B4362">
        <w:rPr>
          <w:rFonts w:eastAsia="Calibri"/>
          <w:szCs w:val="24"/>
        </w:rPr>
        <w:t>s</w:t>
      </w:r>
      <w:r w:rsidRPr="003B4362">
        <w:rPr>
          <w:rFonts w:eastAsia="Calibri"/>
          <w:szCs w:val="24"/>
        </w:rPr>
        <w:t xml:space="preserve"> </w:t>
      </w:r>
      <w:r w:rsidR="00400565" w:rsidRPr="003B4362">
        <w:rPr>
          <w:rFonts w:eastAsia="Calibri"/>
          <w:szCs w:val="24"/>
        </w:rPr>
        <w:t>memorializing</w:t>
      </w:r>
      <w:r w:rsidRPr="003B4362">
        <w:rPr>
          <w:rFonts w:eastAsia="Calibri"/>
          <w:szCs w:val="24"/>
        </w:rPr>
        <w:t xml:space="preserve"> no response from customer</w:t>
      </w:r>
      <w:r w:rsidR="00400565" w:rsidRPr="003B4362">
        <w:rPr>
          <w:rFonts w:eastAsia="Calibri"/>
          <w:szCs w:val="24"/>
        </w:rPr>
        <w:t>s</w:t>
      </w:r>
      <w:r w:rsidRPr="003B4362">
        <w:rPr>
          <w:rFonts w:eastAsia="Calibri"/>
          <w:szCs w:val="24"/>
        </w:rPr>
        <w:t xml:space="preserve"> after the </w:t>
      </w:r>
      <w:r w:rsidR="00400565" w:rsidRPr="003B4362">
        <w:rPr>
          <w:rFonts w:eastAsia="Calibri"/>
          <w:szCs w:val="24"/>
        </w:rPr>
        <w:t>supplier</w:t>
      </w:r>
      <w:r w:rsidRPr="003B4362">
        <w:rPr>
          <w:rFonts w:eastAsia="Calibri"/>
          <w:szCs w:val="24"/>
        </w:rPr>
        <w:t xml:space="preserve"> made </w:t>
      </w:r>
      <w:r w:rsidR="00400565" w:rsidRPr="003B4362">
        <w:rPr>
          <w:rFonts w:eastAsia="Calibri"/>
          <w:szCs w:val="24"/>
        </w:rPr>
        <w:t>at least</w:t>
      </w:r>
      <w:r w:rsidRPr="003B4362">
        <w:rPr>
          <w:rFonts w:eastAsia="Calibri"/>
          <w:szCs w:val="24"/>
        </w:rPr>
        <w:t xml:space="preserve"> two good faith attempts to reach </w:t>
      </w:r>
      <w:r w:rsidR="009F5361" w:rsidRPr="003B4362">
        <w:rPr>
          <w:rFonts w:eastAsia="Calibri"/>
          <w:szCs w:val="24"/>
        </w:rPr>
        <w:t xml:space="preserve">the </w:t>
      </w:r>
      <w:r w:rsidR="00A3328E" w:rsidRPr="003B4362">
        <w:rPr>
          <w:rFonts w:eastAsia="Calibri"/>
          <w:szCs w:val="24"/>
        </w:rPr>
        <w:t>customer</w:t>
      </w:r>
      <w:r w:rsidR="009F5361" w:rsidRPr="003B4362">
        <w:rPr>
          <w:rFonts w:eastAsia="Calibri"/>
          <w:szCs w:val="24"/>
        </w:rPr>
        <w:t>, each attempt</w:t>
      </w:r>
      <w:r w:rsidR="00A3328E" w:rsidRPr="003B4362">
        <w:rPr>
          <w:rFonts w:eastAsia="Calibri"/>
          <w:szCs w:val="24"/>
        </w:rPr>
        <w:t xml:space="preserve"> </w:t>
      </w:r>
      <w:r w:rsidR="00A80993" w:rsidRPr="003B4362">
        <w:rPr>
          <w:rFonts w:eastAsia="Calibri"/>
          <w:szCs w:val="24"/>
        </w:rPr>
        <w:t>offer</w:t>
      </w:r>
      <w:r w:rsidRPr="003B4362">
        <w:rPr>
          <w:rFonts w:eastAsia="Calibri"/>
          <w:szCs w:val="24"/>
        </w:rPr>
        <w:t xml:space="preserve">ing </w:t>
      </w:r>
      <w:r w:rsidR="00A80993" w:rsidRPr="003B4362">
        <w:rPr>
          <w:rFonts w:eastAsia="Calibri"/>
          <w:szCs w:val="24"/>
        </w:rPr>
        <w:t xml:space="preserve">to replace the </w:t>
      </w:r>
      <w:r w:rsidRPr="003B4362">
        <w:rPr>
          <w:rFonts w:eastAsia="Calibri"/>
          <w:szCs w:val="24"/>
        </w:rPr>
        <w:t xml:space="preserve">full </w:t>
      </w:r>
      <w:r w:rsidR="005D6932" w:rsidRPr="003B4362">
        <w:rPr>
          <w:rFonts w:eastAsia="Calibri"/>
          <w:szCs w:val="24"/>
        </w:rPr>
        <w:t>l</w:t>
      </w:r>
      <w:r w:rsidRPr="003B4362">
        <w:rPr>
          <w:rFonts w:eastAsia="Calibri"/>
          <w:szCs w:val="24"/>
        </w:rPr>
        <w:t>ead service line</w:t>
      </w:r>
      <w:bookmarkEnd w:id="1681"/>
      <w:r w:rsidRPr="003B4362">
        <w:rPr>
          <w:rFonts w:eastAsia="Calibri"/>
          <w:szCs w:val="24"/>
        </w:rPr>
        <w:t>.  I</w:t>
      </w:r>
      <w:bookmarkStart w:id="1682" w:name="_Hlk120035319"/>
      <w:r w:rsidRPr="003B4362">
        <w:rPr>
          <w:rFonts w:eastAsia="Calibri"/>
          <w:szCs w:val="24"/>
        </w:rPr>
        <w:t xml:space="preserve">f the </w:t>
      </w:r>
      <w:r w:rsidR="00533332" w:rsidRPr="003B4362">
        <w:rPr>
          <w:rFonts w:eastAsia="Calibri"/>
          <w:szCs w:val="24"/>
        </w:rPr>
        <w:t>supplier</w:t>
      </w:r>
      <w:r w:rsidRPr="003B4362">
        <w:rPr>
          <w:rFonts w:eastAsia="Calibri"/>
          <w:szCs w:val="24"/>
        </w:rPr>
        <w:t xml:space="preserve">’s </w:t>
      </w:r>
      <w:r w:rsidR="00533332" w:rsidRPr="003B4362">
        <w:rPr>
          <w:rFonts w:eastAsia="Calibri"/>
          <w:szCs w:val="24"/>
        </w:rPr>
        <w:t xml:space="preserve">lead </w:t>
      </w:r>
      <w:r w:rsidRPr="003B4362">
        <w:rPr>
          <w:rFonts w:eastAsia="Calibri"/>
          <w:szCs w:val="24"/>
        </w:rPr>
        <w:t xml:space="preserve">90th percentile </w:t>
      </w:r>
      <w:r w:rsidR="00533332" w:rsidRPr="003B4362">
        <w:rPr>
          <w:rFonts w:eastAsia="Calibri"/>
          <w:szCs w:val="24"/>
        </w:rPr>
        <w:t xml:space="preserve">concentration later </w:t>
      </w:r>
      <w:r w:rsidRPr="003B4362">
        <w:rPr>
          <w:rFonts w:eastAsia="Calibri"/>
          <w:szCs w:val="24"/>
        </w:rPr>
        <w:t>exceeds the lead action level</w:t>
      </w:r>
      <w:bookmarkEnd w:id="1682"/>
      <w:r w:rsidRPr="003B4362">
        <w:rPr>
          <w:rFonts w:eastAsia="Calibri"/>
          <w:szCs w:val="24"/>
        </w:rPr>
        <w:t xml:space="preserve">, </w:t>
      </w:r>
      <w:bookmarkStart w:id="1683" w:name="_Hlk120038442"/>
      <w:r w:rsidR="00533332" w:rsidRPr="003B4362">
        <w:rPr>
          <w:rFonts w:eastAsia="Calibri"/>
          <w:szCs w:val="24"/>
        </w:rPr>
        <w:t>the supplier</w:t>
      </w:r>
      <w:r w:rsidRPr="003B4362">
        <w:rPr>
          <w:rFonts w:eastAsia="Calibri"/>
          <w:szCs w:val="24"/>
        </w:rPr>
        <w:t xml:space="preserve"> must </w:t>
      </w:r>
      <w:bookmarkStart w:id="1684" w:name="_Hlk120038047"/>
      <w:r w:rsidR="00D45AF7" w:rsidRPr="003B4362">
        <w:rPr>
          <w:rFonts w:eastAsia="Calibri"/>
          <w:szCs w:val="24"/>
        </w:rPr>
        <w:t>offer to replace the customer-owned portion for every</w:t>
      </w:r>
      <w:r w:rsidRPr="003B4362">
        <w:rPr>
          <w:rFonts w:eastAsia="Calibri"/>
          <w:szCs w:val="24"/>
        </w:rPr>
        <w:t xml:space="preserve"> customer served </w:t>
      </w:r>
      <w:r w:rsidR="00D45AF7" w:rsidRPr="003B4362">
        <w:rPr>
          <w:rFonts w:eastAsia="Calibri"/>
          <w:szCs w:val="24"/>
        </w:rPr>
        <w:t>through</w:t>
      </w:r>
      <w:r w:rsidRPr="003B4362">
        <w:rPr>
          <w:rFonts w:eastAsia="Calibri"/>
          <w:szCs w:val="24"/>
        </w:rPr>
        <w:t xml:space="preserve"> a full or part</w:t>
      </w:r>
      <w:r w:rsidR="005D6932" w:rsidRPr="003B4362">
        <w:rPr>
          <w:rFonts w:eastAsia="Calibri"/>
          <w:szCs w:val="24"/>
        </w:rPr>
        <w:t>ial lead service line or galvanized requiring r</w:t>
      </w:r>
      <w:r w:rsidRPr="003B4362">
        <w:rPr>
          <w:rFonts w:eastAsia="Calibri"/>
          <w:szCs w:val="24"/>
        </w:rPr>
        <w:t>eplacement service line</w:t>
      </w:r>
      <w:bookmarkEnd w:id="1683"/>
      <w:bookmarkEnd w:id="1684"/>
      <w:r w:rsidRPr="003B4362">
        <w:rPr>
          <w:rFonts w:eastAsia="Calibri"/>
          <w:szCs w:val="24"/>
        </w:rPr>
        <w:t xml:space="preserve">.  </w:t>
      </w:r>
      <w:bookmarkStart w:id="1685" w:name="_Hlk120038667"/>
      <w:r w:rsidR="00A864F9" w:rsidRPr="003B4362">
        <w:rPr>
          <w:rFonts w:eastAsia="Calibri"/>
          <w:szCs w:val="24"/>
        </w:rPr>
        <w:t>T</w:t>
      </w:r>
      <w:bookmarkStart w:id="1686" w:name="_Hlk120038847"/>
      <w:r w:rsidRPr="003B4362">
        <w:rPr>
          <w:rFonts w:eastAsia="Calibri"/>
          <w:szCs w:val="24"/>
        </w:rPr>
        <w:t>he</w:t>
      </w:r>
      <w:r w:rsidR="00A864F9" w:rsidRPr="003B4362">
        <w:rPr>
          <w:rFonts w:eastAsia="Calibri"/>
          <w:szCs w:val="24"/>
        </w:rPr>
        <w:t xml:space="preserve"> supplier</w:t>
      </w:r>
      <w:r w:rsidRPr="003B4362">
        <w:rPr>
          <w:rFonts w:eastAsia="Calibri"/>
          <w:szCs w:val="24"/>
        </w:rPr>
        <w:t xml:space="preserve"> </w:t>
      </w:r>
      <w:r w:rsidR="00A3328E" w:rsidRPr="003B4362">
        <w:rPr>
          <w:rFonts w:eastAsia="Calibri"/>
          <w:szCs w:val="24"/>
        </w:rPr>
        <w:t>need</w:t>
      </w:r>
      <w:r w:rsidR="00A864F9" w:rsidRPr="003B4362">
        <w:rPr>
          <w:rFonts w:eastAsia="Calibri"/>
          <w:szCs w:val="24"/>
        </w:rPr>
        <w:t xml:space="preserve"> not</w:t>
      </w:r>
      <w:r w:rsidRPr="003B4362">
        <w:rPr>
          <w:rFonts w:eastAsia="Calibri"/>
          <w:szCs w:val="24"/>
        </w:rPr>
        <w:t xml:space="preserve"> bear the cost of replac</w:t>
      </w:r>
      <w:r w:rsidR="00A864F9" w:rsidRPr="003B4362">
        <w:rPr>
          <w:rFonts w:eastAsia="Calibri"/>
          <w:szCs w:val="24"/>
        </w:rPr>
        <w:t>ing</w:t>
      </w:r>
      <w:r w:rsidRPr="003B4362">
        <w:rPr>
          <w:rFonts w:eastAsia="Calibri"/>
          <w:szCs w:val="24"/>
        </w:rPr>
        <w:t xml:space="preserve"> the customer-owned </w:t>
      </w:r>
      <w:r w:rsidR="00A864F9" w:rsidRPr="003B4362">
        <w:rPr>
          <w:rFonts w:eastAsia="Calibri"/>
          <w:szCs w:val="24"/>
        </w:rPr>
        <w:t xml:space="preserve">portion of any </w:t>
      </w:r>
      <w:r w:rsidR="00655876" w:rsidRPr="003B4362">
        <w:rPr>
          <w:rFonts w:eastAsia="Calibri"/>
          <w:szCs w:val="24"/>
        </w:rPr>
        <w:t>l</w:t>
      </w:r>
      <w:r w:rsidRPr="003B4362">
        <w:rPr>
          <w:rFonts w:eastAsia="Calibri"/>
          <w:szCs w:val="24"/>
        </w:rPr>
        <w:t>ead service line</w:t>
      </w:r>
      <w:bookmarkEnd w:id="1685"/>
      <w:bookmarkEnd w:id="1686"/>
      <w:r w:rsidRPr="003B4362">
        <w:rPr>
          <w:rFonts w:eastAsia="Calibri"/>
          <w:szCs w:val="24"/>
        </w:rPr>
        <w:t>.</w:t>
      </w:r>
    </w:p>
    <w:p w14:paraId="240BFDE9" w14:textId="4E89DEB7"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lastRenderedPageBreak/>
        <w:t>8)</w:t>
      </w:r>
      <w:r w:rsidRPr="003B4362">
        <w:rPr>
          <w:rFonts w:eastAsia="Calibri"/>
          <w:szCs w:val="24"/>
        </w:rPr>
        <w:tab/>
        <w:t>T</w:t>
      </w:r>
      <w:bookmarkStart w:id="1687" w:name="_Hlk120050522"/>
      <w:r w:rsidRPr="003B4362">
        <w:rPr>
          <w:rFonts w:eastAsia="Calibri"/>
          <w:szCs w:val="24"/>
        </w:rPr>
        <w:t xml:space="preserve">he first year of </w:t>
      </w:r>
      <w:r w:rsidR="005D6932" w:rsidRPr="003B4362">
        <w:rPr>
          <w:rFonts w:eastAsia="Calibri"/>
          <w:szCs w:val="24"/>
        </w:rPr>
        <w:t>l</w:t>
      </w:r>
      <w:r w:rsidRPr="003B4362">
        <w:rPr>
          <w:rFonts w:eastAsia="Calibri"/>
          <w:szCs w:val="24"/>
        </w:rPr>
        <w:t>ead service line replacement</w:t>
      </w:r>
      <w:bookmarkEnd w:id="1687"/>
      <w:r w:rsidRPr="003B4362">
        <w:rPr>
          <w:rFonts w:eastAsia="Calibri"/>
          <w:szCs w:val="24"/>
        </w:rPr>
        <w:t xml:space="preserve"> </w:t>
      </w:r>
      <w:bookmarkStart w:id="1688" w:name="_Hlk120050611"/>
      <w:r w:rsidR="0090224C" w:rsidRPr="003B4362">
        <w:rPr>
          <w:rFonts w:eastAsia="Calibri"/>
          <w:szCs w:val="24"/>
        </w:rPr>
        <w:t>begins</w:t>
      </w:r>
      <w:r w:rsidRPr="003B4362">
        <w:rPr>
          <w:rFonts w:eastAsia="Calibri"/>
          <w:szCs w:val="24"/>
        </w:rPr>
        <w:t xml:space="preserve"> the first day </w:t>
      </w:r>
      <w:r w:rsidR="0090224C" w:rsidRPr="003B4362">
        <w:rPr>
          <w:rFonts w:eastAsia="Calibri"/>
          <w:szCs w:val="24"/>
        </w:rPr>
        <w:t>after</w:t>
      </w:r>
      <w:r w:rsidRPr="003B4362">
        <w:rPr>
          <w:rFonts w:eastAsia="Calibri"/>
          <w:szCs w:val="24"/>
        </w:rPr>
        <w:t xml:space="preserve"> the end of the tap sampling period</w:t>
      </w:r>
      <w:bookmarkEnd w:id="1688"/>
      <w:r w:rsidRPr="003B4362">
        <w:rPr>
          <w:rFonts w:eastAsia="Calibri"/>
          <w:szCs w:val="24"/>
        </w:rPr>
        <w:t xml:space="preserve"> </w:t>
      </w:r>
      <w:bookmarkStart w:id="1689" w:name="_Hlk120050870"/>
      <w:r w:rsidR="00076303" w:rsidRPr="003B4362">
        <w:rPr>
          <w:rFonts w:eastAsia="Calibri"/>
          <w:szCs w:val="24"/>
        </w:rPr>
        <w:t>during</w:t>
      </w:r>
      <w:r w:rsidRPr="003B4362">
        <w:rPr>
          <w:rFonts w:eastAsia="Calibri"/>
          <w:szCs w:val="24"/>
        </w:rPr>
        <w:t xml:space="preserve"> which </w:t>
      </w:r>
      <w:r w:rsidR="00076303" w:rsidRPr="003B4362">
        <w:rPr>
          <w:rFonts w:eastAsia="Calibri"/>
          <w:szCs w:val="24"/>
        </w:rPr>
        <w:t xml:space="preserve">the supplier exceeded the </w:t>
      </w:r>
      <w:r w:rsidR="005D6932" w:rsidRPr="003B4362">
        <w:rPr>
          <w:rFonts w:eastAsia="Calibri"/>
          <w:szCs w:val="24"/>
        </w:rPr>
        <w:t>l</w:t>
      </w:r>
      <w:r w:rsidRPr="003B4362">
        <w:rPr>
          <w:rFonts w:eastAsia="Calibri"/>
          <w:szCs w:val="24"/>
        </w:rPr>
        <w:t>ead action level</w:t>
      </w:r>
      <w:bookmarkEnd w:id="1689"/>
      <w:r w:rsidRPr="003B4362">
        <w:rPr>
          <w:rFonts w:eastAsia="Calibri"/>
          <w:szCs w:val="24"/>
        </w:rPr>
        <w:t>.</w:t>
      </w:r>
    </w:p>
    <w:p w14:paraId="7B189F05" w14:textId="2A5646EA"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9)</w:t>
      </w:r>
      <w:r w:rsidRPr="003B4362">
        <w:rPr>
          <w:rFonts w:eastAsia="Calibri"/>
          <w:szCs w:val="24"/>
        </w:rPr>
        <w:tab/>
      </w:r>
      <w:r w:rsidR="00C72B9C" w:rsidRPr="003B4362">
        <w:rPr>
          <w:rFonts w:eastAsia="Calibri"/>
          <w:szCs w:val="24"/>
        </w:rPr>
        <w:t>I</w:t>
      </w:r>
      <w:bookmarkStart w:id="1690" w:name="_Hlk120095753"/>
      <w:r w:rsidR="00C72B9C" w:rsidRPr="003B4362">
        <w:rPr>
          <w:rFonts w:eastAsia="Calibri"/>
          <w:szCs w:val="24"/>
        </w:rPr>
        <w:t>f the Agency determines a shorter schedule is feasible</w:t>
      </w:r>
      <w:bookmarkEnd w:id="1690"/>
      <w:r w:rsidR="00C72B9C" w:rsidRPr="003B4362">
        <w:rPr>
          <w:rFonts w:eastAsia="Calibri"/>
          <w:szCs w:val="24"/>
        </w:rPr>
        <w:t xml:space="preserve">, </w:t>
      </w:r>
      <w:bookmarkStart w:id="1691" w:name="_Hlk120096275"/>
      <w:r w:rsidR="00C72B9C" w:rsidRPr="003B4362">
        <w:rPr>
          <w:rFonts w:eastAsia="Calibri"/>
          <w:szCs w:val="24"/>
        </w:rPr>
        <w:t>the Agency</w:t>
      </w:r>
      <w:r w:rsidRPr="003B4362">
        <w:rPr>
          <w:rFonts w:eastAsia="Calibri"/>
          <w:szCs w:val="24"/>
        </w:rPr>
        <w:t xml:space="preserve"> </w:t>
      </w:r>
      <w:r w:rsidR="00C72B9C" w:rsidRPr="003B4362">
        <w:rPr>
          <w:rFonts w:eastAsia="Calibri"/>
          <w:szCs w:val="24"/>
        </w:rPr>
        <w:t>must</w:t>
      </w:r>
      <w:r w:rsidRPr="003B4362">
        <w:rPr>
          <w:rFonts w:eastAsia="Calibri"/>
          <w:szCs w:val="24"/>
        </w:rPr>
        <w:t xml:space="preserve"> </w:t>
      </w:r>
      <w:bookmarkStart w:id="1692" w:name="_Hlk120096659"/>
      <w:r w:rsidR="004D0FDD" w:rsidRPr="003B4362">
        <w:rPr>
          <w:rFonts w:eastAsia="Calibri"/>
          <w:szCs w:val="24"/>
        </w:rPr>
        <w:t xml:space="preserve">issue a SEP </w:t>
      </w:r>
      <w:r w:rsidRPr="003B4362">
        <w:rPr>
          <w:rFonts w:eastAsia="Calibri"/>
          <w:szCs w:val="24"/>
        </w:rPr>
        <w:t>requir</w:t>
      </w:r>
      <w:r w:rsidR="004D0FDD" w:rsidRPr="003B4362">
        <w:rPr>
          <w:rFonts w:eastAsia="Calibri"/>
          <w:szCs w:val="24"/>
        </w:rPr>
        <w:t>ing</w:t>
      </w:r>
      <w:bookmarkEnd w:id="1692"/>
      <w:r w:rsidRPr="003B4362">
        <w:rPr>
          <w:rFonts w:eastAsia="Calibri"/>
          <w:szCs w:val="24"/>
        </w:rPr>
        <w:t xml:space="preserve"> a </w:t>
      </w:r>
      <w:r w:rsidR="00C72B9C" w:rsidRPr="003B4362">
        <w:rPr>
          <w:rFonts w:eastAsia="Calibri"/>
          <w:szCs w:val="24"/>
        </w:rPr>
        <w:t>supplier</w:t>
      </w:r>
      <w:r w:rsidRPr="003B4362">
        <w:rPr>
          <w:rFonts w:eastAsia="Calibri"/>
          <w:szCs w:val="24"/>
        </w:rPr>
        <w:t xml:space="preserve"> to replace </w:t>
      </w:r>
      <w:r w:rsidR="005D6932" w:rsidRPr="003B4362">
        <w:rPr>
          <w:rFonts w:eastAsia="Calibri"/>
          <w:szCs w:val="24"/>
        </w:rPr>
        <w:t>l</w:t>
      </w:r>
      <w:r w:rsidRPr="003B4362">
        <w:rPr>
          <w:rFonts w:eastAsia="Calibri"/>
          <w:szCs w:val="24"/>
        </w:rPr>
        <w:t xml:space="preserve">ead service lines on a shorter schedule than this </w:t>
      </w:r>
      <w:r w:rsidR="004D0FDD" w:rsidRPr="003B4362">
        <w:rPr>
          <w:rFonts w:eastAsia="Calibri"/>
          <w:szCs w:val="24"/>
        </w:rPr>
        <w:t>S</w:t>
      </w:r>
      <w:r w:rsidRPr="003B4362">
        <w:rPr>
          <w:rFonts w:eastAsia="Calibri"/>
          <w:szCs w:val="24"/>
        </w:rPr>
        <w:t>ection</w:t>
      </w:r>
      <w:r w:rsidR="004D0FDD" w:rsidRPr="003B4362">
        <w:rPr>
          <w:rFonts w:eastAsia="Calibri"/>
          <w:szCs w:val="24"/>
        </w:rPr>
        <w:t xml:space="preserve"> otherwise requires</w:t>
      </w:r>
      <w:bookmarkEnd w:id="1691"/>
      <w:r w:rsidRPr="003B4362">
        <w:rPr>
          <w:rFonts w:eastAsia="Calibri"/>
          <w:szCs w:val="24"/>
        </w:rPr>
        <w:t xml:space="preserve">, taking into account the number of </w:t>
      </w:r>
      <w:bookmarkStart w:id="1693" w:name="_Hlk120096500"/>
      <w:r w:rsidR="00655876" w:rsidRPr="003B4362">
        <w:rPr>
          <w:rFonts w:eastAsia="Calibri"/>
          <w:szCs w:val="24"/>
        </w:rPr>
        <w:t>l</w:t>
      </w:r>
      <w:r w:rsidRPr="003B4362">
        <w:rPr>
          <w:rFonts w:eastAsia="Calibri"/>
          <w:szCs w:val="24"/>
        </w:rPr>
        <w:t xml:space="preserve">ead service lines in the </w:t>
      </w:r>
      <w:r w:rsidR="004D0FDD" w:rsidRPr="003B4362">
        <w:rPr>
          <w:rFonts w:eastAsia="Calibri"/>
          <w:szCs w:val="24"/>
        </w:rPr>
        <w:t xml:space="preserve">supplier’s </w:t>
      </w:r>
      <w:r w:rsidRPr="003B4362">
        <w:rPr>
          <w:rFonts w:eastAsia="Calibri"/>
          <w:szCs w:val="24"/>
        </w:rPr>
        <w:t>system</w:t>
      </w:r>
      <w:bookmarkEnd w:id="1693"/>
      <w:r w:rsidRPr="003B4362">
        <w:rPr>
          <w:rFonts w:eastAsia="Calibri"/>
          <w:szCs w:val="24"/>
        </w:rPr>
        <w:t xml:space="preserve">.  The </w:t>
      </w:r>
      <w:r w:rsidR="002C47F0" w:rsidRPr="003B4362">
        <w:rPr>
          <w:rFonts w:eastAsia="Calibri"/>
          <w:szCs w:val="24"/>
        </w:rPr>
        <w:t>Agency</w:t>
      </w:r>
      <w:r w:rsidRPr="003B4362">
        <w:rPr>
          <w:rFonts w:eastAsia="Calibri"/>
          <w:szCs w:val="24"/>
        </w:rPr>
        <w:t xml:space="preserve"> </w:t>
      </w:r>
      <w:r w:rsidR="002C47F0" w:rsidRPr="003B4362">
        <w:rPr>
          <w:rFonts w:eastAsia="Calibri"/>
          <w:szCs w:val="24"/>
        </w:rPr>
        <w:t xml:space="preserve">must </w:t>
      </w:r>
      <w:bookmarkStart w:id="1694" w:name="_Hlk120099584"/>
      <w:r w:rsidR="002C47F0" w:rsidRPr="003B4362">
        <w:rPr>
          <w:rFonts w:eastAsia="Calibri"/>
          <w:szCs w:val="24"/>
        </w:rPr>
        <w:t>issue this SEP</w:t>
      </w:r>
      <w:bookmarkEnd w:id="1694"/>
      <w:r w:rsidRPr="003B4362">
        <w:rPr>
          <w:rFonts w:eastAsia="Calibri"/>
          <w:szCs w:val="24"/>
        </w:rPr>
        <w:t xml:space="preserve"> within six months after </w:t>
      </w:r>
      <w:bookmarkStart w:id="1695" w:name="_Hlk120099665"/>
      <w:r w:rsidRPr="003B4362">
        <w:rPr>
          <w:rFonts w:eastAsia="Calibri"/>
          <w:szCs w:val="24"/>
        </w:rPr>
        <w:t xml:space="preserve">the </w:t>
      </w:r>
      <w:r w:rsidR="002C47F0" w:rsidRPr="003B4362">
        <w:rPr>
          <w:rFonts w:eastAsia="Calibri"/>
          <w:szCs w:val="24"/>
        </w:rPr>
        <w:t>supplier</w:t>
      </w:r>
      <w:r w:rsidRPr="003B4362">
        <w:rPr>
          <w:rFonts w:eastAsia="Calibri"/>
          <w:szCs w:val="24"/>
        </w:rPr>
        <w:t xml:space="preserve"> </w:t>
      </w:r>
      <w:r w:rsidR="002C47F0" w:rsidRPr="003B4362">
        <w:rPr>
          <w:rFonts w:eastAsia="Calibri"/>
          <w:szCs w:val="24"/>
        </w:rPr>
        <w:t>must</w:t>
      </w:r>
      <w:r w:rsidRPr="003B4362">
        <w:rPr>
          <w:rFonts w:eastAsia="Calibri"/>
          <w:szCs w:val="24"/>
        </w:rPr>
        <w:t xml:space="preserve"> begin </w:t>
      </w:r>
      <w:r w:rsidR="002C47F0" w:rsidRPr="003B4362">
        <w:rPr>
          <w:rFonts w:eastAsia="Calibri"/>
          <w:szCs w:val="24"/>
        </w:rPr>
        <w:t xml:space="preserve">replacing </w:t>
      </w:r>
      <w:r w:rsidR="00F8291C" w:rsidRPr="003B4362">
        <w:rPr>
          <w:rFonts w:eastAsia="Calibri"/>
          <w:szCs w:val="24"/>
        </w:rPr>
        <w:t>l</w:t>
      </w:r>
      <w:r w:rsidRPr="003B4362">
        <w:rPr>
          <w:rFonts w:eastAsia="Calibri"/>
          <w:szCs w:val="24"/>
        </w:rPr>
        <w:t>ead service line</w:t>
      </w:r>
      <w:r w:rsidR="002C47F0" w:rsidRPr="003B4362">
        <w:rPr>
          <w:rFonts w:eastAsia="Calibri"/>
          <w:szCs w:val="24"/>
        </w:rPr>
        <w:t>s</w:t>
      </w:r>
      <w:bookmarkEnd w:id="1695"/>
      <w:r w:rsidR="002C47F0" w:rsidRPr="003B4362">
        <w:rPr>
          <w:rFonts w:eastAsia="Calibri"/>
          <w:szCs w:val="24"/>
        </w:rPr>
        <w:t xml:space="preserve"> </w:t>
      </w:r>
      <w:r w:rsidRPr="003B4362">
        <w:rPr>
          <w:rFonts w:eastAsia="Calibri"/>
          <w:szCs w:val="24"/>
        </w:rPr>
        <w:t>under subsection (g).</w:t>
      </w:r>
    </w:p>
    <w:p w14:paraId="7A9978AD" w14:textId="4DB50790" w:rsidR="009557C7" w:rsidRPr="003B4362" w:rsidRDefault="009557C7" w:rsidP="009557C7">
      <w:pPr>
        <w:autoSpaceDE w:val="0"/>
        <w:autoSpaceDN w:val="0"/>
        <w:adjustRightInd w:val="0"/>
        <w:spacing w:before="240" w:after="240"/>
        <w:ind w:left="1440" w:hanging="720"/>
        <w:rPr>
          <w:rFonts w:eastAsia="Calibri"/>
          <w:szCs w:val="24"/>
        </w:rPr>
      </w:pPr>
      <w:r w:rsidRPr="003B4362">
        <w:rPr>
          <w:rFonts w:eastAsia="Calibri"/>
          <w:szCs w:val="24"/>
        </w:rPr>
        <w:t>h)</w:t>
      </w:r>
      <w:r w:rsidRPr="003B4362">
        <w:rPr>
          <w:rFonts w:eastAsia="Calibri"/>
          <w:szCs w:val="24"/>
        </w:rPr>
        <w:tab/>
      </w:r>
      <w:bookmarkStart w:id="1696" w:name="_Hlk120101478"/>
      <w:bookmarkStart w:id="1697" w:name="_Hlk120101682"/>
      <w:r w:rsidRPr="003B4362">
        <w:rPr>
          <w:rFonts w:eastAsia="Calibri"/>
          <w:szCs w:val="24"/>
        </w:rPr>
        <w:t xml:space="preserve">Reporting to </w:t>
      </w:r>
      <w:r w:rsidR="00A36BAA" w:rsidRPr="003B4362">
        <w:rPr>
          <w:rFonts w:eastAsia="Calibri"/>
          <w:szCs w:val="24"/>
        </w:rPr>
        <w:t>D</w:t>
      </w:r>
      <w:r w:rsidRPr="003B4362">
        <w:rPr>
          <w:rFonts w:eastAsia="Calibri"/>
          <w:szCs w:val="24"/>
        </w:rPr>
        <w:t xml:space="preserve">emonstrate </w:t>
      </w:r>
      <w:r w:rsidR="00A36BAA" w:rsidRPr="003B4362">
        <w:rPr>
          <w:rFonts w:eastAsia="Calibri"/>
          <w:szCs w:val="24"/>
        </w:rPr>
        <w:t>C</w:t>
      </w:r>
      <w:r w:rsidRPr="003B4362">
        <w:rPr>
          <w:rFonts w:eastAsia="Calibri"/>
          <w:szCs w:val="24"/>
        </w:rPr>
        <w:t xml:space="preserve">ompliance to </w:t>
      </w:r>
      <w:bookmarkEnd w:id="1696"/>
      <w:r w:rsidR="00A36BAA" w:rsidRPr="003B4362">
        <w:rPr>
          <w:rFonts w:eastAsia="Calibri"/>
          <w:szCs w:val="24"/>
        </w:rPr>
        <w:t>the Agency</w:t>
      </w:r>
      <w:bookmarkEnd w:id="1697"/>
      <w:r w:rsidRPr="003B4362">
        <w:rPr>
          <w:rFonts w:eastAsia="Calibri"/>
          <w:szCs w:val="24"/>
        </w:rPr>
        <w:t xml:space="preserve">.  To </w:t>
      </w:r>
      <w:bookmarkStart w:id="1698" w:name="_Hlk120101840"/>
      <w:r w:rsidRPr="003B4362">
        <w:rPr>
          <w:rFonts w:eastAsia="Calibri"/>
          <w:szCs w:val="24"/>
        </w:rPr>
        <w:t xml:space="preserve">demonstrate </w:t>
      </w:r>
      <w:r w:rsidR="00A36BAA" w:rsidRPr="003B4362">
        <w:rPr>
          <w:rFonts w:eastAsia="Calibri"/>
          <w:szCs w:val="24"/>
        </w:rPr>
        <w:t>that it complies</w:t>
      </w:r>
      <w:bookmarkEnd w:id="1698"/>
      <w:r w:rsidRPr="003B4362">
        <w:rPr>
          <w:rFonts w:eastAsia="Calibri"/>
          <w:szCs w:val="24"/>
        </w:rPr>
        <w:t xml:space="preserve"> with subsections (a) through (g), </w:t>
      </w:r>
      <w:bookmarkStart w:id="1699" w:name="_Hlk120101913"/>
      <w:bookmarkStart w:id="1700" w:name="_Hlk120102216"/>
      <w:r w:rsidRPr="003B4362">
        <w:rPr>
          <w:rFonts w:eastAsia="Calibri"/>
          <w:szCs w:val="24"/>
        </w:rPr>
        <w:t xml:space="preserve">a </w:t>
      </w:r>
      <w:r w:rsidR="00A36BAA" w:rsidRPr="003B4362">
        <w:rPr>
          <w:rFonts w:eastAsia="Calibri"/>
          <w:szCs w:val="24"/>
        </w:rPr>
        <w:t>supplier</w:t>
      </w:r>
      <w:r w:rsidRPr="003B4362">
        <w:rPr>
          <w:rFonts w:eastAsia="Calibri"/>
          <w:szCs w:val="24"/>
        </w:rPr>
        <w:t xml:space="preserve"> </w:t>
      </w:r>
      <w:r w:rsidR="00A36BAA" w:rsidRPr="003B4362">
        <w:rPr>
          <w:rFonts w:eastAsia="Calibri"/>
          <w:szCs w:val="24"/>
        </w:rPr>
        <w:t>must</w:t>
      </w:r>
      <w:r w:rsidRPr="003B4362">
        <w:rPr>
          <w:rFonts w:eastAsia="Calibri"/>
          <w:szCs w:val="24"/>
        </w:rPr>
        <w:t xml:space="preserve"> report</w:t>
      </w:r>
      <w:r w:rsidR="00A36BAA" w:rsidRPr="003B4362">
        <w:rPr>
          <w:rFonts w:eastAsia="Calibri"/>
          <w:szCs w:val="24"/>
        </w:rPr>
        <w:t xml:space="preserve"> the information</w:t>
      </w:r>
      <w:r w:rsidR="00146218" w:rsidRPr="003B4362">
        <w:rPr>
          <w:rFonts w:eastAsia="Calibri"/>
          <w:szCs w:val="24"/>
        </w:rPr>
        <w:t xml:space="preserve"> </w:t>
      </w:r>
      <w:r w:rsidR="00A36BAA" w:rsidRPr="003B4362">
        <w:rPr>
          <w:rFonts w:eastAsia="Calibri"/>
          <w:szCs w:val="24"/>
        </w:rPr>
        <w:t xml:space="preserve">Section </w:t>
      </w:r>
      <w:r w:rsidR="006809F4" w:rsidRPr="003B4362">
        <w:rPr>
          <w:szCs w:val="24"/>
        </w:rPr>
        <w:t>611.36</w:t>
      </w:r>
      <w:r w:rsidR="00A36BAA" w:rsidRPr="003B4362">
        <w:rPr>
          <w:rFonts w:eastAsia="Calibri"/>
          <w:szCs w:val="24"/>
        </w:rPr>
        <w:t>0(e)</w:t>
      </w:r>
      <w:r w:rsidRPr="003B4362">
        <w:rPr>
          <w:rFonts w:eastAsia="Calibri"/>
          <w:szCs w:val="24"/>
        </w:rPr>
        <w:t xml:space="preserve"> </w:t>
      </w:r>
      <w:bookmarkEnd w:id="1699"/>
      <w:r w:rsidR="00146218" w:rsidRPr="003B4362">
        <w:rPr>
          <w:rFonts w:eastAsia="Calibri"/>
          <w:szCs w:val="24"/>
        </w:rPr>
        <w:t>specifies to the Agency</w:t>
      </w:r>
      <w:bookmarkEnd w:id="1700"/>
      <w:r w:rsidRPr="003B4362">
        <w:rPr>
          <w:rFonts w:eastAsia="Calibri"/>
          <w:szCs w:val="24"/>
        </w:rPr>
        <w:t>.</w:t>
      </w:r>
    </w:p>
    <w:p w14:paraId="1CB39623" w14:textId="63D6809A" w:rsidR="005451CE" w:rsidRPr="003B4362" w:rsidRDefault="005451CE" w:rsidP="005451CE">
      <w:pPr>
        <w:spacing w:before="240" w:after="240"/>
        <w:rPr>
          <w:rFonts w:eastAsia="Calibri"/>
        </w:rPr>
      </w:pPr>
      <w:r w:rsidRPr="003B4362">
        <w:rPr>
          <w:rFonts w:eastAsia="Calibri"/>
        </w:rPr>
        <w:t xml:space="preserve">BOARD NOTE:  </w:t>
      </w:r>
      <w:r w:rsidR="00114BB5" w:rsidRPr="003B4362">
        <w:rPr>
          <w:rFonts w:eastAsia="Calibri"/>
          <w:spacing w:val="-3"/>
        </w:rPr>
        <w:t xml:space="preserve">This Section derives </w:t>
      </w:r>
      <w:r w:rsidR="00C7749C" w:rsidRPr="003B4362">
        <w:rPr>
          <w:rFonts w:eastAsia="Calibri"/>
          <w:spacing w:val="-3"/>
        </w:rPr>
        <w:t xml:space="preserve">from </w:t>
      </w:r>
      <w:r w:rsidRPr="003B4362">
        <w:rPr>
          <w:rFonts w:eastAsia="Calibri"/>
        </w:rPr>
        <w:t>40 CFR 141.84.</w:t>
      </w:r>
    </w:p>
    <w:p w14:paraId="30937DFB" w14:textId="2F035511"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2554C1AE" w14:textId="5CDAD762" w:rsidR="005451CE" w:rsidRPr="003B4362" w:rsidRDefault="005451CE" w:rsidP="00B24394">
      <w:pPr>
        <w:rPr>
          <w:rFonts w:eastAsia="Calibri"/>
          <w:b/>
          <w:bCs/>
        </w:rPr>
      </w:pPr>
      <w:r w:rsidRPr="003B4362">
        <w:rPr>
          <w:rFonts w:eastAsia="Calibri"/>
          <w:b/>
          <w:bCs/>
        </w:rPr>
        <w:t>Section 611.355  Public Education and Supplemental Monitoring</w:t>
      </w:r>
      <w:r w:rsidR="00114BB5" w:rsidRPr="003B4362">
        <w:rPr>
          <w:b/>
          <w:bCs/>
          <w:szCs w:val="24"/>
        </w:rPr>
        <w:t xml:space="preserve"> </w:t>
      </w:r>
      <w:bookmarkStart w:id="1701" w:name="_Hlk120103735"/>
      <w:r w:rsidR="00114BB5" w:rsidRPr="003B4362">
        <w:rPr>
          <w:b/>
          <w:bCs/>
          <w:szCs w:val="24"/>
        </w:rPr>
        <w:t>and Mitigation</w:t>
      </w:r>
      <w:bookmarkEnd w:id="1701"/>
    </w:p>
    <w:p w14:paraId="3F96EC3B" w14:textId="20218BA1" w:rsidR="005451CE" w:rsidRPr="003B4362" w:rsidRDefault="005451CE" w:rsidP="005451CE">
      <w:pPr>
        <w:spacing w:before="240" w:after="240"/>
        <w:rPr>
          <w:rFonts w:eastAsia="Calibri"/>
        </w:rPr>
      </w:pPr>
      <w:bookmarkStart w:id="1702" w:name="_Hlk120123833"/>
      <w:r w:rsidRPr="003B4362">
        <w:rPr>
          <w:rFonts w:eastAsia="Calibri"/>
        </w:rPr>
        <w:t>A supplier exceeding the lead action level based on tap water samples under Section 611.356 must deliver the public education materials subsection (a) requires under subsection (b).  A supplier exceeding the lead action level must sample the tap water of any customer requesting sampling under subsection (c).</w:t>
      </w:r>
      <w:r w:rsidR="004236B7" w:rsidRPr="003B4362">
        <w:rPr>
          <w:szCs w:val="24"/>
        </w:rPr>
        <w:t xml:space="preserve">  </w:t>
      </w:r>
      <w:bookmarkStart w:id="1703" w:name="_Hlk120121593"/>
      <w:r w:rsidR="00337D34" w:rsidRPr="003B4362">
        <w:rPr>
          <w:szCs w:val="24"/>
        </w:rPr>
        <w:t>A</w:t>
      </w:r>
      <w:bookmarkStart w:id="1704" w:name="_Hlk120122164"/>
      <w:r w:rsidR="004236B7" w:rsidRPr="003B4362">
        <w:rPr>
          <w:szCs w:val="24"/>
        </w:rPr>
        <w:t xml:space="preserve"> small </w:t>
      </w:r>
      <w:r w:rsidR="00337D34" w:rsidRPr="003B4362">
        <w:rPr>
          <w:szCs w:val="24"/>
        </w:rPr>
        <w:t>CWS</w:t>
      </w:r>
      <w:r w:rsidR="004236B7" w:rsidRPr="003B4362">
        <w:rPr>
          <w:szCs w:val="24"/>
        </w:rPr>
        <w:t xml:space="preserve"> </w:t>
      </w:r>
      <w:r w:rsidR="00337D34" w:rsidRPr="003B4362">
        <w:rPr>
          <w:szCs w:val="24"/>
        </w:rPr>
        <w:t>or</w:t>
      </w:r>
      <w:r w:rsidR="004236B7" w:rsidRPr="003B4362">
        <w:rPr>
          <w:szCs w:val="24"/>
        </w:rPr>
        <w:t xml:space="preserve"> </w:t>
      </w:r>
      <w:r w:rsidR="00337D34" w:rsidRPr="003B4362">
        <w:rPr>
          <w:szCs w:val="24"/>
        </w:rPr>
        <w:t>NTNCWS supplier</w:t>
      </w:r>
      <w:r w:rsidR="004236B7" w:rsidRPr="003B4362">
        <w:rPr>
          <w:szCs w:val="24"/>
        </w:rPr>
        <w:t xml:space="preserve"> </w:t>
      </w:r>
      <w:bookmarkEnd w:id="1703"/>
      <w:r w:rsidR="00337D34" w:rsidRPr="003B4362">
        <w:rPr>
          <w:szCs w:val="24"/>
        </w:rPr>
        <w:t>electing</w:t>
      </w:r>
      <w:bookmarkEnd w:id="1704"/>
      <w:r w:rsidR="004236B7" w:rsidRPr="003B4362">
        <w:rPr>
          <w:szCs w:val="24"/>
        </w:rPr>
        <w:t xml:space="preserve"> to implement POU devices </w:t>
      </w:r>
      <w:r w:rsidR="00337D34" w:rsidRPr="003B4362">
        <w:rPr>
          <w:szCs w:val="24"/>
        </w:rPr>
        <w:t xml:space="preserve">as a small </w:t>
      </w:r>
      <w:r w:rsidR="00DB64C0" w:rsidRPr="003B4362">
        <w:rPr>
          <w:szCs w:val="24"/>
        </w:rPr>
        <w:t>supplier</w:t>
      </w:r>
      <w:r w:rsidR="00337D34" w:rsidRPr="003B4362">
        <w:rPr>
          <w:szCs w:val="24"/>
        </w:rPr>
        <w:t xml:space="preserve"> compliance flexibility option </w:t>
      </w:r>
      <w:r w:rsidR="004236B7" w:rsidRPr="003B4362">
        <w:rPr>
          <w:szCs w:val="24"/>
        </w:rPr>
        <w:t xml:space="preserve">under Section </w:t>
      </w:r>
      <w:r w:rsidR="006809F4" w:rsidRPr="003B4362">
        <w:rPr>
          <w:szCs w:val="24"/>
        </w:rPr>
        <w:t>61</w:t>
      </w:r>
      <w:r w:rsidR="004236B7" w:rsidRPr="003B4362">
        <w:rPr>
          <w:szCs w:val="24"/>
        </w:rPr>
        <w:t>1.</w:t>
      </w:r>
      <w:r w:rsidR="006809F4" w:rsidRPr="003B4362">
        <w:rPr>
          <w:szCs w:val="24"/>
        </w:rPr>
        <w:t>36</w:t>
      </w:r>
      <w:r w:rsidR="004236B7" w:rsidRPr="003B4362">
        <w:rPr>
          <w:szCs w:val="24"/>
        </w:rPr>
        <w:t xml:space="preserve">3 must </w:t>
      </w:r>
      <w:bookmarkStart w:id="1705" w:name="_Hlk120122330"/>
      <w:r w:rsidR="004236B7" w:rsidRPr="003B4362">
        <w:rPr>
          <w:szCs w:val="24"/>
        </w:rPr>
        <w:t>provide public education materials</w:t>
      </w:r>
      <w:bookmarkEnd w:id="1705"/>
      <w:r w:rsidR="00A54AC5" w:rsidRPr="003B4362">
        <w:rPr>
          <w:szCs w:val="24"/>
        </w:rPr>
        <w:t xml:space="preserve"> </w:t>
      </w:r>
      <w:bookmarkStart w:id="1706" w:name="_Hlk120122253"/>
      <w:r w:rsidR="00A54AC5" w:rsidRPr="003B4362">
        <w:rPr>
          <w:szCs w:val="24"/>
        </w:rPr>
        <w:t>as subsection (j) requires</w:t>
      </w:r>
      <w:bookmarkEnd w:id="1706"/>
      <w:r w:rsidR="004236B7" w:rsidRPr="003B4362">
        <w:rPr>
          <w:szCs w:val="24"/>
        </w:rPr>
        <w:t xml:space="preserve"> to inform users how to properly use POU devices.</w:t>
      </w:r>
      <w:r w:rsidRPr="003B4362">
        <w:rPr>
          <w:rFonts w:eastAsia="Calibri"/>
        </w:rPr>
        <w:t xml:space="preserve">  A supplier must deliver a consumer notice of lead tap water monitoring results to persons the supplier serves at each site that the supplier </w:t>
      </w:r>
      <w:r w:rsidR="00812CB1" w:rsidRPr="003B4362">
        <w:rPr>
          <w:rFonts w:eastAsia="Calibri"/>
        </w:rPr>
        <w:t>sample</w:t>
      </w:r>
      <w:r w:rsidRPr="003B4362">
        <w:rPr>
          <w:rFonts w:eastAsia="Calibri"/>
        </w:rPr>
        <w:t>s, as subsection (d) specifies.</w:t>
      </w:r>
      <w:r w:rsidR="00812CB1" w:rsidRPr="003B4362">
        <w:rPr>
          <w:rFonts w:eastAsia="Calibri"/>
        </w:rPr>
        <w:t xml:space="preserve">  </w:t>
      </w:r>
      <w:r w:rsidR="00812CB1" w:rsidRPr="003B4362">
        <w:rPr>
          <w:szCs w:val="24"/>
        </w:rPr>
        <w:t>A</w:t>
      </w:r>
      <w:bookmarkStart w:id="1707" w:name="_Hlk120117583"/>
      <w:bookmarkStart w:id="1708" w:name="_Hlk120117748"/>
      <w:r w:rsidR="00812CB1" w:rsidRPr="003B4362">
        <w:rPr>
          <w:szCs w:val="24"/>
        </w:rPr>
        <w:t xml:space="preserve"> </w:t>
      </w:r>
      <w:r w:rsidR="004D6ACA" w:rsidRPr="003B4362">
        <w:rPr>
          <w:szCs w:val="24"/>
        </w:rPr>
        <w:t>supplier</w:t>
      </w:r>
      <w:r w:rsidR="00812CB1" w:rsidRPr="003B4362">
        <w:rPr>
          <w:szCs w:val="24"/>
        </w:rPr>
        <w:t xml:space="preserve"> with</w:t>
      </w:r>
      <w:r w:rsidR="00DC29D1" w:rsidRPr="003B4362">
        <w:rPr>
          <w:szCs w:val="24"/>
        </w:rPr>
        <w:t xml:space="preserve"> lead, galvanized requiring replacement, or lead status unk</w:t>
      </w:r>
      <w:r w:rsidR="00812CB1" w:rsidRPr="003B4362">
        <w:rPr>
          <w:szCs w:val="24"/>
        </w:rPr>
        <w:t>nown service lines</w:t>
      </w:r>
      <w:bookmarkEnd w:id="1707"/>
      <w:r w:rsidR="004D6ACA" w:rsidRPr="003B4362">
        <w:rPr>
          <w:szCs w:val="24"/>
        </w:rPr>
        <w:t>, as defined in Section 611.</w:t>
      </w:r>
      <w:r w:rsidR="00A3328E" w:rsidRPr="003B4362">
        <w:rPr>
          <w:szCs w:val="24"/>
        </w:rPr>
        <w:t>354</w:t>
      </w:r>
      <w:r w:rsidR="004D6ACA" w:rsidRPr="003B4362">
        <w:rPr>
          <w:szCs w:val="24"/>
        </w:rPr>
        <w:t>(a)(4),</w:t>
      </w:r>
      <w:r w:rsidR="00812CB1" w:rsidRPr="003B4362">
        <w:rPr>
          <w:szCs w:val="24"/>
        </w:rPr>
        <w:t xml:space="preserve"> must</w:t>
      </w:r>
      <w:bookmarkEnd w:id="1708"/>
      <w:r w:rsidR="00812CB1" w:rsidRPr="003B4362">
        <w:rPr>
          <w:szCs w:val="24"/>
        </w:rPr>
        <w:t xml:space="preserve"> </w:t>
      </w:r>
      <w:bookmarkStart w:id="1709" w:name="_Hlk120118083"/>
      <w:bookmarkStart w:id="1710" w:name="_Hlk120118698"/>
      <w:r w:rsidR="00812CB1" w:rsidRPr="003B4362">
        <w:rPr>
          <w:szCs w:val="24"/>
        </w:rPr>
        <w:t xml:space="preserve">deliver public education materials to persons </w:t>
      </w:r>
      <w:r w:rsidR="007E470D" w:rsidRPr="003B4362">
        <w:rPr>
          <w:szCs w:val="24"/>
        </w:rPr>
        <w:t>served through these</w:t>
      </w:r>
      <w:r w:rsidR="00812CB1" w:rsidRPr="003B4362">
        <w:rPr>
          <w:szCs w:val="24"/>
        </w:rPr>
        <w:t xml:space="preserve"> service line</w:t>
      </w:r>
      <w:r w:rsidR="007E470D" w:rsidRPr="003B4362">
        <w:rPr>
          <w:szCs w:val="24"/>
        </w:rPr>
        <w:t>s</w:t>
      </w:r>
      <w:r w:rsidR="00812CB1" w:rsidRPr="003B4362">
        <w:rPr>
          <w:szCs w:val="24"/>
        </w:rPr>
        <w:t xml:space="preserve"> as</w:t>
      </w:r>
      <w:r w:rsidR="007E470D" w:rsidRPr="003B4362">
        <w:rPr>
          <w:szCs w:val="24"/>
        </w:rPr>
        <w:t xml:space="preserve"> </w:t>
      </w:r>
      <w:r w:rsidR="00812CB1" w:rsidRPr="003B4362">
        <w:rPr>
          <w:szCs w:val="24"/>
        </w:rPr>
        <w:t xml:space="preserve">subsections (e) through (g) </w:t>
      </w:r>
      <w:bookmarkEnd w:id="1709"/>
      <w:r w:rsidR="007E470D" w:rsidRPr="003B4362">
        <w:rPr>
          <w:szCs w:val="24"/>
        </w:rPr>
        <w:t>specify</w:t>
      </w:r>
      <w:bookmarkEnd w:id="1710"/>
      <w:r w:rsidR="00812CB1" w:rsidRPr="003B4362">
        <w:rPr>
          <w:szCs w:val="24"/>
        </w:rPr>
        <w:t xml:space="preserve">.  </w:t>
      </w:r>
      <w:r w:rsidR="007E470D" w:rsidRPr="003B4362">
        <w:rPr>
          <w:szCs w:val="24"/>
        </w:rPr>
        <w:t>A CWS supplier</w:t>
      </w:r>
      <w:r w:rsidR="00812CB1" w:rsidRPr="003B4362">
        <w:rPr>
          <w:szCs w:val="24"/>
        </w:rPr>
        <w:t xml:space="preserve"> must conduct annual </w:t>
      </w:r>
      <w:bookmarkStart w:id="1711" w:name="_Hlk120119128"/>
      <w:r w:rsidR="00812CB1" w:rsidRPr="003B4362">
        <w:rPr>
          <w:szCs w:val="24"/>
        </w:rPr>
        <w:t xml:space="preserve">outreach to </w:t>
      </w:r>
      <w:r w:rsidR="00124A38" w:rsidRPr="003B4362">
        <w:rPr>
          <w:szCs w:val="24"/>
        </w:rPr>
        <w:t xml:space="preserve">the Illinois Department of Public Health and </w:t>
      </w:r>
      <w:r w:rsidR="00812CB1" w:rsidRPr="003B4362">
        <w:rPr>
          <w:szCs w:val="24"/>
        </w:rPr>
        <w:t>local</w:t>
      </w:r>
      <w:r w:rsidR="00124A38" w:rsidRPr="003B4362">
        <w:rPr>
          <w:szCs w:val="24"/>
        </w:rPr>
        <w:t xml:space="preserve"> </w:t>
      </w:r>
      <w:r w:rsidR="00812CB1" w:rsidRPr="003B4362">
        <w:rPr>
          <w:szCs w:val="24"/>
        </w:rPr>
        <w:t>health agencies as</w:t>
      </w:r>
      <w:r w:rsidR="00124A38" w:rsidRPr="003B4362">
        <w:rPr>
          <w:szCs w:val="24"/>
        </w:rPr>
        <w:t xml:space="preserve"> </w:t>
      </w:r>
      <w:r w:rsidR="00812CB1" w:rsidRPr="003B4362">
        <w:rPr>
          <w:szCs w:val="24"/>
        </w:rPr>
        <w:t xml:space="preserve">subsection (i) </w:t>
      </w:r>
      <w:r w:rsidR="00124A38" w:rsidRPr="003B4362">
        <w:rPr>
          <w:szCs w:val="24"/>
        </w:rPr>
        <w:t>provides</w:t>
      </w:r>
      <w:bookmarkEnd w:id="1711"/>
      <w:r w:rsidR="00812CB1" w:rsidRPr="003B4362">
        <w:rPr>
          <w:szCs w:val="24"/>
        </w:rPr>
        <w:t xml:space="preserve">.  A </w:t>
      </w:r>
      <w:r w:rsidR="003647AA" w:rsidRPr="003B4362">
        <w:rPr>
          <w:szCs w:val="24"/>
        </w:rPr>
        <w:t>CWS supplier</w:t>
      </w:r>
      <w:r w:rsidR="00812CB1" w:rsidRPr="003B4362">
        <w:rPr>
          <w:szCs w:val="24"/>
        </w:rPr>
        <w:t xml:space="preserve"> serving more than 10,000 persons </w:t>
      </w:r>
      <w:bookmarkStart w:id="1712" w:name="_Hlk120119692"/>
      <w:r w:rsidR="003647AA" w:rsidRPr="003B4362">
        <w:rPr>
          <w:szCs w:val="24"/>
        </w:rPr>
        <w:t>failing</w:t>
      </w:r>
      <w:r w:rsidR="00812CB1" w:rsidRPr="003B4362">
        <w:rPr>
          <w:szCs w:val="24"/>
        </w:rPr>
        <w:t xml:space="preserve"> to meet</w:t>
      </w:r>
      <w:bookmarkEnd w:id="1712"/>
      <w:r w:rsidR="00812CB1" w:rsidRPr="003B4362">
        <w:rPr>
          <w:szCs w:val="24"/>
        </w:rPr>
        <w:t xml:space="preserve"> its annual lead service line replacement goal</w:t>
      </w:r>
      <w:bookmarkStart w:id="1713" w:name="_Hlk120119844"/>
      <w:r w:rsidR="003647AA" w:rsidRPr="003B4362">
        <w:rPr>
          <w:szCs w:val="24"/>
        </w:rPr>
        <w:t xml:space="preserve"> </w:t>
      </w:r>
      <w:bookmarkStart w:id="1714" w:name="_Hlk120120029"/>
      <w:r w:rsidR="00812CB1" w:rsidRPr="003B4362">
        <w:rPr>
          <w:szCs w:val="24"/>
        </w:rPr>
        <w:t xml:space="preserve">under Section </w:t>
      </w:r>
      <w:r w:rsidR="003647AA" w:rsidRPr="003B4362">
        <w:rPr>
          <w:szCs w:val="24"/>
        </w:rPr>
        <w:t>61</w:t>
      </w:r>
      <w:r w:rsidR="00812CB1" w:rsidRPr="003B4362">
        <w:rPr>
          <w:szCs w:val="24"/>
        </w:rPr>
        <w:t>1.</w:t>
      </w:r>
      <w:r w:rsidR="003647AA" w:rsidRPr="003B4362">
        <w:rPr>
          <w:szCs w:val="24"/>
        </w:rPr>
        <w:t>35</w:t>
      </w:r>
      <w:r w:rsidR="00812CB1" w:rsidRPr="003B4362">
        <w:rPr>
          <w:szCs w:val="24"/>
        </w:rPr>
        <w:t>4(f)</w:t>
      </w:r>
      <w:bookmarkEnd w:id="1713"/>
      <w:bookmarkEnd w:id="1714"/>
      <w:r w:rsidR="00812CB1" w:rsidRPr="003B4362">
        <w:rPr>
          <w:szCs w:val="24"/>
        </w:rPr>
        <w:t xml:space="preserve"> </w:t>
      </w:r>
      <w:bookmarkStart w:id="1715" w:name="_Hlk120120132"/>
      <w:r w:rsidR="003647AA" w:rsidRPr="003B4362">
        <w:rPr>
          <w:szCs w:val="24"/>
        </w:rPr>
        <w:t>must</w:t>
      </w:r>
      <w:r w:rsidR="00812CB1" w:rsidRPr="003B4362">
        <w:rPr>
          <w:szCs w:val="24"/>
        </w:rPr>
        <w:t xml:space="preserve"> conduct</w:t>
      </w:r>
      <w:bookmarkEnd w:id="1715"/>
      <w:r w:rsidR="00812CB1" w:rsidRPr="003B4362">
        <w:rPr>
          <w:szCs w:val="24"/>
        </w:rPr>
        <w:t xml:space="preserve"> outreach activities </w:t>
      </w:r>
      <w:bookmarkStart w:id="1716" w:name="_Hlk120120485"/>
      <w:r w:rsidR="00812CB1" w:rsidRPr="003B4362">
        <w:rPr>
          <w:szCs w:val="24"/>
        </w:rPr>
        <w:t>as</w:t>
      </w:r>
      <w:r w:rsidR="004236B7" w:rsidRPr="003B4362">
        <w:rPr>
          <w:szCs w:val="24"/>
        </w:rPr>
        <w:t xml:space="preserve"> </w:t>
      </w:r>
      <w:r w:rsidR="00812CB1" w:rsidRPr="003B4362">
        <w:rPr>
          <w:szCs w:val="24"/>
        </w:rPr>
        <w:t xml:space="preserve">subsection (h) </w:t>
      </w:r>
      <w:r w:rsidR="004236B7" w:rsidRPr="003B4362">
        <w:rPr>
          <w:szCs w:val="24"/>
        </w:rPr>
        <w:t>specifies</w:t>
      </w:r>
      <w:bookmarkEnd w:id="1716"/>
      <w:r w:rsidR="00812CB1" w:rsidRPr="003B4362">
        <w:rPr>
          <w:szCs w:val="24"/>
        </w:rPr>
        <w:t>.</w:t>
      </w:r>
    </w:p>
    <w:bookmarkEnd w:id="1702"/>
    <w:p w14:paraId="1BF159DE" w14:textId="06609DAC" w:rsidR="005451CE" w:rsidRPr="003B4362" w:rsidRDefault="005451CE" w:rsidP="005451CE">
      <w:pPr>
        <w:spacing w:before="240" w:after="240"/>
        <w:ind w:left="1440" w:hanging="720"/>
        <w:rPr>
          <w:rFonts w:eastAsia="Calibri"/>
        </w:rPr>
      </w:pPr>
      <w:r w:rsidRPr="003B4362">
        <w:rPr>
          <w:rFonts w:eastAsia="Calibri"/>
        </w:rPr>
        <w:t>a)</w:t>
      </w:r>
      <w:r w:rsidRPr="003B4362">
        <w:rPr>
          <w:rFonts w:eastAsia="Calibri"/>
        </w:rPr>
        <w:tab/>
        <w:t>Content of Written Public Education Materials</w:t>
      </w:r>
    </w:p>
    <w:p w14:paraId="1511699A" w14:textId="0312B091"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Community Water Systems and Non-Transient Non-Community Water Systems.  A CWS or NTNCWS supplier must include the following elements in printed materials (e.g., brochures and pamphlets) in the same order as listed in subsections (a)(1)(A) through (a)(1)(</w:t>
      </w:r>
      <w:r w:rsidR="005B6FC1" w:rsidRPr="003B4362">
        <w:rPr>
          <w:rFonts w:eastAsia="Calibri"/>
        </w:rPr>
        <w:t>G</w:t>
      </w:r>
      <w:r w:rsidRPr="003B4362">
        <w:rPr>
          <w:rFonts w:eastAsia="Calibri"/>
        </w:rPr>
        <w:t xml:space="preserve">).  In addition, the supplier must use the verbatim language in subsections (a)(1)(A), (a)(1)(B), and (a)(1)(F), except for replacing the text in brackets with the system-specific information.  Any additional information a supplier </w:t>
      </w:r>
      <w:r w:rsidRPr="003B4362">
        <w:rPr>
          <w:rFonts w:eastAsia="Calibri"/>
        </w:rPr>
        <w:lastRenderedPageBreak/>
        <w:t>presents must be consistent with the information in subsections (a)(1)(A)</w:t>
      </w:r>
      <w:r w:rsidR="002B3B65" w:rsidRPr="003B4362">
        <w:rPr>
          <w:rFonts w:eastAsia="Calibri"/>
        </w:rPr>
        <w:t>,</w:t>
      </w:r>
      <w:r w:rsidRPr="003B4362">
        <w:rPr>
          <w:rFonts w:eastAsia="Calibri"/>
        </w:rPr>
        <w:t xml:space="preserve"> through (a)(1)(</w:t>
      </w:r>
      <w:r w:rsidR="007B769E" w:rsidRPr="003B4362">
        <w:rPr>
          <w:rFonts w:eastAsia="Calibri"/>
        </w:rPr>
        <w:t>G</w:t>
      </w:r>
      <w:r w:rsidRPr="003B4362">
        <w:rPr>
          <w:rFonts w:eastAsia="Calibri"/>
        </w:rPr>
        <w:t>), and the supplier must present the additional information in plain language that the general public can understand.  The supplier must submit all written public education materials to the Agency</w:t>
      </w:r>
      <w:r w:rsidR="00DF18F8" w:rsidRPr="003B4362">
        <w:rPr>
          <w:rFonts w:eastAsia="Calibri"/>
        </w:rPr>
        <w:t xml:space="preserve"> prior to delivery</w:t>
      </w:r>
      <w:r w:rsidRPr="003B4362">
        <w:rPr>
          <w:rFonts w:eastAsia="Calibri"/>
        </w:rPr>
        <w:t>.</w:t>
      </w:r>
      <w:r w:rsidR="007B769E" w:rsidRPr="003B4362">
        <w:rPr>
          <w:szCs w:val="24"/>
        </w:rPr>
        <w:t xml:space="preserve">  A supplier may change the mandatory language in subsections (a)(1)(A) and (a)(1)(B) </w:t>
      </w:r>
      <w:bookmarkStart w:id="1717" w:name="_Hlk120131277"/>
      <w:r w:rsidR="007B769E" w:rsidRPr="003B4362">
        <w:rPr>
          <w:szCs w:val="24"/>
        </w:rPr>
        <w:t>only as the Agency approves in a SEP</w:t>
      </w:r>
      <w:bookmarkEnd w:id="1717"/>
      <w:r w:rsidR="007B769E" w:rsidRPr="003B4362">
        <w:rPr>
          <w:szCs w:val="24"/>
        </w:rPr>
        <w:t>.</w:t>
      </w:r>
    </w:p>
    <w:p w14:paraId="580CE527" w14:textId="77777777"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IMPORTANT INFORMATION ABOUT LEAD IN YOUR DRINKING WATER.  [INSERT NAME OF SUPPLIER] found elevated levels of lead in drinking water in some homes/buildings.  Lead can cause serious health problems, especially for pregnant women and young children.  Please read this information closely to see what you can do to reduce lead in your drinking water.</w:t>
      </w:r>
    </w:p>
    <w:p w14:paraId="3A6BCA47" w14:textId="3AA2D000"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Health Effects of Lead.  </w:t>
      </w:r>
      <w:r w:rsidR="007B769E" w:rsidRPr="003B4362">
        <w:rPr>
          <w:szCs w:val="24"/>
        </w:rPr>
        <w:t xml:space="preserve">Exposure to lead in drinking water </w:t>
      </w:r>
      <w:r w:rsidRPr="003B4362">
        <w:rPr>
          <w:rFonts w:eastAsia="Calibri"/>
        </w:rPr>
        <w:t>can cause serious health</w:t>
      </w:r>
      <w:r w:rsidR="002F3DCD" w:rsidRPr="003B4362">
        <w:rPr>
          <w:szCs w:val="24"/>
        </w:rPr>
        <w:t xml:space="preserve"> effects in all age groups</w:t>
      </w:r>
      <w:r w:rsidRPr="003B4362">
        <w:rPr>
          <w:rFonts w:eastAsia="Calibri"/>
        </w:rPr>
        <w:t>.</w:t>
      </w:r>
      <w:r w:rsidR="002F3DCD" w:rsidRPr="003B4362">
        <w:rPr>
          <w:szCs w:val="24"/>
        </w:rPr>
        <w:t xml:space="preserve">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168F4315" w14:textId="77777777"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Sources of Lead</w:t>
      </w:r>
    </w:p>
    <w:p w14:paraId="110D435D" w14:textId="77777777"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Explain what lead is.</w:t>
      </w:r>
    </w:p>
    <w:p w14:paraId="44DE0C3E" w14:textId="77777777"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Explain possible sources of lead in drinking water and how lead enters drinking water.  Include information on home and building plumbing materials and service lines that may contain lead.</w:t>
      </w:r>
    </w:p>
    <w:p w14:paraId="15888EFA" w14:textId="77777777" w:rsidR="005451CE" w:rsidRPr="003B4362" w:rsidRDefault="005451CE" w:rsidP="005451CE">
      <w:pPr>
        <w:spacing w:before="240" w:after="240"/>
        <w:ind w:left="3600" w:hanging="720"/>
        <w:rPr>
          <w:rFonts w:eastAsia="Calibri"/>
        </w:rPr>
      </w:pPr>
      <w:r w:rsidRPr="003B4362">
        <w:rPr>
          <w:rFonts w:eastAsia="Calibri"/>
        </w:rPr>
        <w:t>iii)</w:t>
      </w:r>
      <w:r w:rsidRPr="003B4362">
        <w:rPr>
          <w:rFonts w:eastAsia="Calibri"/>
        </w:rPr>
        <w:tab/>
        <w:t>Discuss other important sources of lead exposure in addition to drinking water (e.g., paint).</w:t>
      </w:r>
    </w:p>
    <w:p w14:paraId="32E1C83D" w14:textId="450B87EC" w:rsidR="005451CE" w:rsidRPr="003B4362" w:rsidRDefault="005451CE" w:rsidP="005451CE">
      <w:pPr>
        <w:spacing w:before="240" w:after="240"/>
        <w:ind w:left="2880"/>
        <w:rPr>
          <w:rFonts w:eastAsia="Calibri"/>
        </w:rPr>
      </w:pPr>
      <w:r w:rsidRPr="003B4362">
        <w:rPr>
          <w:rFonts w:eastAsia="Calibri"/>
        </w:rPr>
        <w:t>BOARD NOTE:  The supplier must use text providing the information this subsection (a)(1)(C) describes.</w:t>
      </w:r>
    </w:p>
    <w:p w14:paraId="1ACBA793" w14:textId="666A4DE3" w:rsidR="005451CE" w:rsidRPr="003B4362" w:rsidRDefault="005451CE" w:rsidP="005451CE">
      <w:pPr>
        <w:spacing w:before="240" w:after="240"/>
        <w:ind w:left="2880" w:hanging="720"/>
        <w:rPr>
          <w:rFonts w:eastAsia="Calibri"/>
        </w:rPr>
      </w:pPr>
      <w:r w:rsidRPr="003B4362">
        <w:rPr>
          <w:rFonts w:eastAsia="Calibri"/>
        </w:rPr>
        <w:t>D)</w:t>
      </w:r>
      <w:r w:rsidRPr="003B4362">
        <w:rPr>
          <w:rFonts w:eastAsia="Calibri"/>
        </w:rPr>
        <w:tab/>
        <w:t>Discuss the steps the consumer can take to reduce exposure to lead in drinking water.</w:t>
      </w:r>
    </w:p>
    <w:p w14:paraId="11E87CF6" w14:textId="77777777"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Encourage running the water to flush out the lead.</w:t>
      </w:r>
    </w:p>
    <w:p w14:paraId="1F0E9295" w14:textId="77777777" w:rsidR="005451CE" w:rsidRPr="003B4362" w:rsidRDefault="005451CE" w:rsidP="005451CE">
      <w:pPr>
        <w:spacing w:before="240" w:after="240"/>
        <w:ind w:left="3600" w:hanging="720"/>
        <w:rPr>
          <w:rFonts w:eastAsia="Calibri"/>
        </w:rPr>
      </w:pPr>
      <w:r w:rsidRPr="003B4362">
        <w:rPr>
          <w:rFonts w:eastAsia="Calibri"/>
        </w:rPr>
        <w:lastRenderedPageBreak/>
        <w:t>ii)</w:t>
      </w:r>
      <w:r w:rsidRPr="003B4362">
        <w:rPr>
          <w:rFonts w:eastAsia="Calibri"/>
        </w:rPr>
        <w:tab/>
        <w:t>Explain concerns with using hot water from the tap and specifically caution against the use of hot water for preparing baby formula.</w:t>
      </w:r>
    </w:p>
    <w:p w14:paraId="0D1A0DDD" w14:textId="77777777" w:rsidR="005451CE" w:rsidRPr="003B4362" w:rsidRDefault="005451CE" w:rsidP="005451CE">
      <w:pPr>
        <w:spacing w:before="240" w:after="240"/>
        <w:ind w:left="3600" w:hanging="720"/>
        <w:rPr>
          <w:rFonts w:eastAsia="Calibri"/>
        </w:rPr>
      </w:pPr>
      <w:r w:rsidRPr="003B4362">
        <w:rPr>
          <w:rFonts w:eastAsia="Calibri"/>
        </w:rPr>
        <w:t>iii)</w:t>
      </w:r>
      <w:r w:rsidRPr="003B4362">
        <w:rPr>
          <w:rFonts w:eastAsia="Calibri"/>
        </w:rPr>
        <w:tab/>
        <w:t>Explain that boiling water does not reduce lead levels.</w:t>
      </w:r>
    </w:p>
    <w:p w14:paraId="3B927F73" w14:textId="173ADF8C" w:rsidR="005451CE" w:rsidRPr="003B4362" w:rsidRDefault="005451CE" w:rsidP="005451CE">
      <w:pPr>
        <w:spacing w:before="240" w:after="240"/>
        <w:ind w:left="3600" w:hanging="720"/>
        <w:rPr>
          <w:rFonts w:eastAsia="Calibri"/>
        </w:rPr>
      </w:pPr>
      <w:r w:rsidRPr="003B4362">
        <w:rPr>
          <w:rFonts w:eastAsia="Calibri"/>
        </w:rPr>
        <w:t>iv)</w:t>
      </w:r>
      <w:r w:rsidRPr="003B4362">
        <w:rPr>
          <w:rFonts w:eastAsia="Calibri"/>
        </w:rPr>
        <w:tab/>
        <w:t>Discuss other options consumers can take to reduce exposure to lead in drinking water, such as alternative sources or water treatment.</w:t>
      </w:r>
    </w:p>
    <w:p w14:paraId="7E302009" w14:textId="77777777" w:rsidR="005451CE" w:rsidRPr="003B4362" w:rsidRDefault="005451CE" w:rsidP="005451CE">
      <w:pPr>
        <w:spacing w:before="240" w:after="240"/>
        <w:ind w:left="3600" w:hanging="720"/>
        <w:rPr>
          <w:rFonts w:eastAsia="Calibri"/>
        </w:rPr>
      </w:pPr>
      <w:r w:rsidRPr="003B4362">
        <w:rPr>
          <w:rFonts w:eastAsia="Calibri"/>
        </w:rPr>
        <w:t>v)</w:t>
      </w:r>
      <w:r w:rsidRPr="003B4362">
        <w:rPr>
          <w:rFonts w:eastAsia="Calibri"/>
        </w:rPr>
        <w:tab/>
        <w:t>Suggest that parents have their child’s blood tested for lead.</w:t>
      </w:r>
    </w:p>
    <w:p w14:paraId="174A017E" w14:textId="0F6FAF18" w:rsidR="005451CE" w:rsidRPr="003B4362" w:rsidRDefault="005451CE" w:rsidP="005451CE">
      <w:pPr>
        <w:spacing w:before="240" w:after="240"/>
        <w:ind w:left="2880"/>
        <w:rPr>
          <w:rFonts w:eastAsia="Calibri"/>
        </w:rPr>
      </w:pPr>
      <w:r w:rsidRPr="003B4362">
        <w:rPr>
          <w:rFonts w:eastAsia="Calibri"/>
        </w:rPr>
        <w:t>BOARD NOTE:  The supplier must use text providing the information this (a)(1)(D) describes.</w:t>
      </w:r>
    </w:p>
    <w:p w14:paraId="0D27FAF2" w14:textId="77777777" w:rsidR="005451CE" w:rsidRPr="003B4362" w:rsidRDefault="005451CE" w:rsidP="005451CE">
      <w:pPr>
        <w:spacing w:before="240" w:after="240"/>
        <w:ind w:left="2880" w:hanging="720"/>
        <w:rPr>
          <w:rFonts w:eastAsia="Calibri"/>
        </w:rPr>
      </w:pPr>
      <w:r w:rsidRPr="003B4362">
        <w:rPr>
          <w:rFonts w:eastAsia="Calibri"/>
        </w:rPr>
        <w:t>E)</w:t>
      </w:r>
      <w:r w:rsidRPr="003B4362">
        <w:rPr>
          <w:rFonts w:eastAsia="Calibri"/>
        </w:rPr>
        <w:tab/>
        <w:t>Explain why there are elevated levels of lead in the supplier’s drinking water (if known) and what the supplier is doing to reduce the lead levels in homes and buildings in this area.</w:t>
      </w:r>
    </w:p>
    <w:p w14:paraId="51D2C3EB" w14:textId="7DDB01F7" w:rsidR="005451CE" w:rsidRPr="003B4362" w:rsidRDefault="005451CE" w:rsidP="005451CE">
      <w:pPr>
        <w:spacing w:before="240" w:after="240"/>
        <w:ind w:left="2880"/>
        <w:rPr>
          <w:rFonts w:eastAsia="Calibri"/>
        </w:rPr>
      </w:pPr>
      <w:r w:rsidRPr="003B4362">
        <w:rPr>
          <w:rFonts w:eastAsia="Calibri"/>
        </w:rPr>
        <w:t>BOARD NOTE:  The supplier must use text providing the information this (a)(1)(E) describes.</w:t>
      </w:r>
    </w:p>
    <w:p w14:paraId="1DB2FC71" w14:textId="55E74FEC" w:rsidR="005451CE" w:rsidRPr="003B4362" w:rsidRDefault="005451CE" w:rsidP="005451CE">
      <w:pPr>
        <w:spacing w:before="240" w:after="240"/>
        <w:ind w:left="2880" w:hanging="720"/>
        <w:rPr>
          <w:rFonts w:eastAsia="Calibri"/>
        </w:rPr>
      </w:pPr>
      <w:r w:rsidRPr="003B4362">
        <w:rPr>
          <w:rFonts w:eastAsia="Calibri"/>
        </w:rPr>
        <w:t>F)</w:t>
      </w:r>
      <w:r w:rsidRPr="003B4362">
        <w:rPr>
          <w:rFonts w:eastAsia="Calibri"/>
        </w:rPr>
        <w:tab/>
        <w:t xml:space="preserve">For more information, call us at [INSERT THE SUPPLIER’S NUMBER] [(IF APPLICABLE), or visit our Web site at [INSERT THE SUPPLIER’S WEB SITE HERE]].  For more information on reducing lead exposure around your home/building and the health effects of lead, visit USEPA’s Web site at </w:t>
      </w:r>
      <w:bookmarkStart w:id="1718" w:name="_Hlk114595327"/>
      <w:r w:rsidRPr="003B4362">
        <w:rPr>
          <w:rFonts w:eastAsia="Calibri"/>
        </w:rPr>
        <w:t xml:space="preserve">www.epa.gov/lead </w:t>
      </w:r>
      <w:bookmarkEnd w:id="1718"/>
      <w:r w:rsidRPr="003B4362">
        <w:rPr>
          <w:rFonts w:eastAsia="Calibri"/>
        </w:rPr>
        <w:t>or contact your health care provider.</w:t>
      </w:r>
    </w:p>
    <w:p w14:paraId="30744918" w14:textId="22D8747B" w:rsidR="002F3DCD" w:rsidRPr="003B4362" w:rsidRDefault="002F3DCD" w:rsidP="002F3DCD">
      <w:pPr>
        <w:autoSpaceDE w:val="0"/>
        <w:autoSpaceDN w:val="0"/>
        <w:adjustRightInd w:val="0"/>
        <w:ind w:left="2880" w:hanging="720"/>
        <w:rPr>
          <w:szCs w:val="24"/>
        </w:rPr>
      </w:pPr>
      <w:r w:rsidRPr="003B4362">
        <w:rPr>
          <w:szCs w:val="24"/>
        </w:rPr>
        <w:t>G)</w:t>
      </w:r>
      <w:r w:rsidRPr="003B4362">
        <w:rPr>
          <w:szCs w:val="24"/>
        </w:rPr>
        <w:tab/>
      </w:r>
      <w:bookmarkStart w:id="1719" w:name="_Hlk120132346"/>
      <w:r w:rsidRPr="003B4362">
        <w:rPr>
          <w:szCs w:val="24"/>
        </w:rPr>
        <w:t>Information on Lead Service Lines</w:t>
      </w:r>
      <w:bookmarkEnd w:id="1719"/>
      <w:r w:rsidRPr="003B4362">
        <w:rPr>
          <w:szCs w:val="24"/>
        </w:rPr>
        <w:t xml:space="preserve">.  </w:t>
      </w:r>
      <w:bookmarkStart w:id="1720" w:name="_Hlk120136890"/>
      <w:r w:rsidR="006F125D" w:rsidRPr="003B4362">
        <w:rPr>
          <w:szCs w:val="24"/>
        </w:rPr>
        <w:t>A</w:t>
      </w:r>
      <w:bookmarkStart w:id="1721" w:name="_Hlk120137107"/>
      <w:r w:rsidR="006F125D" w:rsidRPr="003B4362">
        <w:rPr>
          <w:szCs w:val="24"/>
        </w:rPr>
        <w:t xml:space="preserve"> supplier</w:t>
      </w:r>
      <w:r w:rsidRPr="003B4362">
        <w:rPr>
          <w:szCs w:val="24"/>
        </w:rPr>
        <w:t xml:space="preserve"> </w:t>
      </w:r>
      <w:r w:rsidR="006F125D" w:rsidRPr="003B4362">
        <w:rPr>
          <w:szCs w:val="24"/>
        </w:rPr>
        <w:t>having</w:t>
      </w:r>
      <w:r w:rsidRPr="003B4362">
        <w:rPr>
          <w:szCs w:val="24"/>
        </w:rPr>
        <w:t xml:space="preserve"> lead service lines</w:t>
      </w:r>
      <w:bookmarkEnd w:id="1720"/>
      <w:r w:rsidR="006F125D" w:rsidRPr="003B4362">
        <w:rPr>
          <w:szCs w:val="24"/>
        </w:rPr>
        <w:t xml:space="preserve"> must</w:t>
      </w:r>
      <w:r w:rsidRPr="003B4362">
        <w:rPr>
          <w:szCs w:val="24"/>
        </w:rPr>
        <w:t xml:space="preserve"> discuss opportunities</w:t>
      </w:r>
      <w:bookmarkEnd w:id="1721"/>
      <w:r w:rsidRPr="003B4362">
        <w:rPr>
          <w:szCs w:val="24"/>
        </w:rPr>
        <w:t xml:space="preserve"> to replace lead service lines and explain </w:t>
      </w:r>
      <w:bookmarkStart w:id="1722" w:name="_Hlk120137256"/>
      <w:bookmarkStart w:id="1723" w:name="_Hlk120137584"/>
      <w:r w:rsidRPr="003B4362">
        <w:rPr>
          <w:szCs w:val="24"/>
        </w:rPr>
        <w:t xml:space="preserve">how </w:t>
      </w:r>
      <w:r w:rsidR="006F125D" w:rsidRPr="003B4362">
        <w:rPr>
          <w:szCs w:val="24"/>
        </w:rPr>
        <w:t>a consumer may</w:t>
      </w:r>
      <w:r w:rsidRPr="003B4362">
        <w:rPr>
          <w:szCs w:val="24"/>
        </w:rPr>
        <w:t xml:space="preserve"> access the </w:t>
      </w:r>
      <w:r w:rsidR="006F125D" w:rsidRPr="003B4362">
        <w:rPr>
          <w:szCs w:val="24"/>
        </w:rPr>
        <w:t xml:space="preserve">supplier’s lead </w:t>
      </w:r>
      <w:r w:rsidRPr="003B4362">
        <w:rPr>
          <w:szCs w:val="24"/>
        </w:rPr>
        <w:t xml:space="preserve">service line inventory </w:t>
      </w:r>
      <w:bookmarkEnd w:id="1722"/>
      <w:r w:rsidR="006F125D" w:rsidRPr="003B4362">
        <w:rPr>
          <w:szCs w:val="24"/>
        </w:rPr>
        <w:t>to determine whether the consumer has</w:t>
      </w:r>
      <w:bookmarkEnd w:id="1723"/>
      <w:r w:rsidRPr="003B4362">
        <w:rPr>
          <w:szCs w:val="24"/>
        </w:rPr>
        <w:t xml:space="preserve"> a lead service line.  </w:t>
      </w:r>
      <w:r w:rsidR="00A51C52" w:rsidRPr="003B4362">
        <w:rPr>
          <w:szCs w:val="24"/>
        </w:rPr>
        <w:t>The supplier must i</w:t>
      </w:r>
      <w:r w:rsidRPr="003B4362">
        <w:rPr>
          <w:szCs w:val="24"/>
        </w:rPr>
        <w:t xml:space="preserve">nclude information on </w:t>
      </w:r>
      <w:bookmarkStart w:id="1724" w:name="_Hlk120137771"/>
      <w:r w:rsidRPr="003B4362">
        <w:rPr>
          <w:szCs w:val="24"/>
        </w:rPr>
        <w:t xml:space="preserve">programs </w:t>
      </w:r>
      <w:r w:rsidR="00A51C52" w:rsidRPr="003B4362">
        <w:rPr>
          <w:szCs w:val="24"/>
        </w:rPr>
        <w:t>providing</w:t>
      </w:r>
      <w:r w:rsidRPr="003B4362">
        <w:rPr>
          <w:szCs w:val="24"/>
        </w:rPr>
        <w:t xml:space="preserve"> financing</w:t>
      </w:r>
      <w:bookmarkEnd w:id="1724"/>
      <w:r w:rsidRPr="003B4362">
        <w:rPr>
          <w:szCs w:val="24"/>
        </w:rPr>
        <w:t xml:space="preserve"> solutions to </w:t>
      </w:r>
      <w:bookmarkStart w:id="1725" w:name="_Hlk120137877"/>
      <w:r w:rsidRPr="003B4362">
        <w:rPr>
          <w:szCs w:val="24"/>
        </w:rPr>
        <w:t xml:space="preserve">assist property owners </w:t>
      </w:r>
      <w:r w:rsidR="00A51C52" w:rsidRPr="003B4362">
        <w:rPr>
          <w:szCs w:val="24"/>
        </w:rPr>
        <w:t>in replacing</w:t>
      </w:r>
      <w:r w:rsidRPr="003B4362">
        <w:rPr>
          <w:szCs w:val="24"/>
        </w:rPr>
        <w:t xml:space="preserve"> their portion</w:t>
      </w:r>
      <w:bookmarkEnd w:id="1725"/>
      <w:r w:rsidRPr="003B4362">
        <w:rPr>
          <w:szCs w:val="24"/>
        </w:rPr>
        <w:t xml:space="preserve"> of a lead service line, </w:t>
      </w:r>
      <w:bookmarkStart w:id="1726" w:name="_Hlk120138115"/>
      <w:r w:rsidR="00A51C52" w:rsidRPr="003B4362">
        <w:rPr>
          <w:szCs w:val="24"/>
        </w:rPr>
        <w:t>with</w:t>
      </w:r>
      <w:r w:rsidRPr="003B4362">
        <w:rPr>
          <w:szCs w:val="24"/>
        </w:rPr>
        <w:t xml:space="preserve"> a statement that the water system </w:t>
      </w:r>
      <w:r w:rsidR="00A51C52" w:rsidRPr="003B4362">
        <w:rPr>
          <w:szCs w:val="24"/>
        </w:rPr>
        <w:t>must</w:t>
      </w:r>
      <w:r w:rsidRPr="003B4362">
        <w:rPr>
          <w:szCs w:val="24"/>
        </w:rPr>
        <w:t xml:space="preserve"> replace </w:t>
      </w:r>
      <w:r w:rsidR="00A51C52" w:rsidRPr="003B4362">
        <w:rPr>
          <w:szCs w:val="24"/>
        </w:rPr>
        <w:t>the supplier-owned</w:t>
      </w:r>
      <w:r w:rsidRPr="003B4362">
        <w:rPr>
          <w:szCs w:val="24"/>
        </w:rPr>
        <w:t xml:space="preserve"> portion</w:t>
      </w:r>
      <w:bookmarkEnd w:id="1726"/>
      <w:r w:rsidRPr="003B4362">
        <w:rPr>
          <w:szCs w:val="24"/>
        </w:rPr>
        <w:t xml:space="preserve"> of a lead service line when </w:t>
      </w:r>
      <w:bookmarkStart w:id="1727" w:name="_Hlk120138401"/>
      <w:r w:rsidRPr="003B4362">
        <w:rPr>
          <w:szCs w:val="24"/>
        </w:rPr>
        <w:t xml:space="preserve">the property owner notifies </w:t>
      </w:r>
      <w:r w:rsidR="007F10E6" w:rsidRPr="003B4362">
        <w:rPr>
          <w:szCs w:val="24"/>
        </w:rPr>
        <w:t>the supplier that the consumer will replace the property owners</w:t>
      </w:r>
      <w:r w:rsidRPr="003B4362">
        <w:rPr>
          <w:szCs w:val="24"/>
        </w:rPr>
        <w:t xml:space="preserve"> portion</w:t>
      </w:r>
      <w:bookmarkEnd w:id="1727"/>
      <w:r w:rsidRPr="003B4362">
        <w:rPr>
          <w:szCs w:val="24"/>
        </w:rPr>
        <w:t xml:space="preserve"> of the lead service line.</w:t>
      </w:r>
    </w:p>
    <w:p w14:paraId="594A6BC0" w14:textId="26560885"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Community Water Systems.  In addition to including </w:t>
      </w:r>
      <w:bookmarkStart w:id="1728" w:name="_Hlk114596159"/>
      <w:r w:rsidRPr="003B4362">
        <w:rPr>
          <w:rFonts w:eastAsia="Calibri"/>
        </w:rPr>
        <w:t>the elements subsection (a)(1) specifies</w:t>
      </w:r>
      <w:bookmarkEnd w:id="1728"/>
      <w:r w:rsidRPr="003B4362">
        <w:rPr>
          <w:rFonts w:eastAsia="Calibri"/>
        </w:rPr>
        <w:t xml:space="preserve">, </w:t>
      </w:r>
      <w:bookmarkStart w:id="1729" w:name="_Hlk114596266"/>
      <w:r w:rsidRPr="003B4362">
        <w:rPr>
          <w:rFonts w:eastAsia="Calibri"/>
        </w:rPr>
        <w:t>a CWS supplier must include two information items</w:t>
      </w:r>
      <w:bookmarkEnd w:id="1729"/>
      <w:r w:rsidRPr="003B4362">
        <w:rPr>
          <w:rFonts w:eastAsia="Calibri"/>
        </w:rPr>
        <w:t>:</w:t>
      </w:r>
    </w:p>
    <w:p w14:paraId="17148B7B" w14:textId="500D08E8"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w:t>
      </w:r>
      <w:bookmarkStart w:id="1730" w:name="_Hlk114596405"/>
      <w:r w:rsidRPr="003B4362">
        <w:rPr>
          <w:rFonts w:eastAsia="Calibri"/>
        </w:rPr>
        <w:t>he supplier must tell consumers</w:t>
      </w:r>
      <w:bookmarkEnd w:id="1730"/>
      <w:r w:rsidRPr="003B4362">
        <w:rPr>
          <w:rFonts w:eastAsia="Calibri"/>
        </w:rPr>
        <w:t xml:space="preserve"> how to get their water tested; and</w:t>
      </w:r>
    </w:p>
    <w:p w14:paraId="0A37A249" w14:textId="77E3A179" w:rsidR="005451CE" w:rsidRPr="003B4362" w:rsidRDefault="005451CE" w:rsidP="005451CE">
      <w:pPr>
        <w:spacing w:before="240" w:after="240"/>
        <w:ind w:left="2880" w:hanging="720"/>
        <w:rPr>
          <w:rFonts w:eastAsia="Calibri"/>
        </w:rPr>
      </w:pPr>
      <w:r w:rsidRPr="003B4362">
        <w:rPr>
          <w:rFonts w:eastAsia="Calibri"/>
        </w:rPr>
        <w:lastRenderedPageBreak/>
        <w:t>B)</w:t>
      </w:r>
      <w:r w:rsidRPr="003B4362">
        <w:rPr>
          <w:rFonts w:eastAsia="Calibri"/>
        </w:rPr>
        <w:tab/>
        <w:t xml:space="preserve">The supplier </w:t>
      </w:r>
      <w:bookmarkStart w:id="1731" w:name="_Hlk114596479"/>
      <w:r w:rsidRPr="003B4362">
        <w:rPr>
          <w:rFonts w:eastAsia="Calibri"/>
        </w:rPr>
        <w:t>must discuss</w:t>
      </w:r>
      <w:bookmarkStart w:id="1732" w:name="_Hlk114596507"/>
      <w:bookmarkEnd w:id="1731"/>
      <w:r w:rsidRPr="003B4362">
        <w:rPr>
          <w:rFonts w:eastAsia="Calibri"/>
        </w:rPr>
        <w:t xml:space="preserve"> lead</w:t>
      </w:r>
      <w:bookmarkEnd w:id="1732"/>
      <w:r w:rsidRPr="003B4362">
        <w:rPr>
          <w:rFonts w:eastAsia="Calibri"/>
        </w:rPr>
        <w:t xml:space="preserve"> in plumbing components and the difference between low-lead and lead-free components.</w:t>
      </w:r>
    </w:p>
    <w:p w14:paraId="135991A1" w14:textId="28B4CFBC" w:rsidR="005451CE" w:rsidRPr="003B4362" w:rsidRDefault="005451CE" w:rsidP="005451CE">
      <w:pPr>
        <w:spacing w:before="240" w:after="240"/>
        <w:ind w:left="1440"/>
        <w:rPr>
          <w:rFonts w:eastAsia="Calibri"/>
        </w:rPr>
      </w:pPr>
      <w:r w:rsidRPr="003B4362">
        <w:rPr>
          <w:rFonts w:eastAsia="Calibri"/>
        </w:rPr>
        <w:t xml:space="preserve">BOARD NOTE:  At corresponding 40 CFR 141.85(a)(1), USEPA allowed the State to require prior approval of written public information materials.  Rather than require prior Agency approval, </w:t>
      </w:r>
      <w:bookmarkStart w:id="1733" w:name="_Hlk114596591"/>
      <w:r w:rsidRPr="003B4362">
        <w:rPr>
          <w:rFonts w:eastAsia="Calibri"/>
        </w:rPr>
        <w:t>the Board chooses to allow</w:t>
      </w:r>
      <w:bookmarkEnd w:id="1733"/>
      <w:r w:rsidRPr="003B4362">
        <w:rPr>
          <w:rFonts w:eastAsia="Calibri"/>
        </w:rPr>
        <w:t xml:space="preserve"> the Agency to raise any deficiencies that it may perceive using its existing procedure for review of public education materials.  T</w:t>
      </w:r>
      <w:bookmarkStart w:id="1734" w:name="_Hlk114596684"/>
      <w:r w:rsidRPr="003B4362">
        <w:rPr>
          <w:rFonts w:eastAsia="Calibri"/>
        </w:rPr>
        <w:t>he Agency outlines its standard practice</w:t>
      </w:r>
      <w:bookmarkStart w:id="1735" w:name="_Hlk114596720"/>
      <w:bookmarkEnd w:id="1734"/>
      <w:r w:rsidRPr="003B4362">
        <w:rPr>
          <w:rFonts w:eastAsia="Calibri"/>
        </w:rPr>
        <w:t xml:space="preserve"> for review of public information materials</w:t>
      </w:r>
      <w:bookmarkEnd w:id="1735"/>
      <w:r w:rsidRPr="003B4362">
        <w:rPr>
          <w:rFonts w:eastAsia="Calibri"/>
        </w:rPr>
        <w:t xml:space="preserve">:  The Agency provides a comprehensive public education packet to the supplier together with the notice that </w:t>
      </w:r>
      <w:bookmarkStart w:id="1736" w:name="_Hlk114596759"/>
      <w:r w:rsidRPr="003B4362">
        <w:rPr>
          <w:rFonts w:eastAsia="Calibri"/>
        </w:rPr>
        <w:t>the supplier exceeds the lead action level</w:t>
      </w:r>
      <w:bookmarkEnd w:id="1736"/>
      <w:r w:rsidRPr="003B4362">
        <w:rPr>
          <w:rFonts w:eastAsia="Calibri"/>
        </w:rPr>
        <w:t xml:space="preserve">.  That packet includes guidance and templates for the supplier to use in preparing and distributing its public education materials.  The supplier must send a copy of the public education materials that it distributes to the Agency, and the Agency reviews the copy of the materials after their distribution to the public.  The Agency directly communicates to the supplier any perceived defects in the materials.  </w:t>
      </w:r>
      <w:r w:rsidR="001C3EEE" w:rsidRPr="003B4362">
        <w:rPr>
          <w:rFonts w:eastAsia="Calibri"/>
        </w:rPr>
        <w:t xml:space="preserve">When </w:t>
      </w:r>
      <w:r w:rsidR="00BF38B8" w:rsidRPr="003B4362">
        <w:rPr>
          <w:rFonts w:eastAsia="Calibri"/>
        </w:rPr>
        <w:t>the Agency</w:t>
      </w:r>
      <w:r w:rsidR="001C3EEE" w:rsidRPr="003B4362">
        <w:rPr>
          <w:rFonts w:eastAsia="Calibri"/>
        </w:rPr>
        <w:t xml:space="preserve"> perceives minor defects, </w:t>
      </w:r>
      <w:r w:rsidR="00BF38B8" w:rsidRPr="003B4362">
        <w:rPr>
          <w:rFonts w:eastAsia="Calibri"/>
        </w:rPr>
        <w:t xml:space="preserve">it </w:t>
      </w:r>
      <w:r w:rsidRPr="003B4362">
        <w:rPr>
          <w:rFonts w:eastAsia="Calibri"/>
        </w:rPr>
        <w:t xml:space="preserve">will request correction </w:t>
      </w:r>
      <w:r w:rsidR="00945EEA" w:rsidRPr="003B4362">
        <w:rPr>
          <w:rFonts w:eastAsia="Calibri"/>
        </w:rPr>
        <w:t>i</w:t>
      </w:r>
      <w:r w:rsidRPr="003B4362">
        <w:rPr>
          <w:rFonts w:eastAsia="Calibri"/>
        </w:rPr>
        <w:t>n future distributions of the public education materials</w:t>
      </w:r>
      <w:r w:rsidR="001C3EEE" w:rsidRPr="003B4362">
        <w:rPr>
          <w:rFonts w:eastAsia="Calibri"/>
        </w:rPr>
        <w:t xml:space="preserve">.  </w:t>
      </w:r>
      <w:r w:rsidR="004F3BA4" w:rsidRPr="003B4362">
        <w:rPr>
          <w:rFonts w:eastAsia="Calibri"/>
        </w:rPr>
        <w:t>When the Agency perceives major defects</w:t>
      </w:r>
      <w:r w:rsidR="002302A1" w:rsidRPr="003B4362">
        <w:rPr>
          <w:rFonts w:eastAsia="Calibri"/>
        </w:rPr>
        <w:t xml:space="preserve"> in the materials</w:t>
      </w:r>
      <w:r w:rsidRPr="003B4362">
        <w:rPr>
          <w:rFonts w:eastAsia="Calibri"/>
        </w:rPr>
        <w:t xml:space="preserve">, </w:t>
      </w:r>
      <w:r w:rsidR="002C4616" w:rsidRPr="003B4362">
        <w:rPr>
          <w:rFonts w:eastAsia="Calibri"/>
        </w:rPr>
        <w:t xml:space="preserve">it </w:t>
      </w:r>
      <w:r w:rsidRPr="003B4362">
        <w:rPr>
          <w:rFonts w:eastAsia="Calibri"/>
        </w:rPr>
        <w:t xml:space="preserve">will request a redistribution of corrected public education materials </w:t>
      </w:r>
      <w:r w:rsidR="009B072C" w:rsidRPr="003B4362">
        <w:rPr>
          <w:rFonts w:eastAsia="Calibri"/>
        </w:rPr>
        <w:t>the supplier</w:t>
      </w:r>
      <w:r w:rsidR="00227052" w:rsidRPr="003B4362">
        <w:rPr>
          <w:rFonts w:eastAsia="Calibri"/>
        </w:rPr>
        <w:t xml:space="preserve"> </w:t>
      </w:r>
      <w:r w:rsidRPr="003B4362">
        <w:rPr>
          <w:rFonts w:eastAsia="Calibri"/>
        </w:rPr>
        <w:t>already distributed.</w:t>
      </w:r>
    </w:p>
    <w:p w14:paraId="6E348F6C" w14:textId="4845DEA7" w:rsidR="005451CE" w:rsidRPr="003B4362" w:rsidRDefault="005451CE" w:rsidP="005451CE">
      <w:pPr>
        <w:spacing w:before="240" w:after="240"/>
        <w:ind w:left="1440" w:hanging="720"/>
        <w:rPr>
          <w:rFonts w:eastAsia="Calibri"/>
        </w:rPr>
      </w:pPr>
      <w:r w:rsidRPr="003B4362">
        <w:rPr>
          <w:rFonts w:eastAsia="Calibri"/>
        </w:rPr>
        <w:t>b)</w:t>
      </w:r>
      <w:r w:rsidRPr="003B4362">
        <w:rPr>
          <w:rFonts w:eastAsia="Calibri"/>
        </w:rPr>
        <w:tab/>
      </w:r>
      <w:bookmarkStart w:id="1737" w:name="_Hlk114596853"/>
      <w:r w:rsidRPr="003B4362">
        <w:rPr>
          <w:rFonts w:eastAsia="Calibri"/>
        </w:rPr>
        <w:t>Delivering Public Education Materials</w:t>
      </w:r>
      <w:bookmarkEnd w:id="1737"/>
    </w:p>
    <w:p w14:paraId="716F1C71" w14:textId="16843114"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The </w:t>
      </w:r>
      <w:bookmarkStart w:id="1738" w:name="_Hlk114597016"/>
      <w:r w:rsidRPr="003B4362">
        <w:rPr>
          <w:rFonts w:eastAsia="Calibri"/>
        </w:rPr>
        <w:t>public education materials of a supplier serving a large proportion</w:t>
      </w:r>
      <w:bookmarkEnd w:id="1738"/>
      <w:r w:rsidRPr="003B4362">
        <w:rPr>
          <w:rFonts w:eastAsia="Calibri"/>
        </w:rPr>
        <w:t xml:space="preserve"> of non-English-speaking consumers must contain information in the appropriate languages regarding the importance of the notice, </w:t>
      </w:r>
      <w:bookmarkStart w:id="1739" w:name="_Hlk114597145"/>
      <w:r w:rsidRPr="003B4362">
        <w:rPr>
          <w:rFonts w:eastAsia="Calibri"/>
        </w:rPr>
        <w:t>or the materials must contain</w:t>
      </w:r>
      <w:bookmarkEnd w:id="1739"/>
      <w:r w:rsidRPr="003B4362">
        <w:rPr>
          <w:rFonts w:eastAsia="Calibri"/>
        </w:rPr>
        <w:t xml:space="preserve"> a telephone number or address </w:t>
      </w:r>
      <w:bookmarkStart w:id="1740" w:name="_Hlk114597202"/>
      <w:r w:rsidRPr="003B4362">
        <w:rPr>
          <w:rFonts w:eastAsia="Calibri"/>
        </w:rPr>
        <w:t>where a water consumer may contact the supplier</w:t>
      </w:r>
      <w:bookmarkEnd w:id="1740"/>
      <w:r w:rsidRPr="003B4362">
        <w:rPr>
          <w:rFonts w:eastAsia="Calibri"/>
        </w:rPr>
        <w:t xml:space="preserve"> to obtain a translated copy of the public education materials or to request assistance in the appropriate language.</w:t>
      </w:r>
    </w:p>
    <w:p w14:paraId="4EA2FEC8" w14:textId="2A637C5F"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A</w:t>
      </w:r>
      <w:bookmarkStart w:id="1741" w:name="_Hlk114599105"/>
      <w:r w:rsidRPr="003B4362">
        <w:rPr>
          <w:rFonts w:eastAsia="Calibri"/>
        </w:rPr>
        <w:t xml:space="preserve"> CWS supplier exceeding the lead action level</w:t>
      </w:r>
      <w:bookmarkEnd w:id="1741"/>
      <w:r w:rsidRPr="003B4362">
        <w:rPr>
          <w:rFonts w:eastAsia="Calibri"/>
        </w:rPr>
        <w:t xml:space="preserve"> on the basis of </w:t>
      </w:r>
      <w:bookmarkStart w:id="1742" w:name="_Hlk114599361"/>
      <w:r w:rsidRPr="003B4362">
        <w:rPr>
          <w:rFonts w:eastAsia="Calibri"/>
        </w:rPr>
        <w:t>tap water samples under Section 611.356</w:t>
      </w:r>
      <w:bookmarkEnd w:id="1742"/>
      <w:r w:rsidRPr="003B4362">
        <w:rPr>
          <w:rFonts w:eastAsia="Calibri"/>
        </w:rPr>
        <w:t xml:space="preserve"> </w:t>
      </w:r>
      <w:bookmarkStart w:id="1743" w:name="_Hlk114599232"/>
      <w:r w:rsidRPr="003B4362">
        <w:rPr>
          <w:rFonts w:eastAsia="Calibri"/>
        </w:rPr>
        <w:t>not already conducting public education tasks</w:t>
      </w:r>
      <w:bookmarkEnd w:id="1743"/>
      <w:r w:rsidRPr="003B4362">
        <w:rPr>
          <w:rFonts w:eastAsia="Calibri"/>
        </w:rPr>
        <w:t xml:space="preserve"> under this Section must complete public education tasks within 60 days after the end of the </w:t>
      </w:r>
      <w:r w:rsidR="00BA286F" w:rsidRPr="003B4362">
        <w:rPr>
          <w:rFonts w:eastAsia="Calibri"/>
        </w:rPr>
        <w:t>tap sampl</w:t>
      </w:r>
      <w:r w:rsidRPr="003B4362">
        <w:rPr>
          <w:rFonts w:eastAsia="Calibri"/>
        </w:rPr>
        <w:t xml:space="preserve">ing period in which the </w:t>
      </w:r>
      <w:r w:rsidRPr="003B4362">
        <w:rPr>
          <w:rFonts w:eastAsia="Calibri"/>
          <w:szCs w:val="24"/>
        </w:rPr>
        <w:t xml:space="preserve">exceedance </w:t>
      </w:r>
      <w:r w:rsidRPr="003B4362">
        <w:rPr>
          <w:rFonts w:eastAsia="Calibri"/>
        </w:rPr>
        <w:t>occurred:</w:t>
      </w:r>
    </w:p>
    <w:p w14:paraId="5E150F81" w14:textId="4BE15F33"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The CWS supplier must deliver </w:t>
      </w:r>
      <w:bookmarkStart w:id="1744" w:name="_Hlk114600279"/>
      <w:r w:rsidRPr="003B4362">
        <w:rPr>
          <w:rFonts w:eastAsia="Calibri"/>
        </w:rPr>
        <w:t>printed materials complying with subsection (a)</w:t>
      </w:r>
      <w:bookmarkEnd w:id="1744"/>
      <w:r w:rsidRPr="003B4362">
        <w:rPr>
          <w:rFonts w:eastAsia="Calibri"/>
        </w:rPr>
        <w:t xml:space="preserve"> to all of its bill-paying customers.</w:t>
      </w:r>
    </w:p>
    <w:p w14:paraId="6900A153" w14:textId="77777777"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Methods of Delivery for a CWS Supplier</w:t>
      </w:r>
    </w:p>
    <w:p w14:paraId="5839E8B5" w14:textId="1C24DCD4"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 xml:space="preserve">The CWS supplier must contact customers who are most at risk by delivering </w:t>
      </w:r>
      <w:bookmarkStart w:id="1745" w:name="_Hlk114600488"/>
      <w:r w:rsidRPr="003B4362">
        <w:rPr>
          <w:rFonts w:eastAsia="Calibri"/>
        </w:rPr>
        <w:t>education materials complying with subsection (a)</w:t>
      </w:r>
      <w:bookmarkEnd w:id="1745"/>
      <w:r w:rsidRPr="003B4362">
        <w:rPr>
          <w:rFonts w:eastAsia="Calibri"/>
        </w:rPr>
        <w:t xml:space="preserve"> to local public health agencies, even </w:t>
      </w:r>
      <w:bookmarkStart w:id="1746" w:name="_Hlk114600647"/>
      <w:r w:rsidRPr="003B4362">
        <w:rPr>
          <w:rFonts w:eastAsia="Calibri"/>
        </w:rPr>
        <w:t>if those agencies are not located</w:t>
      </w:r>
      <w:bookmarkEnd w:id="1746"/>
      <w:r w:rsidRPr="003B4362">
        <w:rPr>
          <w:rFonts w:eastAsia="Calibri"/>
        </w:rPr>
        <w:t xml:space="preserve"> within the supplier’s service area, </w:t>
      </w:r>
      <w:r w:rsidRPr="003B4362">
        <w:rPr>
          <w:rFonts w:eastAsia="Calibri"/>
        </w:rPr>
        <w:lastRenderedPageBreak/>
        <w:t xml:space="preserve">along with an informational </w:t>
      </w:r>
      <w:bookmarkStart w:id="1747" w:name="_Hlk114600716"/>
      <w:r w:rsidRPr="003B4362">
        <w:rPr>
          <w:rFonts w:eastAsia="Calibri"/>
        </w:rPr>
        <w:t>notice encouraging distribution</w:t>
      </w:r>
      <w:bookmarkEnd w:id="1747"/>
      <w:r w:rsidRPr="003B4362">
        <w:rPr>
          <w:rFonts w:eastAsia="Calibri"/>
        </w:rPr>
        <w:t xml:space="preserve"> to all of the agencies’ potentially affected customers or </w:t>
      </w:r>
      <w:bookmarkStart w:id="1748" w:name="_Hlk114600856"/>
      <w:r w:rsidRPr="003B4362">
        <w:rPr>
          <w:rFonts w:eastAsia="Calibri"/>
        </w:rPr>
        <w:t>the supplier’s consumers</w:t>
      </w:r>
      <w:bookmarkEnd w:id="1748"/>
      <w:r w:rsidRPr="003B4362">
        <w:rPr>
          <w:rFonts w:eastAsia="Calibri"/>
        </w:rPr>
        <w:t xml:space="preserve">.  The supplier must contact the local public health agencies directly by phone or in person.  The local public health agencies may provide a specific list of additional community-based </w:t>
      </w:r>
      <w:bookmarkStart w:id="1749" w:name="_Hlk114600917"/>
      <w:r w:rsidRPr="003B4362">
        <w:rPr>
          <w:rFonts w:eastAsia="Calibri"/>
        </w:rPr>
        <w:t>organizations serving the target populations</w:t>
      </w:r>
      <w:bookmarkEnd w:id="1749"/>
      <w:r w:rsidRPr="003B4362">
        <w:rPr>
          <w:rFonts w:eastAsia="Calibri"/>
        </w:rPr>
        <w:t>, which may include organizations outside the service area of the supplier.  I</w:t>
      </w:r>
      <w:bookmarkStart w:id="1750" w:name="_Hlk114601003"/>
      <w:r w:rsidRPr="003B4362">
        <w:rPr>
          <w:rFonts w:eastAsia="Calibri"/>
        </w:rPr>
        <w:t>f local health agencies provide lists</w:t>
      </w:r>
      <w:bookmarkEnd w:id="1750"/>
      <w:r w:rsidRPr="003B4362">
        <w:rPr>
          <w:rFonts w:eastAsia="Calibri"/>
        </w:rPr>
        <w:t xml:space="preserve">, the supplier must deliver education </w:t>
      </w:r>
      <w:bookmarkStart w:id="1751" w:name="_Hlk114601114"/>
      <w:r w:rsidRPr="003B4362">
        <w:rPr>
          <w:rFonts w:eastAsia="Calibri"/>
        </w:rPr>
        <w:t>materials that comply with subsection (a)</w:t>
      </w:r>
      <w:bookmarkEnd w:id="1751"/>
      <w:r w:rsidRPr="003B4362">
        <w:rPr>
          <w:rFonts w:eastAsia="Calibri"/>
        </w:rPr>
        <w:t xml:space="preserve"> to each of the organizations on the provided lists.</w:t>
      </w:r>
    </w:p>
    <w:p w14:paraId="40A155C0" w14:textId="0E32C6C9"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 xml:space="preserve">The CWS supplier must contact customers who are most at risk by delivering </w:t>
      </w:r>
      <w:bookmarkStart w:id="1752" w:name="_Hlk114601191"/>
      <w:r w:rsidRPr="003B4362">
        <w:rPr>
          <w:rFonts w:eastAsia="Calibri"/>
        </w:rPr>
        <w:t>materials complying with subsection (a)</w:t>
      </w:r>
      <w:bookmarkEnd w:id="1752"/>
      <w:r w:rsidRPr="003B4362">
        <w:rPr>
          <w:rFonts w:eastAsia="Calibri"/>
        </w:rPr>
        <w:t xml:space="preserve"> to the </w:t>
      </w:r>
      <w:bookmarkStart w:id="1753" w:name="_Hlk114601230"/>
      <w:r w:rsidRPr="003B4362">
        <w:rPr>
          <w:rFonts w:eastAsia="Calibri"/>
        </w:rPr>
        <w:t>organizations in subsections (b)(2)(H)(i) through (b)(2)(H)(vi)</w:t>
      </w:r>
      <w:bookmarkEnd w:id="1753"/>
      <w:r w:rsidRPr="003B4362">
        <w:rPr>
          <w:rFonts w:eastAsia="Calibri"/>
        </w:rPr>
        <w:t xml:space="preserve"> that are located within the supplier’s service area, along with an informational </w:t>
      </w:r>
      <w:bookmarkStart w:id="1754" w:name="_Hlk114601282"/>
      <w:r w:rsidRPr="003B4362">
        <w:rPr>
          <w:rFonts w:eastAsia="Calibri"/>
        </w:rPr>
        <w:t>notice encouraging distribution</w:t>
      </w:r>
      <w:bookmarkEnd w:id="1754"/>
      <w:r w:rsidRPr="003B4362">
        <w:rPr>
          <w:rFonts w:eastAsia="Calibri"/>
        </w:rPr>
        <w:t xml:space="preserve"> to all the organization’s potentially affected customers or supplier’s users.</w:t>
      </w:r>
    </w:p>
    <w:p w14:paraId="0863731B" w14:textId="138953FF" w:rsidR="005451CE" w:rsidRPr="003B4362" w:rsidRDefault="005451CE" w:rsidP="005451CE">
      <w:pPr>
        <w:spacing w:before="240" w:after="240"/>
        <w:ind w:left="3600"/>
        <w:rPr>
          <w:rFonts w:eastAsia="Calibri"/>
        </w:rPr>
      </w:pPr>
      <w:r w:rsidRPr="003B4362">
        <w:rPr>
          <w:rFonts w:eastAsia="Calibri"/>
        </w:rPr>
        <w:t>BOARD NOTE:  T</w:t>
      </w:r>
      <w:bookmarkStart w:id="1755" w:name="_Hlk114601354"/>
      <w:r w:rsidRPr="003B4362">
        <w:rPr>
          <w:rFonts w:eastAsia="Calibri"/>
        </w:rPr>
        <w:t>he Board moved the text</w:t>
      </w:r>
      <w:bookmarkEnd w:id="1755"/>
      <w:r w:rsidRPr="003B4362">
        <w:rPr>
          <w:rFonts w:eastAsia="Calibri"/>
        </w:rPr>
        <w:t xml:space="preserve"> of 40 CFR 141.85(b)(2)(ii)(B)(</w:t>
      </w:r>
      <w:r w:rsidRPr="003B4362">
        <w:rPr>
          <w:rFonts w:eastAsia="Calibri"/>
          <w:i/>
          <w:iCs/>
        </w:rPr>
        <w:t>1</w:t>
      </w:r>
      <w:r w:rsidRPr="003B4362">
        <w:rPr>
          <w:rFonts w:eastAsia="Calibri"/>
        </w:rPr>
        <w:t>) through (b)(2)(ii)(B)(</w:t>
      </w:r>
      <w:r w:rsidRPr="003B4362">
        <w:rPr>
          <w:rFonts w:eastAsia="Calibri"/>
          <w:i/>
          <w:iCs/>
        </w:rPr>
        <w:t>6</w:t>
      </w:r>
      <w:r w:rsidRPr="003B4362">
        <w:rPr>
          <w:rFonts w:eastAsia="Calibri"/>
        </w:rPr>
        <w:t xml:space="preserve">) to appear as </w:t>
      </w:r>
      <w:bookmarkStart w:id="1756" w:name="_Hlk114601477"/>
      <w:r w:rsidRPr="003B4362">
        <w:rPr>
          <w:rFonts w:eastAsia="Calibri"/>
        </w:rPr>
        <w:t>subsections (b)(2)(H)(i) through (b)(2)(H)(vi)</w:t>
      </w:r>
      <w:bookmarkEnd w:id="1756"/>
      <w:r w:rsidRPr="003B4362">
        <w:rPr>
          <w:rFonts w:eastAsia="Calibri"/>
        </w:rPr>
        <w:t xml:space="preserve"> </w:t>
      </w:r>
      <w:bookmarkStart w:id="1757" w:name="_Hlk114601587"/>
      <w:r w:rsidRPr="003B4362">
        <w:rPr>
          <w:rFonts w:eastAsia="Calibri"/>
        </w:rPr>
        <w:t>to comport with allowed indent levels</w:t>
      </w:r>
      <w:bookmarkEnd w:id="1757"/>
      <w:r w:rsidRPr="003B4362">
        <w:rPr>
          <w:rFonts w:eastAsia="Calibri"/>
        </w:rPr>
        <w:t>.</w:t>
      </w:r>
    </w:p>
    <w:p w14:paraId="7B61520C" w14:textId="1756F941"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No less often than quarterly, the CWS supplier must provide information on or in each water bill as long as the system exceeds the action level for lead.  The message on the water bill must include </w:t>
      </w:r>
      <w:bookmarkStart w:id="1758" w:name="_Hlk114602488"/>
      <w:r w:rsidRPr="003B4362">
        <w:rPr>
          <w:rFonts w:eastAsia="Calibri"/>
        </w:rPr>
        <w:t>the verbatim text of the paragraph below</w:t>
      </w:r>
      <w:bookmarkEnd w:id="1758"/>
      <w:r w:rsidRPr="003B4362">
        <w:rPr>
          <w:rFonts w:eastAsia="Calibri"/>
        </w:rPr>
        <w:t xml:space="preserve">, </w:t>
      </w:r>
      <w:bookmarkStart w:id="1759" w:name="_Hlk114602567"/>
      <w:r w:rsidRPr="003B4362">
        <w:rPr>
          <w:rFonts w:eastAsia="Calibri"/>
        </w:rPr>
        <w:t>except replacing the text in brackets with system-specific information</w:t>
      </w:r>
      <w:bookmarkEnd w:id="1759"/>
      <w:r w:rsidRPr="003B4362">
        <w:rPr>
          <w:rFonts w:eastAsia="Calibri"/>
        </w:rPr>
        <w:t>:</w:t>
      </w:r>
    </w:p>
    <w:p w14:paraId="6C0AC045" w14:textId="77777777" w:rsidR="00916B5C" w:rsidRPr="003B4362" w:rsidRDefault="005451CE" w:rsidP="005451CE">
      <w:pPr>
        <w:spacing w:before="240" w:after="240"/>
        <w:ind w:left="3600"/>
        <w:rPr>
          <w:rFonts w:eastAsia="Calibri"/>
        </w:rPr>
      </w:pPr>
      <w:r w:rsidRPr="003B4362">
        <w:rPr>
          <w:rFonts w:eastAsia="Calibri"/>
        </w:rPr>
        <w:t xml:space="preserve">[INSERT NAME OF SUPPLIER] found high levels of lead in drinking water in some homes.  Lead can cause serious health problems.  For more information please call [INSERT NAME OF SUPPLIER] [or visit (INSERT SUPPLIER’S WEB SITE HERE)].  </w:t>
      </w:r>
    </w:p>
    <w:p w14:paraId="5F959C8E" w14:textId="726A1DEB" w:rsidR="005451CE" w:rsidRPr="003B4362" w:rsidRDefault="005451CE" w:rsidP="00916B5C">
      <w:pPr>
        <w:spacing w:before="240" w:after="240"/>
        <w:ind w:left="2880"/>
        <w:rPr>
          <w:rFonts w:eastAsia="Calibri"/>
        </w:rPr>
      </w:pPr>
      <w:r w:rsidRPr="003B4362">
        <w:rPr>
          <w:rFonts w:eastAsia="Calibri"/>
        </w:rPr>
        <w:t>The message or delivery mechanism can be modified in consultation with the Illinois Environmental Protection Agency, Division of Public Water Supply; specifically, the Agency may allow a separate mailing of public education materials to customers if the water system cannot place the information on water bills.</w:t>
      </w:r>
    </w:p>
    <w:p w14:paraId="09A3D9B8" w14:textId="73796806" w:rsidR="005451CE" w:rsidRPr="003B4362" w:rsidRDefault="005451CE" w:rsidP="005451CE">
      <w:pPr>
        <w:spacing w:before="240" w:after="240"/>
        <w:ind w:left="2880" w:hanging="720"/>
        <w:rPr>
          <w:rFonts w:eastAsia="Calibri"/>
        </w:rPr>
      </w:pPr>
      <w:r w:rsidRPr="003B4362">
        <w:rPr>
          <w:rFonts w:eastAsia="Calibri"/>
        </w:rPr>
        <w:lastRenderedPageBreak/>
        <w:t>D)</w:t>
      </w:r>
      <w:r w:rsidRPr="003B4362">
        <w:rPr>
          <w:rFonts w:eastAsia="Calibri"/>
        </w:rPr>
        <w:tab/>
        <w:t xml:space="preserve">The CWS supplier must post </w:t>
      </w:r>
      <w:bookmarkStart w:id="1760" w:name="_Hlk114602810"/>
      <w:r w:rsidRPr="003B4362">
        <w:rPr>
          <w:rFonts w:eastAsia="Calibri"/>
        </w:rPr>
        <w:t>material complying with subsection (a)</w:t>
      </w:r>
      <w:bookmarkEnd w:id="1760"/>
      <w:r w:rsidRPr="003B4362">
        <w:rPr>
          <w:rFonts w:eastAsia="Calibri"/>
        </w:rPr>
        <w:t xml:space="preserve"> on the supplier’s Web site if the CWS supplier serves a population greater than 100,000.</w:t>
      </w:r>
    </w:p>
    <w:p w14:paraId="6DE40B0F" w14:textId="77777777" w:rsidR="005451CE" w:rsidRPr="003B4362" w:rsidRDefault="005451CE" w:rsidP="005451CE">
      <w:pPr>
        <w:spacing w:before="240" w:after="240"/>
        <w:ind w:left="2880" w:hanging="720"/>
        <w:rPr>
          <w:rFonts w:eastAsia="Calibri"/>
        </w:rPr>
      </w:pPr>
      <w:r w:rsidRPr="003B4362">
        <w:rPr>
          <w:rFonts w:eastAsia="Calibri"/>
        </w:rPr>
        <w:t>E)</w:t>
      </w:r>
      <w:r w:rsidRPr="003B4362">
        <w:rPr>
          <w:rFonts w:eastAsia="Calibri"/>
        </w:rPr>
        <w:tab/>
        <w:t>The CWS supplier must submit a press release to newspaper, television, and radio stations.</w:t>
      </w:r>
    </w:p>
    <w:p w14:paraId="60892686" w14:textId="57F9F8E6" w:rsidR="005451CE" w:rsidRPr="003B4362" w:rsidRDefault="005451CE" w:rsidP="005451CE">
      <w:pPr>
        <w:spacing w:before="240" w:after="240"/>
        <w:ind w:left="2880" w:hanging="720"/>
        <w:rPr>
          <w:rFonts w:eastAsia="Calibri"/>
        </w:rPr>
      </w:pPr>
      <w:r w:rsidRPr="003B4362">
        <w:rPr>
          <w:rFonts w:eastAsia="Calibri"/>
        </w:rPr>
        <w:t>F)</w:t>
      </w:r>
      <w:r w:rsidRPr="003B4362">
        <w:rPr>
          <w:rFonts w:eastAsia="Calibri"/>
        </w:rPr>
        <w:tab/>
        <w:t>In addition to subsections (b)(2)(A) through (b)(2)(E), the CWS supplier must implement at least three activities from one or more of the categories listed below.  T</w:t>
      </w:r>
      <w:bookmarkStart w:id="1761" w:name="_Hlk114602960"/>
      <w:r w:rsidRPr="003B4362">
        <w:rPr>
          <w:rFonts w:eastAsia="Calibri"/>
        </w:rPr>
        <w:t xml:space="preserve">he </w:t>
      </w:r>
      <w:bookmarkStart w:id="1762" w:name="_Hlk129003908"/>
      <w:r w:rsidRPr="003B4362">
        <w:rPr>
          <w:rFonts w:eastAsia="Calibri"/>
        </w:rPr>
        <w:t xml:space="preserve">supplier must </w:t>
      </w:r>
      <w:r w:rsidR="002302A1" w:rsidRPr="003B4362">
        <w:rPr>
          <w:rFonts w:eastAsia="Calibri"/>
        </w:rPr>
        <w:t xml:space="preserve">consult with the Agency to </w:t>
      </w:r>
      <w:r w:rsidRPr="003B4362">
        <w:rPr>
          <w:rFonts w:eastAsia="Calibri"/>
        </w:rPr>
        <w:t>determine the educational content and selection of these activities</w:t>
      </w:r>
      <w:bookmarkEnd w:id="1762"/>
      <w:bookmarkEnd w:id="1761"/>
      <w:r w:rsidRPr="003B4362">
        <w:rPr>
          <w:rFonts w:eastAsia="Calibri"/>
        </w:rPr>
        <w:t>.</w:t>
      </w:r>
    </w:p>
    <w:p w14:paraId="0897C810" w14:textId="7AF20EAA"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r>
      <w:bookmarkStart w:id="1763" w:name="_Hlk114603160"/>
      <w:r w:rsidRPr="003B4362">
        <w:rPr>
          <w:rFonts w:eastAsia="Calibri"/>
        </w:rPr>
        <w:t>Public service announcements</w:t>
      </w:r>
      <w:bookmarkEnd w:id="1763"/>
      <w:r w:rsidRPr="003B4362">
        <w:rPr>
          <w:rFonts w:eastAsia="Calibri"/>
        </w:rPr>
        <w:t>.</w:t>
      </w:r>
    </w:p>
    <w:p w14:paraId="41E2B813" w14:textId="77777777"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Paid advertisements.</w:t>
      </w:r>
    </w:p>
    <w:p w14:paraId="31BC7577" w14:textId="74B48FD3" w:rsidR="005451CE" w:rsidRPr="003B4362" w:rsidRDefault="005451CE" w:rsidP="005451CE">
      <w:pPr>
        <w:spacing w:before="240" w:after="240"/>
        <w:ind w:left="3600" w:hanging="720"/>
        <w:rPr>
          <w:rFonts w:eastAsia="Calibri"/>
        </w:rPr>
      </w:pPr>
      <w:r w:rsidRPr="003B4362">
        <w:rPr>
          <w:rFonts w:eastAsia="Calibri"/>
        </w:rPr>
        <w:t>iii)</w:t>
      </w:r>
      <w:r w:rsidRPr="003B4362">
        <w:rPr>
          <w:rFonts w:eastAsia="Calibri"/>
        </w:rPr>
        <w:tab/>
      </w:r>
      <w:bookmarkStart w:id="1764" w:name="_Hlk114603248"/>
      <w:r w:rsidRPr="003B4362">
        <w:rPr>
          <w:rFonts w:eastAsia="Calibri"/>
        </w:rPr>
        <w:t>Public area information displays</w:t>
      </w:r>
      <w:bookmarkEnd w:id="1764"/>
      <w:r w:rsidRPr="003B4362">
        <w:rPr>
          <w:rFonts w:eastAsia="Calibri"/>
        </w:rPr>
        <w:t>.</w:t>
      </w:r>
    </w:p>
    <w:p w14:paraId="25F3116D" w14:textId="77777777" w:rsidR="005451CE" w:rsidRPr="003B4362" w:rsidRDefault="005451CE" w:rsidP="005451CE">
      <w:pPr>
        <w:spacing w:before="240" w:after="240"/>
        <w:ind w:left="3600" w:hanging="720"/>
        <w:rPr>
          <w:rFonts w:eastAsia="Calibri"/>
        </w:rPr>
      </w:pPr>
      <w:r w:rsidRPr="003B4362">
        <w:rPr>
          <w:rFonts w:eastAsia="Calibri"/>
        </w:rPr>
        <w:t>iv)</w:t>
      </w:r>
      <w:r w:rsidRPr="003B4362">
        <w:rPr>
          <w:rFonts w:eastAsia="Calibri"/>
        </w:rPr>
        <w:tab/>
        <w:t>E-mails to customers.</w:t>
      </w:r>
    </w:p>
    <w:p w14:paraId="78F0491A" w14:textId="20791721" w:rsidR="005451CE" w:rsidRPr="003B4362" w:rsidRDefault="005451CE" w:rsidP="005451CE">
      <w:pPr>
        <w:spacing w:before="240" w:after="240"/>
        <w:ind w:left="3600" w:hanging="720"/>
        <w:rPr>
          <w:rFonts w:eastAsia="Calibri"/>
        </w:rPr>
      </w:pPr>
      <w:r w:rsidRPr="003B4362">
        <w:rPr>
          <w:rFonts w:eastAsia="Calibri"/>
        </w:rPr>
        <w:t>v)</w:t>
      </w:r>
      <w:r w:rsidRPr="003B4362">
        <w:rPr>
          <w:rFonts w:eastAsia="Calibri"/>
        </w:rPr>
        <w:tab/>
      </w:r>
      <w:bookmarkStart w:id="1765" w:name="_Hlk114603853"/>
      <w:r w:rsidRPr="003B4362">
        <w:rPr>
          <w:rFonts w:eastAsia="Calibri"/>
        </w:rPr>
        <w:t>Public meetings</w:t>
      </w:r>
      <w:bookmarkEnd w:id="1765"/>
      <w:r w:rsidRPr="003B4362">
        <w:rPr>
          <w:rFonts w:eastAsia="Calibri"/>
        </w:rPr>
        <w:t>.</w:t>
      </w:r>
    </w:p>
    <w:p w14:paraId="353167BA" w14:textId="2B3F4A5B" w:rsidR="005451CE" w:rsidRPr="003B4362" w:rsidRDefault="005451CE" w:rsidP="005451CE">
      <w:pPr>
        <w:spacing w:before="240" w:after="240"/>
        <w:ind w:left="3600" w:hanging="720"/>
        <w:rPr>
          <w:rFonts w:eastAsia="Calibri"/>
        </w:rPr>
      </w:pPr>
      <w:r w:rsidRPr="003B4362">
        <w:rPr>
          <w:rFonts w:eastAsia="Calibri"/>
        </w:rPr>
        <w:t>vi)</w:t>
      </w:r>
      <w:r w:rsidRPr="003B4362">
        <w:rPr>
          <w:rFonts w:eastAsia="Calibri"/>
        </w:rPr>
        <w:tab/>
      </w:r>
      <w:bookmarkStart w:id="1766" w:name="_Hlk114603907"/>
      <w:r w:rsidRPr="003B4362">
        <w:rPr>
          <w:rFonts w:eastAsia="Calibri"/>
        </w:rPr>
        <w:t>Household deliveries</w:t>
      </w:r>
      <w:bookmarkEnd w:id="1766"/>
      <w:r w:rsidRPr="003B4362">
        <w:rPr>
          <w:rFonts w:eastAsia="Calibri"/>
        </w:rPr>
        <w:t>.</w:t>
      </w:r>
    </w:p>
    <w:p w14:paraId="43651905" w14:textId="293A0BF7" w:rsidR="005451CE" w:rsidRPr="003B4362" w:rsidRDefault="005451CE" w:rsidP="005451CE">
      <w:pPr>
        <w:spacing w:before="240" w:after="240"/>
        <w:ind w:left="3600" w:hanging="720"/>
        <w:rPr>
          <w:rFonts w:eastAsia="Calibri"/>
        </w:rPr>
      </w:pPr>
      <w:r w:rsidRPr="003B4362">
        <w:rPr>
          <w:rFonts w:eastAsia="Calibri"/>
        </w:rPr>
        <w:t>vii)</w:t>
      </w:r>
      <w:r w:rsidRPr="003B4362">
        <w:rPr>
          <w:rFonts w:eastAsia="Calibri"/>
        </w:rPr>
        <w:tab/>
      </w:r>
      <w:bookmarkStart w:id="1767" w:name="_Hlk114603959"/>
      <w:r w:rsidRPr="003B4362">
        <w:rPr>
          <w:rFonts w:eastAsia="Calibri"/>
        </w:rPr>
        <w:t>Targeted individual customer contact</w:t>
      </w:r>
      <w:bookmarkEnd w:id="1767"/>
      <w:r w:rsidRPr="003B4362">
        <w:rPr>
          <w:rFonts w:eastAsia="Calibri"/>
        </w:rPr>
        <w:t>.</w:t>
      </w:r>
    </w:p>
    <w:p w14:paraId="187DB57A" w14:textId="77777777" w:rsidR="005451CE" w:rsidRPr="003B4362" w:rsidRDefault="005451CE" w:rsidP="005451CE">
      <w:pPr>
        <w:spacing w:before="240" w:after="240"/>
        <w:ind w:left="3600" w:hanging="720"/>
        <w:rPr>
          <w:rFonts w:eastAsia="Calibri"/>
        </w:rPr>
      </w:pPr>
      <w:r w:rsidRPr="003B4362">
        <w:rPr>
          <w:rFonts w:eastAsia="Calibri"/>
        </w:rPr>
        <w:t>viii)</w:t>
      </w:r>
      <w:r w:rsidRPr="003B4362">
        <w:rPr>
          <w:rFonts w:eastAsia="Calibri"/>
        </w:rPr>
        <w:tab/>
        <w:t>Direct material distribution to all multi-family homes and institutions.</w:t>
      </w:r>
    </w:p>
    <w:p w14:paraId="29A7C8F0" w14:textId="3A641A71" w:rsidR="005451CE" w:rsidRPr="003B4362" w:rsidRDefault="005451CE" w:rsidP="005451CE">
      <w:pPr>
        <w:spacing w:before="240" w:after="240"/>
        <w:ind w:left="3600" w:hanging="720"/>
        <w:rPr>
          <w:rFonts w:eastAsia="Calibri"/>
        </w:rPr>
      </w:pPr>
      <w:r w:rsidRPr="003B4362">
        <w:rPr>
          <w:rFonts w:eastAsia="Calibri"/>
        </w:rPr>
        <w:t>ix)</w:t>
      </w:r>
      <w:r w:rsidRPr="003B4362">
        <w:rPr>
          <w:rFonts w:eastAsia="Calibri"/>
        </w:rPr>
        <w:tab/>
        <w:t>O</w:t>
      </w:r>
      <w:bookmarkStart w:id="1768" w:name="_Hlk114604027"/>
      <w:r w:rsidRPr="003B4362">
        <w:rPr>
          <w:rFonts w:eastAsia="Calibri"/>
        </w:rPr>
        <w:t>ther Agency-approved methods</w:t>
      </w:r>
      <w:bookmarkEnd w:id="1768"/>
      <w:r w:rsidRPr="003B4362">
        <w:rPr>
          <w:rFonts w:eastAsia="Calibri"/>
        </w:rPr>
        <w:t>.</w:t>
      </w:r>
    </w:p>
    <w:p w14:paraId="24D45AD5" w14:textId="3FFE56B4" w:rsidR="005451CE" w:rsidRPr="003B4362" w:rsidRDefault="005451CE" w:rsidP="005451CE">
      <w:pPr>
        <w:spacing w:before="240" w:after="240"/>
        <w:ind w:left="2880" w:hanging="720"/>
        <w:rPr>
          <w:rFonts w:eastAsia="Calibri"/>
        </w:rPr>
      </w:pPr>
      <w:r w:rsidRPr="003B4362">
        <w:rPr>
          <w:rFonts w:eastAsia="Calibri"/>
        </w:rPr>
        <w:t>G)</w:t>
      </w:r>
      <w:r w:rsidRPr="003B4362">
        <w:rPr>
          <w:rFonts w:eastAsia="Calibri"/>
        </w:rPr>
        <w:tab/>
        <w:t xml:space="preserve">For a CWS </w:t>
      </w:r>
      <w:bookmarkStart w:id="1769" w:name="_Hlk114605213"/>
      <w:r w:rsidRPr="003B4362">
        <w:rPr>
          <w:rFonts w:eastAsia="Calibri"/>
        </w:rPr>
        <w:t>supplier that must monitor annually</w:t>
      </w:r>
      <w:bookmarkEnd w:id="1769"/>
      <w:r w:rsidRPr="003B4362">
        <w:rPr>
          <w:rFonts w:eastAsia="Calibri"/>
        </w:rPr>
        <w:t xml:space="preserve"> or less frequently, the end of the </w:t>
      </w:r>
      <w:r w:rsidR="001B2CF8" w:rsidRPr="003B4362">
        <w:rPr>
          <w:rFonts w:eastAsia="Calibri"/>
        </w:rPr>
        <w:t xml:space="preserve">tap sampling </w:t>
      </w:r>
      <w:r w:rsidRPr="003B4362">
        <w:rPr>
          <w:rFonts w:eastAsia="Calibri"/>
        </w:rPr>
        <w:t xml:space="preserve">period is September 30 of the calendar year in which the sampling occurs, </w:t>
      </w:r>
      <w:bookmarkStart w:id="1770" w:name="_Hlk114605271"/>
      <w:r w:rsidRPr="003B4362">
        <w:rPr>
          <w:rFonts w:eastAsia="Calibri"/>
        </w:rPr>
        <w:t>or on the last day of an alternative</w:t>
      </w:r>
      <w:r w:rsidR="001B2CF8" w:rsidRPr="003B4362">
        <w:rPr>
          <w:rFonts w:eastAsia="Calibri"/>
        </w:rPr>
        <w:t xml:space="preserve"> tap</w:t>
      </w:r>
      <w:r w:rsidRPr="003B4362">
        <w:rPr>
          <w:rFonts w:eastAsia="Calibri"/>
        </w:rPr>
        <w:t xml:space="preserve"> </w:t>
      </w:r>
      <w:r w:rsidR="006230A1" w:rsidRPr="003B4362">
        <w:rPr>
          <w:szCs w:val="24"/>
        </w:rPr>
        <w:t xml:space="preserve">sampling </w:t>
      </w:r>
      <w:r w:rsidRPr="003B4362">
        <w:rPr>
          <w:rFonts w:eastAsia="Calibri"/>
        </w:rPr>
        <w:t>period the Agency sets in a SEP</w:t>
      </w:r>
      <w:bookmarkEnd w:id="1770"/>
      <w:r w:rsidRPr="003B4362">
        <w:rPr>
          <w:rFonts w:eastAsia="Calibri"/>
        </w:rPr>
        <w:t>.</w:t>
      </w:r>
    </w:p>
    <w:p w14:paraId="01AD6756" w14:textId="0AECB75E" w:rsidR="005451CE" w:rsidRPr="003B4362" w:rsidRDefault="005451CE" w:rsidP="005451CE">
      <w:pPr>
        <w:spacing w:before="240" w:after="240"/>
        <w:ind w:left="2880" w:hanging="720"/>
        <w:rPr>
          <w:rFonts w:eastAsia="Calibri"/>
        </w:rPr>
      </w:pPr>
      <w:r w:rsidRPr="003B4362">
        <w:rPr>
          <w:rFonts w:eastAsia="Calibri"/>
        </w:rPr>
        <w:t>H)</w:t>
      </w:r>
      <w:r w:rsidRPr="003B4362">
        <w:rPr>
          <w:rFonts w:eastAsia="Calibri"/>
        </w:rPr>
        <w:tab/>
        <w:t>Organizations That the CWS Supplier Must Contact When Required to Do So under Subsection (b)(2)(B)(</w:t>
      </w:r>
      <w:r w:rsidR="00A3328E" w:rsidRPr="003B4362">
        <w:rPr>
          <w:rFonts w:eastAsia="Calibri"/>
        </w:rPr>
        <w:t>ii</w:t>
      </w:r>
      <w:r w:rsidRPr="003B4362">
        <w:rPr>
          <w:rFonts w:eastAsia="Calibri"/>
        </w:rPr>
        <w:t>)</w:t>
      </w:r>
    </w:p>
    <w:p w14:paraId="74620C6E" w14:textId="364351D0"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r>
      <w:r w:rsidR="000E2C50" w:rsidRPr="003B4362">
        <w:rPr>
          <w:szCs w:val="24"/>
        </w:rPr>
        <w:t xml:space="preserve">Schools, child care facilities, and </w:t>
      </w:r>
      <w:r w:rsidRPr="003B4362">
        <w:rPr>
          <w:rFonts w:eastAsia="Calibri"/>
        </w:rPr>
        <w:t>school boards.</w:t>
      </w:r>
    </w:p>
    <w:p w14:paraId="7083CF06" w14:textId="77777777"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Women, Infants and Children (WIC) and Head Start programs.</w:t>
      </w:r>
    </w:p>
    <w:p w14:paraId="0BA9FBB7" w14:textId="77777777" w:rsidR="005451CE" w:rsidRPr="003B4362" w:rsidRDefault="005451CE" w:rsidP="005451CE">
      <w:pPr>
        <w:spacing w:before="240" w:after="240"/>
        <w:ind w:left="3600" w:hanging="720"/>
        <w:rPr>
          <w:rFonts w:eastAsia="Calibri"/>
        </w:rPr>
      </w:pPr>
      <w:r w:rsidRPr="003B4362">
        <w:rPr>
          <w:rFonts w:eastAsia="Calibri"/>
        </w:rPr>
        <w:t>iii)</w:t>
      </w:r>
      <w:r w:rsidRPr="003B4362">
        <w:rPr>
          <w:rFonts w:eastAsia="Calibri"/>
        </w:rPr>
        <w:tab/>
        <w:t>Public and private hospitals and medical clinics.</w:t>
      </w:r>
    </w:p>
    <w:p w14:paraId="132A4990" w14:textId="77777777" w:rsidR="005451CE" w:rsidRPr="003B4362" w:rsidRDefault="005451CE" w:rsidP="005451CE">
      <w:pPr>
        <w:spacing w:before="240" w:after="240"/>
        <w:ind w:left="3600" w:hanging="720"/>
        <w:rPr>
          <w:rFonts w:eastAsia="Calibri"/>
        </w:rPr>
      </w:pPr>
      <w:r w:rsidRPr="003B4362">
        <w:rPr>
          <w:rFonts w:eastAsia="Calibri"/>
        </w:rPr>
        <w:lastRenderedPageBreak/>
        <w:t>vi)</w:t>
      </w:r>
      <w:r w:rsidRPr="003B4362">
        <w:rPr>
          <w:rFonts w:eastAsia="Calibri"/>
        </w:rPr>
        <w:tab/>
        <w:t>Pediatricians.</w:t>
      </w:r>
    </w:p>
    <w:p w14:paraId="5854E7FC" w14:textId="77777777" w:rsidR="005451CE" w:rsidRPr="003B4362" w:rsidRDefault="005451CE" w:rsidP="005451CE">
      <w:pPr>
        <w:spacing w:before="240" w:after="240"/>
        <w:ind w:left="3600" w:hanging="720"/>
        <w:rPr>
          <w:rFonts w:eastAsia="Calibri"/>
        </w:rPr>
      </w:pPr>
      <w:r w:rsidRPr="003B4362">
        <w:rPr>
          <w:rFonts w:eastAsia="Calibri"/>
        </w:rPr>
        <w:t>v)</w:t>
      </w:r>
      <w:r w:rsidRPr="003B4362">
        <w:rPr>
          <w:rFonts w:eastAsia="Calibri"/>
        </w:rPr>
        <w:tab/>
        <w:t>Family planning clinics.</w:t>
      </w:r>
    </w:p>
    <w:p w14:paraId="4C54A41C" w14:textId="77777777" w:rsidR="005451CE" w:rsidRPr="003B4362" w:rsidRDefault="005451CE" w:rsidP="005451CE">
      <w:pPr>
        <w:spacing w:before="240" w:after="240"/>
        <w:ind w:left="3600" w:hanging="720"/>
        <w:rPr>
          <w:rFonts w:eastAsia="Calibri"/>
        </w:rPr>
      </w:pPr>
      <w:r w:rsidRPr="003B4362">
        <w:rPr>
          <w:rFonts w:eastAsia="Calibri"/>
        </w:rPr>
        <w:t>vi)</w:t>
      </w:r>
      <w:r w:rsidRPr="003B4362">
        <w:rPr>
          <w:rFonts w:eastAsia="Calibri"/>
        </w:rPr>
        <w:tab/>
        <w:t>Local welfare agencies.</w:t>
      </w:r>
    </w:p>
    <w:p w14:paraId="18DCF831" w14:textId="09CCA366" w:rsidR="00F252F3" w:rsidRPr="003B4362" w:rsidRDefault="00F252F3" w:rsidP="00F252F3">
      <w:pPr>
        <w:autoSpaceDE w:val="0"/>
        <w:autoSpaceDN w:val="0"/>
        <w:adjustRightInd w:val="0"/>
        <w:ind w:left="3600" w:hanging="720"/>
        <w:rPr>
          <w:szCs w:val="24"/>
        </w:rPr>
      </w:pPr>
      <w:r w:rsidRPr="003B4362">
        <w:rPr>
          <w:szCs w:val="24"/>
        </w:rPr>
        <w:t>vii)</w:t>
      </w:r>
      <w:r w:rsidRPr="003B4362">
        <w:rPr>
          <w:szCs w:val="24"/>
        </w:rPr>
        <w:tab/>
      </w:r>
      <w:bookmarkStart w:id="1771" w:name="_Hlk120548191"/>
      <w:r w:rsidRPr="003B4362">
        <w:rPr>
          <w:szCs w:val="24"/>
        </w:rPr>
        <w:t>Obstetricians-gynecologists and midwives</w:t>
      </w:r>
      <w:bookmarkEnd w:id="1771"/>
      <w:r w:rsidRPr="003B4362">
        <w:rPr>
          <w:szCs w:val="24"/>
        </w:rPr>
        <w:t>.</w:t>
      </w:r>
    </w:p>
    <w:p w14:paraId="66289FC9" w14:textId="29781CE4" w:rsidR="005451CE" w:rsidRPr="003B4362" w:rsidRDefault="005451CE" w:rsidP="005451CE">
      <w:pPr>
        <w:spacing w:before="240" w:after="240"/>
        <w:ind w:left="2880"/>
        <w:rPr>
          <w:rFonts w:eastAsia="Calibri"/>
        </w:rPr>
      </w:pPr>
      <w:r w:rsidRPr="003B4362">
        <w:rPr>
          <w:rFonts w:eastAsia="Calibri"/>
        </w:rPr>
        <w:t>BOARD NOTE:  T</w:t>
      </w:r>
      <w:bookmarkStart w:id="1772" w:name="_Hlk114605532"/>
      <w:r w:rsidRPr="003B4362">
        <w:rPr>
          <w:rFonts w:eastAsia="Calibri"/>
        </w:rPr>
        <w:t>his subsection (b)(2)(H) derives from 40 CFR 141.85(b)(2)(ii)(B)(1) through (b)(2)(ii)(B)(</w:t>
      </w:r>
      <w:r w:rsidR="00F252F3" w:rsidRPr="003B4362">
        <w:rPr>
          <w:rFonts w:eastAsia="Calibri"/>
        </w:rPr>
        <w:t>7</w:t>
      </w:r>
      <w:r w:rsidRPr="003B4362">
        <w:rPr>
          <w:rFonts w:eastAsia="Calibri"/>
        </w:rPr>
        <w:t>), moved here</w:t>
      </w:r>
      <w:bookmarkEnd w:id="1772"/>
      <w:r w:rsidR="00E743D9" w:rsidRPr="003B4362">
        <w:rPr>
          <w:rFonts w:eastAsia="Calibri"/>
        </w:rPr>
        <w:t xml:space="preserve"> t</w:t>
      </w:r>
      <w:r w:rsidRPr="003B4362">
        <w:rPr>
          <w:rFonts w:eastAsia="Calibri"/>
        </w:rPr>
        <w:t>o comport with allowed indent levels.</w:t>
      </w:r>
    </w:p>
    <w:p w14:paraId="3C1DD813" w14:textId="5BBDC289"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As long as a CWS supplier exceeds the action level, it must repeat the </w:t>
      </w:r>
      <w:bookmarkStart w:id="1773" w:name="_Hlk114605951"/>
      <w:r w:rsidRPr="003B4362">
        <w:rPr>
          <w:rFonts w:eastAsia="Calibri"/>
        </w:rPr>
        <w:t>activities in subsection (b)(2)</w:t>
      </w:r>
      <w:bookmarkEnd w:id="1773"/>
      <w:r w:rsidRPr="003B4362">
        <w:rPr>
          <w:rFonts w:eastAsia="Calibri"/>
        </w:rPr>
        <w:t xml:space="preserve">, </w:t>
      </w:r>
      <w:bookmarkStart w:id="1774" w:name="_Hlk114606000"/>
      <w:r w:rsidRPr="003B4362">
        <w:rPr>
          <w:rFonts w:eastAsia="Calibri"/>
        </w:rPr>
        <w:t>as subsections (b)(3)(A) through (b)(3)(D) require</w:t>
      </w:r>
      <w:bookmarkEnd w:id="1774"/>
      <w:r w:rsidRPr="003B4362">
        <w:rPr>
          <w:rFonts w:eastAsia="Calibri"/>
        </w:rPr>
        <w:t>.</w:t>
      </w:r>
    </w:p>
    <w:p w14:paraId="5FF73408" w14:textId="0BD409EE"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w:t>
      </w:r>
      <w:bookmarkStart w:id="1775" w:name="_Hlk114606109"/>
      <w:r w:rsidRPr="003B4362">
        <w:rPr>
          <w:rFonts w:eastAsia="Calibri"/>
        </w:rPr>
        <w:t>he CWS supplier</w:t>
      </w:r>
      <w:bookmarkEnd w:id="1775"/>
      <w:r w:rsidRPr="003B4362">
        <w:rPr>
          <w:rFonts w:eastAsia="Calibri"/>
        </w:rPr>
        <w:t xml:space="preserve"> must repeat </w:t>
      </w:r>
      <w:bookmarkStart w:id="1776" w:name="_Hlk114606166"/>
      <w:r w:rsidRPr="003B4362">
        <w:rPr>
          <w:rFonts w:eastAsia="Calibri"/>
        </w:rPr>
        <w:t>the tasks in subsections (b)(2)(A), (b)(2)(B), and (b)(2)(</w:t>
      </w:r>
      <w:r w:rsidR="00916B5C" w:rsidRPr="003B4362">
        <w:rPr>
          <w:rFonts w:eastAsia="Calibri"/>
        </w:rPr>
        <w:t>F</w:t>
      </w:r>
      <w:r w:rsidRPr="003B4362">
        <w:rPr>
          <w:rFonts w:eastAsia="Calibri"/>
        </w:rPr>
        <w:t>)</w:t>
      </w:r>
      <w:bookmarkEnd w:id="1776"/>
      <w:r w:rsidRPr="003B4362">
        <w:rPr>
          <w:rFonts w:eastAsia="Calibri"/>
        </w:rPr>
        <w:t xml:space="preserve"> every 12 months.</w:t>
      </w:r>
    </w:p>
    <w:p w14:paraId="2993FCA9" w14:textId="5728034B"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The CWS supplier must repeat tasks in subsection (b)(2)(C) with each billing cycle.</w:t>
      </w:r>
    </w:p>
    <w:p w14:paraId="2D50AC7F" w14:textId="3DECBBDE"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The CWS supplier serving a population greater than 100,000 must post and retain material on a </w:t>
      </w:r>
      <w:bookmarkStart w:id="1777" w:name="_Hlk114606326"/>
      <w:r w:rsidRPr="003B4362">
        <w:rPr>
          <w:rFonts w:eastAsia="Calibri"/>
        </w:rPr>
        <w:t xml:space="preserve">publicly accessible website </w:t>
      </w:r>
      <w:bookmarkEnd w:id="1777"/>
      <w:r w:rsidRPr="003B4362">
        <w:rPr>
          <w:rFonts w:eastAsia="Calibri"/>
        </w:rPr>
        <w:t>under subsection (b)(2)(D).</w:t>
      </w:r>
    </w:p>
    <w:p w14:paraId="0AF65A75" w14:textId="62A51E16" w:rsidR="005451CE" w:rsidRPr="003B4362" w:rsidRDefault="005451CE" w:rsidP="005451CE">
      <w:pPr>
        <w:spacing w:before="240" w:after="240"/>
        <w:ind w:left="2880" w:hanging="720"/>
        <w:rPr>
          <w:rFonts w:eastAsia="Calibri"/>
        </w:rPr>
      </w:pPr>
      <w:r w:rsidRPr="003B4362">
        <w:rPr>
          <w:rFonts w:eastAsia="Calibri"/>
        </w:rPr>
        <w:t>D)</w:t>
      </w:r>
      <w:r w:rsidRPr="003B4362">
        <w:rPr>
          <w:rFonts w:eastAsia="Calibri"/>
        </w:rPr>
        <w:tab/>
        <w:t xml:space="preserve">The CWS supplier must repeat the task in subsection (b)(2)(E) twice every 12 months on </w:t>
      </w:r>
      <w:bookmarkStart w:id="1778" w:name="_Hlk114606403"/>
      <w:r w:rsidRPr="003B4362">
        <w:rPr>
          <w:rFonts w:eastAsia="Calibri"/>
        </w:rPr>
        <w:t>a schedule agreed by the Agency in a SEP</w:t>
      </w:r>
      <w:bookmarkEnd w:id="1778"/>
      <w:r w:rsidRPr="003B4362">
        <w:rPr>
          <w:rFonts w:eastAsia="Calibri"/>
        </w:rPr>
        <w:t>.  T</w:t>
      </w:r>
      <w:bookmarkStart w:id="1779" w:name="_Hlk114606463"/>
      <w:r w:rsidRPr="003B4362">
        <w:rPr>
          <w:rFonts w:eastAsia="Calibri"/>
        </w:rPr>
        <w:t>he Agency must, on a case-by-case basis, issue a SEP extending the time</w:t>
      </w:r>
      <w:bookmarkEnd w:id="1779"/>
      <w:r w:rsidRPr="003B4362">
        <w:rPr>
          <w:rFonts w:eastAsia="Calibri"/>
        </w:rPr>
        <w:t xml:space="preserve"> for the supplier to complete the public education </w:t>
      </w:r>
      <w:bookmarkStart w:id="1780" w:name="_Hlk114606542"/>
      <w:r w:rsidRPr="003B4362">
        <w:rPr>
          <w:rFonts w:eastAsia="Calibri"/>
        </w:rPr>
        <w:t>tasks in subsection (b)(2)</w:t>
      </w:r>
      <w:bookmarkEnd w:id="1780"/>
      <w:r w:rsidRPr="003B4362">
        <w:rPr>
          <w:rFonts w:eastAsia="Calibri"/>
        </w:rPr>
        <w:t xml:space="preserve"> beyond the 60-day limit </w:t>
      </w:r>
      <w:bookmarkStart w:id="1781" w:name="_Hlk114606589"/>
      <w:r w:rsidRPr="003B4362">
        <w:rPr>
          <w:rFonts w:eastAsia="Calibri"/>
        </w:rPr>
        <w:t>if the Agency determines</w:t>
      </w:r>
      <w:bookmarkEnd w:id="1781"/>
      <w:r w:rsidRPr="003B4362">
        <w:rPr>
          <w:rFonts w:eastAsia="Calibri"/>
        </w:rPr>
        <w:t xml:space="preserve"> that </w:t>
      </w:r>
      <w:bookmarkStart w:id="1782" w:name="_Hlk114606641"/>
      <w:r w:rsidRPr="003B4362">
        <w:rPr>
          <w:rFonts w:eastAsia="Calibri"/>
        </w:rPr>
        <w:t>the supplier needs the extended time to implement</w:t>
      </w:r>
      <w:r w:rsidR="00B21DC5" w:rsidRPr="003B4362">
        <w:rPr>
          <w:rFonts w:eastAsia="Calibri"/>
        </w:rPr>
        <w:t xml:space="preserve"> the tasks</w:t>
      </w:r>
      <w:bookmarkEnd w:id="1782"/>
      <w:r w:rsidRPr="003B4362">
        <w:rPr>
          <w:rFonts w:eastAsia="Calibri"/>
        </w:rPr>
        <w:t xml:space="preserve">; however, the Agency must issue the SEP granting any extension </w:t>
      </w:r>
      <w:bookmarkStart w:id="1783" w:name="_Hlk114606691"/>
      <w:r w:rsidR="00B21DC5" w:rsidRPr="003B4362">
        <w:rPr>
          <w:rFonts w:eastAsia="Calibri"/>
        </w:rPr>
        <w:t>before</w:t>
      </w:r>
      <w:r w:rsidRPr="003B4362">
        <w:rPr>
          <w:rFonts w:eastAsia="Calibri"/>
        </w:rPr>
        <w:t xml:space="preserve"> the 60-day deadline expires</w:t>
      </w:r>
      <w:bookmarkEnd w:id="1783"/>
      <w:r w:rsidRPr="003B4362">
        <w:rPr>
          <w:rFonts w:eastAsia="Calibri"/>
        </w:rPr>
        <w:t>.</w:t>
      </w:r>
    </w:p>
    <w:p w14:paraId="27F8F792" w14:textId="1037E2EB"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 xml:space="preserve">Within 60 days after the end of the </w:t>
      </w:r>
      <w:r w:rsidR="006230A1" w:rsidRPr="003B4362">
        <w:rPr>
          <w:szCs w:val="24"/>
        </w:rPr>
        <w:t xml:space="preserve">tap sampling </w:t>
      </w:r>
      <w:r w:rsidRPr="003B4362">
        <w:rPr>
          <w:rFonts w:eastAsia="Calibri"/>
        </w:rPr>
        <w:t>period in which a NTNCWS supplier exceeds the lead action level (unless it already is repeating public education tasks under subsection (b)(5)), the supplier must deliver the public education materials subsection (a) specifies.</w:t>
      </w:r>
    </w:p>
    <w:p w14:paraId="153E774E" w14:textId="4B08F8C8"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The supplier must deliver the public education materials by certain means:</w:t>
      </w:r>
    </w:p>
    <w:p w14:paraId="1873A7F5" w14:textId="323CFF54"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The NTNCWS supplier must post informational posters on lead in drinking water in a public place or common area in each of the buildings the supplier serves; and</w:t>
      </w:r>
    </w:p>
    <w:p w14:paraId="27FF1375" w14:textId="1F5D9D5F" w:rsidR="005451CE" w:rsidRPr="003B4362" w:rsidRDefault="005451CE" w:rsidP="005451CE">
      <w:pPr>
        <w:spacing w:before="240" w:after="240"/>
        <w:ind w:left="3600" w:hanging="720"/>
        <w:rPr>
          <w:rFonts w:eastAsia="Calibri"/>
        </w:rPr>
      </w:pPr>
      <w:r w:rsidRPr="003B4362">
        <w:rPr>
          <w:rFonts w:eastAsia="Calibri"/>
        </w:rPr>
        <w:lastRenderedPageBreak/>
        <w:t>ii)</w:t>
      </w:r>
      <w:r w:rsidRPr="003B4362">
        <w:rPr>
          <w:rFonts w:eastAsia="Calibri"/>
        </w:rPr>
        <w:tab/>
        <w:t xml:space="preserve">The NTNCWS supplier must distribute informational pamphlets or brochures on lead in drinking water to each person the NTNCWS supplier serves.  The Agency may issue a SEP allowing the system to use electronic transmission in lieu of or combined with printed materials </w:t>
      </w:r>
      <w:bookmarkStart w:id="1784" w:name="_Hlk114648855"/>
      <w:r w:rsidRPr="003B4362">
        <w:rPr>
          <w:rFonts w:eastAsia="Calibri"/>
        </w:rPr>
        <w:t>as long as the electronic transmission achieves the same or better coverage</w:t>
      </w:r>
      <w:bookmarkEnd w:id="1784"/>
      <w:r w:rsidRPr="003B4362">
        <w:rPr>
          <w:rFonts w:eastAsia="Calibri"/>
        </w:rPr>
        <w:t>.</w:t>
      </w:r>
    </w:p>
    <w:p w14:paraId="7F9A44D8" w14:textId="5748DF25"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For a NTNCWS </w:t>
      </w:r>
      <w:bookmarkStart w:id="1785" w:name="_Hlk114661510"/>
      <w:r w:rsidRPr="003B4362">
        <w:rPr>
          <w:rFonts w:eastAsia="Calibri"/>
        </w:rPr>
        <w:t>supplier that must monitor annually or less frequently</w:t>
      </w:r>
      <w:bookmarkEnd w:id="1785"/>
      <w:r w:rsidRPr="003B4362">
        <w:rPr>
          <w:rFonts w:eastAsia="Calibri"/>
        </w:rPr>
        <w:t xml:space="preserve">, the end of the </w:t>
      </w:r>
      <w:r w:rsidR="00C36BF8" w:rsidRPr="003B4362">
        <w:rPr>
          <w:szCs w:val="24"/>
        </w:rPr>
        <w:t xml:space="preserve">tap sampling </w:t>
      </w:r>
      <w:r w:rsidRPr="003B4362">
        <w:rPr>
          <w:rFonts w:eastAsia="Calibri"/>
        </w:rPr>
        <w:t xml:space="preserve">period is September 30 of the calendar year in which the sampling occurs, </w:t>
      </w:r>
      <w:bookmarkStart w:id="1786" w:name="_Hlk114661560"/>
      <w:r w:rsidRPr="003B4362">
        <w:rPr>
          <w:rFonts w:eastAsia="Calibri"/>
        </w:rPr>
        <w:t>or on the last day of an alternative</w:t>
      </w:r>
      <w:r w:rsidR="000F2A0C" w:rsidRPr="003B4362">
        <w:rPr>
          <w:rFonts w:eastAsia="Calibri"/>
        </w:rPr>
        <w:t xml:space="preserve"> tap sampling</w:t>
      </w:r>
      <w:r w:rsidRPr="003B4362">
        <w:rPr>
          <w:rFonts w:eastAsia="Calibri"/>
        </w:rPr>
        <w:t xml:space="preserve"> period the Agency sets in a SEP</w:t>
      </w:r>
      <w:bookmarkEnd w:id="1786"/>
      <w:r w:rsidRPr="003B4362">
        <w:rPr>
          <w:rFonts w:eastAsia="Calibri"/>
        </w:rPr>
        <w:t>.</w:t>
      </w:r>
    </w:p>
    <w:p w14:paraId="5C500E66" w14:textId="3B5125F5" w:rsidR="005451CE" w:rsidRPr="003B4362" w:rsidRDefault="005451CE" w:rsidP="005451CE">
      <w:pPr>
        <w:spacing w:before="240" w:after="240"/>
        <w:ind w:left="2160" w:hanging="720"/>
        <w:rPr>
          <w:rFonts w:eastAsia="Calibri"/>
        </w:rPr>
      </w:pPr>
      <w:r w:rsidRPr="003B4362">
        <w:rPr>
          <w:rFonts w:eastAsia="Calibri"/>
        </w:rPr>
        <w:t>5)</w:t>
      </w:r>
      <w:r w:rsidRPr="003B4362">
        <w:rPr>
          <w:rFonts w:eastAsia="Calibri"/>
        </w:rPr>
        <w:tab/>
        <w:t xml:space="preserve">A NTNCWS supplier must repeat </w:t>
      </w:r>
      <w:bookmarkStart w:id="1787" w:name="_Hlk114661977"/>
      <w:r w:rsidRPr="003B4362">
        <w:rPr>
          <w:rFonts w:eastAsia="Calibri"/>
        </w:rPr>
        <w:t>the tasks in subsection (b)(4)</w:t>
      </w:r>
      <w:bookmarkEnd w:id="1787"/>
      <w:r w:rsidRPr="003B4362">
        <w:rPr>
          <w:rFonts w:eastAsia="Calibri"/>
        </w:rPr>
        <w:t xml:space="preserve"> at least once during each calendar year in which the supplier exceeds the lead action level.  T</w:t>
      </w:r>
      <w:bookmarkStart w:id="1788" w:name="_Hlk114662029"/>
      <w:r w:rsidRPr="003B4362">
        <w:rPr>
          <w:rFonts w:eastAsia="Calibri"/>
        </w:rPr>
        <w:t>he Agency must, on a case-by-case basis, issue a SEP extending the time</w:t>
      </w:r>
      <w:bookmarkEnd w:id="1788"/>
      <w:r w:rsidRPr="003B4362">
        <w:rPr>
          <w:rFonts w:eastAsia="Calibri"/>
        </w:rPr>
        <w:t xml:space="preserve"> for the supplier to complete the public education tasks in subsection (b)(2) beyond the 60-day limit </w:t>
      </w:r>
      <w:bookmarkStart w:id="1789" w:name="_Hlk114662151"/>
      <w:r w:rsidRPr="003B4362">
        <w:rPr>
          <w:rFonts w:eastAsia="Calibri"/>
        </w:rPr>
        <w:t>if the Agency determines</w:t>
      </w:r>
      <w:bookmarkEnd w:id="1789"/>
      <w:r w:rsidRPr="003B4362">
        <w:rPr>
          <w:rFonts w:eastAsia="Calibri"/>
        </w:rPr>
        <w:t xml:space="preserve"> that the extended time is needed for implementation purposes; however, </w:t>
      </w:r>
      <w:bookmarkStart w:id="1790" w:name="_Hlk114662207"/>
      <w:r w:rsidRPr="003B4362">
        <w:rPr>
          <w:rFonts w:eastAsia="Calibri"/>
        </w:rPr>
        <w:t xml:space="preserve">the Agency must issue any SEP granting any extension </w:t>
      </w:r>
      <w:r w:rsidR="00B21DC5" w:rsidRPr="003B4362">
        <w:rPr>
          <w:rFonts w:eastAsia="Calibri"/>
        </w:rPr>
        <w:t>before</w:t>
      </w:r>
      <w:r w:rsidRPr="003B4362">
        <w:rPr>
          <w:rFonts w:eastAsia="Calibri"/>
        </w:rPr>
        <w:t xml:space="preserve"> the 60-day deadline expires</w:t>
      </w:r>
      <w:bookmarkEnd w:id="1790"/>
      <w:r w:rsidRPr="003B4362">
        <w:rPr>
          <w:rFonts w:eastAsia="Calibri"/>
        </w:rPr>
        <w:t>.</w:t>
      </w:r>
    </w:p>
    <w:p w14:paraId="064549AE" w14:textId="1C52823F" w:rsidR="005451CE" w:rsidRPr="003B4362" w:rsidRDefault="005451CE" w:rsidP="005451CE">
      <w:pPr>
        <w:spacing w:before="240" w:after="240"/>
        <w:ind w:left="2160" w:hanging="720"/>
        <w:rPr>
          <w:rFonts w:eastAsia="Calibri"/>
        </w:rPr>
      </w:pPr>
      <w:r w:rsidRPr="003B4362">
        <w:rPr>
          <w:rFonts w:eastAsia="Calibri"/>
        </w:rPr>
        <w:t>6)</w:t>
      </w:r>
      <w:r w:rsidRPr="003B4362">
        <w:rPr>
          <w:rFonts w:eastAsia="Calibri"/>
        </w:rPr>
        <w:tab/>
        <w:t xml:space="preserve">A supplier </w:t>
      </w:r>
      <w:bookmarkStart w:id="1791" w:name="_Hlk114663606"/>
      <w:r w:rsidRPr="003B4362">
        <w:rPr>
          <w:rFonts w:eastAsia="Calibri"/>
        </w:rPr>
        <w:t>may stop delivering public education materials</w:t>
      </w:r>
      <w:bookmarkEnd w:id="1791"/>
      <w:r w:rsidRPr="003B4362">
        <w:rPr>
          <w:rFonts w:eastAsia="Calibri"/>
        </w:rPr>
        <w:t xml:space="preserve"> </w:t>
      </w:r>
      <w:bookmarkStart w:id="1792" w:name="_Hlk114663656"/>
      <w:r w:rsidRPr="003B4362">
        <w:rPr>
          <w:rFonts w:eastAsia="Calibri"/>
        </w:rPr>
        <w:t xml:space="preserve">after </w:t>
      </w:r>
      <w:bookmarkStart w:id="1793" w:name="_Hlk120551030"/>
      <w:r w:rsidRPr="003B4362">
        <w:rPr>
          <w:rFonts w:eastAsia="Calibri"/>
        </w:rPr>
        <w:t xml:space="preserve">the supplier </w:t>
      </w:r>
      <w:r w:rsidR="00C36BF8" w:rsidRPr="003B4362">
        <w:rPr>
          <w:rFonts w:eastAsia="Calibri"/>
        </w:rPr>
        <w:t xml:space="preserve">does not exceed </w:t>
      </w:r>
      <w:r w:rsidRPr="003B4362">
        <w:rPr>
          <w:rFonts w:eastAsia="Calibri"/>
        </w:rPr>
        <w:t>the lead action level</w:t>
      </w:r>
      <w:bookmarkEnd w:id="1792"/>
      <w:bookmarkEnd w:id="1793"/>
      <w:r w:rsidRPr="003B4362">
        <w:rPr>
          <w:rFonts w:eastAsia="Calibri"/>
        </w:rPr>
        <w:t xml:space="preserve"> during </w:t>
      </w:r>
      <w:bookmarkStart w:id="1794" w:name="_Hlk114663701"/>
      <w:r w:rsidRPr="003B4362">
        <w:rPr>
          <w:rFonts w:eastAsia="Calibri"/>
        </w:rPr>
        <w:t xml:space="preserve">the most recent six-month </w:t>
      </w:r>
      <w:r w:rsidR="00C20E1A" w:rsidRPr="003B4362">
        <w:rPr>
          <w:szCs w:val="24"/>
        </w:rPr>
        <w:t xml:space="preserve">tap </w:t>
      </w:r>
      <w:r w:rsidRPr="003B4362">
        <w:rPr>
          <w:rFonts w:eastAsia="Calibri"/>
        </w:rPr>
        <w:t xml:space="preserve">monitoring </w:t>
      </w:r>
      <w:r w:rsidR="00794999" w:rsidRPr="003B4362">
        <w:rPr>
          <w:rFonts w:eastAsia="Calibri"/>
        </w:rPr>
        <w:t xml:space="preserve">cycle </w:t>
      </w:r>
      <w:r w:rsidRPr="003B4362">
        <w:rPr>
          <w:rFonts w:eastAsia="Calibri"/>
        </w:rPr>
        <w:t>under Section 611.356</w:t>
      </w:r>
      <w:bookmarkEnd w:id="1794"/>
      <w:r w:rsidRPr="003B4362">
        <w:rPr>
          <w:rFonts w:eastAsia="Calibri"/>
        </w:rPr>
        <w:t>.  T</w:t>
      </w:r>
      <w:bookmarkStart w:id="1795" w:name="_Hlk114663768"/>
      <w:r w:rsidRPr="003B4362">
        <w:rPr>
          <w:rFonts w:eastAsia="Calibri"/>
        </w:rPr>
        <w:t>he supplier must begin</w:t>
      </w:r>
      <w:bookmarkStart w:id="1796" w:name="_Hlk114663820"/>
      <w:bookmarkEnd w:id="1795"/>
      <w:r w:rsidRPr="003B4362">
        <w:rPr>
          <w:rFonts w:eastAsia="Calibri"/>
        </w:rPr>
        <w:t xml:space="preserve"> public education anew under this Section if the supplier subsequently exceeds the lead action level</w:t>
      </w:r>
      <w:bookmarkEnd w:id="1796"/>
      <w:r w:rsidRPr="003B4362">
        <w:rPr>
          <w:rFonts w:eastAsia="Calibri"/>
        </w:rPr>
        <w:t xml:space="preserve"> during any </w:t>
      </w:r>
      <w:r w:rsidR="00822C7F" w:rsidRPr="003B4362">
        <w:rPr>
          <w:szCs w:val="24"/>
        </w:rPr>
        <w:t xml:space="preserve">tap sampling </w:t>
      </w:r>
      <w:r w:rsidRPr="003B4362">
        <w:rPr>
          <w:rFonts w:eastAsia="Calibri"/>
        </w:rPr>
        <w:t>period.</w:t>
      </w:r>
    </w:p>
    <w:p w14:paraId="2B285DE5" w14:textId="42543ACE" w:rsidR="005451CE" w:rsidRPr="003B4362" w:rsidRDefault="005451CE" w:rsidP="005451CE">
      <w:pPr>
        <w:spacing w:before="240" w:after="240"/>
        <w:ind w:left="2160" w:hanging="720"/>
        <w:rPr>
          <w:rFonts w:eastAsia="Calibri"/>
        </w:rPr>
      </w:pPr>
      <w:r w:rsidRPr="003B4362">
        <w:rPr>
          <w:rFonts w:eastAsia="Calibri"/>
        </w:rPr>
        <w:t>7)</w:t>
      </w:r>
      <w:r w:rsidRPr="003B4362">
        <w:rPr>
          <w:rFonts w:eastAsia="Calibri"/>
        </w:rPr>
        <w:tab/>
        <w:t xml:space="preserve">A CWS supplier may apply to the Agency, in writing, to </w:t>
      </w:r>
      <w:bookmarkStart w:id="1797" w:name="_Hlk114665464"/>
      <w:r w:rsidRPr="003B4362">
        <w:rPr>
          <w:rFonts w:eastAsia="Calibri"/>
        </w:rPr>
        <w:t>use only the text in subsection (a)(1)</w:t>
      </w:r>
      <w:bookmarkEnd w:id="1797"/>
      <w:r w:rsidRPr="003B4362">
        <w:rPr>
          <w:rFonts w:eastAsia="Calibri"/>
        </w:rPr>
        <w:t xml:space="preserve"> in lieu of the text in subsections (a)(1) and (a)(2) and to perform </w:t>
      </w:r>
      <w:bookmarkStart w:id="1798" w:name="_Hlk114665513"/>
      <w:r w:rsidRPr="003B4362">
        <w:rPr>
          <w:rFonts w:eastAsia="Calibri"/>
        </w:rPr>
        <w:t>the tasks in subsections (b)(4) and (b)(5)</w:t>
      </w:r>
      <w:bookmarkEnd w:id="1798"/>
      <w:r w:rsidRPr="003B4362">
        <w:rPr>
          <w:rFonts w:eastAsia="Calibri"/>
        </w:rPr>
        <w:t xml:space="preserve"> in lieu of the tasks in subsections (b)(2) and (b)(3) </w:t>
      </w:r>
      <w:bookmarkStart w:id="1799" w:name="_Hlk114665550"/>
      <w:r w:rsidRPr="003B4362">
        <w:rPr>
          <w:rFonts w:eastAsia="Calibri"/>
        </w:rPr>
        <w:t>under specific circumstances</w:t>
      </w:r>
      <w:bookmarkEnd w:id="1799"/>
      <w:r w:rsidRPr="003B4362">
        <w:rPr>
          <w:rFonts w:eastAsia="Calibri"/>
        </w:rPr>
        <w:t>:</w:t>
      </w:r>
    </w:p>
    <w:p w14:paraId="46A6F12F" w14:textId="77777777"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The supplier is a facility, such as a prison or a hospital, where the population served is not capable of or is prevented from making improvements to plumbing or installing point of use treatment devices; and</w:t>
      </w:r>
    </w:p>
    <w:p w14:paraId="0D7F6D7F" w14:textId="2178D846"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T</w:t>
      </w:r>
      <w:bookmarkStart w:id="1800" w:name="_Hlk114665666"/>
      <w:r w:rsidRPr="003B4362">
        <w:rPr>
          <w:rFonts w:eastAsia="Calibri"/>
        </w:rPr>
        <w:t>he supplier provides water as part of the cost of services provided, not separately charging for water</w:t>
      </w:r>
      <w:bookmarkEnd w:id="1800"/>
      <w:r w:rsidRPr="003B4362">
        <w:rPr>
          <w:rFonts w:eastAsia="Calibri"/>
        </w:rPr>
        <w:t xml:space="preserve"> consumption.</w:t>
      </w:r>
    </w:p>
    <w:p w14:paraId="6C98574F" w14:textId="5F55CA19" w:rsidR="005451CE" w:rsidRPr="003B4362" w:rsidRDefault="005451CE" w:rsidP="005451CE">
      <w:pPr>
        <w:spacing w:before="240" w:after="240"/>
        <w:ind w:left="2160" w:hanging="720"/>
        <w:rPr>
          <w:rFonts w:eastAsia="Calibri"/>
        </w:rPr>
      </w:pPr>
      <w:r w:rsidRPr="003B4362">
        <w:rPr>
          <w:rFonts w:eastAsia="Calibri"/>
        </w:rPr>
        <w:t>8)</w:t>
      </w:r>
      <w:r w:rsidRPr="003B4362">
        <w:rPr>
          <w:rFonts w:eastAsia="Calibri"/>
        </w:rPr>
        <w:tab/>
        <w:t xml:space="preserve">A CWS </w:t>
      </w:r>
      <w:bookmarkStart w:id="1801" w:name="_Hlk114665746"/>
      <w:r w:rsidRPr="003B4362">
        <w:rPr>
          <w:rFonts w:eastAsia="Calibri"/>
        </w:rPr>
        <w:t>supplier serving 3,300 or fewer people</w:t>
      </w:r>
      <w:bookmarkEnd w:id="1801"/>
      <w:r w:rsidRPr="003B4362">
        <w:rPr>
          <w:rFonts w:eastAsia="Calibri"/>
        </w:rPr>
        <w:t xml:space="preserve"> may limit certain aspects of its public education programs:</w:t>
      </w:r>
    </w:p>
    <w:p w14:paraId="2B5A580E" w14:textId="11C599B9" w:rsidR="005451CE" w:rsidRPr="003B4362" w:rsidRDefault="005451CE" w:rsidP="005451CE">
      <w:pPr>
        <w:spacing w:before="240" w:after="240"/>
        <w:ind w:left="2880" w:hanging="720"/>
        <w:rPr>
          <w:rFonts w:eastAsia="Calibri"/>
        </w:rPr>
      </w:pPr>
      <w:r w:rsidRPr="003B4362">
        <w:rPr>
          <w:rFonts w:eastAsia="Calibri"/>
        </w:rPr>
        <w:lastRenderedPageBreak/>
        <w:t>A)</w:t>
      </w:r>
      <w:r w:rsidRPr="003B4362">
        <w:rPr>
          <w:rFonts w:eastAsia="Calibri"/>
        </w:rPr>
        <w:tab/>
        <w:t>F</w:t>
      </w:r>
      <w:bookmarkStart w:id="1802" w:name="_Hlk114666293"/>
      <w:r w:rsidRPr="003B4362">
        <w:rPr>
          <w:rFonts w:eastAsia="Calibri"/>
        </w:rPr>
        <w:t>or notice under subsection (b)(2)(F)</w:t>
      </w:r>
      <w:bookmarkEnd w:id="1802"/>
      <w:r w:rsidRPr="003B4362">
        <w:rPr>
          <w:rFonts w:eastAsia="Calibri"/>
        </w:rPr>
        <w:t xml:space="preserve">, </w:t>
      </w:r>
      <w:bookmarkStart w:id="1803" w:name="_Hlk114666373"/>
      <w:r w:rsidRPr="003B4362">
        <w:rPr>
          <w:rFonts w:eastAsia="Calibri"/>
        </w:rPr>
        <w:t>a supplier serving 3,300 or fewer people</w:t>
      </w:r>
      <w:bookmarkEnd w:id="1803"/>
      <w:r w:rsidRPr="003B4362">
        <w:rPr>
          <w:rFonts w:eastAsia="Calibri"/>
        </w:rPr>
        <w:t xml:space="preserve"> must implement </w:t>
      </w:r>
      <w:bookmarkStart w:id="1804" w:name="_Hlk114666425"/>
      <w:r w:rsidRPr="003B4362">
        <w:rPr>
          <w:rFonts w:eastAsia="Calibri"/>
        </w:rPr>
        <w:t>at least one of the activities</w:t>
      </w:r>
      <w:bookmarkEnd w:id="1804"/>
      <w:r w:rsidRPr="003B4362">
        <w:rPr>
          <w:rFonts w:eastAsia="Calibri"/>
        </w:rPr>
        <w:t xml:space="preserve"> </w:t>
      </w:r>
      <w:bookmarkStart w:id="1805" w:name="_Hlk114666405"/>
      <w:r w:rsidRPr="003B4362">
        <w:rPr>
          <w:rFonts w:eastAsia="Calibri"/>
        </w:rPr>
        <w:t>in that subsection</w:t>
      </w:r>
      <w:bookmarkEnd w:id="1805"/>
      <w:r w:rsidRPr="003B4362">
        <w:rPr>
          <w:rFonts w:eastAsia="Calibri"/>
        </w:rPr>
        <w:t>.</w:t>
      </w:r>
    </w:p>
    <w:p w14:paraId="43F0C95B" w14:textId="5B233987"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For notice under subsection (b)(2)(B), a supplier serving 3,300 or fewer people may limit the distribution of the </w:t>
      </w:r>
      <w:bookmarkStart w:id="1806" w:name="_Hlk114666537"/>
      <w:r w:rsidRPr="003B4362">
        <w:rPr>
          <w:rFonts w:eastAsia="Calibri"/>
        </w:rPr>
        <w:t>public education materials</w:t>
      </w:r>
      <w:bookmarkEnd w:id="1806"/>
      <w:r w:rsidRPr="003B4362">
        <w:rPr>
          <w:rFonts w:eastAsia="Calibri"/>
        </w:rPr>
        <w:t xml:space="preserve"> to </w:t>
      </w:r>
      <w:bookmarkStart w:id="1807" w:name="_Hlk114666596"/>
      <w:r w:rsidRPr="003B4362">
        <w:rPr>
          <w:rFonts w:eastAsia="Calibri"/>
        </w:rPr>
        <w:t>facilities and organizations that pregnant women and children are most likely to visit</w:t>
      </w:r>
      <w:bookmarkEnd w:id="1807"/>
      <w:r w:rsidRPr="003B4362">
        <w:rPr>
          <w:rFonts w:eastAsia="Calibri"/>
        </w:rPr>
        <w:t>.</w:t>
      </w:r>
    </w:p>
    <w:p w14:paraId="076991B6" w14:textId="30B53169"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For notice under subsection (b)(2)(E), </w:t>
      </w:r>
      <w:bookmarkStart w:id="1808" w:name="_Hlk114666696"/>
      <w:r w:rsidRPr="003B4362">
        <w:rPr>
          <w:rFonts w:eastAsia="Calibri"/>
        </w:rPr>
        <w:t>the Agency may issue a SEP waiving this requirement</w:t>
      </w:r>
      <w:bookmarkEnd w:id="1808"/>
      <w:r w:rsidRPr="003B4362">
        <w:rPr>
          <w:rFonts w:eastAsia="Calibri"/>
        </w:rPr>
        <w:t xml:space="preserve"> for </w:t>
      </w:r>
      <w:bookmarkStart w:id="1809" w:name="_Hlk114666776"/>
      <w:r w:rsidRPr="003B4362">
        <w:rPr>
          <w:rFonts w:eastAsia="Calibri"/>
        </w:rPr>
        <w:t>a supplier serving 3,300 or fewer persons</w:t>
      </w:r>
      <w:bookmarkEnd w:id="1809"/>
      <w:r w:rsidRPr="003B4362">
        <w:rPr>
          <w:rFonts w:eastAsia="Calibri"/>
        </w:rPr>
        <w:t xml:space="preserve">, as long as the supplier distributes notices to </w:t>
      </w:r>
      <w:bookmarkStart w:id="1810" w:name="_Hlk114666856"/>
      <w:r w:rsidRPr="003B4362">
        <w:rPr>
          <w:rFonts w:eastAsia="Calibri"/>
        </w:rPr>
        <w:t>every household the supplier serves</w:t>
      </w:r>
      <w:bookmarkEnd w:id="1810"/>
      <w:r w:rsidRPr="003B4362">
        <w:rPr>
          <w:rFonts w:eastAsia="Calibri"/>
        </w:rPr>
        <w:t>.</w:t>
      </w:r>
    </w:p>
    <w:p w14:paraId="7807AAF0" w14:textId="17E83104" w:rsidR="005451CE" w:rsidRPr="003B4362" w:rsidRDefault="005451CE" w:rsidP="005451CE">
      <w:pPr>
        <w:spacing w:before="240" w:after="240"/>
        <w:ind w:left="1440" w:hanging="720"/>
        <w:rPr>
          <w:rFonts w:eastAsia="Calibri"/>
        </w:rPr>
      </w:pPr>
      <w:r w:rsidRPr="003B4362">
        <w:rPr>
          <w:rFonts w:eastAsia="Calibri"/>
        </w:rPr>
        <w:t>c)</w:t>
      </w:r>
      <w:r w:rsidRPr="003B4362">
        <w:rPr>
          <w:rFonts w:eastAsia="Calibri"/>
        </w:rPr>
        <w:tab/>
        <w:t>Supplemental Monitoring and Notification of Results.  A</w:t>
      </w:r>
      <w:bookmarkStart w:id="1811" w:name="_Hlk114667724"/>
      <w:r w:rsidRPr="003B4362">
        <w:rPr>
          <w:rFonts w:eastAsia="Calibri"/>
        </w:rPr>
        <w:t xml:space="preserve"> supplier failing to meet the lead action level in tap samples under Section 611.356</w:t>
      </w:r>
      <w:bookmarkEnd w:id="1811"/>
      <w:r w:rsidRPr="003B4362">
        <w:rPr>
          <w:rFonts w:eastAsia="Calibri"/>
        </w:rPr>
        <w:t xml:space="preserve"> must offer to sample the tap water of </w:t>
      </w:r>
      <w:bookmarkStart w:id="1812" w:name="_Hlk114667795"/>
      <w:r w:rsidRPr="003B4362">
        <w:rPr>
          <w:rFonts w:eastAsia="Calibri"/>
        </w:rPr>
        <w:t>any customer requesting it</w:t>
      </w:r>
      <w:bookmarkEnd w:id="1812"/>
      <w:r w:rsidRPr="003B4362">
        <w:rPr>
          <w:rFonts w:eastAsia="Calibri"/>
        </w:rPr>
        <w:t>.  T</w:t>
      </w:r>
      <w:bookmarkStart w:id="1813" w:name="_Hlk114667838"/>
      <w:r w:rsidRPr="003B4362">
        <w:rPr>
          <w:rFonts w:eastAsia="Calibri"/>
        </w:rPr>
        <w:t>he supplier needs not pay</w:t>
      </w:r>
      <w:bookmarkEnd w:id="1813"/>
      <w:r w:rsidRPr="003B4362">
        <w:rPr>
          <w:rFonts w:eastAsia="Calibri"/>
        </w:rPr>
        <w:t xml:space="preserve"> for collecting or analyzing the sample, </w:t>
      </w:r>
      <w:bookmarkStart w:id="1814" w:name="_Hlk114668036"/>
      <w:r w:rsidRPr="003B4362">
        <w:rPr>
          <w:rFonts w:eastAsia="Calibri"/>
        </w:rPr>
        <w:t>nor must the supplier itself collect and analyze the sample</w:t>
      </w:r>
      <w:bookmarkEnd w:id="1814"/>
      <w:r w:rsidRPr="003B4362">
        <w:rPr>
          <w:rFonts w:eastAsia="Calibri"/>
        </w:rPr>
        <w:t>.</w:t>
      </w:r>
    </w:p>
    <w:p w14:paraId="59359F63" w14:textId="77777777" w:rsidR="005451CE" w:rsidRPr="003B4362" w:rsidRDefault="005451CE" w:rsidP="005451CE">
      <w:pPr>
        <w:spacing w:before="240" w:after="240"/>
        <w:ind w:left="1440" w:hanging="720"/>
        <w:rPr>
          <w:rFonts w:eastAsia="Calibri"/>
        </w:rPr>
      </w:pPr>
      <w:r w:rsidRPr="003B4362">
        <w:rPr>
          <w:rFonts w:eastAsia="Calibri"/>
        </w:rPr>
        <w:t>d)</w:t>
      </w:r>
      <w:r w:rsidRPr="003B4362">
        <w:rPr>
          <w:rFonts w:eastAsia="Calibri"/>
        </w:rPr>
        <w:tab/>
        <w:t>Requirement for Consumer Notice of Tap Water Monitoring Results</w:t>
      </w:r>
    </w:p>
    <w:p w14:paraId="79308FDF" w14:textId="537A41E7"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Consumer Notice Requirement.  A supplier must provide a notice of the individual tap results from lead </w:t>
      </w:r>
      <w:bookmarkStart w:id="1815" w:name="_Hlk114668136"/>
      <w:r w:rsidRPr="003B4362">
        <w:rPr>
          <w:rFonts w:eastAsia="Calibri"/>
        </w:rPr>
        <w:t>tap water monitoring under Section 611.356</w:t>
      </w:r>
      <w:bookmarkEnd w:id="1815"/>
      <w:r w:rsidRPr="003B4362">
        <w:rPr>
          <w:rFonts w:eastAsia="Calibri"/>
        </w:rPr>
        <w:t xml:space="preserve"> to </w:t>
      </w:r>
      <w:bookmarkStart w:id="1816" w:name="_Hlk114668179"/>
      <w:r w:rsidRPr="003B4362">
        <w:rPr>
          <w:rFonts w:eastAsia="Calibri"/>
        </w:rPr>
        <w:t>the persons the water system serves</w:t>
      </w:r>
      <w:bookmarkEnd w:id="1816"/>
      <w:r w:rsidRPr="003B4362">
        <w:rPr>
          <w:rFonts w:eastAsia="Calibri"/>
        </w:rPr>
        <w:t xml:space="preserve"> at the specific sampling </w:t>
      </w:r>
      <w:bookmarkStart w:id="1817" w:name="_Hlk114668227"/>
      <w:r w:rsidRPr="003B4362">
        <w:rPr>
          <w:rFonts w:eastAsia="Calibri"/>
        </w:rPr>
        <w:t xml:space="preserve">site from which the supplier took the sample </w:t>
      </w:r>
      <w:bookmarkEnd w:id="1817"/>
      <w:r w:rsidRPr="003B4362">
        <w:rPr>
          <w:rFonts w:eastAsia="Calibri"/>
        </w:rPr>
        <w:t xml:space="preserve">(e.g., the occupants of the </w:t>
      </w:r>
      <w:bookmarkStart w:id="1818" w:name="_Hlk114668271"/>
      <w:r w:rsidR="00605716" w:rsidRPr="003B4362">
        <w:rPr>
          <w:szCs w:val="24"/>
        </w:rPr>
        <w:t xml:space="preserve">building </w:t>
      </w:r>
      <w:r w:rsidRPr="003B4362">
        <w:rPr>
          <w:rFonts w:eastAsia="Calibri"/>
        </w:rPr>
        <w:t xml:space="preserve">where </w:t>
      </w:r>
      <w:bookmarkStart w:id="1819" w:name="_Hlk120555122"/>
      <w:r w:rsidRPr="003B4362">
        <w:rPr>
          <w:rFonts w:eastAsia="Calibri"/>
        </w:rPr>
        <w:t xml:space="preserve">the supplier </w:t>
      </w:r>
      <w:r w:rsidR="00605716" w:rsidRPr="003B4362">
        <w:rPr>
          <w:rFonts w:eastAsia="Calibri"/>
        </w:rPr>
        <w:t>sampl</w:t>
      </w:r>
      <w:r w:rsidRPr="003B4362">
        <w:rPr>
          <w:rFonts w:eastAsia="Calibri"/>
        </w:rPr>
        <w:t>ed</w:t>
      </w:r>
      <w:bookmarkEnd w:id="1819"/>
      <w:r w:rsidRPr="003B4362">
        <w:rPr>
          <w:rFonts w:eastAsia="Calibri"/>
        </w:rPr>
        <w:t xml:space="preserve"> </w:t>
      </w:r>
      <w:bookmarkStart w:id="1820" w:name="_Hlk120555085"/>
      <w:r w:rsidRPr="003B4362">
        <w:rPr>
          <w:rFonts w:eastAsia="Calibri"/>
        </w:rPr>
        <w:t>the tap</w:t>
      </w:r>
      <w:bookmarkEnd w:id="1818"/>
      <w:bookmarkEnd w:id="1820"/>
      <w:r w:rsidRPr="003B4362">
        <w:rPr>
          <w:rFonts w:eastAsia="Calibri"/>
        </w:rPr>
        <w:t>).</w:t>
      </w:r>
    </w:p>
    <w:p w14:paraId="6F3AD2DB" w14:textId="171848D5" w:rsidR="004163B4" w:rsidRPr="003B4362" w:rsidRDefault="005451CE" w:rsidP="004163B4">
      <w:pPr>
        <w:autoSpaceDE w:val="0"/>
        <w:autoSpaceDN w:val="0"/>
        <w:adjustRightInd w:val="0"/>
        <w:ind w:left="2160" w:hanging="720"/>
        <w:rPr>
          <w:szCs w:val="24"/>
        </w:rPr>
      </w:pPr>
      <w:r w:rsidRPr="003B4362">
        <w:rPr>
          <w:rFonts w:eastAsia="Calibri"/>
        </w:rPr>
        <w:t>2)</w:t>
      </w:r>
      <w:r w:rsidRPr="003B4362">
        <w:rPr>
          <w:rFonts w:eastAsia="Calibri"/>
        </w:rPr>
        <w:tab/>
        <w:t xml:space="preserve">Timing of Consumer Notice.  The supplier must provide the consumer notice as soon as </w:t>
      </w:r>
      <w:r w:rsidR="004163B4" w:rsidRPr="003B4362">
        <w:rPr>
          <w:szCs w:val="24"/>
        </w:rPr>
        <w:t xml:space="preserve">practicable </w:t>
      </w:r>
      <w:r w:rsidRPr="003B4362">
        <w:rPr>
          <w:rFonts w:eastAsia="Calibri"/>
        </w:rPr>
        <w:t>but no later than</w:t>
      </w:r>
      <w:r w:rsidR="004163B4" w:rsidRPr="003B4362">
        <w:rPr>
          <w:szCs w:val="24"/>
        </w:rPr>
        <w:t xml:space="preserve"> the </w:t>
      </w:r>
      <w:r w:rsidR="00B904BB" w:rsidRPr="003B4362">
        <w:rPr>
          <w:szCs w:val="24"/>
        </w:rPr>
        <w:t>specified</w:t>
      </w:r>
      <w:r w:rsidR="004163B4" w:rsidRPr="003B4362">
        <w:rPr>
          <w:szCs w:val="24"/>
        </w:rPr>
        <w:t xml:space="preserve"> timeframe:</w:t>
      </w:r>
    </w:p>
    <w:p w14:paraId="570C6854" w14:textId="64E984DF" w:rsidR="005451CE" w:rsidRPr="003B4362" w:rsidRDefault="004163B4" w:rsidP="004163B4">
      <w:pPr>
        <w:spacing w:before="240" w:after="240"/>
        <w:ind w:left="2880" w:hanging="720"/>
        <w:rPr>
          <w:rFonts w:eastAsia="Calibri"/>
        </w:rPr>
      </w:pPr>
      <w:r w:rsidRPr="003B4362">
        <w:rPr>
          <w:szCs w:val="24"/>
        </w:rPr>
        <w:t>A)</w:t>
      </w:r>
      <w:r w:rsidRPr="003B4362">
        <w:rPr>
          <w:szCs w:val="24"/>
        </w:rPr>
        <w:tab/>
        <w:t xml:space="preserve">For individual </w:t>
      </w:r>
      <w:bookmarkStart w:id="1821" w:name="_Hlk120556087"/>
      <w:r w:rsidRPr="003B4362">
        <w:rPr>
          <w:szCs w:val="24"/>
        </w:rPr>
        <w:t>samples</w:t>
      </w:r>
      <w:r w:rsidR="00B904BB" w:rsidRPr="003B4362">
        <w:rPr>
          <w:rFonts w:eastAsia="Calibri"/>
        </w:rPr>
        <w:t xml:space="preserve"> </w:t>
      </w:r>
      <w:r w:rsidRPr="003B4362">
        <w:rPr>
          <w:szCs w:val="24"/>
        </w:rPr>
        <w:t>not exceed</w:t>
      </w:r>
      <w:r w:rsidR="00B904BB" w:rsidRPr="003B4362">
        <w:rPr>
          <w:szCs w:val="24"/>
        </w:rPr>
        <w:t>ing</w:t>
      </w:r>
      <w:r w:rsidRPr="003B4362">
        <w:rPr>
          <w:szCs w:val="24"/>
        </w:rPr>
        <w:t xml:space="preserve"> 15 </w:t>
      </w:r>
      <w:r w:rsidR="00870D11" w:rsidRPr="003B4362">
        <w:rPr>
          <w:szCs w:val="24"/>
        </w:rPr>
        <w:t>µg</w:t>
      </w:r>
      <w:r w:rsidRPr="003B4362">
        <w:rPr>
          <w:szCs w:val="24"/>
        </w:rPr>
        <w:t>/</w:t>
      </w:r>
      <w:bookmarkEnd w:id="1821"/>
      <w:r w:rsidR="008E72A6" w:rsidRPr="003B4362">
        <w:t xml:space="preserve"> L</w:t>
      </w:r>
      <w:r w:rsidRPr="003B4362">
        <w:rPr>
          <w:szCs w:val="24"/>
        </w:rPr>
        <w:t xml:space="preserve"> of lead, no later than</w:t>
      </w:r>
      <w:r w:rsidR="005451CE" w:rsidRPr="003B4362">
        <w:rPr>
          <w:rFonts w:eastAsia="Calibri"/>
        </w:rPr>
        <w:t xml:space="preserve"> 30 days </w:t>
      </w:r>
      <w:bookmarkStart w:id="1822" w:name="_Hlk114668344"/>
      <w:r w:rsidR="005451CE" w:rsidRPr="003B4362">
        <w:rPr>
          <w:rFonts w:eastAsia="Calibri"/>
        </w:rPr>
        <w:t xml:space="preserve">after </w:t>
      </w:r>
      <w:r w:rsidR="00B904BB" w:rsidRPr="003B4362">
        <w:rPr>
          <w:rFonts w:eastAsia="Calibri"/>
        </w:rPr>
        <w:t xml:space="preserve">the supplier </w:t>
      </w:r>
      <w:r w:rsidR="005451CE" w:rsidRPr="003B4362">
        <w:rPr>
          <w:rFonts w:eastAsia="Calibri"/>
        </w:rPr>
        <w:t>learns of the tap monitoring results</w:t>
      </w:r>
      <w:bookmarkEnd w:id="1822"/>
      <w:r w:rsidR="005451CE" w:rsidRPr="003B4362">
        <w:rPr>
          <w:rFonts w:eastAsia="Calibri"/>
        </w:rPr>
        <w:t>.</w:t>
      </w:r>
    </w:p>
    <w:p w14:paraId="7FEB6B43" w14:textId="6246A861" w:rsidR="00B904BB" w:rsidRPr="003B4362" w:rsidRDefault="00B904BB" w:rsidP="00B904BB">
      <w:pPr>
        <w:autoSpaceDE w:val="0"/>
        <w:autoSpaceDN w:val="0"/>
        <w:adjustRightInd w:val="0"/>
        <w:ind w:left="2880" w:hanging="720"/>
        <w:rPr>
          <w:szCs w:val="24"/>
        </w:rPr>
      </w:pPr>
      <w:r w:rsidRPr="003B4362">
        <w:rPr>
          <w:szCs w:val="24"/>
        </w:rPr>
        <w:t>B)</w:t>
      </w:r>
      <w:r w:rsidRPr="003B4362">
        <w:rPr>
          <w:szCs w:val="24"/>
        </w:rPr>
        <w:tab/>
        <w:t>For individual samples exceed</w:t>
      </w:r>
      <w:r w:rsidR="00B269E5" w:rsidRPr="003B4362">
        <w:rPr>
          <w:szCs w:val="24"/>
        </w:rPr>
        <w:t>ing</w:t>
      </w:r>
      <w:r w:rsidRPr="003B4362">
        <w:rPr>
          <w:szCs w:val="24"/>
        </w:rPr>
        <w:t xml:space="preserve"> 15 </w:t>
      </w:r>
      <w:r w:rsidR="00870D11" w:rsidRPr="003B4362">
        <w:rPr>
          <w:szCs w:val="24"/>
        </w:rPr>
        <w:t>µg</w:t>
      </w:r>
      <w:r w:rsidRPr="003B4362">
        <w:rPr>
          <w:szCs w:val="24"/>
        </w:rPr>
        <w:t>/</w:t>
      </w:r>
      <w:r w:rsidR="008E72A6" w:rsidRPr="003B4362">
        <w:t xml:space="preserve"> L</w:t>
      </w:r>
      <w:r w:rsidRPr="003B4362">
        <w:rPr>
          <w:szCs w:val="24"/>
        </w:rPr>
        <w:t xml:space="preserve"> of lead, as soon as practicable but </w:t>
      </w:r>
      <w:bookmarkStart w:id="1823" w:name="_Hlk120556852"/>
      <w:r w:rsidRPr="003B4362">
        <w:rPr>
          <w:szCs w:val="24"/>
        </w:rPr>
        <w:t xml:space="preserve">no later than </w:t>
      </w:r>
      <w:bookmarkStart w:id="1824" w:name="_Hlk120556798"/>
      <w:r w:rsidR="00B269E5" w:rsidRPr="003B4362">
        <w:rPr>
          <w:szCs w:val="24"/>
        </w:rPr>
        <w:t>three</w:t>
      </w:r>
      <w:r w:rsidRPr="003B4362">
        <w:rPr>
          <w:szCs w:val="24"/>
        </w:rPr>
        <w:t xml:space="preserve"> calendar days</w:t>
      </w:r>
      <w:bookmarkEnd w:id="1823"/>
      <w:bookmarkEnd w:id="1824"/>
      <w:r w:rsidRPr="003B4362">
        <w:rPr>
          <w:szCs w:val="24"/>
        </w:rPr>
        <w:t xml:space="preserve"> after the </w:t>
      </w:r>
      <w:r w:rsidR="00B269E5" w:rsidRPr="003B4362">
        <w:rPr>
          <w:szCs w:val="24"/>
        </w:rPr>
        <w:t>supplier</w:t>
      </w:r>
      <w:r w:rsidRPr="003B4362">
        <w:rPr>
          <w:szCs w:val="24"/>
        </w:rPr>
        <w:t xml:space="preserve"> learns of the tap monitoring results.  </w:t>
      </w:r>
      <w:r w:rsidR="00B269E5" w:rsidRPr="003B4362">
        <w:rPr>
          <w:szCs w:val="24"/>
        </w:rPr>
        <w:t>A</w:t>
      </w:r>
      <w:bookmarkStart w:id="1825" w:name="_Hlk120557103"/>
      <w:r w:rsidR="00B269E5" w:rsidRPr="003B4362">
        <w:rPr>
          <w:szCs w:val="24"/>
        </w:rPr>
        <w:t xml:space="preserve"> supplier choosing</w:t>
      </w:r>
      <w:bookmarkEnd w:id="1825"/>
      <w:r w:rsidRPr="003B4362">
        <w:rPr>
          <w:szCs w:val="24"/>
        </w:rPr>
        <w:t xml:space="preserve"> to mail the notification must </w:t>
      </w:r>
      <w:bookmarkStart w:id="1826" w:name="_Hlk120557269"/>
      <w:r w:rsidR="000256D1" w:rsidRPr="003B4362">
        <w:rPr>
          <w:szCs w:val="24"/>
        </w:rPr>
        <w:t>post</w:t>
      </w:r>
      <w:r w:rsidRPr="003B4362">
        <w:rPr>
          <w:szCs w:val="24"/>
        </w:rPr>
        <w:t xml:space="preserve"> those letters </w:t>
      </w:r>
      <w:r w:rsidR="000256D1" w:rsidRPr="003B4362">
        <w:rPr>
          <w:szCs w:val="24"/>
        </w:rPr>
        <w:t>so they receive postmarks</w:t>
      </w:r>
      <w:r w:rsidRPr="003B4362">
        <w:rPr>
          <w:szCs w:val="24"/>
        </w:rPr>
        <w:t xml:space="preserve"> within </w:t>
      </w:r>
      <w:r w:rsidR="000256D1" w:rsidRPr="003B4362">
        <w:rPr>
          <w:szCs w:val="24"/>
        </w:rPr>
        <w:t xml:space="preserve">the </w:t>
      </w:r>
      <w:r w:rsidRPr="003B4362">
        <w:rPr>
          <w:szCs w:val="24"/>
        </w:rPr>
        <w:t>three days</w:t>
      </w:r>
      <w:bookmarkEnd w:id="1826"/>
      <w:r w:rsidRPr="003B4362">
        <w:rPr>
          <w:szCs w:val="24"/>
        </w:rPr>
        <w:t>.</w:t>
      </w:r>
    </w:p>
    <w:p w14:paraId="120B4459" w14:textId="2BB96984"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Content of Consumer Notice.  The consumer notice must include the results of lead tap water monitoring for </w:t>
      </w:r>
      <w:bookmarkStart w:id="1827" w:name="_Hlk114668403"/>
      <w:r w:rsidRPr="003B4362">
        <w:rPr>
          <w:rFonts w:eastAsia="Calibri"/>
        </w:rPr>
        <w:t>the tap the supplier tested</w:t>
      </w:r>
      <w:bookmarkEnd w:id="1827"/>
      <w:r w:rsidRPr="003B4362">
        <w:rPr>
          <w:rFonts w:eastAsia="Calibri"/>
        </w:rPr>
        <w:t xml:space="preserve">, an explanation of the health effects of lead, a </w:t>
      </w:r>
      <w:bookmarkStart w:id="1828" w:name="_Hlk114668444"/>
      <w:r w:rsidRPr="003B4362">
        <w:rPr>
          <w:rFonts w:eastAsia="Calibri"/>
        </w:rPr>
        <w:t>list of steps consumers can take</w:t>
      </w:r>
      <w:bookmarkEnd w:id="1828"/>
      <w:r w:rsidRPr="003B4362">
        <w:rPr>
          <w:rFonts w:eastAsia="Calibri"/>
        </w:rPr>
        <w:t xml:space="preserve"> to reduce exposure to lead in drinking water, and contact information for the water utility.  The notice must also provide the maximum contaminant </w:t>
      </w:r>
      <w:r w:rsidRPr="003B4362">
        <w:rPr>
          <w:rFonts w:eastAsia="Calibri"/>
        </w:rPr>
        <w:lastRenderedPageBreak/>
        <w:t>level goal and the action level for lead and the definitions for these two terms from Section 611.883(c).</w:t>
      </w:r>
    </w:p>
    <w:p w14:paraId="46A17A5F" w14:textId="6F19340C" w:rsidR="000256D1"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Delivery of Consumer Notice</w:t>
      </w:r>
    </w:p>
    <w:p w14:paraId="5549B80A" w14:textId="3E858E53" w:rsidR="005451CE" w:rsidRPr="003B4362" w:rsidRDefault="000256D1" w:rsidP="000256D1">
      <w:pPr>
        <w:spacing w:before="240" w:after="240"/>
        <w:ind w:left="2880" w:hanging="720"/>
        <w:rPr>
          <w:rFonts w:eastAsia="Calibri"/>
        </w:rPr>
      </w:pPr>
      <w:r w:rsidRPr="003B4362">
        <w:rPr>
          <w:rFonts w:eastAsia="Calibri"/>
        </w:rPr>
        <w:t>A)</w:t>
      </w:r>
      <w:r w:rsidRPr="003B4362">
        <w:rPr>
          <w:rFonts w:eastAsia="Calibri"/>
        </w:rPr>
        <w:tab/>
      </w:r>
      <w:bookmarkStart w:id="1829" w:name="_Hlk114668492"/>
      <w:r w:rsidRPr="003B4362">
        <w:rPr>
          <w:szCs w:val="24"/>
        </w:rPr>
        <w:t>F</w:t>
      </w:r>
      <w:bookmarkStart w:id="1830" w:name="_Hlk120656860"/>
      <w:r w:rsidRPr="003B4362">
        <w:rPr>
          <w:szCs w:val="24"/>
        </w:rPr>
        <w:t>or tap sampl</w:t>
      </w:r>
      <w:r w:rsidR="00B964CF" w:rsidRPr="003B4362">
        <w:rPr>
          <w:szCs w:val="24"/>
        </w:rPr>
        <w:t>ing</w:t>
      </w:r>
      <w:r w:rsidRPr="003B4362">
        <w:rPr>
          <w:szCs w:val="24"/>
        </w:rPr>
        <w:t xml:space="preserve"> </w:t>
      </w:r>
      <w:r w:rsidR="00B964CF" w:rsidRPr="003B4362">
        <w:rPr>
          <w:szCs w:val="24"/>
        </w:rPr>
        <w:t xml:space="preserve">lead </w:t>
      </w:r>
      <w:r w:rsidRPr="003B4362">
        <w:rPr>
          <w:szCs w:val="24"/>
        </w:rPr>
        <w:t>result</w:t>
      </w:r>
      <w:r w:rsidR="00B964CF" w:rsidRPr="003B4362">
        <w:rPr>
          <w:szCs w:val="24"/>
        </w:rPr>
        <w:t>s</w:t>
      </w:r>
      <w:r w:rsidRPr="003B4362">
        <w:rPr>
          <w:rFonts w:eastAsia="Calibri"/>
        </w:rPr>
        <w:t xml:space="preserve"> </w:t>
      </w:r>
      <w:r w:rsidRPr="003B4362">
        <w:rPr>
          <w:szCs w:val="24"/>
        </w:rPr>
        <w:t xml:space="preserve">not exceeding 15 </w:t>
      </w:r>
      <w:r w:rsidR="00870D11" w:rsidRPr="003B4362">
        <w:rPr>
          <w:szCs w:val="24"/>
        </w:rPr>
        <w:t>µg</w:t>
      </w:r>
      <w:r w:rsidRPr="003B4362">
        <w:rPr>
          <w:szCs w:val="24"/>
        </w:rPr>
        <w:t>/</w:t>
      </w:r>
      <w:bookmarkEnd w:id="1830"/>
      <w:r w:rsidR="008E72A6" w:rsidRPr="003B4362">
        <w:t xml:space="preserve"> L</w:t>
      </w:r>
      <w:r w:rsidRPr="003B4362">
        <w:rPr>
          <w:szCs w:val="24"/>
        </w:rPr>
        <w:t>, the</w:t>
      </w:r>
      <w:r w:rsidR="009B072C" w:rsidRPr="003B4362">
        <w:rPr>
          <w:szCs w:val="24"/>
        </w:rPr>
        <w:t xml:space="preserve"> supplier must provide the</w:t>
      </w:r>
      <w:r w:rsidRPr="003B4362">
        <w:rPr>
          <w:szCs w:val="24"/>
        </w:rPr>
        <w:t xml:space="preserve"> </w:t>
      </w:r>
      <w:r w:rsidR="005451CE" w:rsidRPr="003B4362">
        <w:rPr>
          <w:rFonts w:eastAsia="Calibri"/>
        </w:rPr>
        <w:t xml:space="preserve">consumer notice to persons it serves </w:t>
      </w:r>
      <w:bookmarkEnd w:id="1829"/>
      <w:r w:rsidR="005451CE" w:rsidRPr="003B4362">
        <w:rPr>
          <w:rFonts w:eastAsia="Calibri"/>
        </w:rPr>
        <w:t xml:space="preserve">at </w:t>
      </w:r>
      <w:bookmarkStart w:id="1831" w:name="_Hlk114668564"/>
      <w:r w:rsidR="005451CE" w:rsidRPr="003B4362">
        <w:rPr>
          <w:rFonts w:eastAsia="Calibri"/>
        </w:rPr>
        <w:t>the tap</w:t>
      </w:r>
      <w:r w:rsidR="00BF54C1" w:rsidRPr="003B4362">
        <w:rPr>
          <w:rFonts w:eastAsia="Calibri"/>
        </w:rPr>
        <w:t xml:space="preserve"> </w:t>
      </w:r>
      <w:r w:rsidR="005451CE" w:rsidRPr="003B4362">
        <w:rPr>
          <w:rFonts w:eastAsia="Calibri"/>
        </w:rPr>
        <w:t>the supplier</w:t>
      </w:r>
      <w:r w:rsidR="00BF54C1" w:rsidRPr="003B4362">
        <w:rPr>
          <w:rFonts w:eastAsia="Calibri"/>
        </w:rPr>
        <w:t xml:space="preserve"> </w:t>
      </w:r>
      <w:r w:rsidR="00F953AD" w:rsidRPr="003B4362">
        <w:rPr>
          <w:rFonts w:eastAsia="Calibri"/>
        </w:rPr>
        <w:t>sampled</w:t>
      </w:r>
      <w:bookmarkEnd w:id="1831"/>
      <w:r w:rsidR="005451CE" w:rsidRPr="003B4362">
        <w:rPr>
          <w:rFonts w:eastAsia="Calibri"/>
        </w:rPr>
        <w:t xml:space="preserve">, by mail or by </w:t>
      </w:r>
      <w:bookmarkStart w:id="1832" w:name="_Hlk114668597"/>
      <w:r w:rsidR="005451CE" w:rsidRPr="003B4362">
        <w:rPr>
          <w:rFonts w:eastAsia="Calibri"/>
        </w:rPr>
        <w:t>another method the Agency approves in a SEP</w:t>
      </w:r>
      <w:bookmarkEnd w:id="1832"/>
      <w:r w:rsidR="005451CE" w:rsidRPr="003B4362">
        <w:rPr>
          <w:rFonts w:eastAsia="Calibri"/>
        </w:rPr>
        <w:t xml:space="preserve">.  For example, </w:t>
      </w:r>
      <w:bookmarkStart w:id="1833" w:name="_Hlk114668647"/>
      <w:r w:rsidR="005451CE" w:rsidRPr="003B4362">
        <w:rPr>
          <w:rFonts w:eastAsia="Calibri"/>
        </w:rPr>
        <w:t>upon Agency approval</w:t>
      </w:r>
      <w:bookmarkEnd w:id="1833"/>
      <w:r w:rsidR="005451CE" w:rsidRPr="003B4362">
        <w:rPr>
          <w:rFonts w:eastAsia="Calibri"/>
        </w:rPr>
        <w:t xml:space="preserve">, a NTNCWS supplier could </w:t>
      </w:r>
      <w:bookmarkStart w:id="1834" w:name="_Hlk114668745"/>
      <w:r w:rsidR="005451CE" w:rsidRPr="003B4362">
        <w:rPr>
          <w:rFonts w:eastAsia="Calibri"/>
        </w:rPr>
        <w:t>post the results on a bulletin board in the facility enabling users to review</w:t>
      </w:r>
      <w:bookmarkEnd w:id="1834"/>
      <w:r w:rsidR="005451CE" w:rsidRPr="003B4362">
        <w:rPr>
          <w:rFonts w:eastAsia="Calibri"/>
        </w:rPr>
        <w:t xml:space="preserve"> the information.</w:t>
      </w:r>
    </w:p>
    <w:p w14:paraId="2894761B" w14:textId="24B1CB63"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F</w:t>
      </w:r>
      <w:bookmarkStart w:id="1835" w:name="_Hlk120656500"/>
      <w:r w:rsidRPr="003B4362">
        <w:rPr>
          <w:rFonts w:eastAsia="Calibri"/>
          <w:szCs w:val="24"/>
        </w:rPr>
        <w:t>or</w:t>
      </w:r>
      <w:r w:rsidR="00B964CF" w:rsidRPr="003B4362">
        <w:rPr>
          <w:rFonts w:eastAsia="Calibri"/>
        </w:rPr>
        <w:t xml:space="preserve"> </w:t>
      </w:r>
      <w:r w:rsidRPr="003B4362">
        <w:rPr>
          <w:rFonts w:eastAsia="Calibri"/>
          <w:szCs w:val="24"/>
        </w:rPr>
        <w:t>tap sampl</w:t>
      </w:r>
      <w:r w:rsidR="00B964CF" w:rsidRPr="003B4362">
        <w:rPr>
          <w:rFonts w:eastAsia="Calibri"/>
          <w:szCs w:val="24"/>
        </w:rPr>
        <w:t>ing</w:t>
      </w:r>
      <w:r w:rsidRPr="003B4362">
        <w:rPr>
          <w:rFonts w:eastAsia="Calibri"/>
          <w:szCs w:val="24"/>
        </w:rPr>
        <w:t xml:space="preserve"> </w:t>
      </w:r>
      <w:r w:rsidR="00B964CF" w:rsidRPr="003B4362">
        <w:rPr>
          <w:rFonts w:eastAsia="Calibri"/>
          <w:szCs w:val="24"/>
        </w:rPr>
        <w:t xml:space="preserve">lead </w:t>
      </w:r>
      <w:r w:rsidRPr="003B4362">
        <w:rPr>
          <w:rFonts w:eastAsia="Calibri"/>
          <w:szCs w:val="24"/>
        </w:rPr>
        <w:t xml:space="preserve">results </w:t>
      </w:r>
      <w:r w:rsidR="00B964CF" w:rsidRPr="003B4362">
        <w:rPr>
          <w:rFonts w:eastAsia="Calibri"/>
          <w:szCs w:val="24"/>
        </w:rPr>
        <w:t>e</w:t>
      </w:r>
      <w:r w:rsidRPr="003B4362">
        <w:rPr>
          <w:rFonts w:eastAsia="Calibri"/>
          <w:szCs w:val="24"/>
        </w:rPr>
        <w:t>xceed</w:t>
      </w:r>
      <w:r w:rsidR="00B964CF" w:rsidRPr="003B4362">
        <w:rPr>
          <w:rFonts w:eastAsia="Calibri"/>
          <w:szCs w:val="24"/>
        </w:rPr>
        <w:t>ing</w:t>
      </w:r>
      <w:r w:rsidRPr="003B4362">
        <w:rPr>
          <w:rFonts w:eastAsia="Calibri"/>
          <w:szCs w:val="24"/>
        </w:rPr>
        <w:t xml:space="preserve"> 15 </w:t>
      </w:r>
      <w:r w:rsidR="00870D11" w:rsidRPr="003B4362">
        <w:rPr>
          <w:rFonts w:eastAsia="Calibri"/>
          <w:szCs w:val="24"/>
        </w:rPr>
        <w:t>µg</w:t>
      </w:r>
      <w:r w:rsidRPr="003B4362">
        <w:rPr>
          <w:rFonts w:eastAsia="Calibri"/>
          <w:szCs w:val="24"/>
        </w:rPr>
        <w:t>/</w:t>
      </w:r>
      <w:bookmarkEnd w:id="1835"/>
      <w:r w:rsidR="008E72A6" w:rsidRPr="003B4362">
        <w:t xml:space="preserve"> L</w:t>
      </w:r>
      <w:r w:rsidRPr="003B4362">
        <w:rPr>
          <w:rFonts w:eastAsia="Calibri"/>
          <w:szCs w:val="24"/>
        </w:rPr>
        <w:t xml:space="preserve">, the </w:t>
      </w:r>
      <w:r w:rsidR="00BF54C1" w:rsidRPr="003B4362">
        <w:rPr>
          <w:rFonts w:eastAsia="Calibri"/>
        </w:rPr>
        <w:t>supplier</w:t>
      </w:r>
      <w:r w:rsidRPr="003B4362">
        <w:rPr>
          <w:rFonts w:eastAsia="Calibri"/>
          <w:szCs w:val="24"/>
        </w:rPr>
        <w:t xml:space="preserve"> must provide consumer notice to </w:t>
      </w:r>
      <w:bookmarkStart w:id="1836" w:name="_Hlk120658130"/>
      <w:r w:rsidRPr="003B4362">
        <w:rPr>
          <w:rFonts w:eastAsia="Calibri"/>
          <w:szCs w:val="24"/>
        </w:rPr>
        <w:t xml:space="preserve">persons </w:t>
      </w:r>
      <w:r w:rsidR="00BF54C1" w:rsidRPr="003B4362">
        <w:rPr>
          <w:rFonts w:eastAsia="Calibri"/>
          <w:szCs w:val="24"/>
        </w:rPr>
        <w:t xml:space="preserve">it </w:t>
      </w:r>
      <w:r w:rsidRPr="003B4362">
        <w:rPr>
          <w:rFonts w:eastAsia="Calibri"/>
          <w:szCs w:val="24"/>
        </w:rPr>
        <w:t>serve</w:t>
      </w:r>
      <w:r w:rsidR="00BF54C1" w:rsidRPr="003B4362">
        <w:rPr>
          <w:rFonts w:eastAsia="Calibri"/>
          <w:szCs w:val="24"/>
        </w:rPr>
        <w:t>s</w:t>
      </w:r>
      <w:r w:rsidRPr="003B4362">
        <w:rPr>
          <w:rFonts w:eastAsia="Calibri"/>
          <w:szCs w:val="24"/>
        </w:rPr>
        <w:t xml:space="preserve"> </w:t>
      </w:r>
      <w:r w:rsidR="00BF54C1" w:rsidRPr="003B4362">
        <w:rPr>
          <w:rFonts w:eastAsia="Calibri"/>
          <w:szCs w:val="24"/>
        </w:rPr>
        <w:t>at</w:t>
      </w:r>
      <w:r w:rsidRPr="003B4362">
        <w:rPr>
          <w:rFonts w:eastAsia="Calibri"/>
          <w:szCs w:val="24"/>
        </w:rPr>
        <w:t xml:space="preserve"> the tap </w:t>
      </w:r>
      <w:r w:rsidR="00BF54C1" w:rsidRPr="003B4362">
        <w:rPr>
          <w:rFonts w:eastAsia="Calibri"/>
          <w:szCs w:val="24"/>
        </w:rPr>
        <w:t>the supplier</w:t>
      </w:r>
      <w:r w:rsidRPr="003B4362">
        <w:rPr>
          <w:rFonts w:eastAsia="Calibri"/>
          <w:szCs w:val="24"/>
        </w:rPr>
        <w:t xml:space="preserve"> sampled</w:t>
      </w:r>
      <w:bookmarkEnd w:id="1836"/>
      <w:r w:rsidRPr="003B4362">
        <w:rPr>
          <w:rFonts w:eastAsia="Calibri"/>
          <w:szCs w:val="24"/>
        </w:rPr>
        <w:t xml:space="preserve">; </w:t>
      </w:r>
      <w:bookmarkStart w:id="1837" w:name="_Hlk120658233"/>
      <w:bookmarkStart w:id="1838" w:name="_Hlk120658487"/>
      <w:r w:rsidR="006373BB" w:rsidRPr="003B4362">
        <w:rPr>
          <w:rFonts w:eastAsia="Calibri"/>
          <w:szCs w:val="24"/>
        </w:rPr>
        <w:t>the supplier must provide this</w:t>
      </w:r>
      <w:r w:rsidRPr="003B4362">
        <w:rPr>
          <w:rFonts w:eastAsia="Calibri"/>
          <w:szCs w:val="24"/>
        </w:rPr>
        <w:t xml:space="preserve"> notice</w:t>
      </w:r>
      <w:r w:rsidR="006373BB" w:rsidRPr="003B4362">
        <w:rPr>
          <w:rFonts w:eastAsia="Calibri"/>
          <w:szCs w:val="24"/>
        </w:rPr>
        <w:t xml:space="preserve"> </w:t>
      </w:r>
      <w:r w:rsidRPr="003B4362">
        <w:rPr>
          <w:rFonts w:eastAsia="Calibri"/>
          <w:szCs w:val="24"/>
        </w:rPr>
        <w:t>electronically or by phone, hand delivery,</w:t>
      </w:r>
      <w:r w:rsidR="006373BB" w:rsidRPr="003B4362">
        <w:rPr>
          <w:rFonts w:eastAsia="Calibri"/>
          <w:szCs w:val="24"/>
        </w:rPr>
        <w:t xml:space="preserve"> </w:t>
      </w:r>
      <w:r w:rsidRPr="003B4362">
        <w:rPr>
          <w:rFonts w:eastAsia="Calibri"/>
          <w:szCs w:val="24"/>
        </w:rPr>
        <w:t xml:space="preserve">mail, or another method </w:t>
      </w:r>
      <w:r w:rsidR="006373BB" w:rsidRPr="003B4362">
        <w:rPr>
          <w:rFonts w:eastAsia="Calibri"/>
          <w:szCs w:val="24"/>
        </w:rPr>
        <w:t xml:space="preserve">the Agency </w:t>
      </w:r>
      <w:r w:rsidRPr="003B4362">
        <w:rPr>
          <w:rFonts w:eastAsia="Calibri"/>
          <w:szCs w:val="24"/>
        </w:rPr>
        <w:t>approve</w:t>
      </w:r>
      <w:r w:rsidR="006373BB" w:rsidRPr="003B4362">
        <w:rPr>
          <w:rFonts w:eastAsia="Calibri"/>
          <w:szCs w:val="24"/>
        </w:rPr>
        <w:t>s</w:t>
      </w:r>
      <w:r w:rsidRPr="003B4362">
        <w:rPr>
          <w:rFonts w:eastAsia="Calibri"/>
          <w:szCs w:val="24"/>
        </w:rPr>
        <w:t xml:space="preserve"> </w:t>
      </w:r>
      <w:bookmarkEnd w:id="1837"/>
      <w:r w:rsidR="006373BB" w:rsidRPr="003B4362">
        <w:rPr>
          <w:rFonts w:eastAsia="Calibri"/>
          <w:szCs w:val="24"/>
        </w:rPr>
        <w:t>in a SEP</w:t>
      </w:r>
      <w:bookmarkEnd w:id="1838"/>
      <w:r w:rsidRPr="003B4362">
        <w:rPr>
          <w:rFonts w:eastAsia="Calibri"/>
          <w:szCs w:val="24"/>
        </w:rPr>
        <w:t>.</w:t>
      </w:r>
    </w:p>
    <w:p w14:paraId="6283C332" w14:textId="5A852620" w:rsidR="00F953AD" w:rsidRPr="003B4362" w:rsidRDefault="00F953AD" w:rsidP="00F953AD">
      <w:pPr>
        <w:autoSpaceDE w:val="0"/>
        <w:autoSpaceDN w:val="0"/>
        <w:adjustRightInd w:val="0"/>
        <w:spacing w:before="240" w:after="240"/>
        <w:ind w:left="1440" w:hanging="720"/>
        <w:rPr>
          <w:rFonts w:eastAsia="Calibri"/>
          <w:szCs w:val="24"/>
        </w:rPr>
      </w:pPr>
      <w:r w:rsidRPr="003B4362">
        <w:rPr>
          <w:rFonts w:eastAsia="Calibri"/>
          <w:szCs w:val="24"/>
        </w:rPr>
        <w:t>e)</w:t>
      </w:r>
      <w:r w:rsidRPr="003B4362">
        <w:rPr>
          <w:rFonts w:eastAsia="Calibri"/>
          <w:szCs w:val="24"/>
        </w:rPr>
        <w:tab/>
      </w:r>
      <w:bookmarkStart w:id="1839" w:name="_Hlk120559149"/>
      <w:r w:rsidRPr="003B4362">
        <w:rPr>
          <w:rFonts w:eastAsia="Calibri"/>
          <w:szCs w:val="24"/>
        </w:rPr>
        <w:t>Noti</w:t>
      </w:r>
      <w:r w:rsidR="001E672E" w:rsidRPr="003B4362">
        <w:rPr>
          <w:rFonts w:eastAsia="Calibri"/>
          <w:szCs w:val="24"/>
        </w:rPr>
        <w:t>ce</w:t>
      </w:r>
      <w:r w:rsidRPr="003B4362">
        <w:rPr>
          <w:rFonts w:eastAsia="Calibri"/>
          <w:szCs w:val="24"/>
        </w:rPr>
        <w:t xml:space="preserve"> of </w:t>
      </w:r>
      <w:r w:rsidR="001E672E" w:rsidRPr="003B4362">
        <w:rPr>
          <w:rFonts w:eastAsia="Calibri"/>
          <w:szCs w:val="24"/>
        </w:rPr>
        <w:t>K</w:t>
      </w:r>
      <w:r w:rsidRPr="003B4362">
        <w:rPr>
          <w:rFonts w:eastAsia="Calibri"/>
          <w:szCs w:val="24"/>
        </w:rPr>
        <w:t xml:space="preserve">nown or </w:t>
      </w:r>
      <w:r w:rsidR="001E672E" w:rsidRPr="003B4362">
        <w:rPr>
          <w:rFonts w:eastAsia="Calibri"/>
          <w:szCs w:val="24"/>
        </w:rPr>
        <w:t>P</w:t>
      </w:r>
      <w:r w:rsidRPr="003B4362">
        <w:rPr>
          <w:rFonts w:eastAsia="Calibri"/>
          <w:szCs w:val="24"/>
        </w:rPr>
        <w:t xml:space="preserve">otential </w:t>
      </w:r>
      <w:r w:rsidR="001E672E" w:rsidRPr="003B4362">
        <w:rPr>
          <w:rFonts w:eastAsia="Calibri"/>
          <w:szCs w:val="24"/>
        </w:rPr>
        <w:t>S</w:t>
      </w:r>
      <w:r w:rsidRPr="003B4362">
        <w:rPr>
          <w:rFonts w:eastAsia="Calibri"/>
          <w:szCs w:val="24"/>
        </w:rPr>
        <w:t xml:space="preserve">ervice </w:t>
      </w:r>
      <w:r w:rsidR="001E672E" w:rsidRPr="003B4362">
        <w:rPr>
          <w:rFonts w:eastAsia="Calibri"/>
          <w:szCs w:val="24"/>
        </w:rPr>
        <w:t>L</w:t>
      </w:r>
      <w:r w:rsidRPr="003B4362">
        <w:rPr>
          <w:rFonts w:eastAsia="Calibri"/>
          <w:szCs w:val="24"/>
        </w:rPr>
        <w:t xml:space="preserve">ine </w:t>
      </w:r>
      <w:r w:rsidR="001E672E" w:rsidRPr="003B4362">
        <w:rPr>
          <w:rFonts w:eastAsia="Calibri"/>
          <w:szCs w:val="24"/>
        </w:rPr>
        <w:t>C</w:t>
      </w:r>
      <w:r w:rsidRPr="003B4362">
        <w:rPr>
          <w:rFonts w:eastAsia="Calibri"/>
          <w:szCs w:val="24"/>
        </w:rPr>
        <w:t xml:space="preserve">ontaining </w:t>
      </w:r>
      <w:r w:rsidR="001E672E" w:rsidRPr="003B4362">
        <w:rPr>
          <w:rFonts w:eastAsia="Calibri"/>
          <w:szCs w:val="24"/>
        </w:rPr>
        <w:t>L</w:t>
      </w:r>
      <w:r w:rsidRPr="003B4362">
        <w:rPr>
          <w:rFonts w:eastAsia="Calibri"/>
          <w:szCs w:val="24"/>
        </w:rPr>
        <w:t>ead</w:t>
      </w:r>
      <w:bookmarkEnd w:id="1839"/>
    </w:p>
    <w:p w14:paraId="73E449C0" w14:textId="2F46D3CD"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r>
      <w:bookmarkStart w:id="1840" w:name="_Hlk120559214"/>
      <w:r w:rsidRPr="003B4362">
        <w:rPr>
          <w:rFonts w:eastAsia="Calibri"/>
          <w:szCs w:val="24"/>
        </w:rPr>
        <w:t>Noti</w:t>
      </w:r>
      <w:r w:rsidR="001E672E" w:rsidRPr="003B4362">
        <w:rPr>
          <w:rFonts w:eastAsia="Calibri"/>
          <w:szCs w:val="24"/>
        </w:rPr>
        <w:t>ce</w:t>
      </w:r>
      <w:r w:rsidRPr="003B4362">
        <w:rPr>
          <w:rFonts w:eastAsia="Calibri"/>
          <w:szCs w:val="24"/>
        </w:rPr>
        <w:t xml:space="preserve"> requirements</w:t>
      </w:r>
      <w:bookmarkEnd w:id="1840"/>
      <w:r w:rsidRPr="003B4362">
        <w:rPr>
          <w:rFonts w:eastAsia="Calibri"/>
          <w:szCs w:val="24"/>
        </w:rPr>
        <w:t>.  A</w:t>
      </w:r>
      <w:r w:rsidR="001E672E" w:rsidRPr="003B4362">
        <w:rPr>
          <w:rFonts w:eastAsia="Calibri"/>
          <w:szCs w:val="24"/>
        </w:rPr>
        <w:t xml:space="preserve"> supplier</w:t>
      </w:r>
      <w:bookmarkStart w:id="1841" w:name="_Hlk120559400"/>
      <w:bookmarkStart w:id="1842" w:name="_Hlk120559581"/>
      <w:r w:rsidRPr="003B4362">
        <w:rPr>
          <w:rFonts w:eastAsia="Calibri"/>
          <w:szCs w:val="24"/>
        </w:rPr>
        <w:t xml:space="preserve"> </w:t>
      </w:r>
      <w:r w:rsidR="001E672E" w:rsidRPr="003B4362">
        <w:rPr>
          <w:rFonts w:eastAsia="Calibri"/>
          <w:szCs w:val="24"/>
        </w:rPr>
        <w:t>having</w:t>
      </w:r>
      <w:r w:rsidR="00DB37DE" w:rsidRPr="003B4362">
        <w:rPr>
          <w:rFonts w:eastAsia="Calibri"/>
          <w:szCs w:val="24"/>
        </w:rPr>
        <w:t xml:space="preserve"> lead, galvanized requiring replacement, or lead status u</w:t>
      </w:r>
      <w:r w:rsidRPr="003B4362">
        <w:rPr>
          <w:rFonts w:eastAsia="Calibri"/>
          <w:szCs w:val="24"/>
        </w:rPr>
        <w:t xml:space="preserve">nknown service lines in their inventory </w:t>
      </w:r>
      <w:r w:rsidR="003E439F" w:rsidRPr="003B4362">
        <w:rPr>
          <w:rFonts w:eastAsia="Calibri"/>
          <w:szCs w:val="24"/>
        </w:rPr>
        <w:t>under</w:t>
      </w:r>
      <w:r w:rsidRPr="003B4362">
        <w:rPr>
          <w:rFonts w:eastAsia="Calibri"/>
          <w:szCs w:val="24"/>
        </w:rPr>
        <w:t xml:space="preserve"> Section </w:t>
      </w:r>
      <w:r w:rsidR="003E439F" w:rsidRPr="003B4362">
        <w:rPr>
          <w:rFonts w:eastAsia="Calibri"/>
          <w:szCs w:val="24"/>
        </w:rPr>
        <w:t>61</w:t>
      </w:r>
      <w:r w:rsidRPr="003B4362">
        <w:rPr>
          <w:rFonts w:eastAsia="Calibri"/>
          <w:szCs w:val="24"/>
        </w:rPr>
        <w:t>1.</w:t>
      </w:r>
      <w:r w:rsidR="003E439F" w:rsidRPr="003B4362">
        <w:rPr>
          <w:rFonts w:eastAsia="Calibri"/>
          <w:szCs w:val="24"/>
        </w:rPr>
        <w:t>35</w:t>
      </w:r>
      <w:r w:rsidRPr="003B4362">
        <w:rPr>
          <w:rFonts w:eastAsia="Calibri"/>
          <w:szCs w:val="24"/>
        </w:rPr>
        <w:t>4(a)</w:t>
      </w:r>
      <w:bookmarkEnd w:id="1841"/>
      <w:r w:rsidRPr="003B4362">
        <w:rPr>
          <w:rFonts w:eastAsia="Calibri"/>
          <w:szCs w:val="24"/>
        </w:rPr>
        <w:t xml:space="preserve"> must inform</w:t>
      </w:r>
      <w:bookmarkEnd w:id="1842"/>
      <w:r w:rsidRPr="003B4362">
        <w:rPr>
          <w:rFonts w:eastAsia="Calibri"/>
          <w:szCs w:val="24"/>
        </w:rPr>
        <w:t xml:space="preserve"> </w:t>
      </w:r>
      <w:bookmarkStart w:id="1843" w:name="_Hlk120559838"/>
      <w:r w:rsidRPr="003B4362">
        <w:rPr>
          <w:rFonts w:eastAsia="Calibri"/>
          <w:szCs w:val="24"/>
        </w:rPr>
        <w:t xml:space="preserve">all persons </w:t>
      </w:r>
      <w:r w:rsidR="000D2888" w:rsidRPr="003B4362">
        <w:rPr>
          <w:rFonts w:eastAsia="Calibri"/>
          <w:szCs w:val="24"/>
        </w:rPr>
        <w:t>the supplier serves through</w:t>
      </w:r>
      <w:r w:rsidRPr="003B4362">
        <w:rPr>
          <w:rFonts w:eastAsia="Calibri"/>
          <w:szCs w:val="24"/>
        </w:rPr>
        <w:t xml:space="preserve"> a </w:t>
      </w:r>
      <w:r w:rsidR="00DB37DE" w:rsidRPr="003B4362">
        <w:rPr>
          <w:rFonts w:eastAsia="Calibri"/>
          <w:szCs w:val="24"/>
        </w:rPr>
        <w:t>lead, galvanized requiring replacement, or lead status un</w:t>
      </w:r>
      <w:r w:rsidRPr="003B4362">
        <w:rPr>
          <w:rFonts w:eastAsia="Calibri"/>
          <w:szCs w:val="24"/>
        </w:rPr>
        <w:t>known service line</w:t>
      </w:r>
      <w:bookmarkEnd w:id="1843"/>
      <w:r w:rsidRPr="003B4362">
        <w:rPr>
          <w:rFonts w:eastAsia="Calibri"/>
          <w:szCs w:val="24"/>
        </w:rPr>
        <w:t>.</w:t>
      </w:r>
    </w:p>
    <w:p w14:paraId="17EE3CDE" w14:textId="53E9CE08"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bookmarkStart w:id="1844" w:name="_Hlk120560056"/>
      <w:r w:rsidRPr="003B4362">
        <w:rPr>
          <w:rFonts w:eastAsia="Calibri"/>
          <w:szCs w:val="24"/>
        </w:rPr>
        <w:t>Timing of noti</w:t>
      </w:r>
      <w:bookmarkEnd w:id="1844"/>
      <w:r w:rsidR="000D2888" w:rsidRPr="003B4362">
        <w:rPr>
          <w:rFonts w:eastAsia="Calibri"/>
          <w:szCs w:val="24"/>
        </w:rPr>
        <w:t>ce</w:t>
      </w:r>
      <w:r w:rsidRPr="003B4362">
        <w:rPr>
          <w:rFonts w:eastAsia="Calibri"/>
          <w:szCs w:val="24"/>
        </w:rPr>
        <w:t xml:space="preserve">.  A </w:t>
      </w:r>
      <w:r w:rsidR="003D0323" w:rsidRPr="003B4362">
        <w:rPr>
          <w:rFonts w:eastAsia="Calibri"/>
          <w:szCs w:val="24"/>
        </w:rPr>
        <w:t>supplier</w:t>
      </w:r>
      <w:r w:rsidRPr="003B4362">
        <w:rPr>
          <w:rFonts w:eastAsia="Calibri"/>
          <w:szCs w:val="24"/>
        </w:rPr>
        <w:t xml:space="preserve"> must provide the </w:t>
      </w:r>
      <w:bookmarkStart w:id="1845" w:name="_Hlk120560262"/>
      <w:r w:rsidRPr="003B4362">
        <w:rPr>
          <w:rFonts w:eastAsia="Calibri"/>
          <w:szCs w:val="24"/>
        </w:rPr>
        <w:t>initial noti</w:t>
      </w:r>
      <w:r w:rsidR="003D0323" w:rsidRPr="003B4362">
        <w:rPr>
          <w:rFonts w:eastAsia="Calibri"/>
          <w:szCs w:val="24"/>
        </w:rPr>
        <w:t>ce</w:t>
      </w:r>
      <w:r w:rsidRPr="003B4362">
        <w:rPr>
          <w:rFonts w:eastAsia="Calibri"/>
          <w:szCs w:val="24"/>
        </w:rPr>
        <w:t xml:space="preserve"> within 30 days </w:t>
      </w:r>
      <w:r w:rsidR="003D0323" w:rsidRPr="003B4362">
        <w:rPr>
          <w:rFonts w:eastAsia="Calibri"/>
          <w:szCs w:val="24"/>
        </w:rPr>
        <w:t>after</w:t>
      </w:r>
      <w:r w:rsidRPr="003B4362">
        <w:rPr>
          <w:rFonts w:eastAsia="Calibri"/>
          <w:szCs w:val="24"/>
        </w:rPr>
        <w:t xml:space="preserve"> completi</w:t>
      </w:r>
      <w:r w:rsidR="003D0323" w:rsidRPr="003B4362">
        <w:rPr>
          <w:rFonts w:eastAsia="Calibri"/>
          <w:szCs w:val="24"/>
        </w:rPr>
        <w:t>ng</w:t>
      </w:r>
      <w:r w:rsidRPr="003B4362">
        <w:rPr>
          <w:rFonts w:eastAsia="Calibri"/>
          <w:szCs w:val="24"/>
        </w:rPr>
        <w:t xml:space="preserve"> the lead service line inventory</w:t>
      </w:r>
      <w:bookmarkStart w:id="1846" w:name="_Hlk120560430"/>
      <w:bookmarkEnd w:id="1845"/>
      <w:r w:rsidR="003D0323" w:rsidRPr="003B4362">
        <w:rPr>
          <w:rFonts w:eastAsia="Calibri"/>
          <w:szCs w:val="24"/>
        </w:rPr>
        <w:t xml:space="preserve"> </w:t>
      </w:r>
      <w:bookmarkStart w:id="1847" w:name="_Hlk120560545"/>
      <w:r w:rsidRPr="003B4362">
        <w:rPr>
          <w:rFonts w:eastAsia="Calibri"/>
          <w:szCs w:val="24"/>
        </w:rPr>
        <w:t xml:space="preserve">Section </w:t>
      </w:r>
      <w:r w:rsidR="00400459" w:rsidRPr="003B4362">
        <w:rPr>
          <w:rFonts w:eastAsia="Calibri"/>
          <w:szCs w:val="24"/>
        </w:rPr>
        <w:t>61</w:t>
      </w:r>
      <w:r w:rsidRPr="003B4362">
        <w:rPr>
          <w:rFonts w:eastAsia="Calibri"/>
          <w:szCs w:val="24"/>
        </w:rPr>
        <w:t>1.</w:t>
      </w:r>
      <w:r w:rsidR="00400459" w:rsidRPr="003B4362">
        <w:rPr>
          <w:rFonts w:eastAsia="Calibri"/>
          <w:szCs w:val="24"/>
        </w:rPr>
        <w:t>35</w:t>
      </w:r>
      <w:r w:rsidRPr="003B4362">
        <w:rPr>
          <w:rFonts w:eastAsia="Calibri"/>
          <w:szCs w:val="24"/>
        </w:rPr>
        <w:t>4</w:t>
      </w:r>
      <w:bookmarkEnd w:id="1846"/>
      <w:r w:rsidRPr="003B4362">
        <w:rPr>
          <w:rFonts w:eastAsia="Calibri"/>
          <w:szCs w:val="24"/>
        </w:rPr>
        <w:t xml:space="preserve"> </w:t>
      </w:r>
      <w:r w:rsidR="003D0323" w:rsidRPr="003B4362">
        <w:rPr>
          <w:rFonts w:eastAsia="Calibri"/>
          <w:szCs w:val="24"/>
        </w:rPr>
        <w:t>requires</w:t>
      </w:r>
      <w:bookmarkEnd w:id="1847"/>
      <w:r w:rsidR="003D0323" w:rsidRPr="003B4362">
        <w:rPr>
          <w:rFonts w:eastAsia="Calibri"/>
          <w:szCs w:val="24"/>
        </w:rPr>
        <w:t xml:space="preserve"> </w:t>
      </w:r>
      <w:r w:rsidRPr="003B4362">
        <w:rPr>
          <w:rFonts w:eastAsia="Calibri"/>
          <w:szCs w:val="24"/>
        </w:rPr>
        <w:t xml:space="preserve">and </w:t>
      </w:r>
      <w:bookmarkStart w:id="1848" w:name="_Hlk120560579"/>
      <w:r w:rsidR="003D0323" w:rsidRPr="003B4362">
        <w:rPr>
          <w:rFonts w:eastAsia="Calibri"/>
          <w:szCs w:val="24"/>
        </w:rPr>
        <w:t xml:space="preserve">annually </w:t>
      </w:r>
      <w:bookmarkStart w:id="1849" w:name="_Hlk120561049"/>
      <w:r w:rsidRPr="003B4362">
        <w:rPr>
          <w:rFonts w:eastAsia="Calibri"/>
          <w:szCs w:val="24"/>
        </w:rPr>
        <w:t>repeat the noti</w:t>
      </w:r>
      <w:r w:rsidR="003D0323" w:rsidRPr="003B4362">
        <w:rPr>
          <w:rFonts w:eastAsia="Calibri"/>
          <w:szCs w:val="24"/>
        </w:rPr>
        <w:t>ce</w:t>
      </w:r>
      <w:bookmarkEnd w:id="1848"/>
      <w:r w:rsidR="00511434" w:rsidRPr="003B4362">
        <w:rPr>
          <w:rFonts w:eastAsia="Calibri"/>
          <w:szCs w:val="24"/>
        </w:rPr>
        <w:t xml:space="preserve"> to each person the supplier serves</w:t>
      </w:r>
      <w:bookmarkEnd w:id="1849"/>
      <w:r w:rsidR="00511434" w:rsidRPr="003B4362">
        <w:rPr>
          <w:rFonts w:eastAsia="Calibri"/>
          <w:szCs w:val="24"/>
        </w:rPr>
        <w:t xml:space="preserve"> </w:t>
      </w:r>
      <w:r w:rsidRPr="003B4362">
        <w:rPr>
          <w:rFonts w:eastAsia="Calibri"/>
          <w:szCs w:val="24"/>
        </w:rPr>
        <w:t xml:space="preserve">until the </w:t>
      </w:r>
      <w:r w:rsidR="00511434" w:rsidRPr="003B4362">
        <w:rPr>
          <w:rFonts w:eastAsia="Calibri"/>
          <w:szCs w:val="24"/>
        </w:rPr>
        <w:t xml:space="preserve">supplier’s </w:t>
      </w:r>
      <w:r w:rsidRPr="003B4362">
        <w:rPr>
          <w:rFonts w:eastAsia="Calibri"/>
          <w:szCs w:val="24"/>
        </w:rPr>
        <w:t xml:space="preserve">entire service connection is </w:t>
      </w:r>
      <w:bookmarkStart w:id="1850" w:name="_Hlk120561274"/>
      <w:r w:rsidRPr="003B4362">
        <w:rPr>
          <w:rFonts w:eastAsia="Calibri"/>
          <w:szCs w:val="24"/>
        </w:rPr>
        <w:t xml:space="preserve">no longer </w:t>
      </w:r>
      <w:r w:rsidR="00DB37DE" w:rsidRPr="003B4362">
        <w:rPr>
          <w:rFonts w:eastAsia="Calibri"/>
          <w:szCs w:val="24"/>
        </w:rPr>
        <w:t>a lead, galvanized requiring replacement, or lead status unkn</w:t>
      </w:r>
      <w:r w:rsidRPr="003B4362">
        <w:rPr>
          <w:rFonts w:eastAsia="Calibri"/>
          <w:szCs w:val="24"/>
        </w:rPr>
        <w:t>own service line</w:t>
      </w:r>
      <w:bookmarkEnd w:id="1850"/>
      <w:r w:rsidRPr="003B4362">
        <w:rPr>
          <w:rFonts w:eastAsia="Calibri"/>
          <w:szCs w:val="24"/>
        </w:rPr>
        <w:t>.  F</w:t>
      </w:r>
      <w:bookmarkStart w:id="1851" w:name="_Hlk120561387"/>
      <w:r w:rsidRPr="003B4362">
        <w:rPr>
          <w:rFonts w:eastAsia="Calibri"/>
          <w:szCs w:val="24"/>
        </w:rPr>
        <w:t xml:space="preserve">or </w:t>
      </w:r>
      <w:r w:rsidR="005D0123" w:rsidRPr="003B4362">
        <w:rPr>
          <w:rFonts w:eastAsia="Calibri"/>
          <w:szCs w:val="24"/>
        </w:rPr>
        <w:t xml:space="preserve">each </w:t>
      </w:r>
      <w:r w:rsidRPr="003B4362">
        <w:rPr>
          <w:rFonts w:eastAsia="Calibri"/>
          <w:szCs w:val="24"/>
        </w:rPr>
        <w:t>new customer</w:t>
      </w:r>
      <w:bookmarkEnd w:id="1851"/>
      <w:r w:rsidRPr="003B4362">
        <w:rPr>
          <w:rFonts w:eastAsia="Calibri"/>
          <w:szCs w:val="24"/>
        </w:rPr>
        <w:t xml:space="preserve">, </w:t>
      </w:r>
      <w:r w:rsidR="005D0123" w:rsidRPr="003B4362">
        <w:rPr>
          <w:rFonts w:eastAsia="Calibri"/>
          <w:szCs w:val="24"/>
        </w:rPr>
        <w:t>the supplier must</w:t>
      </w:r>
      <w:r w:rsidRPr="003B4362">
        <w:rPr>
          <w:rFonts w:eastAsia="Calibri"/>
          <w:szCs w:val="24"/>
        </w:rPr>
        <w:t xml:space="preserve"> also provide the notice </w:t>
      </w:r>
      <w:bookmarkStart w:id="1852" w:name="_Hlk120561773"/>
      <w:bookmarkStart w:id="1853" w:name="_Hlk120561684"/>
      <w:r w:rsidR="005D0123" w:rsidRPr="003B4362">
        <w:rPr>
          <w:rFonts w:eastAsia="Calibri"/>
          <w:szCs w:val="24"/>
        </w:rPr>
        <w:t>when the supplier initiates</w:t>
      </w:r>
      <w:r w:rsidRPr="003B4362">
        <w:rPr>
          <w:rFonts w:eastAsia="Calibri"/>
          <w:szCs w:val="24"/>
        </w:rPr>
        <w:t xml:space="preserve"> service</w:t>
      </w:r>
      <w:bookmarkEnd w:id="1852"/>
      <w:r w:rsidRPr="003B4362">
        <w:rPr>
          <w:rFonts w:eastAsia="Calibri"/>
          <w:szCs w:val="24"/>
        </w:rPr>
        <w:t>.</w:t>
      </w:r>
      <w:bookmarkEnd w:id="1853"/>
    </w:p>
    <w:p w14:paraId="29A1DCB4" w14:textId="3DB9A767"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r>
      <w:r w:rsidR="00FB3513" w:rsidRPr="003B4362">
        <w:rPr>
          <w:rFonts w:eastAsia="Calibri"/>
          <w:szCs w:val="24"/>
        </w:rPr>
        <w:t xml:space="preserve">Notice </w:t>
      </w:r>
      <w:r w:rsidRPr="003B4362">
        <w:rPr>
          <w:rFonts w:eastAsia="Calibri"/>
          <w:szCs w:val="24"/>
        </w:rPr>
        <w:t>Content</w:t>
      </w:r>
    </w:p>
    <w:p w14:paraId="419CA6E1" w14:textId="47DEEEDF"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bookmarkStart w:id="1854" w:name="_Hlk120562116"/>
      <w:r w:rsidRPr="003B4362">
        <w:rPr>
          <w:rFonts w:eastAsia="Calibri"/>
          <w:szCs w:val="24"/>
        </w:rPr>
        <w:t xml:space="preserve">Persons </w:t>
      </w:r>
      <w:r w:rsidR="00FB3513" w:rsidRPr="003B4362">
        <w:rPr>
          <w:rFonts w:eastAsia="Calibri"/>
          <w:szCs w:val="24"/>
        </w:rPr>
        <w:t>the Supplier S</w:t>
      </w:r>
      <w:r w:rsidRPr="003B4362">
        <w:rPr>
          <w:rFonts w:eastAsia="Calibri"/>
          <w:szCs w:val="24"/>
        </w:rPr>
        <w:t>erve</w:t>
      </w:r>
      <w:r w:rsidR="00FB3513" w:rsidRPr="003B4362">
        <w:rPr>
          <w:rFonts w:eastAsia="Calibri"/>
          <w:szCs w:val="24"/>
        </w:rPr>
        <w:t>s</w:t>
      </w:r>
      <w:r w:rsidRPr="003B4362">
        <w:rPr>
          <w:rFonts w:eastAsia="Calibri"/>
          <w:szCs w:val="24"/>
        </w:rPr>
        <w:t xml:space="preserve"> </w:t>
      </w:r>
      <w:r w:rsidR="001B637C" w:rsidRPr="003B4362">
        <w:rPr>
          <w:rFonts w:eastAsia="Calibri"/>
          <w:szCs w:val="24"/>
        </w:rPr>
        <w:t>T</w:t>
      </w:r>
      <w:r w:rsidR="00FB3513" w:rsidRPr="003B4362">
        <w:rPr>
          <w:rFonts w:eastAsia="Calibri"/>
          <w:szCs w:val="24"/>
        </w:rPr>
        <w:t>hrough</w:t>
      </w:r>
      <w:r w:rsidRPr="003B4362">
        <w:rPr>
          <w:rFonts w:eastAsia="Calibri"/>
          <w:szCs w:val="24"/>
        </w:rPr>
        <w:t xml:space="preserve"> a </w:t>
      </w:r>
      <w:r w:rsidR="00FB3513" w:rsidRPr="003B4362">
        <w:rPr>
          <w:rFonts w:eastAsia="Calibri"/>
          <w:szCs w:val="24"/>
        </w:rPr>
        <w:t>C</w:t>
      </w:r>
      <w:r w:rsidRPr="003B4362">
        <w:rPr>
          <w:rFonts w:eastAsia="Calibri"/>
          <w:szCs w:val="24"/>
        </w:rPr>
        <w:t xml:space="preserve">onfirmed </w:t>
      </w:r>
      <w:r w:rsidR="00FB3513" w:rsidRPr="003B4362">
        <w:rPr>
          <w:rFonts w:eastAsia="Calibri"/>
          <w:szCs w:val="24"/>
        </w:rPr>
        <w:t>L</w:t>
      </w:r>
      <w:r w:rsidRPr="003B4362">
        <w:rPr>
          <w:rFonts w:eastAsia="Calibri"/>
          <w:szCs w:val="24"/>
        </w:rPr>
        <w:t xml:space="preserve">ead </w:t>
      </w:r>
      <w:r w:rsidR="00FB3513" w:rsidRPr="003B4362">
        <w:rPr>
          <w:rFonts w:eastAsia="Calibri"/>
          <w:szCs w:val="24"/>
        </w:rPr>
        <w:t>S</w:t>
      </w:r>
      <w:r w:rsidRPr="003B4362">
        <w:rPr>
          <w:rFonts w:eastAsia="Calibri"/>
          <w:szCs w:val="24"/>
        </w:rPr>
        <w:t xml:space="preserve">ervice </w:t>
      </w:r>
      <w:r w:rsidR="00FB3513" w:rsidRPr="003B4362">
        <w:rPr>
          <w:rFonts w:eastAsia="Calibri"/>
          <w:szCs w:val="24"/>
        </w:rPr>
        <w:t>L</w:t>
      </w:r>
      <w:r w:rsidRPr="003B4362">
        <w:rPr>
          <w:rFonts w:eastAsia="Calibri"/>
          <w:szCs w:val="24"/>
        </w:rPr>
        <w:t>ine</w:t>
      </w:r>
      <w:bookmarkEnd w:id="1854"/>
      <w:r w:rsidRPr="003B4362">
        <w:rPr>
          <w:rFonts w:eastAsia="Calibri"/>
          <w:szCs w:val="24"/>
        </w:rPr>
        <w:t xml:space="preserve">.  The notice must </w:t>
      </w:r>
      <w:bookmarkStart w:id="1855" w:name="_Hlk120564574"/>
      <w:r w:rsidR="00F50549" w:rsidRPr="003B4362">
        <w:rPr>
          <w:rFonts w:eastAsia="Calibri"/>
          <w:szCs w:val="24"/>
        </w:rPr>
        <w:t>state</w:t>
      </w:r>
      <w:r w:rsidRPr="003B4362">
        <w:rPr>
          <w:rFonts w:eastAsia="Calibri"/>
          <w:szCs w:val="24"/>
        </w:rPr>
        <w:t xml:space="preserve"> that </w:t>
      </w:r>
      <w:r w:rsidR="00F50549" w:rsidRPr="003B4362">
        <w:rPr>
          <w:rFonts w:eastAsia="Calibri"/>
          <w:szCs w:val="24"/>
        </w:rPr>
        <w:t>the suppli</w:t>
      </w:r>
      <w:r w:rsidR="00301288" w:rsidRPr="003B4362">
        <w:rPr>
          <w:rFonts w:eastAsia="Calibri"/>
          <w:szCs w:val="24"/>
        </w:rPr>
        <w:t>e</w:t>
      </w:r>
      <w:r w:rsidR="00F50549" w:rsidRPr="003B4362">
        <w:rPr>
          <w:rFonts w:eastAsia="Calibri"/>
          <w:szCs w:val="24"/>
        </w:rPr>
        <w:t xml:space="preserve">r serves </w:t>
      </w:r>
      <w:r w:rsidRPr="003B4362">
        <w:rPr>
          <w:rFonts w:eastAsia="Calibri"/>
          <w:szCs w:val="24"/>
        </w:rPr>
        <w:t>the person</w:t>
      </w:r>
      <w:r w:rsidR="00F50549" w:rsidRPr="003B4362">
        <w:rPr>
          <w:rFonts w:eastAsia="Calibri"/>
          <w:szCs w:val="24"/>
        </w:rPr>
        <w:t xml:space="preserve"> through a lead</w:t>
      </w:r>
      <w:r w:rsidRPr="003B4362">
        <w:rPr>
          <w:rFonts w:eastAsia="Calibri"/>
          <w:szCs w:val="24"/>
        </w:rPr>
        <w:t xml:space="preserve"> service line</w:t>
      </w:r>
      <w:bookmarkEnd w:id="1855"/>
      <w:r w:rsidR="006E5B16" w:rsidRPr="003B4362">
        <w:rPr>
          <w:rFonts w:eastAsia="Calibri"/>
          <w:szCs w:val="24"/>
        </w:rPr>
        <w:t>;</w:t>
      </w:r>
      <w:r w:rsidRPr="003B4362">
        <w:rPr>
          <w:rFonts w:eastAsia="Calibri"/>
          <w:szCs w:val="24"/>
        </w:rPr>
        <w:t xml:space="preserve"> </w:t>
      </w:r>
      <w:bookmarkStart w:id="1856" w:name="_Hlk120564814"/>
      <w:r w:rsidR="00F50549" w:rsidRPr="003B4362">
        <w:rPr>
          <w:rFonts w:eastAsia="Calibri"/>
          <w:szCs w:val="24"/>
        </w:rPr>
        <w:t>explain</w:t>
      </w:r>
      <w:r w:rsidRPr="003B4362">
        <w:rPr>
          <w:rFonts w:eastAsia="Calibri"/>
          <w:szCs w:val="24"/>
        </w:rPr>
        <w:t xml:space="preserve"> the health effects of lead </w:t>
      </w:r>
      <w:r w:rsidR="00F50549" w:rsidRPr="003B4362">
        <w:rPr>
          <w:rFonts w:eastAsia="Calibri"/>
          <w:szCs w:val="24"/>
        </w:rPr>
        <w:t>in a way compl</w:t>
      </w:r>
      <w:r w:rsidR="006E5B16" w:rsidRPr="003B4362">
        <w:rPr>
          <w:rFonts w:eastAsia="Calibri"/>
          <w:szCs w:val="24"/>
        </w:rPr>
        <w:t>y</w:t>
      </w:r>
      <w:r w:rsidR="00F50549" w:rsidRPr="003B4362">
        <w:rPr>
          <w:rFonts w:eastAsia="Calibri"/>
          <w:szCs w:val="24"/>
        </w:rPr>
        <w:t>i</w:t>
      </w:r>
      <w:r w:rsidR="006E5B16" w:rsidRPr="003B4362">
        <w:rPr>
          <w:rFonts w:eastAsia="Calibri"/>
          <w:szCs w:val="24"/>
        </w:rPr>
        <w:t>ng</w:t>
      </w:r>
      <w:r w:rsidR="00F50549" w:rsidRPr="003B4362">
        <w:rPr>
          <w:rFonts w:eastAsia="Calibri"/>
          <w:szCs w:val="24"/>
        </w:rPr>
        <w:t xml:space="preserve"> with</w:t>
      </w:r>
      <w:r w:rsidRPr="003B4362">
        <w:rPr>
          <w:rFonts w:eastAsia="Calibri"/>
          <w:szCs w:val="24"/>
        </w:rPr>
        <w:t xml:space="preserve"> subsection (a)(1)(B)</w:t>
      </w:r>
      <w:bookmarkEnd w:id="1856"/>
      <w:r w:rsidR="006E5B16" w:rsidRPr="003B4362">
        <w:rPr>
          <w:rFonts w:eastAsia="Calibri"/>
          <w:szCs w:val="24"/>
        </w:rPr>
        <w:t>;</w:t>
      </w:r>
      <w:r w:rsidRPr="003B4362">
        <w:rPr>
          <w:rFonts w:eastAsia="Calibri"/>
          <w:szCs w:val="24"/>
        </w:rPr>
        <w:t xml:space="preserve"> </w:t>
      </w:r>
      <w:bookmarkStart w:id="1857" w:name="_Hlk120613984"/>
      <w:r w:rsidR="006E5B16" w:rsidRPr="003B4362">
        <w:rPr>
          <w:rFonts w:eastAsia="Calibri"/>
          <w:szCs w:val="24"/>
        </w:rPr>
        <w:t xml:space="preserve">give </w:t>
      </w:r>
      <w:bookmarkEnd w:id="1857"/>
      <w:r w:rsidRPr="003B4362">
        <w:rPr>
          <w:rFonts w:eastAsia="Calibri"/>
          <w:szCs w:val="24"/>
        </w:rPr>
        <w:t>steps persons at the service connection can take to reduce exposure to lead in drinking water</w:t>
      </w:r>
      <w:r w:rsidR="006E5B16" w:rsidRPr="003B4362">
        <w:rPr>
          <w:rFonts w:eastAsia="Calibri"/>
          <w:szCs w:val="24"/>
        </w:rPr>
        <w:t>;</w:t>
      </w:r>
      <w:r w:rsidRPr="003B4362">
        <w:rPr>
          <w:rFonts w:eastAsia="Calibri"/>
          <w:szCs w:val="24"/>
        </w:rPr>
        <w:t xml:space="preserve"> inform about opportunities to replace lead service lines</w:t>
      </w:r>
      <w:r w:rsidR="006E5B16" w:rsidRPr="003B4362">
        <w:rPr>
          <w:rFonts w:eastAsia="Calibri"/>
          <w:szCs w:val="24"/>
        </w:rPr>
        <w:t>,</w:t>
      </w:r>
      <w:r w:rsidRPr="003B4362">
        <w:rPr>
          <w:rFonts w:eastAsia="Calibri"/>
          <w:szCs w:val="24"/>
        </w:rPr>
        <w:t xml:space="preserve"> </w:t>
      </w:r>
      <w:bookmarkStart w:id="1858" w:name="_Hlk120566522"/>
      <w:bookmarkStart w:id="1859" w:name="_Hlk120566596"/>
      <w:r w:rsidR="00DC66B7" w:rsidRPr="003B4362">
        <w:rPr>
          <w:rFonts w:eastAsia="Calibri"/>
          <w:szCs w:val="24"/>
        </w:rPr>
        <w:t>including</w:t>
      </w:r>
      <w:r w:rsidRPr="003B4362">
        <w:rPr>
          <w:rFonts w:eastAsia="Calibri"/>
          <w:szCs w:val="24"/>
        </w:rPr>
        <w:t xml:space="preserve"> programs provid</w:t>
      </w:r>
      <w:bookmarkEnd w:id="1858"/>
      <w:r w:rsidR="00DC66B7" w:rsidRPr="003B4362">
        <w:rPr>
          <w:rFonts w:eastAsia="Calibri"/>
          <w:szCs w:val="24"/>
        </w:rPr>
        <w:t>ing</w:t>
      </w:r>
      <w:bookmarkEnd w:id="1859"/>
      <w:r w:rsidRPr="003B4362">
        <w:rPr>
          <w:rFonts w:eastAsia="Calibri"/>
          <w:szCs w:val="24"/>
        </w:rPr>
        <w:t xml:space="preserve"> financing solutions to </w:t>
      </w:r>
      <w:bookmarkStart w:id="1860" w:name="_Hlk120566732"/>
      <w:r w:rsidRPr="003B4362">
        <w:rPr>
          <w:rFonts w:eastAsia="Calibri"/>
          <w:szCs w:val="24"/>
        </w:rPr>
        <w:t xml:space="preserve">assist property owners </w:t>
      </w:r>
      <w:r w:rsidR="00301288" w:rsidRPr="003B4362">
        <w:rPr>
          <w:rFonts w:eastAsia="Calibri"/>
          <w:szCs w:val="24"/>
        </w:rPr>
        <w:t xml:space="preserve">to </w:t>
      </w:r>
      <w:r w:rsidR="00DC66B7" w:rsidRPr="003B4362">
        <w:rPr>
          <w:rFonts w:eastAsia="Calibri"/>
          <w:szCs w:val="24"/>
        </w:rPr>
        <w:t>replace</w:t>
      </w:r>
      <w:r w:rsidRPr="003B4362">
        <w:rPr>
          <w:rFonts w:eastAsia="Calibri"/>
          <w:szCs w:val="24"/>
        </w:rPr>
        <w:t xml:space="preserve"> </w:t>
      </w:r>
      <w:r w:rsidR="00DC66B7" w:rsidRPr="003B4362">
        <w:rPr>
          <w:rFonts w:eastAsia="Calibri"/>
          <w:szCs w:val="24"/>
        </w:rPr>
        <w:t>the customer-owned</w:t>
      </w:r>
      <w:r w:rsidRPr="003B4362">
        <w:rPr>
          <w:rFonts w:eastAsia="Calibri"/>
          <w:szCs w:val="24"/>
        </w:rPr>
        <w:t xml:space="preserve"> portion of a lead service line</w:t>
      </w:r>
      <w:bookmarkEnd w:id="1860"/>
      <w:r w:rsidR="006E5B16" w:rsidRPr="003B4362">
        <w:rPr>
          <w:rFonts w:eastAsia="Calibri"/>
          <w:szCs w:val="24"/>
        </w:rPr>
        <w:t>;</w:t>
      </w:r>
      <w:r w:rsidRPr="003B4362">
        <w:rPr>
          <w:rFonts w:eastAsia="Calibri"/>
          <w:szCs w:val="24"/>
        </w:rPr>
        <w:t xml:space="preserve"> and </w:t>
      </w:r>
      <w:bookmarkStart w:id="1861" w:name="_Hlk120566916"/>
      <w:r w:rsidR="00CB76B1" w:rsidRPr="003B4362">
        <w:rPr>
          <w:rFonts w:eastAsia="Calibri"/>
          <w:szCs w:val="24"/>
        </w:rPr>
        <w:t>explain</w:t>
      </w:r>
      <w:r w:rsidRPr="003B4362">
        <w:rPr>
          <w:rFonts w:eastAsia="Calibri"/>
          <w:szCs w:val="24"/>
        </w:rPr>
        <w:t xml:space="preserve"> that the </w:t>
      </w:r>
      <w:r w:rsidR="00DC66B7" w:rsidRPr="003B4362">
        <w:rPr>
          <w:rFonts w:eastAsia="Calibri"/>
          <w:szCs w:val="24"/>
        </w:rPr>
        <w:t>supplier</w:t>
      </w:r>
      <w:r w:rsidRPr="003B4362">
        <w:rPr>
          <w:rFonts w:eastAsia="Calibri"/>
          <w:szCs w:val="24"/>
        </w:rPr>
        <w:t xml:space="preserve"> </w:t>
      </w:r>
      <w:r w:rsidR="00DC66B7" w:rsidRPr="003B4362">
        <w:rPr>
          <w:rFonts w:eastAsia="Calibri"/>
          <w:szCs w:val="24"/>
        </w:rPr>
        <w:t>must</w:t>
      </w:r>
      <w:r w:rsidRPr="003B4362">
        <w:rPr>
          <w:rFonts w:eastAsia="Calibri"/>
          <w:szCs w:val="24"/>
        </w:rPr>
        <w:t xml:space="preserve"> replace </w:t>
      </w:r>
      <w:r w:rsidR="00DC66B7" w:rsidRPr="003B4362">
        <w:rPr>
          <w:rFonts w:eastAsia="Calibri"/>
          <w:szCs w:val="24"/>
        </w:rPr>
        <w:t>the supplier-owned</w:t>
      </w:r>
      <w:r w:rsidRPr="003B4362">
        <w:rPr>
          <w:rFonts w:eastAsia="Calibri"/>
          <w:szCs w:val="24"/>
        </w:rPr>
        <w:t xml:space="preserve"> portion of a lead service line</w:t>
      </w:r>
      <w:bookmarkEnd w:id="1861"/>
      <w:r w:rsidRPr="003B4362">
        <w:rPr>
          <w:rFonts w:eastAsia="Calibri"/>
          <w:szCs w:val="24"/>
        </w:rPr>
        <w:t xml:space="preserve"> </w:t>
      </w:r>
      <w:bookmarkStart w:id="1862" w:name="_Hlk120567288"/>
      <w:r w:rsidRPr="003B4362">
        <w:rPr>
          <w:rFonts w:eastAsia="Calibri"/>
          <w:szCs w:val="24"/>
        </w:rPr>
        <w:t>whe</w:t>
      </w:r>
      <w:bookmarkStart w:id="1863" w:name="_Hlk120567725"/>
      <w:r w:rsidRPr="003B4362">
        <w:rPr>
          <w:rFonts w:eastAsia="Calibri"/>
          <w:szCs w:val="24"/>
        </w:rPr>
        <w:t xml:space="preserve">n the property owner notifies </w:t>
      </w:r>
      <w:r w:rsidR="00CB76B1" w:rsidRPr="003B4362">
        <w:rPr>
          <w:rFonts w:eastAsia="Calibri"/>
          <w:szCs w:val="24"/>
        </w:rPr>
        <w:t xml:space="preserve">the </w:t>
      </w:r>
      <w:r w:rsidR="00CB76B1" w:rsidRPr="003B4362">
        <w:rPr>
          <w:rFonts w:eastAsia="Calibri"/>
          <w:szCs w:val="24"/>
        </w:rPr>
        <w:lastRenderedPageBreak/>
        <w:t>supplier that the owner will replace the customer-owned</w:t>
      </w:r>
      <w:r w:rsidRPr="003B4362">
        <w:rPr>
          <w:rFonts w:eastAsia="Calibri"/>
          <w:szCs w:val="24"/>
        </w:rPr>
        <w:t xml:space="preserve"> portion</w:t>
      </w:r>
      <w:bookmarkEnd w:id="1862"/>
      <w:r w:rsidRPr="003B4362">
        <w:rPr>
          <w:rFonts w:eastAsia="Calibri"/>
          <w:szCs w:val="24"/>
        </w:rPr>
        <w:t xml:space="preserve"> of</w:t>
      </w:r>
      <w:bookmarkEnd w:id="1863"/>
      <w:r w:rsidRPr="003B4362">
        <w:rPr>
          <w:rFonts w:eastAsia="Calibri"/>
          <w:szCs w:val="24"/>
        </w:rPr>
        <w:t xml:space="preserve"> the lead service line.</w:t>
      </w:r>
    </w:p>
    <w:p w14:paraId="31BAD623" w14:textId="27027126"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Persons</w:t>
      </w:r>
      <w:r w:rsidR="002E485B" w:rsidRPr="003B4362">
        <w:rPr>
          <w:rFonts w:eastAsia="Calibri"/>
          <w:szCs w:val="24"/>
        </w:rPr>
        <w:t xml:space="preserve"> </w:t>
      </w:r>
      <w:r w:rsidR="001B637C" w:rsidRPr="003B4362">
        <w:rPr>
          <w:rFonts w:eastAsia="Calibri"/>
          <w:szCs w:val="24"/>
        </w:rPr>
        <w:t>the Supplier Serves Through</w:t>
      </w:r>
      <w:r w:rsidRPr="003B4362">
        <w:rPr>
          <w:rFonts w:eastAsia="Calibri"/>
          <w:szCs w:val="24"/>
        </w:rPr>
        <w:t xml:space="preserve"> a </w:t>
      </w:r>
      <w:r w:rsidR="001B637C" w:rsidRPr="003B4362">
        <w:rPr>
          <w:rFonts w:eastAsia="Calibri"/>
          <w:szCs w:val="24"/>
        </w:rPr>
        <w:t>G</w:t>
      </w:r>
      <w:r w:rsidRPr="003B4362">
        <w:rPr>
          <w:rFonts w:eastAsia="Calibri"/>
          <w:szCs w:val="24"/>
        </w:rPr>
        <w:t xml:space="preserve">alvanized </w:t>
      </w:r>
      <w:r w:rsidR="001B637C" w:rsidRPr="003B4362">
        <w:rPr>
          <w:rFonts w:eastAsia="Calibri"/>
          <w:szCs w:val="24"/>
        </w:rPr>
        <w:t>R</w:t>
      </w:r>
      <w:r w:rsidRPr="003B4362">
        <w:rPr>
          <w:rFonts w:eastAsia="Calibri"/>
          <w:szCs w:val="24"/>
        </w:rPr>
        <w:t xml:space="preserve">equiring </w:t>
      </w:r>
      <w:r w:rsidR="001B637C" w:rsidRPr="003B4362">
        <w:rPr>
          <w:rFonts w:eastAsia="Calibri"/>
          <w:szCs w:val="24"/>
        </w:rPr>
        <w:t>R</w:t>
      </w:r>
      <w:r w:rsidRPr="003B4362">
        <w:rPr>
          <w:rFonts w:eastAsia="Calibri"/>
          <w:szCs w:val="24"/>
        </w:rPr>
        <w:t xml:space="preserve">eplacement </w:t>
      </w:r>
      <w:r w:rsidR="001B637C" w:rsidRPr="003B4362">
        <w:rPr>
          <w:rFonts w:eastAsia="Calibri"/>
          <w:szCs w:val="24"/>
        </w:rPr>
        <w:t>S</w:t>
      </w:r>
      <w:r w:rsidRPr="003B4362">
        <w:rPr>
          <w:rFonts w:eastAsia="Calibri"/>
          <w:szCs w:val="24"/>
        </w:rPr>
        <w:t xml:space="preserve">ervice </w:t>
      </w:r>
      <w:r w:rsidR="001B637C" w:rsidRPr="003B4362">
        <w:rPr>
          <w:rFonts w:eastAsia="Calibri"/>
          <w:szCs w:val="24"/>
        </w:rPr>
        <w:t>L</w:t>
      </w:r>
      <w:r w:rsidRPr="003B4362">
        <w:rPr>
          <w:rFonts w:eastAsia="Calibri"/>
          <w:szCs w:val="24"/>
        </w:rPr>
        <w:t xml:space="preserve">ine.  The notice must </w:t>
      </w:r>
      <w:r w:rsidR="00514D9F" w:rsidRPr="003B4362">
        <w:rPr>
          <w:rFonts w:eastAsia="Calibri"/>
          <w:szCs w:val="24"/>
        </w:rPr>
        <w:t xml:space="preserve">state that </w:t>
      </w:r>
      <w:r w:rsidR="001B637C" w:rsidRPr="003B4362">
        <w:rPr>
          <w:rFonts w:eastAsia="Calibri"/>
          <w:szCs w:val="24"/>
        </w:rPr>
        <w:t>the suppli</w:t>
      </w:r>
      <w:r w:rsidR="004E4650" w:rsidRPr="003B4362">
        <w:rPr>
          <w:rFonts w:eastAsia="Calibri"/>
          <w:szCs w:val="24"/>
        </w:rPr>
        <w:t>e</w:t>
      </w:r>
      <w:r w:rsidR="001B637C" w:rsidRPr="003B4362">
        <w:rPr>
          <w:rFonts w:eastAsia="Calibri"/>
          <w:szCs w:val="24"/>
        </w:rPr>
        <w:t xml:space="preserve">r serves the person through a </w:t>
      </w:r>
      <w:r w:rsidR="00DB37DE" w:rsidRPr="003B4362">
        <w:rPr>
          <w:rFonts w:eastAsia="Calibri"/>
          <w:szCs w:val="24"/>
        </w:rPr>
        <w:t>g</w:t>
      </w:r>
      <w:r w:rsidR="001B637C" w:rsidRPr="003B4362">
        <w:rPr>
          <w:rFonts w:eastAsia="Calibri"/>
          <w:szCs w:val="24"/>
        </w:rPr>
        <w:t xml:space="preserve">alvanized </w:t>
      </w:r>
      <w:r w:rsidR="00DB37DE" w:rsidRPr="003B4362">
        <w:rPr>
          <w:rFonts w:eastAsia="Calibri"/>
          <w:szCs w:val="24"/>
        </w:rPr>
        <w:t>requiring r</w:t>
      </w:r>
      <w:r w:rsidR="001B637C" w:rsidRPr="003B4362">
        <w:rPr>
          <w:rFonts w:eastAsia="Calibri"/>
          <w:szCs w:val="24"/>
        </w:rPr>
        <w:t>eplacement service line</w:t>
      </w:r>
      <w:r w:rsidRPr="003B4362">
        <w:rPr>
          <w:rFonts w:eastAsia="Calibri"/>
          <w:szCs w:val="24"/>
        </w:rPr>
        <w:t xml:space="preserve">, </w:t>
      </w:r>
      <w:r w:rsidR="001335A3" w:rsidRPr="003B4362">
        <w:rPr>
          <w:rFonts w:eastAsia="Calibri"/>
          <w:szCs w:val="24"/>
        </w:rPr>
        <w:t>explain</w:t>
      </w:r>
      <w:r w:rsidRPr="003B4362">
        <w:rPr>
          <w:rFonts w:eastAsia="Calibri"/>
          <w:szCs w:val="24"/>
        </w:rPr>
        <w:t xml:space="preserve"> the health effects of lead</w:t>
      </w:r>
      <w:r w:rsidR="00514D9F" w:rsidRPr="003B4362">
        <w:rPr>
          <w:rFonts w:eastAsia="Calibri"/>
          <w:szCs w:val="24"/>
        </w:rPr>
        <w:t xml:space="preserve"> in a way complying with subsection (a)(1)(B)</w:t>
      </w:r>
      <w:r w:rsidRPr="003B4362">
        <w:rPr>
          <w:rFonts w:eastAsia="Calibri"/>
          <w:szCs w:val="24"/>
        </w:rPr>
        <w:t xml:space="preserve">, </w:t>
      </w:r>
      <w:r w:rsidR="001335A3" w:rsidRPr="003B4362">
        <w:rPr>
          <w:rFonts w:eastAsia="Calibri"/>
          <w:szCs w:val="24"/>
        </w:rPr>
        <w:t xml:space="preserve">give </w:t>
      </w:r>
      <w:r w:rsidRPr="003B4362">
        <w:rPr>
          <w:rFonts w:eastAsia="Calibri"/>
          <w:szCs w:val="24"/>
        </w:rPr>
        <w:t xml:space="preserve">steps persons at the service connection can take to reduce exposure to lead in drinking water, and inform about opportunities </w:t>
      </w:r>
      <w:bookmarkStart w:id="1864" w:name="_Hlk120612138"/>
      <w:r w:rsidR="001335A3" w:rsidRPr="003B4362">
        <w:rPr>
          <w:rFonts w:eastAsia="Calibri"/>
          <w:szCs w:val="24"/>
        </w:rPr>
        <w:t>to replace</w:t>
      </w:r>
      <w:r w:rsidRPr="003B4362">
        <w:rPr>
          <w:rFonts w:eastAsia="Calibri"/>
          <w:szCs w:val="24"/>
        </w:rPr>
        <w:t xml:space="preserve"> the service line</w:t>
      </w:r>
      <w:bookmarkEnd w:id="1864"/>
      <w:r w:rsidRPr="003B4362">
        <w:rPr>
          <w:rFonts w:eastAsia="Calibri"/>
          <w:szCs w:val="24"/>
        </w:rPr>
        <w:t>.</w:t>
      </w:r>
    </w:p>
    <w:p w14:paraId="67B5D2BB" w14:textId="7788531F"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r>
      <w:bookmarkStart w:id="1865" w:name="_Hlk120613122"/>
      <w:r w:rsidRPr="003B4362">
        <w:rPr>
          <w:rFonts w:eastAsia="Calibri"/>
          <w:szCs w:val="24"/>
        </w:rPr>
        <w:t xml:space="preserve">Persons </w:t>
      </w:r>
      <w:r w:rsidR="002E485B" w:rsidRPr="003B4362">
        <w:rPr>
          <w:rFonts w:eastAsia="Calibri"/>
          <w:szCs w:val="24"/>
        </w:rPr>
        <w:t>the Supplier Serves Through</w:t>
      </w:r>
      <w:r w:rsidRPr="003B4362">
        <w:rPr>
          <w:rFonts w:eastAsia="Calibri"/>
          <w:szCs w:val="24"/>
        </w:rPr>
        <w:t xml:space="preserve"> a </w:t>
      </w:r>
      <w:bookmarkStart w:id="1866" w:name="_Hlk120613061"/>
      <w:r w:rsidR="002E485B" w:rsidRPr="003B4362">
        <w:rPr>
          <w:rFonts w:eastAsia="Calibri"/>
          <w:szCs w:val="24"/>
        </w:rPr>
        <w:t>L</w:t>
      </w:r>
      <w:r w:rsidRPr="003B4362">
        <w:rPr>
          <w:rFonts w:eastAsia="Calibri"/>
          <w:szCs w:val="24"/>
        </w:rPr>
        <w:t xml:space="preserve">ead </w:t>
      </w:r>
      <w:bookmarkEnd w:id="1866"/>
      <w:r w:rsidR="00916B5C" w:rsidRPr="003B4362">
        <w:rPr>
          <w:rFonts w:eastAsia="Calibri"/>
          <w:szCs w:val="24"/>
        </w:rPr>
        <w:t xml:space="preserve">Status Unknown </w:t>
      </w:r>
      <w:r w:rsidR="002E485B" w:rsidRPr="003B4362">
        <w:rPr>
          <w:rFonts w:eastAsia="Calibri"/>
          <w:szCs w:val="24"/>
        </w:rPr>
        <w:t>S</w:t>
      </w:r>
      <w:r w:rsidRPr="003B4362">
        <w:rPr>
          <w:rFonts w:eastAsia="Calibri"/>
          <w:szCs w:val="24"/>
        </w:rPr>
        <w:t xml:space="preserve">ervice </w:t>
      </w:r>
      <w:r w:rsidR="002E485B" w:rsidRPr="003B4362">
        <w:rPr>
          <w:rFonts w:eastAsia="Calibri"/>
          <w:szCs w:val="24"/>
        </w:rPr>
        <w:t>L</w:t>
      </w:r>
      <w:r w:rsidRPr="003B4362">
        <w:rPr>
          <w:rFonts w:eastAsia="Calibri"/>
          <w:szCs w:val="24"/>
        </w:rPr>
        <w:t>ine</w:t>
      </w:r>
      <w:bookmarkEnd w:id="1865"/>
      <w:r w:rsidRPr="003B4362">
        <w:rPr>
          <w:rFonts w:eastAsia="Calibri"/>
          <w:szCs w:val="24"/>
        </w:rPr>
        <w:t xml:space="preserve">.  The notice must </w:t>
      </w:r>
      <w:bookmarkStart w:id="1867" w:name="_Hlk120613666"/>
      <w:r w:rsidR="00514D9F" w:rsidRPr="003B4362">
        <w:rPr>
          <w:rFonts w:eastAsia="Calibri"/>
          <w:szCs w:val="24"/>
        </w:rPr>
        <w:t>state</w:t>
      </w:r>
      <w:r w:rsidRPr="003B4362">
        <w:rPr>
          <w:rFonts w:eastAsia="Calibri"/>
          <w:szCs w:val="24"/>
        </w:rPr>
        <w:t xml:space="preserve"> that </w:t>
      </w:r>
      <w:bookmarkStart w:id="1868" w:name="_Hlk120613259"/>
      <w:r w:rsidR="00514D9F" w:rsidRPr="003B4362">
        <w:rPr>
          <w:rFonts w:eastAsia="Calibri"/>
          <w:szCs w:val="24"/>
        </w:rPr>
        <w:t>the suppli</w:t>
      </w:r>
      <w:r w:rsidR="004E4650" w:rsidRPr="003B4362">
        <w:rPr>
          <w:rFonts w:eastAsia="Calibri"/>
          <w:szCs w:val="24"/>
        </w:rPr>
        <w:t>e</w:t>
      </w:r>
      <w:r w:rsidR="00514D9F" w:rsidRPr="003B4362">
        <w:rPr>
          <w:rFonts w:eastAsia="Calibri"/>
          <w:szCs w:val="24"/>
        </w:rPr>
        <w:t xml:space="preserve">r serves the person through a lead status unknown </w:t>
      </w:r>
      <w:r w:rsidRPr="003B4362">
        <w:rPr>
          <w:rFonts w:eastAsia="Calibri"/>
          <w:szCs w:val="24"/>
        </w:rPr>
        <w:t xml:space="preserve">service line </w:t>
      </w:r>
      <w:r w:rsidR="00514D9F" w:rsidRPr="003B4362">
        <w:rPr>
          <w:rFonts w:eastAsia="Calibri"/>
          <w:szCs w:val="24"/>
        </w:rPr>
        <w:t xml:space="preserve">(a service line whose </w:t>
      </w:r>
      <w:r w:rsidRPr="003B4362">
        <w:rPr>
          <w:rFonts w:eastAsia="Calibri"/>
          <w:szCs w:val="24"/>
        </w:rPr>
        <w:t>material is unknown but may be lead</w:t>
      </w:r>
      <w:bookmarkEnd w:id="1868"/>
      <w:r w:rsidR="00514D9F" w:rsidRPr="003B4362">
        <w:rPr>
          <w:rFonts w:eastAsia="Calibri"/>
          <w:szCs w:val="24"/>
        </w:rPr>
        <w:t>)</w:t>
      </w:r>
      <w:bookmarkEnd w:id="1867"/>
      <w:r w:rsidRPr="003B4362">
        <w:rPr>
          <w:rFonts w:eastAsia="Calibri"/>
          <w:szCs w:val="24"/>
        </w:rPr>
        <w:t xml:space="preserve">, </w:t>
      </w:r>
      <w:r w:rsidR="00514D9F" w:rsidRPr="003B4362">
        <w:rPr>
          <w:rFonts w:eastAsia="Calibri"/>
          <w:szCs w:val="24"/>
        </w:rPr>
        <w:t>explain</w:t>
      </w:r>
      <w:r w:rsidRPr="003B4362">
        <w:rPr>
          <w:rFonts w:eastAsia="Calibri"/>
          <w:szCs w:val="24"/>
        </w:rPr>
        <w:t xml:space="preserve"> the health effects of lead </w:t>
      </w:r>
      <w:r w:rsidR="00514D9F" w:rsidRPr="003B4362">
        <w:rPr>
          <w:rFonts w:eastAsia="Calibri"/>
          <w:szCs w:val="24"/>
        </w:rPr>
        <w:t>in a way complying with subsection (a)(1)(B)</w:t>
      </w:r>
      <w:r w:rsidRPr="003B4362">
        <w:rPr>
          <w:rFonts w:eastAsia="Calibri"/>
          <w:szCs w:val="24"/>
        </w:rPr>
        <w:t xml:space="preserve">, </w:t>
      </w:r>
      <w:r w:rsidR="00EF6055" w:rsidRPr="003B4362">
        <w:rPr>
          <w:szCs w:val="24"/>
        </w:rPr>
        <w:t xml:space="preserve">give </w:t>
      </w:r>
      <w:r w:rsidRPr="003B4362">
        <w:rPr>
          <w:rFonts w:eastAsia="Calibri"/>
          <w:szCs w:val="24"/>
        </w:rPr>
        <w:t xml:space="preserve">steps persons at the service connection can take to reduce exposure to lead in drinking water, and </w:t>
      </w:r>
      <w:r w:rsidR="00EF6055" w:rsidRPr="003B4362">
        <w:rPr>
          <w:szCs w:val="24"/>
        </w:rPr>
        <w:t>inform</w:t>
      </w:r>
      <w:r w:rsidRPr="003B4362">
        <w:rPr>
          <w:rFonts w:eastAsia="Calibri"/>
          <w:szCs w:val="24"/>
        </w:rPr>
        <w:t xml:space="preserve"> about opportunities to verify the material of the service line.</w:t>
      </w:r>
    </w:p>
    <w:p w14:paraId="45623DDA" w14:textId="0E0115BD"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t>Delivery.  T</w:t>
      </w:r>
      <w:bookmarkStart w:id="1869" w:name="_Hlk120618778"/>
      <w:r w:rsidRPr="003B4362">
        <w:rPr>
          <w:rFonts w:eastAsia="Calibri"/>
          <w:szCs w:val="24"/>
        </w:rPr>
        <w:t xml:space="preserve">he </w:t>
      </w:r>
      <w:r w:rsidR="00EF6055" w:rsidRPr="003B4362">
        <w:rPr>
          <w:rFonts w:eastAsia="Calibri"/>
          <w:szCs w:val="24"/>
        </w:rPr>
        <w:t xml:space="preserve">supplier must provide </w:t>
      </w:r>
      <w:r w:rsidRPr="003B4362">
        <w:rPr>
          <w:rFonts w:eastAsia="Calibri"/>
          <w:szCs w:val="24"/>
        </w:rPr>
        <w:t>notice</w:t>
      </w:r>
      <w:r w:rsidR="00EF6055" w:rsidRPr="003B4362">
        <w:rPr>
          <w:rFonts w:eastAsia="Calibri"/>
          <w:szCs w:val="24"/>
        </w:rPr>
        <w:t xml:space="preserve"> </w:t>
      </w:r>
      <w:r w:rsidRPr="003B4362">
        <w:rPr>
          <w:rFonts w:eastAsia="Calibri"/>
          <w:szCs w:val="24"/>
        </w:rPr>
        <w:t xml:space="preserve">to persons </w:t>
      </w:r>
      <w:r w:rsidR="00EF6055" w:rsidRPr="003B4362">
        <w:rPr>
          <w:rFonts w:eastAsia="Calibri"/>
          <w:szCs w:val="24"/>
        </w:rPr>
        <w:t xml:space="preserve">the supplier </w:t>
      </w:r>
      <w:r w:rsidRPr="003B4362">
        <w:rPr>
          <w:rFonts w:eastAsia="Calibri"/>
          <w:szCs w:val="24"/>
        </w:rPr>
        <w:t>serve</w:t>
      </w:r>
      <w:r w:rsidR="00EF6055" w:rsidRPr="003B4362">
        <w:rPr>
          <w:rFonts w:eastAsia="Calibri"/>
          <w:szCs w:val="24"/>
        </w:rPr>
        <w:t>s</w:t>
      </w:r>
      <w:bookmarkEnd w:id="1869"/>
      <w:r w:rsidR="00EF6055" w:rsidRPr="003B4362">
        <w:rPr>
          <w:rFonts w:eastAsia="Calibri"/>
          <w:szCs w:val="24"/>
        </w:rPr>
        <w:t xml:space="preserve"> </w:t>
      </w:r>
      <w:r w:rsidRPr="003B4362">
        <w:rPr>
          <w:rFonts w:eastAsia="Calibri"/>
          <w:szCs w:val="24"/>
        </w:rPr>
        <w:t xml:space="preserve">at the service connection with </w:t>
      </w:r>
      <w:bookmarkStart w:id="1870" w:name="_Hlk120619233"/>
      <w:r w:rsidRPr="003B4362">
        <w:rPr>
          <w:rFonts w:eastAsia="Calibri"/>
          <w:szCs w:val="24"/>
        </w:rPr>
        <w:t xml:space="preserve">a </w:t>
      </w:r>
      <w:r w:rsidR="00406AF3" w:rsidRPr="003B4362">
        <w:rPr>
          <w:rFonts w:eastAsia="Calibri"/>
          <w:szCs w:val="24"/>
        </w:rPr>
        <w:t>lead, galvanized requiring replacement, or lead status u</w:t>
      </w:r>
      <w:r w:rsidRPr="003B4362">
        <w:rPr>
          <w:rFonts w:eastAsia="Calibri"/>
          <w:szCs w:val="24"/>
        </w:rPr>
        <w:t xml:space="preserve">nknown service line, </w:t>
      </w:r>
      <w:bookmarkEnd w:id="1870"/>
      <w:r w:rsidRPr="003B4362">
        <w:rPr>
          <w:rFonts w:eastAsia="Calibri"/>
          <w:szCs w:val="24"/>
        </w:rPr>
        <w:t>by mail</w:t>
      </w:r>
      <w:bookmarkStart w:id="1871" w:name="_Hlk120619280"/>
      <w:r w:rsidRPr="003B4362">
        <w:rPr>
          <w:rFonts w:eastAsia="Calibri"/>
          <w:szCs w:val="24"/>
        </w:rPr>
        <w:t xml:space="preserve"> </w:t>
      </w:r>
      <w:bookmarkStart w:id="1872" w:name="_Hlk120619441"/>
      <w:r w:rsidRPr="003B4362">
        <w:rPr>
          <w:rFonts w:eastAsia="Calibri"/>
          <w:szCs w:val="24"/>
        </w:rPr>
        <w:t xml:space="preserve">or </w:t>
      </w:r>
      <w:r w:rsidR="00360564" w:rsidRPr="003B4362">
        <w:rPr>
          <w:rFonts w:eastAsia="Calibri"/>
          <w:szCs w:val="24"/>
        </w:rPr>
        <w:t>using</w:t>
      </w:r>
      <w:r w:rsidRPr="003B4362">
        <w:rPr>
          <w:rFonts w:eastAsia="Calibri"/>
          <w:szCs w:val="24"/>
        </w:rPr>
        <w:t xml:space="preserve"> another method </w:t>
      </w:r>
      <w:r w:rsidR="00360564" w:rsidRPr="003B4362">
        <w:rPr>
          <w:rFonts w:eastAsia="Calibri"/>
          <w:szCs w:val="24"/>
        </w:rPr>
        <w:t xml:space="preserve">the Agency </w:t>
      </w:r>
      <w:r w:rsidRPr="003B4362">
        <w:rPr>
          <w:rFonts w:eastAsia="Calibri"/>
          <w:szCs w:val="24"/>
        </w:rPr>
        <w:t>approve</w:t>
      </w:r>
      <w:r w:rsidR="00360564" w:rsidRPr="003B4362">
        <w:rPr>
          <w:rFonts w:eastAsia="Calibri"/>
          <w:szCs w:val="24"/>
        </w:rPr>
        <w:t>s</w:t>
      </w:r>
      <w:r w:rsidRPr="003B4362">
        <w:rPr>
          <w:rFonts w:eastAsia="Calibri"/>
          <w:szCs w:val="24"/>
        </w:rPr>
        <w:t xml:space="preserve"> </w:t>
      </w:r>
      <w:bookmarkEnd w:id="1871"/>
      <w:r w:rsidR="00360564" w:rsidRPr="003B4362">
        <w:rPr>
          <w:rFonts w:eastAsia="Calibri"/>
          <w:szCs w:val="24"/>
        </w:rPr>
        <w:t>in a SEP</w:t>
      </w:r>
      <w:bookmarkEnd w:id="1872"/>
      <w:r w:rsidRPr="003B4362">
        <w:rPr>
          <w:rFonts w:eastAsia="Calibri"/>
          <w:szCs w:val="24"/>
        </w:rPr>
        <w:t>.</w:t>
      </w:r>
    </w:p>
    <w:p w14:paraId="64EBBFF1" w14:textId="4DEC132D" w:rsidR="00F953AD" w:rsidRPr="003B4362" w:rsidRDefault="00F953AD" w:rsidP="00F953AD">
      <w:pPr>
        <w:autoSpaceDE w:val="0"/>
        <w:autoSpaceDN w:val="0"/>
        <w:adjustRightInd w:val="0"/>
        <w:spacing w:before="240" w:after="240"/>
        <w:ind w:left="1440" w:hanging="720"/>
        <w:rPr>
          <w:rFonts w:eastAsia="Calibri"/>
          <w:szCs w:val="24"/>
        </w:rPr>
      </w:pPr>
      <w:r w:rsidRPr="003B4362">
        <w:rPr>
          <w:rFonts w:eastAsia="Calibri"/>
          <w:szCs w:val="24"/>
        </w:rPr>
        <w:t>f)</w:t>
      </w:r>
      <w:r w:rsidRPr="003B4362">
        <w:rPr>
          <w:rFonts w:eastAsia="Calibri"/>
          <w:szCs w:val="24"/>
        </w:rPr>
        <w:tab/>
      </w:r>
      <w:bookmarkStart w:id="1873" w:name="_Hlk120633798"/>
      <w:r w:rsidRPr="003B4362">
        <w:rPr>
          <w:rFonts w:eastAsia="Calibri"/>
          <w:szCs w:val="24"/>
        </w:rPr>
        <w:t>N</w:t>
      </w:r>
      <w:bookmarkStart w:id="1874" w:name="_Hlk120633558"/>
      <w:r w:rsidRPr="003B4362">
        <w:rPr>
          <w:rFonts w:eastAsia="Calibri"/>
          <w:szCs w:val="24"/>
        </w:rPr>
        <w:t>oti</w:t>
      </w:r>
      <w:r w:rsidR="00CB38C9" w:rsidRPr="003B4362">
        <w:rPr>
          <w:rFonts w:eastAsia="Calibri"/>
          <w:szCs w:val="24"/>
        </w:rPr>
        <w:t>ce</w:t>
      </w:r>
      <w:r w:rsidRPr="003B4362">
        <w:rPr>
          <w:rFonts w:eastAsia="Calibri"/>
          <w:szCs w:val="24"/>
        </w:rPr>
        <w:t xml:space="preserve"> </w:t>
      </w:r>
      <w:r w:rsidR="00CB38C9" w:rsidRPr="003B4362">
        <w:rPr>
          <w:rFonts w:eastAsia="Calibri"/>
          <w:szCs w:val="24"/>
        </w:rPr>
        <w:t>D</w:t>
      </w:r>
      <w:r w:rsidRPr="003B4362">
        <w:rPr>
          <w:rFonts w:eastAsia="Calibri"/>
          <w:szCs w:val="24"/>
        </w:rPr>
        <w:t>ue to</w:t>
      </w:r>
      <w:r w:rsidR="00CB38C9" w:rsidRPr="003B4362">
        <w:rPr>
          <w:rFonts w:eastAsia="Calibri"/>
          <w:szCs w:val="24"/>
        </w:rPr>
        <w:t xml:space="preserve"> D</w:t>
      </w:r>
      <w:r w:rsidRPr="003B4362">
        <w:rPr>
          <w:rFonts w:eastAsia="Calibri"/>
          <w:szCs w:val="24"/>
        </w:rPr>
        <w:t>isturb</w:t>
      </w:r>
      <w:r w:rsidR="00CB38C9" w:rsidRPr="003B4362">
        <w:rPr>
          <w:rFonts w:eastAsia="Calibri"/>
          <w:szCs w:val="24"/>
        </w:rPr>
        <w:t>ing</w:t>
      </w:r>
      <w:r w:rsidRPr="003B4362">
        <w:rPr>
          <w:rFonts w:eastAsia="Calibri"/>
          <w:szCs w:val="24"/>
        </w:rPr>
        <w:t xml:space="preserve"> a</w:t>
      </w:r>
      <w:r w:rsidR="00CB38C9" w:rsidRPr="003B4362">
        <w:rPr>
          <w:rFonts w:eastAsia="Calibri"/>
          <w:szCs w:val="24"/>
        </w:rPr>
        <w:t xml:space="preserve"> S</w:t>
      </w:r>
      <w:r w:rsidRPr="003B4362">
        <w:rPr>
          <w:rFonts w:eastAsia="Calibri"/>
          <w:szCs w:val="24"/>
        </w:rPr>
        <w:t xml:space="preserve">ervice </w:t>
      </w:r>
      <w:r w:rsidR="00CB38C9" w:rsidRPr="003B4362">
        <w:rPr>
          <w:rFonts w:eastAsia="Calibri"/>
          <w:szCs w:val="24"/>
        </w:rPr>
        <w:t>L</w:t>
      </w:r>
      <w:r w:rsidRPr="003B4362">
        <w:rPr>
          <w:rFonts w:eastAsia="Calibri"/>
          <w:szCs w:val="24"/>
        </w:rPr>
        <w:t xml:space="preserve">ine </w:t>
      </w:r>
      <w:r w:rsidR="00CB38C9" w:rsidRPr="003B4362">
        <w:rPr>
          <w:rFonts w:eastAsia="Calibri"/>
          <w:szCs w:val="24"/>
        </w:rPr>
        <w:t>Known to or Potentially C</w:t>
      </w:r>
      <w:r w:rsidRPr="003B4362">
        <w:rPr>
          <w:rFonts w:eastAsia="Calibri"/>
          <w:szCs w:val="24"/>
        </w:rPr>
        <w:t xml:space="preserve">ontaining </w:t>
      </w:r>
      <w:r w:rsidR="00CB38C9" w:rsidRPr="003B4362">
        <w:rPr>
          <w:rFonts w:eastAsia="Calibri"/>
          <w:szCs w:val="24"/>
        </w:rPr>
        <w:t>L</w:t>
      </w:r>
      <w:r w:rsidRPr="003B4362">
        <w:rPr>
          <w:rFonts w:eastAsia="Calibri"/>
          <w:szCs w:val="24"/>
        </w:rPr>
        <w:t>ead</w:t>
      </w:r>
      <w:bookmarkEnd w:id="1873"/>
      <w:bookmarkEnd w:id="1874"/>
    </w:p>
    <w:p w14:paraId="432F6208" w14:textId="59C5034F"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r>
      <w:bookmarkStart w:id="1875" w:name="_Hlk120635211"/>
      <w:r w:rsidR="002843B1" w:rsidRPr="003B4362">
        <w:rPr>
          <w:rFonts w:eastAsia="Calibri"/>
          <w:szCs w:val="24"/>
        </w:rPr>
        <w:t>A</w:t>
      </w:r>
      <w:bookmarkStart w:id="1876" w:name="_Hlk120635498"/>
      <w:r w:rsidR="002843B1" w:rsidRPr="003B4362">
        <w:rPr>
          <w:rFonts w:eastAsia="Calibri"/>
          <w:szCs w:val="24"/>
        </w:rPr>
        <w:t xml:space="preserve"> supplier</w:t>
      </w:r>
      <w:r w:rsidRPr="003B4362">
        <w:rPr>
          <w:rFonts w:eastAsia="Calibri"/>
          <w:szCs w:val="24"/>
        </w:rPr>
        <w:t xml:space="preserve"> </w:t>
      </w:r>
      <w:r w:rsidR="002843B1" w:rsidRPr="003B4362">
        <w:rPr>
          <w:rFonts w:eastAsia="Calibri"/>
          <w:szCs w:val="24"/>
        </w:rPr>
        <w:t>disturbing</w:t>
      </w:r>
      <w:r w:rsidRPr="003B4362">
        <w:rPr>
          <w:rFonts w:eastAsia="Calibri"/>
          <w:szCs w:val="24"/>
        </w:rPr>
        <w:t xml:space="preserve"> a </w:t>
      </w:r>
      <w:r w:rsidR="00406AF3" w:rsidRPr="003B4362">
        <w:rPr>
          <w:rFonts w:eastAsia="Calibri"/>
          <w:szCs w:val="24"/>
        </w:rPr>
        <w:t>lead, galvanized requiring replacement, or lead status u</w:t>
      </w:r>
      <w:r w:rsidRPr="003B4362">
        <w:rPr>
          <w:rFonts w:eastAsia="Calibri"/>
          <w:szCs w:val="24"/>
        </w:rPr>
        <w:t>nknown service lin</w:t>
      </w:r>
      <w:r w:rsidR="002843B1" w:rsidRPr="003B4362">
        <w:rPr>
          <w:rFonts w:eastAsia="Calibri"/>
          <w:szCs w:val="24"/>
        </w:rPr>
        <w:t>e</w:t>
      </w:r>
      <w:bookmarkEnd w:id="1875"/>
      <w:bookmarkEnd w:id="1876"/>
      <w:r w:rsidRPr="003B4362">
        <w:rPr>
          <w:rFonts w:eastAsia="Calibri"/>
          <w:szCs w:val="24"/>
        </w:rPr>
        <w:t xml:space="preserve"> </w:t>
      </w:r>
      <w:bookmarkStart w:id="1877" w:name="_Hlk120635681"/>
      <w:r w:rsidR="00CC2E2A" w:rsidRPr="003B4362">
        <w:rPr>
          <w:rFonts w:eastAsia="Calibri"/>
          <w:szCs w:val="24"/>
        </w:rPr>
        <w:t>by</w:t>
      </w:r>
      <w:r w:rsidRPr="003B4362">
        <w:rPr>
          <w:rFonts w:eastAsia="Calibri"/>
          <w:szCs w:val="24"/>
        </w:rPr>
        <w:t xml:space="preserve"> </w:t>
      </w:r>
      <w:r w:rsidR="00604DC4" w:rsidRPr="003B4362">
        <w:rPr>
          <w:rFonts w:eastAsia="Calibri"/>
          <w:szCs w:val="24"/>
        </w:rPr>
        <w:t>a</w:t>
      </w:r>
      <w:r w:rsidRPr="003B4362">
        <w:rPr>
          <w:rFonts w:eastAsia="Calibri"/>
          <w:szCs w:val="24"/>
        </w:rPr>
        <w:t xml:space="preserve"> water</w:t>
      </w:r>
      <w:r w:rsidR="00604DC4" w:rsidRPr="003B4362">
        <w:rPr>
          <w:rFonts w:eastAsia="Calibri"/>
          <w:szCs w:val="24"/>
        </w:rPr>
        <w:t xml:space="preserve"> shutoff or bypass</w:t>
      </w:r>
      <w:r w:rsidRPr="003B4362">
        <w:rPr>
          <w:rFonts w:eastAsia="Calibri"/>
          <w:szCs w:val="24"/>
        </w:rPr>
        <w:t xml:space="preserve"> </w:t>
      </w:r>
      <w:r w:rsidR="00CC2E2A" w:rsidRPr="003B4362">
        <w:rPr>
          <w:rFonts w:eastAsia="Calibri"/>
          <w:szCs w:val="24"/>
        </w:rPr>
        <w:t>to</w:t>
      </w:r>
      <w:r w:rsidRPr="003B4362">
        <w:rPr>
          <w:rFonts w:eastAsia="Calibri"/>
          <w:szCs w:val="24"/>
        </w:rPr>
        <w:t xml:space="preserve"> </w:t>
      </w:r>
      <w:r w:rsidR="00CE0F6A" w:rsidRPr="003B4362">
        <w:rPr>
          <w:rFonts w:eastAsia="Calibri"/>
          <w:szCs w:val="24"/>
        </w:rPr>
        <w:t>the</w:t>
      </w:r>
      <w:r w:rsidRPr="003B4362">
        <w:rPr>
          <w:rFonts w:eastAsia="Calibri"/>
          <w:szCs w:val="24"/>
        </w:rPr>
        <w:t xml:space="preserve"> service line</w:t>
      </w:r>
      <w:bookmarkEnd w:id="1877"/>
      <w:r w:rsidRPr="003B4362">
        <w:rPr>
          <w:rFonts w:eastAsia="Calibri"/>
          <w:szCs w:val="24"/>
        </w:rPr>
        <w:t xml:space="preserve">, </w:t>
      </w:r>
      <w:bookmarkStart w:id="1878" w:name="_Hlk120637629"/>
      <w:r w:rsidR="00C25B6F" w:rsidRPr="003B4362">
        <w:rPr>
          <w:rFonts w:eastAsia="Calibri"/>
          <w:szCs w:val="24"/>
        </w:rPr>
        <w:t>such as</w:t>
      </w:r>
      <w:r w:rsidRPr="003B4362">
        <w:rPr>
          <w:rFonts w:eastAsia="Calibri"/>
          <w:szCs w:val="24"/>
        </w:rPr>
        <w:t xml:space="preserve"> operating a valve on </w:t>
      </w:r>
      <w:r w:rsidR="00CC2E2A" w:rsidRPr="003B4362">
        <w:rPr>
          <w:rFonts w:eastAsia="Calibri"/>
          <w:szCs w:val="24"/>
        </w:rPr>
        <w:t>the</w:t>
      </w:r>
      <w:r w:rsidRPr="003B4362">
        <w:rPr>
          <w:rFonts w:eastAsia="Calibri"/>
          <w:szCs w:val="24"/>
        </w:rPr>
        <w:t xml:space="preserve"> service line or meter setter</w:t>
      </w:r>
      <w:bookmarkEnd w:id="1878"/>
      <w:r w:rsidRPr="003B4362">
        <w:rPr>
          <w:rFonts w:eastAsia="Calibri"/>
          <w:szCs w:val="24"/>
        </w:rPr>
        <w:t>,</w:t>
      </w:r>
      <w:bookmarkStart w:id="1879" w:name="_Hlk120638307"/>
      <w:r w:rsidR="00F852CF" w:rsidRPr="003B4362">
        <w:rPr>
          <w:rFonts w:eastAsia="Calibri"/>
          <w:szCs w:val="24"/>
        </w:rPr>
        <w:t xml:space="preserve"> </w:t>
      </w:r>
      <w:bookmarkStart w:id="1880" w:name="_Hlk120638604"/>
      <w:r w:rsidRPr="003B4362">
        <w:rPr>
          <w:rFonts w:eastAsia="Calibri"/>
          <w:szCs w:val="24"/>
        </w:rPr>
        <w:t>without</w:t>
      </w:r>
      <w:r w:rsidR="00F852CF" w:rsidRPr="003B4362">
        <w:rPr>
          <w:rFonts w:eastAsia="Calibri"/>
          <w:szCs w:val="24"/>
        </w:rPr>
        <w:t xml:space="preserve"> </w:t>
      </w:r>
      <w:r w:rsidRPr="003B4362">
        <w:rPr>
          <w:rFonts w:eastAsia="Calibri"/>
          <w:szCs w:val="24"/>
        </w:rPr>
        <w:t>partial</w:t>
      </w:r>
      <w:r w:rsidR="00F852CF" w:rsidRPr="003B4362">
        <w:rPr>
          <w:rFonts w:eastAsia="Calibri"/>
          <w:szCs w:val="24"/>
        </w:rPr>
        <w:t>ly</w:t>
      </w:r>
      <w:r w:rsidRPr="003B4362">
        <w:rPr>
          <w:rFonts w:eastAsia="Calibri"/>
          <w:szCs w:val="24"/>
        </w:rPr>
        <w:t xml:space="preserve"> or full</w:t>
      </w:r>
      <w:r w:rsidR="00F852CF" w:rsidRPr="003B4362">
        <w:rPr>
          <w:rFonts w:eastAsia="Calibri"/>
          <w:szCs w:val="24"/>
        </w:rPr>
        <w:t>y</w:t>
      </w:r>
      <w:r w:rsidRPr="003B4362">
        <w:rPr>
          <w:rFonts w:eastAsia="Calibri"/>
          <w:szCs w:val="24"/>
        </w:rPr>
        <w:t xml:space="preserve"> </w:t>
      </w:r>
      <w:r w:rsidR="00F852CF" w:rsidRPr="003B4362">
        <w:rPr>
          <w:rFonts w:eastAsia="Calibri"/>
          <w:szCs w:val="24"/>
        </w:rPr>
        <w:t xml:space="preserve">replacing the </w:t>
      </w:r>
      <w:r w:rsidRPr="003B4362">
        <w:rPr>
          <w:rFonts w:eastAsia="Calibri"/>
          <w:szCs w:val="24"/>
        </w:rPr>
        <w:t>lead service line</w:t>
      </w:r>
      <w:bookmarkEnd w:id="1879"/>
      <w:bookmarkEnd w:id="1880"/>
      <w:r w:rsidR="00F852CF" w:rsidRPr="003B4362">
        <w:rPr>
          <w:rFonts w:eastAsia="Calibri"/>
          <w:szCs w:val="24"/>
        </w:rPr>
        <w:t xml:space="preserve"> </w:t>
      </w:r>
      <w:bookmarkStart w:id="1881" w:name="_Hlk120639317"/>
      <w:r w:rsidRPr="003B4362">
        <w:rPr>
          <w:rFonts w:eastAsia="Calibri"/>
          <w:szCs w:val="24"/>
        </w:rPr>
        <w:t xml:space="preserve">must </w:t>
      </w:r>
      <w:r w:rsidR="00745485" w:rsidRPr="003B4362">
        <w:rPr>
          <w:rFonts w:eastAsia="Calibri"/>
          <w:szCs w:val="24"/>
        </w:rPr>
        <w:t>inform</w:t>
      </w:r>
      <w:r w:rsidRPr="003B4362">
        <w:rPr>
          <w:rFonts w:eastAsia="Calibri"/>
          <w:szCs w:val="24"/>
        </w:rPr>
        <w:t xml:space="preserve"> the persons </w:t>
      </w:r>
      <w:r w:rsidR="00745485" w:rsidRPr="003B4362">
        <w:rPr>
          <w:rFonts w:eastAsia="Calibri"/>
          <w:szCs w:val="24"/>
        </w:rPr>
        <w:t xml:space="preserve">the supplier </w:t>
      </w:r>
      <w:r w:rsidRPr="003B4362">
        <w:rPr>
          <w:rFonts w:eastAsia="Calibri"/>
          <w:szCs w:val="24"/>
        </w:rPr>
        <w:t>serve</w:t>
      </w:r>
      <w:r w:rsidR="00745485" w:rsidRPr="003B4362">
        <w:rPr>
          <w:rFonts w:eastAsia="Calibri"/>
          <w:szCs w:val="24"/>
        </w:rPr>
        <w:t>s</w:t>
      </w:r>
      <w:r w:rsidRPr="003B4362">
        <w:rPr>
          <w:rFonts w:eastAsia="Calibri"/>
          <w:szCs w:val="24"/>
        </w:rPr>
        <w:t xml:space="preserve"> </w:t>
      </w:r>
      <w:r w:rsidR="00745485" w:rsidRPr="003B4362">
        <w:rPr>
          <w:rFonts w:eastAsia="Calibri"/>
          <w:szCs w:val="24"/>
        </w:rPr>
        <w:t>through</w:t>
      </w:r>
      <w:r w:rsidRPr="003B4362">
        <w:rPr>
          <w:rFonts w:eastAsia="Calibri"/>
          <w:szCs w:val="24"/>
        </w:rPr>
        <w:t xml:space="preserve"> the service connection</w:t>
      </w:r>
      <w:r w:rsidR="00BA1EBA" w:rsidRPr="003B4362">
        <w:rPr>
          <w:rFonts w:eastAsia="Calibri"/>
          <w:szCs w:val="24"/>
        </w:rPr>
        <w:t xml:space="preserve"> </w:t>
      </w:r>
      <w:r w:rsidRPr="003B4362">
        <w:rPr>
          <w:rFonts w:eastAsia="Calibri"/>
          <w:szCs w:val="24"/>
        </w:rPr>
        <w:t>about the potential</w:t>
      </w:r>
      <w:bookmarkEnd w:id="1881"/>
      <w:r w:rsidRPr="003B4362">
        <w:rPr>
          <w:rFonts w:eastAsia="Calibri"/>
          <w:szCs w:val="24"/>
        </w:rPr>
        <w:t xml:space="preserve"> for </w:t>
      </w:r>
      <w:bookmarkStart w:id="1882" w:name="_Hlk120640126"/>
      <w:r w:rsidR="00BA1EBA" w:rsidRPr="003B4362">
        <w:rPr>
          <w:rFonts w:eastAsia="Calibri"/>
          <w:szCs w:val="24"/>
        </w:rPr>
        <w:t xml:space="preserve">an </w:t>
      </w:r>
      <w:bookmarkStart w:id="1883" w:name="_Hlk120640389"/>
      <w:r w:rsidRPr="003B4362">
        <w:rPr>
          <w:rFonts w:eastAsia="Calibri"/>
          <w:szCs w:val="24"/>
        </w:rPr>
        <w:t xml:space="preserve">elevated lead </w:t>
      </w:r>
      <w:r w:rsidR="00BA1EBA" w:rsidRPr="003B4362">
        <w:rPr>
          <w:rFonts w:eastAsia="Calibri"/>
          <w:szCs w:val="24"/>
        </w:rPr>
        <w:t>concentration</w:t>
      </w:r>
      <w:r w:rsidRPr="003B4362">
        <w:rPr>
          <w:rFonts w:eastAsia="Calibri"/>
          <w:szCs w:val="24"/>
        </w:rPr>
        <w:t xml:space="preserve"> in </w:t>
      </w:r>
      <w:r w:rsidR="00BA1EBA" w:rsidRPr="003B4362">
        <w:rPr>
          <w:rFonts w:eastAsia="Calibri"/>
          <w:szCs w:val="24"/>
        </w:rPr>
        <w:t xml:space="preserve">their </w:t>
      </w:r>
      <w:r w:rsidRPr="003B4362">
        <w:rPr>
          <w:rFonts w:eastAsia="Calibri"/>
          <w:szCs w:val="24"/>
        </w:rPr>
        <w:t xml:space="preserve">drinking water </w:t>
      </w:r>
      <w:r w:rsidR="00BA1EBA" w:rsidRPr="003B4362">
        <w:rPr>
          <w:rFonts w:eastAsia="Calibri"/>
          <w:szCs w:val="24"/>
        </w:rPr>
        <w:t>due to</w:t>
      </w:r>
      <w:r w:rsidRPr="003B4362">
        <w:rPr>
          <w:rFonts w:eastAsia="Calibri"/>
          <w:szCs w:val="24"/>
        </w:rPr>
        <w:t xml:space="preserve"> the </w:t>
      </w:r>
      <w:r w:rsidR="00BA1EBA" w:rsidRPr="003B4362">
        <w:rPr>
          <w:rFonts w:eastAsia="Calibri"/>
          <w:szCs w:val="24"/>
        </w:rPr>
        <w:t>supplier disturbing the service line</w:t>
      </w:r>
      <w:bookmarkEnd w:id="1883"/>
      <w:r w:rsidR="00BA1EBA" w:rsidRPr="003B4362">
        <w:rPr>
          <w:rFonts w:eastAsia="Calibri"/>
          <w:szCs w:val="24"/>
        </w:rPr>
        <w:t xml:space="preserve">, </w:t>
      </w:r>
      <w:bookmarkStart w:id="1884" w:name="_Hlk120640750"/>
      <w:bookmarkEnd w:id="1882"/>
      <w:r w:rsidR="00BA1EBA" w:rsidRPr="003B4362">
        <w:rPr>
          <w:rFonts w:eastAsia="Calibri"/>
          <w:szCs w:val="24"/>
        </w:rPr>
        <w:t>including</w:t>
      </w:r>
      <w:r w:rsidRPr="003B4362">
        <w:rPr>
          <w:rFonts w:eastAsia="Calibri"/>
          <w:szCs w:val="24"/>
        </w:rPr>
        <w:t xml:space="preserve"> instructions for</w:t>
      </w:r>
      <w:r w:rsidR="000278ED" w:rsidRPr="003B4362">
        <w:rPr>
          <w:rFonts w:eastAsia="Calibri"/>
          <w:szCs w:val="24"/>
        </w:rPr>
        <w:t xml:space="preserve"> </w:t>
      </w:r>
      <w:r w:rsidRPr="003B4362">
        <w:rPr>
          <w:rFonts w:eastAsia="Calibri"/>
          <w:szCs w:val="24"/>
        </w:rPr>
        <w:t>flushing</w:t>
      </w:r>
      <w:r w:rsidR="000278ED" w:rsidRPr="003B4362">
        <w:rPr>
          <w:rFonts w:eastAsia="Calibri"/>
          <w:szCs w:val="24"/>
        </w:rPr>
        <w:t xml:space="preserve"> </w:t>
      </w:r>
      <w:r w:rsidRPr="003B4362">
        <w:rPr>
          <w:rFonts w:eastAsia="Calibri"/>
          <w:szCs w:val="24"/>
        </w:rPr>
        <w:t>to remove</w:t>
      </w:r>
      <w:bookmarkEnd w:id="1884"/>
      <w:r w:rsidRPr="003B4362">
        <w:rPr>
          <w:rFonts w:eastAsia="Calibri"/>
          <w:szCs w:val="24"/>
        </w:rPr>
        <w:t xml:space="preserve"> particulate lead.  T</w:t>
      </w:r>
      <w:bookmarkStart w:id="1885" w:name="_Hlk120640806"/>
      <w:r w:rsidRPr="003B4362">
        <w:rPr>
          <w:rFonts w:eastAsia="Calibri"/>
          <w:szCs w:val="24"/>
        </w:rPr>
        <w:t xml:space="preserve">he </w:t>
      </w:r>
      <w:r w:rsidR="000278ED" w:rsidRPr="003B4362">
        <w:rPr>
          <w:rFonts w:eastAsia="Calibri"/>
          <w:szCs w:val="24"/>
        </w:rPr>
        <w:t>supplier</w:t>
      </w:r>
      <w:r w:rsidRPr="003B4362">
        <w:rPr>
          <w:rFonts w:eastAsia="Calibri"/>
          <w:szCs w:val="24"/>
        </w:rPr>
        <w:t xml:space="preserve"> must comply with</w:t>
      </w:r>
      <w:r w:rsidR="000278ED" w:rsidRPr="003B4362">
        <w:rPr>
          <w:rFonts w:eastAsia="Calibri"/>
          <w:szCs w:val="24"/>
        </w:rPr>
        <w:t xml:space="preserve"> </w:t>
      </w:r>
      <w:r w:rsidRPr="003B4362">
        <w:rPr>
          <w:rFonts w:eastAsia="Calibri"/>
          <w:szCs w:val="24"/>
        </w:rPr>
        <w:t>this subsection (f)(1)</w:t>
      </w:r>
      <w:bookmarkEnd w:id="1885"/>
      <w:r w:rsidRPr="003B4362">
        <w:rPr>
          <w:rFonts w:eastAsia="Calibri"/>
          <w:szCs w:val="24"/>
        </w:rPr>
        <w:t xml:space="preserve"> </w:t>
      </w:r>
      <w:bookmarkStart w:id="1886" w:name="_Hlk120640936"/>
      <w:r w:rsidRPr="003B4362">
        <w:rPr>
          <w:rFonts w:eastAsia="Calibri"/>
          <w:szCs w:val="24"/>
        </w:rPr>
        <w:t xml:space="preserve">before </w:t>
      </w:r>
      <w:r w:rsidR="000278ED" w:rsidRPr="003B4362">
        <w:rPr>
          <w:rFonts w:eastAsia="Calibri"/>
          <w:szCs w:val="24"/>
        </w:rPr>
        <w:t xml:space="preserve">returning </w:t>
      </w:r>
      <w:r w:rsidRPr="003B4362">
        <w:rPr>
          <w:rFonts w:eastAsia="Calibri"/>
          <w:szCs w:val="24"/>
        </w:rPr>
        <w:t>the affected service line</w:t>
      </w:r>
      <w:r w:rsidR="000278ED" w:rsidRPr="003B4362">
        <w:rPr>
          <w:rFonts w:eastAsia="Calibri"/>
          <w:szCs w:val="24"/>
        </w:rPr>
        <w:t xml:space="preserve"> </w:t>
      </w:r>
      <w:r w:rsidRPr="003B4362">
        <w:rPr>
          <w:rFonts w:eastAsia="Calibri"/>
          <w:szCs w:val="24"/>
        </w:rPr>
        <w:t>to service</w:t>
      </w:r>
      <w:bookmarkEnd w:id="1886"/>
      <w:r w:rsidRPr="003B4362">
        <w:rPr>
          <w:rFonts w:eastAsia="Calibri"/>
          <w:szCs w:val="24"/>
        </w:rPr>
        <w:t>.</w:t>
      </w:r>
    </w:p>
    <w:p w14:paraId="0BD0B2D0" w14:textId="0E51ACBE"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I</w:t>
      </w:r>
      <w:bookmarkStart w:id="1887" w:name="_Hlk120641395"/>
      <w:r w:rsidRPr="003B4362">
        <w:rPr>
          <w:rFonts w:eastAsia="Calibri"/>
          <w:szCs w:val="24"/>
        </w:rPr>
        <w:t xml:space="preserve">f </w:t>
      </w:r>
      <w:r w:rsidR="00B4772D" w:rsidRPr="003B4362">
        <w:rPr>
          <w:rFonts w:eastAsia="Calibri"/>
          <w:szCs w:val="24"/>
        </w:rPr>
        <w:t>a supplier disturbs</w:t>
      </w:r>
      <w:r w:rsidRPr="003B4362">
        <w:rPr>
          <w:rFonts w:eastAsia="Calibri"/>
          <w:szCs w:val="24"/>
        </w:rPr>
        <w:t xml:space="preserve"> a </w:t>
      </w:r>
      <w:r w:rsidR="00406AF3" w:rsidRPr="003B4362">
        <w:rPr>
          <w:rFonts w:eastAsia="Calibri"/>
          <w:szCs w:val="24"/>
        </w:rPr>
        <w:t>lead, galvanized requiring replacement, or lead status un</w:t>
      </w:r>
      <w:r w:rsidRPr="003B4362">
        <w:rPr>
          <w:rFonts w:eastAsia="Calibri"/>
          <w:szCs w:val="24"/>
        </w:rPr>
        <w:t xml:space="preserve">known service line </w:t>
      </w:r>
      <w:r w:rsidR="00B4772D" w:rsidRPr="003B4362">
        <w:rPr>
          <w:rFonts w:eastAsia="Calibri"/>
          <w:szCs w:val="24"/>
        </w:rPr>
        <w:t>while replacing</w:t>
      </w:r>
      <w:r w:rsidRPr="003B4362">
        <w:rPr>
          <w:rFonts w:eastAsia="Calibri"/>
          <w:szCs w:val="24"/>
        </w:rPr>
        <w:t xml:space="preserve"> an inline water meter</w:t>
      </w:r>
      <w:bookmarkEnd w:id="1887"/>
      <w:r w:rsidRPr="003B4362">
        <w:rPr>
          <w:rFonts w:eastAsia="Calibri"/>
          <w:szCs w:val="24"/>
        </w:rPr>
        <w:t>, a water meter setter, or gooseneck, pigtail, or connector, t</w:t>
      </w:r>
      <w:bookmarkStart w:id="1888" w:name="_Hlk120642857"/>
      <w:r w:rsidRPr="003B4362">
        <w:rPr>
          <w:rFonts w:eastAsia="Calibri"/>
          <w:szCs w:val="24"/>
        </w:rPr>
        <w:t xml:space="preserve">he </w:t>
      </w:r>
      <w:r w:rsidR="00362F2D" w:rsidRPr="003B4362">
        <w:rPr>
          <w:rFonts w:eastAsia="Calibri"/>
          <w:szCs w:val="24"/>
        </w:rPr>
        <w:t>supplier</w:t>
      </w:r>
      <w:r w:rsidRPr="003B4362">
        <w:rPr>
          <w:rFonts w:eastAsia="Calibri"/>
          <w:szCs w:val="24"/>
        </w:rPr>
        <w:t xml:space="preserve"> must </w:t>
      </w:r>
      <w:bookmarkEnd w:id="1888"/>
      <w:r w:rsidR="008405BB" w:rsidRPr="003B4362">
        <w:rPr>
          <w:rFonts w:eastAsia="Calibri"/>
          <w:szCs w:val="24"/>
        </w:rPr>
        <w:t>inform the persons the supplier serves through the service connection about the potential</w:t>
      </w:r>
      <w:r w:rsidRPr="003B4362">
        <w:rPr>
          <w:rFonts w:eastAsia="Calibri"/>
          <w:szCs w:val="24"/>
        </w:rPr>
        <w:t xml:space="preserve"> </w:t>
      </w:r>
      <w:r w:rsidR="008405BB" w:rsidRPr="003B4362">
        <w:rPr>
          <w:rFonts w:eastAsia="Calibri"/>
          <w:szCs w:val="24"/>
        </w:rPr>
        <w:t>for an elevated lead concentration in their drinking water due to the supplier disturbing the service line</w:t>
      </w:r>
      <w:r w:rsidRPr="003B4362">
        <w:rPr>
          <w:rFonts w:eastAsia="Calibri"/>
          <w:szCs w:val="24"/>
        </w:rPr>
        <w:t xml:space="preserve">, </w:t>
      </w:r>
      <w:bookmarkStart w:id="1889" w:name="_Hlk120643696"/>
      <w:r w:rsidR="008405BB" w:rsidRPr="003B4362">
        <w:rPr>
          <w:rFonts w:eastAsia="Calibri"/>
          <w:szCs w:val="24"/>
        </w:rPr>
        <w:t xml:space="preserve">provide </w:t>
      </w:r>
      <w:r w:rsidRPr="003B4362">
        <w:rPr>
          <w:rFonts w:eastAsia="Calibri"/>
          <w:szCs w:val="24"/>
        </w:rPr>
        <w:t xml:space="preserve">public education materials </w:t>
      </w:r>
      <w:r w:rsidR="008405BB" w:rsidRPr="003B4362">
        <w:rPr>
          <w:rFonts w:eastAsia="Calibri"/>
          <w:szCs w:val="24"/>
        </w:rPr>
        <w:t>complying with</w:t>
      </w:r>
      <w:r w:rsidRPr="003B4362">
        <w:rPr>
          <w:rFonts w:eastAsia="Calibri"/>
          <w:szCs w:val="24"/>
        </w:rPr>
        <w:t xml:space="preserve"> subsection (a)</w:t>
      </w:r>
      <w:bookmarkEnd w:id="1889"/>
      <w:r w:rsidRPr="003B4362">
        <w:rPr>
          <w:rFonts w:eastAsia="Calibri"/>
          <w:szCs w:val="24"/>
        </w:rPr>
        <w:t xml:space="preserve">, a pitcher filter or </w:t>
      </w:r>
      <w:bookmarkStart w:id="1890" w:name="_Hlk120647342"/>
      <w:r w:rsidRPr="003B4362">
        <w:rPr>
          <w:rFonts w:eastAsia="Calibri"/>
          <w:szCs w:val="24"/>
        </w:rPr>
        <w:t xml:space="preserve">point-of-use </w:t>
      </w:r>
      <w:r w:rsidR="00C9079D" w:rsidRPr="003B4362">
        <w:rPr>
          <w:rFonts w:eastAsia="Calibri"/>
          <w:szCs w:val="24"/>
        </w:rPr>
        <w:t xml:space="preserve">treatment </w:t>
      </w:r>
      <w:r w:rsidRPr="003B4362">
        <w:rPr>
          <w:rFonts w:eastAsia="Calibri"/>
          <w:szCs w:val="24"/>
        </w:rPr>
        <w:t>device</w:t>
      </w:r>
      <w:bookmarkStart w:id="1891" w:name="_Hlk120643921"/>
      <w:bookmarkEnd w:id="1890"/>
      <w:r w:rsidR="00C9079D" w:rsidRPr="003B4362">
        <w:rPr>
          <w:rFonts w:eastAsia="Calibri"/>
          <w:szCs w:val="24"/>
        </w:rPr>
        <w:t xml:space="preserve"> </w:t>
      </w:r>
      <w:r w:rsidRPr="003B4362">
        <w:rPr>
          <w:rFonts w:eastAsia="Calibri"/>
          <w:szCs w:val="24"/>
        </w:rPr>
        <w:t>to reduce lead</w:t>
      </w:r>
      <w:bookmarkEnd w:id="1891"/>
      <w:r w:rsidRPr="003B4362">
        <w:rPr>
          <w:rFonts w:eastAsia="Calibri"/>
          <w:szCs w:val="24"/>
        </w:rPr>
        <w:t xml:space="preserve">, </w:t>
      </w:r>
      <w:bookmarkStart w:id="1892" w:name="_Hlk120647522"/>
      <w:r w:rsidR="00C9079D" w:rsidRPr="003B4362">
        <w:rPr>
          <w:rFonts w:eastAsia="Calibri"/>
          <w:szCs w:val="24"/>
        </w:rPr>
        <w:t xml:space="preserve">use </w:t>
      </w:r>
      <w:r w:rsidRPr="003B4362">
        <w:rPr>
          <w:rFonts w:eastAsia="Calibri"/>
          <w:szCs w:val="24"/>
        </w:rPr>
        <w:t>instructions</w:t>
      </w:r>
      <w:bookmarkEnd w:id="1892"/>
      <w:r w:rsidRPr="003B4362">
        <w:rPr>
          <w:rFonts w:eastAsia="Calibri"/>
          <w:szCs w:val="24"/>
        </w:rPr>
        <w:t xml:space="preserve">, and </w:t>
      </w:r>
      <w:bookmarkStart w:id="1893" w:name="_Hlk120647775"/>
      <w:r w:rsidRPr="003B4362">
        <w:rPr>
          <w:rFonts w:eastAsia="Calibri"/>
          <w:szCs w:val="24"/>
        </w:rPr>
        <w:t xml:space="preserve">six months of </w:t>
      </w:r>
      <w:r w:rsidR="00C9079D" w:rsidRPr="003B4362">
        <w:rPr>
          <w:rFonts w:eastAsia="Calibri"/>
          <w:szCs w:val="24"/>
        </w:rPr>
        <w:t xml:space="preserve">replacement </w:t>
      </w:r>
      <w:r w:rsidRPr="003B4362">
        <w:rPr>
          <w:rFonts w:eastAsia="Calibri"/>
          <w:szCs w:val="24"/>
        </w:rPr>
        <w:lastRenderedPageBreak/>
        <w:t>filter cartridges</w:t>
      </w:r>
      <w:bookmarkEnd w:id="1893"/>
      <w:r w:rsidRPr="003B4362">
        <w:rPr>
          <w:rFonts w:eastAsia="Calibri"/>
          <w:szCs w:val="24"/>
        </w:rPr>
        <w:t xml:space="preserve">.  The </w:t>
      </w:r>
      <w:r w:rsidR="00657067" w:rsidRPr="003B4362">
        <w:rPr>
          <w:rFonts w:eastAsia="Calibri"/>
          <w:szCs w:val="24"/>
        </w:rPr>
        <w:t>supplier</w:t>
      </w:r>
      <w:r w:rsidRPr="003B4362">
        <w:rPr>
          <w:rFonts w:eastAsia="Calibri"/>
          <w:szCs w:val="24"/>
        </w:rPr>
        <w:t xml:space="preserve"> must </w:t>
      </w:r>
      <w:bookmarkStart w:id="1894" w:name="_Hlk120647892"/>
      <w:r w:rsidRPr="003B4362">
        <w:rPr>
          <w:rFonts w:eastAsia="Calibri"/>
          <w:szCs w:val="24"/>
        </w:rPr>
        <w:t>comply with</w:t>
      </w:r>
      <w:r w:rsidR="00657067" w:rsidRPr="003B4362">
        <w:rPr>
          <w:rFonts w:eastAsia="Calibri"/>
          <w:szCs w:val="24"/>
        </w:rPr>
        <w:t xml:space="preserve"> </w:t>
      </w:r>
      <w:r w:rsidRPr="003B4362">
        <w:rPr>
          <w:rFonts w:eastAsia="Calibri"/>
          <w:szCs w:val="24"/>
        </w:rPr>
        <w:t>this subsection (f)(2)</w:t>
      </w:r>
      <w:bookmarkEnd w:id="1894"/>
      <w:r w:rsidRPr="003B4362">
        <w:rPr>
          <w:rFonts w:eastAsia="Calibri"/>
          <w:szCs w:val="24"/>
        </w:rPr>
        <w:t xml:space="preserve"> </w:t>
      </w:r>
      <w:bookmarkStart w:id="1895" w:name="_Hlk120648145"/>
      <w:r w:rsidRPr="003B4362">
        <w:rPr>
          <w:rFonts w:eastAsia="Calibri"/>
          <w:szCs w:val="24"/>
        </w:rPr>
        <w:t xml:space="preserve">before </w:t>
      </w:r>
      <w:r w:rsidR="00657067" w:rsidRPr="003B4362">
        <w:rPr>
          <w:rFonts w:eastAsia="Calibri"/>
          <w:szCs w:val="24"/>
        </w:rPr>
        <w:t xml:space="preserve">returning </w:t>
      </w:r>
      <w:r w:rsidRPr="003B4362">
        <w:rPr>
          <w:rFonts w:eastAsia="Calibri"/>
          <w:szCs w:val="24"/>
        </w:rPr>
        <w:t>the affected service line</w:t>
      </w:r>
      <w:r w:rsidR="0027053A" w:rsidRPr="003B4362">
        <w:rPr>
          <w:rFonts w:eastAsia="Calibri"/>
          <w:szCs w:val="24"/>
        </w:rPr>
        <w:t xml:space="preserve"> </w:t>
      </w:r>
      <w:r w:rsidRPr="003B4362">
        <w:rPr>
          <w:rFonts w:eastAsia="Calibri"/>
          <w:szCs w:val="24"/>
        </w:rPr>
        <w:t>to service</w:t>
      </w:r>
      <w:bookmarkEnd w:id="1895"/>
      <w:r w:rsidRPr="003B4362">
        <w:rPr>
          <w:rFonts w:eastAsia="Calibri"/>
          <w:szCs w:val="24"/>
        </w:rPr>
        <w:t>.</w:t>
      </w:r>
    </w:p>
    <w:p w14:paraId="60688A3C" w14:textId="67A07548"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A</w:t>
      </w:r>
      <w:bookmarkStart w:id="1896" w:name="_Hlk120648643"/>
      <w:bookmarkStart w:id="1897" w:name="_Hlk120648335"/>
      <w:r w:rsidRPr="003B4362">
        <w:rPr>
          <w:rFonts w:eastAsia="Calibri"/>
          <w:szCs w:val="24"/>
        </w:rPr>
        <w:t xml:space="preserve"> </w:t>
      </w:r>
      <w:r w:rsidR="0027053A" w:rsidRPr="003B4362">
        <w:rPr>
          <w:rFonts w:eastAsia="Calibri"/>
          <w:szCs w:val="24"/>
        </w:rPr>
        <w:t>supplier</w:t>
      </w:r>
      <w:r w:rsidRPr="003B4362">
        <w:rPr>
          <w:rFonts w:eastAsia="Calibri"/>
          <w:szCs w:val="24"/>
        </w:rPr>
        <w:t xml:space="preserve"> </w:t>
      </w:r>
      <w:r w:rsidR="0027053A" w:rsidRPr="003B4362">
        <w:rPr>
          <w:rFonts w:eastAsia="Calibri"/>
          <w:szCs w:val="24"/>
        </w:rPr>
        <w:t xml:space="preserve">partially or fully replacing </w:t>
      </w:r>
      <w:r w:rsidRPr="003B4362">
        <w:rPr>
          <w:rFonts w:eastAsia="Calibri"/>
          <w:szCs w:val="24"/>
        </w:rPr>
        <w:t>a lead service</w:t>
      </w:r>
      <w:bookmarkEnd w:id="1896"/>
      <w:r w:rsidRPr="003B4362">
        <w:rPr>
          <w:rFonts w:eastAsia="Calibri"/>
          <w:szCs w:val="24"/>
        </w:rPr>
        <w:t xml:space="preserve"> line </w:t>
      </w:r>
      <w:bookmarkEnd w:id="1897"/>
      <w:r w:rsidRPr="003B4362">
        <w:rPr>
          <w:rFonts w:eastAsia="Calibri"/>
          <w:szCs w:val="24"/>
        </w:rPr>
        <w:t xml:space="preserve">must follow </w:t>
      </w:r>
      <w:bookmarkStart w:id="1898" w:name="_Hlk120648835"/>
      <w:r w:rsidR="00BB27D3" w:rsidRPr="003B4362">
        <w:rPr>
          <w:rFonts w:eastAsia="Calibri"/>
          <w:szCs w:val="24"/>
        </w:rPr>
        <w:t xml:space="preserve">applicable </w:t>
      </w:r>
      <w:r w:rsidRPr="003B4362">
        <w:rPr>
          <w:rFonts w:eastAsia="Calibri"/>
          <w:szCs w:val="24"/>
        </w:rPr>
        <w:t>procedures</w:t>
      </w:r>
      <w:r w:rsidR="00BB27D3" w:rsidRPr="003B4362">
        <w:rPr>
          <w:rFonts w:eastAsia="Calibri"/>
          <w:szCs w:val="24"/>
        </w:rPr>
        <w:t xml:space="preserve"> </w:t>
      </w:r>
      <w:r w:rsidRPr="003B4362">
        <w:rPr>
          <w:rFonts w:eastAsia="Calibri"/>
          <w:szCs w:val="24"/>
        </w:rPr>
        <w:t xml:space="preserve">in Section </w:t>
      </w:r>
      <w:r w:rsidR="00A85A57" w:rsidRPr="003B4362">
        <w:rPr>
          <w:rFonts w:eastAsia="Calibri"/>
          <w:szCs w:val="24"/>
        </w:rPr>
        <w:t>61</w:t>
      </w:r>
      <w:r w:rsidRPr="003B4362">
        <w:rPr>
          <w:rFonts w:eastAsia="Calibri"/>
          <w:szCs w:val="24"/>
        </w:rPr>
        <w:t>1.</w:t>
      </w:r>
      <w:r w:rsidR="00A85A57" w:rsidRPr="003B4362">
        <w:rPr>
          <w:rFonts w:eastAsia="Calibri"/>
          <w:szCs w:val="24"/>
        </w:rPr>
        <w:t>35</w:t>
      </w:r>
      <w:r w:rsidRPr="003B4362">
        <w:rPr>
          <w:rFonts w:eastAsia="Calibri"/>
          <w:szCs w:val="24"/>
        </w:rPr>
        <w:t xml:space="preserve">4(d)(1)(A) through </w:t>
      </w:r>
      <w:r w:rsidR="00BB27D3" w:rsidRPr="003B4362">
        <w:rPr>
          <w:rFonts w:eastAsia="Calibri"/>
          <w:szCs w:val="24"/>
        </w:rPr>
        <w:t>(d)(1)</w:t>
      </w:r>
      <w:r w:rsidRPr="003B4362">
        <w:rPr>
          <w:rFonts w:eastAsia="Calibri"/>
          <w:szCs w:val="24"/>
        </w:rPr>
        <w:t xml:space="preserve">(D) </w:t>
      </w:r>
      <w:r w:rsidR="00BB27D3" w:rsidRPr="003B4362">
        <w:rPr>
          <w:rFonts w:eastAsia="Calibri"/>
          <w:szCs w:val="24"/>
        </w:rPr>
        <w:t>or</w:t>
      </w:r>
      <w:r w:rsidRPr="003B4362">
        <w:rPr>
          <w:rFonts w:eastAsia="Calibri"/>
          <w:szCs w:val="24"/>
        </w:rPr>
        <w:t xml:space="preserve"> (e)(1)(A) through </w:t>
      </w:r>
      <w:r w:rsidR="00BB27D3" w:rsidRPr="003B4362">
        <w:rPr>
          <w:rFonts w:eastAsia="Calibri"/>
          <w:szCs w:val="24"/>
        </w:rPr>
        <w:t>(e)(1)</w:t>
      </w:r>
      <w:r w:rsidRPr="003B4362">
        <w:rPr>
          <w:rFonts w:eastAsia="Calibri"/>
          <w:szCs w:val="24"/>
        </w:rPr>
        <w:t>(D)</w:t>
      </w:r>
      <w:bookmarkEnd w:id="1898"/>
      <w:r w:rsidRPr="003B4362">
        <w:rPr>
          <w:rFonts w:eastAsia="Calibri"/>
          <w:szCs w:val="24"/>
        </w:rPr>
        <w:t>.</w:t>
      </w:r>
    </w:p>
    <w:p w14:paraId="258C143D" w14:textId="27235289" w:rsidR="00F953AD" w:rsidRPr="003B4362" w:rsidRDefault="00F953AD" w:rsidP="00F953AD">
      <w:pPr>
        <w:autoSpaceDE w:val="0"/>
        <w:autoSpaceDN w:val="0"/>
        <w:adjustRightInd w:val="0"/>
        <w:spacing w:before="240" w:after="240"/>
        <w:ind w:left="1440" w:hanging="720"/>
        <w:rPr>
          <w:rFonts w:eastAsia="Calibri"/>
          <w:szCs w:val="24"/>
        </w:rPr>
      </w:pPr>
      <w:r w:rsidRPr="003B4362">
        <w:rPr>
          <w:rFonts w:eastAsia="Calibri"/>
          <w:szCs w:val="24"/>
        </w:rPr>
        <w:t>g)</w:t>
      </w:r>
      <w:r w:rsidRPr="003B4362">
        <w:rPr>
          <w:rFonts w:eastAsia="Calibri"/>
          <w:szCs w:val="24"/>
        </w:rPr>
        <w:tab/>
      </w:r>
      <w:bookmarkStart w:id="1899" w:name="_Hlk120649240"/>
      <w:r w:rsidRPr="003B4362">
        <w:rPr>
          <w:rFonts w:eastAsia="Calibri"/>
          <w:szCs w:val="24"/>
        </w:rPr>
        <w:t xml:space="preserve">Information for </w:t>
      </w:r>
      <w:r w:rsidR="00C568A1" w:rsidRPr="003B4362">
        <w:rPr>
          <w:rFonts w:eastAsia="Calibri"/>
          <w:szCs w:val="24"/>
        </w:rPr>
        <w:t>P</w:t>
      </w:r>
      <w:r w:rsidRPr="003B4362">
        <w:rPr>
          <w:rFonts w:eastAsia="Calibri"/>
          <w:szCs w:val="24"/>
        </w:rPr>
        <w:t xml:space="preserve">ersons </w:t>
      </w:r>
      <w:r w:rsidR="00BB27D3" w:rsidRPr="003B4362">
        <w:rPr>
          <w:rFonts w:eastAsia="Calibri"/>
          <w:szCs w:val="24"/>
        </w:rPr>
        <w:t xml:space="preserve">the </w:t>
      </w:r>
      <w:r w:rsidR="00C568A1" w:rsidRPr="003B4362">
        <w:rPr>
          <w:rFonts w:eastAsia="Calibri"/>
          <w:szCs w:val="24"/>
        </w:rPr>
        <w:t>S</w:t>
      </w:r>
      <w:r w:rsidR="00BB27D3" w:rsidRPr="003B4362">
        <w:rPr>
          <w:rFonts w:eastAsia="Calibri"/>
          <w:szCs w:val="24"/>
        </w:rPr>
        <w:t xml:space="preserve">upplier </w:t>
      </w:r>
      <w:r w:rsidR="00C568A1" w:rsidRPr="003B4362">
        <w:rPr>
          <w:rFonts w:eastAsia="Calibri"/>
          <w:szCs w:val="24"/>
        </w:rPr>
        <w:t>S</w:t>
      </w:r>
      <w:r w:rsidRPr="003B4362">
        <w:rPr>
          <w:rFonts w:eastAsia="Calibri"/>
          <w:szCs w:val="24"/>
        </w:rPr>
        <w:t>erve</w:t>
      </w:r>
      <w:r w:rsidR="00BB27D3" w:rsidRPr="003B4362">
        <w:rPr>
          <w:rFonts w:eastAsia="Calibri"/>
          <w:szCs w:val="24"/>
        </w:rPr>
        <w:t>s</w:t>
      </w:r>
      <w:r w:rsidRPr="003B4362">
        <w:rPr>
          <w:rFonts w:eastAsia="Calibri"/>
          <w:szCs w:val="24"/>
        </w:rPr>
        <w:t xml:space="preserve"> </w:t>
      </w:r>
      <w:r w:rsidR="00C568A1" w:rsidRPr="003B4362">
        <w:rPr>
          <w:rFonts w:eastAsia="Calibri"/>
          <w:szCs w:val="24"/>
        </w:rPr>
        <w:t>T</w:t>
      </w:r>
      <w:r w:rsidR="00BB27D3" w:rsidRPr="003B4362">
        <w:rPr>
          <w:rFonts w:eastAsia="Calibri"/>
          <w:szCs w:val="24"/>
        </w:rPr>
        <w:t>hrough</w:t>
      </w:r>
      <w:r w:rsidRPr="003B4362">
        <w:rPr>
          <w:rFonts w:eastAsia="Calibri"/>
          <w:szCs w:val="24"/>
        </w:rPr>
        <w:t xml:space="preserve"> </w:t>
      </w:r>
      <w:r w:rsidR="00BB27D3" w:rsidRPr="003B4362">
        <w:rPr>
          <w:rFonts w:eastAsia="Calibri"/>
          <w:szCs w:val="24"/>
        </w:rPr>
        <w:t xml:space="preserve">a </w:t>
      </w:r>
      <w:r w:rsidR="00C568A1" w:rsidRPr="003B4362">
        <w:rPr>
          <w:rFonts w:eastAsia="Calibri"/>
          <w:szCs w:val="24"/>
        </w:rPr>
        <w:t>Service Line K</w:t>
      </w:r>
      <w:r w:rsidRPr="003B4362">
        <w:rPr>
          <w:rFonts w:eastAsia="Calibri"/>
          <w:szCs w:val="24"/>
        </w:rPr>
        <w:t xml:space="preserve">nown </w:t>
      </w:r>
      <w:r w:rsidR="00C568A1" w:rsidRPr="003B4362">
        <w:rPr>
          <w:rFonts w:eastAsia="Calibri"/>
          <w:szCs w:val="24"/>
        </w:rPr>
        <w:t xml:space="preserve">to </w:t>
      </w:r>
      <w:r w:rsidRPr="003B4362">
        <w:rPr>
          <w:rFonts w:eastAsia="Calibri"/>
          <w:szCs w:val="24"/>
        </w:rPr>
        <w:t xml:space="preserve">or </w:t>
      </w:r>
      <w:r w:rsidR="00C568A1" w:rsidRPr="003B4362">
        <w:rPr>
          <w:rFonts w:eastAsia="Calibri"/>
          <w:szCs w:val="24"/>
        </w:rPr>
        <w:t>P</w:t>
      </w:r>
      <w:r w:rsidRPr="003B4362">
        <w:rPr>
          <w:rFonts w:eastAsia="Calibri"/>
          <w:szCs w:val="24"/>
        </w:rPr>
        <w:t>otential</w:t>
      </w:r>
      <w:r w:rsidR="00C568A1" w:rsidRPr="003B4362">
        <w:rPr>
          <w:rFonts w:eastAsia="Calibri"/>
          <w:szCs w:val="24"/>
        </w:rPr>
        <w:t>ly</w:t>
      </w:r>
      <w:r w:rsidRPr="003B4362">
        <w:rPr>
          <w:rFonts w:eastAsia="Calibri"/>
          <w:szCs w:val="24"/>
        </w:rPr>
        <w:t xml:space="preserve"> </w:t>
      </w:r>
      <w:r w:rsidR="00C568A1" w:rsidRPr="003B4362">
        <w:rPr>
          <w:rFonts w:eastAsia="Calibri"/>
          <w:szCs w:val="24"/>
        </w:rPr>
        <w:t>C</w:t>
      </w:r>
      <w:r w:rsidRPr="003B4362">
        <w:rPr>
          <w:rFonts w:eastAsia="Calibri"/>
          <w:szCs w:val="24"/>
        </w:rPr>
        <w:t xml:space="preserve">ontaining </w:t>
      </w:r>
      <w:r w:rsidR="00C568A1" w:rsidRPr="003B4362">
        <w:rPr>
          <w:rFonts w:eastAsia="Calibri"/>
          <w:szCs w:val="24"/>
        </w:rPr>
        <w:t>L</w:t>
      </w:r>
      <w:r w:rsidRPr="003B4362">
        <w:rPr>
          <w:rFonts w:eastAsia="Calibri"/>
          <w:szCs w:val="24"/>
        </w:rPr>
        <w:t xml:space="preserve">ead </w:t>
      </w:r>
      <w:r w:rsidR="00C568A1" w:rsidRPr="003B4362">
        <w:rPr>
          <w:rFonts w:eastAsia="Calibri"/>
          <w:szCs w:val="24"/>
        </w:rPr>
        <w:t>W</w:t>
      </w:r>
      <w:r w:rsidRPr="003B4362">
        <w:rPr>
          <w:rFonts w:eastAsia="Calibri"/>
          <w:szCs w:val="24"/>
        </w:rPr>
        <w:t xml:space="preserve">hen </w:t>
      </w:r>
      <w:r w:rsidR="00C568A1" w:rsidRPr="003B4362">
        <w:rPr>
          <w:rFonts w:eastAsia="Calibri"/>
          <w:szCs w:val="24"/>
        </w:rPr>
        <w:t>the Supplier</w:t>
      </w:r>
      <w:r w:rsidRPr="003B4362">
        <w:rPr>
          <w:rFonts w:eastAsia="Calibri"/>
          <w:szCs w:val="24"/>
        </w:rPr>
        <w:t xml:space="preserve"> </w:t>
      </w:r>
      <w:r w:rsidR="00C568A1" w:rsidRPr="003B4362">
        <w:rPr>
          <w:rFonts w:eastAsia="Calibri"/>
          <w:szCs w:val="24"/>
        </w:rPr>
        <w:t>E</w:t>
      </w:r>
      <w:r w:rsidRPr="003B4362">
        <w:rPr>
          <w:rFonts w:eastAsia="Calibri"/>
          <w:szCs w:val="24"/>
        </w:rPr>
        <w:t xml:space="preserve">xceeds the </w:t>
      </w:r>
      <w:r w:rsidR="00C568A1" w:rsidRPr="003B4362">
        <w:rPr>
          <w:rFonts w:eastAsia="Calibri"/>
          <w:szCs w:val="24"/>
        </w:rPr>
        <w:t>L</w:t>
      </w:r>
      <w:r w:rsidRPr="003B4362">
        <w:rPr>
          <w:rFonts w:eastAsia="Calibri"/>
          <w:szCs w:val="24"/>
        </w:rPr>
        <w:t xml:space="preserve">ead </w:t>
      </w:r>
      <w:r w:rsidR="00C568A1" w:rsidRPr="003B4362">
        <w:rPr>
          <w:rFonts w:eastAsia="Calibri"/>
          <w:szCs w:val="24"/>
        </w:rPr>
        <w:t>T</w:t>
      </w:r>
      <w:r w:rsidRPr="003B4362">
        <w:rPr>
          <w:rFonts w:eastAsia="Calibri"/>
          <w:szCs w:val="24"/>
        </w:rPr>
        <w:t xml:space="preserve">rigger </w:t>
      </w:r>
      <w:r w:rsidR="00C568A1" w:rsidRPr="003B4362">
        <w:rPr>
          <w:rFonts w:eastAsia="Calibri"/>
          <w:szCs w:val="24"/>
        </w:rPr>
        <w:t>L</w:t>
      </w:r>
      <w:r w:rsidRPr="003B4362">
        <w:rPr>
          <w:rFonts w:eastAsia="Calibri"/>
          <w:szCs w:val="24"/>
        </w:rPr>
        <w:t>evel</w:t>
      </w:r>
      <w:bookmarkEnd w:id="1899"/>
    </w:p>
    <w:p w14:paraId="09F125FB" w14:textId="53D46882"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Content.  A</w:t>
      </w:r>
      <w:bookmarkStart w:id="1900" w:name="_Hlk120649825"/>
      <w:r w:rsidRPr="003B4362">
        <w:rPr>
          <w:rFonts w:eastAsia="Calibri"/>
          <w:szCs w:val="24"/>
        </w:rPr>
        <w:t xml:space="preserve"> </w:t>
      </w:r>
      <w:r w:rsidR="00C568A1" w:rsidRPr="003B4362">
        <w:rPr>
          <w:rFonts w:eastAsia="Calibri"/>
          <w:szCs w:val="24"/>
        </w:rPr>
        <w:t>supplier</w:t>
      </w:r>
      <w:r w:rsidRPr="003B4362">
        <w:rPr>
          <w:rFonts w:eastAsia="Calibri"/>
          <w:szCs w:val="24"/>
        </w:rPr>
        <w:t xml:space="preserve"> </w:t>
      </w:r>
      <w:r w:rsidR="00C568A1" w:rsidRPr="003B4362">
        <w:rPr>
          <w:rFonts w:eastAsia="Calibri"/>
          <w:szCs w:val="24"/>
        </w:rPr>
        <w:t>having</w:t>
      </w:r>
      <w:r w:rsidRPr="003B4362">
        <w:rPr>
          <w:rFonts w:eastAsia="Calibri"/>
          <w:szCs w:val="24"/>
        </w:rPr>
        <w:t xml:space="preserve"> lead service lines </w:t>
      </w:r>
      <w:r w:rsidR="00D54D8B" w:rsidRPr="003B4362">
        <w:rPr>
          <w:rFonts w:eastAsia="Calibri"/>
          <w:szCs w:val="24"/>
        </w:rPr>
        <w:t xml:space="preserve">and </w:t>
      </w:r>
      <w:r w:rsidRPr="003B4362">
        <w:rPr>
          <w:rFonts w:eastAsia="Calibri"/>
          <w:szCs w:val="24"/>
        </w:rPr>
        <w:t>exceed</w:t>
      </w:r>
      <w:r w:rsidR="00C568A1" w:rsidRPr="003B4362">
        <w:rPr>
          <w:rFonts w:eastAsia="Calibri"/>
          <w:szCs w:val="24"/>
        </w:rPr>
        <w:t>ing</w:t>
      </w:r>
      <w:r w:rsidRPr="003B4362">
        <w:rPr>
          <w:rFonts w:eastAsia="Calibri"/>
          <w:szCs w:val="24"/>
        </w:rPr>
        <w:t xml:space="preserve"> the lead trigger level of 10 </w:t>
      </w:r>
      <w:r w:rsidR="00870D11" w:rsidRPr="003B4362">
        <w:rPr>
          <w:rFonts w:eastAsia="Calibri"/>
          <w:szCs w:val="24"/>
        </w:rPr>
        <w:t>µg</w:t>
      </w:r>
      <w:r w:rsidRPr="003B4362">
        <w:rPr>
          <w:rFonts w:eastAsia="Calibri"/>
          <w:szCs w:val="24"/>
        </w:rPr>
        <w:t>/</w:t>
      </w:r>
      <w:bookmarkEnd w:id="1900"/>
      <w:r w:rsidR="00C25B6F" w:rsidRPr="003B4362">
        <w:t xml:space="preserve"> L</w:t>
      </w:r>
      <w:r w:rsidRPr="003B4362">
        <w:rPr>
          <w:rFonts w:eastAsia="Calibri"/>
          <w:szCs w:val="24"/>
        </w:rPr>
        <w:t xml:space="preserve"> must </w:t>
      </w:r>
      <w:bookmarkStart w:id="1901" w:name="_Hlk120650250"/>
      <w:bookmarkStart w:id="1902" w:name="_Hlk120650728"/>
      <w:r w:rsidR="00D54D8B" w:rsidRPr="003B4362">
        <w:rPr>
          <w:rFonts w:eastAsia="Calibri"/>
          <w:szCs w:val="24"/>
        </w:rPr>
        <w:t>inform</w:t>
      </w:r>
      <w:r w:rsidRPr="003B4362">
        <w:rPr>
          <w:rFonts w:eastAsia="Calibri"/>
          <w:szCs w:val="24"/>
        </w:rPr>
        <w:t xml:space="preserve"> persons </w:t>
      </w:r>
      <w:r w:rsidR="00D54D8B" w:rsidRPr="003B4362">
        <w:rPr>
          <w:rFonts w:eastAsia="Calibri"/>
          <w:szCs w:val="24"/>
        </w:rPr>
        <w:t xml:space="preserve">the supplier </w:t>
      </w:r>
      <w:r w:rsidRPr="003B4362">
        <w:rPr>
          <w:rFonts w:eastAsia="Calibri"/>
          <w:szCs w:val="24"/>
        </w:rPr>
        <w:t>serve</w:t>
      </w:r>
      <w:r w:rsidR="00D54D8B" w:rsidRPr="003B4362">
        <w:rPr>
          <w:rFonts w:eastAsia="Calibri"/>
          <w:szCs w:val="24"/>
        </w:rPr>
        <w:t>s</w:t>
      </w:r>
      <w:r w:rsidRPr="003B4362">
        <w:rPr>
          <w:rFonts w:eastAsia="Calibri"/>
          <w:szCs w:val="24"/>
        </w:rPr>
        <w:t xml:space="preserve"> </w:t>
      </w:r>
      <w:r w:rsidR="00D54D8B" w:rsidRPr="003B4362">
        <w:rPr>
          <w:rFonts w:eastAsia="Calibri"/>
          <w:szCs w:val="24"/>
        </w:rPr>
        <w:t xml:space="preserve">through </w:t>
      </w:r>
      <w:r w:rsidRPr="003B4362">
        <w:rPr>
          <w:rFonts w:eastAsia="Calibri"/>
          <w:szCs w:val="24"/>
        </w:rPr>
        <w:t xml:space="preserve">a </w:t>
      </w:r>
      <w:r w:rsidR="00406AF3" w:rsidRPr="003B4362">
        <w:rPr>
          <w:rFonts w:eastAsia="Calibri"/>
          <w:szCs w:val="24"/>
        </w:rPr>
        <w:t>lead, galvanized requiring replacement, or lead status u</w:t>
      </w:r>
      <w:r w:rsidRPr="003B4362">
        <w:rPr>
          <w:rFonts w:eastAsia="Calibri"/>
          <w:szCs w:val="24"/>
        </w:rPr>
        <w:t>nknown service line</w:t>
      </w:r>
      <w:r w:rsidR="00D54D8B" w:rsidRPr="003B4362">
        <w:rPr>
          <w:rFonts w:eastAsia="Calibri"/>
          <w:szCs w:val="24"/>
        </w:rPr>
        <w:t xml:space="preserve"> </w:t>
      </w:r>
      <w:bookmarkEnd w:id="1901"/>
      <w:r w:rsidR="00D54D8B" w:rsidRPr="003B4362">
        <w:rPr>
          <w:rFonts w:eastAsia="Calibri"/>
          <w:szCs w:val="24"/>
        </w:rPr>
        <w:t>about</w:t>
      </w:r>
      <w:bookmarkEnd w:id="1902"/>
      <w:r w:rsidRPr="003B4362">
        <w:rPr>
          <w:rFonts w:eastAsia="Calibri"/>
          <w:szCs w:val="24"/>
        </w:rPr>
        <w:t xml:space="preserve"> </w:t>
      </w:r>
      <w:bookmarkStart w:id="1903" w:name="_Hlk120650829"/>
      <w:r w:rsidRPr="003B4362">
        <w:rPr>
          <w:rFonts w:eastAsia="Calibri"/>
          <w:szCs w:val="24"/>
        </w:rPr>
        <w:t xml:space="preserve">the </w:t>
      </w:r>
      <w:r w:rsidR="00D54D8B" w:rsidRPr="003B4362">
        <w:rPr>
          <w:rFonts w:eastAsia="Calibri"/>
          <w:szCs w:val="24"/>
        </w:rPr>
        <w:t>supplier</w:t>
      </w:r>
      <w:r w:rsidRPr="003B4362">
        <w:rPr>
          <w:rFonts w:eastAsia="Calibri"/>
          <w:szCs w:val="24"/>
        </w:rPr>
        <w:t>’s</w:t>
      </w:r>
      <w:bookmarkEnd w:id="1903"/>
      <w:r w:rsidRPr="003B4362">
        <w:rPr>
          <w:rFonts w:eastAsia="Calibri"/>
          <w:szCs w:val="24"/>
        </w:rPr>
        <w:t xml:space="preserve"> lead service line replacement program and </w:t>
      </w:r>
      <w:bookmarkStart w:id="1904" w:name="_Hlk120650961"/>
      <w:r w:rsidRPr="003B4362">
        <w:rPr>
          <w:rFonts w:eastAsia="Calibri"/>
          <w:szCs w:val="24"/>
        </w:rPr>
        <w:t>opportunities for replac</w:t>
      </w:r>
      <w:r w:rsidR="00BB10A8" w:rsidRPr="003B4362">
        <w:rPr>
          <w:rFonts w:eastAsia="Calibri"/>
          <w:szCs w:val="24"/>
        </w:rPr>
        <w:t>ing</w:t>
      </w:r>
      <w:r w:rsidRPr="003B4362">
        <w:rPr>
          <w:rFonts w:eastAsia="Calibri"/>
          <w:szCs w:val="24"/>
        </w:rPr>
        <w:t xml:space="preserve"> the </w:t>
      </w:r>
      <w:r w:rsidR="00BB10A8" w:rsidRPr="003B4362">
        <w:rPr>
          <w:rFonts w:eastAsia="Calibri"/>
          <w:szCs w:val="24"/>
        </w:rPr>
        <w:t xml:space="preserve">customer’s </w:t>
      </w:r>
      <w:r w:rsidRPr="003B4362">
        <w:rPr>
          <w:rFonts w:eastAsia="Calibri"/>
          <w:szCs w:val="24"/>
        </w:rPr>
        <w:t>lead service line</w:t>
      </w:r>
      <w:bookmarkEnd w:id="1904"/>
      <w:r w:rsidRPr="003B4362">
        <w:rPr>
          <w:rFonts w:eastAsia="Calibri"/>
          <w:szCs w:val="24"/>
        </w:rPr>
        <w:t>.</w:t>
      </w:r>
    </w:p>
    <w:p w14:paraId="034ABC0B" w14:textId="3C05EECB"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 xml:space="preserve">Timing.  </w:t>
      </w:r>
      <w:bookmarkStart w:id="1905" w:name="_Hlk120651095"/>
      <w:r w:rsidR="00BB10A8" w:rsidRPr="003B4362">
        <w:rPr>
          <w:rFonts w:eastAsia="Calibri"/>
          <w:szCs w:val="24"/>
        </w:rPr>
        <w:t>T</w:t>
      </w:r>
      <w:bookmarkStart w:id="1906" w:name="_Hlk120651184"/>
      <w:r w:rsidR="00BB10A8" w:rsidRPr="003B4362">
        <w:rPr>
          <w:rFonts w:eastAsia="Calibri"/>
          <w:szCs w:val="24"/>
        </w:rPr>
        <w:t>he supplier</w:t>
      </w:r>
      <w:r w:rsidRPr="003B4362">
        <w:rPr>
          <w:rFonts w:eastAsia="Calibri"/>
          <w:szCs w:val="24"/>
        </w:rPr>
        <w:t xml:space="preserve"> must </w:t>
      </w:r>
      <w:bookmarkEnd w:id="1905"/>
      <w:r w:rsidR="00BB10A8" w:rsidRPr="003B4362">
        <w:rPr>
          <w:rFonts w:eastAsia="Calibri"/>
          <w:szCs w:val="24"/>
        </w:rPr>
        <w:t>inform persons it serves</w:t>
      </w:r>
      <w:bookmarkEnd w:id="1906"/>
      <w:r w:rsidRPr="003B4362">
        <w:rPr>
          <w:rFonts w:eastAsia="Calibri"/>
          <w:szCs w:val="24"/>
        </w:rPr>
        <w:t xml:space="preserve"> within 30 days </w:t>
      </w:r>
      <w:r w:rsidR="00BB10A8" w:rsidRPr="003B4362">
        <w:rPr>
          <w:rFonts w:eastAsia="Calibri"/>
          <w:szCs w:val="24"/>
        </w:rPr>
        <w:t>after</w:t>
      </w:r>
      <w:r w:rsidRPr="003B4362">
        <w:rPr>
          <w:rFonts w:eastAsia="Calibri"/>
          <w:szCs w:val="24"/>
        </w:rPr>
        <w:t xml:space="preserve"> the end of the tap sampling </w:t>
      </w:r>
      <w:bookmarkStart w:id="1907" w:name="_Hlk120651762"/>
      <w:r w:rsidRPr="003B4362">
        <w:rPr>
          <w:rFonts w:eastAsia="Calibri"/>
          <w:szCs w:val="24"/>
        </w:rPr>
        <w:t xml:space="preserve">period </w:t>
      </w:r>
      <w:r w:rsidR="00837922" w:rsidRPr="003B4362">
        <w:rPr>
          <w:rFonts w:eastAsia="Calibri"/>
          <w:szCs w:val="24"/>
        </w:rPr>
        <w:t>during</w:t>
      </w:r>
      <w:r w:rsidRPr="003B4362">
        <w:rPr>
          <w:rFonts w:eastAsia="Calibri"/>
          <w:szCs w:val="24"/>
        </w:rPr>
        <w:t xml:space="preserve"> which </w:t>
      </w:r>
      <w:r w:rsidR="00837922" w:rsidRPr="003B4362">
        <w:rPr>
          <w:rFonts w:eastAsia="Calibri"/>
          <w:szCs w:val="24"/>
        </w:rPr>
        <w:t xml:space="preserve">the supplier exceeded </w:t>
      </w:r>
      <w:r w:rsidRPr="003B4362">
        <w:rPr>
          <w:rFonts w:eastAsia="Calibri"/>
          <w:szCs w:val="24"/>
        </w:rPr>
        <w:t xml:space="preserve">the </w:t>
      </w:r>
      <w:r w:rsidR="00837922" w:rsidRPr="003B4362">
        <w:rPr>
          <w:rFonts w:eastAsia="Calibri"/>
          <w:szCs w:val="24"/>
        </w:rPr>
        <w:t xml:space="preserve">lead </w:t>
      </w:r>
      <w:r w:rsidRPr="003B4362">
        <w:rPr>
          <w:rFonts w:eastAsia="Calibri"/>
          <w:szCs w:val="24"/>
        </w:rPr>
        <w:t>trigger level</w:t>
      </w:r>
      <w:bookmarkEnd w:id="1907"/>
      <w:r w:rsidRPr="003B4362">
        <w:rPr>
          <w:rFonts w:eastAsia="Calibri"/>
          <w:szCs w:val="24"/>
        </w:rPr>
        <w:t xml:space="preserve">.  </w:t>
      </w:r>
      <w:bookmarkStart w:id="1908" w:name="_Hlk120651954"/>
      <w:r w:rsidR="00784DE6" w:rsidRPr="003B4362">
        <w:rPr>
          <w:rFonts w:eastAsia="Calibri"/>
          <w:szCs w:val="24"/>
        </w:rPr>
        <w:t>T</w:t>
      </w:r>
      <w:bookmarkStart w:id="1909" w:name="_Hlk120652174"/>
      <w:r w:rsidR="00784DE6" w:rsidRPr="003B4362">
        <w:rPr>
          <w:rFonts w:eastAsia="Calibri"/>
          <w:szCs w:val="24"/>
        </w:rPr>
        <w:t>he supplier</w:t>
      </w:r>
      <w:r w:rsidRPr="003B4362">
        <w:rPr>
          <w:rFonts w:eastAsia="Calibri"/>
          <w:szCs w:val="24"/>
        </w:rPr>
        <w:t xml:space="preserve"> must </w:t>
      </w:r>
      <w:r w:rsidR="00784DE6" w:rsidRPr="003B4362">
        <w:rPr>
          <w:rFonts w:eastAsia="Calibri"/>
          <w:szCs w:val="24"/>
        </w:rPr>
        <w:t>continue to</w:t>
      </w:r>
      <w:r w:rsidRPr="003B4362">
        <w:rPr>
          <w:rFonts w:eastAsia="Calibri"/>
          <w:szCs w:val="24"/>
        </w:rPr>
        <w:t xml:space="preserve"> annually</w:t>
      </w:r>
      <w:bookmarkEnd w:id="1908"/>
      <w:r w:rsidRPr="003B4362">
        <w:rPr>
          <w:rFonts w:eastAsia="Calibri"/>
          <w:szCs w:val="24"/>
        </w:rPr>
        <w:t xml:space="preserve"> </w:t>
      </w:r>
      <w:r w:rsidR="00784DE6" w:rsidRPr="003B4362">
        <w:rPr>
          <w:rFonts w:eastAsia="Calibri"/>
          <w:szCs w:val="24"/>
        </w:rPr>
        <w:t>inform the persons it serves</w:t>
      </w:r>
      <w:bookmarkEnd w:id="1909"/>
      <w:r w:rsidR="00784DE6" w:rsidRPr="003B4362">
        <w:rPr>
          <w:rFonts w:eastAsia="Calibri"/>
          <w:szCs w:val="24"/>
        </w:rPr>
        <w:t xml:space="preserve"> </w:t>
      </w:r>
      <w:r w:rsidRPr="003B4362">
        <w:rPr>
          <w:rFonts w:eastAsia="Calibri"/>
          <w:szCs w:val="24"/>
        </w:rPr>
        <w:t xml:space="preserve">until the </w:t>
      </w:r>
      <w:bookmarkStart w:id="1910" w:name="_Hlk120652144"/>
      <w:r w:rsidRPr="003B4362">
        <w:rPr>
          <w:rFonts w:eastAsia="Calibri"/>
          <w:szCs w:val="24"/>
        </w:rPr>
        <w:t>results of sampling</w:t>
      </w:r>
      <w:r w:rsidR="00784DE6" w:rsidRPr="003B4362">
        <w:rPr>
          <w:rFonts w:eastAsia="Calibri"/>
          <w:szCs w:val="24"/>
        </w:rPr>
        <w:t xml:space="preserve"> </w:t>
      </w:r>
      <w:r w:rsidRPr="003B4362">
        <w:rPr>
          <w:rFonts w:eastAsia="Calibri"/>
          <w:szCs w:val="24"/>
        </w:rPr>
        <w:t xml:space="preserve">under Section </w:t>
      </w:r>
      <w:r w:rsidR="00784DE6" w:rsidRPr="003B4362">
        <w:rPr>
          <w:rFonts w:eastAsia="Calibri"/>
          <w:szCs w:val="24"/>
        </w:rPr>
        <w:t>61</w:t>
      </w:r>
      <w:r w:rsidRPr="003B4362">
        <w:rPr>
          <w:rFonts w:eastAsia="Calibri"/>
          <w:szCs w:val="24"/>
        </w:rPr>
        <w:t>1.</w:t>
      </w:r>
      <w:r w:rsidR="00784DE6" w:rsidRPr="003B4362">
        <w:rPr>
          <w:rFonts w:eastAsia="Calibri"/>
          <w:szCs w:val="24"/>
        </w:rPr>
        <w:t>35</w:t>
      </w:r>
      <w:r w:rsidRPr="003B4362">
        <w:rPr>
          <w:rFonts w:eastAsia="Calibri"/>
          <w:szCs w:val="24"/>
        </w:rPr>
        <w:t xml:space="preserve">6 </w:t>
      </w:r>
      <w:r w:rsidR="00784DE6" w:rsidRPr="003B4362">
        <w:rPr>
          <w:rFonts w:eastAsia="Calibri"/>
          <w:szCs w:val="24"/>
        </w:rPr>
        <w:t>do not exceed</w:t>
      </w:r>
      <w:r w:rsidRPr="003B4362">
        <w:rPr>
          <w:rFonts w:eastAsia="Calibri"/>
          <w:szCs w:val="24"/>
        </w:rPr>
        <w:t xml:space="preserve"> the lead trigger level</w:t>
      </w:r>
      <w:bookmarkEnd w:id="1910"/>
      <w:r w:rsidRPr="003B4362">
        <w:rPr>
          <w:rFonts w:eastAsia="Calibri"/>
          <w:szCs w:val="24"/>
        </w:rPr>
        <w:t>.</w:t>
      </w:r>
    </w:p>
    <w:p w14:paraId="651CABC4" w14:textId="1BA6D51F"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Delivery.  T</w:t>
      </w:r>
      <w:bookmarkStart w:id="1911" w:name="_Hlk120652805"/>
      <w:r w:rsidRPr="003B4362">
        <w:rPr>
          <w:rFonts w:eastAsia="Calibri"/>
          <w:szCs w:val="24"/>
        </w:rPr>
        <w:t xml:space="preserve">he </w:t>
      </w:r>
      <w:r w:rsidR="00B964CF" w:rsidRPr="003B4362">
        <w:rPr>
          <w:rFonts w:eastAsia="Calibri"/>
          <w:szCs w:val="24"/>
        </w:rPr>
        <w:t>supplier</w:t>
      </w:r>
      <w:r w:rsidRPr="003B4362">
        <w:rPr>
          <w:rFonts w:eastAsia="Calibri"/>
          <w:szCs w:val="24"/>
        </w:rPr>
        <w:t xml:space="preserve"> must </w:t>
      </w:r>
      <w:r w:rsidR="00B964CF" w:rsidRPr="003B4362">
        <w:rPr>
          <w:rFonts w:eastAsia="Calibri"/>
          <w:szCs w:val="24"/>
        </w:rPr>
        <w:t>inform the</w:t>
      </w:r>
      <w:r w:rsidRPr="003B4362">
        <w:rPr>
          <w:rFonts w:eastAsia="Calibri"/>
          <w:szCs w:val="24"/>
        </w:rPr>
        <w:t xml:space="preserve"> persons </w:t>
      </w:r>
      <w:r w:rsidR="00406AF3" w:rsidRPr="003B4362">
        <w:rPr>
          <w:rFonts w:eastAsia="Calibri"/>
          <w:szCs w:val="24"/>
        </w:rPr>
        <w:t xml:space="preserve">it </w:t>
      </w:r>
      <w:r w:rsidRPr="003B4362">
        <w:rPr>
          <w:rFonts w:eastAsia="Calibri"/>
          <w:szCs w:val="24"/>
        </w:rPr>
        <w:t>serve</w:t>
      </w:r>
      <w:r w:rsidR="00406AF3" w:rsidRPr="003B4362">
        <w:rPr>
          <w:rFonts w:eastAsia="Calibri"/>
          <w:szCs w:val="24"/>
        </w:rPr>
        <w:t>s</w:t>
      </w:r>
      <w:r w:rsidRPr="003B4362">
        <w:rPr>
          <w:rFonts w:eastAsia="Calibri"/>
          <w:szCs w:val="24"/>
        </w:rPr>
        <w:t xml:space="preserve"> </w:t>
      </w:r>
      <w:r w:rsidR="00B964CF" w:rsidRPr="003B4362">
        <w:rPr>
          <w:rFonts w:eastAsia="Calibri"/>
          <w:szCs w:val="24"/>
        </w:rPr>
        <w:t>through</w:t>
      </w:r>
      <w:r w:rsidR="00B304C9" w:rsidRPr="003B4362">
        <w:rPr>
          <w:rFonts w:eastAsia="Calibri"/>
          <w:szCs w:val="24"/>
        </w:rPr>
        <w:t xml:space="preserve"> </w:t>
      </w:r>
      <w:r w:rsidRPr="003B4362">
        <w:rPr>
          <w:rFonts w:eastAsia="Calibri"/>
          <w:szCs w:val="24"/>
        </w:rPr>
        <w:t>a</w:t>
      </w:r>
      <w:r w:rsidR="00406AF3" w:rsidRPr="003B4362">
        <w:rPr>
          <w:rFonts w:eastAsia="Calibri"/>
          <w:szCs w:val="24"/>
        </w:rPr>
        <w:t xml:space="preserve"> lead, galvanized requiring replacement, or lead status u</w:t>
      </w:r>
      <w:r w:rsidRPr="003B4362">
        <w:rPr>
          <w:rFonts w:eastAsia="Calibri"/>
          <w:szCs w:val="24"/>
        </w:rPr>
        <w:t>nknown service line by mail</w:t>
      </w:r>
      <w:bookmarkEnd w:id="1911"/>
      <w:r w:rsidRPr="003B4362">
        <w:rPr>
          <w:rFonts w:eastAsia="Calibri"/>
          <w:szCs w:val="24"/>
        </w:rPr>
        <w:t xml:space="preserve"> </w:t>
      </w:r>
      <w:bookmarkStart w:id="1912" w:name="_Hlk120659195"/>
      <w:r w:rsidRPr="003B4362">
        <w:rPr>
          <w:rFonts w:eastAsia="Calibri"/>
          <w:szCs w:val="24"/>
        </w:rPr>
        <w:t>or</w:t>
      </w:r>
      <w:r w:rsidR="00C57DA6" w:rsidRPr="003B4362">
        <w:rPr>
          <w:rFonts w:eastAsia="Calibri"/>
          <w:szCs w:val="24"/>
        </w:rPr>
        <w:t xml:space="preserve"> </w:t>
      </w:r>
      <w:bookmarkStart w:id="1913" w:name="_Hlk120739598"/>
      <w:r w:rsidRPr="003B4362">
        <w:rPr>
          <w:rFonts w:eastAsia="Calibri"/>
          <w:szCs w:val="24"/>
        </w:rPr>
        <w:t xml:space="preserve">another method </w:t>
      </w:r>
      <w:r w:rsidR="00C57DA6" w:rsidRPr="003B4362">
        <w:rPr>
          <w:rFonts w:eastAsia="Calibri"/>
          <w:szCs w:val="24"/>
        </w:rPr>
        <w:t xml:space="preserve">the Agency </w:t>
      </w:r>
      <w:r w:rsidRPr="003B4362">
        <w:rPr>
          <w:rFonts w:eastAsia="Calibri"/>
          <w:szCs w:val="24"/>
        </w:rPr>
        <w:t>approve</w:t>
      </w:r>
      <w:r w:rsidR="00C57DA6" w:rsidRPr="003B4362">
        <w:rPr>
          <w:rFonts w:eastAsia="Calibri"/>
          <w:szCs w:val="24"/>
        </w:rPr>
        <w:t>s</w:t>
      </w:r>
      <w:r w:rsidRPr="003B4362">
        <w:rPr>
          <w:rFonts w:eastAsia="Calibri"/>
          <w:szCs w:val="24"/>
        </w:rPr>
        <w:t xml:space="preserve"> </w:t>
      </w:r>
      <w:r w:rsidR="00C57DA6" w:rsidRPr="003B4362">
        <w:rPr>
          <w:rFonts w:eastAsia="Calibri"/>
          <w:szCs w:val="24"/>
        </w:rPr>
        <w:t>in a SEP</w:t>
      </w:r>
      <w:bookmarkEnd w:id="1912"/>
      <w:bookmarkEnd w:id="1913"/>
      <w:r w:rsidRPr="003B4362">
        <w:rPr>
          <w:rFonts w:eastAsia="Calibri"/>
          <w:szCs w:val="24"/>
        </w:rPr>
        <w:t>.</w:t>
      </w:r>
    </w:p>
    <w:p w14:paraId="17F659C5" w14:textId="193C863F" w:rsidR="00F953AD" w:rsidRPr="003B4362" w:rsidRDefault="00F953AD" w:rsidP="00F953AD">
      <w:pPr>
        <w:autoSpaceDE w:val="0"/>
        <w:autoSpaceDN w:val="0"/>
        <w:adjustRightInd w:val="0"/>
        <w:spacing w:before="240" w:after="240"/>
        <w:ind w:left="1440" w:hanging="720"/>
        <w:rPr>
          <w:rFonts w:eastAsia="Calibri"/>
          <w:szCs w:val="24"/>
        </w:rPr>
      </w:pPr>
      <w:r w:rsidRPr="003B4362">
        <w:rPr>
          <w:rFonts w:eastAsia="Calibri"/>
          <w:szCs w:val="24"/>
        </w:rPr>
        <w:t>h)</w:t>
      </w:r>
      <w:r w:rsidRPr="003B4362">
        <w:rPr>
          <w:rFonts w:eastAsia="Calibri"/>
          <w:szCs w:val="24"/>
        </w:rPr>
        <w:tab/>
      </w:r>
      <w:bookmarkStart w:id="1914" w:name="_Hlk120697617"/>
      <w:r w:rsidRPr="003B4362">
        <w:rPr>
          <w:rFonts w:eastAsia="Calibri"/>
          <w:szCs w:val="24"/>
        </w:rPr>
        <w:t xml:space="preserve">Outreach </w:t>
      </w:r>
      <w:r w:rsidR="003D64A2" w:rsidRPr="003B4362">
        <w:rPr>
          <w:rFonts w:eastAsia="Calibri"/>
          <w:szCs w:val="24"/>
        </w:rPr>
        <w:t>A</w:t>
      </w:r>
      <w:r w:rsidRPr="003B4362">
        <w:rPr>
          <w:rFonts w:eastAsia="Calibri"/>
          <w:szCs w:val="24"/>
        </w:rPr>
        <w:t xml:space="preserve">ctivities for </w:t>
      </w:r>
      <w:r w:rsidR="003D64A2" w:rsidRPr="003B4362">
        <w:rPr>
          <w:rFonts w:eastAsia="Calibri"/>
          <w:szCs w:val="24"/>
        </w:rPr>
        <w:t>F</w:t>
      </w:r>
      <w:r w:rsidRPr="003B4362">
        <w:rPr>
          <w:rFonts w:eastAsia="Calibri"/>
          <w:szCs w:val="24"/>
        </w:rPr>
        <w:t>ail</w:t>
      </w:r>
      <w:r w:rsidR="003D64A2" w:rsidRPr="003B4362">
        <w:rPr>
          <w:rFonts w:eastAsia="Calibri"/>
          <w:szCs w:val="24"/>
        </w:rPr>
        <w:t>ing</w:t>
      </w:r>
      <w:r w:rsidRPr="003B4362">
        <w:rPr>
          <w:rFonts w:eastAsia="Calibri"/>
          <w:szCs w:val="24"/>
        </w:rPr>
        <w:t xml:space="preserve"> to </w:t>
      </w:r>
      <w:r w:rsidR="003D64A2" w:rsidRPr="003B4362">
        <w:rPr>
          <w:rFonts w:eastAsia="Calibri"/>
          <w:szCs w:val="24"/>
        </w:rPr>
        <w:t>Fulfill</w:t>
      </w:r>
      <w:r w:rsidRPr="003B4362">
        <w:rPr>
          <w:rFonts w:eastAsia="Calibri"/>
          <w:szCs w:val="24"/>
        </w:rPr>
        <w:t xml:space="preserve"> the </w:t>
      </w:r>
      <w:r w:rsidR="003D64A2" w:rsidRPr="003B4362">
        <w:rPr>
          <w:rFonts w:eastAsia="Calibri"/>
          <w:szCs w:val="24"/>
        </w:rPr>
        <w:t>L</w:t>
      </w:r>
      <w:r w:rsidRPr="003B4362">
        <w:rPr>
          <w:rFonts w:eastAsia="Calibri"/>
          <w:szCs w:val="24"/>
        </w:rPr>
        <w:t xml:space="preserve">ead </w:t>
      </w:r>
      <w:r w:rsidR="003D64A2" w:rsidRPr="003B4362">
        <w:rPr>
          <w:rFonts w:eastAsia="Calibri"/>
          <w:szCs w:val="24"/>
        </w:rPr>
        <w:t>S</w:t>
      </w:r>
      <w:r w:rsidRPr="003B4362">
        <w:rPr>
          <w:rFonts w:eastAsia="Calibri"/>
          <w:szCs w:val="24"/>
        </w:rPr>
        <w:t xml:space="preserve">ervice </w:t>
      </w:r>
      <w:r w:rsidR="003D64A2" w:rsidRPr="003B4362">
        <w:rPr>
          <w:rFonts w:eastAsia="Calibri"/>
          <w:szCs w:val="24"/>
        </w:rPr>
        <w:t>L</w:t>
      </w:r>
      <w:r w:rsidRPr="003B4362">
        <w:rPr>
          <w:rFonts w:eastAsia="Calibri"/>
          <w:szCs w:val="24"/>
        </w:rPr>
        <w:t xml:space="preserve">ine </w:t>
      </w:r>
      <w:r w:rsidR="003D64A2" w:rsidRPr="003B4362">
        <w:rPr>
          <w:rFonts w:eastAsia="Calibri"/>
          <w:szCs w:val="24"/>
        </w:rPr>
        <w:t>R</w:t>
      </w:r>
      <w:r w:rsidRPr="003B4362">
        <w:rPr>
          <w:rFonts w:eastAsia="Calibri"/>
          <w:szCs w:val="24"/>
        </w:rPr>
        <w:t xml:space="preserve">eplacement </w:t>
      </w:r>
      <w:r w:rsidR="003D64A2" w:rsidRPr="003B4362">
        <w:rPr>
          <w:rFonts w:eastAsia="Calibri"/>
          <w:szCs w:val="24"/>
        </w:rPr>
        <w:t>G</w:t>
      </w:r>
      <w:r w:rsidRPr="003B4362">
        <w:rPr>
          <w:rFonts w:eastAsia="Calibri"/>
          <w:szCs w:val="24"/>
        </w:rPr>
        <w:t>oal</w:t>
      </w:r>
      <w:bookmarkEnd w:id="1914"/>
    </w:p>
    <w:p w14:paraId="60DEA3B2" w14:textId="16BA3160"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 xml:space="preserve">In the first year after a </w:t>
      </w:r>
      <w:bookmarkStart w:id="1915" w:name="_Hlk120698797"/>
      <w:r w:rsidR="007F05AA" w:rsidRPr="003B4362">
        <w:rPr>
          <w:rFonts w:eastAsia="Calibri"/>
          <w:szCs w:val="24"/>
        </w:rPr>
        <w:t>CWS supplier</w:t>
      </w:r>
      <w:r w:rsidRPr="003B4362">
        <w:rPr>
          <w:rFonts w:eastAsia="Calibri"/>
          <w:szCs w:val="24"/>
        </w:rPr>
        <w:t xml:space="preserve"> serv</w:t>
      </w:r>
      <w:r w:rsidR="007F05AA" w:rsidRPr="003B4362">
        <w:rPr>
          <w:rFonts w:eastAsia="Calibri"/>
          <w:szCs w:val="24"/>
        </w:rPr>
        <w:t>ing</w:t>
      </w:r>
      <w:r w:rsidRPr="003B4362">
        <w:rPr>
          <w:rFonts w:eastAsia="Calibri"/>
          <w:szCs w:val="24"/>
        </w:rPr>
        <w:t xml:space="preserve"> more than 10,000 persons</w:t>
      </w:r>
      <w:bookmarkEnd w:id="1915"/>
      <w:r w:rsidRPr="003B4362">
        <w:rPr>
          <w:rFonts w:eastAsia="Calibri"/>
          <w:szCs w:val="24"/>
        </w:rPr>
        <w:t xml:space="preserve"> </w:t>
      </w:r>
      <w:bookmarkStart w:id="1916" w:name="_Hlk120705529"/>
      <w:r w:rsidRPr="003B4362">
        <w:rPr>
          <w:rFonts w:eastAsia="Calibri"/>
          <w:szCs w:val="24"/>
        </w:rPr>
        <w:t xml:space="preserve">does not </w:t>
      </w:r>
      <w:r w:rsidR="007F05AA" w:rsidRPr="003B4362">
        <w:rPr>
          <w:rFonts w:eastAsia="Calibri"/>
          <w:szCs w:val="24"/>
        </w:rPr>
        <w:t>fulfill</w:t>
      </w:r>
      <w:r w:rsidRPr="003B4362">
        <w:rPr>
          <w:rFonts w:eastAsia="Calibri"/>
          <w:szCs w:val="24"/>
        </w:rPr>
        <w:t xml:space="preserve"> its </w:t>
      </w:r>
      <w:r w:rsidR="007F05AA" w:rsidRPr="003B4362">
        <w:rPr>
          <w:rFonts w:eastAsia="Calibri"/>
          <w:szCs w:val="24"/>
        </w:rPr>
        <w:t xml:space="preserve">required </w:t>
      </w:r>
      <w:r w:rsidRPr="003B4362">
        <w:rPr>
          <w:rFonts w:eastAsia="Calibri"/>
          <w:szCs w:val="24"/>
        </w:rPr>
        <w:t>annual lead service line replacement goal</w:t>
      </w:r>
      <w:r w:rsidR="009F0DF3" w:rsidRPr="003B4362">
        <w:rPr>
          <w:rFonts w:eastAsia="Calibri"/>
          <w:szCs w:val="24"/>
        </w:rPr>
        <w:t xml:space="preserve"> </w:t>
      </w:r>
      <w:r w:rsidRPr="003B4362">
        <w:rPr>
          <w:rFonts w:eastAsia="Calibri"/>
          <w:szCs w:val="24"/>
        </w:rPr>
        <w:t xml:space="preserve">under Section </w:t>
      </w:r>
      <w:r w:rsidR="009F0DF3" w:rsidRPr="003B4362">
        <w:rPr>
          <w:rFonts w:eastAsia="Calibri"/>
          <w:szCs w:val="24"/>
        </w:rPr>
        <w:t>61</w:t>
      </w:r>
      <w:r w:rsidRPr="003B4362">
        <w:rPr>
          <w:rFonts w:eastAsia="Calibri"/>
          <w:szCs w:val="24"/>
        </w:rPr>
        <w:t>1.</w:t>
      </w:r>
      <w:r w:rsidR="009F0DF3" w:rsidRPr="003B4362">
        <w:rPr>
          <w:rFonts w:eastAsia="Calibri"/>
          <w:szCs w:val="24"/>
        </w:rPr>
        <w:t>35</w:t>
      </w:r>
      <w:r w:rsidRPr="003B4362">
        <w:rPr>
          <w:rFonts w:eastAsia="Calibri"/>
          <w:szCs w:val="24"/>
        </w:rPr>
        <w:t>4(f)</w:t>
      </w:r>
      <w:bookmarkEnd w:id="1916"/>
      <w:r w:rsidRPr="003B4362">
        <w:rPr>
          <w:rFonts w:eastAsia="Calibri"/>
          <w:szCs w:val="24"/>
        </w:rPr>
        <w:t xml:space="preserve">, </w:t>
      </w:r>
      <w:bookmarkStart w:id="1917" w:name="_Hlk120712519"/>
      <w:bookmarkStart w:id="1918" w:name="_Hlk120712476"/>
      <w:r w:rsidR="00AF31C3" w:rsidRPr="003B4362">
        <w:rPr>
          <w:rFonts w:eastAsia="Calibri"/>
          <w:szCs w:val="24"/>
        </w:rPr>
        <w:t>the supplier</w:t>
      </w:r>
      <w:bookmarkEnd w:id="1917"/>
      <w:r w:rsidRPr="003B4362">
        <w:rPr>
          <w:rFonts w:eastAsia="Calibri"/>
          <w:szCs w:val="24"/>
        </w:rPr>
        <w:t xml:space="preserve"> must conduct</w:t>
      </w:r>
      <w:bookmarkEnd w:id="1918"/>
      <w:r w:rsidRPr="003B4362">
        <w:rPr>
          <w:rFonts w:eastAsia="Calibri"/>
          <w:szCs w:val="24"/>
        </w:rPr>
        <w:t xml:space="preserve"> one outreach activity </w:t>
      </w:r>
      <w:bookmarkStart w:id="1919" w:name="_Hlk120712595"/>
      <w:r w:rsidRPr="003B4362">
        <w:rPr>
          <w:rFonts w:eastAsia="Calibri"/>
          <w:szCs w:val="24"/>
        </w:rPr>
        <w:t xml:space="preserve">from </w:t>
      </w:r>
      <w:bookmarkStart w:id="1920" w:name="_Hlk120712659"/>
      <w:bookmarkEnd w:id="1919"/>
      <w:r w:rsidR="00AF31C3" w:rsidRPr="003B4362">
        <w:rPr>
          <w:rFonts w:eastAsia="Calibri"/>
          <w:szCs w:val="24"/>
        </w:rPr>
        <w:t>among those in subsections (h)(1)(A) through (h)(1)(B)</w:t>
      </w:r>
      <w:bookmarkEnd w:id="1920"/>
      <w:r w:rsidR="00AA6032" w:rsidRPr="003B4362">
        <w:rPr>
          <w:rFonts w:eastAsia="Calibri"/>
          <w:szCs w:val="24"/>
        </w:rPr>
        <w:t>.</w:t>
      </w:r>
      <w:r w:rsidRPr="003B4362">
        <w:rPr>
          <w:rFonts w:eastAsia="Calibri"/>
          <w:szCs w:val="24"/>
        </w:rPr>
        <w:t xml:space="preserve"> </w:t>
      </w:r>
      <w:bookmarkStart w:id="1921" w:name="_Hlk120713024"/>
      <w:r w:rsidR="00AA6032" w:rsidRPr="003B4362">
        <w:rPr>
          <w:rFonts w:eastAsia="Calibri"/>
          <w:szCs w:val="24"/>
        </w:rPr>
        <w:t xml:space="preserve"> The supplier must annually conduct an outreach activity under this subsection (h)(1)</w:t>
      </w:r>
      <w:r w:rsidRPr="003B4362">
        <w:rPr>
          <w:rFonts w:eastAsia="Calibri"/>
          <w:szCs w:val="24"/>
        </w:rPr>
        <w:t xml:space="preserve"> until the </w:t>
      </w:r>
      <w:r w:rsidR="00AA6032" w:rsidRPr="003B4362">
        <w:rPr>
          <w:rFonts w:eastAsia="Calibri"/>
          <w:szCs w:val="24"/>
        </w:rPr>
        <w:t>supplier</w:t>
      </w:r>
      <w:r w:rsidRPr="003B4362">
        <w:rPr>
          <w:rFonts w:eastAsia="Calibri"/>
          <w:szCs w:val="24"/>
        </w:rPr>
        <w:t xml:space="preserve"> </w:t>
      </w:r>
      <w:r w:rsidR="00424835" w:rsidRPr="003B4362">
        <w:rPr>
          <w:rFonts w:eastAsia="Calibri"/>
          <w:szCs w:val="24"/>
        </w:rPr>
        <w:t>fulfills</w:t>
      </w:r>
      <w:r w:rsidRPr="003B4362">
        <w:rPr>
          <w:rFonts w:eastAsia="Calibri"/>
          <w:szCs w:val="24"/>
        </w:rPr>
        <w:t xml:space="preserve"> its replacement goal</w:t>
      </w:r>
      <w:bookmarkEnd w:id="1921"/>
      <w:r w:rsidRPr="003B4362">
        <w:rPr>
          <w:rFonts w:eastAsia="Calibri"/>
          <w:szCs w:val="24"/>
        </w:rPr>
        <w:t xml:space="preserve"> or until tap sampling shows that </w:t>
      </w:r>
      <w:bookmarkStart w:id="1922" w:name="_Hlk120713451"/>
      <w:r w:rsidR="00AA6032" w:rsidRPr="003B4362">
        <w:rPr>
          <w:rFonts w:eastAsia="Calibri"/>
          <w:szCs w:val="24"/>
        </w:rPr>
        <w:t>its</w:t>
      </w:r>
      <w:r w:rsidRPr="003B4362">
        <w:rPr>
          <w:rFonts w:eastAsia="Calibri"/>
          <w:szCs w:val="24"/>
        </w:rPr>
        <w:t xml:space="preserve"> 90th percentile</w:t>
      </w:r>
      <w:r w:rsidR="00AA6032" w:rsidRPr="003B4362">
        <w:rPr>
          <w:rFonts w:eastAsia="Calibri"/>
          <w:szCs w:val="24"/>
        </w:rPr>
        <w:t xml:space="preserve"> </w:t>
      </w:r>
      <w:r w:rsidRPr="003B4362">
        <w:rPr>
          <w:rFonts w:eastAsia="Calibri"/>
          <w:szCs w:val="24"/>
        </w:rPr>
        <w:t xml:space="preserve">lead </w:t>
      </w:r>
      <w:r w:rsidR="00AA6032" w:rsidRPr="003B4362">
        <w:rPr>
          <w:rFonts w:eastAsia="Calibri"/>
          <w:szCs w:val="24"/>
        </w:rPr>
        <w:t>concentration does not exceed</w:t>
      </w:r>
      <w:r w:rsidRPr="003B4362">
        <w:rPr>
          <w:rFonts w:eastAsia="Calibri"/>
          <w:szCs w:val="24"/>
        </w:rPr>
        <w:t xml:space="preserve"> the trigger level of 10 </w:t>
      </w:r>
      <w:r w:rsidR="00870D11" w:rsidRPr="003B4362">
        <w:rPr>
          <w:rFonts w:eastAsia="Calibri"/>
          <w:szCs w:val="24"/>
        </w:rPr>
        <w:t>µg</w:t>
      </w:r>
      <w:r w:rsidRPr="003B4362">
        <w:rPr>
          <w:rFonts w:eastAsia="Calibri"/>
          <w:szCs w:val="24"/>
        </w:rPr>
        <w:t>/</w:t>
      </w:r>
      <w:bookmarkEnd w:id="1922"/>
      <w:r w:rsidR="00C25B6F" w:rsidRPr="003B4362">
        <w:t xml:space="preserve"> L</w:t>
      </w:r>
      <w:r w:rsidRPr="003B4362">
        <w:rPr>
          <w:rFonts w:eastAsia="Calibri"/>
          <w:szCs w:val="24"/>
        </w:rPr>
        <w:t xml:space="preserve"> for two consecutive tap</w:t>
      </w:r>
      <w:r w:rsidR="006516CE" w:rsidRPr="003B4362">
        <w:rPr>
          <w:rFonts w:eastAsia="Calibri"/>
          <w:szCs w:val="24"/>
        </w:rPr>
        <w:t xml:space="preserve"> </w:t>
      </w:r>
      <w:r w:rsidRPr="003B4362">
        <w:rPr>
          <w:rFonts w:eastAsia="Calibri"/>
          <w:szCs w:val="24"/>
        </w:rPr>
        <w:t xml:space="preserve">monitoring </w:t>
      </w:r>
      <w:r w:rsidR="006516CE" w:rsidRPr="003B4362">
        <w:rPr>
          <w:rFonts w:eastAsia="Calibri"/>
          <w:szCs w:val="24"/>
        </w:rPr>
        <w:t>cycle</w:t>
      </w:r>
      <w:r w:rsidRPr="003B4362">
        <w:rPr>
          <w:rFonts w:eastAsia="Calibri"/>
          <w:szCs w:val="24"/>
        </w:rPr>
        <w:t>s:</w:t>
      </w:r>
    </w:p>
    <w:p w14:paraId="583AC84B" w14:textId="269EE5EF"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 xml:space="preserve">Send certified mail to </w:t>
      </w:r>
      <w:bookmarkStart w:id="1923" w:name="_Hlk120719529"/>
      <w:bookmarkStart w:id="1924" w:name="_Hlk120719734"/>
      <w:r w:rsidRPr="003B4362">
        <w:rPr>
          <w:rFonts w:eastAsia="Calibri"/>
          <w:szCs w:val="24"/>
        </w:rPr>
        <w:t xml:space="preserve">customers </w:t>
      </w:r>
      <w:r w:rsidR="00123061" w:rsidRPr="003B4362">
        <w:rPr>
          <w:rFonts w:eastAsia="Calibri"/>
          <w:szCs w:val="24"/>
        </w:rPr>
        <w:t>the supplier serves through</w:t>
      </w:r>
      <w:r w:rsidRPr="003B4362">
        <w:rPr>
          <w:rFonts w:eastAsia="Calibri"/>
          <w:szCs w:val="24"/>
        </w:rPr>
        <w:t xml:space="preserve"> a</w:t>
      </w:r>
      <w:r w:rsidR="00B304C9" w:rsidRPr="003B4362">
        <w:rPr>
          <w:rFonts w:eastAsia="Calibri"/>
          <w:szCs w:val="24"/>
        </w:rPr>
        <w:t xml:space="preserve"> lead or galvanized requiring re</w:t>
      </w:r>
      <w:r w:rsidRPr="003B4362">
        <w:rPr>
          <w:rFonts w:eastAsia="Calibri"/>
          <w:szCs w:val="24"/>
        </w:rPr>
        <w:t>placement service line</w:t>
      </w:r>
      <w:bookmarkEnd w:id="1923"/>
      <w:r w:rsidRPr="003B4362">
        <w:rPr>
          <w:rFonts w:eastAsia="Calibri"/>
          <w:szCs w:val="24"/>
        </w:rPr>
        <w:t xml:space="preserve"> to inform</w:t>
      </w:r>
      <w:bookmarkEnd w:id="1924"/>
      <w:r w:rsidRPr="003B4362">
        <w:rPr>
          <w:rFonts w:eastAsia="Calibri"/>
          <w:szCs w:val="24"/>
        </w:rPr>
        <w:t xml:space="preserve"> them about </w:t>
      </w:r>
      <w:bookmarkStart w:id="1925" w:name="_Hlk120719824"/>
      <w:r w:rsidRPr="003B4362">
        <w:rPr>
          <w:rFonts w:eastAsia="Calibri"/>
          <w:szCs w:val="24"/>
        </w:rPr>
        <w:t xml:space="preserve">the </w:t>
      </w:r>
      <w:r w:rsidR="00123061" w:rsidRPr="003B4362">
        <w:rPr>
          <w:rFonts w:eastAsia="Calibri"/>
          <w:szCs w:val="24"/>
        </w:rPr>
        <w:t>supplier</w:t>
      </w:r>
      <w:r w:rsidRPr="003B4362">
        <w:rPr>
          <w:rFonts w:eastAsia="Calibri"/>
          <w:szCs w:val="24"/>
        </w:rPr>
        <w:t xml:space="preserve">’s goal-based </w:t>
      </w:r>
      <w:bookmarkStart w:id="1926" w:name="_Hlk120720373"/>
      <w:r w:rsidR="00123061" w:rsidRPr="003B4362">
        <w:rPr>
          <w:rFonts w:eastAsia="Calibri"/>
          <w:szCs w:val="24"/>
        </w:rPr>
        <w:t xml:space="preserve">program for replacing </w:t>
      </w:r>
      <w:r w:rsidRPr="003B4362">
        <w:rPr>
          <w:rFonts w:eastAsia="Calibri"/>
          <w:szCs w:val="24"/>
        </w:rPr>
        <w:t>lead service line</w:t>
      </w:r>
      <w:r w:rsidR="00ED2F52" w:rsidRPr="003B4362">
        <w:rPr>
          <w:rFonts w:eastAsia="Calibri"/>
          <w:szCs w:val="24"/>
        </w:rPr>
        <w:t>s</w:t>
      </w:r>
      <w:bookmarkEnd w:id="1925"/>
      <w:bookmarkEnd w:id="1926"/>
      <w:r w:rsidR="00ED2F52" w:rsidRPr="003B4362">
        <w:rPr>
          <w:rFonts w:eastAsia="Calibri"/>
          <w:szCs w:val="24"/>
        </w:rPr>
        <w:t xml:space="preserve"> </w:t>
      </w:r>
      <w:r w:rsidRPr="003B4362">
        <w:rPr>
          <w:rFonts w:eastAsia="Calibri"/>
          <w:szCs w:val="24"/>
        </w:rPr>
        <w:t xml:space="preserve">and opportunities for </w:t>
      </w:r>
      <w:bookmarkStart w:id="1927" w:name="_Hlk120720050"/>
      <w:r w:rsidRPr="003B4362">
        <w:rPr>
          <w:rFonts w:eastAsia="Calibri"/>
          <w:szCs w:val="24"/>
        </w:rPr>
        <w:t>replac</w:t>
      </w:r>
      <w:r w:rsidR="00ED2F52" w:rsidRPr="003B4362">
        <w:rPr>
          <w:rFonts w:eastAsia="Calibri"/>
          <w:szCs w:val="24"/>
        </w:rPr>
        <w:t>ing</w:t>
      </w:r>
      <w:r w:rsidRPr="003B4362">
        <w:rPr>
          <w:rFonts w:eastAsia="Calibri"/>
          <w:szCs w:val="24"/>
        </w:rPr>
        <w:t xml:space="preserve"> the </w:t>
      </w:r>
      <w:r w:rsidR="00ED2F52" w:rsidRPr="003B4362">
        <w:rPr>
          <w:rFonts w:eastAsia="Calibri"/>
          <w:szCs w:val="24"/>
        </w:rPr>
        <w:t xml:space="preserve">customer’s </w:t>
      </w:r>
      <w:r w:rsidRPr="003B4362">
        <w:rPr>
          <w:rFonts w:eastAsia="Calibri"/>
          <w:szCs w:val="24"/>
        </w:rPr>
        <w:t>service line</w:t>
      </w:r>
      <w:bookmarkEnd w:id="1927"/>
      <w:r w:rsidRPr="003B4362">
        <w:rPr>
          <w:rFonts w:eastAsia="Calibri"/>
          <w:szCs w:val="24"/>
        </w:rPr>
        <w:t>.</w:t>
      </w:r>
    </w:p>
    <w:p w14:paraId="6222BCE9" w14:textId="77777777"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Conduct a townhall meeting.</w:t>
      </w:r>
    </w:p>
    <w:p w14:paraId="69B6246A" w14:textId="1164825E"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Participate in a community</w:t>
      </w:r>
      <w:bookmarkStart w:id="1928" w:name="_Hlk120721082"/>
      <w:r w:rsidRPr="003B4362">
        <w:rPr>
          <w:rFonts w:eastAsia="Calibri"/>
          <w:szCs w:val="24"/>
        </w:rPr>
        <w:t xml:space="preserve"> </w:t>
      </w:r>
      <w:bookmarkStart w:id="1929" w:name="_Hlk120720949"/>
      <w:r w:rsidRPr="003B4362">
        <w:rPr>
          <w:rFonts w:eastAsia="Calibri"/>
          <w:szCs w:val="24"/>
        </w:rPr>
        <w:t>event provid</w:t>
      </w:r>
      <w:r w:rsidR="00AB41E9" w:rsidRPr="003B4362">
        <w:rPr>
          <w:rFonts w:eastAsia="Calibri"/>
          <w:szCs w:val="24"/>
        </w:rPr>
        <w:t>ing</w:t>
      </w:r>
      <w:r w:rsidRPr="003B4362">
        <w:rPr>
          <w:rFonts w:eastAsia="Calibri"/>
          <w:szCs w:val="24"/>
        </w:rPr>
        <w:t xml:space="preserve"> information about </w:t>
      </w:r>
      <w:r w:rsidR="00AB41E9" w:rsidRPr="003B4362">
        <w:rPr>
          <w:rFonts w:eastAsia="Calibri"/>
          <w:szCs w:val="24"/>
        </w:rPr>
        <w:t>the supplier’s</w:t>
      </w:r>
      <w:r w:rsidRPr="003B4362">
        <w:rPr>
          <w:rFonts w:eastAsia="Calibri"/>
          <w:szCs w:val="24"/>
        </w:rPr>
        <w:t xml:space="preserve"> </w:t>
      </w:r>
      <w:r w:rsidR="00AB41E9" w:rsidRPr="003B4362">
        <w:rPr>
          <w:rFonts w:eastAsia="Calibri"/>
          <w:szCs w:val="24"/>
        </w:rPr>
        <w:t xml:space="preserve">program for replacing </w:t>
      </w:r>
      <w:r w:rsidRPr="003B4362">
        <w:rPr>
          <w:rFonts w:eastAsia="Calibri"/>
          <w:szCs w:val="24"/>
        </w:rPr>
        <w:t>lead service line</w:t>
      </w:r>
      <w:bookmarkEnd w:id="1929"/>
      <w:r w:rsidR="00AB41E9" w:rsidRPr="003B4362">
        <w:rPr>
          <w:rFonts w:eastAsia="Calibri"/>
          <w:szCs w:val="24"/>
        </w:rPr>
        <w:t>s</w:t>
      </w:r>
      <w:bookmarkEnd w:id="1928"/>
      <w:r w:rsidRPr="003B4362">
        <w:rPr>
          <w:rFonts w:eastAsia="Calibri"/>
          <w:szCs w:val="24"/>
        </w:rPr>
        <w:t xml:space="preserve"> and distribute </w:t>
      </w:r>
      <w:bookmarkStart w:id="1930" w:name="_Hlk120723241"/>
      <w:r w:rsidRPr="003B4362">
        <w:rPr>
          <w:rFonts w:eastAsia="Calibri"/>
          <w:szCs w:val="24"/>
        </w:rPr>
        <w:lastRenderedPageBreak/>
        <w:t xml:space="preserve">public </w:t>
      </w:r>
      <w:bookmarkStart w:id="1931" w:name="_Hlk120722069"/>
      <w:r w:rsidRPr="003B4362">
        <w:rPr>
          <w:rFonts w:eastAsia="Calibri"/>
          <w:szCs w:val="24"/>
        </w:rPr>
        <w:t xml:space="preserve">education materials </w:t>
      </w:r>
      <w:r w:rsidR="00FA1530" w:rsidRPr="003B4362">
        <w:rPr>
          <w:rFonts w:eastAsia="Calibri"/>
          <w:szCs w:val="24"/>
        </w:rPr>
        <w:t>whose</w:t>
      </w:r>
      <w:r w:rsidRPr="003B4362">
        <w:rPr>
          <w:rFonts w:eastAsia="Calibri"/>
          <w:szCs w:val="24"/>
        </w:rPr>
        <w:t xml:space="preserve"> content </w:t>
      </w:r>
      <w:r w:rsidR="00E83903" w:rsidRPr="003B4362">
        <w:rPr>
          <w:rFonts w:eastAsia="Calibri"/>
          <w:szCs w:val="24"/>
        </w:rPr>
        <w:t>compl</w:t>
      </w:r>
      <w:r w:rsidR="00FA1530" w:rsidRPr="003B4362">
        <w:rPr>
          <w:rFonts w:eastAsia="Calibri"/>
          <w:szCs w:val="24"/>
        </w:rPr>
        <w:t>ies</w:t>
      </w:r>
      <w:r w:rsidR="00E83903" w:rsidRPr="003B4362">
        <w:rPr>
          <w:rFonts w:eastAsia="Calibri"/>
          <w:szCs w:val="24"/>
        </w:rPr>
        <w:t xml:space="preserve"> with</w:t>
      </w:r>
      <w:r w:rsidRPr="003B4362">
        <w:rPr>
          <w:rFonts w:eastAsia="Calibri"/>
          <w:szCs w:val="24"/>
        </w:rPr>
        <w:t xml:space="preserve"> subsection (a)</w:t>
      </w:r>
      <w:bookmarkEnd w:id="1930"/>
      <w:bookmarkEnd w:id="1931"/>
      <w:r w:rsidRPr="003B4362">
        <w:rPr>
          <w:rFonts w:eastAsia="Calibri"/>
          <w:szCs w:val="24"/>
        </w:rPr>
        <w:t>.</w:t>
      </w:r>
    </w:p>
    <w:p w14:paraId="0B9FD452" w14:textId="77777777"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t>Contact customers by phone, text message, email, or door hanger.</w:t>
      </w:r>
    </w:p>
    <w:p w14:paraId="0DA11127" w14:textId="464B906F"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E)</w:t>
      </w:r>
      <w:r w:rsidRPr="003B4362">
        <w:rPr>
          <w:rFonts w:eastAsia="Calibri"/>
          <w:szCs w:val="24"/>
        </w:rPr>
        <w:tab/>
        <w:t xml:space="preserve">Use another </w:t>
      </w:r>
      <w:bookmarkStart w:id="1932" w:name="_Hlk120725393"/>
      <w:bookmarkStart w:id="1933" w:name="_Hlk120725499"/>
      <w:r w:rsidRPr="003B4362">
        <w:rPr>
          <w:rFonts w:eastAsia="Calibri"/>
          <w:szCs w:val="24"/>
        </w:rPr>
        <w:t xml:space="preserve">method </w:t>
      </w:r>
      <w:bookmarkEnd w:id="1932"/>
      <w:r w:rsidR="00FA1530" w:rsidRPr="003B4362">
        <w:rPr>
          <w:rFonts w:eastAsia="Calibri"/>
          <w:szCs w:val="24"/>
        </w:rPr>
        <w:t>the Agency approves in a SEP</w:t>
      </w:r>
      <w:bookmarkEnd w:id="1933"/>
      <w:r w:rsidRPr="003B4362">
        <w:rPr>
          <w:rFonts w:eastAsia="Calibri"/>
          <w:szCs w:val="24"/>
        </w:rPr>
        <w:t xml:space="preserve"> to discuss </w:t>
      </w:r>
      <w:bookmarkStart w:id="1934" w:name="_Hlk120725676"/>
      <w:r w:rsidRPr="003B4362">
        <w:rPr>
          <w:rFonts w:eastAsia="Calibri"/>
          <w:szCs w:val="24"/>
        </w:rPr>
        <w:t xml:space="preserve">the </w:t>
      </w:r>
      <w:r w:rsidR="00FA1530" w:rsidRPr="003B4362">
        <w:rPr>
          <w:rFonts w:eastAsia="Calibri"/>
          <w:szCs w:val="24"/>
        </w:rPr>
        <w:t xml:space="preserve">supplier’s program for replacing </w:t>
      </w:r>
      <w:bookmarkStart w:id="1935" w:name="_Hlk120725589"/>
      <w:r w:rsidRPr="003B4362">
        <w:rPr>
          <w:rFonts w:eastAsia="Calibri"/>
          <w:szCs w:val="24"/>
        </w:rPr>
        <w:t>lead service line</w:t>
      </w:r>
      <w:bookmarkEnd w:id="1935"/>
      <w:r w:rsidR="00FA1530" w:rsidRPr="003B4362">
        <w:rPr>
          <w:rFonts w:eastAsia="Calibri"/>
          <w:szCs w:val="24"/>
        </w:rPr>
        <w:t>s</w:t>
      </w:r>
      <w:bookmarkEnd w:id="1934"/>
      <w:r w:rsidRPr="003B4362">
        <w:rPr>
          <w:rFonts w:eastAsia="Calibri"/>
          <w:szCs w:val="24"/>
        </w:rPr>
        <w:t xml:space="preserve"> and </w:t>
      </w:r>
      <w:bookmarkStart w:id="1936" w:name="_Hlk120725713"/>
      <w:r w:rsidRPr="003B4362">
        <w:rPr>
          <w:rFonts w:eastAsia="Calibri"/>
          <w:szCs w:val="24"/>
        </w:rPr>
        <w:t xml:space="preserve">opportunities for </w:t>
      </w:r>
      <w:r w:rsidR="00FA1530" w:rsidRPr="003B4362">
        <w:rPr>
          <w:rFonts w:eastAsia="Calibri"/>
          <w:szCs w:val="24"/>
        </w:rPr>
        <w:t xml:space="preserve">replacing the customer’s </w:t>
      </w:r>
      <w:r w:rsidRPr="003B4362">
        <w:rPr>
          <w:rFonts w:eastAsia="Calibri"/>
          <w:szCs w:val="24"/>
        </w:rPr>
        <w:t>lead service line</w:t>
      </w:r>
      <w:bookmarkEnd w:id="1936"/>
      <w:r w:rsidRPr="003B4362">
        <w:rPr>
          <w:rFonts w:eastAsia="Calibri"/>
          <w:szCs w:val="24"/>
        </w:rPr>
        <w:t>.</w:t>
      </w:r>
    </w:p>
    <w:p w14:paraId="771BC3F4" w14:textId="4D9FA9CB"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bookmarkStart w:id="1937" w:name="_Hlk120725936"/>
      <w:r w:rsidR="006E2000" w:rsidRPr="003B4362">
        <w:rPr>
          <w:rFonts w:eastAsia="Calibri"/>
          <w:szCs w:val="24"/>
        </w:rPr>
        <w:t>F</w:t>
      </w:r>
      <w:bookmarkStart w:id="1938" w:name="_Hlk120726153"/>
      <w:r w:rsidR="006E2000" w:rsidRPr="003B4362">
        <w:rPr>
          <w:rFonts w:eastAsia="Calibri"/>
          <w:szCs w:val="24"/>
        </w:rPr>
        <w:t>ollowing</w:t>
      </w:r>
      <w:r w:rsidRPr="003B4362">
        <w:rPr>
          <w:rFonts w:eastAsia="Calibri"/>
          <w:szCs w:val="24"/>
        </w:rPr>
        <w:t xml:space="preserve"> the first year </w:t>
      </w:r>
      <w:r w:rsidR="006E2000" w:rsidRPr="003B4362">
        <w:rPr>
          <w:rFonts w:eastAsia="Calibri"/>
          <w:szCs w:val="24"/>
        </w:rPr>
        <w:t>after</w:t>
      </w:r>
      <w:r w:rsidRPr="003B4362">
        <w:rPr>
          <w:rFonts w:eastAsia="Calibri"/>
          <w:szCs w:val="24"/>
        </w:rPr>
        <w:t xml:space="preserve"> </w:t>
      </w:r>
      <w:r w:rsidR="006E2000" w:rsidRPr="003B4362">
        <w:rPr>
          <w:rFonts w:eastAsia="Calibri"/>
          <w:szCs w:val="24"/>
        </w:rPr>
        <w:t>the supplier exceeds the lead</w:t>
      </w:r>
      <w:r w:rsidRPr="003B4362">
        <w:rPr>
          <w:rFonts w:eastAsia="Calibri"/>
          <w:szCs w:val="24"/>
        </w:rPr>
        <w:t xml:space="preserve"> trigger level</w:t>
      </w:r>
      <w:bookmarkEnd w:id="1937"/>
      <w:bookmarkEnd w:id="1938"/>
      <w:r w:rsidRPr="003B4362">
        <w:rPr>
          <w:rFonts w:eastAsia="Calibri"/>
          <w:szCs w:val="24"/>
        </w:rPr>
        <w:t xml:space="preserve">, </w:t>
      </w:r>
      <w:bookmarkStart w:id="1939" w:name="_Hlk120726468"/>
      <w:bookmarkStart w:id="1940" w:name="_Hlk120726205"/>
      <w:r w:rsidR="006E2000" w:rsidRPr="003B4362">
        <w:rPr>
          <w:rFonts w:eastAsia="Calibri"/>
          <w:szCs w:val="24"/>
        </w:rPr>
        <w:t>a supplier</w:t>
      </w:r>
      <w:r w:rsidRPr="003B4362">
        <w:rPr>
          <w:rFonts w:eastAsia="Calibri"/>
          <w:szCs w:val="24"/>
        </w:rPr>
        <w:t xml:space="preserve"> </w:t>
      </w:r>
      <w:r w:rsidR="006E2000" w:rsidRPr="003B4362">
        <w:rPr>
          <w:rFonts w:eastAsia="Calibri"/>
          <w:szCs w:val="24"/>
        </w:rPr>
        <w:t>still failing</w:t>
      </w:r>
      <w:r w:rsidRPr="003B4362">
        <w:rPr>
          <w:rFonts w:eastAsia="Calibri"/>
          <w:szCs w:val="24"/>
        </w:rPr>
        <w:t xml:space="preserve"> to </w:t>
      </w:r>
      <w:r w:rsidR="006E2000" w:rsidRPr="003B4362">
        <w:rPr>
          <w:rFonts w:eastAsia="Calibri"/>
          <w:szCs w:val="24"/>
        </w:rPr>
        <w:t>fulfill</w:t>
      </w:r>
      <w:r w:rsidRPr="003B4362">
        <w:rPr>
          <w:rFonts w:eastAsia="Calibri"/>
          <w:szCs w:val="24"/>
        </w:rPr>
        <w:t xml:space="preserve"> its </w:t>
      </w:r>
      <w:r w:rsidR="006E2000" w:rsidRPr="003B4362">
        <w:rPr>
          <w:rFonts w:eastAsia="Calibri"/>
          <w:szCs w:val="24"/>
        </w:rPr>
        <w:t xml:space="preserve">goal for replacing </w:t>
      </w:r>
      <w:r w:rsidRPr="003B4362">
        <w:rPr>
          <w:rFonts w:eastAsia="Calibri"/>
          <w:szCs w:val="24"/>
        </w:rPr>
        <w:t>lead service line</w:t>
      </w:r>
      <w:r w:rsidR="006E2000" w:rsidRPr="003B4362">
        <w:rPr>
          <w:rFonts w:eastAsia="Calibri"/>
          <w:szCs w:val="24"/>
        </w:rPr>
        <w:t>s</w:t>
      </w:r>
      <w:bookmarkEnd w:id="1939"/>
      <w:r w:rsidRPr="003B4362">
        <w:rPr>
          <w:rFonts w:eastAsia="Calibri"/>
          <w:szCs w:val="24"/>
        </w:rPr>
        <w:t xml:space="preserve"> </w:t>
      </w:r>
      <w:bookmarkEnd w:id="1940"/>
      <w:r w:rsidRPr="003B4362">
        <w:rPr>
          <w:rFonts w:eastAsia="Calibri"/>
          <w:szCs w:val="24"/>
        </w:rPr>
        <w:t xml:space="preserve">must conduct one activity from subsection (h)(1) and two additional </w:t>
      </w:r>
      <w:bookmarkStart w:id="1941" w:name="_Hlk120726669"/>
      <w:bookmarkStart w:id="1942" w:name="_Hlk120726815"/>
      <w:r w:rsidRPr="003B4362">
        <w:rPr>
          <w:rFonts w:eastAsia="Calibri"/>
          <w:szCs w:val="24"/>
        </w:rPr>
        <w:t xml:space="preserve">outreach activities </w:t>
      </w:r>
      <w:r w:rsidR="00616283" w:rsidRPr="003B4362">
        <w:rPr>
          <w:rFonts w:eastAsia="Calibri"/>
          <w:szCs w:val="24"/>
        </w:rPr>
        <w:t>each</w:t>
      </w:r>
      <w:r w:rsidRPr="003B4362">
        <w:rPr>
          <w:rFonts w:eastAsia="Calibri"/>
          <w:szCs w:val="24"/>
        </w:rPr>
        <w:t xml:space="preserve"> year from </w:t>
      </w:r>
      <w:bookmarkEnd w:id="1941"/>
      <w:r w:rsidR="00616283" w:rsidRPr="003B4362">
        <w:rPr>
          <w:rFonts w:eastAsia="Calibri"/>
          <w:szCs w:val="24"/>
        </w:rPr>
        <w:t>among those in subsections (h)(2)(A) through (h)(2)(D)</w:t>
      </w:r>
      <w:bookmarkEnd w:id="1942"/>
      <w:r w:rsidRPr="003B4362">
        <w:rPr>
          <w:rFonts w:eastAsia="Calibri"/>
          <w:szCs w:val="24"/>
        </w:rPr>
        <w:t>:</w:t>
      </w:r>
    </w:p>
    <w:p w14:paraId="7F397015" w14:textId="77777777"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Conduct social media campaign.</w:t>
      </w:r>
    </w:p>
    <w:p w14:paraId="598DCCFD" w14:textId="77777777"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Conduct outreach via newspaper, television, or radio.</w:t>
      </w:r>
    </w:p>
    <w:p w14:paraId="2FFDED63" w14:textId="0B14B101"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 xml:space="preserve">Contact organizations representing plumbers and contractors by mail </w:t>
      </w:r>
      <w:bookmarkStart w:id="1943" w:name="_Hlk120726905"/>
      <w:r w:rsidRPr="003B4362">
        <w:rPr>
          <w:rFonts w:eastAsia="Calibri"/>
          <w:szCs w:val="24"/>
        </w:rPr>
        <w:t>provid</w:t>
      </w:r>
      <w:r w:rsidR="00616283" w:rsidRPr="003B4362">
        <w:rPr>
          <w:rFonts w:eastAsia="Calibri"/>
          <w:szCs w:val="24"/>
        </w:rPr>
        <w:t>ing</w:t>
      </w:r>
      <w:r w:rsidRPr="003B4362">
        <w:rPr>
          <w:rFonts w:eastAsia="Calibri"/>
          <w:szCs w:val="24"/>
        </w:rPr>
        <w:t xml:space="preserve"> information</w:t>
      </w:r>
      <w:bookmarkEnd w:id="1943"/>
      <w:r w:rsidRPr="003B4362">
        <w:rPr>
          <w:rFonts w:eastAsia="Calibri"/>
          <w:szCs w:val="24"/>
        </w:rPr>
        <w:t xml:space="preserve"> about lead in drinking water</w:t>
      </w:r>
      <w:r w:rsidR="00616283" w:rsidRPr="003B4362">
        <w:rPr>
          <w:rFonts w:eastAsia="Calibri"/>
          <w:szCs w:val="24"/>
        </w:rPr>
        <w:t>,</w:t>
      </w:r>
      <w:r w:rsidRPr="003B4362">
        <w:rPr>
          <w:rFonts w:eastAsia="Calibri"/>
          <w:szCs w:val="24"/>
        </w:rPr>
        <w:t xml:space="preserve"> including health effects, sources of lead, and the importance of using </w:t>
      </w:r>
      <w:bookmarkStart w:id="1944" w:name="_Hlk120727228"/>
      <w:r w:rsidRPr="003B4362">
        <w:rPr>
          <w:rFonts w:eastAsia="Calibri"/>
          <w:szCs w:val="24"/>
        </w:rPr>
        <w:t>lead</w:t>
      </w:r>
      <w:r w:rsidR="00616283" w:rsidRPr="003B4362">
        <w:rPr>
          <w:rFonts w:eastAsia="Calibri"/>
          <w:szCs w:val="24"/>
        </w:rPr>
        <w:t>-</w:t>
      </w:r>
      <w:r w:rsidRPr="003B4362">
        <w:rPr>
          <w:rFonts w:eastAsia="Calibri"/>
          <w:szCs w:val="24"/>
        </w:rPr>
        <w:t>free plumbing materials</w:t>
      </w:r>
      <w:bookmarkEnd w:id="1944"/>
      <w:r w:rsidRPr="003B4362">
        <w:rPr>
          <w:rFonts w:eastAsia="Calibri"/>
          <w:szCs w:val="24"/>
        </w:rPr>
        <w:t>.</w:t>
      </w:r>
    </w:p>
    <w:p w14:paraId="3B88C2E3" w14:textId="7531F7BD"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t xml:space="preserve">Visit targeted customers to discuss </w:t>
      </w:r>
      <w:bookmarkStart w:id="1945" w:name="_Hlk120727360"/>
      <w:r w:rsidRPr="003B4362">
        <w:rPr>
          <w:rFonts w:eastAsia="Calibri"/>
          <w:szCs w:val="24"/>
        </w:rPr>
        <w:t xml:space="preserve">the </w:t>
      </w:r>
      <w:bookmarkStart w:id="1946" w:name="_Hlk120727450"/>
      <w:r w:rsidR="00922306" w:rsidRPr="003B4362">
        <w:rPr>
          <w:rFonts w:eastAsia="Calibri"/>
          <w:szCs w:val="24"/>
        </w:rPr>
        <w:t xml:space="preserve">supplier’s program for replacing </w:t>
      </w:r>
      <w:r w:rsidRPr="003B4362">
        <w:rPr>
          <w:rFonts w:eastAsia="Calibri"/>
          <w:szCs w:val="24"/>
        </w:rPr>
        <w:t>lead service line</w:t>
      </w:r>
      <w:bookmarkEnd w:id="1945"/>
      <w:r w:rsidR="00922306" w:rsidRPr="003B4362">
        <w:rPr>
          <w:rFonts w:eastAsia="Calibri"/>
          <w:szCs w:val="24"/>
        </w:rPr>
        <w:t>s</w:t>
      </w:r>
      <w:bookmarkEnd w:id="1946"/>
      <w:r w:rsidRPr="003B4362">
        <w:rPr>
          <w:rFonts w:eastAsia="Calibri"/>
          <w:szCs w:val="24"/>
        </w:rPr>
        <w:t xml:space="preserve"> and </w:t>
      </w:r>
      <w:bookmarkStart w:id="1947" w:name="_Hlk120727625"/>
      <w:r w:rsidRPr="003B4362">
        <w:rPr>
          <w:rFonts w:eastAsia="Calibri"/>
          <w:szCs w:val="24"/>
        </w:rPr>
        <w:t>opportunities for replac</w:t>
      </w:r>
      <w:r w:rsidR="00922306" w:rsidRPr="003B4362">
        <w:rPr>
          <w:rFonts w:eastAsia="Calibri"/>
          <w:szCs w:val="24"/>
        </w:rPr>
        <w:t>ing the customers’ lead service lines</w:t>
      </w:r>
      <w:bookmarkEnd w:id="1947"/>
      <w:r w:rsidRPr="003B4362">
        <w:rPr>
          <w:rFonts w:eastAsia="Calibri"/>
          <w:szCs w:val="24"/>
        </w:rPr>
        <w:t>.</w:t>
      </w:r>
    </w:p>
    <w:p w14:paraId="08A942BA" w14:textId="0004E3CE"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T</w:t>
      </w:r>
      <w:bookmarkStart w:id="1948" w:name="_Hlk120732106"/>
      <w:bookmarkStart w:id="1949" w:name="_Hlk120732806"/>
      <w:r w:rsidRPr="003B4362">
        <w:rPr>
          <w:rFonts w:eastAsia="Calibri"/>
          <w:szCs w:val="24"/>
        </w:rPr>
        <w:t xml:space="preserve">he </w:t>
      </w:r>
      <w:r w:rsidR="006829E7" w:rsidRPr="003B4362">
        <w:rPr>
          <w:rFonts w:eastAsia="Calibri"/>
          <w:szCs w:val="24"/>
        </w:rPr>
        <w:t>supplier</w:t>
      </w:r>
      <w:r w:rsidRPr="003B4362">
        <w:rPr>
          <w:rFonts w:eastAsia="Calibri"/>
          <w:szCs w:val="24"/>
        </w:rPr>
        <w:t xml:space="preserve"> may </w:t>
      </w:r>
      <w:bookmarkEnd w:id="1948"/>
      <w:r w:rsidR="006829E7" w:rsidRPr="003B4362">
        <w:rPr>
          <w:rFonts w:eastAsia="Calibri"/>
          <w:szCs w:val="24"/>
        </w:rPr>
        <w:t>stop</w:t>
      </w:r>
      <w:bookmarkEnd w:id="1949"/>
      <w:r w:rsidRPr="003B4362">
        <w:rPr>
          <w:rFonts w:eastAsia="Calibri"/>
          <w:szCs w:val="24"/>
        </w:rPr>
        <w:t xml:space="preserve"> outreach activities when tap sampling shows that </w:t>
      </w:r>
      <w:bookmarkStart w:id="1950" w:name="_Hlk120732882"/>
      <w:r w:rsidR="006829E7" w:rsidRPr="003B4362">
        <w:rPr>
          <w:rFonts w:eastAsia="Calibri"/>
          <w:szCs w:val="24"/>
        </w:rPr>
        <w:t>its</w:t>
      </w:r>
      <w:r w:rsidRPr="003B4362">
        <w:rPr>
          <w:rFonts w:eastAsia="Calibri"/>
          <w:szCs w:val="24"/>
        </w:rPr>
        <w:t xml:space="preserve"> 90th percentile</w:t>
      </w:r>
      <w:r w:rsidR="006829E7" w:rsidRPr="003B4362">
        <w:rPr>
          <w:rFonts w:eastAsia="Calibri"/>
          <w:szCs w:val="24"/>
        </w:rPr>
        <w:t xml:space="preserve"> </w:t>
      </w:r>
      <w:r w:rsidRPr="003B4362">
        <w:rPr>
          <w:rFonts w:eastAsia="Calibri"/>
          <w:szCs w:val="24"/>
        </w:rPr>
        <w:t xml:space="preserve">lead </w:t>
      </w:r>
      <w:r w:rsidR="006829E7" w:rsidRPr="003B4362">
        <w:rPr>
          <w:rFonts w:eastAsia="Calibri"/>
          <w:szCs w:val="24"/>
        </w:rPr>
        <w:t>concentra</w:t>
      </w:r>
      <w:r w:rsidR="007D1C78" w:rsidRPr="003B4362">
        <w:rPr>
          <w:rFonts w:eastAsia="Calibri"/>
          <w:szCs w:val="24"/>
        </w:rPr>
        <w:t>t</w:t>
      </w:r>
      <w:r w:rsidR="006829E7" w:rsidRPr="003B4362">
        <w:rPr>
          <w:rFonts w:eastAsia="Calibri"/>
          <w:szCs w:val="24"/>
        </w:rPr>
        <w:t>ion no longer exceeds</w:t>
      </w:r>
      <w:bookmarkStart w:id="1951" w:name="_Hlk120733503"/>
      <w:bookmarkEnd w:id="1950"/>
      <w:r w:rsidRPr="003B4362">
        <w:rPr>
          <w:rFonts w:eastAsia="Calibri"/>
          <w:szCs w:val="24"/>
        </w:rPr>
        <w:t xml:space="preserve"> the trigger level of 10 </w:t>
      </w:r>
      <w:r w:rsidR="00870D11" w:rsidRPr="003B4362">
        <w:rPr>
          <w:rFonts w:eastAsia="Calibri"/>
          <w:szCs w:val="24"/>
        </w:rPr>
        <w:t>µg</w:t>
      </w:r>
      <w:r w:rsidRPr="003B4362">
        <w:rPr>
          <w:rFonts w:eastAsia="Calibri"/>
          <w:szCs w:val="24"/>
        </w:rPr>
        <w:t>/</w:t>
      </w:r>
      <w:bookmarkEnd w:id="1951"/>
      <w:r w:rsidR="00C25B6F" w:rsidRPr="003B4362">
        <w:t xml:space="preserve"> L</w:t>
      </w:r>
      <w:r w:rsidRPr="003B4362">
        <w:rPr>
          <w:rFonts w:eastAsia="Calibri"/>
          <w:szCs w:val="24"/>
        </w:rPr>
        <w:t xml:space="preserve"> for two consecutive tap monitoring </w:t>
      </w:r>
      <w:r w:rsidR="006516CE" w:rsidRPr="003B4362">
        <w:rPr>
          <w:rFonts w:eastAsia="Calibri"/>
          <w:szCs w:val="24"/>
        </w:rPr>
        <w:t>cycle</w:t>
      </w:r>
      <w:r w:rsidRPr="003B4362">
        <w:rPr>
          <w:rFonts w:eastAsia="Calibri"/>
          <w:szCs w:val="24"/>
        </w:rPr>
        <w:t xml:space="preserve">s or </w:t>
      </w:r>
      <w:bookmarkStart w:id="1952" w:name="_Hlk120733666"/>
      <w:r w:rsidRPr="003B4362">
        <w:rPr>
          <w:rFonts w:eastAsia="Calibri"/>
          <w:szCs w:val="24"/>
        </w:rPr>
        <w:t xml:space="preserve">when all </w:t>
      </w:r>
      <w:r w:rsidR="00F93C47" w:rsidRPr="003B4362">
        <w:rPr>
          <w:rFonts w:eastAsia="Calibri"/>
          <w:szCs w:val="24"/>
        </w:rPr>
        <w:t>customers the supplier serves through</w:t>
      </w:r>
      <w:r w:rsidRPr="003B4362">
        <w:rPr>
          <w:rFonts w:eastAsia="Calibri"/>
          <w:szCs w:val="24"/>
        </w:rPr>
        <w:t xml:space="preserve"> </w:t>
      </w:r>
      <w:r w:rsidR="000116D3" w:rsidRPr="003B4362">
        <w:rPr>
          <w:rFonts w:eastAsia="Calibri"/>
          <w:szCs w:val="24"/>
        </w:rPr>
        <w:t>lead or galvanized requiring replacemen</w:t>
      </w:r>
      <w:r w:rsidRPr="003B4362">
        <w:rPr>
          <w:rFonts w:eastAsia="Calibri"/>
          <w:szCs w:val="24"/>
        </w:rPr>
        <w:t>t service line</w:t>
      </w:r>
      <w:r w:rsidR="00F93C47" w:rsidRPr="003B4362">
        <w:rPr>
          <w:rFonts w:eastAsia="Calibri"/>
          <w:szCs w:val="24"/>
        </w:rPr>
        <w:t xml:space="preserve">s </w:t>
      </w:r>
      <w:r w:rsidRPr="003B4362">
        <w:rPr>
          <w:rFonts w:eastAsia="Calibri"/>
          <w:szCs w:val="24"/>
        </w:rPr>
        <w:t xml:space="preserve">refuse to participate in </w:t>
      </w:r>
      <w:r w:rsidR="00F93C47" w:rsidRPr="003B4362">
        <w:rPr>
          <w:rFonts w:eastAsia="Calibri"/>
          <w:szCs w:val="24"/>
        </w:rPr>
        <w:t xml:space="preserve">replacing the customer-owned portion under </w:t>
      </w:r>
      <w:r w:rsidRPr="003B4362">
        <w:rPr>
          <w:rFonts w:eastAsia="Calibri"/>
          <w:szCs w:val="24"/>
        </w:rPr>
        <w:t xml:space="preserve">the </w:t>
      </w:r>
      <w:r w:rsidR="00F93C47" w:rsidRPr="003B4362">
        <w:rPr>
          <w:rFonts w:eastAsia="Calibri"/>
          <w:szCs w:val="24"/>
        </w:rPr>
        <w:t xml:space="preserve">supplier’s program for replacing </w:t>
      </w:r>
      <w:r w:rsidRPr="003B4362">
        <w:rPr>
          <w:rFonts w:eastAsia="Calibri"/>
          <w:szCs w:val="24"/>
        </w:rPr>
        <w:t>lead service line</w:t>
      </w:r>
      <w:r w:rsidR="00F93C47" w:rsidRPr="003B4362">
        <w:rPr>
          <w:rFonts w:eastAsia="Calibri"/>
          <w:szCs w:val="24"/>
        </w:rPr>
        <w:t>s</w:t>
      </w:r>
      <w:bookmarkEnd w:id="1952"/>
      <w:r w:rsidRPr="003B4362">
        <w:rPr>
          <w:rFonts w:eastAsia="Calibri"/>
          <w:szCs w:val="24"/>
        </w:rPr>
        <w:t xml:space="preserve">.  </w:t>
      </w:r>
      <w:bookmarkStart w:id="1953" w:name="_Hlk120733818"/>
      <w:r w:rsidR="007D1C78" w:rsidRPr="003B4362">
        <w:rPr>
          <w:rFonts w:eastAsia="Calibri"/>
          <w:szCs w:val="24"/>
        </w:rPr>
        <w:t>U</w:t>
      </w:r>
      <w:bookmarkStart w:id="1954" w:name="_Hlk120734729"/>
      <w:r w:rsidR="007D1C78" w:rsidRPr="003B4362">
        <w:rPr>
          <w:rFonts w:eastAsia="Calibri"/>
          <w:szCs w:val="24"/>
        </w:rPr>
        <w:t>nder</w:t>
      </w:r>
      <w:r w:rsidRPr="003B4362">
        <w:rPr>
          <w:rFonts w:eastAsia="Calibri"/>
          <w:szCs w:val="24"/>
        </w:rPr>
        <w:t xml:space="preserve"> this subsection (h)(3)</w:t>
      </w:r>
      <w:bookmarkEnd w:id="1953"/>
      <w:bookmarkEnd w:id="1954"/>
      <w:r w:rsidRPr="003B4362">
        <w:rPr>
          <w:rFonts w:eastAsia="Calibri"/>
          <w:szCs w:val="24"/>
        </w:rPr>
        <w:t xml:space="preserve">, a refusal includes </w:t>
      </w:r>
      <w:bookmarkStart w:id="1955" w:name="_Hlk120734796"/>
      <w:r w:rsidRPr="003B4362">
        <w:rPr>
          <w:rFonts w:eastAsia="Calibri"/>
          <w:szCs w:val="24"/>
        </w:rPr>
        <w:t xml:space="preserve">a </w:t>
      </w:r>
      <w:r w:rsidR="00F14A3D" w:rsidRPr="003B4362">
        <w:rPr>
          <w:rFonts w:eastAsia="Calibri"/>
          <w:szCs w:val="24"/>
        </w:rPr>
        <w:t>customer-</w:t>
      </w:r>
      <w:r w:rsidRPr="003B4362">
        <w:rPr>
          <w:rFonts w:eastAsia="Calibri"/>
          <w:szCs w:val="24"/>
        </w:rPr>
        <w:t>signed statement</w:t>
      </w:r>
      <w:r w:rsidR="00F14A3D" w:rsidRPr="003B4362">
        <w:rPr>
          <w:rFonts w:eastAsia="Calibri"/>
          <w:szCs w:val="24"/>
        </w:rPr>
        <w:t xml:space="preserve"> </w:t>
      </w:r>
      <w:r w:rsidRPr="003B4362">
        <w:rPr>
          <w:rFonts w:eastAsia="Calibri"/>
          <w:szCs w:val="24"/>
        </w:rPr>
        <w:t xml:space="preserve">refusing </w:t>
      </w:r>
      <w:r w:rsidR="00F14A3D" w:rsidRPr="003B4362">
        <w:rPr>
          <w:rFonts w:eastAsia="Calibri"/>
          <w:szCs w:val="24"/>
        </w:rPr>
        <w:t>to participate in replacing the customer-owned</w:t>
      </w:r>
      <w:bookmarkStart w:id="1956" w:name="_Hlk120734695"/>
      <w:r w:rsidR="00F14A3D" w:rsidRPr="003B4362">
        <w:rPr>
          <w:rFonts w:eastAsia="Calibri"/>
          <w:szCs w:val="24"/>
        </w:rPr>
        <w:t xml:space="preserve"> </w:t>
      </w:r>
      <w:bookmarkEnd w:id="1956"/>
      <w:r w:rsidR="00F14A3D" w:rsidRPr="003B4362">
        <w:rPr>
          <w:rFonts w:eastAsia="Calibri"/>
          <w:szCs w:val="24"/>
        </w:rPr>
        <w:t xml:space="preserve">portion of the </w:t>
      </w:r>
      <w:r w:rsidRPr="003B4362">
        <w:rPr>
          <w:rFonts w:eastAsia="Calibri"/>
          <w:szCs w:val="24"/>
        </w:rPr>
        <w:t>lead service line</w:t>
      </w:r>
      <w:bookmarkEnd w:id="1955"/>
      <w:r w:rsidR="00F14A3D" w:rsidRPr="003B4362">
        <w:rPr>
          <w:rFonts w:eastAsia="Calibri"/>
          <w:szCs w:val="24"/>
        </w:rPr>
        <w:t xml:space="preserve"> </w:t>
      </w:r>
      <w:r w:rsidRPr="003B4362">
        <w:rPr>
          <w:rFonts w:eastAsia="Calibri"/>
          <w:szCs w:val="24"/>
        </w:rPr>
        <w:t xml:space="preserve">or </w:t>
      </w:r>
      <w:bookmarkStart w:id="1957" w:name="_Hlk120734914"/>
      <w:r w:rsidR="00F14A3D" w:rsidRPr="003B4362">
        <w:rPr>
          <w:rFonts w:eastAsia="Calibri"/>
          <w:szCs w:val="24"/>
        </w:rPr>
        <w:t xml:space="preserve">supplier-generated </w:t>
      </w:r>
      <w:r w:rsidRPr="003B4362">
        <w:rPr>
          <w:rFonts w:eastAsia="Calibri"/>
          <w:szCs w:val="24"/>
        </w:rPr>
        <w:t>document</w:t>
      </w:r>
      <w:r w:rsidR="00F14A3D" w:rsidRPr="003B4362">
        <w:rPr>
          <w:rFonts w:eastAsia="Calibri"/>
          <w:szCs w:val="24"/>
        </w:rPr>
        <w:t>s</w:t>
      </w:r>
      <w:r w:rsidRPr="003B4362">
        <w:rPr>
          <w:rFonts w:eastAsia="Calibri"/>
          <w:szCs w:val="24"/>
        </w:rPr>
        <w:t xml:space="preserve"> </w:t>
      </w:r>
      <w:r w:rsidR="00F14A3D" w:rsidRPr="003B4362">
        <w:rPr>
          <w:rFonts w:eastAsia="Calibri"/>
          <w:szCs w:val="24"/>
        </w:rPr>
        <w:t>memorializing the customer’s</w:t>
      </w:r>
      <w:r w:rsidRPr="003B4362">
        <w:rPr>
          <w:rFonts w:eastAsia="Calibri"/>
          <w:szCs w:val="24"/>
        </w:rPr>
        <w:t xml:space="preserve"> verbal refusal or </w:t>
      </w:r>
      <w:r w:rsidR="00F14A3D" w:rsidRPr="003B4362">
        <w:rPr>
          <w:rFonts w:eastAsia="Calibri"/>
          <w:szCs w:val="24"/>
        </w:rPr>
        <w:t>non-</w:t>
      </w:r>
      <w:r w:rsidRPr="003B4362">
        <w:rPr>
          <w:rFonts w:eastAsia="Calibri"/>
          <w:szCs w:val="24"/>
        </w:rPr>
        <w:t xml:space="preserve">response after two good faith attempts </w:t>
      </w:r>
      <w:r w:rsidR="00F547CC" w:rsidRPr="003B4362">
        <w:rPr>
          <w:rFonts w:eastAsia="Calibri"/>
          <w:szCs w:val="24"/>
        </w:rPr>
        <w:t xml:space="preserve">by the supplier </w:t>
      </w:r>
      <w:r w:rsidRPr="003B4362">
        <w:rPr>
          <w:rFonts w:eastAsia="Calibri"/>
          <w:szCs w:val="24"/>
        </w:rPr>
        <w:t>to reach the customer</w:t>
      </w:r>
      <w:bookmarkEnd w:id="1957"/>
      <w:r w:rsidRPr="003B4362">
        <w:rPr>
          <w:rFonts w:eastAsia="Calibri"/>
          <w:szCs w:val="24"/>
        </w:rPr>
        <w:t>.</w:t>
      </w:r>
    </w:p>
    <w:p w14:paraId="60719F41" w14:textId="2A91D235" w:rsidR="00F953AD" w:rsidRPr="003B4362" w:rsidRDefault="00F953AD" w:rsidP="00F953AD">
      <w:pPr>
        <w:autoSpaceDE w:val="0"/>
        <w:autoSpaceDN w:val="0"/>
        <w:adjustRightInd w:val="0"/>
        <w:spacing w:before="240" w:after="240"/>
        <w:ind w:left="1440" w:hanging="720"/>
        <w:rPr>
          <w:rFonts w:eastAsia="Calibri"/>
          <w:szCs w:val="24"/>
        </w:rPr>
      </w:pPr>
      <w:r w:rsidRPr="003B4362">
        <w:rPr>
          <w:rFonts w:eastAsia="Calibri"/>
          <w:szCs w:val="24"/>
        </w:rPr>
        <w:t>i)</w:t>
      </w:r>
      <w:r w:rsidRPr="003B4362">
        <w:rPr>
          <w:rFonts w:eastAsia="Calibri"/>
          <w:szCs w:val="24"/>
        </w:rPr>
        <w:tab/>
        <w:t xml:space="preserve">Public </w:t>
      </w:r>
      <w:r w:rsidR="00F547CC" w:rsidRPr="003B4362">
        <w:rPr>
          <w:rFonts w:eastAsia="Calibri"/>
          <w:szCs w:val="24"/>
        </w:rPr>
        <w:t>E</w:t>
      </w:r>
      <w:r w:rsidRPr="003B4362">
        <w:rPr>
          <w:rFonts w:eastAsia="Calibri"/>
          <w:szCs w:val="24"/>
        </w:rPr>
        <w:t xml:space="preserve">ducation to </w:t>
      </w:r>
      <w:r w:rsidR="00F547CC" w:rsidRPr="003B4362">
        <w:rPr>
          <w:rFonts w:eastAsia="Calibri"/>
          <w:szCs w:val="24"/>
        </w:rPr>
        <w:t>L</w:t>
      </w:r>
      <w:r w:rsidRPr="003B4362">
        <w:rPr>
          <w:rFonts w:eastAsia="Calibri"/>
          <w:szCs w:val="24"/>
        </w:rPr>
        <w:t xml:space="preserve">ocal and State </w:t>
      </w:r>
      <w:r w:rsidR="00F547CC" w:rsidRPr="003B4362">
        <w:rPr>
          <w:rFonts w:eastAsia="Calibri"/>
          <w:szCs w:val="24"/>
        </w:rPr>
        <w:t>H</w:t>
      </w:r>
      <w:r w:rsidRPr="003B4362">
        <w:rPr>
          <w:rFonts w:eastAsia="Calibri"/>
          <w:szCs w:val="24"/>
        </w:rPr>
        <w:t xml:space="preserve">ealth </w:t>
      </w:r>
      <w:r w:rsidR="00F547CC" w:rsidRPr="003B4362">
        <w:rPr>
          <w:rFonts w:eastAsia="Calibri"/>
          <w:szCs w:val="24"/>
        </w:rPr>
        <w:t>A</w:t>
      </w:r>
      <w:r w:rsidRPr="003B4362">
        <w:rPr>
          <w:rFonts w:eastAsia="Calibri"/>
          <w:szCs w:val="24"/>
        </w:rPr>
        <w:t>gencies</w:t>
      </w:r>
    </w:p>
    <w:p w14:paraId="01F7579C" w14:textId="56A40497"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r>
      <w:bookmarkStart w:id="1958" w:name="_Hlk120735396"/>
      <w:r w:rsidRPr="003B4362">
        <w:rPr>
          <w:rFonts w:eastAsia="Calibri"/>
          <w:szCs w:val="24"/>
        </w:rPr>
        <w:t>Find-and-</w:t>
      </w:r>
      <w:r w:rsidR="005725C1" w:rsidRPr="003B4362">
        <w:rPr>
          <w:rFonts w:eastAsia="Calibri"/>
          <w:szCs w:val="24"/>
        </w:rPr>
        <w:t>F</w:t>
      </w:r>
      <w:r w:rsidRPr="003B4362">
        <w:rPr>
          <w:rFonts w:eastAsia="Calibri"/>
          <w:szCs w:val="24"/>
        </w:rPr>
        <w:t xml:space="preserve">ix </w:t>
      </w:r>
      <w:r w:rsidR="005725C1" w:rsidRPr="003B4362">
        <w:rPr>
          <w:rFonts w:eastAsia="Calibri"/>
          <w:szCs w:val="24"/>
        </w:rPr>
        <w:t>R</w:t>
      </w:r>
      <w:r w:rsidRPr="003B4362">
        <w:rPr>
          <w:rFonts w:eastAsia="Calibri"/>
          <w:szCs w:val="24"/>
        </w:rPr>
        <w:t>esults</w:t>
      </w:r>
      <w:bookmarkEnd w:id="1958"/>
      <w:r w:rsidRPr="003B4362">
        <w:rPr>
          <w:rFonts w:eastAsia="Calibri"/>
          <w:szCs w:val="24"/>
        </w:rPr>
        <w:t>.  A</w:t>
      </w:r>
      <w:r w:rsidR="005725C1" w:rsidRPr="003B4362">
        <w:rPr>
          <w:rFonts w:eastAsia="Calibri"/>
          <w:szCs w:val="24"/>
        </w:rPr>
        <w:t xml:space="preserve"> CWS supplier</w:t>
      </w:r>
      <w:r w:rsidRPr="003B4362">
        <w:rPr>
          <w:rFonts w:eastAsia="Calibri"/>
          <w:szCs w:val="24"/>
        </w:rPr>
        <w:t xml:space="preserve"> must </w:t>
      </w:r>
      <w:bookmarkStart w:id="1959" w:name="_Hlk120735533"/>
      <w:r w:rsidR="005725C1" w:rsidRPr="003B4362">
        <w:rPr>
          <w:rFonts w:eastAsia="Calibri"/>
          <w:szCs w:val="24"/>
        </w:rPr>
        <w:t>inform</w:t>
      </w:r>
      <w:r w:rsidRPr="003B4362">
        <w:rPr>
          <w:rFonts w:eastAsia="Calibri"/>
          <w:szCs w:val="24"/>
        </w:rPr>
        <w:t xml:space="preserve"> </w:t>
      </w:r>
      <w:bookmarkStart w:id="1960" w:name="_Hlk120739465"/>
      <w:r w:rsidR="005725C1" w:rsidRPr="003B4362">
        <w:rPr>
          <w:rFonts w:eastAsia="Calibri"/>
          <w:szCs w:val="24"/>
        </w:rPr>
        <w:t>the Department of Public Health</w:t>
      </w:r>
      <w:r w:rsidRPr="003B4362">
        <w:rPr>
          <w:rFonts w:eastAsia="Calibri"/>
          <w:szCs w:val="24"/>
        </w:rPr>
        <w:t xml:space="preserve"> and </w:t>
      </w:r>
      <w:r w:rsidR="005725C1" w:rsidRPr="003B4362">
        <w:rPr>
          <w:rFonts w:eastAsia="Calibri"/>
          <w:szCs w:val="24"/>
        </w:rPr>
        <w:t>local</w:t>
      </w:r>
      <w:r w:rsidRPr="003B4362">
        <w:rPr>
          <w:rFonts w:eastAsia="Calibri"/>
          <w:szCs w:val="24"/>
        </w:rPr>
        <w:t xml:space="preserve"> health agencies</w:t>
      </w:r>
      <w:bookmarkEnd w:id="1959"/>
      <w:bookmarkEnd w:id="1960"/>
      <w:r w:rsidRPr="003B4362">
        <w:rPr>
          <w:rFonts w:eastAsia="Calibri"/>
          <w:szCs w:val="24"/>
        </w:rPr>
        <w:t xml:space="preserve"> </w:t>
      </w:r>
      <w:bookmarkStart w:id="1961" w:name="_Hlk120736114"/>
      <w:r w:rsidRPr="003B4362">
        <w:rPr>
          <w:rFonts w:eastAsia="Calibri"/>
          <w:szCs w:val="24"/>
        </w:rPr>
        <w:t xml:space="preserve">about </w:t>
      </w:r>
      <w:r w:rsidR="005725C1" w:rsidRPr="003B4362">
        <w:rPr>
          <w:rFonts w:eastAsia="Calibri"/>
          <w:szCs w:val="24"/>
        </w:rPr>
        <w:t xml:space="preserve">its </w:t>
      </w:r>
      <w:r w:rsidRPr="003B4362">
        <w:rPr>
          <w:rFonts w:eastAsia="Calibri"/>
          <w:szCs w:val="24"/>
        </w:rPr>
        <w:t xml:space="preserve">find-and-fix activities </w:t>
      </w:r>
      <w:r w:rsidR="005725C1" w:rsidRPr="003B4362">
        <w:rPr>
          <w:rFonts w:eastAsia="Calibri"/>
          <w:szCs w:val="24"/>
        </w:rPr>
        <w:t>under</w:t>
      </w:r>
      <w:r w:rsidRPr="003B4362">
        <w:rPr>
          <w:rFonts w:eastAsia="Calibri"/>
          <w:szCs w:val="24"/>
        </w:rPr>
        <w:t xml:space="preserve"> Section </w:t>
      </w:r>
      <w:r w:rsidR="005725C1" w:rsidRPr="003B4362">
        <w:rPr>
          <w:rFonts w:eastAsia="Calibri"/>
          <w:szCs w:val="24"/>
        </w:rPr>
        <w:t>61</w:t>
      </w:r>
      <w:r w:rsidRPr="003B4362">
        <w:rPr>
          <w:rFonts w:eastAsia="Calibri"/>
          <w:szCs w:val="24"/>
        </w:rPr>
        <w:t>1.</w:t>
      </w:r>
      <w:r w:rsidR="005725C1" w:rsidRPr="003B4362">
        <w:rPr>
          <w:rFonts w:eastAsia="Calibri"/>
          <w:szCs w:val="24"/>
        </w:rPr>
        <w:t>35</w:t>
      </w:r>
      <w:r w:rsidRPr="003B4362">
        <w:rPr>
          <w:rFonts w:eastAsia="Calibri"/>
          <w:szCs w:val="24"/>
        </w:rPr>
        <w:t>2(j)</w:t>
      </w:r>
      <w:bookmarkEnd w:id="1961"/>
      <w:r w:rsidR="002F168A" w:rsidRPr="003B4362">
        <w:rPr>
          <w:rFonts w:eastAsia="Calibri"/>
          <w:szCs w:val="24"/>
        </w:rPr>
        <w:t>,</w:t>
      </w:r>
      <w:r w:rsidRPr="003B4362">
        <w:rPr>
          <w:rFonts w:eastAsia="Calibri"/>
          <w:szCs w:val="24"/>
        </w:rPr>
        <w:t xml:space="preserve"> including the location of the tap sample </w:t>
      </w:r>
      <w:bookmarkStart w:id="1962" w:name="_Hlk120736695"/>
      <w:r w:rsidRPr="003B4362">
        <w:rPr>
          <w:rFonts w:eastAsia="Calibri"/>
          <w:szCs w:val="24"/>
        </w:rPr>
        <w:t>site</w:t>
      </w:r>
      <w:r w:rsidR="002F168A" w:rsidRPr="003B4362">
        <w:rPr>
          <w:rFonts w:eastAsia="Calibri"/>
          <w:szCs w:val="24"/>
        </w:rPr>
        <w:t>s</w:t>
      </w:r>
      <w:r w:rsidRPr="003B4362">
        <w:rPr>
          <w:rFonts w:eastAsia="Calibri"/>
          <w:szCs w:val="24"/>
        </w:rPr>
        <w:t xml:space="preserve"> </w:t>
      </w:r>
      <w:r w:rsidR="002F168A" w:rsidRPr="003B4362">
        <w:rPr>
          <w:rFonts w:eastAsia="Calibri"/>
          <w:szCs w:val="24"/>
        </w:rPr>
        <w:t>exceeding</w:t>
      </w:r>
      <w:r w:rsidRPr="003B4362">
        <w:rPr>
          <w:rFonts w:eastAsia="Calibri"/>
          <w:szCs w:val="24"/>
        </w:rPr>
        <w:t xml:space="preserve"> 15 </w:t>
      </w:r>
      <w:r w:rsidR="00870D11" w:rsidRPr="003B4362">
        <w:rPr>
          <w:rFonts w:eastAsia="Calibri"/>
          <w:szCs w:val="24"/>
        </w:rPr>
        <w:t>µg</w:t>
      </w:r>
      <w:r w:rsidRPr="003B4362">
        <w:rPr>
          <w:rFonts w:eastAsia="Calibri"/>
          <w:szCs w:val="24"/>
        </w:rPr>
        <w:t>/</w:t>
      </w:r>
      <w:bookmarkEnd w:id="1962"/>
      <w:r w:rsidR="00C25B6F" w:rsidRPr="003B4362">
        <w:t xml:space="preserve"> L</w:t>
      </w:r>
      <w:r w:rsidRPr="003B4362">
        <w:rPr>
          <w:rFonts w:eastAsia="Calibri"/>
          <w:szCs w:val="24"/>
        </w:rPr>
        <w:t xml:space="preserve">, the </w:t>
      </w:r>
      <w:bookmarkStart w:id="1963" w:name="_Hlk120736764"/>
      <w:r w:rsidRPr="003B4362">
        <w:rPr>
          <w:rFonts w:eastAsia="Calibri"/>
          <w:szCs w:val="24"/>
        </w:rPr>
        <w:t>result</w:t>
      </w:r>
      <w:r w:rsidR="002F168A" w:rsidRPr="003B4362">
        <w:rPr>
          <w:rFonts w:eastAsia="Calibri"/>
          <w:szCs w:val="24"/>
        </w:rPr>
        <w:t>s</w:t>
      </w:r>
      <w:r w:rsidRPr="003B4362">
        <w:rPr>
          <w:rFonts w:eastAsia="Calibri"/>
          <w:szCs w:val="24"/>
        </w:rPr>
        <w:t xml:space="preserve"> </w:t>
      </w:r>
      <w:r w:rsidR="002F168A" w:rsidRPr="003B4362">
        <w:rPr>
          <w:rFonts w:eastAsia="Calibri"/>
          <w:szCs w:val="24"/>
        </w:rPr>
        <w:t xml:space="preserve">from </w:t>
      </w:r>
      <w:r w:rsidRPr="003B4362">
        <w:rPr>
          <w:rFonts w:eastAsia="Calibri"/>
          <w:szCs w:val="24"/>
        </w:rPr>
        <w:t>initial tap sample</w:t>
      </w:r>
      <w:r w:rsidR="002F168A" w:rsidRPr="003B4362">
        <w:rPr>
          <w:rFonts w:eastAsia="Calibri"/>
          <w:szCs w:val="24"/>
        </w:rPr>
        <w:t>s</w:t>
      </w:r>
      <w:bookmarkEnd w:id="1963"/>
      <w:r w:rsidRPr="003B4362">
        <w:rPr>
          <w:rFonts w:eastAsia="Calibri"/>
          <w:szCs w:val="24"/>
        </w:rPr>
        <w:t xml:space="preserve">, the </w:t>
      </w:r>
      <w:bookmarkStart w:id="1964" w:name="_Hlk120736869"/>
      <w:r w:rsidRPr="003B4362">
        <w:rPr>
          <w:rFonts w:eastAsia="Calibri"/>
          <w:szCs w:val="24"/>
        </w:rPr>
        <w:t>result</w:t>
      </w:r>
      <w:r w:rsidR="002F168A" w:rsidRPr="003B4362">
        <w:rPr>
          <w:rFonts w:eastAsia="Calibri"/>
          <w:szCs w:val="24"/>
        </w:rPr>
        <w:t xml:space="preserve">s from </w:t>
      </w:r>
      <w:r w:rsidRPr="003B4362">
        <w:rPr>
          <w:rFonts w:eastAsia="Calibri"/>
          <w:szCs w:val="24"/>
        </w:rPr>
        <w:lastRenderedPageBreak/>
        <w:t>follow</w:t>
      </w:r>
      <w:r w:rsidR="002F168A" w:rsidRPr="003B4362">
        <w:rPr>
          <w:rFonts w:eastAsia="Calibri"/>
          <w:szCs w:val="24"/>
        </w:rPr>
        <w:t>-</w:t>
      </w:r>
      <w:r w:rsidRPr="003B4362">
        <w:rPr>
          <w:rFonts w:eastAsia="Calibri"/>
          <w:szCs w:val="24"/>
        </w:rPr>
        <w:t>up tap sample</w:t>
      </w:r>
      <w:r w:rsidR="002F168A" w:rsidRPr="003B4362">
        <w:rPr>
          <w:rFonts w:eastAsia="Calibri"/>
          <w:szCs w:val="24"/>
        </w:rPr>
        <w:t>s</w:t>
      </w:r>
      <w:bookmarkEnd w:id="1964"/>
      <w:r w:rsidRPr="003B4362">
        <w:rPr>
          <w:rFonts w:eastAsia="Calibri"/>
          <w:szCs w:val="24"/>
        </w:rPr>
        <w:t xml:space="preserve">, the </w:t>
      </w:r>
      <w:bookmarkStart w:id="1965" w:name="_Hlk120736918"/>
      <w:r w:rsidRPr="003B4362">
        <w:rPr>
          <w:rFonts w:eastAsia="Calibri"/>
          <w:szCs w:val="24"/>
        </w:rPr>
        <w:t>result</w:t>
      </w:r>
      <w:r w:rsidR="002F168A" w:rsidRPr="003B4362">
        <w:rPr>
          <w:rFonts w:eastAsia="Calibri"/>
          <w:szCs w:val="24"/>
        </w:rPr>
        <w:t>s from</w:t>
      </w:r>
      <w:r w:rsidRPr="003B4362">
        <w:rPr>
          <w:rFonts w:eastAsia="Calibri"/>
          <w:szCs w:val="24"/>
        </w:rPr>
        <w:t xml:space="preserve"> water quality parameter monitoring</w:t>
      </w:r>
      <w:bookmarkEnd w:id="1965"/>
      <w:r w:rsidRPr="003B4362">
        <w:rPr>
          <w:rFonts w:eastAsia="Calibri"/>
          <w:szCs w:val="24"/>
        </w:rPr>
        <w:t xml:space="preserve">, and any distribution system management actions or </w:t>
      </w:r>
      <w:bookmarkStart w:id="1966" w:name="_Hlk120736962"/>
      <w:r w:rsidRPr="003B4362">
        <w:rPr>
          <w:rFonts w:eastAsia="Calibri"/>
          <w:szCs w:val="24"/>
        </w:rPr>
        <w:t xml:space="preserve">corrosion control treatment adjustments </w:t>
      </w:r>
      <w:r w:rsidR="000403D0" w:rsidRPr="003B4362">
        <w:rPr>
          <w:rFonts w:eastAsia="Calibri"/>
          <w:szCs w:val="24"/>
        </w:rPr>
        <w:t xml:space="preserve">the supplier </w:t>
      </w:r>
      <w:r w:rsidRPr="003B4362">
        <w:rPr>
          <w:rFonts w:eastAsia="Calibri"/>
          <w:szCs w:val="24"/>
        </w:rPr>
        <w:t>made</w:t>
      </w:r>
      <w:bookmarkEnd w:id="1966"/>
      <w:r w:rsidRPr="003B4362">
        <w:rPr>
          <w:rFonts w:eastAsia="Calibri"/>
          <w:szCs w:val="24"/>
        </w:rPr>
        <w:t>.</w:t>
      </w:r>
    </w:p>
    <w:p w14:paraId="08E8AABB" w14:textId="5492616C"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bookmarkStart w:id="1967" w:name="_Hlk120737108"/>
      <w:r w:rsidRPr="003B4362">
        <w:rPr>
          <w:rFonts w:eastAsia="Calibri"/>
          <w:szCs w:val="24"/>
        </w:rPr>
        <w:t xml:space="preserve">Timing and </w:t>
      </w:r>
      <w:r w:rsidR="000403D0" w:rsidRPr="003B4362">
        <w:rPr>
          <w:rFonts w:eastAsia="Calibri"/>
          <w:szCs w:val="24"/>
        </w:rPr>
        <w:t>C</w:t>
      </w:r>
      <w:r w:rsidRPr="003B4362">
        <w:rPr>
          <w:rFonts w:eastAsia="Calibri"/>
          <w:szCs w:val="24"/>
        </w:rPr>
        <w:t>ontent</w:t>
      </w:r>
      <w:bookmarkEnd w:id="1967"/>
      <w:r w:rsidRPr="003B4362">
        <w:rPr>
          <w:rFonts w:eastAsia="Calibri"/>
          <w:szCs w:val="24"/>
        </w:rPr>
        <w:t xml:space="preserve">.  </w:t>
      </w:r>
      <w:r w:rsidR="000403D0" w:rsidRPr="003B4362">
        <w:rPr>
          <w:rFonts w:eastAsia="Calibri"/>
          <w:szCs w:val="24"/>
        </w:rPr>
        <w:t>A CWS supplier</w:t>
      </w:r>
      <w:r w:rsidRPr="003B4362">
        <w:rPr>
          <w:rFonts w:eastAsia="Calibri"/>
          <w:szCs w:val="24"/>
        </w:rPr>
        <w:t xml:space="preserve"> must annually send copies of the public education materials </w:t>
      </w:r>
      <w:r w:rsidR="00FD1E63" w:rsidRPr="003B4362">
        <w:rPr>
          <w:rFonts w:eastAsia="Calibri"/>
          <w:szCs w:val="24"/>
        </w:rPr>
        <w:t xml:space="preserve">the supplier </w:t>
      </w:r>
      <w:bookmarkStart w:id="1968" w:name="_Hlk120737803"/>
      <w:r w:rsidRPr="003B4362">
        <w:rPr>
          <w:rFonts w:eastAsia="Calibri"/>
          <w:szCs w:val="24"/>
        </w:rPr>
        <w:t>provided under subsection</w:t>
      </w:r>
      <w:r w:rsidR="00FD1E63" w:rsidRPr="003B4362">
        <w:rPr>
          <w:rFonts w:eastAsia="Calibri"/>
          <w:szCs w:val="24"/>
        </w:rPr>
        <w:t>s</w:t>
      </w:r>
      <w:r w:rsidRPr="003B4362">
        <w:rPr>
          <w:rFonts w:eastAsia="Calibri"/>
          <w:szCs w:val="24"/>
        </w:rPr>
        <w:t xml:space="preserve"> (a)</w:t>
      </w:r>
      <w:r w:rsidR="00FD1E63" w:rsidRPr="003B4362">
        <w:rPr>
          <w:rFonts w:eastAsia="Calibri"/>
          <w:szCs w:val="24"/>
        </w:rPr>
        <w:t xml:space="preserve"> </w:t>
      </w:r>
      <w:r w:rsidRPr="003B4362">
        <w:rPr>
          <w:rFonts w:eastAsia="Calibri"/>
          <w:szCs w:val="24"/>
        </w:rPr>
        <w:t>and</w:t>
      </w:r>
      <w:r w:rsidR="00FD1E63" w:rsidRPr="003B4362">
        <w:rPr>
          <w:rFonts w:eastAsia="Calibri"/>
          <w:szCs w:val="24"/>
        </w:rPr>
        <w:t xml:space="preserve"> </w:t>
      </w:r>
      <w:r w:rsidRPr="003B4362">
        <w:rPr>
          <w:rFonts w:eastAsia="Calibri"/>
          <w:szCs w:val="24"/>
        </w:rPr>
        <w:t>(h)(1)</w:t>
      </w:r>
      <w:bookmarkEnd w:id="1968"/>
      <w:r w:rsidRPr="003B4362">
        <w:rPr>
          <w:rFonts w:eastAsia="Calibri"/>
          <w:szCs w:val="24"/>
        </w:rPr>
        <w:t xml:space="preserve"> </w:t>
      </w:r>
      <w:bookmarkStart w:id="1969" w:name="_Hlk120737719"/>
      <w:r w:rsidR="00211775" w:rsidRPr="003B4362">
        <w:rPr>
          <w:rFonts w:eastAsia="Calibri"/>
          <w:szCs w:val="24"/>
        </w:rPr>
        <w:t>during</w:t>
      </w:r>
      <w:r w:rsidRPr="003B4362">
        <w:rPr>
          <w:rFonts w:eastAsia="Calibri"/>
          <w:szCs w:val="24"/>
        </w:rPr>
        <w:t xml:space="preserve"> </w:t>
      </w:r>
      <w:r w:rsidR="00211775" w:rsidRPr="003B4362">
        <w:rPr>
          <w:rFonts w:eastAsia="Calibri"/>
          <w:szCs w:val="24"/>
        </w:rPr>
        <w:t>a</w:t>
      </w:r>
      <w:r w:rsidRPr="003B4362">
        <w:rPr>
          <w:rFonts w:eastAsia="Calibri"/>
          <w:szCs w:val="24"/>
        </w:rPr>
        <w:t xml:space="preserve"> calendar year</w:t>
      </w:r>
      <w:bookmarkEnd w:id="1969"/>
      <w:r w:rsidRPr="003B4362">
        <w:rPr>
          <w:rFonts w:eastAsia="Calibri"/>
          <w:szCs w:val="24"/>
        </w:rPr>
        <w:t xml:space="preserve"> no later than July 1 of the following year.</w:t>
      </w:r>
    </w:p>
    <w:p w14:paraId="60EA7E1B" w14:textId="1F623DC6"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 xml:space="preserve">Delivery.  </w:t>
      </w:r>
      <w:r w:rsidR="00211775" w:rsidRPr="003B4362">
        <w:rPr>
          <w:rFonts w:eastAsia="Calibri"/>
          <w:szCs w:val="24"/>
        </w:rPr>
        <w:t>The CWS supplier</w:t>
      </w:r>
      <w:bookmarkStart w:id="1970" w:name="_Hlk120739327"/>
      <w:r w:rsidRPr="003B4362">
        <w:rPr>
          <w:rFonts w:eastAsia="Calibri"/>
          <w:szCs w:val="24"/>
        </w:rPr>
        <w:t xml:space="preserve"> </w:t>
      </w:r>
      <w:r w:rsidR="00211775" w:rsidRPr="003B4362">
        <w:rPr>
          <w:rFonts w:eastAsia="Calibri"/>
          <w:szCs w:val="24"/>
        </w:rPr>
        <w:t>must</w:t>
      </w:r>
      <w:r w:rsidRPr="003B4362">
        <w:rPr>
          <w:rFonts w:eastAsia="Calibri"/>
          <w:szCs w:val="24"/>
        </w:rPr>
        <w:t xml:space="preserve"> send </w:t>
      </w:r>
      <w:r w:rsidR="00211775" w:rsidRPr="003B4362">
        <w:rPr>
          <w:rFonts w:eastAsia="Calibri"/>
          <w:szCs w:val="24"/>
        </w:rPr>
        <w:t xml:space="preserve">the </w:t>
      </w:r>
      <w:r w:rsidRPr="003B4362">
        <w:rPr>
          <w:rFonts w:eastAsia="Calibri"/>
          <w:szCs w:val="24"/>
        </w:rPr>
        <w:t>public education materials</w:t>
      </w:r>
      <w:bookmarkEnd w:id="1970"/>
      <w:r w:rsidRPr="003B4362">
        <w:rPr>
          <w:rFonts w:eastAsia="Calibri"/>
          <w:szCs w:val="24"/>
        </w:rPr>
        <w:t xml:space="preserve"> and find-and-fix information to </w:t>
      </w:r>
      <w:r w:rsidR="00107A45" w:rsidRPr="003B4362">
        <w:rPr>
          <w:rFonts w:eastAsia="Calibri"/>
          <w:szCs w:val="24"/>
        </w:rPr>
        <w:t>the Department of Public Health and local health agencies</w:t>
      </w:r>
      <w:r w:rsidRPr="003B4362">
        <w:rPr>
          <w:rFonts w:eastAsia="Calibri"/>
          <w:szCs w:val="24"/>
        </w:rPr>
        <w:t xml:space="preserve"> by mail or by </w:t>
      </w:r>
      <w:r w:rsidR="00107A45" w:rsidRPr="003B4362">
        <w:rPr>
          <w:rFonts w:eastAsia="Calibri"/>
          <w:szCs w:val="24"/>
        </w:rPr>
        <w:t>another method the Agency approves in a SEP</w:t>
      </w:r>
      <w:r w:rsidRPr="003B4362">
        <w:rPr>
          <w:rFonts w:eastAsia="Calibri"/>
          <w:szCs w:val="24"/>
        </w:rPr>
        <w:t>.</w:t>
      </w:r>
    </w:p>
    <w:p w14:paraId="1EF4CF28" w14:textId="3988ED3B" w:rsidR="00F953AD" w:rsidRPr="003B4362" w:rsidRDefault="00F953AD" w:rsidP="00F953AD">
      <w:pPr>
        <w:autoSpaceDE w:val="0"/>
        <w:autoSpaceDN w:val="0"/>
        <w:adjustRightInd w:val="0"/>
        <w:spacing w:before="240" w:after="240"/>
        <w:ind w:left="1440" w:hanging="720"/>
        <w:rPr>
          <w:rFonts w:eastAsia="Calibri"/>
          <w:szCs w:val="24"/>
        </w:rPr>
      </w:pPr>
      <w:r w:rsidRPr="003B4362">
        <w:rPr>
          <w:rFonts w:eastAsia="Calibri"/>
          <w:szCs w:val="24"/>
        </w:rPr>
        <w:t>j)</w:t>
      </w:r>
      <w:r w:rsidRPr="003B4362">
        <w:rPr>
          <w:rFonts w:eastAsia="Calibri"/>
          <w:szCs w:val="24"/>
        </w:rPr>
        <w:tab/>
      </w:r>
      <w:bookmarkStart w:id="1971" w:name="_Hlk120739736"/>
      <w:r w:rsidRPr="003B4362">
        <w:rPr>
          <w:rFonts w:eastAsia="Calibri"/>
          <w:szCs w:val="24"/>
        </w:rPr>
        <w:t xml:space="preserve">Public </w:t>
      </w:r>
      <w:r w:rsidR="00E53AE1" w:rsidRPr="003B4362">
        <w:rPr>
          <w:rFonts w:eastAsia="Calibri"/>
          <w:szCs w:val="24"/>
        </w:rPr>
        <w:t>E</w:t>
      </w:r>
      <w:r w:rsidRPr="003B4362">
        <w:rPr>
          <w:rFonts w:eastAsia="Calibri"/>
          <w:szCs w:val="24"/>
        </w:rPr>
        <w:t>ducation</w:t>
      </w:r>
      <w:r w:rsidR="00E53AE1" w:rsidRPr="003B4362">
        <w:rPr>
          <w:rFonts w:eastAsia="Calibri"/>
          <w:szCs w:val="24"/>
        </w:rPr>
        <w:t xml:space="preserve"> </w:t>
      </w:r>
      <w:r w:rsidRPr="003B4362">
        <w:rPr>
          <w:rFonts w:eastAsia="Calibri"/>
          <w:szCs w:val="24"/>
        </w:rPr>
        <w:t xml:space="preserve">for </w:t>
      </w:r>
      <w:r w:rsidR="00E53AE1" w:rsidRPr="003B4362">
        <w:rPr>
          <w:rFonts w:eastAsia="Calibri"/>
          <w:szCs w:val="24"/>
        </w:rPr>
        <w:t>S</w:t>
      </w:r>
      <w:r w:rsidRPr="003B4362">
        <w:rPr>
          <w:rFonts w:eastAsia="Calibri"/>
          <w:szCs w:val="24"/>
        </w:rPr>
        <w:t xml:space="preserve">mall </w:t>
      </w:r>
      <w:r w:rsidR="00724431" w:rsidRPr="003B4362">
        <w:rPr>
          <w:rFonts w:eastAsia="Calibri"/>
          <w:szCs w:val="24"/>
        </w:rPr>
        <w:t>Supplier</w:t>
      </w:r>
      <w:r w:rsidRPr="003B4362">
        <w:rPr>
          <w:rFonts w:eastAsia="Calibri"/>
          <w:szCs w:val="24"/>
        </w:rPr>
        <w:t xml:space="preserve"> </w:t>
      </w:r>
      <w:r w:rsidR="00E53AE1" w:rsidRPr="003B4362">
        <w:rPr>
          <w:rFonts w:eastAsia="Calibri"/>
          <w:szCs w:val="24"/>
        </w:rPr>
        <w:t>C</w:t>
      </w:r>
      <w:r w:rsidRPr="003B4362">
        <w:rPr>
          <w:rFonts w:eastAsia="Calibri"/>
          <w:szCs w:val="24"/>
        </w:rPr>
        <w:t xml:space="preserve">ompliance </w:t>
      </w:r>
      <w:r w:rsidR="00E53AE1" w:rsidRPr="003B4362">
        <w:rPr>
          <w:rFonts w:eastAsia="Calibri"/>
          <w:szCs w:val="24"/>
        </w:rPr>
        <w:t>F</w:t>
      </w:r>
      <w:r w:rsidRPr="003B4362">
        <w:rPr>
          <w:rFonts w:eastAsia="Calibri"/>
          <w:szCs w:val="24"/>
        </w:rPr>
        <w:t xml:space="preserve">lexibility POU </w:t>
      </w:r>
      <w:r w:rsidR="00E53AE1" w:rsidRPr="003B4362">
        <w:rPr>
          <w:rFonts w:eastAsia="Calibri"/>
          <w:szCs w:val="24"/>
        </w:rPr>
        <w:t>D</w:t>
      </w:r>
      <w:r w:rsidRPr="003B4362">
        <w:rPr>
          <w:rFonts w:eastAsia="Calibri"/>
          <w:szCs w:val="24"/>
        </w:rPr>
        <w:t>evices</w:t>
      </w:r>
      <w:bookmarkEnd w:id="1971"/>
    </w:p>
    <w:p w14:paraId="30BBF7AA" w14:textId="2EA43AA5"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 xml:space="preserve">Content.  </w:t>
      </w:r>
      <w:bookmarkStart w:id="1972" w:name="_Hlk120740298"/>
      <w:r w:rsidR="00227DF8" w:rsidRPr="003B4362">
        <w:rPr>
          <w:rFonts w:eastAsia="Calibri"/>
          <w:szCs w:val="24"/>
        </w:rPr>
        <w:t>A</w:t>
      </w:r>
      <w:bookmarkStart w:id="1973" w:name="_Hlk120745776"/>
      <w:r w:rsidR="00227DF8" w:rsidRPr="003B4362">
        <w:rPr>
          <w:rFonts w:eastAsia="Calibri"/>
          <w:szCs w:val="24"/>
        </w:rPr>
        <w:t xml:space="preserve"> </w:t>
      </w:r>
      <w:r w:rsidR="00724431" w:rsidRPr="003B4362">
        <w:rPr>
          <w:rFonts w:eastAsia="Calibri"/>
          <w:szCs w:val="24"/>
        </w:rPr>
        <w:t xml:space="preserve">small </w:t>
      </w:r>
      <w:r w:rsidR="00227DF8" w:rsidRPr="003B4362">
        <w:rPr>
          <w:rFonts w:eastAsia="Calibri"/>
          <w:szCs w:val="24"/>
        </w:rPr>
        <w:t>CWS</w:t>
      </w:r>
      <w:r w:rsidRPr="003B4362">
        <w:rPr>
          <w:rFonts w:eastAsia="Calibri"/>
          <w:szCs w:val="24"/>
        </w:rPr>
        <w:t xml:space="preserve"> </w:t>
      </w:r>
      <w:r w:rsidR="00227DF8" w:rsidRPr="003B4362">
        <w:rPr>
          <w:rFonts w:eastAsia="Calibri"/>
          <w:szCs w:val="24"/>
        </w:rPr>
        <w:t>or</w:t>
      </w:r>
      <w:r w:rsidRPr="003B4362">
        <w:rPr>
          <w:rFonts w:eastAsia="Calibri"/>
          <w:szCs w:val="24"/>
        </w:rPr>
        <w:t xml:space="preserve"> </w:t>
      </w:r>
      <w:r w:rsidR="00227DF8" w:rsidRPr="003B4362">
        <w:rPr>
          <w:rFonts w:eastAsia="Calibri"/>
          <w:szCs w:val="24"/>
        </w:rPr>
        <w:t>NTNCWS supplier</w:t>
      </w:r>
      <w:r w:rsidRPr="003B4362">
        <w:rPr>
          <w:rFonts w:eastAsia="Calibri"/>
          <w:szCs w:val="24"/>
        </w:rPr>
        <w:t xml:space="preserve"> implement</w:t>
      </w:r>
      <w:bookmarkEnd w:id="1972"/>
      <w:r w:rsidR="00227DF8" w:rsidRPr="003B4362">
        <w:rPr>
          <w:rFonts w:eastAsia="Calibri"/>
          <w:szCs w:val="24"/>
        </w:rPr>
        <w:t>ing</w:t>
      </w:r>
      <w:r w:rsidRPr="003B4362">
        <w:rPr>
          <w:rFonts w:eastAsia="Calibri"/>
          <w:szCs w:val="24"/>
        </w:rPr>
        <w:t xml:space="preserve"> </w:t>
      </w:r>
      <w:r w:rsidR="00227DF8" w:rsidRPr="003B4362">
        <w:rPr>
          <w:rFonts w:eastAsia="Calibri"/>
          <w:szCs w:val="24"/>
        </w:rPr>
        <w:t xml:space="preserve">the </w:t>
      </w:r>
      <w:r w:rsidRPr="003B4362">
        <w:rPr>
          <w:rFonts w:eastAsia="Calibri"/>
          <w:szCs w:val="24"/>
        </w:rPr>
        <w:t>POU device</w:t>
      </w:r>
      <w:r w:rsidR="00227DF8" w:rsidRPr="003B4362">
        <w:rPr>
          <w:rFonts w:eastAsia="Calibri"/>
          <w:szCs w:val="24"/>
        </w:rPr>
        <w:t xml:space="preserve"> option</w:t>
      </w:r>
      <w:bookmarkEnd w:id="1973"/>
      <w:r w:rsidRPr="003B4362">
        <w:rPr>
          <w:rFonts w:eastAsia="Calibri"/>
          <w:szCs w:val="24"/>
        </w:rPr>
        <w:t xml:space="preserve"> under Section </w:t>
      </w:r>
      <w:r w:rsidR="003D269A" w:rsidRPr="003B4362">
        <w:rPr>
          <w:rFonts w:eastAsia="Calibri"/>
          <w:szCs w:val="24"/>
        </w:rPr>
        <w:t>61</w:t>
      </w:r>
      <w:r w:rsidRPr="003B4362">
        <w:rPr>
          <w:rFonts w:eastAsia="Calibri"/>
          <w:szCs w:val="24"/>
        </w:rPr>
        <w:t>1.</w:t>
      </w:r>
      <w:r w:rsidR="003D269A" w:rsidRPr="003B4362">
        <w:rPr>
          <w:rFonts w:eastAsia="Calibri"/>
          <w:szCs w:val="24"/>
        </w:rPr>
        <w:t>36</w:t>
      </w:r>
      <w:r w:rsidRPr="003B4362">
        <w:rPr>
          <w:rFonts w:eastAsia="Calibri"/>
          <w:szCs w:val="24"/>
        </w:rPr>
        <w:t xml:space="preserve">3 must provide public education materials to inform users how to properly use POU devices to maximize the units’ effectiveness in </w:t>
      </w:r>
      <w:bookmarkStart w:id="1974" w:name="_Hlk120745883"/>
      <w:r w:rsidRPr="003B4362">
        <w:rPr>
          <w:rFonts w:eastAsia="Calibri"/>
          <w:szCs w:val="24"/>
        </w:rPr>
        <w:t xml:space="preserve">reducing </w:t>
      </w:r>
      <w:r w:rsidR="00606786" w:rsidRPr="003B4362">
        <w:rPr>
          <w:rFonts w:eastAsia="Calibri"/>
          <w:szCs w:val="24"/>
        </w:rPr>
        <w:t xml:space="preserve">the </w:t>
      </w:r>
      <w:r w:rsidRPr="003B4362">
        <w:rPr>
          <w:rFonts w:eastAsia="Calibri"/>
          <w:szCs w:val="24"/>
        </w:rPr>
        <w:t xml:space="preserve">lead </w:t>
      </w:r>
      <w:r w:rsidR="00606786" w:rsidRPr="003B4362">
        <w:rPr>
          <w:rFonts w:eastAsia="Calibri"/>
          <w:szCs w:val="24"/>
        </w:rPr>
        <w:t>concentration</w:t>
      </w:r>
      <w:r w:rsidRPr="003B4362">
        <w:rPr>
          <w:rFonts w:eastAsia="Calibri"/>
          <w:szCs w:val="24"/>
        </w:rPr>
        <w:t xml:space="preserve"> in drinking water</w:t>
      </w:r>
      <w:bookmarkEnd w:id="1974"/>
      <w:r w:rsidRPr="003B4362">
        <w:rPr>
          <w:rFonts w:eastAsia="Calibri"/>
          <w:szCs w:val="24"/>
        </w:rPr>
        <w:t>.</w:t>
      </w:r>
    </w:p>
    <w:p w14:paraId="36190F32" w14:textId="1ADC7B2A"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 xml:space="preserve">Timing.  </w:t>
      </w:r>
      <w:bookmarkStart w:id="1975" w:name="_Hlk120746037"/>
      <w:r w:rsidR="005420EE" w:rsidRPr="003B4362">
        <w:rPr>
          <w:rFonts w:eastAsia="Calibri"/>
          <w:szCs w:val="24"/>
        </w:rPr>
        <w:t>The supplier</w:t>
      </w:r>
      <w:r w:rsidRPr="003B4362">
        <w:rPr>
          <w:rFonts w:eastAsia="Calibri"/>
          <w:szCs w:val="24"/>
        </w:rPr>
        <w:t xml:space="preserve"> </w:t>
      </w:r>
      <w:r w:rsidR="005420EE" w:rsidRPr="003B4362">
        <w:rPr>
          <w:rFonts w:eastAsia="Calibri"/>
          <w:szCs w:val="24"/>
        </w:rPr>
        <w:t>must</w:t>
      </w:r>
      <w:r w:rsidRPr="003B4362">
        <w:rPr>
          <w:rFonts w:eastAsia="Calibri"/>
          <w:szCs w:val="24"/>
        </w:rPr>
        <w:t xml:space="preserve"> provide</w:t>
      </w:r>
      <w:bookmarkEnd w:id="1975"/>
      <w:r w:rsidRPr="003B4362">
        <w:rPr>
          <w:rFonts w:eastAsia="Calibri"/>
          <w:szCs w:val="24"/>
        </w:rPr>
        <w:t xml:space="preserve"> </w:t>
      </w:r>
      <w:r w:rsidR="005420EE" w:rsidRPr="003B4362">
        <w:rPr>
          <w:rFonts w:eastAsia="Calibri"/>
          <w:szCs w:val="24"/>
        </w:rPr>
        <w:t>its</w:t>
      </w:r>
      <w:r w:rsidRPr="003B4362">
        <w:rPr>
          <w:rFonts w:eastAsia="Calibri"/>
          <w:szCs w:val="24"/>
        </w:rPr>
        <w:t xml:space="preserve"> public education materials </w:t>
      </w:r>
      <w:r w:rsidR="005420EE" w:rsidRPr="003B4362">
        <w:rPr>
          <w:rFonts w:eastAsia="Calibri"/>
          <w:szCs w:val="24"/>
        </w:rPr>
        <w:t>when</w:t>
      </w:r>
      <w:r w:rsidRPr="003B4362">
        <w:rPr>
          <w:rFonts w:eastAsia="Calibri"/>
          <w:szCs w:val="24"/>
        </w:rPr>
        <w:t xml:space="preserve"> the </w:t>
      </w:r>
      <w:r w:rsidR="005420EE" w:rsidRPr="003B4362">
        <w:rPr>
          <w:rFonts w:eastAsia="Calibri"/>
          <w:szCs w:val="24"/>
        </w:rPr>
        <w:t>supplier delivers the</w:t>
      </w:r>
      <w:r w:rsidRPr="003B4362">
        <w:rPr>
          <w:rFonts w:eastAsia="Calibri"/>
          <w:szCs w:val="24"/>
        </w:rPr>
        <w:t xml:space="preserve"> POU device.</w:t>
      </w:r>
    </w:p>
    <w:p w14:paraId="7A68D437" w14:textId="0BE5B308"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 xml:space="preserve">Delivery.  </w:t>
      </w:r>
      <w:r w:rsidR="00E103EC" w:rsidRPr="003B4362">
        <w:rPr>
          <w:rFonts w:eastAsia="Calibri"/>
          <w:szCs w:val="24"/>
        </w:rPr>
        <w:t>The supplier must provide its</w:t>
      </w:r>
      <w:r w:rsidRPr="003B4362">
        <w:rPr>
          <w:rFonts w:eastAsia="Calibri"/>
          <w:szCs w:val="24"/>
        </w:rPr>
        <w:t xml:space="preserve"> public education materials in person, by mail, </w:t>
      </w:r>
      <w:r w:rsidR="00E103EC" w:rsidRPr="003B4362">
        <w:rPr>
          <w:rFonts w:eastAsia="Calibri"/>
          <w:szCs w:val="24"/>
        </w:rPr>
        <w:t>or another method the Agency approves in a SEP</w:t>
      </w:r>
      <w:r w:rsidRPr="003B4362">
        <w:rPr>
          <w:rFonts w:eastAsia="Calibri"/>
          <w:szCs w:val="24"/>
        </w:rPr>
        <w:t xml:space="preserve">, to persons </w:t>
      </w:r>
      <w:bookmarkStart w:id="1976" w:name="_Hlk120747011"/>
      <w:r w:rsidRPr="003B4362">
        <w:rPr>
          <w:rFonts w:eastAsia="Calibri"/>
          <w:szCs w:val="24"/>
        </w:rPr>
        <w:t xml:space="preserve">at </w:t>
      </w:r>
      <w:r w:rsidR="00E103EC" w:rsidRPr="003B4362">
        <w:rPr>
          <w:rFonts w:eastAsia="Calibri"/>
          <w:szCs w:val="24"/>
        </w:rPr>
        <w:t xml:space="preserve">the </w:t>
      </w:r>
      <w:r w:rsidRPr="003B4362">
        <w:rPr>
          <w:rFonts w:eastAsia="Calibri"/>
          <w:szCs w:val="24"/>
        </w:rPr>
        <w:t xml:space="preserve">locations where the </w:t>
      </w:r>
      <w:r w:rsidR="007956AF" w:rsidRPr="003B4362">
        <w:rPr>
          <w:rFonts w:eastAsia="Calibri"/>
          <w:szCs w:val="24"/>
        </w:rPr>
        <w:t xml:space="preserve">supplier </w:t>
      </w:r>
      <w:r w:rsidRPr="003B4362">
        <w:rPr>
          <w:rFonts w:eastAsia="Calibri"/>
          <w:szCs w:val="24"/>
        </w:rPr>
        <w:t>deliver</w:t>
      </w:r>
      <w:r w:rsidR="007956AF" w:rsidRPr="003B4362">
        <w:rPr>
          <w:rFonts w:eastAsia="Calibri"/>
          <w:szCs w:val="24"/>
        </w:rPr>
        <w:t>s</w:t>
      </w:r>
      <w:r w:rsidRPr="003B4362">
        <w:rPr>
          <w:rFonts w:eastAsia="Calibri"/>
          <w:szCs w:val="24"/>
        </w:rPr>
        <w:t xml:space="preserve"> </w:t>
      </w:r>
      <w:r w:rsidR="007956AF" w:rsidRPr="003B4362">
        <w:rPr>
          <w:rFonts w:eastAsia="Calibri"/>
          <w:szCs w:val="24"/>
        </w:rPr>
        <w:t xml:space="preserve">the </w:t>
      </w:r>
      <w:r w:rsidRPr="003B4362">
        <w:rPr>
          <w:rFonts w:eastAsia="Calibri"/>
          <w:szCs w:val="24"/>
        </w:rPr>
        <w:t>POU devices</w:t>
      </w:r>
      <w:bookmarkEnd w:id="1976"/>
      <w:r w:rsidRPr="003B4362">
        <w:rPr>
          <w:rFonts w:eastAsia="Calibri"/>
          <w:szCs w:val="24"/>
        </w:rPr>
        <w:t>.</w:t>
      </w:r>
    </w:p>
    <w:p w14:paraId="082629D5" w14:textId="6D50FBE1" w:rsidR="005451CE" w:rsidRPr="003B4362" w:rsidRDefault="005451CE" w:rsidP="005451CE">
      <w:pPr>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141.85.</w:t>
      </w:r>
    </w:p>
    <w:p w14:paraId="3B1F8DD2" w14:textId="02D7B9C0" w:rsidR="005451CE" w:rsidRPr="003B4362" w:rsidRDefault="00EB353D" w:rsidP="009B072C">
      <w:pPr>
        <w:suppressAutoHyphens/>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4398EBC8" w14:textId="77777777" w:rsidR="009B072C" w:rsidRPr="003B4362" w:rsidRDefault="009B072C" w:rsidP="009B072C">
      <w:pPr>
        <w:suppressAutoHyphens/>
        <w:ind w:left="720"/>
        <w:rPr>
          <w:rFonts w:eastAsia="Calibri"/>
        </w:rPr>
      </w:pPr>
    </w:p>
    <w:p w14:paraId="44908908" w14:textId="77777777" w:rsidR="005451CE" w:rsidRPr="003B4362" w:rsidRDefault="005451CE" w:rsidP="009B072C">
      <w:pPr>
        <w:rPr>
          <w:rFonts w:eastAsia="Calibri"/>
          <w:b/>
          <w:bCs/>
        </w:rPr>
      </w:pPr>
      <w:bookmarkStart w:id="1977" w:name="_Hlk8214835"/>
      <w:r w:rsidRPr="003B4362">
        <w:rPr>
          <w:rFonts w:eastAsia="Calibri"/>
          <w:b/>
          <w:bCs/>
        </w:rPr>
        <w:t>Section 611.356  Tap Water Monitoring for Lead and Copper</w:t>
      </w:r>
    </w:p>
    <w:p w14:paraId="77E5C647" w14:textId="49549E5B" w:rsidR="005451CE" w:rsidRPr="003B4362" w:rsidRDefault="005451CE" w:rsidP="005451CE">
      <w:pPr>
        <w:spacing w:before="240" w:after="240"/>
        <w:ind w:left="1440" w:hanging="720"/>
        <w:rPr>
          <w:rFonts w:eastAsia="Calibri"/>
        </w:rPr>
      </w:pPr>
      <w:r w:rsidRPr="003B4362">
        <w:rPr>
          <w:rFonts w:eastAsia="Calibri"/>
        </w:rPr>
        <w:t>a)</w:t>
      </w:r>
      <w:r w:rsidRPr="003B4362">
        <w:rPr>
          <w:rFonts w:eastAsia="Calibri"/>
        </w:rPr>
        <w:tab/>
        <w:t>Sampling Site Location</w:t>
      </w:r>
    </w:p>
    <w:p w14:paraId="44F491D8" w14:textId="77777777"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Selecting a Pool of Targeted Sampling Sites</w:t>
      </w:r>
    </w:p>
    <w:p w14:paraId="758BF5A4" w14:textId="03659ACC"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B</w:t>
      </w:r>
      <w:bookmarkStart w:id="1978" w:name="_Hlk114669559"/>
      <w:r w:rsidRPr="003B4362">
        <w:rPr>
          <w:rFonts w:eastAsia="Calibri"/>
        </w:rPr>
        <w:t>efore the applicable date for beginning monitoring</w:t>
      </w:r>
      <w:bookmarkEnd w:id="1978"/>
      <w:r w:rsidRPr="003B4362">
        <w:rPr>
          <w:rFonts w:eastAsia="Calibri"/>
        </w:rPr>
        <w:t xml:space="preserve"> under subsection (d)(1), </w:t>
      </w:r>
      <w:bookmarkStart w:id="1979" w:name="_Hlk114669651"/>
      <w:r w:rsidRPr="003B4362">
        <w:rPr>
          <w:rFonts w:eastAsia="Calibri"/>
        </w:rPr>
        <w:t>a supplier must identify a pool</w:t>
      </w:r>
      <w:bookmarkEnd w:id="1979"/>
      <w:r w:rsidRPr="003B4362">
        <w:rPr>
          <w:rFonts w:eastAsia="Calibri"/>
        </w:rPr>
        <w:t xml:space="preserve"> of targeted sampling sites</w:t>
      </w:r>
      <w:bookmarkStart w:id="1980" w:name="_Hlk114669763"/>
      <w:r w:rsidR="002568B8" w:rsidRPr="003B4362">
        <w:rPr>
          <w:szCs w:val="24"/>
        </w:rPr>
        <w:t xml:space="preserve"> </w:t>
      </w:r>
      <w:r w:rsidRPr="003B4362">
        <w:rPr>
          <w:rFonts w:eastAsia="Calibri"/>
        </w:rPr>
        <w:t>complying with this Section</w:t>
      </w:r>
      <w:bookmarkEnd w:id="1980"/>
      <w:r w:rsidR="006811AF" w:rsidRPr="003B4362">
        <w:rPr>
          <w:rFonts w:eastAsia="Calibri"/>
        </w:rPr>
        <w:t xml:space="preserve"> </w:t>
      </w:r>
      <w:r w:rsidR="006811AF" w:rsidRPr="003B4362">
        <w:rPr>
          <w:szCs w:val="24"/>
        </w:rPr>
        <w:t xml:space="preserve">based on the service line </w:t>
      </w:r>
      <w:bookmarkStart w:id="1981" w:name="_Hlk120788421"/>
      <w:r w:rsidR="006811AF" w:rsidRPr="003B4362">
        <w:rPr>
          <w:szCs w:val="24"/>
        </w:rPr>
        <w:t>inventory the supplier developed under Section 611.354(a)</w:t>
      </w:r>
      <w:bookmarkEnd w:id="1981"/>
      <w:r w:rsidRPr="003B4362">
        <w:rPr>
          <w:rFonts w:eastAsia="Calibri"/>
        </w:rPr>
        <w:t>.</w:t>
      </w:r>
    </w:p>
    <w:p w14:paraId="155B7D2E" w14:textId="7B68B1F4"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The pool of targeted sampling sites </w:t>
      </w:r>
      <w:bookmarkStart w:id="1982" w:name="_Hlk114669941"/>
      <w:r w:rsidRPr="003B4362">
        <w:rPr>
          <w:rFonts w:eastAsia="Calibri"/>
        </w:rPr>
        <w:t xml:space="preserve">must be </w:t>
      </w:r>
      <w:bookmarkStart w:id="1983" w:name="_Hlk120789673"/>
      <w:r w:rsidRPr="003B4362">
        <w:rPr>
          <w:rFonts w:eastAsia="Calibri"/>
        </w:rPr>
        <w:t>large enough</w:t>
      </w:r>
      <w:bookmarkEnd w:id="1983"/>
      <w:r w:rsidRPr="003B4362">
        <w:rPr>
          <w:rFonts w:eastAsia="Calibri"/>
        </w:rPr>
        <w:t xml:space="preserve"> to ensure</w:t>
      </w:r>
      <w:bookmarkEnd w:id="1982"/>
      <w:r w:rsidRPr="003B4362">
        <w:rPr>
          <w:rFonts w:eastAsia="Calibri"/>
        </w:rPr>
        <w:t xml:space="preserve"> that the supplier can collect the number of lead and copper tap </w:t>
      </w:r>
      <w:r w:rsidR="009061AD" w:rsidRPr="003B4362">
        <w:t>samples subsection (c) requires</w:t>
      </w:r>
      <w:r w:rsidRPr="003B4362">
        <w:rPr>
          <w:rFonts w:eastAsia="Calibri"/>
        </w:rPr>
        <w:t>.</w:t>
      </w:r>
    </w:p>
    <w:p w14:paraId="71DE1710" w14:textId="7A7FC5DD" w:rsidR="005451CE" w:rsidRPr="003B4362" w:rsidRDefault="005451CE" w:rsidP="005451CE">
      <w:pPr>
        <w:spacing w:before="240" w:after="240"/>
        <w:ind w:left="2880" w:hanging="720"/>
        <w:rPr>
          <w:rFonts w:eastAsia="Calibri"/>
        </w:rPr>
      </w:pPr>
      <w:r w:rsidRPr="003B4362">
        <w:rPr>
          <w:rFonts w:eastAsia="Calibri"/>
        </w:rPr>
        <w:lastRenderedPageBreak/>
        <w:t>C)</w:t>
      </w:r>
      <w:r w:rsidRPr="003B4362">
        <w:rPr>
          <w:rFonts w:eastAsia="Calibri"/>
        </w:rPr>
        <w:tab/>
      </w:r>
      <w:r w:rsidR="004357AD" w:rsidRPr="003B4362">
        <w:rPr>
          <w:rFonts w:eastAsia="Calibri"/>
        </w:rPr>
        <w:t>T</w:t>
      </w:r>
      <w:bookmarkStart w:id="1984" w:name="_Hlk120792469"/>
      <w:r w:rsidR="004357AD" w:rsidRPr="003B4362">
        <w:rPr>
          <w:rFonts w:eastAsia="Calibri"/>
        </w:rPr>
        <w:t xml:space="preserve">he supplier </w:t>
      </w:r>
      <w:bookmarkStart w:id="1985" w:name="_Hlk120792103"/>
      <w:r w:rsidR="004357AD" w:rsidRPr="003B4362">
        <w:rPr>
          <w:szCs w:val="24"/>
        </w:rPr>
        <w:t>may not include among its sampling sites</w:t>
      </w:r>
      <w:bookmarkEnd w:id="1985"/>
      <w:r w:rsidR="004357AD" w:rsidRPr="003B4362">
        <w:rPr>
          <w:szCs w:val="24"/>
        </w:rPr>
        <w:t xml:space="preserve"> any with</w:t>
      </w:r>
      <w:bookmarkEnd w:id="1984"/>
      <w:r w:rsidR="004357AD" w:rsidRPr="003B4362">
        <w:rPr>
          <w:szCs w:val="24"/>
        </w:rPr>
        <w:t xml:space="preserve"> installed </w:t>
      </w:r>
      <w:bookmarkStart w:id="1986" w:name="_Hlk125548663"/>
      <w:r w:rsidR="004357AD" w:rsidRPr="003B4362">
        <w:rPr>
          <w:szCs w:val="24"/>
        </w:rPr>
        <w:t>POE treatment devices</w:t>
      </w:r>
      <w:bookmarkEnd w:id="1986"/>
      <w:r w:rsidR="005048E5" w:rsidRPr="003B4362">
        <w:rPr>
          <w:szCs w:val="24"/>
        </w:rPr>
        <w:t>,</w:t>
      </w:r>
      <w:r w:rsidR="004357AD" w:rsidRPr="003B4362">
        <w:rPr>
          <w:szCs w:val="24"/>
        </w:rPr>
        <w:t xml:space="preserve"> and </w:t>
      </w:r>
      <w:bookmarkStart w:id="1987" w:name="_Hlk120792622"/>
      <w:bookmarkStart w:id="1988" w:name="_Hlk120794419"/>
      <w:r w:rsidR="00C5488C" w:rsidRPr="003B4362">
        <w:rPr>
          <w:szCs w:val="24"/>
        </w:rPr>
        <w:t xml:space="preserve">the </w:t>
      </w:r>
      <w:r w:rsidR="004357AD" w:rsidRPr="003B4362">
        <w:rPr>
          <w:szCs w:val="24"/>
        </w:rPr>
        <w:t xml:space="preserve">tap </w:t>
      </w:r>
      <w:r w:rsidR="00C5488C" w:rsidRPr="003B4362">
        <w:rPr>
          <w:szCs w:val="24"/>
        </w:rPr>
        <w:t xml:space="preserve">the supplier </w:t>
      </w:r>
      <w:r w:rsidR="004357AD" w:rsidRPr="003B4362">
        <w:rPr>
          <w:szCs w:val="24"/>
        </w:rPr>
        <w:t>use</w:t>
      </w:r>
      <w:r w:rsidR="00C5488C" w:rsidRPr="003B4362">
        <w:rPr>
          <w:szCs w:val="24"/>
        </w:rPr>
        <w:t>s</w:t>
      </w:r>
      <w:r w:rsidR="004357AD" w:rsidRPr="003B4362">
        <w:rPr>
          <w:szCs w:val="24"/>
        </w:rPr>
        <w:t xml:space="preserve"> at </w:t>
      </w:r>
      <w:r w:rsidR="00C5488C" w:rsidRPr="003B4362">
        <w:rPr>
          <w:szCs w:val="24"/>
        </w:rPr>
        <w:t xml:space="preserve">a </w:t>
      </w:r>
      <w:r w:rsidR="004357AD" w:rsidRPr="003B4362">
        <w:rPr>
          <w:szCs w:val="24"/>
        </w:rPr>
        <w:t>sampling site</w:t>
      </w:r>
      <w:bookmarkStart w:id="1989" w:name="_Hlk120794365"/>
      <w:bookmarkEnd w:id="1987"/>
      <w:r w:rsidR="004357AD" w:rsidRPr="003B4362">
        <w:rPr>
          <w:szCs w:val="24"/>
        </w:rPr>
        <w:t xml:space="preserve"> may not have </w:t>
      </w:r>
      <w:r w:rsidR="00C5488C" w:rsidRPr="003B4362">
        <w:rPr>
          <w:szCs w:val="24"/>
        </w:rPr>
        <w:t xml:space="preserve">a </w:t>
      </w:r>
      <w:r w:rsidR="004357AD" w:rsidRPr="003B4362">
        <w:rPr>
          <w:szCs w:val="24"/>
        </w:rPr>
        <w:t>POU device</w:t>
      </w:r>
      <w:bookmarkEnd w:id="1988"/>
      <w:bookmarkEnd w:id="1989"/>
      <w:r w:rsidR="004357AD" w:rsidRPr="003B4362">
        <w:rPr>
          <w:szCs w:val="24"/>
        </w:rPr>
        <w:t xml:space="preserve"> designed to remove inorganic contaminants</w:t>
      </w:r>
      <w:r w:rsidR="00392FF8" w:rsidRPr="003B4362">
        <w:rPr>
          <w:szCs w:val="24"/>
        </w:rPr>
        <w:t>.  The exception</w:t>
      </w:r>
      <w:r w:rsidR="00F805F8" w:rsidRPr="003B4362">
        <w:rPr>
          <w:szCs w:val="24"/>
        </w:rPr>
        <w:t>s</w:t>
      </w:r>
      <w:r w:rsidR="00392FF8" w:rsidRPr="003B4362">
        <w:rPr>
          <w:szCs w:val="24"/>
        </w:rPr>
        <w:t xml:space="preserve"> </w:t>
      </w:r>
      <w:r w:rsidR="00F805F8" w:rsidRPr="003B4362">
        <w:rPr>
          <w:szCs w:val="24"/>
        </w:rPr>
        <w:t>are</w:t>
      </w:r>
      <w:r w:rsidR="00392FF8" w:rsidRPr="003B4362">
        <w:rPr>
          <w:szCs w:val="24"/>
        </w:rPr>
        <w:t xml:space="preserve"> that a</w:t>
      </w:r>
      <w:r w:rsidR="004357AD" w:rsidRPr="003B4362">
        <w:rPr>
          <w:szCs w:val="24"/>
        </w:rPr>
        <w:t xml:space="preserve"> </w:t>
      </w:r>
      <w:r w:rsidR="00F805F8" w:rsidRPr="003B4362">
        <w:rPr>
          <w:szCs w:val="24"/>
        </w:rPr>
        <w:t>supplier</w:t>
      </w:r>
      <w:r w:rsidR="004357AD" w:rsidRPr="003B4362">
        <w:rPr>
          <w:szCs w:val="24"/>
        </w:rPr>
        <w:t xml:space="preserve"> </w:t>
      </w:r>
      <w:bookmarkStart w:id="1990" w:name="_Hlk120795801"/>
      <w:r w:rsidR="004357AD" w:rsidRPr="003B4362">
        <w:rPr>
          <w:szCs w:val="24"/>
        </w:rPr>
        <w:t>monitoring</w:t>
      </w:r>
      <w:bookmarkEnd w:id="1990"/>
      <w:r w:rsidR="004357AD" w:rsidRPr="003B4362">
        <w:rPr>
          <w:szCs w:val="24"/>
        </w:rPr>
        <w:t xml:space="preserve"> under Section </w:t>
      </w:r>
      <w:r w:rsidR="00F805F8" w:rsidRPr="003B4362">
        <w:rPr>
          <w:szCs w:val="24"/>
        </w:rPr>
        <w:t>61</w:t>
      </w:r>
      <w:r w:rsidR="004357AD" w:rsidRPr="003B4362">
        <w:rPr>
          <w:szCs w:val="24"/>
        </w:rPr>
        <w:t>1.</w:t>
      </w:r>
      <w:r w:rsidR="00F805F8" w:rsidRPr="003B4362">
        <w:rPr>
          <w:szCs w:val="24"/>
        </w:rPr>
        <w:t>36</w:t>
      </w:r>
      <w:r w:rsidR="004357AD" w:rsidRPr="003B4362">
        <w:rPr>
          <w:szCs w:val="24"/>
        </w:rPr>
        <w:t xml:space="preserve">3(a)(3)(D) </w:t>
      </w:r>
      <w:bookmarkStart w:id="1991" w:name="_Hlk120796292"/>
      <w:bookmarkStart w:id="1992" w:name="_Hlk120801090"/>
      <w:r w:rsidR="004357AD" w:rsidRPr="003B4362">
        <w:rPr>
          <w:szCs w:val="24"/>
        </w:rPr>
        <w:t xml:space="preserve">and </w:t>
      </w:r>
      <w:r w:rsidR="000A297B" w:rsidRPr="003B4362">
        <w:rPr>
          <w:szCs w:val="24"/>
        </w:rPr>
        <w:t>a supplier</w:t>
      </w:r>
      <w:r w:rsidR="004357AD" w:rsidRPr="003B4362">
        <w:rPr>
          <w:szCs w:val="24"/>
        </w:rPr>
        <w:t xml:space="preserve"> using</w:t>
      </w:r>
      <w:bookmarkStart w:id="1993" w:name="_Hlk120798697"/>
      <w:bookmarkEnd w:id="1991"/>
      <w:r w:rsidR="004357AD" w:rsidRPr="003B4362">
        <w:rPr>
          <w:szCs w:val="24"/>
        </w:rPr>
        <w:t xml:space="preserve"> </w:t>
      </w:r>
      <w:r w:rsidR="009A06A9" w:rsidRPr="003B4362">
        <w:rPr>
          <w:szCs w:val="24"/>
        </w:rPr>
        <w:t>a POE or POU</w:t>
      </w:r>
      <w:r w:rsidR="004357AD" w:rsidRPr="003B4362">
        <w:rPr>
          <w:szCs w:val="24"/>
        </w:rPr>
        <w:t xml:space="preserve"> device</w:t>
      </w:r>
      <w:bookmarkEnd w:id="1992"/>
      <w:bookmarkEnd w:id="1993"/>
      <w:r w:rsidR="004357AD" w:rsidRPr="003B4362">
        <w:rPr>
          <w:szCs w:val="24"/>
        </w:rPr>
        <w:t xml:space="preserve"> for the primary drinking water tap to meet other primary and secondary drinking water standards </w:t>
      </w:r>
      <w:r w:rsidR="00AB195E" w:rsidRPr="003B4362">
        <w:rPr>
          <w:szCs w:val="24"/>
        </w:rPr>
        <w:t xml:space="preserve">may sample the connected tap </w:t>
      </w:r>
      <w:bookmarkStart w:id="1994" w:name="_Hlk120801217"/>
      <w:r w:rsidR="00AB195E" w:rsidRPr="003B4362">
        <w:rPr>
          <w:szCs w:val="24"/>
        </w:rPr>
        <w:t>if</w:t>
      </w:r>
      <w:r w:rsidR="004357AD" w:rsidRPr="003B4362">
        <w:rPr>
          <w:szCs w:val="24"/>
        </w:rPr>
        <w:t xml:space="preserve"> all service connections </w:t>
      </w:r>
      <w:r w:rsidR="00006F07" w:rsidRPr="003B4362">
        <w:rPr>
          <w:szCs w:val="24"/>
        </w:rPr>
        <w:t>on the supplier’s system</w:t>
      </w:r>
      <w:bookmarkEnd w:id="1994"/>
      <w:r w:rsidR="00006F07" w:rsidRPr="003B4362">
        <w:rPr>
          <w:szCs w:val="24"/>
        </w:rPr>
        <w:t xml:space="preserve"> </w:t>
      </w:r>
      <w:r w:rsidR="004357AD" w:rsidRPr="003B4362">
        <w:rPr>
          <w:szCs w:val="24"/>
        </w:rPr>
        <w:t xml:space="preserve">have </w:t>
      </w:r>
      <w:bookmarkStart w:id="1995" w:name="_Hlk120801595"/>
      <w:r w:rsidR="00006F07" w:rsidRPr="003B4362">
        <w:rPr>
          <w:szCs w:val="24"/>
        </w:rPr>
        <w:t xml:space="preserve">a </w:t>
      </w:r>
      <w:bookmarkStart w:id="1996" w:name="_Hlk120801495"/>
      <w:r w:rsidR="004357AD" w:rsidRPr="003B4362">
        <w:rPr>
          <w:szCs w:val="24"/>
        </w:rPr>
        <w:t>POE or POU</w:t>
      </w:r>
      <w:bookmarkEnd w:id="1995"/>
      <w:bookmarkEnd w:id="1996"/>
      <w:r w:rsidR="004357AD" w:rsidRPr="003B4362">
        <w:rPr>
          <w:szCs w:val="24"/>
        </w:rPr>
        <w:t xml:space="preserve"> </w:t>
      </w:r>
      <w:r w:rsidR="006D12CB" w:rsidRPr="003B4362">
        <w:rPr>
          <w:szCs w:val="24"/>
        </w:rPr>
        <w:t xml:space="preserve">device </w:t>
      </w:r>
      <w:r w:rsidR="004357AD" w:rsidRPr="003B4362">
        <w:rPr>
          <w:szCs w:val="24"/>
        </w:rPr>
        <w:t xml:space="preserve">to provide localized treatment </w:t>
      </w:r>
      <w:bookmarkStart w:id="1997" w:name="_Hlk120801731"/>
      <w:r w:rsidR="00006F07" w:rsidRPr="003B4362">
        <w:rPr>
          <w:szCs w:val="24"/>
        </w:rPr>
        <w:t>to</w:t>
      </w:r>
      <w:r w:rsidR="004357AD" w:rsidRPr="003B4362">
        <w:rPr>
          <w:szCs w:val="24"/>
        </w:rPr>
        <w:t xml:space="preserve"> compl</w:t>
      </w:r>
      <w:r w:rsidR="00006F07" w:rsidRPr="003B4362">
        <w:rPr>
          <w:szCs w:val="24"/>
        </w:rPr>
        <w:t>y</w:t>
      </w:r>
      <w:r w:rsidR="004357AD" w:rsidRPr="003B4362">
        <w:rPr>
          <w:szCs w:val="24"/>
        </w:rPr>
        <w:t xml:space="preserve"> with th</w:t>
      </w:r>
      <w:r w:rsidR="000E0F7B" w:rsidRPr="003B4362">
        <w:rPr>
          <w:szCs w:val="24"/>
        </w:rPr>
        <w:t>os</w:t>
      </w:r>
      <w:r w:rsidR="004357AD" w:rsidRPr="003B4362">
        <w:rPr>
          <w:szCs w:val="24"/>
        </w:rPr>
        <w:t>e other drinking water standards</w:t>
      </w:r>
      <w:bookmarkEnd w:id="1997"/>
      <w:r w:rsidR="004357AD" w:rsidRPr="003B4362">
        <w:rPr>
          <w:szCs w:val="24"/>
        </w:rPr>
        <w:t>.</w:t>
      </w:r>
    </w:p>
    <w:p w14:paraId="7027BA58" w14:textId="12D6A29A" w:rsidR="005451CE" w:rsidRPr="003B4362" w:rsidRDefault="005451CE" w:rsidP="005451CE">
      <w:pPr>
        <w:spacing w:before="240" w:after="240"/>
        <w:ind w:left="2880" w:hanging="720"/>
        <w:rPr>
          <w:rFonts w:eastAsia="Calibri"/>
        </w:rPr>
      </w:pPr>
      <w:r w:rsidRPr="003B4362">
        <w:rPr>
          <w:rFonts w:eastAsia="Calibri"/>
        </w:rPr>
        <w:t>D)</w:t>
      </w:r>
      <w:r w:rsidRPr="003B4362">
        <w:rPr>
          <w:rFonts w:eastAsia="Calibri"/>
        </w:rPr>
        <w:tab/>
      </w:r>
      <w:bookmarkStart w:id="1998" w:name="_Hlk120802257"/>
      <w:r w:rsidR="002D1610" w:rsidRPr="003B4362">
        <w:rPr>
          <w:szCs w:val="24"/>
        </w:rPr>
        <w:t>A</w:t>
      </w:r>
      <w:bookmarkStart w:id="1999" w:name="_Hlk120802857"/>
      <w:r w:rsidR="002D1610" w:rsidRPr="003B4362">
        <w:rPr>
          <w:szCs w:val="24"/>
        </w:rPr>
        <w:t xml:space="preserve"> supplier monitoring under Section 611.363(a)(3)(D) may not use l</w:t>
      </w:r>
      <w:r w:rsidR="004357AD" w:rsidRPr="003B4362">
        <w:rPr>
          <w:szCs w:val="24"/>
        </w:rPr>
        <w:t>ead and copper sampling results</w:t>
      </w:r>
      <w:bookmarkEnd w:id="1998"/>
      <w:bookmarkEnd w:id="1999"/>
      <w:r w:rsidR="002D1610" w:rsidRPr="003B4362">
        <w:rPr>
          <w:szCs w:val="24"/>
        </w:rPr>
        <w:t xml:space="preserve"> </w:t>
      </w:r>
      <w:bookmarkStart w:id="2000" w:name="_Hlk120802980"/>
      <w:r w:rsidR="0052397F" w:rsidRPr="003B4362">
        <w:rPr>
          <w:szCs w:val="24"/>
        </w:rPr>
        <w:t>to</w:t>
      </w:r>
      <w:r w:rsidR="004357AD" w:rsidRPr="003B4362">
        <w:rPr>
          <w:szCs w:val="24"/>
        </w:rPr>
        <w:t xml:space="preserve"> </w:t>
      </w:r>
      <w:r w:rsidR="0052397F" w:rsidRPr="003B4362">
        <w:rPr>
          <w:szCs w:val="24"/>
        </w:rPr>
        <w:t>fu</w:t>
      </w:r>
      <w:r w:rsidR="00737C24" w:rsidRPr="003B4362">
        <w:rPr>
          <w:szCs w:val="24"/>
        </w:rPr>
        <w:t>l</w:t>
      </w:r>
      <w:r w:rsidR="0052397F" w:rsidRPr="003B4362">
        <w:rPr>
          <w:szCs w:val="24"/>
        </w:rPr>
        <w:t>fill</w:t>
      </w:r>
      <w:r w:rsidR="004357AD" w:rsidRPr="003B4362">
        <w:rPr>
          <w:szCs w:val="24"/>
        </w:rPr>
        <w:t xml:space="preserve"> the criteria for reduced monitoring </w:t>
      </w:r>
      <w:r w:rsidR="00110C41" w:rsidRPr="003B4362">
        <w:rPr>
          <w:szCs w:val="24"/>
        </w:rPr>
        <w:t>under</w:t>
      </w:r>
      <w:r w:rsidR="004357AD" w:rsidRPr="003B4362">
        <w:rPr>
          <w:szCs w:val="24"/>
        </w:rPr>
        <w:t xml:space="preserve"> subsection (d)(4)</w:t>
      </w:r>
      <w:bookmarkEnd w:id="2000"/>
      <w:r w:rsidR="004357AD" w:rsidRPr="003B4362">
        <w:rPr>
          <w:szCs w:val="24"/>
        </w:rPr>
        <w:t>.</w:t>
      </w:r>
    </w:p>
    <w:p w14:paraId="3F24B3C9" w14:textId="4F28B666"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Materials Evaluation</w:t>
      </w:r>
      <w:r w:rsidR="008E7D9C" w:rsidRPr="003B4362">
        <w:rPr>
          <w:rFonts w:eastAsia="Calibri"/>
        </w:rPr>
        <w:t xml:space="preserve">.  A supplier must use the information on lead, copper, and galvanized </w:t>
      </w:r>
      <w:r w:rsidR="00DF18F8" w:rsidRPr="003B4362">
        <w:rPr>
          <w:rFonts w:eastAsia="Calibri"/>
        </w:rPr>
        <w:t xml:space="preserve">iron or </w:t>
      </w:r>
      <w:r w:rsidR="008E7D9C" w:rsidRPr="003B4362">
        <w:rPr>
          <w:rFonts w:eastAsia="Calibri"/>
        </w:rPr>
        <w:t>steel it identified under 40 CFR 141.42(d) when conducting a materials evaluation</w:t>
      </w:r>
      <w:r w:rsidR="008E7D9C" w:rsidRPr="003B4362">
        <w:rPr>
          <w:szCs w:val="24"/>
        </w:rPr>
        <w:t xml:space="preserve"> and the information on lead service lines </w:t>
      </w:r>
      <w:bookmarkStart w:id="2001" w:name="_Hlk120816112"/>
      <w:r w:rsidR="008E7D9C" w:rsidRPr="003B4362">
        <w:rPr>
          <w:szCs w:val="24"/>
        </w:rPr>
        <w:t>that</w:t>
      </w:r>
      <w:r w:rsidR="000B3A68" w:rsidRPr="003B4362">
        <w:rPr>
          <w:rFonts w:eastAsia="Calibri"/>
        </w:rPr>
        <w:t xml:space="preserve"> </w:t>
      </w:r>
      <w:r w:rsidR="008E7D9C" w:rsidRPr="003B4362">
        <w:rPr>
          <w:szCs w:val="24"/>
        </w:rPr>
        <w:t xml:space="preserve">Section </w:t>
      </w:r>
      <w:r w:rsidR="000B3A68" w:rsidRPr="003B4362">
        <w:rPr>
          <w:szCs w:val="24"/>
        </w:rPr>
        <w:t>61</w:t>
      </w:r>
      <w:r w:rsidR="008E7D9C" w:rsidRPr="003B4362">
        <w:rPr>
          <w:szCs w:val="24"/>
        </w:rPr>
        <w:t>1.</w:t>
      </w:r>
      <w:r w:rsidR="000B3A68" w:rsidRPr="003B4362">
        <w:rPr>
          <w:szCs w:val="24"/>
        </w:rPr>
        <w:t>35</w:t>
      </w:r>
      <w:r w:rsidR="008E7D9C" w:rsidRPr="003B4362">
        <w:rPr>
          <w:szCs w:val="24"/>
        </w:rPr>
        <w:t>4(a)</w:t>
      </w:r>
      <w:bookmarkEnd w:id="2001"/>
      <w:r w:rsidR="008E7D9C" w:rsidRPr="003B4362">
        <w:rPr>
          <w:szCs w:val="24"/>
        </w:rPr>
        <w:t xml:space="preserve"> </w:t>
      </w:r>
      <w:r w:rsidR="000B3A68" w:rsidRPr="003B4362">
        <w:rPr>
          <w:szCs w:val="24"/>
        </w:rPr>
        <w:t xml:space="preserve">requires the supplier to collect </w:t>
      </w:r>
      <w:r w:rsidR="008E7D9C" w:rsidRPr="003B4362">
        <w:rPr>
          <w:szCs w:val="24"/>
        </w:rPr>
        <w:t>to identify potential lead service line sampling sites</w:t>
      </w:r>
      <w:r w:rsidR="008E7D9C" w:rsidRPr="003B4362">
        <w:rPr>
          <w:rFonts w:eastAsia="Calibri"/>
        </w:rPr>
        <w:t>.</w:t>
      </w:r>
    </w:p>
    <w:p w14:paraId="2F7B7954" w14:textId="62F2643C" w:rsidR="00334487" w:rsidRPr="003B4362" w:rsidRDefault="00334487" w:rsidP="00334487">
      <w:pPr>
        <w:spacing w:before="240" w:after="240"/>
        <w:ind w:left="2160"/>
        <w:rPr>
          <w:rFonts w:eastAsia="Calibri"/>
        </w:rPr>
      </w:pPr>
      <w:r w:rsidRPr="003B4362">
        <w:rPr>
          <w:rFonts w:eastAsia="Calibri"/>
        </w:rPr>
        <w:t>BOARD NOTE:  Suppliers completed identifying and reporting construction materials in their distribution systems under 40 CFR 141.42(d)</w:t>
      </w:r>
      <w:r w:rsidR="00B67FBD" w:rsidRPr="003B4362">
        <w:rPr>
          <w:rFonts w:eastAsia="Calibri"/>
        </w:rPr>
        <w:t xml:space="preserve">, so the Board </w:t>
      </w:r>
      <w:r w:rsidR="004F0DBB" w:rsidRPr="003B4362">
        <w:rPr>
          <w:rFonts w:eastAsia="Calibri"/>
        </w:rPr>
        <w:t>omitted</w:t>
      </w:r>
      <w:r w:rsidR="00B67FBD" w:rsidRPr="003B4362">
        <w:rPr>
          <w:rFonts w:eastAsia="Calibri"/>
        </w:rPr>
        <w:t xml:space="preserve"> this requirement </w:t>
      </w:r>
      <w:r w:rsidR="004F0DBB" w:rsidRPr="003B4362">
        <w:rPr>
          <w:rFonts w:eastAsia="Calibri"/>
        </w:rPr>
        <w:t>from the</w:t>
      </w:r>
      <w:r w:rsidR="00B67FBD" w:rsidRPr="003B4362">
        <w:rPr>
          <w:rFonts w:eastAsia="Calibri"/>
        </w:rPr>
        <w:t xml:space="preserve"> Illinois rules.</w:t>
      </w:r>
    </w:p>
    <w:p w14:paraId="3E774C8B" w14:textId="4218D158"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r>
      <w:bookmarkStart w:id="2002" w:name="_Hlk122361380"/>
      <w:bookmarkStart w:id="2003" w:name="_Hlk530587352"/>
      <w:r w:rsidRPr="003B4362">
        <w:rPr>
          <w:rFonts w:eastAsia="Calibri"/>
        </w:rPr>
        <w:t>Sampling</w:t>
      </w:r>
      <w:r w:rsidR="00FD7608" w:rsidRPr="003B4362">
        <w:rPr>
          <w:rFonts w:eastAsia="Calibri"/>
        </w:rPr>
        <w:t xml:space="preserve"> Site Tiers</w:t>
      </w:r>
      <w:bookmarkEnd w:id="2002"/>
      <w:bookmarkEnd w:id="2003"/>
      <w:r w:rsidRPr="003B4362">
        <w:rPr>
          <w:rFonts w:eastAsia="Calibri"/>
        </w:rPr>
        <w:t>.  A</w:t>
      </w:r>
      <w:bookmarkStart w:id="2004" w:name="_Hlk114672114"/>
      <w:r w:rsidRPr="003B4362">
        <w:rPr>
          <w:rFonts w:eastAsia="Calibri"/>
        </w:rPr>
        <w:t xml:space="preserve"> supplier must categorize</w:t>
      </w:r>
      <w:bookmarkEnd w:id="2004"/>
      <w:r w:rsidRPr="003B4362">
        <w:rPr>
          <w:rFonts w:eastAsia="Calibri"/>
        </w:rPr>
        <w:t xml:space="preserve"> the sampling </w:t>
      </w:r>
      <w:bookmarkStart w:id="2005" w:name="_Hlk114672192"/>
      <w:r w:rsidRPr="003B4362">
        <w:rPr>
          <w:rFonts w:eastAsia="Calibri"/>
        </w:rPr>
        <w:t>sites within its pool</w:t>
      </w:r>
      <w:bookmarkEnd w:id="2005"/>
      <w:r w:rsidRPr="003B4362">
        <w:rPr>
          <w:rFonts w:eastAsia="Calibri"/>
        </w:rPr>
        <w:t xml:space="preserve"> </w:t>
      </w:r>
      <w:bookmarkStart w:id="2006" w:name="_Hlk114672239"/>
      <w:r w:rsidRPr="003B4362">
        <w:rPr>
          <w:rFonts w:eastAsia="Calibri"/>
        </w:rPr>
        <w:t>according to tiers</w:t>
      </w:r>
      <w:bookmarkEnd w:id="2006"/>
      <w:r w:rsidRPr="003B4362">
        <w:rPr>
          <w:rFonts w:eastAsia="Calibri"/>
        </w:rPr>
        <w:t>:</w:t>
      </w:r>
    </w:p>
    <w:p w14:paraId="01C0458B" w14:textId="465786C4"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CWS Tier 1 Sampling Sites.  “CWS Tier 1 sampling sites” </w:t>
      </w:r>
      <w:bookmarkStart w:id="2007" w:name="_Hlk114672571"/>
      <w:r w:rsidRPr="003B4362">
        <w:rPr>
          <w:rFonts w:eastAsia="Calibri"/>
        </w:rPr>
        <w:t>include single-family structures</w:t>
      </w:r>
      <w:bookmarkEnd w:id="2007"/>
      <w:r w:rsidR="00FA0799" w:rsidRPr="003B4362">
        <w:rPr>
          <w:rFonts w:eastAsia="Calibri"/>
        </w:rPr>
        <w:t xml:space="preserve"> the supplier serves through a lead service line.</w:t>
      </w:r>
      <w:r w:rsidR="0068604E" w:rsidRPr="003B4362">
        <w:rPr>
          <w:szCs w:val="24"/>
        </w:rPr>
        <w:t xml:space="preserve">  </w:t>
      </w:r>
      <w:bookmarkStart w:id="2008" w:name="_Hlk120829468"/>
      <w:r w:rsidR="00BA0A47" w:rsidRPr="003B4362">
        <w:rPr>
          <w:szCs w:val="24"/>
        </w:rPr>
        <w:t>T</w:t>
      </w:r>
      <w:bookmarkStart w:id="2009" w:name="_Hlk120829599"/>
      <w:r w:rsidR="00BA0A47" w:rsidRPr="003B4362">
        <w:rPr>
          <w:szCs w:val="24"/>
        </w:rPr>
        <w:t>he supplier m</w:t>
      </w:r>
      <w:r w:rsidR="004F0DBB" w:rsidRPr="003B4362">
        <w:rPr>
          <w:szCs w:val="24"/>
        </w:rPr>
        <w:t>ust</w:t>
      </w:r>
      <w:r w:rsidR="00BA0A47" w:rsidRPr="003B4362">
        <w:rPr>
          <w:szCs w:val="24"/>
        </w:rPr>
        <w:t xml:space="preserve"> not use s</w:t>
      </w:r>
      <w:r w:rsidR="0068604E" w:rsidRPr="003B4362">
        <w:rPr>
          <w:szCs w:val="24"/>
        </w:rPr>
        <w:t xml:space="preserve">ites with </w:t>
      </w:r>
      <w:r w:rsidR="00DC29D1" w:rsidRPr="003B4362">
        <w:rPr>
          <w:szCs w:val="24"/>
        </w:rPr>
        <w:t>lead status u</w:t>
      </w:r>
      <w:r w:rsidR="0068604E" w:rsidRPr="003B4362">
        <w:rPr>
          <w:szCs w:val="24"/>
        </w:rPr>
        <w:t>nknown service lines</w:t>
      </w:r>
      <w:bookmarkEnd w:id="2008"/>
      <w:bookmarkEnd w:id="2009"/>
      <w:r w:rsidR="00BA0A47" w:rsidRPr="003B4362">
        <w:rPr>
          <w:szCs w:val="24"/>
        </w:rPr>
        <w:t xml:space="preserve"> </w:t>
      </w:r>
      <w:r w:rsidR="0068604E" w:rsidRPr="003B4362">
        <w:rPr>
          <w:szCs w:val="24"/>
        </w:rPr>
        <w:t xml:space="preserve">as Tier </w:t>
      </w:r>
      <w:r w:rsidR="0077118A" w:rsidRPr="003B4362">
        <w:rPr>
          <w:szCs w:val="24"/>
        </w:rPr>
        <w:t xml:space="preserve">4 </w:t>
      </w:r>
      <w:r w:rsidR="0068604E" w:rsidRPr="003B4362">
        <w:rPr>
          <w:szCs w:val="24"/>
        </w:rPr>
        <w:t>sampling sites.</w:t>
      </w:r>
    </w:p>
    <w:p w14:paraId="12CFE94F" w14:textId="79CE3D34" w:rsidR="005451CE" w:rsidRPr="003B4362" w:rsidRDefault="005451CE" w:rsidP="005451CE">
      <w:pPr>
        <w:spacing w:before="240" w:after="240"/>
        <w:ind w:left="2880"/>
        <w:rPr>
          <w:rFonts w:eastAsia="Calibri"/>
        </w:rPr>
      </w:pPr>
      <w:r w:rsidRPr="003B4362">
        <w:rPr>
          <w:rFonts w:eastAsia="Calibri"/>
        </w:rPr>
        <w:t>BOARD NOTE:  T</w:t>
      </w:r>
      <w:bookmarkStart w:id="2010" w:name="_Hlk114672909"/>
      <w:r w:rsidRPr="003B4362">
        <w:rPr>
          <w:rFonts w:eastAsia="Calibri"/>
        </w:rPr>
        <w:t>his subsection (a)(3)(A) derives from</w:t>
      </w:r>
      <w:bookmarkEnd w:id="2010"/>
      <w:r w:rsidRPr="003B4362">
        <w:rPr>
          <w:rFonts w:eastAsia="Calibri"/>
        </w:rPr>
        <w:t xml:space="preserve"> segments of 40 CFR 141.86(a)(3).</w:t>
      </w:r>
    </w:p>
    <w:p w14:paraId="4D363997" w14:textId="21476B83"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CWS Tier 2 Sampling Sites.  “CWS Tier 2 sampling sites” </w:t>
      </w:r>
      <w:bookmarkStart w:id="2011" w:name="_Hlk114673048"/>
      <w:r w:rsidRPr="003B4362">
        <w:rPr>
          <w:rFonts w:eastAsia="Calibri"/>
        </w:rPr>
        <w:t>include buildings</w:t>
      </w:r>
      <w:bookmarkEnd w:id="2011"/>
      <w:r w:rsidRPr="003B4362">
        <w:rPr>
          <w:rFonts w:eastAsia="Calibri"/>
        </w:rPr>
        <w:t xml:space="preserve">, including </w:t>
      </w:r>
      <w:bookmarkStart w:id="2012" w:name="_Hlk121754692"/>
      <w:r w:rsidRPr="003B4362">
        <w:rPr>
          <w:rFonts w:eastAsia="Calibri"/>
        </w:rPr>
        <w:t>multiple-family structures</w:t>
      </w:r>
      <w:bookmarkEnd w:id="2012"/>
      <w:r w:rsidR="007026FD" w:rsidRPr="003B4362">
        <w:rPr>
          <w:rFonts w:eastAsia="Calibri"/>
        </w:rPr>
        <w:t>,</w:t>
      </w:r>
      <w:r w:rsidR="00727112" w:rsidRPr="003B4362">
        <w:rPr>
          <w:rFonts w:eastAsia="Calibri"/>
        </w:rPr>
        <w:t xml:space="preserve"> the supplier serves through a lead service line.</w:t>
      </w:r>
      <w:r w:rsidR="00186FB5" w:rsidRPr="003B4362">
        <w:rPr>
          <w:szCs w:val="24"/>
        </w:rPr>
        <w:t xml:space="preserve">  </w:t>
      </w:r>
      <w:bookmarkStart w:id="2013" w:name="_Hlk121147751"/>
      <w:r w:rsidR="00186FB5" w:rsidRPr="003B4362">
        <w:rPr>
          <w:szCs w:val="24"/>
        </w:rPr>
        <w:t>The supplier m</w:t>
      </w:r>
      <w:r w:rsidR="004F0DBB" w:rsidRPr="003B4362">
        <w:rPr>
          <w:szCs w:val="24"/>
        </w:rPr>
        <w:t>ust</w:t>
      </w:r>
      <w:r w:rsidR="00186FB5" w:rsidRPr="003B4362">
        <w:rPr>
          <w:szCs w:val="24"/>
        </w:rPr>
        <w:t xml:space="preserve"> not use sites with </w:t>
      </w:r>
      <w:r w:rsidR="000116D3" w:rsidRPr="003B4362">
        <w:rPr>
          <w:szCs w:val="24"/>
        </w:rPr>
        <w:t>lead status unkn</w:t>
      </w:r>
      <w:r w:rsidR="00186FB5" w:rsidRPr="003B4362">
        <w:rPr>
          <w:szCs w:val="24"/>
        </w:rPr>
        <w:t>own service lines as Tier 2 sampling sites.</w:t>
      </w:r>
      <w:bookmarkEnd w:id="2013"/>
    </w:p>
    <w:p w14:paraId="759DDBA9" w14:textId="6CDD1ABF" w:rsidR="005451CE" w:rsidRPr="003B4362" w:rsidRDefault="005451CE" w:rsidP="005451CE">
      <w:pPr>
        <w:spacing w:before="240" w:after="240"/>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(a)(3)(B) derives from segments of 40 CFR 141.86(a)(4).</w:t>
      </w:r>
    </w:p>
    <w:p w14:paraId="4400DDBA" w14:textId="2F0D5E45"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CWS Tier 3 Sampling Sites.  “CWS Tier 3 sampling sites” </w:t>
      </w:r>
      <w:bookmarkStart w:id="2014" w:name="_Hlk114673849"/>
      <w:bookmarkStart w:id="2015" w:name="_Hlk121834220"/>
      <w:r w:rsidRPr="003B4362">
        <w:rPr>
          <w:rFonts w:eastAsia="Calibri"/>
        </w:rPr>
        <w:t>include single-family structures</w:t>
      </w:r>
      <w:bookmarkEnd w:id="2014"/>
      <w:bookmarkEnd w:id="2015"/>
      <w:r w:rsidRPr="003B4362">
        <w:rPr>
          <w:rFonts w:eastAsia="Calibri"/>
        </w:rPr>
        <w:t xml:space="preserve"> </w:t>
      </w:r>
      <w:r w:rsidR="006260D2" w:rsidRPr="003B4362">
        <w:rPr>
          <w:rFonts w:eastAsia="Calibri"/>
        </w:rPr>
        <w:t xml:space="preserve">containing </w:t>
      </w:r>
      <w:bookmarkStart w:id="2016" w:name="_Hlk121165893"/>
      <w:r w:rsidR="006260D2" w:rsidRPr="003B4362">
        <w:rPr>
          <w:szCs w:val="24"/>
        </w:rPr>
        <w:t xml:space="preserve">galvanized service lines the </w:t>
      </w:r>
      <w:r w:rsidR="006260D2" w:rsidRPr="003B4362">
        <w:rPr>
          <w:szCs w:val="24"/>
        </w:rPr>
        <w:lastRenderedPageBreak/>
        <w:t>supplier identified as currently or formerly downstream of a lead service line</w:t>
      </w:r>
      <w:bookmarkEnd w:id="2016"/>
      <w:r w:rsidR="006260D2" w:rsidRPr="003B4362">
        <w:rPr>
          <w:rFonts w:eastAsia="Calibri"/>
        </w:rPr>
        <w:t xml:space="preserve"> </w:t>
      </w:r>
      <w:r w:rsidR="006260D2" w:rsidRPr="003B4362">
        <w:rPr>
          <w:szCs w:val="24"/>
        </w:rPr>
        <w:t>or known to be downstream of a lead gooseneck, pigtail, or connector</w:t>
      </w:r>
      <w:r w:rsidRPr="003B4362">
        <w:rPr>
          <w:rFonts w:eastAsia="Calibri"/>
        </w:rPr>
        <w:t>.</w:t>
      </w:r>
      <w:r w:rsidR="00DF70B3" w:rsidRPr="003B4362">
        <w:rPr>
          <w:szCs w:val="24"/>
        </w:rPr>
        <w:t xml:space="preserve">  </w:t>
      </w:r>
      <w:r w:rsidR="006835C8" w:rsidRPr="003B4362">
        <w:rPr>
          <w:szCs w:val="24"/>
        </w:rPr>
        <w:t>The supplier m</w:t>
      </w:r>
      <w:r w:rsidR="004F0DBB" w:rsidRPr="003B4362">
        <w:rPr>
          <w:szCs w:val="24"/>
        </w:rPr>
        <w:t>ust</w:t>
      </w:r>
      <w:r w:rsidR="006835C8" w:rsidRPr="003B4362">
        <w:rPr>
          <w:szCs w:val="24"/>
        </w:rPr>
        <w:t xml:space="preserve"> not use sites with </w:t>
      </w:r>
      <w:r w:rsidR="000116D3" w:rsidRPr="003B4362">
        <w:rPr>
          <w:szCs w:val="24"/>
        </w:rPr>
        <w:t>lead status u</w:t>
      </w:r>
      <w:r w:rsidR="006835C8" w:rsidRPr="003B4362">
        <w:rPr>
          <w:szCs w:val="24"/>
        </w:rPr>
        <w:t>nknown service lines</w:t>
      </w:r>
      <w:r w:rsidR="00DF70B3" w:rsidRPr="003B4362">
        <w:rPr>
          <w:szCs w:val="24"/>
        </w:rPr>
        <w:t xml:space="preserve"> as Tier 3 sampling sites.</w:t>
      </w:r>
    </w:p>
    <w:p w14:paraId="73D62A53" w14:textId="51F1FE5F" w:rsidR="00077CFF" w:rsidRPr="003B4362" w:rsidRDefault="00077CFF" w:rsidP="00077CFF">
      <w:pPr>
        <w:spacing w:before="240" w:after="240"/>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(a)(3)(C) derives from segments of 40 CFR 141.86(a)(5).</w:t>
      </w:r>
    </w:p>
    <w:p w14:paraId="1B02F487" w14:textId="41B67BF9" w:rsidR="00DD60FB" w:rsidRPr="003B4362" w:rsidRDefault="00DD60FB" w:rsidP="00DD60FB">
      <w:pPr>
        <w:spacing w:before="240" w:after="240"/>
        <w:ind w:left="2880" w:hanging="720"/>
        <w:rPr>
          <w:rFonts w:eastAsia="Calibri"/>
        </w:rPr>
      </w:pPr>
      <w:r w:rsidRPr="003B4362">
        <w:rPr>
          <w:rFonts w:eastAsia="Calibri"/>
        </w:rPr>
        <w:t>D)</w:t>
      </w:r>
      <w:r w:rsidRPr="003B4362">
        <w:rPr>
          <w:rFonts w:eastAsia="Calibri"/>
        </w:rPr>
        <w:tab/>
        <w:t>CWS Tier 4 Sampling Sites.  “CWS Tier 4 sampling sites” include single-family structures</w:t>
      </w:r>
      <w:r w:rsidR="00F564CB" w:rsidRPr="003B4362">
        <w:rPr>
          <w:rFonts w:eastAsia="Calibri"/>
        </w:rPr>
        <w:t xml:space="preserve"> or buildings</w:t>
      </w:r>
      <w:r w:rsidRPr="003B4362">
        <w:rPr>
          <w:rFonts w:eastAsia="Calibri"/>
        </w:rPr>
        <w:t xml:space="preserve"> containing</w:t>
      </w:r>
      <w:r w:rsidRPr="003B4362">
        <w:rPr>
          <w:szCs w:val="24"/>
        </w:rPr>
        <w:t xml:space="preserve"> copper pipes with lead solder installed before June 19, 1986.</w:t>
      </w:r>
      <w:r w:rsidR="00DF18F8" w:rsidRPr="003B4362">
        <w:rPr>
          <w:szCs w:val="24"/>
        </w:rPr>
        <w:t xml:space="preserve">  The supplier must not use sites with lead status unknown service lines as Tier 4 sampling sites.</w:t>
      </w:r>
    </w:p>
    <w:p w14:paraId="5B6B936B" w14:textId="77777777" w:rsidR="00DD60FB" w:rsidRPr="003B4362" w:rsidRDefault="00DD60FB" w:rsidP="00DD60FB">
      <w:pPr>
        <w:spacing w:before="240" w:after="240"/>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(a)(3)(D) derives from segments of 40 CFR 141.86(a)(6).</w:t>
      </w:r>
    </w:p>
    <w:p w14:paraId="21D02350" w14:textId="761CC80F" w:rsidR="00F564CB" w:rsidRPr="003B4362" w:rsidRDefault="00F564CB" w:rsidP="00F564CB">
      <w:pPr>
        <w:spacing w:before="240" w:after="240"/>
        <w:ind w:left="2880" w:hanging="720"/>
        <w:rPr>
          <w:rFonts w:eastAsia="Calibri"/>
        </w:rPr>
      </w:pPr>
      <w:r w:rsidRPr="003B4362">
        <w:rPr>
          <w:rFonts w:eastAsia="Calibri"/>
        </w:rPr>
        <w:t>E)</w:t>
      </w:r>
      <w:r w:rsidRPr="003B4362">
        <w:rPr>
          <w:rFonts w:eastAsia="Calibri"/>
        </w:rPr>
        <w:tab/>
      </w:r>
      <w:bookmarkStart w:id="2017" w:name="_Hlk121402290"/>
      <w:r w:rsidRPr="003B4362">
        <w:rPr>
          <w:rFonts w:eastAsia="Calibri"/>
        </w:rPr>
        <w:t>CWS Tier 5 Sampling Sites</w:t>
      </w:r>
      <w:bookmarkEnd w:id="2017"/>
      <w:r w:rsidRPr="003B4362">
        <w:rPr>
          <w:rFonts w:eastAsia="Calibri"/>
        </w:rPr>
        <w:t>.  “CWS Tier 5 sampling sites” include single-family structures</w:t>
      </w:r>
      <w:r w:rsidR="00820F6E" w:rsidRPr="003B4362">
        <w:rPr>
          <w:szCs w:val="24"/>
        </w:rPr>
        <w:t xml:space="preserve">, </w:t>
      </w:r>
      <w:bookmarkStart w:id="2018" w:name="_Hlk121402892"/>
      <w:r w:rsidR="00820F6E" w:rsidRPr="003B4362">
        <w:rPr>
          <w:szCs w:val="24"/>
        </w:rPr>
        <w:t>including multiple</w:t>
      </w:r>
      <w:r w:rsidR="00811D06" w:rsidRPr="003B4362">
        <w:rPr>
          <w:szCs w:val="24"/>
        </w:rPr>
        <w:t>-</w:t>
      </w:r>
      <w:r w:rsidR="00820F6E" w:rsidRPr="003B4362">
        <w:rPr>
          <w:szCs w:val="24"/>
        </w:rPr>
        <w:t xml:space="preserve">family </w:t>
      </w:r>
      <w:bookmarkStart w:id="2019" w:name="_Hlk121402824"/>
      <w:r w:rsidR="00820F6E" w:rsidRPr="003B4362">
        <w:rPr>
          <w:szCs w:val="24"/>
        </w:rPr>
        <w:t>residences</w:t>
      </w:r>
      <w:bookmarkEnd w:id="2018"/>
      <w:r w:rsidR="00A4029C" w:rsidRPr="003B4362">
        <w:rPr>
          <w:szCs w:val="24"/>
        </w:rPr>
        <w:t>,</w:t>
      </w:r>
      <w:r w:rsidR="00820F6E" w:rsidRPr="003B4362">
        <w:rPr>
          <w:szCs w:val="24"/>
        </w:rPr>
        <w:t xml:space="preserve"> </w:t>
      </w:r>
      <w:bookmarkStart w:id="2020" w:name="_Hlk121402959"/>
      <w:r w:rsidR="00A4029C" w:rsidRPr="003B4362">
        <w:rPr>
          <w:szCs w:val="24"/>
        </w:rPr>
        <w:t>representing</w:t>
      </w:r>
      <w:r w:rsidR="00820F6E" w:rsidRPr="003B4362">
        <w:rPr>
          <w:szCs w:val="24"/>
        </w:rPr>
        <w:t xml:space="preserve"> sites</w:t>
      </w:r>
      <w:bookmarkEnd w:id="2019"/>
      <w:bookmarkEnd w:id="2020"/>
      <w:r w:rsidR="00820F6E" w:rsidRPr="003B4362">
        <w:rPr>
          <w:szCs w:val="24"/>
        </w:rPr>
        <w:t xml:space="preserve"> throughout </w:t>
      </w:r>
      <w:bookmarkStart w:id="2021" w:name="_Hlk121403101"/>
      <w:r w:rsidR="00820F6E" w:rsidRPr="003B4362">
        <w:rPr>
          <w:szCs w:val="24"/>
        </w:rPr>
        <w:t xml:space="preserve">the </w:t>
      </w:r>
      <w:r w:rsidR="00A4029C" w:rsidRPr="003B4362">
        <w:rPr>
          <w:szCs w:val="24"/>
        </w:rPr>
        <w:t xml:space="preserve">supplier’s </w:t>
      </w:r>
      <w:r w:rsidR="00820F6E" w:rsidRPr="003B4362">
        <w:rPr>
          <w:szCs w:val="24"/>
        </w:rPr>
        <w:t>distribution system</w:t>
      </w:r>
      <w:bookmarkEnd w:id="2021"/>
      <w:r w:rsidR="00820F6E" w:rsidRPr="003B4362">
        <w:rPr>
          <w:szCs w:val="24"/>
        </w:rPr>
        <w:t>.</w:t>
      </w:r>
      <w:r w:rsidR="00015E7C" w:rsidRPr="003B4362">
        <w:rPr>
          <w:szCs w:val="24"/>
        </w:rPr>
        <w:t xml:space="preserve">  The supplier m</w:t>
      </w:r>
      <w:r w:rsidR="004F0DBB" w:rsidRPr="003B4362">
        <w:rPr>
          <w:szCs w:val="24"/>
        </w:rPr>
        <w:t>ust</w:t>
      </w:r>
      <w:r w:rsidR="00015E7C" w:rsidRPr="003B4362">
        <w:rPr>
          <w:szCs w:val="24"/>
        </w:rPr>
        <w:t xml:space="preserve"> not use sites with </w:t>
      </w:r>
      <w:r w:rsidR="000116D3" w:rsidRPr="003B4362">
        <w:rPr>
          <w:szCs w:val="24"/>
        </w:rPr>
        <w:t>lead status u</w:t>
      </w:r>
      <w:r w:rsidR="00015E7C" w:rsidRPr="003B4362">
        <w:rPr>
          <w:szCs w:val="24"/>
        </w:rPr>
        <w:t>nknown service lines as Tier 5 sampling sites.</w:t>
      </w:r>
      <w:r w:rsidR="0043216E" w:rsidRPr="003B4362">
        <w:rPr>
          <w:szCs w:val="24"/>
        </w:rPr>
        <w:t xml:space="preserve">  </w:t>
      </w:r>
    </w:p>
    <w:p w14:paraId="48E7886E" w14:textId="079E22DF" w:rsidR="00F564CB" w:rsidRPr="003B4362" w:rsidRDefault="00F564CB" w:rsidP="00F564CB">
      <w:pPr>
        <w:spacing w:before="240" w:after="240"/>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w:t>
      </w:r>
      <w:r w:rsidR="00820F6E" w:rsidRPr="003B4362">
        <w:rPr>
          <w:rFonts w:eastAsia="Calibri"/>
        </w:rPr>
        <w:t>E</w:t>
      </w:r>
      <w:r w:rsidRPr="003B4362">
        <w:rPr>
          <w:rFonts w:eastAsia="Calibri"/>
        </w:rPr>
        <w:t>) derives from segments of 40 CFR 141.86(a)(</w:t>
      </w:r>
      <w:r w:rsidR="00820F6E" w:rsidRPr="003B4362">
        <w:rPr>
          <w:rFonts w:eastAsia="Calibri"/>
        </w:rPr>
        <w:t>7</w:t>
      </w:r>
      <w:r w:rsidRPr="003B4362">
        <w:rPr>
          <w:rFonts w:eastAsia="Calibri"/>
        </w:rPr>
        <w:t>).</w:t>
      </w:r>
    </w:p>
    <w:p w14:paraId="49034870" w14:textId="2A44A913" w:rsidR="00DD60FB" w:rsidRPr="003B4362" w:rsidRDefault="004D2227" w:rsidP="00DD60FB">
      <w:pPr>
        <w:spacing w:before="240" w:after="240"/>
        <w:ind w:left="2880" w:hanging="720"/>
        <w:rPr>
          <w:rFonts w:eastAsia="Calibri"/>
        </w:rPr>
      </w:pPr>
      <w:r w:rsidRPr="003B4362">
        <w:rPr>
          <w:rFonts w:eastAsia="Calibri"/>
        </w:rPr>
        <w:t>F</w:t>
      </w:r>
      <w:r w:rsidR="00DD60FB" w:rsidRPr="003B4362">
        <w:rPr>
          <w:rFonts w:eastAsia="Calibri"/>
        </w:rPr>
        <w:t>)</w:t>
      </w:r>
      <w:r w:rsidR="00DD60FB" w:rsidRPr="003B4362">
        <w:rPr>
          <w:rFonts w:eastAsia="Calibri"/>
        </w:rPr>
        <w:tab/>
        <w:t>NTNCWS Tier 1 Sampling Sites.  “NTNCWS Tier 1 sampling sites” include</w:t>
      </w:r>
      <w:r w:rsidR="00A87C23" w:rsidRPr="003B4362">
        <w:rPr>
          <w:rFonts w:eastAsia="Calibri"/>
        </w:rPr>
        <w:t xml:space="preserve"> </w:t>
      </w:r>
      <w:r w:rsidR="001839BE" w:rsidRPr="003B4362">
        <w:rPr>
          <w:rFonts w:eastAsia="Calibri"/>
        </w:rPr>
        <w:t>sites</w:t>
      </w:r>
      <w:r w:rsidR="00A87C23" w:rsidRPr="003B4362">
        <w:rPr>
          <w:rFonts w:eastAsia="Calibri"/>
        </w:rPr>
        <w:t xml:space="preserve"> </w:t>
      </w:r>
      <w:r w:rsidR="001839BE" w:rsidRPr="003B4362">
        <w:rPr>
          <w:szCs w:val="24"/>
        </w:rPr>
        <w:t xml:space="preserve">that the supplier serves through a lead service line.  </w:t>
      </w:r>
      <w:r w:rsidR="008F04FE" w:rsidRPr="003B4362">
        <w:rPr>
          <w:szCs w:val="24"/>
        </w:rPr>
        <w:t>The supplier m</w:t>
      </w:r>
      <w:r w:rsidR="004F0DBB" w:rsidRPr="003B4362">
        <w:rPr>
          <w:szCs w:val="24"/>
        </w:rPr>
        <w:t>ust</w:t>
      </w:r>
      <w:r w:rsidR="008F04FE" w:rsidRPr="003B4362">
        <w:rPr>
          <w:szCs w:val="24"/>
        </w:rPr>
        <w:t xml:space="preserve"> not use sites with</w:t>
      </w:r>
      <w:r w:rsidR="000116D3" w:rsidRPr="003B4362">
        <w:rPr>
          <w:szCs w:val="24"/>
        </w:rPr>
        <w:t xml:space="preserve"> lead status u</w:t>
      </w:r>
      <w:r w:rsidR="008F04FE" w:rsidRPr="003B4362">
        <w:rPr>
          <w:szCs w:val="24"/>
        </w:rPr>
        <w:t xml:space="preserve">nknown service lines as Tier </w:t>
      </w:r>
      <w:r w:rsidR="00F2013C" w:rsidRPr="003B4362">
        <w:rPr>
          <w:szCs w:val="24"/>
        </w:rPr>
        <w:t>1</w:t>
      </w:r>
      <w:r w:rsidR="008F04FE" w:rsidRPr="003B4362">
        <w:rPr>
          <w:szCs w:val="24"/>
        </w:rPr>
        <w:t xml:space="preserve"> sampling sites.</w:t>
      </w:r>
    </w:p>
    <w:p w14:paraId="65C488B5" w14:textId="41B62A77" w:rsidR="00DD60FB" w:rsidRPr="003B4362" w:rsidRDefault="00DD60FB" w:rsidP="00DD60FB">
      <w:pPr>
        <w:spacing w:before="240" w:after="240"/>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w:t>
      </w:r>
      <w:r w:rsidR="0041073E" w:rsidRPr="003B4362">
        <w:rPr>
          <w:rFonts w:eastAsia="Calibri"/>
        </w:rPr>
        <w:t>F</w:t>
      </w:r>
      <w:r w:rsidRPr="003B4362">
        <w:rPr>
          <w:rFonts w:eastAsia="Calibri"/>
        </w:rPr>
        <w:t>) derives from segments of 40 CFR 141.86(a)(</w:t>
      </w:r>
      <w:r w:rsidR="00A11376" w:rsidRPr="003B4362">
        <w:rPr>
          <w:rFonts w:eastAsia="Calibri"/>
        </w:rPr>
        <w:t>8</w:t>
      </w:r>
      <w:r w:rsidRPr="003B4362">
        <w:rPr>
          <w:rFonts w:eastAsia="Calibri"/>
        </w:rPr>
        <w:t>).</w:t>
      </w:r>
    </w:p>
    <w:p w14:paraId="3FBD6903" w14:textId="65B6D652" w:rsidR="00DD60FB" w:rsidRPr="003B4362" w:rsidRDefault="00321113" w:rsidP="00DD60FB">
      <w:pPr>
        <w:spacing w:before="240" w:after="240"/>
        <w:ind w:left="2880" w:hanging="720"/>
        <w:rPr>
          <w:rFonts w:eastAsia="Calibri"/>
        </w:rPr>
      </w:pPr>
      <w:r w:rsidRPr="003B4362">
        <w:rPr>
          <w:rFonts w:eastAsia="Calibri"/>
        </w:rPr>
        <w:t>G</w:t>
      </w:r>
      <w:r w:rsidR="00DD60FB" w:rsidRPr="003B4362">
        <w:rPr>
          <w:rFonts w:eastAsia="Calibri"/>
        </w:rPr>
        <w:t>)</w:t>
      </w:r>
      <w:r w:rsidR="00DD60FB" w:rsidRPr="003B4362">
        <w:rPr>
          <w:rFonts w:eastAsia="Calibri"/>
        </w:rPr>
        <w:tab/>
      </w:r>
      <w:bookmarkStart w:id="2022" w:name="_Hlk121429500"/>
      <w:r w:rsidR="00DD60FB" w:rsidRPr="003B4362">
        <w:rPr>
          <w:rFonts w:eastAsia="Calibri"/>
        </w:rPr>
        <w:t xml:space="preserve">NTNCWS </w:t>
      </w:r>
      <w:r w:rsidRPr="003B4362">
        <w:rPr>
          <w:rFonts w:eastAsia="Calibri"/>
          <w:szCs w:val="24"/>
        </w:rPr>
        <w:t xml:space="preserve">Tier 3 </w:t>
      </w:r>
      <w:r w:rsidR="00DD60FB" w:rsidRPr="003B4362">
        <w:rPr>
          <w:rFonts w:eastAsia="Calibri"/>
        </w:rPr>
        <w:t>Sampling Sites</w:t>
      </w:r>
      <w:bookmarkEnd w:id="2022"/>
      <w:r w:rsidR="00DD60FB" w:rsidRPr="003B4362">
        <w:rPr>
          <w:rFonts w:eastAsia="Calibri"/>
        </w:rPr>
        <w:t>.  “</w:t>
      </w:r>
      <w:bookmarkStart w:id="2023" w:name="_Hlk121429744"/>
      <w:r w:rsidR="00DD60FB" w:rsidRPr="003B4362">
        <w:rPr>
          <w:rFonts w:eastAsia="Calibri"/>
        </w:rPr>
        <w:t xml:space="preserve">NTNCWS </w:t>
      </w:r>
      <w:r w:rsidRPr="003B4362">
        <w:rPr>
          <w:rFonts w:eastAsia="Calibri"/>
          <w:szCs w:val="24"/>
        </w:rPr>
        <w:t xml:space="preserve">Tier 3 </w:t>
      </w:r>
      <w:r w:rsidR="00DD60FB" w:rsidRPr="003B4362">
        <w:rPr>
          <w:rFonts w:eastAsia="Calibri"/>
        </w:rPr>
        <w:t>sampling sites</w:t>
      </w:r>
      <w:bookmarkEnd w:id="2023"/>
      <w:r w:rsidR="00DD60FB" w:rsidRPr="003B4362">
        <w:rPr>
          <w:rFonts w:eastAsia="Calibri"/>
        </w:rPr>
        <w:t xml:space="preserve">” </w:t>
      </w:r>
      <w:bookmarkStart w:id="2024" w:name="_Hlk121431171"/>
      <w:r w:rsidR="00DD60FB" w:rsidRPr="003B4362">
        <w:rPr>
          <w:rFonts w:eastAsia="Calibri"/>
        </w:rPr>
        <w:t>include</w:t>
      </w:r>
      <w:r w:rsidR="0092244D" w:rsidRPr="003B4362">
        <w:rPr>
          <w:szCs w:val="24"/>
        </w:rPr>
        <w:t xml:space="preserve"> sites</w:t>
      </w:r>
      <w:bookmarkStart w:id="2025" w:name="_Hlk121431200"/>
      <w:bookmarkEnd w:id="2024"/>
      <w:r w:rsidR="0092244D" w:rsidRPr="003B4362">
        <w:rPr>
          <w:szCs w:val="24"/>
        </w:rPr>
        <w:t xml:space="preserve"> </w:t>
      </w:r>
      <w:r w:rsidR="00C02B5C" w:rsidRPr="003B4362">
        <w:rPr>
          <w:szCs w:val="24"/>
        </w:rPr>
        <w:t>having</w:t>
      </w:r>
      <w:r w:rsidR="0092244D" w:rsidRPr="003B4362">
        <w:rPr>
          <w:szCs w:val="24"/>
        </w:rPr>
        <w:t xml:space="preserve"> galvanized lines</w:t>
      </w:r>
      <w:bookmarkEnd w:id="2025"/>
      <w:r w:rsidR="0092244D" w:rsidRPr="003B4362">
        <w:rPr>
          <w:szCs w:val="24"/>
        </w:rPr>
        <w:t xml:space="preserve"> </w:t>
      </w:r>
      <w:bookmarkStart w:id="2026" w:name="_Hlk121431467"/>
      <w:bookmarkStart w:id="2027" w:name="_Hlk121431729"/>
      <w:r w:rsidR="00A23BC1" w:rsidRPr="003B4362">
        <w:rPr>
          <w:szCs w:val="24"/>
        </w:rPr>
        <w:t>the suppli</w:t>
      </w:r>
      <w:r w:rsidR="004F0DBB" w:rsidRPr="003B4362">
        <w:rPr>
          <w:szCs w:val="24"/>
        </w:rPr>
        <w:t>e</w:t>
      </w:r>
      <w:r w:rsidR="00A23BC1" w:rsidRPr="003B4362">
        <w:rPr>
          <w:szCs w:val="24"/>
        </w:rPr>
        <w:t xml:space="preserve">r </w:t>
      </w:r>
      <w:r w:rsidR="0092244D" w:rsidRPr="003B4362">
        <w:rPr>
          <w:szCs w:val="24"/>
        </w:rPr>
        <w:t>identified as</w:t>
      </w:r>
      <w:r w:rsidR="00A23BC1" w:rsidRPr="003B4362">
        <w:rPr>
          <w:szCs w:val="24"/>
        </w:rPr>
        <w:t xml:space="preserve"> currently or formerly </w:t>
      </w:r>
      <w:r w:rsidR="0092244D" w:rsidRPr="003B4362">
        <w:rPr>
          <w:szCs w:val="24"/>
        </w:rPr>
        <w:t xml:space="preserve">downstream of </w:t>
      </w:r>
      <w:bookmarkEnd w:id="2026"/>
      <w:r w:rsidR="00A23BC1" w:rsidRPr="003B4362">
        <w:rPr>
          <w:szCs w:val="24"/>
        </w:rPr>
        <w:t>a lead service line</w:t>
      </w:r>
      <w:bookmarkEnd w:id="2027"/>
      <w:r w:rsidR="00A23BC1" w:rsidRPr="003B4362">
        <w:rPr>
          <w:szCs w:val="24"/>
        </w:rPr>
        <w:t xml:space="preserve"> </w:t>
      </w:r>
      <w:r w:rsidR="0092244D" w:rsidRPr="003B4362">
        <w:rPr>
          <w:szCs w:val="24"/>
        </w:rPr>
        <w:t>or known to be downstream of a lead gooseneck, pigtail, or connector</w:t>
      </w:r>
      <w:r w:rsidR="00DD60FB" w:rsidRPr="003B4362">
        <w:rPr>
          <w:rFonts w:eastAsia="Calibri"/>
        </w:rPr>
        <w:t>.</w:t>
      </w:r>
      <w:r w:rsidR="00015E7C" w:rsidRPr="003B4362">
        <w:rPr>
          <w:szCs w:val="24"/>
        </w:rPr>
        <w:t xml:space="preserve">  The supplier m</w:t>
      </w:r>
      <w:r w:rsidR="004F0DBB" w:rsidRPr="003B4362">
        <w:rPr>
          <w:szCs w:val="24"/>
        </w:rPr>
        <w:t>ust</w:t>
      </w:r>
      <w:r w:rsidR="00015E7C" w:rsidRPr="003B4362">
        <w:rPr>
          <w:szCs w:val="24"/>
        </w:rPr>
        <w:t xml:space="preserve"> not use sites with </w:t>
      </w:r>
      <w:r w:rsidR="000116D3" w:rsidRPr="003B4362">
        <w:rPr>
          <w:szCs w:val="24"/>
        </w:rPr>
        <w:t>lead status unk</w:t>
      </w:r>
      <w:r w:rsidR="00015E7C" w:rsidRPr="003B4362">
        <w:rPr>
          <w:szCs w:val="24"/>
        </w:rPr>
        <w:t xml:space="preserve">nown service lines as Tier </w:t>
      </w:r>
      <w:r w:rsidR="001348F9" w:rsidRPr="003B4362">
        <w:rPr>
          <w:szCs w:val="24"/>
        </w:rPr>
        <w:t>3</w:t>
      </w:r>
      <w:r w:rsidR="00015E7C" w:rsidRPr="003B4362">
        <w:rPr>
          <w:szCs w:val="24"/>
        </w:rPr>
        <w:t xml:space="preserve"> sampling sites.</w:t>
      </w:r>
    </w:p>
    <w:p w14:paraId="60726916" w14:textId="27B86142" w:rsidR="00DD60FB" w:rsidRPr="003B4362" w:rsidRDefault="00DD60FB" w:rsidP="00DD60FB">
      <w:pPr>
        <w:spacing w:before="240" w:after="240"/>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w:t>
      </w:r>
      <w:r w:rsidR="00321113" w:rsidRPr="003B4362">
        <w:rPr>
          <w:rFonts w:eastAsia="Calibri"/>
        </w:rPr>
        <w:t>G</w:t>
      </w:r>
      <w:r w:rsidRPr="003B4362">
        <w:rPr>
          <w:rFonts w:eastAsia="Calibri"/>
        </w:rPr>
        <w:t>) derives from segments of 40 CFR 141.86(a)(9).</w:t>
      </w:r>
    </w:p>
    <w:p w14:paraId="02843C92" w14:textId="39492844" w:rsidR="00343745" w:rsidRPr="003B4362" w:rsidRDefault="00614379" w:rsidP="00343745">
      <w:pPr>
        <w:spacing w:before="240" w:after="240"/>
        <w:ind w:left="2880" w:hanging="720"/>
        <w:rPr>
          <w:rFonts w:eastAsia="Calibri"/>
        </w:rPr>
      </w:pPr>
      <w:r w:rsidRPr="003B4362">
        <w:rPr>
          <w:rFonts w:eastAsia="Calibri"/>
        </w:rPr>
        <w:t>H</w:t>
      </w:r>
      <w:r w:rsidR="00343745" w:rsidRPr="003B4362">
        <w:rPr>
          <w:rFonts w:eastAsia="Calibri"/>
        </w:rPr>
        <w:t>)</w:t>
      </w:r>
      <w:r w:rsidR="00343745" w:rsidRPr="003B4362">
        <w:rPr>
          <w:rFonts w:eastAsia="Calibri"/>
        </w:rPr>
        <w:tab/>
      </w:r>
      <w:bookmarkStart w:id="2028" w:name="_Hlk121310393"/>
      <w:r w:rsidR="00343745" w:rsidRPr="003B4362">
        <w:rPr>
          <w:rFonts w:eastAsia="Calibri"/>
        </w:rPr>
        <w:t xml:space="preserve">NTNCWS Tier </w:t>
      </w:r>
      <w:r w:rsidRPr="003B4362">
        <w:rPr>
          <w:rFonts w:eastAsia="Calibri"/>
        </w:rPr>
        <w:t>5</w:t>
      </w:r>
      <w:r w:rsidR="00343745" w:rsidRPr="003B4362">
        <w:rPr>
          <w:rFonts w:eastAsia="Calibri"/>
        </w:rPr>
        <w:t xml:space="preserve"> Sampling Sites</w:t>
      </w:r>
      <w:bookmarkEnd w:id="2028"/>
      <w:r w:rsidR="00343745" w:rsidRPr="003B4362">
        <w:rPr>
          <w:rFonts w:eastAsia="Calibri"/>
        </w:rPr>
        <w:t>.  “</w:t>
      </w:r>
      <w:bookmarkStart w:id="2029" w:name="_Hlk121310515"/>
      <w:r w:rsidR="00343745" w:rsidRPr="003B4362">
        <w:rPr>
          <w:rFonts w:eastAsia="Calibri"/>
        </w:rPr>
        <w:t xml:space="preserve">NTNCWS Tier </w:t>
      </w:r>
      <w:r w:rsidRPr="003B4362">
        <w:rPr>
          <w:rFonts w:eastAsia="Calibri"/>
        </w:rPr>
        <w:t>5</w:t>
      </w:r>
      <w:r w:rsidR="00343745" w:rsidRPr="003B4362">
        <w:rPr>
          <w:rFonts w:eastAsia="Calibri"/>
        </w:rPr>
        <w:t xml:space="preserve"> sampling sites</w:t>
      </w:r>
      <w:bookmarkEnd w:id="2029"/>
      <w:r w:rsidR="00343745" w:rsidRPr="003B4362">
        <w:rPr>
          <w:rFonts w:eastAsia="Calibri"/>
        </w:rPr>
        <w:t xml:space="preserve">” include </w:t>
      </w:r>
      <w:bookmarkStart w:id="2030" w:name="_Hlk121310746"/>
      <w:r w:rsidR="00343745" w:rsidRPr="003B4362">
        <w:rPr>
          <w:rFonts w:eastAsia="Calibri"/>
        </w:rPr>
        <w:t xml:space="preserve">sites </w:t>
      </w:r>
      <w:bookmarkStart w:id="2031" w:name="_Hlk121434873"/>
      <w:bookmarkEnd w:id="2030"/>
      <w:r w:rsidR="00991CD0" w:rsidRPr="003B4362">
        <w:rPr>
          <w:szCs w:val="24"/>
        </w:rPr>
        <w:t>represent</w:t>
      </w:r>
      <w:r w:rsidR="0043216E" w:rsidRPr="003B4362">
        <w:rPr>
          <w:szCs w:val="24"/>
        </w:rPr>
        <w:t>ing</w:t>
      </w:r>
      <w:r w:rsidR="00991CD0" w:rsidRPr="003B4362">
        <w:rPr>
          <w:szCs w:val="24"/>
        </w:rPr>
        <w:t xml:space="preserve"> sites throughout the </w:t>
      </w:r>
      <w:r w:rsidR="0043216E" w:rsidRPr="003B4362">
        <w:rPr>
          <w:szCs w:val="24"/>
        </w:rPr>
        <w:t xml:space="preserve">supplier’s </w:t>
      </w:r>
      <w:r w:rsidR="00991CD0" w:rsidRPr="003B4362">
        <w:rPr>
          <w:szCs w:val="24"/>
        </w:rPr>
        <w:lastRenderedPageBreak/>
        <w:t>distribution system</w:t>
      </w:r>
      <w:bookmarkEnd w:id="2031"/>
      <w:r w:rsidR="00343745" w:rsidRPr="003B4362">
        <w:rPr>
          <w:rFonts w:eastAsia="Calibri"/>
        </w:rPr>
        <w:t>.</w:t>
      </w:r>
      <w:r w:rsidR="007E71A8" w:rsidRPr="003B4362">
        <w:rPr>
          <w:szCs w:val="24"/>
        </w:rPr>
        <w:t xml:space="preserve">  Under this subsection (</w:t>
      </w:r>
      <w:r w:rsidR="007E71A8" w:rsidRPr="003B4362">
        <w:rPr>
          <w:rFonts w:eastAsia="Calibri"/>
        </w:rPr>
        <w:t>a)(3)(H</w:t>
      </w:r>
      <w:r w:rsidR="007E71A8" w:rsidRPr="003B4362">
        <w:rPr>
          <w:szCs w:val="24"/>
        </w:rPr>
        <w:t>), a site representing sites throughout the distribution system has plumbing materials commonly found at the other sites the supplier serves.</w:t>
      </w:r>
    </w:p>
    <w:p w14:paraId="26146A2F" w14:textId="17494AA1" w:rsidR="00343745" w:rsidRPr="003B4362" w:rsidRDefault="00343745" w:rsidP="00343745">
      <w:pPr>
        <w:spacing w:before="240" w:after="240"/>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w:t>
      </w:r>
      <w:r w:rsidR="00344CEE" w:rsidRPr="003B4362">
        <w:rPr>
          <w:rFonts w:eastAsia="Calibri"/>
        </w:rPr>
        <w:t>H</w:t>
      </w:r>
      <w:r w:rsidRPr="003B4362">
        <w:rPr>
          <w:rFonts w:eastAsia="Calibri"/>
        </w:rPr>
        <w:t>) derives from segments of 40 CFR 141.86(a)(</w:t>
      </w:r>
      <w:r w:rsidR="00015E7C" w:rsidRPr="003B4362">
        <w:rPr>
          <w:rFonts w:eastAsia="Calibri"/>
        </w:rPr>
        <w:t>10</w:t>
      </w:r>
      <w:r w:rsidRPr="003B4362">
        <w:rPr>
          <w:rFonts w:eastAsia="Calibri"/>
        </w:rPr>
        <w:t>).</w:t>
      </w:r>
    </w:p>
    <w:p w14:paraId="3DF1BCD1" w14:textId="4F5F5589"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r>
      <w:bookmarkStart w:id="2032" w:name="_Hlk122361484"/>
      <w:r w:rsidR="00FD7608" w:rsidRPr="003B4362">
        <w:rPr>
          <w:rFonts w:eastAsia="Calibri"/>
        </w:rPr>
        <w:t xml:space="preserve">Selecting </w:t>
      </w:r>
      <w:r w:rsidRPr="003B4362">
        <w:rPr>
          <w:rFonts w:eastAsia="Calibri"/>
        </w:rPr>
        <w:t>Sampling Sites</w:t>
      </w:r>
      <w:bookmarkEnd w:id="2032"/>
      <w:r w:rsidRPr="003B4362">
        <w:rPr>
          <w:rFonts w:eastAsia="Calibri"/>
        </w:rPr>
        <w:t xml:space="preserve">.  A supplier must select sampling sites for its sampling pool </w:t>
      </w:r>
      <w:bookmarkStart w:id="2033" w:name="_Hlk114675068"/>
      <w:r w:rsidRPr="003B4362">
        <w:rPr>
          <w:rFonts w:eastAsia="Calibri"/>
        </w:rPr>
        <w:t>using specific criteria</w:t>
      </w:r>
      <w:bookmarkEnd w:id="2033"/>
      <w:r w:rsidRPr="003B4362">
        <w:rPr>
          <w:rFonts w:eastAsia="Calibri"/>
        </w:rPr>
        <w:t>:</w:t>
      </w:r>
    </w:p>
    <w:p w14:paraId="7DE5755D" w14:textId="45A0B1DE"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CWS Suppliers.  A</w:t>
      </w:r>
      <w:bookmarkStart w:id="2034" w:name="_Hlk114675010"/>
      <w:r w:rsidRPr="003B4362">
        <w:rPr>
          <w:rFonts w:eastAsia="Calibri"/>
        </w:rPr>
        <w:t xml:space="preserve"> CWS supplier </w:t>
      </w:r>
      <w:bookmarkEnd w:id="2034"/>
      <w:r w:rsidRPr="003B4362">
        <w:rPr>
          <w:rFonts w:eastAsia="Calibri"/>
        </w:rPr>
        <w:t xml:space="preserve">must use CWS </w:t>
      </w:r>
      <w:r w:rsidR="00984A56" w:rsidRPr="003B4362">
        <w:rPr>
          <w:szCs w:val="24"/>
        </w:rPr>
        <w:t xml:space="preserve">Tier </w:t>
      </w:r>
      <w:r w:rsidRPr="003B4362">
        <w:rPr>
          <w:rFonts w:eastAsia="Calibri"/>
        </w:rPr>
        <w:t xml:space="preserve">1 sampling sites, except that the supplier may include CWS </w:t>
      </w:r>
      <w:r w:rsidR="00984A56" w:rsidRPr="003B4362">
        <w:rPr>
          <w:szCs w:val="24"/>
        </w:rPr>
        <w:t xml:space="preserve">Tier </w:t>
      </w:r>
      <w:r w:rsidRPr="003B4362">
        <w:rPr>
          <w:rFonts w:eastAsia="Calibri"/>
        </w:rPr>
        <w:t xml:space="preserve">2 or CWS </w:t>
      </w:r>
      <w:r w:rsidR="00984A56" w:rsidRPr="003B4362">
        <w:rPr>
          <w:szCs w:val="24"/>
        </w:rPr>
        <w:t xml:space="preserve">Tier </w:t>
      </w:r>
      <w:r w:rsidRPr="003B4362">
        <w:rPr>
          <w:rFonts w:eastAsia="Calibri"/>
        </w:rPr>
        <w:t>3 sampling sites in its sampling pool under certain circumstances:</w:t>
      </w:r>
    </w:p>
    <w:p w14:paraId="66D47003" w14:textId="48E1B65D"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 xml:space="preserve">If multiple-family residences comprise at least 20 percent of the </w:t>
      </w:r>
      <w:bookmarkStart w:id="2035" w:name="_Hlk114675108"/>
      <w:r w:rsidRPr="003B4362">
        <w:rPr>
          <w:rFonts w:eastAsia="Calibri"/>
        </w:rPr>
        <w:t>structures the supplier serves</w:t>
      </w:r>
      <w:bookmarkEnd w:id="2035"/>
      <w:r w:rsidRPr="003B4362">
        <w:rPr>
          <w:rFonts w:eastAsia="Calibri"/>
        </w:rPr>
        <w:t xml:space="preserve">, the supplier may use CWS </w:t>
      </w:r>
      <w:r w:rsidR="00984A56" w:rsidRPr="003B4362">
        <w:rPr>
          <w:szCs w:val="24"/>
        </w:rPr>
        <w:t xml:space="preserve">Tier </w:t>
      </w:r>
      <w:r w:rsidRPr="003B4362">
        <w:rPr>
          <w:rFonts w:eastAsia="Calibri"/>
        </w:rPr>
        <w:t xml:space="preserve">2 sampling sites in its </w:t>
      </w:r>
      <w:r w:rsidR="006E3D7F" w:rsidRPr="003B4362">
        <w:rPr>
          <w:szCs w:val="24"/>
        </w:rPr>
        <w:t xml:space="preserve">Tier 1 </w:t>
      </w:r>
      <w:r w:rsidRPr="003B4362">
        <w:rPr>
          <w:rFonts w:eastAsia="Calibri"/>
        </w:rPr>
        <w:t>sampling pool</w:t>
      </w:r>
      <w:r w:rsidR="006E3D7F" w:rsidRPr="003B4362">
        <w:rPr>
          <w:szCs w:val="24"/>
        </w:rPr>
        <w:t xml:space="preserve">, </w:t>
      </w:r>
      <w:bookmarkStart w:id="2036" w:name="_Hlk120828081"/>
      <w:r w:rsidR="006E3D7F" w:rsidRPr="003B4362">
        <w:rPr>
          <w:szCs w:val="24"/>
        </w:rPr>
        <w:t xml:space="preserve">if </w:t>
      </w:r>
      <w:bookmarkEnd w:id="2036"/>
      <w:r w:rsidR="00E00E52" w:rsidRPr="003B4362">
        <w:rPr>
          <w:szCs w:val="24"/>
        </w:rPr>
        <w:t xml:space="preserve">the supplier serves the </w:t>
      </w:r>
      <w:bookmarkStart w:id="2037" w:name="_Hlk120828303"/>
      <w:r w:rsidR="00E00E52" w:rsidRPr="003B4362">
        <w:rPr>
          <w:szCs w:val="24"/>
        </w:rPr>
        <w:t xml:space="preserve">sampling </w:t>
      </w:r>
      <w:bookmarkEnd w:id="2037"/>
      <w:r w:rsidR="00E00E52" w:rsidRPr="003B4362">
        <w:rPr>
          <w:szCs w:val="24"/>
        </w:rPr>
        <w:t>site through</w:t>
      </w:r>
      <w:r w:rsidR="006E3D7F" w:rsidRPr="003B4362">
        <w:rPr>
          <w:szCs w:val="24"/>
        </w:rPr>
        <w:t xml:space="preserve"> a lead service line.</w:t>
      </w:r>
    </w:p>
    <w:p w14:paraId="7EDA0D69" w14:textId="5F4ED52A" w:rsidR="005451CE" w:rsidRPr="003B4362" w:rsidRDefault="005451CE" w:rsidP="005451CE">
      <w:pPr>
        <w:spacing w:before="240" w:after="240"/>
        <w:ind w:left="3600"/>
        <w:rPr>
          <w:rFonts w:eastAsia="Calibri"/>
        </w:rPr>
      </w:pPr>
      <w:r w:rsidRPr="003B4362">
        <w:rPr>
          <w:rFonts w:eastAsia="Calibri"/>
        </w:rPr>
        <w:t xml:space="preserve">BOARD NOTE:  </w:t>
      </w:r>
      <w:r w:rsidRPr="003B4362">
        <w:rPr>
          <w:rFonts w:eastAsia="Calibri"/>
          <w:spacing w:val="-3"/>
        </w:rPr>
        <w:t>T</w:t>
      </w:r>
      <w:bookmarkStart w:id="2038" w:name="_Hlk114675250"/>
      <w:r w:rsidRPr="003B4362">
        <w:rPr>
          <w:rFonts w:eastAsia="Calibri"/>
          <w:spacing w:val="-3"/>
        </w:rPr>
        <w:t xml:space="preserve">his subsection </w:t>
      </w:r>
      <w:r w:rsidRPr="003B4362">
        <w:rPr>
          <w:rFonts w:eastAsia="Calibri"/>
        </w:rPr>
        <w:t>(a)(4)(A)(i) derives from</w:t>
      </w:r>
      <w:bookmarkEnd w:id="2038"/>
      <w:r w:rsidRPr="003B4362">
        <w:rPr>
          <w:rFonts w:eastAsia="Calibri"/>
        </w:rPr>
        <w:t xml:space="preserve"> a segment of </w:t>
      </w:r>
      <w:bookmarkStart w:id="2039" w:name="_Hlk121177377"/>
      <w:r w:rsidRPr="003B4362">
        <w:rPr>
          <w:rFonts w:eastAsia="Calibri"/>
        </w:rPr>
        <w:t>40 CFR 141.86(a)(3)</w:t>
      </w:r>
      <w:bookmarkEnd w:id="2039"/>
      <w:r w:rsidRPr="003B4362">
        <w:rPr>
          <w:rFonts w:eastAsia="Calibri"/>
        </w:rPr>
        <w:t>.</w:t>
      </w:r>
    </w:p>
    <w:p w14:paraId="0E416BAF" w14:textId="01F638FA"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 xml:space="preserve">If the CWS supplier does not have a sufficient number of CWS </w:t>
      </w:r>
      <w:r w:rsidR="00984A56" w:rsidRPr="003B4362">
        <w:rPr>
          <w:szCs w:val="24"/>
        </w:rPr>
        <w:t xml:space="preserve">Tier </w:t>
      </w:r>
      <w:r w:rsidRPr="003B4362">
        <w:rPr>
          <w:rFonts w:eastAsia="Calibri"/>
        </w:rPr>
        <w:t xml:space="preserve">1 sampling sites on its distribution system, the supplier may use CWS </w:t>
      </w:r>
      <w:r w:rsidR="00984A56" w:rsidRPr="003B4362">
        <w:rPr>
          <w:szCs w:val="24"/>
        </w:rPr>
        <w:t xml:space="preserve">Tier </w:t>
      </w:r>
      <w:r w:rsidRPr="003B4362">
        <w:rPr>
          <w:rFonts w:eastAsia="Calibri"/>
        </w:rPr>
        <w:t>2 sampling sites</w:t>
      </w:r>
      <w:r w:rsidR="00186FB5" w:rsidRPr="003B4362">
        <w:rPr>
          <w:szCs w:val="24"/>
        </w:rPr>
        <w:t xml:space="preserve"> </w:t>
      </w:r>
      <w:r w:rsidR="00186FB5" w:rsidRPr="003B4362">
        <w:t>the supplier serves through</w:t>
      </w:r>
      <w:r w:rsidR="00186FB5" w:rsidRPr="003B4362">
        <w:rPr>
          <w:szCs w:val="24"/>
        </w:rPr>
        <w:t xml:space="preserve"> a lead service line</w:t>
      </w:r>
      <w:r w:rsidRPr="003B4362">
        <w:rPr>
          <w:rFonts w:eastAsia="Calibri"/>
        </w:rPr>
        <w:t xml:space="preserve"> in its sampling pool; or</w:t>
      </w:r>
    </w:p>
    <w:p w14:paraId="7ECCD9D5" w14:textId="0AC3F1EE" w:rsidR="005451CE" w:rsidRPr="003B4362" w:rsidRDefault="005451CE" w:rsidP="005451CE">
      <w:pPr>
        <w:spacing w:before="240" w:after="240"/>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(a)(4)(A)(ii) derives from a segment of 40 CFR 141.86(a)(4).</w:t>
      </w:r>
    </w:p>
    <w:p w14:paraId="13CDC89A" w14:textId="6B41E75F" w:rsidR="005451CE" w:rsidRPr="003B4362" w:rsidRDefault="005451CE" w:rsidP="005451CE">
      <w:pPr>
        <w:spacing w:before="240" w:after="240"/>
        <w:ind w:left="3600" w:hanging="720"/>
        <w:rPr>
          <w:rFonts w:eastAsia="Calibri"/>
        </w:rPr>
      </w:pPr>
      <w:r w:rsidRPr="003B4362">
        <w:rPr>
          <w:rFonts w:eastAsia="Calibri"/>
        </w:rPr>
        <w:t>iii)</w:t>
      </w:r>
      <w:r w:rsidRPr="003B4362">
        <w:rPr>
          <w:rFonts w:eastAsia="Calibri"/>
        </w:rPr>
        <w:tab/>
        <w:t xml:space="preserve">If the CWS supplier does not have a sufficient number of CWS </w:t>
      </w:r>
      <w:r w:rsidR="00984A56" w:rsidRPr="003B4362">
        <w:rPr>
          <w:szCs w:val="24"/>
        </w:rPr>
        <w:t xml:space="preserve">Tier </w:t>
      </w:r>
      <w:r w:rsidRPr="003B4362">
        <w:rPr>
          <w:rFonts w:eastAsia="Calibri"/>
        </w:rPr>
        <w:t xml:space="preserve">1 and CWS </w:t>
      </w:r>
      <w:r w:rsidR="00984A56" w:rsidRPr="003B4362">
        <w:rPr>
          <w:szCs w:val="24"/>
        </w:rPr>
        <w:t xml:space="preserve">Tier </w:t>
      </w:r>
      <w:r w:rsidRPr="003B4362">
        <w:rPr>
          <w:rFonts w:eastAsia="Calibri"/>
        </w:rPr>
        <w:t xml:space="preserve">2 sampling sites on its distribution system, the supplier may complete its sampling pool with CWS </w:t>
      </w:r>
      <w:r w:rsidR="00984A56" w:rsidRPr="003B4362">
        <w:rPr>
          <w:szCs w:val="24"/>
        </w:rPr>
        <w:t xml:space="preserve">Tier </w:t>
      </w:r>
      <w:r w:rsidRPr="003B4362">
        <w:rPr>
          <w:rFonts w:eastAsia="Calibri"/>
        </w:rPr>
        <w:t>3 sampling sites.</w:t>
      </w:r>
    </w:p>
    <w:p w14:paraId="5895781D" w14:textId="36BCE38A" w:rsidR="005451CE" w:rsidRPr="003B4362" w:rsidRDefault="005451CE" w:rsidP="005451CE">
      <w:pPr>
        <w:spacing w:before="240" w:after="240"/>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(a)(4)(A)(iii) derives from a segment of 40 CFR 141.86(a)(5).</w:t>
      </w:r>
    </w:p>
    <w:p w14:paraId="792DC4E7" w14:textId="65896130" w:rsidR="005451CE" w:rsidRPr="003B4362" w:rsidRDefault="005451CE" w:rsidP="005451CE">
      <w:pPr>
        <w:spacing w:before="240" w:after="240"/>
        <w:ind w:left="3600" w:hanging="720"/>
        <w:rPr>
          <w:rFonts w:eastAsia="Calibri"/>
        </w:rPr>
      </w:pPr>
      <w:r w:rsidRPr="003B4362">
        <w:rPr>
          <w:rFonts w:eastAsia="Calibri"/>
        </w:rPr>
        <w:t>iv)</w:t>
      </w:r>
      <w:r w:rsidRPr="003B4362">
        <w:rPr>
          <w:rFonts w:eastAsia="Calibri"/>
        </w:rPr>
        <w:tab/>
        <w:t xml:space="preserve">If the CWS supplier does not have a sufficient number of CWS </w:t>
      </w:r>
      <w:r w:rsidR="00984A56" w:rsidRPr="003B4362">
        <w:rPr>
          <w:szCs w:val="24"/>
        </w:rPr>
        <w:t xml:space="preserve">Tier </w:t>
      </w:r>
      <w:r w:rsidRPr="003B4362">
        <w:rPr>
          <w:rFonts w:eastAsia="Calibri"/>
        </w:rPr>
        <w:t xml:space="preserve">1 sampling sites, CWS </w:t>
      </w:r>
      <w:r w:rsidR="00984A56" w:rsidRPr="003B4362">
        <w:rPr>
          <w:szCs w:val="24"/>
        </w:rPr>
        <w:t xml:space="preserve">Tier </w:t>
      </w:r>
      <w:r w:rsidRPr="003B4362">
        <w:rPr>
          <w:rFonts w:eastAsia="Calibri"/>
        </w:rPr>
        <w:t xml:space="preserve">2 sampling sites, and CWS </w:t>
      </w:r>
      <w:r w:rsidR="00984A56" w:rsidRPr="003B4362">
        <w:rPr>
          <w:szCs w:val="24"/>
        </w:rPr>
        <w:t xml:space="preserve">Tier </w:t>
      </w:r>
      <w:r w:rsidRPr="003B4362">
        <w:rPr>
          <w:rFonts w:eastAsia="Calibri"/>
        </w:rPr>
        <w:t>3 sampling sites, the supplier must</w:t>
      </w:r>
      <w:r w:rsidR="00E74ACC" w:rsidRPr="003B4362">
        <w:rPr>
          <w:rFonts w:eastAsia="Calibri"/>
        </w:rPr>
        <w:t xml:space="preserve"> complete its sampling pool with </w:t>
      </w:r>
      <w:r w:rsidR="00F9337B" w:rsidRPr="003B4362">
        <w:rPr>
          <w:rFonts w:eastAsia="Calibri"/>
        </w:rPr>
        <w:t xml:space="preserve">CWS </w:t>
      </w:r>
      <w:r w:rsidR="00E74ACC" w:rsidRPr="003B4362">
        <w:rPr>
          <w:rFonts w:eastAsia="Calibri"/>
        </w:rPr>
        <w:t xml:space="preserve">Tier 4 </w:t>
      </w:r>
      <w:r w:rsidRPr="003B4362">
        <w:rPr>
          <w:rFonts w:eastAsia="Calibri"/>
        </w:rPr>
        <w:t>sampling sites.</w:t>
      </w:r>
    </w:p>
    <w:p w14:paraId="6BE7BFFC" w14:textId="780362A3" w:rsidR="005451CE" w:rsidRPr="003B4362" w:rsidRDefault="005451CE" w:rsidP="005451CE">
      <w:pPr>
        <w:spacing w:before="240" w:after="240"/>
        <w:ind w:left="3600"/>
        <w:rPr>
          <w:rFonts w:eastAsia="Calibri"/>
        </w:rPr>
      </w:pPr>
      <w:r w:rsidRPr="003B4362">
        <w:rPr>
          <w:rFonts w:eastAsia="Calibri"/>
        </w:rPr>
        <w:lastRenderedPageBreak/>
        <w:t xml:space="preserve">BOARD NOTE:  </w:t>
      </w:r>
      <w:r w:rsidRPr="003B4362">
        <w:rPr>
          <w:rFonts w:eastAsia="Calibri"/>
          <w:spacing w:val="-3"/>
        </w:rPr>
        <w:t xml:space="preserve">This subsection </w:t>
      </w:r>
      <w:r w:rsidRPr="003B4362">
        <w:rPr>
          <w:rFonts w:eastAsia="Calibri"/>
        </w:rPr>
        <w:t>(a)(4)(A)(iv) derives from segments of 40 CFR 141.86(a)(</w:t>
      </w:r>
      <w:r w:rsidR="007E308D" w:rsidRPr="003B4362">
        <w:rPr>
          <w:rFonts w:eastAsia="Calibri"/>
        </w:rPr>
        <w:t>6</w:t>
      </w:r>
      <w:r w:rsidRPr="003B4362">
        <w:rPr>
          <w:rFonts w:eastAsia="Calibri"/>
        </w:rPr>
        <w:t>).</w:t>
      </w:r>
    </w:p>
    <w:p w14:paraId="5D64BD42" w14:textId="43E9BB01" w:rsidR="00811D06" w:rsidRPr="003B4362" w:rsidRDefault="00B46F9A" w:rsidP="00B46F9A">
      <w:pPr>
        <w:spacing w:before="240" w:after="240"/>
        <w:ind w:left="3600" w:hanging="720"/>
        <w:rPr>
          <w:szCs w:val="24"/>
        </w:rPr>
      </w:pPr>
      <w:r w:rsidRPr="003B4362">
        <w:rPr>
          <w:rFonts w:eastAsia="Calibri"/>
        </w:rPr>
        <w:t>v)</w:t>
      </w:r>
      <w:bookmarkStart w:id="2040" w:name="_Hlk121865281"/>
      <w:r w:rsidR="00916B5C" w:rsidRPr="003B4362">
        <w:rPr>
          <w:rFonts w:eastAsia="Calibri"/>
        </w:rPr>
        <w:tab/>
      </w:r>
      <w:r w:rsidR="008A6027" w:rsidRPr="003B4362">
        <w:rPr>
          <w:szCs w:val="24"/>
        </w:rPr>
        <w:t>I</w:t>
      </w:r>
      <w:bookmarkStart w:id="2041" w:name="_Hlk121865534"/>
      <w:r w:rsidR="008A6027" w:rsidRPr="003B4362">
        <w:rPr>
          <w:szCs w:val="24"/>
        </w:rPr>
        <w:t>f a</w:t>
      </w:r>
      <w:r w:rsidR="00E622CF" w:rsidRPr="003B4362">
        <w:rPr>
          <w:szCs w:val="24"/>
        </w:rPr>
        <w:t xml:space="preserve"> </w:t>
      </w:r>
      <w:r w:rsidR="008A6027" w:rsidRPr="003B4362">
        <w:rPr>
          <w:szCs w:val="24"/>
        </w:rPr>
        <w:t>CWS supplier</w:t>
      </w:r>
      <w:r w:rsidR="00E622CF" w:rsidRPr="003B4362">
        <w:rPr>
          <w:szCs w:val="24"/>
        </w:rPr>
        <w:t xml:space="preserve"> </w:t>
      </w:r>
      <w:bookmarkEnd w:id="2040"/>
      <w:r w:rsidR="008A6027" w:rsidRPr="003B4362">
        <w:rPr>
          <w:szCs w:val="24"/>
        </w:rPr>
        <w:t>does not have a sufficient number of</w:t>
      </w:r>
      <w:bookmarkEnd w:id="2041"/>
      <w:r w:rsidR="00E622CF" w:rsidRPr="003B4362">
        <w:rPr>
          <w:szCs w:val="24"/>
        </w:rPr>
        <w:t xml:space="preserve"> </w:t>
      </w:r>
      <w:bookmarkStart w:id="2042" w:name="_Hlk121865590"/>
      <w:r w:rsidR="008A6027" w:rsidRPr="003B4362">
        <w:rPr>
          <w:szCs w:val="24"/>
        </w:rPr>
        <w:t xml:space="preserve">CWS </w:t>
      </w:r>
      <w:r w:rsidR="00E622CF" w:rsidRPr="003B4362">
        <w:rPr>
          <w:szCs w:val="24"/>
        </w:rPr>
        <w:t xml:space="preserve">Tier 1, </w:t>
      </w:r>
      <w:r w:rsidR="008A6027" w:rsidRPr="003B4362">
        <w:rPr>
          <w:szCs w:val="24"/>
        </w:rPr>
        <w:t xml:space="preserve">CWS </w:t>
      </w:r>
      <w:r w:rsidR="00E622CF" w:rsidRPr="003B4362">
        <w:rPr>
          <w:szCs w:val="24"/>
        </w:rPr>
        <w:t xml:space="preserve">Tier 2, </w:t>
      </w:r>
      <w:r w:rsidR="008A6027" w:rsidRPr="003B4362">
        <w:rPr>
          <w:szCs w:val="24"/>
        </w:rPr>
        <w:t xml:space="preserve">CWS </w:t>
      </w:r>
      <w:r w:rsidR="00E622CF" w:rsidRPr="003B4362">
        <w:rPr>
          <w:szCs w:val="24"/>
        </w:rPr>
        <w:t xml:space="preserve">Tier 3, and </w:t>
      </w:r>
      <w:r w:rsidR="008A6027" w:rsidRPr="003B4362">
        <w:rPr>
          <w:szCs w:val="24"/>
        </w:rPr>
        <w:t xml:space="preserve">CWS </w:t>
      </w:r>
      <w:r w:rsidR="00E622CF" w:rsidRPr="003B4362">
        <w:rPr>
          <w:szCs w:val="24"/>
        </w:rPr>
        <w:t>Tier 4 sampling sites</w:t>
      </w:r>
      <w:bookmarkEnd w:id="2042"/>
      <w:r w:rsidR="001D0984" w:rsidRPr="003B4362">
        <w:rPr>
          <w:szCs w:val="24"/>
        </w:rPr>
        <w:t>, the CWS supplier</w:t>
      </w:r>
      <w:r w:rsidR="00E622CF" w:rsidRPr="003B4362">
        <w:rPr>
          <w:szCs w:val="24"/>
        </w:rPr>
        <w:t xml:space="preserve"> must complete its sampling pool with </w:t>
      </w:r>
      <w:r w:rsidR="008A6027" w:rsidRPr="003B4362">
        <w:rPr>
          <w:szCs w:val="24"/>
        </w:rPr>
        <w:t xml:space="preserve">CWS </w:t>
      </w:r>
      <w:r w:rsidR="00E622CF" w:rsidRPr="003B4362">
        <w:rPr>
          <w:szCs w:val="24"/>
        </w:rPr>
        <w:t>Tier 5 sampling sites.</w:t>
      </w:r>
    </w:p>
    <w:p w14:paraId="3100B7D7" w14:textId="477F97C4" w:rsidR="00396ECF" w:rsidRPr="003B4362" w:rsidRDefault="00396ECF" w:rsidP="00396ECF">
      <w:pPr>
        <w:spacing w:before="240" w:after="240"/>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 xml:space="preserve">(a)(4)(A)(v) derives from </w:t>
      </w:r>
      <w:r w:rsidR="00156569" w:rsidRPr="003B4362">
        <w:rPr>
          <w:rFonts w:eastAsia="Calibri"/>
        </w:rPr>
        <w:t xml:space="preserve">a </w:t>
      </w:r>
      <w:r w:rsidRPr="003B4362">
        <w:rPr>
          <w:rFonts w:eastAsia="Calibri"/>
        </w:rPr>
        <w:t>segment of 40 CFR 141.86(a)(7).</w:t>
      </w:r>
    </w:p>
    <w:p w14:paraId="5FE5573F" w14:textId="14C24CD9" w:rsidR="00B46F9A" w:rsidRPr="003B4362" w:rsidRDefault="00811D06" w:rsidP="00B46F9A">
      <w:pPr>
        <w:spacing w:before="240" w:after="240"/>
        <w:ind w:left="3600" w:hanging="720"/>
        <w:rPr>
          <w:rFonts w:eastAsia="Calibri"/>
        </w:rPr>
      </w:pPr>
      <w:r w:rsidRPr="003B4362">
        <w:rPr>
          <w:szCs w:val="24"/>
        </w:rPr>
        <w:t>vi)</w:t>
      </w:r>
      <w:r w:rsidRPr="003B4362">
        <w:rPr>
          <w:szCs w:val="24"/>
        </w:rPr>
        <w:tab/>
      </w:r>
      <w:r w:rsidR="00FB4A16" w:rsidRPr="003B4362">
        <w:rPr>
          <w:szCs w:val="24"/>
        </w:rPr>
        <w:t>A</w:t>
      </w:r>
      <w:bookmarkStart w:id="2043" w:name="_Hlk121904580"/>
      <w:r w:rsidR="00FB4A16" w:rsidRPr="003B4362">
        <w:rPr>
          <w:szCs w:val="24"/>
        </w:rPr>
        <w:t xml:space="preserve"> supplier</w:t>
      </w:r>
      <w:bookmarkEnd w:id="2043"/>
      <w:r w:rsidR="00FB4A16" w:rsidRPr="003B4362">
        <w:rPr>
          <w:szCs w:val="24"/>
        </w:rPr>
        <w:t xml:space="preserve"> may use non-residential buildings </w:t>
      </w:r>
      <w:bookmarkStart w:id="2044" w:name="_Hlk121904694"/>
      <w:r w:rsidR="00FB4A16" w:rsidRPr="003B4362">
        <w:rPr>
          <w:szCs w:val="24"/>
        </w:rPr>
        <w:t>representing sites</w:t>
      </w:r>
      <w:bookmarkEnd w:id="2044"/>
      <w:r w:rsidR="00FB4A16" w:rsidRPr="003B4362">
        <w:rPr>
          <w:szCs w:val="24"/>
        </w:rPr>
        <w:t xml:space="preserve"> throughout its distribution system</w:t>
      </w:r>
      <w:r w:rsidRPr="003B4362">
        <w:rPr>
          <w:szCs w:val="24"/>
        </w:rPr>
        <w:t xml:space="preserve"> </w:t>
      </w:r>
      <w:r w:rsidR="00FB4A16" w:rsidRPr="003B4362">
        <w:rPr>
          <w:szCs w:val="24"/>
        </w:rPr>
        <w:t xml:space="preserve">only if there are an insufficient number of single-family or </w:t>
      </w:r>
      <w:bookmarkStart w:id="2045" w:name="_Hlk121907566"/>
      <w:r w:rsidR="00FB4A16" w:rsidRPr="003B4362">
        <w:rPr>
          <w:szCs w:val="24"/>
        </w:rPr>
        <w:t>multiple</w:t>
      </w:r>
      <w:r w:rsidRPr="003B4362">
        <w:rPr>
          <w:szCs w:val="24"/>
        </w:rPr>
        <w:t>-</w:t>
      </w:r>
      <w:r w:rsidR="00FB4A16" w:rsidRPr="003B4362">
        <w:rPr>
          <w:szCs w:val="24"/>
        </w:rPr>
        <w:t>family residential</w:t>
      </w:r>
      <w:bookmarkEnd w:id="2045"/>
      <w:r w:rsidR="00FB4A16" w:rsidRPr="003B4362">
        <w:rPr>
          <w:szCs w:val="24"/>
        </w:rPr>
        <w:t xml:space="preserve"> </w:t>
      </w:r>
      <w:bookmarkStart w:id="2046" w:name="_Hlk121907689"/>
      <w:r w:rsidR="00FB4A16" w:rsidRPr="003B4362">
        <w:rPr>
          <w:szCs w:val="24"/>
        </w:rPr>
        <w:t xml:space="preserve">Tier 5 </w:t>
      </w:r>
      <w:r w:rsidR="00631F68" w:rsidRPr="003B4362">
        <w:rPr>
          <w:szCs w:val="24"/>
        </w:rPr>
        <w:t xml:space="preserve">sampling </w:t>
      </w:r>
      <w:r w:rsidR="00FB4A16" w:rsidRPr="003B4362">
        <w:rPr>
          <w:szCs w:val="24"/>
        </w:rPr>
        <w:t>sites</w:t>
      </w:r>
      <w:bookmarkEnd w:id="2046"/>
      <w:r w:rsidR="00FB4A16" w:rsidRPr="003B4362">
        <w:rPr>
          <w:szCs w:val="24"/>
        </w:rPr>
        <w:t xml:space="preserve"> available.</w:t>
      </w:r>
    </w:p>
    <w:p w14:paraId="7C50FB4D" w14:textId="3D5CD2A8" w:rsidR="00B46F9A" w:rsidRPr="003B4362" w:rsidRDefault="00B46F9A" w:rsidP="00B46F9A">
      <w:pPr>
        <w:spacing w:before="240" w:after="240"/>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(a)(4)(A)(v</w:t>
      </w:r>
      <w:r w:rsidR="00631F68" w:rsidRPr="003B4362">
        <w:rPr>
          <w:rFonts w:eastAsia="Calibri"/>
        </w:rPr>
        <w:t>i</w:t>
      </w:r>
      <w:r w:rsidRPr="003B4362">
        <w:rPr>
          <w:rFonts w:eastAsia="Calibri"/>
        </w:rPr>
        <w:t xml:space="preserve">) derives from </w:t>
      </w:r>
      <w:r w:rsidR="00156569" w:rsidRPr="003B4362">
        <w:rPr>
          <w:rFonts w:eastAsia="Calibri"/>
        </w:rPr>
        <w:t xml:space="preserve">a </w:t>
      </w:r>
      <w:r w:rsidRPr="003B4362">
        <w:rPr>
          <w:rFonts w:eastAsia="Calibri"/>
        </w:rPr>
        <w:t>segment of 40 CFR 141.86(a)(</w:t>
      </w:r>
      <w:r w:rsidR="00E622CF" w:rsidRPr="003B4362">
        <w:rPr>
          <w:rFonts w:eastAsia="Calibri"/>
        </w:rPr>
        <w:t>7</w:t>
      </w:r>
      <w:r w:rsidRPr="003B4362">
        <w:rPr>
          <w:rFonts w:eastAsia="Calibri"/>
        </w:rPr>
        <w:t>).</w:t>
      </w:r>
    </w:p>
    <w:p w14:paraId="34BD204E" w14:textId="77777777"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NTNCWS Suppliers</w:t>
      </w:r>
    </w:p>
    <w:p w14:paraId="568D309E" w14:textId="34EC08EB"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 xml:space="preserve">An NTNCWS supplier </w:t>
      </w:r>
      <w:bookmarkStart w:id="2047" w:name="_Hlk121867068"/>
      <w:r w:rsidRPr="003B4362">
        <w:rPr>
          <w:rFonts w:eastAsia="Calibri"/>
        </w:rPr>
        <w:t>must select</w:t>
      </w:r>
      <w:bookmarkEnd w:id="2047"/>
      <w:r w:rsidRPr="003B4362">
        <w:rPr>
          <w:rFonts w:eastAsia="Calibri"/>
        </w:rPr>
        <w:t xml:space="preserve"> NTNCWS </w:t>
      </w:r>
      <w:r w:rsidR="00984A56" w:rsidRPr="003B4362">
        <w:rPr>
          <w:szCs w:val="24"/>
        </w:rPr>
        <w:t xml:space="preserve">Tier </w:t>
      </w:r>
      <w:r w:rsidRPr="003B4362">
        <w:rPr>
          <w:rFonts w:eastAsia="Calibri"/>
        </w:rPr>
        <w:t>1 sampling sites for its sampling pool.</w:t>
      </w:r>
    </w:p>
    <w:p w14:paraId="018F06E7" w14:textId="1602A6A4" w:rsidR="005451CE" w:rsidRPr="003B4362" w:rsidRDefault="005451CE" w:rsidP="005451CE">
      <w:pPr>
        <w:spacing w:before="240" w:after="240"/>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(a)(4)(B)(i) derives from segments of 40 CFR 141.86(a)(</w:t>
      </w:r>
      <w:r w:rsidR="009016C6" w:rsidRPr="003B4362">
        <w:rPr>
          <w:szCs w:val="24"/>
        </w:rPr>
        <w:t>8</w:t>
      </w:r>
      <w:r w:rsidRPr="003B4362">
        <w:rPr>
          <w:rFonts w:eastAsia="Calibri"/>
        </w:rPr>
        <w:t>).</w:t>
      </w:r>
    </w:p>
    <w:p w14:paraId="670875CD" w14:textId="2182F7C4"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 xml:space="preserve">If the NTNCWS supplier has an insufficient number of NTNCWS </w:t>
      </w:r>
      <w:r w:rsidR="00984A56" w:rsidRPr="003B4362">
        <w:rPr>
          <w:szCs w:val="24"/>
        </w:rPr>
        <w:t xml:space="preserve">Tier </w:t>
      </w:r>
      <w:r w:rsidRPr="003B4362">
        <w:rPr>
          <w:rFonts w:eastAsia="Calibri"/>
        </w:rPr>
        <w:t xml:space="preserve">1 sampling sites, the supplier </w:t>
      </w:r>
      <w:r w:rsidR="00D30985" w:rsidRPr="003B4362">
        <w:rPr>
          <w:rFonts w:eastAsia="Calibri"/>
        </w:rPr>
        <w:t xml:space="preserve">must </w:t>
      </w:r>
      <w:r w:rsidRPr="003B4362">
        <w:rPr>
          <w:rFonts w:eastAsia="Calibri"/>
        </w:rPr>
        <w:t xml:space="preserve">complete its sampling pool with NTNCWS </w:t>
      </w:r>
      <w:r w:rsidR="00144037" w:rsidRPr="003B4362">
        <w:rPr>
          <w:rFonts w:eastAsia="Calibri"/>
        </w:rPr>
        <w:t xml:space="preserve">Tier 3 </w:t>
      </w:r>
      <w:r w:rsidRPr="003B4362">
        <w:rPr>
          <w:rFonts w:eastAsia="Calibri"/>
        </w:rPr>
        <w:t>sampling sites.</w:t>
      </w:r>
    </w:p>
    <w:p w14:paraId="4A9C27EB" w14:textId="4773AB6E" w:rsidR="005451CE" w:rsidRPr="003B4362" w:rsidRDefault="005451CE" w:rsidP="005451CE">
      <w:pPr>
        <w:spacing w:before="240" w:after="240"/>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(a)(4)(B)(ii) derives from segments of 40 CFR 141.86(a)(</w:t>
      </w:r>
      <w:r w:rsidR="00412E19" w:rsidRPr="003B4362">
        <w:rPr>
          <w:rFonts w:eastAsia="Calibri"/>
        </w:rPr>
        <w:t>9</w:t>
      </w:r>
      <w:r w:rsidRPr="003B4362">
        <w:rPr>
          <w:rFonts w:eastAsia="Calibri"/>
        </w:rPr>
        <w:t>).</w:t>
      </w:r>
    </w:p>
    <w:p w14:paraId="63B43DA2" w14:textId="01D32272" w:rsidR="005451CE" w:rsidRPr="003B4362" w:rsidRDefault="005451CE" w:rsidP="005451CE">
      <w:pPr>
        <w:spacing w:before="240" w:after="240"/>
        <w:ind w:left="3600" w:hanging="720"/>
        <w:rPr>
          <w:rFonts w:eastAsia="Calibri"/>
        </w:rPr>
      </w:pPr>
      <w:r w:rsidRPr="003B4362">
        <w:rPr>
          <w:rFonts w:eastAsia="Calibri"/>
        </w:rPr>
        <w:t>iii)</w:t>
      </w:r>
      <w:r w:rsidRPr="003B4362">
        <w:rPr>
          <w:rFonts w:eastAsia="Calibri"/>
        </w:rPr>
        <w:tab/>
        <w:t xml:space="preserve">If the NTNCWS supplier has an insufficient number of NTNCWS </w:t>
      </w:r>
      <w:r w:rsidR="00984A56" w:rsidRPr="003B4362">
        <w:rPr>
          <w:szCs w:val="24"/>
        </w:rPr>
        <w:t xml:space="preserve">Tier </w:t>
      </w:r>
      <w:r w:rsidRPr="003B4362">
        <w:rPr>
          <w:rFonts w:eastAsia="Calibri"/>
        </w:rPr>
        <w:t xml:space="preserve">1 </w:t>
      </w:r>
      <w:r w:rsidR="00412E19" w:rsidRPr="003B4362">
        <w:rPr>
          <w:szCs w:val="24"/>
        </w:rPr>
        <w:t xml:space="preserve">and Tier 3 </w:t>
      </w:r>
      <w:r w:rsidRPr="003B4362">
        <w:rPr>
          <w:rFonts w:eastAsia="Calibri"/>
        </w:rPr>
        <w:t>sampling sites, the supplier must</w:t>
      </w:r>
      <w:r w:rsidR="00412E19" w:rsidRPr="003B4362">
        <w:rPr>
          <w:szCs w:val="24"/>
        </w:rPr>
        <w:t xml:space="preserve"> complete its sampling pool with Tier 5 </w:t>
      </w:r>
      <w:r w:rsidR="00313BF8" w:rsidRPr="003B4362">
        <w:rPr>
          <w:szCs w:val="24"/>
        </w:rPr>
        <w:t xml:space="preserve">NTNCWS </w:t>
      </w:r>
      <w:r w:rsidR="00412E19" w:rsidRPr="003B4362">
        <w:rPr>
          <w:szCs w:val="24"/>
        </w:rPr>
        <w:t>sampling sites</w:t>
      </w:r>
      <w:r w:rsidRPr="003B4362">
        <w:rPr>
          <w:rFonts w:eastAsia="Calibri"/>
        </w:rPr>
        <w:t>.  For the purpose of this subsection (a)(4)(B)(</w:t>
      </w:r>
      <w:r w:rsidR="00916B5C" w:rsidRPr="003B4362">
        <w:rPr>
          <w:rFonts w:eastAsia="Calibri"/>
        </w:rPr>
        <w:t>iii</w:t>
      </w:r>
      <w:r w:rsidRPr="003B4362">
        <w:rPr>
          <w:rFonts w:eastAsia="Calibri"/>
        </w:rPr>
        <w:t>), a representative site is a site where the plumbing materials are commonly found at other sites the water system serves.</w:t>
      </w:r>
    </w:p>
    <w:p w14:paraId="14AD52D6" w14:textId="1D10C5AB" w:rsidR="005451CE" w:rsidRPr="003B4362" w:rsidRDefault="005451CE" w:rsidP="005451CE">
      <w:pPr>
        <w:spacing w:before="240" w:after="240"/>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(a)(4)(B)(iii) derives from</w:t>
      </w:r>
      <w:bookmarkStart w:id="2048" w:name="_Hlk121929690"/>
      <w:r w:rsidRPr="003B4362">
        <w:rPr>
          <w:rFonts w:eastAsia="Calibri"/>
        </w:rPr>
        <w:t xml:space="preserve"> segments of 40 CFR 141.86(a)(</w:t>
      </w:r>
      <w:r w:rsidR="00FF5EF5" w:rsidRPr="003B4362">
        <w:rPr>
          <w:rFonts w:eastAsia="Calibri"/>
        </w:rPr>
        <w:t>10</w:t>
      </w:r>
      <w:r w:rsidRPr="003B4362">
        <w:rPr>
          <w:rFonts w:eastAsia="Calibri"/>
        </w:rPr>
        <w:t>)</w:t>
      </w:r>
      <w:bookmarkEnd w:id="2048"/>
      <w:r w:rsidRPr="003B4362">
        <w:rPr>
          <w:rFonts w:eastAsia="Calibri"/>
        </w:rPr>
        <w:t>.</w:t>
      </w:r>
    </w:p>
    <w:p w14:paraId="584F8D32" w14:textId="0487F891" w:rsidR="005451CE" w:rsidRPr="003B4362" w:rsidRDefault="005451CE" w:rsidP="005451CE">
      <w:pPr>
        <w:spacing w:before="240" w:after="240"/>
        <w:ind w:left="2880" w:hanging="720"/>
        <w:rPr>
          <w:rFonts w:eastAsia="Calibri"/>
        </w:rPr>
      </w:pPr>
      <w:r w:rsidRPr="003B4362">
        <w:rPr>
          <w:rFonts w:eastAsia="Calibri"/>
        </w:rPr>
        <w:lastRenderedPageBreak/>
        <w:t>C)</w:t>
      </w:r>
      <w:r w:rsidRPr="003B4362">
        <w:rPr>
          <w:rFonts w:eastAsia="Calibri"/>
        </w:rPr>
        <w:tab/>
        <w:t>Suppliers with Lead Service Lines.  Any supplier whose distribution system contains lead service lines must</w:t>
      </w:r>
      <w:r w:rsidR="00FF5EF5" w:rsidRPr="003B4362">
        <w:rPr>
          <w:szCs w:val="24"/>
        </w:rPr>
        <w:t xml:space="preserve"> collect all samples for monitoring under this Section</w:t>
      </w:r>
      <w:r w:rsidR="00E6702C" w:rsidRPr="003B4362">
        <w:rPr>
          <w:szCs w:val="24"/>
        </w:rPr>
        <w:t xml:space="preserve"> </w:t>
      </w:r>
      <w:r w:rsidRPr="003B4362">
        <w:rPr>
          <w:rFonts w:eastAsia="Calibri"/>
        </w:rPr>
        <w:t>from sites</w:t>
      </w:r>
      <w:r w:rsidR="00710D2E" w:rsidRPr="003B4362">
        <w:rPr>
          <w:rFonts w:eastAsia="Calibri"/>
        </w:rPr>
        <w:t xml:space="preserve"> the supplier serves through a lead service line.  A supplier that cannot identify a sufficient number of sampling sites </w:t>
      </w:r>
      <w:r w:rsidR="006D2D87" w:rsidRPr="003B4362">
        <w:rPr>
          <w:rFonts w:eastAsia="Calibri"/>
        </w:rPr>
        <w:t>that it serves through</w:t>
      </w:r>
      <w:r w:rsidR="00710D2E" w:rsidRPr="003B4362">
        <w:rPr>
          <w:rFonts w:eastAsia="Calibri"/>
        </w:rPr>
        <w:t xml:space="preserve"> lead service line</w:t>
      </w:r>
      <w:r w:rsidR="00222148" w:rsidRPr="003B4362">
        <w:rPr>
          <w:rFonts w:eastAsia="Calibri"/>
        </w:rPr>
        <w:t>s</w:t>
      </w:r>
      <w:r w:rsidR="00710D2E" w:rsidRPr="003B4362">
        <w:rPr>
          <w:rFonts w:eastAsia="Calibri"/>
        </w:rPr>
        <w:t xml:space="preserve"> must </w:t>
      </w:r>
      <w:r w:rsidR="00222148" w:rsidRPr="003B4362">
        <w:rPr>
          <w:rFonts w:eastAsia="Calibri"/>
        </w:rPr>
        <w:t>s</w:t>
      </w:r>
      <w:r w:rsidR="000B33CD" w:rsidRPr="003B4362">
        <w:rPr>
          <w:rFonts w:eastAsia="Calibri"/>
        </w:rPr>
        <w:t>t</w:t>
      </w:r>
      <w:r w:rsidR="00222148" w:rsidRPr="003B4362">
        <w:rPr>
          <w:rFonts w:eastAsia="Calibri"/>
        </w:rPr>
        <w:t xml:space="preserve">ill </w:t>
      </w:r>
      <w:r w:rsidR="00710D2E" w:rsidRPr="003B4362">
        <w:rPr>
          <w:rFonts w:eastAsia="Calibri"/>
        </w:rPr>
        <w:t xml:space="preserve">collect samples from </w:t>
      </w:r>
      <w:r w:rsidR="00222148" w:rsidRPr="003B4362">
        <w:rPr>
          <w:rFonts w:eastAsia="Calibri"/>
        </w:rPr>
        <w:t>every site the supplier serves though</w:t>
      </w:r>
      <w:r w:rsidR="00710D2E" w:rsidRPr="003B4362">
        <w:rPr>
          <w:rFonts w:eastAsia="Calibri"/>
        </w:rPr>
        <w:t xml:space="preserve"> </w:t>
      </w:r>
      <w:r w:rsidR="00222148" w:rsidRPr="003B4362">
        <w:rPr>
          <w:rFonts w:eastAsia="Calibri"/>
        </w:rPr>
        <w:t>a lead service</w:t>
      </w:r>
      <w:r w:rsidR="00710D2E" w:rsidRPr="003B4362">
        <w:rPr>
          <w:rFonts w:eastAsia="Calibri"/>
        </w:rPr>
        <w:t xml:space="preserve"> line</w:t>
      </w:r>
      <w:r w:rsidR="00395385" w:rsidRPr="003B4362">
        <w:rPr>
          <w:rFonts w:eastAsia="Calibri"/>
        </w:rPr>
        <w:t xml:space="preserve"> </w:t>
      </w:r>
      <w:r w:rsidR="00395385" w:rsidRPr="003B4362">
        <w:rPr>
          <w:szCs w:val="24"/>
        </w:rPr>
        <w:t xml:space="preserve">and </w:t>
      </w:r>
      <w:bookmarkStart w:id="2049" w:name="_Hlk121929373"/>
      <w:r w:rsidR="00395385" w:rsidRPr="003B4362">
        <w:rPr>
          <w:szCs w:val="24"/>
        </w:rPr>
        <w:t>collect the remaining samples</w:t>
      </w:r>
      <w:r w:rsidR="00395385" w:rsidRPr="003B4362">
        <w:rPr>
          <w:rFonts w:eastAsia="Calibri"/>
        </w:rPr>
        <w:t xml:space="preserve"> </w:t>
      </w:r>
      <w:r w:rsidR="00395385" w:rsidRPr="003B4362">
        <w:rPr>
          <w:szCs w:val="24"/>
        </w:rPr>
        <w:t>under subsections (a)(</w:t>
      </w:r>
      <w:r w:rsidR="005E5705" w:rsidRPr="003B4362">
        <w:rPr>
          <w:szCs w:val="24"/>
        </w:rPr>
        <w:t>4)(A)(i</w:t>
      </w:r>
      <w:r w:rsidR="005F24C0" w:rsidRPr="003B4362">
        <w:rPr>
          <w:szCs w:val="24"/>
        </w:rPr>
        <w:t>ii</w:t>
      </w:r>
      <w:r w:rsidR="00395385" w:rsidRPr="003B4362">
        <w:rPr>
          <w:szCs w:val="24"/>
        </w:rPr>
        <w:t>) through (</w:t>
      </w:r>
      <w:r w:rsidR="005F24C0" w:rsidRPr="003B4362">
        <w:rPr>
          <w:szCs w:val="24"/>
        </w:rPr>
        <w:t>a)(4</w:t>
      </w:r>
      <w:r w:rsidR="005E5705" w:rsidRPr="003B4362">
        <w:rPr>
          <w:szCs w:val="24"/>
        </w:rPr>
        <w:t>)(A)(vi</w:t>
      </w:r>
      <w:r w:rsidR="00395385" w:rsidRPr="003B4362">
        <w:rPr>
          <w:szCs w:val="24"/>
        </w:rPr>
        <w:t>) or subsections (a)</w:t>
      </w:r>
      <w:r w:rsidR="005F24C0" w:rsidRPr="003B4362">
        <w:rPr>
          <w:szCs w:val="24"/>
        </w:rPr>
        <w:t>(4)(B)</w:t>
      </w:r>
      <w:r w:rsidR="00395385" w:rsidRPr="003B4362">
        <w:rPr>
          <w:szCs w:val="24"/>
        </w:rPr>
        <w:t>(</w:t>
      </w:r>
      <w:r w:rsidR="005F24C0" w:rsidRPr="003B4362">
        <w:rPr>
          <w:szCs w:val="24"/>
        </w:rPr>
        <w:t>ii</w:t>
      </w:r>
      <w:r w:rsidR="00395385" w:rsidRPr="003B4362">
        <w:rPr>
          <w:szCs w:val="24"/>
        </w:rPr>
        <w:t xml:space="preserve">) </w:t>
      </w:r>
      <w:r w:rsidR="005F24C0" w:rsidRPr="003B4362">
        <w:rPr>
          <w:szCs w:val="24"/>
        </w:rPr>
        <w:t>and</w:t>
      </w:r>
      <w:r w:rsidR="00395385" w:rsidRPr="003B4362">
        <w:rPr>
          <w:szCs w:val="24"/>
        </w:rPr>
        <w:t xml:space="preserve"> (a)</w:t>
      </w:r>
      <w:r w:rsidR="005F24C0" w:rsidRPr="003B4362">
        <w:rPr>
          <w:szCs w:val="24"/>
        </w:rPr>
        <w:t>(4)(B)(iii)</w:t>
      </w:r>
      <w:bookmarkEnd w:id="2049"/>
      <w:r w:rsidR="00710D2E" w:rsidRPr="003B4362">
        <w:rPr>
          <w:rFonts w:eastAsia="Calibri"/>
        </w:rPr>
        <w:t>.</w:t>
      </w:r>
    </w:p>
    <w:p w14:paraId="4BF6CC32" w14:textId="74D0554D" w:rsidR="005451CE" w:rsidRPr="003B4362" w:rsidRDefault="005451CE" w:rsidP="005451CE">
      <w:pPr>
        <w:spacing w:before="240" w:after="240"/>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(a)(4)(C) derives from</w:t>
      </w:r>
      <w:bookmarkStart w:id="2050" w:name="_Hlk121929519"/>
      <w:r w:rsidRPr="003B4362">
        <w:rPr>
          <w:rFonts w:eastAsia="Calibri"/>
        </w:rPr>
        <w:t xml:space="preserve"> segments of 40 CFR 141.86(a)(</w:t>
      </w:r>
      <w:r w:rsidR="00BA18FE" w:rsidRPr="003B4362">
        <w:rPr>
          <w:rFonts w:eastAsia="Calibri"/>
        </w:rPr>
        <w:t>11</w:t>
      </w:r>
      <w:r w:rsidRPr="003B4362">
        <w:rPr>
          <w:rFonts w:eastAsia="Calibri"/>
        </w:rPr>
        <w:t>)</w:t>
      </w:r>
      <w:bookmarkEnd w:id="2050"/>
      <w:r w:rsidRPr="003B4362">
        <w:rPr>
          <w:rFonts w:eastAsia="Calibri"/>
        </w:rPr>
        <w:t>.</w:t>
      </w:r>
    </w:p>
    <w:p w14:paraId="56047128" w14:textId="36820DC5" w:rsidR="005451CE" w:rsidRPr="003B4362" w:rsidRDefault="005451CE" w:rsidP="005451CE">
      <w:pPr>
        <w:spacing w:before="240" w:after="240"/>
        <w:ind w:left="1440" w:hanging="720"/>
        <w:rPr>
          <w:rFonts w:eastAsia="Calibri"/>
        </w:rPr>
      </w:pPr>
      <w:r w:rsidRPr="003B4362">
        <w:rPr>
          <w:rFonts w:eastAsia="Calibri"/>
        </w:rPr>
        <w:t>b)</w:t>
      </w:r>
      <w:r w:rsidRPr="003B4362">
        <w:rPr>
          <w:rFonts w:eastAsia="Calibri"/>
        </w:rPr>
        <w:tab/>
      </w:r>
      <w:bookmarkStart w:id="2051" w:name="_Hlk122361835"/>
      <w:r w:rsidRPr="003B4362">
        <w:rPr>
          <w:rFonts w:eastAsia="Calibri"/>
        </w:rPr>
        <w:t>Sample</w:t>
      </w:r>
      <w:r w:rsidR="00FD7608" w:rsidRPr="003B4362">
        <w:rPr>
          <w:rFonts w:eastAsia="Calibri"/>
        </w:rPr>
        <w:t xml:space="preserve">-Collecting </w:t>
      </w:r>
      <w:r w:rsidRPr="003B4362">
        <w:rPr>
          <w:rFonts w:eastAsia="Calibri"/>
        </w:rPr>
        <w:t>Methods</w:t>
      </w:r>
      <w:bookmarkEnd w:id="2051"/>
    </w:p>
    <w:p w14:paraId="0375E0F4" w14:textId="451C8D4A"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All tap samples a supplier collects for lead and copper under this Subpart G, with the exception of </w:t>
      </w:r>
      <w:bookmarkStart w:id="2052" w:name="_Hlk122434425"/>
      <w:r w:rsidR="001054A6" w:rsidRPr="003B4362">
        <w:rPr>
          <w:szCs w:val="24"/>
        </w:rPr>
        <w:t>fifth</w:t>
      </w:r>
      <w:r w:rsidR="00A16922" w:rsidRPr="003B4362">
        <w:rPr>
          <w:szCs w:val="24"/>
        </w:rPr>
        <w:t>-</w:t>
      </w:r>
      <w:r w:rsidR="001054A6" w:rsidRPr="003B4362">
        <w:rPr>
          <w:szCs w:val="24"/>
        </w:rPr>
        <w:t xml:space="preserve">liter </w:t>
      </w:r>
      <w:bookmarkStart w:id="2053" w:name="_Hlk121932180"/>
      <w:bookmarkStart w:id="2054" w:name="_Hlk121932241"/>
      <w:r w:rsidR="00A16922" w:rsidRPr="003B4362">
        <w:rPr>
          <w:szCs w:val="24"/>
        </w:rPr>
        <w:t xml:space="preserve">tap </w:t>
      </w:r>
      <w:r w:rsidR="001054A6" w:rsidRPr="003B4362">
        <w:rPr>
          <w:szCs w:val="24"/>
        </w:rPr>
        <w:t xml:space="preserve">samples </w:t>
      </w:r>
      <w:bookmarkEnd w:id="2053"/>
      <w:r w:rsidR="001054A6" w:rsidRPr="003B4362">
        <w:rPr>
          <w:szCs w:val="24"/>
        </w:rPr>
        <w:t>the supplier collects</w:t>
      </w:r>
      <w:bookmarkEnd w:id="2054"/>
      <w:r w:rsidR="001054A6" w:rsidRPr="003B4362">
        <w:rPr>
          <w:szCs w:val="24"/>
        </w:rPr>
        <w:t xml:space="preserve"> </w:t>
      </w:r>
      <w:bookmarkStart w:id="2055" w:name="_Hlk121932464"/>
      <w:r w:rsidR="001054A6" w:rsidRPr="003B4362">
        <w:rPr>
          <w:szCs w:val="24"/>
        </w:rPr>
        <w:t>under subsection (b)(3)</w:t>
      </w:r>
      <w:bookmarkEnd w:id="2052"/>
      <w:r w:rsidR="003067EE" w:rsidRPr="003B4362">
        <w:rPr>
          <w:szCs w:val="24"/>
        </w:rPr>
        <w:t xml:space="preserve"> and </w:t>
      </w:r>
      <w:bookmarkStart w:id="2056" w:name="_Hlk122434518"/>
      <w:r w:rsidR="003067EE" w:rsidRPr="003B4362">
        <w:rPr>
          <w:szCs w:val="24"/>
        </w:rPr>
        <w:t xml:space="preserve">samples the supplier collects under </w:t>
      </w:r>
      <w:r w:rsidR="00C2233D" w:rsidRPr="003B4362">
        <w:rPr>
          <w:szCs w:val="24"/>
        </w:rPr>
        <w:t>subsections</w:t>
      </w:r>
      <w:r w:rsidR="00232F3C" w:rsidRPr="003B4362">
        <w:rPr>
          <w:szCs w:val="24"/>
        </w:rPr>
        <w:t xml:space="preserve"> </w:t>
      </w:r>
      <w:r w:rsidR="001054A6" w:rsidRPr="003B4362">
        <w:rPr>
          <w:szCs w:val="24"/>
        </w:rPr>
        <w:t xml:space="preserve">(b)(5) </w:t>
      </w:r>
      <w:r w:rsidR="003067EE" w:rsidRPr="003B4362">
        <w:rPr>
          <w:szCs w:val="24"/>
        </w:rPr>
        <w:t>and</w:t>
      </w:r>
      <w:r w:rsidR="001054A6" w:rsidRPr="003B4362">
        <w:rPr>
          <w:szCs w:val="24"/>
        </w:rPr>
        <w:t xml:space="preserve"> (h)</w:t>
      </w:r>
      <w:bookmarkEnd w:id="2055"/>
      <w:bookmarkEnd w:id="2056"/>
      <w:r w:rsidRPr="003B4362">
        <w:rPr>
          <w:rFonts w:eastAsia="Calibri"/>
        </w:rPr>
        <w:t xml:space="preserve"> must be first-draw </w:t>
      </w:r>
      <w:r w:rsidR="00DD6E76" w:rsidRPr="003B4362">
        <w:rPr>
          <w:rFonts w:eastAsia="Calibri"/>
        </w:rPr>
        <w:t xml:space="preserve">tap </w:t>
      </w:r>
      <w:r w:rsidRPr="003B4362">
        <w:rPr>
          <w:rFonts w:eastAsia="Calibri"/>
        </w:rPr>
        <w:t>samples.</w:t>
      </w:r>
      <w:r w:rsidR="001054A6" w:rsidRPr="003B4362">
        <w:rPr>
          <w:szCs w:val="24"/>
        </w:rPr>
        <w:t xml:space="preserve">  T</w:t>
      </w:r>
      <w:bookmarkStart w:id="2057" w:name="_Hlk121933506"/>
      <w:r w:rsidR="001054A6" w:rsidRPr="003B4362">
        <w:rPr>
          <w:szCs w:val="24"/>
        </w:rPr>
        <w:t xml:space="preserve">he </w:t>
      </w:r>
      <w:r w:rsidR="00E104B0" w:rsidRPr="003B4362">
        <w:rPr>
          <w:szCs w:val="24"/>
        </w:rPr>
        <w:t xml:space="preserve">supplier must analyze the </w:t>
      </w:r>
      <w:r w:rsidR="001054A6" w:rsidRPr="003B4362">
        <w:rPr>
          <w:szCs w:val="24"/>
        </w:rPr>
        <w:t>first</w:t>
      </w:r>
      <w:r w:rsidR="00DD6E76" w:rsidRPr="003B4362">
        <w:rPr>
          <w:szCs w:val="24"/>
        </w:rPr>
        <w:t>-</w:t>
      </w:r>
      <w:r w:rsidR="001054A6" w:rsidRPr="003B4362">
        <w:rPr>
          <w:szCs w:val="24"/>
        </w:rPr>
        <w:t xml:space="preserve">draw </w:t>
      </w:r>
      <w:r w:rsidR="00DD6E76" w:rsidRPr="003B4362">
        <w:rPr>
          <w:szCs w:val="24"/>
        </w:rPr>
        <w:t xml:space="preserve">tap </w:t>
      </w:r>
      <w:r w:rsidR="001054A6" w:rsidRPr="003B4362">
        <w:rPr>
          <w:szCs w:val="24"/>
        </w:rPr>
        <w:t>sample</w:t>
      </w:r>
      <w:bookmarkEnd w:id="2057"/>
      <w:r w:rsidR="00E104B0" w:rsidRPr="003B4362">
        <w:rPr>
          <w:szCs w:val="24"/>
        </w:rPr>
        <w:t xml:space="preserve"> </w:t>
      </w:r>
      <w:r w:rsidR="001054A6" w:rsidRPr="003B4362">
        <w:rPr>
          <w:szCs w:val="24"/>
        </w:rPr>
        <w:t xml:space="preserve">for lead and copper </w:t>
      </w:r>
      <w:bookmarkStart w:id="2058" w:name="_Hlk121933724"/>
      <w:r w:rsidR="00E104B0" w:rsidRPr="003B4362">
        <w:rPr>
          <w:szCs w:val="24"/>
        </w:rPr>
        <w:t>during</w:t>
      </w:r>
      <w:r w:rsidR="001054A6" w:rsidRPr="003B4362">
        <w:rPr>
          <w:szCs w:val="24"/>
        </w:rPr>
        <w:t xml:space="preserve"> tap sampling periods </w:t>
      </w:r>
      <w:r w:rsidR="00E104B0" w:rsidRPr="003B4362">
        <w:rPr>
          <w:szCs w:val="24"/>
        </w:rPr>
        <w:t>when</w:t>
      </w:r>
      <w:r w:rsidR="001054A6" w:rsidRPr="003B4362">
        <w:rPr>
          <w:szCs w:val="24"/>
        </w:rPr>
        <w:t xml:space="preserve"> </w:t>
      </w:r>
      <w:r w:rsidR="00E104B0" w:rsidRPr="003B4362">
        <w:rPr>
          <w:szCs w:val="24"/>
        </w:rPr>
        <w:t xml:space="preserve">the supplier must monitor </w:t>
      </w:r>
      <w:r w:rsidR="001054A6" w:rsidRPr="003B4362">
        <w:rPr>
          <w:szCs w:val="24"/>
        </w:rPr>
        <w:t>both contaminants</w:t>
      </w:r>
      <w:bookmarkEnd w:id="2058"/>
      <w:r w:rsidR="001054A6" w:rsidRPr="003B4362">
        <w:rPr>
          <w:szCs w:val="24"/>
        </w:rPr>
        <w:t xml:space="preserve">.  In tap sampling </w:t>
      </w:r>
      <w:bookmarkStart w:id="2059" w:name="_Hlk121934149"/>
      <w:r w:rsidR="001054A6" w:rsidRPr="003B4362">
        <w:rPr>
          <w:szCs w:val="24"/>
        </w:rPr>
        <w:t xml:space="preserve">periods </w:t>
      </w:r>
      <w:bookmarkStart w:id="2060" w:name="_Hlk121934025"/>
      <w:r w:rsidR="00E104B0" w:rsidRPr="003B4362">
        <w:rPr>
          <w:szCs w:val="24"/>
        </w:rPr>
        <w:t>during which the supplier must monitor</w:t>
      </w:r>
      <w:r w:rsidR="001054A6" w:rsidRPr="003B4362">
        <w:rPr>
          <w:szCs w:val="24"/>
        </w:rPr>
        <w:t xml:space="preserve"> only lead</w:t>
      </w:r>
      <w:bookmarkEnd w:id="2059"/>
      <w:bookmarkEnd w:id="2060"/>
      <w:r w:rsidR="001054A6" w:rsidRPr="003B4362">
        <w:rPr>
          <w:szCs w:val="24"/>
        </w:rPr>
        <w:t xml:space="preserve">, </w:t>
      </w:r>
      <w:bookmarkStart w:id="2061" w:name="_Hlk121934186"/>
      <w:bookmarkStart w:id="2062" w:name="_Hlk121934372"/>
      <w:r w:rsidR="001054A6" w:rsidRPr="003B4362">
        <w:rPr>
          <w:szCs w:val="24"/>
        </w:rPr>
        <w:t xml:space="preserve">the </w:t>
      </w:r>
      <w:r w:rsidR="00F77695" w:rsidRPr="003B4362">
        <w:rPr>
          <w:szCs w:val="24"/>
        </w:rPr>
        <w:t xml:space="preserve">supplier may analyze the </w:t>
      </w:r>
      <w:r w:rsidR="001054A6" w:rsidRPr="003B4362">
        <w:rPr>
          <w:szCs w:val="24"/>
        </w:rPr>
        <w:t>first</w:t>
      </w:r>
      <w:r w:rsidR="00B26A0E" w:rsidRPr="003B4362">
        <w:rPr>
          <w:szCs w:val="24"/>
        </w:rPr>
        <w:t xml:space="preserve">-draw tap </w:t>
      </w:r>
      <w:r w:rsidR="001054A6" w:rsidRPr="003B4362">
        <w:rPr>
          <w:szCs w:val="24"/>
        </w:rPr>
        <w:t>sample</w:t>
      </w:r>
      <w:bookmarkEnd w:id="2061"/>
      <w:r w:rsidR="00F77695" w:rsidRPr="003B4362">
        <w:rPr>
          <w:szCs w:val="24"/>
        </w:rPr>
        <w:t xml:space="preserve"> </w:t>
      </w:r>
      <w:r w:rsidR="001054A6" w:rsidRPr="003B4362">
        <w:rPr>
          <w:szCs w:val="24"/>
        </w:rPr>
        <w:t>for lead only</w:t>
      </w:r>
      <w:bookmarkEnd w:id="2062"/>
      <w:r w:rsidR="001054A6" w:rsidRPr="003B4362">
        <w:rPr>
          <w:szCs w:val="24"/>
        </w:rPr>
        <w:t>.</w:t>
      </w:r>
    </w:p>
    <w:p w14:paraId="5C43A6D0" w14:textId="5E7CBF04"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First-Draw Tap Samples</w:t>
      </w:r>
    </w:p>
    <w:p w14:paraId="2A635FEB" w14:textId="44070F32"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r>
      <w:r w:rsidR="007129C2" w:rsidRPr="003B4362">
        <w:rPr>
          <w:rFonts w:eastAsia="Calibri"/>
        </w:rPr>
        <w:t>A</w:t>
      </w:r>
      <w:r w:rsidRPr="003B4362">
        <w:rPr>
          <w:rFonts w:eastAsia="Calibri"/>
        </w:rPr>
        <w:t xml:space="preserve"> first-draw tap sample for lead and copper must be one liter in volume and have stood motionless</w:t>
      </w:r>
      <w:r w:rsidR="00A134AE" w:rsidRPr="003B4362">
        <w:rPr>
          <w:rFonts w:eastAsia="Calibri"/>
        </w:rPr>
        <w:t xml:space="preserve"> at least six hours</w:t>
      </w:r>
      <w:r w:rsidRPr="003B4362">
        <w:rPr>
          <w:rFonts w:eastAsia="Calibri"/>
        </w:rPr>
        <w:t xml:space="preserve"> in the plumbing system of the sampling site .</w:t>
      </w:r>
    </w:p>
    <w:p w14:paraId="3407C2EA" w14:textId="65E6F7C9" w:rsidR="00DD30AF" w:rsidRPr="003B4362" w:rsidRDefault="00DD30AF" w:rsidP="005451CE">
      <w:pPr>
        <w:spacing w:before="240" w:after="240"/>
        <w:ind w:left="2880" w:hanging="720"/>
        <w:rPr>
          <w:rFonts w:eastAsia="Calibri"/>
        </w:rPr>
      </w:pPr>
      <w:r w:rsidRPr="003B4362">
        <w:rPr>
          <w:rFonts w:eastAsia="Calibri"/>
        </w:rPr>
        <w:t>B)</w:t>
      </w:r>
      <w:r w:rsidRPr="003B4362">
        <w:rPr>
          <w:rFonts w:eastAsia="Calibri"/>
        </w:rPr>
        <w:tab/>
      </w:r>
      <w:bookmarkStart w:id="2063" w:name="_Hlk122347985"/>
      <w:r w:rsidR="00A134AE" w:rsidRPr="003B4362">
        <w:rPr>
          <w:szCs w:val="24"/>
        </w:rPr>
        <w:t>T</w:t>
      </w:r>
      <w:bookmarkStart w:id="2064" w:name="_Hlk122348192"/>
      <w:r w:rsidR="00A134AE" w:rsidRPr="003B4362">
        <w:rPr>
          <w:szCs w:val="24"/>
        </w:rPr>
        <w:t>he supplier must use wide-mouthed bottles</w:t>
      </w:r>
      <w:r w:rsidRPr="003B4362">
        <w:rPr>
          <w:szCs w:val="24"/>
        </w:rPr>
        <w:t xml:space="preserve"> to collect </w:t>
      </w:r>
      <w:bookmarkEnd w:id="2064"/>
      <w:r w:rsidRPr="003B4362">
        <w:rPr>
          <w:szCs w:val="24"/>
        </w:rPr>
        <w:t>first-draw tap samples</w:t>
      </w:r>
      <w:bookmarkEnd w:id="2063"/>
      <w:r w:rsidRPr="003B4362">
        <w:rPr>
          <w:szCs w:val="24"/>
        </w:rPr>
        <w:t>.</w:t>
      </w:r>
    </w:p>
    <w:p w14:paraId="4163727E" w14:textId="3B22CB7F" w:rsidR="005451CE" w:rsidRPr="003B4362" w:rsidRDefault="00AD57FC" w:rsidP="005451CE">
      <w:pPr>
        <w:spacing w:before="240" w:after="240"/>
        <w:ind w:left="2880" w:hanging="720"/>
        <w:rPr>
          <w:rFonts w:eastAsia="Calibri"/>
        </w:rPr>
      </w:pPr>
      <w:r w:rsidRPr="003B4362">
        <w:rPr>
          <w:rFonts w:eastAsia="Calibri"/>
        </w:rPr>
        <w:t>C</w:t>
      </w:r>
      <w:r w:rsidR="005451CE" w:rsidRPr="003B4362">
        <w:rPr>
          <w:rFonts w:eastAsia="Calibri"/>
        </w:rPr>
        <w:t>)</w:t>
      </w:r>
      <w:r w:rsidR="005451CE" w:rsidRPr="003B4362">
        <w:rPr>
          <w:rFonts w:eastAsia="Calibri"/>
        </w:rPr>
        <w:tab/>
      </w:r>
      <w:r w:rsidR="007612DA" w:rsidRPr="003B4362">
        <w:rPr>
          <w:rFonts w:eastAsia="Calibri"/>
        </w:rPr>
        <w:t>For residential housing, t</w:t>
      </w:r>
      <w:r w:rsidR="005451CE" w:rsidRPr="003B4362">
        <w:rPr>
          <w:rFonts w:eastAsia="Calibri"/>
        </w:rPr>
        <w:t xml:space="preserve">he supplier must collect first-draw </w:t>
      </w:r>
      <w:r w:rsidR="004E5EBB" w:rsidRPr="003B4362">
        <w:rPr>
          <w:rFonts w:eastAsia="Calibri"/>
        </w:rPr>
        <w:t xml:space="preserve">tap </w:t>
      </w:r>
      <w:r w:rsidR="005451CE" w:rsidRPr="003B4362">
        <w:rPr>
          <w:rFonts w:eastAsia="Calibri"/>
        </w:rPr>
        <w:t>samples from the cold-water kitchen or bathroom sink tap.</w:t>
      </w:r>
    </w:p>
    <w:p w14:paraId="1F2C277D" w14:textId="68314F29" w:rsidR="005451CE" w:rsidRPr="003B4362" w:rsidRDefault="00AD57FC" w:rsidP="005451CE">
      <w:pPr>
        <w:spacing w:before="240" w:after="240"/>
        <w:ind w:left="2880" w:hanging="720"/>
        <w:rPr>
          <w:rFonts w:eastAsia="Calibri"/>
        </w:rPr>
      </w:pPr>
      <w:r w:rsidRPr="003B4362">
        <w:rPr>
          <w:rFonts w:eastAsia="Calibri"/>
        </w:rPr>
        <w:t>D</w:t>
      </w:r>
      <w:r w:rsidR="005451CE" w:rsidRPr="003B4362">
        <w:rPr>
          <w:rFonts w:eastAsia="Calibri"/>
        </w:rPr>
        <w:t>)</w:t>
      </w:r>
      <w:r w:rsidR="005451CE" w:rsidRPr="003B4362">
        <w:rPr>
          <w:rFonts w:eastAsia="Calibri"/>
        </w:rPr>
        <w:tab/>
      </w:r>
      <w:r w:rsidR="00E92291" w:rsidRPr="003B4362">
        <w:rPr>
          <w:rFonts w:eastAsia="Calibri"/>
        </w:rPr>
        <w:t>For non-residential buildings, t</w:t>
      </w:r>
      <w:r w:rsidR="005451CE" w:rsidRPr="003B4362">
        <w:rPr>
          <w:rFonts w:eastAsia="Calibri"/>
        </w:rPr>
        <w:t xml:space="preserve">he supplier must collect first-draw </w:t>
      </w:r>
      <w:r w:rsidR="004E5EBB" w:rsidRPr="003B4362">
        <w:rPr>
          <w:rFonts w:eastAsia="Calibri"/>
        </w:rPr>
        <w:t xml:space="preserve">tap </w:t>
      </w:r>
      <w:r w:rsidR="005451CE" w:rsidRPr="003B4362">
        <w:rPr>
          <w:rFonts w:eastAsia="Calibri"/>
        </w:rPr>
        <w:t xml:space="preserve">samples one-liter in volume from </w:t>
      </w:r>
      <w:r w:rsidRPr="003B4362">
        <w:rPr>
          <w:rFonts w:eastAsia="Calibri"/>
        </w:rPr>
        <w:t xml:space="preserve">a </w:t>
      </w:r>
      <w:r w:rsidR="005451CE" w:rsidRPr="003B4362">
        <w:rPr>
          <w:rFonts w:eastAsia="Calibri"/>
        </w:rPr>
        <w:t>tap occupants typically use for consuming water.</w:t>
      </w:r>
    </w:p>
    <w:p w14:paraId="7BF3A678" w14:textId="11642BDE" w:rsidR="005451CE" w:rsidRPr="003B4362" w:rsidRDefault="00AD57FC" w:rsidP="005451CE">
      <w:pPr>
        <w:spacing w:before="240" w:after="240"/>
        <w:ind w:left="2880" w:hanging="720"/>
        <w:rPr>
          <w:rFonts w:eastAsia="Calibri"/>
        </w:rPr>
      </w:pPr>
      <w:r w:rsidRPr="003B4362">
        <w:rPr>
          <w:rFonts w:eastAsia="Calibri"/>
        </w:rPr>
        <w:t>E</w:t>
      </w:r>
      <w:r w:rsidR="005451CE" w:rsidRPr="003B4362">
        <w:rPr>
          <w:rFonts w:eastAsia="Calibri"/>
        </w:rPr>
        <w:t>)</w:t>
      </w:r>
      <w:r w:rsidR="005451CE" w:rsidRPr="003B4362">
        <w:rPr>
          <w:rFonts w:eastAsia="Calibri"/>
        </w:rPr>
        <w:tab/>
        <w:t xml:space="preserve">The </w:t>
      </w:r>
      <w:r w:rsidR="00B57AFD" w:rsidRPr="003B4362">
        <w:rPr>
          <w:rFonts w:eastAsia="Calibri"/>
        </w:rPr>
        <w:t xml:space="preserve">Agency-approved </w:t>
      </w:r>
      <w:r w:rsidR="006077DB" w:rsidRPr="003B4362">
        <w:rPr>
          <w:rFonts w:eastAsia="Calibri"/>
        </w:rPr>
        <w:t xml:space="preserve">substitute </w:t>
      </w:r>
      <w:r w:rsidR="005451CE" w:rsidRPr="003B4362">
        <w:rPr>
          <w:rFonts w:eastAsia="Calibri"/>
        </w:rPr>
        <w:t xml:space="preserve">non-first-draw </w:t>
      </w:r>
      <w:r w:rsidR="004E5EBB" w:rsidRPr="003B4362">
        <w:rPr>
          <w:rFonts w:eastAsia="Calibri"/>
        </w:rPr>
        <w:t xml:space="preserve">tap </w:t>
      </w:r>
      <w:r w:rsidR="005451CE" w:rsidRPr="003B4362">
        <w:rPr>
          <w:rFonts w:eastAsia="Calibri"/>
        </w:rPr>
        <w:t>samples th</w:t>
      </w:r>
      <w:r w:rsidR="006077DB" w:rsidRPr="003B4362">
        <w:rPr>
          <w:rFonts w:eastAsia="Calibri"/>
        </w:rPr>
        <w:t>e supplier</w:t>
      </w:r>
      <w:r w:rsidR="005451CE" w:rsidRPr="003B4362">
        <w:rPr>
          <w:rFonts w:eastAsia="Calibri"/>
        </w:rPr>
        <w:t xml:space="preserve"> collects in lieu of</w:t>
      </w:r>
      <w:bookmarkStart w:id="2065" w:name="_Hlk122352704"/>
      <w:r w:rsidR="005451CE" w:rsidRPr="003B4362">
        <w:rPr>
          <w:rFonts w:eastAsia="Calibri"/>
        </w:rPr>
        <w:t xml:space="preserve"> first-draw </w:t>
      </w:r>
      <w:r w:rsidR="004E5EBB" w:rsidRPr="003B4362">
        <w:rPr>
          <w:rFonts w:eastAsia="Calibri"/>
        </w:rPr>
        <w:t xml:space="preserve">tap </w:t>
      </w:r>
      <w:r w:rsidR="005451CE" w:rsidRPr="003B4362">
        <w:rPr>
          <w:rFonts w:eastAsia="Calibri"/>
        </w:rPr>
        <w:t>samples</w:t>
      </w:r>
      <w:bookmarkEnd w:id="2065"/>
      <w:r w:rsidR="005451CE" w:rsidRPr="003B4362">
        <w:rPr>
          <w:rFonts w:eastAsia="Calibri"/>
        </w:rPr>
        <w:t xml:space="preserve"> under subsection (b)(5) must be one liter in volume from an interior tap occupants typically use for consuming water.</w:t>
      </w:r>
    </w:p>
    <w:p w14:paraId="4D465569" w14:textId="29CA988D" w:rsidR="005451CE" w:rsidRPr="003B4362" w:rsidRDefault="00AD57FC" w:rsidP="005451CE">
      <w:pPr>
        <w:spacing w:before="240" w:after="240"/>
        <w:ind w:left="2880" w:hanging="720"/>
        <w:rPr>
          <w:rFonts w:eastAsia="Calibri"/>
        </w:rPr>
      </w:pPr>
      <w:r w:rsidRPr="003B4362">
        <w:rPr>
          <w:rFonts w:eastAsia="Calibri"/>
        </w:rPr>
        <w:lastRenderedPageBreak/>
        <w:t>F</w:t>
      </w:r>
      <w:r w:rsidR="005451CE" w:rsidRPr="003B4362">
        <w:rPr>
          <w:rFonts w:eastAsia="Calibri"/>
        </w:rPr>
        <w:t>)</w:t>
      </w:r>
      <w:r w:rsidR="005451CE" w:rsidRPr="003B4362">
        <w:rPr>
          <w:rFonts w:eastAsia="Calibri"/>
        </w:rPr>
        <w:tab/>
        <w:t xml:space="preserve">The supplier may collect first-draw </w:t>
      </w:r>
      <w:r w:rsidR="00145614" w:rsidRPr="003B4362">
        <w:rPr>
          <w:rFonts w:eastAsia="Calibri"/>
        </w:rPr>
        <w:t xml:space="preserve">tap </w:t>
      </w:r>
      <w:r w:rsidR="005451CE" w:rsidRPr="003B4362">
        <w:rPr>
          <w:rFonts w:eastAsia="Calibri"/>
        </w:rPr>
        <w:t xml:space="preserve">samples or allow residents to collect first-draw </w:t>
      </w:r>
      <w:r w:rsidR="00145614" w:rsidRPr="003B4362">
        <w:rPr>
          <w:rFonts w:eastAsia="Calibri"/>
        </w:rPr>
        <w:t xml:space="preserve">tap </w:t>
      </w:r>
      <w:r w:rsidR="005451CE" w:rsidRPr="003B4362">
        <w:rPr>
          <w:rFonts w:eastAsia="Calibri"/>
        </w:rPr>
        <w:t>samples after instructing the residents in the sampling procedures this subsection (b)</w:t>
      </w:r>
      <w:r w:rsidR="00916B5C" w:rsidRPr="003B4362">
        <w:rPr>
          <w:rFonts w:eastAsia="Calibri"/>
        </w:rPr>
        <w:t>(2)</w:t>
      </w:r>
      <w:r w:rsidR="005451CE" w:rsidRPr="003B4362">
        <w:rPr>
          <w:rFonts w:eastAsia="Calibri"/>
        </w:rPr>
        <w:t xml:space="preserve"> specifies.</w:t>
      </w:r>
    </w:p>
    <w:p w14:paraId="1EDBB90A" w14:textId="18367B1F" w:rsidR="00357E15" w:rsidRPr="003B4362" w:rsidRDefault="00357E15" w:rsidP="005451CE">
      <w:pPr>
        <w:spacing w:before="240" w:after="240"/>
        <w:ind w:left="3600" w:hanging="720"/>
        <w:rPr>
          <w:rFonts w:eastAsia="Calibri"/>
        </w:rPr>
      </w:pPr>
      <w:r w:rsidRPr="003B4362">
        <w:rPr>
          <w:rFonts w:eastAsia="Calibri"/>
        </w:rPr>
        <w:t>i)</w:t>
      </w:r>
      <w:r w:rsidRPr="003B4362">
        <w:rPr>
          <w:rFonts w:eastAsia="Calibri"/>
        </w:rPr>
        <w:tab/>
      </w:r>
      <w:r w:rsidRPr="003B4362">
        <w:rPr>
          <w:szCs w:val="24"/>
        </w:rPr>
        <w:t xml:space="preserve">Sampling instructions the supplier provides to residents must not include instructions for </w:t>
      </w:r>
      <w:bookmarkStart w:id="2066" w:name="_Hlk122355221"/>
      <w:r w:rsidRPr="003B4362">
        <w:rPr>
          <w:szCs w:val="24"/>
        </w:rPr>
        <w:t>removing the aerator and cleaning or flushing taps</w:t>
      </w:r>
      <w:bookmarkEnd w:id="2066"/>
      <w:r w:rsidRPr="003B4362">
        <w:rPr>
          <w:szCs w:val="24"/>
        </w:rPr>
        <w:t xml:space="preserve"> </w:t>
      </w:r>
      <w:bookmarkStart w:id="2067" w:name="_Hlk122355473"/>
      <w:bookmarkStart w:id="2068" w:name="_Hlk122355600"/>
      <w:r w:rsidRPr="003B4362">
        <w:rPr>
          <w:szCs w:val="24"/>
        </w:rPr>
        <w:t>before the minimum six-hour stagnation period</w:t>
      </w:r>
      <w:bookmarkEnd w:id="2067"/>
      <w:r w:rsidRPr="003B4362">
        <w:rPr>
          <w:szCs w:val="24"/>
        </w:rPr>
        <w:t xml:space="preserve"> begins</w:t>
      </w:r>
      <w:bookmarkEnd w:id="2068"/>
      <w:r w:rsidRPr="003B4362">
        <w:rPr>
          <w:szCs w:val="24"/>
        </w:rPr>
        <w:t>.</w:t>
      </w:r>
    </w:p>
    <w:p w14:paraId="1E4774E3" w14:textId="46EAFBB9" w:rsidR="005451CE" w:rsidRPr="003B4362" w:rsidRDefault="00B43CD7" w:rsidP="005451CE">
      <w:pPr>
        <w:spacing w:before="240" w:after="240"/>
        <w:ind w:left="3600" w:hanging="720"/>
        <w:rPr>
          <w:rFonts w:eastAsia="Calibri"/>
        </w:rPr>
      </w:pPr>
      <w:r w:rsidRPr="003B4362">
        <w:rPr>
          <w:rFonts w:eastAsia="Calibri"/>
        </w:rPr>
        <w:t>ii</w:t>
      </w:r>
      <w:r w:rsidR="005451CE" w:rsidRPr="003B4362">
        <w:rPr>
          <w:rFonts w:eastAsia="Calibri"/>
        </w:rPr>
        <w:t>)</w:t>
      </w:r>
      <w:r w:rsidR="005451CE" w:rsidRPr="003B4362">
        <w:rPr>
          <w:rFonts w:eastAsia="Calibri"/>
        </w:rPr>
        <w:tab/>
        <w:t xml:space="preserve">To avoid problems of residents handling nitric acid, the supplier may acidify first-draw </w:t>
      </w:r>
      <w:r w:rsidR="00145614" w:rsidRPr="003B4362">
        <w:rPr>
          <w:rFonts w:eastAsia="Calibri"/>
        </w:rPr>
        <w:t xml:space="preserve">tap </w:t>
      </w:r>
      <w:r w:rsidR="005451CE" w:rsidRPr="003B4362">
        <w:rPr>
          <w:rFonts w:eastAsia="Calibri"/>
        </w:rPr>
        <w:t>samples up to 14 days after the supplier or a resident collects the sample.</w:t>
      </w:r>
    </w:p>
    <w:p w14:paraId="365BF6D7" w14:textId="68D38A84" w:rsidR="005451CE" w:rsidRPr="003B4362" w:rsidRDefault="00B43CD7" w:rsidP="005451CE">
      <w:pPr>
        <w:spacing w:before="240" w:after="240"/>
        <w:ind w:left="3600" w:hanging="720"/>
        <w:rPr>
          <w:rFonts w:eastAsia="Calibri"/>
        </w:rPr>
      </w:pPr>
      <w:r w:rsidRPr="003B4362">
        <w:rPr>
          <w:rFonts w:eastAsia="Calibri"/>
        </w:rPr>
        <w:t>iii</w:t>
      </w:r>
      <w:r w:rsidR="005451CE" w:rsidRPr="003B4362">
        <w:rPr>
          <w:rFonts w:eastAsia="Calibri"/>
        </w:rPr>
        <w:t>)</w:t>
      </w:r>
      <w:r w:rsidR="005451CE" w:rsidRPr="003B4362">
        <w:rPr>
          <w:rFonts w:eastAsia="Calibri"/>
        </w:rPr>
        <w:tab/>
        <w:t>A</w:t>
      </w:r>
      <w:bookmarkStart w:id="2069" w:name="_Hlk114679803"/>
      <w:r w:rsidR="005451CE" w:rsidRPr="003B4362">
        <w:rPr>
          <w:rFonts w:eastAsia="Calibri"/>
        </w:rPr>
        <w:t>fter adding acid to resolubilize the metals</w:t>
      </w:r>
      <w:bookmarkEnd w:id="2069"/>
      <w:r w:rsidR="005451CE" w:rsidRPr="003B4362">
        <w:rPr>
          <w:rFonts w:eastAsia="Calibri"/>
        </w:rPr>
        <w:t xml:space="preserve">, </w:t>
      </w:r>
      <w:bookmarkStart w:id="2070" w:name="_Hlk114679858"/>
      <w:r w:rsidR="005451CE" w:rsidRPr="003B4362">
        <w:rPr>
          <w:rFonts w:eastAsia="Calibri"/>
        </w:rPr>
        <w:t>a sample must stand in its original container</w:t>
      </w:r>
      <w:bookmarkEnd w:id="2070"/>
      <w:r w:rsidR="005451CE" w:rsidRPr="003B4362">
        <w:rPr>
          <w:rFonts w:eastAsia="Calibri"/>
        </w:rPr>
        <w:t xml:space="preserve"> for </w:t>
      </w:r>
      <w:bookmarkStart w:id="2071" w:name="_Hlk114680025"/>
      <w:r w:rsidR="005451CE" w:rsidRPr="003B4362">
        <w:rPr>
          <w:rFonts w:eastAsia="Calibri"/>
        </w:rPr>
        <w:t>the time the USEPA-approved method specifies</w:t>
      </w:r>
      <w:bookmarkEnd w:id="2071"/>
      <w:r w:rsidR="005451CE" w:rsidRPr="003B4362">
        <w:rPr>
          <w:rFonts w:eastAsia="Calibri"/>
        </w:rPr>
        <w:t xml:space="preserve"> </w:t>
      </w:r>
      <w:bookmarkStart w:id="2072" w:name="_Hlk114680133"/>
      <w:r w:rsidR="005451CE" w:rsidRPr="003B4362">
        <w:rPr>
          <w:rFonts w:eastAsia="Calibri"/>
        </w:rPr>
        <w:t>before the laboratory analyzes the sample</w:t>
      </w:r>
      <w:bookmarkEnd w:id="2072"/>
      <w:r w:rsidR="005451CE" w:rsidRPr="003B4362">
        <w:rPr>
          <w:rFonts w:eastAsia="Calibri"/>
        </w:rPr>
        <w:t>.</w:t>
      </w:r>
    </w:p>
    <w:p w14:paraId="01196FCC" w14:textId="40F5FC9F" w:rsidR="005451CE" w:rsidRPr="003B4362" w:rsidRDefault="00AD57FC" w:rsidP="005451CE">
      <w:pPr>
        <w:spacing w:before="240" w:after="240"/>
        <w:ind w:left="2880" w:hanging="720"/>
        <w:rPr>
          <w:rFonts w:eastAsia="Calibri"/>
        </w:rPr>
      </w:pPr>
      <w:r w:rsidRPr="003B4362">
        <w:rPr>
          <w:rFonts w:eastAsia="Calibri"/>
        </w:rPr>
        <w:t>G</w:t>
      </w:r>
      <w:r w:rsidR="005451CE" w:rsidRPr="003B4362">
        <w:rPr>
          <w:rFonts w:eastAsia="Calibri"/>
        </w:rPr>
        <w:t>)</w:t>
      </w:r>
      <w:r w:rsidR="005451CE" w:rsidRPr="003B4362">
        <w:rPr>
          <w:rFonts w:eastAsia="Calibri"/>
        </w:rPr>
        <w:tab/>
        <w:t>If a supplier allows residents to perform sampling under subsection (b)(2)(</w:t>
      </w:r>
      <w:r w:rsidR="00DF7B74" w:rsidRPr="003B4362">
        <w:rPr>
          <w:rFonts w:eastAsia="Calibri"/>
        </w:rPr>
        <w:t>F</w:t>
      </w:r>
      <w:r w:rsidR="005451CE" w:rsidRPr="003B4362">
        <w:rPr>
          <w:rFonts w:eastAsia="Calibri"/>
        </w:rPr>
        <w:t>), the supplier may not challenge the accuracy of sampling results based on alleged errors in sample collection.</w:t>
      </w:r>
    </w:p>
    <w:p w14:paraId="47E2A8D8" w14:textId="77777777"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Service Line Samples</w:t>
      </w:r>
    </w:p>
    <w:p w14:paraId="50FEE662" w14:textId="37E94225" w:rsidR="005451CE" w:rsidRPr="003B4362" w:rsidRDefault="005451CE" w:rsidP="00CF6928">
      <w:pPr>
        <w:spacing w:before="240" w:after="240"/>
        <w:ind w:left="2880" w:hanging="720"/>
        <w:rPr>
          <w:rFonts w:eastAsia="Calibri"/>
        </w:rPr>
      </w:pPr>
      <w:r w:rsidRPr="003B4362">
        <w:rPr>
          <w:rFonts w:eastAsia="Calibri"/>
        </w:rPr>
        <w:t>A)</w:t>
      </w:r>
      <w:r w:rsidRPr="003B4362">
        <w:rPr>
          <w:rFonts w:eastAsia="Calibri"/>
        </w:rPr>
        <w:tab/>
      </w:r>
      <w:r w:rsidR="00410074" w:rsidRPr="003B4362">
        <w:rPr>
          <w:szCs w:val="24"/>
        </w:rPr>
        <w:t>A</w:t>
      </w:r>
      <w:bookmarkStart w:id="2073" w:name="_Hlk122359478"/>
      <w:r w:rsidR="00410074" w:rsidRPr="003B4362">
        <w:rPr>
          <w:szCs w:val="24"/>
        </w:rPr>
        <w:t xml:space="preserve"> supplier must collect a</w:t>
      </w:r>
      <w:r w:rsidR="0098657E" w:rsidRPr="003B4362">
        <w:rPr>
          <w:szCs w:val="24"/>
        </w:rPr>
        <w:t>ll tap samples for copper</w:t>
      </w:r>
      <w:r w:rsidR="00410074" w:rsidRPr="003B4362">
        <w:rPr>
          <w:szCs w:val="24"/>
        </w:rPr>
        <w:t xml:space="preserve"> </w:t>
      </w:r>
      <w:r w:rsidR="0098657E" w:rsidRPr="003B4362">
        <w:rPr>
          <w:szCs w:val="24"/>
        </w:rPr>
        <w:t xml:space="preserve">at sites </w:t>
      </w:r>
      <w:r w:rsidR="00410074" w:rsidRPr="003B4362">
        <w:rPr>
          <w:szCs w:val="24"/>
        </w:rPr>
        <w:t>it serves through</w:t>
      </w:r>
      <w:r w:rsidR="0098657E" w:rsidRPr="003B4362">
        <w:rPr>
          <w:szCs w:val="24"/>
        </w:rPr>
        <w:t xml:space="preserve"> a lead service line</w:t>
      </w:r>
      <w:bookmarkEnd w:id="2073"/>
      <w:r w:rsidR="0098657E" w:rsidRPr="003B4362">
        <w:rPr>
          <w:szCs w:val="24"/>
        </w:rPr>
        <w:t xml:space="preserve"> </w:t>
      </w:r>
      <w:bookmarkStart w:id="2074" w:name="_Hlk122359561"/>
      <w:r w:rsidR="00410074" w:rsidRPr="003B4362">
        <w:rPr>
          <w:szCs w:val="24"/>
        </w:rPr>
        <w:t>as a</w:t>
      </w:r>
      <w:r w:rsidR="0098657E" w:rsidRPr="003B4362">
        <w:rPr>
          <w:szCs w:val="24"/>
        </w:rPr>
        <w:t xml:space="preserve"> first</w:t>
      </w:r>
      <w:r w:rsidR="00410074" w:rsidRPr="003B4362">
        <w:rPr>
          <w:szCs w:val="24"/>
        </w:rPr>
        <w:t>-</w:t>
      </w:r>
      <w:r w:rsidR="0098657E" w:rsidRPr="003B4362">
        <w:rPr>
          <w:szCs w:val="24"/>
        </w:rPr>
        <w:t xml:space="preserve">draw </w:t>
      </w:r>
      <w:r w:rsidR="00410074" w:rsidRPr="003B4362">
        <w:rPr>
          <w:szCs w:val="24"/>
        </w:rPr>
        <w:t xml:space="preserve">tap </w:t>
      </w:r>
      <w:r w:rsidR="0098657E" w:rsidRPr="003B4362">
        <w:rPr>
          <w:szCs w:val="24"/>
        </w:rPr>
        <w:t>sample</w:t>
      </w:r>
      <w:r w:rsidR="00410074" w:rsidRPr="003B4362">
        <w:rPr>
          <w:szCs w:val="24"/>
        </w:rPr>
        <w:t xml:space="preserve"> </w:t>
      </w:r>
      <w:r w:rsidR="0098657E" w:rsidRPr="003B4362">
        <w:rPr>
          <w:szCs w:val="24"/>
        </w:rPr>
        <w:t>using the procedure</w:t>
      </w:r>
      <w:r w:rsidR="00410074" w:rsidRPr="003B4362">
        <w:rPr>
          <w:szCs w:val="24"/>
        </w:rPr>
        <w:t xml:space="preserve"> </w:t>
      </w:r>
      <w:r w:rsidR="0098657E" w:rsidRPr="003B4362">
        <w:rPr>
          <w:szCs w:val="24"/>
        </w:rPr>
        <w:t>in this subsection (b)(3)</w:t>
      </w:r>
      <w:bookmarkEnd w:id="2074"/>
      <w:r w:rsidR="0098657E" w:rsidRPr="003B4362">
        <w:rPr>
          <w:szCs w:val="24"/>
        </w:rPr>
        <w:t xml:space="preserve">.  </w:t>
      </w:r>
      <w:bookmarkStart w:id="2075" w:name="_Hlk122359780"/>
      <w:r w:rsidR="00410074" w:rsidRPr="003B4362">
        <w:rPr>
          <w:szCs w:val="24"/>
        </w:rPr>
        <w:t>T</w:t>
      </w:r>
      <w:bookmarkStart w:id="2076" w:name="_Hlk122359913"/>
      <w:r w:rsidR="00410074" w:rsidRPr="003B4362">
        <w:rPr>
          <w:szCs w:val="24"/>
        </w:rPr>
        <w:t>he supplier must collect and analyze t</w:t>
      </w:r>
      <w:r w:rsidR="0098657E" w:rsidRPr="003B4362">
        <w:rPr>
          <w:szCs w:val="24"/>
        </w:rPr>
        <w:t>ap samples for copper</w:t>
      </w:r>
      <w:bookmarkEnd w:id="2075"/>
      <w:bookmarkEnd w:id="2076"/>
      <w:r w:rsidR="00410074" w:rsidRPr="003B4362">
        <w:rPr>
          <w:szCs w:val="24"/>
        </w:rPr>
        <w:t xml:space="preserve"> </w:t>
      </w:r>
      <w:r w:rsidR="0098657E" w:rsidRPr="003B4362">
        <w:rPr>
          <w:szCs w:val="24"/>
        </w:rPr>
        <w:t xml:space="preserve">only </w:t>
      </w:r>
      <w:bookmarkStart w:id="2077" w:name="_Hlk122360303"/>
      <w:r w:rsidR="00D87CA1" w:rsidRPr="003B4362">
        <w:rPr>
          <w:szCs w:val="24"/>
        </w:rPr>
        <w:t>during</w:t>
      </w:r>
      <w:r w:rsidR="0098657E" w:rsidRPr="003B4362">
        <w:rPr>
          <w:szCs w:val="24"/>
        </w:rPr>
        <w:t xml:space="preserve"> </w:t>
      </w:r>
      <w:r w:rsidR="000F2A0C" w:rsidRPr="003B4362">
        <w:rPr>
          <w:szCs w:val="24"/>
        </w:rPr>
        <w:t xml:space="preserve">tap </w:t>
      </w:r>
      <w:r w:rsidR="00BA570C" w:rsidRPr="003B4362">
        <w:rPr>
          <w:szCs w:val="24"/>
        </w:rPr>
        <w:t>monitor</w:t>
      </w:r>
      <w:r w:rsidR="000F2A0C" w:rsidRPr="003B4362">
        <w:rPr>
          <w:szCs w:val="24"/>
        </w:rPr>
        <w:t>ing</w:t>
      </w:r>
      <w:r w:rsidR="0098657E" w:rsidRPr="003B4362">
        <w:rPr>
          <w:szCs w:val="24"/>
        </w:rPr>
        <w:t xml:space="preserve"> </w:t>
      </w:r>
      <w:r w:rsidR="00BA570C" w:rsidRPr="003B4362">
        <w:rPr>
          <w:szCs w:val="24"/>
        </w:rPr>
        <w:t>cycles</w:t>
      </w:r>
      <w:r w:rsidR="0098657E" w:rsidRPr="003B4362">
        <w:rPr>
          <w:szCs w:val="24"/>
        </w:rPr>
        <w:t xml:space="preserve"> </w:t>
      </w:r>
      <w:r w:rsidR="00D87CA1" w:rsidRPr="003B4362">
        <w:rPr>
          <w:szCs w:val="24"/>
        </w:rPr>
        <w:t>when the supplier must monitor</w:t>
      </w:r>
      <w:r w:rsidR="0098657E" w:rsidRPr="003B4362">
        <w:rPr>
          <w:szCs w:val="24"/>
        </w:rPr>
        <w:t xml:space="preserve"> copper</w:t>
      </w:r>
      <w:bookmarkEnd w:id="2077"/>
      <w:r w:rsidR="0098657E" w:rsidRPr="003B4362">
        <w:rPr>
          <w:szCs w:val="24"/>
        </w:rPr>
        <w:t>.</w:t>
      </w:r>
      <w:r w:rsidR="009A5057" w:rsidRPr="003B4362">
        <w:rPr>
          <w:szCs w:val="24"/>
        </w:rPr>
        <w:t xml:space="preserve"> </w:t>
      </w:r>
      <w:r w:rsidRPr="003B4362">
        <w:rPr>
          <w:rFonts w:eastAsia="Calibri"/>
        </w:rPr>
        <w:t>B)</w:t>
      </w:r>
      <w:r w:rsidRPr="003B4362">
        <w:rPr>
          <w:rFonts w:eastAsia="Calibri"/>
        </w:rPr>
        <w:tab/>
      </w:r>
      <w:r w:rsidR="00CF6928" w:rsidRPr="003B4362">
        <w:rPr>
          <w:rFonts w:eastAsia="Calibri"/>
        </w:rPr>
        <w:t>First-Draw and Fifth-Liter Tap Water Samples</w:t>
      </w:r>
    </w:p>
    <w:p w14:paraId="2D709503" w14:textId="77777777" w:rsidR="008D6A18" w:rsidRPr="003B4362" w:rsidRDefault="005451CE" w:rsidP="005451CE">
      <w:pPr>
        <w:spacing w:before="240" w:after="240"/>
        <w:ind w:left="3600" w:hanging="720"/>
        <w:rPr>
          <w:szCs w:val="24"/>
        </w:rPr>
      </w:pPr>
      <w:r w:rsidRPr="003B4362">
        <w:rPr>
          <w:rFonts w:eastAsia="Calibri"/>
        </w:rPr>
        <w:t>i)</w:t>
      </w:r>
      <w:r w:rsidRPr="003B4362">
        <w:rPr>
          <w:rFonts w:eastAsia="Calibri"/>
        </w:rPr>
        <w:tab/>
      </w:r>
      <w:r w:rsidR="00CF6928" w:rsidRPr="003B4362">
        <w:rPr>
          <w:szCs w:val="24"/>
        </w:rPr>
        <w:t>A supplier must collect tap water samples in five consecutively numbered wide-mouthed bottles after the water has stood motionless in the sampling site’s plumbing for at least six hours without flushing the tap prior to collecting the sample.</w:t>
      </w:r>
    </w:p>
    <w:p w14:paraId="7C79CE99" w14:textId="4ECCA126" w:rsidR="00AA1D39" w:rsidRPr="003B4362" w:rsidRDefault="008D6A18" w:rsidP="005451CE">
      <w:pPr>
        <w:spacing w:before="240" w:after="240"/>
        <w:ind w:left="3600" w:hanging="720"/>
        <w:rPr>
          <w:szCs w:val="24"/>
        </w:rPr>
      </w:pPr>
      <w:r w:rsidRPr="003B4362">
        <w:rPr>
          <w:szCs w:val="24"/>
        </w:rPr>
        <w:t>ii)</w:t>
      </w:r>
      <w:r w:rsidRPr="003B4362">
        <w:rPr>
          <w:szCs w:val="24"/>
        </w:rPr>
        <w:tab/>
        <w:t>The supplier</w:t>
      </w:r>
      <w:r w:rsidR="00CF6928" w:rsidRPr="003B4362">
        <w:rPr>
          <w:szCs w:val="24"/>
        </w:rPr>
        <w:t xml:space="preserve"> must analyze </w:t>
      </w:r>
      <w:bookmarkStart w:id="2078" w:name="_Hlk122438926"/>
      <w:r w:rsidR="00CF6928" w:rsidRPr="003B4362">
        <w:rPr>
          <w:szCs w:val="24"/>
        </w:rPr>
        <w:t>first</w:t>
      </w:r>
      <w:r w:rsidR="00FD724F" w:rsidRPr="003B4362">
        <w:rPr>
          <w:szCs w:val="24"/>
        </w:rPr>
        <w:t>-</w:t>
      </w:r>
      <w:r w:rsidR="00CF6928" w:rsidRPr="003B4362">
        <w:rPr>
          <w:szCs w:val="24"/>
        </w:rPr>
        <w:t xml:space="preserve">draw </w:t>
      </w:r>
      <w:r w:rsidR="00FD724F" w:rsidRPr="003B4362">
        <w:rPr>
          <w:szCs w:val="24"/>
        </w:rPr>
        <w:t xml:space="preserve">tap </w:t>
      </w:r>
      <w:r w:rsidR="00CF6928" w:rsidRPr="003B4362">
        <w:rPr>
          <w:szCs w:val="24"/>
        </w:rPr>
        <w:t>samples</w:t>
      </w:r>
      <w:bookmarkEnd w:id="2078"/>
      <w:r w:rsidR="00CF6928" w:rsidRPr="003B4362">
        <w:rPr>
          <w:szCs w:val="24"/>
        </w:rPr>
        <w:t xml:space="preserve"> for copper, when applicable, and </w:t>
      </w:r>
      <w:bookmarkStart w:id="2079" w:name="_Hlk122368371"/>
      <w:r w:rsidR="00CF6928" w:rsidRPr="003B4362">
        <w:rPr>
          <w:szCs w:val="24"/>
        </w:rPr>
        <w:t>fifth</w:t>
      </w:r>
      <w:r w:rsidR="00AA1D39" w:rsidRPr="003B4362">
        <w:rPr>
          <w:szCs w:val="24"/>
        </w:rPr>
        <w:t>-</w:t>
      </w:r>
      <w:r w:rsidR="00CF6928" w:rsidRPr="003B4362">
        <w:rPr>
          <w:szCs w:val="24"/>
        </w:rPr>
        <w:t xml:space="preserve">liter </w:t>
      </w:r>
      <w:r w:rsidR="00FD724F" w:rsidRPr="003B4362">
        <w:rPr>
          <w:szCs w:val="24"/>
        </w:rPr>
        <w:t xml:space="preserve">tap </w:t>
      </w:r>
      <w:r w:rsidR="00CF6928" w:rsidRPr="003B4362">
        <w:rPr>
          <w:szCs w:val="24"/>
        </w:rPr>
        <w:t>samples</w:t>
      </w:r>
      <w:bookmarkEnd w:id="2079"/>
      <w:r w:rsidR="00CF6928" w:rsidRPr="003B4362">
        <w:rPr>
          <w:szCs w:val="24"/>
        </w:rPr>
        <w:t xml:space="preserve"> for lead.</w:t>
      </w:r>
    </w:p>
    <w:p w14:paraId="387FE49C" w14:textId="5FBC2D37" w:rsidR="00182873" w:rsidRPr="003B4362" w:rsidRDefault="00AA1D39" w:rsidP="005451CE">
      <w:pPr>
        <w:spacing w:before="240" w:after="240"/>
        <w:ind w:left="3600" w:hanging="720"/>
        <w:rPr>
          <w:szCs w:val="24"/>
        </w:rPr>
      </w:pPr>
      <w:r w:rsidRPr="003B4362">
        <w:rPr>
          <w:szCs w:val="24"/>
        </w:rPr>
        <w:t>iii)</w:t>
      </w:r>
      <w:r w:rsidRPr="003B4362">
        <w:rPr>
          <w:szCs w:val="24"/>
        </w:rPr>
        <w:tab/>
      </w:r>
      <w:bookmarkStart w:id="2080" w:name="_Hlk122368643"/>
      <w:r w:rsidR="0007549A" w:rsidRPr="003B4362">
        <w:rPr>
          <w:szCs w:val="24"/>
        </w:rPr>
        <w:t>The supplier</w:t>
      </w:r>
      <w:bookmarkStart w:id="2081" w:name="_Hlk122369558"/>
      <w:r w:rsidR="0007549A" w:rsidRPr="003B4362">
        <w:rPr>
          <w:szCs w:val="24"/>
        </w:rPr>
        <w:t xml:space="preserve"> must use wide-mouthed bottles</w:t>
      </w:r>
      <w:r w:rsidR="00CF6928" w:rsidRPr="003B4362">
        <w:rPr>
          <w:szCs w:val="24"/>
        </w:rPr>
        <w:t xml:space="preserve"> to collect these samples</w:t>
      </w:r>
      <w:bookmarkEnd w:id="2080"/>
      <w:bookmarkEnd w:id="2081"/>
      <w:r w:rsidR="00CF6928" w:rsidRPr="003B4362">
        <w:rPr>
          <w:szCs w:val="24"/>
        </w:rPr>
        <w:t xml:space="preserve">.  </w:t>
      </w:r>
      <w:bookmarkStart w:id="2082" w:name="_Hlk122369703"/>
      <w:r w:rsidR="00A51BD7" w:rsidRPr="003B4362">
        <w:rPr>
          <w:szCs w:val="24"/>
        </w:rPr>
        <w:t>The supplier</w:t>
      </w:r>
      <w:r w:rsidR="00CF6928" w:rsidRPr="003B4362">
        <w:rPr>
          <w:szCs w:val="24"/>
        </w:rPr>
        <w:t xml:space="preserve"> must collect</w:t>
      </w:r>
      <w:bookmarkEnd w:id="2082"/>
      <w:r w:rsidR="00CF6928" w:rsidRPr="003B4362">
        <w:rPr>
          <w:szCs w:val="24"/>
        </w:rPr>
        <w:t xml:space="preserve"> </w:t>
      </w:r>
      <w:bookmarkStart w:id="2083" w:name="_Hlk122369949"/>
      <w:r w:rsidR="00A51BD7" w:rsidRPr="003B4362">
        <w:rPr>
          <w:szCs w:val="24"/>
        </w:rPr>
        <w:t xml:space="preserve">the </w:t>
      </w:r>
      <w:r w:rsidR="00CF6928" w:rsidRPr="003B4362">
        <w:rPr>
          <w:szCs w:val="24"/>
        </w:rPr>
        <w:t>first</w:t>
      </w:r>
      <w:r w:rsidR="00A51BD7" w:rsidRPr="003B4362">
        <w:rPr>
          <w:szCs w:val="24"/>
        </w:rPr>
        <w:t>-</w:t>
      </w:r>
      <w:r w:rsidR="00CF6928" w:rsidRPr="003B4362">
        <w:rPr>
          <w:szCs w:val="24"/>
        </w:rPr>
        <w:t xml:space="preserve">draw </w:t>
      </w:r>
      <w:r w:rsidR="00442711" w:rsidRPr="003B4362">
        <w:rPr>
          <w:szCs w:val="24"/>
        </w:rPr>
        <w:t xml:space="preserve">tap </w:t>
      </w:r>
      <w:r w:rsidR="00CF6928" w:rsidRPr="003B4362">
        <w:rPr>
          <w:szCs w:val="24"/>
        </w:rPr>
        <w:t>sample</w:t>
      </w:r>
      <w:bookmarkEnd w:id="2083"/>
      <w:r w:rsidR="00CF6928" w:rsidRPr="003B4362">
        <w:rPr>
          <w:szCs w:val="24"/>
        </w:rPr>
        <w:t xml:space="preserve"> in the first </w:t>
      </w:r>
      <w:r w:rsidR="007764D4" w:rsidRPr="003B4362">
        <w:rPr>
          <w:szCs w:val="24"/>
        </w:rPr>
        <w:t>numbered</w:t>
      </w:r>
      <w:r w:rsidR="00442711" w:rsidRPr="003B4362">
        <w:rPr>
          <w:szCs w:val="24"/>
        </w:rPr>
        <w:t xml:space="preserve"> bottle</w:t>
      </w:r>
      <w:r w:rsidR="007764D4" w:rsidRPr="003B4362">
        <w:rPr>
          <w:szCs w:val="24"/>
        </w:rPr>
        <w:t>,</w:t>
      </w:r>
      <w:r w:rsidR="00CF6928" w:rsidRPr="003B4362">
        <w:rPr>
          <w:szCs w:val="24"/>
        </w:rPr>
        <w:t xml:space="preserve"> </w:t>
      </w:r>
      <w:bookmarkStart w:id="2084" w:name="_Hlk122370571"/>
      <w:bookmarkStart w:id="2085" w:name="_Hlk122370178"/>
      <w:r w:rsidR="007764D4" w:rsidRPr="003B4362">
        <w:rPr>
          <w:szCs w:val="24"/>
        </w:rPr>
        <w:t>then sequentially fill each</w:t>
      </w:r>
      <w:r w:rsidR="00CF6928" w:rsidRPr="003B4362">
        <w:rPr>
          <w:szCs w:val="24"/>
        </w:rPr>
        <w:t xml:space="preserve"> numbered bottle</w:t>
      </w:r>
      <w:bookmarkEnd w:id="2084"/>
      <w:r w:rsidR="00442711" w:rsidRPr="003B4362">
        <w:rPr>
          <w:szCs w:val="24"/>
        </w:rPr>
        <w:t xml:space="preserve"> </w:t>
      </w:r>
      <w:bookmarkStart w:id="2086" w:name="_Hlk122371555"/>
      <w:r w:rsidR="00CF6928" w:rsidRPr="003B4362">
        <w:rPr>
          <w:szCs w:val="24"/>
        </w:rPr>
        <w:t xml:space="preserve">until </w:t>
      </w:r>
      <w:bookmarkStart w:id="2087" w:name="_Hlk122370950"/>
      <w:r w:rsidR="00CF6928" w:rsidRPr="003B4362">
        <w:rPr>
          <w:szCs w:val="24"/>
        </w:rPr>
        <w:t xml:space="preserve">the final bottle is </w:t>
      </w:r>
      <w:bookmarkEnd w:id="2085"/>
      <w:bookmarkEnd w:id="2087"/>
      <w:r w:rsidR="00442711" w:rsidRPr="003B4362">
        <w:rPr>
          <w:szCs w:val="24"/>
        </w:rPr>
        <w:t>full</w:t>
      </w:r>
      <w:r w:rsidR="00CF6928" w:rsidRPr="003B4362">
        <w:rPr>
          <w:szCs w:val="24"/>
        </w:rPr>
        <w:t xml:space="preserve"> with the </w:t>
      </w:r>
      <w:r w:rsidR="00442711" w:rsidRPr="003B4362">
        <w:rPr>
          <w:szCs w:val="24"/>
        </w:rPr>
        <w:t xml:space="preserve">fifth-liter </w:t>
      </w:r>
      <w:r w:rsidR="007A74AF" w:rsidRPr="003B4362">
        <w:rPr>
          <w:szCs w:val="24"/>
        </w:rPr>
        <w:t xml:space="preserve">tap </w:t>
      </w:r>
      <w:r w:rsidR="00442711" w:rsidRPr="003B4362">
        <w:rPr>
          <w:szCs w:val="24"/>
        </w:rPr>
        <w:t>sample</w:t>
      </w:r>
      <w:bookmarkEnd w:id="2086"/>
      <w:r w:rsidR="0031239B" w:rsidRPr="003B4362">
        <w:rPr>
          <w:szCs w:val="24"/>
        </w:rPr>
        <w:t>,</w:t>
      </w:r>
      <w:r w:rsidR="00442711" w:rsidRPr="003B4362">
        <w:rPr>
          <w:szCs w:val="24"/>
        </w:rPr>
        <w:t xml:space="preserve"> </w:t>
      </w:r>
      <w:bookmarkStart w:id="2088" w:name="_Hlk122371722"/>
      <w:r w:rsidR="00CF6928" w:rsidRPr="003B4362">
        <w:rPr>
          <w:szCs w:val="24"/>
        </w:rPr>
        <w:t xml:space="preserve">constantly </w:t>
      </w:r>
      <w:r w:rsidR="0031239B" w:rsidRPr="003B4362">
        <w:rPr>
          <w:szCs w:val="24"/>
        </w:rPr>
        <w:t xml:space="preserve">running the water while </w:t>
      </w:r>
      <w:r w:rsidR="0031239B" w:rsidRPr="003B4362">
        <w:rPr>
          <w:szCs w:val="24"/>
        </w:rPr>
        <w:lastRenderedPageBreak/>
        <w:t xml:space="preserve">collecting the </w:t>
      </w:r>
      <w:r w:rsidR="00CF6928" w:rsidRPr="003B4362">
        <w:rPr>
          <w:szCs w:val="24"/>
        </w:rPr>
        <w:t>sample</w:t>
      </w:r>
      <w:r w:rsidR="0031239B" w:rsidRPr="003B4362">
        <w:rPr>
          <w:szCs w:val="24"/>
        </w:rPr>
        <w:t>s</w:t>
      </w:r>
      <w:bookmarkEnd w:id="2088"/>
      <w:r w:rsidR="00CF6928" w:rsidRPr="003B4362">
        <w:rPr>
          <w:szCs w:val="24"/>
        </w:rPr>
        <w:t xml:space="preserve">.  </w:t>
      </w:r>
      <w:bookmarkStart w:id="2089" w:name="_Hlk122372157"/>
      <w:r w:rsidR="00182873" w:rsidRPr="003B4362">
        <w:rPr>
          <w:szCs w:val="24"/>
        </w:rPr>
        <w:t>T</w:t>
      </w:r>
      <w:bookmarkStart w:id="2090" w:name="_Hlk122372198"/>
      <w:r w:rsidR="00182873" w:rsidRPr="003B4362">
        <w:rPr>
          <w:szCs w:val="24"/>
        </w:rPr>
        <w:t>he f</w:t>
      </w:r>
      <w:r w:rsidR="00CF6928" w:rsidRPr="003B4362">
        <w:rPr>
          <w:szCs w:val="24"/>
        </w:rPr>
        <w:t>ifth</w:t>
      </w:r>
      <w:r w:rsidR="00182873" w:rsidRPr="003B4362">
        <w:rPr>
          <w:szCs w:val="24"/>
        </w:rPr>
        <w:t>-</w:t>
      </w:r>
      <w:r w:rsidR="00CF6928" w:rsidRPr="003B4362">
        <w:rPr>
          <w:szCs w:val="24"/>
        </w:rPr>
        <w:t xml:space="preserve">liter </w:t>
      </w:r>
      <w:r w:rsidR="007A74AF" w:rsidRPr="003B4362">
        <w:rPr>
          <w:szCs w:val="24"/>
        </w:rPr>
        <w:t xml:space="preserve">tap </w:t>
      </w:r>
      <w:r w:rsidR="00CF6928" w:rsidRPr="003B4362">
        <w:rPr>
          <w:szCs w:val="24"/>
        </w:rPr>
        <w:t>sample</w:t>
      </w:r>
      <w:bookmarkEnd w:id="2089"/>
      <w:bookmarkEnd w:id="2090"/>
      <w:r w:rsidR="00CF6928" w:rsidRPr="003B4362">
        <w:rPr>
          <w:szCs w:val="24"/>
        </w:rPr>
        <w:t xml:space="preserve"> is the final sample collected in this sequence.</w:t>
      </w:r>
    </w:p>
    <w:p w14:paraId="1F87843B" w14:textId="5F2635DD" w:rsidR="0027378D" w:rsidRPr="003B4362" w:rsidRDefault="00182873" w:rsidP="005451CE">
      <w:pPr>
        <w:spacing w:before="240" w:after="240"/>
        <w:ind w:left="3600" w:hanging="720"/>
        <w:rPr>
          <w:szCs w:val="24"/>
        </w:rPr>
      </w:pPr>
      <w:r w:rsidRPr="003B4362">
        <w:rPr>
          <w:szCs w:val="24"/>
        </w:rPr>
        <w:t>iv)</w:t>
      </w:r>
      <w:r w:rsidRPr="003B4362">
        <w:rPr>
          <w:szCs w:val="24"/>
        </w:rPr>
        <w:tab/>
      </w:r>
      <w:r w:rsidR="001D7D65" w:rsidRPr="003B4362">
        <w:rPr>
          <w:szCs w:val="24"/>
        </w:rPr>
        <w:t>The supplier</w:t>
      </w:r>
      <w:r w:rsidR="00CF6928" w:rsidRPr="003B4362">
        <w:rPr>
          <w:szCs w:val="24"/>
        </w:rPr>
        <w:t xml:space="preserve"> must collect </w:t>
      </w:r>
      <w:bookmarkStart w:id="2091" w:name="_Hlk122372898"/>
      <w:r w:rsidR="00CF6928" w:rsidRPr="003B4362">
        <w:rPr>
          <w:szCs w:val="24"/>
        </w:rPr>
        <w:t>first</w:t>
      </w:r>
      <w:r w:rsidR="001D7D65" w:rsidRPr="003B4362">
        <w:rPr>
          <w:szCs w:val="24"/>
        </w:rPr>
        <w:t>-</w:t>
      </w:r>
      <w:r w:rsidR="00CF6928" w:rsidRPr="003B4362">
        <w:rPr>
          <w:szCs w:val="24"/>
        </w:rPr>
        <w:t>draw and fifth</w:t>
      </w:r>
      <w:r w:rsidR="001D7D65" w:rsidRPr="003B4362">
        <w:rPr>
          <w:szCs w:val="24"/>
        </w:rPr>
        <w:t>-</w:t>
      </w:r>
      <w:r w:rsidR="00CF6928" w:rsidRPr="003B4362">
        <w:rPr>
          <w:szCs w:val="24"/>
        </w:rPr>
        <w:t xml:space="preserve">liter </w:t>
      </w:r>
      <w:r w:rsidR="007A74AF" w:rsidRPr="003B4362">
        <w:rPr>
          <w:szCs w:val="24"/>
        </w:rPr>
        <w:t xml:space="preserve">tap </w:t>
      </w:r>
      <w:r w:rsidR="00CF6928" w:rsidRPr="003B4362">
        <w:rPr>
          <w:szCs w:val="24"/>
        </w:rPr>
        <w:t>samples</w:t>
      </w:r>
      <w:bookmarkEnd w:id="2091"/>
      <w:r w:rsidR="00CF6928" w:rsidRPr="003B4362">
        <w:rPr>
          <w:szCs w:val="24"/>
        </w:rPr>
        <w:t xml:space="preserve"> from residential housing from the cold-water kitchen or bathroom sink tap</w:t>
      </w:r>
      <w:r w:rsidR="001D7D65" w:rsidRPr="003B4362">
        <w:rPr>
          <w:szCs w:val="24"/>
        </w:rPr>
        <w:t xml:space="preserve">. </w:t>
      </w:r>
      <w:r w:rsidR="00CF6928" w:rsidRPr="003B4362">
        <w:rPr>
          <w:szCs w:val="24"/>
        </w:rPr>
        <w:t xml:space="preserve"> </w:t>
      </w:r>
      <w:r w:rsidR="00E952A1" w:rsidRPr="003B4362">
        <w:rPr>
          <w:szCs w:val="24"/>
        </w:rPr>
        <w:t>T</w:t>
      </w:r>
      <w:bookmarkStart w:id="2092" w:name="_Hlk122375796"/>
      <w:r w:rsidR="00E952A1" w:rsidRPr="003B4362">
        <w:rPr>
          <w:szCs w:val="24"/>
        </w:rPr>
        <w:t>he supplier must collect f</w:t>
      </w:r>
      <w:r w:rsidR="00CF6928" w:rsidRPr="003B4362">
        <w:rPr>
          <w:szCs w:val="24"/>
        </w:rPr>
        <w:t>irst</w:t>
      </w:r>
      <w:r w:rsidR="00E952A1" w:rsidRPr="003B4362">
        <w:rPr>
          <w:szCs w:val="24"/>
        </w:rPr>
        <w:t>-</w:t>
      </w:r>
      <w:r w:rsidR="00CF6928" w:rsidRPr="003B4362">
        <w:rPr>
          <w:szCs w:val="24"/>
        </w:rPr>
        <w:t>draw and fifth</w:t>
      </w:r>
      <w:r w:rsidR="00E952A1" w:rsidRPr="003B4362">
        <w:rPr>
          <w:szCs w:val="24"/>
        </w:rPr>
        <w:t>-</w:t>
      </w:r>
      <w:r w:rsidR="00CF6928" w:rsidRPr="003B4362">
        <w:rPr>
          <w:szCs w:val="24"/>
        </w:rPr>
        <w:t xml:space="preserve">liter </w:t>
      </w:r>
      <w:r w:rsidR="00DA276B" w:rsidRPr="003B4362">
        <w:rPr>
          <w:szCs w:val="24"/>
        </w:rPr>
        <w:t xml:space="preserve">tap </w:t>
      </w:r>
      <w:r w:rsidR="00CF6928" w:rsidRPr="003B4362">
        <w:rPr>
          <w:szCs w:val="24"/>
        </w:rPr>
        <w:t>samples from a nonresidential building</w:t>
      </w:r>
      <w:bookmarkEnd w:id="2092"/>
      <w:r w:rsidR="00E952A1" w:rsidRPr="003B4362">
        <w:rPr>
          <w:szCs w:val="24"/>
        </w:rPr>
        <w:t xml:space="preserve"> </w:t>
      </w:r>
      <w:r w:rsidR="00CF6928" w:rsidRPr="003B4362">
        <w:rPr>
          <w:szCs w:val="24"/>
        </w:rPr>
        <w:t xml:space="preserve">at an interior </w:t>
      </w:r>
      <w:bookmarkStart w:id="2093" w:name="_Hlk122376107"/>
      <w:r w:rsidR="00CF6928" w:rsidRPr="003B4362">
        <w:rPr>
          <w:szCs w:val="24"/>
        </w:rPr>
        <w:t>cold water tap</w:t>
      </w:r>
      <w:r w:rsidR="00E952A1" w:rsidRPr="003B4362">
        <w:rPr>
          <w:szCs w:val="24"/>
        </w:rPr>
        <w:t xml:space="preserve"> </w:t>
      </w:r>
      <w:r w:rsidR="00CF6928" w:rsidRPr="003B4362">
        <w:rPr>
          <w:szCs w:val="24"/>
        </w:rPr>
        <w:t xml:space="preserve">typically </w:t>
      </w:r>
      <w:r w:rsidR="00E952A1" w:rsidRPr="003B4362">
        <w:rPr>
          <w:szCs w:val="24"/>
        </w:rPr>
        <w:t>used</w:t>
      </w:r>
      <w:r w:rsidR="00CF6928" w:rsidRPr="003B4362">
        <w:rPr>
          <w:szCs w:val="24"/>
        </w:rPr>
        <w:t xml:space="preserve"> for consum</w:t>
      </w:r>
      <w:r w:rsidR="00D1722C" w:rsidRPr="003B4362">
        <w:rPr>
          <w:szCs w:val="24"/>
        </w:rPr>
        <w:t>ing water</w:t>
      </w:r>
      <w:bookmarkEnd w:id="2093"/>
      <w:r w:rsidR="00CF6928" w:rsidRPr="003B4362">
        <w:rPr>
          <w:szCs w:val="24"/>
        </w:rPr>
        <w:t xml:space="preserve">.  </w:t>
      </w:r>
    </w:p>
    <w:p w14:paraId="45456CAC" w14:textId="648D58A9" w:rsidR="008D6A18" w:rsidRPr="003B4362" w:rsidRDefault="0027378D" w:rsidP="005451CE">
      <w:pPr>
        <w:spacing w:before="240" w:after="240"/>
        <w:ind w:left="3600" w:hanging="720"/>
        <w:rPr>
          <w:szCs w:val="24"/>
        </w:rPr>
      </w:pPr>
      <w:r w:rsidRPr="003B4362">
        <w:rPr>
          <w:szCs w:val="24"/>
        </w:rPr>
        <w:t>v)</w:t>
      </w:r>
      <w:r w:rsidRPr="003B4362">
        <w:rPr>
          <w:szCs w:val="24"/>
        </w:rPr>
        <w:tab/>
      </w:r>
      <w:bookmarkStart w:id="2094" w:name="_Hlk122376496"/>
      <w:r w:rsidRPr="003B4362">
        <w:rPr>
          <w:szCs w:val="24"/>
        </w:rPr>
        <w:t>T</w:t>
      </w:r>
      <w:bookmarkStart w:id="2095" w:name="_Hlk122376699"/>
      <w:r w:rsidRPr="003B4362">
        <w:rPr>
          <w:szCs w:val="24"/>
        </w:rPr>
        <w:t>he supplier may itself collect f</w:t>
      </w:r>
      <w:r w:rsidR="00CF6928" w:rsidRPr="003B4362">
        <w:rPr>
          <w:szCs w:val="24"/>
        </w:rPr>
        <w:t>irst</w:t>
      </w:r>
      <w:r w:rsidRPr="003B4362">
        <w:rPr>
          <w:szCs w:val="24"/>
        </w:rPr>
        <w:t>-</w:t>
      </w:r>
      <w:r w:rsidR="00CF6928" w:rsidRPr="003B4362">
        <w:rPr>
          <w:szCs w:val="24"/>
        </w:rPr>
        <w:t>draw and fifth</w:t>
      </w:r>
      <w:r w:rsidRPr="003B4362">
        <w:rPr>
          <w:szCs w:val="24"/>
        </w:rPr>
        <w:t>-</w:t>
      </w:r>
      <w:r w:rsidR="00CF6928" w:rsidRPr="003B4362">
        <w:rPr>
          <w:szCs w:val="24"/>
        </w:rPr>
        <w:t xml:space="preserve">liter </w:t>
      </w:r>
      <w:r w:rsidR="00DA276B" w:rsidRPr="003B4362">
        <w:rPr>
          <w:szCs w:val="24"/>
        </w:rPr>
        <w:t xml:space="preserve">tap </w:t>
      </w:r>
      <w:r w:rsidR="00CF6928" w:rsidRPr="003B4362">
        <w:rPr>
          <w:szCs w:val="24"/>
        </w:rPr>
        <w:t>samples</w:t>
      </w:r>
      <w:bookmarkStart w:id="2096" w:name="_Hlk122376549"/>
      <w:bookmarkEnd w:id="2094"/>
      <w:r w:rsidRPr="003B4362">
        <w:rPr>
          <w:szCs w:val="24"/>
        </w:rPr>
        <w:t xml:space="preserve"> </w:t>
      </w:r>
      <w:r w:rsidR="00CF6928" w:rsidRPr="003B4362">
        <w:rPr>
          <w:szCs w:val="24"/>
        </w:rPr>
        <w:t>or</w:t>
      </w:r>
      <w:r w:rsidRPr="003B4362">
        <w:rPr>
          <w:szCs w:val="24"/>
        </w:rPr>
        <w:t xml:space="preserve"> </w:t>
      </w:r>
      <w:r w:rsidR="00CF6928" w:rsidRPr="003B4362">
        <w:rPr>
          <w:szCs w:val="24"/>
        </w:rPr>
        <w:t xml:space="preserve">allow residents to collect </w:t>
      </w:r>
      <w:bookmarkEnd w:id="2096"/>
      <w:r w:rsidRPr="003B4362">
        <w:rPr>
          <w:szCs w:val="24"/>
        </w:rPr>
        <w:t>the</w:t>
      </w:r>
      <w:r w:rsidR="00CF6928" w:rsidRPr="003B4362">
        <w:rPr>
          <w:szCs w:val="24"/>
        </w:rPr>
        <w:t xml:space="preserve"> samples</w:t>
      </w:r>
      <w:bookmarkEnd w:id="2095"/>
      <w:r w:rsidR="00CF6928" w:rsidRPr="003B4362">
        <w:rPr>
          <w:szCs w:val="24"/>
        </w:rPr>
        <w:t xml:space="preserve"> after instructing the residents on the sampling </w:t>
      </w:r>
      <w:bookmarkStart w:id="2097" w:name="_Hlk122376866"/>
      <w:r w:rsidR="00CF6928" w:rsidRPr="003B4362">
        <w:rPr>
          <w:szCs w:val="24"/>
        </w:rPr>
        <w:t>procedures</w:t>
      </w:r>
      <w:r w:rsidRPr="003B4362">
        <w:rPr>
          <w:szCs w:val="24"/>
        </w:rPr>
        <w:t xml:space="preserve"> </w:t>
      </w:r>
      <w:r w:rsidR="00CF6928" w:rsidRPr="003B4362">
        <w:rPr>
          <w:szCs w:val="24"/>
        </w:rPr>
        <w:t>in this subsection (b)(3)(B)</w:t>
      </w:r>
      <w:bookmarkEnd w:id="2097"/>
      <w:r w:rsidR="00CF6928" w:rsidRPr="003B4362">
        <w:rPr>
          <w:szCs w:val="24"/>
        </w:rPr>
        <w:t xml:space="preserve">.  </w:t>
      </w:r>
      <w:r w:rsidR="00760BF9" w:rsidRPr="003B4362">
        <w:rPr>
          <w:szCs w:val="24"/>
        </w:rPr>
        <w:t>T</w:t>
      </w:r>
      <w:bookmarkStart w:id="2098" w:name="_Hlk122377543"/>
      <w:r w:rsidR="00760BF9" w:rsidRPr="003B4362">
        <w:rPr>
          <w:szCs w:val="24"/>
        </w:rPr>
        <w:t>he s</w:t>
      </w:r>
      <w:r w:rsidR="00CF6928" w:rsidRPr="003B4362">
        <w:rPr>
          <w:szCs w:val="24"/>
        </w:rPr>
        <w:t xml:space="preserve">ampling instructions </w:t>
      </w:r>
      <w:r w:rsidR="00760BF9" w:rsidRPr="003B4362">
        <w:rPr>
          <w:szCs w:val="24"/>
        </w:rPr>
        <w:t xml:space="preserve">the supplier </w:t>
      </w:r>
      <w:r w:rsidR="00CF6928" w:rsidRPr="003B4362">
        <w:rPr>
          <w:szCs w:val="24"/>
        </w:rPr>
        <w:t>provide</w:t>
      </w:r>
      <w:r w:rsidR="00760BF9" w:rsidRPr="003B4362">
        <w:rPr>
          <w:szCs w:val="24"/>
        </w:rPr>
        <w:t>s</w:t>
      </w:r>
      <w:r w:rsidR="00CF6928" w:rsidRPr="003B4362">
        <w:rPr>
          <w:szCs w:val="24"/>
        </w:rPr>
        <w:t xml:space="preserve"> to customers</w:t>
      </w:r>
      <w:bookmarkEnd w:id="2098"/>
      <w:r w:rsidR="00CF6928" w:rsidRPr="003B4362">
        <w:rPr>
          <w:szCs w:val="24"/>
        </w:rPr>
        <w:t xml:space="preserve"> must not direct the customer to remove the aerator or clean or flush the taps </w:t>
      </w:r>
      <w:bookmarkStart w:id="2099" w:name="_Hlk122377641"/>
      <w:r w:rsidR="00760BF9" w:rsidRPr="003B4362">
        <w:rPr>
          <w:szCs w:val="24"/>
        </w:rPr>
        <w:t xml:space="preserve">before </w:t>
      </w:r>
      <w:r w:rsidR="00CF6928" w:rsidRPr="003B4362">
        <w:rPr>
          <w:szCs w:val="24"/>
        </w:rPr>
        <w:t>the minimum six-hour stagnation period</w:t>
      </w:r>
      <w:r w:rsidR="00760BF9" w:rsidRPr="003B4362">
        <w:rPr>
          <w:szCs w:val="24"/>
        </w:rPr>
        <w:t xml:space="preserve"> begins</w:t>
      </w:r>
      <w:bookmarkEnd w:id="2099"/>
      <w:r w:rsidR="00CF6928" w:rsidRPr="003B4362">
        <w:rPr>
          <w:szCs w:val="24"/>
        </w:rPr>
        <w:t xml:space="preserve">.  To avoid </w:t>
      </w:r>
      <w:bookmarkStart w:id="2100" w:name="_Hlk122377855"/>
      <w:r w:rsidR="00CF6928" w:rsidRPr="003B4362">
        <w:rPr>
          <w:szCs w:val="24"/>
        </w:rPr>
        <w:t xml:space="preserve">problems </w:t>
      </w:r>
      <w:r w:rsidR="000E0AFF" w:rsidRPr="003B4362">
        <w:rPr>
          <w:szCs w:val="24"/>
        </w:rPr>
        <w:t>from</w:t>
      </w:r>
      <w:r w:rsidR="00CF6928" w:rsidRPr="003B4362">
        <w:rPr>
          <w:szCs w:val="24"/>
        </w:rPr>
        <w:t xml:space="preserve"> residents handling</w:t>
      </w:r>
      <w:bookmarkEnd w:id="2100"/>
      <w:r w:rsidR="00CF6928" w:rsidRPr="003B4362">
        <w:rPr>
          <w:szCs w:val="24"/>
        </w:rPr>
        <w:t xml:space="preserve"> nitric acid, the </w:t>
      </w:r>
      <w:r w:rsidR="000E0AFF" w:rsidRPr="003B4362">
        <w:rPr>
          <w:szCs w:val="24"/>
        </w:rPr>
        <w:t>supplier</w:t>
      </w:r>
      <w:r w:rsidR="00CF6928" w:rsidRPr="003B4362">
        <w:rPr>
          <w:szCs w:val="24"/>
        </w:rPr>
        <w:t xml:space="preserve"> may acidify </w:t>
      </w:r>
      <w:bookmarkStart w:id="2101" w:name="_Hlk122439912"/>
      <w:r w:rsidR="00CF6928" w:rsidRPr="003B4362">
        <w:rPr>
          <w:szCs w:val="24"/>
        </w:rPr>
        <w:t>first</w:t>
      </w:r>
      <w:r w:rsidR="00C21B0F" w:rsidRPr="003B4362">
        <w:rPr>
          <w:szCs w:val="24"/>
        </w:rPr>
        <w:t>-</w:t>
      </w:r>
      <w:r w:rsidR="00CF6928" w:rsidRPr="003B4362">
        <w:rPr>
          <w:szCs w:val="24"/>
        </w:rPr>
        <w:t xml:space="preserve">draw </w:t>
      </w:r>
      <w:r w:rsidR="00DA276B" w:rsidRPr="003B4362">
        <w:rPr>
          <w:szCs w:val="24"/>
        </w:rPr>
        <w:t xml:space="preserve">tap </w:t>
      </w:r>
      <w:r w:rsidR="00CF6928" w:rsidRPr="003B4362">
        <w:rPr>
          <w:szCs w:val="24"/>
        </w:rPr>
        <w:t>samples</w:t>
      </w:r>
      <w:bookmarkEnd w:id="2101"/>
      <w:r w:rsidR="00CF6928" w:rsidRPr="003B4362">
        <w:rPr>
          <w:szCs w:val="24"/>
        </w:rPr>
        <w:t xml:space="preserve"> up to 14 days </w:t>
      </w:r>
      <w:bookmarkStart w:id="2102" w:name="_Hlk122377973"/>
      <w:r w:rsidR="00CF6928" w:rsidRPr="003B4362">
        <w:rPr>
          <w:szCs w:val="24"/>
        </w:rPr>
        <w:t xml:space="preserve">after the </w:t>
      </w:r>
      <w:r w:rsidR="000E0AFF" w:rsidRPr="003B4362">
        <w:rPr>
          <w:szCs w:val="24"/>
        </w:rPr>
        <w:t xml:space="preserve">resident collects the </w:t>
      </w:r>
      <w:r w:rsidR="00CF6928" w:rsidRPr="003B4362">
        <w:rPr>
          <w:szCs w:val="24"/>
        </w:rPr>
        <w:t>sample</w:t>
      </w:r>
      <w:bookmarkEnd w:id="2102"/>
      <w:r w:rsidR="00CF6928" w:rsidRPr="003B4362">
        <w:rPr>
          <w:szCs w:val="24"/>
        </w:rPr>
        <w:t>.  A</w:t>
      </w:r>
      <w:bookmarkStart w:id="2103" w:name="_Hlk122378797"/>
      <w:bookmarkStart w:id="2104" w:name="_Hlk122378125"/>
      <w:r w:rsidR="00CF6928" w:rsidRPr="003B4362">
        <w:rPr>
          <w:szCs w:val="24"/>
        </w:rPr>
        <w:t xml:space="preserve">fter </w:t>
      </w:r>
      <w:r w:rsidR="00AE7E80" w:rsidRPr="003B4362">
        <w:rPr>
          <w:szCs w:val="24"/>
        </w:rPr>
        <w:t xml:space="preserve">the supplier </w:t>
      </w:r>
      <w:r w:rsidR="00CF6928" w:rsidRPr="003B4362">
        <w:rPr>
          <w:szCs w:val="24"/>
        </w:rPr>
        <w:t>acidifi</w:t>
      </w:r>
      <w:r w:rsidR="00AE7E80" w:rsidRPr="003B4362">
        <w:rPr>
          <w:szCs w:val="24"/>
        </w:rPr>
        <w:t>es the sample</w:t>
      </w:r>
      <w:bookmarkEnd w:id="2103"/>
      <w:r w:rsidR="00CF6928" w:rsidRPr="003B4362">
        <w:rPr>
          <w:szCs w:val="24"/>
        </w:rPr>
        <w:t xml:space="preserve"> to resolubilize the metals</w:t>
      </w:r>
      <w:bookmarkEnd w:id="2104"/>
      <w:r w:rsidR="00CF6928" w:rsidRPr="003B4362">
        <w:rPr>
          <w:szCs w:val="24"/>
        </w:rPr>
        <w:t xml:space="preserve">, the sample must stand in </w:t>
      </w:r>
      <w:r w:rsidR="00527D81" w:rsidRPr="003B4362">
        <w:rPr>
          <w:szCs w:val="24"/>
        </w:rPr>
        <w:t>its</w:t>
      </w:r>
      <w:r w:rsidR="00CF6928" w:rsidRPr="003B4362">
        <w:rPr>
          <w:szCs w:val="24"/>
        </w:rPr>
        <w:t xml:space="preserve"> original container for </w:t>
      </w:r>
      <w:bookmarkStart w:id="2105" w:name="_Hlk122379199"/>
      <w:r w:rsidR="00CF6928" w:rsidRPr="003B4362">
        <w:rPr>
          <w:szCs w:val="24"/>
        </w:rPr>
        <w:t xml:space="preserve">the time </w:t>
      </w:r>
      <w:r w:rsidR="00527D81" w:rsidRPr="003B4362">
        <w:rPr>
          <w:szCs w:val="24"/>
        </w:rPr>
        <w:t>a USEPA-</w:t>
      </w:r>
      <w:r w:rsidR="00CF6928" w:rsidRPr="003B4362">
        <w:rPr>
          <w:szCs w:val="24"/>
        </w:rPr>
        <w:t>approved</w:t>
      </w:r>
      <w:r w:rsidR="00527D81" w:rsidRPr="003B4362">
        <w:rPr>
          <w:szCs w:val="24"/>
        </w:rPr>
        <w:t xml:space="preserve"> </w:t>
      </w:r>
      <w:r w:rsidR="00CF6928" w:rsidRPr="003B4362">
        <w:rPr>
          <w:szCs w:val="24"/>
        </w:rPr>
        <w:t xml:space="preserve">method </w:t>
      </w:r>
      <w:r w:rsidR="00527D81" w:rsidRPr="003B4362">
        <w:rPr>
          <w:szCs w:val="24"/>
        </w:rPr>
        <w:t>provides</w:t>
      </w:r>
      <w:bookmarkStart w:id="2106" w:name="_Hlk122379093"/>
      <w:r w:rsidR="00527D81" w:rsidRPr="003B4362">
        <w:rPr>
          <w:szCs w:val="24"/>
        </w:rPr>
        <w:t xml:space="preserve"> </w:t>
      </w:r>
      <w:bookmarkEnd w:id="2106"/>
      <w:r w:rsidR="00CF6928" w:rsidRPr="003B4362">
        <w:rPr>
          <w:szCs w:val="24"/>
        </w:rPr>
        <w:t>before</w:t>
      </w:r>
      <w:r w:rsidR="00527D81" w:rsidRPr="003B4362">
        <w:rPr>
          <w:szCs w:val="24"/>
        </w:rPr>
        <w:t xml:space="preserve"> </w:t>
      </w:r>
      <w:r w:rsidR="00CF6928" w:rsidRPr="003B4362">
        <w:rPr>
          <w:szCs w:val="24"/>
        </w:rPr>
        <w:t>analy</w:t>
      </w:r>
      <w:r w:rsidR="00527D81" w:rsidRPr="003B4362">
        <w:rPr>
          <w:szCs w:val="24"/>
        </w:rPr>
        <w:t>sis</w:t>
      </w:r>
      <w:bookmarkEnd w:id="2105"/>
      <w:r w:rsidR="00CF6928" w:rsidRPr="003B4362">
        <w:rPr>
          <w:szCs w:val="24"/>
        </w:rPr>
        <w:t>.  I</w:t>
      </w:r>
      <w:bookmarkStart w:id="2107" w:name="_Hlk122379271"/>
      <w:bookmarkStart w:id="2108" w:name="_Hlk122379305"/>
      <w:r w:rsidR="00CF6928" w:rsidRPr="003B4362">
        <w:rPr>
          <w:szCs w:val="24"/>
        </w:rPr>
        <w:t xml:space="preserve">f </w:t>
      </w:r>
      <w:bookmarkEnd w:id="2107"/>
      <w:r w:rsidR="00527D81" w:rsidRPr="003B4362">
        <w:rPr>
          <w:szCs w:val="24"/>
        </w:rPr>
        <w:t xml:space="preserve">the </w:t>
      </w:r>
      <w:bookmarkStart w:id="2109" w:name="_Hlk122379572"/>
      <w:r w:rsidR="00527D81" w:rsidRPr="003B4362">
        <w:rPr>
          <w:szCs w:val="24"/>
        </w:rPr>
        <w:t>supplier</w:t>
      </w:r>
      <w:bookmarkEnd w:id="2108"/>
      <w:bookmarkEnd w:id="2109"/>
      <w:r w:rsidR="00CF6928" w:rsidRPr="003B4362">
        <w:rPr>
          <w:szCs w:val="24"/>
        </w:rPr>
        <w:t xml:space="preserve"> allows residents </w:t>
      </w:r>
      <w:bookmarkStart w:id="2110" w:name="_Hlk122379354"/>
      <w:r w:rsidR="00CF6928" w:rsidRPr="003B4362">
        <w:rPr>
          <w:szCs w:val="24"/>
        </w:rPr>
        <w:t>to sampl</w:t>
      </w:r>
      <w:bookmarkEnd w:id="2110"/>
      <w:r w:rsidR="00527D81" w:rsidRPr="003B4362">
        <w:rPr>
          <w:szCs w:val="24"/>
        </w:rPr>
        <w:t>e</w:t>
      </w:r>
      <w:r w:rsidR="00CF6928" w:rsidRPr="003B4362">
        <w:rPr>
          <w:szCs w:val="24"/>
        </w:rPr>
        <w:t xml:space="preserve">, the </w:t>
      </w:r>
      <w:r w:rsidR="00527D81" w:rsidRPr="003B4362">
        <w:rPr>
          <w:szCs w:val="24"/>
        </w:rPr>
        <w:t>supplier</w:t>
      </w:r>
      <w:r w:rsidR="00CF6928" w:rsidRPr="003B4362">
        <w:rPr>
          <w:szCs w:val="24"/>
        </w:rPr>
        <w:t xml:space="preserve"> may not challenge the accuracy of sampling results</w:t>
      </w:r>
      <w:bookmarkStart w:id="2111" w:name="_Hlk122379629"/>
      <w:r w:rsidR="006C5EFE" w:rsidRPr="003B4362">
        <w:rPr>
          <w:szCs w:val="24"/>
        </w:rPr>
        <w:t xml:space="preserve"> </w:t>
      </w:r>
      <w:bookmarkStart w:id="2112" w:name="_Hlk122379772"/>
      <w:r w:rsidR="006C5EFE" w:rsidRPr="003B4362">
        <w:rPr>
          <w:szCs w:val="24"/>
        </w:rPr>
        <w:t>based on alleged errors collecting sample</w:t>
      </w:r>
      <w:bookmarkEnd w:id="2111"/>
      <w:r w:rsidR="006C5EFE" w:rsidRPr="003B4362">
        <w:rPr>
          <w:szCs w:val="24"/>
        </w:rPr>
        <w:t>s</w:t>
      </w:r>
      <w:bookmarkEnd w:id="2112"/>
      <w:r w:rsidR="00CF6928" w:rsidRPr="003B4362">
        <w:rPr>
          <w:szCs w:val="24"/>
        </w:rPr>
        <w:t>.</w:t>
      </w:r>
    </w:p>
    <w:p w14:paraId="659367DE" w14:textId="17D72E82"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Follow-Up First-Draw Tap Samples</w:t>
      </w:r>
    </w:p>
    <w:p w14:paraId="63048CC8" w14:textId="0B474A95"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A supplier must collect each </w:t>
      </w:r>
      <w:bookmarkStart w:id="2113" w:name="_Hlk122380529"/>
      <w:r w:rsidRPr="003B4362">
        <w:rPr>
          <w:rFonts w:eastAsia="Calibri"/>
        </w:rPr>
        <w:t xml:space="preserve">follow-up </w:t>
      </w:r>
      <w:bookmarkEnd w:id="2113"/>
      <w:r w:rsidRPr="003B4362">
        <w:rPr>
          <w:rFonts w:eastAsia="Calibri"/>
        </w:rPr>
        <w:t>first-draw tap sample from the same sampling site where the previous sample originated.</w:t>
      </w:r>
      <w:r w:rsidR="00FE67D4" w:rsidRPr="003B4362">
        <w:rPr>
          <w:szCs w:val="24"/>
        </w:rPr>
        <w:t xml:space="preserve">  A supplier must collect </w:t>
      </w:r>
      <w:bookmarkStart w:id="2114" w:name="_Hlk122380553"/>
      <w:r w:rsidR="00FE67D4" w:rsidRPr="003B4362">
        <w:rPr>
          <w:szCs w:val="24"/>
        </w:rPr>
        <w:t xml:space="preserve">each </w:t>
      </w:r>
      <w:r w:rsidR="00FE67D4" w:rsidRPr="003B4362">
        <w:rPr>
          <w:rFonts w:eastAsia="Calibri"/>
        </w:rPr>
        <w:t xml:space="preserve">follow-up </w:t>
      </w:r>
      <w:r w:rsidR="00FE67D4" w:rsidRPr="003B4362">
        <w:rPr>
          <w:szCs w:val="24"/>
        </w:rPr>
        <w:t xml:space="preserve">fifth-liter </w:t>
      </w:r>
      <w:r w:rsidR="00DA276B" w:rsidRPr="003B4362">
        <w:rPr>
          <w:szCs w:val="24"/>
        </w:rPr>
        <w:t xml:space="preserve">tap </w:t>
      </w:r>
      <w:r w:rsidR="00FE67D4" w:rsidRPr="003B4362">
        <w:rPr>
          <w:szCs w:val="24"/>
        </w:rPr>
        <w:t>sample</w:t>
      </w:r>
      <w:bookmarkEnd w:id="2114"/>
      <w:r w:rsidR="00FE67D4" w:rsidRPr="003B4362">
        <w:rPr>
          <w:szCs w:val="24"/>
        </w:rPr>
        <w:t xml:space="preserve"> from the same sampling site </w:t>
      </w:r>
      <w:r w:rsidR="00FE67D4" w:rsidRPr="003B4362">
        <w:rPr>
          <w:rFonts w:eastAsia="Calibri"/>
        </w:rPr>
        <w:t>where</w:t>
      </w:r>
      <w:r w:rsidR="00FE67D4" w:rsidRPr="003B4362">
        <w:rPr>
          <w:szCs w:val="24"/>
        </w:rPr>
        <w:t xml:space="preserve"> the previous sample</w:t>
      </w:r>
      <w:r w:rsidR="00FE67D4" w:rsidRPr="003B4362">
        <w:rPr>
          <w:rFonts w:eastAsia="Calibri"/>
        </w:rPr>
        <w:t xml:space="preserve"> originated</w:t>
      </w:r>
      <w:r w:rsidR="00FE67D4" w:rsidRPr="003B4362">
        <w:rPr>
          <w:szCs w:val="24"/>
        </w:rPr>
        <w:t>.</w:t>
      </w:r>
    </w:p>
    <w:p w14:paraId="4099CC64" w14:textId="75E45D19"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If the supplier cannot access a sampling site to collect a follow-up tap sample</w:t>
      </w:r>
      <w:r w:rsidR="00D91D26" w:rsidRPr="003B4362">
        <w:rPr>
          <w:szCs w:val="24"/>
        </w:rPr>
        <w:t xml:space="preserve"> </w:t>
      </w:r>
      <w:bookmarkStart w:id="2115" w:name="_Hlk122382512"/>
      <w:r w:rsidR="00D91D26" w:rsidRPr="003B4362">
        <w:rPr>
          <w:szCs w:val="24"/>
        </w:rPr>
        <w:t>for reasons beyond the control of the supplier</w:t>
      </w:r>
      <w:bookmarkEnd w:id="2115"/>
      <w:r w:rsidRPr="003B4362">
        <w:rPr>
          <w:rFonts w:eastAsia="Calibri"/>
        </w:rPr>
        <w:t>, the supplier may collect the follow-up tap sample from another sampling site in its sampling pool, as long as the new site meets the same targeting criteria and is within reasonable proximity of the original site.</w:t>
      </w:r>
    </w:p>
    <w:p w14:paraId="6742FC35" w14:textId="1167FADA" w:rsidR="005451CE" w:rsidRPr="003B4362" w:rsidRDefault="005451CE" w:rsidP="005451CE">
      <w:pPr>
        <w:spacing w:before="240" w:after="240"/>
        <w:ind w:left="2160" w:hanging="720"/>
        <w:rPr>
          <w:rFonts w:eastAsia="Calibri"/>
        </w:rPr>
      </w:pPr>
      <w:r w:rsidRPr="003B4362">
        <w:rPr>
          <w:rFonts w:eastAsia="Calibri"/>
        </w:rPr>
        <w:t>5)</w:t>
      </w:r>
      <w:r w:rsidRPr="003B4362">
        <w:rPr>
          <w:rFonts w:eastAsia="Calibri"/>
        </w:rPr>
        <w:tab/>
      </w:r>
      <w:bookmarkStart w:id="2116" w:name="_Hlk121944233"/>
      <w:r w:rsidRPr="003B4362">
        <w:rPr>
          <w:rFonts w:eastAsia="Calibri"/>
        </w:rPr>
        <w:t xml:space="preserve">Substitute Non-First-Draw </w:t>
      </w:r>
      <w:r w:rsidR="00145614" w:rsidRPr="003B4362">
        <w:rPr>
          <w:rFonts w:eastAsia="Calibri"/>
        </w:rPr>
        <w:t xml:space="preserve">Tap </w:t>
      </w:r>
      <w:r w:rsidRPr="003B4362">
        <w:rPr>
          <w:rFonts w:eastAsia="Calibri"/>
        </w:rPr>
        <w:t>Samples</w:t>
      </w:r>
      <w:bookmarkEnd w:id="2116"/>
    </w:p>
    <w:p w14:paraId="0FD25BF7" w14:textId="2AB77027"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A NTNCWS supplier or a CWS </w:t>
      </w:r>
      <w:bookmarkStart w:id="2117" w:name="_Hlk114681851"/>
      <w:r w:rsidRPr="003B4362">
        <w:rPr>
          <w:rFonts w:eastAsia="Calibri"/>
        </w:rPr>
        <w:t xml:space="preserve">supplier meeting the criteria in </w:t>
      </w:r>
      <w:bookmarkStart w:id="2118" w:name="_Hlk114681987"/>
      <w:r w:rsidRPr="003B4362">
        <w:rPr>
          <w:rFonts w:eastAsia="Calibri"/>
        </w:rPr>
        <w:t>Sections 611.355(b)(7)(A) and (b)(7)(B)</w:t>
      </w:r>
      <w:bookmarkStart w:id="2119" w:name="_Hlk114682019"/>
      <w:bookmarkEnd w:id="2117"/>
      <w:bookmarkEnd w:id="2118"/>
      <w:r w:rsidRPr="003B4362">
        <w:rPr>
          <w:rFonts w:eastAsia="Calibri"/>
        </w:rPr>
        <w:t xml:space="preserve"> not having enough taps for first-draw </w:t>
      </w:r>
      <w:r w:rsidR="00145614" w:rsidRPr="003B4362">
        <w:rPr>
          <w:rFonts w:eastAsia="Calibri"/>
        </w:rPr>
        <w:t xml:space="preserve">tap </w:t>
      </w:r>
      <w:r w:rsidRPr="003B4362">
        <w:rPr>
          <w:rFonts w:eastAsia="Calibri"/>
        </w:rPr>
        <w:t>samples</w:t>
      </w:r>
      <w:bookmarkEnd w:id="2119"/>
      <w:r w:rsidR="000A593C" w:rsidRPr="003B4362">
        <w:rPr>
          <w:szCs w:val="24"/>
        </w:rPr>
        <w:t xml:space="preserve"> or </w:t>
      </w:r>
      <w:bookmarkStart w:id="2120" w:name="_Hlk122429679"/>
      <w:r w:rsidR="000A593C" w:rsidRPr="003B4362">
        <w:rPr>
          <w:szCs w:val="24"/>
        </w:rPr>
        <w:t>fifth</w:t>
      </w:r>
      <w:r w:rsidR="00C2711B" w:rsidRPr="003B4362">
        <w:rPr>
          <w:szCs w:val="24"/>
        </w:rPr>
        <w:t>-</w:t>
      </w:r>
      <w:r w:rsidR="000A593C" w:rsidRPr="003B4362">
        <w:rPr>
          <w:szCs w:val="24"/>
        </w:rPr>
        <w:t xml:space="preserve">liter </w:t>
      </w:r>
      <w:r w:rsidR="00DA276B" w:rsidRPr="003B4362">
        <w:rPr>
          <w:szCs w:val="24"/>
        </w:rPr>
        <w:t xml:space="preserve">tap </w:t>
      </w:r>
      <w:r w:rsidR="000A593C" w:rsidRPr="003B4362">
        <w:rPr>
          <w:szCs w:val="24"/>
        </w:rPr>
        <w:t>samples</w:t>
      </w:r>
      <w:bookmarkEnd w:id="2120"/>
      <w:r w:rsidR="00F76A4A" w:rsidRPr="003B4362">
        <w:rPr>
          <w:szCs w:val="24"/>
        </w:rPr>
        <w:t xml:space="preserve"> meeting the six-</w:t>
      </w:r>
      <w:r w:rsidR="00F76A4A" w:rsidRPr="003B4362">
        <w:rPr>
          <w:szCs w:val="24"/>
        </w:rPr>
        <w:lastRenderedPageBreak/>
        <w:t>hour minimum stagnation time</w:t>
      </w:r>
      <w:r w:rsidRPr="003B4362">
        <w:rPr>
          <w:rFonts w:eastAsia="Calibri"/>
        </w:rPr>
        <w:t xml:space="preserve"> may </w:t>
      </w:r>
      <w:bookmarkStart w:id="2121" w:name="_Hlk114682146"/>
      <w:r w:rsidRPr="003B4362">
        <w:rPr>
          <w:rFonts w:eastAsia="Calibri"/>
        </w:rPr>
        <w:t>apply to the Agency in writing for a SEP allowing the supplier to substitute non-first-draw</w:t>
      </w:r>
      <w:r w:rsidR="00C05B06" w:rsidRPr="003B4362">
        <w:rPr>
          <w:szCs w:val="24"/>
        </w:rPr>
        <w:t>, first-draw, or fifth-liter</w:t>
      </w:r>
      <w:r w:rsidRPr="003B4362">
        <w:rPr>
          <w:rFonts w:eastAsia="Calibri"/>
        </w:rPr>
        <w:t xml:space="preserve"> </w:t>
      </w:r>
      <w:r w:rsidR="00145614" w:rsidRPr="003B4362">
        <w:rPr>
          <w:rFonts w:eastAsia="Calibri"/>
        </w:rPr>
        <w:t xml:space="preserve">tap </w:t>
      </w:r>
      <w:r w:rsidRPr="003B4362">
        <w:rPr>
          <w:rFonts w:eastAsia="Calibri"/>
        </w:rPr>
        <w:t>samples</w:t>
      </w:r>
      <w:r w:rsidR="000A593C" w:rsidRPr="003B4362">
        <w:rPr>
          <w:szCs w:val="24"/>
        </w:rPr>
        <w:t xml:space="preserve"> that do not meet the six-hour minimum stagnation time</w:t>
      </w:r>
      <w:bookmarkEnd w:id="2121"/>
      <w:r w:rsidRPr="003B4362">
        <w:rPr>
          <w:rFonts w:eastAsia="Calibri"/>
        </w:rPr>
        <w:t>.</w:t>
      </w:r>
    </w:p>
    <w:p w14:paraId="141EDCFD" w14:textId="08B07830"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A supplier approved to substitute non-first-draw </w:t>
      </w:r>
      <w:r w:rsidR="003F427A" w:rsidRPr="003B4362">
        <w:rPr>
          <w:rFonts w:eastAsia="Calibri"/>
        </w:rPr>
        <w:t xml:space="preserve">tap </w:t>
      </w:r>
      <w:r w:rsidRPr="003B4362">
        <w:rPr>
          <w:rFonts w:eastAsia="Calibri"/>
        </w:rPr>
        <w:t xml:space="preserve">samples must collect as many </w:t>
      </w:r>
      <w:bookmarkStart w:id="2122" w:name="_Hlk122442952"/>
      <w:r w:rsidR="00C759CC" w:rsidRPr="003B4362">
        <w:rPr>
          <w:szCs w:val="24"/>
        </w:rPr>
        <w:t xml:space="preserve">first-draw </w:t>
      </w:r>
      <w:r w:rsidR="000975FC" w:rsidRPr="003B4362">
        <w:rPr>
          <w:szCs w:val="24"/>
        </w:rPr>
        <w:t xml:space="preserve">or fifth-liter </w:t>
      </w:r>
      <w:r w:rsidR="003F427A" w:rsidRPr="003B4362">
        <w:rPr>
          <w:rFonts w:eastAsia="Calibri"/>
        </w:rPr>
        <w:t xml:space="preserve">tap </w:t>
      </w:r>
      <w:r w:rsidRPr="003B4362">
        <w:rPr>
          <w:rFonts w:eastAsia="Calibri"/>
        </w:rPr>
        <w:t>samples</w:t>
      </w:r>
      <w:bookmarkEnd w:id="2122"/>
      <w:r w:rsidRPr="003B4362">
        <w:rPr>
          <w:rFonts w:eastAsia="Calibri"/>
        </w:rPr>
        <w:t xml:space="preserve"> from </w:t>
      </w:r>
      <w:r w:rsidR="00C759CC" w:rsidRPr="003B4362">
        <w:rPr>
          <w:szCs w:val="24"/>
        </w:rPr>
        <w:t xml:space="preserve">interior </w:t>
      </w:r>
      <w:r w:rsidRPr="003B4362">
        <w:rPr>
          <w:rFonts w:eastAsia="Calibri"/>
        </w:rPr>
        <w:t xml:space="preserve">taps </w:t>
      </w:r>
      <w:bookmarkStart w:id="2123" w:name="_Hlk122444309"/>
      <w:r w:rsidR="00C759CC" w:rsidRPr="003B4362">
        <w:rPr>
          <w:szCs w:val="24"/>
        </w:rPr>
        <w:t>typically used for consum</w:t>
      </w:r>
      <w:r w:rsidR="000975FC" w:rsidRPr="003B4362">
        <w:rPr>
          <w:szCs w:val="24"/>
        </w:rPr>
        <w:t>ing water</w:t>
      </w:r>
      <w:bookmarkEnd w:id="2123"/>
      <w:r w:rsidR="00C759CC" w:rsidRPr="003B4362">
        <w:rPr>
          <w:szCs w:val="24"/>
        </w:rPr>
        <w:t xml:space="preserve">, </w:t>
      </w:r>
      <w:r w:rsidRPr="003B4362">
        <w:rPr>
          <w:rFonts w:eastAsia="Calibri"/>
        </w:rPr>
        <w:t xml:space="preserve">as possible and </w:t>
      </w:r>
      <w:r w:rsidR="00C759CC" w:rsidRPr="003B4362">
        <w:rPr>
          <w:szCs w:val="24"/>
        </w:rPr>
        <w:t xml:space="preserve">must </w:t>
      </w:r>
      <w:r w:rsidRPr="003B4362">
        <w:rPr>
          <w:rFonts w:eastAsia="Calibri"/>
        </w:rPr>
        <w:t xml:space="preserve">identify sampling times and </w:t>
      </w:r>
      <w:bookmarkStart w:id="2124" w:name="_Hlk114682220"/>
      <w:r w:rsidRPr="003B4362">
        <w:rPr>
          <w:rFonts w:eastAsia="Calibri"/>
        </w:rPr>
        <w:t>locations that likely give the longest standing time</w:t>
      </w:r>
      <w:bookmarkEnd w:id="2124"/>
      <w:r w:rsidRPr="003B4362">
        <w:rPr>
          <w:rFonts w:eastAsia="Calibri"/>
        </w:rPr>
        <w:t xml:space="preserve"> for the remaining sites.</w:t>
      </w:r>
    </w:p>
    <w:p w14:paraId="7F10899B" w14:textId="6AE4F04C"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The Agency may grant </w:t>
      </w:r>
      <w:bookmarkStart w:id="2125" w:name="_Hlk114682306"/>
      <w:r w:rsidRPr="003B4362">
        <w:rPr>
          <w:rFonts w:eastAsia="Calibri"/>
        </w:rPr>
        <w:t>a SEP waiving the requirement</w:t>
      </w:r>
      <w:bookmarkEnd w:id="2125"/>
      <w:r w:rsidRPr="003B4362">
        <w:rPr>
          <w:rFonts w:eastAsia="Calibri"/>
        </w:rPr>
        <w:t xml:space="preserve"> for prior </w:t>
      </w:r>
      <w:bookmarkStart w:id="2126" w:name="_Hlk114682365"/>
      <w:r w:rsidRPr="003B4362">
        <w:rPr>
          <w:rFonts w:eastAsia="Calibri"/>
        </w:rPr>
        <w:t>Agency approval of sites</w:t>
      </w:r>
      <w:r w:rsidR="00C759CC" w:rsidRPr="003B4362">
        <w:rPr>
          <w:rFonts w:eastAsia="Calibri"/>
        </w:rPr>
        <w:t xml:space="preserve"> </w:t>
      </w:r>
      <w:r w:rsidR="00C759CC" w:rsidRPr="003B4362">
        <w:rPr>
          <w:szCs w:val="24"/>
        </w:rPr>
        <w:t xml:space="preserve">not meeting </w:t>
      </w:r>
      <w:r w:rsidRPr="003B4362">
        <w:rPr>
          <w:rFonts w:eastAsia="Calibri"/>
        </w:rPr>
        <w:t>the</w:t>
      </w:r>
      <w:r w:rsidR="00C759CC" w:rsidRPr="003B4362">
        <w:rPr>
          <w:szCs w:val="24"/>
        </w:rPr>
        <w:t xml:space="preserve"> six-hour stagnation time</w:t>
      </w:r>
      <w:bookmarkEnd w:id="2126"/>
      <w:r w:rsidRPr="003B4362">
        <w:rPr>
          <w:rFonts w:eastAsia="Calibri"/>
        </w:rPr>
        <w:t>.</w:t>
      </w:r>
    </w:p>
    <w:p w14:paraId="387C0C40" w14:textId="77777777" w:rsidR="005451CE" w:rsidRPr="003B4362" w:rsidRDefault="005451CE" w:rsidP="005451CE">
      <w:pPr>
        <w:spacing w:before="240" w:after="240"/>
        <w:ind w:left="1440" w:hanging="720"/>
        <w:rPr>
          <w:rFonts w:eastAsia="Calibri"/>
        </w:rPr>
      </w:pPr>
      <w:r w:rsidRPr="003B4362">
        <w:rPr>
          <w:rFonts w:eastAsia="Calibri"/>
        </w:rPr>
        <w:t>c)</w:t>
      </w:r>
      <w:r w:rsidRPr="003B4362">
        <w:rPr>
          <w:rFonts w:eastAsia="Calibri"/>
        </w:rPr>
        <w:tab/>
        <w:t>Number of Samples</w:t>
      </w:r>
    </w:p>
    <w:p w14:paraId="09EEC05B" w14:textId="2B2DD5A8"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A supplier must collect at least one sample each from the number of sites in the first column of Table D (labelled “standard monitoring”) during each six-month </w:t>
      </w:r>
      <w:r w:rsidR="000F2A0C" w:rsidRPr="003B4362">
        <w:rPr>
          <w:rFonts w:eastAsia="Calibri"/>
        </w:rPr>
        <w:t xml:space="preserve">tap </w:t>
      </w:r>
      <w:r w:rsidRPr="003B4362">
        <w:rPr>
          <w:rFonts w:eastAsia="Calibri"/>
        </w:rPr>
        <w:t xml:space="preserve">monitoring </w:t>
      </w:r>
      <w:r w:rsidR="004A3D5D" w:rsidRPr="003B4362">
        <w:rPr>
          <w:rFonts w:eastAsia="Calibri"/>
        </w:rPr>
        <w:t xml:space="preserve">cycle </w:t>
      </w:r>
      <w:r w:rsidRPr="003B4362">
        <w:rPr>
          <w:rFonts w:eastAsia="Calibri"/>
        </w:rPr>
        <w:t>subsection (d) specifies.</w:t>
      </w:r>
    </w:p>
    <w:p w14:paraId="27561304" w14:textId="75CDF83D"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A supplier conducting reduced monitoring </w:t>
      </w:r>
      <w:bookmarkStart w:id="2127" w:name="_Hlk26368517"/>
      <w:r w:rsidRPr="003B4362">
        <w:rPr>
          <w:rFonts w:eastAsia="Calibri"/>
        </w:rPr>
        <w:t xml:space="preserve">under </w:t>
      </w:r>
      <w:bookmarkEnd w:id="2127"/>
      <w:r w:rsidRPr="003B4362">
        <w:rPr>
          <w:rFonts w:eastAsia="Calibri"/>
        </w:rPr>
        <w:t xml:space="preserve">subsection (d)(4) must collect </w:t>
      </w:r>
      <w:r w:rsidR="00DF18F8" w:rsidRPr="003B4362">
        <w:rPr>
          <w:rFonts w:eastAsia="Calibri"/>
        </w:rPr>
        <w:t xml:space="preserve">at least </w:t>
      </w:r>
      <w:r w:rsidRPr="003B4362">
        <w:rPr>
          <w:rFonts w:eastAsia="Calibri"/>
        </w:rPr>
        <w:t xml:space="preserve">one sample each from the number of sites in the second column of Table D (labelled “reduced monitoring”) during each reduced </w:t>
      </w:r>
      <w:r w:rsidR="004804DB" w:rsidRPr="003B4362">
        <w:rPr>
          <w:rFonts w:eastAsia="Calibri"/>
        </w:rPr>
        <w:t xml:space="preserve">tap monitoring </w:t>
      </w:r>
      <w:r w:rsidR="00A437BD" w:rsidRPr="003B4362">
        <w:rPr>
          <w:rFonts w:eastAsia="Calibri"/>
        </w:rPr>
        <w:t xml:space="preserve">cycle </w:t>
      </w:r>
      <w:r w:rsidRPr="003B4362">
        <w:rPr>
          <w:rFonts w:eastAsia="Calibri"/>
        </w:rPr>
        <w:t>subsection (d)(4) specifies.  T</w:t>
      </w:r>
      <w:bookmarkStart w:id="2128" w:name="_Hlk114747465"/>
      <w:r w:rsidRPr="003B4362">
        <w:rPr>
          <w:rFonts w:eastAsia="Calibri"/>
        </w:rPr>
        <w:t>he reduced monitoring sites</w:t>
      </w:r>
      <w:bookmarkStart w:id="2129" w:name="_Hlk114756060"/>
      <w:bookmarkEnd w:id="2128"/>
      <w:r w:rsidRPr="003B4362">
        <w:rPr>
          <w:rFonts w:eastAsia="Calibri"/>
        </w:rPr>
        <w:t xml:space="preserve"> must represent the sites standard monitoring</w:t>
      </w:r>
      <w:bookmarkEnd w:id="2129"/>
      <w:r w:rsidRPr="003B4362">
        <w:rPr>
          <w:rFonts w:eastAsia="Calibri"/>
        </w:rPr>
        <w:t xml:space="preserve"> requires.  A supplier whose system has fewer than five </w:t>
      </w:r>
      <w:bookmarkStart w:id="2130" w:name="_Hlk114756233"/>
      <w:r w:rsidRPr="003B4362">
        <w:rPr>
          <w:rFonts w:eastAsia="Calibri"/>
        </w:rPr>
        <w:t>drinking water taps capable of use for human consumption that meet the sampling site criteria</w:t>
      </w:r>
      <w:bookmarkStart w:id="2131" w:name="_Hlk114756336"/>
      <w:bookmarkEnd w:id="2130"/>
      <w:r w:rsidRPr="003B4362">
        <w:rPr>
          <w:rFonts w:eastAsia="Calibri"/>
        </w:rPr>
        <w:t xml:space="preserve"> of subsection (a) must collect multiple samples from individual taps to reach the required number of sampling sites Table D requires</w:t>
      </w:r>
      <w:bookmarkEnd w:id="2131"/>
      <w:r w:rsidRPr="003B4362">
        <w:rPr>
          <w:rFonts w:eastAsia="Calibri"/>
        </w:rPr>
        <w:t xml:space="preserve">.  To accomplish this, </w:t>
      </w:r>
      <w:bookmarkStart w:id="2132" w:name="_Hlk114760407"/>
      <w:r w:rsidRPr="003B4362">
        <w:rPr>
          <w:rFonts w:eastAsia="Calibri"/>
        </w:rPr>
        <w:t>the supplier must collect at least one sample from each tap, then additional samples from those taps on different days</w:t>
      </w:r>
      <w:bookmarkEnd w:id="2132"/>
      <w:r w:rsidRPr="003B4362">
        <w:rPr>
          <w:rFonts w:eastAsia="Calibri"/>
        </w:rPr>
        <w:t xml:space="preserve"> </w:t>
      </w:r>
      <w:bookmarkStart w:id="2133" w:name="_Hlk127912204"/>
      <w:r w:rsidRPr="003B4362">
        <w:rPr>
          <w:rFonts w:eastAsia="Calibri"/>
        </w:rPr>
        <w:t xml:space="preserve">during the </w:t>
      </w:r>
      <w:r w:rsidR="004804DB" w:rsidRPr="003B4362">
        <w:rPr>
          <w:rFonts w:eastAsia="Calibri"/>
        </w:rPr>
        <w:t xml:space="preserve">tap sampling </w:t>
      </w:r>
      <w:r w:rsidRPr="003B4362">
        <w:rPr>
          <w:rFonts w:eastAsia="Calibri"/>
        </w:rPr>
        <w:t>period</w:t>
      </w:r>
      <w:bookmarkEnd w:id="2133"/>
      <w:r w:rsidRPr="003B4362">
        <w:rPr>
          <w:rFonts w:eastAsia="Calibri"/>
        </w:rPr>
        <w:t xml:space="preserve">, </w:t>
      </w:r>
      <w:bookmarkStart w:id="2134" w:name="_Hlk114760516"/>
      <w:r w:rsidRPr="003B4362">
        <w:rPr>
          <w:rFonts w:eastAsia="Calibri"/>
        </w:rPr>
        <w:t>to collect</w:t>
      </w:r>
      <w:bookmarkEnd w:id="2134"/>
      <w:r w:rsidRPr="003B4362">
        <w:rPr>
          <w:rFonts w:eastAsia="Calibri"/>
        </w:rPr>
        <w:t xml:space="preserve"> a total </w:t>
      </w:r>
      <w:bookmarkStart w:id="2135" w:name="_Hlk114760560"/>
      <w:r w:rsidRPr="003B4362">
        <w:rPr>
          <w:rFonts w:eastAsia="Calibri"/>
        </w:rPr>
        <w:t>number of samples meeting the required number</w:t>
      </w:r>
      <w:bookmarkEnd w:id="2135"/>
      <w:r w:rsidRPr="003B4362">
        <w:rPr>
          <w:rFonts w:eastAsia="Calibri"/>
        </w:rPr>
        <w:t xml:space="preserve"> of sampling sites.  Alternatively, t</w:t>
      </w:r>
      <w:bookmarkStart w:id="2136" w:name="_Hlk114760606"/>
      <w:r w:rsidRPr="003B4362">
        <w:rPr>
          <w:rFonts w:eastAsia="Calibri"/>
        </w:rPr>
        <w:t>he Agency may issue a SEP allowing the supplier whose system has fewer than five drinking water taps to collect a number of samples that is fewer</w:t>
      </w:r>
      <w:bookmarkEnd w:id="2136"/>
      <w:r w:rsidRPr="003B4362">
        <w:rPr>
          <w:rFonts w:eastAsia="Calibri"/>
        </w:rPr>
        <w:t xml:space="preserve"> than </w:t>
      </w:r>
      <w:bookmarkStart w:id="2137" w:name="_Hlk114760734"/>
      <w:r w:rsidRPr="003B4362">
        <w:rPr>
          <w:rFonts w:eastAsia="Calibri"/>
        </w:rPr>
        <w:t>the number of sites this subsection (c) specifies</w:t>
      </w:r>
      <w:bookmarkEnd w:id="2137"/>
      <w:r w:rsidRPr="003B4362">
        <w:rPr>
          <w:rFonts w:eastAsia="Calibri"/>
        </w:rPr>
        <w:t xml:space="preserve"> </w:t>
      </w:r>
      <w:bookmarkStart w:id="2138" w:name="_Hlk114760891"/>
      <w:r w:rsidRPr="003B4362">
        <w:rPr>
          <w:rFonts w:eastAsia="Calibri"/>
        </w:rPr>
        <w:t xml:space="preserve">if the Agency determines that the supplier samples 100 percent of all taps capable of use for human consumption </w:t>
      </w:r>
      <w:bookmarkEnd w:id="2138"/>
      <w:r w:rsidRPr="003B4362">
        <w:rPr>
          <w:rFonts w:eastAsia="Calibri"/>
        </w:rPr>
        <w:t xml:space="preserve">and that the reduced number of samples will produce the </w:t>
      </w:r>
      <w:bookmarkStart w:id="2139" w:name="_Hlk114760980"/>
      <w:r w:rsidRPr="003B4362">
        <w:rPr>
          <w:rFonts w:eastAsia="Calibri"/>
        </w:rPr>
        <w:t>same results as collecting multiple samples from some taps</w:t>
      </w:r>
      <w:bookmarkEnd w:id="2139"/>
      <w:r w:rsidRPr="003B4362">
        <w:rPr>
          <w:rFonts w:eastAsia="Calibri"/>
        </w:rPr>
        <w:t>.  T</w:t>
      </w:r>
      <w:bookmarkStart w:id="2140" w:name="_Hlk114761036"/>
      <w:r w:rsidRPr="003B4362">
        <w:rPr>
          <w:rFonts w:eastAsia="Calibri"/>
        </w:rPr>
        <w:t>he Agency must base any</w:t>
      </w:r>
      <w:r w:rsidR="00E075DF" w:rsidRPr="003B4362">
        <w:rPr>
          <w:rFonts w:eastAsia="Calibri"/>
        </w:rPr>
        <w:t xml:space="preserve"> SEP approving</w:t>
      </w:r>
      <w:r w:rsidRPr="003B4362">
        <w:rPr>
          <w:rFonts w:eastAsia="Calibri"/>
        </w:rPr>
        <w:t xml:space="preserve"> </w:t>
      </w:r>
      <w:r w:rsidR="00B6060B" w:rsidRPr="003B4362">
        <w:rPr>
          <w:rFonts w:eastAsia="Calibri"/>
        </w:rPr>
        <w:t xml:space="preserve">a </w:t>
      </w:r>
      <w:r w:rsidRPr="003B4362">
        <w:rPr>
          <w:rFonts w:eastAsia="Calibri"/>
        </w:rPr>
        <w:t>reduc</w:t>
      </w:r>
      <w:r w:rsidR="00B6060B" w:rsidRPr="003B4362">
        <w:rPr>
          <w:rFonts w:eastAsia="Calibri"/>
        </w:rPr>
        <w:t>ed</w:t>
      </w:r>
      <w:r w:rsidRPr="003B4362">
        <w:rPr>
          <w:rFonts w:eastAsia="Calibri"/>
        </w:rPr>
        <w:t xml:space="preserve"> minimum number of samples on a request</w:t>
      </w:r>
      <w:bookmarkEnd w:id="2140"/>
      <w:r w:rsidRPr="003B4362">
        <w:rPr>
          <w:rFonts w:eastAsia="Calibri"/>
        </w:rPr>
        <w:t xml:space="preserve"> from the supplier or </w:t>
      </w:r>
      <w:bookmarkStart w:id="2141" w:name="_Hlk114761244"/>
      <w:r w:rsidRPr="003B4362">
        <w:rPr>
          <w:rFonts w:eastAsia="Calibri"/>
        </w:rPr>
        <w:t>Agency on on-site verification</w:t>
      </w:r>
      <w:bookmarkEnd w:id="2141"/>
      <w:r w:rsidRPr="003B4362">
        <w:rPr>
          <w:rFonts w:eastAsia="Calibri"/>
        </w:rPr>
        <w:t>.  T</w:t>
      </w:r>
      <w:bookmarkStart w:id="2142" w:name="_Hlk114761301"/>
      <w:r w:rsidRPr="003B4362">
        <w:rPr>
          <w:rFonts w:eastAsia="Calibri"/>
        </w:rPr>
        <w:t>he Agency may specify sampling locations in a SEP</w:t>
      </w:r>
      <w:bookmarkEnd w:id="2142"/>
      <w:r w:rsidRPr="003B4362">
        <w:rPr>
          <w:rFonts w:eastAsia="Calibri"/>
        </w:rPr>
        <w:t xml:space="preserve"> </w:t>
      </w:r>
      <w:bookmarkStart w:id="2143" w:name="_Hlk114761358"/>
      <w:r w:rsidRPr="003B4362">
        <w:rPr>
          <w:rFonts w:eastAsia="Calibri"/>
        </w:rPr>
        <w:t>when a system conducts reduced monitoring</w:t>
      </w:r>
      <w:bookmarkEnd w:id="2143"/>
      <w:r w:rsidRPr="003B4362">
        <w:rPr>
          <w:rFonts w:eastAsia="Calibri"/>
        </w:rPr>
        <w:t>.</w:t>
      </w:r>
    </w:p>
    <w:p w14:paraId="2C243D85" w14:textId="77777777" w:rsidR="005451CE" w:rsidRPr="003B4362" w:rsidRDefault="005451CE" w:rsidP="005451CE">
      <w:pPr>
        <w:spacing w:before="240" w:after="240"/>
        <w:ind w:left="1440" w:hanging="720"/>
        <w:rPr>
          <w:rFonts w:eastAsia="Calibri"/>
        </w:rPr>
      </w:pPr>
      <w:r w:rsidRPr="003B4362">
        <w:rPr>
          <w:rFonts w:eastAsia="Calibri"/>
        </w:rPr>
        <w:t>d)</w:t>
      </w:r>
      <w:r w:rsidRPr="003B4362">
        <w:rPr>
          <w:rFonts w:eastAsia="Calibri"/>
        </w:rPr>
        <w:tab/>
        <w:t>Timing of Monitoring</w:t>
      </w:r>
    </w:p>
    <w:p w14:paraId="391FB2A6" w14:textId="09FF2257" w:rsidR="00FF7417" w:rsidRPr="003B4362" w:rsidRDefault="00FF7417" w:rsidP="00FF7417">
      <w:pPr>
        <w:autoSpaceDE w:val="0"/>
        <w:autoSpaceDN w:val="0"/>
        <w:adjustRightInd w:val="0"/>
        <w:spacing w:before="240" w:after="240"/>
        <w:ind w:left="2160" w:hanging="720"/>
        <w:rPr>
          <w:rFonts w:eastAsia="Calibri"/>
          <w:szCs w:val="24"/>
        </w:rPr>
      </w:pPr>
      <w:r w:rsidRPr="003B4362">
        <w:rPr>
          <w:rFonts w:eastAsia="Calibri"/>
          <w:szCs w:val="24"/>
        </w:rPr>
        <w:lastRenderedPageBreak/>
        <w:t>1)</w:t>
      </w:r>
      <w:r w:rsidRPr="003B4362">
        <w:rPr>
          <w:rFonts w:eastAsia="Calibri"/>
          <w:szCs w:val="24"/>
        </w:rPr>
        <w:tab/>
        <w:t xml:space="preserve">Standard Monitoring.  Standard monitoring is a </w:t>
      </w:r>
      <w:bookmarkStart w:id="2144" w:name="_Hlk127912421"/>
      <w:r w:rsidRPr="003B4362">
        <w:rPr>
          <w:rFonts w:eastAsia="Calibri"/>
          <w:szCs w:val="24"/>
        </w:rPr>
        <w:t xml:space="preserve">six-month tap monitoring </w:t>
      </w:r>
      <w:bookmarkStart w:id="2145" w:name="_Hlk135646691"/>
      <w:bookmarkEnd w:id="2144"/>
      <w:r w:rsidR="00056A20" w:rsidRPr="003B4362">
        <w:rPr>
          <w:rFonts w:eastAsia="Calibri"/>
          <w:szCs w:val="24"/>
        </w:rPr>
        <w:t>cycle</w:t>
      </w:r>
      <w:bookmarkEnd w:id="2145"/>
      <w:r w:rsidRPr="003B4362">
        <w:rPr>
          <w:rFonts w:eastAsia="Calibri"/>
          <w:szCs w:val="24"/>
        </w:rPr>
        <w:t xml:space="preserve"> beginning on January 1 or July 1 of </w:t>
      </w:r>
      <w:bookmarkStart w:id="2146" w:name="_Hlk122445571"/>
      <w:bookmarkStart w:id="2147" w:name="_Hlk122445685"/>
      <w:r w:rsidRPr="003B4362">
        <w:rPr>
          <w:rFonts w:eastAsia="Calibri"/>
          <w:szCs w:val="24"/>
        </w:rPr>
        <w:t>a year during which the supplier monitor</w:t>
      </w:r>
      <w:bookmarkEnd w:id="2146"/>
      <w:r w:rsidRPr="003B4362">
        <w:rPr>
          <w:rFonts w:eastAsia="Calibri"/>
          <w:szCs w:val="24"/>
        </w:rPr>
        <w:t>s</w:t>
      </w:r>
      <w:bookmarkEnd w:id="2147"/>
      <w:r w:rsidRPr="003B4362">
        <w:rPr>
          <w:rFonts w:eastAsia="Calibri"/>
          <w:szCs w:val="24"/>
        </w:rPr>
        <w:t xml:space="preserve"> at the standard number of sites </w:t>
      </w:r>
      <w:bookmarkStart w:id="2148" w:name="_Hlk122445871"/>
      <w:r w:rsidRPr="003B4362">
        <w:rPr>
          <w:rFonts w:eastAsia="Calibri"/>
          <w:szCs w:val="24"/>
        </w:rPr>
        <w:t>under subsection (c)</w:t>
      </w:r>
      <w:bookmarkEnd w:id="2148"/>
      <w:r w:rsidRPr="003B4362">
        <w:rPr>
          <w:rFonts w:eastAsia="Calibri"/>
          <w:szCs w:val="24"/>
        </w:rPr>
        <w:t>.</w:t>
      </w:r>
    </w:p>
    <w:p w14:paraId="10156280" w14:textId="50B7390C" w:rsidR="00FF7417" w:rsidRPr="003B4362" w:rsidRDefault="00FF7417" w:rsidP="00FF741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bookmarkStart w:id="2149" w:name="_Hlk122446191"/>
      <w:r w:rsidR="005774E2" w:rsidRPr="003B4362">
        <w:rPr>
          <w:rFonts w:eastAsia="Calibri"/>
          <w:szCs w:val="24"/>
        </w:rPr>
        <w:t>A</w:t>
      </w:r>
      <w:bookmarkStart w:id="2150" w:name="_Hlk122446562"/>
      <w:r w:rsidR="005774E2" w:rsidRPr="003B4362">
        <w:rPr>
          <w:rFonts w:eastAsia="Calibri"/>
          <w:szCs w:val="24"/>
        </w:rPr>
        <w:t xml:space="preserve"> supplier having</w:t>
      </w:r>
      <w:r w:rsidRPr="003B4362">
        <w:rPr>
          <w:rFonts w:eastAsia="Calibri"/>
          <w:szCs w:val="24"/>
        </w:rPr>
        <w:t xml:space="preserve"> lead service lines</w:t>
      </w:r>
      <w:bookmarkEnd w:id="2149"/>
      <w:bookmarkEnd w:id="2150"/>
      <w:r w:rsidRPr="003B4362">
        <w:rPr>
          <w:rFonts w:eastAsia="Calibri"/>
          <w:szCs w:val="24"/>
        </w:rPr>
        <w:t xml:space="preserve">, including </w:t>
      </w:r>
      <w:bookmarkStart w:id="2151" w:name="_Hlk122446919"/>
      <w:bookmarkStart w:id="2152" w:name="_Hlk122447426"/>
      <w:r w:rsidR="005774E2" w:rsidRPr="003B4362">
        <w:rPr>
          <w:rFonts w:eastAsia="Calibri"/>
          <w:szCs w:val="24"/>
        </w:rPr>
        <w:t xml:space="preserve">a supplier </w:t>
      </w:r>
      <w:r w:rsidRPr="003B4362">
        <w:rPr>
          <w:rFonts w:eastAsia="Calibri"/>
          <w:szCs w:val="24"/>
        </w:rPr>
        <w:t xml:space="preserve">Section </w:t>
      </w:r>
      <w:r w:rsidR="00C9086A" w:rsidRPr="003B4362">
        <w:rPr>
          <w:rFonts w:eastAsia="Calibri"/>
          <w:szCs w:val="24"/>
        </w:rPr>
        <w:t>61</w:t>
      </w:r>
      <w:r w:rsidRPr="003B4362">
        <w:rPr>
          <w:rFonts w:eastAsia="Calibri"/>
          <w:szCs w:val="24"/>
        </w:rPr>
        <w:t>1.</w:t>
      </w:r>
      <w:r w:rsidR="00C9086A" w:rsidRPr="003B4362">
        <w:rPr>
          <w:rFonts w:eastAsia="Calibri"/>
          <w:szCs w:val="24"/>
        </w:rPr>
        <w:t>35</w:t>
      </w:r>
      <w:r w:rsidRPr="003B4362">
        <w:rPr>
          <w:rFonts w:eastAsia="Calibri"/>
          <w:szCs w:val="24"/>
        </w:rPr>
        <w:t>1(b)(3)</w:t>
      </w:r>
      <w:bookmarkEnd w:id="2151"/>
      <w:r w:rsidR="005774E2" w:rsidRPr="003B4362">
        <w:rPr>
          <w:rFonts w:eastAsia="Calibri"/>
          <w:szCs w:val="24"/>
        </w:rPr>
        <w:t xml:space="preserve"> deem</w:t>
      </w:r>
      <w:r w:rsidR="00C9086A" w:rsidRPr="003B4362">
        <w:rPr>
          <w:rFonts w:eastAsia="Calibri"/>
          <w:szCs w:val="24"/>
        </w:rPr>
        <w:t>s</w:t>
      </w:r>
      <w:r w:rsidR="005774E2" w:rsidRPr="003B4362">
        <w:rPr>
          <w:rFonts w:eastAsia="Calibri"/>
          <w:szCs w:val="24"/>
        </w:rPr>
        <w:t xml:space="preserve"> </w:t>
      </w:r>
      <w:r w:rsidR="00C9086A" w:rsidRPr="003B4362">
        <w:rPr>
          <w:rFonts w:eastAsia="Calibri"/>
          <w:szCs w:val="24"/>
        </w:rPr>
        <w:t xml:space="preserve">to have </w:t>
      </w:r>
      <w:r w:rsidR="005774E2" w:rsidRPr="003B4362">
        <w:rPr>
          <w:rFonts w:eastAsia="Calibri"/>
          <w:szCs w:val="24"/>
        </w:rPr>
        <w:t>optimized</w:t>
      </w:r>
      <w:r w:rsidR="00C9086A" w:rsidRPr="003B4362">
        <w:rPr>
          <w:rFonts w:eastAsia="Calibri"/>
          <w:szCs w:val="24"/>
        </w:rPr>
        <w:t xml:space="preserve"> or re-optimized OCCT</w:t>
      </w:r>
      <w:bookmarkStart w:id="2153" w:name="_Hlk122447480"/>
      <w:bookmarkEnd w:id="2152"/>
      <w:r w:rsidR="00106E0A" w:rsidRPr="003B4362">
        <w:rPr>
          <w:rFonts w:eastAsia="Calibri"/>
          <w:szCs w:val="24"/>
        </w:rPr>
        <w:t xml:space="preserve"> </w:t>
      </w:r>
      <w:bookmarkStart w:id="2154" w:name="_Hlk122451696"/>
      <w:r w:rsidR="00106E0A" w:rsidRPr="003B4362">
        <w:rPr>
          <w:rFonts w:eastAsia="Calibri"/>
          <w:szCs w:val="24"/>
        </w:rPr>
        <w:t>or</w:t>
      </w:r>
      <w:r w:rsidRPr="003B4362">
        <w:rPr>
          <w:rFonts w:eastAsia="Calibri"/>
          <w:szCs w:val="24"/>
        </w:rPr>
        <w:t xml:space="preserve"> </w:t>
      </w:r>
      <w:r w:rsidR="00106E0A" w:rsidRPr="003B4362">
        <w:rPr>
          <w:rFonts w:eastAsia="Calibri"/>
          <w:szCs w:val="24"/>
        </w:rPr>
        <w:t xml:space="preserve">a supplier </w:t>
      </w:r>
      <w:r w:rsidR="009D41DF" w:rsidRPr="003B4362">
        <w:rPr>
          <w:rFonts w:eastAsia="Calibri"/>
          <w:szCs w:val="24"/>
        </w:rPr>
        <w:t>that d</w:t>
      </w:r>
      <w:r w:rsidR="001E6486" w:rsidRPr="003B4362">
        <w:rPr>
          <w:rFonts w:eastAsia="Calibri"/>
          <w:szCs w:val="24"/>
        </w:rPr>
        <w:t>id</w:t>
      </w:r>
      <w:r w:rsidR="009D41DF" w:rsidRPr="003B4362">
        <w:rPr>
          <w:rFonts w:eastAsia="Calibri"/>
          <w:szCs w:val="24"/>
        </w:rPr>
        <w:t xml:space="preserve"> </w:t>
      </w:r>
      <w:r w:rsidRPr="003B4362">
        <w:rPr>
          <w:rFonts w:eastAsia="Calibri"/>
          <w:szCs w:val="24"/>
        </w:rPr>
        <w:t>not</w:t>
      </w:r>
      <w:r w:rsidR="00106E0A" w:rsidRPr="003B4362">
        <w:rPr>
          <w:rFonts w:eastAsia="Calibri"/>
          <w:szCs w:val="24"/>
        </w:rPr>
        <w:t xml:space="preserve"> </w:t>
      </w:r>
      <w:r w:rsidRPr="003B4362">
        <w:rPr>
          <w:rFonts w:eastAsia="Calibri"/>
          <w:szCs w:val="24"/>
        </w:rPr>
        <w:t xml:space="preserve">monitor </w:t>
      </w:r>
      <w:r w:rsidR="00106E0A" w:rsidRPr="003B4362">
        <w:rPr>
          <w:rFonts w:eastAsia="Calibri"/>
          <w:szCs w:val="24"/>
        </w:rPr>
        <w:t>compl</w:t>
      </w:r>
      <w:r w:rsidR="00D366B0" w:rsidRPr="003B4362">
        <w:rPr>
          <w:rFonts w:eastAsia="Calibri"/>
          <w:szCs w:val="24"/>
        </w:rPr>
        <w:t>ying</w:t>
      </w:r>
      <w:r w:rsidR="00106E0A" w:rsidRPr="003B4362">
        <w:rPr>
          <w:rFonts w:eastAsia="Calibri"/>
          <w:szCs w:val="24"/>
        </w:rPr>
        <w:t xml:space="preserve"> with</w:t>
      </w:r>
      <w:r w:rsidRPr="003B4362">
        <w:rPr>
          <w:rFonts w:eastAsia="Calibri"/>
          <w:szCs w:val="24"/>
        </w:rPr>
        <w:t xml:space="preserve"> this </w:t>
      </w:r>
      <w:r w:rsidR="00106E0A" w:rsidRPr="003B4362">
        <w:rPr>
          <w:rFonts w:eastAsia="Calibri"/>
          <w:szCs w:val="24"/>
        </w:rPr>
        <w:t>S</w:t>
      </w:r>
      <w:r w:rsidRPr="003B4362">
        <w:rPr>
          <w:rFonts w:eastAsia="Calibri"/>
          <w:szCs w:val="24"/>
        </w:rPr>
        <w:t>ection (</w:t>
      </w:r>
      <w:r w:rsidR="00D366B0" w:rsidRPr="003B4362">
        <w:rPr>
          <w:rFonts w:eastAsia="Calibri"/>
          <w:szCs w:val="24"/>
        </w:rPr>
        <w:t>i.e.</w:t>
      </w:r>
      <w:r w:rsidRPr="003B4362">
        <w:rPr>
          <w:rFonts w:eastAsia="Calibri"/>
          <w:szCs w:val="24"/>
        </w:rPr>
        <w:t xml:space="preserve">, </w:t>
      </w:r>
      <w:r w:rsidR="009D41DF" w:rsidRPr="003B4362">
        <w:rPr>
          <w:rFonts w:eastAsia="Calibri"/>
          <w:szCs w:val="24"/>
        </w:rPr>
        <w:t>select</w:t>
      </w:r>
      <w:r w:rsidR="00D366B0" w:rsidRPr="003B4362">
        <w:rPr>
          <w:rFonts w:eastAsia="Calibri"/>
          <w:szCs w:val="24"/>
        </w:rPr>
        <w:t>ing</w:t>
      </w:r>
      <w:r w:rsidR="009D41DF" w:rsidRPr="003B4362">
        <w:rPr>
          <w:rFonts w:eastAsia="Calibri"/>
          <w:szCs w:val="24"/>
        </w:rPr>
        <w:t xml:space="preserve"> </w:t>
      </w:r>
      <w:r w:rsidRPr="003B4362">
        <w:rPr>
          <w:rFonts w:eastAsia="Calibri"/>
          <w:szCs w:val="24"/>
        </w:rPr>
        <w:t xml:space="preserve">sites </w:t>
      </w:r>
      <w:r w:rsidR="009D41DF" w:rsidRPr="003B4362">
        <w:rPr>
          <w:rFonts w:eastAsia="Calibri"/>
          <w:szCs w:val="24"/>
        </w:rPr>
        <w:t>under</w:t>
      </w:r>
      <w:r w:rsidRPr="003B4362">
        <w:rPr>
          <w:rFonts w:eastAsia="Calibri"/>
          <w:szCs w:val="24"/>
        </w:rPr>
        <w:t xml:space="preserve"> subsection (a), </w:t>
      </w:r>
      <w:r w:rsidR="009D41DF" w:rsidRPr="003B4362">
        <w:rPr>
          <w:rFonts w:eastAsia="Calibri"/>
          <w:szCs w:val="24"/>
        </w:rPr>
        <w:t>collect</w:t>
      </w:r>
      <w:r w:rsidR="00D366B0" w:rsidRPr="003B4362">
        <w:rPr>
          <w:rFonts w:eastAsia="Calibri"/>
          <w:szCs w:val="24"/>
        </w:rPr>
        <w:t>ing</w:t>
      </w:r>
      <w:r w:rsidR="009D41DF" w:rsidRPr="003B4362">
        <w:rPr>
          <w:rFonts w:eastAsia="Calibri"/>
          <w:szCs w:val="24"/>
        </w:rPr>
        <w:t xml:space="preserve"> </w:t>
      </w:r>
      <w:r w:rsidRPr="003B4362">
        <w:rPr>
          <w:rFonts w:eastAsia="Calibri"/>
          <w:szCs w:val="24"/>
        </w:rPr>
        <w:t xml:space="preserve">samples </w:t>
      </w:r>
      <w:r w:rsidR="009D41DF" w:rsidRPr="003B4362">
        <w:rPr>
          <w:rFonts w:eastAsia="Calibri"/>
          <w:szCs w:val="24"/>
        </w:rPr>
        <w:t>under</w:t>
      </w:r>
      <w:r w:rsidRPr="003B4362">
        <w:rPr>
          <w:rFonts w:eastAsia="Calibri"/>
          <w:szCs w:val="24"/>
        </w:rPr>
        <w:t xml:space="preserve"> subsection (b), etc.) </w:t>
      </w:r>
      <w:r w:rsidR="009D41DF" w:rsidRPr="003B4362">
        <w:rPr>
          <w:rFonts w:eastAsia="Calibri"/>
          <w:szCs w:val="24"/>
        </w:rPr>
        <w:t>before</w:t>
      </w:r>
      <w:r w:rsidRPr="003B4362">
        <w:rPr>
          <w:rFonts w:eastAsia="Calibri"/>
          <w:szCs w:val="24"/>
        </w:rPr>
        <w:t xml:space="preserve"> January 16, 2024</w:t>
      </w:r>
      <w:bookmarkEnd w:id="2154"/>
      <w:r w:rsidRPr="003B4362">
        <w:rPr>
          <w:rFonts w:eastAsia="Calibri"/>
          <w:szCs w:val="24"/>
        </w:rPr>
        <w:t>,</w:t>
      </w:r>
      <w:bookmarkEnd w:id="2153"/>
      <w:r w:rsidRPr="003B4362">
        <w:rPr>
          <w:rFonts w:eastAsia="Calibri"/>
          <w:szCs w:val="24"/>
        </w:rPr>
        <w:t xml:space="preserve"> must </w:t>
      </w:r>
      <w:bookmarkStart w:id="2155" w:name="_Hlk122464126"/>
      <w:bookmarkStart w:id="2156" w:name="_Hlk122464370"/>
      <w:r w:rsidRPr="003B4362">
        <w:rPr>
          <w:rFonts w:eastAsia="Calibri"/>
          <w:szCs w:val="24"/>
        </w:rPr>
        <w:t xml:space="preserve">begin </w:t>
      </w:r>
      <w:r w:rsidR="00B720F9" w:rsidRPr="003B4362">
        <w:rPr>
          <w:rFonts w:eastAsia="Calibri"/>
          <w:szCs w:val="24"/>
        </w:rPr>
        <w:t>its</w:t>
      </w:r>
      <w:r w:rsidRPr="003B4362">
        <w:rPr>
          <w:rFonts w:eastAsia="Calibri"/>
          <w:szCs w:val="24"/>
        </w:rPr>
        <w:t xml:space="preserve"> first standard </w:t>
      </w:r>
      <w:r w:rsidR="00613832" w:rsidRPr="003B4362">
        <w:rPr>
          <w:rFonts w:eastAsia="Calibri"/>
          <w:szCs w:val="24"/>
        </w:rPr>
        <w:t xml:space="preserve">tap </w:t>
      </w:r>
      <w:r w:rsidRPr="003B4362">
        <w:rPr>
          <w:rFonts w:eastAsia="Calibri"/>
          <w:szCs w:val="24"/>
        </w:rPr>
        <w:t xml:space="preserve">monitoring </w:t>
      </w:r>
      <w:r w:rsidR="00CF30A3" w:rsidRPr="003B4362">
        <w:rPr>
          <w:rFonts w:eastAsia="Calibri"/>
          <w:szCs w:val="24"/>
        </w:rPr>
        <w:t>cycle</w:t>
      </w:r>
      <w:r w:rsidRPr="003B4362">
        <w:rPr>
          <w:rFonts w:eastAsia="Calibri"/>
          <w:szCs w:val="24"/>
        </w:rPr>
        <w:t xml:space="preserve"> on January 1</w:t>
      </w:r>
      <w:bookmarkEnd w:id="2155"/>
      <w:r w:rsidR="00B720F9" w:rsidRPr="003B4362">
        <w:rPr>
          <w:rFonts w:eastAsia="Calibri"/>
          <w:szCs w:val="24"/>
        </w:rPr>
        <w:t>, 2025</w:t>
      </w:r>
      <w:bookmarkEnd w:id="2156"/>
      <w:r w:rsidRPr="003B4362">
        <w:rPr>
          <w:rFonts w:eastAsia="Calibri"/>
          <w:szCs w:val="24"/>
        </w:rPr>
        <w:t xml:space="preserve">.  </w:t>
      </w:r>
      <w:bookmarkStart w:id="2157" w:name="_Hlk122465805"/>
      <w:r w:rsidR="00A653F4" w:rsidRPr="003B4362">
        <w:rPr>
          <w:rFonts w:eastAsia="Calibri"/>
          <w:szCs w:val="24"/>
        </w:rPr>
        <w:t>A</w:t>
      </w:r>
      <w:bookmarkStart w:id="2158" w:name="_Hlk122465964"/>
      <w:r w:rsidR="00A653F4" w:rsidRPr="003B4362">
        <w:rPr>
          <w:rFonts w:eastAsia="Calibri"/>
          <w:szCs w:val="24"/>
        </w:rPr>
        <w:t>fter</w:t>
      </w:r>
      <w:r w:rsidRPr="003B4362">
        <w:rPr>
          <w:rFonts w:eastAsia="Calibri"/>
          <w:szCs w:val="24"/>
        </w:rPr>
        <w:t xml:space="preserve"> completi</w:t>
      </w:r>
      <w:r w:rsidR="00A653F4" w:rsidRPr="003B4362">
        <w:rPr>
          <w:rFonts w:eastAsia="Calibri"/>
          <w:szCs w:val="24"/>
        </w:rPr>
        <w:t>ng</w:t>
      </w:r>
      <w:r w:rsidRPr="003B4362">
        <w:rPr>
          <w:rFonts w:eastAsia="Calibri"/>
          <w:szCs w:val="24"/>
        </w:rPr>
        <w:t xml:space="preserve"> th</w:t>
      </w:r>
      <w:r w:rsidR="00A653F4" w:rsidRPr="003B4362">
        <w:rPr>
          <w:rFonts w:eastAsia="Calibri"/>
          <w:szCs w:val="24"/>
        </w:rPr>
        <w:t>e first standard</w:t>
      </w:r>
      <w:r w:rsidRPr="003B4362">
        <w:rPr>
          <w:rFonts w:eastAsia="Calibri"/>
          <w:szCs w:val="24"/>
        </w:rPr>
        <w:t xml:space="preserve"> </w:t>
      </w:r>
      <w:bookmarkEnd w:id="2157"/>
      <w:bookmarkEnd w:id="2158"/>
      <w:r w:rsidR="00CF30A3" w:rsidRPr="003B4362">
        <w:rPr>
          <w:rFonts w:eastAsia="Calibri"/>
          <w:szCs w:val="24"/>
        </w:rPr>
        <w:t>monitoring cycle</w:t>
      </w:r>
      <w:r w:rsidRPr="003B4362">
        <w:rPr>
          <w:rFonts w:eastAsia="Calibri"/>
          <w:szCs w:val="24"/>
        </w:rPr>
        <w:t xml:space="preserve">, </w:t>
      </w:r>
      <w:bookmarkStart w:id="2159" w:name="_Hlk122465992"/>
      <w:r w:rsidR="00A653F4" w:rsidRPr="003B4362">
        <w:rPr>
          <w:rFonts w:eastAsia="Calibri"/>
          <w:szCs w:val="24"/>
        </w:rPr>
        <w:t>the supplier</w:t>
      </w:r>
      <w:r w:rsidRPr="003B4362">
        <w:rPr>
          <w:rFonts w:eastAsia="Calibri"/>
          <w:szCs w:val="24"/>
        </w:rPr>
        <w:t xml:space="preserve"> must monitor </w:t>
      </w:r>
      <w:r w:rsidR="00736ACE" w:rsidRPr="003B4362">
        <w:rPr>
          <w:rFonts w:eastAsia="Calibri"/>
          <w:szCs w:val="24"/>
        </w:rPr>
        <w:t>under</w:t>
      </w:r>
      <w:r w:rsidRPr="003B4362">
        <w:rPr>
          <w:rFonts w:eastAsia="Calibri"/>
          <w:szCs w:val="24"/>
        </w:rPr>
        <w:t xml:space="preserve"> subsection (d)(1)(B)</w:t>
      </w:r>
      <w:bookmarkEnd w:id="2159"/>
      <w:r w:rsidRPr="003B4362">
        <w:rPr>
          <w:rFonts w:eastAsia="Calibri"/>
          <w:szCs w:val="24"/>
        </w:rPr>
        <w:t>.</w:t>
      </w:r>
    </w:p>
    <w:p w14:paraId="1F7073F6" w14:textId="7AE6A9F2" w:rsidR="00FF7417" w:rsidRPr="003B4362" w:rsidRDefault="00FF7417" w:rsidP="00FF741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bookmarkStart w:id="2160" w:name="_Hlk122466229"/>
      <w:r w:rsidR="00736ACE" w:rsidRPr="003B4362">
        <w:rPr>
          <w:rFonts w:eastAsia="Calibri"/>
          <w:szCs w:val="24"/>
        </w:rPr>
        <w:t>A</w:t>
      </w:r>
      <w:bookmarkStart w:id="2161" w:name="_Hlk122466632"/>
      <w:r w:rsidR="00736ACE" w:rsidRPr="003B4362">
        <w:rPr>
          <w:rFonts w:eastAsia="Calibri"/>
          <w:szCs w:val="24"/>
        </w:rPr>
        <w:t xml:space="preserve"> supplier</w:t>
      </w:r>
      <w:r w:rsidRPr="003B4362">
        <w:rPr>
          <w:rFonts w:eastAsia="Calibri"/>
          <w:szCs w:val="24"/>
        </w:rPr>
        <w:t xml:space="preserve"> that</w:t>
      </w:r>
      <w:r w:rsidR="00336F51" w:rsidRPr="003B4362">
        <w:rPr>
          <w:rFonts w:eastAsia="Calibri"/>
          <w:szCs w:val="24"/>
        </w:rPr>
        <w:t xml:space="preserve"> completed </w:t>
      </w:r>
      <w:r w:rsidRPr="003B4362">
        <w:rPr>
          <w:rFonts w:eastAsia="Calibri"/>
          <w:szCs w:val="24"/>
        </w:rPr>
        <w:t>monitor</w:t>
      </w:r>
      <w:r w:rsidR="00336F51" w:rsidRPr="003B4362">
        <w:rPr>
          <w:rFonts w:eastAsia="Calibri"/>
          <w:szCs w:val="24"/>
        </w:rPr>
        <w:t>ing</w:t>
      </w:r>
      <w:r w:rsidRPr="003B4362">
        <w:rPr>
          <w:rFonts w:eastAsia="Calibri"/>
          <w:szCs w:val="24"/>
        </w:rPr>
        <w:t xml:space="preserve"> </w:t>
      </w:r>
      <w:r w:rsidR="00736ACE" w:rsidRPr="003B4362">
        <w:rPr>
          <w:rFonts w:eastAsia="Calibri"/>
          <w:szCs w:val="24"/>
        </w:rPr>
        <w:t>complying with</w:t>
      </w:r>
      <w:r w:rsidRPr="003B4362">
        <w:rPr>
          <w:rFonts w:eastAsia="Calibri"/>
          <w:szCs w:val="24"/>
        </w:rPr>
        <w:t xml:space="preserve"> this </w:t>
      </w:r>
      <w:r w:rsidR="00736ACE" w:rsidRPr="003B4362">
        <w:rPr>
          <w:rFonts w:eastAsia="Calibri"/>
          <w:szCs w:val="24"/>
        </w:rPr>
        <w:t>S</w:t>
      </w:r>
      <w:r w:rsidRPr="003B4362">
        <w:rPr>
          <w:rFonts w:eastAsia="Calibri"/>
          <w:szCs w:val="24"/>
        </w:rPr>
        <w:t>ection</w:t>
      </w:r>
      <w:bookmarkEnd w:id="2160"/>
      <w:bookmarkEnd w:id="2161"/>
      <w:r w:rsidRPr="003B4362">
        <w:rPr>
          <w:rFonts w:eastAsia="Calibri"/>
          <w:szCs w:val="24"/>
        </w:rPr>
        <w:t xml:space="preserve"> </w:t>
      </w:r>
      <w:bookmarkStart w:id="2162" w:name="_Hlk122466660"/>
      <w:r w:rsidR="00736ACE" w:rsidRPr="003B4362">
        <w:rPr>
          <w:rFonts w:eastAsia="Calibri"/>
          <w:szCs w:val="24"/>
        </w:rPr>
        <w:t>(i.e., selecting sites under subsection (a), collecting samples under subsection (b), etc.)</w:t>
      </w:r>
      <w:bookmarkEnd w:id="2162"/>
      <w:r w:rsidRPr="003B4362">
        <w:rPr>
          <w:rFonts w:eastAsia="Calibri"/>
          <w:szCs w:val="24"/>
        </w:rPr>
        <w:t xml:space="preserve"> </w:t>
      </w:r>
      <w:r w:rsidR="00336F51" w:rsidRPr="003B4362">
        <w:rPr>
          <w:rFonts w:eastAsia="Calibri"/>
          <w:szCs w:val="24"/>
        </w:rPr>
        <w:t xml:space="preserve">before January 16, 2024 </w:t>
      </w:r>
      <w:bookmarkStart w:id="2163" w:name="_Hlk122467086"/>
      <w:r w:rsidR="00336F51" w:rsidRPr="003B4362">
        <w:rPr>
          <w:rFonts w:eastAsia="Calibri"/>
          <w:szCs w:val="24"/>
        </w:rPr>
        <w:t>or</w:t>
      </w:r>
      <w:r w:rsidRPr="003B4362">
        <w:rPr>
          <w:rFonts w:eastAsia="Calibri"/>
          <w:szCs w:val="24"/>
        </w:rPr>
        <w:t xml:space="preserve"> </w:t>
      </w:r>
      <w:r w:rsidR="00336F51" w:rsidRPr="003B4362">
        <w:rPr>
          <w:rFonts w:eastAsia="Calibri"/>
          <w:szCs w:val="24"/>
        </w:rPr>
        <w:t>a supplier</w:t>
      </w:r>
      <w:r w:rsidRPr="003B4362">
        <w:rPr>
          <w:rFonts w:eastAsia="Calibri"/>
          <w:szCs w:val="24"/>
        </w:rPr>
        <w:t xml:space="preserve"> that</w:t>
      </w:r>
      <w:r w:rsidR="00336F51" w:rsidRPr="003B4362">
        <w:rPr>
          <w:rFonts w:eastAsia="Calibri"/>
          <w:szCs w:val="24"/>
        </w:rPr>
        <w:t xml:space="preserve"> </w:t>
      </w:r>
      <w:r w:rsidRPr="003B4362">
        <w:rPr>
          <w:rFonts w:eastAsia="Calibri"/>
          <w:szCs w:val="24"/>
        </w:rPr>
        <w:t>completed monitoring under subsection (d)(1)(A)</w:t>
      </w:r>
      <w:bookmarkEnd w:id="2163"/>
      <w:r w:rsidRPr="003B4362">
        <w:rPr>
          <w:rFonts w:eastAsia="Calibri"/>
          <w:szCs w:val="24"/>
        </w:rPr>
        <w:t xml:space="preserve">, </w:t>
      </w:r>
      <w:bookmarkStart w:id="2164" w:name="_Hlk122467297"/>
      <w:r w:rsidRPr="003B4362">
        <w:rPr>
          <w:rFonts w:eastAsia="Calibri"/>
          <w:szCs w:val="24"/>
        </w:rPr>
        <w:t>must continue monitoring</w:t>
      </w:r>
      <w:bookmarkEnd w:id="2164"/>
      <w:r w:rsidRPr="003B4362">
        <w:rPr>
          <w:rFonts w:eastAsia="Calibri"/>
          <w:szCs w:val="24"/>
        </w:rPr>
        <w:t>:</w:t>
      </w:r>
    </w:p>
    <w:p w14:paraId="381D6555" w14:textId="48C3B5DA" w:rsidR="00FF7417" w:rsidRPr="003B4362" w:rsidRDefault="00FF7417" w:rsidP="00FF7417">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r>
      <w:r w:rsidR="00243B86" w:rsidRPr="003B4362">
        <w:rPr>
          <w:rFonts w:eastAsia="Calibri"/>
          <w:szCs w:val="24"/>
        </w:rPr>
        <w:t>A</w:t>
      </w:r>
      <w:bookmarkStart w:id="2165" w:name="_Hlk122468570"/>
      <w:r w:rsidR="00243B86" w:rsidRPr="003B4362">
        <w:rPr>
          <w:rFonts w:eastAsia="Calibri"/>
          <w:szCs w:val="24"/>
        </w:rPr>
        <w:t xml:space="preserve"> supplier </w:t>
      </w:r>
      <w:r w:rsidRPr="003B4362">
        <w:rPr>
          <w:rFonts w:eastAsia="Calibri"/>
          <w:szCs w:val="24"/>
        </w:rPr>
        <w:t>not meet</w:t>
      </w:r>
      <w:r w:rsidR="00243B86" w:rsidRPr="003B4362">
        <w:rPr>
          <w:rFonts w:eastAsia="Calibri"/>
          <w:szCs w:val="24"/>
        </w:rPr>
        <w:t>ing</w:t>
      </w:r>
      <w:r w:rsidRPr="003B4362">
        <w:rPr>
          <w:rFonts w:eastAsia="Calibri"/>
          <w:szCs w:val="24"/>
        </w:rPr>
        <w:t xml:space="preserve"> the criteria </w:t>
      </w:r>
      <w:r w:rsidR="00243B86" w:rsidRPr="003B4362">
        <w:rPr>
          <w:rFonts w:eastAsia="Calibri"/>
          <w:szCs w:val="24"/>
        </w:rPr>
        <w:t>in</w:t>
      </w:r>
      <w:r w:rsidRPr="003B4362">
        <w:rPr>
          <w:rFonts w:eastAsia="Calibri"/>
          <w:szCs w:val="24"/>
        </w:rPr>
        <w:t xml:space="preserve"> subsection (d)(4)</w:t>
      </w:r>
      <w:bookmarkEnd w:id="2165"/>
      <w:r w:rsidRPr="003B4362">
        <w:rPr>
          <w:rFonts w:eastAsia="Calibri"/>
          <w:szCs w:val="24"/>
        </w:rPr>
        <w:t xml:space="preserve"> must conduct standard monitoring.</w:t>
      </w:r>
    </w:p>
    <w:p w14:paraId="5AC533DC" w14:textId="5718EDE6" w:rsidR="00FF7417" w:rsidRPr="003B4362" w:rsidRDefault="00FF7417" w:rsidP="00FF7417">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r>
      <w:bookmarkStart w:id="2166" w:name="_Hlk122468777"/>
      <w:r w:rsidR="00243B86" w:rsidRPr="003B4362">
        <w:rPr>
          <w:rFonts w:eastAsia="Calibri"/>
          <w:szCs w:val="24"/>
        </w:rPr>
        <w:t>A</w:t>
      </w:r>
      <w:bookmarkStart w:id="2167" w:name="_Hlk122468883"/>
      <w:r w:rsidR="00243B86" w:rsidRPr="003B4362">
        <w:rPr>
          <w:rFonts w:eastAsia="Calibri"/>
          <w:szCs w:val="24"/>
        </w:rPr>
        <w:t xml:space="preserve"> supplier </w:t>
      </w:r>
      <w:r w:rsidRPr="003B4362">
        <w:rPr>
          <w:rFonts w:eastAsia="Calibri"/>
          <w:szCs w:val="24"/>
        </w:rPr>
        <w:t>meet</w:t>
      </w:r>
      <w:r w:rsidR="00243B86" w:rsidRPr="003B4362">
        <w:rPr>
          <w:rFonts w:eastAsia="Calibri"/>
          <w:szCs w:val="24"/>
        </w:rPr>
        <w:t>ing</w:t>
      </w:r>
      <w:r w:rsidRPr="003B4362">
        <w:rPr>
          <w:rFonts w:eastAsia="Calibri"/>
          <w:szCs w:val="24"/>
        </w:rPr>
        <w:t xml:space="preserve"> the criteria </w:t>
      </w:r>
      <w:r w:rsidR="00243B86" w:rsidRPr="003B4362">
        <w:rPr>
          <w:rFonts w:eastAsia="Calibri"/>
          <w:szCs w:val="24"/>
        </w:rPr>
        <w:t>in</w:t>
      </w:r>
      <w:r w:rsidRPr="003B4362">
        <w:rPr>
          <w:rFonts w:eastAsia="Calibri"/>
          <w:szCs w:val="24"/>
        </w:rPr>
        <w:t xml:space="preserve"> subsection (d)(4)</w:t>
      </w:r>
      <w:bookmarkEnd w:id="2166"/>
      <w:bookmarkEnd w:id="2167"/>
      <w:r w:rsidRPr="003B4362">
        <w:rPr>
          <w:rFonts w:eastAsia="Calibri"/>
          <w:szCs w:val="24"/>
        </w:rPr>
        <w:t xml:space="preserve"> must continue to monitor </w:t>
      </w:r>
      <w:bookmarkStart w:id="2168" w:name="_Hlk122468919"/>
      <w:r w:rsidR="00243B86" w:rsidRPr="003B4362">
        <w:rPr>
          <w:rFonts w:eastAsia="Calibri"/>
          <w:szCs w:val="24"/>
        </w:rPr>
        <w:t>under</w:t>
      </w:r>
      <w:r w:rsidRPr="003B4362">
        <w:rPr>
          <w:rFonts w:eastAsia="Calibri"/>
          <w:szCs w:val="24"/>
        </w:rPr>
        <w:t xml:space="preserve"> subsection (d)(4)</w:t>
      </w:r>
      <w:bookmarkEnd w:id="2168"/>
      <w:r w:rsidRPr="003B4362">
        <w:rPr>
          <w:rFonts w:eastAsia="Calibri"/>
          <w:szCs w:val="24"/>
        </w:rPr>
        <w:t>.</w:t>
      </w:r>
    </w:p>
    <w:p w14:paraId="5A6371C9" w14:textId="4335325B" w:rsidR="00FF7417" w:rsidRPr="003B4362" w:rsidRDefault="00FF7417" w:rsidP="00FF7417">
      <w:pPr>
        <w:autoSpaceDE w:val="0"/>
        <w:autoSpaceDN w:val="0"/>
        <w:adjustRightInd w:val="0"/>
        <w:spacing w:before="240" w:after="240"/>
        <w:ind w:left="3600" w:hanging="720"/>
        <w:rPr>
          <w:rFonts w:eastAsia="Calibri"/>
          <w:szCs w:val="24"/>
        </w:rPr>
      </w:pPr>
      <w:r w:rsidRPr="003B4362">
        <w:rPr>
          <w:rFonts w:eastAsia="Calibri"/>
          <w:szCs w:val="24"/>
        </w:rPr>
        <w:t>iii)</w:t>
      </w:r>
      <w:r w:rsidRPr="003B4362">
        <w:rPr>
          <w:rFonts w:eastAsia="Calibri"/>
          <w:szCs w:val="24"/>
        </w:rPr>
        <w:tab/>
      </w:r>
      <w:bookmarkStart w:id="2169" w:name="_Hlk122469049"/>
      <w:r w:rsidR="00243B86" w:rsidRPr="003B4362">
        <w:rPr>
          <w:rFonts w:eastAsia="Calibri"/>
          <w:szCs w:val="24"/>
        </w:rPr>
        <w:t>A</w:t>
      </w:r>
      <w:bookmarkStart w:id="2170" w:name="_Hlk122469134"/>
      <w:r w:rsidR="00243B86" w:rsidRPr="003B4362">
        <w:rPr>
          <w:rFonts w:eastAsia="Calibri"/>
          <w:szCs w:val="24"/>
        </w:rPr>
        <w:t xml:space="preserve"> supplier</w:t>
      </w:r>
      <w:r w:rsidRPr="003B4362">
        <w:rPr>
          <w:rFonts w:eastAsia="Calibri"/>
          <w:szCs w:val="24"/>
        </w:rPr>
        <w:t xml:space="preserve"> monitoring at a reduced frequency </w:t>
      </w:r>
      <w:r w:rsidR="00243B86" w:rsidRPr="003B4362">
        <w:rPr>
          <w:rFonts w:eastAsia="Calibri"/>
          <w:szCs w:val="24"/>
        </w:rPr>
        <w:t>under</w:t>
      </w:r>
      <w:r w:rsidRPr="003B4362">
        <w:rPr>
          <w:rFonts w:eastAsia="Calibri"/>
          <w:szCs w:val="24"/>
        </w:rPr>
        <w:t xml:space="preserve"> subsection (d)(4)</w:t>
      </w:r>
      <w:bookmarkEnd w:id="2169"/>
      <w:bookmarkEnd w:id="2170"/>
      <w:r w:rsidRPr="003B4362">
        <w:rPr>
          <w:rFonts w:eastAsia="Calibri"/>
          <w:szCs w:val="24"/>
        </w:rPr>
        <w:t xml:space="preserve"> </w:t>
      </w:r>
      <w:bookmarkStart w:id="2171" w:name="_Hlk122533651"/>
      <w:r w:rsidR="00A937DA" w:rsidRPr="003B4362">
        <w:rPr>
          <w:rFonts w:eastAsia="Calibri"/>
          <w:szCs w:val="24"/>
        </w:rPr>
        <w:t xml:space="preserve">and </w:t>
      </w:r>
      <w:r w:rsidR="001E0700" w:rsidRPr="003B4362">
        <w:rPr>
          <w:rFonts w:eastAsia="Calibri"/>
          <w:szCs w:val="24"/>
        </w:rPr>
        <w:t>exceeding</w:t>
      </w:r>
      <w:r w:rsidRPr="003B4362">
        <w:rPr>
          <w:rFonts w:eastAsia="Calibri"/>
          <w:szCs w:val="24"/>
        </w:rPr>
        <w:t xml:space="preserve"> </w:t>
      </w:r>
      <w:r w:rsidR="001E0700" w:rsidRPr="003B4362">
        <w:rPr>
          <w:rFonts w:eastAsia="Calibri"/>
          <w:szCs w:val="24"/>
        </w:rPr>
        <w:t>the lead or copper</w:t>
      </w:r>
      <w:r w:rsidRPr="003B4362">
        <w:rPr>
          <w:rFonts w:eastAsia="Calibri"/>
          <w:szCs w:val="24"/>
        </w:rPr>
        <w:t xml:space="preserve"> action level</w:t>
      </w:r>
      <w:bookmarkEnd w:id="2171"/>
      <w:r w:rsidRPr="003B4362">
        <w:rPr>
          <w:rFonts w:eastAsia="Calibri"/>
          <w:szCs w:val="24"/>
        </w:rPr>
        <w:t xml:space="preserve"> must resume standard monitoring </w:t>
      </w:r>
      <w:bookmarkStart w:id="2172" w:name="_Hlk122469376"/>
      <w:r w:rsidR="001E0700" w:rsidRPr="003B4362">
        <w:rPr>
          <w:rFonts w:eastAsia="Calibri"/>
          <w:szCs w:val="24"/>
        </w:rPr>
        <w:t>on</w:t>
      </w:r>
      <w:r w:rsidRPr="003B4362">
        <w:rPr>
          <w:rFonts w:eastAsia="Calibri"/>
          <w:szCs w:val="24"/>
        </w:rPr>
        <w:t xml:space="preserve"> January 1 </w:t>
      </w:r>
      <w:r w:rsidR="001E0700" w:rsidRPr="003B4362">
        <w:rPr>
          <w:rFonts w:eastAsia="Calibri"/>
          <w:szCs w:val="24"/>
        </w:rPr>
        <w:t>immediately</w:t>
      </w:r>
      <w:r w:rsidRPr="003B4362">
        <w:rPr>
          <w:rFonts w:eastAsia="Calibri"/>
          <w:szCs w:val="24"/>
        </w:rPr>
        <w:t xml:space="preserve"> </w:t>
      </w:r>
      <w:r w:rsidR="002F2ED2" w:rsidRPr="003B4362">
        <w:rPr>
          <w:rFonts w:eastAsia="Calibri"/>
          <w:szCs w:val="24"/>
        </w:rPr>
        <w:t>after</w:t>
      </w:r>
      <w:r w:rsidRPr="003B4362">
        <w:rPr>
          <w:rFonts w:eastAsia="Calibri"/>
          <w:szCs w:val="24"/>
        </w:rPr>
        <w:t xml:space="preserve"> the tap monitoring </w:t>
      </w:r>
      <w:r w:rsidR="00CF30A3" w:rsidRPr="003B4362">
        <w:rPr>
          <w:rFonts w:eastAsia="Calibri"/>
          <w:szCs w:val="24"/>
        </w:rPr>
        <w:t>cycle</w:t>
      </w:r>
      <w:r w:rsidRPr="003B4362">
        <w:rPr>
          <w:rFonts w:eastAsia="Calibri"/>
          <w:szCs w:val="24"/>
        </w:rPr>
        <w:t xml:space="preserve"> </w:t>
      </w:r>
      <w:r w:rsidR="001E0700" w:rsidRPr="003B4362">
        <w:rPr>
          <w:rFonts w:eastAsia="Calibri"/>
          <w:szCs w:val="24"/>
        </w:rPr>
        <w:t>during</w:t>
      </w:r>
      <w:r w:rsidRPr="003B4362">
        <w:rPr>
          <w:rFonts w:eastAsia="Calibri"/>
          <w:szCs w:val="24"/>
        </w:rPr>
        <w:t xml:space="preserve"> which the </w:t>
      </w:r>
      <w:r w:rsidR="002F2ED2" w:rsidRPr="003B4362">
        <w:rPr>
          <w:rFonts w:eastAsia="Calibri"/>
          <w:szCs w:val="24"/>
        </w:rPr>
        <w:t>supplier</w:t>
      </w:r>
      <w:r w:rsidRPr="003B4362">
        <w:rPr>
          <w:rFonts w:eastAsia="Calibri"/>
          <w:szCs w:val="24"/>
        </w:rPr>
        <w:t xml:space="preserve"> exceeded the action level</w:t>
      </w:r>
      <w:bookmarkEnd w:id="2172"/>
      <w:r w:rsidRPr="003B4362">
        <w:rPr>
          <w:rFonts w:eastAsia="Calibri"/>
          <w:szCs w:val="24"/>
        </w:rPr>
        <w:t xml:space="preserve">.  </w:t>
      </w:r>
      <w:r w:rsidR="002F2ED2" w:rsidRPr="003B4362">
        <w:rPr>
          <w:rFonts w:eastAsia="Calibri"/>
          <w:szCs w:val="24"/>
        </w:rPr>
        <w:t>T</w:t>
      </w:r>
      <w:bookmarkStart w:id="2173" w:name="_Hlk122469895"/>
      <w:bookmarkStart w:id="2174" w:name="_Hlk122470789"/>
      <w:r w:rsidR="002F2ED2" w:rsidRPr="003B4362">
        <w:rPr>
          <w:rFonts w:eastAsia="Calibri"/>
          <w:szCs w:val="24"/>
        </w:rPr>
        <w:t>he supplier</w:t>
      </w:r>
      <w:bookmarkEnd w:id="2173"/>
      <w:r w:rsidRPr="003B4362">
        <w:rPr>
          <w:rFonts w:eastAsia="Calibri"/>
          <w:szCs w:val="24"/>
        </w:rPr>
        <w:t xml:space="preserve"> must also monitor </w:t>
      </w:r>
      <w:r w:rsidR="00E77D81" w:rsidRPr="003B4362">
        <w:rPr>
          <w:rFonts w:eastAsia="Calibri"/>
          <w:szCs w:val="24"/>
        </w:rPr>
        <w:t>water quality parameters as</w:t>
      </w:r>
      <w:r w:rsidRPr="003B4362">
        <w:rPr>
          <w:rFonts w:eastAsia="Calibri"/>
          <w:szCs w:val="24"/>
        </w:rPr>
        <w:t xml:space="preserve"> Section </w:t>
      </w:r>
      <w:r w:rsidR="00E77D81" w:rsidRPr="003B4362">
        <w:rPr>
          <w:rFonts w:eastAsia="Calibri"/>
          <w:szCs w:val="24"/>
        </w:rPr>
        <w:t>61</w:t>
      </w:r>
      <w:r w:rsidRPr="003B4362">
        <w:rPr>
          <w:rFonts w:eastAsia="Calibri"/>
          <w:szCs w:val="24"/>
        </w:rPr>
        <w:t>1.</w:t>
      </w:r>
      <w:r w:rsidR="00E77D81" w:rsidRPr="003B4362">
        <w:rPr>
          <w:rFonts w:eastAsia="Calibri"/>
          <w:szCs w:val="24"/>
        </w:rPr>
        <w:t>35</w:t>
      </w:r>
      <w:r w:rsidRPr="003B4362">
        <w:rPr>
          <w:rFonts w:eastAsia="Calibri"/>
          <w:szCs w:val="24"/>
        </w:rPr>
        <w:t xml:space="preserve">7(b), (c), or (d) </w:t>
      </w:r>
      <w:r w:rsidR="00E77D81" w:rsidRPr="003B4362">
        <w:rPr>
          <w:rFonts w:eastAsia="Calibri"/>
          <w:szCs w:val="24"/>
        </w:rPr>
        <w:t>require</w:t>
      </w:r>
      <w:bookmarkEnd w:id="2174"/>
      <w:r w:rsidRPr="003B4362">
        <w:rPr>
          <w:rFonts w:eastAsia="Calibri"/>
          <w:szCs w:val="24"/>
        </w:rPr>
        <w:t>.</w:t>
      </w:r>
    </w:p>
    <w:p w14:paraId="34111751" w14:textId="4457CA5B" w:rsidR="00FF7417" w:rsidRPr="003B4362" w:rsidRDefault="00FF7417" w:rsidP="00FF7417">
      <w:pPr>
        <w:autoSpaceDE w:val="0"/>
        <w:autoSpaceDN w:val="0"/>
        <w:adjustRightInd w:val="0"/>
        <w:spacing w:before="240" w:after="240"/>
        <w:ind w:left="3600" w:hanging="720"/>
        <w:rPr>
          <w:rFonts w:eastAsia="Calibri"/>
          <w:szCs w:val="24"/>
        </w:rPr>
      </w:pPr>
      <w:r w:rsidRPr="003B4362">
        <w:rPr>
          <w:rFonts w:eastAsia="Calibri"/>
          <w:szCs w:val="24"/>
        </w:rPr>
        <w:t>iv)</w:t>
      </w:r>
      <w:r w:rsidRPr="003B4362">
        <w:rPr>
          <w:rFonts w:eastAsia="Calibri"/>
          <w:szCs w:val="24"/>
        </w:rPr>
        <w:tab/>
      </w:r>
      <w:r w:rsidR="00F634A7" w:rsidRPr="003B4362">
        <w:rPr>
          <w:rFonts w:eastAsia="Calibri"/>
          <w:szCs w:val="24"/>
        </w:rPr>
        <w:t>A supplier</w:t>
      </w:r>
      <w:r w:rsidRPr="003B4362">
        <w:rPr>
          <w:rFonts w:eastAsia="Calibri"/>
          <w:szCs w:val="24"/>
        </w:rPr>
        <w:t xml:space="preserve"> monitoring at a reduced frequency </w:t>
      </w:r>
      <w:bookmarkStart w:id="2175" w:name="_Hlk122533106"/>
      <w:r w:rsidR="00F634A7" w:rsidRPr="003B4362">
        <w:rPr>
          <w:rFonts w:eastAsia="Calibri"/>
          <w:szCs w:val="24"/>
        </w:rPr>
        <w:t>and exceeding</w:t>
      </w:r>
      <w:r w:rsidRPr="003B4362">
        <w:rPr>
          <w:rFonts w:eastAsia="Calibri"/>
          <w:szCs w:val="24"/>
        </w:rPr>
        <w:t xml:space="preserve"> the lead trigger level but </w:t>
      </w:r>
      <w:r w:rsidR="00F634A7" w:rsidRPr="003B4362">
        <w:rPr>
          <w:rFonts w:eastAsia="Calibri"/>
          <w:szCs w:val="24"/>
        </w:rPr>
        <w:t>not</w:t>
      </w:r>
      <w:r w:rsidRPr="003B4362">
        <w:rPr>
          <w:rFonts w:eastAsia="Calibri"/>
          <w:szCs w:val="24"/>
        </w:rPr>
        <w:t xml:space="preserve"> the copper action level</w:t>
      </w:r>
      <w:bookmarkEnd w:id="2175"/>
      <w:r w:rsidRPr="003B4362">
        <w:rPr>
          <w:rFonts w:eastAsia="Calibri"/>
          <w:szCs w:val="24"/>
        </w:rPr>
        <w:t xml:space="preserve"> </w:t>
      </w:r>
      <w:bookmarkStart w:id="2176" w:name="_Hlk122533951"/>
      <w:bookmarkStart w:id="2177" w:name="_Hlk122533853"/>
      <w:r w:rsidRPr="003B4362">
        <w:rPr>
          <w:rFonts w:eastAsia="Calibri"/>
          <w:szCs w:val="24"/>
        </w:rPr>
        <w:t>must</w:t>
      </w:r>
      <w:r w:rsidR="00A937DA" w:rsidRPr="003B4362">
        <w:rPr>
          <w:rFonts w:eastAsia="Calibri"/>
          <w:szCs w:val="24"/>
        </w:rPr>
        <w:t xml:space="preserve"> </w:t>
      </w:r>
      <w:r w:rsidRPr="003B4362">
        <w:rPr>
          <w:rFonts w:eastAsia="Calibri"/>
          <w:szCs w:val="24"/>
        </w:rPr>
        <w:t xml:space="preserve">monitor </w:t>
      </w:r>
      <w:r w:rsidR="00A937DA" w:rsidRPr="003B4362">
        <w:rPr>
          <w:rFonts w:eastAsia="Calibri"/>
          <w:szCs w:val="24"/>
        </w:rPr>
        <w:t>no</w:t>
      </w:r>
      <w:r w:rsidRPr="003B4362">
        <w:rPr>
          <w:rFonts w:eastAsia="Calibri"/>
          <w:szCs w:val="24"/>
        </w:rPr>
        <w:t xml:space="preserve"> less frequently than annually</w:t>
      </w:r>
      <w:bookmarkEnd w:id="2176"/>
      <w:r w:rsidRPr="003B4362">
        <w:rPr>
          <w:rFonts w:eastAsia="Calibri"/>
          <w:szCs w:val="24"/>
        </w:rPr>
        <w:t xml:space="preserve"> and must collect samples</w:t>
      </w:r>
      <w:bookmarkEnd w:id="2177"/>
      <w:r w:rsidRPr="003B4362">
        <w:rPr>
          <w:rFonts w:eastAsia="Calibri"/>
          <w:szCs w:val="24"/>
        </w:rPr>
        <w:t xml:space="preserve"> from </w:t>
      </w:r>
      <w:bookmarkStart w:id="2178" w:name="_Hlk122534100"/>
      <w:bookmarkStart w:id="2179" w:name="_Hlk122534346"/>
      <w:r w:rsidRPr="003B4362">
        <w:rPr>
          <w:rFonts w:eastAsia="Calibri"/>
          <w:szCs w:val="24"/>
        </w:rPr>
        <w:t xml:space="preserve">the standard number of sites </w:t>
      </w:r>
      <w:r w:rsidR="00A937DA" w:rsidRPr="003B4362">
        <w:rPr>
          <w:rFonts w:eastAsia="Calibri"/>
          <w:szCs w:val="24"/>
        </w:rPr>
        <w:t>that</w:t>
      </w:r>
      <w:r w:rsidRPr="003B4362">
        <w:rPr>
          <w:rFonts w:eastAsia="Calibri"/>
          <w:szCs w:val="24"/>
        </w:rPr>
        <w:t xml:space="preserve"> subsection (c) </w:t>
      </w:r>
      <w:bookmarkEnd w:id="2178"/>
      <w:r w:rsidR="00FA0948" w:rsidRPr="003B4362">
        <w:rPr>
          <w:rFonts w:eastAsia="Calibri"/>
          <w:szCs w:val="24"/>
        </w:rPr>
        <w:t>establish</w:t>
      </w:r>
      <w:r w:rsidR="00A937DA" w:rsidRPr="003B4362">
        <w:rPr>
          <w:rFonts w:eastAsia="Calibri"/>
          <w:szCs w:val="24"/>
        </w:rPr>
        <w:t>es</w:t>
      </w:r>
      <w:bookmarkEnd w:id="2179"/>
      <w:r w:rsidRPr="003B4362">
        <w:rPr>
          <w:rFonts w:eastAsia="Calibri"/>
          <w:szCs w:val="24"/>
        </w:rPr>
        <w:t xml:space="preserve">.  </w:t>
      </w:r>
      <w:r w:rsidR="00FA0948" w:rsidRPr="003B4362">
        <w:rPr>
          <w:rFonts w:eastAsia="Calibri"/>
          <w:szCs w:val="24"/>
        </w:rPr>
        <w:t>The supplier must begin t</w:t>
      </w:r>
      <w:r w:rsidRPr="003B4362">
        <w:rPr>
          <w:rFonts w:eastAsia="Calibri"/>
          <w:szCs w:val="24"/>
        </w:rPr>
        <w:t xml:space="preserve">his monitoring </w:t>
      </w:r>
      <w:bookmarkStart w:id="2180" w:name="_Hlk122535032"/>
      <w:r w:rsidR="007F5D05" w:rsidRPr="003B4362">
        <w:rPr>
          <w:rFonts w:eastAsia="Calibri"/>
          <w:szCs w:val="24"/>
        </w:rPr>
        <w:t xml:space="preserve">in </w:t>
      </w:r>
      <w:r w:rsidRPr="003B4362">
        <w:rPr>
          <w:rFonts w:eastAsia="Calibri"/>
          <w:szCs w:val="24"/>
        </w:rPr>
        <w:t xml:space="preserve">the calendar year </w:t>
      </w:r>
      <w:r w:rsidR="007F5D05" w:rsidRPr="003B4362">
        <w:rPr>
          <w:rFonts w:eastAsia="Calibri"/>
          <w:szCs w:val="24"/>
        </w:rPr>
        <w:t>after</w:t>
      </w:r>
      <w:r w:rsidRPr="003B4362">
        <w:rPr>
          <w:rFonts w:eastAsia="Calibri"/>
          <w:szCs w:val="24"/>
        </w:rPr>
        <w:t xml:space="preserve"> the tap monitoring </w:t>
      </w:r>
      <w:r w:rsidR="00516238" w:rsidRPr="003B4362">
        <w:rPr>
          <w:rFonts w:eastAsia="Calibri"/>
          <w:szCs w:val="24"/>
        </w:rPr>
        <w:t>cycle</w:t>
      </w:r>
      <w:r w:rsidRPr="003B4362">
        <w:rPr>
          <w:rFonts w:eastAsia="Calibri"/>
          <w:szCs w:val="24"/>
        </w:rPr>
        <w:t xml:space="preserve"> </w:t>
      </w:r>
      <w:r w:rsidR="007F5D05" w:rsidRPr="003B4362">
        <w:rPr>
          <w:rFonts w:eastAsia="Calibri"/>
          <w:szCs w:val="24"/>
        </w:rPr>
        <w:t>during</w:t>
      </w:r>
      <w:r w:rsidRPr="003B4362">
        <w:rPr>
          <w:rFonts w:eastAsia="Calibri"/>
          <w:szCs w:val="24"/>
        </w:rPr>
        <w:t xml:space="preserve"> which the </w:t>
      </w:r>
      <w:r w:rsidR="007F5D05" w:rsidRPr="003B4362">
        <w:rPr>
          <w:rFonts w:eastAsia="Calibri"/>
          <w:szCs w:val="24"/>
        </w:rPr>
        <w:t>supplier</w:t>
      </w:r>
      <w:r w:rsidRPr="003B4362">
        <w:rPr>
          <w:rFonts w:eastAsia="Calibri"/>
          <w:szCs w:val="24"/>
        </w:rPr>
        <w:t xml:space="preserve"> exceeded the </w:t>
      </w:r>
      <w:r w:rsidR="007F5D05" w:rsidRPr="003B4362">
        <w:rPr>
          <w:rFonts w:eastAsia="Calibri"/>
          <w:szCs w:val="24"/>
        </w:rPr>
        <w:t>lead trigger</w:t>
      </w:r>
      <w:r w:rsidRPr="003B4362">
        <w:rPr>
          <w:rFonts w:eastAsia="Calibri"/>
          <w:szCs w:val="24"/>
        </w:rPr>
        <w:t xml:space="preserve"> level</w:t>
      </w:r>
      <w:bookmarkEnd w:id="2180"/>
      <w:r w:rsidRPr="003B4362">
        <w:rPr>
          <w:rFonts w:eastAsia="Calibri"/>
          <w:szCs w:val="24"/>
        </w:rPr>
        <w:t xml:space="preserve">.  </w:t>
      </w:r>
      <w:r w:rsidR="007F5D05" w:rsidRPr="003B4362">
        <w:rPr>
          <w:rFonts w:eastAsia="Calibri"/>
          <w:szCs w:val="24"/>
        </w:rPr>
        <w:t>The supplier must also monitor water quality parameters as Section 611.357(b), (c), or (d) require.</w:t>
      </w:r>
    </w:p>
    <w:p w14:paraId="0EB85C77" w14:textId="56B6E516" w:rsidR="00FF7417" w:rsidRPr="003B4362" w:rsidRDefault="00FF7417" w:rsidP="00FF7417">
      <w:pPr>
        <w:autoSpaceDE w:val="0"/>
        <w:autoSpaceDN w:val="0"/>
        <w:adjustRightInd w:val="0"/>
        <w:spacing w:before="240" w:after="240"/>
        <w:ind w:left="3600" w:hanging="720"/>
        <w:rPr>
          <w:rFonts w:eastAsia="Calibri"/>
          <w:szCs w:val="24"/>
        </w:rPr>
      </w:pPr>
      <w:r w:rsidRPr="003B4362">
        <w:rPr>
          <w:rFonts w:eastAsia="Calibri"/>
          <w:szCs w:val="24"/>
        </w:rPr>
        <w:t>v)</w:t>
      </w:r>
      <w:r w:rsidRPr="003B4362">
        <w:rPr>
          <w:rFonts w:eastAsia="Calibri"/>
          <w:szCs w:val="24"/>
        </w:rPr>
        <w:tab/>
      </w:r>
      <w:bookmarkStart w:id="2181" w:name="_Hlk122535531"/>
      <w:r w:rsidR="007F5D05" w:rsidRPr="003B4362">
        <w:rPr>
          <w:rFonts w:eastAsia="Calibri"/>
          <w:szCs w:val="24"/>
        </w:rPr>
        <w:t>A</w:t>
      </w:r>
      <w:bookmarkStart w:id="2182" w:name="_Hlk122535588"/>
      <w:r w:rsidR="007F5D05" w:rsidRPr="003B4362">
        <w:rPr>
          <w:rFonts w:eastAsia="Calibri"/>
          <w:szCs w:val="24"/>
        </w:rPr>
        <w:t xml:space="preserve"> supplier</w:t>
      </w:r>
      <w:r w:rsidRPr="003B4362">
        <w:rPr>
          <w:rFonts w:eastAsia="Calibri"/>
          <w:szCs w:val="24"/>
        </w:rPr>
        <w:t xml:space="preserve"> fail</w:t>
      </w:r>
      <w:r w:rsidR="009518BE" w:rsidRPr="003B4362">
        <w:rPr>
          <w:rFonts w:eastAsia="Calibri"/>
          <w:szCs w:val="24"/>
        </w:rPr>
        <w:t>i</w:t>
      </w:r>
      <w:r w:rsidR="007F5D05" w:rsidRPr="003B4362">
        <w:rPr>
          <w:rFonts w:eastAsia="Calibri"/>
          <w:szCs w:val="24"/>
        </w:rPr>
        <w:t>ng</w:t>
      </w:r>
      <w:r w:rsidRPr="003B4362">
        <w:rPr>
          <w:rFonts w:eastAsia="Calibri"/>
          <w:szCs w:val="24"/>
        </w:rPr>
        <w:t xml:space="preserve"> to operate</w:t>
      </w:r>
      <w:bookmarkEnd w:id="2181"/>
      <w:bookmarkEnd w:id="2182"/>
      <w:r w:rsidRPr="003B4362">
        <w:rPr>
          <w:rFonts w:eastAsia="Calibri"/>
          <w:szCs w:val="24"/>
        </w:rPr>
        <w:t xml:space="preserve"> at or above the minimum value or within the range of values for the water quality parameters</w:t>
      </w:r>
      <w:bookmarkStart w:id="2183" w:name="_Hlk122536984"/>
      <w:r w:rsidR="00E45AA7" w:rsidRPr="003B4362">
        <w:rPr>
          <w:rFonts w:eastAsia="Calibri"/>
          <w:szCs w:val="24"/>
        </w:rPr>
        <w:t xml:space="preserve"> </w:t>
      </w:r>
      <w:bookmarkStart w:id="2184" w:name="_Hlk122537533"/>
      <w:r w:rsidRPr="003B4362">
        <w:rPr>
          <w:rFonts w:eastAsia="Calibri"/>
          <w:szCs w:val="24"/>
        </w:rPr>
        <w:t xml:space="preserve">the </w:t>
      </w:r>
      <w:r w:rsidR="00E45AA7" w:rsidRPr="003B4362">
        <w:rPr>
          <w:rFonts w:eastAsia="Calibri"/>
          <w:szCs w:val="24"/>
        </w:rPr>
        <w:t xml:space="preserve">Agency specifies </w:t>
      </w:r>
      <w:r w:rsidRPr="003B4362">
        <w:rPr>
          <w:rFonts w:eastAsia="Calibri"/>
          <w:szCs w:val="24"/>
        </w:rPr>
        <w:t xml:space="preserve">under Section </w:t>
      </w:r>
      <w:r w:rsidR="00E45AA7" w:rsidRPr="003B4362">
        <w:rPr>
          <w:rFonts w:eastAsia="Calibri"/>
          <w:szCs w:val="24"/>
        </w:rPr>
        <w:t>61</w:t>
      </w:r>
      <w:r w:rsidRPr="003B4362">
        <w:rPr>
          <w:rFonts w:eastAsia="Calibri"/>
          <w:szCs w:val="24"/>
        </w:rPr>
        <w:t>1.</w:t>
      </w:r>
      <w:r w:rsidR="00E45AA7" w:rsidRPr="003B4362">
        <w:rPr>
          <w:rFonts w:eastAsia="Calibri"/>
          <w:szCs w:val="24"/>
        </w:rPr>
        <w:t>35</w:t>
      </w:r>
      <w:r w:rsidRPr="003B4362">
        <w:rPr>
          <w:rFonts w:eastAsia="Calibri"/>
          <w:szCs w:val="24"/>
        </w:rPr>
        <w:t>2(f)</w:t>
      </w:r>
      <w:bookmarkEnd w:id="2183"/>
      <w:bookmarkEnd w:id="2184"/>
      <w:r w:rsidRPr="003B4362">
        <w:rPr>
          <w:rFonts w:eastAsia="Calibri"/>
          <w:szCs w:val="24"/>
        </w:rPr>
        <w:t xml:space="preserve"> </w:t>
      </w:r>
      <w:r w:rsidRPr="003B4362">
        <w:rPr>
          <w:rFonts w:eastAsia="Calibri"/>
          <w:szCs w:val="24"/>
        </w:rPr>
        <w:lastRenderedPageBreak/>
        <w:t xml:space="preserve">for more than nine days in </w:t>
      </w:r>
      <w:bookmarkStart w:id="2185" w:name="_Hlk122539166"/>
      <w:r w:rsidRPr="003B4362">
        <w:rPr>
          <w:rFonts w:eastAsia="Calibri"/>
          <w:szCs w:val="24"/>
        </w:rPr>
        <w:t xml:space="preserve">any </w:t>
      </w:r>
      <w:r w:rsidR="00CF30A3" w:rsidRPr="003B4362">
        <w:rPr>
          <w:rFonts w:eastAsia="Calibri"/>
          <w:szCs w:val="24"/>
        </w:rPr>
        <w:t>water quality monitoring</w:t>
      </w:r>
      <w:r w:rsidRPr="003B4362">
        <w:rPr>
          <w:rFonts w:eastAsia="Calibri"/>
          <w:szCs w:val="24"/>
        </w:rPr>
        <w:t xml:space="preserve"> period</w:t>
      </w:r>
      <w:r w:rsidR="00E45AA7" w:rsidRPr="003B4362">
        <w:rPr>
          <w:rFonts w:eastAsia="Calibri"/>
          <w:szCs w:val="24"/>
        </w:rPr>
        <w:t xml:space="preserve"> </w:t>
      </w:r>
      <w:r w:rsidRPr="003B4362">
        <w:rPr>
          <w:rFonts w:eastAsia="Calibri"/>
          <w:szCs w:val="24"/>
        </w:rPr>
        <w:t xml:space="preserve">Section </w:t>
      </w:r>
      <w:r w:rsidR="00E45AA7" w:rsidRPr="003B4362">
        <w:rPr>
          <w:rFonts w:eastAsia="Calibri"/>
          <w:szCs w:val="24"/>
        </w:rPr>
        <w:t>611.35</w:t>
      </w:r>
      <w:r w:rsidRPr="003B4362">
        <w:rPr>
          <w:rFonts w:eastAsia="Calibri"/>
          <w:szCs w:val="24"/>
        </w:rPr>
        <w:t xml:space="preserve">7 </w:t>
      </w:r>
      <w:r w:rsidR="00E45AA7" w:rsidRPr="003B4362">
        <w:rPr>
          <w:rFonts w:eastAsia="Calibri"/>
          <w:szCs w:val="24"/>
        </w:rPr>
        <w:t>specifies</w:t>
      </w:r>
      <w:bookmarkEnd w:id="2185"/>
      <w:r w:rsidR="00E45AA7" w:rsidRPr="003B4362">
        <w:rPr>
          <w:rFonts w:eastAsia="Calibri"/>
          <w:szCs w:val="24"/>
        </w:rPr>
        <w:t xml:space="preserve"> </w:t>
      </w:r>
      <w:bookmarkStart w:id="2186" w:name="_Hlk122539280"/>
      <w:r w:rsidRPr="003B4362">
        <w:rPr>
          <w:rFonts w:eastAsia="Calibri"/>
          <w:szCs w:val="24"/>
        </w:rPr>
        <w:t>must conduct standard tap water monitoring and</w:t>
      </w:r>
      <w:r w:rsidR="00E45AA7" w:rsidRPr="003B4362">
        <w:rPr>
          <w:rFonts w:eastAsia="Calibri"/>
          <w:szCs w:val="24"/>
        </w:rPr>
        <w:t xml:space="preserve"> </w:t>
      </w:r>
      <w:r w:rsidRPr="003B4362">
        <w:rPr>
          <w:rFonts w:eastAsia="Calibri"/>
          <w:szCs w:val="24"/>
        </w:rPr>
        <w:t xml:space="preserve">resume sampling for water quality parameters </w:t>
      </w:r>
      <w:r w:rsidR="00033FA1" w:rsidRPr="003B4362">
        <w:rPr>
          <w:rFonts w:eastAsia="Calibri"/>
          <w:szCs w:val="24"/>
        </w:rPr>
        <w:t>under</w:t>
      </w:r>
      <w:r w:rsidRPr="003B4362">
        <w:rPr>
          <w:rFonts w:eastAsia="Calibri"/>
          <w:szCs w:val="24"/>
        </w:rPr>
        <w:t xml:space="preserve"> Section </w:t>
      </w:r>
      <w:r w:rsidR="00033FA1" w:rsidRPr="003B4362">
        <w:rPr>
          <w:rFonts w:eastAsia="Calibri"/>
          <w:szCs w:val="24"/>
        </w:rPr>
        <w:t>611.35</w:t>
      </w:r>
      <w:r w:rsidRPr="003B4362">
        <w:rPr>
          <w:rFonts w:eastAsia="Calibri"/>
          <w:szCs w:val="24"/>
        </w:rPr>
        <w:t>7(d)</w:t>
      </w:r>
      <w:bookmarkEnd w:id="2186"/>
      <w:r w:rsidRPr="003B4362">
        <w:rPr>
          <w:rFonts w:eastAsia="Calibri"/>
          <w:szCs w:val="24"/>
        </w:rPr>
        <w:t xml:space="preserve">.  </w:t>
      </w:r>
      <w:bookmarkStart w:id="2187" w:name="_Hlk122539382"/>
      <w:r w:rsidR="009772D9" w:rsidRPr="003B4362">
        <w:rPr>
          <w:rFonts w:eastAsia="Calibri"/>
          <w:szCs w:val="24"/>
        </w:rPr>
        <w:t>T</w:t>
      </w:r>
      <w:bookmarkStart w:id="2188" w:name="_Hlk122542287"/>
      <w:r w:rsidR="009772D9" w:rsidRPr="003B4362">
        <w:rPr>
          <w:rFonts w:eastAsia="Calibri"/>
          <w:szCs w:val="24"/>
        </w:rPr>
        <w:t>he supplier must begin t</w:t>
      </w:r>
      <w:r w:rsidRPr="003B4362">
        <w:rPr>
          <w:rFonts w:eastAsia="Calibri"/>
          <w:szCs w:val="24"/>
        </w:rPr>
        <w:t>his standard monitoring</w:t>
      </w:r>
      <w:bookmarkEnd w:id="2187"/>
      <w:bookmarkEnd w:id="2188"/>
      <w:r w:rsidR="009772D9" w:rsidRPr="003B4362">
        <w:rPr>
          <w:rFonts w:eastAsia="Calibri"/>
          <w:szCs w:val="24"/>
        </w:rPr>
        <w:t xml:space="preserve"> </w:t>
      </w:r>
      <w:r w:rsidRPr="003B4362">
        <w:rPr>
          <w:rFonts w:eastAsia="Calibri"/>
          <w:szCs w:val="24"/>
        </w:rPr>
        <w:t xml:space="preserve">no later than </w:t>
      </w:r>
      <w:bookmarkStart w:id="2189" w:name="_Hlk122543063"/>
      <w:r w:rsidRPr="003B4362">
        <w:rPr>
          <w:rFonts w:eastAsia="Calibri"/>
          <w:szCs w:val="24"/>
        </w:rPr>
        <w:t xml:space="preserve">the </w:t>
      </w:r>
      <w:r w:rsidR="009772D9" w:rsidRPr="003B4362">
        <w:rPr>
          <w:rFonts w:eastAsia="Calibri"/>
          <w:szCs w:val="24"/>
        </w:rPr>
        <w:t>six</w:t>
      </w:r>
      <w:r w:rsidRPr="003B4362">
        <w:rPr>
          <w:rFonts w:eastAsia="Calibri"/>
          <w:szCs w:val="24"/>
        </w:rPr>
        <w:t xml:space="preserve">-month </w:t>
      </w:r>
      <w:r w:rsidR="00613832" w:rsidRPr="003B4362">
        <w:rPr>
          <w:rFonts w:eastAsia="Calibri"/>
          <w:szCs w:val="24"/>
        </w:rPr>
        <w:t xml:space="preserve">tap </w:t>
      </w:r>
      <w:r w:rsidR="009F0B56" w:rsidRPr="003B4362">
        <w:rPr>
          <w:rFonts w:eastAsia="Calibri"/>
          <w:szCs w:val="24"/>
        </w:rPr>
        <w:t>monitor</w:t>
      </w:r>
      <w:r w:rsidR="009772D9" w:rsidRPr="003B4362">
        <w:rPr>
          <w:rFonts w:eastAsia="Calibri"/>
          <w:szCs w:val="24"/>
        </w:rPr>
        <w:t xml:space="preserve">ing </w:t>
      </w:r>
      <w:r w:rsidR="009F0B56" w:rsidRPr="003B4362">
        <w:rPr>
          <w:rFonts w:eastAsia="Calibri"/>
          <w:szCs w:val="24"/>
        </w:rPr>
        <w:t>cycle</w:t>
      </w:r>
      <w:r w:rsidRPr="003B4362">
        <w:rPr>
          <w:rFonts w:eastAsia="Calibri"/>
          <w:szCs w:val="24"/>
        </w:rPr>
        <w:t xml:space="preserve"> beginning January 1 of the calendar year </w:t>
      </w:r>
      <w:r w:rsidR="00C45E84" w:rsidRPr="003B4362">
        <w:rPr>
          <w:rFonts w:eastAsia="Calibri"/>
          <w:szCs w:val="24"/>
        </w:rPr>
        <w:t>after</w:t>
      </w:r>
      <w:r w:rsidRPr="003B4362">
        <w:rPr>
          <w:rFonts w:eastAsia="Calibri"/>
          <w:szCs w:val="24"/>
        </w:rPr>
        <w:t xml:space="preserve"> </w:t>
      </w:r>
      <w:r w:rsidR="00C45E84" w:rsidRPr="003B4362">
        <w:rPr>
          <w:rFonts w:eastAsia="Calibri"/>
          <w:szCs w:val="24"/>
        </w:rPr>
        <w:t xml:space="preserve">the supplier fails to comply with </w:t>
      </w:r>
      <w:r w:rsidRPr="003B4362">
        <w:rPr>
          <w:rFonts w:eastAsia="Calibri"/>
          <w:szCs w:val="24"/>
        </w:rPr>
        <w:t xml:space="preserve">the </w:t>
      </w:r>
      <w:r w:rsidR="00C45E84" w:rsidRPr="003B4362">
        <w:rPr>
          <w:rFonts w:eastAsia="Calibri"/>
          <w:szCs w:val="24"/>
        </w:rPr>
        <w:t xml:space="preserve">Agency-specified </w:t>
      </w:r>
      <w:r w:rsidRPr="003B4362">
        <w:rPr>
          <w:rFonts w:eastAsia="Calibri"/>
          <w:szCs w:val="24"/>
        </w:rPr>
        <w:t>water quality parameter</w:t>
      </w:r>
      <w:r w:rsidR="00C45E84" w:rsidRPr="003B4362">
        <w:rPr>
          <w:rFonts w:eastAsia="Calibri"/>
          <w:szCs w:val="24"/>
        </w:rPr>
        <w:t>s</w:t>
      </w:r>
      <w:bookmarkEnd w:id="2189"/>
      <w:r w:rsidRPr="003B4362">
        <w:rPr>
          <w:rFonts w:eastAsia="Calibri"/>
          <w:szCs w:val="24"/>
        </w:rPr>
        <w:t>.</w:t>
      </w:r>
    </w:p>
    <w:p w14:paraId="51BFF322" w14:textId="2040CA04" w:rsidR="00FF7417" w:rsidRPr="003B4362" w:rsidRDefault="00FF7417" w:rsidP="00FF7417">
      <w:pPr>
        <w:autoSpaceDE w:val="0"/>
        <w:autoSpaceDN w:val="0"/>
        <w:adjustRightInd w:val="0"/>
        <w:spacing w:before="240" w:after="240"/>
        <w:ind w:left="3600" w:hanging="720"/>
        <w:rPr>
          <w:rFonts w:eastAsia="Calibri"/>
          <w:szCs w:val="24"/>
        </w:rPr>
      </w:pPr>
      <w:r w:rsidRPr="003B4362">
        <w:rPr>
          <w:rFonts w:eastAsia="Calibri"/>
          <w:szCs w:val="24"/>
        </w:rPr>
        <w:t>vi)</w:t>
      </w:r>
      <w:r w:rsidRPr="003B4362">
        <w:rPr>
          <w:rFonts w:eastAsia="Calibri"/>
          <w:szCs w:val="24"/>
        </w:rPr>
        <w:tab/>
      </w:r>
      <w:r w:rsidR="009518BE" w:rsidRPr="003B4362">
        <w:rPr>
          <w:rFonts w:eastAsia="Calibri"/>
          <w:szCs w:val="24"/>
        </w:rPr>
        <w:t>A</w:t>
      </w:r>
      <w:bookmarkStart w:id="2190" w:name="_Hlk122548455"/>
      <w:r w:rsidR="009518BE" w:rsidRPr="003B4362">
        <w:rPr>
          <w:rFonts w:eastAsia="Calibri"/>
          <w:szCs w:val="24"/>
        </w:rPr>
        <w:t xml:space="preserve"> supplier becoming</w:t>
      </w:r>
      <w:r w:rsidRPr="003B4362">
        <w:rPr>
          <w:rFonts w:eastAsia="Calibri"/>
          <w:szCs w:val="24"/>
        </w:rPr>
        <w:t xml:space="preserve"> a large </w:t>
      </w:r>
      <w:r w:rsidR="00ED7A49" w:rsidRPr="003B4362">
        <w:rPr>
          <w:rFonts w:eastAsia="Calibri"/>
          <w:szCs w:val="24"/>
        </w:rPr>
        <w:t xml:space="preserve">supplier </w:t>
      </w:r>
      <w:r w:rsidR="008338DC" w:rsidRPr="003B4362">
        <w:rPr>
          <w:rFonts w:eastAsia="Calibri"/>
          <w:szCs w:val="24"/>
        </w:rPr>
        <w:t>not applying</w:t>
      </w:r>
      <w:r w:rsidRPr="003B4362">
        <w:rPr>
          <w:rFonts w:eastAsia="Calibri"/>
          <w:szCs w:val="24"/>
        </w:rPr>
        <w:t xml:space="preserve"> corrosion control treatment</w:t>
      </w:r>
      <w:bookmarkStart w:id="2191" w:name="_Hlk122548547"/>
      <w:bookmarkEnd w:id="2190"/>
      <w:r w:rsidRPr="003B4362">
        <w:rPr>
          <w:rFonts w:eastAsia="Calibri"/>
          <w:szCs w:val="24"/>
        </w:rPr>
        <w:t xml:space="preserve"> or any large </w:t>
      </w:r>
      <w:r w:rsidR="00ED7A49" w:rsidRPr="003B4362">
        <w:rPr>
          <w:rFonts w:eastAsia="Calibri"/>
          <w:szCs w:val="24"/>
        </w:rPr>
        <w:t>supplier not applying</w:t>
      </w:r>
      <w:r w:rsidRPr="003B4362">
        <w:rPr>
          <w:rFonts w:eastAsia="Calibri"/>
          <w:szCs w:val="24"/>
        </w:rPr>
        <w:t xml:space="preserve"> corrosion control treatment</w:t>
      </w:r>
      <w:bookmarkEnd w:id="2191"/>
      <w:r w:rsidRPr="003B4362">
        <w:rPr>
          <w:rFonts w:eastAsia="Calibri"/>
          <w:szCs w:val="24"/>
        </w:rPr>
        <w:t xml:space="preserve"> </w:t>
      </w:r>
      <w:bookmarkStart w:id="2192" w:name="_Hlk122548661"/>
      <w:r w:rsidR="00ED7A49" w:rsidRPr="003B4362">
        <w:rPr>
          <w:rFonts w:eastAsia="Calibri"/>
          <w:szCs w:val="24"/>
        </w:rPr>
        <w:t>having a</w:t>
      </w:r>
      <w:r w:rsidRPr="003B4362">
        <w:rPr>
          <w:rFonts w:eastAsia="Calibri"/>
          <w:szCs w:val="24"/>
        </w:rPr>
        <w:t xml:space="preserve"> 90th percentile </w:t>
      </w:r>
      <w:r w:rsidR="00ED7A49" w:rsidRPr="003B4362">
        <w:rPr>
          <w:rFonts w:eastAsia="Calibri"/>
          <w:szCs w:val="24"/>
        </w:rPr>
        <w:t xml:space="preserve">lead concentration </w:t>
      </w:r>
      <w:r w:rsidRPr="003B4362">
        <w:rPr>
          <w:rFonts w:eastAsia="Calibri"/>
          <w:szCs w:val="24"/>
        </w:rPr>
        <w:t>exceed</w:t>
      </w:r>
      <w:r w:rsidR="00ED7A49" w:rsidRPr="003B4362">
        <w:rPr>
          <w:rFonts w:eastAsia="Calibri"/>
          <w:szCs w:val="24"/>
        </w:rPr>
        <w:t>ing</w:t>
      </w:r>
      <w:r w:rsidRPr="003B4362">
        <w:rPr>
          <w:rFonts w:eastAsia="Calibri"/>
          <w:szCs w:val="24"/>
        </w:rPr>
        <w:t xml:space="preserve"> the lead practical quantitation limit</w:t>
      </w:r>
      <w:bookmarkEnd w:id="2192"/>
      <w:r w:rsidRPr="003B4362">
        <w:rPr>
          <w:rFonts w:eastAsia="Calibri"/>
          <w:szCs w:val="24"/>
        </w:rPr>
        <w:t xml:space="preserve"> must conduct standard monitoring for at least two consecutive </w:t>
      </w:r>
      <w:bookmarkStart w:id="2193" w:name="_Hlk122549902"/>
      <w:r w:rsidR="008338DC" w:rsidRPr="003B4362">
        <w:rPr>
          <w:rFonts w:eastAsia="Calibri"/>
          <w:szCs w:val="24"/>
        </w:rPr>
        <w:t>six</w:t>
      </w:r>
      <w:r w:rsidRPr="003B4362">
        <w:rPr>
          <w:rFonts w:eastAsia="Calibri"/>
          <w:szCs w:val="24"/>
        </w:rPr>
        <w:t>-month</w:t>
      </w:r>
      <w:bookmarkStart w:id="2194" w:name="_Hlk127913571"/>
      <w:bookmarkEnd w:id="2193"/>
      <w:r w:rsidRPr="003B4362">
        <w:rPr>
          <w:rFonts w:eastAsia="Calibri"/>
          <w:szCs w:val="24"/>
        </w:rPr>
        <w:t xml:space="preserve"> tap monitoring </w:t>
      </w:r>
      <w:bookmarkEnd w:id="2194"/>
      <w:r w:rsidR="00634947" w:rsidRPr="003B4362">
        <w:rPr>
          <w:rFonts w:eastAsia="Calibri"/>
          <w:szCs w:val="24"/>
        </w:rPr>
        <w:t>cycles</w:t>
      </w:r>
      <w:r w:rsidR="008338DC" w:rsidRPr="003B4362">
        <w:rPr>
          <w:rFonts w:eastAsia="Calibri"/>
          <w:szCs w:val="24"/>
        </w:rPr>
        <w:t xml:space="preserve">, </w:t>
      </w:r>
      <w:bookmarkStart w:id="2195" w:name="_Hlk122550020"/>
      <w:r w:rsidRPr="003B4362">
        <w:rPr>
          <w:rFonts w:eastAsia="Calibri"/>
          <w:szCs w:val="24"/>
        </w:rPr>
        <w:t>then</w:t>
      </w:r>
      <w:r w:rsidR="008338DC" w:rsidRPr="003B4362">
        <w:rPr>
          <w:rFonts w:eastAsia="Calibri"/>
          <w:szCs w:val="24"/>
        </w:rPr>
        <w:t xml:space="preserve"> </w:t>
      </w:r>
      <w:r w:rsidRPr="003B4362">
        <w:rPr>
          <w:rFonts w:eastAsia="Calibri"/>
          <w:szCs w:val="24"/>
        </w:rPr>
        <w:t xml:space="preserve">continue monitoring </w:t>
      </w:r>
      <w:r w:rsidR="008338DC" w:rsidRPr="003B4362">
        <w:rPr>
          <w:rFonts w:eastAsia="Calibri"/>
          <w:szCs w:val="24"/>
        </w:rPr>
        <w:t>under</w:t>
      </w:r>
      <w:r w:rsidRPr="003B4362">
        <w:rPr>
          <w:rFonts w:eastAsia="Calibri"/>
          <w:szCs w:val="24"/>
        </w:rPr>
        <w:t xml:space="preserve"> this subsection (d)(1)(</w:t>
      </w:r>
      <w:r w:rsidR="008338DC" w:rsidRPr="003B4362">
        <w:rPr>
          <w:rFonts w:eastAsia="Calibri"/>
          <w:szCs w:val="24"/>
        </w:rPr>
        <w:t>B</w:t>
      </w:r>
      <w:r w:rsidRPr="003B4362">
        <w:rPr>
          <w:rFonts w:eastAsia="Calibri"/>
          <w:szCs w:val="24"/>
        </w:rPr>
        <w:t>)(</w:t>
      </w:r>
      <w:r w:rsidR="008338DC" w:rsidRPr="003B4362">
        <w:rPr>
          <w:rFonts w:eastAsia="Calibri"/>
          <w:szCs w:val="24"/>
        </w:rPr>
        <w:t>vi</w:t>
      </w:r>
      <w:r w:rsidRPr="003B4362">
        <w:rPr>
          <w:rFonts w:eastAsia="Calibri"/>
          <w:szCs w:val="24"/>
        </w:rPr>
        <w:t>)</w:t>
      </w:r>
      <w:bookmarkEnd w:id="2195"/>
      <w:r w:rsidRPr="003B4362">
        <w:rPr>
          <w:rFonts w:eastAsia="Calibri"/>
          <w:szCs w:val="24"/>
        </w:rPr>
        <w:t>.</w:t>
      </w:r>
    </w:p>
    <w:p w14:paraId="12938E43" w14:textId="3CE4FFBD"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Monitoring after </w:t>
      </w:r>
      <w:r w:rsidR="002A518F" w:rsidRPr="003B4362">
        <w:rPr>
          <w:rFonts w:eastAsia="Calibri"/>
        </w:rPr>
        <w:t xml:space="preserve">Installing </w:t>
      </w:r>
      <w:bookmarkStart w:id="2196" w:name="_Hlk122554726"/>
      <w:r w:rsidR="002A518F" w:rsidRPr="003B4362">
        <w:rPr>
          <w:szCs w:val="24"/>
        </w:rPr>
        <w:t>Initial or Re-Optimized</w:t>
      </w:r>
      <w:bookmarkEnd w:id="2196"/>
      <w:r w:rsidR="002A518F" w:rsidRPr="003B4362">
        <w:rPr>
          <w:szCs w:val="24"/>
        </w:rPr>
        <w:t xml:space="preserve"> </w:t>
      </w:r>
      <w:r w:rsidRPr="003B4362">
        <w:rPr>
          <w:rFonts w:eastAsia="Calibri"/>
        </w:rPr>
        <w:t xml:space="preserve">Corrosion Control </w:t>
      </w:r>
      <w:r w:rsidR="002A518F" w:rsidRPr="003B4362">
        <w:rPr>
          <w:szCs w:val="24"/>
        </w:rPr>
        <w:t xml:space="preserve">Treatment, Installing </w:t>
      </w:r>
      <w:r w:rsidRPr="003B4362">
        <w:rPr>
          <w:rFonts w:eastAsia="Calibri"/>
        </w:rPr>
        <w:t>Source Water Treatment</w:t>
      </w:r>
      <w:r w:rsidR="002A518F" w:rsidRPr="003B4362">
        <w:rPr>
          <w:rFonts w:eastAsia="Calibri"/>
        </w:rPr>
        <w:t>,</w:t>
      </w:r>
      <w:r w:rsidR="009F648F" w:rsidRPr="003B4362">
        <w:rPr>
          <w:rFonts w:eastAsia="Calibri"/>
        </w:rPr>
        <w:t xml:space="preserve"> </w:t>
      </w:r>
      <w:r w:rsidR="002A518F" w:rsidRPr="003B4362">
        <w:rPr>
          <w:szCs w:val="24"/>
        </w:rPr>
        <w:t>Adding a New Source</w:t>
      </w:r>
      <w:r w:rsidR="009F648F" w:rsidRPr="003B4362">
        <w:rPr>
          <w:szCs w:val="24"/>
        </w:rPr>
        <w:t>,</w:t>
      </w:r>
      <w:r w:rsidR="002A518F" w:rsidRPr="003B4362">
        <w:rPr>
          <w:szCs w:val="24"/>
        </w:rPr>
        <w:t xml:space="preserve"> or a Change in Treatment</w:t>
      </w:r>
    </w:p>
    <w:p w14:paraId="703F07CD" w14:textId="775E713D" w:rsidR="009F648F" w:rsidRPr="003B4362" w:rsidRDefault="009F648F" w:rsidP="009F648F">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r w:rsidR="0028502B" w:rsidRPr="003B4362">
        <w:rPr>
          <w:rFonts w:eastAsia="Calibri"/>
          <w:szCs w:val="24"/>
        </w:rPr>
        <w:t>A</w:t>
      </w:r>
      <w:bookmarkStart w:id="2197" w:name="_Hlk122557413"/>
      <w:r w:rsidR="0028502B" w:rsidRPr="003B4362">
        <w:rPr>
          <w:rFonts w:eastAsia="Calibri"/>
          <w:szCs w:val="24"/>
        </w:rPr>
        <w:t xml:space="preserve"> supplier</w:t>
      </w:r>
      <w:r w:rsidRPr="003B4362">
        <w:rPr>
          <w:rFonts w:eastAsia="Calibri"/>
          <w:szCs w:val="24"/>
        </w:rPr>
        <w:t xml:space="preserve"> install</w:t>
      </w:r>
      <w:bookmarkStart w:id="2198" w:name="_Hlk122556996"/>
      <w:r w:rsidR="0028502B" w:rsidRPr="003B4362">
        <w:rPr>
          <w:rFonts w:eastAsia="Calibri"/>
          <w:szCs w:val="24"/>
        </w:rPr>
        <w:t>ing</w:t>
      </w:r>
      <w:r w:rsidRPr="003B4362">
        <w:rPr>
          <w:rFonts w:eastAsia="Calibri"/>
          <w:szCs w:val="24"/>
        </w:rPr>
        <w:t xml:space="preserve"> or re-optimiz</w:t>
      </w:r>
      <w:r w:rsidR="0028502B" w:rsidRPr="003B4362">
        <w:rPr>
          <w:rFonts w:eastAsia="Calibri"/>
          <w:szCs w:val="24"/>
        </w:rPr>
        <w:t>ing</w:t>
      </w:r>
      <w:r w:rsidRPr="003B4362">
        <w:rPr>
          <w:rFonts w:eastAsia="Calibri"/>
          <w:szCs w:val="24"/>
        </w:rPr>
        <w:t xml:space="preserve"> corrosion control treatment</w:t>
      </w:r>
      <w:bookmarkEnd w:id="2197"/>
      <w:bookmarkEnd w:id="2198"/>
      <w:r w:rsidRPr="003B4362">
        <w:rPr>
          <w:rFonts w:eastAsia="Calibri"/>
          <w:szCs w:val="24"/>
        </w:rPr>
        <w:t xml:space="preserve"> </w:t>
      </w:r>
      <w:bookmarkStart w:id="2199" w:name="_Hlk122556918"/>
      <w:r w:rsidR="0028502B" w:rsidRPr="003B4362">
        <w:rPr>
          <w:rFonts w:eastAsia="Calibri"/>
          <w:szCs w:val="24"/>
        </w:rPr>
        <w:t>after</w:t>
      </w:r>
      <w:r w:rsidRPr="003B4362">
        <w:rPr>
          <w:rFonts w:eastAsia="Calibri"/>
          <w:szCs w:val="24"/>
        </w:rPr>
        <w:t xml:space="preserve"> exceeding the lead or copper action level</w:t>
      </w:r>
      <w:bookmarkEnd w:id="2199"/>
      <w:r w:rsidR="0028502B" w:rsidRPr="003B4362">
        <w:rPr>
          <w:rFonts w:eastAsia="Calibri"/>
          <w:szCs w:val="24"/>
        </w:rPr>
        <w:t xml:space="preserve"> </w:t>
      </w:r>
      <w:r w:rsidRPr="003B4362">
        <w:rPr>
          <w:rFonts w:eastAsia="Calibri"/>
          <w:szCs w:val="24"/>
        </w:rPr>
        <w:t xml:space="preserve">must monitor for lead and copper every six months and </w:t>
      </w:r>
      <w:bookmarkStart w:id="2200" w:name="_Hlk122557666"/>
      <w:r w:rsidRPr="003B4362">
        <w:rPr>
          <w:rFonts w:eastAsia="Calibri"/>
          <w:szCs w:val="24"/>
        </w:rPr>
        <w:t xml:space="preserve">comply with </w:t>
      </w:r>
      <w:r w:rsidR="0028502B" w:rsidRPr="003B4362">
        <w:rPr>
          <w:rFonts w:eastAsia="Calibri"/>
          <w:szCs w:val="24"/>
        </w:rPr>
        <w:t>applicable Agency-</w:t>
      </w:r>
      <w:r w:rsidRPr="003B4362">
        <w:rPr>
          <w:rFonts w:eastAsia="Calibri"/>
          <w:szCs w:val="24"/>
        </w:rPr>
        <w:t>designated water quality parameter values</w:t>
      </w:r>
      <w:r w:rsidR="0028502B" w:rsidRPr="003B4362">
        <w:rPr>
          <w:rFonts w:eastAsia="Calibri"/>
          <w:szCs w:val="24"/>
        </w:rPr>
        <w:t xml:space="preserve"> </w:t>
      </w:r>
      <w:r w:rsidRPr="003B4362">
        <w:rPr>
          <w:rFonts w:eastAsia="Calibri"/>
          <w:szCs w:val="24"/>
        </w:rPr>
        <w:t>until</w:t>
      </w:r>
      <w:bookmarkEnd w:id="2200"/>
      <w:r w:rsidRPr="003B4362">
        <w:rPr>
          <w:rFonts w:eastAsia="Calibri"/>
          <w:szCs w:val="24"/>
        </w:rPr>
        <w:t xml:space="preserve"> </w:t>
      </w:r>
      <w:bookmarkStart w:id="2201" w:name="_Hlk122557777"/>
      <w:r w:rsidRPr="003B4362">
        <w:rPr>
          <w:rFonts w:eastAsia="Calibri"/>
          <w:szCs w:val="24"/>
        </w:rPr>
        <w:t xml:space="preserve">the </w:t>
      </w:r>
      <w:r w:rsidR="0028502B" w:rsidRPr="003B4362">
        <w:rPr>
          <w:rFonts w:eastAsia="Calibri"/>
          <w:szCs w:val="24"/>
        </w:rPr>
        <w:t>Agency issues a SEP</w:t>
      </w:r>
      <w:r w:rsidRPr="003B4362">
        <w:rPr>
          <w:rFonts w:eastAsia="Calibri"/>
          <w:szCs w:val="24"/>
        </w:rPr>
        <w:t xml:space="preserve"> specif</w:t>
      </w:r>
      <w:r w:rsidR="0028502B" w:rsidRPr="003B4362">
        <w:rPr>
          <w:rFonts w:eastAsia="Calibri"/>
          <w:szCs w:val="24"/>
        </w:rPr>
        <w:t>ying</w:t>
      </w:r>
      <w:r w:rsidRPr="003B4362">
        <w:rPr>
          <w:rFonts w:eastAsia="Calibri"/>
          <w:szCs w:val="24"/>
        </w:rPr>
        <w:t xml:space="preserve"> new water quality parameter values</w:t>
      </w:r>
      <w:bookmarkEnd w:id="2201"/>
      <w:r w:rsidRPr="003B4362">
        <w:rPr>
          <w:rFonts w:eastAsia="Calibri"/>
          <w:szCs w:val="24"/>
        </w:rPr>
        <w:t xml:space="preserve"> for optimal corrosion control.</w:t>
      </w:r>
    </w:p>
    <w:p w14:paraId="3D1B2840" w14:textId="725F757D" w:rsidR="009F648F" w:rsidRPr="003B4362" w:rsidRDefault="009F648F" w:rsidP="009F648F">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r w:rsidR="00941582" w:rsidRPr="003B4362">
        <w:rPr>
          <w:szCs w:val="24"/>
        </w:rPr>
        <w:t>A</w:t>
      </w:r>
      <w:bookmarkStart w:id="2202" w:name="_Hlk122561334"/>
      <w:r w:rsidR="00941582" w:rsidRPr="003B4362">
        <w:rPr>
          <w:szCs w:val="24"/>
        </w:rPr>
        <w:t xml:space="preserve"> supplier reoptimizing corrosion control treatment</w:t>
      </w:r>
      <w:r w:rsidRPr="003B4362">
        <w:rPr>
          <w:rFonts w:eastAsia="Calibri"/>
          <w:szCs w:val="24"/>
        </w:rPr>
        <w:t xml:space="preserve"> </w:t>
      </w:r>
      <w:r w:rsidR="00150822" w:rsidRPr="003B4362">
        <w:rPr>
          <w:rFonts w:eastAsia="Calibri"/>
          <w:szCs w:val="24"/>
        </w:rPr>
        <w:t xml:space="preserve">as a result of </w:t>
      </w:r>
      <w:r w:rsidRPr="003B4362">
        <w:rPr>
          <w:rFonts w:eastAsia="Calibri"/>
          <w:szCs w:val="24"/>
        </w:rPr>
        <w:t>exceeding the lead trigger level but</w:t>
      </w:r>
      <w:r w:rsidR="00941582" w:rsidRPr="003B4362">
        <w:rPr>
          <w:szCs w:val="24"/>
        </w:rPr>
        <w:t xml:space="preserve"> </w:t>
      </w:r>
      <w:r w:rsidRPr="003B4362">
        <w:rPr>
          <w:rFonts w:eastAsia="Calibri"/>
          <w:szCs w:val="24"/>
        </w:rPr>
        <w:t>not exceed</w:t>
      </w:r>
      <w:r w:rsidR="00941582" w:rsidRPr="003B4362">
        <w:rPr>
          <w:szCs w:val="24"/>
        </w:rPr>
        <w:t>ing</w:t>
      </w:r>
      <w:r w:rsidRPr="003B4362">
        <w:rPr>
          <w:rFonts w:eastAsia="Calibri"/>
          <w:szCs w:val="24"/>
        </w:rPr>
        <w:t xml:space="preserve"> the lead or copper action level</w:t>
      </w:r>
      <w:bookmarkEnd w:id="2202"/>
      <w:r w:rsidRPr="003B4362">
        <w:rPr>
          <w:rFonts w:eastAsia="Calibri"/>
          <w:szCs w:val="24"/>
        </w:rPr>
        <w:t xml:space="preserve"> </w:t>
      </w:r>
      <w:bookmarkStart w:id="2203" w:name="_Hlk122561852"/>
      <w:r w:rsidRPr="003B4362">
        <w:rPr>
          <w:rFonts w:eastAsia="Calibri"/>
          <w:szCs w:val="24"/>
        </w:rPr>
        <w:t xml:space="preserve">must </w:t>
      </w:r>
      <w:r w:rsidR="00941582" w:rsidRPr="003B4362">
        <w:rPr>
          <w:rFonts w:eastAsia="Calibri"/>
          <w:szCs w:val="24"/>
        </w:rPr>
        <w:t xml:space="preserve">annually </w:t>
      </w:r>
      <w:r w:rsidRPr="003B4362">
        <w:rPr>
          <w:rFonts w:eastAsia="Calibri"/>
          <w:szCs w:val="24"/>
        </w:rPr>
        <w:t>monitor for lead</w:t>
      </w:r>
      <w:bookmarkEnd w:id="2203"/>
      <w:r w:rsidRPr="003B4362">
        <w:rPr>
          <w:rFonts w:eastAsia="Calibri"/>
          <w:szCs w:val="24"/>
        </w:rPr>
        <w:t xml:space="preserve"> at the standard </w:t>
      </w:r>
      <w:bookmarkStart w:id="2204" w:name="_Hlk122561934"/>
      <w:r w:rsidRPr="003B4362">
        <w:rPr>
          <w:rFonts w:eastAsia="Calibri"/>
          <w:szCs w:val="24"/>
        </w:rPr>
        <w:t>number of sites</w:t>
      </w:r>
      <w:r w:rsidR="00941582" w:rsidRPr="003B4362">
        <w:rPr>
          <w:szCs w:val="24"/>
        </w:rPr>
        <w:t xml:space="preserve"> </w:t>
      </w:r>
      <w:r w:rsidRPr="003B4362">
        <w:rPr>
          <w:rFonts w:eastAsia="Calibri"/>
          <w:szCs w:val="24"/>
        </w:rPr>
        <w:t xml:space="preserve">subsection (c) </w:t>
      </w:r>
      <w:r w:rsidR="00941582" w:rsidRPr="003B4362">
        <w:rPr>
          <w:rFonts w:eastAsia="Calibri"/>
          <w:szCs w:val="24"/>
        </w:rPr>
        <w:t>requires</w:t>
      </w:r>
      <w:bookmarkEnd w:id="2204"/>
      <w:r w:rsidRPr="003B4362">
        <w:rPr>
          <w:rFonts w:eastAsia="Calibri"/>
          <w:szCs w:val="24"/>
        </w:rPr>
        <w:t xml:space="preserve">.  </w:t>
      </w:r>
      <w:bookmarkStart w:id="2205" w:name="_Hlk122561973"/>
      <w:r w:rsidR="000B3CDF" w:rsidRPr="003B4362">
        <w:rPr>
          <w:rFonts w:eastAsia="Calibri"/>
          <w:szCs w:val="24"/>
        </w:rPr>
        <w:t>T</w:t>
      </w:r>
      <w:bookmarkStart w:id="2206" w:name="_Hlk122562077"/>
      <w:r w:rsidR="000B3CDF" w:rsidRPr="003B4362">
        <w:rPr>
          <w:rFonts w:eastAsia="Calibri"/>
          <w:szCs w:val="24"/>
        </w:rPr>
        <w:t>he supplier must triennially analyze s</w:t>
      </w:r>
      <w:r w:rsidRPr="003B4362">
        <w:rPr>
          <w:rFonts w:eastAsia="Calibri"/>
          <w:szCs w:val="24"/>
        </w:rPr>
        <w:t>amples</w:t>
      </w:r>
      <w:r w:rsidR="000B3CDF" w:rsidRPr="003B4362">
        <w:rPr>
          <w:rFonts w:eastAsia="Calibri"/>
          <w:szCs w:val="24"/>
        </w:rPr>
        <w:t xml:space="preserve"> </w:t>
      </w:r>
      <w:r w:rsidRPr="003B4362">
        <w:rPr>
          <w:rFonts w:eastAsia="Calibri"/>
          <w:szCs w:val="24"/>
        </w:rPr>
        <w:t>for copper</w:t>
      </w:r>
      <w:bookmarkEnd w:id="2205"/>
      <w:bookmarkEnd w:id="2206"/>
      <w:r w:rsidRPr="003B4362">
        <w:rPr>
          <w:rFonts w:eastAsia="Calibri"/>
          <w:szCs w:val="24"/>
        </w:rPr>
        <w:t xml:space="preserve">.  </w:t>
      </w:r>
      <w:r w:rsidR="000B3CDF" w:rsidRPr="003B4362">
        <w:rPr>
          <w:rFonts w:eastAsia="Calibri"/>
          <w:szCs w:val="24"/>
        </w:rPr>
        <w:t>A</w:t>
      </w:r>
      <w:bookmarkStart w:id="2207" w:name="_Hlk122562329"/>
      <w:r w:rsidR="000B3CDF" w:rsidRPr="003B4362">
        <w:rPr>
          <w:rFonts w:eastAsia="Calibri"/>
          <w:szCs w:val="24"/>
        </w:rPr>
        <w:t xml:space="preserve"> s</w:t>
      </w:r>
      <w:r w:rsidRPr="003B4362">
        <w:rPr>
          <w:rFonts w:eastAsia="Calibri"/>
          <w:szCs w:val="24"/>
        </w:rPr>
        <w:t xml:space="preserve">mall </w:t>
      </w:r>
      <w:r w:rsidR="000B3CDF" w:rsidRPr="003B4362">
        <w:rPr>
          <w:rFonts w:eastAsia="Calibri"/>
          <w:szCs w:val="24"/>
        </w:rPr>
        <w:t>or</w:t>
      </w:r>
      <w:r w:rsidRPr="003B4362">
        <w:rPr>
          <w:rFonts w:eastAsia="Calibri"/>
          <w:szCs w:val="24"/>
        </w:rPr>
        <w:t xml:space="preserve"> m</w:t>
      </w:r>
      <w:r w:rsidR="00CC15F0" w:rsidRPr="003B4362">
        <w:rPr>
          <w:rFonts w:eastAsia="Calibri"/>
          <w:szCs w:val="24"/>
        </w:rPr>
        <w:t>id</w:t>
      </w:r>
      <w:r w:rsidRPr="003B4362">
        <w:rPr>
          <w:rFonts w:eastAsia="Calibri"/>
          <w:szCs w:val="24"/>
        </w:rPr>
        <w:t>-size</w:t>
      </w:r>
      <w:r w:rsidR="000B3CDF" w:rsidRPr="003B4362">
        <w:rPr>
          <w:rFonts w:eastAsia="Calibri"/>
          <w:szCs w:val="24"/>
        </w:rPr>
        <w:t>d</w:t>
      </w:r>
      <w:r w:rsidRPr="003B4362">
        <w:rPr>
          <w:rFonts w:eastAsia="Calibri"/>
          <w:szCs w:val="24"/>
        </w:rPr>
        <w:t xml:space="preserve"> </w:t>
      </w:r>
      <w:r w:rsidR="000B3CDF" w:rsidRPr="003B4362">
        <w:rPr>
          <w:rFonts w:eastAsia="Calibri"/>
          <w:szCs w:val="24"/>
        </w:rPr>
        <w:t xml:space="preserve">supplier </w:t>
      </w:r>
      <w:r w:rsidRPr="003B4362">
        <w:rPr>
          <w:rFonts w:eastAsia="Calibri"/>
          <w:szCs w:val="24"/>
        </w:rPr>
        <w:t>not exceed</w:t>
      </w:r>
      <w:r w:rsidR="000B3CDF" w:rsidRPr="003B4362">
        <w:rPr>
          <w:rFonts w:eastAsia="Calibri"/>
          <w:szCs w:val="24"/>
        </w:rPr>
        <w:t>ing</w:t>
      </w:r>
      <w:r w:rsidRPr="003B4362">
        <w:rPr>
          <w:rFonts w:eastAsia="Calibri"/>
          <w:szCs w:val="24"/>
        </w:rPr>
        <w:t xml:space="preserve"> the lead trigger level</w:t>
      </w:r>
      <w:bookmarkEnd w:id="2207"/>
      <w:r w:rsidRPr="003B4362">
        <w:rPr>
          <w:rFonts w:eastAsia="Calibri"/>
          <w:szCs w:val="24"/>
        </w:rPr>
        <w:t xml:space="preserve"> in </w:t>
      </w:r>
      <w:bookmarkStart w:id="2208" w:name="_Hlk127915896"/>
      <w:bookmarkStart w:id="2209" w:name="_Hlk127915836"/>
      <w:r w:rsidRPr="003B4362">
        <w:rPr>
          <w:rFonts w:eastAsia="Calibri"/>
          <w:szCs w:val="24"/>
        </w:rPr>
        <w:t xml:space="preserve">three annual </w:t>
      </w:r>
      <w:r w:rsidR="00F07F1F" w:rsidRPr="003B4362">
        <w:rPr>
          <w:rFonts w:eastAsia="Calibri"/>
          <w:szCs w:val="24"/>
        </w:rPr>
        <w:t xml:space="preserve">tap </w:t>
      </w:r>
      <w:r w:rsidR="009F0B56" w:rsidRPr="003B4362">
        <w:rPr>
          <w:rFonts w:eastAsia="Calibri"/>
          <w:szCs w:val="24"/>
        </w:rPr>
        <w:t>monitor</w:t>
      </w:r>
      <w:r w:rsidR="00F07F1F" w:rsidRPr="003B4362">
        <w:rPr>
          <w:rFonts w:eastAsia="Calibri"/>
          <w:szCs w:val="24"/>
        </w:rPr>
        <w:t>ing</w:t>
      </w:r>
      <w:r w:rsidRPr="003B4362">
        <w:rPr>
          <w:rFonts w:eastAsia="Calibri"/>
          <w:szCs w:val="24"/>
        </w:rPr>
        <w:t xml:space="preserve"> </w:t>
      </w:r>
      <w:bookmarkEnd w:id="2208"/>
      <w:r w:rsidR="009F0B56" w:rsidRPr="003B4362">
        <w:rPr>
          <w:rFonts w:eastAsia="Calibri"/>
          <w:szCs w:val="24"/>
        </w:rPr>
        <w:t>cycle</w:t>
      </w:r>
      <w:r w:rsidRPr="003B4362">
        <w:rPr>
          <w:rFonts w:eastAsia="Calibri"/>
          <w:szCs w:val="24"/>
        </w:rPr>
        <w:t>s</w:t>
      </w:r>
      <w:bookmarkEnd w:id="2209"/>
      <w:r w:rsidRPr="003B4362">
        <w:rPr>
          <w:rFonts w:eastAsia="Calibri"/>
          <w:szCs w:val="24"/>
        </w:rPr>
        <w:t xml:space="preserve"> may reduce lead monitoring </w:t>
      </w:r>
      <w:bookmarkStart w:id="2210" w:name="_Hlk122562398"/>
      <w:r w:rsidR="000B3CDF" w:rsidRPr="003B4362">
        <w:rPr>
          <w:rFonts w:eastAsia="Calibri"/>
          <w:szCs w:val="24"/>
        </w:rPr>
        <w:t>under</w:t>
      </w:r>
      <w:r w:rsidRPr="003B4362">
        <w:rPr>
          <w:rFonts w:eastAsia="Calibri"/>
          <w:szCs w:val="24"/>
        </w:rPr>
        <w:t xml:space="preserve"> subsection (d)(4)</w:t>
      </w:r>
      <w:bookmarkEnd w:id="2210"/>
      <w:r w:rsidRPr="003B4362">
        <w:rPr>
          <w:rFonts w:eastAsia="Calibri"/>
          <w:szCs w:val="24"/>
        </w:rPr>
        <w:t>.</w:t>
      </w:r>
    </w:p>
    <w:p w14:paraId="55E404ED" w14:textId="1FB20E37" w:rsidR="009F648F" w:rsidRPr="003B4362" w:rsidRDefault="009F648F" w:rsidP="009F648F">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r>
      <w:r w:rsidR="00957AA9" w:rsidRPr="003B4362">
        <w:rPr>
          <w:rFonts w:eastAsia="Calibri"/>
          <w:szCs w:val="24"/>
        </w:rPr>
        <w:t>A</w:t>
      </w:r>
      <w:bookmarkStart w:id="2211" w:name="_Hlk122603132"/>
      <w:r w:rsidR="00957AA9" w:rsidRPr="003B4362">
        <w:rPr>
          <w:rFonts w:eastAsia="Calibri"/>
          <w:szCs w:val="24"/>
        </w:rPr>
        <w:t xml:space="preserve"> supplier</w:t>
      </w:r>
      <w:r w:rsidRPr="003B4362">
        <w:rPr>
          <w:rFonts w:eastAsia="Calibri"/>
          <w:szCs w:val="24"/>
        </w:rPr>
        <w:t xml:space="preserve"> install</w:t>
      </w:r>
      <w:r w:rsidR="00957AA9" w:rsidRPr="003B4362">
        <w:rPr>
          <w:rFonts w:eastAsia="Calibri"/>
          <w:szCs w:val="24"/>
        </w:rPr>
        <w:t>ing</w:t>
      </w:r>
      <w:r w:rsidRPr="003B4362">
        <w:rPr>
          <w:rFonts w:eastAsia="Calibri"/>
          <w:szCs w:val="24"/>
        </w:rPr>
        <w:t xml:space="preserve"> source water treatment </w:t>
      </w:r>
      <w:r w:rsidR="00957AA9" w:rsidRPr="003B4362">
        <w:rPr>
          <w:rFonts w:eastAsia="Calibri"/>
          <w:szCs w:val="24"/>
        </w:rPr>
        <w:t>under</w:t>
      </w:r>
      <w:r w:rsidRPr="003B4362">
        <w:rPr>
          <w:rFonts w:eastAsia="Calibri"/>
          <w:szCs w:val="24"/>
        </w:rPr>
        <w:t xml:space="preserve"> Section </w:t>
      </w:r>
      <w:r w:rsidR="00957AA9" w:rsidRPr="003B4362">
        <w:rPr>
          <w:rFonts w:eastAsia="Calibri"/>
          <w:szCs w:val="24"/>
        </w:rPr>
        <w:t>611.35</w:t>
      </w:r>
      <w:r w:rsidRPr="003B4362">
        <w:rPr>
          <w:rFonts w:eastAsia="Calibri"/>
          <w:szCs w:val="24"/>
        </w:rPr>
        <w:t>3(a)(3)</w:t>
      </w:r>
      <w:bookmarkEnd w:id="2211"/>
      <w:r w:rsidRPr="003B4362">
        <w:rPr>
          <w:rFonts w:eastAsia="Calibri"/>
          <w:szCs w:val="24"/>
        </w:rPr>
        <w:t xml:space="preserve"> must monitor every six months </w:t>
      </w:r>
      <w:bookmarkStart w:id="2212" w:name="_Hlk122603243"/>
      <w:r w:rsidRPr="003B4362">
        <w:rPr>
          <w:rFonts w:eastAsia="Calibri"/>
          <w:szCs w:val="24"/>
        </w:rPr>
        <w:t xml:space="preserve">until the </w:t>
      </w:r>
      <w:r w:rsidR="00957AA9" w:rsidRPr="003B4362">
        <w:rPr>
          <w:rFonts w:eastAsia="Calibri"/>
          <w:szCs w:val="24"/>
        </w:rPr>
        <w:t>supplier is</w:t>
      </w:r>
      <w:r w:rsidRPr="003B4362">
        <w:rPr>
          <w:rFonts w:eastAsia="Calibri"/>
          <w:szCs w:val="24"/>
        </w:rPr>
        <w:t xml:space="preserve"> at or below lead and copper action levels</w:t>
      </w:r>
      <w:bookmarkEnd w:id="2212"/>
      <w:r w:rsidRPr="003B4362">
        <w:rPr>
          <w:rFonts w:eastAsia="Calibri"/>
          <w:szCs w:val="24"/>
        </w:rPr>
        <w:t xml:space="preserve"> for </w:t>
      </w:r>
      <w:bookmarkStart w:id="2213" w:name="_Hlk127916279"/>
      <w:r w:rsidRPr="003B4362">
        <w:rPr>
          <w:rFonts w:eastAsia="Calibri"/>
          <w:szCs w:val="24"/>
        </w:rPr>
        <w:t xml:space="preserve">two consecutive six-month </w:t>
      </w:r>
      <w:r w:rsidR="00F07F1F" w:rsidRPr="003B4362">
        <w:rPr>
          <w:rFonts w:eastAsia="Calibri"/>
          <w:szCs w:val="24"/>
        </w:rPr>
        <w:t>tap sampling</w:t>
      </w:r>
      <w:r w:rsidRPr="003B4362">
        <w:rPr>
          <w:rFonts w:eastAsia="Calibri"/>
          <w:szCs w:val="24"/>
        </w:rPr>
        <w:t xml:space="preserve"> periods</w:t>
      </w:r>
      <w:bookmarkEnd w:id="2213"/>
      <w:r w:rsidRPr="003B4362">
        <w:rPr>
          <w:rFonts w:eastAsia="Calibri"/>
          <w:szCs w:val="24"/>
        </w:rPr>
        <w:t xml:space="preserve">.  </w:t>
      </w:r>
      <w:bookmarkStart w:id="2214" w:name="_Hlk122603364"/>
      <w:r w:rsidR="00957AA9" w:rsidRPr="003B4362">
        <w:rPr>
          <w:rFonts w:eastAsia="Calibri"/>
          <w:szCs w:val="24"/>
        </w:rPr>
        <w:t>A</w:t>
      </w:r>
      <w:bookmarkStart w:id="2215" w:name="_Hlk122603444"/>
      <w:r w:rsidR="00957AA9" w:rsidRPr="003B4362">
        <w:rPr>
          <w:rFonts w:eastAsia="Calibri"/>
          <w:szCs w:val="24"/>
        </w:rPr>
        <w:t xml:space="preserve"> supplier </w:t>
      </w:r>
      <w:r w:rsidRPr="003B4362">
        <w:rPr>
          <w:rFonts w:eastAsia="Calibri"/>
          <w:szCs w:val="24"/>
        </w:rPr>
        <w:t>not exceed</w:t>
      </w:r>
      <w:r w:rsidR="00957AA9" w:rsidRPr="003B4362">
        <w:rPr>
          <w:rFonts w:eastAsia="Calibri"/>
          <w:szCs w:val="24"/>
        </w:rPr>
        <w:t>ing</w:t>
      </w:r>
      <w:r w:rsidRPr="003B4362">
        <w:rPr>
          <w:rFonts w:eastAsia="Calibri"/>
          <w:szCs w:val="24"/>
        </w:rPr>
        <w:t xml:space="preserve"> the lead or copper action level</w:t>
      </w:r>
      <w:bookmarkEnd w:id="2214"/>
      <w:bookmarkEnd w:id="2215"/>
      <w:r w:rsidRPr="003B4362">
        <w:rPr>
          <w:rFonts w:eastAsia="Calibri"/>
          <w:szCs w:val="24"/>
        </w:rPr>
        <w:t xml:space="preserve"> for two consecutive </w:t>
      </w:r>
      <w:bookmarkStart w:id="2216" w:name="_Hlk122603500"/>
      <w:r w:rsidR="00957AA9" w:rsidRPr="003B4362">
        <w:rPr>
          <w:rFonts w:eastAsia="Calibri"/>
          <w:szCs w:val="24"/>
        </w:rPr>
        <w:t>six</w:t>
      </w:r>
      <w:r w:rsidRPr="003B4362">
        <w:rPr>
          <w:rFonts w:eastAsia="Calibri"/>
          <w:szCs w:val="24"/>
        </w:rPr>
        <w:t xml:space="preserve">-month </w:t>
      </w:r>
      <w:r w:rsidR="00F07F1F" w:rsidRPr="003B4362">
        <w:rPr>
          <w:rFonts w:eastAsia="Calibri"/>
          <w:szCs w:val="24"/>
        </w:rPr>
        <w:t xml:space="preserve">tap </w:t>
      </w:r>
      <w:r w:rsidR="009F0B56" w:rsidRPr="003B4362">
        <w:rPr>
          <w:rFonts w:eastAsia="Calibri"/>
          <w:szCs w:val="24"/>
        </w:rPr>
        <w:t>monitor</w:t>
      </w:r>
      <w:r w:rsidR="00F07F1F" w:rsidRPr="003B4362">
        <w:rPr>
          <w:rFonts w:eastAsia="Calibri"/>
          <w:szCs w:val="24"/>
        </w:rPr>
        <w:t>ing</w:t>
      </w:r>
      <w:r w:rsidRPr="003B4362">
        <w:rPr>
          <w:rFonts w:eastAsia="Calibri"/>
          <w:szCs w:val="24"/>
        </w:rPr>
        <w:t xml:space="preserve"> </w:t>
      </w:r>
      <w:r w:rsidR="009F0B56" w:rsidRPr="003B4362">
        <w:rPr>
          <w:rFonts w:eastAsia="Calibri"/>
          <w:szCs w:val="24"/>
        </w:rPr>
        <w:t>cycle</w:t>
      </w:r>
      <w:r w:rsidRPr="003B4362">
        <w:rPr>
          <w:rFonts w:eastAsia="Calibri"/>
          <w:szCs w:val="24"/>
        </w:rPr>
        <w:t>s</w:t>
      </w:r>
      <w:bookmarkEnd w:id="2216"/>
      <w:r w:rsidRPr="003B4362">
        <w:rPr>
          <w:rFonts w:eastAsia="Calibri"/>
          <w:szCs w:val="24"/>
        </w:rPr>
        <w:t xml:space="preserve"> may reduce monitoring </w:t>
      </w:r>
      <w:r w:rsidR="00957AA9" w:rsidRPr="003B4362">
        <w:rPr>
          <w:rFonts w:eastAsia="Calibri"/>
          <w:szCs w:val="24"/>
        </w:rPr>
        <w:t>under</w:t>
      </w:r>
      <w:r w:rsidRPr="003B4362">
        <w:rPr>
          <w:rFonts w:eastAsia="Calibri"/>
          <w:szCs w:val="24"/>
        </w:rPr>
        <w:t xml:space="preserve"> subsection (d)(4).</w:t>
      </w:r>
    </w:p>
    <w:p w14:paraId="279DE498" w14:textId="4ED3C316" w:rsidR="009F648F" w:rsidRPr="003B4362" w:rsidRDefault="009F648F" w:rsidP="009F648F">
      <w:pPr>
        <w:autoSpaceDE w:val="0"/>
        <w:autoSpaceDN w:val="0"/>
        <w:adjustRightInd w:val="0"/>
        <w:spacing w:before="240" w:after="240"/>
        <w:ind w:left="2880" w:hanging="720"/>
        <w:rPr>
          <w:rFonts w:eastAsia="Calibri"/>
          <w:szCs w:val="24"/>
        </w:rPr>
      </w:pPr>
      <w:r w:rsidRPr="003B4362">
        <w:rPr>
          <w:rFonts w:eastAsia="Calibri"/>
          <w:szCs w:val="24"/>
        </w:rPr>
        <w:lastRenderedPageBreak/>
        <w:t>D)</w:t>
      </w:r>
      <w:r w:rsidRPr="003B4362">
        <w:rPr>
          <w:rFonts w:eastAsia="Calibri"/>
          <w:szCs w:val="24"/>
        </w:rPr>
        <w:tab/>
        <w:t>I</w:t>
      </w:r>
      <w:bookmarkStart w:id="2217" w:name="_Hlk122610790"/>
      <w:bookmarkStart w:id="2218" w:name="_Hlk122622698"/>
      <w:r w:rsidRPr="003B4362">
        <w:rPr>
          <w:rFonts w:eastAsia="Calibri"/>
          <w:szCs w:val="24"/>
        </w:rPr>
        <w:t xml:space="preserve">f a </w:t>
      </w:r>
      <w:r w:rsidR="001A55C4" w:rsidRPr="003B4362">
        <w:rPr>
          <w:rFonts w:eastAsia="Calibri"/>
          <w:szCs w:val="24"/>
        </w:rPr>
        <w:t xml:space="preserve">supplier </w:t>
      </w:r>
      <w:r w:rsidR="00A12E89" w:rsidRPr="003B4362">
        <w:rPr>
          <w:rFonts w:eastAsia="Calibri"/>
          <w:szCs w:val="24"/>
        </w:rPr>
        <w:t>gives prior notice to</w:t>
      </w:r>
      <w:r w:rsidRPr="003B4362">
        <w:rPr>
          <w:rFonts w:eastAsia="Calibri"/>
          <w:szCs w:val="24"/>
        </w:rPr>
        <w:t xml:space="preserve"> the </w:t>
      </w:r>
      <w:r w:rsidR="001A55C4" w:rsidRPr="003B4362">
        <w:rPr>
          <w:rFonts w:eastAsia="Calibri"/>
          <w:szCs w:val="24"/>
        </w:rPr>
        <w:t>Agency</w:t>
      </w:r>
      <w:r w:rsidRPr="003B4362">
        <w:rPr>
          <w:rFonts w:eastAsia="Calibri"/>
          <w:szCs w:val="24"/>
        </w:rPr>
        <w:t xml:space="preserve"> </w:t>
      </w:r>
      <w:r w:rsidR="001A55C4" w:rsidRPr="003B4362">
        <w:rPr>
          <w:rFonts w:eastAsia="Calibri"/>
          <w:szCs w:val="24"/>
        </w:rPr>
        <w:t>under</w:t>
      </w:r>
      <w:r w:rsidRPr="003B4362">
        <w:rPr>
          <w:rFonts w:eastAsia="Calibri"/>
          <w:szCs w:val="24"/>
        </w:rPr>
        <w:t xml:space="preserve"> Section </w:t>
      </w:r>
      <w:r w:rsidR="001A55C4" w:rsidRPr="003B4362">
        <w:rPr>
          <w:rFonts w:eastAsia="Calibri"/>
          <w:szCs w:val="24"/>
        </w:rPr>
        <w:t>61</w:t>
      </w:r>
      <w:r w:rsidRPr="003B4362">
        <w:rPr>
          <w:rFonts w:eastAsia="Calibri"/>
          <w:szCs w:val="24"/>
        </w:rPr>
        <w:t>1.</w:t>
      </w:r>
      <w:r w:rsidR="001A55C4" w:rsidRPr="003B4362">
        <w:rPr>
          <w:rFonts w:eastAsia="Calibri"/>
          <w:szCs w:val="24"/>
        </w:rPr>
        <w:t>36</w:t>
      </w:r>
      <w:r w:rsidRPr="003B4362">
        <w:rPr>
          <w:rFonts w:eastAsia="Calibri"/>
          <w:szCs w:val="24"/>
        </w:rPr>
        <w:t>0(a)(3)</w:t>
      </w:r>
      <w:bookmarkEnd w:id="2217"/>
      <w:r w:rsidRPr="003B4362">
        <w:rPr>
          <w:rFonts w:eastAsia="Calibri"/>
          <w:szCs w:val="24"/>
        </w:rPr>
        <w:t xml:space="preserve"> of</w:t>
      </w:r>
      <w:r w:rsidR="00A12E89" w:rsidRPr="003B4362">
        <w:rPr>
          <w:rFonts w:eastAsia="Calibri"/>
          <w:szCs w:val="24"/>
        </w:rPr>
        <w:t xml:space="preserve"> </w:t>
      </w:r>
      <w:r w:rsidRPr="003B4362">
        <w:rPr>
          <w:rFonts w:eastAsia="Calibri"/>
          <w:szCs w:val="24"/>
        </w:rPr>
        <w:t>addi</w:t>
      </w:r>
      <w:r w:rsidR="00A12E89" w:rsidRPr="003B4362">
        <w:rPr>
          <w:rFonts w:eastAsia="Calibri"/>
          <w:szCs w:val="24"/>
        </w:rPr>
        <w:t>ng</w:t>
      </w:r>
      <w:r w:rsidRPr="003B4362">
        <w:rPr>
          <w:rFonts w:eastAsia="Calibri"/>
          <w:szCs w:val="24"/>
        </w:rPr>
        <w:t xml:space="preserve"> a new source or </w:t>
      </w:r>
      <w:r w:rsidR="00E11389" w:rsidRPr="003B4362">
        <w:rPr>
          <w:rFonts w:eastAsia="Calibri"/>
          <w:szCs w:val="24"/>
        </w:rPr>
        <w:t xml:space="preserve">making </w:t>
      </w:r>
      <w:r w:rsidR="00A12E89" w:rsidRPr="003B4362">
        <w:rPr>
          <w:rFonts w:eastAsia="Calibri"/>
          <w:szCs w:val="24"/>
        </w:rPr>
        <w:t xml:space="preserve">a </w:t>
      </w:r>
      <w:r w:rsidRPr="003B4362">
        <w:rPr>
          <w:rFonts w:eastAsia="Calibri"/>
          <w:szCs w:val="24"/>
        </w:rPr>
        <w:t>long</w:t>
      </w:r>
      <w:r w:rsidR="00E020A5" w:rsidRPr="003B4362">
        <w:rPr>
          <w:rFonts w:eastAsia="Calibri"/>
          <w:szCs w:val="24"/>
        </w:rPr>
        <w:t>-</w:t>
      </w:r>
      <w:r w:rsidRPr="003B4362">
        <w:rPr>
          <w:rFonts w:eastAsia="Calibri"/>
          <w:szCs w:val="24"/>
        </w:rPr>
        <w:t>term change in treatment</w:t>
      </w:r>
      <w:bookmarkEnd w:id="2218"/>
      <w:r w:rsidRPr="003B4362">
        <w:rPr>
          <w:rFonts w:eastAsia="Calibri"/>
          <w:szCs w:val="24"/>
        </w:rPr>
        <w:t xml:space="preserve">, </w:t>
      </w:r>
      <w:bookmarkStart w:id="2219" w:name="_Hlk122624670"/>
      <w:bookmarkStart w:id="2220" w:name="_Hlk122624814"/>
      <w:r w:rsidRPr="003B4362">
        <w:rPr>
          <w:rFonts w:eastAsia="Calibri"/>
          <w:szCs w:val="24"/>
        </w:rPr>
        <w:t xml:space="preserve">the </w:t>
      </w:r>
      <w:r w:rsidR="00E11389" w:rsidRPr="003B4362">
        <w:rPr>
          <w:rFonts w:eastAsia="Calibri"/>
          <w:szCs w:val="24"/>
        </w:rPr>
        <w:t>supplier</w:t>
      </w:r>
      <w:r w:rsidRPr="003B4362">
        <w:rPr>
          <w:rFonts w:eastAsia="Calibri"/>
          <w:szCs w:val="24"/>
        </w:rPr>
        <w:t xml:space="preserve"> </w:t>
      </w:r>
      <w:r w:rsidR="00E11389" w:rsidRPr="003B4362">
        <w:rPr>
          <w:rFonts w:eastAsia="Calibri"/>
          <w:szCs w:val="24"/>
        </w:rPr>
        <w:t>must</w:t>
      </w:r>
      <w:r w:rsidRPr="003B4362">
        <w:rPr>
          <w:rFonts w:eastAsia="Calibri"/>
          <w:szCs w:val="24"/>
        </w:rPr>
        <w:t xml:space="preserve"> monitor every six months at the standard number of sites</w:t>
      </w:r>
      <w:r w:rsidR="00E11389" w:rsidRPr="003B4362">
        <w:rPr>
          <w:rFonts w:eastAsia="Calibri"/>
          <w:szCs w:val="24"/>
        </w:rPr>
        <w:t xml:space="preserve"> </w:t>
      </w:r>
      <w:r w:rsidRPr="003B4362">
        <w:rPr>
          <w:rFonts w:eastAsia="Calibri"/>
          <w:szCs w:val="24"/>
        </w:rPr>
        <w:t xml:space="preserve">subsection (c) </w:t>
      </w:r>
      <w:bookmarkEnd w:id="2219"/>
      <w:r w:rsidR="00E11389" w:rsidRPr="003B4362">
        <w:rPr>
          <w:rFonts w:eastAsia="Calibri"/>
          <w:szCs w:val="24"/>
        </w:rPr>
        <w:t>requires</w:t>
      </w:r>
      <w:bookmarkEnd w:id="2220"/>
      <w:r w:rsidRPr="003B4362">
        <w:rPr>
          <w:rFonts w:eastAsia="Calibri"/>
          <w:szCs w:val="24"/>
        </w:rPr>
        <w:t xml:space="preserve"> until </w:t>
      </w:r>
      <w:bookmarkStart w:id="2221" w:name="_Hlk122625063"/>
      <w:r w:rsidRPr="003B4362">
        <w:rPr>
          <w:rFonts w:eastAsia="Calibri"/>
          <w:szCs w:val="24"/>
        </w:rPr>
        <w:t xml:space="preserve">the </w:t>
      </w:r>
      <w:r w:rsidR="004E351C" w:rsidRPr="003B4362">
        <w:rPr>
          <w:rFonts w:eastAsia="Calibri"/>
          <w:szCs w:val="24"/>
        </w:rPr>
        <w:t>supplier</w:t>
      </w:r>
      <w:r w:rsidRPr="003B4362">
        <w:rPr>
          <w:rFonts w:eastAsia="Calibri"/>
          <w:szCs w:val="24"/>
        </w:rPr>
        <w:t xml:space="preserve"> is at or below</w:t>
      </w:r>
      <w:bookmarkEnd w:id="2221"/>
      <w:r w:rsidRPr="003B4362">
        <w:rPr>
          <w:rFonts w:eastAsia="Calibri"/>
          <w:szCs w:val="24"/>
        </w:rPr>
        <w:t xml:space="preserve"> the lead and copper action levels for two consecutive six-month monitoring </w:t>
      </w:r>
      <w:r w:rsidR="009F0B56" w:rsidRPr="003B4362">
        <w:rPr>
          <w:rFonts w:eastAsia="Calibri"/>
          <w:szCs w:val="24"/>
        </w:rPr>
        <w:t>cycles</w:t>
      </w:r>
      <w:r w:rsidRPr="003B4362">
        <w:rPr>
          <w:rFonts w:eastAsia="Calibri"/>
          <w:szCs w:val="24"/>
        </w:rPr>
        <w:t xml:space="preserve">, </w:t>
      </w:r>
      <w:bookmarkStart w:id="2222" w:name="_Hlk122625149"/>
      <w:r w:rsidRPr="003B4362">
        <w:rPr>
          <w:rFonts w:eastAsia="Calibri"/>
          <w:szCs w:val="24"/>
        </w:rPr>
        <w:t xml:space="preserve">unless the </w:t>
      </w:r>
      <w:r w:rsidR="004E351C" w:rsidRPr="003B4362">
        <w:rPr>
          <w:rFonts w:eastAsia="Calibri"/>
          <w:szCs w:val="24"/>
        </w:rPr>
        <w:t>Agency issues a SEP</w:t>
      </w:r>
      <w:r w:rsidRPr="003B4362">
        <w:rPr>
          <w:rFonts w:eastAsia="Calibri"/>
          <w:szCs w:val="24"/>
        </w:rPr>
        <w:t xml:space="preserve"> determin</w:t>
      </w:r>
      <w:r w:rsidR="004E351C" w:rsidRPr="003B4362">
        <w:rPr>
          <w:rFonts w:eastAsia="Calibri"/>
          <w:szCs w:val="24"/>
        </w:rPr>
        <w:t>ing</w:t>
      </w:r>
      <w:r w:rsidRPr="003B4362">
        <w:rPr>
          <w:rFonts w:eastAsia="Calibri"/>
          <w:szCs w:val="24"/>
        </w:rPr>
        <w:t xml:space="preserve"> that addi</w:t>
      </w:r>
      <w:r w:rsidR="004E351C" w:rsidRPr="003B4362">
        <w:rPr>
          <w:rFonts w:eastAsia="Calibri"/>
          <w:szCs w:val="24"/>
        </w:rPr>
        <w:t>ng</w:t>
      </w:r>
      <w:r w:rsidRPr="003B4362">
        <w:rPr>
          <w:rFonts w:eastAsia="Calibri"/>
          <w:szCs w:val="24"/>
        </w:rPr>
        <w:t xml:space="preserve"> the new source or </w:t>
      </w:r>
      <w:r w:rsidR="004E351C" w:rsidRPr="003B4362">
        <w:rPr>
          <w:rFonts w:eastAsia="Calibri"/>
          <w:szCs w:val="24"/>
        </w:rPr>
        <w:t xml:space="preserve">making the </w:t>
      </w:r>
      <w:r w:rsidRPr="003B4362">
        <w:rPr>
          <w:rFonts w:eastAsia="Calibri"/>
          <w:szCs w:val="24"/>
        </w:rPr>
        <w:t>long</w:t>
      </w:r>
      <w:r w:rsidR="004E351C" w:rsidRPr="003B4362">
        <w:rPr>
          <w:rFonts w:eastAsia="Calibri"/>
          <w:szCs w:val="24"/>
        </w:rPr>
        <w:t>-</w:t>
      </w:r>
      <w:r w:rsidRPr="003B4362">
        <w:rPr>
          <w:rFonts w:eastAsia="Calibri"/>
          <w:szCs w:val="24"/>
        </w:rPr>
        <w:t>term change in treatment is not significant</w:t>
      </w:r>
      <w:bookmarkEnd w:id="2222"/>
      <w:r w:rsidRPr="003B4362">
        <w:rPr>
          <w:rFonts w:eastAsia="Calibri"/>
          <w:szCs w:val="24"/>
        </w:rPr>
        <w:t xml:space="preserve"> and</w:t>
      </w:r>
      <w:r w:rsidR="00BD3CA9" w:rsidRPr="003B4362">
        <w:rPr>
          <w:rFonts w:eastAsia="Calibri"/>
          <w:szCs w:val="24"/>
        </w:rPr>
        <w:t xml:space="preserve"> </w:t>
      </w:r>
      <w:r w:rsidRPr="003B4362">
        <w:rPr>
          <w:rFonts w:eastAsia="Calibri"/>
          <w:szCs w:val="24"/>
        </w:rPr>
        <w:t xml:space="preserve">does not warrant more frequent monitoring.  </w:t>
      </w:r>
      <w:bookmarkStart w:id="2223" w:name="_Hlk122625960"/>
      <w:r w:rsidR="00BD3CA9" w:rsidRPr="003B4362">
        <w:rPr>
          <w:rFonts w:eastAsia="Calibri"/>
          <w:szCs w:val="24"/>
        </w:rPr>
        <w:t>A</w:t>
      </w:r>
      <w:bookmarkStart w:id="2224" w:name="_Hlk122626724"/>
      <w:r w:rsidR="00BD3CA9" w:rsidRPr="003B4362">
        <w:rPr>
          <w:rFonts w:eastAsia="Calibri"/>
          <w:szCs w:val="24"/>
        </w:rPr>
        <w:t xml:space="preserve"> supp</w:t>
      </w:r>
      <w:r w:rsidR="001F5A6E" w:rsidRPr="003B4362">
        <w:rPr>
          <w:rFonts w:eastAsia="Calibri"/>
          <w:szCs w:val="24"/>
        </w:rPr>
        <w:t>l</w:t>
      </w:r>
      <w:r w:rsidR="00BD3CA9" w:rsidRPr="003B4362">
        <w:rPr>
          <w:rFonts w:eastAsia="Calibri"/>
          <w:szCs w:val="24"/>
        </w:rPr>
        <w:t>ier</w:t>
      </w:r>
      <w:r w:rsidRPr="003B4362">
        <w:rPr>
          <w:rFonts w:eastAsia="Calibri"/>
          <w:szCs w:val="24"/>
        </w:rPr>
        <w:t xml:space="preserve"> not exceed</w:t>
      </w:r>
      <w:r w:rsidR="00BD3CA9" w:rsidRPr="003B4362">
        <w:rPr>
          <w:rFonts w:eastAsia="Calibri"/>
          <w:szCs w:val="24"/>
        </w:rPr>
        <w:t>ing</w:t>
      </w:r>
      <w:r w:rsidRPr="003B4362">
        <w:rPr>
          <w:rFonts w:eastAsia="Calibri"/>
          <w:szCs w:val="24"/>
        </w:rPr>
        <w:t xml:space="preserve"> </w:t>
      </w:r>
      <w:bookmarkStart w:id="2225" w:name="_Hlk122627761"/>
      <w:r w:rsidRPr="003B4362">
        <w:rPr>
          <w:rFonts w:eastAsia="Calibri"/>
          <w:szCs w:val="24"/>
        </w:rPr>
        <w:t>the</w:t>
      </w:r>
      <w:bookmarkEnd w:id="2223"/>
      <w:bookmarkEnd w:id="2224"/>
      <w:r w:rsidR="004E536E" w:rsidRPr="003B4362">
        <w:rPr>
          <w:szCs w:val="24"/>
        </w:rPr>
        <w:t xml:space="preserve"> lead action level, copper action level, or</w:t>
      </w:r>
      <w:r w:rsidR="004E536E" w:rsidRPr="003B4362">
        <w:rPr>
          <w:rFonts w:eastAsia="Calibri"/>
          <w:szCs w:val="24"/>
        </w:rPr>
        <w:t xml:space="preserve"> </w:t>
      </w:r>
      <w:r w:rsidR="004E536E" w:rsidRPr="003B4362">
        <w:rPr>
          <w:szCs w:val="24"/>
        </w:rPr>
        <w:t>lead trigger level</w:t>
      </w:r>
      <w:bookmarkEnd w:id="2225"/>
      <w:r w:rsidRPr="003B4362">
        <w:rPr>
          <w:rFonts w:eastAsia="Calibri"/>
          <w:szCs w:val="24"/>
        </w:rPr>
        <w:t xml:space="preserve"> for </w:t>
      </w:r>
      <w:bookmarkStart w:id="2226" w:name="_Hlk127916507"/>
      <w:r w:rsidRPr="003B4362">
        <w:rPr>
          <w:rFonts w:eastAsia="Calibri"/>
          <w:szCs w:val="24"/>
        </w:rPr>
        <w:t xml:space="preserve">two consecutive six-month </w:t>
      </w:r>
      <w:r w:rsidR="00F07F1F" w:rsidRPr="003B4362">
        <w:rPr>
          <w:rFonts w:eastAsia="Calibri"/>
          <w:szCs w:val="24"/>
        </w:rPr>
        <w:t>tap sampling</w:t>
      </w:r>
      <w:r w:rsidRPr="003B4362">
        <w:rPr>
          <w:rFonts w:eastAsia="Calibri"/>
          <w:szCs w:val="24"/>
        </w:rPr>
        <w:t xml:space="preserve"> periods</w:t>
      </w:r>
      <w:bookmarkEnd w:id="2226"/>
      <w:r w:rsidRPr="003B4362">
        <w:rPr>
          <w:rFonts w:eastAsia="Calibri"/>
          <w:szCs w:val="24"/>
        </w:rPr>
        <w:t xml:space="preserve"> may reduce monitoring </w:t>
      </w:r>
      <w:r w:rsidR="001F5A6E" w:rsidRPr="003B4362">
        <w:rPr>
          <w:rFonts w:eastAsia="Calibri"/>
          <w:szCs w:val="24"/>
        </w:rPr>
        <w:t>under subsection (d)(4)</w:t>
      </w:r>
      <w:r w:rsidRPr="003B4362">
        <w:rPr>
          <w:rFonts w:eastAsia="Calibri"/>
          <w:szCs w:val="24"/>
        </w:rPr>
        <w:t>.</w:t>
      </w:r>
    </w:p>
    <w:p w14:paraId="2F915A26" w14:textId="63A67629" w:rsidR="001F355B"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r>
      <w:bookmarkStart w:id="2227" w:name="_Hlk114779024"/>
      <w:r w:rsidRPr="003B4362">
        <w:rPr>
          <w:rFonts w:eastAsia="Calibri"/>
        </w:rPr>
        <w:t>Monitoring after the Agency Specifies Water Quality Parameter Values for</w:t>
      </w:r>
      <w:r w:rsidR="001D7592" w:rsidRPr="003B4362">
        <w:rPr>
          <w:rFonts w:eastAsia="Calibri"/>
        </w:rPr>
        <w:t xml:space="preserve"> OCCT</w:t>
      </w:r>
      <w:bookmarkEnd w:id="2227"/>
    </w:p>
    <w:p w14:paraId="65C4023D" w14:textId="4E4B3801" w:rsidR="005451CE" w:rsidRPr="003B4362" w:rsidRDefault="001F355B" w:rsidP="001F355B">
      <w:pPr>
        <w:spacing w:before="240" w:after="240"/>
        <w:ind w:left="2880" w:hanging="720"/>
        <w:rPr>
          <w:rFonts w:eastAsia="Calibri"/>
        </w:rPr>
      </w:pPr>
      <w:r w:rsidRPr="003B4362">
        <w:rPr>
          <w:rFonts w:eastAsia="Calibri"/>
        </w:rPr>
        <w:t>A)</w:t>
      </w:r>
      <w:r w:rsidRPr="003B4362">
        <w:rPr>
          <w:rFonts w:eastAsia="Calibri"/>
        </w:rPr>
        <w:tab/>
      </w:r>
      <w:r w:rsidR="005451CE" w:rsidRPr="003B4362">
        <w:rPr>
          <w:rFonts w:eastAsia="Calibri"/>
        </w:rPr>
        <w:t xml:space="preserve">After the Agency specifies the values for water quality control parameters under Section 611.352(f), the supplier must </w:t>
      </w:r>
      <w:r w:rsidRPr="003B4362">
        <w:rPr>
          <w:szCs w:val="24"/>
        </w:rPr>
        <w:t xml:space="preserve">conduct </w:t>
      </w:r>
      <w:bookmarkStart w:id="2228" w:name="_Hlk135652101"/>
      <w:r w:rsidRPr="003B4362">
        <w:rPr>
          <w:szCs w:val="24"/>
        </w:rPr>
        <w:t>standard</w:t>
      </w:r>
      <w:r w:rsidR="009F0B56" w:rsidRPr="003B4362">
        <w:rPr>
          <w:szCs w:val="24"/>
        </w:rPr>
        <w:t xml:space="preserve"> </w:t>
      </w:r>
      <w:r w:rsidRPr="003B4362">
        <w:rPr>
          <w:szCs w:val="24"/>
        </w:rPr>
        <w:t xml:space="preserve">monitoring for two consecutive </w:t>
      </w:r>
      <w:bookmarkStart w:id="2229" w:name="_Hlk127916706"/>
      <w:bookmarkEnd w:id="2228"/>
      <w:r w:rsidR="005451CE" w:rsidRPr="003B4362">
        <w:rPr>
          <w:rFonts w:eastAsia="Calibri"/>
        </w:rPr>
        <w:t xml:space="preserve">six-month </w:t>
      </w:r>
      <w:r w:rsidRPr="003B4362">
        <w:rPr>
          <w:szCs w:val="24"/>
        </w:rPr>
        <w:t xml:space="preserve">tap </w:t>
      </w:r>
      <w:r w:rsidR="005451CE" w:rsidRPr="003B4362">
        <w:rPr>
          <w:rFonts w:eastAsia="Calibri"/>
        </w:rPr>
        <w:t>monitoring</w:t>
      </w:r>
      <w:r w:rsidRPr="003B4362">
        <w:rPr>
          <w:rFonts w:eastAsia="Calibri"/>
        </w:rPr>
        <w:t xml:space="preserve"> </w:t>
      </w:r>
      <w:r w:rsidR="009F0B56" w:rsidRPr="003B4362">
        <w:rPr>
          <w:rFonts w:eastAsia="Calibri"/>
        </w:rPr>
        <w:t>cycle</w:t>
      </w:r>
      <w:r w:rsidRPr="003B4362">
        <w:rPr>
          <w:rFonts w:eastAsia="Calibri"/>
        </w:rPr>
        <w:t>s</w:t>
      </w:r>
      <w:bookmarkEnd w:id="2229"/>
      <w:r w:rsidR="005451CE" w:rsidRPr="003B4362">
        <w:rPr>
          <w:rFonts w:eastAsia="Calibri"/>
        </w:rPr>
        <w:t>.</w:t>
      </w:r>
    </w:p>
    <w:p w14:paraId="4CB73EA0" w14:textId="775AF010" w:rsidR="006675E3" w:rsidRPr="003B4362" w:rsidRDefault="006675E3" w:rsidP="006675E3">
      <w:pPr>
        <w:autoSpaceDE w:val="0"/>
        <w:autoSpaceDN w:val="0"/>
        <w:adjustRightInd w:val="0"/>
        <w:ind w:left="2880" w:hanging="720"/>
        <w:rPr>
          <w:szCs w:val="24"/>
        </w:rPr>
      </w:pPr>
      <w:r w:rsidRPr="003B4362">
        <w:rPr>
          <w:szCs w:val="24"/>
        </w:rPr>
        <w:t>B)</w:t>
      </w:r>
      <w:r w:rsidRPr="003B4362">
        <w:rPr>
          <w:szCs w:val="24"/>
        </w:rPr>
        <w:tab/>
      </w:r>
      <w:bookmarkStart w:id="2230" w:name="_Hlk122641959"/>
      <w:r w:rsidRPr="003B4362">
        <w:rPr>
          <w:szCs w:val="24"/>
        </w:rPr>
        <w:t>A</w:t>
      </w:r>
      <w:bookmarkStart w:id="2231" w:name="_Hlk122642391"/>
      <w:r w:rsidRPr="003B4362">
        <w:rPr>
          <w:szCs w:val="24"/>
        </w:rPr>
        <w:t xml:space="preserve"> supplier that must complete the re-optimization steps in Section 611.351(d)</w:t>
      </w:r>
      <w:bookmarkEnd w:id="2230"/>
      <w:bookmarkEnd w:id="2231"/>
      <w:r w:rsidRPr="003B4362">
        <w:rPr>
          <w:szCs w:val="24"/>
        </w:rPr>
        <w:t xml:space="preserve"> </w:t>
      </w:r>
      <w:bookmarkStart w:id="2232" w:name="_Hlk122642445"/>
      <w:r w:rsidRPr="003B4362">
        <w:rPr>
          <w:szCs w:val="24"/>
        </w:rPr>
        <w:t xml:space="preserve">after exceeding the lead trigger level </w:t>
      </w:r>
      <w:r w:rsidR="009014B5" w:rsidRPr="003B4362">
        <w:rPr>
          <w:szCs w:val="24"/>
        </w:rPr>
        <w:t xml:space="preserve">but </w:t>
      </w:r>
      <w:r w:rsidRPr="003B4362">
        <w:rPr>
          <w:szCs w:val="24"/>
        </w:rPr>
        <w:t>not exceed</w:t>
      </w:r>
      <w:r w:rsidR="009014B5" w:rsidRPr="003B4362">
        <w:rPr>
          <w:szCs w:val="24"/>
        </w:rPr>
        <w:t>ing</w:t>
      </w:r>
      <w:r w:rsidRPr="003B4362">
        <w:rPr>
          <w:szCs w:val="24"/>
        </w:rPr>
        <w:t xml:space="preserve"> the lead </w:t>
      </w:r>
      <w:r w:rsidR="009014B5" w:rsidRPr="003B4362">
        <w:rPr>
          <w:szCs w:val="24"/>
        </w:rPr>
        <w:t>or</w:t>
      </w:r>
      <w:r w:rsidRPr="003B4362">
        <w:rPr>
          <w:szCs w:val="24"/>
        </w:rPr>
        <w:t xml:space="preserve"> copper action level</w:t>
      </w:r>
      <w:bookmarkEnd w:id="2232"/>
      <w:r w:rsidRPr="003B4362">
        <w:rPr>
          <w:szCs w:val="24"/>
        </w:rPr>
        <w:t xml:space="preserve"> must monitor for </w:t>
      </w:r>
      <w:bookmarkStart w:id="2233" w:name="_Hlk127916821"/>
      <w:r w:rsidRPr="003B4362">
        <w:rPr>
          <w:szCs w:val="24"/>
        </w:rPr>
        <w:t xml:space="preserve">two consecutive </w:t>
      </w:r>
      <w:bookmarkStart w:id="2234" w:name="_Hlk122642501"/>
      <w:r w:rsidR="009014B5" w:rsidRPr="003B4362">
        <w:rPr>
          <w:szCs w:val="24"/>
        </w:rPr>
        <w:t>six</w:t>
      </w:r>
      <w:r w:rsidRPr="003B4362">
        <w:rPr>
          <w:szCs w:val="24"/>
        </w:rPr>
        <w:t>-month</w:t>
      </w:r>
      <w:bookmarkEnd w:id="2234"/>
      <w:r w:rsidRPr="003B4362">
        <w:rPr>
          <w:szCs w:val="24"/>
        </w:rPr>
        <w:t xml:space="preserve"> tap monitoring </w:t>
      </w:r>
      <w:r w:rsidR="00B25673" w:rsidRPr="003B4362">
        <w:rPr>
          <w:szCs w:val="24"/>
        </w:rPr>
        <w:t>cycle</w:t>
      </w:r>
      <w:r w:rsidRPr="003B4362">
        <w:rPr>
          <w:szCs w:val="24"/>
        </w:rPr>
        <w:t>s</w:t>
      </w:r>
      <w:bookmarkEnd w:id="2233"/>
      <w:r w:rsidRPr="003B4362">
        <w:rPr>
          <w:szCs w:val="24"/>
        </w:rPr>
        <w:t xml:space="preserve">.  </w:t>
      </w:r>
      <w:bookmarkStart w:id="2235" w:name="_Hlk122642583"/>
      <w:r w:rsidR="009014B5" w:rsidRPr="003B4362">
        <w:rPr>
          <w:szCs w:val="24"/>
        </w:rPr>
        <w:t>T</w:t>
      </w:r>
      <w:bookmarkStart w:id="2236" w:name="_Hlk122642694"/>
      <w:r w:rsidR="009014B5" w:rsidRPr="003B4362">
        <w:rPr>
          <w:szCs w:val="24"/>
        </w:rPr>
        <w:t>he supplier</w:t>
      </w:r>
      <w:r w:rsidRPr="003B4362">
        <w:rPr>
          <w:szCs w:val="24"/>
        </w:rPr>
        <w:t xml:space="preserve"> may then reduce monitoring </w:t>
      </w:r>
      <w:r w:rsidR="009014B5" w:rsidRPr="003B4362">
        <w:rPr>
          <w:szCs w:val="24"/>
        </w:rPr>
        <w:t>under</w:t>
      </w:r>
      <w:r w:rsidRPr="003B4362">
        <w:rPr>
          <w:szCs w:val="24"/>
        </w:rPr>
        <w:t xml:space="preserve"> subsection (d)(4)</w:t>
      </w:r>
      <w:bookmarkEnd w:id="2235"/>
      <w:bookmarkEnd w:id="2236"/>
      <w:r w:rsidR="009014B5" w:rsidRPr="003B4362">
        <w:rPr>
          <w:szCs w:val="24"/>
        </w:rPr>
        <w:t xml:space="preserve"> </w:t>
      </w:r>
      <w:bookmarkStart w:id="2237" w:name="_Hlk122642785"/>
      <w:r w:rsidR="00F9680E" w:rsidRPr="003B4362">
        <w:rPr>
          <w:szCs w:val="24"/>
        </w:rPr>
        <w:t>after</w:t>
      </w:r>
      <w:r w:rsidRPr="003B4362">
        <w:rPr>
          <w:szCs w:val="24"/>
        </w:rPr>
        <w:t xml:space="preserve"> </w:t>
      </w:r>
      <w:r w:rsidR="00F9680E" w:rsidRPr="003B4362">
        <w:rPr>
          <w:szCs w:val="24"/>
        </w:rPr>
        <w:t>the Agency</w:t>
      </w:r>
      <w:r w:rsidRPr="003B4362">
        <w:rPr>
          <w:szCs w:val="24"/>
        </w:rPr>
        <w:t xml:space="preserve"> </w:t>
      </w:r>
      <w:r w:rsidR="00F9680E" w:rsidRPr="003B4362">
        <w:rPr>
          <w:szCs w:val="24"/>
        </w:rPr>
        <w:t>issues a SEP approving</w:t>
      </w:r>
      <w:r w:rsidRPr="003B4362">
        <w:rPr>
          <w:szCs w:val="24"/>
        </w:rPr>
        <w:t xml:space="preserve"> reduced monitoring</w:t>
      </w:r>
      <w:bookmarkEnd w:id="2237"/>
      <w:r w:rsidRPr="003B4362">
        <w:rPr>
          <w:szCs w:val="24"/>
        </w:rPr>
        <w:t>.</w:t>
      </w:r>
    </w:p>
    <w:p w14:paraId="2B96C75C" w14:textId="35484437"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r>
      <w:bookmarkStart w:id="2238" w:name="_Hlk123043671"/>
      <w:r w:rsidRPr="003B4362">
        <w:rPr>
          <w:rFonts w:eastAsia="Calibri"/>
        </w:rPr>
        <w:t>Reduced Monitoring</w:t>
      </w:r>
      <w:r w:rsidR="002F0384" w:rsidRPr="003B4362">
        <w:rPr>
          <w:szCs w:val="24"/>
        </w:rPr>
        <w:t xml:space="preserve"> Based on 90th Percentile </w:t>
      </w:r>
      <w:r w:rsidR="00010D63" w:rsidRPr="003B4362">
        <w:rPr>
          <w:szCs w:val="24"/>
        </w:rPr>
        <w:t>Concentration</w:t>
      </w:r>
      <w:r w:rsidR="002F0384" w:rsidRPr="003B4362">
        <w:rPr>
          <w:szCs w:val="24"/>
        </w:rPr>
        <w:t>s</w:t>
      </w:r>
      <w:bookmarkEnd w:id="2238"/>
      <w:r w:rsidR="002F0384" w:rsidRPr="003B4362">
        <w:rPr>
          <w:szCs w:val="24"/>
        </w:rPr>
        <w:t xml:space="preserve">.  Reduced monitoring refers to </w:t>
      </w:r>
      <w:bookmarkStart w:id="2239" w:name="_Hlk127917011"/>
      <w:r w:rsidR="002F0384" w:rsidRPr="003B4362">
        <w:rPr>
          <w:szCs w:val="24"/>
        </w:rPr>
        <w:t xml:space="preserve">an </w:t>
      </w:r>
      <w:bookmarkStart w:id="2240" w:name="_Hlk135652604"/>
      <w:r w:rsidR="002F0384" w:rsidRPr="003B4362">
        <w:rPr>
          <w:szCs w:val="24"/>
        </w:rPr>
        <w:t xml:space="preserve">annual or triennial tap monitoring </w:t>
      </w:r>
      <w:bookmarkEnd w:id="2239"/>
      <w:r w:rsidR="00B25673" w:rsidRPr="003B4362">
        <w:rPr>
          <w:szCs w:val="24"/>
        </w:rPr>
        <w:t>cycle</w:t>
      </w:r>
      <w:bookmarkEnd w:id="2240"/>
      <w:r w:rsidR="002F0384" w:rsidRPr="003B4362">
        <w:rPr>
          <w:szCs w:val="24"/>
        </w:rPr>
        <w:t xml:space="preserve">.  </w:t>
      </w:r>
      <w:r w:rsidR="000526E9" w:rsidRPr="003B4362">
        <w:rPr>
          <w:szCs w:val="24"/>
        </w:rPr>
        <w:t>A</w:t>
      </w:r>
      <w:bookmarkStart w:id="2241" w:name="_Hlk123044040"/>
      <w:r w:rsidR="000526E9" w:rsidRPr="003B4362">
        <w:rPr>
          <w:szCs w:val="24"/>
        </w:rPr>
        <w:t xml:space="preserve"> supplier’s</w:t>
      </w:r>
      <w:r w:rsidR="002F0384" w:rsidRPr="003B4362">
        <w:rPr>
          <w:szCs w:val="24"/>
        </w:rPr>
        <w:t xml:space="preserve"> </w:t>
      </w:r>
      <w:r w:rsidR="000526E9" w:rsidRPr="003B4362">
        <w:rPr>
          <w:szCs w:val="24"/>
        </w:rPr>
        <w:t>90th percentile concentration determines</w:t>
      </w:r>
      <w:bookmarkEnd w:id="2241"/>
      <w:r w:rsidR="000526E9" w:rsidRPr="003B4362">
        <w:rPr>
          <w:szCs w:val="24"/>
        </w:rPr>
        <w:t xml:space="preserve"> </w:t>
      </w:r>
      <w:bookmarkStart w:id="2242" w:name="_Hlk123044275"/>
      <w:r w:rsidR="000526E9" w:rsidRPr="003B4362">
        <w:rPr>
          <w:szCs w:val="24"/>
        </w:rPr>
        <w:t xml:space="preserve">the </w:t>
      </w:r>
      <w:r w:rsidR="002F0384" w:rsidRPr="003B4362">
        <w:rPr>
          <w:szCs w:val="24"/>
        </w:rPr>
        <w:t>reduced monitoring frequency</w:t>
      </w:r>
      <w:bookmarkEnd w:id="2242"/>
      <w:r w:rsidR="002F0384" w:rsidRPr="003B4362">
        <w:rPr>
          <w:szCs w:val="24"/>
        </w:rPr>
        <w:t>.</w:t>
      </w:r>
    </w:p>
    <w:p w14:paraId="526AEF29" w14:textId="0A56ED2E"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r>
      <w:bookmarkStart w:id="2243" w:name="_Hlk114779154"/>
      <w:bookmarkStart w:id="2244" w:name="_Hlk123044713"/>
      <w:r w:rsidRPr="003B4362">
        <w:rPr>
          <w:rFonts w:eastAsia="Calibri"/>
        </w:rPr>
        <w:t>Reducing to Annual Monitoring for Suppliers Meeting the</w:t>
      </w:r>
      <w:r w:rsidR="00031459" w:rsidRPr="003B4362">
        <w:rPr>
          <w:szCs w:val="24"/>
        </w:rPr>
        <w:t xml:space="preserve"> Criteria for Reduced Monitoring</w:t>
      </w:r>
      <w:bookmarkEnd w:id="2243"/>
      <w:bookmarkEnd w:id="2244"/>
      <w:r w:rsidRPr="003B4362">
        <w:rPr>
          <w:rFonts w:eastAsia="Calibri"/>
        </w:rPr>
        <w:t>.  A</w:t>
      </w:r>
      <w:bookmarkStart w:id="2245" w:name="_Hlk114779236"/>
      <w:r w:rsidRPr="003B4362">
        <w:rPr>
          <w:rFonts w:eastAsia="Calibri"/>
        </w:rPr>
        <w:t xml:space="preserve"> </w:t>
      </w:r>
      <w:bookmarkStart w:id="2246" w:name="_Hlk114779407"/>
      <w:bookmarkEnd w:id="2245"/>
      <w:r w:rsidRPr="003B4362">
        <w:rPr>
          <w:rFonts w:eastAsia="Calibri"/>
        </w:rPr>
        <w:t xml:space="preserve">supplier meeting the </w:t>
      </w:r>
      <w:r w:rsidR="006131F2" w:rsidRPr="003B4362">
        <w:rPr>
          <w:szCs w:val="24"/>
        </w:rPr>
        <w:t xml:space="preserve">criteria for reduced monitoring under subsection (d)(4) must collect these samples from </w:t>
      </w:r>
      <w:bookmarkStart w:id="2247" w:name="_Hlk135655944"/>
      <w:r w:rsidR="006131F2" w:rsidRPr="003B4362">
        <w:rPr>
          <w:szCs w:val="24"/>
        </w:rPr>
        <w:t xml:space="preserve">sampling sites </w:t>
      </w:r>
      <w:r w:rsidR="00E96209" w:rsidRPr="003B4362">
        <w:rPr>
          <w:rFonts w:eastAsia="Calibri"/>
        </w:rPr>
        <w:t xml:space="preserve">the supplier </w:t>
      </w:r>
      <w:r w:rsidR="003C58FE" w:rsidRPr="003B4362">
        <w:rPr>
          <w:szCs w:val="24"/>
        </w:rPr>
        <w:t xml:space="preserve">identified </w:t>
      </w:r>
      <w:r w:rsidR="00E96209" w:rsidRPr="003B4362">
        <w:rPr>
          <w:rFonts w:eastAsia="Calibri"/>
        </w:rPr>
        <w:t xml:space="preserve">under </w:t>
      </w:r>
      <w:r w:rsidR="003C58FE" w:rsidRPr="003B4362">
        <w:rPr>
          <w:szCs w:val="24"/>
        </w:rPr>
        <w:t>subsection (a)</w:t>
      </w:r>
      <w:bookmarkEnd w:id="2247"/>
      <w:r w:rsidR="00E96209" w:rsidRPr="003B4362">
        <w:rPr>
          <w:rFonts w:eastAsia="Calibri"/>
        </w:rPr>
        <w:t>.  A</w:t>
      </w:r>
      <w:bookmarkStart w:id="2248" w:name="_Hlk135656090"/>
      <w:r w:rsidR="00E96209" w:rsidRPr="003B4362">
        <w:rPr>
          <w:rFonts w:eastAsia="Calibri"/>
        </w:rPr>
        <w:t xml:space="preserve"> supplier </w:t>
      </w:r>
      <w:r w:rsidR="00F268FE" w:rsidRPr="003B4362">
        <w:rPr>
          <w:szCs w:val="24"/>
        </w:rPr>
        <w:t xml:space="preserve">monitoring </w:t>
      </w:r>
      <w:r w:rsidR="00E96209" w:rsidRPr="003B4362">
        <w:rPr>
          <w:rFonts w:eastAsia="Calibri"/>
        </w:rPr>
        <w:t>annually or less frequently</w:t>
      </w:r>
      <w:bookmarkEnd w:id="2248"/>
      <w:r w:rsidR="00E96209" w:rsidRPr="003B4362">
        <w:rPr>
          <w:rFonts w:eastAsia="Calibri"/>
        </w:rPr>
        <w:t xml:space="preserve"> must conduct</w:t>
      </w:r>
      <w:r w:rsidR="00F268FE" w:rsidRPr="003B4362">
        <w:rPr>
          <w:rFonts w:eastAsia="Calibri"/>
        </w:rPr>
        <w:t xml:space="preserve"> </w:t>
      </w:r>
      <w:bookmarkStart w:id="2249" w:name="_Hlk135656318"/>
      <w:r w:rsidR="00E96209" w:rsidRPr="003B4362">
        <w:rPr>
          <w:rFonts w:eastAsia="Calibri"/>
        </w:rPr>
        <w:t>lead and copper tap sampling</w:t>
      </w:r>
      <w:bookmarkEnd w:id="2249"/>
      <w:r w:rsidR="00E96209" w:rsidRPr="003B4362">
        <w:rPr>
          <w:rFonts w:eastAsia="Calibri"/>
        </w:rPr>
        <w:t xml:space="preserve"> during June, July, August, or September, unless </w:t>
      </w:r>
      <w:bookmarkStart w:id="2250" w:name="_Hlk135656693"/>
      <w:r w:rsidR="00E96209" w:rsidRPr="003B4362">
        <w:rPr>
          <w:rFonts w:eastAsia="Calibri"/>
        </w:rPr>
        <w:t>the Agency</w:t>
      </w:r>
      <w:r w:rsidR="009C09D1" w:rsidRPr="003B4362">
        <w:rPr>
          <w:rFonts w:eastAsia="Calibri"/>
        </w:rPr>
        <w:t xml:space="preserve"> </w:t>
      </w:r>
      <w:r w:rsidR="00E96209" w:rsidRPr="003B4362">
        <w:rPr>
          <w:rFonts w:eastAsia="Calibri"/>
        </w:rPr>
        <w:t xml:space="preserve">approves a different </w:t>
      </w:r>
      <w:r w:rsidR="00B25673" w:rsidRPr="003B4362">
        <w:rPr>
          <w:rFonts w:eastAsia="Calibri"/>
        </w:rPr>
        <w:t xml:space="preserve">tap </w:t>
      </w:r>
      <w:r w:rsidR="00E96209" w:rsidRPr="003B4362">
        <w:rPr>
          <w:rFonts w:eastAsia="Calibri"/>
        </w:rPr>
        <w:t>sampling period under subsection</w:t>
      </w:r>
      <w:r w:rsidR="009C09D1" w:rsidRPr="003B4362">
        <w:rPr>
          <w:szCs w:val="24"/>
        </w:rPr>
        <w:t xml:space="preserve"> (d)(4)(A)(i)</w:t>
      </w:r>
      <w:bookmarkEnd w:id="2250"/>
      <w:bookmarkEnd w:id="2246"/>
    </w:p>
    <w:p w14:paraId="32D59DE3" w14:textId="77655D29"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 xml:space="preserve">The Agency may </w:t>
      </w:r>
      <w:bookmarkStart w:id="2251" w:name="_Hlk115091449"/>
      <w:r w:rsidRPr="003B4362">
        <w:rPr>
          <w:rFonts w:eastAsia="Calibri"/>
        </w:rPr>
        <w:t xml:space="preserve">grant a SEP approving a different </w:t>
      </w:r>
      <w:r w:rsidR="00CC1CFA" w:rsidRPr="003B4362">
        <w:rPr>
          <w:szCs w:val="24"/>
        </w:rPr>
        <w:t xml:space="preserve">tap sampling </w:t>
      </w:r>
      <w:r w:rsidRPr="003B4362">
        <w:rPr>
          <w:rFonts w:eastAsia="Calibri"/>
        </w:rPr>
        <w:t>period for conducting</w:t>
      </w:r>
      <w:r w:rsidR="00E6702C" w:rsidRPr="003B4362">
        <w:rPr>
          <w:rFonts w:eastAsia="Calibri"/>
        </w:rPr>
        <w:t xml:space="preserve"> </w:t>
      </w:r>
      <w:r w:rsidRPr="003B4362">
        <w:rPr>
          <w:rFonts w:eastAsia="Calibri"/>
        </w:rPr>
        <w:t xml:space="preserve">lead and copper tap sampling to a </w:t>
      </w:r>
      <w:r w:rsidR="002E1CD9" w:rsidRPr="003B4362">
        <w:rPr>
          <w:rFonts w:eastAsia="Calibri"/>
        </w:rPr>
        <w:t>supplier</w:t>
      </w:r>
      <w:r w:rsidRPr="003B4362">
        <w:rPr>
          <w:rFonts w:eastAsia="Calibri"/>
        </w:rPr>
        <w:t xml:space="preserve"> collecting </w:t>
      </w:r>
      <w:r w:rsidR="00CC1CFA" w:rsidRPr="003B4362">
        <w:rPr>
          <w:szCs w:val="24"/>
        </w:rPr>
        <w:t xml:space="preserve">samples at </w:t>
      </w:r>
      <w:r w:rsidRPr="003B4362">
        <w:rPr>
          <w:rFonts w:eastAsia="Calibri"/>
        </w:rPr>
        <w:t>a reduced</w:t>
      </w:r>
      <w:bookmarkEnd w:id="2251"/>
      <w:r w:rsidR="00CC1CFA" w:rsidRPr="003B4362">
        <w:rPr>
          <w:szCs w:val="24"/>
        </w:rPr>
        <w:t xml:space="preserve"> </w:t>
      </w:r>
      <w:r w:rsidR="00CC1CFA" w:rsidRPr="003B4362">
        <w:rPr>
          <w:szCs w:val="24"/>
        </w:rPr>
        <w:lastRenderedPageBreak/>
        <w:t>frequency</w:t>
      </w:r>
      <w:r w:rsidRPr="003B4362">
        <w:rPr>
          <w:rFonts w:eastAsia="Calibri"/>
        </w:rPr>
        <w:t>.  T</w:t>
      </w:r>
      <w:bookmarkStart w:id="2252" w:name="_Hlk115091557"/>
      <w:r w:rsidRPr="003B4362">
        <w:rPr>
          <w:rFonts w:eastAsia="Calibri"/>
        </w:rPr>
        <w:t>he duration of the period must not exceed four consecutive months</w:t>
      </w:r>
      <w:bookmarkEnd w:id="2252"/>
      <w:r w:rsidR="003D00E5" w:rsidRPr="003B4362">
        <w:rPr>
          <w:rFonts w:eastAsia="Calibri"/>
        </w:rPr>
        <w:t xml:space="preserve"> </w:t>
      </w:r>
      <w:bookmarkStart w:id="2253" w:name="_Hlk123132016"/>
      <w:r w:rsidR="003D00E5" w:rsidRPr="003B4362">
        <w:rPr>
          <w:szCs w:val="24"/>
        </w:rPr>
        <w:t>within one calendar year</w:t>
      </w:r>
      <w:bookmarkEnd w:id="2253"/>
      <w:r w:rsidRPr="003B4362">
        <w:rPr>
          <w:rFonts w:eastAsia="Calibri"/>
        </w:rPr>
        <w:t xml:space="preserve"> and must represent </w:t>
      </w:r>
      <w:bookmarkStart w:id="2254" w:name="_Hlk115091700"/>
      <w:r w:rsidRPr="003B4362">
        <w:rPr>
          <w:rFonts w:eastAsia="Calibri"/>
        </w:rPr>
        <w:t xml:space="preserve">a time of normal operation </w:t>
      </w:r>
      <w:bookmarkStart w:id="2255" w:name="_Hlk115091646"/>
      <w:bookmarkEnd w:id="2254"/>
      <w:r w:rsidRPr="003B4362">
        <w:rPr>
          <w:rFonts w:eastAsia="Calibri"/>
          <w:spacing w:val="-3"/>
        </w:rPr>
        <w:t xml:space="preserve">when </w:t>
      </w:r>
      <w:r w:rsidRPr="003B4362">
        <w:rPr>
          <w:rFonts w:eastAsia="Calibri"/>
        </w:rPr>
        <w:t>the highest lead levels are most likely</w:t>
      </w:r>
      <w:bookmarkEnd w:id="2255"/>
      <w:r w:rsidRPr="003B4362">
        <w:rPr>
          <w:rFonts w:eastAsia="Calibri"/>
        </w:rPr>
        <w:t xml:space="preserve"> to occur.  For a NTNCWS </w:t>
      </w:r>
      <w:bookmarkStart w:id="2256" w:name="_Hlk115091760"/>
      <w:r w:rsidRPr="003B4362">
        <w:rPr>
          <w:rFonts w:eastAsia="Calibri"/>
        </w:rPr>
        <w:t xml:space="preserve">supplier not operating during any of </w:t>
      </w:r>
      <w:r w:rsidR="00DF7B74" w:rsidRPr="003B4362">
        <w:rPr>
          <w:rFonts w:eastAsia="Calibri"/>
        </w:rPr>
        <w:t xml:space="preserve">the months </w:t>
      </w:r>
      <w:r w:rsidRPr="003B4362">
        <w:rPr>
          <w:rFonts w:eastAsia="Calibri"/>
        </w:rPr>
        <w:t xml:space="preserve">June through September and whose normal operating period </w:t>
      </w:r>
      <w:r w:rsidRPr="003B4362">
        <w:rPr>
          <w:rFonts w:eastAsia="Calibri"/>
          <w:spacing w:val="-3"/>
        </w:rPr>
        <w:t xml:space="preserve">when </w:t>
      </w:r>
      <w:r w:rsidRPr="003B4362">
        <w:rPr>
          <w:rFonts w:eastAsia="Calibri"/>
        </w:rPr>
        <w:t>the highest levels of lead are most likely to occur</w:t>
      </w:r>
      <w:bookmarkEnd w:id="2256"/>
      <w:r w:rsidRPr="003B4362">
        <w:rPr>
          <w:rFonts w:eastAsia="Calibri"/>
        </w:rPr>
        <w:t xml:space="preserve"> is not known, the Agency must designate a period that represents a time of normal operation for the system.  This reduced </w:t>
      </w:r>
      <w:r w:rsidR="003D00E5" w:rsidRPr="003B4362">
        <w:rPr>
          <w:szCs w:val="24"/>
        </w:rPr>
        <w:t xml:space="preserve">monitoring </w:t>
      </w:r>
      <w:r w:rsidR="00DF7B74" w:rsidRPr="003B4362">
        <w:rPr>
          <w:szCs w:val="24"/>
        </w:rPr>
        <w:t>can</w:t>
      </w:r>
      <w:r w:rsidRPr="003B4362">
        <w:rPr>
          <w:rFonts w:eastAsia="Calibri"/>
        </w:rPr>
        <w:t xml:space="preserve"> only begin </w:t>
      </w:r>
      <w:bookmarkStart w:id="2257" w:name="_Hlk115091877"/>
      <w:r w:rsidRPr="003B4362">
        <w:rPr>
          <w:rFonts w:eastAsia="Calibri"/>
        </w:rPr>
        <w:t xml:space="preserve">during the Agency-designated period </w:t>
      </w:r>
      <w:bookmarkEnd w:id="2257"/>
      <w:r w:rsidRPr="003B4362">
        <w:rPr>
          <w:rFonts w:eastAsia="Calibri"/>
        </w:rPr>
        <w:t xml:space="preserve">in the calendar year immediately following the end of </w:t>
      </w:r>
      <w:bookmarkStart w:id="2258" w:name="_Hlk127917282"/>
      <w:r w:rsidRPr="003B4362">
        <w:rPr>
          <w:rFonts w:eastAsia="Calibri"/>
        </w:rPr>
        <w:t xml:space="preserve">the second </w:t>
      </w:r>
      <w:bookmarkStart w:id="2259" w:name="_Hlk123132466"/>
      <w:r w:rsidR="00E12F89" w:rsidRPr="003B4362">
        <w:rPr>
          <w:rFonts w:eastAsia="Calibri"/>
        </w:rPr>
        <w:t>six-month</w:t>
      </w:r>
      <w:r w:rsidRPr="003B4362">
        <w:rPr>
          <w:rFonts w:eastAsia="Calibri"/>
        </w:rPr>
        <w:t xml:space="preserve"> </w:t>
      </w:r>
      <w:r w:rsidR="002761FC" w:rsidRPr="003B4362">
        <w:rPr>
          <w:rFonts w:eastAsia="Calibri"/>
        </w:rPr>
        <w:t xml:space="preserve">tap </w:t>
      </w:r>
      <w:r w:rsidRPr="003B4362">
        <w:rPr>
          <w:rFonts w:eastAsia="Calibri"/>
        </w:rPr>
        <w:t xml:space="preserve">monitoring </w:t>
      </w:r>
      <w:r w:rsidR="00414A76" w:rsidRPr="003B4362">
        <w:rPr>
          <w:rFonts w:eastAsia="Calibri"/>
        </w:rPr>
        <w:t xml:space="preserve">cycle, </w:t>
      </w:r>
      <w:bookmarkStart w:id="2260" w:name="_Hlk115092140"/>
      <w:bookmarkEnd w:id="2258"/>
      <w:bookmarkEnd w:id="2259"/>
      <w:r w:rsidRPr="003B4362">
        <w:rPr>
          <w:rFonts w:eastAsia="Calibri"/>
        </w:rPr>
        <w:t>for a s</w:t>
      </w:r>
      <w:r w:rsidR="002E1CD9" w:rsidRPr="003B4362">
        <w:rPr>
          <w:rFonts w:eastAsia="Calibri"/>
        </w:rPr>
        <w:t>upplier</w:t>
      </w:r>
      <w:r w:rsidRPr="003B4362">
        <w:rPr>
          <w:rFonts w:eastAsia="Calibri"/>
        </w:rPr>
        <w:t xml:space="preserve"> initiating annual monitoring</w:t>
      </w:r>
      <w:bookmarkEnd w:id="2260"/>
      <w:r w:rsidRPr="003B4362">
        <w:rPr>
          <w:rFonts w:eastAsia="Calibri"/>
        </w:rPr>
        <w:t xml:space="preserve">, </w:t>
      </w:r>
      <w:bookmarkStart w:id="2261" w:name="_Hlk115092271"/>
      <w:r w:rsidRPr="003B4362">
        <w:rPr>
          <w:rFonts w:eastAsia="Calibri"/>
        </w:rPr>
        <w:t>or in the three-year period following</w:t>
      </w:r>
      <w:bookmarkEnd w:id="2261"/>
      <w:r w:rsidRPr="003B4362">
        <w:rPr>
          <w:rFonts w:eastAsia="Calibri"/>
        </w:rPr>
        <w:t xml:space="preserve"> the end of the third consecutive year of annual monitoring, </w:t>
      </w:r>
      <w:bookmarkStart w:id="2262" w:name="_Hlk115092354"/>
      <w:r w:rsidRPr="003B4362">
        <w:rPr>
          <w:rFonts w:eastAsia="Calibri"/>
        </w:rPr>
        <w:t>for a supplier initiating triennial monitoring</w:t>
      </w:r>
      <w:bookmarkEnd w:id="2262"/>
      <w:r w:rsidRPr="003B4362">
        <w:rPr>
          <w:rFonts w:eastAsia="Calibri"/>
        </w:rPr>
        <w:t>.</w:t>
      </w:r>
    </w:p>
    <w:p w14:paraId="44DC8586" w14:textId="542C68F2" w:rsidR="000A30AA" w:rsidRPr="003B4362" w:rsidRDefault="005451CE" w:rsidP="000A30AA">
      <w:pPr>
        <w:autoSpaceDE w:val="0"/>
        <w:autoSpaceDN w:val="0"/>
        <w:adjustRightInd w:val="0"/>
        <w:ind w:left="3600" w:hanging="720"/>
        <w:rPr>
          <w:szCs w:val="24"/>
        </w:rPr>
      </w:pPr>
      <w:r w:rsidRPr="003B4362">
        <w:rPr>
          <w:rFonts w:eastAsia="Calibri"/>
        </w:rPr>
        <w:t>ii)</w:t>
      </w:r>
      <w:r w:rsidRPr="003B4362">
        <w:rPr>
          <w:rFonts w:eastAsia="Calibri"/>
        </w:rPr>
        <w:tab/>
        <w:t>A</w:t>
      </w:r>
      <w:bookmarkStart w:id="2263" w:name="_Hlk115093607"/>
      <w:r w:rsidRPr="003B4362">
        <w:rPr>
          <w:rFonts w:eastAsia="Calibri"/>
        </w:rPr>
        <w:t xml:space="preserve"> supplier monitoring annually and collecting samples during the months of June through September that receives Agency approval to alter its </w:t>
      </w:r>
      <w:r w:rsidR="00AF4A03" w:rsidRPr="003B4362">
        <w:rPr>
          <w:szCs w:val="24"/>
        </w:rPr>
        <w:t>tap sampling</w:t>
      </w:r>
      <w:r w:rsidR="0028408F" w:rsidRPr="003B4362">
        <w:rPr>
          <w:rFonts w:eastAsia="Calibri"/>
        </w:rPr>
        <w:t xml:space="preserve"> </w:t>
      </w:r>
      <w:r w:rsidRPr="003B4362">
        <w:rPr>
          <w:rFonts w:eastAsia="Calibri"/>
        </w:rPr>
        <w:t>period</w:t>
      </w:r>
      <w:bookmarkEnd w:id="2263"/>
      <w:r w:rsidRPr="003B4362">
        <w:rPr>
          <w:rFonts w:eastAsia="Calibri"/>
        </w:rPr>
        <w:t xml:space="preserve"> under subsection (d)(4)(</w:t>
      </w:r>
      <w:r w:rsidR="00E9663B" w:rsidRPr="003B4362">
        <w:rPr>
          <w:rFonts w:eastAsia="Calibri"/>
        </w:rPr>
        <w:t>A</w:t>
      </w:r>
      <w:r w:rsidRPr="003B4362">
        <w:rPr>
          <w:rFonts w:eastAsia="Calibri"/>
        </w:rPr>
        <w:t xml:space="preserve">)(i) must collect its next round of samples during </w:t>
      </w:r>
      <w:bookmarkStart w:id="2264" w:name="_Hlk115093855"/>
      <w:r w:rsidRPr="003B4362">
        <w:rPr>
          <w:rFonts w:eastAsia="Calibri"/>
        </w:rPr>
        <w:t>a time period ending no later than 21 months after its previous round</w:t>
      </w:r>
      <w:bookmarkEnd w:id="2264"/>
      <w:r w:rsidRPr="003B4362">
        <w:rPr>
          <w:rFonts w:eastAsia="Calibri"/>
        </w:rPr>
        <w:t xml:space="preserve"> of sampling.  A</w:t>
      </w:r>
      <w:bookmarkStart w:id="2265" w:name="_Hlk115093987"/>
      <w:r w:rsidRPr="003B4362">
        <w:rPr>
          <w:rFonts w:eastAsia="Calibri"/>
        </w:rPr>
        <w:t xml:space="preserve"> supplier monitoring once every three years and collecting samples during the months of June through September that receives Agency approval</w:t>
      </w:r>
      <w:bookmarkEnd w:id="2265"/>
      <w:r w:rsidRPr="003B4362">
        <w:rPr>
          <w:rFonts w:eastAsia="Calibri"/>
        </w:rPr>
        <w:t xml:space="preserve"> to alter </w:t>
      </w:r>
      <w:bookmarkStart w:id="2266" w:name="_Hlk115094082"/>
      <w:r w:rsidR="00AF46DF" w:rsidRPr="003B4362">
        <w:rPr>
          <w:rFonts w:eastAsia="Calibri"/>
        </w:rPr>
        <w:t xml:space="preserve">its </w:t>
      </w:r>
      <w:r w:rsidR="0043653E" w:rsidRPr="003B4362">
        <w:rPr>
          <w:rFonts w:eastAsia="Calibri"/>
        </w:rPr>
        <w:t xml:space="preserve">tap </w:t>
      </w:r>
      <w:r w:rsidRPr="003B4362">
        <w:rPr>
          <w:rFonts w:eastAsia="Calibri"/>
        </w:rPr>
        <w:t xml:space="preserve">sampling period under subsection </w:t>
      </w:r>
      <w:r w:rsidR="0043653E" w:rsidRPr="003B4362">
        <w:rPr>
          <w:szCs w:val="24"/>
        </w:rPr>
        <w:t xml:space="preserve">(d)(4)(A)(i) </w:t>
      </w:r>
      <w:bookmarkEnd w:id="2266"/>
      <w:r w:rsidRPr="003B4362">
        <w:rPr>
          <w:rFonts w:eastAsia="Calibri"/>
        </w:rPr>
        <w:t xml:space="preserve">must collect its next round of samples during </w:t>
      </w:r>
      <w:bookmarkStart w:id="2267" w:name="_Hlk115094199"/>
      <w:r w:rsidRPr="003B4362">
        <w:rPr>
          <w:rFonts w:eastAsia="Calibri"/>
        </w:rPr>
        <w:t>a time period ending no later than</w:t>
      </w:r>
      <w:bookmarkEnd w:id="2267"/>
      <w:r w:rsidRPr="003B4362">
        <w:rPr>
          <w:rFonts w:eastAsia="Calibri"/>
        </w:rPr>
        <w:t xml:space="preserve"> 45 months after the previous </w:t>
      </w:r>
      <w:r w:rsidR="003D2D03" w:rsidRPr="003B4362">
        <w:rPr>
          <w:szCs w:val="24"/>
        </w:rPr>
        <w:t>tap sampling period</w:t>
      </w:r>
      <w:r w:rsidRPr="003B4362">
        <w:rPr>
          <w:rFonts w:eastAsia="Calibri"/>
        </w:rPr>
        <w:t>.  T</w:t>
      </w:r>
      <w:bookmarkStart w:id="2268" w:name="_Hlk115094283"/>
      <w:r w:rsidRPr="003B4362">
        <w:rPr>
          <w:rFonts w:eastAsia="Calibri"/>
        </w:rPr>
        <w:t>he supplier must co</w:t>
      </w:r>
      <w:r w:rsidR="003D2D03" w:rsidRPr="003B4362">
        <w:rPr>
          <w:rFonts w:eastAsia="Calibri"/>
        </w:rPr>
        <w:t>ndu</w:t>
      </w:r>
      <w:r w:rsidRPr="003B4362">
        <w:rPr>
          <w:rFonts w:eastAsia="Calibri"/>
        </w:rPr>
        <w:t xml:space="preserve">ct subsequent </w:t>
      </w:r>
      <w:r w:rsidR="003D2D03" w:rsidRPr="003B4362">
        <w:rPr>
          <w:szCs w:val="24"/>
        </w:rPr>
        <w:t xml:space="preserve">monitoring </w:t>
      </w:r>
      <w:r w:rsidRPr="003B4362">
        <w:rPr>
          <w:rFonts w:eastAsia="Calibri"/>
        </w:rPr>
        <w:t>annually</w:t>
      </w:r>
      <w:bookmarkEnd w:id="2268"/>
      <w:r w:rsidRPr="003B4362">
        <w:rPr>
          <w:rFonts w:eastAsia="Calibri"/>
        </w:rPr>
        <w:t xml:space="preserve"> or once every three years, </w:t>
      </w:r>
      <w:bookmarkStart w:id="2269" w:name="_Hlk115094504"/>
      <w:r w:rsidRPr="003B4362">
        <w:rPr>
          <w:rFonts w:eastAsia="Calibri"/>
        </w:rPr>
        <w:t>as this Section requires</w:t>
      </w:r>
      <w:bookmarkEnd w:id="2269"/>
      <w:r w:rsidRPr="003B4362">
        <w:rPr>
          <w:rFonts w:eastAsia="Calibri"/>
        </w:rPr>
        <w:t>.</w:t>
      </w:r>
    </w:p>
    <w:p w14:paraId="4816DBEA" w14:textId="67C11D62" w:rsidR="005451CE" w:rsidRPr="003B4362" w:rsidRDefault="000A30AA" w:rsidP="000A30AA">
      <w:pPr>
        <w:spacing w:before="240" w:after="240"/>
        <w:ind w:left="3600" w:hanging="720"/>
        <w:rPr>
          <w:rFonts w:eastAsia="Calibri"/>
        </w:rPr>
      </w:pPr>
      <w:r w:rsidRPr="003B4362">
        <w:rPr>
          <w:szCs w:val="24"/>
        </w:rPr>
        <w:t>iii)</w:t>
      </w:r>
      <w:r w:rsidRPr="003B4362">
        <w:rPr>
          <w:szCs w:val="24"/>
        </w:rPr>
        <w:tab/>
      </w:r>
      <w:r w:rsidR="005451CE" w:rsidRPr="003B4362">
        <w:rPr>
          <w:rFonts w:eastAsia="Calibri"/>
        </w:rPr>
        <w:t>A</w:t>
      </w:r>
      <w:bookmarkStart w:id="2270" w:name="_Hlk115094598"/>
      <w:r w:rsidR="005451CE" w:rsidRPr="003B4362">
        <w:rPr>
          <w:rFonts w:eastAsia="Calibri"/>
        </w:rPr>
        <w:t xml:space="preserve"> small supplier</w:t>
      </w:r>
      <w:bookmarkStart w:id="2271" w:name="_Hlk115094721"/>
      <w:bookmarkEnd w:id="2270"/>
      <w:r w:rsidR="005451CE" w:rsidRPr="003B4362">
        <w:rPr>
          <w:rFonts w:eastAsia="Calibri"/>
        </w:rPr>
        <w:t xml:space="preserve"> collecting samples during the months of June through September, receiving a waiver under subsection (g)</w:t>
      </w:r>
      <w:bookmarkEnd w:id="2271"/>
      <w:r w:rsidR="005451CE" w:rsidRPr="003B4362">
        <w:rPr>
          <w:rFonts w:eastAsia="Calibri"/>
        </w:rPr>
        <w:t xml:space="preserve"> </w:t>
      </w:r>
      <w:bookmarkStart w:id="2272" w:name="_Hlk115095426"/>
      <w:r w:rsidR="005451CE" w:rsidRPr="003B4362">
        <w:rPr>
          <w:rFonts w:eastAsia="Calibri"/>
        </w:rPr>
        <w:t>and receiving Agency approval</w:t>
      </w:r>
      <w:bookmarkEnd w:id="2272"/>
      <w:r w:rsidR="005451CE" w:rsidRPr="003B4362">
        <w:rPr>
          <w:rFonts w:eastAsia="Calibri"/>
        </w:rPr>
        <w:t xml:space="preserve"> to alter its </w:t>
      </w:r>
      <w:r w:rsidRPr="003B4362">
        <w:rPr>
          <w:szCs w:val="24"/>
        </w:rPr>
        <w:t xml:space="preserve">tap sampling </w:t>
      </w:r>
      <w:r w:rsidR="005451CE" w:rsidRPr="003B4362">
        <w:rPr>
          <w:rFonts w:eastAsia="Calibri"/>
        </w:rPr>
        <w:t>period under subsection (d)(4)(</w:t>
      </w:r>
      <w:r w:rsidR="00E9663B" w:rsidRPr="003B4362">
        <w:rPr>
          <w:rFonts w:eastAsia="Calibri"/>
        </w:rPr>
        <w:t>A</w:t>
      </w:r>
      <w:r w:rsidR="005451CE" w:rsidRPr="003B4362">
        <w:rPr>
          <w:rFonts w:eastAsia="Calibri"/>
        </w:rPr>
        <w:t xml:space="preserve">)(i) must collect its next round of samples before the end of the </w:t>
      </w:r>
      <w:bookmarkStart w:id="2273" w:name="_Hlk135662474"/>
      <w:r w:rsidR="005451CE" w:rsidRPr="003B4362">
        <w:rPr>
          <w:rFonts w:eastAsia="Calibri"/>
        </w:rPr>
        <w:t xml:space="preserve">nine-year </w:t>
      </w:r>
      <w:r w:rsidR="00307F36" w:rsidRPr="003B4362">
        <w:rPr>
          <w:rFonts w:eastAsia="Calibri"/>
        </w:rPr>
        <w:t xml:space="preserve">tap monitoring </w:t>
      </w:r>
      <w:r w:rsidR="005451CE" w:rsidRPr="003B4362">
        <w:rPr>
          <w:rFonts w:eastAsia="Calibri"/>
        </w:rPr>
        <w:t>cycle</w:t>
      </w:r>
      <w:bookmarkEnd w:id="2273"/>
      <w:r w:rsidR="005451CE" w:rsidRPr="003B4362">
        <w:rPr>
          <w:rFonts w:eastAsia="Calibri"/>
        </w:rPr>
        <w:t xml:space="preserve"> </w:t>
      </w:r>
      <w:bookmarkStart w:id="2274" w:name="_Hlk115095495"/>
      <w:r w:rsidR="005451CE" w:rsidRPr="003B4362">
        <w:rPr>
          <w:rFonts w:eastAsia="Calibri"/>
        </w:rPr>
        <w:t>(as Section 611.101 defines the term)</w:t>
      </w:r>
      <w:bookmarkEnd w:id="2274"/>
      <w:r w:rsidR="005451CE" w:rsidRPr="003B4362">
        <w:rPr>
          <w:rFonts w:eastAsia="Calibri"/>
        </w:rPr>
        <w:t>.</w:t>
      </w:r>
    </w:p>
    <w:p w14:paraId="591D4963" w14:textId="5B506AE3" w:rsidR="00B421A7" w:rsidRPr="003B4362" w:rsidRDefault="00B421A7" w:rsidP="00B421A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bookmarkStart w:id="2275" w:name="_Hlk123143816"/>
      <w:r w:rsidR="000F5D0C" w:rsidRPr="003B4362">
        <w:rPr>
          <w:rFonts w:eastAsia="Calibri"/>
          <w:szCs w:val="24"/>
        </w:rPr>
        <w:t>A</w:t>
      </w:r>
      <w:bookmarkStart w:id="2276" w:name="_Hlk123144395"/>
      <w:r w:rsidR="000F5D0C" w:rsidRPr="003B4362">
        <w:rPr>
          <w:rFonts w:eastAsia="Calibri"/>
          <w:szCs w:val="24"/>
        </w:rPr>
        <w:t xml:space="preserve"> supplier</w:t>
      </w:r>
      <w:r w:rsidRPr="003B4362">
        <w:rPr>
          <w:rFonts w:eastAsia="Calibri"/>
          <w:szCs w:val="24"/>
        </w:rPr>
        <w:t xml:space="preserve"> </w:t>
      </w:r>
      <w:r w:rsidR="000F5D0C" w:rsidRPr="003B4362">
        <w:rPr>
          <w:rFonts w:eastAsia="Calibri"/>
          <w:szCs w:val="24"/>
        </w:rPr>
        <w:t>meeting</w:t>
      </w:r>
      <w:r w:rsidRPr="003B4362">
        <w:rPr>
          <w:rFonts w:eastAsia="Calibri"/>
          <w:szCs w:val="24"/>
        </w:rPr>
        <w:t xml:space="preserve"> the lead trigger level and</w:t>
      </w:r>
      <w:r w:rsidR="000F5D0C" w:rsidRPr="003B4362">
        <w:rPr>
          <w:rFonts w:eastAsia="Calibri"/>
          <w:szCs w:val="24"/>
        </w:rPr>
        <w:t xml:space="preserve"> </w:t>
      </w:r>
      <w:r w:rsidRPr="003B4362">
        <w:rPr>
          <w:rFonts w:eastAsia="Calibri"/>
          <w:szCs w:val="24"/>
        </w:rPr>
        <w:t>copper action level</w:t>
      </w:r>
      <w:bookmarkEnd w:id="2275"/>
      <w:bookmarkEnd w:id="2276"/>
      <w:r w:rsidRPr="003B4362">
        <w:rPr>
          <w:rFonts w:eastAsia="Calibri"/>
          <w:szCs w:val="24"/>
        </w:rPr>
        <w:t xml:space="preserve"> during two consecutive </w:t>
      </w:r>
      <w:bookmarkStart w:id="2277" w:name="_Hlk123144480"/>
      <w:r w:rsidR="000F5D0C" w:rsidRPr="003B4362">
        <w:rPr>
          <w:rFonts w:eastAsia="Calibri"/>
          <w:szCs w:val="24"/>
        </w:rPr>
        <w:t>six</w:t>
      </w:r>
      <w:r w:rsidRPr="003B4362">
        <w:rPr>
          <w:rFonts w:eastAsia="Calibri"/>
          <w:szCs w:val="24"/>
        </w:rPr>
        <w:t xml:space="preserve">-month tap monitoring </w:t>
      </w:r>
      <w:r w:rsidR="004F1C4B" w:rsidRPr="003B4362">
        <w:rPr>
          <w:rFonts w:eastAsia="Calibri"/>
          <w:szCs w:val="24"/>
        </w:rPr>
        <w:t>cycles</w:t>
      </w:r>
      <w:bookmarkEnd w:id="2277"/>
      <w:r w:rsidRPr="003B4362">
        <w:rPr>
          <w:rFonts w:eastAsia="Calibri"/>
          <w:szCs w:val="24"/>
        </w:rPr>
        <w:t xml:space="preserve"> may </w:t>
      </w:r>
      <w:bookmarkStart w:id="2278" w:name="_Hlk123144691"/>
      <w:r w:rsidRPr="003B4362">
        <w:rPr>
          <w:rFonts w:eastAsia="Calibri"/>
          <w:szCs w:val="24"/>
        </w:rPr>
        <w:t xml:space="preserve">reduce </w:t>
      </w:r>
      <w:r w:rsidR="000F5D0C" w:rsidRPr="003B4362">
        <w:rPr>
          <w:rFonts w:eastAsia="Calibri"/>
          <w:szCs w:val="24"/>
        </w:rPr>
        <w:t>its</w:t>
      </w:r>
      <w:r w:rsidRPr="003B4362">
        <w:rPr>
          <w:rFonts w:eastAsia="Calibri"/>
          <w:szCs w:val="24"/>
        </w:rPr>
        <w:t xml:space="preserve"> monitoring frequency to </w:t>
      </w:r>
      <w:r w:rsidR="00E9663B" w:rsidRPr="003B4362">
        <w:rPr>
          <w:rFonts w:eastAsia="Calibri"/>
          <w:szCs w:val="24"/>
        </w:rPr>
        <w:t>annual</w:t>
      </w:r>
      <w:r w:rsidRPr="003B4362">
        <w:rPr>
          <w:rFonts w:eastAsia="Calibri"/>
          <w:szCs w:val="24"/>
        </w:rPr>
        <w:t xml:space="preserve"> monitoring</w:t>
      </w:r>
      <w:bookmarkEnd w:id="2278"/>
      <w:r w:rsidRPr="003B4362">
        <w:rPr>
          <w:rFonts w:eastAsia="Calibri"/>
          <w:szCs w:val="24"/>
        </w:rPr>
        <w:t xml:space="preserve"> and must sample at the </w:t>
      </w:r>
      <w:bookmarkStart w:id="2279" w:name="_Hlk123145062"/>
      <w:r w:rsidRPr="003B4362">
        <w:rPr>
          <w:rFonts w:eastAsia="Calibri"/>
          <w:szCs w:val="24"/>
        </w:rPr>
        <w:t>standard number of sampling sites for lead and</w:t>
      </w:r>
      <w:r w:rsidR="000F5D0C" w:rsidRPr="003B4362">
        <w:rPr>
          <w:rFonts w:eastAsia="Calibri"/>
          <w:szCs w:val="24"/>
        </w:rPr>
        <w:t xml:space="preserve"> </w:t>
      </w:r>
      <w:r w:rsidRPr="003B4362">
        <w:rPr>
          <w:rFonts w:eastAsia="Calibri"/>
          <w:szCs w:val="24"/>
        </w:rPr>
        <w:t>reduced number of sites for copper</w:t>
      </w:r>
      <w:bookmarkEnd w:id="2279"/>
      <w:r w:rsidRPr="003B4362">
        <w:rPr>
          <w:rFonts w:eastAsia="Calibri"/>
          <w:szCs w:val="24"/>
        </w:rPr>
        <w:t xml:space="preserve"> </w:t>
      </w:r>
      <w:bookmarkStart w:id="2280" w:name="_Hlk123145139"/>
      <w:bookmarkStart w:id="2281" w:name="_Hlk123145214"/>
      <w:r w:rsidR="002C37D6" w:rsidRPr="003B4362">
        <w:rPr>
          <w:rFonts w:eastAsia="Calibri"/>
          <w:szCs w:val="24"/>
        </w:rPr>
        <w:t xml:space="preserve">that </w:t>
      </w:r>
      <w:r w:rsidRPr="003B4362">
        <w:rPr>
          <w:rFonts w:eastAsia="Calibri"/>
          <w:szCs w:val="24"/>
        </w:rPr>
        <w:t xml:space="preserve">subsection (c) </w:t>
      </w:r>
      <w:bookmarkEnd w:id="2280"/>
      <w:r w:rsidR="002C37D6" w:rsidRPr="003B4362">
        <w:rPr>
          <w:rFonts w:eastAsia="Calibri"/>
          <w:szCs w:val="24"/>
        </w:rPr>
        <w:t>specifies</w:t>
      </w:r>
      <w:bookmarkEnd w:id="2281"/>
      <w:r w:rsidRPr="003B4362">
        <w:rPr>
          <w:rFonts w:eastAsia="Calibri"/>
          <w:szCs w:val="24"/>
        </w:rPr>
        <w:t xml:space="preserve">.  </w:t>
      </w:r>
      <w:r w:rsidR="00E83975" w:rsidRPr="003B4362">
        <w:rPr>
          <w:rFonts w:eastAsia="Calibri"/>
          <w:szCs w:val="24"/>
        </w:rPr>
        <w:t>A supplier</w:t>
      </w:r>
      <w:r w:rsidRPr="003B4362">
        <w:rPr>
          <w:rFonts w:eastAsia="Calibri"/>
          <w:szCs w:val="24"/>
        </w:rPr>
        <w:t xml:space="preserve"> operating OCCT </w:t>
      </w:r>
      <w:bookmarkStart w:id="2282" w:name="_Hlk123147437"/>
      <w:r w:rsidRPr="003B4362">
        <w:rPr>
          <w:rFonts w:eastAsia="Calibri"/>
          <w:szCs w:val="24"/>
        </w:rPr>
        <w:t xml:space="preserve">must also </w:t>
      </w:r>
      <w:r w:rsidR="001F2005" w:rsidRPr="003B4362">
        <w:rPr>
          <w:rFonts w:eastAsia="Calibri"/>
          <w:szCs w:val="24"/>
        </w:rPr>
        <w:t>maintain</w:t>
      </w:r>
      <w:r w:rsidRPr="003B4362">
        <w:rPr>
          <w:rFonts w:eastAsia="Calibri"/>
          <w:szCs w:val="24"/>
        </w:rPr>
        <w:t xml:space="preserve"> the range of OWQPs</w:t>
      </w:r>
      <w:r w:rsidR="001F2005" w:rsidRPr="003B4362">
        <w:rPr>
          <w:rFonts w:eastAsia="Calibri"/>
          <w:szCs w:val="24"/>
        </w:rPr>
        <w:t xml:space="preserve"> </w:t>
      </w:r>
      <w:r w:rsidRPr="003B4362">
        <w:rPr>
          <w:rFonts w:eastAsia="Calibri"/>
          <w:szCs w:val="24"/>
        </w:rPr>
        <w:lastRenderedPageBreak/>
        <w:t xml:space="preserve">the </w:t>
      </w:r>
      <w:r w:rsidR="001F2005" w:rsidRPr="003B4362">
        <w:rPr>
          <w:rFonts w:eastAsia="Calibri"/>
          <w:szCs w:val="24"/>
        </w:rPr>
        <w:t>Agency</w:t>
      </w:r>
      <w:r w:rsidRPr="003B4362">
        <w:rPr>
          <w:rFonts w:eastAsia="Calibri"/>
          <w:szCs w:val="24"/>
        </w:rPr>
        <w:t xml:space="preserve"> </w:t>
      </w:r>
      <w:r w:rsidR="001F2005" w:rsidRPr="003B4362">
        <w:rPr>
          <w:rFonts w:eastAsia="Calibri"/>
          <w:szCs w:val="24"/>
        </w:rPr>
        <w:t>set under</w:t>
      </w:r>
      <w:r w:rsidRPr="003B4362">
        <w:rPr>
          <w:rFonts w:eastAsia="Calibri"/>
          <w:szCs w:val="24"/>
        </w:rPr>
        <w:t xml:space="preserve"> Section </w:t>
      </w:r>
      <w:r w:rsidR="001F2005" w:rsidRPr="003B4362">
        <w:rPr>
          <w:rFonts w:eastAsia="Calibri"/>
          <w:szCs w:val="24"/>
        </w:rPr>
        <w:t>61</w:t>
      </w:r>
      <w:r w:rsidRPr="003B4362">
        <w:rPr>
          <w:rFonts w:eastAsia="Calibri"/>
          <w:szCs w:val="24"/>
        </w:rPr>
        <w:t>1.</w:t>
      </w:r>
      <w:r w:rsidR="001F2005" w:rsidRPr="003B4362">
        <w:rPr>
          <w:rFonts w:eastAsia="Calibri"/>
          <w:szCs w:val="24"/>
        </w:rPr>
        <w:t>35</w:t>
      </w:r>
      <w:r w:rsidRPr="003B4362">
        <w:rPr>
          <w:rFonts w:eastAsia="Calibri"/>
          <w:szCs w:val="24"/>
        </w:rPr>
        <w:t xml:space="preserve">2(f) </w:t>
      </w:r>
      <w:r w:rsidR="001F2005" w:rsidRPr="003B4362">
        <w:rPr>
          <w:rFonts w:eastAsia="Calibri"/>
          <w:szCs w:val="24"/>
        </w:rPr>
        <w:t>during</w:t>
      </w:r>
      <w:r w:rsidRPr="003B4362">
        <w:rPr>
          <w:rFonts w:eastAsia="Calibri"/>
          <w:szCs w:val="24"/>
        </w:rPr>
        <w:t xml:space="preserve"> the same period</w:t>
      </w:r>
      <w:bookmarkEnd w:id="2282"/>
      <w:r w:rsidRPr="003B4362">
        <w:rPr>
          <w:rFonts w:eastAsia="Calibri"/>
          <w:szCs w:val="24"/>
        </w:rPr>
        <w:t xml:space="preserve"> and </w:t>
      </w:r>
      <w:bookmarkStart w:id="2283" w:name="_Hlk123147868"/>
      <w:bookmarkStart w:id="2284" w:name="_Hlk123159902"/>
      <w:r w:rsidRPr="003B4362">
        <w:rPr>
          <w:rFonts w:eastAsia="Calibri"/>
          <w:szCs w:val="24"/>
        </w:rPr>
        <w:t xml:space="preserve">receive a </w:t>
      </w:r>
      <w:r w:rsidR="001F2005" w:rsidRPr="003B4362">
        <w:rPr>
          <w:rFonts w:eastAsia="Calibri"/>
          <w:szCs w:val="24"/>
        </w:rPr>
        <w:t>SEP</w:t>
      </w:r>
      <w:r w:rsidRPr="003B4362">
        <w:rPr>
          <w:rFonts w:eastAsia="Calibri"/>
          <w:szCs w:val="24"/>
        </w:rPr>
        <w:t xml:space="preserve"> from the </w:t>
      </w:r>
      <w:r w:rsidR="003321D9" w:rsidRPr="003B4362">
        <w:rPr>
          <w:rFonts w:eastAsia="Calibri"/>
          <w:szCs w:val="24"/>
        </w:rPr>
        <w:t>Agency</w:t>
      </w:r>
      <w:r w:rsidRPr="003B4362">
        <w:rPr>
          <w:rFonts w:eastAsia="Calibri"/>
          <w:szCs w:val="24"/>
        </w:rPr>
        <w:t xml:space="preserve"> approving annual monitoring</w:t>
      </w:r>
      <w:bookmarkEnd w:id="2283"/>
      <w:r w:rsidRPr="003B4362">
        <w:rPr>
          <w:rFonts w:eastAsia="Calibri"/>
          <w:szCs w:val="24"/>
        </w:rPr>
        <w:t xml:space="preserve"> based on the </w:t>
      </w:r>
      <w:r w:rsidR="003321D9" w:rsidRPr="003B4362">
        <w:rPr>
          <w:rFonts w:eastAsia="Calibri"/>
          <w:szCs w:val="24"/>
        </w:rPr>
        <w:t>Agency</w:t>
      </w:r>
      <w:r w:rsidRPr="003B4362">
        <w:rPr>
          <w:rFonts w:eastAsia="Calibri"/>
          <w:szCs w:val="24"/>
        </w:rPr>
        <w:t>’s review</w:t>
      </w:r>
      <w:bookmarkEnd w:id="2284"/>
      <w:r w:rsidRPr="003B4362">
        <w:rPr>
          <w:rFonts w:eastAsia="Calibri"/>
          <w:szCs w:val="24"/>
        </w:rPr>
        <w:t xml:space="preserve"> of </w:t>
      </w:r>
      <w:r w:rsidR="003321D9" w:rsidRPr="003B4362">
        <w:rPr>
          <w:rFonts w:eastAsia="Calibri"/>
          <w:szCs w:val="24"/>
        </w:rPr>
        <w:t xml:space="preserve">the supplier’s </w:t>
      </w:r>
      <w:r w:rsidRPr="003B4362">
        <w:rPr>
          <w:rFonts w:eastAsia="Calibri"/>
          <w:szCs w:val="24"/>
        </w:rPr>
        <w:t>monitoring, treatment, and other relevant information</w:t>
      </w:r>
      <w:r w:rsidR="003321D9" w:rsidRPr="003B4362">
        <w:rPr>
          <w:rFonts w:eastAsia="Calibri"/>
          <w:szCs w:val="24"/>
        </w:rPr>
        <w:t xml:space="preserve"> </w:t>
      </w:r>
      <w:bookmarkStart w:id="2285" w:name="_Hlk123148552"/>
      <w:r w:rsidRPr="003B4362">
        <w:rPr>
          <w:rFonts w:eastAsia="Calibri"/>
          <w:szCs w:val="24"/>
        </w:rPr>
        <w:t xml:space="preserve">the </w:t>
      </w:r>
      <w:r w:rsidR="003321D9" w:rsidRPr="003B4362">
        <w:rPr>
          <w:rFonts w:eastAsia="Calibri"/>
          <w:szCs w:val="24"/>
        </w:rPr>
        <w:t>supplier</w:t>
      </w:r>
      <w:r w:rsidRPr="003B4362">
        <w:rPr>
          <w:rFonts w:eastAsia="Calibri"/>
          <w:szCs w:val="24"/>
        </w:rPr>
        <w:t xml:space="preserve"> </w:t>
      </w:r>
      <w:r w:rsidR="003321D9" w:rsidRPr="003B4362">
        <w:rPr>
          <w:rFonts w:eastAsia="Calibri"/>
          <w:szCs w:val="24"/>
        </w:rPr>
        <w:t>reports under</w:t>
      </w:r>
      <w:r w:rsidRPr="003B4362">
        <w:rPr>
          <w:rFonts w:eastAsia="Calibri"/>
          <w:szCs w:val="24"/>
        </w:rPr>
        <w:t xml:space="preserve"> Section </w:t>
      </w:r>
      <w:r w:rsidR="003321D9" w:rsidRPr="003B4362">
        <w:rPr>
          <w:rFonts w:eastAsia="Calibri"/>
          <w:szCs w:val="24"/>
        </w:rPr>
        <w:t>61</w:t>
      </w:r>
      <w:r w:rsidRPr="003B4362">
        <w:rPr>
          <w:rFonts w:eastAsia="Calibri"/>
          <w:szCs w:val="24"/>
        </w:rPr>
        <w:t>1.</w:t>
      </w:r>
      <w:r w:rsidR="003321D9" w:rsidRPr="003B4362">
        <w:rPr>
          <w:rFonts w:eastAsia="Calibri"/>
          <w:szCs w:val="24"/>
        </w:rPr>
        <w:t>36</w:t>
      </w:r>
      <w:r w:rsidRPr="003B4362">
        <w:rPr>
          <w:rFonts w:eastAsia="Calibri"/>
          <w:szCs w:val="24"/>
        </w:rPr>
        <w:t>0</w:t>
      </w:r>
      <w:bookmarkEnd w:id="2285"/>
      <w:r w:rsidRPr="003B4362">
        <w:rPr>
          <w:rFonts w:eastAsia="Calibri"/>
          <w:szCs w:val="24"/>
        </w:rPr>
        <w:t xml:space="preserve">.  </w:t>
      </w:r>
      <w:bookmarkStart w:id="2286" w:name="_Hlk123148615"/>
      <w:r w:rsidR="009859DB" w:rsidRPr="003B4362">
        <w:rPr>
          <w:rFonts w:eastAsia="Calibri"/>
          <w:szCs w:val="24"/>
        </w:rPr>
        <w:t>T</w:t>
      </w:r>
      <w:bookmarkStart w:id="2287" w:name="_Hlk123148712"/>
      <w:r w:rsidR="009859DB" w:rsidRPr="003B4362">
        <w:rPr>
          <w:rFonts w:eastAsia="Calibri"/>
          <w:szCs w:val="24"/>
        </w:rPr>
        <w:t>he supplier must begin t</w:t>
      </w:r>
      <w:r w:rsidRPr="003B4362">
        <w:rPr>
          <w:rFonts w:eastAsia="Calibri"/>
          <w:szCs w:val="24"/>
        </w:rPr>
        <w:t>his sampling</w:t>
      </w:r>
      <w:bookmarkEnd w:id="2287"/>
      <w:r w:rsidR="009859DB" w:rsidRPr="003B4362">
        <w:rPr>
          <w:rFonts w:eastAsia="Calibri"/>
          <w:szCs w:val="24"/>
        </w:rPr>
        <w:t xml:space="preserve"> </w:t>
      </w:r>
      <w:r w:rsidRPr="003B4362">
        <w:rPr>
          <w:rFonts w:eastAsia="Calibri"/>
          <w:szCs w:val="24"/>
        </w:rPr>
        <w:t>no later</w:t>
      </w:r>
      <w:bookmarkEnd w:id="2286"/>
      <w:r w:rsidRPr="003B4362">
        <w:rPr>
          <w:rFonts w:eastAsia="Calibri"/>
          <w:szCs w:val="24"/>
        </w:rPr>
        <w:t xml:space="preserve"> than the calendar year immediately following the last calendar </w:t>
      </w:r>
      <w:bookmarkStart w:id="2288" w:name="_Hlk123152754"/>
      <w:r w:rsidRPr="003B4362">
        <w:rPr>
          <w:rFonts w:eastAsia="Calibri"/>
          <w:szCs w:val="24"/>
        </w:rPr>
        <w:t xml:space="preserve">year </w:t>
      </w:r>
      <w:r w:rsidR="009859DB" w:rsidRPr="003B4362">
        <w:rPr>
          <w:rFonts w:eastAsia="Calibri"/>
          <w:szCs w:val="24"/>
        </w:rPr>
        <w:t>during</w:t>
      </w:r>
      <w:r w:rsidRPr="003B4362">
        <w:rPr>
          <w:rFonts w:eastAsia="Calibri"/>
          <w:szCs w:val="24"/>
        </w:rPr>
        <w:t xml:space="preserve"> which the </w:t>
      </w:r>
      <w:r w:rsidR="009859DB" w:rsidRPr="003B4362">
        <w:rPr>
          <w:rFonts w:eastAsia="Calibri"/>
          <w:szCs w:val="24"/>
        </w:rPr>
        <w:t>supplier</w:t>
      </w:r>
      <w:r w:rsidRPr="003B4362">
        <w:rPr>
          <w:rFonts w:eastAsia="Calibri"/>
          <w:szCs w:val="24"/>
        </w:rPr>
        <w:t xml:space="preserve"> sampled</w:t>
      </w:r>
      <w:bookmarkEnd w:id="2288"/>
      <w:r w:rsidRPr="003B4362">
        <w:rPr>
          <w:rFonts w:eastAsia="Calibri"/>
          <w:szCs w:val="24"/>
        </w:rPr>
        <w:t>.</w:t>
      </w:r>
    </w:p>
    <w:p w14:paraId="53954477" w14:textId="73B9098B" w:rsidR="00B421A7" w:rsidRPr="003B4362" w:rsidRDefault="00B421A7" w:rsidP="00B421A7">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r>
      <w:bookmarkStart w:id="2289" w:name="_Hlk123152859"/>
      <w:r w:rsidR="007A1DDB" w:rsidRPr="003B4362">
        <w:rPr>
          <w:rFonts w:eastAsia="Calibri"/>
          <w:szCs w:val="24"/>
        </w:rPr>
        <w:t>A</w:t>
      </w:r>
      <w:bookmarkStart w:id="2290" w:name="_Hlk123153009"/>
      <w:r w:rsidR="007A1DDB" w:rsidRPr="003B4362">
        <w:rPr>
          <w:rFonts w:eastAsia="Calibri"/>
          <w:szCs w:val="24"/>
        </w:rPr>
        <w:t xml:space="preserve"> supplier</w:t>
      </w:r>
      <w:r w:rsidRPr="003B4362">
        <w:rPr>
          <w:rFonts w:eastAsia="Calibri"/>
          <w:szCs w:val="24"/>
        </w:rPr>
        <w:t xml:space="preserve"> </w:t>
      </w:r>
      <w:r w:rsidR="007A1DDB" w:rsidRPr="003B4362">
        <w:rPr>
          <w:rFonts w:eastAsia="Calibri"/>
          <w:szCs w:val="24"/>
        </w:rPr>
        <w:t>exceeding</w:t>
      </w:r>
      <w:r w:rsidRPr="003B4362">
        <w:rPr>
          <w:rFonts w:eastAsia="Calibri"/>
          <w:szCs w:val="24"/>
        </w:rPr>
        <w:t xml:space="preserve"> the lead trigger level but </w:t>
      </w:r>
      <w:r w:rsidR="007A1DDB" w:rsidRPr="003B4362">
        <w:rPr>
          <w:rFonts w:eastAsia="Calibri"/>
          <w:szCs w:val="24"/>
        </w:rPr>
        <w:t>neither</w:t>
      </w:r>
      <w:r w:rsidRPr="003B4362">
        <w:rPr>
          <w:rFonts w:eastAsia="Calibri"/>
          <w:szCs w:val="24"/>
        </w:rPr>
        <w:t xml:space="preserve"> the lead </w:t>
      </w:r>
      <w:r w:rsidR="007A1DDB" w:rsidRPr="003B4362">
        <w:rPr>
          <w:rFonts w:eastAsia="Calibri"/>
          <w:szCs w:val="24"/>
        </w:rPr>
        <w:t>nor</w:t>
      </w:r>
      <w:r w:rsidRPr="003B4362">
        <w:rPr>
          <w:rFonts w:eastAsia="Calibri"/>
          <w:szCs w:val="24"/>
        </w:rPr>
        <w:t xml:space="preserve"> copper action level</w:t>
      </w:r>
      <w:bookmarkEnd w:id="2289"/>
      <w:bookmarkEnd w:id="2290"/>
      <w:r w:rsidRPr="003B4362">
        <w:rPr>
          <w:rFonts w:eastAsia="Calibri"/>
          <w:szCs w:val="24"/>
        </w:rPr>
        <w:t xml:space="preserve"> during </w:t>
      </w:r>
      <w:bookmarkStart w:id="2291" w:name="_Hlk127917896"/>
      <w:r w:rsidRPr="003B4362">
        <w:rPr>
          <w:rFonts w:eastAsia="Calibri"/>
          <w:szCs w:val="24"/>
        </w:rPr>
        <w:t xml:space="preserve">two consecutive </w:t>
      </w:r>
      <w:bookmarkEnd w:id="2291"/>
      <w:r w:rsidR="00302FC6" w:rsidRPr="003B4362">
        <w:rPr>
          <w:rFonts w:eastAsia="Calibri"/>
          <w:szCs w:val="24"/>
        </w:rPr>
        <w:t>six</w:t>
      </w:r>
      <w:r w:rsidRPr="003B4362">
        <w:rPr>
          <w:rFonts w:eastAsia="Calibri"/>
          <w:szCs w:val="24"/>
        </w:rPr>
        <w:t xml:space="preserve">-month tap monitoring </w:t>
      </w:r>
      <w:r w:rsidR="00172B04" w:rsidRPr="003B4362">
        <w:rPr>
          <w:rFonts w:eastAsia="Calibri"/>
          <w:szCs w:val="24"/>
        </w:rPr>
        <w:t>cycle</w:t>
      </w:r>
      <w:r w:rsidRPr="003B4362">
        <w:rPr>
          <w:rFonts w:eastAsia="Calibri"/>
          <w:szCs w:val="24"/>
        </w:rPr>
        <w:t>s must monitor no less frequently than annually at the standard number of sampling sites for lead and copper</w:t>
      </w:r>
      <w:bookmarkStart w:id="2292" w:name="_Hlk123157982"/>
      <w:r w:rsidR="00302FC6" w:rsidRPr="003B4362">
        <w:rPr>
          <w:rFonts w:eastAsia="Calibri"/>
          <w:szCs w:val="24"/>
        </w:rPr>
        <w:t xml:space="preserve"> </w:t>
      </w:r>
      <w:bookmarkStart w:id="2293" w:name="_Hlk123158325"/>
      <w:r w:rsidRPr="003B4362">
        <w:rPr>
          <w:rFonts w:eastAsia="Calibri"/>
          <w:szCs w:val="24"/>
        </w:rPr>
        <w:t xml:space="preserve">subsection (c) </w:t>
      </w:r>
      <w:bookmarkEnd w:id="2292"/>
      <w:r w:rsidR="00302FC6" w:rsidRPr="003B4362">
        <w:rPr>
          <w:rFonts w:eastAsia="Calibri"/>
          <w:szCs w:val="24"/>
        </w:rPr>
        <w:t>specifies</w:t>
      </w:r>
      <w:bookmarkEnd w:id="2293"/>
      <w:r w:rsidRPr="003B4362">
        <w:rPr>
          <w:rFonts w:eastAsia="Calibri"/>
          <w:szCs w:val="24"/>
        </w:rPr>
        <w:t xml:space="preserve">.  </w:t>
      </w:r>
      <w:r w:rsidR="00AA79F4" w:rsidRPr="003B4362">
        <w:rPr>
          <w:rFonts w:eastAsia="Calibri"/>
          <w:szCs w:val="24"/>
        </w:rPr>
        <w:t xml:space="preserve">A supplier operating OCCT must also maintain the range of OWQPs the Agency set under Section 611.352(f) </w:t>
      </w:r>
      <w:bookmarkStart w:id="2294" w:name="_Hlk123159653"/>
      <w:r w:rsidR="00AA79F4" w:rsidRPr="003B4362">
        <w:rPr>
          <w:rFonts w:eastAsia="Calibri"/>
          <w:szCs w:val="24"/>
        </w:rPr>
        <w:t xml:space="preserve">during </w:t>
      </w:r>
      <w:bookmarkStart w:id="2295" w:name="_Hlk123159566"/>
      <w:r w:rsidR="00AA79F4" w:rsidRPr="003B4362">
        <w:rPr>
          <w:rFonts w:eastAsia="Calibri"/>
          <w:szCs w:val="24"/>
        </w:rPr>
        <w:t>the same period</w:t>
      </w:r>
      <w:bookmarkEnd w:id="2294"/>
      <w:bookmarkEnd w:id="2295"/>
      <w:r w:rsidR="00AA79F4" w:rsidRPr="003B4362">
        <w:rPr>
          <w:rFonts w:eastAsia="Calibri"/>
          <w:szCs w:val="24"/>
        </w:rPr>
        <w:t xml:space="preserve"> </w:t>
      </w:r>
      <w:r w:rsidRPr="003B4362">
        <w:rPr>
          <w:rFonts w:eastAsia="Calibri"/>
          <w:szCs w:val="24"/>
        </w:rPr>
        <w:t xml:space="preserve">and </w:t>
      </w:r>
      <w:r w:rsidR="00183D7F" w:rsidRPr="003B4362">
        <w:rPr>
          <w:rFonts w:eastAsia="Calibri"/>
          <w:szCs w:val="24"/>
        </w:rPr>
        <w:t>receive a SEP from the Agency approving annual monitoring based on the Agency’s review</w:t>
      </w:r>
      <w:r w:rsidRPr="003B4362">
        <w:rPr>
          <w:rFonts w:eastAsia="Calibri"/>
          <w:szCs w:val="24"/>
        </w:rPr>
        <w:t xml:space="preserve"> of monitoring, treatment, and other relevant </w:t>
      </w:r>
      <w:r w:rsidR="00183D7F" w:rsidRPr="003B4362">
        <w:rPr>
          <w:rFonts w:eastAsia="Calibri"/>
          <w:szCs w:val="24"/>
        </w:rPr>
        <w:t>information the supplier reports under Section 611.360</w:t>
      </w:r>
      <w:r w:rsidRPr="003B4362">
        <w:rPr>
          <w:rFonts w:eastAsia="Calibri"/>
          <w:szCs w:val="24"/>
        </w:rPr>
        <w:t xml:space="preserve">.  </w:t>
      </w:r>
      <w:r w:rsidR="00183D7F" w:rsidRPr="003B4362">
        <w:rPr>
          <w:rFonts w:eastAsia="Calibri"/>
          <w:szCs w:val="24"/>
        </w:rPr>
        <w:t>The supplier must begin this sampling no</w:t>
      </w:r>
      <w:r w:rsidRPr="003B4362">
        <w:rPr>
          <w:rFonts w:eastAsia="Calibri"/>
          <w:szCs w:val="24"/>
        </w:rPr>
        <w:t xml:space="preserve"> later than the calendar year immediately following the last calendar </w:t>
      </w:r>
      <w:r w:rsidR="00183D7F" w:rsidRPr="003B4362">
        <w:rPr>
          <w:rFonts w:eastAsia="Calibri"/>
          <w:szCs w:val="24"/>
        </w:rPr>
        <w:t>year during which the supplier sampled</w:t>
      </w:r>
      <w:r w:rsidRPr="003B4362">
        <w:rPr>
          <w:rFonts w:eastAsia="Calibri"/>
          <w:szCs w:val="24"/>
        </w:rPr>
        <w:t>.</w:t>
      </w:r>
    </w:p>
    <w:p w14:paraId="2070597B" w14:textId="1CE625A7" w:rsidR="00B421A7" w:rsidRPr="003B4362" w:rsidRDefault="00B421A7" w:rsidP="00B421A7">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r>
      <w:r w:rsidR="00D70ADA" w:rsidRPr="003B4362">
        <w:rPr>
          <w:rFonts w:eastAsia="Calibri"/>
          <w:szCs w:val="24"/>
        </w:rPr>
        <w:t>A supplier exceeding</w:t>
      </w:r>
      <w:r w:rsidRPr="003B4362">
        <w:rPr>
          <w:rFonts w:eastAsia="Calibri"/>
          <w:szCs w:val="24"/>
        </w:rPr>
        <w:t xml:space="preserve"> the lead trigger level but </w:t>
      </w:r>
      <w:r w:rsidR="00D70ADA" w:rsidRPr="003B4362">
        <w:rPr>
          <w:rFonts w:eastAsia="Calibri"/>
          <w:szCs w:val="24"/>
        </w:rPr>
        <w:t>neither the lead nor copper action level</w:t>
      </w:r>
      <w:r w:rsidRPr="003B4362">
        <w:rPr>
          <w:rFonts w:eastAsia="Calibri"/>
          <w:szCs w:val="24"/>
        </w:rPr>
        <w:t xml:space="preserve"> during three consecutive years of monitoring may </w:t>
      </w:r>
      <w:bookmarkStart w:id="2296" w:name="_Hlk123160615"/>
      <w:bookmarkStart w:id="2297" w:name="_Hlk123160773"/>
      <w:r w:rsidR="00D70ADA" w:rsidRPr="003B4362">
        <w:rPr>
          <w:rFonts w:eastAsia="Calibri"/>
          <w:szCs w:val="24"/>
        </w:rPr>
        <w:t>increase</w:t>
      </w:r>
      <w:r w:rsidRPr="003B4362">
        <w:rPr>
          <w:rFonts w:eastAsia="Calibri"/>
          <w:szCs w:val="24"/>
        </w:rPr>
        <w:t xml:space="preserve"> the tap monitoring </w:t>
      </w:r>
      <w:bookmarkEnd w:id="2296"/>
      <w:r w:rsidR="006C1A1B" w:rsidRPr="003B4362">
        <w:rPr>
          <w:rFonts w:eastAsia="Calibri"/>
          <w:szCs w:val="24"/>
        </w:rPr>
        <w:t>cycle</w:t>
      </w:r>
      <w:r w:rsidRPr="003B4362">
        <w:rPr>
          <w:rFonts w:eastAsia="Calibri"/>
          <w:szCs w:val="24"/>
        </w:rPr>
        <w:t xml:space="preserve"> </w:t>
      </w:r>
      <w:r w:rsidR="00D70ADA" w:rsidRPr="003B4362">
        <w:rPr>
          <w:rFonts w:eastAsia="Calibri"/>
          <w:szCs w:val="24"/>
        </w:rPr>
        <w:t>(reduce its monitoring frequency)</w:t>
      </w:r>
      <w:bookmarkStart w:id="2298" w:name="_Hlk123161003"/>
      <w:bookmarkEnd w:id="2297"/>
      <w:r w:rsidR="00D70ADA" w:rsidRPr="003B4362">
        <w:rPr>
          <w:rFonts w:eastAsia="Calibri"/>
          <w:szCs w:val="24"/>
        </w:rPr>
        <w:t xml:space="preserve"> </w:t>
      </w:r>
      <w:bookmarkEnd w:id="2298"/>
      <w:r w:rsidRPr="003B4362">
        <w:rPr>
          <w:rFonts w:eastAsia="Calibri"/>
          <w:szCs w:val="24"/>
        </w:rPr>
        <w:t xml:space="preserve">for copper to once every three years; however, the </w:t>
      </w:r>
      <w:r w:rsidR="00D70ADA" w:rsidRPr="003B4362">
        <w:rPr>
          <w:rFonts w:eastAsia="Calibri"/>
          <w:szCs w:val="24"/>
        </w:rPr>
        <w:t>supplier</w:t>
      </w:r>
      <w:r w:rsidRPr="003B4362">
        <w:rPr>
          <w:rFonts w:eastAsia="Calibri"/>
          <w:szCs w:val="24"/>
        </w:rPr>
        <w:t xml:space="preserve"> may not </w:t>
      </w:r>
      <w:r w:rsidR="00D70ADA" w:rsidRPr="003B4362">
        <w:rPr>
          <w:rFonts w:eastAsia="Calibri"/>
          <w:szCs w:val="24"/>
        </w:rPr>
        <w:t xml:space="preserve">increase the tap monitoring </w:t>
      </w:r>
      <w:r w:rsidR="006C1A1B" w:rsidRPr="003B4362">
        <w:rPr>
          <w:rFonts w:eastAsia="Calibri"/>
          <w:szCs w:val="24"/>
        </w:rPr>
        <w:t>cycle</w:t>
      </w:r>
      <w:r w:rsidR="00D70ADA" w:rsidRPr="003B4362">
        <w:rPr>
          <w:rFonts w:eastAsia="Calibri"/>
          <w:szCs w:val="24"/>
        </w:rPr>
        <w:t xml:space="preserve"> (reduce its monitoring frequency) </w:t>
      </w:r>
      <w:r w:rsidRPr="003B4362">
        <w:rPr>
          <w:rFonts w:eastAsia="Calibri"/>
          <w:szCs w:val="24"/>
        </w:rPr>
        <w:t xml:space="preserve">for lead.  </w:t>
      </w:r>
      <w:r w:rsidR="00FB187C" w:rsidRPr="003B4362">
        <w:rPr>
          <w:rFonts w:eastAsia="Calibri"/>
          <w:szCs w:val="24"/>
        </w:rPr>
        <w:t>A supplier</w:t>
      </w:r>
      <w:r w:rsidRPr="003B4362">
        <w:rPr>
          <w:rFonts w:eastAsia="Calibri"/>
          <w:szCs w:val="24"/>
        </w:rPr>
        <w:t xml:space="preserve"> operating OCCT must also maintain the range of </w:t>
      </w:r>
      <w:r w:rsidR="0053698C" w:rsidRPr="003B4362">
        <w:rPr>
          <w:rFonts w:eastAsia="Calibri"/>
          <w:szCs w:val="24"/>
        </w:rPr>
        <w:t>OWQPs the Agency set under Section 611.352(f) during the same period</w:t>
      </w:r>
      <w:r w:rsidRPr="003B4362">
        <w:rPr>
          <w:rFonts w:eastAsia="Calibri"/>
          <w:szCs w:val="24"/>
        </w:rPr>
        <w:t xml:space="preserve"> </w:t>
      </w:r>
      <w:r w:rsidR="0053698C" w:rsidRPr="003B4362">
        <w:rPr>
          <w:rFonts w:eastAsia="Calibri"/>
          <w:szCs w:val="24"/>
        </w:rPr>
        <w:t>and receive a SEP from the Agency</w:t>
      </w:r>
      <w:r w:rsidRPr="003B4362">
        <w:rPr>
          <w:rFonts w:eastAsia="Calibri"/>
          <w:szCs w:val="24"/>
        </w:rPr>
        <w:t xml:space="preserve"> approving triennial monitoring based on the </w:t>
      </w:r>
      <w:r w:rsidR="0053698C" w:rsidRPr="003B4362">
        <w:rPr>
          <w:rFonts w:eastAsia="Calibri"/>
          <w:szCs w:val="24"/>
        </w:rPr>
        <w:t>Agency</w:t>
      </w:r>
      <w:r w:rsidRPr="003B4362">
        <w:rPr>
          <w:rFonts w:eastAsia="Calibri"/>
          <w:szCs w:val="24"/>
        </w:rPr>
        <w:t xml:space="preserve">’s review of monitoring, treatment, and other relevant </w:t>
      </w:r>
      <w:r w:rsidR="0053698C" w:rsidRPr="003B4362">
        <w:rPr>
          <w:rFonts w:eastAsia="Calibri"/>
          <w:szCs w:val="24"/>
        </w:rPr>
        <w:t>information the supplier reports under Section 611.360</w:t>
      </w:r>
      <w:r w:rsidRPr="003B4362">
        <w:rPr>
          <w:rFonts w:eastAsia="Calibri"/>
          <w:szCs w:val="24"/>
        </w:rPr>
        <w:t xml:space="preserve">.  </w:t>
      </w:r>
      <w:r w:rsidR="0053698C" w:rsidRPr="003B4362">
        <w:rPr>
          <w:rFonts w:eastAsia="Calibri"/>
          <w:szCs w:val="24"/>
        </w:rPr>
        <w:t>The supplier must begin this sampling no</w:t>
      </w:r>
      <w:r w:rsidRPr="003B4362">
        <w:rPr>
          <w:rFonts w:eastAsia="Calibri"/>
          <w:szCs w:val="24"/>
        </w:rPr>
        <w:t xml:space="preserve"> later than the third calendar year immediately following the last calendar year </w:t>
      </w:r>
      <w:bookmarkStart w:id="2299" w:name="_Hlk123208232"/>
      <w:r w:rsidR="0053698C" w:rsidRPr="003B4362">
        <w:rPr>
          <w:rFonts w:eastAsia="Calibri"/>
          <w:szCs w:val="24"/>
        </w:rPr>
        <w:t>during which the supplier</w:t>
      </w:r>
      <w:r w:rsidRPr="003B4362">
        <w:rPr>
          <w:rFonts w:eastAsia="Calibri"/>
          <w:szCs w:val="24"/>
        </w:rPr>
        <w:t xml:space="preserve"> sampled</w:t>
      </w:r>
      <w:bookmarkEnd w:id="2299"/>
      <w:r w:rsidRPr="003B4362">
        <w:rPr>
          <w:rFonts w:eastAsia="Calibri"/>
          <w:szCs w:val="24"/>
        </w:rPr>
        <w:t>.</w:t>
      </w:r>
    </w:p>
    <w:p w14:paraId="11258BC5" w14:textId="24E966F6" w:rsidR="00B421A7" w:rsidRPr="003B4362" w:rsidRDefault="00B421A7" w:rsidP="00B421A7">
      <w:pPr>
        <w:autoSpaceDE w:val="0"/>
        <w:autoSpaceDN w:val="0"/>
        <w:adjustRightInd w:val="0"/>
        <w:spacing w:before="240" w:after="240"/>
        <w:ind w:left="2880" w:hanging="720"/>
        <w:rPr>
          <w:rFonts w:eastAsia="Calibri"/>
          <w:szCs w:val="24"/>
        </w:rPr>
      </w:pPr>
      <w:r w:rsidRPr="003B4362">
        <w:rPr>
          <w:rFonts w:eastAsia="Calibri"/>
          <w:szCs w:val="24"/>
        </w:rPr>
        <w:t>E)</w:t>
      </w:r>
      <w:r w:rsidRPr="003B4362">
        <w:rPr>
          <w:rFonts w:eastAsia="Calibri"/>
          <w:szCs w:val="24"/>
        </w:rPr>
        <w:tab/>
        <w:t>A</w:t>
      </w:r>
      <w:bookmarkStart w:id="2300" w:name="_Hlk123202236"/>
      <w:r w:rsidRPr="003B4362">
        <w:rPr>
          <w:rFonts w:eastAsia="Calibri"/>
          <w:szCs w:val="24"/>
        </w:rPr>
        <w:t xml:space="preserve"> small or m</w:t>
      </w:r>
      <w:r w:rsidR="00CC15F0" w:rsidRPr="003B4362">
        <w:rPr>
          <w:rFonts w:eastAsia="Calibri"/>
          <w:szCs w:val="24"/>
        </w:rPr>
        <w:t>id</w:t>
      </w:r>
      <w:r w:rsidRPr="003B4362">
        <w:rPr>
          <w:rFonts w:eastAsia="Calibri"/>
          <w:szCs w:val="24"/>
        </w:rPr>
        <w:t xml:space="preserve">-sized </w:t>
      </w:r>
      <w:r w:rsidR="008E4648" w:rsidRPr="003B4362">
        <w:rPr>
          <w:rFonts w:eastAsia="Calibri"/>
          <w:szCs w:val="24"/>
        </w:rPr>
        <w:t xml:space="preserve">supplier </w:t>
      </w:r>
      <w:r w:rsidRPr="003B4362">
        <w:rPr>
          <w:rFonts w:eastAsia="Calibri"/>
          <w:szCs w:val="24"/>
        </w:rPr>
        <w:t>not exceed</w:t>
      </w:r>
      <w:r w:rsidR="008E4648" w:rsidRPr="003B4362">
        <w:rPr>
          <w:rFonts w:eastAsia="Calibri"/>
          <w:szCs w:val="24"/>
        </w:rPr>
        <w:t>ing</w:t>
      </w:r>
      <w:r w:rsidRPr="003B4362">
        <w:rPr>
          <w:rFonts w:eastAsia="Calibri"/>
          <w:szCs w:val="24"/>
        </w:rPr>
        <w:t xml:space="preserve"> the lead trigger level </w:t>
      </w:r>
      <w:r w:rsidR="008E4648" w:rsidRPr="003B4362">
        <w:rPr>
          <w:rFonts w:eastAsia="Calibri"/>
          <w:szCs w:val="24"/>
        </w:rPr>
        <w:t xml:space="preserve">or </w:t>
      </w:r>
      <w:r w:rsidRPr="003B4362">
        <w:rPr>
          <w:rFonts w:eastAsia="Calibri"/>
          <w:szCs w:val="24"/>
        </w:rPr>
        <w:t>copper action level</w:t>
      </w:r>
      <w:bookmarkEnd w:id="2300"/>
      <w:r w:rsidRPr="003B4362">
        <w:rPr>
          <w:rFonts w:eastAsia="Calibri"/>
          <w:szCs w:val="24"/>
        </w:rPr>
        <w:t xml:space="preserve"> during three consecutive years of monitoring </w:t>
      </w:r>
      <w:bookmarkStart w:id="2301" w:name="_Hlk123205311"/>
      <w:r w:rsidRPr="003B4362">
        <w:rPr>
          <w:rFonts w:eastAsia="Calibri"/>
          <w:szCs w:val="24"/>
        </w:rPr>
        <w:t>(</w:t>
      </w:r>
      <w:r w:rsidR="00652784" w:rsidRPr="003B4362">
        <w:rPr>
          <w:rFonts w:eastAsia="Calibri"/>
          <w:szCs w:val="24"/>
        </w:rPr>
        <w:t xml:space="preserve">completing </w:t>
      </w:r>
      <w:r w:rsidRPr="003B4362">
        <w:rPr>
          <w:rFonts w:eastAsia="Calibri"/>
          <w:szCs w:val="24"/>
        </w:rPr>
        <w:t>standard monitoring</w:t>
      </w:r>
      <w:r w:rsidR="00652784" w:rsidRPr="003B4362">
        <w:rPr>
          <w:rFonts w:eastAsia="Calibri"/>
          <w:szCs w:val="24"/>
        </w:rPr>
        <w:t xml:space="preserve"> </w:t>
      </w:r>
      <w:r w:rsidRPr="003B4362">
        <w:rPr>
          <w:rFonts w:eastAsia="Calibri"/>
          <w:szCs w:val="24"/>
        </w:rPr>
        <w:t xml:space="preserve">during both six-month </w:t>
      </w:r>
      <w:r w:rsidR="001B510B" w:rsidRPr="003B4362">
        <w:rPr>
          <w:rFonts w:eastAsia="Calibri"/>
          <w:szCs w:val="24"/>
        </w:rPr>
        <w:t>tap monitoring cycles</w:t>
      </w:r>
      <w:r w:rsidRPr="003B4362">
        <w:rPr>
          <w:rFonts w:eastAsia="Calibri"/>
          <w:szCs w:val="24"/>
        </w:rPr>
        <w:t xml:space="preserve"> of a calendar year </w:t>
      </w:r>
      <w:r w:rsidR="00652784" w:rsidRPr="003B4362">
        <w:rPr>
          <w:rFonts w:eastAsia="Calibri"/>
          <w:szCs w:val="24"/>
        </w:rPr>
        <w:t>constitutes</w:t>
      </w:r>
      <w:r w:rsidRPr="003B4362">
        <w:rPr>
          <w:rFonts w:eastAsia="Calibri"/>
          <w:szCs w:val="24"/>
        </w:rPr>
        <w:t xml:space="preserve"> </w:t>
      </w:r>
      <w:r w:rsidR="00652784" w:rsidRPr="003B4362">
        <w:rPr>
          <w:rFonts w:eastAsia="Calibri"/>
          <w:szCs w:val="24"/>
        </w:rPr>
        <w:t>one</w:t>
      </w:r>
      <w:r w:rsidRPr="003B4362">
        <w:rPr>
          <w:rFonts w:eastAsia="Calibri"/>
          <w:szCs w:val="24"/>
        </w:rPr>
        <w:t xml:space="preserve"> year of monitoring)</w:t>
      </w:r>
      <w:bookmarkEnd w:id="2301"/>
      <w:r w:rsidRPr="003B4362">
        <w:rPr>
          <w:rFonts w:eastAsia="Calibri"/>
          <w:szCs w:val="24"/>
        </w:rPr>
        <w:t xml:space="preserve"> may sample at the reduced number of sites for lead and copper </w:t>
      </w:r>
      <w:bookmarkStart w:id="2302" w:name="_Hlk123206263"/>
      <w:bookmarkStart w:id="2303" w:name="_Hlk123206412"/>
      <w:r w:rsidR="0079599C" w:rsidRPr="003B4362">
        <w:rPr>
          <w:rFonts w:eastAsia="Calibri"/>
          <w:szCs w:val="24"/>
        </w:rPr>
        <w:t>that</w:t>
      </w:r>
      <w:r w:rsidRPr="003B4362">
        <w:rPr>
          <w:rFonts w:eastAsia="Calibri"/>
          <w:szCs w:val="24"/>
        </w:rPr>
        <w:t xml:space="preserve"> subsection (c) </w:t>
      </w:r>
      <w:bookmarkEnd w:id="2302"/>
      <w:r w:rsidR="0079599C" w:rsidRPr="003B4362">
        <w:rPr>
          <w:rFonts w:eastAsia="Calibri"/>
          <w:szCs w:val="24"/>
        </w:rPr>
        <w:t>provides</w:t>
      </w:r>
      <w:bookmarkEnd w:id="2303"/>
      <w:r w:rsidRPr="003B4362">
        <w:rPr>
          <w:rFonts w:eastAsia="Calibri"/>
          <w:szCs w:val="24"/>
        </w:rPr>
        <w:t xml:space="preserve"> and </w:t>
      </w:r>
      <w:bookmarkStart w:id="2304" w:name="_Hlk123206592"/>
      <w:bookmarkStart w:id="2305" w:name="_Hlk123206673"/>
      <w:r w:rsidRPr="003B4362">
        <w:rPr>
          <w:rFonts w:eastAsia="Calibri"/>
          <w:szCs w:val="24"/>
        </w:rPr>
        <w:t xml:space="preserve">reduce </w:t>
      </w:r>
      <w:bookmarkStart w:id="2306" w:name="_Hlk123206560"/>
      <w:bookmarkEnd w:id="2304"/>
      <w:r w:rsidR="0079599C" w:rsidRPr="003B4362">
        <w:rPr>
          <w:rFonts w:eastAsia="Calibri"/>
          <w:szCs w:val="24"/>
        </w:rPr>
        <w:t>its</w:t>
      </w:r>
      <w:r w:rsidRPr="003B4362">
        <w:rPr>
          <w:rFonts w:eastAsia="Calibri"/>
          <w:szCs w:val="24"/>
        </w:rPr>
        <w:t xml:space="preserve"> monitoring frequency</w:t>
      </w:r>
      <w:bookmarkStart w:id="2307" w:name="_Hlk123206637"/>
      <w:bookmarkEnd w:id="2306"/>
      <w:r w:rsidRPr="003B4362">
        <w:rPr>
          <w:rFonts w:eastAsia="Calibri"/>
          <w:szCs w:val="24"/>
        </w:rPr>
        <w:t xml:space="preserve"> to triennial</w:t>
      </w:r>
      <w:r w:rsidR="0079599C" w:rsidRPr="003B4362">
        <w:rPr>
          <w:rFonts w:eastAsia="Calibri"/>
          <w:szCs w:val="24"/>
        </w:rPr>
        <w:t>ly</w:t>
      </w:r>
      <w:r w:rsidRPr="003B4362">
        <w:rPr>
          <w:rFonts w:eastAsia="Calibri"/>
          <w:szCs w:val="24"/>
        </w:rPr>
        <w:t xml:space="preserve"> monitoring</w:t>
      </w:r>
      <w:bookmarkEnd w:id="2305"/>
      <w:bookmarkEnd w:id="2307"/>
      <w:r w:rsidRPr="003B4362">
        <w:rPr>
          <w:rFonts w:eastAsia="Calibri"/>
          <w:szCs w:val="24"/>
        </w:rPr>
        <w:t xml:space="preserve">.  </w:t>
      </w:r>
      <w:r w:rsidR="00DE79AA" w:rsidRPr="003B4362">
        <w:rPr>
          <w:rFonts w:eastAsia="Calibri"/>
          <w:szCs w:val="24"/>
        </w:rPr>
        <w:t>A supplier</w:t>
      </w:r>
      <w:r w:rsidRPr="003B4362">
        <w:rPr>
          <w:rFonts w:eastAsia="Calibri"/>
          <w:szCs w:val="24"/>
        </w:rPr>
        <w:t xml:space="preserve"> operating OCCT must also </w:t>
      </w:r>
      <w:r w:rsidR="00DE79AA" w:rsidRPr="003B4362">
        <w:rPr>
          <w:rFonts w:eastAsia="Calibri"/>
          <w:szCs w:val="24"/>
        </w:rPr>
        <w:t xml:space="preserve">maintain the range of OWQPs the Agency set under Section 611.352(f) during the same </w:t>
      </w:r>
      <w:bookmarkStart w:id="2308" w:name="_Hlk123207075"/>
      <w:r w:rsidR="00DE79AA" w:rsidRPr="003B4362">
        <w:rPr>
          <w:rFonts w:eastAsia="Calibri"/>
          <w:szCs w:val="24"/>
        </w:rPr>
        <w:t xml:space="preserve">three-year </w:t>
      </w:r>
      <w:bookmarkEnd w:id="2308"/>
      <w:r w:rsidR="00DE79AA" w:rsidRPr="003B4362">
        <w:rPr>
          <w:rFonts w:eastAsia="Calibri"/>
          <w:szCs w:val="24"/>
        </w:rPr>
        <w:t>period and</w:t>
      </w:r>
      <w:r w:rsidRPr="003B4362">
        <w:rPr>
          <w:rFonts w:eastAsia="Calibri"/>
          <w:szCs w:val="24"/>
        </w:rPr>
        <w:t xml:space="preserve"> receive a </w:t>
      </w:r>
      <w:r w:rsidR="0036070F" w:rsidRPr="003B4362">
        <w:rPr>
          <w:rFonts w:eastAsia="Calibri"/>
          <w:szCs w:val="24"/>
        </w:rPr>
        <w:t>SEP from the Agency</w:t>
      </w:r>
      <w:r w:rsidRPr="003B4362">
        <w:rPr>
          <w:rFonts w:eastAsia="Calibri"/>
          <w:szCs w:val="24"/>
        </w:rPr>
        <w:t xml:space="preserve"> approving triennial monitoring based on the </w:t>
      </w:r>
      <w:r w:rsidR="0036070F" w:rsidRPr="003B4362">
        <w:rPr>
          <w:rFonts w:eastAsia="Calibri"/>
          <w:szCs w:val="24"/>
        </w:rPr>
        <w:lastRenderedPageBreak/>
        <w:t>Agency</w:t>
      </w:r>
      <w:r w:rsidRPr="003B4362">
        <w:rPr>
          <w:rFonts w:eastAsia="Calibri"/>
          <w:szCs w:val="24"/>
        </w:rPr>
        <w:t>’s review of monitoring, treatment, and other relevant information</w:t>
      </w:r>
      <w:r w:rsidR="0036070F" w:rsidRPr="003B4362">
        <w:rPr>
          <w:rFonts w:eastAsia="Calibri"/>
          <w:szCs w:val="24"/>
        </w:rPr>
        <w:t xml:space="preserve"> the supplier reports under Section 611.360</w:t>
      </w:r>
      <w:r w:rsidRPr="003B4362">
        <w:rPr>
          <w:rFonts w:eastAsia="Calibri"/>
          <w:szCs w:val="24"/>
        </w:rPr>
        <w:t xml:space="preserve">.  </w:t>
      </w:r>
      <w:r w:rsidR="00562E14" w:rsidRPr="003B4362">
        <w:rPr>
          <w:rFonts w:eastAsia="Calibri"/>
          <w:szCs w:val="24"/>
        </w:rPr>
        <w:t>The supplier must begin this sampling no</w:t>
      </w:r>
      <w:r w:rsidRPr="003B4362">
        <w:rPr>
          <w:rFonts w:eastAsia="Calibri"/>
          <w:szCs w:val="24"/>
        </w:rPr>
        <w:t xml:space="preserve"> later than three calendar years after the last calendar year </w:t>
      </w:r>
      <w:r w:rsidR="00562E14" w:rsidRPr="003B4362">
        <w:rPr>
          <w:rFonts w:eastAsia="Calibri"/>
          <w:szCs w:val="24"/>
        </w:rPr>
        <w:t>during which the supplier sampled</w:t>
      </w:r>
      <w:r w:rsidRPr="003B4362">
        <w:rPr>
          <w:rFonts w:eastAsia="Calibri"/>
          <w:szCs w:val="24"/>
        </w:rPr>
        <w:t>.</w:t>
      </w:r>
    </w:p>
    <w:p w14:paraId="2FFF80AB" w14:textId="453B28C4" w:rsidR="005451CE" w:rsidRPr="003B4362" w:rsidRDefault="00B421A7" w:rsidP="005451CE">
      <w:pPr>
        <w:spacing w:before="240" w:after="240"/>
        <w:ind w:left="2880" w:hanging="720"/>
        <w:rPr>
          <w:rFonts w:eastAsia="Calibri"/>
        </w:rPr>
      </w:pPr>
      <w:r w:rsidRPr="003B4362">
        <w:rPr>
          <w:rFonts w:eastAsia="Calibri"/>
        </w:rPr>
        <w:t>F</w:t>
      </w:r>
      <w:r w:rsidR="005451CE" w:rsidRPr="003B4362">
        <w:rPr>
          <w:rFonts w:eastAsia="Calibri"/>
        </w:rPr>
        <w:t>)</w:t>
      </w:r>
      <w:r w:rsidR="005451CE" w:rsidRPr="003B4362">
        <w:rPr>
          <w:rFonts w:eastAsia="Calibri"/>
        </w:rPr>
        <w:tab/>
        <w:t>A</w:t>
      </w:r>
      <w:bookmarkStart w:id="2309" w:name="_Hlk115095601"/>
      <w:r w:rsidR="00562E14" w:rsidRPr="003B4362">
        <w:rPr>
          <w:rFonts w:eastAsia="Calibri"/>
        </w:rPr>
        <w:t xml:space="preserve"> supplier</w:t>
      </w:r>
      <w:r w:rsidR="005451CE" w:rsidRPr="003B4362">
        <w:rPr>
          <w:rFonts w:eastAsia="Calibri"/>
        </w:rPr>
        <w:t xml:space="preserve"> demonstrating </w:t>
      </w:r>
      <w:bookmarkEnd w:id="2309"/>
      <w:r w:rsidR="005451CE" w:rsidRPr="003B4362">
        <w:rPr>
          <w:rFonts w:eastAsia="Calibri"/>
        </w:rPr>
        <w:t xml:space="preserve">for </w:t>
      </w:r>
      <w:bookmarkStart w:id="2310" w:name="_Hlk127918513"/>
      <w:r w:rsidR="005451CE" w:rsidRPr="003B4362">
        <w:rPr>
          <w:rFonts w:eastAsia="Calibri"/>
        </w:rPr>
        <w:t xml:space="preserve">two consecutive </w:t>
      </w:r>
      <w:r w:rsidR="00E12F89" w:rsidRPr="003B4362">
        <w:rPr>
          <w:rFonts w:eastAsia="Calibri"/>
        </w:rPr>
        <w:t>six-month</w:t>
      </w:r>
      <w:r w:rsidR="005451CE" w:rsidRPr="003B4362">
        <w:rPr>
          <w:rFonts w:eastAsia="Calibri"/>
        </w:rPr>
        <w:t xml:space="preserve"> </w:t>
      </w:r>
      <w:r w:rsidR="00E0695D" w:rsidRPr="003B4362">
        <w:rPr>
          <w:rFonts w:eastAsia="Calibri"/>
        </w:rPr>
        <w:t xml:space="preserve">tap </w:t>
      </w:r>
      <w:r w:rsidR="005451CE" w:rsidRPr="003B4362">
        <w:rPr>
          <w:rFonts w:eastAsia="Calibri"/>
        </w:rPr>
        <w:t xml:space="preserve">monitoring </w:t>
      </w:r>
      <w:r w:rsidR="001B510B" w:rsidRPr="003B4362">
        <w:rPr>
          <w:rFonts w:eastAsia="Calibri"/>
        </w:rPr>
        <w:t xml:space="preserve">cycles </w:t>
      </w:r>
      <w:bookmarkEnd w:id="2310"/>
      <w:r w:rsidR="005451CE" w:rsidRPr="003B4362">
        <w:rPr>
          <w:rFonts w:eastAsia="Calibri"/>
        </w:rPr>
        <w:t xml:space="preserve">that </w:t>
      </w:r>
      <w:bookmarkStart w:id="2311" w:name="_Hlk127461365"/>
      <w:r w:rsidR="00DD5771" w:rsidRPr="003B4362">
        <w:rPr>
          <w:szCs w:val="24"/>
        </w:rPr>
        <w:t xml:space="preserve">its 90th percentile </w:t>
      </w:r>
      <w:r w:rsidR="005451CE" w:rsidRPr="003B4362">
        <w:rPr>
          <w:rFonts w:eastAsia="Calibri"/>
        </w:rPr>
        <w:t xml:space="preserve">lead </w:t>
      </w:r>
      <w:r w:rsidR="00DD5771" w:rsidRPr="003B4362">
        <w:rPr>
          <w:rFonts w:eastAsia="Calibri"/>
        </w:rPr>
        <w:t>concentration,</w:t>
      </w:r>
      <w:r w:rsidR="001F65F4" w:rsidRPr="003B4362">
        <w:rPr>
          <w:rFonts w:eastAsia="Calibri"/>
        </w:rPr>
        <w:t xml:space="preserve"> </w:t>
      </w:r>
      <w:r w:rsidR="00DD5771" w:rsidRPr="003B4362">
        <w:rPr>
          <w:szCs w:val="24"/>
        </w:rPr>
        <w:t xml:space="preserve">calculated </w:t>
      </w:r>
      <w:r w:rsidR="005451CE" w:rsidRPr="003B4362">
        <w:rPr>
          <w:rFonts w:eastAsia="Calibri"/>
        </w:rPr>
        <w:t>under Section 611.350(c)(</w:t>
      </w:r>
      <w:r w:rsidR="00DD5771" w:rsidRPr="003B4362">
        <w:rPr>
          <w:szCs w:val="24"/>
        </w:rPr>
        <w:t>4</w:t>
      </w:r>
      <w:r w:rsidR="005451CE" w:rsidRPr="003B4362">
        <w:rPr>
          <w:rFonts w:eastAsia="Calibri"/>
        </w:rPr>
        <w:t>)</w:t>
      </w:r>
      <w:bookmarkEnd w:id="2311"/>
      <w:r w:rsidR="00EB5537" w:rsidRPr="003B4362">
        <w:rPr>
          <w:rFonts w:eastAsia="Calibri"/>
        </w:rPr>
        <w:t>,</w:t>
      </w:r>
      <w:r w:rsidR="005451CE" w:rsidRPr="003B4362">
        <w:rPr>
          <w:rFonts w:eastAsia="Calibri"/>
        </w:rPr>
        <w:t xml:space="preserve"> is less than or equal to 0.005 mg/</w:t>
      </w:r>
      <w:r w:rsidR="00C25B6F" w:rsidRPr="003B4362">
        <w:t xml:space="preserve"> L</w:t>
      </w:r>
      <w:r w:rsidR="005451CE" w:rsidRPr="003B4362">
        <w:rPr>
          <w:rFonts w:eastAsia="Calibri"/>
        </w:rPr>
        <w:t xml:space="preserve"> and that </w:t>
      </w:r>
      <w:bookmarkStart w:id="2312" w:name="_Hlk127461810"/>
      <w:r w:rsidR="00816FB0" w:rsidRPr="003B4362">
        <w:rPr>
          <w:rFonts w:eastAsia="Calibri"/>
        </w:rPr>
        <w:t xml:space="preserve">its </w:t>
      </w:r>
      <w:r w:rsidR="00DD5771" w:rsidRPr="003B4362">
        <w:rPr>
          <w:szCs w:val="24"/>
        </w:rPr>
        <w:t xml:space="preserve">90th percentile </w:t>
      </w:r>
      <w:r w:rsidR="005451CE" w:rsidRPr="003B4362">
        <w:rPr>
          <w:rFonts w:eastAsia="Calibri"/>
        </w:rPr>
        <w:t>copper</w:t>
      </w:r>
      <w:r w:rsidR="001F65F4" w:rsidRPr="003B4362">
        <w:rPr>
          <w:rFonts w:eastAsia="Calibri"/>
        </w:rPr>
        <w:t xml:space="preserve"> </w:t>
      </w:r>
      <w:r w:rsidR="00A56C1F" w:rsidRPr="003B4362">
        <w:rPr>
          <w:rFonts w:eastAsia="Calibri"/>
        </w:rPr>
        <w:t>concentration,</w:t>
      </w:r>
      <w:r w:rsidR="001F65F4" w:rsidRPr="003B4362">
        <w:rPr>
          <w:rFonts w:eastAsia="Calibri"/>
        </w:rPr>
        <w:t xml:space="preserve"> </w:t>
      </w:r>
      <w:r w:rsidR="001F65F4" w:rsidRPr="003B4362">
        <w:rPr>
          <w:szCs w:val="24"/>
        </w:rPr>
        <w:t xml:space="preserve">calculated </w:t>
      </w:r>
      <w:r w:rsidR="005451CE" w:rsidRPr="003B4362">
        <w:rPr>
          <w:rFonts w:eastAsia="Calibri"/>
        </w:rPr>
        <w:t>under Section 611.350(c)(</w:t>
      </w:r>
      <w:r w:rsidR="00DD5771" w:rsidRPr="003B4362">
        <w:rPr>
          <w:szCs w:val="24"/>
        </w:rPr>
        <w:t>4</w:t>
      </w:r>
      <w:r w:rsidR="005451CE" w:rsidRPr="003B4362">
        <w:rPr>
          <w:rFonts w:eastAsia="Calibri"/>
        </w:rPr>
        <w:t>)</w:t>
      </w:r>
      <w:bookmarkEnd w:id="2312"/>
      <w:r w:rsidR="00DD5771" w:rsidRPr="003B4362">
        <w:rPr>
          <w:szCs w:val="24"/>
        </w:rPr>
        <w:t>,</w:t>
      </w:r>
      <w:r w:rsidR="005451CE" w:rsidRPr="003B4362">
        <w:rPr>
          <w:rFonts w:eastAsia="Calibri"/>
        </w:rPr>
        <w:t xml:space="preserve"> is less than or equal to 0.65 mg/</w:t>
      </w:r>
      <w:r w:rsidR="00C25B6F" w:rsidRPr="003B4362">
        <w:t xml:space="preserve"> L</w:t>
      </w:r>
      <w:r w:rsidR="005451CE" w:rsidRPr="003B4362">
        <w:rPr>
          <w:rFonts w:eastAsia="Calibri"/>
        </w:rPr>
        <w:t xml:space="preserve"> </w:t>
      </w:r>
      <w:bookmarkStart w:id="2313" w:name="_Hlk115095675"/>
      <w:r w:rsidR="005451CE" w:rsidRPr="003B4362">
        <w:rPr>
          <w:rFonts w:eastAsia="Calibri"/>
        </w:rPr>
        <w:t xml:space="preserve">may </w:t>
      </w:r>
      <w:r w:rsidR="000D4E8C" w:rsidRPr="003B4362">
        <w:rPr>
          <w:szCs w:val="24"/>
        </w:rPr>
        <w:t xml:space="preserve">sample at </w:t>
      </w:r>
      <w:r w:rsidR="005451CE" w:rsidRPr="003B4362">
        <w:rPr>
          <w:rFonts w:eastAsia="Calibri"/>
        </w:rPr>
        <w:t xml:space="preserve">the </w:t>
      </w:r>
      <w:r w:rsidR="000D4E8C" w:rsidRPr="003B4362">
        <w:rPr>
          <w:szCs w:val="24"/>
        </w:rPr>
        <w:t xml:space="preserve">reduced </w:t>
      </w:r>
      <w:r w:rsidR="005451CE" w:rsidRPr="003B4362">
        <w:rPr>
          <w:rFonts w:eastAsia="Calibri"/>
        </w:rPr>
        <w:t xml:space="preserve">number of </w:t>
      </w:r>
      <w:r w:rsidR="00D25FD5" w:rsidRPr="003B4362">
        <w:rPr>
          <w:szCs w:val="24"/>
        </w:rPr>
        <w:t xml:space="preserve">sites for lead and copper </w:t>
      </w:r>
      <w:r w:rsidR="005451CE" w:rsidRPr="003B4362">
        <w:rPr>
          <w:rFonts w:eastAsia="Calibri"/>
        </w:rPr>
        <w:t xml:space="preserve">under subsection (c) and reduce its </w:t>
      </w:r>
      <w:r w:rsidR="00D25FD5" w:rsidRPr="003B4362">
        <w:rPr>
          <w:szCs w:val="24"/>
        </w:rPr>
        <w:t xml:space="preserve">monitoring </w:t>
      </w:r>
      <w:bookmarkStart w:id="2314" w:name="_Hlk123211803"/>
      <w:r w:rsidR="005451CE" w:rsidRPr="003B4362">
        <w:rPr>
          <w:rFonts w:eastAsia="Calibri"/>
        </w:rPr>
        <w:t>to</w:t>
      </w:r>
      <w:bookmarkEnd w:id="2313"/>
      <w:r w:rsidR="00D25FD5" w:rsidRPr="003B4362">
        <w:rPr>
          <w:szCs w:val="24"/>
        </w:rPr>
        <w:t xml:space="preserve"> triennial</w:t>
      </w:r>
      <w:r w:rsidR="00120BA3" w:rsidRPr="003B4362">
        <w:rPr>
          <w:szCs w:val="24"/>
        </w:rPr>
        <w:t>ly</w:t>
      </w:r>
      <w:bookmarkEnd w:id="2314"/>
      <w:r w:rsidR="005451CE" w:rsidRPr="003B4362">
        <w:rPr>
          <w:rFonts w:eastAsia="Calibri"/>
        </w:rPr>
        <w:t>.</w:t>
      </w:r>
      <w:r w:rsidR="00515D22" w:rsidRPr="003B4362">
        <w:rPr>
          <w:szCs w:val="24"/>
        </w:rPr>
        <w:t xml:space="preserve">  </w:t>
      </w:r>
      <w:bookmarkStart w:id="2315" w:name="_Hlk129034227"/>
      <w:r w:rsidR="00515D22" w:rsidRPr="003B4362">
        <w:rPr>
          <w:szCs w:val="24"/>
        </w:rPr>
        <w:t>A</w:t>
      </w:r>
      <w:bookmarkStart w:id="2316" w:name="_Hlk129034314"/>
      <w:r w:rsidR="00515D22" w:rsidRPr="003B4362">
        <w:rPr>
          <w:szCs w:val="24"/>
        </w:rPr>
        <w:t xml:space="preserve"> supplier applying corrosion control treatment must</w:t>
      </w:r>
      <w:bookmarkEnd w:id="2315"/>
      <w:r w:rsidR="00515D22" w:rsidRPr="003B4362">
        <w:rPr>
          <w:szCs w:val="24"/>
        </w:rPr>
        <w:t xml:space="preserve"> maintain</w:t>
      </w:r>
      <w:bookmarkEnd w:id="2316"/>
      <w:r w:rsidR="00515D22" w:rsidRPr="003B4362">
        <w:rPr>
          <w:szCs w:val="24"/>
        </w:rPr>
        <w:t xml:space="preserve"> </w:t>
      </w:r>
      <w:bookmarkStart w:id="2317" w:name="_Hlk129034467"/>
      <w:r w:rsidR="00515D22" w:rsidRPr="003B4362">
        <w:rPr>
          <w:szCs w:val="24"/>
        </w:rPr>
        <w:t xml:space="preserve">the range of </w:t>
      </w:r>
      <w:r w:rsidR="00781623" w:rsidRPr="003B4362">
        <w:rPr>
          <w:szCs w:val="24"/>
        </w:rPr>
        <w:t xml:space="preserve">water quality parameter </w:t>
      </w:r>
      <w:r w:rsidR="00515D22" w:rsidRPr="003B4362">
        <w:rPr>
          <w:szCs w:val="24"/>
        </w:rPr>
        <w:t>values</w:t>
      </w:r>
      <w:bookmarkEnd w:id="2317"/>
      <w:r w:rsidR="00781623" w:rsidRPr="003B4362">
        <w:rPr>
          <w:szCs w:val="24"/>
        </w:rPr>
        <w:t xml:space="preserve"> </w:t>
      </w:r>
      <w:r w:rsidR="00515D22" w:rsidRPr="003B4362">
        <w:rPr>
          <w:szCs w:val="24"/>
        </w:rPr>
        <w:t xml:space="preserve">reflecting </w:t>
      </w:r>
      <w:r w:rsidR="00781623" w:rsidRPr="003B4362">
        <w:rPr>
          <w:szCs w:val="24"/>
        </w:rPr>
        <w:t xml:space="preserve">OCCT </w:t>
      </w:r>
      <w:r w:rsidR="00515D22" w:rsidRPr="003B4362">
        <w:rPr>
          <w:szCs w:val="24"/>
        </w:rPr>
        <w:t xml:space="preserve">the </w:t>
      </w:r>
      <w:r w:rsidR="00781623" w:rsidRPr="003B4362">
        <w:rPr>
          <w:szCs w:val="24"/>
        </w:rPr>
        <w:t>Agency specifies</w:t>
      </w:r>
      <w:r w:rsidR="00515D22" w:rsidRPr="003B4362">
        <w:rPr>
          <w:szCs w:val="24"/>
        </w:rPr>
        <w:t xml:space="preserve"> under Section </w:t>
      </w:r>
      <w:r w:rsidR="00781623" w:rsidRPr="003B4362">
        <w:rPr>
          <w:rFonts w:eastAsia="Calibri"/>
          <w:szCs w:val="24"/>
        </w:rPr>
        <w:t>611.35</w:t>
      </w:r>
      <w:r w:rsidR="00515D22" w:rsidRPr="003B4362">
        <w:rPr>
          <w:szCs w:val="24"/>
        </w:rPr>
        <w:t xml:space="preserve">2(f) to qualify for reduced monitoring </w:t>
      </w:r>
      <w:bookmarkStart w:id="2318" w:name="_Hlk129034929"/>
      <w:r w:rsidR="00781623" w:rsidRPr="003B4362">
        <w:rPr>
          <w:szCs w:val="24"/>
        </w:rPr>
        <w:t>under</w:t>
      </w:r>
      <w:r w:rsidR="00515D22" w:rsidRPr="003B4362">
        <w:rPr>
          <w:szCs w:val="24"/>
        </w:rPr>
        <w:t xml:space="preserve"> this subsection (d)(4)(F)</w:t>
      </w:r>
      <w:bookmarkEnd w:id="2318"/>
      <w:r w:rsidR="00515D22" w:rsidRPr="003B4362">
        <w:rPr>
          <w:szCs w:val="24"/>
        </w:rPr>
        <w:t>.</w:t>
      </w:r>
    </w:p>
    <w:p w14:paraId="699C3F36" w14:textId="762D77E1" w:rsidR="005451CE" w:rsidRPr="003B4362" w:rsidRDefault="005451CE" w:rsidP="005451CE">
      <w:pPr>
        <w:spacing w:before="240" w:after="240"/>
        <w:ind w:left="1440" w:hanging="720"/>
        <w:rPr>
          <w:rFonts w:eastAsia="Calibri"/>
        </w:rPr>
      </w:pPr>
      <w:r w:rsidRPr="003B4362">
        <w:rPr>
          <w:rFonts w:eastAsia="Calibri"/>
        </w:rPr>
        <w:t>e)</w:t>
      </w:r>
      <w:r w:rsidRPr="003B4362">
        <w:rPr>
          <w:rFonts w:eastAsia="Calibri"/>
        </w:rPr>
        <w:tab/>
        <w:t>Additional Monitoring.  T</w:t>
      </w:r>
      <w:bookmarkStart w:id="2319" w:name="_Hlk115109544"/>
      <w:r w:rsidRPr="003B4362">
        <w:rPr>
          <w:rFonts w:eastAsia="Calibri"/>
        </w:rPr>
        <w:t xml:space="preserve">he supplier and the Agency must consider the results of any monitoring the supplier conducts in addition to the minimum requirements in this Section </w:t>
      </w:r>
      <w:r w:rsidR="00700A09" w:rsidRPr="003B4362">
        <w:rPr>
          <w:szCs w:val="24"/>
        </w:rPr>
        <w:t xml:space="preserve">(such as customer-requested sampling) </w:t>
      </w:r>
      <w:bookmarkEnd w:id="2319"/>
      <w:r w:rsidRPr="003B4362">
        <w:rPr>
          <w:rFonts w:eastAsia="Calibri"/>
        </w:rPr>
        <w:t xml:space="preserve">in making any determinations (i.e., calculating </w:t>
      </w:r>
      <w:bookmarkStart w:id="2320" w:name="_Hlk127462344"/>
      <w:r w:rsidRPr="003B4362">
        <w:rPr>
          <w:rFonts w:eastAsia="Calibri"/>
        </w:rPr>
        <w:t xml:space="preserve">the 90th percentile lead </w:t>
      </w:r>
      <w:r w:rsidR="007F3137" w:rsidRPr="003B4362">
        <w:rPr>
          <w:rFonts w:eastAsia="Calibri"/>
        </w:rPr>
        <w:t xml:space="preserve">concentration </w:t>
      </w:r>
      <w:r w:rsidRPr="003B4362">
        <w:rPr>
          <w:rFonts w:eastAsia="Calibri"/>
        </w:rPr>
        <w:t>or copper</w:t>
      </w:r>
      <w:r w:rsidR="00455F01" w:rsidRPr="003B4362">
        <w:rPr>
          <w:rFonts w:eastAsia="Calibri"/>
        </w:rPr>
        <w:t xml:space="preserve"> action </w:t>
      </w:r>
      <w:r w:rsidRPr="003B4362">
        <w:rPr>
          <w:rFonts w:eastAsia="Calibri"/>
        </w:rPr>
        <w:t>level</w:t>
      </w:r>
      <w:bookmarkEnd w:id="2320"/>
      <w:r w:rsidRPr="003B4362">
        <w:rPr>
          <w:rFonts w:eastAsia="Calibri"/>
        </w:rPr>
        <w:t>) under this Subpart G.</w:t>
      </w:r>
      <w:r w:rsidR="00700A09" w:rsidRPr="003B4362">
        <w:rPr>
          <w:szCs w:val="24"/>
        </w:rPr>
        <w:t xml:space="preserve">  </w:t>
      </w:r>
      <w:bookmarkStart w:id="2321" w:name="_Hlk123222575"/>
      <w:r w:rsidR="00435C62" w:rsidRPr="003B4362">
        <w:rPr>
          <w:szCs w:val="24"/>
        </w:rPr>
        <w:t>A</w:t>
      </w:r>
      <w:bookmarkStart w:id="2322" w:name="_Hlk123223837"/>
      <w:r w:rsidR="00435C62" w:rsidRPr="003B4362">
        <w:rPr>
          <w:szCs w:val="24"/>
        </w:rPr>
        <w:t xml:space="preserve"> supplier serving through l</w:t>
      </w:r>
      <w:r w:rsidR="00700A09" w:rsidRPr="003B4362">
        <w:rPr>
          <w:szCs w:val="24"/>
        </w:rPr>
        <w:t>ead service line</w:t>
      </w:r>
      <w:r w:rsidR="00435C62" w:rsidRPr="003B4362">
        <w:rPr>
          <w:szCs w:val="24"/>
        </w:rPr>
        <w:t xml:space="preserve">s </w:t>
      </w:r>
      <w:r w:rsidR="00700A09" w:rsidRPr="003B4362">
        <w:rPr>
          <w:szCs w:val="24"/>
        </w:rPr>
        <w:t xml:space="preserve">that </w:t>
      </w:r>
      <w:r w:rsidR="00435C62" w:rsidRPr="003B4362">
        <w:rPr>
          <w:szCs w:val="24"/>
        </w:rPr>
        <w:t>cannot</w:t>
      </w:r>
      <w:r w:rsidR="00700A09" w:rsidRPr="003B4362">
        <w:rPr>
          <w:szCs w:val="24"/>
        </w:rPr>
        <w:t xml:space="preserve"> collect</w:t>
      </w:r>
      <w:bookmarkEnd w:id="2322"/>
      <w:r w:rsidR="00700A09" w:rsidRPr="003B4362">
        <w:rPr>
          <w:szCs w:val="24"/>
        </w:rPr>
        <w:t xml:space="preserve"> the minimum number of samples</w:t>
      </w:r>
      <w:bookmarkEnd w:id="2321"/>
      <w:r w:rsidR="00700A09" w:rsidRPr="003B4362">
        <w:rPr>
          <w:szCs w:val="24"/>
        </w:rPr>
        <w:t xml:space="preserve"> from Tier 1 or Tier 2 sites </w:t>
      </w:r>
      <w:r w:rsidR="00435C62" w:rsidRPr="003B4362">
        <w:rPr>
          <w:szCs w:val="24"/>
        </w:rPr>
        <w:t>must</w:t>
      </w:r>
      <w:r w:rsidR="00700A09" w:rsidRPr="003B4362">
        <w:rPr>
          <w:szCs w:val="24"/>
        </w:rPr>
        <w:t xml:space="preserve"> calculate the 90th percentile </w:t>
      </w:r>
      <w:r w:rsidR="00435C62" w:rsidRPr="003B4362">
        <w:rPr>
          <w:szCs w:val="24"/>
        </w:rPr>
        <w:t xml:space="preserve">concentration </w:t>
      </w:r>
      <w:r w:rsidR="00700A09" w:rsidRPr="003B4362">
        <w:rPr>
          <w:szCs w:val="24"/>
        </w:rPr>
        <w:t xml:space="preserve">using data from </w:t>
      </w:r>
      <w:bookmarkStart w:id="2323" w:name="_Hlk123224059"/>
      <w:r w:rsidR="00700A09" w:rsidRPr="003B4362">
        <w:rPr>
          <w:szCs w:val="24"/>
        </w:rPr>
        <w:t>all</w:t>
      </w:r>
      <w:r w:rsidR="00FD1382" w:rsidRPr="003B4362">
        <w:rPr>
          <w:szCs w:val="24"/>
        </w:rPr>
        <w:t xml:space="preserve"> </w:t>
      </w:r>
      <w:r w:rsidR="00700A09" w:rsidRPr="003B4362">
        <w:rPr>
          <w:szCs w:val="24"/>
        </w:rPr>
        <w:t xml:space="preserve">sites </w:t>
      </w:r>
      <w:r w:rsidR="00435C62" w:rsidRPr="003B4362">
        <w:rPr>
          <w:szCs w:val="24"/>
        </w:rPr>
        <w:t>it serves</w:t>
      </w:r>
      <w:r w:rsidR="00FD1382" w:rsidRPr="003B4362">
        <w:rPr>
          <w:szCs w:val="24"/>
        </w:rPr>
        <w:t xml:space="preserve"> through lead service lines </w:t>
      </w:r>
      <w:r w:rsidR="008727F0" w:rsidRPr="003B4362">
        <w:rPr>
          <w:szCs w:val="24"/>
        </w:rPr>
        <w:t>(Tier 1 and Tier 2 sites)</w:t>
      </w:r>
      <w:bookmarkEnd w:id="2323"/>
      <w:r w:rsidR="008727F0" w:rsidRPr="003B4362">
        <w:rPr>
          <w:szCs w:val="24"/>
        </w:rPr>
        <w:t xml:space="preserve"> </w:t>
      </w:r>
      <w:bookmarkStart w:id="2324" w:name="_Hlk123224301"/>
      <w:r w:rsidR="006A6C8B" w:rsidRPr="003B4362">
        <w:rPr>
          <w:szCs w:val="24"/>
        </w:rPr>
        <w:t>together with</w:t>
      </w:r>
      <w:r w:rsidR="00700A09" w:rsidRPr="003B4362">
        <w:rPr>
          <w:szCs w:val="24"/>
        </w:rPr>
        <w:t xml:space="preserve"> the highest </w:t>
      </w:r>
      <w:bookmarkStart w:id="2325" w:name="_Hlk123224167"/>
      <w:bookmarkEnd w:id="2324"/>
      <w:r w:rsidR="00700A09" w:rsidRPr="003B4362">
        <w:rPr>
          <w:szCs w:val="24"/>
        </w:rPr>
        <w:t xml:space="preserve">lead and copper </w:t>
      </w:r>
      <w:r w:rsidR="008727F0" w:rsidRPr="003B4362">
        <w:rPr>
          <w:szCs w:val="24"/>
        </w:rPr>
        <w:t>result</w:t>
      </w:r>
      <w:r w:rsidR="00700A09" w:rsidRPr="003B4362">
        <w:rPr>
          <w:szCs w:val="24"/>
        </w:rPr>
        <w:t>s from lower</w:t>
      </w:r>
      <w:r w:rsidR="006A6C8B" w:rsidRPr="003B4362">
        <w:rPr>
          <w:szCs w:val="24"/>
        </w:rPr>
        <w:t>-</w:t>
      </w:r>
      <w:r w:rsidR="00700A09" w:rsidRPr="003B4362">
        <w:rPr>
          <w:szCs w:val="24"/>
        </w:rPr>
        <w:t>tier sites</w:t>
      </w:r>
      <w:bookmarkEnd w:id="2325"/>
      <w:r w:rsidR="00700A09" w:rsidRPr="003B4362">
        <w:rPr>
          <w:szCs w:val="24"/>
        </w:rPr>
        <w:t xml:space="preserve"> </w:t>
      </w:r>
      <w:bookmarkStart w:id="2326" w:name="_Hlk123228735"/>
      <w:r w:rsidR="00700A09" w:rsidRPr="003B4362">
        <w:rPr>
          <w:szCs w:val="24"/>
        </w:rPr>
        <w:t xml:space="preserve">to </w:t>
      </w:r>
      <w:r w:rsidR="001A5140" w:rsidRPr="003B4362">
        <w:rPr>
          <w:szCs w:val="24"/>
        </w:rPr>
        <w:t>complete</w:t>
      </w:r>
      <w:r w:rsidR="00700A09" w:rsidRPr="003B4362">
        <w:rPr>
          <w:szCs w:val="24"/>
        </w:rPr>
        <w:t xml:space="preserve"> the</w:t>
      </w:r>
      <w:r w:rsidR="001A5140" w:rsidRPr="003B4362">
        <w:rPr>
          <w:szCs w:val="24"/>
        </w:rPr>
        <w:t xml:space="preserve"> </w:t>
      </w:r>
      <w:r w:rsidR="00700A09" w:rsidRPr="003B4362">
        <w:rPr>
          <w:szCs w:val="24"/>
        </w:rPr>
        <w:t>minimum number of sampl</w:t>
      </w:r>
      <w:r w:rsidR="001A5140" w:rsidRPr="003B4362">
        <w:rPr>
          <w:szCs w:val="24"/>
        </w:rPr>
        <w:t>ing sit</w:t>
      </w:r>
      <w:r w:rsidR="00700A09" w:rsidRPr="003B4362">
        <w:rPr>
          <w:szCs w:val="24"/>
        </w:rPr>
        <w:t>es</w:t>
      </w:r>
      <w:r w:rsidR="001A5140" w:rsidRPr="003B4362">
        <w:rPr>
          <w:szCs w:val="24"/>
        </w:rPr>
        <w:t xml:space="preserve"> subsection (c) requires</w:t>
      </w:r>
      <w:bookmarkEnd w:id="2326"/>
      <w:r w:rsidR="00700A09" w:rsidRPr="003B4362">
        <w:rPr>
          <w:szCs w:val="24"/>
        </w:rPr>
        <w:t xml:space="preserve">.  </w:t>
      </w:r>
      <w:r w:rsidR="001A5140" w:rsidRPr="003B4362">
        <w:rPr>
          <w:szCs w:val="24"/>
        </w:rPr>
        <w:t>The supplier</w:t>
      </w:r>
      <w:r w:rsidR="00700A09" w:rsidRPr="003B4362">
        <w:rPr>
          <w:szCs w:val="24"/>
        </w:rPr>
        <w:t xml:space="preserve"> must submit</w:t>
      </w:r>
      <w:bookmarkStart w:id="2327" w:name="_Hlk123228974"/>
      <w:r w:rsidR="00700A09" w:rsidRPr="003B4362">
        <w:rPr>
          <w:szCs w:val="24"/>
        </w:rPr>
        <w:t xml:space="preserve"> data from additional </w:t>
      </w:r>
      <w:r w:rsidR="001A5140" w:rsidRPr="003B4362">
        <w:rPr>
          <w:szCs w:val="24"/>
        </w:rPr>
        <w:t>T</w:t>
      </w:r>
      <w:r w:rsidR="00700A09" w:rsidRPr="003B4362">
        <w:rPr>
          <w:szCs w:val="24"/>
        </w:rPr>
        <w:t xml:space="preserve">ier 3, </w:t>
      </w:r>
      <w:r w:rsidR="001A5140" w:rsidRPr="003B4362">
        <w:rPr>
          <w:szCs w:val="24"/>
        </w:rPr>
        <w:t xml:space="preserve">Tier </w:t>
      </w:r>
      <w:r w:rsidR="00700A09" w:rsidRPr="003B4362">
        <w:rPr>
          <w:szCs w:val="24"/>
        </w:rPr>
        <w:t xml:space="preserve">4 or </w:t>
      </w:r>
      <w:r w:rsidR="001A5140" w:rsidRPr="003B4362">
        <w:rPr>
          <w:szCs w:val="24"/>
        </w:rPr>
        <w:t xml:space="preserve">Tier </w:t>
      </w:r>
      <w:r w:rsidR="00700A09" w:rsidRPr="003B4362">
        <w:rPr>
          <w:szCs w:val="24"/>
        </w:rPr>
        <w:t xml:space="preserve">5 sites to the </w:t>
      </w:r>
      <w:r w:rsidR="001A5140" w:rsidRPr="003B4362">
        <w:rPr>
          <w:szCs w:val="24"/>
        </w:rPr>
        <w:t>Agency</w:t>
      </w:r>
      <w:bookmarkEnd w:id="2327"/>
      <w:r w:rsidR="00700A09" w:rsidRPr="003B4362">
        <w:rPr>
          <w:szCs w:val="24"/>
        </w:rPr>
        <w:t xml:space="preserve"> but may not use these results </w:t>
      </w:r>
      <w:bookmarkStart w:id="2328" w:name="_Hlk123229110"/>
      <w:r w:rsidR="00700A09" w:rsidRPr="003B4362">
        <w:rPr>
          <w:szCs w:val="24"/>
        </w:rPr>
        <w:t xml:space="preserve">in </w:t>
      </w:r>
      <w:r w:rsidR="00EE50FD" w:rsidRPr="003B4362">
        <w:rPr>
          <w:szCs w:val="24"/>
        </w:rPr>
        <w:t xml:space="preserve">calculating </w:t>
      </w:r>
      <w:r w:rsidR="00700A09" w:rsidRPr="003B4362">
        <w:rPr>
          <w:szCs w:val="24"/>
        </w:rPr>
        <w:t>the 90th percentile c</w:t>
      </w:r>
      <w:r w:rsidR="00EE50FD" w:rsidRPr="003B4362">
        <w:rPr>
          <w:szCs w:val="24"/>
        </w:rPr>
        <w:t>oncentrat</w:t>
      </w:r>
      <w:r w:rsidR="00700A09" w:rsidRPr="003B4362">
        <w:rPr>
          <w:szCs w:val="24"/>
        </w:rPr>
        <w:t>ion</w:t>
      </w:r>
      <w:bookmarkEnd w:id="2328"/>
      <w:r w:rsidR="00700A09" w:rsidRPr="003B4362">
        <w:rPr>
          <w:szCs w:val="24"/>
        </w:rPr>
        <w:t xml:space="preserve">.  </w:t>
      </w:r>
      <w:r w:rsidR="00EE50FD" w:rsidRPr="003B4362">
        <w:rPr>
          <w:szCs w:val="24"/>
        </w:rPr>
        <w:t>The supplier</w:t>
      </w:r>
      <w:r w:rsidR="00700A09" w:rsidRPr="003B4362">
        <w:rPr>
          <w:szCs w:val="24"/>
        </w:rPr>
        <w:t xml:space="preserve"> must include customer-requested samples </w:t>
      </w:r>
      <w:bookmarkStart w:id="2329" w:name="_Hlk123229398"/>
      <w:r w:rsidR="00700A09" w:rsidRPr="003B4362">
        <w:rPr>
          <w:szCs w:val="24"/>
        </w:rPr>
        <w:t xml:space="preserve">from </w:t>
      </w:r>
      <w:r w:rsidR="00EE50FD" w:rsidRPr="003B4362">
        <w:rPr>
          <w:szCs w:val="24"/>
        </w:rPr>
        <w:t>sites the supplier knows it s</w:t>
      </w:r>
      <w:r w:rsidR="00DA0719" w:rsidRPr="003B4362">
        <w:rPr>
          <w:szCs w:val="24"/>
        </w:rPr>
        <w:t>e</w:t>
      </w:r>
      <w:r w:rsidR="00EE50FD" w:rsidRPr="003B4362">
        <w:rPr>
          <w:szCs w:val="24"/>
        </w:rPr>
        <w:t>rves through</w:t>
      </w:r>
      <w:r w:rsidR="00700A09" w:rsidRPr="003B4362">
        <w:rPr>
          <w:szCs w:val="24"/>
        </w:rPr>
        <w:t xml:space="preserve"> lead service lines</w:t>
      </w:r>
      <w:bookmarkEnd w:id="2329"/>
      <w:r w:rsidR="00700A09" w:rsidRPr="003B4362">
        <w:rPr>
          <w:szCs w:val="24"/>
        </w:rPr>
        <w:t xml:space="preserve"> </w:t>
      </w:r>
      <w:bookmarkStart w:id="2330" w:name="_Hlk123229776"/>
      <w:r w:rsidR="00700A09" w:rsidRPr="003B4362">
        <w:rPr>
          <w:szCs w:val="24"/>
        </w:rPr>
        <w:t xml:space="preserve">in </w:t>
      </w:r>
      <w:r w:rsidR="00EE50FD" w:rsidRPr="003B4362">
        <w:rPr>
          <w:szCs w:val="24"/>
        </w:rPr>
        <w:t>calculating its</w:t>
      </w:r>
      <w:r w:rsidR="00700A09" w:rsidRPr="003B4362">
        <w:rPr>
          <w:szCs w:val="24"/>
        </w:rPr>
        <w:t xml:space="preserve"> 90th percentile c</w:t>
      </w:r>
      <w:r w:rsidR="00EE50FD" w:rsidRPr="003B4362">
        <w:rPr>
          <w:szCs w:val="24"/>
        </w:rPr>
        <w:t>oncentr</w:t>
      </w:r>
      <w:r w:rsidR="00700A09" w:rsidRPr="003B4362">
        <w:rPr>
          <w:szCs w:val="24"/>
        </w:rPr>
        <w:t>ation</w:t>
      </w:r>
      <w:bookmarkEnd w:id="2330"/>
      <w:r w:rsidR="00700A09" w:rsidRPr="003B4362">
        <w:rPr>
          <w:szCs w:val="24"/>
        </w:rPr>
        <w:t xml:space="preserve"> if the samples </w:t>
      </w:r>
      <w:bookmarkStart w:id="2331" w:name="_Hlk123229881"/>
      <w:r w:rsidR="00EE50FD" w:rsidRPr="003B4362">
        <w:rPr>
          <w:szCs w:val="24"/>
        </w:rPr>
        <w:t>comply with</w:t>
      </w:r>
      <w:r w:rsidR="00700A09" w:rsidRPr="003B4362">
        <w:rPr>
          <w:szCs w:val="24"/>
        </w:rPr>
        <w:t xml:space="preserve"> this </w:t>
      </w:r>
      <w:r w:rsidR="00DA0719" w:rsidRPr="003B4362">
        <w:rPr>
          <w:szCs w:val="24"/>
        </w:rPr>
        <w:t>S</w:t>
      </w:r>
      <w:r w:rsidR="00700A09" w:rsidRPr="003B4362">
        <w:rPr>
          <w:szCs w:val="24"/>
        </w:rPr>
        <w:t>ection</w:t>
      </w:r>
      <w:bookmarkEnd w:id="2331"/>
      <w:r w:rsidR="00700A09" w:rsidRPr="003B4362">
        <w:rPr>
          <w:szCs w:val="24"/>
        </w:rPr>
        <w:t>.</w:t>
      </w:r>
    </w:p>
    <w:p w14:paraId="2A31DF3F" w14:textId="67DAD3D9" w:rsidR="005451CE" w:rsidRPr="003B4362" w:rsidRDefault="005451CE" w:rsidP="005451CE">
      <w:pPr>
        <w:spacing w:before="240" w:after="240"/>
        <w:ind w:left="1440" w:hanging="720"/>
        <w:rPr>
          <w:rFonts w:eastAsia="Calibri"/>
        </w:rPr>
      </w:pPr>
      <w:r w:rsidRPr="003B4362">
        <w:rPr>
          <w:rFonts w:eastAsia="Calibri"/>
        </w:rPr>
        <w:t>f)</w:t>
      </w:r>
      <w:r w:rsidRPr="003B4362">
        <w:rPr>
          <w:rFonts w:eastAsia="Calibri"/>
        </w:rPr>
        <w:tab/>
        <w:t xml:space="preserve">Invalidation of Lead </w:t>
      </w:r>
      <w:r w:rsidR="00DA0719" w:rsidRPr="003B4362">
        <w:rPr>
          <w:szCs w:val="24"/>
        </w:rPr>
        <w:t xml:space="preserve">and </w:t>
      </w:r>
      <w:r w:rsidRPr="003B4362">
        <w:rPr>
          <w:rFonts w:eastAsia="Calibri"/>
        </w:rPr>
        <w:t>Copper Tap Samples</w:t>
      </w:r>
      <w:r w:rsidR="00DA0719" w:rsidRPr="003B4362">
        <w:rPr>
          <w:szCs w:val="24"/>
        </w:rPr>
        <w:t xml:space="preserve"> </w:t>
      </w:r>
      <w:bookmarkStart w:id="2332" w:name="_Hlk123230240"/>
      <w:r w:rsidR="00DA0719" w:rsidRPr="003B4362">
        <w:rPr>
          <w:szCs w:val="24"/>
        </w:rPr>
        <w:t>Used in Calculating the 90th Percentile Concentration</w:t>
      </w:r>
      <w:bookmarkEnd w:id="2332"/>
      <w:r w:rsidRPr="003B4362">
        <w:rPr>
          <w:rFonts w:eastAsia="Calibri"/>
        </w:rPr>
        <w:t>.  A</w:t>
      </w:r>
      <w:bookmarkStart w:id="2333" w:name="_Hlk115109651"/>
      <w:r w:rsidRPr="003B4362">
        <w:rPr>
          <w:rFonts w:eastAsia="Calibri"/>
        </w:rPr>
        <w:t xml:space="preserve"> sample the Agency invalidates under this subsection (f)</w:t>
      </w:r>
      <w:bookmarkEnd w:id="2333"/>
      <w:r w:rsidRPr="003B4362">
        <w:rPr>
          <w:rFonts w:eastAsia="Calibri"/>
        </w:rPr>
        <w:t xml:space="preserve"> does not count toward determining lead or copper 90th percentile </w:t>
      </w:r>
      <w:r w:rsidR="00945D09" w:rsidRPr="003B4362">
        <w:rPr>
          <w:rFonts w:eastAsia="Calibri"/>
        </w:rPr>
        <w:t xml:space="preserve">concentrations </w:t>
      </w:r>
      <w:r w:rsidRPr="003B4362">
        <w:rPr>
          <w:rFonts w:eastAsia="Calibri"/>
        </w:rPr>
        <w:t>under Section 611.350(c)(</w:t>
      </w:r>
      <w:r w:rsidR="00746B8D" w:rsidRPr="003B4362">
        <w:rPr>
          <w:szCs w:val="24"/>
        </w:rPr>
        <w:t>4</w:t>
      </w:r>
      <w:r w:rsidRPr="003B4362">
        <w:rPr>
          <w:rFonts w:eastAsia="Calibri"/>
        </w:rPr>
        <w:t xml:space="preserve">) or </w:t>
      </w:r>
      <w:bookmarkStart w:id="2334" w:name="_Hlk115109804"/>
      <w:r w:rsidRPr="003B4362">
        <w:rPr>
          <w:rFonts w:eastAsia="Calibri"/>
        </w:rPr>
        <w:t xml:space="preserve">toward </w:t>
      </w:r>
      <w:r w:rsidR="00BF62D0" w:rsidRPr="003B4362">
        <w:rPr>
          <w:rFonts w:eastAsia="Calibri"/>
        </w:rPr>
        <w:t xml:space="preserve">meeting the minimum monitoring requirements </w:t>
      </w:r>
      <w:r w:rsidRPr="003B4362">
        <w:rPr>
          <w:rFonts w:eastAsia="Calibri"/>
        </w:rPr>
        <w:t>of subsection (c)</w:t>
      </w:r>
      <w:bookmarkEnd w:id="2334"/>
      <w:r w:rsidRPr="003B4362">
        <w:rPr>
          <w:rFonts w:eastAsia="Calibri"/>
        </w:rPr>
        <w:t>.</w:t>
      </w:r>
    </w:p>
    <w:p w14:paraId="564E4B8D" w14:textId="4042BA15"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The Agency must invalidate a lead or copper tap water sample if it determines that </w:t>
      </w:r>
      <w:bookmarkStart w:id="2335" w:name="_Hlk115109909"/>
      <w:r w:rsidRPr="003B4362">
        <w:rPr>
          <w:rFonts w:eastAsia="Calibri"/>
        </w:rPr>
        <w:t>any of certain conditions exists</w:t>
      </w:r>
      <w:bookmarkEnd w:id="2335"/>
      <w:r w:rsidRPr="003B4362">
        <w:rPr>
          <w:rFonts w:eastAsia="Calibri"/>
        </w:rPr>
        <w:t>:</w:t>
      </w:r>
    </w:p>
    <w:p w14:paraId="14B54DFF" w14:textId="77777777"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The laboratory establishes that improper sample analysis caused erroneous results;</w:t>
      </w:r>
    </w:p>
    <w:p w14:paraId="0A7DE716" w14:textId="4CD7C1C4" w:rsidR="005451CE" w:rsidRPr="003B4362" w:rsidRDefault="005451CE" w:rsidP="005451CE">
      <w:pPr>
        <w:spacing w:before="240" w:after="240"/>
        <w:ind w:left="2880" w:hanging="720"/>
        <w:rPr>
          <w:rFonts w:eastAsia="Calibri"/>
        </w:rPr>
      </w:pPr>
      <w:r w:rsidRPr="003B4362">
        <w:rPr>
          <w:rFonts w:eastAsia="Calibri"/>
        </w:rPr>
        <w:lastRenderedPageBreak/>
        <w:t>B)</w:t>
      </w:r>
      <w:r w:rsidRPr="003B4362">
        <w:rPr>
          <w:rFonts w:eastAsia="Calibri"/>
        </w:rPr>
        <w:tab/>
        <w:t>T</w:t>
      </w:r>
      <w:bookmarkStart w:id="2336" w:name="_Hlk115110144"/>
      <w:r w:rsidRPr="003B4362">
        <w:rPr>
          <w:rFonts w:eastAsia="Calibri"/>
        </w:rPr>
        <w:t>he supplier took the sample from a site</w:t>
      </w:r>
      <w:bookmarkEnd w:id="2336"/>
      <w:r w:rsidRPr="003B4362">
        <w:rPr>
          <w:rFonts w:eastAsia="Calibri"/>
        </w:rPr>
        <w:t xml:space="preserve"> that did not meet the site selection </w:t>
      </w:r>
      <w:bookmarkStart w:id="2337" w:name="_Hlk115110191"/>
      <w:r w:rsidRPr="003B4362">
        <w:rPr>
          <w:rFonts w:eastAsia="Calibri"/>
        </w:rPr>
        <w:t>criteria in this Section</w:t>
      </w:r>
      <w:bookmarkEnd w:id="2337"/>
      <w:r w:rsidRPr="003B4362">
        <w:rPr>
          <w:rFonts w:eastAsia="Calibri"/>
        </w:rPr>
        <w:t>;</w:t>
      </w:r>
    </w:p>
    <w:p w14:paraId="1B16FA5B" w14:textId="0C315E70"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The sample </w:t>
      </w:r>
      <w:bookmarkStart w:id="2338" w:name="_Hlk115110253"/>
      <w:r w:rsidRPr="003B4362">
        <w:rPr>
          <w:rFonts w:eastAsia="Calibri"/>
        </w:rPr>
        <w:t>container sustained damage in transit</w:t>
      </w:r>
      <w:bookmarkEnd w:id="2338"/>
      <w:r w:rsidRPr="003B4362">
        <w:rPr>
          <w:rFonts w:eastAsia="Calibri"/>
        </w:rPr>
        <w:t>; or</w:t>
      </w:r>
    </w:p>
    <w:p w14:paraId="5B8F33D9" w14:textId="5D00A72F" w:rsidR="005451CE" w:rsidRPr="003B4362" w:rsidRDefault="005451CE" w:rsidP="005451CE">
      <w:pPr>
        <w:spacing w:before="240" w:after="240"/>
        <w:ind w:left="2880" w:hanging="720"/>
        <w:rPr>
          <w:rFonts w:eastAsia="Calibri"/>
        </w:rPr>
      </w:pPr>
      <w:r w:rsidRPr="003B4362">
        <w:rPr>
          <w:rFonts w:eastAsia="Calibri"/>
        </w:rPr>
        <w:t>D)</w:t>
      </w:r>
      <w:r w:rsidRPr="003B4362">
        <w:rPr>
          <w:rFonts w:eastAsia="Calibri"/>
        </w:rPr>
        <w:tab/>
        <w:t xml:space="preserve">There is substantial reason to believe that </w:t>
      </w:r>
      <w:bookmarkStart w:id="2339" w:name="_Hlk115110311"/>
      <w:r w:rsidRPr="003B4362">
        <w:rPr>
          <w:rFonts w:eastAsia="Calibri"/>
        </w:rPr>
        <w:t>someone tampered with the sample</w:t>
      </w:r>
      <w:bookmarkEnd w:id="2339"/>
      <w:r w:rsidRPr="003B4362">
        <w:rPr>
          <w:rFonts w:eastAsia="Calibri"/>
        </w:rPr>
        <w:t>.</w:t>
      </w:r>
    </w:p>
    <w:p w14:paraId="1FC4EDEA" w14:textId="7ED09885"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The supplier must </w:t>
      </w:r>
      <w:bookmarkStart w:id="2340" w:name="_Hlk115110365"/>
      <w:r w:rsidRPr="003B4362">
        <w:rPr>
          <w:rFonts w:eastAsia="Calibri"/>
        </w:rPr>
        <w:t>report the results from all samples</w:t>
      </w:r>
      <w:bookmarkStart w:id="2341" w:name="_Hlk115110417"/>
      <w:bookmarkEnd w:id="2340"/>
      <w:r w:rsidRPr="003B4362">
        <w:rPr>
          <w:rFonts w:eastAsia="Calibri"/>
        </w:rPr>
        <w:t xml:space="preserve"> to the Agency and submit all supporting documentation</w:t>
      </w:r>
      <w:bookmarkEnd w:id="2341"/>
      <w:r w:rsidRPr="003B4362">
        <w:rPr>
          <w:rFonts w:eastAsia="Calibri"/>
        </w:rPr>
        <w:t xml:space="preserve"> for </w:t>
      </w:r>
      <w:bookmarkStart w:id="2342" w:name="_Hlk115110452"/>
      <w:r w:rsidRPr="003B4362">
        <w:rPr>
          <w:rFonts w:eastAsia="Calibri"/>
        </w:rPr>
        <w:t>samples the supplier believes the Agency should invalidate</w:t>
      </w:r>
      <w:bookmarkEnd w:id="2342"/>
      <w:r w:rsidRPr="003B4362">
        <w:rPr>
          <w:rFonts w:eastAsia="Calibri"/>
        </w:rPr>
        <w:t>.</w:t>
      </w:r>
    </w:p>
    <w:p w14:paraId="60E7FAEE" w14:textId="435B507D"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To invalidate a sample under subsection (f)(1), </w:t>
      </w:r>
      <w:bookmarkStart w:id="2343" w:name="_Hlk115110542"/>
      <w:r w:rsidRPr="003B4362">
        <w:rPr>
          <w:rFonts w:eastAsia="Calibri"/>
        </w:rPr>
        <w:t xml:space="preserve">the Agency must document its decision and rationale for the decision </w:t>
      </w:r>
      <w:bookmarkEnd w:id="2343"/>
      <w:r w:rsidRPr="003B4362">
        <w:rPr>
          <w:rFonts w:eastAsia="Calibri"/>
        </w:rPr>
        <w:t xml:space="preserve">in writing.  The Agency may not </w:t>
      </w:r>
      <w:bookmarkStart w:id="2344" w:name="_Hlk115110605"/>
      <w:r w:rsidRPr="003B4362">
        <w:rPr>
          <w:rFonts w:eastAsia="Calibri"/>
        </w:rPr>
        <w:t>invalidate a sample solely because a follow-up sample result is higher or lower</w:t>
      </w:r>
      <w:bookmarkEnd w:id="2344"/>
      <w:r w:rsidRPr="003B4362">
        <w:rPr>
          <w:rFonts w:eastAsia="Calibri"/>
        </w:rPr>
        <w:t xml:space="preserve"> than that of the original sample.</w:t>
      </w:r>
    </w:p>
    <w:p w14:paraId="3E925CE5" w14:textId="3C1F0026"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T</w:t>
      </w:r>
      <w:bookmarkStart w:id="2345" w:name="_Hlk115110768"/>
      <w:r w:rsidRPr="003B4362">
        <w:rPr>
          <w:rFonts w:eastAsia="Calibri"/>
        </w:rPr>
        <w:t>he supplier</w:t>
      </w:r>
      <w:bookmarkEnd w:id="2345"/>
      <w:r w:rsidRPr="003B4362">
        <w:rPr>
          <w:rFonts w:eastAsia="Calibri"/>
        </w:rPr>
        <w:t xml:space="preserve"> must collect replacement samples for </w:t>
      </w:r>
      <w:bookmarkStart w:id="2346" w:name="_Hlk115110798"/>
      <w:r w:rsidRPr="003B4362">
        <w:rPr>
          <w:rFonts w:eastAsia="Calibri"/>
        </w:rPr>
        <w:t xml:space="preserve">any samples the Agency invalidates </w:t>
      </w:r>
      <w:bookmarkEnd w:id="2346"/>
      <w:r w:rsidRPr="003B4362">
        <w:rPr>
          <w:rFonts w:eastAsia="Calibri"/>
        </w:rPr>
        <w:t xml:space="preserve">under this Section </w:t>
      </w:r>
      <w:bookmarkStart w:id="2347" w:name="_Hlk115110900"/>
      <w:r w:rsidRPr="003B4362">
        <w:rPr>
          <w:rFonts w:eastAsia="Calibri"/>
        </w:rPr>
        <w:t>if the supplier has too few samples</w:t>
      </w:r>
      <w:bookmarkStart w:id="2348" w:name="_Hlk115110976"/>
      <w:bookmarkEnd w:id="2347"/>
      <w:r w:rsidRPr="003B4362">
        <w:rPr>
          <w:rFonts w:eastAsia="Calibri"/>
        </w:rPr>
        <w:t xml:space="preserve"> to meet the minimum requirements of subsection (c) after the Agency invalidates samples</w:t>
      </w:r>
      <w:bookmarkEnd w:id="2348"/>
      <w:r w:rsidRPr="003B4362">
        <w:rPr>
          <w:rFonts w:eastAsia="Calibri"/>
        </w:rPr>
        <w:t>.  T</w:t>
      </w:r>
      <w:bookmarkStart w:id="2349" w:name="_Hlk115111037"/>
      <w:r w:rsidRPr="003B4362">
        <w:rPr>
          <w:rFonts w:eastAsia="Calibri"/>
        </w:rPr>
        <w:t xml:space="preserve">he supplier must take any replacement samples </w:t>
      </w:r>
      <w:bookmarkEnd w:id="2349"/>
      <w:r w:rsidRPr="003B4362">
        <w:rPr>
          <w:rFonts w:eastAsia="Calibri"/>
        </w:rPr>
        <w:t xml:space="preserve">as soon as possible but </w:t>
      </w:r>
      <w:bookmarkStart w:id="2350" w:name="_Hlk115111270"/>
      <w:r w:rsidRPr="003B4362">
        <w:rPr>
          <w:rFonts w:eastAsia="Calibri"/>
        </w:rPr>
        <w:t xml:space="preserve">no later than the latter of 20 days after the Agency invalidates the original sample or before the end of the applicable </w:t>
      </w:r>
      <w:r w:rsidR="00E0695D" w:rsidRPr="003B4362">
        <w:rPr>
          <w:rFonts w:eastAsia="Calibri"/>
        </w:rPr>
        <w:t xml:space="preserve">tap sampling </w:t>
      </w:r>
      <w:r w:rsidRPr="003B4362">
        <w:rPr>
          <w:rFonts w:eastAsia="Calibri"/>
        </w:rPr>
        <w:t>period</w:t>
      </w:r>
      <w:bookmarkEnd w:id="2350"/>
      <w:r w:rsidRPr="003B4362">
        <w:rPr>
          <w:rFonts w:eastAsia="Calibri"/>
        </w:rPr>
        <w:t>.  T</w:t>
      </w:r>
      <w:bookmarkStart w:id="2351" w:name="_Hlk115111357"/>
      <w:r w:rsidRPr="003B4362">
        <w:rPr>
          <w:rFonts w:eastAsia="Calibri"/>
        </w:rPr>
        <w:t xml:space="preserve">he supplier must not use replacement samples it takes after the end of the applicable </w:t>
      </w:r>
      <w:r w:rsidR="00E0695D" w:rsidRPr="003B4362">
        <w:rPr>
          <w:rFonts w:eastAsia="Calibri"/>
        </w:rPr>
        <w:t xml:space="preserve">tap sampling </w:t>
      </w:r>
      <w:r w:rsidRPr="003B4362">
        <w:rPr>
          <w:rFonts w:eastAsia="Calibri"/>
        </w:rPr>
        <w:t xml:space="preserve">period </w:t>
      </w:r>
      <w:bookmarkEnd w:id="2351"/>
      <w:r w:rsidRPr="003B4362">
        <w:rPr>
          <w:rFonts w:eastAsia="Calibri"/>
        </w:rPr>
        <w:t xml:space="preserve">to meet the monitoring requirements of </w:t>
      </w:r>
      <w:bookmarkStart w:id="2352" w:name="_Hlk127919134"/>
      <w:r w:rsidRPr="003B4362">
        <w:rPr>
          <w:rFonts w:eastAsia="Calibri"/>
        </w:rPr>
        <w:t xml:space="preserve">a subsequent </w:t>
      </w:r>
      <w:r w:rsidR="003F5A1D" w:rsidRPr="003B4362">
        <w:rPr>
          <w:rFonts w:eastAsia="Calibri"/>
        </w:rPr>
        <w:t xml:space="preserve">tap sampling </w:t>
      </w:r>
      <w:r w:rsidRPr="003B4362">
        <w:rPr>
          <w:rFonts w:eastAsia="Calibri"/>
        </w:rPr>
        <w:t>period</w:t>
      </w:r>
      <w:bookmarkEnd w:id="2352"/>
      <w:r w:rsidRPr="003B4362">
        <w:rPr>
          <w:rFonts w:eastAsia="Calibri"/>
        </w:rPr>
        <w:t>.  T</w:t>
      </w:r>
      <w:bookmarkStart w:id="2353" w:name="_Hlk115111458"/>
      <w:r w:rsidRPr="003B4362">
        <w:rPr>
          <w:rFonts w:eastAsia="Calibri"/>
        </w:rPr>
        <w:t>he supplier must take replacement samples at the same locations where it took the invalidated samples</w:t>
      </w:r>
      <w:bookmarkEnd w:id="2353"/>
      <w:r w:rsidRPr="003B4362">
        <w:rPr>
          <w:rFonts w:eastAsia="Calibri"/>
        </w:rPr>
        <w:t xml:space="preserve"> or, if that is not possible, </w:t>
      </w:r>
      <w:bookmarkStart w:id="2354" w:name="_Hlk115111542"/>
      <w:r w:rsidRPr="003B4362">
        <w:rPr>
          <w:rFonts w:eastAsia="Calibri"/>
        </w:rPr>
        <w:t xml:space="preserve">at other locations the supplier did not use </w:t>
      </w:r>
      <w:bookmarkEnd w:id="2354"/>
      <w:r w:rsidRPr="003B4362">
        <w:rPr>
          <w:rFonts w:eastAsia="Calibri"/>
        </w:rPr>
        <w:t xml:space="preserve">for sampling </w:t>
      </w:r>
      <w:bookmarkStart w:id="2355" w:name="_Hlk127919300"/>
      <w:r w:rsidRPr="003B4362">
        <w:rPr>
          <w:rFonts w:eastAsia="Calibri"/>
        </w:rPr>
        <w:t xml:space="preserve">during the </w:t>
      </w:r>
      <w:r w:rsidR="003F5A1D" w:rsidRPr="003B4362">
        <w:rPr>
          <w:rFonts w:eastAsia="Calibri"/>
        </w:rPr>
        <w:t xml:space="preserve">tap sampling </w:t>
      </w:r>
      <w:r w:rsidRPr="003B4362">
        <w:rPr>
          <w:rFonts w:eastAsia="Calibri"/>
        </w:rPr>
        <w:t>period</w:t>
      </w:r>
      <w:bookmarkEnd w:id="2355"/>
      <w:r w:rsidRPr="003B4362">
        <w:rPr>
          <w:rFonts w:eastAsia="Calibri"/>
        </w:rPr>
        <w:t>.</w:t>
      </w:r>
    </w:p>
    <w:p w14:paraId="10028E44" w14:textId="2E79C064" w:rsidR="005451CE" w:rsidRPr="003B4362" w:rsidRDefault="005451CE" w:rsidP="005451CE">
      <w:pPr>
        <w:spacing w:before="240" w:after="240"/>
        <w:ind w:left="1440" w:hanging="720"/>
        <w:rPr>
          <w:rFonts w:eastAsia="Calibri"/>
        </w:rPr>
      </w:pPr>
      <w:r w:rsidRPr="003B4362">
        <w:rPr>
          <w:rFonts w:eastAsia="Calibri"/>
        </w:rPr>
        <w:t>g)</w:t>
      </w:r>
      <w:r w:rsidRPr="003B4362">
        <w:rPr>
          <w:rFonts w:eastAsia="Calibri"/>
        </w:rPr>
        <w:tab/>
        <w:t xml:space="preserve">Monitoring Waivers for </w:t>
      </w:r>
      <w:bookmarkStart w:id="2356" w:name="_Hlk126164867"/>
      <w:r w:rsidRPr="003B4362">
        <w:rPr>
          <w:rFonts w:eastAsia="Calibri"/>
        </w:rPr>
        <w:t>Suppliers</w:t>
      </w:r>
      <w:bookmarkEnd w:id="2356"/>
      <w:r w:rsidR="00746B8D" w:rsidRPr="003B4362">
        <w:rPr>
          <w:szCs w:val="24"/>
        </w:rPr>
        <w:t xml:space="preserve"> </w:t>
      </w:r>
      <w:bookmarkStart w:id="2357" w:name="_Hlk123230777"/>
      <w:r w:rsidR="00746B8D" w:rsidRPr="003B4362">
        <w:rPr>
          <w:szCs w:val="24"/>
        </w:rPr>
        <w:t>Serving 3,300 or Fewer Persons</w:t>
      </w:r>
      <w:bookmarkEnd w:id="2357"/>
      <w:r w:rsidRPr="003B4362">
        <w:rPr>
          <w:rFonts w:eastAsia="Calibri"/>
        </w:rPr>
        <w:t xml:space="preserve">.  Any supplier </w:t>
      </w:r>
      <w:r w:rsidR="00746B8D" w:rsidRPr="003B4362">
        <w:rPr>
          <w:szCs w:val="24"/>
        </w:rPr>
        <w:t xml:space="preserve">serving 3,300 or fewer persons </w:t>
      </w:r>
      <w:r w:rsidRPr="003B4362">
        <w:rPr>
          <w:rFonts w:eastAsia="Calibri"/>
        </w:rPr>
        <w:t>complying with the criteria in this subsection (g) may apply to the Agency for a SEP reducing its lead and copper monitoring frequency under this Section to once every nine years (i.e., a “full waiver”) if the supplier</w:t>
      </w:r>
      <w:r w:rsidR="00451CD1" w:rsidRPr="003B4362">
        <w:rPr>
          <w:rFonts w:eastAsia="Calibri"/>
        </w:rPr>
        <w:t xml:space="preserve"> complies with</w:t>
      </w:r>
      <w:r w:rsidRPr="003B4362">
        <w:rPr>
          <w:rFonts w:eastAsia="Calibri"/>
        </w:rPr>
        <w:t xml:space="preserve"> all of the materials criteria subsection (g)(1) specifies and all of the monitoring criteria subsection (g)(2) specifies.  Any supplier </w:t>
      </w:r>
      <w:r w:rsidR="00451CD1" w:rsidRPr="003B4362">
        <w:rPr>
          <w:szCs w:val="24"/>
        </w:rPr>
        <w:t xml:space="preserve">serving 3,300 or fewer persons complying with </w:t>
      </w:r>
      <w:r w:rsidRPr="003B4362">
        <w:rPr>
          <w:rFonts w:eastAsia="Calibri"/>
        </w:rPr>
        <w:t>the criteria subsections (g)(1) and (g)(2) only for lead or copper may apply to the Agency for a SEP reducing its tap water monitoring frequency to once every nine years for that contaminant only (i.e., a “partial waiver”).</w:t>
      </w:r>
    </w:p>
    <w:p w14:paraId="4D188EB5" w14:textId="2AD0930C"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Materials Criteria.  The supplier must demonstrate that its distribution system, service lines, and all drinking water supply plumbing, including plumbing conveying drinking water within all residences and buildings connected to the system, are free of lead-containing materials or copper-containing materials, as this subsection (g)(1) defines these terms:</w:t>
      </w:r>
    </w:p>
    <w:p w14:paraId="4227A4F3" w14:textId="0B8928EF" w:rsidR="005451CE" w:rsidRPr="003B4362" w:rsidRDefault="005451CE" w:rsidP="005451CE">
      <w:pPr>
        <w:spacing w:before="240" w:after="240"/>
        <w:ind w:left="2880" w:hanging="720"/>
        <w:rPr>
          <w:rFonts w:eastAsia="Calibri"/>
        </w:rPr>
      </w:pPr>
      <w:r w:rsidRPr="003B4362">
        <w:rPr>
          <w:rFonts w:eastAsia="Calibri"/>
        </w:rPr>
        <w:lastRenderedPageBreak/>
        <w:t>A)</w:t>
      </w:r>
      <w:r w:rsidRPr="003B4362">
        <w:rPr>
          <w:rFonts w:eastAsia="Calibri"/>
        </w:rPr>
        <w:tab/>
        <w:t>Lead.  To qualify for a SEP granting a full waiver or a partial waiver of the tap water monitoring requirements for lead (i.e., a “lead waiver”), the supplier must provide certification and supporting documentation to the Agency demonstrating that its system is free of all lead-containing materials:</w:t>
      </w:r>
    </w:p>
    <w:p w14:paraId="05EFC709" w14:textId="64729DEF"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 xml:space="preserve">The system has </w:t>
      </w:r>
      <w:bookmarkStart w:id="2358" w:name="_Hlk115124833"/>
      <w:r w:rsidRPr="003B4362">
        <w:rPr>
          <w:rFonts w:eastAsia="Calibri"/>
        </w:rPr>
        <w:t>no plastic pipes or service lines containing lead plasticizers</w:t>
      </w:r>
      <w:bookmarkEnd w:id="2358"/>
      <w:r w:rsidRPr="003B4362">
        <w:rPr>
          <w:rFonts w:eastAsia="Calibri"/>
        </w:rPr>
        <w:t>; and</w:t>
      </w:r>
    </w:p>
    <w:p w14:paraId="5AB3660E" w14:textId="1F89C433" w:rsidR="005451CE" w:rsidRPr="003B4362" w:rsidRDefault="005451CE" w:rsidP="005451CE">
      <w:pPr>
        <w:spacing w:before="240" w:after="240"/>
        <w:ind w:left="3600" w:hanging="720"/>
        <w:rPr>
          <w:rFonts w:eastAsia="Calibri"/>
          <w:spacing w:val="-3"/>
        </w:rPr>
      </w:pPr>
      <w:r w:rsidRPr="003B4362">
        <w:rPr>
          <w:rFonts w:eastAsia="Calibri"/>
        </w:rPr>
        <w:t>ii)</w:t>
      </w:r>
      <w:r w:rsidRPr="003B4362">
        <w:rPr>
          <w:rFonts w:eastAsia="Calibri"/>
        </w:rPr>
        <w:tab/>
        <w:t>T</w:t>
      </w:r>
      <w:bookmarkStart w:id="2359" w:name="_Hlk115124903"/>
      <w:r w:rsidRPr="003B4362">
        <w:rPr>
          <w:rFonts w:eastAsia="Calibri"/>
        </w:rPr>
        <w:t>he system is free</w:t>
      </w:r>
      <w:bookmarkEnd w:id="2359"/>
      <w:r w:rsidRPr="003B4362">
        <w:rPr>
          <w:rFonts w:eastAsia="Calibri"/>
        </w:rPr>
        <w:t xml:space="preserve"> of lead service lines, lead pipes, lead soldered pipe joints, and leaded </w:t>
      </w:r>
      <w:bookmarkStart w:id="2360" w:name="_Hlk115125106"/>
      <w:r w:rsidRPr="003B4362">
        <w:rPr>
          <w:rFonts w:eastAsia="Calibri"/>
        </w:rPr>
        <w:t>brass- or bronze-alloy fittings and fixtures</w:t>
      </w:r>
      <w:bookmarkEnd w:id="2360"/>
      <w:r w:rsidRPr="003B4362">
        <w:rPr>
          <w:rFonts w:eastAsia="Calibri"/>
        </w:rPr>
        <w:t xml:space="preserve">, </w:t>
      </w:r>
      <w:bookmarkStart w:id="2361" w:name="_Hlk115125222"/>
      <w:r w:rsidRPr="003B4362">
        <w:rPr>
          <w:rFonts w:eastAsia="Calibri"/>
        </w:rPr>
        <w:t xml:space="preserve">unless those fittings and fixtures comply with </w:t>
      </w:r>
      <w:bookmarkStart w:id="2362" w:name="_Hlk12887887"/>
      <w:bookmarkStart w:id="2363" w:name="_Hlk8213361"/>
      <w:r w:rsidRPr="003B4362">
        <w:rPr>
          <w:rFonts w:eastAsia="Calibri"/>
        </w:rPr>
        <w:t>Section 611.126(b)</w:t>
      </w:r>
      <w:bookmarkEnd w:id="2361"/>
      <w:bookmarkEnd w:id="2362"/>
      <w:bookmarkEnd w:id="2363"/>
      <w:r w:rsidRPr="003B4362">
        <w:rPr>
          <w:rFonts w:eastAsia="Calibri"/>
          <w:spacing w:val="-3"/>
        </w:rPr>
        <w:t>.</w:t>
      </w:r>
    </w:p>
    <w:p w14:paraId="2F5F135C" w14:textId="3115CCAA" w:rsidR="005451CE" w:rsidRPr="003B4362" w:rsidRDefault="005451CE" w:rsidP="005451CE">
      <w:pPr>
        <w:spacing w:before="240" w:after="240"/>
        <w:ind w:left="3600"/>
        <w:rPr>
          <w:rFonts w:eastAsia="Calibri"/>
        </w:rPr>
      </w:pPr>
      <w:r w:rsidRPr="003B4362">
        <w:rPr>
          <w:rFonts w:eastAsia="Calibri"/>
          <w:spacing w:val="-3"/>
        </w:rPr>
        <w:t xml:space="preserve">BOARD NOTE:  </w:t>
      </w:r>
      <w:bookmarkStart w:id="2364" w:name="_Hlk16176858"/>
      <w:r w:rsidRPr="003B4362">
        <w:rPr>
          <w:rFonts w:eastAsia="Calibri"/>
          <w:spacing w:val="-3"/>
        </w:rPr>
        <w:t>Corresponding 40 CFR 141.86(g)(1)(i)(B) specifies “</w:t>
      </w:r>
      <w:r w:rsidRPr="003B4362">
        <w:rPr>
          <w:rFonts w:eastAsia="Calibri"/>
        </w:rPr>
        <w:t xml:space="preserve">any standard established pursuant to 42 </w:t>
      </w:r>
      <w:r w:rsidR="0062698B" w:rsidRPr="003B4362">
        <w:t>U.S.C.</w:t>
      </w:r>
      <w:r w:rsidRPr="003B4362">
        <w:rPr>
          <w:rFonts w:eastAsia="Calibri"/>
        </w:rPr>
        <w:t xml:space="preserve"> 300g-6(e) (SDWA section 1417(e))”.</w:t>
      </w:r>
      <w:r w:rsidRPr="003B4362">
        <w:rPr>
          <w:rFonts w:eastAsia="Calibri"/>
          <w:spacing w:val="-3"/>
        </w:rPr>
        <w:t xml:space="preserve">  Congress changed the </w:t>
      </w:r>
      <w:bookmarkStart w:id="2365" w:name="_Hlk115126633"/>
      <w:r w:rsidRPr="003B4362">
        <w:rPr>
          <w:rFonts w:eastAsia="Calibri"/>
          <w:spacing w:val="-3"/>
        </w:rPr>
        <w:t xml:space="preserve">lead standards for fittings and fixtures in </w:t>
      </w:r>
      <w:r w:rsidRPr="003B4362">
        <w:rPr>
          <w:rFonts w:eastAsia="Calibri"/>
        </w:rPr>
        <w:t>the Reduction of Lead in Drinking Water Act, P.L. 111-380</w:t>
      </w:r>
      <w:bookmarkEnd w:id="2365"/>
      <w:r w:rsidRPr="003B4362">
        <w:rPr>
          <w:rFonts w:eastAsia="Calibri"/>
        </w:rPr>
        <w:t>, section 2(a)(2) and (b), 124 Stat. 4131 (Jan. 4, 2011).  The Board incorporated the statutory changes into this Section by referencing Section 611.126(b).</w:t>
      </w:r>
      <w:bookmarkEnd w:id="2364"/>
    </w:p>
    <w:p w14:paraId="6D7675F4" w14:textId="2F02064B"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Copper.  To qualify for a SEP granting a full waiver or a partial waiver of the tap water monitoring requirements for copper (i.e., a “copper waiver”), the supplier must provide certification and supporting documentation to the Agency demonstrating that its system contains no copper pipes or copper service lines.</w:t>
      </w:r>
    </w:p>
    <w:p w14:paraId="7498010E" w14:textId="297A1D08"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Monitoring Criteria for Waiver Issuance.  The supplier must have completed at least one </w:t>
      </w:r>
      <w:r w:rsidR="00E12F89" w:rsidRPr="003B4362">
        <w:rPr>
          <w:rFonts w:eastAsia="Calibri"/>
        </w:rPr>
        <w:t>six-month</w:t>
      </w:r>
      <w:r w:rsidRPr="003B4362">
        <w:rPr>
          <w:rFonts w:eastAsia="Calibri"/>
        </w:rPr>
        <w:t xml:space="preserve"> round of standard tap water </w:t>
      </w:r>
      <w:bookmarkStart w:id="2366" w:name="_Hlk115128675"/>
      <w:r w:rsidRPr="003B4362">
        <w:rPr>
          <w:rFonts w:eastAsia="Calibri"/>
        </w:rPr>
        <w:t xml:space="preserve">monitoring for lead and copper at Agency-approved sites </w:t>
      </w:r>
      <w:bookmarkEnd w:id="2366"/>
      <w:r w:rsidRPr="003B4362">
        <w:rPr>
          <w:rFonts w:eastAsia="Calibri"/>
        </w:rPr>
        <w:t xml:space="preserve">and from </w:t>
      </w:r>
      <w:bookmarkStart w:id="2367" w:name="_Hlk115128734"/>
      <w:r w:rsidRPr="003B4362">
        <w:rPr>
          <w:rFonts w:eastAsia="Calibri"/>
        </w:rPr>
        <w:t>the number of sites subsection (c) requires</w:t>
      </w:r>
      <w:bookmarkEnd w:id="2367"/>
      <w:r w:rsidRPr="003B4362">
        <w:rPr>
          <w:rFonts w:eastAsia="Calibri"/>
        </w:rPr>
        <w:t xml:space="preserve"> and </w:t>
      </w:r>
      <w:bookmarkStart w:id="2368" w:name="_Hlk115128798"/>
      <w:r w:rsidRPr="003B4362">
        <w:rPr>
          <w:rFonts w:eastAsia="Calibri"/>
        </w:rPr>
        <w:t xml:space="preserve">demonstrate to the Agency that the 90th percentile </w:t>
      </w:r>
      <w:r w:rsidR="00945D09" w:rsidRPr="003B4362">
        <w:rPr>
          <w:rFonts w:eastAsia="Calibri"/>
        </w:rPr>
        <w:t xml:space="preserve">concentrations </w:t>
      </w:r>
      <w:bookmarkEnd w:id="2368"/>
      <w:r w:rsidRPr="003B4362">
        <w:rPr>
          <w:rFonts w:eastAsia="Calibri"/>
        </w:rPr>
        <w:t xml:space="preserve">for any and all rounds of monitoring conducted since the system became free of all lead-containing or copper-containing materials, as appropriate, </w:t>
      </w:r>
      <w:bookmarkStart w:id="2369" w:name="_Hlk115128966"/>
      <w:r w:rsidRPr="003B4362">
        <w:rPr>
          <w:rFonts w:eastAsia="Calibri"/>
        </w:rPr>
        <w:t>meet certain criteria</w:t>
      </w:r>
      <w:bookmarkEnd w:id="2369"/>
      <w:r w:rsidRPr="003B4362">
        <w:rPr>
          <w:rFonts w:eastAsia="Calibri"/>
        </w:rPr>
        <w:t>:</w:t>
      </w:r>
    </w:p>
    <w:p w14:paraId="066D7A30" w14:textId="072BC319"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Lead</w:t>
      </w:r>
      <w:bookmarkStart w:id="2370" w:name="_Hlk2258852"/>
      <w:r w:rsidRPr="003B4362">
        <w:rPr>
          <w:rFonts w:eastAsia="Calibri"/>
        </w:rPr>
        <w:t xml:space="preserve"> Levels</w:t>
      </w:r>
      <w:bookmarkEnd w:id="2370"/>
      <w:r w:rsidRPr="003B4362">
        <w:rPr>
          <w:rFonts w:eastAsia="Calibri"/>
        </w:rPr>
        <w:t xml:space="preserve">.  To qualify for </w:t>
      </w:r>
      <w:bookmarkStart w:id="2371" w:name="_Hlk115129120"/>
      <w:r w:rsidRPr="003B4362">
        <w:rPr>
          <w:rFonts w:eastAsia="Calibri"/>
        </w:rPr>
        <w:t>a full waiver or a lead partial waiver</w:t>
      </w:r>
      <w:bookmarkEnd w:id="2371"/>
      <w:r w:rsidRPr="003B4362">
        <w:rPr>
          <w:rFonts w:eastAsia="Calibri"/>
        </w:rPr>
        <w:t xml:space="preserve">, the supplier must </w:t>
      </w:r>
      <w:bookmarkStart w:id="2372" w:name="_Hlk115129348"/>
      <w:r w:rsidRPr="003B4362">
        <w:rPr>
          <w:rFonts w:eastAsia="Calibri"/>
        </w:rPr>
        <w:t xml:space="preserve">demonstrate </w:t>
      </w:r>
      <w:bookmarkStart w:id="2373" w:name="_Hlk115129310"/>
      <w:bookmarkEnd w:id="2372"/>
      <w:r w:rsidRPr="003B4362">
        <w:rPr>
          <w:rFonts w:eastAsia="Calibri"/>
        </w:rPr>
        <w:t>that its 90th percentile lead</w:t>
      </w:r>
      <w:r w:rsidR="00455F01" w:rsidRPr="003B4362">
        <w:rPr>
          <w:rFonts w:eastAsia="Calibri"/>
        </w:rPr>
        <w:t xml:space="preserve"> </w:t>
      </w:r>
      <w:bookmarkStart w:id="2374" w:name="_Hlk127462783"/>
      <w:r w:rsidR="00455F01" w:rsidRPr="003B4362">
        <w:rPr>
          <w:rFonts w:eastAsia="Calibri"/>
        </w:rPr>
        <w:t xml:space="preserve">concentration </w:t>
      </w:r>
      <w:bookmarkEnd w:id="2373"/>
      <w:bookmarkEnd w:id="2374"/>
      <w:r w:rsidRPr="003B4362">
        <w:rPr>
          <w:rFonts w:eastAsia="Calibri"/>
        </w:rPr>
        <w:t>does not exceed 0.005 mg/</w:t>
      </w:r>
      <w:r w:rsidR="00C25B6F" w:rsidRPr="003B4362">
        <w:t xml:space="preserve"> L</w:t>
      </w:r>
      <w:r w:rsidRPr="003B4362">
        <w:rPr>
          <w:rFonts w:eastAsia="Calibri"/>
        </w:rPr>
        <w:t>.</w:t>
      </w:r>
    </w:p>
    <w:p w14:paraId="30F53FE8" w14:textId="054C684D"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Copper Levels.  To qualify for a full waiver or a copper partial waiver, the supplier must demonstrate that its 90th percentile copper </w:t>
      </w:r>
      <w:r w:rsidR="00455F01" w:rsidRPr="003B4362">
        <w:rPr>
          <w:rFonts w:eastAsia="Calibri"/>
        </w:rPr>
        <w:t xml:space="preserve">concentration </w:t>
      </w:r>
      <w:r w:rsidRPr="003B4362">
        <w:rPr>
          <w:rFonts w:eastAsia="Calibri"/>
        </w:rPr>
        <w:t>does not exceed 0.65 mg/</w:t>
      </w:r>
      <w:r w:rsidR="00C25B6F" w:rsidRPr="003B4362">
        <w:t xml:space="preserve"> L</w:t>
      </w:r>
      <w:r w:rsidRPr="003B4362">
        <w:rPr>
          <w:rFonts w:eastAsia="Calibri"/>
        </w:rPr>
        <w:t>.</w:t>
      </w:r>
    </w:p>
    <w:p w14:paraId="4BA17129" w14:textId="6F090E7E" w:rsidR="005451CE" w:rsidRPr="003B4362" w:rsidRDefault="005451CE" w:rsidP="005451CE">
      <w:pPr>
        <w:spacing w:before="240" w:after="240"/>
        <w:ind w:left="2160" w:hanging="720"/>
        <w:rPr>
          <w:rFonts w:eastAsia="Calibri"/>
        </w:rPr>
      </w:pPr>
      <w:r w:rsidRPr="003B4362">
        <w:rPr>
          <w:rFonts w:eastAsia="Calibri"/>
        </w:rPr>
        <w:lastRenderedPageBreak/>
        <w:t>3)</w:t>
      </w:r>
      <w:r w:rsidRPr="003B4362">
        <w:rPr>
          <w:rFonts w:eastAsia="Calibri"/>
        </w:rPr>
        <w:tab/>
      </w:r>
      <w:bookmarkStart w:id="2375" w:name="_Hlk115129475"/>
      <w:r w:rsidRPr="003B4362">
        <w:rPr>
          <w:rFonts w:eastAsia="Calibri"/>
        </w:rPr>
        <w:t>Agency Approval of Waiver Application</w:t>
      </w:r>
      <w:bookmarkEnd w:id="2375"/>
      <w:r w:rsidRPr="003B4362">
        <w:rPr>
          <w:rFonts w:eastAsia="Calibri"/>
        </w:rPr>
        <w:t xml:space="preserve">.  The Agency must notify the supplier of its </w:t>
      </w:r>
      <w:bookmarkStart w:id="2376" w:name="_Hlk115129567"/>
      <w:r w:rsidRPr="003B4362">
        <w:rPr>
          <w:rFonts w:eastAsia="Calibri"/>
        </w:rPr>
        <w:t>waiver determination in a SEP stating the basis of its decision</w:t>
      </w:r>
      <w:bookmarkEnd w:id="2376"/>
      <w:r w:rsidRPr="003B4362">
        <w:rPr>
          <w:rFonts w:eastAsia="Calibri"/>
        </w:rPr>
        <w:t xml:space="preserve"> and any </w:t>
      </w:r>
      <w:bookmarkStart w:id="2377" w:name="_Hlk115129621"/>
      <w:r w:rsidRPr="003B4362">
        <w:rPr>
          <w:rFonts w:eastAsia="Calibri"/>
        </w:rPr>
        <w:t>condition on the waiver</w:t>
      </w:r>
      <w:bookmarkEnd w:id="2377"/>
      <w:r w:rsidRPr="003B4362">
        <w:rPr>
          <w:rFonts w:eastAsia="Calibri"/>
        </w:rPr>
        <w:t xml:space="preserve">.  As a condition on the waiver, the Agency may require the supplier to perform specific activities (e.g., </w:t>
      </w:r>
      <w:bookmarkStart w:id="2378" w:name="_Hlk115129721"/>
      <w:r w:rsidRPr="003B4362">
        <w:rPr>
          <w:rFonts w:eastAsia="Calibri"/>
        </w:rPr>
        <w:t>limited monitoring, periodic outreach to customers to remind them to avoid installation of materials that might void the waiver</w:t>
      </w:r>
      <w:bookmarkEnd w:id="2378"/>
      <w:r w:rsidRPr="003B4362">
        <w:rPr>
          <w:rFonts w:eastAsia="Calibri"/>
        </w:rPr>
        <w:t>) to avoid the risk of lead or copper concentration of concern in tap water.  T</w:t>
      </w:r>
      <w:bookmarkStart w:id="2379" w:name="_Hlk115129754"/>
      <w:r w:rsidRPr="003B4362">
        <w:rPr>
          <w:rFonts w:eastAsia="Calibri"/>
        </w:rPr>
        <w:t>he supplier</w:t>
      </w:r>
      <w:bookmarkEnd w:id="2379"/>
      <w:r w:rsidRPr="003B4362">
        <w:rPr>
          <w:rFonts w:eastAsia="Calibri"/>
        </w:rPr>
        <w:t xml:space="preserve"> must continue monitoring for lead and copper at the tap </w:t>
      </w:r>
      <w:bookmarkStart w:id="2380" w:name="_Hlk115129813"/>
      <w:r w:rsidRPr="003B4362">
        <w:rPr>
          <w:rFonts w:eastAsia="Calibri"/>
        </w:rPr>
        <w:t>as subsections (d)(1) through (d)(4) require</w:t>
      </w:r>
      <w:bookmarkEnd w:id="2380"/>
      <w:r w:rsidRPr="003B4362">
        <w:rPr>
          <w:rFonts w:eastAsia="Calibri"/>
        </w:rPr>
        <w:t xml:space="preserve">, as appropriate, </w:t>
      </w:r>
      <w:bookmarkStart w:id="2381" w:name="_Hlk115129871"/>
      <w:r w:rsidRPr="003B4362">
        <w:rPr>
          <w:rFonts w:eastAsia="Calibri"/>
        </w:rPr>
        <w:t>until the supplier receives written notification</w:t>
      </w:r>
      <w:bookmarkStart w:id="2382" w:name="_Hlk115129966"/>
      <w:bookmarkEnd w:id="2381"/>
      <w:r w:rsidRPr="003B4362">
        <w:rPr>
          <w:rFonts w:eastAsia="Calibri"/>
        </w:rPr>
        <w:t xml:space="preserve"> from the Agency approving the waiver</w:t>
      </w:r>
      <w:bookmarkEnd w:id="2382"/>
      <w:r w:rsidRPr="003B4362">
        <w:rPr>
          <w:rFonts w:eastAsia="Calibri"/>
        </w:rPr>
        <w:t>.</w:t>
      </w:r>
    </w:p>
    <w:p w14:paraId="0B7F0F7C" w14:textId="77777777"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Monitoring Frequency for Suppliers with Waivers</w:t>
      </w:r>
    </w:p>
    <w:p w14:paraId="2481B681" w14:textId="0247E051"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A supplier with a full waiver must conduct tap water monitoring for lead and copper </w:t>
      </w:r>
      <w:bookmarkStart w:id="2383" w:name="_Hlk115164439"/>
      <w:r w:rsidRPr="003B4362">
        <w:rPr>
          <w:rFonts w:eastAsia="Calibri"/>
        </w:rPr>
        <w:t>under subsection (d)(4)(D)</w:t>
      </w:r>
      <w:bookmarkEnd w:id="2383"/>
      <w:r w:rsidRPr="003B4362">
        <w:rPr>
          <w:rFonts w:eastAsia="Calibri"/>
        </w:rPr>
        <w:t xml:space="preserve"> at the reduced number of </w:t>
      </w:r>
      <w:bookmarkStart w:id="2384" w:name="_Hlk115164483"/>
      <w:r w:rsidRPr="003B4362">
        <w:rPr>
          <w:rFonts w:eastAsia="Calibri"/>
        </w:rPr>
        <w:t>sampling sites subsection (c) identifies</w:t>
      </w:r>
      <w:bookmarkEnd w:id="2384"/>
      <w:r w:rsidRPr="003B4362">
        <w:rPr>
          <w:rFonts w:eastAsia="Calibri"/>
        </w:rPr>
        <w:t xml:space="preserve"> at least once every nine years and </w:t>
      </w:r>
      <w:bookmarkStart w:id="2385" w:name="_Hlk115164543"/>
      <w:r w:rsidRPr="003B4362">
        <w:rPr>
          <w:rFonts w:eastAsia="Calibri"/>
        </w:rPr>
        <w:t xml:space="preserve">provide to the Agency the </w:t>
      </w:r>
      <w:bookmarkStart w:id="2386" w:name="_Hlk115164737"/>
      <w:r w:rsidRPr="003B4362">
        <w:rPr>
          <w:rFonts w:eastAsia="Calibri"/>
        </w:rPr>
        <w:t>materials certification</w:t>
      </w:r>
      <w:bookmarkEnd w:id="2385"/>
      <w:r w:rsidRPr="003B4362">
        <w:rPr>
          <w:rFonts w:eastAsia="Calibri"/>
        </w:rPr>
        <w:t xml:space="preserve"> subsection (g)(1) specifies</w:t>
      </w:r>
      <w:bookmarkEnd w:id="2386"/>
      <w:r w:rsidRPr="003B4362">
        <w:rPr>
          <w:rFonts w:eastAsia="Calibri"/>
        </w:rPr>
        <w:t xml:space="preserve"> for both lead and copper </w:t>
      </w:r>
      <w:bookmarkStart w:id="2387" w:name="_Hlk115164917"/>
      <w:r w:rsidRPr="003B4362">
        <w:rPr>
          <w:rFonts w:eastAsia="Calibri"/>
        </w:rPr>
        <w:t>together with the monitoring results</w:t>
      </w:r>
      <w:bookmarkEnd w:id="2387"/>
      <w:r w:rsidRPr="003B4362">
        <w:rPr>
          <w:rFonts w:eastAsia="Calibri"/>
        </w:rPr>
        <w:t>.  T</w:t>
      </w:r>
      <w:bookmarkStart w:id="2388" w:name="_Hlk115164971"/>
      <w:r w:rsidRPr="003B4362">
        <w:rPr>
          <w:rFonts w:eastAsia="Calibri"/>
        </w:rPr>
        <w:t xml:space="preserve">he supplier must collect samples every nine years </w:t>
      </w:r>
      <w:bookmarkStart w:id="2389" w:name="_Hlk115165095"/>
      <w:bookmarkEnd w:id="2388"/>
      <w:r w:rsidRPr="003B4362">
        <w:rPr>
          <w:rFonts w:eastAsia="Calibri"/>
        </w:rPr>
        <w:t>no later than the ninth calendar year</w:t>
      </w:r>
      <w:bookmarkEnd w:id="2389"/>
      <w:r w:rsidRPr="003B4362">
        <w:rPr>
          <w:rFonts w:eastAsia="Calibri"/>
        </w:rPr>
        <w:t>.</w:t>
      </w:r>
    </w:p>
    <w:p w14:paraId="1F433E05" w14:textId="4E4B1AFE"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A supplier with a partial waiver must conduct tap water monitoring for the waived contaminant under subsection (d)(4)(D) at the reduced number of sampling sites subsection (c) specifies at least once every nine years and provide to the Agency the materials certification subsection (g)(1) specifies pertaining to the waived contaminant together with the monitoring results.  Such a supplier also must continue to monitor for the non-waived contaminant in </w:t>
      </w:r>
      <w:bookmarkStart w:id="2390" w:name="_Hlk115165711"/>
      <w:r w:rsidRPr="003B4362">
        <w:rPr>
          <w:rFonts w:eastAsia="Calibri"/>
        </w:rPr>
        <w:t>under the applicable of subsections (d)(1) through (d)(4)</w:t>
      </w:r>
      <w:bookmarkEnd w:id="2390"/>
      <w:r w:rsidRPr="003B4362">
        <w:rPr>
          <w:rFonts w:eastAsia="Calibri"/>
        </w:rPr>
        <w:t>.</w:t>
      </w:r>
    </w:p>
    <w:p w14:paraId="71AF0068" w14:textId="25915F35"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A</w:t>
      </w:r>
      <w:bookmarkStart w:id="2391" w:name="_Hlk115166235"/>
      <w:r w:rsidRPr="003B4362">
        <w:rPr>
          <w:rFonts w:eastAsia="Calibri"/>
        </w:rPr>
        <w:t xml:space="preserve"> supplier</w:t>
      </w:r>
      <w:bookmarkEnd w:id="2391"/>
      <w:r w:rsidRPr="003B4362">
        <w:rPr>
          <w:rFonts w:eastAsia="Calibri"/>
        </w:rPr>
        <w:t xml:space="preserve"> with a full or partial waiver must notify the Agency in writing </w:t>
      </w:r>
      <w:bookmarkStart w:id="2392" w:name="_Hlk115166421"/>
      <w:r w:rsidRPr="003B4362">
        <w:rPr>
          <w:rFonts w:eastAsia="Calibri"/>
        </w:rPr>
        <w:t>under Section 611.360(a)(3)</w:t>
      </w:r>
      <w:bookmarkEnd w:id="2392"/>
      <w:r w:rsidRPr="003B4362">
        <w:rPr>
          <w:rFonts w:eastAsia="Calibri"/>
        </w:rPr>
        <w:t xml:space="preserve"> of any upcoming </w:t>
      </w:r>
      <w:bookmarkStart w:id="2393" w:name="_Hlk115166505"/>
      <w:r w:rsidRPr="003B4362">
        <w:rPr>
          <w:rFonts w:eastAsia="Calibri"/>
        </w:rPr>
        <w:t>long-term change in treatment or adding a new source</w:t>
      </w:r>
      <w:bookmarkEnd w:id="2393"/>
      <w:r w:rsidRPr="003B4362">
        <w:rPr>
          <w:rFonts w:eastAsia="Calibri"/>
        </w:rPr>
        <w:t xml:space="preserve">, </w:t>
      </w:r>
      <w:bookmarkStart w:id="2394" w:name="_Hlk115166563"/>
      <w:r w:rsidRPr="003B4362">
        <w:rPr>
          <w:rFonts w:eastAsia="Calibri"/>
        </w:rPr>
        <w:t>as that rule describes</w:t>
      </w:r>
      <w:bookmarkEnd w:id="2394"/>
      <w:r w:rsidRPr="003B4362">
        <w:rPr>
          <w:rFonts w:eastAsia="Calibri"/>
        </w:rPr>
        <w:t xml:space="preserve">.  The Agency must review and approve adding a new source or long-term change in water treatment </w:t>
      </w:r>
      <w:bookmarkStart w:id="2395" w:name="_Hlk115166679"/>
      <w:r w:rsidRPr="003B4362">
        <w:rPr>
          <w:rFonts w:eastAsia="Calibri"/>
        </w:rPr>
        <w:t>before the supplier implements it</w:t>
      </w:r>
      <w:bookmarkEnd w:id="2395"/>
      <w:r w:rsidRPr="003B4362">
        <w:rPr>
          <w:rFonts w:eastAsia="Calibri"/>
        </w:rPr>
        <w:t>.  T</w:t>
      </w:r>
      <w:bookmarkStart w:id="2396" w:name="_Hlk115166737"/>
      <w:r w:rsidRPr="003B4362">
        <w:rPr>
          <w:rFonts w:eastAsia="Calibri"/>
        </w:rPr>
        <w:t>he Agency may add or modify waiver conditions</w:t>
      </w:r>
      <w:bookmarkEnd w:id="2396"/>
      <w:r w:rsidRPr="003B4362">
        <w:rPr>
          <w:rFonts w:eastAsia="Calibri"/>
        </w:rPr>
        <w:t xml:space="preserve"> (e.g., </w:t>
      </w:r>
      <w:bookmarkStart w:id="2397" w:name="_Hlk115166948"/>
      <w:r w:rsidRPr="003B4362">
        <w:rPr>
          <w:rFonts w:eastAsia="Calibri"/>
        </w:rPr>
        <w:t>require recertification that the supplier’s system is free of lead-containing or copper-containing materials, require additional rounds of monitoring</w:t>
      </w:r>
      <w:bookmarkEnd w:id="2397"/>
      <w:r w:rsidRPr="003B4362">
        <w:rPr>
          <w:rFonts w:eastAsia="Calibri"/>
        </w:rPr>
        <w:t xml:space="preserve">, etc.) </w:t>
      </w:r>
      <w:bookmarkStart w:id="2398" w:name="_Hlk115167011"/>
      <w:r w:rsidRPr="003B4362">
        <w:rPr>
          <w:rFonts w:eastAsia="Calibri"/>
        </w:rPr>
        <w:t>if the Agency determines that the modifications are necessary to address system treatment or source water changes</w:t>
      </w:r>
      <w:bookmarkEnd w:id="2398"/>
      <w:r w:rsidRPr="003B4362">
        <w:rPr>
          <w:rFonts w:eastAsia="Calibri"/>
        </w:rPr>
        <w:t>.</w:t>
      </w:r>
    </w:p>
    <w:p w14:paraId="61AF97A1" w14:textId="36833461" w:rsidR="005451CE" w:rsidRPr="003B4362" w:rsidRDefault="005451CE" w:rsidP="005451CE">
      <w:pPr>
        <w:spacing w:before="240" w:after="240"/>
        <w:ind w:left="2880" w:hanging="720"/>
        <w:rPr>
          <w:rFonts w:eastAsia="Calibri"/>
        </w:rPr>
      </w:pPr>
      <w:r w:rsidRPr="003B4362">
        <w:rPr>
          <w:rFonts w:eastAsia="Calibri"/>
        </w:rPr>
        <w:t>D)</w:t>
      </w:r>
      <w:r w:rsidRPr="003B4362">
        <w:rPr>
          <w:rFonts w:eastAsia="Calibri"/>
        </w:rPr>
        <w:tab/>
        <w:t xml:space="preserve">If a supplier with a full or partial waiver becomes </w:t>
      </w:r>
      <w:bookmarkStart w:id="2399" w:name="_Hlk115167163"/>
      <w:r w:rsidRPr="003B4362">
        <w:rPr>
          <w:rFonts w:eastAsia="Calibri"/>
        </w:rPr>
        <w:t>aware that its system is no longer free of lead-containing or copper-containing materials</w:t>
      </w:r>
      <w:bookmarkEnd w:id="2399"/>
      <w:r w:rsidRPr="003B4362">
        <w:rPr>
          <w:rFonts w:eastAsia="Calibri"/>
        </w:rPr>
        <w:t xml:space="preserve">, as appropriate (e.g., as a result of new construction or </w:t>
      </w:r>
      <w:r w:rsidRPr="003B4362">
        <w:rPr>
          <w:rFonts w:eastAsia="Calibri"/>
        </w:rPr>
        <w:lastRenderedPageBreak/>
        <w:t xml:space="preserve">repairs), the supplier must notify the Agency in writing no later than 60 days after becoming </w:t>
      </w:r>
      <w:bookmarkStart w:id="2400" w:name="_Hlk115167261"/>
      <w:r w:rsidRPr="003B4362">
        <w:rPr>
          <w:rFonts w:eastAsia="Calibri"/>
        </w:rPr>
        <w:t>aware of the change</w:t>
      </w:r>
      <w:bookmarkEnd w:id="2400"/>
      <w:r w:rsidRPr="003B4362">
        <w:rPr>
          <w:rFonts w:eastAsia="Calibri"/>
        </w:rPr>
        <w:t>.</w:t>
      </w:r>
    </w:p>
    <w:p w14:paraId="2858F373" w14:textId="04014A72" w:rsidR="005451CE" w:rsidRPr="003B4362" w:rsidRDefault="005451CE" w:rsidP="005451CE">
      <w:pPr>
        <w:spacing w:before="240" w:after="240"/>
        <w:ind w:left="2160" w:hanging="720"/>
        <w:rPr>
          <w:rFonts w:eastAsia="Calibri"/>
        </w:rPr>
      </w:pPr>
      <w:r w:rsidRPr="003B4362">
        <w:rPr>
          <w:rFonts w:eastAsia="Calibri"/>
        </w:rPr>
        <w:t>5)</w:t>
      </w:r>
      <w:r w:rsidRPr="003B4362">
        <w:rPr>
          <w:rFonts w:eastAsia="Calibri"/>
        </w:rPr>
        <w:tab/>
        <w:t xml:space="preserve">Continued Eligibility.  If the supplier continues to </w:t>
      </w:r>
      <w:bookmarkStart w:id="2401" w:name="_Hlk115167345"/>
      <w:r w:rsidRPr="003B4362">
        <w:rPr>
          <w:rFonts w:eastAsia="Calibri"/>
        </w:rPr>
        <w:t>comply with subsection (g)(4)</w:t>
      </w:r>
      <w:bookmarkEnd w:id="2401"/>
      <w:r w:rsidRPr="003B4362">
        <w:rPr>
          <w:rFonts w:eastAsia="Calibri"/>
        </w:rPr>
        <w:t xml:space="preserve">, the waiver will renew automatically, unless any of the </w:t>
      </w:r>
      <w:bookmarkStart w:id="2402" w:name="_Hlk115167403"/>
      <w:r w:rsidRPr="003B4362">
        <w:rPr>
          <w:rFonts w:eastAsia="Calibri"/>
        </w:rPr>
        <w:t>conditions in subsections (g)(5)(A) through (g)(5)(C)</w:t>
      </w:r>
      <w:bookmarkEnd w:id="2402"/>
      <w:r w:rsidRPr="003B4362">
        <w:rPr>
          <w:rFonts w:eastAsia="Calibri"/>
        </w:rPr>
        <w:t xml:space="preserve"> occur.  A</w:t>
      </w:r>
      <w:bookmarkStart w:id="2403" w:name="_Hlk115167448"/>
      <w:r w:rsidRPr="003B4362">
        <w:rPr>
          <w:rFonts w:eastAsia="Calibri"/>
        </w:rPr>
        <w:t xml:space="preserve"> supplier whose waiver the Agency revokes </w:t>
      </w:r>
      <w:bookmarkEnd w:id="2403"/>
      <w:r w:rsidRPr="003B4362">
        <w:rPr>
          <w:rFonts w:eastAsia="Calibri"/>
        </w:rPr>
        <w:t xml:space="preserve">may re-apply for a waiver </w:t>
      </w:r>
      <w:bookmarkStart w:id="2404" w:name="_Hlk115167621"/>
      <w:r w:rsidRPr="003B4362">
        <w:rPr>
          <w:rFonts w:eastAsia="Calibri"/>
        </w:rPr>
        <w:t>when the supplier again meets the appropriate materials and monitoring criteria of subsections (g)(1) and (g)(2)</w:t>
      </w:r>
      <w:bookmarkEnd w:id="2404"/>
      <w:r w:rsidRPr="003B4362">
        <w:rPr>
          <w:rFonts w:eastAsia="Calibri"/>
        </w:rPr>
        <w:t>.</w:t>
      </w:r>
    </w:p>
    <w:p w14:paraId="77805532" w14:textId="2C76C6DA"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A</w:t>
      </w:r>
      <w:bookmarkStart w:id="2405" w:name="_Hlk115170490"/>
      <w:r w:rsidRPr="003B4362">
        <w:rPr>
          <w:rFonts w:eastAsia="Calibri"/>
        </w:rPr>
        <w:t xml:space="preserve"> full waiver or a lead </w:t>
      </w:r>
      <w:bookmarkStart w:id="2406" w:name="_Hlk115170688"/>
      <w:r w:rsidRPr="003B4362">
        <w:rPr>
          <w:rFonts w:eastAsia="Calibri"/>
        </w:rPr>
        <w:t xml:space="preserve">partial </w:t>
      </w:r>
      <w:bookmarkEnd w:id="2406"/>
      <w:r w:rsidRPr="003B4362">
        <w:rPr>
          <w:rFonts w:eastAsia="Calibri"/>
        </w:rPr>
        <w:t>waiver does not renew if the supplier no longer satisfies the materials criteria</w:t>
      </w:r>
      <w:bookmarkEnd w:id="2405"/>
      <w:r w:rsidRPr="003B4362">
        <w:rPr>
          <w:rFonts w:eastAsia="Calibri"/>
        </w:rPr>
        <w:t xml:space="preserve"> of subsection (g)(1)(A) or has a </w:t>
      </w:r>
      <w:bookmarkStart w:id="2407" w:name="_Hlk127462806"/>
      <w:r w:rsidRPr="003B4362">
        <w:rPr>
          <w:rFonts w:eastAsia="Calibri"/>
        </w:rPr>
        <w:t xml:space="preserve">90th percentile lead </w:t>
      </w:r>
      <w:r w:rsidR="00455F01" w:rsidRPr="003B4362">
        <w:rPr>
          <w:rFonts w:eastAsia="Calibri"/>
        </w:rPr>
        <w:t xml:space="preserve">concentration </w:t>
      </w:r>
      <w:bookmarkEnd w:id="2407"/>
      <w:r w:rsidRPr="003B4362">
        <w:rPr>
          <w:rFonts w:eastAsia="Calibri"/>
        </w:rPr>
        <w:t>greater than 0.005 mg/</w:t>
      </w:r>
      <w:r w:rsidR="00C25B6F" w:rsidRPr="003B4362">
        <w:t xml:space="preserve"> L</w:t>
      </w:r>
      <w:r w:rsidRPr="003B4362">
        <w:rPr>
          <w:rFonts w:eastAsia="Calibri"/>
        </w:rPr>
        <w:t>.</w:t>
      </w:r>
    </w:p>
    <w:p w14:paraId="115157E0" w14:textId="6C2873A8"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A full waiver or a </w:t>
      </w:r>
      <w:bookmarkStart w:id="2408" w:name="_Hlk115170714"/>
      <w:r w:rsidRPr="003B4362">
        <w:rPr>
          <w:rFonts w:eastAsia="Calibri"/>
        </w:rPr>
        <w:t xml:space="preserve">copper </w:t>
      </w:r>
      <w:bookmarkEnd w:id="2408"/>
      <w:r w:rsidRPr="003B4362">
        <w:rPr>
          <w:rFonts w:eastAsia="Calibri"/>
        </w:rPr>
        <w:t xml:space="preserve">partial waiver does not renew if the supplier no longer satisfies the materials criteria of subsection (g)(1)(B) or has a 90th percentile copper </w:t>
      </w:r>
      <w:r w:rsidR="00455F01" w:rsidRPr="003B4362">
        <w:rPr>
          <w:rFonts w:eastAsia="Calibri"/>
        </w:rPr>
        <w:t xml:space="preserve">concentration </w:t>
      </w:r>
      <w:r w:rsidRPr="003B4362">
        <w:rPr>
          <w:rFonts w:eastAsia="Calibri"/>
        </w:rPr>
        <w:t>greater than 0.65 mg/</w:t>
      </w:r>
      <w:r w:rsidR="00C25B6F" w:rsidRPr="003B4362">
        <w:t xml:space="preserve"> L</w:t>
      </w:r>
      <w:r w:rsidRPr="003B4362">
        <w:rPr>
          <w:rFonts w:eastAsia="Calibri"/>
        </w:rPr>
        <w:t>.</w:t>
      </w:r>
    </w:p>
    <w:p w14:paraId="78A4F7D3" w14:textId="69ACE2A7"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A</w:t>
      </w:r>
      <w:bookmarkStart w:id="2409" w:name="_Hlk115170867"/>
      <w:r w:rsidRPr="003B4362">
        <w:rPr>
          <w:rFonts w:eastAsia="Calibri"/>
        </w:rPr>
        <w:t xml:space="preserve"> waiver terminates when the Agency notifies the supplier that the Agency revokes the waiver, in writing and describing the basis</w:t>
      </w:r>
      <w:bookmarkEnd w:id="2409"/>
      <w:r w:rsidRPr="003B4362">
        <w:rPr>
          <w:rFonts w:eastAsia="Calibri"/>
        </w:rPr>
        <w:t xml:space="preserve"> of its decision.</w:t>
      </w:r>
    </w:p>
    <w:p w14:paraId="6BC4567B" w14:textId="5385DEB2" w:rsidR="005451CE" w:rsidRPr="003B4362" w:rsidRDefault="005451CE" w:rsidP="005451CE">
      <w:pPr>
        <w:spacing w:before="240" w:after="240"/>
        <w:ind w:left="2160" w:hanging="720"/>
        <w:rPr>
          <w:rFonts w:eastAsia="Calibri"/>
        </w:rPr>
      </w:pPr>
      <w:r w:rsidRPr="003B4362">
        <w:rPr>
          <w:rFonts w:eastAsia="Calibri"/>
        </w:rPr>
        <w:t>6)</w:t>
      </w:r>
      <w:r w:rsidRPr="003B4362">
        <w:rPr>
          <w:rFonts w:eastAsia="Calibri"/>
        </w:rPr>
        <w:tab/>
        <w:t>Requirements Following Waiver Revocation.  A</w:t>
      </w:r>
      <w:bookmarkStart w:id="2410" w:name="_Hlk115171046"/>
      <w:r w:rsidRPr="003B4362">
        <w:rPr>
          <w:rFonts w:eastAsia="Calibri"/>
        </w:rPr>
        <w:t xml:space="preserve"> supplier whose full or partial waiver the Agency revokes must comply with specific corrosion control treatment</w:t>
      </w:r>
      <w:bookmarkEnd w:id="2410"/>
      <w:r w:rsidRPr="003B4362">
        <w:rPr>
          <w:rFonts w:eastAsia="Calibri"/>
        </w:rPr>
        <w:t xml:space="preserve"> and lead and copper tap water monitoring requirements:</w:t>
      </w:r>
    </w:p>
    <w:p w14:paraId="66369E33" w14:textId="09A16B10"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If the supplier exceeds the lead or copper action level, the supplier must implement corrosion control treatment </w:t>
      </w:r>
      <w:bookmarkStart w:id="2411" w:name="_Hlk115171223"/>
      <w:r w:rsidRPr="003B4362">
        <w:rPr>
          <w:rFonts w:eastAsia="Calibri"/>
        </w:rPr>
        <w:t>within the deadlines Section 611.351(e) specifies</w:t>
      </w:r>
      <w:bookmarkEnd w:id="2411"/>
      <w:r w:rsidRPr="003B4362">
        <w:rPr>
          <w:rFonts w:eastAsia="Calibri"/>
        </w:rPr>
        <w:t xml:space="preserve"> and any other applicable </w:t>
      </w:r>
      <w:bookmarkStart w:id="2412" w:name="_Hlk115171291"/>
      <w:r w:rsidRPr="003B4362">
        <w:rPr>
          <w:rFonts w:eastAsia="Calibri"/>
        </w:rPr>
        <w:t>requirements under this Subpart G</w:t>
      </w:r>
      <w:bookmarkEnd w:id="2412"/>
      <w:r w:rsidRPr="003B4362">
        <w:rPr>
          <w:rFonts w:eastAsia="Calibri"/>
        </w:rPr>
        <w:t>.</w:t>
      </w:r>
    </w:p>
    <w:p w14:paraId="585FEB8F" w14:textId="3FFD09EC"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If the supplier meets both the </w:t>
      </w:r>
      <w:bookmarkStart w:id="2413" w:name="_Hlk115171483"/>
      <w:r w:rsidRPr="003B4362">
        <w:rPr>
          <w:rFonts w:eastAsia="Calibri"/>
        </w:rPr>
        <w:t>lead and the copper action levels</w:t>
      </w:r>
      <w:bookmarkEnd w:id="2413"/>
      <w:r w:rsidRPr="003B4362">
        <w:rPr>
          <w:rFonts w:eastAsia="Calibri"/>
        </w:rPr>
        <w:t xml:space="preserve">, the supplier must monitor for lead and copper at the tap no less frequently than once every three years using the reduced number of sampling </w:t>
      </w:r>
      <w:bookmarkStart w:id="2414" w:name="_Hlk115171536"/>
      <w:r w:rsidRPr="003B4362">
        <w:rPr>
          <w:rFonts w:eastAsia="Calibri"/>
        </w:rPr>
        <w:t>sites subsection (c) specifies</w:t>
      </w:r>
      <w:bookmarkEnd w:id="2414"/>
      <w:r w:rsidRPr="003B4362">
        <w:rPr>
          <w:rFonts w:eastAsia="Calibri"/>
        </w:rPr>
        <w:t>.</w:t>
      </w:r>
    </w:p>
    <w:p w14:paraId="72DCAF67" w14:textId="06B3E735" w:rsidR="005451CE" w:rsidRPr="003B4362" w:rsidRDefault="005451CE" w:rsidP="005451CE">
      <w:pPr>
        <w:spacing w:before="240" w:after="240"/>
        <w:ind w:left="2160" w:hanging="720"/>
        <w:rPr>
          <w:rFonts w:eastAsia="Calibri"/>
        </w:rPr>
      </w:pPr>
      <w:r w:rsidRPr="003B4362">
        <w:rPr>
          <w:rFonts w:eastAsia="Calibri"/>
        </w:rPr>
        <w:t>7)</w:t>
      </w:r>
      <w:r w:rsidRPr="003B4362">
        <w:rPr>
          <w:rFonts w:eastAsia="Calibri"/>
        </w:rPr>
        <w:tab/>
        <w:t>Pre-Existing Waivers.  A</w:t>
      </w:r>
      <w:bookmarkStart w:id="2415" w:name="_Hlk115171640"/>
      <w:r w:rsidRPr="003B4362">
        <w:rPr>
          <w:rFonts w:eastAsia="Calibri"/>
        </w:rPr>
        <w:t xml:space="preserve"> </w:t>
      </w:r>
      <w:r w:rsidR="009B072C" w:rsidRPr="003B4362">
        <w:rPr>
          <w:rFonts w:eastAsia="Calibri"/>
        </w:rPr>
        <w:t>waiver</w:t>
      </w:r>
      <w:r w:rsidR="00E6702C" w:rsidRPr="003B4362">
        <w:rPr>
          <w:rFonts w:eastAsia="Calibri"/>
        </w:rPr>
        <w:t xml:space="preserve"> </w:t>
      </w:r>
      <w:r w:rsidRPr="003B4362">
        <w:rPr>
          <w:rFonts w:eastAsia="Calibri"/>
        </w:rPr>
        <w:t>the Agency granted</w:t>
      </w:r>
      <w:bookmarkEnd w:id="2415"/>
      <w:r w:rsidR="00D75CB1" w:rsidRPr="003B4362">
        <w:rPr>
          <w:rFonts w:eastAsia="Calibri"/>
        </w:rPr>
        <w:t xml:space="preserve"> a supplier</w:t>
      </w:r>
      <w:r w:rsidRPr="003B4362">
        <w:rPr>
          <w:rFonts w:eastAsia="Calibri"/>
        </w:rPr>
        <w:t xml:space="preserve"> in writing prior to April 11, 2000 </w:t>
      </w:r>
      <w:bookmarkStart w:id="2416" w:name="_Hlk115171757"/>
      <w:r w:rsidRPr="003B4362">
        <w:rPr>
          <w:rFonts w:eastAsia="Calibri"/>
        </w:rPr>
        <w:t>remains in effect under certain conditions</w:t>
      </w:r>
      <w:bookmarkEnd w:id="2416"/>
      <w:r w:rsidRPr="003B4362">
        <w:rPr>
          <w:rFonts w:eastAsia="Calibri"/>
        </w:rPr>
        <w:t>:</w:t>
      </w:r>
    </w:p>
    <w:p w14:paraId="1741F62F" w14:textId="4A8BB5E0"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I</w:t>
      </w:r>
      <w:bookmarkStart w:id="2417" w:name="_Hlk115172424"/>
      <w:r w:rsidRPr="003B4362">
        <w:rPr>
          <w:rFonts w:eastAsia="Calibri"/>
        </w:rPr>
        <w:t>f the supplier demonstrates that its system is free of both lead-containing and copper-containing materials</w:t>
      </w:r>
      <w:bookmarkEnd w:id="2417"/>
      <w:r w:rsidRPr="003B4362">
        <w:rPr>
          <w:rFonts w:eastAsia="Calibri"/>
        </w:rPr>
        <w:t xml:space="preserve">, </w:t>
      </w:r>
      <w:bookmarkStart w:id="2418" w:name="_Hlk115172909"/>
      <w:r w:rsidRPr="003B4362">
        <w:rPr>
          <w:rFonts w:eastAsia="Calibri"/>
        </w:rPr>
        <w:t>as subsection (g)(1) requires</w:t>
      </w:r>
      <w:bookmarkEnd w:id="2418"/>
      <w:r w:rsidRPr="003B4362">
        <w:rPr>
          <w:rFonts w:eastAsia="Calibri"/>
        </w:rPr>
        <w:t xml:space="preserve">, and that its </w:t>
      </w:r>
      <w:bookmarkStart w:id="2419" w:name="_Hlk127463041"/>
      <w:r w:rsidRPr="003B4362">
        <w:rPr>
          <w:rFonts w:eastAsia="Calibri"/>
        </w:rPr>
        <w:t xml:space="preserve">90th percentile lead and copper </w:t>
      </w:r>
      <w:r w:rsidR="00BE7EE4" w:rsidRPr="003B4362">
        <w:rPr>
          <w:rFonts w:eastAsia="Calibri"/>
        </w:rPr>
        <w:t xml:space="preserve">concentrations </w:t>
      </w:r>
      <w:bookmarkStart w:id="2420" w:name="_Hlk115173004"/>
      <w:r w:rsidRPr="003B4362">
        <w:rPr>
          <w:rFonts w:eastAsia="Calibri"/>
        </w:rPr>
        <w:t>comply</w:t>
      </w:r>
      <w:bookmarkEnd w:id="2419"/>
      <w:r w:rsidRPr="003B4362">
        <w:rPr>
          <w:rFonts w:eastAsia="Calibri"/>
        </w:rPr>
        <w:t xml:space="preserve"> with subsection (g)(2)</w:t>
      </w:r>
      <w:bookmarkEnd w:id="2420"/>
      <w:r w:rsidRPr="003B4362">
        <w:rPr>
          <w:rFonts w:eastAsia="Calibri"/>
        </w:rPr>
        <w:t xml:space="preserve">, the waiver remains in effect so long as </w:t>
      </w:r>
      <w:bookmarkStart w:id="2421" w:name="_Hlk115173053"/>
      <w:r w:rsidRPr="003B4362">
        <w:rPr>
          <w:rFonts w:eastAsia="Calibri"/>
        </w:rPr>
        <w:t>the supplier continues</w:t>
      </w:r>
      <w:r w:rsidR="00135BFA" w:rsidRPr="003B4362">
        <w:rPr>
          <w:rFonts w:eastAsia="Calibri"/>
        </w:rPr>
        <w:t xml:space="preserve"> to be</w:t>
      </w:r>
      <w:r w:rsidRPr="003B4362">
        <w:rPr>
          <w:rFonts w:eastAsia="Calibri"/>
        </w:rPr>
        <w:t xml:space="preserve"> eligible for a waiver under subsection (g)(5)</w:t>
      </w:r>
      <w:bookmarkEnd w:id="2421"/>
      <w:r w:rsidRPr="003B4362">
        <w:rPr>
          <w:rFonts w:eastAsia="Calibri"/>
        </w:rPr>
        <w:t>.  T</w:t>
      </w:r>
      <w:bookmarkStart w:id="2422" w:name="_Hlk115173114"/>
      <w:r w:rsidRPr="003B4362">
        <w:rPr>
          <w:rFonts w:eastAsia="Calibri"/>
        </w:rPr>
        <w:t xml:space="preserve">he supplier must complete its first round of tap </w:t>
      </w:r>
      <w:r w:rsidRPr="003B4362">
        <w:rPr>
          <w:rFonts w:eastAsia="Calibri"/>
        </w:rPr>
        <w:lastRenderedPageBreak/>
        <w:t xml:space="preserve">water monitoring under subsection (g)(4) </w:t>
      </w:r>
      <w:bookmarkEnd w:id="2422"/>
      <w:r w:rsidRPr="003B4362">
        <w:rPr>
          <w:rFonts w:eastAsia="Calibri"/>
        </w:rPr>
        <w:t xml:space="preserve">no later than nine years </w:t>
      </w:r>
      <w:bookmarkStart w:id="2423" w:name="_Hlk115173196"/>
      <w:r w:rsidRPr="003B4362">
        <w:rPr>
          <w:rFonts w:eastAsia="Calibri"/>
        </w:rPr>
        <w:t>after the supplier last monitored</w:t>
      </w:r>
      <w:bookmarkEnd w:id="2423"/>
      <w:r w:rsidRPr="003B4362">
        <w:rPr>
          <w:rFonts w:eastAsia="Calibri"/>
        </w:rPr>
        <w:t xml:space="preserve"> for lead and copper at the tap.</w:t>
      </w:r>
    </w:p>
    <w:p w14:paraId="588E34FA" w14:textId="142346E0"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I</w:t>
      </w:r>
      <w:bookmarkStart w:id="2424" w:name="_Hlk115173307"/>
      <w:r w:rsidRPr="003B4362">
        <w:rPr>
          <w:rFonts w:eastAsia="Calibri"/>
        </w:rPr>
        <w:t>f the supplier complies with the materials criteria of subsection (g)(1) but has not complied with the monitoring criteria</w:t>
      </w:r>
      <w:bookmarkEnd w:id="2424"/>
      <w:r w:rsidRPr="003B4362">
        <w:rPr>
          <w:rFonts w:eastAsia="Calibri"/>
        </w:rPr>
        <w:t xml:space="preserve"> of subsection (g)(2), the supplier must conduct a round of monitoring for lead and copper at the tap demonstrating that it complied with subsection (g)(2).  Thereafter, </w:t>
      </w:r>
      <w:bookmarkStart w:id="2425" w:name="_Hlk115173446"/>
      <w:r w:rsidRPr="003B4362">
        <w:rPr>
          <w:rFonts w:eastAsia="Calibri"/>
        </w:rPr>
        <w:t>the waiver remains in effect</w:t>
      </w:r>
      <w:bookmarkEnd w:id="2425"/>
      <w:r w:rsidRPr="003B4362">
        <w:rPr>
          <w:rFonts w:eastAsia="Calibri"/>
        </w:rPr>
        <w:t xml:space="preserve"> as long as </w:t>
      </w:r>
      <w:bookmarkStart w:id="2426" w:name="_Hlk115173510"/>
      <w:r w:rsidRPr="003B4362">
        <w:rPr>
          <w:rFonts w:eastAsia="Calibri"/>
        </w:rPr>
        <w:t>the supplier complies with the continued eligibility criteria in subsection (g)(5)</w:t>
      </w:r>
      <w:bookmarkEnd w:id="2426"/>
      <w:r w:rsidRPr="003B4362">
        <w:rPr>
          <w:rFonts w:eastAsia="Calibri"/>
        </w:rPr>
        <w:t>. T</w:t>
      </w:r>
      <w:bookmarkStart w:id="2427" w:name="_Hlk115173563"/>
      <w:r w:rsidRPr="003B4362">
        <w:rPr>
          <w:rFonts w:eastAsia="Calibri"/>
        </w:rPr>
        <w:t xml:space="preserve">he supplier must complete its first round of tap water monitoring under subsection (g)(4) </w:t>
      </w:r>
      <w:bookmarkEnd w:id="2427"/>
      <w:r w:rsidRPr="003B4362">
        <w:rPr>
          <w:rFonts w:eastAsia="Calibri"/>
        </w:rPr>
        <w:t xml:space="preserve">no later than nine years after </w:t>
      </w:r>
      <w:bookmarkStart w:id="2428" w:name="_Hlk115173650"/>
      <w:r w:rsidRPr="003B4362">
        <w:rPr>
          <w:rFonts w:eastAsia="Calibri"/>
        </w:rPr>
        <w:t xml:space="preserve">the supplier conducts the monitoring </w:t>
      </w:r>
      <w:bookmarkEnd w:id="2428"/>
      <w:r w:rsidRPr="003B4362">
        <w:rPr>
          <w:rFonts w:eastAsia="Calibri"/>
        </w:rPr>
        <w:t>under subsection (g)(2).</w:t>
      </w:r>
    </w:p>
    <w:p w14:paraId="0D69968E" w14:textId="11D48F55" w:rsidR="005F5976" w:rsidRPr="003B4362" w:rsidRDefault="005F5976" w:rsidP="005F5976">
      <w:pPr>
        <w:autoSpaceDE w:val="0"/>
        <w:autoSpaceDN w:val="0"/>
        <w:adjustRightInd w:val="0"/>
        <w:spacing w:before="240" w:after="240"/>
        <w:ind w:left="1440" w:hanging="720"/>
        <w:rPr>
          <w:rFonts w:eastAsia="Calibri"/>
          <w:szCs w:val="24"/>
        </w:rPr>
      </w:pPr>
      <w:r w:rsidRPr="003B4362">
        <w:rPr>
          <w:rFonts w:eastAsia="Calibri"/>
          <w:szCs w:val="24"/>
        </w:rPr>
        <w:t>h)</w:t>
      </w:r>
      <w:r w:rsidRPr="003B4362">
        <w:rPr>
          <w:rFonts w:eastAsia="Calibri"/>
          <w:szCs w:val="24"/>
        </w:rPr>
        <w:tab/>
      </w:r>
      <w:bookmarkStart w:id="2429" w:name="_Hlk123233454"/>
      <w:r w:rsidRPr="003B4362">
        <w:rPr>
          <w:rFonts w:eastAsia="Calibri"/>
          <w:szCs w:val="24"/>
        </w:rPr>
        <w:t>Follow-Up Samples for “Find-and-Fix” Under Section 611.352(j)</w:t>
      </w:r>
      <w:bookmarkEnd w:id="2429"/>
      <w:r w:rsidRPr="003B4362">
        <w:rPr>
          <w:rFonts w:eastAsia="Calibri"/>
          <w:szCs w:val="24"/>
        </w:rPr>
        <w:t xml:space="preserve">.  </w:t>
      </w:r>
      <w:bookmarkStart w:id="2430" w:name="_Hlk123233486"/>
      <w:r w:rsidRPr="003B4362">
        <w:rPr>
          <w:rFonts w:eastAsia="Calibri"/>
          <w:szCs w:val="24"/>
        </w:rPr>
        <w:t>A</w:t>
      </w:r>
      <w:bookmarkStart w:id="2431" w:name="_Hlk123233559"/>
      <w:r w:rsidRPr="003B4362">
        <w:rPr>
          <w:rFonts w:eastAsia="Calibri"/>
          <w:szCs w:val="24"/>
        </w:rPr>
        <w:t xml:space="preserve"> supplier must collect a follow-up sample</w:t>
      </w:r>
      <w:bookmarkEnd w:id="2430"/>
      <w:bookmarkEnd w:id="2431"/>
      <w:r w:rsidRPr="003B4362">
        <w:rPr>
          <w:rFonts w:eastAsia="Calibri"/>
          <w:szCs w:val="24"/>
        </w:rPr>
        <w:t xml:space="preserve"> at any </w:t>
      </w:r>
      <w:bookmarkStart w:id="2432" w:name="_Hlk123233679"/>
      <w:r w:rsidRPr="003B4362">
        <w:rPr>
          <w:rFonts w:eastAsia="Calibri"/>
          <w:szCs w:val="24"/>
        </w:rPr>
        <w:t>site exceeding the lead action level</w:t>
      </w:r>
      <w:bookmarkEnd w:id="2432"/>
      <w:r w:rsidRPr="003B4362">
        <w:rPr>
          <w:rFonts w:eastAsia="Calibri"/>
          <w:szCs w:val="24"/>
        </w:rPr>
        <w:t xml:space="preserve"> </w:t>
      </w:r>
      <w:bookmarkStart w:id="2433" w:name="_Hlk123239058"/>
      <w:r w:rsidRPr="003B4362">
        <w:rPr>
          <w:rFonts w:eastAsia="Calibri"/>
          <w:szCs w:val="24"/>
        </w:rPr>
        <w:t xml:space="preserve">within 30 days </w:t>
      </w:r>
      <w:r w:rsidR="009E5BE2" w:rsidRPr="003B4362">
        <w:rPr>
          <w:rFonts w:eastAsia="Calibri"/>
          <w:szCs w:val="24"/>
        </w:rPr>
        <w:t>after</w:t>
      </w:r>
      <w:r w:rsidRPr="003B4362">
        <w:rPr>
          <w:rFonts w:eastAsia="Calibri"/>
          <w:szCs w:val="24"/>
        </w:rPr>
        <w:t xml:space="preserve"> receiving</w:t>
      </w:r>
      <w:bookmarkEnd w:id="2433"/>
      <w:r w:rsidRPr="003B4362">
        <w:rPr>
          <w:rFonts w:eastAsia="Calibri"/>
          <w:szCs w:val="24"/>
        </w:rPr>
        <w:t xml:space="preserve"> the sample results.  </w:t>
      </w:r>
      <w:r w:rsidR="00751EB5" w:rsidRPr="003B4362">
        <w:rPr>
          <w:rFonts w:eastAsia="Calibri"/>
          <w:szCs w:val="24"/>
        </w:rPr>
        <w:t>F</w:t>
      </w:r>
      <w:bookmarkStart w:id="2434" w:name="_Hlk123240241"/>
      <w:r w:rsidR="00751EB5" w:rsidRPr="003B4362">
        <w:rPr>
          <w:rFonts w:eastAsia="Calibri"/>
          <w:szCs w:val="24"/>
        </w:rPr>
        <w:t>or t</w:t>
      </w:r>
      <w:r w:rsidRPr="003B4362">
        <w:rPr>
          <w:rFonts w:eastAsia="Calibri"/>
          <w:szCs w:val="24"/>
        </w:rPr>
        <w:t>hese follow-up samples</w:t>
      </w:r>
      <w:r w:rsidR="00751EB5" w:rsidRPr="003B4362">
        <w:rPr>
          <w:rFonts w:eastAsia="Calibri"/>
          <w:szCs w:val="24"/>
        </w:rPr>
        <w:t>,</w:t>
      </w:r>
      <w:r w:rsidRPr="003B4362">
        <w:rPr>
          <w:rFonts w:eastAsia="Calibri"/>
          <w:szCs w:val="24"/>
        </w:rPr>
        <w:t xml:space="preserve"> </w:t>
      </w:r>
      <w:r w:rsidR="00751EB5" w:rsidRPr="003B4362">
        <w:rPr>
          <w:rFonts w:eastAsia="Calibri"/>
          <w:szCs w:val="24"/>
        </w:rPr>
        <w:t xml:space="preserve">the supplier </w:t>
      </w:r>
      <w:r w:rsidRPr="003B4362">
        <w:rPr>
          <w:rFonts w:eastAsia="Calibri"/>
          <w:szCs w:val="24"/>
        </w:rPr>
        <w:t>may use</w:t>
      </w:r>
      <w:bookmarkEnd w:id="2434"/>
      <w:r w:rsidRPr="003B4362">
        <w:rPr>
          <w:rFonts w:eastAsia="Calibri"/>
          <w:szCs w:val="24"/>
        </w:rPr>
        <w:t xml:space="preserve"> different sample volumes or different sample collection procedures to assess the source of elevated lead.  </w:t>
      </w:r>
      <w:r w:rsidR="00751EB5" w:rsidRPr="003B4362">
        <w:rPr>
          <w:rFonts w:eastAsia="Calibri"/>
          <w:szCs w:val="24"/>
        </w:rPr>
        <w:t>A</w:t>
      </w:r>
      <w:bookmarkStart w:id="2435" w:name="_Hlk123240700"/>
      <w:r w:rsidR="00751EB5" w:rsidRPr="003B4362">
        <w:rPr>
          <w:rFonts w:eastAsia="Calibri"/>
          <w:szCs w:val="24"/>
        </w:rPr>
        <w:t xml:space="preserve"> supplier</w:t>
      </w:r>
      <w:r w:rsidRPr="003B4362">
        <w:rPr>
          <w:rFonts w:eastAsia="Calibri"/>
          <w:szCs w:val="24"/>
        </w:rPr>
        <w:t xml:space="preserve"> </w:t>
      </w:r>
      <w:r w:rsidR="00751EB5" w:rsidRPr="003B4362">
        <w:rPr>
          <w:rFonts w:eastAsia="Calibri"/>
          <w:szCs w:val="24"/>
        </w:rPr>
        <w:t>must</w:t>
      </w:r>
      <w:r w:rsidRPr="003B4362">
        <w:rPr>
          <w:rFonts w:eastAsia="Calibri"/>
          <w:szCs w:val="24"/>
        </w:rPr>
        <w:t xml:space="preserve"> submit </w:t>
      </w:r>
      <w:r w:rsidR="00751EB5" w:rsidRPr="003B4362">
        <w:rPr>
          <w:rFonts w:eastAsia="Calibri"/>
          <w:szCs w:val="24"/>
        </w:rPr>
        <w:t xml:space="preserve">the results from </w:t>
      </w:r>
      <w:r w:rsidRPr="003B4362">
        <w:rPr>
          <w:rFonts w:eastAsia="Calibri"/>
          <w:szCs w:val="24"/>
        </w:rPr>
        <w:t xml:space="preserve">samples </w:t>
      </w:r>
      <w:r w:rsidR="00751EB5" w:rsidRPr="003B4362">
        <w:rPr>
          <w:rFonts w:eastAsia="Calibri"/>
          <w:szCs w:val="24"/>
        </w:rPr>
        <w:t xml:space="preserve">it </w:t>
      </w:r>
      <w:r w:rsidRPr="003B4362">
        <w:rPr>
          <w:rFonts w:eastAsia="Calibri"/>
          <w:szCs w:val="24"/>
        </w:rPr>
        <w:t>collect</w:t>
      </w:r>
      <w:r w:rsidR="00751EB5" w:rsidRPr="003B4362">
        <w:rPr>
          <w:rFonts w:eastAsia="Calibri"/>
          <w:szCs w:val="24"/>
        </w:rPr>
        <w:t>s</w:t>
      </w:r>
      <w:bookmarkEnd w:id="2435"/>
      <w:r w:rsidRPr="003B4362">
        <w:rPr>
          <w:rFonts w:eastAsia="Calibri"/>
          <w:szCs w:val="24"/>
        </w:rPr>
        <w:t xml:space="preserve"> under this </w:t>
      </w:r>
      <w:r w:rsidR="00751EB5" w:rsidRPr="003B4362">
        <w:rPr>
          <w:rFonts w:eastAsia="Calibri"/>
          <w:szCs w:val="24"/>
        </w:rPr>
        <w:t>S</w:t>
      </w:r>
      <w:r w:rsidRPr="003B4362">
        <w:rPr>
          <w:rFonts w:eastAsia="Calibri"/>
          <w:szCs w:val="24"/>
        </w:rPr>
        <w:t xml:space="preserve">ection to the </w:t>
      </w:r>
      <w:r w:rsidR="00751EB5" w:rsidRPr="003B4362">
        <w:rPr>
          <w:rFonts w:eastAsia="Calibri"/>
          <w:szCs w:val="24"/>
        </w:rPr>
        <w:t>Agency</w:t>
      </w:r>
      <w:r w:rsidRPr="003B4362">
        <w:rPr>
          <w:rFonts w:eastAsia="Calibri"/>
          <w:szCs w:val="24"/>
        </w:rPr>
        <w:t xml:space="preserve"> </w:t>
      </w:r>
      <w:bookmarkStart w:id="2436" w:name="_Hlk123240898"/>
      <w:r w:rsidRPr="003B4362">
        <w:rPr>
          <w:rFonts w:eastAsia="Calibri"/>
          <w:szCs w:val="24"/>
        </w:rPr>
        <w:t xml:space="preserve">but </w:t>
      </w:r>
      <w:r w:rsidR="00751EB5" w:rsidRPr="003B4362">
        <w:rPr>
          <w:rFonts w:eastAsia="Calibri"/>
          <w:szCs w:val="24"/>
        </w:rPr>
        <w:t>must</w:t>
      </w:r>
      <w:r w:rsidRPr="003B4362">
        <w:rPr>
          <w:rFonts w:eastAsia="Calibri"/>
          <w:szCs w:val="24"/>
        </w:rPr>
        <w:t xml:space="preserve"> not include </w:t>
      </w:r>
      <w:r w:rsidR="00751EB5" w:rsidRPr="003B4362">
        <w:rPr>
          <w:rFonts w:eastAsia="Calibri"/>
          <w:szCs w:val="24"/>
        </w:rPr>
        <w:t>those results</w:t>
      </w:r>
      <w:r w:rsidRPr="003B4362">
        <w:rPr>
          <w:rFonts w:eastAsia="Calibri"/>
          <w:szCs w:val="24"/>
        </w:rPr>
        <w:t xml:space="preserve"> in </w:t>
      </w:r>
      <w:r w:rsidR="00751EB5" w:rsidRPr="003B4362">
        <w:rPr>
          <w:rFonts w:eastAsia="Calibri"/>
          <w:szCs w:val="24"/>
        </w:rPr>
        <w:t>calculating its</w:t>
      </w:r>
      <w:r w:rsidRPr="003B4362">
        <w:rPr>
          <w:rFonts w:eastAsia="Calibri"/>
          <w:szCs w:val="24"/>
        </w:rPr>
        <w:t xml:space="preserve"> 90th percentile c</w:t>
      </w:r>
      <w:r w:rsidR="00751EB5" w:rsidRPr="003B4362">
        <w:rPr>
          <w:rFonts w:eastAsia="Calibri"/>
          <w:szCs w:val="24"/>
        </w:rPr>
        <w:t>oncentr</w:t>
      </w:r>
      <w:r w:rsidRPr="003B4362">
        <w:rPr>
          <w:rFonts w:eastAsia="Calibri"/>
          <w:szCs w:val="24"/>
        </w:rPr>
        <w:t>ation</w:t>
      </w:r>
      <w:bookmarkEnd w:id="2436"/>
      <w:r w:rsidRPr="003B4362">
        <w:rPr>
          <w:rFonts w:eastAsia="Calibri"/>
          <w:szCs w:val="24"/>
        </w:rPr>
        <w:t>.</w:t>
      </w:r>
    </w:p>
    <w:p w14:paraId="26C1770A" w14:textId="03E06F22" w:rsidR="005F5976" w:rsidRPr="003B4362" w:rsidRDefault="005F5976" w:rsidP="005F5976">
      <w:pPr>
        <w:autoSpaceDE w:val="0"/>
        <w:autoSpaceDN w:val="0"/>
        <w:adjustRightInd w:val="0"/>
        <w:spacing w:before="240" w:after="240"/>
        <w:ind w:left="1440" w:hanging="720"/>
        <w:rPr>
          <w:rFonts w:eastAsia="Calibri"/>
          <w:szCs w:val="24"/>
        </w:rPr>
      </w:pPr>
      <w:r w:rsidRPr="003B4362">
        <w:rPr>
          <w:rFonts w:eastAsia="Calibri"/>
          <w:szCs w:val="24"/>
        </w:rPr>
        <w:t>i)</w:t>
      </w:r>
      <w:r w:rsidRPr="003B4362">
        <w:rPr>
          <w:rFonts w:eastAsia="Calibri"/>
          <w:szCs w:val="24"/>
        </w:rPr>
        <w:tab/>
      </w:r>
      <w:bookmarkStart w:id="2437" w:name="_Hlk123243693"/>
      <w:r w:rsidRPr="003B4362">
        <w:rPr>
          <w:rFonts w:eastAsia="Calibri"/>
          <w:szCs w:val="24"/>
        </w:rPr>
        <w:t xml:space="preserve">Public </w:t>
      </w:r>
      <w:r w:rsidR="00EB743C" w:rsidRPr="003B4362">
        <w:rPr>
          <w:rFonts w:eastAsia="Calibri"/>
          <w:szCs w:val="24"/>
        </w:rPr>
        <w:t>A</w:t>
      </w:r>
      <w:r w:rsidRPr="003B4362">
        <w:rPr>
          <w:rFonts w:eastAsia="Calibri"/>
          <w:szCs w:val="24"/>
        </w:rPr>
        <w:t xml:space="preserve">vailability of </w:t>
      </w:r>
      <w:r w:rsidR="00EB743C" w:rsidRPr="003B4362">
        <w:rPr>
          <w:rFonts w:eastAsia="Calibri"/>
          <w:szCs w:val="24"/>
        </w:rPr>
        <w:t>T</w:t>
      </w:r>
      <w:r w:rsidRPr="003B4362">
        <w:rPr>
          <w:rFonts w:eastAsia="Calibri"/>
          <w:szCs w:val="24"/>
        </w:rPr>
        <w:t xml:space="preserve">ap </w:t>
      </w:r>
      <w:r w:rsidR="00EB743C" w:rsidRPr="003B4362">
        <w:rPr>
          <w:rFonts w:eastAsia="Calibri"/>
          <w:szCs w:val="24"/>
        </w:rPr>
        <w:t>M</w:t>
      </w:r>
      <w:r w:rsidRPr="003B4362">
        <w:rPr>
          <w:rFonts w:eastAsia="Calibri"/>
          <w:szCs w:val="24"/>
        </w:rPr>
        <w:t xml:space="preserve">onitoring </w:t>
      </w:r>
      <w:r w:rsidR="00EB743C" w:rsidRPr="003B4362">
        <w:rPr>
          <w:rFonts w:eastAsia="Calibri"/>
          <w:szCs w:val="24"/>
        </w:rPr>
        <w:t>R</w:t>
      </w:r>
      <w:r w:rsidRPr="003B4362">
        <w:rPr>
          <w:rFonts w:eastAsia="Calibri"/>
          <w:szCs w:val="24"/>
        </w:rPr>
        <w:t xml:space="preserve">esults </w:t>
      </w:r>
      <w:r w:rsidR="00EB743C" w:rsidRPr="003B4362">
        <w:rPr>
          <w:rFonts w:eastAsia="Calibri"/>
          <w:szCs w:val="24"/>
        </w:rPr>
        <w:t>the Supplier U</w:t>
      </w:r>
      <w:r w:rsidRPr="003B4362">
        <w:rPr>
          <w:rFonts w:eastAsia="Calibri"/>
          <w:szCs w:val="24"/>
        </w:rPr>
        <w:t xml:space="preserve">sed in </w:t>
      </w:r>
      <w:r w:rsidR="00EB743C" w:rsidRPr="003B4362">
        <w:rPr>
          <w:rFonts w:eastAsia="Calibri"/>
          <w:szCs w:val="24"/>
        </w:rPr>
        <w:t>Calculating its</w:t>
      </w:r>
      <w:r w:rsidRPr="003B4362">
        <w:rPr>
          <w:rFonts w:eastAsia="Calibri"/>
          <w:szCs w:val="24"/>
        </w:rPr>
        <w:t xml:space="preserve"> 90th </w:t>
      </w:r>
      <w:r w:rsidR="00EB743C" w:rsidRPr="003B4362">
        <w:rPr>
          <w:rFonts w:eastAsia="Calibri"/>
          <w:szCs w:val="24"/>
        </w:rPr>
        <w:t>P</w:t>
      </w:r>
      <w:r w:rsidRPr="003B4362">
        <w:rPr>
          <w:rFonts w:eastAsia="Calibri"/>
          <w:szCs w:val="24"/>
        </w:rPr>
        <w:t xml:space="preserve">ercentile </w:t>
      </w:r>
      <w:r w:rsidR="00EB743C" w:rsidRPr="003B4362">
        <w:rPr>
          <w:rFonts w:eastAsia="Calibri"/>
          <w:szCs w:val="24"/>
        </w:rPr>
        <w:t>Concentr</w:t>
      </w:r>
      <w:r w:rsidRPr="003B4362">
        <w:rPr>
          <w:rFonts w:eastAsia="Calibri"/>
          <w:szCs w:val="24"/>
        </w:rPr>
        <w:t>ation</w:t>
      </w:r>
      <w:bookmarkEnd w:id="2437"/>
      <w:r w:rsidRPr="003B4362">
        <w:rPr>
          <w:rFonts w:eastAsia="Calibri"/>
          <w:szCs w:val="24"/>
        </w:rPr>
        <w:t xml:space="preserve">.  </w:t>
      </w:r>
      <w:r w:rsidR="00EB743C" w:rsidRPr="003B4362">
        <w:rPr>
          <w:rFonts w:eastAsia="Calibri"/>
          <w:szCs w:val="24"/>
        </w:rPr>
        <w:t>A supplier</w:t>
      </w:r>
      <w:bookmarkStart w:id="2438" w:name="_Hlk123243802"/>
      <w:r w:rsidRPr="003B4362">
        <w:rPr>
          <w:rFonts w:eastAsia="Calibri"/>
          <w:szCs w:val="24"/>
        </w:rPr>
        <w:t xml:space="preserve"> must make </w:t>
      </w:r>
      <w:bookmarkEnd w:id="2438"/>
      <w:r w:rsidRPr="003B4362">
        <w:rPr>
          <w:rFonts w:eastAsia="Calibri"/>
          <w:szCs w:val="24"/>
        </w:rPr>
        <w:t xml:space="preserve">the results of </w:t>
      </w:r>
      <w:r w:rsidR="00CE01D8" w:rsidRPr="003B4362">
        <w:rPr>
          <w:rFonts w:eastAsia="Calibri"/>
          <w:szCs w:val="24"/>
        </w:rPr>
        <w:t xml:space="preserve">its </w:t>
      </w:r>
      <w:r w:rsidRPr="003B4362">
        <w:rPr>
          <w:rFonts w:eastAsia="Calibri"/>
          <w:szCs w:val="24"/>
        </w:rPr>
        <w:t xml:space="preserve">compliance tap water monitoring data, including </w:t>
      </w:r>
      <w:bookmarkStart w:id="2439" w:name="_Hlk123245790"/>
      <w:r w:rsidRPr="003B4362">
        <w:rPr>
          <w:rFonts w:eastAsia="Calibri"/>
          <w:szCs w:val="24"/>
        </w:rPr>
        <w:t xml:space="preserve">data </w:t>
      </w:r>
      <w:r w:rsidR="00B82F5E" w:rsidRPr="003B4362">
        <w:rPr>
          <w:rFonts w:eastAsia="Calibri"/>
          <w:szCs w:val="24"/>
        </w:rPr>
        <w:t xml:space="preserve">the supplier </w:t>
      </w:r>
      <w:r w:rsidRPr="003B4362">
        <w:rPr>
          <w:rFonts w:eastAsia="Calibri"/>
          <w:szCs w:val="24"/>
        </w:rPr>
        <w:t xml:space="preserve">used in </w:t>
      </w:r>
      <w:r w:rsidR="00B82F5E" w:rsidRPr="003B4362">
        <w:rPr>
          <w:rFonts w:eastAsia="Calibri"/>
          <w:szCs w:val="24"/>
        </w:rPr>
        <w:t>calculating its</w:t>
      </w:r>
      <w:r w:rsidRPr="003B4362">
        <w:rPr>
          <w:rFonts w:eastAsia="Calibri"/>
          <w:szCs w:val="24"/>
        </w:rPr>
        <w:t xml:space="preserve"> 90th percentile c</w:t>
      </w:r>
      <w:r w:rsidR="00B82F5E" w:rsidRPr="003B4362">
        <w:rPr>
          <w:rFonts w:eastAsia="Calibri"/>
          <w:szCs w:val="24"/>
        </w:rPr>
        <w:t>oncentr</w:t>
      </w:r>
      <w:r w:rsidRPr="003B4362">
        <w:rPr>
          <w:rFonts w:eastAsia="Calibri"/>
          <w:szCs w:val="24"/>
        </w:rPr>
        <w:t>ation</w:t>
      </w:r>
      <w:bookmarkEnd w:id="2439"/>
      <w:r w:rsidRPr="003B4362">
        <w:rPr>
          <w:rFonts w:eastAsia="Calibri"/>
          <w:szCs w:val="24"/>
        </w:rPr>
        <w:t xml:space="preserve"> under Section </w:t>
      </w:r>
      <w:r w:rsidR="00CE01D8" w:rsidRPr="003B4362">
        <w:rPr>
          <w:rFonts w:eastAsia="Calibri"/>
          <w:szCs w:val="24"/>
        </w:rPr>
        <w:t>61</w:t>
      </w:r>
      <w:r w:rsidRPr="003B4362">
        <w:rPr>
          <w:rFonts w:eastAsia="Calibri"/>
          <w:szCs w:val="24"/>
        </w:rPr>
        <w:t>1.</w:t>
      </w:r>
      <w:r w:rsidR="00CE01D8" w:rsidRPr="003B4362">
        <w:rPr>
          <w:rFonts w:eastAsia="Calibri"/>
          <w:szCs w:val="24"/>
        </w:rPr>
        <w:t>35</w:t>
      </w:r>
      <w:r w:rsidRPr="003B4362">
        <w:rPr>
          <w:rFonts w:eastAsia="Calibri"/>
          <w:szCs w:val="24"/>
        </w:rPr>
        <w:t>0(c)(4),</w:t>
      </w:r>
      <w:r w:rsidR="00CE01D8" w:rsidRPr="003B4362">
        <w:rPr>
          <w:rFonts w:eastAsia="Calibri"/>
          <w:szCs w:val="24"/>
        </w:rPr>
        <w:t xml:space="preserve"> available to the public</w:t>
      </w:r>
      <w:r w:rsidRPr="003B4362">
        <w:rPr>
          <w:rFonts w:eastAsia="Calibri"/>
          <w:szCs w:val="24"/>
        </w:rPr>
        <w:t xml:space="preserve"> within 60 days </w:t>
      </w:r>
      <w:r w:rsidR="00CE01D8" w:rsidRPr="003B4362">
        <w:rPr>
          <w:rFonts w:eastAsia="Calibri"/>
          <w:szCs w:val="24"/>
        </w:rPr>
        <w:t>after</w:t>
      </w:r>
      <w:r w:rsidRPr="003B4362">
        <w:rPr>
          <w:rFonts w:eastAsia="Calibri"/>
          <w:szCs w:val="24"/>
        </w:rPr>
        <w:t xml:space="preserve"> the end of the applicable tap sampling period.  </w:t>
      </w:r>
      <w:bookmarkStart w:id="2440" w:name="_Hlk123245908"/>
      <w:r w:rsidR="00B82F5E" w:rsidRPr="003B4362">
        <w:rPr>
          <w:rFonts w:eastAsia="Calibri"/>
          <w:szCs w:val="24"/>
        </w:rPr>
        <w:t>T</w:t>
      </w:r>
      <w:bookmarkStart w:id="2441" w:name="_Hlk123246137"/>
      <w:r w:rsidRPr="003B4362">
        <w:rPr>
          <w:rFonts w:eastAsia="Calibri"/>
          <w:szCs w:val="24"/>
        </w:rPr>
        <w:t xml:space="preserve">his </w:t>
      </w:r>
      <w:r w:rsidR="00B82F5E" w:rsidRPr="003B4362">
        <w:rPr>
          <w:rFonts w:eastAsia="Calibri"/>
          <w:szCs w:val="24"/>
        </w:rPr>
        <w:t>S</w:t>
      </w:r>
      <w:r w:rsidRPr="003B4362">
        <w:rPr>
          <w:rFonts w:eastAsia="Calibri"/>
          <w:szCs w:val="24"/>
        </w:rPr>
        <w:t xml:space="preserve">ection </w:t>
      </w:r>
      <w:r w:rsidR="00111DFA" w:rsidRPr="003B4362">
        <w:rPr>
          <w:rFonts w:eastAsia="Calibri"/>
          <w:szCs w:val="24"/>
        </w:rPr>
        <w:t xml:space="preserve">does not </w:t>
      </w:r>
      <w:r w:rsidRPr="003B4362">
        <w:rPr>
          <w:rFonts w:eastAsia="Calibri"/>
          <w:szCs w:val="24"/>
        </w:rPr>
        <w:t xml:space="preserve">require </w:t>
      </w:r>
      <w:bookmarkEnd w:id="2440"/>
      <w:r w:rsidR="00111DFA" w:rsidRPr="003B4362">
        <w:rPr>
          <w:rFonts w:eastAsia="Calibri"/>
          <w:szCs w:val="24"/>
        </w:rPr>
        <w:t>a supplier</w:t>
      </w:r>
      <w:bookmarkEnd w:id="2441"/>
      <w:r w:rsidRPr="003B4362">
        <w:rPr>
          <w:rFonts w:eastAsia="Calibri"/>
          <w:szCs w:val="24"/>
        </w:rPr>
        <w:t xml:space="preserve"> to make publicly available the addresses of the sites </w:t>
      </w:r>
      <w:bookmarkStart w:id="2442" w:name="_Hlk123246175"/>
      <w:r w:rsidRPr="003B4362">
        <w:rPr>
          <w:rFonts w:eastAsia="Calibri"/>
          <w:szCs w:val="24"/>
        </w:rPr>
        <w:t xml:space="preserve">where the </w:t>
      </w:r>
      <w:r w:rsidR="00111DFA" w:rsidRPr="003B4362">
        <w:rPr>
          <w:rFonts w:eastAsia="Calibri"/>
          <w:szCs w:val="24"/>
        </w:rPr>
        <w:t xml:space="preserve">supplier collected </w:t>
      </w:r>
      <w:r w:rsidRPr="003B4362">
        <w:rPr>
          <w:rFonts w:eastAsia="Calibri"/>
          <w:szCs w:val="24"/>
        </w:rPr>
        <w:t>tap samples</w:t>
      </w:r>
      <w:bookmarkEnd w:id="2442"/>
      <w:r w:rsidRPr="003B4362">
        <w:rPr>
          <w:rFonts w:eastAsia="Calibri"/>
          <w:szCs w:val="24"/>
        </w:rPr>
        <w:t xml:space="preserve">.  </w:t>
      </w:r>
      <w:bookmarkStart w:id="2443" w:name="_Hlk123246347"/>
      <w:r w:rsidR="00111DFA" w:rsidRPr="003B4362">
        <w:rPr>
          <w:rFonts w:eastAsia="Calibri"/>
          <w:szCs w:val="24"/>
        </w:rPr>
        <w:t>A</w:t>
      </w:r>
      <w:bookmarkStart w:id="2444" w:name="_Hlk123247095"/>
      <w:r w:rsidR="00111DFA" w:rsidRPr="003B4362">
        <w:rPr>
          <w:rFonts w:eastAsia="Calibri"/>
          <w:szCs w:val="24"/>
        </w:rPr>
        <w:t xml:space="preserve"> large</w:t>
      </w:r>
      <w:r w:rsidR="00E4063A" w:rsidRPr="003B4362">
        <w:rPr>
          <w:rFonts w:eastAsia="Calibri"/>
          <w:szCs w:val="24"/>
        </w:rPr>
        <w:t xml:space="preserve"> supplier</w:t>
      </w:r>
      <w:r w:rsidRPr="003B4362">
        <w:rPr>
          <w:rFonts w:eastAsia="Calibri"/>
          <w:szCs w:val="24"/>
        </w:rPr>
        <w:t xml:space="preserve"> </w:t>
      </w:r>
      <w:r w:rsidR="00E4063A" w:rsidRPr="003B4362">
        <w:rPr>
          <w:rFonts w:eastAsia="Calibri"/>
          <w:szCs w:val="24"/>
        </w:rPr>
        <w:t>must</w:t>
      </w:r>
      <w:r w:rsidRPr="003B4362">
        <w:rPr>
          <w:rFonts w:eastAsia="Calibri"/>
          <w:szCs w:val="24"/>
        </w:rPr>
        <w:t xml:space="preserve"> make available</w:t>
      </w:r>
      <w:bookmarkEnd w:id="2443"/>
      <w:bookmarkEnd w:id="2444"/>
      <w:r w:rsidRPr="003B4362">
        <w:rPr>
          <w:rFonts w:eastAsia="Calibri"/>
          <w:szCs w:val="24"/>
        </w:rPr>
        <w:t xml:space="preserve"> the monitoring results in a digital format.  </w:t>
      </w:r>
      <w:bookmarkStart w:id="2445" w:name="_Hlk123247191"/>
      <w:r w:rsidR="00E4063A" w:rsidRPr="003B4362">
        <w:rPr>
          <w:rFonts w:eastAsia="Calibri"/>
          <w:szCs w:val="24"/>
        </w:rPr>
        <w:t>A</w:t>
      </w:r>
      <w:bookmarkStart w:id="2446" w:name="_Hlk123247403"/>
      <w:r w:rsidR="00E4063A" w:rsidRPr="003B4362">
        <w:rPr>
          <w:rFonts w:eastAsia="Calibri"/>
          <w:szCs w:val="24"/>
        </w:rPr>
        <w:t xml:space="preserve"> s</w:t>
      </w:r>
      <w:r w:rsidRPr="003B4362">
        <w:rPr>
          <w:rFonts w:eastAsia="Calibri"/>
          <w:szCs w:val="24"/>
        </w:rPr>
        <w:t xml:space="preserve">mall </w:t>
      </w:r>
      <w:r w:rsidR="00676753" w:rsidRPr="003B4362">
        <w:rPr>
          <w:rFonts w:eastAsia="Calibri"/>
          <w:szCs w:val="24"/>
        </w:rPr>
        <w:t>or</w:t>
      </w:r>
      <w:r w:rsidRPr="003B4362">
        <w:rPr>
          <w:rFonts w:eastAsia="Calibri"/>
          <w:szCs w:val="24"/>
        </w:rPr>
        <w:t xml:space="preserve"> m</w:t>
      </w:r>
      <w:r w:rsidR="00C30408" w:rsidRPr="003B4362">
        <w:rPr>
          <w:rFonts w:eastAsia="Calibri"/>
          <w:szCs w:val="24"/>
        </w:rPr>
        <w:t>id</w:t>
      </w:r>
      <w:r w:rsidRPr="003B4362">
        <w:rPr>
          <w:rFonts w:eastAsia="Calibri"/>
          <w:szCs w:val="24"/>
        </w:rPr>
        <w:t>-size</w:t>
      </w:r>
      <w:r w:rsidR="00676753" w:rsidRPr="003B4362">
        <w:rPr>
          <w:rFonts w:eastAsia="Calibri"/>
          <w:szCs w:val="24"/>
        </w:rPr>
        <w:t>d</w:t>
      </w:r>
      <w:r w:rsidRPr="003B4362">
        <w:rPr>
          <w:rFonts w:eastAsia="Calibri"/>
          <w:szCs w:val="24"/>
        </w:rPr>
        <w:t xml:space="preserve"> </w:t>
      </w:r>
      <w:r w:rsidR="00676753" w:rsidRPr="003B4362">
        <w:rPr>
          <w:rFonts w:eastAsia="Calibri"/>
          <w:szCs w:val="24"/>
        </w:rPr>
        <w:t>supplier</w:t>
      </w:r>
      <w:r w:rsidRPr="003B4362">
        <w:rPr>
          <w:rFonts w:eastAsia="Calibri"/>
          <w:szCs w:val="24"/>
        </w:rPr>
        <w:t xml:space="preserve"> </w:t>
      </w:r>
      <w:r w:rsidR="00676753" w:rsidRPr="003B4362">
        <w:rPr>
          <w:rFonts w:eastAsia="Calibri"/>
          <w:szCs w:val="24"/>
        </w:rPr>
        <w:t>must</w:t>
      </w:r>
      <w:r w:rsidRPr="003B4362">
        <w:rPr>
          <w:rFonts w:eastAsia="Calibri"/>
          <w:szCs w:val="24"/>
        </w:rPr>
        <w:t xml:space="preserve"> make available</w:t>
      </w:r>
      <w:bookmarkEnd w:id="2445"/>
      <w:bookmarkEnd w:id="2446"/>
      <w:r w:rsidRPr="003B4362">
        <w:rPr>
          <w:rFonts w:eastAsia="Calibri"/>
          <w:szCs w:val="24"/>
        </w:rPr>
        <w:t xml:space="preserve"> the monitoring results in either a written or digital format.  </w:t>
      </w:r>
      <w:bookmarkStart w:id="2447" w:name="_Hlk123247510"/>
      <w:r w:rsidR="00676753" w:rsidRPr="003B4362">
        <w:rPr>
          <w:rFonts w:eastAsia="Calibri"/>
          <w:szCs w:val="24"/>
        </w:rPr>
        <w:t>A</w:t>
      </w:r>
      <w:bookmarkStart w:id="2448" w:name="_Hlk123247567"/>
      <w:r w:rsidR="00676753" w:rsidRPr="003B4362">
        <w:rPr>
          <w:rFonts w:eastAsia="Calibri"/>
          <w:szCs w:val="24"/>
        </w:rPr>
        <w:t xml:space="preserve"> supplier</w:t>
      </w:r>
      <w:r w:rsidRPr="003B4362">
        <w:rPr>
          <w:rFonts w:eastAsia="Calibri"/>
          <w:szCs w:val="24"/>
        </w:rPr>
        <w:t xml:space="preserve"> </w:t>
      </w:r>
      <w:r w:rsidR="00676753" w:rsidRPr="003B4362">
        <w:rPr>
          <w:rFonts w:eastAsia="Calibri"/>
          <w:szCs w:val="24"/>
        </w:rPr>
        <w:t>must</w:t>
      </w:r>
      <w:r w:rsidRPr="003B4362">
        <w:rPr>
          <w:rFonts w:eastAsia="Calibri"/>
          <w:szCs w:val="24"/>
        </w:rPr>
        <w:t xml:space="preserve"> retain</w:t>
      </w:r>
      <w:bookmarkEnd w:id="2447"/>
      <w:bookmarkEnd w:id="2448"/>
      <w:r w:rsidRPr="003B4362">
        <w:rPr>
          <w:rFonts w:eastAsia="Calibri"/>
          <w:szCs w:val="24"/>
        </w:rPr>
        <w:t xml:space="preserve"> tap sampling monitoring data</w:t>
      </w:r>
      <w:bookmarkStart w:id="2449" w:name="_Hlk123247640"/>
      <w:r w:rsidR="00676753" w:rsidRPr="003B4362">
        <w:rPr>
          <w:rFonts w:eastAsia="Calibri"/>
          <w:szCs w:val="24"/>
        </w:rPr>
        <w:t xml:space="preserve"> </w:t>
      </w:r>
      <w:bookmarkStart w:id="2450" w:name="_Hlk123247734"/>
      <w:r w:rsidR="00E9663B" w:rsidRPr="003B4362">
        <w:rPr>
          <w:rFonts w:eastAsia="Calibri"/>
          <w:szCs w:val="24"/>
        </w:rPr>
        <w:t xml:space="preserve">per the recordkeeping requirements </w:t>
      </w:r>
      <w:r w:rsidRPr="003B4362">
        <w:rPr>
          <w:rFonts w:eastAsia="Calibri"/>
          <w:szCs w:val="24"/>
        </w:rPr>
        <w:t xml:space="preserve">under Section </w:t>
      </w:r>
      <w:r w:rsidR="00676753" w:rsidRPr="003B4362">
        <w:rPr>
          <w:rFonts w:eastAsia="Calibri"/>
          <w:szCs w:val="24"/>
        </w:rPr>
        <w:t>61</w:t>
      </w:r>
      <w:r w:rsidRPr="003B4362">
        <w:rPr>
          <w:rFonts w:eastAsia="Calibri"/>
          <w:szCs w:val="24"/>
        </w:rPr>
        <w:t>1.</w:t>
      </w:r>
      <w:r w:rsidR="00676753" w:rsidRPr="003B4362">
        <w:rPr>
          <w:rFonts w:eastAsia="Calibri"/>
          <w:szCs w:val="24"/>
        </w:rPr>
        <w:t>36</w:t>
      </w:r>
      <w:r w:rsidRPr="003B4362">
        <w:rPr>
          <w:rFonts w:eastAsia="Calibri"/>
          <w:szCs w:val="24"/>
        </w:rPr>
        <w:t>1</w:t>
      </w:r>
      <w:bookmarkEnd w:id="2449"/>
      <w:bookmarkEnd w:id="2450"/>
      <w:r w:rsidRPr="003B4362">
        <w:rPr>
          <w:rFonts w:eastAsia="Calibri"/>
          <w:szCs w:val="24"/>
        </w:rPr>
        <w:t>.</w:t>
      </w:r>
    </w:p>
    <w:p w14:paraId="629334BC" w14:textId="2862CDFA" w:rsidR="005451CE" w:rsidRPr="003B4362" w:rsidRDefault="005451CE" w:rsidP="005451CE">
      <w:pPr>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141.86.</w:t>
      </w:r>
    </w:p>
    <w:p w14:paraId="445AE8F0" w14:textId="270BF901"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bookmarkEnd w:id="1977"/>
    <w:p w14:paraId="6EA71474" w14:textId="317E0BFE" w:rsidR="005451CE" w:rsidRPr="003B4362" w:rsidRDefault="005451CE" w:rsidP="005A7813">
      <w:pPr>
        <w:rPr>
          <w:rFonts w:eastAsia="Calibri"/>
          <w:b/>
          <w:bCs/>
        </w:rPr>
      </w:pPr>
      <w:r w:rsidRPr="003B4362">
        <w:rPr>
          <w:rFonts w:eastAsia="Calibri"/>
          <w:b/>
          <w:bCs/>
        </w:rPr>
        <w:t>Section 611.357  Monitoring for Water Quality Parameters</w:t>
      </w:r>
    </w:p>
    <w:p w14:paraId="1AC89B1B" w14:textId="5967A6C3" w:rsidR="005451CE" w:rsidRPr="003B4362" w:rsidRDefault="005451CE" w:rsidP="005451CE">
      <w:pPr>
        <w:suppressAutoHyphens/>
        <w:spacing w:before="240" w:after="240"/>
        <w:rPr>
          <w:rFonts w:eastAsia="Calibri"/>
        </w:rPr>
      </w:pPr>
      <w:r w:rsidRPr="003B4362">
        <w:rPr>
          <w:rFonts w:eastAsia="Calibri"/>
        </w:rPr>
        <w:t>A large</w:t>
      </w:r>
      <w:r w:rsidR="00BD0747" w:rsidRPr="003B4362">
        <w:rPr>
          <w:rFonts w:eastAsia="Calibri"/>
        </w:rPr>
        <w:t xml:space="preserve"> </w:t>
      </w:r>
      <w:r w:rsidRPr="003B4362">
        <w:rPr>
          <w:rFonts w:eastAsia="Calibri"/>
        </w:rPr>
        <w:t>supplier</w:t>
      </w:r>
      <w:r w:rsidR="00BD0747" w:rsidRPr="003B4362">
        <w:rPr>
          <w:rFonts w:eastAsia="Calibri"/>
        </w:rPr>
        <w:t xml:space="preserve"> or any</w:t>
      </w:r>
      <w:r w:rsidRPr="003B4362">
        <w:rPr>
          <w:rFonts w:eastAsia="Calibri"/>
        </w:rPr>
        <w:t xml:space="preserve"> </w:t>
      </w:r>
      <w:r w:rsidR="00BD0747" w:rsidRPr="003B4362">
        <w:rPr>
          <w:rFonts w:eastAsia="Calibri"/>
        </w:rPr>
        <w:t xml:space="preserve">small or mid-sized supplier exceeding </w:t>
      </w:r>
      <w:r w:rsidRPr="003B4362">
        <w:rPr>
          <w:rFonts w:eastAsia="Calibri"/>
        </w:rPr>
        <w:t xml:space="preserve">the lead or copper action level </w:t>
      </w:r>
      <w:r w:rsidR="00BD0747" w:rsidRPr="003B4362">
        <w:rPr>
          <w:szCs w:val="24"/>
        </w:rPr>
        <w:t>or</w:t>
      </w:r>
      <w:r w:rsidR="00AE44CE" w:rsidRPr="003B4362">
        <w:rPr>
          <w:szCs w:val="24"/>
        </w:rPr>
        <w:t xml:space="preserve"> </w:t>
      </w:r>
      <w:bookmarkStart w:id="2451" w:name="_Hlk123640690"/>
      <w:r w:rsidR="00AE44CE" w:rsidRPr="003B4362">
        <w:rPr>
          <w:szCs w:val="24"/>
        </w:rPr>
        <w:t xml:space="preserve">a small </w:t>
      </w:r>
      <w:r w:rsidR="00BD0747" w:rsidRPr="003B4362">
        <w:rPr>
          <w:szCs w:val="24"/>
        </w:rPr>
        <w:t>or</w:t>
      </w:r>
      <w:r w:rsidR="00AE44CE" w:rsidRPr="003B4362">
        <w:rPr>
          <w:szCs w:val="24"/>
        </w:rPr>
        <w:t xml:space="preserve"> m</w:t>
      </w:r>
      <w:r w:rsidR="00BD0747" w:rsidRPr="003B4362">
        <w:rPr>
          <w:szCs w:val="24"/>
        </w:rPr>
        <w:t>id</w:t>
      </w:r>
      <w:r w:rsidR="00AE44CE" w:rsidRPr="003B4362">
        <w:rPr>
          <w:szCs w:val="24"/>
        </w:rPr>
        <w:t>-sized supplier applying corrosion control treatment and exceeding the lead trigger level</w:t>
      </w:r>
      <w:bookmarkEnd w:id="2451"/>
      <w:r w:rsidR="000217F5" w:rsidRPr="003B4362">
        <w:rPr>
          <w:szCs w:val="24"/>
        </w:rPr>
        <w:t xml:space="preserve"> </w:t>
      </w:r>
      <w:r w:rsidRPr="003B4362">
        <w:rPr>
          <w:rFonts w:eastAsia="Calibri"/>
        </w:rPr>
        <w:t>must monitor water quality parameters in addition to lead and copper under this Section.</w:t>
      </w:r>
    </w:p>
    <w:p w14:paraId="1CF3231E" w14:textId="77777777" w:rsidR="005451CE" w:rsidRPr="003B4362" w:rsidRDefault="005451CE" w:rsidP="005451CE">
      <w:pPr>
        <w:suppressAutoHyphens/>
        <w:spacing w:before="240" w:after="240"/>
        <w:ind w:left="1440" w:hanging="720"/>
        <w:rPr>
          <w:rFonts w:eastAsia="Calibri"/>
        </w:rPr>
      </w:pPr>
      <w:r w:rsidRPr="003B4362">
        <w:rPr>
          <w:rFonts w:eastAsia="Calibri"/>
        </w:rPr>
        <w:t>a)</w:t>
      </w:r>
      <w:r w:rsidRPr="003B4362">
        <w:rPr>
          <w:rFonts w:eastAsia="Calibri"/>
        </w:rPr>
        <w:tab/>
        <w:t>General Requirements</w:t>
      </w:r>
    </w:p>
    <w:p w14:paraId="3696F43D" w14:textId="77777777" w:rsidR="005451CE" w:rsidRPr="003B4362" w:rsidRDefault="005451CE" w:rsidP="005451CE">
      <w:pPr>
        <w:suppressAutoHyphens/>
        <w:spacing w:before="240" w:after="240"/>
        <w:ind w:left="2160" w:hanging="720"/>
        <w:rPr>
          <w:rFonts w:eastAsia="Calibri"/>
        </w:rPr>
      </w:pPr>
      <w:r w:rsidRPr="003B4362">
        <w:rPr>
          <w:rFonts w:eastAsia="Calibri"/>
        </w:rPr>
        <w:t>1)</w:t>
      </w:r>
      <w:r w:rsidRPr="003B4362">
        <w:rPr>
          <w:rFonts w:eastAsia="Calibri"/>
        </w:rPr>
        <w:tab/>
        <w:t>Sample Collection Methods</w:t>
      </w:r>
    </w:p>
    <w:p w14:paraId="5824A6CB" w14:textId="079D3A50" w:rsidR="005451CE" w:rsidRPr="003B4362" w:rsidRDefault="005451CE" w:rsidP="005451CE">
      <w:pPr>
        <w:suppressAutoHyphens/>
        <w:spacing w:before="240" w:after="240"/>
        <w:ind w:left="2880" w:hanging="720"/>
        <w:rPr>
          <w:rFonts w:eastAsia="Calibri"/>
        </w:rPr>
      </w:pPr>
      <w:r w:rsidRPr="003B4362">
        <w:rPr>
          <w:rFonts w:eastAsia="Calibri"/>
        </w:rPr>
        <w:lastRenderedPageBreak/>
        <w:t>A)</w:t>
      </w:r>
      <w:r w:rsidRPr="003B4362">
        <w:rPr>
          <w:rFonts w:eastAsia="Calibri"/>
        </w:rPr>
        <w:tab/>
        <w:t xml:space="preserve">Using Tap Samples.  In totality, all tap samples a supplier collects must represent water quality </w:t>
      </w:r>
      <w:bookmarkStart w:id="2452" w:name="_Hlk115174933"/>
      <w:r w:rsidRPr="003B4362">
        <w:rPr>
          <w:rFonts w:eastAsia="Calibri"/>
        </w:rPr>
        <w:t>throughout the supplier’s distribution system</w:t>
      </w:r>
      <w:bookmarkEnd w:id="2452"/>
      <w:r w:rsidRPr="003B4362">
        <w:rPr>
          <w:rFonts w:eastAsia="Calibri"/>
        </w:rPr>
        <w:t xml:space="preserve">, </w:t>
      </w:r>
      <w:bookmarkStart w:id="2453" w:name="_Hlk115174955"/>
      <w:r w:rsidRPr="003B4362">
        <w:rPr>
          <w:rFonts w:eastAsia="Calibri"/>
        </w:rPr>
        <w:t>considering the number</w:t>
      </w:r>
      <w:bookmarkEnd w:id="2453"/>
      <w:r w:rsidRPr="003B4362">
        <w:rPr>
          <w:rFonts w:eastAsia="Calibri"/>
        </w:rPr>
        <w:t xml:space="preserve"> of persons served, the different sources of water, the different treatment </w:t>
      </w:r>
      <w:bookmarkStart w:id="2454" w:name="_Hlk115175047"/>
      <w:r w:rsidRPr="003B4362">
        <w:rPr>
          <w:rFonts w:eastAsia="Calibri"/>
        </w:rPr>
        <w:t>methods the supplier employs</w:t>
      </w:r>
      <w:bookmarkEnd w:id="2454"/>
      <w:r w:rsidRPr="003B4362">
        <w:rPr>
          <w:rFonts w:eastAsia="Calibri"/>
        </w:rPr>
        <w:t xml:space="preserve">, and seasonal variability.  Although a supplier may conveniently conduct tap sampling for water quality parameters at </w:t>
      </w:r>
      <w:bookmarkStart w:id="2455" w:name="_Hlk115175167"/>
      <w:r w:rsidRPr="003B4362">
        <w:rPr>
          <w:rFonts w:eastAsia="Calibri"/>
        </w:rPr>
        <w:t>sites it uses for coliform sampling under Subpart L</w:t>
      </w:r>
      <w:bookmarkEnd w:id="2455"/>
      <w:r w:rsidRPr="003B4362">
        <w:rPr>
          <w:rFonts w:eastAsia="Calibri"/>
        </w:rPr>
        <w:t xml:space="preserve">, </w:t>
      </w:r>
      <w:bookmarkStart w:id="2456" w:name="_Hlk115175262"/>
      <w:r w:rsidR="00BF62D0" w:rsidRPr="003B4362">
        <w:rPr>
          <w:rFonts w:eastAsia="Calibri"/>
        </w:rPr>
        <w:t xml:space="preserve">if they meet the requirements of this section, </w:t>
      </w:r>
      <w:r w:rsidRPr="003B4362">
        <w:rPr>
          <w:rFonts w:eastAsia="Calibri"/>
        </w:rPr>
        <w:t xml:space="preserve">the </w:t>
      </w:r>
      <w:r w:rsidR="00BF62D0" w:rsidRPr="003B4362">
        <w:rPr>
          <w:rFonts w:eastAsia="Calibri"/>
        </w:rPr>
        <w:t xml:space="preserve">supplier need </w:t>
      </w:r>
      <w:r w:rsidRPr="003B4362">
        <w:rPr>
          <w:rFonts w:eastAsia="Calibri"/>
        </w:rPr>
        <w:t xml:space="preserve">not do so, and the supplier </w:t>
      </w:r>
      <w:r w:rsidR="00BF62D0" w:rsidRPr="003B4362">
        <w:rPr>
          <w:rFonts w:eastAsia="Calibri"/>
        </w:rPr>
        <w:t>need</w:t>
      </w:r>
      <w:r w:rsidR="00525E14" w:rsidRPr="003B4362">
        <w:rPr>
          <w:rFonts w:eastAsia="Calibri"/>
        </w:rPr>
        <w:t xml:space="preserve"> </w:t>
      </w:r>
      <w:r w:rsidRPr="003B4362">
        <w:rPr>
          <w:rFonts w:eastAsia="Calibri"/>
        </w:rPr>
        <w:t>not perform tap sampling under this Section at taps it targeted for lead and copper sampling</w:t>
      </w:r>
      <w:bookmarkEnd w:id="2456"/>
      <w:r w:rsidRPr="003B4362">
        <w:rPr>
          <w:rFonts w:eastAsia="Calibri"/>
        </w:rPr>
        <w:t xml:space="preserve"> under Section 611.356(a).</w:t>
      </w:r>
      <w:r w:rsidR="00736CDE" w:rsidRPr="003B4362">
        <w:rPr>
          <w:szCs w:val="24"/>
        </w:rPr>
        <w:t xml:space="preserve">  </w:t>
      </w:r>
      <w:bookmarkStart w:id="2457" w:name="_Hlk123646910"/>
      <w:r w:rsidR="00736CDE" w:rsidRPr="003B4362">
        <w:rPr>
          <w:szCs w:val="24"/>
        </w:rPr>
        <w:t>T</w:t>
      </w:r>
      <w:bookmarkStart w:id="2458" w:name="_Hlk123647127"/>
      <w:r w:rsidR="00736CDE" w:rsidRPr="003B4362">
        <w:rPr>
          <w:szCs w:val="24"/>
        </w:rPr>
        <w:t>he supplier must include sites it selects for tap samples under this Section in the site sample plan</w:t>
      </w:r>
      <w:bookmarkStart w:id="2459" w:name="_Hlk123647913"/>
      <w:bookmarkEnd w:id="2457"/>
      <w:bookmarkEnd w:id="2458"/>
      <w:r w:rsidR="006A558F" w:rsidRPr="003B4362">
        <w:rPr>
          <w:szCs w:val="24"/>
        </w:rPr>
        <w:t xml:space="preserve"> </w:t>
      </w:r>
      <w:r w:rsidR="00736CDE" w:rsidRPr="003B4362">
        <w:rPr>
          <w:szCs w:val="24"/>
        </w:rPr>
        <w:t xml:space="preserve">under Section </w:t>
      </w:r>
      <w:r w:rsidR="006A558F" w:rsidRPr="003B4362">
        <w:rPr>
          <w:szCs w:val="24"/>
        </w:rPr>
        <w:t>61</w:t>
      </w:r>
      <w:r w:rsidR="00736CDE" w:rsidRPr="003B4362">
        <w:rPr>
          <w:szCs w:val="24"/>
        </w:rPr>
        <w:t>1.</w:t>
      </w:r>
      <w:r w:rsidR="006A558F" w:rsidRPr="003B4362">
        <w:rPr>
          <w:szCs w:val="24"/>
        </w:rPr>
        <w:t>35</w:t>
      </w:r>
      <w:r w:rsidR="00736CDE" w:rsidRPr="003B4362">
        <w:rPr>
          <w:szCs w:val="24"/>
        </w:rPr>
        <w:t>6(a)(1)</w:t>
      </w:r>
      <w:bookmarkEnd w:id="2459"/>
      <w:r w:rsidR="00736CDE" w:rsidRPr="003B4362">
        <w:rPr>
          <w:szCs w:val="24"/>
        </w:rPr>
        <w:t>.  T</w:t>
      </w:r>
      <w:bookmarkStart w:id="2460" w:name="_Hlk123648049"/>
      <w:r w:rsidR="00736CDE" w:rsidRPr="003B4362">
        <w:rPr>
          <w:szCs w:val="24"/>
        </w:rPr>
        <w:t xml:space="preserve">he </w:t>
      </w:r>
      <w:r w:rsidR="006A558F" w:rsidRPr="003B4362">
        <w:rPr>
          <w:szCs w:val="24"/>
        </w:rPr>
        <w:t xml:space="preserve">supplier must update </w:t>
      </w:r>
      <w:r w:rsidR="00736CDE" w:rsidRPr="003B4362">
        <w:rPr>
          <w:szCs w:val="24"/>
        </w:rPr>
        <w:t>site sample plan</w:t>
      </w:r>
      <w:bookmarkEnd w:id="2460"/>
      <w:r w:rsidR="006A558F" w:rsidRPr="003B4362">
        <w:rPr>
          <w:szCs w:val="24"/>
        </w:rPr>
        <w:t xml:space="preserve"> </w:t>
      </w:r>
      <w:bookmarkStart w:id="2461" w:name="_Hlk123648299"/>
      <w:r w:rsidR="006A558F" w:rsidRPr="003B4362">
        <w:rPr>
          <w:szCs w:val="24"/>
        </w:rPr>
        <w:t>before</w:t>
      </w:r>
      <w:r w:rsidR="00736CDE" w:rsidRPr="003B4362">
        <w:rPr>
          <w:szCs w:val="24"/>
        </w:rPr>
        <w:t xml:space="preserve"> chang</w:t>
      </w:r>
      <w:r w:rsidR="006A558F" w:rsidRPr="003B4362">
        <w:rPr>
          <w:szCs w:val="24"/>
        </w:rPr>
        <w:t xml:space="preserve">ing </w:t>
      </w:r>
      <w:r w:rsidR="00736CDE" w:rsidRPr="003B4362">
        <w:rPr>
          <w:szCs w:val="24"/>
        </w:rPr>
        <w:t>sampling locations</w:t>
      </w:r>
      <w:bookmarkEnd w:id="2461"/>
      <w:r w:rsidR="00736CDE" w:rsidRPr="003B4362">
        <w:rPr>
          <w:szCs w:val="24"/>
        </w:rPr>
        <w:t>.</w:t>
      </w:r>
    </w:p>
    <w:p w14:paraId="111FA366" w14:textId="47B2850A" w:rsidR="005451CE" w:rsidRPr="003B4362" w:rsidRDefault="005451CE" w:rsidP="005451CE">
      <w:pPr>
        <w:suppressAutoHyphens/>
        <w:spacing w:before="240" w:after="240"/>
        <w:ind w:left="2880" w:hanging="720"/>
        <w:rPr>
          <w:rFonts w:eastAsia="Calibri"/>
        </w:rPr>
      </w:pPr>
      <w:r w:rsidRPr="003B4362">
        <w:rPr>
          <w:rFonts w:eastAsia="Calibri"/>
        </w:rPr>
        <w:t>B)</w:t>
      </w:r>
      <w:r w:rsidRPr="003B4362">
        <w:rPr>
          <w:rFonts w:eastAsia="Calibri"/>
        </w:rPr>
        <w:tab/>
        <w:t xml:space="preserve">Using </w:t>
      </w:r>
      <w:bookmarkStart w:id="2462" w:name="_Hlk115175401"/>
      <w:r w:rsidRPr="003B4362">
        <w:rPr>
          <w:rFonts w:eastAsia="Calibri"/>
        </w:rPr>
        <w:t>Entry Point</w:t>
      </w:r>
      <w:bookmarkEnd w:id="2462"/>
      <w:r w:rsidRPr="003B4362">
        <w:rPr>
          <w:rFonts w:eastAsia="Calibri"/>
        </w:rPr>
        <w:t xml:space="preserve"> Samples.  A</w:t>
      </w:r>
      <w:bookmarkStart w:id="2463" w:name="_Hlk115175428"/>
      <w:r w:rsidRPr="003B4362">
        <w:rPr>
          <w:rFonts w:eastAsia="Calibri"/>
        </w:rPr>
        <w:t xml:space="preserve"> supplier</w:t>
      </w:r>
      <w:bookmarkEnd w:id="2463"/>
      <w:r w:rsidRPr="003B4362">
        <w:rPr>
          <w:rFonts w:eastAsia="Calibri"/>
        </w:rPr>
        <w:t xml:space="preserve"> must collect samples at entry points to the distribution system from </w:t>
      </w:r>
      <w:bookmarkStart w:id="2464" w:name="_Hlk115175483"/>
      <w:r w:rsidRPr="003B4362">
        <w:rPr>
          <w:rFonts w:eastAsia="Calibri"/>
        </w:rPr>
        <w:t>locations representing each source</w:t>
      </w:r>
      <w:bookmarkEnd w:id="2464"/>
      <w:r w:rsidRPr="003B4362">
        <w:rPr>
          <w:rFonts w:eastAsia="Calibri"/>
        </w:rPr>
        <w:t xml:space="preserve"> after treatment.  If a supplier draws water from more than one source and </w:t>
      </w:r>
      <w:bookmarkStart w:id="2465" w:name="_Hlk115175533"/>
      <w:r w:rsidRPr="003B4362">
        <w:rPr>
          <w:rFonts w:eastAsia="Calibri"/>
        </w:rPr>
        <w:t xml:space="preserve">combines the sources </w:t>
      </w:r>
      <w:bookmarkEnd w:id="2465"/>
      <w:r w:rsidRPr="003B4362">
        <w:rPr>
          <w:rFonts w:eastAsia="Calibri"/>
        </w:rPr>
        <w:t xml:space="preserve">before distribution, the supplier must sample at an entry point to the distribution system </w:t>
      </w:r>
      <w:bookmarkStart w:id="2466" w:name="_Hlk115175619"/>
      <w:r w:rsidRPr="003B4362">
        <w:rPr>
          <w:rFonts w:eastAsia="Calibri"/>
        </w:rPr>
        <w:t>during normal operating conditions</w:t>
      </w:r>
      <w:bookmarkEnd w:id="2466"/>
      <w:r w:rsidRPr="003B4362">
        <w:rPr>
          <w:rFonts w:eastAsia="Calibri"/>
        </w:rPr>
        <w:t xml:space="preserve"> </w:t>
      </w:r>
      <w:bookmarkStart w:id="2467" w:name="_Hlk115175684"/>
      <w:r w:rsidRPr="003B4362">
        <w:rPr>
          <w:rFonts w:eastAsia="Calibri"/>
        </w:rPr>
        <w:t>(i.e., when the supplier uses water representing all sources)</w:t>
      </w:r>
      <w:bookmarkEnd w:id="2467"/>
      <w:r w:rsidRPr="003B4362">
        <w:rPr>
          <w:rFonts w:eastAsia="Calibri"/>
        </w:rPr>
        <w:t>.</w:t>
      </w:r>
    </w:p>
    <w:p w14:paraId="05CC37E1" w14:textId="77777777" w:rsidR="005451CE" w:rsidRPr="003B4362" w:rsidRDefault="005451CE" w:rsidP="005451CE">
      <w:pPr>
        <w:suppressAutoHyphens/>
        <w:spacing w:before="240" w:after="240"/>
        <w:ind w:left="2160" w:hanging="720"/>
        <w:rPr>
          <w:rFonts w:eastAsia="Calibri"/>
        </w:rPr>
      </w:pPr>
      <w:r w:rsidRPr="003B4362">
        <w:rPr>
          <w:rFonts w:eastAsia="Calibri"/>
        </w:rPr>
        <w:t>2)</w:t>
      </w:r>
      <w:r w:rsidRPr="003B4362">
        <w:rPr>
          <w:rFonts w:eastAsia="Calibri"/>
        </w:rPr>
        <w:tab/>
        <w:t>Number of Samples</w:t>
      </w:r>
    </w:p>
    <w:p w14:paraId="06887295" w14:textId="1C0C1E9B"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Tap Samples.  A</w:t>
      </w:r>
      <w:bookmarkStart w:id="2468" w:name="_Hlk115175856"/>
      <w:r w:rsidRPr="003B4362">
        <w:rPr>
          <w:rFonts w:eastAsia="Calibri"/>
        </w:rPr>
        <w:t xml:space="preserve"> supplier</w:t>
      </w:r>
      <w:bookmarkEnd w:id="2468"/>
      <w:r w:rsidRPr="003B4362">
        <w:rPr>
          <w:rFonts w:eastAsia="Calibri"/>
        </w:rPr>
        <w:t xml:space="preserve"> must collect two tap samples for applicable water quality parameters during each </w:t>
      </w:r>
      <w:r w:rsidR="00E12F89" w:rsidRPr="003B4362">
        <w:rPr>
          <w:rFonts w:eastAsia="Calibri"/>
        </w:rPr>
        <w:t>six-month</w:t>
      </w:r>
      <w:r w:rsidRPr="003B4362">
        <w:rPr>
          <w:rFonts w:eastAsia="Calibri"/>
        </w:rPr>
        <w:t xml:space="preserve"> </w:t>
      </w:r>
      <w:bookmarkStart w:id="2469" w:name="_Hlk115179569"/>
      <w:r w:rsidR="00E82D83" w:rsidRPr="003B4362">
        <w:rPr>
          <w:rFonts w:eastAsia="Calibri"/>
        </w:rPr>
        <w:t>water quality</w:t>
      </w:r>
      <w:r w:rsidR="001A0EDF" w:rsidRPr="003B4362">
        <w:rPr>
          <w:rFonts w:eastAsia="Calibri"/>
        </w:rPr>
        <w:t xml:space="preserve"> </w:t>
      </w:r>
      <w:r w:rsidRPr="003B4362">
        <w:rPr>
          <w:rFonts w:eastAsia="Calibri"/>
        </w:rPr>
        <w:t>monitoring period under subsections (b) through (e)</w:t>
      </w:r>
      <w:bookmarkEnd w:id="2469"/>
      <w:r w:rsidRPr="003B4362">
        <w:rPr>
          <w:rFonts w:eastAsia="Calibri"/>
        </w:rPr>
        <w:t xml:space="preserve"> from </w:t>
      </w:r>
      <w:bookmarkStart w:id="2470" w:name="_Hlk115179666"/>
      <w:r w:rsidRPr="003B4362">
        <w:rPr>
          <w:rFonts w:eastAsia="Calibri"/>
        </w:rPr>
        <w:t xml:space="preserve">the </w:t>
      </w:r>
      <w:r w:rsidR="00DA12AF" w:rsidRPr="003B4362">
        <w:rPr>
          <w:szCs w:val="24"/>
        </w:rPr>
        <w:t xml:space="preserve">minimum </w:t>
      </w:r>
      <w:r w:rsidRPr="003B4362">
        <w:rPr>
          <w:rFonts w:eastAsia="Calibri"/>
        </w:rPr>
        <w:t>number of sites the first column of Table F (labelled “standard monitoring”) indicate</w:t>
      </w:r>
      <w:bookmarkEnd w:id="2470"/>
      <w:r w:rsidRPr="003B4362">
        <w:rPr>
          <w:rFonts w:eastAsia="Calibri"/>
        </w:rPr>
        <w:t>s.</w:t>
      </w:r>
      <w:r w:rsidR="00B33771" w:rsidRPr="003B4362">
        <w:rPr>
          <w:szCs w:val="24"/>
        </w:rPr>
        <w:t xml:space="preserve">  </w:t>
      </w:r>
      <w:bookmarkStart w:id="2471" w:name="_Hlk123659452"/>
      <w:r w:rsidR="001C5322" w:rsidRPr="003B4362">
        <w:rPr>
          <w:szCs w:val="24"/>
        </w:rPr>
        <w:t>A</w:t>
      </w:r>
      <w:bookmarkStart w:id="2472" w:name="_Hlk123659675"/>
      <w:r w:rsidR="001C5322" w:rsidRPr="003B4362">
        <w:rPr>
          <w:szCs w:val="24"/>
        </w:rPr>
        <w:t xml:space="preserve"> supplier</w:t>
      </w:r>
      <w:r w:rsidR="00B33771" w:rsidRPr="003B4362">
        <w:rPr>
          <w:szCs w:val="24"/>
        </w:rPr>
        <w:t xml:space="preserve"> add</w:t>
      </w:r>
      <w:r w:rsidR="001C5322" w:rsidRPr="003B4362">
        <w:rPr>
          <w:szCs w:val="24"/>
        </w:rPr>
        <w:t>ing</w:t>
      </w:r>
      <w:r w:rsidR="00B33771" w:rsidRPr="003B4362">
        <w:rPr>
          <w:szCs w:val="24"/>
        </w:rPr>
        <w:t xml:space="preserve"> sites </w:t>
      </w:r>
      <w:r w:rsidR="001C5322" w:rsidRPr="003B4362">
        <w:rPr>
          <w:szCs w:val="24"/>
        </w:rPr>
        <w:t>under</w:t>
      </w:r>
      <w:r w:rsidR="00B33771" w:rsidRPr="003B4362">
        <w:rPr>
          <w:szCs w:val="24"/>
        </w:rPr>
        <w:t xml:space="preserve"> Section </w:t>
      </w:r>
      <w:r w:rsidR="001C5322" w:rsidRPr="003B4362">
        <w:rPr>
          <w:szCs w:val="24"/>
        </w:rPr>
        <w:t>61</w:t>
      </w:r>
      <w:r w:rsidR="00B33771" w:rsidRPr="003B4362">
        <w:rPr>
          <w:szCs w:val="24"/>
        </w:rPr>
        <w:t>1.</w:t>
      </w:r>
      <w:r w:rsidR="001C5322" w:rsidRPr="003B4362">
        <w:rPr>
          <w:szCs w:val="24"/>
        </w:rPr>
        <w:t>35</w:t>
      </w:r>
      <w:r w:rsidR="00B33771" w:rsidRPr="003B4362">
        <w:rPr>
          <w:szCs w:val="24"/>
        </w:rPr>
        <w:t>2(j)</w:t>
      </w:r>
      <w:bookmarkEnd w:id="2471"/>
      <w:r w:rsidR="00B33771" w:rsidRPr="003B4362">
        <w:rPr>
          <w:szCs w:val="24"/>
        </w:rPr>
        <w:t xml:space="preserve"> </w:t>
      </w:r>
      <w:r w:rsidR="001C5322" w:rsidRPr="003B4362">
        <w:rPr>
          <w:szCs w:val="24"/>
        </w:rPr>
        <w:t>(“find-and-fix” requirements)</w:t>
      </w:r>
      <w:bookmarkEnd w:id="2472"/>
      <w:r w:rsidR="001C5322" w:rsidRPr="003B4362">
        <w:rPr>
          <w:szCs w:val="24"/>
        </w:rPr>
        <w:t xml:space="preserve"> </w:t>
      </w:r>
      <w:r w:rsidR="00B33771" w:rsidRPr="003B4362">
        <w:rPr>
          <w:szCs w:val="24"/>
        </w:rPr>
        <w:t xml:space="preserve">must collect tap samples for applicable water quality parameters during each </w:t>
      </w:r>
      <w:r w:rsidR="00691923" w:rsidRPr="003B4362">
        <w:rPr>
          <w:rFonts w:eastAsia="Calibri"/>
        </w:rPr>
        <w:t>water quality monitor</w:t>
      </w:r>
      <w:r w:rsidR="001A0EDF" w:rsidRPr="003B4362">
        <w:rPr>
          <w:rFonts w:eastAsia="Calibri"/>
        </w:rPr>
        <w:t xml:space="preserve">ing </w:t>
      </w:r>
      <w:r w:rsidR="00B33771" w:rsidRPr="003B4362">
        <w:rPr>
          <w:szCs w:val="24"/>
        </w:rPr>
        <w:t xml:space="preserve">period under subsections (b) through (e) and must sample from that adjusted minimum number of sites.  </w:t>
      </w:r>
      <w:bookmarkStart w:id="2473" w:name="_Hlk123659946"/>
      <w:r w:rsidR="001C5322" w:rsidRPr="003B4362">
        <w:rPr>
          <w:szCs w:val="24"/>
        </w:rPr>
        <w:t>A</w:t>
      </w:r>
      <w:bookmarkStart w:id="2474" w:name="_Hlk123660085"/>
      <w:r w:rsidR="001C5322" w:rsidRPr="003B4362">
        <w:rPr>
          <w:szCs w:val="24"/>
        </w:rPr>
        <w:t xml:space="preserve"> supplier</w:t>
      </w:r>
      <w:r w:rsidR="00B33771" w:rsidRPr="003B4362">
        <w:rPr>
          <w:szCs w:val="24"/>
        </w:rPr>
        <w:t xml:space="preserve"> </w:t>
      </w:r>
      <w:r w:rsidR="001C5322" w:rsidRPr="003B4362">
        <w:rPr>
          <w:szCs w:val="24"/>
        </w:rPr>
        <w:t>needs</w:t>
      </w:r>
      <w:r w:rsidR="00B33771" w:rsidRPr="003B4362">
        <w:rPr>
          <w:szCs w:val="24"/>
        </w:rPr>
        <w:t xml:space="preserve"> not</w:t>
      </w:r>
      <w:r w:rsidR="001C5322" w:rsidRPr="003B4362">
        <w:rPr>
          <w:szCs w:val="24"/>
        </w:rPr>
        <w:t xml:space="preserve"> </w:t>
      </w:r>
      <w:r w:rsidR="00B33771" w:rsidRPr="003B4362">
        <w:rPr>
          <w:szCs w:val="24"/>
        </w:rPr>
        <w:t xml:space="preserve">add sites if </w:t>
      </w:r>
      <w:r w:rsidR="001C5322" w:rsidRPr="003B4362">
        <w:rPr>
          <w:szCs w:val="24"/>
        </w:rPr>
        <w:t>it</w:t>
      </w:r>
      <w:r w:rsidR="00B33771" w:rsidRPr="003B4362">
        <w:rPr>
          <w:szCs w:val="24"/>
        </w:rPr>
        <w:t xml:space="preserve"> monitor</w:t>
      </w:r>
      <w:bookmarkEnd w:id="2473"/>
      <w:r w:rsidR="001C5322" w:rsidRPr="003B4362">
        <w:rPr>
          <w:szCs w:val="24"/>
        </w:rPr>
        <w:t>s</w:t>
      </w:r>
      <w:bookmarkEnd w:id="2474"/>
      <w:r w:rsidR="00B33771" w:rsidRPr="003B4362">
        <w:rPr>
          <w:szCs w:val="24"/>
        </w:rPr>
        <w:t xml:space="preserve"> at least twice the minimum number of sites </w:t>
      </w:r>
      <w:r w:rsidR="00463DEB" w:rsidRPr="003B4362">
        <w:rPr>
          <w:szCs w:val="24"/>
        </w:rPr>
        <w:t>the first column of Table F indicates</w:t>
      </w:r>
      <w:r w:rsidR="009B072C" w:rsidRPr="003B4362">
        <w:rPr>
          <w:szCs w:val="24"/>
        </w:rPr>
        <w:t xml:space="preserve"> </w:t>
      </w:r>
      <w:r w:rsidR="00B33771" w:rsidRPr="003B4362">
        <w:rPr>
          <w:szCs w:val="24"/>
        </w:rPr>
        <w:t>.</w:t>
      </w:r>
    </w:p>
    <w:p w14:paraId="3BA06850" w14:textId="47C0E88B" w:rsidR="005451CE" w:rsidRPr="003B4362" w:rsidRDefault="005451CE" w:rsidP="005451CE">
      <w:pPr>
        <w:suppressAutoHyphens/>
        <w:spacing w:before="240" w:after="240"/>
        <w:ind w:left="2880" w:hanging="720"/>
        <w:rPr>
          <w:rFonts w:eastAsia="Calibri"/>
        </w:rPr>
      </w:pPr>
      <w:r w:rsidRPr="003B4362">
        <w:rPr>
          <w:rFonts w:eastAsia="Calibri"/>
        </w:rPr>
        <w:t>B)</w:t>
      </w:r>
      <w:r w:rsidRPr="003B4362">
        <w:rPr>
          <w:rFonts w:eastAsia="Calibri"/>
        </w:rPr>
        <w:tab/>
        <w:t>Entry Point Samples</w:t>
      </w:r>
    </w:p>
    <w:p w14:paraId="13CEA905" w14:textId="696B6A78" w:rsidR="005451CE" w:rsidRPr="003B4362" w:rsidRDefault="005451CE" w:rsidP="005451CE">
      <w:pPr>
        <w:suppressAutoHyphens/>
        <w:spacing w:before="240" w:after="240"/>
        <w:ind w:left="3600" w:hanging="720"/>
        <w:rPr>
          <w:rFonts w:eastAsia="Calibri"/>
        </w:rPr>
      </w:pPr>
      <w:r w:rsidRPr="003B4362">
        <w:rPr>
          <w:rFonts w:eastAsia="Calibri"/>
        </w:rPr>
        <w:t>i)</w:t>
      </w:r>
      <w:r w:rsidRPr="003B4362">
        <w:rPr>
          <w:rFonts w:eastAsia="Calibri"/>
        </w:rPr>
        <w:tab/>
        <w:t>Initial Monitoring.  E</w:t>
      </w:r>
      <w:bookmarkStart w:id="2475" w:name="_Hlk115181476"/>
      <w:r w:rsidRPr="003B4362">
        <w:rPr>
          <w:rFonts w:eastAsia="Calibri"/>
        </w:rPr>
        <w:t>xcept as subsection (c)(</w:t>
      </w:r>
      <w:r w:rsidR="000929F2" w:rsidRPr="003B4362">
        <w:rPr>
          <w:szCs w:val="24"/>
        </w:rPr>
        <w:t>2</w:t>
      </w:r>
      <w:r w:rsidRPr="003B4362">
        <w:rPr>
          <w:rFonts w:eastAsia="Calibri"/>
        </w:rPr>
        <w:t>) provides otherwise</w:t>
      </w:r>
      <w:bookmarkEnd w:id="2475"/>
      <w:r w:rsidRPr="003B4362">
        <w:rPr>
          <w:rFonts w:eastAsia="Calibri"/>
        </w:rPr>
        <w:t xml:space="preserve">, </w:t>
      </w:r>
      <w:bookmarkStart w:id="2476" w:name="_Hlk115181613"/>
      <w:r w:rsidRPr="003B4362">
        <w:rPr>
          <w:rFonts w:eastAsia="Calibri"/>
        </w:rPr>
        <w:t>a supplier</w:t>
      </w:r>
      <w:bookmarkEnd w:id="2476"/>
      <w:r w:rsidR="00B12FC7" w:rsidRPr="003B4362">
        <w:rPr>
          <w:szCs w:val="24"/>
        </w:rPr>
        <w:t xml:space="preserve"> </w:t>
      </w:r>
      <w:bookmarkStart w:id="2477" w:name="_Hlk123665912"/>
      <w:r w:rsidR="00B12FC7" w:rsidRPr="003B4362">
        <w:rPr>
          <w:szCs w:val="24"/>
        </w:rPr>
        <w:t>not applying corrosion control treatment</w:t>
      </w:r>
      <w:bookmarkEnd w:id="2477"/>
      <w:r w:rsidRPr="003B4362">
        <w:rPr>
          <w:rFonts w:eastAsia="Calibri"/>
        </w:rPr>
        <w:t xml:space="preserve"> must collect two samples for each applicable water quality parameter at each </w:t>
      </w:r>
      <w:bookmarkStart w:id="2478" w:name="_Hlk115181671"/>
      <w:r w:rsidRPr="003B4362">
        <w:rPr>
          <w:rFonts w:eastAsia="Calibri"/>
        </w:rPr>
        <w:t>entry point to its distribution system</w:t>
      </w:r>
      <w:bookmarkEnd w:id="2478"/>
      <w:r w:rsidRPr="003B4362">
        <w:rPr>
          <w:rFonts w:eastAsia="Calibri"/>
        </w:rPr>
        <w:t xml:space="preserve"> during each </w:t>
      </w:r>
      <w:r w:rsidR="00E12F89" w:rsidRPr="003B4362">
        <w:rPr>
          <w:rFonts w:eastAsia="Calibri"/>
        </w:rPr>
        <w:t>six-month</w:t>
      </w:r>
      <w:r w:rsidRPr="003B4362">
        <w:rPr>
          <w:rFonts w:eastAsia="Calibri"/>
        </w:rPr>
        <w:t xml:space="preserve"> </w:t>
      </w:r>
      <w:bookmarkStart w:id="2479" w:name="_Hlk115181768"/>
      <w:r w:rsidR="00691923" w:rsidRPr="003B4362">
        <w:rPr>
          <w:rFonts w:eastAsia="Calibri"/>
        </w:rPr>
        <w:t xml:space="preserve">water quality </w:t>
      </w:r>
      <w:r w:rsidRPr="003B4362">
        <w:rPr>
          <w:rFonts w:eastAsia="Calibri"/>
        </w:rPr>
        <w:t>monitoring period subsection (b) specifies</w:t>
      </w:r>
      <w:bookmarkEnd w:id="2479"/>
      <w:r w:rsidRPr="003B4362">
        <w:rPr>
          <w:rFonts w:eastAsia="Calibri"/>
        </w:rPr>
        <w:t>.</w:t>
      </w:r>
    </w:p>
    <w:p w14:paraId="7A36E421" w14:textId="01E04D91" w:rsidR="005451CE" w:rsidRPr="003B4362" w:rsidRDefault="005451CE" w:rsidP="005451CE">
      <w:pPr>
        <w:suppressAutoHyphens/>
        <w:spacing w:before="240" w:after="240"/>
        <w:ind w:left="3600" w:hanging="720"/>
        <w:rPr>
          <w:rFonts w:eastAsia="Calibri"/>
        </w:rPr>
      </w:pPr>
      <w:r w:rsidRPr="003B4362">
        <w:rPr>
          <w:rFonts w:eastAsia="Calibri"/>
        </w:rPr>
        <w:lastRenderedPageBreak/>
        <w:t>ii)</w:t>
      </w:r>
      <w:r w:rsidRPr="003B4362">
        <w:rPr>
          <w:rFonts w:eastAsia="Calibri"/>
        </w:rPr>
        <w:tab/>
        <w:t xml:space="preserve">Subsequent Monitoring.  A supplier must collect one sample for each applicable water quality parameter at each entry point to its distribution system during each </w:t>
      </w:r>
      <w:r w:rsidR="00E12F89" w:rsidRPr="003B4362">
        <w:rPr>
          <w:rFonts w:eastAsia="Calibri"/>
        </w:rPr>
        <w:t>six-month</w:t>
      </w:r>
      <w:r w:rsidRPr="003B4362">
        <w:rPr>
          <w:rFonts w:eastAsia="Calibri"/>
        </w:rPr>
        <w:t xml:space="preserve"> </w:t>
      </w:r>
      <w:bookmarkStart w:id="2480" w:name="_Hlk115182639"/>
      <w:r w:rsidR="00691923" w:rsidRPr="003B4362">
        <w:rPr>
          <w:rFonts w:eastAsia="Calibri"/>
        </w:rPr>
        <w:t>water quality monitoring period</w:t>
      </w:r>
      <w:r w:rsidRPr="003B4362">
        <w:rPr>
          <w:rFonts w:eastAsia="Calibri"/>
        </w:rPr>
        <w:t xml:space="preserve"> </w:t>
      </w:r>
      <w:bookmarkStart w:id="2481" w:name="_Hlk123670234"/>
      <w:r w:rsidRPr="003B4362">
        <w:rPr>
          <w:rFonts w:eastAsia="Calibri"/>
        </w:rPr>
        <w:t>subsections (c) through (e)</w:t>
      </w:r>
      <w:bookmarkEnd w:id="2481"/>
      <w:r w:rsidRPr="003B4362">
        <w:rPr>
          <w:rFonts w:eastAsia="Calibri"/>
        </w:rPr>
        <w:t xml:space="preserve"> specify</w:t>
      </w:r>
      <w:bookmarkEnd w:id="2480"/>
      <w:r w:rsidRPr="003B4362">
        <w:rPr>
          <w:rFonts w:eastAsia="Calibri"/>
        </w:rPr>
        <w:t>.</w:t>
      </w:r>
      <w:r w:rsidR="00D01A79" w:rsidRPr="003B4362">
        <w:rPr>
          <w:rFonts w:eastAsia="Calibri"/>
        </w:rPr>
        <w:t xml:space="preserve">  </w:t>
      </w:r>
      <w:r w:rsidR="00D01A79" w:rsidRPr="003B4362">
        <w:rPr>
          <w:szCs w:val="24"/>
        </w:rPr>
        <w:t xml:space="preserve">During each </w:t>
      </w:r>
      <w:bookmarkStart w:id="2482" w:name="_Hlk123672781"/>
      <w:bookmarkStart w:id="2483" w:name="_Hlk123672838"/>
      <w:r w:rsidR="00691923" w:rsidRPr="003B4362">
        <w:rPr>
          <w:rFonts w:eastAsia="Calibri"/>
        </w:rPr>
        <w:t xml:space="preserve">water quality </w:t>
      </w:r>
      <w:r w:rsidR="00D01A79" w:rsidRPr="003B4362">
        <w:rPr>
          <w:szCs w:val="24"/>
        </w:rPr>
        <w:t xml:space="preserve">monitoring period subsections (c) through (e) </w:t>
      </w:r>
      <w:bookmarkEnd w:id="2482"/>
      <w:r w:rsidR="00D01A79" w:rsidRPr="003B4362">
        <w:rPr>
          <w:szCs w:val="24"/>
        </w:rPr>
        <w:t>specify</w:t>
      </w:r>
      <w:bookmarkEnd w:id="2483"/>
      <w:r w:rsidR="00D01A79" w:rsidRPr="003B4362">
        <w:rPr>
          <w:szCs w:val="24"/>
        </w:rPr>
        <w:t xml:space="preserve">, </w:t>
      </w:r>
      <w:bookmarkStart w:id="2484" w:name="_Hlk123672864"/>
      <w:r w:rsidR="00D01A79" w:rsidRPr="003B4362">
        <w:rPr>
          <w:szCs w:val="24"/>
        </w:rPr>
        <w:t>a supplier applying corrosion control treatment</w:t>
      </w:r>
      <w:bookmarkEnd w:id="2484"/>
      <w:r w:rsidR="00D01A79" w:rsidRPr="003B4362">
        <w:rPr>
          <w:szCs w:val="24"/>
        </w:rPr>
        <w:t xml:space="preserve"> must </w:t>
      </w:r>
      <w:bookmarkStart w:id="2485" w:name="_Hlk123672962"/>
      <w:bookmarkStart w:id="2486" w:name="_Hlk123672991"/>
      <w:r w:rsidR="00D01A79" w:rsidRPr="003B4362">
        <w:rPr>
          <w:szCs w:val="24"/>
        </w:rPr>
        <w:t>continue collect</w:t>
      </w:r>
      <w:bookmarkEnd w:id="2485"/>
      <w:r w:rsidR="00D01A79" w:rsidRPr="003B4362">
        <w:rPr>
          <w:szCs w:val="24"/>
        </w:rPr>
        <w:t>ing</w:t>
      </w:r>
      <w:bookmarkEnd w:id="2486"/>
      <w:r w:rsidR="00D01A79" w:rsidRPr="003B4362">
        <w:rPr>
          <w:szCs w:val="24"/>
        </w:rPr>
        <w:t xml:space="preserve"> one sample for each applicable water quality parameter at each </w:t>
      </w:r>
      <w:bookmarkStart w:id="2487" w:name="_Hlk123673046"/>
      <w:r w:rsidR="00D01A79" w:rsidRPr="003B4362">
        <w:rPr>
          <w:szCs w:val="24"/>
        </w:rPr>
        <w:t>entry point to its distribution system</w:t>
      </w:r>
      <w:bookmarkEnd w:id="2487"/>
      <w:r w:rsidR="00D01A79" w:rsidRPr="003B4362">
        <w:rPr>
          <w:szCs w:val="24"/>
        </w:rPr>
        <w:t xml:space="preserve"> </w:t>
      </w:r>
      <w:bookmarkStart w:id="2488" w:name="_Hlk123673092"/>
      <w:r w:rsidR="00D01A79" w:rsidRPr="003B4362">
        <w:rPr>
          <w:szCs w:val="24"/>
        </w:rPr>
        <w:t>at least once every two weeks</w:t>
      </w:r>
      <w:bookmarkEnd w:id="2488"/>
      <w:r w:rsidR="00D01A79" w:rsidRPr="003B4362">
        <w:rPr>
          <w:szCs w:val="24"/>
        </w:rPr>
        <w:t>.</w:t>
      </w:r>
    </w:p>
    <w:p w14:paraId="26DAB27C" w14:textId="568A5D66" w:rsidR="005451CE" w:rsidRPr="003B4362" w:rsidRDefault="005451CE" w:rsidP="005451CE">
      <w:pPr>
        <w:suppressAutoHyphens/>
        <w:spacing w:before="240" w:after="240"/>
        <w:ind w:left="1440" w:hanging="720"/>
        <w:rPr>
          <w:rFonts w:eastAsia="Calibri"/>
        </w:rPr>
      </w:pPr>
      <w:r w:rsidRPr="003B4362">
        <w:rPr>
          <w:rFonts w:eastAsia="Calibri"/>
        </w:rPr>
        <w:t>b)</w:t>
      </w:r>
      <w:r w:rsidRPr="003B4362">
        <w:rPr>
          <w:rFonts w:eastAsia="Calibri"/>
        </w:rPr>
        <w:tab/>
        <w:t>Initial Sampling</w:t>
      </w:r>
      <w:r w:rsidR="00D01A79" w:rsidRPr="003B4362">
        <w:rPr>
          <w:szCs w:val="24"/>
        </w:rPr>
        <w:t xml:space="preserve"> </w:t>
      </w:r>
      <w:bookmarkStart w:id="2489" w:name="_Hlk123673281"/>
      <w:r w:rsidR="00D01A79" w:rsidRPr="003B4362">
        <w:rPr>
          <w:szCs w:val="24"/>
        </w:rPr>
        <w:t>for Suppliers</w:t>
      </w:r>
      <w:bookmarkEnd w:id="2489"/>
    </w:p>
    <w:p w14:paraId="2EFE197D" w14:textId="713A68C9" w:rsidR="005451CE" w:rsidRPr="003B4362" w:rsidRDefault="005451CE" w:rsidP="005451CE">
      <w:pPr>
        <w:suppressAutoHyphens/>
        <w:spacing w:before="240" w:after="240"/>
        <w:ind w:left="2160" w:hanging="720"/>
        <w:rPr>
          <w:rFonts w:eastAsia="Calibri"/>
        </w:rPr>
      </w:pPr>
      <w:r w:rsidRPr="003B4362">
        <w:rPr>
          <w:rFonts w:eastAsia="Calibri"/>
        </w:rPr>
        <w:t>1)</w:t>
      </w:r>
      <w:r w:rsidRPr="003B4362">
        <w:rPr>
          <w:rFonts w:eastAsia="Calibri"/>
        </w:rPr>
        <w:tab/>
      </w:r>
      <w:bookmarkStart w:id="2490" w:name="_Hlk115182740"/>
      <w:r w:rsidRPr="003B4362">
        <w:rPr>
          <w:rFonts w:eastAsia="Calibri"/>
        </w:rPr>
        <w:t>Large</w:t>
      </w:r>
      <w:r w:rsidR="00AE1372" w:rsidRPr="003B4362">
        <w:rPr>
          <w:rFonts w:eastAsia="Calibri"/>
        </w:rPr>
        <w:t xml:space="preserve"> </w:t>
      </w:r>
      <w:r w:rsidRPr="003B4362">
        <w:rPr>
          <w:rFonts w:eastAsia="Calibri"/>
        </w:rPr>
        <w:t>S</w:t>
      </w:r>
      <w:r w:rsidR="00AE1372" w:rsidRPr="003B4362">
        <w:rPr>
          <w:rFonts w:eastAsia="Calibri"/>
        </w:rPr>
        <w:t>uppliers</w:t>
      </w:r>
      <w:bookmarkEnd w:id="2490"/>
      <w:r w:rsidRPr="003B4362">
        <w:rPr>
          <w:rFonts w:eastAsia="Calibri"/>
        </w:rPr>
        <w:t>.  A</w:t>
      </w:r>
      <w:bookmarkStart w:id="2491" w:name="_Hlk115182954"/>
      <w:r w:rsidRPr="003B4362">
        <w:rPr>
          <w:rFonts w:eastAsia="Calibri"/>
        </w:rPr>
        <w:t xml:space="preserve"> large supplier</w:t>
      </w:r>
      <w:bookmarkEnd w:id="2491"/>
      <w:r w:rsidRPr="003B4362">
        <w:rPr>
          <w:rFonts w:eastAsia="Calibri"/>
        </w:rPr>
        <w:t xml:space="preserve"> </w:t>
      </w:r>
      <w:bookmarkStart w:id="2492" w:name="_Hlk123675722"/>
      <w:r w:rsidR="007344BD" w:rsidRPr="003B4362">
        <w:rPr>
          <w:szCs w:val="24"/>
        </w:rPr>
        <w:t>not applying corrosion control treatment</w:t>
      </w:r>
      <w:bookmarkEnd w:id="2492"/>
      <w:r w:rsidR="007344BD" w:rsidRPr="003B4362">
        <w:rPr>
          <w:szCs w:val="24"/>
        </w:rPr>
        <w:t xml:space="preserve"> </w:t>
      </w:r>
      <w:r w:rsidRPr="003B4362">
        <w:rPr>
          <w:rFonts w:eastAsia="Calibri"/>
        </w:rPr>
        <w:t xml:space="preserve">must </w:t>
      </w:r>
      <w:r w:rsidR="005F1D79" w:rsidRPr="003B4362">
        <w:rPr>
          <w:rFonts w:eastAsia="Calibri"/>
        </w:rPr>
        <w:t xml:space="preserve">begin </w:t>
      </w:r>
      <w:r w:rsidR="007344BD" w:rsidRPr="003B4362">
        <w:rPr>
          <w:szCs w:val="24"/>
        </w:rPr>
        <w:t>monitor</w:t>
      </w:r>
      <w:r w:rsidR="005F1D79" w:rsidRPr="003B4362">
        <w:rPr>
          <w:szCs w:val="24"/>
        </w:rPr>
        <w:t>ing</w:t>
      </w:r>
      <w:r w:rsidR="007344BD" w:rsidRPr="003B4362">
        <w:rPr>
          <w:szCs w:val="24"/>
        </w:rPr>
        <w:t xml:space="preserve"> for </w:t>
      </w:r>
      <w:r w:rsidRPr="003B4362">
        <w:rPr>
          <w:rFonts w:eastAsia="Calibri"/>
        </w:rPr>
        <w:t xml:space="preserve">water quality </w:t>
      </w:r>
      <w:bookmarkStart w:id="2493" w:name="_Hlk115183048"/>
      <w:r w:rsidRPr="003B4362">
        <w:rPr>
          <w:rFonts w:eastAsia="Calibri"/>
        </w:rPr>
        <w:t>parameters subsection (b)(3)</w:t>
      </w:r>
      <w:bookmarkEnd w:id="2493"/>
      <w:r w:rsidRPr="003B4362">
        <w:rPr>
          <w:rFonts w:eastAsia="Calibri"/>
        </w:rPr>
        <w:t xml:space="preserve"> </w:t>
      </w:r>
      <w:r w:rsidR="00073F8E" w:rsidRPr="003B4362">
        <w:rPr>
          <w:rFonts w:eastAsia="Calibri"/>
        </w:rPr>
        <w:t xml:space="preserve">specifies </w:t>
      </w:r>
      <w:r w:rsidRPr="003B4362">
        <w:rPr>
          <w:rFonts w:eastAsia="Calibri"/>
        </w:rPr>
        <w:t xml:space="preserve">during </w:t>
      </w:r>
      <w:r w:rsidR="00806C60" w:rsidRPr="003B4362">
        <w:rPr>
          <w:szCs w:val="24"/>
        </w:rPr>
        <w:t xml:space="preserve">the first two </w:t>
      </w:r>
      <w:bookmarkStart w:id="2494" w:name="_Hlk127920631"/>
      <w:r w:rsidR="00E12F89" w:rsidRPr="003B4362">
        <w:rPr>
          <w:rFonts w:eastAsia="Calibri"/>
        </w:rPr>
        <w:t>six-month</w:t>
      </w:r>
      <w:r w:rsidRPr="003B4362">
        <w:rPr>
          <w:rFonts w:eastAsia="Calibri"/>
        </w:rPr>
        <w:t xml:space="preserve"> </w:t>
      </w:r>
      <w:bookmarkStart w:id="2495" w:name="_Hlk115183601"/>
      <w:r w:rsidR="00806C60" w:rsidRPr="003B4362">
        <w:rPr>
          <w:szCs w:val="24"/>
        </w:rPr>
        <w:t>tap</w:t>
      </w:r>
      <w:r w:rsidRPr="003B4362">
        <w:rPr>
          <w:rFonts w:eastAsia="Calibri"/>
        </w:rPr>
        <w:t xml:space="preserve"> </w:t>
      </w:r>
      <w:r w:rsidR="008464B0" w:rsidRPr="003B4362">
        <w:rPr>
          <w:rFonts w:eastAsia="Calibri"/>
        </w:rPr>
        <w:t xml:space="preserve">monitoring </w:t>
      </w:r>
      <w:r w:rsidR="008464B0" w:rsidRPr="003B4362">
        <w:rPr>
          <w:szCs w:val="24"/>
        </w:rPr>
        <w:t>cycle</w:t>
      </w:r>
      <w:r w:rsidR="00806C60" w:rsidRPr="003B4362">
        <w:rPr>
          <w:szCs w:val="24"/>
        </w:rPr>
        <w:t>s</w:t>
      </w:r>
      <w:bookmarkStart w:id="2496" w:name="_Hlk123676893"/>
      <w:bookmarkEnd w:id="2494"/>
      <w:r w:rsidR="002B18A0" w:rsidRPr="003B4362">
        <w:rPr>
          <w:szCs w:val="24"/>
        </w:rPr>
        <w:t xml:space="preserve"> </w:t>
      </w:r>
      <w:r w:rsidR="00806C60" w:rsidRPr="003B4362">
        <w:rPr>
          <w:szCs w:val="24"/>
        </w:rPr>
        <w:t xml:space="preserve">no later than </w:t>
      </w:r>
      <w:bookmarkStart w:id="2497" w:name="_Hlk123678773"/>
      <w:r w:rsidR="00806C60" w:rsidRPr="003B4362">
        <w:rPr>
          <w:szCs w:val="24"/>
        </w:rPr>
        <w:t>January 1</w:t>
      </w:r>
      <w:r w:rsidR="002B18A0" w:rsidRPr="003B4362">
        <w:rPr>
          <w:szCs w:val="24"/>
        </w:rPr>
        <w:t xml:space="preserve"> </w:t>
      </w:r>
      <w:r w:rsidR="00806C60" w:rsidRPr="003B4362">
        <w:rPr>
          <w:szCs w:val="24"/>
        </w:rPr>
        <w:t xml:space="preserve">after the </w:t>
      </w:r>
      <w:r w:rsidR="002B18A0" w:rsidRPr="003B4362">
        <w:rPr>
          <w:szCs w:val="24"/>
        </w:rPr>
        <w:t>supplier</w:t>
      </w:r>
      <w:r w:rsidR="00806C60" w:rsidRPr="003B4362">
        <w:rPr>
          <w:szCs w:val="24"/>
        </w:rPr>
        <w:t xml:space="preserve"> either becomes a large</w:t>
      </w:r>
      <w:bookmarkStart w:id="2498" w:name="_Hlk127366474"/>
      <w:r w:rsidR="00806C60" w:rsidRPr="003B4362">
        <w:rPr>
          <w:szCs w:val="24"/>
        </w:rPr>
        <w:t xml:space="preserve"> </w:t>
      </w:r>
      <w:bookmarkEnd w:id="2498"/>
      <w:r w:rsidR="002B18A0" w:rsidRPr="003B4362">
        <w:rPr>
          <w:szCs w:val="24"/>
        </w:rPr>
        <w:t>supplier</w:t>
      </w:r>
      <w:r w:rsidR="009008FC" w:rsidRPr="003B4362">
        <w:rPr>
          <w:szCs w:val="24"/>
        </w:rPr>
        <w:t xml:space="preserve"> </w:t>
      </w:r>
      <w:r w:rsidR="00806C60" w:rsidRPr="003B4362">
        <w:rPr>
          <w:szCs w:val="24"/>
        </w:rPr>
        <w:t xml:space="preserve">or fails to maintain </w:t>
      </w:r>
      <w:r w:rsidR="002B18A0" w:rsidRPr="003B4362">
        <w:rPr>
          <w:szCs w:val="24"/>
        </w:rPr>
        <w:t>its</w:t>
      </w:r>
      <w:r w:rsidR="00806C60" w:rsidRPr="003B4362">
        <w:rPr>
          <w:szCs w:val="24"/>
        </w:rPr>
        <w:t xml:space="preserve"> 90th percentile</w:t>
      </w:r>
      <w:bookmarkEnd w:id="2496"/>
      <w:r w:rsidR="002B18A0" w:rsidRPr="003B4362">
        <w:rPr>
          <w:szCs w:val="24"/>
        </w:rPr>
        <w:t xml:space="preserve"> </w:t>
      </w:r>
      <w:r w:rsidR="00806C60" w:rsidRPr="003B4362">
        <w:rPr>
          <w:szCs w:val="24"/>
        </w:rPr>
        <w:t xml:space="preserve">lead </w:t>
      </w:r>
      <w:r w:rsidR="002B18A0" w:rsidRPr="003B4362">
        <w:rPr>
          <w:szCs w:val="24"/>
        </w:rPr>
        <w:t>concentration</w:t>
      </w:r>
      <w:bookmarkEnd w:id="2497"/>
      <w:r w:rsidR="002B18A0" w:rsidRPr="003B4362">
        <w:rPr>
          <w:szCs w:val="24"/>
        </w:rPr>
        <w:t xml:space="preserve"> </w:t>
      </w:r>
      <w:r w:rsidR="00806C60" w:rsidRPr="003B4362">
        <w:rPr>
          <w:szCs w:val="24"/>
        </w:rPr>
        <w:t>below the PQL for lead</w:t>
      </w:r>
      <w:bookmarkEnd w:id="2495"/>
      <w:r w:rsidRPr="003B4362">
        <w:rPr>
          <w:rFonts w:eastAsia="Calibri"/>
        </w:rPr>
        <w:t>.</w:t>
      </w:r>
    </w:p>
    <w:p w14:paraId="65248D1A" w14:textId="3EB14F4C" w:rsidR="005451CE" w:rsidRPr="003B4362" w:rsidRDefault="005451CE" w:rsidP="005451CE">
      <w:pPr>
        <w:suppressAutoHyphens/>
        <w:spacing w:before="240" w:after="240"/>
        <w:ind w:left="2160" w:hanging="720"/>
        <w:rPr>
          <w:rFonts w:eastAsia="Calibri"/>
        </w:rPr>
      </w:pPr>
      <w:r w:rsidRPr="003B4362">
        <w:rPr>
          <w:rFonts w:eastAsia="Calibri"/>
        </w:rPr>
        <w:t>2)</w:t>
      </w:r>
      <w:r w:rsidRPr="003B4362">
        <w:rPr>
          <w:rFonts w:eastAsia="Calibri"/>
        </w:rPr>
        <w:tab/>
      </w:r>
      <w:bookmarkStart w:id="2499" w:name="_Hlk115183775"/>
      <w:r w:rsidR="00C30408" w:rsidRPr="003B4362">
        <w:rPr>
          <w:rFonts w:eastAsia="Calibri"/>
        </w:rPr>
        <w:t xml:space="preserve">Small </w:t>
      </w:r>
      <w:r w:rsidRPr="003B4362">
        <w:rPr>
          <w:rFonts w:eastAsia="Calibri"/>
        </w:rPr>
        <w:t xml:space="preserve"> and</w:t>
      </w:r>
      <w:r w:rsidR="00C30408" w:rsidRPr="003B4362">
        <w:rPr>
          <w:rFonts w:eastAsia="Calibri"/>
        </w:rPr>
        <w:t xml:space="preserve"> Mid-Sized Suppliers</w:t>
      </w:r>
      <w:bookmarkEnd w:id="2499"/>
      <w:r w:rsidRPr="003B4362">
        <w:rPr>
          <w:rFonts w:eastAsia="Calibri"/>
        </w:rPr>
        <w:t>.  A</w:t>
      </w:r>
      <w:bookmarkStart w:id="2500" w:name="_Hlk115183822"/>
      <w:r w:rsidR="00D75CB1" w:rsidRPr="003B4362">
        <w:rPr>
          <w:rFonts w:eastAsia="Calibri"/>
        </w:rPr>
        <w:t xml:space="preserve"> small</w:t>
      </w:r>
      <w:r w:rsidRPr="003B4362">
        <w:rPr>
          <w:rFonts w:eastAsia="Calibri"/>
        </w:rPr>
        <w:t xml:space="preserve"> or </w:t>
      </w:r>
      <w:r w:rsidR="00C30408" w:rsidRPr="003B4362">
        <w:rPr>
          <w:rFonts w:eastAsia="Calibri"/>
        </w:rPr>
        <w:t xml:space="preserve">mid-sized </w:t>
      </w:r>
      <w:r w:rsidRPr="003B4362">
        <w:rPr>
          <w:rFonts w:eastAsia="Calibri"/>
        </w:rPr>
        <w:t>supplier</w:t>
      </w:r>
      <w:bookmarkEnd w:id="2500"/>
      <w:r w:rsidRPr="003B4362">
        <w:rPr>
          <w:rFonts w:eastAsia="Calibri"/>
        </w:rPr>
        <w:t xml:space="preserve"> </w:t>
      </w:r>
      <w:r w:rsidR="004A72B7" w:rsidRPr="003B4362">
        <w:rPr>
          <w:szCs w:val="24"/>
        </w:rPr>
        <w:t xml:space="preserve">exceeding the lead or copper action level </w:t>
      </w:r>
      <w:bookmarkStart w:id="2501" w:name="_Hlk123679525"/>
      <w:r w:rsidR="004A72B7" w:rsidRPr="003B4362">
        <w:rPr>
          <w:szCs w:val="24"/>
        </w:rPr>
        <w:t xml:space="preserve">or </w:t>
      </w:r>
      <w:r w:rsidR="00852C13" w:rsidRPr="003B4362">
        <w:rPr>
          <w:szCs w:val="24"/>
        </w:rPr>
        <w:t>a supplier</w:t>
      </w:r>
      <w:r w:rsidR="004A72B7" w:rsidRPr="003B4362">
        <w:rPr>
          <w:szCs w:val="24"/>
        </w:rPr>
        <w:t xml:space="preserve"> </w:t>
      </w:r>
      <w:r w:rsidR="00852C13" w:rsidRPr="003B4362">
        <w:rPr>
          <w:szCs w:val="24"/>
        </w:rPr>
        <w:t>applying</w:t>
      </w:r>
      <w:r w:rsidR="004A72B7" w:rsidRPr="003B4362">
        <w:rPr>
          <w:szCs w:val="24"/>
        </w:rPr>
        <w:t xml:space="preserve"> corrosion control treatment</w:t>
      </w:r>
      <w:bookmarkEnd w:id="2501"/>
      <w:r w:rsidR="004A72B7" w:rsidRPr="003B4362">
        <w:rPr>
          <w:szCs w:val="24"/>
        </w:rPr>
        <w:t xml:space="preserve"> for which </w:t>
      </w:r>
      <w:bookmarkStart w:id="2502" w:name="_Hlk123679885"/>
      <w:r w:rsidR="004A72B7" w:rsidRPr="003B4362">
        <w:rPr>
          <w:szCs w:val="24"/>
        </w:rPr>
        <w:t xml:space="preserve">the </w:t>
      </w:r>
      <w:r w:rsidR="00852C13" w:rsidRPr="003B4362">
        <w:rPr>
          <w:szCs w:val="24"/>
        </w:rPr>
        <w:t>Agency</w:t>
      </w:r>
      <w:r w:rsidR="004A72B7" w:rsidRPr="003B4362">
        <w:rPr>
          <w:szCs w:val="24"/>
        </w:rPr>
        <w:t xml:space="preserve"> </w:t>
      </w:r>
      <w:r w:rsidR="00852C13" w:rsidRPr="003B4362">
        <w:rPr>
          <w:szCs w:val="24"/>
        </w:rPr>
        <w:t>did</w:t>
      </w:r>
      <w:r w:rsidR="004A72B7" w:rsidRPr="003B4362">
        <w:rPr>
          <w:szCs w:val="24"/>
        </w:rPr>
        <w:t xml:space="preserve"> not designate OWQPs</w:t>
      </w:r>
      <w:bookmarkEnd w:id="2502"/>
      <w:r w:rsidR="004A72B7" w:rsidRPr="003B4362">
        <w:rPr>
          <w:szCs w:val="24"/>
        </w:rPr>
        <w:t xml:space="preserve"> </w:t>
      </w:r>
      <w:bookmarkStart w:id="2503" w:name="_Hlk123680046"/>
      <w:bookmarkStart w:id="2504" w:name="_Hlk123679963"/>
      <w:r w:rsidR="00852C13" w:rsidRPr="003B4362">
        <w:rPr>
          <w:szCs w:val="24"/>
        </w:rPr>
        <w:t>and</w:t>
      </w:r>
      <w:r w:rsidR="004A72B7" w:rsidRPr="003B4362">
        <w:rPr>
          <w:szCs w:val="24"/>
        </w:rPr>
        <w:t xml:space="preserve"> exceed</w:t>
      </w:r>
      <w:r w:rsidR="00852C13" w:rsidRPr="003B4362">
        <w:rPr>
          <w:szCs w:val="24"/>
        </w:rPr>
        <w:t>ing</w:t>
      </w:r>
      <w:bookmarkStart w:id="2505" w:name="_Hlk123680073"/>
      <w:bookmarkEnd w:id="2503"/>
      <w:r w:rsidR="004A72B7" w:rsidRPr="003B4362">
        <w:rPr>
          <w:szCs w:val="24"/>
        </w:rPr>
        <w:t xml:space="preserve"> the lead trigger level</w:t>
      </w:r>
      <w:bookmarkEnd w:id="2504"/>
      <w:bookmarkEnd w:id="2505"/>
      <w:r w:rsidR="004A72B7" w:rsidRPr="003B4362">
        <w:rPr>
          <w:szCs w:val="24"/>
        </w:rPr>
        <w:t xml:space="preserve"> </w:t>
      </w:r>
      <w:bookmarkStart w:id="2506" w:name="_Hlk128485341"/>
      <w:r w:rsidRPr="003B4362">
        <w:rPr>
          <w:rFonts w:eastAsia="Calibri"/>
        </w:rPr>
        <w:t xml:space="preserve">must </w:t>
      </w:r>
      <w:r w:rsidR="006E7D5B" w:rsidRPr="003B4362">
        <w:rPr>
          <w:rFonts w:eastAsia="Calibri"/>
        </w:rPr>
        <w:t xml:space="preserve">begin </w:t>
      </w:r>
      <w:r w:rsidR="00852C13" w:rsidRPr="003B4362">
        <w:rPr>
          <w:szCs w:val="24"/>
        </w:rPr>
        <w:t>monitor</w:t>
      </w:r>
      <w:r w:rsidR="006E7D5B" w:rsidRPr="003B4362">
        <w:rPr>
          <w:szCs w:val="24"/>
        </w:rPr>
        <w:t>ing</w:t>
      </w:r>
      <w:r w:rsidR="00852C13" w:rsidRPr="003B4362">
        <w:rPr>
          <w:szCs w:val="24"/>
        </w:rPr>
        <w:t xml:space="preserve"> for </w:t>
      </w:r>
      <w:r w:rsidRPr="003B4362">
        <w:rPr>
          <w:rFonts w:eastAsia="Calibri"/>
        </w:rPr>
        <w:t xml:space="preserve">water quality </w:t>
      </w:r>
      <w:bookmarkStart w:id="2507" w:name="_Hlk123681860"/>
      <w:bookmarkStart w:id="2508" w:name="_Hlk123676143"/>
      <w:r w:rsidRPr="003B4362">
        <w:rPr>
          <w:rFonts w:eastAsia="Calibri"/>
        </w:rPr>
        <w:t>parameters</w:t>
      </w:r>
      <w:r w:rsidR="006E7D5B" w:rsidRPr="003B4362">
        <w:rPr>
          <w:szCs w:val="24"/>
        </w:rPr>
        <w:t xml:space="preserve"> </w:t>
      </w:r>
      <w:r w:rsidR="00852C13" w:rsidRPr="003B4362">
        <w:rPr>
          <w:szCs w:val="24"/>
        </w:rPr>
        <w:t>subsection (b)(</w:t>
      </w:r>
      <w:r w:rsidR="00073F8E" w:rsidRPr="003B4362">
        <w:rPr>
          <w:szCs w:val="24"/>
        </w:rPr>
        <w:t>3</w:t>
      </w:r>
      <w:r w:rsidR="00852C13" w:rsidRPr="003B4362">
        <w:rPr>
          <w:szCs w:val="24"/>
        </w:rPr>
        <w:t xml:space="preserve">) </w:t>
      </w:r>
      <w:r w:rsidR="006E7D5B" w:rsidRPr="003B4362">
        <w:rPr>
          <w:szCs w:val="24"/>
        </w:rPr>
        <w:t>specif</w:t>
      </w:r>
      <w:r w:rsidR="00073F8E" w:rsidRPr="003B4362">
        <w:rPr>
          <w:szCs w:val="24"/>
        </w:rPr>
        <w:t>ies</w:t>
      </w:r>
      <w:bookmarkEnd w:id="2507"/>
      <w:r w:rsidR="00852C13" w:rsidRPr="003B4362">
        <w:rPr>
          <w:szCs w:val="24"/>
        </w:rPr>
        <w:t xml:space="preserve"> for two consecutive </w:t>
      </w:r>
      <w:r w:rsidR="006E7D5B" w:rsidRPr="003B4362">
        <w:rPr>
          <w:szCs w:val="24"/>
        </w:rPr>
        <w:t>six</w:t>
      </w:r>
      <w:r w:rsidR="00852C13" w:rsidRPr="003B4362">
        <w:rPr>
          <w:szCs w:val="24"/>
        </w:rPr>
        <w:t xml:space="preserve">-month </w:t>
      </w:r>
      <w:r w:rsidR="001175FA" w:rsidRPr="003B4362">
        <w:rPr>
          <w:szCs w:val="24"/>
        </w:rPr>
        <w:t xml:space="preserve">water quality monitoring </w:t>
      </w:r>
      <w:r w:rsidR="00852C13" w:rsidRPr="003B4362">
        <w:rPr>
          <w:szCs w:val="24"/>
        </w:rPr>
        <w:t>periods</w:t>
      </w:r>
      <w:r w:rsidR="008F0C8F" w:rsidRPr="003B4362">
        <w:rPr>
          <w:szCs w:val="24"/>
        </w:rPr>
        <w:t xml:space="preserve"> in </w:t>
      </w:r>
      <w:r w:rsidR="00852C13" w:rsidRPr="003B4362">
        <w:rPr>
          <w:szCs w:val="24"/>
        </w:rPr>
        <w:t xml:space="preserve">the month </w:t>
      </w:r>
      <w:bookmarkStart w:id="2509" w:name="_Hlk123680857"/>
      <w:r w:rsidR="00852C13" w:rsidRPr="003B4362">
        <w:rPr>
          <w:szCs w:val="24"/>
        </w:rPr>
        <w:t>imm</w:t>
      </w:r>
      <w:bookmarkStart w:id="2510" w:name="_Hlk123681054"/>
      <w:r w:rsidR="00852C13" w:rsidRPr="003B4362">
        <w:rPr>
          <w:szCs w:val="24"/>
        </w:rPr>
        <w:t xml:space="preserve">ediately </w:t>
      </w:r>
      <w:r w:rsidR="008F0C8F" w:rsidRPr="003B4362">
        <w:rPr>
          <w:szCs w:val="24"/>
        </w:rPr>
        <w:t>after</w:t>
      </w:r>
      <w:r w:rsidR="00852C13" w:rsidRPr="003B4362">
        <w:rPr>
          <w:szCs w:val="24"/>
        </w:rPr>
        <w:t xml:space="preserve"> the tap sampling period</w:t>
      </w:r>
      <w:bookmarkEnd w:id="2506"/>
      <w:r w:rsidR="00852C13" w:rsidRPr="003B4362">
        <w:rPr>
          <w:szCs w:val="24"/>
        </w:rPr>
        <w:t xml:space="preserve"> </w:t>
      </w:r>
      <w:r w:rsidR="008F0C8F" w:rsidRPr="003B4362">
        <w:rPr>
          <w:szCs w:val="24"/>
        </w:rPr>
        <w:t>during</w:t>
      </w:r>
      <w:r w:rsidR="00852C13" w:rsidRPr="003B4362">
        <w:rPr>
          <w:szCs w:val="24"/>
        </w:rPr>
        <w:t xml:space="preserve"> which the exceedance occurred</w:t>
      </w:r>
      <w:bookmarkEnd w:id="2509"/>
      <w:bookmarkEnd w:id="2508"/>
      <w:bookmarkEnd w:id="2510"/>
      <w:r w:rsidRPr="003B4362">
        <w:rPr>
          <w:rFonts w:eastAsia="Calibri"/>
        </w:rPr>
        <w:t>.</w:t>
      </w:r>
    </w:p>
    <w:p w14:paraId="4645FD3B" w14:textId="69282D2C" w:rsidR="005451CE" w:rsidRPr="003B4362" w:rsidRDefault="005451CE" w:rsidP="005451CE">
      <w:pPr>
        <w:suppressAutoHyphens/>
        <w:spacing w:before="240" w:after="240"/>
        <w:ind w:left="2160" w:hanging="720"/>
        <w:rPr>
          <w:rFonts w:eastAsia="Calibri"/>
        </w:rPr>
      </w:pPr>
      <w:r w:rsidRPr="003B4362">
        <w:rPr>
          <w:rFonts w:eastAsia="Calibri"/>
        </w:rPr>
        <w:t>3)</w:t>
      </w:r>
      <w:r w:rsidRPr="003B4362">
        <w:rPr>
          <w:rFonts w:eastAsia="Calibri"/>
        </w:rPr>
        <w:tab/>
        <w:t>Water Quality Parameters</w:t>
      </w:r>
    </w:p>
    <w:p w14:paraId="3830A93F" w14:textId="5956B33E" w:rsidR="0035336B" w:rsidRPr="003B4362" w:rsidRDefault="0035336B" w:rsidP="0035336B">
      <w:pPr>
        <w:suppressAutoHyphens/>
        <w:spacing w:before="240" w:after="240"/>
        <w:ind w:left="2880" w:hanging="720"/>
        <w:rPr>
          <w:szCs w:val="24"/>
        </w:rPr>
      </w:pPr>
      <w:r w:rsidRPr="003B4362">
        <w:rPr>
          <w:rFonts w:eastAsia="Calibri"/>
        </w:rPr>
        <w:t>A)</w:t>
      </w:r>
      <w:r w:rsidRPr="003B4362">
        <w:rPr>
          <w:rFonts w:eastAsia="Calibri"/>
        </w:rPr>
        <w:tab/>
        <w:t xml:space="preserve">Tap Water Samples.  </w:t>
      </w:r>
      <w:r w:rsidRPr="003B4362">
        <w:rPr>
          <w:szCs w:val="24"/>
        </w:rPr>
        <w:t>T</w:t>
      </w:r>
      <w:bookmarkStart w:id="2511" w:name="_Hlk123730122"/>
      <w:r w:rsidRPr="003B4362">
        <w:rPr>
          <w:szCs w:val="24"/>
        </w:rPr>
        <w:t xml:space="preserve">he supplier must collect two samples each for specific </w:t>
      </w:r>
      <w:bookmarkEnd w:id="2511"/>
      <w:r w:rsidR="006625A9" w:rsidRPr="003B4362">
        <w:rPr>
          <w:szCs w:val="24"/>
        </w:rPr>
        <w:t>parameters</w:t>
      </w:r>
      <w:r w:rsidRPr="003B4362">
        <w:rPr>
          <w:szCs w:val="24"/>
        </w:rPr>
        <w:t>:</w:t>
      </w:r>
    </w:p>
    <w:p w14:paraId="4D0C09A4" w14:textId="40825F34" w:rsidR="0080797C" w:rsidRPr="003B4362" w:rsidRDefault="0080797C" w:rsidP="0080797C">
      <w:pPr>
        <w:suppressAutoHyphens/>
        <w:spacing w:before="240" w:after="240"/>
        <w:ind w:left="3600" w:hanging="720"/>
        <w:rPr>
          <w:szCs w:val="24"/>
        </w:rPr>
      </w:pPr>
      <w:r w:rsidRPr="003B4362">
        <w:rPr>
          <w:szCs w:val="24"/>
        </w:rPr>
        <w:t>i)</w:t>
      </w:r>
      <w:r w:rsidRPr="003B4362">
        <w:rPr>
          <w:szCs w:val="24"/>
        </w:rPr>
        <w:tab/>
        <w:t>pH; and</w:t>
      </w:r>
    </w:p>
    <w:p w14:paraId="028CBB6D" w14:textId="4B4BEDEA" w:rsidR="0080797C" w:rsidRPr="003B4362" w:rsidRDefault="0080797C" w:rsidP="0080797C">
      <w:pPr>
        <w:suppressAutoHyphens/>
        <w:spacing w:before="240" w:after="240"/>
        <w:ind w:left="3600" w:hanging="720"/>
        <w:rPr>
          <w:rFonts w:eastAsia="Calibri"/>
        </w:rPr>
      </w:pPr>
      <w:r w:rsidRPr="003B4362">
        <w:rPr>
          <w:szCs w:val="24"/>
        </w:rPr>
        <w:t>ii)</w:t>
      </w:r>
      <w:r w:rsidRPr="003B4362">
        <w:rPr>
          <w:szCs w:val="24"/>
        </w:rPr>
        <w:tab/>
        <w:t>Alkalinity.</w:t>
      </w:r>
    </w:p>
    <w:p w14:paraId="005C432A" w14:textId="1A9B39CA" w:rsidR="0080797C" w:rsidRPr="003B4362" w:rsidRDefault="0080797C" w:rsidP="0080797C">
      <w:pPr>
        <w:suppressAutoHyphens/>
        <w:spacing w:before="240" w:after="240"/>
        <w:ind w:left="2880" w:hanging="720"/>
        <w:rPr>
          <w:rFonts w:eastAsia="Calibri"/>
        </w:rPr>
      </w:pPr>
      <w:r w:rsidRPr="003B4362">
        <w:rPr>
          <w:rFonts w:eastAsia="Calibri"/>
        </w:rPr>
        <w:t>B)</w:t>
      </w:r>
      <w:r w:rsidRPr="003B4362">
        <w:rPr>
          <w:rFonts w:eastAsia="Calibri"/>
        </w:rPr>
        <w:tab/>
      </w:r>
      <w:r w:rsidR="00953CF6" w:rsidRPr="003B4362">
        <w:rPr>
          <w:rFonts w:eastAsia="Calibri"/>
        </w:rPr>
        <w:t xml:space="preserve">Entry Point Samples.  </w:t>
      </w:r>
      <w:r w:rsidR="00953CF6" w:rsidRPr="003B4362">
        <w:rPr>
          <w:szCs w:val="24"/>
        </w:rPr>
        <w:t>The supplier must collect a sample from each entry point to its distribution system for analyses for the parameters in subsection (b)(3)(A)</w:t>
      </w:r>
      <w:r w:rsidRPr="003B4362">
        <w:rPr>
          <w:rFonts w:eastAsia="Calibri"/>
        </w:rPr>
        <w:t>;</w:t>
      </w:r>
    </w:p>
    <w:p w14:paraId="19DDC0FE" w14:textId="1F0E3747" w:rsidR="005451CE" w:rsidRPr="003B4362" w:rsidRDefault="005451CE" w:rsidP="005451CE">
      <w:pPr>
        <w:suppressAutoHyphens/>
        <w:spacing w:before="240" w:after="240"/>
        <w:ind w:left="1440" w:hanging="720"/>
        <w:rPr>
          <w:rFonts w:eastAsia="Calibri"/>
        </w:rPr>
      </w:pPr>
      <w:r w:rsidRPr="003B4362">
        <w:rPr>
          <w:rFonts w:eastAsia="Calibri"/>
        </w:rPr>
        <w:t>c)</w:t>
      </w:r>
      <w:r w:rsidRPr="003B4362">
        <w:rPr>
          <w:rFonts w:eastAsia="Calibri"/>
        </w:rPr>
        <w:tab/>
      </w:r>
      <w:bookmarkStart w:id="2512" w:name="_Hlk115184340"/>
      <w:bookmarkStart w:id="2513" w:name="_Hlk123735518"/>
      <w:r w:rsidRPr="003B4362">
        <w:rPr>
          <w:rFonts w:eastAsia="Calibri"/>
        </w:rPr>
        <w:t>Monitoring after</w:t>
      </w:r>
      <w:r w:rsidR="00FD211A" w:rsidRPr="003B4362">
        <w:rPr>
          <w:szCs w:val="24"/>
        </w:rPr>
        <w:t xml:space="preserve"> </w:t>
      </w:r>
      <w:r w:rsidRPr="003B4362">
        <w:rPr>
          <w:rFonts w:eastAsia="Calibri"/>
        </w:rPr>
        <w:t xml:space="preserve">Installing </w:t>
      </w:r>
      <w:r w:rsidR="00953CF6" w:rsidRPr="003B4362">
        <w:rPr>
          <w:szCs w:val="24"/>
        </w:rPr>
        <w:t>O</w:t>
      </w:r>
      <w:r w:rsidR="00FD211A" w:rsidRPr="003B4362">
        <w:rPr>
          <w:szCs w:val="24"/>
        </w:rPr>
        <w:t>CCT or Reoptimized OCCT</w:t>
      </w:r>
      <w:bookmarkEnd w:id="2512"/>
      <w:bookmarkEnd w:id="2513"/>
    </w:p>
    <w:p w14:paraId="6B419FB2" w14:textId="6AF53D1C" w:rsidR="005451CE" w:rsidRPr="003B4362" w:rsidRDefault="005451CE" w:rsidP="005451CE">
      <w:pPr>
        <w:suppressAutoHyphens/>
        <w:spacing w:before="240" w:after="240"/>
        <w:ind w:left="2160" w:hanging="720"/>
        <w:rPr>
          <w:rFonts w:eastAsia="Calibri"/>
        </w:rPr>
      </w:pPr>
      <w:r w:rsidRPr="003B4362">
        <w:rPr>
          <w:rFonts w:eastAsia="Calibri"/>
        </w:rPr>
        <w:t>1)</w:t>
      </w:r>
      <w:r w:rsidRPr="003B4362">
        <w:rPr>
          <w:rFonts w:eastAsia="Calibri"/>
        </w:rPr>
        <w:tab/>
        <w:t xml:space="preserve">A supplier </w:t>
      </w:r>
      <w:bookmarkStart w:id="2514" w:name="_Hlk115184617"/>
      <w:r w:rsidRPr="003B4362">
        <w:rPr>
          <w:rFonts w:eastAsia="Calibri"/>
        </w:rPr>
        <w:t xml:space="preserve">installing </w:t>
      </w:r>
      <w:r w:rsidR="008B71E8" w:rsidRPr="003B4362">
        <w:rPr>
          <w:szCs w:val="24"/>
        </w:rPr>
        <w:t xml:space="preserve">or modifying </w:t>
      </w:r>
      <w:r w:rsidRPr="003B4362">
        <w:rPr>
          <w:rFonts w:eastAsia="Calibri"/>
        </w:rPr>
        <w:t>corrosion control</w:t>
      </w:r>
      <w:bookmarkEnd w:id="2514"/>
      <w:r w:rsidRPr="003B4362">
        <w:rPr>
          <w:rFonts w:eastAsia="Calibri"/>
        </w:rPr>
        <w:t xml:space="preserve"> treatment under Section 611.351(d)(</w:t>
      </w:r>
      <w:r w:rsidR="008B71E8" w:rsidRPr="003B4362">
        <w:rPr>
          <w:szCs w:val="24"/>
        </w:rPr>
        <w:t>5</w:t>
      </w:r>
      <w:r w:rsidRPr="003B4362">
        <w:rPr>
          <w:rFonts w:eastAsia="Calibri"/>
        </w:rPr>
        <w:t xml:space="preserve">) </w:t>
      </w:r>
      <w:r w:rsidR="008B71E8" w:rsidRPr="003B4362">
        <w:rPr>
          <w:szCs w:val="24"/>
        </w:rPr>
        <w:t xml:space="preserve">or (e)(5) </w:t>
      </w:r>
      <w:bookmarkStart w:id="2515" w:name="_Hlk123737247"/>
      <w:r w:rsidR="00665981" w:rsidRPr="003B4362">
        <w:rPr>
          <w:szCs w:val="24"/>
        </w:rPr>
        <w:t>that</w:t>
      </w:r>
      <w:r w:rsidR="008B71E8" w:rsidRPr="003B4362">
        <w:rPr>
          <w:szCs w:val="24"/>
        </w:rPr>
        <w:t xml:space="preserve"> Section 611.</w:t>
      </w:r>
      <w:r w:rsidR="00FC4892" w:rsidRPr="003B4362">
        <w:rPr>
          <w:szCs w:val="24"/>
        </w:rPr>
        <w:t>35</w:t>
      </w:r>
      <w:r w:rsidR="008B71E8" w:rsidRPr="003B4362">
        <w:rPr>
          <w:szCs w:val="24"/>
        </w:rPr>
        <w:t>1(d)(6) or (e)(6)</w:t>
      </w:r>
      <w:r w:rsidR="00665981" w:rsidRPr="003B4362">
        <w:rPr>
          <w:szCs w:val="24"/>
        </w:rPr>
        <w:t xml:space="preserve"> requires to monitor</w:t>
      </w:r>
      <w:bookmarkEnd w:id="2515"/>
      <w:r w:rsidR="008B71E8" w:rsidRPr="003B4362">
        <w:rPr>
          <w:szCs w:val="24"/>
        </w:rPr>
        <w:t xml:space="preserve"> </w:t>
      </w:r>
      <w:r w:rsidRPr="003B4362">
        <w:rPr>
          <w:rFonts w:eastAsia="Calibri"/>
        </w:rPr>
        <w:t xml:space="preserve">must </w:t>
      </w:r>
      <w:r w:rsidR="008B71E8" w:rsidRPr="003B4362">
        <w:rPr>
          <w:szCs w:val="24"/>
        </w:rPr>
        <w:t xml:space="preserve">monitor </w:t>
      </w:r>
      <w:r w:rsidRPr="003B4362">
        <w:rPr>
          <w:rFonts w:eastAsia="Calibri"/>
        </w:rPr>
        <w:t xml:space="preserve">the water quality </w:t>
      </w:r>
      <w:bookmarkStart w:id="2516" w:name="_Hlk123737491"/>
      <w:bookmarkStart w:id="2517" w:name="_Hlk123737510"/>
      <w:bookmarkStart w:id="2518" w:name="_Hlk123741153"/>
      <w:r w:rsidRPr="003B4362">
        <w:rPr>
          <w:rFonts w:eastAsia="Calibri"/>
        </w:rPr>
        <w:t xml:space="preserve">parameters </w:t>
      </w:r>
      <w:bookmarkEnd w:id="2516"/>
      <w:r w:rsidR="00665981" w:rsidRPr="003B4362">
        <w:rPr>
          <w:szCs w:val="24"/>
        </w:rPr>
        <w:t>in subsection</w:t>
      </w:r>
      <w:bookmarkEnd w:id="2517"/>
      <w:r w:rsidR="00FC4892" w:rsidRPr="003B4362">
        <w:rPr>
          <w:szCs w:val="24"/>
        </w:rPr>
        <w:t>s (c)(1)(A) and (c)(1)(B)</w:t>
      </w:r>
      <w:r w:rsidR="00665981" w:rsidRPr="003B4362">
        <w:rPr>
          <w:szCs w:val="24"/>
        </w:rPr>
        <w:t xml:space="preserve"> every six months </w:t>
      </w:r>
      <w:r w:rsidRPr="003B4362">
        <w:rPr>
          <w:rFonts w:eastAsia="Calibri"/>
        </w:rPr>
        <w:t xml:space="preserve">at the locations and </w:t>
      </w:r>
      <w:bookmarkStart w:id="2519" w:name="_Hlk115184675"/>
      <w:r w:rsidRPr="003B4362">
        <w:rPr>
          <w:rFonts w:eastAsia="Calibri"/>
        </w:rPr>
        <w:lastRenderedPageBreak/>
        <w:t xml:space="preserve">frequencies </w:t>
      </w:r>
      <w:r w:rsidR="008C0F7D" w:rsidRPr="003B4362">
        <w:rPr>
          <w:rFonts w:eastAsia="Calibri"/>
        </w:rPr>
        <w:t xml:space="preserve">those </w:t>
      </w:r>
      <w:r w:rsidRPr="003B4362">
        <w:rPr>
          <w:rFonts w:eastAsia="Calibri"/>
        </w:rPr>
        <w:t>subsections specify</w:t>
      </w:r>
      <w:bookmarkStart w:id="2520" w:name="_Hlk123741861"/>
      <w:bookmarkEnd w:id="2518"/>
      <w:bookmarkEnd w:id="2519"/>
      <w:r w:rsidRPr="003B4362">
        <w:rPr>
          <w:rFonts w:eastAsia="Calibri"/>
        </w:rPr>
        <w:t xml:space="preserve"> </w:t>
      </w:r>
      <w:bookmarkStart w:id="2521" w:name="_Hlk123741486"/>
      <w:bookmarkEnd w:id="2520"/>
      <w:r w:rsidR="008460E2" w:rsidRPr="003B4362">
        <w:rPr>
          <w:szCs w:val="24"/>
        </w:rPr>
        <w:t>until the Agency specifies</w:t>
      </w:r>
      <w:bookmarkEnd w:id="2521"/>
      <w:r w:rsidR="008460E2" w:rsidRPr="003B4362">
        <w:rPr>
          <w:szCs w:val="24"/>
        </w:rPr>
        <w:t xml:space="preserve"> new water quality parameter values for optimal corrosion control </w:t>
      </w:r>
      <w:bookmarkStart w:id="2522" w:name="_Hlk123741569"/>
      <w:r w:rsidR="00FC4892" w:rsidRPr="003B4362">
        <w:rPr>
          <w:szCs w:val="24"/>
        </w:rPr>
        <w:t>under</w:t>
      </w:r>
      <w:r w:rsidR="008460E2" w:rsidRPr="003B4362">
        <w:rPr>
          <w:szCs w:val="24"/>
        </w:rPr>
        <w:t xml:space="preserve"> subsection (d)</w:t>
      </w:r>
      <w:bookmarkEnd w:id="2522"/>
      <w:r w:rsidRPr="003B4362">
        <w:rPr>
          <w:rFonts w:eastAsia="Calibri"/>
        </w:rPr>
        <w:t>.</w:t>
      </w:r>
      <w:r w:rsidR="008460E2" w:rsidRPr="003B4362">
        <w:rPr>
          <w:szCs w:val="24"/>
        </w:rPr>
        <w:t xml:space="preserve">  </w:t>
      </w:r>
      <w:r w:rsidR="00314986" w:rsidRPr="003B4362">
        <w:rPr>
          <w:szCs w:val="24"/>
        </w:rPr>
        <w:t>T</w:t>
      </w:r>
      <w:bookmarkStart w:id="2523" w:name="_Hlk123741711"/>
      <w:r w:rsidR="00314986" w:rsidRPr="003B4362">
        <w:rPr>
          <w:szCs w:val="24"/>
        </w:rPr>
        <w:t>he supplier</w:t>
      </w:r>
      <w:bookmarkEnd w:id="2523"/>
      <w:r w:rsidR="008460E2" w:rsidRPr="003B4362">
        <w:rPr>
          <w:szCs w:val="24"/>
        </w:rPr>
        <w:t xml:space="preserve"> must collect these samples evenly throughout the </w:t>
      </w:r>
      <w:bookmarkStart w:id="2524" w:name="_Hlk123741781"/>
      <w:r w:rsidR="00314986" w:rsidRPr="003B4362">
        <w:rPr>
          <w:szCs w:val="24"/>
        </w:rPr>
        <w:t>six</w:t>
      </w:r>
      <w:r w:rsidR="008460E2" w:rsidRPr="003B4362">
        <w:rPr>
          <w:szCs w:val="24"/>
        </w:rPr>
        <w:t xml:space="preserve">-month </w:t>
      </w:r>
      <w:r w:rsidR="001175FA" w:rsidRPr="003B4362">
        <w:rPr>
          <w:szCs w:val="24"/>
        </w:rPr>
        <w:t xml:space="preserve">water quality </w:t>
      </w:r>
      <w:r w:rsidR="008460E2" w:rsidRPr="003B4362">
        <w:rPr>
          <w:szCs w:val="24"/>
        </w:rPr>
        <w:t>monitoring period</w:t>
      </w:r>
      <w:r w:rsidR="00314986" w:rsidRPr="003B4362">
        <w:rPr>
          <w:rFonts w:eastAsia="Calibri"/>
        </w:rPr>
        <w:t xml:space="preserve"> </w:t>
      </w:r>
      <w:r w:rsidR="008460E2" w:rsidRPr="003B4362">
        <w:rPr>
          <w:szCs w:val="24"/>
        </w:rPr>
        <w:t>to reflect seasonal variability</w:t>
      </w:r>
      <w:bookmarkEnd w:id="2524"/>
      <w:r w:rsidR="008460E2" w:rsidRPr="003B4362">
        <w:rPr>
          <w:szCs w:val="24"/>
        </w:rPr>
        <w:t>.</w:t>
      </w:r>
    </w:p>
    <w:p w14:paraId="3B240BFD" w14:textId="59FE8129" w:rsidR="006625A9" w:rsidRPr="003B4362" w:rsidRDefault="006625A9" w:rsidP="000C0F4C">
      <w:pPr>
        <w:suppressAutoHyphens/>
        <w:spacing w:before="240" w:after="240"/>
        <w:ind w:left="2880" w:hanging="720"/>
        <w:rPr>
          <w:rFonts w:eastAsia="Calibri"/>
        </w:rPr>
      </w:pPr>
      <w:r w:rsidRPr="003B4362">
        <w:rPr>
          <w:rFonts w:eastAsia="Calibri"/>
        </w:rPr>
        <w:t>A)</w:t>
      </w:r>
      <w:r w:rsidRPr="003B4362">
        <w:rPr>
          <w:rFonts w:eastAsia="Calibri"/>
        </w:rPr>
        <w:tab/>
        <w:t>Tap Water Samples.  The supplier must collect two samples</w:t>
      </w:r>
      <w:r w:rsidR="000C0F4C" w:rsidRPr="003B4362">
        <w:rPr>
          <w:rFonts w:eastAsia="Calibri"/>
        </w:rPr>
        <w:t xml:space="preserve"> </w:t>
      </w:r>
      <w:r w:rsidRPr="003B4362">
        <w:rPr>
          <w:rFonts w:eastAsia="Calibri"/>
        </w:rPr>
        <w:t xml:space="preserve">at each tap for each of </w:t>
      </w:r>
      <w:r w:rsidR="00ED180A" w:rsidRPr="003B4362">
        <w:rPr>
          <w:rFonts w:eastAsia="Calibri"/>
        </w:rPr>
        <w:t xml:space="preserve">specific </w:t>
      </w:r>
      <w:r w:rsidRPr="003B4362">
        <w:rPr>
          <w:rFonts w:eastAsia="Calibri"/>
        </w:rPr>
        <w:t>water quality parameters:</w:t>
      </w:r>
    </w:p>
    <w:p w14:paraId="70ECCDB0" w14:textId="4F786CC2" w:rsidR="006625A9" w:rsidRPr="003B4362" w:rsidRDefault="000277B0" w:rsidP="000C0F4C">
      <w:pPr>
        <w:suppressAutoHyphens/>
        <w:spacing w:before="240" w:after="240"/>
        <w:ind w:left="3600" w:hanging="720"/>
        <w:rPr>
          <w:rFonts w:eastAsia="Calibri"/>
        </w:rPr>
      </w:pPr>
      <w:r w:rsidRPr="003B4362">
        <w:rPr>
          <w:rFonts w:eastAsia="Calibri"/>
        </w:rPr>
        <w:t>i</w:t>
      </w:r>
      <w:r w:rsidR="006625A9" w:rsidRPr="003B4362">
        <w:rPr>
          <w:rFonts w:eastAsia="Calibri"/>
        </w:rPr>
        <w:t>)</w:t>
      </w:r>
      <w:r w:rsidR="006625A9" w:rsidRPr="003B4362">
        <w:rPr>
          <w:rFonts w:eastAsia="Calibri"/>
        </w:rPr>
        <w:tab/>
        <w:t>pH;</w:t>
      </w:r>
    </w:p>
    <w:p w14:paraId="479BBE8A" w14:textId="29E98E37" w:rsidR="006625A9" w:rsidRPr="003B4362" w:rsidRDefault="000277B0" w:rsidP="000C0F4C">
      <w:pPr>
        <w:suppressAutoHyphens/>
        <w:spacing w:before="240" w:after="240"/>
        <w:ind w:left="3600" w:hanging="720"/>
        <w:rPr>
          <w:rFonts w:eastAsia="Calibri"/>
        </w:rPr>
      </w:pPr>
      <w:r w:rsidRPr="003B4362">
        <w:rPr>
          <w:rFonts w:eastAsia="Calibri"/>
        </w:rPr>
        <w:t>ii</w:t>
      </w:r>
      <w:r w:rsidR="006625A9" w:rsidRPr="003B4362">
        <w:rPr>
          <w:rFonts w:eastAsia="Calibri"/>
        </w:rPr>
        <w:t>)</w:t>
      </w:r>
      <w:r w:rsidR="006625A9" w:rsidRPr="003B4362">
        <w:rPr>
          <w:rFonts w:eastAsia="Calibri"/>
        </w:rPr>
        <w:tab/>
        <w:t>Alkalinity;</w:t>
      </w:r>
    </w:p>
    <w:p w14:paraId="3CE999A9" w14:textId="1F3C4D26" w:rsidR="006625A9" w:rsidRPr="003B4362" w:rsidRDefault="000277B0" w:rsidP="000C0F4C">
      <w:pPr>
        <w:suppressAutoHyphens/>
        <w:spacing w:before="240" w:after="240"/>
        <w:ind w:left="3600" w:hanging="720"/>
        <w:rPr>
          <w:rFonts w:eastAsia="Calibri"/>
        </w:rPr>
      </w:pPr>
      <w:r w:rsidRPr="003B4362">
        <w:rPr>
          <w:rFonts w:eastAsia="Calibri"/>
        </w:rPr>
        <w:t>iii</w:t>
      </w:r>
      <w:r w:rsidR="006625A9" w:rsidRPr="003B4362">
        <w:rPr>
          <w:rFonts w:eastAsia="Calibri"/>
        </w:rPr>
        <w:t>)</w:t>
      </w:r>
      <w:r w:rsidR="006625A9" w:rsidRPr="003B4362">
        <w:rPr>
          <w:rFonts w:eastAsia="Calibri"/>
        </w:rPr>
        <w:tab/>
        <w:t xml:space="preserve">Orthophosphate if the supplier uses an inhibitor containing </w:t>
      </w:r>
      <w:r w:rsidRPr="003B4362">
        <w:rPr>
          <w:szCs w:val="24"/>
        </w:rPr>
        <w:t xml:space="preserve">an orthophosphate </w:t>
      </w:r>
      <w:r w:rsidR="006625A9" w:rsidRPr="003B4362">
        <w:rPr>
          <w:rFonts w:eastAsia="Calibri"/>
        </w:rPr>
        <w:t>compound;</w:t>
      </w:r>
      <w:r w:rsidR="000C0F4C" w:rsidRPr="003B4362">
        <w:rPr>
          <w:rFonts w:eastAsia="Calibri"/>
        </w:rPr>
        <w:t xml:space="preserve"> and</w:t>
      </w:r>
    </w:p>
    <w:p w14:paraId="68B8C6F4" w14:textId="2407CADF" w:rsidR="006625A9" w:rsidRPr="003B4362" w:rsidRDefault="000277B0" w:rsidP="000C0F4C">
      <w:pPr>
        <w:suppressAutoHyphens/>
        <w:spacing w:before="240" w:after="240"/>
        <w:ind w:left="3600" w:hanging="720"/>
        <w:rPr>
          <w:rFonts w:eastAsia="Calibri"/>
        </w:rPr>
      </w:pPr>
      <w:r w:rsidRPr="003B4362">
        <w:rPr>
          <w:rFonts w:eastAsia="Calibri"/>
        </w:rPr>
        <w:t>iv</w:t>
      </w:r>
      <w:r w:rsidR="006625A9" w:rsidRPr="003B4362">
        <w:rPr>
          <w:rFonts w:eastAsia="Calibri"/>
        </w:rPr>
        <w:t>)</w:t>
      </w:r>
      <w:r w:rsidR="006625A9" w:rsidRPr="003B4362">
        <w:rPr>
          <w:rFonts w:eastAsia="Calibri"/>
        </w:rPr>
        <w:tab/>
        <w:t>Silica if the supplier uses an inhibitor containing a silicate compound</w:t>
      </w:r>
      <w:r w:rsidR="000C0F4C" w:rsidRPr="003B4362">
        <w:rPr>
          <w:szCs w:val="24"/>
        </w:rPr>
        <w:t>.</w:t>
      </w:r>
    </w:p>
    <w:p w14:paraId="30636919" w14:textId="22BCA7AB" w:rsidR="006625A9" w:rsidRPr="003B4362" w:rsidRDefault="00AB0454" w:rsidP="00AB0454">
      <w:pPr>
        <w:spacing w:before="240" w:after="240"/>
        <w:ind w:left="2880" w:hanging="720"/>
        <w:rPr>
          <w:rFonts w:eastAsia="Calibri"/>
        </w:rPr>
      </w:pPr>
      <w:r w:rsidRPr="003B4362">
        <w:rPr>
          <w:rFonts w:eastAsia="Calibri"/>
        </w:rPr>
        <w:t>B</w:t>
      </w:r>
      <w:r w:rsidR="006625A9" w:rsidRPr="003B4362">
        <w:rPr>
          <w:rFonts w:eastAsia="Calibri"/>
        </w:rPr>
        <w:t>)</w:t>
      </w:r>
      <w:r w:rsidR="006625A9" w:rsidRPr="003B4362">
        <w:rPr>
          <w:rFonts w:eastAsia="Calibri"/>
        </w:rPr>
        <w:tab/>
        <w:t xml:space="preserve">Entry Point Samples.  Except </w:t>
      </w:r>
      <w:bookmarkStart w:id="2525" w:name="_Hlk123752264"/>
      <w:r w:rsidR="006625A9" w:rsidRPr="003B4362">
        <w:rPr>
          <w:rFonts w:eastAsia="Calibri"/>
        </w:rPr>
        <w:t>as subsection (c)(</w:t>
      </w:r>
      <w:r w:rsidR="00150F29" w:rsidRPr="003B4362">
        <w:rPr>
          <w:rFonts w:eastAsia="Calibri"/>
        </w:rPr>
        <w:t>1</w:t>
      </w:r>
      <w:r w:rsidR="006625A9" w:rsidRPr="003B4362">
        <w:rPr>
          <w:rFonts w:eastAsia="Calibri"/>
        </w:rPr>
        <w:t>)</w:t>
      </w:r>
      <w:r w:rsidR="00150F29" w:rsidRPr="003B4362">
        <w:rPr>
          <w:szCs w:val="24"/>
        </w:rPr>
        <w:t>(C)</w:t>
      </w:r>
      <w:r w:rsidR="006625A9" w:rsidRPr="003B4362">
        <w:rPr>
          <w:rFonts w:eastAsia="Calibri"/>
        </w:rPr>
        <w:t xml:space="preserve"> provides otherwise</w:t>
      </w:r>
      <w:bookmarkEnd w:id="2525"/>
      <w:r w:rsidR="006625A9" w:rsidRPr="003B4362">
        <w:rPr>
          <w:rFonts w:eastAsia="Calibri"/>
        </w:rPr>
        <w:t xml:space="preserve">, a supplier must collect one sample at each entry point to its distribution system every two weeks (bi-weekly) </w:t>
      </w:r>
      <w:bookmarkStart w:id="2526" w:name="_Hlk123752485"/>
      <w:r w:rsidR="006625A9" w:rsidRPr="003B4362">
        <w:rPr>
          <w:rFonts w:eastAsia="Calibri"/>
        </w:rPr>
        <w:t xml:space="preserve">for </w:t>
      </w:r>
      <w:r w:rsidR="00150F29" w:rsidRPr="003B4362">
        <w:rPr>
          <w:rFonts w:eastAsia="Calibri"/>
        </w:rPr>
        <w:t>specific</w:t>
      </w:r>
      <w:r w:rsidR="006625A9" w:rsidRPr="003B4362">
        <w:rPr>
          <w:rFonts w:eastAsia="Calibri"/>
        </w:rPr>
        <w:t xml:space="preserve"> water quality parameters</w:t>
      </w:r>
      <w:bookmarkEnd w:id="2526"/>
      <w:r w:rsidR="006625A9" w:rsidRPr="003B4362">
        <w:rPr>
          <w:rFonts w:eastAsia="Calibri"/>
        </w:rPr>
        <w:t>:</w:t>
      </w:r>
    </w:p>
    <w:p w14:paraId="70C3A38B" w14:textId="4706018F" w:rsidR="006625A9" w:rsidRPr="003B4362" w:rsidRDefault="000F6C1E" w:rsidP="00AB0454">
      <w:pPr>
        <w:suppressAutoHyphens/>
        <w:spacing w:before="240" w:after="240"/>
        <w:ind w:left="3600" w:hanging="720"/>
        <w:rPr>
          <w:rFonts w:eastAsia="Calibri"/>
        </w:rPr>
      </w:pPr>
      <w:r w:rsidRPr="003B4362">
        <w:rPr>
          <w:rFonts w:eastAsia="Calibri"/>
        </w:rPr>
        <w:t>i</w:t>
      </w:r>
      <w:r w:rsidR="006625A9" w:rsidRPr="003B4362">
        <w:rPr>
          <w:rFonts w:eastAsia="Calibri"/>
        </w:rPr>
        <w:t>)</w:t>
      </w:r>
      <w:r w:rsidR="006625A9" w:rsidRPr="003B4362">
        <w:rPr>
          <w:rFonts w:eastAsia="Calibri"/>
        </w:rPr>
        <w:tab/>
        <w:t>pH;</w:t>
      </w:r>
    </w:p>
    <w:p w14:paraId="1C6605EE" w14:textId="299F9161" w:rsidR="006625A9" w:rsidRPr="003B4362" w:rsidRDefault="0022307C" w:rsidP="00AB0454">
      <w:pPr>
        <w:spacing w:before="240" w:after="240"/>
        <w:ind w:left="3600" w:hanging="720"/>
        <w:rPr>
          <w:rFonts w:eastAsia="Calibri"/>
        </w:rPr>
      </w:pPr>
      <w:r w:rsidRPr="003B4362">
        <w:rPr>
          <w:rFonts w:eastAsia="Calibri"/>
        </w:rPr>
        <w:t>ii</w:t>
      </w:r>
      <w:r w:rsidR="006625A9" w:rsidRPr="003B4362">
        <w:rPr>
          <w:rFonts w:eastAsia="Calibri"/>
        </w:rPr>
        <w:t>)</w:t>
      </w:r>
      <w:r w:rsidR="006625A9" w:rsidRPr="003B4362">
        <w:rPr>
          <w:rFonts w:eastAsia="Calibri"/>
        </w:rPr>
        <w:tab/>
        <w:t>If the supplier adjusts alkalinity as part of optimal corrosion control, a reading of the chemical dosage rate the supplier uses to adjust alkalinity and the alkalinity concentration; and</w:t>
      </w:r>
    </w:p>
    <w:p w14:paraId="10FE4DCF" w14:textId="35C4EA92" w:rsidR="006625A9" w:rsidRPr="003B4362" w:rsidRDefault="0022307C" w:rsidP="00AB0454">
      <w:pPr>
        <w:spacing w:before="240" w:after="240"/>
        <w:ind w:left="3600" w:hanging="720"/>
        <w:rPr>
          <w:rFonts w:eastAsia="Calibri"/>
        </w:rPr>
      </w:pPr>
      <w:r w:rsidRPr="003B4362">
        <w:rPr>
          <w:rFonts w:eastAsia="Calibri"/>
        </w:rPr>
        <w:t>iii</w:t>
      </w:r>
      <w:r w:rsidR="006625A9" w:rsidRPr="003B4362">
        <w:rPr>
          <w:rFonts w:eastAsia="Calibri"/>
        </w:rPr>
        <w:t>)</w:t>
      </w:r>
      <w:r w:rsidR="006625A9" w:rsidRPr="003B4362">
        <w:rPr>
          <w:rFonts w:eastAsia="Calibri"/>
        </w:rPr>
        <w:tab/>
        <w:t>If the supplier uses a corrosion inhibitor as part of optimal corrosion control, a reading of the inhibitor dosage rate the supplier uses and the orthophosphate or silica concentration.</w:t>
      </w:r>
    </w:p>
    <w:p w14:paraId="236207EB" w14:textId="7F6B57E3" w:rsidR="005451CE" w:rsidRPr="003B4362" w:rsidRDefault="0064122C" w:rsidP="00C713DC">
      <w:pPr>
        <w:spacing w:before="240" w:after="240"/>
        <w:ind w:left="2880" w:hanging="720"/>
        <w:rPr>
          <w:rFonts w:eastAsia="Calibri"/>
        </w:rPr>
      </w:pPr>
      <w:r w:rsidRPr="003B4362">
        <w:rPr>
          <w:szCs w:val="24"/>
        </w:rPr>
        <w:t>C</w:t>
      </w:r>
      <w:r w:rsidR="005451CE" w:rsidRPr="003B4362">
        <w:rPr>
          <w:rFonts w:eastAsia="Calibri"/>
        </w:rPr>
        <w:t>)</w:t>
      </w:r>
      <w:r w:rsidR="005451CE" w:rsidRPr="003B4362">
        <w:rPr>
          <w:rFonts w:eastAsia="Calibri"/>
        </w:rPr>
        <w:tab/>
      </w:r>
      <w:bookmarkStart w:id="2527" w:name="_Hlk115185815"/>
      <w:r w:rsidR="005451CE" w:rsidRPr="003B4362">
        <w:rPr>
          <w:rFonts w:eastAsia="Calibri"/>
        </w:rPr>
        <w:t>Groundwater Systems</w:t>
      </w:r>
      <w:bookmarkEnd w:id="2527"/>
      <w:r w:rsidR="005451CE" w:rsidRPr="003B4362">
        <w:rPr>
          <w:rFonts w:eastAsia="Calibri"/>
        </w:rPr>
        <w:t>.  A</w:t>
      </w:r>
      <w:bookmarkStart w:id="2528" w:name="_Hlk115185931"/>
      <w:r w:rsidR="005451CE" w:rsidRPr="003B4362">
        <w:rPr>
          <w:rFonts w:eastAsia="Calibri"/>
        </w:rPr>
        <w:t xml:space="preserve"> groundwater system supplier</w:t>
      </w:r>
      <w:bookmarkEnd w:id="2528"/>
      <w:r w:rsidR="005451CE" w:rsidRPr="003B4362">
        <w:rPr>
          <w:rFonts w:eastAsia="Calibri"/>
        </w:rPr>
        <w:t xml:space="preserve"> can limit entry point </w:t>
      </w:r>
      <w:bookmarkStart w:id="2529" w:name="_Hlk115186029"/>
      <w:r w:rsidR="005451CE" w:rsidRPr="003B4362">
        <w:rPr>
          <w:rFonts w:eastAsia="Calibri"/>
        </w:rPr>
        <w:t xml:space="preserve">sampling under subsection </w:t>
      </w:r>
      <w:bookmarkEnd w:id="2529"/>
      <w:r w:rsidR="0034757B" w:rsidRPr="003B4362">
        <w:rPr>
          <w:szCs w:val="24"/>
        </w:rPr>
        <w:t xml:space="preserve">(c)(1)(B) </w:t>
      </w:r>
      <w:r w:rsidR="005451CE" w:rsidRPr="003B4362">
        <w:rPr>
          <w:rFonts w:eastAsia="Calibri"/>
        </w:rPr>
        <w:t xml:space="preserve">to those </w:t>
      </w:r>
      <w:bookmarkStart w:id="2530" w:name="_Hlk129026492"/>
      <w:r w:rsidR="005451CE" w:rsidRPr="003B4362">
        <w:rPr>
          <w:rFonts w:eastAsia="Calibri"/>
        </w:rPr>
        <w:t>entry points representing water quality</w:t>
      </w:r>
      <w:bookmarkEnd w:id="2530"/>
      <w:r w:rsidR="005451CE" w:rsidRPr="003B4362">
        <w:rPr>
          <w:rFonts w:eastAsia="Calibri"/>
        </w:rPr>
        <w:t xml:space="preserve"> and treatment conditions throughout the system.  If water from untreated groundwater sources mixes with water from treated groundwater sources, the system must monitor for </w:t>
      </w:r>
      <w:bookmarkStart w:id="2531" w:name="_Hlk129026573"/>
      <w:r w:rsidR="005451CE" w:rsidRPr="003B4362">
        <w:rPr>
          <w:rFonts w:eastAsia="Calibri"/>
        </w:rPr>
        <w:t>water quality parameters at both representative entry points receiving treatment and representative entry points not receiving treatment</w:t>
      </w:r>
      <w:bookmarkEnd w:id="2531"/>
      <w:r w:rsidR="005451CE" w:rsidRPr="003B4362">
        <w:rPr>
          <w:rFonts w:eastAsia="Calibri"/>
        </w:rPr>
        <w:t xml:space="preserve">.  </w:t>
      </w:r>
      <w:bookmarkStart w:id="2532" w:name="_Hlk129026806"/>
      <w:r w:rsidR="00B72ECE" w:rsidRPr="003B4362">
        <w:rPr>
          <w:rFonts w:eastAsia="Calibri"/>
        </w:rPr>
        <w:t xml:space="preserve">Before </w:t>
      </w:r>
      <w:r w:rsidR="005451CE" w:rsidRPr="003B4362">
        <w:rPr>
          <w:rFonts w:eastAsia="Calibri"/>
        </w:rPr>
        <w:t>starting monitoring</w:t>
      </w:r>
      <w:bookmarkEnd w:id="2532"/>
      <w:r w:rsidR="005451CE" w:rsidRPr="003B4362">
        <w:rPr>
          <w:rFonts w:eastAsia="Calibri"/>
        </w:rPr>
        <w:t xml:space="preserve"> under this subsection</w:t>
      </w:r>
      <w:r w:rsidR="0034757B" w:rsidRPr="003B4362">
        <w:rPr>
          <w:szCs w:val="24"/>
        </w:rPr>
        <w:t xml:space="preserve"> (c)(1)(C)</w:t>
      </w:r>
      <w:r w:rsidR="005451CE" w:rsidRPr="003B4362">
        <w:rPr>
          <w:rFonts w:eastAsia="Calibri"/>
        </w:rPr>
        <w:t xml:space="preserve">, </w:t>
      </w:r>
      <w:bookmarkStart w:id="2533" w:name="_Hlk115187418"/>
      <w:r w:rsidR="005451CE" w:rsidRPr="003B4362">
        <w:rPr>
          <w:rFonts w:eastAsia="Calibri"/>
        </w:rPr>
        <w:t>the supplier must provide written information to the Agency</w:t>
      </w:r>
      <w:bookmarkEnd w:id="2533"/>
      <w:r w:rsidR="005451CE" w:rsidRPr="003B4362">
        <w:rPr>
          <w:rFonts w:eastAsia="Calibri"/>
        </w:rPr>
        <w:t xml:space="preserve"> identifying the </w:t>
      </w:r>
      <w:bookmarkStart w:id="2534" w:name="_Hlk115187745"/>
      <w:r w:rsidR="005451CE" w:rsidRPr="003B4362">
        <w:rPr>
          <w:rFonts w:eastAsia="Calibri"/>
        </w:rPr>
        <w:t xml:space="preserve">selected entry points and </w:t>
      </w:r>
      <w:r w:rsidR="005451CE" w:rsidRPr="003B4362">
        <w:rPr>
          <w:rFonts w:eastAsia="Calibri"/>
        </w:rPr>
        <w:lastRenderedPageBreak/>
        <w:t>documentation</w:t>
      </w:r>
      <w:bookmarkEnd w:id="2534"/>
      <w:r w:rsidR="005451CE" w:rsidRPr="003B4362">
        <w:rPr>
          <w:rFonts w:eastAsia="Calibri"/>
        </w:rPr>
        <w:t xml:space="preserve"> sufficient to </w:t>
      </w:r>
      <w:bookmarkStart w:id="2535" w:name="_Hlk115187832"/>
      <w:r w:rsidR="005451CE" w:rsidRPr="003B4362">
        <w:rPr>
          <w:rFonts w:eastAsia="Calibri"/>
        </w:rPr>
        <w:t>demonstrate that the sites represent water quality</w:t>
      </w:r>
      <w:bookmarkEnd w:id="2535"/>
      <w:r w:rsidR="005451CE" w:rsidRPr="003B4362">
        <w:rPr>
          <w:rFonts w:eastAsia="Calibri"/>
        </w:rPr>
        <w:t xml:space="preserve"> and treatment conditions throughout the system, including information on seasonal variability.</w:t>
      </w:r>
    </w:p>
    <w:p w14:paraId="49F7F1BF" w14:textId="11AE9935" w:rsidR="00C713DC" w:rsidRPr="003B4362" w:rsidRDefault="00C713DC" w:rsidP="00C713DC">
      <w:pPr>
        <w:autoSpaceDE w:val="0"/>
        <w:autoSpaceDN w:val="0"/>
        <w:adjustRightInd w:val="0"/>
        <w:ind w:left="2160" w:hanging="720"/>
        <w:rPr>
          <w:szCs w:val="24"/>
        </w:rPr>
      </w:pPr>
      <w:r w:rsidRPr="003B4362">
        <w:rPr>
          <w:szCs w:val="24"/>
        </w:rPr>
        <w:t>2)</w:t>
      </w:r>
      <w:r w:rsidRPr="003B4362">
        <w:rPr>
          <w:szCs w:val="24"/>
        </w:rPr>
        <w:tab/>
      </w:r>
      <w:bookmarkStart w:id="2536" w:name="_Hlk123757961"/>
      <w:bookmarkStart w:id="2537" w:name="_Hlk123758099"/>
      <w:r w:rsidR="000C505D" w:rsidRPr="003B4362">
        <w:rPr>
          <w:szCs w:val="24"/>
        </w:rPr>
        <w:t>U</w:t>
      </w:r>
      <w:bookmarkStart w:id="2538" w:name="_Hlk123758589"/>
      <w:r w:rsidR="000C505D" w:rsidRPr="003B4362">
        <w:rPr>
          <w:szCs w:val="24"/>
        </w:rPr>
        <w:t xml:space="preserve">pon determining </w:t>
      </w:r>
      <w:r w:rsidR="00EF0465" w:rsidRPr="003B4362">
        <w:rPr>
          <w:szCs w:val="24"/>
        </w:rPr>
        <w:t xml:space="preserve">that </w:t>
      </w:r>
      <w:r w:rsidR="000C505D" w:rsidRPr="003B4362">
        <w:rPr>
          <w:szCs w:val="24"/>
        </w:rPr>
        <w:t xml:space="preserve">doing so </w:t>
      </w:r>
      <w:r w:rsidR="00EF0465" w:rsidRPr="003B4362">
        <w:rPr>
          <w:szCs w:val="24"/>
        </w:rPr>
        <w:t xml:space="preserve">is </w:t>
      </w:r>
      <w:r w:rsidR="000C505D" w:rsidRPr="003B4362">
        <w:rPr>
          <w:szCs w:val="24"/>
        </w:rPr>
        <w:t>necessary</w:t>
      </w:r>
      <w:bookmarkEnd w:id="2538"/>
      <w:r w:rsidR="000C505D" w:rsidRPr="003B4362">
        <w:rPr>
          <w:szCs w:val="24"/>
        </w:rPr>
        <w:t>, t</w:t>
      </w:r>
      <w:r w:rsidRPr="003B4362">
        <w:rPr>
          <w:szCs w:val="24"/>
        </w:rPr>
        <w:t>he Agency may issue a SEP requiring a small or m</w:t>
      </w:r>
      <w:r w:rsidR="009C6E4E" w:rsidRPr="003B4362">
        <w:rPr>
          <w:szCs w:val="24"/>
        </w:rPr>
        <w:t>id</w:t>
      </w:r>
      <w:r w:rsidRPr="003B4362">
        <w:rPr>
          <w:szCs w:val="24"/>
        </w:rPr>
        <w:t>-sized supplier applying corrosion control treatment for which the Agency has not designated OWQPs</w:t>
      </w:r>
      <w:bookmarkStart w:id="2539" w:name="_Hlk123758222"/>
      <w:bookmarkStart w:id="2540" w:name="_Hlk123758296"/>
      <w:bookmarkEnd w:id="2536"/>
      <w:bookmarkEnd w:id="2537"/>
      <w:r w:rsidR="000C505D" w:rsidRPr="003B4362">
        <w:rPr>
          <w:szCs w:val="24"/>
        </w:rPr>
        <w:t xml:space="preserve"> that exceeds</w:t>
      </w:r>
      <w:r w:rsidRPr="003B4362">
        <w:rPr>
          <w:szCs w:val="24"/>
        </w:rPr>
        <w:t xml:space="preserve"> the lead trigger level but not the lead </w:t>
      </w:r>
      <w:r w:rsidR="000C505D" w:rsidRPr="003B4362">
        <w:rPr>
          <w:szCs w:val="24"/>
        </w:rPr>
        <w:t>or</w:t>
      </w:r>
      <w:r w:rsidRPr="003B4362">
        <w:rPr>
          <w:szCs w:val="24"/>
        </w:rPr>
        <w:t xml:space="preserve"> copper action level</w:t>
      </w:r>
      <w:bookmarkEnd w:id="2539"/>
      <w:bookmarkEnd w:id="2540"/>
      <w:r w:rsidRPr="003B4362">
        <w:rPr>
          <w:szCs w:val="24"/>
        </w:rPr>
        <w:t xml:space="preserve"> to conduct water quality parameter monitoring </w:t>
      </w:r>
      <w:bookmarkStart w:id="2541" w:name="_Hlk123758684"/>
      <w:r w:rsidR="000C505D" w:rsidRPr="003B4362">
        <w:rPr>
          <w:szCs w:val="24"/>
        </w:rPr>
        <w:t>under</w:t>
      </w:r>
      <w:r w:rsidRPr="003B4362">
        <w:rPr>
          <w:szCs w:val="24"/>
        </w:rPr>
        <w:t xml:space="preserve"> subsection (c)(1)</w:t>
      </w:r>
      <w:bookmarkEnd w:id="2541"/>
      <w:r w:rsidR="00774BDD" w:rsidRPr="003B4362">
        <w:rPr>
          <w:szCs w:val="24"/>
        </w:rPr>
        <w:t>.  Alternatively, the Board may require</w:t>
      </w:r>
      <w:r w:rsidRPr="003B4362">
        <w:rPr>
          <w:szCs w:val="24"/>
        </w:rPr>
        <w:t xml:space="preserve"> </w:t>
      </w:r>
      <w:bookmarkStart w:id="2542" w:name="_Hlk123760333"/>
      <w:r w:rsidR="003B2BC0" w:rsidRPr="003B4362">
        <w:rPr>
          <w:szCs w:val="24"/>
        </w:rPr>
        <w:t>an alternative scheme for monitoring</w:t>
      </w:r>
      <w:r w:rsidRPr="003B4362">
        <w:rPr>
          <w:szCs w:val="24"/>
        </w:rPr>
        <w:t xml:space="preserve"> water quality control parameter</w:t>
      </w:r>
      <w:r w:rsidR="003B2BC0" w:rsidRPr="003B4362">
        <w:rPr>
          <w:szCs w:val="24"/>
        </w:rPr>
        <w:t>s</w:t>
      </w:r>
      <w:bookmarkEnd w:id="2542"/>
      <w:r w:rsidR="00774BDD" w:rsidRPr="003B4362">
        <w:rPr>
          <w:szCs w:val="24"/>
        </w:rPr>
        <w:t>, by rule, variance, or adjusted standard</w:t>
      </w:r>
      <w:r w:rsidRPr="003B4362">
        <w:rPr>
          <w:szCs w:val="24"/>
        </w:rPr>
        <w:t>.</w:t>
      </w:r>
    </w:p>
    <w:p w14:paraId="7D9B5006" w14:textId="3F1F8165" w:rsidR="005451CE" w:rsidRPr="003B4362" w:rsidRDefault="005451CE" w:rsidP="005451CE">
      <w:pPr>
        <w:suppressAutoHyphens/>
        <w:spacing w:before="240" w:after="240"/>
        <w:ind w:left="1440" w:hanging="720"/>
        <w:rPr>
          <w:rFonts w:eastAsia="Calibri"/>
        </w:rPr>
      </w:pPr>
      <w:r w:rsidRPr="003B4362">
        <w:rPr>
          <w:rFonts w:eastAsia="Calibri"/>
        </w:rPr>
        <w:t>d)</w:t>
      </w:r>
      <w:r w:rsidRPr="003B4362">
        <w:rPr>
          <w:rFonts w:eastAsia="Calibri"/>
        </w:rPr>
        <w:tab/>
        <w:t>Monitoring after the Agency Specifies Water Quality Parameter Values for Optimal Corrosion Control</w:t>
      </w:r>
    </w:p>
    <w:p w14:paraId="4B32B65A" w14:textId="117B9406" w:rsidR="00FA0226" w:rsidRPr="003B4362" w:rsidRDefault="00FA0226" w:rsidP="005451CE">
      <w:pPr>
        <w:suppressAutoHyphens/>
        <w:spacing w:before="240" w:after="240"/>
        <w:ind w:left="2160" w:hanging="720"/>
        <w:rPr>
          <w:rFonts w:eastAsia="Calibri"/>
        </w:rPr>
      </w:pPr>
      <w:r w:rsidRPr="003B4362">
        <w:rPr>
          <w:szCs w:val="24"/>
        </w:rPr>
        <w:t>1)</w:t>
      </w:r>
      <w:r w:rsidRPr="003B4362">
        <w:rPr>
          <w:szCs w:val="24"/>
        </w:rPr>
        <w:tab/>
      </w:r>
      <w:r w:rsidRPr="003B4362">
        <w:rPr>
          <w:rFonts w:eastAsia="Calibri"/>
        </w:rPr>
        <w:t>After the Agency specifies the values for water quality control parameters reflecting</w:t>
      </w:r>
      <w:r w:rsidR="00746042" w:rsidRPr="003B4362">
        <w:rPr>
          <w:rFonts w:eastAsia="Calibri"/>
        </w:rPr>
        <w:t xml:space="preserve"> OCCT</w:t>
      </w:r>
      <w:r w:rsidRPr="003B4362">
        <w:rPr>
          <w:rFonts w:eastAsia="Calibri"/>
        </w:rPr>
        <w:t xml:space="preserve"> </w:t>
      </w:r>
      <w:r w:rsidR="00F22869" w:rsidRPr="003B4362">
        <w:rPr>
          <w:rFonts w:eastAsia="Calibri"/>
        </w:rPr>
        <w:t xml:space="preserve">under Section 611.352(f), </w:t>
      </w:r>
      <w:r w:rsidR="002A3790" w:rsidRPr="003B4362">
        <w:rPr>
          <w:szCs w:val="24"/>
        </w:rPr>
        <w:t>a supplier</w:t>
      </w:r>
      <w:r w:rsidRPr="003B4362">
        <w:rPr>
          <w:szCs w:val="24"/>
        </w:rPr>
        <w:t xml:space="preserve"> must monitor for the specified </w:t>
      </w:r>
      <w:bookmarkStart w:id="2543" w:name="_Hlk124160485"/>
      <w:bookmarkStart w:id="2544" w:name="_Hlk123844140"/>
      <w:r w:rsidR="002A3790" w:rsidRPr="003B4362">
        <w:rPr>
          <w:szCs w:val="24"/>
        </w:rPr>
        <w:t>OWQP</w:t>
      </w:r>
      <w:bookmarkEnd w:id="2543"/>
      <w:r w:rsidRPr="003B4362">
        <w:rPr>
          <w:szCs w:val="24"/>
        </w:rPr>
        <w:t>s</w:t>
      </w:r>
      <w:bookmarkEnd w:id="2544"/>
      <w:r w:rsidRPr="003B4362">
        <w:rPr>
          <w:szCs w:val="24"/>
        </w:rPr>
        <w:t xml:space="preserve"> during </w:t>
      </w:r>
      <w:r w:rsidR="00DF2676" w:rsidRPr="003B4362">
        <w:rPr>
          <w:szCs w:val="24"/>
        </w:rPr>
        <w:t>six</w:t>
      </w:r>
      <w:r w:rsidRPr="003B4362">
        <w:rPr>
          <w:szCs w:val="24"/>
        </w:rPr>
        <w:t xml:space="preserve">-month </w:t>
      </w:r>
      <w:bookmarkStart w:id="2545" w:name="_Hlk123845144"/>
      <w:r w:rsidR="00886A51" w:rsidRPr="003B4362">
        <w:rPr>
          <w:szCs w:val="24"/>
        </w:rPr>
        <w:t xml:space="preserve">water quality monitoring </w:t>
      </w:r>
      <w:r w:rsidRPr="003B4362">
        <w:rPr>
          <w:szCs w:val="24"/>
        </w:rPr>
        <w:t xml:space="preserve">periods </w:t>
      </w:r>
      <w:bookmarkStart w:id="2546" w:name="_Hlk123845257"/>
      <w:r w:rsidR="00DF2676" w:rsidRPr="003B4362">
        <w:rPr>
          <w:szCs w:val="24"/>
        </w:rPr>
        <w:t>beginning</w:t>
      </w:r>
      <w:r w:rsidRPr="003B4362">
        <w:rPr>
          <w:szCs w:val="24"/>
        </w:rPr>
        <w:t xml:space="preserve"> on</w:t>
      </w:r>
      <w:bookmarkStart w:id="2547" w:name="_Hlk123845096"/>
      <w:bookmarkEnd w:id="2545"/>
      <w:r w:rsidR="00DF2676" w:rsidRPr="003B4362">
        <w:rPr>
          <w:szCs w:val="24"/>
        </w:rPr>
        <w:t xml:space="preserve"> </w:t>
      </w:r>
      <w:r w:rsidRPr="003B4362">
        <w:rPr>
          <w:szCs w:val="24"/>
        </w:rPr>
        <w:t>January 1 or July 1</w:t>
      </w:r>
      <w:bookmarkEnd w:id="2546"/>
      <w:bookmarkEnd w:id="2547"/>
      <w:r w:rsidRPr="003B4362">
        <w:rPr>
          <w:szCs w:val="24"/>
        </w:rPr>
        <w:t xml:space="preserve">.  </w:t>
      </w:r>
      <w:bookmarkStart w:id="2548" w:name="_Hlk123845321"/>
      <w:r w:rsidR="00DF2676" w:rsidRPr="003B4362">
        <w:rPr>
          <w:szCs w:val="24"/>
        </w:rPr>
        <w:t>T</w:t>
      </w:r>
      <w:bookmarkStart w:id="2549" w:name="_Hlk123845436"/>
      <w:r w:rsidR="00DF2676" w:rsidRPr="003B4362">
        <w:rPr>
          <w:szCs w:val="24"/>
        </w:rPr>
        <w:t>he supplier must space this</w:t>
      </w:r>
      <w:r w:rsidRPr="003B4362">
        <w:rPr>
          <w:szCs w:val="24"/>
        </w:rPr>
        <w:t xml:space="preserve"> monitoring</w:t>
      </w:r>
      <w:r w:rsidR="00DF2676" w:rsidRPr="003B4362">
        <w:rPr>
          <w:szCs w:val="24"/>
        </w:rPr>
        <w:t xml:space="preserve"> </w:t>
      </w:r>
      <w:r w:rsidRPr="003B4362">
        <w:rPr>
          <w:szCs w:val="24"/>
        </w:rPr>
        <w:t xml:space="preserve">evenly throughout the </w:t>
      </w:r>
      <w:r w:rsidR="00DF2676" w:rsidRPr="003B4362">
        <w:rPr>
          <w:szCs w:val="24"/>
        </w:rPr>
        <w:t>six</w:t>
      </w:r>
      <w:r w:rsidRPr="003B4362">
        <w:rPr>
          <w:szCs w:val="24"/>
        </w:rPr>
        <w:t xml:space="preserve">-month </w:t>
      </w:r>
      <w:r w:rsidR="00886A51" w:rsidRPr="003B4362">
        <w:rPr>
          <w:szCs w:val="24"/>
        </w:rPr>
        <w:t xml:space="preserve">water quality </w:t>
      </w:r>
      <w:r w:rsidRPr="003B4362">
        <w:rPr>
          <w:szCs w:val="24"/>
        </w:rPr>
        <w:t>monitoring period</w:t>
      </w:r>
      <w:bookmarkStart w:id="2550" w:name="_Hlk123845516"/>
      <w:bookmarkEnd w:id="2548"/>
      <w:bookmarkEnd w:id="2549"/>
      <w:r w:rsidR="007D168B" w:rsidRPr="003B4362">
        <w:rPr>
          <w:szCs w:val="24"/>
        </w:rPr>
        <w:t xml:space="preserve"> </w:t>
      </w:r>
      <w:bookmarkStart w:id="2551" w:name="_Hlk123845736"/>
      <w:r w:rsidRPr="003B4362">
        <w:rPr>
          <w:szCs w:val="24"/>
        </w:rPr>
        <w:t>to reflect seasonal variability and be consistent with</w:t>
      </w:r>
      <w:r w:rsidR="007D168B" w:rsidRPr="003B4362">
        <w:rPr>
          <w:szCs w:val="24"/>
        </w:rPr>
        <w:t xml:space="preserve"> </w:t>
      </w:r>
      <w:r w:rsidRPr="003B4362">
        <w:rPr>
          <w:szCs w:val="24"/>
        </w:rPr>
        <w:t xml:space="preserve">subsections (c)(1)(A) through </w:t>
      </w:r>
      <w:r w:rsidR="007D168B" w:rsidRPr="003B4362">
        <w:rPr>
          <w:szCs w:val="24"/>
        </w:rPr>
        <w:t>(c)(1)</w:t>
      </w:r>
      <w:r w:rsidRPr="003B4362">
        <w:rPr>
          <w:szCs w:val="24"/>
        </w:rPr>
        <w:t>(C)</w:t>
      </w:r>
      <w:bookmarkEnd w:id="2550"/>
      <w:bookmarkEnd w:id="2551"/>
      <w:r w:rsidRPr="003B4362">
        <w:rPr>
          <w:szCs w:val="24"/>
        </w:rPr>
        <w:t>.</w:t>
      </w:r>
    </w:p>
    <w:p w14:paraId="4A59EE4A" w14:textId="552AE752" w:rsidR="005451CE" w:rsidRPr="003B4362" w:rsidRDefault="007D168B" w:rsidP="007D168B">
      <w:pPr>
        <w:suppressAutoHyphens/>
        <w:spacing w:before="240" w:after="240"/>
        <w:ind w:left="2880" w:hanging="720"/>
        <w:rPr>
          <w:rFonts w:eastAsia="Calibri"/>
        </w:rPr>
      </w:pPr>
      <w:r w:rsidRPr="003B4362">
        <w:rPr>
          <w:rFonts w:eastAsia="Calibri"/>
        </w:rPr>
        <w:t>A</w:t>
      </w:r>
      <w:r w:rsidR="005451CE" w:rsidRPr="003B4362">
        <w:rPr>
          <w:rFonts w:eastAsia="Calibri"/>
        </w:rPr>
        <w:t>)</w:t>
      </w:r>
      <w:r w:rsidR="005451CE" w:rsidRPr="003B4362">
        <w:rPr>
          <w:rFonts w:eastAsia="Calibri"/>
        </w:rPr>
        <w:tab/>
        <w:t xml:space="preserve">Large Suppliers.   </w:t>
      </w:r>
      <w:r w:rsidR="00EF0465" w:rsidRPr="003B4362">
        <w:rPr>
          <w:rFonts w:eastAsia="Calibri"/>
        </w:rPr>
        <w:t>A</w:t>
      </w:r>
      <w:r w:rsidR="005451CE" w:rsidRPr="003B4362">
        <w:rPr>
          <w:rFonts w:eastAsia="Calibri"/>
        </w:rPr>
        <w:t xml:space="preserve"> large supplier must measure the applicable water quality parameters </w:t>
      </w:r>
      <w:r w:rsidR="00F76F9A" w:rsidRPr="003B4362">
        <w:rPr>
          <w:szCs w:val="24"/>
        </w:rPr>
        <w:t xml:space="preserve">the Agency specifies </w:t>
      </w:r>
      <w:r w:rsidR="005451CE" w:rsidRPr="003B4362">
        <w:rPr>
          <w:rFonts w:eastAsia="Calibri"/>
        </w:rPr>
        <w:t xml:space="preserve">and </w:t>
      </w:r>
      <w:bookmarkStart w:id="2552" w:name="_Hlk123850881"/>
      <w:r w:rsidR="005451CE" w:rsidRPr="003B4362">
        <w:rPr>
          <w:rFonts w:eastAsia="Calibri"/>
        </w:rPr>
        <w:t>determine whether the supplier complies with Section 611.352(g)</w:t>
      </w:r>
      <w:bookmarkEnd w:id="2552"/>
      <w:r w:rsidR="005451CE" w:rsidRPr="003B4362">
        <w:rPr>
          <w:rFonts w:eastAsia="Calibri"/>
        </w:rPr>
        <w:t xml:space="preserve"> every six months, with </w:t>
      </w:r>
      <w:bookmarkStart w:id="2553" w:name="_Hlk128488226"/>
      <w:r w:rsidR="005451CE" w:rsidRPr="003B4362">
        <w:rPr>
          <w:rFonts w:eastAsia="Calibri"/>
        </w:rPr>
        <w:t xml:space="preserve">the first </w:t>
      </w:r>
      <w:r w:rsidR="00E12F89" w:rsidRPr="003B4362">
        <w:rPr>
          <w:rFonts w:eastAsia="Calibri"/>
        </w:rPr>
        <w:t>six-month</w:t>
      </w:r>
      <w:r w:rsidR="005451CE" w:rsidRPr="003B4362">
        <w:rPr>
          <w:rFonts w:eastAsia="Calibri"/>
        </w:rPr>
        <w:t xml:space="preserve"> </w:t>
      </w:r>
      <w:r w:rsidR="00FE5A3B" w:rsidRPr="003B4362">
        <w:rPr>
          <w:rFonts w:eastAsia="Calibri"/>
        </w:rPr>
        <w:t xml:space="preserve">water quality monitoring </w:t>
      </w:r>
      <w:r w:rsidR="005451CE" w:rsidRPr="003B4362">
        <w:rPr>
          <w:rFonts w:eastAsia="Calibri"/>
        </w:rPr>
        <w:t>period</w:t>
      </w:r>
      <w:bookmarkEnd w:id="2553"/>
      <w:r w:rsidR="005451CE" w:rsidRPr="003B4362">
        <w:rPr>
          <w:rFonts w:eastAsia="Calibri"/>
        </w:rPr>
        <w:t xml:space="preserve"> to begin on the sooner of January 1 or July 1 after the Agency specifies the optimal values under Section 611.352(f).</w:t>
      </w:r>
    </w:p>
    <w:p w14:paraId="77176D50" w14:textId="26873EE1" w:rsidR="005451CE" w:rsidRPr="003B4362" w:rsidRDefault="008B2EA6" w:rsidP="004B35B9">
      <w:pPr>
        <w:suppressAutoHyphens/>
        <w:spacing w:before="240" w:after="240"/>
        <w:ind w:left="2880" w:hanging="720"/>
        <w:rPr>
          <w:rFonts w:eastAsia="Calibri"/>
        </w:rPr>
      </w:pPr>
      <w:r w:rsidRPr="003B4362">
        <w:rPr>
          <w:rFonts w:eastAsia="Calibri"/>
        </w:rPr>
        <w:t>B</w:t>
      </w:r>
      <w:r w:rsidR="005451CE" w:rsidRPr="003B4362">
        <w:rPr>
          <w:rFonts w:eastAsia="Calibri"/>
        </w:rPr>
        <w:t>)</w:t>
      </w:r>
      <w:r w:rsidR="005451CE" w:rsidRPr="003B4362">
        <w:rPr>
          <w:rFonts w:eastAsia="Calibri"/>
        </w:rPr>
        <w:tab/>
      </w:r>
      <w:r w:rsidR="009C6E4E" w:rsidRPr="003B4362">
        <w:rPr>
          <w:rFonts w:eastAsia="Calibri"/>
        </w:rPr>
        <w:t xml:space="preserve">Small </w:t>
      </w:r>
      <w:r w:rsidR="005451CE" w:rsidRPr="003B4362">
        <w:rPr>
          <w:rFonts w:eastAsia="Calibri"/>
        </w:rPr>
        <w:t xml:space="preserve">and </w:t>
      </w:r>
      <w:r w:rsidR="009C6E4E" w:rsidRPr="003B4362">
        <w:rPr>
          <w:rFonts w:eastAsia="Calibri"/>
        </w:rPr>
        <w:t xml:space="preserve">Mid-Sized </w:t>
      </w:r>
      <w:r w:rsidR="005451CE" w:rsidRPr="003B4362">
        <w:rPr>
          <w:rFonts w:eastAsia="Calibri"/>
        </w:rPr>
        <w:t xml:space="preserve">Suppliers.  </w:t>
      </w:r>
      <w:r w:rsidR="009C6E4E" w:rsidRPr="003B4362">
        <w:rPr>
          <w:rFonts w:eastAsia="Calibri"/>
        </w:rPr>
        <w:t xml:space="preserve">A small </w:t>
      </w:r>
      <w:r w:rsidR="005451CE" w:rsidRPr="003B4362">
        <w:rPr>
          <w:rFonts w:eastAsia="Calibri"/>
        </w:rPr>
        <w:t xml:space="preserve">or </w:t>
      </w:r>
      <w:r w:rsidR="009C6E4E" w:rsidRPr="003B4362">
        <w:rPr>
          <w:rFonts w:eastAsia="Calibri"/>
        </w:rPr>
        <w:t xml:space="preserve">mid-sized </w:t>
      </w:r>
      <w:r w:rsidR="005451CE" w:rsidRPr="003B4362">
        <w:rPr>
          <w:rFonts w:eastAsia="Calibri"/>
        </w:rPr>
        <w:t xml:space="preserve">supplier  </w:t>
      </w:r>
      <w:r w:rsidR="00EF0465" w:rsidRPr="003B4362">
        <w:rPr>
          <w:szCs w:val="24"/>
        </w:rPr>
        <w:t>exceeding</w:t>
      </w:r>
      <w:r w:rsidR="004B35B9" w:rsidRPr="003B4362">
        <w:rPr>
          <w:szCs w:val="24"/>
        </w:rPr>
        <w:t xml:space="preserve"> an action level must begin </w:t>
      </w:r>
      <w:r w:rsidR="005451CE" w:rsidRPr="003B4362">
        <w:rPr>
          <w:rFonts w:eastAsia="Calibri"/>
        </w:rPr>
        <w:t xml:space="preserve">monitoring during </w:t>
      </w:r>
      <w:r w:rsidR="00D06791" w:rsidRPr="003B4362">
        <w:rPr>
          <w:szCs w:val="24"/>
        </w:rPr>
        <w:t xml:space="preserve">the </w:t>
      </w:r>
      <w:bookmarkStart w:id="2554" w:name="_Hlk128488419"/>
      <w:r w:rsidR="00E12F89" w:rsidRPr="003B4362">
        <w:rPr>
          <w:rFonts w:eastAsia="Calibri"/>
        </w:rPr>
        <w:t>six-month</w:t>
      </w:r>
      <w:r w:rsidR="005451CE" w:rsidRPr="003B4362">
        <w:rPr>
          <w:rFonts w:eastAsia="Calibri"/>
        </w:rPr>
        <w:t xml:space="preserve"> </w:t>
      </w:r>
      <w:r w:rsidR="00FE5A3B" w:rsidRPr="003B4362">
        <w:rPr>
          <w:rFonts w:eastAsia="Calibri"/>
        </w:rPr>
        <w:t xml:space="preserve">water quality </w:t>
      </w:r>
      <w:r w:rsidR="005451CE" w:rsidRPr="003B4362">
        <w:rPr>
          <w:rFonts w:eastAsia="Calibri"/>
        </w:rPr>
        <w:t>monitoring period</w:t>
      </w:r>
      <w:bookmarkEnd w:id="2554"/>
      <w:r w:rsidR="005451CE" w:rsidRPr="003B4362">
        <w:rPr>
          <w:rFonts w:eastAsia="Calibri"/>
        </w:rPr>
        <w:t xml:space="preserve"> </w:t>
      </w:r>
      <w:r w:rsidR="00D06791" w:rsidRPr="003B4362">
        <w:rPr>
          <w:szCs w:val="24"/>
        </w:rPr>
        <w:t xml:space="preserve">immediately following the </w:t>
      </w:r>
      <w:bookmarkStart w:id="2555" w:name="_Hlk128488622"/>
      <w:r w:rsidR="00D06791" w:rsidRPr="003B4362">
        <w:rPr>
          <w:szCs w:val="24"/>
        </w:rPr>
        <w:t xml:space="preserve">tap monitoring </w:t>
      </w:r>
      <w:r w:rsidR="00FE5A3B" w:rsidRPr="003B4362">
        <w:rPr>
          <w:szCs w:val="24"/>
        </w:rPr>
        <w:t>cycle</w:t>
      </w:r>
      <w:bookmarkEnd w:id="2555"/>
      <w:r w:rsidR="00D06791" w:rsidRPr="003B4362">
        <w:rPr>
          <w:szCs w:val="24"/>
        </w:rPr>
        <w:t xml:space="preserve"> </w:t>
      </w:r>
      <w:r w:rsidR="00B40CE3" w:rsidRPr="003B4362">
        <w:rPr>
          <w:rFonts w:eastAsia="Calibri"/>
        </w:rPr>
        <w:t xml:space="preserve">during </w:t>
      </w:r>
      <w:r w:rsidR="005451CE" w:rsidRPr="003B4362">
        <w:rPr>
          <w:rFonts w:eastAsia="Calibri"/>
        </w:rPr>
        <w:t xml:space="preserve">which </w:t>
      </w:r>
      <w:r w:rsidR="004917A0" w:rsidRPr="003B4362">
        <w:rPr>
          <w:szCs w:val="24"/>
        </w:rPr>
        <w:t xml:space="preserve">the </w:t>
      </w:r>
      <w:r w:rsidR="00716597" w:rsidRPr="003B4362">
        <w:rPr>
          <w:szCs w:val="24"/>
        </w:rPr>
        <w:t xml:space="preserve">exceedance occurs and continue monitoring until </w:t>
      </w:r>
      <w:r w:rsidR="004917A0" w:rsidRPr="003B4362">
        <w:rPr>
          <w:rFonts w:eastAsia="Calibri"/>
        </w:rPr>
        <w:t xml:space="preserve">the </w:t>
      </w:r>
      <w:r w:rsidR="005451CE" w:rsidRPr="003B4362">
        <w:rPr>
          <w:rFonts w:eastAsia="Calibri"/>
        </w:rPr>
        <w:t xml:space="preserve">supplier </w:t>
      </w:r>
      <w:r w:rsidR="0094273A" w:rsidRPr="003B4362">
        <w:rPr>
          <w:szCs w:val="24"/>
        </w:rPr>
        <w:t xml:space="preserve">no longer </w:t>
      </w:r>
      <w:r w:rsidR="005451CE" w:rsidRPr="003B4362">
        <w:rPr>
          <w:rFonts w:eastAsia="Calibri"/>
        </w:rPr>
        <w:t>exceeds the lead or copper action level</w:t>
      </w:r>
      <w:r w:rsidR="004917A0" w:rsidRPr="003B4362">
        <w:rPr>
          <w:szCs w:val="24"/>
        </w:rPr>
        <w:t xml:space="preserve"> and meets the </w:t>
      </w:r>
      <w:bookmarkStart w:id="2556" w:name="_Hlk124160527"/>
      <w:r w:rsidR="004917A0" w:rsidRPr="003B4362">
        <w:rPr>
          <w:szCs w:val="24"/>
        </w:rPr>
        <w:t>OWQPs</w:t>
      </w:r>
      <w:bookmarkEnd w:id="2556"/>
      <w:r w:rsidR="004917A0" w:rsidRPr="003B4362">
        <w:rPr>
          <w:szCs w:val="24"/>
        </w:rPr>
        <w:t xml:space="preserve"> in two consecutive six-month</w:t>
      </w:r>
      <w:bookmarkStart w:id="2557" w:name="_Hlk128488676"/>
      <w:r w:rsidR="004917A0" w:rsidRPr="003B4362">
        <w:rPr>
          <w:szCs w:val="24"/>
        </w:rPr>
        <w:t xml:space="preserve"> tap monitoring </w:t>
      </w:r>
      <w:r w:rsidR="009200A7" w:rsidRPr="003B4362">
        <w:rPr>
          <w:szCs w:val="24"/>
        </w:rPr>
        <w:t>cycle</w:t>
      </w:r>
      <w:r w:rsidR="004917A0" w:rsidRPr="003B4362">
        <w:rPr>
          <w:szCs w:val="24"/>
        </w:rPr>
        <w:t>s</w:t>
      </w:r>
      <w:bookmarkEnd w:id="2557"/>
      <w:r w:rsidR="004917A0" w:rsidRPr="003B4362">
        <w:rPr>
          <w:szCs w:val="24"/>
        </w:rPr>
        <w:t xml:space="preserve"> under Section 611.356(d)(3)</w:t>
      </w:r>
      <w:r w:rsidR="005451CE" w:rsidRPr="003B4362">
        <w:rPr>
          <w:rFonts w:eastAsia="Calibri"/>
        </w:rPr>
        <w:t>.  For a small or m</w:t>
      </w:r>
      <w:r w:rsidR="00534ACD" w:rsidRPr="003B4362">
        <w:rPr>
          <w:rFonts w:eastAsia="Calibri"/>
        </w:rPr>
        <w:t>id</w:t>
      </w:r>
      <w:r w:rsidR="005451CE" w:rsidRPr="003B4362">
        <w:rPr>
          <w:rFonts w:eastAsia="Calibri"/>
        </w:rPr>
        <w:t xml:space="preserve">-sized </w:t>
      </w:r>
      <w:r w:rsidR="00534ACD" w:rsidRPr="003B4362">
        <w:rPr>
          <w:rFonts w:eastAsia="Calibri"/>
        </w:rPr>
        <w:t xml:space="preserve">supplier </w:t>
      </w:r>
      <w:r w:rsidR="005451CE" w:rsidRPr="003B4362">
        <w:rPr>
          <w:rFonts w:eastAsia="Calibri"/>
        </w:rPr>
        <w:t xml:space="preserve">subject to </w:t>
      </w:r>
      <w:bookmarkStart w:id="2558" w:name="_Hlk128489099"/>
      <w:r w:rsidR="005451CE" w:rsidRPr="003B4362">
        <w:rPr>
          <w:rFonts w:eastAsia="Calibri"/>
        </w:rPr>
        <w:t xml:space="preserve">a reduced </w:t>
      </w:r>
      <w:r w:rsidR="009200A7" w:rsidRPr="003B4362">
        <w:rPr>
          <w:rFonts w:eastAsia="Calibri"/>
        </w:rPr>
        <w:t xml:space="preserve">water quality </w:t>
      </w:r>
      <w:r w:rsidR="005451CE" w:rsidRPr="003B4362">
        <w:rPr>
          <w:rFonts w:eastAsia="Calibri"/>
        </w:rPr>
        <w:t xml:space="preserve">monitoring </w:t>
      </w:r>
      <w:r w:rsidR="009200A7" w:rsidRPr="003B4362">
        <w:rPr>
          <w:rFonts w:eastAsia="Calibri"/>
        </w:rPr>
        <w:t xml:space="preserve">cycle </w:t>
      </w:r>
      <w:r w:rsidR="005451CE" w:rsidRPr="003B4362">
        <w:rPr>
          <w:rFonts w:eastAsia="Calibri"/>
        </w:rPr>
        <w:t>frequency</w:t>
      </w:r>
      <w:bookmarkEnd w:id="2558"/>
      <w:r w:rsidR="005451CE" w:rsidRPr="003B4362">
        <w:rPr>
          <w:rFonts w:eastAsia="Calibri"/>
        </w:rPr>
        <w:t xml:space="preserve"> under Section 611.356(d)(4) at the time it exceeds the action level, the start of the applicable </w:t>
      </w:r>
      <w:r w:rsidR="00E12F89" w:rsidRPr="003B4362">
        <w:rPr>
          <w:rFonts w:eastAsia="Calibri"/>
        </w:rPr>
        <w:t>six-month</w:t>
      </w:r>
      <w:r w:rsidR="005451CE" w:rsidRPr="003B4362">
        <w:rPr>
          <w:rFonts w:eastAsia="Calibri"/>
        </w:rPr>
        <w:t xml:space="preserve"> </w:t>
      </w:r>
      <w:r w:rsidR="009200A7" w:rsidRPr="003B4362">
        <w:rPr>
          <w:rFonts w:eastAsia="Calibri"/>
        </w:rPr>
        <w:t xml:space="preserve">water quality </w:t>
      </w:r>
      <w:r w:rsidR="005451CE" w:rsidRPr="003B4362">
        <w:rPr>
          <w:rFonts w:eastAsia="Calibri"/>
        </w:rPr>
        <w:t xml:space="preserve">monitoring </w:t>
      </w:r>
      <w:r w:rsidR="009200A7" w:rsidRPr="003B4362">
        <w:rPr>
          <w:rFonts w:eastAsia="Calibri"/>
        </w:rPr>
        <w:t xml:space="preserve">cycle </w:t>
      </w:r>
      <w:r w:rsidR="005451CE" w:rsidRPr="003B4362">
        <w:rPr>
          <w:rFonts w:eastAsia="Calibri"/>
        </w:rPr>
        <w:t xml:space="preserve">under this subsection (d) must coincide with the start of the applicable </w:t>
      </w:r>
      <w:r w:rsidR="009200A7" w:rsidRPr="003B4362">
        <w:rPr>
          <w:rFonts w:eastAsia="Calibri"/>
        </w:rPr>
        <w:t xml:space="preserve">tap </w:t>
      </w:r>
      <w:r w:rsidR="005451CE" w:rsidRPr="003B4362">
        <w:rPr>
          <w:rFonts w:eastAsia="Calibri"/>
        </w:rPr>
        <w:t xml:space="preserve">monitoring </w:t>
      </w:r>
      <w:r w:rsidR="009200A7" w:rsidRPr="003B4362">
        <w:rPr>
          <w:rFonts w:eastAsia="Calibri"/>
        </w:rPr>
        <w:t xml:space="preserve">cycle </w:t>
      </w:r>
      <w:r w:rsidR="005451CE" w:rsidRPr="003B4362">
        <w:rPr>
          <w:rFonts w:eastAsia="Calibri"/>
        </w:rPr>
        <w:t>under Section 611.356(d)(4).</w:t>
      </w:r>
    </w:p>
    <w:p w14:paraId="58C98D7F" w14:textId="747F2DBA" w:rsidR="005451CE" w:rsidRPr="003B4362" w:rsidRDefault="0053374F" w:rsidP="0053374F">
      <w:pPr>
        <w:suppressAutoHyphens/>
        <w:spacing w:before="240" w:after="240"/>
        <w:ind w:left="2880" w:hanging="720"/>
        <w:rPr>
          <w:rFonts w:eastAsia="Calibri"/>
        </w:rPr>
      </w:pPr>
      <w:r w:rsidRPr="003B4362">
        <w:rPr>
          <w:rFonts w:eastAsia="Calibri"/>
        </w:rPr>
        <w:lastRenderedPageBreak/>
        <w:t>C</w:t>
      </w:r>
      <w:r w:rsidR="005451CE" w:rsidRPr="003B4362">
        <w:rPr>
          <w:rFonts w:eastAsia="Calibri"/>
        </w:rPr>
        <w:t>)</w:t>
      </w:r>
      <w:r w:rsidR="005451CE" w:rsidRPr="003B4362">
        <w:rPr>
          <w:rFonts w:eastAsia="Calibri"/>
        </w:rPr>
        <w:tab/>
        <w:t xml:space="preserve">A supplier must determine whether it complies with Agency-designated </w:t>
      </w:r>
      <w:r w:rsidR="009677F5" w:rsidRPr="003B4362">
        <w:rPr>
          <w:rFonts w:eastAsia="Calibri"/>
        </w:rPr>
        <w:t xml:space="preserve">OWQPs </w:t>
      </w:r>
      <w:r w:rsidR="005451CE" w:rsidRPr="003B4362">
        <w:rPr>
          <w:rFonts w:eastAsia="Calibri"/>
        </w:rPr>
        <w:t>as Section 611.352(g) specifies.</w:t>
      </w:r>
    </w:p>
    <w:p w14:paraId="454CDE5F" w14:textId="2D0A9625" w:rsidR="001F2920" w:rsidRPr="003B4362" w:rsidRDefault="001F2920" w:rsidP="001F2920">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A</w:t>
      </w:r>
      <w:bookmarkStart w:id="2559" w:name="_Hlk124161909"/>
      <w:bookmarkStart w:id="2560" w:name="_Hlk124161741"/>
      <w:r w:rsidRPr="003B4362">
        <w:rPr>
          <w:rFonts w:eastAsia="Calibri"/>
          <w:szCs w:val="24"/>
        </w:rPr>
        <w:t xml:space="preserve"> small or m</w:t>
      </w:r>
      <w:r w:rsidR="00534ACD" w:rsidRPr="003B4362">
        <w:rPr>
          <w:rFonts w:eastAsia="Calibri"/>
          <w:szCs w:val="24"/>
        </w:rPr>
        <w:t>id</w:t>
      </w:r>
      <w:r w:rsidRPr="003B4362">
        <w:rPr>
          <w:rFonts w:eastAsia="Calibri"/>
          <w:szCs w:val="24"/>
        </w:rPr>
        <w:t>-sized supplier</w:t>
      </w:r>
      <w:bookmarkEnd w:id="2559"/>
      <w:r w:rsidRPr="003B4362">
        <w:rPr>
          <w:rFonts w:eastAsia="Calibri"/>
          <w:szCs w:val="24"/>
        </w:rPr>
        <w:t xml:space="preserve"> </w:t>
      </w:r>
      <w:bookmarkStart w:id="2561" w:name="_Hlk124162058"/>
      <w:r w:rsidRPr="003B4362">
        <w:rPr>
          <w:rFonts w:eastAsia="Calibri"/>
          <w:szCs w:val="24"/>
        </w:rPr>
        <w:t>exceeding the lead trigger level</w:t>
      </w:r>
      <w:bookmarkEnd w:id="2560"/>
      <w:r w:rsidRPr="003B4362">
        <w:rPr>
          <w:rFonts w:eastAsia="Calibri"/>
          <w:szCs w:val="24"/>
        </w:rPr>
        <w:t xml:space="preserve"> but not the lead or copper action level</w:t>
      </w:r>
      <w:bookmarkEnd w:id="2561"/>
      <w:r w:rsidRPr="003B4362">
        <w:rPr>
          <w:rFonts w:eastAsia="Calibri"/>
          <w:szCs w:val="24"/>
        </w:rPr>
        <w:t xml:space="preserve"> </w:t>
      </w:r>
      <w:bookmarkStart w:id="2562" w:name="_Hlk124162284"/>
      <w:bookmarkStart w:id="2563" w:name="_Hlk124162298"/>
      <w:r w:rsidRPr="003B4362">
        <w:rPr>
          <w:rFonts w:eastAsia="Calibri"/>
          <w:szCs w:val="24"/>
        </w:rPr>
        <w:t xml:space="preserve">for which </w:t>
      </w:r>
      <w:bookmarkStart w:id="2564" w:name="_Hlk124162129"/>
      <w:bookmarkEnd w:id="2562"/>
      <w:r w:rsidRPr="003B4362">
        <w:rPr>
          <w:rFonts w:eastAsia="Calibri"/>
          <w:szCs w:val="24"/>
        </w:rPr>
        <w:t xml:space="preserve">the </w:t>
      </w:r>
      <w:r w:rsidR="005E5140" w:rsidRPr="003B4362">
        <w:rPr>
          <w:rFonts w:eastAsia="Calibri"/>
          <w:szCs w:val="24"/>
        </w:rPr>
        <w:t xml:space="preserve">Agency has </w:t>
      </w:r>
      <w:r w:rsidRPr="003B4362">
        <w:rPr>
          <w:rFonts w:eastAsia="Calibri"/>
          <w:szCs w:val="24"/>
        </w:rPr>
        <w:t xml:space="preserve">set </w:t>
      </w:r>
      <w:r w:rsidR="005E5140" w:rsidRPr="003B4362">
        <w:rPr>
          <w:rFonts w:eastAsia="Calibri"/>
          <w:szCs w:val="24"/>
        </w:rPr>
        <w:t>OWQP</w:t>
      </w:r>
      <w:r w:rsidRPr="003B4362">
        <w:rPr>
          <w:rFonts w:eastAsia="Calibri"/>
          <w:szCs w:val="24"/>
        </w:rPr>
        <w:t>s</w:t>
      </w:r>
      <w:bookmarkEnd w:id="2563"/>
      <w:bookmarkEnd w:id="2564"/>
      <w:r w:rsidRPr="003B4362">
        <w:rPr>
          <w:rFonts w:eastAsia="Calibri"/>
          <w:szCs w:val="24"/>
        </w:rPr>
        <w:t xml:space="preserve"> must </w:t>
      </w:r>
      <w:bookmarkStart w:id="2565" w:name="_Hlk124164426"/>
      <w:bookmarkStart w:id="2566" w:name="_Hlk124164458"/>
      <w:r w:rsidRPr="003B4362">
        <w:rPr>
          <w:rFonts w:eastAsia="Calibri"/>
          <w:szCs w:val="24"/>
        </w:rPr>
        <w:t>monitor</w:t>
      </w:r>
      <w:r w:rsidR="000D1633" w:rsidRPr="003B4362">
        <w:rPr>
          <w:rFonts w:eastAsia="Calibri"/>
          <w:szCs w:val="24"/>
        </w:rPr>
        <w:t xml:space="preserve"> </w:t>
      </w:r>
      <w:bookmarkEnd w:id="2565"/>
      <w:r w:rsidR="000D1633" w:rsidRPr="003B4362">
        <w:rPr>
          <w:rFonts w:eastAsia="Calibri"/>
          <w:szCs w:val="24"/>
        </w:rPr>
        <w:t>every six months</w:t>
      </w:r>
      <w:r w:rsidRPr="003B4362">
        <w:rPr>
          <w:rFonts w:eastAsia="Calibri"/>
          <w:szCs w:val="24"/>
        </w:rPr>
        <w:t xml:space="preserve"> </w:t>
      </w:r>
      <w:bookmarkStart w:id="2567" w:name="_Hlk124164290"/>
      <w:r w:rsidRPr="003B4362">
        <w:rPr>
          <w:rFonts w:eastAsia="Calibri"/>
          <w:szCs w:val="24"/>
        </w:rPr>
        <w:t>as</w:t>
      </w:r>
      <w:r w:rsidR="000D1633" w:rsidRPr="003B4362">
        <w:rPr>
          <w:rFonts w:eastAsia="Calibri"/>
          <w:szCs w:val="24"/>
        </w:rPr>
        <w:t xml:space="preserve"> </w:t>
      </w:r>
      <w:r w:rsidRPr="003B4362">
        <w:rPr>
          <w:rFonts w:eastAsia="Calibri"/>
          <w:szCs w:val="24"/>
        </w:rPr>
        <w:t xml:space="preserve">subsection (d)(1) </w:t>
      </w:r>
      <w:bookmarkEnd w:id="2567"/>
      <w:r w:rsidR="000D1633" w:rsidRPr="003B4362">
        <w:rPr>
          <w:rFonts w:eastAsia="Calibri"/>
          <w:szCs w:val="24"/>
        </w:rPr>
        <w:t>specifies</w:t>
      </w:r>
      <w:bookmarkEnd w:id="2566"/>
      <w:r w:rsidRPr="003B4362">
        <w:rPr>
          <w:rFonts w:eastAsia="Calibri"/>
          <w:szCs w:val="24"/>
        </w:rPr>
        <w:t xml:space="preserve">, until the </w:t>
      </w:r>
      <w:r w:rsidR="000D1633" w:rsidRPr="003B4362">
        <w:rPr>
          <w:rFonts w:eastAsia="Calibri"/>
          <w:szCs w:val="24"/>
        </w:rPr>
        <w:t>supplier</w:t>
      </w:r>
      <w:r w:rsidRPr="003B4362">
        <w:rPr>
          <w:rFonts w:eastAsia="Calibri"/>
          <w:szCs w:val="24"/>
        </w:rPr>
        <w:t xml:space="preserve"> no longer exceeds the lead trigger level in </w:t>
      </w:r>
      <w:bookmarkStart w:id="2568" w:name="_Hlk128489993"/>
      <w:r w:rsidRPr="003B4362">
        <w:rPr>
          <w:rFonts w:eastAsia="Calibri"/>
          <w:szCs w:val="24"/>
        </w:rPr>
        <w:t xml:space="preserve">two consecutive tap monitoring </w:t>
      </w:r>
      <w:r w:rsidR="004E2FC1" w:rsidRPr="003B4362">
        <w:rPr>
          <w:rFonts w:eastAsia="Calibri"/>
          <w:szCs w:val="24"/>
        </w:rPr>
        <w:t>cycle</w:t>
      </w:r>
      <w:r w:rsidRPr="003B4362">
        <w:rPr>
          <w:rFonts w:eastAsia="Calibri"/>
          <w:szCs w:val="24"/>
        </w:rPr>
        <w:t>s</w:t>
      </w:r>
      <w:bookmarkEnd w:id="2568"/>
      <w:r w:rsidRPr="003B4362">
        <w:rPr>
          <w:rFonts w:eastAsia="Calibri"/>
          <w:szCs w:val="24"/>
        </w:rPr>
        <w:t>.</w:t>
      </w:r>
    </w:p>
    <w:p w14:paraId="30FBCBF0" w14:textId="4B378002" w:rsidR="001F2920" w:rsidRPr="003B4362" w:rsidRDefault="001F2920" w:rsidP="001F2920">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r>
      <w:bookmarkStart w:id="2569" w:name="_Hlk124165502"/>
      <w:r w:rsidR="00B56E45" w:rsidRPr="003B4362">
        <w:rPr>
          <w:rFonts w:eastAsia="Calibri"/>
          <w:szCs w:val="24"/>
        </w:rPr>
        <w:t>T</w:t>
      </w:r>
      <w:bookmarkStart w:id="2570" w:name="_Hlk124166044"/>
      <w:r w:rsidR="00B56E45" w:rsidRPr="003B4362">
        <w:rPr>
          <w:rFonts w:eastAsia="Calibri"/>
          <w:szCs w:val="24"/>
        </w:rPr>
        <w:t>he Agency may</w:t>
      </w:r>
      <w:r w:rsidR="00BA3C9C" w:rsidRPr="003B4362">
        <w:rPr>
          <w:rFonts w:eastAsia="Calibri"/>
          <w:szCs w:val="24"/>
        </w:rPr>
        <w:t xml:space="preserve"> </w:t>
      </w:r>
      <w:bookmarkStart w:id="2571" w:name="_Hlk124166522"/>
      <w:r w:rsidR="00BA3C9C" w:rsidRPr="003B4362">
        <w:rPr>
          <w:rFonts w:eastAsia="Calibri"/>
          <w:szCs w:val="24"/>
        </w:rPr>
        <w:t>issue a SEP</w:t>
      </w:r>
      <w:r w:rsidR="00B56E45" w:rsidRPr="003B4362">
        <w:rPr>
          <w:rFonts w:eastAsia="Calibri"/>
          <w:szCs w:val="24"/>
        </w:rPr>
        <w:t xml:space="preserve"> </w:t>
      </w:r>
      <w:r w:rsidRPr="003B4362">
        <w:rPr>
          <w:rFonts w:eastAsia="Calibri"/>
          <w:szCs w:val="24"/>
        </w:rPr>
        <w:t>requir</w:t>
      </w:r>
      <w:r w:rsidR="00BA3C9C" w:rsidRPr="003B4362">
        <w:rPr>
          <w:rFonts w:eastAsia="Calibri"/>
          <w:szCs w:val="24"/>
        </w:rPr>
        <w:t>ing</w:t>
      </w:r>
      <w:bookmarkEnd w:id="2571"/>
      <w:r w:rsidRPr="003B4362">
        <w:rPr>
          <w:rFonts w:eastAsia="Calibri"/>
          <w:szCs w:val="24"/>
        </w:rPr>
        <w:t xml:space="preserve"> </w:t>
      </w:r>
      <w:r w:rsidR="00B56E45" w:rsidRPr="003B4362">
        <w:rPr>
          <w:rFonts w:eastAsia="Calibri"/>
          <w:szCs w:val="24"/>
        </w:rPr>
        <w:t>a supplier</w:t>
      </w:r>
      <w:r w:rsidRPr="003B4362">
        <w:rPr>
          <w:rFonts w:eastAsia="Calibri"/>
          <w:szCs w:val="24"/>
        </w:rPr>
        <w:t xml:space="preserve"> </w:t>
      </w:r>
      <w:r w:rsidR="00E9663B" w:rsidRPr="003B4362">
        <w:rPr>
          <w:rFonts w:eastAsia="Calibri"/>
          <w:szCs w:val="24"/>
        </w:rPr>
        <w:t>under subsection (d)(2)</w:t>
      </w:r>
      <w:bookmarkEnd w:id="2569"/>
      <w:bookmarkEnd w:id="2570"/>
      <w:r w:rsidR="0077118A" w:rsidRPr="003B4362">
        <w:rPr>
          <w:rFonts w:eastAsia="Calibri"/>
          <w:szCs w:val="24"/>
        </w:rPr>
        <w:t xml:space="preserve"> to continue monitoring the OWQPs</w:t>
      </w:r>
      <w:r w:rsidRPr="003B4362">
        <w:rPr>
          <w:rFonts w:eastAsia="Calibri"/>
          <w:szCs w:val="24"/>
        </w:rPr>
        <w:t>.</w:t>
      </w:r>
    </w:p>
    <w:p w14:paraId="47462FA8" w14:textId="77777777" w:rsidR="005451CE" w:rsidRPr="003B4362" w:rsidRDefault="005451CE" w:rsidP="005451CE">
      <w:pPr>
        <w:suppressAutoHyphens/>
        <w:spacing w:before="240" w:after="240"/>
        <w:ind w:left="1440" w:hanging="720"/>
        <w:rPr>
          <w:rFonts w:eastAsia="Calibri"/>
        </w:rPr>
      </w:pPr>
      <w:r w:rsidRPr="003B4362">
        <w:rPr>
          <w:rFonts w:eastAsia="Calibri"/>
        </w:rPr>
        <w:t>e)</w:t>
      </w:r>
      <w:r w:rsidRPr="003B4362">
        <w:rPr>
          <w:rFonts w:eastAsia="Calibri"/>
        </w:rPr>
        <w:tab/>
        <w:t>Reduced Monitoring</w:t>
      </w:r>
    </w:p>
    <w:p w14:paraId="6A9F16CC" w14:textId="27922DED" w:rsidR="005451CE" w:rsidRPr="003B4362" w:rsidRDefault="005451CE" w:rsidP="005451CE">
      <w:pPr>
        <w:suppressAutoHyphens/>
        <w:spacing w:before="240" w:after="240"/>
        <w:ind w:left="2160" w:hanging="720"/>
        <w:rPr>
          <w:rFonts w:eastAsia="Calibri"/>
        </w:rPr>
      </w:pPr>
      <w:r w:rsidRPr="003B4362">
        <w:rPr>
          <w:rFonts w:eastAsia="Calibri"/>
        </w:rPr>
        <w:t>1)</w:t>
      </w:r>
      <w:r w:rsidRPr="003B4362">
        <w:rPr>
          <w:rFonts w:eastAsia="Calibri"/>
        </w:rPr>
        <w:tab/>
        <w:t xml:space="preserve">Reduced Tap Monitoring.  A </w:t>
      </w:r>
      <w:r w:rsidR="00AE2255" w:rsidRPr="003B4362">
        <w:rPr>
          <w:szCs w:val="24"/>
        </w:rPr>
        <w:t xml:space="preserve">large </w:t>
      </w:r>
      <w:r w:rsidRPr="003B4362">
        <w:rPr>
          <w:rFonts w:eastAsia="Calibri"/>
        </w:rPr>
        <w:t xml:space="preserve">supplier maintaining the range of values for the water quality parameters reflecting </w:t>
      </w:r>
      <w:r w:rsidR="00746042" w:rsidRPr="003B4362">
        <w:rPr>
          <w:rFonts w:eastAsia="Calibri"/>
        </w:rPr>
        <w:t xml:space="preserve">OCCT </w:t>
      </w:r>
      <w:bookmarkStart w:id="2572" w:name="_Hlk124169277"/>
      <w:r w:rsidR="00B52C95" w:rsidRPr="003B4362">
        <w:rPr>
          <w:szCs w:val="24"/>
        </w:rPr>
        <w:t xml:space="preserve">the </w:t>
      </w:r>
      <w:r w:rsidR="000F068E" w:rsidRPr="003B4362">
        <w:rPr>
          <w:szCs w:val="24"/>
        </w:rPr>
        <w:t>Agency</w:t>
      </w:r>
      <w:r w:rsidR="00B52C95" w:rsidRPr="003B4362">
        <w:rPr>
          <w:szCs w:val="24"/>
        </w:rPr>
        <w:t xml:space="preserve"> </w:t>
      </w:r>
      <w:r w:rsidR="000F068E" w:rsidRPr="003B4362">
        <w:rPr>
          <w:szCs w:val="24"/>
        </w:rPr>
        <w:t xml:space="preserve">specifies </w:t>
      </w:r>
      <w:r w:rsidR="00B52C95" w:rsidRPr="003B4362">
        <w:rPr>
          <w:szCs w:val="24"/>
        </w:rPr>
        <w:t xml:space="preserve">under Section </w:t>
      </w:r>
      <w:r w:rsidR="000F068E" w:rsidRPr="003B4362">
        <w:rPr>
          <w:szCs w:val="24"/>
        </w:rPr>
        <w:t>61</w:t>
      </w:r>
      <w:r w:rsidR="00B52C95" w:rsidRPr="003B4362">
        <w:rPr>
          <w:szCs w:val="24"/>
        </w:rPr>
        <w:t>1.</w:t>
      </w:r>
      <w:r w:rsidR="000F068E" w:rsidRPr="003B4362">
        <w:rPr>
          <w:szCs w:val="24"/>
        </w:rPr>
        <w:t>35</w:t>
      </w:r>
      <w:r w:rsidR="00B52C95" w:rsidRPr="003B4362">
        <w:rPr>
          <w:szCs w:val="24"/>
        </w:rPr>
        <w:t>2(f)</w:t>
      </w:r>
      <w:bookmarkEnd w:id="2572"/>
      <w:r w:rsidR="00B52C95" w:rsidRPr="003B4362">
        <w:rPr>
          <w:szCs w:val="24"/>
        </w:rPr>
        <w:t xml:space="preserve"> and</w:t>
      </w:r>
      <w:r w:rsidR="000F068E" w:rsidRPr="003B4362">
        <w:rPr>
          <w:rFonts w:eastAsia="Calibri"/>
        </w:rPr>
        <w:t xml:space="preserve"> </w:t>
      </w:r>
      <w:r w:rsidR="00B52C95" w:rsidRPr="003B4362">
        <w:rPr>
          <w:szCs w:val="24"/>
        </w:rPr>
        <w:t>not exceed</w:t>
      </w:r>
      <w:r w:rsidR="000F068E" w:rsidRPr="003B4362">
        <w:rPr>
          <w:szCs w:val="24"/>
        </w:rPr>
        <w:t>ing</w:t>
      </w:r>
      <w:r w:rsidR="00B52C95" w:rsidRPr="003B4362">
        <w:rPr>
          <w:szCs w:val="24"/>
        </w:rPr>
        <w:t xml:space="preserve"> the lead trigger level </w:t>
      </w:r>
      <w:r w:rsidRPr="003B4362">
        <w:rPr>
          <w:rFonts w:eastAsia="Calibri"/>
        </w:rPr>
        <w:t xml:space="preserve">during each of two consecutive </w:t>
      </w:r>
      <w:r w:rsidR="00E12F89" w:rsidRPr="003B4362">
        <w:rPr>
          <w:rFonts w:eastAsia="Calibri"/>
        </w:rPr>
        <w:t>six-month</w:t>
      </w:r>
      <w:r w:rsidRPr="003B4362">
        <w:rPr>
          <w:rFonts w:eastAsia="Calibri"/>
        </w:rPr>
        <w:t xml:space="preserve"> </w:t>
      </w:r>
      <w:r w:rsidR="0003483F" w:rsidRPr="003B4362">
        <w:rPr>
          <w:rFonts w:eastAsia="Calibri"/>
        </w:rPr>
        <w:t xml:space="preserve">water quality </w:t>
      </w:r>
      <w:r w:rsidRPr="003B4362">
        <w:rPr>
          <w:rFonts w:eastAsia="Calibri"/>
        </w:rPr>
        <w:t xml:space="preserve">monitoring </w:t>
      </w:r>
      <w:r w:rsidR="0003483F" w:rsidRPr="003B4362">
        <w:rPr>
          <w:rFonts w:eastAsia="Calibri"/>
        </w:rPr>
        <w:t xml:space="preserve">cycles </w:t>
      </w:r>
      <w:r w:rsidRPr="003B4362">
        <w:rPr>
          <w:rFonts w:eastAsia="Calibri"/>
        </w:rPr>
        <w:t xml:space="preserve">under subsection (d) must continue monitoring at the entry points to the distribution system </w:t>
      </w:r>
      <w:bookmarkStart w:id="2573" w:name="_Hlk128491293"/>
      <w:r w:rsidRPr="003B4362">
        <w:rPr>
          <w:rFonts w:eastAsia="Calibri"/>
        </w:rPr>
        <w:t>as subsection</w:t>
      </w:r>
      <w:r w:rsidR="00F11B18" w:rsidRPr="003B4362">
        <w:rPr>
          <w:rFonts w:eastAsia="Calibri"/>
        </w:rPr>
        <w:t xml:space="preserve"> (c)(1)(B)</w:t>
      </w:r>
      <w:bookmarkStart w:id="2574" w:name="_Hlk128491363"/>
      <w:bookmarkEnd w:id="2573"/>
      <w:r w:rsidR="00AF7EE0" w:rsidRPr="003B4362">
        <w:rPr>
          <w:rFonts w:eastAsia="Calibri"/>
        </w:rPr>
        <w:t xml:space="preserve"> specifies</w:t>
      </w:r>
      <w:bookmarkEnd w:id="2574"/>
      <w:r w:rsidRPr="003B4362">
        <w:rPr>
          <w:rFonts w:eastAsia="Calibri"/>
        </w:rPr>
        <w:t xml:space="preserve">.  The supplier may collect two samples from each tap for applicable water quality parameters from the reduced </w:t>
      </w:r>
      <w:bookmarkStart w:id="2575" w:name="_Hlk115205313"/>
      <w:r w:rsidRPr="003B4362">
        <w:rPr>
          <w:rFonts w:eastAsia="Calibri"/>
        </w:rPr>
        <w:t xml:space="preserve">number of sites the second column of Table F (Standard Monitoring) indicates </w:t>
      </w:r>
      <w:bookmarkEnd w:id="2575"/>
      <w:r w:rsidRPr="003B4362">
        <w:rPr>
          <w:rFonts w:eastAsia="Calibri"/>
        </w:rPr>
        <w:t xml:space="preserve">during each subsequent </w:t>
      </w:r>
      <w:r w:rsidR="00E12F89" w:rsidRPr="003B4362">
        <w:rPr>
          <w:rFonts w:eastAsia="Calibri"/>
        </w:rPr>
        <w:t>six-month</w:t>
      </w:r>
      <w:r w:rsidRPr="003B4362">
        <w:rPr>
          <w:rFonts w:eastAsia="Calibri"/>
        </w:rPr>
        <w:t xml:space="preserve"> </w:t>
      </w:r>
      <w:r w:rsidR="0003483F" w:rsidRPr="003B4362">
        <w:rPr>
          <w:rFonts w:eastAsia="Calibri"/>
        </w:rPr>
        <w:t xml:space="preserve">water quality </w:t>
      </w:r>
      <w:r w:rsidRPr="003B4362">
        <w:rPr>
          <w:rFonts w:eastAsia="Calibri"/>
        </w:rPr>
        <w:t>monitoring</w:t>
      </w:r>
      <w:r w:rsidR="0003483F" w:rsidRPr="003B4362">
        <w:rPr>
          <w:rFonts w:eastAsia="Calibri"/>
        </w:rPr>
        <w:t xml:space="preserve"> cycle</w:t>
      </w:r>
      <w:r w:rsidRPr="003B4362">
        <w:rPr>
          <w:rFonts w:eastAsia="Calibri"/>
        </w:rPr>
        <w:t>.</w:t>
      </w:r>
      <w:r w:rsidR="00F11B18" w:rsidRPr="003B4362">
        <w:rPr>
          <w:szCs w:val="24"/>
        </w:rPr>
        <w:t xml:space="preserve">  The supplier must collect these samples evenly throughout the </w:t>
      </w:r>
      <w:bookmarkStart w:id="2576" w:name="_Hlk124170305"/>
      <w:r w:rsidR="00F11B18" w:rsidRPr="003B4362">
        <w:rPr>
          <w:szCs w:val="24"/>
        </w:rPr>
        <w:t xml:space="preserve">six-month </w:t>
      </w:r>
      <w:r w:rsidR="00AF7EE0" w:rsidRPr="003B4362">
        <w:rPr>
          <w:szCs w:val="24"/>
        </w:rPr>
        <w:t xml:space="preserve">water quality </w:t>
      </w:r>
      <w:r w:rsidR="00F11B18" w:rsidRPr="003B4362">
        <w:rPr>
          <w:szCs w:val="24"/>
        </w:rPr>
        <w:t xml:space="preserve">monitoring </w:t>
      </w:r>
      <w:bookmarkEnd w:id="2576"/>
      <w:r w:rsidR="00AF7EE0" w:rsidRPr="003B4362">
        <w:rPr>
          <w:szCs w:val="24"/>
        </w:rPr>
        <w:t>cycle</w:t>
      </w:r>
      <w:r w:rsidR="00F11B18" w:rsidRPr="003B4362">
        <w:rPr>
          <w:rFonts w:eastAsia="Calibri"/>
        </w:rPr>
        <w:t xml:space="preserve"> </w:t>
      </w:r>
      <w:bookmarkStart w:id="2577" w:name="_Hlk124170381"/>
      <w:r w:rsidR="00F11B18" w:rsidRPr="003B4362">
        <w:rPr>
          <w:szCs w:val="24"/>
        </w:rPr>
        <w:t>to reflect seasonal variability</w:t>
      </w:r>
      <w:bookmarkEnd w:id="2577"/>
      <w:r w:rsidR="00F11B18" w:rsidRPr="003B4362">
        <w:rPr>
          <w:szCs w:val="24"/>
        </w:rPr>
        <w:t>.</w:t>
      </w:r>
    </w:p>
    <w:p w14:paraId="743A76FC" w14:textId="2DF89765" w:rsidR="005451CE" w:rsidRPr="003B4362" w:rsidRDefault="005451CE" w:rsidP="005451CE">
      <w:pPr>
        <w:suppressAutoHyphens/>
        <w:spacing w:before="240" w:after="240"/>
        <w:ind w:left="2160" w:hanging="720"/>
        <w:rPr>
          <w:rFonts w:eastAsia="Calibri"/>
        </w:rPr>
      </w:pPr>
      <w:r w:rsidRPr="003B4362">
        <w:rPr>
          <w:rFonts w:eastAsia="Calibri"/>
        </w:rPr>
        <w:t>2)</w:t>
      </w:r>
      <w:r w:rsidRPr="003B4362">
        <w:rPr>
          <w:rFonts w:eastAsia="Calibri"/>
        </w:rPr>
        <w:tab/>
        <w:t>Reduced Monitoring Frequency</w:t>
      </w:r>
    </w:p>
    <w:p w14:paraId="01F38A73" w14:textId="34D4BD4E" w:rsidR="005451CE" w:rsidRPr="003B4362" w:rsidRDefault="005451CE" w:rsidP="005451CE">
      <w:pPr>
        <w:suppressAutoHyphens/>
        <w:spacing w:before="240" w:after="240"/>
        <w:ind w:left="2880" w:hanging="720"/>
        <w:rPr>
          <w:rFonts w:eastAsia="Calibri"/>
        </w:rPr>
      </w:pPr>
      <w:r w:rsidRPr="003B4362">
        <w:rPr>
          <w:rFonts w:eastAsia="Calibri"/>
        </w:rPr>
        <w:t>A)</w:t>
      </w:r>
      <w:r w:rsidRPr="003B4362">
        <w:rPr>
          <w:rFonts w:eastAsia="Calibri"/>
        </w:rPr>
        <w:tab/>
      </w:r>
      <w:r w:rsidR="00B40CE3" w:rsidRPr="003B4362">
        <w:rPr>
          <w:rFonts w:eastAsia="Calibri"/>
        </w:rPr>
        <w:t xml:space="preserve">Annual Monitoring.  A supplier maintaining the range of values for the water quality parameters reflecting OCCT under Section 611.352(f) </w:t>
      </w:r>
      <w:r w:rsidR="00BF62D0" w:rsidRPr="003B4362">
        <w:rPr>
          <w:rFonts w:eastAsia="Calibri"/>
        </w:rPr>
        <w:t xml:space="preserve">not </w:t>
      </w:r>
      <w:r w:rsidR="00B40CE3" w:rsidRPr="003B4362">
        <w:rPr>
          <w:szCs w:val="24"/>
        </w:rPr>
        <w:t xml:space="preserve">exceeding the lead trigger level or copper action level </w:t>
      </w:r>
      <w:r w:rsidR="00B40CE3" w:rsidRPr="003B4362">
        <w:rPr>
          <w:rFonts w:eastAsia="Calibri"/>
        </w:rPr>
        <w:t xml:space="preserve">during three consecutive years of monitoring may reduce its tap sampling frequency for applicable water quality parameters subsection (e)(1) specifies from every six months to annually.  The supplier must begin this reduced sampling during the calendar year immediately following </w:t>
      </w:r>
      <w:bookmarkStart w:id="2578" w:name="_Hlk128491960"/>
      <w:r w:rsidR="00B40CE3" w:rsidRPr="003B4362">
        <w:rPr>
          <w:rFonts w:eastAsia="Calibri"/>
        </w:rPr>
        <w:t xml:space="preserve">the end of the </w:t>
      </w:r>
      <w:r w:rsidR="00AF7EE0" w:rsidRPr="003B4362">
        <w:rPr>
          <w:rFonts w:eastAsia="Calibri"/>
        </w:rPr>
        <w:t xml:space="preserve">water quality </w:t>
      </w:r>
      <w:r w:rsidR="00B40CE3" w:rsidRPr="003B4362">
        <w:rPr>
          <w:rFonts w:eastAsia="Calibri"/>
        </w:rPr>
        <w:t xml:space="preserve">monitoring </w:t>
      </w:r>
      <w:r w:rsidR="00AF7EE0" w:rsidRPr="003B4362">
        <w:rPr>
          <w:rFonts w:eastAsia="Calibri"/>
        </w:rPr>
        <w:t>cycle</w:t>
      </w:r>
      <w:bookmarkEnd w:id="2578"/>
      <w:r w:rsidR="00B40CE3" w:rsidRPr="003B4362">
        <w:rPr>
          <w:rFonts w:eastAsia="Calibri"/>
        </w:rPr>
        <w:t xml:space="preserve"> in which the third consecutive year of six-month monitoring occurs.</w:t>
      </w:r>
    </w:p>
    <w:p w14:paraId="05D80C5F" w14:textId="2E7BD342"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A</w:t>
      </w:r>
      <w:bookmarkStart w:id="2579" w:name="_Hlk115208587"/>
      <w:r w:rsidRPr="003B4362">
        <w:rPr>
          <w:rFonts w:eastAsia="Calibri"/>
        </w:rPr>
        <w:t xml:space="preserve"> supplier may reduce its tap sampling frequency </w:t>
      </w:r>
      <w:bookmarkEnd w:id="2579"/>
      <w:r w:rsidRPr="003B4362">
        <w:rPr>
          <w:rFonts w:eastAsia="Calibri"/>
        </w:rPr>
        <w:t xml:space="preserve">for applicable water quality </w:t>
      </w:r>
      <w:bookmarkStart w:id="2580" w:name="_Hlk115208645"/>
      <w:r w:rsidRPr="003B4362">
        <w:rPr>
          <w:rFonts w:eastAsia="Calibri"/>
        </w:rPr>
        <w:t>parameters in subsection (e)(1)</w:t>
      </w:r>
      <w:bookmarkEnd w:id="2580"/>
      <w:r w:rsidRPr="003B4362">
        <w:rPr>
          <w:rFonts w:eastAsia="Calibri"/>
        </w:rPr>
        <w:t xml:space="preserve"> to </w:t>
      </w:r>
      <w:bookmarkStart w:id="2581" w:name="_Hlk115208732"/>
      <w:r w:rsidRPr="003B4362">
        <w:rPr>
          <w:rFonts w:eastAsia="Calibri"/>
        </w:rPr>
        <w:t xml:space="preserve">once every </w:t>
      </w:r>
      <w:bookmarkStart w:id="2582" w:name="_Hlk115208778"/>
      <w:bookmarkEnd w:id="2581"/>
      <w:r w:rsidR="00577723" w:rsidRPr="003B4362">
        <w:rPr>
          <w:szCs w:val="24"/>
        </w:rPr>
        <w:t xml:space="preserve">year </w:t>
      </w:r>
      <w:r w:rsidRPr="003B4362">
        <w:rPr>
          <w:rFonts w:eastAsia="Calibri"/>
        </w:rPr>
        <w:t>if the supplier demonstrates</w:t>
      </w:r>
      <w:bookmarkStart w:id="2583" w:name="_Hlk115208866"/>
      <w:bookmarkEnd w:id="2582"/>
      <w:r w:rsidRPr="003B4362">
        <w:rPr>
          <w:rFonts w:eastAsia="Calibri"/>
        </w:rPr>
        <w:t xml:space="preserve"> that it complies with subsections (e)(2)(B)(i) through (e)(2)(B)(iii)</w:t>
      </w:r>
      <w:bookmarkEnd w:id="2583"/>
      <w:r w:rsidRPr="003B4362">
        <w:rPr>
          <w:rFonts w:eastAsia="Calibri"/>
        </w:rPr>
        <w:t xml:space="preserve"> during </w:t>
      </w:r>
      <w:bookmarkStart w:id="2584" w:name="_Hlk128493240"/>
      <w:r w:rsidRPr="003B4362">
        <w:rPr>
          <w:rFonts w:eastAsia="Calibri"/>
        </w:rPr>
        <w:t xml:space="preserve">two consecutive </w:t>
      </w:r>
      <w:bookmarkStart w:id="2585" w:name="_Hlk128493318"/>
      <w:r w:rsidR="005D4BCC" w:rsidRPr="003B4362">
        <w:rPr>
          <w:rFonts w:eastAsia="Calibri"/>
        </w:rPr>
        <w:t xml:space="preserve">water quality </w:t>
      </w:r>
      <w:r w:rsidRPr="003B4362">
        <w:rPr>
          <w:rFonts w:eastAsia="Calibri"/>
        </w:rPr>
        <w:t>monitoring</w:t>
      </w:r>
      <w:r w:rsidR="005D4BCC" w:rsidRPr="003B4362">
        <w:rPr>
          <w:rFonts w:eastAsia="Calibri"/>
        </w:rPr>
        <w:t xml:space="preserve"> cycles</w:t>
      </w:r>
      <w:bookmarkEnd w:id="2585"/>
      <w:bookmarkEnd w:id="2584"/>
      <w:r w:rsidRPr="003B4362">
        <w:rPr>
          <w:rFonts w:eastAsia="Calibri"/>
        </w:rPr>
        <w:t>.</w:t>
      </w:r>
    </w:p>
    <w:p w14:paraId="4C5F50DB" w14:textId="15F25F4A" w:rsidR="005451CE" w:rsidRPr="003B4362" w:rsidRDefault="005451CE" w:rsidP="005451CE">
      <w:pPr>
        <w:spacing w:before="240" w:after="240"/>
        <w:ind w:left="3600" w:hanging="720"/>
        <w:rPr>
          <w:rFonts w:eastAsia="Calibri"/>
        </w:rPr>
      </w:pPr>
      <w:r w:rsidRPr="003B4362">
        <w:rPr>
          <w:rFonts w:eastAsia="Calibri"/>
        </w:rPr>
        <w:lastRenderedPageBreak/>
        <w:t>i)</w:t>
      </w:r>
      <w:r w:rsidRPr="003B4362">
        <w:rPr>
          <w:rFonts w:eastAsia="Calibri"/>
        </w:rPr>
        <w:tab/>
        <w:t xml:space="preserve">The supplier must demonstrate that its </w:t>
      </w:r>
      <w:bookmarkStart w:id="2586" w:name="_Hlk115209171"/>
      <w:r w:rsidRPr="003B4362">
        <w:rPr>
          <w:rFonts w:eastAsia="Calibri"/>
        </w:rPr>
        <w:t xml:space="preserve">tap water 90th percentile </w:t>
      </w:r>
      <w:r w:rsidR="00317D85" w:rsidRPr="003B4362">
        <w:rPr>
          <w:rFonts w:eastAsia="Calibri"/>
        </w:rPr>
        <w:t xml:space="preserve">concentration </w:t>
      </w:r>
      <w:r w:rsidR="008B30A1" w:rsidRPr="003B4362">
        <w:rPr>
          <w:rFonts w:eastAsia="Calibri"/>
        </w:rPr>
        <w:t xml:space="preserve">for lead </w:t>
      </w:r>
      <w:bookmarkEnd w:id="2586"/>
      <w:r w:rsidRPr="003B4362">
        <w:rPr>
          <w:rFonts w:eastAsia="Calibri"/>
        </w:rPr>
        <w:t>is less than or equal to the PQL for lead</w:t>
      </w:r>
      <w:r w:rsidR="00577723" w:rsidRPr="003B4362">
        <w:rPr>
          <w:szCs w:val="24"/>
        </w:rPr>
        <w:t xml:space="preserve"> of 0.005 mg/</w:t>
      </w:r>
      <w:r w:rsidR="00C25B6F" w:rsidRPr="003B4362">
        <w:t xml:space="preserve"> L</w:t>
      </w:r>
      <w:r w:rsidRPr="003B4362">
        <w:rPr>
          <w:rFonts w:eastAsia="Calibri"/>
        </w:rPr>
        <w:t>.</w:t>
      </w:r>
    </w:p>
    <w:p w14:paraId="7FADD22C" w14:textId="68B547C7"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 xml:space="preserve">The supplier must demonstrate that its tap water 90th percentile </w:t>
      </w:r>
      <w:r w:rsidR="00317D85" w:rsidRPr="003B4362">
        <w:rPr>
          <w:rFonts w:eastAsia="Calibri"/>
        </w:rPr>
        <w:t xml:space="preserve">concentration </w:t>
      </w:r>
      <w:r w:rsidR="008B30A1" w:rsidRPr="003B4362">
        <w:rPr>
          <w:rFonts w:eastAsia="Calibri"/>
        </w:rPr>
        <w:t xml:space="preserve">for copper </w:t>
      </w:r>
      <w:r w:rsidRPr="003B4362">
        <w:rPr>
          <w:rFonts w:eastAsia="Calibri"/>
        </w:rPr>
        <w:t>is less than or equal to 0.65 mg/</w:t>
      </w:r>
      <w:r w:rsidR="00C25B6F" w:rsidRPr="003B4362">
        <w:t xml:space="preserve"> L</w:t>
      </w:r>
      <w:r w:rsidRPr="003B4362">
        <w:rPr>
          <w:rFonts w:eastAsia="Calibri"/>
        </w:rPr>
        <w:t xml:space="preserve"> in Section 611.350(c)(</w:t>
      </w:r>
      <w:r w:rsidR="008B30A1" w:rsidRPr="003B4362">
        <w:rPr>
          <w:szCs w:val="24"/>
        </w:rPr>
        <w:t>3</w:t>
      </w:r>
      <w:r w:rsidRPr="003B4362">
        <w:rPr>
          <w:rFonts w:eastAsia="Calibri"/>
        </w:rPr>
        <w:t>).</w:t>
      </w:r>
    </w:p>
    <w:p w14:paraId="4A64E269" w14:textId="27B7575A" w:rsidR="005451CE" w:rsidRPr="003B4362" w:rsidRDefault="005451CE" w:rsidP="005451CE">
      <w:pPr>
        <w:spacing w:before="240" w:after="240"/>
        <w:ind w:left="3600" w:hanging="720"/>
        <w:rPr>
          <w:rFonts w:eastAsia="Calibri"/>
        </w:rPr>
      </w:pPr>
      <w:r w:rsidRPr="003B4362">
        <w:rPr>
          <w:rFonts w:eastAsia="Calibri"/>
        </w:rPr>
        <w:t>iii)</w:t>
      </w:r>
      <w:r w:rsidRPr="003B4362">
        <w:rPr>
          <w:rFonts w:eastAsia="Calibri"/>
        </w:rPr>
        <w:tab/>
        <w:t xml:space="preserve">The supplier must </w:t>
      </w:r>
      <w:bookmarkStart w:id="2587" w:name="_Hlk115209850"/>
      <w:r w:rsidRPr="003B4362">
        <w:rPr>
          <w:rFonts w:eastAsia="Calibri"/>
        </w:rPr>
        <w:t>demonstrate that it maintains the range of values</w:t>
      </w:r>
      <w:bookmarkEnd w:id="2587"/>
      <w:r w:rsidRPr="003B4362">
        <w:rPr>
          <w:rFonts w:eastAsia="Calibri"/>
        </w:rPr>
        <w:t xml:space="preserve"> for the water quality parameters reflecting </w:t>
      </w:r>
      <w:bookmarkStart w:id="2588" w:name="_Hlk115209904"/>
      <w:r w:rsidR="00746042" w:rsidRPr="003B4362">
        <w:rPr>
          <w:rFonts w:eastAsia="Calibri"/>
        </w:rPr>
        <w:t xml:space="preserve">OCCT </w:t>
      </w:r>
      <w:r w:rsidRPr="003B4362">
        <w:rPr>
          <w:rFonts w:eastAsia="Calibri"/>
        </w:rPr>
        <w:t>the Agency specified under Section 611.352(f)</w:t>
      </w:r>
      <w:bookmarkEnd w:id="2588"/>
      <w:r w:rsidRPr="003B4362">
        <w:rPr>
          <w:rFonts w:eastAsia="Calibri"/>
        </w:rPr>
        <w:t>.</w:t>
      </w:r>
    </w:p>
    <w:p w14:paraId="36B091FA" w14:textId="5F64590D" w:rsidR="005451CE" w:rsidRPr="003B4362" w:rsidRDefault="005451CE" w:rsidP="005451CE">
      <w:pPr>
        <w:suppressAutoHyphens/>
        <w:spacing w:before="240" w:after="240"/>
        <w:ind w:left="2160" w:hanging="720"/>
        <w:rPr>
          <w:rFonts w:eastAsia="Calibri"/>
        </w:rPr>
      </w:pPr>
      <w:r w:rsidRPr="003B4362">
        <w:rPr>
          <w:rFonts w:eastAsia="Calibri"/>
        </w:rPr>
        <w:t>3)</w:t>
      </w:r>
      <w:r w:rsidRPr="003B4362">
        <w:rPr>
          <w:rFonts w:eastAsia="Calibri"/>
        </w:rPr>
        <w:tab/>
        <w:t>A</w:t>
      </w:r>
      <w:bookmarkStart w:id="2589" w:name="_Hlk115210954"/>
      <w:r w:rsidRPr="003B4362">
        <w:rPr>
          <w:rFonts w:eastAsia="Calibri"/>
        </w:rPr>
        <w:t xml:space="preserve"> supplier sampling annually or triennially </w:t>
      </w:r>
      <w:bookmarkEnd w:id="2589"/>
      <w:r w:rsidRPr="003B4362">
        <w:rPr>
          <w:rFonts w:eastAsia="Calibri"/>
        </w:rPr>
        <w:t xml:space="preserve">must collect these samples evenly </w:t>
      </w:r>
      <w:bookmarkStart w:id="2590" w:name="_Hlk115211011"/>
      <w:r w:rsidRPr="003B4362">
        <w:rPr>
          <w:rFonts w:eastAsia="Calibri"/>
        </w:rPr>
        <w:t>throughout the calendar year to reflect seasonal variability</w:t>
      </w:r>
      <w:bookmarkEnd w:id="2590"/>
      <w:r w:rsidRPr="003B4362">
        <w:rPr>
          <w:rFonts w:eastAsia="Calibri"/>
        </w:rPr>
        <w:t>.</w:t>
      </w:r>
    </w:p>
    <w:p w14:paraId="2EDCEAEE" w14:textId="286FDA9A" w:rsidR="005451CE" w:rsidRPr="003B4362" w:rsidRDefault="005451CE" w:rsidP="005451CE">
      <w:pPr>
        <w:suppressAutoHyphens/>
        <w:spacing w:before="240" w:after="240"/>
        <w:ind w:left="2160" w:hanging="720"/>
        <w:rPr>
          <w:rFonts w:eastAsia="Calibri"/>
        </w:rPr>
      </w:pPr>
      <w:r w:rsidRPr="003B4362">
        <w:rPr>
          <w:rFonts w:eastAsia="Calibri"/>
        </w:rPr>
        <w:t>4)</w:t>
      </w:r>
      <w:r w:rsidRPr="003B4362">
        <w:rPr>
          <w:rFonts w:eastAsia="Calibri"/>
        </w:rPr>
        <w:tab/>
        <w:t>A</w:t>
      </w:r>
      <w:bookmarkStart w:id="2591" w:name="_Hlk115211154"/>
      <w:r w:rsidRPr="003B4362">
        <w:rPr>
          <w:rFonts w:eastAsia="Calibri"/>
        </w:rPr>
        <w:t xml:space="preserve"> supplier on a reduced monitoring frequency under this subsection (e) failing to operate</w:t>
      </w:r>
      <w:bookmarkEnd w:id="2591"/>
      <w:r w:rsidRPr="003B4362">
        <w:rPr>
          <w:rFonts w:eastAsia="Calibri"/>
        </w:rPr>
        <w:t xml:space="preserve"> at or above the minimum value or within the range of values for the </w:t>
      </w:r>
      <w:bookmarkStart w:id="2592" w:name="_Hlk115211282"/>
      <w:r w:rsidRPr="003B4362">
        <w:rPr>
          <w:rFonts w:eastAsia="Calibri"/>
        </w:rPr>
        <w:t>water quality parameters the Agency specifies under Section 611.352(f)</w:t>
      </w:r>
      <w:bookmarkEnd w:id="2592"/>
      <w:r w:rsidRPr="003B4362">
        <w:rPr>
          <w:rFonts w:eastAsia="Calibri"/>
        </w:rPr>
        <w:t xml:space="preserve"> for more than nine days in any </w:t>
      </w:r>
      <w:r w:rsidR="00E12F89" w:rsidRPr="003B4362">
        <w:rPr>
          <w:rFonts w:eastAsia="Calibri"/>
        </w:rPr>
        <w:t>six-month</w:t>
      </w:r>
      <w:r w:rsidRPr="003B4362">
        <w:rPr>
          <w:rFonts w:eastAsia="Calibri"/>
        </w:rPr>
        <w:t xml:space="preserve"> </w:t>
      </w:r>
      <w:bookmarkStart w:id="2593" w:name="_Hlk115211377"/>
      <w:r w:rsidRPr="003B4362">
        <w:rPr>
          <w:rFonts w:eastAsia="Calibri"/>
        </w:rPr>
        <w:t xml:space="preserve">period </w:t>
      </w:r>
      <w:r w:rsidR="00C12E6F" w:rsidRPr="003B4362">
        <w:rPr>
          <w:rFonts w:eastAsia="Calibri"/>
        </w:rPr>
        <w:t xml:space="preserve">for determining compliance under </w:t>
      </w:r>
      <w:r w:rsidRPr="003B4362">
        <w:rPr>
          <w:rFonts w:eastAsia="Calibri"/>
        </w:rPr>
        <w:t xml:space="preserve">Section 611.352(g) </w:t>
      </w:r>
      <w:bookmarkEnd w:id="2593"/>
      <w:r w:rsidRPr="003B4362">
        <w:rPr>
          <w:rFonts w:eastAsia="Calibri"/>
        </w:rPr>
        <w:t xml:space="preserve">must resume tap water sampling </w:t>
      </w:r>
      <w:bookmarkStart w:id="2594" w:name="_Hlk115211441"/>
      <w:r w:rsidRPr="003B4362">
        <w:rPr>
          <w:rFonts w:eastAsia="Calibri"/>
        </w:rPr>
        <w:t>complying with the number and frequency of samples subsection (d) requires</w:t>
      </w:r>
      <w:bookmarkEnd w:id="2594"/>
      <w:r w:rsidRPr="003B4362">
        <w:rPr>
          <w:rFonts w:eastAsia="Calibri"/>
        </w:rPr>
        <w:t>.  A</w:t>
      </w:r>
      <w:bookmarkStart w:id="2595" w:name="_Hlk115211546"/>
      <w:r w:rsidRPr="003B4362">
        <w:rPr>
          <w:rFonts w:eastAsia="Calibri"/>
        </w:rPr>
        <w:t xml:space="preserve"> supplier thus ceasing reduced monitoring </w:t>
      </w:r>
      <w:bookmarkEnd w:id="2595"/>
      <w:r w:rsidRPr="003B4362">
        <w:rPr>
          <w:rFonts w:eastAsia="Calibri"/>
        </w:rPr>
        <w:t xml:space="preserve">may resume annual monitoring for water quality parameters at the tap at the reduced number of </w:t>
      </w:r>
      <w:bookmarkStart w:id="2596" w:name="_Hlk115211590"/>
      <w:r w:rsidRPr="003B4362">
        <w:rPr>
          <w:rFonts w:eastAsia="Calibri"/>
        </w:rPr>
        <w:t>sites subsection (e)(1) specifies</w:t>
      </w:r>
      <w:bookmarkEnd w:id="2596"/>
      <w:r w:rsidRPr="003B4362">
        <w:rPr>
          <w:rFonts w:eastAsia="Calibri"/>
        </w:rPr>
        <w:t xml:space="preserve"> </w:t>
      </w:r>
      <w:bookmarkStart w:id="2597" w:name="_Hlk115211658"/>
      <w:r w:rsidRPr="003B4362">
        <w:rPr>
          <w:rFonts w:eastAsia="Calibri"/>
        </w:rPr>
        <w:t xml:space="preserve">after completing </w:t>
      </w:r>
      <w:bookmarkEnd w:id="2597"/>
      <w:r w:rsidRPr="003B4362">
        <w:rPr>
          <w:rFonts w:eastAsia="Calibri"/>
        </w:rPr>
        <w:t xml:space="preserve">two subsequent consecutive </w:t>
      </w:r>
      <w:r w:rsidR="00E12F89" w:rsidRPr="003B4362">
        <w:rPr>
          <w:rFonts w:eastAsia="Calibri"/>
        </w:rPr>
        <w:t>six-month</w:t>
      </w:r>
      <w:r w:rsidRPr="003B4362">
        <w:rPr>
          <w:rFonts w:eastAsia="Calibri"/>
        </w:rPr>
        <w:t xml:space="preserve"> rounds of </w:t>
      </w:r>
      <w:bookmarkStart w:id="2598" w:name="_Hlk115211777"/>
      <w:r w:rsidRPr="003B4362">
        <w:rPr>
          <w:rFonts w:eastAsia="Calibri"/>
        </w:rPr>
        <w:t>monitoring complying with subsection (e)(1)</w:t>
      </w:r>
      <w:bookmarkEnd w:id="2598"/>
      <w:r w:rsidRPr="003B4362">
        <w:rPr>
          <w:rFonts w:eastAsia="Calibri"/>
        </w:rPr>
        <w:t>.  T</w:t>
      </w:r>
      <w:bookmarkStart w:id="2599" w:name="_Hlk115211833"/>
      <w:r w:rsidRPr="003B4362">
        <w:rPr>
          <w:rFonts w:eastAsia="Calibri"/>
        </w:rPr>
        <w:t xml:space="preserve">he supplier may resume </w:t>
      </w:r>
      <w:r w:rsidR="003E2DD4" w:rsidRPr="003B4362">
        <w:rPr>
          <w:szCs w:val="24"/>
        </w:rPr>
        <w:t xml:space="preserve">annual </w:t>
      </w:r>
      <w:r w:rsidRPr="003B4362">
        <w:rPr>
          <w:rFonts w:eastAsia="Calibri"/>
        </w:rPr>
        <w:t xml:space="preserve">monitoring </w:t>
      </w:r>
      <w:bookmarkStart w:id="2600" w:name="_Hlk115211997"/>
      <w:bookmarkEnd w:id="2599"/>
      <w:r w:rsidRPr="003B4362">
        <w:rPr>
          <w:rFonts w:eastAsia="Calibri"/>
        </w:rPr>
        <w:t xml:space="preserve">for water quality parameters </w:t>
      </w:r>
      <w:bookmarkEnd w:id="2600"/>
      <w:r w:rsidRPr="003B4362">
        <w:rPr>
          <w:rFonts w:eastAsia="Calibri"/>
        </w:rPr>
        <w:t xml:space="preserve">at the reduced number of sites </w:t>
      </w:r>
      <w:bookmarkStart w:id="2601" w:name="_Hlk115212040"/>
      <w:r w:rsidRPr="003B4362">
        <w:rPr>
          <w:rFonts w:eastAsia="Calibri"/>
        </w:rPr>
        <w:t>after demonstrating through subsequent rounds of monitoring that the supplier complies with subsection (e)(2)(A) or (e)(2)(B)</w:t>
      </w:r>
      <w:bookmarkEnd w:id="2601"/>
      <w:r w:rsidRPr="003B4362">
        <w:rPr>
          <w:rFonts w:eastAsia="Calibri"/>
        </w:rPr>
        <w:t>.</w:t>
      </w:r>
    </w:p>
    <w:p w14:paraId="6C2D6E65" w14:textId="6F16836C" w:rsidR="005451CE" w:rsidRPr="003B4362" w:rsidRDefault="005451CE" w:rsidP="005451CE">
      <w:pPr>
        <w:suppressAutoHyphens/>
        <w:spacing w:before="240" w:after="240"/>
        <w:ind w:left="1440" w:hanging="720"/>
        <w:rPr>
          <w:rFonts w:eastAsia="Calibri"/>
        </w:rPr>
      </w:pPr>
      <w:r w:rsidRPr="003B4362">
        <w:rPr>
          <w:rFonts w:eastAsia="Calibri"/>
        </w:rPr>
        <w:t>f)</w:t>
      </w:r>
      <w:r w:rsidRPr="003B4362">
        <w:rPr>
          <w:rFonts w:eastAsia="Calibri"/>
        </w:rPr>
        <w:tab/>
        <w:t>Additional Monitoring by Suppliers.  T</w:t>
      </w:r>
      <w:bookmarkStart w:id="2602" w:name="_Hlk115212170"/>
      <w:r w:rsidRPr="003B4362">
        <w:rPr>
          <w:rFonts w:eastAsia="Calibri"/>
        </w:rPr>
        <w:t xml:space="preserve">he supplier and the Agency must consider </w:t>
      </w:r>
      <w:r w:rsidR="000A5BE4" w:rsidRPr="003B4362">
        <w:rPr>
          <w:rFonts w:eastAsia="Calibri"/>
        </w:rPr>
        <w:t xml:space="preserve">the results </w:t>
      </w:r>
      <w:r w:rsidRPr="003B4362">
        <w:rPr>
          <w:rFonts w:eastAsia="Calibri"/>
        </w:rPr>
        <w:t xml:space="preserve">any monitoring </w:t>
      </w:r>
      <w:r w:rsidR="000A5BE4" w:rsidRPr="003B4362">
        <w:rPr>
          <w:rFonts w:eastAsia="Calibri"/>
        </w:rPr>
        <w:t xml:space="preserve">conducted in addition to </w:t>
      </w:r>
      <w:r w:rsidRPr="003B4362">
        <w:rPr>
          <w:rFonts w:eastAsia="Calibri"/>
        </w:rPr>
        <w:t xml:space="preserve">what this Section requires </w:t>
      </w:r>
      <w:bookmarkEnd w:id="2602"/>
      <w:r w:rsidRPr="003B4362">
        <w:rPr>
          <w:rFonts w:eastAsia="Calibri"/>
        </w:rPr>
        <w:t>in making any determinations (i.e., determining concentrations of water quality parameters) under this Section or Section 611.352.</w:t>
      </w:r>
    </w:p>
    <w:p w14:paraId="21BD8438" w14:textId="43085DDE" w:rsidR="00AB4F59" w:rsidRPr="003B4362" w:rsidRDefault="00AB4F59" w:rsidP="00AB4F59">
      <w:pPr>
        <w:autoSpaceDE w:val="0"/>
        <w:autoSpaceDN w:val="0"/>
        <w:adjustRightInd w:val="0"/>
        <w:ind w:left="1440" w:hanging="720"/>
        <w:rPr>
          <w:szCs w:val="24"/>
        </w:rPr>
      </w:pPr>
      <w:r w:rsidRPr="003B4362">
        <w:rPr>
          <w:szCs w:val="24"/>
        </w:rPr>
        <w:t>g)</w:t>
      </w:r>
      <w:r w:rsidRPr="003B4362">
        <w:rPr>
          <w:szCs w:val="24"/>
        </w:rPr>
        <w:tab/>
      </w:r>
      <w:bookmarkStart w:id="2603" w:name="_Hlk124191010"/>
      <w:r w:rsidR="004C150A" w:rsidRPr="003B4362">
        <w:rPr>
          <w:szCs w:val="24"/>
        </w:rPr>
        <w:t>S</w:t>
      </w:r>
      <w:r w:rsidRPr="003B4362">
        <w:rPr>
          <w:szCs w:val="24"/>
        </w:rPr>
        <w:t xml:space="preserve">ites </w:t>
      </w:r>
      <w:r w:rsidR="004C150A" w:rsidRPr="003B4362">
        <w:rPr>
          <w:szCs w:val="24"/>
        </w:rPr>
        <w:t>A</w:t>
      </w:r>
      <w:r w:rsidRPr="003B4362">
        <w:rPr>
          <w:szCs w:val="24"/>
        </w:rPr>
        <w:t xml:space="preserve">dded </w:t>
      </w:r>
      <w:r w:rsidR="004C150A" w:rsidRPr="003B4362">
        <w:rPr>
          <w:szCs w:val="24"/>
        </w:rPr>
        <w:t>During</w:t>
      </w:r>
      <w:r w:rsidRPr="003B4362">
        <w:rPr>
          <w:szCs w:val="24"/>
        </w:rPr>
        <w:t xml:space="preserve"> </w:t>
      </w:r>
      <w:r w:rsidR="004C150A" w:rsidRPr="003B4362">
        <w:rPr>
          <w:szCs w:val="24"/>
        </w:rPr>
        <w:t>F</w:t>
      </w:r>
      <w:r w:rsidRPr="003B4362">
        <w:rPr>
          <w:szCs w:val="24"/>
        </w:rPr>
        <w:t>ind-and-</w:t>
      </w:r>
      <w:r w:rsidR="004C150A" w:rsidRPr="003B4362">
        <w:rPr>
          <w:szCs w:val="24"/>
        </w:rPr>
        <w:t>F</w:t>
      </w:r>
      <w:r w:rsidRPr="003B4362">
        <w:rPr>
          <w:szCs w:val="24"/>
        </w:rPr>
        <w:t>ix</w:t>
      </w:r>
      <w:bookmarkEnd w:id="2603"/>
      <w:r w:rsidRPr="003B4362">
        <w:rPr>
          <w:szCs w:val="24"/>
        </w:rPr>
        <w:t>.  A</w:t>
      </w:r>
      <w:bookmarkStart w:id="2604" w:name="_Hlk124189734"/>
      <w:bookmarkStart w:id="2605" w:name="_Hlk124189790"/>
      <w:r w:rsidRPr="003B4362">
        <w:rPr>
          <w:szCs w:val="24"/>
        </w:rPr>
        <w:t xml:space="preserve"> supplier conduct</w:t>
      </w:r>
      <w:bookmarkEnd w:id="2604"/>
      <w:r w:rsidRPr="003B4362">
        <w:rPr>
          <w:szCs w:val="24"/>
        </w:rPr>
        <w:t>ing</w:t>
      </w:r>
      <w:bookmarkEnd w:id="2605"/>
      <w:r w:rsidRPr="003B4362">
        <w:rPr>
          <w:szCs w:val="24"/>
        </w:rPr>
        <w:t xml:space="preserve"> water quality parameter monitoring at additional sites </w:t>
      </w:r>
      <w:bookmarkStart w:id="2606" w:name="_Hlk124190166"/>
      <w:r w:rsidR="00B96621" w:rsidRPr="003B4362">
        <w:rPr>
          <w:szCs w:val="24"/>
        </w:rPr>
        <w:t>during</w:t>
      </w:r>
      <w:r w:rsidRPr="003B4362">
        <w:rPr>
          <w:szCs w:val="24"/>
        </w:rPr>
        <w:t xml:space="preserve"> a “find-and-fix” assessment under Section </w:t>
      </w:r>
      <w:r w:rsidR="00B96621" w:rsidRPr="003B4362">
        <w:rPr>
          <w:szCs w:val="24"/>
        </w:rPr>
        <w:t>61</w:t>
      </w:r>
      <w:r w:rsidRPr="003B4362">
        <w:rPr>
          <w:szCs w:val="24"/>
        </w:rPr>
        <w:t>1.</w:t>
      </w:r>
      <w:r w:rsidR="00B96621" w:rsidRPr="003B4362">
        <w:rPr>
          <w:szCs w:val="24"/>
        </w:rPr>
        <w:t>35</w:t>
      </w:r>
      <w:r w:rsidRPr="003B4362">
        <w:rPr>
          <w:szCs w:val="24"/>
        </w:rPr>
        <w:t>2(j)</w:t>
      </w:r>
      <w:bookmarkEnd w:id="2606"/>
      <w:r w:rsidRPr="003B4362">
        <w:rPr>
          <w:szCs w:val="24"/>
        </w:rPr>
        <w:t xml:space="preserve"> must add those sites to the minimum number of </w:t>
      </w:r>
      <w:bookmarkStart w:id="2607" w:name="_Hlk124190511"/>
      <w:bookmarkStart w:id="2608" w:name="_Hlk124190612"/>
      <w:r w:rsidRPr="003B4362">
        <w:rPr>
          <w:szCs w:val="24"/>
        </w:rPr>
        <w:t>sites</w:t>
      </w:r>
      <w:r w:rsidR="00B96621" w:rsidRPr="003B4362">
        <w:rPr>
          <w:szCs w:val="24"/>
        </w:rPr>
        <w:t xml:space="preserve"> </w:t>
      </w:r>
      <w:r w:rsidRPr="003B4362">
        <w:rPr>
          <w:szCs w:val="24"/>
        </w:rPr>
        <w:t xml:space="preserve">subsections (a) through (e) </w:t>
      </w:r>
      <w:bookmarkEnd w:id="2607"/>
      <w:r w:rsidR="00B96621" w:rsidRPr="003B4362">
        <w:rPr>
          <w:szCs w:val="24"/>
        </w:rPr>
        <w:t>specify</w:t>
      </w:r>
      <w:bookmarkEnd w:id="2608"/>
      <w:r w:rsidR="00B96621" w:rsidRPr="003B4362">
        <w:rPr>
          <w:szCs w:val="24"/>
        </w:rPr>
        <w:t>,</w:t>
      </w:r>
      <w:r w:rsidRPr="003B4362">
        <w:rPr>
          <w:szCs w:val="24"/>
        </w:rPr>
        <w:t xml:space="preserve"> unless </w:t>
      </w:r>
      <w:bookmarkStart w:id="2609" w:name="_Hlk124190726"/>
      <w:bookmarkStart w:id="2610" w:name="_Hlk124190811"/>
      <w:r w:rsidRPr="003B4362">
        <w:rPr>
          <w:szCs w:val="24"/>
        </w:rPr>
        <w:t xml:space="preserve">the </w:t>
      </w:r>
      <w:r w:rsidR="00B96621" w:rsidRPr="003B4362">
        <w:rPr>
          <w:szCs w:val="24"/>
        </w:rPr>
        <w:t xml:space="preserve">supplier </w:t>
      </w:r>
      <w:r w:rsidRPr="003B4362">
        <w:rPr>
          <w:szCs w:val="24"/>
        </w:rPr>
        <w:t>monitor</w:t>
      </w:r>
      <w:bookmarkEnd w:id="2609"/>
      <w:r w:rsidR="00B96621" w:rsidRPr="003B4362">
        <w:rPr>
          <w:szCs w:val="24"/>
        </w:rPr>
        <w:t>s</w:t>
      </w:r>
      <w:bookmarkEnd w:id="2610"/>
      <w:r w:rsidRPr="003B4362">
        <w:rPr>
          <w:szCs w:val="24"/>
        </w:rPr>
        <w:t xml:space="preserve"> at least twice </w:t>
      </w:r>
      <w:bookmarkStart w:id="2611" w:name="_Hlk124190893"/>
      <w:r w:rsidRPr="003B4362">
        <w:rPr>
          <w:szCs w:val="24"/>
        </w:rPr>
        <w:t xml:space="preserve">the </w:t>
      </w:r>
      <w:r w:rsidR="00B96621" w:rsidRPr="003B4362">
        <w:rPr>
          <w:szCs w:val="24"/>
        </w:rPr>
        <w:t xml:space="preserve">required </w:t>
      </w:r>
      <w:r w:rsidRPr="003B4362">
        <w:rPr>
          <w:szCs w:val="24"/>
        </w:rPr>
        <w:t>minimum number of sites</w:t>
      </w:r>
      <w:bookmarkEnd w:id="2611"/>
      <w:r w:rsidRPr="003B4362">
        <w:rPr>
          <w:szCs w:val="24"/>
        </w:rPr>
        <w:t>.</w:t>
      </w:r>
    </w:p>
    <w:p w14:paraId="25F112E7" w14:textId="4DBCC8FC" w:rsidR="005451CE" w:rsidRPr="003B4362" w:rsidRDefault="005451CE" w:rsidP="005451CE">
      <w:pPr>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141.87.</w:t>
      </w:r>
    </w:p>
    <w:p w14:paraId="2C6EE549" w14:textId="21E6CAA0"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355EF24B" w14:textId="77777777" w:rsidR="005451CE" w:rsidRPr="003B4362" w:rsidRDefault="005451CE" w:rsidP="005A7813">
      <w:pPr>
        <w:rPr>
          <w:rFonts w:eastAsia="Calibri"/>
          <w:b/>
          <w:bCs/>
        </w:rPr>
      </w:pPr>
      <w:r w:rsidRPr="003B4362">
        <w:rPr>
          <w:rFonts w:eastAsia="Calibri"/>
          <w:b/>
          <w:bCs/>
        </w:rPr>
        <w:t>Section 611.358  Monitoring for Lead and Copper in Source Water</w:t>
      </w:r>
    </w:p>
    <w:p w14:paraId="1681F9BF" w14:textId="5E774409" w:rsidR="005451CE" w:rsidRPr="003B4362" w:rsidRDefault="005451CE" w:rsidP="005451CE">
      <w:pPr>
        <w:spacing w:before="240" w:after="240"/>
        <w:ind w:left="1440" w:hanging="720"/>
        <w:rPr>
          <w:rFonts w:eastAsia="Calibri"/>
        </w:rPr>
      </w:pPr>
      <w:r w:rsidRPr="003B4362">
        <w:rPr>
          <w:rFonts w:eastAsia="Calibri"/>
        </w:rPr>
        <w:lastRenderedPageBreak/>
        <w:t>a)</w:t>
      </w:r>
      <w:r w:rsidRPr="003B4362">
        <w:rPr>
          <w:rFonts w:eastAsia="Calibri"/>
        </w:rPr>
        <w:tab/>
        <w:t>Sampling Location, Collection Methods, and Number of Samples</w:t>
      </w:r>
    </w:p>
    <w:p w14:paraId="1356C757" w14:textId="1A453482"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A supplier failing to meet the lead or copper action level on the basis of tap samples under Section 611.356 must collect lead and copper source water samples under specific requirements for sample location, number of samples, and collection methods:</w:t>
      </w:r>
    </w:p>
    <w:p w14:paraId="032A1BDE" w14:textId="61DD6AD9"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A groundwater supplier must take a minimum of one sample at every entry point to the distribution system </w:t>
      </w:r>
      <w:bookmarkStart w:id="2612" w:name="_Hlk124194542"/>
      <w:r w:rsidR="00C43A03" w:rsidRPr="003B4362">
        <w:rPr>
          <w:szCs w:val="24"/>
        </w:rPr>
        <w:t>after the supplier applies any treatment</w:t>
      </w:r>
      <w:bookmarkEnd w:id="2612"/>
      <w:r w:rsidR="00C43A03" w:rsidRPr="003B4362">
        <w:rPr>
          <w:szCs w:val="24"/>
        </w:rPr>
        <w:t xml:space="preserve"> or in the distribution system at a point </w:t>
      </w:r>
      <w:r w:rsidRPr="003B4362">
        <w:rPr>
          <w:rFonts w:eastAsia="Calibri"/>
        </w:rPr>
        <w:t xml:space="preserve">representing each </w:t>
      </w:r>
      <w:r w:rsidR="00C43A03" w:rsidRPr="003B4362">
        <w:rPr>
          <w:szCs w:val="24"/>
        </w:rPr>
        <w:t xml:space="preserve">source </w:t>
      </w:r>
      <w:r w:rsidRPr="003B4362">
        <w:rPr>
          <w:rFonts w:eastAsia="Calibri"/>
        </w:rPr>
        <w:t>after treatment (a “sampling point”).  The supplier must take one sample at the same sampling point unless conditions make another sampling point more closely represent a source or treatment plant.</w:t>
      </w:r>
    </w:p>
    <w:p w14:paraId="017BBD2A" w14:textId="09CADF93"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A surface water supplier must take a minimum of one sample at every entry point to the distribution system after treatment or in the distribution system </w:t>
      </w:r>
      <w:bookmarkStart w:id="2613" w:name="_Hlk115255633"/>
      <w:r w:rsidRPr="003B4362">
        <w:rPr>
          <w:rFonts w:eastAsia="Calibri"/>
        </w:rPr>
        <w:t>at a sampling point</w:t>
      </w:r>
      <w:bookmarkEnd w:id="2613"/>
      <w:r w:rsidRPr="003B4362">
        <w:rPr>
          <w:rFonts w:eastAsia="Calibri"/>
        </w:rPr>
        <w:t>.  T</w:t>
      </w:r>
      <w:bookmarkStart w:id="2614" w:name="_Hlk115255877"/>
      <w:r w:rsidRPr="003B4362">
        <w:rPr>
          <w:rFonts w:eastAsia="Calibri"/>
        </w:rPr>
        <w:t xml:space="preserve">he supplier </w:t>
      </w:r>
      <w:bookmarkEnd w:id="2614"/>
      <w:r w:rsidRPr="003B4362">
        <w:rPr>
          <w:rFonts w:eastAsia="Calibri"/>
        </w:rPr>
        <w:t xml:space="preserve">must take each sample at the same sampling point unless conditions make </w:t>
      </w:r>
      <w:bookmarkStart w:id="2615" w:name="_Hlk115255956"/>
      <w:r w:rsidRPr="003B4362">
        <w:rPr>
          <w:rFonts w:eastAsia="Calibri"/>
        </w:rPr>
        <w:t>another sampling point more closely represent a source</w:t>
      </w:r>
      <w:bookmarkEnd w:id="2615"/>
      <w:r w:rsidRPr="003B4362">
        <w:rPr>
          <w:rFonts w:eastAsia="Calibri"/>
        </w:rPr>
        <w:t xml:space="preserve"> or treatment plant.</w:t>
      </w:r>
    </w:p>
    <w:p w14:paraId="03149981" w14:textId="25CDFA67" w:rsidR="005451CE" w:rsidRPr="003B4362" w:rsidRDefault="005451CE" w:rsidP="005451CE">
      <w:pPr>
        <w:spacing w:before="240" w:after="240"/>
        <w:ind w:left="2880"/>
        <w:rPr>
          <w:rFonts w:eastAsia="Calibri"/>
        </w:rPr>
      </w:pPr>
      <w:r w:rsidRPr="003B4362">
        <w:rPr>
          <w:rFonts w:eastAsia="Calibri"/>
        </w:rPr>
        <w:t>BOARD NOTE:  F</w:t>
      </w:r>
      <w:bookmarkStart w:id="2616" w:name="_Hlk115257357"/>
      <w:r w:rsidRPr="003B4362">
        <w:rPr>
          <w:rFonts w:eastAsia="Calibri"/>
        </w:rPr>
        <w:t>or this subsection (a)(1)(B)</w:t>
      </w:r>
      <w:bookmarkEnd w:id="2616"/>
      <w:r w:rsidRPr="003B4362">
        <w:rPr>
          <w:rFonts w:eastAsia="Calibri"/>
        </w:rPr>
        <w:t xml:space="preserve">, </w:t>
      </w:r>
      <w:bookmarkStart w:id="2617" w:name="_Hlk115257442"/>
      <w:r w:rsidRPr="003B4362">
        <w:rPr>
          <w:rFonts w:eastAsia="Calibri"/>
        </w:rPr>
        <w:t>a system using a combination of surface water and groundwater sources is a surface water system</w:t>
      </w:r>
      <w:bookmarkEnd w:id="2617"/>
      <w:r w:rsidRPr="003B4362">
        <w:rPr>
          <w:rFonts w:eastAsia="Calibri"/>
        </w:rPr>
        <w:t>.</w:t>
      </w:r>
    </w:p>
    <w:p w14:paraId="4851988A" w14:textId="7965D63A"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I</w:t>
      </w:r>
      <w:bookmarkStart w:id="2618" w:name="_Hlk115257675"/>
      <w:r w:rsidRPr="003B4362">
        <w:rPr>
          <w:rFonts w:eastAsia="Calibri"/>
        </w:rPr>
        <w:t>f a supplier draws water from more than one source and combines the sources before distribution</w:t>
      </w:r>
      <w:bookmarkEnd w:id="2618"/>
      <w:r w:rsidRPr="003B4362">
        <w:rPr>
          <w:rFonts w:eastAsia="Calibri"/>
        </w:rPr>
        <w:t xml:space="preserve">, the supplier must sample at an entry point to the distribution system during periods of normal operating conditions (i.e., </w:t>
      </w:r>
      <w:bookmarkStart w:id="2619" w:name="_Hlk115257977"/>
      <w:r w:rsidRPr="003B4362">
        <w:rPr>
          <w:rFonts w:eastAsia="Calibri"/>
        </w:rPr>
        <w:t>when water represents all sources</w:t>
      </w:r>
      <w:bookmarkEnd w:id="2619"/>
      <w:r w:rsidRPr="003B4362">
        <w:rPr>
          <w:rFonts w:eastAsia="Calibri"/>
        </w:rPr>
        <w:t xml:space="preserve"> being used).</w:t>
      </w:r>
    </w:p>
    <w:p w14:paraId="7D55B310" w14:textId="3B921D6A" w:rsidR="005451CE" w:rsidRPr="003B4362" w:rsidRDefault="005451CE" w:rsidP="005451CE">
      <w:pPr>
        <w:tabs>
          <w:tab w:val="left" w:pos="2160"/>
        </w:tabs>
        <w:spacing w:before="240" w:after="240"/>
        <w:ind w:left="2880" w:hanging="720"/>
        <w:rPr>
          <w:rFonts w:eastAsia="Calibri"/>
        </w:rPr>
      </w:pPr>
      <w:r w:rsidRPr="003B4362">
        <w:rPr>
          <w:rFonts w:eastAsia="Calibri"/>
        </w:rPr>
        <w:t>D)</w:t>
      </w:r>
      <w:r w:rsidRPr="003B4362">
        <w:rPr>
          <w:rFonts w:eastAsia="Calibri"/>
        </w:rPr>
        <w:tab/>
        <w:t>T</w:t>
      </w:r>
      <w:bookmarkStart w:id="2620" w:name="_Hlk115258213"/>
      <w:r w:rsidRPr="003B4362">
        <w:rPr>
          <w:rFonts w:eastAsia="Calibri"/>
        </w:rPr>
        <w:t xml:space="preserve">he Agency may issue a SEP reducing the total number of samples a supplier must analyze </w:t>
      </w:r>
      <w:bookmarkEnd w:id="2620"/>
      <w:r w:rsidRPr="003B4362">
        <w:rPr>
          <w:rFonts w:eastAsia="Calibri"/>
        </w:rPr>
        <w:t xml:space="preserve">by </w:t>
      </w:r>
      <w:bookmarkStart w:id="2621" w:name="_Hlk115258345"/>
      <w:r w:rsidRPr="003B4362">
        <w:rPr>
          <w:rFonts w:eastAsia="Calibri"/>
        </w:rPr>
        <w:t>allowing the use of compositing.  Certified laboratory personnel must composit</w:t>
      </w:r>
      <w:r w:rsidR="00945EEA" w:rsidRPr="003B4362">
        <w:rPr>
          <w:rFonts w:eastAsia="Calibri"/>
        </w:rPr>
        <w:t>e</w:t>
      </w:r>
      <w:r w:rsidRPr="003B4362">
        <w:rPr>
          <w:rFonts w:eastAsia="Calibri"/>
        </w:rPr>
        <w:t xml:space="preserve"> the </w:t>
      </w:r>
      <w:bookmarkStart w:id="2622" w:name="_Hlk115976222"/>
      <w:r w:rsidRPr="003B4362">
        <w:rPr>
          <w:rFonts w:eastAsia="Calibri"/>
        </w:rPr>
        <w:t>samples</w:t>
      </w:r>
      <w:bookmarkEnd w:id="2621"/>
      <w:bookmarkEnd w:id="2622"/>
      <w:r w:rsidRPr="003B4362">
        <w:rPr>
          <w:rFonts w:eastAsia="Calibri"/>
        </w:rPr>
        <w:t>.  A</w:t>
      </w:r>
      <w:bookmarkStart w:id="2623" w:name="_Hlk115258477"/>
      <w:r w:rsidRPr="003B4362">
        <w:rPr>
          <w:rFonts w:eastAsia="Calibri"/>
        </w:rPr>
        <w:t xml:space="preserve"> composite sample may include a maximum of five samples</w:t>
      </w:r>
      <w:bookmarkEnd w:id="2623"/>
      <w:r w:rsidRPr="003B4362">
        <w:rPr>
          <w:rFonts w:eastAsia="Calibri"/>
        </w:rPr>
        <w:t>.  However, if the lead concentration in the composite sample is greater than or equal to 0.001 mg/</w:t>
      </w:r>
      <w:r w:rsidR="00C25B6F" w:rsidRPr="003B4362">
        <w:t xml:space="preserve"> L</w:t>
      </w:r>
      <w:r w:rsidRPr="003B4362">
        <w:rPr>
          <w:rFonts w:eastAsia="Calibri"/>
        </w:rPr>
        <w:t xml:space="preserve"> or the copper concentration is greater than or equal to 0.160 mg/</w:t>
      </w:r>
      <w:r w:rsidR="00C25B6F" w:rsidRPr="003B4362">
        <w:t xml:space="preserve"> L</w:t>
      </w:r>
      <w:r w:rsidRPr="003B4362">
        <w:rPr>
          <w:rFonts w:eastAsia="Calibri"/>
        </w:rPr>
        <w:t xml:space="preserve">, </w:t>
      </w:r>
      <w:bookmarkStart w:id="2624" w:name="_Hlk115259949"/>
      <w:r w:rsidRPr="003B4362">
        <w:rPr>
          <w:rFonts w:eastAsia="Calibri"/>
        </w:rPr>
        <w:t>the supplier must do either of two things</w:t>
      </w:r>
      <w:bookmarkEnd w:id="2624"/>
      <w:r w:rsidRPr="003B4362">
        <w:rPr>
          <w:rFonts w:eastAsia="Calibri"/>
        </w:rPr>
        <w:t>:</w:t>
      </w:r>
    </w:p>
    <w:p w14:paraId="5BC37A6D" w14:textId="77777777"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 xml:space="preserve">The supplier must take and analyze a follow-up sample within 14 days at each sampling point </w:t>
      </w:r>
      <w:bookmarkStart w:id="2625" w:name="_Hlk115260062"/>
      <w:r w:rsidRPr="003B4362">
        <w:rPr>
          <w:rFonts w:eastAsia="Calibri"/>
        </w:rPr>
        <w:t>included in the composite sample</w:t>
      </w:r>
      <w:bookmarkEnd w:id="2625"/>
      <w:r w:rsidRPr="003B4362">
        <w:rPr>
          <w:rFonts w:eastAsia="Calibri"/>
        </w:rPr>
        <w:t>; or</w:t>
      </w:r>
    </w:p>
    <w:p w14:paraId="753C8D1F" w14:textId="1235BE16" w:rsidR="005451CE" w:rsidRPr="003B4362" w:rsidRDefault="005451CE" w:rsidP="005451CE">
      <w:pPr>
        <w:spacing w:before="240" w:after="240"/>
        <w:ind w:left="3600" w:hanging="720"/>
        <w:rPr>
          <w:rFonts w:eastAsia="Calibri"/>
        </w:rPr>
      </w:pPr>
      <w:r w:rsidRPr="003B4362">
        <w:rPr>
          <w:rFonts w:eastAsia="Calibri"/>
        </w:rPr>
        <w:lastRenderedPageBreak/>
        <w:t>ii)</w:t>
      </w:r>
      <w:r w:rsidRPr="003B4362">
        <w:rPr>
          <w:rFonts w:eastAsia="Calibri"/>
        </w:rPr>
        <w:tab/>
        <w:t>I</w:t>
      </w:r>
      <w:bookmarkStart w:id="2626" w:name="_Hlk115260206"/>
      <w:r w:rsidRPr="003B4362">
        <w:rPr>
          <w:rFonts w:eastAsia="Calibri"/>
        </w:rPr>
        <w:t>f duplicate samples or sufficient volumes of the original samples are available from each sampling point the certified laboratory used in the composite sample</w:t>
      </w:r>
      <w:bookmarkEnd w:id="2626"/>
      <w:r w:rsidRPr="003B4362">
        <w:rPr>
          <w:rFonts w:eastAsia="Calibri"/>
        </w:rPr>
        <w:t xml:space="preserve">, </w:t>
      </w:r>
      <w:bookmarkStart w:id="2627" w:name="_Hlk115261446"/>
      <w:r w:rsidRPr="003B4362">
        <w:rPr>
          <w:rFonts w:eastAsia="Calibri"/>
        </w:rPr>
        <w:t xml:space="preserve">the supplier may use those </w:t>
      </w:r>
      <w:bookmarkEnd w:id="2627"/>
      <w:r w:rsidRPr="003B4362">
        <w:rPr>
          <w:rFonts w:eastAsia="Calibri"/>
        </w:rPr>
        <w:t>instead of resampling.</w:t>
      </w:r>
    </w:p>
    <w:p w14:paraId="2EFEE330" w14:textId="77777777"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SEP Requiring an Additional Sample</w:t>
      </w:r>
    </w:p>
    <w:p w14:paraId="035E64E9" w14:textId="2680FCF0"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U</w:t>
      </w:r>
      <w:bookmarkStart w:id="2628" w:name="_Hlk115261554"/>
      <w:r w:rsidRPr="003B4362">
        <w:rPr>
          <w:rFonts w:eastAsia="Calibri"/>
        </w:rPr>
        <w:t>pon determining that sampling indicates exceedance</w:t>
      </w:r>
      <w:bookmarkEnd w:id="2628"/>
      <w:r w:rsidRPr="003B4362">
        <w:rPr>
          <w:rFonts w:eastAsia="Calibri"/>
        </w:rPr>
        <w:t xml:space="preserve"> of the lead or copper </w:t>
      </w:r>
      <w:bookmarkStart w:id="2629" w:name="_Hlk115261753"/>
      <w:r w:rsidRPr="003B4362">
        <w:rPr>
          <w:rFonts w:eastAsia="Calibri"/>
        </w:rPr>
        <w:t>MPC under Section 611.353(b)(4)</w:t>
      </w:r>
      <w:bookmarkEnd w:id="2629"/>
      <w:r w:rsidRPr="003B4362">
        <w:rPr>
          <w:rFonts w:eastAsia="Calibri"/>
        </w:rPr>
        <w:t xml:space="preserve">, </w:t>
      </w:r>
      <w:bookmarkStart w:id="2630" w:name="_Hlk115261823"/>
      <w:r w:rsidRPr="003B4362">
        <w:rPr>
          <w:rFonts w:eastAsia="Calibri"/>
        </w:rPr>
        <w:t>the Agency must issue a SEP requiring the supplier to collect one additional sample</w:t>
      </w:r>
      <w:bookmarkEnd w:id="2630"/>
      <w:r w:rsidRPr="003B4362">
        <w:rPr>
          <w:rFonts w:eastAsia="Calibri"/>
        </w:rPr>
        <w:t xml:space="preserve"> as soon as possible after the initial sample at the same sampling point </w:t>
      </w:r>
      <w:bookmarkStart w:id="2631" w:name="_Hlk115262319"/>
      <w:r w:rsidRPr="003B4362">
        <w:rPr>
          <w:rFonts w:eastAsia="Calibri"/>
        </w:rPr>
        <w:t>but before two weeks</w:t>
      </w:r>
      <w:bookmarkEnd w:id="2631"/>
      <w:r w:rsidRPr="003B4362">
        <w:rPr>
          <w:rFonts w:eastAsia="Calibri"/>
        </w:rPr>
        <w:t xml:space="preserve"> after the supplier took the initial sample.</w:t>
      </w:r>
    </w:p>
    <w:p w14:paraId="5751E229" w14:textId="3F711099"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If a supplier takes an Agency-required confirmation sample for lead or copper, the supplier must </w:t>
      </w:r>
      <w:bookmarkStart w:id="2632" w:name="_Hlk115262527"/>
      <w:r w:rsidRPr="003B4362">
        <w:rPr>
          <w:rFonts w:eastAsia="Calibri"/>
        </w:rPr>
        <w:t>average the results obtained from the initial sample with those from the confirmation sample</w:t>
      </w:r>
      <w:bookmarkEnd w:id="2632"/>
      <w:r w:rsidRPr="003B4362">
        <w:rPr>
          <w:rFonts w:eastAsia="Calibri"/>
        </w:rPr>
        <w:t xml:space="preserve"> </w:t>
      </w:r>
      <w:bookmarkStart w:id="2633" w:name="_Hlk115262705"/>
      <w:r w:rsidRPr="003B4362">
        <w:rPr>
          <w:rFonts w:eastAsia="Calibri"/>
        </w:rPr>
        <w:t xml:space="preserve">to determine whether it complies </w:t>
      </w:r>
      <w:bookmarkEnd w:id="2633"/>
      <w:r w:rsidRPr="003B4362">
        <w:rPr>
          <w:rFonts w:eastAsia="Calibri"/>
        </w:rPr>
        <w:t>with the Agency-specified lead and copper MPCs.</w:t>
      </w:r>
    </w:p>
    <w:p w14:paraId="7B5E1C7A" w14:textId="53F072A2"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F</w:t>
      </w:r>
      <w:bookmarkStart w:id="2634" w:name="_Hlk115262842"/>
      <w:r w:rsidRPr="003B4362">
        <w:rPr>
          <w:rFonts w:eastAsia="Calibri"/>
        </w:rPr>
        <w:t>or averaging, consider any analytical result below the MDL as zero</w:t>
      </w:r>
      <w:bookmarkEnd w:id="2634"/>
      <w:r w:rsidRPr="003B4362">
        <w:rPr>
          <w:rFonts w:eastAsia="Calibri"/>
        </w:rPr>
        <w:t>.</w:t>
      </w:r>
    </w:p>
    <w:p w14:paraId="64776F80" w14:textId="13D50E1B"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C</w:t>
      </w:r>
      <w:bookmarkStart w:id="2635" w:name="_Hlk115263010"/>
      <w:r w:rsidRPr="003B4362">
        <w:rPr>
          <w:rFonts w:eastAsia="Calibri"/>
        </w:rPr>
        <w:t>onsider any value above the MDL but below the PQL either as the measured value or one-half the PQL</w:t>
      </w:r>
      <w:bookmarkEnd w:id="2635"/>
      <w:r w:rsidRPr="003B4362">
        <w:rPr>
          <w:rFonts w:eastAsia="Calibri"/>
        </w:rPr>
        <w:t>.</w:t>
      </w:r>
    </w:p>
    <w:p w14:paraId="54FD7304" w14:textId="04B94770" w:rsidR="005451CE" w:rsidRPr="003B4362" w:rsidRDefault="005451CE" w:rsidP="005451CE">
      <w:pPr>
        <w:spacing w:before="240" w:after="240"/>
        <w:ind w:left="1440" w:hanging="720"/>
        <w:rPr>
          <w:rFonts w:eastAsia="Calibri"/>
        </w:rPr>
      </w:pPr>
      <w:r w:rsidRPr="003B4362">
        <w:rPr>
          <w:rFonts w:eastAsia="Calibri"/>
        </w:rPr>
        <w:t>b)</w:t>
      </w:r>
      <w:r w:rsidRPr="003B4362">
        <w:rPr>
          <w:rFonts w:eastAsia="Calibri"/>
        </w:rPr>
        <w:tab/>
        <w:t>Monitoring Frequency after System Exceeds Tap Water Action Level.  A</w:t>
      </w:r>
      <w:bookmarkStart w:id="2636" w:name="_Hlk115263131"/>
      <w:r w:rsidRPr="003B4362">
        <w:rPr>
          <w:rFonts w:eastAsia="Calibri"/>
        </w:rPr>
        <w:t xml:space="preserve"> supplier exceeding the lead or copper action level</w:t>
      </w:r>
      <w:bookmarkEnd w:id="2636"/>
      <w:r w:rsidRPr="003B4362">
        <w:rPr>
          <w:rFonts w:eastAsia="Calibri"/>
        </w:rPr>
        <w:t xml:space="preserve"> in tap </w:t>
      </w:r>
      <w:r w:rsidR="005A24F4" w:rsidRPr="003B4362">
        <w:rPr>
          <w:szCs w:val="24"/>
        </w:rPr>
        <w:t xml:space="preserve">for the first time or for the first time </w:t>
      </w:r>
      <w:bookmarkStart w:id="2637" w:name="_Hlk124195151"/>
      <w:r w:rsidR="005A24F4" w:rsidRPr="003B4362">
        <w:rPr>
          <w:szCs w:val="24"/>
        </w:rPr>
        <w:t>after adding a new source or installing source water treatment</w:t>
      </w:r>
      <w:bookmarkEnd w:id="2637"/>
      <w:r w:rsidR="005A24F4" w:rsidRPr="003B4362">
        <w:rPr>
          <w:rFonts w:eastAsia="Calibri"/>
        </w:rPr>
        <w:t xml:space="preserve"> </w:t>
      </w:r>
      <w:r w:rsidR="005A24F4" w:rsidRPr="003B4362">
        <w:rPr>
          <w:szCs w:val="24"/>
        </w:rPr>
        <w:t>under</w:t>
      </w:r>
      <w:bookmarkStart w:id="2638" w:name="_Hlk124195325"/>
      <w:r w:rsidR="005A24F4" w:rsidRPr="003B4362">
        <w:rPr>
          <w:szCs w:val="24"/>
        </w:rPr>
        <w:t xml:space="preserve"> Section 611.353(b)(2)</w:t>
      </w:r>
      <w:bookmarkEnd w:id="2638"/>
      <w:r w:rsidR="005A24F4" w:rsidRPr="003B4362">
        <w:rPr>
          <w:szCs w:val="24"/>
        </w:rPr>
        <w:t xml:space="preserve"> </w:t>
      </w:r>
      <w:r w:rsidRPr="003B4362">
        <w:rPr>
          <w:rFonts w:eastAsia="Calibri"/>
        </w:rPr>
        <w:t xml:space="preserve">must collect one source water sample from </w:t>
      </w:r>
      <w:bookmarkStart w:id="2639" w:name="_Hlk115263194"/>
      <w:r w:rsidRPr="003B4362">
        <w:rPr>
          <w:rFonts w:eastAsia="Calibri"/>
        </w:rPr>
        <w:t>each entry point to its distribution system</w:t>
      </w:r>
      <w:bookmarkEnd w:id="2639"/>
      <w:r w:rsidRPr="003B4362">
        <w:rPr>
          <w:rFonts w:eastAsia="Calibri"/>
        </w:rPr>
        <w:t xml:space="preserve"> no later than six months after the end of the </w:t>
      </w:r>
      <w:r w:rsidR="005A24F4" w:rsidRPr="003B4362">
        <w:rPr>
          <w:szCs w:val="24"/>
        </w:rPr>
        <w:t xml:space="preserve">tap </w:t>
      </w:r>
      <w:r w:rsidR="00991A10" w:rsidRPr="003B4362">
        <w:rPr>
          <w:szCs w:val="24"/>
        </w:rPr>
        <w:t xml:space="preserve">sampling </w:t>
      </w:r>
      <w:bookmarkStart w:id="2640" w:name="_Hlk115263246"/>
      <w:r w:rsidRPr="003B4362">
        <w:rPr>
          <w:rFonts w:eastAsia="Calibri"/>
        </w:rPr>
        <w:t>period during which the supplier exceeds the lead or copper action level</w:t>
      </w:r>
      <w:bookmarkEnd w:id="2640"/>
      <w:r w:rsidRPr="003B4362">
        <w:rPr>
          <w:rFonts w:eastAsia="Calibri"/>
        </w:rPr>
        <w:t>.  F</w:t>
      </w:r>
      <w:bookmarkStart w:id="2641" w:name="_Hlk115263325"/>
      <w:r w:rsidRPr="003B4362">
        <w:rPr>
          <w:rFonts w:eastAsia="Calibri"/>
        </w:rPr>
        <w:t xml:space="preserve">or </w:t>
      </w:r>
      <w:bookmarkStart w:id="2642" w:name="_Hlk128500881"/>
      <w:r w:rsidRPr="003B4362">
        <w:rPr>
          <w:rFonts w:eastAsia="Calibri"/>
        </w:rPr>
        <w:t xml:space="preserve">annual or less frequent </w:t>
      </w:r>
      <w:bookmarkEnd w:id="2642"/>
      <w:r w:rsidR="00C74A04" w:rsidRPr="003B4362">
        <w:rPr>
          <w:szCs w:val="24"/>
        </w:rPr>
        <w:t xml:space="preserve">tap </w:t>
      </w:r>
      <w:r w:rsidRPr="003B4362">
        <w:rPr>
          <w:rFonts w:eastAsia="Calibri"/>
        </w:rPr>
        <w:t>monitoring</w:t>
      </w:r>
      <w:r w:rsidR="00F94EA4" w:rsidRPr="003B4362">
        <w:rPr>
          <w:rFonts w:eastAsia="Calibri"/>
        </w:rPr>
        <w:t xml:space="preserve"> cycles</w:t>
      </w:r>
      <w:bookmarkEnd w:id="2641"/>
      <w:r w:rsidRPr="003B4362">
        <w:rPr>
          <w:rFonts w:eastAsia="Calibri"/>
        </w:rPr>
        <w:t xml:space="preserve">, the end of the </w:t>
      </w:r>
      <w:r w:rsidR="00C74A04" w:rsidRPr="003B4362">
        <w:rPr>
          <w:szCs w:val="24"/>
        </w:rPr>
        <w:t xml:space="preserve">tap </w:t>
      </w:r>
      <w:r w:rsidR="00B25ED5" w:rsidRPr="003B4362">
        <w:rPr>
          <w:szCs w:val="24"/>
        </w:rPr>
        <w:t xml:space="preserve">sampling </w:t>
      </w:r>
      <w:r w:rsidRPr="003B4362">
        <w:rPr>
          <w:rFonts w:eastAsia="Calibri"/>
        </w:rPr>
        <w:t xml:space="preserve">period is September 30 of </w:t>
      </w:r>
      <w:bookmarkStart w:id="2643" w:name="_Hlk115263425"/>
      <w:r w:rsidRPr="003B4362">
        <w:rPr>
          <w:rFonts w:eastAsia="Calibri"/>
        </w:rPr>
        <w:t>the calendar year during which the sampling occurs or the last day of any alternat</w:t>
      </w:r>
      <w:r w:rsidR="00BF1B46" w:rsidRPr="003B4362">
        <w:rPr>
          <w:rFonts w:eastAsia="Calibri"/>
        </w:rPr>
        <w:t>iv</w:t>
      </w:r>
      <w:r w:rsidRPr="003B4362">
        <w:rPr>
          <w:rFonts w:eastAsia="Calibri"/>
        </w:rPr>
        <w:t xml:space="preserve">e </w:t>
      </w:r>
      <w:r w:rsidR="00BF1B46" w:rsidRPr="003B4362">
        <w:rPr>
          <w:rFonts w:eastAsia="Calibri"/>
        </w:rPr>
        <w:t xml:space="preserve">tap sampling </w:t>
      </w:r>
      <w:r w:rsidRPr="003B4362">
        <w:rPr>
          <w:rFonts w:eastAsia="Calibri"/>
        </w:rPr>
        <w:t>period the Agency establishes in a SEP</w:t>
      </w:r>
      <w:bookmarkEnd w:id="2643"/>
      <w:r w:rsidRPr="003B4362">
        <w:rPr>
          <w:rFonts w:eastAsia="Calibri"/>
        </w:rPr>
        <w:t>.</w:t>
      </w:r>
      <w:r w:rsidR="00C74A04" w:rsidRPr="003B4362">
        <w:rPr>
          <w:szCs w:val="24"/>
        </w:rPr>
        <w:t xml:space="preserve">  If the Agency </w:t>
      </w:r>
      <w:bookmarkStart w:id="2644" w:name="_Hlk124196478"/>
      <w:bookmarkStart w:id="2645" w:name="_Hlk124196585"/>
      <w:r w:rsidR="00C74A04" w:rsidRPr="003B4362">
        <w:rPr>
          <w:szCs w:val="24"/>
        </w:rPr>
        <w:t xml:space="preserve">determines under Section </w:t>
      </w:r>
      <w:r w:rsidR="005B7121" w:rsidRPr="003B4362">
        <w:rPr>
          <w:szCs w:val="24"/>
        </w:rPr>
        <w:t>611.35</w:t>
      </w:r>
      <w:r w:rsidR="00C74A04" w:rsidRPr="003B4362">
        <w:rPr>
          <w:szCs w:val="24"/>
        </w:rPr>
        <w:t xml:space="preserve">3(b)(2) that source water treatment is not </w:t>
      </w:r>
      <w:bookmarkEnd w:id="2644"/>
      <w:r w:rsidR="00C74A04" w:rsidRPr="003B4362">
        <w:rPr>
          <w:szCs w:val="24"/>
        </w:rPr>
        <w:t>necessary</w:t>
      </w:r>
      <w:bookmarkEnd w:id="2645"/>
      <w:r w:rsidR="00C74A04" w:rsidRPr="003B4362">
        <w:rPr>
          <w:szCs w:val="24"/>
        </w:rPr>
        <w:t xml:space="preserve">, </w:t>
      </w:r>
      <w:bookmarkStart w:id="2646" w:name="_Hlk124196639"/>
      <w:r w:rsidR="00C74A04" w:rsidRPr="003B4362">
        <w:rPr>
          <w:szCs w:val="24"/>
        </w:rPr>
        <w:t>the Agency may issue a SEP waiving source water monitoring</w:t>
      </w:r>
      <w:bookmarkStart w:id="2647" w:name="_Hlk124196815"/>
      <w:bookmarkEnd w:id="2646"/>
      <w:r w:rsidR="0072707F" w:rsidRPr="003B4362">
        <w:rPr>
          <w:szCs w:val="24"/>
        </w:rPr>
        <w:t xml:space="preserve"> </w:t>
      </w:r>
      <w:bookmarkStart w:id="2648" w:name="_Hlk124197018"/>
      <w:r w:rsidR="00C74A04" w:rsidRPr="003B4362">
        <w:rPr>
          <w:szCs w:val="24"/>
        </w:rPr>
        <w:t xml:space="preserve">for </w:t>
      </w:r>
      <w:r w:rsidR="0072707F" w:rsidRPr="003B4362">
        <w:rPr>
          <w:szCs w:val="24"/>
        </w:rPr>
        <w:t>the supplier</w:t>
      </w:r>
      <w:r w:rsidR="00C74A04" w:rsidRPr="003B4362">
        <w:rPr>
          <w:szCs w:val="24"/>
        </w:rPr>
        <w:t xml:space="preserve"> subsequent</w:t>
      </w:r>
      <w:r w:rsidR="0072707F" w:rsidRPr="003B4362">
        <w:rPr>
          <w:szCs w:val="24"/>
        </w:rPr>
        <w:t>ly</w:t>
      </w:r>
      <w:r w:rsidR="00C74A04" w:rsidRPr="003B4362">
        <w:rPr>
          <w:szCs w:val="24"/>
        </w:rPr>
        <w:t xml:space="preserve"> </w:t>
      </w:r>
      <w:r w:rsidR="0072707F" w:rsidRPr="003B4362">
        <w:rPr>
          <w:szCs w:val="24"/>
        </w:rPr>
        <w:t xml:space="preserve">exceeding the </w:t>
      </w:r>
      <w:r w:rsidR="00C74A04" w:rsidRPr="003B4362">
        <w:rPr>
          <w:szCs w:val="24"/>
        </w:rPr>
        <w:t>lead or copper action level</w:t>
      </w:r>
      <w:r w:rsidR="0072707F" w:rsidRPr="003B4362">
        <w:rPr>
          <w:szCs w:val="24"/>
        </w:rPr>
        <w:t xml:space="preserve"> </w:t>
      </w:r>
      <w:r w:rsidR="00C74A04" w:rsidRPr="003B4362">
        <w:rPr>
          <w:szCs w:val="24"/>
        </w:rPr>
        <w:t>at the tap</w:t>
      </w:r>
      <w:bookmarkEnd w:id="2647"/>
      <w:bookmarkEnd w:id="2648"/>
      <w:r w:rsidR="0072707F" w:rsidRPr="003B4362">
        <w:rPr>
          <w:szCs w:val="24"/>
        </w:rPr>
        <w:t xml:space="preserve"> </w:t>
      </w:r>
      <w:bookmarkStart w:id="2649" w:name="_Hlk124197112"/>
      <w:r w:rsidR="0072707F" w:rsidRPr="003B4362">
        <w:rPr>
          <w:szCs w:val="24"/>
        </w:rPr>
        <w:t>under</w:t>
      </w:r>
      <w:r w:rsidR="00C74A04" w:rsidRPr="003B4362">
        <w:rPr>
          <w:szCs w:val="24"/>
        </w:rPr>
        <w:t xml:space="preserve"> subsections (b)(1)(A) through </w:t>
      </w:r>
      <w:r w:rsidR="0072707F" w:rsidRPr="003B4362">
        <w:rPr>
          <w:szCs w:val="24"/>
        </w:rPr>
        <w:t>(b)(1)</w:t>
      </w:r>
      <w:r w:rsidR="00C74A04" w:rsidRPr="003B4362">
        <w:rPr>
          <w:szCs w:val="24"/>
        </w:rPr>
        <w:t>(C)</w:t>
      </w:r>
      <w:bookmarkEnd w:id="2649"/>
      <w:r w:rsidR="00C74A04" w:rsidRPr="003B4362">
        <w:rPr>
          <w:szCs w:val="24"/>
        </w:rPr>
        <w:t>.</w:t>
      </w:r>
    </w:p>
    <w:p w14:paraId="4E9FCE8B" w14:textId="67F7D04C" w:rsidR="0072707F" w:rsidRPr="003B4362" w:rsidRDefault="0072707F" w:rsidP="0072707F">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T</w:t>
      </w:r>
      <w:r w:rsidR="00A010C7" w:rsidRPr="003B4362">
        <w:rPr>
          <w:szCs w:val="24"/>
        </w:rPr>
        <w:t>he Agency may issue a SEP waiving source water monitoring</w:t>
      </w:r>
      <w:r w:rsidRPr="003B4362">
        <w:rPr>
          <w:rFonts w:eastAsia="Calibri"/>
          <w:szCs w:val="24"/>
        </w:rPr>
        <w:t xml:space="preserve"> </w:t>
      </w:r>
      <w:bookmarkStart w:id="2650" w:name="_Hlk124197817"/>
      <w:r w:rsidRPr="003B4362">
        <w:rPr>
          <w:rFonts w:eastAsia="Calibri"/>
          <w:szCs w:val="24"/>
        </w:rPr>
        <w:t xml:space="preserve">for </w:t>
      </w:r>
      <w:r w:rsidR="00A010C7" w:rsidRPr="003B4362">
        <w:rPr>
          <w:szCs w:val="24"/>
        </w:rPr>
        <w:t xml:space="preserve">the supplier exceeding the </w:t>
      </w:r>
      <w:r w:rsidRPr="003B4362">
        <w:rPr>
          <w:rFonts w:eastAsia="Calibri"/>
          <w:szCs w:val="24"/>
        </w:rPr>
        <w:t>lead or copper action level</w:t>
      </w:r>
      <w:r w:rsidR="00A010C7" w:rsidRPr="003B4362">
        <w:rPr>
          <w:szCs w:val="24"/>
        </w:rPr>
        <w:t xml:space="preserve"> </w:t>
      </w:r>
      <w:r w:rsidRPr="003B4362">
        <w:rPr>
          <w:rFonts w:eastAsia="Calibri"/>
          <w:szCs w:val="24"/>
        </w:rPr>
        <w:t>at the tap</w:t>
      </w:r>
      <w:bookmarkEnd w:id="2650"/>
      <w:r w:rsidRPr="003B4362">
        <w:rPr>
          <w:rFonts w:eastAsia="Calibri"/>
          <w:szCs w:val="24"/>
        </w:rPr>
        <w:t xml:space="preserve"> </w:t>
      </w:r>
      <w:bookmarkStart w:id="2651" w:name="_Hlk124197908"/>
      <w:r w:rsidRPr="003B4362">
        <w:rPr>
          <w:rFonts w:eastAsia="Calibri"/>
          <w:szCs w:val="24"/>
        </w:rPr>
        <w:t xml:space="preserve">under </w:t>
      </w:r>
      <w:r w:rsidR="00A010C7" w:rsidRPr="003B4362">
        <w:rPr>
          <w:rFonts w:eastAsia="Calibri"/>
          <w:szCs w:val="24"/>
        </w:rPr>
        <w:t>specific</w:t>
      </w:r>
      <w:r w:rsidRPr="003B4362">
        <w:rPr>
          <w:rFonts w:eastAsia="Calibri"/>
          <w:szCs w:val="24"/>
        </w:rPr>
        <w:t xml:space="preserve"> conditions</w:t>
      </w:r>
      <w:bookmarkEnd w:id="2651"/>
      <w:r w:rsidRPr="003B4362">
        <w:rPr>
          <w:rFonts w:eastAsia="Calibri"/>
          <w:szCs w:val="24"/>
        </w:rPr>
        <w:t>:</w:t>
      </w:r>
    </w:p>
    <w:p w14:paraId="63C379EB" w14:textId="6EE666E8" w:rsidR="0072707F" w:rsidRPr="003B4362" w:rsidRDefault="0072707F" w:rsidP="0072707F">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T</w:t>
      </w:r>
      <w:bookmarkStart w:id="2652" w:name="_Hlk124198014"/>
      <w:r w:rsidRPr="003B4362">
        <w:rPr>
          <w:rFonts w:eastAsia="Calibri"/>
          <w:szCs w:val="24"/>
        </w:rPr>
        <w:t xml:space="preserve">he </w:t>
      </w:r>
      <w:r w:rsidR="0037754E" w:rsidRPr="003B4362">
        <w:rPr>
          <w:rFonts w:eastAsia="Calibri"/>
          <w:szCs w:val="24"/>
        </w:rPr>
        <w:t>supplier</w:t>
      </w:r>
      <w:r w:rsidRPr="003B4362">
        <w:rPr>
          <w:rFonts w:eastAsia="Calibri"/>
          <w:szCs w:val="24"/>
        </w:rPr>
        <w:t xml:space="preserve"> already conducted</w:t>
      </w:r>
      <w:bookmarkEnd w:id="2652"/>
      <w:r w:rsidRPr="003B4362">
        <w:rPr>
          <w:rFonts w:eastAsia="Calibri"/>
          <w:szCs w:val="24"/>
        </w:rPr>
        <w:t xml:space="preserve"> source water monitoring </w:t>
      </w:r>
      <w:bookmarkStart w:id="2653" w:name="_Hlk124198090"/>
      <w:r w:rsidR="0037754E" w:rsidRPr="003B4362">
        <w:rPr>
          <w:rFonts w:eastAsia="Calibri"/>
          <w:szCs w:val="24"/>
        </w:rPr>
        <w:t xml:space="preserve">after </w:t>
      </w:r>
      <w:r w:rsidRPr="003B4362">
        <w:rPr>
          <w:rFonts w:eastAsia="Calibri"/>
          <w:szCs w:val="24"/>
        </w:rPr>
        <w:t>previous</w:t>
      </w:r>
      <w:r w:rsidR="0037754E" w:rsidRPr="003B4362">
        <w:rPr>
          <w:rFonts w:eastAsia="Calibri"/>
          <w:szCs w:val="24"/>
        </w:rPr>
        <w:t>ly exceeding the</w:t>
      </w:r>
      <w:r w:rsidRPr="003B4362">
        <w:rPr>
          <w:rFonts w:eastAsia="Calibri"/>
          <w:szCs w:val="24"/>
        </w:rPr>
        <w:t xml:space="preserve"> </w:t>
      </w:r>
      <w:r w:rsidR="0037754E" w:rsidRPr="003B4362">
        <w:rPr>
          <w:rFonts w:eastAsia="Calibri"/>
          <w:szCs w:val="24"/>
        </w:rPr>
        <w:t xml:space="preserve">lead or copper </w:t>
      </w:r>
      <w:r w:rsidRPr="003B4362">
        <w:rPr>
          <w:rFonts w:eastAsia="Calibri"/>
          <w:szCs w:val="24"/>
        </w:rPr>
        <w:t>action level</w:t>
      </w:r>
      <w:bookmarkEnd w:id="2653"/>
      <w:r w:rsidRPr="003B4362">
        <w:rPr>
          <w:rFonts w:eastAsia="Calibri"/>
          <w:szCs w:val="24"/>
        </w:rPr>
        <w:t>;</w:t>
      </w:r>
    </w:p>
    <w:p w14:paraId="5D291AE4" w14:textId="42CABFD1" w:rsidR="0072707F" w:rsidRPr="003B4362" w:rsidRDefault="0072707F" w:rsidP="0072707F">
      <w:pPr>
        <w:autoSpaceDE w:val="0"/>
        <w:autoSpaceDN w:val="0"/>
        <w:adjustRightInd w:val="0"/>
        <w:spacing w:before="240" w:after="240"/>
        <w:ind w:left="2880" w:hanging="720"/>
        <w:rPr>
          <w:rFonts w:eastAsia="Calibri"/>
          <w:szCs w:val="24"/>
        </w:rPr>
      </w:pPr>
      <w:r w:rsidRPr="003B4362">
        <w:rPr>
          <w:rFonts w:eastAsia="Calibri"/>
          <w:szCs w:val="24"/>
        </w:rPr>
        <w:lastRenderedPageBreak/>
        <w:t>B)</w:t>
      </w:r>
      <w:r w:rsidRPr="003B4362">
        <w:rPr>
          <w:rFonts w:eastAsia="Calibri"/>
          <w:szCs w:val="24"/>
        </w:rPr>
        <w:tab/>
        <w:t>T</w:t>
      </w:r>
      <w:bookmarkStart w:id="2654" w:name="_Hlk124198452"/>
      <w:r w:rsidRPr="003B4362">
        <w:rPr>
          <w:rFonts w:eastAsia="Calibri"/>
          <w:szCs w:val="24"/>
        </w:rPr>
        <w:t xml:space="preserve">he </w:t>
      </w:r>
      <w:r w:rsidR="0037754E" w:rsidRPr="003B4362">
        <w:rPr>
          <w:rFonts w:eastAsia="Calibri"/>
          <w:szCs w:val="24"/>
        </w:rPr>
        <w:t>Agency</w:t>
      </w:r>
      <w:r w:rsidRPr="003B4362">
        <w:rPr>
          <w:rFonts w:eastAsia="Calibri"/>
          <w:szCs w:val="24"/>
        </w:rPr>
        <w:t xml:space="preserve"> </w:t>
      </w:r>
      <w:r w:rsidR="0037754E" w:rsidRPr="003B4362">
        <w:rPr>
          <w:rFonts w:eastAsia="Calibri"/>
          <w:szCs w:val="24"/>
        </w:rPr>
        <w:t>issued a SEP</w:t>
      </w:r>
      <w:r w:rsidRPr="003B4362">
        <w:rPr>
          <w:rFonts w:eastAsia="Calibri"/>
          <w:szCs w:val="24"/>
        </w:rPr>
        <w:t xml:space="preserve"> determin</w:t>
      </w:r>
      <w:bookmarkEnd w:id="2654"/>
      <w:r w:rsidR="0037754E" w:rsidRPr="003B4362">
        <w:rPr>
          <w:rFonts w:eastAsia="Calibri"/>
          <w:szCs w:val="24"/>
        </w:rPr>
        <w:t>ing</w:t>
      </w:r>
      <w:r w:rsidRPr="003B4362">
        <w:rPr>
          <w:rFonts w:eastAsia="Calibri"/>
          <w:szCs w:val="24"/>
        </w:rPr>
        <w:t xml:space="preserve"> that source water </w:t>
      </w:r>
      <w:bookmarkStart w:id="2655" w:name="_Hlk124198564"/>
      <w:r w:rsidRPr="003B4362">
        <w:rPr>
          <w:rFonts w:eastAsia="Calibri"/>
          <w:szCs w:val="24"/>
        </w:rPr>
        <w:t xml:space="preserve">treatment is not </w:t>
      </w:r>
      <w:r w:rsidR="0037754E" w:rsidRPr="003B4362">
        <w:rPr>
          <w:rFonts w:eastAsia="Calibri"/>
          <w:szCs w:val="24"/>
        </w:rPr>
        <w:t>necessary</w:t>
      </w:r>
      <w:bookmarkEnd w:id="2655"/>
      <w:r w:rsidRPr="003B4362">
        <w:rPr>
          <w:rFonts w:eastAsia="Calibri"/>
          <w:szCs w:val="24"/>
        </w:rPr>
        <w:t>; and</w:t>
      </w:r>
    </w:p>
    <w:p w14:paraId="0CF97399" w14:textId="123715F7" w:rsidR="0072707F" w:rsidRPr="003B4362" w:rsidRDefault="0072707F" w:rsidP="0072707F">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 xml:space="preserve">The </w:t>
      </w:r>
      <w:r w:rsidR="00C75B64" w:rsidRPr="003B4362">
        <w:rPr>
          <w:rFonts w:eastAsia="Calibri"/>
          <w:szCs w:val="24"/>
        </w:rPr>
        <w:t>supplier</w:t>
      </w:r>
      <w:r w:rsidRPr="003B4362">
        <w:rPr>
          <w:rFonts w:eastAsia="Calibri"/>
          <w:szCs w:val="24"/>
        </w:rPr>
        <w:t xml:space="preserve"> has not added any new water sources.</w:t>
      </w:r>
    </w:p>
    <w:p w14:paraId="58D47518" w14:textId="085E468F" w:rsidR="0072707F" w:rsidRPr="003B4362" w:rsidRDefault="0072707F" w:rsidP="0072707F">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r w:rsidR="00C75B64" w:rsidRPr="003B4362">
        <w:rPr>
          <w:rFonts w:eastAsia="Calibri"/>
          <w:szCs w:val="24"/>
        </w:rPr>
        <w:t>This subsection (b)(2) corresponds with 40 CFR 141.88(b)(2), which USEPA marked “[reserved]”.  This statement maintains structural consistency with USEPA’s rule.</w:t>
      </w:r>
    </w:p>
    <w:p w14:paraId="25A8E909" w14:textId="04284E61" w:rsidR="00D50839" w:rsidRPr="003B4362" w:rsidRDefault="005451CE" w:rsidP="005451CE">
      <w:pPr>
        <w:spacing w:before="240" w:after="240"/>
        <w:ind w:left="1440" w:hanging="720"/>
        <w:rPr>
          <w:rFonts w:eastAsia="Calibri"/>
        </w:rPr>
      </w:pPr>
      <w:r w:rsidRPr="003B4362">
        <w:rPr>
          <w:rFonts w:eastAsia="Calibri"/>
        </w:rPr>
        <w:t>c)</w:t>
      </w:r>
      <w:r w:rsidRPr="003B4362">
        <w:rPr>
          <w:rFonts w:eastAsia="Calibri"/>
        </w:rPr>
        <w:tab/>
        <w:t xml:space="preserve">Monitoring Frequency </w:t>
      </w:r>
      <w:bookmarkStart w:id="2656" w:name="_Hlk124245591"/>
      <w:r w:rsidRPr="003B4362">
        <w:rPr>
          <w:rFonts w:eastAsia="Calibri"/>
        </w:rPr>
        <w:t>after Install</w:t>
      </w:r>
      <w:r w:rsidR="00C75B64" w:rsidRPr="003B4362">
        <w:rPr>
          <w:rFonts w:eastAsia="Calibri"/>
        </w:rPr>
        <w:t>ing</w:t>
      </w:r>
      <w:r w:rsidRPr="003B4362">
        <w:rPr>
          <w:rFonts w:eastAsia="Calibri"/>
        </w:rPr>
        <w:t xml:space="preserve"> Source Water Treatment</w:t>
      </w:r>
      <w:bookmarkEnd w:id="2656"/>
      <w:r w:rsidR="00C75B64" w:rsidRPr="003B4362">
        <w:rPr>
          <w:szCs w:val="24"/>
        </w:rPr>
        <w:t xml:space="preserve"> </w:t>
      </w:r>
      <w:bookmarkStart w:id="2657" w:name="_Hlk124247249"/>
      <w:r w:rsidR="002831B4" w:rsidRPr="003B4362">
        <w:rPr>
          <w:szCs w:val="24"/>
        </w:rPr>
        <w:t>or</w:t>
      </w:r>
      <w:r w:rsidR="00C75B64" w:rsidRPr="003B4362">
        <w:rPr>
          <w:szCs w:val="24"/>
        </w:rPr>
        <w:t xml:space="preserve"> Adding a New Source</w:t>
      </w:r>
      <w:bookmarkEnd w:id="2657"/>
    </w:p>
    <w:p w14:paraId="1A32416A" w14:textId="11D2F5FC" w:rsidR="005451CE" w:rsidRPr="003B4362" w:rsidRDefault="00D50839" w:rsidP="00D50839">
      <w:pPr>
        <w:spacing w:before="240" w:after="240"/>
        <w:ind w:left="2160" w:hanging="720"/>
        <w:rPr>
          <w:rFonts w:eastAsia="Calibri"/>
        </w:rPr>
      </w:pPr>
      <w:r w:rsidRPr="003B4362">
        <w:rPr>
          <w:rFonts w:eastAsia="Calibri"/>
        </w:rPr>
        <w:t>1)</w:t>
      </w:r>
      <w:r w:rsidRPr="003B4362">
        <w:rPr>
          <w:rFonts w:eastAsia="Calibri"/>
        </w:rPr>
        <w:tab/>
      </w:r>
      <w:r w:rsidR="005451CE" w:rsidRPr="003B4362">
        <w:rPr>
          <w:rFonts w:eastAsia="Calibri"/>
        </w:rPr>
        <w:t>A</w:t>
      </w:r>
      <w:bookmarkStart w:id="2658" w:name="_Hlk115263604"/>
      <w:r w:rsidR="005451CE" w:rsidRPr="003B4362">
        <w:rPr>
          <w:rFonts w:eastAsia="Calibri"/>
        </w:rPr>
        <w:t xml:space="preserve"> supplier installing source water treatment</w:t>
      </w:r>
      <w:bookmarkEnd w:id="2658"/>
      <w:r w:rsidR="005451CE" w:rsidRPr="003B4362">
        <w:rPr>
          <w:rFonts w:eastAsia="Calibri"/>
        </w:rPr>
        <w:t xml:space="preserve"> under Section 611.353(a)(3) must collect </w:t>
      </w:r>
      <w:r w:rsidRPr="003B4362">
        <w:rPr>
          <w:szCs w:val="24"/>
        </w:rPr>
        <w:t xml:space="preserve">one </w:t>
      </w:r>
      <w:r w:rsidR="005451CE" w:rsidRPr="003B4362">
        <w:rPr>
          <w:rFonts w:eastAsia="Calibri"/>
        </w:rPr>
        <w:t xml:space="preserve">source water sample from each </w:t>
      </w:r>
      <w:bookmarkStart w:id="2659" w:name="_Hlk115263673"/>
      <w:r w:rsidR="005451CE" w:rsidRPr="003B4362">
        <w:rPr>
          <w:rFonts w:eastAsia="Calibri"/>
        </w:rPr>
        <w:t>entry point to its distribution system</w:t>
      </w:r>
      <w:bookmarkEnd w:id="2659"/>
      <w:r w:rsidR="005451CE" w:rsidRPr="003B4362">
        <w:rPr>
          <w:rFonts w:eastAsia="Calibri"/>
        </w:rPr>
        <w:t xml:space="preserve"> during each of two consecutive </w:t>
      </w:r>
      <w:bookmarkStart w:id="2660" w:name="_Hlk128502085"/>
      <w:r w:rsidR="00E12F89" w:rsidRPr="003B4362">
        <w:rPr>
          <w:rFonts w:eastAsia="Calibri"/>
        </w:rPr>
        <w:t>six-month</w:t>
      </w:r>
      <w:r w:rsidR="005451CE" w:rsidRPr="003B4362">
        <w:rPr>
          <w:rFonts w:eastAsia="Calibri"/>
        </w:rPr>
        <w:t xml:space="preserve"> </w:t>
      </w:r>
      <w:r w:rsidR="00646ED6" w:rsidRPr="003B4362">
        <w:rPr>
          <w:rFonts w:eastAsia="Calibri"/>
        </w:rPr>
        <w:t>source water</w:t>
      </w:r>
      <w:r w:rsidR="00BF1B46" w:rsidRPr="003B4362">
        <w:rPr>
          <w:rFonts w:eastAsia="Calibri"/>
        </w:rPr>
        <w:t xml:space="preserve"> </w:t>
      </w:r>
      <w:r w:rsidR="005451CE" w:rsidRPr="003B4362">
        <w:rPr>
          <w:rFonts w:eastAsia="Calibri"/>
        </w:rPr>
        <w:t>monitoring periods</w:t>
      </w:r>
      <w:bookmarkEnd w:id="2660"/>
      <w:r w:rsidR="005451CE" w:rsidRPr="003B4362">
        <w:rPr>
          <w:rFonts w:eastAsia="Calibri"/>
        </w:rPr>
        <w:t xml:space="preserve"> on or before </w:t>
      </w:r>
      <w:bookmarkStart w:id="2661" w:name="_Hlk115263716"/>
      <w:r w:rsidR="005451CE" w:rsidRPr="003B4362">
        <w:rPr>
          <w:rFonts w:eastAsia="Calibri"/>
        </w:rPr>
        <w:t>36 months after completing step 2</w:t>
      </w:r>
      <w:bookmarkEnd w:id="2661"/>
      <w:r w:rsidR="005451CE" w:rsidRPr="003B4362">
        <w:rPr>
          <w:rFonts w:eastAsia="Calibri"/>
        </w:rPr>
        <w:t xml:space="preserve">, </w:t>
      </w:r>
      <w:bookmarkStart w:id="2662" w:name="_Hlk115263766"/>
      <w:r w:rsidR="005451CE" w:rsidRPr="003B4362">
        <w:rPr>
          <w:rFonts w:eastAsia="Calibri"/>
        </w:rPr>
        <w:t>as Section 611.353(a)(4) specifies</w:t>
      </w:r>
      <w:bookmarkEnd w:id="2662"/>
      <w:r w:rsidR="005451CE" w:rsidRPr="003B4362">
        <w:rPr>
          <w:rFonts w:eastAsia="Calibri"/>
        </w:rPr>
        <w:t>.</w:t>
      </w:r>
    </w:p>
    <w:p w14:paraId="7B7482AE" w14:textId="64CDDD34" w:rsidR="00D50839" w:rsidRPr="003B4362" w:rsidRDefault="00D50839" w:rsidP="00D50839">
      <w:pPr>
        <w:autoSpaceDE w:val="0"/>
        <w:autoSpaceDN w:val="0"/>
        <w:adjustRightInd w:val="0"/>
        <w:ind w:left="2160" w:hanging="720"/>
        <w:rPr>
          <w:szCs w:val="24"/>
        </w:rPr>
      </w:pPr>
      <w:r w:rsidRPr="003B4362">
        <w:rPr>
          <w:szCs w:val="24"/>
        </w:rPr>
        <w:t>2)</w:t>
      </w:r>
      <w:r w:rsidRPr="003B4362">
        <w:rPr>
          <w:szCs w:val="24"/>
        </w:rPr>
        <w:tab/>
      </w:r>
      <w:bookmarkStart w:id="2663" w:name="_Hlk124248169"/>
      <w:r w:rsidRPr="003B4362">
        <w:rPr>
          <w:szCs w:val="24"/>
        </w:rPr>
        <w:t>A</w:t>
      </w:r>
      <w:bookmarkStart w:id="2664" w:name="_Hlk124248292"/>
      <w:r w:rsidRPr="003B4362">
        <w:rPr>
          <w:szCs w:val="24"/>
        </w:rPr>
        <w:t xml:space="preserve"> supplier adding a new source must collect</w:t>
      </w:r>
      <w:bookmarkEnd w:id="2663"/>
      <w:bookmarkEnd w:id="2664"/>
      <w:r w:rsidRPr="003B4362">
        <w:rPr>
          <w:szCs w:val="24"/>
        </w:rPr>
        <w:t xml:space="preserve"> one source water sample from each </w:t>
      </w:r>
      <w:bookmarkStart w:id="2665" w:name="_Hlk124248427"/>
      <w:r w:rsidRPr="003B4362">
        <w:rPr>
          <w:szCs w:val="24"/>
        </w:rPr>
        <w:t xml:space="preserve">entry point to </w:t>
      </w:r>
      <w:r w:rsidR="00886668" w:rsidRPr="003B4362">
        <w:rPr>
          <w:szCs w:val="24"/>
        </w:rPr>
        <w:t>its</w:t>
      </w:r>
      <w:r w:rsidRPr="003B4362">
        <w:rPr>
          <w:szCs w:val="24"/>
        </w:rPr>
        <w:t xml:space="preserve"> distribution system</w:t>
      </w:r>
      <w:bookmarkEnd w:id="2665"/>
      <w:r w:rsidRPr="003B4362">
        <w:rPr>
          <w:szCs w:val="24"/>
        </w:rPr>
        <w:t xml:space="preserve"> </w:t>
      </w:r>
      <w:bookmarkStart w:id="2666" w:name="_Hlk128514216"/>
      <w:bookmarkStart w:id="2667" w:name="_Hlk124248513"/>
      <w:r w:rsidR="00F572CE" w:rsidRPr="003B4362">
        <w:rPr>
          <w:szCs w:val="24"/>
        </w:rPr>
        <w:t xml:space="preserve">during each six-month source water monitoring period </w:t>
      </w:r>
      <w:bookmarkEnd w:id="2666"/>
      <w:r w:rsidRPr="003B4362">
        <w:rPr>
          <w:szCs w:val="24"/>
        </w:rPr>
        <w:t xml:space="preserve">until the </w:t>
      </w:r>
      <w:r w:rsidR="00886668" w:rsidRPr="003B4362">
        <w:rPr>
          <w:szCs w:val="24"/>
        </w:rPr>
        <w:t>supplier</w:t>
      </w:r>
      <w:r w:rsidRPr="003B4362">
        <w:rPr>
          <w:szCs w:val="24"/>
        </w:rPr>
        <w:t xml:space="preserve"> demonstrates</w:t>
      </w:r>
      <w:bookmarkEnd w:id="2667"/>
      <w:r w:rsidRPr="003B4362">
        <w:rPr>
          <w:szCs w:val="24"/>
        </w:rPr>
        <w:t xml:space="preserve"> </w:t>
      </w:r>
      <w:bookmarkStart w:id="2668" w:name="_Hlk124248787"/>
      <w:r w:rsidRPr="003B4362">
        <w:rPr>
          <w:szCs w:val="24"/>
        </w:rPr>
        <w:t xml:space="preserve">that </w:t>
      </w:r>
      <w:r w:rsidR="00886668" w:rsidRPr="003B4362">
        <w:rPr>
          <w:szCs w:val="24"/>
        </w:rPr>
        <w:t xml:space="preserve">the </w:t>
      </w:r>
      <w:r w:rsidR="00CD3745" w:rsidRPr="003B4362">
        <w:rPr>
          <w:szCs w:val="24"/>
        </w:rPr>
        <w:t>s</w:t>
      </w:r>
      <w:r w:rsidR="00886668" w:rsidRPr="003B4362">
        <w:rPr>
          <w:szCs w:val="24"/>
        </w:rPr>
        <w:t>upplier</w:t>
      </w:r>
      <w:bookmarkStart w:id="2669" w:name="_Hlk124248862"/>
      <w:r w:rsidR="00886668" w:rsidRPr="003B4362">
        <w:rPr>
          <w:szCs w:val="24"/>
        </w:rPr>
        <w:t xml:space="preserve"> </w:t>
      </w:r>
      <w:bookmarkEnd w:id="2669"/>
      <w:r w:rsidR="00886668" w:rsidRPr="003B4362">
        <w:rPr>
          <w:szCs w:val="24"/>
        </w:rPr>
        <w:t xml:space="preserve">has maintained </w:t>
      </w:r>
      <w:r w:rsidRPr="003B4362">
        <w:rPr>
          <w:szCs w:val="24"/>
        </w:rPr>
        <w:t>finished drinking water entering the distribution system</w:t>
      </w:r>
      <w:bookmarkEnd w:id="2668"/>
      <w:r w:rsidR="00886668" w:rsidRPr="003B4362">
        <w:rPr>
          <w:szCs w:val="24"/>
        </w:rPr>
        <w:t xml:space="preserve"> </w:t>
      </w:r>
      <w:r w:rsidRPr="003B4362">
        <w:rPr>
          <w:szCs w:val="24"/>
        </w:rPr>
        <w:t xml:space="preserve">below </w:t>
      </w:r>
      <w:bookmarkStart w:id="2670" w:name="_Hlk124249149"/>
      <w:r w:rsidRPr="003B4362">
        <w:rPr>
          <w:szCs w:val="24"/>
        </w:rPr>
        <w:t xml:space="preserve">the </w:t>
      </w:r>
      <w:r w:rsidR="00B83479" w:rsidRPr="003B4362">
        <w:rPr>
          <w:szCs w:val="24"/>
        </w:rPr>
        <w:t>MPCs for</w:t>
      </w:r>
      <w:r w:rsidRPr="003B4362">
        <w:rPr>
          <w:szCs w:val="24"/>
        </w:rPr>
        <w:t xml:space="preserve"> lead and copper</w:t>
      </w:r>
      <w:bookmarkEnd w:id="2670"/>
      <w:r w:rsidR="00B83479" w:rsidRPr="003B4362">
        <w:rPr>
          <w:szCs w:val="24"/>
        </w:rPr>
        <w:t xml:space="preserve"> </w:t>
      </w:r>
      <w:bookmarkStart w:id="2671" w:name="_Hlk124249582"/>
      <w:bookmarkStart w:id="2672" w:name="_Hlk124249257"/>
      <w:r w:rsidRPr="003B4362">
        <w:rPr>
          <w:szCs w:val="24"/>
        </w:rPr>
        <w:t xml:space="preserve">the </w:t>
      </w:r>
      <w:r w:rsidR="00B83479" w:rsidRPr="003B4362">
        <w:rPr>
          <w:szCs w:val="24"/>
        </w:rPr>
        <w:t>Agency</w:t>
      </w:r>
      <w:r w:rsidRPr="003B4362">
        <w:rPr>
          <w:szCs w:val="24"/>
        </w:rPr>
        <w:t xml:space="preserve"> </w:t>
      </w:r>
      <w:r w:rsidR="00AD1E33" w:rsidRPr="003B4362">
        <w:rPr>
          <w:szCs w:val="24"/>
        </w:rPr>
        <w:t>specifies under</w:t>
      </w:r>
      <w:r w:rsidRPr="003B4362">
        <w:rPr>
          <w:szCs w:val="24"/>
        </w:rPr>
        <w:t xml:space="preserve"> Section </w:t>
      </w:r>
      <w:r w:rsidR="00B83479" w:rsidRPr="003B4362">
        <w:rPr>
          <w:szCs w:val="24"/>
        </w:rPr>
        <w:t>61</w:t>
      </w:r>
      <w:r w:rsidRPr="003B4362">
        <w:rPr>
          <w:szCs w:val="24"/>
        </w:rPr>
        <w:t>1.</w:t>
      </w:r>
      <w:r w:rsidR="00B83479" w:rsidRPr="003B4362">
        <w:rPr>
          <w:szCs w:val="24"/>
        </w:rPr>
        <w:t>35</w:t>
      </w:r>
      <w:r w:rsidRPr="003B4362">
        <w:rPr>
          <w:szCs w:val="24"/>
        </w:rPr>
        <w:t>3(b)(4)</w:t>
      </w:r>
      <w:bookmarkEnd w:id="2671"/>
      <w:r w:rsidR="00AD1E33" w:rsidRPr="003B4362">
        <w:rPr>
          <w:szCs w:val="24"/>
        </w:rPr>
        <w:t>,</w:t>
      </w:r>
      <w:r w:rsidRPr="003B4362">
        <w:rPr>
          <w:szCs w:val="24"/>
        </w:rPr>
        <w:t xml:space="preserve"> </w:t>
      </w:r>
      <w:bookmarkStart w:id="2673" w:name="_Hlk124249915"/>
      <w:r w:rsidRPr="003B4362">
        <w:rPr>
          <w:szCs w:val="24"/>
        </w:rPr>
        <w:t xml:space="preserve">or </w:t>
      </w:r>
      <w:bookmarkStart w:id="2674" w:name="_Hlk124250186"/>
      <w:r w:rsidRPr="003B4362">
        <w:rPr>
          <w:szCs w:val="24"/>
        </w:rPr>
        <w:t xml:space="preserve">the </w:t>
      </w:r>
      <w:r w:rsidR="00AD1E33" w:rsidRPr="003B4362">
        <w:rPr>
          <w:szCs w:val="24"/>
        </w:rPr>
        <w:t>Agency</w:t>
      </w:r>
      <w:r w:rsidRPr="003B4362">
        <w:rPr>
          <w:szCs w:val="24"/>
        </w:rPr>
        <w:t xml:space="preserve"> </w:t>
      </w:r>
      <w:r w:rsidR="00AD1E33" w:rsidRPr="003B4362">
        <w:rPr>
          <w:szCs w:val="24"/>
        </w:rPr>
        <w:t xml:space="preserve">issues a SEP </w:t>
      </w:r>
      <w:r w:rsidRPr="003B4362">
        <w:rPr>
          <w:szCs w:val="24"/>
        </w:rPr>
        <w:t>determin</w:t>
      </w:r>
      <w:r w:rsidR="00AD1E33" w:rsidRPr="003B4362">
        <w:rPr>
          <w:szCs w:val="24"/>
        </w:rPr>
        <w:t>ing</w:t>
      </w:r>
      <w:r w:rsidRPr="003B4362">
        <w:rPr>
          <w:szCs w:val="24"/>
        </w:rPr>
        <w:t xml:space="preserve"> that </w:t>
      </w:r>
      <w:r w:rsidR="00AD1E33" w:rsidRPr="003B4362">
        <w:rPr>
          <w:szCs w:val="24"/>
        </w:rPr>
        <w:t xml:space="preserve">the supplier does not need </w:t>
      </w:r>
      <w:r w:rsidRPr="003B4362">
        <w:rPr>
          <w:szCs w:val="24"/>
        </w:rPr>
        <w:t>source water treatment</w:t>
      </w:r>
      <w:bookmarkEnd w:id="2672"/>
      <w:bookmarkEnd w:id="2673"/>
      <w:r w:rsidRPr="003B4362">
        <w:rPr>
          <w:szCs w:val="24"/>
        </w:rPr>
        <w:t>.</w:t>
      </w:r>
    </w:p>
    <w:p w14:paraId="150434A3" w14:textId="495CC13F" w:rsidR="005451CE" w:rsidRPr="003B4362" w:rsidRDefault="005451CE" w:rsidP="005451CE">
      <w:pPr>
        <w:spacing w:before="240" w:after="240"/>
        <w:ind w:left="1440" w:hanging="720"/>
        <w:rPr>
          <w:rFonts w:eastAsia="Calibri"/>
        </w:rPr>
      </w:pPr>
      <w:r w:rsidRPr="003B4362">
        <w:rPr>
          <w:rFonts w:eastAsia="Calibri"/>
        </w:rPr>
        <w:t>d</w:t>
      </w:r>
      <w:bookmarkEnd w:id="2674"/>
      <w:r w:rsidRPr="003B4362">
        <w:rPr>
          <w:rFonts w:eastAsia="Calibri"/>
        </w:rPr>
        <w:t>)</w:t>
      </w:r>
      <w:r w:rsidRPr="003B4362">
        <w:rPr>
          <w:rFonts w:eastAsia="Calibri"/>
        </w:rPr>
        <w:tab/>
      </w:r>
      <w:bookmarkStart w:id="2675" w:name="_Hlk115263875"/>
      <w:r w:rsidRPr="003B4362">
        <w:rPr>
          <w:rFonts w:eastAsia="Calibri"/>
        </w:rPr>
        <w:t>Monitoring Frequency after the Agency Specifies the Lead and Copper MPCs</w:t>
      </w:r>
      <w:bookmarkEnd w:id="2675"/>
    </w:p>
    <w:p w14:paraId="5D63FC5F" w14:textId="1AD2D5C5"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A supplier must monitor at </w:t>
      </w:r>
      <w:bookmarkStart w:id="2676" w:name="_Hlk115263978"/>
      <w:r w:rsidRPr="003B4362">
        <w:rPr>
          <w:rFonts w:eastAsia="Calibri"/>
        </w:rPr>
        <w:t xml:space="preserve">the frequency </w:t>
      </w:r>
      <w:r w:rsidR="00B863E3" w:rsidRPr="003B4362">
        <w:rPr>
          <w:rFonts w:eastAsia="Calibri"/>
        </w:rPr>
        <w:t xml:space="preserve">subsections </w:t>
      </w:r>
      <w:bookmarkStart w:id="2677" w:name="_Hlk124250749"/>
      <w:r w:rsidR="00B863E3" w:rsidRPr="003B4362">
        <w:rPr>
          <w:szCs w:val="24"/>
        </w:rPr>
        <w:t>(d)</w:t>
      </w:r>
      <w:bookmarkEnd w:id="2677"/>
      <w:r w:rsidR="00B863E3" w:rsidRPr="003B4362">
        <w:rPr>
          <w:szCs w:val="24"/>
        </w:rPr>
        <w:t xml:space="preserve">(1) and (d)(2) </w:t>
      </w:r>
      <w:r w:rsidR="00B863E3" w:rsidRPr="003B4362">
        <w:rPr>
          <w:rFonts w:eastAsia="Calibri"/>
        </w:rPr>
        <w:t xml:space="preserve">specify </w:t>
      </w:r>
      <w:r w:rsidR="00B863E3" w:rsidRPr="003B4362">
        <w:rPr>
          <w:rFonts w:eastAsia="Calibri"/>
          <w:spacing w:val="-3"/>
        </w:rPr>
        <w:t xml:space="preserve">if </w:t>
      </w:r>
      <w:bookmarkStart w:id="2678" w:name="_Hlk115264060"/>
      <w:bookmarkEnd w:id="2676"/>
      <w:r w:rsidRPr="003B4362">
        <w:rPr>
          <w:rFonts w:eastAsia="Calibri"/>
        </w:rPr>
        <w:t>the Agency specifies the MPCs</w:t>
      </w:r>
      <w:bookmarkEnd w:id="2678"/>
      <w:r w:rsidRPr="003B4362">
        <w:rPr>
          <w:rFonts w:eastAsia="Calibri"/>
        </w:rPr>
        <w:t xml:space="preserve"> under Section 611.353(b)(4).</w:t>
      </w:r>
    </w:p>
    <w:p w14:paraId="5FD5BA54" w14:textId="77777777"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GWS Suppliers</w:t>
      </w:r>
    </w:p>
    <w:p w14:paraId="2559FEFC" w14:textId="7DF5B55F"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A</w:t>
      </w:r>
      <w:bookmarkStart w:id="2679" w:name="_Hlk115264373"/>
      <w:r w:rsidRPr="003B4362">
        <w:rPr>
          <w:rFonts w:eastAsia="Calibri"/>
        </w:rPr>
        <w:t xml:space="preserve"> GWS supplier sampling under subsection (d)(1)</w:t>
      </w:r>
      <w:bookmarkEnd w:id="2679"/>
      <w:r w:rsidRPr="003B4362">
        <w:rPr>
          <w:rFonts w:eastAsia="Calibri"/>
        </w:rPr>
        <w:t xml:space="preserve"> must collect samples once during the three-year compliance period </w:t>
      </w:r>
      <w:bookmarkStart w:id="2680" w:name="_Hlk115264440"/>
      <w:r w:rsidRPr="003B4362">
        <w:rPr>
          <w:rFonts w:eastAsia="Calibri"/>
        </w:rPr>
        <w:t>(as Section 611.101 defines the term)</w:t>
      </w:r>
      <w:bookmarkEnd w:id="2680"/>
      <w:r w:rsidRPr="003B4362">
        <w:rPr>
          <w:rFonts w:eastAsia="Calibri"/>
        </w:rPr>
        <w:t xml:space="preserve"> during which the Agency makes its determination under Section 611.353(b)(4) .</w:t>
      </w:r>
    </w:p>
    <w:p w14:paraId="0897D48E" w14:textId="585E51C2"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 xml:space="preserve">A GWS supplier sampling under subsection (d)(1) </w:t>
      </w:r>
      <w:bookmarkStart w:id="2681" w:name="_Hlk115264676"/>
      <w:r w:rsidRPr="003B4362">
        <w:rPr>
          <w:rFonts w:eastAsia="Calibri"/>
        </w:rPr>
        <w:t xml:space="preserve">must </w:t>
      </w:r>
      <w:bookmarkStart w:id="2682" w:name="_Hlk115264602"/>
      <w:bookmarkEnd w:id="2681"/>
      <w:r w:rsidRPr="003B4362">
        <w:rPr>
          <w:rFonts w:eastAsia="Calibri"/>
        </w:rPr>
        <w:t>sample once during each subsequent compliance period</w:t>
      </w:r>
      <w:bookmarkEnd w:id="2682"/>
      <w:r w:rsidRPr="003B4362">
        <w:rPr>
          <w:rFonts w:eastAsia="Calibri"/>
        </w:rPr>
        <w:t>.</w:t>
      </w:r>
    </w:p>
    <w:p w14:paraId="43C1F83E" w14:textId="5D0F9BC2" w:rsidR="005451CE" w:rsidRPr="003B4362" w:rsidRDefault="005451CE" w:rsidP="005451CE">
      <w:pPr>
        <w:spacing w:before="240" w:after="240"/>
        <w:ind w:left="3600" w:hanging="720"/>
        <w:rPr>
          <w:rFonts w:eastAsia="Calibri"/>
        </w:rPr>
      </w:pPr>
      <w:r w:rsidRPr="003B4362">
        <w:rPr>
          <w:rFonts w:eastAsia="Calibri"/>
        </w:rPr>
        <w:t>iii)</w:t>
      </w:r>
      <w:r w:rsidRPr="003B4362">
        <w:rPr>
          <w:rFonts w:eastAsia="Calibri"/>
        </w:rPr>
        <w:tab/>
        <w:t>A</w:t>
      </w:r>
      <w:bookmarkStart w:id="2683" w:name="_Hlk115264829"/>
      <w:r w:rsidRPr="003B4362">
        <w:rPr>
          <w:rFonts w:eastAsia="Calibri"/>
        </w:rPr>
        <w:t xml:space="preserve"> supplier must </w:t>
      </w:r>
      <w:r w:rsidR="00042575" w:rsidRPr="003B4362">
        <w:rPr>
          <w:rFonts w:eastAsia="Calibri"/>
        </w:rPr>
        <w:t xml:space="preserve">triennially </w:t>
      </w:r>
      <w:r w:rsidRPr="003B4362">
        <w:rPr>
          <w:rFonts w:eastAsia="Calibri"/>
        </w:rPr>
        <w:t xml:space="preserve">collect samples </w:t>
      </w:r>
      <w:bookmarkEnd w:id="2683"/>
      <w:r w:rsidRPr="003B4362">
        <w:rPr>
          <w:rFonts w:eastAsia="Calibri"/>
        </w:rPr>
        <w:t>every third calendar year.</w:t>
      </w:r>
    </w:p>
    <w:p w14:paraId="035D4642" w14:textId="3AD74D00" w:rsidR="005451CE" w:rsidRPr="003B4362" w:rsidRDefault="005451CE" w:rsidP="005451CE">
      <w:pPr>
        <w:spacing w:before="240" w:after="240"/>
        <w:ind w:left="2880" w:hanging="720"/>
        <w:rPr>
          <w:rFonts w:eastAsia="Calibri"/>
        </w:rPr>
      </w:pPr>
      <w:r w:rsidRPr="003B4362">
        <w:rPr>
          <w:rFonts w:eastAsia="Calibri"/>
        </w:rPr>
        <w:lastRenderedPageBreak/>
        <w:t>B)</w:t>
      </w:r>
      <w:r w:rsidRPr="003B4362">
        <w:rPr>
          <w:rFonts w:eastAsia="Calibri"/>
        </w:rPr>
        <w:tab/>
        <w:t>A SWS or mixed system supplier must collect samples once during each calendar year, the first</w:t>
      </w:r>
      <w:bookmarkStart w:id="2684" w:name="_Hlk128516235"/>
      <w:r w:rsidRPr="003B4362">
        <w:rPr>
          <w:rFonts w:eastAsia="Calibri"/>
        </w:rPr>
        <w:t xml:space="preserve"> annual </w:t>
      </w:r>
      <w:r w:rsidR="003119C8" w:rsidRPr="003B4362">
        <w:rPr>
          <w:rFonts w:eastAsia="Calibri"/>
        </w:rPr>
        <w:t xml:space="preserve">source water </w:t>
      </w:r>
      <w:r w:rsidRPr="003B4362">
        <w:rPr>
          <w:rFonts w:eastAsia="Calibri"/>
        </w:rPr>
        <w:t>monitoring period</w:t>
      </w:r>
      <w:bookmarkEnd w:id="2684"/>
      <w:r w:rsidRPr="003B4362">
        <w:rPr>
          <w:rFonts w:eastAsia="Calibri"/>
        </w:rPr>
        <w:t xml:space="preserve"> to begin during the year in which the Agency makes its determination under Section 611.353(b)(4) .</w:t>
      </w:r>
    </w:p>
    <w:p w14:paraId="2C5CFC63" w14:textId="782AEDDA"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A</w:t>
      </w:r>
      <w:bookmarkStart w:id="2685" w:name="_Hlk115265008"/>
      <w:r w:rsidRPr="003B4362">
        <w:rPr>
          <w:rFonts w:eastAsia="Calibri"/>
        </w:rPr>
        <w:t xml:space="preserve"> supplier needs not sample source water </w:t>
      </w:r>
      <w:bookmarkEnd w:id="2685"/>
      <w:r w:rsidRPr="003B4362">
        <w:rPr>
          <w:rFonts w:eastAsia="Calibri"/>
        </w:rPr>
        <w:t xml:space="preserve">for lead or copper if </w:t>
      </w:r>
      <w:bookmarkStart w:id="2686" w:name="_Hlk115265096"/>
      <w:r w:rsidRPr="003B4362">
        <w:rPr>
          <w:rFonts w:eastAsia="Calibri"/>
        </w:rPr>
        <w:t xml:space="preserve">the supplier meets the action level for the specific contaminant in all tap water samples during the entire source water </w:t>
      </w:r>
      <w:bookmarkStart w:id="2687" w:name="_Hlk115265250"/>
      <w:r w:rsidR="00811787" w:rsidRPr="003B4362">
        <w:rPr>
          <w:rFonts w:eastAsia="Calibri"/>
        </w:rPr>
        <w:t xml:space="preserve">monitoring </w:t>
      </w:r>
      <w:bookmarkEnd w:id="2687"/>
      <w:r w:rsidRPr="003B4362">
        <w:rPr>
          <w:rFonts w:eastAsia="Calibri"/>
        </w:rPr>
        <w:t>period under subsection (d)(1)(A) or (d)(1)(B)</w:t>
      </w:r>
      <w:bookmarkEnd w:id="2686"/>
      <w:r w:rsidRPr="003B4362">
        <w:rPr>
          <w:rFonts w:eastAsia="Calibri"/>
        </w:rPr>
        <w:t>.</w:t>
      </w:r>
    </w:p>
    <w:p w14:paraId="064B3477" w14:textId="77777777" w:rsidR="005451CE" w:rsidRPr="003B4362" w:rsidRDefault="005451CE" w:rsidP="005451CE">
      <w:pPr>
        <w:spacing w:before="240" w:after="240"/>
        <w:ind w:left="1440" w:hanging="720"/>
        <w:rPr>
          <w:rFonts w:eastAsia="Calibri"/>
        </w:rPr>
      </w:pPr>
      <w:r w:rsidRPr="003B4362">
        <w:rPr>
          <w:rFonts w:eastAsia="Calibri"/>
        </w:rPr>
        <w:t>e)</w:t>
      </w:r>
      <w:r w:rsidRPr="003B4362">
        <w:rPr>
          <w:rFonts w:eastAsia="Calibri"/>
        </w:rPr>
        <w:tab/>
        <w:t>Reduced Monitoring Frequency</w:t>
      </w:r>
    </w:p>
    <w:p w14:paraId="0E286C2F" w14:textId="0356ABAB"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A</w:t>
      </w:r>
      <w:bookmarkStart w:id="2688" w:name="_Hlk124254295"/>
      <w:bookmarkStart w:id="2689" w:name="_Hlk115265321"/>
      <w:r w:rsidRPr="003B4362">
        <w:rPr>
          <w:rFonts w:eastAsia="Calibri"/>
        </w:rPr>
        <w:t xml:space="preserve"> GWS supplier</w:t>
      </w:r>
      <w:bookmarkEnd w:id="2688"/>
      <w:r w:rsidRPr="003B4362">
        <w:rPr>
          <w:rFonts w:eastAsia="Calibri"/>
        </w:rPr>
        <w:t xml:space="preserve"> may reduce its source water monitoring frequency for lead and copper </w:t>
      </w:r>
      <w:bookmarkEnd w:id="2689"/>
      <w:r w:rsidRPr="003B4362">
        <w:rPr>
          <w:rFonts w:eastAsia="Calibri"/>
        </w:rPr>
        <w:t xml:space="preserve">to once during each nine-year compliance cycle </w:t>
      </w:r>
      <w:bookmarkStart w:id="2690" w:name="_Hlk115265400"/>
      <w:r w:rsidRPr="003B4362">
        <w:rPr>
          <w:rFonts w:eastAsia="Calibri"/>
        </w:rPr>
        <w:t>(as Section 611.101 defines the term)</w:t>
      </w:r>
      <w:bookmarkEnd w:id="2690"/>
      <w:r w:rsidRPr="003B4362">
        <w:rPr>
          <w:rFonts w:eastAsia="Calibri"/>
        </w:rPr>
        <w:t xml:space="preserve">, </w:t>
      </w:r>
      <w:bookmarkStart w:id="2691" w:name="_Hlk115265473"/>
      <w:r w:rsidRPr="003B4362">
        <w:rPr>
          <w:rFonts w:eastAsia="Calibri"/>
        </w:rPr>
        <w:t xml:space="preserve">provided the supplier collects the samples </w:t>
      </w:r>
      <w:bookmarkEnd w:id="2691"/>
      <w:r w:rsidRPr="003B4362">
        <w:rPr>
          <w:rFonts w:eastAsia="Calibri"/>
        </w:rPr>
        <w:t xml:space="preserve">no later than every ninth calendar year, and only if the supplier meets </w:t>
      </w:r>
      <w:bookmarkStart w:id="2692" w:name="_Hlk115265537"/>
      <w:r w:rsidR="009B072C" w:rsidRPr="003B4362">
        <w:rPr>
          <w:rFonts w:eastAsia="Calibri"/>
        </w:rPr>
        <w:t>certain</w:t>
      </w:r>
      <w:r w:rsidR="00E6702C" w:rsidRPr="003B4362">
        <w:rPr>
          <w:rFonts w:eastAsia="Calibri"/>
        </w:rPr>
        <w:t xml:space="preserve"> </w:t>
      </w:r>
      <w:r w:rsidRPr="003B4362">
        <w:rPr>
          <w:rFonts w:eastAsia="Calibri"/>
        </w:rPr>
        <w:t>criteria</w:t>
      </w:r>
      <w:bookmarkEnd w:id="2692"/>
      <w:r w:rsidRPr="003B4362">
        <w:rPr>
          <w:rFonts w:eastAsia="Calibri"/>
        </w:rPr>
        <w:t>:</w:t>
      </w:r>
    </w:p>
    <w:p w14:paraId="3FCB0E55" w14:textId="642B4E15"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The supplier demonstrates that finished drinking water entering </w:t>
      </w:r>
      <w:bookmarkStart w:id="2693" w:name="_Hlk115265659"/>
      <w:r w:rsidRPr="003B4362">
        <w:rPr>
          <w:rFonts w:eastAsia="Calibri"/>
        </w:rPr>
        <w:t>the distribution system remains below the MPCs for lead and copper the Agency specifies under Section 611.353(b)(4)</w:t>
      </w:r>
      <w:bookmarkEnd w:id="2693"/>
      <w:r w:rsidRPr="003B4362">
        <w:rPr>
          <w:rFonts w:eastAsia="Calibri"/>
        </w:rPr>
        <w:t xml:space="preserve"> during at least three consecutive </w:t>
      </w:r>
      <w:r w:rsidR="00041750" w:rsidRPr="003B4362">
        <w:rPr>
          <w:szCs w:val="24"/>
        </w:rPr>
        <w:t xml:space="preserve">monitoring </w:t>
      </w:r>
      <w:r w:rsidRPr="003B4362">
        <w:rPr>
          <w:rFonts w:eastAsia="Calibri"/>
        </w:rPr>
        <w:t>periods under subsection (d)(1)</w:t>
      </w:r>
      <w:r w:rsidR="00FA262D" w:rsidRPr="003B4362">
        <w:rPr>
          <w:szCs w:val="24"/>
        </w:rPr>
        <w:t>.</w:t>
      </w:r>
    </w:p>
    <w:p w14:paraId="6BF1A2C0" w14:textId="6C5F790E"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r>
      <w:bookmarkStart w:id="2694" w:name="_Hlk124265347"/>
      <w:r w:rsidR="00041750" w:rsidRPr="003B4362">
        <w:rPr>
          <w:rFonts w:eastAsia="Calibri"/>
          <w:szCs w:val="24"/>
        </w:rPr>
        <w:t>This subsection (e)(1)(B) corresponds with 40 CFR 141.88(</w:t>
      </w:r>
      <w:r w:rsidR="000E73B0" w:rsidRPr="003B4362">
        <w:rPr>
          <w:rFonts w:eastAsia="Calibri"/>
          <w:szCs w:val="24"/>
        </w:rPr>
        <w:t>e</w:t>
      </w:r>
      <w:r w:rsidR="00041750" w:rsidRPr="003B4362">
        <w:rPr>
          <w:rFonts w:eastAsia="Calibri"/>
          <w:szCs w:val="24"/>
        </w:rPr>
        <w:t>)(</w:t>
      </w:r>
      <w:r w:rsidR="000E73B0" w:rsidRPr="003B4362">
        <w:rPr>
          <w:rFonts w:eastAsia="Calibri"/>
          <w:szCs w:val="24"/>
        </w:rPr>
        <w:t>1)(ii</w:t>
      </w:r>
      <w:r w:rsidR="00041750" w:rsidRPr="003B4362">
        <w:rPr>
          <w:rFonts w:eastAsia="Calibri"/>
          <w:szCs w:val="24"/>
        </w:rPr>
        <w:t>), which USEPA marked “[reserved]”.  This statement maintains structural consistency with USEPA’s rule.</w:t>
      </w:r>
      <w:bookmarkEnd w:id="2694"/>
    </w:p>
    <w:p w14:paraId="2FFD91B8" w14:textId="2B9E55A2"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A</w:t>
      </w:r>
      <w:bookmarkStart w:id="2695" w:name="_Hlk124265061"/>
      <w:r w:rsidRPr="003B4362">
        <w:rPr>
          <w:rFonts w:eastAsia="Calibri"/>
        </w:rPr>
        <w:t xml:space="preserve"> SWS or mixed system supplier</w:t>
      </w:r>
      <w:bookmarkEnd w:id="2695"/>
      <w:r w:rsidRPr="003B4362">
        <w:rPr>
          <w:rFonts w:eastAsia="Calibri"/>
        </w:rPr>
        <w:t xml:space="preserve"> may reduce its monitoring frequency subsection (d)(1) requires to once during each nine-year compliance cycle (as Section 611.101 defines the term)</w:t>
      </w:r>
      <w:r w:rsidR="0081371F" w:rsidRPr="003B4362">
        <w:rPr>
          <w:rFonts w:eastAsia="Calibri"/>
        </w:rPr>
        <w:t xml:space="preserve"> if the supplier collects</w:t>
      </w:r>
      <w:r w:rsidRPr="003B4362">
        <w:rPr>
          <w:rFonts w:eastAsia="Calibri"/>
        </w:rPr>
        <w:t xml:space="preserve"> the samples no later than every ninth calendar year, and only if the supplier meets certain criteria:</w:t>
      </w:r>
    </w:p>
    <w:p w14:paraId="2DCBFDF6" w14:textId="056666AC"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The supplier demonstrates that </w:t>
      </w:r>
      <w:bookmarkStart w:id="2696" w:name="_Hlk115269559"/>
      <w:r w:rsidRPr="003B4362">
        <w:rPr>
          <w:rFonts w:eastAsia="Calibri"/>
        </w:rPr>
        <w:t>finished drinking water entering its distribution system remains below</w:t>
      </w:r>
      <w:bookmarkEnd w:id="2696"/>
      <w:r w:rsidRPr="003B4362">
        <w:rPr>
          <w:rFonts w:eastAsia="Calibri"/>
        </w:rPr>
        <w:t xml:space="preserve"> </w:t>
      </w:r>
      <w:bookmarkStart w:id="2697" w:name="_Hlk115269661"/>
      <w:r w:rsidRPr="003B4362">
        <w:rPr>
          <w:rFonts w:eastAsia="Calibri"/>
        </w:rPr>
        <w:t>the MPCs for lead and copper the Agency specifies under Section 611.353(b)(4)</w:t>
      </w:r>
      <w:bookmarkEnd w:id="2697"/>
      <w:r w:rsidRPr="003B4362">
        <w:rPr>
          <w:rFonts w:eastAsia="Calibri"/>
        </w:rPr>
        <w:t xml:space="preserve"> for at least three consecutive years</w:t>
      </w:r>
      <w:r w:rsidR="00FA262D" w:rsidRPr="003B4362">
        <w:rPr>
          <w:szCs w:val="24"/>
        </w:rPr>
        <w:t>.</w:t>
      </w:r>
    </w:p>
    <w:p w14:paraId="05DA901A" w14:textId="447D966C"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r>
      <w:r w:rsidR="00FA262D" w:rsidRPr="003B4362">
        <w:rPr>
          <w:rFonts w:eastAsia="Calibri"/>
          <w:szCs w:val="24"/>
        </w:rPr>
        <w:t>This subsection (e)(1)(B) corresponds with 40 CFR 141.88(e)(1)(ii), which USEPA marked “[reserved]”.  This statement maintains structural consistency with USEPA’s rule.</w:t>
      </w:r>
    </w:p>
    <w:p w14:paraId="2CD6DEBB" w14:textId="165A312C"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A</w:t>
      </w:r>
      <w:bookmarkStart w:id="2698" w:name="_Hlk115272128"/>
      <w:r w:rsidRPr="003B4362">
        <w:rPr>
          <w:rFonts w:eastAsia="Calibri"/>
        </w:rPr>
        <w:t xml:space="preserve"> supplier using a new source of water </w:t>
      </w:r>
      <w:r w:rsidR="00BF62D0" w:rsidRPr="003B4362">
        <w:rPr>
          <w:rFonts w:eastAsia="Calibri"/>
        </w:rPr>
        <w:t xml:space="preserve">must </w:t>
      </w:r>
      <w:r w:rsidRPr="003B4362">
        <w:rPr>
          <w:rFonts w:eastAsia="Calibri"/>
        </w:rPr>
        <w:t>not reduce its monitoring</w:t>
      </w:r>
      <w:bookmarkEnd w:id="2698"/>
      <w:r w:rsidRPr="003B4362">
        <w:rPr>
          <w:rFonts w:eastAsia="Calibri"/>
        </w:rPr>
        <w:t xml:space="preserve"> for lead or copper </w:t>
      </w:r>
      <w:bookmarkStart w:id="2699" w:name="_Hlk115272262"/>
      <w:r w:rsidRPr="003B4362">
        <w:rPr>
          <w:rFonts w:eastAsia="Calibri"/>
        </w:rPr>
        <w:t>until after the supplier demonstrates</w:t>
      </w:r>
      <w:r w:rsidR="00661460" w:rsidRPr="003B4362">
        <w:rPr>
          <w:rFonts w:eastAsia="Calibri"/>
        </w:rPr>
        <w:t>,</w:t>
      </w:r>
      <w:r w:rsidRPr="003B4362">
        <w:rPr>
          <w:rFonts w:eastAsia="Calibri"/>
        </w:rPr>
        <w:t xml:space="preserve"> by samples it collected</w:t>
      </w:r>
      <w:bookmarkEnd w:id="2699"/>
      <w:r w:rsidRPr="003B4362">
        <w:rPr>
          <w:rFonts w:eastAsia="Calibri"/>
        </w:rPr>
        <w:t xml:space="preserve"> from the new source during three consecutive </w:t>
      </w:r>
      <w:bookmarkStart w:id="2700" w:name="_Hlk128517457"/>
      <w:r w:rsidR="003119C8" w:rsidRPr="003B4362">
        <w:rPr>
          <w:rFonts w:eastAsia="Calibri"/>
        </w:rPr>
        <w:t xml:space="preserve">source water </w:t>
      </w:r>
      <w:r w:rsidRPr="003B4362">
        <w:rPr>
          <w:rFonts w:eastAsia="Calibri"/>
        </w:rPr>
        <w:t xml:space="preserve">monitoring </w:t>
      </w:r>
      <w:r w:rsidRPr="003B4362">
        <w:rPr>
          <w:rFonts w:eastAsia="Calibri"/>
        </w:rPr>
        <w:lastRenderedPageBreak/>
        <w:t>periods</w:t>
      </w:r>
      <w:bookmarkEnd w:id="2700"/>
      <w:r w:rsidR="00661460" w:rsidRPr="003B4362">
        <w:rPr>
          <w:rFonts w:eastAsia="Calibri"/>
        </w:rPr>
        <w:t xml:space="preserve"> under</w:t>
      </w:r>
      <w:r w:rsidRPr="003B4362">
        <w:rPr>
          <w:rFonts w:eastAsia="Calibri"/>
        </w:rPr>
        <w:t xml:space="preserve"> </w:t>
      </w:r>
      <w:bookmarkStart w:id="2701" w:name="_Hlk115272352"/>
      <w:r w:rsidRPr="003B4362">
        <w:rPr>
          <w:rFonts w:eastAsia="Calibri"/>
        </w:rPr>
        <w:t>subsection (d)(1)</w:t>
      </w:r>
      <w:bookmarkEnd w:id="2701"/>
      <w:r w:rsidRPr="003B4362">
        <w:rPr>
          <w:rFonts w:eastAsia="Calibri"/>
        </w:rPr>
        <w:t xml:space="preserve">, that </w:t>
      </w:r>
      <w:bookmarkStart w:id="2702" w:name="_Hlk115272429"/>
      <w:r w:rsidRPr="003B4362">
        <w:rPr>
          <w:rFonts w:eastAsia="Calibri"/>
        </w:rPr>
        <w:t>lead or copper levels are below the MPC the Agency specifies</w:t>
      </w:r>
      <w:bookmarkEnd w:id="2702"/>
      <w:r w:rsidRPr="003B4362">
        <w:rPr>
          <w:rFonts w:eastAsia="Calibri"/>
        </w:rPr>
        <w:t xml:space="preserve"> under Section 611.353(a)</w:t>
      </w:r>
      <w:r w:rsidR="00BF62D0" w:rsidRPr="003B4362">
        <w:rPr>
          <w:rFonts w:eastAsia="Calibri"/>
        </w:rPr>
        <w:t>(5)</w:t>
      </w:r>
      <w:r w:rsidRPr="003B4362">
        <w:rPr>
          <w:rFonts w:eastAsia="Calibri"/>
        </w:rPr>
        <w:t>.</w:t>
      </w:r>
    </w:p>
    <w:p w14:paraId="4A2B88FF" w14:textId="1D1D1398" w:rsidR="005451CE" w:rsidRPr="003B4362" w:rsidRDefault="005451CE" w:rsidP="005451CE">
      <w:pPr>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141.88.</w:t>
      </w:r>
    </w:p>
    <w:p w14:paraId="0333690B" w14:textId="254C8123"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66518CA2" w14:textId="77777777" w:rsidR="005451CE" w:rsidRPr="003B4362" w:rsidRDefault="005451CE" w:rsidP="005A7813">
      <w:pPr>
        <w:rPr>
          <w:rFonts w:eastAsia="Calibri"/>
          <w:b/>
          <w:bCs/>
        </w:rPr>
      </w:pPr>
      <w:r w:rsidRPr="003B4362">
        <w:rPr>
          <w:rFonts w:eastAsia="Calibri"/>
          <w:b/>
          <w:bCs/>
        </w:rPr>
        <w:t>Section 611.359  Analytical Methods</w:t>
      </w:r>
    </w:p>
    <w:p w14:paraId="618D0130" w14:textId="44D6120D" w:rsidR="005451CE" w:rsidRPr="003B4362" w:rsidRDefault="005451CE" w:rsidP="005451CE">
      <w:pPr>
        <w:spacing w:before="240" w:after="240"/>
        <w:rPr>
          <w:rFonts w:eastAsia="Calibri"/>
        </w:rPr>
      </w:pPr>
      <w:r w:rsidRPr="003B4362">
        <w:rPr>
          <w:rFonts w:eastAsia="Calibri"/>
        </w:rPr>
        <w:t>T</w:t>
      </w:r>
      <w:bookmarkStart w:id="2703" w:name="_Hlk115273188"/>
      <w:r w:rsidRPr="003B4362">
        <w:rPr>
          <w:rFonts w:eastAsia="Calibri"/>
        </w:rPr>
        <w:t xml:space="preserve">he supplier must conduct analyses for lead, copper, pH, alkalinity, orthophosphate, </w:t>
      </w:r>
      <w:r w:rsidR="006816DB" w:rsidRPr="003B4362">
        <w:rPr>
          <w:szCs w:val="24"/>
        </w:rPr>
        <w:t xml:space="preserve">and </w:t>
      </w:r>
      <w:r w:rsidRPr="003B4362">
        <w:rPr>
          <w:rFonts w:eastAsia="Calibri"/>
        </w:rPr>
        <w:t xml:space="preserve">silica, </w:t>
      </w:r>
      <w:bookmarkStart w:id="2704" w:name="_Hlk115273429"/>
      <w:bookmarkEnd w:id="2703"/>
      <w:r w:rsidRPr="003B4362">
        <w:rPr>
          <w:rFonts w:eastAsia="Calibri"/>
        </w:rPr>
        <w:t>using the methods in Section 611.611(a)</w:t>
      </w:r>
      <w:bookmarkEnd w:id="2704"/>
      <w:r w:rsidRPr="003B4362">
        <w:rPr>
          <w:rFonts w:eastAsia="Calibri"/>
        </w:rPr>
        <w:t>.</w:t>
      </w:r>
    </w:p>
    <w:p w14:paraId="79737336" w14:textId="69D74F4E" w:rsidR="005451CE" w:rsidRPr="003B4362" w:rsidRDefault="005451CE" w:rsidP="005451CE">
      <w:pPr>
        <w:spacing w:before="240" w:after="240"/>
        <w:ind w:left="1440" w:hanging="720"/>
        <w:rPr>
          <w:rFonts w:eastAsia="Calibri"/>
        </w:rPr>
      </w:pPr>
      <w:r w:rsidRPr="003B4362">
        <w:rPr>
          <w:rFonts w:eastAsia="Calibri"/>
        </w:rPr>
        <w:t>a)</w:t>
      </w:r>
      <w:r w:rsidRPr="003B4362">
        <w:rPr>
          <w:rFonts w:eastAsia="Calibri"/>
        </w:rPr>
        <w:tab/>
        <w:t>O</w:t>
      </w:r>
      <w:bookmarkStart w:id="2705" w:name="_Hlk115274355"/>
      <w:r w:rsidRPr="003B4362">
        <w:rPr>
          <w:rFonts w:eastAsia="Calibri"/>
        </w:rPr>
        <w:t>nly a certified laboratory in one of the categories in Section 611.490(a) may conduct analyses for lead and copper to demonstrate that a supplier complies with this Subpart G</w:t>
      </w:r>
      <w:bookmarkEnd w:id="2705"/>
      <w:r w:rsidRPr="003B4362">
        <w:rPr>
          <w:rFonts w:eastAsia="Calibri"/>
        </w:rPr>
        <w:t xml:space="preserve">.  To obtain </w:t>
      </w:r>
      <w:bookmarkStart w:id="2706" w:name="_Hlk115274490"/>
      <w:r w:rsidRPr="003B4362">
        <w:rPr>
          <w:rFonts w:eastAsia="Calibri"/>
        </w:rPr>
        <w:t>cert</w:t>
      </w:r>
      <w:bookmarkStart w:id="2707" w:name="_Hlk115274461"/>
      <w:r w:rsidRPr="003B4362">
        <w:rPr>
          <w:rFonts w:eastAsia="Calibri"/>
        </w:rPr>
        <w:t>ification for conducting analyses</w:t>
      </w:r>
      <w:bookmarkEnd w:id="2706"/>
      <w:bookmarkEnd w:id="2707"/>
      <w:r w:rsidRPr="003B4362">
        <w:rPr>
          <w:rFonts w:eastAsia="Calibri"/>
        </w:rPr>
        <w:t xml:space="preserve"> for lead and copper, </w:t>
      </w:r>
      <w:bookmarkStart w:id="2708" w:name="_Hlk115274598"/>
      <w:r w:rsidRPr="003B4362">
        <w:rPr>
          <w:rFonts w:eastAsia="Calibri"/>
        </w:rPr>
        <w:t>a laboratory must fulfill specific conditions</w:t>
      </w:r>
      <w:bookmarkEnd w:id="2708"/>
      <w:r w:rsidRPr="003B4362">
        <w:rPr>
          <w:rFonts w:eastAsia="Calibri"/>
        </w:rPr>
        <w:t>:</w:t>
      </w:r>
    </w:p>
    <w:p w14:paraId="5D17EA95" w14:textId="3C0377EB"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T</w:t>
      </w:r>
      <w:bookmarkStart w:id="2709" w:name="_Hlk115274721"/>
      <w:r w:rsidRPr="003B4362">
        <w:rPr>
          <w:rFonts w:eastAsia="Calibri"/>
        </w:rPr>
        <w:t xml:space="preserve">he laboratory must analyze lead- and copper-containing performance evaluation samples </w:t>
      </w:r>
      <w:bookmarkStart w:id="2710" w:name="_Hlk115274798"/>
      <w:bookmarkEnd w:id="2709"/>
      <w:r w:rsidRPr="003B4362">
        <w:rPr>
          <w:rFonts w:eastAsia="Calibri"/>
        </w:rPr>
        <w:t>provided by USEPA or the Agency</w:t>
      </w:r>
      <w:bookmarkEnd w:id="2710"/>
      <w:r w:rsidR="006C55D1" w:rsidRPr="003B4362">
        <w:rPr>
          <w:rFonts w:eastAsia="Calibri"/>
        </w:rPr>
        <w:t xml:space="preserve"> at least once a year by each method for which the laboratory seeks certification</w:t>
      </w:r>
      <w:r w:rsidRPr="003B4362">
        <w:rPr>
          <w:rFonts w:eastAsia="Calibri"/>
        </w:rPr>
        <w:t>;</w:t>
      </w:r>
    </w:p>
    <w:p w14:paraId="798F3BA7" w14:textId="0C3CD534"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T</w:t>
      </w:r>
      <w:bookmarkStart w:id="2711" w:name="_Hlk115274936"/>
      <w:r w:rsidRPr="003B4362">
        <w:rPr>
          <w:rFonts w:eastAsia="Calibri"/>
        </w:rPr>
        <w:t>he laboratory must achieve certain quantitative acceptance limits</w:t>
      </w:r>
      <w:bookmarkEnd w:id="2711"/>
      <w:r w:rsidRPr="003B4362">
        <w:rPr>
          <w:rFonts w:eastAsia="Calibri"/>
        </w:rPr>
        <w:t>:</w:t>
      </w:r>
    </w:p>
    <w:p w14:paraId="06F07A98" w14:textId="69EFA842"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For lead:  ±30 percent of the actual amount in the performance evaluation sample when the actual amount is greater than or equal to 0.005 mg/</w:t>
      </w:r>
      <w:r w:rsidR="00C25B6F" w:rsidRPr="003B4362">
        <w:t xml:space="preserve"> L</w:t>
      </w:r>
      <w:r w:rsidRPr="003B4362">
        <w:rPr>
          <w:rFonts w:eastAsia="Calibri"/>
        </w:rPr>
        <w:t xml:space="preserve"> (the PQL for lead is 0.005 mg/</w:t>
      </w:r>
      <w:r w:rsidR="00C25B6F" w:rsidRPr="003B4362">
        <w:t xml:space="preserve"> L</w:t>
      </w:r>
      <w:r w:rsidRPr="003B4362">
        <w:rPr>
          <w:rFonts w:eastAsia="Calibri"/>
        </w:rPr>
        <w:t>);</w:t>
      </w:r>
    </w:p>
    <w:p w14:paraId="529BD5AF" w14:textId="4B3BF739"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For copper:  ±10 percent of the actual amount in the performance evaluation sample when the actual amount is greater than or equal to 0.050 mg/</w:t>
      </w:r>
      <w:r w:rsidR="00C25B6F" w:rsidRPr="003B4362">
        <w:t xml:space="preserve"> L</w:t>
      </w:r>
      <w:r w:rsidRPr="003B4362">
        <w:rPr>
          <w:rFonts w:eastAsia="Calibri"/>
        </w:rPr>
        <w:t xml:space="preserve"> (the PQL for copper is 0.050 mg/</w:t>
      </w:r>
      <w:r w:rsidR="00C25B6F" w:rsidRPr="003B4362">
        <w:t xml:space="preserve"> L</w:t>
      </w:r>
      <w:r w:rsidRPr="003B4362">
        <w:rPr>
          <w:rFonts w:eastAsia="Calibri"/>
        </w:rPr>
        <w:t>);</w:t>
      </w:r>
    </w:p>
    <w:p w14:paraId="3F618AD1" w14:textId="2ACFEE09" w:rsidR="005451CE" w:rsidRPr="003B4362" w:rsidRDefault="005451CE" w:rsidP="005451CE">
      <w:pPr>
        <w:tabs>
          <w:tab w:val="left" w:pos="3330"/>
        </w:tabs>
        <w:spacing w:before="240" w:after="240"/>
        <w:ind w:left="2160" w:hanging="720"/>
        <w:rPr>
          <w:rFonts w:eastAsia="Calibri"/>
        </w:rPr>
      </w:pPr>
      <w:r w:rsidRPr="003B4362">
        <w:rPr>
          <w:rFonts w:eastAsia="Calibri"/>
        </w:rPr>
        <w:t>3)</w:t>
      </w:r>
      <w:r w:rsidRPr="003B4362">
        <w:rPr>
          <w:rFonts w:eastAsia="Calibri"/>
        </w:rPr>
        <w:tab/>
        <w:t>T</w:t>
      </w:r>
      <w:bookmarkStart w:id="2712" w:name="_Hlk115275036"/>
      <w:r w:rsidRPr="003B4362">
        <w:rPr>
          <w:rFonts w:eastAsia="Calibri"/>
        </w:rPr>
        <w:t xml:space="preserve">he laboratory must achieve </w:t>
      </w:r>
      <w:bookmarkStart w:id="2713" w:name="_Hlk115275195"/>
      <w:r w:rsidRPr="003B4362">
        <w:rPr>
          <w:rFonts w:eastAsia="Calibri"/>
        </w:rPr>
        <w:t>method detection limit</w:t>
      </w:r>
      <w:bookmarkEnd w:id="2712"/>
      <w:r w:rsidRPr="003B4362">
        <w:rPr>
          <w:rFonts w:eastAsia="Calibri"/>
        </w:rPr>
        <w:t xml:space="preserve"> (MDL) for lead of 0.001 mg/</w:t>
      </w:r>
      <w:r w:rsidR="00C25B6F" w:rsidRPr="003B4362">
        <w:t xml:space="preserve"> L</w:t>
      </w:r>
      <w:r w:rsidRPr="003B4362">
        <w:rPr>
          <w:rFonts w:eastAsia="Calibri"/>
        </w:rPr>
        <w:t xml:space="preserve"> using the procedures in 35 Ill. Adm. Code 186</w:t>
      </w:r>
      <w:bookmarkEnd w:id="2713"/>
      <w:r w:rsidRPr="003B4362">
        <w:rPr>
          <w:rFonts w:eastAsia="Calibri"/>
        </w:rPr>
        <w:t xml:space="preserve"> and appendix B to 40 CFR 136:  “</w:t>
      </w:r>
      <w:bookmarkStart w:id="2714" w:name="_Hlk36911058"/>
      <w:r w:rsidRPr="003B4362">
        <w:rPr>
          <w:rFonts w:eastAsia="Calibri"/>
        </w:rPr>
        <w:t>Definition and Procedure for the Determination of the Method Detection Limit—Revision 1.11</w:t>
      </w:r>
      <w:bookmarkEnd w:id="2714"/>
      <w:r w:rsidRPr="003B4362">
        <w:rPr>
          <w:rFonts w:eastAsia="Calibri"/>
        </w:rPr>
        <w:t>”, incorporated by reference in Section 611.102(c); and</w:t>
      </w:r>
    </w:p>
    <w:p w14:paraId="1C175184" w14:textId="4C4103D6"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T</w:t>
      </w:r>
      <w:bookmarkStart w:id="2715" w:name="_Hlk115275472"/>
      <w:r w:rsidRPr="003B4362">
        <w:rPr>
          <w:rFonts w:eastAsia="Calibri"/>
        </w:rPr>
        <w:t xml:space="preserve">he laboratory must have current certification </w:t>
      </w:r>
      <w:bookmarkEnd w:id="2715"/>
      <w:r w:rsidRPr="003B4362">
        <w:rPr>
          <w:rFonts w:eastAsia="Calibri"/>
        </w:rPr>
        <w:t xml:space="preserve">to perform analyses </w:t>
      </w:r>
      <w:bookmarkStart w:id="2716" w:name="_Hlk115275580"/>
      <w:r w:rsidRPr="003B4362">
        <w:rPr>
          <w:rFonts w:eastAsia="Calibri"/>
        </w:rPr>
        <w:t>under the specifications this subsection (a) describes</w:t>
      </w:r>
      <w:bookmarkEnd w:id="2716"/>
      <w:r w:rsidRPr="003B4362">
        <w:rPr>
          <w:rFonts w:eastAsia="Calibri"/>
        </w:rPr>
        <w:t>.</w:t>
      </w:r>
    </w:p>
    <w:p w14:paraId="459EE369" w14:textId="1105C3FC" w:rsidR="005451CE" w:rsidRPr="003B4362" w:rsidRDefault="005451CE" w:rsidP="005451CE">
      <w:pPr>
        <w:spacing w:before="240" w:after="240"/>
        <w:ind w:left="1440"/>
        <w:rPr>
          <w:rFonts w:eastAsia="Calibri"/>
        </w:rPr>
      </w:pPr>
      <w:r w:rsidRPr="003B4362">
        <w:rPr>
          <w:rFonts w:eastAsia="Calibri"/>
        </w:rPr>
        <w:t xml:space="preserve">BOARD NOTE:  </w:t>
      </w:r>
      <w:r w:rsidRPr="003B4362">
        <w:rPr>
          <w:rFonts w:eastAsia="Calibri"/>
          <w:spacing w:val="-3"/>
        </w:rPr>
        <w:t>T</w:t>
      </w:r>
      <w:bookmarkStart w:id="2717" w:name="_Hlk115275757"/>
      <w:r w:rsidRPr="003B4362">
        <w:rPr>
          <w:rFonts w:eastAsia="Calibri"/>
          <w:spacing w:val="-3"/>
        </w:rPr>
        <w:t xml:space="preserve">his subsection </w:t>
      </w:r>
      <w:r w:rsidRPr="003B4362">
        <w:rPr>
          <w:rFonts w:eastAsia="Calibri"/>
        </w:rPr>
        <w:t>(a) derives from</w:t>
      </w:r>
      <w:bookmarkEnd w:id="2717"/>
      <w:r w:rsidRPr="003B4362">
        <w:rPr>
          <w:rFonts w:eastAsia="Calibri"/>
        </w:rPr>
        <w:t xml:space="preserve"> 40 CFR 141.89(a) and (a)(1).</w:t>
      </w:r>
    </w:p>
    <w:p w14:paraId="7B86FE4B" w14:textId="17C4A00D" w:rsidR="005451CE" w:rsidRPr="003B4362" w:rsidRDefault="005451CE" w:rsidP="005451CE">
      <w:pPr>
        <w:spacing w:before="240" w:after="240"/>
        <w:ind w:left="1440" w:hanging="720"/>
        <w:rPr>
          <w:rFonts w:eastAsia="Calibri"/>
        </w:rPr>
      </w:pPr>
      <w:r w:rsidRPr="003B4362">
        <w:rPr>
          <w:rFonts w:eastAsia="Calibri"/>
        </w:rPr>
        <w:t>b)</w:t>
      </w:r>
      <w:r w:rsidRPr="003B4362">
        <w:rPr>
          <w:rFonts w:eastAsia="Calibri"/>
        </w:rPr>
        <w:tab/>
        <w:t>T</w:t>
      </w:r>
      <w:bookmarkStart w:id="2718" w:name="_Hlk115275895"/>
      <w:r w:rsidRPr="003B4362">
        <w:rPr>
          <w:rFonts w:eastAsia="Calibri"/>
        </w:rPr>
        <w:t xml:space="preserve">he Agency must issue a SEP allowing a supplier to use previously collected monitoring </w:t>
      </w:r>
      <w:bookmarkStart w:id="2719" w:name="_Hlk115276004"/>
      <w:r w:rsidRPr="003B4362">
        <w:rPr>
          <w:rFonts w:eastAsia="Calibri"/>
        </w:rPr>
        <w:t>data</w:t>
      </w:r>
      <w:bookmarkEnd w:id="2718"/>
      <w:r w:rsidRPr="003B4362">
        <w:rPr>
          <w:rFonts w:eastAsia="Calibri"/>
        </w:rPr>
        <w:t xml:space="preserve"> under this Subpart G</w:t>
      </w:r>
      <w:bookmarkEnd w:id="2719"/>
      <w:r w:rsidRPr="003B4362">
        <w:rPr>
          <w:rFonts w:eastAsia="Calibri"/>
        </w:rPr>
        <w:t xml:space="preserve"> if </w:t>
      </w:r>
      <w:bookmarkStart w:id="2720" w:name="_Hlk115276058"/>
      <w:r w:rsidRPr="003B4362">
        <w:rPr>
          <w:rFonts w:eastAsia="Calibri"/>
        </w:rPr>
        <w:t>the supplier collected and analyzed the data complying with this Subpart G</w:t>
      </w:r>
      <w:bookmarkEnd w:id="2720"/>
      <w:r w:rsidRPr="003B4362">
        <w:rPr>
          <w:rFonts w:eastAsia="Calibri"/>
        </w:rPr>
        <w:t>.</w:t>
      </w:r>
    </w:p>
    <w:p w14:paraId="04D68A92" w14:textId="73C6C1EC" w:rsidR="005451CE" w:rsidRPr="003B4362" w:rsidRDefault="005451CE" w:rsidP="005451CE">
      <w:pPr>
        <w:spacing w:before="240" w:after="240"/>
        <w:ind w:left="1440"/>
        <w:rPr>
          <w:rFonts w:eastAsia="Calibri"/>
        </w:rPr>
      </w:pPr>
      <w:r w:rsidRPr="003B4362">
        <w:rPr>
          <w:rFonts w:eastAsia="Calibri"/>
        </w:rPr>
        <w:lastRenderedPageBreak/>
        <w:t xml:space="preserve">BOARD NOTE:  </w:t>
      </w:r>
      <w:r w:rsidRPr="003B4362">
        <w:rPr>
          <w:rFonts w:eastAsia="Calibri"/>
          <w:spacing w:val="-3"/>
        </w:rPr>
        <w:t xml:space="preserve">This subsection </w:t>
      </w:r>
      <w:r w:rsidRPr="003B4362">
        <w:rPr>
          <w:rFonts w:eastAsia="Calibri"/>
        </w:rPr>
        <w:t>(b) derives from 40 CFR 141.89(a)(2).</w:t>
      </w:r>
    </w:p>
    <w:p w14:paraId="358EB850" w14:textId="77777777" w:rsidR="005451CE" w:rsidRPr="003B4362" w:rsidRDefault="005451CE" w:rsidP="005451CE">
      <w:pPr>
        <w:spacing w:before="240" w:after="240"/>
        <w:ind w:left="1440" w:hanging="720"/>
        <w:rPr>
          <w:rFonts w:eastAsia="Calibri"/>
        </w:rPr>
      </w:pPr>
      <w:r w:rsidRPr="003B4362">
        <w:rPr>
          <w:rFonts w:eastAsia="Calibri"/>
        </w:rPr>
        <w:t>c)</w:t>
      </w:r>
      <w:r w:rsidRPr="003B4362">
        <w:rPr>
          <w:rFonts w:eastAsia="Calibri"/>
        </w:rPr>
        <w:tab/>
        <w:t>Reporting Lead and Copper Levels</w:t>
      </w:r>
    </w:p>
    <w:p w14:paraId="3F41B486" w14:textId="7B65AE67"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T</w:t>
      </w:r>
      <w:bookmarkStart w:id="2721" w:name="_Hlk115276400"/>
      <w:r w:rsidRPr="003B4362">
        <w:rPr>
          <w:rFonts w:eastAsia="Calibri"/>
        </w:rPr>
        <w:t xml:space="preserve">he supplier must report all lead and copper levels greater than or equal to the lead and copper PQL (Pb </w:t>
      </w:r>
      <w:r w:rsidRPr="003B4362">
        <w:rPr>
          <w:rFonts w:eastAsia="Calibri"/>
        </w:rPr>
        <w:sym w:font="Symbol" w:char="F0B3"/>
      </w:r>
      <w:r w:rsidRPr="003B4362">
        <w:rPr>
          <w:rFonts w:eastAsia="Calibri"/>
        </w:rPr>
        <w:t xml:space="preserve"> 0.005 mg/</w:t>
      </w:r>
      <w:r w:rsidR="00C25B6F" w:rsidRPr="003B4362">
        <w:t xml:space="preserve"> L</w:t>
      </w:r>
      <w:r w:rsidRPr="003B4362">
        <w:rPr>
          <w:rFonts w:eastAsia="Calibri"/>
        </w:rPr>
        <w:t xml:space="preserve"> and Cu </w:t>
      </w:r>
      <w:r w:rsidRPr="003B4362">
        <w:rPr>
          <w:rFonts w:eastAsia="Calibri"/>
        </w:rPr>
        <w:sym w:font="Symbol" w:char="F0B3"/>
      </w:r>
      <w:r w:rsidRPr="003B4362">
        <w:rPr>
          <w:rFonts w:eastAsia="Calibri"/>
        </w:rPr>
        <w:t xml:space="preserve"> 0.050 mg/</w:t>
      </w:r>
      <w:r w:rsidR="00C25B6F" w:rsidRPr="003B4362">
        <w:t xml:space="preserve"> L</w:t>
      </w:r>
      <w:r w:rsidRPr="003B4362">
        <w:rPr>
          <w:rFonts w:eastAsia="Calibri"/>
        </w:rPr>
        <w:t xml:space="preserve">) </w:t>
      </w:r>
      <w:bookmarkEnd w:id="2721"/>
      <w:r w:rsidRPr="003B4362">
        <w:rPr>
          <w:rFonts w:eastAsia="Calibri"/>
        </w:rPr>
        <w:t>as measured.</w:t>
      </w:r>
    </w:p>
    <w:p w14:paraId="56B73BE4" w14:textId="40BB513F"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The supplier must report all lead and copper levels less than the PQL but greater than the MDL (0.005 mg/</w:t>
      </w:r>
      <w:r w:rsidR="00C25B6F" w:rsidRPr="003B4362">
        <w:t xml:space="preserve"> L</w:t>
      </w:r>
      <w:r w:rsidRPr="003B4362">
        <w:rPr>
          <w:rFonts w:eastAsia="Calibri"/>
        </w:rPr>
        <w:t xml:space="preserve"> &gt; Pb &gt; MDL and 0.050 mg/</w:t>
      </w:r>
      <w:r w:rsidR="00C25B6F" w:rsidRPr="003B4362">
        <w:t xml:space="preserve"> L</w:t>
      </w:r>
      <w:r w:rsidRPr="003B4362">
        <w:rPr>
          <w:rFonts w:eastAsia="Calibri"/>
        </w:rPr>
        <w:t xml:space="preserve"> &gt; Cu &gt; MDL) either as measured</w:t>
      </w:r>
      <w:bookmarkStart w:id="2722" w:name="_Hlk115276914"/>
      <w:r w:rsidRPr="003B4362">
        <w:rPr>
          <w:rFonts w:eastAsia="Calibri"/>
        </w:rPr>
        <w:t xml:space="preserve"> or as one-half</w:t>
      </w:r>
      <w:bookmarkEnd w:id="2722"/>
      <w:r w:rsidRPr="003B4362">
        <w:rPr>
          <w:rFonts w:eastAsia="Calibri"/>
        </w:rPr>
        <w:t xml:space="preserve"> the </w:t>
      </w:r>
      <w:bookmarkStart w:id="2723" w:name="_Hlk115276978"/>
      <w:r w:rsidRPr="003B4362">
        <w:rPr>
          <w:rFonts w:eastAsia="Calibri"/>
        </w:rPr>
        <w:t>PQL in subsection (a)</w:t>
      </w:r>
      <w:bookmarkEnd w:id="2723"/>
      <w:r w:rsidRPr="003B4362">
        <w:rPr>
          <w:rFonts w:eastAsia="Calibri"/>
        </w:rPr>
        <w:t xml:space="preserve"> </w:t>
      </w:r>
      <w:bookmarkStart w:id="2724" w:name="_Hlk115277008"/>
      <w:r w:rsidRPr="003B4362">
        <w:rPr>
          <w:rFonts w:eastAsia="Calibri"/>
        </w:rPr>
        <w:t>(i.e., 0.0025 mg/</w:t>
      </w:r>
      <w:r w:rsidR="00C25B6F" w:rsidRPr="003B4362">
        <w:t xml:space="preserve"> L</w:t>
      </w:r>
      <w:r w:rsidRPr="003B4362">
        <w:rPr>
          <w:rFonts w:eastAsia="Calibri"/>
        </w:rPr>
        <w:t xml:space="preserve"> for lead or 0.025 mg/</w:t>
      </w:r>
      <w:r w:rsidR="00C25B6F" w:rsidRPr="003B4362">
        <w:t xml:space="preserve"> L</w:t>
      </w:r>
      <w:r w:rsidRPr="003B4362">
        <w:rPr>
          <w:rFonts w:eastAsia="Calibri"/>
        </w:rPr>
        <w:t xml:space="preserve"> for copper)</w:t>
      </w:r>
      <w:bookmarkEnd w:id="2724"/>
      <w:r w:rsidRPr="003B4362">
        <w:rPr>
          <w:rFonts w:eastAsia="Calibri"/>
        </w:rPr>
        <w:t>.</w:t>
      </w:r>
    </w:p>
    <w:p w14:paraId="4E81710B" w14:textId="3775D846"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The supplier must report all lead and copper levels below the lead and copper MDL (MDL &gt; Pb) as zero.</w:t>
      </w:r>
    </w:p>
    <w:p w14:paraId="56DA9D51" w14:textId="1C102C09" w:rsidR="005451CE" w:rsidRPr="003B4362" w:rsidRDefault="005451CE" w:rsidP="005451CE">
      <w:pPr>
        <w:spacing w:before="240" w:after="240"/>
        <w:ind w:left="144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(c) derives from 40 CFR 141.89(a)(3) and (a)(4).</w:t>
      </w:r>
    </w:p>
    <w:p w14:paraId="1BD222F7" w14:textId="23064099"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67941ED7" w14:textId="77777777" w:rsidR="005451CE" w:rsidRPr="003B4362" w:rsidRDefault="005451CE" w:rsidP="005A7813">
      <w:pPr>
        <w:rPr>
          <w:rFonts w:eastAsia="Calibri"/>
          <w:b/>
          <w:bCs/>
        </w:rPr>
      </w:pPr>
      <w:r w:rsidRPr="003B4362">
        <w:rPr>
          <w:rFonts w:eastAsia="Calibri"/>
          <w:b/>
          <w:bCs/>
        </w:rPr>
        <w:t>Section 611.360  Reporting</w:t>
      </w:r>
    </w:p>
    <w:p w14:paraId="38701864" w14:textId="553CB666" w:rsidR="005451CE" w:rsidRPr="003B4362" w:rsidRDefault="005451CE" w:rsidP="005451CE">
      <w:pPr>
        <w:spacing w:before="240" w:after="240"/>
        <w:rPr>
          <w:rFonts w:eastAsia="Calibri"/>
        </w:rPr>
      </w:pPr>
      <w:r w:rsidRPr="003B4362">
        <w:rPr>
          <w:rFonts w:eastAsia="Calibri"/>
        </w:rPr>
        <w:t>A supplier must report specific information to the Agency as this Section provides.</w:t>
      </w:r>
    </w:p>
    <w:p w14:paraId="3F647897" w14:textId="77777777" w:rsidR="005451CE" w:rsidRPr="003B4362" w:rsidRDefault="005451CE" w:rsidP="005451CE">
      <w:pPr>
        <w:spacing w:before="240" w:after="240"/>
        <w:ind w:left="1440" w:hanging="720"/>
        <w:rPr>
          <w:rFonts w:eastAsia="Calibri"/>
        </w:rPr>
      </w:pPr>
      <w:r w:rsidRPr="003B4362">
        <w:rPr>
          <w:rFonts w:eastAsia="Calibri"/>
        </w:rPr>
        <w:t>a)</w:t>
      </w:r>
      <w:r w:rsidRPr="003B4362">
        <w:rPr>
          <w:rFonts w:eastAsia="Calibri"/>
        </w:rPr>
        <w:tab/>
        <w:t>Reporting for Tap, Lead, and Copper, and Water Quality Parameter Monitoring</w:t>
      </w:r>
    </w:p>
    <w:p w14:paraId="0C72FE8B" w14:textId="3E320028"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r>
      <w:r w:rsidR="00D16471" w:rsidRPr="003B4362">
        <w:rPr>
          <w:szCs w:val="24"/>
        </w:rPr>
        <w:t>N</w:t>
      </w:r>
      <w:bookmarkStart w:id="2725" w:name="_Hlk124279619"/>
      <w:r w:rsidR="00D16471" w:rsidRPr="003B4362">
        <w:rPr>
          <w:szCs w:val="24"/>
        </w:rPr>
        <w:t>otwithstanding</w:t>
      </w:r>
      <w:r w:rsidR="00C5480E" w:rsidRPr="003B4362">
        <w:rPr>
          <w:spacing w:val="-3"/>
        </w:rPr>
        <w:t xml:space="preserve"> </w:t>
      </w:r>
      <w:r w:rsidR="00D16471" w:rsidRPr="003B4362">
        <w:rPr>
          <w:szCs w:val="24"/>
        </w:rPr>
        <w:t xml:space="preserve">Section </w:t>
      </w:r>
      <w:r w:rsidR="00C5480E" w:rsidRPr="003B4362">
        <w:rPr>
          <w:szCs w:val="24"/>
        </w:rPr>
        <w:t>611.840(a) and</w:t>
      </w:r>
      <w:r w:rsidR="00D16471" w:rsidRPr="003B4362">
        <w:rPr>
          <w:szCs w:val="24"/>
        </w:rPr>
        <w:t xml:space="preserve"> except </w:t>
      </w:r>
      <w:r w:rsidRPr="003B4362">
        <w:rPr>
          <w:rFonts w:eastAsia="Calibri"/>
        </w:rPr>
        <w:t>as subsection (a)(1)(H) provides otherwise</w:t>
      </w:r>
      <w:bookmarkEnd w:id="2725"/>
      <w:r w:rsidRPr="003B4362">
        <w:rPr>
          <w:rFonts w:eastAsia="Calibri"/>
        </w:rPr>
        <w:t xml:space="preserve">, a supplier must report the information </w:t>
      </w:r>
      <w:bookmarkStart w:id="2726" w:name="_Hlk124280390"/>
      <w:r w:rsidR="001A4196" w:rsidRPr="003B4362">
        <w:rPr>
          <w:szCs w:val="24"/>
        </w:rPr>
        <w:t xml:space="preserve">subsections (a)(1)(A) through (a)(1)(I) </w:t>
      </w:r>
      <w:r w:rsidR="001A4196" w:rsidRPr="003B4362">
        <w:rPr>
          <w:rFonts w:eastAsia="Calibri"/>
        </w:rPr>
        <w:t>specify</w:t>
      </w:r>
      <w:bookmarkEnd w:id="2726"/>
      <w:r w:rsidR="001A4196" w:rsidRPr="003B4362">
        <w:rPr>
          <w:rFonts w:eastAsia="Calibri"/>
        </w:rPr>
        <w:t xml:space="preserve"> </w:t>
      </w:r>
      <w:r w:rsidRPr="003B4362">
        <w:rPr>
          <w:rFonts w:eastAsia="Calibri"/>
        </w:rPr>
        <w:t xml:space="preserve">for all samples and for all water quality parameter samples Section 611.357 specifies within ten days after the end of each applicable </w:t>
      </w:r>
      <w:r w:rsidR="001A4196" w:rsidRPr="003B4362">
        <w:rPr>
          <w:szCs w:val="24"/>
        </w:rPr>
        <w:t xml:space="preserve">tap </w:t>
      </w:r>
      <w:r w:rsidRPr="003B4362">
        <w:rPr>
          <w:rFonts w:eastAsia="Calibri"/>
        </w:rPr>
        <w:t xml:space="preserve">sampling period Sections 611.356 and 611.357 specify (i.e., every six months, annually, triennially, or every nine years).  For a </w:t>
      </w:r>
      <w:r w:rsidR="006A59CE" w:rsidRPr="003B4362">
        <w:rPr>
          <w:szCs w:val="24"/>
        </w:rPr>
        <w:t xml:space="preserve">tap monitoring </w:t>
      </w:r>
      <w:r w:rsidR="001E7E89" w:rsidRPr="003B4362">
        <w:rPr>
          <w:rFonts w:eastAsia="Calibri"/>
        </w:rPr>
        <w:t xml:space="preserve">cycle shorter </w:t>
      </w:r>
      <w:r w:rsidRPr="003B4362">
        <w:rPr>
          <w:rFonts w:eastAsia="Calibri"/>
        </w:rPr>
        <w:t xml:space="preserve">than six months, the end of the </w:t>
      </w:r>
      <w:r w:rsidR="00EF5066" w:rsidRPr="003B4362">
        <w:rPr>
          <w:szCs w:val="24"/>
        </w:rPr>
        <w:t xml:space="preserve">tap monitoring </w:t>
      </w:r>
      <w:r w:rsidR="00EF5066" w:rsidRPr="003B4362">
        <w:rPr>
          <w:rFonts w:eastAsia="Calibri"/>
        </w:rPr>
        <w:t xml:space="preserve">cycle </w:t>
      </w:r>
      <w:r w:rsidRPr="003B4362">
        <w:rPr>
          <w:rFonts w:eastAsia="Calibri"/>
        </w:rPr>
        <w:t xml:space="preserve">is the last date on which the supplier may collect samples during that </w:t>
      </w:r>
      <w:r w:rsidR="006A59CE" w:rsidRPr="003B4362">
        <w:rPr>
          <w:szCs w:val="24"/>
        </w:rPr>
        <w:t xml:space="preserve">tap sampling </w:t>
      </w:r>
      <w:r w:rsidRPr="003B4362">
        <w:rPr>
          <w:rFonts w:eastAsia="Calibri"/>
        </w:rPr>
        <w:t>period, as Sections 611.356 and 611.357 specify.</w:t>
      </w:r>
    </w:p>
    <w:p w14:paraId="329BCB20" w14:textId="720DD7D0"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The results of all tap samples for lead and copper, including the location of each site and the criteria under Section 611.356</w:t>
      </w:r>
      <w:bookmarkStart w:id="2727" w:name="_Hlk124282306"/>
      <w:r w:rsidRPr="003B4362">
        <w:rPr>
          <w:rFonts w:eastAsia="Calibri"/>
        </w:rPr>
        <w:t>(a)(3)</w:t>
      </w:r>
      <w:r w:rsidR="0092364A" w:rsidRPr="003B4362">
        <w:rPr>
          <w:rFonts w:eastAsia="Calibri"/>
        </w:rPr>
        <w:t xml:space="preserve"> </w:t>
      </w:r>
      <w:r w:rsidR="0092364A" w:rsidRPr="003B4362">
        <w:rPr>
          <w:szCs w:val="24"/>
        </w:rPr>
        <w:t xml:space="preserve">through </w:t>
      </w:r>
      <w:r w:rsidR="0092364A" w:rsidRPr="003B4362">
        <w:rPr>
          <w:rFonts w:eastAsia="Calibri"/>
        </w:rPr>
        <w:t>(a)</w:t>
      </w:r>
      <w:r w:rsidR="0092364A" w:rsidRPr="003B4362">
        <w:rPr>
          <w:szCs w:val="24"/>
        </w:rPr>
        <w:t>(10)</w:t>
      </w:r>
      <w:r w:rsidR="0092364A" w:rsidRPr="003B4362">
        <w:rPr>
          <w:rFonts w:eastAsia="Calibri"/>
        </w:rPr>
        <w:t xml:space="preserve"> the supplier </w:t>
      </w:r>
      <w:r w:rsidR="0092364A" w:rsidRPr="003B4362">
        <w:rPr>
          <w:szCs w:val="24"/>
        </w:rPr>
        <w:t>used as the basis for</w:t>
      </w:r>
      <w:bookmarkEnd w:id="2727"/>
      <w:r w:rsidRPr="003B4362">
        <w:rPr>
          <w:rFonts w:eastAsia="Calibri"/>
        </w:rPr>
        <w:t xml:space="preserve"> </w:t>
      </w:r>
      <w:r w:rsidR="006914CE" w:rsidRPr="003B4362">
        <w:rPr>
          <w:rFonts w:eastAsia="Calibri"/>
        </w:rPr>
        <w:t xml:space="preserve">selecting </w:t>
      </w:r>
      <w:r w:rsidRPr="003B4362">
        <w:rPr>
          <w:rFonts w:eastAsia="Calibri"/>
        </w:rPr>
        <w:t xml:space="preserve">the site for </w:t>
      </w:r>
      <w:r w:rsidR="0081371F" w:rsidRPr="003B4362">
        <w:rPr>
          <w:rFonts w:eastAsia="Calibri"/>
        </w:rPr>
        <w:t>its</w:t>
      </w:r>
      <w:r w:rsidR="00227052" w:rsidRPr="003B4362">
        <w:rPr>
          <w:rFonts w:eastAsia="Calibri"/>
        </w:rPr>
        <w:t xml:space="preserve"> </w:t>
      </w:r>
      <w:r w:rsidRPr="003B4362">
        <w:rPr>
          <w:rFonts w:eastAsia="Calibri"/>
        </w:rPr>
        <w:t>sampling pool</w:t>
      </w:r>
      <w:r w:rsidR="006914CE" w:rsidRPr="003B4362">
        <w:rPr>
          <w:szCs w:val="24"/>
        </w:rPr>
        <w:t xml:space="preserve">, accounting for Section </w:t>
      </w:r>
      <w:r w:rsidR="005B7121" w:rsidRPr="003B4362">
        <w:rPr>
          <w:szCs w:val="24"/>
        </w:rPr>
        <w:t>61</w:t>
      </w:r>
      <w:r w:rsidR="006914CE" w:rsidRPr="003B4362">
        <w:rPr>
          <w:szCs w:val="24"/>
        </w:rPr>
        <w:t>1.</w:t>
      </w:r>
      <w:r w:rsidR="005B7121" w:rsidRPr="003B4362">
        <w:rPr>
          <w:szCs w:val="24"/>
        </w:rPr>
        <w:t>35</w:t>
      </w:r>
      <w:r w:rsidR="006914CE" w:rsidRPr="003B4362">
        <w:rPr>
          <w:szCs w:val="24"/>
        </w:rPr>
        <w:t>6(a)(11)</w:t>
      </w:r>
      <w:r w:rsidRPr="003B4362">
        <w:rPr>
          <w:rFonts w:eastAsia="Calibri"/>
        </w:rPr>
        <w:t>;</w:t>
      </w:r>
    </w:p>
    <w:p w14:paraId="1DCC600C" w14:textId="10EE41B7"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Supporting documents for each tap water lead or copper sample the supplier requests the Agency invalidate under Section 611.356(f)(2);</w:t>
      </w:r>
    </w:p>
    <w:p w14:paraId="448D6288" w14:textId="1F5BC6D9" w:rsidR="005451CE" w:rsidRPr="003B4362" w:rsidRDefault="005451CE" w:rsidP="005451CE">
      <w:pPr>
        <w:spacing w:before="240" w:after="240"/>
        <w:ind w:left="2880" w:hanging="720"/>
        <w:rPr>
          <w:rFonts w:eastAsia="Calibri"/>
        </w:rPr>
      </w:pPr>
      <w:r w:rsidRPr="003B4362">
        <w:rPr>
          <w:rFonts w:eastAsia="Calibri"/>
        </w:rPr>
        <w:lastRenderedPageBreak/>
        <w:t>C)</w:t>
      </w:r>
      <w:r w:rsidRPr="003B4362">
        <w:rPr>
          <w:rFonts w:eastAsia="Calibri"/>
        </w:rPr>
        <w:tab/>
      </w:r>
      <w:bookmarkStart w:id="2728" w:name="_Hlk124326632"/>
      <w:r w:rsidR="009E104C" w:rsidRPr="003B4362">
        <w:rPr>
          <w:szCs w:val="24"/>
        </w:rPr>
        <w:t>A</w:t>
      </w:r>
      <w:bookmarkStart w:id="2729" w:name="_Hlk124327783"/>
      <w:r w:rsidR="009E104C" w:rsidRPr="003B4362">
        <w:rPr>
          <w:szCs w:val="24"/>
        </w:rPr>
        <w:t xml:space="preserve"> supplier</w:t>
      </w:r>
      <w:r w:rsidR="000B18BA" w:rsidRPr="003B4362">
        <w:rPr>
          <w:szCs w:val="24"/>
        </w:rPr>
        <w:t xml:space="preserve"> </w:t>
      </w:r>
      <w:r w:rsidR="009E104C" w:rsidRPr="003B4362">
        <w:rPr>
          <w:szCs w:val="24"/>
        </w:rPr>
        <w:t>having</w:t>
      </w:r>
      <w:r w:rsidR="000B18BA" w:rsidRPr="003B4362">
        <w:rPr>
          <w:szCs w:val="24"/>
        </w:rPr>
        <w:t xml:space="preserve"> </w:t>
      </w:r>
      <w:r w:rsidR="00DC29D1" w:rsidRPr="003B4362">
        <w:rPr>
          <w:szCs w:val="24"/>
        </w:rPr>
        <w:t>lead, galvanized requiring replacement, or lead status u</w:t>
      </w:r>
      <w:r w:rsidR="000B18BA" w:rsidRPr="003B4362">
        <w:rPr>
          <w:szCs w:val="24"/>
        </w:rPr>
        <w:t>nknown service lines</w:t>
      </w:r>
      <w:bookmarkEnd w:id="2728"/>
      <w:bookmarkEnd w:id="2729"/>
      <w:r w:rsidR="000B18BA" w:rsidRPr="003B4362">
        <w:rPr>
          <w:szCs w:val="24"/>
        </w:rPr>
        <w:t xml:space="preserve"> </w:t>
      </w:r>
      <w:bookmarkStart w:id="2730" w:name="_Hlk124327924"/>
      <w:r w:rsidR="000B18BA" w:rsidRPr="003B4362">
        <w:rPr>
          <w:szCs w:val="24"/>
        </w:rPr>
        <w:t xml:space="preserve">in </w:t>
      </w:r>
      <w:r w:rsidR="009E104C" w:rsidRPr="003B4362">
        <w:rPr>
          <w:szCs w:val="24"/>
        </w:rPr>
        <w:t>its</w:t>
      </w:r>
      <w:r w:rsidR="000B18BA" w:rsidRPr="003B4362">
        <w:rPr>
          <w:szCs w:val="24"/>
        </w:rPr>
        <w:t xml:space="preserve"> lead service line inventory</w:t>
      </w:r>
      <w:r w:rsidR="00E4489D" w:rsidRPr="003B4362">
        <w:rPr>
          <w:szCs w:val="24"/>
        </w:rPr>
        <w:t xml:space="preserve"> </w:t>
      </w:r>
      <w:r w:rsidR="000B18BA" w:rsidRPr="003B4362">
        <w:rPr>
          <w:szCs w:val="24"/>
        </w:rPr>
        <w:t xml:space="preserve">under Section </w:t>
      </w:r>
      <w:r w:rsidR="00E4489D" w:rsidRPr="003B4362">
        <w:rPr>
          <w:szCs w:val="24"/>
        </w:rPr>
        <w:t>61</w:t>
      </w:r>
      <w:r w:rsidR="000B18BA" w:rsidRPr="003B4362">
        <w:rPr>
          <w:szCs w:val="24"/>
        </w:rPr>
        <w:t>1.</w:t>
      </w:r>
      <w:r w:rsidR="00E4489D" w:rsidRPr="003B4362">
        <w:rPr>
          <w:szCs w:val="24"/>
        </w:rPr>
        <w:t>35</w:t>
      </w:r>
      <w:r w:rsidR="000B18BA" w:rsidRPr="003B4362">
        <w:rPr>
          <w:szCs w:val="24"/>
        </w:rPr>
        <w:t>4(a)</w:t>
      </w:r>
      <w:bookmarkEnd w:id="2730"/>
      <w:r w:rsidR="000B18BA" w:rsidRPr="003B4362">
        <w:rPr>
          <w:szCs w:val="24"/>
        </w:rPr>
        <w:t xml:space="preserve"> must re-evaluate the </w:t>
      </w:r>
      <w:bookmarkStart w:id="2731" w:name="_Hlk124328274"/>
      <w:r w:rsidR="000B18BA" w:rsidRPr="003B4362">
        <w:rPr>
          <w:szCs w:val="24"/>
        </w:rPr>
        <w:t xml:space="preserve">tap sampling locations </w:t>
      </w:r>
      <w:r w:rsidR="00E4489D" w:rsidRPr="003B4362">
        <w:rPr>
          <w:szCs w:val="24"/>
        </w:rPr>
        <w:t xml:space="preserve">the supplier </w:t>
      </w:r>
      <w:r w:rsidR="000B18BA" w:rsidRPr="003B4362">
        <w:rPr>
          <w:szCs w:val="24"/>
        </w:rPr>
        <w:t>use</w:t>
      </w:r>
      <w:r w:rsidR="00E4489D" w:rsidRPr="003B4362">
        <w:rPr>
          <w:szCs w:val="24"/>
        </w:rPr>
        <w:t>s</w:t>
      </w:r>
      <w:r w:rsidR="000B18BA" w:rsidRPr="003B4362">
        <w:rPr>
          <w:szCs w:val="24"/>
        </w:rPr>
        <w:t xml:space="preserve"> in </w:t>
      </w:r>
      <w:r w:rsidR="00E4489D" w:rsidRPr="003B4362">
        <w:rPr>
          <w:szCs w:val="24"/>
        </w:rPr>
        <w:t>its</w:t>
      </w:r>
      <w:r w:rsidR="000B18BA" w:rsidRPr="003B4362">
        <w:rPr>
          <w:szCs w:val="24"/>
        </w:rPr>
        <w:t xml:space="preserve"> sampling pool</w:t>
      </w:r>
      <w:bookmarkEnd w:id="2731"/>
      <w:r w:rsidR="000B18BA" w:rsidRPr="003B4362">
        <w:rPr>
          <w:szCs w:val="24"/>
        </w:rPr>
        <w:t xml:space="preserve"> prior to </w:t>
      </w:r>
      <w:bookmarkStart w:id="2732" w:name="_Hlk124329542"/>
      <w:r w:rsidR="000B18BA" w:rsidRPr="003B4362">
        <w:rPr>
          <w:szCs w:val="24"/>
        </w:rPr>
        <w:t xml:space="preserve">the compliance date Section </w:t>
      </w:r>
      <w:r w:rsidR="00E4489D" w:rsidRPr="003B4362">
        <w:rPr>
          <w:szCs w:val="24"/>
        </w:rPr>
        <w:t>611.35</w:t>
      </w:r>
      <w:r w:rsidR="000B18BA" w:rsidRPr="003B4362">
        <w:rPr>
          <w:szCs w:val="24"/>
        </w:rPr>
        <w:t xml:space="preserve">0(a) </w:t>
      </w:r>
      <w:r w:rsidR="00042861" w:rsidRPr="003B4362">
        <w:rPr>
          <w:szCs w:val="24"/>
        </w:rPr>
        <w:t>specifies</w:t>
      </w:r>
      <w:bookmarkEnd w:id="2732"/>
      <w:r w:rsidR="00042861" w:rsidRPr="003B4362">
        <w:rPr>
          <w:szCs w:val="24"/>
        </w:rPr>
        <w:t xml:space="preserve">, </w:t>
      </w:r>
      <w:bookmarkStart w:id="2733" w:name="_Hlk124329803"/>
      <w:r w:rsidR="00042861" w:rsidRPr="003B4362">
        <w:rPr>
          <w:szCs w:val="24"/>
        </w:rPr>
        <w:t>then</w:t>
      </w:r>
      <w:r w:rsidR="005F3BA3" w:rsidRPr="003B4362">
        <w:rPr>
          <w:szCs w:val="24"/>
        </w:rPr>
        <w:t xml:space="preserve"> the more frequent of annually or </w:t>
      </w:r>
      <w:r w:rsidR="000B18BA" w:rsidRPr="003B4362">
        <w:rPr>
          <w:szCs w:val="24"/>
        </w:rPr>
        <w:t xml:space="preserve">prior to the </w:t>
      </w:r>
      <w:r w:rsidR="00042861" w:rsidRPr="003B4362">
        <w:rPr>
          <w:szCs w:val="24"/>
        </w:rPr>
        <w:t>each subsequent</w:t>
      </w:r>
      <w:r w:rsidR="000B18BA" w:rsidRPr="003B4362">
        <w:rPr>
          <w:szCs w:val="24"/>
        </w:rPr>
        <w:t xml:space="preserve"> round of tap sampling </w:t>
      </w:r>
      <w:r w:rsidR="00042861" w:rsidRPr="003B4362">
        <w:rPr>
          <w:szCs w:val="24"/>
        </w:rPr>
        <w:t xml:space="preserve">the supplier </w:t>
      </w:r>
      <w:r w:rsidR="000B18BA" w:rsidRPr="003B4362">
        <w:rPr>
          <w:szCs w:val="24"/>
        </w:rPr>
        <w:t>conduct</w:t>
      </w:r>
      <w:r w:rsidR="00042861" w:rsidRPr="003B4362">
        <w:rPr>
          <w:szCs w:val="24"/>
        </w:rPr>
        <w:t>s</w:t>
      </w:r>
      <w:bookmarkEnd w:id="2733"/>
      <w:r w:rsidR="000B18BA" w:rsidRPr="003B4362">
        <w:rPr>
          <w:szCs w:val="24"/>
        </w:rPr>
        <w:t>, whichever is more frequent</w:t>
      </w:r>
      <w:r w:rsidR="005F3BA3" w:rsidRPr="003B4362">
        <w:rPr>
          <w:szCs w:val="24"/>
        </w:rPr>
        <w:t>;</w:t>
      </w:r>
    </w:p>
    <w:p w14:paraId="7DD3277D" w14:textId="3880C762" w:rsidR="00FA226D" w:rsidRPr="003B4362" w:rsidRDefault="00FA226D" w:rsidP="00FA226D">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t>B</w:t>
      </w:r>
      <w:bookmarkStart w:id="2734" w:name="_Hlk124331668"/>
      <w:r w:rsidR="00E47E5F" w:rsidRPr="003B4362">
        <w:rPr>
          <w:rFonts w:eastAsia="Calibri"/>
          <w:szCs w:val="24"/>
        </w:rPr>
        <w:t>efore</w:t>
      </w:r>
      <w:r w:rsidRPr="003B4362">
        <w:rPr>
          <w:rFonts w:eastAsia="Calibri"/>
          <w:szCs w:val="24"/>
        </w:rPr>
        <w:t xml:space="preserve"> the first</w:t>
      </w:r>
      <w:bookmarkEnd w:id="2734"/>
      <w:r w:rsidRPr="003B4362">
        <w:rPr>
          <w:rFonts w:eastAsia="Calibri"/>
          <w:szCs w:val="24"/>
        </w:rPr>
        <w:t xml:space="preserve"> applicable tap monitoring </w:t>
      </w:r>
      <w:r w:rsidR="00EF5066" w:rsidRPr="003B4362">
        <w:rPr>
          <w:rFonts w:eastAsia="Calibri"/>
          <w:szCs w:val="24"/>
        </w:rPr>
        <w:t>cycle</w:t>
      </w:r>
      <w:r w:rsidRPr="003B4362">
        <w:rPr>
          <w:rFonts w:eastAsia="Calibri"/>
          <w:szCs w:val="24"/>
        </w:rPr>
        <w:t xml:space="preserve"> </w:t>
      </w:r>
      <w:bookmarkStart w:id="2735" w:name="_Hlk124331857"/>
      <w:r w:rsidR="00E47E5F" w:rsidRPr="003B4362">
        <w:rPr>
          <w:rFonts w:eastAsia="Calibri"/>
          <w:szCs w:val="24"/>
        </w:rPr>
        <w:t>under</w:t>
      </w:r>
      <w:r w:rsidRPr="003B4362">
        <w:rPr>
          <w:rFonts w:eastAsia="Calibri"/>
          <w:szCs w:val="24"/>
        </w:rPr>
        <w:t xml:space="preserve"> Section </w:t>
      </w:r>
      <w:r w:rsidR="00E47E5F" w:rsidRPr="003B4362">
        <w:rPr>
          <w:rFonts w:eastAsia="Calibri"/>
          <w:szCs w:val="24"/>
        </w:rPr>
        <w:t>61</w:t>
      </w:r>
      <w:r w:rsidRPr="003B4362">
        <w:rPr>
          <w:rFonts w:eastAsia="Calibri"/>
          <w:szCs w:val="24"/>
        </w:rPr>
        <w:t>1.</w:t>
      </w:r>
      <w:r w:rsidR="00E47E5F" w:rsidRPr="003B4362">
        <w:rPr>
          <w:rFonts w:eastAsia="Calibri"/>
          <w:szCs w:val="24"/>
        </w:rPr>
        <w:t>35</w:t>
      </w:r>
      <w:r w:rsidRPr="003B4362">
        <w:rPr>
          <w:rFonts w:eastAsia="Calibri"/>
          <w:szCs w:val="24"/>
        </w:rPr>
        <w:t>6(d)</w:t>
      </w:r>
      <w:bookmarkEnd w:id="2735"/>
      <w:r w:rsidRPr="003B4362">
        <w:rPr>
          <w:rFonts w:eastAsia="Calibri"/>
          <w:szCs w:val="24"/>
        </w:rPr>
        <w:t xml:space="preserve">, </w:t>
      </w:r>
      <w:bookmarkStart w:id="2736" w:name="_Hlk124332984"/>
      <w:r w:rsidRPr="003B4362">
        <w:rPr>
          <w:rFonts w:eastAsia="Calibri"/>
          <w:szCs w:val="24"/>
        </w:rPr>
        <w:t xml:space="preserve">the </w:t>
      </w:r>
      <w:bookmarkEnd w:id="2736"/>
      <w:r w:rsidR="00FC645E" w:rsidRPr="003B4362">
        <w:rPr>
          <w:rFonts w:eastAsia="Calibri"/>
          <w:szCs w:val="24"/>
        </w:rPr>
        <w:t>supplier</w:t>
      </w:r>
      <w:r w:rsidRPr="003B4362">
        <w:rPr>
          <w:rFonts w:eastAsia="Calibri"/>
          <w:szCs w:val="24"/>
        </w:rPr>
        <w:t xml:space="preserve"> must submit a site sample plan </w:t>
      </w:r>
      <w:bookmarkStart w:id="2737" w:name="_Hlk124334513"/>
      <w:r w:rsidRPr="003B4362">
        <w:rPr>
          <w:rFonts w:eastAsia="Calibri"/>
          <w:szCs w:val="24"/>
        </w:rPr>
        <w:t xml:space="preserve">to the </w:t>
      </w:r>
      <w:r w:rsidR="00E31A0B" w:rsidRPr="003B4362">
        <w:rPr>
          <w:rFonts w:eastAsia="Calibri"/>
          <w:szCs w:val="24"/>
        </w:rPr>
        <w:t>Agency</w:t>
      </w:r>
      <w:r w:rsidRPr="003B4362">
        <w:rPr>
          <w:rFonts w:eastAsia="Calibri"/>
          <w:szCs w:val="24"/>
        </w:rPr>
        <w:t xml:space="preserve"> </w:t>
      </w:r>
      <w:r w:rsidR="00E31A0B" w:rsidRPr="003B4362">
        <w:rPr>
          <w:rFonts w:eastAsia="Calibri"/>
          <w:szCs w:val="24"/>
        </w:rPr>
        <w:t>under</w:t>
      </w:r>
      <w:r w:rsidRPr="003B4362">
        <w:rPr>
          <w:rFonts w:eastAsia="Calibri"/>
          <w:szCs w:val="24"/>
        </w:rPr>
        <w:t xml:space="preserve"> Section </w:t>
      </w:r>
      <w:bookmarkStart w:id="2738" w:name="_Hlk124334956"/>
      <w:r w:rsidR="00E31A0B" w:rsidRPr="003B4362">
        <w:rPr>
          <w:rFonts w:eastAsia="Calibri"/>
          <w:szCs w:val="24"/>
        </w:rPr>
        <w:t>611.35</w:t>
      </w:r>
      <w:bookmarkEnd w:id="2738"/>
      <w:r w:rsidRPr="003B4362">
        <w:rPr>
          <w:rFonts w:eastAsia="Calibri"/>
          <w:szCs w:val="24"/>
        </w:rPr>
        <w:t>6</w:t>
      </w:r>
      <w:bookmarkEnd w:id="2737"/>
      <w:r w:rsidRPr="003B4362">
        <w:rPr>
          <w:rFonts w:eastAsia="Calibri"/>
          <w:szCs w:val="24"/>
        </w:rPr>
        <w:t xml:space="preserve">, including a list of tap sample site locations identified </w:t>
      </w:r>
      <w:bookmarkStart w:id="2739" w:name="_Hlk124334723"/>
      <w:r w:rsidR="00112D5E" w:rsidRPr="003B4362">
        <w:rPr>
          <w:rFonts w:eastAsia="Calibri"/>
          <w:szCs w:val="24"/>
        </w:rPr>
        <w:t>in</w:t>
      </w:r>
      <w:r w:rsidRPr="003B4362">
        <w:rPr>
          <w:rFonts w:eastAsia="Calibri"/>
          <w:szCs w:val="24"/>
        </w:rPr>
        <w:t xml:space="preserve"> the inventory </w:t>
      </w:r>
      <w:r w:rsidR="00112D5E" w:rsidRPr="003B4362">
        <w:rPr>
          <w:rFonts w:eastAsia="Calibri"/>
          <w:szCs w:val="24"/>
        </w:rPr>
        <w:t>under</w:t>
      </w:r>
      <w:r w:rsidRPr="003B4362">
        <w:rPr>
          <w:rFonts w:eastAsia="Calibri"/>
          <w:szCs w:val="24"/>
        </w:rPr>
        <w:t xml:space="preserve"> Section </w:t>
      </w:r>
      <w:r w:rsidR="00112D5E" w:rsidRPr="003B4362">
        <w:rPr>
          <w:rFonts w:eastAsia="Calibri"/>
          <w:szCs w:val="24"/>
        </w:rPr>
        <w:t>611.35</w:t>
      </w:r>
      <w:r w:rsidRPr="003B4362">
        <w:rPr>
          <w:rFonts w:eastAsia="Calibri"/>
          <w:szCs w:val="24"/>
        </w:rPr>
        <w:t>4(a)</w:t>
      </w:r>
      <w:bookmarkEnd w:id="2739"/>
      <w:r w:rsidRPr="003B4362">
        <w:rPr>
          <w:rFonts w:eastAsia="Calibri"/>
          <w:szCs w:val="24"/>
        </w:rPr>
        <w:t xml:space="preserve">, and a list a tap sampling WQP </w:t>
      </w:r>
      <w:bookmarkStart w:id="2740" w:name="_Hlk124335153"/>
      <w:r w:rsidRPr="003B4362">
        <w:rPr>
          <w:rFonts w:eastAsia="Calibri"/>
          <w:szCs w:val="24"/>
        </w:rPr>
        <w:t xml:space="preserve">sites </w:t>
      </w:r>
      <w:r w:rsidR="00112D5E" w:rsidRPr="003B4362">
        <w:rPr>
          <w:rFonts w:eastAsia="Calibri"/>
          <w:szCs w:val="24"/>
        </w:rPr>
        <w:t xml:space="preserve">the supplier </w:t>
      </w:r>
      <w:r w:rsidRPr="003B4362">
        <w:rPr>
          <w:rFonts w:eastAsia="Calibri"/>
          <w:szCs w:val="24"/>
        </w:rPr>
        <w:t xml:space="preserve">selected under </w:t>
      </w:r>
      <w:r w:rsidR="00112D5E" w:rsidRPr="003B4362">
        <w:rPr>
          <w:rFonts w:eastAsia="Calibri"/>
          <w:szCs w:val="24"/>
        </w:rPr>
        <w:t>Section 611.35</w:t>
      </w:r>
      <w:r w:rsidRPr="003B4362">
        <w:rPr>
          <w:rFonts w:eastAsia="Calibri"/>
          <w:szCs w:val="24"/>
        </w:rPr>
        <w:t>7(a)(1)</w:t>
      </w:r>
      <w:bookmarkEnd w:id="2740"/>
      <w:r w:rsidRPr="003B4362">
        <w:rPr>
          <w:rFonts w:eastAsia="Calibri"/>
          <w:szCs w:val="24"/>
        </w:rPr>
        <w:t>.  T</w:t>
      </w:r>
      <w:bookmarkStart w:id="2741" w:name="_Hlk124335297"/>
      <w:bookmarkStart w:id="2742" w:name="_Hlk124335415"/>
      <w:r w:rsidRPr="003B4362">
        <w:rPr>
          <w:rFonts w:eastAsia="Calibri"/>
          <w:szCs w:val="24"/>
        </w:rPr>
        <w:t xml:space="preserve">he </w:t>
      </w:r>
      <w:r w:rsidR="00112D5E" w:rsidRPr="003B4362">
        <w:rPr>
          <w:rFonts w:eastAsia="Calibri"/>
          <w:szCs w:val="24"/>
        </w:rPr>
        <w:t xml:space="preserve">supplier must update and submit </w:t>
      </w:r>
      <w:r w:rsidR="00EB5537" w:rsidRPr="003B4362">
        <w:rPr>
          <w:rFonts w:eastAsia="Calibri"/>
          <w:szCs w:val="24"/>
        </w:rPr>
        <w:t xml:space="preserve">the </w:t>
      </w:r>
      <w:r w:rsidRPr="003B4362">
        <w:rPr>
          <w:rFonts w:eastAsia="Calibri"/>
          <w:szCs w:val="24"/>
        </w:rPr>
        <w:t>site sample plan</w:t>
      </w:r>
      <w:r w:rsidR="00112D5E" w:rsidRPr="003B4362">
        <w:rPr>
          <w:rFonts w:eastAsia="Calibri"/>
          <w:szCs w:val="24"/>
        </w:rPr>
        <w:t xml:space="preserve"> </w:t>
      </w:r>
      <w:r w:rsidRPr="003B4362">
        <w:rPr>
          <w:rFonts w:eastAsia="Calibri"/>
          <w:szCs w:val="24"/>
        </w:rPr>
        <w:t xml:space="preserve">to the </w:t>
      </w:r>
      <w:bookmarkEnd w:id="2741"/>
      <w:r w:rsidR="007675A7" w:rsidRPr="003B4362">
        <w:rPr>
          <w:rFonts w:eastAsia="Calibri"/>
          <w:szCs w:val="24"/>
        </w:rPr>
        <w:t>Agency</w:t>
      </w:r>
      <w:bookmarkEnd w:id="2742"/>
      <w:r w:rsidRPr="003B4362">
        <w:rPr>
          <w:rFonts w:eastAsia="Calibri"/>
          <w:szCs w:val="24"/>
        </w:rPr>
        <w:t xml:space="preserve"> </w:t>
      </w:r>
      <w:bookmarkStart w:id="2743" w:name="_Hlk124335455"/>
      <w:r w:rsidR="007675A7" w:rsidRPr="003B4362">
        <w:rPr>
          <w:rFonts w:eastAsia="Calibri"/>
          <w:szCs w:val="24"/>
        </w:rPr>
        <w:t>before changing</w:t>
      </w:r>
      <w:r w:rsidRPr="003B4362">
        <w:rPr>
          <w:rFonts w:eastAsia="Calibri"/>
          <w:szCs w:val="24"/>
        </w:rPr>
        <w:t xml:space="preserve"> any</w:t>
      </w:r>
      <w:r w:rsidR="007675A7" w:rsidRPr="003B4362">
        <w:rPr>
          <w:rFonts w:eastAsia="Calibri"/>
          <w:szCs w:val="24"/>
        </w:rPr>
        <w:t xml:space="preserve"> </w:t>
      </w:r>
      <w:r w:rsidRPr="003B4362">
        <w:rPr>
          <w:rFonts w:eastAsia="Calibri"/>
          <w:szCs w:val="24"/>
        </w:rPr>
        <w:t>sample site locations</w:t>
      </w:r>
      <w:bookmarkEnd w:id="2743"/>
      <w:r w:rsidRPr="003B4362">
        <w:rPr>
          <w:rFonts w:eastAsia="Calibri"/>
          <w:szCs w:val="24"/>
        </w:rPr>
        <w:t xml:space="preserve">.  </w:t>
      </w:r>
      <w:bookmarkStart w:id="2744" w:name="_Hlk124335672"/>
      <w:r w:rsidRPr="003B4362">
        <w:rPr>
          <w:rFonts w:eastAsia="Calibri"/>
          <w:szCs w:val="24"/>
        </w:rPr>
        <w:t xml:space="preserve">The </w:t>
      </w:r>
      <w:r w:rsidR="007675A7" w:rsidRPr="003B4362">
        <w:rPr>
          <w:rFonts w:eastAsia="Calibri"/>
          <w:szCs w:val="24"/>
        </w:rPr>
        <w:t>Agency</w:t>
      </w:r>
      <w:r w:rsidRPr="003B4362">
        <w:rPr>
          <w:rFonts w:eastAsia="Calibri"/>
          <w:szCs w:val="24"/>
        </w:rPr>
        <w:t xml:space="preserve"> may </w:t>
      </w:r>
      <w:r w:rsidR="007675A7" w:rsidRPr="003B4362">
        <w:rPr>
          <w:rFonts w:eastAsia="Calibri"/>
          <w:szCs w:val="24"/>
        </w:rPr>
        <w:t>issue a SEP requiring the supplier</w:t>
      </w:r>
      <w:r w:rsidRPr="003B4362">
        <w:rPr>
          <w:rFonts w:eastAsia="Calibri"/>
          <w:szCs w:val="24"/>
        </w:rPr>
        <w:t xml:space="preserve"> </w:t>
      </w:r>
      <w:r w:rsidR="007675A7" w:rsidRPr="003B4362">
        <w:rPr>
          <w:rFonts w:eastAsia="Calibri"/>
          <w:szCs w:val="24"/>
        </w:rPr>
        <w:t>to modify its</w:t>
      </w:r>
      <w:r w:rsidRPr="003B4362">
        <w:rPr>
          <w:rFonts w:eastAsia="Calibri"/>
          <w:szCs w:val="24"/>
        </w:rPr>
        <w:t xml:space="preserve"> site sample plan as necessary</w:t>
      </w:r>
      <w:bookmarkEnd w:id="2744"/>
      <w:r w:rsidRPr="003B4362">
        <w:rPr>
          <w:rFonts w:eastAsia="Calibri"/>
          <w:szCs w:val="24"/>
        </w:rPr>
        <w:t>.</w:t>
      </w:r>
    </w:p>
    <w:p w14:paraId="289EF321" w14:textId="52CA5B7B" w:rsidR="00FA226D" w:rsidRPr="003B4362" w:rsidRDefault="00FA226D" w:rsidP="00FA226D">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t>F</w:t>
      </w:r>
      <w:bookmarkStart w:id="2745" w:name="_Hlk124337107"/>
      <w:r w:rsidRPr="003B4362">
        <w:rPr>
          <w:rFonts w:eastAsia="Calibri"/>
          <w:szCs w:val="24"/>
        </w:rPr>
        <w:t xml:space="preserve">or </w:t>
      </w:r>
      <w:r w:rsidR="004825D1" w:rsidRPr="003B4362">
        <w:rPr>
          <w:rFonts w:eastAsia="Calibri"/>
          <w:szCs w:val="24"/>
        </w:rPr>
        <w:t xml:space="preserve">a supplier having </w:t>
      </w:r>
      <w:r w:rsidRPr="003B4362">
        <w:rPr>
          <w:rFonts w:eastAsia="Calibri"/>
          <w:szCs w:val="24"/>
        </w:rPr>
        <w:t>lead service line</w:t>
      </w:r>
      <w:r w:rsidR="004825D1" w:rsidRPr="003B4362">
        <w:rPr>
          <w:rFonts w:eastAsia="Calibri"/>
          <w:szCs w:val="24"/>
        </w:rPr>
        <w:t xml:space="preserve"> sites</w:t>
      </w:r>
      <w:r w:rsidRPr="003B4362">
        <w:rPr>
          <w:rFonts w:eastAsia="Calibri"/>
          <w:szCs w:val="24"/>
        </w:rPr>
        <w:t xml:space="preserve"> </w:t>
      </w:r>
      <w:r w:rsidR="004825D1" w:rsidRPr="003B4362">
        <w:rPr>
          <w:rFonts w:eastAsia="Calibri"/>
          <w:szCs w:val="24"/>
        </w:rPr>
        <w:t>but an</w:t>
      </w:r>
      <w:r w:rsidRPr="003B4362">
        <w:rPr>
          <w:rFonts w:eastAsia="Calibri"/>
          <w:szCs w:val="24"/>
        </w:rPr>
        <w:t xml:space="preserve"> insufficient </w:t>
      </w:r>
      <w:r w:rsidR="004825D1" w:rsidRPr="003B4362">
        <w:rPr>
          <w:rFonts w:eastAsia="Calibri"/>
          <w:szCs w:val="24"/>
        </w:rPr>
        <w:t>number</w:t>
      </w:r>
      <w:bookmarkEnd w:id="2745"/>
      <w:r w:rsidRPr="003B4362">
        <w:rPr>
          <w:rFonts w:eastAsia="Calibri"/>
          <w:szCs w:val="24"/>
        </w:rPr>
        <w:t xml:space="preserve"> to meet </w:t>
      </w:r>
      <w:bookmarkStart w:id="2746" w:name="_Hlk124337730"/>
      <w:bookmarkStart w:id="2747" w:name="_Hlk124338143"/>
      <w:r w:rsidRPr="003B4362">
        <w:rPr>
          <w:rFonts w:eastAsia="Calibri"/>
          <w:szCs w:val="24"/>
        </w:rPr>
        <w:t>the minimum number</w:t>
      </w:r>
      <w:r w:rsidR="00FD28F2" w:rsidRPr="003B4362">
        <w:rPr>
          <w:rFonts w:eastAsia="Calibri"/>
          <w:szCs w:val="24"/>
        </w:rPr>
        <w:t xml:space="preserve"> </w:t>
      </w:r>
      <w:r w:rsidRPr="003B4362">
        <w:rPr>
          <w:rFonts w:eastAsia="Calibri"/>
          <w:szCs w:val="24"/>
        </w:rPr>
        <w:t xml:space="preserve">Section </w:t>
      </w:r>
      <w:r w:rsidR="00FD28F2" w:rsidRPr="003B4362">
        <w:rPr>
          <w:rFonts w:eastAsia="Calibri"/>
          <w:szCs w:val="24"/>
        </w:rPr>
        <w:t>61</w:t>
      </w:r>
      <w:r w:rsidRPr="003B4362">
        <w:rPr>
          <w:rFonts w:eastAsia="Calibri"/>
          <w:szCs w:val="24"/>
        </w:rPr>
        <w:t>1.</w:t>
      </w:r>
      <w:r w:rsidR="00FD28F2" w:rsidRPr="003B4362">
        <w:rPr>
          <w:rFonts w:eastAsia="Calibri"/>
          <w:szCs w:val="24"/>
        </w:rPr>
        <w:t>35</w:t>
      </w:r>
      <w:r w:rsidRPr="003B4362">
        <w:rPr>
          <w:rFonts w:eastAsia="Calibri"/>
          <w:szCs w:val="24"/>
        </w:rPr>
        <w:t>6</w:t>
      </w:r>
      <w:bookmarkEnd w:id="2746"/>
      <w:r w:rsidR="00FD28F2" w:rsidRPr="003B4362">
        <w:rPr>
          <w:rFonts w:eastAsia="Calibri"/>
          <w:szCs w:val="24"/>
        </w:rPr>
        <w:t xml:space="preserve"> requires</w:t>
      </w:r>
      <w:bookmarkEnd w:id="2747"/>
      <w:r w:rsidRPr="003B4362">
        <w:rPr>
          <w:rFonts w:eastAsia="Calibri"/>
          <w:szCs w:val="24"/>
        </w:rPr>
        <w:t xml:space="preserve">, </w:t>
      </w:r>
      <w:bookmarkStart w:id="2748" w:name="_Hlk124338084"/>
      <w:r w:rsidR="00A32388" w:rsidRPr="003B4362">
        <w:rPr>
          <w:rFonts w:eastAsia="Calibri"/>
          <w:szCs w:val="24"/>
        </w:rPr>
        <w:t xml:space="preserve">the supplier must </w:t>
      </w:r>
      <w:r w:rsidRPr="003B4362">
        <w:rPr>
          <w:rFonts w:eastAsia="Calibri"/>
          <w:szCs w:val="24"/>
        </w:rPr>
        <w:t xml:space="preserve">document support </w:t>
      </w:r>
      <w:r w:rsidR="007E67E8" w:rsidRPr="003B4362">
        <w:rPr>
          <w:rFonts w:eastAsia="Calibri"/>
          <w:szCs w:val="24"/>
        </w:rPr>
        <w:t>for</w:t>
      </w:r>
      <w:r w:rsidRPr="003B4362">
        <w:rPr>
          <w:rFonts w:eastAsia="Calibri"/>
          <w:szCs w:val="24"/>
        </w:rPr>
        <w:t xml:space="preserve"> </w:t>
      </w:r>
      <w:r w:rsidR="007E67E8" w:rsidRPr="003B4362">
        <w:rPr>
          <w:rFonts w:eastAsia="Calibri"/>
          <w:szCs w:val="24"/>
        </w:rPr>
        <w:t>its</w:t>
      </w:r>
      <w:r w:rsidRPr="003B4362">
        <w:rPr>
          <w:rFonts w:eastAsia="Calibri"/>
          <w:szCs w:val="24"/>
        </w:rPr>
        <w:t xml:space="preserve"> conclusion that </w:t>
      </w:r>
      <w:r w:rsidR="007E67E8" w:rsidRPr="003B4362">
        <w:rPr>
          <w:rFonts w:eastAsia="Calibri"/>
          <w:szCs w:val="24"/>
        </w:rPr>
        <w:t>it has</w:t>
      </w:r>
      <w:r w:rsidRPr="003B4362">
        <w:rPr>
          <w:rFonts w:eastAsia="Calibri"/>
          <w:szCs w:val="24"/>
        </w:rPr>
        <w:t xml:space="preserve"> an insufficient number</w:t>
      </w:r>
      <w:bookmarkEnd w:id="2748"/>
      <w:r w:rsidRPr="003B4362">
        <w:rPr>
          <w:rFonts w:eastAsia="Calibri"/>
          <w:szCs w:val="24"/>
        </w:rPr>
        <w:t xml:space="preserve"> of lead service line sites </w:t>
      </w:r>
      <w:r w:rsidR="002B5F02" w:rsidRPr="003B4362">
        <w:rPr>
          <w:rFonts w:eastAsia="Calibri"/>
          <w:szCs w:val="24"/>
        </w:rPr>
        <w:t>complying with</w:t>
      </w:r>
      <w:r w:rsidRPr="003B4362">
        <w:rPr>
          <w:rFonts w:eastAsia="Calibri"/>
          <w:szCs w:val="24"/>
        </w:rPr>
        <w:t xml:space="preserve"> </w:t>
      </w:r>
      <w:bookmarkStart w:id="2749" w:name="_Hlk124339762"/>
      <w:r w:rsidR="002B5F02" w:rsidRPr="003B4362">
        <w:rPr>
          <w:rFonts w:eastAsia="Calibri"/>
          <w:szCs w:val="24"/>
        </w:rPr>
        <w:t xml:space="preserve">the applicable of </w:t>
      </w:r>
      <w:r w:rsidR="000A5BE4" w:rsidRPr="003B4362">
        <w:rPr>
          <w:rFonts w:eastAsia="Calibri"/>
          <w:szCs w:val="24"/>
        </w:rPr>
        <w:t xml:space="preserve">40 CFR </w:t>
      </w:r>
      <w:r w:rsidRPr="003B4362">
        <w:rPr>
          <w:rFonts w:eastAsia="Calibri"/>
          <w:szCs w:val="24"/>
        </w:rPr>
        <w:t xml:space="preserve">Section 141.86(a)(3) or </w:t>
      </w:r>
      <w:r w:rsidR="002B5F02" w:rsidRPr="003B4362">
        <w:rPr>
          <w:rFonts w:eastAsia="Calibri"/>
          <w:szCs w:val="24"/>
        </w:rPr>
        <w:t>(a)</w:t>
      </w:r>
      <w:r w:rsidRPr="003B4362">
        <w:rPr>
          <w:rFonts w:eastAsia="Calibri"/>
          <w:szCs w:val="24"/>
        </w:rPr>
        <w:t xml:space="preserve">(4) </w:t>
      </w:r>
      <w:r w:rsidR="002B5F02" w:rsidRPr="003B4362">
        <w:rPr>
          <w:rFonts w:eastAsia="Calibri"/>
          <w:szCs w:val="24"/>
        </w:rPr>
        <w:t>(</w:t>
      </w:r>
      <w:r w:rsidRPr="003B4362">
        <w:rPr>
          <w:rFonts w:eastAsia="Calibri"/>
          <w:szCs w:val="24"/>
        </w:rPr>
        <w:t xml:space="preserve">for </w:t>
      </w:r>
      <w:r w:rsidR="002B5F02" w:rsidRPr="003B4362">
        <w:rPr>
          <w:rFonts w:eastAsia="Calibri"/>
          <w:szCs w:val="24"/>
        </w:rPr>
        <w:t>a CWS supplier)</w:t>
      </w:r>
      <w:r w:rsidRPr="003B4362">
        <w:rPr>
          <w:rFonts w:eastAsia="Calibri"/>
          <w:szCs w:val="24"/>
        </w:rPr>
        <w:t xml:space="preserve"> or </w:t>
      </w:r>
      <w:r w:rsidR="000A5BE4" w:rsidRPr="003B4362">
        <w:rPr>
          <w:rFonts w:eastAsia="Calibri"/>
          <w:szCs w:val="24"/>
        </w:rPr>
        <w:t xml:space="preserve">40 CFR </w:t>
      </w:r>
      <w:r w:rsidRPr="003B4362">
        <w:rPr>
          <w:rFonts w:eastAsia="Calibri"/>
          <w:szCs w:val="24"/>
        </w:rPr>
        <w:t xml:space="preserve">Section 141.86(a)(8) </w:t>
      </w:r>
      <w:r w:rsidR="002B5F02" w:rsidRPr="003B4362">
        <w:rPr>
          <w:rFonts w:eastAsia="Calibri"/>
          <w:szCs w:val="24"/>
        </w:rPr>
        <w:t>(for an NTNCWS supplier)</w:t>
      </w:r>
      <w:bookmarkEnd w:id="2749"/>
      <w:r w:rsidRPr="003B4362">
        <w:rPr>
          <w:rFonts w:eastAsia="Calibri"/>
          <w:szCs w:val="24"/>
        </w:rPr>
        <w:t>;</w:t>
      </w:r>
    </w:p>
    <w:p w14:paraId="7F09E1C1" w14:textId="7F5F1099" w:rsidR="005451CE" w:rsidRPr="003B4362" w:rsidRDefault="005451CE" w:rsidP="005451CE">
      <w:pPr>
        <w:spacing w:before="240" w:after="240"/>
        <w:ind w:left="2880" w:hanging="720"/>
        <w:rPr>
          <w:rFonts w:eastAsia="Calibri"/>
        </w:rPr>
      </w:pPr>
      <w:r w:rsidRPr="003B4362">
        <w:rPr>
          <w:rFonts w:eastAsia="Calibri"/>
        </w:rPr>
        <w:t>D)</w:t>
      </w:r>
      <w:r w:rsidRPr="003B4362">
        <w:rPr>
          <w:rFonts w:eastAsia="Calibri"/>
        </w:rPr>
        <w:tab/>
        <w:t xml:space="preserve">The 90th percentile lead and copper concentrations the supplier measures from among all lead and copper tap samples the supplier collects during each </w:t>
      </w:r>
      <w:r w:rsidR="002B5F02" w:rsidRPr="003B4362">
        <w:rPr>
          <w:szCs w:val="24"/>
        </w:rPr>
        <w:t xml:space="preserve">tap </w:t>
      </w:r>
      <w:r w:rsidRPr="003B4362">
        <w:rPr>
          <w:rFonts w:eastAsia="Calibri"/>
        </w:rPr>
        <w:t>sampling period (calculated under Section 611.350(c)(</w:t>
      </w:r>
      <w:r w:rsidR="000A5BE4" w:rsidRPr="003B4362">
        <w:rPr>
          <w:rFonts w:eastAsia="Calibri"/>
        </w:rPr>
        <w:t>4</w:t>
      </w:r>
      <w:r w:rsidRPr="003B4362">
        <w:rPr>
          <w:rFonts w:eastAsia="Calibri"/>
        </w:rPr>
        <w:t xml:space="preserve">)), unless the Agency calculates the </w:t>
      </w:r>
      <w:r w:rsidR="008B0DEB" w:rsidRPr="003B4362">
        <w:rPr>
          <w:rFonts w:eastAsia="Calibri"/>
        </w:rPr>
        <w:t xml:space="preserve">supplier’s </w:t>
      </w:r>
      <w:bookmarkStart w:id="2750" w:name="_Hlk124342607"/>
      <w:r w:rsidRPr="003B4362">
        <w:rPr>
          <w:rFonts w:eastAsia="Calibri"/>
        </w:rPr>
        <w:t xml:space="preserve">90th percentile lead and copper </w:t>
      </w:r>
      <w:r w:rsidR="002412B1" w:rsidRPr="003B4362">
        <w:rPr>
          <w:rFonts w:eastAsia="Calibri"/>
        </w:rPr>
        <w:t xml:space="preserve">concentrations </w:t>
      </w:r>
      <w:bookmarkEnd w:id="2750"/>
      <w:r w:rsidRPr="003B4362">
        <w:rPr>
          <w:rFonts w:eastAsia="Calibri"/>
        </w:rPr>
        <w:t>under subsection (h);</w:t>
      </w:r>
    </w:p>
    <w:p w14:paraId="3926ADF6" w14:textId="7FB8DB3E" w:rsidR="005451CE" w:rsidRPr="003B4362" w:rsidRDefault="005451CE" w:rsidP="005451CE">
      <w:pPr>
        <w:spacing w:before="240" w:after="240"/>
        <w:ind w:left="2880" w:hanging="720"/>
        <w:rPr>
          <w:rFonts w:eastAsia="Calibri"/>
        </w:rPr>
      </w:pPr>
      <w:r w:rsidRPr="003B4362">
        <w:rPr>
          <w:rFonts w:eastAsia="Calibri"/>
        </w:rPr>
        <w:t>E)</w:t>
      </w:r>
      <w:r w:rsidRPr="003B4362">
        <w:rPr>
          <w:rFonts w:eastAsia="Calibri"/>
        </w:rPr>
        <w:tab/>
        <w:t xml:space="preserve">With the exception of initial tap sampling under Section 611.356(d)(1), the supplier must </w:t>
      </w:r>
      <w:r w:rsidR="00FA13F1" w:rsidRPr="003B4362">
        <w:rPr>
          <w:szCs w:val="24"/>
        </w:rPr>
        <w:t xml:space="preserve">identify </w:t>
      </w:r>
      <w:r w:rsidRPr="003B4362">
        <w:rPr>
          <w:rFonts w:eastAsia="Calibri"/>
        </w:rPr>
        <w:t xml:space="preserve">any site it did not sample during previous </w:t>
      </w:r>
      <w:r w:rsidR="00594C10" w:rsidRPr="003B4362">
        <w:rPr>
          <w:szCs w:val="24"/>
        </w:rPr>
        <w:t xml:space="preserve">tap </w:t>
      </w:r>
      <w:r w:rsidRPr="003B4362">
        <w:rPr>
          <w:rFonts w:eastAsia="Calibri"/>
        </w:rPr>
        <w:t>sampling periods and explain why sampling sites have changed;</w:t>
      </w:r>
    </w:p>
    <w:p w14:paraId="1BEC9228" w14:textId="66FC92BB" w:rsidR="005451CE" w:rsidRPr="003B4362" w:rsidRDefault="005451CE" w:rsidP="005451CE">
      <w:pPr>
        <w:spacing w:before="240" w:after="240"/>
        <w:ind w:left="2880" w:hanging="720"/>
        <w:rPr>
          <w:rFonts w:eastAsia="Calibri"/>
        </w:rPr>
      </w:pPr>
      <w:r w:rsidRPr="003B4362">
        <w:rPr>
          <w:rFonts w:eastAsia="Calibri"/>
        </w:rPr>
        <w:t>F)</w:t>
      </w:r>
      <w:r w:rsidRPr="003B4362">
        <w:rPr>
          <w:rFonts w:eastAsia="Calibri"/>
        </w:rPr>
        <w:tab/>
        <w:t xml:space="preserve">The results of all </w:t>
      </w:r>
      <w:r w:rsidR="00594C10" w:rsidRPr="003B4362">
        <w:rPr>
          <w:szCs w:val="24"/>
        </w:rPr>
        <w:t xml:space="preserve">water quality parameter </w:t>
      </w:r>
      <w:r w:rsidRPr="003B4362">
        <w:rPr>
          <w:rFonts w:eastAsia="Calibri"/>
        </w:rPr>
        <w:t xml:space="preserve">tap samples </w:t>
      </w:r>
      <w:r w:rsidR="00594C10" w:rsidRPr="003B4362">
        <w:rPr>
          <w:rFonts w:eastAsia="Calibri"/>
        </w:rPr>
        <w:t xml:space="preserve">the supplier must collect </w:t>
      </w:r>
      <w:r w:rsidRPr="003B4362">
        <w:rPr>
          <w:rFonts w:eastAsia="Calibri"/>
        </w:rPr>
        <w:t>under Section 611.357(b) through (</w:t>
      </w:r>
      <w:r w:rsidR="000A5BE4" w:rsidRPr="003B4362">
        <w:rPr>
          <w:rFonts w:eastAsia="Calibri"/>
        </w:rPr>
        <w:t>g</w:t>
      </w:r>
      <w:r w:rsidRPr="003B4362">
        <w:rPr>
          <w:rFonts w:eastAsia="Calibri"/>
        </w:rPr>
        <w:t>);</w:t>
      </w:r>
    </w:p>
    <w:p w14:paraId="5DAFCF90" w14:textId="4EFF0287" w:rsidR="005451CE" w:rsidRPr="003B4362" w:rsidRDefault="005451CE" w:rsidP="005451CE">
      <w:pPr>
        <w:spacing w:before="240" w:after="240"/>
        <w:ind w:left="2880" w:hanging="720"/>
        <w:rPr>
          <w:rFonts w:eastAsia="Calibri"/>
        </w:rPr>
      </w:pPr>
      <w:r w:rsidRPr="003B4362">
        <w:rPr>
          <w:rFonts w:eastAsia="Calibri"/>
        </w:rPr>
        <w:t>G)</w:t>
      </w:r>
      <w:r w:rsidRPr="003B4362">
        <w:rPr>
          <w:rFonts w:eastAsia="Calibri"/>
        </w:rPr>
        <w:tab/>
        <w:t>The results of all samples the supplier collects at entry points for applicable water quality parameters under Section 611.357(b) through (e);</w:t>
      </w:r>
    </w:p>
    <w:p w14:paraId="3CBAA8A5" w14:textId="26E41123" w:rsidR="005451CE" w:rsidRPr="003B4362" w:rsidRDefault="005451CE" w:rsidP="005451CE">
      <w:pPr>
        <w:spacing w:before="240" w:after="240"/>
        <w:ind w:left="2880" w:hanging="720"/>
        <w:rPr>
          <w:rFonts w:eastAsia="Calibri"/>
        </w:rPr>
      </w:pPr>
      <w:r w:rsidRPr="003B4362">
        <w:rPr>
          <w:rFonts w:eastAsia="Calibri"/>
        </w:rPr>
        <w:lastRenderedPageBreak/>
        <w:t>H)</w:t>
      </w:r>
      <w:r w:rsidRPr="003B4362">
        <w:rPr>
          <w:rFonts w:eastAsia="Calibri"/>
        </w:rPr>
        <w:tab/>
        <w:t xml:space="preserve">A supplier must report the results of all water quality parameter samples the supplier collects under Section 611.357(c) through (f) during each </w:t>
      </w:r>
      <w:r w:rsidR="00E12F89" w:rsidRPr="003B4362">
        <w:rPr>
          <w:rFonts w:eastAsia="Calibri"/>
        </w:rPr>
        <w:t>six-month</w:t>
      </w:r>
      <w:r w:rsidRPr="003B4362">
        <w:rPr>
          <w:rFonts w:eastAsia="Calibri"/>
        </w:rPr>
        <w:t xml:space="preserve"> </w:t>
      </w:r>
      <w:r w:rsidR="00EF5066" w:rsidRPr="003B4362">
        <w:rPr>
          <w:rFonts w:eastAsia="Calibri"/>
        </w:rPr>
        <w:t xml:space="preserve">water quality </w:t>
      </w:r>
      <w:r w:rsidRPr="003B4362">
        <w:rPr>
          <w:rFonts w:eastAsia="Calibri"/>
        </w:rPr>
        <w:t xml:space="preserve">monitoring period Section 611.357(d) specifies within the first ten days following the end of the </w:t>
      </w:r>
      <w:r w:rsidR="00050162" w:rsidRPr="003B4362">
        <w:rPr>
          <w:rFonts w:eastAsia="Calibri"/>
        </w:rPr>
        <w:t xml:space="preserve">water quality </w:t>
      </w:r>
      <w:r w:rsidRPr="003B4362">
        <w:rPr>
          <w:rFonts w:eastAsia="Calibri"/>
        </w:rPr>
        <w:t>monitoring period, unless the Agency specifies a more frequent reporting requirement in a SEP</w:t>
      </w:r>
      <w:r w:rsidR="006802E2" w:rsidRPr="003B4362">
        <w:rPr>
          <w:szCs w:val="24"/>
        </w:rPr>
        <w:t>; and</w:t>
      </w:r>
    </w:p>
    <w:p w14:paraId="6FBC1F6E" w14:textId="7F38A70F" w:rsidR="006802E2" w:rsidRPr="003B4362" w:rsidRDefault="006802E2" w:rsidP="006802E2">
      <w:pPr>
        <w:autoSpaceDE w:val="0"/>
        <w:autoSpaceDN w:val="0"/>
        <w:adjustRightInd w:val="0"/>
        <w:ind w:left="2880" w:hanging="720"/>
        <w:rPr>
          <w:szCs w:val="24"/>
        </w:rPr>
      </w:pPr>
      <w:r w:rsidRPr="003B4362">
        <w:rPr>
          <w:szCs w:val="24"/>
        </w:rPr>
        <w:t>I)</w:t>
      </w:r>
      <w:r w:rsidRPr="003B4362">
        <w:rPr>
          <w:szCs w:val="24"/>
        </w:rPr>
        <w:tab/>
      </w:r>
      <w:r w:rsidR="009733E9" w:rsidRPr="003B4362">
        <w:rPr>
          <w:szCs w:val="24"/>
        </w:rPr>
        <w:t>Before</w:t>
      </w:r>
      <w:r w:rsidRPr="003B4362">
        <w:rPr>
          <w:szCs w:val="24"/>
        </w:rPr>
        <w:t xml:space="preserve"> the first applicable tap sampling period </w:t>
      </w:r>
      <w:r w:rsidR="009733E9" w:rsidRPr="003B4362">
        <w:rPr>
          <w:szCs w:val="24"/>
        </w:rPr>
        <w:t>under</w:t>
      </w:r>
      <w:r w:rsidRPr="003B4362">
        <w:rPr>
          <w:szCs w:val="24"/>
        </w:rPr>
        <w:t xml:space="preserve"> Section </w:t>
      </w:r>
      <w:r w:rsidR="009733E9" w:rsidRPr="003B4362">
        <w:rPr>
          <w:szCs w:val="24"/>
        </w:rPr>
        <w:t>61</w:t>
      </w:r>
      <w:r w:rsidRPr="003B4362">
        <w:rPr>
          <w:szCs w:val="24"/>
        </w:rPr>
        <w:t>1.</w:t>
      </w:r>
      <w:r w:rsidR="009733E9" w:rsidRPr="003B4362">
        <w:rPr>
          <w:szCs w:val="24"/>
        </w:rPr>
        <w:t>35</w:t>
      </w:r>
      <w:r w:rsidRPr="003B4362">
        <w:rPr>
          <w:szCs w:val="24"/>
        </w:rPr>
        <w:t xml:space="preserve">6(d), the </w:t>
      </w:r>
      <w:r w:rsidR="009733E9" w:rsidRPr="003B4362">
        <w:rPr>
          <w:szCs w:val="24"/>
        </w:rPr>
        <w:t>supplier</w:t>
      </w:r>
      <w:r w:rsidRPr="003B4362">
        <w:rPr>
          <w:szCs w:val="24"/>
        </w:rPr>
        <w:t xml:space="preserve"> must submit to the </w:t>
      </w:r>
      <w:r w:rsidR="009733E9" w:rsidRPr="003B4362">
        <w:rPr>
          <w:szCs w:val="24"/>
        </w:rPr>
        <w:t>Agency</w:t>
      </w:r>
      <w:r w:rsidRPr="003B4362">
        <w:rPr>
          <w:szCs w:val="24"/>
        </w:rPr>
        <w:t xml:space="preserve">, a copy of the tap sampling protocol </w:t>
      </w:r>
      <w:bookmarkStart w:id="2751" w:name="_Hlk124355144"/>
      <w:r w:rsidR="00ED705A" w:rsidRPr="003B4362">
        <w:rPr>
          <w:szCs w:val="24"/>
        </w:rPr>
        <w:t>the supplier</w:t>
      </w:r>
      <w:r w:rsidRPr="003B4362">
        <w:rPr>
          <w:szCs w:val="24"/>
        </w:rPr>
        <w:t xml:space="preserve"> provide</w:t>
      </w:r>
      <w:r w:rsidR="00ED705A" w:rsidRPr="003B4362">
        <w:rPr>
          <w:szCs w:val="24"/>
        </w:rPr>
        <w:t>s</w:t>
      </w:r>
      <w:r w:rsidRPr="003B4362">
        <w:rPr>
          <w:szCs w:val="24"/>
        </w:rPr>
        <w:t xml:space="preserve"> to </w:t>
      </w:r>
      <w:r w:rsidR="00ED705A" w:rsidRPr="003B4362">
        <w:rPr>
          <w:szCs w:val="24"/>
        </w:rPr>
        <w:t>persons</w:t>
      </w:r>
      <w:r w:rsidRPr="003B4362">
        <w:rPr>
          <w:szCs w:val="24"/>
        </w:rPr>
        <w:t xml:space="preserve"> sampling</w:t>
      </w:r>
      <w:bookmarkEnd w:id="2751"/>
      <w:r w:rsidRPr="003B4362">
        <w:rPr>
          <w:szCs w:val="24"/>
        </w:rPr>
        <w:t>.  T</w:t>
      </w:r>
      <w:bookmarkStart w:id="2752" w:name="_Hlk124355323"/>
      <w:r w:rsidRPr="003B4362">
        <w:rPr>
          <w:szCs w:val="24"/>
        </w:rPr>
        <w:t xml:space="preserve">he </w:t>
      </w:r>
      <w:r w:rsidR="00ED705A" w:rsidRPr="003B4362">
        <w:rPr>
          <w:szCs w:val="24"/>
        </w:rPr>
        <w:t>Agency</w:t>
      </w:r>
      <w:r w:rsidRPr="003B4362">
        <w:rPr>
          <w:szCs w:val="24"/>
        </w:rPr>
        <w:t xml:space="preserve"> </w:t>
      </w:r>
      <w:r w:rsidR="00ED705A" w:rsidRPr="003B4362">
        <w:rPr>
          <w:szCs w:val="24"/>
        </w:rPr>
        <w:t>must</w:t>
      </w:r>
      <w:r w:rsidRPr="003B4362">
        <w:rPr>
          <w:szCs w:val="24"/>
        </w:rPr>
        <w:t xml:space="preserve"> verify that </w:t>
      </w:r>
      <w:r w:rsidR="00ED705A" w:rsidRPr="003B4362">
        <w:rPr>
          <w:szCs w:val="24"/>
        </w:rPr>
        <w:t xml:space="preserve">the supplier uses </w:t>
      </w:r>
      <w:r w:rsidRPr="003B4362">
        <w:rPr>
          <w:szCs w:val="24"/>
        </w:rPr>
        <w:t>wide-mouth collection bottles</w:t>
      </w:r>
      <w:bookmarkEnd w:id="2752"/>
      <w:r w:rsidR="00ED705A" w:rsidRPr="003B4362">
        <w:rPr>
          <w:szCs w:val="24"/>
        </w:rPr>
        <w:t xml:space="preserve"> </w:t>
      </w:r>
      <w:bookmarkStart w:id="2753" w:name="_Hlk124356036"/>
      <w:r w:rsidRPr="003B4362">
        <w:rPr>
          <w:szCs w:val="24"/>
        </w:rPr>
        <w:t xml:space="preserve">and </w:t>
      </w:r>
      <w:r w:rsidR="00ED705A" w:rsidRPr="003B4362">
        <w:rPr>
          <w:szCs w:val="24"/>
        </w:rPr>
        <w:t xml:space="preserve">the supplier does not </w:t>
      </w:r>
      <w:r w:rsidRPr="003B4362">
        <w:rPr>
          <w:szCs w:val="24"/>
        </w:rPr>
        <w:t>recommend</w:t>
      </w:r>
      <w:r w:rsidR="00ED705A" w:rsidRPr="003B4362">
        <w:rPr>
          <w:szCs w:val="24"/>
        </w:rPr>
        <w:t xml:space="preserve"> </w:t>
      </w:r>
      <w:r w:rsidRPr="003B4362">
        <w:rPr>
          <w:szCs w:val="24"/>
        </w:rPr>
        <w:t xml:space="preserve">pre-stagnation flushing </w:t>
      </w:r>
      <w:r w:rsidR="00ED705A" w:rsidRPr="003B4362">
        <w:rPr>
          <w:szCs w:val="24"/>
        </w:rPr>
        <w:t>or</w:t>
      </w:r>
      <w:r w:rsidRPr="003B4362">
        <w:rPr>
          <w:szCs w:val="24"/>
        </w:rPr>
        <w:t xml:space="preserve"> aerator cleaning or removal </w:t>
      </w:r>
      <w:r w:rsidR="00ED705A" w:rsidRPr="003B4362">
        <w:rPr>
          <w:szCs w:val="24"/>
        </w:rPr>
        <w:t>before</w:t>
      </w:r>
      <w:r w:rsidRPr="003B4362">
        <w:rPr>
          <w:szCs w:val="24"/>
        </w:rPr>
        <w:t xml:space="preserve"> </w:t>
      </w:r>
      <w:r w:rsidR="0062633F" w:rsidRPr="003B4362">
        <w:rPr>
          <w:szCs w:val="24"/>
        </w:rPr>
        <w:t xml:space="preserve">collecting </w:t>
      </w:r>
      <w:r w:rsidRPr="003B4362">
        <w:rPr>
          <w:szCs w:val="24"/>
        </w:rPr>
        <w:t>sample</w:t>
      </w:r>
      <w:r w:rsidR="0062633F" w:rsidRPr="003B4362">
        <w:rPr>
          <w:szCs w:val="24"/>
        </w:rPr>
        <w:t>s</w:t>
      </w:r>
      <w:bookmarkEnd w:id="2753"/>
      <w:r w:rsidRPr="003B4362">
        <w:rPr>
          <w:szCs w:val="24"/>
        </w:rPr>
        <w:t xml:space="preserve"> </w:t>
      </w:r>
      <w:bookmarkStart w:id="2754" w:name="_Hlk124356332"/>
      <w:r w:rsidR="0062633F" w:rsidRPr="003B4362">
        <w:rPr>
          <w:szCs w:val="24"/>
        </w:rPr>
        <w:t>under</w:t>
      </w:r>
      <w:r w:rsidRPr="003B4362">
        <w:rPr>
          <w:szCs w:val="24"/>
        </w:rPr>
        <w:t xml:space="preserve"> Section </w:t>
      </w:r>
      <w:r w:rsidR="0062633F" w:rsidRPr="003B4362">
        <w:rPr>
          <w:szCs w:val="24"/>
        </w:rPr>
        <w:t>61</w:t>
      </w:r>
      <w:r w:rsidRPr="003B4362">
        <w:rPr>
          <w:szCs w:val="24"/>
        </w:rPr>
        <w:t>1.</w:t>
      </w:r>
      <w:r w:rsidR="0062633F" w:rsidRPr="003B4362">
        <w:rPr>
          <w:szCs w:val="24"/>
        </w:rPr>
        <w:t>35</w:t>
      </w:r>
      <w:r w:rsidRPr="003B4362">
        <w:rPr>
          <w:szCs w:val="24"/>
        </w:rPr>
        <w:t>6(b)</w:t>
      </w:r>
      <w:bookmarkEnd w:id="2754"/>
      <w:r w:rsidRPr="003B4362">
        <w:rPr>
          <w:szCs w:val="24"/>
        </w:rPr>
        <w:t xml:space="preserve">.  The tap sampling protocol </w:t>
      </w:r>
      <w:r w:rsidR="008C21D8" w:rsidRPr="003B4362">
        <w:rPr>
          <w:szCs w:val="24"/>
        </w:rPr>
        <w:t>must</w:t>
      </w:r>
      <w:r w:rsidRPr="003B4362">
        <w:rPr>
          <w:szCs w:val="24"/>
        </w:rPr>
        <w:t xml:space="preserve"> contain instructions for correctly collecting a first draw sample </w:t>
      </w:r>
      <w:bookmarkStart w:id="2755" w:name="_Hlk124359628"/>
      <w:r w:rsidR="006C7998" w:rsidRPr="003B4362">
        <w:rPr>
          <w:szCs w:val="24"/>
        </w:rPr>
        <w:t>at a site</w:t>
      </w:r>
      <w:r w:rsidRPr="003B4362">
        <w:rPr>
          <w:szCs w:val="24"/>
        </w:rPr>
        <w:t xml:space="preserve"> without </w:t>
      </w:r>
      <w:r w:rsidR="006C7998" w:rsidRPr="003B4362">
        <w:rPr>
          <w:szCs w:val="24"/>
        </w:rPr>
        <w:t xml:space="preserve">a </w:t>
      </w:r>
      <w:r w:rsidRPr="003B4362">
        <w:rPr>
          <w:szCs w:val="24"/>
        </w:rPr>
        <w:t>lead service line</w:t>
      </w:r>
      <w:bookmarkEnd w:id="2755"/>
      <w:r w:rsidRPr="003B4362">
        <w:rPr>
          <w:szCs w:val="24"/>
        </w:rPr>
        <w:t xml:space="preserve"> and a first draw and a fifth liter sample </w:t>
      </w:r>
      <w:bookmarkStart w:id="2756" w:name="_Hlk124359712"/>
      <w:r w:rsidR="006C7998" w:rsidRPr="003B4362">
        <w:rPr>
          <w:szCs w:val="24"/>
        </w:rPr>
        <w:t>at a site</w:t>
      </w:r>
      <w:r w:rsidRPr="003B4362">
        <w:rPr>
          <w:szCs w:val="24"/>
        </w:rPr>
        <w:t xml:space="preserve"> with </w:t>
      </w:r>
      <w:r w:rsidR="006C7998" w:rsidRPr="003B4362">
        <w:rPr>
          <w:szCs w:val="24"/>
        </w:rPr>
        <w:t>a lead service line</w:t>
      </w:r>
      <w:bookmarkEnd w:id="2756"/>
      <w:r w:rsidRPr="003B4362">
        <w:rPr>
          <w:szCs w:val="24"/>
        </w:rPr>
        <w:t xml:space="preserve">, </w:t>
      </w:r>
      <w:r w:rsidR="006C7998" w:rsidRPr="003B4362">
        <w:rPr>
          <w:szCs w:val="24"/>
        </w:rPr>
        <w:t>as</w:t>
      </w:r>
      <w:r w:rsidRPr="003B4362">
        <w:rPr>
          <w:szCs w:val="24"/>
        </w:rPr>
        <w:t xml:space="preserve"> applicable.  If </w:t>
      </w:r>
      <w:bookmarkStart w:id="2757" w:name="_Hlk124359789"/>
      <w:r w:rsidRPr="003B4362">
        <w:rPr>
          <w:szCs w:val="24"/>
        </w:rPr>
        <w:t xml:space="preserve">the </w:t>
      </w:r>
      <w:bookmarkEnd w:id="2757"/>
      <w:r w:rsidR="006C7998" w:rsidRPr="003B4362">
        <w:rPr>
          <w:szCs w:val="24"/>
        </w:rPr>
        <w:t>supplier</w:t>
      </w:r>
      <w:r w:rsidRPr="003B4362">
        <w:rPr>
          <w:szCs w:val="24"/>
        </w:rPr>
        <w:t xml:space="preserve"> seeks to modify </w:t>
      </w:r>
      <w:bookmarkStart w:id="2758" w:name="_Hlk124359890"/>
      <w:r w:rsidR="00500C45" w:rsidRPr="003B4362">
        <w:rPr>
          <w:szCs w:val="24"/>
        </w:rPr>
        <w:t>the</w:t>
      </w:r>
      <w:r w:rsidRPr="003B4362">
        <w:rPr>
          <w:szCs w:val="24"/>
        </w:rPr>
        <w:t xml:space="preserve"> tap sampling protocol </w:t>
      </w:r>
      <w:r w:rsidR="00500C45" w:rsidRPr="003B4362">
        <w:rPr>
          <w:szCs w:val="24"/>
        </w:rPr>
        <w:t>it submitted</w:t>
      </w:r>
      <w:r w:rsidRPr="003B4362">
        <w:rPr>
          <w:szCs w:val="24"/>
        </w:rPr>
        <w:t xml:space="preserve"> this subsection (a)(1)(I)</w:t>
      </w:r>
      <w:bookmarkEnd w:id="2758"/>
      <w:r w:rsidRPr="003B4362">
        <w:rPr>
          <w:szCs w:val="24"/>
        </w:rPr>
        <w:t xml:space="preserve">, </w:t>
      </w:r>
      <w:bookmarkStart w:id="2759" w:name="_Hlk124360389"/>
      <w:r w:rsidR="00500C45" w:rsidRPr="003B4362">
        <w:rPr>
          <w:szCs w:val="24"/>
        </w:rPr>
        <w:t>the supplier</w:t>
      </w:r>
      <w:r w:rsidRPr="003B4362">
        <w:rPr>
          <w:szCs w:val="24"/>
        </w:rPr>
        <w:t xml:space="preserve"> must submit</w:t>
      </w:r>
      <w:bookmarkEnd w:id="2759"/>
      <w:r w:rsidRPr="003B4362">
        <w:rPr>
          <w:szCs w:val="24"/>
        </w:rPr>
        <w:t xml:space="preserve"> the updated version of the protocol to the </w:t>
      </w:r>
      <w:r w:rsidR="00500C45" w:rsidRPr="003B4362">
        <w:rPr>
          <w:szCs w:val="24"/>
        </w:rPr>
        <w:t>Agency</w:t>
      </w:r>
      <w:r w:rsidRPr="003B4362">
        <w:rPr>
          <w:szCs w:val="24"/>
        </w:rPr>
        <w:t xml:space="preserve"> for review and approval </w:t>
      </w:r>
      <w:bookmarkStart w:id="2760" w:name="_Hlk124360582"/>
      <w:r w:rsidR="00500C45" w:rsidRPr="003B4362">
        <w:rPr>
          <w:szCs w:val="24"/>
        </w:rPr>
        <w:t>at least</w:t>
      </w:r>
      <w:r w:rsidRPr="003B4362">
        <w:rPr>
          <w:szCs w:val="24"/>
        </w:rPr>
        <w:t xml:space="preserve"> 60 days </w:t>
      </w:r>
      <w:r w:rsidR="00500C45" w:rsidRPr="003B4362">
        <w:rPr>
          <w:szCs w:val="24"/>
        </w:rPr>
        <w:t>before using it</w:t>
      </w:r>
      <w:bookmarkEnd w:id="2760"/>
      <w:r w:rsidRPr="003B4362">
        <w:rPr>
          <w:szCs w:val="24"/>
        </w:rPr>
        <w:t>.</w:t>
      </w:r>
    </w:p>
    <w:p w14:paraId="5FE499E8" w14:textId="50A720AE"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For an NTNCWS supplier, </w:t>
      </w:r>
      <w:bookmarkStart w:id="2761" w:name="_Hlk115288428"/>
      <w:r w:rsidRPr="003B4362">
        <w:rPr>
          <w:rFonts w:eastAsia="Calibri"/>
        </w:rPr>
        <w:t xml:space="preserve">or a CWS supplier </w:t>
      </w:r>
      <w:r w:rsidR="009D52CA" w:rsidRPr="003B4362">
        <w:rPr>
          <w:rFonts w:eastAsia="Calibri"/>
        </w:rPr>
        <w:t>complying with Section 611.35</w:t>
      </w:r>
      <w:r w:rsidR="00050AF4" w:rsidRPr="003B4362">
        <w:rPr>
          <w:rFonts w:eastAsia="Calibri"/>
        </w:rPr>
        <w:t>6</w:t>
      </w:r>
      <w:r w:rsidR="009D52CA" w:rsidRPr="003B4362">
        <w:rPr>
          <w:rFonts w:eastAsia="Calibri"/>
        </w:rPr>
        <w:t>(b)(5)</w:t>
      </w:r>
      <w:r w:rsidRPr="003B4362">
        <w:rPr>
          <w:rFonts w:eastAsia="Calibri"/>
        </w:rPr>
        <w:t xml:space="preserve">, not </w:t>
      </w:r>
      <w:r w:rsidR="009D52CA" w:rsidRPr="003B4362">
        <w:rPr>
          <w:rFonts w:eastAsia="Calibri"/>
        </w:rPr>
        <w:t xml:space="preserve">having </w:t>
      </w:r>
      <w:r w:rsidRPr="003B4362">
        <w:rPr>
          <w:rFonts w:eastAsia="Calibri"/>
        </w:rPr>
        <w:t xml:space="preserve">enough taps for first-draw </w:t>
      </w:r>
      <w:r w:rsidR="00C825F1" w:rsidRPr="003B4362">
        <w:rPr>
          <w:szCs w:val="24"/>
        </w:rPr>
        <w:t xml:space="preserve">or fifth liter </w:t>
      </w:r>
      <w:r w:rsidR="003F427A" w:rsidRPr="003B4362">
        <w:rPr>
          <w:rFonts w:eastAsia="Calibri"/>
        </w:rPr>
        <w:t xml:space="preserve">tap </w:t>
      </w:r>
      <w:r w:rsidRPr="003B4362">
        <w:rPr>
          <w:rFonts w:eastAsia="Calibri"/>
        </w:rPr>
        <w:t>samples</w:t>
      </w:r>
      <w:bookmarkEnd w:id="2761"/>
      <w:r w:rsidRPr="003B4362">
        <w:rPr>
          <w:rFonts w:eastAsia="Calibri"/>
        </w:rPr>
        <w:t xml:space="preserve">, </w:t>
      </w:r>
      <w:bookmarkStart w:id="2762" w:name="_Hlk115288588"/>
      <w:r w:rsidRPr="003B4362">
        <w:rPr>
          <w:rFonts w:eastAsia="Calibri"/>
        </w:rPr>
        <w:t>the supplier must do one of two things</w:t>
      </w:r>
      <w:bookmarkEnd w:id="2762"/>
      <w:r w:rsidRPr="003B4362">
        <w:rPr>
          <w:rFonts w:eastAsia="Calibri"/>
        </w:rPr>
        <w:t>:</w:t>
      </w:r>
    </w:p>
    <w:p w14:paraId="5FF13C8F" w14:textId="69592CCC"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w:t>
      </w:r>
      <w:bookmarkStart w:id="2763" w:name="_Hlk115288728"/>
      <w:r w:rsidRPr="003B4362">
        <w:rPr>
          <w:rFonts w:eastAsia="Calibri"/>
        </w:rPr>
        <w:t>he supplier must identify to the Agency in writing standing times and locations</w:t>
      </w:r>
      <w:bookmarkEnd w:id="2763"/>
      <w:r w:rsidRPr="003B4362">
        <w:rPr>
          <w:rFonts w:eastAsia="Calibri"/>
        </w:rPr>
        <w:t xml:space="preserve"> for enough non-first-draw </w:t>
      </w:r>
      <w:bookmarkStart w:id="2764" w:name="_Hlk121945013"/>
      <w:r w:rsidR="00C825F1" w:rsidRPr="003B4362">
        <w:rPr>
          <w:szCs w:val="24"/>
        </w:rPr>
        <w:t xml:space="preserve">and fifth liter </w:t>
      </w:r>
      <w:r w:rsidR="003F427A" w:rsidRPr="003B4362">
        <w:rPr>
          <w:rFonts w:eastAsia="Calibri"/>
        </w:rPr>
        <w:t xml:space="preserve">tap </w:t>
      </w:r>
      <w:bookmarkEnd w:id="2764"/>
      <w:r w:rsidRPr="003B4362">
        <w:rPr>
          <w:rFonts w:eastAsia="Calibri"/>
        </w:rPr>
        <w:t>samples to make up its sampling pool under Section 611.356(b)(5)</w:t>
      </w:r>
      <w:r w:rsidR="006C55D1" w:rsidRPr="003B4362">
        <w:rPr>
          <w:rFonts w:eastAsia="Calibri"/>
        </w:rPr>
        <w:t xml:space="preserve"> by the start of the first applicable monitoring period under Section 611.356(d)</w:t>
      </w:r>
      <w:r w:rsidRPr="003B4362">
        <w:rPr>
          <w:rFonts w:eastAsia="Calibri"/>
        </w:rPr>
        <w:t xml:space="preserve">, </w:t>
      </w:r>
      <w:bookmarkStart w:id="2765" w:name="_Hlk115288868"/>
      <w:r w:rsidRPr="003B4362">
        <w:rPr>
          <w:rFonts w:eastAsia="Calibri"/>
        </w:rPr>
        <w:t>unless the Agency waives prior Agency approval</w:t>
      </w:r>
      <w:bookmarkEnd w:id="2765"/>
      <w:r w:rsidRPr="003B4362">
        <w:rPr>
          <w:rFonts w:eastAsia="Calibri"/>
        </w:rPr>
        <w:t xml:space="preserve"> of non-first-draw </w:t>
      </w:r>
      <w:r w:rsidR="00C47BAA" w:rsidRPr="003B4362">
        <w:rPr>
          <w:szCs w:val="24"/>
        </w:rPr>
        <w:t xml:space="preserve">and fifth liter </w:t>
      </w:r>
      <w:r w:rsidR="003F427A" w:rsidRPr="003B4362">
        <w:rPr>
          <w:rFonts w:eastAsia="Calibri"/>
        </w:rPr>
        <w:t xml:space="preserve">tap </w:t>
      </w:r>
      <w:r w:rsidRPr="003B4362">
        <w:rPr>
          <w:rFonts w:eastAsia="Calibri"/>
        </w:rPr>
        <w:t xml:space="preserve">sampling </w:t>
      </w:r>
      <w:bookmarkStart w:id="2766" w:name="_Hlk115288926"/>
      <w:r w:rsidRPr="003B4362">
        <w:rPr>
          <w:rFonts w:eastAsia="Calibri"/>
        </w:rPr>
        <w:t>sites the supplier selects under Section 611.356(b)(5)</w:t>
      </w:r>
      <w:bookmarkEnd w:id="2766"/>
      <w:r w:rsidRPr="003B4362">
        <w:rPr>
          <w:rFonts w:eastAsia="Calibri"/>
        </w:rPr>
        <w:t>; or</w:t>
      </w:r>
    </w:p>
    <w:p w14:paraId="44AD2DA3" w14:textId="5CE89DBD"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I</w:t>
      </w:r>
      <w:bookmarkStart w:id="2767" w:name="_Hlk115289017"/>
      <w:r w:rsidRPr="003B4362">
        <w:rPr>
          <w:rFonts w:eastAsia="Calibri"/>
        </w:rPr>
        <w:t>f the Agency waives prior approval</w:t>
      </w:r>
      <w:bookmarkEnd w:id="2767"/>
      <w:r w:rsidRPr="003B4362">
        <w:rPr>
          <w:rFonts w:eastAsia="Calibri"/>
        </w:rPr>
        <w:t xml:space="preserve"> of non-first-draw sampling </w:t>
      </w:r>
      <w:bookmarkStart w:id="2768" w:name="_Hlk115289070"/>
      <w:r w:rsidRPr="003B4362">
        <w:rPr>
          <w:rFonts w:eastAsia="Calibri"/>
        </w:rPr>
        <w:t>sites the supplier selects</w:t>
      </w:r>
      <w:bookmarkEnd w:id="2768"/>
      <w:r w:rsidRPr="003B4362">
        <w:rPr>
          <w:rFonts w:eastAsia="Calibri"/>
        </w:rPr>
        <w:t xml:space="preserve">, the supplier must identify each site that did not meet the six-hour minimum standing time and the length of standing time for that particular substitute sample collected under Section 611.356(b)(5) in writing and include this information with the lead and copper tap sample </w:t>
      </w:r>
      <w:bookmarkStart w:id="2769" w:name="_Hlk115289276"/>
      <w:r w:rsidRPr="003B4362">
        <w:rPr>
          <w:rFonts w:eastAsia="Calibri"/>
        </w:rPr>
        <w:t>results the supplier must submit under subsection (a)(1)(A)</w:t>
      </w:r>
      <w:bookmarkEnd w:id="2769"/>
      <w:r w:rsidRPr="003B4362">
        <w:rPr>
          <w:rFonts w:eastAsia="Calibri"/>
        </w:rPr>
        <w:t>.</w:t>
      </w:r>
    </w:p>
    <w:p w14:paraId="42BCB170" w14:textId="1A7A7F30" w:rsidR="005451CE" w:rsidRPr="003B4362" w:rsidRDefault="005451CE" w:rsidP="005451CE">
      <w:pPr>
        <w:spacing w:before="240" w:after="240"/>
        <w:ind w:left="2160" w:hanging="720"/>
        <w:rPr>
          <w:szCs w:val="24"/>
        </w:rPr>
      </w:pPr>
      <w:r w:rsidRPr="003B4362">
        <w:rPr>
          <w:rFonts w:eastAsia="Calibri"/>
        </w:rPr>
        <w:t>3)</w:t>
      </w:r>
      <w:r w:rsidRPr="003B4362">
        <w:rPr>
          <w:rFonts w:eastAsia="Calibri"/>
        </w:rPr>
        <w:tab/>
        <w:t>A</w:t>
      </w:r>
      <w:bookmarkStart w:id="2770" w:name="_Hlk115289611"/>
      <w:r w:rsidRPr="003B4362">
        <w:rPr>
          <w:rFonts w:eastAsia="Calibri"/>
        </w:rPr>
        <w:t>t a time the Agency specifies in a SEP</w:t>
      </w:r>
      <w:bookmarkEnd w:id="2770"/>
      <w:r w:rsidRPr="003B4362">
        <w:rPr>
          <w:rFonts w:eastAsia="Calibri"/>
        </w:rPr>
        <w:t xml:space="preserve">, </w:t>
      </w:r>
      <w:bookmarkStart w:id="2771" w:name="_Hlk115290078"/>
      <w:r w:rsidRPr="003B4362">
        <w:rPr>
          <w:rFonts w:eastAsia="Calibri"/>
        </w:rPr>
        <w:t xml:space="preserve">a supplier </w:t>
      </w:r>
      <w:bookmarkStart w:id="2772" w:name="_Hlk115290353"/>
      <w:bookmarkEnd w:id="2771"/>
      <w:r w:rsidRPr="003B4362">
        <w:rPr>
          <w:rFonts w:eastAsia="Calibri"/>
        </w:rPr>
        <w:t>must document adding a new source or any change in water treatment to the Agency</w:t>
      </w:r>
      <w:bookmarkEnd w:id="2772"/>
      <w:r w:rsidRPr="003B4362">
        <w:rPr>
          <w:rFonts w:eastAsia="Calibri"/>
        </w:rPr>
        <w:t xml:space="preserve"> describing the addition</w:t>
      </w:r>
      <w:r w:rsidR="00A5425A" w:rsidRPr="003B4362">
        <w:rPr>
          <w:rFonts w:eastAsia="Calibri"/>
        </w:rPr>
        <w:t xml:space="preserve"> or change</w:t>
      </w:r>
      <w:r w:rsidRPr="003B4362">
        <w:rPr>
          <w:rFonts w:eastAsia="Calibri"/>
        </w:rPr>
        <w:t>.  I</w:t>
      </w:r>
      <w:bookmarkStart w:id="2773" w:name="_Hlk115289817"/>
      <w:r w:rsidRPr="003B4362">
        <w:rPr>
          <w:rFonts w:eastAsia="Calibri"/>
        </w:rPr>
        <w:t xml:space="preserve">f the Agency does not specify a time in a SEP, </w:t>
      </w:r>
      <w:r w:rsidRPr="003B4362">
        <w:rPr>
          <w:rFonts w:eastAsia="Calibri"/>
        </w:rPr>
        <w:lastRenderedPageBreak/>
        <w:t xml:space="preserve">the supplier must document the changes to the Agency as early as possible </w:t>
      </w:r>
      <w:r w:rsidR="00C47BAA" w:rsidRPr="003B4362">
        <w:rPr>
          <w:szCs w:val="24"/>
        </w:rPr>
        <w:t xml:space="preserve">but no later than six months </w:t>
      </w:r>
      <w:r w:rsidR="005473D0" w:rsidRPr="003B4362">
        <w:rPr>
          <w:rFonts w:eastAsia="Calibri"/>
        </w:rPr>
        <w:t>before</w:t>
      </w:r>
      <w:r w:rsidRPr="003B4362">
        <w:rPr>
          <w:rFonts w:eastAsia="Calibri"/>
        </w:rPr>
        <w:t xml:space="preserve"> adding a new source or any change in water treatment</w:t>
      </w:r>
      <w:bookmarkEnd w:id="2773"/>
      <w:r w:rsidRPr="003B4362">
        <w:rPr>
          <w:rFonts w:eastAsia="Calibri"/>
        </w:rPr>
        <w:t>.</w:t>
      </w:r>
      <w:r w:rsidR="008C0889" w:rsidRPr="003B4362">
        <w:rPr>
          <w:szCs w:val="24"/>
        </w:rPr>
        <w:t xml:space="preserve">  T</w:t>
      </w:r>
      <w:bookmarkStart w:id="2774" w:name="_Hlk124438094"/>
      <w:r w:rsidR="008C0889" w:rsidRPr="003B4362">
        <w:rPr>
          <w:szCs w:val="24"/>
        </w:rPr>
        <w:t xml:space="preserve">he </w:t>
      </w:r>
      <w:r w:rsidR="00754796" w:rsidRPr="003B4362">
        <w:rPr>
          <w:szCs w:val="24"/>
        </w:rPr>
        <w:t>Agency</w:t>
      </w:r>
      <w:r w:rsidR="008C0889" w:rsidRPr="003B4362">
        <w:rPr>
          <w:szCs w:val="24"/>
        </w:rPr>
        <w:t xml:space="preserve"> may </w:t>
      </w:r>
      <w:r w:rsidR="00754796" w:rsidRPr="003B4362">
        <w:rPr>
          <w:szCs w:val="24"/>
        </w:rPr>
        <w:t xml:space="preserve">issue a SEP </w:t>
      </w:r>
      <w:r w:rsidR="008C0889" w:rsidRPr="003B4362">
        <w:rPr>
          <w:szCs w:val="24"/>
        </w:rPr>
        <w:t>requir</w:t>
      </w:r>
      <w:r w:rsidR="00754796" w:rsidRPr="003B4362">
        <w:rPr>
          <w:szCs w:val="24"/>
        </w:rPr>
        <w:t>ing</w:t>
      </w:r>
      <w:r w:rsidR="008C0889" w:rsidRPr="003B4362">
        <w:rPr>
          <w:szCs w:val="24"/>
        </w:rPr>
        <w:t xml:space="preserve"> </w:t>
      </w:r>
      <w:r w:rsidR="00754796" w:rsidRPr="003B4362">
        <w:rPr>
          <w:szCs w:val="24"/>
        </w:rPr>
        <w:t>a</w:t>
      </w:r>
      <w:r w:rsidR="008C0889" w:rsidRPr="003B4362">
        <w:rPr>
          <w:szCs w:val="24"/>
        </w:rPr>
        <w:t xml:space="preserve"> </w:t>
      </w:r>
      <w:r w:rsidR="00754796" w:rsidRPr="003B4362">
        <w:rPr>
          <w:szCs w:val="24"/>
        </w:rPr>
        <w:t>supplier</w:t>
      </w:r>
      <w:bookmarkEnd w:id="2774"/>
      <w:r w:rsidR="008C0889" w:rsidRPr="003B4362">
        <w:rPr>
          <w:szCs w:val="24"/>
        </w:rPr>
        <w:t xml:space="preserve"> to take actions before or after </w:t>
      </w:r>
      <w:bookmarkStart w:id="2775" w:name="_Hlk124438211"/>
      <w:r w:rsidR="00754796" w:rsidRPr="003B4362">
        <w:rPr>
          <w:szCs w:val="24"/>
        </w:rPr>
        <w:t>adding</w:t>
      </w:r>
      <w:r w:rsidR="008C0889" w:rsidRPr="003B4362">
        <w:rPr>
          <w:szCs w:val="24"/>
        </w:rPr>
        <w:t xml:space="preserve"> a new source or </w:t>
      </w:r>
      <w:r w:rsidR="00754796" w:rsidRPr="003B4362">
        <w:rPr>
          <w:szCs w:val="24"/>
        </w:rPr>
        <w:t xml:space="preserve">making a </w:t>
      </w:r>
      <w:r w:rsidR="008C0889" w:rsidRPr="003B4362">
        <w:rPr>
          <w:szCs w:val="24"/>
        </w:rPr>
        <w:t xml:space="preserve">long-term </w:t>
      </w:r>
      <w:r w:rsidR="00754796" w:rsidRPr="003B4362">
        <w:rPr>
          <w:szCs w:val="24"/>
        </w:rPr>
        <w:t xml:space="preserve">change in </w:t>
      </w:r>
      <w:r w:rsidR="008C0889" w:rsidRPr="003B4362">
        <w:rPr>
          <w:szCs w:val="24"/>
        </w:rPr>
        <w:t>treatment</w:t>
      </w:r>
      <w:bookmarkEnd w:id="2775"/>
      <w:r w:rsidR="008C0889" w:rsidRPr="003B4362">
        <w:rPr>
          <w:szCs w:val="24"/>
        </w:rPr>
        <w:t xml:space="preserve"> to ensure the </w:t>
      </w:r>
      <w:r w:rsidR="00754796" w:rsidRPr="003B4362">
        <w:rPr>
          <w:szCs w:val="24"/>
        </w:rPr>
        <w:t>supplier</w:t>
      </w:r>
      <w:r w:rsidR="008C0889" w:rsidRPr="003B4362">
        <w:rPr>
          <w:szCs w:val="24"/>
        </w:rPr>
        <w:t xml:space="preserve"> will operate and maintain </w:t>
      </w:r>
      <w:r w:rsidR="00754796" w:rsidRPr="003B4362">
        <w:rPr>
          <w:szCs w:val="24"/>
        </w:rPr>
        <w:t>OCCT,</w:t>
      </w:r>
      <w:r w:rsidR="008C0889" w:rsidRPr="003B4362">
        <w:rPr>
          <w:szCs w:val="24"/>
        </w:rPr>
        <w:t xml:space="preserve"> </w:t>
      </w:r>
      <w:r w:rsidR="00C25B6F" w:rsidRPr="003B4362">
        <w:rPr>
          <w:szCs w:val="24"/>
        </w:rPr>
        <w:t>such as</w:t>
      </w:r>
      <w:r w:rsidR="008C0889" w:rsidRPr="003B4362">
        <w:rPr>
          <w:szCs w:val="24"/>
        </w:rPr>
        <w:t xml:space="preserve"> additional water quality parameter monitoring, additional lead or copper tap sampling, and </w:t>
      </w:r>
      <w:bookmarkStart w:id="2776" w:name="_Hlk124438713"/>
      <w:r w:rsidR="008C0889" w:rsidRPr="003B4362">
        <w:rPr>
          <w:szCs w:val="24"/>
        </w:rPr>
        <w:t>re-evaluati</w:t>
      </w:r>
      <w:r w:rsidR="00754796" w:rsidRPr="003B4362">
        <w:rPr>
          <w:szCs w:val="24"/>
        </w:rPr>
        <w:t>ng</w:t>
      </w:r>
      <w:r w:rsidR="008C0889" w:rsidRPr="003B4362">
        <w:rPr>
          <w:szCs w:val="24"/>
        </w:rPr>
        <w:t xml:space="preserve"> corrosion control treatment</w:t>
      </w:r>
      <w:bookmarkEnd w:id="2776"/>
      <w:r w:rsidR="008C0889" w:rsidRPr="003B4362">
        <w:rPr>
          <w:szCs w:val="24"/>
        </w:rPr>
        <w:t>.</w:t>
      </w:r>
    </w:p>
    <w:p w14:paraId="01E5F8E1" w14:textId="736A857F" w:rsidR="004313CB" w:rsidRPr="003B4362" w:rsidRDefault="004313CB" w:rsidP="004313CB">
      <w:pPr>
        <w:spacing w:before="240" w:after="240"/>
        <w:ind w:left="2160"/>
        <w:rPr>
          <w:rFonts w:eastAsia="Calibri"/>
        </w:rPr>
      </w:pPr>
      <w:r w:rsidRPr="003B4362">
        <w:rPr>
          <w:szCs w:val="24"/>
        </w:rPr>
        <w:t xml:space="preserve">BOARD NOTE:  </w:t>
      </w:r>
      <w:bookmarkStart w:id="2777" w:name="_Hlk124434011"/>
      <w:r w:rsidRPr="003B4362">
        <w:rPr>
          <w:szCs w:val="24"/>
        </w:rPr>
        <w:t xml:space="preserve">USEPA </w:t>
      </w:r>
      <w:r w:rsidR="0034008D" w:rsidRPr="003B4362">
        <w:rPr>
          <w:szCs w:val="24"/>
        </w:rPr>
        <w:t>gives</w:t>
      </w:r>
      <w:r w:rsidRPr="003B4362">
        <w:rPr>
          <w:szCs w:val="24"/>
        </w:rPr>
        <w:t xml:space="preserve"> e</w:t>
      </w:r>
      <w:bookmarkEnd w:id="2777"/>
      <w:r w:rsidRPr="003B4362">
        <w:rPr>
          <w:szCs w:val="24"/>
        </w:rPr>
        <w:t xml:space="preserve">xamples of long-term </w:t>
      </w:r>
      <w:r w:rsidR="0034008D" w:rsidRPr="003B4362">
        <w:rPr>
          <w:szCs w:val="24"/>
        </w:rPr>
        <w:t>change</w:t>
      </w:r>
      <w:r w:rsidR="00EB5537" w:rsidRPr="003B4362">
        <w:rPr>
          <w:szCs w:val="24"/>
        </w:rPr>
        <w:t>s</w:t>
      </w:r>
      <w:r w:rsidR="0034008D" w:rsidRPr="003B4362">
        <w:rPr>
          <w:szCs w:val="24"/>
        </w:rPr>
        <w:t xml:space="preserve"> in </w:t>
      </w:r>
      <w:r w:rsidRPr="003B4362">
        <w:rPr>
          <w:szCs w:val="24"/>
        </w:rPr>
        <w:t xml:space="preserve">treatment </w:t>
      </w:r>
      <w:r w:rsidR="0034008D" w:rsidRPr="003B4362">
        <w:rPr>
          <w:szCs w:val="24"/>
        </w:rPr>
        <w:t>as</w:t>
      </w:r>
      <w:r w:rsidRPr="003B4362">
        <w:rPr>
          <w:szCs w:val="24"/>
        </w:rPr>
        <w:t xml:space="preserve"> </w:t>
      </w:r>
      <w:bookmarkStart w:id="2778" w:name="_Hlk124431294"/>
      <w:r w:rsidRPr="003B4362">
        <w:rPr>
          <w:szCs w:val="24"/>
        </w:rPr>
        <w:t>includ</w:t>
      </w:r>
      <w:r w:rsidR="0034008D" w:rsidRPr="003B4362">
        <w:rPr>
          <w:szCs w:val="24"/>
        </w:rPr>
        <w:t>ing</w:t>
      </w:r>
      <w:r w:rsidRPr="003B4362">
        <w:rPr>
          <w:szCs w:val="24"/>
        </w:rPr>
        <w:t xml:space="preserve"> </w:t>
      </w:r>
      <w:bookmarkEnd w:id="2778"/>
      <w:r w:rsidRPr="003B4362">
        <w:rPr>
          <w:szCs w:val="24"/>
        </w:rPr>
        <w:t>addi</w:t>
      </w:r>
      <w:r w:rsidR="0034008D" w:rsidRPr="003B4362">
        <w:rPr>
          <w:szCs w:val="24"/>
        </w:rPr>
        <w:t>ng</w:t>
      </w:r>
      <w:r w:rsidRPr="003B4362">
        <w:rPr>
          <w:szCs w:val="24"/>
        </w:rPr>
        <w:t xml:space="preserve"> a new treatment process or modif</w:t>
      </w:r>
      <w:r w:rsidR="0034008D" w:rsidRPr="003B4362">
        <w:rPr>
          <w:szCs w:val="24"/>
        </w:rPr>
        <w:t>ying</w:t>
      </w:r>
      <w:r w:rsidRPr="003B4362">
        <w:rPr>
          <w:szCs w:val="24"/>
        </w:rPr>
        <w:t xml:space="preserve"> an existing treatment process.  </w:t>
      </w:r>
      <w:r w:rsidR="0034008D" w:rsidRPr="003B4362">
        <w:rPr>
          <w:szCs w:val="24"/>
        </w:rPr>
        <w:t>USEPA gives e</w:t>
      </w:r>
      <w:r w:rsidRPr="003B4362">
        <w:rPr>
          <w:szCs w:val="24"/>
        </w:rPr>
        <w:t>xamples of modif</w:t>
      </w:r>
      <w:r w:rsidR="0034008D" w:rsidRPr="003B4362">
        <w:rPr>
          <w:szCs w:val="24"/>
        </w:rPr>
        <w:t>ying treatment as</w:t>
      </w:r>
      <w:r w:rsidRPr="003B4362">
        <w:rPr>
          <w:szCs w:val="24"/>
        </w:rPr>
        <w:t xml:space="preserve"> includ</w:t>
      </w:r>
      <w:r w:rsidR="0034008D" w:rsidRPr="003B4362">
        <w:rPr>
          <w:szCs w:val="24"/>
        </w:rPr>
        <w:t>ing</w:t>
      </w:r>
      <w:r w:rsidRPr="003B4362">
        <w:rPr>
          <w:szCs w:val="24"/>
        </w:rPr>
        <w:t xml:space="preserve"> switching secondary disinfectants, coagulants (</w:t>
      </w:r>
      <w:r w:rsidRPr="003B4362">
        <w:rPr>
          <w:i/>
          <w:iCs/>
          <w:szCs w:val="24"/>
        </w:rPr>
        <w:t xml:space="preserve">e.g., </w:t>
      </w:r>
      <w:r w:rsidRPr="003B4362">
        <w:rPr>
          <w:szCs w:val="24"/>
        </w:rPr>
        <w:t xml:space="preserve">alum to ferric chloride), </w:t>
      </w:r>
      <w:r w:rsidR="008B7E9A" w:rsidRPr="003B4362">
        <w:rPr>
          <w:szCs w:val="24"/>
        </w:rPr>
        <w:t xml:space="preserve">or </w:t>
      </w:r>
      <w:r w:rsidRPr="003B4362">
        <w:rPr>
          <w:szCs w:val="24"/>
        </w:rPr>
        <w:t>corrosion inhibitor (</w:t>
      </w:r>
      <w:r w:rsidRPr="003B4362">
        <w:rPr>
          <w:i/>
          <w:iCs/>
          <w:szCs w:val="24"/>
        </w:rPr>
        <w:t xml:space="preserve">e.g., </w:t>
      </w:r>
      <w:r w:rsidRPr="003B4362">
        <w:rPr>
          <w:szCs w:val="24"/>
        </w:rPr>
        <w:t xml:space="preserve">orthophosphate to blended phosphate).  </w:t>
      </w:r>
      <w:r w:rsidR="008B7E9A" w:rsidRPr="003B4362">
        <w:rPr>
          <w:szCs w:val="24"/>
        </w:rPr>
        <w:t>USEPA said that l</w:t>
      </w:r>
      <w:r w:rsidRPr="003B4362">
        <w:rPr>
          <w:szCs w:val="24"/>
        </w:rPr>
        <w:t xml:space="preserve">ong-term changes can also include dose changes to existing chemicals if the </w:t>
      </w:r>
      <w:r w:rsidR="008B7E9A" w:rsidRPr="003B4362">
        <w:rPr>
          <w:szCs w:val="24"/>
        </w:rPr>
        <w:t>supplier</w:t>
      </w:r>
      <w:r w:rsidRPr="003B4362">
        <w:rPr>
          <w:szCs w:val="24"/>
        </w:rPr>
        <w:t xml:space="preserve"> plan</w:t>
      </w:r>
      <w:r w:rsidR="008B7E9A" w:rsidRPr="003B4362">
        <w:rPr>
          <w:szCs w:val="24"/>
        </w:rPr>
        <w:t>s</w:t>
      </w:r>
      <w:r w:rsidRPr="003B4362">
        <w:rPr>
          <w:szCs w:val="24"/>
        </w:rPr>
        <w:t xml:space="preserve"> long-term changes to its finished water pH or residual inhibitor concentration.  </w:t>
      </w:r>
      <w:r w:rsidR="008B7E9A" w:rsidRPr="003B4362">
        <w:rPr>
          <w:szCs w:val="24"/>
        </w:rPr>
        <w:t>USEPA said that l</w:t>
      </w:r>
      <w:r w:rsidRPr="003B4362">
        <w:rPr>
          <w:szCs w:val="24"/>
        </w:rPr>
        <w:t xml:space="preserve">ong-term treatment changes would not include chemical dose fluctuations associated with daily raw water quality changes </w:t>
      </w:r>
      <w:bookmarkStart w:id="2779" w:name="_Hlk124434449"/>
      <w:r w:rsidRPr="003B4362">
        <w:rPr>
          <w:szCs w:val="24"/>
        </w:rPr>
        <w:t xml:space="preserve">where </w:t>
      </w:r>
      <w:r w:rsidR="00502F08" w:rsidRPr="003B4362">
        <w:rPr>
          <w:szCs w:val="24"/>
        </w:rPr>
        <w:t xml:space="preserve">the supplier does not add </w:t>
      </w:r>
      <w:r w:rsidRPr="003B4362">
        <w:rPr>
          <w:szCs w:val="24"/>
        </w:rPr>
        <w:t>a new source</w:t>
      </w:r>
      <w:bookmarkEnd w:id="2779"/>
      <w:r w:rsidRPr="003B4362">
        <w:rPr>
          <w:szCs w:val="24"/>
        </w:rPr>
        <w:t>.</w:t>
      </w:r>
    </w:p>
    <w:p w14:paraId="5BEFECC1" w14:textId="703965FD"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A</w:t>
      </w:r>
      <w:bookmarkStart w:id="2780" w:name="_Hlk115290441"/>
      <w:r w:rsidRPr="003B4362">
        <w:rPr>
          <w:rFonts w:eastAsia="Calibri"/>
        </w:rPr>
        <w:t xml:space="preserve"> small </w:t>
      </w:r>
      <w:bookmarkEnd w:id="2780"/>
      <w:r w:rsidRPr="003B4362">
        <w:rPr>
          <w:rFonts w:eastAsia="Calibri"/>
        </w:rPr>
        <w:t xml:space="preserve">supplier applying for a monitoring waiver under Section 611.356(g) </w:t>
      </w:r>
      <w:bookmarkStart w:id="2781" w:name="_Hlk115290608"/>
      <w:r w:rsidRPr="003B4362">
        <w:rPr>
          <w:rFonts w:eastAsia="Calibri"/>
        </w:rPr>
        <w:t>or subject to a waiver granted under Section 611.356(g)(3)</w:t>
      </w:r>
      <w:bookmarkEnd w:id="2781"/>
      <w:r w:rsidRPr="003B4362">
        <w:rPr>
          <w:rFonts w:eastAsia="Calibri"/>
        </w:rPr>
        <w:t xml:space="preserve"> must </w:t>
      </w:r>
      <w:bookmarkStart w:id="2782" w:name="_Hlk115290654"/>
      <w:r w:rsidRPr="003B4362">
        <w:rPr>
          <w:rFonts w:eastAsia="Calibri"/>
        </w:rPr>
        <w:t>provide certain information</w:t>
      </w:r>
      <w:bookmarkEnd w:id="2782"/>
      <w:r w:rsidRPr="003B4362">
        <w:rPr>
          <w:rFonts w:eastAsia="Calibri"/>
        </w:rPr>
        <w:t xml:space="preserve"> to the Agency in writing </w:t>
      </w:r>
      <w:bookmarkStart w:id="2783" w:name="_Hlk115290743"/>
      <w:r w:rsidRPr="003B4362">
        <w:rPr>
          <w:rFonts w:eastAsia="Calibri"/>
        </w:rPr>
        <w:t>before the applicable deadline</w:t>
      </w:r>
      <w:bookmarkEnd w:id="2783"/>
      <w:r w:rsidRPr="003B4362">
        <w:rPr>
          <w:rFonts w:eastAsia="Calibri"/>
        </w:rPr>
        <w:t>:</w:t>
      </w:r>
    </w:p>
    <w:p w14:paraId="1E5A8481" w14:textId="2FD70072"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B</w:t>
      </w:r>
      <w:bookmarkStart w:id="2784" w:name="_Hlk115290874"/>
      <w:r w:rsidRPr="003B4362">
        <w:rPr>
          <w:rFonts w:eastAsia="Calibri"/>
        </w:rPr>
        <w:t>efore the start</w:t>
      </w:r>
      <w:bookmarkEnd w:id="2784"/>
      <w:r w:rsidRPr="003B4362">
        <w:rPr>
          <w:rFonts w:eastAsia="Calibri"/>
        </w:rPr>
        <w:t xml:space="preserve"> of the first applicable </w:t>
      </w:r>
      <w:r w:rsidR="001D00E1" w:rsidRPr="003B4362">
        <w:rPr>
          <w:szCs w:val="24"/>
        </w:rPr>
        <w:t xml:space="preserve">tap </w:t>
      </w:r>
      <w:r w:rsidRPr="003B4362">
        <w:rPr>
          <w:rFonts w:eastAsia="Calibri"/>
        </w:rPr>
        <w:t xml:space="preserve">monitoring </w:t>
      </w:r>
      <w:r w:rsidR="00050162" w:rsidRPr="003B4362">
        <w:rPr>
          <w:rFonts w:eastAsia="Calibri"/>
        </w:rPr>
        <w:t xml:space="preserve">cycle </w:t>
      </w:r>
      <w:r w:rsidRPr="003B4362">
        <w:rPr>
          <w:rFonts w:eastAsia="Calibri"/>
        </w:rPr>
        <w:t xml:space="preserve">in Section 611.356(d), </w:t>
      </w:r>
      <w:r w:rsidR="005121D2" w:rsidRPr="003B4362">
        <w:rPr>
          <w:rFonts w:eastAsia="Calibri"/>
        </w:rPr>
        <w:t xml:space="preserve">a </w:t>
      </w:r>
      <w:r w:rsidRPr="003B4362">
        <w:rPr>
          <w:rFonts w:eastAsia="Calibri"/>
        </w:rPr>
        <w:t xml:space="preserve">small supplier applying for a monitoring waiver must </w:t>
      </w:r>
      <w:bookmarkStart w:id="2785" w:name="_Hlk115290967"/>
      <w:r w:rsidRPr="003B4362">
        <w:rPr>
          <w:rFonts w:eastAsia="Calibri"/>
        </w:rPr>
        <w:t>provide the documents demonstrating that the supplier qualifies for a waiver under Section 611.356(g)(1) and (g)(2)</w:t>
      </w:r>
      <w:bookmarkEnd w:id="2785"/>
      <w:r w:rsidRPr="003B4362">
        <w:rPr>
          <w:rFonts w:eastAsia="Calibri"/>
        </w:rPr>
        <w:t>.</w:t>
      </w:r>
    </w:p>
    <w:p w14:paraId="1199FAEB" w14:textId="2B17C4BD"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No later than nine years after the </w:t>
      </w:r>
      <w:bookmarkStart w:id="2786" w:name="_Hlk115291080"/>
      <w:r w:rsidRPr="003B4362">
        <w:rPr>
          <w:rFonts w:eastAsia="Calibri"/>
        </w:rPr>
        <w:t>monitoring the supplier previously conducted</w:t>
      </w:r>
      <w:bookmarkEnd w:id="2786"/>
      <w:r w:rsidRPr="003B4362">
        <w:rPr>
          <w:rFonts w:eastAsia="Calibri"/>
        </w:rPr>
        <w:t xml:space="preserve"> under Section 611.356(g)(2) or Section 611.356(g)(4)(A), </w:t>
      </w:r>
      <w:bookmarkStart w:id="2787" w:name="_Hlk115291186"/>
      <w:r w:rsidRPr="003B4362">
        <w:rPr>
          <w:rFonts w:eastAsia="Calibri"/>
        </w:rPr>
        <w:t>a small supplier</w:t>
      </w:r>
      <w:bookmarkEnd w:id="2787"/>
      <w:r w:rsidRPr="003B4362">
        <w:rPr>
          <w:rFonts w:eastAsia="Calibri"/>
        </w:rPr>
        <w:t xml:space="preserve"> </w:t>
      </w:r>
      <w:bookmarkStart w:id="2788" w:name="_Hlk115291344"/>
      <w:r w:rsidRPr="003B4362">
        <w:rPr>
          <w:rFonts w:eastAsia="Calibri"/>
        </w:rPr>
        <w:t>wanting to maintain</w:t>
      </w:r>
      <w:bookmarkEnd w:id="2788"/>
      <w:r w:rsidRPr="003B4362">
        <w:rPr>
          <w:rFonts w:eastAsia="Calibri"/>
        </w:rPr>
        <w:t xml:space="preserve"> its monitoring waiver must provide </w:t>
      </w:r>
      <w:bookmarkStart w:id="2789" w:name="_Hlk115291413"/>
      <w:r w:rsidRPr="003B4362">
        <w:rPr>
          <w:rFonts w:eastAsia="Calibri"/>
        </w:rPr>
        <w:t>the information Section 611.356(g)(4)(A) and (g)(4)(B) requires</w:t>
      </w:r>
      <w:bookmarkEnd w:id="2789"/>
      <w:r w:rsidRPr="003B4362">
        <w:rPr>
          <w:rFonts w:eastAsia="Calibri"/>
        </w:rPr>
        <w:t>.</w:t>
      </w:r>
    </w:p>
    <w:p w14:paraId="5B3BC9BC" w14:textId="2BFD949D"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No later than 60 days </w:t>
      </w:r>
      <w:bookmarkStart w:id="2790" w:name="_Hlk115291609"/>
      <w:r w:rsidRPr="003B4362">
        <w:rPr>
          <w:rFonts w:eastAsia="Calibri"/>
        </w:rPr>
        <w:t>after the small supplier becomes aware</w:t>
      </w:r>
      <w:bookmarkEnd w:id="2790"/>
      <w:r w:rsidRPr="003B4362">
        <w:rPr>
          <w:rFonts w:eastAsia="Calibri"/>
        </w:rPr>
        <w:t xml:space="preserve"> that it is no longer free of lead-containing or copper-containing material, </w:t>
      </w:r>
      <w:bookmarkStart w:id="2791" w:name="_Hlk115291708"/>
      <w:r w:rsidRPr="003B4362">
        <w:rPr>
          <w:rFonts w:eastAsia="Calibri"/>
        </w:rPr>
        <w:t>a small supplier</w:t>
      </w:r>
      <w:bookmarkEnd w:id="2791"/>
      <w:r w:rsidRPr="003B4362">
        <w:rPr>
          <w:rFonts w:eastAsia="Calibri"/>
        </w:rPr>
        <w:t xml:space="preserve"> </w:t>
      </w:r>
      <w:bookmarkStart w:id="2792" w:name="_Hlk115291782"/>
      <w:r w:rsidRPr="003B4362">
        <w:rPr>
          <w:rFonts w:eastAsia="Calibri"/>
        </w:rPr>
        <w:t>having a monitoring waiver</w:t>
      </w:r>
      <w:bookmarkEnd w:id="2792"/>
      <w:r w:rsidRPr="003B4362">
        <w:rPr>
          <w:rFonts w:eastAsia="Calibri"/>
        </w:rPr>
        <w:t xml:space="preserve"> must </w:t>
      </w:r>
      <w:bookmarkStart w:id="2793" w:name="_Hlk115291850"/>
      <w:r w:rsidRPr="003B4362">
        <w:rPr>
          <w:rFonts w:eastAsia="Calibri"/>
        </w:rPr>
        <w:t>notify the Agency in writing</w:t>
      </w:r>
      <w:bookmarkEnd w:id="2793"/>
      <w:r w:rsidRPr="003B4362">
        <w:rPr>
          <w:rFonts w:eastAsia="Calibri"/>
        </w:rPr>
        <w:t xml:space="preserve">, </w:t>
      </w:r>
      <w:bookmarkStart w:id="2794" w:name="_Hlk115291992"/>
      <w:r w:rsidRPr="003B4362">
        <w:rPr>
          <w:rFonts w:eastAsia="Calibri"/>
        </w:rPr>
        <w:t xml:space="preserve">stating the circumstances introducing lead- or copper-containing materials </w:t>
      </w:r>
      <w:bookmarkEnd w:id="2794"/>
      <w:r w:rsidRPr="003B4362">
        <w:rPr>
          <w:rFonts w:eastAsia="Calibri"/>
        </w:rPr>
        <w:t xml:space="preserve">into the system and </w:t>
      </w:r>
      <w:bookmarkStart w:id="2795" w:name="_Hlk115292113"/>
      <w:r w:rsidRPr="003B4362">
        <w:rPr>
          <w:rFonts w:eastAsia="Calibri"/>
        </w:rPr>
        <w:t>describing any corrective action the supplier plans</w:t>
      </w:r>
      <w:bookmarkEnd w:id="2795"/>
      <w:r w:rsidRPr="003B4362">
        <w:rPr>
          <w:rFonts w:eastAsia="Calibri"/>
        </w:rPr>
        <w:t xml:space="preserve"> to remove these materials.</w:t>
      </w:r>
    </w:p>
    <w:p w14:paraId="4C5E2D72" w14:textId="5004C636" w:rsidR="005451CE" w:rsidRPr="003B4362" w:rsidRDefault="005451CE" w:rsidP="005451CE">
      <w:pPr>
        <w:spacing w:before="240" w:after="240"/>
        <w:ind w:left="2160" w:hanging="720"/>
        <w:rPr>
          <w:rFonts w:eastAsia="Calibri"/>
        </w:rPr>
      </w:pPr>
      <w:r w:rsidRPr="003B4362">
        <w:rPr>
          <w:rFonts w:eastAsia="Calibri"/>
        </w:rPr>
        <w:t>5)</w:t>
      </w:r>
      <w:r w:rsidRPr="003B4362">
        <w:rPr>
          <w:rFonts w:eastAsia="Calibri"/>
        </w:rPr>
        <w:tab/>
        <w:t>A</w:t>
      </w:r>
      <w:bookmarkStart w:id="2796" w:name="_Hlk115292488"/>
      <w:r w:rsidRPr="003B4362">
        <w:rPr>
          <w:rFonts w:eastAsia="Calibri"/>
        </w:rPr>
        <w:t xml:space="preserve"> GWS supplier limiting its water quality parameter monitoring</w:t>
      </w:r>
      <w:bookmarkEnd w:id="2796"/>
      <w:r w:rsidRPr="003B4362">
        <w:rPr>
          <w:rFonts w:eastAsia="Calibri"/>
        </w:rPr>
        <w:t xml:space="preserve"> to a subset of entry points under Section 611.357(c)(3) must </w:t>
      </w:r>
      <w:bookmarkStart w:id="2797" w:name="_Hlk115292593"/>
      <w:r w:rsidRPr="003B4362">
        <w:rPr>
          <w:rFonts w:eastAsia="Calibri"/>
        </w:rPr>
        <w:t xml:space="preserve">identify its </w:t>
      </w:r>
      <w:r w:rsidRPr="003B4362">
        <w:rPr>
          <w:rFonts w:eastAsia="Calibri"/>
        </w:rPr>
        <w:lastRenderedPageBreak/>
        <w:t>selected entry points to the Agency in writing, including information sufficiently demonstrating that the sites represent water quality</w:t>
      </w:r>
      <w:bookmarkEnd w:id="2797"/>
      <w:r w:rsidRPr="003B4362">
        <w:rPr>
          <w:rFonts w:eastAsia="Calibri"/>
        </w:rPr>
        <w:t xml:space="preserve"> and treatment conditions </w:t>
      </w:r>
      <w:bookmarkStart w:id="2798" w:name="_Hlk115293209"/>
      <w:r w:rsidRPr="003B4362">
        <w:rPr>
          <w:rFonts w:eastAsia="Calibri"/>
        </w:rPr>
        <w:t>throughout the supplier’s system</w:t>
      </w:r>
      <w:bookmarkEnd w:id="2798"/>
      <w:r w:rsidRPr="003B4362">
        <w:rPr>
          <w:rFonts w:eastAsia="Calibri"/>
        </w:rPr>
        <w:t>.</w:t>
      </w:r>
    </w:p>
    <w:p w14:paraId="540256B7" w14:textId="77777777" w:rsidR="005451CE" w:rsidRPr="003B4362" w:rsidRDefault="005451CE" w:rsidP="005451CE">
      <w:pPr>
        <w:spacing w:before="240" w:after="240"/>
        <w:ind w:left="1440" w:hanging="720"/>
        <w:rPr>
          <w:rFonts w:eastAsia="Calibri"/>
        </w:rPr>
      </w:pPr>
      <w:r w:rsidRPr="003B4362">
        <w:rPr>
          <w:rFonts w:eastAsia="Calibri"/>
        </w:rPr>
        <w:t>b)</w:t>
      </w:r>
      <w:r w:rsidRPr="003B4362">
        <w:rPr>
          <w:rFonts w:eastAsia="Calibri"/>
        </w:rPr>
        <w:tab/>
        <w:t>Reporting for Source Water Monitoring</w:t>
      </w:r>
    </w:p>
    <w:p w14:paraId="78C57E52" w14:textId="2EEE3626"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A supplier must </w:t>
      </w:r>
      <w:bookmarkStart w:id="2799" w:name="_Hlk115293289"/>
      <w:r w:rsidRPr="003B4362">
        <w:rPr>
          <w:rFonts w:eastAsia="Calibri"/>
        </w:rPr>
        <w:t>report its sampling results</w:t>
      </w:r>
      <w:bookmarkEnd w:id="2799"/>
      <w:r w:rsidRPr="003B4362">
        <w:rPr>
          <w:rFonts w:eastAsia="Calibri"/>
        </w:rPr>
        <w:t xml:space="preserve"> for all source water </w:t>
      </w:r>
      <w:bookmarkStart w:id="2800" w:name="_Hlk115293341"/>
      <w:r w:rsidRPr="003B4362">
        <w:rPr>
          <w:rFonts w:eastAsia="Calibri"/>
        </w:rPr>
        <w:t>samples it collects under Section 611.358</w:t>
      </w:r>
      <w:bookmarkEnd w:id="2800"/>
      <w:r w:rsidRPr="003B4362">
        <w:rPr>
          <w:rFonts w:eastAsia="Calibri"/>
        </w:rPr>
        <w:t xml:space="preserve"> within ten days after the end of each source water </w:t>
      </w:r>
      <w:r w:rsidR="00EB4624" w:rsidRPr="003B4362">
        <w:rPr>
          <w:rFonts w:eastAsia="Calibri"/>
        </w:rPr>
        <w:t xml:space="preserve">monitoring </w:t>
      </w:r>
      <w:r w:rsidRPr="003B4362">
        <w:rPr>
          <w:rFonts w:eastAsia="Calibri"/>
        </w:rPr>
        <w:t xml:space="preserve">period </w:t>
      </w:r>
      <w:bookmarkStart w:id="2801" w:name="_Hlk115293539"/>
      <w:r w:rsidRPr="003B4362">
        <w:rPr>
          <w:rFonts w:eastAsia="Calibri"/>
        </w:rPr>
        <w:t>Section 611.358 specifies</w:t>
      </w:r>
      <w:bookmarkEnd w:id="2801"/>
      <w:r w:rsidRPr="003B4362">
        <w:rPr>
          <w:rFonts w:eastAsia="Calibri"/>
        </w:rPr>
        <w:t>.</w:t>
      </w:r>
    </w:p>
    <w:p w14:paraId="4B8C19CE" w14:textId="4B50DBA8"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With the exception of the first round of source water sampling a supplier conducts under Section 611.358(b), a supplier must specify any site it did not sample during </w:t>
      </w:r>
      <w:r w:rsidR="003A1DFD" w:rsidRPr="003B4362">
        <w:rPr>
          <w:rFonts w:eastAsia="Calibri"/>
        </w:rPr>
        <w:t xml:space="preserve">source water monitoring </w:t>
      </w:r>
      <w:r w:rsidRPr="003B4362">
        <w:rPr>
          <w:rFonts w:eastAsia="Calibri"/>
        </w:rPr>
        <w:t xml:space="preserve">periods, </w:t>
      </w:r>
      <w:bookmarkStart w:id="2802" w:name="_Hlk115295263"/>
      <w:r w:rsidRPr="003B4362">
        <w:rPr>
          <w:rFonts w:eastAsia="Calibri"/>
        </w:rPr>
        <w:t>explaining why the supplier changed the sampling point</w:t>
      </w:r>
      <w:bookmarkEnd w:id="2802"/>
      <w:r w:rsidRPr="003B4362">
        <w:rPr>
          <w:rFonts w:eastAsia="Calibri"/>
        </w:rPr>
        <w:t>.</w:t>
      </w:r>
    </w:p>
    <w:p w14:paraId="58C6E427" w14:textId="1633085B" w:rsidR="005451CE" w:rsidRPr="003B4362" w:rsidRDefault="005451CE" w:rsidP="005451CE">
      <w:pPr>
        <w:spacing w:before="240" w:after="240"/>
        <w:ind w:left="1440" w:hanging="720"/>
        <w:rPr>
          <w:rFonts w:eastAsia="Calibri"/>
        </w:rPr>
      </w:pPr>
      <w:r w:rsidRPr="003B4362">
        <w:rPr>
          <w:rFonts w:eastAsia="Calibri"/>
        </w:rPr>
        <w:t>c)</w:t>
      </w:r>
      <w:r w:rsidRPr="003B4362">
        <w:rPr>
          <w:rFonts w:eastAsia="Calibri"/>
        </w:rPr>
        <w:tab/>
        <w:t>Reporting for Corrosion Control Treatment.  B</w:t>
      </w:r>
      <w:bookmarkStart w:id="2803" w:name="_Hlk115295413"/>
      <w:r w:rsidRPr="003B4362">
        <w:rPr>
          <w:rFonts w:eastAsia="Calibri"/>
        </w:rPr>
        <w:t>efore the applicable dates under Section 611.351</w:t>
      </w:r>
      <w:bookmarkEnd w:id="2803"/>
      <w:r w:rsidRPr="003B4362">
        <w:rPr>
          <w:rFonts w:eastAsia="Calibri"/>
        </w:rPr>
        <w:t xml:space="preserve">, a supplier must </w:t>
      </w:r>
      <w:bookmarkStart w:id="2804" w:name="_Hlk115295484"/>
      <w:r w:rsidRPr="003B4362">
        <w:rPr>
          <w:rFonts w:eastAsia="Calibri"/>
        </w:rPr>
        <w:t>report certain information</w:t>
      </w:r>
      <w:bookmarkEnd w:id="2804"/>
      <w:r w:rsidRPr="003B4362">
        <w:rPr>
          <w:rFonts w:eastAsia="Calibri"/>
        </w:rPr>
        <w:t>:</w:t>
      </w:r>
    </w:p>
    <w:p w14:paraId="612B90B8" w14:textId="4D84A011"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A</w:t>
      </w:r>
      <w:bookmarkStart w:id="2805" w:name="_Hlk115296681"/>
      <w:r w:rsidRPr="003B4362">
        <w:rPr>
          <w:rFonts w:eastAsia="Calibri"/>
        </w:rPr>
        <w:t xml:space="preserve"> supplier demonstrating that it already optimized corrosion control must provide</w:t>
      </w:r>
      <w:bookmarkEnd w:id="2805"/>
      <w:r w:rsidRPr="003B4362">
        <w:rPr>
          <w:rFonts w:eastAsia="Calibri"/>
        </w:rPr>
        <w:t xml:space="preserve"> the </w:t>
      </w:r>
      <w:bookmarkStart w:id="2806" w:name="_Hlk115296765"/>
      <w:r w:rsidRPr="003B4362">
        <w:rPr>
          <w:rFonts w:eastAsia="Calibri"/>
        </w:rPr>
        <w:t xml:space="preserve">information Section </w:t>
      </w:r>
      <w:r w:rsidR="00DC3E9A" w:rsidRPr="003B4362">
        <w:rPr>
          <w:szCs w:val="24"/>
        </w:rPr>
        <w:t>61</w:t>
      </w:r>
      <w:r w:rsidR="001D00E1" w:rsidRPr="003B4362">
        <w:rPr>
          <w:szCs w:val="24"/>
        </w:rPr>
        <w:t>1.</w:t>
      </w:r>
      <w:r w:rsidR="00DC3E9A" w:rsidRPr="003B4362">
        <w:rPr>
          <w:szCs w:val="24"/>
        </w:rPr>
        <w:t>35</w:t>
      </w:r>
      <w:r w:rsidR="001D00E1" w:rsidRPr="003B4362">
        <w:rPr>
          <w:szCs w:val="24"/>
        </w:rPr>
        <w:t xml:space="preserve">1(b)(1) through </w:t>
      </w:r>
      <w:r w:rsidRPr="003B4362">
        <w:rPr>
          <w:rFonts w:eastAsia="Calibri"/>
        </w:rPr>
        <w:t>(b)(3) requires</w:t>
      </w:r>
      <w:bookmarkEnd w:id="2806"/>
      <w:r w:rsidRPr="003B4362">
        <w:rPr>
          <w:rFonts w:eastAsia="Calibri"/>
        </w:rPr>
        <w:t>.</w:t>
      </w:r>
    </w:p>
    <w:p w14:paraId="5F5BD9E7" w14:textId="420395A3"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A </w:t>
      </w:r>
      <w:bookmarkStart w:id="2807" w:name="_Hlk115297108"/>
      <w:r w:rsidRPr="003B4362">
        <w:rPr>
          <w:rFonts w:eastAsia="Calibri"/>
        </w:rPr>
        <w:t>supplier that must optimize corrosion control must provide</w:t>
      </w:r>
      <w:bookmarkEnd w:id="2807"/>
      <w:r w:rsidRPr="003B4362">
        <w:rPr>
          <w:rFonts w:eastAsia="Calibri"/>
        </w:rPr>
        <w:t xml:space="preserve"> its recommendation regarding </w:t>
      </w:r>
      <w:r w:rsidR="00746042" w:rsidRPr="003B4362">
        <w:rPr>
          <w:rFonts w:eastAsia="Calibri"/>
        </w:rPr>
        <w:t xml:space="preserve">OCCT </w:t>
      </w:r>
      <w:r w:rsidRPr="003B4362">
        <w:rPr>
          <w:rFonts w:eastAsia="Calibri"/>
        </w:rPr>
        <w:t>under Section 611.352(a).</w:t>
      </w:r>
    </w:p>
    <w:p w14:paraId="61C364CF" w14:textId="3129F26C"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A supplier </w:t>
      </w:r>
      <w:bookmarkStart w:id="2808" w:name="_Hlk115297261"/>
      <w:r w:rsidRPr="003B4362">
        <w:rPr>
          <w:rFonts w:eastAsia="Calibri"/>
        </w:rPr>
        <w:t>that must evaluate the effectiveness of corrosion control treatments under Section 611.352(c)</w:t>
      </w:r>
      <w:bookmarkStart w:id="2809" w:name="_Hlk115297329"/>
      <w:bookmarkEnd w:id="2808"/>
      <w:r w:rsidRPr="003B4362">
        <w:rPr>
          <w:rFonts w:eastAsia="Calibri"/>
        </w:rPr>
        <w:t xml:space="preserve"> must provide</w:t>
      </w:r>
      <w:bookmarkEnd w:id="2809"/>
      <w:r w:rsidRPr="003B4362">
        <w:rPr>
          <w:rFonts w:eastAsia="Calibri"/>
        </w:rPr>
        <w:t xml:space="preserve"> the information Section 611.352(c) requires.</w:t>
      </w:r>
    </w:p>
    <w:p w14:paraId="1FFF36A3" w14:textId="0AD260A3"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 xml:space="preserve">A supplier </w:t>
      </w:r>
      <w:bookmarkStart w:id="2810" w:name="_Hlk115297455"/>
      <w:r w:rsidRPr="003B4362">
        <w:rPr>
          <w:rFonts w:eastAsia="Calibri"/>
        </w:rPr>
        <w:t>that must install optimal corrosion control the Agency approves under Section 611.352(d) must provide</w:t>
      </w:r>
      <w:bookmarkEnd w:id="2810"/>
      <w:r w:rsidRPr="003B4362">
        <w:rPr>
          <w:rFonts w:eastAsia="Calibri"/>
        </w:rPr>
        <w:t xml:space="preserve"> a copy of the Agency permit letter, which acts as certification that the supplier completed installing the permitted treatment.</w:t>
      </w:r>
    </w:p>
    <w:p w14:paraId="1CDFD219" w14:textId="6C9EFEE2" w:rsidR="005451CE" w:rsidRPr="003B4362" w:rsidRDefault="005451CE" w:rsidP="005451CE">
      <w:pPr>
        <w:spacing w:before="240" w:after="240"/>
        <w:ind w:left="1440" w:hanging="720"/>
        <w:rPr>
          <w:rFonts w:eastAsia="Calibri"/>
        </w:rPr>
      </w:pPr>
      <w:r w:rsidRPr="003B4362">
        <w:rPr>
          <w:rFonts w:eastAsia="Calibri"/>
        </w:rPr>
        <w:t>d)</w:t>
      </w:r>
      <w:r w:rsidRPr="003B4362">
        <w:rPr>
          <w:rFonts w:eastAsia="Calibri"/>
        </w:rPr>
        <w:tab/>
        <w:t xml:space="preserve">Reporting for Source Water Treatment.  Before the applicable dates in Section 611.353, a supplier must </w:t>
      </w:r>
      <w:bookmarkStart w:id="2811" w:name="_Hlk115297653"/>
      <w:r w:rsidRPr="003B4362">
        <w:rPr>
          <w:rFonts w:eastAsia="Calibri"/>
        </w:rPr>
        <w:t>provide certain information</w:t>
      </w:r>
      <w:bookmarkEnd w:id="2811"/>
      <w:r w:rsidRPr="003B4362">
        <w:rPr>
          <w:rFonts w:eastAsia="Calibri"/>
        </w:rPr>
        <w:t xml:space="preserve"> to the Agency:</w:t>
      </w:r>
    </w:p>
    <w:p w14:paraId="518BDC7A" w14:textId="257A6B8D"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I</w:t>
      </w:r>
      <w:bookmarkStart w:id="2812" w:name="_Hlk115297776"/>
      <w:r w:rsidRPr="003B4362">
        <w:rPr>
          <w:rFonts w:eastAsia="Calibri"/>
        </w:rPr>
        <w:t>f Section 611.353(b)(1) requires</w:t>
      </w:r>
      <w:bookmarkEnd w:id="2812"/>
      <w:r w:rsidRPr="003B4362">
        <w:rPr>
          <w:rFonts w:eastAsia="Calibri"/>
        </w:rPr>
        <w:t xml:space="preserve">, </w:t>
      </w:r>
      <w:bookmarkStart w:id="2813" w:name="_Hlk115297829"/>
      <w:r w:rsidRPr="003B4362">
        <w:rPr>
          <w:rFonts w:eastAsia="Calibri"/>
        </w:rPr>
        <w:t>the supplier must provide its recommendation on source water treatment</w:t>
      </w:r>
      <w:bookmarkEnd w:id="2813"/>
      <w:r w:rsidRPr="003B4362">
        <w:rPr>
          <w:rFonts w:eastAsia="Calibri"/>
        </w:rPr>
        <w:t>; or</w:t>
      </w:r>
    </w:p>
    <w:p w14:paraId="7D961486" w14:textId="68E3CE2D"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A</w:t>
      </w:r>
      <w:bookmarkStart w:id="2814" w:name="_Hlk115298037"/>
      <w:r w:rsidRPr="003B4362">
        <w:rPr>
          <w:rFonts w:eastAsia="Calibri"/>
        </w:rPr>
        <w:t xml:space="preserve"> supplier that must install source water treatment under Section 611.353(b)(2) must provide</w:t>
      </w:r>
      <w:bookmarkEnd w:id="2814"/>
      <w:r w:rsidRPr="003B4362">
        <w:rPr>
          <w:rFonts w:eastAsia="Calibri"/>
        </w:rPr>
        <w:t xml:space="preserve"> a copy of the Agency permit letter, which acts as certification that </w:t>
      </w:r>
      <w:bookmarkStart w:id="2815" w:name="_Hlk115298117"/>
      <w:r w:rsidRPr="003B4362">
        <w:rPr>
          <w:rFonts w:eastAsia="Calibri"/>
        </w:rPr>
        <w:t xml:space="preserve">the supplier completed installing the Agency-approved treatment </w:t>
      </w:r>
      <w:bookmarkStart w:id="2816" w:name="_Hlk115298206"/>
      <w:bookmarkEnd w:id="2815"/>
      <w:r w:rsidRPr="003B4362">
        <w:rPr>
          <w:rFonts w:eastAsia="Calibri"/>
        </w:rPr>
        <w:t>within 24 months after Agency approval</w:t>
      </w:r>
      <w:bookmarkEnd w:id="2816"/>
      <w:r w:rsidRPr="003B4362">
        <w:rPr>
          <w:rFonts w:eastAsia="Calibri"/>
        </w:rPr>
        <w:t>.</w:t>
      </w:r>
    </w:p>
    <w:p w14:paraId="019E6194" w14:textId="0E4BF534" w:rsidR="005451CE" w:rsidRPr="003B4362" w:rsidRDefault="005451CE" w:rsidP="005451CE">
      <w:pPr>
        <w:spacing w:before="240" w:after="240"/>
        <w:ind w:left="1440" w:hanging="720"/>
        <w:rPr>
          <w:rFonts w:eastAsia="Calibri"/>
        </w:rPr>
      </w:pPr>
      <w:r w:rsidRPr="003B4362">
        <w:rPr>
          <w:rFonts w:eastAsia="Calibri"/>
        </w:rPr>
        <w:lastRenderedPageBreak/>
        <w:t>e)</w:t>
      </w:r>
      <w:r w:rsidRPr="003B4362">
        <w:rPr>
          <w:rFonts w:eastAsia="Calibri"/>
        </w:rPr>
        <w:tab/>
        <w:t xml:space="preserve">Reporting for Lead Service Line </w:t>
      </w:r>
      <w:r w:rsidR="00614953" w:rsidRPr="003B4362">
        <w:rPr>
          <w:szCs w:val="24"/>
        </w:rPr>
        <w:t xml:space="preserve">Inventory and </w:t>
      </w:r>
      <w:r w:rsidRPr="003B4362">
        <w:rPr>
          <w:rFonts w:eastAsia="Calibri"/>
        </w:rPr>
        <w:t xml:space="preserve">Replacement.  A supplier must </w:t>
      </w:r>
      <w:bookmarkStart w:id="2817" w:name="_Hlk115298341"/>
      <w:r w:rsidRPr="003B4362">
        <w:rPr>
          <w:rFonts w:eastAsia="Calibri"/>
        </w:rPr>
        <w:t>report certain information</w:t>
      </w:r>
      <w:bookmarkEnd w:id="2817"/>
      <w:r w:rsidRPr="003B4362">
        <w:rPr>
          <w:rFonts w:eastAsia="Calibri"/>
        </w:rPr>
        <w:t xml:space="preserve"> to the Agency </w:t>
      </w:r>
      <w:bookmarkStart w:id="2818" w:name="_Hlk115298643"/>
      <w:r w:rsidRPr="003B4362">
        <w:rPr>
          <w:rFonts w:eastAsia="Calibri"/>
        </w:rPr>
        <w:t xml:space="preserve">demonstrating it complies with </w:t>
      </w:r>
      <w:r w:rsidR="00F67066" w:rsidRPr="003B4362">
        <w:rPr>
          <w:rFonts w:eastAsia="Calibri"/>
        </w:rPr>
        <w:t xml:space="preserve">Sections </w:t>
      </w:r>
      <w:r w:rsidRPr="003B4362">
        <w:rPr>
          <w:rFonts w:eastAsia="Calibri"/>
        </w:rPr>
        <w:t>611.354</w:t>
      </w:r>
      <w:bookmarkEnd w:id="2818"/>
      <w:r w:rsidR="00F67066" w:rsidRPr="003B4362">
        <w:rPr>
          <w:szCs w:val="24"/>
        </w:rPr>
        <w:t xml:space="preserve"> and 611.355</w:t>
      </w:r>
      <w:r w:rsidRPr="003B4362">
        <w:rPr>
          <w:rFonts w:eastAsia="Calibri"/>
        </w:rPr>
        <w:t>:</w:t>
      </w:r>
    </w:p>
    <w:p w14:paraId="64EF9916" w14:textId="67D8A554" w:rsidR="002B526F" w:rsidRPr="003B4362" w:rsidRDefault="002B526F" w:rsidP="002B526F">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No later than October 16, 2024, the supplier must submit an inventory of service lines to the Agency</w:t>
      </w:r>
      <w:r w:rsidR="00DE4075" w:rsidRPr="003B4362">
        <w:rPr>
          <w:rFonts w:eastAsia="Calibri"/>
          <w:szCs w:val="24"/>
        </w:rPr>
        <w:t>,</w:t>
      </w:r>
      <w:r w:rsidRPr="003B4362">
        <w:rPr>
          <w:rFonts w:eastAsia="Calibri"/>
          <w:szCs w:val="24"/>
        </w:rPr>
        <w:t xml:space="preserve"> </w:t>
      </w:r>
      <w:bookmarkStart w:id="2819" w:name="_Hlk124445505"/>
      <w:r w:rsidRPr="003B4362">
        <w:rPr>
          <w:rFonts w:eastAsia="Calibri"/>
          <w:szCs w:val="24"/>
        </w:rPr>
        <w:t>as</w:t>
      </w:r>
      <w:r w:rsidR="00DE4075" w:rsidRPr="003B4362">
        <w:rPr>
          <w:rFonts w:eastAsia="Calibri"/>
        </w:rPr>
        <w:t xml:space="preserve"> </w:t>
      </w:r>
      <w:r w:rsidRPr="003B4362">
        <w:rPr>
          <w:rFonts w:eastAsia="Calibri"/>
          <w:szCs w:val="24"/>
        </w:rPr>
        <w:t xml:space="preserve">Section </w:t>
      </w:r>
      <w:r w:rsidR="00DE4075" w:rsidRPr="003B4362">
        <w:rPr>
          <w:rFonts w:eastAsia="Calibri"/>
          <w:szCs w:val="24"/>
        </w:rPr>
        <w:t>61</w:t>
      </w:r>
      <w:r w:rsidRPr="003B4362">
        <w:rPr>
          <w:rFonts w:eastAsia="Calibri"/>
          <w:szCs w:val="24"/>
        </w:rPr>
        <w:t>1.</w:t>
      </w:r>
      <w:r w:rsidR="00DE4075" w:rsidRPr="003B4362">
        <w:rPr>
          <w:rFonts w:eastAsia="Calibri"/>
          <w:szCs w:val="24"/>
        </w:rPr>
        <w:t>35</w:t>
      </w:r>
      <w:r w:rsidRPr="003B4362">
        <w:rPr>
          <w:rFonts w:eastAsia="Calibri"/>
          <w:szCs w:val="24"/>
        </w:rPr>
        <w:t>4(a)</w:t>
      </w:r>
      <w:r w:rsidR="00DE4075" w:rsidRPr="003B4362">
        <w:rPr>
          <w:rFonts w:eastAsia="Calibri"/>
          <w:szCs w:val="24"/>
        </w:rPr>
        <w:t xml:space="preserve"> requires</w:t>
      </w:r>
      <w:bookmarkEnd w:id="2819"/>
      <w:r w:rsidRPr="003B4362">
        <w:rPr>
          <w:rFonts w:eastAsia="Calibri"/>
          <w:szCs w:val="24"/>
        </w:rPr>
        <w:t>.</w:t>
      </w:r>
    </w:p>
    <w:p w14:paraId="56D0CB04" w14:textId="58904B40" w:rsidR="002B526F" w:rsidRPr="003B4362" w:rsidRDefault="002B526F" w:rsidP="002B526F">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 xml:space="preserve">No later than October 16, 2024, </w:t>
      </w:r>
      <w:r w:rsidR="00DE4075" w:rsidRPr="003B4362">
        <w:rPr>
          <w:rFonts w:eastAsia="Calibri"/>
          <w:szCs w:val="24"/>
        </w:rPr>
        <w:t>a supplier</w:t>
      </w:r>
      <w:r w:rsidRPr="003B4362">
        <w:rPr>
          <w:rFonts w:eastAsia="Calibri"/>
          <w:szCs w:val="24"/>
        </w:rPr>
        <w:t xml:space="preserve"> that</w:t>
      </w:r>
      <w:r w:rsidR="00DE4075" w:rsidRPr="003B4362">
        <w:rPr>
          <w:rFonts w:eastAsia="Calibri"/>
          <w:szCs w:val="24"/>
        </w:rPr>
        <w:t xml:space="preserve"> </w:t>
      </w:r>
      <w:r w:rsidRPr="003B4362">
        <w:rPr>
          <w:rFonts w:eastAsia="Calibri"/>
          <w:szCs w:val="24"/>
        </w:rPr>
        <w:t xml:space="preserve">inventoried a </w:t>
      </w:r>
      <w:bookmarkStart w:id="2820" w:name="_Hlk124446360"/>
      <w:r w:rsidR="00DC29D1" w:rsidRPr="003B4362">
        <w:rPr>
          <w:rFonts w:eastAsia="Calibri"/>
          <w:szCs w:val="24"/>
        </w:rPr>
        <w:t>l</w:t>
      </w:r>
      <w:r w:rsidRPr="003B4362">
        <w:rPr>
          <w:rFonts w:eastAsia="Calibri"/>
          <w:szCs w:val="24"/>
        </w:rPr>
        <w:t xml:space="preserve">ead, </w:t>
      </w:r>
      <w:r w:rsidR="00DC29D1" w:rsidRPr="003B4362">
        <w:rPr>
          <w:rFonts w:eastAsia="Calibri"/>
          <w:szCs w:val="24"/>
        </w:rPr>
        <w:t>galvanized requiring r</w:t>
      </w:r>
      <w:r w:rsidRPr="003B4362">
        <w:rPr>
          <w:rFonts w:eastAsia="Calibri"/>
          <w:szCs w:val="24"/>
        </w:rPr>
        <w:t xml:space="preserve">eplacement, or </w:t>
      </w:r>
      <w:r w:rsidR="00DC29D1" w:rsidRPr="003B4362">
        <w:rPr>
          <w:rFonts w:eastAsia="Calibri"/>
          <w:szCs w:val="24"/>
        </w:rPr>
        <w:t>lead status u</w:t>
      </w:r>
      <w:r w:rsidRPr="003B4362">
        <w:rPr>
          <w:rFonts w:eastAsia="Calibri"/>
          <w:szCs w:val="24"/>
        </w:rPr>
        <w:t>nknown service line</w:t>
      </w:r>
      <w:bookmarkEnd w:id="2820"/>
      <w:r w:rsidRPr="003B4362">
        <w:rPr>
          <w:rFonts w:eastAsia="Calibri"/>
          <w:szCs w:val="24"/>
        </w:rPr>
        <w:t xml:space="preserve"> in its distribution system must submit</w:t>
      </w:r>
      <w:r w:rsidR="00245283" w:rsidRPr="003B4362">
        <w:rPr>
          <w:rFonts w:eastAsia="Calibri"/>
          <w:szCs w:val="24"/>
        </w:rPr>
        <w:t xml:space="preserve"> a lead service line replacement plan</w:t>
      </w:r>
      <w:r w:rsidRPr="003B4362">
        <w:rPr>
          <w:rFonts w:eastAsia="Calibri"/>
          <w:szCs w:val="24"/>
        </w:rPr>
        <w:t xml:space="preserve"> to the </w:t>
      </w:r>
      <w:r w:rsidR="004E15C8" w:rsidRPr="003B4362">
        <w:rPr>
          <w:rFonts w:eastAsia="Calibri"/>
          <w:szCs w:val="24"/>
        </w:rPr>
        <w:t>Agency</w:t>
      </w:r>
      <w:r w:rsidRPr="003B4362">
        <w:rPr>
          <w:rFonts w:eastAsia="Calibri"/>
          <w:szCs w:val="24"/>
        </w:rPr>
        <w:t xml:space="preserve">, </w:t>
      </w:r>
      <w:bookmarkStart w:id="2821" w:name="_Hlk124447380"/>
      <w:r w:rsidRPr="003B4362">
        <w:rPr>
          <w:rFonts w:eastAsia="Calibri"/>
          <w:szCs w:val="24"/>
        </w:rPr>
        <w:t>as</w:t>
      </w:r>
      <w:r w:rsidR="004E15C8" w:rsidRPr="003B4362">
        <w:rPr>
          <w:rFonts w:eastAsia="Calibri"/>
          <w:szCs w:val="24"/>
        </w:rPr>
        <w:t xml:space="preserve"> </w:t>
      </w:r>
      <w:r w:rsidRPr="003B4362">
        <w:rPr>
          <w:rFonts w:eastAsia="Calibri"/>
          <w:szCs w:val="24"/>
        </w:rPr>
        <w:t>Section</w:t>
      </w:r>
      <w:r w:rsidR="00245283" w:rsidRPr="003B4362">
        <w:rPr>
          <w:rFonts w:eastAsia="Calibri"/>
          <w:szCs w:val="24"/>
        </w:rPr>
        <w:t xml:space="preserve"> </w:t>
      </w:r>
      <w:r w:rsidRPr="003B4362">
        <w:rPr>
          <w:rFonts w:eastAsia="Calibri"/>
          <w:szCs w:val="24"/>
        </w:rPr>
        <w:t>141.84(b)</w:t>
      </w:r>
      <w:r w:rsidR="00245283" w:rsidRPr="003B4362">
        <w:rPr>
          <w:rFonts w:eastAsia="Calibri"/>
          <w:szCs w:val="24"/>
        </w:rPr>
        <w:t xml:space="preserve"> requires</w:t>
      </w:r>
      <w:bookmarkEnd w:id="2821"/>
      <w:r w:rsidRPr="003B4362">
        <w:rPr>
          <w:rFonts w:eastAsia="Calibri"/>
          <w:szCs w:val="24"/>
        </w:rPr>
        <w:t>.</w:t>
      </w:r>
    </w:p>
    <w:p w14:paraId="2309331E" w14:textId="389B65F3" w:rsidR="002B526F" w:rsidRPr="003B4362" w:rsidRDefault="002B526F" w:rsidP="002B526F">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 xml:space="preserve">The </w:t>
      </w:r>
      <w:r w:rsidR="00245283" w:rsidRPr="003B4362">
        <w:rPr>
          <w:rFonts w:eastAsia="Calibri"/>
          <w:szCs w:val="24"/>
        </w:rPr>
        <w:t>supplier</w:t>
      </w:r>
      <w:r w:rsidRPr="003B4362">
        <w:rPr>
          <w:rFonts w:eastAsia="Calibri"/>
          <w:szCs w:val="24"/>
        </w:rPr>
        <w:t xml:space="preserve"> must provide the </w:t>
      </w:r>
      <w:r w:rsidR="00537B01" w:rsidRPr="003B4362">
        <w:rPr>
          <w:rFonts w:eastAsia="Calibri"/>
          <w:szCs w:val="24"/>
        </w:rPr>
        <w:t>Agency</w:t>
      </w:r>
      <w:r w:rsidRPr="003B4362">
        <w:rPr>
          <w:rFonts w:eastAsia="Calibri"/>
          <w:szCs w:val="24"/>
        </w:rPr>
        <w:t xml:space="preserve"> with </w:t>
      </w:r>
      <w:r w:rsidR="00537B01" w:rsidRPr="003B4362">
        <w:rPr>
          <w:rFonts w:eastAsia="Calibri"/>
          <w:szCs w:val="24"/>
        </w:rPr>
        <w:t xml:space="preserve">an </w:t>
      </w:r>
      <w:r w:rsidRPr="003B4362">
        <w:rPr>
          <w:rFonts w:eastAsia="Calibri"/>
          <w:szCs w:val="24"/>
        </w:rPr>
        <w:t xml:space="preserve">updated version of its inventory </w:t>
      </w:r>
      <w:bookmarkStart w:id="2822" w:name="_Hlk124448418"/>
      <w:r w:rsidR="00537B01" w:rsidRPr="003B4362">
        <w:rPr>
          <w:rFonts w:eastAsia="Calibri"/>
          <w:szCs w:val="24"/>
        </w:rPr>
        <w:t>under</w:t>
      </w:r>
      <w:r w:rsidRPr="003B4362">
        <w:rPr>
          <w:rFonts w:eastAsia="Calibri"/>
          <w:szCs w:val="24"/>
        </w:rPr>
        <w:t xml:space="preserve"> Section </w:t>
      </w:r>
      <w:r w:rsidR="00537B01" w:rsidRPr="003B4362">
        <w:rPr>
          <w:rFonts w:eastAsia="Calibri"/>
          <w:szCs w:val="24"/>
        </w:rPr>
        <w:t>61</w:t>
      </w:r>
      <w:r w:rsidRPr="003B4362">
        <w:rPr>
          <w:rFonts w:eastAsia="Calibri"/>
          <w:szCs w:val="24"/>
        </w:rPr>
        <w:t>1.</w:t>
      </w:r>
      <w:r w:rsidR="00537B01" w:rsidRPr="003B4362">
        <w:rPr>
          <w:rFonts w:eastAsia="Calibri"/>
          <w:szCs w:val="24"/>
        </w:rPr>
        <w:t>35</w:t>
      </w:r>
      <w:r w:rsidRPr="003B4362">
        <w:rPr>
          <w:rFonts w:eastAsia="Calibri"/>
          <w:szCs w:val="24"/>
        </w:rPr>
        <w:t xml:space="preserve">4(a) </w:t>
      </w:r>
      <w:r w:rsidR="00537B01" w:rsidRPr="003B4362">
        <w:rPr>
          <w:rFonts w:eastAsia="Calibri"/>
          <w:szCs w:val="24"/>
        </w:rPr>
        <w:t>consistent</w:t>
      </w:r>
      <w:r w:rsidRPr="003B4362">
        <w:rPr>
          <w:rFonts w:eastAsia="Calibri"/>
          <w:szCs w:val="24"/>
        </w:rPr>
        <w:t xml:space="preserve"> with its tap monitoring</w:t>
      </w:r>
      <w:r w:rsidR="00B471AC" w:rsidRPr="003B4362">
        <w:rPr>
          <w:rFonts w:eastAsia="Calibri"/>
          <w:szCs w:val="24"/>
        </w:rPr>
        <w:t xml:space="preserve"> cycle</w:t>
      </w:r>
      <w:r w:rsidRPr="003B4362">
        <w:rPr>
          <w:rFonts w:eastAsia="Calibri"/>
          <w:szCs w:val="24"/>
        </w:rPr>
        <w:t xml:space="preserve"> schedule </w:t>
      </w:r>
      <w:r w:rsidR="00537B01" w:rsidRPr="003B4362">
        <w:rPr>
          <w:rFonts w:eastAsia="Calibri"/>
          <w:szCs w:val="24"/>
        </w:rPr>
        <w:t>under</w:t>
      </w:r>
      <w:r w:rsidRPr="003B4362">
        <w:rPr>
          <w:rFonts w:eastAsia="Calibri"/>
          <w:szCs w:val="24"/>
        </w:rPr>
        <w:t xml:space="preserve"> Section </w:t>
      </w:r>
      <w:r w:rsidR="00537B01" w:rsidRPr="003B4362">
        <w:rPr>
          <w:rFonts w:eastAsia="Calibri"/>
          <w:szCs w:val="24"/>
        </w:rPr>
        <w:t>611.35</w:t>
      </w:r>
      <w:r w:rsidRPr="003B4362">
        <w:rPr>
          <w:rFonts w:eastAsia="Calibri"/>
          <w:szCs w:val="24"/>
        </w:rPr>
        <w:t>6(d)</w:t>
      </w:r>
      <w:bookmarkEnd w:id="2822"/>
      <w:r w:rsidRPr="003B4362">
        <w:rPr>
          <w:rFonts w:eastAsia="Calibri"/>
          <w:szCs w:val="24"/>
        </w:rPr>
        <w:t>, but no more frequently than annually.  T</w:t>
      </w:r>
      <w:bookmarkStart w:id="2823" w:name="_Hlk124448612"/>
      <w:r w:rsidRPr="003B4362">
        <w:rPr>
          <w:rFonts w:eastAsia="Calibri"/>
          <w:szCs w:val="24"/>
        </w:rPr>
        <w:t xml:space="preserve">he </w:t>
      </w:r>
      <w:r w:rsidR="009E1A81" w:rsidRPr="003B4362">
        <w:rPr>
          <w:rFonts w:eastAsia="Calibri"/>
          <w:szCs w:val="24"/>
        </w:rPr>
        <w:t xml:space="preserve">supplier must submit its </w:t>
      </w:r>
      <w:r w:rsidRPr="003B4362">
        <w:rPr>
          <w:rFonts w:eastAsia="Calibri"/>
          <w:szCs w:val="24"/>
        </w:rPr>
        <w:t>updated inventory</w:t>
      </w:r>
      <w:r w:rsidR="009E1A81" w:rsidRPr="003B4362">
        <w:rPr>
          <w:rFonts w:eastAsia="Calibri"/>
          <w:szCs w:val="24"/>
        </w:rPr>
        <w:t xml:space="preserve"> </w:t>
      </w:r>
      <w:r w:rsidRPr="003B4362">
        <w:rPr>
          <w:rFonts w:eastAsia="Calibri"/>
          <w:szCs w:val="24"/>
        </w:rPr>
        <w:t xml:space="preserve">within 30 days </w:t>
      </w:r>
      <w:r w:rsidR="009E1A81" w:rsidRPr="003B4362">
        <w:rPr>
          <w:rFonts w:eastAsia="Calibri"/>
          <w:szCs w:val="24"/>
        </w:rPr>
        <w:t>after</w:t>
      </w:r>
      <w:r w:rsidRPr="003B4362">
        <w:rPr>
          <w:rFonts w:eastAsia="Calibri"/>
          <w:szCs w:val="24"/>
        </w:rPr>
        <w:t xml:space="preserve"> the end</w:t>
      </w:r>
      <w:bookmarkEnd w:id="2823"/>
      <w:r w:rsidRPr="003B4362">
        <w:rPr>
          <w:rFonts w:eastAsia="Calibri"/>
          <w:szCs w:val="24"/>
        </w:rPr>
        <w:t xml:space="preserve"> of each tap </w:t>
      </w:r>
      <w:r w:rsidR="00B471AC" w:rsidRPr="003B4362">
        <w:rPr>
          <w:rFonts w:eastAsia="Calibri"/>
          <w:szCs w:val="24"/>
        </w:rPr>
        <w:t>monitoring cycle</w:t>
      </w:r>
      <w:r w:rsidRPr="003B4362">
        <w:rPr>
          <w:rFonts w:eastAsia="Calibri"/>
          <w:szCs w:val="24"/>
        </w:rPr>
        <w:t>.</w:t>
      </w:r>
    </w:p>
    <w:p w14:paraId="32FAD77F" w14:textId="1885CDEC"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r w:rsidR="009E1A81" w:rsidRPr="003B4362">
        <w:rPr>
          <w:rFonts w:eastAsia="Calibri"/>
          <w:szCs w:val="24"/>
        </w:rPr>
        <w:t>I</w:t>
      </w:r>
      <w:bookmarkStart w:id="2824" w:name="_Hlk124448833"/>
      <w:r w:rsidR="009E1A81" w:rsidRPr="003B4362">
        <w:rPr>
          <w:rFonts w:eastAsia="Calibri"/>
          <w:szCs w:val="24"/>
        </w:rPr>
        <w:t>f</w:t>
      </w:r>
      <w:r w:rsidRPr="003B4362">
        <w:rPr>
          <w:rFonts w:eastAsia="Calibri"/>
          <w:szCs w:val="24"/>
        </w:rPr>
        <w:t xml:space="preserve"> the </w:t>
      </w:r>
      <w:r w:rsidR="009E1A81" w:rsidRPr="003B4362">
        <w:rPr>
          <w:rFonts w:eastAsia="Calibri"/>
          <w:szCs w:val="24"/>
        </w:rPr>
        <w:t xml:space="preserve">supplier </w:t>
      </w:r>
      <w:r w:rsidRPr="003B4362">
        <w:rPr>
          <w:rFonts w:eastAsia="Calibri"/>
          <w:szCs w:val="24"/>
        </w:rPr>
        <w:t>demonstrate</w:t>
      </w:r>
      <w:r w:rsidR="009E1A81" w:rsidRPr="003B4362">
        <w:rPr>
          <w:rFonts w:eastAsia="Calibri"/>
          <w:szCs w:val="24"/>
        </w:rPr>
        <w:t>s</w:t>
      </w:r>
      <w:bookmarkEnd w:id="2824"/>
      <w:r w:rsidRPr="003B4362">
        <w:rPr>
          <w:rFonts w:eastAsia="Calibri"/>
          <w:szCs w:val="24"/>
        </w:rPr>
        <w:t xml:space="preserve"> that it has no </w:t>
      </w:r>
      <w:bookmarkStart w:id="2825" w:name="_Hlk124449215"/>
      <w:r w:rsidR="00DC29D1" w:rsidRPr="003B4362">
        <w:rPr>
          <w:rFonts w:eastAsia="Calibri"/>
          <w:szCs w:val="24"/>
        </w:rPr>
        <w:t>lead, galvanized requiring replacement, or lead status u</w:t>
      </w:r>
      <w:r w:rsidRPr="003B4362">
        <w:rPr>
          <w:rFonts w:eastAsia="Calibri"/>
          <w:szCs w:val="24"/>
        </w:rPr>
        <w:t>nknown service lines</w:t>
      </w:r>
      <w:bookmarkEnd w:id="2825"/>
      <w:r w:rsidRPr="003B4362">
        <w:rPr>
          <w:rFonts w:eastAsia="Calibri"/>
          <w:szCs w:val="24"/>
        </w:rPr>
        <w:t xml:space="preserve"> in its inventory, </w:t>
      </w:r>
      <w:bookmarkStart w:id="2826" w:name="_Hlk124449317"/>
      <w:r w:rsidR="009E1A81" w:rsidRPr="003B4362">
        <w:rPr>
          <w:rFonts w:eastAsia="Calibri"/>
          <w:szCs w:val="24"/>
        </w:rPr>
        <w:t>the supplier</w:t>
      </w:r>
      <w:r w:rsidRPr="003B4362">
        <w:rPr>
          <w:rFonts w:eastAsia="Calibri"/>
          <w:szCs w:val="24"/>
        </w:rPr>
        <w:t xml:space="preserve"> </w:t>
      </w:r>
      <w:r w:rsidR="009E1A81" w:rsidRPr="003B4362">
        <w:rPr>
          <w:rFonts w:eastAsia="Calibri"/>
          <w:szCs w:val="24"/>
        </w:rPr>
        <w:t>needs</w:t>
      </w:r>
      <w:r w:rsidRPr="003B4362">
        <w:rPr>
          <w:rFonts w:eastAsia="Calibri"/>
          <w:szCs w:val="24"/>
        </w:rPr>
        <w:t xml:space="preserve"> no longer</w:t>
      </w:r>
      <w:r w:rsidR="009E1A81" w:rsidRPr="003B4362">
        <w:rPr>
          <w:rFonts w:eastAsia="Calibri"/>
          <w:szCs w:val="24"/>
        </w:rPr>
        <w:t xml:space="preserve"> </w:t>
      </w:r>
      <w:r w:rsidRPr="003B4362">
        <w:rPr>
          <w:rFonts w:eastAsia="Calibri"/>
          <w:szCs w:val="24"/>
        </w:rPr>
        <w:t>submit</w:t>
      </w:r>
      <w:bookmarkEnd w:id="2826"/>
      <w:r w:rsidRPr="003B4362">
        <w:rPr>
          <w:rFonts w:eastAsia="Calibri"/>
          <w:szCs w:val="24"/>
        </w:rPr>
        <w:t xml:space="preserve"> inventory updates to the </w:t>
      </w:r>
      <w:r w:rsidR="009E1A81" w:rsidRPr="003B4362">
        <w:rPr>
          <w:rFonts w:eastAsia="Calibri"/>
          <w:szCs w:val="24"/>
        </w:rPr>
        <w:t>Agency</w:t>
      </w:r>
      <w:r w:rsidRPr="003B4362">
        <w:rPr>
          <w:rFonts w:eastAsia="Calibri"/>
          <w:szCs w:val="24"/>
        </w:rPr>
        <w:t xml:space="preserve">, </w:t>
      </w:r>
      <w:bookmarkStart w:id="2827" w:name="_Hlk124449470"/>
      <w:r w:rsidRPr="003B4362">
        <w:rPr>
          <w:rFonts w:eastAsia="Calibri"/>
          <w:szCs w:val="24"/>
        </w:rPr>
        <w:t>except as</w:t>
      </w:r>
      <w:r w:rsidR="009E1A81" w:rsidRPr="003B4362">
        <w:rPr>
          <w:rFonts w:eastAsia="Calibri"/>
          <w:szCs w:val="24"/>
        </w:rPr>
        <w:t xml:space="preserve"> </w:t>
      </w:r>
      <w:r w:rsidRPr="003B4362">
        <w:rPr>
          <w:rFonts w:eastAsia="Calibri"/>
          <w:szCs w:val="24"/>
        </w:rPr>
        <w:t xml:space="preserve">subsection (e)(3)(B) </w:t>
      </w:r>
      <w:r w:rsidR="009E1A81" w:rsidRPr="003B4362">
        <w:rPr>
          <w:rFonts w:eastAsia="Calibri"/>
          <w:szCs w:val="24"/>
        </w:rPr>
        <w:t>requires</w:t>
      </w:r>
      <w:bookmarkEnd w:id="2827"/>
      <w:r w:rsidRPr="003B4362">
        <w:rPr>
          <w:rFonts w:eastAsia="Calibri"/>
          <w:szCs w:val="24"/>
        </w:rPr>
        <w:t>.</w:t>
      </w:r>
    </w:p>
    <w:p w14:paraId="5C29F58E" w14:textId="4338F157"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bookmarkStart w:id="2828" w:name="_Hlk124449702"/>
      <w:r w:rsidR="00614269" w:rsidRPr="003B4362">
        <w:rPr>
          <w:rFonts w:eastAsia="Calibri"/>
          <w:szCs w:val="24"/>
        </w:rPr>
        <w:t>I</w:t>
      </w:r>
      <w:bookmarkStart w:id="2829" w:name="_Hlk124449855"/>
      <w:r w:rsidR="00614269" w:rsidRPr="003B4362">
        <w:rPr>
          <w:rFonts w:eastAsia="Calibri"/>
          <w:szCs w:val="24"/>
        </w:rPr>
        <w:t>f</w:t>
      </w:r>
      <w:r w:rsidRPr="003B4362">
        <w:rPr>
          <w:rFonts w:eastAsia="Calibri"/>
          <w:szCs w:val="24"/>
        </w:rPr>
        <w:t xml:space="preserve"> a </w:t>
      </w:r>
      <w:r w:rsidR="00614269" w:rsidRPr="003B4362">
        <w:rPr>
          <w:rFonts w:eastAsia="Calibri"/>
          <w:szCs w:val="24"/>
        </w:rPr>
        <w:t>supplier</w:t>
      </w:r>
      <w:r w:rsidRPr="003B4362">
        <w:rPr>
          <w:rFonts w:eastAsia="Calibri"/>
          <w:szCs w:val="24"/>
        </w:rPr>
        <w:t xml:space="preserve"> </w:t>
      </w:r>
      <w:r w:rsidR="00614269" w:rsidRPr="003B4362">
        <w:rPr>
          <w:rFonts w:eastAsia="Calibri"/>
          <w:szCs w:val="24"/>
        </w:rPr>
        <w:t>complying with</w:t>
      </w:r>
      <w:r w:rsidRPr="003B4362">
        <w:rPr>
          <w:rFonts w:eastAsia="Calibri"/>
          <w:szCs w:val="24"/>
        </w:rPr>
        <w:t xml:space="preserve"> subsection (e)(3)(A)</w:t>
      </w:r>
      <w:r w:rsidR="00614269" w:rsidRPr="003B4362">
        <w:rPr>
          <w:rFonts w:eastAsia="Calibri"/>
          <w:szCs w:val="24"/>
        </w:rPr>
        <w:t xml:space="preserve"> </w:t>
      </w:r>
      <w:r w:rsidRPr="003B4362">
        <w:rPr>
          <w:rFonts w:eastAsia="Calibri"/>
          <w:szCs w:val="24"/>
        </w:rPr>
        <w:t>subsequently discovers</w:t>
      </w:r>
      <w:bookmarkEnd w:id="2828"/>
      <w:bookmarkEnd w:id="2829"/>
      <w:r w:rsidRPr="003B4362">
        <w:rPr>
          <w:rFonts w:eastAsia="Calibri"/>
          <w:szCs w:val="24"/>
        </w:rPr>
        <w:t xml:space="preserve"> </w:t>
      </w:r>
      <w:bookmarkStart w:id="2830" w:name="_Hlk124450088"/>
      <w:r w:rsidR="00614269" w:rsidRPr="003B4362">
        <w:rPr>
          <w:rFonts w:eastAsia="Calibri"/>
          <w:szCs w:val="24"/>
        </w:rPr>
        <w:t xml:space="preserve">that it must replace </w:t>
      </w:r>
      <w:r w:rsidRPr="003B4362">
        <w:rPr>
          <w:rFonts w:eastAsia="Calibri"/>
          <w:szCs w:val="24"/>
        </w:rPr>
        <w:t>any service lines</w:t>
      </w:r>
      <w:r w:rsidR="00614269" w:rsidRPr="003B4362">
        <w:rPr>
          <w:rFonts w:eastAsia="Calibri"/>
          <w:szCs w:val="24"/>
        </w:rPr>
        <w:t xml:space="preserve"> </w:t>
      </w:r>
      <w:r w:rsidRPr="003B4362">
        <w:rPr>
          <w:rFonts w:eastAsia="Calibri"/>
          <w:szCs w:val="24"/>
        </w:rPr>
        <w:t>in its distribution system</w:t>
      </w:r>
      <w:bookmarkEnd w:id="2830"/>
      <w:r w:rsidRPr="003B4362">
        <w:rPr>
          <w:rFonts w:eastAsia="Calibri"/>
          <w:szCs w:val="24"/>
        </w:rPr>
        <w:t xml:space="preserve">, </w:t>
      </w:r>
      <w:bookmarkStart w:id="2831" w:name="_Hlk124450224"/>
      <w:r w:rsidR="00614269" w:rsidRPr="003B4362">
        <w:rPr>
          <w:rFonts w:eastAsia="Calibri"/>
          <w:szCs w:val="24"/>
        </w:rPr>
        <w:t>the supplier</w:t>
      </w:r>
      <w:r w:rsidRPr="003B4362">
        <w:rPr>
          <w:rFonts w:eastAsia="Calibri"/>
          <w:szCs w:val="24"/>
        </w:rPr>
        <w:t xml:space="preserve"> must notify the </w:t>
      </w:r>
      <w:r w:rsidR="00614269" w:rsidRPr="003B4362">
        <w:rPr>
          <w:rFonts w:eastAsia="Calibri"/>
          <w:szCs w:val="24"/>
        </w:rPr>
        <w:t>Agency</w:t>
      </w:r>
      <w:r w:rsidRPr="003B4362">
        <w:rPr>
          <w:rFonts w:eastAsia="Calibri"/>
          <w:szCs w:val="24"/>
        </w:rPr>
        <w:t xml:space="preserve"> within 30 days </w:t>
      </w:r>
      <w:r w:rsidR="00614269" w:rsidRPr="003B4362">
        <w:rPr>
          <w:rFonts w:eastAsia="Calibri"/>
          <w:szCs w:val="24"/>
        </w:rPr>
        <w:t>after</w:t>
      </w:r>
      <w:r w:rsidRPr="003B4362">
        <w:rPr>
          <w:rFonts w:eastAsia="Calibri"/>
          <w:szCs w:val="24"/>
        </w:rPr>
        <w:t xml:space="preserve"> identifying the service lines</w:t>
      </w:r>
      <w:bookmarkEnd w:id="2831"/>
      <w:r w:rsidRPr="003B4362">
        <w:rPr>
          <w:rFonts w:eastAsia="Calibri"/>
          <w:szCs w:val="24"/>
        </w:rPr>
        <w:t xml:space="preserve"> and prepare an updated inventory </w:t>
      </w:r>
      <w:bookmarkStart w:id="2832" w:name="_Hlk124450369"/>
      <w:r w:rsidR="00614269" w:rsidRPr="003B4362">
        <w:rPr>
          <w:rFonts w:eastAsia="Calibri"/>
          <w:szCs w:val="24"/>
        </w:rPr>
        <w:t>under</w:t>
      </w:r>
      <w:r w:rsidRPr="003B4362">
        <w:rPr>
          <w:rFonts w:eastAsia="Calibri"/>
          <w:szCs w:val="24"/>
        </w:rPr>
        <w:t xml:space="preserve"> Section </w:t>
      </w:r>
      <w:r w:rsidR="00010D95" w:rsidRPr="003B4362">
        <w:rPr>
          <w:rFonts w:eastAsia="Calibri"/>
          <w:szCs w:val="24"/>
        </w:rPr>
        <w:t>61</w:t>
      </w:r>
      <w:r w:rsidRPr="003B4362">
        <w:rPr>
          <w:rFonts w:eastAsia="Calibri"/>
          <w:szCs w:val="24"/>
        </w:rPr>
        <w:t>1.</w:t>
      </w:r>
      <w:r w:rsidR="00010D95" w:rsidRPr="003B4362">
        <w:rPr>
          <w:rFonts w:eastAsia="Calibri"/>
          <w:szCs w:val="24"/>
        </w:rPr>
        <w:t>35</w:t>
      </w:r>
      <w:r w:rsidRPr="003B4362">
        <w:rPr>
          <w:rFonts w:eastAsia="Calibri"/>
          <w:szCs w:val="24"/>
        </w:rPr>
        <w:t>4(a)</w:t>
      </w:r>
      <w:bookmarkEnd w:id="2832"/>
      <w:r w:rsidRPr="003B4362">
        <w:rPr>
          <w:rFonts w:eastAsia="Calibri"/>
          <w:szCs w:val="24"/>
        </w:rPr>
        <w:t xml:space="preserve"> on </w:t>
      </w:r>
      <w:bookmarkStart w:id="2833" w:name="_Hlk124450427"/>
      <w:r w:rsidRPr="003B4362">
        <w:rPr>
          <w:rFonts w:eastAsia="Calibri"/>
          <w:szCs w:val="24"/>
        </w:rPr>
        <w:t xml:space="preserve">a schedule </w:t>
      </w:r>
      <w:r w:rsidR="00010D95" w:rsidRPr="003B4362">
        <w:rPr>
          <w:rFonts w:eastAsia="Calibri"/>
          <w:szCs w:val="24"/>
        </w:rPr>
        <w:t xml:space="preserve">the Agency </w:t>
      </w:r>
      <w:r w:rsidRPr="003B4362">
        <w:rPr>
          <w:rFonts w:eastAsia="Calibri"/>
          <w:szCs w:val="24"/>
        </w:rPr>
        <w:t>establishe</w:t>
      </w:r>
      <w:r w:rsidR="00010D95" w:rsidRPr="003B4362">
        <w:rPr>
          <w:rFonts w:eastAsia="Calibri"/>
          <w:szCs w:val="24"/>
        </w:rPr>
        <w:t>s in a SEP</w:t>
      </w:r>
      <w:bookmarkEnd w:id="2833"/>
      <w:r w:rsidRPr="003B4362">
        <w:rPr>
          <w:rFonts w:eastAsia="Calibri"/>
          <w:szCs w:val="24"/>
        </w:rPr>
        <w:t>.</w:t>
      </w:r>
    </w:p>
    <w:p w14:paraId="50BE414B" w14:textId="64F524B8" w:rsidR="002B526F" w:rsidRPr="003B4362" w:rsidRDefault="002B526F" w:rsidP="002B526F">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t xml:space="preserve">Within 30 days </w:t>
      </w:r>
      <w:r w:rsidR="00010D95" w:rsidRPr="003B4362">
        <w:rPr>
          <w:rFonts w:eastAsia="Calibri"/>
          <w:szCs w:val="24"/>
        </w:rPr>
        <w:t>after</w:t>
      </w:r>
      <w:r w:rsidRPr="003B4362">
        <w:rPr>
          <w:rFonts w:eastAsia="Calibri"/>
          <w:szCs w:val="24"/>
        </w:rPr>
        <w:t xml:space="preserve"> the end of each </w:t>
      </w:r>
      <w:r w:rsidR="00B471AC" w:rsidRPr="003B4362">
        <w:rPr>
          <w:rFonts w:eastAsia="Calibri"/>
          <w:szCs w:val="24"/>
        </w:rPr>
        <w:t>tap monitoring cycle</w:t>
      </w:r>
      <w:r w:rsidRPr="003B4362">
        <w:rPr>
          <w:rFonts w:eastAsia="Calibri"/>
          <w:szCs w:val="24"/>
        </w:rPr>
        <w:t xml:space="preserve">, the </w:t>
      </w:r>
      <w:r w:rsidR="00010D95" w:rsidRPr="003B4362">
        <w:rPr>
          <w:rFonts w:eastAsia="Calibri"/>
          <w:szCs w:val="24"/>
        </w:rPr>
        <w:t>supplier</w:t>
      </w:r>
      <w:r w:rsidRPr="003B4362">
        <w:rPr>
          <w:rFonts w:eastAsia="Calibri"/>
          <w:szCs w:val="24"/>
        </w:rPr>
        <w:t xml:space="preserve"> must </w:t>
      </w:r>
      <w:bookmarkStart w:id="2834" w:name="_Hlk124454091"/>
      <w:r w:rsidRPr="003B4362">
        <w:rPr>
          <w:rFonts w:eastAsia="Calibri"/>
          <w:szCs w:val="24"/>
        </w:rPr>
        <w:t xml:space="preserve">certify </w:t>
      </w:r>
      <w:r w:rsidR="00010D95" w:rsidRPr="003B4362">
        <w:rPr>
          <w:rFonts w:eastAsia="Calibri"/>
          <w:szCs w:val="24"/>
        </w:rPr>
        <w:t>replacing</w:t>
      </w:r>
      <w:bookmarkEnd w:id="2834"/>
      <w:r w:rsidRPr="003B4362">
        <w:rPr>
          <w:rFonts w:eastAsia="Calibri"/>
          <w:szCs w:val="24"/>
        </w:rPr>
        <w:t xml:space="preserve"> any encountered lead goosenecks, pigtails, and connectors </w:t>
      </w:r>
      <w:bookmarkStart w:id="2835" w:name="_Hlk124454195"/>
      <w:r w:rsidR="00721789" w:rsidRPr="003B4362">
        <w:rPr>
          <w:rFonts w:eastAsia="Calibri"/>
          <w:szCs w:val="24"/>
        </w:rPr>
        <w:t>under</w:t>
      </w:r>
      <w:r w:rsidRPr="003B4362">
        <w:rPr>
          <w:rFonts w:eastAsia="Calibri"/>
          <w:szCs w:val="24"/>
        </w:rPr>
        <w:t xml:space="preserve"> Section </w:t>
      </w:r>
      <w:r w:rsidR="00721789" w:rsidRPr="003B4362">
        <w:rPr>
          <w:rFonts w:eastAsia="Calibri"/>
          <w:szCs w:val="24"/>
        </w:rPr>
        <w:t>61</w:t>
      </w:r>
      <w:r w:rsidRPr="003B4362">
        <w:rPr>
          <w:rFonts w:eastAsia="Calibri"/>
          <w:szCs w:val="24"/>
        </w:rPr>
        <w:t>1.</w:t>
      </w:r>
      <w:r w:rsidR="00721789" w:rsidRPr="003B4362">
        <w:rPr>
          <w:rFonts w:eastAsia="Calibri"/>
          <w:szCs w:val="24"/>
        </w:rPr>
        <w:t>35</w:t>
      </w:r>
      <w:r w:rsidRPr="003B4362">
        <w:rPr>
          <w:rFonts w:eastAsia="Calibri"/>
          <w:szCs w:val="24"/>
        </w:rPr>
        <w:t>4(c)</w:t>
      </w:r>
      <w:bookmarkEnd w:id="2835"/>
      <w:r w:rsidRPr="003B4362">
        <w:rPr>
          <w:rFonts w:eastAsia="Calibri"/>
          <w:szCs w:val="24"/>
        </w:rPr>
        <w:t>.</w:t>
      </w:r>
    </w:p>
    <w:p w14:paraId="2DDBCBFD" w14:textId="17C88A45" w:rsidR="002B526F" w:rsidRPr="003B4362" w:rsidRDefault="002B526F" w:rsidP="002B526F">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t xml:space="preserve">Within 30 days </w:t>
      </w:r>
      <w:r w:rsidR="00721789" w:rsidRPr="003B4362">
        <w:rPr>
          <w:rFonts w:eastAsia="Calibri"/>
          <w:szCs w:val="24"/>
        </w:rPr>
        <w:t>after</w:t>
      </w:r>
      <w:r w:rsidRPr="003B4362">
        <w:rPr>
          <w:rFonts w:eastAsia="Calibri"/>
          <w:szCs w:val="24"/>
        </w:rPr>
        <w:t xml:space="preserve"> the end of each </w:t>
      </w:r>
      <w:r w:rsidR="00B471AC" w:rsidRPr="003B4362">
        <w:rPr>
          <w:rFonts w:eastAsia="Calibri"/>
          <w:szCs w:val="24"/>
        </w:rPr>
        <w:t>tap monitoring cycle</w:t>
      </w:r>
      <w:r w:rsidRPr="003B4362">
        <w:rPr>
          <w:rFonts w:eastAsia="Calibri"/>
          <w:szCs w:val="24"/>
        </w:rPr>
        <w:t xml:space="preserve">, the </w:t>
      </w:r>
      <w:r w:rsidR="00721789" w:rsidRPr="003B4362">
        <w:rPr>
          <w:rFonts w:eastAsia="Calibri"/>
          <w:szCs w:val="24"/>
        </w:rPr>
        <w:t>supplier</w:t>
      </w:r>
      <w:r w:rsidRPr="003B4362">
        <w:rPr>
          <w:rFonts w:eastAsia="Calibri"/>
          <w:szCs w:val="24"/>
        </w:rPr>
        <w:t xml:space="preserve"> must </w:t>
      </w:r>
      <w:bookmarkStart w:id="2836" w:name="_Hlk124454679"/>
      <w:r w:rsidRPr="003B4362">
        <w:rPr>
          <w:rFonts w:eastAsia="Calibri"/>
          <w:szCs w:val="24"/>
        </w:rPr>
        <w:t xml:space="preserve">certify to the </w:t>
      </w:r>
      <w:r w:rsidR="00721789" w:rsidRPr="003B4362">
        <w:rPr>
          <w:rFonts w:eastAsia="Calibri"/>
          <w:szCs w:val="24"/>
        </w:rPr>
        <w:t>Agency</w:t>
      </w:r>
      <w:r w:rsidRPr="003B4362">
        <w:rPr>
          <w:rFonts w:eastAsia="Calibri"/>
          <w:szCs w:val="24"/>
        </w:rPr>
        <w:t xml:space="preserve"> that </w:t>
      </w:r>
      <w:r w:rsidR="00721789" w:rsidRPr="003B4362">
        <w:rPr>
          <w:rFonts w:eastAsia="Calibri"/>
          <w:szCs w:val="24"/>
        </w:rPr>
        <w:t>the</w:t>
      </w:r>
      <w:bookmarkStart w:id="2837" w:name="_Hlk124456522"/>
      <w:r w:rsidR="00721789" w:rsidRPr="003B4362">
        <w:rPr>
          <w:rFonts w:eastAsia="Calibri"/>
          <w:szCs w:val="24"/>
        </w:rPr>
        <w:t xml:space="preserve"> </w:t>
      </w:r>
      <w:bookmarkEnd w:id="2837"/>
      <w:r w:rsidR="00721789" w:rsidRPr="003B4362">
        <w:rPr>
          <w:rFonts w:eastAsia="Calibri"/>
          <w:szCs w:val="24"/>
        </w:rPr>
        <w:t xml:space="preserve">supplier made </w:t>
      </w:r>
      <w:r w:rsidRPr="003B4362">
        <w:rPr>
          <w:rFonts w:eastAsia="Calibri"/>
          <w:szCs w:val="24"/>
        </w:rPr>
        <w:t>any partial and full lead service line replacements</w:t>
      </w:r>
      <w:bookmarkEnd w:id="2836"/>
      <w:r w:rsidR="00721789" w:rsidRPr="003B4362">
        <w:rPr>
          <w:rFonts w:eastAsia="Calibri"/>
          <w:szCs w:val="24"/>
        </w:rPr>
        <w:t xml:space="preserve"> </w:t>
      </w:r>
      <w:bookmarkStart w:id="2838" w:name="_Hlk124454791"/>
      <w:r w:rsidR="00721789" w:rsidRPr="003B4362">
        <w:rPr>
          <w:rFonts w:eastAsia="Calibri"/>
          <w:szCs w:val="24"/>
        </w:rPr>
        <w:t>under</w:t>
      </w:r>
      <w:r w:rsidRPr="003B4362">
        <w:rPr>
          <w:rFonts w:eastAsia="Calibri"/>
          <w:szCs w:val="24"/>
        </w:rPr>
        <w:t xml:space="preserve"> Section </w:t>
      </w:r>
      <w:r w:rsidR="00C36CC6" w:rsidRPr="003B4362">
        <w:rPr>
          <w:rFonts w:eastAsia="Calibri"/>
          <w:szCs w:val="24"/>
        </w:rPr>
        <w:t>611.35</w:t>
      </w:r>
      <w:r w:rsidRPr="003B4362">
        <w:rPr>
          <w:rFonts w:eastAsia="Calibri"/>
          <w:szCs w:val="24"/>
        </w:rPr>
        <w:t>4(d) and (e)</w:t>
      </w:r>
      <w:bookmarkEnd w:id="2838"/>
      <w:r w:rsidRPr="003B4362">
        <w:rPr>
          <w:rFonts w:eastAsia="Calibri"/>
          <w:szCs w:val="24"/>
        </w:rPr>
        <w:t>.</w:t>
      </w:r>
    </w:p>
    <w:p w14:paraId="642D7868" w14:textId="5FA7C3E8" w:rsidR="002B526F" w:rsidRPr="003B4362" w:rsidRDefault="002B526F" w:rsidP="002B526F">
      <w:pPr>
        <w:autoSpaceDE w:val="0"/>
        <w:autoSpaceDN w:val="0"/>
        <w:adjustRightInd w:val="0"/>
        <w:spacing w:before="240" w:after="240"/>
        <w:ind w:left="2160" w:hanging="720"/>
        <w:rPr>
          <w:rFonts w:eastAsia="Calibri"/>
          <w:szCs w:val="24"/>
        </w:rPr>
      </w:pPr>
      <w:r w:rsidRPr="003B4362">
        <w:rPr>
          <w:rFonts w:eastAsia="Calibri"/>
          <w:szCs w:val="24"/>
        </w:rPr>
        <w:t>6)</w:t>
      </w:r>
      <w:r w:rsidRPr="003B4362">
        <w:rPr>
          <w:rFonts w:eastAsia="Calibri"/>
          <w:szCs w:val="24"/>
        </w:rPr>
        <w:tab/>
        <w:t xml:space="preserve">If </w:t>
      </w:r>
      <w:r w:rsidR="00C36CC6" w:rsidRPr="003B4362">
        <w:rPr>
          <w:rFonts w:eastAsia="Calibri"/>
          <w:szCs w:val="24"/>
        </w:rPr>
        <w:t>it</w:t>
      </w:r>
      <w:r w:rsidRPr="003B4362">
        <w:rPr>
          <w:rFonts w:eastAsia="Calibri"/>
          <w:szCs w:val="24"/>
        </w:rPr>
        <w:t xml:space="preserve"> fails to meet the 45-day </w:t>
      </w:r>
      <w:bookmarkStart w:id="2839" w:name="_Hlk124455025"/>
      <w:r w:rsidRPr="003B4362">
        <w:rPr>
          <w:rFonts w:eastAsia="Calibri"/>
          <w:szCs w:val="24"/>
        </w:rPr>
        <w:t xml:space="preserve">deadline </w:t>
      </w:r>
      <w:r w:rsidR="00C36CC6" w:rsidRPr="003B4362">
        <w:rPr>
          <w:rFonts w:eastAsia="Calibri"/>
          <w:szCs w:val="24"/>
        </w:rPr>
        <w:t>for</w:t>
      </w:r>
      <w:r w:rsidRPr="003B4362">
        <w:rPr>
          <w:rFonts w:eastAsia="Calibri"/>
          <w:szCs w:val="24"/>
        </w:rPr>
        <w:t xml:space="preserve"> complet</w:t>
      </w:r>
      <w:r w:rsidR="00C36CC6" w:rsidRPr="003B4362">
        <w:rPr>
          <w:rFonts w:eastAsia="Calibri"/>
          <w:szCs w:val="24"/>
        </w:rPr>
        <w:t>ing</w:t>
      </w:r>
      <w:r w:rsidRPr="003B4362">
        <w:rPr>
          <w:rFonts w:eastAsia="Calibri"/>
          <w:szCs w:val="24"/>
        </w:rPr>
        <w:t xml:space="preserve"> a customer-initiated lead service line replacement</w:t>
      </w:r>
      <w:bookmarkEnd w:id="2839"/>
      <w:r w:rsidRPr="003B4362">
        <w:rPr>
          <w:rFonts w:eastAsia="Calibri"/>
          <w:szCs w:val="24"/>
        </w:rPr>
        <w:t xml:space="preserve"> </w:t>
      </w:r>
      <w:r w:rsidR="00C36CC6" w:rsidRPr="003B4362">
        <w:rPr>
          <w:rFonts w:eastAsia="Calibri"/>
          <w:szCs w:val="24"/>
        </w:rPr>
        <w:t>under</w:t>
      </w:r>
      <w:r w:rsidRPr="003B4362">
        <w:rPr>
          <w:rFonts w:eastAsia="Calibri"/>
          <w:szCs w:val="24"/>
        </w:rPr>
        <w:t xml:space="preserve"> Section </w:t>
      </w:r>
      <w:r w:rsidR="00C36CC6" w:rsidRPr="003B4362">
        <w:rPr>
          <w:rFonts w:eastAsia="Calibri"/>
          <w:szCs w:val="24"/>
        </w:rPr>
        <w:t>611.35</w:t>
      </w:r>
      <w:r w:rsidRPr="003B4362">
        <w:rPr>
          <w:rFonts w:eastAsia="Calibri"/>
          <w:szCs w:val="24"/>
        </w:rPr>
        <w:t xml:space="preserve">4(d)(4), </w:t>
      </w:r>
      <w:r w:rsidR="00390E5A" w:rsidRPr="003B4362">
        <w:rPr>
          <w:rFonts w:eastAsia="Calibri"/>
          <w:szCs w:val="24"/>
        </w:rPr>
        <w:t>a</w:t>
      </w:r>
      <w:r w:rsidR="003E3DF0" w:rsidRPr="003B4362">
        <w:rPr>
          <w:rFonts w:eastAsia="Calibri"/>
          <w:szCs w:val="24"/>
        </w:rPr>
        <w:t xml:space="preserve"> supplier</w:t>
      </w:r>
      <w:r w:rsidRPr="003B4362">
        <w:rPr>
          <w:rFonts w:eastAsia="Calibri"/>
          <w:szCs w:val="24"/>
        </w:rPr>
        <w:t xml:space="preserve"> must notify the </w:t>
      </w:r>
      <w:r w:rsidR="003E3DF0" w:rsidRPr="003B4362">
        <w:rPr>
          <w:rFonts w:eastAsia="Calibri"/>
          <w:szCs w:val="24"/>
        </w:rPr>
        <w:t>Agency</w:t>
      </w:r>
      <w:r w:rsidRPr="003B4362">
        <w:rPr>
          <w:rFonts w:eastAsia="Calibri"/>
          <w:szCs w:val="24"/>
        </w:rPr>
        <w:t xml:space="preserve"> </w:t>
      </w:r>
      <w:bookmarkStart w:id="2840" w:name="_Hlk124456633"/>
      <w:r w:rsidRPr="003B4362">
        <w:rPr>
          <w:rFonts w:eastAsia="Calibri"/>
          <w:szCs w:val="24"/>
        </w:rPr>
        <w:t xml:space="preserve">within 30 days </w:t>
      </w:r>
      <w:r w:rsidR="003E3DF0" w:rsidRPr="003B4362">
        <w:rPr>
          <w:rFonts w:eastAsia="Calibri"/>
          <w:szCs w:val="24"/>
        </w:rPr>
        <w:t>after</w:t>
      </w:r>
      <w:r w:rsidRPr="003B4362">
        <w:rPr>
          <w:rFonts w:eastAsia="Calibri"/>
          <w:szCs w:val="24"/>
        </w:rPr>
        <w:t xml:space="preserve"> the</w:t>
      </w:r>
      <w:r w:rsidR="003E3DF0" w:rsidRPr="003B4362">
        <w:rPr>
          <w:rFonts w:eastAsia="Calibri"/>
          <w:szCs w:val="24"/>
        </w:rPr>
        <w:t xml:space="preserve"> </w:t>
      </w:r>
      <w:r w:rsidRPr="003B4362">
        <w:rPr>
          <w:rFonts w:eastAsia="Calibri"/>
          <w:szCs w:val="24"/>
        </w:rPr>
        <w:t>deadline</w:t>
      </w:r>
      <w:bookmarkEnd w:id="2840"/>
      <w:r w:rsidRPr="003B4362">
        <w:rPr>
          <w:rFonts w:eastAsia="Calibri"/>
          <w:szCs w:val="24"/>
        </w:rPr>
        <w:t xml:space="preserve"> to </w:t>
      </w:r>
      <w:bookmarkStart w:id="2841" w:name="_Hlk124457788"/>
      <w:r w:rsidRPr="003B4362">
        <w:rPr>
          <w:rFonts w:eastAsia="Calibri"/>
          <w:szCs w:val="24"/>
        </w:rPr>
        <w:t xml:space="preserve">request </w:t>
      </w:r>
      <w:r w:rsidR="00BB396A" w:rsidRPr="003B4362">
        <w:rPr>
          <w:rFonts w:eastAsia="Calibri"/>
          <w:szCs w:val="24"/>
        </w:rPr>
        <w:t>that the Agency extend</w:t>
      </w:r>
      <w:r w:rsidRPr="003B4362">
        <w:rPr>
          <w:rFonts w:eastAsia="Calibri"/>
          <w:szCs w:val="24"/>
        </w:rPr>
        <w:t xml:space="preserve"> the deadline</w:t>
      </w:r>
      <w:bookmarkEnd w:id="2841"/>
      <w:r w:rsidR="00BB396A" w:rsidRPr="003B4362">
        <w:rPr>
          <w:rFonts w:eastAsia="Calibri"/>
          <w:szCs w:val="24"/>
        </w:rPr>
        <w:t xml:space="preserve"> up to 180 days</w:t>
      </w:r>
      <w:r w:rsidRPr="003B4362">
        <w:rPr>
          <w:rFonts w:eastAsia="Calibri"/>
          <w:szCs w:val="24"/>
        </w:rPr>
        <w:t xml:space="preserve"> </w:t>
      </w:r>
      <w:bookmarkStart w:id="2842" w:name="_Hlk124457863"/>
      <w:r w:rsidR="00BB396A" w:rsidRPr="003B4362">
        <w:rPr>
          <w:rFonts w:eastAsia="Calibri"/>
          <w:szCs w:val="24"/>
        </w:rPr>
        <w:t>for completing</w:t>
      </w:r>
      <w:r w:rsidRPr="003B4362">
        <w:rPr>
          <w:rFonts w:eastAsia="Calibri"/>
          <w:szCs w:val="24"/>
        </w:rPr>
        <w:t xml:space="preserve"> the customer-initiated lead service line replacement</w:t>
      </w:r>
      <w:bookmarkEnd w:id="2842"/>
      <w:r w:rsidRPr="003B4362">
        <w:rPr>
          <w:rFonts w:eastAsia="Calibri"/>
          <w:szCs w:val="24"/>
        </w:rPr>
        <w:t>.</w:t>
      </w:r>
      <w:r w:rsidR="00BB396A" w:rsidRPr="003B4362">
        <w:rPr>
          <w:rFonts w:eastAsia="Calibri"/>
          <w:szCs w:val="24"/>
        </w:rPr>
        <w:t xml:space="preserve">  The supplier must annually certify that it has completed all customer-initiated lead service line replacements </w:t>
      </w:r>
      <w:bookmarkStart w:id="2843" w:name="_Hlk124458322"/>
      <w:r w:rsidR="003D539A" w:rsidRPr="003B4362">
        <w:rPr>
          <w:rFonts w:eastAsia="Calibri"/>
          <w:szCs w:val="24"/>
        </w:rPr>
        <w:t>under</w:t>
      </w:r>
      <w:r w:rsidR="00BB396A" w:rsidRPr="003B4362">
        <w:rPr>
          <w:rFonts w:eastAsia="Calibri"/>
          <w:szCs w:val="24"/>
        </w:rPr>
        <w:t xml:space="preserve"> Section </w:t>
      </w:r>
      <w:r w:rsidR="003D539A" w:rsidRPr="003B4362">
        <w:rPr>
          <w:rFonts w:eastAsia="Calibri"/>
          <w:szCs w:val="24"/>
        </w:rPr>
        <w:t>61</w:t>
      </w:r>
      <w:r w:rsidR="00BB396A" w:rsidRPr="003B4362">
        <w:rPr>
          <w:rFonts w:eastAsia="Calibri"/>
          <w:szCs w:val="24"/>
        </w:rPr>
        <w:t>1.</w:t>
      </w:r>
      <w:r w:rsidR="003D539A" w:rsidRPr="003B4362">
        <w:rPr>
          <w:rFonts w:eastAsia="Calibri"/>
          <w:szCs w:val="24"/>
        </w:rPr>
        <w:t>35</w:t>
      </w:r>
      <w:r w:rsidR="00BB396A" w:rsidRPr="003B4362">
        <w:rPr>
          <w:rFonts w:eastAsia="Calibri"/>
          <w:szCs w:val="24"/>
        </w:rPr>
        <w:t>4(d)(4)</w:t>
      </w:r>
      <w:bookmarkEnd w:id="2843"/>
      <w:r w:rsidR="00BB396A" w:rsidRPr="003B4362">
        <w:rPr>
          <w:rFonts w:eastAsia="Calibri"/>
          <w:szCs w:val="24"/>
        </w:rPr>
        <w:t>.</w:t>
      </w:r>
    </w:p>
    <w:p w14:paraId="56538D5E" w14:textId="6F60FEB4" w:rsidR="002B526F" w:rsidRPr="003B4362" w:rsidRDefault="002B526F" w:rsidP="002B526F">
      <w:pPr>
        <w:autoSpaceDE w:val="0"/>
        <w:autoSpaceDN w:val="0"/>
        <w:adjustRightInd w:val="0"/>
        <w:spacing w:before="240" w:after="240"/>
        <w:ind w:left="2160" w:hanging="720"/>
        <w:rPr>
          <w:rFonts w:eastAsia="Calibri"/>
          <w:szCs w:val="24"/>
        </w:rPr>
      </w:pPr>
      <w:r w:rsidRPr="003B4362">
        <w:rPr>
          <w:rFonts w:eastAsia="Calibri"/>
          <w:szCs w:val="24"/>
        </w:rPr>
        <w:lastRenderedPageBreak/>
        <w:t>7)</w:t>
      </w:r>
      <w:r w:rsidRPr="003B4362">
        <w:rPr>
          <w:rFonts w:eastAsia="Calibri"/>
          <w:szCs w:val="24"/>
        </w:rPr>
        <w:tab/>
        <w:t xml:space="preserve">No later than 30 days after the end of </w:t>
      </w:r>
      <w:bookmarkStart w:id="2844" w:name="_Hlk124461012"/>
      <w:r w:rsidRPr="003B4362">
        <w:rPr>
          <w:rFonts w:eastAsia="Calibri"/>
          <w:szCs w:val="24"/>
        </w:rPr>
        <w:t xml:space="preserve">the </w:t>
      </w:r>
      <w:r w:rsidR="00FF5D4F" w:rsidRPr="003B4362">
        <w:rPr>
          <w:rFonts w:eastAsia="Calibri"/>
          <w:szCs w:val="24"/>
        </w:rPr>
        <w:t>supplier</w:t>
      </w:r>
      <w:r w:rsidRPr="003B4362">
        <w:rPr>
          <w:rFonts w:eastAsia="Calibri"/>
          <w:szCs w:val="24"/>
        </w:rPr>
        <w:t xml:space="preserve">’s annual </w:t>
      </w:r>
      <w:r w:rsidR="003B6B15" w:rsidRPr="003B4362">
        <w:rPr>
          <w:rFonts w:eastAsia="Calibri"/>
          <w:szCs w:val="24"/>
        </w:rPr>
        <w:t xml:space="preserve">period for replacing </w:t>
      </w:r>
      <w:r w:rsidRPr="003B4362">
        <w:rPr>
          <w:rFonts w:eastAsia="Calibri"/>
          <w:szCs w:val="24"/>
        </w:rPr>
        <w:t>lead service line</w:t>
      </w:r>
      <w:r w:rsidR="003B6B15" w:rsidRPr="003B4362">
        <w:rPr>
          <w:rFonts w:eastAsia="Calibri"/>
          <w:szCs w:val="24"/>
        </w:rPr>
        <w:t>s</w:t>
      </w:r>
      <w:bookmarkEnd w:id="2844"/>
      <w:r w:rsidR="003B6B15" w:rsidRPr="003B4362">
        <w:rPr>
          <w:rFonts w:eastAsia="Calibri"/>
          <w:szCs w:val="24"/>
        </w:rPr>
        <w:t xml:space="preserve"> </w:t>
      </w:r>
      <w:bookmarkStart w:id="2845" w:name="_Hlk124461160"/>
      <w:r w:rsidRPr="003B4362">
        <w:rPr>
          <w:rFonts w:eastAsia="Calibri"/>
          <w:szCs w:val="24"/>
        </w:rPr>
        <w:t xml:space="preserve">under Section </w:t>
      </w:r>
      <w:r w:rsidR="003B6B15" w:rsidRPr="003B4362">
        <w:rPr>
          <w:rFonts w:eastAsia="Calibri"/>
          <w:szCs w:val="24"/>
        </w:rPr>
        <w:t>61</w:t>
      </w:r>
      <w:r w:rsidRPr="003B4362">
        <w:rPr>
          <w:rFonts w:eastAsia="Calibri"/>
          <w:szCs w:val="24"/>
        </w:rPr>
        <w:t>1.</w:t>
      </w:r>
      <w:r w:rsidR="003B6B15" w:rsidRPr="003B4362">
        <w:rPr>
          <w:rFonts w:eastAsia="Calibri"/>
          <w:szCs w:val="24"/>
        </w:rPr>
        <w:t>35</w:t>
      </w:r>
      <w:r w:rsidRPr="003B4362">
        <w:rPr>
          <w:rFonts w:eastAsia="Calibri"/>
          <w:szCs w:val="24"/>
        </w:rPr>
        <w:t xml:space="preserve">4(f) </w:t>
      </w:r>
      <w:r w:rsidR="003B6B15" w:rsidRPr="003B4362">
        <w:rPr>
          <w:rFonts w:eastAsia="Calibri"/>
          <w:szCs w:val="24"/>
        </w:rPr>
        <w:t>or</w:t>
      </w:r>
      <w:r w:rsidRPr="003B4362">
        <w:rPr>
          <w:rFonts w:eastAsia="Calibri"/>
          <w:szCs w:val="24"/>
        </w:rPr>
        <w:t xml:space="preserve"> (g)</w:t>
      </w:r>
      <w:bookmarkEnd w:id="2845"/>
      <w:r w:rsidRPr="003B4362">
        <w:rPr>
          <w:rFonts w:eastAsia="Calibri"/>
          <w:szCs w:val="24"/>
        </w:rPr>
        <w:t xml:space="preserve">, the </w:t>
      </w:r>
      <w:r w:rsidR="003B6B15" w:rsidRPr="003B4362">
        <w:rPr>
          <w:rFonts w:eastAsia="Calibri"/>
          <w:szCs w:val="24"/>
        </w:rPr>
        <w:t>supplier</w:t>
      </w:r>
      <w:r w:rsidRPr="003B4362">
        <w:rPr>
          <w:rFonts w:eastAsia="Calibri"/>
          <w:szCs w:val="24"/>
        </w:rPr>
        <w:t xml:space="preserve"> must </w:t>
      </w:r>
      <w:bookmarkStart w:id="2846" w:name="_Hlk124461428"/>
      <w:r w:rsidRPr="003B4362">
        <w:rPr>
          <w:rFonts w:eastAsia="Calibri"/>
          <w:szCs w:val="24"/>
        </w:rPr>
        <w:t xml:space="preserve">submit </w:t>
      </w:r>
      <w:r w:rsidR="003B6B15" w:rsidRPr="003B4362">
        <w:rPr>
          <w:rFonts w:eastAsia="Calibri"/>
          <w:szCs w:val="24"/>
        </w:rPr>
        <w:t>certain</w:t>
      </w:r>
      <w:r w:rsidRPr="003B4362">
        <w:rPr>
          <w:rFonts w:eastAsia="Calibri"/>
          <w:szCs w:val="24"/>
        </w:rPr>
        <w:t xml:space="preserve"> information to the </w:t>
      </w:r>
      <w:r w:rsidR="003B6B15" w:rsidRPr="003B4362">
        <w:rPr>
          <w:rFonts w:eastAsia="Calibri"/>
          <w:szCs w:val="24"/>
        </w:rPr>
        <w:t xml:space="preserve">Agency </w:t>
      </w:r>
      <w:r w:rsidRPr="003B4362">
        <w:rPr>
          <w:rFonts w:eastAsia="Calibri"/>
          <w:szCs w:val="24"/>
        </w:rPr>
        <w:t xml:space="preserve">and continue </w:t>
      </w:r>
      <w:r w:rsidR="003B6B15" w:rsidRPr="003B4362">
        <w:rPr>
          <w:rFonts w:eastAsia="Calibri"/>
          <w:szCs w:val="24"/>
        </w:rPr>
        <w:t>submitting the information</w:t>
      </w:r>
      <w:r w:rsidRPr="003B4362">
        <w:rPr>
          <w:rFonts w:eastAsia="Calibri"/>
          <w:szCs w:val="24"/>
        </w:rPr>
        <w:t xml:space="preserve"> </w:t>
      </w:r>
      <w:bookmarkEnd w:id="2846"/>
      <w:r w:rsidRPr="003B4362">
        <w:rPr>
          <w:rFonts w:eastAsia="Calibri"/>
          <w:szCs w:val="24"/>
        </w:rPr>
        <w:t xml:space="preserve">each year </w:t>
      </w:r>
      <w:bookmarkStart w:id="2847" w:name="_Hlk124462077"/>
      <w:r w:rsidR="003B6B15" w:rsidRPr="003B4362">
        <w:rPr>
          <w:rFonts w:eastAsia="Calibri"/>
          <w:szCs w:val="24"/>
        </w:rPr>
        <w:t>the supplier</w:t>
      </w:r>
      <w:r w:rsidRPr="003B4362">
        <w:rPr>
          <w:rFonts w:eastAsia="Calibri"/>
          <w:szCs w:val="24"/>
        </w:rPr>
        <w:t xml:space="preserve"> conducts lead service line replacement</w:t>
      </w:r>
      <w:r w:rsidR="003B6B15" w:rsidRPr="003B4362">
        <w:rPr>
          <w:rFonts w:eastAsia="Calibri"/>
          <w:szCs w:val="24"/>
        </w:rPr>
        <w:t>s</w:t>
      </w:r>
      <w:bookmarkEnd w:id="2847"/>
      <w:r w:rsidRPr="003B4362">
        <w:rPr>
          <w:rFonts w:eastAsia="Calibri"/>
          <w:szCs w:val="24"/>
        </w:rPr>
        <w:t xml:space="preserve"> under </w:t>
      </w:r>
      <w:r w:rsidR="003B6B15" w:rsidRPr="003B4362">
        <w:rPr>
          <w:rFonts w:eastAsia="Calibri"/>
          <w:szCs w:val="24"/>
        </w:rPr>
        <w:t>Section 611.354(f) or (g)</w:t>
      </w:r>
      <w:r w:rsidRPr="003B4362">
        <w:rPr>
          <w:rFonts w:eastAsia="Calibri"/>
          <w:szCs w:val="24"/>
        </w:rPr>
        <w:t>:</w:t>
      </w:r>
    </w:p>
    <w:p w14:paraId="5E6334AD" w14:textId="4E678378"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 xml:space="preserve">The number of </w:t>
      </w:r>
      <w:bookmarkStart w:id="2848" w:name="_Hlk124848278"/>
      <w:r w:rsidR="00F86B73" w:rsidRPr="003B4362">
        <w:rPr>
          <w:rFonts w:eastAsia="Calibri"/>
          <w:szCs w:val="24"/>
        </w:rPr>
        <w:t>l</w:t>
      </w:r>
      <w:r w:rsidRPr="003B4362">
        <w:rPr>
          <w:rFonts w:eastAsia="Calibri"/>
          <w:szCs w:val="24"/>
        </w:rPr>
        <w:t>ead service lines</w:t>
      </w:r>
      <w:bookmarkEnd w:id="2848"/>
      <w:r w:rsidR="006F6C84" w:rsidRPr="003B4362">
        <w:rPr>
          <w:rFonts w:eastAsia="Calibri"/>
          <w:szCs w:val="24"/>
        </w:rPr>
        <w:t xml:space="preserve">, </w:t>
      </w:r>
      <w:bookmarkStart w:id="2849" w:name="_Hlk124848309"/>
      <w:r w:rsidR="006F6C84" w:rsidRPr="003B4362">
        <w:rPr>
          <w:rFonts w:eastAsia="Calibri"/>
          <w:szCs w:val="24"/>
        </w:rPr>
        <w:t>as Section 611.354(a)(4) defines the term</w:t>
      </w:r>
      <w:bookmarkEnd w:id="2849"/>
      <w:r w:rsidR="006F6C84" w:rsidRPr="003B4362">
        <w:rPr>
          <w:rFonts w:eastAsia="Calibri"/>
          <w:szCs w:val="24"/>
        </w:rPr>
        <w:t>,</w:t>
      </w:r>
      <w:r w:rsidRPr="003B4362">
        <w:rPr>
          <w:rFonts w:eastAsia="Calibri"/>
          <w:szCs w:val="24"/>
        </w:rPr>
        <w:t xml:space="preserve"> in </w:t>
      </w:r>
      <w:bookmarkStart w:id="2850" w:name="_Hlk124846294"/>
      <w:bookmarkStart w:id="2851" w:name="_Hlk124846245"/>
      <w:bookmarkStart w:id="2852" w:name="_Hlk124851803"/>
      <w:r w:rsidR="00BE0183" w:rsidRPr="003B4362">
        <w:rPr>
          <w:rFonts w:eastAsia="Calibri"/>
          <w:szCs w:val="24"/>
        </w:rPr>
        <w:t>its</w:t>
      </w:r>
      <w:bookmarkEnd w:id="2850"/>
      <w:r w:rsidR="000313FD" w:rsidRPr="003B4362">
        <w:rPr>
          <w:rFonts w:eastAsia="Calibri"/>
          <w:szCs w:val="24"/>
        </w:rPr>
        <w:t xml:space="preserve"> </w:t>
      </w:r>
      <w:r w:rsidRPr="003B4362">
        <w:rPr>
          <w:rFonts w:eastAsia="Calibri"/>
          <w:szCs w:val="24"/>
        </w:rPr>
        <w:t>inventory</w:t>
      </w:r>
      <w:bookmarkEnd w:id="2851"/>
      <w:r w:rsidR="000313FD" w:rsidRPr="003B4362">
        <w:rPr>
          <w:rFonts w:eastAsia="Calibri"/>
          <w:szCs w:val="24"/>
        </w:rPr>
        <w:t xml:space="preserve"> at the beginning of the annual period</w:t>
      </w:r>
      <w:bookmarkEnd w:id="2852"/>
      <w:r w:rsidRPr="003B4362">
        <w:rPr>
          <w:rFonts w:eastAsia="Calibri"/>
          <w:szCs w:val="24"/>
        </w:rPr>
        <w:t>;</w:t>
      </w:r>
    </w:p>
    <w:p w14:paraId="1EE8AF69" w14:textId="59FFCEE3"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 xml:space="preserve">The number of </w:t>
      </w:r>
      <w:bookmarkStart w:id="2853" w:name="_Hlk124848386"/>
      <w:r w:rsidR="00F86B73" w:rsidRPr="003B4362">
        <w:rPr>
          <w:rFonts w:eastAsia="Calibri"/>
          <w:szCs w:val="24"/>
        </w:rPr>
        <w:t>galvanized requiring re</w:t>
      </w:r>
      <w:r w:rsidRPr="003B4362">
        <w:rPr>
          <w:rFonts w:eastAsia="Calibri"/>
          <w:szCs w:val="24"/>
        </w:rPr>
        <w:t>placement</w:t>
      </w:r>
      <w:bookmarkEnd w:id="2853"/>
      <w:r w:rsidRPr="003B4362">
        <w:rPr>
          <w:rFonts w:eastAsia="Calibri"/>
          <w:szCs w:val="24"/>
        </w:rPr>
        <w:t xml:space="preserve"> service lines</w:t>
      </w:r>
      <w:r w:rsidR="00E672D6" w:rsidRPr="003B4362">
        <w:rPr>
          <w:rFonts w:eastAsia="Calibri"/>
          <w:szCs w:val="24"/>
        </w:rPr>
        <w:t xml:space="preserve"> in</w:t>
      </w:r>
      <w:r w:rsidRPr="003B4362">
        <w:rPr>
          <w:rFonts w:eastAsia="Calibri"/>
          <w:szCs w:val="24"/>
        </w:rPr>
        <w:t xml:space="preserve"> </w:t>
      </w:r>
      <w:r w:rsidR="000313FD" w:rsidRPr="003B4362">
        <w:rPr>
          <w:rFonts w:eastAsia="Calibri"/>
          <w:szCs w:val="24"/>
        </w:rPr>
        <w:t>its inventory at the beginning of the annual period</w:t>
      </w:r>
      <w:r w:rsidRPr="003B4362">
        <w:rPr>
          <w:rFonts w:eastAsia="Calibri"/>
          <w:szCs w:val="24"/>
        </w:rPr>
        <w:t>;</w:t>
      </w:r>
    </w:p>
    <w:p w14:paraId="5F9E0B76" w14:textId="5DD6CE43"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 xml:space="preserve">The number of </w:t>
      </w:r>
      <w:bookmarkStart w:id="2854" w:name="_Hlk124848848"/>
      <w:r w:rsidR="00F86B73" w:rsidRPr="003B4362">
        <w:rPr>
          <w:rFonts w:eastAsia="Calibri"/>
          <w:szCs w:val="24"/>
        </w:rPr>
        <w:t>lead status u</w:t>
      </w:r>
      <w:r w:rsidRPr="003B4362">
        <w:rPr>
          <w:rFonts w:eastAsia="Calibri"/>
          <w:szCs w:val="24"/>
        </w:rPr>
        <w:t>nknown</w:t>
      </w:r>
      <w:bookmarkEnd w:id="2854"/>
      <w:r w:rsidRPr="003B4362">
        <w:rPr>
          <w:rFonts w:eastAsia="Calibri"/>
          <w:szCs w:val="24"/>
        </w:rPr>
        <w:t xml:space="preserve"> service lines</w:t>
      </w:r>
      <w:r w:rsidR="006F6C84" w:rsidRPr="003B4362">
        <w:rPr>
          <w:rFonts w:eastAsia="Calibri"/>
          <w:szCs w:val="24"/>
        </w:rPr>
        <w:t>, as Section 611.354(a)(4) defines the term,</w:t>
      </w:r>
      <w:r w:rsidRPr="003B4362">
        <w:rPr>
          <w:rFonts w:eastAsia="Calibri"/>
          <w:szCs w:val="24"/>
        </w:rPr>
        <w:t xml:space="preserve"> in </w:t>
      </w:r>
      <w:r w:rsidR="000313FD" w:rsidRPr="003B4362">
        <w:rPr>
          <w:rFonts w:eastAsia="Calibri"/>
          <w:szCs w:val="24"/>
        </w:rPr>
        <w:t>its inventory at the beginning of the annual period</w:t>
      </w:r>
      <w:r w:rsidRPr="003B4362">
        <w:rPr>
          <w:rFonts w:eastAsia="Calibri"/>
          <w:szCs w:val="24"/>
        </w:rPr>
        <w:t>;</w:t>
      </w:r>
    </w:p>
    <w:p w14:paraId="4D2A902C" w14:textId="061E368B"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t xml:space="preserve">The number of </w:t>
      </w:r>
      <w:bookmarkStart w:id="2855" w:name="_Hlk124852665"/>
      <w:bookmarkStart w:id="2856" w:name="_Hlk124853588"/>
      <w:r w:rsidRPr="003B4362">
        <w:rPr>
          <w:rFonts w:eastAsia="Calibri"/>
          <w:szCs w:val="24"/>
        </w:rPr>
        <w:t>full lead service line</w:t>
      </w:r>
      <w:r w:rsidR="00F621F2" w:rsidRPr="003B4362">
        <w:rPr>
          <w:rFonts w:eastAsia="Calibri"/>
          <w:szCs w:val="24"/>
        </w:rPr>
        <w:t xml:space="preserve"> replacement</w:t>
      </w:r>
      <w:r w:rsidRPr="003B4362">
        <w:rPr>
          <w:rFonts w:eastAsia="Calibri"/>
          <w:szCs w:val="24"/>
        </w:rPr>
        <w:t>s</w:t>
      </w:r>
      <w:bookmarkEnd w:id="2855"/>
      <w:r w:rsidRPr="003B4362">
        <w:rPr>
          <w:rFonts w:eastAsia="Calibri"/>
          <w:szCs w:val="24"/>
        </w:rPr>
        <w:t xml:space="preserve"> th</w:t>
      </w:r>
      <w:r w:rsidR="00F621F2" w:rsidRPr="003B4362">
        <w:rPr>
          <w:rFonts w:eastAsia="Calibri"/>
          <w:szCs w:val="24"/>
        </w:rPr>
        <w:t>e supplier has made</w:t>
      </w:r>
      <w:bookmarkEnd w:id="2856"/>
      <w:r w:rsidRPr="003B4362">
        <w:rPr>
          <w:rFonts w:eastAsia="Calibri"/>
          <w:szCs w:val="24"/>
        </w:rPr>
        <w:t xml:space="preserve"> and </w:t>
      </w:r>
      <w:bookmarkStart w:id="2857" w:name="_Hlk124854204"/>
      <w:r w:rsidRPr="003B4362">
        <w:rPr>
          <w:rFonts w:eastAsia="Calibri"/>
          <w:szCs w:val="24"/>
        </w:rPr>
        <w:t xml:space="preserve">the </w:t>
      </w:r>
      <w:r w:rsidR="00F621F2" w:rsidRPr="003B4362">
        <w:rPr>
          <w:rFonts w:eastAsia="Calibri"/>
          <w:szCs w:val="24"/>
        </w:rPr>
        <w:t xml:space="preserve">street </w:t>
      </w:r>
      <w:r w:rsidRPr="003B4362">
        <w:rPr>
          <w:rFonts w:eastAsia="Calibri"/>
          <w:szCs w:val="24"/>
        </w:rPr>
        <w:t xml:space="preserve">address </w:t>
      </w:r>
      <w:r w:rsidR="00F621F2" w:rsidRPr="003B4362">
        <w:rPr>
          <w:rFonts w:eastAsia="Calibri"/>
          <w:szCs w:val="24"/>
        </w:rPr>
        <w:t>for</w:t>
      </w:r>
      <w:r w:rsidRPr="003B4362">
        <w:rPr>
          <w:rFonts w:eastAsia="Calibri"/>
          <w:szCs w:val="24"/>
        </w:rPr>
        <w:t xml:space="preserve"> each service line</w:t>
      </w:r>
      <w:r w:rsidR="00F621F2" w:rsidRPr="003B4362">
        <w:rPr>
          <w:rFonts w:eastAsia="Calibri"/>
          <w:szCs w:val="24"/>
        </w:rPr>
        <w:t xml:space="preserve"> the supplier</w:t>
      </w:r>
      <w:r w:rsidR="00F83238" w:rsidRPr="003B4362">
        <w:rPr>
          <w:rFonts w:eastAsia="Calibri"/>
          <w:szCs w:val="24"/>
        </w:rPr>
        <w:t xml:space="preserve"> replaced</w:t>
      </w:r>
      <w:bookmarkEnd w:id="2857"/>
      <w:r w:rsidRPr="003B4362">
        <w:rPr>
          <w:rFonts w:eastAsia="Calibri"/>
          <w:szCs w:val="24"/>
        </w:rPr>
        <w:t>;</w:t>
      </w:r>
    </w:p>
    <w:p w14:paraId="74E9CDCF" w14:textId="6215B857"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E)</w:t>
      </w:r>
      <w:r w:rsidRPr="003B4362">
        <w:rPr>
          <w:rFonts w:eastAsia="Calibri"/>
          <w:szCs w:val="24"/>
        </w:rPr>
        <w:tab/>
        <w:t xml:space="preserve">The number of </w:t>
      </w:r>
      <w:bookmarkStart w:id="2858" w:name="_Hlk124854439"/>
      <w:r w:rsidR="00F86B73" w:rsidRPr="003B4362">
        <w:rPr>
          <w:rFonts w:eastAsia="Calibri"/>
          <w:szCs w:val="24"/>
        </w:rPr>
        <w:t>galvanized requiring r</w:t>
      </w:r>
      <w:r w:rsidRPr="003B4362">
        <w:rPr>
          <w:rFonts w:eastAsia="Calibri"/>
          <w:szCs w:val="24"/>
        </w:rPr>
        <w:t>eplacement service lines</w:t>
      </w:r>
      <w:bookmarkEnd w:id="2858"/>
      <w:r w:rsidRPr="003B4362">
        <w:rPr>
          <w:rFonts w:eastAsia="Calibri"/>
          <w:szCs w:val="24"/>
        </w:rPr>
        <w:t xml:space="preserve"> </w:t>
      </w:r>
      <w:bookmarkStart w:id="2859" w:name="_Hlk124854877"/>
      <w:r w:rsidR="003E1CE1" w:rsidRPr="003B4362">
        <w:rPr>
          <w:rFonts w:eastAsia="Calibri"/>
          <w:szCs w:val="24"/>
        </w:rPr>
        <w:t>the supplier</w:t>
      </w:r>
      <w:r w:rsidRPr="003B4362">
        <w:rPr>
          <w:rFonts w:eastAsia="Calibri"/>
          <w:szCs w:val="24"/>
        </w:rPr>
        <w:t xml:space="preserve"> replaced</w:t>
      </w:r>
      <w:bookmarkEnd w:id="2859"/>
      <w:r w:rsidRPr="003B4362">
        <w:rPr>
          <w:rFonts w:eastAsia="Calibri"/>
          <w:szCs w:val="24"/>
        </w:rPr>
        <w:t xml:space="preserve"> and the </w:t>
      </w:r>
      <w:r w:rsidR="003E1CE1" w:rsidRPr="003B4362">
        <w:rPr>
          <w:rFonts w:eastAsia="Calibri"/>
          <w:szCs w:val="24"/>
        </w:rPr>
        <w:t>street address for each service line the supplier replaced</w:t>
      </w:r>
      <w:r w:rsidRPr="003B4362">
        <w:rPr>
          <w:rFonts w:eastAsia="Calibri"/>
          <w:szCs w:val="24"/>
        </w:rPr>
        <w:t>;</w:t>
      </w:r>
    </w:p>
    <w:p w14:paraId="488978A2" w14:textId="5E417F01"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F)</w:t>
      </w:r>
      <w:r w:rsidRPr="003B4362">
        <w:rPr>
          <w:rFonts w:eastAsia="Calibri"/>
          <w:szCs w:val="24"/>
        </w:rPr>
        <w:tab/>
        <w:t xml:space="preserve">The number of </w:t>
      </w:r>
      <w:bookmarkStart w:id="2860" w:name="_Hlk124855108"/>
      <w:r w:rsidR="00F86B73" w:rsidRPr="003B4362">
        <w:rPr>
          <w:rFonts w:eastAsia="Calibri"/>
          <w:szCs w:val="24"/>
        </w:rPr>
        <w:t>lead status u</w:t>
      </w:r>
      <w:r w:rsidRPr="003B4362">
        <w:rPr>
          <w:rFonts w:eastAsia="Calibri"/>
          <w:szCs w:val="24"/>
        </w:rPr>
        <w:t>nknown service lines</w:t>
      </w:r>
      <w:bookmarkEnd w:id="2860"/>
      <w:r w:rsidR="0069384D" w:rsidRPr="003B4362">
        <w:rPr>
          <w:rFonts w:eastAsia="Calibri"/>
          <w:szCs w:val="24"/>
        </w:rPr>
        <w:t>, as Section 611.354(a)(4) defines the term,</w:t>
      </w:r>
      <w:r w:rsidRPr="003B4362">
        <w:rPr>
          <w:rFonts w:eastAsia="Calibri"/>
          <w:szCs w:val="24"/>
        </w:rPr>
        <w:t xml:space="preserve"> remaining in </w:t>
      </w:r>
      <w:r w:rsidR="0069384D" w:rsidRPr="003B4362">
        <w:rPr>
          <w:rFonts w:eastAsia="Calibri"/>
          <w:szCs w:val="24"/>
        </w:rPr>
        <w:t>its</w:t>
      </w:r>
      <w:r w:rsidRPr="003B4362">
        <w:rPr>
          <w:rFonts w:eastAsia="Calibri"/>
          <w:szCs w:val="24"/>
        </w:rPr>
        <w:t xml:space="preserve"> inventory;</w:t>
      </w:r>
    </w:p>
    <w:p w14:paraId="5CE5B132" w14:textId="47D3C7E8"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G)</w:t>
      </w:r>
      <w:r w:rsidRPr="003B4362">
        <w:rPr>
          <w:rFonts w:eastAsia="Calibri"/>
          <w:szCs w:val="24"/>
        </w:rPr>
        <w:tab/>
        <w:t xml:space="preserve">The total number of </w:t>
      </w:r>
      <w:bookmarkStart w:id="2861" w:name="_Hlk124856207"/>
      <w:r w:rsidR="00F86B73" w:rsidRPr="003B4362">
        <w:rPr>
          <w:rFonts w:eastAsia="Calibri"/>
          <w:szCs w:val="24"/>
        </w:rPr>
        <w:t>lead status u</w:t>
      </w:r>
      <w:r w:rsidRPr="003B4362">
        <w:rPr>
          <w:rFonts w:eastAsia="Calibri"/>
          <w:szCs w:val="24"/>
        </w:rPr>
        <w:t>nknown</w:t>
      </w:r>
      <w:bookmarkEnd w:id="2861"/>
      <w:r w:rsidRPr="003B4362">
        <w:rPr>
          <w:rFonts w:eastAsia="Calibri"/>
          <w:szCs w:val="24"/>
        </w:rPr>
        <w:t xml:space="preserve"> service lines </w:t>
      </w:r>
      <w:bookmarkStart w:id="2862" w:name="_Hlk124856297"/>
      <w:r w:rsidR="00C455D3" w:rsidRPr="003B4362">
        <w:rPr>
          <w:rFonts w:eastAsia="Calibri"/>
          <w:szCs w:val="24"/>
        </w:rPr>
        <w:t xml:space="preserve">the supplier </w:t>
      </w:r>
      <w:r w:rsidRPr="003B4362">
        <w:rPr>
          <w:rFonts w:eastAsia="Calibri"/>
          <w:szCs w:val="24"/>
        </w:rPr>
        <w:t>determine</w:t>
      </w:r>
      <w:r w:rsidR="00C455D3" w:rsidRPr="003B4362">
        <w:rPr>
          <w:rFonts w:eastAsia="Calibri"/>
          <w:szCs w:val="24"/>
        </w:rPr>
        <w:t>s</w:t>
      </w:r>
      <w:r w:rsidRPr="003B4362">
        <w:rPr>
          <w:rFonts w:eastAsia="Calibri"/>
          <w:szCs w:val="24"/>
        </w:rPr>
        <w:t xml:space="preserve"> </w:t>
      </w:r>
      <w:r w:rsidR="00C455D3" w:rsidRPr="003B4362">
        <w:rPr>
          <w:rFonts w:eastAsia="Calibri"/>
          <w:szCs w:val="24"/>
        </w:rPr>
        <w:t>are</w:t>
      </w:r>
      <w:r w:rsidRPr="003B4362">
        <w:rPr>
          <w:rFonts w:eastAsia="Calibri"/>
          <w:szCs w:val="24"/>
        </w:rPr>
        <w:t xml:space="preserve"> </w:t>
      </w:r>
      <w:r w:rsidR="00F86B73" w:rsidRPr="003B4362">
        <w:rPr>
          <w:rFonts w:eastAsia="Calibri"/>
          <w:szCs w:val="24"/>
        </w:rPr>
        <w:t>non-lead</w:t>
      </w:r>
      <w:bookmarkEnd w:id="2862"/>
      <w:r w:rsidR="00D76981" w:rsidRPr="003B4362">
        <w:rPr>
          <w:rFonts w:eastAsia="Calibri"/>
          <w:szCs w:val="24"/>
        </w:rPr>
        <w:t>, as Section 611.354(a)(4) defines the terms</w:t>
      </w:r>
      <w:r w:rsidRPr="003B4362">
        <w:rPr>
          <w:rFonts w:eastAsia="Calibri"/>
          <w:szCs w:val="24"/>
        </w:rPr>
        <w:t>; and</w:t>
      </w:r>
    </w:p>
    <w:p w14:paraId="72CBBCE7" w14:textId="6C4E5A00"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H)</w:t>
      </w:r>
      <w:r w:rsidRPr="003B4362">
        <w:rPr>
          <w:rFonts w:eastAsia="Calibri"/>
          <w:szCs w:val="24"/>
        </w:rPr>
        <w:tab/>
        <w:t xml:space="preserve">The total number of service lines </w:t>
      </w:r>
      <w:bookmarkStart w:id="2863" w:name="_Hlk124856660"/>
      <w:r w:rsidR="00C455D3" w:rsidRPr="003B4362">
        <w:rPr>
          <w:rFonts w:eastAsia="Calibri"/>
          <w:szCs w:val="24"/>
        </w:rPr>
        <w:t xml:space="preserve">the supplier </w:t>
      </w:r>
      <w:r w:rsidRPr="003B4362">
        <w:rPr>
          <w:rFonts w:eastAsia="Calibri"/>
          <w:szCs w:val="24"/>
        </w:rPr>
        <w:t xml:space="preserve">initially inventoried as </w:t>
      </w:r>
      <w:r w:rsidR="00F8291C" w:rsidRPr="003B4362">
        <w:rPr>
          <w:rFonts w:eastAsia="Calibri"/>
          <w:szCs w:val="24"/>
        </w:rPr>
        <w:t>non-l</w:t>
      </w:r>
      <w:r w:rsidRPr="003B4362">
        <w:rPr>
          <w:rFonts w:eastAsia="Calibri"/>
          <w:szCs w:val="24"/>
        </w:rPr>
        <w:t xml:space="preserve">ead later </w:t>
      </w:r>
      <w:bookmarkStart w:id="2864" w:name="_Hlk124858511"/>
      <w:r w:rsidR="00C455D3" w:rsidRPr="003B4362">
        <w:rPr>
          <w:rFonts w:eastAsia="Calibri"/>
          <w:szCs w:val="24"/>
        </w:rPr>
        <w:t xml:space="preserve">and later </w:t>
      </w:r>
      <w:r w:rsidRPr="003B4362">
        <w:rPr>
          <w:rFonts w:eastAsia="Calibri"/>
          <w:szCs w:val="24"/>
        </w:rPr>
        <w:t xml:space="preserve">discovered </w:t>
      </w:r>
      <w:bookmarkEnd w:id="2863"/>
      <w:r w:rsidR="002C5672" w:rsidRPr="003B4362">
        <w:rPr>
          <w:rFonts w:eastAsia="Calibri"/>
          <w:szCs w:val="24"/>
        </w:rPr>
        <w:t xml:space="preserve">are </w:t>
      </w:r>
      <w:r w:rsidR="00F8291C" w:rsidRPr="003B4362">
        <w:rPr>
          <w:rFonts w:eastAsia="Calibri"/>
          <w:szCs w:val="24"/>
        </w:rPr>
        <w:t>lead or galvanized requiring re</w:t>
      </w:r>
      <w:r w:rsidRPr="003B4362">
        <w:rPr>
          <w:rFonts w:eastAsia="Calibri"/>
          <w:szCs w:val="24"/>
        </w:rPr>
        <w:t>placement service line</w:t>
      </w:r>
      <w:r w:rsidR="002C5672" w:rsidRPr="003B4362">
        <w:rPr>
          <w:rFonts w:eastAsia="Calibri"/>
          <w:szCs w:val="24"/>
        </w:rPr>
        <w:t>s</w:t>
      </w:r>
      <w:bookmarkEnd w:id="2864"/>
      <w:r w:rsidRPr="003B4362">
        <w:rPr>
          <w:rFonts w:eastAsia="Calibri"/>
          <w:szCs w:val="24"/>
        </w:rPr>
        <w:t>.</w:t>
      </w:r>
    </w:p>
    <w:p w14:paraId="0D1ADFC9" w14:textId="0288AFF2" w:rsidR="002B526F" w:rsidRPr="003B4362" w:rsidRDefault="002B526F" w:rsidP="002B526F">
      <w:pPr>
        <w:autoSpaceDE w:val="0"/>
        <w:autoSpaceDN w:val="0"/>
        <w:adjustRightInd w:val="0"/>
        <w:spacing w:before="240" w:after="240"/>
        <w:ind w:left="2160" w:hanging="720"/>
        <w:rPr>
          <w:rFonts w:eastAsia="Calibri"/>
          <w:szCs w:val="24"/>
        </w:rPr>
      </w:pPr>
      <w:r w:rsidRPr="003B4362">
        <w:rPr>
          <w:rFonts w:eastAsia="Calibri"/>
          <w:szCs w:val="24"/>
        </w:rPr>
        <w:t>8)</w:t>
      </w:r>
      <w:r w:rsidRPr="003B4362">
        <w:rPr>
          <w:rFonts w:eastAsia="Calibri"/>
          <w:szCs w:val="24"/>
        </w:rPr>
        <w:tab/>
        <w:t xml:space="preserve">No later than 30 days after the end of each tap sampling period, </w:t>
      </w:r>
      <w:r w:rsidR="00256D6B" w:rsidRPr="003B4362">
        <w:rPr>
          <w:rFonts w:eastAsia="Calibri"/>
          <w:szCs w:val="24"/>
        </w:rPr>
        <w:t>a supplier</w:t>
      </w:r>
      <w:r w:rsidRPr="003B4362">
        <w:rPr>
          <w:rFonts w:eastAsia="Calibri"/>
          <w:szCs w:val="24"/>
        </w:rPr>
        <w:t xml:space="preserve"> </w:t>
      </w:r>
      <w:bookmarkStart w:id="2865" w:name="_Hlk124858975"/>
      <w:r w:rsidRPr="003B4362">
        <w:rPr>
          <w:rFonts w:eastAsia="Calibri"/>
          <w:szCs w:val="24"/>
        </w:rPr>
        <w:t>that</w:t>
      </w:r>
      <w:r w:rsidR="00256D6B" w:rsidRPr="003B4362">
        <w:rPr>
          <w:rFonts w:eastAsia="Calibri"/>
          <w:szCs w:val="24"/>
        </w:rPr>
        <w:t xml:space="preserve"> </w:t>
      </w:r>
      <w:r w:rsidRPr="003B4362">
        <w:rPr>
          <w:rFonts w:eastAsia="Calibri"/>
          <w:szCs w:val="24"/>
        </w:rPr>
        <w:t xml:space="preserve">received </w:t>
      </w:r>
      <w:r w:rsidR="00256D6B" w:rsidRPr="003B4362">
        <w:rPr>
          <w:rFonts w:eastAsia="Calibri"/>
          <w:szCs w:val="24"/>
        </w:rPr>
        <w:t xml:space="preserve">a </w:t>
      </w:r>
      <w:r w:rsidRPr="003B4362">
        <w:rPr>
          <w:rFonts w:eastAsia="Calibri"/>
          <w:szCs w:val="24"/>
        </w:rPr>
        <w:t xml:space="preserve">customer refusal </w:t>
      </w:r>
      <w:r w:rsidR="00256D6B" w:rsidRPr="003B4362">
        <w:rPr>
          <w:rFonts w:eastAsia="Calibri"/>
          <w:szCs w:val="24"/>
        </w:rPr>
        <w:t>for a</w:t>
      </w:r>
      <w:r w:rsidRPr="003B4362">
        <w:rPr>
          <w:rFonts w:eastAsia="Calibri"/>
          <w:szCs w:val="24"/>
        </w:rPr>
        <w:t xml:space="preserve"> lead service line replacement</w:t>
      </w:r>
      <w:bookmarkEnd w:id="2865"/>
      <w:r w:rsidRPr="003B4362">
        <w:rPr>
          <w:rFonts w:eastAsia="Calibri"/>
          <w:szCs w:val="24"/>
        </w:rPr>
        <w:t xml:space="preserve"> or </w:t>
      </w:r>
      <w:bookmarkStart w:id="2866" w:name="_Hlk124859990"/>
      <w:r w:rsidR="00256D6B" w:rsidRPr="003B4362">
        <w:rPr>
          <w:rFonts w:eastAsia="Calibri"/>
          <w:szCs w:val="24"/>
        </w:rPr>
        <w:t xml:space="preserve">no </w:t>
      </w:r>
      <w:r w:rsidR="00314E17" w:rsidRPr="003B4362">
        <w:rPr>
          <w:rFonts w:eastAsia="Calibri"/>
          <w:szCs w:val="24"/>
        </w:rPr>
        <w:t xml:space="preserve">customer </w:t>
      </w:r>
      <w:r w:rsidRPr="003B4362">
        <w:rPr>
          <w:rFonts w:eastAsia="Calibri"/>
          <w:szCs w:val="24"/>
        </w:rPr>
        <w:t xml:space="preserve">response </w:t>
      </w:r>
      <w:bookmarkStart w:id="2867" w:name="_Hlk124859398"/>
      <w:r w:rsidRPr="003B4362">
        <w:rPr>
          <w:rFonts w:eastAsia="Calibri"/>
          <w:szCs w:val="24"/>
        </w:rPr>
        <w:t xml:space="preserve">after </w:t>
      </w:r>
      <w:r w:rsidR="00314E17" w:rsidRPr="003B4362">
        <w:rPr>
          <w:rFonts w:eastAsia="Calibri"/>
          <w:szCs w:val="24"/>
        </w:rPr>
        <w:t xml:space="preserve">the supplier makes </w:t>
      </w:r>
      <w:r w:rsidRPr="003B4362">
        <w:rPr>
          <w:rFonts w:eastAsia="Calibri"/>
          <w:szCs w:val="24"/>
        </w:rPr>
        <w:t>a minimum of two good</w:t>
      </w:r>
      <w:r w:rsidR="00314E17" w:rsidRPr="003B4362">
        <w:rPr>
          <w:rFonts w:eastAsia="Calibri"/>
          <w:szCs w:val="24"/>
        </w:rPr>
        <w:t>-</w:t>
      </w:r>
      <w:r w:rsidRPr="003B4362">
        <w:rPr>
          <w:rFonts w:eastAsia="Calibri"/>
          <w:szCs w:val="24"/>
        </w:rPr>
        <w:t>faith efforts</w:t>
      </w:r>
      <w:bookmarkEnd w:id="2866"/>
      <w:r w:rsidR="00314E17" w:rsidRPr="003B4362">
        <w:rPr>
          <w:rFonts w:eastAsia="Calibri"/>
          <w:szCs w:val="24"/>
        </w:rPr>
        <w:t xml:space="preserve"> </w:t>
      </w:r>
      <w:r w:rsidRPr="003B4362">
        <w:rPr>
          <w:rFonts w:eastAsia="Calibri"/>
          <w:szCs w:val="24"/>
        </w:rPr>
        <w:t>to contact customers</w:t>
      </w:r>
      <w:bookmarkEnd w:id="2867"/>
      <w:r w:rsidRPr="003B4362">
        <w:rPr>
          <w:rFonts w:eastAsia="Calibri"/>
          <w:szCs w:val="24"/>
        </w:rPr>
        <w:t xml:space="preserve"> regarding </w:t>
      </w:r>
      <w:bookmarkStart w:id="2868" w:name="_Hlk124860153"/>
      <w:r w:rsidR="00A6643A" w:rsidRPr="003B4362">
        <w:rPr>
          <w:rFonts w:eastAsia="Calibri"/>
          <w:szCs w:val="24"/>
        </w:rPr>
        <w:t xml:space="preserve">a </w:t>
      </w:r>
      <w:r w:rsidRPr="003B4362">
        <w:rPr>
          <w:rFonts w:eastAsia="Calibri"/>
          <w:szCs w:val="24"/>
        </w:rPr>
        <w:t>full lead service line replacement</w:t>
      </w:r>
      <w:bookmarkEnd w:id="2868"/>
      <w:r w:rsidRPr="003B4362">
        <w:rPr>
          <w:rFonts w:eastAsia="Calibri"/>
          <w:szCs w:val="24"/>
        </w:rPr>
        <w:t xml:space="preserve"> </w:t>
      </w:r>
      <w:bookmarkStart w:id="2869" w:name="_Hlk124860457"/>
      <w:r w:rsidR="00A6643A" w:rsidRPr="003B4362">
        <w:rPr>
          <w:rFonts w:eastAsia="Calibri"/>
          <w:szCs w:val="24"/>
        </w:rPr>
        <w:t>under</w:t>
      </w:r>
      <w:r w:rsidRPr="003B4362">
        <w:rPr>
          <w:rFonts w:eastAsia="Calibri"/>
          <w:szCs w:val="24"/>
        </w:rPr>
        <w:t xml:space="preserve"> Section </w:t>
      </w:r>
      <w:r w:rsidR="00A6643A" w:rsidRPr="003B4362">
        <w:rPr>
          <w:rFonts w:eastAsia="Calibri"/>
          <w:szCs w:val="24"/>
        </w:rPr>
        <w:t>61</w:t>
      </w:r>
      <w:r w:rsidRPr="003B4362">
        <w:rPr>
          <w:rFonts w:eastAsia="Calibri"/>
          <w:szCs w:val="24"/>
        </w:rPr>
        <w:t>1.</w:t>
      </w:r>
      <w:r w:rsidR="00A6643A" w:rsidRPr="003B4362">
        <w:rPr>
          <w:rFonts w:eastAsia="Calibri"/>
          <w:szCs w:val="24"/>
        </w:rPr>
        <w:t>35</w:t>
      </w:r>
      <w:r w:rsidRPr="003B4362">
        <w:rPr>
          <w:rFonts w:eastAsia="Calibri"/>
          <w:szCs w:val="24"/>
        </w:rPr>
        <w:t>4(g)(7)</w:t>
      </w:r>
      <w:bookmarkEnd w:id="2869"/>
      <w:r w:rsidR="00A6643A" w:rsidRPr="003B4362">
        <w:rPr>
          <w:rFonts w:eastAsia="Calibri"/>
          <w:szCs w:val="24"/>
        </w:rPr>
        <w:t xml:space="preserve"> </w:t>
      </w:r>
      <w:r w:rsidRPr="003B4362">
        <w:rPr>
          <w:rFonts w:eastAsia="Calibri"/>
          <w:szCs w:val="24"/>
        </w:rPr>
        <w:t xml:space="preserve">must </w:t>
      </w:r>
      <w:r w:rsidR="00A6643A" w:rsidRPr="003B4362">
        <w:rPr>
          <w:rFonts w:eastAsia="Calibri"/>
          <w:szCs w:val="24"/>
        </w:rPr>
        <w:t>certify</w:t>
      </w:r>
      <w:r w:rsidRPr="003B4362">
        <w:rPr>
          <w:rFonts w:eastAsia="Calibri"/>
          <w:szCs w:val="24"/>
        </w:rPr>
        <w:t xml:space="preserve"> to the </w:t>
      </w:r>
      <w:r w:rsidR="00A6643A" w:rsidRPr="003B4362">
        <w:rPr>
          <w:rFonts w:eastAsia="Calibri"/>
          <w:szCs w:val="24"/>
        </w:rPr>
        <w:t>Agency</w:t>
      </w:r>
      <w:r w:rsidRPr="003B4362">
        <w:rPr>
          <w:rFonts w:eastAsia="Calibri"/>
          <w:szCs w:val="24"/>
        </w:rPr>
        <w:t xml:space="preserve"> the number of customer refusals or non-responses it received from customers </w:t>
      </w:r>
      <w:bookmarkStart w:id="2870" w:name="_Hlk124860810"/>
      <w:r w:rsidR="00A416FE" w:rsidRPr="003B4362">
        <w:rPr>
          <w:rFonts w:eastAsia="Calibri"/>
          <w:szCs w:val="24"/>
        </w:rPr>
        <w:t xml:space="preserve">the supplier </w:t>
      </w:r>
      <w:r w:rsidRPr="003B4362">
        <w:rPr>
          <w:rFonts w:eastAsia="Calibri"/>
          <w:szCs w:val="24"/>
        </w:rPr>
        <w:t>serve</w:t>
      </w:r>
      <w:r w:rsidR="00A416FE" w:rsidRPr="003B4362">
        <w:rPr>
          <w:rFonts w:eastAsia="Calibri"/>
          <w:szCs w:val="24"/>
        </w:rPr>
        <w:t>s</w:t>
      </w:r>
      <w:r w:rsidRPr="003B4362">
        <w:rPr>
          <w:rFonts w:eastAsia="Calibri"/>
          <w:szCs w:val="24"/>
        </w:rPr>
        <w:t xml:space="preserve"> </w:t>
      </w:r>
      <w:r w:rsidR="00A416FE" w:rsidRPr="003B4362">
        <w:rPr>
          <w:rFonts w:eastAsia="Calibri"/>
          <w:szCs w:val="24"/>
        </w:rPr>
        <w:t>through</w:t>
      </w:r>
      <w:r w:rsidRPr="003B4362">
        <w:rPr>
          <w:rFonts w:eastAsia="Calibri"/>
          <w:szCs w:val="24"/>
        </w:rPr>
        <w:t xml:space="preserve"> a </w:t>
      </w:r>
      <w:r w:rsidR="00D738A4" w:rsidRPr="003B4362">
        <w:rPr>
          <w:rFonts w:eastAsia="Calibri"/>
          <w:szCs w:val="24"/>
        </w:rPr>
        <w:t>lead or galvanized requiring re</w:t>
      </w:r>
      <w:r w:rsidRPr="003B4362">
        <w:rPr>
          <w:rFonts w:eastAsia="Calibri"/>
          <w:szCs w:val="24"/>
        </w:rPr>
        <w:t>placement service line</w:t>
      </w:r>
      <w:bookmarkEnd w:id="2870"/>
      <w:r w:rsidR="00A416FE" w:rsidRPr="003B4362">
        <w:rPr>
          <w:rFonts w:eastAsia="Calibri"/>
          <w:szCs w:val="24"/>
        </w:rPr>
        <w:t>.  T</w:t>
      </w:r>
      <w:bookmarkStart w:id="2871" w:name="_Hlk124861231"/>
      <w:r w:rsidR="00A416FE" w:rsidRPr="003B4362">
        <w:rPr>
          <w:rFonts w:eastAsia="Calibri"/>
          <w:szCs w:val="24"/>
        </w:rPr>
        <w:t>he supplier must</w:t>
      </w:r>
      <w:r w:rsidRPr="003B4362">
        <w:rPr>
          <w:rFonts w:eastAsia="Calibri"/>
          <w:szCs w:val="24"/>
        </w:rPr>
        <w:t xml:space="preserve"> maintain </w:t>
      </w:r>
      <w:bookmarkEnd w:id="2871"/>
      <w:r w:rsidR="00A416FE" w:rsidRPr="003B4362">
        <w:rPr>
          <w:rFonts w:eastAsia="Calibri"/>
          <w:szCs w:val="24"/>
        </w:rPr>
        <w:t>these documents</w:t>
      </w:r>
      <w:r w:rsidRPr="003B4362">
        <w:rPr>
          <w:rFonts w:eastAsia="Calibri"/>
          <w:szCs w:val="24"/>
        </w:rPr>
        <w:t>.</w:t>
      </w:r>
    </w:p>
    <w:p w14:paraId="341218D9" w14:textId="71608306" w:rsidR="005451CE" w:rsidRPr="003B4362" w:rsidRDefault="002B526F" w:rsidP="005451CE">
      <w:pPr>
        <w:spacing w:before="240" w:after="240"/>
        <w:ind w:left="2160" w:hanging="720"/>
        <w:rPr>
          <w:rFonts w:eastAsia="Calibri"/>
        </w:rPr>
      </w:pPr>
      <w:r w:rsidRPr="003B4362">
        <w:rPr>
          <w:szCs w:val="24"/>
        </w:rPr>
        <w:t>9</w:t>
      </w:r>
      <w:r w:rsidR="005451CE" w:rsidRPr="003B4362">
        <w:rPr>
          <w:rFonts w:eastAsia="Calibri"/>
        </w:rPr>
        <w:t>)</w:t>
      </w:r>
      <w:r w:rsidR="005451CE" w:rsidRPr="003B4362">
        <w:rPr>
          <w:rFonts w:eastAsia="Calibri"/>
        </w:rPr>
        <w:tab/>
      </w:r>
      <w:bookmarkStart w:id="2872" w:name="_Hlk124964537"/>
      <w:r w:rsidR="005451CE" w:rsidRPr="003B4362">
        <w:rPr>
          <w:rFonts w:eastAsia="Calibri"/>
        </w:rPr>
        <w:t xml:space="preserve">No later than 12 months after the end of a </w:t>
      </w:r>
      <w:bookmarkStart w:id="2873" w:name="_Hlk115298769"/>
      <w:r w:rsidR="00EE4351" w:rsidRPr="003B4362">
        <w:rPr>
          <w:szCs w:val="24"/>
        </w:rPr>
        <w:t xml:space="preserve">tap sampling </w:t>
      </w:r>
      <w:r w:rsidR="005451CE" w:rsidRPr="003B4362">
        <w:rPr>
          <w:rFonts w:eastAsia="Calibri"/>
        </w:rPr>
        <w:t>period during which</w:t>
      </w:r>
      <w:bookmarkEnd w:id="2873"/>
      <w:r w:rsidR="005451CE" w:rsidRPr="003B4362">
        <w:rPr>
          <w:rFonts w:eastAsia="Calibri"/>
        </w:rPr>
        <w:t xml:space="preserve"> a supplier exceeds the lead action level in </w:t>
      </w:r>
      <w:bookmarkStart w:id="2874" w:name="_Hlk115298828"/>
      <w:r w:rsidR="005451CE" w:rsidRPr="003B4362">
        <w:rPr>
          <w:rFonts w:eastAsia="Calibri"/>
        </w:rPr>
        <w:t>sampling under Section</w:t>
      </w:r>
      <w:r w:rsidR="00C45AA5" w:rsidRPr="003B4362">
        <w:rPr>
          <w:rFonts w:eastAsia="Calibri"/>
        </w:rPr>
        <w:t xml:space="preserve"> </w:t>
      </w:r>
      <w:r w:rsidR="00C45AA5" w:rsidRPr="003B4362">
        <w:rPr>
          <w:rFonts w:eastAsia="Calibri"/>
        </w:rPr>
        <w:lastRenderedPageBreak/>
        <w:t>611.356</w:t>
      </w:r>
      <w:bookmarkEnd w:id="2874"/>
      <w:r w:rsidR="005451CE" w:rsidRPr="003B4362">
        <w:rPr>
          <w:rFonts w:eastAsia="Calibri"/>
        </w:rPr>
        <w:t xml:space="preserve">, </w:t>
      </w:r>
      <w:bookmarkStart w:id="2875" w:name="_Hlk124883555"/>
      <w:r w:rsidR="005451CE" w:rsidRPr="003B4362">
        <w:rPr>
          <w:rFonts w:eastAsia="Calibri"/>
        </w:rPr>
        <w:t xml:space="preserve">the supplier must </w:t>
      </w:r>
      <w:bookmarkStart w:id="2876" w:name="_Hlk115298912"/>
      <w:r w:rsidR="005F10DA" w:rsidRPr="003B4362">
        <w:rPr>
          <w:szCs w:val="24"/>
        </w:rPr>
        <w:t xml:space="preserve">provide </w:t>
      </w:r>
      <w:r w:rsidR="00767476" w:rsidRPr="003B4362">
        <w:rPr>
          <w:rFonts w:eastAsia="Calibri"/>
        </w:rPr>
        <w:t xml:space="preserve">to the Agency </w:t>
      </w:r>
      <w:r w:rsidR="00936536" w:rsidRPr="003B4362">
        <w:rPr>
          <w:szCs w:val="24"/>
        </w:rPr>
        <w:t xml:space="preserve">its schedule for </w:t>
      </w:r>
      <w:bookmarkStart w:id="2877" w:name="_Hlk124881634"/>
      <w:r w:rsidR="00936536" w:rsidRPr="003B4362">
        <w:rPr>
          <w:szCs w:val="24"/>
        </w:rPr>
        <w:t>annually replacing</w:t>
      </w:r>
      <w:r w:rsidR="004875D4" w:rsidRPr="003B4362">
        <w:rPr>
          <w:szCs w:val="24"/>
        </w:rPr>
        <w:t xml:space="preserve"> </w:t>
      </w:r>
      <w:r w:rsidR="00806A1E" w:rsidRPr="003B4362">
        <w:rPr>
          <w:szCs w:val="24"/>
        </w:rPr>
        <w:t xml:space="preserve">an average annual rate of at least three percent on a two-year rolling average basis, or as specified in </w:t>
      </w:r>
      <w:bookmarkStart w:id="2878" w:name="_Hlk124958176"/>
      <w:bookmarkEnd w:id="2877"/>
      <w:bookmarkEnd w:id="2875"/>
      <w:r w:rsidR="00A4427B" w:rsidRPr="003B4362">
        <w:rPr>
          <w:szCs w:val="24"/>
        </w:rPr>
        <w:t xml:space="preserve">Section </w:t>
      </w:r>
      <w:r w:rsidR="00806A1E" w:rsidRPr="003B4362">
        <w:rPr>
          <w:szCs w:val="24"/>
        </w:rPr>
        <w:t>611.354</w:t>
      </w:r>
      <w:r w:rsidR="00A4427B" w:rsidRPr="003B4362">
        <w:rPr>
          <w:szCs w:val="24"/>
        </w:rPr>
        <w:t>(g)</w:t>
      </w:r>
      <w:bookmarkEnd w:id="2878"/>
      <w:r w:rsidR="00806A1E" w:rsidRPr="003B4362">
        <w:rPr>
          <w:szCs w:val="24"/>
        </w:rPr>
        <w:t>, of the number of known lead service lines and galvanized lines requiring replacement when the lead trigger or action level was first exceeded and lead status unknown service lines at the beginning of each year that required replacement occurs in its distribution system</w:t>
      </w:r>
      <w:r w:rsidR="00A4427B" w:rsidRPr="003B4362">
        <w:rPr>
          <w:szCs w:val="24"/>
        </w:rPr>
        <w:t>.</w:t>
      </w:r>
      <w:bookmarkEnd w:id="2876"/>
      <w:r w:rsidR="005451CE" w:rsidRPr="003B4362">
        <w:rPr>
          <w:rFonts w:eastAsia="Calibri"/>
        </w:rPr>
        <w:t>:</w:t>
      </w:r>
    </w:p>
    <w:bookmarkEnd w:id="2872"/>
    <w:p w14:paraId="6605DCED" w14:textId="5A4E52CB" w:rsidR="005451CE" w:rsidRPr="003B4362" w:rsidRDefault="00071938" w:rsidP="005451CE">
      <w:pPr>
        <w:spacing w:before="240" w:after="240"/>
        <w:ind w:left="2160" w:hanging="720"/>
        <w:rPr>
          <w:rFonts w:eastAsia="Calibri"/>
        </w:rPr>
      </w:pPr>
      <w:r w:rsidRPr="003B4362">
        <w:rPr>
          <w:szCs w:val="24"/>
        </w:rPr>
        <w:t>10</w:t>
      </w:r>
      <w:r w:rsidR="005451CE" w:rsidRPr="003B4362">
        <w:rPr>
          <w:rFonts w:eastAsia="Calibri"/>
        </w:rPr>
        <w:t>)</w:t>
      </w:r>
      <w:r w:rsidR="005451CE" w:rsidRPr="003B4362">
        <w:rPr>
          <w:rFonts w:eastAsia="Calibri"/>
        </w:rPr>
        <w:tab/>
        <w:t xml:space="preserve">No later than 12 months after the end of a </w:t>
      </w:r>
      <w:r w:rsidR="001167E6" w:rsidRPr="003B4362">
        <w:rPr>
          <w:szCs w:val="24"/>
        </w:rPr>
        <w:t xml:space="preserve">sampling </w:t>
      </w:r>
      <w:r w:rsidR="005451CE" w:rsidRPr="003B4362">
        <w:rPr>
          <w:rFonts w:eastAsia="Calibri"/>
        </w:rPr>
        <w:t xml:space="preserve">period during which a supplier exceeds the lead </w:t>
      </w:r>
      <w:r w:rsidR="001167E6" w:rsidRPr="003B4362">
        <w:rPr>
          <w:szCs w:val="24"/>
        </w:rPr>
        <w:t xml:space="preserve">trigger </w:t>
      </w:r>
      <w:r w:rsidR="005451CE" w:rsidRPr="003B4362">
        <w:rPr>
          <w:rFonts w:eastAsia="Calibri"/>
        </w:rPr>
        <w:t xml:space="preserve">level in monitoring under Section </w:t>
      </w:r>
      <w:r w:rsidR="001167E6" w:rsidRPr="003B4362">
        <w:rPr>
          <w:szCs w:val="24"/>
        </w:rPr>
        <w:t xml:space="preserve">611.356 </w:t>
      </w:r>
      <w:r w:rsidR="005451CE" w:rsidRPr="003B4362">
        <w:rPr>
          <w:rFonts w:eastAsia="Calibri"/>
        </w:rPr>
        <w:t xml:space="preserve">and every 12 months after that, the supplier must </w:t>
      </w:r>
      <w:r w:rsidR="001167E6" w:rsidRPr="003B4362">
        <w:rPr>
          <w:szCs w:val="24"/>
        </w:rPr>
        <w:t xml:space="preserve">certify </w:t>
      </w:r>
      <w:r w:rsidR="005451CE" w:rsidRPr="003B4362">
        <w:rPr>
          <w:rFonts w:eastAsia="Calibri"/>
        </w:rPr>
        <w:t>to the Agency in writing:</w:t>
      </w:r>
    </w:p>
    <w:p w14:paraId="52B96A45" w14:textId="77777777" w:rsidR="008012B0" w:rsidRPr="003B4362" w:rsidRDefault="00E44B27" w:rsidP="00E44B2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That the supplier conducted consumer notification</w:t>
      </w:r>
      <w:r w:rsidR="00221CDB" w:rsidRPr="003B4362">
        <w:rPr>
          <w:rFonts w:eastAsia="Calibri"/>
          <w:szCs w:val="24"/>
        </w:rPr>
        <w:t>,</w:t>
      </w:r>
      <w:r w:rsidRPr="003B4362">
        <w:rPr>
          <w:rFonts w:eastAsia="Calibri"/>
          <w:szCs w:val="24"/>
        </w:rPr>
        <w:t xml:space="preserve"> </w:t>
      </w:r>
      <w:bookmarkStart w:id="2879" w:name="_Hlk124972470"/>
      <w:bookmarkStart w:id="2880" w:name="_Hlk124972617"/>
      <w:r w:rsidRPr="003B4362">
        <w:rPr>
          <w:rFonts w:eastAsia="Calibri"/>
          <w:szCs w:val="24"/>
        </w:rPr>
        <w:t xml:space="preserve">as Sections </w:t>
      </w:r>
      <w:r w:rsidRPr="003B4362">
        <w:rPr>
          <w:szCs w:val="24"/>
        </w:rPr>
        <w:t>611.35</w:t>
      </w:r>
      <w:r w:rsidRPr="003B4362">
        <w:rPr>
          <w:rFonts w:eastAsia="Calibri"/>
          <w:szCs w:val="24"/>
        </w:rPr>
        <w:t xml:space="preserve">4(f)(4) and </w:t>
      </w:r>
      <w:r w:rsidRPr="003B4362">
        <w:rPr>
          <w:szCs w:val="24"/>
        </w:rPr>
        <w:t>611.35</w:t>
      </w:r>
      <w:r w:rsidRPr="003B4362">
        <w:rPr>
          <w:rFonts w:eastAsia="Calibri"/>
          <w:szCs w:val="24"/>
        </w:rPr>
        <w:t>5(g)</w:t>
      </w:r>
      <w:bookmarkEnd w:id="2879"/>
      <w:r w:rsidRPr="003B4362">
        <w:rPr>
          <w:rFonts w:eastAsia="Calibri"/>
          <w:szCs w:val="24"/>
        </w:rPr>
        <w:t xml:space="preserve"> require</w:t>
      </w:r>
      <w:bookmarkEnd w:id="2880"/>
      <w:r w:rsidRPr="003B4362">
        <w:rPr>
          <w:rFonts w:eastAsia="Calibri"/>
          <w:szCs w:val="24"/>
        </w:rPr>
        <w:t>; and</w:t>
      </w:r>
      <w:r w:rsidR="004519CE" w:rsidRPr="003B4362">
        <w:rPr>
          <w:rFonts w:eastAsia="Calibri"/>
          <w:szCs w:val="24"/>
        </w:rPr>
        <w:t xml:space="preserve"> </w:t>
      </w:r>
    </w:p>
    <w:p w14:paraId="50DFDC76" w14:textId="77777777" w:rsidR="008012B0" w:rsidRPr="003B4362" w:rsidRDefault="00E44B27" w:rsidP="00E44B2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r w:rsidR="00221CDB" w:rsidRPr="003B4362">
        <w:rPr>
          <w:rFonts w:eastAsia="Calibri"/>
          <w:szCs w:val="24"/>
        </w:rPr>
        <w:t>That the supplier d</w:t>
      </w:r>
      <w:r w:rsidRPr="003B4362">
        <w:rPr>
          <w:rFonts w:eastAsia="Calibri"/>
          <w:szCs w:val="24"/>
        </w:rPr>
        <w:t>elivered public education materials to the affected consumers</w:t>
      </w:r>
      <w:r w:rsidR="003A239E" w:rsidRPr="003B4362">
        <w:rPr>
          <w:rFonts w:eastAsia="Calibri"/>
          <w:szCs w:val="24"/>
        </w:rPr>
        <w:t>,</w:t>
      </w:r>
      <w:r w:rsidRPr="003B4362">
        <w:rPr>
          <w:rFonts w:eastAsia="Calibri"/>
          <w:szCs w:val="24"/>
        </w:rPr>
        <w:t xml:space="preserve"> as specified in </w:t>
      </w:r>
      <w:bookmarkStart w:id="2881" w:name="_Hlk124973968"/>
      <w:r w:rsidRPr="003B4362">
        <w:rPr>
          <w:rFonts w:eastAsia="Calibri"/>
          <w:szCs w:val="24"/>
        </w:rPr>
        <w:t xml:space="preserve">Section </w:t>
      </w:r>
      <w:r w:rsidR="003A239E" w:rsidRPr="003B4362">
        <w:rPr>
          <w:szCs w:val="24"/>
        </w:rPr>
        <w:t>611.35</w:t>
      </w:r>
      <w:r w:rsidRPr="003B4362">
        <w:rPr>
          <w:rFonts w:eastAsia="Calibri"/>
          <w:szCs w:val="24"/>
        </w:rPr>
        <w:t>5(a)</w:t>
      </w:r>
      <w:bookmarkEnd w:id="2881"/>
      <w:r w:rsidRPr="003B4362">
        <w:rPr>
          <w:rFonts w:eastAsia="Calibri"/>
          <w:szCs w:val="24"/>
        </w:rPr>
        <w:t>.</w:t>
      </w:r>
      <w:r w:rsidR="004519CE" w:rsidRPr="003B4362">
        <w:rPr>
          <w:rFonts w:eastAsia="Calibri"/>
          <w:szCs w:val="24"/>
        </w:rPr>
        <w:t xml:space="preserve">  </w:t>
      </w:r>
    </w:p>
    <w:p w14:paraId="7E94BF31" w14:textId="2E2EB4EE" w:rsidR="00E44B27" w:rsidRPr="003B4362" w:rsidRDefault="00E44B27" w:rsidP="00E44B27">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r>
      <w:bookmarkStart w:id="2882" w:name="_Hlk124973062"/>
      <w:r w:rsidR="00221CDB" w:rsidRPr="003B4362">
        <w:rPr>
          <w:rFonts w:eastAsia="Calibri"/>
          <w:szCs w:val="24"/>
        </w:rPr>
        <w:t>I</w:t>
      </w:r>
      <w:bookmarkStart w:id="2883" w:name="_Hlk124973359"/>
      <w:r w:rsidR="00221CDB" w:rsidRPr="003B4362">
        <w:rPr>
          <w:rFonts w:eastAsia="Calibri"/>
          <w:szCs w:val="24"/>
        </w:rPr>
        <w:t xml:space="preserve">f a supplier </w:t>
      </w:r>
      <w:r w:rsidRPr="003B4362">
        <w:rPr>
          <w:rFonts w:eastAsia="Calibri"/>
          <w:szCs w:val="24"/>
        </w:rPr>
        <w:t xml:space="preserve">does not </w:t>
      </w:r>
      <w:r w:rsidR="00221CDB" w:rsidRPr="003B4362">
        <w:rPr>
          <w:rFonts w:eastAsia="Calibri"/>
          <w:szCs w:val="24"/>
        </w:rPr>
        <w:t>fu</w:t>
      </w:r>
      <w:r w:rsidR="00804EE0" w:rsidRPr="003B4362">
        <w:rPr>
          <w:rFonts w:eastAsia="Calibri"/>
          <w:szCs w:val="24"/>
        </w:rPr>
        <w:t>l</w:t>
      </w:r>
      <w:r w:rsidR="00221CDB" w:rsidRPr="003B4362">
        <w:rPr>
          <w:rFonts w:eastAsia="Calibri"/>
          <w:szCs w:val="24"/>
        </w:rPr>
        <w:t>fill</w:t>
      </w:r>
      <w:r w:rsidRPr="003B4362">
        <w:rPr>
          <w:rFonts w:eastAsia="Calibri"/>
          <w:szCs w:val="24"/>
        </w:rPr>
        <w:t xml:space="preserve"> its annual service line replacement goal</w:t>
      </w:r>
      <w:bookmarkEnd w:id="2882"/>
      <w:r w:rsidR="00804EE0" w:rsidRPr="003B4362">
        <w:rPr>
          <w:rFonts w:eastAsia="Calibri"/>
          <w:szCs w:val="24"/>
        </w:rPr>
        <w:t xml:space="preserve"> </w:t>
      </w:r>
      <w:r w:rsidRPr="003B4362">
        <w:rPr>
          <w:rFonts w:eastAsia="Calibri"/>
          <w:szCs w:val="24"/>
        </w:rPr>
        <w:t xml:space="preserve">under Section </w:t>
      </w:r>
      <w:r w:rsidR="00804EE0" w:rsidRPr="003B4362">
        <w:rPr>
          <w:szCs w:val="24"/>
        </w:rPr>
        <w:t>611.35</w:t>
      </w:r>
      <w:r w:rsidRPr="003B4362">
        <w:rPr>
          <w:rFonts w:eastAsia="Calibri"/>
          <w:szCs w:val="24"/>
        </w:rPr>
        <w:t>4(f)</w:t>
      </w:r>
      <w:bookmarkEnd w:id="2883"/>
      <w:r w:rsidR="00804EE0" w:rsidRPr="003B4362">
        <w:rPr>
          <w:rFonts w:eastAsia="Calibri"/>
          <w:szCs w:val="24"/>
        </w:rPr>
        <w:t>,</w:t>
      </w:r>
      <w:r w:rsidRPr="003B4362">
        <w:rPr>
          <w:rFonts w:eastAsia="Calibri"/>
          <w:szCs w:val="24"/>
        </w:rPr>
        <w:t xml:space="preserve"> </w:t>
      </w:r>
      <w:r w:rsidR="00804EE0" w:rsidRPr="003B4362">
        <w:rPr>
          <w:rFonts w:eastAsia="Calibri"/>
          <w:szCs w:val="24"/>
        </w:rPr>
        <w:t xml:space="preserve">it </w:t>
      </w:r>
      <w:r w:rsidRPr="003B4362">
        <w:rPr>
          <w:rFonts w:eastAsia="Calibri"/>
          <w:szCs w:val="24"/>
        </w:rPr>
        <w:t xml:space="preserve">must certify to the </w:t>
      </w:r>
      <w:r w:rsidR="00804EE0" w:rsidRPr="003B4362">
        <w:rPr>
          <w:rFonts w:eastAsia="Calibri"/>
          <w:szCs w:val="24"/>
        </w:rPr>
        <w:t>Agency</w:t>
      </w:r>
      <w:r w:rsidRPr="003B4362">
        <w:rPr>
          <w:rFonts w:eastAsia="Calibri"/>
          <w:szCs w:val="24"/>
        </w:rPr>
        <w:t xml:space="preserve"> in writing that </w:t>
      </w:r>
      <w:bookmarkStart w:id="2884" w:name="_Hlk124975762"/>
      <w:r w:rsidRPr="003B4362">
        <w:rPr>
          <w:rFonts w:eastAsia="Calibri"/>
          <w:szCs w:val="24"/>
        </w:rPr>
        <w:t xml:space="preserve">the </w:t>
      </w:r>
      <w:r w:rsidR="006444BB" w:rsidRPr="003B4362">
        <w:rPr>
          <w:rFonts w:eastAsia="Calibri"/>
          <w:szCs w:val="24"/>
        </w:rPr>
        <w:t>supplier</w:t>
      </w:r>
      <w:r w:rsidRPr="003B4362">
        <w:rPr>
          <w:rFonts w:eastAsia="Calibri"/>
          <w:szCs w:val="24"/>
        </w:rPr>
        <w:t xml:space="preserve"> conducted public outreach</w:t>
      </w:r>
      <w:bookmarkEnd w:id="2884"/>
      <w:r w:rsidR="006444BB" w:rsidRPr="003B4362">
        <w:rPr>
          <w:rFonts w:eastAsia="Calibri"/>
          <w:szCs w:val="24"/>
        </w:rPr>
        <w:t>,</w:t>
      </w:r>
      <w:r w:rsidRPr="003B4362">
        <w:rPr>
          <w:rFonts w:eastAsia="Calibri"/>
          <w:szCs w:val="24"/>
        </w:rPr>
        <w:t xml:space="preserve"> </w:t>
      </w:r>
      <w:bookmarkStart w:id="2885" w:name="_Hlk124976072"/>
      <w:r w:rsidRPr="003B4362">
        <w:rPr>
          <w:rFonts w:eastAsia="Calibri"/>
          <w:szCs w:val="24"/>
        </w:rPr>
        <w:t>as</w:t>
      </w:r>
      <w:r w:rsidR="006444BB" w:rsidRPr="003B4362">
        <w:rPr>
          <w:rFonts w:eastAsia="Calibri"/>
          <w:szCs w:val="24"/>
        </w:rPr>
        <w:t xml:space="preserve"> </w:t>
      </w:r>
      <w:r w:rsidRPr="003B4362">
        <w:rPr>
          <w:rFonts w:eastAsia="Calibri"/>
          <w:szCs w:val="24"/>
        </w:rPr>
        <w:t>Section 141.85(h)</w:t>
      </w:r>
      <w:r w:rsidR="006444BB" w:rsidRPr="003B4362">
        <w:rPr>
          <w:rFonts w:eastAsia="Calibri"/>
          <w:szCs w:val="24"/>
        </w:rPr>
        <w:t xml:space="preserve"> requires</w:t>
      </w:r>
      <w:bookmarkEnd w:id="2885"/>
      <w:r w:rsidRPr="003B4362">
        <w:rPr>
          <w:rFonts w:eastAsia="Calibri"/>
          <w:szCs w:val="24"/>
        </w:rPr>
        <w:t>.  T</w:t>
      </w:r>
      <w:bookmarkStart w:id="2886" w:name="_Hlk124976120"/>
      <w:r w:rsidRPr="003B4362">
        <w:rPr>
          <w:rFonts w:eastAsia="Calibri"/>
          <w:szCs w:val="24"/>
        </w:rPr>
        <w:t xml:space="preserve">he </w:t>
      </w:r>
      <w:bookmarkEnd w:id="2886"/>
      <w:r w:rsidR="0069030D" w:rsidRPr="003B4362">
        <w:rPr>
          <w:rFonts w:eastAsia="Calibri"/>
          <w:szCs w:val="24"/>
        </w:rPr>
        <w:t>supplier</w:t>
      </w:r>
      <w:r w:rsidRPr="003B4362">
        <w:rPr>
          <w:rFonts w:eastAsia="Calibri"/>
          <w:szCs w:val="24"/>
        </w:rPr>
        <w:t xml:space="preserve"> must also </w:t>
      </w:r>
      <w:bookmarkStart w:id="2887" w:name="_Hlk124976389"/>
      <w:r w:rsidRPr="003B4362">
        <w:rPr>
          <w:rFonts w:eastAsia="Calibri"/>
          <w:szCs w:val="24"/>
        </w:rPr>
        <w:t xml:space="preserve">submit the outreach materials </w:t>
      </w:r>
      <w:r w:rsidR="0069030D" w:rsidRPr="003B4362">
        <w:rPr>
          <w:rFonts w:eastAsia="Calibri"/>
          <w:szCs w:val="24"/>
        </w:rPr>
        <w:t xml:space="preserve">it </w:t>
      </w:r>
      <w:r w:rsidRPr="003B4362">
        <w:rPr>
          <w:rFonts w:eastAsia="Calibri"/>
          <w:szCs w:val="24"/>
        </w:rPr>
        <w:t xml:space="preserve">used to the </w:t>
      </w:r>
      <w:r w:rsidR="0069030D" w:rsidRPr="003B4362">
        <w:rPr>
          <w:rFonts w:eastAsia="Calibri"/>
          <w:szCs w:val="24"/>
        </w:rPr>
        <w:t>Agency</w:t>
      </w:r>
      <w:bookmarkEnd w:id="2887"/>
      <w:r w:rsidRPr="003B4362">
        <w:rPr>
          <w:rFonts w:eastAsia="Calibri"/>
          <w:szCs w:val="24"/>
        </w:rPr>
        <w:t>.</w:t>
      </w:r>
    </w:p>
    <w:p w14:paraId="4F041E11" w14:textId="14F1CD73" w:rsidR="005451CE" w:rsidRPr="003B4362" w:rsidRDefault="00071938" w:rsidP="005451CE">
      <w:pPr>
        <w:spacing w:before="240" w:after="240"/>
        <w:ind w:left="2160" w:hanging="720"/>
        <w:rPr>
          <w:rFonts w:eastAsia="Calibri"/>
        </w:rPr>
      </w:pPr>
      <w:r w:rsidRPr="003B4362">
        <w:rPr>
          <w:szCs w:val="24"/>
        </w:rPr>
        <w:t>11</w:t>
      </w:r>
      <w:r w:rsidR="005451CE" w:rsidRPr="003B4362">
        <w:rPr>
          <w:rFonts w:eastAsia="Calibri"/>
        </w:rPr>
        <w:t>)</w:t>
      </w:r>
      <w:r w:rsidR="005451CE" w:rsidRPr="003B4362">
        <w:rPr>
          <w:rFonts w:eastAsia="Calibri"/>
        </w:rPr>
        <w:tab/>
        <w:t xml:space="preserve">The annual </w:t>
      </w:r>
      <w:bookmarkStart w:id="2888" w:name="_Hlk115345716"/>
      <w:r w:rsidR="00877987" w:rsidRPr="003B4362">
        <w:rPr>
          <w:rFonts w:eastAsia="Calibri"/>
          <w:szCs w:val="24"/>
        </w:rPr>
        <w:t xml:space="preserve">certification </w:t>
      </w:r>
      <w:r w:rsidR="00877987" w:rsidRPr="003B4362">
        <w:rPr>
          <w:rFonts w:eastAsia="Calibri"/>
        </w:rPr>
        <w:t xml:space="preserve">the supplier submits </w:t>
      </w:r>
      <w:r w:rsidR="005451CE" w:rsidRPr="003B4362">
        <w:rPr>
          <w:rFonts w:eastAsia="Calibri"/>
        </w:rPr>
        <w:t>to the Agency</w:t>
      </w:r>
      <w:bookmarkEnd w:id="2888"/>
      <w:r w:rsidR="005451CE" w:rsidRPr="003B4362">
        <w:rPr>
          <w:rFonts w:eastAsia="Calibri"/>
        </w:rPr>
        <w:t xml:space="preserve"> under subsection (e)(</w:t>
      </w:r>
      <w:r w:rsidR="00877987" w:rsidRPr="003B4362">
        <w:rPr>
          <w:rFonts w:eastAsia="Calibri"/>
        </w:rPr>
        <w:t>10</w:t>
      </w:r>
      <w:r w:rsidR="005451CE" w:rsidRPr="003B4362">
        <w:rPr>
          <w:rFonts w:eastAsia="Calibri"/>
        </w:rPr>
        <w:t xml:space="preserve">) </w:t>
      </w:r>
      <w:bookmarkStart w:id="2889" w:name="_Hlk115345803"/>
      <w:r w:rsidR="005451CE" w:rsidRPr="003B4362">
        <w:rPr>
          <w:rFonts w:eastAsia="Calibri"/>
        </w:rPr>
        <w:t>must</w:t>
      </w:r>
      <w:bookmarkStart w:id="2890" w:name="_Hlk124978210"/>
      <w:bookmarkStart w:id="2891" w:name="_Hlk124978992"/>
      <w:r w:rsidR="00115F12" w:rsidRPr="003B4362">
        <w:rPr>
          <w:szCs w:val="24"/>
        </w:rPr>
        <w:t xml:space="preserve"> certify that the supplier provided the results from samples it collected</w:t>
      </w:r>
      <w:bookmarkStart w:id="2892" w:name="_Hlk124979964"/>
      <w:bookmarkEnd w:id="2890"/>
      <w:r w:rsidR="00115F12" w:rsidRPr="003B4362">
        <w:rPr>
          <w:szCs w:val="24"/>
        </w:rPr>
        <w:t xml:space="preserve"> </w:t>
      </w:r>
      <w:bookmarkEnd w:id="2892"/>
      <w:r w:rsidR="00115F12" w:rsidRPr="003B4362">
        <w:rPr>
          <w:szCs w:val="24"/>
        </w:rPr>
        <w:t>between three months and six months after fully or partially replacing a lead service line to the resident</w:t>
      </w:r>
      <w:bookmarkEnd w:id="2891"/>
      <w:r w:rsidR="00115F12" w:rsidRPr="003B4362">
        <w:rPr>
          <w:szCs w:val="24"/>
        </w:rPr>
        <w:t xml:space="preserve"> </w:t>
      </w:r>
      <w:bookmarkStart w:id="2893" w:name="_Hlk124979065"/>
      <w:bookmarkStart w:id="2894" w:name="_Hlk124979192"/>
      <w:r w:rsidR="00115F12" w:rsidRPr="003B4362">
        <w:rPr>
          <w:szCs w:val="24"/>
        </w:rPr>
        <w:t>within the timeframe Section 611.355(d)(2)</w:t>
      </w:r>
      <w:bookmarkEnd w:id="2893"/>
      <w:r w:rsidR="00115F12" w:rsidRPr="003B4362">
        <w:rPr>
          <w:szCs w:val="24"/>
        </w:rPr>
        <w:t xml:space="preserve"> requires</w:t>
      </w:r>
      <w:bookmarkEnd w:id="2894"/>
      <w:r w:rsidR="00115F12" w:rsidRPr="003B4362">
        <w:rPr>
          <w:szCs w:val="24"/>
        </w:rPr>
        <w:t xml:space="preserve">.  A mailed notice postmarked within three business days after receiving the results </w:t>
      </w:r>
      <w:bookmarkStart w:id="2895" w:name="_Hlk124979718"/>
      <w:r w:rsidR="00115F12" w:rsidRPr="003B4362">
        <w:rPr>
          <w:szCs w:val="24"/>
        </w:rPr>
        <w:t>is timely</w:t>
      </w:r>
      <w:bookmarkEnd w:id="2895"/>
      <w:r w:rsidR="00115F12" w:rsidRPr="003B4362">
        <w:rPr>
          <w:szCs w:val="24"/>
        </w:rPr>
        <w:t>.</w:t>
      </w:r>
      <w:bookmarkEnd w:id="2889"/>
    </w:p>
    <w:p w14:paraId="340531DB" w14:textId="62666D11" w:rsidR="005451CE" w:rsidRPr="003B4362" w:rsidRDefault="00071938" w:rsidP="005451CE">
      <w:pPr>
        <w:spacing w:before="240" w:after="240"/>
        <w:ind w:left="2160" w:hanging="720"/>
        <w:rPr>
          <w:rFonts w:eastAsia="Calibri"/>
        </w:rPr>
      </w:pPr>
      <w:r w:rsidRPr="003B4362">
        <w:rPr>
          <w:szCs w:val="24"/>
        </w:rPr>
        <w:t>12</w:t>
      </w:r>
      <w:r w:rsidR="005451CE" w:rsidRPr="003B4362">
        <w:rPr>
          <w:rFonts w:eastAsia="Calibri"/>
        </w:rPr>
        <w:t>)</w:t>
      </w:r>
      <w:r w:rsidR="005451CE" w:rsidRPr="003B4362">
        <w:rPr>
          <w:rFonts w:eastAsia="Calibri"/>
        </w:rPr>
        <w:tab/>
        <w:t>A</w:t>
      </w:r>
      <w:bookmarkStart w:id="2896" w:name="_Hlk115347122"/>
      <w:r w:rsidR="005451CE" w:rsidRPr="003B4362">
        <w:rPr>
          <w:rFonts w:eastAsia="Calibri"/>
        </w:rPr>
        <w:t>ny supplier collecting samples</w:t>
      </w:r>
      <w:bookmarkEnd w:id="2896"/>
      <w:r w:rsidR="005451CE" w:rsidRPr="003B4362">
        <w:rPr>
          <w:rFonts w:eastAsia="Calibri"/>
        </w:rPr>
        <w:t xml:space="preserve"> following partial lead service line </w:t>
      </w:r>
      <w:bookmarkStart w:id="2897" w:name="_Hlk115347192"/>
      <w:r w:rsidR="005451CE" w:rsidRPr="003B4362">
        <w:rPr>
          <w:rFonts w:eastAsia="Calibri"/>
        </w:rPr>
        <w:t xml:space="preserve">replacement Section 611.354 </w:t>
      </w:r>
      <w:r w:rsidR="00050AF4" w:rsidRPr="003B4362">
        <w:rPr>
          <w:rFonts w:eastAsia="Calibri"/>
        </w:rPr>
        <w:t xml:space="preserve">requirements </w:t>
      </w:r>
      <w:bookmarkEnd w:id="2897"/>
      <w:r w:rsidR="005451CE" w:rsidRPr="003B4362">
        <w:rPr>
          <w:rFonts w:eastAsia="Calibri"/>
        </w:rPr>
        <w:t xml:space="preserve">must report the results to the Agency </w:t>
      </w:r>
      <w:bookmarkStart w:id="2898" w:name="_Hlk115347387"/>
      <w:r w:rsidR="005451CE" w:rsidRPr="003B4362">
        <w:rPr>
          <w:rFonts w:eastAsia="Calibri"/>
        </w:rPr>
        <w:t>before the tenth day of the next month after the supplier receives the laboratory results</w:t>
      </w:r>
      <w:bookmarkEnd w:id="2898"/>
      <w:r w:rsidR="005451CE" w:rsidRPr="003B4362">
        <w:rPr>
          <w:rFonts w:eastAsia="Calibri"/>
        </w:rPr>
        <w:t xml:space="preserve"> </w:t>
      </w:r>
      <w:bookmarkStart w:id="2899" w:name="_Hlk115347808"/>
      <w:r w:rsidR="005451CE" w:rsidRPr="003B4362">
        <w:rPr>
          <w:rFonts w:eastAsia="Calibri"/>
        </w:rPr>
        <w:t>or as the Agency specifies in a SEP</w:t>
      </w:r>
      <w:bookmarkEnd w:id="2899"/>
      <w:r w:rsidR="005451CE" w:rsidRPr="003B4362">
        <w:rPr>
          <w:rFonts w:eastAsia="Calibri"/>
        </w:rPr>
        <w:t>.  T</w:t>
      </w:r>
      <w:bookmarkStart w:id="2900" w:name="_Hlk115348153"/>
      <w:r w:rsidR="005451CE" w:rsidRPr="003B4362">
        <w:rPr>
          <w:rFonts w:eastAsia="Calibri"/>
        </w:rPr>
        <w:t>he Agency may issue a SEP waiv</w:t>
      </w:r>
      <w:r w:rsidR="006A5D4D" w:rsidRPr="003B4362">
        <w:rPr>
          <w:rFonts w:eastAsia="Calibri"/>
        </w:rPr>
        <w:t>ing</w:t>
      </w:r>
      <w:r w:rsidR="005451CE" w:rsidRPr="003B4362">
        <w:rPr>
          <w:rFonts w:eastAsia="Calibri"/>
        </w:rPr>
        <w:t xml:space="preserve"> the supplier reporting these monitoring results</w:t>
      </w:r>
      <w:bookmarkEnd w:id="2900"/>
      <w:r w:rsidR="006D339B" w:rsidRPr="003B4362">
        <w:rPr>
          <w:szCs w:val="24"/>
        </w:rPr>
        <w:t xml:space="preserve">, </w:t>
      </w:r>
      <w:bookmarkStart w:id="2901" w:name="_Hlk125020013"/>
      <w:r w:rsidR="00684E1D" w:rsidRPr="003B4362">
        <w:rPr>
          <w:szCs w:val="24"/>
        </w:rPr>
        <w:t>bu</w:t>
      </w:r>
      <w:r w:rsidR="00AA25BF" w:rsidRPr="003B4362">
        <w:rPr>
          <w:szCs w:val="24"/>
        </w:rPr>
        <w:t>t</w:t>
      </w:r>
      <w:r w:rsidR="006D339B" w:rsidRPr="003B4362">
        <w:rPr>
          <w:szCs w:val="24"/>
        </w:rPr>
        <w:t xml:space="preserve"> </w:t>
      </w:r>
      <w:r w:rsidR="00AA25BF" w:rsidRPr="003B4362">
        <w:rPr>
          <w:szCs w:val="24"/>
        </w:rPr>
        <w:t>the supplier</w:t>
      </w:r>
      <w:r w:rsidR="006D339B" w:rsidRPr="003B4362">
        <w:rPr>
          <w:szCs w:val="24"/>
        </w:rPr>
        <w:t xml:space="preserve"> </w:t>
      </w:r>
      <w:r w:rsidR="00AA25BF" w:rsidRPr="003B4362">
        <w:rPr>
          <w:szCs w:val="24"/>
        </w:rPr>
        <w:t xml:space="preserve">must </w:t>
      </w:r>
      <w:r w:rsidR="006D339B" w:rsidRPr="003B4362">
        <w:rPr>
          <w:szCs w:val="24"/>
        </w:rPr>
        <w:t xml:space="preserve">retain </w:t>
      </w:r>
      <w:r w:rsidR="00AA25BF" w:rsidRPr="003B4362">
        <w:rPr>
          <w:szCs w:val="24"/>
        </w:rPr>
        <w:t>these</w:t>
      </w:r>
      <w:r w:rsidR="006D339B" w:rsidRPr="003B4362">
        <w:rPr>
          <w:szCs w:val="24"/>
        </w:rPr>
        <w:t xml:space="preserve"> records</w:t>
      </w:r>
      <w:bookmarkEnd w:id="2901"/>
      <w:r w:rsidR="005451CE" w:rsidRPr="003B4362">
        <w:rPr>
          <w:rFonts w:eastAsia="Calibri"/>
        </w:rPr>
        <w:t xml:space="preserve">.  A supplier must also report any additional </w:t>
      </w:r>
      <w:bookmarkStart w:id="2902" w:name="_Hlk115348401"/>
      <w:r w:rsidR="005451CE" w:rsidRPr="003B4362">
        <w:rPr>
          <w:rFonts w:eastAsia="Calibri"/>
        </w:rPr>
        <w:t>information the Agency specifies in a time and manner the Agency prescribes to verify</w:t>
      </w:r>
      <w:bookmarkEnd w:id="2902"/>
      <w:r w:rsidR="005451CE" w:rsidRPr="003B4362">
        <w:rPr>
          <w:rFonts w:eastAsia="Calibri"/>
        </w:rPr>
        <w:t xml:space="preserve"> </w:t>
      </w:r>
      <w:bookmarkStart w:id="2903" w:name="_Hlk115348596"/>
      <w:r w:rsidR="005451CE" w:rsidRPr="003B4362">
        <w:rPr>
          <w:rFonts w:eastAsia="Calibri"/>
        </w:rPr>
        <w:t>that the supplier completed all partial lead service line replacement activities</w:t>
      </w:r>
      <w:bookmarkEnd w:id="2903"/>
      <w:r w:rsidR="005451CE" w:rsidRPr="003B4362">
        <w:rPr>
          <w:rFonts w:eastAsia="Calibri"/>
        </w:rPr>
        <w:t>.</w:t>
      </w:r>
    </w:p>
    <w:p w14:paraId="54AACA9E" w14:textId="4B89519F" w:rsidR="00071938" w:rsidRPr="003B4362" w:rsidRDefault="00071938" w:rsidP="00071938">
      <w:pPr>
        <w:autoSpaceDE w:val="0"/>
        <w:autoSpaceDN w:val="0"/>
        <w:adjustRightInd w:val="0"/>
        <w:spacing w:before="240" w:after="240"/>
        <w:ind w:left="2160" w:hanging="720"/>
        <w:rPr>
          <w:rFonts w:eastAsia="Calibri"/>
          <w:szCs w:val="24"/>
        </w:rPr>
      </w:pPr>
      <w:r w:rsidRPr="003B4362">
        <w:rPr>
          <w:rFonts w:eastAsia="Calibri"/>
          <w:szCs w:val="24"/>
        </w:rPr>
        <w:t>13)</w:t>
      </w:r>
      <w:r w:rsidRPr="003B4362">
        <w:rPr>
          <w:rFonts w:eastAsia="Calibri"/>
          <w:szCs w:val="24"/>
        </w:rPr>
        <w:tab/>
      </w:r>
      <w:bookmarkStart w:id="2904" w:name="_Hlk125023089"/>
      <w:r w:rsidR="006E3FDD" w:rsidRPr="003B4362">
        <w:rPr>
          <w:rFonts w:eastAsia="Calibri"/>
          <w:szCs w:val="24"/>
        </w:rPr>
        <w:t>A</w:t>
      </w:r>
      <w:bookmarkStart w:id="2905" w:name="_Hlk125023218"/>
      <w:r w:rsidR="006E3FDD" w:rsidRPr="003B4362">
        <w:rPr>
          <w:rFonts w:eastAsia="Calibri"/>
          <w:szCs w:val="24"/>
        </w:rPr>
        <w:t xml:space="preserve"> supplier</w:t>
      </w:r>
      <w:r w:rsidRPr="003B4362">
        <w:rPr>
          <w:rFonts w:eastAsia="Calibri"/>
          <w:szCs w:val="24"/>
        </w:rPr>
        <w:t xml:space="preserve"> </w:t>
      </w:r>
      <w:r w:rsidR="006E3FDD" w:rsidRPr="003B4362">
        <w:rPr>
          <w:rFonts w:eastAsia="Calibri"/>
          <w:szCs w:val="24"/>
        </w:rPr>
        <w:t>having</w:t>
      </w:r>
      <w:r w:rsidRPr="003B4362">
        <w:rPr>
          <w:rFonts w:eastAsia="Calibri"/>
          <w:szCs w:val="24"/>
        </w:rPr>
        <w:t xml:space="preserve"> lead service lines in its inventory</w:t>
      </w:r>
      <w:bookmarkEnd w:id="2904"/>
      <w:bookmarkEnd w:id="2905"/>
      <w:r w:rsidRPr="003B4362">
        <w:rPr>
          <w:rFonts w:eastAsia="Calibri"/>
          <w:szCs w:val="24"/>
        </w:rPr>
        <w:t xml:space="preserve"> must certify on an annual basis that the </w:t>
      </w:r>
      <w:r w:rsidR="006E3FDD" w:rsidRPr="003B4362">
        <w:rPr>
          <w:rFonts w:eastAsia="Calibri"/>
          <w:szCs w:val="24"/>
        </w:rPr>
        <w:t>supplier</w:t>
      </w:r>
      <w:bookmarkStart w:id="2906" w:name="_Hlk125023358"/>
      <w:r w:rsidR="006E3FDD" w:rsidRPr="003B4362">
        <w:rPr>
          <w:rFonts w:eastAsia="Calibri"/>
          <w:szCs w:val="24"/>
        </w:rPr>
        <w:t xml:space="preserve"> </w:t>
      </w:r>
      <w:bookmarkStart w:id="2907" w:name="_Hlk125023835"/>
      <w:r w:rsidRPr="003B4362">
        <w:rPr>
          <w:rFonts w:eastAsia="Calibri"/>
          <w:szCs w:val="24"/>
        </w:rPr>
        <w:t>complied</w:t>
      </w:r>
      <w:bookmarkEnd w:id="2906"/>
      <w:r w:rsidRPr="003B4362">
        <w:rPr>
          <w:rFonts w:eastAsia="Calibri"/>
          <w:szCs w:val="24"/>
        </w:rPr>
        <w:t xml:space="preserve"> with</w:t>
      </w:r>
      <w:r w:rsidR="00073CAE" w:rsidRPr="003B4362">
        <w:rPr>
          <w:rFonts w:eastAsia="Calibri"/>
          <w:szCs w:val="24"/>
        </w:rPr>
        <w:t xml:space="preserve"> </w:t>
      </w:r>
      <w:r w:rsidRPr="003B4362">
        <w:rPr>
          <w:rFonts w:eastAsia="Calibri"/>
          <w:szCs w:val="24"/>
        </w:rPr>
        <w:t xml:space="preserve">consumer notification of </w:t>
      </w:r>
      <w:r w:rsidR="00073CAE" w:rsidRPr="003B4362">
        <w:rPr>
          <w:rFonts w:eastAsia="Calibri"/>
          <w:szCs w:val="24"/>
        </w:rPr>
        <w:t xml:space="preserve">service line containing </w:t>
      </w:r>
      <w:r w:rsidRPr="003B4362">
        <w:rPr>
          <w:rFonts w:eastAsia="Calibri"/>
          <w:szCs w:val="24"/>
        </w:rPr>
        <w:t xml:space="preserve">lead </w:t>
      </w:r>
      <w:r w:rsidR="00073CAE" w:rsidRPr="003B4362">
        <w:rPr>
          <w:rFonts w:eastAsia="Calibri"/>
          <w:szCs w:val="24"/>
        </w:rPr>
        <w:t>under</w:t>
      </w:r>
      <w:r w:rsidRPr="003B4362">
        <w:rPr>
          <w:rFonts w:eastAsia="Calibri"/>
          <w:szCs w:val="24"/>
        </w:rPr>
        <w:t xml:space="preserve"> Section </w:t>
      </w:r>
      <w:r w:rsidR="004C440A" w:rsidRPr="003B4362">
        <w:rPr>
          <w:szCs w:val="24"/>
        </w:rPr>
        <w:t>611.35</w:t>
      </w:r>
      <w:r w:rsidRPr="003B4362">
        <w:rPr>
          <w:rFonts w:eastAsia="Calibri"/>
          <w:szCs w:val="24"/>
        </w:rPr>
        <w:t>5(e)</w:t>
      </w:r>
      <w:bookmarkEnd w:id="2907"/>
      <w:r w:rsidRPr="003B4362">
        <w:rPr>
          <w:rFonts w:eastAsia="Calibri"/>
          <w:szCs w:val="24"/>
        </w:rPr>
        <w:t>.</w:t>
      </w:r>
    </w:p>
    <w:p w14:paraId="46565F5F" w14:textId="77777777" w:rsidR="005451CE" w:rsidRPr="003B4362" w:rsidRDefault="005451CE" w:rsidP="005451CE">
      <w:pPr>
        <w:spacing w:before="240" w:after="240"/>
        <w:ind w:left="1440" w:hanging="720"/>
        <w:rPr>
          <w:rFonts w:eastAsia="Calibri"/>
        </w:rPr>
      </w:pPr>
      <w:r w:rsidRPr="003B4362">
        <w:rPr>
          <w:rFonts w:eastAsia="Calibri"/>
        </w:rPr>
        <w:lastRenderedPageBreak/>
        <w:t>f)</w:t>
      </w:r>
      <w:r w:rsidRPr="003B4362">
        <w:rPr>
          <w:rFonts w:eastAsia="Calibri"/>
        </w:rPr>
        <w:tab/>
        <w:t>Reporting for Public Education Program</w:t>
      </w:r>
    </w:p>
    <w:p w14:paraId="7A959DEB" w14:textId="6D929697"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A</w:t>
      </w:r>
      <w:bookmarkStart w:id="2908" w:name="_Hlk115355469"/>
      <w:r w:rsidRPr="003B4362">
        <w:rPr>
          <w:rFonts w:eastAsia="Calibri"/>
        </w:rPr>
        <w:t xml:space="preserve"> supplier subject to Section 611.355</w:t>
      </w:r>
      <w:bookmarkEnd w:id="2908"/>
      <w:r w:rsidRPr="003B4362">
        <w:rPr>
          <w:rFonts w:eastAsia="Calibri"/>
        </w:rPr>
        <w:t xml:space="preserve"> </w:t>
      </w:r>
      <w:bookmarkStart w:id="2909" w:name="_Hlk115355560"/>
      <w:r w:rsidRPr="003B4362">
        <w:rPr>
          <w:rFonts w:eastAsia="Calibri"/>
        </w:rPr>
        <w:t xml:space="preserve">must </w:t>
      </w:r>
      <w:bookmarkStart w:id="2910" w:name="_Hlk115355616"/>
      <w:r w:rsidRPr="003B4362">
        <w:rPr>
          <w:rFonts w:eastAsia="Calibri"/>
        </w:rPr>
        <w:t>send documents to the Agency containing certain items</w:t>
      </w:r>
      <w:bookmarkEnd w:id="2910"/>
      <w:r w:rsidRPr="003B4362">
        <w:rPr>
          <w:rFonts w:eastAsia="Calibri"/>
        </w:rPr>
        <w:t xml:space="preserve"> within ten days after the end of each period in which the supplier must perform public education under Section 611.355(b)</w:t>
      </w:r>
      <w:bookmarkEnd w:id="2909"/>
      <w:r w:rsidRPr="003B4362">
        <w:rPr>
          <w:rFonts w:eastAsia="Calibri"/>
        </w:rPr>
        <w:t>:</w:t>
      </w:r>
    </w:p>
    <w:p w14:paraId="58D83B7A" w14:textId="52CD022D"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r>
      <w:bookmarkStart w:id="2911" w:name="_Hlk115355753"/>
      <w:r w:rsidR="00A144D1" w:rsidRPr="003B4362">
        <w:rPr>
          <w:szCs w:val="24"/>
        </w:rPr>
        <w:t xml:space="preserve">The public education </w:t>
      </w:r>
      <w:bookmarkStart w:id="2912" w:name="_Hlk125041302"/>
      <w:r w:rsidR="00A144D1" w:rsidRPr="003B4362">
        <w:rPr>
          <w:szCs w:val="24"/>
        </w:rPr>
        <w:t xml:space="preserve">materials </w:t>
      </w:r>
      <w:r w:rsidR="005154CE" w:rsidRPr="003B4362">
        <w:rPr>
          <w:szCs w:val="24"/>
        </w:rPr>
        <w:t>the supplier</w:t>
      </w:r>
      <w:r w:rsidR="00A144D1" w:rsidRPr="003B4362">
        <w:rPr>
          <w:szCs w:val="24"/>
        </w:rPr>
        <w:t xml:space="preserve"> delivered</w:t>
      </w:r>
      <w:bookmarkEnd w:id="2912"/>
      <w:r w:rsidR="00A144D1" w:rsidRPr="003B4362">
        <w:rPr>
          <w:szCs w:val="24"/>
        </w:rPr>
        <w:t xml:space="preserve">, and </w:t>
      </w:r>
      <w:r w:rsidR="00A144D1" w:rsidRPr="003B4362">
        <w:rPr>
          <w:rFonts w:eastAsia="Calibri"/>
        </w:rPr>
        <w:t>d</w:t>
      </w:r>
      <w:r w:rsidRPr="003B4362">
        <w:rPr>
          <w:rFonts w:eastAsia="Calibri"/>
        </w:rPr>
        <w:t>ocuments showing that the supplier delivered the public education materials complying with the content requirements</w:t>
      </w:r>
      <w:bookmarkEnd w:id="2911"/>
      <w:r w:rsidRPr="003B4362">
        <w:rPr>
          <w:rFonts w:eastAsia="Calibri"/>
        </w:rPr>
        <w:t xml:space="preserve"> in Sections 611.355(a) and the delivery requirements in Section 611.355(b); and</w:t>
      </w:r>
    </w:p>
    <w:p w14:paraId="7A6EA1F1" w14:textId="236E5F1D"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A </w:t>
      </w:r>
      <w:bookmarkStart w:id="2913" w:name="_Hlk115355927"/>
      <w:r w:rsidRPr="003B4362">
        <w:rPr>
          <w:rFonts w:eastAsia="Calibri"/>
        </w:rPr>
        <w:t>list of all newspapers</w:t>
      </w:r>
      <w:bookmarkEnd w:id="2913"/>
      <w:r w:rsidRPr="003B4362">
        <w:rPr>
          <w:rFonts w:eastAsia="Calibri"/>
        </w:rPr>
        <w:t xml:space="preserve">, radio stations, television stations, and facilities and organizations to which the supplier delivered public education materials </w:t>
      </w:r>
      <w:bookmarkStart w:id="2914" w:name="_Hlk115356026"/>
      <w:r w:rsidRPr="003B4362">
        <w:rPr>
          <w:rFonts w:eastAsia="Calibri"/>
        </w:rPr>
        <w:t>when this Subpart G required the supplier to perform public education tasks</w:t>
      </w:r>
      <w:bookmarkEnd w:id="2914"/>
      <w:r w:rsidRPr="003B4362">
        <w:rPr>
          <w:rFonts w:eastAsia="Calibri"/>
        </w:rPr>
        <w:t>.</w:t>
      </w:r>
    </w:p>
    <w:p w14:paraId="0147869A" w14:textId="2DA6DF12"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U</w:t>
      </w:r>
      <w:bookmarkStart w:id="2915" w:name="_Hlk115356143"/>
      <w:r w:rsidRPr="003B4362">
        <w:rPr>
          <w:rFonts w:eastAsia="Calibri"/>
        </w:rPr>
        <w:t>nless the Agency issues a SEP requiring a supplier to do so</w:t>
      </w:r>
      <w:bookmarkEnd w:id="2915"/>
      <w:r w:rsidRPr="003B4362">
        <w:rPr>
          <w:rFonts w:eastAsia="Calibri"/>
        </w:rPr>
        <w:t xml:space="preserve">, a supplier that </w:t>
      </w:r>
      <w:bookmarkStart w:id="2916" w:name="_Hlk115356273"/>
      <w:r w:rsidRPr="003B4362">
        <w:rPr>
          <w:rFonts w:eastAsia="Calibri"/>
        </w:rPr>
        <w:t>previously submitted</w:t>
      </w:r>
      <w:bookmarkEnd w:id="2916"/>
      <w:r w:rsidRPr="003B4362">
        <w:rPr>
          <w:rFonts w:eastAsia="Calibri"/>
        </w:rPr>
        <w:t xml:space="preserve"> </w:t>
      </w:r>
      <w:bookmarkStart w:id="2917" w:name="_Hlk115356372"/>
      <w:r w:rsidRPr="003B4362">
        <w:rPr>
          <w:rFonts w:eastAsia="Calibri"/>
        </w:rPr>
        <w:t>the information subsection (f)(1)(B) requires</w:t>
      </w:r>
      <w:bookmarkEnd w:id="2917"/>
      <w:r w:rsidRPr="003B4362">
        <w:rPr>
          <w:rFonts w:eastAsia="Calibri"/>
        </w:rPr>
        <w:t xml:space="preserve"> need not resubmit the information subsection (f)(1)(B) requires, </w:t>
      </w:r>
      <w:bookmarkStart w:id="2918" w:name="_Hlk115356448"/>
      <w:r w:rsidRPr="003B4362">
        <w:rPr>
          <w:rFonts w:eastAsia="Calibri"/>
        </w:rPr>
        <w:t>as long as no changes in the distribution list occurred</w:t>
      </w:r>
      <w:bookmarkEnd w:id="2918"/>
      <w:r w:rsidRPr="003B4362">
        <w:rPr>
          <w:rFonts w:eastAsia="Calibri"/>
        </w:rPr>
        <w:t xml:space="preserve">, and the supplier certifies that </w:t>
      </w:r>
      <w:bookmarkStart w:id="2919" w:name="_Hlk115356509"/>
      <w:r w:rsidRPr="003B4362">
        <w:rPr>
          <w:rFonts w:eastAsia="Calibri"/>
        </w:rPr>
        <w:t xml:space="preserve">it distributed the public education materials </w:t>
      </w:r>
      <w:bookmarkEnd w:id="2919"/>
      <w:r w:rsidRPr="003B4362">
        <w:rPr>
          <w:rFonts w:eastAsia="Calibri"/>
        </w:rPr>
        <w:t xml:space="preserve">to </w:t>
      </w:r>
      <w:bookmarkStart w:id="2920" w:name="_Hlk115356699"/>
      <w:r w:rsidRPr="003B4362">
        <w:rPr>
          <w:rFonts w:eastAsia="Calibri"/>
        </w:rPr>
        <w:t>the same list the supplier previously submitted</w:t>
      </w:r>
      <w:bookmarkEnd w:id="2920"/>
      <w:r w:rsidRPr="003B4362">
        <w:rPr>
          <w:rFonts w:eastAsia="Calibri"/>
        </w:rPr>
        <w:t>.</w:t>
      </w:r>
    </w:p>
    <w:p w14:paraId="300372BA" w14:textId="52FE220E"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No later than </w:t>
      </w:r>
      <w:bookmarkStart w:id="2921" w:name="_Hlk115356849"/>
      <w:r w:rsidRPr="003B4362">
        <w:rPr>
          <w:rFonts w:eastAsia="Calibri"/>
        </w:rPr>
        <w:t>three months after the end</w:t>
      </w:r>
      <w:bookmarkEnd w:id="2921"/>
      <w:r w:rsidRPr="003B4362">
        <w:rPr>
          <w:rFonts w:eastAsia="Calibri"/>
        </w:rPr>
        <w:t xml:space="preserve"> of the </w:t>
      </w:r>
      <w:r w:rsidR="005154CE" w:rsidRPr="003B4362">
        <w:rPr>
          <w:szCs w:val="24"/>
        </w:rPr>
        <w:t xml:space="preserve">tap sampling </w:t>
      </w:r>
      <w:r w:rsidRPr="003B4362">
        <w:rPr>
          <w:rFonts w:eastAsia="Calibri"/>
        </w:rPr>
        <w:t xml:space="preserve">period, each supplier must mail a sample copy of the consumer notification of </w:t>
      </w:r>
      <w:bookmarkStart w:id="2922" w:name="_Hlk115356889"/>
      <w:r w:rsidRPr="003B4362">
        <w:rPr>
          <w:rFonts w:eastAsia="Calibri"/>
        </w:rPr>
        <w:t>tap water monitoring results</w:t>
      </w:r>
      <w:bookmarkEnd w:id="2922"/>
      <w:r w:rsidRPr="003B4362">
        <w:rPr>
          <w:rFonts w:eastAsia="Calibri"/>
        </w:rPr>
        <w:t xml:space="preserve"> to the Agency, </w:t>
      </w:r>
      <w:bookmarkStart w:id="2923" w:name="_Hlk115356931"/>
      <w:r w:rsidRPr="003B4362">
        <w:rPr>
          <w:rFonts w:eastAsia="Calibri"/>
        </w:rPr>
        <w:t xml:space="preserve">certifying that the supplier distributed the notification </w:t>
      </w:r>
      <w:bookmarkEnd w:id="2923"/>
      <w:r w:rsidRPr="003B4362">
        <w:rPr>
          <w:rFonts w:eastAsia="Calibri"/>
        </w:rPr>
        <w:t xml:space="preserve">in </w:t>
      </w:r>
      <w:bookmarkStart w:id="2924" w:name="_Hlk115357079"/>
      <w:r w:rsidRPr="003B4362">
        <w:rPr>
          <w:rFonts w:eastAsia="Calibri"/>
        </w:rPr>
        <w:t>a manner complying with Section 611.355(d)</w:t>
      </w:r>
      <w:bookmarkEnd w:id="2924"/>
      <w:r w:rsidRPr="003B4362">
        <w:rPr>
          <w:rFonts w:eastAsia="Calibri"/>
        </w:rPr>
        <w:t>.</w:t>
      </w:r>
    </w:p>
    <w:p w14:paraId="1D6E28F8" w14:textId="1327981D" w:rsidR="002E5052" w:rsidRPr="003B4362" w:rsidRDefault="002E5052" w:rsidP="002E5052">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r>
      <w:bookmarkStart w:id="2925" w:name="_Hlk125042307"/>
      <w:r w:rsidRPr="003B4362">
        <w:rPr>
          <w:rFonts w:eastAsia="Calibri"/>
          <w:szCs w:val="24"/>
        </w:rPr>
        <w:t>T</w:t>
      </w:r>
      <w:bookmarkStart w:id="2926" w:name="_Hlk125044801"/>
      <w:r w:rsidRPr="003B4362">
        <w:rPr>
          <w:rFonts w:eastAsia="Calibri"/>
          <w:szCs w:val="24"/>
        </w:rPr>
        <w:t xml:space="preserve">he supplier must demonstrate to the </w:t>
      </w:r>
      <w:bookmarkEnd w:id="2925"/>
      <w:r w:rsidRPr="003B4362">
        <w:rPr>
          <w:rFonts w:eastAsia="Calibri"/>
          <w:szCs w:val="24"/>
        </w:rPr>
        <w:t xml:space="preserve">Agency before July 1 </w:t>
      </w:r>
      <w:r w:rsidR="00CB519D" w:rsidRPr="003B4362">
        <w:rPr>
          <w:rFonts w:eastAsia="Calibri"/>
          <w:szCs w:val="24"/>
        </w:rPr>
        <w:t>of each year</w:t>
      </w:r>
      <w:bookmarkEnd w:id="2926"/>
      <w:r w:rsidR="00CB519D" w:rsidRPr="003B4362">
        <w:rPr>
          <w:rFonts w:eastAsia="Calibri"/>
          <w:szCs w:val="24"/>
        </w:rPr>
        <w:t xml:space="preserve"> </w:t>
      </w:r>
      <w:r w:rsidRPr="003B4362">
        <w:rPr>
          <w:rFonts w:eastAsia="Calibri"/>
          <w:szCs w:val="24"/>
        </w:rPr>
        <w:t xml:space="preserve">that the supplier </w:t>
      </w:r>
      <w:bookmarkStart w:id="2927" w:name="_Hlk125047210"/>
      <w:r w:rsidRPr="003B4362">
        <w:rPr>
          <w:rFonts w:eastAsia="Calibri"/>
          <w:szCs w:val="24"/>
        </w:rPr>
        <w:t>delivered annual consumer noti</w:t>
      </w:r>
      <w:r w:rsidR="00400459" w:rsidRPr="003B4362">
        <w:rPr>
          <w:rFonts w:eastAsia="Calibri"/>
          <w:szCs w:val="24"/>
        </w:rPr>
        <w:t>ce</w:t>
      </w:r>
      <w:r w:rsidRPr="003B4362">
        <w:rPr>
          <w:rFonts w:eastAsia="Calibri"/>
          <w:szCs w:val="24"/>
        </w:rPr>
        <w:t xml:space="preserve"> and</w:t>
      </w:r>
      <w:r w:rsidR="00B64D66" w:rsidRPr="003B4362">
        <w:rPr>
          <w:rFonts w:eastAsia="Calibri"/>
          <w:szCs w:val="24"/>
        </w:rPr>
        <w:t xml:space="preserve"> </w:t>
      </w:r>
      <w:r w:rsidRPr="003B4362">
        <w:rPr>
          <w:rFonts w:eastAsia="Calibri"/>
          <w:szCs w:val="24"/>
        </w:rPr>
        <w:t>lead service line information materials</w:t>
      </w:r>
      <w:bookmarkEnd w:id="2927"/>
      <w:r w:rsidRPr="003B4362">
        <w:rPr>
          <w:rFonts w:eastAsia="Calibri"/>
          <w:szCs w:val="24"/>
        </w:rPr>
        <w:t xml:space="preserve"> </w:t>
      </w:r>
      <w:bookmarkStart w:id="2928" w:name="_Hlk125052979"/>
      <w:r w:rsidR="00B64D66" w:rsidRPr="003B4362">
        <w:rPr>
          <w:rFonts w:eastAsia="Calibri"/>
          <w:szCs w:val="24"/>
        </w:rPr>
        <w:t>under Section 611.355(e)</w:t>
      </w:r>
      <w:bookmarkEnd w:id="2928"/>
      <w:r w:rsidR="00B64D66" w:rsidRPr="003B4362">
        <w:rPr>
          <w:rFonts w:eastAsia="Calibri"/>
          <w:szCs w:val="24"/>
        </w:rPr>
        <w:t xml:space="preserve"> </w:t>
      </w:r>
      <w:r w:rsidRPr="003B4362">
        <w:rPr>
          <w:rFonts w:eastAsia="Calibri"/>
          <w:szCs w:val="24"/>
        </w:rPr>
        <w:t xml:space="preserve">to affected consumers </w:t>
      </w:r>
      <w:r w:rsidR="00B64D66" w:rsidRPr="003B4362">
        <w:rPr>
          <w:rFonts w:eastAsia="Calibri"/>
          <w:szCs w:val="24"/>
        </w:rPr>
        <w:t>the supplier serves through</w:t>
      </w:r>
      <w:r w:rsidRPr="003B4362">
        <w:rPr>
          <w:rFonts w:eastAsia="Calibri"/>
          <w:szCs w:val="24"/>
        </w:rPr>
        <w:t xml:space="preserve"> a </w:t>
      </w:r>
      <w:bookmarkStart w:id="2929" w:name="_Hlk125053109"/>
      <w:r w:rsidR="00F86B73" w:rsidRPr="003B4362">
        <w:rPr>
          <w:rFonts w:eastAsia="Calibri"/>
          <w:szCs w:val="24"/>
        </w:rPr>
        <w:t>lead, galvanized requiring r</w:t>
      </w:r>
      <w:r w:rsidRPr="003B4362">
        <w:rPr>
          <w:rFonts w:eastAsia="Calibri"/>
          <w:szCs w:val="24"/>
        </w:rPr>
        <w:t xml:space="preserve">eplacement, or </w:t>
      </w:r>
      <w:r w:rsidR="00F86B73" w:rsidRPr="003B4362">
        <w:rPr>
          <w:rFonts w:eastAsia="Calibri"/>
          <w:szCs w:val="24"/>
        </w:rPr>
        <w:t>lead status u</w:t>
      </w:r>
      <w:r w:rsidRPr="003B4362">
        <w:rPr>
          <w:rFonts w:eastAsia="Calibri"/>
          <w:szCs w:val="24"/>
        </w:rPr>
        <w:t>nknown service line</w:t>
      </w:r>
      <w:bookmarkEnd w:id="2929"/>
      <w:r w:rsidRPr="003B4362">
        <w:rPr>
          <w:rFonts w:eastAsia="Calibri"/>
          <w:szCs w:val="24"/>
        </w:rPr>
        <w:t xml:space="preserve"> </w:t>
      </w:r>
      <w:r w:rsidR="00B64D66" w:rsidRPr="003B4362">
        <w:rPr>
          <w:rFonts w:eastAsia="Calibri"/>
          <w:szCs w:val="24"/>
        </w:rPr>
        <w:t>during</w:t>
      </w:r>
      <w:r w:rsidRPr="003B4362">
        <w:rPr>
          <w:rFonts w:eastAsia="Calibri"/>
          <w:szCs w:val="24"/>
        </w:rPr>
        <w:t xml:space="preserve"> the previous calendar year.  T</w:t>
      </w:r>
      <w:bookmarkStart w:id="2930" w:name="_Hlk125053708"/>
      <w:r w:rsidRPr="003B4362">
        <w:rPr>
          <w:rFonts w:eastAsia="Calibri"/>
          <w:szCs w:val="24"/>
        </w:rPr>
        <w:t xml:space="preserve">he </w:t>
      </w:r>
      <w:r w:rsidR="00400459" w:rsidRPr="003B4362">
        <w:rPr>
          <w:rFonts w:eastAsia="Calibri"/>
          <w:szCs w:val="24"/>
        </w:rPr>
        <w:t>supplier</w:t>
      </w:r>
      <w:r w:rsidRPr="003B4362">
        <w:rPr>
          <w:rFonts w:eastAsia="Calibri"/>
          <w:szCs w:val="24"/>
        </w:rPr>
        <w:t xml:space="preserve"> </w:t>
      </w:r>
      <w:r w:rsidR="00400459" w:rsidRPr="003B4362">
        <w:rPr>
          <w:rFonts w:eastAsia="Calibri"/>
          <w:szCs w:val="24"/>
        </w:rPr>
        <w:t>must</w:t>
      </w:r>
      <w:r w:rsidRPr="003B4362">
        <w:rPr>
          <w:rFonts w:eastAsia="Calibri"/>
          <w:szCs w:val="24"/>
        </w:rPr>
        <w:t xml:space="preserve"> also provide</w:t>
      </w:r>
      <w:bookmarkEnd w:id="2930"/>
      <w:r w:rsidRPr="003B4362">
        <w:rPr>
          <w:rFonts w:eastAsia="Calibri"/>
          <w:szCs w:val="24"/>
        </w:rPr>
        <w:t xml:space="preserve"> a copy of </w:t>
      </w:r>
      <w:bookmarkStart w:id="2931" w:name="_Hlk125054027"/>
      <w:r w:rsidRPr="003B4362">
        <w:rPr>
          <w:rFonts w:eastAsia="Calibri"/>
          <w:szCs w:val="24"/>
        </w:rPr>
        <w:t xml:space="preserve">the </w:t>
      </w:r>
      <w:r w:rsidR="00400459" w:rsidRPr="003B4362">
        <w:rPr>
          <w:rFonts w:eastAsia="Calibri"/>
          <w:szCs w:val="24"/>
        </w:rPr>
        <w:t>consumer notice</w:t>
      </w:r>
      <w:r w:rsidRPr="003B4362">
        <w:rPr>
          <w:rFonts w:eastAsia="Calibri"/>
          <w:szCs w:val="24"/>
        </w:rPr>
        <w:t xml:space="preserve"> and information materials to the </w:t>
      </w:r>
      <w:r w:rsidR="00400459" w:rsidRPr="003B4362">
        <w:rPr>
          <w:rFonts w:eastAsia="Calibri"/>
          <w:szCs w:val="24"/>
        </w:rPr>
        <w:t>Agency</w:t>
      </w:r>
      <w:bookmarkEnd w:id="2931"/>
      <w:r w:rsidRPr="003B4362">
        <w:rPr>
          <w:rFonts w:eastAsia="Calibri"/>
          <w:szCs w:val="24"/>
        </w:rPr>
        <w:t>.</w:t>
      </w:r>
    </w:p>
    <w:p w14:paraId="2626675F" w14:textId="5310648B" w:rsidR="002E5052" w:rsidRPr="003B4362" w:rsidRDefault="002E5052" w:rsidP="002E5052">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r>
      <w:r w:rsidR="0041482D" w:rsidRPr="003B4362">
        <w:rPr>
          <w:rFonts w:eastAsia="Calibri"/>
          <w:szCs w:val="24"/>
        </w:rPr>
        <w:t>T</w:t>
      </w:r>
      <w:r w:rsidRPr="003B4362">
        <w:rPr>
          <w:rFonts w:eastAsia="Calibri"/>
          <w:szCs w:val="24"/>
        </w:rPr>
        <w:t xml:space="preserve">he </w:t>
      </w:r>
      <w:r w:rsidR="0041482D" w:rsidRPr="003B4362">
        <w:rPr>
          <w:rFonts w:eastAsia="Calibri"/>
          <w:szCs w:val="24"/>
        </w:rPr>
        <w:t>supplier</w:t>
      </w:r>
      <w:r w:rsidRPr="003B4362">
        <w:rPr>
          <w:rFonts w:eastAsia="Calibri"/>
          <w:szCs w:val="24"/>
        </w:rPr>
        <w:t xml:space="preserve"> must demonstrate to the </w:t>
      </w:r>
      <w:r w:rsidR="0041482D" w:rsidRPr="003B4362">
        <w:rPr>
          <w:rFonts w:eastAsia="Calibri"/>
          <w:szCs w:val="24"/>
        </w:rPr>
        <w:t>Agency</w:t>
      </w:r>
      <w:r w:rsidRPr="003B4362">
        <w:rPr>
          <w:rFonts w:eastAsia="Calibri"/>
          <w:szCs w:val="24"/>
        </w:rPr>
        <w:t xml:space="preserve"> </w:t>
      </w:r>
      <w:r w:rsidR="0041482D" w:rsidRPr="003B4362">
        <w:rPr>
          <w:rFonts w:eastAsia="Calibri"/>
          <w:szCs w:val="24"/>
        </w:rPr>
        <w:t xml:space="preserve">before July 1 of each year </w:t>
      </w:r>
      <w:r w:rsidRPr="003B4362">
        <w:rPr>
          <w:rFonts w:eastAsia="Calibri"/>
          <w:szCs w:val="24"/>
        </w:rPr>
        <w:t xml:space="preserve">that </w:t>
      </w:r>
      <w:r w:rsidR="0041482D" w:rsidRPr="003B4362">
        <w:rPr>
          <w:rFonts w:eastAsia="Calibri"/>
          <w:szCs w:val="24"/>
        </w:rPr>
        <w:t>the supplier</w:t>
      </w:r>
      <w:r w:rsidRPr="003B4362">
        <w:rPr>
          <w:rFonts w:eastAsia="Calibri"/>
          <w:szCs w:val="24"/>
        </w:rPr>
        <w:t xml:space="preserve"> conducted an outreach activity </w:t>
      </w:r>
      <w:bookmarkStart w:id="2932" w:name="_Hlk125054644"/>
      <w:r w:rsidR="0041482D" w:rsidRPr="003B4362">
        <w:rPr>
          <w:rFonts w:eastAsia="Calibri"/>
          <w:szCs w:val="24"/>
        </w:rPr>
        <w:t>under</w:t>
      </w:r>
      <w:r w:rsidRPr="003B4362">
        <w:rPr>
          <w:rFonts w:eastAsia="Calibri"/>
          <w:szCs w:val="24"/>
        </w:rPr>
        <w:t xml:space="preserve"> Section </w:t>
      </w:r>
      <w:r w:rsidR="0041482D" w:rsidRPr="003B4362">
        <w:rPr>
          <w:rFonts w:eastAsia="Calibri"/>
          <w:szCs w:val="24"/>
        </w:rPr>
        <w:t>61</w:t>
      </w:r>
      <w:r w:rsidRPr="003B4362">
        <w:rPr>
          <w:rFonts w:eastAsia="Calibri"/>
          <w:szCs w:val="24"/>
        </w:rPr>
        <w:t>1.</w:t>
      </w:r>
      <w:r w:rsidR="0041482D" w:rsidRPr="003B4362">
        <w:rPr>
          <w:rFonts w:eastAsia="Calibri"/>
          <w:szCs w:val="24"/>
        </w:rPr>
        <w:t>35</w:t>
      </w:r>
      <w:r w:rsidRPr="003B4362">
        <w:rPr>
          <w:rFonts w:eastAsia="Calibri"/>
          <w:szCs w:val="24"/>
        </w:rPr>
        <w:t>5(h)</w:t>
      </w:r>
      <w:bookmarkEnd w:id="2932"/>
      <w:r w:rsidRPr="003B4362">
        <w:rPr>
          <w:rFonts w:eastAsia="Calibri"/>
          <w:szCs w:val="24"/>
        </w:rPr>
        <w:t xml:space="preserve"> </w:t>
      </w:r>
      <w:bookmarkStart w:id="2933" w:name="_Hlk125054797"/>
      <w:r w:rsidR="00932B26" w:rsidRPr="003B4362">
        <w:rPr>
          <w:rFonts w:eastAsia="Calibri"/>
          <w:szCs w:val="24"/>
        </w:rPr>
        <w:t>if the supplier failed</w:t>
      </w:r>
      <w:r w:rsidRPr="003B4362">
        <w:rPr>
          <w:rFonts w:eastAsia="Calibri"/>
          <w:szCs w:val="24"/>
        </w:rPr>
        <w:t xml:space="preserve"> to meet</w:t>
      </w:r>
      <w:bookmarkEnd w:id="2933"/>
      <w:r w:rsidRPr="003B4362">
        <w:rPr>
          <w:rFonts w:eastAsia="Calibri"/>
          <w:szCs w:val="24"/>
        </w:rPr>
        <w:t xml:space="preserve"> the lead service line replacement goal </w:t>
      </w:r>
      <w:bookmarkStart w:id="2934" w:name="_Hlk125054884"/>
      <w:r w:rsidR="00932B26" w:rsidRPr="003B4362">
        <w:rPr>
          <w:rFonts w:eastAsia="Calibri"/>
          <w:szCs w:val="24"/>
        </w:rPr>
        <w:t>under</w:t>
      </w:r>
      <w:r w:rsidRPr="003B4362">
        <w:rPr>
          <w:rFonts w:eastAsia="Calibri"/>
          <w:szCs w:val="24"/>
        </w:rPr>
        <w:t xml:space="preserve"> Section </w:t>
      </w:r>
      <w:r w:rsidR="00932B26" w:rsidRPr="003B4362">
        <w:rPr>
          <w:rFonts w:eastAsia="Calibri"/>
          <w:szCs w:val="24"/>
        </w:rPr>
        <w:t>61</w:t>
      </w:r>
      <w:r w:rsidRPr="003B4362">
        <w:rPr>
          <w:rFonts w:eastAsia="Calibri"/>
          <w:szCs w:val="24"/>
        </w:rPr>
        <w:t>1.</w:t>
      </w:r>
      <w:r w:rsidR="00932B26" w:rsidRPr="003B4362">
        <w:rPr>
          <w:rFonts w:eastAsia="Calibri"/>
          <w:szCs w:val="24"/>
        </w:rPr>
        <w:t>35</w:t>
      </w:r>
      <w:r w:rsidRPr="003B4362">
        <w:rPr>
          <w:rFonts w:eastAsia="Calibri"/>
          <w:szCs w:val="24"/>
        </w:rPr>
        <w:t>4(f)</w:t>
      </w:r>
      <w:bookmarkEnd w:id="2934"/>
      <w:r w:rsidRPr="003B4362">
        <w:rPr>
          <w:rFonts w:eastAsia="Calibri"/>
          <w:szCs w:val="24"/>
        </w:rPr>
        <w:t xml:space="preserve"> </w:t>
      </w:r>
      <w:r w:rsidR="00932B26" w:rsidRPr="003B4362">
        <w:rPr>
          <w:rFonts w:eastAsia="Calibri"/>
          <w:szCs w:val="24"/>
        </w:rPr>
        <w:t>during</w:t>
      </w:r>
      <w:r w:rsidRPr="003B4362">
        <w:rPr>
          <w:rFonts w:eastAsia="Calibri"/>
          <w:szCs w:val="24"/>
        </w:rPr>
        <w:t xml:space="preserve"> the previous calendar year.  The </w:t>
      </w:r>
      <w:r w:rsidR="00932B26" w:rsidRPr="003B4362">
        <w:rPr>
          <w:rFonts w:eastAsia="Calibri"/>
          <w:szCs w:val="24"/>
        </w:rPr>
        <w:t>supplier must</w:t>
      </w:r>
      <w:r w:rsidRPr="003B4362">
        <w:rPr>
          <w:rFonts w:eastAsia="Calibri"/>
          <w:szCs w:val="24"/>
        </w:rPr>
        <w:t xml:space="preserve"> also submit a </w:t>
      </w:r>
      <w:bookmarkStart w:id="2935" w:name="_Hlk125055955"/>
      <w:r w:rsidRPr="003B4362">
        <w:rPr>
          <w:rFonts w:eastAsia="Calibri"/>
          <w:szCs w:val="24"/>
        </w:rPr>
        <w:t>copy</w:t>
      </w:r>
      <w:r w:rsidR="008A1CB5" w:rsidRPr="003B4362">
        <w:rPr>
          <w:rFonts w:eastAsia="Calibri"/>
          <w:szCs w:val="24"/>
        </w:rPr>
        <w:t xml:space="preserve"> to the Agency</w:t>
      </w:r>
      <w:r w:rsidRPr="003B4362">
        <w:rPr>
          <w:rFonts w:eastAsia="Calibri"/>
          <w:szCs w:val="24"/>
        </w:rPr>
        <w:t xml:space="preserve"> of the outreach </w:t>
      </w:r>
      <w:r w:rsidR="008028BC" w:rsidRPr="003B4362">
        <w:rPr>
          <w:rFonts w:eastAsia="Calibri"/>
          <w:szCs w:val="24"/>
        </w:rPr>
        <w:t xml:space="preserve">it </w:t>
      </w:r>
      <w:r w:rsidRPr="003B4362">
        <w:rPr>
          <w:rFonts w:eastAsia="Calibri"/>
          <w:szCs w:val="24"/>
        </w:rPr>
        <w:t>provided</w:t>
      </w:r>
      <w:r w:rsidR="008028BC" w:rsidRPr="003B4362">
        <w:rPr>
          <w:rFonts w:eastAsia="Calibri"/>
          <w:szCs w:val="24"/>
        </w:rPr>
        <w:t xml:space="preserve"> to customers</w:t>
      </w:r>
      <w:bookmarkEnd w:id="2935"/>
      <w:r w:rsidRPr="003B4362">
        <w:rPr>
          <w:rFonts w:eastAsia="Calibri"/>
          <w:szCs w:val="24"/>
        </w:rPr>
        <w:t>.</w:t>
      </w:r>
    </w:p>
    <w:p w14:paraId="2A58609C" w14:textId="722CBD83" w:rsidR="002E5052" w:rsidRPr="003B4362" w:rsidRDefault="002E5052" w:rsidP="002E5052">
      <w:pPr>
        <w:autoSpaceDE w:val="0"/>
        <w:autoSpaceDN w:val="0"/>
        <w:adjustRightInd w:val="0"/>
        <w:spacing w:before="240" w:after="240"/>
        <w:ind w:left="2160" w:hanging="720"/>
        <w:rPr>
          <w:rFonts w:eastAsia="Calibri"/>
          <w:szCs w:val="24"/>
        </w:rPr>
      </w:pPr>
      <w:r w:rsidRPr="003B4362">
        <w:rPr>
          <w:rFonts w:eastAsia="Calibri"/>
          <w:szCs w:val="24"/>
        </w:rPr>
        <w:t>6)</w:t>
      </w:r>
      <w:r w:rsidRPr="003B4362">
        <w:rPr>
          <w:rFonts w:eastAsia="Calibri"/>
          <w:szCs w:val="24"/>
        </w:rPr>
        <w:tab/>
      </w:r>
      <w:bookmarkStart w:id="2936" w:name="_Hlk125057953"/>
      <w:r w:rsidR="008A1CB5" w:rsidRPr="003B4362">
        <w:rPr>
          <w:rFonts w:eastAsia="Calibri"/>
          <w:szCs w:val="24"/>
        </w:rPr>
        <w:t>The supplier</w:t>
      </w:r>
      <w:bookmarkEnd w:id="2936"/>
      <w:r w:rsidR="008A1CB5" w:rsidRPr="003B4362">
        <w:rPr>
          <w:rFonts w:eastAsia="Calibri"/>
          <w:szCs w:val="24"/>
        </w:rPr>
        <w:t xml:space="preserve"> must </w:t>
      </w:r>
      <w:r w:rsidRPr="003B4362">
        <w:rPr>
          <w:rFonts w:eastAsia="Calibri"/>
          <w:szCs w:val="24"/>
        </w:rPr>
        <w:t xml:space="preserve">certify to the </w:t>
      </w:r>
      <w:r w:rsidR="008A1CB5" w:rsidRPr="003B4362">
        <w:rPr>
          <w:rFonts w:eastAsia="Calibri"/>
          <w:szCs w:val="24"/>
        </w:rPr>
        <w:t>Agency before July 1 of each year that the supplier</w:t>
      </w:r>
      <w:r w:rsidRPr="003B4362">
        <w:rPr>
          <w:rFonts w:eastAsia="Calibri"/>
          <w:szCs w:val="24"/>
        </w:rPr>
        <w:t xml:space="preserve"> delivered </w:t>
      </w:r>
      <w:bookmarkStart w:id="2937" w:name="_Hlk125057169"/>
      <w:r w:rsidRPr="003B4362">
        <w:rPr>
          <w:rFonts w:eastAsia="Calibri"/>
          <w:szCs w:val="24"/>
        </w:rPr>
        <w:t>noti</w:t>
      </w:r>
      <w:r w:rsidR="00202C75" w:rsidRPr="003B4362">
        <w:rPr>
          <w:rFonts w:eastAsia="Calibri"/>
          <w:szCs w:val="24"/>
        </w:rPr>
        <w:t>ce</w:t>
      </w:r>
      <w:r w:rsidRPr="003B4362">
        <w:rPr>
          <w:rFonts w:eastAsia="Calibri"/>
          <w:szCs w:val="24"/>
        </w:rPr>
        <w:t xml:space="preserve"> to affected customers</w:t>
      </w:r>
      <w:bookmarkEnd w:id="2937"/>
      <w:r w:rsidRPr="003B4362">
        <w:rPr>
          <w:rFonts w:eastAsia="Calibri"/>
          <w:szCs w:val="24"/>
        </w:rPr>
        <w:t xml:space="preserve"> </w:t>
      </w:r>
      <w:r w:rsidR="00202C75" w:rsidRPr="003B4362">
        <w:rPr>
          <w:rFonts w:eastAsia="Calibri"/>
          <w:szCs w:val="24"/>
        </w:rPr>
        <w:t xml:space="preserve">under Section 611.355(f) </w:t>
      </w:r>
      <w:r w:rsidRPr="003B4362">
        <w:rPr>
          <w:rFonts w:eastAsia="Calibri"/>
          <w:szCs w:val="24"/>
        </w:rPr>
        <w:lastRenderedPageBreak/>
        <w:t xml:space="preserve">after any lead service line disturbance </w:t>
      </w:r>
      <w:r w:rsidR="00202C75" w:rsidRPr="003B4362">
        <w:rPr>
          <w:rFonts w:eastAsia="Calibri"/>
          <w:szCs w:val="24"/>
        </w:rPr>
        <w:t>during</w:t>
      </w:r>
      <w:r w:rsidRPr="003B4362">
        <w:rPr>
          <w:rFonts w:eastAsia="Calibri"/>
          <w:szCs w:val="24"/>
        </w:rPr>
        <w:t xml:space="preserve"> the previous calendar year.  The </w:t>
      </w:r>
      <w:r w:rsidR="00202C75" w:rsidRPr="003B4362">
        <w:rPr>
          <w:rFonts w:eastAsia="Calibri"/>
          <w:szCs w:val="24"/>
        </w:rPr>
        <w:t>supplier must</w:t>
      </w:r>
      <w:r w:rsidRPr="003B4362">
        <w:rPr>
          <w:rFonts w:eastAsia="Calibri"/>
          <w:szCs w:val="24"/>
        </w:rPr>
        <w:t xml:space="preserve"> also submit a copy </w:t>
      </w:r>
      <w:bookmarkStart w:id="2938" w:name="_Hlk125057818"/>
      <w:r w:rsidRPr="003B4362">
        <w:rPr>
          <w:rFonts w:eastAsia="Calibri"/>
          <w:szCs w:val="24"/>
        </w:rPr>
        <w:t>of the noti</w:t>
      </w:r>
      <w:r w:rsidR="00144634" w:rsidRPr="003B4362">
        <w:rPr>
          <w:rFonts w:eastAsia="Calibri"/>
          <w:szCs w:val="24"/>
        </w:rPr>
        <w:t>ce</w:t>
      </w:r>
      <w:r w:rsidRPr="003B4362">
        <w:rPr>
          <w:rFonts w:eastAsia="Calibri"/>
          <w:szCs w:val="24"/>
        </w:rPr>
        <w:t xml:space="preserve"> to the </w:t>
      </w:r>
      <w:r w:rsidR="00144634" w:rsidRPr="003B4362">
        <w:rPr>
          <w:rFonts w:eastAsia="Calibri"/>
          <w:szCs w:val="24"/>
        </w:rPr>
        <w:t>Agency</w:t>
      </w:r>
      <w:bookmarkEnd w:id="2938"/>
      <w:r w:rsidRPr="003B4362">
        <w:rPr>
          <w:rFonts w:eastAsia="Calibri"/>
          <w:szCs w:val="24"/>
        </w:rPr>
        <w:t>.</w:t>
      </w:r>
    </w:p>
    <w:p w14:paraId="1B7F03E3" w14:textId="5B884C96" w:rsidR="002E5052" w:rsidRPr="003B4362" w:rsidRDefault="002E5052" w:rsidP="002E5052">
      <w:pPr>
        <w:autoSpaceDE w:val="0"/>
        <w:autoSpaceDN w:val="0"/>
        <w:adjustRightInd w:val="0"/>
        <w:spacing w:before="240" w:after="240"/>
        <w:ind w:left="2160" w:hanging="720"/>
        <w:rPr>
          <w:rFonts w:eastAsia="Calibri"/>
          <w:szCs w:val="24"/>
        </w:rPr>
      </w:pPr>
      <w:r w:rsidRPr="003B4362">
        <w:rPr>
          <w:rFonts w:eastAsia="Calibri"/>
          <w:szCs w:val="24"/>
        </w:rPr>
        <w:t>7)</w:t>
      </w:r>
      <w:r w:rsidRPr="003B4362">
        <w:rPr>
          <w:rFonts w:eastAsia="Calibri"/>
          <w:szCs w:val="24"/>
        </w:rPr>
        <w:tab/>
      </w:r>
      <w:r w:rsidR="00144634" w:rsidRPr="003B4362">
        <w:rPr>
          <w:rFonts w:eastAsia="Calibri"/>
          <w:szCs w:val="24"/>
        </w:rPr>
        <w:t>The supplier</w:t>
      </w:r>
      <w:r w:rsidRPr="003B4362">
        <w:rPr>
          <w:rFonts w:eastAsia="Calibri"/>
          <w:szCs w:val="24"/>
        </w:rPr>
        <w:t xml:space="preserve"> must certify to the </w:t>
      </w:r>
      <w:r w:rsidR="00144634" w:rsidRPr="003B4362">
        <w:rPr>
          <w:rFonts w:eastAsia="Calibri"/>
          <w:szCs w:val="24"/>
        </w:rPr>
        <w:t xml:space="preserve">Agency before July 1 of each year </w:t>
      </w:r>
      <w:r w:rsidRPr="003B4362">
        <w:rPr>
          <w:rFonts w:eastAsia="Calibri"/>
          <w:szCs w:val="24"/>
        </w:rPr>
        <w:t xml:space="preserve">that </w:t>
      </w:r>
      <w:r w:rsidR="00144634" w:rsidRPr="003B4362">
        <w:rPr>
          <w:rFonts w:eastAsia="Calibri"/>
          <w:szCs w:val="24"/>
        </w:rPr>
        <w:t>the supplier</w:t>
      </w:r>
      <w:r w:rsidRPr="003B4362">
        <w:rPr>
          <w:rFonts w:eastAsia="Calibri"/>
          <w:szCs w:val="24"/>
        </w:rPr>
        <w:t xml:space="preserve"> delivered the required find-and-fix information to the </w:t>
      </w:r>
      <w:r w:rsidR="00144634" w:rsidRPr="003B4362">
        <w:rPr>
          <w:rFonts w:eastAsia="Calibri"/>
          <w:szCs w:val="24"/>
        </w:rPr>
        <w:t>Agency</w:t>
      </w:r>
      <w:r w:rsidRPr="003B4362">
        <w:rPr>
          <w:rFonts w:eastAsia="Calibri"/>
          <w:szCs w:val="24"/>
        </w:rPr>
        <w:t xml:space="preserve"> and </w:t>
      </w:r>
      <w:bookmarkStart w:id="2939" w:name="_Hlk125058554"/>
      <w:r w:rsidRPr="003B4362">
        <w:rPr>
          <w:rFonts w:eastAsia="Calibri"/>
          <w:szCs w:val="24"/>
        </w:rPr>
        <w:t>local health departments</w:t>
      </w:r>
      <w:bookmarkEnd w:id="2939"/>
      <w:r w:rsidRPr="003B4362">
        <w:rPr>
          <w:rFonts w:eastAsia="Calibri"/>
          <w:szCs w:val="24"/>
        </w:rPr>
        <w:t xml:space="preserve"> </w:t>
      </w:r>
      <w:bookmarkStart w:id="2940" w:name="_Hlk125058509"/>
      <w:r w:rsidR="00144634" w:rsidRPr="003B4362">
        <w:rPr>
          <w:rFonts w:eastAsia="Calibri"/>
          <w:szCs w:val="24"/>
        </w:rPr>
        <w:t xml:space="preserve">under </w:t>
      </w:r>
      <w:r w:rsidR="0020279A" w:rsidRPr="003B4362">
        <w:rPr>
          <w:rFonts w:eastAsia="Calibri"/>
          <w:szCs w:val="24"/>
        </w:rPr>
        <w:t>Section 611.356(i)</w:t>
      </w:r>
      <w:bookmarkEnd w:id="2940"/>
      <w:r w:rsidR="0020279A" w:rsidRPr="003B4362">
        <w:rPr>
          <w:rFonts w:eastAsia="Calibri"/>
          <w:szCs w:val="24"/>
        </w:rPr>
        <w:t xml:space="preserve"> </w:t>
      </w:r>
      <w:r w:rsidR="00144634" w:rsidRPr="003B4362">
        <w:rPr>
          <w:rFonts w:eastAsia="Calibri"/>
          <w:szCs w:val="24"/>
        </w:rPr>
        <w:t>during</w:t>
      </w:r>
      <w:r w:rsidRPr="003B4362">
        <w:rPr>
          <w:rFonts w:eastAsia="Calibri"/>
          <w:szCs w:val="24"/>
        </w:rPr>
        <w:t xml:space="preserve"> the previous calendar year.</w:t>
      </w:r>
    </w:p>
    <w:p w14:paraId="0F550691" w14:textId="1C441BC7" w:rsidR="005451CE" w:rsidRPr="003B4362" w:rsidRDefault="005451CE" w:rsidP="005451CE">
      <w:pPr>
        <w:spacing w:before="240" w:after="240"/>
        <w:ind w:left="1440" w:hanging="720"/>
        <w:rPr>
          <w:rFonts w:eastAsia="Calibri"/>
        </w:rPr>
      </w:pPr>
      <w:r w:rsidRPr="003B4362">
        <w:rPr>
          <w:rFonts w:eastAsia="Calibri"/>
        </w:rPr>
        <w:t>g)</w:t>
      </w:r>
      <w:r w:rsidRPr="003B4362">
        <w:rPr>
          <w:rFonts w:eastAsia="Calibri"/>
        </w:rPr>
        <w:tab/>
      </w:r>
      <w:bookmarkStart w:id="2941" w:name="_Hlk115357220"/>
      <w:r w:rsidRPr="003B4362">
        <w:rPr>
          <w:rFonts w:eastAsia="Calibri"/>
        </w:rPr>
        <w:t>Reporting Additional Monitoring Data</w:t>
      </w:r>
      <w:bookmarkEnd w:id="2941"/>
      <w:r w:rsidRPr="003B4362">
        <w:rPr>
          <w:rFonts w:eastAsia="Calibri"/>
        </w:rPr>
        <w:t>.  A</w:t>
      </w:r>
      <w:bookmarkStart w:id="2942" w:name="_Hlk115357273"/>
      <w:r w:rsidRPr="003B4362">
        <w:rPr>
          <w:rFonts w:eastAsia="Calibri"/>
        </w:rPr>
        <w:t xml:space="preserve">ny supplier collecting </w:t>
      </w:r>
      <w:r w:rsidR="00D51B37" w:rsidRPr="003B4362">
        <w:rPr>
          <w:szCs w:val="24"/>
        </w:rPr>
        <w:t xml:space="preserve">more samples than the required minimum </w:t>
      </w:r>
      <w:bookmarkEnd w:id="2942"/>
      <w:r w:rsidRPr="003B4362">
        <w:rPr>
          <w:rFonts w:eastAsia="Calibri"/>
        </w:rPr>
        <w:t xml:space="preserve">must </w:t>
      </w:r>
      <w:bookmarkStart w:id="2943" w:name="_Hlk115357431"/>
      <w:r w:rsidRPr="003B4362">
        <w:rPr>
          <w:rFonts w:eastAsia="Calibri"/>
        </w:rPr>
        <w:t xml:space="preserve">report those sampling data results </w:t>
      </w:r>
      <w:bookmarkEnd w:id="2943"/>
      <w:r w:rsidRPr="003B4362">
        <w:rPr>
          <w:rFonts w:eastAsia="Calibri"/>
        </w:rPr>
        <w:t xml:space="preserve">to the Agency within the first ten days following the end of the applicable sampling </w:t>
      </w:r>
      <w:bookmarkStart w:id="2944" w:name="_Hlk115357509"/>
      <w:r w:rsidRPr="003B4362">
        <w:rPr>
          <w:rFonts w:eastAsia="Calibri"/>
        </w:rPr>
        <w:t>periods Sections 611.356 through 611.358 specify</w:t>
      </w:r>
      <w:bookmarkEnd w:id="2944"/>
      <w:r w:rsidRPr="003B4362">
        <w:rPr>
          <w:rFonts w:eastAsia="Calibri"/>
        </w:rPr>
        <w:t xml:space="preserve"> during which </w:t>
      </w:r>
      <w:bookmarkStart w:id="2945" w:name="_Hlk115357600"/>
      <w:r w:rsidRPr="003B4362">
        <w:rPr>
          <w:rFonts w:eastAsia="Calibri"/>
        </w:rPr>
        <w:t>the supplier collected the samples</w:t>
      </w:r>
      <w:bookmarkEnd w:id="2945"/>
      <w:r w:rsidRPr="003B4362">
        <w:rPr>
          <w:rFonts w:eastAsia="Calibri"/>
        </w:rPr>
        <w:t>.</w:t>
      </w:r>
      <w:r w:rsidR="00A84C4B" w:rsidRPr="003B4362">
        <w:rPr>
          <w:szCs w:val="24"/>
        </w:rPr>
        <w:t xml:space="preserve">  This includes the monitoring</w:t>
      </w:r>
      <w:bookmarkStart w:id="2946" w:name="_Hlk125369178"/>
      <w:r w:rsidR="00A84C4B" w:rsidRPr="003B4362">
        <w:rPr>
          <w:szCs w:val="24"/>
        </w:rPr>
        <w:t xml:space="preserve"> data </w:t>
      </w:r>
      <w:bookmarkStart w:id="2947" w:name="_Hlk125369011"/>
      <w:r w:rsidR="00A84C4B" w:rsidRPr="003B4362">
        <w:rPr>
          <w:szCs w:val="24"/>
        </w:rPr>
        <w:t>for “find-and-fix” under Sections 611.356(h) and 611.357(g)</w:t>
      </w:r>
      <w:bookmarkEnd w:id="2946"/>
      <w:bookmarkEnd w:id="2947"/>
      <w:r w:rsidR="00A84C4B" w:rsidRPr="003B4362">
        <w:rPr>
          <w:szCs w:val="24"/>
        </w:rPr>
        <w:t>.  T</w:t>
      </w:r>
      <w:bookmarkStart w:id="2948" w:name="_Hlk125368824"/>
      <w:r w:rsidR="00A84C4B" w:rsidRPr="003B4362">
        <w:rPr>
          <w:szCs w:val="24"/>
        </w:rPr>
        <w:t xml:space="preserve">he </w:t>
      </w:r>
      <w:bookmarkEnd w:id="2948"/>
      <w:r w:rsidR="00A84C4B" w:rsidRPr="003B4362">
        <w:rPr>
          <w:szCs w:val="24"/>
        </w:rPr>
        <w:t xml:space="preserve">supplier must certify to the </w:t>
      </w:r>
      <w:r w:rsidR="00C023D9" w:rsidRPr="003B4362">
        <w:rPr>
          <w:szCs w:val="24"/>
        </w:rPr>
        <w:t>Agency</w:t>
      </w:r>
      <w:r w:rsidR="00A84C4B" w:rsidRPr="003B4362">
        <w:rPr>
          <w:szCs w:val="24"/>
        </w:rPr>
        <w:t xml:space="preserve"> the number of customer refusals or nonresponses for follow-up sampling </w:t>
      </w:r>
      <w:r w:rsidR="00C41F7A" w:rsidRPr="003B4362">
        <w:rPr>
          <w:szCs w:val="24"/>
        </w:rPr>
        <w:t xml:space="preserve">it received </w:t>
      </w:r>
      <w:r w:rsidR="00A84C4B" w:rsidRPr="003B4362">
        <w:rPr>
          <w:szCs w:val="24"/>
        </w:rPr>
        <w:t xml:space="preserve">under Section </w:t>
      </w:r>
      <w:r w:rsidR="00C41F7A" w:rsidRPr="003B4362">
        <w:rPr>
          <w:szCs w:val="24"/>
        </w:rPr>
        <w:t>61</w:t>
      </w:r>
      <w:r w:rsidR="00A84C4B" w:rsidRPr="003B4362">
        <w:rPr>
          <w:szCs w:val="24"/>
        </w:rPr>
        <w:t>1.</w:t>
      </w:r>
      <w:r w:rsidR="00C41F7A" w:rsidRPr="003B4362">
        <w:rPr>
          <w:szCs w:val="24"/>
        </w:rPr>
        <w:t>35</w:t>
      </w:r>
      <w:r w:rsidR="00A84C4B" w:rsidRPr="003B4362">
        <w:rPr>
          <w:szCs w:val="24"/>
        </w:rPr>
        <w:t xml:space="preserve">2(j) </w:t>
      </w:r>
      <w:bookmarkStart w:id="2949" w:name="_Hlk125370433"/>
      <w:r w:rsidR="00C41F7A" w:rsidRPr="003B4362">
        <w:rPr>
          <w:szCs w:val="24"/>
        </w:rPr>
        <w:t>with</w:t>
      </w:r>
      <w:bookmarkStart w:id="2950" w:name="_Hlk125370360"/>
      <w:r w:rsidR="00A84C4B" w:rsidRPr="003B4362">
        <w:rPr>
          <w:szCs w:val="24"/>
        </w:rPr>
        <w:t xml:space="preserve"> information </w:t>
      </w:r>
      <w:r w:rsidR="00C41F7A" w:rsidRPr="003B4362">
        <w:rPr>
          <w:szCs w:val="24"/>
        </w:rPr>
        <w:t>supporting</w:t>
      </w:r>
      <w:r w:rsidR="00A84C4B" w:rsidRPr="003B4362">
        <w:rPr>
          <w:szCs w:val="24"/>
        </w:rPr>
        <w:t xml:space="preserve"> the accuracy</w:t>
      </w:r>
      <w:bookmarkEnd w:id="2949"/>
      <w:bookmarkEnd w:id="2950"/>
      <w:r w:rsidR="00A84C4B" w:rsidRPr="003B4362">
        <w:rPr>
          <w:szCs w:val="24"/>
        </w:rPr>
        <w:t xml:space="preserve"> of the refusals or non-responses</w:t>
      </w:r>
      <w:r w:rsidR="00855D62" w:rsidRPr="003B4362">
        <w:rPr>
          <w:szCs w:val="24"/>
        </w:rPr>
        <w:t>.  The supplier must certify</w:t>
      </w:r>
      <w:r w:rsidR="00A84C4B" w:rsidRPr="003B4362">
        <w:rPr>
          <w:szCs w:val="24"/>
        </w:rPr>
        <w:t xml:space="preserve"> within the first </w:t>
      </w:r>
      <w:r w:rsidR="00855D62" w:rsidRPr="003B4362">
        <w:rPr>
          <w:szCs w:val="24"/>
        </w:rPr>
        <w:t>ten</w:t>
      </w:r>
      <w:r w:rsidR="00A84C4B" w:rsidRPr="003B4362">
        <w:rPr>
          <w:szCs w:val="24"/>
        </w:rPr>
        <w:t xml:space="preserve"> days </w:t>
      </w:r>
      <w:r w:rsidR="00855D62" w:rsidRPr="003B4362">
        <w:rPr>
          <w:szCs w:val="24"/>
        </w:rPr>
        <w:t>after</w:t>
      </w:r>
      <w:r w:rsidR="00A84C4B" w:rsidRPr="003B4362">
        <w:rPr>
          <w:szCs w:val="24"/>
        </w:rPr>
        <w:t xml:space="preserve"> the end of the applicable tap sampling period </w:t>
      </w:r>
      <w:bookmarkStart w:id="2951" w:name="_Hlk125371753"/>
      <w:r w:rsidR="00855D62" w:rsidRPr="003B4362">
        <w:rPr>
          <w:szCs w:val="24"/>
        </w:rPr>
        <w:t>during</w:t>
      </w:r>
      <w:r w:rsidR="00A84C4B" w:rsidRPr="003B4362">
        <w:rPr>
          <w:szCs w:val="24"/>
        </w:rPr>
        <w:t xml:space="preserve"> which</w:t>
      </w:r>
      <w:bookmarkEnd w:id="2951"/>
      <w:r w:rsidR="00A84C4B" w:rsidRPr="003B4362">
        <w:rPr>
          <w:szCs w:val="24"/>
        </w:rPr>
        <w:t xml:space="preserve"> </w:t>
      </w:r>
      <w:bookmarkStart w:id="2952" w:name="_Hlk125372220"/>
      <w:r w:rsidR="00A84C4B" w:rsidRPr="003B4362">
        <w:rPr>
          <w:szCs w:val="24"/>
        </w:rPr>
        <w:t>an</w:t>
      </w:r>
      <w:r w:rsidR="00DD02E5" w:rsidRPr="003B4362">
        <w:rPr>
          <w:szCs w:val="24"/>
        </w:rPr>
        <w:t>y</w:t>
      </w:r>
      <w:r w:rsidR="00A84C4B" w:rsidRPr="003B4362">
        <w:rPr>
          <w:szCs w:val="24"/>
        </w:rPr>
        <w:t xml:space="preserve"> individual sample</w:t>
      </w:r>
      <w:bookmarkEnd w:id="2952"/>
      <w:r w:rsidR="00A84C4B" w:rsidRPr="003B4362">
        <w:rPr>
          <w:szCs w:val="24"/>
        </w:rPr>
        <w:t xml:space="preserve"> exceeded the </w:t>
      </w:r>
      <w:r w:rsidR="00DD02E5" w:rsidRPr="003B4362">
        <w:rPr>
          <w:szCs w:val="24"/>
        </w:rPr>
        <w:t xml:space="preserve">lead </w:t>
      </w:r>
      <w:r w:rsidR="00A84C4B" w:rsidRPr="003B4362">
        <w:rPr>
          <w:szCs w:val="24"/>
        </w:rPr>
        <w:t>action level.</w:t>
      </w:r>
    </w:p>
    <w:p w14:paraId="4BE9A21C" w14:textId="52347922" w:rsidR="005451CE" w:rsidRPr="003B4362" w:rsidRDefault="005451CE" w:rsidP="005451CE">
      <w:pPr>
        <w:spacing w:before="240" w:after="240"/>
        <w:ind w:left="1440" w:hanging="720"/>
        <w:rPr>
          <w:rFonts w:eastAsia="Calibri"/>
        </w:rPr>
      </w:pPr>
      <w:r w:rsidRPr="003B4362">
        <w:rPr>
          <w:rFonts w:eastAsia="Calibri"/>
        </w:rPr>
        <w:t>h)</w:t>
      </w:r>
      <w:r w:rsidRPr="003B4362">
        <w:rPr>
          <w:rFonts w:eastAsia="Calibri"/>
        </w:rPr>
        <w:tab/>
      </w:r>
      <w:bookmarkStart w:id="2953" w:name="_Hlk115357691"/>
      <w:r w:rsidRPr="003B4362">
        <w:rPr>
          <w:rFonts w:eastAsia="Calibri"/>
        </w:rPr>
        <w:t xml:space="preserve">Reporting 90th Percentile Lead and Copper Concentrations </w:t>
      </w:r>
      <w:r w:rsidRPr="003B4362">
        <w:rPr>
          <w:rFonts w:eastAsia="Calibri"/>
          <w:spacing w:val="-3"/>
        </w:rPr>
        <w:t xml:space="preserve">If </w:t>
      </w:r>
      <w:r w:rsidRPr="003B4362">
        <w:rPr>
          <w:rFonts w:eastAsia="Calibri"/>
        </w:rPr>
        <w:t xml:space="preserve">the Agency Calculates a </w:t>
      </w:r>
      <w:r w:rsidR="00DD02E5" w:rsidRPr="003B4362">
        <w:rPr>
          <w:rFonts w:eastAsia="Calibri"/>
        </w:rPr>
        <w:t xml:space="preserve">Supplier’s </w:t>
      </w:r>
      <w:r w:rsidRPr="003B4362">
        <w:rPr>
          <w:rFonts w:eastAsia="Calibri"/>
        </w:rPr>
        <w:t>90th Percentile Concentrations</w:t>
      </w:r>
      <w:bookmarkEnd w:id="2953"/>
      <w:r w:rsidRPr="003B4362">
        <w:rPr>
          <w:rFonts w:eastAsia="Calibri"/>
        </w:rPr>
        <w:t>.  A</w:t>
      </w:r>
      <w:bookmarkStart w:id="2954" w:name="_Hlk115357825"/>
      <w:r w:rsidRPr="003B4362">
        <w:rPr>
          <w:rFonts w:eastAsia="Calibri"/>
        </w:rPr>
        <w:t xml:space="preserve"> water supplier needs not report its 90th percentile lead and copper concentrations during each </w:t>
      </w:r>
      <w:r w:rsidR="006E0281" w:rsidRPr="003B4362">
        <w:rPr>
          <w:szCs w:val="24"/>
        </w:rPr>
        <w:t xml:space="preserve">tap </w:t>
      </w:r>
      <w:r w:rsidRPr="003B4362">
        <w:rPr>
          <w:rFonts w:eastAsia="Calibri"/>
        </w:rPr>
        <w:t>monitoring</w:t>
      </w:r>
      <w:r w:rsidR="005C0451" w:rsidRPr="003B4362">
        <w:rPr>
          <w:rFonts w:eastAsia="Calibri"/>
        </w:rPr>
        <w:t xml:space="preserve"> cycle</w:t>
      </w:r>
      <w:bookmarkEnd w:id="2954"/>
      <w:r w:rsidRPr="003B4362">
        <w:rPr>
          <w:rFonts w:eastAsia="Calibri"/>
        </w:rPr>
        <w:t xml:space="preserve">, </w:t>
      </w:r>
      <w:bookmarkStart w:id="2955" w:name="_Hlk115357974"/>
      <w:r w:rsidRPr="003B4362">
        <w:rPr>
          <w:rFonts w:eastAsia="Calibri"/>
        </w:rPr>
        <w:t>as subsection (a)(1)(D) requires, under certain circumstances</w:t>
      </w:r>
      <w:bookmarkEnd w:id="2955"/>
      <w:r w:rsidRPr="003B4362">
        <w:rPr>
          <w:rFonts w:eastAsia="Calibri"/>
        </w:rPr>
        <w:t>:</w:t>
      </w:r>
    </w:p>
    <w:p w14:paraId="5CFCDB8F" w14:textId="025F7586"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The Agency previously notified the supplier that the Agency will calculate the </w:t>
      </w:r>
      <w:r w:rsidR="00684E1D" w:rsidRPr="003B4362">
        <w:rPr>
          <w:rFonts w:eastAsia="Calibri"/>
        </w:rPr>
        <w:t>s</w:t>
      </w:r>
      <w:r w:rsidR="00582166" w:rsidRPr="003B4362">
        <w:rPr>
          <w:rFonts w:eastAsia="Calibri"/>
        </w:rPr>
        <w:t xml:space="preserve">upplier’s </w:t>
      </w:r>
      <w:r w:rsidRPr="003B4362">
        <w:rPr>
          <w:rFonts w:eastAsia="Calibri"/>
        </w:rPr>
        <w:t xml:space="preserve">90th percentile lead and copper concentrations based on the lead and copper tap results the supplier submitted under subsection (h)(2)(A), and the supplier </w:t>
      </w:r>
      <w:r w:rsidR="001E53ED" w:rsidRPr="003B4362">
        <w:rPr>
          <w:szCs w:val="24"/>
        </w:rPr>
        <w:t xml:space="preserve">provides </w:t>
      </w:r>
      <w:r w:rsidRPr="003B4362">
        <w:rPr>
          <w:rFonts w:eastAsia="Calibri"/>
        </w:rPr>
        <w:t>the results from lead and copper tap water samples</w:t>
      </w:r>
      <w:r w:rsidR="001E53ED" w:rsidRPr="003B4362">
        <w:rPr>
          <w:szCs w:val="24"/>
        </w:rPr>
        <w:t xml:space="preserve"> no later than ten days after the end of the applicable tap monitoring </w:t>
      </w:r>
      <w:r w:rsidR="005C0451" w:rsidRPr="003B4362">
        <w:rPr>
          <w:szCs w:val="24"/>
        </w:rPr>
        <w:t>cycle</w:t>
      </w:r>
      <w:r w:rsidRPr="003B4362">
        <w:rPr>
          <w:rFonts w:eastAsia="Calibri"/>
        </w:rPr>
        <w:t>;</w:t>
      </w:r>
    </w:p>
    <w:p w14:paraId="6B7FD4C3" w14:textId="0C7AE51D"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The supplier provides the specific information to the Agency before the date subsection (h)(1) specifies:</w:t>
      </w:r>
    </w:p>
    <w:p w14:paraId="2212388C" w14:textId="1E55FE9C"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The results from all tap water samples for lead and copper, including the location of each site and the </w:t>
      </w:r>
      <w:bookmarkStart w:id="2956" w:name="_Hlk115362595"/>
      <w:r w:rsidRPr="003B4362">
        <w:rPr>
          <w:rFonts w:eastAsia="Calibri"/>
        </w:rPr>
        <w:t xml:space="preserve">Section </w:t>
      </w:r>
      <w:r w:rsidR="00B752E1" w:rsidRPr="003B4362">
        <w:rPr>
          <w:rFonts w:eastAsia="Calibri"/>
        </w:rPr>
        <w:t>611.356</w:t>
      </w:r>
      <w:bookmarkStart w:id="2957" w:name="_Hlk125376385"/>
      <w:r w:rsidR="00B752E1" w:rsidRPr="003B4362">
        <w:rPr>
          <w:rFonts w:eastAsia="Calibri"/>
        </w:rPr>
        <w:t>(a)(3) through (a)(10)</w:t>
      </w:r>
      <w:bookmarkEnd w:id="2957"/>
      <w:r w:rsidR="00B752E1" w:rsidRPr="003B4362">
        <w:rPr>
          <w:rFonts w:eastAsia="Calibri"/>
        </w:rPr>
        <w:t xml:space="preserve"> criteria </w:t>
      </w:r>
      <w:r w:rsidRPr="003B4362">
        <w:rPr>
          <w:rFonts w:eastAsia="Calibri"/>
        </w:rPr>
        <w:t>under which the supplier selected the site for its sampling poo</w:t>
      </w:r>
      <w:bookmarkEnd w:id="2956"/>
      <w:r w:rsidR="002D1BD4">
        <w:rPr>
          <w:rFonts w:eastAsia="Calibri"/>
        </w:rPr>
        <w:t>l</w:t>
      </w:r>
      <w:r w:rsidRPr="003B4362">
        <w:rPr>
          <w:rFonts w:eastAsia="Calibri"/>
        </w:rPr>
        <w:t>; and</w:t>
      </w:r>
    </w:p>
    <w:p w14:paraId="30102881" w14:textId="7087C102"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T</w:t>
      </w:r>
      <w:bookmarkStart w:id="2958" w:name="_Hlk115362840"/>
      <w:r w:rsidRPr="003B4362">
        <w:rPr>
          <w:rFonts w:eastAsia="Calibri"/>
        </w:rPr>
        <w:t xml:space="preserve">he supplier must identify sampling sites it used </w:t>
      </w:r>
      <w:bookmarkEnd w:id="2958"/>
      <w:r w:rsidRPr="003B4362">
        <w:rPr>
          <w:rFonts w:eastAsia="Calibri"/>
        </w:rPr>
        <w:t xml:space="preserve">during the current </w:t>
      </w:r>
      <w:bookmarkStart w:id="2959" w:name="_Hlk128559539"/>
      <w:r w:rsidR="00671610" w:rsidRPr="003B4362">
        <w:rPr>
          <w:szCs w:val="24"/>
        </w:rPr>
        <w:t xml:space="preserve">tap </w:t>
      </w:r>
      <w:r w:rsidRPr="003B4362">
        <w:rPr>
          <w:rFonts w:eastAsia="Calibri"/>
        </w:rPr>
        <w:t xml:space="preserve">monitoring </w:t>
      </w:r>
      <w:bookmarkStart w:id="2960" w:name="_Hlk115362943"/>
      <w:r w:rsidR="005C0451" w:rsidRPr="003B4362">
        <w:rPr>
          <w:rFonts w:eastAsia="Calibri"/>
        </w:rPr>
        <w:t xml:space="preserve">cycle </w:t>
      </w:r>
      <w:bookmarkEnd w:id="2959"/>
      <w:r w:rsidRPr="003B4362">
        <w:rPr>
          <w:rFonts w:eastAsia="Calibri"/>
        </w:rPr>
        <w:t xml:space="preserve">that it did not sample </w:t>
      </w:r>
      <w:bookmarkEnd w:id="2960"/>
      <w:r w:rsidRPr="003B4362">
        <w:rPr>
          <w:rFonts w:eastAsia="Calibri"/>
        </w:rPr>
        <w:t xml:space="preserve">during previous </w:t>
      </w:r>
      <w:r w:rsidR="005C0451" w:rsidRPr="003B4362">
        <w:rPr>
          <w:rFonts w:eastAsia="Calibri"/>
        </w:rPr>
        <w:t xml:space="preserve">tap </w:t>
      </w:r>
      <w:r w:rsidRPr="003B4362">
        <w:rPr>
          <w:rFonts w:eastAsia="Calibri"/>
        </w:rPr>
        <w:t>monitoring</w:t>
      </w:r>
      <w:r w:rsidR="005C0451" w:rsidRPr="003B4362">
        <w:rPr>
          <w:rFonts w:eastAsia="Calibri"/>
        </w:rPr>
        <w:t xml:space="preserve"> cycles</w:t>
      </w:r>
      <w:r w:rsidRPr="003B4362">
        <w:rPr>
          <w:rFonts w:eastAsia="Calibri"/>
        </w:rPr>
        <w:t xml:space="preserve">, </w:t>
      </w:r>
      <w:bookmarkStart w:id="2961" w:name="_Hlk115363091"/>
      <w:r w:rsidRPr="003B4362">
        <w:rPr>
          <w:rFonts w:eastAsia="Calibri"/>
        </w:rPr>
        <w:t>explaining why the supplier changed sampling sites</w:t>
      </w:r>
      <w:bookmarkEnd w:id="2961"/>
      <w:r w:rsidRPr="003B4362">
        <w:rPr>
          <w:rFonts w:eastAsia="Calibri"/>
        </w:rPr>
        <w:t>; and</w:t>
      </w:r>
    </w:p>
    <w:p w14:paraId="76EEA7F0" w14:textId="052324EA" w:rsidR="005451CE" w:rsidRPr="003B4362" w:rsidRDefault="005451CE" w:rsidP="005451CE">
      <w:pPr>
        <w:spacing w:before="240" w:after="240"/>
        <w:ind w:left="2160" w:hanging="720"/>
        <w:rPr>
          <w:rFonts w:eastAsia="Calibri"/>
        </w:rPr>
      </w:pPr>
      <w:r w:rsidRPr="003B4362">
        <w:rPr>
          <w:rFonts w:eastAsia="Calibri"/>
        </w:rPr>
        <w:lastRenderedPageBreak/>
        <w:t>3)</w:t>
      </w:r>
      <w:r w:rsidRPr="003B4362">
        <w:rPr>
          <w:rFonts w:eastAsia="Calibri"/>
        </w:rPr>
        <w:tab/>
        <w:t>T</w:t>
      </w:r>
      <w:bookmarkStart w:id="2962" w:name="_Hlk115363212"/>
      <w:r w:rsidRPr="003B4362">
        <w:rPr>
          <w:rFonts w:eastAsia="Calibri"/>
        </w:rPr>
        <w:t xml:space="preserve">he Agency provides the written results </w:t>
      </w:r>
      <w:bookmarkStart w:id="2963" w:name="_Hlk127463473"/>
      <w:r w:rsidRPr="003B4362">
        <w:rPr>
          <w:rFonts w:eastAsia="Calibri"/>
        </w:rPr>
        <w:t xml:space="preserve">of </w:t>
      </w:r>
      <w:r w:rsidR="00BE7EE4" w:rsidRPr="003B4362">
        <w:rPr>
          <w:rFonts w:eastAsia="Calibri"/>
        </w:rPr>
        <w:t xml:space="preserve">calculating </w:t>
      </w:r>
      <w:r w:rsidRPr="003B4362">
        <w:rPr>
          <w:rFonts w:eastAsia="Calibri"/>
        </w:rPr>
        <w:t>the 90th percentile lead and copper</w:t>
      </w:r>
      <w:r w:rsidR="00BE7EE4" w:rsidRPr="003B4362">
        <w:rPr>
          <w:rFonts w:eastAsia="Calibri"/>
        </w:rPr>
        <w:t xml:space="preserve"> concentrations</w:t>
      </w:r>
      <w:bookmarkEnd w:id="2963"/>
      <w:r w:rsidRPr="003B4362">
        <w:rPr>
          <w:rFonts w:eastAsia="Calibri"/>
        </w:rPr>
        <w:t xml:space="preserve"> to the supplier</w:t>
      </w:r>
      <w:bookmarkEnd w:id="2962"/>
      <w:r w:rsidRPr="003B4362">
        <w:rPr>
          <w:rFonts w:eastAsia="Calibri"/>
        </w:rPr>
        <w:t xml:space="preserve"> </w:t>
      </w:r>
      <w:bookmarkStart w:id="2964" w:name="_Hlk125377065"/>
      <w:bookmarkStart w:id="2965" w:name="_Hlk125377108"/>
      <w:r w:rsidR="00671610" w:rsidRPr="003B4362">
        <w:rPr>
          <w:szCs w:val="24"/>
        </w:rPr>
        <w:t xml:space="preserve">within 15 days </w:t>
      </w:r>
      <w:bookmarkEnd w:id="2964"/>
      <w:r w:rsidR="00671610" w:rsidRPr="003B4362">
        <w:rPr>
          <w:szCs w:val="24"/>
        </w:rPr>
        <w:t>after</w:t>
      </w:r>
      <w:bookmarkEnd w:id="2965"/>
      <w:r w:rsidR="00671610" w:rsidRPr="003B4362">
        <w:rPr>
          <w:szCs w:val="24"/>
        </w:rPr>
        <w:t xml:space="preserve"> </w:t>
      </w:r>
      <w:r w:rsidRPr="003B4362">
        <w:rPr>
          <w:rFonts w:eastAsia="Calibri"/>
        </w:rPr>
        <w:t xml:space="preserve">the end of the </w:t>
      </w:r>
      <w:r w:rsidR="00671610" w:rsidRPr="003B4362">
        <w:rPr>
          <w:szCs w:val="24"/>
        </w:rPr>
        <w:t xml:space="preserve">tap sampling </w:t>
      </w:r>
      <w:r w:rsidRPr="003B4362">
        <w:rPr>
          <w:rFonts w:eastAsia="Calibri"/>
        </w:rPr>
        <w:t>period.</w:t>
      </w:r>
    </w:p>
    <w:p w14:paraId="2BD3BEA9" w14:textId="431D0D41" w:rsidR="00671610" w:rsidRPr="003B4362" w:rsidRDefault="00671610" w:rsidP="00671610">
      <w:pPr>
        <w:autoSpaceDE w:val="0"/>
        <w:autoSpaceDN w:val="0"/>
        <w:adjustRightInd w:val="0"/>
        <w:spacing w:before="240" w:after="240"/>
        <w:ind w:left="1440" w:hanging="720"/>
        <w:rPr>
          <w:rFonts w:eastAsia="Calibri"/>
          <w:szCs w:val="24"/>
        </w:rPr>
      </w:pPr>
      <w:r w:rsidRPr="003B4362">
        <w:rPr>
          <w:rFonts w:eastAsia="Calibri"/>
          <w:szCs w:val="24"/>
        </w:rPr>
        <w:t>i)</w:t>
      </w:r>
      <w:r w:rsidRPr="003B4362">
        <w:rPr>
          <w:rFonts w:eastAsia="Calibri"/>
          <w:szCs w:val="24"/>
        </w:rPr>
        <w:tab/>
      </w:r>
      <w:bookmarkStart w:id="2966" w:name="_Hlk125377937"/>
      <w:r w:rsidRPr="003B4362">
        <w:rPr>
          <w:rFonts w:eastAsia="Calibri"/>
          <w:szCs w:val="24"/>
        </w:rPr>
        <w:t>R</w:t>
      </w:r>
      <w:bookmarkStart w:id="2967" w:name="_Hlk125377849"/>
      <w:r w:rsidRPr="003B4362">
        <w:rPr>
          <w:rFonts w:eastAsia="Calibri"/>
          <w:szCs w:val="24"/>
        </w:rPr>
        <w:t xml:space="preserve">eporting </w:t>
      </w:r>
      <w:r w:rsidR="00897A50" w:rsidRPr="003B4362">
        <w:rPr>
          <w:rFonts w:eastAsia="Calibri"/>
          <w:szCs w:val="24"/>
        </w:rPr>
        <w:t>R</w:t>
      </w:r>
      <w:r w:rsidRPr="003B4362">
        <w:rPr>
          <w:rFonts w:eastAsia="Calibri"/>
          <w:szCs w:val="24"/>
        </w:rPr>
        <w:t>equirements for</w:t>
      </w:r>
      <w:r w:rsidR="00897A50" w:rsidRPr="003B4362">
        <w:rPr>
          <w:rFonts w:eastAsia="Calibri"/>
          <w:szCs w:val="24"/>
        </w:rPr>
        <w:t xml:space="preserve"> CWS</w:t>
      </w:r>
      <w:r w:rsidRPr="003B4362">
        <w:rPr>
          <w:rFonts w:eastAsia="Calibri"/>
          <w:szCs w:val="24"/>
        </w:rPr>
        <w:t xml:space="preserve"> </w:t>
      </w:r>
      <w:r w:rsidR="00897A50" w:rsidRPr="003B4362">
        <w:rPr>
          <w:rFonts w:eastAsia="Calibri"/>
          <w:szCs w:val="24"/>
        </w:rPr>
        <w:t>P</w:t>
      </w:r>
      <w:r w:rsidRPr="003B4362">
        <w:rPr>
          <w:rFonts w:eastAsia="Calibri"/>
          <w:szCs w:val="24"/>
        </w:rPr>
        <w:t xml:space="preserve">ublic </w:t>
      </w:r>
      <w:r w:rsidR="00897A50" w:rsidRPr="003B4362">
        <w:rPr>
          <w:rFonts w:eastAsia="Calibri"/>
          <w:szCs w:val="24"/>
        </w:rPr>
        <w:t>E</w:t>
      </w:r>
      <w:r w:rsidRPr="003B4362">
        <w:rPr>
          <w:rFonts w:eastAsia="Calibri"/>
          <w:szCs w:val="24"/>
        </w:rPr>
        <w:t xml:space="preserve">ducation and </w:t>
      </w:r>
      <w:r w:rsidR="00897A50" w:rsidRPr="003B4362">
        <w:rPr>
          <w:rFonts w:eastAsia="Calibri"/>
          <w:szCs w:val="24"/>
        </w:rPr>
        <w:t>S</w:t>
      </w:r>
      <w:r w:rsidRPr="003B4362">
        <w:rPr>
          <w:rFonts w:eastAsia="Calibri"/>
          <w:szCs w:val="24"/>
        </w:rPr>
        <w:t xml:space="preserve">ampling in </w:t>
      </w:r>
      <w:r w:rsidR="00897A50" w:rsidRPr="003B4362">
        <w:rPr>
          <w:rFonts w:eastAsia="Calibri"/>
          <w:szCs w:val="24"/>
        </w:rPr>
        <w:t>S</w:t>
      </w:r>
      <w:r w:rsidRPr="003B4362">
        <w:rPr>
          <w:rFonts w:eastAsia="Calibri"/>
          <w:szCs w:val="24"/>
        </w:rPr>
        <w:t xml:space="preserve">chools and </w:t>
      </w:r>
      <w:r w:rsidR="00897A50" w:rsidRPr="003B4362">
        <w:rPr>
          <w:rFonts w:eastAsia="Calibri"/>
          <w:szCs w:val="24"/>
        </w:rPr>
        <w:t>C</w:t>
      </w:r>
      <w:r w:rsidRPr="003B4362">
        <w:rPr>
          <w:rFonts w:eastAsia="Calibri"/>
          <w:szCs w:val="24"/>
        </w:rPr>
        <w:t xml:space="preserve">hild </w:t>
      </w:r>
      <w:r w:rsidR="00897A50" w:rsidRPr="003B4362">
        <w:rPr>
          <w:rFonts w:eastAsia="Calibri"/>
          <w:szCs w:val="24"/>
        </w:rPr>
        <w:t>C</w:t>
      </w:r>
      <w:r w:rsidRPr="003B4362">
        <w:rPr>
          <w:rFonts w:eastAsia="Calibri"/>
          <w:szCs w:val="24"/>
        </w:rPr>
        <w:t xml:space="preserve">are </w:t>
      </w:r>
      <w:r w:rsidR="00897A50" w:rsidRPr="003B4362">
        <w:rPr>
          <w:rFonts w:eastAsia="Calibri"/>
          <w:szCs w:val="24"/>
        </w:rPr>
        <w:t>F</w:t>
      </w:r>
      <w:r w:rsidRPr="003B4362">
        <w:rPr>
          <w:rFonts w:eastAsia="Calibri"/>
          <w:szCs w:val="24"/>
        </w:rPr>
        <w:t>acilities</w:t>
      </w:r>
      <w:bookmarkEnd w:id="2966"/>
      <w:bookmarkEnd w:id="2967"/>
    </w:p>
    <w:p w14:paraId="75461782" w14:textId="5F4D0EC4" w:rsidR="00671610" w:rsidRPr="003B4362" w:rsidRDefault="00671610" w:rsidP="00671610">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A</w:t>
      </w:r>
      <w:bookmarkStart w:id="2968" w:name="_Hlk125378132"/>
      <w:r w:rsidRPr="003B4362">
        <w:rPr>
          <w:rFonts w:eastAsia="Calibri"/>
          <w:szCs w:val="24"/>
        </w:rPr>
        <w:t xml:space="preserve"> </w:t>
      </w:r>
      <w:r w:rsidR="00897A50" w:rsidRPr="003B4362">
        <w:rPr>
          <w:rFonts w:eastAsia="Calibri"/>
          <w:szCs w:val="24"/>
        </w:rPr>
        <w:t>CWS supplier</w:t>
      </w:r>
      <w:r w:rsidRPr="003B4362">
        <w:rPr>
          <w:rFonts w:eastAsia="Calibri"/>
          <w:szCs w:val="24"/>
        </w:rPr>
        <w:t xml:space="preserve"> </w:t>
      </w:r>
      <w:r w:rsidR="00897A50" w:rsidRPr="003B4362">
        <w:rPr>
          <w:rFonts w:eastAsia="Calibri"/>
          <w:szCs w:val="24"/>
        </w:rPr>
        <w:t xml:space="preserve">must </w:t>
      </w:r>
      <w:r w:rsidRPr="003B4362">
        <w:rPr>
          <w:rFonts w:eastAsia="Calibri"/>
          <w:szCs w:val="24"/>
        </w:rPr>
        <w:t xml:space="preserve">report to the </w:t>
      </w:r>
      <w:r w:rsidR="00897A50" w:rsidRPr="003B4362">
        <w:rPr>
          <w:rFonts w:eastAsia="Calibri"/>
          <w:szCs w:val="24"/>
        </w:rPr>
        <w:t>Agency</w:t>
      </w:r>
      <w:r w:rsidRPr="003B4362">
        <w:rPr>
          <w:rFonts w:eastAsia="Calibri"/>
          <w:szCs w:val="24"/>
        </w:rPr>
        <w:t xml:space="preserve"> </w:t>
      </w:r>
      <w:r w:rsidR="00897A50" w:rsidRPr="003B4362">
        <w:rPr>
          <w:rFonts w:eastAsia="Calibri"/>
          <w:szCs w:val="24"/>
        </w:rPr>
        <w:t>before</w:t>
      </w:r>
      <w:r w:rsidRPr="003B4362">
        <w:rPr>
          <w:rFonts w:eastAsia="Calibri"/>
          <w:szCs w:val="24"/>
        </w:rPr>
        <w:t xml:space="preserve"> July 1</w:t>
      </w:r>
      <w:bookmarkEnd w:id="2968"/>
      <w:r w:rsidRPr="003B4362">
        <w:rPr>
          <w:rFonts w:eastAsia="Calibri"/>
          <w:szCs w:val="24"/>
        </w:rPr>
        <w:t xml:space="preserve"> of each year</w:t>
      </w:r>
      <w:r w:rsidR="00897A50" w:rsidRPr="003B4362">
        <w:rPr>
          <w:rFonts w:eastAsia="Calibri"/>
          <w:szCs w:val="24"/>
        </w:rPr>
        <w:t xml:space="preserve"> </w:t>
      </w:r>
      <w:r w:rsidRPr="003B4362">
        <w:rPr>
          <w:rFonts w:eastAsia="Calibri"/>
          <w:szCs w:val="24"/>
        </w:rPr>
        <w:t xml:space="preserve">the previous calendar year’s activity.  The report must include </w:t>
      </w:r>
      <w:r w:rsidR="00E70676" w:rsidRPr="003B4362">
        <w:rPr>
          <w:rFonts w:eastAsia="Calibri"/>
          <w:szCs w:val="24"/>
        </w:rPr>
        <w:t>certain information</w:t>
      </w:r>
      <w:r w:rsidRPr="003B4362">
        <w:rPr>
          <w:rFonts w:eastAsia="Calibri"/>
          <w:szCs w:val="24"/>
        </w:rPr>
        <w:t>:</w:t>
      </w:r>
    </w:p>
    <w:p w14:paraId="1D00C652" w14:textId="0EAD26BA" w:rsidR="00671610" w:rsidRPr="003B4362" w:rsidRDefault="00671610" w:rsidP="00671610">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r w:rsidR="00E70676" w:rsidRPr="003B4362">
        <w:rPr>
          <w:rFonts w:eastAsia="Calibri"/>
          <w:szCs w:val="24"/>
        </w:rPr>
        <w:t>T</w:t>
      </w:r>
      <w:bookmarkStart w:id="2969" w:name="_Hlk125378838"/>
      <w:r w:rsidR="00E70676" w:rsidRPr="003B4362">
        <w:rPr>
          <w:rFonts w:eastAsia="Calibri"/>
          <w:szCs w:val="24"/>
        </w:rPr>
        <w:t>he supplier must cer</w:t>
      </w:r>
      <w:r w:rsidR="000B7F0F" w:rsidRPr="003B4362">
        <w:rPr>
          <w:rFonts w:eastAsia="Calibri"/>
          <w:szCs w:val="24"/>
        </w:rPr>
        <w:t>t</w:t>
      </w:r>
      <w:r w:rsidR="00E70676" w:rsidRPr="003B4362">
        <w:rPr>
          <w:rFonts w:eastAsia="Calibri"/>
          <w:szCs w:val="24"/>
        </w:rPr>
        <w:t>ify that it</w:t>
      </w:r>
      <w:bookmarkEnd w:id="2969"/>
      <w:r w:rsidRPr="003B4362">
        <w:rPr>
          <w:rFonts w:eastAsia="Calibri"/>
          <w:szCs w:val="24"/>
        </w:rPr>
        <w:t xml:space="preserve"> made a good faith effort to identify schools and child care facilities </w:t>
      </w:r>
      <w:bookmarkStart w:id="2970" w:name="_Hlk125378921"/>
      <w:r w:rsidR="00E70676" w:rsidRPr="003B4362">
        <w:rPr>
          <w:rFonts w:eastAsia="Calibri"/>
          <w:szCs w:val="24"/>
        </w:rPr>
        <w:t>under</w:t>
      </w:r>
      <w:r w:rsidRPr="003B4362">
        <w:rPr>
          <w:rFonts w:eastAsia="Calibri"/>
          <w:szCs w:val="24"/>
        </w:rPr>
        <w:t xml:space="preserve"> Section </w:t>
      </w:r>
      <w:r w:rsidR="00E70676" w:rsidRPr="003B4362">
        <w:rPr>
          <w:rFonts w:eastAsia="Calibri"/>
          <w:szCs w:val="24"/>
        </w:rPr>
        <w:t>61</w:t>
      </w:r>
      <w:r w:rsidRPr="003B4362">
        <w:rPr>
          <w:rFonts w:eastAsia="Calibri"/>
          <w:szCs w:val="24"/>
        </w:rPr>
        <w:t>1.</w:t>
      </w:r>
      <w:r w:rsidR="00E70676" w:rsidRPr="003B4362">
        <w:rPr>
          <w:rFonts w:eastAsia="Calibri"/>
          <w:szCs w:val="24"/>
        </w:rPr>
        <w:t>36</w:t>
      </w:r>
      <w:r w:rsidRPr="003B4362">
        <w:rPr>
          <w:rFonts w:eastAsia="Calibri"/>
          <w:szCs w:val="24"/>
        </w:rPr>
        <w:t>2(e)</w:t>
      </w:r>
      <w:bookmarkEnd w:id="2970"/>
      <w:r w:rsidRPr="003B4362">
        <w:rPr>
          <w:rFonts w:eastAsia="Calibri"/>
          <w:szCs w:val="24"/>
        </w:rPr>
        <w:t xml:space="preserve">.  The good faith effort may include reviewing customer records and requesting lists of schools and child care facilities from </w:t>
      </w:r>
      <w:bookmarkStart w:id="2971" w:name="_Hlk125379119"/>
      <w:r w:rsidRPr="003B4362">
        <w:rPr>
          <w:rFonts w:eastAsia="Calibri"/>
          <w:szCs w:val="24"/>
        </w:rPr>
        <w:t xml:space="preserve">the </w:t>
      </w:r>
      <w:r w:rsidR="009A4D64" w:rsidRPr="003B4362">
        <w:rPr>
          <w:rFonts w:eastAsia="Calibri"/>
          <w:szCs w:val="24"/>
        </w:rPr>
        <w:t>Agency</w:t>
      </w:r>
      <w:r w:rsidR="00E06138" w:rsidRPr="003B4362">
        <w:rPr>
          <w:rFonts w:eastAsia="Calibri"/>
          <w:szCs w:val="24"/>
        </w:rPr>
        <w:t>, the Department of Children and Family Services, the State Board of Education,</w:t>
      </w:r>
      <w:r w:rsidRPr="003B4362">
        <w:rPr>
          <w:rFonts w:eastAsia="Calibri"/>
          <w:szCs w:val="24"/>
        </w:rPr>
        <w:t xml:space="preserve"> or other </w:t>
      </w:r>
      <w:r w:rsidR="00E06138" w:rsidRPr="003B4362">
        <w:rPr>
          <w:rFonts w:eastAsia="Calibri"/>
          <w:szCs w:val="24"/>
        </w:rPr>
        <w:t>pertinent local</w:t>
      </w:r>
      <w:r w:rsidRPr="003B4362">
        <w:rPr>
          <w:rFonts w:eastAsia="Calibri"/>
          <w:szCs w:val="24"/>
        </w:rPr>
        <w:t xml:space="preserve"> agency</w:t>
      </w:r>
      <w:bookmarkEnd w:id="2971"/>
      <w:r w:rsidRPr="003B4362">
        <w:rPr>
          <w:rFonts w:eastAsia="Calibri"/>
          <w:szCs w:val="24"/>
        </w:rPr>
        <w:t>.  A</w:t>
      </w:r>
      <w:bookmarkStart w:id="2972" w:name="_Hlk125392744"/>
      <w:bookmarkStart w:id="2973" w:name="_Hlk125392637"/>
      <w:r w:rsidRPr="003B4362">
        <w:rPr>
          <w:rFonts w:eastAsia="Calibri"/>
          <w:szCs w:val="24"/>
        </w:rPr>
        <w:t xml:space="preserve"> </w:t>
      </w:r>
      <w:r w:rsidR="00E8055E" w:rsidRPr="003B4362">
        <w:rPr>
          <w:rFonts w:eastAsia="Calibri"/>
          <w:szCs w:val="24"/>
        </w:rPr>
        <w:t>supplier</w:t>
      </w:r>
      <w:r w:rsidRPr="003B4362">
        <w:rPr>
          <w:rFonts w:eastAsia="Calibri"/>
          <w:szCs w:val="24"/>
        </w:rPr>
        <w:t xml:space="preserve"> </w:t>
      </w:r>
      <w:r w:rsidR="00E8055E" w:rsidRPr="003B4362">
        <w:rPr>
          <w:rFonts w:eastAsia="Calibri"/>
          <w:szCs w:val="24"/>
        </w:rPr>
        <w:t>certifying</w:t>
      </w:r>
      <w:r w:rsidRPr="003B4362">
        <w:rPr>
          <w:rFonts w:eastAsia="Calibri"/>
          <w:szCs w:val="24"/>
        </w:rPr>
        <w:t xml:space="preserve"> that </w:t>
      </w:r>
      <w:r w:rsidR="00E62CC2" w:rsidRPr="003B4362">
        <w:rPr>
          <w:rFonts w:eastAsia="Calibri"/>
          <w:szCs w:val="24"/>
        </w:rPr>
        <w:t xml:space="preserve">it serves </w:t>
      </w:r>
      <w:r w:rsidRPr="003B4362">
        <w:rPr>
          <w:rFonts w:eastAsia="Calibri"/>
          <w:szCs w:val="24"/>
        </w:rPr>
        <w:t>no schools or child care facilities</w:t>
      </w:r>
      <w:bookmarkEnd w:id="2972"/>
      <w:bookmarkEnd w:id="2973"/>
      <w:r w:rsidR="00E62CC2" w:rsidRPr="003B4362">
        <w:rPr>
          <w:rFonts w:eastAsia="Calibri"/>
          <w:szCs w:val="24"/>
        </w:rPr>
        <w:t xml:space="preserve"> </w:t>
      </w:r>
      <w:bookmarkStart w:id="2974" w:name="_Hlk125392846"/>
      <w:bookmarkStart w:id="2975" w:name="_Hlk125393046"/>
      <w:r w:rsidR="00E62CC2" w:rsidRPr="003B4362">
        <w:rPr>
          <w:rFonts w:eastAsia="Calibri"/>
          <w:szCs w:val="24"/>
        </w:rPr>
        <w:t>needs</w:t>
      </w:r>
      <w:r w:rsidRPr="003B4362">
        <w:rPr>
          <w:rFonts w:eastAsia="Calibri"/>
          <w:szCs w:val="24"/>
        </w:rPr>
        <w:t xml:space="preserve"> not</w:t>
      </w:r>
      <w:r w:rsidR="00E62CC2" w:rsidRPr="003B4362">
        <w:rPr>
          <w:rFonts w:eastAsia="Calibri"/>
          <w:szCs w:val="24"/>
        </w:rPr>
        <w:t xml:space="preserve"> </w:t>
      </w:r>
      <w:r w:rsidRPr="003B4362">
        <w:rPr>
          <w:rFonts w:eastAsia="Calibri"/>
          <w:szCs w:val="24"/>
        </w:rPr>
        <w:t xml:space="preserve">include </w:t>
      </w:r>
      <w:r w:rsidR="00E62CC2" w:rsidRPr="003B4362">
        <w:rPr>
          <w:rFonts w:eastAsia="Calibri"/>
          <w:szCs w:val="24"/>
        </w:rPr>
        <w:t xml:space="preserve">the </w:t>
      </w:r>
      <w:r w:rsidRPr="003B4362">
        <w:rPr>
          <w:rFonts w:eastAsia="Calibri"/>
          <w:szCs w:val="24"/>
        </w:rPr>
        <w:t xml:space="preserve">information subsections (i)(1)(B) through </w:t>
      </w:r>
      <w:r w:rsidR="00E62CC2" w:rsidRPr="003B4362">
        <w:rPr>
          <w:rFonts w:eastAsia="Calibri"/>
          <w:szCs w:val="24"/>
        </w:rPr>
        <w:t>(i)(1)</w:t>
      </w:r>
      <w:r w:rsidRPr="003B4362">
        <w:rPr>
          <w:rFonts w:eastAsia="Calibri"/>
          <w:szCs w:val="24"/>
        </w:rPr>
        <w:t xml:space="preserve">(D) </w:t>
      </w:r>
      <w:bookmarkEnd w:id="2974"/>
      <w:r w:rsidR="00E62CC2" w:rsidRPr="003B4362">
        <w:rPr>
          <w:rFonts w:eastAsia="Calibri"/>
          <w:szCs w:val="24"/>
        </w:rPr>
        <w:t>require</w:t>
      </w:r>
      <w:bookmarkEnd w:id="2975"/>
      <w:r w:rsidR="00E62CC2" w:rsidRPr="003B4362">
        <w:rPr>
          <w:rFonts w:eastAsia="Calibri"/>
          <w:szCs w:val="24"/>
        </w:rPr>
        <w:t xml:space="preserve"> </w:t>
      </w:r>
      <w:r w:rsidRPr="003B4362">
        <w:rPr>
          <w:rFonts w:eastAsia="Calibri"/>
          <w:szCs w:val="24"/>
        </w:rPr>
        <w:t>in the report.  I</w:t>
      </w:r>
      <w:bookmarkStart w:id="2976" w:name="_Hlk125393140"/>
      <w:r w:rsidRPr="003B4362">
        <w:rPr>
          <w:rFonts w:eastAsia="Calibri"/>
          <w:szCs w:val="24"/>
        </w:rPr>
        <w:t>f</w:t>
      </w:r>
      <w:bookmarkStart w:id="2977" w:name="_Hlk125393259"/>
      <w:r w:rsidR="00E62CC2" w:rsidRPr="003B4362">
        <w:rPr>
          <w:rFonts w:eastAsia="Calibri"/>
          <w:szCs w:val="24"/>
        </w:rPr>
        <w:t xml:space="preserve"> </w:t>
      </w:r>
      <w:r w:rsidRPr="003B4362">
        <w:rPr>
          <w:rFonts w:eastAsia="Calibri"/>
          <w:szCs w:val="24"/>
        </w:rPr>
        <w:t xml:space="preserve">changes </w:t>
      </w:r>
      <w:r w:rsidR="00E62CC2" w:rsidRPr="003B4362">
        <w:rPr>
          <w:rFonts w:eastAsia="Calibri"/>
          <w:szCs w:val="24"/>
        </w:rPr>
        <w:t xml:space="preserve">occur </w:t>
      </w:r>
      <w:r w:rsidRPr="003B4362">
        <w:rPr>
          <w:rFonts w:eastAsia="Calibri"/>
          <w:szCs w:val="24"/>
        </w:rPr>
        <w:t>to schools and child care facilities</w:t>
      </w:r>
      <w:r w:rsidR="00E62CC2" w:rsidRPr="003B4362">
        <w:rPr>
          <w:rFonts w:eastAsia="Calibri"/>
          <w:szCs w:val="24"/>
        </w:rPr>
        <w:t xml:space="preserve"> </w:t>
      </w:r>
      <w:r w:rsidRPr="003B4362">
        <w:rPr>
          <w:rFonts w:eastAsia="Calibri"/>
          <w:szCs w:val="24"/>
        </w:rPr>
        <w:t xml:space="preserve">a </w:t>
      </w:r>
      <w:r w:rsidR="00E62CC2" w:rsidRPr="003B4362">
        <w:rPr>
          <w:rFonts w:eastAsia="Calibri"/>
          <w:szCs w:val="24"/>
        </w:rPr>
        <w:t>supplier</w:t>
      </w:r>
      <w:r w:rsidRPr="003B4362">
        <w:rPr>
          <w:rFonts w:eastAsia="Calibri"/>
          <w:szCs w:val="24"/>
        </w:rPr>
        <w:t xml:space="preserve"> serves</w:t>
      </w:r>
      <w:bookmarkEnd w:id="2976"/>
      <w:bookmarkEnd w:id="2977"/>
      <w:r w:rsidRPr="003B4362">
        <w:rPr>
          <w:rFonts w:eastAsia="Calibri"/>
          <w:szCs w:val="24"/>
        </w:rPr>
        <w:t xml:space="preserve">, </w:t>
      </w:r>
      <w:bookmarkStart w:id="2978" w:name="_Hlk125393621"/>
      <w:bookmarkStart w:id="2979" w:name="_Hlk125393366"/>
      <w:r w:rsidR="00DB4ED4" w:rsidRPr="003B4362">
        <w:rPr>
          <w:rFonts w:eastAsia="Calibri"/>
          <w:szCs w:val="24"/>
        </w:rPr>
        <w:t xml:space="preserve">the supplier must submit </w:t>
      </w:r>
      <w:r w:rsidRPr="003B4362">
        <w:rPr>
          <w:rFonts w:eastAsia="Calibri"/>
          <w:szCs w:val="24"/>
        </w:rPr>
        <w:t>an updated list</w:t>
      </w:r>
      <w:bookmarkEnd w:id="2978"/>
      <w:r w:rsidRPr="003B4362">
        <w:rPr>
          <w:rFonts w:eastAsia="Calibri"/>
          <w:szCs w:val="24"/>
        </w:rPr>
        <w:t xml:space="preserve"> </w:t>
      </w:r>
      <w:bookmarkEnd w:id="2979"/>
      <w:r w:rsidRPr="003B4362">
        <w:rPr>
          <w:rFonts w:eastAsia="Calibri"/>
          <w:szCs w:val="24"/>
        </w:rPr>
        <w:t xml:space="preserve">at least once every five years </w:t>
      </w:r>
      <w:bookmarkStart w:id="2980" w:name="_Hlk125393552"/>
      <w:r w:rsidR="00DB4ED4" w:rsidRPr="003B4362">
        <w:rPr>
          <w:rFonts w:eastAsia="Calibri"/>
          <w:szCs w:val="24"/>
        </w:rPr>
        <w:t>under</w:t>
      </w:r>
      <w:r w:rsidRPr="003B4362">
        <w:rPr>
          <w:rFonts w:eastAsia="Calibri"/>
          <w:szCs w:val="24"/>
        </w:rPr>
        <w:t xml:space="preserve"> Section </w:t>
      </w:r>
      <w:r w:rsidR="00DB4ED4" w:rsidRPr="003B4362">
        <w:rPr>
          <w:rFonts w:eastAsia="Calibri"/>
          <w:szCs w:val="24"/>
        </w:rPr>
        <w:t>61</w:t>
      </w:r>
      <w:r w:rsidRPr="003B4362">
        <w:rPr>
          <w:rFonts w:eastAsia="Calibri"/>
          <w:szCs w:val="24"/>
        </w:rPr>
        <w:t>1.</w:t>
      </w:r>
      <w:r w:rsidR="00DB4ED4" w:rsidRPr="003B4362">
        <w:rPr>
          <w:rFonts w:eastAsia="Calibri"/>
          <w:szCs w:val="24"/>
        </w:rPr>
        <w:t>36</w:t>
      </w:r>
      <w:r w:rsidRPr="003B4362">
        <w:rPr>
          <w:rFonts w:eastAsia="Calibri"/>
          <w:szCs w:val="24"/>
        </w:rPr>
        <w:t>2(e)</w:t>
      </w:r>
      <w:bookmarkEnd w:id="2980"/>
      <w:r w:rsidRPr="003B4362">
        <w:rPr>
          <w:rFonts w:eastAsia="Calibri"/>
          <w:szCs w:val="24"/>
        </w:rPr>
        <w:t>.</w:t>
      </w:r>
    </w:p>
    <w:p w14:paraId="5B481284" w14:textId="50DF254C" w:rsidR="00E06138" w:rsidRPr="003B4362" w:rsidRDefault="00E06138" w:rsidP="00E06138">
      <w:pPr>
        <w:autoSpaceDE w:val="0"/>
        <w:autoSpaceDN w:val="0"/>
        <w:adjustRightInd w:val="0"/>
        <w:spacing w:before="240" w:after="240"/>
        <w:ind w:left="2880"/>
        <w:rPr>
          <w:rFonts w:eastAsia="Calibri"/>
          <w:szCs w:val="24"/>
        </w:rPr>
      </w:pPr>
      <w:r w:rsidRPr="003B4362">
        <w:rPr>
          <w:rFonts w:eastAsia="Calibri"/>
          <w:szCs w:val="24"/>
        </w:rPr>
        <w:t xml:space="preserve">BOARD NOTE:  The Department of Children and Family Services regulates daycare </w:t>
      </w:r>
      <w:r w:rsidR="00151E0D" w:rsidRPr="003B4362">
        <w:rPr>
          <w:rFonts w:eastAsia="Calibri"/>
          <w:szCs w:val="24"/>
        </w:rPr>
        <w:t xml:space="preserve">facilities </w:t>
      </w:r>
      <w:r w:rsidRPr="003B4362">
        <w:rPr>
          <w:rFonts w:eastAsia="Calibri"/>
          <w:szCs w:val="24"/>
        </w:rPr>
        <w:t>in Illinois</w:t>
      </w:r>
      <w:r w:rsidR="00E8055E" w:rsidRPr="003B4362">
        <w:rPr>
          <w:rFonts w:eastAsia="Calibri"/>
          <w:szCs w:val="24"/>
        </w:rPr>
        <w:t xml:space="preserve">, and the State Board of Education regulates primary and secondary schools.  Local agencies may play a role, and many facilities and schools are not regulated under Illinois law.  E.g., </w:t>
      </w:r>
      <w:r w:rsidRPr="003B4362">
        <w:rPr>
          <w:rFonts w:eastAsia="Calibri"/>
          <w:szCs w:val="24"/>
        </w:rPr>
        <w:t>225 ILCS 10</w:t>
      </w:r>
      <w:r w:rsidR="00E8055E" w:rsidRPr="003B4362">
        <w:rPr>
          <w:rFonts w:eastAsia="Calibri"/>
          <w:szCs w:val="24"/>
        </w:rPr>
        <w:t xml:space="preserve"> and </w:t>
      </w:r>
      <w:r w:rsidR="00151E0D" w:rsidRPr="003B4362">
        <w:rPr>
          <w:rFonts w:eastAsia="Calibri"/>
          <w:szCs w:val="24"/>
        </w:rPr>
        <w:t>105 ILCS 5.</w:t>
      </w:r>
    </w:p>
    <w:p w14:paraId="41C50770" w14:textId="23B36026" w:rsidR="00671610" w:rsidRPr="003B4362" w:rsidRDefault="00671610" w:rsidP="00671610">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r w:rsidR="004C5E05" w:rsidRPr="003B4362">
        <w:rPr>
          <w:rFonts w:eastAsia="Calibri"/>
          <w:szCs w:val="24"/>
        </w:rPr>
        <w:t>The supplier must cer</w:t>
      </w:r>
      <w:r w:rsidR="000B7F0F" w:rsidRPr="003B4362">
        <w:rPr>
          <w:rFonts w:eastAsia="Calibri"/>
          <w:szCs w:val="24"/>
        </w:rPr>
        <w:t>t</w:t>
      </w:r>
      <w:r w:rsidR="004C5E05" w:rsidRPr="003B4362">
        <w:rPr>
          <w:rFonts w:eastAsia="Calibri"/>
          <w:szCs w:val="24"/>
        </w:rPr>
        <w:t>ify that it</w:t>
      </w:r>
      <w:r w:rsidRPr="003B4362">
        <w:rPr>
          <w:rFonts w:eastAsia="Calibri"/>
          <w:szCs w:val="24"/>
        </w:rPr>
        <w:t xml:space="preserve"> delivered information about health risks from lead in drinking water to the school and child care facilities </w:t>
      </w:r>
      <w:bookmarkStart w:id="2981" w:name="_Hlk125394433"/>
      <w:r w:rsidR="004C5E05" w:rsidRPr="003B4362">
        <w:rPr>
          <w:rFonts w:eastAsia="Calibri"/>
          <w:szCs w:val="24"/>
        </w:rPr>
        <w:t>it serves</w:t>
      </w:r>
      <w:r w:rsidRPr="003B4362">
        <w:rPr>
          <w:rFonts w:eastAsia="Calibri"/>
          <w:szCs w:val="24"/>
        </w:rPr>
        <w:t xml:space="preserve"> </w:t>
      </w:r>
      <w:r w:rsidR="004C5E05" w:rsidRPr="003B4362">
        <w:rPr>
          <w:rFonts w:eastAsia="Calibri"/>
          <w:szCs w:val="24"/>
        </w:rPr>
        <w:t>under</w:t>
      </w:r>
      <w:r w:rsidRPr="003B4362">
        <w:rPr>
          <w:rFonts w:eastAsia="Calibri"/>
          <w:szCs w:val="24"/>
        </w:rPr>
        <w:t xml:space="preserve"> Section </w:t>
      </w:r>
      <w:r w:rsidR="004C5E05" w:rsidRPr="003B4362">
        <w:rPr>
          <w:rFonts w:eastAsia="Calibri"/>
          <w:szCs w:val="24"/>
        </w:rPr>
        <w:t>61</w:t>
      </w:r>
      <w:r w:rsidRPr="003B4362">
        <w:rPr>
          <w:rFonts w:eastAsia="Calibri"/>
          <w:szCs w:val="24"/>
        </w:rPr>
        <w:t>1.</w:t>
      </w:r>
      <w:r w:rsidR="004C5E05" w:rsidRPr="003B4362">
        <w:rPr>
          <w:rFonts w:eastAsia="Calibri"/>
          <w:szCs w:val="24"/>
        </w:rPr>
        <w:t>36</w:t>
      </w:r>
      <w:r w:rsidRPr="003B4362">
        <w:rPr>
          <w:rFonts w:eastAsia="Calibri"/>
          <w:szCs w:val="24"/>
        </w:rPr>
        <w:t>2(a)(2) and (g)(1)</w:t>
      </w:r>
      <w:bookmarkEnd w:id="2981"/>
      <w:r w:rsidRPr="003B4362">
        <w:rPr>
          <w:rFonts w:eastAsia="Calibri"/>
          <w:szCs w:val="24"/>
        </w:rPr>
        <w:t>.</w:t>
      </w:r>
    </w:p>
    <w:p w14:paraId="3EBB30C0" w14:textId="44F8A49C" w:rsidR="00671610" w:rsidRPr="003B4362" w:rsidRDefault="00671610" w:rsidP="00671610">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r>
      <w:r w:rsidR="005A199C" w:rsidRPr="003B4362">
        <w:rPr>
          <w:rFonts w:eastAsia="Calibri"/>
          <w:szCs w:val="24"/>
        </w:rPr>
        <w:t>The supplier must cer</w:t>
      </w:r>
      <w:r w:rsidR="000B7F0F" w:rsidRPr="003B4362">
        <w:rPr>
          <w:rFonts w:eastAsia="Calibri"/>
          <w:szCs w:val="24"/>
        </w:rPr>
        <w:t>t</w:t>
      </w:r>
      <w:r w:rsidR="005A199C" w:rsidRPr="003B4362">
        <w:rPr>
          <w:rFonts w:eastAsia="Calibri"/>
          <w:szCs w:val="24"/>
        </w:rPr>
        <w:t>ify that it</w:t>
      </w:r>
      <w:r w:rsidRPr="003B4362">
        <w:rPr>
          <w:rFonts w:eastAsia="Calibri"/>
          <w:szCs w:val="24"/>
        </w:rPr>
        <w:t xml:space="preserve"> completed</w:t>
      </w:r>
      <w:bookmarkStart w:id="2982" w:name="_Hlk125395257"/>
      <w:r w:rsidR="005A199C" w:rsidRPr="003B4362">
        <w:rPr>
          <w:rFonts w:eastAsia="Calibri"/>
          <w:szCs w:val="24"/>
        </w:rPr>
        <w:t xml:space="preserve"> </w:t>
      </w:r>
      <w:bookmarkStart w:id="2983" w:name="_Hlk125395432"/>
      <w:r w:rsidRPr="003B4362">
        <w:rPr>
          <w:rFonts w:eastAsia="Calibri"/>
          <w:szCs w:val="24"/>
        </w:rPr>
        <w:t>notif</w:t>
      </w:r>
      <w:r w:rsidR="008E6B7A" w:rsidRPr="003B4362">
        <w:rPr>
          <w:rFonts w:eastAsia="Calibri"/>
          <w:szCs w:val="24"/>
        </w:rPr>
        <w:t>ying</w:t>
      </w:r>
      <w:r w:rsidRPr="003B4362">
        <w:rPr>
          <w:rFonts w:eastAsia="Calibri"/>
          <w:szCs w:val="24"/>
        </w:rPr>
        <w:t xml:space="preserve"> and sampling </w:t>
      </w:r>
      <w:r w:rsidR="005A199C" w:rsidRPr="003B4362">
        <w:rPr>
          <w:rFonts w:eastAsia="Calibri"/>
          <w:szCs w:val="24"/>
        </w:rPr>
        <w:t>under</w:t>
      </w:r>
      <w:r w:rsidRPr="003B4362">
        <w:rPr>
          <w:rFonts w:eastAsia="Calibri"/>
          <w:szCs w:val="24"/>
        </w:rPr>
        <w:t xml:space="preserve"> Section </w:t>
      </w:r>
      <w:r w:rsidR="005A199C" w:rsidRPr="003B4362">
        <w:rPr>
          <w:rFonts w:eastAsia="Calibri"/>
          <w:szCs w:val="24"/>
        </w:rPr>
        <w:t>611.36</w:t>
      </w:r>
      <w:r w:rsidRPr="003B4362">
        <w:rPr>
          <w:rFonts w:eastAsia="Calibri"/>
          <w:szCs w:val="24"/>
        </w:rPr>
        <w:t>2</w:t>
      </w:r>
      <w:bookmarkEnd w:id="2982"/>
      <w:r w:rsidRPr="003B4362">
        <w:rPr>
          <w:rFonts w:eastAsia="Calibri"/>
          <w:szCs w:val="24"/>
        </w:rPr>
        <w:t xml:space="preserve"> and subsections (i)(1)(</w:t>
      </w:r>
      <w:r w:rsidR="005A199C" w:rsidRPr="003B4362">
        <w:rPr>
          <w:rFonts w:eastAsia="Calibri"/>
          <w:szCs w:val="24"/>
        </w:rPr>
        <w:t>C</w:t>
      </w:r>
      <w:r w:rsidRPr="003B4362">
        <w:rPr>
          <w:rFonts w:eastAsia="Calibri"/>
          <w:szCs w:val="24"/>
        </w:rPr>
        <w:t>)(</w:t>
      </w:r>
      <w:r w:rsidR="005A199C" w:rsidRPr="003B4362">
        <w:rPr>
          <w:rFonts w:eastAsia="Calibri"/>
          <w:szCs w:val="24"/>
        </w:rPr>
        <w:t>i</w:t>
      </w:r>
      <w:r w:rsidRPr="003B4362">
        <w:rPr>
          <w:rFonts w:eastAsia="Calibri"/>
          <w:szCs w:val="24"/>
        </w:rPr>
        <w:t xml:space="preserve">) through </w:t>
      </w:r>
      <w:r w:rsidR="005A199C" w:rsidRPr="003B4362">
        <w:rPr>
          <w:rFonts w:eastAsia="Calibri"/>
          <w:szCs w:val="24"/>
        </w:rPr>
        <w:t>(i)(1)(C)</w:t>
      </w:r>
      <w:r w:rsidRPr="003B4362">
        <w:rPr>
          <w:rFonts w:eastAsia="Calibri"/>
          <w:szCs w:val="24"/>
        </w:rPr>
        <w:t>(</w:t>
      </w:r>
      <w:r w:rsidR="005A199C" w:rsidRPr="003B4362">
        <w:rPr>
          <w:rFonts w:eastAsia="Calibri"/>
          <w:szCs w:val="24"/>
        </w:rPr>
        <w:t>v</w:t>
      </w:r>
      <w:r w:rsidRPr="003B4362">
        <w:rPr>
          <w:rFonts w:eastAsia="Calibri"/>
          <w:szCs w:val="24"/>
        </w:rPr>
        <w:t>)</w:t>
      </w:r>
      <w:bookmarkEnd w:id="2983"/>
      <w:r w:rsidRPr="003B4362">
        <w:rPr>
          <w:rFonts w:eastAsia="Calibri"/>
          <w:szCs w:val="24"/>
        </w:rPr>
        <w:t xml:space="preserve"> at a minimum of 20 percent of elementary schools and 20 percent of child care facilities</w:t>
      </w:r>
      <w:r w:rsidR="005A199C" w:rsidRPr="003B4362">
        <w:rPr>
          <w:rFonts w:eastAsia="Calibri"/>
          <w:szCs w:val="24"/>
        </w:rPr>
        <w:t xml:space="preserve"> the supplier serves</w:t>
      </w:r>
      <w:r w:rsidRPr="003B4362">
        <w:rPr>
          <w:rFonts w:eastAsia="Calibri"/>
          <w:szCs w:val="24"/>
        </w:rPr>
        <w:t xml:space="preserve">.  </w:t>
      </w:r>
      <w:r w:rsidR="008E6B7A" w:rsidRPr="003B4362">
        <w:rPr>
          <w:rFonts w:eastAsia="Calibri"/>
          <w:szCs w:val="24"/>
        </w:rPr>
        <w:t>The supplier must cer</w:t>
      </w:r>
      <w:r w:rsidR="000B7F0F" w:rsidRPr="003B4362">
        <w:rPr>
          <w:rFonts w:eastAsia="Calibri"/>
          <w:szCs w:val="24"/>
        </w:rPr>
        <w:t>t</w:t>
      </w:r>
      <w:r w:rsidR="008E6B7A" w:rsidRPr="003B4362">
        <w:rPr>
          <w:rFonts w:eastAsia="Calibri"/>
          <w:szCs w:val="24"/>
        </w:rPr>
        <w:t>ify that it</w:t>
      </w:r>
      <w:r w:rsidRPr="003B4362">
        <w:rPr>
          <w:rFonts w:eastAsia="Calibri"/>
          <w:szCs w:val="24"/>
        </w:rPr>
        <w:t xml:space="preserve"> completed</w:t>
      </w:r>
      <w:r w:rsidR="008E6B7A" w:rsidRPr="003B4362">
        <w:rPr>
          <w:rFonts w:eastAsia="Calibri"/>
          <w:szCs w:val="24"/>
        </w:rPr>
        <w:t xml:space="preserve"> notifying</w:t>
      </w:r>
      <w:r w:rsidRPr="003B4362">
        <w:rPr>
          <w:rFonts w:eastAsia="Calibri"/>
          <w:szCs w:val="24"/>
        </w:rPr>
        <w:t xml:space="preserve"> and sampling </w:t>
      </w:r>
      <w:r w:rsidR="008E6B7A" w:rsidRPr="003B4362">
        <w:rPr>
          <w:rFonts w:eastAsia="Calibri"/>
          <w:szCs w:val="24"/>
        </w:rPr>
        <w:t>under</w:t>
      </w:r>
      <w:r w:rsidRPr="003B4362">
        <w:rPr>
          <w:rFonts w:eastAsia="Calibri"/>
          <w:szCs w:val="24"/>
        </w:rPr>
        <w:t xml:space="preserve"> Section </w:t>
      </w:r>
      <w:r w:rsidR="008E6B7A" w:rsidRPr="003B4362">
        <w:rPr>
          <w:rFonts w:eastAsia="Calibri"/>
          <w:szCs w:val="24"/>
        </w:rPr>
        <w:t>611.362</w:t>
      </w:r>
      <w:bookmarkStart w:id="2984" w:name="_Hlk125396259"/>
      <w:r w:rsidRPr="003B4362">
        <w:rPr>
          <w:rFonts w:eastAsia="Calibri"/>
          <w:szCs w:val="24"/>
        </w:rPr>
        <w:t>(g) and subsections (i)(1)</w:t>
      </w:r>
      <w:bookmarkEnd w:id="2984"/>
      <w:r w:rsidR="00E92B69" w:rsidRPr="003B4362">
        <w:rPr>
          <w:rFonts w:eastAsia="Calibri"/>
          <w:szCs w:val="24"/>
        </w:rPr>
        <w:t>(C)(i), (i)(1)(C)(ii), and (i)(1)(C)(v)</w:t>
      </w:r>
      <w:r w:rsidRPr="003B4362">
        <w:rPr>
          <w:rFonts w:eastAsia="Calibri"/>
          <w:szCs w:val="24"/>
        </w:rPr>
        <w:t xml:space="preserve"> </w:t>
      </w:r>
      <w:bookmarkStart w:id="2985" w:name="_Hlk125398895"/>
      <w:r w:rsidRPr="003B4362">
        <w:rPr>
          <w:rFonts w:eastAsia="Calibri"/>
          <w:szCs w:val="24"/>
        </w:rPr>
        <w:t>for</w:t>
      </w:r>
      <w:r w:rsidR="00C05A6D" w:rsidRPr="003B4362">
        <w:rPr>
          <w:rFonts w:eastAsia="Calibri"/>
          <w:szCs w:val="24"/>
        </w:rPr>
        <w:t xml:space="preserve"> </w:t>
      </w:r>
      <w:r w:rsidRPr="003B4362">
        <w:rPr>
          <w:rFonts w:eastAsia="Calibri"/>
          <w:szCs w:val="24"/>
        </w:rPr>
        <w:t xml:space="preserve">secondary schools </w:t>
      </w:r>
      <w:r w:rsidR="00C05A6D" w:rsidRPr="003B4362">
        <w:rPr>
          <w:rFonts w:eastAsia="Calibri"/>
          <w:szCs w:val="24"/>
        </w:rPr>
        <w:t xml:space="preserve">the supplier </w:t>
      </w:r>
      <w:r w:rsidRPr="003B4362">
        <w:rPr>
          <w:rFonts w:eastAsia="Calibri"/>
          <w:szCs w:val="24"/>
        </w:rPr>
        <w:t>sampled</w:t>
      </w:r>
      <w:bookmarkEnd w:id="2985"/>
      <w:r w:rsidRPr="003B4362">
        <w:rPr>
          <w:rFonts w:eastAsia="Calibri"/>
          <w:szCs w:val="24"/>
        </w:rPr>
        <w:t xml:space="preserve">.  After </w:t>
      </w:r>
      <w:bookmarkStart w:id="2986" w:name="_Hlk125398965"/>
      <w:bookmarkStart w:id="2987" w:name="_Hlk125399125"/>
      <w:r w:rsidRPr="003B4362">
        <w:rPr>
          <w:rFonts w:eastAsia="Calibri"/>
          <w:szCs w:val="24"/>
        </w:rPr>
        <w:t xml:space="preserve">a </w:t>
      </w:r>
      <w:r w:rsidR="00C05A6D" w:rsidRPr="003B4362">
        <w:rPr>
          <w:rFonts w:eastAsia="Calibri"/>
          <w:szCs w:val="24"/>
        </w:rPr>
        <w:t>supplier</w:t>
      </w:r>
      <w:r w:rsidRPr="003B4362">
        <w:rPr>
          <w:rFonts w:eastAsia="Calibri"/>
          <w:szCs w:val="24"/>
        </w:rPr>
        <w:t xml:space="preserve"> complete</w:t>
      </w:r>
      <w:bookmarkEnd w:id="2986"/>
      <w:r w:rsidR="00C05A6D" w:rsidRPr="003B4362">
        <w:rPr>
          <w:rFonts w:eastAsia="Calibri"/>
          <w:szCs w:val="24"/>
        </w:rPr>
        <w:t>s</w:t>
      </w:r>
      <w:bookmarkEnd w:id="2987"/>
      <w:r w:rsidRPr="003B4362">
        <w:rPr>
          <w:rFonts w:eastAsia="Calibri"/>
          <w:szCs w:val="24"/>
        </w:rPr>
        <w:t xml:space="preserve"> one cycle of required sampling in all elementary schools and child care </w:t>
      </w:r>
      <w:bookmarkStart w:id="2988" w:name="_Hlk125399225"/>
      <w:r w:rsidRPr="003B4362">
        <w:rPr>
          <w:rFonts w:eastAsia="Calibri"/>
          <w:szCs w:val="24"/>
        </w:rPr>
        <w:t xml:space="preserve">facilities </w:t>
      </w:r>
      <w:r w:rsidR="00C05A6D" w:rsidRPr="003B4362">
        <w:rPr>
          <w:rFonts w:eastAsia="Calibri"/>
          <w:szCs w:val="24"/>
        </w:rPr>
        <w:t xml:space="preserve">it </w:t>
      </w:r>
      <w:r w:rsidRPr="003B4362">
        <w:rPr>
          <w:rFonts w:eastAsia="Calibri"/>
          <w:szCs w:val="24"/>
        </w:rPr>
        <w:t xml:space="preserve">identified </w:t>
      </w:r>
      <w:r w:rsidR="00C05A6D" w:rsidRPr="003B4362">
        <w:rPr>
          <w:rFonts w:eastAsia="Calibri"/>
          <w:szCs w:val="24"/>
        </w:rPr>
        <w:t>under</w:t>
      </w:r>
      <w:r w:rsidRPr="003B4362">
        <w:rPr>
          <w:rFonts w:eastAsia="Calibri"/>
          <w:szCs w:val="24"/>
        </w:rPr>
        <w:t xml:space="preserve"> Section </w:t>
      </w:r>
      <w:r w:rsidR="00C05A6D" w:rsidRPr="003B4362">
        <w:rPr>
          <w:rFonts w:eastAsia="Calibri"/>
          <w:szCs w:val="24"/>
        </w:rPr>
        <w:t>611.36</w:t>
      </w:r>
      <w:r w:rsidRPr="003B4362">
        <w:rPr>
          <w:rFonts w:eastAsia="Calibri"/>
          <w:szCs w:val="24"/>
        </w:rPr>
        <w:t>2(a)(1)</w:t>
      </w:r>
      <w:bookmarkEnd w:id="2988"/>
      <w:r w:rsidRPr="003B4362">
        <w:rPr>
          <w:rFonts w:eastAsia="Calibri"/>
          <w:szCs w:val="24"/>
        </w:rPr>
        <w:t xml:space="preserve">, </w:t>
      </w:r>
      <w:bookmarkStart w:id="2989" w:name="_Hlk125399534"/>
      <w:r w:rsidR="00C05A6D" w:rsidRPr="003B4362">
        <w:rPr>
          <w:rFonts w:eastAsia="Calibri"/>
          <w:szCs w:val="24"/>
        </w:rPr>
        <w:t>the supplier</w:t>
      </w:r>
      <w:r w:rsidRPr="003B4362">
        <w:rPr>
          <w:rFonts w:eastAsia="Calibri"/>
          <w:szCs w:val="24"/>
        </w:rPr>
        <w:t xml:space="preserve"> </w:t>
      </w:r>
      <w:r w:rsidR="00C05A6D" w:rsidRPr="003B4362">
        <w:rPr>
          <w:rFonts w:eastAsia="Calibri"/>
          <w:szCs w:val="24"/>
        </w:rPr>
        <w:t>must</w:t>
      </w:r>
      <w:bookmarkEnd w:id="2989"/>
      <w:r w:rsidRPr="003B4362">
        <w:rPr>
          <w:rFonts w:eastAsia="Calibri"/>
          <w:szCs w:val="24"/>
        </w:rPr>
        <w:t xml:space="preserve"> </w:t>
      </w:r>
      <w:r w:rsidR="00B44E20" w:rsidRPr="003B4362">
        <w:rPr>
          <w:rFonts w:eastAsia="Calibri"/>
          <w:szCs w:val="24"/>
        </w:rPr>
        <w:t xml:space="preserve">subsequently </w:t>
      </w:r>
      <w:r w:rsidRPr="003B4362">
        <w:rPr>
          <w:rFonts w:eastAsia="Calibri"/>
          <w:szCs w:val="24"/>
        </w:rPr>
        <w:t xml:space="preserve">certify </w:t>
      </w:r>
      <w:bookmarkStart w:id="2990" w:name="_Hlk125399631"/>
      <w:r w:rsidR="00C05A6D" w:rsidRPr="003B4362">
        <w:rPr>
          <w:rFonts w:eastAsia="Calibri"/>
          <w:szCs w:val="24"/>
        </w:rPr>
        <w:t xml:space="preserve">that it </w:t>
      </w:r>
      <w:r w:rsidRPr="003B4362">
        <w:rPr>
          <w:rFonts w:eastAsia="Calibri"/>
          <w:szCs w:val="24"/>
        </w:rPr>
        <w:t>complet</w:t>
      </w:r>
      <w:r w:rsidR="00C05A6D" w:rsidRPr="003B4362">
        <w:rPr>
          <w:rFonts w:eastAsia="Calibri"/>
          <w:szCs w:val="24"/>
        </w:rPr>
        <w:t xml:space="preserve">ed </w:t>
      </w:r>
      <w:r w:rsidRPr="003B4362">
        <w:rPr>
          <w:rFonts w:eastAsia="Calibri"/>
          <w:szCs w:val="24"/>
        </w:rPr>
        <w:t>notif</w:t>
      </w:r>
      <w:r w:rsidR="00C05A6D" w:rsidRPr="003B4362">
        <w:rPr>
          <w:rFonts w:eastAsia="Calibri"/>
          <w:szCs w:val="24"/>
        </w:rPr>
        <w:t>ying</w:t>
      </w:r>
      <w:r w:rsidRPr="003B4362">
        <w:rPr>
          <w:rFonts w:eastAsia="Calibri"/>
          <w:szCs w:val="24"/>
        </w:rPr>
        <w:t xml:space="preserve"> and sampling </w:t>
      </w:r>
      <w:r w:rsidR="00C05A6D" w:rsidRPr="003B4362">
        <w:rPr>
          <w:rFonts w:eastAsia="Calibri"/>
          <w:szCs w:val="24"/>
        </w:rPr>
        <w:t>under</w:t>
      </w:r>
      <w:r w:rsidRPr="003B4362">
        <w:rPr>
          <w:rFonts w:eastAsia="Calibri"/>
          <w:szCs w:val="24"/>
        </w:rPr>
        <w:t xml:space="preserve"> Section </w:t>
      </w:r>
      <w:r w:rsidR="00C05A6D" w:rsidRPr="003B4362">
        <w:rPr>
          <w:rFonts w:eastAsia="Calibri"/>
          <w:szCs w:val="24"/>
        </w:rPr>
        <w:t>611.36</w:t>
      </w:r>
      <w:r w:rsidRPr="003B4362">
        <w:rPr>
          <w:rFonts w:eastAsia="Calibri"/>
          <w:szCs w:val="24"/>
        </w:rPr>
        <w:t xml:space="preserve">2(g) and </w:t>
      </w:r>
      <w:r w:rsidRPr="003B4362">
        <w:rPr>
          <w:rFonts w:eastAsia="Calibri"/>
          <w:szCs w:val="24"/>
        </w:rPr>
        <w:lastRenderedPageBreak/>
        <w:t xml:space="preserve">subsections </w:t>
      </w:r>
      <w:bookmarkStart w:id="2991" w:name="_Hlk125396370"/>
      <w:r w:rsidRPr="003B4362">
        <w:rPr>
          <w:rFonts w:eastAsia="Calibri"/>
          <w:szCs w:val="24"/>
        </w:rPr>
        <w:t xml:space="preserve">(i)(1)(C)(i), </w:t>
      </w:r>
      <w:r w:rsidR="008E6B7A" w:rsidRPr="003B4362">
        <w:rPr>
          <w:rFonts w:eastAsia="Calibri"/>
          <w:szCs w:val="24"/>
        </w:rPr>
        <w:t>(i)(1)(C)</w:t>
      </w:r>
      <w:r w:rsidRPr="003B4362">
        <w:rPr>
          <w:rFonts w:eastAsia="Calibri"/>
          <w:szCs w:val="24"/>
        </w:rPr>
        <w:t xml:space="preserve">(ii), and </w:t>
      </w:r>
      <w:r w:rsidR="00E92B69" w:rsidRPr="003B4362">
        <w:rPr>
          <w:rFonts w:eastAsia="Calibri"/>
          <w:szCs w:val="24"/>
        </w:rPr>
        <w:t>(i)(1)(C)</w:t>
      </w:r>
      <w:r w:rsidRPr="003B4362">
        <w:rPr>
          <w:rFonts w:eastAsia="Calibri"/>
          <w:szCs w:val="24"/>
        </w:rPr>
        <w:t>(v)</w:t>
      </w:r>
      <w:bookmarkEnd w:id="2991"/>
      <w:r w:rsidRPr="003B4362">
        <w:rPr>
          <w:rFonts w:eastAsia="Calibri"/>
          <w:szCs w:val="24"/>
        </w:rPr>
        <w:t xml:space="preserve"> </w:t>
      </w:r>
      <w:bookmarkEnd w:id="2990"/>
      <w:r w:rsidRPr="003B4362">
        <w:rPr>
          <w:rFonts w:eastAsia="Calibri"/>
          <w:szCs w:val="24"/>
        </w:rPr>
        <w:t xml:space="preserve">for </w:t>
      </w:r>
      <w:bookmarkStart w:id="2992" w:name="_Hlk125399968"/>
      <w:r w:rsidRPr="003B4362">
        <w:rPr>
          <w:rFonts w:eastAsia="Calibri"/>
          <w:szCs w:val="24"/>
        </w:rPr>
        <w:t xml:space="preserve">all sampling </w:t>
      </w:r>
      <w:bookmarkStart w:id="2993" w:name="_Hlk125400028"/>
      <w:r w:rsidR="00B44E20" w:rsidRPr="003B4362">
        <w:rPr>
          <w:rFonts w:eastAsia="Calibri"/>
          <w:szCs w:val="24"/>
        </w:rPr>
        <w:t>the supplier</w:t>
      </w:r>
      <w:r w:rsidR="008464F0" w:rsidRPr="003B4362">
        <w:rPr>
          <w:rFonts w:eastAsia="Calibri"/>
          <w:szCs w:val="24"/>
        </w:rPr>
        <w:t xml:space="preserve"> later</w:t>
      </w:r>
      <w:r w:rsidR="00B44E20" w:rsidRPr="003B4362">
        <w:rPr>
          <w:rFonts w:eastAsia="Calibri"/>
          <w:szCs w:val="24"/>
        </w:rPr>
        <w:t xml:space="preserve"> </w:t>
      </w:r>
      <w:r w:rsidRPr="003B4362">
        <w:rPr>
          <w:rFonts w:eastAsia="Calibri"/>
          <w:szCs w:val="24"/>
        </w:rPr>
        <w:t>complete</w:t>
      </w:r>
      <w:bookmarkEnd w:id="2992"/>
      <w:r w:rsidR="00B44E20" w:rsidRPr="003B4362">
        <w:rPr>
          <w:rFonts w:eastAsia="Calibri"/>
          <w:szCs w:val="24"/>
        </w:rPr>
        <w:t>s</w:t>
      </w:r>
      <w:bookmarkEnd w:id="2993"/>
      <w:r w:rsidRPr="003B4362">
        <w:rPr>
          <w:rFonts w:eastAsia="Calibri"/>
          <w:szCs w:val="24"/>
        </w:rPr>
        <w:t xml:space="preserve"> in any school or child care facility.</w:t>
      </w:r>
    </w:p>
    <w:p w14:paraId="2E4A0028" w14:textId="58B70038" w:rsidR="00671610" w:rsidRPr="003B4362" w:rsidRDefault="00671610" w:rsidP="00671610">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t xml:space="preserve">The number of schools and child care </w:t>
      </w:r>
      <w:bookmarkStart w:id="2994" w:name="_Hlk125400279"/>
      <w:r w:rsidRPr="003B4362">
        <w:rPr>
          <w:rFonts w:eastAsia="Calibri"/>
          <w:szCs w:val="24"/>
        </w:rPr>
        <w:t xml:space="preserve">facilities </w:t>
      </w:r>
      <w:bookmarkStart w:id="2995" w:name="_Hlk125400352"/>
      <w:r w:rsidR="008464F0" w:rsidRPr="003B4362">
        <w:rPr>
          <w:rFonts w:eastAsia="Calibri"/>
          <w:szCs w:val="24"/>
        </w:rPr>
        <w:t xml:space="preserve">the supplier </w:t>
      </w:r>
      <w:r w:rsidRPr="003B4362">
        <w:rPr>
          <w:rFonts w:eastAsia="Calibri"/>
          <w:szCs w:val="24"/>
        </w:rPr>
        <w:t>serve</w:t>
      </w:r>
      <w:r w:rsidR="008464F0" w:rsidRPr="003B4362">
        <w:rPr>
          <w:rFonts w:eastAsia="Calibri"/>
          <w:szCs w:val="24"/>
        </w:rPr>
        <w:t>s</w:t>
      </w:r>
      <w:bookmarkEnd w:id="2994"/>
      <w:bookmarkEnd w:id="2995"/>
      <w:r w:rsidRPr="003B4362">
        <w:rPr>
          <w:rFonts w:eastAsia="Calibri"/>
          <w:szCs w:val="24"/>
        </w:rPr>
        <w:t>;</w:t>
      </w:r>
    </w:p>
    <w:p w14:paraId="67F4C02B" w14:textId="2813C18B" w:rsidR="00671610" w:rsidRPr="003B4362" w:rsidRDefault="00671610" w:rsidP="00671610">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t xml:space="preserve">The number of schools and child care </w:t>
      </w:r>
      <w:bookmarkStart w:id="2996" w:name="_Hlk125400427"/>
      <w:r w:rsidRPr="003B4362">
        <w:rPr>
          <w:rFonts w:eastAsia="Calibri"/>
          <w:szCs w:val="24"/>
        </w:rPr>
        <w:t xml:space="preserve">facilities </w:t>
      </w:r>
      <w:r w:rsidR="008464F0" w:rsidRPr="003B4362">
        <w:rPr>
          <w:rFonts w:eastAsia="Calibri"/>
          <w:szCs w:val="24"/>
        </w:rPr>
        <w:t>the supplier</w:t>
      </w:r>
      <w:bookmarkStart w:id="2997" w:name="_Hlk125401079"/>
      <w:r w:rsidR="008464F0" w:rsidRPr="003B4362">
        <w:rPr>
          <w:rFonts w:eastAsia="Calibri"/>
          <w:szCs w:val="24"/>
        </w:rPr>
        <w:t xml:space="preserve"> </w:t>
      </w:r>
      <w:bookmarkEnd w:id="2997"/>
      <w:r w:rsidRPr="003B4362">
        <w:rPr>
          <w:rFonts w:eastAsia="Calibri"/>
          <w:szCs w:val="24"/>
        </w:rPr>
        <w:t>sampled</w:t>
      </w:r>
      <w:bookmarkEnd w:id="2996"/>
      <w:r w:rsidRPr="003B4362">
        <w:rPr>
          <w:rFonts w:eastAsia="Calibri"/>
          <w:szCs w:val="24"/>
        </w:rPr>
        <w:t xml:space="preserve"> in the calendar year;</w:t>
      </w:r>
    </w:p>
    <w:p w14:paraId="337D0FF5" w14:textId="0AE89176" w:rsidR="00671610" w:rsidRPr="003B4362" w:rsidRDefault="00671610" w:rsidP="00671610">
      <w:pPr>
        <w:autoSpaceDE w:val="0"/>
        <w:autoSpaceDN w:val="0"/>
        <w:adjustRightInd w:val="0"/>
        <w:spacing w:before="240" w:after="240"/>
        <w:ind w:left="3600" w:hanging="720"/>
        <w:rPr>
          <w:rFonts w:eastAsia="Calibri"/>
          <w:szCs w:val="24"/>
        </w:rPr>
      </w:pPr>
      <w:r w:rsidRPr="003B4362">
        <w:rPr>
          <w:rFonts w:eastAsia="Calibri"/>
          <w:szCs w:val="24"/>
        </w:rPr>
        <w:t>iii)</w:t>
      </w:r>
      <w:r w:rsidRPr="003B4362">
        <w:rPr>
          <w:rFonts w:eastAsia="Calibri"/>
          <w:szCs w:val="24"/>
        </w:rPr>
        <w:tab/>
        <w:t xml:space="preserve">The number of schools and child care </w:t>
      </w:r>
      <w:bookmarkStart w:id="2998" w:name="_Hlk125400522"/>
      <w:r w:rsidRPr="003B4362">
        <w:rPr>
          <w:rFonts w:eastAsia="Calibri"/>
          <w:szCs w:val="24"/>
        </w:rPr>
        <w:t>f</w:t>
      </w:r>
      <w:bookmarkStart w:id="2999" w:name="_Hlk125400569"/>
      <w:r w:rsidRPr="003B4362">
        <w:rPr>
          <w:rFonts w:eastAsia="Calibri"/>
          <w:szCs w:val="24"/>
        </w:rPr>
        <w:t>acilities that</w:t>
      </w:r>
      <w:r w:rsidR="008464F0" w:rsidRPr="003B4362">
        <w:rPr>
          <w:rFonts w:eastAsia="Calibri"/>
          <w:szCs w:val="24"/>
        </w:rPr>
        <w:t xml:space="preserve"> </w:t>
      </w:r>
      <w:r w:rsidRPr="003B4362">
        <w:rPr>
          <w:rFonts w:eastAsia="Calibri"/>
          <w:szCs w:val="24"/>
        </w:rPr>
        <w:t>refused</w:t>
      </w:r>
      <w:bookmarkEnd w:id="2998"/>
      <w:bookmarkEnd w:id="2999"/>
      <w:r w:rsidRPr="003B4362">
        <w:rPr>
          <w:rFonts w:eastAsia="Calibri"/>
          <w:szCs w:val="24"/>
        </w:rPr>
        <w:t xml:space="preserve"> sampling;</w:t>
      </w:r>
    </w:p>
    <w:p w14:paraId="5FD9F7C7" w14:textId="1453AC1F" w:rsidR="00671610" w:rsidRPr="003B4362" w:rsidRDefault="00671610" w:rsidP="00671610">
      <w:pPr>
        <w:autoSpaceDE w:val="0"/>
        <w:autoSpaceDN w:val="0"/>
        <w:adjustRightInd w:val="0"/>
        <w:spacing w:before="240" w:after="240"/>
        <w:ind w:left="3600" w:hanging="720"/>
        <w:rPr>
          <w:rFonts w:eastAsia="Calibri"/>
          <w:szCs w:val="24"/>
        </w:rPr>
      </w:pPr>
      <w:r w:rsidRPr="003B4362">
        <w:rPr>
          <w:rFonts w:eastAsia="Calibri"/>
          <w:szCs w:val="24"/>
        </w:rPr>
        <w:t>iv)</w:t>
      </w:r>
      <w:r w:rsidRPr="003B4362">
        <w:rPr>
          <w:rFonts w:eastAsia="Calibri"/>
          <w:szCs w:val="24"/>
        </w:rPr>
        <w:tab/>
        <w:t>I</w:t>
      </w:r>
      <w:bookmarkStart w:id="3000" w:name="_Hlk125400700"/>
      <w:r w:rsidRPr="003B4362">
        <w:rPr>
          <w:rFonts w:eastAsia="Calibri"/>
          <w:szCs w:val="24"/>
        </w:rPr>
        <w:t xml:space="preserve">nformation </w:t>
      </w:r>
      <w:r w:rsidR="000671D8" w:rsidRPr="003B4362">
        <w:rPr>
          <w:rFonts w:eastAsia="Calibri"/>
          <w:szCs w:val="24"/>
        </w:rPr>
        <w:t>about</w:t>
      </w:r>
      <w:r w:rsidRPr="003B4362">
        <w:rPr>
          <w:rFonts w:eastAsia="Calibri"/>
          <w:szCs w:val="24"/>
        </w:rPr>
        <w:t xml:space="preserve"> outreach attempts</w:t>
      </w:r>
      <w:bookmarkEnd w:id="3000"/>
      <w:r w:rsidRPr="003B4362">
        <w:rPr>
          <w:rFonts w:eastAsia="Calibri"/>
          <w:szCs w:val="24"/>
        </w:rPr>
        <w:t xml:space="preserve"> for sampling </w:t>
      </w:r>
      <w:bookmarkStart w:id="3001" w:name="_Hlk125400774"/>
      <w:bookmarkStart w:id="3002" w:name="_Hlk125400910"/>
      <w:r w:rsidRPr="003B4362">
        <w:rPr>
          <w:rFonts w:eastAsia="Calibri"/>
          <w:szCs w:val="24"/>
        </w:rPr>
        <w:t xml:space="preserve">that </w:t>
      </w:r>
      <w:r w:rsidR="000671D8" w:rsidRPr="003B4362">
        <w:rPr>
          <w:rFonts w:eastAsia="Calibri"/>
          <w:szCs w:val="24"/>
        </w:rPr>
        <w:t>a</w:t>
      </w:r>
      <w:r w:rsidRPr="003B4362">
        <w:rPr>
          <w:rFonts w:eastAsia="Calibri"/>
          <w:szCs w:val="24"/>
        </w:rPr>
        <w:t xml:space="preserve"> school or child care facility</w:t>
      </w:r>
      <w:bookmarkEnd w:id="3001"/>
      <w:r w:rsidR="000671D8" w:rsidRPr="003B4362">
        <w:rPr>
          <w:rFonts w:eastAsia="Calibri"/>
          <w:szCs w:val="24"/>
        </w:rPr>
        <w:t xml:space="preserve"> declined</w:t>
      </w:r>
      <w:bookmarkEnd w:id="3002"/>
      <w:r w:rsidRPr="003B4362">
        <w:rPr>
          <w:rFonts w:eastAsia="Calibri"/>
          <w:szCs w:val="24"/>
        </w:rPr>
        <w:t>; and</w:t>
      </w:r>
    </w:p>
    <w:p w14:paraId="48037BF6" w14:textId="060A62FB" w:rsidR="00671610" w:rsidRPr="003B4362" w:rsidRDefault="00671610" w:rsidP="00671610">
      <w:pPr>
        <w:autoSpaceDE w:val="0"/>
        <w:autoSpaceDN w:val="0"/>
        <w:adjustRightInd w:val="0"/>
        <w:spacing w:before="240" w:after="240"/>
        <w:ind w:left="3600" w:hanging="720"/>
        <w:rPr>
          <w:rFonts w:eastAsia="Calibri"/>
          <w:szCs w:val="24"/>
        </w:rPr>
      </w:pPr>
      <w:r w:rsidRPr="003B4362">
        <w:rPr>
          <w:rFonts w:eastAsia="Calibri"/>
          <w:szCs w:val="24"/>
        </w:rPr>
        <w:t>v)</w:t>
      </w:r>
      <w:r w:rsidRPr="003B4362">
        <w:rPr>
          <w:rFonts w:eastAsia="Calibri"/>
          <w:szCs w:val="24"/>
        </w:rPr>
        <w:tab/>
        <w:t>The analytical results for all schools and child care facilities</w:t>
      </w:r>
      <w:bookmarkStart w:id="3003" w:name="_Hlk125400993"/>
      <w:r w:rsidR="000671D8" w:rsidRPr="003B4362">
        <w:rPr>
          <w:rFonts w:eastAsia="Calibri"/>
          <w:szCs w:val="24"/>
        </w:rPr>
        <w:t xml:space="preserve"> </w:t>
      </w:r>
      <w:bookmarkStart w:id="3004" w:name="_Hlk125401091"/>
      <w:r w:rsidRPr="003B4362">
        <w:rPr>
          <w:rFonts w:eastAsia="Calibri"/>
          <w:szCs w:val="24"/>
        </w:rPr>
        <w:t xml:space="preserve">the </w:t>
      </w:r>
      <w:bookmarkEnd w:id="3003"/>
      <w:r w:rsidR="000671D8" w:rsidRPr="003B4362">
        <w:rPr>
          <w:rFonts w:eastAsia="Calibri"/>
          <w:szCs w:val="24"/>
        </w:rPr>
        <w:t>supplier</w:t>
      </w:r>
      <w:r w:rsidRPr="003B4362">
        <w:rPr>
          <w:rFonts w:eastAsia="Calibri"/>
          <w:szCs w:val="24"/>
        </w:rPr>
        <w:t xml:space="preserve"> </w:t>
      </w:r>
      <w:r w:rsidR="000671D8" w:rsidRPr="003B4362">
        <w:rPr>
          <w:rFonts w:eastAsia="Calibri"/>
          <w:szCs w:val="24"/>
        </w:rPr>
        <w:t>sampled</w:t>
      </w:r>
      <w:bookmarkEnd w:id="3004"/>
      <w:r w:rsidR="000671D8" w:rsidRPr="003B4362">
        <w:rPr>
          <w:rFonts w:eastAsia="Calibri"/>
          <w:szCs w:val="24"/>
        </w:rPr>
        <w:t xml:space="preserve"> </w:t>
      </w:r>
      <w:r w:rsidRPr="003B4362">
        <w:rPr>
          <w:rFonts w:eastAsia="Calibri"/>
          <w:szCs w:val="24"/>
        </w:rPr>
        <w:t>in the calendar year.</w:t>
      </w:r>
    </w:p>
    <w:p w14:paraId="48B77112" w14:textId="7C09AD48" w:rsidR="00671610" w:rsidRPr="003B4362" w:rsidRDefault="00671610" w:rsidP="00671610">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r>
      <w:r w:rsidR="000671D8" w:rsidRPr="003B4362">
        <w:rPr>
          <w:rFonts w:eastAsia="Calibri"/>
          <w:szCs w:val="24"/>
        </w:rPr>
        <w:t>T</w:t>
      </w:r>
      <w:bookmarkStart w:id="3005" w:name="_Hlk125401302"/>
      <w:r w:rsidR="000671D8" w:rsidRPr="003B4362">
        <w:rPr>
          <w:rFonts w:eastAsia="Calibri"/>
          <w:szCs w:val="24"/>
        </w:rPr>
        <w:t>he supplier must cer</w:t>
      </w:r>
      <w:r w:rsidR="00A97014" w:rsidRPr="003B4362">
        <w:rPr>
          <w:rFonts w:eastAsia="Calibri"/>
          <w:szCs w:val="24"/>
        </w:rPr>
        <w:t>t</w:t>
      </w:r>
      <w:r w:rsidR="000671D8" w:rsidRPr="003B4362">
        <w:rPr>
          <w:rFonts w:eastAsia="Calibri"/>
          <w:szCs w:val="24"/>
        </w:rPr>
        <w:t>ify</w:t>
      </w:r>
      <w:bookmarkStart w:id="3006" w:name="_Hlk125401231"/>
      <w:r w:rsidRPr="003B4362">
        <w:rPr>
          <w:rFonts w:eastAsia="Calibri"/>
          <w:szCs w:val="24"/>
        </w:rPr>
        <w:t xml:space="preserve"> that</w:t>
      </w:r>
      <w:bookmarkEnd w:id="3005"/>
      <w:bookmarkEnd w:id="3006"/>
      <w:r w:rsidRPr="003B4362">
        <w:rPr>
          <w:rFonts w:eastAsia="Calibri"/>
          <w:szCs w:val="24"/>
        </w:rPr>
        <w:t xml:space="preserve"> </w:t>
      </w:r>
      <w:bookmarkStart w:id="3007" w:name="_Hlk125401496"/>
      <w:r w:rsidR="00A97014" w:rsidRPr="003B4362">
        <w:rPr>
          <w:rFonts w:eastAsia="Calibri"/>
          <w:szCs w:val="24"/>
        </w:rPr>
        <w:t xml:space="preserve">it provided its </w:t>
      </w:r>
      <w:bookmarkStart w:id="3008" w:name="_Hlk125401441"/>
      <w:r w:rsidRPr="003B4362">
        <w:rPr>
          <w:rFonts w:eastAsia="Calibri"/>
          <w:szCs w:val="24"/>
        </w:rPr>
        <w:t>sampling results</w:t>
      </w:r>
      <w:bookmarkEnd w:id="3007"/>
      <w:bookmarkEnd w:id="3008"/>
      <w:r w:rsidR="00A97014" w:rsidRPr="003B4362">
        <w:rPr>
          <w:rFonts w:eastAsia="Calibri"/>
          <w:szCs w:val="24"/>
        </w:rPr>
        <w:t xml:space="preserve"> </w:t>
      </w:r>
      <w:r w:rsidRPr="003B4362">
        <w:rPr>
          <w:rFonts w:eastAsia="Calibri"/>
          <w:szCs w:val="24"/>
        </w:rPr>
        <w:t xml:space="preserve">to schools, child care facilities, and </w:t>
      </w:r>
      <w:bookmarkStart w:id="3009" w:name="_Hlk125401689"/>
      <w:r w:rsidR="00A97014" w:rsidRPr="003B4362">
        <w:rPr>
          <w:rFonts w:eastAsia="Calibri"/>
          <w:szCs w:val="24"/>
        </w:rPr>
        <w:t xml:space="preserve">the Illinois Department of Public Health and </w:t>
      </w:r>
      <w:r w:rsidRPr="003B4362">
        <w:rPr>
          <w:rFonts w:eastAsia="Calibri"/>
          <w:szCs w:val="24"/>
        </w:rPr>
        <w:t>local</w:t>
      </w:r>
      <w:r w:rsidR="00A97014" w:rsidRPr="003B4362">
        <w:rPr>
          <w:rFonts w:eastAsia="Calibri"/>
          <w:szCs w:val="24"/>
        </w:rPr>
        <w:t xml:space="preserve"> </w:t>
      </w:r>
      <w:r w:rsidRPr="003B4362">
        <w:rPr>
          <w:rFonts w:eastAsia="Calibri"/>
          <w:szCs w:val="24"/>
        </w:rPr>
        <w:t xml:space="preserve">health </w:t>
      </w:r>
      <w:bookmarkEnd w:id="3009"/>
      <w:r w:rsidR="006B6E97" w:rsidRPr="003B4362">
        <w:rPr>
          <w:rFonts w:eastAsia="Calibri"/>
          <w:szCs w:val="24"/>
        </w:rPr>
        <w:t>agencies</w:t>
      </w:r>
      <w:r w:rsidRPr="003B4362">
        <w:rPr>
          <w:rFonts w:eastAsia="Calibri"/>
          <w:szCs w:val="24"/>
        </w:rPr>
        <w:t>.</w:t>
      </w:r>
    </w:p>
    <w:p w14:paraId="40799E2C" w14:textId="71C94B9C" w:rsidR="00671610" w:rsidRPr="003B4362" w:rsidRDefault="00671610" w:rsidP="00671610">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r w:rsidR="006B6E97" w:rsidRPr="003B4362">
        <w:rPr>
          <w:rFonts w:eastAsia="Calibri"/>
          <w:szCs w:val="24"/>
        </w:rPr>
        <w:t>This subsection (i)(2) corresponds with 40 CFR 141.90(i)(2), which USEPA marked “reserved”.  This statement maintains structural consistency with the corresponding USEPA rules.</w:t>
      </w:r>
    </w:p>
    <w:p w14:paraId="52668220" w14:textId="437065C7" w:rsidR="00806A1E" w:rsidRPr="003B4362" w:rsidRDefault="00806A1E" w:rsidP="00671610">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The Agency has provided the results of the 90</w:t>
      </w:r>
      <w:r w:rsidRPr="003B4362">
        <w:rPr>
          <w:rFonts w:eastAsia="Calibri"/>
          <w:szCs w:val="24"/>
          <w:vertAlign w:val="superscript"/>
        </w:rPr>
        <w:t>th</w:t>
      </w:r>
      <w:r w:rsidRPr="003B4362">
        <w:rPr>
          <w:rFonts w:eastAsia="Calibri"/>
          <w:szCs w:val="24"/>
        </w:rPr>
        <w:t xml:space="preserve"> percentile lead and copper calculations, in writing, to the supplier before the end of the monitoring period.</w:t>
      </w:r>
    </w:p>
    <w:p w14:paraId="14B5E7A3" w14:textId="3F148919" w:rsidR="00671610" w:rsidRPr="003B4362" w:rsidRDefault="00671610" w:rsidP="00671610">
      <w:pPr>
        <w:autoSpaceDE w:val="0"/>
        <w:autoSpaceDN w:val="0"/>
        <w:adjustRightInd w:val="0"/>
        <w:spacing w:before="240" w:after="240"/>
        <w:ind w:left="1440" w:hanging="720"/>
        <w:rPr>
          <w:rFonts w:eastAsia="Calibri"/>
          <w:szCs w:val="24"/>
        </w:rPr>
      </w:pPr>
      <w:r w:rsidRPr="003B4362">
        <w:rPr>
          <w:rFonts w:eastAsia="Calibri"/>
          <w:szCs w:val="24"/>
        </w:rPr>
        <w:t>j)</w:t>
      </w:r>
      <w:r w:rsidRPr="003B4362">
        <w:rPr>
          <w:rFonts w:eastAsia="Calibri"/>
          <w:szCs w:val="24"/>
        </w:rPr>
        <w:tab/>
      </w:r>
      <w:bookmarkStart w:id="3010" w:name="_Hlk125402349"/>
      <w:r w:rsidRPr="003B4362">
        <w:rPr>
          <w:rFonts w:eastAsia="Calibri"/>
          <w:szCs w:val="24"/>
        </w:rPr>
        <w:t xml:space="preserve">Reporting </w:t>
      </w:r>
      <w:r w:rsidR="00B56CC8" w:rsidRPr="003B4362">
        <w:rPr>
          <w:rFonts w:eastAsia="Calibri"/>
          <w:szCs w:val="24"/>
        </w:rPr>
        <w:t>R</w:t>
      </w:r>
      <w:r w:rsidRPr="003B4362">
        <w:rPr>
          <w:rFonts w:eastAsia="Calibri"/>
          <w:szCs w:val="24"/>
        </w:rPr>
        <w:t xml:space="preserve">equirements for </w:t>
      </w:r>
      <w:r w:rsidR="00B56CC8" w:rsidRPr="003B4362">
        <w:rPr>
          <w:rFonts w:eastAsia="Calibri"/>
          <w:szCs w:val="24"/>
        </w:rPr>
        <w:t>S</w:t>
      </w:r>
      <w:r w:rsidRPr="003B4362">
        <w:rPr>
          <w:rFonts w:eastAsia="Calibri"/>
          <w:szCs w:val="24"/>
        </w:rPr>
        <w:t xml:space="preserve">mall </w:t>
      </w:r>
      <w:r w:rsidR="00B56CC8" w:rsidRPr="003B4362">
        <w:rPr>
          <w:rFonts w:eastAsia="Calibri"/>
          <w:szCs w:val="24"/>
        </w:rPr>
        <w:t>S</w:t>
      </w:r>
      <w:r w:rsidR="00296DFD" w:rsidRPr="003B4362">
        <w:rPr>
          <w:rFonts w:eastAsia="Calibri"/>
          <w:szCs w:val="24"/>
        </w:rPr>
        <w:t>upplier</w:t>
      </w:r>
      <w:r w:rsidRPr="003B4362">
        <w:rPr>
          <w:rFonts w:eastAsia="Calibri"/>
          <w:szCs w:val="24"/>
        </w:rPr>
        <w:t xml:space="preserve"> </w:t>
      </w:r>
      <w:r w:rsidR="00B56CC8" w:rsidRPr="003B4362">
        <w:rPr>
          <w:rFonts w:eastAsia="Calibri"/>
          <w:szCs w:val="24"/>
        </w:rPr>
        <w:t>C</w:t>
      </w:r>
      <w:r w:rsidRPr="003B4362">
        <w:rPr>
          <w:rFonts w:eastAsia="Calibri"/>
          <w:szCs w:val="24"/>
        </w:rPr>
        <w:t xml:space="preserve">ompliance </w:t>
      </w:r>
      <w:r w:rsidR="00B56CC8" w:rsidRPr="003B4362">
        <w:rPr>
          <w:rFonts w:eastAsia="Calibri"/>
          <w:szCs w:val="24"/>
        </w:rPr>
        <w:t>F</w:t>
      </w:r>
      <w:r w:rsidRPr="003B4362">
        <w:rPr>
          <w:rFonts w:eastAsia="Calibri"/>
          <w:szCs w:val="24"/>
        </w:rPr>
        <w:t xml:space="preserve">lexibility </w:t>
      </w:r>
      <w:r w:rsidR="00B56CC8" w:rsidRPr="003B4362">
        <w:rPr>
          <w:rFonts w:eastAsia="Calibri"/>
          <w:szCs w:val="24"/>
        </w:rPr>
        <w:t>O</w:t>
      </w:r>
      <w:r w:rsidRPr="003B4362">
        <w:rPr>
          <w:rFonts w:eastAsia="Calibri"/>
          <w:szCs w:val="24"/>
        </w:rPr>
        <w:t>ptions</w:t>
      </w:r>
      <w:bookmarkEnd w:id="3010"/>
      <w:r w:rsidRPr="003B4362">
        <w:rPr>
          <w:rFonts w:eastAsia="Calibri"/>
          <w:szCs w:val="24"/>
        </w:rPr>
        <w:t xml:space="preserve">.  </w:t>
      </w:r>
      <w:bookmarkStart w:id="3011" w:name="_Hlk125402756"/>
      <w:r w:rsidR="00CA37F1" w:rsidRPr="003B4362">
        <w:rPr>
          <w:rFonts w:eastAsia="Calibri"/>
          <w:szCs w:val="24"/>
        </w:rPr>
        <w:t>B</w:t>
      </w:r>
      <w:bookmarkStart w:id="3012" w:name="_Hlk125402985"/>
      <w:r w:rsidR="00CA37F1" w:rsidRPr="003B4362">
        <w:rPr>
          <w:rFonts w:eastAsia="Calibri"/>
          <w:szCs w:val="24"/>
        </w:rPr>
        <w:t>efore</w:t>
      </w:r>
      <w:r w:rsidRPr="003B4362">
        <w:rPr>
          <w:rFonts w:eastAsia="Calibri"/>
          <w:szCs w:val="24"/>
        </w:rPr>
        <w:t xml:space="preserve"> the </w:t>
      </w:r>
      <w:r w:rsidR="00CA37F1" w:rsidRPr="003B4362">
        <w:rPr>
          <w:rFonts w:eastAsia="Calibri"/>
          <w:szCs w:val="24"/>
        </w:rPr>
        <w:t>times</w:t>
      </w:r>
      <w:r w:rsidRPr="003B4362">
        <w:rPr>
          <w:rFonts w:eastAsia="Calibri"/>
          <w:szCs w:val="24"/>
        </w:rPr>
        <w:t xml:space="preserve"> subsections (j)(1) and </w:t>
      </w:r>
      <w:r w:rsidR="00CA37F1" w:rsidRPr="003B4362">
        <w:rPr>
          <w:rFonts w:eastAsia="Calibri"/>
          <w:szCs w:val="24"/>
        </w:rPr>
        <w:t>(j)</w:t>
      </w:r>
      <w:r w:rsidRPr="003B4362">
        <w:rPr>
          <w:rFonts w:eastAsia="Calibri"/>
          <w:szCs w:val="24"/>
        </w:rPr>
        <w:t>(2)</w:t>
      </w:r>
      <w:bookmarkEnd w:id="3011"/>
      <w:r w:rsidR="00CA37F1" w:rsidRPr="003B4362">
        <w:rPr>
          <w:rFonts w:eastAsia="Calibri"/>
          <w:szCs w:val="24"/>
        </w:rPr>
        <w:t xml:space="preserve"> provide</w:t>
      </w:r>
      <w:bookmarkEnd w:id="3012"/>
      <w:r w:rsidRPr="003B4362">
        <w:rPr>
          <w:rFonts w:eastAsia="Calibri"/>
          <w:szCs w:val="24"/>
        </w:rPr>
        <w:t xml:space="preserve">, </w:t>
      </w:r>
      <w:bookmarkStart w:id="3013" w:name="_Hlk125403522"/>
      <w:r w:rsidR="00BA1CA4" w:rsidRPr="003B4362">
        <w:rPr>
          <w:rFonts w:eastAsia="Calibri"/>
          <w:szCs w:val="24"/>
        </w:rPr>
        <w:t>a supplier</w:t>
      </w:r>
      <w:r w:rsidRPr="003B4362">
        <w:rPr>
          <w:rFonts w:eastAsia="Calibri"/>
          <w:szCs w:val="24"/>
        </w:rPr>
        <w:t xml:space="preserve"> implementing </w:t>
      </w:r>
      <w:r w:rsidR="00BA1CA4" w:rsidRPr="003B4362">
        <w:rPr>
          <w:rFonts w:eastAsia="Calibri"/>
          <w:szCs w:val="24"/>
        </w:rPr>
        <w:t>a small s</w:t>
      </w:r>
      <w:r w:rsidR="00296DFD" w:rsidRPr="003B4362">
        <w:rPr>
          <w:rFonts w:eastAsia="Calibri"/>
          <w:szCs w:val="24"/>
        </w:rPr>
        <w:t>upplier</w:t>
      </w:r>
      <w:r w:rsidR="00BA1CA4" w:rsidRPr="003B4362">
        <w:rPr>
          <w:rFonts w:eastAsia="Calibri"/>
          <w:szCs w:val="24"/>
        </w:rPr>
        <w:t xml:space="preserve"> compliance option</w:t>
      </w:r>
      <w:r w:rsidRPr="003B4362">
        <w:rPr>
          <w:rFonts w:eastAsia="Calibri"/>
          <w:szCs w:val="24"/>
        </w:rPr>
        <w:t xml:space="preserve"> </w:t>
      </w:r>
      <w:r w:rsidR="00BA1CA4" w:rsidRPr="003B4362">
        <w:rPr>
          <w:rFonts w:eastAsia="Calibri"/>
          <w:szCs w:val="24"/>
        </w:rPr>
        <w:t>under</w:t>
      </w:r>
      <w:r w:rsidRPr="003B4362">
        <w:rPr>
          <w:rFonts w:eastAsia="Calibri"/>
          <w:szCs w:val="24"/>
        </w:rPr>
        <w:t xml:space="preserve"> Section </w:t>
      </w:r>
      <w:r w:rsidR="00BA1CA4" w:rsidRPr="003B4362">
        <w:rPr>
          <w:rFonts w:eastAsia="Calibri"/>
          <w:szCs w:val="24"/>
        </w:rPr>
        <w:t>61</w:t>
      </w:r>
      <w:r w:rsidRPr="003B4362">
        <w:rPr>
          <w:rFonts w:eastAsia="Calibri"/>
          <w:szCs w:val="24"/>
        </w:rPr>
        <w:t>1.</w:t>
      </w:r>
      <w:r w:rsidR="00BA1CA4" w:rsidRPr="003B4362">
        <w:rPr>
          <w:rFonts w:eastAsia="Calibri"/>
          <w:szCs w:val="24"/>
        </w:rPr>
        <w:t>36</w:t>
      </w:r>
      <w:r w:rsidRPr="003B4362">
        <w:rPr>
          <w:rFonts w:eastAsia="Calibri"/>
          <w:szCs w:val="24"/>
        </w:rPr>
        <w:t>3</w:t>
      </w:r>
      <w:r w:rsidR="00BA1CA4" w:rsidRPr="003B4362">
        <w:rPr>
          <w:rFonts w:eastAsia="Calibri"/>
          <w:szCs w:val="24"/>
        </w:rPr>
        <w:t xml:space="preserve"> must</w:t>
      </w:r>
      <w:r w:rsidRPr="003B4362">
        <w:rPr>
          <w:rFonts w:eastAsia="Calibri"/>
          <w:szCs w:val="24"/>
        </w:rPr>
        <w:t xml:space="preserve"> provide</w:t>
      </w:r>
      <w:bookmarkEnd w:id="3013"/>
      <w:r w:rsidRPr="003B4362">
        <w:rPr>
          <w:rFonts w:eastAsia="Calibri"/>
          <w:szCs w:val="24"/>
        </w:rPr>
        <w:t xml:space="preserve"> </w:t>
      </w:r>
      <w:bookmarkStart w:id="3014" w:name="_Hlk125404875"/>
      <w:r w:rsidR="00B66166" w:rsidRPr="003B4362">
        <w:rPr>
          <w:rFonts w:eastAsia="Calibri"/>
          <w:szCs w:val="24"/>
        </w:rPr>
        <w:t>certain</w:t>
      </w:r>
      <w:r w:rsidRPr="003B4362">
        <w:rPr>
          <w:rFonts w:eastAsia="Calibri"/>
          <w:szCs w:val="24"/>
        </w:rPr>
        <w:t xml:space="preserve"> information to the </w:t>
      </w:r>
      <w:bookmarkEnd w:id="3014"/>
      <w:r w:rsidR="00B66166" w:rsidRPr="003B4362">
        <w:rPr>
          <w:rFonts w:eastAsia="Calibri"/>
          <w:szCs w:val="24"/>
        </w:rPr>
        <w:t>Agency</w:t>
      </w:r>
      <w:r w:rsidRPr="003B4362">
        <w:rPr>
          <w:rFonts w:eastAsia="Calibri"/>
          <w:szCs w:val="24"/>
        </w:rPr>
        <w:t>:</w:t>
      </w:r>
    </w:p>
    <w:p w14:paraId="2184100A" w14:textId="682AF350" w:rsidR="00671610" w:rsidRPr="003B4362" w:rsidRDefault="00671610" w:rsidP="00671610">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r>
      <w:bookmarkStart w:id="3015" w:name="_Hlk125408106"/>
      <w:bookmarkStart w:id="3016" w:name="_Hlk125405437"/>
      <w:r w:rsidR="00621CFC" w:rsidRPr="003B4362">
        <w:rPr>
          <w:rFonts w:eastAsia="Calibri"/>
          <w:szCs w:val="24"/>
        </w:rPr>
        <w:t>Point-of-Use Device</w:t>
      </w:r>
      <w:r w:rsidR="004F7714" w:rsidRPr="003B4362">
        <w:rPr>
          <w:rFonts w:eastAsia="Calibri"/>
          <w:szCs w:val="24"/>
        </w:rPr>
        <w:t xml:space="preserve"> Option</w:t>
      </w:r>
      <w:bookmarkEnd w:id="3015"/>
      <w:r w:rsidR="004F7714" w:rsidRPr="003B4362">
        <w:rPr>
          <w:rFonts w:eastAsia="Calibri"/>
          <w:szCs w:val="24"/>
        </w:rPr>
        <w:t xml:space="preserve">.  </w:t>
      </w:r>
      <w:r w:rsidR="00B66166" w:rsidRPr="003B4362">
        <w:rPr>
          <w:rFonts w:eastAsia="Calibri"/>
          <w:szCs w:val="24"/>
        </w:rPr>
        <w:t>A</w:t>
      </w:r>
      <w:bookmarkStart w:id="3017" w:name="_Hlk125406437"/>
      <w:r w:rsidR="00B66166" w:rsidRPr="003B4362">
        <w:rPr>
          <w:rFonts w:eastAsia="Calibri"/>
          <w:szCs w:val="24"/>
        </w:rPr>
        <w:t xml:space="preserve"> s</w:t>
      </w:r>
      <w:r w:rsidRPr="003B4362">
        <w:rPr>
          <w:rFonts w:eastAsia="Calibri"/>
          <w:szCs w:val="24"/>
        </w:rPr>
        <w:t xml:space="preserve">mall </w:t>
      </w:r>
      <w:r w:rsidR="00B66166" w:rsidRPr="003B4362">
        <w:rPr>
          <w:rFonts w:eastAsia="Calibri"/>
          <w:szCs w:val="24"/>
        </w:rPr>
        <w:t>CWS</w:t>
      </w:r>
      <w:r w:rsidRPr="003B4362">
        <w:rPr>
          <w:rFonts w:eastAsia="Calibri"/>
          <w:szCs w:val="24"/>
        </w:rPr>
        <w:t xml:space="preserve"> </w:t>
      </w:r>
      <w:r w:rsidR="00B66166" w:rsidRPr="003B4362">
        <w:rPr>
          <w:rFonts w:eastAsia="Calibri"/>
          <w:szCs w:val="24"/>
        </w:rPr>
        <w:t>or</w:t>
      </w:r>
      <w:r w:rsidRPr="003B4362">
        <w:rPr>
          <w:rFonts w:eastAsia="Calibri"/>
          <w:szCs w:val="24"/>
        </w:rPr>
        <w:t xml:space="preserve"> </w:t>
      </w:r>
      <w:bookmarkEnd w:id="3016"/>
      <w:r w:rsidR="00F46ACA" w:rsidRPr="003B4362">
        <w:rPr>
          <w:rFonts w:eastAsia="Calibri"/>
          <w:szCs w:val="24"/>
        </w:rPr>
        <w:t>NTNCWS supplier</w:t>
      </w:r>
      <w:bookmarkEnd w:id="3017"/>
      <w:r w:rsidRPr="003B4362">
        <w:rPr>
          <w:rFonts w:eastAsia="Calibri"/>
          <w:szCs w:val="24"/>
        </w:rPr>
        <w:t xml:space="preserve"> implementing the point-of-use device option under Section </w:t>
      </w:r>
      <w:r w:rsidR="00D3512C" w:rsidRPr="003B4362">
        <w:rPr>
          <w:rFonts w:eastAsia="Calibri"/>
          <w:szCs w:val="24"/>
        </w:rPr>
        <w:t>61</w:t>
      </w:r>
      <w:r w:rsidRPr="003B4362">
        <w:rPr>
          <w:rFonts w:eastAsia="Calibri"/>
          <w:szCs w:val="24"/>
        </w:rPr>
        <w:t>1.</w:t>
      </w:r>
      <w:r w:rsidR="00D3512C" w:rsidRPr="003B4362">
        <w:rPr>
          <w:rFonts w:eastAsia="Calibri"/>
          <w:szCs w:val="24"/>
        </w:rPr>
        <w:t>36</w:t>
      </w:r>
      <w:r w:rsidRPr="003B4362">
        <w:rPr>
          <w:rFonts w:eastAsia="Calibri"/>
          <w:szCs w:val="24"/>
        </w:rPr>
        <w:t xml:space="preserve">3(a)(3), </w:t>
      </w:r>
      <w:r w:rsidR="00D3512C" w:rsidRPr="003B4362">
        <w:rPr>
          <w:rFonts w:eastAsia="Calibri"/>
          <w:szCs w:val="24"/>
        </w:rPr>
        <w:t>must</w:t>
      </w:r>
      <w:r w:rsidRPr="003B4362">
        <w:rPr>
          <w:rFonts w:eastAsia="Calibri"/>
          <w:szCs w:val="24"/>
        </w:rPr>
        <w:t xml:space="preserve"> report the results from</w:t>
      </w:r>
      <w:bookmarkStart w:id="3018" w:name="_Hlk125406581"/>
      <w:r w:rsidR="00D3512C" w:rsidRPr="003B4362">
        <w:rPr>
          <w:rFonts w:eastAsia="Calibri"/>
          <w:szCs w:val="24"/>
        </w:rPr>
        <w:t xml:space="preserve"> </w:t>
      </w:r>
      <w:bookmarkStart w:id="3019" w:name="_Hlk125406695"/>
      <w:r w:rsidRPr="003B4362">
        <w:rPr>
          <w:rFonts w:eastAsia="Calibri"/>
          <w:szCs w:val="24"/>
        </w:rPr>
        <w:t>tap sampling</w:t>
      </w:r>
      <w:r w:rsidR="00D3512C" w:rsidRPr="003B4362">
        <w:rPr>
          <w:rFonts w:eastAsia="Calibri"/>
          <w:szCs w:val="24"/>
        </w:rPr>
        <w:t xml:space="preserve"> </w:t>
      </w:r>
      <w:r w:rsidRPr="003B4362">
        <w:rPr>
          <w:rFonts w:eastAsia="Calibri"/>
          <w:szCs w:val="24"/>
        </w:rPr>
        <w:t xml:space="preserve">under Section </w:t>
      </w:r>
      <w:bookmarkStart w:id="3020" w:name="_Hlk125408290"/>
      <w:r w:rsidR="00D3512C" w:rsidRPr="003B4362">
        <w:rPr>
          <w:rFonts w:eastAsia="Calibri"/>
          <w:szCs w:val="24"/>
        </w:rPr>
        <w:t>611.36</w:t>
      </w:r>
      <w:bookmarkEnd w:id="3020"/>
      <w:r w:rsidRPr="003B4362">
        <w:rPr>
          <w:rFonts w:eastAsia="Calibri"/>
          <w:szCs w:val="24"/>
        </w:rPr>
        <w:t>3</w:t>
      </w:r>
      <w:bookmarkEnd w:id="3018"/>
      <w:bookmarkEnd w:id="3019"/>
      <w:r w:rsidRPr="003B4362">
        <w:rPr>
          <w:rFonts w:eastAsia="Calibri"/>
          <w:szCs w:val="24"/>
        </w:rPr>
        <w:t xml:space="preserve"> no later than </w:t>
      </w:r>
      <w:r w:rsidR="00D3512C" w:rsidRPr="003B4362">
        <w:rPr>
          <w:rFonts w:eastAsia="Calibri"/>
          <w:szCs w:val="24"/>
        </w:rPr>
        <w:t>ten</w:t>
      </w:r>
      <w:r w:rsidRPr="003B4362">
        <w:rPr>
          <w:rFonts w:eastAsia="Calibri"/>
          <w:szCs w:val="24"/>
        </w:rPr>
        <w:t xml:space="preserve"> days after the end of the tap monitoring </w:t>
      </w:r>
      <w:r w:rsidR="00E26FBC" w:rsidRPr="003B4362">
        <w:rPr>
          <w:rFonts w:eastAsia="Calibri"/>
          <w:szCs w:val="24"/>
        </w:rPr>
        <w:t>cycle</w:t>
      </w:r>
      <w:r w:rsidRPr="003B4362">
        <w:rPr>
          <w:rFonts w:eastAsia="Calibri"/>
          <w:szCs w:val="24"/>
        </w:rPr>
        <w:t>.  I</w:t>
      </w:r>
      <w:bookmarkStart w:id="3021" w:name="_Hlk125406877"/>
      <w:r w:rsidRPr="003B4362">
        <w:rPr>
          <w:rFonts w:eastAsia="Calibri"/>
          <w:szCs w:val="24"/>
        </w:rPr>
        <w:t xml:space="preserve">f </w:t>
      </w:r>
      <w:r w:rsidR="00AA724C" w:rsidRPr="003B4362">
        <w:rPr>
          <w:rFonts w:eastAsia="Calibri"/>
          <w:szCs w:val="24"/>
        </w:rPr>
        <w:t xml:space="preserve">results exceed </w:t>
      </w:r>
      <w:r w:rsidRPr="003B4362">
        <w:rPr>
          <w:rFonts w:eastAsia="Calibri"/>
          <w:szCs w:val="24"/>
        </w:rPr>
        <w:t xml:space="preserve">the </w:t>
      </w:r>
      <w:r w:rsidR="00AA724C" w:rsidRPr="003B4362">
        <w:rPr>
          <w:rFonts w:eastAsia="Calibri"/>
          <w:szCs w:val="24"/>
        </w:rPr>
        <w:t xml:space="preserve">lead </w:t>
      </w:r>
      <w:r w:rsidRPr="003B4362">
        <w:rPr>
          <w:rFonts w:eastAsia="Calibri"/>
          <w:szCs w:val="24"/>
        </w:rPr>
        <w:t>trigger level</w:t>
      </w:r>
      <w:bookmarkEnd w:id="3021"/>
      <w:r w:rsidRPr="003B4362">
        <w:rPr>
          <w:rFonts w:eastAsia="Calibri"/>
          <w:szCs w:val="24"/>
        </w:rPr>
        <w:t xml:space="preserve">, the </w:t>
      </w:r>
      <w:r w:rsidR="00AA724C" w:rsidRPr="003B4362">
        <w:rPr>
          <w:rFonts w:eastAsia="Calibri"/>
          <w:szCs w:val="24"/>
        </w:rPr>
        <w:t>supplier</w:t>
      </w:r>
      <w:r w:rsidRPr="003B4362">
        <w:rPr>
          <w:rFonts w:eastAsia="Calibri"/>
          <w:szCs w:val="24"/>
        </w:rPr>
        <w:t xml:space="preserve"> must reach out to </w:t>
      </w:r>
      <w:bookmarkStart w:id="3022" w:name="_Hlk125407112"/>
      <w:r w:rsidRPr="003B4362">
        <w:rPr>
          <w:rFonts w:eastAsia="Calibri"/>
          <w:szCs w:val="24"/>
        </w:rPr>
        <w:t>the homeowner or building management</w:t>
      </w:r>
      <w:bookmarkEnd w:id="3022"/>
      <w:r w:rsidRPr="003B4362">
        <w:rPr>
          <w:rFonts w:eastAsia="Calibri"/>
          <w:szCs w:val="24"/>
        </w:rPr>
        <w:t xml:space="preserve"> </w:t>
      </w:r>
      <w:bookmarkStart w:id="3023" w:name="_Hlk125407188"/>
      <w:r w:rsidR="00B26664" w:rsidRPr="003B4362">
        <w:rPr>
          <w:rFonts w:eastAsia="Calibri"/>
          <w:szCs w:val="24"/>
        </w:rPr>
        <w:t xml:space="preserve">or, if applicable, both </w:t>
      </w:r>
      <w:r w:rsidRPr="003B4362">
        <w:rPr>
          <w:rFonts w:eastAsia="Calibri"/>
          <w:szCs w:val="24"/>
        </w:rPr>
        <w:t xml:space="preserve">within 24 hours </w:t>
      </w:r>
      <w:r w:rsidR="00AA724C" w:rsidRPr="003B4362">
        <w:rPr>
          <w:rFonts w:eastAsia="Calibri"/>
          <w:szCs w:val="24"/>
        </w:rPr>
        <w:t>after</w:t>
      </w:r>
      <w:r w:rsidRPr="003B4362">
        <w:rPr>
          <w:rFonts w:eastAsia="Calibri"/>
          <w:szCs w:val="24"/>
        </w:rPr>
        <w:t xml:space="preserve"> receiving</w:t>
      </w:r>
      <w:bookmarkEnd w:id="3023"/>
      <w:r w:rsidRPr="003B4362">
        <w:rPr>
          <w:rFonts w:eastAsia="Calibri"/>
          <w:szCs w:val="24"/>
        </w:rPr>
        <w:t xml:space="preserve"> the tap sample results.  T</w:t>
      </w:r>
      <w:bookmarkStart w:id="3024" w:name="_Hlk125407274"/>
      <w:r w:rsidRPr="003B4362">
        <w:rPr>
          <w:rFonts w:eastAsia="Calibri"/>
          <w:szCs w:val="24"/>
        </w:rPr>
        <w:t xml:space="preserve">he </w:t>
      </w:r>
      <w:r w:rsidR="00AA724C" w:rsidRPr="003B4362">
        <w:rPr>
          <w:rFonts w:eastAsia="Calibri"/>
          <w:szCs w:val="24"/>
        </w:rPr>
        <w:t xml:space="preserve">supplier must complete </w:t>
      </w:r>
      <w:r w:rsidRPr="003B4362">
        <w:rPr>
          <w:rFonts w:eastAsia="Calibri"/>
          <w:szCs w:val="24"/>
        </w:rPr>
        <w:t>corrective action</w:t>
      </w:r>
      <w:bookmarkEnd w:id="3024"/>
      <w:r w:rsidR="00AA724C" w:rsidRPr="003B4362">
        <w:rPr>
          <w:rFonts w:eastAsia="Calibri"/>
          <w:szCs w:val="24"/>
        </w:rPr>
        <w:t xml:space="preserve"> </w:t>
      </w:r>
      <w:r w:rsidRPr="003B4362">
        <w:rPr>
          <w:rFonts w:eastAsia="Calibri"/>
          <w:szCs w:val="24"/>
        </w:rPr>
        <w:t>within 30 days.  I</w:t>
      </w:r>
      <w:bookmarkStart w:id="3025" w:name="_Hlk125407408"/>
      <w:r w:rsidRPr="003B4362">
        <w:rPr>
          <w:rFonts w:eastAsia="Calibri"/>
          <w:szCs w:val="24"/>
        </w:rPr>
        <w:t xml:space="preserve">f the </w:t>
      </w:r>
      <w:r w:rsidR="00621CFC" w:rsidRPr="003B4362">
        <w:rPr>
          <w:rFonts w:eastAsia="Calibri"/>
          <w:szCs w:val="24"/>
        </w:rPr>
        <w:t xml:space="preserve">supplier does not complete </w:t>
      </w:r>
      <w:r w:rsidRPr="003B4362">
        <w:rPr>
          <w:rFonts w:eastAsia="Calibri"/>
          <w:szCs w:val="24"/>
        </w:rPr>
        <w:t>corrective action</w:t>
      </w:r>
      <w:bookmarkEnd w:id="3025"/>
      <w:r w:rsidR="00621CFC" w:rsidRPr="003B4362">
        <w:rPr>
          <w:rFonts w:eastAsia="Calibri"/>
          <w:szCs w:val="24"/>
        </w:rPr>
        <w:t xml:space="preserve"> </w:t>
      </w:r>
      <w:r w:rsidRPr="003B4362">
        <w:rPr>
          <w:rFonts w:eastAsia="Calibri"/>
          <w:szCs w:val="24"/>
        </w:rPr>
        <w:t xml:space="preserve">within 30 days, the </w:t>
      </w:r>
      <w:r w:rsidR="00621CFC" w:rsidRPr="003B4362">
        <w:rPr>
          <w:rFonts w:eastAsia="Calibri"/>
          <w:szCs w:val="24"/>
        </w:rPr>
        <w:t>supplier</w:t>
      </w:r>
      <w:bookmarkStart w:id="3026" w:name="_Hlk125407624"/>
      <w:bookmarkStart w:id="3027" w:name="_Hlk125407803"/>
      <w:r w:rsidRPr="003B4362">
        <w:rPr>
          <w:rFonts w:eastAsia="Calibri"/>
          <w:szCs w:val="24"/>
        </w:rPr>
        <w:t xml:space="preserve"> must document to the </w:t>
      </w:r>
      <w:bookmarkEnd w:id="3026"/>
      <w:r w:rsidR="00621CFC" w:rsidRPr="003B4362">
        <w:rPr>
          <w:rFonts w:eastAsia="Calibri"/>
          <w:szCs w:val="24"/>
        </w:rPr>
        <w:t>Agency</w:t>
      </w:r>
      <w:bookmarkEnd w:id="3027"/>
      <w:r w:rsidRPr="003B4362">
        <w:rPr>
          <w:rFonts w:eastAsia="Calibri"/>
          <w:szCs w:val="24"/>
        </w:rPr>
        <w:t xml:space="preserve"> </w:t>
      </w:r>
      <w:bookmarkStart w:id="3028" w:name="_Hlk125407873"/>
      <w:r w:rsidRPr="003B4362">
        <w:rPr>
          <w:rFonts w:eastAsia="Calibri"/>
          <w:szCs w:val="24"/>
        </w:rPr>
        <w:t xml:space="preserve">within 30 days </w:t>
      </w:r>
      <w:r w:rsidR="00621CFC" w:rsidRPr="003B4362">
        <w:rPr>
          <w:rFonts w:eastAsia="Calibri"/>
          <w:szCs w:val="24"/>
        </w:rPr>
        <w:t>of the failure</w:t>
      </w:r>
      <w:bookmarkEnd w:id="3028"/>
      <w:r w:rsidR="00621CFC" w:rsidRPr="003B4362">
        <w:rPr>
          <w:rFonts w:eastAsia="Calibri"/>
          <w:szCs w:val="24"/>
        </w:rPr>
        <w:t xml:space="preserve"> </w:t>
      </w:r>
      <w:r w:rsidRPr="003B4362">
        <w:rPr>
          <w:rFonts w:eastAsia="Calibri"/>
          <w:szCs w:val="24"/>
        </w:rPr>
        <w:t xml:space="preserve">explaining </w:t>
      </w:r>
      <w:bookmarkStart w:id="3029" w:name="_Hlk125407982"/>
      <w:r w:rsidRPr="003B4362">
        <w:rPr>
          <w:rFonts w:eastAsia="Calibri"/>
          <w:szCs w:val="24"/>
        </w:rPr>
        <w:t xml:space="preserve">why </w:t>
      </w:r>
      <w:r w:rsidR="00621CFC" w:rsidRPr="003B4362">
        <w:rPr>
          <w:rFonts w:eastAsia="Calibri"/>
          <w:szCs w:val="24"/>
        </w:rPr>
        <w:t>the supplier</w:t>
      </w:r>
      <w:r w:rsidRPr="003B4362">
        <w:rPr>
          <w:rFonts w:eastAsia="Calibri"/>
          <w:szCs w:val="24"/>
        </w:rPr>
        <w:t xml:space="preserve"> was unable</w:t>
      </w:r>
      <w:bookmarkEnd w:id="3029"/>
      <w:r w:rsidRPr="003B4362">
        <w:rPr>
          <w:rFonts w:eastAsia="Calibri"/>
          <w:szCs w:val="24"/>
        </w:rPr>
        <w:t xml:space="preserve"> to correct the issue.  </w:t>
      </w:r>
      <w:r w:rsidR="004F7714" w:rsidRPr="003B4362">
        <w:rPr>
          <w:rFonts w:eastAsia="Calibri"/>
          <w:szCs w:val="24"/>
        </w:rPr>
        <w:lastRenderedPageBreak/>
        <w:t>A</w:t>
      </w:r>
      <w:bookmarkStart w:id="3030" w:name="_Hlk125408199"/>
      <w:r w:rsidR="004F7714" w:rsidRPr="003B4362">
        <w:rPr>
          <w:rFonts w:eastAsia="Calibri"/>
          <w:szCs w:val="24"/>
        </w:rPr>
        <w:t xml:space="preserve"> supplier</w:t>
      </w:r>
      <w:bookmarkEnd w:id="3030"/>
      <w:r w:rsidRPr="003B4362">
        <w:rPr>
          <w:rFonts w:eastAsia="Calibri"/>
          <w:szCs w:val="24"/>
        </w:rPr>
        <w:t xml:space="preserve"> selecting the point-of-use device option under Section </w:t>
      </w:r>
      <w:r w:rsidR="004F7714" w:rsidRPr="003B4362">
        <w:rPr>
          <w:rFonts w:eastAsia="Calibri"/>
          <w:szCs w:val="24"/>
        </w:rPr>
        <w:t>611.36</w:t>
      </w:r>
      <w:r w:rsidRPr="003B4362">
        <w:rPr>
          <w:rFonts w:eastAsia="Calibri"/>
          <w:szCs w:val="24"/>
        </w:rPr>
        <w:t xml:space="preserve">3(a)(3) </w:t>
      </w:r>
      <w:r w:rsidR="004F7714" w:rsidRPr="003B4362">
        <w:rPr>
          <w:rFonts w:eastAsia="Calibri"/>
          <w:szCs w:val="24"/>
        </w:rPr>
        <w:t>must</w:t>
      </w:r>
      <w:bookmarkStart w:id="3031" w:name="_Hlk125408626"/>
      <w:r w:rsidRPr="003B4362">
        <w:rPr>
          <w:rFonts w:eastAsia="Calibri"/>
          <w:szCs w:val="24"/>
        </w:rPr>
        <w:t xml:space="preserve"> </w:t>
      </w:r>
      <w:bookmarkStart w:id="3032" w:name="_Hlk125408417"/>
      <w:r w:rsidR="004F7714" w:rsidRPr="003B4362">
        <w:rPr>
          <w:rFonts w:eastAsia="Calibri"/>
          <w:szCs w:val="24"/>
        </w:rPr>
        <w:t>document to the Agency</w:t>
      </w:r>
      <w:r w:rsidRPr="003B4362">
        <w:rPr>
          <w:rFonts w:eastAsia="Calibri"/>
          <w:szCs w:val="24"/>
        </w:rPr>
        <w:t xml:space="preserve"> certify</w:t>
      </w:r>
      <w:r w:rsidR="004F7714" w:rsidRPr="003B4362">
        <w:rPr>
          <w:rFonts w:eastAsia="Calibri"/>
          <w:szCs w:val="24"/>
        </w:rPr>
        <w:t>ing</w:t>
      </w:r>
      <w:r w:rsidRPr="003B4362">
        <w:rPr>
          <w:rFonts w:eastAsia="Calibri"/>
          <w:szCs w:val="24"/>
        </w:rPr>
        <w:t xml:space="preserve"> </w:t>
      </w:r>
      <w:r w:rsidR="004F7714" w:rsidRPr="003B4362">
        <w:rPr>
          <w:rFonts w:eastAsia="Calibri"/>
          <w:szCs w:val="24"/>
        </w:rPr>
        <w:t>that the supplier maintains</w:t>
      </w:r>
      <w:r w:rsidRPr="003B4362">
        <w:rPr>
          <w:rFonts w:eastAsia="Calibri"/>
          <w:szCs w:val="24"/>
        </w:rPr>
        <w:t xml:space="preserve"> the point-of-use devices</w:t>
      </w:r>
      <w:bookmarkEnd w:id="3031"/>
      <w:bookmarkEnd w:id="3032"/>
      <w:r w:rsidR="004F7714" w:rsidRPr="003B4362">
        <w:rPr>
          <w:rFonts w:eastAsia="Calibri"/>
          <w:szCs w:val="24"/>
        </w:rPr>
        <w:t>,</w:t>
      </w:r>
      <w:r w:rsidRPr="003B4362">
        <w:rPr>
          <w:rFonts w:eastAsia="Calibri"/>
          <w:szCs w:val="24"/>
        </w:rPr>
        <w:t xml:space="preserve"> unless </w:t>
      </w:r>
      <w:bookmarkStart w:id="3033" w:name="_Hlk125408902"/>
      <w:r w:rsidRPr="003B4362">
        <w:rPr>
          <w:rFonts w:eastAsia="Calibri"/>
          <w:szCs w:val="24"/>
        </w:rPr>
        <w:t xml:space="preserve">the </w:t>
      </w:r>
      <w:r w:rsidR="004F7714" w:rsidRPr="003B4362">
        <w:rPr>
          <w:rFonts w:eastAsia="Calibri"/>
          <w:szCs w:val="24"/>
        </w:rPr>
        <w:t>Agency</w:t>
      </w:r>
      <w:r w:rsidRPr="003B4362">
        <w:rPr>
          <w:rFonts w:eastAsia="Calibri"/>
          <w:szCs w:val="24"/>
        </w:rPr>
        <w:t xml:space="preserve"> </w:t>
      </w:r>
      <w:r w:rsidR="00A41F0D" w:rsidRPr="003B4362">
        <w:rPr>
          <w:rFonts w:eastAsia="Calibri"/>
          <w:szCs w:val="24"/>
        </w:rPr>
        <w:t>issues a SEP waiving</w:t>
      </w:r>
      <w:r w:rsidRPr="003B4362">
        <w:rPr>
          <w:rFonts w:eastAsia="Calibri"/>
          <w:szCs w:val="24"/>
        </w:rPr>
        <w:t xml:space="preserve"> th</w:t>
      </w:r>
      <w:r w:rsidR="00A41F0D" w:rsidRPr="003B4362">
        <w:rPr>
          <w:rFonts w:eastAsia="Calibri"/>
          <w:szCs w:val="24"/>
        </w:rPr>
        <w:t>is</w:t>
      </w:r>
      <w:r w:rsidRPr="003B4362">
        <w:rPr>
          <w:rFonts w:eastAsia="Calibri"/>
          <w:szCs w:val="24"/>
        </w:rPr>
        <w:t xml:space="preserve"> requirement</w:t>
      </w:r>
      <w:bookmarkEnd w:id="3033"/>
      <w:r w:rsidRPr="003B4362">
        <w:rPr>
          <w:rFonts w:eastAsia="Calibri"/>
          <w:szCs w:val="24"/>
        </w:rPr>
        <w:t>.</w:t>
      </w:r>
    </w:p>
    <w:p w14:paraId="62680F78" w14:textId="145C2580" w:rsidR="00671610" w:rsidRPr="003B4362" w:rsidRDefault="00671610" w:rsidP="00671610">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bookmarkStart w:id="3034" w:name="_Hlk125410970"/>
      <w:r w:rsidR="00665C04" w:rsidRPr="003B4362">
        <w:rPr>
          <w:rFonts w:eastAsia="Calibri"/>
          <w:szCs w:val="24"/>
        </w:rPr>
        <w:t>Replacing Lead-Bearing Plumbing Option</w:t>
      </w:r>
      <w:bookmarkEnd w:id="3034"/>
      <w:r w:rsidR="00665C04" w:rsidRPr="003B4362">
        <w:rPr>
          <w:rFonts w:eastAsia="Calibri"/>
          <w:szCs w:val="24"/>
        </w:rPr>
        <w:t>.  A small CWS or NTNCWS supplier</w:t>
      </w:r>
      <w:r w:rsidRPr="003B4362">
        <w:rPr>
          <w:rFonts w:eastAsia="Calibri"/>
          <w:szCs w:val="24"/>
        </w:rPr>
        <w:t xml:space="preserve"> </w:t>
      </w:r>
      <w:bookmarkStart w:id="3035" w:name="_Hlk125411071"/>
      <w:r w:rsidRPr="003B4362">
        <w:rPr>
          <w:rFonts w:eastAsia="Calibri"/>
          <w:szCs w:val="24"/>
        </w:rPr>
        <w:t>implementing the</w:t>
      </w:r>
      <w:r w:rsidR="00665C04" w:rsidRPr="003B4362">
        <w:rPr>
          <w:rFonts w:eastAsia="Calibri"/>
          <w:szCs w:val="24"/>
        </w:rPr>
        <w:t xml:space="preserve"> </w:t>
      </w:r>
      <w:r w:rsidRPr="003B4362">
        <w:rPr>
          <w:rFonts w:eastAsia="Calibri"/>
          <w:szCs w:val="24"/>
        </w:rPr>
        <w:t xml:space="preserve">option </w:t>
      </w:r>
      <w:r w:rsidR="00665C04" w:rsidRPr="003B4362">
        <w:rPr>
          <w:rFonts w:eastAsia="Calibri"/>
          <w:szCs w:val="24"/>
        </w:rPr>
        <w:t>of</w:t>
      </w:r>
      <w:r w:rsidRPr="003B4362">
        <w:rPr>
          <w:rFonts w:eastAsia="Calibri"/>
          <w:szCs w:val="24"/>
        </w:rPr>
        <w:t xml:space="preserve"> replac</w:t>
      </w:r>
      <w:r w:rsidR="00665C04" w:rsidRPr="003B4362">
        <w:rPr>
          <w:rFonts w:eastAsia="Calibri"/>
          <w:szCs w:val="24"/>
        </w:rPr>
        <w:t>ing</w:t>
      </w:r>
      <w:r w:rsidRPr="003B4362">
        <w:rPr>
          <w:rFonts w:eastAsia="Calibri"/>
          <w:szCs w:val="24"/>
        </w:rPr>
        <w:t xml:space="preserve"> all lead-bearing plumbing</w:t>
      </w:r>
      <w:bookmarkEnd w:id="3035"/>
      <w:r w:rsidRPr="003B4362">
        <w:rPr>
          <w:rFonts w:eastAsia="Calibri"/>
          <w:szCs w:val="24"/>
        </w:rPr>
        <w:t xml:space="preserve"> under Section </w:t>
      </w:r>
      <w:r w:rsidR="00665C04" w:rsidRPr="003B4362">
        <w:rPr>
          <w:rFonts w:eastAsia="Calibri"/>
          <w:szCs w:val="24"/>
        </w:rPr>
        <w:t>611.36</w:t>
      </w:r>
      <w:r w:rsidRPr="003B4362">
        <w:rPr>
          <w:rFonts w:eastAsia="Calibri"/>
          <w:szCs w:val="24"/>
        </w:rPr>
        <w:t xml:space="preserve">3(a)(4) </w:t>
      </w:r>
      <w:bookmarkStart w:id="3036" w:name="_Hlk125411250"/>
      <w:bookmarkStart w:id="3037" w:name="_Hlk125411714"/>
      <w:r w:rsidRPr="003B4362">
        <w:rPr>
          <w:rFonts w:eastAsia="Calibri"/>
          <w:szCs w:val="24"/>
        </w:rPr>
        <w:t>must certif</w:t>
      </w:r>
      <w:r w:rsidR="00D41D4D" w:rsidRPr="003B4362">
        <w:rPr>
          <w:rFonts w:eastAsia="Calibri"/>
          <w:szCs w:val="24"/>
        </w:rPr>
        <w:t>y</w:t>
      </w:r>
      <w:r w:rsidRPr="003B4362">
        <w:rPr>
          <w:rFonts w:eastAsia="Calibri"/>
          <w:szCs w:val="24"/>
        </w:rPr>
        <w:t xml:space="preserve"> to the </w:t>
      </w:r>
      <w:bookmarkEnd w:id="3036"/>
      <w:r w:rsidR="00D41D4D" w:rsidRPr="003B4362">
        <w:rPr>
          <w:rFonts w:eastAsia="Calibri"/>
          <w:szCs w:val="24"/>
        </w:rPr>
        <w:t>Agency</w:t>
      </w:r>
      <w:bookmarkEnd w:id="3037"/>
      <w:r w:rsidRPr="003B4362">
        <w:rPr>
          <w:rFonts w:eastAsia="Calibri"/>
          <w:szCs w:val="24"/>
        </w:rPr>
        <w:t xml:space="preserve"> that </w:t>
      </w:r>
      <w:bookmarkStart w:id="3038" w:name="_Hlk125411804"/>
      <w:r w:rsidR="00D41D4D" w:rsidRPr="003B4362">
        <w:rPr>
          <w:rFonts w:eastAsia="Calibri"/>
          <w:szCs w:val="24"/>
        </w:rPr>
        <w:t xml:space="preserve">the supplier replaced </w:t>
      </w:r>
      <w:r w:rsidRPr="003B4362">
        <w:rPr>
          <w:rFonts w:eastAsia="Calibri"/>
          <w:szCs w:val="24"/>
        </w:rPr>
        <w:t>all lead-bearing material</w:t>
      </w:r>
      <w:bookmarkEnd w:id="3038"/>
      <w:r w:rsidR="00D41D4D" w:rsidRPr="003B4362">
        <w:rPr>
          <w:rFonts w:eastAsia="Calibri"/>
          <w:szCs w:val="24"/>
        </w:rPr>
        <w:t xml:space="preserve"> </w:t>
      </w:r>
      <w:r w:rsidRPr="003B4362">
        <w:rPr>
          <w:rFonts w:eastAsia="Calibri"/>
          <w:szCs w:val="24"/>
        </w:rPr>
        <w:t xml:space="preserve">on </w:t>
      </w:r>
      <w:bookmarkStart w:id="3039" w:name="_Hlk125411874"/>
      <w:r w:rsidRPr="003B4362">
        <w:rPr>
          <w:rFonts w:eastAsia="Calibri"/>
          <w:szCs w:val="24"/>
        </w:rPr>
        <w:t xml:space="preserve">the schedule the </w:t>
      </w:r>
      <w:r w:rsidR="00D41D4D" w:rsidRPr="003B4362">
        <w:rPr>
          <w:rFonts w:eastAsia="Calibri"/>
          <w:szCs w:val="24"/>
        </w:rPr>
        <w:t>Agency establishes in a SEP</w:t>
      </w:r>
      <w:bookmarkEnd w:id="3039"/>
      <w:r w:rsidR="008B5FA5" w:rsidRPr="003B4362">
        <w:rPr>
          <w:rFonts w:eastAsia="Calibri"/>
          <w:szCs w:val="24"/>
        </w:rPr>
        <w:t xml:space="preserve"> </w:t>
      </w:r>
      <w:bookmarkStart w:id="3040" w:name="_Hlk125412043"/>
      <w:r w:rsidRPr="003B4362">
        <w:rPr>
          <w:rFonts w:eastAsia="Calibri"/>
          <w:szCs w:val="24"/>
        </w:rPr>
        <w:t xml:space="preserve">within one year </w:t>
      </w:r>
      <w:r w:rsidR="008B5FA5" w:rsidRPr="003B4362">
        <w:rPr>
          <w:rFonts w:eastAsia="Calibri"/>
          <w:szCs w:val="24"/>
        </w:rPr>
        <w:t>after</w:t>
      </w:r>
      <w:r w:rsidRPr="003B4362">
        <w:rPr>
          <w:rFonts w:eastAsia="Calibri"/>
          <w:szCs w:val="24"/>
        </w:rPr>
        <w:t xml:space="preserve"> designat</w:t>
      </w:r>
      <w:r w:rsidR="008B5FA5" w:rsidRPr="003B4362">
        <w:rPr>
          <w:rFonts w:eastAsia="Calibri"/>
          <w:szCs w:val="24"/>
        </w:rPr>
        <w:t>ing</w:t>
      </w:r>
      <w:r w:rsidRPr="003B4362">
        <w:rPr>
          <w:rFonts w:eastAsia="Calibri"/>
          <w:szCs w:val="24"/>
        </w:rPr>
        <w:t xml:space="preserve"> the option</w:t>
      </w:r>
      <w:bookmarkEnd w:id="3040"/>
      <w:r w:rsidRPr="003B4362">
        <w:rPr>
          <w:rFonts w:eastAsia="Calibri"/>
          <w:szCs w:val="24"/>
        </w:rPr>
        <w:t xml:space="preserve"> under Section </w:t>
      </w:r>
      <w:r w:rsidR="00665C04" w:rsidRPr="003B4362">
        <w:rPr>
          <w:rFonts w:eastAsia="Calibri"/>
          <w:szCs w:val="24"/>
        </w:rPr>
        <w:t>611.36</w:t>
      </w:r>
      <w:r w:rsidRPr="003B4362">
        <w:rPr>
          <w:rFonts w:eastAsia="Calibri"/>
          <w:szCs w:val="24"/>
        </w:rPr>
        <w:t>3(a)(4).</w:t>
      </w:r>
    </w:p>
    <w:p w14:paraId="3CADA28A" w14:textId="304BE7D8" w:rsidR="005451CE" w:rsidRPr="003B4362" w:rsidRDefault="005451CE" w:rsidP="005451CE">
      <w:pPr>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141.90.</w:t>
      </w:r>
    </w:p>
    <w:p w14:paraId="6C4167D0" w14:textId="1F81B471"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2438950B" w14:textId="77777777" w:rsidR="005451CE" w:rsidRPr="003B4362" w:rsidRDefault="005451CE" w:rsidP="004519CE">
      <w:pPr>
        <w:rPr>
          <w:rFonts w:eastAsia="Calibri"/>
          <w:b/>
          <w:bCs/>
        </w:rPr>
      </w:pPr>
      <w:r w:rsidRPr="003B4362">
        <w:rPr>
          <w:rFonts w:eastAsia="Calibri"/>
          <w:b/>
          <w:bCs/>
        </w:rPr>
        <w:t>Section 611.361  Recordkeeping</w:t>
      </w:r>
    </w:p>
    <w:p w14:paraId="29BA91DA" w14:textId="14016639" w:rsidR="005451CE" w:rsidRPr="003B4362" w:rsidRDefault="005451CE" w:rsidP="005451CE">
      <w:pPr>
        <w:suppressAutoHyphens/>
        <w:spacing w:before="240" w:after="240"/>
        <w:rPr>
          <w:rFonts w:eastAsia="Calibri"/>
        </w:rPr>
      </w:pPr>
      <w:r w:rsidRPr="003B4362">
        <w:rPr>
          <w:rFonts w:eastAsia="Calibri"/>
        </w:rPr>
        <w:t xml:space="preserve">Any supplier </w:t>
      </w:r>
      <w:bookmarkStart w:id="3041" w:name="_Hlk115363510"/>
      <w:r w:rsidRPr="003B4362">
        <w:rPr>
          <w:rFonts w:eastAsia="Calibri"/>
        </w:rPr>
        <w:t>subject to this Subpart G</w:t>
      </w:r>
      <w:bookmarkEnd w:id="3041"/>
      <w:r w:rsidRPr="003B4362">
        <w:rPr>
          <w:rFonts w:eastAsia="Calibri"/>
        </w:rPr>
        <w:t xml:space="preserve"> must retain original records of all sampling data and analyses, reports, surveys, letters, evaluations, schedules, Agency determinations, and any other </w:t>
      </w:r>
      <w:bookmarkStart w:id="3042" w:name="_Hlk115363705"/>
      <w:r w:rsidRPr="003B4362">
        <w:rPr>
          <w:rFonts w:eastAsia="Calibri"/>
        </w:rPr>
        <w:t xml:space="preserve">information Sections 611.351 through </w:t>
      </w:r>
      <w:r w:rsidR="000217F5" w:rsidRPr="003B4362">
        <w:rPr>
          <w:rFonts w:eastAsia="Calibri"/>
          <w:szCs w:val="24"/>
        </w:rPr>
        <w:t>611.36</w:t>
      </w:r>
      <w:r w:rsidR="000217F5" w:rsidRPr="003B4362">
        <w:rPr>
          <w:szCs w:val="24"/>
        </w:rPr>
        <w:t xml:space="preserve">0, </w:t>
      </w:r>
      <w:r w:rsidR="000217F5" w:rsidRPr="003B4362">
        <w:rPr>
          <w:rFonts w:eastAsia="Calibri"/>
          <w:szCs w:val="24"/>
        </w:rPr>
        <w:t>611.36</w:t>
      </w:r>
      <w:r w:rsidR="000217F5" w:rsidRPr="003B4362">
        <w:rPr>
          <w:szCs w:val="24"/>
        </w:rPr>
        <w:t xml:space="preserve">2, and </w:t>
      </w:r>
      <w:r w:rsidR="000217F5" w:rsidRPr="003B4362">
        <w:rPr>
          <w:rFonts w:eastAsia="Calibri"/>
          <w:szCs w:val="24"/>
        </w:rPr>
        <w:t>611.36</w:t>
      </w:r>
      <w:r w:rsidR="000217F5" w:rsidRPr="003B4362">
        <w:rPr>
          <w:szCs w:val="24"/>
        </w:rPr>
        <w:t>3</w:t>
      </w:r>
      <w:r w:rsidR="000217F5" w:rsidRPr="003B4362">
        <w:rPr>
          <w:rFonts w:eastAsia="Calibri"/>
        </w:rPr>
        <w:t xml:space="preserve"> require</w:t>
      </w:r>
      <w:bookmarkEnd w:id="3042"/>
      <w:r w:rsidRPr="003B4362">
        <w:rPr>
          <w:rFonts w:eastAsia="Calibri"/>
        </w:rPr>
        <w:t>.  Each supplier must retain the records this Section requires on its premises for at least 12 years.</w:t>
      </w:r>
    </w:p>
    <w:p w14:paraId="757A1D47" w14:textId="71077180" w:rsidR="005451CE" w:rsidRPr="003B4362" w:rsidRDefault="005451CE" w:rsidP="005451CE">
      <w:pPr>
        <w:suppressAutoHyphens/>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141.91.</w:t>
      </w:r>
    </w:p>
    <w:p w14:paraId="68C218C3" w14:textId="2ACFBF7C" w:rsidR="005451CE" w:rsidRPr="003B4362" w:rsidRDefault="005451CE"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540BBE48" w14:textId="2EB1CD4D" w:rsidR="008B5FA5" w:rsidRPr="003B4362" w:rsidRDefault="008B5FA5" w:rsidP="00A854E0">
      <w:pPr>
        <w:rPr>
          <w:rFonts w:eastAsia="Calibri"/>
          <w:b/>
          <w:bCs/>
        </w:rPr>
      </w:pPr>
      <w:r w:rsidRPr="003B4362">
        <w:rPr>
          <w:rFonts w:eastAsia="Calibri"/>
          <w:b/>
          <w:bCs/>
        </w:rPr>
        <w:t xml:space="preserve">Section </w:t>
      </w:r>
      <w:r w:rsidR="00817055" w:rsidRPr="003B4362">
        <w:rPr>
          <w:rFonts w:eastAsia="Calibri"/>
          <w:b/>
          <w:bCs/>
        </w:rPr>
        <w:t>61</w:t>
      </w:r>
      <w:r w:rsidRPr="003B4362">
        <w:rPr>
          <w:rFonts w:eastAsia="Calibri"/>
          <w:b/>
          <w:bCs/>
        </w:rPr>
        <w:t>1.</w:t>
      </w:r>
      <w:r w:rsidR="00817055" w:rsidRPr="003B4362">
        <w:rPr>
          <w:rFonts w:eastAsia="Calibri"/>
          <w:b/>
          <w:bCs/>
        </w:rPr>
        <w:t>36</w:t>
      </w:r>
      <w:r w:rsidRPr="003B4362">
        <w:rPr>
          <w:rFonts w:eastAsia="Calibri"/>
          <w:b/>
          <w:bCs/>
        </w:rPr>
        <w:t xml:space="preserve">2 </w:t>
      </w:r>
      <w:r w:rsidR="00817055" w:rsidRPr="003B4362">
        <w:rPr>
          <w:rFonts w:eastAsia="Calibri"/>
          <w:b/>
          <w:bCs/>
        </w:rPr>
        <w:t xml:space="preserve"> </w:t>
      </w:r>
      <w:bookmarkStart w:id="3043" w:name="_Hlk125566366"/>
      <w:r w:rsidRPr="003B4362">
        <w:rPr>
          <w:rFonts w:eastAsia="Calibri"/>
          <w:b/>
          <w:bCs/>
        </w:rPr>
        <w:t xml:space="preserve">Monitoring for </w:t>
      </w:r>
      <w:r w:rsidR="00817055" w:rsidRPr="003B4362">
        <w:rPr>
          <w:rFonts w:eastAsia="Calibri"/>
          <w:b/>
          <w:bCs/>
        </w:rPr>
        <w:t>L</w:t>
      </w:r>
      <w:r w:rsidRPr="003B4362">
        <w:rPr>
          <w:rFonts w:eastAsia="Calibri"/>
          <w:b/>
          <w:bCs/>
        </w:rPr>
        <w:t xml:space="preserve">ead in </w:t>
      </w:r>
      <w:r w:rsidR="00817055" w:rsidRPr="003B4362">
        <w:rPr>
          <w:rFonts w:eastAsia="Calibri"/>
          <w:b/>
          <w:bCs/>
        </w:rPr>
        <w:t>S</w:t>
      </w:r>
      <w:r w:rsidRPr="003B4362">
        <w:rPr>
          <w:rFonts w:eastAsia="Calibri"/>
          <w:b/>
          <w:bCs/>
        </w:rPr>
        <w:t xml:space="preserve">chools and </w:t>
      </w:r>
      <w:r w:rsidR="00817055" w:rsidRPr="003B4362">
        <w:rPr>
          <w:rFonts w:eastAsia="Calibri"/>
          <w:b/>
          <w:bCs/>
        </w:rPr>
        <w:t>C</w:t>
      </w:r>
      <w:r w:rsidRPr="003B4362">
        <w:rPr>
          <w:rFonts w:eastAsia="Calibri"/>
          <w:b/>
          <w:bCs/>
        </w:rPr>
        <w:t xml:space="preserve">hild </w:t>
      </w:r>
      <w:r w:rsidR="00817055" w:rsidRPr="003B4362">
        <w:rPr>
          <w:rFonts w:eastAsia="Calibri"/>
          <w:b/>
          <w:bCs/>
        </w:rPr>
        <w:t>C</w:t>
      </w:r>
      <w:r w:rsidRPr="003B4362">
        <w:rPr>
          <w:rFonts w:eastAsia="Calibri"/>
          <w:b/>
          <w:bCs/>
        </w:rPr>
        <w:t xml:space="preserve">are </w:t>
      </w:r>
      <w:r w:rsidR="00817055" w:rsidRPr="003B4362">
        <w:rPr>
          <w:rFonts w:eastAsia="Calibri"/>
          <w:b/>
          <w:bCs/>
        </w:rPr>
        <w:t>F</w:t>
      </w:r>
      <w:r w:rsidRPr="003B4362">
        <w:rPr>
          <w:rFonts w:eastAsia="Calibri"/>
          <w:b/>
          <w:bCs/>
        </w:rPr>
        <w:t>acilities</w:t>
      </w:r>
      <w:bookmarkEnd w:id="3043"/>
    </w:p>
    <w:p w14:paraId="270D202A" w14:textId="77777777" w:rsidR="00A854E0" w:rsidRDefault="00A854E0" w:rsidP="00A854E0">
      <w:pPr>
        <w:autoSpaceDE w:val="0"/>
        <w:autoSpaceDN w:val="0"/>
        <w:adjustRightInd w:val="0"/>
        <w:rPr>
          <w:rFonts w:eastAsia="Calibri"/>
          <w:szCs w:val="24"/>
        </w:rPr>
      </w:pPr>
    </w:p>
    <w:p w14:paraId="618FBA2E" w14:textId="7ADDB8F2" w:rsidR="008B5FA5" w:rsidRPr="003B4362" w:rsidRDefault="008B5FA5" w:rsidP="00A854E0">
      <w:pPr>
        <w:autoSpaceDE w:val="0"/>
        <w:autoSpaceDN w:val="0"/>
        <w:adjustRightInd w:val="0"/>
        <w:rPr>
          <w:rFonts w:eastAsia="Calibri"/>
          <w:szCs w:val="24"/>
        </w:rPr>
      </w:pPr>
      <w:r w:rsidRPr="003B4362">
        <w:rPr>
          <w:rFonts w:eastAsia="Calibri"/>
          <w:szCs w:val="24"/>
        </w:rPr>
        <w:t>A</w:t>
      </w:r>
      <w:r w:rsidR="007C3403" w:rsidRPr="003B4362">
        <w:rPr>
          <w:rFonts w:eastAsia="Calibri"/>
          <w:szCs w:val="24"/>
        </w:rPr>
        <w:t xml:space="preserve"> CWS supplier</w:t>
      </w:r>
      <w:r w:rsidRPr="003B4362">
        <w:rPr>
          <w:rFonts w:eastAsia="Calibri"/>
          <w:szCs w:val="24"/>
        </w:rPr>
        <w:t xml:space="preserve"> must conduct directed public education and lead monitoring </w:t>
      </w:r>
      <w:bookmarkStart w:id="3044" w:name="_Hlk125459037"/>
      <w:r w:rsidRPr="003B4362">
        <w:rPr>
          <w:rFonts w:eastAsia="Calibri"/>
          <w:szCs w:val="24"/>
        </w:rPr>
        <w:t>at th</w:t>
      </w:r>
      <w:r w:rsidR="00D7292C" w:rsidRPr="003B4362">
        <w:rPr>
          <w:rFonts w:eastAsia="Calibri"/>
          <w:szCs w:val="24"/>
        </w:rPr>
        <w:t>os</w:t>
      </w:r>
      <w:r w:rsidRPr="003B4362">
        <w:rPr>
          <w:rFonts w:eastAsia="Calibri"/>
          <w:szCs w:val="24"/>
        </w:rPr>
        <w:t xml:space="preserve">e schools and child care facilities </w:t>
      </w:r>
      <w:r w:rsidR="00D7292C" w:rsidRPr="003B4362">
        <w:rPr>
          <w:rFonts w:eastAsia="Calibri"/>
          <w:szCs w:val="24"/>
        </w:rPr>
        <w:t>it</w:t>
      </w:r>
      <w:r w:rsidRPr="003B4362">
        <w:rPr>
          <w:rFonts w:eastAsia="Calibri"/>
          <w:szCs w:val="24"/>
        </w:rPr>
        <w:t xml:space="preserve"> serve</w:t>
      </w:r>
      <w:r w:rsidR="00D7292C" w:rsidRPr="003B4362">
        <w:rPr>
          <w:rFonts w:eastAsia="Calibri"/>
          <w:szCs w:val="24"/>
        </w:rPr>
        <w:t>s</w:t>
      </w:r>
      <w:r w:rsidRPr="003B4362">
        <w:rPr>
          <w:rFonts w:eastAsia="Calibri"/>
          <w:szCs w:val="24"/>
        </w:rPr>
        <w:t xml:space="preserve"> th</w:t>
      </w:r>
      <w:r w:rsidR="00D7292C" w:rsidRPr="003B4362">
        <w:rPr>
          <w:rFonts w:eastAsia="Calibri"/>
          <w:szCs w:val="24"/>
        </w:rPr>
        <w:t>at</w:t>
      </w:r>
      <w:r w:rsidRPr="003B4362">
        <w:rPr>
          <w:rFonts w:eastAsia="Calibri"/>
          <w:szCs w:val="24"/>
        </w:rPr>
        <w:t xml:space="preserve"> were constructed prior to January 1, 2014</w:t>
      </w:r>
      <w:bookmarkEnd w:id="3044"/>
      <w:r w:rsidRPr="003B4362">
        <w:rPr>
          <w:rFonts w:eastAsia="Calibri"/>
          <w:szCs w:val="24"/>
        </w:rPr>
        <w:t xml:space="preserve">.  </w:t>
      </w:r>
      <w:r w:rsidR="001C09BA" w:rsidRPr="003B4362">
        <w:rPr>
          <w:rFonts w:eastAsia="Calibri"/>
          <w:szCs w:val="24"/>
        </w:rPr>
        <w:t>A supplier</w:t>
      </w:r>
      <w:r w:rsidRPr="003B4362">
        <w:rPr>
          <w:rFonts w:eastAsia="Calibri"/>
          <w:szCs w:val="24"/>
        </w:rPr>
        <w:t xml:space="preserve"> must </w:t>
      </w:r>
      <w:bookmarkStart w:id="3045" w:name="_Hlk125463098"/>
      <w:r w:rsidR="00716069" w:rsidRPr="003B4362">
        <w:rPr>
          <w:rFonts w:eastAsia="Calibri"/>
          <w:szCs w:val="24"/>
        </w:rPr>
        <w:t>s</w:t>
      </w:r>
      <w:bookmarkStart w:id="3046" w:name="_Hlk125463237"/>
      <w:r w:rsidR="00716069" w:rsidRPr="003B4362">
        <w:rPr>
          <w:rFonts w:eastAsia="Calibri"/>
          <w:szCs w:val="24"/>
        </w:rPr>
        <w:t>ample for</w:t>
      </w:r>
      <w:r w:rsidRPr="003B4362">
        <w:rPr>
          <w:rFonts w:eastAsia="Calibri"/>
          <w:szCs w:val="24"/>
        </w:rPr>
        <w:t xml:space="preserve"> lead</w:t>
      </w:r>
      <w:bookmarkEnd w:id="3045"/>
      <w:bookmarkEnd w:id="3046"/>
      <w:r w:rsidR="00716069" w:rsidRPr="003B4362">
        <w:rPr>
          <w:rFonts w:eastAsia="Calibri"/>
          <w:szCs w:val="24"/>
        </w:rPr>
        <w:t xml:space="preserve"> </w:t>
      </w:r>
      <w:r w:rsidRPr="003B4362">
        <w:rPr>
          <w:rFonts w:eastAsia="Calibri"/>
          <w:szCs w:val="24"/>
        </w:rPr>
        <w:t xml:space="preserve">at elementary schools and child care facilities </w:t>
      </w:r>
      <w:r w:rsidR="00443DDE" w:rsidRPr="003B4362">
        <w:rPr>
          <w:rFonts w:eastAsia="Calibri"/>
          <w:szCs w:val="24"/>
        </w:rPr>
        <w:t xml:space="preserve">it </w:t>
      </w:r>
      <w:r w:rsidRPr="003B4362">
        <w:rPr>
          <w:rFonts w:eastAsia="Calibri"/>
          <w:szCs w:val="24"/>
        </w:rPr>
        <w:t>serve</w:t>
      </w:r>
      <w:r w:rsidR="00443DDE" w:rsidRPr="003B4362">
        <w:rPr>
          <w:rFonts w:eastAsia="Calibri"/>
          <w:szCs w:val="24"/>
        </w:rPr>
        <w:t>s</w:t>
      </w:r>
      <w:r w:rsidRPr="003B4362">
        <w:rPr>
          <w:rFonts w:eastAsia="Calibri"/>
          <w:szCs w:val="24"/>
        </w:rPr>
        <w:t xml:space="preserve"> once </w:t>
      </w:r>
      <w:bookmarkStart w:id="3047" w:name="_Hlk125462899"/>
      <w:r w:rsidRPr="003B4362">
        <w:rPr>
          <w:rFonts w:eastAsia="Calibri"/>
          <w:szCs w:val="24"/>
        </w:rPr>
        <w:t xml:space="preserve">and </w:t>
      </w:r>
      <w:r w:rsidR="001C09BA" w:rsidRPr="003B4362">
        <w:rPr>
          <w:rFonts w:eastAsia="Calibri"/>
          <w:szCs w:val="24"/>
        </w:rPr>
        <w:t xml:space="preserve">afterwards </w:t>
      </w:r>
      <w:r w:rsidRPr="003B4362">
        <w:rPr>
          <w:rFonts w:eastAsia="Calibri"/>
          <w:szCs w:val="24"/>
        </w:rPr>
        <w:t xml:space="preserve">on request of the </w:t>
      </w:r>
      <w:r w:rsidR="001C09BA" w:rsidRPr="003B4362">
        <w:rPr>
          <w:rFonts w:eastAsia="Calibri"/>
          <w:szCs w:val="24"/>
        </w:rPr>
        <w:t xml:space="preserve">school or </w:t>
      </w:r>
      <w:r w:rsidRPr="003B4362">
        <w:rPr>
          <w:rFonts w:eastAsia="Calibri"/>
          <w:szCs w:val="24"/>
        </w:rPr>
        <w:t>facility</w:t>
      </w:r>
      <w:bookmarkEnd w:id="3047"/>
      <w:r w:rsidRPr="003B4362">
        <w:rPr>
          <w:rFonts w:eastAsia="Calibri"/>
          <w:szCs w:val="24"/>
        </w:rPr>
        <w:t xml:space="preserve">.  </w:t>
      </w:r>
      <w:bookmarkStart w:id="3048" w:name="_Hlk125462929"/>
      <w:r w:rsidR="001C09BA" w:rsidRPr="003B4362">
        <w:rPr>
          <w:rFonts w:eastAsia="Calibri"/>
          <w:szCs w:val="24"/>
        </w:rPr>
        <w:t>The supplier</w:t>
      </w:r>
      <w:r w:rsidRPr="003B4362">
        <w:rPr>
          <w:rFonts w:eastAsia="Calibri"/>
          <w:szCs w:val="24"/>
        </w:rPr>
        <w:t xml:space="preserve"> </w:t>
      </w:r>
      <w:bookmarkEnd w:id="3048"/>
      <w:r w:rsidR="001C09BA" w:rsidRPr="003B4362">
        <w:rPr>
          <w:rFonts w:eastAsia="Calibri"/>
          <w:szCs w:val="24"/>
        </w:rPr>
        <w:t>must</w:t>
      </w:r>
      <w:r w:rsidRPr="003B4362">
        <w:rPr>
          <w:rFonts w:eastAsia="Calibri"/>
          <w:szCs w:val="24"/>
        </w:rPr>
        <w:t xml:space="preserve"> also </w:t>
      </w:r>
      <w:r w:rsidR="00716069" w:rsidRPr="003B4362">
        <w:rPr>
          <w:rFonts w:eastAsia="Calibri"/>
          <w:szCs w:val="24"/>
        </w:rPr>
        <w:t xml:space="preserve">sample for lead </w:t>
      </w:r>
      <w:r w:rsidRPr="003B4362">
        <w:rPr>
          <w:rFonts w:eastAsia="Calibri"/>
          <w:szCs w:val="24"/>
        </w:rPr>
        <w:t xml:space="preserve">at secondary schools </w:t>
      </w:r>
      <w:r w:rsidR="00716069" w:rsidRPr="003B4362">
        <w:rPr>
          <w:rFonts w:eastAsia="Calibri"/>
          <w:szCs w:val="24"/>
        </w:rPr>
        <w:t>it</w:t>
      </w:r>
      <w:r w:rsidRPr="003B4362">
        <w:rPr>
          <w:rFonts w:eastAsia="Calibri"/>
          <w:szCs w:val="24"/>
        </w:rPr>
        <w:t xml:space="preserve"> serve</w:t>
      </w:r>
      <w:r w:rsidR="00716069" w:rsidRPr="003B4362">
        <w:rPr>
          <w:rFonts w:eastAsia="Calibri"/>
          <w:szCs w:val="24"/>
        </w:rPr>
        <w:t>s</w:t>
      </w:r>
      <w:r w:rsidRPr="003B4362">
        <w:rPr>
          <w:rFonts w:eastAsia="Calibri"/>
          <w:szCs w:val="24"/>
        </w:rPr>
        <w:t xml:space="preserve"> on request.  T</w:t>
      </w:r>
      <w:bookmarkStart w:id="3049" w:name="_Hlk125463517"/>
      <w:r w:rsidRPr="003B4362">
        <w:rPr>
          <w:rFonts w:eastAsia="Calibri"/>
          <w:szCs w:val="24"/>
        </w:rPr>
        <w:t xml:space="preserve">his </w:t>
      </w:r>
      <w:r w:rsidR="00716069" w:rsidRPr="003B4362">
        <w:rPr>
          <w:rFonts w:eastAsia="Calibri"/>
          <w:szCs w:val="24"/>
        </w:rPr>
        <w:t>S</w:t>
      </w:r>
      <w:r w:rsidRPr="003B4362">
        <w:rPr>
          <w:rFonts w:eastAsia="Calibri"/>
          <w:szCs w:val="24"/>
        </w:rPr>
        <w:t>ection do</w:t>
      </w:r>
      <w:r w:rsidR="00716069" w:rsidRPr="003B4362">
        <w:rPr>
          <w:rFonts w:eastAsia="Calibri"/>
          <w:szCs w:val="24"/>
        </w:rPr>
        <w:t>es</w:t>
      </w:r>
      <w:r w:rsidRPr="003B4362">
        <w:rPr>
          <w:rFonts w:eastAsia="Calibri"/>
          <w:szCs w:val="24"/>
        </w:rPr>
        <w:t xml:space="preserve"> not apply</w:t>
      </w:r>
      <w:bookmarkEnd w:id="3049"/>
      <w:r w:rsidRPr="003B4362">
        <w:rPr>
          <w:rFonts w:eastAsia="Calibri"/>
          <w:szCs w:val="24"/>
        </w:rPr>
        <w:t xml:space="preserve"> to a school or child care facility </w:t>
      </w:r>
      <w:bookmarkStart w:id="3050" w:name="_Hlk125463640"/>
      <w:bookmarkStart w:id="3051" w:name="_Hlk125463785"/>
      <w:r w:rsidRPr="003B4362">
        <w:rPr>
          <w:rFonts w:eastAsia="Calibri"/>
          <w:szCs w:val="24"/>
        </w:rPr>
        <w:t xml:space="preserve">that is </w:t>
      </w:r>
      <w:r w:rsidR="00501B80" w:rsidRPr="003B4362">
        <w:rPr>
          <w:rFonts w:eastAsia="Calibri"/>
          <w:szCs w:val="24"/>
        </w:rPr>
        <w:t xml:space="preserve">a </w:t>
      </w:r>
      <w:r w:rsidRPr="003B4362">
        <w:rPr>
          <w:rFonts w:eastAsia="Calibri"/>
          <w:szCs w:val="24"/>
        </w:rPr>
        <w:t xml:space="preserve">regulated </w:t>
      </w:r>
      <w:bookmarkEnd w:id="3050"/>
      <w:r w:rsidR="00501B80" w:rsidRPr="003B4362">
        <w:rPr>
          <w:rFonts w:eastAsia="Calibri"/>
          <w:szCs w:val="24"/>
        </w:rPr>
        <w:t>PWS</w:t>
      </w:r>
      <w:bookmarkEnd w:id="3051"/>
      <w:r w:rsidRPr="003B4362">
        <w:rPr>
          <w:rFonts w:eastAsia="Calibri"/>
          <w:szCs w:val="24"/>
        </w:rPr>
        <w:t>.  T</w:t>
      </w:r>
      <w:bookmarkStart w:id="3052" w:name="_Hlk125464665"/>
      <w:bookmarkStart w:id="3053" w:name="_Hlk125464768"/>
      <w:r w:rsidRPr="003B4362">
        <w:rPr>
          <w:rFonts w:eastAsia="Calibri"/>
          <w:szCs w:val="24"/>
        </w:rPr>
        <w:t>h</w:t>
      </w:r>
      <w:r w:rsidR="002756EF" w:rsidRPr="003B4362">
        <w:rPr>
          <w:rFonts w:eastAsia="Calibri"/>
          <w:szCs w:val="24"/>
        </w:rPr>
        <w:t>is</w:t>
      </w:r>
      <w:r w:rsidRPr="003B4362">
        <w:rPr>
          <w:rFonts w:eastAsia="Calibri"/>
          <w:szCs w:val="24"/>
        </w:rPr>
        <w:t xml:space="preserve"> subsection (a) </w:t>
      </w:r>
      <w:bookmarkEnd w:id="3052"/>
      <w:r w:rsidR="002756EF" w:rsidRPr="003B4362">
        <w:rPr>
          <w:rFonts w:eastAsia="Calibri"/>
          <w:szCs w:val="24"/>
        </w:rPr>
        <w:t>applies</w:t>
      </w:r>
      <w:bookmarkEnd w:id="3053"/>
      <w:r w:rsidRPr="003B4362">
        <w:rPr>
          <w:rFonts w:eastAsia="Calibri"/>
          <w:szCs w:val="24"/>
        </w:rPr>
        <w:t xml:space="preserve"> until </w:t>
      </w:r>
      <w:bookmarkStart w:id="3054" w:name="_Hlk125464863"/>
      <w:bookmarkStart w:id="3055" w:name="_Hlk125465006"/>
      <w:r w:rsidR="002756EF" w:rsidRPr="003B4362">
        <w:rPr>
          <w:rFonts w:eastAsia="Calibri"/>
          <w:szCs w:val="24"/>
        </w:rPr>
        <w:t>the</w:t>
      </w:r>
      <w:r w:rsidRPr="003B4362">
        <w:rPr>
          <w:rFonts w:eastAsia="Calibri"/>
          <w:szCs w:val="24"/>
        </w:rPr>
        <w:t xml:space="preserve"> </w:t>
      </w:r>
      <w:bookmarkEnd w:id="3054"/>
      <w:r w:rsidR="002756EF" w:rsidRPr="003B4362">
        <w:rPr>
          <w:rFonts w:eastAsia="Calibri"/>
          <w:szCs w:val="24"/>
        </w:rPr>
        <w:t>supplier</w:t>
      </w:r>
      <w:r w:rsidRPr="003B4362">
        <w:rPr>
          <w:rFonts w:eastAsia="Calibri"/>
          <w:szCs w:val="24"/>
        </w:rPr>
        <w:t xml:space="preserve"> samples all the elementary schools and child care facilities </w:t>
      </w:r>
      <w:r w:rsidR="002756EF" w:rsidRPr="003B4362">
        <w:rPr>
          <w:rFonts w:eastAsia="Calibri"/>
          <w:szCs w:val="24"/>
        </w:rPr>
        <w:t>it</w:t>
      </w:r>
      <w:r w:rsidRPr="003B4362">
        <w:rPr>
          <w:rFonts w:eastAsia="Calibri"/>
          <w:szCs w:val="24"/>
        </w:rPr>
        <w:t xml:space="preserve"> serve</w:t>
      </w:r>
      <w:r w:rsidR="002756EF" w:rsidRPr="003B4362">
        <w:rPr>
          <w:rFonts w:eastAsia="Calibri"/>
          <w:szCs w:val="24"/>
        </w:rPr>
        <w:t>s</w:t>
      </w:r>
      <w:bookmarkEnd w:id="3055"/>
      <w:r w:rsidRPr="003B4362">
        <w:rPr>
          <w:rFonts w:eastAsia="Calibri"/>
          <w:szCs w:val="24"/>
        </w:rPr>
        <w:t xml:space="preserve"> once </w:t>
      </w:r>
      <w:bookmarkStart w:id="3056" w:name="_Hlk125467399"/>
      <w:r w:rsidR="00CE5399" w:rsidRPr="003B4362">
        <w:rPr>
          <w:rFonts w:eastAsia="Calibri"/>
          <w:szCs w:val="24"/>
        </w:rPr>
        <w:t>under</w:t>
      </w:r>
      <w:r w:rsidRPr="003B4362">
        <w:rPr>
          <w:rFonts w:eastAsia="Calibri"/>
          <w:szCs w:val="24"/>
        </w:rPr>
        <w:t xml:space="preserve"> subsection (c)</w:t>
      </w:r>
      <w:bookmarkEnd w:id="3056"/>
      <w:r w:rsidRPr="003B4362">
        <w:rPr>
          <w:rFonts w:eastAsia="Calibri"/>
          <w:szCs w:val="24"/>
        </w:rPr>
        <w:t xml:space="preserve">.  </w:t>
      </w:r>
      <w:bookmarkStart w:id="3057" w:name="_Hlk125467535"/>
      <w:r w:rsidR="00CE5399" w:rsidRPr="003B4362">
        <w:rPr>
          <w:rFonts w:eastAsia="Calibri"/>
          <w:szCs w:val="24"/>
        </w:rPr>
        <w:t>A</w:t>
      </w:r>
      <w:bookmarkStart w:id="3058" w:name="_Hlk125467626"/>
      <w:r w:rsidR="00CE5399" w:rsidRPr="003B4362">
        <w:rPr>
          <w:rFonts w:eastAsia="Calibri"/>
          <w:szCs w:val="24"/>
        </w:rPr>
        <w:t>fter sampling all elementary schools and child care facilities</w:t>
      </w:r>
      <w:r w:rsidRPr="003B4362">
        <w:rPr>
          <w:rFonts w:eastAsia="Calibri"/>
          <w:szCs w:val="24"/>
        </w:rPr>
        <w:t xml:space="preserve">, </w:t>
      </w:r>
      <w:r w:rsidR="00CE5399" w:rsidRPr="003B4362">
        <w:rPr>
          <w:rFonts w:eastAsia="Calibri"/>
          <w:szCs w:val="24"/>
        </w:rPr>
        <w:t>the supplier</w:t>
      </w:r>
      <w:r w:rsidRPr="003B4362">
        <w:rPr>
          <w:rFonts w:eastAsia="Calibri"/>
          <w:szCs w:val="24"/>
        </w:rPr>
        <w:t xml:space="preserve"> </w:t>
      </w:r>
      <w:bookmarkEnd w:id="3057"/>
      <w:r w:rsidR="00CE5399" w:rsidRPr="003B4362">
        <w:rPr>
          <w:rFonts w:eastAsia="Calibri"/>
          <w:szCs w:val="24"/>
        </w:rPr>
        <w:t>must</w:t>
      </w:r>
      <w:bookmarkEnd w:id="3058"/>
      <w:r w:rsidRPr="003B4362">
        <w:rPr>
          <w:rFonts w:eastAsia="Calibri"/>
          <w:szCs w:val="24"/>
        </w:rPr>
        <w:t xml:space="preserve"> </w:t>
      </w:r>
      <w:bookmarkStart w:id="3059" w:name="_Hlk125467659"/>
      <w:r w:rsidR="00CE5399" w:rsidRPr="003B4362">
        <w:rPr>
          <w:rFonts w:eastAsia="Calibri"/>
          <w:szCs w:val="24"/>
        </w:rPr>
        <w:t>comply with</w:t>
      </w:r>
      <w:r w:rsidRPr="003B4362">
        <w:rPr>
          <w:rFonts w:eastAsia="Calibri"/>
          <w:szCs w:val="24"/>
        </w:rPr>
        <w:t xml:space="preserve"> subsection (g)</w:t>
      </w:r>
      <w:bookmarkEnd w:id="3059"/>
      <w:r w:rsidRPr="003B4362">
        <w:rPr>
          <w:rFonts w:eastAsia="Calibri"/>
          <w:szCs w:val="24"/>
        </w:rPr>
        <w:t>.</w:t>
      </w:r>
    </w:p>
    <w:p w14:paraId="0020FC66" w14:textId="77777777" w:rsidR="00A854E0" w:rsidRDefault="00A854E0" w:rsidP="00A854E0">
      <w:pPr>
        <w:autoSpaceDE w:val="0"/>
        <w:autoSpaceDN w:val="0"/>
        <w:adjustRightInd w:val="0"/>
        <w:ind w:left="1440" w:hanging="720"/>
        <w:rPr>
          <w:rFonts w:eastAsia="Calibri"/>
          <w:szCs w:val="24"/>
        </w:rPr>
      </w:pPr>
    </w:p>
    <w:p w14:paraId="61E6515F" w14:textId="3D97B5A9"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a)</w:t>
      </w:r>
      <w:r w:rsidRPr="003B4362">
        <w:rPr>
          <w:rFonts w:eastAsia="Calibri"/>
          <w:szCs w:val="24"/>
        </w:rPr>
        <w:tab/>
      </w:r>
      <w:bookmarkStart w:id="3060" w:name="_Hlk125471740"/>
      <w:r w:rsidRPr="003B4362">
        <w:rPr>
          <w:rFonts w:eastAsia="Calibri"/>
          <w:szCs w:val="24"/>
        </w:rPr>
        <w:t xml:space="preserve">Public </w:t>
      </w:r>
      <w:r w:rsidR="006F218C" w:rsidRPr="003B4362">
        <w:rPr>
          <w:rFonts w:eastAsia="Calibri"/>
          <w:szCs w:val="24"/>
        </w:rPr>
        <w:t>E</w:t>
      </w:r>
      <w:r w:rsidRPr="003B4362">
        <w:rPr>
          <w:rFonts w:eastAsia="Calibri"/>
          <w:szCs w:val="24"/>
        </w:rPr>
        <w:t xml:space="preserve">ducation to </w:t>
      </w:r>
      <w:r w:rsidR="006F218C" w:rsidRPr="003B4362">
        <w:rPr>
          <w:rFonts w:eastAsia="Calibri"/>
          <w:szCs w:val="24"/>
        </w:rPr>
        <w:t>S</w:t>
      </w:r>
      <w:r w:rsidRPr="003B4362">
        <w:rPr>
          <w:rFonts w:eastAsia="Calibri"/>
          <w:szCs w:val="24"/>
        </w:rPr>
        <w:t xml:space="preserve">chools and </w:t>
      </w:r>
      <w:r w:rsidR="006F218C" w:rsidRPr="003B4362">
        <w:rPr>
          <w:rFonts w:eastAsia="Calibri"/>
          <w:szCs w:val="24"/>
        </w:rPr>
        <w:t>C</w:t>
      </w:r>
      <w:r w:rsidRPr="003B4362">
        <w:rPr>
          <w:rFonts w:eastAsia="Calibri"/>
          <w:szCs w:val="24"/>
        </w:rPr>
        <w:t xml:space="preserve">hild </w:t>
      </w:r>
      <w:r w:rsidR="006F218C" w:rsidRPr="003B4362">
        <w:rPr>
          <w:rFonts w:eastAsia="Calibri"/>
          <w:szCs w:val="24"/>
        </w:rPr>
        <w:t>C</w:t>
      </w:r>
      <w:r w:rsidRPr="003B4362">
        <w:rPr>
          <w:rFonts w:eastAsia="Calibri"/>
          <w:szCs w:val="24"/>
        </w:rPr>
        <w:t xml:space="preserve">are </w:t>
      </w:r>
      <w:r w:rsidR="006F218C" w:rsidRPr="003B4362">
        <w:rPr>
          <w:rFonts w:eastAsia="Calibri"/>
          <w:szCs w:val="24"/>
        </w:rPr>
        <w:t>F</w:t>
      </w:r>
      <w:r w:rsidRPr="003B4362">
        <w:rPr>
          <w:rFonts w:eastAsia="Calibri"/>
          <w:szCs w:val="24"/>
        </w:rPr>
        <w:t>acilities</w:t>
      </w:r>
      <w:bookmarkEnd w:id="3060"/>
    </w:p>
    <w:p w14:paraId="14521353" w14:textId="77777777" w:rsidR="00A854E0" w:rsidRDefault="00A854E0" w:rsidP="00A854E0">
      <w:pPr>
        <w:autoSpaceDE w:val="0"/>
        <w:autoSpaceDN w:val="0"/>
        <w:adjustRightInd w:val="0"/>
        <w:ind w:left="2160" w:hanging="720"/>
        <w:rPr>
          <w:rFonts w:eastAsia="Calibri"/>
          <w:szCs w:val="24"/>
        </w:rPr>
      </w:pPr>
    </w:p>
    <w:p w14:paraId="5BCCA178" w14:textId="0C7F8D08"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1)</w:t>
      </w:r>
      <w:r w:rsidRPr="003B4362">
        <w:rPr>
          <w:rFonts w:eastAsia="Calibri"/>
          <w:szCs w:val="24"/>
        </w:rPr>
        <w:tab/>
      </w:r>
      <w:r w:rsidR="006F218C" w:rsidRPr="003B4362">
        <w:rPr>
          <w:rFonts w:eastAsia="Calibri"/>
          <w:szCs w:val="24"/>
        </w:rPr>
        <w:t>B</w:t>
      </w:r>
      <w:bookmarkStart w:id="3061" w:name="_Hlk125472200"/>
      <w:r w:rsidR="006F218C" w:rsidRPr="003B4362">
        <w:rPr>
          <w:rFonts w:eastAsia="Calibri"/>
          <w:szCs w:val="24"/>
        </w:rPr>
        <w:t>efore</w:t>
      </w:r>
      <w:r w:rsidRPr="003B4362">
        <w:rPr>
          <w:rFonts w:eastAsia="Calibri"/>
          <w:szCs w:val="24"/>
        </w:rPr>
        <w:t xml:space="preserve"> the compliance date</w:t>
      </w:r>
      <w:r w:rsidR="006F218C" w:rsidRPr="003B4362">
        <w:rPr>
          <w:rFonts w:eastAsia="Calibri"/>
          <w:szCs w:val="24"/>
        </w:rPr>
        <w:t xml:space="preserve"> </w:t>
      </w:r>
      <w:r w:rsidRPr="003B4362">
        <w:rPr>
          <w:rFonts w:eastAsia="Calibri"/>
          <w:szCs w:val="24"/>
        </w:rPr>
        <w:t xml:space="preserve">Section </w:t>
      </w:r>
      <w:r w:rsidR="00FD5847" w:rsidRPr="003B4362">
        <w:rPr>
          <w:rFonts w:eastAsia="Calibri"/>
          <w:szCs w:val="24"/>
        </w:rPr>
        <w:t>61</w:t>
      </w:r>
      <w:r w:rsidRPr="003B4362">
        <w:rPr>
          <w:rFonts w:eastAsia="Calibri"/>
          <w:szCs w:val="24"/>
        </w:rPr>
        <w:t>1.</w:t>
      </w:r>
      <w:r w:rsidR="00A868D8" w:rsidRPr="003B4362">
        <w:rPr>
          <w:rFonts w:eastAsia="Calibri"/>
          <w:szCs w:val="24"/>
        </w:rPr>
        <w:t>35</w:t>
      </w:r>
      <w:r w:rsidRPr="003B4362">
        <w:rPr>
          <w:rFonts w:eastAsia="Calibri"/>
          <w:szCs w:val="24"/>
        </w:rPr>
        <w:t>0(a)(3)</w:t>
      </w:r>
      <w:r w:rsidR="006F218C" w:rsidRPr="003B4362">
        <w:rPr>
          <w:rFonts w:eastAsia="Calibri"/>
          <w:szCs w:val="24"/>
        </w:rPr>
        <w:t xml:space="preserve"> specifies</w:t>
      </w:r>
      <w:bookmarkEnd w:id="3061"/>
      <w:r w:rsidRPr="003B4362">
        <w:rPr>
          <w:rFonts w:eastAsia="Calibri"/>
          <w:szCs w:val="24"/>
        </w:rPr>
        <w:t xml:space="preserve">, </w:t>
      </w:r>
      <w:bookmarkStart w:id="3062" w:name="_Hlk125472241"/>
      <w:bookmarkStart w:id="3063" w:name="_Hlk125472285"/>
      <w:r w:rsidR="00FD5847" w:rsidRPr="003B4362">
        <w:rPr>
          <w:rFonts w:eastAsia="Calibri"/>
          <w:szCs w:val="24"/>
        </w:rPr>
        <w:t>a</w:t>
      </w:r>
      <w:r w:rsidRPr="003B4362">
        <w:rPr>
          <w:rFonts w:eastAsia="Calibri"/>
          <w:szCs w:val="24"/>
        </w:rPr>
        <w:t xml:space="preserve"> </w:t>
      </w:r>
      <w:bookmarkEnd w:id="3062"/>
      <w:r w:rsidR="00FD5847" w:rsidRPr="003B4362">
        <w:rPr>
          <w:rFonts w:eastAsia="Calibri"/>
          <w:szCs w:val="24"/>
        </w:rPr>
        <w:t>supplier</w:t>
      </w:r>
      <w:bookmarkEnd w:id="3063"/>
      <w:r w:rsidRPr="003B4362">
        <w:rPr>
          <w:rFonts w:eastAsia="Calibri"/>
          <w:szCs w:val="24"/>
        </w:rPr>
        <w:t xml:space="preserve"> must compile a list of schools and child care </w:t>
      </w:r>
      <w:bookmarkStart w:id="3064" w:name="_Hlk125473042"/>
      <w:r w:rsidRPr="003B4362">
        <w:rPr>
          <w:rFonts w:eastAsia="Calibri"/>
          <w:szCs w:val="24"/>
        </w:rPr>
        <w:t xml:space="preserve">facilities </w:t>
      </w:r>
      <w:r w:rsidR="00A868D8" w:rsidRPr="003B4362">
        <w:rPr>
          <w:rFonts w:eastAsia="Calibri"/>
          <w:szCs w:val="24"/>
        </w:rPr>
        <w:t xml:space="preserve">the supplier </w:t>
      </w:r>
      <w:r w:rsidRPr="003B4362">
        <w:rPr>
          <w:rFonts w:eastAsia="Calibri"/>
          <w:szCs w:val="24"/>
        </w:rPr>
        <w:t>serve</w:t>
      </w:r>
      <w:r w:rsidR="00A868D8" w:rsidRPr="003B4362">
        <w:rPr>
          <w:rFonts w:eastAsia="Calibri"/>
          <w:szCs w:val="24"/>
        </w:rPr>
        <w:t>s</w:t>
      </w:r>
      <w:bookmarkEnd w:id="3064"/>
      <w:r w:rsidRPr="003B4362">
        <w:rPr>
          <w:rFonts w:eastAsia="Calibri"/>
          <w:szCs w:val="24"/>
        </w:rPr>
        <w:t>.</w:t>
      </w:r>
    </w:p>
    <w:p w14:paraId="67777D9E" w14:textId="77777777" w:rsidR="00A854E0" w:rsidRDefault="00A854E0" w:rsidP="00A854E0">
      <w:pPr>
        <w:autoSpaceDE w:val="0"/>
        <w:autoSpaceDN w:val="0"/>
        <w:adjustRightInd w:val="0"/>
        <w:ind w:left="2160" w:hanging="720"/>
        <w:rPr>
          <w:rFonts w:eastAsia="Calibri"/>
          <w:szCs w:val="24"/>
        </w:rPr>
      </w:pPr>
    </w:p>
    <w:p w14:paraId="545B7161" w14:textId="2BBC0779"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r>
      <w:r w:rsidR="00A868D8" w:rsidRPr="003B4362">
        <w:rPr>
          <w:rFonts w:eastAsia="Calibri"/>
          <w:szCs w:val="24"/>
        </w:rPr>
        <w:t>A</w:t>
      </w:r>
      <w:r w:rsidRPr="003B4362">
        <w:rPr>
          <w:rFonts w:eastAsia="Calibri"/>
          <w:szCs w:val="24"/>
        </w:rPr>
        <w:t xml:space="preserve"> </w:t>
      </w:r>
      <w:r w:rsidR="00A868D8" w:rsidRPr="003B4362">
        <w:rPr>
          <w:rFonts w:eastAsia="Calibri"/>
          <w:szCs w:val="24"/>
        </w:rPr>
        <w:t>supplier</w:t>
      </w:r>
      <w:r w:rsidRPr="003B4362">
        <w:rPr>
          <w:rFonts w:eastAsia="Calibri"/>
          <w:szCs w:val="24"/>
        </w:rPr>
        <w:t xml:space="preserve"> must contact elementary schools and child care </w:t>
      </w:r>
      <w:bookmarkStart w:id="3065" w:name="_Hlk125473622"/>
      <w:r w:rsidRPr="003B4362">
        <w:rPr>
          <w:rFonts w:eastAsia="Calibri"/>
          <w:szCs w:val="24"/>
        </w:rPr>
        <w:t xml:space="preserve">facilities </w:t>
      </w:r>
      <w:r w:rsidR="001A56D3" w:rsidRPr="003B4362">
        <w:rPr>
          <w:rFonts w:eastAsia="Calibri"/>
          <w:szCs w:val="24"/>
        </w:rPr>
        <w:t xml:space="preserve">the supplier </w:t>
      </w:r>
      <w:r w:rsidR="004268CC" w:rsidRPr="003B4362">
        <w:rPr>
          <w:rFonts w:eastAsia="Calibri"/>
          <w:szCs w:val="24"/>
        </w:rPr>
        <w:t>list</w:t>
      </w:r>
      <w:r w:rsidRPr="003B4362">
        <w:rPr>
          <w:rFonts w:eastAsia="Calibri"/>
          <w:szCs w:val="24"/>
        </w:rPr>
        <w:t xml:space="preserve">ed </w:t>
      </w:r>
      <w:r w:rsidR="001A56D3" w:rsidRPr="003B4362">
        <w:rPr>
          <w:rFonts w:eastAsia="Calibri"/>
          <w:szCs w:val="24"/>
        </w:rPr>
        <w:t>under</w:t>
      </w:r>
      <w:r w:rsidRPr="003B4362">
        <w:rPr>
          <w:rFonts w:eastAsia="Calibri"/>
          <w:szCs w:val="24"/>
        </w:rPr>
        <w:t xml:space="preserve"> subsection (a)(1)</w:t>
      </w:r>
      <w:bookmarkEnd w:id="3065"/>
      <w:r w:rsidRPr="003B4362">
        <w:rPr>
          <w:rFonts w:eastAsia="Calibri"/>
          <w:szCs w:val="24"/>
        </w:rPr>
        <w:t>:</w:t>
      </w:r>
    </w:p>
    <w:p w14:paraId="1AB45368" w14:textId="77777777" w:rsidR="00A854E0" w:rsidRDefault="00A854E0" w:rsidP="00A854E0">
      <w:pPr>
        <w:autoSpaceDE w:val="0"/>
        <w:autoSpaceDN w:val="0"/>
        <w:adjustRightInd w:val="0"/>
        <w:ind w:left="2880" w:hanging="720"/>
        <w:rPr>
          <w:rFonts w:eastAsia="Calibri"/>
          <w:szCs w:val="24"/>
        </w:rPr>
      </w:pPr>
    </w:p>
    <w:p w14:paraId="53196895" w14:textId="6E1AF19F"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lastRenderedPageBreak/>
        <w:t>A)</w:t>
      </w:r>
      <w:r w:rsidRPr="003B4362">
        <w:rPr>
          <w:rFonts w:eastAsia="Calibri"/>
          <w:szCs w:val="24"/>
        </w:rPr>
        <w:tab/>
      </w:r>
      <w:r w:rsidR="00ED760F" w:rsidRPr="003B4362">
        <w:rPr>
          <w:rFonts w:eastAsia="Calibri"/>
          <w:szCs w:val="24"/>
        </w:rPr>
        <w:t>T</w:t>
      </w:r>
      <w:bookmarkStart w:id="3066" w:name="_Hlk125483389"/>
      <w:r w:rsidR="00ED760F" w:rsidRPr="003B4362">
        <w:rPr>
          <w:rFonts w:eastAsia="Calibri"/>
          <w:szCs w:val="24"/>
        </w:rPr>
        <w:t xml:space="preserve">he supplier must annually or more frequently provide </w:t>
      </w:r>
      <w:bookmarkStart w:id="3067" w:name="_Hlk125483139"/>
      <w:r w:rsidR="00ED760F" w:rsidRPr="003B4362">
        <w:rPr>
          <w:rFonts w:eastAsia="Calibri"/>
          <w:szCs w:val="24"/>
        </w:rPr>
        <w:t>i</w:t>
      </w:r>
      <w:r w:rsidRPr="003B4362">
        <w:rPr>
          <w:rFonts w:eastAsia="Calibri"/>
          <w:szCs w:val="24"/>
        </w:rPr>
        <w:t>nformation about health risks from lead in drinking water</w:t>
      </w:r>
      <w:bookmarkEnd w:id="3066"/>
      <w:r w:rsidRPr="003B4362">
        <w:rPr>
          <w:rFonts w:eastAsia="Calibri"/>
          <w:szCs w:val="24"/>
        </w:rPr>
        <w:t xml:space="preserve"> </w:t>
      </w:r>
      <w:bookmarkStart w:id="3068" w:name="_Hlk125483549"/>
      <w:bookmarkEnd w:id="3067"/>
      <w:r w:rsidR="005312DD" w:rsidRPr="003B4362">
        <w:rPr>
          <w:rFonts w:eastAsia="Calibri"/>
          <w:szCs w:val="24"/>
        </w:rPr>
        <w:t>that c</w:t>
      </w:r>
      <w:r w:rsidR="00ED760F" w:rsidRPr="003B4362">
        <w:rPr>
          <w:rFonts w:eastAsia="Calibri"/>
          <w:szCs w:val="24"/>
        </w:rPr>
        <w:t>omp</w:t>
      </w:r>
      <w:r w:rsidR="005312DD" w:rsidRPr="003B4362">
        <w:rPr>
          <w:rFonts w:eastAsia="Calibri"/>
          <w:szCs w:val="24"/>
        </w:rPr>
        <w:t>lies</w:t>
      </w:r>
      <w:r w:rsidR="00ED760F" w:rsidRPr="003B4362">
        <w:rPr>
          <w:rFonts w:eastAsia="Calibri"/>
          <w:szCs w:val="24"/>
        </w:rPr>
        <w:t xml:space="preserve"> with</w:t>
      </w:r>
      <w:r w:rsidRPr="003B4362">
        <w:rPr>
          <w:rFonts w:eastAsia="Calibri"/>
          <w:szCs w:val="24"/>
        </w:rPr>
        <w:t xml:space="preserve"> Section </w:t>
      </w:r>
      <w:r w:rsidR="00D2743D" w:rsidRPr="003B4362">
        <w:rPr>
          <w:rFonts w:eastAsia="Calibri"/>
          <w:szCs w:val="24"/>
        </w:rPr>
        <w:t>611.35</w:t>
      </w:r>
      <w:r w:rsidRPr="003B4362">
        <w:rPr>
          <w:rFonts w:eastAsia="Calibri"/>
          <w:szCs w:val="24"/>
        </w:rPr>
        <w:t>5(a)</w:t>
      </w:r>
      <w:bookmarkEnd w:id="3068"/>
      <w:r w:rsidRPr="003B4362">
        <w:rPr>
          <w:rFonts w:eastAsia="Calibri"/>
          <w:szCs w:val="24"/>
        </w:rPr>
        <w:t>;</w:t>
      </w:r>
    </w:p>
    <w:p w14:paraId="2C90EB57" w14:textId="77777777" w:rsidR="00A854E0" w:rsidRDefault="00A854E0" w:rsidP="00A854E0">
      <w:pPr>
        <w:autoSpaceDE w:val="0"/>
        <w:autoSpaceDN w:val="0"/>
        <w:adjustRightInd w:val="0"/>
        <w:ind w:left="2880" w:hanging="720"/>
        <w:rPr>
          <w:rFonts w:eastAsia="Calibri"/>
          <w:szCs w:val="24"/>
        </w:rPr>
      </w:pPr>
    </w:p>
    <w:p w14:paraId="10CE0DE0" w14:textId="12F06CF7"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B)</w:t>
      </w:r>
      <w:r w:rsidRPr="003B4362">
        <w:rPr>
          <w:rFonts w:eastAsia="Calibri"/>
          <w:szCs w:val="24"/>
        </w:rPr>
        <w:tab/>
        <w:t>N</w:t>
      </w:r>
      <w:bookmarkStart w:id="3069" w:name="_Hlk125488082"/>
      <w:r w:rsidRPr="003B4362">
        <w:rPr>
          <w:rFonts w:eastAsia="Calibri"/>
          <w:szCs w:val="24"/>
        </w:rPr>
        <w:t>oti</w:t>
      </w:r>
      <w:r w:rsidR="005312DD" w:rsidRPr="003B4362">
        <w:rPr>
          <w:rFonts w:eastAsia="Calibri"/>
          <w:szCs w:val="24"/>
        </w:rPr>
        <w:t>ce</w:t>
      </w:r>
      <w:r w:rsidRPr="003B4362">
        <w:rPr>
          <w:rFonts w:eastAsia="Calibri"/>
          <w:szCs w:val="24"/>
        </w:rPr>
        <w:t xml:space="preserve"> that the </w:t>
      </w:r>
      <w:r w:rsidR="005312DD" w:rsidRPr="003B4362">
        <w:rPr>
          <w:rFonts w:eastAsia="Calibri"/>
          <w:szCs w:val="24"/>
        </w:rPr>
        <w:t>supplier must</w:t>
      </w:r>
      <w:r w:rsidRPr="003B4362">
        <w:rPr>
          <w:rFonts w:eastAsia="Calibri"/>
          <w:szCs w:val="24"/>
        </w:rPr>
        <w:t xml:space="preserve"> sample</w:t>
      </w:r>
      <w:bookmarkEnd w:id="3069"/>
      <w:r w:rsidRPr="003B4362">
        <w:rPr>
          <w:rFonts w:eastAsia="Calibri"/>
          <w:szCs w:val="24"/>
        </w:rPr>
        <w:t xml:space="preserve"> for lead at elementary schools and child care facilities, including</w:t>
      </w:r>
      <w:r w:rsidR="005312DD" w:rsidRPr="003B4362">
        <w:rPr>
          <w:rFonts w:eastAsia="Calibri"/>
          <w:szCs w:val="24"/>
        </w:rPr>
        <w:t xml:space="preserve"> certain information</w:t>
      </w:r>
      <w:r w:rsidRPr="003B4362">
        <w:rPr>
          <w:rFonts w:eastAsia="Calibri"/>
          <w:szCs w:val="24"/>
        </w:rPr>
        <w:t>:</w:t>
      </w:r>
    </w:p>
    <w:p w14:paraId="19DB33F8" w14:textId="77777777" w:rsidR="00A854E0" w:rsidRDefault="00A854E0" w:rsidP="00A854E0">
      <w:pPr>
        <w:autoSpaceDE w:val="0"/>
        <w:autoSpaceDN w:val="0"/>
        <w:adjustRightInd w:val="0"/>
        <w:ind w:left="3600" w:hanging="720"/>
        <w:rPr>
          <w:rFonts w:eastAsia="Calibri"/>
          <w:szCs w:val="24"/>
        </w:rPr>
      </w:pPr>
    </w:p>
    <w:p w14:paraId="4BF6F383" w14:textId="4EA13781"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w:t>
      </w:r>
      <w:r w:rsidRPr="003B4362">
        <w:rPr>
          <w:rFonts w:eastAsia="Calibri"/>
          <w:szCs w:val="24"/>
        </w:rPr>
        <w:tab/>
        <w:t>A proposed schedule for sampling at the facility;</w:t>
      </w:r>
    </w:p>
    <w:p w14:paraId="15ACDA3A" w14:textId="77777777" w:rsidR="00A854E0" w:rsidRDefault="00A854E0" w:rsidP="00A854E0">
      <w:pPr>
        <w:autoSpaceDE w:val="0"/>
        <w:autoSpaceDN w:val="0"/>
        <w:adjustRightInd w:val="0"/>
        <w:ind w:left="3600" w:hanging="720"/>
        <w:rPr>
          <w:rFonts w:eastAsia="Calibri"/>
          <w:szCs w:val="24"/>
        </w:rPr>
      </w:pPr>
    </w:p>
    <w:p w14:paraId="5BE8B7B6" w14:textId="09657E59"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ii)</w:t>
      </w:r>
      <w:r w:rsidRPr="003B4362">
        <w:rPr>
          <w:rFonts w:eastAsia="Calibri"/>
          <w:szCs w:val="24"/>
        </w:rPr>
        <w:tab/>
        <w:t>Information about sampling for lead in schools and child care facilities; and</w:t>
      </w:r>
    </w:p>
    <w:p w14:paraId="669C0834" w14:textId="77777777" w:rsidR="00A854E0" w:rsidRDefault="00A854E0" w:rsidP="00A854E0">
      <w:pPr>
        <w:autoSpaceDE w:val="0"/>
        <w:autoSpaceDN w:val="0"/>
        <w:adjustRightInd w:val="0"/>
        <w:ind w:left="3600"/>
        <w:rPr>
          <w:rFonts w:eastAsia="Calibri"/>
          <w:szCs w:val="24"/>
        </w:rPr>
      </w:pPr>
    </w:p>
    <w:p w14:paraId="6B60E1C2" w14:textId="233C97E6" w:rsidR="00430E78" w:rsidRPr="003B4362" w:rsidRDefault="00430E78" w:rsidP="00A854E0">
      <w:pPr>
        <w:autoSpaceDE w:val="0"/>
        <w:autoSpaceDN w:val="0"/>
        <w:adjustRightInd w:val="0"/>
        <w:ind w:left="3600"/>
        <w:rPr>
          <w:rFonts w:eastAsia="Calibri"/>
          <w:szCs w:val="24"/>
        </w:rPr>
      </w:pPr>
      <w:r w:rsidRPr="003B4362">
        <w:rPr>
          <w:rFonts w:eastAsia="Calibri"/>
          <w:szCs w:val="24"/>
        </w:rPr>
        <w:t xml:space="preserve">BOARD NOTE:  USEPA </w:t>
      </w:r>
      <w:r w:rsidR="00353C89" w:rsidRPr="003B4362">
        <w:rPr>
          <w:rFonts w:eastAsia="Calibri"/>
          <w:szCs w:val="24"/>
        </w:rPr>
        <w:t>has</w:t>
      </w:r>
      <w:r w:rsidRPr="003B4362">
        <w:rPr>
          <w:rFonts w:eastAsia="Calibri"/>
          <w:szCs w:val="24"/>
        </w:rPr>
        <w:t xml:space="preserve"> guidance available from USEPA, National Center for Environmental Publications:  </w:t>
      </w:r>
      <w:r w:rsidR="003E221D" w:rsidRPr="003B4362">
        <w:rPr>
          <w:rFonts w:eastAsia="Calibri"/>
          <w:szCs w:val="24"/>
        </w:rPr>
        <w:t>“</w:t>
      </w:r>
      <w:r w:rsidRPr="003B4362">
        <w:rPr>
          <w:rFonts w:eastAsia="Calibri"/>
          <w:szCs w:val="24"/>
        </w:rPr>
        <w:t>3Ts for Reducing Lead in Drinking Water in Schools and Child Care Facilities</w:t>
      </w:r>
      <w:r w:rsidR="003E221D" w:rsidRPr="003B4362">
        <w:rPr>
          <w:rFonts w:eastAsia="Calibri"/>
          <w:szCs w:val="24"/>
        </w:rPr>
        <w:t>:  A Training, Testing, and Taking Action Approach, Revised Manual” (October 2018), USEPA, Office of Water, doc. no. EPA 815-B-18-007 (search:  “815B18007”) and “U.S. EPA 3Ts Program Training, Testing &amp; Taking Action:  Lead Sample Collection Field Guide for Schools and Child Care Facilities” (July 2022), USEPA, Office of Water, doc. no. EPA 815</w:t>
      </w:r>
      <w:r w:rsidR="00353C89" w:rsidRPr="003B4362">
        <w:rPr>
          <w:rFonts w:eastAsia="Calibri"/>
          <w:szCs w:val="24"/>
        </w:rPr>
        <w:t>-F-22-009 (search:  “815F22009”)</w:t>
      </w:r>
      <w:r w:rsidR="00050AF4" w:rsidRPr="003B4362">
        <w:rPr>
          <w:rFonts w:eastAsia="Calibri"/>
          <w:szCs w:val="24"/>
        </w:rPr>
        <w:t xml:space="preserve"> or subsequent EPA guidance</w:t>
      </w:r>
      <w:r w:rsidR="00353C89" w:rsidRPr="003B4362">
        <w:rPr>
          <w:rFonts w:eastAsia="Calibri"/>
          <w:szCs w:val="24"/>
        </w:rPr>
        <w:t>.</w:t>
      </w:r>
    </w:p>
    <w:p w14:paraId="3CBB2FFC" w14:textId="77777777" w:rsidR="00A854E0" w:rsidRDefault="00A854E0" w:rsidP="00A854E0">
      <w:pPr>
        <w:autoSpaceDE w:val="0"/>
        <w:autoSpaceDN w:val="0"/>
        <w:adjustRightInd w:val="0"/>
        <w:ind w:left="3600" w:hanging="720"/>
        <w:rPr>
          <w:rFonts w:eastAsia="Calibri"/>
          <w:szCs w:val="24"/>
        </w:rPr>
      </w:pPr>
    </w:p>
    <w:p w14:paraId="09DCBA21" w14:textId="0AF38ED5"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iii)</w:t>
      </w:r>
      <w:r w:rsidRPr="003B4362">
        <w:rPr>
          <w:rFonts w:eastAsia="Calibri"/>
          <w:szCs w:val="24"/>
        </w:rPr>
        <w:tab/>
        <w:t xml:space="preserve">Instructions for identifying </w:t>
      </w:r>
      <w:bookmarkStart w:id="3070" w:name="_Hlk125491915"/>
      <w:bookmarkStart w:id="3071" w:name="_Hlk125491807"/>
      <w:r w:rsidR="0048586D" w:rsidRPr="003B4362">
        <w:rPr>
          <w:rFonts w:eastAsia="Calibri"/>
          <w:szCs w:val="24"/>
        </w:rPr>
        <w:t xml:space="preserve">sampling </w:t>
      </w:r>
      <w:r w:rsidRPr="003B4362">
        <w:rPr>
          <w:rFonts w:eastAsia="Calibri"/>
          <w:szCs w:val="24"/>
        </w:rPr>
        <w:t>outlets</w:t>
      </w:r>
      <w:bookmarkEnd w:id="3070"/>
      <w:r w:rsidRPr="003B4362">
        <w:rPr>
          <w:rFonts w:eastAsia="Calibri"/>
          <w:szCs w:val="24"/>
        </w:rPr>
        <w:t xml:space="preserve"> </w:t>
      </w:r>
      <w:bookmarkEnd w:id="3071"/>
      <w:r w:rsidRPr="003B4362">
        <w:rPr>
          <w:rFonts w:eastAsia="Calibri"/>
          <w:szCs w:val="24"/>
        </w:rPr>
        <w:t>and preparing for a sampling event 30 days prior to the event.</w:t>
      </w:r>
    </w:p>
    <w:p w14:paraId="715AD8ED" w14:textId="77777777" w:rsidR="00A854E0" w:rsidRDefault="00A854E0" w:rsidP="00A854E0">
      <w:pPr>
        <w:autoSpaceDE w:val="0"/>
        <w:autoSpaceDN w:val="0"/>
        <w:adjustRightInd w:val="0"/>
        <w:ind w:left="2160" w:hanging="720"/>
        <w:rPr>
          <w:rFonts w:eastAsia="Calibri"/>
          <w:szCs w:val="24"/>
        </w:rPr>
      </w:pPr>
    </w:p>
    <w:p w14:paraId="73DD44E0" w14:textId="742CAFA2"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3)</w:t>
      </w:r>
      <w:r w:rsidRPr="003B4362">
        <w:rPr>
          <w:rFonts w:eastAsia="Calibri"/>
          <w:szCs w:val="24"/>
        </w:rPr>
        <w:tab/>
        <w:t xml:space="preserve">The </w:t>
      </w:r>
      <w:r w:rsidR="0048586D" w:rsidRPr="003B4362">
        <w:rPr>
          <w:rFonts w:eastAsia="Calibri"/>
          <w:szCs w:val="24"/>
        </w:rPr>
        <w:t>supplier</w:t>
      </w:r>
      <w:bookmarkStart w:id="3072" w:name="_Hlk125492303"/>
      <w:r w:rsidRPr="003B4362">
        <w:rPr>
          <w:rFonts w:eastAsia="Calibri"/>
          <w:szCs w:val="24"/>
        </w:rPr>
        <w:t xml:space="preserve"> must </w:t>
      </w:r>
      <w:r w:rsidR="0048586D" w:rsidRPr="003B4362">
        <w:rPr>
          <w:rFonts w:eastAsia="Calibri"/>
          <w:szCs w:val="24"/>
        </w:rPr>
        <w:t>document</w:t>
      </w:r>
      <w:r w:rsidRPr="003B4362">
        <w:rPr>
          <w:rFonts w:eastAsia="Calibri"/>
          <w:szCs w:val="24"/>
        </w:rPr>
        <w:t xml:space="preserve"> </w:t>
      </w:r>
      <w:r w:rsidR="0048586D" w:rsidRPr="003B4362">
        <w:rPr>
          <w:rFonts w:eastAsia="Calibri"/>
          <w:szCs w:val="24"/>
        </w:rPr>
        <w:t>under</w:t>
      </w:r>
      <w:r w:rsidRPr="003B4362">
        <w:rPr>
          <w:rFonts w:eastAsia="Calibri"/>
          <w:szCs w:val="24"/>
        </w:rPr>
        <w:t xml:space="preserve"> Section </w:t>
      </w:r>
      <w:r w:rsidR="0048586D" w:rsidRPr="003B4362">
        <w:rPr>
          <w:rFonts w:eastAsia="Calibri"/>
          <w:szCs w:val="24"/>
        </w:rPr>
        <w:t>61</w:t>
      </w:r>
      <w:r w:rsidRPr="003B4362">
        <w:rPr>
          <w:rFonts w:eastAsia="Calibri"/>
          <w:szCs w:val="24"/>
        </w:rPr>
        <w:t>1.</w:t>
      </w:r>
      <w:r w:rsidR="00212635" w:rsidRPr="003B4362">
        <w:rPr>
          <w:rFonts w:eastAsia="Calibri"/>
          <w:szCs w:val="24"/>
        </w:rPr>
        <w:t>36</w:t>
      </w:r>
      <w:r w:rsidRPr="003B4362">
        <w:rPr>
          <w:rFonts w:eastAsia="Calibri"/>
          <w:szCs w:val="24"/>
        </w:rPr>
        <w:t>0(i)</w:t>
      </w:r>
      <w:bookmarkEnd w:id="3072"/>
      <w:r w:rsidRPr="003B4362">
        <w:rPr>
          <w:rFonts w:eastAsia="Calibri"/>
          <w:szCs w:val="24"/>
        </w:rPr>
        <w:t xml:space="preserve"> if an elementary school or child care facility </w:t>
      </w:r>
      <w:bookmarkStart w:id="3073" w:name="_Hlk125492843"/>
      <w:r w:rsidR="00212635" w:rsidRPr="003B4362">
        <w:rPr>
          <w:rFonts w:eastAsia="Calibri"/>
          <w:szCs w:val="24"/>
        </w:rPr>
        <w:t>fails to respond</w:t>
      </w:r>
      <w:bookmarkEnd w:id="3073"/>
      <w:r w:rsidRPr="003B4362">
        <w:rPr>
          <w:rFonts w:eastAsia="Calibri"/>
          <w:szCs w:val="24"/>
        </w:rPr>
        <w:t xml:space="preserve"> or otherwise declines to </w:t>
      </w:r>
      <w:bookmarkStart w:id="3074" w:name="_Hlk125492553"/>
      <w:r w:rsidRPr="003B4362">
        <w:rPr>
          <w:rFonts w:eastAsia="Calibri"/>
          <w:szCs w:val="24"/>
        </w:rPr>
        <w:t>participate in</w:t>
      </w:r>
      <w:r w:rsidR="00212635" w:rsidRPr="003B4362">
        <w:rPr>
          <w:rFonts w:eastAsia="Calibri"/>
          <w:szCs w:val="24"/>
        </w:rPr>
        <w:t xml:space="preserve"> </w:t>
      </w:r>
      <w:r w:rsidRPr="003B4362">
        <w:rPr>
          <w:rFonts w:eastAsia="Calibri"/>
          <w:szCs w:val="24"/>
        </w:rPr>
        <w:t xml:space="preserve">monitoring or education </w:t>
      </w:r>
      <w:r w:rsidR="00212635" w:rsidRPr="003B4362">
        <w:rPr>
          <w:rFonts w:eastAsia="Calibri"/>
          <w:szCs w:val="24"/>
        </w:rPr>
        <w:t>under</w:t>
      </w:r>
      <w:r w:rsidRPr="003B4362">
        <w:rPr>
          <w:rFonts w:eastAsia="Calibri"/>
          <w:szCs w:val="24"/>
        </w:rPr>
        <w:t xml:space="preserve"> this </w:t>
      </w:r>
      <w:r w:rsidR="00212635" w:rsidRPr="003B4362">
        <w:rPr>
          <w:rFonts w:eastAsia="Calibri"/>
          <w:szCs w:val="24"/>
        </w:rPr>
        <w:t>S</w:t>
      </w:r>
      <w:r w:rsidRPr="003B4362">
        <w:rPr>
          <w:rFonts w:eastAsia="Calibri"/>
          <w:szCs w:val="24"/>
        </w:rPr>
        <w:t>ection</w:t>
      </w:r>
      <w:bookmarkEnd w:id="3074"/>
      <w:r w:rsidRPr="003B4362">
        <w:rPr>
          <w:rFonts w:eastAsia="Calibri"/>
          <w:szCs w:val="24"/>
        </w:rPr>
        <w:t xml:space="preserve">.  </w:t>
      </w:r>
      <w:bookmarkStart w:id="3075" w:name="_Hlk125492678"/>
      <w:r w:rsidR="00212635" w:rsidRPr="003B4362">
        <w:rPr>
          <w:rFonts w:eastAsia="Calibri"/>
          <w:szCs w:val="24"/>
        </w:rPr>
        <w:t>U</w:t>
      </w:r>
      <w:bookmarkStart w:id="3076" w:name="_Hlk125492726"/>
      <w:r w:rsidR="00212635" w:rsidRPr="003B4362">
        <w:rPr>
          <w:rFonts w:eastAsia="Calibri"/>
          <w:szCs w:val="24"/>
        </w:rPr>
        <w:t>nder</w:t>
      </w:r>
      <w:r w:rsidRPr="003B4362">
        <w:rPr>
          <w:rFonts w:eastAsia="Calibri"/>
          <w:szCs w:val="24"/>
        </w:rPr>
        <w:t xml:space="preserve"> this </w:t>
      </w:r>
      <w:r w:rsidR="00212635" w:rsidRPr="003B4362">
        <w:rPr>
          <w:rFonts w:eastAsia="Calibri"/>
          <w:szCs w:val="24"/>
        </w:rPr>
        <w:t>S</w:t>
      </w:r>
      <w:r w:rsidRPr="003B4362">
        <w:rPr>
          <w:rFonts w:eastAsia="Calibri"/>
          <w:szCs w:val="24"/>
        </w:rPr>
        <w:t>ection</w:t>
      </w:r>
      <w:bookmarkEnd w:id="3075"/>
      <w:bookmarkEnd w:id="3076"/>
      <w:r w:rsidRPr="003B4362">
        <w:rPr>
          <w:rFonts w:eastAsia="Calibri"/>
          <w:szCs w:val="24"/>
        </w:rPr>
        <w:t xml:space="preserve">, a school or child care facility </w:t>
      </w:r>
      <w:r w:rsidR="00212635" w:rsidRPr="003B4362">
        <w:rPr>
          <w:rFonts w:eastAsia="Calibri"/>
          <w:szCs w:val="24"/>
        </w:rPr>
        <w:t>fails to respond</w:t>
      </w:r>
      <w:r w:rsidRPr="003B4362">
        <w:rPr>
          <w:rFonts w:eastAsia="Calibri"/>
          <w:szCs w:val="24"/>
        </w:rPr>
        <w:t xml:space="preserve"> after the </w:t>
      </w:r>
      <w:r w:rsidR="00212635" w:rsidRPr="003B4362">
        <w:rPr>
          <w:rFonts w:eastAsia="Calibri"/>
          <w:szCs w:val="24"/>
        </w:rPr>
        <w:t>supplier</w:t>
      </w:r>
      <w:r w:rsidRPr="003B4362">
        <w:rPr>
          <w:rFonts w:eastAsia="Calibri"/>
          <w:szCs w:val="24"/>
        </w:rPr>
        <w:t xml:space="preserve"> makes at least two separate good faith attempts to contact the facility to schedule sampling </w:t>
      </w:r>
      <w:bookmarkStart w:id="3077" w:name="_Hlk125492990"/>
      <w:r w:rsidR="004268CC" w:rsidRPr="003B4362">
        <w:rPr>
          <w:rFonts w:eastAsia="Calibri"/>
          <w:szCs w:val="24"/>
        </w:rPr>
        <w:t>and receives</w:t>
      </w:r>
      <w:r w:rsidRPr="003B4362">
        <w:rPr>
          <w:rFonts w:eastAsia="Calibri"/>
          <w:szCs w:val="24"/>
        </w:rPr>
        <w:t xml:space="preserve"> no response</w:t>
      </w:r>
      <w:bookmarkEnd w:id="3077"/>
      <w:r w:rsidRPr="003B4362">
        <w:rPr>
          <w:rFonts w:eastAsia="Calibri"/>
          <w:szCs w:val="24"/>
        </w:rPr>
        <w:t>.</w:t>
      </w:r>
    </w:p>
    <w:p w14:paraId="6977E394" w14:textId="77777777" w:rsidR="00A854E0" w:rsidRDefault="00A854E0" w:rsidP="00A854E0">
      <w:pPr>
        <w:autoSpaceDE w:val="0"/>
        <w:autoSpaceDN w:val="0"/>
        <w:adjustRightInd w:val="0"/>
        <w:ind w:left="2160" w:hanging="720"/>
        <w:rPr>
          <w:rFonts w:eastAsia="Calibri"/>
          <w:szCs w:val="24"/>
        </w:rPr>
      </w:pPr>
    </w:p>
    <w:p w14:paraId="0AA82AC2" w14:textId="4540FEB3"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4)</w:t>
      </w:r>
      <w:r w:rsidRPr="003B4362">
        <w:rPr>
          <w:rFonts w:eastAsia="Calibri"/>
          <w:szCs w:val="24"/>
        </w:rPr>
        <w:tab/>
        <w:t xml:space="preserve">The </w:t>
      </w:r>
      <w:r w:rsidR="004268CC" w:rsidRPr="003B4362">
        <w:rPr>
          <w:rFonts w:eastAsia="Calibri"/>
          <w:szCs w:val="24"/>
        </w:rPr>
        <w:t>supplier</w:t>
      </w:r>
      <w:r w:rsidRPr="003B4362">
        <w:rPr>
          <w:rFonts w:eastAsia="Calibri"/>
          <w:szCs w:val="24"/>
        </w:rPr>
        <w:t xml:space="preserve"> must </w:t>
      </w:r>
      <w:bookmarkStart w:id="3078" w:name="_Hlk125495598"/>
      <w:r w:rsidR="00FB1C7D" w:rsidRPr="003B4362">
        <w:rPr>
          <w:rFonts w:eastAsia="Calibri"/>
          <w:szCs w:val="24"/>
        </w:rPr>
        <w:t xml:space="preserve">annually or more frequently </w:t>
      </w:r>
      <w:r w:rsidRPr="003B4362">
        <w:rPr>
          <w:rFonts w:eastAsia="Calibri"/>
          <w:szCs w:val="24"/>
        </w:rPr>
        <w:t xml:space="preserve">contact all secondary schools </w:t>
      </w:r>
      <w:r w:rsidR="00FB1C7D" w:rsidRPr="003B4362">
        <w:rPr>
          <w:rFonts w:eastAsia="Calibri"/>
          <w:szCs w:val="24"/>
        </w:rPr>
        <w:t>it listed under</w:t>
      </w:r>
      <w:r w:rsidRPr="003B4362">
        <w:rPr>
          <w:rFonts w:eastAsia="Calibri"/>
          <w:szCs w:val="24"/>
        </w:rPr>
        <w:t xml:space="preserve"> subsection (a)(1)</w:t>
      </w:r>
      <w:bookmarkEnd w:id="3078"/>
      <w:r w:rsidR="00FB1C7D" w:rsidRPr="003B4362">
        <w:rPr>
          <w:rFonts w:eastAsia="Calibri"/>
          <w:szCs w:val="24"/>
        </w:rPr>
        <w:t xml:space="preserve"> </w:t>
      </w:r>
      <w:r w:rsidRPr="003B4362">
        <w:rPr>
          <w:rFonts w:eastAsia="Calibri"/>
          <w:szCs w:val="24"/>
        </w:rPr>
        <w:t xml:space="preserve">to provide information on health risks from lead in drinking water and how to request lead sampling </w:t>
      </w:r>
      <w:bookmarkStart w:id="3079" w:name="_Hlk125495870"/>
      <w:r w:rsidR="00FB1C7D" w:rsidRPr="003B4362">
        <w:rPr>
          <w:rFonts w:eastAsia="Calibri"/>
          <w:szCs w:val="24"/>
        </w:rPr>
        <w:t>under</w:t>
      </w:r>
      <w:r w:rsidRPr="003B4362">
        <w:rPr>
          <w:rFonts w:eastAsia="Calibri"/>
          <w:szCs w:val="24"/>
        </w:rPr>
        <w:t xml:space="preserve"> subsection (g)(1)</w:t>
      </w:r>
      <w:bookmarkEnd w:id="3079"/>
      <w:r w:rsidRPr="003B4362">
        <w:rPr>
          <w:rFonts w:eastAsia="Calibri"/>
          <w:szCs w:val="24"/>
        </w:rPr>
        <w:t>.</w:t>
      </w:r>
    </w:p>
    <w:p w14:paraId="5CD5C17B" w14:textId="77777777" w:rsidR="00A854E0" w:rsidRDefault="00A854E0" w:rsidP="00A854E0">
      <w:pPr>
        <w:autoSpaceDE w:val="0"/>
        <w:autoSpaceDN w:val="0"/>
        <w:adjustRightInd w:val="0"/>
        <w:ind w:left="1440" w:hanging="720"/>
        <w:rPr>
          <w:rFonts w:eastAsia="Calibri"/>
          <w:szCs w:val="24"/>
        </w:rPr>
      </w:pPr>
    </w:p>
    <w:p w14:paraId="707CFECF" w14:textId="37629AB4"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b)</w:t>
      </w:r>
      <w:r w:rsidRPr="003B4362">
        <w:rPr>
          <w:rFonts w:eastAsia="Calibri"/>
          <w:szCs w:val="24"/>
        </w:rPr>
        <w:tab/>
      </w:r>
      <w:bookmarkStart w:id="3080" w:name="_Hlk125496045"/>
      <w:r w:rsidRPr="003B4362">
        <w:rPr>
          <w:rFonts w:eastAsia="Calibri"/>
          <w:szCs w:val="24"/>
        </w:rPr>
        <w:t xml:space="preserve">Lead </w:t>
      </w:r>
      <w:r w:rsidR="00FB1C7D" w:rsidRPr="003B4362">
        <w:rPr>
          <w:rFonts w:eastAsia="Calibri"/>
          <w:szCs w:val="24"/>
        </w:rPr>
        <w:t>S</w:t>
      </w:r>
      <w:r w:rsidRPr="003B4362">
        <w:rPr>
          <w:rFonts w:eastAsia="Calibri"/>
          <w:szCs w:val="24"/>
        </w:rPr>
        <w:t xml:space="preserve">ampling in </w:t>
      </w:r>
      <w:r w:rsidR="00FB1C7D" w:rsidRPr="003B4362">
        <w:rPr>
          <w:rFonts w:eastAsia="Calibri"/>
          <w:szCs w:val="24"/>
        </w:rPr>
        <w:t>S</w:t>
      </w:r>
      <w:r w:rsidRPr="003B4362">
        <w:rPr>
          <w:rFonts w:eastAsia="Calibri"/>
          <w:szCs w:val="24"/>
        </w:rPr>
        <w:t xml:space="preserve">chools and </w:t>
      </w:r>
      <w:r w:rsidR="00FB1C7D" w:rsidRPr="003B4362">
        <w:rPr>
          <w:rFonts w:eastAsia="Calibri"/>
          <w:szCs w:val="24"/>
        </w:rPr>
        <w:t>C</w:t>
      </w:r>
      <w:r w:rsidRPr="003B4362">
        <w:rPr>
          <w:rFonts w:eastAsia="Calibri"/>
          <w:szCs w:val="24"/>
        </w:rPr>
        <w:t xml:space="preserve">hild </w:t>
      </w:r>
      <w:r w:rsidR="00FB1C7D" w:rsidRPr="003B4362">
        <w:rPr>
          <w:rFonts w:eastAsia="Calibri"/>
          <w:szCs w:val="24"/>
        </w:rPr>
        <w:t>C</w:t>
      </w:r>
      <w:r w:rsidRPr="003B4362">
        <w:rPr>
          <w:rFonts w:eastAsia="Calibri"/>
          <w:szCs w:val="24"/>
        </w:rPr>
        <w:t xml:space="preserve">are </w:t>
      </w:r>
      <w:r w:rsidR="00FB1C7D" w:rsidRPr="003B4362">
        <w:rPr>
          <w:rFonts w:eastAsia="Calibri"/>
          <w:szCs w:val="24"/>
        </w:rPr>
        <w:t>F</w:t>
      </w:r>
      <w:r w:rsidRPr="003B4362">
        <w:rPr>
          <w:rFonts w:eastAsia="Calibri"/>
          <w:szCs w:val="24"/>
        </w:rPr>
        <w:t>acilities</w:t>
      </w:r>
      <w:bookmarkEnd w:id="3080"/>
    </w:p>
    <w:p w14:paraId="508D48AA" w14:textId="77777777" w:rsidR="00A854E0" w:rsidRDefault="00A854E0" w:rsidP="00A854E0">
      <w:pPr>
        <w:autoSpaceDE w:val="0"/>
        <w:autoSpaceDN w:val="0"/>
        <w:adjustRightInd w:val="0"/>
        <w:ind w:left="2160" w:hanging="720"/>
        <w:rPr>
          <w:rFonts w:eastAsia="Calibri"/>
          <w:szCs w:val="24"/>
        </w:rPr>
      </w:pPr>
    </w:p>
    <w:p w14:paraId="06483D18" w14:textId="0F6C8093"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1)</w:t>
      </w:r>
      <w:r w:rsidRPr="003B4362">
        <w:rPr>
          <w:rFonts w:eastAsia="Calibri"/>
          <w:szCs w:val="24"/>
        </w:rPr>
        <w:tab/>
      </w:r>
      <w:r w:rsidR="00342612" w:rsidRPr="003B4362">
        <w:rPr>
          <w:rFonts w:eastAsia="Calibri"/>
          <w:szCs w:val="24"/>
        </w:rPr>
        <w:t>T</w:t>
      </w:r>
      <w:bookmarkStart w:id="3081" w:name="_Hlk125543318"/>
      <w:r w:rsidR="00342612" w:rsidRPr="003B4362">
        <w:rPr>
          <w:rFonts w:eastAsia="Calibri"/>
          <w:szCs w:val="24"/>
        </w:rPr>
        <w:t>he supplier must collect f</w:t>
      </w:r>
      <w:r w:rsidRPr="003B4362">
        <w:rPr>
          <w:rFonts w:eastAsia="Calibri"/>
          <w:szCs w:val="24"/>
        </w:rPr>
        <w:t>ive samples per school and two samples per child care facility at outlets typically used for consumption</w:t>
      </w:r>
      <w:bookmarkEnd w:id="3081"/>
      <w:r w:rsidRPr="003B4362">
        <w:rPr>
          <w:rFonts w:eastAsia="Calibri"/>
          <w:szCs w:val="24"/>
        </w:rPr>
        <w:t>.  E</w:t>
      </w:r>
      <w:bookmarkStart w:id="3082" w:name="_Hlk125543638"/>
      <w:bookmarkStart w:id="3083" w:name="_Hlk125543749"/>
      <w:r w:rsidRPr="003B4362">
        <w:rPr>
          <w:rFonts w:eastAsia="Calibri"/>
          <w:szCs w:val="24"/>
        </w:rPr>
        <w:t>xcept as</w:t>
      </w:r>
      <w:r w:rsidR="00342612" w:rsidRPr="003B4362">
        <w:rPr>
          <w:rFonts w:eastAsia="Calibri"/>
          <w:szCs w:val="24"/>
        </w:rPr>
        <w:t xml:space="preserve"> </w:t>
      </w:r>
      <w:r w:rsidRPr="003B4362">
        <w:rPr>
          <w:rFonts w:eastAsia="Calibri"/>
          <w:szCs w:val="24"/>
        </w:rPr>
        <w:t xml:space="preserve">subsections (b)(1)(A) through </w:t>
      </w:r>
      <w:r w:rsidR="00342612" w:rsidRPr="003B4362">
        <w:rPr>
          <w:rFonts w:eastAsia="Calibri"/>
          <w:szCs w:val="24"/>
        </w:rPr>
        <w:t>(b)(1)</w:t>
      </w:r>
      <w:r w:rsidRPr="003B4362">
        <w:rPr>
          <w:rFonts w:eastAsia="Calibri"/>
          <w:szCs w:val="24"/>
        </w:rPr>
        <w:t xml:space="preserve">(D) </w:t>
      </w:r>
      <w:bookmarkEnd w:id="3082"/>
      <w:r w:rsidR="00342612" w:rsidRPr="003B4362">
        <w:rPr>
          <w:rFonts w:eastAsia="Calibri"/>
          <w:szCs w:val="24"/>
        </w:rPr>
        <w:t>provide otherwise</w:t>
      </w:r>
      <w:bookmarkEnd w:id="3083"/>
      <w:r w:rsidRPr="003B4362">
        <w:rPr>
          <w:rFonts w:eastAsia="Calibri"/>
          <w:szCs w:val="24"/>
        </w:rPr>
        <w:t xml:space="preserve">, the outlets </w:t>
      </w:r>
      <w:bookmarkStart w:id="3084" w:name="_Hlk125546855"/>
      <w:r w:rsidR="00013FFB" w:rsidRPr="003B4362">
        <w:rPr>
          <w:rFonts w:eastAsia="Calibri"/>
          <w:szCs w:val="24"/>
        </w:rPr>
        <w:lastRenderedPageBreak/>
        <w:t>must</w:t>
      </w:r>
      <w:r w:rsidRPr="003B4362">
        <w:rPr>
          <w:rFonts w:eastAsia="Calibri"/>
          <w:szCs w:val="24"/>
        </w:rPr>
        <w:t xml:space="preserve"> not have</w:t>
      </w:r>
      <w:bookmarkEnd w:id="3084"/>
      <w:r w:rsidRPr="003B4362">
        <w:rPr>
          <w:rFonts w:eastAsia="Calibri"/>
          <w:szCs w:val="24"/>
        </w:rPr>
        <w:t xml:space="preserve"> </w:t>
      </w:r>
      <w:bookmarkStart w:id="3085" w:name="_Hlk125548161"/>
      <w:r w:rsidR="005E21A4" w:rsidRPr="003B4362">
        <w:rPr>
          <w:rFonts w:eastAsia="Calibri"/>
          <w:szCs w:val="24"/>
        </w:rPr>
        <w:t xml:space="preserve">a </w:t>
      </w:r>
      <w:r w:rsidRPr="003B4362">
        <w:rPr>
          <w:rFonts w:eastAsia="Calibri"/>
          <w:szCs w:val="24"/>
        </w:rPr>
        <w:t>POU device</w:t>
      </w:r>
      <w:bookmarkEnd w:id="3085"/>
      <w:r w:rsidRPr="003B4362">
        <w:rPr>
          <w:rFonts w:eastAsia="Calibri"/>
          <w:szCs w:val="24"/>
        </w:rPr>
        <w:t>.  T</w:t>
      </w:r>
      <w:bookmarkStart w:id="3086" w:name="_Hlk125546927"/>
      <w:r w:rsidRPr="003B4362">
        <w:rPr>
          <w:rFonts w:eastAsia="Calibri"/>
          <w:szCs w:val="24"/>
        </w:rPr>
        <w:t xml:space="preserve">he </w:t>
      </w:r>
      <w:r w:rsidR="00013FFB" w:rsidRPr="003B4362">
        <w:rPr>
          <w:rFonts w:eastAsia="Calibri"/>
          <w:szCs w:val="24"/>
        </w:rPr>
        <w:t>supplier</w:t>
      </w:r>
      <w:r w:rsidRPr="003B4362">
        <w:rPr>
          <w:rFonts w:eastAsia="Calibri"/>
          <w:szCs w:val="24"/>
        </w:rPr>
        <w:t xml:space="preserve"> </w:t>
      </w:r>
      <w:bookmarkEnd w:id="3086"/>
      <w:r w:rsidR="00013FFB" w:rsidRPr="003B4362">
        <w:rPr>
          <w:rFonts w:eastAsia="Calibri"/>
          <w:szCs w:val="24"/>
        </w:rPr>
        <w:t>must</w:t>
      </w:r>
      <w:r w:rsidRPr="003B4362">
        <w:rPr>
          <w:rFonts w:eastAsia="Calibri"/>
          <w:szCs w:val="24"/>
        </w:rPr>
        <w:t xml:space="preserve"> sample at </w:t>
      </w:r>
      <w:bookmarkStart w:id="3087" w:name="_Hlk125547004"/>
      <w:r w:rsidR="00013FFB" w:rsidRPr="003B4362">
        <w:rPr>
          <w:rFonts w:eastAsia="Calibri"/>
          <w:szCs w:val="24"/>
        </w:rPr>
        <w:t>specific</w:t>
      </w:r>
      <w:r w:rsidRPr="003B4362">
        <w:rPr>
          <w:rFonts w:eastAsia="Calibri"/>
          <w:szCs w:val="24"/>
        </w:rPr>
        <w:t xml:space="preserve"> locations</w:t>
      </w:r>
      <w:bookmarkEnd w:id="3087"/>
      <w:r w:rsidRPr="003B4362">
        <w:rPr>
          <w:rFonts w:eastAsia="Calibri"/>
          <w:szCs w:val="24"/>
        </w:rPr>
        <w:t>:</w:t>
      </w:r>
    </w:p>
    <w:p w14:paraId="6EAB006A" w14:textId="77777777" w:rsidR="00A854E0" w:rsidRDefault="00A854E0" w:rsidP="00A854E0">
      <w:pPr>
        <w:autoSpaceDE w:val="0"/>
        <w:autoSpaceDN w:val="0"/>
        <w:adjustRightInd w:val="0"/>
        <w:ind w:left="2880" w:hanging="720"/>
        <w:rPr>
          <w:rFonts w:eastAsia="Calibri"/>
          <w:szCs w:val="24"/>
        </w:rPr>
      </w:pPr>
    </w:p>
    <w:p w14:paraId="1C5C78CB" w14:textId="5729839D"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A)</w:t>
      </w:r>
      <w:r w:rsidRPr="003B4362">
        <w:rPr>
          <w:rFonts w:eastAsia="Calibri"/>
          <w:szCs w:val="24"/>
        </w:rPr>
        <w:tab/>
        <w:t xml:space="preserve">For schools: </w:t>
      </w:r>
      <w:r w:rsidR="005E21A4" w:rsidRPr="003B4362">
        <w:rPr>
          <w:rFonts w:eastAsia="Calibri"/>
          <w:szCs w:val="24"/>
        </w:rPr>
        <w:t xml:space="preserve"> </w:t>
      </w:r>
      <w:bookmarkStart w:id="3088" w:name="_Hlk125550537"/>
      <w:r w:rsidRPr="003B4362">
        <w:rPr>
          <w:rFonts w:eastAsia="Calibri"/>
          <w:szCs w:val="24"/>
        </w:rPr>
        <w:t>two drinking water fountains</w:t>
      </w:r>
      <w:bookmarkEnd w:id="3088"/>
      <w:r w:rsidRPr="003B4362">
        <w:rPr>
          <w:rFonts w:eastAsia="Calibri"/>
          <w:szCs w:val="24"/>
        </w:rPr>
        <w:t xml:space="preserve">, one kitchen faucet </w:t>
      </w:r>
      <w:bookmarkStart w:id="3089" w:name="_Hlk125550230"/>
      <w:r w:rsidR="00D85546" w:rsidRPr="003B4362">
        <w:rPr>
          <w:rFonts w:eastAsia="Calibri"/>
          <w:szCs w:val="24"/>
        </w:rPr>
        <w:t>persons use</w:t>
      </w:r>
      <w:r w:rsidRPr="003B4362">
        <w:rPr>
          <w:rFonts w:eastAsia="Calibri"/>
          <w:szCs w:val="24"/>
        </w:rPr>
        <w:t xml:space="preserve"> for </w:t>
      </w:r>
      <w:r w:rsidR="00945285" w:rsidRPr="003B4362">
        <w:rPr>
          <w:rFonts w:eastAsia="Calibri"/>
          <w:szCs w:val="24"/>
        </w:rPr>
        <w:t xml:space="preserve">preparing </w:t>
      </w:r>
      <w:r w:rsidRPr="003B4362">
        <w:rPr>
          <w:rFonts w:eastAsia="Calibri"/>
          <w:szCs w:val="24"/>
        </w:rPr>
        <w:t>food or drink</w:t>
      </w:r>
      <w:bookmarkEnd w:id="3089"/>
      <w:r w:rsidRPr="003B4362">
        <w:rPr>
          <w:rFonts w:eastAsia="Calibri"/>
          <w:szCs w:val="24"/>
        </w:rPr>
        <w:t xml:space="preserve">, one classroom faucet or other outlet </w:t>
      </w:r>
      <w:r w:rsidR="00D85546" w:rsidRPr="003B4362">
        <w:rPr>
          <w:rFonts w:eastAsia="Calibri"/>
          <w:szCs w:val="24"/>
        </w:rPr>
        <w:t>persons use</w:t>
      </w:r>
      <w:r w:rsidRPr="003B4362">
        <w:rPr>
          <w:rFonts w:eastAsia="Calibri"/>
          <w:szCs w:val="24"/>
        </w:rPr>
        <w:t xml:space="preserve"> for drinking, and one nurse’s office faucet, as available.</w:t>
      </w:r>
    </w:p>
    <w:p w14:paraId="5E8CB348" w14:textId="77777777" w:rsidR="00A854E0" w:rsidRDefault="00A854E0" w:rsidP="00A854E0">
      <w:pPr>
        <w:autoSpaceDE w:val="0"/>
        <w:autoSpaceDN w:val="0"/>
        <w:adjustRightInd w:val="0"/>
        <w:ind w:left="2880" w:hanging="720"/>
        <w:rPr>
          <w:rFonts w:eastAsia="Calibri"/>
          <w:szCs w:val="24"/>
        </w:rPr>
      </w:pPr>
    </w:p>
    <w:p w14:paraId="2292CAA1" w14:textId="313BCF4E"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B)</w:t>
      </w:r>
      <w:r w:rsidRPr="003B4362">
        <w:rPr>
          <w:rFonts w:eastAsia="Calibri"/>
          <w:szCs w:val="24"/>
        </w:rPr>
        <w:tab/>
        <w:t xml:space="preserve">For child care facilities: </w:t>
      </w:r>
      <w:r w:rsidR="005450C4" w:rsidRPr="003B4362">
        <w:rPr>
          <w:rFonts w:eastAsia="Calibri"/>
          <w:szCs w:val="24"/>
        </w:rPr>
        <w:t xml:space="preserve"> </w:t>
      </w:r>
      <w:r w:rsidRPr="003B4362">
        <w:rPr>
          <w:rFonts w:eastAsia="Calibri"/>
          <w:szCs w:val="24"/>
        </w:rPr>
        <w:t xml:space="preserve">one drinking water fountain and one of either a kitchen </w:t>
      </w:r>
      <w:bookmarkStart w:id="3090" w:name="_Hlk125550956"/>
      <w:r w:rsidRPr="003B4362">
        <w:rPr>
          <w:rFonts w:eastAsia="Calibri"/>
          <w:szCs w:val="24"/>
        </w:rPr>
        <w:t xml:space="preserve">faucet </w:t>
      </w:r>
      <w:r w:rsidR="00D85546" w:rsidRPr="003B4362">
        <w:rPr>
          <w:rFonts w:eastAsia="Calibri"/>
          <w:szCs w:val="24"/>
        </w:rPr>
        <w:t>persons use</w:t>
      </w:r>
      <w:r w:rsidRPr="003B4362">
        <w:rPr>
          <w:rFonts w:eastAsia="Calibri"/>
          <w:szCs w:val="24"/>
        </w:rPr>
        <w:t xml:space="preserve"> for prepar</w:t>
      </w:r>
      <w:r w:rsidR="005450C4" w:rsidRPr="003B4362">
        <w:rPr>
          <w:rFonts w:eastAsia="Calibri"/>
          <w:szCs w:val="24"/>
        </w:rPr>
        <w:t>ing</w:t>
      </w:r>
      <w:r w:rsidRPr="003B4362">
        <w:rPr>
          <w:rFonts w:eastAsia="Calibri"/>
          <w:szCs w:val="24"/>
        </w:rPr>
        <w:t xml:space="preserve"> food or drink</w:t>
      </w:r>
      <w:bookmarkEnd w:id="3090"/>
      <w:r w:rsidRPr="003B4362">
        <w:rPr>
          <w:rFonts w:eastAsia="Calibri"/>
          <w:szCs w:val="24"/>
        </w:rPr>
        <w:t xml:space="preserve"> or one classroom faucet or other outlet </w:t>
      </w:r>
      <w:r w:rsidR="00D85546" w:rsidRPr="003B4362">
        <w:rPr>
          <w:rFonts w:eastAsia="Calibri"/>
          <w:szCs w:val="24"/>
        </w:rPr>
        <w:t>persons use</w:t>
      </w:r>
      <w:r w:rsidRPr="003B4362">
        <w:rPr>
          <w:rFonts w:eastAsia="Calibri"/>
          <w:szCs w:val="24"/>
        </w:rPr>
        <w:t xml:space="preserve"> for drinking.</w:t>
      </w:r>
    </w:p>
    <w:p w14:paraId="2343B4A4" w14:textId="77777777" w:rsidR="00A854E0" w:rsidRDefault="00A854E0" w:rsidP="00A854E0">
      <w:pPr>
        <w:autoSpaceDE w:val="0"/>
        <w:autoSpaceDN w:val="0"/>
        <w:adjustRightInd w:val="0"/>
        <w:ind w:left="2880" w:hanging="720"/>
        <w:rPr>
          <w:rFonts w:eastAsia="Calibri"/>
          <w:szCs w:val="24"/>
        </w:rPr>
      </w:pPr>
    </w:p>
    <w:p w14:paraId="747455E1" w14:textId="56C6CA17"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C)</w:t>
      </w:r>
      <w:r w:rsidRPr="003B4362">
        <w:rPr>
          <w:rFonts w:eastAsia="Calibri"/>
          <w:szCs w:val="24"/>
        </w:rPr>
        <w:tab/>
        <w:t xml:space="preserve">If any </w:t>
      </w:r>
      <w:r w:rsidR="00D85546" w:rsidRPr="003B4362">
        <w:rPr>
          <w:rFonts w:eastAsia="Calibri"/>
          <w:szCs w:val="24"/>
        </w:rPr>
        <w:t xml:space="preserve">school or </w:t>
      </w:r>
      <w:r w:rsidRPr="003B4362">
        <w:rPr>
          <w:rFonts w:eastAsia="Calibri"/>
          <w:szCs w:val="24"/>
        </w:rPr>
        <w:t xml:space="preserve">facility has fewer than the required number of outlets, the </w:t>
      </w:r>
      <w:r w:rsidR="00D85546" w:rsidRPr="003B4362">
        <w:rPr>
          <w:rFonts w:eastAsia="Calibri"/>
          <w:szCs w:val="24"/>
        </w:rPr>
        <w:t>supplier</w:t>
      </w:r>
      <w:r w:rsidRPr="003B4362">
        <w:rPr>
          <w:rFonts w:eastAsia="Calibri"/>
          <w:szCs w:val="24"/>
        </w:rPr>
        <w:t xml:space="preserve"> must sample all outlets </w:t>
      </w:r>
      <w:r w:rsidR="00D85546" w:rsidRPr="003B4362">
        <w:rPr>
          <w:rFonts w:eastAsia="Calibri"/>
          <w:szCs w:val="24"/>
        </w:rPr>
        <w:t>persons use</w:t>
      </w:r>
      <w:r w:rsidRPr="003B4362">
        <w:rPr>
          <w:rFonts w:eastAsia="Calibri"/>
          <w:szCs w:val="24"/>
        </w:rPr>
        <w:t xml:space="preserve"> for consumption.</w:t>
      </w:r>
    </w:p>
    <w:p w14:paraId="7A88CEBA" w14:textId="77777777" w:rsidR="00A854E0" w:rsidRDefault="00A854E0" w:rsidP="00A854E0">
      <w:pPr>
        <w:autoSpaceDE w:val="0"/>
        <w:autoSpaceDN w:val="0"/>
        <w:adjustRightInd w:val="0"/>
        <w:ind w:left="2880" w:hanging="720"/>
        <w:rPr>
          <w:rFonts w:eastAsia="Calibri"/>
          <w:szCs w:val="24"/>
        </w:rPr>
      </w:pPr>
    </w:p>
    <w:p w14:paraId="2E0F9F50" w14:textId="7775BAB6"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D)</w:t>
      </w:r>
      <w:r w:rsidRPr="003B4362">
        <w:rPr>
          <w:rFonts w:eastAsia="Calibri"/>
          <w:szCs w:val="24"/>
        </w:rPr>
        <w:tab/>
        <w:t xml:space="preserve">The </w:t>
      </w:r>
      <w:r w:rsidR="00F71D03" w:rsidRPr="003B4362">
        <w:rPr>
          <w:rFonts w:eastAsia="Calibri"/>
          <w:szCs w:val="24"/>
        </w:rPr>
        <w:t>supplier</w:t>
      </w:r>
      <w:r w:rsidRPr="003B4362">
        <w:rPr>
          <w:rFonts w:eastAsia="Calibri"/>
          <w:szCs w:val="24"/>
        </w:rPr>
        <w:t xml:space="preserve"> may sample at </w:t>
      </w:r>
      <w:bookmarkStart w:id="3091" w:name="_Hlk125552582"/>
      <w:r w:rsidRPr="003B4362">
        <w:rPr>
          <w:rFonts w:eastAsia="Calibri"/>
          <w:szCs w:val="24"/>
        </w:rPr>
        <w:t xml:space="preserve">outlets </w:t>
      </w:r>
      <w:r w:rsidR="003A7EAD" w:rsidRPr="003B4362">
        <w:rPr>
          <w:rFonts w:eastAsia="Calibri"/>
          <w:szCs w:val="24"/>
        </w:rPr>
        <w:t>having</w:t>
      </w:r>
      <w:r w:rsidRPr="003B4362">
        <w:rPr>
          <w:rFonts w:eastAsia="Calibri"/>
          <w:szCs w:val="24"/>
        </w:rPr>
        <w:t xml:space="preserve"> POU devices</w:t>
      </w:r>
      <w:bookmarkEnd w:id="3091"/>
      <w:r w:rsidRPr="003B4362">
        <w:rPr>
          <w:rFonts w:eastAsia="Calibri"/>
          <w:szCs w:val="24"/>
        </w:rPr>
        <w:t xml:space="preserve"> if </w:t>
      </w:r>
      <w:bookmarkStart w:id="3092" w:name="_Hlk125554720"/>
      <w:r w:rsidRPr="003B4362">
        <w:rPr>
          <w:rFonts w:eastAsia="Calibri"/>
          <w:szCs w:val="24"/>
        </w:rPr>
        <w:t xml:space="preserve">the </w:t>
      </w:r>
      <w:r w:rsidR="003A7EAD" w:rsidRPr="003B4362">
        <w:rPr>
          <w:rFonts w:eastAsia="Calibri"/>
          <w:szCs w:val="24"/>
        </w:rPr>
        <w:t xml:space="preserve">school or </w:t>
      </w:r>
      <w:r w:rsidRPr="003B4362">
        <w:rPr>
          <w:rFonts w:eastAsia="Calibri"/>
          <w:szCs w:val="24"/>
        </w:rPr>
        <w:t>facility</w:t>
      </w:r>
      <w:bookmarkEnd w:id="3092"/>
      <w:r w:rsidRPr="003B4362">
        <w:rPr>
          <w:rFonts w:eastAsia="Calibri"/>
          <w:szCs w:val="24"/>
        </w:rPr>
        <w:t xml:space="preserve"> has POU devices installed on all outlets </w:t>
      </w:r>
      <w:r w:rsidR="003A7EAD" w:rsidRPr="003B4362">
        <w:rPr>
          <w:rFonts w:eastAsia="Calibri"/>
          <w:szCs w:val="24"/>
        </w:rPr>
        <w:t xml:space="preserve">persons </w:t>
      </w:r>
      <w:r w:rsidRPr="003B4362">
        <w:rPr>
          <w:rFonts w:eastAsia="Calibri"/>
          <w:szCs w:val="24"/>
        </w:rPr>
        <w:t xml:space="preserve">typically </w:t>
      </w:r>
      <w:r w:rsidR="003A7EAD" w:rsidRPr="003B4362">
        <w:rPr>
          <w:rFonts w:eastAsia="Calibri"/>
          <w:szCs w:val="24"/>
        </w:rPr>
        <w:t>use</w:t>
      </w:r>
      <w:r w:rsidRPr="003B4362">
        <w:rPr>
          <w:rFonts w:eastAsia="Calibri"/>
          <w:szCs w:val="24"/>
        </w:rPr>
        <w:t xml:space="preserve"> for consumption.</w:t>
      </w:r>
    </w:p>
    <w:p w14:paraId="6EF6DD32" w14:textId="77777777" w:rsidR="00A854E0" w:rsidRDefault="00A854E0" w:rsidP="00A854E0">
      <w:pPr>
        <w:autoSpaceDE w:val="0"/>
        <w:autoSpaceDN w:val="0"/>
        <w:adjustRightInd w:val="0"/>
        <w:ind w:left="2880" w:hanging="720"/>
        <w:rPr>
          <w:rFonts w:eastAsia="Calibri"/>
          <w:szCs w:val="24"/>
        </w:rPr>
      </w:pPr>
    </w:p>
    <w:p w14:paraId="285F7C3B" w14:textId="6D6FA416"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E)</w:t>
      </w:r>
      <w:r w:rsidRPr="003B4362">
        <w:rPr>
          <w:rFonts w:eastAsia="Calibri"/>
          <w:szCs w:val="24"/>
        </w:rPr>
        <w:tab/>
        <w:t xml:space="preserve">If any </w:t>
      </w:r>
      <w:r w:rsidR="003A7EAD" w:rsidRPr="003B4362">
        <w:rPr>
          <w:rFonts w:eastAsia="Calibri"/>
          <w:szCs w:val="24"/>
        </w:rPr>
        <w:t xml:space="preserve">school or </w:t>
      </w:r>
      <w:r w:rsidRPr="003B4362">
        <w:rPr>
          <w:rFonts w:eastAsia="Calibri"/>
          <w:szCs w:val="24"/>
        </w:rPr>
        <w:t xml:space="preserve">facility does not contain the type of faucet listed above, the </w:t>
      </w:r>
      <w:r w:rsidR="003A7EAD" w:rsidRPr="003B4362">
        <w:rPr>
          <w:rFonts w:eastAsia="Calibri"/>
          <w:szCs w:val="24"/>
        </w:rPr>
        <w:t>supplier</w:t>
      </w:r>
      <w:r w:rsidRPr="003B4362">
        <w:rPr>
          <w:rFonts w:eastAsia="Calibri"/>
          <w:szCs w:val="24"/>
        </w:rPr>
        <w:t xml:space="preserve"> </w:t>
      </w:r>
      <w:r w:rsidR="003A7EAD" w:rsidRPr="003B4362">
        <w:rPr>
          <w:rFonts w:eastAsia="Calibri"/>
          <w:szCs w:val="24"/>
        </w:rPr>
        <w:t>must</w:t>
      </w:r>
      <w:r w:rsidRPr="003B4362">
        <w:rPr>
          <w:rFonts w:eastAsia="Calibri"/>
          <w:szCs w:val="24"/>
        </w:rPr>
        <w:t xml:space="preserve"> collect a sample from </w:t>
      </w:r>
      <w:bookmarkStart w:id="3093" w:name="_Hlk125555037"/>
      <w:r w:rsidRPr="003B4362">
        <w:rPr>
          <w:rFonts w:eastAsia="Calibri"/>
          <w:szCs w:val="24"/>
        </w:rPr>
        <w:t xml:space="preserve">another outlet </w:t>
      </w:r>
      <w:r w:rsidR="003A7EAD" w:rsidRPr="003B4362">
        <w:rPr>
          <w:rFonts w:eastAsia="Calibri"/>
          <w:szCs w:val="24"/>
        </w:rPr>
        <w:t xml:space="preserve">the school or facility identifies as one persons </w:t>
      </w:r>
      <w:r w:rsidRPr="003B4362">
        <w:rPr>
          <w:rFonts w:eastAsia="Calibri"/>
          <w:szCs w:val="24"/>
        </w:rPr>
        <w:t>typically use for consumption</w:t>
      </w:r>
      <w:bookmarkEnd w:id="3093"/>
      <w:r w:rsidRPr="003B4362">
        <w:rPr>
          <w:rFonts w:eastAsia="Calibri"/>
          <w:szCs w:val="24"/>
        </w:rPr>
        <w:t>.</w:t>
      </w:r>
    </w:p>
    <w:p w14:paraId="3D7FD274" w14:textId="77777777" w:rsidR="00A854E0" w:rsidRDefault="00A854E0" w:rsidP="00A854E0">
      <w:pPr>
        <w:autoSpaceDE w:val="0"/>
        <w:autoSpaceDN w:val="0"/>
        <w:adjustRightInd w:val="0"/>
        <w:ind w:left="2880" w:hanging="720"/>
        <w:rPr>
          <w:rFonts w:eastAsia="Calibri"/>
          <w:szCs w:val="24"/>
        </w:rPr>
      </w:pPr>
    </w:p>
    <w:p w14:paraId="722DB7CD" w14:textId="0F90B516"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F)</w:t>
      </w:r>
      <w:r w:rsidRPr="003B4362">
        <w:rPr>
          <w:rFonts w:eastAsia="Calibri"/>
          <w:szCs w:val="24"/>
        </w:rPr>
        <w:tab/>
      </w:r>
      <w:r w:rsidR="00D34D5B" w:rsidRPr="003B4362">
        <w:rPr>
          <w:rFonts w:eastAsia="Calibri"/>
          <w:szCs w:val="24"/>
        </w:rPr>
        <w:t>The supplier</w:t>
      </w:r>
      <w:r w:rsidRPr="003B4362">
        <w:rPr>
          <w:rFonts w:eastAsia="Calibri"/>
          <w:szCs w:val="24"/>
        </w:rPr>
        <w:t xml:space="preserve"> must </w:t>
      </w:r>
      <w:bookmarkStart w:id="3094" w:name="_Hlk125559154"/>
      <w:r w:rsidRPr="003B4362">
        <w:rPr>
          <w:rFonts w:eastAsia="Calibri"/>
          <w:szCs w:val="24"/>
        </w:rPr>
        <w:t xml:space="preserve">collect </w:t>
      </w:r>
      <w:r w:rsidR="00D34D5B" w:rsidRPr="003B4362">
        <w:rPr>
          <w:rFonts w:eastAsia="Calibri"/>
          <w:szCs w:val="24"/>
        </w:rPr>
        <w:t>all</w:t>
      </w:r>
      <w:r w:rsidRPr="003B4362">
        <w:rPr>
          <w:rFonts w:eastAsia="Calibri"/>
          <w:szCs w:val="24"/>
        </w:rPr>
        <w:t xml:space="preserve"> samples from</w:t>
      </w:r>
      <w:r w:rsidR="00D34D5B" w:rsidRPr="003B4362">
        <w:rPr>
          <w:rFonts w:eastAsia="Calibri"/>
          <w:szCs w:val="24"/>
        </w:rPr>
        <w:t xml:space="preserve"> </w:t>
      </w:r>
      <w:r w:rsidRPr="003B4362">
        <w:rPr>
          <w:rFonts w:eastAsia="Calibri"/>
          <w:szCs w:val="24"/>
        </w:rPr>
        <w:t>cold water tap</w:t>
      </w:r>
      <w:r w:rsidR="00D34D5B" w:rsidRPr="003B4362">
        <w:rPr>
          <w:rFonts w:eastAsia="Calibri"/>
          <w:szCs w:val="24"/>
        </w:rPr>
        <w:t>s</w:t>
      </w:r>
      <w:bookmarkEnd w:id="3094"/>
      <w:r w:rsidRPr="003B4362">
        <w:rPr>
          <w:rFonts w:eastAsia="Calibri"/>
          <w:szCs w:val="24"/>
        </w:rPr>
        <w:t xml:space="preserve"> </w:t>
      </w:r>
      <w:bookmarkStart w:id="3095" w:name="_Hlk125559253"/>
      <w:r w:rsidR="00D34D5B" w:rsidRPr="003B4362">
        <w:rPr>
          <w:rFonts w:eastAsia="Calibri"/>
          <w:szCs w:val="24"/>
        </w:rPr>
        <w:t>fulfilling specific</w:t>
      </w:r>
      <w:r w:rsidRPr="003B4362">
        <w:rPr>
          <w:rFonts w:eastAsia="Calibri"/>
          <w:szCs w:val="24"/>
        </w:rPr>
        <w:t xml:space="preserve"> additional requirements</w:t>
      </w:r>
      <w:bookmarkEnd w:id="3095"/>
      <w:r w:rsidRPr="003B4362">
        <w:rPr>
          <w:rFonts w:eastAsia="Calibri"/>
          <w:szCs w:val="24"/>
        </w:rPr>
        <w:t>:</w:t>
      </w:r>
    </w:p>
    <w:p w14:paraId="43C688DA" w14:textId="77777777" w:rsidR="00A854E0" w:rsidRDefault="00A854E0" w:rsidP="00A854E0">
      <w:pPr>
        <w:autoSpaceDE w:val="0"/>
        <w:autoSpaceDN w:val="0"/>
        <w:adjustRightInd w:val="0"/>
        <w:ind w:left="3600" w:hanging="720"/>
        <w:rPr>
          <w:rFonts w:eastAsia="Calibri"/>
          <w:szCs w:val="24"/>
        </w:rPr>
      </w:pPr>
    </w:p>
    <w:p w14:paraId="5EF1218A" w14:textId="6BB96E3A"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w:t>
      </w:r>
      <w:r w:rsidRPr="003B4362">
        <w:rPr>
          <w:rFonts w:eastAsia="Calibri"/>
          <w:szCs w:val="24"/>
        </w:rPr>
        <w:tab/>
      </w:r>
      <w:bookmarkStart w:id="3096" w:name="_Hlk125559371"/>
      <w:r w:rsidR="00BB5AF3" w:rsidRPr="003B4362">
        <w:rPr>
          <w:rFonts w:eastAsia="Calibri"/>
          <w:szCs w:val="24"/>
        </w:rPr>
        <w:t>A</w:t>
      </w:r>
      <w:bookmarkStart w:id="3097" w:name="_Hlk125559551"/>
      <w:r w:rsidR="00BB5AF3" w:rsidRPr="003B4362">
        <w:rPr>
          <w:rFonts w:eastAsia="Calibri"/>
          <w:szCs w:val="24"/>
        </w:rPr>
        <w:t>ll</w:t>
      </w:r>
      <w:r w:rsidRPr="003B4362">
        <w:rPr>
          <w:rFonts w:eastAsia="Calibri"/>
          <w:szCs w:val="24"/>
        </w:rPr>
        <w:t xml:space="preserve"> sample</w:t>
      </w:r>
      <w:bookmarkEnd w:id="3096"/>
      <w:r w:rsidR="00BB5AF3" w:rsidRPr="003B4362">
        <w:rPr>
          <w:rFonts w:eastAsia="Calibri"/>
          <w:szCs w:val="24"/>
        </w:rPr>
        <w:t>s</w:t>
      </w:r>
      <w:r w:rsidRPr="003B4362">
        <w:rPr>
          <w:rFonts w:eastAsia="Calibri"/>
          <w:szCs w:val="24"/>
        </w:rPr>
        <w:t xml:space="preserve"> for lead </w:t>
      </w:r>
      <w:bookmarkStart w:id="3098" w:name="_Hlk125559335"/>
      <w:r w:rsidR="00BB5AF3" w:rsidRPr="003B4362">
        <w:rPr>
          <w:rFonts w:eastAsia="Calibri"/>
          <w:szCs w:val="24"/>
        </w:rPr>
        <w:t>must</w:t>
      </w:r>
      <w:r w:rsidRPr="003B4362">
        <w:rPr>
          <w:rFonts w:eastAsia="Calibri"/>
          <w:szCs w:val="24"/>
        </w:rPr>
        <w:t xml:space="preserve"> be</w:t>
      </w:r>
      <w:bookmarkEnd w:id="3098"/>
      <w:r w:rsidR="00BB5AF3" w:rsidRPr="003B4362">
        <w:rPr>
          <w:rFonts w:eastAsia="Calibri"/>
          <w:szCs w:val="24"/>
        </w:rPr>
        <w:t xml:space="preserve"> </w:t>
      </w:r>
      <w:r w:rsidRPr="003B4362">
        <w:rPr>
          <w:rFonts w:eastAsia="Calibri"/>
          <w:szCs w:val="24"/>
        </w:rPr>
        <w:t>first</w:t>
      </w:r>
      <w:r w:rsidR="00BB5AF3" w:rsidRPr="003B4362">
        <w:rPr>
          <w:rFonts w:eastAsia="Calibri"/>
          <w:szCs w:val="24"/>
        </w:rPr>
        <w:t>-</w:t>
      </w:r>
      <w:r w:rsidRPr="003B4362">
        <w:rPr>
          <w:rFonts w:eastAsia="Calibri"/>
          <w:szCs w:val="24"/>
        </w:rPr>
        <w:t>draw sample</w:t>
      </w:r>
      <w:r w:rsidR="00BB5AF3" w:rsidRPr="003B4362">
        <w:rPr>
          <w:rFonts w:eastAsia="Calibri"/>
          <w:szCs w:val="24"/>
        </w:rPr>
        <w:t>s</w:t>
      </w:r>
      <w:bookmarkEnd w:id="3097"/>
      <w:r w:rsidRPr="003B4362">
        <w:rPr>
          <w:rFonts w:eastAsia="Calibri"/>
          <w:szCs w:val="24"/>
        </w:rPr>
        <w:t>;</w:t>
      </w:r>
    </w:p>
    <w:p w14:paraId="7DDD8118" w14:textId="77777777" w:rsidR="00A854E0" w:rsidRDefault="00A854E0" w:rsidP="00A854E0">
      <w:pPr>
        <w:autoSpaceDE w:val="0"/>
        <w:autoSpaceDN w:val="0"/>
        <w:adjustRightInd w:val="0"/>
        <w:ind w:left="3600" w:hanging="720"/>
        <w:rPr>
          <w:rFonts w:eastAsia="Calibri"/>
          <w:szCs w:val="24"/>
        </w:rPr>
      </w:pPr>
    </w:p>
    <w:p w14:paraId="63A0A4E4" w14:textId="327CEEAF"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ii)</w:t>
      </w:r>
      <w:r w:rsidRPr="003B4362">
        <w:rPr>
          <w:rFonts w:eastAsia="Calibri"/>
          <w:szCs w:val="24"/>
        </w:rPr>
        <w:tab/>
      </w:r>
      <w:r w:rsidR="00BB5AF3" w:rsidRPr="003B4362">
        <w:rPr>
          <w:rFonts w:eastAsia="Calibri"/>
          <w:szCs w:val="24"/>
        </w:rPr>
        <w:t>All samples</w:t>
      </w:r>
      <w:r w:rsidRPr="003B4362">
        <w:rPr>
          <w:rFonts w:eastAsia="Calibri"/>
          <w:szCs w:val="24"/>
        </w:rPr>
        <w:t xml:space="preserve"> must be 250 ml in volume;</w:t>
      </w:r>
    </w:p>
    <w:p w14:paraId="7EC6C94F" w14:textId="77777777" w:rsidR="00A854E0" w:rsidRDefault="00A854E0" w:rsidP="00A854E0">
      <w:pPr>
        <w:autoSpaceDE w:val="0"/>
        <w:autoSpaceDN w:val="0"/>
        <w:adjustRightInd w:val="0"/>
        <w:ind w:left="3600" w:hanging="720"/>
        <w:rPr>
          <w:rFonts w:eastAsia="Calibri"/>
          <w:szCs w:val="24"/>
        </w:rPr>
      </w:pPr>
    </w:p>
    <w:p w14:paraId="24E29F0A" w14:textId="35AE6789"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iii)</w:t>
      </w:r>
      <w:r w:rsidRPr="003B4362">
        <w:rPr>
          <w:rFonts w:eastAsia="Calibri"/>
          <w:szCs w:val="24"/>
        </w:rPr>
        <w:tab/>
        <w:t>T</w:t>
      </w:r>
      <w:bookmarkStart w:id="3099" w:name="_Hlk125559872"/>
      <w:r w:rsidRPr="003B4362">
        <w:rPr>
          <w:rFonts w:eastAsia="Calibri"/>
          <w:szCs w:val="24"/>
        </w:rPr>
        <w:t>he water must remain stationary</w:t>
      </w:r>
      <w:bookmarkEnd w:id="3099"/>
      <w:r w:rsidRPr="003B4362">
        <w:rPr>
          <w:rFonts w:eastAsia="Calibri"/>
          <w:szCs w:val="24"/>
        </w:rPr>
        <w:t xml:space="preserve"> in </w:t>
      </w:r>
      <w:bookmarkStart w:id="3100" w:name="_Hlk125560621"/>
      <w:r w:rsidRPr="003B4362">
        <w:rPr>
          <w:rFonts w:eastAsia="Calibri"/>
          <w:szCs w:val="24"/>
        </w:rPr>
        <w:t xml:space="preserve">the </w:t>
      </w:r>
      <w:r w:rsidR="00745406" w:rsidRPr="003B4362">
        <w:rPr>
          <w:rFonts w:eastAsia="Calibri"/>
          <w:szCs w:val="24"/>
        </w:rPr>
        <w:t xml:space="preserve">sampling site’s (building’s) </w:t>
      </w:r>
      <w:r w:rsidRPr="003B4362">
        <w:rPr>
          <w:rFonts w:eastAsia="Calibri"/>
          <w:szCs w:val="24"/>
        </w:rPr>
        <w:t>plumbing system</w:t>
      </w:r>
      <w:bookmarkEnd w:id="3100"/>
      <w:r w:rsidR="00745406" w:rsidRPr="003B4362">
        <w:rPr>
          <w:rFonts w:eastAsia="Calibri"/>
          <w:szCs w:val="24"/>
        </w:rPr>
        <w:t xml:space="preserve"> </w:t>
      </w:r>
      <w:r w:rsidRPr="003B4362">
        <w:rPr>
          <w:rFonts w:eastAsia="Calibri"/>
          <w:szCs w:val="24"/>
        </w:rPr>
        <w:t xml:space="preserve">for </w:t>
      </w:r>
      <w:bookmarkStart w:id="3101" w:name="_Hlk125560680"/>
      <w:r w:rsidRPr="003B4362">
        <w:rPr>
          <w:rFonts w:eastAsia="Calibri"/>
          <w:szCs w:val="24"/>
        </w:rPr>
        <w:t xml:space="preserve">at least </w:t>
      </w:r>
      <w:r w:rsidR="00745406" w:rsidRPr="003B4362">
        <w:rPr>
          <w:rFonts w:eastAsia="Calibri"/>
          <w:szCs w:val="24"/>
        </w:rPr>
        <w:t>eight</w:t>
      </w:r>
      <w:r w:rsidRPr="003B4362">
        <w:rPr>
          <w:rFonts w:eastAsia="Calibri"/>
          <w:szCs w:val="24"/>
        </w:rPr>
        <w:t xml:space="preserve"> but no more than 18 hours</w:t>
      </w:r>
      <w:r w:rsidR="00745406" w:rsidRPr="003B4362">
        <w:rPr>
          <w:rFonts w:eastAsia="Calibri"/>
          <w:szCs w:val="24"/>
        </w:rPr>
        <w:t xml:space="preserve"> before</w:t>
      </w:r>
      <w:bookmarkStart w:id="3102" w:name="_Hlk125561034"/>
      <w:r w:rsidR="00745406" w:rsidRPr="003B4362">
        <w:rPr>
          <w:rFonts w:eastAsia="Calibri"/>
          <w:szCs w:val="24"/>
        </w:rPr>
        <w:t xml:space="preserve"> </w:t>
      </w:r>
      <w:bookmarkEnd w:id="3102"/>
      <w:r w:rsidR="00745406" w:rsidRPr="003B4362">
        <w:rPr>
          <w:rFonts w:eastAsia="Calibri"/>
          <w:szCs w:val="24"/>
        </w:rPr>
        <w:t>sampling</w:t>
      </w:r>
      <w:bookmarkEnd w:id="3101"/>
      <w:r w:rsidRPr="003B4362">
        <w:rPr>
          <w:rFonts w:eastAsia="Calibri"/>
          <w:szCs w:val="24"/>
        </w:rPr>
        <w:t>; and</w:t>
      </w:r>
    </w:p>
    <w:p w14:paraId="65442C51" w14:textId="77777777" w:rsidR="00A854E0" w:rsidRDefault="00A854E0" w:rsidP="00A854E0">
      <w:pPr>
        <w:autoSpaceDE w:val="0"/>
        <w:autoSpaceDN w:val="0"/>
        <w:adjustRightInd w:val="0"/>
        <w:ind w:left="3600" w:hanging="720"/>
        <w:rPr>
          <w:rFonts w:eastAsia="Calibri"/>
          <w:szCs w:val="24"/>
        </w:rPr>
      </w:pPr>
    </w:p>
    <w:p w14:paraId="24FBFECD" w14:textId="2B25D409"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iv)</w:t>
      </w:r>
      <w:r w:rsidRPr="003B4362">
        <w:rPr>
          <w:rFonts w:eastAsia="Calibri"/>
          <w:szCs w:val="24"/>
        </w:rPr>
        <w:tab/>
      </w:r>
      <w:r w:rsidR="007A6CF2" w:rsidRPr="003B4362">
        <w:rPr>
          <w:rFonts w:eastAsia="Calibri"/>
          <w:szCs w:val="24"/>
        </w:rPr>
        <w:t>T</w:t>
      </w:r>
      <w:bookmarkStart w:id="3103" w:name="_Hlk125561113"/>
      <w:r w:rsidR="007A6CF2" w:rsidRPr="003B4362">
        <w:rPr>
          <w:rFonts w:eastAsia="Calibri"/>
          <w:szCs w:val="24"/>
        </w:rPr>
        <w:t>he supplier must acidify s</w:t>
      </w:r>
      <w:bookmarkStart w:id="3104" w:name="_Hlk125560811"/>
      <w:r w:rsidRPr="003B4362">
        <w:rPr>
          <w:rFonts w:eastAsia="Calibri"/>
          <w:szCs w:val="24"/>
        </w:rPr>
        <w:t xml:space="preserve">amples </w:t>
      </w:r>
      <w:r w:rsidR="007A6CF2" w:rsidRPr="003B4362">
        <w:rPr>
          <w:rFonts w:eastAsia="Calibri"/>
          <w:szCs w:val="24"/>
        </w:rPr>
        <w:t>and analyze them</w:t>
      </w:r>
      <w:r w:rsidRPr="003B4362">
        <w:rPr>
          <w:rFonts w:eastAsia="Calibri"/>
          <w:szCs w:val="24"/>
        </w:rPr>
        <w:t xml:space="preserve"> using</w:t>
      </w:r>
      <w:r w:rsidR="007A6CF2" w:rsidRPr="003B4362">
        <w:rPr>
          <w:rFonts w:eastAsia="Calibri"/>
          <w:szCs w:val="24"/>
        </w:rPr>
        <w:t xml:space="preserve"> </w:t>
      </w:r>
      <w:r w:rsidRPr="003B4362">
        <w:rPr>
          <w:rFonts w:eastAsia="Calibri"/>
          <w:szCs w:val="24"/>
        </w:rPr>
        <w:t>the</w:t>
      </w:r>
      <w:r w:rsidR="007A6CF2" w:rsidRPr="003B4362">
        <w:rPr>
          <w:rFonts w:eastAsia="Calibri"/>
          <w:szCs w:val="24"/>
        </w:rPr>
        <w:t xml:space="preserve"> </w:t>
      </w:r>
      <w:r w:rsidRPr="003B4362">
        <w:rPr>
          <w:rFonts w:eastAsia="Calibri"/>
          <w:szCs w:val="24"/>
        </w:rPr>
        <w:t>analytical methods</w:t>
      </w:r>
      <w:bookmarkEnd w:id="3103"/>
      <w:bookmarkEnd w:id="3104"/>
      <w:r w:rsidRPr="003B4362">
        <w:rPr>
          <w:rFonts w:eastAsia="Calibri"/>
          <w:szCs w:val="24"/>
        </w:rPr>
        <w:t xml:space="preserve"> in Section </w:t>
      </w:r>
      <w:r w:rsidR="007A6CF2" w:rsidRPr="003B4362">
        <w:rPr>
          <w:rFonts w:eastAsia="Calibri"/>
          <w:szCs w:val="24"/>
        </w:rPr>
        <w:t>61</w:t>
      </w:r>
      <w:r w:rsidRPr="003B4362">
        <w:rPr>
          <w:rFonts w:eastAsia="Calibri"/>
          <w:szCs w:val="24"/>
        </w:rPr>
        <w:t>1.</w:t>
      </w:r>
      <w:r w:rsidR="007A6CF2" w:rsidRPr="003B4362">
        <w:rPr>
          <w:rFonts w:eastAsia="Calibri"/>
          <w:szCs w:val="24"/>
        </w:rPr>
        <w:t>35</w:t>
      </w:r>
      <w:r w:rsidRPr="003B4362">
        <w:rPr>
          <w:rFonts w:eastAsia="Calibri"/>
          <w:szCs w:val="24"/>
        </w:rPr>
        <w:t>9.</w:t>
      </w:r>
    </w:p>
    <w:p w14:paraId="575BED9A" w14:textId="77777777" w:rsidR="00A854E0" w:rsidRDefault="00A854E0" w:rsidP="00A854E0">
      <w:pPr>
        <w:autoSpaceDE w:val="0"/>
        <w:autoSpaceDN w:val="0"/>
        <w:adjustRightInd w:val="0"/>
        <w:ind w:left="2160" w:hanging="720"/>
        <w:rPr>
          <w:rFonts w:eastAsia="Calibri"/>
          <w:szCs w:val="24"/>
        </w:rPr>
      </w:pPr>
    </w:p>
    <w:p w14:paraId="726AD2D7" w14:textId="03651178"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r>
      <w:bookmarkStart w:id="3105" w:name="_Hlk125562606"/>
      <w:r w:rsidR="003F0319" w:rsidRPr="003B4362">
        <w:rPr>
          <w:rFonts w:eastAsia="Calibri"/>
          <w:szCs w:val="24"/>
        </w:rPr>
        <w:t>A</w:t>
      </w:r>
      <w:bookmarkStart w:id="3106" w:name="_Hlk125562889"/>
      <w:r w:rsidR="003F0319" w:rsidRPr="003B4362">
        <w:rPr>
          <w:rFonts w:eastAsia="Calibri"/>
          <w:szCs w:val="24"/>
        </w:rPr>
        <w:t>ppropriately trained personnel of t</w:t>
      </w:r>
      <w:r w:rsidRPr="003B4362">
        <w:rPr>
          <w:rFonts w:eastAsia="Calibri"/>
          <w:szCs w:val="24"/>
        </w:rPr>
        <w:t>he water system, school</w:t>
      </w:r>
      <w:r w:rsidR="003F0319" w:rsidRPr="003B4362">
        <w:rPr>
          <w:rFonts w:eastAsia="Calibri"/>
          <w:szCs w:val="24"/>
        </w:rPr>
        <w:t xml:space="preserve">, </w:t>
      </w:r>
      <w:r w:rsidRPr="003B4362">
        <w:rPr>
          <w:rFonts w:eastAsia="Calibri"/>
          <w:szCs w:val="24"/>
        </w:rPr>
        <w:t>or child care facility</w:t>
      </w:r>
      <w:r w:rsidR="003F0319" w:rsidRPr="003B4362">
        <w:rPr>
          <w:rFonts w:eastAsia="Calibri"/>
          <w:szCs w:val="24"/>
        </w:rPr>
        <w:t xml:space="preserve"> </w:t>
      </w:r>
      <w:r w:rsidRPr="003B4362">
        <w:rPr>
          <w:rFonts w:eastAsia="Calibri"/>
          <w:szCs w:val="24"/>
        </w:rPr>
        <w:t xml:space="preserve">or </w:t>
      </w:r>
      <w:r w:rsidR="003F0319" w:rsidRPr="003B4362">
        <w:rPr>
          <w:rFonts w:eastAsia="Calibri"/>
          <w:szCs w:val="24"/>
        </w:rPr>
        <w:t>an</w:t>
      </w:r>
      <w:r w:rsidRPr="003B4362">
        <w:rPr>
          <w:rFonts w:eastAsia="Calibri"/>
          <w:szCs w:val="24"/>
        </w:rPr>
        <w:t xml:space="preserve">other appropriately trained </w:t>
      </w:r>
      <w:bookmarkEnd w:id="3105"/>
      <w:r w:rsidR="003F0319" w:rsidRPr="003B4362">
        <w:rPr>
          <w:rFonts w:eastAsia="Calibri"/>
          <w:szCs w:val="24"/>
        </w:rPr>
        <w:t>person</w:t>
      </w:r>
      <w:bookmarkEnd w:id="3106"/>
      <w:r w:rsidRPr="003B4362">
        <w:rPr>
          <w:rFonts w:eastAsia="Calibri"/>
          <w:szCs w:val="24"/>
        </w:rPr>
        <w:t xml:space="preserve"> may collect samples </w:t>
      </w:r>
      <w:bookmarkStart w:id="3107" w:name="_Hlk125563091"/>
      <w:r w:rsidR="003F0319" w:rsidRPr="003B4362">
        <w:rPr>
          <w:rFonts w:eastAsia="Calibri"/>
          <w:szCs w:val="24"/>
        </w:rPr>
        <w:t>under</w:t>
      </w:r>
      <w:r w:rsidRPr="003B4362">
        <w:rPr>
          <w:rFonts w:eastAsia="Calibri"/>
          <w:szCs w:val="24"/>
        </w:rPr>
        <w:t xml:space="preserve"> subsection (b)(1)</w:t>
      </w:r>
      <w:bookmarkEnd w:id="3107"/>
      <w:r w:rsidRPr="003B4362">
        <w:rPr>
          <w:rFonts w:eastAsia="Calibri"/>
          <w:szCs w:val="24"/>
        </w:rPr>
        <w:t>.</w:t>
      </w:r>
    </w:p>
    <w:p w14:paraId="16386B6D" w14:textId="77777777" w:rsidR="00A854E0" w:rsidRDefault="00A854E0" w:rsidP="00A854E0">
      <w:pPr>
        <w:autoSpaceDE w:val="0"/>
        <w:autoSpaceDN w:val="0"/>
        <w:adjustRightInd w:val="0"/>
        <w:ind w:left="1440" w:hanging="720"/>
        <w:rPr>
          <w:rFonts w:eastAsia="Calibri"/>
          <w:szCs w:val="24"/>
        </w:rPr>
      </w:pPr>
    </w:p>
    <w:p w14:paraId="0727702E" w14:textId="7CB711F2"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c)</w:t>
      </w:r>
      <w:r w:rsidRPr="003B4362">
        <w:rPr>
          <w:rFonts w:eastAsia="Calibri"/>
          <w:szCs w:val="24"/>
        </w:rPr>
        <w:tab/>
      </w:r>
      <w:bookmarkStart w:id="3108" w:name="_Hlk125563334"/>
      <w:r w:rsidR="00154B9E" w:rsidRPr="003B4362">
        <w:rPr>
          <w:rFonts w:eastAsia="Calibri"/>
          <w:szCs w:val="24"/>
        </w:rPr>
        <w:t>S</w:t>
      </w:r>
      <w:r w:rsidR="003F0319" w:rsidRPr="003B4362">
        <w:rPr>
          <w:rFonts w:eastAsia="Calibri"/>
          <w:szCs w:val="24"/>
        </w:rPr>
        <w:t xml:space="preserve">ampling </w:t>
      </w:r>
      <w:r w:rsidRPr="003B4362">
        <w:rPr>
          <w:rFonts w:eastAsia="Calibri"/>
          <w:szCs w:val="24"/>
        </w:rPr>
        <w:t>F</w:t>
      </w:r>
      <w:bookmarkStart w:id="3109" w:name="_Hlk125563167"/>
      <w:r w:rsidRPr="003B4362">
        <w:rPr>
          <w:rFonts w:eastAsia="Calibri"/>
          <w:szCs w:val="24"/>
        </w:rPr>
        <w:t>requency</w:t>
      </w:r>
      <w:r w:rsidR="00154B9E" w:rsidRPr="003B4362">
        <w:rPr>
          <w:rFonts w:eastAsia="Calibri"/>
          <w:szCs w:val="24"/>
        </w:rPr>
        <w:t xml:space="preserve"> </w:t>
      </w:r>
      <w:r w:rsidRPr="003B4362">
        <w:rPr>
          <w:rFonts w:eastAsia="Calibri"/>
          <w:szCs w:val="24"/>
        </w:rPr>
        <w:t xml:space="preserve">at </w:t>
      </w:r>
      <w:r w:rsidR="00154B9E" w:rsidRPr="003B4362">
        <w:rPr>
          <w:rFonts w:eastAsia="Calibri"/>
          <w:szCs w:val="24"/>
        </w:rPr>
        <w:t>E</w:t>
      </w:r>
      <w:r w:rsidRPr="003B4362">
        <w:rPr>
          <w:rFonts w:eastAsia="Calibri"/>
          <w:szCs w:val="24"/>
        </w:rPr>
        <w:t xml:space="preserve">lementary </w:t>
      </w:r>
      <w:r w:rsidR="00154B9E" w:rsidRPr="003B4362">
        <w:rPr>
          <w:rFonts w:eastAsia="Calibri"/>
          <w:szCs w:val="24"/>
        </w:rPr>
        <w:t>S</w:t>
      </w:r>
      <w:r w:rsidRPr="003B4362">
        <w:rPr>
          <w:rFonts w:eastAsia="Calibri"/>
          <w:szCs w:val="24"/>
        </w:rPr>
        <w:t xml:space="preserve">chools and </w:t>
      </w:r>
      <w:r w:rsidR="00154B9E" w:rsidRPr="003B4362">
        <w:rPr>
          <w:rFonts w:eastAsia="Calibri"/>
          <w:szCs w:val="24"/>
        </w:rPr>
        <w:t>C</w:t>
      </w:r>
      <w:r w:rsidRPr="003B4362">
        <w:rPr>
          <w:rFonts w:eastAsia="Calibri"/>
          <w:szCs w:val="24"/>
        </w:rPr>
        <w:t xml:space="preserve">hild </w:t>
      </w:r>
      <w:r w:rsidR="00154B9E" w:rsidRPr="003B4362">
        <w:rPr>
          <w:rFonts w:eastAsia="Calibri"/>
          <w:szCs w:val="24"/>
        </w:rPr>
        <w:t>C</w:t>
      </w:r>
      <w:r w:rsidRPr="003B4362">
        <w:rPr>
          <w:rFonts w:eastAsia="Calibri"/>
          <w:szCs w:val="24"/>
        </w:rPr>
        <w:t xml:space="preserve">are </w:t>
      </w:r>
      <w:r w:rsidR="00154B9E" w:rsidRPr="003B4362">
        <w:rPr>
          <w:rFonts w:eastAsia="Calibri"/>
          <w:szCs w:val="24"/>
        </w:rPr>
        <w:t>F</w:t>
      </w:r>
      <w:r w:rsidRPr="003B4362">
        <w:rPr>
          <w:rFonts w:eastAsia="Calibri"/>
          <w:szCs w:val="24"/>
        </w:rPr>
        <w:t>acilities</w:t>
      </w:r>
      <w:bookmarkEnd w:id="3108"/>
      <w:bookmarkEnd w:id="3109"/>
    </w:p>
    <w:p w14:paraId="3225F39C" w14:textId="77777777" w:rsidR="00A854E0" w:rsidRDefault="00A854E0" w:rsidP="00A854E0">
      <w:pPr>
        <w:autoSpaceDE w:val="0"/>
        <w:autoSpaceDN w:val="0"/>
        <w:adjustRightInd w:val="0"/>
        <w:ind w:left="2160" w:hanging="720"/>
        <w:rPr>
          <w:rFonts w:eastAsia="Calibri"/>
          <w:szCs w:val="24"/>
        </w:rPr>
      </w:pPr>
    </w:p>
    <w:p w14:paraId="0F0741BF" w14:textId="0D7DE77A"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lastRenderedPageBreak/>
        <w:t>1)</w:t>
      </w:r>
      <w:r w:rsidRPr="003B4362">
        <w:rPr>
          <w:rFonts w:eastAsia="Calibri"/>
          <w:szCs w:val="24"/>
        </w:rPr>
        <w:tab/>
      </w:r>
      <w:bookmarkStart w:id="3110" w:name="_Hlk125563982"/>
      <w:r w:rsidR="00D65C5E" w:rsidRPr="003B4362">
        <w:rPr>
          <w:rFonts w:eastAsia="Calibri"/>
          <w:szCs w:val="24"/>
        </w:rPr>
        <w:t>A</w:t>
      </w:r>
      <w:bookmarkStart w:id="3111" w:name="_Hlk125565373"/>
      <w:bookmarkStart w:id="3112" w:name="_Hlk125564034"/>
      <w:r w:rsidR="00CC04CD" w:rsidRPr="003B4362">
        <w:rPr>
          <w:rFonts w:eastAsia="Calibri"/>
          <w:szCs w:val="24"/>
        </w:rPr>
        <w:t xml:space="preserve">nnually, </w:t>
      </w:r>
      <w:bookmarkStart w:id="3113" w:name="_Hlk125564827"/>
      <w:r w:rsidR="00CC04CD" w:rsidRPr="003B4362">
        <w:rPr>
          <w:rFonts w:eastAsia="Calibri"/>
          <w:szCs w:val="24"/>
        </w:rPr>
        <w:t>or on an alternative Agency-approved schedule</w:t>
      </w:r>
      <w:bookmarkEnd w:id="3111"/>
      <w:bookmarkEnd w:id="3113"/>
      <w:r w:rsidR="00CC04CD" w:rsidRPr="003B4362">
        <w:rPr>
          <w:rFonts w:eastAsia="Calibri"/>
          <w:szCs w:val="24"/>
        </w:rPr>
        <w:t>,</w:t>
      </w:r>
      <w:r w:rsidR="00D65C5E" w:rsidRPr="003B4362">
        <w:rPr>
          <w:rFonts w:eastAsia="Calibri"/>
          <w:szCs w:val="24"/>
        </w:rPr>
        <w:t xml:space="preserve"> </w:t>
      </w:r>
      <w:r w:rsidR="00CC04CD" w:rsidRPr="003B4362">
        <w:rPr>
          <w:rFonts w:eastAsia="Calibri"/>
          <w:szCs w:val="24"/>
        </w:rPr>
        <w:t xml:space="preserve">the </w:t>
      </w:r>
      <w:r w:rsidR="00D65C5E" w:rsidRPr="003B4362">
        <w:rPr>
          <w:rFonts w:eastAsia="Calibri"/>
          <w:szCs w:val="24"/>
        </w:rPr>
        <w:t>supplier</w:t>
      </w:r>
      <w:r w:rsidRPr="003B4362">
        <w:rPr>
          <w:rFonts w:eastAsia="Calibri"/>
          <w:szCs w:val="24"/>
        </w:rPr>
        <w:t xml:space="preserve"> </w:t>
      </w:r>
      <w:r w:rsidR="00D65C5E" w:rsidRPr="003B4362">
        <w:rPr>
          <w:rFonts w:eastAsia="Calibri"/>
          <w:szCs w:val="24"/>
        </w:rPr>
        <w:t>must</w:t>
      </w:r>
      <w:r w:rsidRPr="003B4362">
        <w:rPr>
          <w:rFonts w:eastAsia="Calibri"/>
          <w:szCs w:val="24"/>
        </w:rPr>
        <w:t xml:space="preserve"> collect</w:t>
      </w:r>
      <w:bookmarkEnd w:id="3110"/>
      <w:bookmarkEnd w:id="3112"/>
      <w:r w:rsidRPr="003B4362">
        <w:rPr>
          <w:rFonts w:eastAsia="Calibri"/>
          <w:szCs w:val="24"/>
        </w:rPr>
        <w:t xml:space="preserve"> samples </w:t>
      </w:r>
      <w:bookmarkStart w:id="3114" w:name="_Hlk125564208"/>
      <w:r w:rsidRPr="003B4362">
        <w:rPr>
          <w:rFonts w:eastAsia="Calibri"/>
          <w:szCs w:val="24"/>
        </w:rPr>
        <w:t xml:space="preserve">from </w:t>
      </w:r>
      <w:r w:rsidR="00D65C5E" w:rsidRPr="003B4362">
        <w:rPr>
          <w:rFonts w:eastAsia="Calibri"/>
          <w:szCs w:val="24"/>
        </w:rPr>
        <w:t>no fewer than</w:t>
      </w:r>
      <w:r w:rsidRPr="003B4362">
        <w:rPr>
          <w:rFonts w:eastAsia="Calibri"/>
          <w:szCs w:val="24"/>
        </w:rPr>
        <w:t xml:space="preserve"> 20 percent</w:t>
      </w:r>
      <w:bookmarkStart w:id="3115" w:name="_Hlk125564913"/>
      <w:bookmarkEnd w:id="3114"/>
      <w:r w:rsidRPr="003B4362">
        <w:rPr>
          <w:rFonts w:eastAsia="Calibri"/>
          <w:szCs w:val="24"/>
        </w:rPr>
        <w:t xml:space="preserve"> of elementary schools</w:t>
      </w:r>
      <w:r w:rsidR="00D65C5E" w:rsidRPr="003B4362">
        <w:rPr>
          <w:rFonts w:eastAsia="Calibri"/>
          <w:szCs w:val="24"/>
        </w:rPr>
        <w:t xml:space="preserve"> </w:t>
      </w:r>
      <w:r w:rsidRPr="003B4362">
        <w:rPr>
          <w:rFonts w:eastAsia="Calibri"/>
          <w:szCs w:val="24"/>
        </w:rPr>
        <w:t xml:space="preserve">and 20 percent of child care facilities </w:t>
      </w:r>
      <w:r w:rsidR="00D65C5E" w:rsidRPr="003B4362">
        <w:rPr>
          <w:rFonts w:eastAsia="Calibri"/>
          <w:szCs w:val="24"/>
        </w:rPr>
        <w:t>the supplier serves</w:t>
      </w:r>
      <w:bookmarkEnd w:id="3115"/>
      <w:r w:rsidR="00CC04CD" w:rsidRPr="003B4362">
        <w:rPr>
          <w:rFonts w:eastAsia="Calibri"/>
          <w:szCs w:val="24"/>
        </w:rPr>
        <w:t>,</w:t>
      </w:r>
      <w:r w:rsidRPr="003B4362">
        <w:rPr>
          <w:rFonts w:eastAsia="Calibri"/>
          <w:szCs w:val="24"/>
        </w:rPr>
        <w:t xml:space="preserve"> </w:t>
      </w:r>
      <w:bookmarkStart w:id="3116" w:name="_Hlk125565534"/>
      <w:r w:rsidRPr="003B4362">
        <w:rPr>
          <w:rFonts w:eastAsia="Calibri"/>
          <w:szCs w:val="24"/>
        </w:rPr>
        <w:t xml:space="preserve">until </w:t>
      </w:r>
      <w:r w:rsidR="00CC04CD" w:rsidRPr="003B4362">
        <w:rPr>
          <w:rFonts w:eastAsia="Calibri"/>
          <w:szCs w:val="24"/>
        </w:rPr>
        <w:t xml:space="preserve">the supplier </w:t>
      </w:r>
      <w:r w:rsidR="00DA2256" w:rsidRPr="003B4362">
        <w:rPr>
          <w:rFonts w:eastAsia="Calibri"/>
          <w:szCs w:val="24"/>
        </w:rPr>
        <w:t xml:space="preserve">samples </w:t>
      </w:r>
      <w:r w:rsidRPr="003B4362">
        <w:rPr>
          <w:rFonts w:eastAsia="Calibri"/>
          <w:szCs w:val="24"/>
        </w:rPr>
        <w:t xml:space="preserve">all schools and child care facilities </w:t>
      </w:r>
      <w:r w:rsidR="00DA2256" w:rsidRPr="003B4362">
        <w:rPr>
          <w:rFonts w:eastAsia="Calibri"/>
          <w:szCs w:val="24"/>
        </w:rPr>
        <w:t>it list</w:t>
      </w:r>
      <w:r w:rsidRPr="003B4362">
        <w:rPr>
          <w:rFonts w:eastAsia="Calibri"/>
          <w:szCs w:val="24"/>
        </w:rPr>
        <w:t>ed under subsection (a)(1)</w:t>
      </w:r>
      <w:r w:rsidR="00DA2256" w:rsidRPr="003B4362">
        <w:rPr>
          <w:rFonts w:eastAsia="Calibri"/>
          <w:szCs w:val="24"/>
        </w:rPr>
        <w:t xml:space="preserve"> that did not</w:t>
      </w:r>
      <w:bookmarkStart w:id="3117" w:name="_Hlk125569671"/>
      <w:r w:rsidR="00DA2256" w:rsidRPr="003B4362">
        <w:rPr>
          <w:rFonts w:eastAsia="Calibri"/>
          <w:szCs w:val="24"/>
        </w:rPr>
        <w:t xml:space="preserve"> </w:t>
      </w:r>
      <w:bookmarkEnd w:id="3117"/>
      <w:r w:rsidR="00DA2256" w:rsidRPr="003B4362">
        <w:rPr>
          <w:rFonts w:eastAsia="Calibri"/>
          <w:szCs w:val="24"/>
        </w:rPr>
        <w:t>decline</w:t>
      </w:r>
      <w:r w:rsidRPr="003B4362">
        <w:rPr>
          <w:rFonts w:eastAsia="Calibri"/>
          <w:szCs w:val="24"/>
        </w:rPr>
        <w:t xml:space="preserve"> to participate</w:t>
      </w:r>
      <w:bookmarkEnd w:id="3116"/>
      <w:r w:rsidRPr="003B4362">
        <w:rPr>
          <w:rFonts w:eastAsia="Calibri"/>
          <w:szCs w:val="24"/>
        </w:rPr>
        <w:t xml:space="preserve">.  </w:t>
      </w:r>
      <w:bookmarkStart w:id="3118" w:name="_Hlk125566045"/>
      <w:r w:rsidR="00DA2256" w:rsidRPr="003B4362">
        <w:rPr>
          <w:rFonts w:eastAsia="Calibri"/>
          <w:szCs w:val="24"/>
        </w:rPr>
        <w:t>Under</w:t>
      </w:r>
      <w:r w:rsidRPr="003B4362">
        <w:rPr>
          <w:rFonts w:eastAsia="Calibri"/>
          <w:szCs w:val="24"/>
        </w:rPr>
        <w:t xml:space="preserve"> this </w:t>
      </w:r>
      <w:r w:rsidR="00DA2256" w:rsidRPr="003B4362">
        <w:rPr>
          <w:rFonts w:eastAsia="Calibri"/>
          <w:szCs w:val="24"/>
        </w:rPr>
        <w:t>S</w:t>
      </w:r>
      <w:r w:rsidRPr="003B4362">
        <w:rPr>
          <w:rFonts w:eastAsia="Calibri"/>
          <w:szCs w:val="24"/>
        </w:rPr>
        <w:t>ection</w:t>
      </w:r>
      <w:bookmarkEnd w:id="3118"/>
      <w:r w:rsidRPr="003B4362">
        <w:rPr>
          <w:rFonts w:eastAsia="Calibri"/>
          <w:szCs w:val="24"/>
        </w:rPr>
        <w:t xml:space="preserve">, a </w:t>
      </w:r>
      <w:r w:rsidR="00DA2256" w:rsidRPr="003B4362">
        <w:rPr>
          <w:rFonts w:eastAsia="Calibri"/>
          <w:szCs w:val="24"/>
        </w:rPr>
        <w:t>supplier</w:t>
      </w:r>
      <w:r w:rsidRPr="003B4362">
        <w:rPr>
          <w:rFonts w:eastAsia="Calibri"/>
          <w:szCs w:val="24"/>
        </w:rPr>
        <w:t xml:space="preserve"> may </w:t>
      </w:r>
      <w:bookmarkStart w:id="3119" w:name="_Hlk125569872"/>
      <w:r w:rsidRPr="003B4362">
        <w:rPr>
          <w:rFonts w:eastAsia="Calibri"/>
          <w:szCs w:val="24"/>
        </w:rPr>
        <w:t>count</w:t>
      </w:r>
      <w:r w:rsidR="00796594" w:rsidRPr="003B4362">
        <w:rPr>
          <w:rFonts w:eastAsia="Calibri"/>
          <w:szCs w:val="24"/>
        </w:rPr>
        <w:t xml:space="preserve"> </w:t>
      </w:r>
      <w:r w:rsidRPr="003B4362">
        <w:rPr>
          <w:rFonts w:eastAsia="Calibri"/>
          <w:szCs w:val="24"/>
        </w:rPr>
        <w:t xml:space="preserve">an elementary school or child care facility </w:t>
      </w:r>
      <w:r w:rsidR="00796594" w:rsidRPr="003B4362">
        <w:rPr>
          <w:rFonts w:eastAsia="Calibri"/>
          <w:szCs w:val="24"/>
        </w:rPr>
        <w:t xml:space="preserve">failing to respond or otherwise declining to participate </w:t>
      </w:r>
      <w:r w:rsidRPr="003B4362">
        <w:rPr>
          <w:rFonts w:eastAsia="Calibri"/>
          <w:szCs w:val="24"/>
        </w:rPr>
        <w:t xml:space="preserve">as part of </w:t>
      </w:r>
      <w:r w:rsidR="00796594" w:rsidRPr="003B4362">
        <w:rPr>
          <w:rFonts w:eastAsia="Calibri"/>
          <w:szCs w:val="24"/>
        </w:rPr>
        <w:t>its annual</w:t>
      </w:r>
      <w:r w:rsidRPr="003B4362">
        <w:rPr>
          <w:rFonts w:eastAsia="Calibri"/>
          <w:szCs w:val="24"/>
        </w:rPr>
        <w:t xml:space="preserve"> 20 percent</w:t>
      </w:r>
      <w:bookmarkEnd w:id="3119"/>
      <w:r w:rsidR="00B570A6" w:rsidRPr="003B4362">
        <w:rPr>
          <w:rFonts w:eastAsia="Calibri"/>
          <w:szCs w:val="24"/>
        </w:rPr>
        <w:t xml:space="preserve"> minimum</w:t>
      </w:r>
      <w:r w:rsidRPr="003B4362">
        <w:rPr>
          <w:rFonts w:eastAsia="Calibri"/>
          <w:szCs w:val="24"/>
        </w:rPr>
        <w:t>.</w:t>
      </w:r>
    </w:p>
    <w:p w14:paraId="08381A5A" w14:textId="77777777" w:rsidR="00A854E0" w:rsidRDefault="00A854E0" w:rsidP="00A854E0">
      <w:pPr>
        <w:autoSpaceDE w:val="0"/>
        <w:autoSpaceDN w:val="0"/>
        <w:adjustRightInd w:val="0"/>
        <w:ind w:left="2160" w:hanging="720"/>
        <w:rPr>
          <w:rFonts w:eastAsia="Calibri"/>
          <w:szCs w:val="24"/>
        </w:rPr>
      </w:pPr>
    </w:p>
    <w:p w14:paraId="2471F63C" w14:textId="74FF7BAA"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r>
      <w:bookmarkStart w:id="3120" w:name="_Hlk125570308"/>
      <w:r w:rsidR="00B570A6" w:rsidRPr="003B4362">
        <w:rPr>
          <w:rFonts w:eastAsia="Calibri"/>
          <w:szCs w:val="24"/>
        </w:rPr>
        <w:t>A</w:t>
      </w:r>
      <w:bookmarkStart w:id="3121" w:name="_Hlk125570452"/>
      <w:r w:rsidR="00B570A6" w:rsidRPr="003B4362">
        <w:rPr>
          <w:rFonts w:eastAsia="Calibri"/>
          <w:szCs w:val="24"/>
        </w:rPr>
        <w:t xml:space="preserve"> supplier must sample a</w:t>
      </w:r>
      <w:r w:rsidRPr="003B4362">
        <w:rPr>
          <w:rFonts w:eastAsia="Calibri"/>
          <w:szCs w:val="24"/>
        </w:rPr>
        <w:t xml:space="preserve">ll elementary schools and child care facilities </w:t>
      </w:r>
      <w:r w:rsidR="00B570A6" w:rsidRPr="003B4362">
        <w:rPr>
          <w:rFonts w:eastAsia="Calibri"/>
          <w:szCs w:val="24"/>
        </w:rPr>
        <w:t>it serves</w:t>
      </w:r>
      <w:bookmarkEnd w:id="3120"/>
      <w:bookmarkEnd w:id="3121"/>
      <w:r w:rsidRPr="003B4362">
        <w:rPr>
          <w:rFonts w:eastAsia="Calibri"/>
          <w:szCs w:val="24"/>
        </w:rPr>
        <w:t xml:space="preserve"> at least once in the five years following the </w:t>
      </w:r>
      <w:bookmarkStart w:id="3122" w:name="_Hlk125570539"/>
      <w:r w:rsidRPr="003B4362">
        <w:rPr>
          <w:rFonts w:eastAsia="Calibri"/>
          <w:szCs w:val="24"/>
        </w:rPr>
        <w:t xml:space="preserve">compliance date </w:t>
      </w:r>
      <w:r w:rsidR="00B570A6" w:rsidRPr="003B4362">
        <w:rPr>
          <w:rFonts w:eastAsia="Calibri"/>
          <w:szCs w:val="24"/>
        </w:rPr>
        <w:t>under</w:t>
      </w:r>
      <w:r w:rsidRPr="003B4362">
        <w:rPr>
          <w:rFonts w:eastAsia="Calibri"/>
          <w:szCs w:val="24"/>
        </w:rPr>
        <w:t xml:space="preserve"> Section </w:t>
      </w:r>
      <w:r w:rsidR="00C74AC3" w:rsidRPr="003B4362">
        <w:rPr>
          <w:rFonts w:eastAsia="Calibri"/>
          <w:szCs w:val="24"/>
        </w:rPr>
        <w:t>61</w:t>
      </w:r>
      <w:r w:rsidRPr="003B4362">
        <w:rPr>
          <w:rFonts w:eastAsia="Calibri"/>
          <w:szCs w:val="24"/>
        </w:rPr>
        <w:t>1.</w:t>
      </w:r>
      <w:r w:rsidR="00050AF4" w:rsidRPr="003B4362">
        <w:rPr>
          <w:rFonts w:eastAsia="Calibri"/>
          <w:szCs w:val="24"/>
        </w:rPr>
        <w:t>350(a)(1)(A)</w:t>
      </w:r>
      <w:bookmarkEnd w:id="3122"/>
      <w:r w:rsidRPr="003B4362">
        <w:rPr>
          <w:rFonts w:eastAsia="Calibri"/>
          <w:szCs w:val="24"/>
        </w:rPr>
        <w:t>.</w:t>
      </w:r>
    </w:p>
    <w:p w14:paraId="1E11AB58" w14:textId="77777777" w:rsidR="00A854E0" w:rsidRDefault="00A854E0" w:rsidP="00A854E0">
      <w:pPr>
        <w:autoSpaceDE w:val="0"/>
        <w:autoSpaceDN w:val="0"/>
        <w:adjustRightInd w:val="0"/>
        <w:ind w:left="2160" w:hanging="720"/>
        <w:rPr>
          <w:rFonts w:eastAsia="Calibri"/>
          <w:szCs w:val="24"/>
        </w:rPr>
      </w:pPr>
    </w:p>
    <w:p w14:paraId="430017F7" w14:textId="6B57B041"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3)</w:t>
      </w:r>
      <w:r w:rsidRPr="003B4362">
        <w:rPr>
          <w:rFonts w:eastAsia="Calibri"/>
          <w:szCs w:val="24"/>
        </w:rPr>
        <w:tab/>
        <w:t>A</w:t>
      </w:r>
      <w:bookmarkStart w:id="3123" w:name="_Hlk125570828"/>
      <w:r w:rsidRPr="003B4362">
        <w:rPr>
          <w:rFonts w:eastAsia="Calibri"/>
          <w:szCs w:val="24"/>
        </w:rPr>
        <w:t xml:space="preserve">fter a </w:t>
      </w:r>
      <w:r w:rsidR="00C74AC3" w:rsidRPr="003B4362">
        <w:rPr>
          <w:rFonts w:eastAsia="Calibri"/>
          <w:szCs w:val="24"/>
        </w:rPr>
        <w:t>supplier</w:t>
      </w:r>
      <w:r w:rsidRPr="003B4362">
        <w:rPr>
          <w:rFonts w:eastAsia="Calibri"/>
          <w:szCs w:val="24"/>
        </w:rPr>
        <w:t xml:space="preserve"> </w:t>
      </w:r>
      <w:r w:rsidR="00C74AC3" w:rsidRPr="003B4362">
        <w:rPr>
          <w:rFonts w:eastAsia="Calibri"/>
          <w:szCs w:val="24"/>
        </w:rPr>
        <w:t>completes</w:t>
      </w:r>
      <w:bookmarkEnd w:id="3123"/>
      <w:r w:rsidRPr="003B4362">
        <w:rPr>
          <w:rFonts w:eastAsia="Calibri"/>
          <w:szCs w:val="24"/>
        </w:rPr>
        <w:t xml:space="preserve"> one required cycle of sampling in </w:t>
      </w:r>
      <w:bookmarkStart w:id="3124" w:name="_Hlk125570908"/>
      <w:r w:rsidRPr="003B4362">
        <w:rPr>
          <w:rFonts w:eastAsia="Calibri"/>
          <w:szCs w:val="24"/>
        </w:rPr>
        <w:t>all elementary schools and child care facilities</w:t>
      </w:r>
      <w:r w:rsidR="00C74AC3" w:rsidRPr="003B4362">
        <w:rPr>
          <w:rFonts w:eastAsia="Calibri"/>
          <w:szCs w:val="24"/>
        </w:rPr>
        <w:t xml:space="preserve"> it serves</w:t>
      </w:r>
      <w:bookmarkEnd w:id="3124"/>
      <w:r w:rsidRPr="003B4362">
        <w:rPr>
          <w:rFonts w:eastAsia="Calibri"/>
          <w:szCs w:val="24"/>
        </w:rPr>
        <w:t xml:space="preserve">, </w:t>
      </w:r>
      <w:bookmarkStart w:id="3125" w:name="_Hlk125571036"/>
      <w:r w:rsidR="00C74AC3" w:rsidRPr="003B4362">
        <w:rPr>
          <w:rFonts w:eastAsia="Calibri"/>
          <w:szCs w:val="24"/>
        </w:rPr>
        <w:t>the</w:t>
      </w:r>
      <w:r w:rsidRPr="003B4362">
        <w:rPr>
          <w:rFonts w:eastAsia="Calibri"/>
          <w:szCs w:val="24"/>
        </w:rPr>
        <w:t xml:space="preserve"> </w:t>
      </w:r>
      <w:bookmarkEnd w:id="3125"/>
      <w:r w:rsidR="00C74AC3" w:rsidRPr="003B4362">
        <w:rPr>
          <w:rFonts w:eastAsia="Calibri"/>
          <w:szCs w:val="24"/>
        </w:rPr>
        <w:t>supplier</w:t>
      </w:r>
      <w:r w:rsidRPr="003B4362">
        <w:rPr>
          <w:rFonts w:eastAsia="Calibri"/>
          <w:szCs w:val="24"/>
        </w:rPr>
        <w:t xml:space="preserve"> must sample at the request of an</w:t>
      </w:r>
      <w:r w:rsidR="00C74AC3" w:rsidRPr="003B4362">
        <w:rPr>
          <w:rFonts w:eastAsia="Calibri"/>
          <w:szCs w:val="24"/>
        </w:rPr>
        <w:t>y</w:t>
      </w:r>
      <w:r w:rsidRPr="003B4362">
        <w:rPr>
          <w:rFonts w:eastAsia="Calibri"/>
          <w:szCs w:val="24"/>
        </w:rPr>
        <w:t xml:space="preserve"> elementary school or child care facility </w:t>
      </w:r>
      <w:r w:rsidR="00D21381" w:rsidRPr="003B4362">
        <w:rPr>
          <w:rFonts w:eastAsia="Calibri"/>
          <w:szCs w:val="24"/>
        </w:rPr>
        <w:t>under</w:t>
      </w:r>
      <w:r w:rsidRPr="003B4362">
        <w:rPr>
          <w:rFonts w:eastAsia="Calibri"/>
          <w:szCs w:val="24"/>
        </w:rPr>
        <w:t xml:space="preserve"> subsection (g).</w:t>
      </w:r>
    </w:p>
    <w:p w14:paraId="0BEA6C53" w14:textId="77777777" w:rsidR="00A854E0" w:rsidRDefault="00A854E0" w:rsidP="00A854E0">
      <w:pPr>
        <w:autoSpaceDE w:val="0"/>
        <w:autoSpaceDN w:val="0"/>
        <w:adjustRightInd w:val="0"/>
        <w:ind w:left="2160" w:hanging="720"/>
        <w:rPr>
          <w:rFonts w:eastAsia="Calibri"/>
          <w:szCs w:val="24"/>
        </w:rPr>
      </w:pPr>
    </w:p>
    <w:p w14:paraId="75A43319" w14:textId="26E72104"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4)</w:t>
      </w:r>
      <w:r w:rsidRPr="003B4362">
        <w:rPr>
          <w:rFonts w:eastAsia="Calibri"/>
          <w:szCs w:val="24"/>
        </w:rPr>
        <w:tab/>
        <w:t xml:space="preserve">A </w:t>
      </w:r>
      <w:r w:rsidR="00D21381" w:rsidRPr="003B4362">
        <w:rPr>
          <w:rFonts w:eastAsia="Calibri"/>
          <w:szCs w:val="24"/>
        </w:rPr>
        <w:t>supplier</w:t>
      </w:r>
      <w:r w:rsidRPr="003B4362">
        <w:rPr>
          <w:rFonts w:eastAsia="Calibri"/>
          <w:szCs w:val="24"/>
        </w:rPr>
        <w:t xml:space="preserve"> must sample at the request of a secondary school </w:t>
      </w:r>
      <w:bookmarkStart w:id="3126" w:name="_Hlk125571703"/>
      <w:r w:rsidR="00D21381" w:rsidRPr="003B4362">
        <w:rPr>
          <w:rFonts w:eastAsia="Calibri"/>
          <w:szCs w:val="24"/>
        </w:rPr>
        <w:t>under</w:t>
      </w:r>
      <w:r w:rsidRPr="003B4362">
        <w:rPr>
          <w:rFonts w:eastAsia="Calibri"/>
          <w:szCs w:val="24"/>
        </w:rPr>
        <w:t xml:space="preserve"> subsection (g)</w:t>
      </w:r>
      <w:bookmarkEnd w:id="3126"/>
      <w:r w:rsidRPr="003B4362">
        <w:rPr>
          <w:rFonts w:eastAsia="Calibri"/>
          <w:szCs w:val="24"/>
        </w:rPr>
        <w:t xml:space="preserve">.  If a </w:t>
      </w:r>
      <w:r w:rsidR="00D72744" w:rsidRPr="003B4362">
        <w:rPr>
          <w:rFonts w:eastAsia="Calibri"/>
          <w:szCs w:val="24"/>
        </w:rPr>
        <w:t>supplier</w:t>
      </w:r>
      <w:r w:rsidRPr="003B4362">
        <w:rPr>
          <w:rFonts w:eastAsia="Calibri"/>
          <w:szCs w:val="24"/>
        </w:rPr>
        <w:t xml:space="preserve"> receives requests from more than 20 percent of secondary schools </w:t>
      </w:r>
      <w:bookmarkStart w:id="3127" w:name="_Hlk125571900"/>
      <w:r w:rsidR="00D72744" w:rsidRPr="003B4362">
        <w:rPr>
          <w:rFonts w:eastAsia="Calibri"/>
          <w:szCs w:val="24"/>
        </w:rPr>
        <w:t>it listed under</w:t>
      </w:r>
      <w:r w:rsidRPr="003B4362">
        <w:rPr>
          <w:rFonts w:eastAsia="Calibri"/>
          <w:szCs w:val="24"/>
        </w:rPr>
        <w:t xml:space="preserve"> subsection (a)(1)</w:t>
      </w:r>
      <w:bookmarkEnd w:id="3127"/>
      <w:r w:rsidRPr="003B4362">
        <w:rPr>
          <w:rFonts w:eastAsia="Calibri"/>
          <w:szCs w:val="24"/>
        </w:rPr>
        <w:t xml:space="preserve"> in any of the five years following the compliance date </w:t>
      </w:r>
      <w:r w:rsidR="00D72744" w:rsidRPr="003B4362">
        <w:rPr>
          <w:rFonts w:eastAsia="Calibri"/>
          <w:szCs w:val="24"/>
        </w:rPr>
        <w:t>under</w:t>
      </w:r>
      <w:r w:rsidRPr="003B4362">
        <w:rPr>
          <w:rFonts w:eastAsia="Calibri"/>
          <w:szCs w:val="24"/>
        </w:rPr>
        <w:t xml:space="preserve"> </w:t>
      </w:r>
      <w:r w:rsidR="00050AF4" w:rsidRPr="003B4362">
        <w:rPr>
          <w:rFonts w:eastAsia="Calibri"/>
          <w:szCs w:val="24"/>
        </w:rPr>
        <w:t xml:space="preserve">40 CFR </w:t>
      </w:r>
      <w:r w:rsidRPr="003B4362">
        <w:rPr>
          <w:rFonts w:eastAsia="Calibri"/>
          <w:szCs w:val="24"/>
        </w:rPr>
        <w:t xml:space="preserve">Section 141.80(a)(3), the </w:t>
      </w:r>
      <w:r w:rsidR="00D72744" w:rsidRPr="003B4362">
        <w:rPr>
          <w:rFonts w:eastAsia="Calibri"/>
          <w:szCs w:val="24"/>
        </w:rPr>
        <w:t>supplier</w:t>
      </w:r>
      <w:r w:rsidRPr="003B4362">
        <w:rPr>
          <w:rFonts w:eastAsia="Calibri"/>
          <w:szCs w:val="24"/>
        </w:rPr>
        <w:t xml:space="preserve"> may schedule the requests </w:t>
      </w:r>
      <w:r w:rsidR="00D72744" w:rsidRPr="003B4362">
        <w:rPr>
          <w:rFonts w:eastAsia="Calibri"/>
          <w:szCs w:val="24"/>
        </w:rPr>
        <w:t>exceeding</w:t>
      </w:r>
      <w:r w:rsidRPr="003B4362">
        <w:rPr>
          <w:rFonts w:eastAsia="Calibri"/>
          <w:szCs w:val="24"/>
        </w:rPr>
        <w:t xml:space="preserve"> 20 percent for the following year</w:t>
      </w:r>
      <w:r w:rsidR="00D72744" w:rsidRPr="003B4362">
        <w:rPr>
          <w:rFonts w:eastAsia="Calibri"/>
          <w:szCs w:val="24"/>
        </w:rPr>
        <w:t>,</w:t>
      </w:r>
      <w:r w:rsidRPr="003B4362">
        <w:rPr>
          <w:rFonts w:eastAsia="Calibri"/>
          <w:szCs w:val="24"/>
        </w:rPr>
        <w:t xml:space="preserve"> </w:t>
      </w:r>
      <w:bookmarkStart w:id="3128" w:name="_Hlk125572508"/>
      <w:r w:rsidRPr="003B4362">
        <w:rPr>
          <w:rFonts w:eastAsia="Calibri"/>
          <w:szCs w:val="24"/>
        </w:rPr>
        <w:t xml:space="preserve">and </w:t>
      </w:r>
      <w:r w:rsidR="00D72744" w:rsidRPr="003B4362">
        <w:rPr>
          <w:rFonts w:eastAsia="Calibri"/>
          <w:szCs w:val="24"/>
        </w:rPr>
        <w:t xml:space="preserve">the supplier </w:t>
      </w:r>
      <w:r w:rsidR="00E24E2A" w:rsidRPr="003B4362">
        <w:rPr>
          <w:rFonts w:eastAsia="Calibri"/>
          <w:szCs w:val="24"/>
        </w:rPr>
        <w:t>needs</w:t>
      </w:r>
      <w:r w:rsidRPr="003B4362">
        <w:rPr>
          <w:rFonts w:eastAsia="Calibri"/>
          <w:szCs w:val="24"/>
        </w:rPr>
        <w:t xml:space="preserve"> not</w:t>
      </w:r>
      <w:bookmarkEnd w:id="3128"/>
      <w:r w:rsidR="00E24E2A" w:rsidRPr="003B4362">
        <w:rPr>
          <w:rFonts w:eastAsia="Calibri"/>
          <w:szCs w:val="24"/>
        </w:rPr>
        <w:t xml:space="preserve"> </w:t>
      </w:r>
      <w:r w:rsidRPr="003B4362">
        <w:rPr>
          <w:rFonts w:eastAsia="Calibri"/>
          <w:szCs w:val="24"/>
        </w:rPr>
        <w:t xml:space="preserve">sample an individual secondary school more than once </w:t>
      </w:r>
      <w:bookmarkStart w:id="3129" w:name="_Hlk125572594"/>
      <w:r w:rsidR="00E24E2A" w:rsidRPr="003B4362">
        <w:rPr>
          <w:rFonts w:eastAsia="Calibri"/>
          <w:szCs w:val="24"/>
        </w:rPr>
        <w:t>during</w:t>
      </w:r>
      <w:r w:rsidRPr="003B4362">
        <w:rPr>
          <w:rFonts w:eastAsia="Calibri"/>
          <w:szCs w:val="24"/>
        </w:rPr>
        <w:t xml:space="preserve"> the five-year</w:t>
      </w:r>
      <w:bookmarkEnd w:id="3129"/>
      <w:r w:rsidR="00E24E2A" w:rsidRPr="003B4362">
        <w:rPr>
          <w:rFonts w:eastAsia="Calibri"/>
          <w:szCs w:val="24"/>
        </w:rPr>
        <w:t>s</w:t>
      </w:r>
      <w:r w:rsidRPr="003B4362">
        <w:rPr>
          <w:rFonts w:eastAsia="Calibri"/>
          <w:szCs w:val="24"/>
        </w:rPr>
        <w:t>.</w:t>
      </w:r>
    </w:p>
    <w:p w14:paraId="302F2A8F" w14:textId="77777777" w:rsidR="00A854E0" w:rsidRDefault="00A854E0" w:rsidP="00A854E0">
      <w:pPr>
        <w:autoSpaceDE w:val="0"/>
        <w:autoSpaceDN w:val="0"/>
        <w:adjustRightInd w:val="0"/>
        <w:ind w:left="1440" w:hanging="720"/>
        <w:rPr>
          <w:rFonts w:eastAsia="Calibri"/>
          <w:szCs w:val="24"/>
        </w:rPr>
      </w:pPr>
    </w:p>
    <w:p w14:paraId="37493427" w14:textId="3B4A65C6"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d)</w:t>
      </w:r>
      <w:r w:rsidRPr="003B4362">
        <w:rPr>
          <w:rFonts w:eastAsia="Calibri"/>
          <w:szCs w:val="24"/>
        </w:rPr>
        <w:tab/>
      </w:r>
      <w:bookmarkStart w:id="3130" w:name="_Hlk125572843"/>
      <w:r w:rsidRPr="003B4362">
        <w:rPr>
          <w:rFonts w:eastAsia="Calibri"/>
          <w:szCs w:val="24"/>
        </w:rPr>
        <w:t xml:space="preserve">Alternative </w:t>
      </w:r>
      <w:r w:rsidR="00E24E2A" w:rsidRPr="003B4362">
        <w:rPr>
          <w:rFonts w:eastAsia="Calibri"/>
          <w:szCs w:val="24"/>
        </w:rPr>
        <w:t>S</w:t>
      </w:r>
      <w:r w:rsidRPr="003B4362">
        <w:rPr>
          <w:rFonts w:eastAsia="Calibri"/>
          <w:szCs w:val="24"/>
        </w:rPr>
        <w:t xml:space="preserve">chool and </w:t>
      </w:r>
      <w:r w:rsidR="00E24E2A" w:rsidRPr="003B4362">
        <w:rPr>
          <w:rFonts w:eastAsia="Calibri"/>
          <w:szCs w:val="24"/>
        </w:rPr>
        <w:t>C</w:t>
      </w:r>
      <w:r w:rsidRPr="003B4362">
        <w:rPr>
          <w:rFonts w:eastAsia="Calibri"/>
          <w:szCs w:val="24"/>
        </w:rPr>
        <w:t xml:space="preserve">hild </w:t>
      </w:r>
      <w:r w:rsidR="00E24E2A" w:rsidRPr="003B4362">
        <w:rPr>
          <w:rFonts w:eastAsia="Calibri"/>
          <w:szCs w:val="24"/>
        </w:rPr>
        <w:t>C</w:t>
      </w:r>
      <w:r w:rsidRPr="003B4362">
        <w:rPr>
          <w:rFonts w:eastAsia="Calibri"/>
          <w:szCs w:val="24"/>
        </w:rPr>
        <w:t xml:space="preserve">are </w:t>
      </w:r>
      <w:r w:rsidR="00E24E2A" w:rsidRPr="003B4362">
        <w:rPr>
          <w:rFonts w:eastAsia="Calibri"/>
          <w:szCs w:val="24"/>
        </w:rPr>
        <w:t>L</w:t>
      </w:r>
      <w:r w:rsidRPr="003B4362">
        <w:rPr>
          <w:rFonts w:eastAsia="Calibri"/>
          <w:szCs w:val="24"/>
        </w:rPr>
        <w:t xml:space="preserve">ead </w:t>
      </w:r>
      <w:r w:rsidR="00E24E2A" w:rsidRPr="003B4362">
        <w:rPr>
          <w:rFonts w:eastAsia="Calibri"/>
          <w:szCs w:val="24"/>
        </w:rPr>
        <w:t>S</w:t>
      </w:r>
      <w:r w:rsidRPr="003B4362">
        <w:rPr>
          <w:rFonts w:eastAsia="Calibri"/>
          <w:szCs w:val="24"/>
        </w:rPr>
        <w:t xml:space="preserve">ampling </w:t>
      </w:r>
      <w:r w:rsidR="00E24E2A" w:rsidRPr="003B4362">
        <w:rPr>
          <w:rFonts w:eastAsia="Calibri"/>
          <w:szCs w:val="24"/>
        </w:rPr>
        <w:t>P</w:t>
      </w:r>
      <w:r w:rsidRPr="003B4362">
        <w:rPr>
          <w:rFonts w:eastAsia="Calibri"/>
          <w:szCs w:val="24"/>
        </w:rPr>
        <w:t>rograms</w:t>
      </w:r>
      <w:bookmarkEnd w:id="3130"/>
    </w:p>
    <w:p w14:paraId="057B9260" w14:textId="77777777" w:rsidR="00A854E0" w:rsidRDefault="00A854E0" w:rsidP="00A854E0">
      <w:pPr>
        <w:autoSpaceDE w:val="0"/>
        <w:autoSpaceDN w:val="0"/>
        <w:adjustRightInd w:val="0"/>
        <w:ind w:left="2160" w:hanging="720"/>
        <w:rPr>
          <w:rFonts w:eastAsia="Calibri"/>
          <w:szCs w:val="24"/>
        </w:rPr>
      </w:pPr>
    </w:p>
    <w:p w14:paraId="0E628F91" w14:textId="1C806A52"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1)</w:t>
      </w:r>
      <w:r w:rsidRPr="003B4362">
        <w:rPr>
          <w:rFonts w:eastAsia="Calibri"/>
          <w:szCs w:val="24"/>
        </w:rPr>
        <w:tab/>
        <w:t>I</w:t>
      </w:r>
      <w:bookmarkStart w:id="3131" w:name="_Hlk125572951"/>
      <w:r w:rsidRPr="003B4362">
        <w:rPr>
          <w:rFonts w:eastAsia="Calibri"/>
          <w:szCs w:val="24"/>
        </w:rPr>
        <w:t xml:space="preserve">f </w:t>
      </w:r>
      <w:r w:rsidR="00222B76" w:rsidRPr="003B4362">
        <w:rPr>
          <w:rFonts w:eastAsia="Calibri"/>
          <w:szCs w:val="24"/>
        </w:rPr>
        <w:t xml:space="preserve">a </w:t>
      </w:r>
      <w:r w:rsidR="00106517" w:rsidRPr="003B4362">
        <w:rPr>
          <w:rFonts w:eastAsia="Calibri"/>
          <w:szCs w:val="24"/>
        </w:rPr>
        <w:t xml:space="preserve">CWS </w:t>
      </w:r>
      <w:r w:rsidR="00222B76" w:rsidRPr="003B4362">
        <w:rPr>
          <w:rFonts w:eastAsia="Calibri"/>
          <w:szCs w:val="24"/>
        </w:rPr>
        <w:t xml:space="preserve">supplier conducts </w:t>
      </w:r>
      <w:r w:rsidRPr="003B4362">
        <w:rPr>
          <w:rFonts w:eastAsia="Calibri"/>
          <w:szCs w:val="24"/>
        </w:rPr>
        <w:t>mandatory sampling for lead in drinking water</w:t>
      </w:r>
      <w:bookmarkEnd w:id="3131"/>
      <w:r w:rsidR="00222B76" w:rsidRPr="003B4362">
        <w:rPr>
          <w:rFonts w:eastAsia="Calibri"/>
          <w:szCs w:val="24"/>
        </w:rPr>
        <w:t xml:space="preserve"> </w:t>
      </w:r>
      <w:r w:rsidRPr="003B4362">
        <w:rPr>
          <w:rFonts w:eastAsia="Calibri"/>
          <w:szCs w:val="24"/>
        </w:rPr>
        <w:t xml:space="preserve">for schools and child care </w:t>
      </w:r>
      <w:bookmarkStart w:id="3132" w:name="_Hlk125639156"/>
      <w:r w:rsidRPr="003B4362">
        <w:rPr>
          <w:rFonts w:eastAsia="Calibri"/>
          <w:szCs w:val="24"/>
        </w:rPr>
        <w:t xml:space="preserve">facilities </w:t>
      </w:r>
      <w:r w:rsidR="00106517" w:rsidRPr="003B4362">
        <w:rPr>
          <w:rFonts w:eastAsia="Calibri"/>
          <w:szCs w:val="24"/>
        </w:rPr>
        <w:t>the supplier serves</w:t>
      </w:r>
      <w:bookmarkEnd w:id="3132"/>
      <w:r w:rsidRPr="003B4362">
        <w:rPr>
          <w:rFonts w:eastAsia="Calibri"/>
          <w:szCs w:val="24"/>
        </w:rPr>
        <w:t xml:space="preserve"> </w:t>
      </w:r>
      <w:bookmarkStart w:id="3133" w:name="_Hlk125639208"/>
      <w:r w:rsidR="00106517" w:rsidRPr="003B4362">
        <w:rPr>
          <w:rFonts w:eastAsia="Calibri"/>
          <w:szCs w:val="24"/>
        </w:rPr>
        <w:t>under</w:t>
      </w:r>
      <w:r w:rsidRPr="003B4362">
        <w:rPr>
          <w:rFonts w:eastAsia="Calibri"/>
          <w:szCs w:val="24"/>
        </w:rPr>
        <w:t xml:space="preserve"> </w:t>
      </w:r>
      <w:r w:rsidR="00106517" w:rsidRPr="003B4362">
        <w:rPr>
          <w:rFonts w:eastAsia="Calibri"/>
          <w:szCs w:val="24"/>
        </w:rPr>
        <w:t>another</w:t>
      </w:r>
      <w:r w:rsidRPr="003B4362">
        <w:rPr>
          <w:rFonts w:eastAsia="Calibri"/>
          <w:szCs w:val="24"/>
        </w:rPr>
        <w:t xml:space="preserve"> State or local law or program</w:t>
      </w:r>
      <w:bookmarkEnd w:id="3133"/>
      <w:r w:rsidRPr="003B4362">
        <w:rPr>
          <w:rFonts w:eastAsia="Calibri"/>
          <w:szCs w:val="24"/>
        </w:rPr>
        <w:t xml:space="preserve">, </w:t>
      </w:r>
      <w:bookmarkStart w:id="3134" w:name="_Hlk125639520"/>
      <w:r w:rsidRPr="003B4362">
        <w:rPr>
          <w:rFonts w:eastAsia="Calibri"/>
          <w:szCs w:val="24"/>
        </w:rPr>
        <w:t xml:space="preserve">the </w:t>
      </w:r>
      <w:r w:rsidR="00B60550" w:rsidRPr="003B4362">
        <w:rPr>
          <w:rFonts w:eastAsia="Calibri"/>
          <w:szCs w:val="24"/>
        </w:rPr>
        <w:t>Agency</w:t>
      </w:r>
      <w:r w:rsidRPr="003B4362">
        <w:rPr>
          <w:rFonts w:eastAsia="Calibri"/>
          <w:szCs w:val="24"/>
        </w:rPr>
        <w:t xml:space="preserve"> may </w:t>
      </w:r>
      <w:r w:rsidR="00B60550" w:rsidRPr="003B4362">
        <w:rPr>
          <w:rFonts w:eastAsia="Calibri"/>
          <w:szCs w:val="24"/>
        </w:rPr>
        <w:t>issue a SEP exempting</w:t>
      </w:r>
      <w:r w:rsidRPr="003B4362">
        <w:rPr>
          <w:rFonts w:eastAsia="Calibri"/>
          <w:szCs w:val="24"/>
        </w:rPr>
        <w:t xml:space="preserve"> the </w:t>
      </w:r>
      <w:r w:rsidR="00B60550" w:rsidRPr="003B4362">
        <w:rPr>
          <w:rFonts w:eastAsia="Calibri"/>
          <w:szCs w:val="24"/>
        </w:rPr>
        <w:t>supplier</w:t>
      </w:r>
      <w:r w:rsidRPr="003B4362">
        <w:rPr>
          <w:rFonts w:eastAsia="Calibri"/>
          <w:szCs w:val="24"/>
        </w:rPr>
        <w:t xml:space="preserve"> from </w:t>
      </w:r>
      <w:r w:rsidR="00B60550" w:rsidRPr="003B4362">
        <w:rPr>
          <w:rFonts w:eastAsia="Calibri"/>
          <w:szCs w:val="24"/>
        </w:rPr>
        <w:t>duplicative</w:t>
      </w:r>
      <w:r w:rsidRPr="003B4362">
        <w:rPr>
          <w:rFonts w:eastAsia="Calibri"/>
          <w:szCs w:val="24"/>
        </w:rPr>
        <w:t xml:space="preserve"> requirements </w:t>
      </w:r>
      <w:r w:rsidR="00B60550" w:rsidRPr="003B4362">
        <w:rPr>
          <w:rFonts w:eastAsia="Calibri"/>
          <w:szCs w:val="24"/>
        </w:rPr>
        <w:t>under</w:t>
      </w:r>
      <w:r w:rsidRPr="003B4362">
        <w:rPr>
          <w:rFonts w:eastAsia="Calibri"/>
          <w:szCs w:val="24"/>
        </w:rPr>
        <w:t xml:space="preserve"> this </w:t>
      </w:r>
      <w:r w:rsidR="00B60550" w:rsidRPr="003B4362">
        <w:rPr>
          <w:rFonts w:eastAsia="Calibri"/>
          <w:szCs w:val="24"/>
        </w:rPr>
        <w:t>S</w:t>
      </w:r>
      <w:r w:rsidRPr="003B4362">
        <w:rPr>
          <w:rFonts w:eastAsia="Calibri"/>
          <w:szCs w:val="24"/>
        </w:rPr>
        <w:t>ection</w:t>
      </w:r>
      <w:bookmarkEnd w:id="3134"/>
      <w:r w:rsidRPr="003B4362">
        <w:rPr>
          <w:rFonts w:eastAsia="Calibri"/>
          <w:szCs w:val="24"/>
        </w:rPr>
        <w:t>:</w:t>
      </w:r>
    </w:p>
    <w:p w14:paraId="70A02762" w14:textId="77777777" w:rsidR="00A854E0" w:rsidRDefault="00A854E0" w:rsidP="00A854E0">
      <w:pPr>
        <w:autoSpaceDE w:val="0"/>
        <w:autoSpaceDN w:val="0"/>
        <w:adjustRightInd w:val="0"/>
        <w:ind w:left="2880" w:hanging="720"/>
        <w:rPr>
          <w:rFonts w:eastAsia="Calibri"/>
          <w:szCs w:val="24"/>
        </w:rPr>
      </w:pPr>
    </w:p>
    <w:p w14:paraId="762A6784" w14:textId="70AB2465"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A)</w:t>
      </w:r>
      <w:r w:rsidRPr="003B4362">
        <w:rPr>
          <w:rFonts w:eastAsia="Calibri"/>
          <w:szCs w:val="24"/>
        </w:rPr>
        <w:tab/>
        <w:t xml:space="preserve">If the sampling </w:t>
      </w:r>
      <w:bookmarkStart w:id="3135" w:name="_Hlk125643099"/>
      <w:r w:rsidR="00B839B2" w:rsidRPr="003B4362">
        <w:rPr>
          <w:rFonts w:eastAsia="Calibri"/>
          <w:szCs w:val="24"/>
        </w:rPr>
        <w:t>under that State or local law or program</w:t>
      </w:r>
      <w:bookmarkEnd w:id="3135"/>
      <w:r w:rsidR="00B839B2" w:rsidRPr="003B4362">
        <w:rPr>
          <w:rFonts w:eastAsia="Calibri"/>
          <w:szCs w:val="24"/>
        </w:rPr>
        <w:t xml:space="preserve"> </w:t>
      </w:r>
      <w:r w:rsidRPr="003B4362">
        <w:rPr>
          <w:rFonts w:eastAsia="Calibri"/>
          <w:szCs w:val="24"/>
        </w:rPr>
        <w:t>is consistent with</w:t>
      </w:r>
      <w:r w:rsidR="00B839B2" w:rsidRPr="003B4362">
        <w:rPr>
          <w:rFonts w:eastAsia="Calibri"/>
          <w:szCs w:val="24"/>
        </w:rPr>
        <w:t xml:space="preserve"> </w:t>
      </w:r>
      <w:r w:rsidRPr="003B4362">
        <w:rPr>
          <w:rFonts w:eastAsia="Calibri"/>
          <w:szCs w:val="24"/>
        </w:rPr>
        <w:t>subsections (b) and (c);</w:t>
      </w:r>
    </w:p>
    <w:p w14:paraId="4F121862" w14:textId="77777777" w:rsidR="00A854E0" w:rsidRDefault="00A854E0" w:rsidP="00A854E0">
      <w:pPr>
        <w:autoSpaceDE w:val="0"/>
        <w:autoSpaceDN w:val="0"/>
        <w:adjustRightInd w:val="0"/>
        <w:ind w:left="2880" w:hanging="720"/>
        <w:rPr>
          <w:rFonts w:eastAsia="Calibri"/>
          <w:szCs w:val="24"/>
        </w:rPr>
      </w:pPr>
    </w:p>
    <w:p w14:paraId="53D23BD9" w14:textId="4B13BBA2"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B)</w:t>
      </w:r>
      <w:r w:rsidRPr="003B4362">
        <w:rPr>
          <w:rFonts w:eastAsia="Calibri"/>
          <w:szCs w:val="24"/>
        </w:rPr>
        <w:tab/>
        <w:t xml:space="preserve">If the sampling </w:t>
      </w:r>
      <w:r w:rsidR="00B839B2" w:rsidRPr="003B4362">
        <w:rPr>
          <w:rFonts w:eastAsia="Calibri"/>
          <w:szCs w:val="24"/>
        </w:rPr>
        <w:t xml:space="preserve">under that State or local law or program </w:t>
      </w:r>
      <w:r w:rsidRPr="003B4362">
        <w:rPr>
          <w:rFonts w:eastAsia="Calibri"/>
          <w:szCs w:val="24"/>
        </w:rPr>
        <w:t>is consistent with</w:t>
      </w:r>
      <w:r w:rsidR="00A65284" w:rsidRPr="003B4362">
        <w:rPr>
          <w:rFonts w:eastAsia="Calibri"/>
          <w:szCs w:val="24"/>
        </w:rPr>
        <w:t xml:space="preserve"> </w:t>
      </w:r>
      <w:r w:rsidRPr="003B4362">
        <w:rPr>
          <w:rFonts w:eastAsia="Calibri"/>
          <w:szCs w:val="24"/>
        </w:rPr>
        <w:t xml:space="preserve">subsections </w:t>
      </w:r>
      <w:bookmarkStart w:id="3136" w:name="_Hlk125643614"/>
      <w:r w:rsidRPr="003B4362">
        <w:rPr>
          <w:rFonts w:eastAsia="Calibri"/>
          <w:szCs w:val="24"/>
        </w:rPr>
        <w:t>(b)(1)(</w:t>
      </w:r>
      <w:r w:rsidR="00A65284" w:rsidRPr="003B4362">
        <w:rPr>
          <w:rFonts w:eastAsia="Calibri"/>
          <w:szCs w:val="24"/>
        </w:rPr>
        <w:t>A</w:t>
      </w:r>
      <w:r w:rsidRPr="003B4362">
        <w:rPr>
          <w:rFonts w:eastAsia="Calibri"/>
          <w:szCs w:val="24"/>
        </w:rPr>
        <w:t xml:space="preserve">) through </w:t>
      </w:r>
      <w:r w:rsidR="00A65284" w:rsidRPr="003B4362">
        <w:rPr>
          <w:rFonts w:eastAsia="Calibri"/>
          <w:szCs w:val="24"/>
        </w:rPr>
        <w:t>(b)(1)</w:t>
      </w:r>
      <w:r w:rsidRPr="003B4362">
        <w:rPr>
          <w:rFonts w:eastAsia="Calibri"/>
          <w:szCs w:val="24"/>
        </w:rPr>
        <w:t>(</w:t>
      </w:r>
      <w:r w:rsidR="00050AF4" w:rsidRPr="003B4362">
        <w:rPr>
          <w:rFonts w:eastAsia="Calibri"/>
          <w:szCs w:val="24"/>
        </w:rPr>
        <w:t>F</w:t>
      </w:r>
      <w:r w:rsidR="00525E14" w:rsidRPr="003B4362">
        <w:rPr>
          <w:rFonts w:eastAsia="Calibri"/>
          <w:szCs w:val="24"/>
        </w:rPr>
        <w:t>)</w:t>
      </w:r>
      <w:r w:rsidRPr="003B4362">
        <w:rPr>
          <w:rFonts w:eastAsia="Calibri"/>
          <w:szCs w:val="24"/>
        </w:rPr>
        <w:t xml:space="preserve"> and (c)</w:t>
      </w:r>
      <w:bookmarkEnd w:id="3136"/>
      <w:r w:rsidRPr="003B4362">
        <w:rPr>
          <w:rFonts w:eastAsia="Calibri"/>
          <w:szCs w:val="24"/>
        </w:rPr>
        <w:t xml:space="preserve"> and </w:t>
      </w:r>
      <w:bookmarkStart w:id="3137" w:name="_Hlk125643753"/>
      <w:r w:rsidR="00A65284" w:rsidRPr="003B4362">
        <w:rPr>
          <w:rFonts w:eastAsia="Calibri"/>
          <w:szCs w:val="24"/>
        </w:rPr>
        <w:t>the sampling</w:t>
      </w:r>
      <w:r w:rsidRPr="003B4362">
        <w:rPr>
          <w:rFonts w:eastAsia="Calibri"/>
          <w:szCs w:val="24"/>
        </w:rPr>
        <w:t xml:space="preserve"> is coupled with </w:t>
      </w:r>
      <w:r w:rsidR="00A65284" w:rsidRPr="003B4362">
        <w:rPr>
          <w:rFonts w:eastAsia="Calibri"/>
          <w:szCs w:val="24"/>
        </w:rPr>
        <w:t>certain</w:t>
      </w:r>
      <w:r w:rsidRPr="003B4362">
        <w:rPr>
          <w:rFonts w:eastAsia="Calibri"/>
          <w:szCs w:val="24"/>
        </w:rPr>
        <w:t xml:space="preserve"> remediation actions</w:t>
      </w:r>
      <w:bookmarkEnd w:id="3137"/>
      <w:r w:rsidRPr="003B4362">
        <w:rPr>
          <w:rFonts w:eastAsia="Calibri"/>
          <w:szCs w:val="24"/>
        </w:rPr>
        <w:t>:</w:t>
      </w:r>
    </w:p>
    <w:p w14:paraId="628F8729" w14:textId="77777777" w:rsidR="00A854E0" w:rsidRDefault="00A854E0" w:rsidP="00A854E0">
      <w:pPr>
        <w:autoSpaceDE w:val="0"/>
        <w:autoSpaceDN w:val="0"/>
        <w:adjustRightInd w:val="0"/>
        <w:ind w:left="3600" w:hanging="720"/>
        <w:rPr>
          <w:rFonts w:eastAsia="Calibri"/>
          <w:szCs w:val="24"/>
        </w:rPr>
      </w:pPr>
    </w:p>
    <w:p w14:paraId="434EC847" w14:textId="043E3BFA"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w:t>
      </w:r>
      <w:r w:rsidRPr="003B4362">
        <w:rPr>
          <w:rFonts w:eastAsia="Calibri"/>
          <w:szCs w:val="24"/>
        </w:rPr>
        <w:tab/>
        <w:t>D</w:t>
      </w:r>
      <w:bookmarkStart w:id="3138" w:name="_Hlk125643869"/>
      <w:r w:rsidRPr="003B4362">
        <w:rPr>
          <w:rFonts w:eastAsia="Calibri"/>
          <w:szCs w:val="24"/>
        </w:rPr>
        <w:t>isconnecti</w:t>
      </w:r>
      <w:r w:rsidR="00A65284" w:rsidRPr="003B4362">
        <w:rPr>
          <w:rFonts w:eastAsia="Calibri"/>
          <w:szCs w:val="24"/>
        </w:rPr>
        <w:t>ng</w:t>
      </w:r>
      <w:r w:rsidRPr="003B4362">
        <w:rPr>
          <w:rFonts w:eastAsia="Calibri"/>
          <w:szCs w:val="24"/>
        </w:rPr>
        <w:t xml:space="preserve"> affected fixtures</w:t>
      </w:r>
      <w:bookmarkEnd w:id="3138"/>
      <w:r w:rsidRPr="003B4362">
        <w:rPr>
          <w:rFonts w:eastAsia="Calibri"/>
          <w:szCs w:val="24"/>
        </w:rPr>
        <w:t>;</w:t>
      </w:r>
    </w:p>
    <w:p w14:paraId="59E4EC01" w14:textId="77777777" w:rsidR="00A854E0" w:rsidRDefault="00A854E0" w:rsidP="00A854E0">
      <w:pPr>
        <w:autoSpaceDE w:val="0"/>
        <w:autoSpaceDN w:val="0"/>
        <w:adjustRightInd w:val="0"/>
        <w:ind w:left="3600" w:hanging="720"/>
        <w:rPr>
          <w:rFonts w:eastAsia="Calibri"/>
          <w:szCs w:val="24"/>
        </w:rPr>
      </w:pPr>
    </w:p>
    <w:p w14:paraId="40661A78" w14:textId="37412994"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ii)</w:t>
      </w:r>
      <w:r w:rsidRPr="003B4362">
        <w:rPr>
          <w:rFonts w:eastAsia="Calibri"/>
          <w:szCs w:val="24"/>
        </w:rPr>
        <w:tab/>
        <w:t>Replac</w:t>
      </w:r>
      <w:r w:rsidR="00750B95" w:rsidRPr="003B4362">
        <w:rPr>
          <w:rFonts w:eastAsia="Calibri"/>
          <w:szCs w:val="24"/>
        </w:rPr>
        <w:t>ing</w:t>
      </w:r>
      <w:r w:rsidRPr="003B4362">
        <w:rPr>
          <w:rFonts w:eastAsia="Calibri"/>
          <w:szCs w:val="24"/>
        </w:rPr>
        <w:t xml:space="preserve"> affected fixtures with </w:t>
      </w:r>
      <w:bookmarkStart w:id="3139" w:name="_Hlk125646525"/>
      <w:r w:rsidRPr="003B4362">
        <w:rPr>
          <w:rFonts w:eastAsia="Calibri"/>
          <w:szCs w:val="24"/>
        </w:rPr>
        <w:t>fixtures certified</w:t>
      </w:r>
      <w:r w:rsidR="00EA367F" w:rsidRPr="003B4362">
        <w:rPr>
          <w:rFonts w:eastAsia="Calibri"/>
          <w:szCs w:val="24"/>
        </w:rPr>
        <w:t xml:space="preserve"> lead-free as</w:t>
      </w:r>
      <w:r w:rsidRPr="003B4362">
        <w:rPr>
          <w:rFonts w:eastAsia="Calibri"/>
          <w:szCs w:val="24"/>
        </w:rPr>
        <w:t xml:space="preserve"> </w:t>
      </w:r>
      <w:r w:rsidR="00750B95" w:rsidRPr="003B4362">
        <w:rPr>
          <w:rFonts w:eastAsia="Calibri"/>
          <w:szCs w:val="24"/>
        </w:rPr>
        <w:t>Section 611.126(j)</w:t>
      </w:r>
      <w:r w:rsidR="00EA367F" w:rsidRPr="003B4362">
        <w:rPr>
          <w:rFonts w:eastAsia="Calibri"/>
          <w:szCs w:val="24"/>
        </w:rPr>
        <w:t xml:space="preserve"> requires</w:t>
      </w:r>
      <w:bookmarkEnd w:id="3139"/>
      <w:r w:rsidRPr="003B4362">
        <w:rPr>
          <w:rFonts w:eastAsia="Calibri"/>
          <w:szCs w:val="24"/>
        </w:rPr>
        <w:t xml:space="preserve">; </w:t>
      </w:r>
      <w:r w:rsidR="00AA41BE" w:rsidRPr="003B4362">
        <w:rPr>
          <w:rFonts w:eastAsia="Calibri"/>
          <w:szCs w:val="24"/>
        </w:rPr>
        <w:t>or</w:t>
      </w:r>
    </w:p>
    <w:p w14:paraId="09B27274" w14:textId="77777777" w:rsidR="00A854E0" w:rsidRDefault="00A854E0" w:rsidP="00A854E0">
      <w:pPr>
        <w:autoSpaceDE w:val="0"/>
        <w:autoSpaceDN w:val="0"/>
        <w:adjustRightInd w:val="0"/>
        <w:ind w:left="3600" w:hanging="720"/>
        <w:rPr>
          <w:rFonts w:eastAsia="Calibri"/>
          <w:szCs w:val="24"/>
        </w:rPr>
      </w:pPr>
    </w:p>
    <w:p w14:paraId="28123CCB" w14:textId="3E3EC904"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lastRenderedPageBreak/>
        <w:t>iii)</w:t>
      </w:r>
      <w:r w:rsidRPr="003B4362">
        <w:rPr>
          <w:rFonts w:eastAsia="Calibri"/>
          <w:szCs w:val="24"/>
        </w:rPr>
        <w:tab/>
        <w:t>Install</w:t>
      </w:r>
      <w:r w:rsidR="00EA367F" w:rsidRPr="003B4362">
        <w:rPr>
          <w:rFonts w:eastAsia="Calibri"/>
          <w:szCs w:val="24"/>
        </w:rPr>
        <w:t>ing</w:t>
      </w:r>
      <w:r w:rsidRPr="003B4362">
        <w:rPr>
          <w:rFonts w:eastAsia="Calibri"/>
          <w:szCs w:val="24"/>
        </w:rPr>
        <w:t xml:space="preserve"> POU devices;</w:t>
      </w:r>
    </w:p>
    <w:p w14:paraId="53451B4A" w14:textId="77777777" w:rsidR="00A854E0" w:rsidRDefault="00A854E0" w:rsidP="00A854E0">
      <w:pPr>
        <w:autoSpaceDE w:val="0"/>
        <w:autoSpaceDN w:val="0"/>
        <w:adjustRightInd w:val="0"/>
        <w:ind w:left="2880" w:hanging="720"/>
        <w:rPr>
          <w:rFonts w:eastAsia="Calibri"/>
          <w:szCs w:val="24"/>
        </w:rPr>
      </w:pPr>
    </w:p>
    <w:p w14:paraId="5EB3115C" w14:textId="1DDD7102"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C)</w:t>
      </w:r>
      <w:r w:rsidRPr="003B4362">
        <w:rPr>
          <w:rFonts w:eastAsia="Calibri"/>
          <w:szCs w:val="24"/>
        </w:rPr>
        <w:tab/>
        <w:t xml:space="preserve">If the sampling </w:t>
      </w:r>
      <w:r w:rsidR="007310CF" w:rsidRPr="003B4362">
        <w:rPr>
          <w:rFonts w:eastAsia="Calibri"/>
          <w:szCs w:val="24"/>
        </w:rPr>
        <w:t>under that State or local law or program occurs</w:t>
      </w:r>
      <w:r w:rsidRPr="003B4362">
        <w:rPr>
          <w:rFonts w:eastAsia="Calibri"/>
          <w:szCs w:val="24"/>
        </w:rPr>
        <w:t xml:space="preserve"> in schools and child care </w:t>
      </w:r>
      <w:bookmarkStart w:id="3140" w:name="_Hlk125649952"/>
      <w:bookmarkStart w:id="3141" w:name="_Hlk125647501"/>
      <w:r w:rsidRPr="003B4362">
        <w:rPr>
          <w:rFonts w:eastAsia="Calibri"/>
          <w:szCs w:val="24"/>
        </w:rPr>
        <w:t xml:space="preserve">facilities </w:t>
      </w:r>
      <w:r w:rsidR="007310CF" w:rsidRPr="003B4362">
        <w:rPr>
          <w:rFonts w:eastAsia="Calibri"/>
          <w:szCs w:val="24"/>
        </w:rPr>
        <w:t xml:space="preserve">the </w:t>
      </w:r>
      <w:r w:rsidR="00EE6D00" w:rsidRPr="003B4362">
        <w:rPr>
          <w:rFonts w:eastAsia="Calibri"/>
          <w:szCs w:val="24"/>
        </w:rPr>
        <w:t>supplier</w:t>
      </w:r>
      <w:r w:rsidR="007310CF" w:rsidRPr="003B4362">
        <w:rPr>
          <w:rFonts w:eastAsia="Calibri"/>
          <w:szCs w:val="24"/>
        </w:rPr>
        <w:t xml:space="preserve"> </w:t>
      </w:r>
      <w:r w:rsidRPr="003B4362">
        <w:rPr>
          <w:rFonts w:eastAsia="Calibri"/>
          <w:szCs w:val="24"/>
        </w:rPr>
        <w:t>serve</w:t>
      </w:r>
      <w:r w:rsidR="007310CF" w:rsidRPr="003B4362">
        <w:rPr>
          <w:rFonts w:eastAsia="Calibri"/>
          <w:szCs w:val="24"/>
        </w:rPr>
        <w:t>s</w:t>
      </w:r>
      <w:bookmarkEnd w:id="3140"/>
      <w:r w:rsidRPr="003B4362">
        <w:rPr>
          <w:rFonts w:eastAsia="Calibri"/>
          <w:szCs w:val="24"/>
        </w:rPr>
        <w:t xml:space="preserve"> </w:t>
      </w:r>
      <w:bookmarkEnd w:id="3141"/>
      <w:r w:rsidRPr="003B4362">
        <w:rPr>
          <w:rFonts w:eastAsia="Calibri"/>
          <w:szCs w:val="24"/>
        </w:rPr>
        <w:t>less frequently than once every five years</w:t>
      </w:r>
      <w:r w:rsidR="00EE6D00" w:rsidRPr="003B4362">
        <w:rPr>
          <w:rFonts w:eastAsia="Calibri"/>
          <w:szCs w:val="24"/>
        </w:rPr>
        <w:t>,</w:t>
      </w:r>
      <w:r w:rsidRPr="003B4362">
        <w:rPr>
          <w:rFonts w:eastAsia="Calibri"/>
          <w:szCs w:val="24"/>
        </w:rPr>
        <w:t xml:space="preserve"> and </w:t>
      </w:r>
      <w:r w:rsidR="00EE6D00" w:rsidRPr="003B4362">
        <w:rPr>
          <w:rFonts w:eastAsia="Calibri"/>
          <w:szCs w:val="24"/>
        </w:rPr>
        <w:t>the sampling</w:t>
      </w:r>
      <w:r w:rsidRPr="003B4362">
        <w:rPr>
          <w:rFonts w:eastAsia="Calibri"/>
          <w:szCs w:val="24"/>
        </w:rPr>
        <w:t xml:space="preserve"> </w:t>
      </w:r>
      <w:r w:rsidR="00AA41BE" w:rsidRPr="003B4362">
        <w:rPr>
          <w:rFonts w:eastAsia="Calibri"/>
          <w:szCs w:val="24"/>
        </w:rPr>
        <w:t>is</w:t>
      </w:r>
      <w:r w:rsidRPr="003B4362">
        <w:rPr>
          <w:rFonts w:eastAsia="Calibri"/>
          <w:szCs w:val="24"/>
        </w:rPr>
        <w:t xml:space="preserve"> coupled with any</w:t>
      </w:r>
      <w:bookmarkStart w:id="3142" w:name="_Hlk125649822"/>
      <w:r w:rsidRPr="003B4362">
        <w:rPr>
          <w:rFonts w:eastAsia="Calibri"/>
          <w:szCs w:val="24"/>
        </w:rPr>
        <w:t xml:space="preserve"> of the remediation </w:t>
      </w:r>
      <w:bookmarkStart w:id="3143" w:name="_Hlk125650149"/>
      <w:r w:rsidRPr="003B4362">
        <w:rPr>
          <w:rFonts w:eastAsia="Calibri"/>
          <w:szCs w:val="24"/>
        </w:rPr>
        <w:t>actions</w:t>
      </w:r>
      <w:bookmarkEnd w:id="3142"/>
      <w:r w:rsidR="00AA41BE" w:rsidRPr="003B4362">
        <w:rPr>
          <w:rFonts w:eastAsia="Calibri"/>
          <w:szCs w:val="24"/>
        </w:rPr>
        <w:t xml:space="preserve"> </w:t>
      </w:r>
      <w:r w:rsidRPr="003B4362">
        <w:rPr>
          <w:rFonts w:eastAsia="Calibri"/>
          <w:szCs w:val="24"/>
        </w:rPr>
        <w:t>in subsection (d)(1)(B)</w:t>
      </w:r>
      <w:bookmarkEnd w:id="3143"/>
      <w:r w:rsidRPr="003B4362">
        <w:rPr>
          <w:rFonts w:eastAsia="Calibri"/>
          <w:szCs w:val="24"/>
        </w:rPr>
        <w:t>; or</w:t>
      </w:r>
    </w:p>
    <w:p w14:paraId="0B4D1226" w14:textId="77777777" w:rsidR="00A854E0" w:rsidRDefault="00A854E0" w:rsidP="00A854E0">
      <w:pPr>
        <w:autoSpaceDE w:val="0"/>
        <w:autoSpaceDN w:val="0"/>
        <w:adjustRightInd w:val="0"/>
        <w:ind w:left="2880" w:hanging="720"/>
        <w:rPr>
          <w:rFonts w:eastAsia="Calibri"/>
          <w:szCs w:val="24"/>
        </w:rPr>
      </w:pPr>
    </w:p>
    <w:p w14:paraId="16ADD98E" w14:textId="1D34BD40"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D)</w:t>
      </w:r>
      <w:r w:rsidRPr="003B4362">
        <w:rPr>
          <w:rFonts w:eastAsia="Calibri"/>
          <w:szCs w:val="24"/>
        </w:rPr>
        <w:tab/>
        <w:t xml:space="preserve">If the sampling is conducted under </w:t>
      </w:r>
      <w:bookmarkStart w:id="3144" w:name="_Hlk125662819"/>
      <w:r w:rsidRPr="003B4362">
        <w:rPr>
          <w:rFonts w:eastAsia="Calibri"/>
          <w:szCs w:val="24"/>
        </w:rPr>
        <w:t xml:space="preserve">a </w:t>
      </w:r>
      <w:r w:rsidR="00993A15" w:rsidRPr="003B4362">
        <w:rPr>
          <w:rFonts w:eastAsia="Calibri"/>
          <w:szCs w:val="24"/>
        </w:rPr>
        <w:t>voluntary school and child</w:t>
      </w:r>
      <w:bookmarkStart w:id="3145" w:name="_Hlk125668133"/>
      <w:r w:rsidR="00993A15" w:rsidRPr="003B4362">
        <w:rPr>
          <w:rFonts w:eastAsia="Calibri"/>
          <w:szCs w:val="24"/>
        </w:rPr>
        <w:t xml:space="preserve"> </w:t>
      </w:r>
      <w:bookmarkEnd w:id="3145"/>
      <w:r w:rsidR="00993A15" w:rsidRPr="003B4362">
        <w:rPr>
          <w:rFonts w:eastAsia="Calibri"/>
          <w:szCs w:val="24"/>
        </w:rPr>
        <w:t xml:space="preserve">care program lead testing </w:t>
      </w:r>
      <w:r w:rsidRPr="003B4362">
        <w:rPr>
          <w:rFonts w:eastAsia="Calibri"/>
          <w:szCs w:val="24"/>
        </w:rPr>
        <w:t>grant</w:t>
      </w:r>
      <w:bookmarkEnd w:id="3144"/>
      <w:r w:rsidRPr="003B4362">
        <w:rPr>
          <w:rFonts w:eastAsia="Calibri"/>
          <w:szCs w:val="24"/>
        </w:rPr>
        <w:t xml:space="preserve"> awarded under </w:t>
      </w:r>
      <w:bookmarkStart w:id="3146" w:name="_Hlk125668094"/>
      <w:r w:rsidR="00561312" w:rsidRPr="003B4362">
        <w:rPr>
          <w:rFonts w:eastAsia="Calibri"/>
          <w:szCs w:val="24"/>
        </w:rPr>
        <w:t>s</w:t>
      </w:r>
      <w:r w:rsidRPr="003B4362">
        <w:rPr>
          <w:rFonts w:eastAsia="Calibri"/>
          <w:szCs w:val="24"/>
        </w:rPr>
        <w:t>ection 1464(d) of</w:t>
      </w:r>
      <w:r w:rsidR="00561312" w:rsidRPr="003B4362">
        <w:rPr>
          <w:rFonts w:eastAsia="Calibri"/>
          <w:szCs w:val="24"/>
        </w:rPr>
        <w:t xml:space="preserve"> </w:t>
      </w:r>
      <w:r w:rsidRPr="003B4362">
        <w:rPr>
          <w:rFonts w:eastAsia="Calibri"/>
          <w:szCs w:val="24"/>
        </w:rPr>
        <w:t>SDWA</w:t>
      </w:r>
      <w:r w:rsidR="00993A15" w:rsidRPr="003B4362">
        <w:rPr>
          <w:rFonts w:eastAsia="Calibri"/>
          <w:szCs w:val="24"/>
        </w:rPr>
        <w:t xml:space="preserve"> </w:t>
      </w:r>
      <w:bookmarkStart w:id="3147" w:name="_Hlk125668035"/>
      <w:r w:rsidR="00993A15" w:rsidRPr="003B4362">
        <w:rPr>
          <w:rFonts w:eastAsia="Calibri"/>
          <w:szCs w:val="24"/>
        </w:rPr>
        <w:t xml:space="preserve">(42 </w:t>
      </w:r>
      <w:r w:rsidR="0062698B" w:rsidRPr="003B4362">
        <w:t>U.S.C.</w:t>
      </w:r>
      <w:r w:rsidR="00993A15" w:rsidRPr="003B4362">
        <w:rPr>
          <w:rFonts w:eastAsia="Calibri"/>
          <w:szCs w:val="24"/>
        </w:rPr>
        <w:t xml:space="preserve"> 300j-24(d))</w:t>
      </w:r>
      <w:bookmarkEnd w:id="3146"/>
      <w:bookmarkEnd w:id="3147"/>
      <w:r w:rsidRPr="003B4362">
        <w:rPr>
          <w:rFonts w:eastAsia="Calibri"/>
          <w:szCs w:val="24"/>
        </w:rPr>
        <w:t>, consistent with the requirements of the grant.</w:t>
      </w:r>
    </w:p>
    <w:p w14:paraId="62A22B85" w14:textId="77777777" w:rsidR="00A854E0" w:rsidRDefault="00A854E0" w:rsidP="00A854E0">
      <w:pPr>
        <w:autoSpaceDE w:val="0"/>
        <w:autoSpaceDN w:val="0"/>
        <w:adjustRightInd w:val="0"/>
        <w:ind w:left="2160" w:hanging="720"/>
        <w:rPr>
          <w:rFonts w:eastAsia="Calibri"/>
          <w:szCs w:val="24"/>
        </w:rPr>
      </w:pPr>
    </w:p>
    <w:p w14:paraId="267FDBFA" w14:textId="26BE03BD"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t>T</w:t>
      </w:r>
      <w:bookmarkStart w:id="3148" w:name="_Hlk125668287"/>
      <w:r w:rsidRPr="003B4362">
        <w:rPr>
          <w:rFonts w:eastAsia="Calibri"/>
          <w:szCs w:val="24"/>
        </w:rPr>
        <w:t xml:space="preserve">he </w:t>
      </w:r>
      <w:r w:rsidR="00561312" w:rsidRPr="003B4362">
        <w:rPr>
          <w:rFonts w:eastAsia="Calibri"/>
          <w:szCs w:val="24"/>
        </w:rPr>
        <w:t>term</w:t>
      </w:r>
      <w:r w:rsidRPr="003B4362">
        <w:rPr>
          <w:rFonts w:eastAsia="Calibri"/>
          <w:szCs w:val="24"/>
        </w:rPr>
        <w:t xml:space="preserve"> of the waiver may not exceed the </w:t>
      </w:r>
      <w:r w:rsidR="00561312" w:rsidRPr="003B4362">
        <w:rPr>
          <w:rFonts w:eastAsia="Calibri"/>
          <w:szCs w:val="24"/>
        </w:rPr>
        <w:t>duration of</w:t>
      </w:r>
      <w:r w:rsidRPr="003B4362">
        <w:rPr>
          <w:rFonts w:eastAsia="Calibri"/>
          <w:szCs w:val="24"/>
        </w:rPr>
        <w:t xml:space="preserve"> the mandatory or voluntary sampling</w:t>
      </w:r>
      <w:bookmarkEnd w:id="3148"/>
      <w:r w:rsidR="00561312" w:rsidRPr="003B4362">
        <w:rPr>
          <w:rFonts w:eastAsia="Calibri"/>
          <w:szCs w:val="24"/>
        </w:rPr>
        <w:t>,</w:t>
      </w:r>
      <w:r w:rsidRPr="003B4362">
        <w:rPr>
          <w:rFonts w:eastAsia="Calibri"/>
          <w:szCs w:val="24"/>
        </w:rPr>
        <w:t xml:space="preserve"> </w:t>
      </w:r>
      <w:bookmarkStart w:id="3149" w:name="_Hlk125668520"/>
      <w:r w:rsidRPr="003B4362">
        <w:rPr>
          <w:rFonts w:eastAsia="Calibri"/>
          <w:szCs w:val="24"/>
        </w:rPr>
        <w:t xml:space="preserve">and </w:t>
      </w:r>
      <w:r w:rsidR="001F083B" w:rsidRPr="003B4362">
        <w:rPr>
          <w:rFonts w:eastAsia="Calibri"/>
          <w:szCs w:val="24"/>
        </w:rPr>
        <w:t>the waiver must</w:t>
      </w:r>
      <w:r w:rsidRPr="003B4362">
        <w:rPr>
          <w:rFonts w:eastAsia="Calibri"/>
          <w:szCs w:val="24"/>
        </w:rPr>
        <w:t xml:space="preserve"> automatically expire</w:t>
      </w:r>
      <w:bookmarkEnd w:id="3149"/>
      <w:r w:rsidRPr="003B4362">
        <w:rPr>
          <w:rFonts w:eastAsia="Calibri"/>
          <w:szCs w:val="24"/>
        </w:rPr>
        <w:t xml:space="preserve"> at the end of any 12-month period during which </w:t>
      </w:r>
      <w:bookmarkStart w:id="3150" w:name="_Hlk125668663"/>
      <w:bookmarkStart w:id="3151" w:name="_Hlk125668774"/>
      <w:r w:rsidRPr="003B4362">
        <w:rPr>
          <w:rFonts w:eastAsia="Calibri"/>
          <w:szCs w:val="24"/>
        </w:rPr>
        <w:t xml:space="preserve">sampling </w:t>
      </w:r>
      <w:r w:rsidR="001F083B" w:rsidRPr="003B4362">
        <w:rPr>
          <w:rFonts w:eastAsia="Calibri"/>
          <w:szCs w:val="24"/>
        </w:rPr>
        <w:t>does</w:t>
      </w:r>
      <w:r w:rsidRPr="003B4362">
        <w:rPr>
          <w:rFonts w:eastAsia="Calibri"/>
          <w:szCs w:val="24"/>
        </w:rPr>
        <w:t xml:space="preserve"> not </w:t>
      </w:r>
      <w:bookmarkEnd w:id="3150"/>
      <w:r w:rsidR="001F083B" w:rsidRPr="003B4362">
        <w:rPr>
          <w:rFonts w:eastAsia="Calibri"/>
          <w:szCs w:val="24"/>
        </w:rPr>
        <w:t>occur</w:t>
      </w:r>
      <w:bookmarkEnd w:id="3151"/>
      <w:r w:rsidRPr="003B4362">
        <w:rPr>
          <w:rFonts w:eastAsia="Calibri"/>
          <w:szCs w:val="24"/>
        </w:rPr>
        <w:t xml:space="preserve"> at the required number of schools or child care facilities.</w:t>
      </w:r>
    </w:p>
    <w:p w14:paraId="178CAF5D" w14:textId="77777777" w:rsidR="00A854E0" w:rsidRDefault="00A854E0" w:rsidP="00A854E0">
      <w:pPr>
        <w:autoSpaceDE w:val="0"/>
        <w:autoSpaceDN w:val="0"/>
        <w:adjustRightInd w:val="0"/>
        <w:ind w:left="2160" w:hanging="720"/>
        <w:rPr>
          <w:rFonts w:eastAsia="Calibri"/>
          <w:szCs w:val="24"/>
        </w:rPr>
      </w:pPr>
    </w:p>
    <w:p w14:paraId="1226D2ED" w14:textId="026C808F"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3)</w:t>
      </w:r>
      <w:r w:rsidRPr="003B4362">
        <w:rPr>
          <w:rFonts w:eastAsia="Calibri"/>
          <w:szCs w:val="24"/>
        </w:rPr>
        <w:tab/>
        <w:t>T</w:t>
      </w:r>
      <w:bookmarkStart w:id="3152" w:name="_Hlk125669178"/>
      <w:r w:rsidRPr="003B4362">
        <w:rPr>
          <w:rFonts w:eastAsia="Calibri"/>
          <w:szCs w:val="24"/>
        </w:rPr>
        <w:t xml:space="preserve">he </w:t>
      </w:r>
      <w:r w:rsidR="001F083B" w:rsidRPr="003B4362">
        <w:rPr>
          <w:rFonts w:eastAsia="Calibri"/>
          <w:szCs w:val="24"/>
        </w:rPr>
        <w:t>Agency</w:t>
      </w:r>
      <w:r w:rsidRPr="003B4362">
        <w:rPr>
          <w:rFonts w:eastAsia="Calibri"/>
          <w:szCs w:val="24"/>
        </w:rPr>
        <w:t xml:space="preserve"> may issue a </w:t>
      </w:r>
      <w:r w:rsidR="001F083B" w:rsidRPr="003B4362">
        <w:rPr>
          <w:rFonts w:eastAsia="Calibri"/>
          <w:szCs w:val="24"/>
        </w:rPr>
        <w:t xml:space="preserve">SEP granting </w:t>
      </w:r>
      <w:r w:rsidR="003646E8" w:rsidRPr="003B4362">
        <w:rPr>
          <w:rFonts w:eastAsia="Calibri"/>
          <w:szCs w:val="24"/>
        </w:rPr>
        <w:t xml:space="preserve">the supplier </w:t>
      </w:r>
      <w:r w:rsidR="001F083B" w:rsidRPr="003B4362">
        <w:rPr>
          <w:rFonts w:eastAsia="Calibri"/>
          <w:szCs w:val="24"/>
        </w:rPr>
        <w:t xml:space="preserve">a </w:t>
      </w:r>
      <w:r w:rsidRPr="003B4362">
        <w:rPr>
          <w:rFonts w:eastAsia="Calibri"/>
          <w:szCs w:val="24"/>
        </w:rPr>
        <w:t>partial waiver</w:t>
      </w:r>
      <w:bookmarkEnd w:id="3152"/>
      <w:r w:rsidRPr="003B4362">
        <w:rPr>
          <w:rFonts w:eastAsia="Calibri"/>
          <w:szCs w:val="24"/>
        </w:rPr>
        <w:t xml:space="preserve"> if the sampling covers only a subset of the schools or child care </w:t>
      </w:r>
      <w:bookmarkStart w:id="3153" w:name="_Hlk125669502"/>
      <w:r w:rsidRPr="003B4362">
        <w:rPr>
          <w:rFonts w:eastAsia="Calibri"/>
          <w:szCs w:val="24"/>
        </w:rPr>
        <w:t xml:space="preserve">facilities </w:t>
      </w:r>
      <w:r w:rsidR="003646E8" w:rsidRPr="003B4362">
        <w:rPr>
          <w:rFonts w:eastAsia="Calibri"/>
          <w:szCs w:val="24"/>
        </w:rPr>
        <w:t xml:space="preserve">the supplier </w:t>
      </w:r>
      <w:r w:rsidRPr="003B4362">
        <w:rPr>
          <w:rFonts w:eastAsia="Calibri"/>
          <w:szCs w:val="24"/>
        </w:rPr>
        <w:t>serve</w:t>
      </w:r>
      <w:r w:rsidR="003646E8" w:rsidRPr="003B4362">
        <w:rPr>
          <w:rFonts w:eastAsia="Calibri"/>
          <w:szCs w:val="24"/>
        </w:rPr>
        <w:t xml:space="preserve">s </w:t>
      </w:r>
      <w:r w:rsidRPr="003B4362">
        <w:rPr>
          <w:rFonts w:eastAsia="Calibri"/>
          <w:szCs w:val="24"/>
        </w:rPr>
        <w:t xml:space="preserve">as </w:t>
      </w:r>
      <w:r w:rsidR="003646E8" w:rsidRPr="003B4362">
        <w:rPr>
          <w:rFonts w:eastAsia="Calibri"/>
          <w:szCs w:val="24"/>
        </w:rPr>
        <w:t>it listed</w:t>
      </w:r>
      <w:r w:rsidRPr="003B4362">
        <w:rPr>
          <w:rFonts w:eastAsia="Calibri"/>
          <w:szCs w:val="24"/>
        </w:rPr>
        <w:t xml:space="preserve"> under subsection (a)(1)</w:t>
      </w:r>
      <w:bookmarkEnd w:id="3153"/>
      <w:r w:rsidRPr="003B4362">
        <w:rPr>
          <w:rFonts w:eastAsia="Calibri"/>
          <w:szCs w:val="24"/>
        </w:rPr>
        <w:t>.</w:t>
      </w:r>
    </w:p>
    <w:p w14:paraId="56E8CB1F" w14:textId="77777777" w:rsidR="00A854E0" w:rsidRDefault="00A854E0" w:rsidP="00A854E0">
      <w:pPr>
        <w:autoSpaceDE w:val="0"/>
        <w:autoSpaceDN w:val="0"/>
        <w:adjustRightInd w:val="0"/>
        <w:ind w:left="2160" w:hanging="720"/>
        <w:rPr>
          <w:rFonts w:eastAsia="Calibri"/>
          <w:szCs w:val="24"/>
        </w:rPr>
      </w:pPr>
    </w:p>
    <w:p w14:paraId="76767E0C" w14:textId="0B304C39"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4)</w:t>
      </w:r>
      <w:r w:rsidRPr="003B4362">
        <w:rPr>
          <w:rFonts w:eastAsia="Calibri"/>
          <w:szCs w:val="24"/>
        </w:rPr>
        <w:tab/>
        <w:t xml:space="preserve">The </w:t>
      </w:r>
      <w:r w:rsidR="00B3287F" w:rsidRPr="003B4362">
        <w:rPr>
          <w:rFonts w:eastAsia="Calibri"/>
          <w:szCs w:val="24"/>
        </w:rPr>
        <w:t>Agency</w:t>
      </w:r>
      <w:r w:rsidRPr="003B4362">
        <w:rPr>
          <w:rFonts w:eastAsia="Calibri"/>
          <w:szCs w:val="24"/>
        </w:rPr>
        <w:t xml:space="preserve"> may issue a </w:t>
      </w:r>
      <w:r w:rsidR="00B3287F" w:rsidRPr="003B4362">
        <w:rPr>
          <w:rFonts w:eastAsia="Calibri"/>
          <w:szCs w:val="24"/>
        </w:rPr>
        <w:t>SEP granting a</w:t>
      </w:r>
      <w:r w:rsidRPr="003B4362">
        <w:rPr>
          <w:rFonts w:eastAsia="Calibri"/>
          <w:szCs w:val="24"/>
        </w:rPr>
        <w:t xml:space="preserve"> waiver applicable to more than one </w:t>
      </w:r>
      <w:r w:rsidR="00B3287F" w:rsidRPr="003B4362">
        <w:rPr>
          <w:rFonts w:eastAsia="Calibri"/>
          <w:szCs w:val="24"/>
        </w:rPr>
        <w:t>supplier</w:t>
      </w:r>
      <w:r w:rsidRPr="003B4362">
        <w:rPr>
          <w:rFonts w:eastAsia="Calibri"/>
          <w:szCs w:val="24"/>
        </w:rPr>
        <w:t xml:space="preserve"> (e.g., one waiver for all </w:t>
      </w:r>
      <w:r w:rsidR="00B3287F" w:rsidRPr="003B4362">
        <w:rPr>
          <w:rFonts w:eastAsia="Calibri"/>
          <w:szCs w:val="24"/>
        </w:rPr>
        <w:t>suppliers</w:t>
      </w:r>
      <w:r w:rsidRPr="003B4362">
        <w:rPr>
          <w:rFonts w:eastAsia="Calibri"/>
          <w:szCs w:val="24"/>
        </w:rPr>
        <w:t xml:space="preserve"> subject to a statewide </w:t>
      </w:r>
      <w:bookmarkStart w:id="3154" w:name="_Hlk125670631"/>
      <w:r w:rsidRPr="003B4362">
        <w:rPr>
          <w:rFonts w:eastAsia="Calibri"/>
          <w:szCs w:val="24"/>
        </w:rPr>
        <w:t xml:space="preserve">sampling program </w:t>
      </w:r>
      <w:r w:rsidR="00B3287F" w:rsidRPr="003B4362">
        <w:rPr>
          <w:rFonts w:eastAsia="Calibri"/>
          <w:szCs w:val="24"/>
        </w:rPr>
        <w:t xml:space="preserve">complying with </w:t>
      </w:r>
      <w:r w:rsidRPr="003B4362">
        <w:rPr>
          <w:rFonts w:eastAsia="Calibri"/>
          <w:szCs w:val="24"/>
        </w:rPr>
        <w:t>subsection (d)</w:t>
      </w:r>
      <w:bookmarkEnd w:id="3154"/>
      <w:r w:rsidRPr="003B4362">
        <w:rPr>
          <w:rFonts w:eastAsia="Calibri"/>
          <w:szCs w:val="24"/>
        </w:rPr>
        <w:t>).</w:t>
      </w:r>
    </w:p>
    <w:p w14:paraId="1A846AC1" w14:textId="77777777" w:rsidR="00A854E0" w:rsidRDefault="00A854E0" w:rsidP="00A854E0">
      <w:pPr>
        <w:autoSpaceDE w:val="0"/>
        <w:autoSpaceDN w:val="0"/>
        <w:adjustRightInd w:val="0"/>
        <w:ind w:left="1440" w:hanging="720"/>
        <w:rPr>
          <w:rFonts w:eastAsia="Calibri"/>
          <w:szCs w:val="24"/>
        </w:rPr>
      </w:pPr>
    </w:p>
    <w:p w14:paraId="3ACE9C27" w14:textId="3BC548BE"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e)</w:t>
      </w:r>
      <w:r w:rsidRPr="003B4362">
        <w:rPr>
          <w:rFonts w:eastAsia="Calibri"/>
          <w:szCs w:val="24"/>
        </w:rPr>
        <w:tab/>
      </w:r>
      <w:bookmarkStart w:id="3155" w:name="_Hlk125670869"/>
      <w:r w:rsidRPr="003B4362">
        <w:rPr>
          <w:rFonts w:eastAsia="Calibri"/>
          <w:szCs w:val="24"/>
        </w:rPr>
        <w:t>Confirm</w:t>
      </w:r>
      <w:r w:rsidR="00DD553F" w:rsidRPr="003B4362">
        <w:rPr>
          <w:rFonts w:eastAsia="Calibri"/>
          <w:szCs w:val="24"/>
        </w:rPr>
        <w:t>ing</w:t>
      </w:r>
      <w:r w:rsidRPr="003B4362">
        <w:rPr>
          <w:rFonts w:eastAsia="Calibri"/>
          <w:szCs w:val="24"/>
        </w:rPr>
        <w:t xml:space="preserve"> or </w:t>
      </w:r>
      <w:r w:rsidR="00DD553F" w:rsidRPr="003B4362">
        <w:rPr>
          <w:rFonts w:eastAsia="Calibri"/>
          <w:szCs w:val="24"/>
        </w:rPr>
        <w:t>R</w:t>
      </w:r>
      <w:r w:rsidRPr="003B4362">
        <w:rPr>
          <w:rFonts w:eastAsia="Calibri"/>
          <w:szCs w:val="24"/>
        </w:rPr>
        <w:t>evisi</w:t>
      </w:r>
      <w:r w:rsidR="00DD553F" w:rsidRPr="003B4362">
        <w:rPr>
          <w:rFonts w:eastAsia="Calibri"/>
          <w:szCs w:val="24"/>
        </w:rPr>
        <w:t>ng</w:t>
      </w:r>
      <w:r w:rsidRPr="003B4362">
        <w:rPr>
          <w:rFonts w:eastAsia="Calibri"/>
          <w:szCs w:val="24"/>
        </w:rPr>
        <w:t xml:space="preserve"> </w:t>
      </w:r>
      <w:r w:rsidR="00DD553F" w:rsidRPr="003B4362">
        <w:rPr>
          <w:rFonts w:eastAsia="Calibri"/>
          <w:szCs w:val="24"/>
        </w:rPr>
        <w:t>S</w:t>
      </w:r>
      <w:r w:rsidRPr="003B4362">
        <w:rPr>
          <w:rFonts w:eastAsia="Calibri"/>
          <w:szCs w:val="24"/>
        </w:rPr>
        <w:t xml:space="preserve">chools and </w:t>
      </w:r>
      <w:r w:rsidR="00DD553F" w:rsidRPr="003B4362">
        <w:rPr>
          <w:rFonts w:eastAsia="Calibri"/>
          <w:szCs w:val="24"/>
        </w:rPr>
        <w:t>C</w:t>
      </w:r>
      <w:r w:rsidRPr="003B4362">
        <w:rPr>
          <w:rFonts w:eastAsia="Calibri"/>
          <w:szCs w:val="24"/>
        </w:rPr>
        <w:t xml:space="preserve">hild </w:t>
      </w:r>
      <w:r w:rsidR="00DD553F" w:rsidRPr="003B4362">
        <w:rPr>
          <w:rFonts w:eastAsia="Calibri"/>
          <w:szCs w:val="24"/>
        </w:rPr>
        <w:t>C</w:t>
      </w:r>
      <w:r w:rsidRPr="003B4362">
        <w:rPr>
          <w:rFonts w:eastAsia="Calibri"/>
          <w:szCs w:val="24"/>
        </w:rPr>
        <w:t xml:space="preserve">are </w:t>
      </w:r>
      <w:r w:rsidR="00DD553F" w:rsidRPr="003B4362">
        <w:rPr>
          <w:rFonts w:eastAsia="Calibri"/>
          <w:szCs w:val="24"/>
        </w:rPr>
        <w:t>F</w:t>
      </w:r>
      <w:r w:rsidRPr="003B4362">
        <w:rPr>
          <w:rFonts w:eastAsia="Calibri"/>
          <w:szCs w:val="24"/>
        </w:rPr>
        <w:t xml:space="preserve">acilities in </w:t>
      </w:r>
      <w:r w:rsidR="00DD553F" w:rsidRPr="003B4362">
        <w:rPr>
          <w:rFonts w:eastAsia="Calibri"/>
          <w:szCs w:val="24"/>
        </w:rPr>
        <w:t>I</w:t>
      </w:r>
      <w:r w:rsidRPr="003B4362">
        <w:rPr>
          <w:rFonts w:eastAsia="Calibri"/>
          <w:szCs w:val="24"/>
        </w:rPr>
        <w:t>nventory</w:t>
      </w:r>
      <w:bookmarkEnd w:id="3155"/>
      <w:r w:rsidRPr="003B4362">
        <w:rPr>
          <w:rFonts w:eastAsia="Calibri"/>
          <w:szCs w:val="24"/>
        </w:rPr>
        <w:t>.  A</w:t>
      </w:r>
      <w:bookmarkStart w:id="3156" w:name="_Hlk125671026"/>
      <w:bookmarkStart w:id="3157" w:name="_Hlk125671091"/>
      <w:r w:rsidR="00F51241" w:rsidRPr="003B4362">
        <w:rPr>
          <w:rFonts w:eastAsia="Calibri"/>
          <w:szCs w:val="24"/>
        </w:rPr>
        <w:t>t least once every five years,</w:t>
      </w:r>
      <w:r w:rsidRPr="003B4362">
        <w:rPr>
          <w:rFonts w:eastAsia="Calibri"/>
          <w:szCs w:val="24"/>
        </w:rPr>
        <w:t xml:space="preserve"> </w:t>
      </w:r>
      <w:r w:rsidR="00F51241" w:rsidRPr="003B4362">
        <w:rPr>
          <w:rFonts w:eastAsia="Calibri"/>
          <w:szCs w:val="24"/>
        </w:rPr>
        <w:t xml:space="preserve">a </w:t>
      </w:r>
      <w:r w:rsidR="00DD553F" w:rsidRPr="003B4362">
        <w:rPr>
          <w:rFonts w:eastAsia="Calibri"/>
          <w:szCs w:val="24"/>
        </w:rPr>
        <w:t>supplier</w:t>
      </w:r>
      <w:r w:rsidRPr="003B4362">
        <w:rPr>
          <w:rFonts w:eastAsia="Calibri"/>
          <w:szCs w:val="24"/>
        </w:rPr>
        <w:t xml:space="preserve"> </w:t>
      </w:r>
      <w:bookmarkEnd w:id="3156"/>
      <w:r w:rsidR="00DD553F" w:rsidRPr="003B4362">
        <w:rPr>
          <w:rFonts w:eastAsia="Calibri"/>
          <w:szCs w:val="24"/>
        </w:rPr>
        <w:t>must</w:t>
      </w:r>
      <w:bookmarkEnd w:id="3157"/>
      <w:r w:rsidRPr="003B4362">
        <w:rPr>
          <w:rFonts w:eastAsia="Calibri"/>
          <w:szCs w:val="24"/>
        </w:rPr>
        <w:t xml:space="preserve"> either confirm that</w:t>
      </w:r>
      <w:bookmarkStart w:id="3158" w:name="_Hlk125671243"/>
      <w:r w:rsidR="00F70F2C" w:rsidRPr="003B4362">
        <w:rPr>
          <w:rFonts w:eastAsia="Calibri"/>
          <w:szCs w:val="24"/>
        </w:rPr>
        <w:t xml:space="preserve"> </w:t>
      </w:r>
      <w:bookmarkStart w:id="3159" w:name="_Hlk125672705"/>
      <w:r w:rsidR="00F70F2C" w:rsidRPr="003B4362">
        <w:rPr>
          <w:rFonts w:eastAsia="Calibri"/>
          <w:szCs w:val="24"/>
        </w:rPr>
        <w:t>the</w:t>
      </w:r>
      <w:r w:rsidRPr="003B4362">
        <w:rPr>
          <w:rFonts w:eastAsia="Calibri"/>
          <w:szCs w:val="24"/>
        </w:rPr>
        <w:t xml:space="preserve"> list </w:t>
      </w:r>
      <w:r w:rsidR="00F91D6B" w:rsidRPr="003B4362">
        <w:rPr>
          <w:rFonts w:eastAsia="Calibri"/>
          <w:szCs w:val="24"/>
        </w:rPr>
        <w:t xml:space="preserve">it assembled under subsection (a)(1) </w:t>
      </w:r>
      <w:r w:rsidRPr="003B4362">
        <w:rPr>
          <w:rFonts w:eastAsia="Calibri"/>
          <w:szCs w:val="24"/>
        </w:rPr>
        <w:t xml:space="preserve">of schools and child care facilities </w:t>
      </w:r>
      <w:r w:rsidR="00F70F2C" w:rsidRPr="003B4362">
        <w:rPr>
          <w:rFonts w:eastAsia="Calibri"/>
          <w:szCs w:val="24"/>
        </w:rPr>
        <w:t>it serves</w:t>
      </w:r>
      <w:r w:rsidRPr="003B4362">
        <w:rPr>
          <w:rFonts w:eastAsia="Calibri"/>
          <w:szCs w:val="24"/>
        </w:rPr>
        <w:t xml:space="preserve"> </w:t>
      </w:r>
      <w:r w:rsidR="00F91D6B" w:rsidRPr="003B4362">
        <w:rPr>
          <w:rFonts w:eastAsia="Calibri"/>
          <w:szCs w:val="24"/>
        </w:rPr>
        <w:t>has not changed</w:t>
      </w:r>
      <w:bookmarkEnd w:id="3158"/>
      <w:bookmarkEnd w:id="3159"/>
      <w:r w:rsidR="00F51241" w:rsidRPr="003B4362">
        <w:rPr>
          <w:rFonts w:eastAsia="Calibri"/>
          <w:szCs w:val="24"/>
        </w:rPr>
        <w:t xml:space="preserve"> </w:t>
      </w:r>
      <w:r w:rsidRPr="003B4362">
        <w:rPr>
          <w:rFonts w:eastAsia="Calibri"/>
          <w:szCs w:val="24"/>
        </w:rPr>
        <w:t>or submit a revised list.</w:t>
      </w:r>
    </w:p>
    <w:p w14:paraId="554E3EE6" w14:textId="77777777" w:rsidR="00A854E0" w:rsidRDefault="00A854E0" w:rsidP="00A854E0">
      <w:pPr>
        <w:autoSpaceDE w:val="0"/>
        <w:autoSpaceDN w:val="0"/>
        <w:adjustRightInd w:val="0"/>
        <w:ind w:left="1440" w:hanging="720"/>
        <w:rPr>
          <w:rFonts w:eastAsia="Calibri"/>
          <w:szCs w:val="24"/>
        </w:rPr>
      </w:pPr>
    </w:p>
    <w:p w14:paraId="23495F82" w14:textId="65003DC3"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f)</w:t>
      </w:r>
      <w:r w:rsidRPr="003B4362">
        <w:rPr>
          <w:rFonts w:eastAsia="Calibri"/>
          <w:szCs w:val="24"/>
        </w:rPr>
        <w:tab/>
        <w:t>Noti</w:t>
      </w:r>
      <w:r w:rsidR="000E6D09" w:rsidRPr="003B4362">
        <w:rPr>
          <w:rFonts w:eastAsia="Calibri"/>
          <w:szCs w:val="24"/>
        </w:rPr>
        <w:t>ce</w:t>
      </w:r>
      <w:r w:rsidRPr="003B4362">
        <w:rPr>
          <w:rFonts w:eastAsia="Calibri"/>
          <w:szCs w:val="24"/>
        </w:rPr>
        <w:t xml:space="preserve"> of results.</w:t>
      </w:r>
    </w:p>
    <w:p w14:paraId="04F6A7CB" w14:textId="77777777" w:rsidR="00A854E0" w:rsidRDefault="00A854E0" w:rsidP="00A854E0">
      <w:pPr>
        <w:autoSpaceDE w:val="0"/>
        <w:autoSpaceDN w:val="0"/>
        <w:adjustRightInd w:val="0"/>
        <w:ind w:left="2160" w:hanging="720"/>
        <w:rPr>
          <w:rFonts w:eastAsia="Calibri"/>
          <w:szCs w:val="24"/>
        </w:rPr>
      </w:pPr>
    </w:p>
    <w:p w14:paraId="50E1C1D0" w14:textId="35CFEE53"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1)</w:t>
      </w:r>
      <w:r w:rsidRPr="003B4362">
        <w:rPr>
          <w:rFonts w:eastAsia="Calibri"/>
          <w:szCs w:val="24"/>
        </w:rPr>
        <w:tab/>
        <w:t xml:space="preserve">A </w:t>
      </w:r>
      <w:r w:rsidR="00B825C6" w:rsidRPr="003B4362">
        <w:rPr>
          <w:rFonts w:eastAsia="Calibri"/>
          <w:szCs w:val="24"/>
        </w:rPr>
        <w:t>supplier</w:t>
      </w:r>
      <w:r w:rsidRPr="003B4362">
        <w:rPr>
          <w:rFonts w:eastAsia="Calibri"/>
          <w:szCs w:val="24"/>
        </w:rPr>
        <w:t xml:space="preserve"> must provide analytical results</w:t>
      </w:r>
      <w:bookmarkStart w:id="3160" w:name="_Hlk126141150"/>
      <w:r w:rsidR="00716EA4" w:rsidRPr="003B4362">
        <w:rPr>
          <w:rFonts w:eastAsia="Calibri"/>
          <w:szCs w:val="24"/>
        </w:rPr>
        <w:t xml:space="preserve"> to the school or child care facility</w:t>
      </w:r>
      <w:bookmarkEnd w:id="3160"/>
      <w:r w:rsidRPr="003B4362">
        <w:rPr>
          <w:rFonts w:eastAsia="Calibri"/>
          <w:szCs w:val="24"/>
        </w:rPr>
        <w:t xml:space="preserve"> as soon as practicable but no later than 30 days </w:t>
      </w:r>
      <w:bookmarkStart w:id="3161" w:name="_Hlk126141435"/>
      <w:r w:rsidRPr="003B4362">
        <w:rPr>
          <w:rFonts w:eastAsia="Calibri"/>
          <w:szCs w:val="24"/>
        </w:rPr>
        <w:t>after recei</w:t>
      </w:r>
      <w:r w:rsidR="00716EA4" w:rsidRPr="003B4362">
        <w:rPr>
          <w:rFonts w:eastAsia="Calibri"/>
          <w:szCs w:val="24"/>
        </w:rPr>
        <w:t>ving them</w:t>
      </w:r>
      <w:bookmarkEnd w:id="3161"/>
      <w:r w:rsidR="00C3008E" w:rsidRPr="003B4362">
        <w:rPr>
          <w:rFonts w:eastAsia="Calibri"/>
          <w:szCs w:val="24"/>
        </w:rPr>
        <w:t xml:space="preserve"> </w:t>
      </w:r>
      <w:r w:rsidRPr="003B4362">
        <w:rPr>
          <w:rFonts w:eastAsia="Calibri"/>
          <w:szCs w:val="24"/>
        </w:rPr>
        <w:t>with information about remediation options.</w:t>
      </w:r>
    </w:p>
    <w:p w14:paraId="78FA369E" w14:textId="77777777" w:rsidR="00A854E0" w:rsidRDefault="00A854E0" w:rsidP="00A854E0">
      <w:pPr>
        <w:autoSpaceDE w:val="0"/>
        <w:autoSpaceDN w:val="0"/>
        <w:adjustRightInd w:val="0"/>
        <w:ind w:left="2160" w:hanging="720"/>
        <w:rPr>
          <w:rFonts w:eastAsia="Calibri"/>
          <w:szCs w:val="24"/>
        </w:rPr>
      </w:pPr>
    </w:p>
    <w:p w14:paraId="7FD51C41" w14:textId="058FCEB9"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t xml:space="preserve">A water system must </w:t>
      </w:r>
      <w:bookmarkStart w:id="3162" w:name="_Hlk126143911"/>
      <w:r w:rsidR="006A0306" w:rsidRPr="003B4362">
        <w:rPr>
          <w:rFonts w:eastAsia="Calibri"/>
          <w:szCs w:val="24"/>
        </w:rPr>
        <w:t xml:space="preserve">annually </w:t>
      </w:r>
      <w:r w:rsidRPr="003B4362">
        <w:rPr>
          <w:rFonts w:eastAsia="Calibri"/>
          <w:szCs w:val="24"/>
        </w:rPr>
        <w:t>provide analytical results</w:t>
      </w:r>
      <w:bookmarkEnd w:id="3162"/>
      <w:r w:rsidRPr="003B4362">
        <w:rPr>
          <w:rFonts w:eastAsia="Calibri"/>
          <w:szCs w:val="24"/>
        </w:rPr>
        <w:t>:</w:t>
      </w:r>
    </w:p>
    <w:p w14:paraId="66D682F4" w14:textId="77777777" w:rsidR="00A854E0" w:rsidRDefault="00A854E0" w:rsidP="00A854E0">
      <w:pPr>
        <w:autoSpaceDE w:val="0"/>
        <w:autoSpaceDN w:val="0"/>
        <w:adjustRightInd w:val="0"/>
        <w:ind w:left="2880" w:hanging="720"/>
        <w:rPr>
          <w:rFonts w:eastAsia="Calibri"/>
          <w:szCs w:val="24"/>
        </w:rPr>
      </w:pPr>
    </w:p>
    <w:p w14:paraId="2DA9E5B2" w14:textId="320E3A12"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A)</w:t>
      </w:r>
      <w:r w:rsidRPr="003B4362">
        <w:rPr>
          <w:rFonts w:eastAsia="Calibri"/>
          <w:szCs w:val="24"/>
        </w:rPr>
        <w:tab/>
        <w:t>T</w:t>
      </w:r>
      <w:r w:rsidR="00DD4EE3" w:rsidRPr="003B4362">
        <w:rPr>
          <w:rFonts w:eastAsia="Calibri"/>
          <w:szCs w:val="24"/>
        </w:rPr>
        <w:t>o t</w:t>
      </w:r>
      <w:r w:rsidRPr="003B4362">
        <w:rPr>
          <w:rFonts w:eastAsia="Calibri"/>
          <w:szCs w:val="24"/>
        </w:rPr>
        <w:t>he local and State health department</w:t>
      </w:r>
      <w:r w:rsidR="00DD4EE3" w:rsidRPr="003B4362">
        <w:rPr>
          <w:rFonts w:eastAsia="Calibri"/>
          <w:szCs w:val="24"/>
        </w:rPr>
        <w:t>s</w:t>
      </w:r>
      <w:r w:rsidRPr="003B4362">
        <w:rPr>
          <w:rFonts w:eastAsia="Calibri"/>
          <w:szCs w:val="24"/>
        </w:rPr>
        <w:t>; and</w:t>
      </w:r>
    </w:p>
    <w:p w14:paraId="6DF8200C" w14:textId="77777777" w:rsidR="00A854E0" w:rsidRDefault="00A854E0" w:rsidP="00A854E0">
      <w:pPr>
        <w:autoSpaceDE w:val="0"/>
        <w:autoSpaceDN w:val="0"/>
        <w:adjustRightInd w:val="0"/>
        <w:ind w:left="2880" w:hanging="720"/>
        <w:rPr>
          <w:rFonts w:eastAsia="Calibri"/>
          <w:szCs w:val="24"/>
        </w:rPr>
      </w:pPr>
    </w:p>
    <w:p w14:paraId="69DDAFB5" w14:textId="4E6AB03E"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B)</w:t>
      </w:r>
      <w:r w:rsidRPr="003B4362">
        <w:rPr>
          <w:rFonts w:eastAsia="Calibri"/>
          <w:szCs w:val="24"/>
        </w:rPr>
        <w:tab/>
        <w:t>T</w:t>
      </w:r>
      <w:r w:rsidR="00DD4EE3" w:rsidRPr="003B4362">
        <w:rPr>
          <w:rFonts w:eastAsia="Calibri"/>
          <w:szCs w:val="24"/>
        </w:rPr>
        <w:t>o t</w:t>
      </w:r>
      <w:r w:rsidRPr="003B4362">
        <w:rPr>
          <w:rFonts w:eastAsia="Calibri"/>
          <w:szCs w:val="24"/>
        </w:rPr>
        <w:t xml:space="preserve">he </w:t>
      </w:r>
      <w:r w:rsidR="00891344" w:rsidRPr="003B4362">
        <w:rPr>
          <w:rFonts w:eastAsia="Calibri"/>
          <w:szCs w:val="24"/>
        </w:rPr>
        <w:t>Agency</w:t>
      </w:r>
      <w:r w:rsidRPr="003B4362">
        <w:rPr>
          <w:rFonts w:eastAsia="Calibri"/>
          <w:szCs w:val="24"/>
        </w:rPr>
        <w:t xml:space="preserve"> </w:t>
      </w:r>
      <w:bookmarkStart w:id="3163" w:name="_Hlk126151221"/>
      <w:r w:rsidR="00891344" w:rsidRPr="003B4362">
        <w:rPr>
          <w:rFonts w:eastAsia="Calibri"/>
          <w:szCs w:val="24"/>
        </w:rPr>
        <w:t>under</w:t>
      </w:r>
      <w:r w:rsidRPr="003B4362">
        <w:rPr>
          <w:rFonts w:eastAsia="Calibri"/>
          <w:szCs w:val="24"/>
        </w:rPr>
        <w:t xml:space="preserve"> Section </w:t>
      </w:r>
      <w:r w:rsidR="00F03F15" w:rsidRPr="003B4362">
        <w:rPr>
          <w:rFonts w:eastAsia="Calibri"/>
          <w:szCs w:val="24"/>
        </w:rPr>
        <w:t>61</w:t>
      </w:r>
      <w:r w:rsidRPr="003B4362">
        <w:rPr>
          <w:rFonts w:eastAsia="Calibri"/>
          <w:szCs w:val="24"/>
        </w:rPr>
        <w:t>1.</w:t>
      </w:r>
      <w:r w:rsidR="00F03F15" w:rsidRPr="003B4362">
        <w:rPr>
          <w:rFonts w:eastAsia="Calibri"/>
          <w:szCs w:val="24"/>
        </w:rPr>
        <w:t>36</w:t>
      </w:r>
      <w:r w:rsidRPr="003B4362">
        <w:rPr>
          <w:rFonts w:eastAsia="Calibri"/>
          <w:szCs w:val="24"/>
        </w:rPr>
        <w:t>0(i)</w:t>
      </w:r>
      <w:bookmarkEnd w:id="3163"/>
      <w:r w:rsidRPr="003B4362">
        <w:rPr>
          <w:rFonts w:eastAsia="Calibri"/>
          <w:szCs w:val="24"/>
        </w:rPr>
        <w:t>.</w:t>
      </w:r>
    </w:p>
    <w:p w14:paraId="09F0B9FE" w14:textId="77777777" w:rsidR="00A854E0" w:rsidRDefault="00A854E0" w:rsidP="00A854E0">
      <w:pPr>
        <w:autoSpaceDE w:val="0"/>
        <w:autoSpaceDN w:val="0"/>
        <w:adjustRightInd w:val="0"/>
        <w:ind w:left="1440" w:hanging="720"/>
        <w:rPr>
          <w:rFonts w:eastAsia="Calibri"/>
          <w:szCs w:val="24"/>
        </w:rPr>
      </w:pPr>
    </w:p>
    <w:p w14:paraId="78AAAEFB" w14:textId="62F27148"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g)</w:t>
      </w:r>
      <w:r w:rsidRPr="003B4362">
        <w:rPr>
          <w:rFonts w:eastAsia="Calibri"/>
          <w:szCs w:val="24"/>
        </w:rPr>
        <w:tab/>
      </w:r>
      <w:bookmarkStart w:id="3164" w:name="_Hlk126151425"/>
      <w:r w:rsidRPr="003B4362">
        <w:rPr>
          <w:rFonts w:eastAsia="Calibri"/>
          <w:szCs w:val="24"/>
        </w:rPr>
        <w:t xml:space="preserve">Lead </w:t>
      </w:r>
      <w:r w:rsidR="00F03F15" w:rsidRPr="003B4362">
        <w:rPr>
          <w:rFonts w:eastAsia="Calibri"/>
          <w:szCs w:val="24"/>
        </w:rPr>
        <w:t>S</w:t>
      </w:r>
      <w:r w:rsidRPr="003B4362">
        <w:rPr>
          <w:rFonts w:eastAsia="Calibri"/>
          <w:szCs w:val="24"/>
        </w:rPr>
        <w:t xml:space="preserve">ampling in </w:t>
      </w:r>
      <w:r w:rsidR="00F03F15" w:rsidRPr="003B4362">
        <w:rPr>
          <w:rFonts w:eastAsia="Calibri"/>
          <w:szCs w:val="24"/>
        </w:rPr>
        <w:t>S</w:t>
      </w:r>
      <w:r w:rsidRPr="003B4362">
        <w:rPr>
          <w:rFonts w:eastAsia="Calibri"/>
          <w:szCs w:val="24"/>
        </w:rPr>
        <w:t xml:space="preserve">chools and </w:t>
      </w:r>
      <w:r w:rsidR="00F03F15" w:rsidRPr="003B4362">
        <w:rPr>
          <w:rFonts w:eastAsia="Calibri"/>
          <w:szCs w:val="24"/>
        </w:rPr>
        <w:t>C</w:t>
      </w:r>
      <w:r w:rsidRPr="003B4362">
        <w:rPr>
          <w:rFonts w:eastAsia="Calibri"/>
          <w:szCs w:val="24"/>
        </w:rPr>
        <w:t xml:space="preserve">hild </w:t>
      </w:r>
      <w:r w:rsidR="00F03F15" w:rsidRPr="003B4362">
        <w:rPr>
          <w:rFonts w:eastAsia="Calibri"/>
          <w:szCs w:val="24"/>
        </w:rPr>
        <w:t>C</w:t>
      </w:r>
      <w:r w:rsidRPr="003B4362">
        <w:rPr>
          <w:rFonts w:eastAsia="Calibri"/>
          <w:szCs w:val="24"/>
        </w:rPr>
        <w:t xml:space="preserve">are </w:t>
      </w:r>
      <w:r w:rsidR="00F03F15" w:rsidRPr="003B4362">
        <w:rPr>
          <w:rFonts w:eastAsia="Calibri"/>
          <w:szCs w:val="24"/>
        </w:rPr>
        <w:t>F</w:t>
      </w:r>
      <w:r w:rsidRPr="003B4362">
        <w:rPr>
          <w:rFonts w:eastAsia="Calibri"/>
          <w:szCs w:val="24"/>
        </w:rPr>
        <w:t xml:space="preserve">acilities on </w:t>
      </w:r>
      <w:r w:rsidR="00F03F15" w:rsidRPr="003B4362">
        <w:rPr>
          <w:rFonts w:eastAsia="Calibri"/>
          <w:szCs w:val="24"/>
        </w:rPr>
        <w:t>R</w:t>
      </w:r>
      <w:r w:rsidRPr="003B4362">
        <w:rPr>
          <w:rFonts w:eastAsia="Calibri"/>
          <w:szCs w:val="24"/>
        </w:rPr>
        <w:t>equest</w:t>
      </w:r>
      <w:bookmarkEnd w:id="3164"/>
    </w:p>
    <w:p w14:paraId="10BE6AF9" w14:textId="77777777" w:rsidR="00A854E0" w:rsidRDefault="00A854E0" w:rsidP="00A854E0">
      <w:pPr>
        <w:autoSpaceDE w:val="0"/>
        <w:autoSpaceDN w:val="0"/>
        <w:adjustRightInd w:val="0"/>
        <w:ind w:left="2160" w:hanging="720"/>
        <w:rPr>
          <w:rFonts w:eastAsia="Calibri"/>
          <w:szCs w:val="24"/>
        </w:rPr>
      </w:pPr>
    </w:p>
    <w:p w14:paraId="4707D988" w14:textId="731BE8C9"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lastRenderedPageBreak/>
        <w:t>1)</w:t>
      </w:r>
      <w:r w:rsidRPr="003B4362">
        <w:rPr>
          <w:rFonts w:eastAsia="Calibri"/>
          <w:szCs w:val="24"/>
        </w:rPr>
        <w:tab/>
        <w:t xml:space="preserve">A </w:t>
      </w:r>
      <w:r w:rsidR="00F03F15" w:rsidRPr="003B4362">
        <w:rPr>
          <w:rFonts w:eastAsia="Calibri"/>
          <w:szCs w:val="24"/>
        </w:rPr>
        <w:t>supplier</w:t>
      </w:r>
      <w:r w:rsidRPr="003B4362">
        <w:rPr>
          <w:rFonts w:eastAsia="Calibri"/>
          <w:szCs w:val="24"/>
        </w:rPr>
        <w:t xml:space="preserve"> must contact schools and child care facilities </w:t>
      </w:r>
      <w:bookmarkStart w:id="3165" w:name="_Hlk126151628"/>
      <w:r w:rsidR="00F03F15" w:rsidRPr="003B4362">
        <w:rPr>
          <w:rFonts w:eastAsia="Calibri"/>
          <w:szCs w:val="24"/>
        </w:rPr>
        <w:t>the supplier identified</w:t>
      </w:r>
      <w:r w:rsidRPr="003B4362">
        <w:rPr>
          <w:rFonts w:eastAsia="Calibri"/>
          <w:szCs w:val="24"/>
        </w:rPr>
        <w:t xml:space="preserve"> </w:t>
      </w:r>
      <w:r w:rsidR="00F03F15" w:rsidRPr="003B4362">
        <w:rPr>
          <w:rFonts w:eastAsia="Calibri"/>
          <w:szCs w:val="24"/>
        </w:rPr>
        <w:t>under</w:t>
      </w:r>
      <w:r w:rsidRPr="003B4362">
        <w:rPr>
          <w:rFonts w:eastAsia="Calibri"/>
          <w:szCs w:val="24"/>
        </w:rPr>
        <w:t xml:space="preserve"> subsection (a)(1)</w:t>
      </w:r>
      <w:bookmarkEnd w:id="3165"/>
      <w:r w:rsidRPr="003B4362">
        <w:rPr>
          <w:rFonts w:eastAsia="Calibri"/>
          <w:szCs w:val="24"/>
        </w:rPr>
        <w:t xml:space="preserve"> </w:t>
      </w:r>
      <w:bookmarkStart w:id="3166" w:name="_Hlk126151869"/>
      <w:r w:rsidRPr="003B4362">
        <w:rPr>
          <w:rFonts w:eastAsia="Calibri"/>
          <w:szCs w:val="24"/>
        </w:rPr>
        <w:t>at least annual</w:t>
      </w:r>
      <w:r w:rsidR="003C6C4F" w:rsidRPr="003B4362">
        <w:rPr>
          <w:rFonts w:eastAsia="Calibri"/>
          <w:szCs w:val="24"/>
        </w:rPr>
        <w:t>ly</w:t>
      </w:r>
      <w:bookmarkEnd w:id="3166"/>
      <w:r w:rsidRPr="003B4362">
        <w:rPr>
          <w:rFonts w:eastAsia="Calibri"/>
          <w:szCs w:val="24"/>
        </w:rPr>
        <w:t xml:space="preserve"> to provide:</w:t>
      </w:r>
    </w:p>
    <w:p w14:paraId="37D33C08" w14:textId="77777777" w:rsidR="00A854E0" w:rsidRDefault="00A854E0" w:rsidP="00A854E0">
      <w:pPr>
        <w:autoSpaceDE w:val="0"/>
        <w:autoSpaceDN w:val="0"/>
        <w:adjustRightInd w:val="0"/>
        <w:ind w:left="2880" w:hanging="720"/>
        <w:rPr>
          <w:rFonts w:eastAsia="Calibri"/>
          <w:szCs w:val="24"/>
        </w:rPr>
      </w:pPr>
    </w:p>
    <w:p w14:paraId="1331041C" w14:textId="741A80FC"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A)</w:t>
      </w:r>
      <w:r w:rsidRPr="003B4362">
        <w:rPr>
          <w:rFonts w:eastAsia="Calibri"/>
          <w:szCs w:val="24"/>
        </w:rPr>
        <w:tab/>
        <w:t>Information about health risks from lead in drinking water;</w:t>
      </w:r>
    </w:p>
    <w:p w14:paraId="11A4E3E4" w14:textId="77777777" w:rsidR="00A854E0" w:rsidRDefault="00A854E0" w:rsidP="00A854E0">
      <w:pPr>
        <w:autoSpaceDE w:val="0"/>
        <w:autoSpaceDN w:val="0"/>
        <w:adjustRightInd w:val="0"/>
        <w:ind w:left="2880" w:hanging="720"/>
        <w:rPr>
          <w:rFonts w:eastAsia="Calibri"/>
          <w:szCs w:val="24"/>
        </w:rPr>
      </w:pPr>
    </w:p>
    <w:p w14:paraId="5A776782" w14:textId="3DB2DBBE"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B)</w:t>
      </w:r>
      <w:r w:rsidRPr="003B4362">
        <w:rPr>
          <w:rFonts w:eastAsia="Calibri"/>
          <w:szCs w:val="24"/>
        </w:rPr>
        <w:tab/>
        <w:t>Information about how to request sampling for lead at the facility; and</w:t>
      </w:r>
    </w:p>
    <w:p w14:paraId="615A3771" w14:textId="77777777" w:rsidR="00A854E0" w:rsidRDefault="00A854E0" w:rsidP="00A854E0">
      <w:pPr>
        <w:autoSpaceDE w:val="0"/>
        <w:autoSpaceDN w:val="0"/>
        <w:adjustRightInd w:val="0"/>
        <w:ind w:left="2880" w:hanging="720"/>
        <w:rPr>
          <w:rFonts w:eastAsia="Calibri"/>
          <w:szCs w:val="24"/>
        </w:rPr>
      </w:pPr>
    </w:p>
    <w:p w14:paraId="31CACF0D" w14:textId="7DC74976"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C)</w:t>
      </w:r>
      <w:r w:rsidRPr="003B4362">
        <w:rPr>
          <w:rFonts w:eastAsia="Calibri"/>
          <w:szCs w:val="24"/>
        </w:rPr>
        <w:tab/>
        <w:t>Information about sampling for lead in schools and child care facilities.</w:t>
      </w:r>
    </w:p>
    <w:p w14:paraId="73E75615" w14:textId="77777777" w:rsidR="00A854E0" w:rsidRDefault="00A854E0" w:rsidP="00A854E0">
      <w:pPr>
        <w:autoSpaceDE w:val="0"/>
        <w:autoSpaceDN w:val="0"/>
        <w:adjustRightInd w:val="0"/>
        <w:ind w:left="2880"/>
        <w:rPr>
          <w:rFonts w:eastAsia="Calibri"/>
          <w:szCs w:val="24"/>
        </w:rPr>
      </w:pPr>
    </w:p>
    <w:p w14:paraId="1D4CBE85" w14:textId="5D0DC264" w:rsidR="00843895" w:rsidRPr="003B4362" w:rsidRDefault="00843895" w:rsidP="00A854E0">
      <w:pPr>
        <w:autoSpaceDE w:val="0"/>
        <w:autoSpaceDN w:val="0"/>
        <w:adjustRightInd w:val="0"/>
        <w:ind w:left="2880"/>
        <w:rPr>
          <w:rFonts w:eastAsia="Calibri"/>
          <w:szCs w:val="24"/>
        </w:rPr>
      </w:pPr>
      <w:r w:rsidRPr="003B4362">
        <w:rPr>
          <w:rFonts w:eastAsia="Calibri"/>
          <w:szCs w:val="24"/>
        </w:rPr>
        <w:t>BOARD NOTE:  USEPA has guidance available from USEPA, National Center for Environmental Publications:  “3Ts for Reducing Lead in Drinking Water in Schools and Child Care Facilities:  A Training, Testing, and Taking Action Approach, Revised Manual” (October 2018), USEPA, Office of Water, doc. no. EPA 815-B-18-007 (search:  “815B18007”) and “U.S. EPA 3Ts Program Training, Testing &amp; Taking Action:  Lead Sample Collection Field Guide for Schools and Child Care Facilities” (July 2022), USEPA, Office of Water, doc. no. EPA 815-F-22-009 (search:  “815F22009”)</w:t>
      </w:r>
      <w:r w:rsidR="00050AF4" w:rsidRPr="003B4362">
        <w:rPr>
          <w:rFonts w:eastAsia="Calibri"/>
          <w:szCs w:val="24"/>
        </w:rPr>
        <w:t xml:space="preserve"> or subsequent EPA guidance</w:t>
      </w:r>
      <w:r w:rsidRPr="003B4362">
        <w:rPr>
          <w:rFonts w:eastAsia="Calibri"/>
          <w:szCs w:val="24"/>
        </w:rPr>
        <w:t>.</w:t>
      </w:r>
    </w:p>
    <w:p w14:paraId="4B71EB13" w14:textId="77777777" w:rsidR="00A854E0" w:rsidRDefault="00A854E0" w:rsidP="00A854E0">
      <w:pPr>
        <w:autoSpaceDE w:val="0"/>
        <w:autoSpaceDN w:val="0"/>
        <w:adjustRightInd w:val="0"/>
        <w:ind w:left="2160" w:hanging="720"/>
        <w:rPr>
          <w:rFonts w:eastAsia="Calibri"/>
          <w:szCs w:val="24"/>
        </w:rPr>
      </w:pPr>
    </w:p>
    <w:p w14:paraId="4C7603FB" w14:textId="0CDE6914"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t xml:space="preserve">A </w:t>
      </w:r>
      <w:r w:rsidR="0045335A" w:rsidRPr="003B4362">
        <w:rPr>
          <w:rFonts w:eastAsia="Calibri"/>
          <w:szCs w:val="24"/>
        </w:rPr>
        <w:t>supplier</w:t>
      </w:r>
      <w:r w:rsidRPr="003B4362">
        <w:rPr>
          <w:rFonts w:eastAsia="Calibri"/>
          <w:szCs w:val="24"/>
        </w:rPr>
        <w:t xml:space="preserve"> must conduct sampling </w:t>
      </w:r>
      <w:bookmarkStart w:id="3167" w:name="_Hlk126153651"/>
      <w:r w:rsidR="0045335A" w:rsidRPr="003B4362">
        <w:rPr>
          <w:rFonts w:eastAsia="Calibri"/>
          <w:szCs w:val="24"/>
        </w:rPr>
        <w:t>under</w:t>
      </w:r>
      <w:r w:rsidRPr="003B4362">
        <w:rPr>
          <w:rFonts w:eastAsia="Calibri"/>
          <w:szCs w:val="24"/>
        </w:rPr>
        <w:t xml:space="preserve"> subsection (b)</w:t>
      </w:r>
      <w:bookmarkEnd w:id="3167"/>
      <w:r w:rsidRPr="003B4362">
        <w:rPr>
          <w:rFonts w:eastAsia="Calibri"/>
          <w:szCs w:val="24"/>
        </w:rPr>
        <w:t xml:space="preserve"> </w:t>
      </w:r>
      <w:bookmarkStart w:id="3168" w:name="_Hlk126153779"/>
      <w:bookmarkStart w:id="3169" w:name="_Hlk126154111"/>
      <w:r w:rsidRPr="003B4362">
        <w:rPr>
          <w:rFonts w:eastAsia="Calibri"/>
          <w:szCs w:val="24"/>
        </w:rPr>
        <w:t>when</w:t>
      </w:r>
      <w:r w:rsidR="0031005B" w:rsidRPr="003B4362">
        <w:rPr>
          <w:rFonts w:eastAsia="Calibri"/>
          <w:szCs w:val="24"/>
        </w:rPr>
        <w:t xml:space="preserve"> </w:t>
      </w:r>
      <w:r w:rsidRPr="003B4362">
        <w:rPr>
          <w:rFonts w:eastAsia="Calibri"/>
          <w:szCs w:val="24"/>
        </w:rPr>
        <w:t xml:space="preserve">the </w:t>
      </w:r>
      <w:r w:rsidR="0031005B" w:rsidRPr="003B4362">
        <w:rPr>
          <w:rFonts w:eastAsia="Calibri"/>
          <w:szCs w:val="24"/>
        </w:rPr>
        <w:t xml:space="preserve">school or </w:t>
      </w:r>
      <w:r w:rsidRPr="003B4362">
        <w:rPr>
          <w:rFonts w:eastAsia="Calibri"/>
          <w:szCs w:val="24"/>
        </w:rPr>
        <w:t>facility</w:t>
      </w:r>
      <w:bookmarkEnd w:id="3168"/>
      <w:r w:rsidRPr="003B4362">
        <w:rPr>
          <w:rFonts w:eastAsia="Calibri"/>
          <w:szCs w:val="24"/>
        </w:rPr>
        <w:t xml:space="preserve"> </w:t>
      </w:r>
      <w:r w:rsidR="0031005B" w:rsidRPr="003B4362">
        <w:rPr>
          <w:rFonts w:eastAsia="Calibri"/>
          <w:szCs w:val="24"/>
        </w:rPr>
        <w:t>requests</w:t>
      </w:r>
      <w:bookmarkEnd w:id="3169"/>
      <w:r w:rsidR="0031005B" w:rsidRPr="003B4362">
        <w:rPr>
          <w:rFonts w:eastAsia="Calibri"/>
          <w:szCs w:val="24"/>
        </w:rPr>
        <w:t xml:space="preserve">, </w:t>
      </w:r>
      <w:bookmarkStart w:id="3170" w:name="_Hlk126154141"/>
      <w:r w:rsidRPr="003B4362">
        <w:rPr>
          <w:rFonts w:eastAsia="Calibri"/>
          <w:szCs w:val="24"/>
        </w:rPr>
        <w:t xml:space="preserve">and </w:t>
      </w:r>
      <w:r w:rsidR="0031005B" w:rsidRPr="003B4362">
        <w:rPr>
          <w:rFonts w:eastAsia="Calibri"/>
          <w:szCs w:val="24"/>
        </w:rPr>
        <w:t xml:space="preserve">the supplier must </w:t>
      </w:r>
      <w:r w:rsidRPr="003B4362">
        <w:rPr>
          <w:rFonts w:eastAsia="Calibri"/>
          <w:szCs w:val="24"/>
        </w:rPr>
        <w:t>provide</w:t>
      </w:r>
      <w:r w:rsidR="0031005B" w:rsidRPr="003B4362">
        <w:rPr>
          <w:rFonts w:eastAsia="Calibri"/>
          <w:szCs w:val="24"/>
        </w:rPr>
        <w:t xml:space="preserve"> information to the facility</w:t>
      </w:r>
      <w:bookmarkEnd w:id="3170"/>
      <w:r w:rsidRPr="003B4362">
        <w:rPr>
          <w:rFonts w:eastAsia="Calibri"/>
          <w:szCs w:val="24"/>
        </w:rPr>
        <w:t>:</w:t>
      </w:r>
    </w:p>
    <w:p w14:paraId="6E36EED8" w14:textId="77777777" w:rsidR="00A854E0" w:rsidRDefault="00A854E0" w:rsidP="00A854E0">
      <w:pPr>
        <w:autoSpaceDE w:val="0"/>
        <w:autoSpaceDN w:val="0"/>
        <w:adjustRightInd w:val="0"/>
        <w:ind w:left="2880" w:hanging="720"/>
        <w:rPr>
          <w:rFonts w:eastAsia="Calibri"/>
          <w:szCs w:val="24"/>
        </w:rPr>
      </w:pPr>
    </w:p>
    <w:p w14:paraId="6683A15A" w14:textId="6C540454"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A)</w:t>
      </w:r>
      <w:r w:rsidRPr="003B4362">
        <w:rPr>
          <w:rFonts w:eastAsia="Calibri"/>
          <w:szCs w:val="24"/>
        </w:rPr>
        <w:tab/>
        <w:t xml:space="preserve">Instructions for identifying outlets for sampling and preparing </w:t>
      </w:r>
      <w:bookmarkStart w:id="3171" w:name="_Hlk126155843"/>
      <w:bookmarkStart w:id="3172" w:name="_Hlk126155970"/>
      <w:r w:rsidRPr="003B4362">
        <w:rPr>
          <w:rFonts w:eastAsia="Calibri"/>
          <w:szCs w:val="24"/>
        </w:rPr>
        <w:t>for</w:t>
      </w:r>
      <w:r w:rsidR="00AE398E" w:rsidRPr="003B4362">
        <w:rPr>
          <w:rFonts w:eastAsia="Calibri"/>
          <w:szCs w:val="24"/>
        </w:rPr>
        <w:t xml:space="preserve"> </w:t>
      </w:r>
      <w:r w:rsidRPr="003B4362">
        <w:rPr>
          <w:rFonts w:eastAsia="Calibri"/>
          <w:szCs w:val="24"/>
        </w:rPr>
        <w:t>sampling</w:t>
      </w:r>
      <w:r w:rsidR="00AE398E" w:rsidRPr="003B4362">
        <w:rPr>
          <w:rFonts w:eastAsia="Calibri"/>
          <w:szCs w:val="24"/>
        </w:rPr>
        <w:t xml:space="preserve"> </w:t>
      </w:r>
      <w:r w:rsidRPr="003B4362">
        <w:rPr>
          <w:rFonts w:eastAsia="Calibri"/>
          <w:szCs w:val="24"/>
        </w:rPr>
        <w:t xml:space="preserve">at least 30 days </w:t>
      </w:r>
      <w:bookmarkEnd w:id="3171"/>
      <w:r w:rsidR="00AE398E" w:rsidRPr="003B4362">
        <w:rPr>
          <w:rFonts w:eastAsia="Calibri"/>
          <w:szCs w:val="24"/>
        </w:rPr>
        <w:t>before it occurs</w:t>
      </w:r>
      <w:bookmarkEnd w:id="3172"/>
      <w:r w:rsidRPr="003B4362">
        <w:rPr>
          <w:rFonts w:eastAsia="Calibri"/>
          <w:szCs w:val="24"/>
        </w:rPr>
        <w:t>; and</w:t>
      </w:r>
    </w:p>
    <w:p w14:paraId="036DDBBF" w14:textId="77777777" w:rsidR="00A854E0" w:rsidRDefault="00A854E0" w:rsidP="00A854E0">
      <w:pPr>
        <w:autoSpaceDE w:val="0"/>
        <w:autoSpaceDN w:val="0"/>
        <w:adjustRightInd w:val="0"/>
        <w:ind w:left="2880" w:hanging="720"/>
        <w:rPr>
          <w:rFonts w:eastAsia="Calibri"/>
          <w:szCs w:val="24"/>
        </w:rPr>
      </w:pPr>
    </w:p>
    <w:p w14:paraId="62D1EC7C" w14:textId="16ACEF87"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B)</w:t>
      </w:r>
      <w:r w:rsidRPr="003B4362">
        <w:rPr>
          <w:rFonts w:eastAsia="Calibri"/>
          <w:szCs w:val="24"/>
        </w:rPr>
        <w:tab/>
        <w:t xml:space="preserve">Results </w:t>
      </w:r>
      <w:bookmarkStart w:id="3173" w:name="_Hlk126156299"/>
      <w:bookmarkStart w:id="3174" w:name="_Hlk126156493"/>
      <w:r w:rsidRPr="003B4362">
        <w:rPr>
          <w:rFonts w:eastAsia="Calibri"/>
          <w:szCs w:val="24"/>
        </w:rPr>
        <w:t>as</w:t>
      </w:r>
      <w:r w:rsidR="00AE398E" w:rsidRPr="003B4362">
        <w:rPr>
          <w:rFonts w:eastAsia="Calibri"/>
          <w:szCs w:val="24"/>
        </w:rPr>
        <w:t xml:space="preserve"> </w:t>
      </w:r>
      <w:r w:rsidRPr="003B4362">
        <w:rPr>
          <w:rFonts w:eastAsia="Calibri"/>
          <w:szCs w:val="24"/>
        </w:rPr>
        <w:t xml:space="preserve">subsection (f) </w:t>
      </w:r>
      <w:bookmarkEnd w:id="3173"/>
      <w:r w:rsidR="00AE398E" w:rsidRPr="003B4362">
        <w:rPr>
          <w:rFonts w:eastAsia="Calibri"/>
          <w:szCs w:val="24"/>
        </w:rPr>
        <w:t>requires</w:t>
      </w:r>
      <w:bookmarkEnd w:id="3174"/>
      <w:r w:rsidRPr="003B4362">
        <w:rPr>
          <w:rFonts w:eastAsia="Calibri"/>
          <w:szCs w:val="24"/>
        </w:rPr>
        <w:t>.</w:t>
      </w:r>
    </w:p>
    <w:p w14:paraId="4E607508" w14:textId="77777777" w:rsidR="00A854E0" w:rsidRDefault="00A854E0" w:rsidP="00A854E0">
      <w:pPr>
        <w:autoSpaceDE w:val="0"/>
        <w:autoSpaceDN w:val="0"/>
        <w:adjustRightInd w:val="0"/>
        <w:ind w:left="2160" w:hanging="720"/>
        <w:rPr>
          <w:rFonts w:eastAsia="Calibri"/>
          <w:szCs w:val="24"/>
        </w:rPr>
      </w:pPr>
    </w:p>
    <w:p w14:paraId="2A6A3561" w14:textId="2893EFBA"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3)</w:t>
      </w:r>
      <w:r w:rsidRPr="003B4362">
        <w:rPr>
          <w:rFonts w:eastAsia="Calibri"/>
          <w:szCs w:val="24"/>
        </w:rPr>
        <w:tab/>
        <w:t xml:space="preserve">If a </w:t>
      </w:r>
      <w:r w:rsidR="005D2AF7" w:rsidRPr="003B4362">
        <w:rPr>
          <w:rFonts w:eastAsia="Calibri"/>
          <w:szCs w:val="24"/>
        </w:rPr>
        <w:t>supplier</w:t>
      </w:r>
      <w:r w:rsidRPr="003B4362">
        <w:rPr>
          <w:rFonts w:eastAsia="Calibri"/>
          <w:szCs w:val="24"/>
        </w:rPr>
        <w:t xml:space="preserve"> receives requests from more than 20 percent of the schools and child care facilities </w:t>
      </w:r>
      <w:r w:rsidR="005D2AF7" w:rsidRPr="003B4362">
        <w:rPr>
          <w:rFonts w:eastAsia="Calibri"/>
          <w:szCs w:val="24"/>
        </w:rPr>
        <w:t>the supplier listed</w:t>
      </w:r>
      <w:r w:rsidRPr="003B4362">
        <w:rPr>
          <w:rFonts w:eastAsia="Calibri"/>
          <w:szCs w:val="24"/>
        </w:rPr>
        <w:t xml:space="preserve"> </w:t>
      </w:r>
      <w:r w:rsidR="005D2AF7" w:rsidRPr="003B4362">
        <w:rPr>
          <w:rFonts w:eastAsia="Calibri"/>
          <w:szCs w:val="24"/>
        </w:rPr>
        <w:t>under</w:t>
      </w:r>
      <w:r w:rsidRPr="003B4362">
        <w:rPr>
          <w:rFonts w:eastAsia="Calibri"/>
          <w:szCs w:val="24"/>
        </w:rPr>
        <w:t xml:space="preserve"> subsection (a)(1) in a given year, the </w:t>
      </w:r>
      <w:r w:rsidR="005D2AF7" w:rsidRPr="003B4362">
        <w:rPr>
          <w:rFonts w:eastAsia="Calibri"/>
          <w:szCs w:val="24"/>
        </w:rPr>
        <w:t>supplier</w:t>
      </w:r>
      <w:r w:rsidRPr="003B4362">
        <w:rPr>
          <w:rFonts w:eastAsia="Calibri"/>
          <w:szCs w:val="24"/>
        </w:rPr>
        <w:t xml:space="preserve"> may schedule sampling for </w:t>
      </w:r>
      <w:bookmarkStart w:id="3175" w:name="_Hlk126156935"/>
      <w:bookmarkStart w:id="3176" w:name="_Hlk126156954"/>
      <w:r w:rsidRPr="003B4362">
        <w:rPr>
          <w:rFonts w:eastAsia="Calibri"/>
          <w:szCs w:val="24"/>
        </w:rPr>
        <w:t xml:space="preserve">those </w:t>
      </w:r>
      <w:bookmarkStart w:id="3177" w:name="_Hlk126156894"/>
      <w:bookmarkEnd w:id="3175"/>
      <w:r w:rsidRPr="003B4362">
        <w:rPr>
          <w:rFonts w:eastAsia="Calibri"/>
          <w:szCs w:val="24"/>
        </w:rPr>
        <w:t>exceed</w:t>
      </w:r>
      <w:r w:rsidR="005D2AF7" w:rsidRPr="003B4362">
        <w:rPr>
          <w:rFonts w:eastAsia="Calibri"/>
          <w:szCs w:val="24"/>
        </w:rPr>
        <w:t>ing</w:t>
      </w:r>
      <w:r w:rsidRPr="003B4362">
        <w:rPr>
          <w:rFonts w:eastAsia="Calibri"/>
          <w:szCs w:val="24"/>
        </w:rPr>
        <w:t xml:space="preserve"> 20 percent</w:t>
      </w:r>
      <w:bookmarkEnd w:id="3176"/>
      <w:bookmarkEnd w:id="3177"/>
      <w:r w:rsidRPr="003B4362">
        <w:rPr>
          <w:rFonts w:eastAsia="Calibri"/>
          <w:szCs w:val="24"/>
        </w:rPr>
        <w:t xml:space="preserve"> for the following year.  A</w:t>
      </w:r>
      <w:bookmarkStart w:id="3178" w:name="_Hlk126156997"/>
      <w:r w:rsidRPr="003B4362">
        <w:rPr>
          <w:rFonts w:eastAsia="Calibri"/>
          <w:szCs w:val="24"/>
        </w:rPr>
        <w:t xml:space="preserve"> </w:t>
      </w:r>
      <w:r w:rsidR="005D2AF7" w:rsidRPr="003B4362">
        <w:rPr>
          <w:rFonts w:eastAsia="Calibri"/>
          <w:szCs w:val="24"/>
        </w:rPr>
        <w:t>supplier</w:t>
      </w:r>
      <w:r w:rsidRPr="003B4362">
        <w:rPr>
          <w:rFonts w:eastAsia="Calibri"/>
          <w:szCs w:val="24"/>
        </w:rPr>
        <w:t xml:space="preserve"> </w:t>
      </w:r>
      <w:r w:rsidR="005D2AF7" w:rsidRPr="003B4362">
        <w:rPr>
          <w:rFonts w:eastAsia="Calibri"/>
          <w:szCs w:val="24"/>
        </w:rPr>
        <w:t>needs</w:t>
      </w:r>
      <w:r w:rsidRPr="003B4362">
        <w:rPr>
          <w:rFonts w:eastAsia="Calibri"/>
          <w:szCs w:val="24"/>
        </w:rPr>
        <w:t xml:space="preserve"> not</w:t>
      </w:r>
      <w:r w:rsidR="005D2AF7" w:rsidRPr="003B4362">
        <w:rPr>
          <w:rFonts w:eastAsia="Calibri"/>
          <w:szCs w:val="24"/>
        </w:rPr>
        <w:t xml:space="preserve"> </w:t>
      </w:r>
      <w:r w:rsidRPr="003B4362">
        <w:rPr>
          <w:rFonts w:eastAsia="Calibri"/>
          <w:szCs w:val="24"/>
        </w:rPr>
        <w:t>sample</w:t>
      </w:r>
      <w:bookmarkEnd w:id="3178"/>
      <w:r w:rsidRPr="003B4362">
        <w:rPr>
          <w:rFonts w:eastAsia="Calibri"/>
          <w:szCs w:val="24"/>
        </w:rPr>
        <w:t xml:space="preserve"> an individual school or child care facility more than once every five years.</w:t>
      </w:r>
    </w:p>
    <w:p w14:paraId="10D2426E" w14:textId="77777777" w:rsidR="00A854E0" w:rsidRDefault="00A854E0" w:rsidP="00A854E0">
      <w:pPr>
        <w:autoSpaceDE w:val="0"/>
        <w:autoSpaceDN w:val="0"/>
        <w:adjustRightInd w:val="0"/>
        <w:ind w:left="2160" w:hanging="720"/>
        <w:rPr>
          <w:rFonts w:eastAsia="Calibri"/>
          <w:szCs w:val="24"/>
        </w:rPr>
      </w:pPr>
    </w:p>
    <w:p w14:paraId="478E8608" w14:textId="6576922A"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4)</w:t>
      </w:r>
      <w:r w:rsidRPr="003B4362">
        <w:rPr>
          <w:rFonts w:eastAsia="Calibri"/>
          <w:szCs w:val="24"/>
        </w:rPr>
        <w:tab/>
      </w:r>
      <w:bookmarkStart w:id="3179" w:name="_Hlk126157439"/>
      <w:bookmarkStart w:id="3180" w:name="_Hlk126157974"/>
      <w:r w:rsidR="003C5177" w:rsidRPr="003B4362">
        <w:rPr>
          <w:rFonts w:eastAsia="Calibri"/>
          <w:szCs w:val="24"/>
        </w:rPr>
        <w:t xml:space="preserve">The Agency may issue a SEP exempting a CWS supplier from this Section by issuing a written waiver </w:t>
      </w:r>
      <w:bookmarkEnd w:id="3179"/>
      <w:r w:rsidR="003C5177" w:rsidRPr="003B4362">
        <w:rPr>
          <w:rFonts w:eastAsia="Calibri"/>
          <w:szCs w:val="24"/>
        </w:rPr>
        <w:t>under subsection (d)</w:t>
      </w:r>
      <w:bookmarkEnd w:id="3180"/>
      <w:r w:rsidR="003C5177" w:rsidRPr="003B4362">
        <w:rPr>
          <w:rFonts w:eastAsia="Calibri"/>
          <w:szCs w:val="24"/>
        </w:rPr>
        <w:t xml:space="preserve"> i</w:t>
      </w:r>
      <w:bookmarkStart w:id="3181" w:name="_Hlk126158254"/>
      <w:r w:rsidRPr="003B4362">
        <w:rPr>
          <w:rFonts w:eastAsia="Calibri"/>
          <w:szCs w:val="24"/>
        </w:rPr>
        <w:t xml:space="preserve">f </w:t>
      </w:r>
      <w:r w:rsidR="003C5177" w:rsidRPr="003B4362">
        <w:rPr>
          <w:rFonts w:eastAsia="Calibri"/>
          <w:szCs w:val="24"/>
        </w:rPr>
        <w:t>the supplier conducts</w:t>
      </w:r>
      <w:bookmarkEnd w:id="3181"/>
      <w:r w:rsidR="003C5177" w:rsidRPr="003B4362">
        <w:rPr>
          <w:rFonts w:eastAsia="Calibri"/>
          <w:szCs w:val="24"/>
        </w:rPr>
        <w:t xml:space="preserve"> </w:t>
      </w:r>
      <w:r w:rsidRPr="003B4362">
        <w:rPr>
          <w:rFonts w:eastAsia="Calibri"/>
          <w:szCs w:val="24"/>
        </w:rPr>
        <w:t>voluntary sampling for lead in drinking water</w:t>
      </w:r>
      <w:r w:rsidR="00951810" w:rsidRPr="003B4362">
        <w:rPr>
          <w:rFonts w:eastAsia="Calibri"/>
          <w:szCs w:val="24"/>
        </w:rPr>
        <w:t xml:space="preserve"> </w:t>
      </w:r>
      <w:bookmarkStart w:id="3182" w:name="_Hlk126158363"/>
      <w:r w:rsidR="00951810" w:rsidRPr="003B4362">
        <w:rPr>
          <w:rFonts w:eastAsia="Calibri"/>
          <w:szCs w:val="24"/>
        </w:rPr>
        <w:t>complying with this Section</w:t>
      </w:r>
      <w:bookmarkEnd w:id="3182"/>
      <w:r w:rsidR="003C5177" w:rsidRPr="003B4362">
        <w:rPr>
          <w:rFonts w:eastAsia="Calibri"/>
          <w:szCs w:val="24"/>
        </w:rPr>
        <w:t xml:space="preserve"> </w:t>
      </w:r>
      <w:bookmarkStart w:id="3183" w:name="_Hlk126158641"/>
      <w:bookmarkStart w:id="3184" w:name="_Hlk126158719"/>
      <w:r w:rsidR="00951810" w:rsidRPr="003B4362">
        <w:rPr>
          <w:rFonts w:eastAsia="Calibri"/>
          <w:szCs w:val="24"/>
        </w:rPr>
        <w:t>at</w:t>
      </w:r>
      <w:r w:rsidRPr="003B4362">
        <w:rPr>
          <w:rFonts w:eastAsia="Calibri"/>
          <w:szCs w:val="24"/>
        </w:rPr>
        <w:t xml:space="preserve"> schools and child care facilities </w:t>
      </w:r>
      <w:bookmarkEnd w:id="3183"/>
      <w:r w:rsidR="00951810" w:rsidRPr="003B4362">
        <w:rPr>
          <w:rFonts w:eastAsia="Calibri"/>
          <w:szCs w:val="24"/>
        </w:rPr>
        <w:t>the supplier serves</w:t>
      </w:r>
      <w:bookmarkEnd w:id="3184"/>
      <w:r w:rsidRPr="003B4362">
        <w:rPr>
          <w:rFonts w:eastAsia="Calibri"/>
          <w:szCs w:val="24"/>
        </w:rPr>
        <w:t>.</w:t>
      </w:r>
    </w:p>
    <w:p w14:paraId="67D19BB0" w14:textId="77777777" w:rsidR="0081371F" w:rsidRPr="003B4362" w:rsidRDefault="0081371F" w:rsidP="00A854E0">
      <w:pPr>
        <w:autoSpaceDE w:val="0"/>
        <w:autoSpaceDN w:val="0"/>
        <w:adjustRightInd w:val="0"/>
        <w:ind w:left="2160" w:hanging="720"/>
        <w:rPr>
          <w:rFonts w:eastAsia="Calibri"/>
          <w:szCs w:val="24"/>
        </w:rPr>
      </w:pPr>
    </w:p>
    <w:p w14:paraId="7982EB80" w14:textId="1CD7511B" w:rsidR="0081371F" w:rsidRPr="003B4362" w:rsidRDefault="0081371F" w:rsidP="00A854E0">
      <w:pPr>
        <w:autoSpaceDE w:val="0"/>
        <w:autoSpaceDN w:val="0"/>
        <w:adjustRightInd w:val="0"/>
        <w:rPr>
          <w:rFonts w:eastAsia="Calibri"/>
          <w:szCs w:val="24"/>
        </w:rPr>
      </w:pPr>
      <w:r w:rsidRPr="003B4362">
        <w:rPr>
          <w:rFonts w:eastAsia="Calibri"/>
          <w:szCs w:val="24"/>
        </w:rPr>
        <w:tab/>
        <w:t>(Source:  A</w:t>
      </w:r>
      <w:r w:rsidR="00E46816">
        <w:rPr>
          <w:rFonts w:eastAsia="Calibri"/>
          <w:szCs w:val="24"/>
        </w:rPr>
        <w:t>dd</w:t>
      </w:r>
      <w:r w:rsidRPr="003B4362">
        <w:rPr>
          <w:rFonts w:eastAsia="Calibri"/>
          <w:szCs w:val="24"/>
        </w:rPr>
        <w:t xml:space="preserve">ed at </w:t>
      </w:r>
      <w:r w:rsidR="005605D6" w:rsidRPr="003B4362">
        <w:t xml:space="preserve">47 Ill. Reg. </w:t>
      </w:r>
      <w:r w:rsidR="005605D6">
        <w:t>16486</w:t>
      </w:r>
      <w:r w:rsidR="005605D6" w:rsidRPr="003B4362">
        <w:t xml:space="preserve">, effective </w:t>
      </w:r>
      <w:r w:rsidR="005605D6">
        <w:t>November 2, 2023</w:t>
      </w:r>
      <w:r w:rsidRPr="003B4362">
        <w:rPr>
          <w:rFonts w:eastAsia="Calibri"/>
          <w:szCs w:val="24"/>
        </w:rPr>
        <w:t>)</w:t>
      </w:r>
    </w:p>
    <w:p w14:paraId="347199FD" w14:textId="77777777" w:rsidR="0081371F" w:rsidRPr="003B4362" w:rsidRDefault="0081371F" w:rsidP="0081371F">
      <w:pPr>
        <w:autoSpaceDE w:val="0"/>
        <w:autoSpaceDN w:val="0"/>
        <w:adjustRightInd w:val="0"/>
        <w:rPr>
          <w:rFonts w:eastAsia="Calibri"/>
          <w:szCs w:val="24"/>
        </w:rPr>
      </w:pPr>
    </w:p>
    <w:p w14:paraId="41B8B8CC" w14:textId="2940CA07" w:rsidR="008B5FA5" w:rsidRPr="003B4362" w:rsidRDefault="008B5FA5" w:rsidP="00A854E0">
      <w:pPr>
        <w:rPr>
          <w:rFonts w:eastAsia="Calibri"/>
          <w:b/>
          <w:bCs/>
        </w:rPr>
      </w:pPr>
      <w:r w:rsidRPr="003B4362">
        <w:rPr>
          <w:rFonts w:eastAsia="Calibri"/>
          <w:b/>
          <w:bCs/>
        </w:rPr>
        <w:t xml:space="preserve">Section </w:t>
      </w:r>
      <w:r w:rsidR="008B14C6" w:rsidRPr="003B4362">
        <w:rPr>
          <w:rFonts w:eastAsia="Calibri"/>
          <w:b/>
          <w:bCs/>
        </w:rPr>
        <w:t>61</w:t>
      </w:r>
      <w:r w:rsidRPr="003B4362">
        <w:rPr>
          <w:rFonts w:eastAsia="Calibri"/>
          <w:b/>
          <w:bCs/>
        </w:rPr>
        <w:t>1.</w:t>
      </w:r>
      <w:r w:rsidR="008B14C6" w:rsidRPr="003B4362">
        <w:rPr>
          <w:rFonts w:eastAsia="Calibri"/>
          <w:b/>
          <w:bCs/>
        </w:rPr>
        <w:t>36</w:t>
      </w:r>
      <w:r w:rsidRPr="003B4362">
        <w:rPr>
          <w:rFonts w:eastAsia="Calibri"/>
          <w:b/>
          <w:bCs/>
        </w:rPr>
        <w:t xml:space="preserve">3 </w:t>
      </w:r>
      <w:bookmarkStart w:id="3185" w:name="_Hlk126167890"/>
      <w:r w:rsidRPr="003B4362">
        <w:rPr>
          <w:rFonts w:eastAsia="Calibri"/>
          <w:b/>
          <w:bCs/>
        </w:rPr>
        <w:t>S</w:t>
      </w:r>
      <w:bookmarkStart w:id="3186" w:name="_Hlk126167791"/>
      <w:r w:rsidRPr="003B4362">
        <w:rPr>
          <w:rFonts w:eastAsia="Calibri"/>
          <w:b/>
          <w:bCs/>
        </w:rPr>
        <w:t xml:space="preserve">mall </w:t>
      </w:r>
      <w:r w:rsidR="000A0309" w:rsidRPr="003B4362">
        <w:rPr>
          <w:rFonts w:eastAsia="Calibri"/>
          <w:b/>
          <w:bCs/>
        </w:rPr>
        <w:t>Supplier</w:t>
      </w:r>
      <w:r w:rsidRPr="003B4362">
        <w:rPr>
          <w:rFonts w:eastAsia="Calibri"/>
          <w:b/>
          <w:bCs/>
        </w:rPr>
        <w:t xml:space="preserve"> </w:t>
      </w:r>
      <w:r w:rsidR="008B14C6" w:rsidRPr="003B4362">
        <w:rPr>
          <w:rFonts w:eastAsia="Calibri"/>
          <w:b/>
          <w:bCs/>
        </w:rPr>
        <w:t>C</w:t>
      </w:r>
      <w:r w:rsidRPr="003B4362">
        <w:rPr>
          <w:rFonts w:eastAsia="Calibri"/>
          <w:b/>
          <w:bCs/>
        </w:rPr>
        <w:t xml:space="preserve">ompliance </w:t>
      </w:r>
      <w:r w:rsidR="008B14C6" w:rsidRPr="003B4362">
        <w:rPr>
          <w:rFonts w:eastAsia="Calibri"/>
          <w:b/>
          <w:bCs/>
        </w:rPr>
        <w:t>F</w:t>
      </w:r>
      <w:r w:rsidRPr="003B4362">
        <w:rPr>
          <w:rFonts w:eastAsia="Calibri"/>
          <w:b/>
          <w:bCs/>
        </w:rPr>
        <w:t>lexibility</w:t>
      </w:r>
      <w:bookmarkEnd w:id="3185"/>
      <w:bookmarkEnd w:id="3186"/>
    </w:p>
    <w:p w14:paraId="219E608F" w14:textId="77777777" w:rsidR="00A854E0" w:rsidRDefault="00A854E0" w:rsidP="00A854E0">
      <w:pPr>
        <w:autoSpaceDE w:val="0"/>
        <w:autoSpaceDN w:val="0"/>
        <w:adjustRightInd w:val="0"/>
        <w:rPr>
          <w:rFonts w:eastAsia="Calibri"/>
          <w:szCs w:val="24"/>
        </w:rPr>
      </w:pPr>
    </w:p>
    <w:p w14:paraId="6696466B" w14:textId="46AE23C0" w:rsidR="008B5FA5" w:rsidRPr="003B4362" w:rsidRDefault="008B14C6" w:rsidP="00A854E0">
      <w:pPr>
        <w:autoSpaceDE w:val="0"/>
        <w:autoSpaceDN w:val="0"/>
        <w:adjustRightInd w:val="0"/>
        <w:rPr>
          <w:rFonts w:eastAsia="Calibri"/>
          <w:szCs w:val="24"/>
        </w:rPr>
      </w:pPr>
      <w:r w:rsidRPr="003B4362">
        <w:rPr>
          <w:rFonts w:eastAsia="Calibri"/>
          <w:szCs w:val="24"/>
        </w:rPr>
        <w:lastRenderedPageBreak/>
        <w:t>T</w:t>
      </w:r>
      <w:bookmarkStart w:id="3187" w:name="_Hlk126168480"/>
      <w:r w:rsidRPr="003B4362">
        <w:rPr>
          <w:rFonts w:eastAsia="Calibri"/>
          <w:szCs w:val="24"/>
        </w:rPr>
        <w:t>his section gives</w:t>
      </w:r>
      <w:bookmarkStart w:id="3188" w:name="_Hlk126168149"/>
      <w:r w:rsidR="008B5FA5" w:rsidRPr="003B4362">
        <w:rPr>
          <w:rFonts w:eastAsia="Calibri"/>
          <w:szCs w:val="24"/>
        </w:rPr>
        <w:t xml:space="preserve"> compliance </w:t>
      </w:r>
      <w:bookmarkStart w:id="3189" w:name="_Hlk126182469"/>
      <w:r w:rsidR="007A6C02" w:rsidRPr="003B4362">
        <w:rPr>
          <w:rFonts w:eastAsia="Calibri"/>
          <w:szCs w:val="24"/>
        </w:rPr>
        <w:t xml:space="preserve">flexibility </w:t>
      </w:r>
      <w:bookmarkEnd w:id="3189"/>
      <w:r w:rsidR="007A6C02" w:rsidRPr="003B4362">
        <w:rPr>
          <w:rFonts w:eastAsia="Calibri"/>
          <w:szCs w:val="24"/>
        </w:rPr>
        <w:t>options</w:t>
      </w:r>
      <w:r w:rsidR="008B5FA5" w:rsidRPr="003B4362">
        <w:rPr>
          <w:rFonts w:eastAsia="Calibri"/>
          <w:szCs w:val="24"/>
        </w:rPr>
        <w:t xml:space="preserve"> appl</w:t>
      </w:r>
      <w:bookmarkEnd w:id="3188"/>
      <w:r w:rsidR="00CC69AB" w:rsidRPr="003B4362">
        <w:rPr>
          <w:rFonts w:eastAsia="Calibri"/>
          <w:szCs w:val="24"/>
        </w:rPr>
        <w:t>y</w:t>
      </w:r>
      <w:r w:rsidRPr="003B4362">
        <w:rPr>
          <w:rFonts w:eastAsia="Calibri"/>
          <w:szCs w:val="24"/>
        </w:rPr>
        <w:t>ing</w:t>
      </w:r>
      <w:bookmarkEnd w:id="3187"/>
      <w:r w:rsidR="008B5FA5" w:rsidRPr="003B4362">
        <w:rPr>
          <w:rFonts w:eastAsia="Calibri"/>
          <w:szCs w:val="24"/>
        </w:rPr>
        <w:t xml:space="preserve"> to </w:t>
      </w:r>
      <w:bookmarkStart w:id="3190" w:name="_Hlk126168696"/>
      <w:bookmarkStart w:id="3191" w:name="_Hlk126168951"/>
      <w:r w:rsidR="00CC69AB" w:rsidRPr="003B4362">
        <w:rPr>
          <w:rFonts w:eastAsia="Calibri"/>
          <w:szCs w:val="24"/>
        </w:rPr>
        <w:t xml:space="preserve">a </w:t>
      </w:r>
      <w:r w:rsidR="008B5FA5" w:rsidRPr="003B4362">
        <w:rPr>
          <w:rFonts w:eastAsia="Calibri"/>
          <w:szCs w:val="24"/>
        </w:rPr>
        <w:t xml:space="preserve">small </w:t>
      </w:r>
      <w:r w:rsidR="00CC69AB" w:rsidRPr="003B4362">
        <w:rPr>
          <w:rFonts w:eastAsia="Calibri"/>
          <w:szCs w:val="24"/>
        </w:rPr>
        <w:t>CWS supplier</w:t>
      </w:r>
      <w:r w:rsidR="008B5FA5" w:rsidRPr="003B4362">
        <w:rPr>
          <w:rFonts w:eastAsia="Calibri"/>
          <w:szCs w:val="24"/>
        </w:rPr>
        <w:t xml:space="preserve"> serving 10,000 or fewer persons </w:t>
      </w:r>
      <w:r w:rsidR="00CC69AB" w:rsidRPr="003B4362">
        <w:rPr>
          <w:rFonts w:eastAsia="Calibri"/>
          <w:szCs w:val="24"/>
        </w:rPr>
        <w:t>or</w:t>
      </w:r>
      <w:r w:rsidR="008B5FA5" w:rsidRPr="003B4362">
        <w:rPr>
          <w:rFonts w:eastAsia="Calibri"/>
          <w:szCs w:val="24"/>
        </w:rPr>
        <w:t xml:space="preserve"> a</w:t>
      </w:r>
      <w:r w:rsidR="00CC69AB" w:rsidRPr="003B4362">
        <w:rPr>
          <w:rFonts w:eastAsia="Calibri"/>
          <w:szCs w:val="24"/>
        </w:rPr>
        <w:t>n</w:t>
      </w:r>
      <w:r w:rsidR="008B5FA5" w:rsidRPr="003B4362">
        <w:rPr>
          <w:rFonts w:eastAsia="Calibri"/>
          <w:szCs w:val="24"/>
        </w:rPr>
        <w:t xml:space="preserve"> </w:t>
      </w:r>
      <w:bookmarkEnd w:id="3190"/>
      <w:r w:rsidR="00CC69AB" w:rsidRPr="003B4362">
        <w:rPr>
          <w:rFonts w:eastAsia="Calibri"/>
          <w:szCs w:val="24"/>
        </w:rPr>
        <w:t>NTNCWS supplier</w:t>
      </w:r>
      <w:bookmarkEnd w:id="3191"/>
      <w:r w:rsidR="008B5FA5" w:rsidRPr="003B4362">
        <w:rPr>
          <w:rFonts w:eastAsia="Calibri"/>
          <w:szCs w:val="24"/>
        </w:rPr>
        <w:t xml:space="preserve">.  </w:t>
      </w:r>
      <w:bookmarkStart w:id="3192" w:name="_Hlk126168993"/>
      <w:r w:rsidR="00CC69AB" w:rsidRPr="003B4362">
        <w:rPr>
          <w:rFonts w:eastAsia="Calibri"/>
          <w:szCs w:val="24"/>
        </w:rPr>
        <w:t>A</w:t>
      </w:r>
      <w:bookmarkStart w:id="3193" w:name="_Hlk126169122"/>
      <w:r w:rsidR="00CC69AB" w:rsidRPr="003B4362">
        <w:rPr>
          <w:rFonts w:eastAsia="Calibri"/>
          <w:szCs w:val="24"/>
        </w:rPr>
        <w:t xml:space="preserve"> CWS</w:t>
      </w:r>
      <w:r w:rsidR="008B5FA5" w:rsidRPr="003B4362">
        <w:rPr>
          <w:rFonts w:eastAsia="Calibri"/>
          <w:szCs w:val="24"/>
        </w:rPr>
        <w:t xml:space="preserve"> </w:t>
      </w:r>
      <w:r w:rsidR="00CC69AB" w:rsidRPr="003B4362">
        <w:rPr>
          <w:rFonts w:eastAsia="Calibri"/>
          <w:szCs w:val="24"/>
        </w:rPr>
        <w:t>or</w:t>
      </w:r>
      <w:r w:rsidR="008B5FA5" w:rsidRPr="003B4362">
        <w:rPr>
          <w:rFonts w:eastAsia="Calibri"/>
          <w:szCs w:val="24"/>
        </w:rPr>
        <w:t xml:space="preserve"> </w:t>
      </w:r>
      <w:r w:rsidR="00CC69AB" w:rsidRPr="003B4362">
        <w:rPr>
          <w:rFonts w:eastAsia="Calibri"/>
          <w:szCs w:val="24"/>
        </w:rPr>
        <w:t>NTNCWS</w:t>
      </w:r>
      <w:r w:rsidR="00436B8F" w:rsidRPr="003B4362">
        <w:rPr>
          <w:rFonts w:eastAsia="Calibri"/>
          <w:szCs w:val="24"/>
        </w:rPr>
        <w:t xml:space="preserve"> supplier</w:t>
      </w:r>
      <w:r w:rsidR="008B5FA5" w:rsidRPr="003B4362">
        <w:rPr>
          <w:rFonts w:eastAsia="Calibri"/>
          <w:szCs w:val="24"/>
        </w:rPr>
        <w:t xml:space="preserve"> </w:t>
      </w:r>
      <w:r w:rsidR="00436B8F" w:rsidRPr="003B4362">
        <w:rPr>
          <w:rFonts w:eastAsia="Calibri"/>
          <w:szCs w:val="24"/>
        </w:rPr>
        <w:t>having</w:t>
      </w:r>
      <w:r w:rsidR="008B5FA5" w:rsidRPr="003B4362">
        <w:rPr>
          <w:rFonts w:eastAsia="Calibri"/>
          <w:szCs w:val="24"/>
        </w:rPr>
        <w:t xml:space="preserve"> corrosion control treatment</w:t>
      </w:r>
      <w:bookmarkEnd w:id="3192"/>
      <w:bookmarkEnd w:id="3193"/>
      <w:r w:rsidR="008B5FA5" w:rsidRPr="003B4362">
        <w:rPr>
          <w:rFonts w:eastAsia="Calibri"/>
          <w:szCs w:val="24"/>
        </w:rPr>
        <w:t xml:space="preserve"> in place must </w:t>
      </w:r>
      <w:bookmarkStart w:id="3194" w:name="_Hlk126169207"/>
      <w:bookmarkStart w:id="3195" w:name="_Hlk126169307"/>
      <w:r w:rsidR="008B5FA5" w:rsidRPr="003B4362">
        <w:rPr>
          <w:rFonts w:eastAsia="Calibri"/>
          <w:szCs w:val="24"/>
        </w:rPr>
        <w:t xml:space="preserve">continue </w:t>
      </w:r>
      <w:r w:rsidR="00436B8F" w:rsidRPr="003B4362">
        <w:rPr>
          <w:rFonts w:eastAsia="Calibri"/>
          <w:szCs w:val="24"/>
        </w:rPr>
        <w:t>operating</w:t>
      </w:r>
      <w:r w:rsidR="008B5FA5" w:rsidRPr="003B4362">
        <w:rPr>
          <w:rFonts w:eastAsia="Calibri"/>
          <w:szCs w:val="24"/>
        </w:rPr>
        <w:t xml:space="preserve"> and maintain</w:t>
      </w:r>
      <w:r w:rsidR="00436B8F" w:rsidRPr="003B4362">
        <w:rPr>
          <w:rFonts w:eastAsia="Calibri"/>
          <w:szCs w:val="24"/>
        </w:rPr>
        <w:t>ing</w:t>
      </w:r>
      <w:r w:rsidR="008B5FA5" w:rsidRPr="003B4362">
        <w:rPr>
          <w:rFonts w:eastAsia="Calibri"/>
          <w:szCs w:val="24"/>
        </w:rPr>
        <w:t xml:space="preserve"> </w:t>
      </w:r>
      <w:bookmarkEnd w:id="3194"/>
      <w:r w:rsidR="00436B8F" w:rsidRPr="003B4362">
        <w:rPr>
          <w:rFonts w:eastAsia="Calibri"/>
          <w:szCs w:val="24"/>
        </w:rPr>
        <w:t>OCCT</w:t>
      </w:r>
      <w:bookmarkEnd w:id="3195"/>
      <w:r w:rsidR="008B5FA5" w:rsidRPr="003B4362">
        <w:rPr>
          <w:rFonts w:eastAsia="Calibri"/>
          <w:szCs w:val="24"/>
        </w:rPr>
        <w:t xml:space="preserve"> until </w:t>
      </w:r>
      <w:bookmarkStart w:id="3196" w:name="_Hlk126169363"/>
      <w:r w:rsidR="008B5FA5" w:rsidRPr="003B4362">
        <w:rPr>
          <w:rFonts w:eastAsia="Calibri"/>
          <w:szCs w:val="24"/>
        </w:rPr>
        <w:t xml:space="preserve">the </w:t>
      </w:r>
      <w:r w:rsidR="00436B8F" w:rsidRPr="003B4362">
        <w:rPr>
          <w:rFonts w:eastAsia="Calibri"/>
          <w:szCs w:val="24"/>
        </w:rPr>
        <w:t>Agency</w:t>
      </w:r>
      <w:r w:rsidR="008B5FA5" w:rsidRPr="003B4362">
        <w:rPr>
          <w:rFonts w:eastAsia="Calibri"/>
          <w:szCs w:val="24"/>
        </w:rPr>
        <w:t xml:space="preserve"> </w:t>
      </w:r>
      <w:r w:rsidR="00436B8F" w:rsidRPr="003B4362">
        <w:rPr>
          <w:rFonts w:eastAsia="Calibri"/>
          <w:szCs w:val="24"/>
        </w:rPr>
        <w:t>issues a SEP determining</w:t>
      </w:r>
      <w:r w:rsidR="008B5FA5" w:rsidRPr="003B4362">
        <w:rPr>
          <w:rFonts w:eastAsia="Calibri"/>
          <w:szCs w:val="24"/>
        </w:rPr>
        <w:t xml:space="preserve"> this no longer necessary</w:t>
      </w:r>
      <w:bookmarkEnd w:id="3196"/>
      <w:r w:rsidR="008B5FA5" w:rsidRPr="003B4362">
        <w:rPr>
          <w:rFonts w:eastAsia="Calibri"/>
          <w:szCs w:val="24"/>
        </w:rPr>
        <w:t xml:space="preserve">, </w:t>
      </w:r>
      <w:bookmarkStart w:id="3197" w:name="_Hlk126169559"/>
      <w:r w:rsidR="008B5FA5" w:rsidRPr="003B4362">
        <w:rPr>
          <w:rFonts w:eastAsia="Calibri"/>
          <w:szCs w:val="24"/>
        </w:rPr>
        <w:t xml:space="preserve">and </w:t>
      </w:r>
      <w:r w:rsidR="00436B8F" w:rsidRPr="003B4362">
        <w:rPr>
          <w:rFonts w:eastAsia="Calibri"/>
          <w:szCs w:val="24"/>
        </w:rPr>
        <w:t xml:space="preserve">the supplier must comply with </w:t>
      </w:r>
      <w:r w:rsidR="008B5FA5" w:rsidRPr="003B4362">
        <w:rPr>
          <w:rFonts w:eastAsia="Calibri"/>
          <w:szCs w:val="24"/>
        </w:rPr>
        <w:t xml:space="preserve">any </w:t>
      </w:r>
      <w:r w:rsidR="00436B8F" w:rsidRPr="003B4362">
        <w:rPr>
          <w:rFonts w:eastAsia="Calibri"/>
          <w:szCs w:val="24"/>
        </w:rPr>
        <w:t>conditions</w:t>
      </w:r>
      <w:r w:rsidR="008B5FA5" w:rsidRPr="003B4362">
        <w:rPr>
          <w:rFonts w:eastAsia="Calibri"/>
          <w:szCs w:val="24"/>
        </w:rPr>
        <w:t xml:space="preserve"> the </w:t>
      </w:r>
      <w:r w:rsidR="00436B8F" w:rsidRPr="003B4362">
        <w:rPr>
          <w:rFonts w:eastAsia="Calibri"/>
          <w:szCs w:val="24"/>
        </w:rPr>
        <w:t>Agency</w:t>
      </w:r>
      <w:r w:rsidR="008B5FA5" w:rsidRPr="003B4362">
        <w:rPr>
          <w:rFonts w:eastAsia="Calibri"/>
          <w:szCs w:val="24"/>
        </w:rPr>
        <w:t xml:space="preserve"> </w:t>
      </w:r>
      <w:r w:rsidR="00EC31E5" w:rsidRPr="003B4362">
        <w:rPr>
          <w:rFonts w:eastAsia="Calibri"/>
          <w:szCs w:val="24"/>
        </w:rPr>
        <w:t>are</w:t>
      </w:r>
      <w:r w:rsidR="008B5FA5" w:rsidRPr="003B4362">
        <w:rPr>
          <w:rFonts w:eastAsia="Calibri"/>
          <w:szCs w:val="24"/>
        </w:rPr>
        <w:t xml:space="preserve"> appropriate</w:t>
      </w:r>
      <w:bookmarkEnd w:id="3197"/>
      <w:r w:rsidR="008B5FA5" w:rsidRPr="003B4362">
        <w:rPr>
          <w:rFonts w:eastAsia="Calibri"/>
          <w:szCs w:val="24"/>
        </w:rPr>
        <w:t xml:space="preserve"> before implementing </w:t>
      </w:r>
      <w:bookmarkStart w:id="3198" w:name="_Hlk126169861"/>
      <w:r w:rsidR="00EC31E5" w:rsidRPr="003B4362">
        <w:rPr>
          <w:rFonts w:eastAsia="Calibri"/>
          <w:szCs w:val="24"/>
        </w:rPr>
        <w:t>an Agency-</w:t>
      </w:r>
      <w:r w:rsidR="008B5FA5" w:rsidRPr="003B4362">
        <w:rPr>
          <w:rFonts w:eastAsia="Calibri"/>
          <w:szCs w:val="24"/>
        </w:rPr>
        <w:t xml:space="preserve">approved compliance </w:t>
      </w:r>
      <w:r w:rsidR="005A27B0" w:rsidRPr="003B4362">
        <w:rPr>
          <w:rFonts w:eastAsia="Calibri"/>
          <w:szCs w:val="24"/>
        </w:rPr>
        <w:t xml:space="preserve">flexibility </w:t>
      </w:r>
      <w:r w:rsidR="008B5FA5" w:rsidRPr="003B4362">
        <w:rPr>
          <w:rFonts w:eastAsia="Calibri"/>
          <w:szCs w:val="24"/>
        </w:rPr>
        <w:t xml:space="preserve">option </w:t>
      </w:r>
      <w:r w:rsidR="00EC31E5" w:rsidRPr="003B4362">
        <w:rPr>
          <w:rFonts w:eastAsia="Calibri"/>
          <w:szCs w:val="24"/>
        </w:rPr>
        <w:t>under</w:t>
      </w:r>
      <w:r w:rsidR="008B5FA5" w:rsidRPr="003B4362">
        <w:rPr>
          <w:rFonts w:eastAsia="Calibri"/>
          <w:szCs w:val="24"/>
        </w:rPr>
        <w:t xml:space="preserve"> this </w:t>
      </w:r>
      <w:r w:rsidR="00EC31E5" w:rsidRPr="003B4362">
        <w:rPr>
          <w:rFonts w:eastAsia="Calibri"/>
          <w:szCs w:val="24"/>
        </w:rPr>
        <w:t>S</w:t>
      </w:r>
      <w:r w:rsidR="008B5FA5" w:rsidRPr="003B4362">
        <w:rPr>
          <w:rFonts w:eastAsia="Calibri"/>
          <w:szCs w:val="24"/>
        </w:rPr>
        <w:t>ection</w:t>
      </w:r>
      <w:bookmarkEnd w:id="3198"/>
      <w:r w:rsidR="008B5FA5" w:rsidRPr="003B4362">
        <w:rPr>
          <w:rFonts w:eastAsia="Calibri"/>
          <w:szCs w:val="24"/>
        </w:rPr>
        <w:t>.</w:t>
      </w:r>
    </w:p>
    <w:p w14:paraId="795207E3" w14:textId="77777777" w:rsidR="00A854E0" w:rsidRDefault="00A854E0" w:rsidP="00A854E0">
      <w:pPr>
        <w:autoSpaceDE w:val="0"/>
        <w:autoSpaceDN w:val="0"/>
        <w:adjustRightInd w:val="0"/>
        <w:ind w:left="1440" w:hanging="720"/>
        <w:rPr>
          <w:rFonts w:eastAsia="Calibri"/>
          <w:szCs w:val="24"/>
        </w:rPr>
      </w:pPr>
    </w:p>
    <w:p w14:paraId="2E186EAF" w14:textId="53EAFF53"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a)</w:t>
      </w:r>
      <w:r w:rsidRPr="003B4362">
        <w:rPr>
          <w:rFonts w:eastAsia="Calibri"/>
          <w:szCs w:val="24"/>
        </w:rPr>
        <w:tab/>
        <w:t>A</w:t>
      </w:r>
      <w:bookmarkStart w:id="3199" w:name="_Hlk126171039"/>
      <w:r w:rsidRPr="003B4362">
        <w:rPr>
          <w:rFonts w:eastAsia="Calibri"/>
          <w:szCs w:val="24"/>
        </w:rPr>
        <w:t xml:space="preserve"> small </w:t>
      </w:r>
      <w:r w:rsidR="00046E94" w:rsidRPr="003B4362">
        <w:rPr>
          <w:rFonts w:eastAsia="Calibri"/>
          <w:szCs w:val="24"/>
        </w:rPr>
        <w:t>CWS</w:t>
      </w:r>
      <w:r w:rsidRPr="003B4362">
        <w:rPr>
          <w:rFonts w:eastAsia="Calibri"/>
          <w:szCs w:val="24"/>
        </w:rPr>
        <w:t xml:space="preserve"> </w:t>
      </w:r>
      <w:r w:rsidR="00046E94" w:rsidRPr="003B4362">
        <w:rPr>
          <w:rFonts w:eastAsia="Calibri"/>
          <w:szCs w:val="24"/>
        </w:rPr>
        <w:t>or</w:t>
      </w:r>
      <w:r w:rsidRPr="003B4362">
        <w:rPr>
          <w:rFonts w:eastAsia="Calibri"/>
          <w:szCs w:val="24"/>
        </w:rPr>
        <w:t xml:space="preserve"> </w:t>
      </w:r>
      <w:r w:rsidR="00046E94" w:rsidRPr="003B4362">
        <w:rPr>
          <w:rFonts w:eastAsia="Calibri"/>
          <w:szCs w:val="24"/>
        </w:rPr>
        <w:t>NTNCWS supplier</w:t>
      </w:r>
      <w:bookmarkEnd w:id="3199"/>
      <w:r w:rsidRPr="003B4362">
        <w:rPr>
          <w:rFonts w:eastAsia="Calibri"/>
          <w:szCs w:val="24"/>
        </w:rPr>
        <w:t xml:space="preserve"> </w:t>
      </w:r>
      <w:bookmarkStart w:id="3200" w:name="_Hlk126171212"/>
      <w:r w:rsidR="00046E94" w:rsidRPr="003B4362">
        <w:rPr>
          <w:rFonts w:eastAsia="Calibri"/>
          <w:szCs w:val="24"/>
        </w:rPr>
        <w:t>exceeding</w:t>
      </w:r>
      <w:r w:rsidRPr="003B4362">
        <w:rPr>
          <w:rFonts w:eastAsia="Calibri"/>
          <w:szCs w:val="24"/>
        </w:rPr>
        <w:t xml:space="preserve"> the lead trigger level but</w:t>
      </w:r>
      <w:r w:rsidR="00046E94" w:rsidRPr="003B4362">
        <w:rPr>
          <w:rFonts w:eastAsia="Calibri"/>
          <w:szCs w:val="24"/>
        </w:rPr>
        <w:t xml:space="preserve"> neither</w:t>
      </w:r>
      <w:r w:rsidRPr="003B4362">
        <w:rPr>
          <w:rFonts w:eastAsia="Calibri"/>
          <w:szCs w:val="24"/>
        </w:rPr>
        <w:t xml:space="preserve"> the lead </w:t>
      </w:r>
      <w:r w:rsidR="00046E94" w:rsidRPr="003B4362">
        <w:rPr>
          <w:rFonts w:eastAsia="Calibri"/>
          <w:szCs w:val="24"/>
        </w:rPr>
        <w:t>nor</w:t>
      </w:r>
      <w:r w:rsidRPr="003B4362">
        <w:rPr>
          <w:rFonts w:eastAsia="Calibri"/>
          <w:szCs w:val="24"/>
        </w:rPr>
        <w:t xml:space="preserve"> copper action level</w:t>
      </w:r>
      <w:bookmarkEnd w:id="3200"/>
      <w:r w:rsidRPr="003B4362">
        <w:rPr>
          <w:rFonts w:eastAsia="Calibri"/>
          <w:szCs w:val="24"/>
        </w:rPr>
        <w:t xml:space="preserve"> must </w:t>
      </w:r>
      <w:bookmarkStart w:id="3201" w:name="_Hlk126175811"/>
      <w:r w:rsidRPr="003B4362">
        <w:rPr>
          <w:rFonts w:eastAsia="Calibri"/>
          <w:szCs w:val="24"/>
        </w:rPr>
        <w:t xml:space="preserve">collect </w:t>
      </w:r>
      <w:r w:rsidR="00046E94" w:rsidRPr="003B4362">
        <w:rPr>
          <w:rFonts w:eastAsia="Calibri"/>
          <w:szCs w:val="24"/>
        </w:rPr>
        <w:t xml:space="preserve">samples for </w:t>
      </w:r>
      <w:r w:rsidRPr="003B4362">
        <w:rPr>
          <w:rFonts w:eastAsia="Calibri"/>
          <w:szCs w:val="24"/>
        </w:rPr>
        <w:t xml:space="preserve">water quality parameters </w:t>
      </w:r>
      <w:r w:rsidR="00A00C7D" w:rsidRPr="003B4362">
        <w:rPr>
          <w:rFonts w:eastAsia="Calibri"/>
          <w:szCs w:val="24"/>
        </w:rPr>
        <w:t>under</w:t>
      </w:r>
      <w:r w:rsidRPr="003B4362">
        <w:rPr>
          <w:rFonts w:eastAsia="Calibri"/>
          <w:szCs w:val="24"/>
        </w:rPr>
        <w:t xml:space="preserve"> Section </w:t>
      </w:r>
      <w:r w:rsidR="00A00C7D" w:rsidRPr="003B4362">
        <w:rPr>
          <w:rFonts w:eastAsia="Calibri"/>
          <w:szCs w:val="24"/>
        </w:rPr>
        <w:t>61</w:t>
      </w:r>
      <w:r w:rsidRPr="003B4362">
        <w:rPr>
          <w:rFonts w:eastAsia="Calibri"/>
          <w:szCs w:val="24"/>
        </w:rPr>
        <w:t>1.</w:t>
      </w:r>
      <w:r w:rsidR="00A00C7D" w:rsidRPr="003B4362">
        <w:rPr>
          <w:rFonts w:eastAsia="Calibri"/>
          <w:szCs w:val="24"/>
        </w:rPr>
        <w:t>35</w:t>
      </w:r>
      <w:r w:rsidRPr="003B4362">
        <w:rPr>
          <w:rFonts w:eastAsia="Calibri"/>
          <w:szCs w:val="24"/>
        </w:rPr>
        <w:t>7(b)</w:t>
      </w:r>
      <w:r w:rsidR="00A00C7D" w:rsidRPr="003B4362">
        <w:rPr>
          <w:rFonts w:eastAsia="Calibri"/>
          <w:szCs w:val="24"/>
        </w:rPr>
        <w:t xml:space="preserve">, </w:t>
      </w:r>
      <w:r w:rsidRPr="003B4362">
        <w:rPr>
          <w:rFonts w:eastAsia="Calibri"/>
          <w:szCs w:val="24"/>
        </w:rPr>
        <w:t xml:space="preserve">evaluate compliance </w:t>
      </w:r>
      <w:bookmarkStart w:id="3202" w:name="_Hlk126182660"/>
      <w:r w:rsidR="005A27B0" w:rsidRPr="003B4362">
        <w:rPr>
          <w:rFonts w:eastAsia="Calibri"/>
          <w:szCs w:val="24"/>
        </w:rPr>
        <w:t xml:space="preserve">flexibility </w:t>
      </w:r>
      <w:bookmarkEnd w:id="3202"/>
      <w:r w:rsidRPr="003B4362">
        <w:rPr>
          <w:rFonts w:eastAsia="Calibri"/>
          <w:szCs w:val="24"/>
        </w:rPr>
        <w:t xml:space="preserve">options </w:t>
      </w:r>
      <w:r w:rsidR="00A00C7D" w:rsidRPr="003B4362">
        <w:rPr>
          <w:rFonts w:eastAsia="Calibri"/>
          <w:szCs w:val="24"/>
        </w:rPr>
        <w:t>under</w:t>
      </w:r>
      <w:r w:rsidRPr="003B4362">
        <w:rPr>
          <w:rFonts w:eastAsia="Calibri"/>
          <w:szCs w:val="24"/>
        </w:rPr>
        <w:t xml:space="preserve"> subsections (a)(1) through </w:t>
      </w:r>
      <w:r w:rsidR="00A00C7D" w:rsidRPr="003B4362">
        <w:rPr>
          <w:rFonts w:eastAsia="Calibri"/>
          <w:szCs w:val="24"/>
        </w:rPr>
        <w:t>(a)</w:t>
      </w:r>
      <w:r w:rsidRPr="003B4362">
        <w:rPr>
          <w:rFonts w:eastAsia="Calibri"/>
          <w:szCs w:val="24"/>
        </w:rPr>
        <w:t>(4)</w:t>
      </w:r>
      <w:r w:rsidR="00A00C7D" w:rsidRPr="003B4362">
        <w:rPr>
          <w:rFonts w:eastAsia="Calibri"/>
          <w:szCs w:val="24"/>
        </w:rPr>
        <w:t>,</w:t>
      </w:r>
      <w:r w:rsidRPr="003B4362">
        <w:rPr>
          <w:rFonts w:eastAsia="Calibri"/>
          <w:szCs w:val="24"/>
        </w:rPr>
        <w:t xml:space="preserve"> and </w:t>
      </w:r>
      <w:r w:rsidR="00A00C7D" w:rsidRPr="003B4362">
        <w:rPr>
          <w:rFonts w:eastAsia="Calibri"/>
          <w:szCs w:val="24"/>
        </w:rPr>
        <w:t>recommend</w:t>
      </w:r>
      <w:r w:rsidRPr="003B4362">
        <w:rPr>
          <w:rFonts w:eastAsia="Calibri"/>
          <w:szCs w:val="24"/>
        </w:rPr>
        <w:t xml:space="preserve"> a compliance </w:t>
      </w:r>
      <w:r w:rsidR="005A27B0" w:rsidRPr="003B4362">
        <w:rPr>
          <w:rFonts w:eastAsia="Calibri"/>
          <w:szCs w:val="24"/>
        </w:rPr>
        <w:t xml:space="preserve">flexibility </w:t>
      </w:r>
      <w:r w:rsidRPr="003B4362">
        <w:rPr>
          <w:rFonts w:eastAsia="Calibri"/>
          <w:szCs w:val="24"/>
        </w:rPr>
        <w:t>option</w:t>
      </w:r>
      <w:r w:rsidR="00A00C7D" w:rsidRPr="003B4362">
        <w:rPr>
          <w:rFonts w:eastAsia="Calibri"/>
          <w:szCs w:val="24"/>
        </w:rPr>
        <w:t xml:space="preserve"> </w:t>
      </w:r>
      <w:r w:rsidRPr="003B4362">
        <w:rPr>
          <w:rFonts w:eastAsia="Calibri"/>
          <w:szCs w:val="24"/>
        </w:rPr>
        <w:t xml:space="preserve">to the </w:t>
      </w:r>
      <w:r w:rsidR="00A00C7D" w:rsidRPr="003B4362">
        <w:rPr>
          <w:rFonts w:eastAsia="Calibri"/>
          <w:szCs w:val="24"/>
        </w:rPr>
        <w:t>Agency</w:t>
      </w:r>
      <w:bookmarkEnd w:id="3201"/>
      <w:r w:rsidRPr="003B4362">
        <w:rPr>
          <w:rFonts w:eastAsia="Calibri"/>
          <w:szCs w:val="24"/>
        </w:rPr>
        <w:t xml:space="preserve"> within six months of the end of the tap sampling period in which the exceedance occurred.  </w:t>
      </w:r>
      <w:bookmarkStart w:id="3203" w:name="_Hlk117795693"/>
      <w:r w:rsidRPr="003B4362">
        <w:rPr>
          <w:rFonts w:eastAsia="Calibri"/>
          <w:szCs w:val="24"/>
        </w:rPr>
        <w:t xml:space="preserve">When recommending to the Agency, the supplier must comply with Section 611.382(a)(1).  </w:t>
      </w:r>
      <w:bookmarkEnd w:id="3203"/>
      <w:r w:rsidRPr="003B4362">
        <w:rPr>
          <w:rFonts w:eastAsia="Calibri"/>
          <w:szCs w:val="24"/>
        </w:rPr>
        <w:t>T</w:t>
      </w:r>
      <w:bookmarkStart w:id="3204" w:name="_Hlk126176826"/>
      <w:bookmarkStart w:id="3205" w:name="_Hlk126176184"/>
      <w:r w:rsidRPr="003B4362">
        <w:rPr>
          <w:rFonts w:eastAsia="Calibri"/>
          <w:szCs w:val="24"/>
        </w:rPr>
        <w:t xml:space="preserve">he </w:t>
      </w:r>
      <w:r w:rsidR="003B43EC" w:rsidRPr="003B4362">
        <w:rPr>
          <w:rFonts w:eastAsia="Calibri"/>
          <w:szCs w:val="24"/>
        </w:rPr>
        <w:t>Agency</w:t>
      </w:r>
      <w:r w:rsidRPr="003B4362">
        <w:rPr>
          <w:rFonts w:eastAsia="Calibri"/>
          <w:szCs w:val="24"/>
        </w:rPr>
        <w:t xml:space="preserve"> must </w:t>
      </w:r>
      <w:r w:rsidR="003B43EC" w:rsidRPr="003B4362">
        <w:rPr>
          <w:rFonts w:eastAsia="Calibri"/>
          <w:szCs w:val="24"/>
        </w:rPr>
        <w:t xml:space="preserve">either </w:t>
      </w:r>
      <w:r w:rsidRPr="003B4362">
        <w:rPr>
          <w:rFonts w:eastAsia="Calibri"/>
          <w:szCs w:val="24"/>
        </w:rPr>
        <w:t xml:space="preserve">approve the </w:t>
      </w:r>
      <w:r w:rsidR="003B43EC" w:rsidRPr="003B4362">
        <w:rPr>
          <w:rFonts w:eastAsia="Calibri"/>
          <w:szCs w:val="24"/>
        </w:rPr>
        <w:t xml:space="preserve">supplier’s recommended compliance </w:t>
      </w:r>
      <w:r w:rsidR="005A27B0" w:rsidRPr="003B4362">
        <w:rPr>
          <w:rFonts w:eastAsia="Calibri"/>
          <w:szCs w:val="24"/>
        </w:rPr>
        <w:t xml:space="preserve">flexibility </w:t>
      </w:r>
      <w:r w:rsidR="003B43EC" w:rsidRPr="003B4362">
        <w:rPr>
          <w:rFonts w:eastAsia="Calibri"/>
          <w:szCs w:val="24"/>
        </w:rPr>
        <w:t>option</w:t>
      </w:r>
      <w:r w:rsidRPr="003B4362">
        <w:rPr>
          <w:rFonts w:eastAsia="Calibri"/>
          <w:szCs w:val="24"/>
        </w:rPr>
        <w:t xml:space="preserve"> or designate an alternative </w:t>
      </w:r>
      <w:r w:rsidR="003B43EC" w:rsidRPr="003B4362">
        <w:rPr>
          <w:rFonts w:eastAsia="Calibri"/>
          <w:szCs w:val="24"/>
        </w:rPr>
        <w:t>under</w:t>
      </w:r>
      <w:r w:rsidRPr="003B4362">
        <w:rPr>
          <w:rFonts w:eastAsia="Calibri"/>
          <w:szCs w:val="24"/>
        </w:rPr>
        <w:t xml:space="preserve"> subsections (a)(1) through </w:t>
      </w:r>
      <w:r w:rsidR="00AE4660" w:rsidRPr="003B4362">
        <w:rPr>
          <w:rFonts w:eastAsia="Calibri"/>
          <w:szCs w:val="24"/>
        </w:rPr>
        <w:t>(a)</w:t>
      </w:r>
      <w:r w:rsidRPr="003B4362">
        <w:rPr>
          <w:rFonts w:eastAsia="Calibri"/>
          <w:szCs w:val="24"/>
        </w:rPr>
        <w:t>(4)</w:t>
      </w:r>
      <w:bookmarkEnd w:id="3204"/>
      <w:r w:rsidRPr="003B4362">
        <w:rPr>
          <w:rFonts w:eastAsia="Calibri"/>
          <w:szCs w:val="24"/>
        </w:rPr>
        <w:t xml:space="preserve"> </w:t>
      </w:r>
      <w:bookmarkStart w:id="3206" w:name="_Hlk126176896"/>
      <w:bookmarkStart w:id="3207" w:name="_Hlk126177088"/>
      <w:bookmarkEnd w:id="3205"/>
      <w:r w:rsidRPr="003B4362">
        <w:rPr>
          <w:rFonts w:eastAsia="Calibri"/>
          <w:szCs w:val="24"/>
        </w:rPr>
        <w:t xml:space="preserve">within six months </w:t>
      </w:r>
      <w:r w:rsidR="00AE4660" w:rsidRPr="003B4362">
        <w:rPr>
          <w:rFonts w:eastAsia="Calibri"/>
          <w:szCs w:val="24"/>
        </w:rPr>
        <w:t>after</w:t>
      </w:r>
      <w:r w:rsidRPr="003B4362">
        <w:rPr>
          <w:rFonts w:eastAsia="Calibri"/>
          <w:szCs w:val="24"/>
        </w:rPr>
        <w:t xml:space="preserve"> the </w:t>
      </w:r>
      <w:bookmarkEnd w:id="3206"/>
      <w:r w:rsidR="00AE4660" w:rsidRPr="003B4362">
        <w:rPr>
          <w:rFonts w:eastAsia="Calibri"/>
          <w:szCs w:val="24"/>
        </w:rPr>
        <w:t>supplier recommends an option</w:t>
      </w:r>
      <w:bookmarkEnd w:id="3207"/>
      <w:r w:rsidRPr="003B4362">
        <w:rPr>
          <w:rFonts w:eastAsia="Calibri"/>
          <w:szCs w:val="24"/>
        </w:rPr>
        <w:t xml:space="preserve">.  If </w:t>
      </w:r>
      <w:bookmarkStart w:id="3208" w:name="_Hlk126177351"/>
      <w:r w:rsidRPr="003B4362">
        <w:rPr>
          <w:rFonts w:eastAsia="Calibri"/>
          <w:szCs w:val="24"/>
        </w:rPr>
        <w:t xml:space="preserve">the </w:t>
      </w:r>
      <w:bookmarkEnd w:id="3208"/>
      <w:r w:rsidR="005B4CCF" w:rsidRPr="003B4362">
        <w:rPr>
          <w:rFonts w:eastAsia="Calibri"/>
          <w:szCs w:val="24"/>
        </w:rPr>
        <w:t>supplier</w:t>
      </w:r>
      <w:r w:rsidRPr="003B4362">
        <w:rPr>
          <w:rFonts w:eastAsia="Calibri"/>
          <w:szCs w:val="24"/>
        </w:rPr>
        <w:t xml:space="preserve"> subsequently exceeds the lead action level</w:t>
      </w:r>
      <w:r w:rsidR="005B4CCF" w:rsidRPr="003B4362">
        <w:rPr>
          <w:rFonts w:eastAsia="Calibri"/>
          <w:szCs w:val="24"/>
        </w:rPr>
        <w:t>,</w:t>
      </w:r>
      <w:r w:rsidRPr="003B4362">
        <w:rPr>
          <w:rFonts w:eastAsia="Calibri"/>
          <w:szCs w:val="24"/>
        </w:rPr>
        <w:t xml:space="preserve"> </w:t>
      </w:r>
      <w:r w:rsidR="005B4CCF" w:rsidRPr="003B4362">
        <w:rPr>
          <w:rFonts w:eastAsia="Calibri"/>
          <w:szCs w:val="24"/>
        </w:rPr>
        <w:t>the supplier</w:t>
      </w:r>
      <w:r w:rsidRPr="003B4362">
        <w:rPr>
          <w:rFonts w:eastAsia="Calibri"/>
          <w:szCs w:val="24"/>
        </w:rPr>
        <w:t xml:space="preserve"> must implement the </w:t>
      </w:r>
      <w:bookmarkStart w:id="3209" w:name="_Hlk126177669"/>
      <w:r w:rsidR="005B4CCF" w:rsidRPr="003B4362">
        <w:rPr>
          <w:rFonts w:eastAsia="Calibri"/>
          <w:szCs w:val="24"/>
        </w:rPr>
        <w:t>Agency-</w:t>
      </w:r>
      <w:r w:rsidRPr="003B4362">
        <w:rPr>
          <w:rFonts w:eastAsia="Calibri"/>
          <w:szCs w:val="24"/>
        </w:rPr>
        <w:t xml:space="preserve">approved compliance </w:t>
      </w:r>
      <w:r w:rsidR="005A27B0" w:rsidRPr="003B4362">
        <w:rPr>
          <w:rFonts w:eastAsia="Calibri"/>
          <w:szCs w:val="24"/>
        </w:rPr>
        <w:t xml:space="preserve">flexibility </w:t>
      </w:r>
      <w:r w:rsidRPr="003B4362">
        <w:rPr>
          <w:rFonts w:eastAsia="Calibri"/>
          <w:szCs w:val="24"/>
        </w:rPr>
        <w:t>option</w:t>
      </w:r>
      <w:bookmarkEnd w:id="3209"/>
      <w:r w:rsidRPr="003B4362">
        <w:rPr>
          <w:rFonts w:eastAsia="Calibri"/>
          <w:szCs w:val="24"/>
        </w:rPr>
        <w:t xml:space="preserve"> </w:t>
      </w:r>
      <w:bookmarkStart w:id="3210" w:name="_Hlk126177788"/>
      <w:r w:rsidR="005B4CCF" w:rsidRPr="003B4362">
        <w:rPr>
          <w:rFonts w:eastAsia="Calibri"/>
          <w:szCs w:val="24"/>
        </w:rPr>
        <w:t>under</w:t>
      </w:r>
      <w:r w:rsidRPr="003B4362">
        <w:rPr>
          <w:rFonts w:eastAsia="Calibri"/>
          <w:szCs w:val="24"/>
        </w:rPr>
        <w:t xml:space="preserve"> subsection (b)</w:t>
      </w:r>
      <w:bookmarkEnd w:id="3210"/>
      <w:r w:rsidRPr="003B4362">
        <w:rPr>
          <w:rFonts w:eastAsia="Calibri"/>
          <w:szCs w:val="24"/>
        </w:rPr>
        <w:t xml:space="preserve">.  </w:t>
      </w:r>
      <w:r w:rsidR="005B4CCF" w:rsidRPr="003B4362">
        <w:rPr>
          <w:rFonts w:eastAsia="Calibri"/>
          <w:szCs w:val="24"/>
        </w:rPr>
        <w:t>A supplier</w:t>
      </w:r>
      <w:r w:rsidRPr="003B4362">
        <w:rPr>
          <w:rFonts w:eastAsia="Calibri"/>
          <w:szCs w:val="24"/>
        </w:rPr>
        <w:t xml:space="preserve"> must </w:t>
      </w:r>
      <w:bookmarkStart w:id="3211" w:name="_Hlk126178037"/>
      <w:r w:rsidRPr="003B4362">
        <w:rPr>
          <w:rFonts w:eastAsia="Calibri"/>
          <w:szCs w:val="24"/>
        </w:rPr>
        <w:t xml:space="preserve">select </w:t>
      </w:r>
      <w:r w:rsidR="002D04E6" w:rsidRPr="003B4362">
        <w:rPr>
          <w:rFonts w:eastAsia="Calibri"/>
          <w:szCs w:val="24"/>
        </w:rPr>
        <w:t>one from among specific</w:t>
      </w:r>
      <w:r w:rsidRPr="003B4362">
        <w:rPr>
          <w:rFonts w:eastAsia="Calibri"/>
          <w:szCs w:val="24"/>
        </w:rPr>
        <w:t xml:space="preserve"> compliance </w:t>
      </w:r>
      <w:r w:rsidR="005A27B0" w:rsidRPr="003B4362">
        <w:rPr>
          <w:rFonts w:eastAsia="Calibri"/>
          <w:szCs w:val="24"/>
        </w:rPr>
        <w:t xml:space="preserve">flexibility </w:t>
      </w:r>
      <w:r w:rsidRPr="003B4362">
        <w:rPr>
          <w:rFonts w:eastAsia="Calibri"/>
          <w:szCs w:val="24"/>
        </w:rPr>
        <w:t>options</w:t>
      </w:r>
      <w:bookmarkEnd w:id="3211"/>
      <w:r w:rsidRPr="003B4362">
        <w:rPr>
          <w:rFonts w:eastAsia="Calibri"/>
          <w:szCs w:val="24"/>
        </w:rPr>
        <w:t>:</w:t>
      </w:r>
    </w:p>
    <w:p w14:paraId="7F5FA51F" w14:textId="77777777" w:rsidR="00A854E0" w:rsidRDefault="00A854E0" w:rsidP="00A854E0">
      <w:pPr>
        <w:autoSpaceDE w:val="0"/>
        <w:autoSpaceDN w:val="0"/>
        <w:adjustRightInd w:val="0"/>
        <w:ind w:left="2160" w:hanging="720"/>
        <w:rPr>
          <w:rFonts w:eastAsia="Calibri"/>
          <w:szCs w:val="24"/>
        </w:rPr>
      </w:pPr>
    </w:p>
    <w:p w14:paraId="7A5AF40E" w14:textId="5B058F84"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1)</w:t>
      </w:r>
      <w:r w:rsidRPr="003B4362">
        <w:rPr>
          <w:rFonts w:eastAsia="Calibri"/>
          <w:szCs w:val="24"/>
        </w:rPr>
        <w:tab/>
      </w:r>
      <w:bookmarkStart w:id="3212" w:name="_Hlk126180188"/>
      <w:r w:rsidR="003F2C51" w:rsidRPr="003B4362">
        <w:rPr>
          <w:rFonts w:eastAsia="Calibri"/>
          <w:szCs w:val="24"/>
        </w:rPr>
        <w:t xml:space="preserve">Replacing </w:t>
      </w:r>
      <w:r w:rsidRPr="003B4362">
        <w:rPr>
          <w:rFonts w:eastAsia="Calibri"/>
          <w:szCs w:val="24"/>
        </w:rPr>
        <w:t xml:space="preserve">Lead </w:t>
      </w:r>
      <w:r w:rsidR="004A1DAA" w:rsidRPr="003B4362">
        <w:rPr>
          <w:rFonts w:eastAsia="Calibri"/>
          <w:szCs w:val="24"/>
        </w:rPr>
        <w:t>S</w:t>
      </w:r>
      <w:r w:rsidRPr="003B4362">
        <w:rPr>
          <w:rFonts w:eastAsia="Calibri"/>
          <w:szCs w:val="24"/>
        </w:rPr>
        <w:t xml:space="preserve">ervice </w:t>
      </w:r>
      <w:r w:rsidR="004A1DAA" w:rsidRPr="003B4362">
        <w:rPr>
          <w:rFonts w:eastAsia="Calibri"/>
          <w:szCs w:val="24"/>
        </w:rPr>
        <w:t>L</w:t>
      </w:r>
      <w:r w:rsidRPr="003B4362">
        <w:rPr>
          <w:rFonts w:eastAsia="Calibri"/>
          <w:szCs w:val="24"/>
        </w:rPr>
        <w:t>ine</w:t>
      </w:r>
      <w:r w:rsidR="004A1DAA" w:rsidRPr="003B4362">
        <w:rPr>
          <w:rFonts w:eastAsia="Calibri"/>
          <w:szCs w:val="24"/>
        </w:rPr>
        <w:t>s</w:t>
      </w:r>
      <w:bookmarkEnd w:id="3212"/>
      <w:r w:rsidRPr="003B4362">
        <w:rPr>
          <w:rFonts w:eastAsia="Calibri"/>
          <w:szCs w:val="24"/>
        </w:rPr>
        <w:t>.  A</w:t>
      </w:r>
      <w:bookmarkStart w:id="3213" w:name="_Hlk126180569"/>
      <w:r w:rsidRPr="003B4362">
        <w:rPr>
          <w:rFonts w:eastAsia="Calibri"/>
          <w:szCs w:val="24"/>
        </w:rPr>
        <w:t xml:space="preserve"> </w:t>
      </w:r>
      <w:r w:rsidR="004A1DAA" w:rsidRPr="003B4362">
        <w:rPr>
          <w:rFonts w:eastAsia="Calibri"/>
          <w:szCs w:val="24"/>
        </w:rPr>
        <w:t>supplier</w:t>
      </w:r>
      <w:r w:rsidRPr="003B4362">
        <w:rPr>
          <w:rFonts w:eastAsia="Calibri"/>
          <w:szCs w:val="24"/>
        </w:rPr>
        <w:t xml:space="preserve"> must implement </w:t>
      </w:r>
      <w:bookmarkStart w:id="3214" w:name="_Hlk126180449"/>
      <w:r w:rsidRPr="003B4362">
        <w:rPr>
          <w:rFonts w:eastAsia="Calibri"/>
          <w:szCs w:val="24"/>
        </w:rPr>
        <w:t xml:space="preserve">a </w:t>
      </w:r>
      <w:r w:rsidR="004A1DAA" w:rsidRPr="003B4362">
        <w:rPr>
          <w:rFonts w:eastAsia="Calibri"/>
          <w:szCs w:val="24"/>
        </w:rPr>
        <w:t xml:space="preserve">program for </w:t>
      </w:r>
      <w:r w:rsidRPr="003B4362">
        <w:rPr>
          <w:rFonts w:eastAsia="Calibri"/>
          <w:szCs w:val="24"/>
        </w:rPr>
        <w:t>full lead service line replacement</w:t>
      </w:r>
      <w:bookmarkEnd w:id="3213"/>
      <w:r w:rsidRPr="003B4362">
        <w:rPr>
          <w:rFonts w:eastAsia="Calibri"/>
          <w:szCs w:val="24"/>
        </w:rPr>
        <w:t xml:space="preserve"> </w:t>
      </w:r>
      <w:bookmarkEnd w:id="3214"/>
      <w:r w:rsidRPr="003B4362">
        <w:rPr>
          <w:rFonts w:eastAsia="Calibri"/>
          <w:szCs w:val="24"/>
        </w:rPr>
        <w:t xml:space="preserve">on </w:t>
      </w:r>
      <w:bookmarkStart w:id="3215" w:name="_Hlk126180653"/>
      <w:r w:rsidRPr="003B4362">
        <w:rPr>
          <w:rFonts w:eastAsia="Calibri"/>
          <w:szCs w:val="24"/>
        </w:rPr>
        <w:t>a</w:t>
      </w:r>
      <w:r w:rsidR="004A6694" w:rsidRPr="003B4362">
        <w:rPr>
          <w:rFonts w:eastAsia="Calibri"/>
          <w:szCs w:val="24"/>
        </w:rPr>
        <w:t>n</w:t>
      </w:r>
      <w:r w:rsidRPr="003B4362">
        <w:rPr>
          <w:rFonts w:eastAsia="Calibri"/>
          <w:szCs w:val="24"/>
        </w:rPr>
        <w:t xml:space="preserve"> </w:t>
      </w:r>
      <w:r w:rsidR="004A6694" w:rsidRPr="003B4362">
        <w:rPr>
          <w:rFonts w:eastAsia="Calibri"/>
          <w:szCs w:val="24"/>
        </w:rPr>
        <w:t>Agency-</w:t>
      </w:r>
      <w:r w:rsidRPr="003B4362">
        <w:rPr>
          <w:rFonts w:eastAsia="Calibri"/>
          <w:szCs w:val="24"/>
        </w:rPr>
        <w:t xml:space="preserve">approved </w:t>
      </w:r>
      <w:r w:rsidR="004A6694" w:rsidRPr="003B4362">
        <w:rPr>
          <w:rFonts w:eastAsia="Calibri"/>
          <w:szCs w:val="24"/>
        </w:rPr>
        <w:t xml:space="preserve">schedule </w:t>
      </w:r>
      <w:r w:rsidRPr="003B4362">
        <w:rPr>
          <w:rFonts w:eastAsia="Calibri"/>
          <w:szCs w:val="24"/>
        </w:rPr>
        <w:t>not</w:t>
      </w:r>
      <w:r w:rsidR="004A6694" w:rsidRPr="003B4362">
        <w:rPr>
          <w:rFonts w:eastAsia="Calibri"/>
          <w:szCs w:val="24"/>
        </w:rPr>
        <w:t xml:space="preserve"> </w:t>
      </w:r>
      <w:r w:rsidRPr="003B4362">
        <w:rPr>
          <w:rFonts w:eastAsia="Calibri"/>
          <w:szCs w:val="24"/>
        </w:rPr>
        <w:t>exceed</w:t>
      </w:r>
      <w:r w:rsidR="004A6694" w:rsidRPr="003B4362">
        <w:rPr>
          <w:rFonts w:eastAsia="Calibri"/>
          <w:szCs w:val="24"/>
        </w:rPr>
        <w:t>ing</w:t>
      </w:r>
      <w:r w:rsidRPr="003B4362">
        <w:rPr>
          <w:rFonts w:eastAsia="Calibri"/>
          <w:szCs w:val="24"/>
        </w:rPr>
        <w:t xml:space="preserve"> 15 years</w:t>
      </w:r>
      <w:bookmarkEnd w:id="3215"/>
      <w:r w:rsidRPr="003B4362">
        <w:rPr>
          <w:rFonts w:eastAsia="Calibri"/>
          <w:szCs w:val="24"/>
        </w:rPr>
        <w:t xml:space="preserve">.  </w:t>
      </w:r>
      <w:r w:rsidR="007A6C02" w:rsidRPr="003B4362">
        <w:rPr>
          <w:rFonts w:eastAsia="Calibri"/>
          <w:szCs w:val="24"/>
        </w:rPr>
        <w:t>The</w:t>
      </w:r>
      <w:r w:rsidRPr="003B4362">
        <w:rPr>
          <w:rFonts w:eastAsia="Calibri"/>
          <w:szCs w:val="24"/>
        </w:rPr>
        <w:t xml:space="preserve"> </w:t>
      </w:r>
      <w:r w:rsidR="007A6C02" w:rsidRPr="003B4362">
        <w:rPr>
          <w:rFonts w:eastAsia="Calibri"/>
          <w:szCs w:val="24"/>
        </w:rPr>
        <w:t>supplier</w:t>
      </w:r>
      <w:r w:rsidRPr="003B4362">
        <w:rPr>
          <w:rFonts w:eastAsia="Calibri"/>
          <w:szCs w:val="24"/>
        </w:rPr>
        <w:t xml:space="preserve"> must </w:t>
      </w:r>
      <w:bookmarkStart w:id="3216" w:name="_Hlk126182093"/>
      <w:r w:rsidRPr="003B4362">
        <w:rPr>
          <w:rFonts w:eastAsia="Calibri"/>
          <w:szCs w:val="24"/>
        </w:rPr>
        <w:t xml:space="preserve">begin </w:t>
      </w:r>
      <w:r w:rsidR="007A6C02" w:rsidRPr="003B4362">
        <w:rPr>
          <w:rFonts w:eastAsia="Calibri"/>
          <w:szCs w:val="24"/>
        </w:rPr>
        <w:t xml:space="preserve">replacing </w:t>
      </w:r>
      <w:r w:rsidRPr="003B4362">
        <w:rPr>
          <w:rFonts w:eastAsia="Calibri"/>
          <w:szCs w:val="24"/>
        </w:rPr>
        <w:t>lead service line</w:t>
      </w:r>
      <w:r w:rsidR="007A6C02" w:rsidRPr="003B4362">
        <w:rPr>
          <w:rFonts w:eastAsia="Calibri"/>
          <w:szCs w:val="24"/>
        </w:rPr>
        <w:t>s</w:t>
      </w:r>
      <w:bookmarkEnd w:id="3216"/>
      <w:r w:rsidR="007A6C02" w:rsidRPr="003B4362">
        <w:rPr>
          <w:rFonts w:eastAsia="Calibri"/>
          <w:szCs w:val="24"/>
        </w:rPr>
        <w:t xml:space="preserve"> </w:t>
      </w:r>
      <w:r w:rsidRPr="003B4362">
        <w:rPr>
          <w:rFonts w:eastAsia="Calibri"/>
          <w:szCs w:val="24"/>
        </w:rPr>
        <w:t xml:space="preserve">within one year </w:t>
      </w:r>
      <w:bookmarkStart w:id="3217" w:name="_Hlk126182128"/>
      <w:r w:rsidRPr="003B4362">
        <w:rPr>
          <w:rFonts w:eastAsia="Calibri"/>
          <w:szCs w:val="24"/>
        </w:rPr>
        <w:t xml:space="preserve">after the </w:t>
      </w:r>
      <w:r w:rsidR="007A6C02" w:rsidRPr="003B4362">
        <w:rPr>
          <w:rFonts w:eastAsia="Calibri"/>
          <w:szCs w:val="24"/>
        </w:rPr>
        <w:t>Agency</w:t>
      </w:r>
      <w:r w:rsidRPr="003B4362">
        <w:rPr>
          <w:rFonts w:eastAsia="Calibri"/>
          <w:szCs w:val="24"/>
        </w:rPr>
        <w:t xml:space="preserve"> approv</w:t>
      </w:r>
      <w:r w:rsidR="007A6C02" w:rsidRPr="003B4362">
        <w:rPr>
          <w:rFonts w:eastAsia="Calibri"/>
          <w:szCs w:val="24"/>
        </w:rPr>
        <w:t>es</w:t>
      </w:r>
      <w:r w:rsidRPr="003B4362">
        <w:rPr>
          <w:rFonts w:eastAsia="Calibri"/>
          <w:szCs w:val="24"/>
        </w:rPr>
        <w:t xml:space="preserve"> or designat</w:t>
      </w:r>
      <w:r w:rsidR="007A6C02" w:rsidRPr="003B4362">
        <w:rPr>
          <w:rFonts w:eastAsia="Calibri"/>
          <w:szCs w:val="24"/>
        </w:rPr>
        <w:t>es</w:t>
      </w:r>
      <w:r w:rsidRPr="003B4362">
        <w:rPr>
          <w:rFonts w:eastAsia="Calibri"/>
          <w:szCs w:val="24"/>
        </w:rPr>
        <w:t xml:space="preserve"> th</w:t>
      </w:r>
      <w:r w:rsidR="007A6C02" w:rsidRPr="003B4362">
        <w:rPr>
          <w:rFonts w:eastAsia="Calibri"/>
          <w:szCs w:val="24"/>
        </w:rPr>
        <w:t>is</w:t>
      </w:r>
      <w:r w:rsidRPr="003B4362">
        <w:rPr>
          <w:rFonts w:eastAsia="Calibri"/>
          <w:szCs w:val="24"/>
        </w:rPr>
        <w:t xml:space="preserve"> compliance </w:t>
      </w:r>
      <w:r w:rsidR="005A27B0" w:rsidRPr="003B4362">
        <w:rPr>
          <w:rFonts w:eastAsia="Calibri"/>
          <w:szCs w:val="24"/>
        </w:rPr>
        <w:t xml:space="preserve">flexibility </w:t>
      </w:r>
      <w:r w:rsidRPr="003B4362">
        <w:rPr>
          <w:rFonts w:eastAsia="Calibri"/>
          <w:szCs w:val="24"/>
        </w:rPr>
        <w:t>option</w:t>
      </w:r>
      <w:bookmarkEnd w:id="3217"/>
      <w:r w:rsidRPr="003B4362">
        <w:rPr>
          <w:rFonts w:eastAsia="Calibri"/>
          <w:szCs w:val="24"/>
        </w:rPr>
        <w:t>.</w:t>
      </w:r>
    </w:p>
    <w:p w14:paraId="4B256B6D" w14:textId="77777777" w:rsidR="00A854E0" w:rsidRDefault="00A854E0" w:rsidP="00A854E0">
      <w:pPr>
        <w:autoSpaceDE w:val="0"/>
        <w:autoSpaceDN w:val="0"/>
        <w:adjustRightInd w:val="0"/>
        <w:ind w:left="2880" w:hanging="720"/>
        <w:rPr>
          <w:rFonts w:eastAsia="Calibri"/>
          <w:szCs w:val="24"/>
        </w:rPr>
      </w:pPr>
    </w:p>
    <w:p w14:paraId="0E51BE0A" w14:textId="134EA53A"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A)</w:t>
      </w:r>
      <w:r w:rsidRPr="003B4362">
        <w:rPr>
          <w:rFonts w:eastAsia="Calibri"/>
          <w:szCs w:val="24"/>
        </w:rPr>
        <w:tab/>
      </w:r>
      <w:bookmarkStart w:id="3218" w:name="_Hlk126183224"/>
      <w:r w:rsidR="009C6A7E" w:rsidRPr="003B4362">
        <w:rPr>
          <w:rFonts w:eastAsia="Calibri"/>
          <w:szCs w:val="24"/>
        </w:rPr>
        <w:t>T</w:t>
      </w:r>
      <w:bookmarkStart w:id="3219" w:name="_Hlk126183427"/>
      <w:r w:rsidR="009C6A7E" w:rsidRPr="003B4362">
        <w:rPr>
          <w:rFonts w:eastAsia="Calibri"/>
          <w:szCs w:val="24"/>
        </w:rPr>
        <w:t>he supplier must replace l</w:t>
      </w:r>
      <w:r w:rsidRPr="003B4362">
        <w:rPr>
          <w:rFonts w:eastAsia="Calibri"/>
          <w:szCs w:val="24"/>
        </w:rPr>
        <w:t>ead service line</w:t>
      </w:r>
      <w:r w:rsidR="009C6A7E" w:rsidRPr="003B4362">
        <w:rPr>
          <w:rFonts w:eastAsia="Calibri"/>
          <w:szCs w:val="24"/>
        </w:rPr>
        <w:t>s</w:t>
      </w:r>
      <w:bookmarkEnd w:id="3219"/>
      <w:r w:rsidRPr="003B4362">
        <w:rPr>
          <w:rFonts w:eastAsia="Calibri"/>
          <w:szCs w:val="24"/>
        </w:rPr>
        <w:t xml:space="preserve"> </w:t>
      </w:r>
      <w:bookmarkStart w:id="3220" w:name="_Hlk126183606"/>
      <w:r w:rsidR="009C6A7E" w:rsidRPr="003B4362">
        <w:rPr>
          <w:rFonts w:eastAsia="Calibri"/>
          <w:szCs w:val="24"/>
        </w:rPr>
        <w:t>complying</w:t>
      </w:r>
      <w:r w:rsidRPr="003B4362">
        <w:rPr>
          <w:rFonts w:eastAsia="Calibri"/>
          <w:szCs w:val="24"/>
        </w:rPr>
        <w:t xml:space="preserve"> with</w:t>
      </w:r>
      <w:r w:rsidR="009C6A7E" w:rsidRPr="003B4362">
        <w:rPr>
          <w:rFonts w:eastAsia="Calibri"/>
          <w:szCs w:val="24"/>
        </w:rPr>
        <w:t xml:space="preserve"> </w:t>
      </w:r>
      <w:r w:rsidRPr="003B4362">
        <w:rPr>
          <w:rFonts w:eastAsia="Calibri"/>
          <w:szCs w:val="24"/>
        </w:rPr>
        <w:t xml:space="preserve">Section </w:t>
      </w:r>
      <w:r w:rsidR="009C6A7E" w:rsidRPr="003B4362">
        <w:rPr>
          <w:rFonts w:eastAsia="Calibri"/>
          <w:szCs w:val="24"/>
        </w:rPr>
        <w:t>61</w:t>
      </w:r>
      <w:r w:rsidRPr="003B4362">
        <w:rPr>
          <w:rFonts w:eastAsia="Calibri"/>
          <w:szCs w:val="24"/>
        </w:rPr>
        <w:t>1.</w:t>
      </w:r>
      <w:r w:rsidR="009C6A7E" w:rsidRPr="003B4362">
        <w:rPr>
          <w:rFonts w:eastAsia="Calibri"/>
          <w:szCs w:val="24"/>
        </w:rPr>
        <w:t>35</w:t>
      </w:r>
      <w:r w:rsidRPr="003B4362">
        <w:rPr>
          <w:rFonts w:eastAsia="Calibri"/>
          <w:szCs w:val="24"/>
        </w:rPr>
        <w:t xml:space="preserve">4(e) and (g)(4), </w:t>
      </w:r>
      <w:r w:rsidR="009C6A7E" w:rsidRPr="003B4362">
        <w:rPr>
          <w:rFonts w:eastAsia="Calibri"/>
          <w:szCs w:val="24"/>
        </w:rPr>
        <w:t>(g)</w:t>
      </w:r>
      <w:r w:rsidRPr="003B4362">
        <w:rPr>
          <w:rFonts w:eastAsia="Calibri"/>
          <w:szCs w:val="24"/>
        </w:rPr>
        <w:t xml:space="preserve">(8), and </w:t>
      </w:r>
      <w:r w:rsidR="009C6A7E" w:rsidRPr="003B4362">
        <w:rPr>
          <w:rFonts w:eastAsia="Calibri"/>
          <w:szCs w:val="24"/>
        </w:rPr>
        <w:t>(g)</w:t>
      </w:r>
      <w:r w:rsidRPr="003B4362">
        <w:rPr>
          <w:rFonts w:eastAsia="Calibri"/>
          <w:szCs w:val="24"/>
        </w:rPr>
        <w:t>(9)</w:t>
      </w:r>
      <w:bookmarkEnd w:id="3218"/>
      <w:bookmarkEnd w:id="3220"/>
      <w:r w:rsidRPr="003B4362">
        <w:rPr>
          <w:rFonts w:eastAsia="Calibri"/>
          <w:szCs w:val="24"/>
        </w:rPr>
        <w:t>.</w:t>
      </w:r>
    </w:p>
    <w:p w14:paraId="3E11DBDF" w14:textId="77777777" w:rsidR="00A854E0" w:rsidRDefault="00A854E0" w:rsidP="00A854E0">
      <w:pPr>
        <w:autoSpaceDE w:val="0"/>
        <w:autoSpaceDN w:val="0"/>
        <w:adjustRightInd w:val="0"/>
        <w:ind w:left="2880" w:hanging="720"/>
        <w:rPr>
          <w:rFonts w:eastAsia="Calibri"/>
          <w:szCs w:val="24"/>
        </w:rPr>
      </w:pPr>
    </w:p>
    <w:p w14:paraId="70F45055" w14:textId="759707C4"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B)</w:t>
      </w:r>
      <w:r w:rsidRPr="003B4362">
        <w:rPr>
          <w:rFonts w:eastAsia="Calibri"/>
          <w:szCs w:val="24"/>
        </w:rPr>
        <w:tab/>
      </w:r>
      <w:r w:rsidR="009C6A7E" w:rsidRPr="003B4362">
        <w:rPr>
          <w:rFonts w:eastAsia="Calibri"/>
          <w:szCs w:val="24"/>
        </w:rPr>
        <w:t>The</w:t>
      </w:r>
      <w:r w:rsidRPr="003B4362">
        <w:rPr>
          <w:rFonts w:eastAsia="Calibri"/>
          <w:szCs w:val="24"/>
        </w:rPr>
        <w:t xml:space="preserve"> </w:t>
      </w:r>
      <w:r w:rsidR="00F634EE" w:rsidRPr="003B4362">
        <w:rPr>
          <w:rFonts w:eastAsia="Calibri"/>
          <w:szCs w:val="24"/>
        </w:rPr>
        <w:t>supplier</w:t>
      </w:r>
      <w:r w:rsidRPr="003B4362">
        <w:rPr>
          <w:rFonts w:eastAsia="Calibri"/>
          <w:szCs w:val="24"/>
        </w:rPr>
        <w:t xml:space="preserve"> must </w:t>
      </w:r>
      <w:bookmarkStart w:id="3221" w:name="_Hlk126183904"/>
      <w:r w:rsidRPr="003B4362">
        <w:rPr>
          <w:rFonts w:eastAsia="Calibri"/>
          <w:szCs w:val="24"/>
        </w:rPr>
        <w:t xml:space="preserve">continue </w:t>
      </w:r>
      <w:r w:rsidR="00F634EE" w:rsidRPr="003B4362">
        <w:rPr>
          <w:rFonts w:eastAsia="Calibri"/>
          <w:szCs w:val="24"/>
        </w:rPr>
        <w:t>replacing</w:t>
      </w:r>
      <w:bookmarkStart w:id="3222" w:name="_Hlk126184670"/>
      <w:r w:rsidR="00F634EE" w:rsidRPr="003B4362">
        <w:rPr>
          <w:rFonts w:eastAsia="Calibri"/>
          <w:szCs w:val="24"/>
        </w:rPr>
        <w:t xml:space="preserve"> </w:t>
      </w:r>
      <w:bookmarkEnd w:id="3222"/>
      <w:r w:rsidRPr="003B4362">
        <w:rPr>
          <w:rFonts w:eastAsia="Calibri"/>
          <w:szCs w:val="24"/>
        </w:rPr>
        <w:t>lead service line</w:t>
      </w:r>
      <w:r w:rsidR="00F634EE" w:rsidRPr="003B4362">
        <w:rPr>
          <w:rFonts w:eastAsia="Calibri"/>
          <w:szCs w:val="24"/>
        </w:rPr>
        <w:t>s</w:t>
      </w:r>
      <w:bookmarkEnd w:id="3221"/>
      <w:r w:rsidR="00F634EE" w:rsidRPr="003B4362">
        <w:rPr>
          <w:rFonts w:eastAsia="Calibri"/>
          <w:szCs w:val="24"/>
        </w:rPr>
        <w:t xml:space="preserve"> </w:t>
      </w:r>
      <w:r w:rsidRPr="003B4362">
        <w:rPr>
          <w:rFonts w:eastAsia="Calibri"/>
          <w:szCs w:val="24"/>
        </w:rPr>
        <w:t xml:space="preserve">even if </w:t>
      </w:r>
      <w:bookmarkStart w:id="3223" w:name="_Hlk126184143"/>
      <w:r w:rsidRPr="003B4362">
        <w:rPr>
          <w:rFonts w:eastAsia="Calibri"/>
          <w:szCs w:val="24"/>
        </w:rPr>
        <w:t xml:space="preserve">the </w:t>
      </w:r>
      <w:r w:rsidR="00F634EE" w:rsidRPr="003B4362">
        <w:rPr>
          <w:rFonts w:eastAsia="Calibri"/>
          <w:szCs w:val="24"/>
        </w:rPr>
        <w:t>supplier</w:t>
      </w:r>
      <w:r w:rsidRPr="003B4362">
        <w:rPr>
          <w:rFonts w:eastAsia="Calibri"/>
          <w:szCs w:val="24"/>
        </w:rPr>
        <w:t xml:space="preserve">’s 90th percentile lead </w:t>
      </w:r>
      <w:r w:rsidR="00F634EE" w:rsidRPr="003B4362">
        <w:rPr>
          <w:rFonts w:eastAsia="Calibri"/>
          <w:szCs w:val="24"/>
        </w:rPr>
        <w:t>concentration</w:t>
      </w:r>
      <w:bookmarkEnd w:id="3223"/>
      <w:r w:rsidRPr="003B4362">
        <w:rPr>
          <w:rFonts w:eastAsia="Calibri"/>
          <w:szCs w:val="24"/>
        </w:rPr>
        <w:t xml:space="preserve"> is at or below the </w:t>
      </w:r>
      <w:r w:rsidR="00F634EE" w:rsidRPr="003B4362">
        <w:rPr>
          <w:rFonts w:eastAsia="Calibri"/>
          <w:szCs w:val="24"/>
        </w:rPr>
        <w:t xml:space="preserve">lead </w:t>
      </w:r>
      <w:r w:rsidRPr="003B4362">
        <w:rPr>
          <w:rFonts w:eastAsia="Calibri"/>
          <w:szCs w:val="24"/>
        </w:rPr>
        <w:t xml:space="preserve">action level in future tap monitoring </w:t>
      </w:r>
      <w:r w:rsidR="00E26FBC" w:rsidRPr="003B4362">
        <w:rPr>
          <w:rFonts w:eastAsia="Calibri"/>
          <w:szCs w:val="24"/>
        </w:rPr>
        <w:t>cycles</w:t>
      </w:r>
      <w:r w:rsidRPr="003B4362">
        <w:rPr>
          <w:rFonts w:eastAsia="Calibri"/>
          <w:szCs w:val="24"/>
        </w:rPr>
        <w:t>.</w:t>
      </w:r>
    </w:p>
    <w:p w14:paraId="2633019D" w14:textId="77777777" w:rsidR="00A854E0" w:rsidRDefault="00A854E0" w:rsidP="00A854E0">
      <w:pPr>
        <w:autoSpaceDE w:val="0"/>
        <w:autoSpaceDN w:val="0"/>
        <w:adjustRightInd w:val="0"/>
        <w:ind w:left="2880" w:hanging="720"/>
        <w:rPr>
          <w:rFonts w:eastAsia="Calibri"/>
          <w:szCs w:val="24"/>
        </w:rPr>
      </w:pPr>
    </w:p>
    <w:p w14:paraId="67BAD0C0" w14:textId="4E2CC29E"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C)</w:t>
      </w:r>
      <w:r w:rsidRPr="003B4362">
        <w:rPr>
          <w:rFonts w:eastAsia="Calibri"/>
          <w:szCs w:val="24"/>
        </w:rPr>
        <w:tab/>
      </w:r>
      <w:r w:rsidR="009C6A7E" w:rsidRPr="003B4362">
        <w:rPr>
          <w:rFonts w:eastAsia="Calibri"/>
          <w:szCs w:val="24"/>
        </w:rPr>
        <w:t>The</w:t>
      </w:r>
      <w:r w:rsidRPr="003B4362">
        <w:rPr>
          <w:rFonts w:eastAsia="Calibri"/>
          <w:szCs w:val="24"/>
        </w:rPr>
        <w:t xml:space="preserve"> </w:t>
      </w:r>
      <w:r w:rsidR="00F634EE" w:rsidRPr="003B4362">
        <w:rPr>
          <w:rFonts w:eastAsia="Calibri"/>
          <w:szCs w:val="24"/>
        </w:rPr>
        <w:t>supplier</w:t>
      </w:r>
      <w:r w:rsidRPr="003B4362">
        <w:rPr>
          <w:rFonts w:eastAsia="Calibri"/>
          <w:szCs w:val="24"/>
        </w:rPr>
        <w:t xml:space="preserve"> must have no</w:t>
      </w:r>
      <w:bookmarkStart w:id="3224" w:name="_Hlk126184777"/>
      <w:r w:rsidRPr="003B4362">
        <w:rPr>
          <w:rFonts w:eastAsia="Calibri"/>
          <w:szCs w:val="24"/>
        </w:rPr>
        <w:t xml:space="preserve"> </w:t>
      </w:r>
      <w:r w:rsidR="00844701" w:rsidRPr="003B4362">
        <w:rPr>
          <w:rFonts w:eastAsia="Calibri"/>
          <w:szCs w:val="24"/>
        </w:rPr>
        <w:t>lead, galvanized requiring replacement, or lead status u</w:t>
      </w:r>
      <w:r w:rsidRPr="003B4362">
        <w:rPr>
          <w:rFonts w:eastAsia="Calibri"/>
          <w:szCs w:val="24"/>
        </w:rPr>
        <w:t>nknown service lines</w:t>
      </w:r>
      <w:bookmarkEnd w:id="3224"/>
      <w:r w:rsidRPr="003B4362">
        <w:rPr>
          <w:rFonts w:eastAsia="Calibri"/>
          <w:szCs w:val="24"/>
        </w:rPr>
        <w:t xml:space="preserve"> in its inventory </w:t>
      </w:r>
      <w:r w:rsidR="006D2B31" w:rsidRPr="003B4362">
        <w:rPr>
          <w:rFonts w:eastAsia="Calibri"/>
          <w:szCs w:val="24"/>
        </w:rPr>
        <w:t>before</w:t>
      </w:r>
      <w:r w:rsidRPr="003B4362">
        <w:rPr>
          <w:rFonts w:eastAsia="Calibri"/>
          <w:szCs w:val="24"/>
        </w:rPr>
        <w:t xml:space="preserve"> end</w:t>
      </w:r>
      <w:r w:rsidR="006D2B31" w:rsidRPr="003B4362">
        <w:rPr>
          <w:rFonts w:eastAsia="Calibri"/>
          <w:szCs w:val="24"/>
        </w:rPr>
        <w:t>ing</w:t>
      </w:r>
      <w:bookmarkStart w:id="3225" w:name="_Hlk126185075"/>
      <w:r w:rsidRPr="003B4362">
        <w:rPr>
          <w:rFonts w:eastAsia="Calibri"/>
          <w:szCs w:val="24"/>
        </w:rPr>
        <w:t xml:space="preserve"> its lead service line replacement program</w:t>
      </w:r>
      <w:bookmarkEnd w:id="3225"/>
      <w:r w:rsidRPr="003B4362">
        <w:rPr>
          <w:rFonts w:eastAsia="Calibri"/>
          <w:szCs w:val="24"/>
        </w:rPr>
        <w:t>.</w:t>
      </w:r>
    </w:p>
    <w:p w14:paraId="40ADA039" w14:textId="77777777" w:rsidR="00A854E0" w:rsidRDefault="00A854E0" w:rsidP="00A854E0">
      <w:pPr>
        <w:autoSpaceDE w:val="0"/>
        <w:autoSpaceDN w:val="0"/>
        <w:adjustRightInd w:val="0"/>
        <w:ind w:left="2160" w:hanging="720"/>
        <w:rPr>
          <w:rFonts w:eastAsia="Calibri"/>
          <w:szCs w:val="24"/>
        </w:rPr>
      </w:pPr>
    </w:p>
    <w:p w14:paraId="04E749F8" w14:textId="0DD1B230"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r>
      <w:bookmarkStart w:id="3226" w:name="_Hlk126185361"/>
      <w:r w:rsidRPr="003B4362">
        <w:rPr>
          <w:rFonts w:eastAsia="Calibri"/>
          <w:szCs w:val="24"/>
        </w:rPr>
        <w:t xml:space="preserve">Corrosion </w:t>
      </w:r>
      <w:r w:rsidR="006D2B31" w:rsidRPr="003B4362">
        <w:rPr>
          <w:rFonts w:eastAsia="Calibri"/>
          <w:szCs w:val="24"/>
        </w:rPr>
        <w:t>C</w:t>
      </w:r>
      <w:r w:rsidRPr="003B4362">
        <w:rPr>
          <w:rFonts w:eastAsia="Calibri"/>
          <w:szCs w:val="24"/>
        </w:rPr>
        <w:t xml:space="preserve">ontrol </w:t>
      </w:r>
      <w:r w:rsidR="006D2B31" w:rsidRPr="003B4362">
        <w:rPr>
          <w:rFonts w:eastAsia="Calibri"/>
          <w:szCs w:val="24"/>
        </w:rPr>
        <w:t>T</w:t>
      </w:r>
      <w:r w:rsidRPr="003B4362">
        <w:rPr>
          <w:rFonts w:eastAsia="Calibri"/>
          <w:szCs w:val="24"/>
        </w:rPr>
        <w:t>reatment</w:t>
      </w:r>
      <w:bookmarkEnd w:id="3226"/>
      <w:r w:rsidRPr="003B4362">
        <w:rPr>
          <w:rFonts w:eastAsia="Calibri"/>
          <w:szCs w:val="24"/>
        </w:rPr>
        <w:t xml:space="preserve">.  A </w:t>
      </w:r>
      <w:r w:rsidR="006D2B31" w:rsidRPr="003B4362">
        <w:rPr>
          <w:rFonts w:eastAsia="Calibri"/>
          <w:szCs w:val="24"/>
        </w:rPr>
        <w:t>supplier</w:t>
      </w:r>
      <w:r w:rsidRPr="003B4362">
        <w:rPr>
          <w:rFonts w:eastAsia="Calibri"/>
          <w:szCs w:val="24"/>
        </w:rPr>
        <w:t xml:space="preserve"> must install and maintain </w:t>
      </w:r>
      <w:r w:rsidR="006D2B31" w:rsidRPr="003B4362">
        <w:rPr>
          <w:rFonts w:eastAsia="Calibri"/>
          <w:szCs w:val="24"/>
        </w:rPr>
        <w:t>OCCT</w:t>
      </w:r>
      <w:r w:rsidRPr="003B4362">
        <w:rPr>
          <w:rFonts w:eastAsia="Calibri"/>
          <w:szCs w:val="24"/>
        </w:rPr>
        <w:t xml:space="preserve"> </w:t>
      </w:r>
      <w:bookmarkStart w:id="3227" w:name="_Hlk126185640"/>
      <w:r w:rsidR="002F45F3" w:rsidRPr="003B4362">
        <w:rPr>
          <w:rFonts w:eastAsia="Calibri"/>
          <w:szCs w:val="24"/>
        </w:rPr>
        <w:t>under</w:t>
      </w:r>
      <w:r w:rsidRPr="003B4362">
        <w:rPr>
          <w:rFonts w:eastAsia="Calibri"/>
          <w:szCs w:val="24"/>
        </w:rPr>
        <w:t xml:space="preserve"> Sections </w:t>
      </w:r>
      <w:r w:rsidR="002F45F3" w:rsidRPr="003B4362">
        <w:rPr>
          <w:rFonts w:eastAsia="Calibri"/>
          <w:szCs w:val="24"/>
        </w:rPr>
        <w:t>61</w:t>
      </w:r>
      <w:r w:rsidRPr="003B4362">
        <w:rPr>
          <w:rFonts w:eastAsia="Calibri"/>
          <w:szCs w:val="24"/>
        </w:rPr>
        <w:t>1.</w:t>
      </w:r>
      <w:r w:rsidR="002F45F3" w:rsidRPr="003B4362">
        <w:rPr>
          <w:rFonts w:eastAsia="Calibri"/>
          <w:szCs w:val="24"/>
        </w:rPr>
        <w:t>35</w:t>
      </w:r>
      <w:r w:rsidRPr="003B4362">
        <w:rPr>
          <w:rFonts w:eastAsia="Calibri"/>
          <w:szCs w:val="24"/>
        </w:rPr>
        <w:t xml:space="preserve">1 and </w:t>
      </w:r>
      <w:r w:rsidR="002F45F3" w:rsidRPr="003B4362">
        <w:rPr>
          <w:rFonts w:eastAsia="Calibri"/>
          <w:szCs w:val="24"/>
        </w:rPr>
        <w:t>611.35</w:t>
      </w:r>
      <w:r w:rsidRPr="003B4362">
        <w:rPr>
          <w:rFonts w:eastAsia="Calibri"/>
          <w:szCs w:val="24"/>
        </w:rPr>
        <w:t>2</w:t>
      </w:r>
      <w:bookmarkEnd w:id="3227"/>
      <w:r w:rsidRPr="003B4362">
        <w:rPr>
          <w:rFonts w:eastAsia="Calibri"/>
          <w:szCs w:val="24"/>
        </w:rPr>
        <w:t xml:space="preserve">, even if its </w:t>
      </w:r>
      <w:bookmarkStart w:id="3228" w:name="_Hlk126185859"/>
      <w:bookmarkStart w:id="3229" w:name="_Hlk126185897"/>
      <w:r w:rsidRPr="003B4362">
        <w:rPr>
          <w:rFonts w:eastAsia="Calibri"/>
          <w:szCs w:val="24"/>
        </w:rPr>
        <w:t>90th percentile</w:t>
      </w:r>
      <w:bookmarkEnd w:id="3228"/>
      <w:r w:rsidRPr="003B4362">
        <w:rPr>
          <w:rFonts w:eastAsia="Calibri"/>
          <w:szCs w:val="24"/>
        </w:rPr>
        <w:t xml:space="preserve"> </w:t>
      </w:r>
      <w:r w:rsidR="002F45F3" w:rsidRPr="003B4362">
        <w:rPr>
          <w:rFonts w:eastAsia="Calibri"/>
          <w:szCs w:val="24"/>
        </w:rPr>
        <w:t>concentration</w:t>
      </w:r>
      <w:bookmarkEnd w:id="3229"/>
      <w:r w:rsidR="002F45F3" w:rsidRPr="003B4362">
        <w:rPr>
          <w:rFonts w:eastAsia="Calibri"/>
          <w:szCs w:val="24"/>
        </w:rPr>
        <w:t xml:space="preserve"> </w:t>
      </w:r>
      <w:r w:rsidRPr="003B4362">
        <w:rPr>
          <w:rFonts w:eastAsia="Calibri"/>
          <w:szCs w:val="24"/>
        </w:rPr>
        <w:t xml:space="preserve">is at or below the </w:t>
      </w:r>
      <w:r w:rsidR="002F45F3" w:rsidRPr="003B4362">
        <w:rPr>
          <w:rFonts w:eastAsia="Calibri"/>
          <w:szCs w:val="24"/>
        </w:rPr>
        <w:t xml:space="preserve">lead </w:t>
      </w:r>
      <w:r w:rsidRPr="003B4362">
        <w:rPr>
          <w:rFonts w:eastAsia="Calibri"/>
          <w:szCs w:val="24"/>
        </w:rPr>
        <w:t xml:space="preserve">action level in future tap monitoring </w:t>
      </w:r>
      <w:r w:rsidR="00E26FBC" w:rsidRPr="003B4362">
        <w:rPr>
          <w:rFonts w:eastAsia="Calibri"/>
          <w:szCs w:val="24"/>
        </w:rPr>
        <w:t>cycle</w:t>
      </w:r>
      <w:r w:rsidRPr="003B4362">
        <w:rPr>
          <w:rFonts w:eastAsia="Calibri"/>
          <w:szCs w:val="24"/>
        </w:rPr>
        <w:t xml:space="preserve">s.  </w:t>
      </w:r>
      <w:r w:rsidR="000C6258" w:rsidRPr="003B4362">
        <w:rPr>
          <w:rFonts w:eastAsia="Calibri"/>
          <w:szCs w:val="24"/>
        </w:rPr>
        <w:t>A</w:t>
      </w:r>
      <w:bookmarkStart w:id="3230" w:name="_Hlk126188325"/>
      <w:r w:rsidR="000C6258" w:rsidRPr="003B4362">
        <w:rPr>
          <w:rFonts w:eastAsia="Calibri"/>
          <w:szCs w:val="24"/>
        </w:rPr>
        <w:t xml:space="preserve"> supplier</w:t>
      </w:r>
      <w:r w:rsidRPr="003B4362">
        <w:rPr>
          <w:rFonts w:eastAsia="Calibri"/>
          <w:szCs w:val="24"/>
        </w:rPr>
        <w:t xml:space="preserve"> </w:t>
      </w:r>
      <w:r w:rsidR="000C6258" w:rsidRPr="003B4362">
        <w:rPr>
          <w:rFonts w:eastAsia="Calibri"/>
          <w:szCs w:val="24"/>
        </w:rPr>
        <w:t>having</w:t>
      </w:r>
      <w:r w:rsidRPr="003B4362">
        <w:rPr>
          <w:rFonts w:eastAsia="Calibri"/>
          <w:szCs w:val="24"/>
        </w:rPr>
        <w:t xml:space="preserve"> </w:t>
      </w:r>
      <w:r w:rsidR="000C6258" w:rsidRPr="003B4362">
        <w:rPr>
          <w:rFonts w:eastAsia="Calibri"/>
          <w:szCs w:val="24"/>
        </w:rPr>
        <w:t xml:space="preserve">installed </w:t>
      </w:r>
      <w:r w:rsidRPr="003B4362">
        <w:rPr>
          <w:rFonts w:eastAsia="Calibri"/>
          <w:szCs w:val="24"/>
        </w:rPr>
        <w:t>corrosion control treatment</w:t>
      </w:r>
      <w:bookmarkEnd w:id="3230"/>
      <w:r w:rsidRPr="003B4362">
        <w:rPr>
          <w:rFonts w:eastAsia="Calibri"/>
          <w:szCs w:val="24"/>
        </w:rPr>
        <w:t xml:space="preserve"> must re-optimize its corrosion control treatment </w:t>
      </w:r>
      <w:bookmarkStart w:id="3231" w:name="_Hlk126188419"/>
      <w:r w:rsidR="00826E2B" w:rsidRPr="003B4362">
        <w:rPr>
          <w:rFonts w:eastAsia="Calibri"/>
          <w:szCs w:val="24"/>
        </w:rPr>
        <w:t>under</w:t>
      </w:r>
      <w:r w:rsidRPr="003B4362">
        <w:rPr>
          <w:rFonts w:eastAsia="Calibri"/>
          <w:szCs w:val="24"/>
        </w:rPr>
        <w:t xml:space="preserve"> Section </w:t>
      </w:r>
      <w:r w:rsidR="00826E2B" w:rsidRPr="003B4362">
        <w:rPr>
          <w:rFonts w:eastAsia="Calibri"/>
          <w:szCs w:val="24"/>
        </w:rPr>
        <w:t>611.35</w:t>
      </w:r>
      <w:r w:rsidRPr="003B4362">
        <w:rPr>
          <w:rFonts w:eastAsia="Calibri"/>
          <w:szCs w:val="24"/>
        </w:rPr>
        <w:t>1(d)</w:t>
      </w:r>
      <w:bookmarkEnd w:id="3231"/>
      <w:r w:rsidRPr="003B4362">
        <w:rPr>
          <w:rFonts w:eastAsia="Calibri"/>
          <w:szCs w:val="24"/>
        </w:rPr>
        <w:t xml:space="preserve">.  </w:t>
      </w:r>
      <w:bookmarkStart w:id="3232" w:name="_Hlk126188535"/>
      <w:r w:rsidR="00826E2B" w:rsidRPr="003B4362">
        <w:rPr>
          <w:rFonts w:eastAsia="Calibri"/>
          <w:szCs w:val="24"/>
        </w:rPr>
        <w:t>A</w:t>
      </w:r>
      <w:bookmarkStart w:id="3233" w:name="_Hlk126188690"/>
      <w:r w:rsidR="00826E2B" w:rsidRPr="003B4362">
        <w:rPr>
          <w:rFonts w:eastAsia="Calibri"/>
          <w:szCs w:val="24"/>
        </w:rPr>
        <w:t xml:space="preserve"> supplier</w:t>
      </w:r>
      <w:r w:rsidRPr="003B4362">
        <w:rPr>
          <w:rFonts w:eastAsia="Calibri"/>
          <w:szCs w:val="24"/>
        </w:rPr>
        <w:t xml:space="preserve"> </w:t>
      </w:r>
      <w:r w:rsidR="00826E2B" w:rsidRPr="003B4362">
        <w:rPr>
          <w:rFonts w:eastAsia="Calibri"/>
          <w:szCs w:val="24"/>
        </w:rPr>
        <w:t xml:space="preserve">the Agency </w:t>
      </w:r>
      <w:r w:rsidRPr="003B4362">
        <w:rPr>
          <w:rFonts w:eastAsia="Calibri"/>
          <w:szCs w:val="24"/>
        </w:rPr>
        <w:t>require</w:t>
      </w:r>
      <w:r w:rsidR="00826E2B" w:rsidRPr="003B4362">
        <w:rPr>
          <w:rFonts w:eastAsia="Calibri"/>
          <w:szCs w:val="24"/>
        </w:rPr>
        <w:t>s</w:t>
      </w:r>
      <w:r w:rsidRPr="003B4362">
        <w:rPr>
          <w:rFonts w:eastAsia="Calibri"/>
          <w:szCs w:val="24"/>
        </w:rPr>
        <w:t xml:space="preserve"> to optimize</w:t>
      </w:r>
      <w:bookmarkEnd w:id="3232"/>
      <w:bookmarkEnd w:id="3233"/>
      <w:r w:rsidRPr="003B4362">
        <w:rPr>
          <w:rFonts w:eastAsia="Calibri"/>
          <w:szCs w:val="24"/>
        </w:rPr>
        <w:t xml:space="preserve"> or re-optimize corrosion control treatment must follow </w:t>
      </w:r>
      <w:bookmarkStart w:id="3234" w:name="_Hlk126189720"/>
      <w:r w:rsidRPr="003B4362">
        <w:rPr>
          <w:rFonts w:eastAsia="Calibri"/>
          <w:szCs w:val="24"/>
        </w:rPr>
        <w:t xml:space="preserve">the </w:t>
      </w:r>
      <w:r w:rsidR="000A34FF" w:rsidRPr="003B4362">
        <w:rPr>
          <w:rFonts w:eastAsia="Calibri"/>
          <w:szCs w:val="24"/>
        </w:rPr>
        <w:t xml:space="preserve">appropriate </w:t>
      </w:r>
      <w:r w:rsidRPr="003B4362">
        <w:rPr>
          <w:rFonts w:eastAsia="Calibri"/>
          <w:szCs w:val="24"/>
        </w:rPr>
        <w:t xml:space="preserve">schedule in Section </w:t>
      </w:r>
      <w:r w:rsidR="000A34FF" w:rsidRPr="003B4362">
        <w:rPr>
          <w:rFonts w:eastAsia="Calibri"/>
          <w:szCs w:val="24"/>
        </w:rPr>
        <w:t>611.35</w:t>
      </w:r>
      <w:r w:rsidRPr="003B4362">
        <w:rPr>
          <w:rFonts w:eastAsia="Calibri"/>
          <w:szCs w:val="24"/>
        </w:rPr>
        <w:t xml:space="preserve">1(d) or </w:t>
      </w:r>
      <w:r w:rsidRPr="003B4362">
        <w:rPr>
          <w:rFonts w:eastAsia="Calibri"/>
          <w:szCs w:val="24"/>
        </w:rPr>
        <w:lastRenderedPageBreak/>
        <w:t>(e)</w:t>
      </w:r>
      <w:bookmarkEnd w:id="3234"/>
      <w:r w:rsidRPr="003B4362">
        <w:rPr>
          <w:rFonts w:eastAsia="Calibri"/>
          <w:szCs w:val="24"/>
        </w:rPr>
        <w:t xml:space="preserve">, </w:t>
      </w:r>
      <w:bookmarkStart w:id="3235" w:name="_Hlk126189851"/>
      <w:r w:rsidRPr="003B4362">
        <w:rPr>
          <w:rFonts w:eastAsia="Calibri"/>
          <w:szCs w:val="24"/>
        </w:rPr>
        <w:t xml:space="preserve">beginning with Step 3 in </w:t>
      </w:r>
      <w:r w:rsidR="000A34FF" w:rsidRPr="003B4362">
        <w:rPr>
          <w:rFonts w:eastAsia="Calibri"/>
          <w:szCs w:val="24"/>
        </w:rPr>
        <w:t>S</w:t>
      </w:r>
      <w:r w:rsidRPr="003B4362">
        <w:rPr>
          <w:rFonts w:eastAsia="Calibri"/>
          <w:szCs w:val="24"/>
        </w:rPr>
        <w:t xml:space="preserve">ection </w:t>
      </w:r>
      <w:r w:rsidR="000A34FF" w:rsidRPr="003B4362">
        <w:rPr>
          <w:rFonts w:eastAsia="Calibri"/>
          <w:szCs w:val="24"/>
        </w:rPr>
        <w:t>611.351</w:t>
      </w:r>
      <w:r w:rsidRPr="003B4362">
        <w:rPr>
          <w:rFonts w:eastAsia="Calibri"/>
          <w:szCs w:val="24"/>
        </w:rPr>
        <w:t>(d)(3) or (e)(3)</w:t>
      </w:r>
      <w:bookmarkEnd w:id="3235"/>
      <w:r w:rsidR="000A34FF" w:rsidRPr="003B4362">
        <w:rPr>
          <w:rFonts w:eastAsia="Calibri"/>
          <w:szCs w:val="24"/>
        </w:rPr>
        <w:t>,</w:t>
      </w:r>
      <w:r w:rsidRPr="003B4362">
        <w:rPr>
          <w:rFonts w:eastAsia="Calibri"/>
          <w:szCs w:val="24"/>
        </w:rPr>
        <w:t xml:space="preserve"> unless the </w:t>
      </w:r>
      <w:r w:rsidR="000A34FF" w:rsidRPr="003B4362">
        <w:rPr>
          <w:rFonts w:eastAsia="Calibri"/>
          <w:szCs w:val="24"/>
        </w:rPr>
        <w:t>Agency</w:t>
      </w:r>
      <w:r w:rsidRPr="003B4362">
        <w:rPr>
          <w:rFonts w:eastAsia="Calibri"/>
          <w:szCs w:val="24"/>
        </w:rPr>
        <w:t xml:space="preserve"> specifies </w:t>
      </w:r>
      <w:r w:rsidR="000A34FF" w:rsidRPr="003B4362">
        <w:rPr>
          <w:rFonts w:eastAsia="Calibri"/>
          <w:szCs w:val="24"/>
        </w:rPr>
        <w:t>OCCT</w:t>
      </w:r>
      <w:r w:rsidRPr="003B4362">
        <w:rPr>
          <w:rFonts w:eastAsia="Calibri"/>
          <w:szCs w:val="24"/>
        </w:rPr>
        <w:t xml:space="preserve"> </w:t>
      </w:r>
      <w:bookmarkStart w:id="3236" w:name="_Hlk126190388"/>
      <w:r w:rsidR="000A34FF" w:rsidRPr="003B4362">
        <w:rPr>
          <w:rFonts w:eastAsia="Calibri"/>
          <w:szCs w:val="24"/>
        </w:rPr>
        <w:t>under</w:t>
      </w:r>
      <w:r w:rsidRPr="003B4362">
        <w:rPr>
          <w:rFonts w:eastAsia="Calibri"/>
          <w:szCs w:val="24"/>
        </w:rPr>
        <w:t xml:space="preserve"> </w:t>
      </w:r>
      <w:r w:rsidR="000A34FF" w:rsidRPr="003B4362">
        <w:rPr>
          <w:rFonts w:eastAsia="Calibri"/>
          <w:szCs w:val="24"/>
        </w:rPr>
        <w:t>the applicable of</w:t>
      </w:r>
      <w:r w:rsidRPr="003B4362">
        <w:rPr>
          <w:rFonts w:eastAsia="Calibri"/>
          <w:szCs w:val="24"/>
        </w:rPr>
        <w:t xml:space="preserve"> Section </w:t>
      </w:r>
      <w:r w:rsidR="000A34FF" w:rsidRPr="003B4362">
        <w:rPr>
          <w:rFonts w:eastAsia="Calibri"/>
          <w:szCs w:val="24"/>
        </w:rPr>
        <w:t>611.35</w:t>
      </w:r>
      <w:r w:rsidRPr="003B4362">
        <w:rPr>
          <w:rFonts w:eastAsia="Calibri"/>
          <w:szCs w:val="24"/>
        </w:rPr>
        <w:t>1(d)(2)(B) or (e)(2)</w:t>
      </w:r>
      <w:bookmarkEnd w:id="3236"/>
      <w:r w:rsidRPr="003B4362">
        <w:rPr>
          <w:rFonts w:eastAsia="Calibri"/>
          <w:szCs w:val="24"/>
        </w:rPr>
        <w:t>.</w:t>
      </w:r>
    </w:p>
    <w:p w14:paraId="74BC1157" w14:textId="77777777" w:rsidR="00A854E0" w:rsidRDefault="00A854E0" w:rsidP="00A854E0">
      <w:pPr>
        <w:autoSpaceDE w:val="0"/>
        <w:autoSpaceDN w:val="0"/>
        <w:adjustRightInd w:val="0"/>
        <w:ind w:left="2160" w:hanging="720"/>
        <w:rPr>
          <w:rFonts w:eastAsia="Calibri"/>
          <w:szCs w:val="24"/>
        </w:rPr>
      </w:pPr>
    </w:p>
    <w:p w14:paraId="380D5801" w14:textId="5FE87ACE"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3)</w:t>
      </w:r>
      <w:r w:rsidRPr="003B4362">
        <w:rPr>
          <w:rFonts w:eastAsia="Calibri"/>
          <w:szCs w:val="24"/>
        </w:rPr>
        <w:tab/>
      </w:r>
      <w:bookmarkStart w:id="3237" w:name="_Hlk126617921"/>
      <w:r w:rsidRPr="003B4362">
        <w:rPr>
          <w:rFonts w:eastAsia="Calibri"/>
          <w:szCs w:val="24"/>
        </w:rPr>
        <w:t>Point-of-</w:t>
      </w:r>
      <w:r w:rsidR="004A3FAB" w:rsidRPr="003B4362">
        <w:rPr>
          <w:rFonts w:eastAsia="Calibri"/>
          <w:szCs w:val="24"/>
        </w:rPr>
        <w:t>U</w:t>
      </w:r>
      <w:r w:rsidRPr="003B4362">
        <w:rPr>
          <w:rFonts w:eastAsia="Calibri"/>
          <w:szCs w:val="24"/>
        </w:rPr>
        <w:t xml:space="preserve">se </w:t>
      </w:r>
      <w:r w:rsidR="004A3FAB" w:rsidRPr="003B4362">
        <w:rPr>
          <w:rFonts w:eastAsia="Calibri"/>
          <w:szCs w:val="24"/>
        </w:rPr>
        <w:t>D</w:t>
      </w:r>
      <w:r w:rsidRPr="003B4362">
        <w:rPr>
          <w:rFonts w:eastAsia="Calibri"/>
          <w:szCs w:val="24"/>
        </w:rPr>
        <w:t>evices</w:t>
      </w:r>
      <w:bookmarkEnd w:id="3237"/>
      <w:r w:rsidRPr="003B4362">
        <w:rPr>
          <w:rFonts w:eastAsia="Calibri"/>
          <w:szCs w:val="24"/>
        </w:rPr>
        <w:t xml:space="preserve">.  A </w:t>
      </w:r>
      <w:r w:rsidR="004A3FAB" w:rsidRPr="003B4362">
        <w:rPr>
          <w:rFonts w:eastAsia="Calibri"/>
          <w:szCs w:val="24"/>
        </w:rPr>
        <w:t>supplier</w:t>
      </w:r>
      <w:r w:rsidRPr="003B4362">
        <w:rPr>
          <w:rFonts w:eastAsia="Calibri"/>
          <w:szCs w:val="24"/>
        </w:rPr>
        <w:t xml:space="preserve"> </w:t>
      </w:r>
      <w:bookmarkStart w:id="3238" w:name="_Hlk126618708"/>
      <w:r w:rsidRPr="003B4362">
        <w:rPr>
          <w:rFonts w:eastAsia="Calibri"/>
          <w:szCs w:val="24"/>
        </w:rPr>
        <w:t xml:space="preserve">must </w:t>
      </w:r>
      <w:r w:rsidR="00E0761E" w:rsidRPr="003B4362">
        <w:rPr>
          <w:rFonts w:eastAsia="Calibri"/>
          <w:szCs w:val="24"/>
        </w:rPr>
        <w:t xml:space="preserve">continue </w:t>
      </w:r>
      <w:r w:rsidRPr="003B4362">
        <w:rPr>
          <w:rFonts w:eastAsia="Calibri"/>
          <w:szCs w:val="24"/>
        </w:rPr>
        <w:t>install</w:t>
      </w:r>
      <w:r w:rsidR="00E0761E" w:rsidRPr="003B4362">
        <w:rPr>
          <w:rFonts w:eastAsia="Calibri"/>
          <w:szCs w:val="24"/>
        </w:rPr>
        <w:t>ing</w:t>
      </w:r>
      <w:r w:rsidRPr="003B4362">
        <w:rPr>
          <w:rFonts w:eastAsia="Calibri"/>
          <w:szCs w:val="24"/>
        </w:rPr>
        <w:t>, maintain</w:t>
      </w:r>
      <w:r w:rsidR="00E0761E" w:rsidRPr="003B4362">
        <w:rPr>
          <w:rFonts w:eastAsia="Calibri"/>
          <w:szCs w:val="24"/>
        </w:rPr>
        <w:t>ing</w:t>
      </w:r>
      <w:r w:rsidRPr="003B4362">
        <w:rPr>
          <w:rFonts w:eastAsia="Calibri"/>
          <w:szCs w:val="24"/>
        </w:rPr>
        <w:t>, and monitor</w:t>
      </w:r>
      <w:r w:rsidR="00E0761E" w:rsidRPr="003B4362">
        <w:rPr>
          <w:rFonts w:eastAsia="Calibri"/>
          <w:szCs w:val="24"/>
        </w:rPr>
        <w:t>ing</w:t>
      </w:r>
      <w:r w:rsidRPr="003B4362">
        <w:rPr>
          <w:rFonts w:eastAsia="Calibri"/>
          <w:szCs w:val="24"/>
        </w:rPr>
        <w:t xml:space="preserve"> POU devices</w:t>
      </w:r>
      <w:bookmarkEnd w:id="3238"/>
      <w:r w:rsidRPr="003B4362">
        <w:rPr>
          <w:rFonts w:eastAsia="Calibri"/>
          <w:szCs w:val="24"/>
        </w:rPr>
        <w:t xml:space="preserve"> in each household or building </w:t>
      </w:r>
      <w:r w:rsidR="00E0761E" w:rsidRPr="003B4362">
        <w:rPr>
          <w:rFonts w:eastAsia="Calibri"/>
          <w:szCs w:val="24"/>
        </w:rPr>
        <w:t xml:space="preserve">it serves </w:t>
      </w:r>
      <w:r w:rsidRPr="003B4362">
        <w:rPr>
          <w:rFonts w:eastAsia="Calibri"/>
          <w:szCs w:val="24"/>
        </w:rPr>
        <w:t xml:space="preserve">even if its </w:t>
      </w:r>
      <w:bookmarkStart w:id="3239" w:name="_Hlk126618310"/>
      <w:bookmarkStart w:id="3240" w:name="_Hlk126618347"/>
      <w:r w:rsidRPr="003B4362">
        <w:rPr>
          <w:rFonts w:eastAsia="Calibri"/>
          <w:szCs w:val="24"/>
        </w:rPr>
        <w:t>90th percentile</w:t>
      </w:r>
      <w:bookmarkEnd w:id="3239"/>
      <w:r w:rsidRPr="003B4362">
        <w:rPr>
          <w:rFonts w:eastAsia="Calibri"/>
          <w:szCs w:val="24"/>
        </w:rPr>
        <w:t xml:space="preserve"> </w:t>
      </w:r>
      <w:r w:rsidR="004A3FAB" w:rsidRPr="003B4362">
        <w:rPr>
          <w:rFonts w:eastAsia="Calibri"/>
          <w:szCs w:val="24"/>
        </w:rPr>
        <w:t>lead concentration</w:t>
      </w:r>
      <w:bookmarkEnd w:id="3240"/>
      <w:r w:rsidR="004A3FAB" w:rsidRPr="003B4362">
        <w:rPr>
          <w:rFonts w:eastAsia="Calibri"/>
          <w:szCs w:val="24"/>
        </w:rPr>
        <w:t xml:space="preserve"> </w:t>
      </w:r>
      <w:r w:rsidRPr="003B4362">
        <w:rPr>
          <w:rFonts w:eastAsia="Calibri"/>
          <w:szCs w:val="24"/>
        </w:rPr>
        <w:t xml:space="preserve">is at or below the action level in future </w:t>
      </w:r>
      <w:r w:rsidR="00E26FBC" w:rsidRPr="003B4362">
        <w:rPr>
          <w:rFonts w:eastAsia="Calibri"/>
          <w:szCs w:val="24"/>
        </w:rPr>
        <w:t>tap monitoring cycles</w:t>
      </w:r>
      <w:r w:rsidRPr="003B4362">
        <w:rPr>
          <w:rFonts w:eastAsia="Calibri"/>
          <w:szCs w:val="24"/>
        </w:rPr>
        <w:t>.</w:t>
      </w:r>
    </w:p>
    <w:p w14:paraId="7FE8780C" w14:textId="77777777" w:rsidR="00A854E0" w:rsidRDefault="00A854E0" w:rsidP="00A854E0">
      <w:pPr>
        <w:autoSpaceDE w:val="0"/>
        <w:autoSpaceDN w:val="0"/>
        <w:adjustRightInd w:val="0"/>
        <w:ind w:left="2880" w:hanging="720"/>
        <w:rPr>
          <w:rFonts w:eastAsia="Calibri"/>
          <w:szCs w:val="24"/>
        </w:rPr>
      </w:pPr>
    </w:p>
    <w:p w14:paraId="72F5FEF1" w14:textId="6DF23502"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A)</w:t>
      </w:r>
      <w:r w:rsidRPr="003B4362">
        <w:rPr>
          <w:rFonts w:eastAsia="Calibri"/>
          <w:szCs w:val="24"/>
        </w:rPr>
        <w:tab/>
      </w:r>
      <w:bookmarkStart w:id="3241" w:name="_Hlk126619132"/>
      <w:r w:rsidR="00E0761E" w:rsidRPr="003B4362">
        <w:rPr>
          <w:rFonts w:eastAsia="Calibri"/>
          <w:szCs w:val="24"/>
        </w:rPr>
        <w:t xml:space="preserve">Schedule for Installing POU </w:t>
      </w:r>
      <w:bookmarkEnd w:id="3241"/>
      <w:r w:rsidR="00E0761E" w:rsidRPr="003B4362">
        <w:rPr>
          <w:rFonts w:eastAsia="Calibri"/>
          <w:szCs w:val="24"/>
        </w:rPr>
        <w:t>Devices</w:t>
      </w:r>
    </w:p>
    <w:p w14:paraId="3678CA9D" w14:textId="77777777" w:rsidR="00A854E0" w:rsidRDefault="00A854E0" w:rsidP="00A854E0">
      <w:pPr>
        <w:autoSpaceDE w:val="0"/>
        <w:autoSpaceDN w:val="0"/>
        <w:adjustRightInd w:val="0"/>
        <w:ind w:left="3600" w:hanging="720"/>
        <w:rPr>
          <w:rFonts w:eastAsia="Calibri"/>
          <w:szCs w:val="24"/>
        </w:rPr>
      </w:pPr>
    </w:p>
    <w:p w14:paraId="624268EC" w14:textId="14525AF9"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w:t>
      </w:r>
      <w:r w:rsidRPr="003B4362">
        <w:rPr>
          <w:rFonts w:eastAsia="Calibri"/>
          <w:szCs w:val="24"/>
        </w:rPr>
        <w:tab/>
        <w:t xml:space="preserve">A </w:t>
      </w:r>
      <w:r w:rsidR="00212971" w:rsidRPr="003B4362">
        <w:rPr>
          <w:rFonts w:eastAsia="Calibri"/>
          <w:szCs w:val="24"/>
        </w:rPr>
        <w:t>CWS supplier</w:t>
      </w:r>
      <w:r w:rsidRPr="003B4362">
        <w:rPr>
          <w:rFonts w:eastAsia="Calibri"/>
          <w:szCs w:val="24"/>
        </w:rPr>
        <w:t xml:space="preserve"> must install a minimum of one POU device (at one tap) in every household and at every </w:t>
      </w:r>
      <w:bookmarkStart w:id="3242" w:name="_Hlk126619519"/>
      <w:r w:rsidRPr="003B4362">
        <w:rPr>
          <w:rFonts w:eastAsia="Calibri"/>
          <w:szCs w:val="24"/>
        </w:rPr>
        <w:t xml:space="preserve">tap </w:t>
      </w:r>
      <w:r w:rsidR="00212971" w:rsidRPr="003B4362">
        <w:rPr>
          <w:rFonts w:eastAsia="Calibri"/>
          <w:szCs w:val="24"/>
        </w:rPr>
        <w:t>persons use</w:t>
      </w:r>
      <w:r w:rsidRPr="003B4362">
        <w:rPr>
          <w:rFonts w:eastAsia="Calibri"/>
          <w:szCs w:val="24"/>
        </w:rPr>
        <w:t xml:space="preserve"> for cooking or drinking</w:t>
      </w:r>
      <w:bookmarkEnd w:id="3242"/>
      <w:r w:rsidR="00212971" w:rsidRPr="003B4362">
        <w:rPr>
          <w:rFonts w:eastAsia="Calibri"/>
          <w:szCs w:val="24"/>
        </w:rPr>
        <w:t xml:space="preserve"> </w:t>
      </w:r>
      <w:r w:rsidRPr="003B4362">
        <w:rPr>
          <w:rFonts w:eastAsia="Calibri"/>
          <w:szCs w:val="24"/>
        </w:rPr>
        <w:t>in</w:t>
      </w:r>
      <w:bookmarkStart w:id="3243" w:name="_Hlk126619759"/>
      <w:r w:rsidRPr="003B4362">
        <w:rPr>
          <w:rFonts w:eastAsia="Calibri"/>
          <w:szCs w:val="24"/>
        </w:rPr>
        <w:t xml:space="preserve"> </w:t>
      </w:r>
      <w:bookmarkStart w:id="3244" w:name="_Hlk126619695"/>
      <w:r w:rsidRPr="003B4362">
        <w:rPr>
          <w:rFonts w:eastAsia="Calibri"/>
          <w:szCs w:val="24"/>
        </w:rPr>
        <w:t xml:space="preserve">every non-residential building </w:t>
      </w:r>
      <w:bookmarkEnd w:id="3244"/>
      <w:r w:rsidR="00B1611C" w:rsidRPr="003B4362">
        <w:rPr>
          <w:rFonts w:eastAsia="Calibri"/>
          <w:szCs w:val="24"/>
        </w:rPr>
        <w:t>the supplier serves</w:t>
      </w:r>
      <w:bookmarkEnd w:id="3243"/>
      <w:r w:rsidRPr="003B4362">
        <w:rPr>
          <w:rFonts w:eastAsia="Calibri"/>
          <w:szCs w:val="24"/>
        </w:rPr>
        <w:t xml:space="preserve"> on </w:t>
      </w:r>
      <w:bookmarkStart w:id="3245" w:name="_Hlk126619809"/>
      <w:r w:rsidRPr="003B4362">
        <w:rPr>
          <w:rFonts w:eastAsia="Calibri"/>
          <w:szCs w:val="24"/>
        </w:rPr>
        <w:t>a schedule</w:t>
      </w:r>
      <w:r w:rsidR="00B11D66" w:rsidRPr="003B4362">
        <w:rPr>
          <w:rFonts w:eastAsia="Calibri"/>
          <w:szCs w:val="24"/>
        </w:rPr>
        <w:t xml:space="preserve"> not exceeding one year</w:t>
      </w:r>
      <w:r w:rsidR="00B1611C" w:rsidRPr="003B4362">
        <w:rPr>
          <w:rFonts w:eastAsia="Calibri"/>
          <w:szCs w:val="24"/>
        </w:rPr>
        <w:t xml:space="preserve"> </w:t>
      </w:r>
      <w:r w:rsidRPr="003B4362">
        <w:rPr>
          <w:rFonts w:eastAsia="Calibri"/>
          <w:szCs w:val="24"/>
        </w:rPr>
        <w:t xml:space="preserve">the </w:t>
      </w:r>
      <w:r w:rsidR="00B1611C" w:rsidRPr="003B4362">
        <w:rPr>
          <w:rFonts w:eastAsia="Calibri"/>
          <w:szCs w:val="24"/>
        </w:rPr>
        <w:t>Agency specifies in a SEP</w:t>
      </w:r>
      <w:bookmarkEnd w:id="3245"/>
      <w:r w:rsidRPr="003B4362">
        <w:rPr>
          <w:rFonts w:eastAsia="Calibri"/>
          <w:szCs w:val="24"/>
        </w:rPr>
        <w:t>.</w:t>
      </w:r>
    </w:p>
    <w:p w14:paraId="0528025A" w14:textId="77777777" w:rsidR="00A854E0" w:rsidRDefault="00A854E0" w:rsidP="00A854E0">
      <w:pPr>
        <w:autoSpaceDE w:val="0"/>
        <w:autoSpaceDN w:val="0"/>
        <w:adjustRightInd w:val="0"/>
        <w:ind w:left="3600" w:hanging="720"/>
        <w:rPr>
          <w:rFonts w:eastAsia="Calibri"/>
          <w:szCs w:val="24"/>
        </w:rPr>
      </w:pPr>
    </w:p>
    <w:p w14:paraId="28C00BDD" w14:textId="5301BFCD"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ii)</w:t>
      </w:r>
      <w:r w:rsidRPr="003B4362">
        <w:rPr>
          <w:rFonts w:eastAsia="Calibri"/>
          <w:szCs w:val="24"/>
        </w:rPr>
        <w:tab/>
      </w:r>
      <w:r w:rsidR="00B1611C" w:rsidRPr="003B4362">
        <w:rPr>
          <w:rFonts w:eastAsia="Calibri"/>
          <w:szCs w:val="24"/>
        </w:rPr>
        <w:t>An NTNCWS supplier</w:t>
      </w:r>
      <w:r w:rsidRPr="003B4362">
        <w:rPr>
          <w:rFonts w:eastAsia="Calibri"/>
          <w:szCs w:val="24"/>
        </w:rPr>
        <w:t xml:space="preserve"> must provide a POU device to every tap </w:t>
      </w:r>
      <w:r w:rsidR="00B1611C" w:rsidRPr="003B4362">
        <w:rPr>
          <w:rFonts w:eastAsia="Calibri"/>
          <w:szCs w:val="24"/>
        </w:rPr>
        <w:t>persons use for cooking or</w:t>
      </w:r>
      <w:r w:rsidRPr="003B4362">
        <w:rPr>
          <w:rFonts w:eastAsia="Calibri"/>
          <w:szCs w:val="24"/>
        </w:rPr>
        <w:t xml:space="preserve"> drinking on </w:t>
      </w:r>
      <w:r w:rsidR="00BA51EB" w:rsidRPr="003B4362">
        <w:rPr>
          <w:rFonts w:eastAsia="Calibri"/>
          <w:szCs w:val="24"/>
        </w:rPr>
        <w:t>a schedule</w:t>
      </w:r>
      <w:r w:rsidR="00391844" w:rsidRPr="003B4362">
        <w:rPr>
          <w:rFonts w:eastAsia="Calibri"/>
          <w:szCs w:val="24"/>
        </w:rPr>
        <w:t xml:space="preserve"> not exceeding </w:t>
      </w:r>
      <w:bookmarkStart w:id="3246" w:name="_Hlk126620397"/>
      <w:r w:rsidR="00391844" w:rsidRPr="003B4362">
        <w:rPr>
          <w:rFonts w:eastAsia="Calibri"/>
          <w:szCs w:val="24"/>
        </w:rPr>
        <w:t>three months</w:t>
      </w:r>
      <w:bookmarkEnd w:id="3246"/>
      <w:r w:rsidR="00BA51EB" w:rsidRPr="003B4362">
        <w:rPr>
          <w:rFonts w:eastAsia="Calibri"/>
          <w:szCs w:val="24"/>
        </w:rPr>
        <w:t xml:space="preserve"> the Agency specifies in a SEP</w:t>
      </w:r>
      <w:r w:rsidRPr="003B4362">
        <w:rPr>
          <w:rFonts w:eastAsia="Calibri"/>
          <w:szCs w:val="24"/>
        </w:rPr>
        <w:t>.</w:t>
      </w:r>
    </w:p>
    <w:p w14:paraId="6CDC31A9" w14:textId="77777777" w:rsidR="00A854E0" w:rsidRDefault="00A854E0" w:rsidP="00A854E0">
      <w:pPr>
        <w:autoSpaceDE w:val="0"/>
        <w:autoSpaceDN w:val="0"/>
        <w:adjustRightInd w:val="0"/>
        <w:ind w:left="2880" w:hanging="720"/>
        <w:rPr>
          <w:rFonts w:eastAsia="Calibri"/>
          <w:szCs w:val="24"/>
        </w:rPr>
      </w:pPr>
    </w:p>
    <w:p w14:paraId="6A93E6DD" w14:textId="6AEEF93B"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B)</w:t>
      </w:r>
      <w:r w:rsidRPr="003B4362">
        <w:rPr>
          <w:rFonts w:eastAsia="Calibri"/>
          <w:szCs w:val="24"/>
        </w:rPr>
        <w:tab/>
      </w:r>
      <w:r w:rsidR="00FC278B" w:rsidRPr="003B4362">
        <w:rPr>
          <w:rFonts w:eastAsia="Calibri"/>
          <w:szCs w:val="24"/>
        </w:rPr>
        <w:t>A</w:t>
      </w:r>
      <w:r w:rsidR="00D13908" w:rsidRPr="003B4362">
        <w:rPr>
          <w:rFonts w:eastAsia="Calibri"/>
          <w:szCs w:val="24"/>
        </w:rPr>
        <w:t xml:space="preserve"> third party must independently certify t</w:t>
      </w:r>
      <w:r w:rsidRPr="003B4362">
        <w:rPr>
          <w:rFonts w:eastAsia="Calibri"/>
          <w:szCs w:val="24"/>
        </w:rPr>
        <w:t>he POU device</w:t>
      </w:r>
      <w:r w:rsidR="00FC278B" w:rsidRPr="003B4362">
        <w:rPr>
          <w:rFonts w:eastAsia="Calibri"/>
          <w:szCs w:val="24"/>
        </w:rPr>
        <w:t xml:space="preserve"> </w:t>
      </w:r>
      <w:r w:rsidRPr="003B4362">
        <w:rPr>
          <w:rFonts w:eastAsia="Calibri"/>
          <w:szCs w:val="24"/>
        </w:rPr>
        <w:t xml:space="preserve">to meet the American National Standards Institute standard </w:t>
      </w:r>
      <w:bookmarkStart w:id="3247" w:name="_Hlk126662312"/>
      <w:r w:rsidRPr="003B4362">
        <w:rPr>
          <w:rFonts w:eastAsia="Calibri"/>
          <w:szCs w:val="24"/>
        </w:rPr>
        <w:t>appl</w:t>
      </w:r>
      <w:r w:rsidR="00FC278B" w:rsidRPr="003B4362">
        <w:rPr>
          <w:rFonts w:eastAsia="Calibri"/>
          <w:szCs w:val="24"/>
        </w:rPr>
        <w:t>ying</w:t>
      </w:r>
      <w:r w:rsidRPr="003B4362">
        <w:rPr>
          <w:rFonts w:eastAsia="Calibri"/>
          <w:szCs w:val="24"/>
        </w:rPr>
        <w:t xml:space="preserve"> to the specific type</w:t>
      </w:r>
      <w:bookmarkEnd w:id="3247"/>
      <w:r w:rsidRPr="003B4362">
        <w:rPr>
          <w:rFonts w:eastAsia="Calibri"/>
          <w:szCs w:val="24"/>
        </w:rPr>
        <w:t xml:space="preserve"> of POU unit </w:t>
      </w:r>
      <w:bookmarkStart w:id="3248" w:name="_Hlk126662415"/>
      <w:r w:rsidR="00FC278B" w:rsidRPr="003B4362">
        <w:rPr>
          <w:rFonts w:eastAsia="Calibri"/>
          <w:szCs w:val="24"/>
        </w:rPr>
        <w:t>for</w:t>
      </w:r>
      <w:r w:rsidRPr="003B4362">
        <w:rPr>
          <w:rFonts w:eastAsia="Calibri"/>
          <w:szCs w:val="24"/>
        </w:rPr>
        <w:t xml:space="preserve"> reduc</w:t>
      </w:r>
      <w:r w:rsidR="00FC278B" w:rsidRPr="003B4362">
        <w:rPr>
          <w:rFonts w:eastAsia="Calibri"/>
          <w:szCs w:val="24"/>
        </w:rPr>
        <w:t>ing</w:t>
      </w:r>
      <w:r w:rsidRPr="003B4362">
        <w:rPr>
          <w:rFonts w:eastAsia="Calibri"/>
          <w:szCs w:val="24"/>
        </w:rPr>
        <w:t xml:space="preserve"> lead</w:t>
      </w:r>
      <w:bookmarkEnd w:id="3248"/>
      <w:r w:rsidRPr="003B4362">
        <w:rPr>
          <w:rFonts w:eastAsia="Calibri"/>
          <w:szCs w:val="24"/>
        </w:rPr>
        <w:t xml:space="preserve"> in drinking water.</w:t>
      </w:r>
    </w:p>
    <w:p w14:paraId="3CFC0729" w14:textId="77777777" w:rsidR="00A854E0" w:rsidRDefault="00A854E0" w:rsidP="00A854E0">
      <w:pPr>
        <w:autoSpaceDE w:val="0"/>
        <w:autoSpaceDN w:val="0"/>
        <w:adjustRightInd w:val="0"/>
        <w:ind w:left="2880" w:hanging="720"/>
        <w:rPr>
          <w:rFonts w:eastAsia="Calibri"/>
          <w:szCs w:val="24"/>
        </w:rPr>
      </w:pPr>
    </w:p>
    <w:p w14:paraId="470C945C" w14:textId="566A0985"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C)</w:t>
      </w:r>
      <w:r w:rsidRPr="003B4362">
        <w:rPr>
          <w:rFonts w:eastAsia="Calibri"/>
          <w:szCs w:val="24"/>
        </w:rPr>
        <w:tab/>
        <w:t>T</w:t>
      </w:r>
      <w:bookmarkStart w:id="3249" w:name="_Hlk126666015"/>
      <w:r w:rsidRPr="003B4362">
        <w:rPr>
          <w:rFonts w:eastAsia="Calibri"/>
          <w:szCs w:val="24"/>
        </w:rPr>
        <w:t xml:space="preserve">he </w:t>
      </w:r>
      <w:r w:rsidR="00801F7A" w:rsidRPr="003B4362">
        <w:rPr>
          <w:rFonts w:eastAsia="Calibri"/>
          <w:szCs w:val="24"/>
        </w:rPr>
        <w:t xml:space="preserve">supplier must maintain </w:t>
      </w:r>
      <w:r w:rsidR="00865459" w:rsidRPr="003B4362">
        <w:rPr>
          <w:rFonts w:eastAsia="Calibri"/>
          <w:szCs w:val="24"/>
        </w:rPr>
        <w:t xml:space="preserve">each </w:t>
      </w:r>
      <w:r w:rsidRPr="003B4362">
        <w:rPr>
          <w:rFonts w:eastAsia="Calibri"/>
          <w:szCs w:val="24"/>
        </w:rPr>
        <w:t>POU device</w:t>
      </w:r>
      <w:bookmarkEnd w:id="3249"/>
      <w:r w:rsidR="00801F7A" w:rsidRPr="003B4362">
        <w:rPr>
          <w:rFonts w:eastAsia="Calibri"/>
          <w:szCs w:val="24"/>
        </w:rPr>
        <w:t xml:space="preserve"> </w:t>
      </w:r>
      <w:r w:rsidRPr="003B4362">
        <w:rPr>
          <w:rFonts w:eastAsia="Calibri"/>
          <w:szCs w:val="24"/>
        </w:rPr>
        <w:t xml:space="preserve">according to </w:t>
      </w:r>
      <w:r w:rsidR="00865459" w:rsidRPr="003B4362">
        <w:rPr>
          <w:rFonts w:eastAsia="Calibri"/>
          <w:szCs w:val="24"/>
        </w:rPr>
        <w:t xml:space="preserve">its </w:t>
      </w:r>
      <w:r w:rsidRPr="003B4362">
        <w:rPr>
          <w:rFonts w:eastAsia="Calibri"/>
          <w:szCs w:val="24"/>
        </w:rPr>
        <w:t xml:space="preserve">manufacturer’s recommendations to </w:t>
      </w:r>
      <w:bookmarkStart w:id="3250" w:name="_Hlk126666509"/>
      <w:bookmarkStart w:id="3251" w:name="_Hlk126666638"/>
      <w:r w:rsidRPr="003B4362">
        <w:rPr>
          <w:rFonts w:eastAsia="Calibri"/>
          <w:szCs w:val="24"/>
        </w:rPr>
        <w:t xml:space="preserve">ensure </w:t>
      </w:r>
      <w:r w:rsidR="00801F7A" w:rsidRPr="003B4362">
        <w:rPr>
          <w:rFonts w:eastAsia="Calibri"/>
          <w:szCs w:val="24"/>
        </w:rPr>
        <w:t xml:space="preserve">the POU </w:t>
      </w:r>
      <w:r w:rsidR="00443DDE" w:rsidRPr="003B4362">
        <w:rPr>
          <w:rFonts w:eastAsia="Calibri"/>
          <w:szCs w:val="24"/>
        </w:rPr>
        <w:t xml:space="preserve">device </w:t>
      </w:r>
      <w:r w:rsidRPr="003B4362">
        <w:rPr>
          <w:rFonts w:eastAsia="Calibri"/>
          <w:szCs w:val="24"/>
        </w:rPr>
        <w:t>continue</w:t>
      </w:r>
      <w:r w:rsidR="00801F7A" w:rsidRPr="003B4362">
        <w:rPr>
          <w:rFonts w:eastAsia="Calibri"/>
          <w:szCs w:val="24"/>
        </w:rPr>
        <w:t>s</w:t>
      </w:r>
      <w:r w:rsidRPr="003B4362">
        <w:rPr>
          <w:rFonts w:eastAsia="Calibri"/>
          <w:szCs w:val="24"/>
        </w:rPr>
        <w:t xml:space="preserve"> effective</w:t>
      </w:r>
      <w:r w:rsidR="00801F7A" w:rsidRPr="003B4362">
        <w:rPr>
          <w:rFonts w:eastAsia="Calibri"/>
          <w:szCs w:val="24"/>
        </w:rPr>
        <w:t>ly</w:t>
      </w:r>
      <w:r w:rsidRPr="003B4362">
        <w:rPr>
          <w:rFonts w:eastAsia="Calibri"/>
          <w:szCs w:val="24"/>
        </w:rPr>
        <w:t xml:space="preserve"> filt</w:t>
      </w:r>
      <w:bookmarkEnd w:id="3250"/>
      <w:r w:rsidR="00801F7A" w:rsidRPr="003B4362">
        <w:rPr>
          <w:rFonts w:eastAsia="Calibri"/>
          <w:szCs w:val="24"/>
        </w:rPr>
        <w:t>ering</w:t>
      </w:r>
      <w:bookmarkEnd w:id="3251"/>
      <w:r w:rsidRPr="003B4362">
        <w:rPr>
          <w:rFonts w:eastAsia="Calibri"/>
          <w:szCs w:val="24"/>
        </w:rPr>
        <w:t xml:space="preserve">, </w:t>
      </w:r>
      <w:bookmarkStart w:id="3252" w:name="_Hlk126666714"/>
      <w:r w:rsidRPr="003B4362">
        <w:rPr>
          <w:rFonts w:eastAsia="Calibri"/>
          <w:szCs w:val="24"/>
        </w:rPr>
        <w:t>including</w:t>
      </w:r>
      <w:bookmarkEnd w:id="3252"/>
      <w:r w:rsidR="0034167C" w:rsidRPr="003B4362">
        <w:rPr>
          <w:rFonts w:eastAsia="Calibri"/>
          <w:szCs w:val="24"/>
        </w:rPr>
        <w:t xml:space="preserve"> </w:t>
      </w:r>
      <w:r w:rsidRPr="003B4362">
        <w:rPr>
          <w:rFonts w:eastAsia="Calibri"/>
          <w:szCs w:val="24"/>
        </w:rPr>
        <w:t xml:space="preserve">changing filter cartridges and resolving any operational issues.  </w:t>
      </w:r>
      <w:r w:rsidR="00865459" w:rsidRPr="003B4362">
        <w:rPr>
          <w:rFonts w:eastAsia="Calibri"/>
          <w:szCs w:val="24"/>
        </w:rPr>
        <w:t xml:space="preserve">The </w:t>
      </w:r>
      <w:r w:rsidRPr="003B4362">
        <w:rPr>
          <w:rFonts w:eastAsia="Calibri"/>
          <w:szCs w:val="24"/>
        </w:rPr>
        <w:t>POU device</w:t>
      </w:r>
      <w:r w:rsidR="00443DDE" w:rsidRPr="003B4362">
        <w:rPr>
          <w:rFonts w:eastAsia="Calibri"/>
          <w:szCs w:val="24"/>
        </w:rPr>
        <w:t>s</w:t>
      </w:r>
      <w:r w:rsidRPr="003B4362">
        <w:rPr>
          <w:rFonts w:eastAsia="Calibri"/>
          <w:szCs w:val="24"/>
        </w:rPr>
        <w:t xml:space="preserve"> </w:t>
      </w:r>
      <w:bookmarkStart w:id="3253" w:name="_Hlk126666938"/>
      <w:bookmarkStart w:id="3254" w:name="_Hlk126667736"/>
      <w:r w:rsidRPr="003B4362">
        <w:rPr>
          <w:rFonts w:eastAsia="Calibri"/>
          <w:szCs w:val="24"/>
        </w:rPr>
        <w:t xml:space="preserve">must </w:t>
      </w:r>
      <w:r w:rsidR="0034167C" w:rsidRPr="003B4362">
        <w:rPr>
          <w:rFonts w:eastAsia="Calibri"/>
          <w:szCs w:val="24"/>
        </w:rPr>
        <w:t>have</w:t>
      </w:r>
      <w:r w:rsidRPr="003B4362">
        <w:rPr>
          <w:rFonts w:eastAsia="Calibri"/>
          <w:szCs w:val="24"/>
        </w:rPr>
        <w:t xml:space="preserve"> mechanical warnings</w:t>
      </w:r>
      <w:r w:rsidR="00C17DD4" w:rsidRPr="003B4362">
        <w:rPr>
          <w:rFonts w:eastAsia="Calibri"/>
          <w:szCs w:val="24"/>
        </w:rPr>
        <w:t xml:space="preserve"> </w:t>
      </w:r>
      <w:r w:rsidR="0034167C" w:rsidRPr="003B4362">
        <w:rPr>
          <w:rFonts w:eastAsia="Calibri"/>
          <w:szCs w:val="24"/>
        </w:rPr>
        <w:t>ensur</w:t>
      </w:r>
      <w:r w:rsidR="00C17DD4" w:rsidRPr="003B4362">
        <w:rPr>
          <w:rFonts w:eastAsia="Calibri"/>
          <w:szCs w:val="24"/>
        </w:rPr>
        <w:t xml:space="preserve">ing </w:t>
      </w:r>
      <w:r w:rsidRPr="003B4362">
        <w:rPr>
          <w:rFonts w:eastAsia="Calibri"/>
          <w:szCs w:val="24"/>
        </w:rPr>
        <w:t>automatic noti</w:t>
      </w:r>
      <w:bookmarkEnd w:id="3253"/>
      <w:r w:rsidR="00C17DD4" w:rsidRPr="003B4362">
        <w:rPr>
          <w:rFonts w:eastAsia="Calibri"/>
          <w:szCs w:val="24"/>
        </w:rPr>
        <w:t>ce to</w:t>
      </w:r>
      <w:r w:rsidRPr="003B4362">
        <w:rPr>
          <w:rFonts w:eastAsia="Calibri"/>
          <w:szCs w:val="24"/>
        </w:rPr>
        <w:t xml:space="preserve"> </w:t>
      </w:r>
      <w:r w:rsidR="0034167C" w:rsidRPr="003B4362">
        <w:rPr>
          <w:rFonts w:eastAsia="Calibri"/>
          <w:szCs w:val="24"/>
        </w:rPr>
        <w:t>customers</w:t>
      </w:r>
      <w:bookmarkEnd w:id="3254"/>
      <w:r w:rsidR="0034167C" w:rsidRPr="003B4362">
        <w:rPr>
          <w:rFonts w:eastAsia="Calibri"/>
          <w:szCs w:val="24"/>
        </w:rPr>
        <w:t xml:space="preserve"> </w:t>
      </w:r>
      <w:r w:rsidRPr="003B4362">
        <w:rPr>
          <w:rFonts w:eastAsia="Calibri"/>
          <w:szCs w:val="24"/>
        </w:rPr>
        <w:t>of operational problems.  T</w:t>
      </w:r>
      <w:bookmarkStart w:id="3255" w:name="_Hlk126668821"/>
      <w:r w:rsidRPr="003B4362">
        <w:rPr>
          <w:rFonts w:eastAsia="Calibri"/>
          <w:szCs w:val="24"/>
        </w:rPr>
        <w:t xml:space="preserve">he </w:t>
      </w:r>
      <w:r w:rsidR="007D103D" w:rsidRPr="003B4362">
        <w:rPr>
          <w:rFonts w:eastAsia="Calibri"/>
          <w:szCs w:val="24"/>
        </w:rPr>
        <w:t>supplier</w:t>
      </w:r>
      <w:r w:rsidRPr="003B4362">
        <w:rPr>
          <w:rFonts w:eastAsia="Calibri"/>
          <w:szCs w:val="24"/>
        </w:rPr>
        <w:t xml:space="preserve"> </w:t>
      </w:r>
      <w:r w:rsidR="007D103D" w:rsidRPr="003B4362">
        <w:rPr>
          <w:rFonts w:eastAsia="Calibri"/>
          <w:szCs w:val="24"/>
        </w:rPr>
        <w:t>must</w:t>
      </w:r>
      <w:r w:rsidRPr="003B4362">
        <w:rPr>
          <w:rFonts w:eastAsia="Calibri"/>
          <w:szCs w:val="24"/>
        </w:rPr>
        <w:t xml:space="preserve"> </w:t>
      </w:r>
      <w:r w:rsidR="007D103D" w:rsidRPr="003B4362">
        <w:rPr>
          <w:rFonts w:eastAsia="Calibri"/>
          <w:szCs w:val="24"/>
        </w:rPr>
        <w:t>certify</w:t>
      </w:r>
      <w:r w:rsidRPr="003B4362">
        <w:rPr>
          <w:rFonts w:eastAsia="Calibri"/>
          <w:szCs w:val="24"/>
        </w:rPr>
        <w:t xml:space="preserve"> to the </w:t>
      </w:r>
      <w:r w:rsidR="007D103D" w:rsidRPr="003B4362">
        <w:rPr>
          <w:rFonts w:eastAsia="Calibri"/>
          <w:szCs w:val="24"/>
        </w:rPr>
        <w:t>Agency</w:t>
      </w:r>
      <w:r w:rsidR="003B7E85" w:rsidRPr="003B4362">
        <w:rPr>
          <w:rFonts w:eastAsia="Calibri"/>
          <w:szCs w:val="24"/>
        </w:rPr>
        <w:t xml:space="preserve"> </w:t>
      </w:r>
      <w:bookmarkStart w:id="3256" w:name="_Hlk126669102"/>
      <w:r w:rsidR="003B7E85" w:rsidRPr="003B4362">
        <w:rPr>
          <w:rFonts w:eastAsia="Calibri"/>
          <w:szCs w:val="24"/>
        </w:rPr>
        <w:t>under Section 611.360(j)(1)</w:t>
      </w:r>
      <w:bookmarkEnd w:id="3256"/>
      <w:r w:rsidRPr="003B4362">
        <w:rPr>
          <w:rFonts w:eastAsia="Calibri"/>
          <w:szCs w:val="24"/>
        </w:rPr>
        <w:t xml:space="preserve"> </w:t>
      </w:r>
      <w:r w:rsidR="007D103D" w:rsidRPr="003B4362">
        <w:rPr>
          <w:rFonts w:eastAsia="Calibri"/>
          <w:szCs w:val="24"/>
        </w:rPr>
        <w:t>that it</w:t>
      </w:r>
      <w:r w:rsidRPr="003B4362">
        <w:rPr>
          <w:rFonts w:eastAsia="Calibri"/>
          <w:szCs w:val="24"/>
        </w:rPr>
        <w:t xml:space="preserve"> maint</w:t>
      </w:r>
      <w:r w:rsidR="007D103D" w:rsidRPr="003B4362">
        <w:rPr>
          <w:rFonts w:eastAsia="Calibri"/>
          <w:szCs w:val="24"/>
        </w:rPr>
        <w:t>ains</w:t>
      </w:r>
      <w:r w:rsidRPr="003B4362">
        <w:rPr>
          <w:rFonts w:eastAsia="Calibri"/>
          <w:szCs w:val="24"/>
        </w:rPr>
        <w:t xml:space="preserve"> the </w:t>
      </w:r>
      <w:r w:rsidR="003B7E85" w:rsidRPr="003B4362">
        <w:rPr>
          <w:rFonts w:eastAsia="Calibri"/>
          <w:szCs w:val="24"/>
        </w:rPr>
        <w:t>POU</w:t>
      </w:r>
      <w:r w:rsidRPr="003B4362">
        <w:rPr>
          <w:rFonts w:eastAsia="Calibri"/>
          <w:szCs w:val="24"/>
        </w:rPr>
        <w:t xml:space="preserve"> devices</w:t>
      </w:r>
      <w:bookmarkEnd w:id="3255"/>
      <w:r w:rsidRPr="003B4362">
        <w:rPr>
          <w:rFonts w:eastAsia="Calibri"/>
          <w:szCs w:val="24"/>
        </w:rPr>
        <w:t xml:space="preserve">, </w:t>
      </w:r>
      <w:bookmarkStart w:id="3257" w:name="_Hlk126669570"/>
      <w:r w:rsidRPr="003B4362">
        <w:rPr>
          <w:rFonts w:eastAsia="Calibri"/>
          <w:szCs w:val="24"/>
        </w:rPr>
        <w:t xml:space="preserve">unless the </w:t>
      </w:r>
      <w:r w:rsidR="003B7E85" w:rsidRPr="003B4362">
        <w:rPr>
          <w:rFonts w:eastAsia="Calibri"/>
          <w:szCs w:val="24"/>
        </w:rPr>
        <w:t>Agency issues a SEP waiving</w:t>
      </w:r>
      <w:r w:rsidRPr="003B4362">
        <w:rPr>
          <w:rFonts w:eastAsia="Calibri"/>
          <w:szCs w:val="24"/>
        </w:rPr>
        <w:t xml:space="preserve"> this requirement</w:t>
      </w:r>
      <w:bookmarkEnd w:id="3257"/>
      <w:r w:rsidRPr="003B4362">
        <w:rPr>
          <w:rFonts w:eastAsia="Calibri"/>
          <w:szCs w:val="24"/>
        </w:rPr>
        <w:t>.</w:t>
      </w:r>
    </w:p>
    <w:p w14:paraId="70485206" w14:textId="77777777" w:rsidR="00A854E0" w:rsidRDefault="00A854E0" w:rsidP="00A854E0">
      <w:pPr>
        <w:autoSpaceDE w:val="0"/>
        <w:autoSpaceDN w:val="0"/>
        <w:adjustRightInd w:val="0"/>
        <w:ind w:left="2880" w:hanging="720"/>
        <w:rPr>
          <w:rFonts w:eastAsia="Calibri"/>
          <w:szCs w:val="24"/>
        </w:rPr>
      </w:pPr>
    </w:p>
    <w:p w14:paraId="48A472BA" w14:textId="2BAB938D"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D)</w:t>
      </w:r>
      <w:r w:rsidRPr="003B4362">
        <w:rPr>
          <w:rFonts w:eastAsia="Calibri"/>
          <w:szCs w:val="24"/>
        </w:rPr>
        <w:tab/>
        <w:t xml:space="preserve">The </w:t>
      </w:r>
      <w:r w:rsidR="003B7E85" w:rsidRPr="003B4362">
        <w:rPr>
          <w:rFonts w:eastAsia="Calibri"/>
          <w:szCs w:val="24"/>
        </w:rPr>
        <w:t>supplier</w:t>
      </w:r>
      <w:r w:rsidRPr="003B4362">
        <w:rPr>
          <w:rFonts w:eastAsia="Calibri"/>
          <w:szCs w:val="24"/>
        </w:rPr>
        <w:t xml:space="preserve"> </w:t>
      </w:r>
      <w:bookmarkStart w:id="3258" w:name="_Hlk126669930"/>
      <w:r w:rsidRPr="003B4362">
        <w:rPr>
          <w:rFonts w:eastAsia="Calibri"/>
          <w:szCs w:val="24"/>
        </w:rPr>
        <w:t>must monitor one-third of the POU devices each year and all POU devices</w:t>
      </w:r>
      <w:r w:rsidR="00250641" w:rsidRPr="003B4362">
        <w:rPr>
          <w:rFonts w:eastAsia="Calibri"/>
          <w:szCs w:val="24"/>
        </w:rPr>
        <w:t xml:space="preserve"> </w:t>
      </w:r>
      <w:r w:rsidRPr="003B4362">
        <w:rPr>
          <w:rFonts w:eastAsia="Calibri"/>
          <w:szCs w:val="24"/>
        </w:rPr>
        <w:t>within a three-year cycle</w:t>
      </w:r>
      <w:bookmarkEnd w:id="3258"/>
      <w:r w:rsidRPr="003B4362">
        <w:rPr>
          <w:rFonts w:eastAsia="Calibri"/>
          <w:szCs w:val="24"/>
        </w:rPr>
        <w:t xml:space="preserve">.  </w:t>
      </w:r>
      <w:bookmarkStart w:id="3259" w:name="_Hlk126670127"/>
      <w:r w:rsidR="00250641" w:rsidRPr="003B4362">
        <w:rPr>
          <w:rFonts w:eastAsia="Calibri"/>
          <w:szCs w:val="24"/>
        </w:rPr>
        <w:t>The supplier must collect f</w:t>
      </w:r>
      <w:r w:rsidRPr="003B4362">
        <w:rPr>
          <w:rFonts w:eastAsia="Calibri"/>
          <w:szCs w:val="24"/>
        </w:rPr>
        <w:t>irst draw tap samples</w:t>
      </w:r>
      <w:r w:rsidR="00250641" w:rsidRPr="003B4362">
        <w:rPr>
          <w:rFonts w:eastAsia="Calibri"/>
          <w:szCs w:val="24"/>
        </w:rPr>
        <w:t xml:space="preserve"> </w:t>
      </w:r>
      <w:r w:rsidRPr="003B4362">
        <w:rPr>
          <w:rFonts w:eastAsia="Calibri"/>
          <w:szCs w:val="24"/>
        </w:rPr>
        <w:t xml:space="preserve">under this </w:t>
      </w:r>
      <w:r w:rsidR="00250641" w:rsidRPr="003B4362">
        <w:rPr>
          <w:rFonts w:eastAsia="Calibri"/>
          <w:szCs w:val="24"/>
        </w:rPr>
        <w:t>S</w:t>
      </w:r>
      <w:r w:rsidRPr="003B4362">
        <w:rPr>
          <w:rFonts w:eastAsia="Calibri"/>
          <w:szCs w:val="24"/>
        </w:rPr>
        <w:t>ection</w:t>
      </w:r>
      <w:bookmarkEnd w:id="3259"/>
      <w:r w:rsidR="00250641" w:rsidRPr="003B4362">
        <w:rPr>
          <w:rFonts w:eastAsia="Calibri"/>
          <w:szCs w:val="24"/>
        </w:rPr>
        <w:t xml:space="preserve"> </w:t>
      </w:r>
      <w:r w:rsidRPr="003B4362">
        <w:rPr>
          <w:rFonts w:eastAsia="Calibri"/>
          <w:szCs w:val="24"/>
        </w:rPr>
        <w:t xml:space="preserve">after water passes through the POU device to assess its performance.  Samples must be one-liter in volume and have had a minimum </w:t>
      </w:r>
      <w:r w:rsidR="00250641" w:rsidRPr="003B4362">
        <w:rPr>
          <w:rFonts w:eastAsia="Calibri"/>
          <w:szCs w:val="24"/>
        </w:rPr>
        <w:t>six</w:t>
      </w:r>
      <w:r w:rsidRPr="003B4362">
        <w:rPr>
          <w:rFonts w:eastAsia="Calibri"/>
          <w:szCs w:val="24"/>
        </w:rPr>
        <w:t xml:space="preserve">-hour stagnation time.  </w:t>
      </w:r>
      <w:bookmarkStart w:id="3260" w:name="_Hlk126670591"/>
      <w:r w:rsidR="002F2E86" w:rsidRPr="003B4362">
        <w:rPr>
          <w:rFonts w:eastAsia="Calibri"/>
          <w:szCs w:val="24"/>
        </w:rPr>
        <w:t>R</w:t>
      </w:r>
      <w:bookmarkStart w:id="3261" w:name="_Hlk126670700"/>
      <w:r w:rsidR="002F2E86" w:rsidRPr="003B4362">
        <w:rPr>
          <w:rFonts w:eastAsia="Calibri"/>
          <w:szCs w:val="24"/>
        </w:rPr>
        <w:t>esults from a</w:t>
      </w:r>
      <w:r w:rsidRPr="003B4362">
        <w:rPr>
          <w:rFonts w:eastAsia="Calibri"/>
          <w:szCs w:val="24"/>
        </w:rPr>
        <w:t xml:space="preserve">ll samples must </w:t>
      </w:r>
      <w:bookmarkEnd w:id="3260"/>
      <w:r w:rsidR="002F2E86" w:rsidRPr="003B4362">
        <w:rPr>
          <w:rFonts w:eastAsia="Calibri"/>
          <w:szCs w:val="24"/>
        </w:rPr>
        <w:t>not exceed</w:t>
      </w:r>
      <w:bookmarkEnd w:id="3261"/>
      <w:r w:rsidRPr="003B4362">
        <w:rPr>
          <w:rFonts w:eastAsia="Calibri"/>
          <w:szCs w:val="24"/>
        </w:rPr>
        <w:t xml:space="preserve"> the lead trigger level.  T</w:t>
      </w:r>
      <w:bookmarkStart w:id="3262" w:name="_Hlk126683101"/>
      <w:r w:rsidRPr="003B4362">
        <w:rPr>
          <w:rFonts w:eastAsia="Calibri"/>
          <w:szCs w:val="24"/>
        </w:rPr>
        <w:t xml:space="preserve">he </w:t>
      </w:r>
      <w:r w:rsidR="003A343A" w:rsidRPr="003B4362">
        <w:rPr>
          <w:rFonts w:eastAsia="Calibri"/>
          <w:szCs w:val="24"/>
        </w:rPr>
        <w:t>supplier</w:t>
      </w:r>
      <w:bookmarkEnd w:id="3262"/>
      <w:r w:rsidRPr="003B4362">
        <w:rPr>
          <w:rFonts w:eastAsia="Calibri"/>
          <w:szCs w:val="24"/>
        </w:rPr>
        <w:t xml:space="preserve"> must report </w:t>
      </w:r>
      <w:bookmarkStart w:id="3263" w:name="_Hlk126683187"/>
      <w:r w:rsidR="003A343A" w:rsidRPr="003B4362">
        <w:rPr>
          <w:rFonts w:eastAsia="Calibri"/>
          <w:szCs w:val="24"/>
        </w:rPr>
        <w:t>its</w:t>
      </w:r>
      <w:r w:rsidRPr="003B4362">
        <w:rPr>
          <w:rFonts w:eastAsia="Calibri"/>
          <w:szCs w:val="24"/>
        </w:rPr>
        <w:t xml:space="preserve"> </w:t>
      </w:r>
      <w:r w:rsidR="003A343A" w:rsidRPr="003B4362">
        <w:rPr>
          <w:rFonts w:eastAsia="Calibri"/>
          <w:szCs w:val="24"/>
        </w:rPr>
        <w:t xml:space="preserve">tap sampling </w:t>
      </w:r>
      <w:r w:rsidRPr="003B4362">
        <w:rPr>
          <w:rFonts w:eastAsia="Calibri"/>
          <w:szCs w:val="24"/>
        </w:rPr>
        <w:t>results</w:t>
      </w:r>
      <w:bookmarkEnd w:id="3263"/>
      <w:r w:rsidR="003A343A" w:rsidRPr="003B4362">
        <w:rPr>
          <w:rFonts w:eastAsia="Calibri"/>
          <w:szCs w:val="24"/>
        </w:rPr>
        <w:t xml:space="preserve"> </w:t>
      </w:r>
      <w:r w:rsidRPr="003B4362">
        <w:rPr>
          <w:rFonts w:eastAsia="Calibri"/>
          <w:szCs w:val="24"/>
        </w:rPr>
        <w:t xml:space="preserve">no later than 10 days after the end of the tap monitoring </w:t>
      </w:r>
      <w:r w:rsidR="00E26FBC" w:rsidRPr="003B4362">
        <w:rPr>
          <w:rFonts w:eastAsia="Calibri"/>
          <w:szCs w:val="24"/>
        </w:rPr>
        <w:t>cycle</w:t>
      </w:r>
      <w:r w:rsidRPr="003B4362">
        <w:rPr>
          <w:rFonts w:eastAsia="Calibri"/>
          <w:szCs w:val="24"/>
        </w:rPr>
        <w:t xml:space="preserve"> </w:t>
      </w:r>
      <w:bookmarkStart w:id="3264" w:name="_Hlk126683607"/>
      <w:r w:rsidR="003A343A" w:rsidRPr="003B4362">
        <w:rPr>
          <w:rFonts w:eastAsia="Calibri"/>
          <w:szCs w:val="24"/>
        </w:rPr>
        <w:t>under</w:t>
      </w:r>
      <w:r w:rsidRPr="003B4362">
        <w:rPr>
          <w:rFonts w:eastAsia="Calibri"/>
          <w:szCs w:val="24"/>
        </w:rPr>
        <w:t xml:space="preserve"> Section </w:t>
      </w:r>
      <w:r w:rsidR="003A343A" w:rsidRPr="003B4362">
        <w:rPr>
          <w:rFonts w:eastAsia="Calibri"/>
          <w:szCs w:val="24"/>
        </w:rPr>
        <w:t>61</w:t>
      </w:r>
      <w:r w:rsidRPr="003B4362">
        <w:rPr>
          <w:rFonts w:eastAsia="Calibri"/>
          <w:szCs w:val="24"/>
        </w:rPr>
        <w:t>1.</w:t>
      </w:r>
      <w:r w:rsidR="003A343A" w:rsidRPr="003B4362">
        <w:rPr>
          <w:rFonts w:eastAsia="Calibri"/>
          <w:szCs w:val="24"/>
        </w:rPr>
        <w:t>36</w:t>
      </w:r>
      <w:r w:rsidRPr="003B4362">
        <w:rPr>
          <w:rFonts w:eastAsia="Calibri"/>
          <w:szCs w:val="24"/>
        </w:rPr>
        <w:t>0(j)(1)</w:t>
      </w:r>
      <w:bookmarkEnd w:id="3264"/>
      <w:r w:rsidRPr="003B4362">
        <w:rPr>
          <w:rFonts w:eastAsia="Calibri"/>
          <w:szCs w:val="24"/>
        </w:rPr>
        <w:t xml:space="preserve">.  The </w:t>
      </w:r>
      <w:r w:rsidR="00A47C80" w:rsidRPr="003B4362">
        <w:rPr>
          <w:rFonts w:eastAsia="Calibri"/>
          <w:szCs w:val="24"/>
        </w:rPr>
        <w:t>supplier</w:t>
      </w:r>
      <w:r w:rsidRPr="003B4362">
        <w:rPr>
          <w:rFonts w:eastAsia="Calibri"/>
          <w:szCs w:val="24"/>
        </w:rPr>
        <w:t xml:space="preserve"> must document the problem and take corrective action at </w:t>
      </w:r>
      <w:bookmarkStart w:id="3265" w:name="_Hlk126683769"/>
      <w:bookmarkStart w:id="3266" w:name="_Hlk126683832"/>
      <w:r w:rsidRPr="003B4362">
        <w:rPr>
          <w:rFonts w:eastAsia="Calibri"/>
          <w:szCs w:val="24"/>
        </w:rPr>
        <w:t xml:space="preserve">any site </w:t>
      </w:r>
      <w:bookmarkEnd w:id="3265"/>
      <w:r w:rsidR="00A47C80" w:rsidRPr="003B4362">
        <w:rPr>
          <w:rFonts w:eastAsia="Calibri"/>
          <w:szCs w:val="24"/>
        </w:rPr>
        <w:t>exceeding</w:t>
      </w:r>
      <w:bookmarkEnd w:id="3266"/>
      <w:r w:rsidRPr="003B4362">
        <w:rPr>
          <w:rFonts w:eastAsia="Calibri"/>
          <w:szCs w:val="24"/>
        </w:rPr>
        <w:t xml:space="preserve"> the lead trigger level.  I</w:t>
      </w:r>
      <w:bookmarkStart w:id="3267" w:name="_Hlk126684001"/>
      <w:r w:rsidRPr="003B4362">
        <w:rPr>
          <w:rFonts w:eastAsia="Calibri"/>
          <w:szCs w:val="24"/>
        </w:rPr>
        <w:t xml:space="preserve">f </w:t>
      </w:r>
      <w:r w:rsidR="00A47C80" w:rsidRPr="003B4362">
        <w:rPr>
          <w:rFonts w:eastAsia="Calibri"/>
          <w:szCs w:val="24"/>
        </w:rPr>
        <w:t>a site exceeds</w:t>
      </w:r>
      <w:r w:rsidRPr="003B4362">
        <w:rPr>
          <w:rFonts w:eastAsia="Calibri"/>
          <w:szCs w:val="24"/>
        </w:rPr>
        <w:t xml:space="preserve"> </w:t>
      </w:r>
      <w:r w:rsidR="00A47C80" w:rsidRPr="003B4362">
        <w:rPr>
          <w:rFonts w:eastAsia="Calibri"/>
          <w:szCs w:val="24"/>
        </w:rPr>
        <w:t xml:space="preserve">the lead </w:t>
      </w:r>
      <w:r w:rsidRPr="003B4362">
        <w:rPr>
          <w:rFonts w:eastAsia="Calibri"/>
          <w:szCs w:val="24"/>
        </w:rPr>
        <w:t>trigger level</w:t>
      </w:r>
      <w:bookmarkEnd w:id="3267"/>
      <w:r w:rsidRPr="003B4362">
        <w:rPr>
          <w:rFonts w:eastAsia="Calibri"/>
          <w:szCs w:val="24"/>
        </w:rPr>
        <w:t xml:space="preserve">, the </w:t>
      </w:r>
      <w:r w:rsidR="00B84326" w:rsidRPr="003B4362">
        <w:rPr>
          <w:rFonts w:eastAsia="Calibri"/>
          <w:szCs w:val="24"/>
        </w:rPr>
        <w:t>supplier</w:t>
      </w:r>
      <w:r w:rsidRPr="003B4362">
        <w:rPr>
          <w:rFonts w:eastAsia="Calibri"/>
          <w:szCs w:val="24"/>
        </w:rPr>
        <w:t xml:space="preserve"> must </w:t>
      </w:r>
      <w:r w:rsidRPr="003B4362">
        <w:rPr>
          <w:rFonts w:eastAsia="Calibri"/>
          <w:szCs w:val="24"/>
        </w:rPr>
        <w:lastRenderedPageBreak/>
        <w:t xml:space="preserve">reach out to </w:t>
      </w:r>
      <w:bookmarkStart w:id="3268" w:name="_Hlk126687090"/>
      <w:bookmarkStart w:id="3269" w:name="_Hlk126687176"/>
      <w:r w:rsidRPr="003B4362">
        <w:rPr>
          <w:rFonts w:eastAsia="Calibri"/>
          <w:szCs w:val="24"/>
        </w:rPr>
        <w:t>the homeowner or building manage</w:t>
      </w:r>
      <w:bookmarkEnd w:id="3268"/>
      <w:r w:rsidR="00B84326" w:rsidRPr="003B4362">
        <w:rPr>
          <w:rFonts w:eastAsia="Calibri"/>
          <w:szCs w:val="24"/>
        </w:rPr>
        <w:t>r</w:t>
      </w:r>
      <w:bookmarkEnd w:id="3269"/>
      <w:r w:rsidR="00CD6980" w:rsidRPr="003B4362">
        <w:rPr>
          <w:rFonts w:eastAsia="Calibri"/>
          <w:szCs w:val="24"/>
        </w:rPr>
        <w:t xml:space="preserve"> or, if applicable, both</w:t>
      </w:r>
      <w:r w:rsidRPr="003B4362">
        <w:rPr>
          <w:rFonts w:eastAsia="Calibri"/>
          <w:szCs w:val="24"/>
        </w:rPr>
        <w:t xml:space="preserve"> no later than 24 hours </w:t>
      </w:r>
      <w:r w:rsidR="00B84326" w:rsidRPr="003B4362">
        <w:rPr>
          <w:rFonts w:eastAsia="Calibri"/>
          <w:szCs w:val="24"/>
        </w:rPr>
        <w:t>after</w:t>
      </w:r>
      <w:r w:rsidRPr="003B4362">
        <w:rPr>
          <w:rFonts w:eastAsia="Calibri"/>
          <w:szCs w:val="24"/>
        </w:rPr>
        <w:t xml:space="preserve"> receiving the tap sample results.  T</w:t>
      </w:r>
      <w:bookmarkStart w:id="3270" w:name="_Hlk126694201"/>
      <w:r w:rsidRPr="003B4362">
        <w:rPr>
          <w:rFonts w:eastAsia="Calibri"/>
          <w:szCs w:val="24"/>
        </w:rPr>
        <w:t xml:space="preserve">he </w:t>
      </w:r>
      <w:r w:rsidR="00EB649E" w:rsidRPr="003B4362">
        <w:rPr>
          <w:rFonts w:eastAsia="Calibri"/>
          <w:szCs w:val="24"/>
        </w:rPr>
        <w:t xml:space="preserve">supplier must complete the </w:t>
      </w:r>
      <w:r w:rsidRPr="003B4362">
        <w:rPr>
          <w:rFonts w:eastAsia="Calibri"/>
          <w:szCs w:val="24"/>
        </w:rPr>
        <w:t>corrective action</w:t>
      </w:r>
      <w:bookmarkEnd w:id="3270"/>
      <w:r w:rsidR="00EB649E" w:rsidRPr="003B4362">
        <w:rPr>
          <w:rFonts w:eastAsia="Calibri"/>
          <w:szCs w:val="24"/>
        </w:rPr>
        <w:t xml:space="preserve"> </w:t>
      </w:r>
      <w:r w:rsidRPr="003B4362">
        <w:rPr>
          <w:rFonts w:eastAsia="Calibri"/>
          <w:szCs w:val="24"/>
        </w:rPr>
        <w:t>within 30 days.  I</w:t>
      </w:r>
      <w:bookmarkStart w:id="3271" w:name="_Hlk126694998"/>
      <w:bookmarkStart w:id="3272" w:name="_Hlk126694353"/>
      <w:r w:rsidRPr="003B4362">
        <w:rPr>
          <w:rFonts w:eastAsia="Calibri"/>
          <w:szCs w:val="24"/>
        </w:rPr>
        <w:t xml:space="preserve">f </w:t>
      </w:r>
      <w:r w:rsidR="00EB649E" w:rsidRPr="003B4362">
        <w:rPr>
          <w:rFonts w:eastAsia="Calibri"/>
          <w:szCs w:val="24"/>
        </w:rPr>
        <w:t>the supplier does not complete</w:t>
      </w:r>
      <w:bookmarkStart w:id="3273" w:name="_Hlk126695034"/>
      <w:bookmarkEnd w:id="3271"/>
      <w:r w:rsidR="00EB649E" w:rsidRPr="003B4362">
        <w:rPr>
          <w:rFonts w:eastAsia="Calibri"/>
          <w:szCs w:val="24"/>
        </w:rPr>
        <w:t xml:space="preserve"> </w:t>
      </w:r>
      <w:r w:rsidRPr="003B4362">
        <w:rPr>
          <w:rFonts w:eastAsia="Calibri"/>
          <w:szCs w:val="24"/>
        </w:rPr>
        <w:t>the corrective action</w:t>
      </w:r>
      <w:bookmarkEnd w:id="3272"/>
      <w:bookmarkEnd w:id="3273"/>
      <w:r w:rsidR="00040826" w:rsidRPr="003B4362">
        <w:rPr>
          <w:rFonts w:eastAsia="Calibri"/>
          <w:szCs w:val="24"/>
        </w:rPr>
        <w:t xml:space="preserve"> </w:t>
      </w:r>
      <w:r w:rsidRPr="003B4362">
        <w:rPr>
          <w:rFonts w:eastAsia="Calibri"/>
          <w:szCs w:val="24"/>
        </w:rPr>
        <w:t xml:space="preserve">within 30 days, the </w:t>
      </w:r>
      <w:r w:rsidR="00040826" w:rsidRPr="003B4362">
        <w:rPr>
          <w:rFonts w:eastAsia="Calibri"/>
          <w:szCs w:val="24"/>
        </w:rPr>
        <w:t>supplier</w:t>
      </w:r>
      <w:r w:rsidRPr="003B4362">
        <w:rPr>
          <w:rFonts w:eastAsia="Calibri"/>
          <w:szCs w:val="24"/>
        </w:rPr>
        <w:t xml:space="preserve"> must </w:t>
      </w:r>
      <w:bookmarkStart w:id="3274" w:name="_Hlk126695192"/>
      <w:bookmarkStart w:id="3275" w:name="_Hlk126695356"/>
      <w:r w:rsidR="00040826" w:rsidRPr="003B4362">
        <w:rPr>
          <w:rFonts w:eastAsia="Calibri"/>
          <w:szCs w:val="24"/>
        </w:rPr>
        <w:t>document</w:t>
      </w:r>
      <w:r w:rsidRPr="003B4362">
        <w:rPr>
          <w:rFonts w:eastAsia="Calibri"/>
          <w:szCs w:val="24"/>
        </w:rPr>
        <w:t xml:space="preserve"> to the </w:t>
      </w:r>
      <w:bookmarkEnd w:id="3274"/>
      <w:r w:rsidR="00040826" w:rsidRPr="003B4362">
        <w:rPr>
          <w:rFonts w:eastAsia="Calibri"/>
          <w:szCs w:val="24"/>
        </w:rPr>
        <w:t>Agency</w:t>
      </w:r>
      <w:bookmarkEnd w:id="3275"/>
      <w:r w:rsidRPr="003B4362">
        <w:rPr>
          <w:rFonts w:eastAsia="Calibri"/>
          <w:szCs w:val="24"/>
        </w:rPr>
        <w:t xml:space="preserve"> within 30 days explaining </w:t>
      </w:r>
      <w:bookmarkStart w:id="3276" w:name="_Hlk126695423"/>
      <w:r w:rsidRPr="003B4362">
        <w:rPr>
          <w:rFonts w:eastAsia="Calibri"/>
          <w:szCs w:val="24"/>
        </w:rPr>
        <w:t xml:space="preserve">why </w:t>
      </w:r>
      <w:r w:rsidR="00040826" w:rsidRPr="003B4362">
        <w:rPr>
          <w:rFonts w:eastAsia="Calibri"/>
          <w:szCs w:val="24"/>
        </w:rPr>
        <w:t>the supplier</w:t>
      </w:r>
      <w:r w:rsidRPr="003B4362">
        <w:rPr>
          <w:rFonts w:eastAsia="Calibri"/>
          <w:szCs w:val="24"/>
        </w:rPr>
        <w:t xml:space="preserve"> was unable</w:t>
      </w:r>
      <w:bookmarkEnd w:id="3276"/>
      <w:r w:rsidRPr="003B4362">
        <w:rPr>
          <w:rFonts w:eastAsia="Calibri"/>
          <w:szCs w:val="24"/>
        </w:rPr>
        <w:t xml:space="preserve"> to correct the issue.</w:t>
      </w:r>
    </w:p>
    <w:p w14:paraId="3A22D6D6" w14:textId="77777777" w:rsidR="00A854E0" w:rsidRDefault="00A854E0" w:rsidP="00A854E0">
      <w:pPr>
        <w:autoSpaceDE w:val="0"/>
        <w:autoSpaceDN w:val="0"/>
        <w:adjustRightInd w:val="0"/>
        <w:ind w:left="2880" w:hanging="720"/>
        <w:rPr>
          <w:rFonts w:eastAsia="Calibri"/>
          <w:szCs w:val="24"/>
        </w:rPr>
      </w:pPr>
    </w:p>
    <w:p w14:paraId="67D21339" w14:textId="217FAD2A"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E)</w:t>
      </w:r>
      <w:r w:rsidRPr="003B4362">
        <w:rPr>
          <w:rFonts w:eastAsia="Calibri"/>
          <w:szCs w:val="24"/>
        </w:rPr>
        <w:tab/>
        <w:t xml:space="preserve">The </w:t>
      </w:r>
      <w:r w:rsidR="00401A0B" w:rsidRPr="003B4362">
        <w:rPr>
          <w:rFonts w:eastAsia="Calibri"/>
          <w:szCs w:val="24"/>
        </w:rPr>
        <w:t>supplier</w:t>
      </w:r>
      <w:r w:rsidRPr="003B4362">
        <w:rPr>
          <w:rFonts w:eastAsia="Calibri"/>
          <w:szCs w:val="24"/>
        </w:rPr>
        <w:t xml:space="preserve"> must provide public education to consumers </w:t>
      </w:r>
      <w:bookmarkStart w:id="3277" w:name="_Hlk126696872"/>
      <w:r w:rsidR="00401A0B" w:rsidRPr="003B4362">
        <w:rPr>
          <w:rFonts w:eastAsia="Calibri"/>
          <w:szCs w:val="24"/>
        </w:rPr>
        <w:t>under</w:t>
      </w:r>
      <w:r w:rsidRPr="003B4362">
        <w:rPr>
          <w:rFonts w:eastAsia="Calibri"/>
          <w:szCs w:val="24"/>
        </w:rPr>
        <w:t xml:space="preserve"> Section </w:t>
      </w:r>
      <w:r w:rsidR="00401A0B" w:rsidRPr="003B4362">
        <w:rPr>
          <w:rFonts w:eastAsia="Calibri"/>
          <w:szCs w:val="24"/>
        </w:rPr>
        <w:t>611.35</w:t>
      </w:r>
      <w:r w:rsidRPr="003B4362">
        <w:rPr>
          <w:rFonts w:eastAsia="Calibri"/>
          <w:szCs w:val="24"/>
        </w:rPr>
        <w:t>5(j)</w:t>
      </w:r>
      <w:bookmarkEnd w:id="3277"/>
      <w:r w:rsidRPr="003B4362">
        <w:rPr>
          <w:rFonts w:eastAsia="Calibri"/>
          <w:szCs w:val="24"/>
        </w:rPr>
        <w:t xml:space="preserve"> </w:t>
      </w:r>
      <w:bookmarkStart w:id="3278" w:name="_Hlk126697232"/>
      <w:r w:rsidR="00401A0B" w:rsidRPr="003B4362">
        <w:rPr>
          <w:rFonts w:eastAsia="Calibri"/>
          <w:szCs w:val="24"/>
        </w:rPr>
        <w:t>informing</w:t>
      </w:r>
      <w:r w:rsidRPr="003B4362">
        <w:rPr>
          <w:rFonts w:eastAsia="Calibri"/>
          <w:szCs w:val="24"/>
        </w:rPr>
        <w:t xml:space="preserve"> them </w:t>
      </w:r>
      <w:r w:rsidR="00401A0B" w:rsidRPr="003B4362">
        <w:rPr>
          <w:rFonts w:eastAsia="Calibri"/>
          <w:szCs w:val="24"/>
        </w:rPr>
        <w:t>how to properly</w:t>
      </w:r>
      <w:r w:rsidRPr="003B4362">
        <w:rPr>
          <w:rFonts w:eastAsia="Calibri"/>
          <w:szCs w:val="24"/>
        </w:rPr>
        <w:t xml:space="preserve"> use</w:t>
      </w:r>
      <w:r w:rsidR="00401A0B" w:rsidRPr="003B4362">
        <w:rPr>
          <w:rFonts w:eastAsia="Calibri"/>
          <w:szCs w:val="24"/>
        </w:rPr>
        <w:t xml:space="preserve"> </w:t>
      </w:r>
      <w:r w:rsidRPr="003B4362">
        <w:rPr>
          <w:rFonts w:eastAsia="Calibri"/>
          <w:szCs w:val="24"/>
        </w:rPr>
        <w:t>POU devices</w:t>
      </w:r>
      <w:bookmarkEnd w:id="3278"/>
      <w:r w:rsidRPr="003B4362">
        <w:rPr>
          <w:rFonts w:eastAsia="Calibri"/>
          <w:szCs w:val="24"/>
        </w:rPr>
        <w:t xml:space="preserve"> </w:t>
      </w:r>
      <w:bookmarkStart w:id="3279" w:name="_Hlk126697537"/>
      <w:r w:rsidRPr="003B4362">
        <w:rPr>
          <w:rFonts w:eastAsia="Calibri"/>
          <w:szCs w:val="24"/>
        </w:rPr>
        <w:t xml:space="preserve">to </w:t>
      </w:r>
      <w:bookmarkStart w:id="3280" w:name="_Hlk126697762"/>
      <w:r w:rsidRPr="003B4362">
        <w:rPr>
          <w:rFonts w:eastAsia="Calibri"/>
          <w:szCs w:val="24"/>
        </w:rPr>
        <w:t xml:space="preserve">maximize </w:t>
      </w:r>
      <w:r w:rsidR="00413600" w:rsidRPr="003B4362">
        <w:rPr>
          <w:rFonts w:eastAsia="Calibri"/>
          <w:szCs w:val="24"/>
        </w:rPr>
        <w:t>their effectiveness</w:t>
      </w:r>
      <w:r w:rsidRPr="003B4362">
        <w:rPr>
          <w:rFonts w:eastAsia="Calibri"/>
          <w:szCs w:val="24"/>
        </w:rPr>
        <w:t xml:space="preserve"> </w:t>
      </w:r>
      <w:r w:rsidR="00413600" w:rsidRPr="003B4362">
        <w:rPr>
          <w:rFonts w:eastAsia="Calibri"/>
          <w:szCs w:val="24"/>
        </w:rPr>
        <w:t xml:space="preserve">in reducing </w:t>
      </w:r>
      <w:r w:rsidRPr="003B4362">
        <w:rPr>
          <w:rFonts w:eastAsia="Calibri"/>
          <w:szCs w:val="24"/>
        </w:rPr>
        <w:t xml:space="preserve">lead </w:t>
      </w:r>
      <w:bookmarkEnd w:id="3279"/>
      <w:r w:rsidR="00413600" w:rsidRPr="003B4362">
        <w:rPr>
          <w:rFonts w:eastAsia="Calibri"/>
          <w:szCs w:val="24"/>
        </w:rPr>
        <w:t>concentrations</w:t>
      </w:r>
      <w:bookmarkEnd w:id="3280"/>
      <w:r w:rsidRPr="003B4362">
        <w:rPr>
          <w:rFonts w:eastAsia="Calibri"/>
          <w:szCs w:val="24"/>
        </w:rPr>
        <w:t>.</w:t>
      </w:r>
    </w:p>
    <w:p w14:paraId="2A6CC4CC" w14:textId="77777777" w:rsidR="00A854E0" w:rsidRDefault="00A854E0" w:rsidP="00A854E0">
      <w:pPr>
        <w:autoSpaceDE w:val="0"/>
        <w:autoSpaceDN w:val="0"/>
        <w:adjustRightInd w:val="0"/>
        <w:ind w:left="2880" w:hanging="720"/>
        <w:rPr>
          <w:rFonts w:eastAsia="Calibri"/>
          <w:szCs w:val="24"/>
        </w:rPr>
      </w:pPr>
    </w:p>
    <w:p w14:paraId="013860C1" w14:textId="65989A85"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F)</w:t>
      </w:r>
      <w:r w:rsidRPr="003B4362">
        <w:rPr>
          <w:rFonts w:eastAsia="Calibri"/>
          <w:szCs w:val="24"/>
        </w:rPr>
        <w:tab/>
        <w:t xml:space="preserve">The </w:t>
      </w:r>
      <w:r w:rsidR="00413600" w:rsidRPr="003B4362">
        <w:rPr>
          <w:rFonts w:eastAsia="Calibri"/>
          <w:szCs w:val="24"/>
        </w:rPr>
        <w:t>supplier</w:t>
      </w:r>
      <w:r w:rsidRPr="003B4362">
        <w:rPr>
          <w:rFonts w:eastAsia="Calibri"/>
          <w:szCs w:val="24"/>
        </w:rPr>
        <w:t xml:space="preserve"> must operate and maintain the POU devices </w:t>
      </w:r>
      <w:bookmarkStart w:id="3281" w:name="_Hlk126697921"/>
      <w:r w:rsidRPr="003B4362">
        <w:rPr>
          <w:rFonts w:eastAsia="Calibri"/>
          <w:szCs w:val="24"/>
        </w:rPr>
        <w:t>until the</w:t>
      </w:r>
      <w:r w:rsidR="00413600" w:rsidRPr="003B4362">
        <w:rPr>
          <w:rFonts w:eastAsia="Calibri"/>
          <w:szCs w:val="24"/>
        </w:rPr>
        <w:t xml:space="preserve"> Agency</w:t>
      </w:r>
      <w:r w:rsidRPr="003B4362">
        <w:rPr>
          <w:rFonts w:eastAsia="Calibri"/>
          <w:szCs w:val="24"/>
        </w:rPr>
        <w:t xml:space="preserve"> approv</w:t>
      </w:r>
      <w:r w:rsidR="00413600" w:rsidRPr="003B4362">
        <w:rPr>
          <w:rFonts w:eastAsia="Calibri"/>
          <w:szCs w:val="24"/>
        </w:rPr>
        <w:t>es</w:t>
      </w:r>
      <w:r w:rsidRPr="003B4362">
        <w:rPr>
          <w:rFonts w:eastAsia="Calibri"/>
          <w:szCs w:val="24"/>
        </w:rPr>
        <w:t xml:space="preserve"> </w:t>
      </w:r>
      <w:r w:rsidR="00413600" w:rsidRPr="003B4362">
        <w:rPr>
          <w:rFonts w:eastAsia="Calibri"/>
          <w:szCs w:val="24"/>
        </w:rPr>
        <w:t>an</w:t>
      </w:r>
      <w:r w:rsidRPr="003B4362">
        <w:rPr>
          <w:rFonts w:eastAsia="Calibri"/>
          <w:szCs w:val="24"/>
        </w:rPr>
        <w:t>other compliance flexibility option</w:t>
      </w:r>
      <w:r w:rsidR="00413600" w:rsidRPr="003B4362">
        <w:rPr>
          <w:rFonts w:eastAsia="Calibri"/>
          <w:szCs w:val="24"/>
        </w:rPr>
        <w:t>,</w:t>
      </w:r>
      <w:r w:rsidRPr="003B4362">
        <w:rPr>
          <w:rFonts w:eastAsia="Calibri"/>
          <w:szCs w:val="24"/>
        </w:rPr>
        <w:t xml:space="preserve"> and </w:t>
      </w:r>
      <w:r w:rsidR="00413600" w:rsidRPr="003B4362">
        <w:rPr>
          <w:rFonts w:eastAsia="Calibri"/>
          <w:szCs w:val="24"/>
        </w:rPr>
        <w:t xml:space="preserve">supplier </w:t>
      </w:r>
      <w:r w:rsidRPr="003B4362">
        <w:rPr>
          <w:rFonts w:eastAsia="Calibri"/>
          <w:szCs w:val="24"/>
        </w:rPr>
        <w:t>implements it</w:t>
      </w:r>
      <w:bookmarkEnd w:id="3281"/>
      <w:r w:rsidRPr="003B4362">
        <w:rPr>
          <w:rFonts w:eastAsia="Calibri"/>
          <w:szCs w:val="24"/>
        </w:rPr>
        <w:t>.</w:t>
      </w:r>
    </w:p>
    <w:p w14:paraId="4188FAC1" w14:textId="77777777" w:rsidR="00A854E0" w:rsidRDefault="00A854E0" w:rsidP="00A854E0">
      <w:pPr>
        <w:autoSpaceDE w:val="0"/>
        <w:autoSpaceDN w:val="0"/>
        <w:adjustRightInd w:val="0"/>
        <w:ind w:left="2160" w:hanging="720"/>
        <w:rPr>
          <w:rFonts w:eastAsia="Calibri"/>
          <w:szCs w:val="24"/>
        </w:rPr>
      </w:pPr>
    </w:p>
    <w:p w14:paraId="6AE486EE" w14:textId="29C68FD7"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4)</w:t>
      </w:r>
      <w:r w:rsidRPr="003B4362">
        <w:rPr>
          <w:rFonts w:eastAsia="Calibri"/>
          <w:szCs w:val="24"/>
        </w:rPr>
        <w:tab/>
      </w:r>
      <w:bookmarkStart w:id="3282" w:name="_Hlk126698249"/>
      <w:r w:rsidRPr="003B4362">
        <w:rPr>
          <w:rFonts w:eastAsia="Calibri"/>
          <w:szCs w:val="24"/>
        </w:rPr>
        <w:t>Replac</w:t>
      </w:r>
      <w:r w:rsidR="00934716" w:rsidRPr="003B4362">
        <w:rPr>
          <w:rFonts w:eastAsia="Calibri"/>
          <w:szCs w:val="24"/>
        </w:rPr>
        <w:t>ing</w:t>
      </w:r>
      <w:r w:rsidRPr="003B4362">
        <w:rPr>
          <w:rFonts w:eastAsia="Calibri"/>
          <w:szCs w:val="24"/>
        </w:rPr>
        <w:t xml:space="preserve"> </w:t>
      </w:r>
      <w:r w:rsidR="00934716" w:rsidRPr="003B4362">
        <w:rPr>
          <w:rFonts w:eastAsia="Calibri"/>
          <w:szCs w:val="24"/>
        </w:rPr>
        <w:t>L</w:t>
      </w:r>
      <w:r w:rsidRPr="003B4362">
        <w:rPr>
          <w:rFonts w:eastAsia="Calibri"/>
          <w:szCs w:val="24"/>
        </w:rPr>
        <w:t>ead-</w:t>
      </w:r>
      <w:r w:rsidR="00934716" w:rsidRPr="003B4362">
        <w:rPr>
          <w:rFonts w:eastAsia="Calibri"/>
          <w:szCs w:val="24"/>
        </w:rPr>
        <w:t>B</w:t>
      </w:r>
      <w:r w:rsidRPr="003B4362">
        <w:rPr>
          <w:rFonts w:eastAsia="Calibri"/>
          <w:szCs w:val="24"/>
        </w:rPr>
        <w:t xml:space="preserve">earing </w:t>
      </w:r>
      <w:r w:rsidR="00934716" w:rsidRPr="003B4362">
        <w:rPr>
          <w:rFonts w:eastAsia="Calibri"/>
          <w:szCs w:val="24"/>
        </w:rPr>
        <w:t>P</w:t>
      </w:r>
      <w:r w:rsidRPr="003B4362">
        <w:rPr>
          <w:rFonts w:eastAsia="Calibri"/>
          <w:szCs w:val="24"/>
        </w:rPr>
        <w:t>lumbing</w:t>
      </w:r>
      <w:bookmarkEnd w:id="3282"/>
      <w:r w:rsidRPr="003B4362">
        <w:rPr>
          <w:rFonts w:eastAsia="Calibri"/>
          <w:szCs w:val="24"/>
        </w:rPr>
        <w:t xml:space="preserve">.  A </w:t>
      </w:r>
      <w:r w:rsidR="00934716" w:rsidRPr="003B4362">
        <w:rPr>
          <w:rFonts w:eastAsia="Calibri"/>
          <w:szCs w:val="24"/>
        </w:rPr>
        <w:t>supplier</w:t>
      </w:r>
      <w:bookmarkStart w:id="3283" w:name="_Hlk126698440"/>
      <w:bookmarkStart w:id="3284" w:name="_Hlk126698616"/>
      <w:r w:rsidRPr="003B4362">
        <w:rPr>
          <w:rFonts w:eastAsia="Calibri"/>
          <w:szCs w:val="24"/>
        </w:rPr>
        <w:t xml:space="preserve"> </w:t>
      </w:r>
      <w:r w:rsidR="00934716" w:rsidRPr="003B4362">
        <w:rPr>
          <w:rFonts w:eastAsia="Calibri"/>
          <w:szCs w:val="24"/>
        </w:rPr>
        <w:t>controlling</w:t>
      </w:r>
      <w:r w:rsidRPr="003B4362">
        <w:rPr>
          <w:rFonts w:eastAsia="Calibri"/>
          <w:szCs w:val="24"/>
        </w:rPr>
        <w:t xml:space="preserve"> all plumbing in</w:t>
      </w:r>
      <w:r w:rsidR="00934716" w:rsidRPr="003B4362">
        <w:rPr>
          <w:rFonts w:eastAsia="Calibri"/>
          <w:szCs w:val="24"/>
        </w:rPr>
        <w:t xml:space="preserve"> </w:t>
      </w:r>
      <w:r w:rsidRPr="003B4362">
        <w:rPr>
          <w:rFonts w:eastAsia="Calibri"/>
          <w:szCs w:val="24"/>
        </w:rPr>
        <w:t>buildings</w:t>
      </w:r>
      <w:bookmarkEnd w:id="3283"/>
      <w:r w:rsidR="00934716" w:rsidRPr="003B4362">
        <w:rPr>
          <w:rFonts w:eastAsia="Calibri"/>
          <w:szCs w:val="24"/>
        </w:rPr>
        <w:t xml:space="preserve"> </w:t>
      </w:r>
      <w:r w:rsidR="000B7F0F" w:rsidRPr="003B4362">
        <w:rPr>
          <w:rFonts w:eastAsia="Calibri"/>
          <w:szCs w:val="24"/>
        </w:rPr>
        <w:t>the supplier</w:t>
      </w:r>
      <w:r w:rsidR="00934716" w:rsidRPr="003B4362">
        <w:rPr>
          <w:rFonts w:eastAsia="Calibri"/>
          <w:szCs w:val="24"/>
        </w:rPr>
        <w:t xml:space="preserve"> serves</w:t>
      </w:r>
      <w:bookmarkEnd w:id="3284"/>
      <w:r w:rsidR="00934716" w:rsidRPr="003B4362">
        <w:rPr>
          <w:rFonts w:eastAsia="Calibri"/>
          <w:szCs w:val="24"/>
        </w:rPr>
        <w:t xml:space="preserve"> </w:t>
      </w:r>
      <w:bookmarkStart w:id="3285" w:name="_Hlk126698670"/>
      <w:r w:rsidRPr="003B4362">
        <w:rPr>
          <w:rFonts w:eastAsia="Calibri"/>
          <w:szCs w:val="24"/>
        </w:rPr>
        <w:t xml:space="preserve">and </w:t>
      </w:r>
      <w:r w:rsidR="00934716" w:rsidRPr="003B4362">
        <w:rPr>
          <w:rFonts w:eastAsia="Calibri"/>
          <w:szCs w:val="24"/>
        </w:rPr>
        <w:t xml:space="preserve">having </w:t>
      </w:r>
      <w:r w:rsidRPr="003B4362">
        <w:rPr>
          <w:rFonts w:eastAsia="Calibri"/>
          <w:szCs w:val="24"/>
        </w:rPr>
        <w:t xml:space="preserve">no </w:t>
      </w:r>
      <w:r w:rsidR="00844701" w:rsidRPr="003B4362">
        <w:rPr>
          <w:rFonts w:eastAsia="Calibri"/>
          <w:szCs w:val="24"/>
        </w:rPr>
        <w:t>lead s</w:t>
      </w:r>
      <w:r w:rsidR="00934716" w:rsidRPr="003B4362">
        <w:rPr>
          <w:rFonts w:eastAsia="Calibri"/>
          <w:szCs w:val="24"/>
        </w:rPr>
        <w:t xml:space="preserve">tatus </w:t>
      </w:r>
      <w:r w:rsidR="00844701" w:rsidRPr="003B4362">
        <w:rPr>
          <w:rFonts w:eastAsia="Calibri"/>
          <w:szCs w:val="24"/>
        </w:rPr>
        <w:t>u</w:t>
      </w:r>
      <w:r w:rsidRPr="003B4362">
        <w:rPr>
          <w:rFonts w:eastAsia="Calibri"/>
          <w:szCs w:val="24"/>
        </w:rPr>
        <w:t>nknown, galvanized</w:t>
      </w:r>
      <w:r w:rsidR="00267F93" w:rsidRPr="003B4362">
        <w:rPr>
          <w:rFonts w:eastAsia="Calibri"/>
          <w:szCs w:val="24"/>
        </w:rPr>
        <w:t xml:space="preserve"> </w:t>
      </w:r>
      <w:r w:rsidR="00844701" w:rsidRPr="003B4362">
        <w:rPr>
          <w:rFonts w:eastAsia="Calibri"/>
          <w:szCs w:val="24"/>
        </w:rPr>
        <w:t>requiring re</w:t>
      </w:r>
      <w:r w:rsidR="00267F93" w:rsidRPr="003B4362">
        <w:rPr>
          <w:rFonts w:eastAsia="Calibri"/>
          <w:szCs w:val="24"/>
        </w:rPr>
        <w:t>placement</w:t>
      </w:r>
      <w:r w:rsidRPr="003B4362">
        <w:rPr>
          <w:rFonts w:eastAsia="Calibri"/>
          <w:szCs w:val="24"/>
        </w:rPr>
        <w:t xml:space="preserve">, or </w:t>
      </w:r>
      <w:r w:rsidR="00844701" w:rsidRPr="003B4362">
        <w:rPr>
          <w:rFonts w:eastAsia="Calibri"/>
          <w:szCs w:val="24"/>
        </w:rPr>
        <w:t>l</w:t>
      </w:r>
      <w:r w:rsidRPr="003B4362">
        <w:rPr>
          <w:rFonts w:eastAsia="Calibri"/>
          <w:szCs w:val="24"/>
        </w:rPr>
        <w:t>ead service lines</w:t>
      </w:r>
      <w:bookmarkEnd w:id="3285"/>
      <w:r w:rsidR="00267F93" w:rsidRPr="003B4362">
        <w:rPr>
          <w:rFonts w:eastAsia="Calibri"/>
          <w:szCs w:val="24"/>
        </w:rPr>
        <w:t xml:space="preserve"> </w:t>
      </w:r>
      <w:r w:rsidRPr="003B4362">
        <w:rPr>
          <w:rFonts w:eastAsia="Calibri"/>
          <w:szCs w:val="24"/>
        </w:rPr>
        <w:t xml:space="preserve">must replace </w:t>
      </w:r>
      <w:bookmarkStart w:id="3286" w:name="_Hlk126700457"/>
      <w:r w:rsidRPr="003B4362">
        <w:rPr>
          <w:rFonts w:eastAsia="Calibri"/>
          <w:szCs w:val="24"/>
        </w:rPr>
        <w:t xml:space="preserve">all plumbing that is not </w:t>
      </w:r>
      <w:bookmarkStart w:id="3287" w:name="_Hlk126700739"/>
      <w:r w:rsidRPr="003B4362">
        <w:rPr>
          <w:rFonts w:eastAsia="Calibri"/>
          <w:szCs w:val="24"/>
        </w:rPr>
        <w:t xml:space="preserve">lead free </w:t>
      </w:r>
      <w:bookmarkEnd w:id="3286"/>
      <w:r w:rsidR="00052F38" w:rsidRPr="003B4362">
        <w:rPr>
          <w:rFonts w:eastAsia="Calibri"/>
          <w:szCs w:val="24"/>
        </w:rPr>
        <w:t>as Section 611.126(c) defines the term</w:t>
      </w:r>
      <w:bookmarkEnd w:id="3287"/>
      <w:r w:rsidRPr="003B4362">
        <w:rPr>
          <w:rFonts w:eastAsia="Calibri"/>
          <w:szCs w:val="24"/>
        </w:rPr>
        <w:t xml:space="preserve"> </w:t>
      </w:r>
      <w:r w:rsidR="003E7523" w:rsidRPr="003B4362">
        <w:rPr>
          <w:rFonts w:eastAsia="Calibri"/>
          <w:szCs w:val="24"/>
        </w:rPr>
        <w:t>when the supplier replaces it</w:t>
      </w:r>
      <w:r w:rsidRPr="003B4362">
        <w:rPr>
          <w:rFonts w:eastAsia="Calibri"/>
          <w:szCs w:val="24"/>
        </w:rPr>
        <w:t xml:space="preserve">.  </w:t>
      </w:r>
      <w:bookmarkStart w:id="3288" w:name="_Hlk126706071"/>
      <w:r w:rsidR="003E7523" w:rsidRPr="003B4362">
        <w:rPr>
          <w:rFonts w:eastAsia="Calibri"/>
          <w:szCs w:val="24"/>
        </w:rPr>
        <w:t>R</w:t>
      </w:r>
      <w:bookmarkStart w:id="3289" w:name="_Hlk126706235"/>
      <w:r w:rsidR="003E7523" w:rsidRPr="003B4362">
        <w:rPr>
          <w:rFonts w:eastAsia="Calibri"/>
          <w:szCs w:val="24"/>
        </w:rPr>
        <w:t>eplacing</w:t>
      </w:r>
      <w:r w:rsidRPr="003B4362">
        <w:rPr>
          <w:rFonts w:eastAsia="Calibri"/>
          <w:szCs w:val="24"/>
        </w:rPr>
        <w:t xml:space="preserve"> all lead-bearing plumbing</w:t>
      </w:r>
      <w:bookmarkEnd w:id="3288"/>
      <w:bookmarkEnd w:id="3289"/>
      <w:r w:rsidRPr="003B4362">
        <w:rPr>
          <w:rFonts w:eastAsia="Calibri"/>
          <w:szCs w:val="24"/>
        </w:rPr>
        <w:t xml:space="preserve"> must occur on </w:t>
      </w:r>
      <w:bookmarkStart w:id="3290" w:name="_Hlk126706184"/>
      <w:r w:rsidRPr="003B4362">
        <w:rPr>
          <w:rFonts w:eastAsia="Calibri"/>
          <w:szCs w:val="24"/>
        </w:rPr>
        <w:t>a schedule</w:t>
      </w:r>
      <w:r w:rsidR="003E7523" w:rsidRPr="003B4362">
        <w:rPr>
          <w:rFonts w:eastAsia="Calibri"/>
          <w:szCs w:val="24"/>
        </w:rPr>
        <w:t xml:space="preserve"> not exceeding one year </w:t>
      </w:r>
      <w:r w:rsidR="006E5210" w:rsidRPr="003B4362">
        <w:rPr>
          <w:rFonts w:eastAsia="Calibri"/>
          <w:szCs w:val="24"/>
        </w:rPr>
        <w:t xml:space="preserve">as established by </w:t>
      </w:r>
      <w:r w:rsidRPr="003B4362">
        <w:rPr>
          <w:rFonts w:eastAsia="Calibri"/>
          <w:szCs w:val="24"/>
        </w:rPr>
        <w:t xml:space="preserve">the </w:t>
      </w:r>
      <w:r w:rsidR="003E7523" w:rsidRPr="003B4362">
        <w:rPr>
          <w:rFonts w:eastAsia="Calibri"/>
          <w:szCs w:val="24"/>
        </w:rPr>
        <w:t>Agency</w:t>
      </w:r>
      <w:r w:rsidRPr="003B4362">
        <w:rPr>
          <w:rFonts w:eastAsia="Calibri"/>
          <w:szCs w:val="24"/>
        </w:rPr>
        <w:t xml:space="preserve"> </w:t>
      </w:r>
      <w:r w:rsidR="003E7523" w:rsidRPr="003B4362">
        <w:rPr>
          <w:rFonts w:eastAsia="Calibri"/>
          <w:szCs w:val="24"/>
        </w:rPr>
        <w:t>in a SEP</w:t>
      </w:r>
      <w:bookmarkEnd w:id="3290"/>
      <w:r w:rsidRPr="003B4362">
        <w:rPr>
          <w:rFonts w:eastAsia="Calibri"/>
          <w:szCs w:val="24"/>
        </w:rPr>
        <w:t xml:space="preserve">.  </w:t>
      </w:r>
      <w:bookmarkStart w:id="3291" w:name="_Hlk126706569"/>
      <w:r w:rsidR="00B11D66" w:rsidRPr="003B4362">
        <w:rPr>
          <w:rFonts w:eastAsia="Calibri"/>
          <w:szCs w:val="24"/>
        </w:rPr>
        <w:t>T</w:t>
      </w:r>
      <w:bookmarkStart w:id="3292" w:name="_Hlk126706745"/>
      <w:r w:rsidR="00B11D66" w:rsidRPr="003B4362">
        <w:rPr>
          <w:rFonts w:eastAsia="Calibri"/>
          <w:szCs w:val="24"/>
        </w:rPr>
        <w:t>he supplier</w:t>
      </w:r>
      <w:r w:rsidRPr="003B4362">
        <w:rPr>
          <w:rFonts w:eastAsia="Calibri"/>
          <w:szCs w:val="24"/>
        </w:rPr>
        <w:t xml:space="preserve"> must </w:t>
      </w:r>
      <w:r w:rsidR="00B11D66" w:rsidRPr="003B4362">
        <w:rPr>
          <w:rFonts w:eastAsia="Calibri"/>
          <w:szCs w:val="24"/>
        </w:rPr>
        <w:t>certify</w:t>
      </w:r>
      <w:r w:rsidRPr="003B4362">
        <w:rPr>
          <w:rFonts w:eastAsia="Calibri"/>
          <w:szCs w:val="24"/>
        </w:rPr>
        <w:t xml:space="preserve"> to the </w:t>
      </w:r>
      <w:bookmarkEnd w:id="3291"/>
      <w:r w:rsidR="00B11D66" w:rsidRPr="003B4362">
        <w:rPr>
          <w:rFonts w:eastAsia="Calibri"/>
          <w:szCs w:val="24"/>
        </w:rPr>
        <w:t>Agency</w:t>
      </w:r>
      <w:bookmarkEnd w:id="3292"/>
      <w:r w:rsidRPr="003B4362">
        <w:rPr>
          <w:rFonts w:eastAsia="Calibri"/>
          <w:szCs w:val="24"/>
        </w:rPr>
        <w:t xml:space="preserve"> </w:t>
      </w:r>
      <w:bookmarkStart w:id="3293" w:name="_Hlk126706819"/>
      <w:r w:rsidRPr="003B4362">
        <w:rPr>
          <w:rFonts w:eastAsia="Calibri"/>
          <w:szCs w:val="24"/>
        </w:rPr>
        <w:t xml:space="preserve">that </w:t>
      </w:r>
      <w:r w:rsidR="00B11D66" w:rsidRPr="003B4362">
        <w:rPr>
          <w:rFonts w:eastAsia="Calibri"/>
          <w:szCs w:val="24"/>
        </w:rPr>
        <w:t xml:space="preserve">it has replaced </w:t>
      </w:r>
      <w:r w:rsidRPr="003B4362">
        <w:rPr>
          <w:rFonts w:eastAsia="Calibri"/>
          <w:szCs w:val="24"/>
        </w:rPr>
        <w:t>all lead-bearing material</w:t>
      </w:r>
      <w:bookmarkEnd w:id="3293"/>
      <w:r w:rsidR="00B11D66" w:rsidRPr="003B4362">
        <w:rPr>
          <w:rFonts w:eastAsia="Calibri"/>
          <w:szCs w:val="24"/>
        </w:rPr>
        <w:t xml:space="preserve"> </w:t>
      </w:r>
      <w:bookmarkStart w:id="3294" w:name="_Hlk126706966"/>
      <w:r w:rsidR="00B11D66" w:rsidRPr="003B4362">
        <w:rPr>
          <w:rFonts w:eastAsia="Calibri"/>
          <w:szCs w:val="24"/>
        </w:rPr>
        <w:t>under</w:t>
      </w:r>
      <w:r w:rsidRPr="003B4362">
        <w:rPr>
          <w:rFonts w:eastAsia="Calibri"/>
          <w:szCs w:val="24"/>
        </w:rPr>
        <w:t xml:space="preserve"> Section </w:t>
      </w:r>
      <w:r w:rsidR="00B11D66" w:rsidRPr="003B4362">
        <w:rPr>
          <w:rFonts w:eastAsia="Calibri"/>
          <w:szCs w:val="24"/>
        </w:rPr>
        <w:t>611.36</w:t>
      </w:r>
      <w:r w:rsidRPr="003B4362">
        <w:rPr>
          <w:rFonts w:eastAsia="Calibri"/>
          <w:szCs w:val="24"/>
        </w:rPr>
        <w:t>0(j)(2)</w:t>
      </w:r>
      <w:bookmarkEnd w:id="3294"/>
      <w:r w:rsidRPr="003B4362">
        <w:rPr>
          <w:rFonts w:eastAsia="Calibri"/>
          <w:szCs w:val="24"/>
        </w:rPr>
        <w:t>.</w:t>
      </w:r>
    </w:p>
    <w:p w14:paraId="4835D7C0" w14:textId="77777777" w:rsidR="00A854E0" w:rsidRDefault="00A854E0" w:rsidP="00A854E0">
      <w:pPr>
        <w:autoSpaceDE w:val="0"/>
        <w:autoSpaceDN w:val="0"/>
        <w:adjustRightInd w:val="0"/>
        <w:ind w:left="1440" w:hanging="720"/>
        <w:rPr>
          <w:rFonts w:eastAsia="Calibri"/>
          <w:szCs w:val="24"/>
        </w:rPr>
      </w:pPr>
    </w:p>
    <w:p w14:paraId="5C1948DA" w14:textId="3F089B2D"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b)</w:t>
      </w:r>
      <w:r w:rsidRPr="003B4362">
        <w:rPr>
          <w:rFonts w:eastAsia="Calibri"/>
          <w:szCs w:val="24"/>
        </w:rPr>
        <w:tab/>
      </w:r>
      <w:bookmarkStart w:id="3295" w:name="_Hlk126708105"/>
      <w:r w:rsidR="00391844" w:rsidRPr="003B4362">
        <w:rPr>
          <w:rFonts w:eastAsia="Calibri"/>
          <w:szCs w:val="24"/>
        </w:rPr>
        <w:t>Implementing a Compliance Option after Exceeding an Action Level</w:t>
      </w:r>
      <w:bookmarkEnd w:id="3295"/>
    </w:p>
    <w:p w14:paraId="03FC4C17" w14:textId="77777777" w:rsidR="00A854E0" w:rsidRDefault="00A854E0" w:rsidP="00A854E0">
      <w:pPr>
        <w:autoSpaceDE w:val="0"/>
        <w:autoSpaceDN w:val="0"/>
        <w:adjustRightInd w:val="0"/>
        <w:ind w:left="2160" w:hanging="720"/>
        <w:rPr>
          <w:rFonts w:eastAsia="Calibri"/>
          <w:szCs w:val="24"/>
        </w:rPr>
      </w:pPr>
    </w:p>
    <w:p w14:paraId="510CCA41" w14:textId="54A2C8C0"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1)</w:t>
      </w:r>
      <w:r w:rsidRPr="003B4362">
        <w:rPr>
          <w:rFonts w:eastAsia="Calibri"/>
          <w:szCs w:val="24"/>
        </w:rPr>
        <w:tab/>
        <w:t>A</w:t>
      </w:r>
      <w:bookmarkStart w:id="3296" w:name="_Hlk126708268"/>
      <w:bookmarkStart w:id="3297" w:name="_Hlk126708694"/>
      <w:r w:rsidRPr="003B4362">
        <w:rPr>
          <w:rFonts w:eastAsia="Calibri"/>
          <w:szCs w:val="24"/>
        </w:rPr>
        <w:t xml:space="preserve"> </w:t>
      </w:r>
      <w:r w:rsidR="0028788B" w:rsidRPr="003B4362">
        <w:rPr>
          <w:rFonts w:eastAsia="Calibri"/>
          <w:szCs w:val="24"/>
        </w:rPr>
        <w:t>supplier</w:t>
      </w:r>
      <w:r w:rsidRPr="003B4362">
        <w:rPr>
          <w:rFonts w:eastAsia="Calibri"/>
          <w:szCs w:val="24"/>
        </w:rPr>
        <w:t xml:space="preserve"> </w:t>
      </w:r>
      <w:bookmarkEnd w:id="3296"/>
      <w:r w:rsidR="0028788B" w:rsidRPr="003B4362">
        <w:rPr>
          <w:rFonts w:eastAsia="Calibri"/>
          <w:szCs w:val="24"/>
        </w:rPr>
        <w:t>exceeding</w:t>
      </w:r>
      <w:bookmarkEnd w:id="3297"/>
      <w:r w:rsidRPr="003B4362">
        <w:rPr>
          <w:rFonts w:eastAsia="Calibri"/>
          <w:szCs w:val="24"/>
        </w:rPr>
        <w:t xml:space="preserve"> the lead action level after exceeding the lead trigger level </w:t>
      </w:r>
      <w:bookmarkStart w:id="3298" w:name="_Hlk126708744"/>
      <w:r w:rsidRPr="003B4362">
        <w:rPr>
          <w:rFonts w:eastAsia="Calibri"/>
          <w:szCs w:val="24"/>
        </w:rPr>
        <w:t>but</w:t>
      </w:r>
      <w:r w:rsidR="0028788B" w:rsidRPr="003B4362">
        <w:rPr>
          <w:rFonts w:eastAsia="Calibri"/>
          <w:szCs w:val="24"/>
        </w:rPr>
        <w:t xml:space="preserve"> </w:t>
      </w:r>
      <w:r w:rsidRPr="003B4362">
        <w:rPr>
          <w:rFonts w:eastAsia="Calibri"/>
          <w:szCs w:val="24"/>
        </w:rPr>
        <w:t>not exceed</w:t>
      </w:r>
      <w:r w:rsidR="0028788B" w:rsidRPr="003B4362">
        <w:rPr>
          <w:rFonts w:eastAsia="Calibri"/>
          <w:szCs w:val="24"/>
        </w:rPr>
        <w:t>ing</w:t>
      </w:r>
      <w:r w:rsidRPr="003B4362">
        <w:rPr>
          <w:rFonts w:eastAsia="Calibri"/>
          <w:szCs w:val="24"/>
        </w:rPr>
        <w:t xml:space="preserve"> the copper action level</w:t>
      </w:r>
      <w:bookmarkEnd w:id="3298"/>
      <w:r w:rsidRPr="003B4362">
        <w:rPr>
          <w:rFonts w:eastAsia="Calibri"/>
          <w:szCs w:val="24"/>
        </w:rPr>
        <w:t xml:space="preserve"> must implement the compliance </w:t>
      </w:r>
      <w:bookmarkStart w:id="3299" w:name="_Hlk126708969"/>
      <w:r w:rsidRPr="003B4362">
        <w:rPr>
          <w:rFonts w:eastAsia="Calibri"/>
          <w:szCs w:val="24"/>
        </w:rPr>
        <w:t xml:space="preserve">option </w:t>
      </w:r>
      <w:r w:rsidR="00337069" w:rsidRPr="003B4362">
        <w:rPr>
          <w:rFonts w:eastAsia="Calibri"/>
          <w:szCs w:val="24"/>
        </w:rPr>
        <w:t xml:space="preserve">the Agency </w:t>
      </w:r>
      <w:r w:rsidRPr="003B4362">
        <w:rPr>
          <w:rFonts w:eastAsia="Calibri"/>
          <w:szCs w:val="24"/>
        </w:rPr>
        <w:t>approved</w:t>
      </w:r>
      <w:bookmarkEnd w:id="3299"/>
      <w:r w:rsidR="00337069" w:rsidRPr="003B4362">
        <w:rPr>
          <w:rFonts w:eastAsia="Calibri"/>
          <w:szCs w:val="24"/>
        </w:rPr>
        <w:t xml:space="preserve"> </w:t>
      </w:r>
      <w:r w:rsidRPr="003B4362">
        <w:rPr>
          <w:rFonts w:eastAsia="Calibri"/>
          <w:szCs w:val="24"/>
        </w:rPr>
        <w:t>under subsection (a).</w:t>
      </w:r>
    </w:p>
    <w:p w14:paraId="6CED0EDF" w14:textId="77777777" w:rsidR="00A854E0" w:rsidRDefault="00A854E0" w:rsidP="00A854E0">
      <w:pPr>
        <w:autoSpaceDE w:val="0"/>
        <w:autoSpaceDN w:val="0"/>
        <w:adjustRightInd w:val="0"/>
        <w:ind w:left="2160" w:hanging="720"/>
        <w:rPr>
          <w:rFonts w:eastAsia="Calibri"/>
          <w:szCs w:val="24"/>
        </w:rPr>
      </w:pPr>
    </w:p>
    <w:p w14:paraId="72B81180" w14:textId="00FFB5C6"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t>A</w:t>
      </w:r>
      <w:bookmarkStart w:id="3300" w:name="_Hlk126710255"/>
      <w:r w:rsidRPr="003B4362">
        <w:rPr>
          <w:rFonts w:eastAsia="Calibri"/>
          <w:szCs w:val="24"/>
        </w:rPr>
        <w:t xml:space="preserve"> </w:t>
      </w:r>
      <w:r w:rsidR="00337069" w:rsidRPr="003B4362">
        <w:rPr>
          <w:rFonts w:eastAsia="Calibri"/>
          <w:szCs w:val="24"/>
        </w:rPr>
        <w:t>supplier exceeding</w:t>
      </w:r>
      <w:r w:rsidRPr="003B4362">
        <w:rPr>
          <w:rFonts w:eastAsia="Calibri"/>
          <w:szCs w:val="24"/>
        </w:rPr>
        <w:t xml:space="preserve"> the lead action level</w:t>
      </w:r>
      <w:r w:rsidR="00EE4B41" w:rsidRPr="003B4362">
        <w:rPr>
          <w:rFonts w:eastAsia="Calibri"/>
          <w:szCs w:val="24"/>
        </w:rPr>
        <w:t xml:space="preserve"> but not the copper action level and </w:t>
      </w:r>
      <w:r w:rsidRPr="003B4362">
        <w:rPr>
          <w:rFonts w:eastAsia="Calibri"/>
          <w:szCs w:val="24"/>
        </w:rPr>
        <w:t>not previously exceed</w:t>
      </w:r>
      <w:r w:rsidR="00EE4B41" w:rsidRPr="003B4362">
        <w:rPr>
          <w:rFonts w:eastAsia="Calibri"/>
          <w:szCs w:val="24"/>
        </w:rPr>
        <w:t>ing</w:t>
      </w:r>
      <w:r w:rsidRPr="003B4362">
        <w:rPr>
          <w:rFonts w:eastAsia="Calibri"/>
          <w:szCs w:val="24"/>
        </w:rPr>
        <w:t xml:space="preserve"> the lead trigger level</w:t>
      </w:r>
      <w:bookmarkEnd w:id="3300"/>
      <w:r w:rsidR="00EE4B41" w:rsidRPr="003B4362">
        <w:rPr>
          <w:rFonts w:eastAsia="Calibri"/>
          <w:szCs w:val="24"/>
        </w:rPr>
        <w:t xml:space="preserve"> </w:t>
      </w:r>
      <w:bookmarkStart w:id="3301" w:name="_Hlk126710473"/>
      <w:r w:rsidRPr="003B4362">
        <w:rPr>
          <w:rFonts w:eastAsia="Calibri"/>
          <w:szCs w:val="24"/>
        </w:rPr>
        <w:t xml:space="preserve">must </w:t>
      </w:r>
      <w:bookmarkStart w:id="3302" w:name="_Hlk126710355"/>
      <w:r w:rsidR="00365C7B" w:rsidRPr="003B4362">
        <w:rPr>
          <w:rFonts w:eastAsia="Calibri"/>
          <w:szCs w:val="24"/>
        </w:rPr>
        <w:t>comply with</w:t>
      </w:r>
      <w:r w:rsidRPr="003B4362">
        <w:rPr>
          <w:rFonts w:eastAsia="Calibri"/>
          <w:szCs w:val="24"/>
        </w:rPr>
        <w:t xml:space="preserve"> subsection (a) and</w:t>
      </w:r>
      <w:r w:rsidR="00365C7B" w:rsidRPr="003B4362">
        <w:rPr>
          <w:rFonts w:eastAsia="Calibri"/>
          <w:szCs w:val="24"/>
        </w:rPr>
        <w:t xml:space="preserve"> </w:t>
      </w:r>
      <w:r w:rsidRPr="003B4362">
        <w:rPr>
          <w:rFonts w:eastAsia="Calibri"/>
          <w:szCs w:val="24"/>
        </w:rPr>
        <w:t>implement</w:t>
      </w:r>
      <w:bookmarkEnd w:id="3301"/>
      <w:bookmarkEnd w:id="3302"/>
      <w:r w:rsidRPr="003B4362">
        <w:rPr>
          <w:rFonts w:eastAsia="Calibri"/>
          <w:szCs w:val="24"/>
        </w:rPr>
        <w:t xml:space="preserve"> the compliance </w:t>
      </w:r>
      <w:r w:rsidR="00365C7B" w:rsidRPr="003B4362">
        <w:rPr>
          <w:rFonts w:eastAsia="Calibri"/>
          <w:szCs w:val="24"/>
        </w:rPr>
        <w:t xml:space="preserve">option the Agency approved </w:t>
      </w:r>
      <w:r w:rsidRPr="003B4362">
        <w:rPr>
          <w:rFonts w:eastAsia="Calibri"/>
          <w:szCs w:val="24"/>
        </w:rPr>
        <w:t>under subsection (a).</w:t>
      </w:r>
    </w:p>
    <w:p w14:paraId="562B07A7" w14:textId="77777777" w:rsidR="00A854E0" w:rsidRDefault="00A854E0" w:rsidP="00A854E0">
      <w:pPr>
        <w:autoSpaceDE w:val="0"/>
        <w:autoSpaceDN w:val="0"/>
        <w:adjustRightInd w:val="0"/>
        <w:ind w:left="2160" w:hanging="720"/>
        <w:rPr>
          <w:rFonts w:eastAsia="Calibri"/>
          <w:szCs w:val="24"/>
        </w:rPr>
      </w:pPr>
    </w:p>
    <w:p w14:paraId="1A845F4D" w14:textId="5D6065B7"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3)</w:t>
      </w:r>
      <w:r w:rsidRPr="003B4362">
        <w:rPr>
          <w:rFonts w:eastAsia="Calibri"/>
          <w:szCs w:val="24"/>
        </w:rPr>
        <w:tab/>
        <w:t xml:space="preserve">A </w:t>
      </w:r>
      <w:r w:rsidR="00365C7B" w:rsidRPr="003B4362">
        <w:rPr>
          <w:rFonts w:eastAsia="Calibri"/>
          <w:szCs w:val="24"/>
        </w:rPr>
        <w:t>supplier exceeding</w:t>
      </w:r>
      <w:r w:rsidRPr="003B4362">
        <w:rPr>
          <w:rFonts w:eastAsia="Calibri"/>
          <w:szCs w:val="24"/>
        </w:rPr>
        <w:t xml:space="preserve"> </w:t>
      </w:r>
      <w:bookmarkStart w:id="3303" w:name="_Hlk126710869"/>
      <w:r w:rsidRPr="003B4362">
        <w:rPr>
          <w:rFonts w:eastAsia="Calibri"/>
          <w:szCs w:val="24"/>
        </w:rPr>
        <w:t xml:space="preserve">the </w:t>
      </w:r>
      <w:r w:rsidR="00365C7B" w:rsidRPr="003B4362">
        <w:rPr>
          <w:rFonts w:eastAsia="Calibri"/>
          <w:szCs w:val="24"/>
        </w:rPr>
        <w:t xml:space="preserve">lead </w:t>
      </w:r>
      <w:r w:rsidRPr="003B4362">
        <w:rPr>
          <w:rFonts w:eastAsia="Calibri"/>
          <w:szCs w:val="24"/>
        </w:rPr>
        <w:t>trigger level</w:t>
      </w:r>
      <w:bookmarkStart w:id="3304" w:name="_Hlk126711023"/>
      <w:bookmarkEnd w:id="3303"/>
      <w:r w:rsidRPr="003B4362">
        <w:rPr>
          <w:rFonts w:eastAsia="Calibri"/>
          <w:szCs w:val="24"/>
        </w:rPr>
        <w:t xml:space="preserve"> </w:t>
      </w:r>
      <w:bookmarkStart w:id="3305" w:name="_Hlk126710948"/>
      <w:r w:rsidRPr="003B4362">
        <w:rPr>
          <w:rFonts w:eastAsia="Calibri"/>
          <w:szCs w:val="24"/>
        </w:rPr>
        <w:t xml:space="preserve">after </w:t>
      </w:r>
      <w:r w:rsidR="00FE19DE" w:rsidRPr="003B4362">
        <w:rPr>
          <w:rFonts w:eastAsia="Calibri"/>
          <w:szCs w:val="24"/>
        </w:rPr>
        <w:t>implementing</w:t>
      </w:r>
      <w:bookmarkEnd w:id="3304"/>
      <w:r w:rsidRPr="003B4362">
        <w:rPr>
          <w:rFonts w:eastAsia="Calibri"/>
          <w:szCs w:val="24"/>
        </w:rPr>
        <w:t xml:space="preserve"> a compliance </w:t>
      </w:r>
      <w:r w:rsidR="00365C7B" w:rsidRPr="003B4362">
        <w:rPr>
          <w:rFonts w:eastAsia="Calibri"/>
          <w:szCs w:val="24"/>
        </w:rPr>
        <w:t>option</w:t>
      </w:r>
      <w:bookmarkEnd w:id="3305"/>
      <w:r w:rsidR="00365C7B" w:rsidRPr="003B4362">
        <w:rPr>
          <w:rFonts w:eastAsia="Calibri"/>
          <w:szCs w:val="24"/>
        </w:rPr>
        <w:t xml:space="preserve"> the Agency approved </w:t>
      </w:r>
      <w:r w:rsidRPr="003B4362">
        <w:rPr>
          <w:rFonts w:eastAsia="Calibri"/>
          <w:szCs w:val="24"/>
        </w:rPr>
        <w:t>under subsection (a)</w:t>
      </w:r>
      <w:r w:rsidR="00FE19DE" w:rsidRPr="003B4362">
        <w:rPr>
          <w:rFonts w:eastAsia="Calibri"/>
          <w:szCs w:val="24"/>
        </w:rPr>
        <w:t xml:space="preserve"> </w:t>
      </w:r>
      <w:r w:rsidRPr="003B4362">
        <w:rPr>
          <w:rFonts w:eastAsia="Calibri"/>
          <w:szCs w:val="24"/>
        </w:rPr>
        <w:t>must complete the steps in subsection (a)</w:t>
      </w:r>
      <w:r w:rsidR="00FE19DE" w:rsidRPr="003B4362">
        <w:rPr>
          <w:rFonts w:eastAsia="Calibri"/>
          <w:szCs w:val="24"/>
        </w:rPr>
        <w:t>.  I</w:t>
      </w:r>
      <w:bookmarkStart w:id="3306" w:name="_Hlk126711568"/>
      <w:r w:rsidRPr="003B4362">
        <w:rPr>
          <w:rFonts w:eastAsia="Calibri"/>
          <w:szCs w:val="24"/>
        </w:rPr>
        <w:t xml:space="preserve">f </w:t>
      </w:r>
      <w:r w:rsidR="00FE19DE" w:rsidRPr="003B4362">
        <w:rPr>
          <w:rFonts w:eastAsia="Calibri"/>
          <w:szCs w:val="24"/>
        </w:rPr>
        <w:t>the supplier</w:t>
      </w:r>
      <w:r w:rsidRPr="003B4362">
        <w:rPr>
          <w:rFonts w:eastAsia="Calibri"/>
          <w:szCs w:val="24"/>
        </w:rPr>
        <w:t xml:space="preserve"> </w:t>
      </w:r>
      <w:r w:rsidR="00FE19DE" w:rsidRPr="003B4362">
        <w:rPr>
          <w:rFonts w:eastAsia="Calibri"/>
          <w:szCs w:val="24"/>
        </w:rPr>
        <w:t>later</w:t>
      </w:r>
      <w:r w:rsidRPr="003B4362">
        <w:rPr>
          <w:rFonts w:eastAsia="Calibri"/>
          <w:szCs w:val="24"/>
        </w:rPr>
        <w:t xml:space="preserve"> exceeds</w:t>
      </w:r>
      <w:bookmarkEnd w:id="3306"/>
      <w:r w:rsidRPr="003B4362">
        <w:rPr>
          <w:rFonts w:eastAsia="Calibri"/>
          <w:szCs w:val="24"/>
        </w:rPr>
        <w:t xml:space="preserve"> the </w:t>
      </w:r>
      <w:r w:rsidR="00777E0D" w:rsidRPr="003B4362">
        <w:rPr>
          <w:rFonts w:eastAsia="Calibri"/>
          <w:szCs w:val="24"/>
        </w:rPr>
        <w:t xml:space="preserve">lead </w:t>
      </w:r>
      <w:r w:rsidRPr="003B4362">
        <w:rPr>
          <w:rFonts w:eastAsia="Calibri"/>
          <w:szCs w:val="24"/>
        </w:rPr>
        <w:t xml:space="preserve">action level, </w:t>
      </w:r>
      <w:r w:rsidR="00777E0D" w:rsidRPr="003B4362">
        <w:rPr>
          <w:rFonts w:eastAsia="Calibri"/>
          <w:szCs w:val="24"/>
        </w:rPr>
        <w:t>the supplier</w:t>
      </w:r>
      <w:r w:rsidRPr="003B4362">
        <w:rPr>
          <w:rFonts w:eastAsia="Calibri"/>
          <w:szCs w:val="24"/>
        </w:rPr>
        <w:t xml:space="preserve"> must implement the compliance </w:t>
      </w:r>
      <w:r w:rsidR="00777E0D" w:rsidRPr="003B4362">
        <w:rPr>
          <w:rFonts w:eastAsia="Calibri"/>
          <w:szCs w:val="24"/>
        </w:rPr>
        <w:t xml:space="preserve">option the Agency approved </w:t>
      </w:r>
      <w:r w:rsidRPr="003B4362">
        <w:rPr>
          <w:rFonts w:eastAsia="Calibri"/>
          <w:szCs w:val="24"/>
        </w:rPr>
        <w:t>under subsection (a).</w:t>
      </w:r>
    </w:p>
    <w:p w14:paraId="3808CB8B" w14:textId="6BE61AC9" w:rsidR="0081371F" w:rsidRPr="003B4362" w:rsidRDefault="0081371F" w:rsidP="00A854E0">
      <w:pPr>
        <w:autoSpaceDE w:val="0"/>
        <w:autoSpaceDN w:val="0"/>
        <w:adjustRightInd w:val="0"/>
        <w:rPr>
          <w:rFonts w:eastAsia="Calibri"/>
          <w:szCs w:val="24"/>
        </w:rPr>
      </w:pPr>
    </w:p>
    <w:p w14:paraId="759E7EB6" w14:textId="7ACC96DF" w:rsidR="0081371F" w:rsidRPr="003B4362" w:rsidRDefault="0081371F" w:rsidP="00A854E0">
      <w:pPr>
        <w:autoSpaceDE w:val="0"/>
        <w:autoSpaceDN w:val="0"/>
        <w:adjustRightInd w:val="0"/>
        <w:rPr>
          <w:rFonts w:eastAsia="Calibri"/>
          <w:szCs w:val="24"/>
        </w:rPr>
      </w:pPr>
      <w:r w:rsidRPr="003B4362">
        <w:rPr>
          <w:rFonts w:eastAsia="Calibri"/>
          <w:szCs w:val="24"/>
        </w:rPr>
        <w:tab/>
        <w:t>(Source:  A</w:t>
      </w:r>
      <w:r w:rsidR="00E46816">
        <w:rPr>
          <w:rFonts w:eastAsia="Calibri"/>
          <w:szCs w:val="24"/>
        </w:rPr>
        <w:t>d</w:t>
      </w:r>
      <w:r w:rsidRPr="003B4362">
        <w:rPr>
          <w:rFonts w:eastAsia="Calibri"/>
          <w:szCs w:val="24"/>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szCs w:val="24"/>
        </w:rPr>
        <w:t>)</w:t>
      </w:r>
    </w:p>
    <w:p w14:paraId="32D689E6" w14:textId="77777777" w:rsidR="0081371F" w:rsidRPr="003B4362" w:rsidRDefault="0081371F" w:rsidP="0081371F">
      <w:pPr>
        <w:autoSpaceDE w:val="0"/>
        <w:autoSpaceDN w:val="0"/>
        <w:adjustRightInd w:val="0"/>
        <w:rPr>
          <w:rFonts w:eastAsia="Calibri"/>
          <w:szCs w:val="24"/>
        </w:rPr>
      </w:pPr>
    </w:p>
    <w:p w14:paraId="5DF4FF8B" w14:textId="130DFAD2" w:rsidR="004F7532" w:rsidRPr="003B4362" w:rsidRDefault="004F7532" w:rsidP="0081371F">
      <w:pPr>
        <w:jc w:val="center"/>
      </w:pPr>
      <w:r w:rsidRPr="003B4362">
        <w:lastRenderedPageBreak/>
        <w:t>SUBPART I:  DISINFECTANT RESIDUALS, DISINFECTION BYPRODUCTS, AND DISINFECTION BYPRODUCT PRECURSORS</w:t>
      </w:r>
    </w:p>
    <w:p w14:paraId="1A5C0170" w14:textId="77777777" w:rsidR="00504C6C" w:rsidRPr="003B4362" w:rsidRDefault="00504C6C" w:rsidP="00504C6C">
      <w:pPr>
        <w:jc w:val="center"/>
      </w:pPr>
    </w:p>
    <w:p w14:paraId="041907D0" w14:textId="77777777" w:rsidR="00B15277" w:rsidRPr="003B4362" w:rsidRDefault="00B15277" w:rsidP="00A854E0">
      <w:pPr>
        <w:rPr>
          <w:b/>
          <w:bCs/>
        </w:rPr>
      </w:pPr>
      <w:r w:rsidRPr="003B4362">
        <w:rPr>
          <w:b/>
          <w:bCs/>
        </w:rPr>
        <w:t>Section 611.380  General Requirements</w:t>
      </w:r>
    </w:p>
    <w:p w14:paraId="0164113B" w14:textId="77777777" w:rsidR="00A854E0" w:rsidRDefault="00A854E0" w:rsidP="00A854E0">
      <w:pPr>
        <w:suppressAutoHyphens/>
        <w:ind w:left="1440" w:hanging="720"/>
        <w:rPr>
          <w:spacing w:val="-2"/>
        </w:rPr>
      </w:pPr>
    </w:p>
    <w:p w14:paraId="4F4D5728" w14:textId="721DEEEE" w:rsidR="00B15277" w:rsidRPr="003B4362" w:rsidRDefault="00B15277" w:rsidP="00A854E0">
      <w:pPr>
        <w:suppressAutoHyphens/>
        <w:ind w:left="1440" w:hanging="720"/>
        <w:rPr>
          <w:spacing w:val="-2"/>
        </w:rPr>
      </w:pPr>
      <w:r w:rsidRPr="003B4362">
        <w:rPr>
          <w:spacing w:val="-2"/>
        </w:rPr>
        <w:t>a)</w:t>
      </w:r>
      <w:r w:rsidRPr="003B4362">
        <w:rPr>
          <w:spacing w:val="-2"/>
        </w:rPr>
        <w:tab/>
      </w:r>
      <w:bookmarkStart w:id="3307" w:name="_Hlk134009191"/>
      <w:r w:rsidRPr="003B4362">
        <w:rPr>
          <w:spacing w:val="-2"/>
        </w:rPr>
        <w:t>This Subpart</w:t>
      </w:r>
      <w:r w:rsidRPr="003B4362">
        <w:t xml:space="preserve"> I</w:t>
      </w:r>
      <w:r w:rsidRPr="003B4362">
        <w:rPr>
          <w:spacing w:val="-2"/>
        </w:rPr>
        <w:t xml:space="preserve"> Constitutes NPDWRs</w:t>
      </w:r>
      <w:bookmarkEnd w:id="3307"/>
    </w:p>
    <w:p w14:paraId="4DBF5EBF" w14:textId="77777777" w:rsidR="00A854E0" w:rsidRDefault="00A854E0" w:rsidP="00A854E0">
      <w:pPr>
        <w:suppressAutoHyphens/>
        <w:ind w:left="2160" w:hanging="720"/>
        <w:rPr>
          <w:spacing w:val="-2"/>
        </w:rPr>
      </w:pPr>
    </w:p>
    <w:p w14:paraId="651573E5" w14:textId="76F5C625" w:rsidR="00B15277" w:rsidRPr="003B4362" w:rsidRDefault="00B15277" w:rsidP="00A854E0">
      <w:pPr>
        <w:suppressAutoHyphens/>
        <w:ind w:left="2160" w:hanging="720"/>
        <w:rPr>
          <w:spacing w:val="-2"/>
        </w:rPr>
      </w:pPr>
      <w:r w:rsidRPr="003B4362">
        <w:rPr>
          <w:spacing w:val="-2"/>
        </w:rPr>
        <w:t>1)</w:t>
      </w:r>
      <w:r w:rsidRPr="003B4362">
        <w:rPr>
          <w:spacing w:val="-2"/>
        </w:rPr>
        <w:tab/>
        <w:t>T</w:t>
      </w:r>
      <w:bookmarkStart w:id="3308" w:name="_Hlk134009402"/>
      <w:r w:rsidRPr="003B4362">
        <w:rPr>
          <w:spacing w:val="-2"/>
        </w:rPr>
        <w:t>his Subpart</w:t>
      </w:r>
      <w:r w:rsidRPr="003B4362">
        <w:t xml:space="preserve"> I</w:t>
      </w:r>
      <w:r w:rsidRPr="003B4362">
        <w:rPr>
          <w:spacing w:val="-2"/>
        </w:rPr>
        <w:t xml:space="preserve"> establishes standards for a CWS supplier or an NTNCWS supplier adding a chemical disinfectant to its water</w:t>
      </w:r>
      <w:bookmarkEnd w:id="3308"/>
      <w:r w:rsidRPr="003B4362">
        <w:rPr>
          <w:spacing w:val="-2"/>
        </w:rPr>
        <w:t xml:space="preserve"> in any part of </w:t>
      </w:r>
      <w:bookmarkStart w:id="3309" w:name="_Hlk134009515"/>
      <w:r w:rsidRPr="003B4362">
        <w:rPr>
          <w:spacing w:val="-2"/>
        </w:rPr>
        <w:t>the treatment process</w:t>
      </w:r>
      <w:bookmarkEnd w:id="3309"/>
      <w:r w:rsidRPr="003B4362">
        <w:t xml:space="preserve"> </w:t>
      </w:r>
      <w:bookmarkStart w:id="3310" w:name="_Hlk134009566"/>
      <w:r w:rsidRPr="003B4362">
        <w:t xml:space="preserve">modifying </w:t>
      </w:r>
      <w:r w:rsidRPr="003B4362">
        <w:rPr>
          <w:spacing w:val="-2"/>
        </w:rPr>
        <w:t xml:space="preserve">its practices to comply with MCLs </w:t>
      </w:r>
      <w:bookmarkEnd w:id="3310"/>
      <w:r w:rsidRPr="003B4362">
        <w:rPr>
          <w:spacing w:val="-2"/>
        </w:rPr>
        <w:t>and MRDLs in Sections 611.312 and 611.313, respectively</w:t>
      </w:r>
      <w:bookmarkStart w:id="3311" w:name="_Hlk134009673"/>
      <w:r w:rsidRPr="003B4362">
        <w:rPr>
          <w:spacing w:val="-2"/>
        </w:rPr>
        <w:t xml:space="preserve">, and </w:t>
      </w:r>
      <w:bookmarkStart w:id="3312" w:name="_Hlk134011002"/>
      <w:r w:rsidR="0006669F" w:rsidRPr="003B4362">
        <w:rPr>
          <w:spacing w:val="-2"/>
        </w:rPr>
        <w:t>comply</w:t>
      </w:r>
      <w:r w:rsidRPr="003B4362">
        <w:rPr>
          <w:spacing w:val="-2"/>
        </w:rPr>
        <w:t>ing</w:t>
      </w:r>
      <w:r w:rsidR="0006669F" w:rsidRPr="003B4362">
        <w:rPr>
          <w:spacing w:val="-2"/>
        </w:rPr>
        <w:t xml:space="preserve"> with</w:t>
      </w:r>
      <w:bookmarkEnd w:id="3312"/>
      <w:r w:rsidRPr="003B4362">
        <w:rPr>
          <w:spacing w:val="-2"/>
        </w:rPr>
        <w:t xml:space="preserve"> the treatment technique</w:t>
      </w:r>
      <w:bookmarkEnd w:id="3311"/>
      <w:r w:rsidRPr="003B4362">
        <w:rPr>
          <w:spacing w:val="-2"/>
        </w:rPr>
        <w:t xml:space="preserve"> requirements for DBP precursors in Section 611.385.</w:t>
      </w:r>
    </w:p>
    <w:p w14:paraId="16110DC3" w14:textId="77777777" w:rsidR="00A854E0" w:rsidRDefault="00A854E0" w:rsidP="00A854E0">
      <w:pPr>
        <w:suppressAutoHyphens/>
        <w:ind w:left="2160" w:hanging="720"/>
        <w:rPr>
          <w:spacing w:val="-2"/>
        </w:rPr>
      </w:pPr>
    </w:p>
    <w:p w14:paraId="030BF448" w14:textId="41A29A95" w:rsidR="00B15277" w:rsidRPr="003B4362" w:rsidRDefault="00B15277" w:rsidP="00A854E0">
      <w:pPr>
        <w:suppressAutoHyphens/>
        <w:ind w:left="2160" w:hanging="720"/>
        <w:rPr>
          <w:spacing w:val="-2"/>
        </w:rPr>
      </w:pPr>
      <w:r w:rsidRPr="003B4362">
        <w:rPr>
          <w:spacing w:val="-2"/>
        </w:rPr>
        <w:t>2)</w:t>
      </w:r>
      <w:r w:rsidRPr="003B4362">
        <w:rPr>
          <w:spacing w:val="-2"/>
        </w:rPr>
        <w:tab/>
        <w:t>This Subpart</w:t>
      </w:r>
      <w:r w:rsidRPr="003B4362">
        <w:t xml:space="preserve"> I</w:t>
      </w:r>
      <w:r w:rsidRPr="003B4362">
        <w:rPr>
          <w:spacing w:val="-2"/>
        </w:rPr>
        <w:t xml:space="preserve"> establishes standards for </w:t>
      </w:r>
      <w:bookmarkStart w:id="3313" w:name="_Hlk134010917"/>
      <w:r w:rsidRPr="003B4362">
        <w:t xml:space="preserve">a transient non-CWS supplier using </w:t>
      </w:r>
      <w:r w:rsidRPr="003B4362">
        <w:rPr>
          <w:spacing w:val="-2"/>
        </w:rPr>
        <w:t>chlorine dioxide as a disinfectant</w:t>
      </w:r>
      <w:bookmarkEnd w:id="3313"/>
      <w:r w:rsidRPr="003B4362">
        <w:rPr>
          <w:spacing w:val="-2"/>
        </w:rPr>
        <w:t xml:space="preserve"> or oxidant </w:t>
      </w:r>
      <w:bookmarkStart w:id="3314" w:name="_Hlk134011046"/>
      <w:r w:rsidRPr="003B4362">
        <w:rPr>
          <w:spacing w:val="-2"/>
        </w:rPr>
        <w:t xml:space="preserve">modifying its practices to </w:t>
      </w:r>
      <w:r w:rsidR="0006669F" w:rsidRPr="003B4362">
        <w:rPr>
          <w:spacing w:val="-2"/>
        </w:rPr>
        <w:t xml:space="preserve">comply with </w:t>
      </w:r>
      <w:r w:rsidRPr="003B4362">
        <w:rPr>
          <w:spacing w:val="-2"/>
        </w:rPr>
        <w:t>the MRDL</w:t>
      </w:r>
      <w:bookmarkEnd w:id="3314"/>
      <w:r w:rsidRPr="003B4362">
        <w:rPr>
          <w:spacing w:val="-2"/>
        </w:rPr>
        <w:t xml:space="preserve"> for chlorine dioxide in Section 611.313.</w:t>
      </w:r>
    </w:p>
    <w:p w14:paraId="53123B29" w14:textId="77777777" w:rsidR="00A854E0" w:rsidRDefault="00A854E0" w:rsidP="00A854E0">
      <w:pPr>
        <w:suppressAutoHyphens/>
        <w:ind w:left="2160" w:hanging="720"/>
      </w:pPr>
    </w:p>
    <w:p w14:paraId="7CA72AB2" w14:textId="2749BE32" w:rsidR="00B15277" w:rsidRPr="003B4362" w:rsidRDefault="00B15277" w:rsidP="00A854E0">
      <w:pPr>
        <w:suppressAutoHyphens/>
        <w:ind w:left="2160" w:hanging="720"/>
      </w:pPr>
      <w:r w:rsidRPr="003B4362">
        <w:t>3)</w:t>
      </w:r>
      <w:r w:rsidRPr="003B4362">
        <w:tab/>
      </w:r>
      <w:bookmarkStart w:id="3315" w:name="_Hlk134011148"/>
      <w:r w:rsidRPr="003B4362">
        <w:t>MCLs for TTHM and HAA5 and treatment technique requirements for DBP precursors limit the levels</w:t>
      </w:r>
      <w:bookmarkEnd w:id="3315"/>
      <w:r w:rsidRPr="003B4362">
        <w:t xml:space="preserve"> of known and unknown DBPs that may have adverse health effects.  These DBPs may include chloroform, bromodichloromethane, dibromochloromethane, bromoform, dichloroacetic acid, and trichloroacetic acid.</w:t>
      </w:r>
    </w:p>
    <w:p w14:paraId="787FC17F" w14:textId="77777777" w:rsidR="00A854E0" w:rsidRDefault="00A854E0" w:rsidP="00A854E0">
      <w:pPr>
        <w:suppressAutoHyphens/>
        <w:ind w:left="1440" w:hanging="720"/>
        <w:rPr>
          <w:spacing w:val="-2"/>
        </w:rPr>
      </w:pPr>
    </w:p>
    <w:p w14:paraId="341DE5E1" w14:textId="7D747A2B" w:rsidR="00B15277" w:rsidRPr="003B4362" w:rsidRDefault="00B15277" w:rsidP="00A854E0">
      <w:pPr>
        <w:suppressAutoHyphens/>
        <w:ind w:left="1440" w:hanging="720"/>
        <w:rPr>
          <w:spacing w:val="-2"/>
        </w:rPr>
      </w:pPr>
      <w:r w:rsidRPr="003B4362">
        <w:rPr>
          <w:spacing w:val="-2"/>
        </w:rPr>
        <w:t>b)</w:t>
      </w:r>
      <w:r w:rsidRPr="003B4362">
        <w:rPr>
          <w:spacing w:val="-2"/>
        </w:rPr>
        <w:tab/>
      </w:r>
      <w:r w:rsidRPr="003B4362">
        <w:t>This subsection (b) corresponds with 40 CFR 141.130(b), which recites past implementation deadlines.  This statement maintains structural consistency with the corresponding federal rules.</w:t>
      </w:r>
    </w:p>
    <w:p w14:paraId="249E4202" w14:textId="77777777" w:rsidR="00A854E0" w:rsidRDefault="00A854E0" w:rsidP="00A854E0">
      <w:pPr>
        <w:suppressAutoHyphens/>
        <w:ind w:left="1440" w:hanging="720"/>
        <w:rPr>
          <w:spacing w:val="-2"/>
        </w:rPr>
      </w:pPr>
    </w:p>
    <w:p w14:paraId="7A08B2D7" w14:textId="582F2B55" w:rsidR="00B15277" w:rsidRPr="003B4362" w:rsidRDefault="00B15277" w:rsidP="00A854E0">
      <w:pPr>
        <w:suppressAutoHyphens/>
        <w:ind w:left="1440" w:hanging="720"/>
        <w:rPr>
          <w:spacing w:val="-2"/>
        </w:rPr>
      </w:pPr>
      <w:r w:rsidRPr="003B4362">
        <w:rPr>
          <w:spacing w:val="-2"/>
        </w:rPr>
        <w:t>c)</w:t>
      </w:r>
      <w:r w:rsidRPr="003B4362">
        <w:rPr>
          <w:spacing w:val="-2"/>
        </w:rPr>
        <w:tab/>
        <w:t>Q</w:t>
      </w:r>
      <w:bookmarkStart w:id="3316" w:name="_Hlk134011449"/>
      <w:r w:rsidRPr="003B4362">
        <w:rPr>
          <w:spacing w:val="-2"/>
        </w:rPr>
        <w:t>ualified personnel complying with 35 Ill. Adm. Code 681 must operate the water system for each CWS or NTNCWS supplier subject to subsection (a)</w:t>
      </w:r>
      <w:bookmarkEnd w:id="3316"/>
      <w:r w:rsidRPr="003B4362">
        <w:rPr>
          <w:spacing w:val="-2"/>
        </w:rPr>
        <w:t>.</w:t>
      </w:r>
    </w:p>
    <w:p w14:paraId="3519686A" w14:textId="77777777" w:rsidR="00A854E0" w:rsidRDefault="00A854E0" w:rsidP="00A854E0">
      <w:pPr>
        <w:ind w:left="1440" w:hanging="720"/>
        <w:rPr>
          <w:spacing w:val="-2"/>
        </w:rPr>
      </w:pPr>
    </w:p>
    <w:p w14:paraId="3AC1D499" w14:textId="6657104E" w:rsidR="00B15277" w:rsidRPr="003B4362" w:rsidRDefault="00B15277" w:rsidP="00A854E0">
      <w:pPr>
        <w:ind w:left="1440" w:hanging="720"/>
      </w:pPr>
      <w:r w:rsidRPr="003B4362">
        <w:rPr>
          <w:spacing w:val="-2"/>
        </w:rPr>
        <w:t>d)</w:t>
      </w:r>
      <w:r w:rsidRPr="003B4362">
        <w:rPr>
          <w:spacing w:val="-2"/>
        </w:rPr>
        <w:tab/>
      </w:r>
      <w:bookmarkStart w:id="3317" w:name="_Hlk134011555"/>
      <w:r w:rsidRPr="003B4362">
        <w:rPr>
          <w:spacing w:val="-2"/>
        </w:rPr>
        <w:t>Controlling Disinfectant Residuals</w:t>
      </w:r>
      <w:bookmarkEnd w:id="3317"/>
      <w:r w:rsidRPr="003B4362">
        <w:rPr>
          <w:spacing w:val="-2"/>
        </w:rPr>
        <w:t xml:space="preserve">.  Notwithstanding the MRDLs in Section 611.313, a supplier may increase residual </w:t>
      </w:r>
      <w:bookmarkStart w:id="3318" w:name="_Hlk134011611"/>
      <w:r w:rsidRPr="003B4362">
        <w:rPr>
          <w:spacing w:val="-2"/>
        </w:rPr>
        <w:t xml:space="preserve">disinfectant levels of chlorine or chloramines (but not chlorine dioxide) in </w:t>
      </w:r>
      <w:r w:rsidR="005A6ABE" w:rsidRPr="003B4362">
        <w:rPr>
          <w:spacing w:val="-2"/>
        </w:rPr>
        <w:t xml:space="preserve">its </w:t>
      </w:r>
      <w:r w:rsidRPr="003B4362">
        <w:rPr>
          <w:spacing w:val="-2"/>
        </w:rPr>
        <w:t xml:space="preserve">distribution system </w:t>
      </w:r>
      <w:bookmarkEnd w:id="3318"/>
      <w:r w:rsidRPr="003B4362">
        <w:rPr>
          <w:spacing w:val="-2"/>
        </w:rPr>
        <w:t xml:space="preserve">to a level and for a time necessary to protect public health, to address specific microbiological contamination </w:t>
      </w:r>
      <w:bookmarkStart w:id="3319" w:name="_Hlk134011715"/>
      <w:r w:rsidRPr="003B4362">
        <w:rPr>
          <w:spacing w:val="-2"/>
        </w:rPr>
        <w:t>problems caused by circumstances such as</w:t>
      </w:r>
      <w:r w:rsidR="00227052" w:rsidRPr="003B4362">
        <w:rPr>
          <w:spacing w:val="-2"/>
        </w:rPr>
        <w:t xml:space="preserve"> </w:t>
      </w:r>
      <w:r w:rsidRPr="003B4362">
        <w:rPr>
          <w:spacing w:val="-2"/>
        </w:rPr>
        <w:t>distribution line breaks, storm run-off events, source water contamination events</w:t>
      </w:r>
      <w:r w:rsidRPr="003B4362">
        <w:t>, or</w:t>
      </w:r>
      <w:r w:rsidRPr="003B4362">
        <w:rPr>
          <w:spacing w:val="-2"/>
        </w:rPr>
        <w:t xml:space="preserve"> cross-connection events</w:t>
      </w:r>
      <w:bookmarkEnd w:id="3319"/>
      <w:r w:rsidRPr="003B4362">
        <w:rPr>
          <w:spacing w:val="-2"/>
        </w:rPr>
        <w:t>.</w:t>
      </w:r>
    </w:p>
    <w:p w14:paraId="3F252A6F" w14:textId="77777777" w:rsidR="00A854E0" w:rsidRDefault="00A854E0" w:rsidP="00A854E0">
      <w:pPr>
        <w:suppressAutoHyphens/>
      </w:pPr>
    </w:p>
    <w:p w14:paraId="3905BA0A" w14:textId="2AC76973" w:rsidR="00B15277" w:rsidRPr="003B4362" w:rsidRDefault="00B15277" w:rsidP="00A854E0">
      <w:pPr>
        <w:suppressAutoHyphens/>
      </w:pPr>
      <w:r w:rsidRPr="003B4362">
        <w:t xml:space="preserve">BOARD NOTE:  </w:t>
      </w:r>
      <w:r w:rsidR="003F03B0" w:rsidRPr="003B4362">
        <w:rPr>
          <w:spacing w:val="-3"/>
        </w:rPr>
        <w:t xml:space="preserve">This Section derives </w:t>
      </w:r>
      <w:r w:rsidRPr="003B4362">
        <w:t>from 40 CFR 141.130.</w:t>
      </w:r>
    </w:p>
    <w:p w14:paraId="0A01E8D2" w14:textId="77777777" w:rsidR="00504C6C" w:rsidRPr="003B4362" w:rsidRDefault="00504C6C" w:rsidP="00A854E0">
      <w:pPr>
        <w:suppressAutoHyphens/>
      </w:pPr>
    </w:p>
    <w:p w14:paraId="139E971F" w14:textId="1B6B7558" w:rsidR="00504C6C" w:rsidRDefault="00EB353D" w:rsidP="00504C6C">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04816E0A" w14:textId="77777777" w:rsidR="005605D6" w:rsidRPr="003B4362" w:rsidRDefault="005605D6" w:rsidP="00504C6C">
      <w:pPr>
        <w:suppressAutoHyphens/>
        <w:ind w:left="720"/>
      </w:pPr>
    </w:p>
    <w:p w14:paraId="7A393C6E" w14:textId="77777777" w:rsidR="0016415F" w:rsidRPr="003B4362" w:rsidRDefault="0016415F" w:rsidP="00A854E0">
      <w:pPr>
        <w:rPr>
          <w:b/>
          <w:bCs/>
        </w:rPr>
      </w:pPr>
      <w:r w:rsidRPr="003B4362">
        <w:rPr>
          <w:b/>
          <w:bCs/>
        </w:rPr>
        <w:t>Section 611.381  Analytical Requirements</w:t>
      </w:r>
    </w:p>
    <w:p w14:paraId="7DCB64B9" w14:textId="77777777" w:rsidR="00A854E0" w:rsidRDefault="00A854E0" w:rsidP="00A854E0">
      <w:pPr>
        <w:widowControl w:val="0"/>
        <w:suppressAutoHyphens/>
        <w:ind w:left="1440" w:hanging="720"/>
      </w:pPr>
    </w:p>
    <w:p w14:paraId="00D04C83" w14:textId="44C968EF" w:rsidR="0016415F" w:rsidRPr="003B4362" w:rsidRDefault="0016415F" w:rsidP="00A854E0">
      <w:pPr>
        <w:widowControl w:val="0"/>
        <w:suppressAutoHyphens/>
        <w:ind w:left="1440" w:hanging="720"/>
        <w:rPr>
          <w:spacing w:val="-2"/>
        </w:rPr>
      </w:pPr>
      <w:r w:rsidRPr="003B4362">
        <w:lastRenderedPageBreak/>
        <w:t>a)</w:t>
      </w:r>
      <w:r w:rsidRPr="003B4362">
        <w:tab/>
      </w:r>
      <w:r w:rsidRPr="003B4362">
        <w:rPr>
          <w:spacing w:val="-1"/>
        </w:rPr>
        <w:t xml:space="preserve">A supplier </w:t>
      </w:r>
      <w:r w:rsidRPr="003B4362">
        <w:t xml:space="preserve">must </w:t>
      </w:r>
      <w:r w:rsidRPr="003B4362">
        <w:rPr>
          <w:spacing w:val="-2"/>
        </w:rPr>
        <w:t xml:space="preserve">use only the analytical </w:t>
      </w:r>
      <w:bookmarkStart w:id="3320" w:name="_Hlk132202052"/>
      <w:r w:rsidRPr="003B4362">
        <w:rPr>
          <w:spacing w:val="-2"/>
        </w:rPr>
        <w:t>methods this Section</w:t>
      </w:r>
      <w:r w:rsidR="00897144" w:rsidRPr="003B4362">
        <w:rPr>
          <w:spacing w:val="-2"/>
        </w:rPr>
        <w:t xml:space="preserve"> specifies</w:t>
      </w:r>
      <w:bookmarkEnd w:id="3320"/>
      <w:r w:rsidRPr="003B4362">
        <w:rPr>
          <w:spacing w:val="-2"/>
        </w:rPr>
        <w:t xml:space="preserve">, </w:t>
      </w:r>
      <w:bookmarkStart w:id="3321" w:name="_Hlk132202117"/>
      <w:r w:rsidRPr="003B4362">
        <w:rPr>
          <w:spacing w:val="-2"/>
        </w:rPr>
        <w:t>each incorporated by reference</w:t>
      </w:r>
      <w:bookmarkEnd w:id="3321"/>
      <w:r w:rsidRPr="003B4362">
        <w:rPr>
          <w:spacing w:val="-2"/>
        </w:rPr>
        <w:t xml:space="preserve"> in Section 611.102,</w:t>
      </w:r>
      <w:r w:rsidRPr="003B4362">
        <w:t xml:space="preserve"> or </w:t>
      </w:r>
      <w:bookmarkStart w:id="3322" w:name="_Hlk132202169"/>
      <w:r w:rsidRPr="003B4362">
        <w:t>alternative methods that the Agency approved</w:t>
      </w:r>
      <w:bookmarkEnd w:id="3322"/>
      <w:r w:rsidRPr="003B4362">
        <w:t xml:space="preserve"> under Section 611.480 </w:t>
      </w:r>
      <w:r w:rsidRPr="003B4362">
        <w:rPr>
          <w:spacing w:val="-2"/>
        </w:rPr>
        <w:t xml:space="preserve">to </w:t>
      </w:r>
      <w:bookmarkStart w:id="3323" w:name="_Hlk132202256"/>
      <w:r w:rsidRPr="003B4362">
        <w:rPr>
          <w:spacing w:val="-2"/>
        </w:rPr>
        <w:t xml:space="preserve">demonstrate </w:t>
      </w:r>
      <w:r w:rsidR="004D338D" w:rsidRPr="003B4362">
        <w:rPr>
          <w:spacing w:val="-2"/>
        </w:rPr>
        <w:t xml:space="preserve">that it complies </w:t>
      </w:r>
      <w:r w:rsidRPr="003B4362">
        <w:rPr>
          <w:spacing w:val="-2"/>
        </w:rPr>
        <w:t>with this Subpart</w:t>
      </w:r>
      <w:r w:rsidRPr="003B4362">
        <w:t xml:space="preserve"> I and Subparts W and Y</w:t>
      </w:r>
      <w:bookmarkEnd w:id="3323"/>
      <w:r w:rsidRPr="003B4362">
        <w:rPr>
          <w:spacing w:val="-2"/>
        </w:rPr>
        <w:t>.</w:t>
      </w:r>
    </w:p>
    <w:p w14:paraId="0DE626B1" w14:textId="77777777" w:rsidR="00A854E0" w:rsidRDefault="00A854E0" w:rsidP="00A854E0">
      <w:pPr>
        <w:widowControl w:val="0"/>
        <w:suppressAutoHyphens/>
        <w:ind w:left="1440" w:hanging="720"/>
        <w:rPr>
          <w:spacing w:val="-2"/>
        </w:rPr>
      </w:pPr>
    </w:p>
    <w:p w14:paraId="5213FD81" w14:textId="7EE40D7B" w:rsidR="0016415F" w:rsidRPr="003B4362" w:rsidRDefault="0016415F" w:rsidP="00A854E0">
      <w:pPr>
        <w:widowControl w:val="0"/>
        <w:suppressAutoHyphens/>
        <w:ind w:left="1440" w:hanging="720"/>
        <w:rPr>
          <w:spacing w:val="-2"/>
        </w:rPr>
      </w:pPr>
      <w:r w:rsidRPr="003B4362">
        <w:rPr>
          <w:spacing w:val="-2"/>
        </w:rPr>
        <w:t>b)</w:t>
      </w:r>
      <w:r w:rsidRPr="003B4362">
        <w:rPr>
          <w:spacing w:val="-2"/>
        </w:rPr>
        <w:tab/>
        <w:t>Disinfection Byproducts (DBPs)</w:t>
      </w:r>
    </w:p>
    <w:p w14:paraId="77F5B6B9" w14:textId="77777777" w:rsidR="00A854E0" w:rsidRDefault="00A854E0" w:rsidP="00A854E0">
      <w:pPr>
        <w:widowControl w:val="0"/>
        <w:ind w:left="2160" w:hanging="720"/>
        <w:rPr>
          <w:spacing w:val="-2"/>
        </w:rPr>
      </w:pPr>
    </w:p>
    <w:p w14:paraId="63F11561" w14:textId="51670348" w:rsidR="0016415F" w:rsidRPr="003B4362" w:rsidRDefault="0016415F" w:rsidP="00A854E0">
      <w:pPr>
        <w:widowControl w:val="0"/>
        <w:ind w:left="2160" w:hanging="720"/>
        <w:rPr>
          <w:spacing w:val="-2"/>
        </w:rPr>
      </w:pPr>
      <w:r w:rsidRPr="003B4362">
        <w:rPr>
          <w:spacing w:val="-2"/>
        </w:rPr>
        <w:t>1)</w:t>
      </w:r>
      <w:r w:rsidRPr="003B4362">
        <w:rPr>
          <w:spacing w:val="-2"/>
        </w:rPr>
        <w:tab/>
      </w:r>
      <w:bookmarkStart w:id="3324" w:name="_Hlk132202607"/>
      <w:r w:rsidRPr="003B4362">
        <w:rPr>
          <w:spacing w:val="-2"/>
        </w:rPr>
        <w:t>Methods for Disinfection Byproducts</w:t>
      </w:r>
      <w:bookmarkEnd w:id="3324"/>
      <w:r w:rsidRPr="003B4362">
        <w:rPr>
          <w:spacing w:val="-2"/>
        </w:rPr>
        <w:t xml:space="preserve"> </w:t>
      </w:r>
      <w:bookmarkStart w:id="3325" w:name="_Hlk132202568"/>
      <w:r w:rsidRPr="003B4362">
        <w:rPr>
          <w:spacing w:val="-2"/>
        </w:rPr>
        <w:t>(DBPs)</w:t>
      </w:r>
      <w:bookmarkEnd w:id="3325"/>
    </w:p>
    <w:p w14:paraId="62660E65" w14:textId="77777777" w:rsidR="00A854E0" w:rsidRDefault="00A854E0" w:rsidP="00A854E0">
      <w:pPr>
        <w:widowControl w:val="0"/>
        <w:ind w:left="2880" w:hanging="720"/>
      </w:pPr>
    </w:p>
    <w:p w14:paraId="32CE1589" w14:textId="286FC1AF" w:rsidR="0016415F" w:rsidRPr="003B4362" w:rsidRDefault="0016415F" w:rsidP="00A854E0">
      <w:pPr>
        <w:widowControl w:val="0"/>
        <w:ind w:left="2880" w:hanging="720"/>
      </w:pPr>
      <w:r w:rsidRPr="003B4362">
        <w:t>A)</w:t>
      </w:r>
      <w:r w:rsidRPr="003B4362">
        <w:tab/>
        <w:t>TTHM</w:t>
      </w:r>
    </w:p>
    <w:p w14:paraId="1E23188B" w14:textId="77777777" w:rsidR="00A854E0" w:rsidRDefault="00A854E0" w:rsidP="00A854E0">
      <w:pPr>
        <w:widowControl w:val="0"/>
        <w:ind w:left="3600" w:hanging="720"/>
      </w:pPr>
    </w:p>
    <w:p w14:paraId="271D06CE" w14:textId="42B468BE" w:rsidR="0016415F" w:rsidRPr="003B4362" w:rsidRDefault="0016415F" w:rsidP="00A854E0">
      <w:pPr>
        <w:widowControl w:val="0"/>
        <w:ind w:left="3600" w:hanging="720"/>
      </w:pPr>
      <w:r w:rsidRPr="003B4362">
        <w:t>i)</w:t>
      </w:r>
      <w:r w:rsidRPr="003B4362">
        <w:tab/>
        <w:t xml:space="preserve">By </w:t>
      </w:r>
      <w:bookmarkStart w:id="3326" w:name="_Hlk12891564"/>
      <w:r w:rsidRPr="003B4362">
        <w:t>Purge and Trap, Gas Chromatography, Electrolytic Conductivity Detector, and Photoionization Detector</w:t>
      </w:r>
      <w:bookmarkEnd w:id="3326"/>
      <w:r w:rsidRPr="003B4362">
        <w:t xml:space="preserve">.  </w:t>
      </w:r>
      <w:bookmarkStart w:id="3327" w:name="_Hlk12890906"/>
      <w:r w:rsidRPr="003B4362">
        <w:t>USEPA 502.2 (95)</w:t>
      </w:r>
      <w:bookmarkEnd w:id="3327"/>
      <w:r w:rsidRPr="003B4362">
        <w:t xml:space="preserve">.  If TTHMs are the only </w:t>
      </w:r>
      <w:bookmarkStart w:id="3328" w:name="_Hlk132202729"/>
      <w:r w:rsidRPr="003B4362">
        <w:t xml:space="preserve">analytes </w:t>
      </w:r>
      <w:r w:rsidR="004D338D" w:rsidRPr="003B4362">
        <w:t xml:space="preserve">the laboratory measures </w:t>
      </w:r>
      <w:r w:rsidRPr="003B4362">
        <w:t>in the sample</w:t>
      </w:r>
      <w:bookmarkEnd w:id="3328"/>
      <w:r w:rsidRPr="003B4362">
        <w:t xml:space="preserve">, </w:t>
      </w:r>
      <w:bookmarkStart w:id="3329" w:name="_Hlk132202957"/>
      <w:r w:rsidR="008C4573" w:rsidRPr="003B4362">
        <w:t xml:space="preserve">it needs not use </w:t>
      </w:r>
      <w:r w:rsidRPr="003B4362">
        <w:t>a photoionization detector</w:t>
      </w:r>
      <w:bookmarkEnd w:id="3329"/>
      <w:r w:rsidRPr="003B4362">
        <w:t>.</w:t>
      </w:r>
    </w:p>
    <w:p w14:paraId="6B95FAC8" w14:textId="77777777" w:rsidR="00A854E0" w:rsidRDefault="00A854E0" w:rsidP="00A854E0">
      <w:pPr>
        <w:widowControl w:val="0"/>
        <w:ind w:left="3600" w:hanging="720"/>
      </w:pPr>
    </w:p>
    <w:p w14:paraId="1F9AE51B" w14:textId="437145F7" w:rsidR="0016415F" w:rsidRPr="003B4362" w:rsidRDefault="0016415F" w:rsidP="00A854E0">
      <w:pPr>
        <w:widowControl w:val="0"/>
        <w:ind w:left="3600" w:hanging="720"/>
      </w:pPr>
      <w:r w:rsidRPr="003B4362">
        <w:t>ii)</w:t>
      </w:r>
      <w:r w:rsidRPr="003B4362">
        <w:tab/>
        <w:t xml:space="preserve">By Purge and Trap, </w:t>
      </w:r>
      <w:bookmarkStart w:id="3330" w:name="_Hlk12891775"/>
      <w:r w:rsidRPr="003B4362">
        <w:t>Gas Chromatography-Mass Spectrometer</w:t>
      </w:r>
      <w:bookmarkEnd w:id="3330"/>
      <w:r w:rsidRPr="003B4362">
        <w:t>.  USEPA 524.2 (95) or USEPA 524.3 (09), or USEPA 524.4 (13).</w:t>
      </w:r>
    </w:p>
    <w:p w14:paraId="0F7213C3" w14:textId="77777777" w:rsidR="00A854E0" w:rsidRDefault="00A854E0" w:rsidP="00A854E0">
      <w:pPr>
        <w:widowControl w:val="0"/>
        <w:ind w:left="3600" w:hanging="720"/>
      </w:pPr>
    </w:p>
    <w:p w14:paraId="1453EF3D" w14:textId="73C2B3A1" w:rsidR="0016415F" w:rsidRPr="003B4362" w:rsidRDefault="0016415F" w:rsidP="00A854E0">
      <w:pPr>
        <w:widowControl w:val="0"/>
        <w:ind w:left="3600" w:hanging="720"/>
      </w:pPr>
      <w:r w:rsidRPr="003B4362">
        <w:t>iii)</w:t>
      </w:r>
      <w:r w:rsidRPr="003B4362">
        <w:tab/>
        <w:t xml:space="preserve">By </w:t>
      </w:r>
      <w:bookmarkStart w:id="3331" w:name="_Hlk12891979"/>
      <w:r w:rsidRPr="003B4362">
        <w:t>Liquid-Liquid Extraction, Gas Chromatography, Electron Capture Detector</w:t>
      </w:r>
      <w:bookmarkEnd w:id="3331"/>
      <w:r w:rsidRPr="003B4362">
        <w:t>.  USEPA 551.1 (95).</w:t>
      </w:r>
    </w:p>
    <w:p w14:paraId="3AAB3CCD" w14:textId="77777777" w:rsidR="00A854E0" w:rsidRDefault="00A854E0" w:rsidP="00A854E0">
      <w:pPr>
        <w:widowControl w:val="0"/>
        <w:ind w:left="2880" w:hanging="720"/>
      </w:pPr>
    </w:p>
    <w:p w14:paraId="730DB400" w14:textId="266CE573" w:rsidR="0016415F" w:rsidRPr="003B4362" w:rsidRDefault="0016415F" w:rsidP="00A854E0">
      <w:pPr>
        <w:widowControl w:val="0"/>
        <w:ind w:left="2880" w:hanging="720"/>
      </w:pPr>
      <w:r w:rsidRPr="003B4362">
        <w:t>B)</w:t>
      </w:r>
      <w:r w:rsidRPr="003B4362">
        <w:tab/>
        <w:t>HAA5</w:t>
      </w:r>
    </w:p>
    <w:p w14:paraId="314B7541" w14:textId="77777777" w:rsidR="00A854E0" w:rsidRDefault="00A854E0" w:rsidP="00A854E0">
      <w:pPr>
        <w:widowControl w:val="0"/>
        <w:ind w:left="3600" w:hanging="720"/>
      </w:pPr>
    </w:p>
    <w:p w14:paraId="6FBF50B8" w14:textId="56485E03" w:rsidR="0016415F" w:rsidRPr="003B4362" w:rsidRDefault="0016415F" w:rsidP="00A854E0">
      <w:pPr>
        <w:widowControl w:val="0"/>
        <w:ind w:left="3600" w:hanging="720"/>
      </w:pPr>
      <w:r w:rsidRPr="003B4362">
        <w:t>i)</w:t>
      </w:r>
      <w:r w:rsidRPr="003B4362">
        <w:tab/>
        <w:t>Liquid-Liquid Extraction</w:t>
      </w:r>
      <w:bookmarkStart w:id="3332" w:name="_Hlk12893394"/>
      <w:r w:rsidRPr="003B4362">
        <w:t xml:space="preserve"> (Diazomethane)</w:t>
      </w:r>
      <w:bookmarkEnd w:id="3332"/>
      <w:r w:rsidRPr="003B4362">
        <w:t xml:space="preserve">, Gas Chromatography, Electron Capture Detector.  </w:t>
      </w:r>
      <w:bookmarkStart w:id="3333" w:name="_Hlk12893434"/>
      <w:r w:rsidRPr="003B4362">
        <w:t>SM 6251 B (94) or SM 6251 B (07)</w:t>
      </w:r>
      <w:bookmarkEnd w:id="3333"/>
      <w:r w:rsidRPr="003B4362">
        <w:t>.</w:t>
      </w:r>
    </w:p>
    <w:p w14:paraId="7E045259" w14:textId="77777777" w:rsidR="00A854E0" w:rsidRDefault="00A854E0" w:rsidP="00A854E0">
      <w:pPr>
        <w:widowControl w:val="0"/>
        <w:ind w:left="3600" w:hanging="720"/>
      </w:pPr>
    </w:p>
    <w:p w14:paraId="19889244" w14:textId="36DE0220" w:rsidR="0016415F" w:rsidRPr="003B4362" w:rsidRDefault="0016415F" w:rsidP="00A854E0">
      <w:pPr>
        <w:widowControl w:val="0"/>
        <w:ind w:left="3600" w:hanging="720"/>
      </w:pPr>
      <w:r w:rsidRPr="003B4362">
        <w:t>ii)</w:t>
      </w:r>
      <w:r w:rsidRPr="003B4362">
        <w:tab/>
      </w:r>
      <w:bookmarkStart w:id="3334" w:name="_Hlk12893522"/>
      <w:r w:rsidRPr="003B4362">
        <w:t>Solid Phase Extractor (Acidic Methanol), Gas Chromatography, Electron Capture Detector</w:t>
      </w:r>
      <w:bookmarkEnd w:id="3334"/>
      <w:r w:rsidRPr="003B4362">
        <w:t xml:space="preserve">.  </w:t>
      </w:r>
      <w:bookmarkStart w:id="3335" w:name="_Hlk12893543"/>
      <w:r w:rsidRPr="003B4362">
        <w:t>USEPA 552.1 (92)</w:t>
      </w:r>
      <w:bookmarkEnd w:id="3335"/>
      <w:r w:rsidRPr="003B4362">
        <w:t>.</w:t>
      </w:r>
    </w:p>
    <w:p w14:paraId="2C64F985" w14:textId="77777777" w:rsidR="00A854E0" w:rsidRDefault="00A854E0" w:rsidP="00A854E0">
      <w:pPr>
        <w:widowControl w:val="0"/>
        <w:ind w:left="3600" w:hanging="720"/>
      </w:pPr>
    </w:p>
    <w:p w14:paraId="275FF214" w14:textId="06D8208A" w:rsidR="0016415F" w:rsidRPr="003B4362" w:rsidRDefault="0016415F" w:rsidP="00A854E0">
      <w:pPr>
        <w:widowControl w:val="0"/>
        <w:ind w:left="3600" w:hanging="720"/>
      </w:pPr>
      <w:r w:rsidRPr="003B4362">
        <w:t>iii)</w:t>
      </w:r>
      <w:r w:rsidRPr="003B4362">
        <w:tab/>
      </w:r>
      <w:bookmarkStart w:id="3336" w:name="_Hlk12893629"/>
      <w:r w:rsidRPr="003B4362">
        <w:t>Liquid-Liquid Extraction (Acidic Methanol), Gas Chromatography, Electron Capture Detector</w:t>
      </w:r>
      <w:bookmarkEnd w:id="3336"/>
      <w:r w:rsidRPr="003B4362">
        <w:t xml:space="preserve">.  </w:t>
      </w:r>
      <w:bookmarkStart w:id="3337" w:name="_Hlk12893657"/>
      <w:r w:rsidRPr="003B4362">
        <w:t>USEPA 552.2 (95) or 552.3 (03)</w:t>
      </w:r>
      <w:bookmarkEnd w:id="3337"/>
      <w:r w:rsidRPr="003B4362">
        <w:t>.</w:t>
      </w:r>
    </w:p>
    <w:p w14:paraId="7D02502A" w14:textId="77777777" w:rsidR="00A854E0" w:rsidRDefault="00A854E0" w:rsidP="00A854E0">
      <w:pPr>
        <w:widowControl w:val="0"/>
        <w:ind w:left="3600" w:hanging="720"/>
      </w:pPr>
    </w:p>
    <w:p w14:paraId="26D6A5A9" w14:textId="38C51D50" w:rsidR="0016415F" w:rsidRPr="003B4362" w:rsidRDefault="0016415F" w:rsidP="00A854E0">
      <w:pPr>
        <w:widowControl w:val="0"/>
        <w:ind w:left="3600" w:hanging="720"/>
      </w:pPr>
      <w:r w:rsidRPr="003B4362">
        <w:t>iv)</w:t>
      </w:r>
      <w:r w:rsidRPr="003B4362">
        <w:tab/>
      </w:r>
      <w:bookmarkStart w:id="3338" w:name="_Hlk12893967"/>
      <w:r w:rsidRPr="003B4362">
        <w:t>Ion Chromatography, Electrospray Ionization, Tandem Mass Spectrometry</w:t>
      </w:r>
      <w:bookmarkEnd w:id="3338"/>
      <w:r w:rsidRPr="003B4362">
        <w:t xml:space="preserve">.  </w:t>
      </w:r>
      <w:bookmarkStart w:id="3339" w:name="_Hlk12893994"/>
      <w:r w:rsidRPr="003B4362">
        <w:t>USEPA 557 (09)</w:t>
      </w:r>
      <w:bookmarkEnd w:id="3339"/>
      <w:r w:rsidRPr="003B4362">
        <w:t>.</w:t>
      </w:r>
    </w:p>
    <w:p w14:paraId="58158734" w14:textId="77777777" w:rsidR="00A854E0" w:rsidRDefault="00A854E0" w:rsidP="00A854E0">
      <w:pPr>
        <w:widowControl w:val="0"/>
        <w:ind w:left="3600" w:hanging="720"/>
      </w:pPr>
    </w:p>
    <w:p w14:paraId="139E074F" w14:textId="5CCA4DBF" w:rsidR="0016415F" w:rsidRPr="003B4362" w:rsidRDefault="0016415F" w:rsidP="00A854E0">
      <w:pPr>
        <w:widowControl w:val="0"/>
        <w:ind w:left="3600" w:hanging="720"/>
      </w:pPr>
      <w:r w:rsidRPr="003B4362">
        <w:t>v)</w:t>
      </w:r>
      <w:r w:rsidRPr="003B4362">
        <w:tab/>
      </w:r>
      <w:bookmarkStart w:id="3340" w:name="_Hlk12894221"/>
      <w:r w:rsidRPr="003B4362">
        <w:t>Two-Dimensional Ion Chromatography (IC) with Suppressed Conductivity Detection</w:t>
      </w:r>
      <w:bookmarkEnd w:id="3340"/>
      <w:r w:rsidRPr="003B4362">
        <w:t xml:space="preserve">.  </w:t>
      </w:r>
      <w:bookmarkStart w:id="3341" w:name="_Hlk12894264"/>
      <w:r w:rsidRPr="003B4362">
        <w:t>Thermo-Fisher 557.1 (17)</w:t>
      </w:r>
      <w:bookmarkEnd w:id="3341"/>
      <w:r w:rsidRPr="003B4362">
        <w:t>.</w:t>
      </w:r>
    </w:p>
    <w:p w14:paraId="4C49DFCC" w14:textId="77777777" w:rsidR="00A854E0" w:rsidRDefault="00A854E0" w:rsidP="00A854E0">
      <w:pPr>
        <w:widowControl w:val="0"/>
        <w:ind w:left="2880" w:hanging="720"/>
      </w:pPr>
    </w:p>
    <w:p w14:paraId="308B1D0B" w14:textId="4CF0C888" w:rsidR="0016415F" w:rsidRPr="003B4362" w:rsidRDefault="0016415F" w:rsidP="00A854E0">
      <w:pPr>
        <w:widowControl w:val="0"/>
        <w:ind w:left="2880" w:hanging="720"/>
      </w:pPr>
      <w:r w:rsidRPr="003B4362">
        <w:lastRenderedPageBreak/>
        <w:t>C)</w:t>
      </w:r>
      <w:r w:rsidRPr="003B4362">
        <w:tab/>
        <w:t>Bromate</w:t>
      </w:r>
    </w:p>
    <w:p w14:paraId="3EF7755E" w14:textId="77777777" w:rsidR="00A854E0" w:rsidRDefault="00A854E0" w:rsidP="00A854E0">
      <w:pPr>
        <w:widowControl w:val="0"/>
        <w:ind w:left="3600" w:hanging="720"/>
      </w:pPr>
    </w:p>
    <w:p w14:paraId="63E60370" w14:textId="491B7F82" w:rsidR="0016415F" w:rsidRPr="003B4362" w:rsidRDefault="0016415F" w:rsidP="00A854E0">
      <w:pPr>
        <w:widowControl w:val="0"/>
        <w:ind w:left="3600" w:hanging="720"/>
      </w:pPr>
      <w:r w:rsidRPr="003B4362">
        <w:t>i)</w:t>
      </w:r>
      <w:r w:rsidRPr="003B4362">
        <w:tab/>
      </w:r>
      <w:bookmarkStart w:id="3342" w:name="_Hlk12894395"/>
      <w:r w:rsidRPr="003B4362">
        <w:t>Ion Chromatography</w:t>
      </w:r>
      <w:bookmarkEnd w:id="3342"/>
      <w:r w:rsidRPr="003B4362">
        <w:t xml:space="preserve">.  ASTM D6581-00 or </w:t>
      </w:r>
      <w:bookmarkStart w:id="3343" w:name="_Hlk12894437"/>
      <w:r w:rsidRPr="003B4362">
        <w:t>USEPA 300.1 (97)</w:t>
      </w:r>
      <w:bookmarkEnd w:id="3343"/>
      <w:r w:rsidRPr="003B4362">
        <w:t>.</w:t>
      </w:r>
    </w:p>
    <w:p w14:paraId="618E7B28" w14:textId="77777777" w:rsidR="00A854E0" w:rsidRDefault="00A854E0" w:rsidP="00A854E0">
      <w:pPr>
        <w:widowControl w:val="0"/>
        <w:ind w:left="3600" w:hanging="720"/>
      </w:pPr>
    </w:p>
    <w:p w14:paraId="0A1ED4BB" w14:textId="365E7A81" w:rsidR="0016415F" w:rsidRPr="003B4362" w:rsidRDefault="0016415F" w:rsidP="00A854E0">
      <w:pPr>
        <w:widowControl w:val="0"/>
        <w:ind w:left="3600" w:hanging="720"/>
      </w:pPr>
      <w:r w:rsidRPr="003B4362">
        <w:t>ii)</w:t>
      </w:r>
      <w:r w:rsidRPr="003B4362">
        <w:tab/>
        <w:t>Ion Chromatography</w:t>
      </w:r>
      <w:bookmarkStart w:id="3344" w:name="_Hlk12894641"/>
      <w:r w:rsidRPr="003B4362">
        <w:t xml:space="preserve"> and Post-Column Reaction</w:t>
      </w:r>
      <w:bookmarkEnd w:id="3344"/>
      <w:r w:rsidRPr="003B4362">
        <w:t xml:space="preserve">.  </w:t>
      </w:r>
      <w:bookmarkStart w:id="3345" w:name="_Hlk12894668"/>
      <w:r w:rsidRPr="003B4362">
        <w:t>USEPA 317.0 (01) or USEPA 326.0 (02)</w:t>
      </w:r>
      <w:bookmarkEnd w:id="3345"/>
      <w:r w:rsidRPr="003B4362">
        <w:t>.</w:t>
      </w:r>
    </w:p>
    <w:p w14:paraId="4DADE24B" w14:textId="77777777" w:rsidR="00A854E0" w:rsidRDefault="00A854E0" w:rsidP="00A854E0">
      <w:pPr>
        <w:widowControl w:val="0"/>
        <w:ind w:left="3600" w:hanging="720"/>
      </w:pPr>
    </w:p>
    <w:p w14:paraId="5BD3B2C5" w14:textId="321794A2" w:rsidR="0016415F" w:rsidRPr="003B4362" w:rsidRDefault="0016415F" w:rsidP="00A854E0">
      <w:pPr>
        <w:widowControl w:val="0"/>
        <w:ind w:left="3600" w:hanging="720"/>
      </w:pPr>
      <w:r w:rsidRPr="003B4362">
        <w:t>iii)</w:t>
      </w:r>
      <w:r w:rsidRPr="003B4362">
        <w:tab/>
      </w:r>
      <w:bookmarkStart w:id="3346" w:name="_Hlk12894838"/>
      <w:r w:rsidRPr="003B4362">
        <w:t>Inductively Coupled Plasma-Mass Spectrometer</w:t>
      </w:r>
      <w:bookmarkEnd w:id="3346"/>
      <w:r w:rsidRPr="003B4362">
        <w:t xml:space="preserve">.  </w:t>
      </w:r>
      <w:bookmarkStart w:id="3347" w:name="_Hlk12894880"/>
      <w:r w:rsidRPr="003B4362">
        <w:t>USEPA 321.8 (97)</w:t>
      </w:r>
      <w:bookmarkEnd w:id="3347"/>
      <w:r w:rsidRPr="003B4362">
        <w:t>.</w:t>
      </w:r>
    </w:p>
    <w:p w14:paraId="01758C59" w14:textId="77777777" w:rsidR="00A854E0" w:rsidRDefault="00A854E0" w:rsidP="00A854E0">
      <w:pPr>
        <w:widowControl w:val="0"/>
        <w:ind w:left="3600" w:hanging="720"/>
      </w:pPr>
    </w:p>
    <w:p w14:paraId="637E092E" w14:textId="22CF301D" w:rsidR="0016415F" w:rsidRPr="003B4362" w:rsidRDefault="0016415F" w:rsidP="00A854E0">
      <w:pPr>
        <w:widowControl w:val="0"/>
        <w:ind w:left="3600" w:hanging="720"/>
      </w:pPr>
      <w:r w:rsidRPr="003B4362">
        <w:t>iv)</w:t>
      </w:r>
      <w:r w:rsidRPr="003B4362">
        <w:tab/>
      </w:r>
      <w:bookmarkStart w:id="3348" w:name="_Hlk12894993"/>
      <w:r w:rsidRPr="003B4362">
        <w:t>Two-Dimensional Ion Chromatography</w:t>
      </w:r>
      <w:bookmarkEnd w:id="3348"/>
      <w:r w:rsidRPr="003B4362">
        <w:t xml:space="preserve">.  </w:t>
      </w:r>
      <w:bookmarkStart w:id="3349" w:name="_Hlk12895022"/>
      <w:r w:rsidRPr="003B4362">
        <w:t>USEPA 302.0 (09)</w:t>
      </w:r>
      <w:bookmarkEnd w:id="3349"/>
      <w:r w:rsidRPr="003B4362">
        <w:t>.</w:t>
      </w:r>
    </w:p>
    <w:p w14:paraId="34D44E65" w14:textId="77777777" w:rsidR="00A854E0" w:rsidRDefault="00A854E0" w:rsidP="00A854E0">
      <w:pPr>
        <w:widowControl w:val="0"/>
        <w:ind w:left="3600" w:hanging="720"/>
      </w:pPr>
    </w:p>
    <w:p w14:paraId="75330CD7" w14:textId="1595F492" w:rsidR="0016415F" w:rsidRPr="003B4362" w:rsidRDefault="0016415F" w:rsidP="00A854E0">
      <w:pPr>
        <w:widowControl w:val="0"/>
        <w:ind w:left="3600" w:hanging="720"/>
      </w:pPr>
      <w:r w:rsidRPr="003B4362">
        <w:t>v)</w:t>
      </w:r>
      <w:r w:rsidRPr="003B4362">
        <w:tab/>
      </w:r>
      <w:bookmarkStart w:id="3350" w:name="_Hlk12895103"/>
      <w:r w:rsidRPr="003B4362">
        <w:t>Ion Chromatography, Electrospray Ionization, Tandem Mass Spectrometry</w:t>
      </w:r>
      <w:bookmarkEnd w:id="3350"/>
      <w:r w:rsidRPr="003B4362">
        <w:t xml:space="preserve">.  </w:t>
      </w:r>
      <w:bookmarkStart w:id="3351" w:name="_Hlk12895128"/>
      <w:r w:rsidRPr="003B4362">
        <w:t>USEPA 557 (09)</w:t>
      </w:r>
      <w:bookmarkEnd w:id="3351"/>
      <w:r w:rsidRPr="003B4362">
        <w:t>.</w:t>
      </w:r>
    </w:p>
    <w:p w14:paraId="06B464BE" w14:textId="77777777" w:rsidR="00A854E0" w:rsidRDefault="00A854E0" w:rsidP="00A854E0">
      <w:pPr>
        <w:widowControl w:val="0"/>
        <w:ind w:left="3600" w:hanging="720"/>
      </w:pPr>
    </w:p>
    <w:p w14:paraId="428079DC" w14:textId="4FD0575D" w:rsidR="0016415F" w:rsidRPr="003B4362" w:rsidRDefault="0016415F" w:rsidP="00A854E0">
      <w:pPr>
        <w:widowControl w:val="0"/>
        <w:ind w:left="3600" w:hanging="720"/>
      </w:pPr>
      <w:r w:rsidRPr="003B4362">
        <w:t>vi)</w:t>
      </w:r>
      <w:r w:rsidRPr="003B4362">
        <w:tab/>
      </w:r>
      <w:bookmarkStart w:id="3352" w:name="_Hlk12895249"/>
      <w:r w:rsidRPr="003B4362">
        <w:t>Chemically Suppressed Chromatography</w:t>
      </w:r>
      <w:bookmarkEnd w:id="3352"/>
      <w:r w:rsidRPr="003B4362">
        <w:t xml:space="preserve">.  </w:t>
      </w:r>
      <w:bookmarkStart w:id="3353" w:name="_Hlk12895282"/>
      <w:r w:rsidRPr="003B4362">
        <w:t>ASTM D6581-08 A</w:t>
      </w:r>
      <w:bookmarkEnd w:id="3353"/>
      <w:r w:rsidRPr="003B4362">
        <w:t>.</w:t>
      </w:r>
    </w:p>
    <w:p w14:paraId="208CBD46" w14:textId="77777777" w:rsidR="00A854E0" w:rsidRDefault="00A854E0" w:rsidP="00A854E0">
      <w:pPr>
        <w:widowControl w:val="0"/>
        <w:ind w:left="3600" w:hanging="720"/>
      </w:pPr>
    </w:p>
    <w:p w14:paraId="55CFBA2C" w14:textId="51896FA4" w:rsidR="0016415F" w:rsidRPr="003B4362" w:rsidRDefault="0016415F" w:rsidP="00A854E0">
      <w:pPr>
        <w:widowControl w:val="0"/>
        <w:ind w:left="3600" w:hanging="720"/>
      </w:pPr>
      <w:r w:rsidRPr="003B4362">
        <w:t>vii)</w:t>
      </w:r>
      <w:r w:rsidRPr="003B4362">
        <w:tab/>
      </w:r>
      <w:bookmarkStart w:id="3354" w:name="_Hlk12895348"/>
      <w:r w:rsidRPr="003B4362">
        <w:t>Electrolytically Suppressed Chromatography</w:t>
      </w:r>
      <w:bookmarkEnd w:id="3354"/>
      <w:r w:rsidRPr="003B4362">
        <w:t xml:space="preserve">.  </w:t>
      </w:r>
      <w:bookmarkStart w:id="3355" w:name="_Hlk12895366"/>
      <w:r w:rsidRPr="003B4362">
        <w:t>ASTM D6581-08 B</w:t>
      </w:r>
      <w:bookmarkEnd w:id="3355"/>
      <w:r w:rsidRPr="003B4362">
        <w:t>.</w:t>
      </w:r>
    </w:p>
    <w:p w14:paraId="5DAE407A" w14:textId="77777777" w:rsidR="00A854E0" w:rsidRDefault="00A854E0" w:rsidP="00A854E0">
      <w:pPr>
        <w:widowControl w:val="0"/>
        <w:ind w:left="2880"/>
      </w:pPr>
    </w:p>
    <w:p w14:paraId="1D260E3E" w14:textId="5245DFF9" w:rsidR="0016415F" w:rsidRPr="003B4362" w:rsidRDefault="0016415F" w:rsidP="00A854E0">
      <w:pPr>
        <w:widowControl w:val="0"/>
        <w:ind w:left="2880"/>
      </w:pPr>
      <w:r w:rsidRPr="003B4362">
        <w:t>BOARD NOTE:  T</w:t>
      </w:r>
      <w:bookmarkStart w:id="3356" w:name="_Hlk132203055"/>
      <w:r w:rsidRPr="003B4362">
        <w:t xml:space="preserve">he supplier must use ion chromatography and post column reaction or inductively coupled plasma-mass spectrometry </w:t>
      </w:r>
      <w:r w:rsidR="008C4573" w:rsidRPr="003B4362">
        <w:t xml:space="preserve">to monitor </w:t>
      </w:r>
      <w:bookmarkStart w:id="3357" w:name="_Hlk132203191"/>
      <w:bookmarkEnd w:id="3356"/>
      <w:r w:rsidRPr="003B4362">
        <w:t>bromate</w:t>
      </w:r>
      <w:bookmarkEnd w:id="3357"/>
      <w:r w:rsidRPr="003B4362">
        <w:t xml:space="preserve"> </w:t>
      </w:r>
      <w:bookmarkStart w:id="3358" w:name="_Hlk132203268"/>
      <w:r w:rsidRPr="003B4362">
        <w:t>to demonstrate eligibility for reduced monitoring under Section 611.382(b)(3)(B)</w:t>
      </w:r>
      <w:bookmarkEnd w:id="3358"/>
      <w:r w:rsidRPr="003B4362">
        <w:t xml:space="preserve">.  For inductively coupled plasma-mass spectrometry, </w:t>
      </w:r>
      <w:bookmarkStart w:id="3359" w:name="_Hlk132205700"/>
      <w:r w:rsidRPr="003B4362">
        <w:t xml:space="preserve">the supplier must preserve samples </w:t>
      </w:r>
      <w:bookmarkEnd w:id="3359"/>
      <w:r w:rsidRPr="003B4362">
        <w:t xml:space="preserve">at the time of sampling with 50 mg ethylenediamine (EDA) per liter of sample, and </w:t>
      </w:r>
      <w:bookmarkStart w:id="3360" w:name="_Hlk132205895"/>
      <w:r w:rsidRPr="003B4362">
        <w:t xml:space="preserve">the supplier must analyze the samples </w:t>
      </w:r>
      <w:bookmarkEnd w:id="3360"/>
      <w:r w:rsidRPr="003B4362">
        <w:t>within 28 days.</w:t>
      </w:r>
    </w:p>
    <w:p w14:paraId="09251D8F" w14:textId="77777777" w:rsidR="00A854E0" w:rsidRDefault="00A854E0" w:rsidP="00A854E0">
      <w:pPr>
        <w:widowControl w:val="0"/>
        <w:ind w:left="2880" w:hanging="720"/>
      </w:pPr>
    </w:p>
    <w:p w14:paraId="57FD1559" w14:textId="00EC6D2E" w:rsidR="0016415F" w:rsidRPr="003B4362" w:rsidRDefault="0016415F" w:rsidP="00A854E0">
      <w:pPr>
        <w:widowControl w:val="0"/>
        <w:ind w:left="2880" w:hanging="720"/>
      </w:pPr>
      <w:r w:rsidRPr="003B4362">
        <w:t>D)</w:t>
      </w:r>
      <w:r w:rsidRPr="003B4362">
        <w:tab/>
        <w:t>Chlorite</w:t>
      </w:r>
    </w:p>
    <w:p w14:paraId="401847B6" w14:textId="77777777" w:rsidR="00A854E0" w:rsidRDefault="00A854E0" w:rsidP="00A854E0">
      <w:pPr>
        <w:widowControl w:val="0"/>
        <w:ind w:left="3600" w:hanging="720"/>
      </w:pPr>
    </w:p>
    <w:p w14:paraId="2328D359" w14:textId="6FEBB1FE" w:rsidR="0016415F" w:rsidRPr="003B4362" w:rsidRDefault="0016415F" w:rsidP="00A854E0">
      <w:pPr>
        <w:widowControl w:val="0"/>
        <w:ind w:left="3600" w:hanging="720"/>
      </w:pPr>
      <w:r w:rsidRPr="003B4362">
        <w:t>i)</w:t>
      </w:r>
      <w:r w:rsidRPr="003B4362">
        <w:tab/>
      </w:r>
      <w:bookmarkStart w:id="3361" w:name="_Hlk12895530"/>
      <w:r w:rsidRPr="003B4362">
        <w:t xml:space="preserve">Amperometric Titration for Daily Monitoring </w:t>
      </w:r>
      <w:bookmarkEnd w:id="3361"/>
      <w:r w:rsidRPr="003B4362">
        <w:t xml:space="preserve">Under </w:t>
      </w:r>
      <w:bookmarkStart w:id="3362" w:name="_Hlk12895554"/>
      <w:r w:rsidRPr="003B4362">
        <w:t>Section 611.382(b)(2)(A)(i)</w:t>
      </w:r>
      <w:bookmarkEnd w:id="3362"/>
      <w:r w:rsidRPr="003B4362">
        <w:t xml:space="preserve">.  </w:t>
      </w:r>
      <w:bookmarkStart w:id="3363" w:name="_Hlk12895576"/>
      <w:r w:rsidRPr="003B4362">
        <w:t xml:space="preserve">SM </w:t>
      </w:r>
      <w:bookmarkStart w:id="3364" w:name="_Hlk3884024"/>
      <w:r w:rsidRPr="003B4362">
        <w:t>4500</w:t>
      </w:r>
      <w:r w:rsidRPr="003B4362">
        <w:noBreakHyphen/>
        <w:t>ClO</w:t>
      </w:r>
      <w:r w:rsidRPr="003B4362">
        <w:rPr>
          <w:vertAlign w:val="subscript"/>
        </w:rPr>
        <w:t>2</w:t>
      </w:r>
      <w:r w:rsidRPr="003B4362">
        <w:t xml:space="preserve"> E</w:t>
      </w:r>
      <w:bookmarkEnd w:id="3364"/>
      <w:r w:rsidRPr="003B4362">
        <w:t xml:space="preserve"> (93) or 4500-ClO</w:t>
      </w:r>
      <w:r w:rsidRPr="003B4362">
        <w:rPr>
          <w:vertAlign w:val="subscript"/>
        </w:rPr>
        <w:t>2</w:t>
      </w:r>
      <w:r w:rsidRPr="003B4362">
        <w:t xml:space="preserve"> E (00)</w:t>
      </w:r>
      <w:bookmarkEnd w:id="3363"/>
      <w:r w:rsidRPr="003B4362">
        <w:t>.</w:t>
      </w:r>
    </w:p>
    <w:p w14:paraId="231C2A3C" w14:textId="77777777" w:rsidR="00A854E0" w:rsidRDefault="00A854E0" w:rsidP="00A854E0">
      <w:pPr>
        <w:widowControl w:val="0"/>
        <w:ind w:left="3600" w:hanging="720"/>
      </w:pPr>
    </w:p>
    <w:p w14:paraId="7040B2E7" w14:textId="7E83D8AC" w:rsidR="0016415F" w:rsidRPr="003B4362" w:rsidRDefault="0016415F" w:rsidP="00A854E0">
      <w:pPr>
        <w:widowControl w:val="0"/>
        <w:ind w:left="3600" w:hanging="720"/>
      </w:pPr>
      <w:r w:rsidRPr="003B4362">
        <w:t>ii)</w:t>
      </w:r>
      <w:r w:rsidRPr="003B4362">
        <w:tab/>
        <w:t xml:space="preserve">Amperometric </w:t>
      </w:r>
      <w:bookmarkStart w:id="3365" w:name="_Hlk12896604"/>
      <w:r w:rsidRPr="003B4362">
        <w:t>Sensor</w:t>
      </w:r>
      <w:bookmarkEnd w:id="3365"/>
      <w:r w:rsidRPr="003B4362">
        <w:t xml:space="preserve"> for Daily Monitoring Under Section 611.382(b)(2)(A)(i).  </w:t>
      </w:r>
      <w:bookmarkStart w:id="3366" w:name="_Hlk12896660"/>
      <w:r w:rsidRPr="003B4362">
        <w:t>Palintest ChlordioX Plus (13)</w:t>
      </w:r>
      <w:bookmarkEnd w:id="3366"/>
      <w:r w:rsidR="00077E72" w:rsidRPr="003B4362">
        <w:t xml:space="preserve"> or Palintest ChlordioX Plus (20)</w:t>
      </w:r>
      <w:r w:rsidRPr="003B4362">
        <w:t>.</w:t>
      </w:r>
    </w:p>
    <w:p w14:paraId="5D8888A6" w14:textId="77777777" w:rsidR="00A854E0" w:rsidRDefault="00A854E0" w:rsidP="00A854E0">
      <w:pPr>
        <w:widowControl w:val="0"/>
        <w:ind w:left="3600" w:hanging="720"/>
      </w:pPr>
    </w:p>
    <w:p w14:paraId="7D1C433F" w14:textId="0A8CFB12" w:rsidR="0016415F" w:rsidRPr="003B4362" w:rsidRDefault="0016415F" w:rsidP="00A854E0">
      <w:pPr>
        <w:widowControl w:val="0"/>
        <w:ind w:left="3600" w:hanging="720"/>
      </w:pPr>
      <w:r w:rsidRPr="003B4362">
        <w:t>iii)</w:t>
      </w:r>
      <w:r w:rsidRPr="003B4362">
        <w:tab/>
      </w:r>
      <w:bookmarkStart w:id="3367" w:name="_Hlk12896796"/>
      <w:r w:rsidRPr="003B4362">
        <w:t>Spectrophotometry</w:t>
      </w:r>
      <w:bookmarkEnd w:id="3367"/>
      <w:r w:rsidRPr="003B4362">
        <w:t xml:space="preserve">.  </w:t>
      </w:r>
      <w:bookmarkStart w:id="3368" w:name="_Hlk12896885"/>
      <w:r w:rsidRPr="003B4362">
        <w:t>USEPA 327.0 (05)</w:t>
      </w:r>
      <w:bookmarkEnd w:id="3368"/>
      <w:r w:rsidRPr="003B4362">
        <w:t>.</w:t>
      </w:r>
    </w:p>
    <w:p w14:paraId="4AAF410E" w14:textId="77777777" w:rsidR="00A854E0" w:rsidRDefault="00A854E0" w:rsidP="00A854E0">
      <w:pPr>
        <w:widowControl w:val="0"/>
        <w:ind w:left="3600" w:hanging="720"/>
      </w:pPr>
    </w:p>
    <w:p w14:paraId="404CC77D" w14:textId="59EF4176" w:rsidR="0016415F" w:rsidRPr="003B4362" w:rsidRDefault="0016415F" w:rsidP="00A854E0">
      <w:pPr>
        <w:widowControl w:val="0"/>
        <w:ind w:left="3600" w:hanging="720"/>
      </w:pPr>
      <w:r w:rsidRPr="003B4362">
        <w:t>iv)</w:t>
      </w:r>
      <w:r w:rsidRPr="003B4362">
        <w:tab/>
      </w:r>
      <w:bookmarkStart w:id="3369" w:name="_Hlk12897041"/>
      <w:r w:rsidRPr="003B4362">
        <w:t>Ion Chromatography</w:t>
      </w:r>
      <w:bookmarkEnd w:id="3369"/>
      <w:r w:rsidRPr="003B4362">
        <w:t xml:space="preserve">.  </w:t>
      </w:r>
      <w:bookmarkStart w:id="3370" w:name="_Hlk36911644"/>
      <w:bookmarkStart w:id="3371" w:name="_Hlk12897092"/>
      <w:r w:rsidRPr="003B4362">
        <w:t>USEPA 300.0 (09)</w:t>
      </w:r>
      <w:bookmarkEnd w:id="3370"/>
      <w:r w:rsidRPr="003B4362">
        <w:t xml:space="preserve">, USEPA 300.1 </w:t>
      </w:r>
      <w:r w:rsidRPr="003B4362">
        <w:lastRenderedPageBreak/>
        <w:t>(97), USEPA 317.0 (01), USEPA 326.0 (02), or ASTM  D6581-00</w:t>
      </w:r>
      <w:bookmarkEnd w:id="3371"/>
      <w:r w:rsidRPr="003B4362">
        <w:t>.</w:t>
      </w:r>
    </w:p>
    <w:p w14:paraId="2D9FC315" w14:textId="77777777" w:rsidR="00A854E0" w:rsidRDefault="00A854E0" w:rsidP="00A854E0">
      <w:pPr>
        <w:widowControl w:val="0"/>
        <w:ind w:left="3600" w:hanging="720"/>
      </w:pPr>
    </w:p>
    <w:p w14:paraId="5C8DED23" w14:textId="405F9339" w:rsidR="0016415F" w:rsidRPr="003B4362" w:rsidRDefault="0016415F" w:rsidP="00A854E0">
      <w:pPr>
        <w:widowControl w:val="0"/>
        <w:ind w:left="3600" w:hanging="720"/>
      </w:pPr>
      <w:r w:rsidRPr="003B4362">
        <w:t>v)</w:t>
      </w:r>
      <w:r w:rsidRPr="003B4362">
        <w:tab/>
      </w:r>
      <w:bookmarkStart w:id="3372" w:name="_Hlk12898344"/>
      <w:r w:rsidRPr="003B4362">
        <w:t>Chemically Suppressed Chromatography</w:t>
      </w:r>
      <w:bookmarkEnd w:id="3372"/>
      <w:r w:rsidRPr="003B4362">
        <w:t xml:space="preserve">.  </w:t>
      </w:r>
      <w:bookmarkStart w:id="3373" w:name="_Hlk12898360"/>
      <w:r w:rsidRPr="003B4362">
        <w:t>ASTM D6581-08 A</w:t>
      </w:r>
      <w:bookmarkEnd w:id="3373"/>
      <w:r w:rsidRPr="003B4362">
        <w:t>.</w:t>
      </w:r>
    </w:p>
    <w:p w14:paraId="0DF0FC27" w14:textId="77777777" w:rsidR="00A854E0" w:rsidRDefault="00A854E0" w:rsidP="00A854E0">
      <w:pPr>
        <w:widowControl w:val="0"/>
        <w:ind w:left="3600" w:hanging="720"/>
      </w:pPr>
    </w:p>
    <w:p w14:paraId="4BCF32AD" w14:textId="650BBA25" w:rsidR="0016415F" w:rsidRPr="003B4362" w:rsidRDefault="0016415F" w:rsidP="00A854E0">
      <w:pPr>
        <w:widowControl w:val="0"/>
        <w:ind w:left="3600" w:hanging="720"/>
      </w:pPr>
      <w:r w:rsidRPr="003B4362">
        <w:t>vi)</w:t>
      </w:r>
      <w:r w:rsidRPr="003B4362">
        <w:tab/>
      </w:r>
      <w:bookmarkStart w:id="3374" w:name="_Hlk12898427"/>
      <w:r w:rsidRPr="003B4362">
        <w:t>Electrolytically Suppressed Chromatography</w:t>
      </w:r>
      <w:bookmarkEnd w:id="3374"/>
      <w:r w:rsidRPr="003B4362">
        <w:t xml:space="preserve">.  </w:t>
      </w:r>
      <w:bookmarkStart w:id="3375" w:name="_Hlk12898458"/>
      <w:r w:rsidRPr="003B4362">
        <w:t>ASTM D6581-08 B</w:t>
      </w:r>
      <w:bookmarkEnd w:id="3375"/>
      <w:r w:rsidRPr="003B4362">
        <w:t>.</w:t>
      </w:r>
    </w:p>
    <w:p w14:paraId="152FBF4D" w14:textId="77777777" w:rsidR="00A854E0" w:rsidRDefault="00A854E0" w:rsidP="00A854E0">
      <w:pPr>
        <w:widowControl w:val="0"/>
        <w:ind w:left="2880"/>
      </w:pPr>
    </w:p>
    <w:p w14:paraId="66D80451" w14:textId="71062E6B" w:rsidR="0016415F" w:rsidRPr="003B4362" w:rsidRDefault="0016415F" w:rsidP="00A854E0">
      <w:pPr>
        <w:widowControl w:val="0"/>
        <w:ind w:left="2880"/>
      </w:pPr>
      <w:r w:rsidRPr="003B4362">
        <w:t>BOARD NOTE:  T</w:t>
      </w:r>
      <w:bookmarkStart w:id="3376" w:name="_Hlk132206027"/>
      <w:r w:rsidRPr="003B4362">
        <w:t xml:space="preserve">he supplier may use amperometric titration or spectrophotometry </w:t>
      </w:r>
      <w:bookmarkEnd w:id="3376"/>
      <w:r w:rsidRPr="003B4362">
        <w:t xml:space="preserve">for routine daily monitoring of chlorite at the entrance to the distribution system </w:t>
      </w:r>
      <w:bookmarkStart w:id="3377" w:name="_Hlk132206145"/>
      <w:r w:rsidRPr="003B4362">
        <w:t>under Section 611.382(b)(2)(A)(i)</w:t>
      </w:r>
      <w:bookmarkEnd w:id="3377"/>
      <w:r w:rsidRPr="003B4362">
        <w:t>.  T</w:t>
      </w:r>
      <w:bookmarkStart w:id="3378" w:name="_Hlk132206210"/>
      <w:r w:rsidRPr="003B4362">
        <w:t xml:space="preserve">he supplier must use ion chromatography </w:t>
      </w:r>
      <w:bookmarkEnd w:id="3378"/>
      <w:r w:rsidRPr="003B4362">
        <w:t xml:space="preserve">for routine </w:t>
      </w:r>
      <w:bookmarkStart w:id="3379" w:name="_Hlk132206272"/>
      <w:r w:rsidRPr="003B4362">
        <w:t xml:space="preserve">monthly chlorite monitoring and additional chlorite monitoring </w:t>
      </w:r>
      <w:bookmarkEnd w:id="3379"/>
      <w:r w:rsidRPr="003B4362">
        <w:t xml:space="preserve">in the distribution system, </w:t>
      </w:r>
      <w:bookmarkStart w:id="3380" w:name="_Hlk132206332"/>
      <w:r w:rsidRPr="003B4362">
        <w:t>as Section 611.382(b)(2)(A)(ii) and (b)(2)(B) require</w:t>
      </w:r>
      <w:bookmarkEnd w:id="3380"/>
      <w:r w:rsidRPr="003B4362">
        <w:t>.</w:t>
      </w:r>
    </w:p>
    <w:p w14:paraId="71689734" w14:textId="77777777" w:rsidR="00A854E0" w:rsidRDefault="00A854E0" w:rsidP="00A854E0">
      <w:pPr>
        <w:widowControl w:val="0"/>
        <w:suppressAutoHyphens/>
        <w:ind w:left="2160" w:hanging="720"/>
        <w:rPr>
          <w:spacing w:val="-2"/>
        </w:rPr>
      </w:pPr>
    </w:p>
    <w:p w14:paraId="082A7FBB" w14:textId="63CAAD56" w:rsidR="0016415F" w:rsidRPr="003B4362" w:rsidRDefault="0016415F" w:rsidP="00A854E0">
      <w:pPr>
        <w:widowControl w:val="0"/>
        <w:suppressAutoHyphens/>
        <w:ind w:left="2160" w:hanging="720"/>
        <w:rPr>
          <w:spacing w:val="-2"/>
        </w:rPr>
      </w:pPr>
      <w:r w:rsidRPr="003B4362">
        <w:rPr>
          <w:spacing w:val="-2"/>
        </w:rPr>
        <w:t>2)</w:t>
      </w:r>
      <w:r w:rsidRPr="003B4362">
        <w:rPr>
          <w:spacing w:val="-2"/>
        </w:rPr>
        <w:tab/>
      </w:r>
      <w:r w:rsidRPr="003B4362">
        <w:t>O</w:t>
      </w:r>
      <w:bookmarkStart w:id="3381" w:name="_Hlk132206550"/>
      <w:r w:rsidRPr="003B4362">
        <w:t xml:space="preserve">nly a certified laboratory in one of the categories in Section 611.490(a) may conduct analyses </w:t>
      </w:r>
      <w:r w:rsidRPr="003B4362">
        <w:rPr>
          <w:spacing w:val="-2"/>
        </w:rPr>
        <w:t xml:space="preserve">for </w:t>
      </w:r>
      <w:r w:rsidRPr="003B4362">
        <w:t xml:space="preserve">DBPs under this Section </w:t>
      </w:r>
      <w:bookmarkStart w:id="3382" w:name="_Hlk132206643"/>
      <w:bookmarkEnd w:id="3381"/>
      <w:r w:rsidRPr="003B4362">
        <w:t>except as subsection (b)(3) specifies otherwise</w:t>
      </w:r>
      <w:bookmarkEnd w:id="3382"/>
      <w:r w:rsidRPr="003B4362">
        <w:rPr>
          <w:spacing w:val="-2"/>
        </w:rPr>
        <w:t xml:space="preserve">.  To receive certification to conduct analyses for the </w:t>
      </w:r>
      <w:bookmarkStart w:id="3383" w:name="_Hlk132206732"/>
      <w:r w:rsidRPr="003B4362">
        <w:rPr>
          <w:spacing w:val="-2"/>
        </w:rPr>
        <w:t xml:space="preserve">DBP contaminants in Sections 611.312 and </w:t>
      </w:r>
      <w:r w:rsidRPr="003B4362">
        <w:t>611.381</w:t>
      </w:r>
      <w:bookmarkEnd w:id="3383"/>
      <w:r w:rsidRPr="003B4362">
        <w:rPr>
          <w:spacing w:val="-2"/>
        </w:rPr>
        <w:t xml:space="preserve"> and </w:t>
      </w:r>
      <w:r w:rsidRPr="003B4362">
        <w:t>S</w:t>
      </w:r>
      <w:r w:rsidRPr="003B4362">
        <w:rPr>
          <w:spacing w:val="-2"/>
        </w:rPr>
        <w:t xml:space="preserve">ubparts </w:t>
      </w:r>
      <w:r w:rsidRPr="003B4362">
        <w:t>W</w:t>
      </w:r>
      <w:r w:rsidRPr="003B4362">
        <w:rPr>
          <w:spacing w:val="-2"/>
        </w:rPr>
        <w:t xml:space="preserve"> and </w:t>
      </w:r>
      <w:r w:rsidRPr="003B4362">
        <w:t>Y</w:t>
      </w:r>
      <w:r w:rsidRPr="003B4362">
        <w:rPr>
          <w:spacing w:val="-2"/>
        </w:rPr>
        <w:t>, the laboratory must</w:t>
      </w:r>
      <w:r w:rsidRPr="003B4362">
        <w:t xml:space="preserve"> </w:t>
      </w:r>
      <w:bookmarkStart w:id="3384" w:name="_Hlk132206775"/>
      <w:r w:rsidRPr="003B4362">
        <w:t>fulfill the specific conditions in subsections (b)(2)(A), (b)(2)(C), and (b)(2)(D)</w:t>
      </w:r>
      <w:bookmarkEnd w:id="3384"/>
      <w:r w:rsidRPr="003B4362">
        <w:t>.</w:t>
      </w:r>
    </w:p>
    <w:p w14:paraId="708B18CB" w14:textId="77777777" w:rsidR="00A854E0" w:rsidRDefault="00A854E0" w:rsidP="00A854E0">
      <w:pPr>
        <w:widowControl w:val="0"/>
        <w:ind w:left="2880" w:hanging="720"/>
        <w:rPr>
          <w:szCs w:val="18"/>
        </w:rPr>
      </w:pPr>
    </w:p>
    <w:p w14:paraId="6172D66A" w14:textId="547D935C" w:rsidR="0016415F" w:rsidRPr="003B4362" w:rsidRDefault="0016415F" w:rsidP="00A854E0">
      <w:pPr>
        <w:widowControl w:val="0"/>
        <w:ind w:left="2880" w:hanging="720"/>
        <w:rPr>
          <w:szCs w:val="18"/>
        </w:rPr>
      </w:pPr>
      <w:r w:rsidRPr="003B4362">
        <w:rPr>
          <w:szCs w:val="18"/>
        </w:rPr>
        <w:t>A)</w:t>
      </w:r>
      <w:r w:rsidRPr="003B4362">
        <w:rPr>
          <w:szCs w:val="18"/>
        </w:rPr>
        <w:tab/>
        <w:t xml:space="preserve">The laboratory must analyze performance evaluation (PE) </w:t>
      </w:r>
      <w:bookmarkStart w:id="3385" w:name="_Hlk132206864"/>
      <w:r w:rsidRPr="003B4362">
        <w:rPr>
          <w:szCs w:val="18"/>
        </w:rPr>
        <w:t>samples acceptable to the Agency</w:t>
      </w:r>
      <w:bookmarkEnd w:id="3385"/>
      <w:r w:rsidRPr="003B4362">
        <w:rPr>
          <w:szCs w:val="18"/>
        </w:rPr>
        <w:t xml:space="preserve"> at least once during each consecutive 12-month period by each method </w:t>
      </w:r>
      <w:bookmarkStart w:id="3386" w:name="_Hlk132207038"/>
      <w:r w:rsidRPr="003B4362">
        <w:rPr>
          <w:szCs w:val="18"/>
        </w:rPr>
        <w:t>for which the laboratory seeks certification</w:t>
      </w:r>
      <w:bookmarkEnd w:id="3386"/>
      <w:r w:rsidRPr="003B4362">
        <w:rPr>
          <w:szCs w:val="18"/>
        </w:rPr>
        <w:t>.</w:t>
      </w:r>
    </w:p>
    <w:p w14:paraId="61EC5144" w14:textId="77777777" w:rsidR="00A854E0" w:rsidRDefault="00A854E0" w:rsidP="00A854E0">
      <w:pPr>
        <w:widowControl w:val="0"/>
        <w:ind w:left="2880" w:hanging="720"/>
        <w:rPr>
          <w:szCs w:val="18"/>
        </w:rPr>
      </w:pPr>
    </w:p>
    <w:p w14:paraId="0D98842A" w14:textId="234324ED" w:rsidR="0016415F" w:rsidRPr="003B4362" w:rsidRDefault="0016415F" w:rsidP="00A854E0">
      <w:pPr>
        <w:widowControl w:val="0"/>
        <w:ind w:left="2880" w:hanging="720"/>
        <w:rPr>
          <w:szCs w:val="18"/>
        </w:rPr>
      </w:pPr>
      <w:r w:rsidRPr="003B4362">
        <w:rPr>
          <w:szCs w:val="18"/>
        </w:rPr>
        <w:t>B)</w:t>
      </w:r>
      <w:r w:rsidRPr="003B4362">
        <w:rPr>
          <w:szCs w:val="18"/>
        </w:rPr>
        <w:tab/>
        <w:t xml:space="preserve">This subsection corresponds with 40 CFR 141.131(b)(2)(ii), which </w:t>
      </w:r>
      <w:r w:rsidR="00A854C7" w:rsidRPr="003B4362">
        <w:rPr>
          <w:szCs w:val="18"/>
        </w:rPr>
        <w:t>has</w:t>
      </w:r>
      <w:r w:rsidRPr="003B4362">
        <w:rPr>
          <w:szCs w:val="18"/>
        </w:rPr>
        <w:t xml:space="preserve"> expired by its own terms.  This statement maintains structural consistency with the corresponding federal rule.</w:t>
      </w:r>
    </w:p>
    <w:p w14:paraId="2ABBD9FC" w14:textId="77777777" w:rsidR="00A854E0" w:rsidRDefault="00A854E0" w:rsidP="00A854E0">
      <w:pPr>
        <w:widowControl w:val="0"/>
        <w:ind w:left="2880" w:hanging="720"/>
        <w:rPr>
          <w:szCs w:val="18"/>
        </w:rPr>
      </w:pPr>
    </w:p>
    <w:p w14:paraId="2F130910" w14:textId="41F68E3F" w:rsidR="0016415F" w:rsidRPr="003B4362" w:rsidRDefault="0016415F" w:rsidP="00A854E0">
      <w:pPr>
        <w:widowControl w:val="0"/>
        <w:ind w:left="2880" w:hanging="720"/>
        <w:rPr>
          <w:szCs w:val="18"/>
        </w:rPr>
      </w:pPr>
      <w:r w:rsidRPr="003B4362">
        <w:rPr>
          <w:szCs w:val="18"/>
        </w:rPr>
        <w:t>C)</w:t>
      </w:r>
      <w:r w:rsidRPr="003B4362">
        <w:rPr>
          <w:szCs w:val="18"/>
        </w:rPr>
        <w:tab/>
        <w:t xml:space="preserve">The laboratory must achieve quantitative </w:t>
      </w:r>
      <w:bookmarkStart w:id="3387" w:name="_Hlk132207768"/>
      <w:r w:rsidRPr="003B4362">
        <w:rPr>
          <w:szCs w:val="18"/>
        </w:rPr>
        <w:t>results on the PE sample analyses within the acceptance limits in subsections (b)(2)(C)(i) through (b)(2)(B)(xi)</w:t>
      </w:r>
      <w:bookmarkEnd w:id="3387"/>
      <w:r w:rsidRPr="003B4362">
        <w:rPr>
          <w:szCs w:val="18"/>
        </w:rPr>
        <w:t xml:space="preserve">, </w:t>
      </w:r>
      <w:bookmarkStart w:id="3388" w:name="_Hlk132207856"/>
      <w:r w:rsidRPr="003B4362">
        <w:rPr>
          <w:szCs w:val="18"/>
        </w:rPr>
        <w:t>subject to subsections (b)(2)(C)(xii) and (b)(2)(C)(xiii)</w:t>
      </w:r>
      <w:bookmarkEnd w:id="3388"/>
      <w:r w:rsidRPr="003B4362">
        <w:rPr>
          <w:szCs w:val="18"/>
        </w:rPr>
        <w:t>:</w:t>
      </w:r>
    </w:p>
    <w:p w14:paraId="204616C1" w14:textId="77777777" w:rsidR="00A854E0" w:rsidRDefault="00A854E0" w:rsidP="00A854E0">
      <w:pPr>
        <w:widowControl w:val="0"/>
        <w:ind w:left="3600" w:hanging="720"/>
        <w:rPr>
          <w:szCs w:val="18"/>
        </w:rPr>
      </w:pPr>
    </w:p>
    <w:p w14:paraId="084F816F" w14:textId="03A65CE3" w:rsidR="0016415F" w:rsidRPr="003B4362" w:rsidRDefault="0016415F" w:rsidP="00A854E0">
      <w:pPr>
        <w:widowControl w:val="0"/>
        <w:ind w:left="3600" w:hanging="720"/>
        <w:rPr>
          <w:szCs w:val="18"/>
        </w:rPr>
      </w:pPr>
      <w:r w:rsidRPr="003B4362">
        <w:rPr>
          <w:szCs w:val="18"/>
        </w:rPr>
        <w:t>i)</w:t>
      </w:r>
      <w:r w:rsidRPr="003B4362">
        <w:rPr>
          <w:szCs w:val="18"/>
        </w:rPr>
        <w:tab/>
        <w:t xml:space="preserve">Chloroform (a THM):  </w:t>
      </w:r>
      <w:r w:rsidRPr="003B4362">
        <w:t>±20% of true value;</w:t>
      </w:r>
    </w:p>
    <w:p w14:paraId="2AD5E557" w14:textId="77777777" w:rsidR="00A854E0" w:rsidRDefault="00A854E0" w:rsidP="00A854E0">
      <w:pPr>
        <w:widowControl w:val="0"/>
        <w:ind w:left="3600" w:hanging="720"/>
        <w:rPr>
          <w:szCs w:val="18"/>
        </w:rPr>
      </w:pPr>
    </w:p>
    <w:p w14:paraId="6D2531E6" w14:textId="3BE3BCFC" w:rsidR="0016415F" w:rsidRPr="003B4362" w:rsidRDefault="0016415F" w:rsidP="00A854E0">
      <w:pPr>
        <w:widowControl w:val="0"/>
        <w:ind w:left="3600" w:hanging="720"/>
        <w:rPr>
          <w:szCs w:val="18"/>
        </w:rPr>
      </w:pPr>
      <w:r w:rsidRPr="003B4362">
        <w:rPr>
          <w:szCs w:val="18"/>
        </w:rPr>
        <w:t>ii)</w:t>
      </w:r>
      <w:r w:rsidRPr="003B4362">
        <w:rPr>
          <w:szCs w:val="18"/>
        </w:rPr>
        <w:tab/>
      </w:r>
      <w:r w:rsidRPr="003B4362">
        <w:t>Bromodichloromethane</w:t>
      </w:r>
      <w:r w:rsidRPr="003B4362">
        <w:rPr>
          <w:szCs w:val="18"/>
        </w:rPr>
        <w:t xml:space="preserve"> (a THM):  </w:t>
      </w:r>
      <w:r w:rsidRPr="003B4362">
        <w:t>±20% of true value;</w:t>
      </w:r>
    </w:p>
    <w:p w14:paraId="32198C82" w14:textId="77777777" w:rsidR="00A854E0" w:rsidRDefault="00A854E0" w:rsidP="00A854E0">
      <w:pPr>
        <w:widowControl w:val="0"/>
        <w:ind w:left="3600" w:hanging="720"/>
        <w:rPr>
          <w:szCs w:val="18"/>
        </w:rPr>
      </w:pPr>
    </w:p>
    <w:p w14:paraId="46F835B2" w14:textId="6ACC139E" w:rsidR="0016415F" w:rsidRPr="003B4362" w:rsidRDefault="0016415F" w:rsidP="00A854E0">
      <w:pPr>
        <w:widowControl w:val="0"/>
        <w:ind w:left="3600" w:hanging="720"/>
        <w:rPr>
          <w:szCs w:val="18"/>
        </w:rPr>
      </w:pPr>
      <w:r w:rsidRPr="003B4362">
        <w:rPr>
          <w:szCs w:val="18"/>
        </w:rPr>
        <w:t>iii)</w:t>
      </w:r>
      <w:r w:rsidRPr="003B4362">
        <w:rPr>
          <w:szCs w:val="18"/>
        </w:rPr>
        <w:tab/>
      </w:r>
      <w:r w:rsidRPr="003B4362">
        <w:t xml:space="preserve">Dibromochloromethane </w:t>
      </w:r>
      <w:r w:rsidRPr="003B4362">
        <w:rPr>
          <w:szCs w:val="18"/>
        </w:rPr>
        <w:t xml:space="preserve">(a THM):  </w:t>
      </w:r>
      <w:r w:rsidRPr="003B4362">
        <w:t>±20% of true value;</w:t>
      </w:r>
    </w:p>
    <w:p w14:paraId="69D41F77" w14:textId="77777777" w:rsidR="00A854E0" w:rsidRDefault="00A854E0" w:rsidP="00A854E0">
      <w:pPr>
        <w:widowControl w:val="0"/>
        <w:ind w:left="3600" w:hanging="720"/>
        <w:rPr>
          <w:szCs w:val="18"/>
        </w:rPr>
      </w:pPr>
    </w:p>
    <w:p w14:paraId="3B30D24B" w14:textId="193037A9" w:rsidR="0016415F" w:rsidRPr="003B4362" w:rsidRDefault="0016415F" w:rsidP="00A854E0">
      <w:pPr>
        <w:widowControl w:val="0"/>
        <w:ind w:left="3600" w:hanging="720"/>
        <w:rPr>
          <w:szCs w:val="18"/>
        </w:rPr>
      </w:pPr>
      <w:r w:rsidRPr="003B4362">
        <w:rPr>
          <w:szCs w:val="18"/>
        </w:rPr>
        <w:t>iv)</w:t>
      </w:r>
      <w:r w:rsidRPr="003B4362">
        <w:rPr>
          <w:szCs w:val="18"/>
        </w:rPr>
        <w:tab/>
      </w:r>
      <w:r w:rsidRPr="003B4362">
        <w:t>Bromoform</w:t>
      </w:r>
      <w:r w:rsidRPr="003B4362">
        <w:rPr>
          <w:szCs w:val="18"/>
        </w:rPr>
        <w:t xml:space="preserve"> (a THM):  </w:t>
      </w:r>
      <w:r w:rsidRPr="003B4362">
        <w:t>±20% of true value;</w:t>
      </w:r>
    </w:p>
    <w:p w14:paraId="59B20AC6" w14:textId="77777777" w:rsidR="00A854E0" w:rsidRDefault="00A854E0" w:rsidP="00A854E0">
      <w:pPr>
        <w:widowControl w:val="0"/>
        <w:ind w:left="3600" w:hanging="720"/>
        <w:rPr>
          <w:szCs w:val="18"/>
        </w:rPr>
      </w:pPr>
    </w:p>
    <w:p w14:paraId="5B005EE9" w14:textId="09C8069A" w:rsidR="0016415F" w:rsidRPr="003B4362" w:rsidRDefault="0016415F" w:rsidP="00A854E0">
      <w:pPr>
        <w:widowControl w:val="0"/>
        <w:ind w:left="3600" w:hanging="720"/>
        <w:rPr>
          <w:szCs w:val="18"/>
        </w:rPr>
      </w:pPr>
      <w:r w:rsidRPr="003B4362">
        <w:rPr>
          <w:szCs w:val="18"/>
        </w:rPr>
        <w:t>v)</w:t>
      </w:r>
      <w:r w:rsidRPr="003B4362">
        <w:rPr>
          <w:szCs w:val="18"/>
        </w:rPr>
        <w:tab/>
      </w:r>
      <w:r w:rsidRPr="003B4362">
        <w:t xml:space="preserve">Monochloroacetic Acid </w:t>
      </w:r>
      <w:r w:rsidRPr="003B4362">
        <w:rPr>
          <w:szCs w:val="18"/>
        </w:rPr>
        <w:t xml:space="preserve">(an HAA5):  </w:t>
      </w:r>
      <w:r w:rsidRPr="003B4362">
        <w:t>±40% of true value;</w:t>
      </w:r>
    </w:p>
    <w:p w14:paraId="20B6DD83" w14:textId="77777777" w:rsidR="00A854E0" w:rsidRDefault="00A854E0" w:rsidP="00A854E0">
      <w:pPr>
        <w:widowControl w:val="0"/>
        <w:ind w:left="3600" w:hanging="720"/>
        <w:rPr>
          <w:szCs w:val="18"/>
        </w:rPr>
      </w:pPr>
    </w:p>
    <w:p w14:paraId="3845FE6A" w14:textId="1E543D0D" w:rsidR="0016415F" w:rsidRPr="003B4362" w:rsidRDefault="0016415F" w:rsidP="00A854E0">
      <w:pPr>
        <w:widowControl w:val="0"/>
        <w:ind w:left="3600" w:hanging="720"/>
        <w:rPr>
          <w:szCs w:val="18"/>
        </w:rPr>
      </w:pPr>
      <w:r w:rsidRPr="003B4362">
        <w:rPr>
          <w:szCs w:val="18"/>
        </w:rPr>
        <w:t>vi)</w:t>
      </w:r>
      <w:r w:rsidRPr="003B4362">
        <w:rPr>
          <w:szCs w:val="18"/>
        </w:rPr>
        <w:tab/>
      </w:r>
      <w:r w:rsidRPr="003B4362">
        <w:t xml:space="preserve">Dichloroacetic Acid </w:t>
      </w:r>
      <w:r w:rsidRPr="003B4362">
        <w:rPr>
          <w:szCs w:val="18"/>
        </w:rPr>
        <w:t xml:space="preserve">(an HAA5):  </w:t>
      </w:r>
      <w:r w:rsidRPr="003B4362">
        <w:t>±40% of true value;</w:t>
      </w:r>
    </w:p>
    <w:p w14:paraId="58EBE408" w14:textId="77777777" w:rsidR="00A854E0" w:rsidRDefault="00A854E0" w:rsidP="00A854E0">
      <w:pPr>
        <w:widowControl w:val="0"/>
        <w:ind w:left="3600" w:hanging="720"/>
        <w:rPr>
          <w:szCs w:val="18"/>
        </w:rPr>
      </w:pPr>
    </w:p>
    <w:p w14:paraId="703E0651" w14:textId="225CB080" w:rsidR="0016415F" w:rsidRPr="003B4362" w:rsidRDefault="0016415F" w:rsidP="00A854E0">
      <w:pPr>
        <w:widowControl w:val="0"/>
        <w:ind w:left="3600" w:hanging="720"/>
        <w:rPr>
          <w:szCs w:val="18"/>
        </w:rPr>
      </w:pPr>
      <w:r w:rsidRPr="003B4362">
        <w:rPr>
          <w:szCs w:val="18"/>
        </w:rPr>
        <w:t>vii)</w:t>
      </w:r>
      <w:r w:rsidRPr="003B4362">
        <w:rPr>
          <w:szCs w:val="18"/>
        </w:rPr>
        <w:tab/>
      </w:r>
      <w:r w:rsidRPr="003B4362">
        <w:t xml:space="preserve">Trichloroacetic Acid </w:t>
      </w:r>
      <w:r w:rsidRPr="003B4362">
        <w:rPr>
          <w:szCs w:val="18"/>
        </w:rPr>
        <w:t xml:space="preserve">(an HAA5):  </w:t>
      </w:r>
      <w:r w:rsidRPr="003B4362">
        <w:t>±40% of true value;</w:t>
      </w:r>
    </w:p>
    <w:p w14:paraId="1CD1ABD1" w14:textId="77777777" w:rsidR="00A854E0" w:rsidRDefault="00A854E0" w:rsidP="00A854E0">
      <w:pPr>
        <w:widowControl w:val="0"/>
        <w:ind w:left="3600" w:hanging="720"/>
        <w:rPr>
          <w:szCs w:val="18"/>
        </w:rPr>
      </w:pPr>
    </w:p>
    <w:p w14:paraId="16853B27" w14:textId="6C97F652" w:rsidR="0016415F" w:rsidRPr="003B4362" w:rsidRDefault="0016415F" w:rsidP="00A854E0">
      <w:pPr>
        <w:widowControl w:val="0"/>
        <w:ind w:left="3600" w:hanging="720"/>
        <w:rPr>
          <w:szCs w:val="18"/>
        </w:rPr>
      </w:pPr>
      <w:r w:rsidRPr="003B4362">
        <w:rPr>
          <w:szCs w:val="18"/>
        </w:rPr>
        <w:t>viii)</w:t>
      </w:r>
      <w:r w:rsidRPr="003B4362">
        <w:rPr>
          <w:szCs w:val="18"/>
        </w:rPr>
        <w:tab/>
      </w:r>
      <w:r w:rsidRPr="003B4362">
        <w:t xml:space="preserve">Monobromoacetic Acid </w:t>
      </w:r>
      <w:r w:rsidRPr="003B4362">
        <w:rPr>
          <w:szCs w:val="18"/>
        </w:rPr>
        <w:t xml:space="preserve">(an HAA5):  </w:t>
      </w:r>
      <w:r w:rsidRPr="003B4362">
        <w:t>±40% of true value;</w:t>
      </w:r>
    </w:p>
    <w:p w14:paraId="0406D179" w14:textId="77777777" w:rsidR="00A854E0" w:rsidRDefault="00A854E0" w:rsidP="00A854E0">
      <w:pPr>
        <w:widowControl w:val="0"/>
        <w:ind w:left="3600" w:hanging="720"/>
        <w:rPr>
          <w:szCs w:val="18"/>
        </w:rPr>
      </w:pPr>
    </w:p>
    <w:p w14:paraId="103B0609" w14:textId="32B92680" w:rsidR="0016415F" w:rsidRPr="003B4362" w:rsidRDefault="0016415F" w:rsidP="00A854E0">
      <w:pPr>
        <w:widowControl w:val="0"/>
        <w:ind w:left="3600" w:hanging="720"/>
        <w:rPr>
          <w:szCs w:val="18"/>
        </w:rPr>
      </w:pPr>
      <w:r w:rsidRPr="003B4362">
        <w:rPr>
          <w:szCs w:val="18"/>
        </w:rPr>
        <w:t>ix)</w:t>
      </w:r>
      <w:r w:rsidRPr="003B4362">
        <w:rPr>
          <w:szCs w:val="18"/>
        </w:rPr>
        <w:tab/>
      </w:r>
      <w:r w:rsidRPr="003B4362">
        <w:t xml:space="preserve">Dibromoacetic Acid </w:t>
      </w:r>
      <w:r w:rsidRPr="003B4362">
        <w:rPr>
          <w:szCs w:val="18"/>
        </w:rPr>
        <w:t xml:space="preserve">(an HAA5):  </w:t>
      </w:r>
      <w:r w:rsidRPr="003B4362">
        <w:t>±40% of true value;</w:t>
      </w:r>
    </w:p>
    <w:p w14:paraId="29792F4B" w14:textId="77777777" w:rsidR="00A854E0" w:rsidRDefault="00A854E0" w:rsidP="00A854E0">
      <w:pPr>
        <w:widowControl w:val="0"/>
        <w:ind w:left="3600" w:hanging="720"/>
        <w:rPr>
          <w:szCs w:val="18"/>
        </w:rPr>
      </w:pPr>
    </w:p>
    <w:p w14:paraId="436349F5" w14:textId="149EC1B0" w:rsidR="0016415F" w:rsidRPr="003B4362" w:rsidRDefault="0016415F" w:rsidP="00A854E0">
      <w:pPr>
        <w:widowControl w:val="0"/>
        <w:ind w:left="3600" w:hanging="720"/>
        <w:rPr>
          <w:szCs w:val="18"/>
        </w:rPr>
      </w:pPr>
      <w:r w:rsidRPr="003B4362">
        <w:rPr>
          <w:szCs w:val="18"/>
        </w:rPr>
        <w:t>x)</w:t>
      </w:r>
      <w:r w:rsidRPr="003B4362">
        <w:rPr>
          <w:szCs w:val="18"/>
        </w:rPr>
        <w:tab/>
      </w:r>
      <w:r w:rsidRPr="003B4362">
        <w:t>Chlorite</w:t>
      </w:r>
      <w:r w:rsidRPr="003B4362">
        <w:rPr>
          <w:szCs w:val="18"/>
        </w:rPr>
        <w:t xml:space="preserve">:  </w:t>
      </w:r>
      <w:r w:rsidRPr="003B4362">
        <w:t>±30% of true value; and</w:t>
      </w:r>
    </w:p>
    <w:p w14:paraId="19AF9DBE" w14:textId="77777777" w:rsidR="00A854E0" w:rsidRDefault="00A854E0" w:rsidP="00A854E0">
      <w:pPr>
        <w:widowControl w:val="0"/>
        <w:ind w:left="3600" w:hanging="720"/>
        <w:rPr>
          <w:szCs w:val="18"/>
        </w:rPr>
      </w:pPr>
    </w:p>
    <w:p w14:paraId="531908CE" w14:textId="2918061F" w:rsidR="0016415F" w:rsidRPr="003B4362" w:rsidRDefault="0016415F" w:rsidP="00A854E0">
      <w:pPr>
        <w:widowControl w:val="0"/>
        <w:ind w:left="3600" w:hanging="720"/>
        <w:rPr>
          <w:szCs w:val="18"/>
        </w:rPr>
      </w:pPr>
      <w:r w:rsidRPr="003B4362">
        <w:rPr>
          <w:szCs w:val="18"/>
        </w:rPr>
        <w:t>xi)</w:t>
      </w:r>
      <w:r w:rsidRPr="003B4362">
        <w:rPr>
          <w:szCs w:val="18"/>
        </w:rPr>
        <w:tab/>
      </w:r>
      <w:r w:rsidRPr="003B4362">
        <w:t>Bromate</w:t>
      </w:r>
      <w:r w:rsidRPr="003B4362">
        <w:rPr>
          <w:szCs w:val="18"/>
        </w:rPr>
        <w:t xml:space="preserve">:  </w:t>
      </w:r>
      <w:r w:rsidRPr="003B4362">
        <w:t>±30% of true value.</w:t>
      </w:r>
    </w:p>
    <w:p w14:paraId="0D92DCB5" w14:textId="77777777" w:rsidR="00A854E0" w:rsidRDefault="00A854E0" w:rsidP="00A854E0">
      <w:pPr>
        <w:widowControl w:val="0"/>
        <w:ind w:left="3600" w:hanging="720"/>
        <w:rPr>
          <w:szCs w:val="18"/>
        </w:rPr>
      </w:pPr>
    </w:p>
    <w:p w14:paraId="0273A7A6" w14:textId="01434AA2" w:rsidR="0016415F" w:rsidRPr="003B4362" w:rsidRDefault="0016415F" w:rsidP="00A854E0">
      <w:pPr>
        <w:widowControl w:val="0"/>
        <w:ind w:left="3600" w:hanging="720"/>
        <w:rPr>
          <w:szCs w:val="18"/>
        </w:rPr>
      </w:pPr>
      <w:r w:rsidRPr="003B4362">
        <w:rPr>
          <w:szCs w:val="18"/>
        </w:rPr>
        <w:t>xii)</w:t>
      </w:r>
      <w:r w:rsidRPr="003B4362">
        <w:rPr>
          <w:szCs w:val="18"/>
        </w:rPr>
        <w:tab/>
        <w:t xml:space="preserve">The laboratory must meet all four of the individual THM acceptance </w:t>
      </w:r>
      <w:bookmarkStart w:id="3389" w:name="_Hlk132207948"/>
      <w:r w:rsidRPr="003B4362">
        <w:rPr>
          <w:szCs w:val="18"/>
        </w:rPr>
        <w:t>limits in subsections (b)(2)(B)(i) through (b)(2)(B)(iv)</w:t>
      </w:r>
      <w:bookmarkEnd w:id="3389"/>
      <w:r w:rsidRPr="003B4362">
        <w:rPr>
          <w:szCs w:val="18"/>
        </w:rPr>
        <w:t xml:space="preserve"> </w:t>
      </w:r>
      <w:bookmarkStart w:id="3390" w:name="_Hlk132208181"/>
      <w:r w:rsidRPr="003B4362">
        <w:rPr>
          <w:szCs w:val="18"/>
        </w:rPr>
        <w:t>to successfully pass</w:t>
      </w:r>
      <w:bookmarkEnd w:id="3390"/>
      <w:r w:rsidRPr="003B4362">
        <w:rPr>
          <w:szCs w:val="18"/>
        </w:rPr>
        <w:t xml:space="preserve"> a PE sample for TTHM.</w:t>
      </w:r>
    </w:p>
    <w:p w14:paraId="18D9ABC9" w14:textId="77777777" w:rsidR="00A854E0" w:rsidRDefault="00A854E0" w:rsidP="00A854E0">
      <w:pPr>
        <w:widowControl w:val="0"/>
        <w:ind w:left="3600" w:hanging="720"/>
        <w:rPr>
          <w:szCs w:val="18"/>
        </w:rPr>
      </w:pPr>
    </w:p>
    <w:p w14:paraId="29F3327E" w14:textId="5629B38A" w:rsidR="0016415F" w:rsidRPr="003B4362" w:rsidRDefault="0016415F" w:rsidP="00A854E0">
      <w:pPr>
        <w:widowControl w:val="0"/>
        <w:ind w:left="3600" w:hanging="720"/>
        <w:rPr>
          <w:szCs w:val="18"/>
        </w:rPr>
      </w:pPr>
      <w:r w:rsidRPr="003B4362">
        <w:rPr>
          <w:szCs w:val="18"/>
        </w:rPr>
        <w:t>xiii)</w:t>
      </w:r>
      <w:r w:rsidRPr="003B4362">
        <w:rPr>
          <w:szCs w:val="18"/>
        </w:rPr>
        <w:tab/>
        <w:t xml:space="preserve">The laboratory must meet the acceptance limits for four out of the five HAA5 compounds in subsections </w:t>
      </w:r>
      <w:bookmarkStart w:id="3391" w:name="_Hlk132208239"/>
      <w:r w:rsidRPr="003B4362">
        <w:rPr>
          <w:szCs w:val="18"/>
        </w:rPr>
        <w:t>(b)(2)(B)(v) through (b)(2)(B)(ix)</w:t>
      </w:r>
      <w:bookmarkEnd w:id="3391"/>
      <w:r w:rsidRPr="003B4362">
        <w:rPr>
          <w:szCs w:val="18"/>
        </w:rPr>
        <w:t xml:space="preserve"> to successfully pass a PE sample for HAA5.</w:t>
      </w:r>
    </w:p>
    <w:p w14:paraId="20BB3E68" w14:textId="77777777" w:rsidR="00A854E0" w:rsidRDefault="00A854E0" w:rsidP="00A854E0">
      <w:pPr>
        <w:widowControl w:val="0"/>
        <w:ind w:left="2880" w:hanging="720"/>
        <w:rPr>
          <w:szCs w:val="18"/>
        </w:rPr>
      </w:pPr>
    </w:p>
    <w:p w14:paraId="71E4E58A" w14:textId="719FF65D" w:rsidR="0016415F" w:rsidRPr="003B4362" w:rsidRDefault="0016415F" w:rsidP="00A854E0">
      <w:pPr>
        <w:widowControl w:val="0"/>
        <w:ind w:left="2880" w:hanging="720"/>
        <w:rPr>
          <w:szCs w:val="18"/>
        </w:rPr>
      </w:pPr>
      <w:r w:rsidRPr="003B4362">
        <w:rPr>
          <w:szCs w:val="18"/>
        </w:rPr>
        <w:t>D)</w:t>
      </w:r>
      <w:r w:rsidRPr="003B4362">
        <w:rPr>
          <w:szCs w:val="18"/>
        </w:rPr>
        <w:tab/>
        <w:t xml:space="preserve">The laboratory must report quantitative data for concentrations at least as low as the </w:t>
      </w:r>
      <w:bookmarkStart w:id="3392" w:name="_Hlk132208395"/>
      <w:r w:rsidRPr="003B4362">
        <w:rPr>
          <w:szCs w:val="18"/>
        </w:rPr>
        <w:t>minimum reporting levels (MRLs) in subsections (b)(2)(D)(i) through (b)(2)(D)(xi)</w:t>
      </w:r>
      <w:bookmarkEnd w:id="3392"/>
      <w:r w:rsidRPr="003B4362">
        <w:rPr>
          <w:szCs w:val="18"/>
        </w:rPr>
        <w:t xml:space="preserve">, </w:t>
      </w:r>
      <w:bookmarkStart w:id="3393" w:name="_Hlk132208454"/>
      <w:r w:rsidRPr="003B4362">
        <w:rPr>
          <w:szCs w:val="18"/>
        </w:rPr>
        <w:t>subject to subsections (b)(2)(D)(xii) and (b)(2)(D)(xiii)</w:t>
      </w:r>
      <w:bookmarkEnd w:id="3393"/>
      <w:r w:rsidRPr="003B4362">
        <w:rPr>
          <w:szCs w:val="18"/>
        </w:rPr>
        <w:t xml:space="preserve">, for all DBP </w:t>
      </w:r>
      <w:bookmarkStart w:id="3394" w:name="_Hlk132208543"/>
      <w:r w:rsidRPr="003B4362">
        <w:rPr>
          <w:szCs w:val="18"/>
        </w:rPr>
        <w:t xml:space="preserve">samples it analyzes to comply </w:t>
      </w:r>
      <w:bookmarkEnd w:id="3394"/>
      <w:r w:rsidRPr="003B4362">
        <w:rPr>
          <w:szCs w:val="18"/>
        </w:rPr>
        <w:t>with Sections 611.312 and 611.385 and Subparts W and Y:</w:t>
      </w:r>
    </w:p>
    <w:p w14:paraId="59086821" w14:textId="77777777" w:rsidR="00A854E0" w:rsidRDefault="00A854E0" w:rsidP="00A854E0">
      <w:pPr>
        <w:widowControl w:val="0"/>
        <w:ind w:left="3600" w:hanging="720"/>
        <w:rPr>
          <w:szCs w:val="18"/>
        </w:rPr>
      </w:pPr>
    </w:p>
    <w:p w14:paraId="7546C0D6" w14:textId="4A55CF8E" w:rsidR="0016415F" w:rsidRPr="003B4362" w:rsidRDefault="0016415F" w:rsidP="00A854E0">
      <w:pPr>
        <w:widowControl w:val="0"/>
        <w:ind w:left="3600" w:hanging="720"/>
        <w:rPr>
          <w:szCs w:val="18"/>
        </w:rPr>
      </w:pPr>
      <w:r w:rsidRPr="003B4362">
        <w:rPr>
          <w:szCs w:val="18"/>
        </w:rPr>
        <w:t>i)</w:t>
      </w:r>
      <w:r w:rsidRPr="003B4362">
        <w:rPr>
          <w:szCs w:val="18"/>
        </w:rPr>
        <w:tab/>
        <w:t xml:space="preserve">Chloroform (a THM):  </w:t>
      </w:r>
      <w:r w:rsidRPr="003B4362">
        <w:t>0.0010 mg/</w:t>
      </w:r>
      <w:r w:rsidR="002E7704" w:rsidRPr="003B4362">
        <w:t>L</w:t>
      </w:r>
      <w:r w:rsidRPr="003B4362">
        <w:t>;</w:t>
      </w:r>
    </w:p>
    <w:p w14:paraId="4C5D18B3" w14:textId="77777777" w:rsidR="00A854E0" w:rsidRDefault="00A854E0" w:rsidP="00A854E0">
      <w:pPr>
        <w:widowControl w:val="0"/>
        <w:ind w:left="3600" w:hanging="720"/>
        <w:rPr>
          <w:szCs w:val="18"/>
        </w:rPr>
      </w:pPr>
    </w:p>
    <w:p w14:paraId="3660CC8D" w14:textId="328FA942" w:rsidR="0016415F" w:rsidRPr="003B4362" w:rsidRDefault="0016415F" w:rsidP="00A854E0">
      <w:pPr>
        <w:widowControl w:val="0"/>
        <w:ind w:left="3600" w:hanging="720"/>
        <w:rPr>
          <w:szCs w:val="18"/>
        </w:rPr>
      </w:pPr>
      <w:r w:rsidRPr="003B4362">
        <w:rPr>
          <w:szCs w:val="18"/>
        </w:rPr>
        <w:t>ii)</w:t>
      </w:r>
      <w:r w:rsidRPr="003B4362">
        <w:rPr>
          <w:szCs w:val="18"/>
        </w:rPr>
        <w:tab/>
      </w:r>
      <w:r w:rsidRPr="003B4362">
        <w:t>Bromodichloromethane</w:t>
      </w:r>
      <w:r w:rsidRPr="003B4362">
        <w:rPr>
          <w:szCs w:val="18"/>
        </w:rPr>
        <w:t xml:space="preserve"> (a THM):  </w:t>
      </w:r>
      <w:r w:rsidRPr="003B4362">
        <w:t>0.0010 mg/</w:t>
      </w:r>
      <w:r w:rsidR="002E7704" w:rsidRPr="003B4362">
        <w:t xml:space="preserve"> L</w:t>
      </w:r>
      <w:r w:rsidRPr="003B4362">
        <w:t>;</w:t>
      </w:r>
    </w:p>
    <w:p w14:paraId="757658BB" w14:textId="77777777" w:rsidR="00A854E0" w:rsidRDefault="00A854E0" w:rsidP="00A854E0">
      <w:pPr>
        <w:widowControl w:val="0"/>
        <w:ind w:left="3600" w:hanging="720"/>
        <w:rPr>
          <w:szCs w:val="18"/>
        </w:rPr>
      </w:pPr>
    </w:p>
    <w:p w14:paraId="3A940BF9" w14:textId="2A896F0F" w:rsidR="0016415F" w:rsidRPr="003B4362" w:rsidRDefault="0016415F" w:rsidP="00A854E0">
      <w:pPr>
        <w:widowControl w:val="0"/>
        <w:ind w:left="3600" w:hanging="720"/>
        <w:rPr>
          <w:szCs w:val="18"/>
        </w:rPr>
      </w:pPr>
      <w:r w:rsidRPr="003B4362">
        <w:rPr>
          <w:szCs w:val="18"/>
        </w:rPr>
        <w:t>iii)</w:t>
      </w:r>
      <w:r w:rsidRPr="003B4362">
        <w:rPr>
          <w:szCs w:val="18"/>
        </w:rPr>
        <w:tab/>
      </w:r>
      <w:r w:rsidRPr="003B4362">
        <w:t xml:space="preserve">Dibromochloromethane </w:t>
      </w:r>
      <w:r w:rsidRPr="003B4362">
        <w:rPr>
          <w:szCs w:val="18"/>
        </w:rPr>
        <w:t xml:space="preserve">(a THM):  </w:t>
      </w:r>
      <w:r w:rsidRPr="003B4362">
        <w:t>0.0010 mg/</w:t>
      </w:r>
      <w:r w:rsidR="002E7704" w:rsidRPr="003B4362">
        <w:t xml:space="preserve"> L</w:t>
      </w:r>
      <w:r w:rsidRPr="003B4362">
        <w:t>;</w:t>
      </w:r>
    </w:p>
    <w:p w14:paraId="4D2E3F96" w14:textId="77777777" w:rsidR="00A854E0" w:rsidRDefault="00A854E0" w:rsidP="00A854E0">
      <w:pPr>
        <w:widowControl w:val="0"/>
        <w:ind w:left="3600" w:hanging="720"/>
        <w:rPr>
          <w:szCs w:val="18"/>
        </w:rPr>
      </w:pPr>
    </w:p>
    <w:p w14:paraId="5C9C25A0" w14:textId="5836E64F" w:rsidR="0016415F" w:rsidRPr="003B4362" w:rsidRDefault="0016415F" w:rsidP="00A854E0">
      <w:pPr>
        <w:widowControl w:val="0"/>
        <w:ind w:left="3600" w:hanging="720"/>
        <w:rPr>
          <w:szCs w:val="18"/>
        </w:rPr>
      </w:pPr>
      <w:r w:rsidRPr="003B4362">
        <w:rPr>
          <w:szCs w:val="18"/>
        </w:rPr>
        <w:t>iv)</w:t>
      </w:r>
      <w:r w:rsidRPr="003B4362">
        <w:rPr>
          <w:szCs w:val="18"/>
        </w:rPr>
        <w:tab/>
      </w:r>
      <w:r w:rsidRPr="003B4362">
        <w:t>Bromoform</w:t>
      </w:r>
      <w:r w:rsidRPr="003B4362">
        <w:rPr>
          <w:szCs w:val="18"/>
        </w:rPr>
        <w:t xml:space="preserve"> (a THM):  </w:t>
      </w:r>
      <w:r w:rsidRPr="003B4362">
        <w:t>0.0010 mg/</w:t>
      </w:r>
      <w:r w:rsidR="002E7704" w:rsidRPr="003B4362">
        <w:t xml:space="preserve"> L</w:t>
      </w:r>
      <w:r w:rsidRPr="003B4362">
        <w:t>;</w:t>
      </w:r>
    </w:p>
    <w:p w14:paraId="761F53B1" w14:textId="77777777" w:rsidR="00A854E0" w:rsidRDefault="00A854E0" w:rsidP="00A854E0">
      <w:pPr>
        <w:widowControl w:val="0"/>
        <w:ind w:left="3600" w:hanging="720"/>
        <w:rPr>
          <w:szCs w:val="18"/>
        </w:rPr>
      </w:pPr>
    </w:p>
    <w:p w14:paraId="6D5C409E" w14:textId="024A4400" w:rsidR="0016415F" w:rsidRPr="003B4362" w:rsidRDefault="0016415F" w:rsidP="00A854E0">
      <w:pPr>
        <w:widowControl w:val="0"/>
        <w:ind w:left="3600" w:hanging="720"/>
        <w:rPr>
          <w:szCs w:val="18"/>
        </w:rPr>
      </w:pPr>
      <w:r w:rsidRPr="003B4362">
        <w:rPr>
          <w:szCs w:val="18"/>
        </w:rPr>
        <w:t>v)</w:t>
      </w:r>
      <w:r w:rsidRPr="003B4362">
        <w:rPr>
          <w:szCs w:val="18"/>
        </w:rPr>
        <w:tab/>
      </w:r>
      <w:r w:rsidRPr="003B4362">
        <w:t xml:space="preserve">Monochloroacetic Acid </w:t>
      </w:r>
      <w:r w:rsidRPr="003B4362">
        <w:rPr>
          <w:szCs w:val="18"/>
        </w:rPr>
        <w:t xml:space="preserve">(an HAA5):  </w:t>
      </w:r>
      <w:r w:rsidRPr="003B4362">
        <w:t>0.0020 mg/</w:t>
      </w:r>
      <w:r w:rsidR="002E7704" w:rsidRPr="003B4362">
        <w:t xml:space="preserve"> L</w:t>
      </w:r>
      <w:r w:rsidRPr="003B4362">
        <w:t>;</w:t>
      </w:r>
    </w:p>
    <w:p w14:paraId="214AC19C" w14:textId="77777777" w:rsidR="00A854E0" w:rsidRDefault="00A854E0" w:rsidP="00A854E0">
      <w:pPr>
        <w:widowControl w:val="0"/>
        <w:ind w:left="3600" w:hanging="720"/>
        <w:rPr>
          <w:szCs w:val="18"/>
        </w:rPr>
      </w:pPr>
    </w:p>
    <w:p w14:paraId="0727D0E8" w14:textId="2ADAA723" w:rsidR="0016415F" w:rsidRPr="003B4362" w:rsidRDefault="0016415F" w:rsidP="00A854E0">
      <w:pPr>
        <w:widowControl w:val="0"/>
        <w:ind w:left="3600" w:hanging="720"/>
        <w:rPr>
          <w:szCs w:val="18"/>
        </w:rPr>
      </w:pPr>
      <w:r w:rsidRPr="003B4362">
        <w:rPr>
          <w:szCs w:val="18"/>
        </w:rPr>
        <w:t>vi)</w:t>
      </w:r>
      <w:r w:rsidRPr="003B4362">
        <w:rPr>
          <w:szCs w:val="18"/>
        </w:rPr>
        <w:tab/>
      </w:r>
      <w:r w:rsidRPr="003B4362">
        <w:t xml:space="preserve">Dichloroacetic Acid </w:t>
      </w:r>
      <w:r w:rsidRPr="003B4362">
        <w:rPr>
          <w:szCs w:val="18"/>
        </w:rPr>
        <w:t xml:space="preserve">(an HAA5):  </w:t>
      </w:r>
      <w:r w:rsidRPr="003B4362">
        <w:t>0.0010 mg/</w:t>
      </w:r>
      <w:r w:rsidR="002E7704" w:rsidRPr="003B4362">
        <w:t xml:space="preserve"> L</w:t>
      </w:r>
      <w:r w:rsidRPr="003B4362">
        <w:t>;</w:t>
      </w:r>
    </w:p>
    <w:p w14:paraId="25B32C36" w14:textId="77777777" w:rsidR="00A854E0" w:rsidRDefault="00A854E0" w:rsidP="00A854E0">
      <w:pPr>
        <w:widowControl w:val="0"/>
        <w:ind w:left="3600" w:hanging="720"/>
        <w:rPr>
          <w:szCs w:val="18"/>
        </w:rPr>
      </w:pPr>
    </w:p>
    <w:p w14:paraId="1D861027" w14:textId="4BF2339F" w:rsidR="0016415F" w:rsidRPr="003B4362" w:rsidRDefault="0016415F" w:rsidP="00A854E0">
      <w:pPr>
        <w:widowControl w:val="0"/>
        <w:ind w:left="3600" w:hanging="720"/>
        <w:rPr>
          <w:szCs w:val="18"/>
        </w:rPr>
      </w:pPr>
      <w:r w:rsidRPr="003B4362">
        <w:rPr>
          <w:szCs w:val="18"/>
        </w:rPr>
        <w:t>vii)</w:t>
      </w:r>
      <w:r w:rsidRPr="003B4362">
        <w:rPr>
          <w:szCs w:val="18"/>
        </w:rPr>
        <w:tab/>
      </w:r>
      <w:r w:rsidRPr="003B4362">
        <w:t xml:space="preserve">Trichloroacetic Acid </w:t>
      </w:r>
      <w:r w:rsidRPr="003B4362">
        <w:rPr>
          <w:szCs w:val="18"/>
        </w:rPr>
        <w:t xml:space="preserve">(an HAA5):  </w:t>
      </w:r>
      <w:r w:rsidRPr="003B4362">
        <w:t>0.0010 mg/</w:t>
      </w:r>
      <w:r w:rsidR="002E7704" w:rsidRPr="003B4362">
        <w:t xml:space="preserve"> L</w:t>
      </w:r>
      <w:r w:rsidRPr="003B4362">
        <w:t>;</w:t>
      </w:r>
    </w:p>
    <w:p w14:paraId="3F763809" w14:textId="77777777" w:rsidR="00A854E0" w:rsidRDefault="00A854E0" w:rsidP="00A854E0">
      <w:pPr>
        <w:widowControl w:val="0"/>
        <w:ind w:left="3600" w:hanging="720"/>
        <w:rPr>
          <w:szCs w:val="18"/>
        </w:rPr>
      </w:pPr>
    </w:p>
    <w:p w14:paraId="3B2660AA" w14:textId="65B3D81A" w:rsidR="0016415F" w:rsidRPr="003B4362" w:rsidRDefault="0016415F" w:rsidP="00A854E0">
      <w:pPr>
        <w:widowControl w:val="0"/>
        <w:ind w:left="3600" w:hanging="720"/>
        <w:rPr>
          <w:szCs w:val="18"/>
        </w:rPr>
      </w:pPr>
      <w:r w:rsidRPr="003B4362">
        <w:rPr>
          <w:szCs w:val="18"/>
        </w:rPr>
        <w:lastRenderedPageBreak/>
        <w:t>viii)</w:t>
      </w:r>
      <w:r w:rsidRPr="003B4362">
        <w:rPr>
          <w:szCs w:val="18"/>
        </w:rPr>
        <w:tab/>
      </w:r>
      <w:r w:rsidRPr="003B4362">
        <w:t xml:space="preserve">Monobromoacetic Acid </w:t>
      </w:r>
      <w:r w:rsidRPr="003B4362">
        <w:rPr>
          <w:szCs w:val="18"/>
        </w:rPr>
        <w:t xml:space="preserve">(an HAA5):  </w:t>
      </w:r>
      <w:r w:rsidRPr="003B4362">
        <w:t>0.0010 mg/</w:t>
      </w:r>
      <w:r w:rsidR="002E7704" w:rsidRPr="003B4362">
        <w:t xml:space="preserve"> L</w:t>
      </w:r>
      <w:r w:rsidRPr="003B4362">
        <w:t>;</w:t>
      </w:r>
    </w:p>
    <w:p w14:paraId="6BADFD18" w14:textId="77777777" w:rsidR="00A854E0" w:rsidRDefault="00A854E0" w:rsidP="00A854E0">
      <w:pPr>
        <w:widowControl w:val="0"/>
        <w:ind w:left="3600" w:hanging="720"/>
        <w:rPr>
          <w:szCs w:val="18"/>
        </w:rPr>
      </w:pPr>
    </w:p>
    <w:p w14:paraId="4A5731F3" w14:textId="35507BE6" w:rsidR="0016415F" w:rsidRPr="003B4362" w:rsidRDefault="0016415F" w:rsidP="00A854E0">
      <w:pPr>
        <w:widowControl w:val="0"/>
        <w:ind w:left="3600" w:hanging="720"/>
        <w:rPr>
          <w:szCs w:val="18"/>
        </w:rPr>
      </w:pPr>
      <w:r w:rsidRPr="003B4362">
        <w:rPr>
          <w:szCs w:val="18"/>
        </w:rPr>
        <w:t>ix)</w:t>
      </w:r>
      <w:r w:rsidRPr="003B4362">
        <w:rPr>
          <w:szCs w:val="18"/>
        </w:rPr>
        <w:tab/>
      </w:r>
      <w:r w:rsidRPr="003B4362">
        <w:t xml:space="preserve">Dibromoacetic Acid </w:t>
      </w:r>
      <w:r w:rsidRPr="003B4362">
        <w:rPr>
          <w:szCs w:val="18"/>
        </w:rPr>
        <w:t xml:space="preserve">(an HAA5):  </w:t>
      </w:r>
      <w:r w:rsidRPr="003B4362">
        <w:t>0.0010 mg/</w:t>
      </w:r>
      <w:r w:rsidR="002E7704" w:rsidRPr="003B4362">
        <w:t xml:space="preserve"> L</w:t>
      </w:r>
      <w:r w:rsidRPr="003B4362">
        <w:t>;</w:t>
      </w:r>
    </w:p>
    <w:p w14:paraId="27FE3A23" w14:textId="77777777" w:rsidR="00A854E0" w:rsidRDefault="00A854E0" w:rsidP="00A854E0">
      <w:pPr>
        <w:widowControl w:val="0"/>
        <w:ind w:left="3600" w:hanging="720"/>
        <w:rPr>
          <w:szCs w:val="18"/>
        </w:rPr>
      </w:pPr>
    </w:p>
    <w:p w14:paraId="0E24091A" w14:textId="0CD37A0F" w:rsidR="0016415F" w:rsidRPr="003B4362" w:rsidRDefault="0016415F" w:rsidP="00A854E0">
      <w:pPr>
        <w:widowControl w:val="0"/>
        <w:ind w:left="3600" w:hanging="720"/>
        <w:rPr>
          <w:szCs w:val="18"/>
        </w:rPr>
      </w:pPr>
      <w:r w:rsidRPr="003B4362">
        <w:rPr>
          <w:szCs w:val="18"/>
        </w:rPr>
        <w:t>x)</w:t>
      </w:r>
      <w:r w:rsidRPr="003B4362">
        <w:rPr>
          <w:szCs w:val="18"/>
        </w:rPr>
        <w:tab/>
      </w:r>
      <w:r w:rsidRPr="003B4362">
        <w:t>Chlorite</w:t>
      </w:r>
      <w:r w:rsidRPr="003B4362">
        <w:rPr>
          <w:szCs w:val="18"/>
        </w:rPr>
        <w:t xml:space="preserve">:  </w:t>
      </w:r>
      <w:r w:rsidRPr="003B4362">
        <w:t>0.020 mg/</w:t>
      </w:r>
      <w:r w:rsidR="002E7704" w:rsidRPr="003B4362">
        <w:t xml:space="preserve"> L</w:t>
      </w:r>
      <w:r w:rsidRPr="003B4362">
        <w:t>, applicable to monitoring as required by Section 611.382(b)(2)(A)(ii) and (b)(2)(B); and</w:t>
      </w:r>
    </w:p>
    <w:p w14:paraId="7B9313B2" w14:textId="77777777" w:rsidR="00A854E0" w:rsidRDefault="00A854E0" w:rsidP="00A854E0">
      <w:pPr>
        <w:widowControl w:val="0"/>
        <w:ind w:left="3600" w:hanging="720"/>
        <w:rPr>
          <w:szCs w:val="18"/>
        </w:rPr>
      </w:pPr>
    </w:p>
    <w:p w14:paraId="177DEB69" w14:textId="5F091C64" w:rsidR="0016415F" w:rsidRPr="003B4362" w:rsidRDefault="0016415F" w:rsidP="00A854E0">
      <w:pPr>
        <w:widowControl w:val="0"/>
        <w:ind w:left="3600" w:hanging="720"/>
        <w:rPr>
          <w:szCs w:val="18"/>
        </w:rPr>
      </w:pPr>
      <w:r w:rsidRPr="003B4362">
        <w:rPr>
          <w:szCs w:val="18"/>
        </w:rPr>
        <w:t>xi)</w:t>
      </w:r>
      <w:r w:rsidRPr="003B4362">
        <w:rPr>
          <w:szCs w:val="18"/>
        </w:rPr>
        <w:tab/>
      </w:r>
      <w:r w:rsidRPr="003B4362">
        <w:t>Bromate</w:t>
      </w:r>
      <w:r w:rsidRPr="003B4362">
        <w:rPr>
          <w:szCs w:val="18"/>
        </w:rPr>
        <w:t xml:space="preserve">:  </w:t>
      </w:r>
      <w:r w:rsidRPr="003B4362">
        <w:t>0.0050, or 0.0010 mg/</w:t>
      </w:r>
      <w:r w:rsidR="002E7704" w:rsidRPr="003B4362">
        <w:t xml:space="preserve"> L</w:t>
      </w:r>
      <w:r w:rsidRPr="003B4362">
        <w:t xml:space="preserve"> if the laboratory uses </w:t>
      </w:r>
      <w:bookmarkStart w:id="3395" w:name="_Hlk12898753"/>
      <w:r w:rsidRPr="003B4362">
        <w:t>USEPA 317.0 (01), USEPA 321.8 (97), or USEPA 326.0 (02)</w:t>
      </w:r>
      <w:bookmarkEnd w:id="3395"/>
      <w:r w:rsidRPr="003B4362">
        <w:t>.</w:t>
      </w:r>
    </w:p>
    <w:p w14:paraId="264CCA0D" w14:textId="77777777" w:rsidR="00A854E0" w:rsidRDefault="00A854E0" w:rsidP="00A854E0">
      <w:pPr>
        <w:widowControl w:val="0"/>
        <w:ind w:left="3600" w:hanging="720"/>
        <w:rPr>
          <w:szCs w:val="18"/>
        </w:rPr>
      </w:pPr>
    </w:p>
    <w:p w14:paraId="54BCE120" w14:textId="54679F08" w:rsidR="0016415F" w:rsidRPr="003B4362" w:rsidRDefault="0016415F" w:rsidP="00A854E0">
      <w:pPr>
        <w:widowControl w:val="0"/>
        <w:ind w:left="3600" w:hanging="720"/>
        <w:rPr>
          <w:szCs w:val="18"/>
        </w:rPr>
      </w:pPr>
      <w:r w:rsidRPr="003B4362">
        <w:rPr>
          <w:szCs w:val="18"/>
        </w:rPr>
        <w:t>xii)</w:t>
      </w:r>
      <w:r w:rsidRPr="003B4362">
        <w:rPr>
          <w:szCs w:val="18"/>
        </w:rPr>
        <w:tab/>
      </w:r>
      <w:r w:rsidRPr="003B4362">
        <w:t>The calibration curve must encompass the regulatory MRL concentration.  T</w:t>
      </w:r>
      <w:bookmarkStart w:id="3396" w:name="_Hlk132209040"/>
      <w:r w:rsidRPr="003B4362">
        <w:t xml:space="preserve">he laboratory may report data </w:t>
      </w:r>
      <w:bookmarkEnd w:id="3396"/>
      <w:r w:rsidRPr="003B4362">
        <w:t xml:space="preserve">for concentrations lower than the regulatory MRL </w:t>
      </w:r>
      <w:bookmarkStart w:id="3397" w:name="_Hlk132209094"/>
      <w:r w:rsidRPr="003B4362">
        <w:t xml:space="preserve">if the laboratory meets the precision and accuracy criteria </w:t>
      </w:r>
      <w:bookmarkEnd w:id="3397"/>
      <w:r w:rsidRPr="003B4362">
        <w:t xml:space="preserve">by analyzing an MRL check standard at the lowest reporting </w:t>
      </w:r>
      <w:bookmarkStart w:id="3398" w:name="_Hlk132209142"/>
      <w:r w:rsidRPr="003B4362">
        <w:t>limit the laboratory chooses</w:t>
      </w:r>
      <w:bookmarkEnd w:id="3398"/>
      <w:r w:rsidRPr="003B4362">
        <w:t xml:space="preserve">.  The laboratory must verify the accuracy of the calibration curve at the MRL concentration by analyzing an MRL check standard with a concentration less than or equal to 110% of the MRL with each batch of samples.  The measured concentration for the MRL check standard must be ±50% of the expected value if any field sample in the batch </w:t>
      </w:r>
      <w:r w:rsidR="00A854C7" w:rsidRPr="003B4362">
        <w:t>has</w:t>
      </w:r>
      <w:r w:rsidRPr="003B4362">
        <w:t xml:space="preserve"> a concentration less than five times the regulatory MRL.  T</w:t>
      </w:r>
      <w:bookmarkStart w:id="3399" w:name="_Hlk132210694"/>
      <w:r w:rsidRPr="003B4362">
        <w:t xml:space="preserve">he laboratory must analyze higher concentration check standards and meet tighter acceptance criteria </w:t>
      </w:r>
      <w:bookmarkEnd w:id="3399"/>
      <w:r w:rsidRPr="003B4362">
        <w:t xml:space="preserve">in addition to the </w:t>
      </w:r>
      <w:bookmarkStart w:id="3400" w:name="_Hlk132210825"/>
      <w:r w:rsidRPr="003B4362">
        <w:t>MRL check standard.</w:t>
      </w:r>
      <w:bookmarkEnd w:id="3400"/>
    </w:p>
    <w:p w14:paraId="1B1D3D27" w14:textId="77777777" w:rsidR="00A854E0" w:rsidRDefault="00A854E0" w:rsidP="00A854E0">
      <w:pPr>
        <w:widowControl w:val="0"/>
        <w:ind w:left="3600" w:hanging="720"/>
        <w:rPr>
          <w:szCs w:val="18"/>
        </w:rPr>
      </w:pPr>
    </w:p>
    <w:p w14:paraId="6D157B7D" w14:textId="6AF02DE3" w:rsidR="0016415F" w:rsidRPr="003B4362" w:rsidRDefault="0016415F" w:rsidP="00A854E0">
      <w:pPr>
        <w:widowControl w:val="0"/>
        <w:ind w:left="3600" w:hanging="720"/>
        <w:rPr>
          <w:szCs w:val="18"/>
        </w:rPr>
      </w:pPr>
      <w:r w:rsidRPr="003B4362">
        <w:rPr>
          <w:szCs w:val="18"/>
        </w:rPr>
        <w:t>xiii)</w:t>
      </w:r>
      <w:r w:rsidRPr="003B4362">
        <w:rPr>
          <w:szCs w:val="18"/>
        </w:rPr>
        <w:tab/>
      </w:r>
      <w:r w:rsidRPr="003B4362">
        <w:t xml:space="preserve">When adding the individual trihalomethane or haloacetic acid concentrations </w:t>
      </w:r>
      <w:bookmarkStart w:id="3401" w:name="_Hlk132210955"/>
      <w:r w:rsidRPr="003B4362">
        <w:t xml:space="preserve">for the compounds listed in subsections </w:t>
      </w:r>
      <w:r w:rsidRPr="003B4362">
        <w:rPr>
          <w:szCs w:val="18"/>
        </w:rPr>
        <w:t>(b)(2)(D)(v) through (b)(2)(D)(ix)</w:t>
      </w:r>
      <w:bookmarkEnd w:id="3401"/>
      <w:r w:rsidRPr="003B4362">
        <w:rPr>
          <w:szCs w:val="18"/>
        </w:rPr>
        <w:t xml:space="preserve"> </w:t>
      </w:r>
      <w:r w:rsidRPr="003B4362">
        <w:t xml:space="preserve">to calculate the TTHM or HAA5 concentrations, a zero is used for any analytical result that is less than the MRL concentration for that DBP, </w:t>
      </w:r>
      <w:bookmarkStart w:id="3402" w:name="_Hlk132211075"/>
      <w:r w:rsidRPr="003B4362">
        <w:t>unless the Agency specifies otherwise</w:t>
      </w:r>
      <w:bookmarkEnd w:id="3402"/>
      <w:r w:rsidRPr="003B4362">
        <w:t>.</w:t>
      </w:r>
    </w:p>
    <w:p w14:paraId="1442B276" w14:textId="77777777" w:rsidR="00A854E0" w:rsidRDefault="00A854E0" w:rsidP="00A854E0">
      <w:pPr>
        <w:widowControl w:val="0"/>
        <w:suppressAutoHyphens/>
        <w:ind w:left="2160" w:hanging="720"/>
      </w:pPr>
    </w:p>
    <w:p w14:paraId="6C2F55B5" w14:textId="4BBFB2FF" w:rsidR="0016415F" w:rsidRPr="003B4362" w:rsidRDefault="0016415F" w:rsidP="00A854E0">
      <w:pPr>
        <w:widowControl w:val="0"/>
        <w:suppressAutoHyphens/>
        <w:ind w:left="2160" w:hanging="720"/>
      </w:pPr>
      <w:r w:rsidRPr="003B4362">
        <w:t>3)</w:t>
      </w:r>
      <w:r w:rsidRPr="003B4362">
        <w:tab/>
        <w:t xml:space="preserve">A </w:t>
      </w:r>
      <w:bookmarkStart w:id="3403" w:name="_Hlk132211604"/>
      <w:r w:rsidRPr="003B4362">
        <w:t>party must measure daily chlorite samples at the entrance to the distribution system as the Agency requires</w:t>
      </w:r>
      <w:bookmarkEnd w:id="3403"/>
      <w:r w:rsidRPr="003B4362">
        <w:t>.</w:t>
      </w:r>
    </w:p>
    <w:p w14:paraId="6D7CC65C" w14:textId="77777777" w:rsidR="00A854E0" w:rsidRDefault="00A854E0" w:rsidP="00A854E0">
      <w:pPr>
        <w:widowControl w:val="0"/>
        <w:suppressAutoHyphens/>
        <w:ind w:firstLine="720"/>
        <w:rPr>
          <w:spacing w:val="-2"/>
        </w:rPr>
      </w:pPr>
    </w:p>
    <w:p w14:paraId="6EF7DEC9" w14:textId="5DC519D4" w:rsidR="0016415F" w:rsidRPr="003B4362" w:rsidRDefault="0016415F" w:rsidP="00A854E0">
      <w:pPr>
        <w:widowControl w:val="0"/>
        <w:suppressAutoHyphens/>
        <w:ind w:firstLine="720"/>
        <w:rPr>
          <w:spacing w:val="-2"/>
        </w:rPr>
      </w:pPr>
      <w:r w:rsidRPr="003B4362">
        <w:rPr>
          <w:spacing w:val="-2"/>
        </w:rPr>
        <w:t>c)</w:t>
      </w:r>
      <w:r w:rsidRPr="003B4362">
        <w:rPr>
          <w:spacing w:val="-2"/>
        </w:rPr>
        <w:tab/>
        <w:t>Disinfectant Residuals</w:t>
      </w:r>
    </w:p>
    <w:p w14:paraId="3ADB9DE4" w14:textId="77777777" w:rsidR="00A854E0" w:rsidRDefault="00A854E0" w:rsidP="00A854E0">
      <w:pPr>
        <w:widowControl w:val="0"/>
        <w:ind w:left="2160" w:hanging="720"/>
        <w:rPr>
          <w:spacing w:val="-2"/>
        </w:rPr>
      </w:pPr>
    </w:p>
    <w:p w14:paraId="362AC3B9" w14:textId="66D2AA49" w:rsidR="0016415F" w:rsidRPr="003B4362" w:rsidRDefault="0016415F" w:rsidP="00A854E0">
      <w:pPr>
        <w:widowControl w:val="0"/>
        <w:ind w:left="2160" w:hanging="720"/>
        <w:rPr>
          <w:spacing w:val="-2"/>
        </w:rPr>
      </w:pPr>
      <w:r w:rsidRPr="003B4362">
        <w:rPr>
          <w:spacing w:val="-2"/>
        </w:rPr>
        <w:t>1)</w:t>
      </w:r>
      <w:r w:rsidRPr="003B4362">
        <w:rPr>
          <w:spacing w:val="-2"/>
        </w:rPr>
        <w:tab/>
      </w:r>
      <w:r w:rsidRPr="003B4362">
        <w:rPr>
          <w:spacing w:val="-1"/>
        </w:rPr>
        <w:t xml:space="preserve">A supplier </w:t>
      </w:r>
      <w:r w:rsidRPr="003B4362">
        <w:t xml:space="preserve">must </w:t>
      </w:r>
      <w:r w:rsidRPr="003B4362">
        <w:rPr>
          <w:spacing w:val="-2"/>
        </w:rPr>
        <w:t>measure residual disinfectant concentrations for free chlorine, combined chlorine (chloramines), and chlorine dioxide</w:t>
      </w:r>
      <w:bookmarkStart w:id="3404" w:name="_Hlk132212211"/>
      <w:r w:rsidRPr="003B4362">
        <w:rPr>
          <w:spacing w:val="-2"/>
        </w:rPr>
        <w:t xml:space="preserve"> </w:t>
      </w:r>
      <w:r w:rsidR="006C4087" w:rsidRPr="003B4362">
        <w:rPr>
          <w:spacing w:val="-2"/>
        </w:rPr>
        <w:t xml:space="preserve">using </w:t>
      </w:r>
      <w:r w:rsidRPr="003B4362">
        <w:rPr>
          <w:spacing w:val="-2"/>
        </w:rPr>
        <w:t xml:space="preserve">the methods </w:t>
      </w:r>
      <w:r w:rsidRPr="003B4362">
        <w:t>in subsections (c)(1)(A) through (c)(1)(D), subject to subsection (c)(1)(E)</w:t>
      </w:r>
      <w:bookmarkEnd w:id="3404"/>
      <w:r w:rsidRPr="003B4362">
        <w:rPr>
          <w:spacing w:val="-2"/>
        </w:rPr>
        <w:t>:</w:t>
      </w:r>
    </w:p>
    <w:p w14:paraId="73D67785" w14:textId="77777777" w:rsidR="00A854E0" w:rsidRDefault="00A854E0" w:rsidP="00A854E0">
      <w:pPr>
        <w:widowControl w:val="0"/>
        <w:suppressAutoHyphens/>
        <w:ind w:left="2880" w:hanging="720"/>
      </w:pPr>
    </w:p>
    <w:p w14:paraId="21A3700B" w14:textId="164518D6" w:rsidR="0016415F" w:rsidRPr="003B4362" w:rsidRDefault="0016415F" w:rsidP="00A854E0">
      <w:pPr>
        <w:widowControl w:val="0"/>
        <w:suppressAutoHyphens/>
        <w:ind w:left="2880" w:hanging="720"/>
      </w:pPr>
      <w:r w:rsidRPr="003B4362">
        <w:lastRenderedPageBreak/>
        <w:t>A)</w:t>
      </w:r>
      <w:r w:rsidRPr="003B4362">
        <w:tab/>
        <w:t>Free Chlorine</w:t>
      </w:r>
    </w:p>
    <w:p w14:paraId="6B8FC64D" w14:textId="77777777" w:rsidR="00A854E0" w:rsidRDefault="00A854E0" w:rsidP="00A854E0">
      <w:pPr>
        <w:widowControl w:val="0"/>
        <w:suppressAutoHyphens/>
        <w:ind w:left="3600" w:hanging="720"/>
      </w:pPr>
    </w:p>
    <w:p w14:paraId="160E15B0" w14:textId="05B428D9" w:rsidR="0016415F" w:rsidRPr="003B4362" w:rsidRDefault="0016415F" w:rsidP="00A854E0">
      <w:pPr>
        <w:widowControl w:val="0"/>
        <w:suppressAutoHyphens/>
        <w:ind w:left="3600" w:hanging="720"/>
      </w:pPr>
      <w:r w:rsidRPr="003B4362">
        <w:t>i)</w:t>
      </w:r>
      <w:r w:rsidRPr="003B4362">
        <w:tab/>
        <w:t xml:space="preserve">Amperometric Titration.  </w:t>
      </w:r>
      <w:bookmarkStart w:id="3405" w:name="_Hlk12899635"/>
      <w:r w:rsidRPr="003B4362">
        <w:t xml:space="preserve">ASTM D1253-86, ASTM D1253-96, </w:t>
      </w:r>
      <w:bookmarkStart w:id="3406" w:name="_Hlk36924612"/>
      <w:r w:rsidRPr="003B4362">
        <w:t>ASTM D1253-03</w:t>
      </w:r>
      <w:bookmarkEnd w:id="3406"/>
      <w:r w:rsidRPr="003B4362">
        <w:t>, ASTM D1253-08, ASTM D1253-14, SM 4500-Cl D (93), or SM 4500-Cl D (00).</w:t>
      </w:r>
      <w:bookmarkEnd w:id="3405"/>
    </w:p>
    <w:p w14:paraId="669EF54D" w14:textId="77777777" w:rsidR="00A854E0" w:rsidRDefault="00A854E0" w:rsidP="00A854E0">
      <w:pPr>
        <w:widowControl w:val="0"/>
        <w:suppressAutoHyphens/>
        <w:ind w:left="3600" w:hanging="720"/>
      </w:pPr>
    </w:p>
    <w:p w14:paraId="3562C38D" w14:textId="05B75E07" w:rsidR="0016415F" w:rsidRPr="003B4362" w:rsidRDefault="0016415F" w:rsidP="00A854E0">
      <w:pPr>
        <w:widowControl w:val="0"/>
        <w:suppressAutoHyphens/>
        <w:ind w:left="3600" w:hanging="720"/>
      </w:pPr>
      <w:r w:rsidRPr="003B4362">
        <w:t>ii)</w:t>
      </w:r>
      <w:r w:rsidRPr="003B4362">
        <w:tab/>
      </w:r>
      <w:bookmarkStart w:id="3407" w:name="_Hlk12900226"/>
      <w:r w:rsidRPr="003B4362">
        <w:t>DPD Ferrous Titration</w:t>
      </w:r>
      <w:bookmarkEnd w:id="3407"/>
      <w:r w:rsidRPr="003B4362">
        <w:t xml:space="preserve">.  SM </w:t>
      </w:r>
      <w:bookmarkStart w:id="3408" w:name="_Hlk12900273"/>
      <w:r w:rsidRPr="003B4362">
        <w:t>4500-Cl F (93) or SM 4500-Cl F (00)</w:t>
      </w:r>
      <w:bookmarkEnd w:id="3408"/>
      <w:r w:rsidRPr="003B4362">
        <w:t>.</w:t>
      </w:r>
    </w:p>
    <w:p w14:paraId="4F40397F" w14:textId="77777777" w:rsidR="00A854E0" w:rsidRDefault="00A854E0" w:rsidP="00A854E0">
      <w:pPr>
        <w:widowControl w:val="0"/>
        <w:suppressAutoHyphens/>
        <w:ind w:left="3600" w:hanging="720"/>
      </w:pPr>
    </w:p>
    <w:p w14:paraId="28F4BE0F" w14:textId="7B35851A" w:rsidR="0016415F" w:rsidRPr="003B4362" w:rsidRDefault="0016415F" w:rsidP="00A854E0">
      <w:pPr>
        <w:widowControl w:val="0"/>
        <w:suppressAutoHyphens/>
        <w:ind w:left="3600" w:hanging="720"/>
      </w:pPr>
      <w:r w:rsidRPr="003B4362">
        <w:t>iii)</w:t>
      </w:r>
      <w:r w:rsidRPr="003B4362">
        <w:tab/>
      </w:r>
      <w:bookmarkStart w:id="3409" w:name="_Hlk12900437"/>
      <w:r w:rsidRPr="003B4362">
        <w:t>DPD Colorimetric</w:t>
      </w:r>
      <w:bookmarkEnd w:id="3409"/>
      <w:r w:rsidRPr="003B4362">
        <w:t xml:space="preserve">.  </w:t>
      </w:r>
      <w:bookmarkStart w:id="3410" w:name="_Hlk12900463"/>
      <w:r w:rsidRPr="003B4362">
        <w:t>Hach 10260 (13), SM 4500-Cl G (93), or SM 4500-Cl G (00).</w:t>
      </w:r>
      <w:bookmarkEnd w:id="3410"/>
    </w:p>
    <w:p w14:paraId="59E89AED" w14:textId="77777777" w:rsidR="00A854E0" w:rsidRDefault="00A854E0" w:rsidP="00A854E0">
      <w:pPr>
        <w:widowControl w:val="0"/>
        <w:suppressAutoHyphens/>
        <w:ind w:left="3600" w:hanging="720"/>
      </w:pPr>
    </w:p>
    <w:p w14:paraId="502C0404" w14:textId="6DEA8B22" w:rsidR="0016415F" w:rsidRPr="003B4362" w:rsidRDefault="0016415F" w:rsidP="00A854E0">
      <w:pPr>
        <w:widowControl w:val="0"/>
        <w:suppressAutoHyphens/>
        <w:ind w:left="3600" w:hanging="720"/>
      </w:pPr>
      <w:r w:rsidRPr="003B4362">
        <w:t>iv)</w:t>
      </w:r>
      <w:r w:rsidRPr="003B4362">
        <w:tab/>
        <w:t xml:space="preserve">Syringaldazine (FACTS).  </w:t>
      </w:r>
      <w:bookmarkStart w:id="3411" w:name="_Hlk12900726"/>
      <w:r w:rsidRPr="003B4362">
        <w:t>SM 4500-Cl H (93) or SM 4500-Cl H (00)</w:t>
      </w:r>
      <w:bookmarkEnd w:id="3411"/>
      <w:r w:rsidRPr="003B4362">
        <w:t>.</w:t>
      </w:r>
    </w:p>
    <w:p w14:paraId="60A9FE72" w14:textId="77777777" w:rsidR="00A854E0" w:rsidRDefault="00A854E0" w:rsidP="00A854E0">
      <w:pPr>
        <w:widowControl w:val="0"/>
        <w:suppressAutoHyphens/>
        <w:ind w:left="3600" w:hanging="720"/>
      </w:pPr>
    </w:p>
    <w:p w14:paraId="43A2DAA1" w14:textId="4B8C4E70" w:rsidR="0016415F" w:rsidRPr="003B4362" w:rsidRDefault="0016415F" w:rsidP="00A854E0">
      <w:pPr>
        <w:widowControl w:val="0"/>
        <w:suppressAutoHyphens/>
        <w:ind w:left="3600" w:hanging="720"/>
      </w:pPr>
      <w:r w:rsidRPr="003B4362">
        <w:t>v)</w:t>
      </w:r>
      <w:r w:rsidRPr="003B4362">
        <w:tab/>
      </w:r>
      <w:bookmarkStart w:id="3412" w:name="_Hlk12900821"/>
      <w:r w:rsidRPr="003B4362">
        <w:t>Test Strips</w:t>
      </w:r>
      <w:bookmarkEnd w:id="3412"/>
      <w:r w:rsidRPr="003B4362">
        <w:t xml:space="preserve">.  </w:t>
      </w:r>
      <w:bookmarkStart w:id="3413" w:name="_Hlk12900849"/>
      <w:r w:rsidRPr="003B4362">
        <w:t>ITS D99-003 (03)</w:t>
      </w:r>
      <w:bookmarkEnd w:id="3413"/>
      <w:r w:rsidRPr="003B4362">
        <w:t xml:space="preserve"> if approved by the Agency under subsection (c)(2).</w:t>
      </w:r>
    </w:p>
    <w:p w14:paraId="4F38073B" w14:textId="77777777" w:rsidR="00A854E0" w:rsidRDefault="00A854E0" w:rsidP="00A854E0">
      <w:pPr>
        <w:widowControl w:val="0"/>
        <w:suppressAutoHyphens/>
        <w:ind w:left="3600" w:hanging="720"/>
      </w:pPr>
    </w:p>
    <w:p w14:paraId="59AA2FC6" w14:textId="74933A7F" w:rsidR="0016415F" w:rsidRPr="003B4362" w:rsidRDefault="0016415F" w:rsidP="00A854E0">
      <w:pPr>
        <w:widowControl w:val="0"/>
        <w:suppressAutoHyphens/>
        <w:ind w:left="3600" w:hanging="720"/>
      </w:pPr>
      <w:r w:rsidRPr="003B4362">
        <w:t>vi)</w:t>
      </w:r>
      <w:r w:rsidRPr="003B4362">
        <w:tab/>
      </w:r>
      <w:bookmarkStart w:id="3414" w:name="_Hlk12900933"/>
      <w:r w:rsidRPr="003B4362">
        <w:t>Amperometric Sensor</w:t>
      </w:r>
      <w:bookmarkEnd w:id="3414"/>
      <w:r w:rsidRPr="003B4362">
        <w:t xml:space="preserve">.  </w:t>
      </w:r>
      <w:bookmarkStart w:id="3415" w:name="_Hlk12901025"/>
      <w:r w:rsidRPr="003B4362">
        <w:t>Palintest ChloroSense (09)</w:t>
      </w:r>
      <w:bookmarkEnd w:id="3415"/>
      <w:r w:rsidR="00077E72" w:rsidRPr="003B4362">
        <w:t xml:space="preserve"> or Palintest ChloroSense (20)</w:t>
      </w:r>
      <w:r w:rsidRPr="003B4362">
        <w:t>.</w:t>
      </w:r>
    </w:p>
    <w:p w14:paraId="7618FC0F" w14:textId="77777777" w:rsidR="00A854E0" w:rsidRDefault="00A854E0" w:rsidP="00A854E0">
      <w:pPr>
        <w:widowControl w:val="0"/>
        <w:suppressAutoHyphens/>
        <w:ind w:left="3600" w:hanging="720"/>
      </w:pPr>
    </w:p>
    <w:p w14:paraId="70F79E3C" w14:textId="337A4E42" w:rsidR="0016415F" w:rsidRPr="003B4362" w:rsidRDefault="0016415F" w:rsidP="00A854E0">
      <w:pPr>
        <w:widowControl w:val="0"/>
        <w:suppressAutoHyphens/>
        <w:ind w:left="3600" w:hanging="720"/>
      </w:pPr>
      <w:r w:rsidRPr="003B4362">
        <w:t>vii)</w:t>
      </w:r>
      <w:r w:rsidRPr="003B4362">
        <w:tab/>
      </w:r>
      <w:bookmarkStart w:id="3416" w:name="_Hlk12901076"/>
      <w:r w:rsidRPr="003B4362">
        <w:t>On-Line Chlorine Analyzer</w:t>
      </w:r>
      <w:bookmarkEnd w:id="3416"/>
      <w:r w:rsidRPr="003B4362">
        <w:t>.  USEPA 334.0 (09).</w:t>
      </w:r>
    </w:p>
    <w:p w14:paraId="63E449B4" w14:textId="77777777" w:rsidR="00A854E0" w:rsidRDefault="00A854E0" w:rsidP="00A854E0">
      <w:pPr>
        <w:widowControl w:val="0"/>
        <w:suppressAutoHyphens/>
        <w:ind w:left="3600" w:hanging="720"/>
      </w:pPr>
    </w:p>
    <w:p w14:paraId="667E65CC" w14:textId="378AD398" w:rsidR="0016415F" w:rsidRPr="003B4362" w:rsidRDefault="0016415F" w:rsidP="00A854E0">
      <w:pPr>
        <w:widowControl w:val="0"/>
        <w:suppressAutoHyphens/>
        <w:ind w:left="3600" w:hanging="720"/>
      </w:pPr>
      <w:r w:rsidRPr="003B4362">
        <w:t>viii)</w:t>
      </w:r>
      <w:r w:rsidRPr="003B4362">
        <w:tab/>
      </w:r>
      <w:bookmarkStart w:id="3417" w:name="_Hlk12901165"/>
      <w:r w:rsidRPr="003B4362">
        <w:t>Indenophenol Colorimetric</w:t>
      </w:r>
      <w:bookmarkEnd w:id="3417"/>
      <w:r w:rsidRPr="003B4362">
        <w:t xml:space="preserve">.  </w:t>
      </w:r>
      <w:bookmarkStart w:id="3418" w:name="_Hlk12901189"/>
      <w:r w:rsidRPr="003B4362">
        <w:t>Hach 10241 (15)</w:t>
      </w:r>
      <w:bookmarkEnd w:id="3418"/>
      <w:r w:rsidRPr="003B4362">
        <w:t>.</w:t>
      </w:r>
    </w:p>
    <w:p w14:paraId="55824D3F" w14:textId="77777777" w:rsidR="00A854E0" w:rsidRDefault="00A854E0" w:rsidP="00A854E0">
      <w:pPr>
        <w:widowControl w:val="0"/>
        <w:suppressAutoHyphens/>
        <w:ind w:left="2880" w:hanging="720"/>
      </w:pPr>
    </w:p>
    <w:p w14:paraId="1A1422A5" w14:textId="47EC7647" w:rsidR="0016415F" w:rsidRPr="003B4362" w:rsidRDefault="0016415F" w:rsidP="00A854E0">
      <w:pPr>
        <w:widowControl w:val="0"/>
        <w:suppressAutoHyphens/>
        <w:ind w:left="2880" w:hanging="720"/>
      </w:pPr>
      <w:r w:rsidRPr="003B4362">
        <w:t>B)</w:t>
      </w:r>
      <w:r w:rsidRPr="003B4362">
        <w:tab/>
        <w:t>Combined Chlorine</w:t>
      </w:r>
    </w:p>
    <w:p w14:paraId="09E3AE11" w14:textId="77777777" w:rsidR="00A854E0" w:rsidRDefault="00A854E0" w:rsidP="00A854E0">
      <w:pPr>
        <w:widowControl w:val="0"/>
        <w:suppressAutoHyphens/>
        <w:ind w:left="3600" w:hanging="720"/>
      </w:pPr>
    </w:p>
    <w:p w14:paraId="1181DE20" w14:textId="02DA405C" w:rsidR="0016415F" w:rsidRPr="003B4362" w:rsidRDefault="0016415F" w:rsidP="00A854E0">
      <w:pPr>
        <w:widowControl w:val="0"/>
        <w:suppressAutoHyphens/>
        <w:ind w:left="3600" w:hanging="720"/>
      </w:pPr>
      <w:r w:rsidRPr="003B4362">
        <w:t>i)</w:t>
      </w:r>
      <w:r w:rsidRPr="003B4362">
        <w:tab/>
        <w:t xml:space="preserve">Amperometric Titration.  </w:t>
      </w:r>
      <w:bookmarkStart w:id="3419" w:name="_Hlk12901428"/>
      <w:r w:rsidRPr="003B4362">
        <w:t>ASTM D1253-86, ASTM D1253-96, ASTM D1253-03, ASTM D1253-08, or ASTM D1253-14, SM 4500-Cl D (93), or SM 4500-CL D (00).</w:t>
      </w:r>
      <w:bookmarkEnd w:id="3419"/>
    </w:p>
    <w:p w14:paraId="5F3DDC1A" w14:textId="77777777" w:rsidR="00A854E0" w:rsidRDefault="00A854E0" w:rsidP="00A854E0">
      <w:pPr>
        <w:widowControl w:val="0"/>
        <w:suppressAutoHyphens/>
        <w:ind w:left="3600" w:hanging="720"/>
      </w:pPr>
    </w:p>
    <w:p w14:paraId="3E331E5C" w14:textId="7E996ED5" w:rsidR="0016415F" w:rsidRPr="003B4362" w:rsidRDefault="0016415F" w:rsidP="00A854E0">
      <w:pPr>
        <w:widowControl w:val="0"/>
        <w:suppressAutoHyphens/>
        <w:ind w:left="3600" w:hanging="720"/>
      </w:pPr>
      <w:r w:rsidRPr="003B4362">
        <w:t>ii)</w:t>
      </w:r>
      <w:r w:rsidRPr="003B4362">
        <w:tab/>
      </w:r>
      <w:bookmarkStart w:id="3420" w:name="_Hlk12901529"/>
      <w:r w:rsidRPr="003B4362">
        <w:t>DPD Ferrous Titration</w:t>
      </w:r>
      <w:bookmarkEnd w:id="3420"/>
      <w:r w:rsidRPr="003B4362">
        <w:t xml:space="preserve">.  </w:t>
      </w:r>
      <w:bookmarkStart w:id="3421" w:name="_Hlk12901608"/>
      <w:r w:rsidRPr="003B4362">
        <w:t>SM 4500-Cl F (93) or SM 4500-Cl F (00)</w:t>
      </w:r>
      <w:bookmarkEnd w:id="3421"/>
      <w:r w:rsidRPr="003B4362">
        <w:t>.</w:t>
      </w:r>
    </w:p>
    <w:p w14:paraId="04485867" w14:textId="77777777" w:rsidR="00A854E0" w:rsidRDefault="00A854E0" w:rsidP="00A854E0">
      <w:pPr>
        <w:widowControl w:val="0"/>
        <w:suppressAutoHyphens/>
        <w:ind w:left="3600" w:hanging="720"/>
      </w:pPr>
    </w:p>
    <w:p w14:paraId="4A2073C2" w14:textId="6331B061" w:rsidR="0016415F" w:rsidRPr="003B4362" w:rsidRDefault="0016415F" w:rsidP="00A854E0">
      <w:pPr>
        <w:widowControl w:val="0"/>
        <w:suppressAutoHyphens/>
        <w:ind w:left="3600" w:hanging="720"/>
      </w:pPr>
      <w:r w:rsidRPr="003B4362">
        <w:t>iii)</w:t>
      </w:r>
      <w:r w:rsidRPr="003B4362">
        <w:tab/>
      </w:r>
      <w:bookmarkStart w:id="3422" w:name="_Hlk12901663"/>
      <w:r w:rsidRPr="003B4362">
        <w:t>DPD Colorimetric</w:t>
      </w:r>
      <w:bookmarkEnd w:id="3422"/>
      <w:r w:rsidRPr="003B4362">
        <w:t xml:space="preserve">.  </w:t>
      </w:r>
      <w:bookmarkStart w:id="3423" w:name="_Hlk12901733"/>
      <w:r w:rsidRPr="003B4362">
        <w:t>Hach 10260 (13), SM 4500-Cl G (93), or SM 4500-Cl G (00)</w:t>
      </w:r>
      <w:bookmarkEnd w:id="3423"/>
      <w:r w:rsidRPr="003B4362">
        <w:t>.</w:t>
      </w:r>
    </w:p>
    <w:p w14:paraId="0D66E9D1" w14:textId="77777777" w:rsidR="00A854E0" w:rsidRDefault="00A854E0" w:rsidP="00A854E0">
      <w:pPr>
        <w:widowControl w:val="0"/>
        <w:suppressAutoHyphens/>
        <w:ind w:left="2880" w:hanging="720"/>
      </w:pPr>
    </w:p>
    <w:p w14:paraId="5A05A620" w14:textId="66740EC1" w:rsidR="0016415F" w:rsidRPr="003B4362" w:rsidRDefault="0016415F" w:rsidP="00A854E0">
      <w:pPr>
        <w:widowControl w:val="0"/>
        <w:suppressAutoHyphens/>
        <w:ind w:left="2880" w:hanging="720"/>
      </w:pPr>
      <w:r w:rsidRPr="003B4362">
        <w:t>C)</w:t>
      </w:r>
      <w:r w:rsidRPr="003B4362">
        <w:tab/>
        <w:t>Total Chlorine</w:t>
      </w:r>
    </w:p>
    <w:p w14:paraId="5BE8E939" w14:textId="77777777" w:rsidR="00A854E0" w:rsidRDefault="00A854E0" w:rsidP="00A854E0">
      <w:pPr>
        <w:widowControl w:val="0"/>
        <w:suppressAutoHyphens/>
        <w:ind w:left="3600" w:hanging="720"/>
      </w:pPr>
    </w:p>
    <w:p w14:paraId="25C312DC" w14:textId="4024B963" w:rsidR="0016415F" w:rsidRPr="003B4362" w:rsidRDefault="0016415F" w:rsidP="00A854E0">
      <w:pPr>
        <w:widowControl w:val="0"/>
        <w:suppressAutoHyphens/>
        <w:ind w:left="3600" w:hanging="720"/>
      </w:pPr>
      <w:r w:rsidRPr="003B4362">
        <w:t>i)</w:t>
      </w:r>
      <w:r w:rsidRPr="003B4362">
        <w:tab/>
        <w:t>Amperometric Titration.  ASTM D1253-86, ASTM D1253-96, ASTM D1253-03, ASTM D1253-08, or ASTM D1253-14, SM 4500-Cl D (93), or SM 4500-Cl D (00).</w:t>
      </w:r>
    </w:p>
    <w:p w14:paraId="1688B02B" w14:textId="77777777" w:rsidR="00A854E0" w:rsidRDefault="00A854E0" w:rsidP="00A854E0">
      <w:pPr>
        <w:widowControl w:val="0"/>
        <w:suppressAutoHyphens/>
        <w:ind w:left="3600" w:hanging="720"/>
      </w:pPr>
    </w:p>
    <w:p w14:paraId="47B757B7" w14:textId="11481CE1" w:rsidR="0016415F" w:rsidRPr="003B4362" w:rsidRDefault="0016415F" w:rsidP="00A854E0">
      <w:pPr>
        <w:widowControl w:val="0"/>
        <w:suppressAutoHyphens/>
        <w:ind w:left="3600" w:hanging="720"/>
      </w:pPr>
      <w:r w:rsidRPr="003B4362">
        <w:t>ii)</w:t>
      </w:r>
      <w:r w:rsidRPr="003B4362">
        <w:tab/>
        <w:t xml:space="preserve">Low-Level Amperometric Titration.  </w:t>
      </w:r>
      <w:bookmarkStart w:id="3424" w:name="_Hlk12956006"/>
      <w:r w:rsidRPr="003B4362">
        <w:t>SM 4500-Cl E (93) or SM 4500-Cl E (00)</w:t>
      </w:r>
      <w:bookmarkEnd w:id="3424"/>
      <w:r w:rsidRPr="003B4362">
        <w:t>.</w:t>
      </w:r>
    </w:p>
    <w:p w14:paraId="35579FA6" w14:textId="77777777" w:rsidR="00A854E0" w:rsidRDefault="00A854E0" w:rsidP="00A854E0">
      <w:pPr>
        <w:widowControl w:val="0"/>
        <w:suppressAutoHyphens/>
        <w:ind w:left="3600" w:hanging="720"/>
      </w:pPr>
    </w:p>
    <w:p w14:paraId="5FACE07E" w14:textId="14DB1F97" w:rsidR="0016415F" w:rsidRPr="003B4362" w:rsidRDefault="0016415F" w:rsidP="00A854E0">
      <w:pPr>
        <w:widowControl w:val="0"/>
        <w:suppressAutoHyphens/>
        <w:ind w:left="3600" w:hanging="720"/>
      </w:pPr>
      <w:r w:rsidRPr="003B4362">
        <w:t>iii)</w:t>
      </w:r>
      <w:r w:rsidRPr="003B4362">
        <w:tab/>
      </w:r>
      <w:bookmarkStart w:id="3425" w:name="_Hlk12956190"/>
      <w:r w:rsidRPr="003B4362">
        <w:t>DPD Ferrous Titration</w:t>
      </w:r>
      <w:bookmarkEnd w:id="3425"/>
      <w:r w:rsidRPr="003B4362">
        <w:t>.  SM 4500-Cl F (93) or SM 4500-Cl F (00).</w:t>
      </w:r>
    </w:p>
    <w:p w14:paraId="4447097A" w14:textId="77777777" w:rsidR="00A854E0" w:rsidRDefault="00A854E0" w:rsidP="00A854E0">
      <w:pPr>
        <w:widowControl w:val="0"/>
        <w:suppressAutoHyphens/>
        <w:ind w:left="3600" w:hanging="720"/>
      </w:pPr>
    </w:p>
    <w:p w14:paraId="062D39E3" w14:textId="7D947B31" w:rsidR="0016415F" w:rsidRPr="003B4362" w:rsidRDefault="0016415F" w:rsidP="00A854E0">
      <w:pPr>
        <w:widowControl w:val="0"/>
        <w:suppressAutoHyphens/>
        <w:ind w:left="3600" w:hanging="720"/>
      </w:pPr>
      <w:r w:rsidRPr="003B4362">
        <w:t>iv)</w:t>
      </w:r>
      <w:r w:rsidRPr="003B4362">
        <w:tab/>
      </w:r>
      <w:bookmarkStart w:id="3426" w:name="_Hlk12956421"/>
      <w:r w:rsidRPr="003B4362">
        <w:t>DPD Colorimetric</w:t>
      </w:r>
      <w:bookmarkEnd w:id="3426"/>
      <w:r w:rsidRPr="003B4362">
        <w:t xml:space="preserve">.  </w:t>
      </w:r>
      <w:bookmarkStart w:id="3427" w:name="_Hlk12956530"/>
      <w:r w:rsidRPr="003B4362">
        <w:t>Hach 10260 (13), SM 4500-Cl G (93), or SM 4500-Cl G (00).</w:t>
      </w:r>
      <w:bookmarkEnd w:id="3427"/>
    </w:p>
    <w:p w14:paraId="5797700D" w14:textId="77777777" w:rsidR="00A854E0" w:rsidRDefault="00A854E0" w:rsidP="00A854E0">
      <w:pPr>
        <w:widowControl w:val="0"/>
        <w:suppressAutoHyphens/>
        <w:ind w:left="3600" w:hanging="720"/>
      </w:pPr>
    </w:p>
    <w:p w14:paraId="10127376" w14:textId="74435EC4" w:rsidR="0016415F" w:rsidRPr="003B4362" w:rsidRDefault="0016415F" w:rsidP="00A854E0">
      <w:pPr>
        <w:widowControl w:val="0"/>
        <w:suppressAutoHyphens/>
        <w:ind w:left="3600" w:hanging="720"/>
      </w:pPr>
      <w:r w:rsidRPr="003B4362">
        <w:t>v)</w:t>
      </w:r>
      <w:r w:rsidRPr="003B4362">
        <w:tab/>
      </w:r>
      <w:bookmarkStart w:id="3428" w:name="_Hlk12956665"/>
      <w:r w:rsidRPr="003B4362">
        <w:t>Iodometric Electrode</w:t>
      </w:r>
      <w:bookmarkEnd w:id="3428"/>
      <w:r w:rsidRPr="003B4362">
        <w:t xml:space="preserve">.  </w:t>
      </w:r>
      <w:bookmarkStart w:id="3429" w:name="_Hlk12956700"/>
      <w:r w:rsidRPr="003B4362">
        <w:t>SM 4500-Cl I (93) or SM 4500-Cl I (00)</w:t>
      </w:r>
      <w:bookmarkEnd w:id="3429"/>
      <w:r w:rsidRPr="003B4362">
        <w:t>.</w:t>
      </w:r>
    </w:p>
    <w:p w14:paraId="4583F06F" w14:textId="77777777" w:rsidR="00A854E0" w:rsidRDefault="00A854E0" w:rsidP="00A854E0">
      <w:pPr>
        <w:widowControl w:val="0"/>
        <w:suppressAutoHyphens/>
        <w:ind w:left="3600" w:hanging="720"/>
      </w:pPr>
    </w:p>
    <w:p w14:paraId="2EE43FF9" w14:textId="67B27D75" w:rsidR="0016415F" w:rsidRPr="003B4362" w:rsidRDefault="0016415F" w:rsidP="00A854E0">
      <w:pPr>
        <w:widowControl w:val="0"/>
        <w:suppressAutoHyphens/>
        <w:ind w:left="3600" w:hanging="720"/>
      </w:pPr>
      <w:r w:rsidRPr="003B4362">
        <w:t>vi)</w:t>
      </w:r>
      <w:r w:rsidRPr="003B4362">
        <w:tab/>
      </w:r>
      <w:bookmarkStart w:id="3430" w:name="_Hlk12956767"/>
      <w:r w:rsidRPr="003B4362">
        <w:t>Amperometric Sensor</w:t>
      </w:r>
      <w:bookmarkEnd w:id="3430"/>
      <w:r w:rsidRPr="003B4362">
        <w:t xml:space="preserve">.  </w:t>
      </w:r>
      <w:bookmarkStart w:id="3431" w:name="_Hlk12956842"/>
      <w:r w:rsidRPr="003B4362">
        <w:t>Palintest ChloroSense (09)</w:t>
      </w:r>
      <w:bookmarkEnd w:id="3431"/>
      <w:r w:rsidR="00077E72" w:rsidRPr="003B4362">
        <w:t xml:space="preserve"> or Palintest ChloroSense (20)</w:t>
      </w:r>
      <w:r w:rsidRPr="003B4362">
        <w:t>.</w:t>
      </w:r>
    </w:p>
    <w:p w14:paraId="603DECD8" w14:textId="77777777" w:rsidR="00A854E0" w:rsidRDefault="00A854E0" w:rsidP="00A854E0">
      <w:pPr>
        <w:widowControl w:val="0"/>
        <w:suppressAutoHyphens/>
        <w:ind w:left="3600" w:hanging="720"/>
      </w:pPr>
    </w:p>
    <w:p w14:paraId="0576FF97" w14:textId="71ABA09F" w:rsidR="0016415F" w:rsidRPr="003B4362" w:rsidRDefault="0016415F" w:rsidP="00A854E0">
      <w:pPr>
        <w:widowControl w:val="0"/>
        <w:suppressAutoHyphens/>
        <w:ind w:left="3600" w:hanging="720"/>
      </w:pPr>
      <w:r w:rsidRPr="003B4362">
        <w:t>vii)</w:t>
      </w:r>
      <w:r w:rsidRPr="003B4362">
        <w:tab/>
      </w:r>
      <w:bookmarkStart w:id="3432" w:name="_Hlk12956900"/>
      <w:r w:rsidRPr="003B4362">
        <w:t>On-Line Chlorine Analyzer</w:t>
      </w:r>
      <w:bookmarkEnd w:id="3432"/>
      <w:r w:rsidRPr="003B4362">
        <w:t xml:space="preserve">.  </w:t>
      </w:r>
      <w:bookmarkStart w:id="3433" w:name="_Hlk12956920"/>
      <w:r w:rsidRPr="003B4362">
        <w:t>USEPA 334.0 (09)</w:t>
      </w:r>
      <w:bookmarkEnd w:id="3433"/>
      <w:r w:rsidRPr="003B4362">
        <w:t>.</w:t>
      </w:r>
    </w:p>
    <w:p w14:paraId="0FBE2933" w14:textId="77777777" w:rsidR="00A854E0" w:rsidRDefault="00A854E0" w:rsidP="00A854E0">
      <w:pPr>
        <w:widowControl w:val="0"/>
        <w:suppressAutoHyphens/>
        <w:ind w:left="2880" w:hanging="720"/>
      </w:pPr>
    </w:p>
    <w:p w14:paraId="4137E5F3" w14:textId="42B408B0" w:rsidR="0016415F" w:rsidRPr="003B4362" w:rsidRDefault="0016415F" w:rsidP="00A854E0">
      <w:pPr>
        <w:widowControl w:val="0"/>
        <w:suppressAutoHyphens/>
        <w:ind w:left="2880" w:hanging="720"/>
      </w:pPr>
      <w:r w:rsidRPr="003B4362">
        <w:t>D)</w:t>
      </w:r>
      <w:r w:rsidRPr="003B4362">
        <w:tab/>
        <w:t>Chlorine Dioxide</w:t>
      </w:r>
    </w:p>
    <w:p w14:paraId="4CC0F04C" w14:textId="77777777" w:rsidR="00A854E0" w:rsidRDefault="00A854E0" w:rsidP="00A854E0">
      <w:pPr>
        <w:widowControl w:val="0"/>
        <w:suppressAutoHyphens/>
        <w:ind w:left="3600" w:hanging="720"/>
      </w:pPr>
    </w:p>
    <w:p w14:paraId="187D678F" w14:textId="0D3F342A" w:rsidR="0016415F" w:rsidRPr="003B4362" w:rsidRDefault="0016415F" w:rsidP="00A854E0">
      <w:pPr>
        <w:widowControl w:val="0"/>
        <w:suppressAutoHyphens/>
        <w:ind w:left="3600" w:hanging="720"/>
      </w:pPr>
      <w:r w:rsidRPr="003B4362">
        <w:t>i)</w:t>
      </w:r>
      <w:r w:rsidRPr="003B4362">
        <w:tab/>
        <w:t xml:space="preserve">DPD.  </w:t>
      </w:r>
      <w:bookmarkStart w:id="3434" w:name="_Hlk12957289"/>
      <w:r w:rsidRPr="003B4362">
        <w:t>SM 4500-ClO</w:t>
      </w:r>
      <w:r w:rsidRPr="003B4362">
        <w:rPr>
          <w:vertAlign w:val="subscript"/>
        </w:rPr>
        <w:t>2</w:t>
      </w:r>
      <w:r w:rsidRPr="003B4362">
        <w:t xml:space="preserve"> D (93)</w:t>
      </w:r>
      <w:bookmarkEnd w:id="3434"/>
      <w:r w:rsidRPr="003B4362">
        <w:t xml:space="preserve"> or SM 4500-ClO</w:t>
      </w:r>
      <w:r w:rsidRPr="003B4362">
        <w:rPr>
          <w:vertAlign w:val="subscript"/>
        </w:rPr>
        <w:t>2</w:t>
      </w:r>
      <w:r w:rsidRPr="003B4362">
        <w:t xml:space="preserve"> D (00).</w:t>
      </w:r>
    </w:p>
    <w:p w14:paraId="4EB83CB1" w14:textId="77777777" w:rsidR="00A854E0" w:rsidRDefault="00A854E0" w:rsidP="00A854E0">
      <w:pPr>
        <w:widowControl w:val="0"/>
        <w:suppressAutoHyphens/>
        <w:ind w:left="3600" w:hanging="720"/>
      </w:pPr>
    </w:p>
    <w:p w14:paraId="1DFA88FB" w14:textId="20CF6090" w:rsidR="0016415F" w:rsidRPr="003B4362" w:rsidRDefault="0016415F" w:rsidP="00A854E0">
      <w:pPr>
        <w:widowControl w:val="0"/>
        <w:suppressAutoHyphens/>
        <w:ind w:left="3600" w:hanging="720"/>
      </w:pPr>
      <w:r w:rsidRPr="003B4362">
        <w:t>ii)</w:t>
      </w:r>
      <w:r w:rsidRPr="003B4362">
        <w:tab/>
      </w:r>
      <w:bookmarkStart w:id="3435" w:name="_Hlk12957356"/>
      <w:r w:rsidRPr="003B4362">
        <w:t>Amperometric Method II</w:t>
      </w:r>
      <w:bookmarkEnd w:id="3435"/>
      <w:r w:rsidRPr="003B4362">
        <w:t xml:space="preserve">.  </w:t>
      </w:r>
      <w:bookmarkStart w:id="3436" w:name="_Hlk12957417"/>
      <w:r w:rsidRPr="003B4362">
        <w:t>SM 4500-ClO</w:t>
      </w:r>
      <w:r w:rsidRPr="003B4362">
        <w:rPr>
          <w:vertAlign w:val="subscript"/>
        </w:rPr>
        <w:t>2</w:t>
      </w:r>
      <w:r w:rsidRPr="003B4362">
        <w:t xml:space="preserve"> E (93) or SM 4500-ClO</w:t>
      </w:r>
      <w:r w:rsidRPr="003B4362">
        <w:rPr>
          <w:vertAlign w:val="subscript"/>
        </w:rPr>
        <w:t>2</w:t>
      </w:r>
      <w:r w:rsidRPr="003B4362">
        <w:t xml:space="preserve"> E (00)</w:t>
      </w:r>
      <w:bookmarkEnd w:id="3436"/>
      <w:r w:rsidRPr="003B4362">
        <w:t>.</w:t>
      </w:r>
    </w:p>
    <w:p w14:paraId="6A3F53F8" w14:textId="77777777" w:rsidR="00A854E0" w:rsidRDefault="00A854E0" w:rsidP="00A854E0">
      <w:pPr>
        <w:widowControl w:val="0"/>
        <w:suppressAutoHyphens/>
        <w:ind w:left="3600" w:hanging="720"/>
      </w:pPr>
    </w:p>
    <w:p w14:paraId="2F65C938" w14:textId="0CFD3DFA" w:rsidR="0016415F" w:rsidRPr="003B4362" w:rsidRDefault="0016415F" w:rsidP="00A854E0">
      <w:pPr>
        <w:widowControl w:val="0"/>
        <w:suppressAutoHyphens/>
        <w:ind w:left="3600" w:hanging="720"/>
      </w:pPr>
      <w:r w:rsidRPr="003B4362">
        <w:t>iii)</w:t>
      </w:r>
      <w:r w:rsidRPr="003B4362">
        <w:tab/>
      </w:r>
      <w:bookmarkStart w:id="3437" w:name="_Hlk12957485"/>
      <w:r w:rsidRPr="003B4362">
        <w:t>Amperometric Sensor</w:t>
      </w:r>
      <w:bookmarkEnd w:id="3437"/>
      <w:r w:rsidRPr="003B4362">
        <w:t xml:space="preserve">.  </w:t>
      </w:r>
      <w:bookmarkStart w:id="3438" w:name="_Hlk12957510"/>
      <w:r w:rsidR="00077E72" w:rsidRPr="003B4362">
        <w:t xml:space="preserve">Palintest </w:t>
      </w:r>
      <w:r w:rsidRPr="003B4362">
        <w:t>ChlordioX Plus (13)</w:t>
      </w:r>
      <w:r w:rsidR="00077E72" w:rsidRPr="003B4362">
        <w:t xml:space="preserve"> or Palintest ChlordioX Plus (20)</w:t>
      </w:r>
      <w:r w:rsidRPr="003B4362">
        <w:t>.</w:t>
      </w:r>
      <w:bookmarkEnd w:id="3438"/>
    </w:p>
    <w:p w14:paraId="0439C891" w14:textId="77777777" w:rsidR="00A854E0" w:rsidRDefault="00A854E0" w:rsidP="00A854E0">
      <w:pPr>
        <w:widowControl w:val="0"/>
        <w:suppressAutoHyphens/>
        <w:ind w:left="3600" w:hanging="720"/>
      </w:pPr>
    </w:p>
    <w:p w14:paraId="6EE5407C" w14:textId="1A853B1F" w:rsidR="0016415F" w:rsidRPr="003B4362" w:rsidRDefault="0016415F" w:rsidP="00A854E0">
      <w:pPr>
        <w:widowControl w:val="0"/>
        <w:suppressAutoHyphens/>
        <w:ind w:left="3600" w:hanging="720"/>
      </w:pPr>
      <w:r w:rsidRPr="003B4362">
        <w:t>iv)</w:t>
      </w:r>
      <w:r w:rsidRPr="003B4362">
        <w:tab/>
      </w:r>
      <w:bookmarkStart w:id="3439" w:name="_Hlk12957621"/>
      <w:r w:rsidRPr="003B4362">
        <w:t>Lissamine Green Spectrophotometric</w:t>
      </w:r>
      <w:bookmarkEnd w:id="3439"/>
      <w:r w:rsidRPr="003B4362">
        <w:t xml:space="preserve">.  </w:t>
      </w:r>
      <w:bookmarkStart w:id="3440" w:name="_Hlk12957652"/>
      <w:r w:rsidRPr="003B4362">
        <w:t>USEPA 327.0 (05)</w:t>
      </w:r>
      <w:bookmarkEnd w:id="3440"/>
      <w:r w:rsidRPr="003B4362">
        <w:t>.</w:t>
      </w:r>
    </w:p>
    <w:p w14:paraId="43B27611" w14:textId="77777777" w:rsidR="00A854E0" w:rsidRDefault="00A854E0" w:rsidP="00A854E0">
      <w:pPr>
        <w:widowControl w:val="0"/>
        <w:suppressAutoHyphens/>
        <w:ind w:left="2880" w:hanging="720"/>
      </w:pPr>
    </w:p>
    <w:p w14:paraId="6BE7B866" w14:textId="37D00DE9" w:rsidR="0016415F" w:rsidRPr="003B4362" w:rsidRDefault="0016415F" w:rsidP="00A854E0">
      <w:pPr>
        <w:widowControl w:val="0"/>
        <w:suppressAutoHyphens/>
        <w:ind w:left="2880" w:hanging="720"/>
      </w:pPr>
      <w:r w:rsidRPr="003B4362">
        <w:t>E)</w:t>
      </w:r>
      <w:r w:rsidRPr="003B4362">
        <w:tab/>
      </w:r>
      <w:bookmarkStart w:id="3441" w:name="_Hlk132213980"/>
      <w:r w:rsidRPr="003B4362">
        <w:t xml:space="preserve">USEPA approved these methods </w:t>
      </w:r>
      <w:bookmarkEnd w:id="3441"/>
      <w:r w:rsidRPr="003B4362">
        <w:t xml:space="preserve">for measuring the specified disinfectant residual.  The supplier may measure free chlorine or total chlorine </w:t>
      </w:r>
      <w:bookmarkStart w:id="3442" w:name="_Hlk132214059"/>
      <w:r w:rsidRPr="003B4362">
        <w:t>for the chlorine MRDL and combined chlorine</w:t>
      </w:r>
      <w:bookmarkEnd w:id="3442"/>
      <w:r w:rsidRPr="003B4362">
        <w:t xml:space="preserve">.  The supplier may measure total chlorine </w:t>
      </w:r>
      <w:bookmarkStart w:id="3443" w:name="_Hlk132214317"/>
      <w:r w:rsidRPr="003B4362">
        <w:t>for the chloramine MRDL</w:t>
      </w:r>
      <w:bookmarkEnd w:id="3443"/>
      <w:r w:rsidRPr="003B4362">
        <w:t>.</w:t>
      </w:r>
    </w:p>
    <w:p w14:paraId="29E6AC0F" w14:textId="77777777" w:rsidR="00A854E0" w:rsidRDefault="00A854E0" w:rsidP="00A854E0">
      <w:pPr>
        <w:widowControl w:val="0"/>
        <w:suppressAutoHyphens/>
        <w:ind w:left="2160" w:hanging="720"/>
        <w:rPr>
          <w:spacing w:val="-2"/>
        </w:rPr>
      </w:pPr>
    </w:p>
    <w:p w14:paraId="339A1BDD" w14:textId="30683C86" w:rsidR="0016415F" w:rsidRPr="003B4362" w:rsidRDefault="0016415F" w:rsidP="00A854E0">
      <w:pPr>
        <w:widowControl w:val="0"/>
        <w:suppressAutoHyphens/>
        <w:ind w:left="2160" w:hanging="720"/>
      </w:pPr>
      <w:r w:rsidRPr="003B4362">
        <w:rPr>
          <w:spacing w:val="-2"/>
        </w:rPr>
        <w:t>2)</w:t>
      </w:r>
      <w:r w:rsidRPr="003B4362">
        <w:rPr>
          <w:spacing w:val="-2"/>
        </w:rPr>
        <w:tab/>
        <w:t xml:space="preserve">Alternative Methods Available Only upon </w:t>
      </w:r>
      <w:bookmarkStart w:id="3444" w:name="_Hlk132214466"/>
      <w:r w:rsidRPr="003B4362">
        <w:rPr>
          <w:spacing w:val="-2"/>
        </w:rPr>
        <w:t xml:space="preserve">Specific </w:t>
      </w:r>
      <w:r w:rsidR="00D37871" w:rsidRPr="003B4362">
        <w:rPr>
          <w:spacing w:val="-2"/>
        </w:rPr>
        <w:t xml:space="preserve">Agency </w:t>
      </w:r>
      <w:r w:rsidRPr="003B4362">
        <w:rPr>
          <w:spacing w:val="-2"/>
        </w:rPr>
        <w:t>Approval</w:t>
      </w:r>
      <w:bookmarkEnd w:id="3444"/>
    </w:p>
    <w:p w14:paraId="32D65B67" w14:textId="77777777" w:rsidR="00A854E0" w:rsidRDefault="00A854E0" w:rsidP="00A854E0">
      <w:pPr>
        <w:widowControl w:val="0"/>
        <w:suppressAutoHyphens/>
        <w:ind w:left="2880" w:hanging="720"/>
      </w:pPr>
    </w:p>
    <w:p w14:paraId="3A2BBC09" w14:textId="11638AF4" w:rsidR="0016415F" w:rsidRPr="003B4362" w:rsidRDefault="0016415F" w:rsidP="00A854E0">
      <w:pPr>
        <w:widowControl w:val="0"/>
        <w:suppressAutoHyphens/>
        <w:ind w:left="2880" w:hanging="720"/>
      </w:pPr>
      <w:r w:rsidRPr="003B4362">
        <w:t>A)</w:t>
      </w:r>
      <w:r w:rsidRPr="003B4362">
        <w:tab/>
      </w:r>
      <w:bookmarkStart w:id="3445" w:name="_Hlk12958934"/>
      <w:r w:rsidRPr="003B4362">
        <w:t>Test Strips</w:t>
      </w:r>
      <w:bookmarkEnd w:id="3445"/>
      <w:r w:rsidRPr="003B4362">
        <w:t xml:space="preserve">.  </w:t>
      </w:r>
      <w:bookmarkStart w:id="3446" w:name="_Hlk12958994"/>
      <w:r w:rsidRPr="003B4362">
        <w:t>ITS Method D99-003 (03)</w:t>
      </w:r>
      <w:bookmarkEnd w:id="3446"/>
      <w:r w:rsidRPr="003B4362">
        <w:t>.</w:t>
      </w:r>
    </w:p>
    <w:p w14:paraId="3AD97B70" w14:textId="560214CD" w:rsidR="0016415F" w:rsidRPr="003B4362" w:rsidRDefault="0016415F" w:rsidP="00A854E0">
      <w:pPr>
        <w:widowControl w:val="0"/>
        <w:suppressAutoHyphens/>
        <w:ind w:left="2880"/>
      </w:pPr>
      <w:r w:rsidRPr="003B4362">
        <w:t>BOARD NOTE:  USEPA added ITS Method D99-003 (03) as an approved alternative method, contingent upon specific State approval.  T</w:t>
      </w:r>
      <w:bookmarkStart w:id="3447" w:name="_Hlk132214780"/>
      <w:r w:rsidRPr="003B4362">
        <w:t>he Agency</w:t>
      </w:r>
      <w:r w:rsidR="00D37871" w:rsidRPr="003B4362">
        <w:t xml:space="preserve"> may issue a SEP approving this method</w:t>
      </w:r>
      <w:bookmarkStart w:id="3448" w:name="_Hlk132214953"/>
      <w:bookmarkEnd w:id="3447"/>
      <w:r w:rsidR="002D1BD4">
        <w:t xml:space="preserve"> </w:t>
      </w:r>
      <w:r w:rsidRPr="003B4362">
        <w:t>on a case-by-case basis</w:t>
      </w:r>
      <w:bookmarkEnd w:id="3448"/>
      <w:r w:rsidRPr="003B4362">
        <w:t>.</w:t>
      </w:r>
    </w:p>
    <w:p w14:paraId="369BBA11" w14:textId="77777777" w:rsidR="00A854E0" w:rsidRDefault="00A854E0" w:rsidP="00A854E0">
      <w:pPr>
        <w:widowControl w:val="0"/>
        <w:suppressAutoHyphens/>
        <w:ind w:left="2880" w:hanging="720"/>
      </w:pPr>
    </w:p>
    <w:p w14:paraId="44614D2E" w14:textId="647D5110" w:rsidR="0016415F" w:rsidRPr="003B4362" w:rsidRDefault="0016415F" w:rsidP="00A854E0">
      <w:pPr>
        <w:widowControl w:val="0"/>
        <w:suppressAutoHyphens/>
        <w:ind w:left="2880" w:hanging="720"/>
        <w:rPr>
          <w:spacing w:val="-2"/>
        </w:rPr>
      </w:pPr>
      <w:r w:rsidRPr="003B4362">
        <w:t>B)</w:t>
      </w:r>
      <w:r w:rsidRPr="003B4362">
        <w:tab/>
      </w:r>
      <w:r w:rsidRPr="003B4362">
        <w:rPr>
          <w:spacing w:val="-2"/>
        </w:rPr>
        <w:t>I</w:t>
      </w:r>
      <w:bookmarkStart w:id="3449" w:name="_Hlk132215033"/>
      <w:r w:rsidRPr="003B4362">
        <w:rPr>
          <w:spacing w:val="-2"/>
        </w:rPr>
        <w:t>f the Agency</w:t>
      </w:r>
      <w:r w:rsidR="00F251C3" w:rsidRPr="003B4362">
        <w:rPr>
          <w:spacing w:val="-2"/>
        </w:rPr>
        <w:t xml:space="preserve"> </w:t>
      </w:r>
      <w:r w:rsidR="00D37871" w:rsidRPr="003B4362">
        <w:rPr>
          <w:spacing w:val="-2"/>
        </w:rPr>
        <w:t xml:space="preserve">approves </w:t>
      </w:r>
      <w:r w:rsidR="00F251C3" w:rsidRPr="003B4362">
        <w:rPr>
          <w:spacing w:val="-2"/>
        </w:rPr>
        <w:t>in</w:t>
      </w:r>
      <w:r w:rsidRPr="003B4362">
        <w:rPr>
          <w:spacing w:val="-2"/>
        </w:rPr>
        <w:t xml:space="preserve"> a SEP</w:t>
      </w:r>
      <w:bookmarkEnd w:id="3449"/>
      <w:r w:rsidRPr="003B4362">
        <w:rPr>
          <w:spacing w:val="-2"/>
        </w:rPr>
        <w:t xml:space="preserve">, a supplier may also measure residual disinfectant concentrations for chlorine, chloramines, and chlorine dioxide </w:t>
      </w:r>
      <w:bookmarkStart w:id="3450" w:name="_Hlk132215108"/>
      <w:r w:rsidRPr="003B4362">
        <w:rPr>
          <w:spacing w:val="-2"/>
        </w:rPr>
        <w:t>using DPD colorimetric test</w:t>
      </w:r>
      <w:bookmarkEnd w:id="3450"/>
      <w:r w:rsidRPr="003B4362">
        <w:rPr>
          <w:spacing w:val="-2"/>
        </w:rPr>
        <w:t xml:space="preserve"> kits.</w:t>
      </w:r>
    </w:p>
    <w:p w14:paraId="535B716C" w14:textId="77777777" w:rsidR="00A854E0" w:rsidRDefault="00A854E0" w:rsidP="00A854E0">
      <w:pPr>
        <w:widowControl w:val="0"/>
        <w:suppressAutoHyphens/>
        <w:ind w:left="2160" w:hanging="720"/>
        <w:rPr>
          <w:spacing w:val="-2"/>
        </w:rPr>
      </w:pPr>
    </w:p>
    <w:p w14:paraId="63DAC137" w14:textId="0F3DDD32" w:rsidR="0016415F" w:rsidRPr="003B4362" w:rsidRDefault="0016415F" w:rsidP="00A854E0">
      <w:pPr>
        <w:widowControl w:val="0"/>
        <w:suppressAutoHyphens/>
        <w:ind w:left="2160" w:hanging="720"/>
        <w:rPr>
          <w:spacing w:val="-2"/>
        </w:rPr>
      </w:pPr>
      <w:r w:rsidRPr="003B4362">
        <w:rPr>
          <w:spacing w:val="-2"/>
        </w:rPr>
        <w:t>3)</w:t>
      </w:r>
      <w:r w:rsidRPr="003B4362">
        <w:rPr>
          <w:spacing w:val="-2"/>
        </w:rPr>
        <w:tab/>
      </w:r>
      <w:r w:rsidR="00CD5118" w:rsidRPr="003B4362">
        <w:rPr>
          <w:spacing w:val="-2"/>
        </w:rPr>
        <w:t>A</w:t>
      </w:r>
      <w:bookmarkStart w:id="3451" w:name="_Hlk132215313"/>
      <w:r w:rsidR="00CD5118" w:rsidRPr="003B4362">
        <w:rPr>
          <w:spacing w:val="-2"/>
        </w:rPr>
        <w:t xml:space="preserve">n Agency-approved </w:t>
      </w:r>
      <w:r w:rsidRPr="003B4362">
        <w:rPr>
          <w:spacing w:val="-2"/>
        </w:rPr>
        <w:t xml:space="preserve">party </w:t>
      </w:r>
      <w:bookmarkEnd w:id="3451"/>
      <w:r w:rsidRPr="003B4362">
        <w:t xml:space="preserve">must </w:t>
      </w:r>
      <w:r w:rsidRPr="003B4362">
        <w:rPr>
          <w:spacing w:val="-2"/>
        </w:rPr>
        <w:t xml:space="preserve">measure residual disinfectant </w:t>
      </w:r>
      <w:r w:rsidRPr="003B4362">
        <w:rPr>
          <w:spacing w:val="-2"/>
        </w:rPr>
        <w:lastRenderedPageBreak/>
        <w:t>concentration.</w:t>
      </w:r>
    </w:p>
    <w:p w14:paraId="0ABA0B17" w14:textId="77777777" w:rsidR="00A854E0" w:rsidRDefault="00A854E0" w:rsidP="00A854E0">
      <w:pPr>
        <w:widowControl w:val="0"/>
        <w:suppressAutoHyphens/>
        <w:ind w:left="1440" w:hanging="720"/>
        <w:rPr>
          <w:spacing w:val="-2"/>
        </w:rPr>
      </w:pPr>
    </w:p>
    <w:p w14:paraId="5A333D36" w14:textId="761B2727" w:rsidR="0016415F" w:rsidRPr="003B4362" w:rsidRDefault="0016415F" w:rsidP="00A854E0">
      <w:pPr>
        <w:widowControl w:val="0"/>
        <w:suppressAutoHyphens/>
        <w:ind w:left="1440" w:hanging="720"/>
        <w:rPr>
          <w:spacing w:val="-2"/>
        </w:rPr>
      </w:pPr>
      <w:r w:rsidRPr="003B4362">
        <w:rPr>
          <w:spacing w:val="-2"/>
        </w:rPr>
        <w:t>d)</w:t>
      </w:r>
      <w:r w:rsidRPr="003B4362">
        <w:rPr>
          <w:spacing w:val="-2"/>
        </w:rPr>
        <w:tab/>
      </w:r>
      <w:r w:rsidRPr="003B4362">
        <w:rPr>
          <w:spacing w:val="-1"/>
        </w:rPr>
        <w:t>A</w:t>
      </w:r>
      <w:bookmarkStart w:id="3452" w:name="_Hlk132215868"/>
      <w:r w:rsidRPr="003B4362">
        <w:rPr>
          <w:spacing w:val="-1"/>
        </w:rPr>
        <w:t xml:space="preserve"> supplier that must </w:t>
      </w:r>
      <w:r w:rsidRPr="003B4362">
        <w:rPr>
          <w:spacing w:val="-2"/>
        </w:rPr>
        <w:t>analyze</w:t>
      </w:r>
      <w:bookmarkEnd w:id="3452"/>
      <w:r w:rsidRPr="003B4362">
        <w:rPr>
          <w:spacing w:val="-2"/>
        </w:rPr>
        <w:t xml:space="preserve"> parameters not included in subsections (b) and (c) </w:t>
      </w:r>
      <w:r w:rsidRPr="003B4362">
        <w:t xml:space="preserve">must </w:t>
      </w:r>
      <w:r w:rsidRPr="003B4362">
        <w:rPr>
          <w:spacing w:val="-2"/>
        </w:rPr>
        <w:t xml:space="preserve">use the </w:t>
      </w:r>
      <w:bookmarkStart w:id="3453" w:name="_Hlk132215946"/>
      <w:r w:rsidRPr="003B4362">
        <w:rPr>
          <w:spacing w:val="-2"/>
        </w:rPr>
        <w:t>methods in this subsection (d)</w:t>
      </w:r>
      <w:bookmarkEnd w:id="3453"/>
      <w:r w:rsidRPr="003B4362">
        <w:rPr>
          <w:spacing w:val="-2"/>
        </w:rPr>
        <w:t xml:space="preserve">.  </w:t>
      </w:r>
      <w:r w:rsidR="008A302E" w:rsidRPr="003B4362">
        <w:rPr>
          <w:spacing w:val="-2"/>
        </w:rPr>
        <w:t>A</w:t>
      </w:r>
      <w:bookmarkStart w:id="3454" w:name="_Hlk132216250"/>
      <w:r w:rsidR="008A302E" w:rsidRPr="003B4362">
        <w:rPr>
          <w:spacing w:val="-2"/>
        </w:rPr>
        <w:t xml:space="preserve">n Agency-approved </w:t>
      </w:r>
      <w:bookmarkStart w:id="3455" w:name="_Hlk132216139"/>
      <w:r w:rsidRPr="003B4362">
        <w:rPr>
          <w:spacing w:val="-2"/>
        </w:rPr>
        <w:t xml:space="preserve">party </w:t>
      </w:r>
      <w:r w:rsidRPr="003B4362">
        <w:t xml:space="preserve">must </w:t>
      </w:r>
      <w:r w:rsidRPr="003B4362">
        <w:rPr>
          <w:spacing w:val="-2"/>
        </w:rPr>
        <w:t>measure</w:t>
      </w:r>
      <w:bookmarkEnd w:id="3454"/>
      <w:bookmarkEnd w:id="3455"/>
      <w:r w:rsidRPr="003B4362">
        <w:rPr>
          <w:spacing w:val="-2"/>
        </w:rPr>
        <w:t xml:space="preserve"> </w:t>
      </w:r>
      <w:bookmarkStart w:id="3456" w:name="_Hlk132216304"/>
      <w:r w:rsidRPr="003B4362">
        <w:rPr>
          <w:spacing w:val="-2"/>
        </w:rPr>
        <w:t>certain parameters</w:t>
      </w:r>
      <w:bookmarkEnd w:id="3456"/>
      <w:r w:rsidRPr="003B4362">
        <w:t>:</w:t>
      </w:r>
    </w:p>
    <w:p w14:paraId="5399AFF1" w14:textId="77777777" w:rsidR="00A854E0" w:rsidRDefault="00A854E0" w:rsidP="00A854E0">
      <w:pPr>
        <w:widowControl w:val="0"/>
        <w:suppressAutoHyphens/>
        <w:ind w:left="2160" w:hanging="720"/>
        <w:rPr>
          <w:spacing w:val="-2"/>
        </w:rPr>
      </w:pPr>
    </w:p>
    <w:p w14:paraId="7AC01F79" w14:textId="1E483804" w:rsidR="0016415F" w:rsidRPr="003B4362" w:rsidRDefault="0016415F" w:rsidP="00A854E0">
      <w:pPr>
        <w:widowControl w:val="0"/>
        <w:suppressAutoHyphens/>
        <w:ind w:left="2160" w:hanging="720"/>
        <w:rPr>
          <w:spacing w:val="-2"/>
        </w:rPr>
      </w:pPr>
      <w:r w:rsidRPr="003B4362">
        <w:rPr>
          <w:spacing w:val="-2"/>
        </w:rPr>
        <w:t>1)</w:t>
      </w:r>
      <w:r w:rsidRPr="003B4362">
        <w:rPr>
          <w:spacing w:val="-2"/>
        </w:rPr>
        <w:tab/>
        <w:t>Alkalinity.  A</w:t>
      </w:r>
      <w:bookmarkStart w:id="3457" w:name="_Hlk132217546"/>
      <w:r w:rsidRPr="003B4362">
        <w:rPr>
          <w:spacing w:val="-2"/>
        </w:rPr>
        <w:t>ll methods in Section 611.611(a)(21) for alkalinity</w:t>
      </w:r>
      <w:bookmarkEnd w:id="3457"/>
      <w:r w:rsidRPr="003B4362">
        <w:t>.</w:t>
      </w:r>
    </w:p>
    <w:p w14:paraId="6E3B8FAA" w14:textId="77777777" w:rsidR="00A854E0" w:rsidRDefault="00A854E0" w:rsidP="00A854E0">
      <w:pPr>
        <w:widowControl w:val="0"/>
        <w:suppressAutoHyphens/>
        <w:ind w:left="2160" w:hanging="720"/>
        <w:rPr>
          <w:spacing w:val="-2"/>
        </w:rPr>
      </w:pPr>
    </w:p>
    <w:p w14:paraId="37846383" w14:textId="49FF9D1F" w:rsidR="0016415F" w:rsidRPr="003B4362" w:rsidRDefault="0016415F" w:rsidP="00A854E0">
      <w:pPr>
        <w:widowControl w:val="0"/>
        <w:suppressAutoHyphens/>
        <w:ind w:left="2160" w:hanging="720"/>
      </w:pPr>
      <w:r w:rsidRPr="003B4362">
        <w:rPr>
          <w:spacing w:val="-2"/>
        </w:rPr>
        <w:t>2)</w:t>
      </w:r>
      <w:r w:rsidRPr="003B4362">
        <w:rPr>
          <w:spacing w:val="-2"/>
        </w:rPr>
        <w:tab/>
        <w:t xml:space="preserve">Bromide.  Ion Chromatography.  </w:t>
      </w:r>
      <w:bookmarkStart w:id="3458" w:name="_Hlk12963821"/>
      <w:r w:rsidRPr="003B4362">
        <w:rPr>
          <w:spacing w:val="-2"/>
        </w:rPr>
        <w:t>ASTM D6581-00, USEPA 300.0 (93), USEPA 300.1 (97), USEPA 317.0 (01), or USEPA 326.0 (02)</w:t>
      </w:r>
      <w:bookmarkEnd w:id="3458"/>
      <w:r w:rsidRPr="003B4362">
        <w:rPr>
          <w:spacing w:val="-2"/>
        </w:rPr>
        <w:t>.</w:t>
      </w:r>
    </w:p>
    <w:p w14:paraId="653B6251" w14:textId="77777777" w:rsidR="00A854E0" w:rsidRDefault="00A854E0" w:rsidP="00A854E0">
      <w:pPr>
        <w:widowControl w:val="0"/>
        <w:suppressAutoHyphens/>
        <w:ind w:left="2160" w:hanging="720"/>
        <w:rPr>
          <w:spacing w:val="-2"/>
        </w:rPr>
      </w:pPr>
    </w:p>
    <w:p w14:paraId="6CEA6A7C" w14:textId="7E03720D" w:rsidR="0016415F" w:rsidRPr="003B4362" w:rsidRDefault="0016415F" w:rsidP="00A854E0">
      <w:pPr>
        <w:widowControl w:val="0"/>
        <w:suppressAutoHyphens/>
        <w:ind w:left="2160" w:hanging="720"/>
      </w:pPr>
      <w:r w:rsidRPr="003B4362">
        <w:rPr>
          <w:spacing w:val="-2"/>
        </w:rPr>
        <w:t>3)</w:t>
      </w:r>
      <w:r w:rsidRPr="003B4362">
        <w:rPr>
          <w:spacing w:val="-2"/>
        </w:rPr>
        <w:tab/>
        <w:t>Total Organic Carbon (TOC)</w:t>
      </w:r>
      <w:r w:rsidRPr="003B4362">
        <w:t xml:space="preserve">, by any of </w:t>
      </w:r>
      <w:bookmarkStart w:id="3459" w:name="_Hlk2263151"/>
      <w:r w:rsidRPr="003B4362">
        <w:t xml:space="preserve">the </w:t>
      </w:r>
      <w:bookmarkStart w:id="3460" w:name="_Hlk132217610"/>
      <w:r w:rsidRPr="003B4362">
        <w:t>methods in subsection (d)(3)(A)</w:t>
      </w:r>
      <w:bookmarkStart w:id="3461" w:name="_Hlk12960833"/>
      <w:bookmarkEnd w:id="3460"/>
      <w:r w:rsidRPr="003B4362">
        <w:t xml:space="preserve">, </w:t>
      </w:r>
      <w:bookmarkStart w:id="3462" w:name="_Hlk132217646"/>
      <w:r w:rsidRPr="003B4362">
        <w:t>subject to subsection (d)(3)(B)</w:t>
      </w:r>
      <w:bookmarkEnd w:id="3462"/>
      <w:r w:rsidRPr="003B4362">
        <w:t>.</w:t>
      </w:r>
      <w:bookmarkEnd w:id="3459"/>
      <w:bookmarkEnd w:id="3461"/>
    </w:p>
    <w:p w14:paraId="1EAF23F5" w14:textId="77777777" w:rsidR="00A854E0" w:rsidRDefault="00A854E0" w:rsidP="00A854E0">
      <w:pPr>
        <w:widowControl w:val="0"/>
        <w:suppressAutoHyphens/>
        <w:ind w:left="2880" w:hanging="720"/>
      </w:pPr>
    </w:p>
    <w:p w14:paraId="78040557" w14:textId="3237B889" w:rsidR="0016415F" w:rsidRPr="003B4362" w:rsidRDefault="0016415F" w:rsidP="00A854E0">
      <w:pPr>
        <w:widowControl w:val="0"/>
        <w:suppressAutoHyphens/>
        <w:ind w:left="2880" w:hanging="720"/>
      </w:pPr>
      <w:r w:rsidRPr="003B4362">
        <w:t>A)</w:t>
      </w:r>
      <w:r w:rsidRPr="003B4362">
        <w:tab/>
        <w:t>Analytical Methods</w:t>
      </w:r>
    </w:p>
    <w:p w14:paraId="54D769F5" w14:textId="77777777" w:rsidR="00A854E0" w:rsidRDefault="00A854E0" w:rsidP="00A854E0">
      <w:pPr>
        <w:widowControl w:val="0"/>
        <w:suppressAutoHyphens/>
        <w:ind w:left="3600" w:hanging="720"/>
      </w:pPr>
    </w:p>
    <w:p w14:paraId="4D4DC2D5" w14:textId="40032CB8" w:rsidR="0016415F" w:rsidRPr="003B4362" w:rsidRDefault="0016415F" w:rsidP="00A854E0">
      <w:pPr>
        <w:widowControl w:val="0"/>
        <w:suppressAutoHyphens/>
        <w:ind w:left="3600" w:hanging="720"/>
      </w:pPr>
      <w:r w:rsidRPr="003B4362">
        <w:t>i)</w:t>
      </w:r>
      <w:r w:rsidRPr="003B4362">
        <w:tab/>
        <w:t xml:space="preserve">High-Temperature Combustion.  </w:t>
      </w:r>
      <w:bookmarkStart w:id="3463" w:name="_Hlk12964445"/>
      <w:r w:rsidRPr="003B4362">
        <w:t>SM 5310 B (92), SM 5310 B (96), SM 5310 B (00), SM 5310 B (14)</w:t>
      </w:r>
      <w:bookmarkEnd w:id="3463"/>
      <w:r w:rsidRPr="003B4362">
        <w:t>, USEPA 415.3 (05), or USEPA 415.3 (09).</w:t>
      </w:r>
    </w:p>
    <w:p w14:paraId="537CF96B" w14:textId="77777777" w:rsidR="00A854E0" w:rsidRDefault="00A854E0" w:rsidP="00A854E0">
      <w:pPr>
        <w:widowControl w:val="0"/>
        <w:suppressAutoHyphens/>
        <w:ind w:left="3600" w:hanging="720"/>
      </w:pPr>
    </w:p>
    <w:p w14:paraId="3B383255" w14:textId="6708B10C" w:rsidR="0016415F" w:rsidRPr="003B4362" w:rsidRDefault="0016415F" w:rsidP="00A854E0">
      <w:pPr>
        <w:widowControl w:val="0"/>
        <w:suppressAutoHyphens/>
        <w:ind w:left="3600" w:hanging="720"/>
      </w:pPr>
      <w:r w:rsidRPr="003B4362">
        <w:t>ii)</w:t>
      </w:r>
      <w:r w:rsidRPr="003B4362">
        <w:tab/>
        <w:t>Persulfate-Ultraviolet or Heated-Persulfate Oxidation.  Hach 10267 (15),</w:t>
      </w:r>
      <w:bookmarkStart w:id="3464" w:name="_Hlk36925425"/>
      <w:r w:rsidRPr="003B4362">
        <w:t xml:space="preserve"> SM 5310 C (92)</w:t>
      </w:r>
      <w:bookmarkEnd w:id="3464"/>
      <w:r w:rsidRPr="003B4362">
        <w:t xml:space="preserve">, SM 5310 C (96), SM 5310 C (00), SM 5310 C (14), </w:t>
      </w:r>
      <w:bookmarkStart w:id="3465" w:name="_Hlk12964682"/>
      <w:r w:rsidRPr="003B4362">
        <w:t>USEPA 415.3 (05), or USEPA 415.3 (09)</w:t>
      </w:r>
      <w:bookmarkEnd w:id="3465"/>
      <w:r w:rsidRPr="003B4362">
        <w:t>.</w:t>
      </w:r>
    </w:p>
    <w:p w14:paraId="555D7BD7" w14:textId="77777777" w:rsidR="00A854E0" w:rsidRDefault="00A854E0" w:rsidP="00A854E0">
      <w:pPr>
        <w:widowControl w:val="0"/>
        <w:suppressAutoHyphens/>
        <w:ind w:left="3600" w:hanging="720"/>
      </w:pPr>
    </w:p>
    <w:p w14:paraId="75EFAF42" w14:textId="7C795276" w:rsidR="0016415F" w:rsidRPr="003B4362" w:rsidRDefault="0016415F" w:rsidP="00A854E0">
      <w:pPr>
        <w:widowControl w:val="0"/>
        <w:suppressAutoHyphens/>
        <w:ind w:left="3600" w:hanging="720"/>
      </w:pPr>
      <w:r w:rsidRPr="003B4362">
        <w:t>iii)</w:t>
      </w:r>
      <w:r w:rsidRPr="003B4362">
        <w:tab/>
        <w:t>Wet Oxidation Method.  SM 5310 D (92), SM 5310 D (96), SM 5310 D (00), SM 5310 D (14), USEPA 415.3 (05), or USEPA 415.3 (09).</w:t>
      </w:r>
    </w:p>
    <w:p w14:paraId="7D3633F5" w14:textId="77777777" w:rsidR="00A854E0" w:rsidRDefault="00A854E0" w:rsidP="00A854E0">
      <w:pPr>
        <w:widowControl w:val="0"/>
        <w:suppressAutoHyphens/>
        <w:ind w:left="3600" w:hanging="720"/>
      </w:pPr>
    </w:p>
    <w:p w14:paraId="072362A7" w14:textId="7E64D46C" w:rsidR="0016415F" w:rsidRPr="003B4362" w:rsidRDefault="0016415F" w:rsidP="00A854E0">
      <w:pPr>
        <w:widowControl w:val="0"/>
        <w:suppressAutoHyphens/>
        <w:ind w:left="3600" w:hanging="720"/>
      </w:pPr>
      <w:r w:rsidRPr="003B4362">
        <w:t>iv)</w:t>
      </w:r>
      <w:r w:rsidRPr="003B4362">
        <w:tab/>
        <w:t xml:space="preserve">Ozone Oxidation.  </w:t>
      </w:r>
      <w:bookmarkStart w:id="3466" w:name="_Hlk12967457"/>
      <w:r w:rsidRPr="003B4362">
        <w:t>Hach 10261 (15)</w:t>
      </w:r>
      <w:bookmarkEnd w:id="3466"/>
      <w:r w:rsidRPr="003B4362">
        <w:t>.</w:t>
      </w:r>
    </w:p>
    <w:p w14:paraId="3DDF44DD" w14:textId="77777777" w:rsidR="00A854E0" w:rsidRDefault="00A854E0" w:rsidP="00A854E0">
      <w:pPr>
        <w:widowControl w:val="0"/>
        <w:suppressAutoHyphens/>
        <w:ind w:left="2880" w:hanging="720"/>
      </w:pPr>
    </w:p>
    <w:p w14:paraId="738C54E4" w14:textId="2374409B" w:rsidR="0016415F" w:rsidRPr="003B4362" w:rsidRDefault="0016415F" w:rsidP="00A854E0">
      <w:pPr>
        <w:widowControl w:val="0"/>
        <w:suppressAutoHyphens/>
        <w:ind w:left="2880" w:hanging="720"/>
      </w:pPr>
      <w:r w:rsidRPr="003B4362">
        <w:t>B)</w:t>
      </w:r>
      <w:r w:rsidRPr="003B4362">
        <w:tab/>
        <w:t>T</w:t>
      </w:r>
      <w:bookmarkStart w:id="3467" w:name="_Hlk132217736"/>
      <w:r w:rsidRPr="003B4362">
        <w:t xml:space="preserve">he supplier must remove inorganic </w:t>
      </w:r>
      <w:r w:rsidRPr="003B4362">
        <w:rPr>
          <w:szCs w:val="18"/>
        </w:rPr>
        <w:t xml:space="preserve">carbon </w:t>
      </w:r>
      <w:bookmarkEnd w:id="3467"/>
      <w:r w:rsidRPr="003B4362">
        <w:rPr>
          <w:szCs w:val="18"/>
        </w:rPr>
        <w:t>from the samples prior to analysis.  T</w:t>
      </w:r>
      <w:bookmarkStart w:id="3468" w:name="_Hlk132217794"/>
      <w:r w:rsidRPr="003B4362">
        <w:rPr>
          <w:szCs w:val="18"/>
        </w:rPr>
        <w:t xml:space="preserve">he supplier and </w:t>
      </w:r>
      <w:r w:rsidRPr="003B4362">
        <w:t>supplier</w:t>
      </w:r>
      <w:r w:rsidRPr="003B4362">
        <w:rPr>
          <w:szCs w:val="18"/>
        </w:rPr>
        <w:t xml:space="preserve"> must not filter </w:t>
      </w:r>
      <w:r w:rsidRPr="003B4362">
        <w:t xml:space="preserve">TOC samples </w:t>
      </w:r>
      <w:bookmarkEnd w:id="3468"/>
      <w:r w:rsidRPr="003B4362">
        <w:t>prior to analysis.  T</w:t>
      </w:r>
      <w:bookmarkStart w:id="3469" w:name="_Hlk132217842"/>
      <w:r w:rsidRPr="003B4362">
        <w:t xml:space="preserve">he supplier must acidify TOC samples </w:t>
      </w:r>
      <w:bookmarkEnd w:id="3469"/>
      <w:r w:rsidRPr="003B4362">
        <w:t xml:space="preserve">at the time of sample collection to achieve pH less than or equal to 2 with minimal addition of </w:t>
      </w:r>
      <w:bookmarkStart w:id="3470" w:name="_Hlk132217961"/>
      <w:r w:rsidRPr="003B4362">
        <w:t xml:space="preserve">the acid the method </w:t>
      </w:r>
      <w:r w:rsidR="00C2075F" w:rsidRPr="003B4362">
        <w:t xml:space="preserve">specifies </w:t>
      </w:r>
      <w:r w:rsidRPr="003B4362">
        <w:t>or instrument manufacturer rec</w:t>
      </w:r>
      <w:r w:rsidR="00C2075F" w:rsidRPr="003B4362">
        <w:t>o</w:t>
      </w:r>
      <w:r w:rsidRPr="003B4362">
        <w:t>mmends</w:t>
      </w:r>
      <w:bookmarkEnd w:id="3470"/>
      <w:r w:rsidRPr="003B4362">
        <w:t>.  T</w:t>
      </w:r>
      <w:bookmarkStart w:id="3471" w:name="_Hlk132218100"/>
      <w:r w:rsidRPr="003B4362">
        <w:t xml:space="preserve">he supplier must analyze acidified TOC samples </w:t>
      </w:r>
      <w:bookmarkEnd w:id="3471"/>
      <w:r w:rsidRPr="003B4362">
        <w:t>within 28 days.</w:t>
      </w:r>
    </w:p>
    <w:p w14:paraId="718B4B03" w14:textId="77777777" w:rsidR="00A854E0" w:rsidRDefault="00A854E0" w:rsidP="00A854E0">
      <w:pPr>
        <w:widowControl w:val="0"/>
        <w:suppressAutoHyphens/>
        <w:ind w:left="2160" w:hanging="720"/>
      </w:pPr>
    </w:p>
    <w:p w14:paraId="69A19FD1" w14:textId="3961A1DC" w:rsidR="0016415F" w:rsidRPr="003B4362" w:rsidRDefault="0016415F" w:rsidP="00A854E0">
      <w:pPr>
        <w:widowControl w:val="0"/>
        <w:suppressAutoHyphens/>
        <w:ind w:left="2160" w:hanging="720"/>
        <w:rPr>
          <w:spacing w:val="-2"/>
        </w:rPr>
      </w:pPr>
      <w:r w:rsidRPr="003B4362">
        <w:t>4)</w:t>
      </w:r>
      <w:r w:rsidRPr="003B4362">
        <w:tab/>
        <w:t>Specific Ultraviolet Absorbance (S</w:t>
      </w:r>
      <w:r w:rsidRPr="003B4362">
        <w:rPr>
          <w:spacing w:val="-2"/>
        </w:rPr>
        <w:t>UVA).  SUVA is equal to the UV absorption at 254 nm (UV</w:t>
      </w:r>
      <w:r w:rsidRPr="003B4362">
        <w:rPr>
          <w:spacing w:val="-2"/>
          <w:vertAlign w:val="subscript"/>
        </w:rPr>
        <w:t>254</w:t>
      </w:r>
      <w:r w:rsidRPr="003B4362">
        <w:rPr>
          <w:spacing w:val="-2"/>
        </w:rPr>
        <w:t>) (measured in m</w:t>
      </w:r>
      <w:r w:rsidRPr="003B4362">
        <w:rPr>
          <w:spacing w:val="-2"/>
          <w:vertAlign w:val="superscript"/>
        </w:rPr>
        <w:t>-</w:t>
      </w:r>
      <w:r w:rsidRPr="003B4362">
        <w:rPr>
          <w:vertAlign w:val="superscript"/>
        </w:rPr>
        <w:t>1</w:t>
      </w:r>
      <w:r w:rsidRPr="003B4362">
        <w:t>) divided</w:t>
      </w:r>
      <w:r w:rsidRPr="003B4362">
        <w:rPr>
          <w:spacing w:val="-2"/>
        </w:rPr>
        <w:t xml:space="preserve"> by the dissolved organic carbon (DOC) concentration (measured as mg/</w:t>
      </w:r>
      <w:r w:rsidR="002E7704" w:rsidRPr="003B4362">
        <w:t xml:space="preserve"> L</w:t>
      </w:r>
      <w:r w:rsidRPr="003B4362">
        <w:rPr>
          <w:spacing w:val="-2"/>
        </w:rPr>
        <w:t>).  T</w:t>
      </w:r>
      <w:bookmarkStart w:id="3472" w:name="_Hlk132218257"/>
      <w:r w:rsidRPr="003B4362">
        <w:rPr>
          <w:spacing w:val="-2"/>
        </w:rPr>
        <w:t xml:space="preserve">o </w:t>
      </w:r>
      <w:r w:rsidRPr="003B4362">
        <w:t xml:space="preserve">determine </w:t>
      </w:r>
      <w:r w:rsidRPr="003B4362">
        <w:rPr>
          <w:spacing w:val="-2"/>
        </w:rPr>
        <w:t>SUVA</w:t>
      </w:r>
      <w:bookmarkEnd w:id="3472"/>
      <w:r w:rsidRPr="003B4362">
        <w:rPr>
          <w:spacing w:val="-2"/>
        </w:rPr>
        <w:t xml:space="preserve">, </w:t>
      </w:r>
      <w:bookmarkStart w:id="3473" w:name="_Hlk132218335"/>
      <w:r w:rsidRPr="003B4362">
        <w:rPr>
          <w:spacing w:val="-2"/>
        </w:rPr>
        <w:t xml:space="preserve">the </w:t>
      </w:r>
      <w:r w:rsidRPr="003B4362">
        <w:t>supplier</w:t>
      </w:r>
      <w:r w:rsidRPr="003B4362">
        <w:rPr>
          <w:spacing w:val="-2"/>
        </w:rPr>
        <w:t xml:space="preserve"> must separately measure</w:t>
      </w:r>
      <w:bookmarkEnd w:id="3473"/>
      <w:r w:rsidRPr="003B4362">
        <w:rPr>
          <w:spacing w:val="-2"/>
        </w:rPr>
        <w:t xml:space="preserve"> UV</w:t>
      </w:r>
      <w:r w:rsidRPr="003B4362">
        <w:rPr>
          <w:spacing w:val="-2"/>
          <w:vertAlign w:val="subscript"/>
        </w:rPr>
        <w:t>254</w:t>
      </w:r>
      <w:r w:rsidRPr="003B4362">
        <w:rPr>
          <w:spacing w:val="-2"/>
        </w:rPr>
        <w:t xml:space="preserve"> and DOC.  </w:t>
      </w:r>
      <w:r w:rsidRPr="003B4362">
        <w:t xml:space="preserve">When determining SUVA, a supplier </w:t>
      </w:r>
      <w:r w:rsidRPr="003B4362">
        <w:rPr>
          <w:spacing w:val="-2"/>
        </w:rPr>
        <w:t xml:space="preserve">must </w:t>
      </w:r>
      <w:bookmarkStart w:id="3474" w:name="_Hlk132219772"/>
      <w:r w:rsidRPr="003B4362">
        <w:rPr>
          <w:spacing w:val="-2"/>
        </w:rPr>
        <w:t>use the methods in subsection (d)(4)(</w:t>
      </w:r>
      <w:r w:rsidRPr="003B4362">
        <w:t>A</w:t>
      </w:r>
      <w:r w:rsidRPr="003B4362">
        <w:rPr>
          <w:spacing w:val="-2"/>
        </w:rPr>
        <w:t>) for DOC and the method in subsection (d)(4)(</w:t>
      </w:r>
      <w:r w:rsidRPr="003B4362">
        <w:t>B</w:t>
      </w:r>
      <w:r w:rsidRPr="003B4362">
        <w:rPr>
          <w:spacing w:val="-2"/>
        </w:rPr>
        <w:t>) for UV</w:t>
      </w:r>
      <w:r w:rsidRPr="003B4362">
        <w:rPr>
          <w:spacing w:val="-2"/>
          <w:vertAlign w:val="subscript"/>
        </w:rPr>
        <w:t>254</w:t>
      </w:r>
      <w:bookmarkEnd w:id="3474"/>
      <w:r w:rsidRPr="003B4362">
        <w:rPr>
          <w:spacing w:val="-2"/>
        </w:rPr>
        <w:t>.  T</w:t>
      </w:r>
      <w:bookmarkStart w:id="3475" w:name="_Hlk132219940"/>
      <w:r w:rsidRPr="003B4362">
        <w:rPr>
          <w:spacing w:val="-2"/>
        </w:rPr>
        <w:t xml:space="preserve">he </w:t>
      </w:r>
      <w:r w:rsidR="007C7EE3" w:rsidRPr="003B4362">
        <w:rPr>
          <w:spacing w:val="-2"/>
        </w:rPr>
        <w:lastRenderedPageBreak/>
        <w:t>s</w:t>
      </w:r>
      <w:r w:rsidRPr="003B4362">
        <w:rPr>
          <w:spacing w:val="-2"/>
        </w:rPr>
        <w:t xml:space="preserve">upplier must determine SUVA </w:t>
      </w:r>
      <w:bookmarkStart w:id="3476" w:name="_Hlk132220019"/>
      <w:bookmarkEnd w:id="3475"/>
      <w:r w:rsidRPr="003B4362">
        <w:rPr>
          <w:spacing w:val="-2"/>
        </w:rPr>
        <w:t xml:space="preserve">on water </w:t>
      </w:r>
      <w:bookmarkStart w:id="3477" w:name="_Hlk132220089"/>
      <w:r w:rsidRPr="003B4362">
        <w:rPr>
          <w:spacing w:val="-2"/>
        </w:rPr>
        <w:t xml:space="preserve">prior to </w:t>
      </w:r>
      <w:r w:rsidR="007C7EE3" w:rsidRPr="003B4362">
        <w:rPr>
          <w:spacing w:val="-2"/>
        </w:rPr>
        <w:t xml:space="preserve">the supplier </w:t>
      </w:r>
      <w:r w:rsidRPr="003B4362">
        <w:rPr>
          <w:spacing w:val="-2"/>
        </w:rPr>
        <w:t>adding disinfectants or oxidants</w:t>
      </w:r>
      <w:bookmarkEnd w:id="3476"/>
      <w:bookmarkEnd w:id="3477"/>
      <w:r w:rsidRPr="003B4362">
        <w:rPr>
          <w:spacing w:val="-2"/>
        </w:rPr>
        <w:t>.  T</w:t>
      </w:r>
      <w:bookmarkStart w:id="3478" w:name="_Hlk132220236"/>
      <w:r w:rsidRPr="003B4362">
        <w:rPr>
          <w:spacing w:val="-2"/>
        </w:rPr>
        <w:t>he supplier must take DOC and UV</w:t>
      </w:r>
      <w:r w:rsidRPr="003B4362">
        <w:rPr>
          <w:spacing w:val="-2"/>
          <w:vertAlign w:val="subscript"/>
        </w:rPr>
        <w:t>254</w:t>
      </w:r>
      <w:r w:rsidRPr="003B4362">
        <w:rPr>
          <w:spacing w:val="-2"/>
        </w:rPr>
        <w:t xml:space="preserve"> samples for a SUVA value </w:t>
      </w:r>
      <w:bookmarkEnd w:id="3478"/>
      <w:r w:rsidRPr="003B4362">
        <w:rPr>
          <w:spacing w:val="-2"/>
        </w:rPr>
        <w:t>at the same time and at the same location</w:t>
      </w:r>
      <w:r w:rsidRPr="003B4362">
        <w:t>.</w:t>
      </w:r>
    </w:p>
    <w:p w14:paraId="5E17AC72" w14:textId="77777777" w:rsidR="00A854E0" w:rsidRDefault="00A854E0" w:rsidP="00A854E0">
      <w:pPr>
        <w:widowControl w:val="0"/>
        <w:suppressAutoHyphens/>
        <w:ind w:left="2880" w:hanging="720"/>
        <w:rPr>
          <w:spacing w:val="-2"/>
        </w:rPr>
      </w:pPr>
    </w:p>
    <w:p w14:paraId="787D11D4" w14:textId="07C9A6FB" w:rsidR="0016415F" w:rsidRPr="003B4362" w:rsidRDefault="0016415F" w:rsidP="00A854E0">
      <w:pPr>
        <w:widowControl w:val="0"/>
        <w:suppressAutoHyphens/>
        <w:ind w:left="2880" w:hanging="720"/>
        <w:rPr>
          <w:spacing w:val="-2"/>
        </w:rPr>
      </w:pPr>
      <w:r w:rsidRPr="003B4362">
        <w:rPr>
          <w:spacing w:val="-2"/>
        </w:rPr>
        <w:t>A)</w:t>
      </w:r>
      <w:r w:rsidRPr="003B4362">
        <w:rPr>
          <w:spacing w:val="-2"/>
        </w:rPr>
        <w:tab/>
        <w:t xml:space="preserve">Dissolved Organic Carbon (DOC).  Prior to analysis, </w:t>
      </w:r>
      <w:bookmarkStart w:id="3479" w:name="_Hlk132220347"/>
      <w:r w:rsidRPr="003B4362">
        <w:rPr>
          <w:spacing w:val="-2"/>
        </w:rPr>
        <w:t xml:space="preserve">the </w:t>
      </w:r>
      <w:r w:rsidRPr="003B4362">
        <w:t>supplier</w:t>
      </w:r>
      <w:r w:rsidRPr="003B4362">
        <w:rPr>
          <w:spacing w:val="-2"/>
        </w:rPr>
        <w:t xml:space="preserve"> must filter </w:t>
      </w:r>
      <w:bookmarkStart w:id="3480" w:name="_Hlk132221574"/>
      <w:r w:rsidRPr="003B4362">
        <w:rPr>
          <w:spacing w:val="-2"/>
        </w:rPr>
        <w:t xml:space="preserve">DOC samples </w:t>
      </w:r>
      <w:bookmarkEnd w:id="3479"/>
      <w:bookmarkEnd w:id="3480"/>
      <w:r w:rsidRPr="003B4362">
        <w:rPr>
          <w:spacing w:val="-2"/>
        </w:rPr>
        <w:t xml:space="preserve">through the 0.45 </w:t>
      </w:r>
      <w:r w:rsidRPr="003B4362">
        <w:rPr>
          <w:spacing w:val="-2"/>
        </w:rPr>
        <w:sym w:font="Symbol" w:char="F06D"/>
      </w:r>
      <w:r w:rsidRPr="003B4362">
        <w:rPr>
          <w:spacing w:val="-2"/>
        </w:rPr>
        <w:t>m pore</w:t>
      </w:r>
      <w:r w:rsidRPr="003B4362">
        <w:rPr>
          <w:spacing w:val="-2"/>
        </w:rPr>
        <w:noBreakHyphen/>
        <w:t>diameter filter as soon as practical after sampling, not to exceed 48 hours.  After filtration</w:t>
      </w:r>
      <w:r w:rsidRPr="003B4362">
        <w:rPr>
          <w:szCs w:val="18"/>
        </w:rPr>
        <w:t xml:space="preserve">, </w:t>
      </w:r>
      <w:bookmarkStart w:id="3481" w:name="_Hlk132220407"/>
      <w:r w:rsidRPr="003B4362">
        <w:rPr>
          <w:szCs w:val="18"/>
        </w:rPr>
        <w:t xml:space="preserve">the supplier must acidify DOC samples </w:t>
      </w:r>
      <w:bookmarkEnd w:id="3481"/>
      <w:r w:rsidRPr="003B4362">
        <w:rPr>
          <w:szCs w:val="18"/>
        </w:rPr>
        <w:t xml:space="preserve">to achieve pH less than or equal to 2 with minimal addition of </w:t>
      </w:r>
      <w:bookmarkStart w:id="3482" w:name="_Hlk132220490"/>
      <w:r w:rsidRPr="003B4362">
        <w:rPr>
          <w:szCs w:val="18"/>
        </w:rPr>
        <w:t>the acid the method or instrument manufacturer specifies</w:t>
      </w:r>
      <w:bookmarkEnd w:id="3482"/>
      <w:r w:rsidRPr="003B4362">
        <w:rPr>
          <w:szCs w:val="18"/>
        </w:rPr>
        <w:t>.  T</w:t>
      </w:r>
      <w:bookmarkStart w:id="3483" w:name="_Hlk132220602"/>
      <w:r w:rsidRPr="003B4362">
        <w:rPr>
          <w:szCs w:val="18"/>
        </w:rPr>
        <w:t xml:space="preserve">he supplier must analyze acidified DOC samples </w:t>
      </w:r>
      <w:bookmarkEnd w:id="3483"/>
      <w:r w:rsidRPr="003B4362">
        <w:rPr>
          <w:szCs w:val="18"/>
        </w:rPr>
        <w:t>within 28 days after sample collection.  T</w:t>
      </w:r>
      <w:bookmarkStart w:id="3484" w:name="_Hlk132220691"/>
      <w:r w:rsidRPr="003B4362">
        <w:rPr>
          <w:szCs w:val="18"/>
        </w:rPr>
        <w:t xml:space="preserve">he supplier must remove inorganic carbon </w:t>
      </w:r>
      <w:bookmarkEnd w:id="3484"/>
      <w:r w:rsidRPr="003B4362">
        <w:rPr>
          <w:szCs w:val="18"/>
        </w:rPr>
        <w:t>from the samples prior to analysis.  T</w:t>
      </w:r>
      <w:bookmarkStart w:id="3485" w:name="_Hlk132220793"/>
      <w:r w:rsidRPr="003B4362">
        <w:rPr>
          <w:szCs w:val="18"/>
        </w:rPr>
        <w:t xml:space="preserve">he supplier must use water </w:t>
      </w:r>
      <w:r w:rsidRPr="003B4362">
        <w:rPr>
          <w:spacing w:val="-2"/>
        </w:rPr>
        <w:t>passed through the filter as</w:t>
      </w:r>
      <w:bookmarkEnd w:id="3485"/>
      <w:r w:rsidRPr="003B4362">
        <w:rPr>
          <w:spacing w:val="-2"/>
        </w:rPr>
        <w:t xml:space="preserve"> the filtered blank.  T</w:t>
      </w:r>
      <w:bookmarkStart w:id="3486" w:name="_Hlk132220852"/>
      <w:bookmarkStart w:id="3487" w:name="_Hlk132221043"/>
      <w:r w:rsidRPr="003B4362">
        <w:rPr>
          <w:spacing w:val="-2"/>
        </w:rPr>
        <w:t xml:space="preserve">he supplier must analyze this filtered blank </w:t>
      </w:r>
      <w:bookmarkEnd w:id="3486"/>
      <w:r w:rsidRPr="003B4362">
        <w:rPr>
          <w:spacing w:val="-2"/>
        </w:rPr>
        <w:t xml:space="preserve">using </w:t>
      </w:r>
      <w:bookmarkStart w:id="3488" w:name="_Hlk132220916"/>
      <w:r w:rsidRPr="003B4362">
        <w:rPr>
          <w:spacing w:val="-2"/>
        </w:rPr>
        <w:t xml:space="preserve">procedures </w:t>
      </w:r>
      <w:bookmarkStart w:id="3489" w:name="_Hlk132221149"/>
      <w:r w:rsidRPr="003B4362">
        <w:rPr>
          <w:spacing w:val="-2"/>
        </w:rPr>
        <w:t>identical to those it used</w:t>
      </w:r>
      <w:bookmarkEnd w:id="3489"/>
      <w:r w:rsidRPr="003B4362">
        <w:rPr>
          <w:spacing w:val="-2"/>
        </w:rPr>
        <w:t xml:space="preserve"> for analysis of the samples</w:t>
      </w:r>
      <w:bookmarkEnd w:id="3487"/>
      <w:r w:rsidRPr="003B4362">
        <w:rPr>
          <w:spacing w:val="-2"/>
        </w:rPr>
        <w:t xml:space="preserve">, </w:t>
      </w:r>
      <w:bookmarkStart w:id="3490" w:name="_Hlk132221232"/>
      <w:r w:rsidRPr="003B4362">
        <w:rPr>
          <w:spacing w:val="-2"/>
        </w:rPr>
        <w:t>and the blank must less than 0.5 mg/</w:t>
      </w:r>
      <w:r w:rsidR="002E7704" w:rsidRPr="003B4362">
        <w:t xml:space="preserve"> L</w:t>
      </w:r>
      <w:r w:rsidRPr="003B4362">
        <w:t xml:space="preserve"> DOC</w:t>
      </w:r>
      <w:bookmarkEnd w:id="3488"/>
      <w:bookmarkEnd w:id="3490"/>
      <w:r w:rsidRPr="003B4362">
        <w:rPr>
          <w:spacing w:val="-2"/>
        </w:rPr>
        <w:t>.</w:t>
      </w:r>
    </w:p>
    <w:p w14:paraId="16360073" w14:textId="77777777" w:rsidR="00A854E0" w:rsidRDefault="00A854E0" w:rsidP="00A854E0">
      <w:pPr>
        <w:widowControl w:val="0"/>
        <w:suppressAutoHyphens/>
        <w:ind w:left="3600" w:hanging="720"/>
        <w:rPr>
          <w:spacing w:val="-2"/>
        </w:rPr>
      </w:pPr>
    </w:p>
    <w:p w14:paraId="7121EA59" w14:textId="4D3F7345" w:rsidR="0016415F" w:rsidRPr="003B4362" w:rsidRDefault="0016415F" w:rsidP="00A854E0">
      <w:pPr>
        <w:widowControl w:val="0"/>
        <w:suppressAutoHyphens/>
        <w:ind w:left="3600" w:hanging="720"/>
        <w:rPr>
          <w:spacing w:val="-2"/>
        </w:rPr>
      </w:pPr>
      <w:r w:rsidRPr="003B4362">
        <w:rPr>
          <w:spacing w:val="-2"/>
        </w:rPr>
        <w:t>i)</w:t>
      </w:r>
      <w:r w:rsidRPr="003B4362">
        <w:rPr>
          <w:spacing w:val="-2"/>
        </w:rPr>
        <w:tab/>
        <w:t xml:space="preserve">High-Temperature Combustion Method.  </w:t>
      </w:r>
      <w:bookmarkStart w:id="3491" w:name="_Hlk12968677"/>
      <w:r w:rsidRPr="003B4362">
        <w:t xml:space="preserve">SM </w:t>
      </w:r>
      <w:r w:rsidRPr="003B4362">
        <w:rPr>
          <w:spacing w:val="-2"/>
        </w:rPr>
        <w:t>5310 B</w:t>
      </w:r>
      <w:r w:rsidRPr="003B4362">
        <w:t xml:space="preserve"> (92), SM 5310 B (96), SM 5310 B (00), SM 5310 B (14),</w:t>
      </w:r>
      <w:r w:rsidRPr="003B4362">
        <w:rPr>
          <w:spacing w:val="-2"/>
        </w:rPr>
        <w:t xml:space="preserve"> </w:t>
      </w:r>
      <w:r w:rsidRPr="003B4362">
        <w:t>USEPA 415.3 (05), or USEPA 415.3 (09)</w:t>
      </w:r>
      <w:bookmarkEnd w:id="3491"/>
      <w:r w:rsidRPr="003B4362">
        <w:rPr>
          <w:spacing w:val="-2"/>
        </w:rPr>
        <w:t>.</w:t>
      </w:r>
    </w:p>
    <w:p w14:paraId="37ADA191" w14:textId="77777777" w:rsidR="00A854E0" w:rsidRDefault="00A854E0" w:rsidP="00A854E0">
      <w:pPr>
        <w:widowControl w:val="0"/>
        <w:suppressAutoHyphens/>
        <w:ind w:left="3600" w:hanging="720"/>
        <w:rPr>
          <w:spacing w:val="-2"/>
        </w:rPr>
      </w:pPr>
    </w:p>
    <w:p w14:paraId="3D284DBF" w14:textId="30BC0236" w:rsidR="0016415F" w:rsidRPr="003B4362" w:rsidRDefault="0016415F" w:rsidP="00A854E0">
      <w:pPr>
        <w:widowControl w:val="0"/>
        <w:suppressAutoHyphens/>
        <w:ind w:left="3600" w:hanging="720"/>
        <w:rPr>
          <w:spacing w:val="-2"/>
        </w:rPr>
      </w:pPr>
      <w:r w:rsidRPr="003B4362">
        <w:rPr>
          <w:spacing w:val="-2"/>
        </w:rPr>
        <w:t>ii)</w:t>
      </w:r>
      <w:r w:rsidRPr="003B4362">
        <w:rPr>
          <w:spacing w:val="-2"/>
        </w:rPr>
        <w:tab/>
        <w:t>Persulfate-Ultraviolet or Heated</w:t>
      </w:r>
      <w:r w:rsidRPr="003B4362">
        <w:rPr>
          <w:spacing w:val="-2"/>
        </w:rPr>
        <w:noBreakHyphen/>
        <w:t xml:space="preserve">Persulfate Oxidation Method.  </w:t>
      </w:r>
      <w:bookmarkStart w:id="3492" w:name="_Hlk12968939"/>
      <w:r w:rsidRPr="003B4362">
        <w:rPr>
          <w:spacing w:val="-2"/>
        </w:rPr>
        <w:t>SM</w:t>
      </w:r>
      <w:r w:rsidRPr="003B4362">
        <w:t xml:space="preserve"> </w:t>
      </w:r>
      <w:r w:rsidRPr="003B4362">
        <w:rPr>
          <w:spacing w:val="-2"/>
        </w:rPr>
        <w:t>5310 C</w:t>
      </w:r>
      <w:r w:rsidRPr="003B4362">
        <w:t xml:space="preserve"> (92), SM 5310 C (96), SM 5310 C (00), SM 5310 C (14),</w:t>
      </w:r>
      <w:r w:rsidRPr="003B4362">
        <w:rPr>
          <w:spacing w:val="-2"/>
        </w:rPr>
        <w:t xml:space="preserve"> </w:t>
      </w:r>
      <w:r w:rsidRPr="003B4362">
        <w:t>US</w:t>
      </w:r>
      <w:r w:rsidRPr="003B4362">
        <w:rPr>
          <w:spacing w:val="-2"/>
        </w:rPr>
        <w:t>EPA 415.3</w:t>
      </w:r>
      <w:r w:rsidRPr="003B4362">
        <w:t xml:space="preserve"> (05), or USEPA 415.3 (09)</w:t>
      </w:r>
      <w:bookmarkEnd w:id="3492"/>
      <w:r w:rsidRPr="003B4362">
        <w:rPr>
          <w:spacing w:val="-2"/>
        </w:rPr>
        <w:t>.</w:t>
      </w:r>
    </w:p>
    <w:p w14:paraId="1DC1F32C" w14:textId="77777777" w:rsidR="00A854E0" w:rsidRDefault="00A854E0" w:rsidP="00A854E0">
      <w:pPr>
        <w:widowControl w:val="0"/>
        <w:suppressAutoHyphens/>
        <w:ind w:left="3600" w:hanging="720"/>
        <w:rPr>
          <w:spacing w:val="-2"/>
        </w:rPr>
      </w:pPr>
    </w:p>
    <w:p w14:paraId="4E3B6424" w14:textId="1B1C0A40" w:rsidR="0016415F" w:rsidRPr="003B4362" w:rsidRDefault="0016415F" w:rsidP="00A854E0">
      <w:pPr>
        <w:widowControl w:val="0"/>
        <w:suppressAutoHyphens/>
        <w:ind w:left="3600" w:hanging="720"/>
        <w:rPr>
          <w:spacing w:val="-2"/>
        </w:rPr>
      </w:pPr>
      <w:r w:rsidRPr="003B4362">
        <w:rPr>
          <w:spacing w:val="-2"/>
        </w:rPr>
        <w:t>iii)</w:t>
      </w:r>
      <w:r w:rsidRPr="003B4362">
        <w:rPr>
          <w:spacing w:val="-2"/>
        </w:rPr>
        <w:tab/>
        <w:t>Wet</w:t>
      </w:r>
      <w:r w:rsidRPr="003B4362">
        <w:rPr>
          <w:spacing w:val="-2"/>
        </w:rPr>
        <w:noBreakHyphen/>
        <w:t xml:space="preserve">Oxidation Method.  </w:t>
      </w:r>
      <w:bookmarkStart w:id="3493" w:name="_Hlk12969055"/>
      <w:r w:rsidRPr="003B4362">
        <w:t xml:space="preserve">SM </w:t>
      </w:r>
      <w:r w:rsidRPr="003B4362">
        <w:rPr>
          <w:spacing w:val="-2"/>
        </w:rPr>
        <w:t>5310 D</w:t>
      </w:r>
      <w:r w:rsidRPr="003B4362">
        <w:t xml:space="preserve"> (92), (96), SM 5310 D (00),</w:t>
      </w:r>
      <w:r w:rsidRPr="003B4362">
        <w:rPr>
          <w:spacing w:val="-2"/>
        </w:rPr>
        <w:t xml:space="preserve"> </w:t>
      </w:r>
      <w:r w:rsidRPr="003B4362">
        <w:t>USEPA 415.3 (05), or USEPA 415.3 (09)</w:t>
      </w:r>
      <w:bookmarkEnd w:id="3493"/>
      <w:r w:rsidRPr="003B4362">
        <w:rPr>
          <w:spacing w:val="-2"/>
        </w:rPr>
        <w:t>.</w:t>
      </w:r>
    </w:p>
    <w:p w14:paraId="2B4A4F83" w14:textId="77777777" w:rsidR="00A854E0" w:rsidRDefault="00A854E0" w:rsidP="00A854E0">
      <w:pPr>
        <w:widowControl w:val="0"/>
        <w:suppressAutoHyphens/>
        <w:ind w:left="2880" w:hanging="720"/>
      </w:pPr>
    </w:p>
    <w:p w14:paraId="577D850E" w14:textId="349AA21F" w:rsidR="0016415F" w:rsidRPr="003B4362" w:rsidRDefault="0016415F" w:rsidP="00A854E0">
      <w:pPr>
        <w:widowControl w:val="0"/>
        <w:suppressAutoHyphens/>
        <w:ind w:left="2880" w:hanging="720"/>
        <w:rPr>
          <w:spacing w:val="-2"/>
        </w:rPr>
      </w:pPr>
      <w:r w:rsidRPr="003B4362">
        <w:t>B)</w:t>
      </w:r>
      <w:r w:rsidRPr="003B4362">
        <w:tab/>
        <w:t>Ultraviolet Absorption at 254 nm (UV</w:t>
      </w:r>
      <w:r w:rsidRPr="003B4362">
        <w:rPr>
          <w:vertAlign w:val="subscript"/>
        </w:rPr>
        <w:t>254</w:t>
      </w:r>
      <w:r w:rsidRPr="003B4362">
        <w:t xml:space="preserve">) by Spectrometry. </w:t>
      </w:r>
      <w:bookmarkStart w:id="3494" w:name="_Hlk12970145"/>
      <w:r w:rsidRPr="003B4362">
        <w:t xml:space="preserve"> SM 5910 B (94), SM 5910 B (00), 5910 B (11), 5910 B (13), USEPA 415.3 (05), or USEPA 415.3 (09)</w:t>
      </w:r>
      <w:bookmarkEnd w:id="3494"/>
      <w:r w:rsidRPr="003B4362">
        <w:rPr>
          <w:spacing w:val="-2"/>
        </w:rPr>
        <w:t>.  T</w:t>
      </w:r>
      <w:bookmarkStart w:id="3495" w:name="_Hlk132221534"/>
      <w:r w:rsidRPr="003B4362">
        <w:rPr>
          <w:spacing w:val="-2"/>
        </w:rPr>
        <w:t xml:space="preserve">he supplier must measure UV absorption </w:t>
      </w:r>
      <w:bookmarkEnd w:id="3495"/>
      <w:r w:rsidRPr="003B4362">
        <w:rPr>
          <w:spacing w:val="-2"/>
        </w:rPr>
        <w:t>at 253.7 nm (may be rounded off to 254 nm).  Prior to analysis, t</w:t>
      </w:r>
      <w:bookmarkStart w:id="3496" w:name="_Hlk132221636"/>
      <w:r w:rsidRPr="003B4362">
        <w:rPr>
          <w:spacing w:val="-2"/>
        </w:rPr>
        <w:t>he supplier must filter UV</w:t>
      </w:r>
      <w:r w:rsidRPr="003B4362">
        <w:rPr>
          <w:spacing w:val="-2"/>
          <w:vertAlign w:val="subscript"/>
        </w:rPr>
        <w:t>254</w:t>
      </w:r>
      <w:r w:rsidRPr="003B4362">
        <w:rPr>
          <w:spacing w:val="-2"/>
        </w:rPr>
        <w:t xml:space="preserve"> samples </w:t>
      </w:r>
      <w:bookmarkEnd w:id="3496"/>
      <w:r w:rsidRPr="003B4362">
        <w:rPr>
          <w:spacing w:val="-2"/>
        </w:rPr>
        <w:t xml:space="preserve">through a 0.45 </w:t>
      </w:r>
      <w:r w:rsidRPr="003B4362">
        <w:rPr>
          <w:spacing w:val="-2"/>
        </w:rPr>
        <w:sym w:font="Symbol" w:char="F06D"/>
      </w:r>
      <w:r w:rsidRPr="003B4362">
        <w:rPr>
          <w:spacing w:val="-2"/>
        </w:rPr>
        <w:t>m pore</w:t>
      </w:r>
      <w:r w:rsidRPr="003B4362">
        <w:rPr>
          <w:spacing w:val="-2"/>
        </w:rPr>
        <w:noBreakHyphen/>
        <w:t>diameter filter.  T</w:t>
      </w:r>
      <w:bookmarkStart w:id="3497" w:name="_Hlk132221687"/>
      <w:r w:rsidRPr="003B4362">
        <w:rPr>
          <w:spacing w:val="-2"/>
        </w:rPr>
        <w:t>he supplier must not adjust pH of UV</w:t>
      </w:r>
      <w:r w:rsidRPr="003B4362">
        <w:rPr>
          <w:spacing w:val="-2"/>
          <w:vertAlign w:val="subscript"/>
        </w:rPr>
        <w:t>254</w:t>
      </w:r>
      <w:r w:rsidRPr="003B4362">
        <w:rPr>
          <w:spacing w:val="-2"/>
        </w:rPr>
        <w:t xml:space="preserve"> samples</w:t>
      </w:r>
      <w:bookmarkEnd w:id="3497"/>
      <w:r w:rsidRPr="003B4362">
        <w:rPr>
          <w:spacing w:val="-2"/>
        </w:rPr>
        <w:t>.  T</w:t>
      </w:r>
      <w:bookmarkStart w:id="3498" w:name="_Hlk132221739"/>
      <w:r w:rsidRPr="003B4362">
        <w:rPr>
          <w:spacing w:val="-2"/>
        </w:rPr>
        <w:t xml:space="preserve">he supplier must analyze samples </w:t>
      </w:r>
      <w:bookmarkEnd w:id="3498"/>
      <w:r w:rsidRPr="003B4362">
        <w:rPr>
          <w:spacing w:val="-2"/>
        </w:rPr>
        <w:t>as soon as practical after sampling, not to exceed 48 hours.</w:t>
      </w:r>
    </w:p>
    <w:p w14:paraId="102DC249" w14:textId="77777777" w:rsidR="00A854E0" w:rsidRDefault="00A854E0" w:rsidP="00A854E0">
      <w:pPr>
        <w:widowControl w:val="0"/>
        <w:suppressAutoHyphens/>
        <w:ind w:left="2160" w:hanging="720"/>
        <w:rPr>
          <w:spacing w:val="-2"/>
        </w:rPr>
      </w:pPr>
    </w:p>
    <w:p w14:paraId="05664AF9" w14:textId="5CD91CAB" w:rsidR="0016415F" w:rsidRPr="003B4362" w:rsidRDefault="0016415F" w:rsidP="00A854E0">
      <w:pPr>
        <w:widowControl w:val="0"/>
        <w:suppressAutoHyphens/>
        <w:ind w:left="2160" w:hanging="720"/>
        <w:rPr>
          <w:spacing w:val="-2"/>
        </w:rPr>
      </w:pPr>
      <w:r w:rsidRPr="003B4362">
        <w:rPr>
          <w:spacing w:val="-2"/>
        </w:rPr>
        <w:t>5)</w:t>
      </w:r>
      <w:r w:rsidRPr="003B4362">
        <w:rPr>
          <w:spacing w:val="-2"/>
        </w:rPr>
        <w:tab/>
        <w:t xml:space="preserve">pH.  All </w:t>
      </w:r>
      <w:bookmarkStart w:id="3499" w:name="_Hlk132221861"/>
      <w:r w:rsidRPr="003B4362">
        <w:rPr>
          <w:spacing w:val="-2"/>
        </w:rPr>
        <w:t>methods in Section 611.611(a)(17) for pH</w:t>
      </w:r>
      <w:bookmarkEnd w:id="3499"/>
      <w:r w:rsidRPr="003B4362">
        <w:rPr>
          <w:spacing w:val="-2"/>
        </w:rPr>
        <w:t>.</w:t>
      </w:r>
    </w:p>
    <w:p w14:paraId="31B4D3B2" w14:textId="77777777" w:rsidR="00A854E0" w:rsidRDefault="00A854E0" w:rsidP="00A854E0">
      <w:pPr>
        <w:widowControl w:val="0"/>
        <w:ind w:left="2160" w:hanging="720"/>
      </w:pPr>
    </w:p>
    <w:p w14:paraId="4056E09D" w14:textId="46832F27" w:rsidR="0016415F" w:rsidRPr="003B4362" w:rsidRDefault="0016415F" w:rsidP="00A854E0">
      <w:pPr>
        <w:widowControl w:val="0"/>
        <w:ind w:left="2160" w:hanging="720"/>
        <w:rPr>
          <w:sz w:val="20"/>
        </w:rPr>
      </w:pPr>
      <w:r w:rsidRPr="003B4362">
        <w:t>6)</w:t>
      </w:r>
      <w:r w:rsidRPr="003B4362">
        <w:tab/>
        <w:t xml:space="preserve">Magnesium.  All methods in Section 611.611(a) for </w:t>
      </w:r>
      <w:bookmarkStart w:id="3500" w:name="_Hlk132221948"/>
      <w:r w:rsidRPr="003B4362">
        <w:t>magnesium</w:t>
      </w:r>
      <w:bookmarkEnd w:id="3500"/>
      <w:r w:rsidRPr="003B4362">
        <w:t>.</w:t>
      </w:r>
    </w:p>
    <w:p w14:paraId="469CC804" w14:textId="77777777" w:rsidR="00A854E0" w:rsidRDefault="00A854E0" w:rsidP="00A854E0">
      <w:pPr>
        <w:widowControl w:val="0"/>
      </w:pPr>
    </w:p>
    <w:p w14:paraId="5FF3BCAD" w14:textId="012A160E" w:rsidR="0016415F" w:rsidRPr="003B4362" w:rsidRDefault="0016415F" w:rsidP="00A854E0">
      <w:pPr>
        <w:widowControl w:val="0"/>
      </w:pPr>
      <w:r w:rsidRPr="003B4362">
        <w:t xml:space="preserve">BOARD NOTE:  </w:t>
      </w:r>
      <w:r w:rsidR="003F03B0" w:rsidRPr="003B4362">
        <w:rPr>
          <w:spacing w:val="-3"/>
        </w:rPr>
        <w:t xml:space="preserve">This Section derives </w:t>
      </w:r>
      <w:r w:rsidRPr="003B4362">
        <w:t xml:space="preserve">from 40 CFR 141.131 and appendix A to 40 CFR 141.  </w:t>
      </w:r>
      <w:r w:rsidRPr="003B4362">
        <w:lastRenderedPageBreak/>
        <w:t>T</w:t>
      </w:r>
      <w:bookmarkStart w:id="3501" w:name="_Hlk132222105"/>
      <w:r w:rsidRPr="003B4362">
        <w:t>he Board d</w:t>
      </w:r>
      <w:r w:rsidR="00F53D02" w:rsidRPr="003B4362">
        <w:t>id</w:t>
      </w:r>
      <w:r w:rsidRPr="003B4362">
        <w:t xml:space="preserve"> not separately list approved alternative methods</w:t>
      </w:r>
      <w:bookmarkEnd w:id="3501"/>
      <w:r w:rsidRPr="003B4362">
        <w:t xml:space="preserve"> from Standard Methods Online that are the same version as </w:t>
      </w:r>
      <w:bookmarkStart w:id="3502" w:name="_Hlk132222527"/>
      <w:r w:rsidRPr="003B4362">
        <w:t xml:space="preserve">a method </w:t>
      </w:r>
      <w:r w:rsidR="00AC3823" w:rsidRPr="003B4362">
        <w:t xml:space="preserve">appearing </w:t>
      </w:r>
      <w:r w:rsidRPr="003B4362">
        <w:t>in a printed edition</w:t>
      </w:r>
      <w:bookmarkEnd w:id="3502"/>
      <w:r w:rsidRPr="003B4362">
        <w:t xml:space="preserve"> of Standard Methods.  </w:t>
      </w:r>
      <w:r w:rsidR="00AC3823" w:rsidRPr="003B4362">
        <w:rPr>
          <w:szCs w:val="22"/>
        </w:rPr>
        <w:t>U</w:t>
      </w:r>
      <w:bookmarkStart w:id="3503" w:name="_Hlk132222576"/>
      <w:r w:rsidR="00AC3823" w:rsidRPr="003B4362">
        <w:rPr>
          <w:szCs w:val="22"/>
        </w:rPr>
        <w:t xml:space="preserve">sing </w:t>
      </w:r>
      <w:r w:rsidRPr="003B4362">
        <w:t>the Standard Methods Online copy</w:t>
      </w:r>
      <w:bookmarkEnd w:id="3503"/>
      <w:r w:rsidRPr="003B4362">
        <w:t xml:space="preserve"> is acceptable.</w:t>
      </w:r>
    </w:p>
    <w:p w14:paraId="741DC362" w14:textId="77777777" w:rsidR="00A854E0" w:rsidRDefault="00A854E0" w:rsidP="00A854E0">
      <w:pPr>
        <w:widowControl w:val="0"/>
        <w:ind w:left="720"/>
      </w:pPr>
    </w:p>
    <w:p w14:paraId="249A2A4B" w14:textId="4C690626" w:rsidR="0016415F" w:rsidRPr="003B4362" w:rsidRDefault="0016415F" w:rsidP="00A854E0">
      <w:pPr>
        <w:widowControl w:val="0"/>
        <w:ind w:left="720"/>
      </w:pPr>
      <w:r w:rsidRPr="003B4362">
        <w:t>Standard Methods Online, Methods 4500</w:t>
      </w:r>
      <w:r w:rsidRPr="003B4362">
        <w:noBreakHyphen/>
        <w:t>Cl D-93, 4500</w:t>
      </w:r>
      <w:r w:rsidRPr="003B4362">
        <w:noBreakHyphen/>
        <w:t>Cl E-93, 4500</w:t>
      </w:r>
      <w:r w:rsidRPr="003B4362">
        <w:noBreakHyphen/>
        <w:t>Cl F-93, 4500</w:t>
      </w:r>
      <w:r w:rsidRPr="003B4362">
        <w:noBreakHyphen/>
        <w:t>Cl G-93, 4500</w:t>
      </w:r>
      <w:r w:rsidRPr="003B4362">
        <w:noBreakHyphen/>
        <w:t>Cl H-93, and 4500</w:t>
      </w:r>
      <w:r w:rsidRPr="003B4362">
        <w:noBreakHyphen/>
        <w:t>Cl I-93 appear in the 19th and 20th editions as Methods 4500</w:t>
      </w:r>
      <w:r w:rsidRPr="003B4362">
        <w:noBreakHyphen/>
        <w:t>Cl D, 4500</w:t>
      </w:r>
      <w:r w:rsidRPr="003B4362">
        <w:noBreakHyphen/>
        <w:t>Cl E, 4500</w:t>
      </w:r>
      <w:r w:rsidRPr="003B4362">
        <w:noBreakHyphen/>
        <w:t>Cl F, 4500</w:t>
      </w:r>
      <w:r w:rsidRPr="003B4362">
        <w:noBreakHyphen/>
        <w:t>Cl G, 4500</w:t>
      </w:r>
      <w:r w:rsidRPr="003B4362">
        <w:noBreakHyphen/>
        <w:t>Cl H, and 4500</w:t>
      </w:r>
      <w:r w:rsidRPr="003B4362">
        <w:noBreakHyphen/>
        <w:t xml:space="preserve">Cl I.  </w:t>
      </w:r>
      <w:r w:rsidR="001D4993" w:rsidRPr="003B4362">
        <w:t>T</w:t>
      </w:r>
      <w:bookmarkStart w:id="3504" w:name="_Hlk132223153"/>
      <w:r w:rsidR="001D4993" w:rsidRPr="003B4362">
        <w:t xml:space="preserve">hese </w:t>
      </w:r>
      <w:r w:rsidRPr="003B4362">
        <w:t xml:space="preserve">appear </w:t>
      </w:r>
      <w:r w:rsidR="001D4993" w:rsidRPr="003B4362">
        <w:t xml:space="preserve">in this Section </w:t>
      </w:r>
      <w:r w:rsidRPr="003B4362">
        <w:t>as</w:t>
      </w:r>
      <w:bookmarkEnd w:id="3504"/>
      <w:r w:rsidRPr="003B4362">
        <w:t xml:space="preserve"> SM 4500</w:t>
      </w:r>
      <w:r w:rsidRPr="003B4362">
        <w:noBreakHyphen/>
        <w:t>Cl D (93), SM 4500</w:t>
      </w:r>
      <w:r w:rsidRPr="003B4362">
        <w:noBreakHyphen/>
        <w:t>Cl E (93), SM 4500</w:t>
      </w:r>
      <w:r w:rsidRPr="003B4362">
        <w:noBreakHyphen/>
        <w:t>Cl F (93), SM 4500</w:t>
      </w:r>
      <w:r w:rsidRPr="003B4362">
        <w:noBreakHyphen/>
        <w:t>Cl G (93), SM 4500</w:t>
      </w:r>
      <w:r w:rsidRPr="003B4362">
        <w:noBreakHyphen/>
        <w:t>Cl H (93), and SM 4500</w:t>
      </w:r>
      <w:r w:rsidRPr="003B4362">
        <w:noBreakHyphen/>
        <w:t>Cl I (93).</w:t>
      </w:r>
    </w:p>
    <w:p w14:paraId="2E16E636" w14:textId="77777777" w:rsidR="00A854E0" w:rsidRDefault="00A854E0" w:rsidP="00A854E0">
      <w:pPr>
        <w:widowControl w:val="0"/>
        <w:ind w:left="720"/>
      </w:pPr>
    </w:p>
    <w:p w14:paraId="495532DF" w14:textId="34DD6FCD" w:rsidR="0016415F" w:rsidRPr="003B4362" w:rsidRDefault="0016415F" w:rsidP="00A854E0">
      <w:pPr>
        <w:widowControl w:val="0"/>
        <w:ind w:left="720"/>
      </w:pPr>
      <w:r w:rsidRPr="003B4362">
        <w:t>Standard Methods Online, Methods 4500</w:t>
      </w:r>
      <w:r w:rsidRPr="003B4362">
        <w:noBreakHyphen/>
        <w:t>Cl D-00, 4500</w:t>
      </w:r>
      <w:r w:rsidRPr="003B4362">
        <w:noBreakHyphen/>
        <w:t>Cl E-00, 4500</w:t>
      </w:r>
      <w:r w:rsidRPr="003B4362">
        <w:noBreakHyphen/>
        <w:t>Cl F-00, 4500</w:t>
      </w:r>
      <w:r w:rsidRPr="003B4362">
        <w:noBreakHyphen/>
        <w:t>Cl G-00, 4500</w:t>
      </w:r>
      <w:r w:rsidRPr="003B4362">
        <w:noBreakHyphen/>
        <w:t>Cl H-00, and 4500</w:t>
      </w:r>
      <w:r w:rsidRPr="003B4362">
        <w:noBreakHyphen/>
        <w:t>Cl I-00 appear in the 21st, 22nd, and 23rd editions as Methods 4500</w:t>
      </w:r>
      <w:r w:rsidRPr="003B4362">
        <w:noBreakHyphen/>
        <w:t>Cl D, 4500</w:t>
      </w:r>
      <w:r w:rsidRPr="003B4362">
        <w:noBreakHyphen/>
        <w:t>Cl E, 4500</w:t>
      </w:r>
      <w:r w:rsidRPr="003B4362">
        <w:noBreakHyphen/>
        <w:t>Cl F, 4500</w:t>
      </w:r>
      <w:r w:rsidRPr="003B4362">
        <w:noBreakHyphen/>
        <w:t>Cl G, 4500</w:t>
      </w:r>
      <w:r w:rsidRPr="003B4362">
        <w:noBreakHyphen/>
        <w:t>Cl H, and 4500</w:t>
      </w:r>
      <w:r w:rsidRPr="003B4362">
        <w:noBreakHyphen/>
        <w:t xml:space="preserve">Cl I.  </w:t>
      </w:r>
      <w:r w:rsidR="001D4993" w:rsidRPr="003B4362">
        <w:t xml:space="preserve">These appear in this Section </w:t>
      </w:r>
      <w:r w:rsidRPr="003B4362">
        <w:t>as SM 4500</w:t>
      </w:r>
      <w:r w:rsidRPr="003B4362">
        <w:noBreakHyphen/>
        <w:t>Cl D (00), 4500</w:t>
      </w:r>
      <w:r w:rsidRPr="003B4362">
        <w:noBreakHyphen/>
        <w:t>Cl E (00), 4500</w:t>
      </w:r>
      <w:r w:rsidRPr="003B4362">
        <w:noBreakHyphen/>
        <w:t>Cl F (00), 4500</w:t>
      </w:r>
      <w:r w:rsidRPr="003B4362">
        <w:noBreakHyphen/>
        <w:t>Cl G (00), 4500</w:t>
      </w:r>
      <w:r w:rsidRPr="003B4362">
        <w:noBreakHyphen/>
        <w:t>Cl H (00), and 4500</w:t>
      </w:r>
      <w:r w:rsidRPr="003B4362">
        <w:noBreakHyphen/>
        <w:t>Cl I (00).</w:t>
      </w:r>
    </w:p>
    <w:p w14:paraId="3F179F60" w14:textId="77777777" w:rsidR="00A854E0" w:rsidRDefault="00A854E0" w:rsidP="00A854E0">
      <w:pPr>
        <w:widowControl w:val="0"/>
        <w:ind w:left="720"/>
      </w:pPr>
    </w:p>
    <w:p w14:paraId="648D749E" w14:textId="3F8A7E2F" w:rsidR="0016415F" w:rsidRPr="003B4362" w:rsidRDefault="0016415F" w:rsidP="00A854E0">
      <w:pPr>
        <w:widowControl w:val="0"/>
        <w:ind w:left="720"/>
      </w:pPr>
      <w:r w:rsidRPr="003B4362">
        <w:t>Standard Methods Online, Methods 4500</w:t>
      </w:r>
      <w:r w:rsidRPr="003B4362">
        <w:noBreakHyphen/>
        <w:t>ClO</w:t>
      </w:r>
      <w:r w:rsidRPr="003B4362">
        <w:rPr>
          <w:vertAlign w:val="subscript"/>
        </w:rPr>
        <w:t>2</w:t>
      </w:r>
      <w:r w:rsidRPr="003B4362">
        <w:t xml:space="preserve"> D-93 and 4500</w:t>
      </w:r>
      <w:r w:rsidRPr="003B4362">
        <w:noBreakHyphen/>
        <w:t>ClO</w:t>
      </w:r>
      <w:r w:rsidRPr="003B4362">
        <w:rPr>
          <w:vertAlign w:val="subscript"/>
        </w:rPr>
        <w:t>2</w:t>
      </w:r>
      <w:r w:rsidRPr="003B4362">
        <w:t xml:space="preserve"> E-93 appear in the 19th and 20th editions as Methods 4500</w:t>
      </w:r>
      <w:r w:rsidRPr="003B4362">
        <w:noBreakHyphen/>
        <w:t>ClO</w:t>
      </w:r>
      <w:r w:rsidRPr="003B4362">
        <w:rPr>
          <w:vertAlign w:val="subscript"/>
        </w:rPr>
        <w:t>2</w:t>
      </w:r>
      <w:r w:rsidRPr="003B4362">
        <w:t xml:space="preserve"> D and 4500</w:t>
      </w:r>
      <w:r w:rsidRPr="003B4362">
        <w:noBreakHyphen/>
        <w:t>ClO</w:t>
      </w:r>
      <w:r w:rsidRPr="003B4362">
        <w:rPr>
          <w:vertAlign w:val="subscript"/>
        </w:rPr>
        <w:t>2</w:t>
      </w:r>
      <w:r w:rsidRPr="003B4362">
        <w:t xml:space="preserve"> E.  </w:t>
      </w:r>
      <w:r w:rsidR="001D4993" w:rsidRPr="003B4362">
        <w:t xml:space="preserve">These appear in this Section </w:t>
      </w:r>
      <w:r w:rsidRPr="003B4362">
        <w:t>as SM 4500</w:t>
      </w:r>
      <w:r w:rsidRPr="003B4362">
        <w:noBreakHyphen/>
        <w:t>ClO</w:t>
      </w:r>
      <w:r w:rsidRPr="003B4362">
        <w:rPr>
          <w:vertAlign w:val="subscript"/>
        </w:rPr>
        <w:t>2</w:t>
      </w:r>
      <w:r w:rsidRPr="003B4362">
        <w:t xml:space="preserve"> D (93) and SM 4500</w:t>
      </w:r>
      <w:r w:rsidRPr="003B4362">
        <w:noBreakHyphen/>
        <w:t>ClO</w:t>
      </w:r>
      <w:r w:rsidRPr="003B4362">
        <w:rPr>
          <w:vertAlign w:val="subscript"/>
        </w:rPr>
        <w:t>2</w:t>
      </w:r>
      <w:r w:rsidRPr="003B4362">
        <w:t xml:space="preserve"> E (93).</w:t>
      </w:r>
    </w:p>
    <w:p w14:paraId="18D2CD71" w14:textId="77777777" w:rsidR="00A854E0" w:rsidRDefault="00A854E0" w:rsidP="00A854E0">
      <w:pPr>
        <w:widowControl w:val="0"/>
        <w:ind w:left="720"/>
      </w:pPr>
    </w:p>
    <w:p w14:paraId="21BFC8E9" w14:textId="0849F899" w:rsidR="0016415F" w:rsidRPr="003B4362" w:rsidRDefault="0016415F" w:rsidP="00A854E0">
      <w:pPr>
        <w:widowControl w:val="0"/>
        <w:ind w:left="720"/>
      </w:pPr>
      <w:r w:rsidRPr="003B4362">
        <w:t>Standard Methods Online, Methods 4500</w:t>
      </w:r>
      <w:r w:rsidRPr="003B4362">
        <w:noBreakHyphen/>
        <w:t>ClO</w:t>
      </w:r>
      <w:r w:rsidRPr="003B4362">
        <w:rPr>
          <w:vertAlign w:val="subscript"/>
        </w:rPr>
        <w:t>2</w:t>
      </w:r>
      <w:r w:rsidRPr="003B4362">
        <w:t xml:space="preserve"> D-00 and 4500</w:t>
      </w:r>
      <w:r w:rsidRPr="003B4362">
        <w:noBreakHyphen/>
        <w:t>ClO</w:t>
      </w:r>
      <w:r w:rsidRPr="003B4362">
        <w:rPr>
          <w:vertAlign w:val="subscript"/>
        </w:rPr>
        <w:t>2</w:t>
      </w:r>
      <w:r w:rsidRPr="003B4362">
        <w:t xml:space="preserve"> E-00 appear in the 21st, 22nd, and 23rd editions as Methods 4500</w:t>
      </w:r>
      <w:r w:rsidRPr="003B4362">
        <w:noBreakHyphen/>
        <w:t>ClO</w:t>
      </w:r>
      <w:r w:rsidRPr="003B4362">
        <w:rPr>
          <w:vertAlign w:val="subscript"/>
        </w:rPr>
        <w:t>2</w:t>
      </w:r>
      <w:r w:rsidRPr="003B4362">
        <w:t xml:space="preserve"> D and 4500</w:t>
      </w:r>
      <w:r w:rsidRPr="003B4362">
        <w:noBreakHyphen/>
        <w:t>ClO</w:t>
      </w:r>
      <w:r w:rsidRPr="003B4362">
        <w:rPr>
          <w:vertAlign w:val="subscript"/>
        </w:rPr>
        <w:t>2</w:t>
      </w:r>
      <w:r w:rsidRPr="003B4362">
        <w:t xml:space="preserve"> E.  </w:t>
      </w:r>
      <w:r w:rsidR="001D4993" w:rsidRPr="003B4362">
        <w:t xml:space="preserve">These appear in this Section </w:t>
      </w:r>
      <w:r w:rsidRPr="003B4362">
        <w:t>as SM 4500</w:t>
      </w:r>
      <w:r w:rsidRPr="003B4362">
        <w:noBreakHyphen/>
        <w:t>ClO</w:t>
      </w:r>
      <w:r w:rsidRPr="003B4362">
        <w:rPr>
          <w:vertAlign w:val="subscript"/>
        </w:rPr>
        <w:t>2</w:t>
      </w:r>
      <w:r w:rsidRPr="003B4362">
        <w:t xml:space="preserve"> D (00) and SM 4500</w:t>
      </w:r>
      <w:r w:rsidRPr="003B4362">
        <w:noBreakHyphen/>
        <w:t>ClO</w:t>
      </w:r>
      <w:r w:rsidRPr="003B4362">
        <w:rPr>
          <w:vertAlign w:val="subscript"/>
        </w:rPr>
        <w:t>2</w:t>
      </w:r>
      <w:r w:rsidRPr="003B4362">
        <w:t xml:space="preserve"> E (00).</w:t>
      </w:r>
    </w:p>
    <w:p w14:paraId="6DE96EE9" w14:textId="77777777" w:rsidR="00A854E0" w:rsidRDefault="00A854E0" w:rsidP="00A854E0">
      <w:pPr>
        <w:widowControl w:val="0"/>
        <w:ind w:left="720"/>
      </w:pPr>
      <w:bookmarkStart w:id="3505" w:name="_Hlk3977116"/>
    </w:p>
    <w:p w14:paraId="558B619E" w14:textId="6A2022F1" w:rsidR="0016415F" w:rsidRPr="003B4362" w:rsidRDefault="0016415F" w:rsidP="00A854E0">
      <w:pPr>
        <w:widowControl w:val="0"/>
        <w:ind w:left="720"/>
      </w:pPr>
      <w:r w:rsidRPr="003B4362">
        <w:t>Standard Methods Online, Methods 5310 B-00, 5310 C-00, and 5310 D-00</w:t>
      </w:r>
      <w:bookmarkEnd w:id="3505"/>
      <w:r w:rsidRPr="003B4362">
        <w:t xml:space="preserve"> appear in the 21st and 22nd editions as Methods 5310 B, 5310 C, and 5310 D.  </w:t>
      </w:r>
      <w:r w:rsidR="001D4993" w:rsidRPr="003B4362">
        <w:t xml:space="preserve">These appear in this Section </w:t>
      </w:r>
      <w:r w:rsidRPr="003B4362">
        <w:t>as SM 5310 B (00), SM 5310 C (00), and SM 5310 D (00).</w:t>
      </w:r>
    </w:p>
    <w:p w14:paraId="4917414F" w14:textId="77777777" w:rsidR="00A854E0" w:rsidRDefault="00A854E0" w:rsidP="00A854E0">
      <w:pPr>
        <w:widowControl w:val="0"/>
        <w:ind w:left="720"/>
      </w:pPr>
      <w:bookmarkStart w:id="3506" w:name="_Hlk3977140"/>
    </w:p>
    <w:p w14:paraId="5F2CD578" w14:textId="2F50C80C" w:rsidR="0016415F" w:rsidRPr="003B4362" w:rsidRDefault="0016415F" w:rsidP="00A854E0">
      <w:pPr>
        <w:widowControl w:val="0"/>
        <w:ind w:left="720"/>
      </w:pPr>
      <w:r w:rsidRPr="003B4362">
        <w:t>Standard Methods Online, Method 5910 B-00</w:t>
      </w:r>
      <w:bookmarkEnd w:id="3506"/>
      <w:r w:rsidRPr="003B4362">
        <w:t xml:space="preserve"> appears in the 21st edition as Method 5910 B.  </w:t>
      </w:r>
      <w:r w:rsidR="001D4993" w:rsidRPr="003B4362">
        <w:t>Th</w:t>
      </w:r>
      <w:r w:rsidR="000B405E" w:rsidRPr="003B4362">
        <w:t>is</w:t>
      </w:r>
      <w:r w:rsidR="001D4993" w:rsidRPr="003B4362">
        <w:t xml:space="preserve"> appear</w:t>
      </w:r>
      <w:r w:rsidR="000B405E" w:rsidRPr="003B4362">
        <w:t>s</w:t>
      </w:r>
      <w:r w:rsidR="001D4993" w:rsidRPr="003B4362">
        <w:t xml:space="preserve"> in this Section </w:t>
      </w:r>
      <w:r w:rsidRPr="003B4362">
        <w:t>as SM 5910 B (00).</w:t>
      </w:r>
    </w:p>
    <w:p w14:paraId="2D9A74B9" w14:textId="77777777" w:rsidR="00A854E0" w:rsidRDefault="00A854E0" w:rsidP="00A854E0">
      <w:pPr>
        <w:widowControl w:val="0"/>
        <w:ind w:left="720"/>
      </w:pPr>
      <w:bookmarkStart w:id="3507" w:name="_Hlk3977156"/>
    </w:p>
    <w:p w14:paraId="56064C16" w14:textId="1C316272" w:rsidR="0016415F" w:rsidRPr="003B4362" w:rsidRDefault="0016415F" w:rsidP="00A854E0">
      <w:pPr>
        <w:widowControl w:val="0"/>
        <w:ind w:left="720"/>
      </w:pPr>
      <w:r w:rsidRPr="003B4362">
        <w:t>Standard Methods Online, Method 5910 B-11</w:t>
      </w:r>
      <w:bookmarkEnd w:id="3507"/>
      <w:r w:rsidRPr="003B4362">
        <w:t xml:space="preserve"> appears in the 22nd edition as Method 5910 B.  </w:t>
      </w:r>
      <w:r w:rsidR="001D4993" w:rsidRPr="003B4362">
        <w:t>Th</w:t>
      </w:r>
      <w:r w:rsidR="000B405E" w:rsidRPr="003B4362">
        <w:t>is</w:t>
      </w:r>
      <w:r w:rsidR="001D4993" w:rsidRPr="003B4362">
        <w:t xml:space="preserve"> appear</w:t>
      </w:r>
      <w:r w:rsidR="000B405E" w:rsidRPr="003B4362">
        <w:t>s</w:t>
      </w:r>
      <w:r w:rsidR="001D4993" w:rsidRPr="003B4362">
        <w:t xml:space="preserve"> in this Section </w:t>
      </w:r>
      <w:r w:rsidRPr="003B4362">
        <w:t>as SM 5910 B (11).</w:t>
      </w:r>
    </w:p>
    <w:p w14:paraId="60A0F7DE" w14:textId="77777777" w:rsidR="00A854E0" w:rsidRDefault="00A854E0" w:rsidP="00A854E0">
      <w:pPr>
        <w:widowControl w:val="0"/>
        <w:ind w:left="720"/>
      </w:pPr>
    </w:p>
    <w:p w14:paraId="4AA1CC9F" w14:textId="197CB7B9" w:rsidR="0016415F" w:rsidRPr="003B4362" w:rsidRDefault="0016415F" w:rsidP="00A854E0">
      <w:pPr>
        <w:widowControl w:val="0"/>
        <w:ind w:left="720"/>
      </w:pPr>
      <w:r w:rsidRPr="003B4362">
        <w:t xml:space="preserve">Standard Methods Online, Method 6251 B-94 appears in the 19th, 20th, and 21st editions as Method 6251 B.  </w:t>
      </w:r>
      <w:r w:rsidR="001D4993" w:rsidRPr="003B4362">
        <w:t>Th</w:t>
      </w:r>
      <w:r w:rsidR="000B405E" w:rsidRPr="003B4362">
        <w:t>is</w:t>
      </w:r>
      <w:r w:rsidR="001D4993" w:rsidRPr="003B4362">
        <w:t xml:space="preserve"> appear</w:t>
      </w:r>
      <w:r w:rsidR="000B405E" w:rsidRPr="003B4362">
        <w:t>s</w:t>
      </w:r>
      <w:r w:rsidR="001D4993" w:rsidRPr="003B4362">
        <w:t xml:space="preserve"> in this Section </w:t>
      </w:r>
      <w:r w:rsidRPr="003B4362">
        <w:t>as SM 6251 B (94).</w:t>
      </w:r>
    </w:p>
    <w:p w14:paraId="513100A9" w14:textId="77777777" w:rsidR="00A854E0" w:rsidRDefault="00A854E0" w:rsidP="00A854E0">
      <w:pPr>
        <w:widowControl w:val="0"/>
        <w:ind w:left="720"/>
      </w:pPr>
    </w:p>
    <w:p w14:paraId="3C33C76E" w14:textId="1A51DA50" w:rsidR="0016415F" w:rsidRPr="003B4362" w:rsidRDefault="0016415F" w:rsidP="00A854E0">
      <w:pPr>
        <w:widowControl w:val="0"/>
        <w:ind w:left="720"/>
      </w:pPr>
      <w:r w:rsidRPr="003B4362">
        <w:t xml:space="preserve">Standard Methods Online, Method 6251 B-07 appears in the 22nd and 23rd editions as Method 5910 B.  </w:t>
      </w:r>
      <w:r w:rsidR="001D4993" w:rsidRPr="003B4362">
        <w:t>Th</w:t>
      </w:r>
      <w:r w:rsidR="000B405E" w:rsidRPr="003B4362">
        <w:t>is</w:t>
      </w:r>
      <w:r w:rsidR="001D4993" w:rsidRPr="003B4362">
        <w:t xml:space="preserve"> appear</w:t>
      </w:r>
      <w:r w:rsidR="000B405E" w:rsidRPr="003B4362">
        <w:t>s</w:t>
      </w:r>
      <w:r w:rsidR="001D4993" w:rsidRPr="003B4362">
        <w:t xml:space="preserve"> in this Section </w:t>
      </w:r>
      <w:r w:rsidRPr="003B4362">
        <w:t>as SM 6251 B (07).</w:t>
      </w:r>
    </w:p>
    <w:p w14:paraId="0DFE9546" w14:textId="77777777" w:rsidR="00A854E0" w:rsidRDefault="00A854E0" w:rsidP="00A854E0">
      <w:pPr>
        <w:suppressAutoHyphens/>
        <w:ind w:left="720"/>
      </w:pPr>
    </w:p>
    <w:p w14:paraId="29768E5F" w14:textId="1809B23E" w:rsidR="0016415F" w:rsidRDefault="00EB353D" w:rsidP="00A854E0">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4707A500" w14:textId="77777777" w:rsidR="00810215" w:rsidRPr="003B4362" w:rsidRDefault="00810215" w:rsidP="00A854E0">
      <w:pPr>
        <w:suppressAutoHyphens/>
        <w:ind w:left="720"/>
      </w:pPr>
    </w:p>
    <w:p w14:paraId="5D5FB3A8" w14:textId="56DB2F34" w:rsidR="00810215" w:rsidRDefault="00810215" w:rsidP="00810215">
      <w:pPr>
        <w:rPr>
          <w:b/>
          <w:bCs/>
        </w:rPr>
      </w:pPr>
      <w:r w:rsidRPr="00D8235A">
        <w:rPr>
          <w:b/>
          <w:bCs/>
        </w:rPr>
        <w:t>Section 611.382  Monitoring Requirements</w:t>
      </w:r>
    </w:p>
    <w:p w14:paraId="31AEB4A9" w14:textId="77777777" w:rsidR="00810215" w:rsidRPr="00D8235A" w:rsidRDefault="00810215" w:rsidP="00810215">
      <w:pPr>
        <w:rPr>
          <w:b/>
          <w:bCs/>
        </w:rPr>
      </w:pPr>
    </w:p>
    <w:p w14:paraId="3B7C1AFC" w14:textId="165577E9" w:rsidR="00810215" w:rsidRDefault="00810215" w:rsidP="00810215">
      <w:pPr>
        <w:suppressAutoHyphens/>
        <w:ind w:left="1440" w:hanging="720"/>
        <w:rPr>
          <w:spacing w:val="-2"/>
        </w:rPr>
      </w:pPr>
      <w:r w:rsidRPr="001A7517">
        <w:rPr>
          <w:spacing w:val="-2"/>
        </w:rPr>
        <w:t>a)</w:t>
      </w:r>
      <w:r w:rsidRPr="001A7517">
        <w:rPr>
          <w:spacing w:val="-2"/>
        </w:rPr>
        <w:tab/>
        <w:t>General Requirements</w:t>
      </w:r>
    </w:p>
    <w:p w14:paraId="67E5E82E" w14:textId="77777777" w:rsidR="00810215" w:rsidRPr="001A7517" w:rsidRDefault="00810215" w:rsidP="00810215">
      <w:pPr>
        <w:suppressAutoHyphens/>
        <w:ind w:left="1440" w:hanging="720"/>
        <w:rPr>
          <w:spacing w:val="-2"/>
        </w:rPr>
      </w:pPr>
    </w:p>
    <w:p w14:paraId="2323FF0E" w14:textId="7A0911F0" w:rsidR="00810215" w:rsidRDefault="00810215" w:rsidP="00810215">
      <w:pPr>
        <w:suppressAutoHyphens/>
        <w:ind w:left="2160" w:hanging="720"/>
        <w:rPr>
          <w:spacing w:val="-2"/>
        </w:rPr>
      </w:pPr>
      <w:r w:rsidRPr="001A7517">
        <w:rPr>
          <w:spacing w:val="-2"/>
        </w:rPr>
        <w:t>1)</w:t>
      </w:r>
      <w:r w:rsidRPr="001A7517">
        <w:rPr>
          <w:spacing w:val="-2"/>
        </w:rPr>
        <w:tab/>
      </w:r>
      <w:r w:rsidRPr="001A7517">
        <w:rPr>
          <w:spacing w:val="-1"/>
        </w:rPr>
        <w:t xml:space="preserve">A supplier </w:t>
      </w:r>
      <w:r w:rsidRPr="001A7517">
        <w:t xml:space="preserve">must </w:t>
      </w:r>
      <w:r w:rsidRPr="001A7517">
        <w:rPr>
          <w:spacing w:val="-2"/>
        </w:rPr>
        <w:t>take all samples during normal operating conditions.</w:t>
      </w:r>
    </w:p>
    <w:p w14:paraId="49020D3D" w14:textId="77777777" w:rsidR="00810215" w:rsidRPr="001A7517" w:rsidRDefault="00810215" w:rsidP="00810215">
      <w:pPr>
        <w:suppressAutoHyphens/>
        <w:ind w:left="2160" w:hanging="720"/>
        <w:rPr>
          <w:spacing w:val="-2"/>
        </w:rPr>
      </w:pPr>
    </w:p>
    <w:p w14:paraId="36FC76D5" w14:textId="6EC2AA1C" w:rsidR="00810215" w:rsidRDefault="00810215" w:rsidP="00810215">
      <w:pPr>
        <w:suppressAutoHyphens/>
        <w:ind w:left="2160" w:hanging="720"/>
        <w:rPr>
          <w:spacing w:val="-2"/>
        </w:rPr>
      </w:pPr>
      <w:r w:rsidRPr="001A7517">
        <w:rPr>
          <w:spacing w:val="-2"/>
        </w:rPr>
        <w:t>2)</w:t>
      </w:r>
      <w:r w:rsidRPr="001A7517">
        <w:rPr>
          <w:spacing w:val="-2"/>
        </w:rPr>
        <w:tab/>
      </w:r>
      <w:r w:rsidRPr="001A7517">
        <w:rPr>
          <w:spacing w:val="-1"/>
        </w:rPr>
        <w:t xml:space="preserve">A supplier </w:t>
      </w:r>
      <w:r w:rsidRPr="001A7517">
        <w:rPr>
          <w:spacing w:val="-2"/>
        </w:rPr>
        <w:t>may consider multiple wells drawing water from a single aquifer as one treatment plant for determining the minimum number of TTHM and HAA5 samples required with Agency approval.</w:t>
      </w:r>
    </w:p>
    <w:p w14:paraId="3D04E2EB" w14:textId="77777777" w:rsidR="00810215" w:rsidRPr="001A7517" w:rsidRDefault="00810215" w:rsidP="00810215">
      <w:pPr>
        <w:suppressAutoHyphens/>
        <w:ind w:left="2160" w:hanging="720"/>
        <w:rPr>
          <w:spacing w:val="-2"/>
        </w:rPr>
      </w:pPr>
    </w:p>
    <w:p w14:paraId="0E678C71" w14:textId="7F8216D3" w:rsidR="00810215" w:rsidRDefault="00810215" w:rsidP="00810215">
      <w:pPr>
        <w:suppressAutoHyphens/>
        <w:ind w:left="2160" w:hanging="720"/>
        <w:rPr>
          <w:spacing w:val="-2"/>
        </w:rPr>
      </w:pPr>
      <w:r w:rsidRPr="001A7517">
        <w:rPr>
          <w:spacing w:val="-2"/>
        </w:rPr>
        <w:t>3)</w:t>
      </w:r>
      <w:r w:rsidRPr="001A7517">
        <w:rPr>
          <w:spacing w:val="-2"/>
        </w:rPr>
        <w:tab/>
        <w:t>Failure to monitor in accordance with the monitoring plan required under subsection (f) is a monitoring violation.</w:t>
      </w:r>
    </w:p>
    <w:p w14:paraId="3CB2AB77" w14:textId="77777777" w:rsidR="00810215" w:rsidRPr="001A7517" w:rsidRDefault="00810215" w:rsidP="00810215">
      <w:pPr>
        <w:suppressAutoHyphens/>
        <w:ind w:left="2160" w:hanging="720"/>
        <w:rPr>
          <w:spacing w:val="-2"/>
        </w:rPr>
      </w:pPr>
    </w:p>
    <w:p w14:paraId="35839455" w14:textId="2D68D62A" w:rsidR="00810215" w:rsidRDefault="00810215" w:rsidP="00810215">
      <w:pPr>
        <w:suppressAutoHyphens/>
        <w:ind w:left="2160" w:hanging="720"/>
        <w:rPr>
          <w:spacing w:val="-2"/>
        </w:rPr>
      </w:pPr>
      <w:r w:rsidRPr="001A7517">
        <w:rPr>
          <w:spacing w:val="-2"/>
        </w:rPr>
        <w:t>4)</w:t>
      </w:r>
      <w:r w:rsidRPr="001A7517">
        <w:rPr>
          <w:spacing w:val="-2"/>
        </w:rPr>
        <w:tab/>
      </w:r>
      <w:r w:rsidRPr="001A7517">
        <w:rPr>
          <w:spacing w:val="-3"/>
        </w:rPr>
        <w:t xml:space="preserve">If </w:t>
      </w:r>
      <w:r w:rsidRPr="001A7517">
        <w:rPr>
          <w:spacing w:val="-2"/>
        </w:rPr>
        <w:t>compliance is based on a running annual average of monthly or quarterly samples or averages and the supplier’s failure to monitor makes it impossible to determine compliance with MCLs or MRDLs, this failure to monitor will be treated as a violation for the entire period covered by the annual average.</w:t>
      </w:r>
    </w:p>
    <w:p w14:paraId="29ECCC3F" w14:textId="77777777" w:rsidR="00810215" w:rsidRPr="001A7517" w:rsidRDefault="00810215" w:rsidP="00810215">
      <w:pPr>
        <w:suppressAutoHyphens/>
        <w:ind w:left="2160" w:hanging="720"/>
        <w:rPr>
          <w:spacing w:val="-2"/>
        </w:rPr>
      </w:pPr>
    </w:p>
    <w:p w14:paraId="13DE4D16" w14:textId="7C644F32" w:rsidR="00810215" w:rsidRDefault="00810215" w:rsidP="00810215">
      <w:pPr>
        <w:suppressAutoHyphens/>
        <w:ind w:left="2160" w:hanging="720"/>
        <w:rPr>
          <w:spacing w:val="-2"/>
        </w:rPr>
      </w:pPr>
      <w:r w:rsidRPr="001A7517">
        <w:rPr>
          <w:spacing w:val="-2"/>
        </w:rPr>
        <w:t>5)</w:t>
      </w:r>
      <w:r w:rsidRPr="001A7517">
        <w:rPr>
          <w:spacing w:val="-2"/>
        </w:rPr>
        <w:tab/>
      </w:r>
      <w:r w:rsidRPr="001A7517">
        <w:rPr>
          <w:spacing w:val="-1"/>
        </w:rPr>
        <w:t xml:space="preserve">A supplier </w:t>
      </w:r>
      <w:r w:rsidRPr="001A7517">
        <w:t xml:space="preserve">must </w:t>
      </w:r>
      <w:r w:rsidRPr="001A7517">
        <w:rPr>
          <w:spacing w:val="-2"/>
        </w:rPr>
        <w:t>use only data collected under the provisions of this Subpart</w:t>
      </w:r>
      <w:r w:rsidRPr="001A7517">
        <w:t xml:space="preserve"> I</w:t>
      </w:r>
      <w:r w:rsidRPr="001A7517">
        <w:rPr>
          <w:spacing w:val="-2"/>
        </w:rPr>
        <w:t xml:space="preserve"> to qualify for reduced monitoring.</w:t>
      </w:r>
    </w:p>
    <w:p w14:paraId="2F3F27DA" w14:textId="77777777" w:rsidR="00810215" w:rsidRPr="001A7517" w:rsidRDefault="00810215" w:rsidP="00810215">
      <w:pPr>
        <w:suppressAutoHyphens/>
        <w:ind w:left="2160" w:hanging="720"/>
        <w:rPr>
          <w:spacing w:val="-2"/>
        </w:rPr>
      </w:pPr>
    </w:p>
    <w:p w14:paraId="523FEE0D" w14:textId="24E8A53F" w:rsidR="00810215" w:rsidRDefault="00810215" w:rsidP="00810215">
      <w:pPr>
        <w:suppressAutoHyphens/>
        <w:ind w:left="1440" w:hanging="720"/>
        <w:rPr>
          <w:spacing w:val="-2"/>
        </w:rPr>
      </w:pPr>
      <w:r w:rsidRPr="001A7517">
        <w:rPr>
          <w:spacing w:val="-2"/>
        </w:rPr>
        <w:t>b)</w:t>
      </w:r>
      <w:r w:rsidRPr="001A7517">
        <w:rPr>
          <w:spacing w:val="-2"/>
        </w:rPr>
        <w:tab/>
        <w:t>Monitoring Requirements for Disinfection Byproducts (DBPs)</w:t>
      </w:r>
    </w:p>
    <w:p w14:paraId="0C182D91" w14:textId="77777777" w:rsidR="00810215" w:rsidRPr="001A7517" w:rsidRDefault="00810215" w:rsidP="00810215">
      <w:pPr>
        <w:suppressAutoHyphens/>
        <w:ind w:left="1440" w:hanging="720"/>
        <w:rPr>
          <w:spacing w:val="-2"/>
        </w:rPr>
      </w:pPr>
    </w:p>
    <w:p w14:paraId="799C573D" w14:textId="1698D8B0" w:rsidR="00810215" w:rsidRDefault="00810215" w:rsidP="00810215">
      <w:pPr>
        <w:suppressAutoHyphens/>
        <w:ind w:left="2160" w:hanging="720"/>
        <w:rPr>
          <w:spacing w:val="-2"/>
        </w:rPr>
      </w:pPr>
      <w:r w:rsidRPr="001A7517">
        <w:rPr>
          <w:spacing w:val="-2"/>
        </w:rPr>
        <w:t>1)</w:t>
      </w:r>
      <w:r w:rsidRPr="001A7517">
        <w:rPr>
          <w:spacing w:val="-2"/>
        </w:rPr>
        <w:tab/>
        <w:t>TTHMs and HAA5</w:t>
      </w:r>
    </w:p>
    <w:p w14:paraId="00BD9695" w14:textId="77777777" w:rsidR="00810215" w:rsidRPr="001A7517" w:rsidRDefault="00810215" w:rsidP="00810215">
      <w:pPr>
        <w:suppressAutoHyphens/>
        <w:ind w:left="2160" w:hanging="720"/>
        <w:rPr>
          <w:spacing w:val="-2"/>
        </w:rPr>
      </w:pPr>
    </w:p>
    <w:p w14:paraId="7DCBBC49" w14:textId="04467FEA" w:rsidR="00810215" w:rsidRDefault="00810215" w:rsidP="00810215">
      <w:pPr>
        <w:suppressAutoHyphens/>
        <w:ind w:left="2880" w:hanging="720"/>
        <w:rPr>
          <w:spacing w:val="-2"/>
        </w:rPr>
      </w:pPr>
      <w:r w:rsidRPr="001A7517">
        <w:rPr>
          <w:spacing w:val="-2"/>
        </w:rPr>
        <w:t>A)</w:t>
      </w:r>
      <w:r w:rsidRPr="001A7517">
        <w:rPr>
          <w:spacing w:val="-2"/>
        </w:rPr>
        <w:tab/>
        <w:t xml:space="preserve">Routine Monitoring.  </w:t>
      </w:r>
      <w:r w:rsidRPr="001A7517">
        <w:rPr>
          <w:spacing w:val="-1"/>
        </w:rPr>
        <w:t xml:space="preserve">A supplier </w:t>
      </w:r>
      <w:r w:rsidRPr="001A7517">
        <w:t xml:space="preserve">must </w:t>
      </w:r>
      <w:r w:rsidRPr="001A7517">
        <w:rPr>
          <w:spacing w:val="-2"/>
        </w:rPr>
        <w:t xml:space="preserve">monitor at the </w:t>
      </w:r>
      <w:r w:rsidRPr="001A7517">
        <w:t xml:space="preserve">following </w:t>
      </w:r>
      <w:r w:rsidRPr="001A7517">
        <w:rPr>
          <w:spacing w:val="-2"/>
        </w:rPr>
        <w:t>frequency:</w:t>
      </w:r>
    </w:p>
    <w:p w14:paraId="1FA5E6D0" w14:textId="77777777" w:rsidR="00810215" w:rsidRPr="001A7517" w:rsidRDefault="00810215" w:rsidP="00810215">
      <w:pPr>
        <w:suppressAutoHyphens/>
        <w:ind w:left="2880" w:hanging="720"/>
        <w:rPr>
          <w:spacing w:val="-2"/>
        </w:rPr>
      </w:pPr>
    </w:p>
    <w:p w14:paraId="0C0349EA" w14:textId="3A947E61" w:rsidR="00810215" w:rsidRDefault="00810215" w:rsidP="00810215">
      <w:pPr>
        <w:suppressAutoHyphens/>
        <w:ind w:left="3600" w:hanging="720"/>
      </w:pPr>
      <w:r w:rsidRPr="001A7517">
        <w:t>i)</w:t>
      </w:r>
      <w:r w:rsidRPr="001A7517">
        <w:tab/>
        <w:t>A Subpart B system supplier that serves 10,000 or more persons must collect four water samples per quarter per treatment plant.  At least 25 percent of all samples collected each quarter must be collected at locations representing maximum residence time.  The remaining samples may be taken at locations representative of at least average residence time in the distribution system and representing the entire distribution system, taking into account the number of persons served, the different sources of water, and the different treatment methods.</w:t>
      </w:r>
    </w:p>
    <w:p w14:paraId="6DC12E5B" w14:textId="77777777" w:rsidR="00810215" w:rsidRPr="001A7517" w:rsidRDefault="00810215" w:rsidP="00810215">
      <w:pPr>
        <w:suppressAutoHyphens/>
        <w:ind w:left="3600" w:hanging="720"/>
      </w:pPr>
    </w:p>
    <w:p w14:paraId="75374031" w14:textId="271C5CC9" w:rsidR="00810215" w:rsidRDefault="00810215" w:rsidP="00810215">
      <w:pPr>
        <w:suppressAutoHyphens/>
        <w:ind w:left="3600" w:hanging="720"/>
      </w:pPr>
      <w:r w:rsidRPr="001A7517">
        <w:t>ii)</w:t>
      </w:r>
      <w:r w:rsidRPr="001A7517">
        <w:tab/>
        <w:t>A Subpart B system supplier that serves from 500 to 9,999 persons must collect one water sample per quarter per treatment plant.  The samples must be collected from locations representing maximum residence time.</w:t>
      </w:r>
    </w:p>
    <w:p w14:paraId="06204B16" w14:textId="77777777" w:rsidR="00810215" w:rsidRPr="001A7517" w:rsidRDefault="00810215" w:rsidP="00810215">
      <w:pPr>
        <w:suppressAutoHyphens/>
        <w:ind w:left="3600" w:hanging="720"/>
      </w:pPr>
    </w:p>
    <w:p w14:paraId="63A67BC1" w14:textId="1FED4A16" w:rsidR="00810215" w:rsidRDefault="00810215" w:rsidP="00810215">
      <w:pPr>
        <w:suppressAutoHyphens/>
        <w:ind w:left="3600" w:hanging="720"/>
      </w:pPr>
      <w:r w:rsidRPr="001A7517">
        <w:t>iii)</w:t>
      </w:r>
      <w:r w:rsidRPr="001A7517">
        <w:tab/>
        <w:t xml:space="preserve">A Subpart B system supplier that serves fewer than 500 persons must collect one sample per year per treatment plant during month of warmest water temperature.  The </w:t>
      </w:r>
      <w:r w:rsidRPr="001A7517">
        <w:lastRenderedPageBreak/>
        <w:t>samples must be collected from locations representing maximum residence time.  If the sample (or average of annual samples, if more than one sample is taken) exceeds the MCL, the supplier must increase the monitoring frequency to one sample per treatment plant per quarter, taken at a point reflecting the maximum residence time in the distribution system, until the supplier meets the standards in subsection (b)(1)(D).</w:t>
      </w:r>
    </w:p>
    <w:p w14:paraId="6D3FDF38" w14:textId="77777777" w:rsidR="00810215" w:rsidRPr="001A7517" w:rsidRDefault="00810215" w:rsidP="00810215">
      <w:pPr>
        <w:suppressAutoHyphens/>
        <w:ind w:left="3600" w:hanging="720"/>
      </w:pPr>
    </w:p>
    <w:p w14:paraId="04E680F2" w14:textId="46634E25" w:rsidR="00810215" w:rsidRDefault="00810215" w:rsidP="00810215">
      <w:pPr>
        <w:suppressAutoHyphens/>
        <w:ind w:left="3600" w:hanging="720"/>
      </w:pPr>
      <w:r w:rsidRPr="001A7517">
        <w:t>iv)</w:t>
      </w:r>
      <w:r w:rsidRPr="001A7517">
        <w:tab/>
        <w:t>A supplier that uses only groundwater not under direct influence of surface water, that uses chemical disinfectant, and that serves 10,000 or more persons must collect one water sample per quarter per treatment plant.  The samples must be collected from locations representing maximum residence time.</w:t>
      </w:r>
    </w:p>
    <w:p w14:paraId="6AB9C35F" w14:textId="77777777" w:rsidR="00810215" w:rsidRPr="001A7517" w:rsidRDefault="00810215" w:rsidP="00810215">
      <w:pPr>
        <w:suppressAutoHyphens/>
        <w:ind w:left="3600" w:hanging="720"/>
      </w:pPr>
    </w:p>
    <w:p w14:paraId="19ED719F" w14:textId="7388FCDC" w:rsidR="00810215" w:rsidRDefault="00810215" w:rsidP="00810215">
      <w:pPr>
        <w:suppressAutoHyphens/>
        <w:ind w:left="3600" w:hanging="720"/>
      </w:pPr>
      <w:r w:rsidRPr="001A7517">
        <w:t>v)</w:t>
      </w:r>
      <w:r w:rsidRPr="001A7517">
        <w:tab/>
        <w:t>A supplier that uses only groundwater not under direct influence of surface water, that uses chemical disinfectant, and that serves fewer than 10,000 persons must collect one sample per year per treatment plant during month of warmest water temperature.  The samples must be collected from locations representing maximum residence time.  If the sample (or average of annual samples, if more than one sample is taken) exceeds MCL, the supplier must increase monitoring to one sample per treatment plant per quarter, taken at a point reflecting the maximum residence time in the distribution system, until the supplier meets standards in subsection (b)(1)(D).</w:t>
      </w:r>
    </w:p>
    <w:p w14:paraId="69596C98" w14:textId="77777777" w:rsidR="00810215" w:rsidRPr="001A7517" w:rsidRDefault="00810215" w:rsidP="00810215">
      <w:pPr>
        <w:suppressAutoHyphens/>
        <w:ind w:left="3600" w:hanging="720"/>
      </w:pPr>
    </w:p>
    <w:p w14:paraId="452CB2F5" w14:textId="26A7F9FB" w:rsidR="00810215" w:rsidRDefault="00810215" w:rsidP="00810215">
      <w:pPr>
        <w:suppressAutoHyphens/>
        <w:ind w:left="2880"/>
      </w:pPr>
      <w:r w:rsidRPr="001A7517">
        <w:t xml:space="preserve">BOARD NOTE:  </w:t>
      </w:r>
      <w:r w:rsidRPr="001A7517">
        <w:rPr>
          <w:spacing w:val="-1"/>
        </w:rPr>
        <w:t>If a supplier elects to sample more frequently than the minimum required, at least 25 percent of all samples collected each quarter (including those taken in excess of the required frequency) must be taken at locations that represent the maximum residence time of the water in the distribution system.  The remaining samples must be taken at locations representative of at least average residence time in the distribution system.</w:t>
      </w:r>
      <w:r w:rsidRPr="001A7517">
        <w:t xml:space="preserve">  For a supplier using groundwater not under the direct influence of surface water, multiple wells drawing water from a single aquifer may be considered one treatment plant for determining the minimum number of samples required, with Agency approval.</w:t>
      </w:r>
    </w:p>
    <w:p w14:paraId="152DE834" w14:textId="77777777" w:rsidR="00810215" w:rsidRPr="001A7517" w:rsidRDefault="00810215" w:rsidP="00810215">
      <w:pPr>
        <w:suppressAutoHyphens/>
        <w:ind w:left="2880"/>
        <w:rPr>
          <w:spacing w:val="-1"/>
        </w:rPr>
      </w:pPr>
    </w:p>
    <w:p w14:paraId="5EDA44CF" w14:textId="1D31DA73" w:rsidR="00810215" w:rsidRDefault="00810215" w:rsidP="00810215">
      <w:pPr>
        <w:suppressAutoHyphens/>
        <w:ind w:left="2880" w:hanging="720"/>
        <w:rPr>
          <w:spacing w:val="-1"/>
        </w:rPr>
      </w:pPr>
      <w:r w:rsidRPr="001A7517">
        <w:rPr>
          <w:spacing w:val="-1"/>
        </w:rPr>
        <w:t>B)</w:t>
      </w:r>
      <w:r w:rsidRPr="001A7517">
        <w:rPr>
          <w:spacing w:val="-1"/>
        </w:rPr>
        <w:tab/>
        <w:t>A supplier may reduce monitoring, except as otherwise provided, in accordance with the following:</w:t>
      </w:r>
    </w:p>
    <w:p w14:paraId="1C96332A" w14:textId="77777777" w:rsidR="00810215" w:rsidRPr="001A7517" w:rsidRDefault="00810215" w:rsidP="00810215">
      <w:pPr>
        <w:suppressAutoHyphens/>
        <w:ind w:left="2880" w:hanging="720"/>
        <w:rPr>
          <w:spacing w:val="-1"/>
        </w:rPr>
      </w:pPr>
    </w:p>
    <w:p w14:paraId="768E90F0" w14:textId="49358D60" w:rsidR="00810215" w:rsidRDefault="00810215" w:rsidP="00810215">
      <w:pPr>
        <w:suppressAutoHyphens/>
        <w:ind w:left="3600" w:hanging="720"/>
      </w:pPr>
      <w:r w:rsidRPr="001A7517">
        <w:lastRenderedPageBreak/>
        <w:t>i)</w:t>
      </w:r>
      <w:r w:rsidRPr="001A7517">
        <w:tab/>
        <w:t>A Subpart B system supplier that serves 10,000 or more persons and that has a source water annual average TOC level, before any treatment, of less than or equal to 4.0 mg/ℓ may reduce monitoring if it has monitored for at least one year and its TTHM annual average is less than or equal to 0.040 mg/ℓ and HAA5 annual average is less than or equal to 0.030 mg/ℓ.  The reduced monitoring allowed is a minimum of one sample per treatment plant per quarter at a distribution system location reflecting maximum residence time.</w:t>
      </w:r>
    </w:p>
    <w:p w14:paraId="267D81C8" w14:textId="77777777" w:rsidR="00810215" w:rsidRPr="001A7517" w:rsidRDefault="00810215" w:rsidP="00810215">
      <w:pPr>
        <w:suppressAutoHyphens/>
        <w:ind w:left="3600" w:hanging="720"/>
      </w:pPr>
    </w:p>
    <w:p w14:paraId="565B3BED" w14:textId="77777777" w:rsidR="00810215" w:rsidRPr="001A7517" w:rsidRDefault="00810215" w:rsidP="00810215">
      <w:pPr>
        <w:suppressAutoHyphens/>
        <w:ind w:left="3600" w:hanging="720"/>
      </w:pPr>
      <w:r w:rsidRPr="001A7517">
        <w:t>ii)</w:t>
      </w:r>
      <w:r w:rsidRPr="001A7517">
        <w:tab/>
        <w:t>A Subpart B system supplier that serves from 500 to 9,999 persons and that has a source water annual average TOC level, before any treatment, of less than or equal to 4.0 mg/ℓ may reduce monitoring if it has monitored at least one year and its TTHM annual average is less than or equal to 0.040 mg/ℓ and HAA5 annual average is less than or equal to 0.030 mg/ℓ.  The reduced monitoring allowed is a minimum of one sample per treatment plant per year at a distribution system location reflecting maximum residence time during month of warmest water temperature.</w:t>
      </w:r>
    </w:p>
    <w:p w14:paraId="0516CCF1" w14:textId="37E88A55" w:rsidR="00810215" w:rsidRDefault="00810215" w:rsidP="00810215">
      <w:pPr>
        <w:ind w:left="3600"/>
      </w:pPr>
      <w:r w:rsidRPr="001A7517">
        <w:t>BOARD NOTE:  Any Subpart B system supplier that serves fewer than 500 persons may not reduce its monitoring to less than one sample per treatment plant per year.</w:t>
      </w:r>
    </w:p>
    <w:p w14:paraId="6F0FACF4" w14:textId="77777777" w:rsidR="00810215" w:rsidRPr="001A7517" w:rsidRDefault="00810215" w:rsidP="00810215">
      <w:pPr>
        <w:ind w:left="3600"/>
      </w:pPr>
    </w:p>
    <w:p w14:paraId="56C0E4DC" w14:textId="476AF0D2" w:rsidR="00810215" w:rsidRDefault="00810215" w:rsidP="00810215">
      <w:pPr>
        <w:suppressAutoHyphens/>
        <w:ind w:left="3600" w:hanging="720"/>
      </w:pPr>
      <w:r w:rsidRPr="001A7517">
        <w:t>iii)</w:t>
      </w:r>
      <w:r w:rsidRPr="001A7517">
        <w:tab/>
        <w:t>A supplier using only groundwater not under direct influence of surface water using chemical disinfectant and that serves 10,000 or more persons may reduce monitoring if it has monitored at least one year and its TTHM annual average is less than or equal to 0.040 mg/ℓ and HAA5 annual average is less than or equal to 0.030 mg/ℓ.  The reduced monitoring allowed is a minimum of one sample per treatment plant per year at a distribution system location reflecting maximum residence time during month of warmest water temperature.</w:t>
      </w:r>
    </w:p>
    <w:p w14:paraId="6CA57C95" w14:textId="77777777" w:rsidR="00810215" w:rsidRPr="001A7517" w:rsidRDefault="00810215" w:rsidP="00810215">
      <w:pPr>
        <w:suppressAutoHyphens/>
        <w:ind w:left="3600" w:hanging="720"/>
      </w:pPr>
    </w:p>
    <w:p w14:paraId="4118A550" w14:textId="23A9473B" w:rsidR="00810215" w:rsidRDefault="00810215" w:rsidP="00810215">
      <w:pPr>
        <w:suppressAutoHyphens/>
        <w:ind w:left="3600" w:hanging="720"/>
      </w:pPr>
      <w:r w:rsidRPr="001A7517">
        <w:t>iv)</w:t>
      </w:r>
      <w:r w:rsidRPr="001A7517">
        <w:tab/>
        <w:t xml:space="preserve">A supplier using only groundwater not under direct influence of surface water that uses chemical disinfectant and that serves fewer than 10,000 persons may reduce monitoring if it has monitored at least one year and its TTHM annual average is less than or equal to 0.040 mg/ℓ and HAA5 annual average is less than or equal to 0.030 mg/ℓ for two consecutive years or TTHM annual average is less than or equal to 0.020 mg/ℓ and HAA5 annual average </w:t>
      </w:r>
      <w:r w:rsidRPr="001A7517">
        <w:lastRenderedPageBreak/>
        <w:t>is less than or equal to 0.015 mg/ℓ for one year.  The reduced monitoring allowed is a minimum of one sample per treatment plant per three year monitoring cycle at a distribution system location reflecting maximum residence time during month of warmest water temperature, with the three</w:t>
      </w:r>
      <w:r w:rsidRPr="001A7517">
        <w:noBreakHyphen/>
        <w:t>year cycle beginning on January 1 following the quarter in which the supplier qualifies for reduced monitoring.</w:t>
      </w:r>
    </w:p>
    <w:p w14:paraId="301E79E0" w14:textId="77777777" w:rsidR="00810215" w:rsidRPr="001A7517" w:rsidRDefault="00810215" w:rsidP="00810215">
      <w:pPr>
        <w:suppressAutoHyphens/>
        <w:ind w:left="3600" w:hanging="720"/>
      </w:pPr>
    </w:p>
    <w:p w14:paraId="698ABC49" w14:textId="1C365F3E" w:rsidR="00810215" w:rsidRDefault="00810215" w:rsidP="00810215">
      <w:pPr>
        <w:suppressAutoHyphens/>
        <w:ind w:left="2880" w:hanging="720"/>
      </w:pPr>
      <w:r w:rsidRPr="001A7517">
        <w:t>C)</w:t>
      </w:r>
      <w:r w:rsidRPr="001A7517">
        <w:tab/>
        <w:t xml:space="preserve">Monitoring Requirements for Source Water TOC.  In order to qualify for reduced monitoring for TTHM and HAA5 under subsection (b)(1)(B), a Subpart B system supplier not monitoring under the provisions of subsection (d) must take monthly TOC samples every 30 days at a location prior to any treatment.  In addition to meeting other criteria for reduced monitoring in subsection (b)(1)(B), the source water TOC running annual average must be </w:t>
      </w:r>
      <w:r w:rsidRPr="001A7517">
        <w:sym w:font="Symbol" w:char="F0A3"/>
      </w:r>
      <w:r w:rsidRPr="001A7517">
        <w:t xml:space="preserve">4.0 mg/ℓ (based on the most recent four quarters of monitoring) on a continuing basis at each treatment plant to reduce or remain on reduced monitoring for TTHM and HAA5.  Once qualified for reduced monitoring for TTHM and HAA5 under subsection (b)(1)(B), a system may reduce source water TOC monitoring to quarterly TOC samples taken every 90 days at a location prior to any treatment. </w:t>
      </w:r>
    </w:p>
    <w:p w14:paraId="6CF09155" w14:textId="77777777" w:rsidR="00810215" w:rsidRPr="001A7517" w:rsidRDefault="00810215" w:rsidP="00810215">
      <w:pPr>
        <w:suppressAutoHyphens/>
        <w:ind w:left="2880" w:hanging="720"/>
        <w:rPr>
          <w:spacing w:val="-2"/>
        </w:rPr>
      </w:pPr>
    </w:p>
    <w:p w14:paraId="0A662EA4" w14:textId="6404527A" w:rsidR="00810215" w:rsidRDefault="00810215" w:rsidP="00810215">
      <w:pPr>
        <w:suppressAutoHyphens/>
        <w:ind w:left="2880" w:hanging="720"/>
      </w:pPr>
      <w:r w:rsidRPr="001A7517">
        <w:rPr>
          <w:spacing w:val="-2"/>
        </w:rPr>
        <w:t>D)</w:t>
      </w:r>
      <w:r w:rsidRPr="001A7517">
        <w:rPr>
          <w:spacing w:val="-2"/>
        </w:rPr>
        <w:tab/>
      </w:r>
      <w:r w:rsidRPr="001A7517">
        <w:t xml:space="preserve">A Subpart B system supplier </w:t>
      </w:r>
      <w:r w:rsidRPr="001A7517">
        <w:rPr>
          <w:spacing w:val="-2"/>
        </w:rPr>
        <w:t xml:space="preserve">on a reduced monitoring schedule may remain on that reduced schedule as long as the average of all samples taken in the year (for </w:t>
      </w:r>
      <w:r w:rsidRPr="001A7517">
        <w:t xml:space="preserve">a supplier that </w:t>
      </w:r>
      <w:r w:rsidRPr="001A7517">
        <w:rPr>
          <w:spacing w:val="-2"/>
        </w:rPr>
        <w:t xml:space="preserve">must monitor quarterly) or the result of the sample (for </w:t>
      </w:r>
      <w:r w:rsidRPr="001A7517">
        <w:t xml:space="preserve">a supplier that </w:t>
      </w:r>
      <w:r w:rsidRPr="001A7517">
        <w:rPr>
          <w:spacing w:val="-2"/>
        </w:rPr>
        <w:t>must monitor no more frequently than annually) is no more than 0.060 mg/</w:t>
      </w:r>
      <w:r w:rsidRPr="001A7517">
        <w:t>ℓ</w:t>
      </w:r>
      <w:r w:rsidRPr="001A7517">
        <w:rPr>
          <w:spacing w:val="-2"/>
        </w:rPr>
        <w:t xml:space="preserve"> and 0.045 mg/</w:t>
      </w:r>
      <w:r w:rsidRPr="001A7517">
        <w:t>ℓ</w:t>
      </w:r>
      <w:r w:rsidRPr="001A7517">
        <w:rPr>
          <w:spacing w:val="-2"/>
        </w:rPr>
        <w:t xml:space="preserve"> for TTHMs and HAA5</w:t>
      </w:r>
      <w:r w:rsidRPr="001A7517">
        <w:t>, respectively</w:t>
      </w:r>
      <w:r w:rsidRPr="001A7517">
        <w:rPr>
          <w:spacing w:val="-2"/>
        </w:rPr>
        <w:t xml:space="preserve">.  </w:t>
      </w:r>
      <w:r w:rsidRPr="001A7517">
        <w:t xml:space="preserve">A supplier </w:t>
      </w:r>
      <w:r w:rsidRPr="001A7517">
        <w:rPr>
          <w:spacing w:val="-2"/>
        </w:rPr>
        <w:t xml:space="preserve">that does not meet these levels </w:t>
      </w:r>
      <w:r w:rsidRPr="001A7517">
        <w:t xml:space="preserve">must </w:t>
      </w:r>
      <w:r w:rsidRPr="001A7517">
        <w:rPr>
          <w:spacing w:val="-2"/>
        </w:rPr>
        <w:t>resume monitoring at the frequency identified in subsection (b)(1)(A) in the quarter immediately following the monitoring period in which the supplier exceeds 0.060 mg/</w:t>
      </w:r>
      <w:r w:rsidRPr="001A7517">
        <w:t>ℓ</w:t>
      </w:r>
      <w:r w:rsidRPr="001A7517">
        <w:rPr>
          <w:spacing w:val="-2"/>
        </w:rPr>
        <w:t xml:space="preserve"> </w:t>
      </w:r>
      <w:r w:rsidRPr="001A7517">
        <w:t xml:space="preserve">for TTHMs </w:t>
      </w:r>
      <w:r w:rsidRPr="001A7517">
        <w:rPr>
          <w:spacing w:val="-2"/>
        </w:rPr>
        <w:t>or 0.045 mg/</w:t>
      </w:r>
      <w:r w:rsidRPr="001A7517">
        <w:t>ℓ for HAA5</w:t>
      </w:r>
      <w:r w:rsidRPr="001A7517">
        <w:rPr>
          <w:spacing w:val="-2"/>
        </w:rPr>
        <w:t xml:space="preserve">.  </w:t>
      </w:r>
      <w:r w:rsidRPr="001A7517">
        <w:t>For a supplier that uses only groundwater not under the direct influence of surface water and that serves fewer than 10,000 persons, if either the TTHM annual average is greater than 0.080 mg/ℓ or the HAA5 annual average is greater than 0.060 mg/ℓ, the supplier must go to increased monitoring identified in subsection (b)(1)(A) in the quarter immediately following the monitoring period in which the supplier exceeds 0.080 mg/ℓ for TTHMs or 0.060 mg/ℓ for HAA5.</w:t>
      </w:r>
    </w:p>
    <w:p w14:paraId="14DD020B" w14:textId="77777777" w:rsidR="00810215" w:rsidRPr="001A7517" w:rsidRDefault="00810215" w:rsidP="00810215">
      <w:pPr>
        <w:suppressAutoHyphens/>
        <w:ind w:left="2880" w:hanging="720"/>
      </w:pPr>
    </w:p>
    <w:p w14:paraId="0D17EF32" w14:textId="7DA40CCD" w:rsidR="00810215" w:rsidRDefault="00810215" w:rsidP="00810215">
      <w:pPr>
        <w:suppressAutoHyphens/>
        <w:ind w:left="2880" w:hanging="720"/>
        <w:rPr>
          <w:spacing w:val="-2"/>
        </w:rPr>
      </w:pPr>
      <w:r w:rsidRPr="001A7517">
        <w:t>E</w:t>
      </w:r>
      <w:r w:rsidRPr="001A7517">
        <w:rPr>
          <w:spacing w:val="-2"/>
        </w:rPr>
        <w:t>)</w:t>
      </w:r>
      <w:r w:rsidRPr="001A7517">
        <w:rPr>
          <w:spacing w:val="-2"/>
        </w:rPr>
        <w:tab/>
        <w:t xml:space="preserve">The </w:t>
      </w:r>
      <w:r w:rsidRPr="001A7517">
        <w:t>Agency</w:t>
      </w:r>
      <w:r w:rsidRPr="001A7517">
        <w:rPr>
          <w:spacing w:val="-2"/>
        </w:rPr>
        <w:t xml:space="preserve"> may return a supplier to routine monitoring.</w:t>
      </w:r>
    </w:p>
    <w:p w14:paraId="198C0624" w14:textId="77777777" w:rsidR="00810215" w:rsidRPr="001A7517" w:rsidRDefault="00810215" w:rsidP="00810215">
      <w:pPr>
        <w:suppressAutoHyphens/>
        <w:ind w:left="2880" w:hanging="720"/>
        <w:rPr>
          <w:spacing w:val="-2"/>
        </w:rPr>
      </w:pPr>
    </w:p>
    <w:p w14:paraId="6A400BAE" w14:textId="2BD45BAF" w:rsidR="00810215" w:rsidRDefault="00810215" w:rsidP="00810215">
      <w:pPr>
        <w:suppressAutoHyphens/>
        <w:ind w:left="2160" w:hanging="720"/>
        <w:rPr>
          <w:spacing w:val="-2"/>
        </w:rPr>
      </w:pPr>
      <w:r w:rsidRPr="001A7517">
        <w:rPr>
          <w:spacing w:val="-2"/>
        </w:rPr>
        <w:lastRenderedPageBreak/>
        <w:t>2)</w:t>
      </w:r>
      <w:r w:rsidRPr="001A7517">
        <w:rPr>
          <w:spacing w:val="-2"/>
        </w:rPr>
        <w:tab/>
        <w:t xml:space="preserve">Chlorite.  A CWS or NTNCWS supplier using chlorine dioxide, for disinfection or oxidation, </w:t>
      </w:r>
      <w:r w:rsidRPr="001A7517">
        <w:t xml:space="preserve">must </w:t>
      </w:r>
      <w:r w:rsidRPr="001A7517">
        <w:rPr>
          <w:spacing w:val="-2"/>
        </w:rPr>
        <w:t>conduct monitoring for chlorite.</w:t>
      </w:r>
    </w:p>
    <w:p w14:paraId="0CCE22CB" w14:textId="77777777" w:rsidR="00810215" w:rsidRPr="001A7517" w:rsidRDefault="00810215" w:rsidP="00810215">
      <w:pPr>
        <w:suppressAutoHyphens/>
        <w:ind w:left="2160" w:hanging="720"/>
        <w:rPr>
          <w:spacing w:val="-2"/>
        </w:rPr>
      </w:pPr>
    </w:p>
    <w:p w14:paraId="360D0D18" w14:textId="5B196D88" w:rsidR="00810215" w:rsidRDefault="00810215" w:rsidP="00810215">
      <w:pPr>
        <w:suppressAutoHyphens/>
        <w:ind w:left="2880" w:hanging="720"/>
        <w:rPr>
          <w:spacing w:val="-2"/>
        </w:rPr>
      </w:pPr>
      <w:r w:rsidRPr="001A7517">
        <w:rPr>
          <w:spacing w:val="-2"/>
        </w:rPr>
        <w:t>A)</w:t>
      </w:r>
      <w:r w:rsidRPr="001A7517">
        <w:rPr>
          <w:spacing w:val="-2"/>
        </w:rPr>
        <w:tab/>
        <w:t>Routine Monitoring</w:t>
      </w:r>
    </w:p>
    <w:p w14:paraId="798BE58D" w14:textId="77777777" w:rsidR="00810215" w:rsidRPr="001A7517" w:rsidRDefault="00810215" w:rsidP="00810215">
      <w:pPr>
        <w:suppressAutoHyphens/>
        <w:ind w:left="2880" w:hanging="720"/>
        <w:rPr>
          <w:spacing w:val="-2"/>
        </w:rPr>
      </w:pPr>
    </w:p>
    <w:p w14:paraId="2DBC275D" w14:textId="06F248B0" w:rsidR="00810215" w:rsidRDefault="00810215" w:rsidP="00810215">
      <w:pPr>
        <w:suppressAutoHyphens/>
        <w:ind w:left="3600" w:hanging="720"/>
        <w:rPr>
          <w:spacing w:val="-2"/>
        </w:rPr>
      </w:pPr>
      <w:r w:rsidRPr="001A7517">
        <w:rPr>
          <w:spacing w:val="-2"/>
        </w:rPr>
        <w:t>i)</w:t>
      </w:r>
      <w:r w:rsidRPr="001A7517">
        <w:rPr>
          <w:spacing w:val="-2"/>
        </w:rPr>
        <w:tab/>
        <w:t xml:space="preserve">Daily Monitoring.  </w:t>
      </w:r>
      <w:r w:rsidRPr="001A7517">
        <w:rPr>
          <w:spacing w:val="-1"/>
        </w:rPr>
        <w:t xml:space="preserve">A supplier </w:t>
      </w:r>
      <w:r w:rsidRPr="001A7517">
        <w:t xml:space="preserve">must </w:t>
      </w:r>
      <w:r w:rsidRPr="001A7517">
        <w:rPr>
          <w:spacing w:val="-2"/>
        </w:rPr>
        <w:t xml:space="preserve">take daily samples at the entrance to the distribution system.  For any daily sample that exceeds the chlorite MCL, the </w:t>
      </w:r>
      <w:r w:rsidRPr="001A7517">
        <w:t xml:space="preserve">supplier must </w:t>
      </w:r>
      <w:r w:rsidRPr="001A7517">
        <w:rPr>
          <w:spacing w:val="-2"/>
        </w:rPr>
        <w:t>take additional samples in the distribution system the following day at the locations required by subsection (b)(2)(B), in addition to the sample required at the entrance to the distribution system.</w:t>
      </w:r>
    </w:p>
    <w:p w14:paraId="17DB4229" w14:textId="77777777" w:rsidR="00810215" w:rsidRPr="001A7517" w:rsidRDefault="00810215" w:rsidP="00810215">
      <w:pPr>
        <w:suppressAutoHyphens/>
        <w:ind w:left="3600" w:hanging="720"/>
        <w:rPr>
          <w:spacing w:val="-2"/>
        </w:rPr>
      </w:pPr>
    </w:p>
    <w:p w14:paraId="263EE5DD" w14:textId="5185D78A" w:rsidR="00810215" w:rsidRDefault="00810215" w:rsidP="00810215">
      <w:pPr>
        <w:suppressAutoHyphens/>
        <w:ind w:left="3600" w:hanging="720"/>
        <w:rPr>
          <w:spacing w:val="-2"/>
        </w:rPr>
      </w:pPr>
      <w:r w:rsidRPr="001A7517">
        <w:rPr>
          <w:spacing w:val="-2"/>
        </w:rPr>
        <w:t>ii)</w:t>
      </w:r>
      <w:r w:rsidRPr="001A7517">
        <w:rPr>
          <w:spacing w:val="-2"/>
        </w:rPr>
        <w:tab/>
        <w:t xml:space="preserve">Monthly Monitoring.  </w:t>
      </w:r>
      <w:r w:rsidRPr="001A7517">
        <w:rPr>
          <w:spacing w:val="-1"/>
        </w:rPr>
        <w:t xml:space="preserve">A supplier </w:t>
      </w:r>
      <w:r w:rsidRPr="001A7517">
        <w:t xml:space="preserve">must </w:t>
      </w:r>
      <w:r w:rsidRPr="001A7517">
        <w:rPr>
          <w:spacing w:val="-2"/>
        </w:rPr>
        <w:t>take a three</w:t>
      </w:r>
      <w:r w:rsidRPr="001A7517">
        <w:rPr>
          <w:spacing w:val="-2"/>
        </w:rPr>
        <w:noBreakHyphen/>
        <w:t>sample set each month in the distribution system.  The supplier must take one sample at each of the following locations:  near the first customer, at a location representative of average residence time, and at a location reflecting maximum residence time in the distribution system.  Any additional routine sampling must be conducted in the same manner (as three</w:t>
      </w:r>
      <w:r w:rsidRPr="001A7517">
        <w:rPr>
          <w:spacing w:val="-2"/>
        </w:rPr>
        <w:noBreakHyphen/>
        <w:t>sample sets, at the specified locations).  The supplier may use the results of additional monitoring conducted under subsection (b)(2)(B) to meet the requirement for monitoring in this subsection</w:t>
      </w:r>
      <w:r w:rsidRPr="001A7517">
        <w:t xml:space="preserve"> (b)(2)(A)(ii)</w:t>
      </w:r>
      <w:r w:rsidRPr="001A7517">
        <w:rPr>
          <w:spacing w:val="-2"/>
        </w:rPr>
        <w:t>.</w:t>
      </w:r>
    </w:p>
    <w:p w14:paraId="16AAAF43" w14:textId="77777777" w:rsidR="00810215" w:rsidRPr="001A7517" w:rsidRDefault="00810215" w:rsidP="00810215">
      <w:pPr>
        <w:suppressAutoHyphens/>
        <w:ind w:left="3600" w:hanging="720"/>
        <w:rPr>
          <w:spacing w:val="-2"/>
        </w:rPr>
      </w:pPr>
    </w:p>
    <w:p w14:paraId="56052946" w14:textId="08C48E2F" w:rsidR="00810215" w:rsidRDefault="00810215" w:rsidP="00810215">
      <w:pPr>
        <w:suppressAutoHyphens/>
        <w:ind w:left="2880" w:hanging="720"/>
        <w:rPr>
          <w:spacing w:val="-2"/>
        </w:rPr>
      </w:pPr>
      <w:r w:rsidRPr="001A7517">
        <w:rPr>
          <w:spacing w:val="-2"/>
        </w:rPr>
        <w:t>B)</w:t>
      </w:r>
      <w:r w:rsidRPr="001A7517">
        <w:rPr>
          <w:spacing w:val="-2"/>
        </w:rPr>
        <w:tab/>
        <w:t xml:space="preserve">Additional Monitoring.  On each day following a routine sample monitoring result that exceeds the chlorite MCL at the entrance to the distribution system, the supplier </w:t>
      </w:r>
      <w:r w:rsidRPr="001A7517">
        <w:t xml:space="preserve">must </w:t>
      </w:r>
      <w:r w:rsidRPr="001A7517">
        <w:rPr>
          <w:spacing w:val="-2"/>
        </w:rPr>
        <w:t>take three chlorite distribution system samples at the following locations:  as close to the first customer as possible, in a location representative of average residence time, and as close to the end of the distribution system as possible (reflecting maximum residence time in the distribution system).</w:t>
      </w:r>
    </w:p>
    <w:p w14:paraId="778F5BE4" w14:textId="77777777" w:rsidR="00810215" w:rsidRPr="001A7517" w:rsidRDefault="00810215" w:rsidP="00810215">
      <w:pPr>
        <w:suppressAutoHyphens/>
        <w:ind w:left="2880" w:hanging="720"/>
        <w:rPr>
          <w:spacing w:val="-2"/>
        </w:rPr>
      </w:pPr>
    </w:p>
    <w:p w14:paraId="1F0D420A" w14:textId="51C52A38" w:rsidR="00810215" w:rsidRDefault="00810215" w:rsidP="00810215">
      <w:pPr>
        <w:suppressAutoHyphens/>
        <w:ind w:left="2880" w:hanging="720"/>
        <w:rPr>
          <w:spacing w:val="-2"/>
        </w:rPr>
      </w:pPr>
      <w:r w:rsidRPr="001A7517">
        <w:rPr>
          <w:spacing w:val="-2"/>
        </w:rPr>
        <w:t>C)</w:t>
      </w:r>
      <w:r w:rsidRPr="001A7517">
        <w:rPr>
          <w:spacing w:val="-2"/>
        </w:rPr>
        <w:tab/>
        <w:t>Reduced Monitoring</w:t>
      </w:r>
    </w:p>
    <w:p w14:paraId="13F191DE" w14:textId="77777777" w:rsidR="00810215" w:rsidRPr="001A7517" w:rsidRDefault="00810215" w:rsidP="00810215">
      <w:pPr>
        <w:suppressAutoHyphens/>
        <w:ind w:left="2880" w:hanging="720"/>
        <w:rPr>
          <w:spacing w:val="-2"/>
        </w:rPr>
      </w:pPr>
    </w:p>
    <w:p w14:paraId="5AAB4AC7" w14:textId="3575BE3A" w:rsidR="00810215" w:rsidRDefault="00810215" w:rsidP="00810215">
      <w:pPr>
        <w:suppressAutoHyphens/>
        <w:ind w:left="3600" w:hanging="720"/>
        <w:rPr>
          <w:spacing w:val="-2"/>
        </w:rPr>
      </w:pPr>
      <w:r w:rsidRPr="001A7517">
        <w:rPr>
          <w:spacing w:val="-2"/>
        </w:rPr>
        <w:t>i)</w:t>
      </w:r>
      <w:r w:rsidRPr="001A7517">
        <w:rPr>
          <w:spacing w:val="-2"/>
        </w:rPr>
        <w:tab/>
        <w:t>Chlorite monitoring at the entrance to the distribution system required by subsection (b)(2)(A)(i) may not be reduced.</w:t>
      </w:r>
    </w:p>
    <w:p w14:paraId="010F82FA" w14:textId="77777777" w:rsidR="00810215" w:rsidRPr="001A7517" w:rsidRDefault="00810215" w:rsidP="00810215">
      <w:pPr>
        <w:suppressAutoHyphens/>
        <w:ind w:left="3600" w:hanging="720"/>
        <w:rPr>
          <w:spacing w:val="-2"/>
        </w:rPr>
      </w:pPr>
    </w:p>
    <w:p w14:paraId="7860A9A1" w14:textId="4B20645F" w:rsidR="00810215" w:rsidRDefault="00810215" w:rsidP="00810215">
      <w:pPr>
        <w:suppressAutoHyphens/>
        <w:ind w:left="3600" w:hanging="720"/>
        <w:rPr>
          <w:spacing w:val="-2"/>
        </w:rPr>
      </w:pPr>
      <w:r w:rsidRPr="001A7517">
        <w:rPr>
          <w:spacing w:val="-2"/>
        </w:rPr>
        <w:t>ii)</w:t>
      </w:r>
      <w:r w:rsidRPr="001A7517">
        <w:rPr>
          <w:spacing w:val="-2"/>
        </w:rPr>
        <w:tab/>
        <w:t xml:space="preserve">Chlorite monitoring in the distribution system required by subsection (b)(2)(A)(ii) may be reduced to one three-sample set per quarter after one year of monitoring </w:t>
      </w:r>
      <w:r w:rsidRPr="001A7517">
        <w:rPr>
          <w:spacing w:val="-3"/>
        </w:rPr>
        <w:t xml:space="preserve">if </w:t>
      </w:r>
      <w:r w:rsidRPr="001A7517">
        <w:rPr>
          <w:spacing w:val="-2"/>
        </w:rPr>
        <w:t xml:space="preserve">no individual chlorite sample taken in the distribution system under subsection (b)(2)(A)(ii) has exceeded the chlorite MCL and the supplier has not been required to conduct monitoring </w:t>
      </w:r>
      <w:r w:rsidRPr="001A7517">
        <w:rPr>
          <w:spacing w:val="-2"/>
        </w:rPr>
        <w:lastRenderedPageBreak/>
        <w:t xml:space="preserve">under subsection (b)(2)(B).  The supplier may remain on the reduced monitoring schedule until either any of the three individual chlorite samples taken quarterly in the distribution system under subsection (b)(2)(A)(ii) exceeds the chlorite MCL or the supplier is required to conduct monitoring under subsection (b)(2)(B), at which time the supplier </w:t>
      </w:r>
      <w:r w:rsidRPr="001A7517">
        <w:t xml:space="preserve">must </w:t>
      </w:r>
      <w:r w:rsidRPr="001A7517">
        <w:rPr>
          <w:spacing w:val="-2"/>
        </w:rPr>
        <w:t>revert to routine monitoring.</w:t>
      </w:r>
    </w:p>
    <w:p w14:paraId="34B76927" w14:textId="77777777" w:rsidR="00810215" w:rsidRPr="001A7517" w:rsidRDefault="00810215" w:rsidP="00810215">
      <w:pPr>
        <w:suppressAutoHyphens/>
        <w:ind w:left="3600" w:hanging="720"/>
        <w:rPr>
          <w:spacing w:val="-2"/>
        </w:rPr>
      </w:pPr>
    </w:p>
    <w:p w14:paraId="2F587090" w14:textId="7B49DDE6" w:rsidR="00810215" w:rsidRDefault="00810215" w:rsidP="00810215">
      <w:pPr>
        <w:suppressAutoHyphens/>
        <w:ind w:left="2160" w:hanging="720"/>
        <w:rPr>
          <w:spacing w:val="-2"/>
        </w:rPr>
      </w:pPr>
      <w:r w:rsidRPr="001A7517">
        <w:rPr>
          <w:spacing w:val="-2"/>
        </w:rPr>
        <w:t>3)</w:t>
      </w:r>
      <w:r w:rsidRPr="001A7517">
        <w:rPr>
          <w:spacing w:val="-2"/>
        </w:rPr>
        <w:tab/>
        <w:t>Bromate</w:t>
      </w:r>
    </w:p>
    <w:p w14:paraId="5BD2AD80" w14:textId="77777777" w:rsidR="00810215" w:rsidRPr="001A7517" w:rsidRDefault="00810215" w:rsidP="00810215">
      <w:pPr>
        <w:suppressAutoHyphens/>
        <w:ind w:left="2160" w:hanging="720"/>
        <w:rPr>
          <w:spacing w:val="-2"/>
        </w:rPr>
      </w:pPr>
    </w:p>
    <w:p w14:paraId="6EE30D84" w14:textId="3C56E589" w:rsidR="00810215" w:rsidRDefault="00810215" w:rsidP="00810215">
      <w:pPr>
        <w:suppressAutoHyphens/>
        <w:ind w:left="2880" w:hanging="720"/>
        <w:rPr>
          <w:spacing w:val="-2"/>
        </w:rPr>
      </w:pPr>
      <w:r w:rsidRPr="001A7517">
        <w:rPr>
          <w:spacing w:val="-2"/>
        </w:rPr>
        <w:t>A)</w:t>
      </w:r>
      <w:r w:rsidRPr="001A7517">
        <w:rPr>
          <w:spacing w:val="-2"/>
        </w:rPr>
        <w:tab/>
        <w:t xml:space="preserve">Routine Monitoring.  A CWS or NTNCWS supplier using ozone, for disinfection or oxidation, </w:t>
      </w:r>
      <w:r w:rsidRPr="001A7517">
        <w:t xml:space="preserve">must </w:t>
      </w:r>
      <w:r w:rsidRPr="001A7517">
        <w:rPr>
          <w:spacing w:val="-2"/>
        </w:rPr>
        <w:t xml:space="preserve">take one sample per month for each treatment plant in the system using ozone.  </w:t>
      </w:r>
      <w:r w:rsidRPr="001A7517">
        <w:rPr>
          <w:spacing w:val="-1"/>
        </w:rPr>
        <w:t xml:space="preserve">A supplier </w:t>
      </w:r>
      <w:r w:rsidRPr="001A7517">
        <w:t xml:space="preserve">must </w:t>
      </w:r>
      <w:r w:rsidRPr="001A7517">
        <w:rPr>
          <w:spacing w:val="-2"/>
        </w:rPr>
        <w:t>take samples monthly at the entrance to the distribution system while the ozonation system is operating under normal conditions.</w:t>
      </w:r>
    </w:p>
    <w:p w14:paraId="6CB09108" w14:textId="77777777" w:rsidR="00810215" w:rsidRPr="001A7517" w:rsidRDefault="00810215" w:rsidP="00810215">
      <w:pPr>
        <w:suppressAutoHyphens/>
        <w:ind w:left="2880" w:hanging="720"/>
        <w:rPr>
          <w:spacing w:val="-2"/>
        </w:rPr>
      </w:pPr>
    </w:p>
    <w:p w14:paraId="178A6C8E" w14:textId="4CB8DF0F" w:rsidR="00810215" w:rsidRDefault="00810215" w:rsidP="00810215">
      <w:pPr>
        <w:suppressAutoHyphens/>
        <w:ind w:left="2880" w:hanging="720"/>
      </w:pPr>
      <w:r w:rsidRPr="001A7517">
        <w:rPr>
          <w:spacing w:val="-2"/>
        </w:rPr>
        <w:t>B)</w:t>
      </w:r>
      <w:r w:rsidRPr="001A7517">
        <w:rPr>
          <w:spacing w:val="-2"/>
        </w:rPr>
        <w:tab/>
        <w:t>Reduced Monitoring.</w:t>
      </w:r>
      <w:r w:rsidRPr="001A7517">
        <w:t xml:space="preserve">  A supplier required to analyze for bromate may reduce monitoring from monthly to quarterly if the supplier’s running annual average bromate concentration is not greater than 0.0025 mg/ℓ based on monthly bromate measurements under subsection (b)(3)(A) for the most recent four quarters, with samples analyzed using </w:t>
      </w:r>
      <w:bookmarkStart w:id="3508" w:name="_Hlk12971014"/>
      <w:r w:rsidRPr="001A7517">
        <w:t xml:space="preserve">USEPA </w:t>
      </w:r>
      <w:r w:rsidRPr="001A7517">
        <w:rPr>
          <w:szCs w:val="18"/>
        </w:rPr>
        <w:t xml:space="preserve">302.0 (09), USEPA </w:t>
      </w:r>
      <w:r w:rsidRPr="001A7517">
        <w:t xml:space="preserve">317.0 (01), </w:t>
      </w:r>
      <w:r w:rsidRPr="001A7517">
        <w:rPr>
          <w:szCs w:val="18"/>
        </w:rPr>
        <w:t xml:space="preserve">USEPA </w:t>
      </w:r>
      <w:r w:rsidRPr="001A7517">
        <w:t xml:space="preserve">321.8 (97), </w:t>
      </w:r>
      <w:r w:rsidRPr="001A7517">
        <w:rPr>
          <w:szCs w:val="18"/>
        </w:rPr>
        <w:t xml:space="preserve">USEPA </w:t>
      </w:r>
      <w:r w:rsidRPr="001A7517">
        <w:t xml:space="preserve">326.0 (02), or </w:t>
      </w:r>
      <w:r w:rsidRPr="001A7517">
        <w:rPr>
          <w:szCs w:val="18"/>
        </w:rPr>
        <w:t xml:space="preserve">USEPA </w:t>
      </w:r>
      <w:r w:rsidRPr="001A7517">
        <w:t>557 (09)</w:t>
      </w:r>
      <w:bookmarkEnd w:id="3508"/>
      <w:r w:rsidRPr="001A7517">
        <w:t xml:space="preserve">, each incorporated by reference in Section 611.102.  If a supplier has qualified for reduced bromate monitoring under subsection (b)(3)(B)(i), that supplier may remain on reduced monitoring as long as the running annual average of quarterly bromate samples not greater than 0.0025 mg/ℓ based on samples analyzed using USEPA </w:t>
      </w:r>
      <w:r w:rsidRPr="001A7517">
        <w:rPr>
          <w:szCs w:val="18"/>
        </w:rPr>
        <w:t xml:space="preserve">302.0 (09), USEPA </w:t>
      </w:r>
      <w:r w:rsidRPr="001A7517">
        <w:t xml:space="preserve">317.0 (01), </w:t>
      </w:r>
      <w:r w:rsidRPr="001A7517">
        <w:rPr>
          <w:szCs w:val="18"/>
        </w:rPr>
        <w:t xml:space="preserve">USEPA </w:t>
      </w:r>
      <w:r w:rsidRPr="001A7517">
        <w:t xml:space="preserve">321.8 (97), 326.0 (02), or </w:t>
      </w:r>
      <w:r w:rsidRPr="001A7517">
        <w:rPr>
          <w:szCs w:val="18"/>
        </w:rPr>
        <w:t xml:space="preserve">USEPA </w:t>
      </w:r>
      <w:r w:rsidRPr="001A7517">
        <w:t>557 (09).  If the running annual average bromate concentration is greater than 0.0025 mg/ℓ, the supplier must resume routine monitoring required by subsection (b)(3)(A).</w:t>
      </w:r>
    </w:p>
    <w:p w14:paraId="6B5225BA" w14:textId="77777777" w:rsidR="00810215" w:rsidRPr="001A7517" w:rsidRDefault="00810215" w:rsidP="00810215">
      <w:pPr>
        <w:suppressAutoHyphens/>
        <w:ind w:left="2880" w:hanging="720"/>
        <w:rPr>
          <w:spacing w:val="-1"/>
        </w:rPr>
      </w:pPr>
    </w:p>
    <w:p w14:paraId="347330C5" w14:textId="497E4442" w:rsidR="00810215" w:rsidRDefault="00810215" w:rsidP="00810215">
      <w:pPr>
        <w:suppressAutoHyphens/>
        <w:ind w:left="1440" w:hanging="720"/>
        <w:rPr>
          <w:spacing w:val="-2"/>
        </w:rPr>
      </w:pPr>
      <w:r w:rsidRPr="001A7517">
        <w:rPr>
          <w:spacing w:val="-2"/>
        </w:rPr>
        <w:t>c)</w:t>
      </w:r>
      <w:r w:rsidRPr="001A7517">
        <w:rPr>
          <w:spacing w:val="-2"/>
        </w:rPr>
        <w:tab/>
        <w:t>Monitoring Requirements for Disinfectant Residuals</w:t>
      </w:r>
    </w:p>
    <w:p w14:paraId="0C0D8334" w14:textId="77777777" w:rsidR="00810215" w:rsidRPr="001A7517" w:rsidRDefault="00810215" w:rsidP="00810215">
      <w:pPr>
        <w:suppressAutoHyphens/>
        <w:ind w:left="1440" w:hanging="720"/>
        <w:rPr>
          <w:spacing w:val="-2"/>
        </w:rPr>
      </w:pPr>
    </w:p>
    <w:p w14:paraId="4222BD59" w14:textId="7D6F1297" w:rsidR="00810215" w:rsidRDefault="00810215" w:rsidP="00810215">
      <w:pPr>
        <w:suppressAutoHyphens/>
        <w:ind w:left="2160" w:hanging="720"/>
        <w:rPr>
          <w:spacing w:val="-2"/>
        </w:rPr>
      </w:pPr>
      <w:r w:rsidRPr="001A7517">
        <w:rPr>
          <w:spacing w:val="-2"/>
        </w:rPr>
        <w:t>1)</w:t>
      </w:r>
      <w:r w:rsidRPr="001A7517">
        <w:rPr>
          <w:spacing w:val="-2"/>
        </w:rPr>
        <w:tab/>
        <w:t>Chlorine and Chloramines</w:t>
      </w:r>
    </w:p>
    <w:p w14:paraId="29292D9B" w14:textId="77777777" w:rsidR="00810215" w:rsidRPr="001A7517" w:rsidRDefault="00810215" w:rsidP="00810215">
      <w:pPr>
        <w:suppressAutoHyphens/>
        <w:ind w:left="2160" w:hanging="720"/>
        <w:rPr>
          <w:spacing w:val="-2"/>
        </w:rPr>
      </w:pPr>
    </w:p>
    <w:p w14:paraId="49C6D99F" w14:textId="2BC76BCD" w:rsidR="00810215" w:rsidRDefault="00810215" w:rsidP="00810215">
      <w:pPr>
        <w:suppressAutoHyphens/>
        <w:ind w:left="2880" w:hanging="720"/>
        <w:rPr>
          <w:spacing w:val="-2"/>
        </w:rPr>
      </w:pPr>
      <w:r w:rsidRPr="001A7517">
        <w:rPr>
          <w:spacing w:val="-2"/>
        </w:rPr>
        <w:t>A)</w:t>
      </w:r>
      <w:r w:rsidRPr="001A7517">
        <w:rPr>
          <w:spacing w:val="-2"/>
        </w:rPr>
        <w:tab/>
        <w:t xml:space="preserve">Routine Monitoring.  </w:t>
      </w:r>
      <w:r w:rsidRPr="001A7517">
        <w:t xml:space="preserve">A </w:t>
      </w:r>
      <w:r w:rsidRPr="001A7517">
        <w:rPr>
          <w:szCs w:val="24"/>
        </w:rPr>
        <w:t xml:space="preserve">CWS or NTNCWS supplier that uses chlorine or chloramines must measure the residual disinfectant level in the distribution system at the same point in the distribution system and at the same time as total coliforms are sampled, as specified in Sections 611.1054 through 611.1058.  </w:t>
      </w:r>
      <w:r w:rsidRPr="001A7517">
        <w:rPr>
          <w:spacing w:val="-2"/>
        </w:rPr>
        <w:t xml:space="preserve">A Subpart B system supplier may use the results of residual disinfectant concentration sampling conducted under Section 611.532 for </w:t>
      </w:r>
      <w:r w:rsidRPr="001A7517">
        <w:rPr>
          <w:spacing w:val="-2"/>
        </w:rPr>
        <w:lastRenderedPageBreak/>
        <w:t>unfiltered systems or Section 611.533 for systems that filter, in lieu of taking separate samples.</w:t>
      </w:r>
    </w:p>
    <w:p w14:paraId="1C7F5ECF" w14:textId="77777777" w:rsidR="00810215" w:rsidRPr="001A7517" w:rsidRDefault="00810215" w:rsidP="00810215">
      <w:pPr>
        <w:suppressAutoHyphens/>
        <w:ind w:left="2880" w:hanging="720"/>
        <w:rPr>
          <w:spacing w:val="-2"/>
        </w:rPr>
      </w:pPr>
    </w:p>
    <w:p w14:paraId="6C977DE1" w14:textId="5D64DBAD" w:rsidR="00810215" w:rsidRDefault="00810215" w:rsidP="00810215">
      <w:pPr>
        <w:ind w:left="2880" w:hanging="720"/>
        <w:rPr>
          <w:spacing w:val="-2"/>
        </w:rPr>
      </w:pPr>
      <w:r w:rsidRPr="001A7517">
        <w:rPr>
          <w:spacing w:val="-2"/>
        </w:rPr>
        <w:t>B)</w:t>
      </w:r>
      <w:r w:rsidRPr="001A7517">
        <w:rPr>
          <w:spacing w:val="-2"/>
        </w:rPr>
        <w:tab/>
        <w:t>Reduced Monitoring.  Monitoring may not be reduced.</w:t>
      </w:r>
    </w:p>
    <w:p w14:paraId="014C69B2" w14:textId="77777777" w:rsidR="00810215" w:rsidRPr="001A7517" w:rsidRDefault="00810215" w:rsidP="00810215">
      <w:pPr>
        <w:ind w:left="2880" w:hanging="720"/>
        <w:rPr>
          <w:spacing w:val="-2"/>
        </w:rPr>
      </w:pPr>
    </w:p>
    <w:p w14:paraId="0AC507C5" w14:textId="6B7F9014" w:rsidR="00810215" w:rsidRDefault="00810215" w:rsidP="00810215">
      <w:pPr>
        <w:suppressAutoHyphens/>
        <w:ind w:left="2160" w:hanging="720"/>
        <w:rPr>
          <w:spacing w:val="-2"/>
        </w:rPr>
      </w:pPr>
      <w:r w:rsidRPr="001A7517">
        <w:rPr>
          <w:spacing w:val="-2"/>
        </w:rPr>
        <w:t>2)</w:t>
      </w:r>
      <w:r w:rsidRPr="001A7517">
        <w:rPr>
          <w:spacing w:val="-2"/>
        </w:rPr>
        <w:tab/>
        <w:t>Chlorine Dioxide</w:t>
      </w:r>
    </w:p>
    <w:p w14:paraId="17C734DF" w14:textId="77777777" w:rsidR="00810215" w:rsidRPr="001A7517" w:rsidRDefault="00810215" w:rsidP="00810215">
      <w:pPr>
        <w:suppressAutoHyphens/>
        <w:ind w:left="2160" w:hanging="720"/>
        <w:rPr>
          <w:spacing w:val="-2"/>
        </w:rPr>
      </w:pPr>
    </w:p>
    <w:p w14:paraId="43C7BAC0" w14:textId="504419B7" w:rsidR="00810215" w:rsidRDefault="00810215" w:rsidP="00810215">
      <w:pPr>
        <w:suppressAutoHyphens/>
        <w:ind w:left="2880" w:hanging="720"/>
        <w:rPr>
          <w:spacing w:val="-2"/>
        </w:rPr>
      </w:pPr>
      <w:r w:rsidRPr="001A7517">
        <w:rPr>
          <w:spacing w:val="-2"/>
        </w:rPr>
        <w:t>A)</w:t>
      </w:r>
      <w:r w:rsidRPr="001A7517">
        <w:rPr>
          <w:spacing w:val="-2"/>
        </w:rPr>
        <w:tab/>
        <w:t>Routine Monitoring.  A CWS, an NTNCWS</w:t>
      </w:r>
      <w:r w:rsidRPr="001A7517">
        <w:t>, or</w:t>
      </w:r>
      <w:r w:rsidRPr="001A7517">
        <w:rPr>
          <w:spacing w:val="-2"/>
        </w:rPr>
        <w:t xml:space="preserve"> a transient non-CWS supplier </w:t>
      </w:r>
      <w:r w:rsidRPr="001A7517">
        <w:t xml:space="preserve">that uses </w:t>
      </w:r>
      <w:r w:rsidRPr="001A7517">
        <w:rPr>
          <w:spacing w:val="-2"/>
        </w:rPr>
        <w:t xml:space="preserve">chlorine dioxide for disinfection or oxidation </w:t>
      </w:r>
      <w:r w:rsidRPr="001A7517">
        <w:t xml:space="preserve">must </w:t>
      </w:r>
      <w:r w:rsidRPr="001A7517">
        <w:rPr>
          <w:spacing w:val="-2"/>
        </w:rPr>
        <w:t xml:space="preserve">take daily samples at the entrance to the distribution system.  For any daily sample that exceeds the MRDL, the </w:t>
      </w:r>
      <w:r w:rsidRPr="001A7517">
        <w:t xml:space="preserve">supplier must </w:t>
      </w:r>
      <w:r w:rsidRPr="001A7517">
        <w:rPr>
          <w:spacing w:val="-2"/>
        </w:rPr>
        <w:t>take samples in the distribution system the following day at the locations required by subsection (c)(2)(B), in addition to the sample required at the entrance to the distribution system.</w:t>
      </w:r>
    </w:p>
    <w:p w14:paraId="5F9B5EFD" w14:textId="77777777" w:rsidR="00810215" w:rsidRPr="001A7517" w:rsidRDefault="00810215" w:rsidP="00810215">
      <w:pPr>
        <w:suppressAutoHyphens/>
        <w:ind w:left="2880" w:hanging="720"/>
        <w:rPr>
          <w:spacing w:val="-2"/>
        </w:rPr>
      </w:pPr>
    </w:p>
    <w:p w14:paraId="60543BB4" w14:textId="6698041F" w:rsidR="00810215" w:rsidRDefault="00810215" w:rsidP="00810215">
      <w:pPr>
        <w:suppressAutoHyphens/>
        <w:ind w:left="2880" w:hanging="720"/>
        <w:rPr>
          <w:spacing w:val="-2"/>
        </w:rPr>
      </w:pPr>
      <w:r w:rsidRPr="001A7517">
        <w:rPr>
          <w:spacing w:val="-2"/>
        </w:rPr>
        <w:t>B)</w:t>
      </w:r>
      <w:r w:rsidRPr="001A7517">
        <w:rPr>
          <w:spacing w:val="-2"/>
        </w:rPr>
        <w:tab/>
        <w:t xml:space="preserve">Additional Monitoring.  On each day following a routine sample monitoring result that exceeds the MRDL, the supplier </w:t>
      </w:r>
      <w:r w:rsidRPr="001A7517">
        <w:t xml:space="preserve">must </w:t>
      </w:r>
      <w:r w:rsidRPr="001A7517">
        <w:rPr>
          <w:spacing w:val="-2"/>
        </w:rPr>
        <w:t>take three chlorine dioxide distribution system samples.  If chlorine dioxide or chloramines are used to maintain a disinfectant residual in the distribution system</w:t>
      </w:r>
      <w:r w:rsidRPr="001A7517">
        <w:t>, or</w:t>
      </w:r>
      <w:r w:rsidRPr="001A7517">
        <w:rPr>
          <w:spacing w:val="-2"/>
        </w:rPr>
        <w:t xml:space="preserve"> if chlorine is used to maintain a disinfectant residual in the distribution system and there are no disinfection addition points after the entrance to the distribution system (i.e., no booster chlorination), the supplier </w:t>
      </w:r>
      <w:r w:rsidRPr="001A7517">
        <w:t>must t</w:t>
      </w:r>
      <w:r w:rsidRPr="001A7517">
        <w:rPr>
          <w:spacing w:val="-2"/>
        </w:rPr>
        <w:t xml:space="preserve">ake three samples as close to the first customer as possible, at intervals of at least six hours.  If chlorine is used to maintain a disinfectant residual in the distribution system and there are one or more disinfection addition points after the entrance to the distribution system (i.e., booster chlorination), the supplier </w:t>
      </w:r>
      <w:r w:rsidRPr="001A7517">
        <w:t xml:space="preserve">must </w:t>
      </w:r>
      <w:r w:rsidRPr="001A7517">
        <w:rPr>
          <w:spacing w:val="-2"/>
        </w:rPr>
        <w:t>take one sample at each of the following locations:  as close to the first customer as possible, in a location representative of average residence time, and as close to the end of the distribution system as possible (reflecting maximum residence time in the distribution system).</w:t>
      </w:r>
    </w:p>
    <w:p w14:paraId="70E30EE5" w14:textId="77777777" w:rsidR="00810215" w:rsidRPr="001A7517" w:rsidRDefault="00810215" w:rsidP="00810215">
      <w:pPr>
        <w:suppressAutoHyphens/>
        <w:ind w:left="2880" w:hanging="720"/>
        <w:rPr>
          <w:spacing w:val="-2"/>
        </w:rPr>
      </w:pPr>
    </w:p>
    <w:p w14:paraId="1A834E12" w14:textId="36916635" w:rsidR="00810215" w:rsidRDefault="00810215" w:rsidP="00810215">
      <w:pPr>
        <w:ind w:left="2880" w:hanging="720"/>
        <w:rPr>
          <w:spacing w:val="-2"/>
        </w:rPr>
      </w:pPr>
      <w:r w:rsidRPr="001A7517">
        <w:rPr>
          <w:spacing w:val="-2"/>
        </w:rPr>
        <w:t>C)</w:t>
      </w:r>
      <w:r w:rsidRPr="001A7517">
        <w:rPr>
          <w:spacing w:val="-2"/>
        </w:rPr>
        <w:tab/>
        <w:t>Reduced Monitoring.  Monitoring may not be reduced.</w:t>
      </w:r>
    </w:p>
    <w:p w14:paraId="37F113CD" w14:textId="77777777" w:rsidR="00810215" w:rsidRPr="001A7517" w:rsidRDefault="00810215" w:rsidP="00810215">
      <w:pPr>
        <w:ind w:left="2880" w:hanging="720"/>
      </w:pPr>
    </w:p>
    <w:p w14:paraId="3A56CEAC" w14:textId="030AC4B7" w:rsidR="00810215" w:rsidRDefault="00810215" w:rsidP="00810215">
      <w:pPr>
        <w:suppressAutoHyphens/>
        <w:ind w:left="1440" w:hanging="720"/>
        <w:rPr>
          <w:spacing w:val="-2"/>
        </w:rPr>
      </w:pPr>
      <w:r w:rsidRPr="001A7517">
        <w:rPr>
          <w:spacing w:val="-2"/>
        </w:rPr>
        <w:t>d)</w:t>
      </w:r>
      <w:r w:rsidRPr="001A7517">
        <w:rPr>
          <w:spacing w:val="-2"/>
        </w:rPr>
        <w:tab/>
        <w:t xml:space="preserve">Monitoring Requirements for Disinfection Byproduct </w:t>
      </w:r>
      <w:r w:rsidRPr="001A7517">
        <w:t>(DBP)</w:t>
      </w:r>
      <w:r w:rsidRPr="001A7517">
        <w:rPr>
          <w:spacing w:val="-2"/>
        </w:rPr>
        <w:t xml:space="preserve"> Precursors</w:t>
      </w:r>
    </w:p>
    <w:p w14:paraId="4F296291" w14:textId="77777777" w:rsidR="00810215" w:rsidRPr="001A7517" w:rsidRDefault="00810215" w:rsidP="00810215">
      <w:pPr>
        <w:suppressAutoHyphens/>
        <w:ind w:left="1440" w:hanging="720"/>
        <w:rPr>
          <w:spacing w:val="-2"/>
        </w:rPr>
      </w:pPr>
    </w:p>
    <w:p w14:paraId="2F4376ED" w14:textId="01B73677" w:rsidR="00810215" w:rsidRDefault="00810215" w:rsidP="00810215">
      <w:pPr>
        <w:suppressAutoHyphens/>
        <w:ind w:left="2880" w:hanging="720"/>
        <w:rPr>
          <w:spacing w:val="-2"/>
        </w:rPr>
      </w:pPr>
      <w:r w:rsidRPr="001A7517">
        <w:rPr>
          <w:spacing w:val="-2"/>
        </w:rPr>
        <w:t>1)</w:t>
      </w:r>
      <w:r w:rsidRPr="001A7517">
        <w:rPr>
          <w:spacing w:val="-2"/>
        </w:rPr>
        <w:tab/>
        <w:t>Routine Monitoring.  A Subpart B system supplier that use</w:t>
      </w:r>
      <w:r w:rsidRPr="001A7517">
        <w:t>s</w:t>
      </w:r>
      <w:r w:rsidRPr="001A7517">
        <w:rPr>
          <w:spacing w:val="-2"/>
        </w:rPr>
        <w:t xml:space="preserve"> conventional filtration treatment (as defined in Section 611.101) </w:t>
      </w:r>
      <w:r w:rsidRPr="001A7517">
        <w:t xml:space="preserve">must </w:t>
      </w:r>
      <w:r w:rsidRPr="001A7517">
        <w:rPr>
          <w:spacing w:val="-2"/>
        </w:rPr>
        <w:t xml:space="preserve">monitor each treatment plant for TOC </w:t>
      </w:r>
      <w:r w:rsidRPr="001A7517">
        <w:t xml:space="preserve">not past </w:t>
      </w:r>
      <w:r w:rsidRPr="001A7517">
        <w:rPr>
          <w:spacing w:val="-2"/>
        </w:rPr>
        <w:t xml:space="preserve">the point of combined filter effluent turbidity monitoring and representative of the treated water.  A supplier required to monitor under this subsection </w:t>
      </w:r>
      <w:r w:rsidRPr="001A7517">
        <w:t xml:space="preserve">(d)(1) must </w:t>
      </w:r>
      <w:r w:rsidRPr="001A7517">
        <w:rPr>
          <w:spacing w:val="-2"/>
        </w:rPr>
        <w:t xml:space="preserve">also monitor for TOC in the source water prior to any treatment at the same time as monitoring for TOC in the treated water.  These samples (source water and treated water) are </w:t>
      </w:r>
      <w:r w:rsidRPr="001A7517">
        <w:rPr>
          <w:spacing w:val="-2"/>
        </w:rPr>
        <w:lastRenderedPageBreak/>
        <w:t xml:space="preserve">referred to as paired samples.  At the same time as the source water sample is taken, </w:t>
      </w:r>
      <w:r w:rsidRPr="001A7517">
        <w:t xml:space="preserve">a system must </w:t>
      </w:r>
      <w:r w:rsidRPr="001A7517">
        <w:rPr>
          <w:spacing w:val="-2"/>
        </w:rPr>
        <w:t>monitor for alkalinity in the source water prior to any treatment.  A supplier must take one paired sample and one source water alkalinity sample per month per plant at a time representative of normal operating conditions and influent water quality.</w:t>
      </w:r>
    </w:p>
    <w:p w14:paraId="6CB118EB" w14:textId="77777777" w:rsidR="00810215" w:rsidRPr="001A7517" w:rsidRDefault="00810215" w:rsidP="00810215">
      <w:pPr>
        <w:suppressAutoHyphens/>
        <w:ind w:left="2880" w:hanging="720"/>
        <w:rPr>
          <w:spacing w:val="-2"/>
        </w:rPr>
      </w:pPr>
    </w:p>
    <w:p w14:paraId="4A361ECA" w14:textId="6115D739" w:rsidR="00810215" w:rsidRDefault="00810215" w:rsidP="00810215">
      <w:pPr>
        <w:suppressAutoHyphens/>
        <w:ind w:left="2880" w:hanging="720"/>
        <w:rPr>
          <w:spacing w:val="-2"/>
        </w:rPr>
      </w:pPr>
      <w:r w:rsidRPr="001A7517">
        <w:rPr>
          <w:spacing w:val="-2"/>
        </w:rPr>
        <w:t>2)</w:t>
      </w:r>
      <w:r w:rsidRPr="001A7517">
        <w:rPr>
          <w:spacing w:val="-2"/>
        </w:rPr>
        <w:tab/>
        <w:t>Reduced Monitoring.  A Subpart B system supplier with an average treated water TOC of less than 2.0 mg/</w:t>
      </w:r>
      <w:r w:rsidRPr="001A7517">
        <w:t>ℓ</w:t>
      </w:r>
      <w:r w:rsidRPr="001A7517">
        <w:rPr>
          <w:spacing w:val="-2"/>
        </w:rPr>
        <w:t xml:space="preserve"> for two consecutive years</w:t>
      </w:r>
      <w:r w:rsidRPr="001A7517">
        <w:t>, or</w:t>
      </w:r>
      <w:r w:rsidRPr="001A7517">
        <w:rPr>
          <w:spacing w:val="-2"/>
        </w:rPr>
        <w:t xml:space="preserve"> less than 1.0 mg/</w:t>
      </w:r>
      <w:r w:rsidRPr="001A7517">
        <w:t>ℓ</w:t>
      </w:r>
      <w:r w:rsidRPr="001A7517">
        <w:rPr>
          <w:spacing w:val="-2"/>
        </w:rPr>
        <w:t xml:space="preserve"> for one year, may reduce monitoring for both TOC and alkalinity to one paired sample and one source water alkalinity sample per plant per quarter.  The supplier </w:t>
      </w:r>
      <w:r w:rsidRPr="001A7517">
        <w:t xml:space="preserve">must </w:t>
      </w:r>
      <w:r w:rsidRPr="001A7517">
        <w:rPr>
          <w:spacing w:val="-2"/>
        </w:rPr>
        <w:t>revert to routine monitoring in the month following the quarter when the annual average treated water TOC greater than or equal to 2.0 mg/</w:t>
      </w:r>
      <w:r w:rsidRPr="001A7517">
        <w:t>ℓ</w:t>
      </w:r>
      <w:r w:rsidRPr="001A7517">
        <w:rPr>
          <w:spacing w:val="-2"/>
        </w:rPr>
        <w:t>.</w:t>
      </w:r>
    </w:p>
    <w:p w14:paraId="1DEE8D2F" w14:textId="77777777" w:rsidR="00810215" w:rsidRPr="001A7517" w:rsidRDefault="00810215" w:rsidP="00810215">
      <w:pPr>
        <w:suppressAutoHyphens/>
        <w:ind w:left="2880" w:hanging="720"/>
        <w:rPr>
          <w:spacing w:val="-2"/>
        </w:rPr>
      </w:pPr>
    </w:p>
    <w:p w14:paraId="19480A2B" w14:textId="63AB17FE" w:rsidR="00810215" w:rsidRDefault="00810215" w:rsidP="00810215">
      <w:pPr>
        <w:suppressAutoHyphens/>
        <w:ind w:left="2160" w:hanging="720"/>
        <w:rPr>
          <w:spacing w:val="-2"/>
        </w:rPr>
      </w:pPr>
      <w:r w:rsidRPr="001A7517">
        <w:rPr>
          <w:spacing w:val="-2"/>
        </w:rPr>
        <w:t>e)</w:t>
      </w:r>
      <w:r w:rsidRPr="001A7517">
        <w:rPr>
          <w:spacing w:val="-2"/>
        </w:rPr>
        <w:tab/>
        <w:t>Bromide.  A supplier required to analyze for bromate may reduce bromate monitoring from monthly to once per quarter, if the supplier demonstrates that the average source water bromide concentration is less than 0.05 mg/</w:t>
      </w:r>
      <w:r w:rsidRPr="001A7517">
        <w:t>ℓ</w:t>
      </w:r>
      <w:r w:rsidRPr="001A7517">
        <w:rPr>
          <w:spacing w:val="-2"/>
        </w:rPr>
        <w:t xml:space="preserve"> based upon representative monthly measurements for one year.  The supplier </w:t>
      </w:r>
      <w:r w:rsidRPr="001A7517">
        <w:t xml:space="preserve">must </w:t>
      </w:r>
      <w:r w:rsidRPr="001A7517">
        <w:rPr>
          <w:spacing w:val="-2"/>
        </w:rPr>
        <w:t>continue bromide monitoring to remain on reduced bromate monitoring.</w:t>
      </w:r>
    </w:p>
    <w:p w14:paraId="35C455E6" w14:textId="77777777" w:rsidR="00810215" w:rsidRPr="001A7517" w:rsidRDefault="00810215" w:rsidP="00810215">
      <w:pPr>
        <w:suppressAutoHyphens/>
        <w:ind w:left="2160" w:hanging="720"/>
        <w:rPr>
          <w:spacing w:val="-2"/>
        </w:rPr>
      </w:pPr>
    </w:p>
    <w:p w14:paraId="7BBAE4D7" w14:textId="48201E3D" w:rsidR="00810215" w:rsidRDefault="00810215" w:rsidP="00810215">
      <w:pPr>
        <w:suppressAutoHyphens/>
        <w:ind w:left="2160" w:hanging="720"/>
        <w:rPr>
          <w:spacing w:val="-2"/>
        </w:rPr>
      </w:pPr>
      <w:r w:rsidRPr="001A7517">
        <w:rPr>
          <w:spacing w:val="-2"/>
        </w:rPr>
        <w:t>f)</w:t>
      </w:r>
      <w:r w:rsidRPr="001A7517">
        <w:rPr>
          <w:spacing w:val="-2"/>
        </w:rPr>
        <w:tab/>
        <w:t>Monitoring Plans.  Each supplier required to monitor under this Subpart</w:t>
      </w:r>
      <w:r w:rsidRPr="001A7517">
        <w:t xml:space="preserve"> I</w:t>
      </w:r>
      <w:r w:rsidRPr="001A7517">
        <w:rPr>
          <w:spacing w:val="-2"/>
        </w:rPr>
        <w:t xml:space="preserve"> </w:t>
      </w:r>
      <w:r w:rsidRPr="001A7517">
        <w:t xml:space="preserve">must </w:t>
      </w:r>
      <w:r w:rsidRPr="001A7517">
        <w:rPr>
          <w:spacing w:val="-2"/>
        </w:rPr>
        <w:t xml:space="preserve">develop and implement a monitoring plan.  The supplier </w:t>
      </w:r>
      <w:r w:rsidRPr="001A7517">
        <w:t>must ma</w:t>
      </w:r>
      <w:r w:rsidRPr="001A7517">
        <w:rPr>
          <w:spacing w:val="-2"/>
        </w:rPr>
        <w:t xml:space="preserve">intain the plan and make it available for inspection by the </w:t>
      </w:r>
      <w:r w:rsidRPr="001A7517">
        <w:t>Agency</w:t>
      </w:r>
      <w:r w:rsidRPr="001A7517">
        <w:rPr>
          <w:spacing w:val="-2"/>
        </w:rPr>
        <w:t xml:space="preserve"> and the general public no later than </w:t>
      </w:r>
      <w:r w:rsidRPr="001A7517">
        <w:t xml:space="preserve">30 </w:t>
      </w:r>
      <w:r w:rsidRPr="001A7517">
        <w:rPr>
          <w:spacing w:val="-2"/>
        </w:rPr>
        <w:t xml:space="preserve">days following the applicable compliance dates in Section 611.380(b).  A Subpart B system supplier that serves more than 3,300 persons </w:t>
      </w:r>
      <w:r w:rsidRPr="001A7517">
        <w:t xml:space="preserve">must </w:t>
      </w:r>
      <w:r w:rsidRPr="001A7517">
        <w:rPr>
          <w:spacing w:val="-2"/>
        </w:rPr>
        <w:t>submit a copy of the monitoring plan to the Agency no later than the date of the first report required under Section 611.</w:t>
      </w:r>
      <w:r w:rsidRPr="001A7517">
        <w:t>384</w:t>
      </w:r>
      <w:r w:rsidRPr="001A7517">
        <w:rPr>
          <w:spacing w:val="-2"/>
        </w:rPr>
        <w:t>.  After review, the Agency may require changes in any plan elements.  The plan must include at least the following elements:</w:t>
      </w:r>
    </w:p>
    <w:p w14:paraId="1334E128" w14:textId="77777777" w:rsidR="00810215" w:rsidRPr="001A7517" w:rsidRDefault="00810215" w:rsidP="00810215">
      <w:pPr>
        <w:suppressAutoHyphens/>
        <w:ind w:left="2160" w:hanging="720"/>
        <w:rPr>
          <w:spacing w:val="-2"/>
        </w:rPr>
      </w:pPr>
    </w:p>
    <w:p w14:paraId="4BEA0869" w14:textId="6EAE6A95" w:rsidR="00810215" w:rsidRDefault="00810215" w:rsidP="00810215">
      <w:pPr>
        <w:suppressAutoHyphens/>
        <w:ind w:left="2880" w:hanging="720"/>
        <w:rPr>
          <w:spacing w:val="-2"/>
        </w:rPr>
      </w:pPr>
      <w:r w:rsidRPr="001A7517">
        <w:rPr>
          <w:spacing w:val="-2"/>
        </w:rPr>
        <w:t>1)</w:t>
      </w:r>
      <w:r w:rsidRPr="001A7517">
        <w:rPr>
          <w:spacing w:val="-2"/>
        </w:rPr>
        <w:tab/>
        <w:t>Specific locations and schedules for collecting samples for any parameters included in this Subpart I;</w:t>
      </w:r>
    </w:p>
    <w:p w14:paraId="343BD908" w14:textId="77777777" w:rsidR="00810215" w:rsidRPr="001A7517" w:rsidRDefault="00810215" w:rsidP="00810215">
      <w:pPr>
        <w:suppressAutoHyphens/>
        <w:ind w:left="2880" w:hanging="720"/>
        <w:rPr>
          <w:spacing w:val="-2"/>
        </w:rPr>
      </w:pPr>
    </w:p>
    <w:p w14:paraId="6C518B2B" w14:textId="7701C7F8" w:rsidR="00810215" w:rsidRDefault="00810215" w:rsidP="00810215">
      <w:pPr>
        <w:suppressAutoHyphens/>
        <w:ind w:left="2880" w:hanging="720"/>
        <w:rPr>
          <w:spacing w:val="-2"/>
        </w:rPr>
      </w:pPr>
      <w:r w:rsidRPr="001A7517">
        <w:rPr>
          <w:spacing w:val="-2"/>
        </w:rPr>
        <w:t>2)</w:t>
      </w:r>
      <w:r w:rsidRPr="001A7517">
        <w:rPr>
          <w:spacing w:val="-2"/>
        </w:rPr>
        <w:tab/>
        <w:t>How the supplier will calculate compliance with MCLs, MRDLs, and treatment techniques; and</w:t>
      </w:r>
    </w:p>
    <w:p w14:paraId="1A615A8D" w14:textId="77777777" w:rsidR="00810215" w:rsidRPr="001A7517" w:rsidRDefault="00810215" w:rsidP="00810215">
      <w:pPr>
        <w:suppressAutoHyphens/>
        <w:ind w:left="2880" w:hanging="720"/>
        <w:rPr>
          <w:spacing w:val="-2"/>
        </w:rPr>
      </w:pPr>
    </w:p>
    <w:p w14:paraId="0F54E776" w14:textId="23DB849A" w:rsidR="00810215" w:rsidRDefault="00810215" w:rsidP="00810215">
      <w:pPr>
        <w:suppressAutoHyphens/>
        <w:ind w:left="2880" w:hanging="720"/>
        <w:rPr>
          <w:spacing w:val="-2"/>
        </w:rPr>
      </w:pPr>
      <w:r w:rsidRPr="001A7517">
        <w:rPr>
          <w:spacing w:val="-2"/>
        </w:rPr>
        <w:t>3)</w:t>
      </w:r>
      <w:r w:rsidRPr="001A7517">
        <w:rPr>
          <w:spacing w:val="-2"/>
        </w:rPr>
        <w:tab/>
        <w:t>If approved for monitoring as a consecutive system</w:t>
      </w:r>
      <w:r w:rsidRPr="001A7517">
        <w:t>, or</w:t>
      </w:r>
      <w:r w:rsidRPr="001A7517">
        <w:rPr>
          <w:spacing w:val="-2"/>
        </w:rPr>
        <w:t xml:space="preserve"> if providing water to a consecutive system, under the provisions of Section 611.500, the sampling plan must reflect the entire distribution system.</w:t>
      </w:r>
    </w:p>
    <w:p w14:paraId="377AD652" w14:textId="77777777" w:rsidR="00810215" w:rsidRPr="001A7517" w:rsidRDefault="00810215" w:rsidP="00810215">
      <w:pPr>
        <w:suppressAutoHyphens/>
        <w:ind w:left="2880" w:hanging="720"/>
        <w:rPr>
          <w:spacing w:val="-2"/>
        </w:rPr>
      </w:pPr>
    </w:p>
    <w:p w14:paraId="474050A4" w14:textId="7E7CE17A" w:rsidR="00810215" w:rsidRDefault="00810215" w:rsidP="00810215">
      <w:pPr>
        <w:suppressAutoHyphens/>
      </w:pPr>
      <w:r w:rsidRPr="001A7517">
        <w:t>BOARD NOTE:  Derived from 40 CFR 141.132.</w:t>
      </w:r>
    </w:p>
    <w:p w14:paraId="17E2EF6C" w14:textId="77777777" w:rsidR="00810215" w:rsidRPr="001A7517" w:rsidRDefault="00810215" w:rsidP="00810215">
      <w:pPr>
        <w:suppressAutoHyphens/>
      </w:pPr>
    </w:p>
    <w:p w14:paraId="096274F4" w14:textId="77777777" w:rsidR="00810215" w:rsidRPr="001A7517" w:rsidRDefault="00810215" w:rsidP="00810215">
      <w:pPr>
        <w:suppressAutoHyphens/>
        <w:spacing w:before="240"/>
        <w:ind w:left="720"/>
      </w:pPr>
      <w:r w:rsidRPr="001A7517">
        <w:lastRenderedPageBreak/>
        <w:t>(Source:  A</w:t>
      </w:r>
      <w:r w:rsidRPr="001A7517">
        <w:rPr>
          <w:szCs w:val="17"/>
        </w:rPr>
        <w:t xml:space="preserve">mended at </w:t>
      </w:r>
      <w:r w:rsidRPr="001A7517">
        <w:t>44 Ill. Reg. 6996, effective April 17, 2020)</w:t>
      </w:r>
    </w:p>
    <w:p w14:paraId="64E2CAF4" w14:textId="77777777" w:rsidR="00810215" w:rsidRDefault="00810215" w:rsidP="00810215">
      <w:pPr>
        <w:rPr>
          <w:b/>
          <w:bCs/>
        </w:rPr>
      </w:pPr>
    </w:p>
    <w:p w14:paraId="212D7229" w14:textId="2CE4759B" w:rsidR="00810215" w:rsidRDefault="00810215" w:rsidP="00551648">
      <w:pPr>
        <w:rPr>
          <w:b/>
          <w:bCs/>
        </w:rPr>
      </w:pPr>
      <w:r w:rsidRPr="00810215">
        <w:rPr>
          <w:b/>
          <w:bCs/>
        </w:rPr>
        <w:t>Section 611.383  Compliance Requirements</w:t>
      </w:r>
    </w:p>
    <w:p w14:paraId="53808676" w14:textId="77777777" w:rsidR="00551648" w:rsidRPr="00810215" w:rsidRDefault="00551648" w:rsidP="00551648">
      <w:pPr>
        <w:rPr>
          <w:b/>
          <w:bCs/>
        </w:rPr>
      </w:pPr>
    </w:p>
    <w:p w14:paraId="6781473D" w14:textId="04B33DD4" w:rsidR="00810215" w:rsidRDefault="00810215" w:rsidP="00551648">
      <w:pPr>
        <w:suppressAutoHyphens/>
        <w:ind w:left="1440" w:hanging="720"/>
        <w:rPr>
          <w:spacing w:val="-2"/>
        </w:rPr>
      </w:pPr>
      <w:r w:rsidRPr="001A7517">
        <w:rPr>
          <w:spacing w:val="-2"/>
        </w:rPr>
        <w:t>a)</w:t>
      </w:r>
      <w:r w:rsidRPr="001A7517">
        <w:rPr>
          <w:spacing w:val="-2"/>
        </w:rPr>
        <w:tab/>
        <w:t>General Requirements</w:t>
      </w:r>
    </w:p>
    <w:p w14:paraId="6B57A323" w14:textId="77777777" w:rsidR="00551648" w:rsidRPr="001A7517" w:rsidRDefault="00551648" w:rsidP="00551648">
      <w:pPr>
        <w:suppressAutoHyphens/>
        <w:ind w:left="1440" w:hanging="720"/>
        <w:rPr>
          <w:spacing w:val="-2"/>
        </w:rPr>
      </w:pPr>
    </w:p>
    <w:p w14:paraId="6596DFC7" w14:textId="1C1A6D9A" w:rsidR="00810215" w:rsidRDefault="00810215" w:rsidP="00551648">
      <w:pPr>
        <w:suppressAutoHyphens/>
        <w:ind w:left="2160" w:hanging="720"/>
        <w:rPr>
          <w:spacing w:val="-2"/>
        </w:rPr>
      </w:pPr>
      <w:r w:rsidRPr="001A7517">
        <w:rPr>
          <w:spacing w:val="-2"/>
        </w:rPr>
        <w:t>1)</w:t>
      </w:r>
      <w:r w:rsidRPr="001A7517">
        <w:rPr>
          <w:spacing w:val="-2"/>
        </w:rPr>
        <w:tab/>
      </w:r>
      <w:r w:rsidRPr="001A7517">
        <w:rPr>
          <w:spacing w:val="-3"/>
        </w:rPr>
        <w:t xml:space="preserve">If </w:t>
      </w:r>
      <w:r w:rsidRPr="001A7517">
        <w:rPr>
          <w:spacing w:val="-2"/>
        </w:rPr>
        <w:t xml:space="preserve">compliance is based on a running annual average of monthly or quarterly samples or averages and the supplier </w:t>
      </w:r>
      <w:r w:rsidRPr="001A7517">
        <w:t xml:space="preserve">fails </w:t>
      </w:r>
      <w:r w:rsidRPr="001A7517">
        <w:rPr>
          <w:spacing w:val="-2"/>
        </w:rPr>
        <w:t xml:space="preserve">to monitor </w:t>
      </w:r>
      <w:r w:rsidRPr="001A7517">
        <w:t xml:space="preserve">for </w:t>
      </w:r>
      <w:r w:rsidRPr="001A7517">
        <w:rPr>
          <w:spacing w:val="-2"/>
        </w:rPr>
        <w:t>TTHM, HAA5</w:t>
      </w:r>
      <w:r w:rsidRPr="001A7517">
        <w:t>, or</w:t>
      </w:r>
      <w:r w:rsidRPr="001A7517">
        <w:rPr>
          <w:spacing w:val="-2"/>
        </w:rPr>
        <w:t xml:space="preserve"> bromate, this failure to monitor will be treated as a monitoring violation for the entire period covered by the annual average.  </w:t>
      </w:r>
      <w:r w:rsidRPr="001A7517">
        <w:rPr>
          <w:spacing w:val="-3"/>
        </w:rPr>
        <w:t xml:space="preserve">If </w:t>
      </w:r>
      <w:r w:rsidRPr="001A7517">
        <w:rPr>
          <w:spacing w:val="-2"/>
        </w:rPr>
        <w:t>compliance is based on a running annual average of monthly or quarterly samples or averages and the supplier’s failure to monitor makes it impossible to determine compliance with the MRDL for chlorine or chloramines, this failure to monitor will be treated as a monitoring violation for the entire period covered by the annual average.</w:t>
      </w:r>
    </w:p>
    <w:p w14:paraId="3CEB7866" w14:textId="77777777" w:rsidR="00551648" w:rsidRPr="001A7517" w:rsidRDefault="00551648" w:rsidP="00551648">
      <w:pPr>
        <w:suppressAutoHyphens/>
        <w:ind w:left="2160" w:hanging="720"/>
        <w:rPr>
          <w:spacing w:val="-2"/>
        </w:rPr>
      </w:pPr>
    </w:p>
    <w:p w14:paraId="6813AF5B" w14:textId="3076B786" w:rsidR="00810215" w:rsidRDefault="00810215" w:rsidP="00551648">
      <w:pPr>
        <w:suppressAutoHyphens/>
        <w:ind w:left="2160" w:hanging="720"/>
        <w:rPr>
          <w:spacing w:val="-2"/>
        </w:rPr>
      </w:pPr>
      <w:r w:rsidRPr="001A7517">
        <w:rPr>
          <w:spacing w:val="-2"/>
        </w:rPr>
        <w:t>2)</w:t>
      </w:r>
      <w:r w:rsidRPr="001A7517">
        <w:rPr>
          <w:spacing w:val="-2"/>
        </w:rPr>
        <w:tab/>
        <w:t>All samples taken and analyzed under the provisions of this Subpart</w:t>
      </w:r>
      <w:r w:rsidRPr="001A7517">
        <w:t xml:space="preserve"> I</w:t>
      </w:r>
      <w:r w:rsidRPr="001A7517">
        <w:rPr>
          <w:spacing w:val="-2"/>
        </w:rPr>
        <w:t xml:space="preserve"> </w:t>
      </w:r>
      <w:r w:rsidRPr="001A7517">
        <w:t xml:space="preserve">must </w:t>
      </w:r>
      <w:r w:rsidRPr="001A7517">
        <w:rPr>
          <w:spacing w:val="-2"/>
        </w:rPr>
        <w:t>be included in determining compliance, even if that number is greater than the minimum required.</w:t>
      </w:r>
    </w:p>
    <w:p w14:paraId="556B5AAF" w14:textId="77777777" w:rsidR="00551648" w:rsidRPr="001A7517" w:rsidRDefault="00551648" w:rsidP="00551648">
      <w:pPr>
        <w:suppressAutoHyphens/>
        <w:ind w:left="2160" w:hanging="720"/>
        <w:rPr>
          <w:spacing w:val="-2"/>
        </w:rPr>
      </w:pPr>
    </w:p>
    <w:p w14:paraId="563B1CA2" w14:textId="1282BE99" w:rsidR="00810215" w:rsidRDefault="00810215" w:rsidP="00551648">
      <w:pPr>
        <w:suppressAutoHyphens/>
        <w:ind w:left="2160" w:hanging="720"/>
        <w:rPr>
          <w:spacing w:val="-2"/>
        </w:rPr>
      </w:pPr>
      <w:r w:rsidRPr="001A7517">
        <w:rPr>
          <w:spacing w:val="-2"/>
        </w:rPr>
        <w:t>3)</w:t>
      </w:r>
      <w:r w:rsidRPr="001A7517">
        <w:rPr>
          <w:spacing w:val="-2"/>
        </w:rPr>
        <w:tab/>
        <w:t>If, during the first year of monitoring under Section 611.</w:t>
      </w:r>
      <w:r w:rsidRPr="001A7517">
        <w:t>382</w:t>
      </w:r>
      <w:r w:rsidRPr="001A7517">
        <w:rPr>
          <w:spacing w:val="-2"/>
        </w:rPr>
        <w:t>, any individual quarter’s average will cause the running annual average of that supplier to exceed the MCL for TTHM, HAA5, or bromate</w:t>
      </w:r>
      <w:r w:rsidRPr="001A7517">
        <w:t xml:space="preserve"> </w:t>
      </w:r>
      <w:r w:rsidRPr="001A7517">
        <w:rPr>
          <w:spacing w:val="-2"/>
        </w:rPr>
        <w:t>or the MRDL for chlorine or chloramine, the supplier is out of compliance at the end of that quarter.</w:t>
      </w:r>
    </w:p>
    <w:p w14:paraId="3CD6B0F3" w14:textId="77777777" w:rsidR="00551648" w:rsidRPr="001A7517" w:rsidRDefault="00551648" w:rsidP="00551648">
      <w:pPr>
        <w:suppressAutoHyphens/>
        <w:ind w:left="2160" w:hanging="720"/>
        <w:rPr>
          <w:spacing w:val="-2"/>
        </w:rPr>
      </w:pPr>
    </w:p>
    <w:p w14:paraId="34C6663E" w14:textId="134F2B0E" w:rsidR="00810215" w:rsidRDefault="00810215" w:rsidP="00551648">
      <w:pPr>
        <w:suppressAutoHyphens/>
        <w:ind w:left="1440" w:hanging="720"/>
        <w:rPr>
          <w:spacing w:val="-2"/>
        </w:rPr>
      </w:pPr>
      <w:r w:rsidRPr="001A7517">
        <w:rPr>
          <w:spacing w:val="-2"/>
        </w:rPr>
        <w:t>b)</w:t>
      </w:r>
      <w:r w:rsidRPr="001A7517">
        <w:rPr>
          <w:spacing w:val="-2"/>
        </w:rPr>
        <w:tab/>
        <w:t>Disinfection Byproducts (DBPs)</w:t>
      </w:r>
    </w:p>
    <w:p w14:paraId="5F336438" w14:textId="77777777" w:rsidR="00551648" w:rsidRPr="001A7517" w:rsidRDefault="00551648" w:rsidP="00551648">
      <w:pPr>
        <w:suppressAutoHyphens/>
        <w:ind w:left="1440" w:hanging="720"/>
        <w:rPr>
          <w:spacing w:val="-2"/>
        </w:rPr>
      </w:pPr>
    </w:p>
    <w:p w14:paraId="3A4D27E0" w14:textId="519891A8" w:rsidR="00810215" w:rsidRDefault="00810215" w:rsidP="00551648">
      <w:pPr>
        <w:suppressAutoHyphens/>
        <w:ind w:left="2160" w:hanging="720"/>
        <w:rPr>
          <w:spacing w:val="-2"/>
        </w:rPr>
      </w:pPr>
      <w:r w:rsidRPr="001A7517">
        <w:rPr>
          <w:spacing w:val="-2"/>
        </w:rPr>
        <w:t>1)</w:t>
      </w:r>
      <w:r w:rsidRPr="001A7517">
        <w:rPr>
          <w:spacing w:val="-2"/>
        </w:rPr>
        <w:tab/>
        <w:t>TTHMs and HAA5</w:t>
      </w:r>
    </w:p>
    <w:p w14:paraId="6518C7A6" w14:textId="77777777" w:rsidR="00551648" w:rsidRPr="001A7517" w:rsidRDefault="00551648" w:rsidP="00551648">
      <w:pPr>
        <w:suppressAutoHyphens/>
        <w:ind w:left="2160" w:hanging="720"/>
        <w:rPr>
          <w:spacing w:val="-2"/>
        </w:rPr>
      </w:pPr>
    </w:p>
    <w:p w14:paraId="3CFF7D90" w14:textId="02B0218C" w:rsidR="00810215" w:rsidRDefault="00810215" w:rsidP="00551648">
      <w:pPr>
        <w:suppressAutoHyphens/>
        <w:ind w:left="2880" w:hanging="720"/>
        <w:rPr>
          <w:spacing w:val="-2"/>
        </w:rPr>
      </w:pPr>
      <w:r w:rsidRPr="001A7517">
        <w:rPr>
          <w:spacing w:val="-2"/>
        </w:rPr>
        <w:t>A)</w:t>
      </w:r>
      <w:r w:rsidRPr="001A7517">
        <w:rPr>
          <w:spacing w:val="-2"/>
        </w:rPr>
        <w:tab/>
        <w:t xml:space="preserve">For a supplier monitoring quarterly, compliance with MCLs in Section 611.312 </w:t>
      </w:r>
      <w:r w:rsidRPr="001A7517">
        <w:t xml:space="preserve">must </w:t>
      </w:r>
      <w:r w:rsidRPr="001A7517">
        <w:rPr>
          <w:spacing w:val="-2"/>
        </w:rPr>
        <w:t>be based on a running annual arithmetic average, computed quarterly, of quarterly arithmetic averages of all samples collected by the supplier as prescribed by Section 611.</w:t>
      </w:r>
      <w:r w:rsidRPr="001A7517">
        <w:t>382</w:t>
      </w:r>
      <w:r w:rsidRPr="001A7517">
        <w:rPr>
          <w:spacing w:val="-2"/>
        </w:rPr>
        <w:t>(b)(1).</w:t>
      </w:r>
    </w:p>
    <w:p w14:paraId="3A039D19" w14:textId="77777777" w:rsidR="00551648" w:rsidRPr="001A7517" w:rsidRDefault="00551648" w:rsidP="00551648">
      <w:pPr>
        <w:suppressAutoHyphens/>
        <w:ind w:left="2880" w:hanging="720"/>
        <w:rPr>
          <w:spacing w:val="-2"/>
        </w:rPr>
      </w:pPr>
    </w:p>
    <w:p w14:paraId="3080D834" w14:textId="37AEAC7D" w:rsidR="00810215" w:rsidRDefault="00810215" w:rsidP="00551648">
      <w:pPr>
        <w:suppressAutoHyphens/>
        <w:ind w:left="2880" w:hanging="720"/>
      </w:pPr>
      <w:r w:rsidRPr="001A7517">
        <w:rPr>
          <w:spacing w:val="-2"/>
        </w:rPr>
        <w:t>B)</w:t>
      </w:r>
      <w:r w:rsidRPr="001A7517">
        <w:rPr>
          <w:spacing w:val="-2"/>
        </w:rPr>
        <w:tab/>
        <w:t xml:space="preserve">For a supplier monitoring less frequently than quarterly, the supplier </w:t>
      </w:r>
      <w:r w:rsidRPr="001A7517">
        <w:t xml:space="preserve">demonstrates MCL compliance if the average of samples taken that year under the provisions of Section 611.382(b)(1) does not exceed the MCLs in Section 611.312.  </w:t>
      </w:r>
      <w:r w:rsidRPr="001A7517">
        <w:rPr>
          <w:spacing w:val="-2"/>
        </w:rPr>
        <w:t xml:space="preserve">If the average of these samples exceeds the MCL, the supplier </w:t>
      </w:r>
      <w:r w:rsidRPr="001A7517">
        <w:t xml:space="preserve">must </w:t>
      </w:r>
      <w:r w:rsidRPr="001A7517">
        <w:rPr>
          <w:spacing w:val="-2"/>
        </w:rPr>
        <w:t>increase monitoring to once per quarter per treatment plant, and</w:t>
      </w:r>
      <w:r w:rsidRPr="001A7517">
        <w:t xml:space="preserve"> such a system is not in violation of the MCL until it has completed one year of quarterly monitoring, unless the result of fewer than four quarters of monitoring will cause the running annual average to exceed the MCL, in which case the </w:t>
      </w:r>
      <w:r w:rsidRPr="001A7517">
        <w:rPr>
          <w:spacing w:val="-2"/>
        </w:rPr>
        <w:t xml:space="preserve">supplier </w:t>
      </w:r>
      <w:r w:rsidRPr="001A7517">
        <w:t xml:space="preserve">is in violation at the end of that quarter.  </w:t>
      </w:r>
      <w:r w:rsidRPr="001A7517">
        <w:rPr>
          <w:spacing w:val="-2"/>
        </w:rPr>
        <w:t xml:space="preserve">A </w:t>
      </w:r>
      <w:r w:rsidRPr="001A7517">
        <w:rPr>
          <w:spacing w:val="-2"/>
        </w:rPr>
        <w:lastRenderedPageBreak/>
        <w:t xml:space="preserve">supplier </w:t>
      </w:r>
      <w:r w:rsidRPr="001A7517">
        <w:t>required to increase to quarterly monitoring must calculate compliance by including the sample that triggered the increased monitoring plus the following three quarters of monitoring.</w:t>
      </w:r>
    </w:p>
    <w:p w14:paraId="431C112D" w14:textId="77777777" w:rsidR="00551648" w:rsidRPr="001A7517" w:rsidRDefault="00551648" w:rsidP="00551648">
      <w:pPr>
        <w:suppressAutoHyphens/>
        <w:ind w:left="2880" w:hanging="720"/>
        <w:rPr>
          <w:spacing w:val="-2"/>
        </w:rPr>
      </w:pPr>
    </w:p>
    <w:p w14:paraId="59F30307" w14:textId="26CBB60E" w:rsidR="00810215" w:rsidRDefault="00810215" w:rsidP="00551648">
      <w:pPr>
        <w:suppressAutoHyphens/>
        <w:ind w:left="2880" w:hanging="720"/>
      </w:pPr>
      <w:r w:rsidRPr="001A7517">
        <w:rPr>
          <w:spacing w:val="-2"/>
        </w:rPr>
        <w:t>C)</w:t>
      </w:r>
      <w:r w:rsidRPr="001A7517">
        <w:rPr>
          <w:spacing w:val="-2"/>
        </w:rPr>
        <w:tab/>
      </w:r>
      <w:r w:rsidRPr="001A7517">
        <w:t xml:space="preserve">If the running annual arithmetic average of quarterly averages covering any consecutive four-quarter period exceeds the MCL, the </w:t>
      </w:r>
      <w:r w:rsidRPr="001A7517">
        <w:rPr>
          <w:spacing w:val="-2"/>
        </w:rPr>
        <w:t xml:space="preserve">supplier </w:t>
      </w:r>
      <w:r w:rsidRPr="001A7517">
        <w:t xml:space="preserve">is in violation of the MCL and must notify the public under </w:t>
      </w:r>
      <w:r w:rsidRPr="001A7517">
        <w:rPr>
          <w:spacing w:val="-2"/>
        </w:rPr>
        <w:t>Subpart V</w:t>
      </w:r>
      <w:r w:rsidRPr="001A7517">
        <w:t xml:space="preserve"> in addition to reporting to the Agency under Section 611.384.</w:t>
      </w:r>
    </w:p>
    <w:p w14:paraId="7013EE3B" w14:textId="77777777" w:rsidR="00551648" w:rsidRPr="001A7517" w:rsidRDefault="00551648" w:rsidP="00551648">
      <w:pPr>
        <w:suppressAutoHyphens/>
        <w:ind w:left="2880" w:hanging="720"/>
      </w:pPr>
    </w:p>
    <w:p w14:paraId="5AC80FF7" w14:textId="47A741A6" w:rsidR="00810215" w:rsidRDefault="00810215" w:rsidP="00551648">
      <w:pPr>
        <w:suppressAutoHyphens/>
        <w:ind w:left="2880" w:hanging="720"/>
      </w:pPr>
      <w:r w:rsidRPr="001A7517">
        <w:t>D)</w:t>
      </w:r>
      <w:r w:rsidRPr="001A7517">
        <w:tab/>
        <w:t>If a PWS fails to complete four consecutive quarter’s monitoring, compliance with the MCL for the last four-quarter compliance period must be based on an average of the available data.</w:t>
      </w:r>
    </w:p>
    <w:p w14:paraId="768E4CA7" w14:textId="77777777" w:rsidR="00551648" w:rsidRPr="001A7517" w:rsidRDefault="00551648" w:rsidP="00551648">
      <w:pPr>
        <w:suppressAutoHyphens/>
        <w:ind w:left="2880" w:hanging="720"/>
        <w:rPr>
          <w:spacing w:val="-2"/>
        </w:rPr>
      </w:pPr>
    </w:p>
    <w:p w14:paraId="48194A33" w14:textId="4C1F8A38" w:rsidR="00810215" w:rsidRDefault="00810215" w:rsidP="00551648">
      <w:pPr>
        <w:suppressAutoHyphens/>
        <w:ind w:left="2160" w:hanging="720"/>
        <w:rPr>
          <w:spacing w:val="-2"/>
        </w:rPr>
      </w:pPr>
      <w:r w:rsidRPr="001A7517">
        <w:rPr>
          <w:spacing w:val="-2"/>
        </w:rPr>
        <w:t>2)</w:t>
      </w:r>
      <w:r w:rsidRPr="001A7517">
        <w:rPr>
          <w:spacing w:val="-2"/>
        </w:rPr>
        <w:tab/>
        <w:t xml:space="preserve">Bromate.  Compliance </w:t>
      </w:r>
      <w:r w:rsidRPr="001A7517">
        <w:t xml:space="preserve">must </w:t>
      </w:r>
      <w:r w:rsidRPr="001A7517">
        <w:rPr>
          <w:spacing w:val="-2"/>
        </w:rPr>
        <w:t>be based on a running annual arithmetic average, computed quarterly, of monthly samples (or, for months in which the supplier takes more than one sample, the average of all samples taken during the month) collected by the supplier, as prescribed by Section 611.</w:t>
      </w:r>
      <w:r w:rsidRPr="001A7517">
        <w:t>382</w:t>
      </w:r>
      <w:r w:rsidRPr="001A7517">
        <w:rPr>
          <w:spacing w:val="-2"/>
        </w:rPr>
        <w:t xml:space="preserve">(b)(3).  If the average of samples covering any consecutive four-quarter period exceeds the MCL, the supplier is in violation of the MCL and </w:t>
      </w:r>
      <w:r w:rsidRPr="001A7517">
        <w:t xml:space="preserve">must </w:t>
      </w:r>
      <w:r w:rsidRPr="001A7517">
        <w:rPr>
          <w:spacing w:val="-2"/>
        </w:rPr>
        <w:t xml:space="preserve">notify the public </w:t>
      </w:r>
      <w:r w:rsidRPr="001A7517">
        <w:t xml:space="preserve">under </w:t>
      </w:r>
      <w:r w:rsidRPr="001A7517">
        <w:rPr>
          <w:spacing w:val="-2"/>
        </w:rPr>
        <w:t xml:space="preserve">Subpart V, in addition to reporting to the Agency </w:t>
      </w:r>
      <w:r w:rsidRPr="001A7517">
        <w:t xml:space="preserve">under </w:t>
      </w:r>
      <w:r w:rsidRPr="001A7517">
        <w:rPr>
          <w:spacing w:val="-2"/>
        </w:rPr>
        <w:t>Section 611.</w:t>
      </w:r>
      <w:r w:rsidRPr="001A7517">
        <w:t>384</w:t>
      </w:r>
      <w:r w:rsidRPr="001A7517">
        <w:rPr>
          <w:spacing w:val="-2"/>
        </w:rPr>
        <w:t xml:space="preserve">.  If a PWS supplier fails to complete </w:t>
      </w:r>
      <w:r w:rsidRPr="001A7517">
        <w:t xml:space="preserve">12 </w:t>
      </w:r>
      <w:r w:rsidRPr="001A7517">
        <w:rPr>
          <w:spacing w:val="-2"/>
        </w:rPr>
        <w:t>consecutive months’ monitoring, compliance with the MCL for the last four-quarter compliance period must be based on an average of the available data.</w:t>
      </w:r>
    </w:p>
    <w:p w14:paraId="71066161" w14:textId="77777777" w:rsidR="00551648" w:rsidRPr="001A7517" w:rsidRDefault="00551648" w:rsidP="00551648">
      <w:pPr>
        <w:suppressAutoHyphens/>
        <w:ind w:left="2160" w:hanging="720"/>
        <w:rPr>
          <w:spacing w:val="-2"/>
        </w:rPr>
      </w:pPr>
    </w:p>
    <w:p w14:paraId="0D406DB5" w14:textId="1CD2BAAE" w:rsidR="00810215" w:rsidRDefault="00810215" w:rsidP="00551648">
      <w:pPr>
        <w:suppressAutoHyphens/>
        <w:ind w:left="2160" w:hanging="720"/>
        <w:rPr>
          <w:spacing w:val="-2"/>
        </w:rPr>
      </w:pPr>
      <w:r w:rsidRPr="001A7517">
        <w:rPr>
          <w:spacing w:val="-2"/>
        </w:rPr>
        <w:t>3)</w:t>
      </w:r>
      <w:r w:rsidRPr="001A7517">
        <w:rPr>
          <w:spacing w:val="-2"/>
        </w:rPr>
        <w:tab/>
        <w:t xml:space="preserve">Chlorite.  Compliance </w:t>
      </w:r>
      <w:r w:rsidRPr="001A7517">
        <w:t xml:space="preserve">must </w:t>
      </w:r>
      <w:r w:rsidRPr="001A7517">
        <w:rPr>
          <w:spacing w:val="-2"/>
        </w:rPr>
        <w:t>be based on an arithmetic average of each three sample set taken in the distribution system as prescribed by Section 611.</w:t>
      </w:r>
      <w:r w:rsidRPr="001A7517">
        <w:t>382</w:t>
      </w:r>
      <w:r w:rsidRPr="001A7517">
        <w:rPr>
          <w:spacing w:val="-2"/>
        </w:rPr>
        <w:t>(b)(2)(A)(ii) and Section 611.</w:t>
      </w:r>
      <w:r w:rsidRPr="001A7517">
        <w:t>382</w:t>
      </w:r>
      <w:r w:rsidRPr="001A7517">
        <w:rPr>
          <w:spacing w:val="-2"/>
        </w:rPr>
        <w:t xml:space="preserve">(b)(2)(B).  If the arithmetic average of any three sample set exceeds the MCL, the supplier is in violation of the MCL and </w:t>
      </w:r>
      <w:r w:rsidRPr="001A7517">
        <w:t xml:space="preserve">must </w:t>
      </w:r>
      <w:r w:rsidRPr="001A7517">
        <w:rPr>
          <w:spacing w:val="-2"/>
        </w:rPr>
        <w:t xml:space="preserve">notify the public </w:t>
      </w:r>
      <w:r w:rsidRPr="001A7517">
        <w:t xml:space="preserve">under </w:t>
      </w:r>
      <w:r w:rsidRPr="001A7517">
        <w:rPr>
          <w:spacing w:val="-2"/>
        </w:rPr>
        <w:t xml:space="preserve">Subpart V, in addition to reporting to the Agency </w:t>
      </w:r>
      <w:r w:rsidRPr="001A7517">
        <w:t xml:space="preserve">under </w:t>
      </w:r>
      <w:r w:rsidRPr="001A7517">
        <w:rPr>
          <w:spacing w:val="-2"/>
        </w:rPr>
        <w:t>Section 611.</w:t>
      </w:r>
      <w:r w:rsidRPr="001A7517">
        <w:t>384</w:t>
      </w:r>
      <w:r w:rsidRPr="001A7517">
        <w:rPr>
          <w:spacing w:val="-2"/>
        </w:rPr>
        <w:t>.</w:t>
      </w:r>
    </w:p>
    <w:p w14:paraId="5B50632D" w14:textId="77777777" w:rsidR="00551648" w:rsidRPr="001A7517" w:rsidRDefault="00551648" w:rsidP="00551648">
      <w:pPr>
        <w:suppressAutoHyphens/>
        <w:ind w:left="2160" w:hanging="720"/>
        <w:rPr>
          <w:spacing w:val="-2"/>
        </w:rPr>
      </w:pPr>
    </w:p>
    <w:p w14:paraId="7BBD70CC" w14:textId="35F99781" w:rsidR="00810215" w:rsidRDefault="00810215" w:rsidP="00551648">
      <w:pPr>
        <w:suppressAutoHyphens/>
        <w:ind w:left="1440" w:hanging="720"/>
        <w:rPr>
          <w:spacing w:val="-2"/>
        </w:rPr>
      </w:pPr>
      <w:r w:rsidRPr="001A7517">
        <w:rPr>
          <w:spacing w:val="-2"/>
        </w:rPr>
        <w:t>c)</w:t>
      </w:r>
      <w:r w:rsidRPr="001A7517">
        <w:rPr>
          <w:spacing w:val="-2"/>
        </w:rPr>
        <w:tab/>
        <w:t>Disinfectant Residuals</w:t>
      </w:r>
    </w:p>
    <w:p w14:paraId="433607C1" w14:textId="77777777" w:rsidR="00551648" w:rsidRPr="001A7517" w:rsidRDefault="00551648" w:rsidP="00551648">
      <w:pPr>
        <w:suppressAutoHyphens/>
        <w:ind w:left="1440" w:hanging="720"/>
        <w:rPr>
          <w:spacing w:val="-2"/>
        </w:rPr>
      </w:pPr>
    </w:p>
    <w:p w14:paraId="2D9D3D38" w14:textId="0AD4536E" w:rsidR="00810215" w:rsidRDefault="00810215" w:rsidP="00551648">
      <w:pPr>
        <w:suppressAutoHyphens/>
        <w:ind w:left="2160" w:hanging="720"/>
        <w:rPr>
          <w:spacing w:val="-2"/>
        </w:rPr>
      </w:pPr>
      <w:r w:rsidRPr="001A7517">
        <w:rPr>
          <w:spacing w:val="-2"/>
        </w:rPr>
        <w:t>1)</w:t>
      </w:r>
      <w:r w:rsidRPr="001A7517">
        <w:rPr>
          <w:spacing w:val="-2"/>
        </w:rPr>
        <w:tab/>
        <w:t>Chlorine and Chloramines</w:t>
      </w:r>
    </w:p>
    <w:p w14:paraId="0E914E0C" w14:textId="77777777" w:rsidR="00551648" w:rsidRPr="001A7517" w:rsidRDefault="00551648" w:rsidP="00551648">
      <w:pPr>
        <w:suppressAutoHyphens/>
        <w:ind w:left="2160" w:hanging="720"/>
        <w:rPr>
          <w:spacing w:val="-2"/>
        </w:rPr>
      </w:pPr>
    </w:p>
    <w:p w14:paraId="0442519B" w14:textId="776BE6D7" w:rsidR="00810215" w:rsidRDefault="00810215" w:rsidP="00551648">
      <w:pPr>
        <w:suppressAutoHyphens/>
        <w:ind w:left="2880" w:hanging="720"/>
        <w:rPr>
          <w:spacing w:val="-2"/>
        </w:rPr>
      </w:pPr>
      <w:r w:rsidRPr="001A7517">
        <w:rPr>
          <w:spacing w:val="-2"/>
        </w:rPr>
        <w:t>A)</w:t>
      </w:r>
      <w:r w:rsidRPr="001A7517">
        <w:rPr>
          <w:spacing w:val="-2"/>
        </w:rPr>
        <w:tab/>
        <w:t xml:space="preserve">Compliance </w:t>
      </w:r>
      <w:r w:rsidRPr="001A7517">
        <w:t xml:space="preserve">must </w:t>
      </w:r>
      <w:r w:rsidRPr="001A7517">
        <w:rPr>
          <w:spacing w:val="-2"/>
        </w:rPr>
        <w:t>be based on a running annual arithmetic average, computed quarterly, of monthly averages of all samples collected by the supplier under Section 611.</w:t>
      </w:r>
      <w:r w:rsidRPr="001A7517">
        <w:t>382</w:t>
      </w:r>
      <w:r w:rsidRPr="001A7517">
        <w:rPr>
          <w:spacing w:val="-2"/>
        </w:rPr>
        <w:t>(c)(1).  If the average of quarterly averages covering any consecutive four</w:t>
      </w:r>
      <w:r w:rsidRPr="001A7517">
        <w:rPr>
          <w:spacing w:val="-2"/>
        </w:rPr>
        <w:noBreakHyphen/>
        <w:t xml:space="preserve">quarter period exceeds the MRDL, the supplier is in violation of the MRDL and </w:t>
      </w:r>
      <w:r w:rsidRPr="001A7517">
        <w:t xml:space="preserve">must </w:t>
      </w:r>
      <w:r w:rsidRPr="001A7517">
        <w:rPr>
          <w:spacing w:val="-2"/>
        </w:rPr>
        <w:t xml:space="preserve">notify the public </w:t>
      </w:r>
      <w:r w:rsidRPr="001A7517">
        <w:t xml:space="preserve">under </w:t>
      </w:r>
      <w:r w:rsidRPr="001A7517">
        <w:rPr>
          <w:spacing w:val="-2"/>
        </w:rPr>
        <w:t xml:space="preserve">Subpart V, in addition to reporting to the Agency </w:t>
      </w:r>
      <w:r w:rsidRPr="001A7517">
        <w:t xml:space="preserve">under </w:t>
      </w:r>
      <w:r w:rsidRPr="001A7517">
        <w:rPr>
          <w:spacing w:val="-2"/>
        </w:rPr>
        <w:t>Section 611.</w:t>
      </w:r>
      <w:r w:rsidRPr="001A7517">
        <w:t>384</w:t>
      </w:r>
      <w:r w:rsidRPr="001A7517">
        <w:rPr>
          <w:spacing w:val="-2"/>
        </w:rPr>
        <w:t>.</w:t>
      </w:r>
    </w:p>
    <w:p w14:paraId="0183C710" w14:textId="77777777" w:rsidR="00551648" w:rsidRPr="001A7517" w:rsidRDefault="00551648" w:rsidP="00551648">
      <w:pPr>
        <w:suppressAutoHyphens/>
        <w:ind w:left="2880" w:hanging="720"/>
        <w:rPr>
          <w:spacing w:val="-2"/>
        </w:rPr>
      </w:pPr>
    </w:p>
    <w:p w14:paraId="7F416CFD" w14:textId="37785527" w:rsidR="00810215" w:rsidRDefault="00810215" w:rsidP="00551648">
      <w:pPr>
        <w:suppressAutoHyphens/>
        <w:ind w:left="2880" w:hanging="720"/>
        <w:rPr>
          <w:spacing w:val="-2"/>
        </w:rPr>
      </w:pPr>
      <w:r w:rsidRPr="001A7517">
        <w:rPr>
          <w:spacing w:val="-2"/>
        </w:rPr>
        <w:lastRenderedPageBreak/>
        <w:t>B)</w:t>
      </w:r>
      <w:r w:rsidRPr="001A7517">
        <w:rPr>
          <w:spacing w:val="-2"/>
        </w:rPr>
        <w:tab/>
      </w:r>
      <w:r w:rsidRPr="001A7517">
        <w:rPr>
          <w:spacing w:val="-3"/>
        </w:rPr>
        <w:t xml:space="preserve">If </w:t>
      </w:r>
      <w:r w:rsidRPr="001A7517">
        <w:rPr>
          <w:spacing w:val="-2"/>
        </w:rPr>
        <w:t xml:space="preserve">a supplier switches between the use of chlorine and chloramines for residual disinfection during the year, compliance </w:t>
      </w:r>
      <w:r w:rsidRPr="001A7517">
        <w:t xml:space="preserve">must </w:t>
      </w:r>
      <w:r w:rsidRPr="001A7517">
        <w:rPr>
          <w:spacing w:val="-2"/>
        </w:rPr>
        <w:t xml:space="preserve">be determined by including together all monitoring results of both chlorine and chloramines in calculating compliance.  Reports submitted </w:t>
      </w:r>
      <w:r w:rsidRPr="001A7517">
        <w:t xml:space="preserve">under </w:t>
      </w:r>
      <w:r w:rsidRPr="001A7517">
        <w:rPr>
          <w:spacing w:val="-2"/>
        </w:rPr>
        <w:t>Section 611.</w:t>
      </w:r>
      <w:r w:rsidRPr="001A7517">
        <w:t>384</w:t>
      </w:r>
      <w:r w:rsidRPr="001A7517">
        <w:rPr>
          <w:spacing w:val="-2"/>
        </w:rPr>
        <w:t xml:space="preserve"> must clearly indicate that residual disinfectant was analyzed for each sample.</w:t>
      </w:r>
    </w:p>
    <w:p w14:paraId="1E6796AF" w14:textId="77777777" w:rsidR="00551648" w:rsidRPr="001A7517" w:rsidRDefault="00551648" w:rsidP="00551648">
      <w:pPr>
        <w:suppressAutoHyphens/>
        <w:ind w:left="2880" w:hanging="720"/>
        <w:rPr>
          <w:spacing w:val="-2"/>
        </w:rPr>
      </w:pPr>
    </w:p>
    <w:p w14:paraId="0BFF2345" w14:textId="070C6A87" w:rsidR="00810215" w:rsidRDefault="00810215" w:rsidP="00551648">
      <w:pPr>
        <w:suppressAutoHyphens/>
        <w:ind w:left="2160" w:hanging="720"/>
        <w:rPr>
          <w:spacing w:val="-2"/>
        </w:rPr>
      </w:pPr>
      <w:r w:rsidRPr="001A7517">
        <w:rPr>
          <w:spacing w:val="-2"/>
        </w:rPr>
        <w:t>2)</w:t>
      </w:r>
      <w:r w:rsidRPr="001A7517">
        <w:rPr>
          <w:spacing w:val="-2"/>
        </w:rPr>
        <w:tab/>
        <w:t>Chlorine Dioxide</w:t>
      </w:r>
    </w:p>
    <w:p w14:paraId="025F844E" w14:textId="77777777" w:rsidR="00551648" w:rsidRPr="001A7517" w:rsidRDefault="00551648" w:rsidP="00551648">
      <w:pPr>
        <w:suppressAutoHyphens/>
        <w:ind w:left="2160" w:hanging="720"/>
        <w:rPr>
          <w:spacing w:val="-2"/>
        </w:rPr>
      </w:pPr>
    </w:p>
    <w:p w14:paraId="55F8BD32" w14:textId="25634DD9" w:rsidR="00810215" w:rsidRDefault="00810215" w:rsidP="00551648">
      <w:pPr>
        <w:suppressAutoHyphens/>
        <w:ind w:left="2880" w:hanging="720"/>
      </w:pPr>
      <w:r w:rsidRPr="001A7517">
        <w:rPr>
          <w:spacing w:val="-2"/>
        </w:rPr>
        <w:t>A)</w:t>
      </w:r>
      <w:r w:rsidRPr="001A7517">
        <w:rPr>
          <w:spacing w:val="-2"/>
        </w:rPr>
        <w:tab/>
        <w:t xml:space="preserve">Acute Violations.  Compliance </w:t>
      </w:r>
      <w:r w:rsidRPr="001A7517">
        <w:t xml:space="preserve">must </w:t>
      </w:r>
      <w:r w:rsidRPr="001A7517">
        <w:rPr>
          <w:spacing w:val="-2"/>
        </w:rPr>
        <w:t>be based on consecutive daily samples collected by the supplier under Section 611.</w:t>
      </w:r>
      <w:r w:rsidRPr="001A7517">
        <w:t>382</w:t>
      </w:r>
      <w:r w:rsidRPr="001A7517">
        <w:rPr>
          <w:spacing w:val="-2"/>
        </w:rPr>
        <w:t>(c)(2).  If any daily sample taken at the entrance to the distribution system exceeds the MRDL, and on the following day one (or more) of the three samples taken in the distribution system exceed</w:t>
      </w:r>
      <w:r w:rsidRPr="001A7517">
        <w:t>s</w:t>
      </w:r>
      <w:r w:rsidRPr="001A7517">
        <w:rPr>
          <w:spacing w:val="-2"/>
        </w:rPr>
        <w:t xml:space="preserve"> the MRDL, the supplier is in violation of the MRDL and </w:t>
      </w:r>
      <w:r w:rsidRPr="001A7517">
        <w:t xml:space="preserve">must </w:t>
      </w:r>
      <w:r w:rsidRPr="001A7517">
        <w:rPr>
          <w:spacing w:val="-2"/>
        </w:rPr>
        <w:t xml:space="preserve">take immediate corrective action to lower the level of chlorine dioxide below the MRDL and </w:t>
      </w:r>
      <w:r w:rsidRPr="001A7517">
        <w:t xml:space="preserve">must </w:t>
      </w:r>
      <w:r w:rsidRPr="001A7517">
        <w:rPr>
          <w:spacing w:val="-2"/>
        </w:rPr>
        <w:t xml:space="preserve">notify the public </w:t>
      </w:r>
      <w:r w:rsidRPr="001A7517">
        <w:t xml:space="preserve">under </w:t>
      </w:r>
      <w:r w:rsidRPr="001A7517">
        <w:rPr>
          <w:spacing w:val="-2"/>
        </w:rPr>
        <w:t xml:space="preserve">the procedures for acute health risks in Subpart V, </w:t>
      </w:r>
      <w:r w:rsidRPr="001A7517">
        <w:t xml:space="preserve">in addition to reporting to the Agency under Section 611.384.  </w:t>
      </w:r>
      <w:r w:rsidRPr="001A7517">
        <w:rPr>
          <w:spacing w:val="-2"/>
        </w:rPr>
        <w:t xml:space="preserve">Failure to take samples in the distribution system the day following an </w:t>
      </w:r>
      <w:r w:rsidRPr="001A7517">
        <w:t xml:space="preserve">exceedance </w:t>
      </w:r>
      <w:r w:rsidRPr="001A7517">
        <w:rPr>
          <w:spacing w:val="-2"/>
        </w:rPr>
        <w:t xml:space="preserve">of the chlorine dioxide MRDL at the entrance to the distribution system will also be considered an MRDL violation and the supplier </w:t>
      </w:r>
      <w:r w:rsidRPr="001A7517">
        <w:t xml:space="preserve">must </w:t>
      </w:r>
      <w:r w:rsidRPr="001A7517">
        <w:rPr>
          <w:spacing w:val="-2"/>
        </w:rPr>
        <w:t>notify the public of the violation in accordance with the provisions for acute violations under Subpart V,</w:t>
      </w:r>
      <w:r w:rsidRPr="001A7517">
        <w:t xml:space="preserve"> in addition to reporting to the Agency under Section 611.384.</w:t>
      </w:r>
    </w:p>
    <w:p w14:paraId="6DAE496F" w14:textId="77777777" w:rsidR="00551648" w:rsidRPr="001A7517" w:rsidRDefault="00551648" w:rsidP="00551648">
      <w:pPr>
        <w:suppressAutoHyphens/>
        <w:ind w:left="2880" w:hanging="720"/>
      </w:pPr>
    </w:p>
    <w:p w14:paraId="427F0AAB" w14:textId="524422BB" w:rsidR="00810215" w:rsidRDefault="00810215" w:rsidP="00551648">
      <w:pPr>
        <w:suppressAutoHyphens/>
        <w:ind w:left="2880" w:hanging="720"/>
        <w:rPr>
          <w:spacing w:val="-2"/>
        </w:rPr>
      </w:pPr>
      <w:r w:rsidRPr="001A7517">
        <w:rPr>
          <w:spacing w:val="-2"/>
        </w:rPr>
        <w:t>B)</w:t>
      </w:r>
      <w:r w:rsidRPr="001A7517">
        <w:rPr>
          <w:spacing w:val="-2"/>
        </w:rPr>
        <w:tab/>
        <w:t xml:space="preserve">Nonacute Violations.  Compliance </w:t>
      </w:r>
      <w:r w:rsidRPr="001A7517">
        <w:t xml:space="preserve">must </w:t>
      </w:r>
      <w:r w:rsidRPr="001A7517">
        <w:rPr>
          <w:spacing w:val="-2"/>
        </w:rPr>
        <w:t>be based on consecutive daily samples collected by the supplier under Section 611.</w:t>
      </w:r>
      <w:r w:rsidRPr="001A7517">
        <w:t>382</w:t>
      </w:r>
      <w:r w:rsidRPr="001A7517">
        <w:rPr>
          <w:spacing w:val="-2"/>
        </w:rPr>
        <w:t xml:space="preserve">(c)(2).  If any two consecutive daily samples taken at the entrance to the distribution system exceed the MRDL and all distribution system samples taken are below the MRDL, the supplier is in violation of the MRDL and </w:t>
      </w:r>
      <w:r w:rsidRPr="001A7517">
        <w:t xml:space="preserve">must </w:t>
      </w:r>
      <w:r w:rsidRPr="001A7517">
        <w:rPr>
          <w:spacing w:val="-2"/>
        </w:rPr>
        <w:t xml:space="preserve">take corrective action to lower the level of chlorine dioxide below the MRDL at the point of sampling and </w:t>
      </w:r>
      <w:r w:rsidRPr="001A7517">
        <w:t xml:space="preserve">must </w:t>
      </w:r>
      <w:r w:rsidRPr="001A7517">
        <w:rPr>
          <w:spacing w:val="-2"/>
        </w:rPr>
        <w:t xml:space="preserve">notify the public </w:t>
      </w:r>
      <w:r w:rsidRPr="001A7517">
        <w:t xml:space="preserve">under </w:t>
      </w:r>
      <w:r w:rsidRPr="001A7517">
        <w:rPr>
          <w:spacing w:val="-2"/>
        </w:rPr>
        <w:t>the procedures for nonacute health risks in Subpart V,</w:t>
      </w:r>
      <w:r w:rsidRPr="001A7517">
        <w:t xml:space="preserve"> in addition to reporting to the Agency under Section 611.384.  </w:t>
      </w:r>
      <w:r w:rsidRPr="001A7517">
        <w:rPr>
          <w:spacing w:val="-2"/>
        </w:rPr>
        <w:t xml:space="preserve">Failure to monitor at the entrance to the distribution system the day following an </w:t>
      </w:r>
      <w:r w:rsidRPr="001A7517">
        <w:t xml:space="preserve">exceedance </w:t>
      </w:r>
      <w:r w:rsidRPr="001A7517">
        <w:rPr>
          <w:spacing w:val="-2"/>
        </w:rPr>
        <w:t xml:space="preserve">of the chlorine dioxide MRDL at the entrance to the distribution system is also an MRDL violation and the supplier </w:t>
      </w:r>
      <w:r w:rsidRPr="001A7517">
        <w:t xml:space="preserve">must </w:t>
      </w:r>
      <w:r w:rsidRPr="001A7517">
        <w:rPr>
          <w:spacing w:val="-2"/>
        </w:rPr>
        <w:t xml:space="preserve">notify the public of the violation in accordance with the provisions for nonacute violations under Subpart V, </w:t>
      </w:r>
      <w:r w:rsidRPr="001A7517">
        <w:t>in addition to reporting to the Agency under Section 611.384</w:t>
      </w:r>
      <w:r w:rsidRPr="001A7517">
        <w:rPr>
          <w:spacing w:val="-2"/>
        </w:rPr>
        <w:t>.</w:t>
      </w:r>
    </w:p>
    <w:p w14:paraId="1AF54012" w14:textId="77777777" w:rsidR="00551648" w:rsidRPr="001A7517" w:rsidRDefault="00551648" w:rsidP="00551648">
      <w:pPr>
        <w:suppressAutoHyphens/>
        <w:ind w:left="2880" w:hanging="720"/>
        <w:rPr>
          <w:spacing w:val="-2"/>
        </w:rPr>
      </w:pPr>
    </w:p>
    <w:p w14:paraId="1EC9245B" w14:textId="4DA7A7BD" w:rsidR="00810215" w:rsidRDefault="00810215" w:rsidP="00551648">
      <w:pPr>
        <w:suppressAutoHyphens/>
        <w:ind w:left="1440" w:hanging="720"/>
      </w:pPr>
      <w:r w:rsidRPr="001A7517">
        <w:rPr>
          <w:spacing w:val="-2"/>
        </w:rPr>
        <w:t>d)</w:t>
      </w:r>
      <w:r w:rsidRPr="001A7517">
        <w:rPr>
          <w:spacing w:val="-2"/>
        </w:rPr>
        <w:tab/>
        <w:t xml:space="preserve">Disinfection Byproduct (DBP) Precursors.  Compliance </w:t>
      </w:r>
      <w:r w:rsidRPr="001A7517">
        <w:t xml:space="preserve">must </w:t>
      </w:r>
      <w:r w:rsidRPr="001A7517">
        <w:rPr>
          <w:spacing w:val="-2"/>
        </w:rPr>
        <w:t>be determined as specified by Section 611.</w:t>
      </w:r>
      <w:r w:rsidRPr="001A7517">
        <w:t>385(c)</w:t>
      </w:r>
      <w:r w:rsidRPr="001A7517">
        <w:rPr>
          <w:spacing w:val="-2"/>
        </w:rPr>
        <w:t xml:space="preserve">.  A supplier may begin monitoring to determine </w:t>
      </w:r>
      <w:r w:rsidRPr="001A7517">
        <w:rPr>
          <w:spacing w:val="-2"/>
        </w:rPr>
        <w:lastRenderedPageBreak/>
        <w:t xml:space="preserve">whether Step 1 TOC removals can be met </w:t>
      </w:r>
      <w:r w:rsidRPr="001A7517">
        <w:t xml:space="preserve">12 </w:t>
      </w:r>
      <w:r w:rsidRPr="001A7517">
        <w:rPr>
          <w:spacing w:val="-2"/>
        </w:rPr>
        <w:t xml:space="preserve">months prior to the compliance date for the supplier.  This monitoring is not required and failure to monitor during this period is not a violation.  However, any supplier that does not monitor during this period, and then determines in the first </w:t>
      </w:r>
      <w:r w:rsidRPr="001A7517">
        <w:t xml:space="preserve">12 </w:t>
      </w:r>
      <w:r w:rsidRPr="001A7517">
        <w:rPr>
          <w:spacing w:val="-2"/>
        </w:rPr>
        <w:t xml:space="preserve">months after the compliance date that it is not able to meet the Step 1 requirements in Section 611.141(b)(2) and must therefore apply for alternate minimum TOC removal (Step 2) requirements, is not eligible for retroactive approval of alternate minimum TOC removal (Step 2) requirements as allowed </w:t>
      </w:r>
      <w:r w:rsidRPr="001A7517">
        <w:t xml:space="preserve">under </w:t>
      </w:r>
      <w:r w:rsidRPr="001A7517">
        <w:rPr>
          <w:spacing w:val="-2"/>
        </w:rPr>
        <w:t>Section 611.</w:t>
      </w:r>
      <w:r w:rsidRPr="001A7517">
        <w:t>385</w:t>
      </w:r>
      <w:r w:rsidRPr="001A7517">
        <w:rPr>
          <w:spacing w:val="-2"/>
        </w:rPr>
        <w:t xml:space="preserve">(b)(3) and is in violation of an NPDWR.  A supplier may apply for alternate minimum TOC removal (Step 2) requirements any time after the compliance date.  </w:t>
      </w:r>
      <w:r w:rsidRPr="001A7517">
        <w:t xml:space="preserve">For </w:t>
      </w:r>
      <w:r w:rsidRPr="001A7517">
        <w:rPr>
          <w:spacing w:val="-2"/>
        </w:rPr>
        <w:t xml:space="preserve">a supplier </w:t>
      </w:r>
      <w:r w:rsidRPr="001A7517">
        <w:t xml:space="preserve">required to meet Step 1 TOC removals, if the value calculated under Section 611.385(c)(1)(D) is less than 1.00, the </w:t>
      </w:r>
      <w:r w:rsidRPr="001A7517">
        <w:rPr>
          <w:spacing w:val="-2"/>
        </w:rPr>
        <w:t xml:space="preserve">supplier </w:t>
      </w:r>
      <w:r w:rsidRPr="001A7517">
        <w:t xml:space="preserve">is in violation of the treatment technique requirements and must notify the public under </w:t>
      </w:r>
      <w:r w:rsidRPr="001A7517">
        <w:rPr>
          <w:spacing w:val="-2"/>
        </w:rPr>
        <w:t>Subpart V</w:t>
      </w:r>
      <w:r w:rsidRPr="001A7517">
        <w:t>, in addition to reporting to the Agency under Subpart V.</w:t>
      </w:r>
    </w:p>
    <w:p w14:paraId="33DAD627" w14:textId="77777777" w:rsidR="00551648" w:rsidRPr="001A7517" w:rsidRDefault="00551648" w:rsidP="00551648">
      <w:pPr>
        <w:suppressAutoHyphens/>
        <w:ind w:left="1440" w:hanging="720"/>
        <w:rPr>
          <w:spacing w:val="-2"/>
        </w:rPr>
      </w:pPr>
    </w:p>
    <w:p w14:paraId="25846F8E" w14:textId="6D565D7F" w:rsidR="00810215" w:rsidRDefault="00810215" w:rsidP="00551648">
      <w:r w:rsidRPr="001A7517">
        <w:rPr>
          <w:spacing w:val="-3"/>
        </w:rPr>
        <w:t>BOARD NOTE:  Derived from 40 CFR 141.133</w:t>
      </w:r>
      <w:r w:rsidRPr="001A7517">
        <w:t>.</w:t>
      </w:r>
    </w:p>
    <w:p w14:paraId="254DCE58" w14:textId="77777777" w:rsidR="00551648" w:rsidRPr="001A7517" w:rsidRDefault="00551648" w:rsidP="00551648">
      <w:pPr>
        <w:rPr>
          <w:spacing w:val="-3"/>
        </w:rPr>
      </w:pPr>
    </w:p>
    <w:p w14:paraId="64B872C6" w14:textId="1472FB3A" w:rsidR="00810215" w:rsidRDefault="00810215" w:rsidP="00551648">
      <w:pPr>
        <w:suppressAutoHyphens/>
        <w:ind w:left="720"/>
      </w:pPr>
      <w:r w:rsidRPr="001A7517">
        <w:t>(Source:  A</w:t>
      </w:r>
      <w:r w:rsidRPr="001A7517">
        <w:rPr>
          <w:szCs w:val="17"/>
        </w:rPr>
        <w:t xml:space="preserve">mended at </w:t>
      </w:r>
      <w:r w:rsidRPr="001A7517">
        <w:t>44 Ill. Reg. 6996, effective April 17, 2020)</w:t>
      </w:r>
    </w:p>
    <w:p w14:paraId="1A1C8CCE" w14:textId="77777777" w:rsidR="00551648" w:rsidRPr="001A7517" w:rsidRDefault="00551648" w:rsidP="00551648">
      <w:pPr>
        <w:suppressAutoHyphens/>
        <w:ind w:left="720"/>
      </w:pPr>
    </w:p>
    <w:p w14:paraId="13180E1E" w14:textId="3E21C168" w:rsidR="00810215" w:rsidRDefault="00810215" w:rsidP="00551648">
      <w:pPr>
        <w:rPr>
          <w:b/>
          <w:bCs/>
        </w:rPr>
      </w:pPr>
      <w:r w:rsidRPr="00551648">
        <w:rPr>
          <w:b/>
          <w:bCs/>
        </w:rPr>
        <w:t>Section 611.384  Reporting and Recordkeeping Requirements</w:t>
      </w:r>
    </w:p>
    <w:p w14:paraId="30057D56" w14:textId="77777777" w:rsidR="00551648" w:rsidRPr="00551648" w:rsidRDefault="00551648" w:rsidP="00551648">
      <w:pPr>
        <w:rPr>
          <w:b/>
          <w:bCs/>
        </w:rPr>
      </w:pPr>
    </w:p>
    <w:p w14:paraId="1CE255DD" w14:textId="5DA61BD1" w:rsidR="00810215" w:rsidRDefault="00810215" w:rsidP="00551648">
      <w:pPr>
        <w:suppressAutoHyphens/>
        <w:ind w:left="1440" w:hanging="720"/>
        <w:rPr>
          <w:spacing w:val="-2"/>
        </w:rPr>
      </w:pPr>
      <w:r w:rsidRPr="001A7517">
        <w:rPr>
          <w:spacing w:val="-2"/>
        </w:rPr>
        <w:t>a)</w:t>
      </w:r>
      <w:r w:rsidRPr="001A7517">
        <w:rPr>
          <w:spacing w:val="-2"/>
        </w:rPr>
        <w:tab/>
        <w:t xml:space="preserve">A supplier required to sample quarterly or more frequently </w:t>
      </w:r>
      <w:r w:rsidRPr="001A7517">
        <w:t xml:space="preserve">must </w:t>
      </w:r>
      <w:r w:rsidRPr="001A7517">
        <w:rPr>
          <w:spacing w:val="-2"/>
        </w:rPr>
        <w:t xml:space="preserve">report to the Agency within </w:t>
      </w:r>
      <w:r w:rsidRPr="001A7517">
        <w:t xml:space="preserve">ten </w:t>
      </w:r>
      <w:r w:rsidRPr="001A7517">
        <w:rPr>
          <w:spacing w:val="-2"/>
        </w:rPr>
        <w:t xml:space="preserve">days after the end of each quarter in which samples were collected, notwithstanding the provisions of Section 611.840.  A supplier required to sample less frequently than quarterly </w:t>
      </w:r>
      <w:r w:rsidRPr="001A7517">
        <w:t xml:space="preserve">must </w:t>
      </w:r>
      <w:r w:rsidRPr="001A7517">
        <w:rPr>
          <w:spacing w:val="-2"/>
        </w:rPr>
        <w:t xml:space="preserve">report to the Agency within </w:t>
      </w:r>
      <w:r w:rsidRPr="001A7517">
        <w:t xml:space="preserve">ten </w:t>
      </w:r>
      <w:r w:rsidRPr="001A7517">
        <w:rPr>
          <w:spacing w:val="-2"/>
        </w:rPr>
        <w:t>days after the end of each monitoring period in which samples were collected.</w:t>
      </w:r>
    </w:p>
    <w:p w14:paraId="4885F705" w14:textId="77777777" w:rsidR="00551648" w:rsidRPr="001A7517" w:rsidRDefault="00551648" w:rsidP="00551648">
      <w:pPr>
        <w:suppressAutoHyphens/>
        <w:ind w:left="1440" w:hanging="720"/>
        <w:rPr>
          <w:spacing w:val="-2"/>
        </w:rPr>
      </w:pPr>
    </w:p>
    <w:p w14:paraId="3204C545" w14:textId="56624957" w:rsidR="00810215" w:rsidRDefault="00810215" w:rsidP="00551648">
      <w:pPr>
        <w:suppressAutoHyphens/>
        <w:ind w:left="1440" w:hanging="720"/>
        <w:rPr>
          <w:spacing w:val="-2"/>
        </w:rPr>
      </w:pPr>
      <w:r w:rsidRPr="001A7517">
        <w:rPr>
          <w:spacing w:val="-2"/>
        </w:rPr>
        <w:t>b)</w:t>
      </w:r>
      <w:r w:rsidRPr="001A7517">
        <w:rPr>
          <w:spacing w:val="-2"/>
        </w:rPr>
        <w:tab/>
        <w:t xml:space="preserve">Disinfection Byproducts (DBPs).  A supplier </w:t>
      </w:r>
      <w:r w:rsidRPr="001A7517">
        <w:t xml:space="preserve">must </w:t>
      </w:r>
      <w:r w:rsidRPr="001A7517">
        <w:rPr>
          <w:spacing w:val="-2"/>
        </w:rPr>
        <w:t>report the following specified information:</w:t>
      </w:r>
    </w:p>
    <w:p w14:paraId="13A4763C" w14:textId="77777777" w:rsidR="00551648" w:rsidRPr="001A7517" w:rsidRDefault="00551648" w:rsidP="00551648">
      <w:pPr>
        <w:suppressAutoHyphens/>
        <w:ind w:left="1440" w:hanging="720"/>
        <w:rPr>
          <w:spacing w:val="-2"/>
        </w:rPr>
      </w:pPr>
    </w:p>
    <w:p w14:paraId="7C10B491" w14:textId="2758974B" w:rsidR="00810215" w:rsidRDefault="00810215" w:rsidP="00551648">
      <w:pPr>
        <w:suppressAutoHyphens/>
        <w:ind w:left="2160" w:hanging="720"/>
      </w:pPr>
      <w:r w:rsidRPr="001A7517">
        <w:t>1)</w:t>
      </w:r>
      <w:r w:rsidRPr="001A7517">
        <w:tab/>
        <w:t>A supplier that monitors for TTHMs and HAA5 under the requirements of Section 611.382(b) on a quarterly or more frequently basis must report the following:</w:t>
      </w:r>
    </w:p>
    <w:p w14:paraId="0CB0D444" w14:textId="77777777" w:rsidR="00551648" w:rsidRPr="001A7517" w:rsidRDefault="00551648" w:rsidP="00551648">
      <w:pPr>
        <w:suppressAutoHyphens/>
        <w:ind w:left="2160" w:hanging="720"/>
      </w:pPr>
    </w:p>
    <w:p w14:paraId="27EC09FA" w14:textId="76CBFB22" w:rsidR="00810215" w:rsidRDefault="00810215" w:rsidP="00551648">
      <w:pPr>
        <w:suppressAutoHyphens/>
        <w:ind w:left="2880" w:hanging="720"/>
      </w:pPr>
      <w:r w:rsidRPr="001A7517">
        <w:t>A)</w:t>
      </w:r>
      <w:r w:rsidRPr="001A7517">
        <w:tab/>
        <w:t>The number of samples taken during the last quarter;</w:t>
      </w:r>
    </w:p>
    <w:p w14:paraId="0A6E3DAB" w14:textId="77777777" w:rsidR="00551648" w:rsidRPr="001A7517" w:rsidRDefault="00551648" w:rsidP="00551648">
      <w:pPr>
        <w:suppressAutoHyphens/>
        <w:ind w:left="2880" w:hanging="720"/>
      </w:pPr>
    </w:p>
    <w:p w14:paraId="2547737E" w14:textId="42407567" w:rsidR="00810215" w:rsidRDefault="00810215" w:rsidP="00551648">
      <w:pPr>
        <w:suppressAutoHyphens/>
        <w:ind w:left="2880" w:hanging="720"/>
      </w:pPr>
      <w:r w:rsidRPr="001A7517">
        <w:t>B)</w:t>
      </w:r>
      <w:r w:rsidRPr="001A7517">
        <w:tab/>
        <w:t>The location, date, and result of each sample taken during the last quarter;</w:t>
      </w:r>
    </w:p>
    <w:p w14:paraId="3DE4D7AB" w14:textId="77777777" w:rsidR="00551648" w:rsidRPr="001A7517" w:rsidRDefault="00551648" w:rsidP="00551648">
      <w:pPr>
        <w:suppressAutoHyphens/>
        <w:ind w:left="2880" w:hanging="720"/>
      </w:pPr>
    </w:p>
    <w:p w14:paraId="4126810A" w14:textId="0F32A081" w:rsidR="00810215" w:rsidRDefault="00810215" w:rsidP="00551648">
      <w:pPr>
        <w:suppressAutoHyphens/>
        <w:ind w:left="2880" w:hanging="720"/>
      </w:pPr>
      <w:r w:rsidRPr="001A7517">
        <w:t>C)</w:t>
      </w:r>
      <w:r w:rsidRPr="001A7517">
        <w:tab/>
        <w:t>The arithmetic average of all samples taken over the last quarter;</w:t>
      </w:r>
    </w:p>
    <w:p w14:paraId="24441F20" w14:textId="77777777" w:rsidR="00551648" w:rsidRPr="001A7517" w:rsidRDefault="00551648" w:rsidP="00551648">
      <w:pPr>
        <w:suppressAutoHyphens/>
        <w:ind w:left="2880" w:hanging="720"/>
      </w:pPr>
    </w:p>
    <w:p w14:paraId="7D31356B" w14:textId="646AD32F" w:rsidR="00810215" w:rsidRDefault="00810215" w:rsidP="00551648">
      <w:pPr>
        <w:suppressAutoHyphens/>
        <w:ind w:left="2880" w:hanging="720"/>
      </w:pPr>
      <w:r w:rsidRPr="001A7517">
        <w:t>D)</w:t>
      </w:r>
      <w:r w:rsidRPr="001A7517">
        <w:tab/>
        <w:t>The annual arithmetic average of the quarterly arithmetic averages of this Section for the last four quarters; and</w:t>
      </w:r>
    </w:p>
    <w:p w14:paraId="713493A1" w14:textId="77777777" w:rsidR="00551648" w:rsidRPr="001A7517" w:rsidRDefault="00551648" w:rsidP="00551648">
      <w:pPr>
        <w:suppressAutoHyphens/>
        <w:ind w:left="2880" w:hanging="720"/>
      </w:pPr>
    </w:p>
    <w:p w14:paraId="63DB5370" w14:textId="0910745D" w:rsidR="00810215" w:rsidRDefault="00810215" w:rsidP="00551648">
      <w:pPr>
        <w:suppressAutoHyphens/>
        <w:ind w:left="2880" w:hanging="720"/>
      </w:pPr>
      <w:r w:rsidRPr="001A7517">
        <w:t>E)</w:t>
      </w:r>
      <w:r w:rsidRPr="001A7517">
        <w:tab/>
        <w:t>Whether, based on Section 611.383(b)(1), the MCL was violated.</w:t>
      </w:r>
    </w:p>
    <w:p w14:paraId="574CC46A" w14:textId="77777777" w:rsidR="00551648" w:rsidRPr="001A7517" w:rsidRDefault="00551648" w:rsidP="00551648">
      <w:pPr>
        <w:suppressAutoHyphens/>
        <w:ind w:left="2880" w:hanging="720"/>
      </w:pPr>
    </w:p>
    <w:p w14:paraId="701CDC68" w14:textId="3717EBED" w:rsidR="00810215" w:rsidRDefault="00810215" w:rsidP="00551648">
      <w:pPr>
        <w:suppressAutoHyphens/>
        <w:ind w:left="2160" w:hanging="720"/>
      </w:pPr>
      <w:r w:rsidRPr="001A7517">
        <w:t>2)</w:t>
      </w:r>
      <w:r w:rsidRPr="001A7517">
        <w:tab/>
        <w:t>A supplier that monitors for TTHMs and HAA5 under the requirements of Section 611.382(b) less frequently than quarterly (but at least annually) must report the following:</w:t>
      </w:r>
    </w:p>
    <w:p w14:paraId="2BC2BFA3" w14:textId="77777777" w:rsidR="00551648" w:rsidRPr="001A7517" w:rsidRDefault="00551648" w:rsidP="00551648">
      <w:pPr>
        <w:suppressAutoHyphens/>
        <w:ind w:left="2160" w:hanging="720"/>
      </w:pPr>
    </w:p>
    <w:p w14:paraId="1E407121" w14:textId="693E9034" w:rsidR="00810215" w:rsidRDefault="00810215" w:rsidP="00551648">
      <w:pPr>
        <w:suppressAutoHyphens/>
        <w:ind w:left="2880" w:hanging="720"/>
      </w:pPr>
      <w:r w:rsidRPr="001A7517">
        <w:t>A)</w:t>
      </w:r>
      <w:r w:rsidRPr="001A7517">
        <w:tab/>
        <w:t>The number of samples taken during the last year;</w:t>
      </w:r>
    </w:p>
    <w:p w14:paraId="202EF961" w14:textId="77777777" w:rsidR="00551648" w:rsidRPr="001A7517" w:rsidRDefault="00551648" w:rsidP="00551648">
      <w:pPr>
        <w:suppressAutoHyphens/>
        <w:ind w:left="2880" w:hanging="720"/>
      </w:pPr>
    </w:p>
    <w:p w14:paraId="2940AF78" w14:textId="4521B396" w:rsidR="00810215" w:rsidRDefault="00810215" w:rsidP="00551648">
      <w:pPr>
        <w:suppressAutoHyphens/>
        <w:ind w:left="2880" w:hanging="720"/>
      </w:pPr>
      <w:r w:rsidRPr="001A7517">
        <w:t>B)</w:t>
      </w:r>
      <w:r w:rsidRPr="001A7517">
        <w:tab/>
        <w:t>The location, date, and result of each sample taken during the last monitoring period;</w:t>
      </w:r>
    </w:p>
    <w:p w14:paraId="38F367EB" w14:textId="77777777" w:rsidR="00551648" w:rsidRPr="001A7517" w:rsidRDefault="00551648" w:rsidP="00551648">
      <w:pPr>
        <w:suppressAutoHyphens/>
        <w:ind w:left="2880" w:hanging="720"/>
      </w:pPr>
    </w:p>
    <w:p w14:paraId="31985614" w14:textId="6CE687D2" w:rsidR="00810215" w:rsidRDefault="00810215" w:rsidP="00551648">
      <w:pPr>
        <w:suppressAutoHyphens/>
        <w:ind w:left="2880" w:hanging="720"/>
      </w:pPr>
      <w:r w:rsidRPr="001A7517">
        <w:t>C)</w:t>
      </w:r>
      <w:r w:rsidRPr="001A7517">
        <w:tab/>
        <w:t>The arithmetic average of all samples taken over the last year; and</w:t>
      </w:r>
    </w:p>
    <w:p w14:paraId="62F5813E" w14:textId="77777777" w:rsidR="00551648" w:rsidRPr="001A7517" w:rsidRDefault="00551648" w:rsidP="00551648">
      <w:pPr>
        <w:suppressAutoHyphens/>
        <w:ind w:left="2880" w:hanging="720"/>
      </w:pPr>
    </w:p>
    <w:p w14:paraId="3C2AFBAE" w14:textId="7F6C0E65" w:rsidR="00810215" w:rsidRDefault="00810215" w:rsidP="00551648">
      <w:pPr>
        <w:suppressAutoHyphens/>
        <w:ind w:left="2880" w:hanging="720"/>
      </w:pPr>
      <w:r w:rsidRPr="001A7517">
        <w:t>D)</w:t>
      </w:r>
      <w:r w:rsidRPr="001A7517">
        <w:tab/>
        <w:t>Whether, based on Section 611.383(b)(1), the MCL was violated.</w:t>
      </w:r>
    </w:p>
    <w:p w14:paraId="6F7147F4" w14:textId="77777777" w:rsidR="00551648" w:rsidRPr="001A7517" w:rsidRDefault="00551648" w:rsidP="00551648">
      <w:pPr>
        <w:suppressAutoHyphens/>
        <w:ind w:left="2880" w:hanging="720"/>
      </w:pPr>
    </w:p>
    <w:p w14:paraId="580627D0" w14:textId="67E240DE" w:rsidR="00810215" w:rsidRDefault="00810215" w:rsidP="00551648">
      <w:pPr>
        <w:suppressAutoHyphens/>
        <w:ind w:left="2160" w:hanging="720"/>
      </w:pPr>
      <w:r w:rsidRPr="001A7517">
        <w:t>3)</w:t>
      </w:r>
      <w:r w:rsidRPr="001A7517">
        <w:tab/>
        <w:t>A supplier that monitors for TTHMs and HAA5 under the requirements of Section 611.382(b) less frequently than annually must report the following:</w:t>
      </w:r>
    </w:p>
    <w:p w14:paraId="6DDF6DC5" w14:textId="77777777" w:rsidR="00551648" w:rsidRPr="001A7517" w:rsidRDefault="00551648" w:rsidP="00551648">
      <w:pPr>
        <w:suppressAutoHyphens/>
        <w:ind w:left="2160" w:hanging="720"/>
      </w:pPr>
    </w:p>
    <w:p w14:paraId="7F323C16" w14:textId="2F8318B3" w:rsidR="00810215" w:rsidRDefault="00810215" w:rsidP="00551648">
      <w:pPr>
        <w:suppressAutoHyphens/>
        <w:ind w:left="2880" w:hanging="720"/>
      </w:pPr>
      <w:r w:rsidRPr="001A7517">
        <w:t>A)</w:t>
      </w:r>
      <w:r w:rsidRPr="001A7517">
        <w:tab/>
        <w:t>The location, date, and result of the last sample taken; and</w:t>
      </w:r>
    </w:p>
    <w:p w14:paraId="535767DD" w14:textId="77777777" w:rsidR="00551648" w:rsidRPr="001A7517" w:rsidRDefault="00551648" w:rsidP="00551648">
      <w:pPr>
        <w:suppressAutoHyphens/>
        <w:ind w:left="2880" w:hanging="720"/>
      </w:pPr>
    </w:p>
    <w:p w14:paraId="45381CEA" w14:textId="5B386525" w:rsidR="00810215" w:rsidRDefault="00810215" w:rsidP="00551648">
      <w:pPr>
        <w:suppressAutoHyphens/>
        <w:ind w:left="2880" w:hanging="720"/>
      </w:pPr>
      <w:r w:rsidRPr="001A7517">
        <w:t>B)</w:t>
      </w:r>
      <w:r w:rsidRPr="001A7517">
        <w:tab/>
        <w:t>Whether, based on Section 611.383(b)(1), the MCL was violated.</w:t>
      </w:r>
    </w:p>
    <w:p w14:paraId="1D8D30CF" w14:textId="77777777" w:rsidR="00551648" w:rsidRPr="001A7517" w:rsidRDefault="00551648" w:rsidP="00551648">
      <w:pPr>
        <w:suppressAutoHyphens/>
        <w:ind w:left="2880" w:hanging="720"/>
      </w:pPr>
    </w:p>
    <w:p w14:paraId="14BA1FD7" w14:textId="4C962C0C" w:rsidR="00810215" w:rsidRDefault="00810215" w:rsidP="00551648">
      <w:pPr>
        <w:suppressAutoHyphens/>
        <w:ind w:left="2160" w:hanging="720"/>
      </w:pPr>
      <w:r w:rsidRPr="001A7517">
        <w:t>4)</w:t>
      </w:r>
      <w:r w:rsidRPr="001A7517">
        <w:tab/>
        <w:t>A supplier that monitors for chlorite under the requirements of Section 611.382(b) must report the following:</w:t>
      </w:r>
    </w:p>
    <w:p w14:paraId="3824A0B3" w14:textId="77777777" w:rsidR="00551648" w:rsidRPr="001A7517" w:rsidRDefault="00551648" w:rsidP="00551648">
      <w:pPr>
        <w:suppressAutoHyphens/>
        <w:ind w:left="2160" w:hanging="720"/>
      </w:pPr>
    </w:p>
    <w:p w14:paraId="436444FC" w14:textId="7035D2C8" w:rsidR="00810215" w:rsidRDefault="00810215" w:rsidP="00551648">
      <w:pPr>
        <w:suppressAutoHyphens/>
        <w:ind w:left="2880" w:hanging="720"/>
      </w:pPr>
      <w:r w:rsidRPr="001A7517">
        <w:t>A)</w:t>
      </w:r>
      <w:r w:rsidRPr="001A7517">
        <w:tab/>
        <w:t>The number of entry point samples taken each month for the last three months;</w:t>
      </w:r>
    </w:p>
    <w:p w14:paraId="5BE4481A" w14:textId="77777777" w:rsidR="00551648" w:rsidRPr="001A7517" w:rsidRDefault="00551648" w:rsidP="00551648">
      <w:pPr>
        <w:suppressAutoHyphens/>
        <w:ind w:left="2880" w:hanging="720"/>
      </w:pPr>
    </w:p>
    <w:p w14:paraId="78B75521" w14:textId="5FAEFA9D" w:rsidR="00810215" w:rsidRDefault="00810215" w:rsidP="00551648">
      <w:pPr>
        <w:suppressAutoHyphens/>
        <w:ind w:left="2880" w:hanging="720"/>
      </w:pPr>
      <w:r w:rsidRPr="001A7517">
        <w:t>B)</w:t>
      </w:r>
      <w:r w:rsidRPr="001A7517">
        <w:tab/>
        <w:t>The location, date, and result of each sample (both entry point and distribution system) taken during the last quarter;</w:t>
      </w:r>
    </w:p>
    <w:p w14:paraId="56D14BD3" w14:textId="77777777" w:rsidR="00551648" w:rsidRPr="001A7517" w:rsidRDefault="00551648" w:rsidP="00551648">
      <w:pPr>
        <w:suppressAutoHyphens/>
        <w:ind w:left="2880" w:hanging="720"/>
      </w:pPr>
    </w:p>
    <w:p w14:paraId="2C49CE2C" w14:textId="3656C1FB" w:rsidR="00810215" w:rsidRDefault="00810215" w:rsidP="00551648">
      <w:pPr>
        <w:ind w:left="2880" w:hanging="720"/>
      </w:pPr>
      <w:r w:rsidRPr="001A7517">
        <w:t>C)</w:t>
      </w:r>
      <w:r w:rsidRPr="001A7517">
        <w:tab/>
        <w:t xml:space="preserve">For each month in the reporting period, the arithmetic average of </w:t>
      </w:r>
      <w:r w:rsidRPr="001A7517">
        <w:rPr>
          <w:snapToGrid w:val="0"/>
        </w:rPr>
        <w:t>each three-sample set for all sample sets taken in the distribution system</w:t>
      </w:r>
      <w:r w:rsidRPr="001A7517">
        <w:t>; and</w:t>
      </w:r>
    </w:p>
    <w:p w14:paraId="395C9C57" w14:textId="77777777" w:rsidR="00551648" w:rsidRPr="001A7517" w:rsidRDefault="00551648" w:rsidP="00551648">
      <w:pPr>
        <w:ind w:left="2880" w:hanging="720"/>
        <w:rPr>
          <w:snapToGrid w:val="0"/>
        </w:rPr>
      </w:pPr>
    </w:p>
    <w:p w14:paraId="26773924" w14:textId="30E68D7F" w:rsidR="00810215" w:rsidRDefault="00810215" w:rsidP="00551648">
      <w:pPr>
        <w:suppressAutoHyphens/>
        <w:ind w:left="2880" w:hanging="720"/>
      </w:pPr>
      <w:r w:rsidRPr="001A7517">
        <w:t>D)</w:t>
      </w:r>
      <w:r w:rsidRPr="001A7517">
        <w:tab/>
        <w:t>Whether, based on Section 611.383(b)(3), the MCL was violated, in which month it was violated, and how many times it was violated in each month.</w:t>
      </w:r>
    </w:p>
    <w:p w14:paraId="17CF1D73" w14:textId="77777777" w:rsidR="00551648" w:rsidRPr="001A7517" w:rsidRDefault="00551648" w:rsidP="00551648">
      <w:pPr>
        <w:suppressAutoHyphens/>
        <w:ind w:left="2880" w:hanging="720"/>
      </w:pPr>
    </w:p>
    <w:p w14:paraId="46D7D4AC" w14:textId="7FA99639" w:rsidR="00810215" w:rsidRDefault="00810215" w:rsidP="00551648">
      <w:pPr>
        <w:suppressAutoHyphens/>
        <w:ind w:left="2160" w:hanging="720"/>
      </w:pPr>
      <w:r w:rsidRPr="001A7517">
        <w:t>5)</w:t>
      </w:r>
      <w:r w:rsidRPr="001A7517">
        <w:tab/>
        <w:t>A supplier that monitors for bromate under the requirements of Section 611.382(b) must report the following:</w:t>
      </w:r>
    </w:p>
    <w:p w14:paraId="27F4F38E" w14:textId="77777777" w:rsidR="00551648" w:rsidRPr="001A7517" w:rsidRDefault="00551648" w:rsidP="00551648">
      <w:pPr>
        <w:suppressAutoHyphens/>
        <w:ind w:left="2160" w:hanging="720"/>
      </w:pPr>
    </w:p>
    <w:p w14:paraId="6106A5F8" w14:textId="7B306952" w:rsidR="00810215" w:rsidRDefault="00810215" w:rsidP="00551648">
      <w:pPr>
        <w:suppressAutoHyphens/>
        <w:ind w:left="2880" w:hanging="720"/>
      </w:pPr>
      <w:r w:rsidRPr="001A7517">
        <w:t>A)</w:t>
      </w:r>
      <w:r w:rsidRPr="001A7517">
        <w:tab/>
        <w:t>The number of samples taken during the last quarter;</w:t>
      </w:r>
    </w:p>
    <w:p w14:paraId="0B456DB9" w14:textId="77777777" w:rsidR="00551648" w:rsidRPr="001A7517" w:rsidRDefault="00551648" w:rsidP="00551648">
      <w:pPr>
        <w:suppressAutoHyphens/>
        <w:ind w:left="2880" w:hanging="720"/>
      </w:pPr>
    </w:p>
    <w:p w14:paraId="571A12FA" w14:textId="018EFA4C" w:rsidR="00810215" w:rsidRDefault="00810215" w:rsidP="00551648">
      <w:pPr>
        <w:suppressAutoHyphens/>
        <w:ind w:left="2880" w:hanging="720"/>
      </w:pPr>
      <w:r w:rsidRPr="001A7517">
        <w:lastRenderedPageBreak/>
        <w:t>B)</w:t>
      </w:r>
      <w:r w:rsidRPr="001A7517">
        <w:tab/>
        <w:t>The location, date, and result of each sample taken during the last quarter;</w:t>
      </w:r>
    </w:p>
    <w:p w14:paraId="6524EFE7" w14:textId="77777777" w:rsidR="00551648" w:rsidRPr="001A7517" w:rsidRDefault="00551648" w:rsidP="00551648">
      <w:pPr>
        <w:suppressAutoHyphens/>
        <w:ind w:left="2880" w:hanging="720"/>
      </w:pPr>
    </w:p>
    <w:p w14:paraId="1E56F2A4" w14:textId="551456E5" w:rsidR="00810215" w:rsidRDefault="00810215" w:rsidP="00551648">
      <w:pPr>
        <w:suppressAutoHyphens/>
        <w:ind w:left="2880" w:hanging="720"/>
      </w:pPr>
      <w:r w:rsidRPr="001A7517">
        <w:t>C)</w:t>
      </w:r>
      <w:r w:rsidRPr="001A7517">
        <w:tab/>
        <w:t>The arithmetic average of the monthly arithmetic averages of all samples taken in the last year; and</w:t>
      </w:r>
    </w:p>
    <w:p w14:paraId="08567CAA" w14:textId="77777777" w:rsidR="00551648" w:rsidRPr="001A7517" w:rsidRDefault="00551648" w:rsidP="00551648">
      <w:pPr>
        <w:suppressAutoHyphens/>
        <w:ind w:left="2880" w:hanging="720"/>
      </w:pPr>
    </w:p>
    <w:p w14:paraId="08A72DB0" w14:textId="78F947B1" w:rsidR="00810215" w:rsidRDefault="00810215" w:rsidP="00551648">
      <w:pPr>
        <w:suppressAutoHyphens/>
        <w:ind w:left="2880" w:hanging="720"/>
      </w:pPr>
      <w:r w:rsidRPr="001A7517">
        <w:t>D)</w:t>
      </w:r>
      <w:r w:rsidRPr="001A7517">
        <w:tab/>
        <w:t>Whether, based on Section 611.383(b)(2), the MCL was violated.</w:t>
      </w:r>
    </w:p>
    <w:p w14:paraId="0E404B83" w14:textId="77777777" w:rsidR="00551648" w:rsidRPr="001A7517" w:rsidRDefault="00551648" w:rsidP="00551648">
      <w:pPr>
        <w:suppressAutoHyphens/>
        <w:ind w:left="2880" w:hanging="720"/>
      </w:pPr>
    </w:p>
    <w:p w14:paraId="10905D95" w14:textId="539D9DF5" w:rsidR="00810215" w:rsidRDefault="00810215" w:rsidP="00551648">
      <w:pPr>
        <w:suppressAutoHyphens/>
        <w:ind w:left="2160"/>
        <w:rPr>
          <w:spacing w:val="-2"/>
        </w:rPr>
      </w:pPr>
      <w:r w:rsidRPr="001A7517">
        <w:t xml:space="preserve">BOARD NOTE:  </w:t>
      </w:r>
      <w:r w:rsidRPr="001A7517">
        <w:rPr>
          <w:spacing w:val="-2"/>
        </w:rPr>
        <w:t xml:space="preserve">The Agency may choose to perform calculations and determine whether the MCL was exceeded, in lieu of having the supplier report </w:t>
      </w:r>
      <w:r w:rsidRPr="001A7517">
        <w:t xml:space="preserve">the required </w:t>
      </w:r>
      <w:r w:rsidRPr="001A7517">
        <w:rPr>
          <w:spacing w:val="-2"/>
        </w:rPr>
        <w:t>information.</w:t>
      </w:r>
    </w:p>
    <w:p w14:paraId="60C190C6" w14:textId="77777777" w:rsidR="00551648" w:rsidRPr="001A7517" w:rsidRDefault="00551648" w:rsidP="00551648">
      <w:pPr>
        <w:suppressAutoHyphens/>
        <w:ind w:left="2160"/>
        <w:rPr>
          <w:spacing w:val="-2"/>
        </w:rPr>
      </w:pPr>
    </w:p>
    <w:p w14:paraId="0D62C9CA" w14:textId="7CDBF4C9" w:rsidR="00810215" w:rsidRDefault="00810215" w:rsidP="00551648">
      <w:pPr>
        <w:suppressAutoHyphens/>
        <w:ind w:left="1440" w:hanging="720"/>
        <w:rPr>
          <w:spacing w:val="-2"/>
        </w:rPr>
      </w:pPr>
      <w:r w:rsidRPr="001A7517">
        <w:rPr>
          <w:spacing w:val="-2"/>
        </w:rPr>
        <w:t>c)</w:t>
      </w:r>
      <w:r w:rsidRPr="001A7517">
        <w:rPr>
          <w:spacing w:val="-2"/>
        </w:rPr>
        <w:tab/>
        <w:t xml:space="preserve">Disinfectants.  A supplier </w:t>
      </w:r>
      <w:r w:rsidRPr="001A7517">
        <w:t xml:space="preserve">must </w:t>
      </w:r>
      <w:r w:rsidRPr="001A7517">
        <w:rPr>
          <w:spacing w:val="-2"/>
        </w:rPr>
        <w:t xml:space="preserve">report the </w:t>
      </w:r>
      <w:r w:rsidRPr="001A7517">
        <w:t xml:space="preserve">following </w:t>
      </w:r>
      <w:r w:rsidRPr="001A7517">
        <w:rPr>
          <w:spacing w:val="-2"/>
        </w:rPr>
        <w:t>specified information:</w:t>
      </w:r>
    </w:p>
    <w:p w14:paraId="1D4AC2B3" w14:textId="77777777" w:rsidR="00551648" w:rsidRPr="001A7517" w:rsidRDefault="00551648" w:rsidP="00551648">
      <w:pPr>
        <w:suppressAutoHyphens/>
        <w:ind w:left="1440" w:hanging="720"/>
        <w:rPr>
          <w:spacing w:val="-2"/>
        </w:rPr>
      </w:pPr>
    </w:p>
    <w:p w14:paraId="21E407C0" w14:textId="581C1448" w:rsidR="00810215" w:rsidRDefault="00810215" w:rsidP="00551648">
      <w:pPr>
        <w:suppressAutoHyphens/>
        <w:ind w:left="2160" w:hanging="720"/>
      </w:pPr>
      <w:r w:rsidRPr="001A7517">
        <w:t>1)</w:t>
      </w:r>
      <w:r w:rsidRPr="001A7517">
        <w:tab/>
        <w:t>A supplier that monitors for chlorine or chloramines under the requirements of Section 611.382(c) must report the following:</w:t>
      </w:r>
    </w:p>
    <w:p w14:paraId="48430465" w14:textId="77777777" w:rsidR="00551648" w:rsidRPr="001A7517" w:rsidRDefault="00551648" w:rsidP="00551648">
      <w:pPr>
        <w:suppressAutoHyphens/>
        <w:ind w:left="2160" w:hanging="720"/>
      </w:pPr>
    </w:p>
    <w:p w14:paraId="440A2186" w14:textId="4E0C624B" w:rsidR="00810215" w:rsidRDefault="00810215" w:rsidP="00551648">
      <w:pPr>
        <w:suppressAutoHyphens/>
        <w:ind w:left="2880" w:hanging="720"/>
      </w:pPr>
      <w:r w:rsidRPr="001A7517">
        <w:t>A)</w:t>
      </w:r>
      <w:r w:rsidRPr="001A7517">
        <w:tab/>
        <w:t>The number of samples taken during each month of the last quarter.</w:t>
      </w:r>
    </w:p>
    <w:p w14:paraId="4C23BBA6" w14:textId="77777777" w:rsidR="00551648" w:rsidRPr="001A7517" w:rsidRDefault="00551648" w:rsidP="00551648">
      <w:pPr>
        <w:suppressAutoHyphens/>
        <w:ind w:left="2880" w:hanging="720"/>
      </w:pPr>
    </w:p>
    <w:p w14:paraId="53B4E42D" w14:textId="11E2B86F" w:rsidR="00810215" w:rsidRDefault="00810215" w:rsidP="00551648">
      <w:pPr>
        <w:suppressAutoHyphens/>
        <w:ind w:left="2880" w:hanging="720"/>
      </w:pPr>
      <w:r w:rsidRPr="001A7517">
        <w:t>B)</w:t>
      </w:r>
      <w:r w:rsidRPr="001A7517">
        <w:tab/>
        <w:t>The monthly arithmetic average of all samples taken in each month for the last 12 months.</w:t>
      </w:r>
    </w:p>
    <w:p w14:paraId="41CA27BB" w14:textId="77777777" w:rsidR="00551648" w:rsidRPr="001A7517" w:rsidRDefault="00551648" w:rsidP="00551648">
      <w:pPr>
        <w:suppressAutoHyphens/>
        <w:ind w:left="2880" w:hanging="720"/>
      </w:pPr>
    </w:p>
    <w:p w14:paraId="5DA26BA9" w14:textId="03630DA0" w:rsidR="00810215" w:rsidRDefault="00810215" w:rsidP="00551648">
      <w:pPr>
        <w:suppressAutoHyphens/>
        <w:ind w:left="2880" w:hanging="720"/>
      </w:pPr>
      <w:r w:rsidRPr="001A7517">
        <w:t>C)</w:t>
      </w:r>
      <w:r w:rsidRPr="001A7517">
        <w:tab/>
        <w:t>The arithmetic average of all monthly averages for the last 12 months.</w:t>
      </w:r>
    </w:p>
    <w:p w14:paraId="0A0E5AB1" w14:textId="77777777" w:rsidR="00551648" w:rsidRPr="001A7517" w:rsidRDefault="00551648" w:rsidP="00551648">
      <w:pPr>
        <w:suppressAutoHyphens/>
        <w:ind w:left="2880" w:hanging="720"/>
      </w:pPr>
    </w:p>
    <w:p w14:paraId="3B092004" w14:textId="0525BC5F" w:rsidR="00810215" w:rsidRDefault="00810215" w:rsidP="00551648">
      <w:pPr>
        <w:suppressAutoHyphens/>
        <w:ind w:left="2880" w:hanging="720"/>
      </w:pPr>
      <w:r w:rsidRPr="001A7517">
        <w:t>D)</w:t>
      </w:r>
      <w:r w:rsidRPr="001A7517">
        <w:tab/>
        <w:t>Whether, based on Sect</w:t>
      </w:r>
      <w:r w:rsidR="00551648">
        <w:t>i</w:t>
      </w:r>
      <w:r w:rsidRPr="001A7517">
        <w:t>on 611.383(c)(1), the MRDL was violated.</w:t>
      </w:r>
    </w:p>
    <w:p w14:paraId="6E0D092C" w14:textId="77777777" w:rsidR="00551648" w:rsidRPr="001A7517" w:rsidRDefault="00551648" w:rsidP="00551648">
      <w:pPr>
        <w:suppressAutoHyphens/>
        <w:ind w:left="2880" w:hanging="720"/>
      </w:pPr>
    </w:p>
    <w:p w14:paraId="681E0953" w14:textId="13B844D5" w:rsidR="00810215" w:rsidRDefault="00810215" w:rsidP="00551648">
      <w:pPr>
        <w:suppressAutoHyphens/>
        <w:ind w:left="2160" w:hanging="720"/>
      </w:pPr>
      <w:r w:rsidRPr="001A7517">
        <w:t>2)</w:t>
      </w:r>
      <w:r w:rsidRPr="001A7517">
        <w:tab/>
        <w:t>A supplier that monitors for chlorine dioxide under the requirements of Section 611.382(c) must report the following:</w:t>
      </w:r>
    </w:p>
    <w:p w14:paraId="1F355B53" w14:textId="77777777" w:rsidR="00551648" w:rsidRPr="001A7517" w:rsidRDefault="00551648" w:rsidP="00551648">
      <w:pPr>
        <w:suppressAutoHyphens/>
        <w:ind w:left="2160" w:hanging="720"/>
      </w:pPr>
    </w:p>
    <w:p w14:paraId="6358A71E" w14:textId="5CFD3E9D" w:rsidR="00810215" w:rsidRDefault="00810215" w:rsidP="00551648">
      <w:pPr>
        <w:suppressAutoHyphens/>
        <w:ind w:left="2880" w:hanging="720"/>
      </w:pPr>
      <w:r w:rsidRPr="001A7517">
        <w:t>A)</w:t>
      </w:r>
      <w:r w:rsidRPr="001A7517">
        <w:tab/>
        <w:t>The dates, results, and locations of samples taken during the last quarter;</w:t>
      </w:r>
    </w:p>
    <w:p w14:paraId="7A580777" w14:textId="77777777" w:rsidR="00551648" w:rsidRPr="001A7517" w:rsidRDefault="00551648" w:rsidP="00551648">
      <w:pPr>
        <w:suppressAutoHyphens/>
        <w:ind w:left="2880" w:hanging="720"/>
      </w:pPr>
    </w:p>
    <w:p w14:paraId="5B100E4D" w14:textId="1E2358CB" w:rsidR="00810215" w:rsidRDefault="00810215" w:rsidP="00551648">
      <w:pPr>
        <w:suppressAutoHyphens/>
        <w:ind w:left="2880" w:hanging="720"/>
      </w:pPr>
      <w:r w:rsidRPr="001A7517">
        <w:t>B)</w:t>
      </w:r>
      <w:r w:rsidRPr="001A7517">
        <w:tab/>
        <w:t>Whether, based on Secton 611.383(c)(2), the MRDL was violated; and</w:t>
      </w:r>
    </w:p>
    <w:p w14:paraId="4D122143" w14:textId="77777777" w:rsidR="00551648" w:rsidRPr="001A7517" w:rsidRDefault="00551648" w:rsidP="00551648">
      <w:pPr>
        <w:suppressAutoHyphens/>
        <w:ind w:left="2880" w:hanging="720"/>
      </w:pPr>
    </w:p>
    <w:p w14:paraId="1201891A" w14:textId="4B92E60C" w:rsidR="00810215" w:rsidRDefault="00810215" w:rsidP="00551648">
      <w:pPr>
        <w:suppressAutoHyphens/>
        <w:ind w:left="2880" w:hanging="720"/>
      </w:pPr>
      <w:r w:rsidRPr="001A7517">
        <w:t>C)</w:t>
      </w:r>
      <w:r w:rsidRPr="001A7517">
        <w:tab/>
        <w:t>Whether the MRDL was exceeded in any two consecutive daily samples and whether the resulting violation was acute or nonacute.</w:t>
      </w:r>
    </w:p>
    <w:p w14:paraId="5D904AFA" w14:textId="77777777" w:rsidR="00551648" w:rsidRPr="001A7517" w:rsidRDefault="00551648" w:rsidP="00551648">
      <w:pPr>
        <w:suppressAutoHyphens/>
        <w:ind w:left="2880" w:hanging="720"/>
      </w:pPr>
    </w:p>
    <w:p w14:paraId="5FF557DA" w14:textId="039932E3" w:rsidR="00810215" w:rsidRDefault="00810215" w:rsidP="00551648">
      <w:pPr>
        <w:suppressAutoHyphens/>
        <w:ind w:left="2160"/>
        <w:rPr>
          <w:spacing w:val="-2"/>
        </w:rPr>
      </w:pPr>
      <w:r w:rsidRPr="001A7517">
        <w:t xml:space="preserve">BOARD NOTE:  </w:t>
      </w:r>
      <w:r w:rsidRPr="001A7517">
        <w:rPr>
          <w:spacing w:val="-2"/>
        </w:rPr>
        <w:t xml:space="preserve">The Agency may choose to perform calculations and determine whether the MRDL was exceeded, in lieu of having the supplier report </w:t>
      </w:r>
      <w:r w:rsidRPr="001A7517">
        <w:t xml:space="preserve">the required </w:t>
      </w:r>
      <w:r w:rsidRPr="001A7517">
        <w:rPr>
          <w:spacing w:val="-2"/>
        </w:rPr>
        <w:t>information.</w:t>
      </w:r>
    </w:p>
    <w:p w14:paraId="2741EEAE" w14:textId="77777777" w:rsidR="00551648" w:rsidRPr="001A7517" w:rsidRDefault="00551648" w:rsidP="00551648">
      <w:pPr>
        <w:suppressAutoHyphens/>
        <w:ind w:left="2160"/>
        <w:rPr>
          <w:spacing w:val="-2"/>
        </w:rPr>
      </w:pPr>
    </w:p>
    <w:p w14:paraId="623822E1" w14:textId="276E563D" w:rsidR="00810215" w:rsidRDefault="00810215" w:rsidP="00551648">
      <w:pPr>
        <w:suppressAutoHyphens/>
        <w:ind w:left="1440" w:hanging="720"/>
        <w:rPr>
          <w:spacing w:val="-2"/>
        </w:rPr>
      </w:pPr>
      <w:r w:rsidRPr="001A7517">
        <w:rPr>
          <w:spacing w:val="-2"/>
        </w:rPr>
        <w:lastRenderedPageBreak/>
        <w:t>d)</w:t>
      </w:r>
      <w:r w:rsidRPr="001A7517">
        <w:rPr>
          <w:spacing w:val="-2"/>
        </w:rPr>
        <w:tab/>
        <w:t xml:space="preserve">Disinfection Byproduct (DBP) Precursors and Enhanced Coagulation or Enhanced Softening.  A supplier </w:t>
      </w:r>
      <w:r w:rsidRPr="001A7517">
        <w:t xml:space="preserve">must </w:t>
      </w:r>
      <w:r w:rsidRPr="001A7517">
        <w:rPr>
          <w:spacing w:val="-2"/>
        </w:rPr>
        <w:t xml:space="preserve">report the </w:t>
      </w:r>
      <w:r w:rsidRPr="001A7517">
        <w:t xml:space="preserve">following </w:t>
      </w:r>
      <w:r w:rsidRPr="001A7517">
        <w:rPr>
          <w:spacing w:val="-2"/>
        </w:rPr>
        <w:t>specified information:</w:t>
      </w:r>
    </w:p>
    <w:p w14:paraId="4EEF3182" w14:textId="77777777" w:rsidR="00551648" w:rsidRPr="001A7517" w:rsidRDefault="00551648" w:rsidP="00551648">
      <w:pPr>
        <w:suppressAutoHyphens/>
        <w:ind w:left="1440" w:hanging="720"/>
        <w:rPr>
          <w:spacing w:val="-2"/>
        </w:rPr>
      </w:pPr>
    </w:p>
    <w:p w14:paraId="1E9F0608" w14:textId="494B2FC7" w:rsidR="00810215" w:rsidRDefault="00810215" w:rsidP="00551648">
      <w:pPr>
        <w:suppressAutoHyphens/>
        <w:ind w:left="2160" w:hanging="720"/>
      </w:pPr>
      <w:r w:rsidRPr="001A7517">
        <w:t>1)</w:t>
      </w:r>
      <w:r w:rsidRPr="001A7517">
        <w:tab/>
        <w:t>A supplier that monitors monthly or quarterly for TOC under the requirements of Section 611.382(d) and required to meet the enhanced coagulation or enhanced softening requirements in Section 611.385(b)(2) or (b)(3) must report the following:</w:t>
      </w:r>
    </w:p>
    <w:p w14:paraId="6474C02E" w14:textId="77777777" w:rsidR="00551648" w:rsidRPr="001A7517" w:rsidRDefault="00551648" w:rsidP="00551648">
      <w:pPr>
        <w:suppressAutoHyphens/>
        <w:ind w:left="2160" w:hanging="720"/>
      </w:pPr>
    </w:p>
    <w:p w14:paraId="55B710C9" w14:textId="6DFD8B36" w:rsidR="00810215" w:rsidRDefault="00810215" w:rsidP="00551648">
      <w:pPr>
        <w:suppressAutoHyphens/>
        <w:ind w:left="2880" w:hanging="720"/>
      </w:pPr>
      <w:r w:rsidRPr="001A7517">
        <w:t>A)</w:t>
      </w:r>
      <w:r w:rsidRPr="001A7517">
        <w:tab/>
        <w:t>The number of paired (source water and treated water) samples taken during the last quarter;</w:t>
      </w:r>
    </w:p>
    <w:p w14:paraId="32D2830A" w14:textId="77777777" w:rsidR="00551648" w:rsidRPr="001A7517" w:rsidRDefault="00551648" w:rsidP="00551648">
      <w:pPr>
        <w:suppressAutoHyphens/>
        <w:ind w:left="2880" w:hanging="720"/>
      </w:pPr>
    </w:p>
    <w:p w14:paraId="6B0BCB7B" w14:textId="50F9EA2D" w:rsidR="00810215" w:rsidRDefault="00810215" w:rsidP="00551648">
      <w:pPr>
        <w:suppressAutoHyphens/>
        <w:ind w:left="2880" w:hanging="720"/>
      </w:pPr>
      <w:r w:rsidRPr="001A7517">
        <w:t>B)</w:t>
      </w:r>
      <w:r w:rsidRPr="001A7517">
        <w:tab/>
        <w:t>The location, date, and result of each paired sample and associated alkalinity taken during the last quarter;</w:t>
      </w:r>
    </w:p>
    <w:p w14:paraId="1E99AE7F" w14:textId="77777777" w:rsidR="00551648" w:rsidRPr="001A7517" w:rsidRDefault="00551648" w:rsidP="00551648">
      <w:pPr>
        <w:suppressAutoHyphens/>
        <w:ind w:left="2880" w:hanging="720"/>
      </w:pPr>
    </w:p>
    <w:p w14:paraId="3E8A0D11" w14:textId="08C7F211" w:rsidR="00810215" w:rsidRDefault="00810215" w:rsidP="00551648">
      <w:pPr>
        <w:suppressAutoHyphens/>
        <w:ind w:left="2880" w:hanging="720"/>
      </w:pPr>
      <w:r w:rsidRPr="001A7517">
        <w:t>C)</w:t>
      </w:r>
      <w:r w:rsidRPr="001A7517">
        <w:tab/>
        <w:t>For each month in the reporting period that paired samples were taken, the arithmetic average of the percent reduction of TOC for each paired sample and the required TOC percent removal;</w:t>
      </w:r>
    </w:p>
    <w:p w14:paraId="799E24EE" w14:textId="77777777" w:rsidR="00551648" w:rsidRPr="001A7517" w:rsidRDefault="00551648" w:rsidP="00551648">
      <w:pPr>
        <w:suppressAutoHyphens/>
        <w:ind w:left="2880" w:hanging="720"/>
      </w:pPr>
    </w:p>
    <w:p w14:paraId="512427DB" w14:textId="42FBA57D" w:rsidR="00810215" w:rsidRDefault="00810215" w:rsidP="00551648">
      <w:pPr>
        <w:suppressAutoHyphens/>
        <w:ind w:left="2880" w:hanging="720"/>
      </w:pPr>
      <w:r w:rsidRPr="001A7517">
        <w:t>D)</w:t>
      </w:r>
      <w:r w:rsidRPr="001A7517">
        <w:tab/>
        <w:t>Calculations for determining compliance with the TOC percent removal requirements, as provided in Section 611.385(c)(1); and</w:t>
      </w:r>
    </w:p>
    <w:p w14:paraId="4B087CF5" w14:textId="77777777" w:rsidR="00551648" w:rsidRPr="001A7517" w:rsidRDefault="00551648" w:rsidP="00551648">
      <w:pPr>
        <w:suppressAutoHyphens/>
        <w:ind w:left="2880" w:hanging="720"/>
      </w:pPr>
    </w:p>
    <w:p w14:paraId="7319DEDD" w14:textId="1FAEA6F6" w:rsidR="00810215" w:rsidRDefault="00810215" w:rsidP="00551648">
      <w:pPr>
        <w:suppressAutoHyphens/>
        <w:ind w:left="2880" w:hanging="720"/>
      </w:pPr>
      <w:r w:rsidRPr="001A7517">
        <w:t>E)</w:t>
      </w:r>
      <w:r w:rsidRPr="001A7517">
        <w:tab/>
        <w:t>Whether the supplier is in compliance with the enhanced coagulation or enhanced softening percent removal requirements in Section 611.385(b) for the last four quarters.</w:t>
      </w:r>
    </w:p>
    <w:p w14:paraId="0A47EAAF" w14:textId="77777777" w:rsidR="00551648" w:rsidRPr="001A7517" w:rsidRDefault="00551648" w:rsidP="00551648">
      <w:pPr>
        <w:suppressAutoHyphens/>
        <w:ind w:left="2880" w:hanging="720"/>
      </w:pPr>
    </w:p>
    <w:p w14:paraId="4287AA1D" w14:textId="040301B6" w:rsidR="00810215" w:rsidRDefault="00810215" w:rsidP="00551648">
      <w:pPr>
        <w:suppressAutoHyphens/>
        <w:ind w:left="2160" w:hanging="720"/>
      </w:pPr>
      <w:r w:rsidRPr="001A7517">
        <w:t>2)</w:t>
      </w:r>
      <w:r w:rsidRPr="001A7517">
        <w:tab/>
        <w:t>A supplier that monitors monthly or quarterly for TOC under the requirements of Section 611.382(d) and meeting one or more of the alternative compliance standards in Section 611.385(a)(2) or (a)(3) must report the following:</w:t>
      </w:r>
    </w:p>
    <w:p w14:paraId="02655732" w14:textId="77777777" w:rsidR="00551648" w:rsidRPr="001A7517" w:rsidRDefault="00551648" w:rsidP="00551648">
      <w:pPr>
        <w:suppressAutoHyphens/>
        <w:ind w:left="2160" w:hanging="720"/>
      </w:pPr>
    </w:p>
    <w:p w14:paraId="6995EEAD" w14:textId="04CED5DC" w:rsidR="00810215" w:rsidRDefault="00810215" w:rsidP="00551648">
      <w:pPr>
        <w:suppressAutoHyphens/>
        <w:ind w:left="2880" w:hanging="720"/>
      </w:pPr>
      <w:r w:rsidRPr="001A7517">
        <w:t>A)</w:t>
      </w:r>
      <w:r w:rsidRPr="001A7517">
        <w:tab/>
        <w:t>The alternative compliance criterion that the supplier is using;</w:t>
      </w:r>
    </w:p>
    <w:p w14:paraId="0DEF1159" w14:textId="77777777" w:rsidR="00551648" w:rsidRPr="001A7517" w:rsidRDefault="00551648" w:rsidP="00551648">
      <w:pPr>
        <w:suppressAutoHyphens/>
        <w:ind w:left="2880" w:hanging="720"/>
      </w:pPr>
    </w:p>
    <w:p w14:paraId="37F26260" w14:textId="27794530" w:rsidR="00810215" w:rsidRDefault="00810215" w:rsidP="00551648">
      <w:pPr>
        <w:suppressAutoHyphens/>
        <w:ind w:left="2880" w:hanging="720"/>
      </w:pPr>
      <w:r w:rsidRPr="001A7517">
        <w:t>B)</w:t>
      </w:r>
      <w:r w:rsidRPr="001A7517">
        <w:tab/>
        <w:t>The number of paired samples taken during the last quarter;</w:t>
      </w:r>
    </w:p>
    <w:p w14:paraId="72600010" w14:textId="77777777" w:rsidR="00551648" w:rsidRPr="001A7517" w:rsidRDefault="00551648" w:rsidP="00551648">
      <w:pPr>
        <w:suppressAutoHyphens/>
        <w:ind w:left="2880" w:hanging="720"/>
      </w:pPr>
    </w:p>
    <w:p w14:paraId="68B4DC8E" w14:textId="67EF6227" w:rsidR="00810215" w:rsidRDefault="00810215" w:rsidP="00551648">
      <w:pPr>
        <w:suppressAutoHyphens/>
        <w:ind w:left="2880" w:hanging="720"/>
      </w:pPr>
      <w:r w:rsidRPr="001A7517">
        <w:t>C)</w:t>
      </w:r>
      <w:r w:rsidRPr="001A7517">
        <w:tab/>
        <w:t>The location, date, and result of each paired sample and associated alkalinity taken during the last quarter;</w:t>
      </w:r>
    </w:p>
    <w:p w14:paraId="65956FD2" w14:textId="77777777" w:rsidR="00551648" w:rsidRPr="001A7517" w:rsidRDefault="00551648" w:rsidP="00551648">
      <w:pPr>
        <w:suppressAutoHyphens/>
        <w:ind w:left="2880" w:hanging="720"/>
      </w:pPr>
    </w:p>
    <w:p w14:paraId="7D7E3210" w14:textId="30EFBC95" w:rsidR="00810215" w:rsidRDefault="00810215" w:rsidP="00551648">
      <w:pPr>
        <w:suppressAutoHyphens/>
        <w:ind w:left="2880" w:hanging="720"/>
      </w:pPr>
      <w:r w:rsidRPr="001A7517">
        <w:t>D)</w:t>
      </w:r>
      <w:r w:rsidRPr="001A7517">
        <w:tab/>
        <w:t>The running annual arithmetic average based on monthly averages (or quarterly samples) of source water TOC for a supplier meeting a criterion in Section 611.385(a)(2)(A) or (a)(2)(C) or of treated water TOC for a supplier meeting the criterion in Section 611.385(a)(2)(B);</w:t>
      </w:r>
    </w:p>
    <w:p w14:paraId="78226C2E" w14:textId="77777777" w:rsidR="00551648" w:rsidRPr="001A7517" w:rsidRDefault="00551648" w:rsidP="00551648">
      <w:pPr>
        <w:suppressAutoHyphens/>
        <w:ind w:left="2880" w:hanging="720"/>
      </w:pPr>
    </w:p>
    <w:p w14:paraId="6D538107" w14:textId="5B9D088F" w:rsidR="00810215" w:rsidRDefault="00810215" w:rsidP="00551648">
      <w:pPr>
        <w:suppressAutoHyphens/>
        <w:ind w:left="2880" w:hanging="720"/>
      </w:pPr>
      <w:r w:rsidRPr="001A7517">
        <w:t>E)</w:t>
      </w:r>
      <w:r w:rsidRPr="001A7517">
        <w:tab/>
        <w:t xml:space="preserve">The running annual arithmetic average based on monthly averages (or quarterly samples) of source water SUVA for a supplier </w:t>
      </w:r>
      <w:r w:rsidRPr="001A7517">
        <w:lastRenderedPageBreak/>
        <w:t>meeting the criterion in Section 611.385(a)(2)(E) or of treated water SUVA for a supplier meeting the criterion in Section 611.385(a)(2)(F);</w:t>
      </w:r>
    </w:p>
    <w:p w14:paraId="325E4CDD" w14:textId="77777777" w:rsidR="00551648" w:rsidRPr="001A7517" w:rsidRDefault="00551648" w:rsidP="00551648">
      <w:pPr>
        <w:suppressAutoHyphens/>
        <w:ind w:left="2880" w:hanging="720"/>
      </w:pPr>
    </w:p>
    <w:p w14:paraId="3789D511" w14:textId="66B777E0" w:rsidR="00810215" w:rsidRDefault="00810215" w:rsidP="00551648">
      <w:pPr>
        <w:suppressAutoHyphens/>
        <w:ind w:left="2880" w:hanging="720"/>
      </w:pPr>
      <w:r w:rsidRPr="001A7517">
        <w:t>F)</w:t>
      </w:r>
      <w:r w:rsidRPr="001A7517">
        <w:tab/>
        <w:t>The running annual average of source water alkalinity for a supplier meeting the criterion in Section 611.385(a)(2)(C) and of treated water alkalinity for a supplier meeting the criterion in Section 611.385(a)(3)(A);</w:t>
      </w:r>
    </w:p>
    <w:p w14:paraId="277EB20E" w14:textId="77777777" w:rsidR="00551648" w:rsidRPr="001A7517" w:rsidRDefault="00551648" w:rsidP="00551648">
      <w:pPr>
        <w:suppressAutoHyphens/>
        <w:ind w:left="2880" w:hanging="720"/>
      </w:pPr>
    </w:p>
    <w:p w14:paraId="3DBFB9D4" w14:textId="42818938" w:rsidR="00810215" w:rsidRDefault="00810215" w:rsidP="00551648">
      <w:pPr>
        <w:suppressAutoHyphens/>
        <w:ind w:left="2880" w:hanging="720"/>
      </w:pPr>
      <w:r w:rsidRPr="001A7517">
        <w:t>G)</w:t>
      </w:r>
      <w:r w:rsidRPr="001A7517">
        <w:tab/>
        <w:t>The running annual average for both TTHM and HAA5 for a supplier meeting the criterion in Section 611.385(a)(2)(C) or (D);</w:t>
      </w:r>
    </w:p>
    <w:p w14:paraId="7E7A03C7" w14:textId="77777777" w:rsidR="00551648" w:rsidRPr="001A7517" w:rsidRDefault="00551648" w:rsidP="00551648">
      <w:pPr>
        <w:suppressAutoHyphens/>
        <w:ind w:left="2880" w:hanging="720"/>
      </w:pPr>
    </w:p>
    <w:p w14:paraId="7F48CCE2" w14:textId="29EFF2B7" w:rsidR="00810215" w:rsidRDefault="00810215" w:rsidP="00551648">
      <w:pPr>
        <w:suppressAutoHyphens/>
        <w:ind w:left="2880" w:hanging="720"/>
      </w:pPr>
      <w:r w:rsidRPr="001A7517">
        <w:t>H)</w:t>
      </w:r>
      <w:r w:rsidRPr="001A7517">
        <w:tab/>
        <w:t>The running annual average of the amount of magnesium hardness removal (as CaCO</w:t>
      </w:r>
      <w:r w:rsidRPr="001A7517">
        <w:rPr>
          <w:vertAlign w:val="subscript"/>
        </w:rPr>
        <w:t>3</w:t>
      </w:r>
      <w:r w:rsidRPr="001A7517">
        <w:t xml:space="preserve"> in mg/ℓ) for a supplier meeting the criterion in Section 611.385(a)(3)(B); and</w:t>
      </w:r>
    </w:p>
    <w:p w14:paraId="753F0F0C" w14:textId="77777777" w:rsidR="00551648" w:rsidRPr="001A7517" w:rsidRDefault="00551648" w:rsidP="00551648">
      <w:pPr>
        <w:suppressAutoHyphens/>
        <w:ind w:left="2880" w:hanging="720"/>
      </w:pPr>
    </w:p>
    <w:p w14:paraId="26E8F642" w14:textId="0F3144E3" w:rsidR="00810215" w:rsidRDefault="00810215" w:rsidP="00551648">
      <w:pPr>
        <w:suppressAutoHyphens/>
        <w:ind w:left="2880" w:hanging="720"/>
      </w:pPr>
      <w:r w:rsidRPr="001A7517">
        <w:t>I)</w:t>
      </w:r>
      <w:r w:rsidRPr="001A7517">
        <w:tab/>
        <w:t>Whether the supplier is in compliance with the particular alternative compliance criterion in Section 611.385(a)(2) or (a)(3).</w:t>
      </w:r>
    </w:p>
    <w:p w14:paraId="702C5FF3" w14:textId="77777777" w:rsidR="00551648" w:rsidRPr="001A7517" w:rsidRDefault="00551648" w:rsidP="00551648">
      <w:pPr>
        <w:suppressAutoHyphens/>
        <w:ind w:left="2880" w:hanging="720"/>
      </w:pPr>
    </w:p>
    <w:p w14:paraId="523C1B11" w14:textId="7169E2E9" w:rsidR="00810215" w:rsidRDefault="00810215" w:rsidP="00551648">
      <w:pPr>
        <w:suppressAutoHyphens/>
        <w:ind w:left="2160"/>
        <w:rPr>
          <w:spacing w:val="-2"/>
        </w:rPr>
      </w:pPr>
      <w:r w:rsidRPr="001A7517">
        <w:t xml:space="preserve">BOARD NOTE:  </w:t>
      </w:r>
      <w:r w:rsidRPr="001A7517">
        <w:rPr>
          <w:spacing w:val="-2"/>
        </w:rPr>
        <w:t xml:space="preserve">The Agency may choose to perform calculations and determine whether the treatment technique was met, in lieu of having the supplier report </w:t>
      </w:r>
      <w:r w:rsidRPr="001A7517">
        <w:t xml:space="preserve">the required </w:t>
      </w:r>
      <w:r w:rsidRPr="001A7517">
        <w:rPr>
          <w:spacing w:val="-2"/>
        </w:rPr>
        <w:t>information.</w:t>
      </w:r>
    </w:p>
    <w:p w14:paraId="06330BBE" w14:textId="77777777" w:rsidR="00551648" w:rsidRPr="001A7517" w:rsidRDefault="00551648" w:rsidP="00551648">
      <w:pPr>
        <w:suppressAutoHyphens/>
        <w:ind w:left="2160"/>
        <w:rPr>
          <w:spacing w:val="-2"/>
        </w:rPr>
      </w:pPr>
    </w:p>
    <w:p w14:paraId="66E733E4" w14:textId="6F563EAE" w:rsidR="00810215" w:rsidRDefault="00810215" w:rsidP="00551648">
      <w:pPr>
        <w:suppressAutoHyphens/>
        <w:rPr>
          <w:spacing w:val="-2"/>
        </w:rPr>
      </w:pPr>
      <w:r w:rsidRPr="001A7517">
        <w:rPr>
          <w:spacing w:val="-2"/>
        </w:rPr>
        <w:t>BOARD NOTE:  Derived from 40 CFR 141.134.</w:t>
      </w:r>
    </w:p>
    <w:p w14:paraId="5AAF7E10" w14:textId="77777777" w:rsidR="00551648" w:rsidRPr="001A7517" w:rsidRDefault="00551648" w:rsidP="00551648">
      <w:pPr>
        <w:suppressAutoHyphens/>
        <w:rPr>
          <w:spacing w:val="-2"/>
        </w:rPr>
      </w:pPr>
    </w:p>
    <w:p w14:paraId="4EBE8E10" w14:textId="357AD20E" w:rsidR="00810215" w:rsidRDefault="00810215" w:rsidP="00551648">
      <w:pPr>
        <w:suppressAutoHyphens/>
        <w:ind w:left="720"/>
      </w:pPr>
      <w:r w:rsidRPr="001A7517">
        <w:t>(Source:  A</w:t>
      </w:r>
      <w:r w:rsidRPr="001A7517">
        <w:rPr>
          <w:szCs w:val="17"/>
        </w:rPr>
        <w:t xml:space="preserve">mended at </w:t>
      </w:r>
      <w:r w:rsidRPr="001A7517">
        <w:t>44 Ill. Reg. 6996, effective April 17, 2020)</w:t>
      </w:r>
    </w:p>
    <w:p w14:paraId="43D93848" w14:textId="77777777" w:rsidR="00551648" w:rsidRPr="001A7517" w:rsidRDefault="00551648" w:rsidP="00551648">
      <w:pPr>
        <w:suppressAutoHyphens/>
        <w:ind w:left="720"/>
      </w:pPr>
    </w:p>
    <w:p w14:paraId="7F5CECA7" w14:textId="091627CD" w:rsidR="00810215" w:rsidRDefault="00810215" w:rsidP="00551648">
      <w:pPr>
        <w:rPr>
          <w:b/>
          <w:bCs/>
        </w:rPr>
      </w:pPr>
      <w:r w:rsidRPr="00551648">
        <w:rPr>
          <w:b/>
          <w:bCs/>
        </w:rPr>
        <w:t>Section 611.385  Treatment Technique for Control of Disinfection Byproduct (DBP) Precursors</w:t>
      </w:r>
    </w:p>
    <w:p w14:paraId="3201A124" w14:textId="77777777" w:rsidR="00551648" w:rsidRPr="00551648" w:rsidRDefault="00551648" w:rsidP="00551648">
      <w:pPr>
        <w:rPr>
          <w:b/>
          <w:bCs/>
        </w:rPr>
      </w:pPr>
    </w:p>
    <w:p w14:paraId="2AEFB1A3" w14:textId="038FA85D" w:rsidR="00810215" w:rsidRDefault="00810215" w:rsidP="00551648">
      <w:pPr>
        <w:suppressAutoHyphens/>
        <w:ind w:left="1440" w:hanging="720"/>
        <w:rPr>
          <w:spacing w:val="-2"/>
        </w:rPr>
      </w:pPr>
      <w:r w:rsidRPr="001A7517">
        <w:rPr>
          <w:spacing w:val="-2"/>
        </w:rPr>
        <w:t>a)</w:t>
      </w:r>
      <w:r w:rsidRPr="001A7517">
        <w:rPr>
          <w:spacing w:val="-2"/>
        </w:rPr>
        <w:tab/>
        <w:t>Applicability</w:t>
      </w:r>
    </w:p>
    <w:p w14:paraId="393AB9CC" w14:textId="77777777" w:rsidR="00551648" w:rsidRPr="001A7517" w:rsidRDefault="00551648" w:rsidP="00551648">
      <w:pPr>
        <w:suppressAutoHyphens/>
        <w:ind w:left="1440" w:hanging="720"/>
        <w:rPr>
          <w:spacing w:val="-2"/>
        </w:rPr>
      </w:pPr>
    </w:p>
    <w:p w14:paraId="487E9481" w14:textId="1CF6A1ED" w:rsidR="00810215" w:rsidRDefault="00810215" w:rsidP="00551648">
      <w:pPr>
        <w:suppressAutoHyphens/>
        <w:ind w:left="2160" w:hanging="720"/>
        <w:rPr>
          <w:spacing w:val="-2"/>
        </w:rPr>
      </w:pPr>
      <w:r w:rsidRPr="001A7517">
        <w:rPr>
          <w:spacing w:val="-2"/>
        </w:rPr>
        <w:t>1)</w:t>
      </w:r>
      <w:r w:rsidRPr="001A7517">
        <w:rPr>
          <w:spacing w:val="-2"/>
        </w:rPr>
        <w:tab/>
        <w:t xml:space="preserve">A Subpart B system supplier using conventional filtration treatment (as defined in Section 611.101) </w:t>
      </w:r>
      <w:r w:rsidRPr="001A7517">
        <w:t xml:space="preserve">must </w:t>
      </w:r>
      <w:r w:rsidRPr="001A7517">
        <w:rPr>
          <w:spacing w:val="-2"/>
        </w:rPr>
        <w:t>operate with enhanced coagulation or enhanced softening to achieve the TOC percent removal levels specified in subsection (b) unless the supplier meets at least one of the alternative compliance standards listed in subsection (a)(2) or (a)(3).</w:t>
      </w:r>
    </w:p>
    <w:p w14:paraId="3CAEBA45" w14:textId="77777777" w:rsidR="00551648" w:rsidRPr="001A7517" w:rsidRDefault="00551648" w:rsidP="00551648">
      <w:pPr>
        <w:suppressAutoHyphens/>
        <w:ind w:left="2160" w:hanging="720"/>
        <w:rPr>
          <w:spacing w:val="-2"/>
        </w:rPr>
      </w:pPr>
    </w:p>
    <w:p w14:paraId="3B13EDFC" w14:textId="162CB340" w:rsidR="00810215" w:rsidRDefault="00810215" w:rsidP="00551648">
      <w:pPr>
        <w:suppressAutoHyphens/>
        <w:ind w:left="2160" w:hanging="720"/>
        <w:rPr>
          <w:spacing w:val="-2"/>
        </w:rPr>
      </w:pPr>
      <w:r w:rsidRPr="001A7517">
        <w:rPr>
          <w:spacing w:val="-2"/>
        </w:rPr>
        <w:t>2)</w:t>
      </w:r>
      <w:r w:rsidRPr="001A7517">
        <w:rPr>
          <w:spacing w:val="-2"/>
        </w:rPr>
        <w:tab/>
        <w:t xml:space="preserve">Alternative compliance standards for enhanced coagulation and enhanced softening systems.  A Subpart B system supplier using conventional filtration treatment may use the alternative compliance standards in subsections (a)(2)(A) through (a)(2)(F) to comply with this Section in lieu of complying with subsection (b).  A supplier </w:t>
      </w:r>
      <w:r w:rsidRPr="001A7517">
        <w:t xml:space="preserve">must </w:t>
      </w:r>
      <w:r w:rsidRPr="001A7517">
        <w:rPr>
          <w:spacing w:val="-2"/>
        </w:rPr>
        <w:t xml:space="preserve">comply with monitoring requirements in </w:t>
      </w:r>
      <w:bookmarkStart w:id="3509" w:name="_Hlk12971806"/>
      <w:r w:rsidRPr="001A7517">
        <w:rPr>
          <w:spacing w:val="-2"/>
        </w:rPr>
        <w:t>Section 611.382(d)</w:t>
      </w:r>
      <w:bookmarkEnd w:id="3509"/>
      <w:r w:rsidRPr="001A7517">
        <w:rPr>
          <w:spacing w:val="-2"/>
        </w:rPr>
        <w:t>.</w:t>
      </w:r>
    </w:p>
    <w:p w14:paraId="4BE54AFB" w14:textId="77777777" w:rsidR="00551648" w:rsidRPr="001A7517" w:rsidRDefault="00551648" w:rsidP="00551648">
      <w:pPr>
        <w:suppressAutoHyphens/>
        <w:ind w:left="2160" w:hanging="720"/>
        <w:rPr>
          <w:spacing w:val="-2"/>
        </w:rPr>
      </w:pPr>
    </w:p>
    <w:p w14:paraId="069D9D37" w14:textId="367A69E2" w:rsidR="00810215" w:rsidRDefault="00810215" w:rsidP="00551648">
      <w:pPr>
        <w:suppressAutoHyphens/>
        <w:ind w:left="2880" w:hanging="720"/>
        <w:rPr>
          <w:spacing w:val="-2"/>
        </w:rPr>
      </w:pPr>
      <w:r w:rsidRPr="001A7517">
        <w:rPr>
          <w:spacing w:val="-2"/>
        </w:rPr>
        <w:lastRenderedPageBreak/>
        <w:t>A)</w:t>
      </w:r>
      <w:r w:rsidRPr="001A7517">
        <w:rPr>
          <w:spacing w:val="-2"/>
        </w:rPr>
        <w:tab/>
        <w:t>The supplier’s source water TOC level, measured according to Section 611.381(d)(3), is less than 2.0 mg/</w:t>
      </w:r>
      <w:r w:rsidRPr="001A7517">
        <w:t>ℓ</w:t>
      </w:r>
      <w:r w:rsidRPr="001A7517">
        <w:rPr>
          <w:spacing w:val="-2"/>
        </w:rPr>
        <w:t>, calculated quarterly as a running annual average.</w:t>
      </w:r>
    </w:p>
    <w:p w14:paraId="113CCFC2" w14:textId="77777777" w:rsidR="00551648" w:rsidRPr="001A7517" w:rsidRDefault="00551648" w:rsidP="00551648">
      <w:pPr>
        <w:suppressAutoHyphens/>
        <w:ind w:left="2880" w:hanging="720"/>
        <w:rPr>
          <w:spacing w:val="-2"/>
        </w:rPr>
      </w:pPr>
    </w:p>
    <w:p w14:paraId="67A4F117" w14:textId="64FAF1FB" w:rsidR="00810215" w:rsidRDefault="00810215" w:rsidP="00551648">
      <w:pPr>
        <w:suppressAutoHyphens/>
        <w:ind w:left="2880" w:hanging="720"/>
        <w:rPr>
          <w:spacing w:val="-2"/>
        </w:rPr>
      </w:pPr>
      <w:r w:rsidRPr="001A7517">
        <w:rPr>
          <w:spacing w:val="-2"/>
        </w:rPr>
        <w:t>B)</w:t>
      </w:r>
      <w:r w:rsidRPr="001A7517">
        <w:rPr>
          <w:spacing w:val="-2"/>
        </w:rPr>
        <w:tab/>
        <w:t>The supplier’s treated water TOC level, measured according to Section 611.381(d)(3), is less than 2.0 mg/</w:t>
      </w:r>
      <w:r w:rsidRPr="001A7517">
        <w:t>ℓ</w:t>
      </w:r>
      <w:r w:rsidRPr="001A7517">
        <w:rPr>
          <w:spacing w:val="-2"/>
        </w:rPr>
        <w:t>, calculated quarterly as a running annual average.</w:t>
      </w:r>
    </w:p>
    <w:p w14:paraId="0A222658" w14:textId="77777777" w:rsidR="00551648" w:rsidRPr="001A7517" w:rsidRDefault="00551648" w:rsidP="00551648">
      <w:pPr>
        <w:suppressAutoHyphens/>
        <w:ind w:left="2880" w:hanging="720"/>
        <w:rPr>
          <w:spacing w:val="-2"/>
        </w:rPr>
      </w:pPr>
    </w:p>
    <w:p w14:paraId="3DC1DC58" w14:textId="5B25B09E" w:rsidR="00810215" w:rsidRDefault="00810215" w:rsidP="00551648">
      <w:pPr>
        <w:suppressAutoHyphens/>
        <w:ind w:left="2880" w:hanging="720"/>
        <w:rPr>
          <w:spacing w:val="-2"/>
        </w:rPr>
      </w:pPr>
      <w:r w:rsidRPr="001A7517">
        <w:rPr>
          <w:spacing w:val="-2"/>
        </w:rPr>
        <w:t>C)</w:t>
      </w:r>
      <w:r w:rsidRPr="001A7517">
        <w:rPr>
          <w:spacing w:val="-2"/>
        </w:rPr>
        <w:tab/>
        <w:t>The supplier’s source water TOC level, measured according to Section 611.381(d)(3), is less than 4.0 mg/</w:t>
      </w:r>
      <w:r w:rsidRPr="001A7517">
        <w:t>ℓ</w:t>
      </w:r>
      <w:r w:rsidRPr="001A7517">
        <w:rPr>
          <w:spacing w:val="-2"/>
        </w:rPr>
        <w:t>, calculated quarterly as a running annual average; the source water alkalinity, measured according to Section 611.381(d)(1), is greater than 60 mg/</w:t>
      </w:r>
      <w:r w:rsidRPr="001A7517">
        <w:t>ℓ</w:t>
      </w:r>
      <w:r w:rsidRPr="001A7517">
        <w:rPr>
          <w:spacing w:val="-2"/>
        </w:rPr>
        <w:t xml:space="preserve"> (as CaCO</w:t>
      </w:r>
      <w:r w:rsidRPr="001A7517">
        <w:rPr>
          <w:spacing w:val="-2"/>
          <w:vertAlign w:val="subscript"/>
        </w:rPr>
        <w:t>3</w:t>
      </w:r>
      <w:r w:rsidRPr="001A7517">
        <w:rPr>
          <w:spacing w:val="-2"/>
        </w:rPr>
        <w:t>), calculated quarterly as a running annual average; and either the TTHM and HAA5 running annual averages are no greater than 0.040 mg/</w:t>
      </w:r>
      <w:r w:rsidRPr="001A7517">
        <w:t>ℓ</w:t>
      </w:r>
      <w:r w:rsidRPr="001A7517">
        <w:rPr>
          <w:spacing w:val="-2"/>
        </w:rPr>
        <w:t xml:space="preserve"> and 0.030 mg/</w:t>
      </w:r>
      <w:r w:rsidRPr="001A7517">
        <w:t>ℓ</w:t>
      </w:r>
      <w:r w:rsidRPr="001A7517">
        <w:rPr>
          <w:spacing w:val="-2"/>
        </w:rPr>
        <w:t>, respectiv</w:t>
      </w:r>
      <w:r w:rsidRPr="001A7517">
        <w:t>ely; or prior to the effective date for compliance in Section 611.380(b), the</w:t>
      </w:r>
      <w:r w:rsidRPr="001A7517">
        <w:rPr>
          <w:spacing w:val="-2"/>
        </w:rPr>
        <w:t xml:space="preserve"> system has made a clear and irrevocable financial commitment</w:t>
      </w:r>
      <w:r w:rsidRPr="001A7517">
        <w:t>,</w:t>
      </w:r>
      <w:r w:rsidRPr="001A7517">
        <w:rPr>
          <w:spacing w:val="-2"/>
        </w:rPr>
        <w:t xml:space="preserve"> not later than the effective date for compliance in Section 611.380(b)</w:t>
      </w:r>
      <w:r w:rsidRPr="001A7517">
        <w:t>,</w:t>
      </w:r>
      <w:r w:rsidRPr="001A7517">
        <w:rPr>
          <w:spacing w:val="-2"/>
        </w:rPr>
        <w:t xml:space="preserve"> to use technologies that will limit the levels of TTHMs and HAA5 to no more than 0.040 mg/</w:t>
      </w:r>
      <w:r w:rsidRPr="001A7517">
        <w:t>ℓ</w:t>
      </w:r>
      <w:r w:rsidRPr="001A7517">
        <w:rPr>
          <w:spacing w:val="-2"/>
        </w:rPr>
        <w:t xml:space="preserve"> and 0.030 mg/</w:t>
      </w:r>
      <w:r w:rsidRPr="001A7517">
        <w:t>ℓ</w:t>
      </w:r>
      <w:r w:rsidRPr="001A7517">
        <w:rPr>
          <w:spacing w:val="-2"/>
        </w:rPr>
        <w:t xml:space="preserve">, respectively.  A supplier </w:t>
      </w:r>
      <w:r w:rsidRPr="001A7517">
        <w:t xml:space="preserve">must </w:t>
      </w:r>
      <w:r w:rsidRPr="001A7517">
        <w:rPr>
          <w:spacing w:val="-2"/>
        </w:rPr>
        <w:t>submit evidence of a clear and irrevocable financial commitment, in addition to a schedule containing milestones and periodic progress reports for installation and operation of appropriate technologies, to the Agency</w:t>
      </w:r>
      <w:r w:rsidRPr="001A7517">
        <w:t xml:space="preserve"> for approval</w:t>
      </w:r>
      <w:r w:rsidRPr="001A7517">
        <w:rPr>
          <w:spacing w:val="-2"/>
        </w:rPr>
        <w:t>.  Failure to install and operate these technologies by the date in the approved schedule will constitute a violation of an NPDWR.</w:t>
      </w:r>
    </w:p>
    <w:p w14:paraId="4FF59582" w14:textId="77777777" w:rsidR="00551648" w:rsidRPr="001A7517" w:rsidRDefault="00551648" w:rsidP="00551648">
      <w:pPr>
        <w:suppressAutoHyphens/>
        <w:ind w:left="2880" w:hanging="720"/>
        <w:rPr>
          <w:spacing w:val="-2"/>
        </w:rPr>
      </w:pPr>
    </w:p>
    <w:p w14:paraId="512EDF67" w14:textId="1B757C96" w:rsidR="00810215" w:rsidRDefault="00810215" w:rsidP="00551648">
      <w:pPr>
        <w:suppressAutoHyphens/>
        <w:ind w:left="2880" w:hanging="720"/>
        <w:rPr>
          <w:spacing w:val="-2"/>
        </w:rPr>
      </w:pPr>
      <w:r w:rsidRPr="001A7517">
        <w:rPr>
          <w:spacing w:val="-2"/>
        </w:rPr>
        <w:t>D)</w:t>
      </w:r>
      <w:r w:rsidRPr="001A7517">
        <w:rPr>
          <w:spacing w:val="-2"/>
        </w:rPr>
        <w:tab/>
        <w:t>The TTHM and HAA5 running annual averages are no greater than 0.040 mg/</w:t>
      </w:r>
      <w:r w:rsidRPr="001A7517">
        <w:t>ℓ</w:t>
      </w:r>
      <w:r w:rsidRPr="001A7517">
        <w:rPr>
          <w:spacing w:val="-2"/>
        </w:rPr>
        <w:t xml:space="preserve"> and 0.030 mg/</w:t>
      </w:r>
      <w:r w:rsidRPr="001A7517">
        <w:t>ℓ</w:t>
      </w:r>
      <w:r w:rsidRPr="001A7517">
        <w:rPr>
          <w:spacing w:val="-2"/>
        </w:rPr>
        <w:t>, respectively, and the supplier uses only chlorine for primary disinfection and maintenance of a residual in the distribution system.</w:t>
      </w:r>
    </w:p>
    <w:p w14:paraId="0539509A" w14:textId="77777777" w:rsidR="00551648" w:rsidRPr="001A7517" w:rsidRDefault="00551648" w:rsidP="00551648">
      <w:pPr>
        <w:suppressAutoHyphens/>
        <w:ind w:left="2880" w:hanging="720"/>
        <w:rPr>
          <w:spacing w:val="-2"/>
        </w:rPr>
      </w:pPr>
    </w:p>
    <w:p w14:paraId="0E3D5E8B" w14:textId="02D5C9B7" w:rsidR="00810215" w:rsidRDefault="00810215" w:rsidP="00551648">
      <w:pPr>
        <w:suppressAutoHyphens/>
        <w:ind w:left="2880" w:hanging="720"/>
        <w:rPr>
          <w:spacing w:val="-2"/>
        </w:rPr>
      </w:pPr>
      <w:r w:rsidRPr="001A7517">
        <w:rPr>
          <w:spacing w:val="-2"/>
        </w:rPr>
        <w:t>E)</w:t>
      </w:r>
      <w:r w:rsidRPr="001A7517">
        <w:rPr>
          <w:spacing w:val="-2"/>
        </w:rPr>
        <w:tab/>
        <w:t xml:space="preserve">The supplier’s source water SUVA, prior to any treatment and measured monthly according to Section 611.381(d)(4), is less than or equal to 2.0 </w:t>
      </w:r>
      <w:r w:rsidRPr="001A7517">
        <w:t>ℓ</w:t>
      </w:r>
      <w:r w:rsidRPr="001A7517">
        <w:rPr>
          <w:spacing w:val="-2"/>
        </w:rPr>
        <w:t>/mg</w:t>
      </w:r>
      <w:r w:rsidRPr="001A7517">
        <w:rPr>
          <w:spacing w:val="-2"/>
        </w:rPr>
        <w:noBreakHyphen/>
        <w:t>m, calculated quarterly as a running annual average.</w:t>
      </w:r>
    </w:p>
    <w:p w14:paraId="5EA81392" w14:textId="77777777" w:rsidR="00551648" w:rsidRPr="001A7517" w:rsidRDefault="00551648" w:rsidP="00551648">
      <w:pPr>
        <w:suppressAutoHyphens/>
        <w:ind w:left="2880" w:hanging="720"/>
        <w:rPr>
          <w:spacing w:val="-2"/>
        </w:rPr>
      </w:pPr>
    </w:p>
    <w:p w14:paraId="6360B217" w14:textId="7103BAAE" w:rsidR="00810215" w:rsidRDefault="00810215" w:rsidP="00551648">
      <w:pPr>
        <w:suppressAutoHyphens/>
        <w:ind w:left="2880" w:hanging="720"/>
        <w:rPr>
          <w:spacing w:val="-2"/>
        </w:rPr>
      </w:pPr>
      <w:r w:rsidRPr="001A7517">
        <w:rPr>
          <w:spacing w:val="-2"/>
        </w:rPr>
        <w:t>F)</w:t>
      </w:r>
      <w:r w:rsidRPr="001A7517">
        <w:rPr>
          <w:spacing w:val="-2"/>
        </w:rPr>
        <w:tab/>
        <w:t xml:space="preserve">The supplier’s finished water SUVA, measured monthly according to Section 611.381(d)(4), is less than or equal to </w:t>
      </w:r>
      <w:bookmarkStart w:id="3510" w:name="_Hlk36925821"/>
      <w:r w:rsidRPr="001A7517">
        <w:rPr>
          <w:spacing w:val="-2"/>
        </w:rPr>
        <w:t xml:space="preserve">2.0 </w:t>
      </w:r>
      <w:r w:rsidRPr="001A7517">
        <w:t>ℓ</w:t>
      </w:r>
      <w:r w:rsidRPr="001A7517">
        <w:rPr>
          <w:spacing w:val="-2"/>
        </w:rPr>
        <w:t>/mg</w:t>
      </w:r>
      <w:r w:rsidRPr="001A7517">
        <w:rPr>
          <w:spacing w:val="-2"/>
        </w:rPr>
        <w:noBreakHyphen/>
        <w:t>m</w:t>
      </w:r>
      <w:bookmarkEnd w:id="3510"/>
      <w:r w:rsidRPr="001A7517">
        <w:rPr>
          <w:spacing w:val="-2"/>
        </w:rPr>
        <w:t>, calculated quarterly as a running annual average.</w:t>
      </w:r>
    </w:p>
    <w:p w14:paraId="371D929B" w14:textId="77777777" w:rsidR="00551648" w:rsidRPr="001A7517" w:rsidRDefault="00551648" w:rsidP="00551648">
      <w:pPr>
        <w:suppressAutoHyphens/>
        <w:ind w:left="2880" w:hanging="720"/>
        <w:rPr>
          <w:spacing w:val="-2"/>
        </w:rPr>
      </w:pPr>
    </w:p>
    <w:p w14:paraId="0F9D1405" w14:textId="048E25A5" w:rsidR="00810215" w:rsidRDefault="00810215" w:rsidP="00551648">
      <w:pPr>
        <w:suppressAutoHyphens/>
        <w:ind w:left="2160" w:hanging="720"/>
        <w:rPr>
          <w:spacing w:val="-2"/>
        </w:rPr>
      </w:pPr>
      <w:r w:rsidRPr="001A7517">
        <w:rPr>
          <w:spacing w:val="-2"/>
        </w:rPr>
        <w:t>3)</w:t>
      </w:r>
      <w:r w:rsidRPr="001A7517">
        <w:rPr>
          <w:spacing w:val="-2"/>
        </w:rPr>
        <w:tab/>
        <w:t xml:space="preserve">Additional Alternative Compliance Standards for Softening Systems.  A supplier practicing enhanced softening that cannot achieve the TOC removals required by subsection (b)(2) may use the alternative compliance standards in subsections (a)(3)(A) and (a)(3)(B) in lieu of complying with </w:t>
      </w:r>
      <w:r w:rsidRPr="001A7517">
        <w:rPr>
          <w:spacing w:val="-2"/>
        </w:rPr>
        <w:lastRenderedPageBreak/>
        <w:t xml:space="preserve">subsection (b).  A supplier </w:t>
      </w:r>
      <w:r w:rsidRPr="001A7517">
        <w:t xml:space="preserve">must </w:t>
      </w:r>
      <w:r w:rsidRPr="001A7517">
        <w:rPr>
          <w:spacing w:val="-2"/>
        </w:rPr>
        <w:t>comply with monitoring requirements in Section 611.382(d).  The alternative compliance standards are as follows:</w:t>
      </w:r>
    </w:p>
    <w:p w14:paraId="5C46DC8B" w14:textId="77777777" w:rsidR="00551648" w:rsidRPr="001A7517" w:rsidRDefault="00551648" w:rsidP="00551648">
      <w:pPr>
        <w:suppressAutoHyphens/>
        <w:ind w:left="2160" w:hanging="720"/>
        <w:rPr>
          <w:spacing w:val="-2"/>
        </w:rPr>
      </w:pPr>
    </w:p>
    <w:p w14:paraId="1815BA5E" w14:textId="2587A3C7" w:rsidR="00810215" w:rsidRDefault="00810215" w:rsidP="00551648">
      <w:pPr>
        <w:suppressAutoHyphens/>
        <w:ind w:left="2880" w:hanging="720"/>
      </w:pPr>
      <w:r w:rsidRPr="001A7517">
        <w:rPr>
          <w:spacing w:val="-2"/>
        </w:rPr>
        <w:t>A)</w:t>
      </w:r>
      <w:r w:rsidRPr="001A7517">
        <w:rPr>
          <w:spacing w:val="-2"/>
        </w:rPr>
        <w:tab/>
        <w:t>The supplier may undertake softening that results in lowering the treated water alkalinity to less than 60 mg/</w:t>
      </w:r>
      <w:r w:rsidRPr="001A7517">
        <w:t>ℓ</w:t>
      </w:r>
      <w:r w:rsidRPr="001A7517">
        <w:rPr>
          <w:spacing w:val="-2"/>
        </w:rPr>
        <w:t xml:space="preserve"> (as CaCO</w:t>
      </w:r>
      <w:r w:rsidRPr="001A7517">
        <w:rPr>
          <w:spacing w:val="-2"/>
          <w:vertAlign w:val="subscript"/>
        </w:rPr>
        <w:t>3</w:t>
      </w:r>
      <w:r w:rsidRPr="001A7517">
        <w:rPr>
          <w:spacing w:val="-2"/>
        </w:rPr>
        <w:t>), measured monthly according to Section 611.381(d)(1) and calculated quarterly as a running annual average</w:t>
      </w:r>
      <w:r w:rsidRPr="001A7517">
        <w:t>; and</w:t>
      </w:r>
    </w:p>
    <w:p w14:paraId="5FA2D69E" w14:textId="77777777" w:rsidR="00551648" w:rsidRPr="001A7517" w:rsidRDefault="00551648" w:rsidP="00551648">
      <w:pPr>
        <w:suppressAutoHyphens/>
        <w:ind w:left="2880" w:hanging="720"/>
        <w:rPr>
          <w:spacing w:val="-2"/>
        </w:rPr>
      </w:pPr>
    </w:p>
    <w:p w14:paraId="149B649E" w14:textId="051056A0" w:rsidR="00810215" w:rsidRDefault="00810215" w:rsidP="00551648">
      <w:pPr>
        <w:suppressAutoHyphens/>
        <w:ind w:left="2880" w:hanging="720"/>
        <w:rPr>
          <w:spacing w:val="-2"/>
        </w:rPr>
      </w:pPr>
      <w:r w:rsidRPr="001A7517">
        <w:rPr>
          <w:spacing w:val="-2"/>
        </w:rPr>
        <w:t>B)</w:t>
      </w:r>
      <w:r w:rsidRPr="001A7517">
        <w:rPr>
          <w:spacing w:val="-2"/>
        </w:rPr>
        <w:tab/>
        <w:t>The supplier may undertake softening that results in removing at least 10 mg/</w:t>
      </w:r>
      <w:r w:rsidRPr="001A7517">
        <w:t>ℓ</w:t>
      </w:r>
      <w:r w:rsidRPr="001A7517">
        <w:rPr>
          <w:spacing w:val="-2"/>
        </w:rPr>
        <w:t xml:space="preserve"> of magnesium hardness (as CaCO</w:t>
      </w:r>
      <w:r w:rsidRPr="001A7517">
        <w:rPr>
          <w:spacing w:val="-2"/>
          <w:vertAlign w:val="subscript"/>
        </w:rPr>
        <w:t>3</w:t>
      </w:r>
      <w:r w:rsidRPr="001A7517">
        <w:rPr>
          <w:spacing w:val="-2"/>
        </w:rPr>
        <w:t xml:space="preserve">), measured monthly </w:t>
      </w:r>
      <w:r w:rsidRPr="001A7517">
        <w:rPr>
          <w:rFonts w:ascii="Melior" w:hAnsi="Melior"/>
          <w:szCs w:val="18"/>
        </w:rPr>
        <w:t xml:space="preserve">according to </w:t>
      </w:r>
      <w:r w:rsidRPr="001A7517">
        <w:rPr>
          <w:szCs w:val="18"/>
        </w:rPr>
        <w:t>Section 611.381</w:t>
      </w:r>
      <w:r w:rsidRPr="001A7517">
        <w:rPr>
          <w:rFonts w:ascii="Melior" w:hAnsi="Melior"/>
          <w:szCs w:val="18"/>
        </w:rPr>
        <w:t xml:space="preserve">(d)(6) </w:t>
      </w:r>
      <w:r w:rsidRPr="001A7517">
        <w:rPr>
          <w:spacing w:val="-2"/>
        </w:rPr>
        <w:t>and calculated quarterly as a running annual average.</w:t>
      </w:r>
    </w:p>
    <w:p w14:paraId="5ED7E8D4" w14:textId="77777777" w:rsidR="00551648" w:rsidRPr="001A7517" w:rsidRDefault="00551648" w:rsidP="00551648">
      <w:pPr>
        <w:suppressAutoHyphens/>
        <w:ind w:left="2880" w:hanging="720"/>
        <w:rPr>
          <w:spacing w:val="-2"/>
        </w:rPr>
      </w:pPr>
    </w:p>
    <w:p w14:paraId="286FCB48" w14:textId="1C0BE968" w:rsidR="00810215" w:rsidRDefault="00810215" w:rsidP="00551648">
      <w:pPr>
        <w:suppressAutoHyphens/>
        <w:ind w:left="1440" w:hanging="720"/>
        <w:rPr>
          <w:spacing w:val="-2"/>
        </w:rPr>
      </w:pPr>
      <w:r w:rsidRPr="001A7517">
        <w:rPr>
          <w:spacing w:val="-2"/>
        </w:rPr>
        <w:t>b)</w:t>
      </w:r>
      <w:r w:rsidRPr="001A7517">
        <w:rPr>
          <w:spacing w:val="-2"/>
        </w:rPr>
        <w:tab/>
        <w:t>Enhanced Coagulation and Enhanced Softening Performance Requirements</w:t>
      </w:r>
    </w:p>
    <w:p w14:paraId="1005ECD6" w14:textId="77777777" w:rsidR="00551648" w:rsidRPr="001A7517" w:rsidRDefault="00551648" w:rsidP="00551648">
      <w:pPr>
        <w:suppressAutoHyphens/>
        <w:ind w:left="1440" w:hanging="720"/>
        <w:rPr>
          <w:spacing w:val="-2"/>
        </w:rPr>
      </w:pPr>
    </w:p>
    <w:p w14:paraId="63D64060" w14:textId="4E5B8E1B" w:rsidR="00810215" w:rsidRDefault="00810215" w:rsidP="00551648">
      <w:pPr>
        <w:suppressAutoHyphens/>
        <w:ind w:left="2160" w:hanging="720"/>
        <w:rPr>
          <w:spacing w:val="-2"/>
        </w:rPr>
      </w:pPr>
      <w:r w:rsidRPr="001A7517">
        <w:rPr>
          <w:spacing w:val="-2"/>
        </w:rPr>
        <w:t>1)</w:t>
      </w:r>
      <w:r w:rsidRPr="001A7517">
        <w:rPr>
          <w:spacing w:val="-2"/>
        </w:rPr>
        <w:tab/>
        <w:t xml:space="preserve">A supplier </w:t>
      </w:r>
      <w:r w:rsidRPr="001A7517">
        <w:t xml:space="preserve">must </w:t>
      </w:r>
      <w:r w:rsidRPr="001A7517">
        <w:rPr>
          <w:spacing w:val="-2"/>
        </w:rPr>
        <w:t xml:space="preserve">achieve the percent reduction of TOC specified in subsection (b)(2) between the source water and the combined filter effluent, unless the </w:t>
      </w:r>
      <w:r w:rsidRPr="001A7517">
        <w:t xml:space="preserve">Agency </w:t>
      </w:r>
      <w:r w:rsidRPr="001A7517">
        <w:rPr>
          <w:spacing w:val="-2"/>
        </w:rPr>
        <w:t>approves a supplier’s request for alternate minimum TOC removal (Step 2) requirements under subsection (b)(3).</w:t>
      </w:r>
    </w:p>
    <w:p w14:paraId="29677CC6" w14:textId="77777777" w:rsidR="00551648" w:rsidRPr="001A7517" w:rsidRDefault="00551648" w:rsidP="00551648">
      <w:pPr>
        <w:suppressAutoHyphens/>
        <w:ind w:left="2160" w:hanging="720"/>
        <w:rPr>
          <w:spacing w:val="-2"/>
        </w:rPr>
      </w:pPr>
    </w:p>
    <w:p w14:paraId="2D709E0F" w14:textId="022A7F0A" w:rsidR="00810215" w:rsidRDefault="00810215" w:rsidP="00551648">
      <w:pPr>
        <w:suppressAutoHyphens/>
        <w:ind w:left="2160" w:hanging="720"/>
        <w:rPr>
          <w:spacing w:val="-2"/>
        </w:rPr>
      </w:pPr>
      <w:r w:rsidRPr="001A7517">
        <w:rPr>
          <w:spacing w:val="-2"/>
        </w:rPr>
        <w:t>2)</w:t>
      </w:r>
      <w:r w:rsidRPr="001A7517">
        <w:rPr>
          <w:spacing w:val="-2"/>
        </w:rPr>
        <w:tab/>
        <w:t xml:space="preserve">Required </w:t>
      </w:r>
      <w:r w:rsidRPr="001A7517">
        <w:t xml:space="preserve">Step 1 </w:t>
      </w:r>
      <w:r w:rsidRPr="001A7517">
        <w:rPr>
          <w:spacing w:val="-2"/>
        </w:rPr>
        <w:t xml:space="preserve">TOC reductions, indicated in the following table, are based upon specified source water parameters measured in accordance with Section </w:t>
      </w:r>
      <w:r w:rsidRPr="001A7517">
        <w:t>611.381(d)</w:t>
      </w:r>
      <w:r w:rsidRPr="001A7517">
        <w:rPr>
          <w:spacing w:val="-2"/>
        </w:rPr>
        <w:t xml:space="preserve">.  A supplier practicing softening </w:t>
      </w:r>
      <w:r w:rsidRPr="001A7517">
        <w:t xml:space="preserve">must </w:t>
      </w:r>
      <w:r w:rsidRPr="001A7517">
        <w:rPr>
          <w:spacing w:val="-2"/>
        </w:rPr>
        <w:t>meet the Step 1 TOC reductions in the far-right column (</w:t>
      </w:r>
      <w:r w:rsidRPr="001A7517">
        <w:t>s</w:t>
      </w:r>
      <w:r w:rsidRPr="001A7517">
        <w:rPr>
          <w:spacing w:val="-2"/>
        </w:rPr>
        <w:t>ource water alkalinity</w:t>
      </w:r>
      <w:r w:rsidRPr="001A7517">
        <w:t xml:space="preserve"> greater than </w:t>
      </w:r>
      <w:r w:rsidRPr="001A7517">
        <w:rPr>
          <w:spacing w:val="-2"/>
        </w:rPr>
        <w:t>120 mg/</w:t>
      </w:r>
      <w:r w:rsidRPr="001A7517">
        <w:t>ℓ</w:t>
      </w:r>
      <w:r w:rsidRPr="001A7517">
        <w:rPr>
          <w:spacing w:val="-2"/>
        </w:rPr>
        <w:t xml:space="preserve">) for the </w:t>
      </w:r>
      <w:r w:rsidRPr="001A7517">
        <w:t xml:space="preserve">following </w:t>
      </w:r>
      <w:r w:rsidRPr="001A7517">
        <w:rPr>
          <w:spacing w:val="-2"/>
        </w:rPr>
        <w:t>specified source water TOC:</w:t>
      </w:r>
    </w:p>
    <w:p w14:paraId="33586492" w14:textId="77777777" w:rsidR="00551648" w:rsidRPr="001A7517" w:rsidRDefault="00551648" w:rsidP="00551648">
      <w:pPr>
        <w:suppressAutoHyphens/>
        <w:ind w:left="2160" w:hanging="720"/>
        <w:rPr>
          <w:spacing w:val="-2"/>
        </w:rPr>
      </w:pPr>
    </w:p>
    <w:p w14:paraId="546C709A" w14:textId="611708E2" w:rsidR="00810215" w:rsidRDefault="00810215" w:rsidP="00551648">
      <w:pPr>
        <w:suppressAutoHyphens/>
        <w:ind w:left="2160"/>
        <w:jc w:val="center"/>
        <w:rPr>
          <w:spacing w:val="-1"/>
          <w:vertAlign w:val="superscript"/>
        </w:rPr>
      </w:pPr>
      <w:r w:rsidRPr="001A7517">
        <w:rPr>
          <w:spacing w:val="-1"/>
        </w:rPr>
        <w:t xml:space="preserve">Step 1 Required Removal of TOC by Enhanced Coagulation and Enhanced Softening for a Subpart B System </w:t>
      </w:r>
      <w:r w:rsidRPr="001A7517">
        <w:rPr>
          <w:spacing w:val="-2"/>
        </w:rPr>
        <w:t xml:space="preserve">Supplier </w:t>
      </w:r>
      <w:r w:rsidRPr="001A7517">
        <w:rPr>
          <w:spacing w:val="-1"/>
        </w:rPr>
        <w:t>Using Conventional Treatment</w:t>
      </w:r>
      <w:r w:rsidRPr="001A7517">
        <w:rPr>
          <w:spacing w:val="-1"/>
          <w:vertAlign w:val="superscript"/>
        </w:rPr>
        <w:t>1,2</w:t>
      </w:r>
    </w:p>
    <w:p w14:paraId="4BBCC0C2" w14:textId="77777777" w:rsidR="00551648" w:rsidRPr="001A7517" w:rsidRDefault="00551648" w:rsidP="00551648">
      <w:pPr>
        <w:suppressAutoHyphens/>
        <w:ind w:left="2160"/>
        <w:jc w:val="center"/>
        <w:rPr>
          <w:spacing w:val="-1"/>
          <w:vertAlign w:val="superscript"/>
        </w:rPr>
      </w:pPr>
    </w:p>
    <w:tbl>
      <w:tblPr>
        <w:tblW w:w="0" w:type="auto"/>
        <w:tblInd w:w="2160" w:type="dxa"/>
        <w:tblLayout w:type="fixed"/>
        <w:tblLook w:val="0000" w:firstRow="0" w:lastRow="0" w:firstColumn="0" w:lastColumn="0" w:noHBand="0" w:noVBand="0"/>
      </w:tblPr>
      <w:tblGrid>
        <w:gridCol w:w="1989"/>
        <w:gridCol w:w="1989"/>
        <w:gridCol w:w="1815"/>
        <w:gridCol w:w="1605"/>
      </w:tblGrid>
      <w:tr w:rsidR="00810215" w:rsidRPr="001A7517" w14:paraId="1B4E204E" w14:textId="77777777" w:rsidTr="00623210">
        <w:tc>
          <w:tcPr>
            <w:tcW w:w="1989" w:type="dxa"/>
          </w:tcPr>
          <w:p w14:paraId="5F28A4E7" w14:textId="77777777" w:rsidR="00810215" w:rsidRPr="001A7517" w:rsidRDefault="00810215" w:rsidP="00623210">
            <w:pPr>
              <w:suppressAutoHyphens/>
              <w:rPr>
                <w:spacing w:val="-1"/>
              </w:rPr>
            </w:pPr>
            <w:r w:rsidRPr="001A7517">
              <w:rPr>
                <w:spacing w:val="-1"/>
              </w:rPr>
              <w:t>Source</w:t>
            </w:r>
            <w:r w:rsidRPr="001A7517">
              <w:rPr>
                <w:spacing w:val="-1"/>
              </w:rPr>
              <w:noBreakHyphen/>
              <w:t>water TOC, mg/</w:t>
            </w:r>
            <w:r w:rsidRPr="001A7517">
              <w:t>ℓ</w:t>
            </w:r>
          </w:p>
        </w:tc>
        <w:tc>
          <w:tcPr>
            <w:tcW w:w="5409" w:type="dxa"/>
            <w:gridSpan w:val="3"/>
            <w:vAlign w:val="bottom"/>
          </w:tcPr>
          <w:p w14:paraId="354B0D68" w14:textId="77777777" w:rsidR="00810215" w:rsidRPr="001A7517" w:rsidRDefault="00810215" w:rsidP="00623210">
            <w:pPr>
              <w:suppressAutoHyphens/>
              <w:rPr>
                <w:spacing w:val="-1"/>
              </w:rPr>
            </w:pPr>
            <w:r w:rsidRPr="001A7517">
              <w:rPr>
                <w:spacing w:val="-1"/>
              </w:rPr>
              <w:t>Source</w:t>
            </w:r>
            <w:r w:rsidRPr="001A7517">
              <w:rPr>
                <w:spacing w:val="-1"/>
              </w:rPr>
              <w:noBreakHyphen/>
              <w:t>water alkalinity, mg/</w:t>
            </w:r>
            <w:r w:rsidRPr="001A7517">
              <w:t>ℓ</w:t>
            </w:r>
            <w:r w:rsidRPr="001A7517">
              <w:rPr>
                <w:spacing w:val="-1"/>
              </w:rPr>
              <w:t xml:space="preserve"> as CaCO</w:t>
            </w:r>
            <w:r w:rsidRPr="001A7517">
              <w:rPr>
                <w:spacing w:val="-1"/>
                <w:vertAlign w:val="subscript"/>
              </w:rPr>
              <w:t>3</w:t>
            </w:r>
          </w:p>
        </w:tc>
      </w:tr>
      <w:tr w:rsidR="00810215" w:rsidRPr="001A7517" w14:paraId="21475197" w14:textId="77777777" w:rsidTr="00623210">
        <w:tc>
          <w:tcPr>
            <w:tcW w:w="1989" w:type="dxa"/>
          </w:tcPr>
          <w:p w14:paraId="1F3A1BCB" w14:textId="77777777" w:rsidR="00810215" w:rsidRPr="001A7517" w:rsidRDefault="00810215" w:rsidP="00623210">
            <w:pPr>
              <w:suppressAutoHyphens/>
              <w:rPr>
                <w:spacing w:val="-1"/>
              </w:rPr>
            </w:pPr>
          </w:p>
        </w:tc>
        <w:tc>
          <w:tcPr>
            <w:tcW w:w="1989" w:type="dxa"/>
          </w:tcPr>
          <w:p w14:paraId="1348EADA" w14:textId="77777777" w:rsidR="00810215" w:rsidRPr="001A7517" w:rsidRDefault="00810215" w:rsidP="00623210">
            <w:pPr>
              <w:suppressAutoHyphens/>
              <w:rPr>
                <w:spacing w:val="-1"/>
              </w:rPr>
            </w:pPr>
            <w:r w:rsidRPr="001A7517">
              <w:rPr>
                <w:spacing w:val="-1"/>
              </w:rPr>
              <w:t>0-60</w:t>
            </w:r>
          </w:p>
        </w:tc>
        <w:tc>
          <w:tcPr>
            <w:tcW w:w="1815" w:type="dxa"/>
          </w:tcPr>
          <w:p w14:paraId="6F667832" w14:textId="77777777" w:rsidR="00810215" w:rsidRPr="001A7517" w:rsidRDefault="00810215" w:rsidP="00623210">
            <w:pPr>
              <w:suppressAutoHyphens/>
              <w:rPr>
                <w:spacing w:val="-1"/>
              </w:rPr>
            </w:pPr>
            <w:r w:rsidRPr="001A7517">
              <w:t>&gt;</w:t>
            </w:r>
            <w:r w:rsidRPr="001A7517">
              <w:rPr>
                <w:spacing w:val="-1"/>
              </w:rPr>
              <w:t>60-120</w:t>
            </w:r>
          </w:p>
        </w:tc>
        <w:tc>
          <w:tcPr>
            <w:tcW w:w="1605" w:type="dxa"/>
          </w:tcPr>
          <w:p w14:paraId="491E0F8C" w14:textId="77777777" w:rsidR="00810215" w:rsidRPr="001A7517" w:rsidRDefault="00810215" w:rsidP="00623210">
            <w:pPr>
              <w:suppressAutoHyphens/>
              <w:rPr>
                <w:spacing w:val="-1"/>
              </w:rPr>
            </w:pPr>
            <w:r w:rsidRPr="001A7517">
              <w:rPr>
                <w:spacing w:val="-1"/>
              </w:rPr>
              <w:t>&gt;120</w:t>
            </w:r>
            <w:r w:rsidRPr="001A7517">
              <w:rPr>
                <w:spacing w:val="-1"/>
                <w:vertAlign w:val="superscript"/>
              </w:rPr>
              <w:t>3</w:t>
            </w:r>
          </w:p>
        </w:tc>
      </w:tr>
      <w:tr w:rsidR="00810215" w:rsidRPr="001A7517" w14:paraId="08654960" w14:textId="77777777" w:rsidTr="00623210">
        <w:tc>
          <w:tcPr>
            <w:tcW w:w="1989" w:type="dxa"/>
          </w:tcPr>
          <w:p w14:paraId="4811DEA1" w14:textId="77777777" w:rsidR="00810215" w:rsidRPr="001A7517" w:rsidRDefault="00810215" w:rsidP="00623210">
            <w:pPr>
              <w:suppressAutoHyphens/>
              <w:rPr>
                <w:spacing w:val="-1"/>
              </w:rPr>
            </w:pPr>
          </w:p>
        </w:tc>
        <w:tc>
          <w:tcPr>
            <w:tcW w:w="1989" w:type="dxa"/>
          </w:tcPr>
          <w:p w14:paraId="709698FB" w14:textId="77777777" w:rsidR="00810215" w:rsidRPr="001A7517" w:rsidRDefault="00810215" w:rsidP="00623210">
            <w:pPr>
              <w:suppressAutoHyphens/>
              <w:rPr>
                <w:spacing w:val="-1"/>
              </w:rPr>
            </w:pPr>
          </w:p>
        </w:tc>
        <w:tc>
          <w:tcPr>
            <w:tcW w:w="1815" w:type="dxa"/>
          </w:tcPr>
          <w:p w14:paraId="5C77D4DC" w14:textId="77777777" w:rsidR="00810215" w:rsidRPr="001A7517" w:rsidRDefault="00810215" w:rsidP="00623210">
            <w:pPr>
              <w:suppressAutoHyphens/>
              <w:rPr>
                <w:spacing w:val="-1"/>
              </w:rPr>
            </w:pPr>
          </w:p>
        </w:tc>
        <w:tc>
          <w:tcPr>
            <w:tcW w:w="1605" w:type="dxa"/>
          </w:tcPr>
          <w:p w14:paraId="7C2DE98A" w14:textId="77777777" w:rsidR="00810215" w:rsidRPr="001A7517" w:rsidRDefault="00810215" w:rsidP="00623210">
            <w:pPr>
              <w:suppressAutoHyphens/>
              <w:rPr>
                <w:spacing w:val="-1"/>
              </w:rPr>
            </w:pPr>
          </w:p>
        </w:tc>
      </w:tr>
      <w:tr w:rsidR="00810215" w:rsidRPr="001A7517" w14:paraId="76F22FCD" w14:textId="77777777" w:rsidTr="00623210">
        <w:tc>
          <w:tcPr>
            <w:tcW w:w="1989" w:type="dxa"/>
          </w:tcPr>
          <w:p w14:paraId="30BC8D44" w14:textId="77777777" w:rsidR="00810215" w:rsidRPr="001A7517" w:rsidRDefault="00810215" w:rsidP="00623210">
            <w:pPr>
              <w:suppressAutoHyphens/>
              <w:rPr>
                <w:spacing w:val="-1"/>
              </w:rPr>
            </w:pPr>
            <w:r w:rsidRPr="001A7517">
              <w:rPr>
                <w:spacing w:val="-1"/>
              </w:rPr>
              <w:t>&gt;2.0</w:t>
            </w:r>
            <w:r w:rsidRPr="001A7517">
              <w:rPr>
                <w:spacing w:val="-1"/>
              </w:rPr>
              <w:noBreakHyphen/>
              <w:t>4.0</w:t>
            </w:r>
          </w:p>
        </w:tc>
        <w:tc>
          <w:tcPr>
            <w:tcW w:w="1989" w:type="dxa"/>
          </w:tcPr>
          <w:p w14:paraId="4C8435AE" w14:textId="77777777" w:rsidR="00810215" w:rsidRPr="001A7517" w:rsidRDefault="00810215" w:rsidP="00623210">
            <w:pPr>
              <w:suppressAutoHyphens/>
              <w:rPr>
                <w:spacing w:val="-1"/>
              </w:rPr>
            </w:pPr>
            <w:r w:rsidRPr="001A7517">
              <w:rPr>
                <w:spacing w:val="-1"/>
              </w:rPr>
              <w:t>35.0%</w:t>
            </w:r>
          </w:p>
        </w:tc>
        <w:tc>
          <w:tcPr>
            <w:tcW w:w="1815" w:type="dxa"/>
          </w:tcPr>
          <w:p w14:paraId="070C3519" w14:textId="77777777" w:rsidR="00810215" w:rsidRPr="001A7517" w:rsidRDefault="00810215" w:rsidP="00623210">
            <w:pPr>
              <w:suppressAutoHyphens/>
              <w:rPr>
                <w:spacing w:val="-1"/>
              </w:rPr>
            </w:pPr>
            <w:r w:rsidRPr="001A7517">
              <w:rPr>
                <w:spacing w:val="-1"/>
              </w:rPr>
              <w:t>25.0%</w:t>
            </w:r>
          </w:p>
        </w:tc>
        <w:tc>
          <w:tcPr>
            <w:tcW w:w="1605" w:type="dxa"/>
          </w:tcPr>
          <w:p w14:paraId="7A5DAE3C" w14:textId="77777777" w:rsidR="00810215" w:rsidRPr="001A7517" w:rsidRDefault="00810215" w:rsidP="00623210">
            <w:pPr>
              <w:suppressAutoHyphens/>
              <w:rPr>
                <w:spacing w:val="-1"/>
              </w:rPr>
            </w:pPr>
            <w:r w:rsidRPr="001A7517">
              <w:rPr>
                <w:spacing w:val="-1"/>
              </w:rPr>
              <w:t>15.0%</w:t>
            </w:r>
          </w:p>
        </w:tc>
      </w:tr>
      <w:tr w:rsidR="00810215" w:rsidRPr="001A7517" w14:paraId="65549DE4" w14:textId="77777777" w:rsidTr="00623210">
        <w:tc>
          <w:tcPr>
            <w:tcW w:w="1989" w:type="dxa"/>
          </w:tcPr>
          <w:p w14:paraId="4420BCFD" w14:textId="77777777" w:rsidR="00810215" w:rsidRPr="001A7517" w:rsidRDefault="00810215" w:rsidP="00623210">
            <w:pPr>
              <w:suppressAutoHyphens/>
              <w:rPr>
                <w:spacing w:val="-1"/>
              </w:rPr>
            </w:pPr>
            <w:r w:rsidRPr="001A7517">
              <w:rPr>
                <w:spacing w:val="-1"/>
              </w:rPr>
              <w:t>&gt;4.0</w:t>
            </w:r>
            <w:r w:rsidRPr="001A7517">
              <w:rPr>
                <w:spacing w:val="-1"/>
              </w:rPr>
              <w:noBreakHyphen/>
              <w:t>8.0</w:t>
            </w:r>
          </w:p>
        </w:tc>
        <w:tc>
          <w:tcPr>
            <w:tcW w:w="1989" w:type="dxa"/>
          </w:tcPr>
          <w:p w14:paraId="36FF16F1" w14:textId="77777777" w:rsidR="00810215" w:rsidRPr="001A7517" w:rsidRDefault="00810215" w:rsidP="00623210">
            <w:pPr>
              <w:suppressAutoHyphens/>
              <w:rPr>
                <w:spacing w:val="-1"/>
              </w:rPr>
            </w:pPr>
            <w:r w:rsidRPr="001A7517">
              <w:rPr>
                <w:spacing w:val="-1"/>
              </w:rPr>
              <w:t>45.0%</w:t>
            </w:r>
          </w:p>
        </w:tc>
        <w:tc>
          <w:tcPr>
            <w:tcW w:w="1815" w:type="dxa"/>
          </w:tcPr>
          <w:p w14:paraId="731FFE01" w14:textId="77777777" w:rsidR="00810215" w:rsidRPr="001A7517" w:rsidRDefault="00810215" w:rsidP="00623210">
            <w:pPr>
              <w:suppressAutoHyphens/>
              <w:rPr>
                <w:spacing w:val="-1"/>
              </w:rPr>
            </w:pPr>
            <w:r w:rsidRPr="001A7517">
              <w:rPr>
                <w:spacing w:val="-1"/>
              </w:rPr>
              <w:t>35.0%</w:t>
            </w:r>
          </w:p>
        </w:tc>
        <w:tc>
          <w:tcPr>
            <w:tcW w:w="1605" w:type="dxa"/>
          </w:tcPr>
          <w:p w14:paraId="2D606021" w14:textId="77777777" w:rsidR="00810215" w:rsidRPr="001A7517" w:rsidRDefault="00810215" w:rsidP="00623210">
            <w:pPr>
              <w:suppressAutoHyphens/>
              <w:rPr>
                <w:spacing w:val="-1"/>
              </w:rPr>
            </w:pPr>
            <w:r w:rsidRPr="001A7517">
              <w:rPr>
                <w:spacing w:val="-1"/>
              </w:rPr>
              <w:t>25.0%</w:t>
            </w:r>
          </w:p>
        </w:tc>
      </w:tr>
      <w:tr w:rsidR="00810215" w:rsidRPr="001A7517" w14:paraId="4D008590" w14:textId="77777777" w:rsidTr="00623210">
        <w:tc>
          <w:tcPr>
            <w:tcW w:w="1989" w:type="dxa"/>
          </w:tcPr>
          <w:p w14:paraId="7A3A0DBD" w14:textId="77777777" w:rsidR="00810215" w:rsidRPr="001A7517" w:rsidRDefault="00810215" w:rsidP="00623210">
            <w:pPr>
              <w:suppressAutoHyphens/>
              <w:rPr>
                <w:spacing w:val="-1"/>
              </w:rPr>
            </w:pPr>
            <w:r w:rsidRPr="001A7517">
              <w:rPr>
                <w:spacing w:val="-1"/>
              </w:rPr>
              <w:t>&gt;8.0</w:t>
            </w:r>
          </w:p>
        </w:tc>
        <w:tc>
          <w:tcPr>
            <w:tcW w:w="1989" w:type="dxa"/>
          </w:tcPr>
          <w:p w14:paraId="202E0AAA" w14:textId="77777777" w:rsidR="00810215" w:rsidRPr="001A7517" w:rsidRDefault="00810215" w:rsidP="00623210">
            <w:pPr>
              <w:suppressAutoHyphens/>
              <w:rPr>
                <w:spacing w:val="-1"/>
              </w:rPr>
            </w:pPr>
            <w:r w:rsidRPr="001A7517">
              <w:rPr>
                <w:spacing w:val="-1"/>
              </w:rPr>
              <w:t>50.0%</w:t>
            </w:r>
          </w:p>
        </w:tc>
        <w:tc>
          <w:tcPr>
            <w:tcW w:w="1815" w:type="dxa"/>
          </w:tcPr>
          <w:p w14:paraId="215BF11A" w14:textId="77777777" w:rsidR="00810215" w:rsidRPr="001A7517" w:rsidRDefault="00810215" w:rsidP="00623210">
            <w:pPr>
              <w:suppressAutoHyphens/>
              <w:rPr>
                <w:spacing w:val="-1"/>
              </w:rPr>
            </w:pPr>
            <w:r w:rsidRPr="001A7517">
              <w:rPr>
                <w:spacing w:val="-1"/>
              </w:rPr>
              <w:t>40.0%</w:t>
            </w:r>
          </w:p>
        </w:tc>
        <w:tc>
          <w:tcPr>
            <w:tcW w:w="1605" w:type="dxa"/>
          </w:tcPr>
          <w:p w14:paraId="5F3D4803" w14:textId="77777777" w:rsidR="00810215" w:rsidRPr="001A7517" w:rsidRDefault="00810215" w:rsidP="00623210">
            <w:pPr>
              <w:suppressAutoHyphens/>
              <w:rPr>
                <w:spacing w:val="-1"/>
              </w:rPr>
            </w:pPr>
            <w:r w:rsidRPr="001A7517">
              <w:rPr>
                <w:spacing w:val="-1"/>
              </w:rPr>
              <w:t>30.0%</w:t>
            </w:r>
          </w:p>
        </w:tc>
      </w:tr>
    </w:tbl>
    <w:p w14:paraId="57D478A9" w14:textId="77777777" w:rsidR="00551648" w:rsidRDefault="00551648" w:rsidP="00551648">
      <w:pPr>
        <w:suppressAutoHyphens/>
        <w:ind w:left="2160"/>
        <w:rPr>
          <w:vertAlign w:val="superscript"/>
        </w:rPr>
      </w:pPr>
    </w:p>
    <w:p w14:paraId="2810C36D" w14:textId="7309BE3F" w:rsidR="00810215" w:rsidRPr="001A7517" w:rsidRDefault="00810215" w:rsidP="00551648">
      <w:pPr>
        <w:suppressAutoHyphens/>
        <w:ind w:left="2160"/>
      </w:pPr>
      <w:r w:rsidRPr="001A7517">
        <w:rPr>
          <w:vertAlign w:val="superscript"/>
        </w:rPr>
        <w:t>1</w:t>
      </w:r>
      <w:r w:rsidRPr="001A7517">
        <w:t xml:space="preserve"> </w:t>
      </w:r>
      <w:r w:rsidRPr="001A7517">
        <w:rPr>
          <w:spacing w:val="-2"/>
        </w:rPr>
        <w:t xml:space="preserve">A supplier </w:t>
      </w:r>
      <w:r w:rsidRPr="001A7517">
        <w:t>meeting at least one of the conditions in subsections (a)(2)(A) through (a)(2)(F) are not required to operate with enhanced coagulation.</w:t>
      </w:r>
    </w:p>
    <w:p w14:paraId="0081B8A4" w14:textId="77777777" w:rsidR="00551648" w:rsidRDefault="00551648" w:rsidP="00551648">
      <w:pPr>
        <w:suppressAutoHyphens/>
        <w:ind w:left="2160"/>
        <w:rPr>
          <w:vertAlign w:val="superscript"/>
        </w:rPr>
      </w:pPr>
    </w:p>
    <w:p w14:paraId="2625E578" w14:textId="0D25DC51" w:rsidR="00810215" w:rsidRPr="001A7517" w:rsidRDefault="00810215" w:rsidP="00551648">
      <w:pPr>
        <w:suppressAutoHyphens/>
        <w:ind w:left="2160"/>
      </w:pPr>
      <w:r w:rsidRPr="001A7517">
        <w:rPr>
          <w:vertAlign w:val="superscript"/>
        </w:rPr>
        <w:t>2</w:t>
      </w:r>
      <w:r w:rsidRPr="001A7517">
        <w:t xml:space="preserve"> A softening system that meets one of the alternative compliance standards in subsection (a)(3) is not required to operate with enhanced softening.</w:t>
      </w:r>
    </w:p>
    <w:p w14:paraId="6B526C31" w14:textId="77777777" w:rsidR="00551648" w:rsidRDefault="00551648" w:rsidP="00551648">
      <w:pPr>
        <w:suppressAutoHyphens/>
        <w:ind w:left="2160"/>
        <w:rPr>
          <w:vertAlign w:val="superscript"/>
        </w:rPr>
      </w:pPr>
    </w:p>
    <w:p w14:paraId="16E10144" w14:textId="24D0EF49" w:rsidR="00810215" w:rsidRDefault="00810215" w:rsidP="00551648">
      <w:pPr>
        <w:suppressAutoHyphens/>
        <w:ind w:left="2160"/>
      </w:pPr>
      <w:r w:rsidRPr="001A7517">
        <w:rPr>
          <w:vertAlign w:val="superscript"/>
        </w:rPr>
        <w:lastRenderedPageBreak/>
        <w:t>3</w:t>
      </w:r>
      <w:r w:rsidRPr="001A7517">
        <w:t xml:space="preserve"> </w:t>
      </w:r>
      <w:r w:rsidRPr="001A7517">
        <w:rPr>
          <w:spacing w:val="-2"/>
        </w:rPr>
        <w:t xml:space="preserve">A supplier </w:t>
      </w:r>
      <w:r w:rsidRPr="001A7517">
        <w:t>that practices softening must meet the TOC removal requirements in this column.</w:t>
      </w:r>
    </w:p>
    <w:p w14:paraId="7E788C92" w14:textId="77777777" w:rsidR="00551648" w:rsidRPr="001A7517" w:rsidRDefault="00551648" w:rsidP="00551648">
      <w:pPr>
        <w:suppressAutoHyphens/>
        <w:ind w:left="2160"/>
      </w:pPr>
    </w:p>
    <w:p w14:paraId="50FA4AEB" w14:textId="71B5C10F" w:rsidR="00810215" w:rsidRDefault="00810215" w:rsidP="00551648">
      <w:pPr>
        <w:suppressAutoHyphens/>
        <w:ind w:left="2160" w:hanging="720"/>
        <w:rPr>
          <w:spacing w:val="-2"/>
        </w:rPr>
      </w:pPr>
      <w:r w:rsidRPr="001A7517">
        <w:rPr>
          <w:spacing w:val="-2"/>
        </w:rPr>
        <w:t>3)</w:t>
      </w:r>
      <w:r w:rsidRPr="001A7517">
        <w:rPr>
          <w:spacing w:val="-2"/>
        </w:rPr>
        <w:tab/>
        <w:t xml:space="preserve">A Subpart B conventional treatment system supplier that cannot achieve the Step 1 TOC removals required by subsection (b)(2) due to water quality parameters or operational constraints must apply to the </w:t>
      </w:r>
      <w:r w:rsidRPr="001A7517">
        <w:t>Agency</w:t>
      </w:r>
      <w:r w:rsidRPr="001A7517">
        <w:rPr>
          <w:spacing w:val="-2"/>
        </w:rPr>
        <w:t xml:space="preserve">, within three months </w:t>
      </w:r>
      <w:r w:rsidRPr="001A7517">
        <w:t xml:space="preserve">after </w:t>
      </w:r>
      <w:r w:rsidRPr="001A7517">
        <w:rPr>
          <w:spacing w:val="-2"/>
        </w:rPr>
        <w:t xml:space="preserve">failure to achieve the TOC removals required by subsection (b)(2), for approval of alternative minimum TOC (Step 2) removal requirements submitted by the supplier.  </w:t>
      </w:r>
      <w:r w:rsidRPr="001A7517">
        <w:t xml:space="preserve">If the PWS cannot achieve the Step 1 TOC removal requirement due to water quality parameters or operational constraints, the Agency must approve the use of the Step 2 TOC removal requirement.  </w:t>
      </w:r>
      <w:r w:rsidRPr="001A7517">
        <w:rPr>
          <w:spacing w:val="-2"/>
        </w:rPr>
        <w:t xml:space="preserve">If the </w:t>
      </w:r>
      <w:r w:rsidRPr="001A7517">
        <w:t xml:space="preserve">Agency </w:t>
      </w:r>
      <w:r w:rsidRPr="001A7517">
        <w:rPr>
          <w:spacing w:val="-2"/>
        </w:rPr>
        <w:t xml:space="preserve">approves the alternative minimum TOC removal (Step 2) requirements, the </w:t>
      </w:r>
      <w:r w:rsidRPr="001A7517">
        <w:t xml:space="preserve">Agency </w:t>
      </w:r>
      <w:r w:rsidRPr="001A7517">
        <w:rPr>
          <w:spacing w:val="-2"/>
        </w:rPr>
        <w:t xml:space="preserve">may make those requirements retroactive for the purposes of determining compliance.  Until the </w:t>
      </w:r>
      <w:r w:rsidRPr="001A7517">
        <w:t xml:space="preserve">Agency </w:t>
      </w:r>
      <w:r w:rsidRPr="001A7517">
        <w:rPr>
          <w:spacing w:val="-2"/>
        </w:rPr>
        <w:t xml:space="preserve">approves the alternative minimum TOC removal (Step 2) requirements, the supplier </w:t>
      </w:r>
      <w:r w:rsidRPr="001A7517">
        <w:t xml:space="preserve">must </w:t>
      </w:r>
      <w:r w:rsidRPr="001A7517">
        <w:rPr>
          <w:spacing w:val="-2"/>
        </w:rPr>
        <w:t>meet the Step 1 TOC removals contained in subsection (b)(2).</w:t>
      </w:r>
    </w:p>
    <w:p w14:paraId="64BC5EBF" w14:textId="77777777" w:rsidR="00551648" w:rsidRPr="001A7517" w:rsidRDefault="00551648" w:rsidP="00551648">
      <w:pPr>
        <w:suppressAutoHyphens/>
        <w:ind w:left="2160" w:hanging="720"/>
        <w:rPr>
          <w:spacing w:val="-2"/>
        </w:rPr>
      </w:pPr>
    </w:p>
    <w:p w14:paraId="2D190292" w14:textId="298BC0CC" w:rsidR="00810215" w:rsidRDefault="00810215" w:rsidP="00551648">
      <w:pPr>
        <w:suppressAutoHyphens/>
        <w:ind w:left="2160" w:hanging="720"/>
        <w:rPr>
          <w:spacing w:val="-2"/>
        </w:rPr>
      </w:pPr>
      <w:r w:rsidRPr="001A7517">
        <w:rPr>
          <w:spacing w:val="-2"/>
        </w:rPr>
        <w:t>4)</w:t>
      </w:r>
      <w:r w:rsidRPr="001A7517">
        <w:rPr>
          <w:spacing w:val="-2"/>
        </w:rPr>
        <w:tab/>
        <w:t xml:space="preserve">Alternative Minimum TOC Removal (Step 2) Requirements.  An application made to the </w:t>
      </w:r>
      <w:r w:rsidRPr="001A7517">
        <w:t xml:space="preserve">Agency </w:t>
      </w:r>
      <w:r w:rsidRPr="001A7517">
        <w:rPr>
          <w:spacing w:val="-2"/>
        </w:rPr>
        <w:t xml:space="preserve">by an enhanced coagulation system supplier for approval of alternative minimum TOC removal (Step 2) requirements under subsection (b)(3) </w:t>
      </w:r>
      <w:r w:rsidRPr="001A7517">
        <w:t xml:space="preserve">must </w:t>
      </w:r>
      <w:r w:rsidRPr="001A7517">
        <w:rPr>
          <w:spacing w:val="-2"/>
        </w:rPr>
        <w:t xml:space="preserve">include, </w:t>
      </w:r>
      <w:r w:rsidRPr="001A7517">
        <w:t xml:space="preserve">at </w:t>
      </w:r>
      <w:r w:rsidRPr="001A7517">
        <w:rPr>
          <w:spacing w:val="-2"/>
        </w:rPr>
        <w:t>a minimum, results of bench- or pilot-scale testing conducted under subsection (b)(4)(</w:t>
      </w:r>
      <w:r w:rsidRPr="001A7517">
        <w:t>B</w:t>
      </w:r>
      <w:r w:rsidRPr="001A7517">
        <w:rPr>
          <w:spacing w:val="-2"/>
        </w:rPr>
        <w:t>).  The submitted bench- or pilot-scale testing must be used to determine the alternative enhanced coagulation level.</w:t>
      </w:r>
    </w:p>
    <w:p w14:paraId="71700BCD" w14:textId="77777777" w:rsidR="00551648" w:rsidRPr="001A7517" w:rsidRDefault="00551648" w:rsidP="00551648">
      <w:pPr>
        <w:suppressAutoHyphens/>
        <w:ind w:left="2160" w:hanging="720"/>
        <w:rPr>
          <w:spacing w:val="-2"/>
        </w:rPr>
      </w:pPr>
    </w:p>
    <w:p w14:paraId="338475C7" w14:textId="7281B26D" w:rsidR="00810215" w:rsidRDefault="00810215" w:rsidP="00551648">
      <w:pPr>
        <w:suppressAutoHyphens/>
        <w:ind w:left="2880" w:hanging="720"/>
        <w:rPr>
          <w:spacing w:val="-2"/>
        </w:rPr>
      </w:pPr>
      <w:r w:rsidRPr="001A7517">
        <w:rPr>
          <w:spacing w:val="-2"/>
        </w:rPr>
        <w:t>A)</w:t>
      </w:r>
      <w:r w:rsidRPr="001A7517">
        <w:rPr>
          <w:spacing w:val="-2"/>
        </w:rPr>
        <w:tab/>
        <w:t>For the purposes of this Subpart</w:t>
      </w:r>
      <w:r w:rsidRPr="001A7517">
        <w:t xml:space="preserve"> I</w:t>
      </w:r>
      <w:r w:rsidRPr="001A7517">
        <w:rPr>
          <w:spacing w:val="-2"/>
        </w:rPr>
        <w:t xml:space="preserve">, </w:t>
      </w:r>
      <w:r w:rsidRPr="001A7517">
        <w:t>“</w:t>
      </w:r>
      <w:r w:rsidRPr="001A7517">
        <w:rPr>
          <w:spacing w:val="-2"/>
        </w:rPr>
        <w:t>alternative enhanced coagulation level</w:t>
      </w:r>
      <w:r w:rsidRPr="001A7517">
        <w:t xml:space="preserve">” </w:t>
      </w:r>
      <w:r w:rsidRPr="001A7517">
        <w:rPr>
          <w:spacing w:val="-2"/>
        </w:rPr>
        <w:t>is defined as coagulation at a coagulant dose and pH</w:t>
      </w:r>
      <w:r w:rsidRPr="001A7517">
        <w:t>,</w:t>
      </w:r>
      <w:r w:rsidRPr="001A7517">
        <w:rPr>
          <w:spacing w:val="-2"/>
        </w:rPr>
        <w:t xml:space="preserve"> as determined by the method described in subsections (b)(4)(</w:t>
      </w:r>
      <w:r w:rsidRPr="001A7517">
        <w:t>A</w:t>
      </w:r>
      <w:r w:rsidRPr="001A7517">
        <w:rPr>
          <w:spacing w:val="-2"/>
        </w:rPr>
        <w:t xml:space="preserve">) through </w:t>
      </w:r>
      <w:r w:rsidRPr="001A7517">
        <w:t>(b)(4)</w:t>
      </w:r>
      <w:r w:rsidRPr="001A7517">
        <w:rPr>
          <w:spacing w:val="-2"/>
        </w:rPr>
        <w:t>(</w:t>
      </w:r>
      <w:r w:rsidRPr="001A7517">
        <w:t>E</w:t>
      </w:r>
      <w:r w:rsidRPr="001A7517">
        <w:rPr>
          <w:spacing w:val="-2"/>
        </w:rPr>
        <w:t>)</w:t>
      </w:r>
      <w:r w:rsidRPr="001A7517">
        <w:t>,</w:t>
      </w:r>
      <w:r w:rsidRPr="001A7517">
        <w:rPr>
          <w:spacing w:val="-2"/>
        </w:rPr>
        <w:t xml:space="preserve"> such that an incremental addition of 10 mg/</w:t>
      </w:r>
      <w:r w:rsidRPr="001A7517">
        <w:t>ℓ</w:t>
      </w:r>
      <w:r w:rsidRPr="001A7517">
        <w:rPr>
          <w:spacing w:val="-2"/>
        </w:rPr>
        <w:t xml:space="preserve"> of alum (or equivalent amount of ferric salt) results in a TOC removal of </w:t>
      </w:r>
      <w:r w:rsidRPr="001A7517">
        <w:t xml:space="preserve">less than or equal to </w:t>
      </w:r>
      <w:r w:rsidRPr="001A7517">
        <w:rPr>
          <w:spacing w:val="-2"/>
        </w:rPr>
        <w:t>0.3 mg/</w:t>
      </w:r>
      <w:r w:rsidRPr="001A7517">
        <w:t>ℓ</w:t>
      </w:r>
      <w:r w:rsidRPr="001A7517">
        <w:rPr>
          <w:spacing w:val="-2"/>
        </w:rPr>
        <w:t xml:space="preserve">.  The percent removal of TOC at this point on the “TOC removal versus coagulant dose” curve is then defined as the minimum TOC removal required for the supplier.  Once approved by the </w:t>
      </w:r>
      <w:r w:rsidRPr="001A7517">
        <w:t>Agency</w:t>
      </w:r>
      <w:r w:rsidRPr="001A7517">
        <w:rPr>
          <w:spacing w:val="-2"/>
        </w:rPr>
        <w:t xml:space="preserve">, this minimum requirement supersedes the minimum TOC removal required by the table in subsection (b)(2).  This requirement will be effective until such time as the </w:t>
      </w:r>
      <w:r w:rsidRPr="001A7517">
        <w:t xml:space="preserve">Agency </w:t>
      </w:r>
      <w:r w:rsidRPr="001A7517">
        <w:rPr>
          <w:spacing w:val="-2"/>
        </w:rPr>
        <w:t>approves a new value based on the results of a new bench</w:t>
      </w:r>
      <w:r w:rsidRPr="001A7517">
        <w:rPr>
          <w:spacing w:val="-2"/>
        </w:rPr>
        <w:noBreakHyphen/>
        <w:t xml:space="preserve"> and pilot-scale test.  Failure to achieve alternative minimum TOC removal levels is a violation of National Primary Drinking Water Regulations.</w:t>
      </w:r>
    </w:p>
    <w:p w14:paraId="74A702A5" w14:textId="77777777" w:rsidR="00551648" w:rsidRPr="001A7517" w:rsidRDefault="00551648" w:rsidP="00551648">
      <w:pPr>
        <w:suppressAutoHyphens/>
        <w:ind w:left="2880" w:hanging="720"/>
        <w:rPr>
          <w:spacing w:val="-2"/>
        </w:rPr>
      </w:pPr>
    </w:p>
    <w:p w14:paraId="7BA72BDB" w14:textId="461D684E" w:rsidR="00810215" w:rsidRDefault="00810215" w:rsidP="00551648">
      <w:pPr>
        <w:suppressAutoHyphens/>
        <w:ind w:left="2880" w:hanging="720"/>
        <w:rPr>
          <w:spacing w:val="-2"/>
        </w:rPr>
      </w:pPr>
      <w:r w:rsidRPr="001A7517">
        <w:rPr>
          <w:spacing w:val="-2"/>
        </w:rPr>
        <w:t>B)</w:t>
      </w:r>
      <w:r w:rsidRPr="001A7517">
        <w:rPr>
          <w:spacing w:val="-2"/>
        </w:rPr>
        <w:tab/>
        <w:t>Bench</w:t>
      </w:r>
      <w:r w:rsidRPr="001A7517">
        <w:rPr>
          <w:spacing w:val="-2"/>
        </w:rPr>
        <w:noBreakHyphen/>
        <w:t xml:space="preserve"> or pilot-scale testing of enhanced coagulation must be conducted by using representative water samples and adding 10 mg/</w:t>
      </w:r>
      <w:r w:rsidRPr="001A7517">
        <w:t>ℓ</w:t>
      </w:r>
      <w:r w:rsidRPr="001A7517">
        <w:rPr>
          <w:spacing w:val="-2"/>
        </w:rPr>
        <w:t xml:space="preserve"> increments of alum (or equivalent amounts of ferric salt) until </w:t>
      </w:r>
      <w:r w:rsidRPr="001A7517">
        <w:rPr>
          <w:spacing w:val="-2"/>
        </w:rPr>
        <w:lastRenderedPageBreak/>
        <w:t>the pH is reduced to a level less than or equal to the enhanced coagulation Step 2 target pH shown in the following table:</w:t>
      </w:r>
    </w:p>
    <w:p w14:paraId="7137559E" w14:textId="77777777" w:rsidR="00551648" w:rsidRPr="001A7517" w:rsidRDefault="00551648" w:rsidP="00551648">
      <w:pPr>
        <w:suppressAutoHyphens/>
        <w:ind w:left="2880" w:hanging="720"/>
        <w:rPr>
          <w:spacing w:val="-2"/>
        </w:rPr>
      </w:pPr>
    </w:p>
    <w:p w14:paraId="574A6539" w14:textId="72DC9411" w:rsidR="00810215" w:rsidRDefault="00810215" w:rsidP="00551648">
      <w:pPr>
        <w:ind w:left="3600"/>
      </w:pPr>
      <w:r w:rsidRPr="001A7517">
        <w:t>Enhanced Coagulation Step 2 Target pH</w:t>
      </w:r>
    </w:p>
    <w:p w14:paraId="1329522E" w14:textId="77777777" w:rsidR="00551648" w:rsidRPr="001A7517" w:rsidRDefault="00551648" w:rsidP="00551648">
      <w:pPr>
        <w:suppressAutoHyphens/>
        <w:ind w:left="3600" w:right="720"/>
        <w:outlineLvl w:val="0"/>
        <w:rPr>
          <w:spacing w:val="-2"/>
        </w:rPr>
      </w:pPr>
    </w:p>
    <w:tbl>
      <w:tblPr>
        <w:tblW w:w="0" w:type="auto"/>
        <w:tblInd w:w="3618" w:type="dxa"/>
        <w:tblLayout w:type="fixed"/>
        <w:tblLook w:val="0000" w:firstRow="0" w:lastRow="0" w:firstColumn="0" w:lastColumn="0" w:noHBand="0" w:noVBand="0"/>
      </w:tblPr>
      <w:tblGrid>
        <w:gridCol w:w="2961"/>
        <w:gridCol w:w="1303"/>
      </w:tblGrid>
      <w:tr w:rsidR="00810215" w:rsidRPr="001A7517" w14:paraId="1FE3945A" w14:textId="77777777" w:rsidTr="00623210">
        <w:tc>
          <w:tcPr>
            <w:tcW w:w="2961" w:type="dxa"/>
          </w:tcPr>
          <w:p w14:paraId="5C1A0E80" w14:textId="77777777" w:rsidR="00810215" w:rsidRPr="001A7517" w:rsidRDefault="00810215" w:rsidP="00623210">
            <w:pPr>
              <w:suppressAutoHyphens/>
              <w:rPr>
                <w:spacing w:val="-2"/>
              </w:rPr>
            </w:pPr>
            <w:r w:rsidRPr="001A7517">
              <w:rPr>
                <w:spacing w:val="-2"/>
              </w:rPr>
              <w:t>Alkalinity (mg/</w:t>
            </w:r>
            <w:r w:rsidRPr="001A7517">
              <w:t>ℓ</w:t>
            </w:r>
            <w:r w:rsidRPr="001A7517">
              <w:rPr>
                <w:spacing w:val="-2"/>
              </w:rPr>
              <w:t xml:space="preserve"> as CaCO</w:t>
            </w:r>
            <w:r w:rsidRPr="001A7517">
              <w:rPr>
                <w:spacing w:val="-2"/>
                <w:vertAlign w:val="subscript"/>
              </w:rPr>
              <w:t>3</w:t>
            </w:r>
            <w:r w:rsidRPr="001A7517">
              <w:rPr>
                <w:spacing w:val="-2"/>
              </w:rPr>
              <w:t>)</w:t>
            </w:r>
          </w:p>
        </w:tc>
        <w:tc>
          <w:tcPr>
            <w:tcW w:w="1303" w:type="dxa"/>
          </w:tcPr>
          <w:p w14:paraId="6EAB39AF" w14:textId="77777777" w:rsidR="00810215" w:rsidRPr="001A7517" w:rsidRDefault="00810215" w:rsidP="00623210">
            <w:pPr>
              <w:suppressAutoHyphens/>
              <w:rPr>
                <w:spacing w:val="-2"/>
              </w:rPr>
            </w:pPr>
            <w:r w:rsidRPr="001A7517">
              <w:rPr>
                <w:spacing w:val="-2"/>
              </w:rPr>
              <w:t>Target pH</w:t>
            </w:r>
          </w:p>
          <w:p w14:paraId="39D0F213" w14:textId="77777777" w:rsidR="00810215" w:rsidRPr="001A7517" w:rsidRDefault="00810215" w:rsidP="00623210">
            <w:pPr>
              <w:suppressAutoHyphens/>
              <w:rPr>
                <w:spacing w:val="-2"/>
              </w:rPr>
            </w:pPr>
          </w:p>
        </w:tc>
      </w:tr>
      <w:tr w:rsidR="00810215" w:rsidRPr="001A7517" w14:paraId="6F4AA4AC" w14:textId="77777777" w:rsidTr="00623210">
        <w:tc>
          <w:tcPr>
            <w:tcW w:w="2961" w:type="dxa"/>
          </w:tcPr>
          <w:p w14:paraId="78BF052D" w14:textId="77777777" w:rsidR="00810215" w:rsidRPr="001A7517" w:rsidRDefault="00810215" w:rsidP="00623210">
            <w:pPr>
              <w:suppressAutoHyphens/>
              <w:rPr>
                <w:spacing w:val="-2"/>
              </w:rPr>
            </w:pPr>
            <w:r w:rsidRPr="001A7517">
              <w:rPr>
                <w:spacing w:val="-2"/>
              </w:rPr>
              <w:t>0-60</w:t>
            </w:r>
          </w:p>
        </w:tc>
        <w:tc>
          <w:tcPr>
            <w:tcW w:w="1303" w:type="dxa"/>
          </w:tcPr>
          <w:p w14:paraId="5336904C" w14:textId="77777777" w:rsidR="00810215" w:rsidRPr="001A7517" w:rsidRDefault="00810215" w:rsidP="00623210">
            <w:pPr>
              <w:suppressAutoHyphens/>
              <w:rPr>
                <w:spacing w:val="-2"/>
              </w:rPr>
            </w:pPr>
            <w:r w:rsidRPr="001A7517">
              <w:rPr>
                <w:spacing w:val="-2"/>
              </w:rPr>
              <w:t>5.5</w:t>
            </w:r>
          </w:p>
        </w:tc>
      </w:tr>
      <w:tr w:rsidR="00810215" w:rsidRPr="001A7517" w14:paraId="3955F5B4" w14:textId="77777777" w:rsidTr="00623210">
        <w:tc>
          <w:tcPr>
            <w:tcW w:w="2961" w:type="dxa"/>
          </w:tcPr>
          <w:p w14:paraId="1D9C5E5C" w14:textId="77777777" w:rsidR="00810215" w:rsidRPr="001A7517" w:rsidRDefault="00810215" w:rsidP="00623210">
            <w:pPr>
              <w:suppressAutoHyphens/>
              <w:rPr>
                <w:spacing w:val="-2"/>
              </w:rPr>
            </w:pPr>
            <w:r w:rsidRPr="001A7517">
              <w:rPr>
                <w:spacing w:val="-2"/>
              </w:rPr>
              <w:t>&gt;60-120</w:t>
            </w:r>
          </w:p>
        </w:tc>
        <w:tc>
          <w:tcPr>
            <w:tcW w:w="1303" w:type="dxa"/>
          </w:tcPr>
          <w:p w14:paraId="12DCBD47" w14:textId="77777777" w:rsidR="00810215" w:rsidRPr="001A7517" w:rsidRDefault="00810215" w:rsidP="00623210">
            <w:pPr>
              <w:suppressAutoHyphens/>
              <w:rPr>
                <w:spacing w:val="-2"/>
              </w:rPr>
            </w:pPr>
            <w:r w:rsidRPr="001A7517">
              <w:rPr>
                <w:spacing w:val="-2"/>
              </w:rPr>
              <w:t>6.3</w:t>
            </w:r>
          </w:p>
        </w:tc>
      </w:tr>
      <w:tr w:rsidR="00810215" w:rsidRPr="001A7517" w14:paraId="48E7F85C" w14:textId="77777777" w:rsidTr="00623210">
        <w:tc>
          <w:tcPr>
            <w:tcW w:w="2961" w:type="dxa"/>
          </w:tcPr>
          <w:p w14:paraId="31BFDAF9" w14:textId="77777777" w:rsidR="00810215" w:rsidRPr="001A7517" w:rsidRDefault="00810215" w:rsidP="00623210">
            <w:pPr>
              <w:suppressAutoHyphens/>
              <w:rPr>
                <w:spacing w:val="-2"/>
              </w:rPr>
            </w:pPr>
            <w:r w:rsidRPr="001A7517">
              <w:rPr>
                <w:spacing w:val="-2"/>
              </w:rPr>
              <w:t>&gt;120-240</w:t>
            </w:r>
          </w:p>
        </w:tc>
        <w:tc>
          <w:tcPr>
            <w:tcW w:w="1303" w:type="dxa"/>
          </w:tcPr>
          <w:p w14:paraId="28406178" w14:textId="77777777" w:rsidR="00810215" w:rsidRPr="001A7517" w:rsidRDefault="00810215" w:rsidP="00623210">
            <w:pPr>
              <w:suppressAutoHyphens/>
              <w:rPr>
                <w:spacing w:val="-2"/>
              </w:rPr>
            </w:pPr>
            <w:r w:rsidRPr="001A7517">
              <w:rPr>
                <w:spacing w:val="-2"/>
              </w:rPr>
              <w:t>7.0</w:t>
            </w:r>
          </w:p>
        </w:tc>
      </w:tr>
      <w:tr w:rsidR="00810215" w:rsidRPr="001A7517" w14:paraId="7ADC4934" w14:textId="77777777" w:rsidTr="00623210">
        <w:tc>
          <w:tcPr>
            <w:tcW w:w="2961" w:type="dxa"/>
          </w:tcPr>
          <w:p w14:paraId="062FAB01" w14:textId="77777777" w:rsidR="00810215" w:rsidRPr="001A7517" w:rsidRDefault="00810215" w:rsidP="00623210">
            <w:pPr>
              <w:suppressAutoHyphens/>
              <w:rPr>
                <w:spacing w:val="-2"/>
              </w:rPr>
            </w:pPr>
            <w:r w:rsidRPr="001A7517">
              <w:rPr>
                <w:spacing w:val="-2"/>
              </w:rPr>
              <w:t>&gt;240</w:t>
            </w:r>
          </w:p>
        </w:tc>
        <w:tc>
          <w:tcPr>
            <w:tcW w:w="1303" w:type="dxa"/>
          </w:tcPr>
          <w:p w14:paraId="6DC00713" w14:textId="77777777" w:rsidR="00810215" w:rsidRPr="001A7517" w:rsidRDefault="00810215" w:rsidP="00623210">
            <w:pPr>
              <w:suppressAutoHyphens/>
              <w:rPr>
                <w:spacing w:val="-2"/>
              </w:rPr>
            </w:pPr>
            <w:r w:rsidRPr="001A7517">
              <w:rPr>
                <w:spacing w:val="-2"/>
              </w:rPr>
              <w:t>7.5</w:t>
            </w:r>
          </w:p>
        </w:tc>
      </w:tr>
    </w:tbl>
    <w:p w14:paraId="6A4F5E4D" w14:textId="77777777" w:rsidR="00551648" w:rsidRDefault="00551648" w:rsidP="00551648">
      <w:pPr>
        <w:suppressAutoHyphens/>
        <w:ind w:left="2880" w:hanging="720"/>
        <w:rPr>
          <w:spacing w:val="-2"/>
        </w:rPr>
      </w:pPr>
    </w:p>
    <w:p w14:paraId="6FF13FE8" w14:textId="64FD73C6" w:rsidR="00810215" w:rsidRPr="001A7517" w:rsidRDefault="00810215" w:rsidP="00551648">
      <w:pPr>
        <w:suppressAutoHyphens/>
        <w:ind w:left="2880" w:hanging="720"/>
        <w:rPr>
          <w:spacing w:val="-2"/>
        </w:rPr>
      </w:pPr>
      <w:r w:rsidRPr="001A7517">
        <w:rPr>
          <w:spacing w:val="-2"/>
        </w:rPr>
        <w:t>C)</w:t>
      </w:r>
      <w:r w:rsidRPr="001A7517">
        <w:rPr>
          <w:spacing w:val="-2"/>
        </w:rPr>
        <w:tab/>
        <w:t>For waters with alkalinities of less than 60 mg/</w:t>
      </w:r>
      <w:r w:rsidRPr="001A7517">
        <w:t>ℓ</w:t>
      </w:r>
      <w:r w:rsidRPr="001A7517">
        <w:rPr>
          <w:spacing w:val="-2"/>
        </w:rPr>
        <w:t xml:space="preserve"> for which addition of small amounts of alum or equivalent addition of iron coagulant drives the pH below 5.5 before significant TOC removal occurs, the supplier </w:t>
      </w:r>
      <w:r w:rsidRPr="001A7517">
        <w:t xml:space="preserve">must </w:t>
      </w:r>
      <w:r w:rsidRPr="001A7517">
        <w:rPr>
          <w:spacing w:val="-2"/>
        </w:rPr>
        <w:t>add necessary chemicals to maintain the pH between 5.3 and 5.7 in samples until the TOC removal of 0.3 mg/</w:t>
      </w:r>
      <w:r w:rsidRPr="001A7517">
        <w:t>ℓ</w:t>
      </w:r>
      <w:r w:rsidRPr="001A7517">
        <w:rPr>
          <w:spacing w:val="-2"/>
        </w:rPr>
        <w:t xml:space="preserve"> per 10 mg/</w:t>
      </w:r>
      <w:r w:rsidRPr="001A7517">
        <w:t>ℓ</w:t>
      </w:r>
      <w:r w:rsidRPr="001A7517">
        <w:rPr>
          <w:spacing w:val="-2"/>
        </w:rPr>
        <w:t xml:space="preserve"> alum added (or equivalent addition of iron coagulant) is reached.</w:t>
      </w:r>
    </w:p>
    <w:p w14:paraId="461D0EF7" w14:textId="77777777" w:rsidR="00551648" w:rsidRDefault="00551648" w:rsidP="00551648">
      <w:pPr>
        <w:suppressAutoHyphens/>
        <w:ind w:left="2880" w:hanging="720"/>
        <w:rPr>
          <w:spacing w:val="-2"/>
        </w:rPr>
      </w:pPr>
    </w:p>
    <w:p w14:paraId="152D9667" w14:textId="01E194FB" w:rsidR="00810215" w:rsidRPr="001A7517" w:rsidRDefault="00810215" w:rsidP="00551648">
      <w:pPr>
        <w:suppressAutoHyphens/>
        <w:ind w:left="2880" w:hanging="720"/>
        <w:rPr>
          <w:spacing w:val="-2"/>
        </w:rPr>
      </w:pPr>
      <w:r w:rsidRPr="001A7517">
        <w:rPr>
          <w:spacing w:val="-2"/>
        </w:rPr>
        <w:t>D)</w:t>
      </w:r>
      <w:r w:rsidRPr="001A7517">
        <w:rPr>
          <w:spacing w:val="-2"/>
        </w:rPr>
        <w:tab/>
        <w:t xml:space="preserve">The supplier may operate at any coagulant dose or pH necessary (consistent with other NPDWRs) to achieve the minimum TOC percent removal approved under </w:t>
      </w:r>
      <w:r w:rsidRPr="001A7517">
        <w:t xml:space="preserve">subsection </w:t>
      </w:r>
      <w:r w:rsidRPr="001A7517">
        <w:rPr>
          <w:spacing w:val="-2"/>
        </w:rPr>
        <w:t>(b)(3).</w:t>
      </w:r>
    </w:p>
    <w:p w14:paraId="551A31E0" w14:textId="77777777" w:rsidR="00551648" w:rsidRDefault="00551648" w:rsidP="00551648">
      <w:pPr>
        <w:suppressAutoHyphens/>
        <w:ind w:left="2880" w:hanging="720"/>
      </w:pPr>
    </w:p>
    <w:p w14:paraId="10EFAF48" w14:textId="63D3F2E5" w:rsidR="00810215" w:rsidRPr="001A7517" w:rsidRDefault="00810215" w:rsidP="00551648">
      <w:pPr>
        <w:suppressAutoHyphens/>
        <w:ind w:left="2880" w:hanging="720"/>
        <w:rPr>
          <w:spacing w:val="-2"/>
        </w:rPr>
      </w:pPr>
      <w:r w:rsidRPr="001A7517">
        <w:t>E</w:t>
      </w:r>
      <w:r w:rsidRPr="001A7517">
        <w:rPr>
          <w:spacing w:val="-2"/>
        </w:rPr>
        <w:t>)</w:t>
      </w:r>
      <w:r w:rsidRPr="001A7517">
        <w:rPr>
          <w:spacing w:val="-2"/>
        </w:rPr>
        <w:tab/>
        <w:t>If the TOC removal is consistently less than 0.3 mg/</w:t>
      </w:r>
      <w:r w:rsidRPr="001A7517">
        <w:t>ℓ</w:t>
      </w:r>
      <w:r w:rsidRPr="001A7517">
        <w:rPr>
          <w:spacing w:val="-2"/>
        </w:rPr>
        <w:t xml:space="preserve"> of TOC per 10 mg/</w:t>
      </w:r>
      <w:r w:rsidRPr="001A7517">
        <w:t>ℓ</w:t>
      </w:r>
      <w:r w:rsidRPr="001A7517">
        <w:rPr>
          <w:spacing w:val="-2"/>
        </w:rPr>
        <w:t xml:space="preserve"> of incremental alum dose at all dosages of alum (or equivalent addition of iron coagulant), the water is deemed to contain TOC not amenable to enhanced coagulation.  The supplier may then apply to the </w:t>
      </w:r>
      <w:r w:rsidRPr="001A7517">
        <w:t xml:space="preserve">Agency </w:t>
      </w:r>
      <w:r w:rsidRPr="001A7517">
        <w:rPr>
          <w:spacing w:val="-2"/>
        </w:rPr>
        <w:t xml:space="preserve">for a waiver of enhanced coagulation requirements.  </w:t>
      </w:r>
      <w:r w:rsidRPr="001A7517">
        <w:t>If the TOC removal is consistently less than 0.3 mg/ℓ of TOC per 10 mg/ℓ of incremental alum dose at all dosages of alum (or equivalent addition of iron coagulant), the Agency must grant the waiver of enhanced coagulation requirements.</w:t>
      </w:r>
    </w:p>
    <w:p w14:paraId="19B33810" w14:textId="77777777" w:rsidR="00551648" w:rsidRDefault="00551648" w:rsidP="00551648">
      <w:pPr>
        <w:suppressAutoHyphens/>
        <w:ind w:left="1440" w:hanging="720"/>
        <w:rPr>
          <w:spacing w:val="-2"/>
        </w:rPr>
      </w:pPr>
    </w:p>
    <w:p w14:paraId="56242A08" w14:textId="68F853C9" w:rsidR="00810215" w:rsidRPr="001A7517" w:rsidRDefault="00810215" w:rsidP="00551648">
      <w:pPr>
        <w:suppressAutoHyphens/>
        <w:ind w:left="1440" w:hanging="720"/>
        <w:rPr>
          <w:spacing w:val="-2"/>
        </w:rPr>
      </w:pPr>
      <w:r w:rsidRPr="001A7517">
        <w:rPr>
          <w:spacing w:val="-2"/>
        </w:rPr>
        <w:t>c)</w:t>
      </w:r>
      <w:r w:rsidRPr="001A7517">
        <w:rPr>
          <w:spacing w:val="-2"/>
        </w:rPr>
        <w:tab/>
        <w:t>Compliance Calculations</w:t>
      </w:r>
    </w:p>
    <w:p w14:paraId="75F9974A" w14:textId="77777777" w:rsidR="00551648" w:rsidRDefault="00551648" w:rsidP="00551648">
      <w:pPr>
        <w:suppressAutoHyphens/>
        <w:ind w:left="2160" w:hanging="720"/>
        <w:rPr>
          <w:spacing w:val="-2"/>
        </w:rPr>
      </w:pPr>
    </w:p>
    <w:p w14:paraId="446D5CAF" w14:textId="0B7A82D3" w:rsidR="00810215" w:rsidRPr="001A7517" w:rsidRDefault="00810215" w:rsidP="00551648">
      <w:pPr>
        <w:suppressAutoHyphens/>
        <w:ind w:left="2160" w:hanging="720"/>
        <w:rPr>
          <w:spacing w:val="-2"/>
        </w:rPr>
      </w:pPr>
      <w:r w:rsidRPr="001A7517">
        <w:rPr>
          <w:spacing w:val="-2"/>
        </w:rPr>
        <w:t>1)</w:t>
      </w:r>
      <w:r w:rsidRPr="001A7517">
        <w:rPr>
          <w:spacing w:val="-2"/>
        </w:rPr>
        <w:tab/>
        <w:t xml:space="preserve">A Subpart B system supplier other than those identified in subsection (a)(2) or (a)(3) </w:t>
      </w:r>
      <w:r w:rsidRPr="001A7517">
        <w:t xml:space="preserve">must </w:t>
      </w:r>
      <w:r w:rsidRPr="001A7517">
        <w:rPr>
          <w:spacing w:val="-2"/>
        </w:rPr>
        <w:t xml:space="preserve">comply with requirements contained in subsection (b)(2) or (b)(3).  A supplier </w:t>
      </w:r>
      <w:r w:rsidRPr="001A7517">
        <w:t xml:space="preserve">must </w:t>
      </w:r>
      <w:r w:rsidRPr="001A7517">
        <w:rPr>
          <w:spacing w:val="-2"/>
        </w:rPr>
        <w:t xml:space="preserve">calculate compliance quarterly, beginning after the supplier has collected </w:t>
      </w:r>
      <w:r w:rsidRPr="001A7517">
        <w:t xml:space="preserve">12 </w:t>
      </w:r>
      <w:r w:rsidRPr="001A7517">
        <w:rPr>
          <w:spacing w:val="-2"/>
        </w:rPr>
        <w:t>months of data, by determining an annual average using the following method:</w:t>
      </w:r>
    </w:p>
    <w:p w14:paraId="13D29192" w14:textId="77777777" w:rsidR="00551648" w:rsidRDefault="00551648" w:rsidP="00551648">
      <w:pPr>
        <w:suppressAutoHyphens/>
        <w:ind w:left="2880" w:hanging="720"/>
        <w:rPr>
          <w:spacing w:val="-2"/>
        </w:rPr>
      </w:pPr>
    </w:p>
    <w:p w14:paraId="32896F01" w14:textId="032DEC65" w:rsidR="00810215" w:rsidRPr="001A7517" w:rsidRDefault="00810215" w:rsidP="00551648">
      <w:pPr>
        <w:suppressAutoHyphens/>
        <w:ind w:left="2880" w:hanging="720"/>
        <w:rPr>
          <w:spacing w:val="-2"/>
        </w:rPr>
      </w:pPr>
      <w:r w:rsidRPr="001A7517">
        <w:rPr>
          <w:spacing w:val="-2"/>
        </w:rPr>
        <w:t>A)</w:t>
      </w:r>
      <w:r w:rsidRPr="001A7517">
        <w:rPr>
          <w:spacing w:val="-2"/>
        </w:rPr>
        <w:tab/>
        <w:t>Determine actual monthly TOC percent removal, equal to</w:t>
      </w:r>
      <w:r w:rsidRPr="001A7517">
        <w:t xml:space="preserve"> the following</w:t>
      </w:r>
      <w:r w:rsidRPr="001A7517">
        <w:rPr>
          <w:spacing w:val="-2"/>
        </w:rPr>
        <w:t>:</w:t>
      </w:r>
    </w:p>
    <w:p w14:paraId="5D745380" w14:textId="77777777" w:rsidR="00810215" w:rsidRPr="001A7517" w:rsidRDefault="00810215" w:rsidP="00810215">
      <w:pPr>
        <w:suppressAutoHyphens/>
        <w:spacing w:before="240"/>
        <w:ind w:left="3600"/>
        <w:rPr>
          <w:spacing w:val="-2"/>
        </w:rPr>
      </w:pPr>
      <w:r w:rsidRPr="001A7517">
        <w:rPr>
          <w:spacing w:val="-2"/>
          <w:position w:val="-30"/>
        </w:rPr>
        <w:object w:dxaOrig="3180" w:dyaOrig="720" w14:anchorId="358C2B23">
          <v:shape id="_x0000_i1028" type="#_x0000_t75" style="width:158pt;height:37pt" o:ole="" fillcolor="window">
            <v:imagedata r:id="rId26" o:title=""/>
          </v:shape>
          <o:OLEObject Type="Embed" ProgID="Equation.3" ShapeID="_x0000_i1028" DrawAspect="Content" ObjectID="_1801494023" r:id="rId27"/>
        </w:object>
      </w:r>
    </w:p>
    <w:p w14:paraId="3D7D7991" w14:textId="77777777" w:rsidR="00551648" w:rsidRDefault="00551648" w:rsidP="00551648">
      <w:pPr>
        <w:suppressAutoHyphens/>
        <w:ind w:left="2880" w:hanging="720"/>
        <w:rPr>
          <w:spacing w:val="-2"/>
        </w:rPr>
      </w:pPr>
    </w:p>
    <w:p w14:paraId="52B4430B" w14:textId="27ECAB89" w:rsidR="00810215" w:rsidRPr="001A7517" w:rsidRDefault="00810215" w:rsidP="00551648">
      <w:pPr>
        <w:suppressAutoHyphens/>
        <w:ind w:left="2880" w:hanging="720"/>
        <w:rPr>
          <w:spacing w:val="-2"/>
        </w:rPr>
      </w:pPr>
      <w:r w:rsidRPr="001A7517">
        <w:rPr>
          <w:spacing w:val="-2"/>
        </w:rPr>
        <w:t>B)</w:t>
      </w:r>
      <w:r w:rsidRPr="001A7517">
        <w:rPr>
          <w:spacing w:val="-2"/>
        </w:rPr>
        <w:tab/>
        <w:t>Determine the required monthly TOC percent removal.</w:t>
      </w:r>
    </w:p>
    <w:p w14:paraId="47DAD1A3" w14:textId="77777777" w:rsidR="00551648" w:rsidRDefault="00551648" w:rsidP="00551648">
      <w:pPr>
        <w:suppressAutoHyphens/>
        <w:ind w:left="2880" w:hanging="720"/>
        <w:rPr>
          <w:spacing w:val="-2"/>
        </w:rPr>
      </w:pPr>
    </w:p>
    <w:p w14:paraId="687CEC43" w14:textId="11AD7E81" w:rsidR="00810215" w:rsidRPr="001A7517" w:rsidRDefault="00810215" w:rsidP="00551648">
      <w:pPr>
        <w:suppressAutoHyphens/>
        <w:ind w:left="2880" w:hanging="720"/>
        <w:rPr>
          <w:spacing w:val="-2"/>
        </w:rPr>
      </w:pPr>
      <w:r w:rsidRPr="001A7517">
        <w:rPr>
          <w:spacing w:val="-2"/>
        </w:rPr>
        <w:t>C)</w:t>
      </w:r>
      <w:r w:rsidRPr="001A7517">
        <w:rPr>
          <w:spacing w:val="-2"/>
        </w:rPr>
        <w:tab/>
        <w:t>Divide the value in subsection (c)(1)(A) by the value in subsection (c)(1)(B).</w:t>
      </w:r>
    </w:p>
    <w:p w14:paraId="64F9FD5F" w14:textId="77777777" w:rsidR="00551648" w:rsidRDefault="00551648" w:rsidP="00551648">
      <w:pPr>
        <w:suppressAutoHyphens/>
        <w:ind w:left="2880" w:hanging="720"/>
        <w:rPr>
          <w:spacing w:val="-2"/>
        </w:rPr>
      </w:pPr>
    </w:p>
    <w:p w14:paraId="1B80BC6E" w14:textId="30A92B97" w:rsidR="00810215" w:rsidRPr="001A7517" w:rsidRDefault="00810215" w:rsidP="00551648">
      <w:pPr>
        <w:suppressAutoHyphens/>
        <w:ind w:left="2880" w:hanging="720"/>
        <w:rPr>
          <w:spacing w:val="-2"/>
        </w:rPr>
      </w:pPr>
      <w:r w:rsidRPr="001A7517">
        <w:rPr>
          <w:spacing w:val="-2"/>
        </w:rPr>
        <w:t>D)</w:t>
      </w:r>
      <w:r w:rsidRPr="001A7517">
        <w:rPr>
          <w:spacing w:val="-2"/>
        </w:rPr>
        <w:tab/>
        <w:t xml:space="preserve">Add together the results of subsection (c)(1)(C) for the last </w:t>
      </w:r>
      <w:r w:rsidRPr="001A7517">
        <w:t xml:space="preserve">12 </w:t>
      </w:r>
      <w:r w:rsidRPr="001A7517">
        <w:rPr>
          <w:spacing w:val="-2"/>
        </w:rPr>
        <w:t>months and divide by</w:t>
      </w:r>
      <w:r w:rsidRPr="001A7517">
        <w:t xml:space="preserve"> 12</w:t>
      </w:r>
      <w:r w:rsidRPr="001A7517">
        <w:rPr>
          <w:spacing w:val="-2"/>
        </w:rPr>
        <w:t>.</w:t>
      </w:r>
    </w:p>
    <w:p w14:paraId="1500C8F7" w14:textId="77777777" w:rsidR="00551648" w:rsidRDefault="00551648" w:rsidP="00551648">
      <w:pPr>
        <w:suppressAutoHyphens/>
        <w:ind w:left="2880" w:hanging="720"/>
        <w:rPr>
          <w:spacing w:val="-2"/>
        </w:rPr>
      </w:pPr>
    </w:p>
    <w:p w14:paraId="34C985A1" w14:textId="657A0438" w:rsidR="00810215" w:rsidRPr="001A7517" w:rsidRDefault="00810215" w:rsidP="00551648">
      <w:pPr>
        <w:suppressAutoHyphens/>
        <w:ind w:left="2880" w:hanging="720"/>
        <w:rPr>
          <w:spacing w:val="-2"/>
        </w:rPr>
      </w:pPr>
      <w:r w:rsidRPr="001A7517">
        <w:rPr>
          <w:spacing w:val="-2"/>
        </w:rPr>
        <w:t>E)</w:t>
      </w:r>
      <w:r w:rsidRPr="001A7517">
        <w:rPr>
          <w:spacing w:val="-2"/>
        </w:rPr>
        <w:tab/>
        <w:t>If the value calculated in subsection (c)(1)(D) is less than 1.00, the supplier is not in compliance with the TOC percent removal requirements.</w:t>
      </w:r>
    </w:p>
    <w:p w14:paraId="269BE58A" w14:textId="77777777" w:rsidR="00551648" w:rsidRDefault="00551648" w:rsidP="00551648">
      <w:pPr>
        <w:suppressAutoHyphens/>
        <w:ind w:left="2160" w:hanging="720"/>
        <w:rPr>
          <w:spacing w:val="-2"/>
        </w:rPr>
      </w:pPr>
    </w:p>
    <w:p w14:paraId="321837C6" w14:textId="5A2A5F6E" w:rsidR="00810215" w:rsidRPr="001A7517" w:rsidRDefault="00810215" w:rsidP="00551648">
      <w:pPr>
        <w:suppressAutoHyphens/>
        <w:ind w:left="2160" w:hanging="720"/>
        <w:rPr>
          <w:spacing w:val="-2"/>
        </w:rPr>
      </w:pPr>
      <w:r w:rsidRPr="001A7517">
        <w:rPr>
          <w:spacing w:val="-2"/>
        </w:rPr>
        <w:t>2)</w:t>
      </w:r>
      <w:r w:rsidRPr="001A7517">
        <w:rPr>
          <w:spacing w:val="-2"/>
        </w:rPr>
        <w:tab/>
        <w:t xml:space="preserve">A supplier may use the provisions in </w:t>
      </w:r>
      <w:r w:rsidRPr="001A7517">
        <w:t>subsections (c)(2)</w:t>
      </w:r>
      <w:r w:rsidRPr="001A7517">
        <w:rPr>
          <w:spacing w:val="-2"/>
        </w:rPr>
        <w:t>(A) through (c)(2)(E) in lieu of the calculations in subsection (c)(1)(A) through (c)(1)(E) to determine compliance with TOC percent removal requirements.</w:t>
      </w:r>
    </w:p>
    <w:p w14:paraId="31F6703F" w14:textId="77777777" w:rsidR="00551648" w:rsidRDefault="00551648" w:rsidP="00551648">
      <w:pPr>
        <w:suppressAutoHyphens/>
        <w:ind w:left="2880" w:hanging="720"/>
        <w:rPr>
          <w:spacing w:val="-2"/>
        </w:rPr>
      </w:pPr>
    </w:p>
    <w:p w14:paraId="662068F1" w14:textId="45C1AC29" w:rsidR="00810215" w:rsidRPr="001A7517" w:rsidRDefault="00810215" w:rsidP="00551648">
      <w:pPr>
        <w:suppressAutoHyphens/>
        <w:ind w:left="2880" w:hanging="720"/>
        <w:rPr>
          <w:spacing w:val="-2"/>
        </w:rPr>
      </w:pPr>
      <w:r w:rsidRPr="001A7517">
        <w:rPr>
          <w:spacing w:val="-2"/>
        </w:rPr>
        <w:t>A)</w:t>
      </w:r>
      <w:r w:rsidRPr="001A7517">
        <w:rPr>
          <w:spacing w:val="-2"/>
        </w:rPr>
        <w:tab/>
        <w:t>In any month that the supplier’s treated or source water TOC level, measured according to Section 611.381(d)(3), is less than 2.0 mg/</w:t>
      </w:r>
      <w:r w:rsidRPr="001A7517">
        <w:t>ℓ</w:t>
      </w:r>
      <w:r w:rsidRPr="001A7517">
        <w:rPr>
          <w:spacing w:val="-2"/>
        </w:rPr>
        <w:t>, the supplier may assign a monthly value of 1.0 (in lieu of the value calculated in subsection (c)(1)(C)) when calculating compliance under the provisions of subsection (c)(1).</w:t>
      </w:r>
    </w:p>
    <w:p w14:paraId="78B9CDCA" w14:textId="77777777" w:rsidR="00551648" w:rsidRDefault="00551648" w:rsidP="00551648">
      <w:pPr>
        <w:suppressAutoHyphens/>
        <w:ind w:left="2880" w:hanging="720"/>
        <w:rPr>
          <w:spacing w:val="-2"/>
        </w:rPr>
      </w:pPr>
    </w:p>
    <w:p w14:paraId="0466C05E" w14:textId="563CE213" w:rsidR="00810215" w:rsidRPr="001A7517" w:rsidRDefault="00810215" w:rsidP="00551648">
      <w:pPr>
        <w:suppressAutoHyphens/>
        <w:ind w:left="2880" w:hanging="720"/>
        <w:rPr>
          <w:spacing w:val="-2"/>
        </w:rPr>
      </w:pPr>
      <w:r w:rsidRPr="001A7517">
        <w:rPr>
          <w:spacing w:val="-2"/>
        </w:rPr>
        <w:t>B)</w:t>
      </w:r>
      <w:r w:rsidRPr="001A7517">
        <w:rPr>
          <w:spacing w:val="-2"/>
        </w:rPr>
        <w:tab/>
        <w:t>In any month that a system practicing softening removes at least 10 mg/</w:t>
      </w:r>
      <w:r w:rsidRPr="001A7517">
        <w:t>ℓ</w:t>
      </w:r>
      <w:r w:rsidRPr="001A7517">
        <w:rPr>
          <w:spacing w:val="-2"/>
        </w:rPr>
        <w:t xml:space="preserve"> of magnesium hardness (as CaCO</w:t>
      </w:r>
      <w:r w:rsidRPr="001A7517">
        <w:rPr>
          <w:spacing w:val="-2"/>
          <w:vertAlign w:val="subscript"/>
        </w:rPr>
        <w:t>3</w:t>
      </w:r>
      <w:r w:rsidRPr="001A7517">
        <w:rPr>
          <w:spacing w:val="-2"/>
        </w:rPr>
        <w:t>), the supplier may assign a monthly value of 1.0 (in lieu of the value calculated in subsection (c)(1</w:t>
      </w:r>
      <w:r w:rsidRPr="001A7517">
        <w:t>)</w:t>
      </w:r>
      <w:r w:rsidRPr="001A7517">
        <w:rPr>
          <w:spacing w:val="-2"/>
        </w:rPr>
        <w:t>(C)) when calculating compliance under the provisions of subsection (c)(1).</w:t>
      </w:r>
    </w:p>
    <w:p w14:paraId="4B7A5E86" w14:textId="77777777" w:rsidR="00551648" w:rsidRDefault="00551648" w:rsidP="00551648">
      <w:pPr>
        <w:suppressAutoHyphens/>
        <w:ind w:left="2880" w:hanging="720"/>
        <w:rPr>
          <w:spacing w:val="-2"/>
        </w:rPr>
      </w:pPr>
    </w:p>
    <w:p w14:paraId="74EE8F51" w14:textId="0B18A4E3" w:rsidR="00810215" w:rsidRPr="001A7517" w:rsidRDefault="00810215" w:rsidP="00551648">
      <w:pPr>
        <w:suppressAutoHyphens/>
        <w:ind w:left="2880" w:hanging="720"/>
        <w:rPr>
          <w:spacing w:val="-2"/>
        </w:rPr>
      </w:pPr>
      <w:r w:rsidRPr="001A7517">
        <w:rPr>
          <w:spacing w:val="-2"/>
        </w:rPr>
        <w:t>C)</w:t>
      </w:r>
      <w:r w:rsidRPr="001A7517">
        <w:rPr>
          <w:spacing w:val="-2"/>
        </w:rPr>
        <w:tab/>
        <w:t xml:space="preserve">In any month that the system’s source water SUVA, prior to any treatment and measured according to Section 611.381(d)(4), is </w:t>
      </w:r>
      <w:r w:rsidRPr="001A7517">
        <w:t xml:space="preserve">less than or equal to </w:t>
      </w:r>
      <w:r w:rsidRPr="001A7517">
        <w:rPr>
          <w:spacing w:val="-2"/>
        </w:rPr>
        <w:t xml:space="preserve">2.0 </w:t>
      </w:r>
      <w:r w:rsidRPr="001A7517">
        <w:t>ℓ</w:t>
      </w:r>
      <w:r w:rsidRPr="001A7517">
        <w:rPr>
          <w:spacing w:val="-2"/>
        </w:rPr>
        <w:t>/mg</w:t>
      </w:r>
      <w:r w:rsidRPr="001A7517">
        <w:rPr>
          <w:spacing w:val="-2"/>
        </w:rPr>
        <w:noBreakHyphen/>
        <w:t>m, the supplier may assign a monthly value of 1.0 (in lieu of the value calculated in subsection (c)(1)(C)) when calculating compliance under the provisions of subsection (c)(1).</w:t>
      </w:r>
    </w:p>
    <w:p w14:paraId="14F0AEFC" w14:textId="77777777" w:rsidR="00551648" w:rsidRDefault="00551648" w:rsidP="00551648">
      <w:pPr>
        <w:suppressAutoHyphens/>
        <w:ind w:left="2880" w:hanging="720"/>
        <w:rPr>
          <w:spacing w:val="-2"/>
        </w:rPr>
      </w:pPr>
    </w:p>
    <w:p w14:paraId="7EFD06F7" w14:textId="30890E27" w:rsidR="00810215" w:rsidRPr="001A7517" w:rsidRDefault="00810215" w:rsidP="00551648">
      <w:pPr>
        <w:suppressAutoHyphens/>
        <w:ind w:left="2880" w:hanging="720"/>
        <w:rPr>
          <w:spacing w:val="-2"/>
        </w:rPr>
      </w:pPr>
      <w:r w:rsidRPr="001A7517">
        <w:rPr>
          <w:spacing w:val="-2"/>
        </w:rPr>
        <w:t>D)</w:t>
      </w:r>
      <w:r w:rsidRPr="001A7517">
        <w:rPr>
          <w:spacing w:val="-2"/>
        </w:rPr>
        <w:tab/>
        <w:t xml:space="preserve">In any month that the system’s finished water SUVA, measured according to Section 611.381(d)(4), is </w:t>
      </w:r>
      <w:r w:rsidRPr="001A7517">
        <w:t xml:space="preserve">less than or equal to </w:t>
      </w:r>
      <w:r w:rsidRPr="001A7517">
        <w:rPr>
          <w:spacing w:val="-2"/>
        </w:rPr>
        <w:t xml:space="preserve">2.0 </w:t>
      </w:r>
      <w:r w:rsidRPr="001A7517">
        <w:t>ℓ</w:t>
      </w:r>
      <w:r w:rsidRPr="001A7517">
        <w:rPr>
          <w:spacing w:val="-2"/>
        </w:rPr>
        <w:t>/mg</w:t>
      </w:r>
      <w:r w:rsidRPr="001A7517">
        <w:rPr>
          <w:spacing w:val="-2"/>
        </w:rPr>
        <w:noBreakHyphen/>
        <w:t>m, the supplier may assign a monthly value of 1.0 (in lieu of the value calculated in subsection (c)(1)(C)) when calculating compliance under the provisions of subsection (c)(1).</w:t>
      </w:r>
    </w:p>
    <w:p w14:paraId="6E2AE8F6" w14:textId="77777777" w:rsidR="00551648" w:rsidRDefault="00551648" w:rsidP="00551648">
      <w:pPr>
        <w:suppressAutoHyphens/>
        <w:ind w:left="2880" w:hanging="720"/>
        <w:rPr>
          <w:spacing w:val="-2"/>
        </w:rPr>
      </w:pPr>
    </w:p>
    <w:p w14:paraId="4C012B57" w14:textId="7075B197" w:rsidR="00810215" w:rsidRPr="001A7517" w:rsidRDefault="00810215" w:rsidP="00551648">
      <w:pPr>
        <w:suppressAutoHyphens/>
        <w:ind w:left="2880" w:hanging="720"/>
        <w:rPr>
          <w:spacing w:val="-2"/>
        </w:rPr>
      </w:pPr>
      <w:r w:rsidRPr="001A7517">
        <w:rPr>
          <w:spacing w:val="-2"/>
        </w:rPr>
        <w:lastRenderedPageBreak/>
        <w:t>E)</w:t>
      </w:r>
      <w:r w:rsidRPr="001A7517">
        <w:rPr>
          <w:spacing w:val="-2"/>
        </w:rPr>
        <w:tab/>
        <w:t>In any month that a system practicing enhanced softening lowers alkalinity below 60 mg/</w:t>
      </w:r>
      <w:r w:rsidRPr="001A7517">
        <w:t>ℓ</w:t>
      </w:r>
      <w:r w:rsidRPr="001A7517">
        <w:rPr>
          <w:spacing w:val="-2"/>
        </w:rPr>
        <w:t xml:space="preserve"> (as CaCO</w:t>
      </w:r>
      <w:r w:rsidRPr="001A7517">
        <w:rPr>
          <w:spacing w:val="-2"/>
          <w:vertAlign w:val="subscript"/>
        </w:rPr>
        <w:t>3</w:t>
      </w:r>
      <w:r w:rsidRPr="001A7517">
        <w:rPr>
          <w:spacing w:val="-2"/>
        </w:rPr>
        <w:t>), the supplier may assign a monthly value of 1.0 (in lieu of the value calculated in subsection (c)(1)(C)) when calculating compliance under the provisions of subsection (c)(1).</w:t>
      </w:r>
    </w:p>
    <w:p w14:paraId="24CA4909" w14:textId="77777777" w:rsidR="00551648" w:rsidRDefault="00551648" w:rsidP="00551648">
      <w:pPr>
        <w:suppressAutoHyphens/>
        <w:ind w:left="2160" w:hanging="720"/>
        <w:rPr>
          <w:spacing w:val="-2"/>
        </w:rPr>
      </w:pPr>
    </w:p>
    <w:p w14:paraId="63E87AF3" w14:textId="7F380FFD" w:rsidR="00810215" w:rsidRPr="001A7517" w:rsidRDefault="00810215" w:rsidP="00551648">
      <w:pPr>
        <w:suppressAutoHyphens/>
        <w:ind w:left="2160" w:hanging="720"/>
        <w:rPr>
          <w:spacing w:val="-2"/>
        </w:rPr>
      </w:pPr>
      <w:r w:rsidRPr="001A7517">
        <w:rPr>
          <w:spacing w:val="-2"/>
        </w:rPr>
        <w:t>3)</w:t>
      </w:r>
      <w:r w:rsidRPr="001A7517">
        <w:rPr>
          <w:spacing w:val="-2"/>
        </w:rPr>
        <w:tab/>
        <w:t>A Subpart B system supplier using conventional treatment may also comply with the requirements of this Section by meeting the standards in subsection (a)(2) or (a)(3).</w:t>
      </w:r>
    </w:p>
    <w:p w14:paraId="376516D1" w14:textId="77777777" w:rsidR="00551648" w:rsidRDefault="00551648" w:rsidP="00551648">
      <w:pPr>
        <w:suppressAutoHyphens/>
        <w:ind w:left="1440" w:hanging="720"/>
        <w:rPr>
          <w:spacing w:val="-2"/>
        </w:rPr>
      </w:pPr>
    </w:p>
    <w:p w14:paraId="68C1AE04" w14:textId="7F6095F0" w:rsidR="00810215" w:rsidRPr="001A7517" w:rsidRDefault="00810215" w:rsidP="00551648">
      <w:pPr>
        <w:suppressAutoHyphens/>
        <w:ind w:left="1440" w:hanging="720"/>
        <w:rPr>
          <w:spacing w:val="-2"/>
        </w:rPr>
      </w:pPr>
      <w:r w:rsidRPr="001A7517">
        <w:rPr>
          <w:spacing w:val="-2"/>
        </w:rPr>
        <w:t>d)</w:t>
      </w:r>
      <w:r w:rsidRPr="001A7517">
        <w:rPr>
          <w:spacing w:val="-2"/>
        </w:rPr>
        <w:tab/>
        <w:t>Treatment Technique Requirements for Disinfection Byproduct (DBP) Precursors.  Treatment techniques to control the level of disinfection byproduct (DBP) precursors in drinking water treatment and distribution systems, for a Subpart B system supplier using conventional treatment, are enhanced coagulation or enhanced softening.</w:t>
      </w:r>
    </w:p>
    <w:p w14:paraId="1211976E" w14:textId="77777777" w:rsidR="00551648" w:rsidRDefault="00551648" w:rsidP="00551648">
      <w:pPr>
        <w:suppressAutoHyphens/>
        <w:rPr>
          <w:spacing w:val="-2"/>
        </w:rPr>
      </w:pPr>
    </w:p>
    <w:p w14:paraId="693DC550" w14:textId="3C2928DE" w:rsidR="00810215" w:rsidRPr="001A7517" w:rsidRDefault="00810215" w:rsidP="00551648">
      <w:pPr>
        <w:suppressAutoHyphens/>
        <w:rPr>
          <w:spacing w:val="-2"/>
        </w:rPr>
      </w:pPr>
      <w:r w:rsidRPr="001A7517">
        <w:rPr>
          <w:spacing w:val="-2"/>
        </w:rPr>
        <w:t>BOARD NOTE:  Derived from 40 CFR 141.135.</w:t>
      </w:r>
    </w:p>
    <w:p w14:paraId="209469FF" w14:textId="77777777" w:rsidR="00551648" w:rsidRDefault="00551648" w:rsidP="00551648">
      <w:pPr>
        <w:suppressAutoHyphens/>
        <w:ind w:left="720"/>
      </w:pPr>
    </w:p>
    <w:p w14:paraId="01C7838E" w14:textId="038842A9" w:rsidR="00810215" w:rsidRDefault="00810215" w:rsidP="00551648">
      <w:pPr>
        <w:suppressAutoHyphens/>
        <w:ind w:left="720"/>
      </w:pPr>
      <w:r w:rsidRPr="001A7517">
        <w:t>(Source:  A</w:t>
      </w:r>
      <w:r w:rsidRPr="001A7517">
        <w:rPr>
          <w:szCs w:val="17"/>
        </w:rPr>
        <w:t xml:space="preserve">mended at </w:t>
      </w:r>
      <w:r w:rsidRPr="001A7517">
        <w:t>44 Ill. Reg. 6996, effective April 17, 2020)</w:t>
      </w:r>
    </w:p>
    <w:p w14:paraId="1D71F017" w14:textId="77777777" w:rsidR="00551648" w:rsidRPr="001A7517" w:rsidRDefault="00551648" w:rsidP="00551648">
      <w:pPr>
        <w:suppressAutoHyphens/>
        <w:ind w:left="720"/>
      </w:pPr>
    </w:p>
    <w:p w14:paraId="5AF7FB67" w14:textId="77777777" w:rsidR="00551648" w:rsidRPr="001A7517" w:rsidRDefault="00551648" w:rsidP="00551648">
      <w:pPr>
        <w:jc w:val="center"/>
      </w:pPr>
      <w:r w:rsidRPr="001A7517">
        <w:t>SUBPART K:  GENERAL MONITORING AND ANALYTICAL REQUIREMENTS</w:t>
      </w:r>
    </w:p>
    <w:p w14:paraId="05E98862" w14:textId="77777777" w:rsidR="00551648" w:rsidRDefault="00551648" w:rsidP="00551648">
      <w:pPr>
        <w:rPr>
          <w:b/>
          <w:bCs/>
        </w:rPr>
      </w:pPr>
    </w:p>
    <w:p w14:paraId="76747542" w14:textId="11806684" w:rsidR="00551648" w:rsidRPr="00551648" w:rsidRDefault="00551648" w:rsidP="00551648">
      <w:pPr>
        <w:rPr>
          <w:b/>
          <w:bCs/>
        </w:rPr>
      </w:pPr>
      <w:r w:rsidRPr="00551648">
        <w:rPr>
          <w:b/>
          <w:bCs/>
        </w:rPr>
        <w:t>Section 611.480  Alternative Analytical Techniques</w:t>
      </w:r>
    </w:p>
    <w:p w14:paraId="279C6565" w14:textId="77777777" w:rsidR="00551648" w:rsidRDefault="00551648" w:rsidP="00551648">
      <w:pPr>
        <w:suppressAutoHyphens/>
      </w:pPr>
    </w:p>
    <w:p w14:paraId="6CC352D2" w14:textId="7CC834BE" w:rsidR="00551648" w:rsidRPr="001A7517" w:rsidRDefault="00551648" w:rsidP="00551648">
      <w:pPr>
        <w:suppressAutoHyphens/>
      </w:pPr>
      <w:r w:rsidRPr="001A7517">
        <w:t>The Agency must approve, by a SEP, an alternative analytical technique if it determines that USEPA has approved the method as an alternative method by adding it to 40 CFR 141 and the Board has not incorporated the federal approval into this Part 611.  The Agency must not approve an alternative analytical technique without the concurrence of USEPA.  The use of the alternative analytical technique must not decrease the frequency of monitoring required by this Part.</w:t>
      </w:r>
    </w:p>
    <w:p w14:paraId="04AEA780" w14:textId="77777777" w:rsidR="00551648" w:rsidRDefault="00551648" w:rsidP="00551648">
      <w:pPr>
        <w:suppressAutoHyphens/>
      </w:pPr>
    </w:p>
    <w:p w14:paraId="1C4D2738" w14:textId="488B5880" w:rsidR="00551648" w:rsidRDefault="00551648" w:rsidP="00551648">
      <w:pPr>
        <w:suppressAutoHyphens/>
      </w:pPr>
      <w:r w:rsidRPr="001A7517">
        <w:t>BOARD NOTE:  Derived from 40 CFR 141.27.</w:t>
      </w:r>
    </w:p>
    <w:p w14:paraId="24CF13BF" w14:textId="77777777" w:rsidR="00551648" w:rsidRPr="001A7517" w:rsidRDefault="00551648" w:rsidP="00551648">
      <w:pPr>
        <w:suppressAutoHyphens/>
      </w:pPr>
    </w:p>
    <w:p w14:paraId="56E65C98" w14:textId="3B5C83D6" w:rsidR="00551648" w:rsidRDefault="00551648" w:rsidP="00551648">
      <w:pPr>
        <w:ind w:left="720"/>
      </w:pPr>
      <w:r w:rsidRPr="001A7517">
        <w:t>(Source:  Amended at 33 Ill. Reg. 633, effective December 30, 2008)</w:t>
      </w:r>
    </w:p>
    <w:p w14:paraId="673A7445" w14:textId="77777777" w:rsidR="00551648" w:rsidRPr="001A7517" w:rsidRDefault="00551648" w:rsidP="00551648">
      <w:pPr>
        <w:ind w:left="720"/>
      </w:pPr>
    </w:p>
    <w:p w14:paraId="5E7B1779" w14:textId="6651F03D" w:rsidR="00551648" w:rsidRDefault="00551648" w:rsidP="00551648">
      <w:pPr>
        <w:rPr>
          <w:b/>
          <w:bCs/>
        </w:rPr>
      </w:pPr>
      <w:r w:rsidRPr="00551648">
        <w:rPr>
          <w:b/>
          <w:bCs/>
        </w:rPr>
        <w:t>Section 611.490  Certified Laboratories</w:t>
      </w:r>
    </w:p>
    <w:p w14:paraId="707A3CE8" w14:textId="77777777" w:rsidR="00551648" w:rsidRPr="00551648" w:rsidRDefault="00551648" w:rsidP="00551648">
      <w:pPr>
        <w:rPr>
          <w:rFonts w:eastAsia="Arial Unicode MS"/>
          <w:b/>
          <w:bCs/>
        </w:rPr>
      </w:pPr>
    </w:p>
    <w:p w14:paraId="33405825" w14:textId="1C7F8DF0" w:rsidR="00551648" w:rsidRDefault="00551648" w:rsidP="00551648">
      <w:pPr>
        <w:ind w:left="1440" w:hanging="720"/>
      </w:pPr>
      <w:r w:rsidRPr="001A7517">
        <w:t>a)</w:t>
      </w:r>
      <w:r w:rsidRPr="001A7517">
        <w:tab/>
        <w:t xml:space="preserve">For the purpose of determining compliance with </w:t>
      </w:r>
      <w:bookmarkStart w:id="3511" w:name="_Hlk2267538"/>
      <w:r w:rsidRPr="001A7517">
        <w:t>Subparts G, K through O, Q, and S</w:t>
      </w:r>
      <w:bookmarkEnd w:id="3511"/>
      <w:r w:rsidRPr="001A7517">
        <w:t>, samples will be considered only if they have been analyzed by one of the following:</w:t>
      </w:r>
    </w:p>
    <w:p w14:paraId="6474FB30" w14:textId="77777777" w:rsidR="00551648" w:rsidRPr="001A7517" w:rsidRDefault="00551648" w:rsidP="00551648">
      <w:pPr>
        <w:ind w:left="1440" w:hanging="720"/>
      </w:pPr>
    </w:p>
    <w:p w14:paraId="46825F74" w14:textId="76D559D1" w:rsidR="00551648" w:rsidRDefault="00551648" w:rsidP="00551648">
      <w:pPr>
        <w:ind w:left="2160" w:hanging="720"/>
      </w:pPr>
      <w:r w:rsidRPr="001A7517">
        <w:t>1)</w:t>
      </w:r>
      <w:r w:rsidRPr="001A7517">
        <w:tab/>
        <w:t xml:space="preserve">A laboratory certified under Section 4(o) of the </w:t>
      </w:r>
      <w:r w:rsidRPr="001A7517">
        <w:rPr>
          <w:spacing w:val="-2"/>
        </w:rPr>
        <w:t>Act</w:t>
      </w:r>
      <w:r w:rsidRPr="001A7517">
        <w:t>;</w:t>
      </w:r>
    </w:p>
    <w:p w14:paraId="71E3B104" w14:textId="77777777" w:rsidR="00551648" w:rsidRPr="001A7517" w:rsidRDefault="00551648" w:rsidP="00551648">
      <w:pPr>
        <w:ind w:left="2160" w:hanging="720"/>
      </w:pPr>
    </w:p>
    <w:p w14:paraId="1294C115" w14:textId="470ADDAA" w:rsidR="00551648" w:rsidRDefault="00551648" w:rsidP="00551648">
      <w:pPr>
        <w:ind w:left="2160" w:hanging="720"/>
      </w:pPr>
      <w:r w:rsidRPr="001A7517">
        <w:t>2)</w:t>
      </w:r>
      <w:r w:rsidRPr="001A7517">
        <w:tab/>
        <w:t>A laboratory certified by USEPA;</w:t>
      </w:r>
    </w:p>
    <w:p w14:paraId="06E69C4D" w14:textId="77777777" w:rsidR="00551648" w:rsidRPr="001A7517" w:rsidRDefault="00551648" w:rsidP="00551648">
      <w:pPr>
        <w:ind w:left="2160" w:hanging="720"/>
      </w:pPr>
    </w:p>
    <w:p w14:paraId="6FBFF13B" w14:textId="5806EBC5" w:rsidR="00551648" w:rsidRDefault="00551648" w:rsidP="00551648">
      <w:pPr>
        <w:suppressAutoHyphens/>
        <w:ind w:left="2160" w:right="720" w:hanging="720"/>
      </w:pPr>
      <w:r w:rsidRPr="001A7517">
        <w:lastRenderedPageBreak/>
        <w:t>3)</w:t>
      </w:r>
      <w:r w:rsidRPr="001A7517">
        <w:tab/>
        <w:t>When no laboratory has been certified under subsection (a)(1) to analyze a particular contaminant, a laboratory certified, registered, accredited, licensed, or otherwise approved by another state with primary enforcement responsibility, or an agency of the federal government, unless the Agency has, by written notice, informed the supplier that a particular laboratory or laboratories may not be used; or</w:t>
      </w:r>
    </w:p>
    <w:p w14:paraId="1C8FCE71" w14:textId="77777777" w:rsidR="00551648" w:rsidRPr="001A7517" w:rsidRDefault="00551648" w:rsidP="00551648">
      <w:pPr>
        <w:suppressAutoHyphens/>
        <w:ind w:left="2160" w:right="720" w:hanging="720"/>
      </w:pPr>
    </w:p>
    <w:p w14:paraId="319663E3" w14:textId="53EF91C7" w:rsidR="00551648" w:rsidRDefault="00551648" w:rsidP="00551648">
      <w:pPr>
        <w:ind w:left="2160" w:hanging="720"/>
      </w:pPr>
      <w:r w:rsidRPr="001A7517">
        <w:t>4)</w:t>
      </w:r>
      <w:r w:rsidRPr="001A7517">
        <w:tab/>
        <w:t>For measurements of alkalinity, calcium, conductivity, disinfectant residual, orthophosphate, silica, turbidity, free chlorine residual, temperature, and pH, a person under the supervision of a certified operator (35 Ill. Adm. Code 603.103).</w:t>
      </w:r>
    </w:p>
    <w:p w14:paraId="28B85922" w14:textId="77777777" w:rsidR="00551648" w:rsidRPr="001A7517" w:rsidRDefault="00551648" w:rsidP="00551648">
      <w:pPr>
        <w:ind w:left="2160" w:hanging="720"/>
      </w:pPr>
    </w:p>
    <w:p w14:paraId="7182D441" w14:textId="43403F06" w:rsidR="00551648" w:rsidRDefault="00551648" w:rsidP="00551648">
      <w:pPr>
        <w:suppressAutoHyphens/>
        <w:ind w:left="1440" w:hanging="720"/>
      </w:pPr>
      <w:r w:rsidRPr="001A7517">
        <w:t>b)</w:t>
      </w:r>
      <w:r w:rsidRPr="001A7517">
        <w:tab/>
        <w:t>Nothing in this Part must be construed to preclude the Agency or any duly designated representative of the Agency from taking samples or from using the results from such samples to determine compliance by a supplier of water with the applicable requirements of this Part.</w:t>
      </w:r>
    </w:p>
    <w:p w14:paraId="12BEA292" w14:textId="77777777" w:rsidR="00551648" w:rsidRPr="001A7517" w:rsidRDefault="00551648" w:rsidP="00551648">
      <w:pPr>
        <w:suppressAutoHyphens/>
        <w:ind w:left="1440" w:hanging="720"/>
      </w:pPr>
    </w:p>
    <w:p w14:paraId="4315A4D2" w14:textId="366F8944" w:rsidR="00551648" w:rsidRDefault="00551648" w:rsidP="00551648">
      <w:pPr>
        <w:ind w:left="1440" w:hanging="720"/>
      </w:pPr>
      <w:r w:rsidRPr="001A7517">
        <w:t>c)</w:t>
      </w:r>
      <w:r w:rsidRPr="001A7517">
        <w:tab/>
        <w:t>The CWS supplier must have required analyses performed either at an Agency laboratory or a certified laboratory.  The Agency may require that some or all of the required samples be submitted to its laboratories.</w:t>
      </w:r>
    </w:p>
    <w:p w14:paraId="6FF1C174" w14:textId="77777777" w:rsidR="00551648" w:rsidRPr="001A7517" w:rsidRDefault="00551648" w:rsidP="00551648">
      <w:pPr>
        <w:ind w:left="1440" w:hanging="720"/>
      </w:pPr>
    </w:p>
    <w:p w14:paraId="3060D2A6" w14:textId="2897717C" w:rsidR="00551648" w:rsidRDefault="00551648" w:rsidP="00551648">
      <w:r w:rsidRPr="001A7517">
        <w:t>BOARD NOTE: Subsections (a)(1), (a)(2), (a)(4), and (b) are derived from 40 CFR 141.28.  Subsections (a)(3) and (c) are additional State requirements.</w:t>
      </w:r>
    </w:p>
    <w:p w14:paraId="54E95CB7" w14:textId="77777777" w:rsidR="00551648" w:rsidRPr="001A7517" w:rsidRDefault="00551648" w:rsidP="00551648"/>
    <w:p w14:paraId="0D7DF34A" w14:textId="1431D9E9" w:rsidR="00551648" w:rsidRDefault="00551648" w:rsidP="00551648">
      <w:pPr>
        <w:suppressAutoHyphens/>
        <w:ind w:left="720"/>
      </w:pPr>
      <w:r w:rsidRPr="001A7517">
        <w:t>(Source:  A</w:t>
      </w:r>
      <w:r w:rsidRPr="001A7517">
        <w:rPr>
          <w:szCs w:val="17"/>
        </w:rPr>
        <w:t xml:space="preserve">mended at </w:t>
      </w:r>
      <w:r w:rsidRPr="001A7517">
        <w:t>44 Ill. Reg. 6996, effective April 17, 2020)</w:t>
      </w:r>
    </w:p>
    <w:p w14:paraId="57817DE9" w14:textId="77777777" w:rsidR="00551648" w:rsidRPr="001A7517" w:rsidRDefault="00551648" w:rsidP="00551648">
      <w:pPr>
        <w:suppressAutoHyphens/>
        <w:ind w:left="720"/>
      </w:pPr>
    </w:p>
    <w:p w14:paraId="33EB0E36" w14:textId="77777777" w:rsidR="00551648" w:rsidRPr="00551648" w:rsidRDefault="00551648" w:rsidP="00551648">
      <w:pPr>
        <w:rPr>
          <w:b/>
          <w:bCs/>
        </w:rPr>
      </w:pPr>
      <w:r w:rsidRPr="00551648">
        <w:rPr>
          <w:b/>
          <w:bCs/>
        </w:rPr>
        <w:t>Section 611.491  Laboratory Testing Equipment (Repealed)</w:t>
      </w:r>
    </w:p>
    <w:p w14:paraId="5B8D0D86" w14:textId="77777777" w:rsidR="00551648" w:rsidRPr="001A7517" w:rsidRDefault="00551648" w:rsidP="00551648"/>
    <w:p w14:paraId="4D4CBAB3" w14:textId="23326379" w:rsidR="00551648" w:rsidRDefault="00551648" w:rsidP="00551648">
      <w:r>
        <w:tab/>
      </w:r>
      <w:r w:rsidRPr="001A7517">
        <w:t>(Source:  Repealed at 43 Ill. Reg. 8206, effective July 26, 2003)</w:t>
      </w:r>
    </w:p>
    <w:p w14:paraId="5F1ED067" w14:textId="77777777" w:rsidR="00551648" w:rsidRPr="001A7517" w:rsidRDefault="00551648" w:rsidP="00551648"/>
    <w:p w14:paraId="13A349E2" w14:textId="77777777" w:rsidR="00551648" w:rsidRPr="00551648" w:rsidRDefault="00551648" w:rsidP="00551648">
      <w:pPr>
        <w:rPr>
          <w:b/>
          <w:bCs/>
        </w:rPr>
      </w:pPr>
      <w:bookmarkStart w:id="3512" w:name="_Hlk26269718"/>
      <w:r w:rsidRPr="00551648">
        <w:rPr>
          <w:b/>
          <w:bCs/>
        </w:rPr>
        <w:t>Section 611.500  Consecutive PWSs</w:t>
      </w:r>
    </w:p>
    <w:p w14:paraId="7AC4DE89" w14:textId="77777777" w:rsidR="00551648" w:rsidRDefault="00551648" w:rsidP="00551648">
      <w:pPr>
        <w:suppressAutoHyphens/>
      </w:pPr>
    </w:p>
    <w:p w14:paraId="7A56294E" w14:textId="6C405334" w:rsidR="00551648" w:rsidRPr="001A7517" w:rsidRDefault="00551648" w:rsidP="00551648">
      <w:pPr>
        <w:suppressAutoHyphens/>
      </w:pPr>
      <w:r w:rsidRPr="001A7517">
        <w:t>When a PWS supplies water to one or more other PWSs, the Agency must modify the monitoring requirements imposed by this Part to the extent that the interconnection of the PWSs justifies treating them as a single PWS for monitoring purposes.  Any modified monitoring must be conducted under a schedule specified by a SEP.  The Agency must not approve such modified monitoring without the concurrence of USEPA.</w:t>
      </w:r>
    </w:p>
    <w:p w14:paraId="4B562412" w14:textId="77777777" w:rsidR="00551648" w:rsidRDefault="00551648" w:rsidP="00551648">
      <w:pPr>
        <w:suppressAutoHyphens/>
      </w:pPr>
    </w:p>
    <w:p w14:paraId="567B9D1B" w14:textId="6D9A164B" w:rsidR="00551648" w:rsidRPr="001A7517" w:rsidRDefault="00551648" w:rsidP="00551648">
      <w:pPr>
        <w:suppressAutoHyphens/>
      </w:pPr>
      <w:r w:rsidRPr="001A7517">
        <w:t>BOARD NOTE:  Derived from 40 CFR 141.29.</w:t>
      </w:r>
    </w:p>
    <w:p w14:paraId="5A6BF326" w14:textId="77777777" w:rsidR="00551648" w:rsidRDefault="00551648" w:rsidP="00551648">
      <w:pPr>
        <w:suppressAutoHyphens/>
        <w:ind w:left="720"/>
      </w:pPr>
    </w:p>
    <w:p w14:paraId="5F46F3BE" w14:textId="7A5BE778" w:rsidR="00551648" w:rsidRDefault="00551648" w:rsidP="00551648">
      <w:pPr>
        <w:suppressAutoHyphens/>
        <w:ind w:left="720"/>
      </w:pPr>
      <w:r w:rsidRPr="001A7517">
        <w:t>(Source:  Amended at 27 Ill. Reg. 16447, effective October 10, 2019)</w:t>
      </w:r>
    </w:p>
    <w:p w14:paraId="32CBF1A9" w14:textId="77777777" w:rsidR="00551648" w:rsidRPr="001A7517" w:rsidRDefault="00551648" w:rsidP="00551648">
      <w:pPr>
        <w:suppressAutoHyphens/>
        <w:ind w:left="720"/>
      </w:pPr>
    </w:p>
    <w:bookmarkEnd w:id="3512"/>
    <w:p w14:paraId="40019F2F" w14:textId="77777777" w:rsidR="00551648" w:rsidRPr="00551648" w:rsidRDefault="00551648" w:rsidP="00551648">
      <w:pPr>
        <w:rPr>
          <w:b/>
          <w:bCs/>
        </w:rPr>
      </w:pPr>
      <w:r w:rsidRPr="00551648">
        <w:rPr>
          <w:b/>
          <w:bCs/>
        </w:rPr>
        <w:t>Section 611.510  Special Monitoring for Unregulated Contaminants (Repealed)</w:t>
      </w:r>
    </w:p>
    <w:p w14:paraId="19449BC7" w14:textId="77777777" w:rsidR="00551648" w:rsidRPr="00551648" w:rsidRDefault="00551648" w:rsidP="00551648">
      <w:pPr>
        <w:rPr>
          <w:b/>
          <w:bCs/>
        </w:rPr>
      </w:pPr>
    </w:p>
    <w:p w14:paraId="6DBB234F" w14:textId="09B10A3E" w:rsidR="00551648" w:rsidRDefault="00551648" w:rsidP="00551648">
      <w:pPr>
        <w:suppressAutoHyphens/>
        <w:ind w:left="720"/>
      </w:pPr>
      <w:r w:rsidRPr="001A7517">
        <w:lastRenderedPageBreak/>
        <w:t>(Source:  Repealed at 27 Ill. Reg. 16447, effective October 10, 2003)</w:t>
      </w:r>
    </w:p>
    <w:p w14:paraId="67E2997A" w14:textId="77777777" w:rsidR="006D3CC8" w:rsidRPr="001A7517" w:rsidRDefault="006D3CC8" w:rsidP="00551648">
      <w:pPr>
        <w:suppressAutoHyphens/>
        <w:ind w:left="720"/>
      </w:pPr>
    </w:p>
    <w:p w14:paraId="3F469266" w14:textId="7B26DCEB" w:rsidR="00551648" w:rsidRDefault="00551648" w:rsidP="006D3CC8">
      <w:pPr>
        <w:jc w:val="center"/>
      </w:pPr>
      <w:r w:rsidRPr="001A7517">
        <w:t>SUBPART L: MICROBIOLOGICAL MONITORING AND ANALYTICAL REQUIREMENTS</w:t>
      </w:r>
    </w:p>
    <w:p w14:paraId="1CF63063" w14:textId="77777777" w:rsidR="006D3CC8" w:rsidRPr="001A7517" w:rsidRDefault="006D3CC8" w:rsidP="006D3CC8">
      <w:pPr>
        <w:jc w:val="center"/>
      </w:pPr>
    </w:p>
    <w:p w14:paraId="116B20E9" w14:textId="77777777" w:rsidR="00551648" w:rsidRPr="006D3CC8" w:rsidRDefault="00551648" w:rsidP="006D3CC8">
      <w:pPr>
        <w:rPr>
          <w:b/>
          <w:bCs/>
        </w:rPr>
      </w:pPr>
      <w:r w:rsidRPr="006D3CC8">
        <w:rPr>
          <w:b/>
          <w:bCs/>
        </w:rPr>
        <w:t>Section 611.521  Routine Coliform Monitoring (Repealed)</w:t>
      </w:r>
    </w:p>
    <w:p w14:paraId="55DA338E" w14:textId="77777777" w:rsidR="00551648" w:rsidRPr="001A7517" w:rsidRDefault="00551648" w:rsidP="006D3CC8">
      <w:pPr>
        <w:widowControl w:val="0"/>
      </w:pPr>
    </w:p>
    <w:p w14:paraId="2EF8AF2B" w14:textId="2BAB1A1C"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5E157D56" w14:textId="77777777" w:rsidR="006D3CC8" w:rsidRPr="001A7517" w:rsidRDefault="006D3CC8" w:rsidP="006D3CC8">
      <w:pPr>
        <w:suppressAutoHyphens/>
        <w:ind w:left="720"/>
      </w:pPr>
    </w:p>
    <w:p w14:paraId="1564E3A2" w14:textId="77777777" w:rsidR="00551648" w:rsidRPr="006D3CC8" w:rsidRDefault="00551648" w:rsidP="006D3CC8">
      <w:pPr>
        <w:rPr>
          <w:b/>
          <w:bCs/>
        </w:rPr>
      </w:pPr>
      <w:r w:rsidRPr="006D3CC8">
        <w:rPr>
          <w:b/>
          <w:bCs/>
        </w:rPr>
        <w:t>Section 611.522  Repeat Coliform Monitoring (Repealed)</w:t>
      </w:r>
    </w:p>
    <w:p w14:paraId="5A7D7D9D" w14:textId="77777777" w:rsidR="00551648" w:rsidRPr="001A7517" w:rsidRDefault="00551648" w:rsidP="006D3CC8"/>
    <w:p w14:paraId="1B48DFFB" w14:textId="79762BEC"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457FFB37" w14:textId="77777777" w:rsidR="006D3CC8" w:rsidRPr="001A7517" w:rsidRDefault="006D3CC8" w:rsidP="006D3CC8">
      <w:pPr>
        <w:suppressAutoHyphens/>
        <w:ind w:left="720"/>
      </w:pPr>
    </w:p>
    <w:p w14:paraId="55C561E5" w14:textId="77777777" w:rsidR="00551648" w:rsidRPr="006D3CC8" w:rsidRDefault="00551648" w:rsidP="006D3CC8">
      <w:pPr>
        <w:rPr>
          <w:b/>
          <w:bCs/>
        </w:rPr>
      </w:pPr>
      <w:r w:rsidRPr="006D3CC8">
        <w:rPr>
          <w:b/>
          <w:bCs/>
        </w:rPr>
        <w:t>Section 611.523  Invalidation of Total Coliform Samples (Repealed)</w:t>
      </w:r>
    </w:p>
    <w:p w14:paraId="1049737F" w14:textId="77777777" w:rsidR="00551648" w:rsidRPr="001A7517" w:rsidRDefault="00551648" w:rsidP="006D3CC8"/>
    <w:p w14:paraId="6CE098CA" w14:textId="59D537D5"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63CBD1D3" w14:textId="77777777" w:rsidR="006D3CC8" w:rsidRPr="001A7517" w:rsidRDefault="006D3CC8" w:rsidP="006D3CC8">
      <w:pPr>
        <w:suppressAutoHyphens/>
        <w:ind w:left="720"/>
      </w:pPr>
    </w:p>
    <w:p w14:paraId="7F526C6C" w14:textId="77777777" w:rsidR="00551648" w:rsidRPr="006D3CC8" w:rsidRDefault="00551648" w:rsidP="006D3CC8">
      <w:pPr>
        <w:rPr>
          <w:b/>
          <w:bCs/>
        </w:rPr>
      </w:pPr>
      <w:r w:rsidRPr="006D3CC8">
        <w:rPr>
          <w:b/>
          <w:bCs/>
        </w:rPr>
        <w:t>Section 611.524  Sanitary Surveys (Repealed)</w:t>
      </w:r>
    </w:p>
    <w:p w14:paraId="181672EF" w14:textId="77777777" w:rsidR="00551648" w:rsidRPr="006D3CC8" w:rsidRDefault="00551648" w:rsidP="006D3CC8">
      <w:pPr>
        <w:rPr>
          <w:b/>
          <w:bCs/>
        </w:rPr>
      </w:pPr>
    </w:p>
    <w:p w14:paraId="3043EC81" w14:textId="1D3D77A0"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5A230526" w14:textId="77777777" w:rsidR="006D3CC8" w:rsidRPr="001A7517" w:rsidRDefault="006D3CC8" w:rsidP="006D3CC8">
      <w:pPr>
        <w:suppressAutoHyphens/>
        <w:ind w:left="720"/>
      </w:pPr>
    </w:p>
    <w:p w14:paraId="38D4D4C0" w14:textId="77777777" w:rsidR="00551648" w:rsidRPr="006D3CC8" w:rsidRDefault="00551648" w:rsidP="006D3CC8">
      <w:pPr>
        <w:rPr>
          <w:b/>
          <w:bCs/>
        </w:rPr>
      </w:pPr>
      <w:r w:rsidRPr="006D3CC8">
        <w:rPr>
          <w:b/>
          <w:bCs/>
        </w:rPr>
        <w:t>Section 611.525  Fecal Coliform and E. Coli Testing (Repealed)</w:t>
      </w:r>
    </w:p>
    <w:p w14:paraId="57F292F4" w14:textId="77777777" w:rsidR="00551648" w:rsidRPr="006D3CC8" w:rsidRDefault="00551648" w:rsidP="006D3CC8">
      <w:pPr>
        <w:rPr>
          <w:b/>
          <w:bCs/>
        </w:rPr>
      </w:pPr>
    </w:p>
    <w:p w14:paraId="0FFC863E" w14:textId="0C895C59"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0CA87822" w14:textId="77777777" w:rsidR="006D3CC8" w:rsidRPr="001A7517" w:rsidRDefault="006D3CC8" w:rsidP="006D3CC8">
      <w:pPr>
        <w:suppressAutoHyphens/>
        <w:ind w:left="720"/>
      </w:pPr>
    </w:p>
    <w:p w14:paraId="65B6A5B4" w14:textId="77777777" w:rsidR="00551648" w:rsidRPr="006D3CC8" w:rsidRDefault="00551648" w:rsidP="006D3CC8">
      <w:pPr>
        <w:rPr>
          <w:rFonts w:eastAsia="Arial Unicode MS"/>
          <w:b/>
          <w:bCs/>
        </w:rPr>
      </w:pPr>
      <w:r w:rsidRPr="006D3CC8">
        <w:rPr>
          <w:b/>
          <w:bCs/>
        </w:rPr>
        <w:t>Section 611.526  Analytical Methodology (Repealed)</w:t>
      </w:r>
    </w:p>
    <w:p w14:paraId="2AFFD889" w14:textId="77777777" w:rsidR="00551648" w:rsidRPr="001A7517" w:rsidRDefault="00551648" w:rsidP="006D3CC8">
      <w:pPr>
        <w:widowControl w:val="0"/>
      </w:pPr>
    </w:p>
    <w:p w14:paraId="3422DA0F" w14:textId="361573DD"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700AB202" w14:textId="77777777" w:rsidR="006D3CC8" w:rsidRPr="001A7517" w:rsidRDefault="006D3CC8" w:rsidP="006D3CC8">
      <w:pPr>
        <w:suppressAutoHyphens/>
        <w:ind w:left="720"/>
      </w:pPr>
    </w:p>
    <w:p w14:paraId="38144692" w14:textId="77777777" w:rsidR="00551648" w:rsidRPr="006D3CC8" w:rsidRDefault="00551648" w:rsidP="006D3CC8">
      <w:pPr>
        <w:rPr>
          <w:b/>
          <w:bCs/>
        </w:rPr>
      </w:pPr>
      <w:r w:rsidRPr="006D3CC8">
        <w:rPr>
          <w:b/>
          <w:bCs/>
        </w:rPr>
        <w:t>Section 611.527  Response to Violation (Repealed)</w:t>
      </w:r>
    </w:p>
    <w:p w14:paraId="7CE40FB3" w14:textId="77777777" w:rsidR="00551648" w:rsidRPr="006D3CC8" w:rsidRDefault="00551648" w:rsidP="006D3CC8">
      <w:pPr>
        <w:rPr>
          <w:b/>
          <w:bCs/>
        </w:rPr>
      </w:pPr>
    </w:p>
    <w:p w14:paraId="543B3CDD" w14:textId="655BF6ED"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141CDA36" w14:textId="77777777" w:rsidR="006D3CC8" w:rsidRPr="001A7517" w:rsidRDefault="006D3CC8" w:rsidP="006D3CC8">
      <w:pPr>
        <w:suppressAutoHyphens/>
        <w:ind w:left="720"/>
      </w:pPr>
    </w:p>
    <w:p w14:paraId="7F9AC76B" w14:textId="77777777" w:rsidR="00551648" w:rsidRPr="006D3CC8" w:rsidRDefault="00551648" w:rsidP="006D3CC8">
      <w:pPr>
        <w:rPr>
          <w:b/>
          <w:bCs/>
        </w:rPr>
      </w:pPr>
      <w:r w:rsidRPr="006D3CC8">
        <w:rPr>
          <w:b/>
          <w:bCs/>
        </w:rPr>
        <w:t>Section 611.528  Transition from Subpart L to Subpart AA Requirements (Repealed)</w:t>
      </w:r>
    </w:p>
    <w:p w14:paraId="6FE14B9B" w14:textId="77777777" w:rsidR="00551648" w:rsidRPr="001A7517" w:rsidRDefault="00551648" w:rsidP="006D3CC8"/>
    <w:p w14:paraId="311E5D57" w14:textId="77777777" w:rsidR="00551648" w:rsidRPr="001A7517" w:rsidRDefault="00551648" w:rsidP="006D3CC8">
      <w:pPr>
        <w:suppressAutoHyphens/>
        <w:ind w:left="720"/>
      </w:pPr>
      <w:r w:rsidRPr="001A7517">
        <w:t>(Source:  Repealed</w:t>
      </w:r>
      <w:r w:rsidRPr="001A7517">
        <w:rPr>
          <w:szCs w:val="17"/>
        </w:rPr>
        <w:t xml:space="preserve"> at </w:t>
      </w:r>
      <w:r w:rsidRPr="001A7517">
        <w:t>42 Ill. Reg. 1140, effective January 4, 2018)</w:t>
      </w:r>
    </w:p>
    <w:p w14:paraId="19583147" w14:textId="77777777" w:rsidR="00D479CA" w:rsidRPr="003B4362" w:rsidRDefault="00D479CA" w:rsidP="00D479CA">
      <w:pPr>
        <w:suppressAutoHyphens/>
        <w:ind w:left="720"/>
      </w:pPr>
    </w:p>
    <w:p w14:paraId="71C3748E" w14:textId="77777777" w:rsidR="00AD24B5" w:rsidRPr="003B4362" w:rsidRDefault="00AD24B5" w:rsidP="00AD24B5">
      <w:pPr>
        <w:rPr>
          <w:b/>
          <w:bCs/>
        </w:rPr>
      </w:pPr>
      <w:bookmarkStart w:id="3513" w:name="_Hlk96530017"/>
      <w:r w:rsidRPr="003B4362">
        <w:rPr>
          <w:b/>
          <w:bCs/>
        </w:rPr>
        <w:t>Section 611.531  Analytical Requirements</w:t>
      </w:r>
    </w:p>
    <w:p w14:paraId="725B51A3" w14:textId="77777777" w:rsidR="00AD24B5" w:rsidRDefault="00AD24B5" w:rsidP="00AD24B5">
      <w:pPr>
        <w:widowControl w:val="0"/>
        <w:suppressAutoHyphens/>
      </w:pPr>
    </w:p>
    <w:p w14:paraId="3457C357" w14:textId="77777777" w:rsidR="00AD24B5" w:rsidRPr="003B4362" w:rsidRDefault="00AD24B5" w:rsidP="00AD24B5">
      <w:pPr>
        <w:widowControl w:val="0"/>
        <w:suppressAutoHyphens/>
      </w:pPr>
      <w:r w:rsidRPr="003B4362">
        <w:t>A supplier must use the analytical methods in this Section or Agency-approved alternative methods under Section 611.480 to demonstrate compliance with only 611.Subpart B.  A supplier must measure pH, temperature, turbidity, and RDCs under the supervision of a certified operator.  A supplier must conduct measurements for total coliforms, fecal coliforms and HPC using a certified laboratory in one of the categories in Section 611.490(a).  The supplier must perform analyses using the methods in this Section, each incorporated by reference in Section 611.102:</w:t>
      </w:r>
    </w:p>
    <w:p w14:paraId="25EDB474" w14:textId="77777777" w:rsidR="00AD24B5" w:rsidRDefault="00AD24B5" w:rsidP="00AD24B5">
      <w:pPr>
        <w:widowControl w:val="0"/>
        <w:suppressAutoHyphens/>
        <w:ind w:left="1440" w:hanging="720"/>
      </w:pPr>
    </w:p>
    <w:p w14:paraId="2B30836F" w14:textId="77777777" w:rsidR="00AD24B5" w:rsidRPr="003B4362" w:rsidRDefault="00AD24B5" w:rsidP="00AD24B5">
      <w:pPr>
        <w:widowControl w:val="0"/>
        <w:suppressAutoHyphens/>
        <w:ind w:left="1440" w:hanging="720"/>
      </w:pPr>
      <w:r w:rsidRPr="003B4362">
        <w:t>a)</w:t>
      </w:r>
      <w:r w:rsidRPr="003B4362">
        <w:tab/>
        <w:t>Basic Water Parameters and Microbiological Quality</w:t>
      </w:r>
    </w:p>
    <w:p w14:paraId="7F2F0320" w14:textId="77777777" w:rsidR="00AD24B5" w:rsidRDefault="00AD24B5" w:rsidP="00AD24B5">
      <w:pPr>
        <w:widowControl w:val="0"/>
        <w:suppressAutoHyphens/>
        <w:ind w:left="2160" w:hanging="720"/>
      </w:pPr>
    </w:p>
    <w:p w14:paraId="4997DF9B" w14:textId="77777777" w:rsidR="00AD24B5" w:rsidRPr="003B4362" w:rsidRDefault="00AD24B5" w:rsidP="00AD24B5">
      <w:pPr>
        <w:widowControl w:val="0"/>
        <w:suppressAutoHyphens/>
        <w:ind w:left="2160" w:hanging="720"/>
      </w:pPr>
      <w:r w:rsidRPr="003B4362">
        <w:t>1)</w:t>
      </w:r>
      <w:r w:rsidRPr="003B4362">
        <w:tab/>
        <w:t>The supplier must analyze for pH and temperature using one of the methods in Section 611.611; and</w:t>
      </w:r>
    </w:p>
    <w:p w14:paraId="626A163F" w14:textId="77777777" w:rsidR="00AD24B5" w:rsidRDefault="00AD24B5" w:rsidP="00AD24B5">
      <w:pPr>
        <w:widowControl w:val="0"/>
        <w:suppressAutoHyphens/>
        <w:ind w:left="2160" w:hanging="720"/>
      </w:pPr>
    </w:p>
    <w:p w14:paraId="1AE46008" w14:textId="77777777" w:rsidR="00AD24B5" w:rsidRPr="003B4362" w:rsidRDefault="00AD24B5" w:rsidP="00AD24B5">
      <w:pPr>
        <w:widowControl w:val="0"/>
        <w:suppressAutoHyphens/>
        <w:ind w:left="2160" w:hanging="720"/>
      </w:pPr>
      <w:r w:rsidRPr="003B4362">
        <w:t>2)</w:t>
      </w:r>
      <w:r w:rsidRPr="003B4362">
        <w:tab/>
        <w:t>The supplier must analyze for total coliforms, fecal coliforms, heterotrophic bacteria, and turbidity using specific methods and analytical test procedures in USEPA Technical Notes, incorporated by reference in Section 611.102:</w:t>
      </w:r>
    </w:p>
    <w:p w14:paraId="4644D106" w14:textId="77777777" w:rsidR="00AD24B5" w:rsidRDefault="00AD24B5" w:rsidP="00AD24B5">
      <w:pPr>
        <w:widowControl w:val="0"/>
        <w:suppressAutoHyphens/>
        <w:ind w:left="2880" w:hanging="720"/>
      </w:pPr>
    </w:p>
    <w:p w14:paraId="59139CE8" w14:textId="77777777" w:rsidR="00AD24B5" w:rsidRPr="003B4362" w:rsidRDefault="00AD24B5" w:rsidP="00AD24B5">
      <w:pPr>
        <w:widowControl w:val="0"/>
        <w:suppressAutoHyphens/>
        <w:ind w:left="2880" w:hanging="720"/>
      </w:pPr>
      <w:r w:rsidRPr="003B4362">
        <w:t>A)</w:t>
      </w:r>
      <w:r w:rsidRPr="003B4362">
        <w:tab/>
        <w:t>Total Coliforms</w:t>
      </w:r>
    </w:p>
    <w:p w14:paraId="6077664B" w14:textId="77777777" w:rsidR="00AD24B5" w:rsidRPr="003B4362" w:rsidRDefault="00AD24B5" w:rsidP="00AD24B5">
      <w:pPr>
        <w:suppressAutoHyphens/>
        <w:ind w:left="2880"/>
      </w:pPr>
      <w:r w:rsidRPr="003B4362">
        <w:t>BOARD NOTE:  The time from sample collection to beginning analysis for source (raw) water samples must not exceed eight hours.  The supplier should but needs not hold samples below 10 °C during transit.</w:t>
      </w:r>
    </w:p>
    <w:p w14:paraId="5F9C284E" w14:textId="77777777" w:rsidR="00AD24B5" w:rsidRDefault="00AD24B5" w:rsidP="00AD24B5">
      <w:pPr>
        <w:widowControl w:val="0"/>
        <w:suppressAutoHyphens/>
        <w:ind w:left="3600" w:hanging="720"/>
      </w:pPr>
    </w:p>
    <w:p w14:paraId="04C3291B" w14:textId="77777777" w:rsidR="00AD24B5" w:rsidRPr="003B4362" w:rsidRDefault="00AD24B5" w:rsidP="00AD24B5">
      <w:pPr>
        <w:widowControl w:val="0"/>
        <w:suppressAutoHyphens/>
        <w:ind w:left="3600" w:hanging="720"/>
      </w:pPr>
      <w:r w:rsidRPr="003B4362">
        <w:t>i)</w:t>
      </w:r>
      <w:r w:rsidRPr="003B4362">
        <w:tab/>
        <w:t>Total Coliform Fermentation Technique.  SM 9221 A (93), SM 9221 A (94), SM 9221 A (99), SM 9221 A (06), SM 9221 A (14), SM 9221 B (93), SM 9221 B (94), SM 9221 B (99), SM 9221 B (06), SM 9221 B (14), SM 9221 C (93), SM 9221 C (94), SM 9221 C (99), SM 9221 C (06), or SM 9221 C (14).</w:t>
      </w:r>
    </w:p>
    <w:p w14:paraId="4E0CB272" w14:textId="77777777" w:rsidR="00AD24B5" w:rsidRDefault="00AD24B5" w:rsidP="00AD24B5">
      <w:pPr>
        <w:widowControl w:val="0"/>
        <w:suppressAutoHyphens/>
        <w:ind w:left="3600"/>
      </w:pPr>
    </w:p>
    <w:p w14:paraId="58269DBF" w14:textId="77777777" w:rsidR="00AD24B5" w:rsidRPr="003B4362" w:rsidRDefault="00AD24B5" w:rsidP="00AD24B5">
      <w:pPr>
        <w:widowControl w:val="0"/>
        <w:suppressAutoHyphens/>
        <w:ind w:left="3600"/>
      </w:pPr>
      <w:r w:rsidRPr="003B4362">
        <w:t>BOARD NOTE:  The supplier may use commercially available lactose broth in lieu of lauryl tryptose broth if the supplier conducts at least 25 parallel tests between this medium and lauryl tryptose broth using the water it normally tests, and this comparison demonstrates that the false-positive rate and false-negative rate for total coliforms is less than ten percent using lactose broth.  If the supplier uses inverted tubes to detect gas production, the media should cover these tubes at least one-half to two-thirds after the supplier adds the sample.  The supplier needs not run the completed phase on ten percent of all total coliform-positive confirmed tubes.</w:t>
      </w:r>
    </w:p>
    <w:p w14:paraId="5C7E9C86" w14:textId="77777777" w:rsidR="00AD24B5" w:rsidRDefault="00AD24B5" w:rsidP="00AD24B5">
      <w:pPr>
        <w:widowControl w:val="0"/>
        <w:suppressAutoHyphens/>
        <w:ind w:left="3600" w:hanging="720"/>
      </w:pPr>
    </w:p>
    <w:p w14:paraId="0047AF5A" w14:textId="77777777" w:rsidR="00AD24B5" w:rsidRPr="003B4362" w:rsidRDefault="00AD24B5" w:rsidP="00AD24B5">
      <w:pPr>
        <w:widowControl w:val="0"/>
        <w:suppressAutoHyphens/>
        <w:ind w:left="3600" w:hanging="720"/>
      </w:pPr>
      <w:r w:rsidRPr="003B4362">
        <w:t>ii)</w:t>
      </w:r>
      <w:r w:rsidRPr="003B4362">
        <w:tab/>
        <w:t>Total Coliform Membrane Filter Technique.  SM 9222 A (91), SM 9222 A (94), SM 9222 A (97), SM 9222 A (06), SM 9222 A (15), SM 9222 B (91), SM 9222 B (94), SM 9222 B (97), 9222 B (06), SM 9222 B (15), SM 9222 C (91), SM 9222 C (94), SM 9222 C (97), SM 9222 C (06), or SM 9222 C (15).</w:t>
      </w:r>
    </w:p>
    <w:p w14:paraId="591ECE09" w14:textId="77777777" w:rsidR="00AD24B5" w:rsidRDefault="00AD24B5" w:rsidP="00AD24B5">
      <w:pPr>
        <w:widowControl w:val="0"/>
        <w:suppressAutoHyphens/>
        <w:ind w:left="3600" w:hanging="720"/>
      </w:pPr>
    </w:p>
    <w:p w14:paraId="0DD30DE9" w14:textId="77777777" w:rsidR="00AD24B5" w:rsidRPr="003B4362" w:rsidRDefault="00AD24B5" w:rsidP="00AD24B5">
      <w:pPr>
        <w:widowControl w:val="0"/>
        <w:suppressAutoHyphens/>
        <w:ind w:left="3600" w:hanging="720"/>
      </w:pPr>
      <w:r w:rsidRPr="003B4362">
        <w:t>iii)</w:t>
      </w:r>
      <w:r w:rsidRPr="003B4362">
        <w:tab/>
        <w:t>ONPG-MUG (also known as Colilert</w:t>
      </w:r>
      <w:r w:rsidRPr="003B4362">
        <w:rPr>
          <w:vertAlign w:val="superscript"/>
        </w:rPr>
        <w:t>®</w:t>
      </w:r>
      <w:r w:rsidRPr="003B4362">
        <w:t xml:space="preserve">).  SM 9223 (92), </w:t>
      </w:r>
      <w:r w:rsidRPr="003B4362">
        <w:lastRenderedPageBreak/>
        <w:t>SM 9223 (94), SM 9223 (97), SM 9223 B (04), or SM 9223 B (16).</w:t>
      </w:r>
    </w:p>
    <w:p w14:paraId="74C94EF3" w14:textId="77777777" w:rsidR="00AD24B5" w:rsidRDefault="00AD24B5" w:rsidP="00AD24B5">
      <w:pPr>
        <w:widowControl w:val="0"/>
        <w:suppressAutoHyphens/>
        <w:ind w:left="2880" w:hanging="720"/>
      </w:pPr>
    </w:p>
    <w:p w14:paraId="69E6C007" w14:textId="77777777" w:rsidR="00AD24B5" w:rsidRPr="003B4362" w:rsidRDefault="00AD24B5" w:rsidP="00AD24B5">
      <w:pPr>
        <w:widowControl w:val="0"/>
        <w:suppressAutoHyphens/>
        <w:ind w:left="2880" w:hanging="720"/>
      </w:pPr>
      <w:r w:rsidRPr="003B4362">
        <w:t>B)</w:t>
      </w:r>
      <w:r w:rsidRPr="003B4362">
        <w:tab/>
        <w:t>Fecal Coliforms</w:t>
      </w:r>
    </w:p>
    <w:p w14:paraId="5461C135" w14:textId="77777777" w:rsidR="00AD24B5" w:rsidRDefault="00AD24B5" w:rsidP="00AD24B5">
      <w:pPr>
        <w:widowControl w:val="0"/>
        <w:suppressAutoHyphens/>
        <w:ind w:left="2880"/>
      </w:pPr>
    </w:p>
    <w:p w14:paraId="453DE0FA" w14:textId="77777777" w:rsidR="00AD24B5" w:rsidRPr="003B4362" w:rsidRDefault="00AD24B5" w:rsidP="00AD24B5">
      <w:pPr>
        <w:widowControl w:val="0"/>
        <w:suppressAutoHyphens/>
        <w:ind w:left="2880"/>
      </w:pPr>
      <w:r w:rsidRPr="003B4362">
        <w:t>BOARD NOTE:  The time from collecting the sample to beginning analysis of source (raw) water samples must not exceed eight hours.  The supplier should but needs not hold samples below 10 °C during transit.</w:t>
      </w:r>
    </w:p>
    <w:p w14:paraId="71EC9EAC" w14:textId="77777777" w:rsidR="00AD24B5" w:rsidRDefault="00AD24B5" w:rsidP="00AD24B5">
      <w:pPr>
        <w:widowControl w:val="0"/>
        <w:suppressAutoHyphens/>
        <w:ind w:left="3600" w:hanging="720"/>
      </w:pPr>
    </w:p>
    <w:p w14:paraId="1D90341B" w14:textId="77777777" w:rsidR="00AD24B5" w:rsidRPr="003B4362" w:rsidRDefault="00AD24B5" w:rsidP="00AD24B5">
      <w:pPr>
        <w:widowControl w:val="0"/>
        <w:suppressAutoHyphens/>
        <w:ind w:left="3600" w:hanging="720"/>
      </w:pPr>
      <w:r w:rsidRPr="003B4362">
        <w:t>i)</w:t>
      </w:r>
      <w:r w:rsidRPr="003B4362">
        <w:tab/>
        <w:t>Fecal Coliform Procedure.  SM 9221 E (93), SM 9221 E (94), SM 9221 E (99), SM 9221 E (06), or SM 9221 E (14).</w:t>
      </w:r>
    </w:p>
    <w:p w14:paraId="402BC0F5" w14:textId="77777777" w:rsidR="00AD24B5" w:rsidRDefault="00AD24B5" w:rsidP="00AD24B5">
      <w:pPr>
        <w:widowControl w:val="0"/>
        <w:suppressAutoHyphens/>
        <w:ind w:left="3600"/>
      </w:pPr>
    </w:p>
    <w:p w14:paraId="699645FA" w14:textId="77777777" w:rsidR="00AD24B5" w:rsidRPr="003B4362" w:rsidRDefault="00AD24B5" w:rsidP="00AD24B5">
      <w:pPr>
        <w:widowControl w:val="0"/>
        <w:suppressAutoHyphens/>
        <w:ind w:left="3600"/>
      </w:pPr>
      <w:r w:rsidRPr="003B4362">
        <w:t>BOARD NOTE:  A-1 broth may be held up to seven days in a tightly closed screwcap tube at 4 °C (39 °F).</w:t>
      </w:r>
    </w:p>
    <w:p w14:paraId="450772E5" w14:textId="77777777" w:rsidR="00AD24B5" w:rsidRDefault="00AD24B5" w:rsidP="00AD24B5">
      <w:pPr>
        <w:widowControl w:val="0"/>
        <w:suppressAutoHyphens/>
        <w:ind w:left="3600"/>
      </w:pPr>
    </w:p>
    <w:p w14:paraId="49CF8452" w14:textId="77777777" w:rsidR="00AD24B5" w:rsidRPr="003B4362" w:rsidRDefault="00AD24B5" w:rsidP="00AD24B5">
      <w:pPr>
        <w:widowControl w:val="0"/>
        <w:suppressAutoHyphens/>
        <w:ind w:left="3600"/>
      </w:pPr>
      <w:r w:rsidRPr="003B4362">
        <w:t>BOARD NOTE:  The supplier may hold A-1 broth up to seven days in a tightly closed screwcap tube at 4 °C (39 °F).</w:t>
      </w:r>
    </w:p>
    <w:p w14:paraId="3914226B" w14:textId="77777777" w:rsidR="00AD24B5" w:rsidRDefault="00AD24B5" w:rsidP="00AD24B5">
      <w:pPr>
        <w:widowControl w:val="0"/>
        <w:suppressAutoHyphens/>
        <w:ind w:left="3600" w:hanging="720"/>
      </w:pPr>
    </w:p>
    <w:p w14:paraId="54793A89" w14:textId="77777777" w:rsidR="00AD24B5" w:rsidRPr="003B4362" w:rsidRDefault="00AD24B5" w:rsidP="00AD24B5">
      <w:pPr>
        <w:widowControl w:val="0"/>
        <w:suppressAutoHyphens/>
        <w:ind w:left="3600" w:hanging="720"/>
      </w:pPr>
      <w:r w:rsidRPr="003B4362">
        <w:t>ii)</w:t>
      </w:r>
      <w:r w:rsidRPr="003B4362">
        <w:tab/>
        <w:t>Fecal Coliform Membrane Filter Procedure.  SM 9222 D (91), SM 9222 D (94), SM 9222 D (97), SM 9222 D (06), or SM 9222 D (15).</w:t>
      </w:r>
    </w:p>
    <w:p w14:paraId="49C7878A" w14:textId="77777777" w:rsidR="00AD24B5" w:rsidRDefault="00AD24B5" w:rsidP="00AD24B5">
      <w:pPr>
        <w:widowControl w:val="0"/>
        <w:suppressAutoHyphens/>
        <w:ind w:left="2880" w:hanging="720"/>
      </w:pPr>
    </w:p>
    <w:p w14:paraId="06A796F2" w14:textId="77777777" w:rsidR="00AD24B5" w:rsidRPr="003B4362" w:rsidRDefault="00AD24B5" w:rsidP="00AD24B5">
      <w:pPr>
        <w:widowControl w:val="0"/>
        <w:suppressAutoHyphens/>
        <w:ind w:left="2880" w:hanging="720"/>
      </w:pPr>
      <w:r w:rsidRPr="003B4362">
        <w:t>C)</w:t>
      </w:r>
      <w:r w:rsidRPr="003B4362">
        <w:tab/>
        <w:t>Heterotrophic Bacteria</w:t>
      </w:r>
    </w:p>
    <w:p w14:paraId="66568546" w14:textId="77777777" w:rsidR="00AD24B5" w:rsidRDefault="00AD24B5" w:rsidP="00AD24B5">
      <w:pPr>
        <w:widowControl w:val="0"/>
        <w:suppressAutoHyphens/>
        <w:ind w:left="3600" w:hanging="720"/>
      </w:pPr>
    </w:p>
    <w:p w14:paraId="2043B396" w14:textId="77777777" w:rsidR="00AD24B5" w:rsidRPr="003B4362" w:rsidRDefault="00AD24B5" w:rsidP="00AD24B5">
      <w:pPr>
        <w:widowControl w:val="0"/>
        <w:suppressAutoHyphens/>
        <w:ind w:left="3600" w:hanging="720"/>
      </w:pPr>
      <w:r w:rsidRPr="003B4362">
        <w:t>i)</w:t>
      </w:r>
      <w:r w:rsidRPr="003B4362">
        <w:tab/>
        <w:t>Pour Plate Method.  SM 9215 B (88), SM 9215 B (94), SM 9215 B (00), SM 9215 B (04), or SM 9215 B (16).</w:t>
      </w:r>
    </w:p>
    <w:p w14:paraId="604D3D35" w14:textId="77777777" w:rsidR="00AD24B5" w:rsidRDefault="00AD24B5" w:rsidP="00AD24B5">
      <w:pPr>
        <w:widowControl w:val="0"/>
        <w:suppressAutoHyphens/>
        <w:ind w:left="3600"/>
      </w:pPr>
    </w:p>
    <w:p w14:paraId="0E32118B" w14:textId="77777777" w:rsidR="00AD24B5" w:rsidRPr="003B4362" w:rsidRDefault="00AD24B5" w:rsidP="00AD24B5">
      <w:pPr>
        <w:widowControl w:val="0"/>
        <w:suppressAutoHyphens/>
        <w:ind w:left="3600"/>
      </w:pPr>
      <w:r w:rsidRPr="003B4362">
        <w:t>BOARD NOTE:  The time from collecting the sample to beginning analysis must not exceed eight hours.  The supplier should but needs not hold samples below 10 °C during transit.</w:t>
      </w:r>
    </w:p>
    <w:p w14:paraId="31D7BB91" w14:textId="77777777" w:rsidR="00AD24B5" w:rsidRDefault="00AD24B5" w:rsidP="00AD24B5">
      <w:pPr>
        <w:widowControl w:val="0"/>
        <w:suppressAutoHyphens/>
        <w:ind w:left="3600" w:hanging="720"/>
      </w:pPr>
    </w:p>
    <w:p w14:paraId="3C437AC0" w14:textId="77777777" w:rsidR="00AD24B5" w:rsidRPr="003B4362" w:rsidRDefault="00AD24B5" w:rsidP="00AD24B5">
      <w:pPr>
        <w:widowControl w:val="0"/>
        <w:suppressAutoHyphens/>
        <w:ind w:left="3600" w:hanging="720"/>
      </w:pPr>
      <w:r w:rsidRPr="003B4362">
        <w:t>ii)</w:t>
      </w:r>
      <w:r w:rsidRPr="003B4362">
        <w:tab/>
        <w:t>SimPlate (00).</w:t>
      </w:r>
    </w:p>
    <w:p w14:paraId="03C8DFC3" w14:textId="77777777" w:rsidR="00AD24B5" w:rsidRDefault="00AD24B5" w:rsidP="00AD24B5">
      <w:pPr>
        <w:widowControl w:val="0"/>
        <w:suppressAutoHyphens/>
        <w:ind w:left="2880" w:hanging="720"/>
      </w:pPr>
    </w:p>
    <w:p w14:paraId="4C3CDE4E" w14:textId="77777777" w:rsidR="00AD24B5" w:rsidRPr="003B4362" w:rsidRDefault="00AD24B5" w:rsidP="00AD24B5">
      <w:pPr>
        <w:widowControl w:val="0"/>
        <w:suppressAutoHyphens/>
        <w:ind w:left="2880" w:hanging="720"/>
      </w:pPr>
      <w:r w:rsidRPr="003B4362">
        <w:t>D)</w:t>
      </w:r>
      <w:r w:rsidRPr="003B4362">
        <w:tab/>
        <w:t>Turbidity</w:t>
      </w:r>
    </w:p>
    <w:p w14:paraId="56294574" w14:textId="77777777" w:rsidR="00AD24B5" w:rsidRDefault="00AD24B5" w:rsidP="00AD24B5">
      <w:pPr>
        <w:widowControl w:val="0"/>
        <w:suppressAutoHyphens/>
        <w:ind w:left="2880"/>
      </w:pPr>
    </w:p>
    <w:p w14:paraId="085A5B4B" w14:textId="77777777" w:rsidR="00AD24B5" w:rsidRPr="003B4362" w:rsidRDefault="00AD24B5" w:rsidP="00AD24B5">
      <w:pPr>
        <w:widowControl w:val="0"/>
        <w:suppressAutoHyphens/>
        <w:ind w:left="2880"/>
      </w:pPr>
      <w:r w:rsidRPr="003B4362">
        <w:t xml:space="preserve">BOARD NOTE:  </w:t>
      </w:r>
      <w:r w:rsidRPr="003B4362">
        <w:rPr>
          <w:szCs w:val="16"/>
        </w:rPr>
        <w:t>Styrene divinyl benzene beads (</w:t>
      </w:r>
      <w:r w:rsidRPr="003B4362">
        <w:rPr>
          <w:i/>
          <w:iCs/>
          <w:szCs w:val="16"/>
        </w:rPr>
        <w:t>e.g.</w:t>
      </w:r>
      <w:r w:rsidRPr="003B4362">
        <w:rPr>
          <w:iCs/>
          <w:szCs w:val="16"/>
        </w:rPr>
        <w:t>,</w:t>
      </w:r>
      <w:r w:rsidRPr="003B4362">
        <w:rPr>
          <w:i/>
          <w:iCs/>
          <w:szCs w:val="16"/>
        </w:rPr>
        <w:t xml:space="preserve"> </w:t>
      </w:r>
      <w:r w:rsidRPr="003B4362">
        <w:rPr>
          <w:szCs w:val="16"/>
        </w:rPr>
        <w:t>AMCO-AEPA–1 or equivalent) and stabilized formazin (</w:t>
      </w:r>
      <w:r w:rsidRPr="003B4362">
        <w:rPr>
          <w:i/>
          <w:iCs/>
          <w:szCs w:val="16"/>
        </w:rPr>
        <w:t>e.g.</w:t>
      </w:r>
      <w:r w:rsidRPr="003B4362">
        <w:rPr>
          <w:szCs w:val="16"/>
        </w:rPr>
        <w:t>,</w:t>
      </w:r>
      <w:r w:rsidRPr="003B4362">
        <w:rPr>
          <w:i/>
          <w:iCs/>
          <w:szCs w:val="16"/>
        </w:rPr>
        <w:t xml:space="preserve"> </w:t>
      </w:r>
      <w:r w:rsidRPr="003B4362">
        <w:rPr>
          <w:szCs w:val="16"/>
        </w:rPr>
        <w:t>Hach StablCal</w:t>
      </w:r>
      <w:r w:rsidRPr="003B4362">
        <w:rPr>
          <w:szCs w:val="10"/>
        </w:rPr>
        <w:t xml:space="preserve">™ </w:t>
      </w:r>
      <w:r w:rsidRPr="003B4362">
        <w:rPr>
          <w:szCs w:val="16"/>
        </w:rPr>
        <w:t>or equivalent) are acceptable substitutes for formazin.</w:t>
      </w:r>
    </w:p>
    <w:p w14:paraId="0D6D1228" w14:textId="77777777" w:rsidR="00AD24B5" w:rsidRDefault="00AD24B5" w:rsidP="00AD24B5">
      <w:pPr>
        <w:widowControl w:val="0"/>
        <w:suppressAutoHyphens/>
        <w:ind w:left="3600" w:hanging="720"/>
      </w:pPr>
    </w:p>
    <w:p w14:paraId="2C5E4E11" w14:textId="77777777" w:rsidR="00AD24B5" w:rsidRPr="003B4362" w:rsidRDefault="00AD24B5" w:rsidP="00AD24B5">
      <w:pPr>
        <w:widowControl w:val="0"/>
        <w:suppressAutoHyphens/>
        <w:ind w:left="3600" w:hanging="720"/>
      </w:pPr>
      <w:r w:rsidRPr="003B4362">
        <w:t>i)</w:t>
      </w:r>
      <w:r w:rsidRPr="003B4362">
        <w:tab/>
        <w:t>Nephelometric Method.  SM 2130 B (88), SM 2130 B (94), SM 2130 B (01); USEPA 180.1 (93); or Hach 8195 (18).</w:t>
      </w:r>
    </w:p>
    <w:p w14:paraId="38E5AB3B" w14:textId="77777777" w:rsidR="00AD24B5" w:rsidRDefault="00AD24B5" w:rsidP="00AD24B5">
      <w:pPr>
        <w:widowControl w:val="0"/>
        <w:suppressAutoHyphens/>
        <w:ind w:left="3600" w:hanging="720"/>
      </w:pPr>
    </w:p>
    <w:p w14:paraId="5DE6D418" w14:textId="77777777" w:rsidR="00AD24B5" w:rsidRPr="003B4362" w:rsidRDefault="00AD24B5" w:rsidP="00AD24B5">
      <w:pPr>
        <w:widowControl w:val="0"/>
        <w:suppressAutoHyphens/>
        <w:ind w:left="3600" w:hanging="720"/>
      </w:pPr>
      <w:r w:rsidRPr="003B4362">
        <w:lastRenderedPageBreak/>
        <w:t>ii)</w:t>
      </w:r>
      <w:r w:rsidRPr="003B4362">
        <w:tab/>
        <w:t>GLI Method 2 (92).</w:t>
      </w:r>
    </w:p>
    <w:p w14:paraId="7B637881" w14:textId="77777777" w:rsidR="00AD24B5" w:rsidRDefault="00AD24B5" w:rsidP="00AD24B5">
      <w:pPr>
        <w:widowControl w:val="0"/>
        <w:suppressAutoHyphens/>
        <w:ind w:left="3600" w:hanging="720"/>
      </w:pPr>
    </w:p>
    <w:p w14:paraId="3212DA42" w14:textId="77777777" w:rsidR="00AD24B5" w:rsidRPr="003B4362" w:rsidRDefault="00AD24B5" w:rsidP="00AD24B5">
      <w:pPr>
        <w:widowControl w:val="0"/>
        <w:suppressAutoHyphens/>
        <w:ind w:left="3600" w:hanging="720"/>
      </w:pPr>
      <w:r w:rsidRPr="003B4362">
        <w:t>iii)</w:t>
      </w:r>
      <w:r w:rsidRPr="003B4362">
        <w:tab/>
        <w:t>Laser Nephelometry.  Hach 10133 (00) (FilterTrak).</w:t>
      </w:r>
    </w:p>
    <w:p w14:paraId="184BF750" w14:textId="77777777" w:rsidR="00AD24B5" w:rsidRDefault="00AD24B5" w:rsidP="00AD24B5">
      <w:pPr>
        <w:widowControl w:val="0"/>
        <w:suppressAutoHyphens/>
        <w:ind w:left="3600" w:hanging="720"/>
      </w:pPr>
    </w:p>
    <w:p w14:paraId="355B69AA" w14:textId="77777777" w:rsidR="00AD24B5" w:rsidRDefault="00AD24B5" w:rsidP="00AD24B5">
      <w:pPr>
        <w:widowControl w:val="0"/>
        <w:suppressAutoHyphens/>
        <w:ind w:left="3600" w:hanging="720"/>
      </w:pPr>
      <w:r w:rsidRPr="003B4362">
        <w:t>iv)</w:t>
      </w:r>
      <w:r w:rsidRPr="003B4362">
        <w:tab/>
        <w:t>Laser Nephelometry (On-Line).  Lovibond PTV 6000 (16), Mitchell</w:t>
      </w:r>
      <w:r w:rsidRPr="00EB7F62">
        <w:rPr>
          <w:strike/>
        </w:rPr>
        <w:t xml:space="preserve"> </w:t>
      </w:r>
      <w:r w:rsidRPr="003B4362">
        <w:t>M5271 (09), or Mitchell</w:t>
      </w:r>
      <w:r w:rsidRPr="00EB7F62">
        <w:rPr>
          <w:strike/>
        </w:rPr>
        <w:t xml:space="preserve"> </w:t>
      </w:r>
      <w:r w:rsidRPr="003B4362">
        <w:t>M5331 (16).</w:t>
      </w:r>
    </w:p>
    <w:p w14:paraId="0EF1820B" w14:textId="77777777" w:rsidR="00AD24B5" w:rsidRDefault="00AD24B5" w:rsidP="00AD24B5">
      <w:pPr>
        <w:widowControl w:val="0"/>
        <w:suppressAutoHyphens/>
        <w:ind w:left="3600" w:hanging="720"/>
      </w:pPr>
    </w:p>
    <w:p w14:paraId="621686F5" w14:textId="77777777" w:rsidR="00AD24B5" w:rsidRPr="00EB7F62" w:rsidRDefault="00AD24B5" w:rsidP="00AD24B5">
      <w:pPr>
        <w:widowControl w:val="0"/>
        <w:suppressAutoHyphens/>
        <w:ind w:left="3600" w:hanging="720"/>
        <w:rPr>
          <w:u w:val="single"/>
        </w:rPr>
      </w:pPr>
      <w:r w:rsidRPr="004B63DB">
        <w:t>v)</w:t>
      </w:r>
      <w:r w:rsidRPr="005F1236">
        <w:tab/>
      </w:r>
      <w:r w:rsidRPr="004B63DB">
        <w:t>Laser Nephelometry (Portable).  Lovibond TB 6000 (21).</w:t>
      </w:r>
    </w:p>
    <w:p w14:paraId="1544503B" w14:textId="77777777" w:rsidR="00AD24B5" w:rsidRDefault="00AD24B5" w:rsidP="00AD24B5">
      <w:pPr>
        <w:widowControl w:val="0"/>
        <w:suppressAutoHyphens/>
        <w:ind w:left="3600" w:hanging="720"/>
      </w:pPr>
    </w:p>
    <w:p w14:paraId="78C69822" w14:textId="77777777" w:rsidR="00AD24B5" w:rsidRPr="003B4362" w:rsidRDefault="00AD24B5" w:rsidP="00AD24B5">
      <w:pPr>
        <w:widowControl w:val="0"/>
        <w:suppressAutoHyphens/>
        <w:ind w:left="3600" w:hanging="720"/>
      </w:pPr>
      <w:r>
        <w:t>vi</w:t>
      </w:r>
      <w:r w:rsidRPr="003B4362">
        <w:t>)</w:t>
      </w:r>
      <w:r w:rsidRPr="003B4362">
        <w:tab/>
        <w:t>LED Nephelometry (On-Line).  AMI Turbiwell (09), Lovibond PTV 1000 (16), Lovibond PTV 2000 (16), Mitchell</w:t>
      </w:r>
      <w:r w:rsidRPr="00EB7F62">
        <w:rPr>
          <w:strike/>
        </w:rPr>
        <w:t xml:space="preserve"> </w:t>
      </w:r>
      <w:r w:rsidRPr="003B4362">
        <w:t>M5331 (09), or Mitchell</w:t>
      </w:r>
      <w:r>
        <w:t xml:space="preserve"> </w:t>
      </w:r>
      <w:r w:rsidRPr="003B4362">
        <w:t>M5331 (16).</w:t>
      </w:r>
    </w:p>
    <w:p w14:paraId="75C75319" w14:textId="77777777" w:rsidR="00AD24B5" w:rsidRDefault="00AD24B5" w:rsidP="00AD24B5">
      <w:pPr>
        <w:widowControl w:val="0"/>
        <w:suppressAutoHyphens/>
        <w:ind w:left="3600" w:hanging="720"/>
      </w:pPr>
    </w:p>
    <w:p w14:paraId="7ACBE4EF" w14:textId="77777777" w:rsidR="00AD24B5" w:rsidRPr="003B4362" w:rsidRDefault="00AD24B5" w:rsidP="00AD24B5">
      <w:pPr>
        <w:widowControl w:val="0"/>
        <w:suppressAutoHyphens/>
        <w:ind w:left="3600" w:hanging="720"/>
      </w:pPr>
      <w:r>
        <w:t>vii</w:t>
      </w:r>
      <w:r w:rsidRPr="003B4362">
        <w:t>)</w:t>
      </w:r>
      <w:r w:rsidRPr="003B4362">
        <w:tab/>
        <w:t>LED Nephelometry (Portable).  Orion AQ4500 (09</w:t>
      </w:r>
      <w:r w:rsidRPr="00A67AF5">
        <w:t>), Lovibond TB 3500 (21), Lovibond TB 5000 (21)</w:t>
      </w:r>
      <w:r w:rsidRPr="003B4362">
        <w:t>.</w:t>
      </w:r>
    </w:p>
    <w:p w14:paraId="7B1A9297" w14:textId="77777777" w:rsidR="00AD24B5" w:rsidRDefault="00AD24B5" w:rsidP="00AD24B5">
      <w:pPr>
        <w:widowControl w:val="0"/>
        <w:suppressAutoHyphens/>
        <w:ind w:left="3600" w:hanging="720"/>
      </w:pPr>
    </w:p>
    <w:p w14:paraId="4576AF1B" w14:textId="77777777" w:rsidR="00AD24B5" w:rsidRPr="003B4362" w:rsidRDefault="00AD24B5" w:rsidP="00AD24B5">
      <w:pPr>
        <w:widowControl w:val="0"/>
        <w:suppressAutoHyphens/>
        <w:ind w:left="3600" w:hanging="720"/>
      </w:pPr>
      <w:r>
        <w:t>viii</w:t>
      </w:r>
      <w:r w:rsidRPr="003B4362">
        <w:t>)</w:t>
      </w:r>
      <w:r w:rsidRPr="003B4362">
        <w:tab/>
        <w:t>360° Nephelometry.  Hach 10258 (16) or Hach 10258 (18).</w:t>
      </w:r>
    </w:p>
    <w:p w14:paraId="75286936" w14:textId="77777777" w:rsidR="00AD24B5" w:rsidRDefault="00AD24B5" w:rsidP="00AD24B5">
      <w:pPr>
        <w:widowControl w:val="0"/>
        <w:suppressAutoHyphens/>
        <w:ind w:left="1440" w:hanging="720"/>
      </w:pPr>
    </w:p>
    <w:p w14:paraId="2A59249F" w14:textId="77777777" w:rsidR="00AD24B5" w:rsidRPr="003B4362" w:rsidRDefault="00AD24B5" w:rsidP="00AD24B5">
      <w:pPr>
        <w:widowControl w:val="0"/>
        <w:suppressAutoHyphens/>
        <w:ind w:left="1440" w:hanging="720"/>
      </w:pPr>
      <w:r w:rsidRPr="003B4362">
        <w:t>b)</w:t>
      </w:r>
      <w:r w:rsidRPr="003B4362">
        <w:tab/>
        <w:t>A supplier must measure residual disinfectant concentrations with specific analytical methods:</w:t>
      </w:r>
    </w:p>
    <w:p w14:paraId="38DE9FBC" w14:textId="77777777" w:rsidR="00AD24B5" w:rsidRDefault="00AD24B5" w:rsidP="00AD24B5">
      <w:pPr>
        <w:widowControl w:val="0"/>
        <w:suppressAutoHyphens/>
        <w:ind w:left="2160" w:hanging="720"/>
      </w:pPr>
    </w:p>
    <w:p w14:paraId="4FA2BD12" w14:textId="77777777" w:rsidR="00AD24B5" w:rsidRPr="003B4362" w:rsidRDefault="00AD24B5" w:rsidP="00AD24B5">
      <w:pPr>
        <w:widowControl w:val="0"/>
        <w:suppressAutoHyphens/>
        <w:ind w:left="2160" w:hanging="720"/>
      </w:pPr>
      <w:r w:rsidRPr="003B4362">
        <w:t>1)</w:t>
      </w:r>
      <w:r w:rsidRPr="003B4362">
        <w:tab/>
        <w:t>Free Chlorine</w:t>
      </w:r>
    </w:p>
    <w:p w14:paraId="313C4A36" w14:textId="77777777" w:rsidR="00AD24B5" w:rsidRDefault="00AD24B5" w:rsidP="00AD24B5">
      <w:pPr>
        <w:widowControl w:val="0"/>
        <w:suppressAutoHyphens/>
        <w:ind w:left="2880" w:hanging="720"/>
      </w:pPr>
    </w:p>
    <w:p w14:paraId="70F7B7F4" w14:textId="77777777" w:rsidR="00AD24B5" w:rsidRPr="003B4362" w:rsidRDefault="00AD24B5" w:rsidP="00AD24B5">
      <w:pPr>
        <w:widowControl w:val="0"/>
        <w:suppressAutoHyphens/>
        <w:ind w:left="2880" w:hanging="720"/>
      </w:pPr>
      <w:r w:rsidRPr="003B4362">
        <w:t>A)</w:t>
      </w:r>
      <w:r w:rsidRPr="003B4362">
        <w:tab/>
        <w:t>Amperometric Titration.  ASTM D1253-03, ASTM D1253-08, ASTM D1253-14, SM 4500-Cl D (89), SM 4500-Cl D (93), or SM 4500-Cl D (00).</w:t>
      </w:r>
    </w:p>
    <w:p w14:paraId="6A5910A3" w14:textId="77777777" w:rsidR="00AD24B5" w:rsidRDefault="00AD24B5" w:rsidP="00AD24B5">
      <w:pPr>
        <w:widowControl w:val="0"/>
        <w:suppressAutoHyphens/>
        <w:ind w:left="2880" w:hanging="720"/>
      </w:pPr>
    </w:p>
    <w:p w14:paraId="75E026F0" w14:textId="77777777" w:rsidR="00AD24B5" w:rsidRPr="003B4362" w:rsidRDefault="00AD24B5" w:rsidP="00AD24B5">
      <w:pPr>
        <w:widowControl w:val="0"/>
        <w:suppressAutoHyphens/>
        <w:ind w:left="2880" w:hanging="720"/>
      </w:pPr>
      <w:r w:rsidRPr="003B4362">
        <w:t>B)</w:t>
      </w:r>
      <w:r w:rsidRPr="003B4362">
        <w:tab/>
        <w:t>DPD Ferrous Titrimetric.  SM 4500-Cl F (89), SM 4500-Cl F (93), or SM 4500-Cl F (00).</w:t>
      </w:r>
    </w:p>
    <w:p w14:paraId="3342AA58" w14:textId="77777777" w:rsidR="00AD24B5" w:rsidRDefault="00AD24B5" w:rsidP="00AD24B5">
      <w:pPr>
        <w:widowControl w:val="0"/>
        <w:suppressAutoHyphens/>
        <w:ind w:left="2880" w:hanging="720"/>
      </w:pPr>
    </w:p>
    <w:p w14:paraId="1F8DADD7" w14:textId="77777777" w:rsidR="00AD24B5" w:rsidRPr="003B4362" w:rsidRDefault="00AD24B5" w:rsidP="00AD24B5">
      <w:pPr>
        <w:widowControl w:val="0"/>
        <w:suppressAutoHyphens/>
        <w:ind w:left="2880" w:hanging="720"/>
      </w:pPr>
      <w:r w:rsidRPr="003B4362">
        <w:t>C)</w:t>
      </w:r>
      <w:r w:rsidRPr="003B4362">
        <w:tab/>
        <w:t>DPD Colimetric.  Hach 10260 (13), SM 4500-Cl G (89), SM 4500-Cl G (93), or SM 4500-Cl G (00).</w:t>
      </w:r>
    </w:p>
    <w:p w14:paraId="1952C99B" w14:textId="77777777" w:rsidR="00AD24B5" w:rsidRDefault="00AD24B5" w:rsidP="00AD24B5">
      <w:pPr>
        <w:widowControl w:val="0"/>
        <w:suppressAutoHyphens/>
        <w:ind w:left="2880" w:hanging="720"/>
      </w:pPr>
    </w:p>
    <w:p w14:paraId="180CF124" w14:textId="77777777" w:rsidR="00AD24B5" w:rsidRPr="003B4362" w:rsidRDefault="00AD24B5" w:rsidP="00AD24B5">
      <w:pPr>
        <w:widowControl w:val="0"/>
        <w:suppressAutoHyphens/>
        <w:ind w:left="2880" w:hanging="720"/>
      </w:pPr>
      <w:r w:rsidRPr="003B4362">
        <w:t>D)</w:t>
      </w:r>
      <w:r w:rsidRPr="003B4362">
        <w:tab/>
        <w:t>Syringaldazine (FACTS).  SM 4500-Cl H (89), SM 4500-Cl H (93), or SM 4500-Cl H (00).</w:t>
      </w:r>
    </w:p>
    <w:p w14:paraId="438B9D89" w14:textId="77777777" w:rsidR="00AD24B5" w:rsidRDefault="00AD24B5" w:rsidP="00AD24B5">
      <w:pPr>
        <w:widowControl w:val="0"/>
        <w:suppressAutoHyphens/>
        <w:ind w:left="2880" w:hanging="720"/>
      </w:pPr>
    </w:p>
    <w:p w14:paraId="5E277818" w14:textId="77777777" w:rsidR="00AD24B5" w:rsidRPr="003B4362" w:rsidRDefault="00AD24B5" w:rsidP="00AD24B5">
      <w:pPr>
        <w:widowControl w:val="0"/>
        <w:suppressAutoHyphens/>
        <w:ind w:left="2880" w:hanging="720"/>
      </w:pPr>
      <w:r w:rsidRPr="003B4362">
        <w:t>E)</w:t>
      </w:r>
      <w:r w:rsidRPr="003B4362">
        <w:tab/>
        <w:t>On-Line Chlorine Analyzer.  USEPA 334.0 (09).</w:t>
      </w:r>
    </w:p>
    <w:p w14:paraId="2B371D11" w14:textId="77777777" w:rsidR="00AD24B5" w:rsidRDefault="00AD24B5" w:rsidP="00AD24B5">
      <w:pPr>
        <w:widowControl w:val="0"/>
        <w:suppressAutoHyphens/>
        <w:ind w:left="2880" w:hanging="720"/>
      </w:pPr>
    </w:p>
    <w:p w14:paraId="7C62E1AD" w14:textId="77777777" w:rsidR="00AD24B5" w:rsidRPr="003B4362" w:rsidRDefault="00AD24B5" w:rsidP="00AD24B5">
      <w:pPr>
        <w:widowControl w:val="0"/>
        <w:suppressAutoHyphens/>
        <w:ind w:left="2880" w:hanging="720"/>
      </w:pPr>
      <w:r w:rsidRPr="003B4362">
        <w:t>F)</w:t>
      </w:r>
      <w:r w:rsidRPr="003B4362">
        <w:tab/>
        <w:t>Amperometric Sensor.  Palintest ChloroSense (09) and Palintest ChloroSense (20).</w:t>
      </w:r>
    </w:p>
    <w:p w14:paraId="78789524" w14:textId="77777777" w:rsidR="00AD24B5" w:rsidRDefault="00AD24B5" w:rsidP="00AD24B5">
      <w:pPr>
        <w:widowControl w:val="0"/>
        <w:suppressAutoHyphens/>
        <w:ind w:left="2880" w:hanging="720"/>
      </w:pPr>
    </w:p>
    <w:p w14:paraId="44FE8A7A" w14:textId="77777777" w:rsidR="00AD24B5" w:rsidRPr="003B4362" w:rsidRDefault="00AD24B5" w:rsidP="00AD24B5">
      <w:pPr>
        <w:widowControl w:val="0"/>
        <w:suppressAutoHyphens/>
        <w:ind w:left="2880" w:hanging="720"/>
      </w:pPr>
      <w:r w:rsidRPr="003B4362">
        <w:t>G)</w:t>
      </w:r>
      <w:r w:rsidRPr="003B4362">
        <w:tab/>
        <w:t>Indophenol Colorimetric.  Hach 10241 (15).</w:t>
      </w:r>
    </w:p>
    <w:p w14:paraId="741342A8" w14:textId="77777777" w:rsidR="00AD24B5" w:rsidRDefault="00AD24B5" w:rsidP="00AD24B5">
      <w:pPr>
        <w:widowControl w:val="0"/>
        <w:suppressAutoHyphens/>
        <w:ind w:left="2160" w:hanging="720"/>
      </w:pPr>
    </w:p>
    <w:p w14:paraId="21F12D28" w14:textId="77777777" w:rsidR="00AD24B5" w:rsidRPr="003B4362" w:rsidRDefault="00AD24B5" w:rsidP="00AD24B5">
      <w:pPr>
        <w:widowControl w:val="0"/>
        <w:suppressAutoHyphens/>
        <w:ind w:left="2160" w:hanging="720"/>
      </w:pPr>
      <w:r w:rsidRPr="003B4362">
        <w:t>2)</w:t>
      </w:r>
      <w:r w:rsidRPr="003B4362">
        <w:tab/>
        <w:t>Total Chlorine</w:t>
      </w:r>
    </w:p>
    <w:p w14:paraId="3C5E1067" w14:textId="77777777" w:rsidR="00AD24B5" w:rsidRDefault="00AD24B5" w:rsidP="00AD24B5">
      <w:pPr>
        <w:widowControl w:val="0"/>
        <w:suppressAutoHyphens/>
        <w:ind w:left="2880" w:hanging="720"/>
      </w:pPr>
    </w:p>
    <w:p w14:paraId="7FA81415" w14:textId="77777777" w:rsidR="00AD24B5" w:rsidRPr="003B4362" w:rsidRDefault="00AD24B5" w:rsidP="00AD24B5">
      <w:pPr>
        <w:widowControl w:val="0"/>
        <w:suppressAutoHyphens/>
        <w:ind w:left="2880" w:hanging="720"/>
      </w:pPr>
      <w:r w:rsidRPr="003B4362">
        <w:lastRenderedPageBreak/>
        <w:t>A)</w:t>
      </w:r>
      <w:r w:rsidRPr="003B4362">
        <w:tab/>
        <w:t>Amperometric Titration.  ASTM D1253-03, ASTM D1253-08, ASTM D1253-14, SM 4500-Cl D (89), SM 4500-Cl D (93), or SM 4500-Cl D (00).</w:t>
      </w:r>
    </w:p>
    <w:p w14:paraId="6E177392" w14:textId="77777777" w:rsidR="00AD24B5" w:rsidRDefault="00AD24B5" w:rsidP="00AD24B5">
      <w:pPr>
        <w:widowControl w:val="0"/>
        <w:suppressAutoHyphens/>
        <w:ind w:left="2880" w:hanging="720"/>
      </w:pPr>
    </w:p>
    <w:p w14:paraId="14B99151" w14:textId="77777777" w:rsidR="00AD24B5" w:rsidRPr="003B4362" w:rsidRDefault="00AD24B5" w:rsidP="00AD24B5">
      <w:pPr>
        <w:widowControl w:val="0"/>
        <w:suppressAutoHyphens/>
        <w:ind w:left="2880" w:hanging="720"/>
      </w:pPr>
      <w:r w:rsidRPr="003B4362">
        <w:t>B)</w:t>
      </w:r>
      <w:r w:rsidRPr="003B4362">
        <w:tab/>
        <w:t>Amperometric Titration (low level measurement).  SM 4500-Cl E (89), SM 4500-Cl E (93), or SM 4500-Cl E (00).</w:t>
      </w:r>
    </w:p>
    <w:p w14:paraId="2E088BD8" w14:textId="77777777" w:rsidR="00AD24B5" w:rsidRDefault="00AD24B5" w:rsidP="00AD24B5">
      <w:pPr>
        <w:widowControl w:val="0"/>
        <w:suppressAutoHyphens/>
        <w:ind w:left="2880" w:hanging="720"/>
      </w:pPr>
    </w:p>
    <w:p w14:paraId="18E9B8E2" w14:textId="77777777" w:rsidR="00AD24B5" w:rsidRPr="003B4362" w:rsidRDefault="00AD24B5" w:rsidP="00AD24B5">
      <w:pPr>
        <w:widowControl w:val="0"/>
        <w:suppressAutoHyphens/>
        <w:ind w:left="2880" w:hanging="720"/>
      </w:pPr>
      <w:r w:rsidRPr="003B4362">
        <w:t>C)</w:t>
      </w:r>
      <w:r w:rsidRPr="003B4362">
        <w:tab/>
        <w:t>DPD Ferrous Titrimetric.  SM 4500-Cl F (89), SM 4500-Cl F (93), or SM 4500-Cl F (00).</w:t>
      </w:r>
    </w:p>
    <w:p w14:paraId="596680A7" w14:textId="77777777" w:rsidR="00AD24B5" w:rsidRDefault="00AD24B5" w:rsidP="00AD24B5">
      <w:pPr>
        <w:widowControl w:val="0"/>
        <w:suppressAutoHyphens/>
        <w:ind w:left="2880" w:hanging="720"/>
      </w:pPr>
    </w:p>
    <w:p w14:paraId="4C627C9B" w14:textId="77777777" w:rsidR="00AD24B5" w:rsidRPr="003B4362" w:rsidRDefault="00AD24B5" w:rsidP="00AD24B5">
      <w:pPr>
        <w:widowControl w:val="0"/>
        <w:suppressAutoHyphens/>
        <w:ind w:left="2880" w:hanging="720"/>
      </w:pPr>
      <w:r w:rsidRPr="003B4362">
        <w:t>D)</w:t>
      </w:r>
      <w:r w:rsidRPr="003B4362">
        <w:tab/>
        <w:t>DPD Colimetric.  SM 4500-Cl G (89), SM 4500-Cl G (93), SM 4500-Cl G (00), or Hach 10260 (13).</w:t>
      </w:r>
    </w:p>
    <w:p w14:paraId="79531C66" w14:textId="77777777" w:rsidR="00AD24B5" w:rsidRDefault="00AD24B5" w:rsidP="00AD24B5">
      <w:pPr>
        <w:widowControl w:val="0"/>
        <w:suppressAutoHyphens/>
        <w:ind w:left="2880" w:hanging="720"/>
      </w:pPr>
    </w:p>
    <w:p w14:paraId="047569F2" w14:textId="77777777" w:rsidR="00AD24B5" w:rsidRPr="003B4362" w:rsidRDefault="00AD24B5" w:rsidP="00AD24B5">
      <w:pPr>
        <w:widowControl w:val="0"/>
        <w:suppressAutoHyphens/>
        <w:ind w:left="2880" w:hanging="720"/>
      </w:pPr>
      <w:r w:rsidRPr="003B4362">
        <w:t>E)</w:t>
      </w:r>
      <w:r w:rsidRPr="003B4362">
        <w:tab/>
        <w:t>Iodometric Electrode.  SM 4500-Cl I (89), SM 4500-Cl I (93), or SM 4500-Cl I (00).</w:t>
      </w:r>
    </w:p>
    <w:p w14:paraId="276E2A2E" w14:textId="77777777" w:rsidR="00AD24B5" w:rsidRDefault="00AD24B5" w:rsidP="00AD24B5">
      <w:pPr>
        <w:widowControl w:val="0"/>
        <w:suppressAutoHyphens/>
        <w:ind w:left="2880" w:hanging="720"/>
      </w:pPr>
    </w:p>
    <w:p w14:paraId="4854E234" w14:textId="77777777" w:rsidR="00AD24B5" w:rsidRPr="003B4362" w:rsidRDefault="00AD24B5" w:rsidP="00AD24B5">
      <w:pPr>
        <w:widowControl w:val="0"/>
        <w:suppressAutoHyphens/>
        <w:ind w:left="2880" w:hanging="720"/>
      </w:pPr>
      <w:r w:rsidRPr="003B4362">
        <w:t>F)</w:t>
      </w:r>
      <w:r w:rsidRPr="003B4362">
        <w:tab/>
        <w:t>On-Line Chlorine Analyzer.  USEPA 334.0 (09).</w:t>
      </w:r>
    </w:p>
    <w:p w14:paraId="7B76C745" w14:textId="77777777" w:rsidR="00AD24B5" w:rsidRDefault="00AD24B5" w:rsidP="00AD24B5">
      <w:pPr>
        <w:widowControl w:val="0"/>
        <w:suppressAutoHyphens/>
        <w:ind w:left="2880" w:hanging="720"/>
      </w:pPr>
    </w:p>
    <w:p w14:paraId="16C78EDD" w14:textId="77777777" w:rsidR="00AD24B5" w:rsidRPr="003B4362" w:rsidRDefault="00AD24B5" w:rsidP="00AD24B5">
      <w:pPr>
        <w:widowControl w:val="0"/>
        <w:suppressAutoHyphens/>
        <w:ind w:left="2880" w:hanging="720"/>
      </w:pPr>
      <w:r w:rsidRPr="003B4362">
        <w:t>G)</w:t>
      </w:r>
      <w:r w:rsidRPr="003B4362">
        <w:tab/>
        <w:t>Amperometric Sensor.  Palintest ChloroSense (09) and Palintest ChloroSense (20).</w:t>
      </w:r>
    </w:p>
    <w:p w14:paraId="00C0843D" w14:textId="77777777" w:rsidR="00AD24B5" w:rsidRDefault="00AD24B5" w:rsidP="00AD24B5">
      <w:pPr>
        <w:widowControl w:val="0"/>
        <w:suppressAutoHyphens/>
        <w:ind w:left="2880" w:hanging="720"/>
      </w:pPr>
    </w:p>
    <w:p w14:paraId="749DC45D" w14:textId="77777777" w:rsidR="00AD24B5" w:rsidRPr="003B4362" w:rsidRDefault="00AD24B5" w:rsidP="00AD24B5">
      <w:pPr>
        <w:widowControl w:val="0"/>
        <w:suppressAutoHyphens/>
        <w:ind w:left="2880" w:hanging="720"/>
      </w:pPr>
      <w:r w:rsidRPr="003B4362">
        <w:t>H)</w:t>
      </w:r>
      <w:r w:rsidRPr="003B4362">
        <w:tab/>
        <w:t>Indophenol Colorimetric.  USEPA 127 (21).</w:t>
      </w:r>
    </w:p>
    <w:p w14:paraId="63832A6E" w14:textId="77777777" w:rsidR="00AD24B5" w:rsidRDefault="00AD24B5" w:rsidP="00AD24B5">
      <w:pPr>
        <w:widowControl w:val="0"/>
        <w:suppressAutoHyphens/>
        <w:ind w:left="2160" w:hanging="720"/>
      </w:pPr>
    </w:p>
    <w:p w14:paraId="39FFB313" w14:textId="77777777" w:rsidR="00AD24B5" w:rsidRPr="003B4362" w:rsidRDefault="00AD24B5" w:rsidP="00AD24B5">
      <w:pPr>
        <w:widowControl w:val="0"/>
        <w:suppressAutoHyphens/>
        <w:ind w:left="2160" w:hanging="720"/>
      </w:pPr>
      <w:r w:rsidRPr="003B4362">
        <w:t>3)</w:t>
      </w:r>
      <w:r w:rsidRPr="003B4362">
        <w:tab/>
        <w:t>Chlorine Dioxide</w:t>
      </w:r>
    </w:p>
    <w:p w14:paraId="2185B612" w14:textId="77777777" w:rsidR="00AD24B5" w:rsidRDefault="00AD24B5" w:rsidP="00AD24B5">
      <w:pPr>
        <w:widowControl w:val="0"/>
        <w:suppressAutoHyphens/>
        <w:ind w:left="2880" w:hanging="720"/>
      </w:pPr>
    </w:p>
    <w:p w14:paraId="21A6A609" w14:textId="77777777" w:rsidR="00AD24B5" w:rsidRPr="003B4362" w:rsidRDefault="00AD24B5" w:rsidP="00AD24B5">
      <w:pPr>
        <w:widowControl w:val="0"/>
        <w:suppressAutoHyphens/>
        <w:ind w:left="2880" w:hanging="720"/>
      </w:pPr>
      <w:r w:rsidRPr="003B4362">
        <w:t>A)</w:t>
      </w:r>
      <w:r w:rsidRPr="003B4362">
        <w:tab/>
        <w:t>Amperometric Titration.  Palintest ChlordioX Plus (13), Palintest ChlordioX Plus (20), SM 4500-ClO</w:t>
      </w:r>
      <w:r w:rsidRPr="003B4362">
        <w:rPr>
          <w:vertAlign w:val="subscript"/>
        </w:rPr>
        <w:t>2</w:t>
      </w:r>
      <w:r w:rsidRPr="003B4362">
        <w:t xml:space="preserve"> C (88), SM 4500-ClO</w:t>
      </w:r>
      <w:r w:rsidRPr="003B4362">
        <w:rPr>
          <w:vertAlign w:val="subscript"/>
        </w:rPr>
        <w:t>2</w:t>
      </w:r>
      <w:r w:rsidRPr="003B4362">
        <w:t xml:space="preserve"> C (93), SM 4500-ClO</w:t>
      </w:r>
      <w:r w:rsidRPr="003B4362">
        <w:rPr>
          <w:vertAlign w:val="subscript"/>
        </w:rPr>
        <w:t>2</w:t>
      </w:r>
      <w:r w:rsidRPr="003B4362">
        <w:t xml:space="preserve"> C (00), SM 4500-ClO</w:t>
      </w:r>
      <w:r w:rsidRPr="003B4362">
        <w:rPr>
          <w:vertAlign w:val="subscript"/>
        </w:rPr>
        <w:t>2</w:t>
      </w:r>
      <w:r w:rsidRPr="003B4362">
        <w:t xml:space="preserve"> E (88), SM 4500-ClO</w:t>
      </w:r>
      <w:r w:rsidRPr="003B4362">
        <w:rPr>
          <w:vertAlign w:val="subscript"/>
        </w:rPr>
        <w:t>2</w:t>
      </w:r>
      <w:r w:rsidRPr="003B4362">
        <w:t xml:space="preserve"> E (93), or SM 4500-ClO</w:t>
      </w:r>
      <w:r w:rsidRPr="003B4362">
        <w:rPr>
          <w:vertAlign w:val="subscript"/>
        </w:rPr>
        <w:t>2</w:t>
      </w:r>
      <w:r w:rsidRPr="003B4362">
        <w:t xml:space="preserve"> E (00).</w:t>
      </w:r>
    </w:p>
    <w:p w14:paraId="113C646A" w14:textId="77777777" w:rsidR="00AD24B5" w:rsidRDefault="00AD24B5" w:rsidP="00AD24B5">
      <w:pPr>
        <w:widowControl w:val="0"/>
        <w:suppressAutoHyphens/>
        <w:ind w:left="2880" w:hanging="720"/>
      </w:pPr>
    </w:p>
    <w:p w14:paraId="54E4F260" w14:textId="77777777" w:rsidR="00AD24B5" w:rsidRPr="003B4362" w:rsidRDefault="00AD24B5" w:rsidP="00AD24B5">
      <w:pPr>
        <w:widowControl w:val="0"/>
        <w:suppressAutoHyphens/>
        <w:ind w:left="2880" w:hanging="720"/>
      </w:pPr>
      <w:r w:rsidRPr="003B4362">
        <w:t>B)</w:t>
      </w:r>
      <w:r w:rsidRPr="003B4362">
        <w:tab/>
        <w:t>DPD Method. SM 4500-ClO</w:t>
      </w:r>
      <w:r w:rsidRPr="003B4362">
        <w:rPr>
          <w:vertAlign w:val="subscript"/>
        </w:rPr>
        <w:t>2</w:t>
      </w:r>
      <w:r w:rsidRPr="003B4362">
        <w:t xml:space="preserve"> D (88) or SM 4500-ClO</w:t>
      </w:r>
      <w:r w:rsidRPr="003B4362">
        <w:rPr>
          <w:vertAlign w:val="subscript"/>
        </w:rPr>
        <w:t>2</w:t>
      </w:r>
      <w:r w:rsidRPr="003B4362">
        <w:t xml:space="preserve"> D (93).</w:t>
      </w:r>
    </w:p>
    <w:p w14:paraId="6E332BBB" w14:textId="77777777" w:rsidR="00AD24B5" w:rsidRDefault="00AD24B5" w:rsidP="00AD24B5">
      <w:pPr>
        <w:widowControl w:val="0"/>
        <w:suppressAutoHyphens/>
        <w:ind w:left="2880" w:hanging="720"/>
      </w:pPr>
    </w:p>
    <w:p w14:paraId="3C21A37D" w14:textId="77777777" w:rsidR="00AD24B5" w:rsidRPr="003B4362" w:rsidRDefault="00AD24B5" w:rsidP="00AD24B5">
      <w:pPr>
        <w:widowControl w:val="0"/>
        <w:suppressAutoHyphens/>
        <w:ind w:left="2880" w:hanging="720"/>
      </w:pPr>
      <w:r w:rsidRPr="003B4362">
        <w:t>C)</w:t>
      </w:r>
      <w:r w:rsidRPr="003B4362">
        <w:tab/>
        <w:t>Spectrophotometric.  USEPA 327.0 (05).</w:t>
      </w:r>
    </w:p>
    <w:p w14:paraId="7189C44E" w14:textId="77777777" w:rsidR="00AD24B5" w:rsidRDefault="00AD24B5" w:rsidP="00AD24B5">
      <w:pPr>
        <w:widowControl w:val="0"/>
        <w:suppressAutoHyphens/>
        <w:ind w:left="2160" w:hanging="720"/>
      </w:pPr>
    </w:p>
    <w:p w14:paraId="4D3CD2A1" w14:textId="77777777" w:rsidR="00AD24B5" w:rsidRPr="003B4362" w:rsidRDefault="00AD24B5" w:rsidP="00AD24B5">
      <w:pPr>
        <w:widowControl w:val="0"/>
        <w:suppressAutoHyphens/>
        <w:ind w:left="2160" w:hanging="720"/>
      </w:pPr>
      <w:r w:rsidRPr="003B4362">
        <w:t>4)</w:t>
      </w:r>
      <w:r w:rsidRPr="003B4362">
        <w:tab/>
        <w:t>Ozone.  Indigo Method.  SM 4500-O</w:t>
      </w:r>
      <w:r w:rsidRPr="003B4362">
        <w:rPr>
          <w:vertAlign w:val="subscript"/>
        </w:rPr>
        <w:t>3</w:t>
      </w:r>
      <w:r w:rsidRPr="003B4362">
        <w:t xml:space="preserve"> B (88), SM 4500-O</w:t>
      </w:r>
      <w:r w:rsidRPr="003B4362">
        <w:rPr>
          <w:vertAlign w:val="subscript"/>
        </w:rPr>
        <w:t>3</w:t>
      </w:r>
      <w:r w:rsidRPr="003B4362">
        <w:t xml:space="preserve"> B (93), or SM 4500-O</w:t>
      </w:r>
      <w:r w:rsidRPr="003B4362">
        <w:rPr>
          <w:vertAlign w:val="subscript"/>
        </w:rPr>
        <w:t>3</w:t>
      </w:r>
      <w:r w:rsidRPr="003B4362">
        <w:t xml:space="preserve"> B (00).</w:t>
      </w:r>
    </w:p>
    <w:p w14:paraId="316952B7" w14:textId="77777777" w:rsidR="00AD24B5" w:rsidRDefault="00AD24B5" w:rsidP="00AD24B5">
      <w:pPr>
        <w:widowControl w:val="0"/>
        <w:suppressAutoHyphens/>
        <w:ind w:left="2160" w:hanging="720"/>
      </w:pPr>
    </w:p>
    <w:p w14:paraId="3097035C" w14:textId="77777777" w:rsidR="00AD24B5" w:rsidRPr="003B4362" w:rsidRDefault="00AD24B5" w:rsidP="00AD24B5">
      <w:pPr>
        <w:widowControl w:val="0"/>
        <w:suppressAutoHyphens/>
        <w:ind w:left="2160" w:hanging="720"/>
      </w:pPr>
      <w:r w:rsidRPr="003B4362">
        <w:t>5)</w:t>
      </w:r>
      <w:r w:rsidRPr="003B4362">
        <w:tab/>
        <w:t>Alternative Test Methods.  The Agency may issue a SEP allowing a supplier to use alternative chlorine test methods:</w:t>
      </w:r>
    </w:p>
    <w:p w14:paraId="2C68A1D6" w14:textId="77777777" w:rsidR="00AD24B5" w:rsidRDefault="00AD24B5" w:rsidP="00AD24B5">
      <w:pPr>
        <w:widowControl w:val="0"/>
        <w:suppressAutoHyphens/>
        <w:ind w:left="2880" w:hanging="720"/>
      </w:pPr>
    </w:p>
    <w:p w14:paraId="4515582C" w14:textId="77777777" w:rsidR="00AD24B5" w:rsidRPr="003B4362" w:rsidRDefault="00AD24B5" w:rsidP="00AD24B5">
      <w:pPr>
        <w:widowControl w:val="0"/>
        <w:suppressAutoHyphens/>
        <w:ind w:left="2880" w:hanging="720"/>
      </w:pPr>
      <w:r w:rsidRPr="003B4362">
        <w:t>A)</w:t>
      </w:r>
      <w:r w:rsidRPr="003B4362">
        <w:tab/>
        <w:t>DPD Colorimetric Test Kits.  A supplier may measure residual disinfectant concentrations for free chlorine and combined chlorine using ITS Method D99-003.</w:t>
      </w:r>
    </w:p>
    <w:p w14:paraId="5EE46A1F" w14:textId="77777777" w:rsidR="00AD24B5" w:rsidRDefault="00AD24B5" w:rsidP="00AD24B5">
      <w:pPr>
        <w:widowControl w:val="0"/>
        <w:suppressAutoHyphens/>
        <w:ind w:left="2880" w:hanging="720"/>
      </w:pPr>
    </w:p>
    <w:p w14:paraId="7BC814CE" w14:textId="77777777" w:rsidR="00AD24B5" w:rsidRPr="003B4362" w:rsidRDefault="00AD24B5" w:rsidP="00AD24B5">
      <w:pPr>
        <w:widowControl w:val="0"/>
        <w:suppressAutoHyphens/>
        <w:ind w:left="2880" w:hanging="720"/>
      </w:pPr>
      <w:r w:rsidRPr="003B4362">
        <w:t>B)</w:t>
      </w:r>
      <w:r w:rsidRPr="003B4362">
        <w:tab/>
        <w:t xml:space="preserve">Continuous Monitoring for Free and Total Chlorine.  A supplier </w:t>
      </w:r>
      <w:r w:rsidRPr="003B4362">
        <w:lastRenderedPageBreak/>
        <w:t>may measure free and total chlorine residuals continuously by adapting a specified chlorine residual method for use with a continuous monitoring instrument, provided the chemistry, accuracy, and precision remain the same.  A supplier must calibrate instruments it uses for continuous monitoring with a grab sample measurement at least every five days or as the Agency provides otherwise in a SEP.</w:t>
      </w:r>
    </w:p>
    <w:p w14:paraId="45D3121B" w14:textId="77777777" w:rsidR="00AD24B5" w:rsidRDefault="00AD24B5" w:rsidP="00AD24B5">
      <w:pPr>
        <w:widowControl w:val="0"/>
      </w:pPr>
    </w:p>
    <w:p w14:paraId="4D6A659B" w14:textId="77777777" w:rsidR="00AD24B5" w:rsidRPr="003B4362" w:rsidRDefault="00AD24B5" w:rsidP="00AD24B5">
      <w:pPr>
        <w:widowControl w:val="0"/>
      </w:pPr>
      <w:r w:rsidRPr="003B4362">
        <w:t xml:space="preserve">BOARD NOTE:  </w:t>
      </w:r>
      <w:r w:rsidRPr="003B4362">
        <w:rPr>
          <w:spacing w:val="-3"/>
        </w:rPr>
        <w:t xml:space="preserve">This Section derives </w:t>
      </w:r>
      <w:r w:rsidRPr="003B4362">
        <w:t xml:space="preserve">from 40 CFR 141.74(a) and appendix A to subpart C of 40 CFR 141.  The Board did not separately list approved alternative methods from Standard Methods Online that are the same version as a method appearing in a printed edition of Standard Methods.  </w:t>
      </w:r>
      <w:r w:rsidRPr="003B4362">
        <w:rPr>
          <w:szCs w:val="22"/>
        </w:rPr>
        <w:t xml:space="preserve">Using </w:t>
      </w:r>
      <w:r w:rsidRPr="003B4362">
        <w:t>the Standard Methods Online copy is acceptable.</w:t>
      </w:r>
    </w:p>
    <w:p w14:paraId="05C8D64F" w14:textId="77777777" w:rsidR="00AD24B5" w:rsidRDefault="00AD24B5" w:rsidP="00AD24B5">
      <w:pPr>
        <w:widowControl w:val="0"/>
        <w:ind w:left="720"/>
      </w:pPr>
    </w:p>
    <w:p w14:paraId="04D256DD" w14:textId="77777777" w:rsidR="00AD24B5" w:rsidRPr="003B4362" w:rsidRDefault="00AD24B5" w:rsidP="00AD24B5">
      <w:pPr>
        <w:widowControl w:val="0"/>
        <w:ind w:left="720"/>
      </w:pPr>
      <w:r w:rsidRPr="003B4362">
        <w:t>Standard Methods Online, Method 2130 B-01 appears in the 21st, 22nd, and 23rd editions as Method 2130 B.  This appears in this Section as SM 2130 B (01).</w:t>
      </w:r>
    </w:p>
    <w:p w14:paraId="145B1EAD" w14:textId="77777777" w:rsidR="00AD24B5" w:rsidRDefault="00AD24B5" w:rsidP="00AD24B5">
      <w:pPr>
        <w:widowControl w:val="0"/>
        <w:ind w:left="720"/>
      </w:pPr>
    </w:p>
    <w:p w14:paraId="06B483C8" w14:textId="77777777" w:rsidR="00AD24B5" w:rsidRPr="003B4362" w:rsidRDefault="00AD24B5" w:rsidP="00AD24B5">
      <w:pPr>
        <w:widowControl w:val="0"/>
        <w:ind w:left="720"/>
      </w:pPr>
      <w:r w:rsidRPr="003B4362">
        <w:t>Standard Methods Online, Methods 4500</w:t>
      </w:r>
      <w:r w:rsidRPr="003B4362">
        <w:noBreakHyphen/>
        <w:t>Cl D-93, 4500</w:t>
      </w:r>
      <w:r w:rsidRPr="003B4362">
        <w:noBreakHyphen/>
        <w:t>Cl E-93, 4500</w:t>
      </w:r>
      <w:r w:rsidRPr="003B4362">
        <w:noBreakHyphen/>
        <w:t>Cl F-93, 4500</w:t>
      </w:r>
      <w:r w:rsidRPr="003B4362">
        <w:noBreakHyphen/>
        <w:t>Cl G-93, 4500</w:t>
      </w:r>
      <w:r w:rsidRPr="003B4362">
        <w:noBreakHyphen/>
        <w:t>Cl H-93, and 4500</w:t>
      </w:r>
      <w:r w:rsidRPr="003B4362">
        <w:noBreakHyphen/>
        <w:t>Cl I-93 appear in the 19th and 20th editions as Methods 4500</w:t>
      </w:r>
      <w:r w:rsidRPr="003B4362">
        <w:noBreakHyphen/>
        <w:t>Cl D, 4500</w:t>
      </w:r>
      <w:r w:rsidRPr="003B4362">
        <w:noBreakHyphen/>
        <w:t>Cl E, 4500</w:t>
      </w:r>
      <w:r w:rsidRPr="003B4362">
        <w:noBreakHyphen/>
        <w:t>Cl F, 4500</w:t>
      </w:r>
      <w:r w:rsidRPr="003B4362">
        <w:noBreakHyphen/>
        <w:t>Cl G, 4500</w:t>
      </w:r>
      <w:r w:rsidRPr="003B4362">
        <w:noBreakHyphen/>
        <w:t>Cl H, and 4500</w:t>
      </w:r>
      <w:r w:rsidRPr="003B4362">
        <w:noBreakHyphen/>
        <w:t>Cl I.  These appear in this Section as SM 4500</w:t>
      </w:r>
      <w:r w:rsidRPr="003B4362">
        <w:noBreakHyphen/>
        <w:t>Cl D (93), SM 4500</w:t>
      </w:r>
      <w:r w:rsidRPr="003B4362">
        <w:noBreakHyphen/>
        <w:t>Cl E (93), SM 4500</w:t>
      </w:r>
      <w:r w:rsidRPr="003B4362">
        <w:noBreakHyphen/>
        <w:t>Cl F (93), SM 4500</w:t>
      </w:r>
      <w:r w:rsidRPr="003B4362">
        <w:noBreakHyphen/>
        <w:t>Cl G (93), SM 4500</w:t>
      </w:r>
      <w:r w:rsidRPr="003B4362">
        <w:noBreakHyphen/>
        <w:t>Cl H (93), and SM 4500</w:t>
      </w:r>
      <w:r w:rsidRPr="003B4362">
        <w:noBreakHyphen/>
        <w:t>Cl I (93).</w:t>
      </w:r>
    </w:p>
    <w:p w14:paraId="56303438" w14:textId="77777777" w:rsidR="00AD24B5" w:rsidRDefault="00AD24B5" w:rsidP="00AD24B5">
      <w:pPr>
        <w:widowControl w:val="0"/>
        <w:ind w:left="720"/>
      </w:pPr>
    </w:p>
    <w:p w14:paraId="12503AC3" w14:textId="77777777" w:rsidR="00AD24B5" w:rsidRPr="003B4362" w:rsidRDefault="00AD24B5" w:rsidP="00AD24B5">
      <w:pPr>
        <w:widowControl w:val="0"/>
        <w:ind w:left="720"/>
      </w:pPr>
      <w:r w:rsidRPr="003B4362">
        <w:t>Standard Methods Online, Methods 4500</w:t>
      </w:r>
      <w:r w:rsidRPr="003B4362">
        <w:noBreakHyphen/>
        <w:t>Cl D-00, 4500</w:t>
      </w:r>
      <w:r w:rsidRPr="003B4362">
        <w:noBreakHyphen/>
        <w:t>Cl E-00, 4500</w:t>
      </w:r>
      <w:r w:rsidRPr="003B4362">
        <w:noBreakHyphen/>
        <w:t>Cl F-00, 4500</w:t>
      </w:r>
      <w:r w:rsidRPr="003B4362">
        <w:noBreakHyphen/>
        <w:t>Cl G-00, 4500</w:t>
      </w:r>
      <w:r w:rsidRPr="003B4362">
        <w:noBreakHyphen/>
        <w:t>Cl H-00, and 4500</w:t>
      </w:r>
      <w:r w:rsidRPr="003B4362">
        <w:noBreakHyphen/>
        <w:t>Cl I-00 appear in the 21st, 22nd, and 23rd editions as Methods 4500</w:t>
      </w:r>
      <w:r w:rsidRPr="003B4362">
        <w:noBreakHyphen/>
        <w:t>Cl D, 4500</w:t>
      </w:r>
      <w:r w:rsidRPr="003B4362">
        <w:noBreakHyphen/>
        <w:t>Cl E, 4500</w:t>
      </w:r>
      <w:r w:rsidRPr="003B4362">
        <w:noBreakHyphen/>
        <w:t>Cl F, 4500</w:t>
      </w:r>
      <w:r w:rsidRPr="003B4362">
        <w:noBreakHyphen/>
        <w:t>Cl G, 4500</w:t>
      </w:r>
      <w:r w:rsidRPr="003B4362">
        <w:noBreakHyphen/>
        <w:t>Cl H, and 4500</w:t>
      </w:r>
      <w:r w:rsidRPr="003B4362">
        <w:noBreakHyphen/>
        <w:t>Cl I.  These appear in this Section as SM 4500</w:t>
      </w:r>
      <w:r w:rsidRPr="003B4362">
        <w:noBreakHyphen/>
        <w:t>Cl D (00), SM 4500</w:t>
      </w:r>
      <w:r w:rsidRPr="003B4362">
        <w:noBreakHyphen/>
        <w:t>Cl E (00), SM 4500</w:t>
      </w:r>
      <w:r w:rsidRPr="003B4362">
        <w:noBreakHyphen/>
        <w:t>Cl F (00), SM 4500</w:t>
      </w:r>
      <w:r w:rsidRPr="003B4362">
        <w:noBreakHyphen/>
        <w:t>Cl G (00), SM 4500</w:t>
      </w:r>
      <w:r w:rsidRPr="003B4362">
        <w:noBreakHyphen/>
        <w:t>Cl H (00), and SM 4500</w:t>
      </w:r>
      <w:r w:rsidRPr="003B4362">
        <w:noBreakHyphen/>
        <w:t>Cl I (00).</w:t>
      </w:r>
    </w:p>
    <w:p w14:paraId="2AEB0C54" w14:textId="77777777" w:rsidR="00AD24B5" w:rsidRDefault="00AD24B5" w:rsidP="00AD24B5">
      <w:pPr>
        <w:widowControl w:val="0"/>
        <w:ind w:left="720"/>
      </w:pPr>
    </w:p>
    <w:p w14:paraId="1644C2EB" w14:textId="77777777" w:rsidR="00AD24B5" w:rsidRPr="003B4362" w:rsidRDefault="00AD24B5" w:rsidP="00AD24B5">
      <w:pPr>
        <w:widowControl w:val="0"/>
        <w:ind w:left="720"/>
      </w:pPr>
      <w:r w:rsidRPr="003B4362">
        <w:t>Standard Methods Online, Methods 4500</w:t>
      </w:r>
      <w:r w:rsidRPr="003B4362">
        <w:noBreakHyphen/>
        <w:t>ClO</w:t>
      </w:r>
      <w:r w:rsidRPr="003B4362">
        <w:rPr>
          <w:vertAlign w:val="subscript"/>
        </w:rPr>
        <w:t>2</w:t>
      </w:r>
      <w:r w:rsidRPr="003B4362">
        <w:t xml:space="preserve"> C-93, 4500</w:t>
      </w:r>
      <w:r w:rsidRPr="003B4362">
        <w:noBreakHyphen/>
        <w:t>ClO</w:t>
      </w:r>
      <w:r w:rsidRPr="003B4362">
        <w:rPr>
          <w:vertAlign w:val="subscript"/>
        </w:rPr>
        <w:t>2</w:t>
      </w:r>
      <w:r w:rsidRPr="003B4362">
        <w:t xml:space="preserve"> D-93, and 4500</w:t>
      </w:r>
      <w:r w:rsidRPr="003B4362">
        <w:noBreakHyphen/>
        <w:t>ClO</w:t>
      </w:r>
      <w:r w:rsidRPr="003B4362">
        <w:rPr>
          <w:vertAlign w:val="subscript"/>
        </w:rPr>
        <w:t>2</w:t>
      </w:r>
      <w:r w:rsidRPr="003B4362">
        <w:t xml:space="preserve"> E-93 appear in the 19th and 20th editions as Methods 4500</w:t>
      </w:r>
      <w:r w:rsidRPr="003B4362">
        <w:noBreakHyphen/>
        <w:t>ClO</w:t>
      </w:r>
      <w:r w:rsidRPr="003B4362">
        <w:rPr>
          <w:vertAlign w:val="subscript"/>
        </w:rPr>
        <w:t>2</w:t>
      </w:r>
      <w:r w:rsidRPr="003B4362">
        <w:t xml:space="preserve"> C, 4500</w:t>
      </w:r>
      <w:r w:rsidRPr="003B4362">
        <w:noBreakHyphen/>
        <w:t>ClO</w:t>
      </w:r>
      <w:r w:rsidRPr="003B4362">
        <w:rPr>
          <w:vertAlign w:val="subscript"/>
        </w:rPr>
        <w:t>2</w:t>
      </w:r>
      <w:r w:rsidRPr="003B4362">
        <w:t xml:space="preserve"> D, and 4500</w:t>
      </w:r>
      <w:r w:rsidRPr="003B4362">
        <w:noBreakHyphen/>
        <w:t>ClO</w:t>
      </w:r>
      <w:r w:rsidRPr="003B4362">
        <w:rPr>
          <w:vertAlign w:val="subscript"/>
        </w:rPr>
        <w:t>2</w:t>
      </w:r>
      <w:r w:rsidRPr="003B4362">
        <w:t xml:space="preserve"> E.  These appear in this Section as SM 4500</w:t>
      </w:r>
      <w:r w:rsidRPr="003B4362">
        <w:noBreakHyphen/>
        <w:t>ClO</w:t>
      </w:r>
      <w:r w:rsidRPr="003B4362">
        <w:rPr>
          <w:vertAlign w:val="subscript"/>
        </w:rPr>
        <w:t>2</w:t>
      </w:r>
      <w:r w:rsidRPr="003B4362">
        <w:t xml:space="preserve"> C (93), SM 4500</w:t>
      </w:r>
      <w:r w:rsidRPr="003B4362">
        <w:noBreakHyphen/>
        <w:t>ClO</w:t>
      </w:r>
      <w:r w:rsidRPr="003B4362">
        <w:rPr>
          <w:vertAlign w:val="subscript"/>
        </w:rPr>
        <w:t>2</w:t>
      </w:r>
      <w:r w:rsidRPr="003B4362">
        <w:t xml:space="preserve"> D (93), and SM 4500</w:t>
      </w:r>
      <w:r w:rsidRPr="003B4362">
        <w:noBreakHyphen/>
        <w:t>ClO</w:t>
      </w:r>
      <w:r w:rsidRPr="003B4362">
        <w:rPr>
          <w:vertAlign w:val="subscript"/>
        </w:rPr>
        <w:t>2</w:t>
      </w:r>
      <w:r w:rsidRPr="003B4362">
        <w:t xml:space="preserve"> E (93).</w:t>
      </w:r>
    </w:p>
    <w:p w14:paraId="66F66106" w14:textId="77777777" w:rsidR="00AD24B5" w:rsidRDefault="00AD24B5" w:rsidP="00AD24B5">
      <w:pPr>
        <w:widowControl w:val="0"/>
        <w:ind w:left="720"/>
      </w:pPr>
    </w:p>
    <w:p w14:paraId="14F5111A" w14:textId="77777777" w:rsidR="00AD24B5" w:rsidRPr="003B4362" w:rsidRDefault="00AD24B5" w:rsidP="00AD24B5">
      <w:pPr>
        <w:widowControl w:val="0"/>
        <w:ind w:left="720"/>
      </w:pPr>
      <w:r w:rsidRPr="003B4362">
        <w:t>Standard Methods Online, Methods 4500</w:t>
      </w:r>
      <w:r w:rsidRPr="003B4362">
        <w:noBreakHyphen/>
        <w:t>ClO</w:t>
      </w:r>
      <w:r w:rsidRPr="003B4362">
        <w:rPr>
          <w:vertAlign w:val="subscript"/>
        </w:rPr>
        <w:t>2</w:t>
      </w:r>
      <w:r w:rsidRPr="003B4362">
        <w:t xml:space="preserve"> C-00 and 4500</w:t>
      </w:r>
      <w:r w:rsidRPr="003B4362">
        <w:noBreakHyphen/>
        <w:t>ClO</w:t>
      </w:r>
      <w:r w:rsidRPr="003B4362">
        <w:rPr>
          <w:vertAlign w:val="subscript"/>
        </w:rPr>
        <w:t>2</w:t>
      </w:r>
      <w:r w:rsidRPr="003B4362">
        <w:t xml:space="preserve"> E-00 appear in the 19th and 20th editions as Methods 4500</w:t>
      </w:r>
      <w:r w:rsidRPr="003B4362">
        <w:noBreakHyphen/>
        <w:t>ClO</w:t>
      </w:r>
      <w:r w:rsidRPr="003B4362">
        <w:rPr>
          <w:vertAlign w:val="subscript"/>
        </w:rPr>
        <w:t>2</w:t>
      </w:r>
      <w:r w:rsidRPr="003B4362">
        <w:t xml:space="preserve"> C and 4500</w:t>
      </w:r>
      <w:r w:rsidRPr="003B4362">
        <w:noBreakHyphen/>
        <w:t>ClO</w:t>
      </w:r>
      <w:r w:rsidRPr="003B4362">
        <w:rPr>
          <w:vertAlign w:val="subscript"/>
        </w:rPr>
        <w:t>2</w:t>
      </w:r>
      <w:r w:rsidRPr="003B4362">
        <w:t xml:space="preserve"> E.  These appear in this Section as SM 4500</w:t>
      </w:r>
      <w:r w:rsidRPr="003B4362">
        <w:noBreakHyphen/>
        <w:t>ClO</w:t>
      </w:r>
      <w:r w:rsidRPr="003B4362">
        <w:rPr>
          <w:vertAlign w:val="subscript"/>
        </w:rPr>
        <w:t>2</w:t>
      </w:r>
      <w:r w:rsidRPr="003B4362">
        <w:t xml:space="preserve"> C (00) and SM 4500</w:t>
      </w:r>
      <w:r w:rsidRPr="003B4362">
        <w:noBreakHyphen/>
        <w:t>ClO</w:t>
      </w:r>
      <w:r w:rsidRPr="003B4362">
        <w:rPr>
          <w:vertAlign w:val="subscript"/>
        </w:rPr>
        <w:t>2</w:t>
      </w:r>
      <w:r w:rsidRPr="003B4362">
        <w:t xml:space="preserve"> E (00).</w:t>
      </w:r>
    </w:p>
    <w:p w14:paraId="189DD7D5" w14:textId="77777777" w:rsidR="00AD24B5" w:rsidRDefault="00AD24B5" w:rsidP="00AD24B5">
      <w:pPr>
        <w:widowControl w:val="0"/>
        <w:ind w:left="720"/>
      </w:pPr>
    </w:p>
    <w:p w14:paraId="7A6DC17E" w14:textId="77777777" w:rsidR="00AD24B5" w:rsidRPr="003B4362" w:rsidRDefault="00AD24B5" w:rsidP="00AD24B5">
      <w:pPr>
        <w:widowControl w:val="0"/>
        <w:ind w:left="720"/>
      </w:pPr>
      <w:r w:rsidRPr="003B4362">
        <w:t>Standard Methods Online, Method 4500</w:t>
      </w:r>
      <w:r w:rsidRPr="003B4362">
        <w:noBreakHyphen/>
        <w:t>O</w:t>
      </w:r>
      <w:r w:rsidRPr="003B4362">
        <w:rPr>
          <w:vertAlign w:val="subscript"/>
        </w:rPr>
        <w:t>3</w:t>
      </w:r>
      <w:r w:rsidRPr="003B4362">
        <w:t xml:space="preserve"> B-97 appears in the 20th edition as Method 4500</w:t>
      </w:r>
      <w:r w:rsidRPr="003B4362">
        <w:noBreakHyphen/>
        <w:t>O</w:t>
      </w:r>
      <w:r w:rsidRPr="003B4362">
        <w:rPr>
          <w:vertAlign w:val="subscript"/>
        </w:rPr>
        <w:t>3</w:t>
      </w:r>
      <w:r w:rsidRPr="003B4362">
        <w:t xml:space="preserve"> B.  This appears in this Section as SM 4500</w:t>
      </w:r>
      <w:r w:rsidRPr="003B4362">
        <w:noBreakHyphen/>
        <w:t>O</w:t>
      </w:r>
      <w:r w:rsidRPr="003B4362">
        <w:rPr>
          <w:vertAlign w:val="subscript"/>
        </w:rPr>
        <w:t>3</w:t>
      </w:r>
      <w:r w:rsidRPr="003B4362">
        <w:t xml:space="preserve"> B (97).</w:t>
      </w:r>
    </w:p>
    <w:p w14:paraId="5FA50B0A" w14:textId="77777777" w:rsidR="00AD24B5" w:rsidRDefault="00AD24B5" w:rsidP="00AD24B5">
      <w:pPr>
        <w:widowControl w:val="0"/>
        <w:ind w:left="720"/>
      </w:pPr>
    </w:p>
    <w:p w14:paraId="59A559AB" w14:textId="77777777" w:rsidR="00AD24B5" w:rsidRPr="003B4362" w:rsidRDefault="00AD24B5" w:rsidP="00AD24B5">
      <w:pPr>
        <w:widowControl w:val="0"/>
        <w:ind w:left="720"/>
      </w:pPr>
      <w:r w:rsidRPr="003B4362">
        <w:t>Standard Methods Online, Method 9215 B-00 appears in the 21st edition as Method 9215 B.  This appears in this Section as SM 9215 B (00).</w:t>
      </w:r>
    </w:p>
    <w:p w14:paraId="376DE98F" w14:textId="77777777" w:rsidR="00AD24B5" w:rsidRDefault="00AD24B5" w:rsidP="00AD24B5">
      <w:pPr>
        <w:widowControl w:val="0"/>
        <w:ind w:left="720"/>
      </w:pPr>
    </w:p>
    <w:p w14:paraId="0EA5F722" w14:textId="77777777" w:rsidR="00AD24B5" w:rsidRPr="003B4362" w:rsidRDefault="00AD24B5" w:rsidP="00AD24B5">
      <w:pPr>
        <w:widowControl w:val="0"/>
        <w:ind w:left="720"/>
      </w:pPr>
      <w:r w:rsidRPr="003B4362">
        <w:t>Standard Methods Online, Method 9215 B-04 appears in the 22nd edition as Method 9215 B.  This appears in this Section as SM 9215 B (04).</w:t>
      </w:r>
    </w:p>
    <w:p w14:paraId="10068136" w14:textId="77777777" w:rsidR="00AD24B5" w:rsidRDefault="00AD24B5" w:rsidP="00AD24B5">
      <w:pPr>
        <w:widowControl w:val="0"/>
        <w:ind w:left="720"/>
      </w:pPr>
    </w:p>
    <w:p w14:paraId="6497AE63" w14:textId="77777777" w:rsidR="00AD24B5" w:rsidRPr="003B4362" w:rsidRDefault="00AD24B5" w:rsidP="00AD24B5">
      <w:pPr>
        <w:widowControl w:val="0"/>
        <w:ind w:left="720"/>
      </w:pPr>
      <w:r w:rsidRPr="003B4362">
        <w:t>Standard Methods Online, Methods 9221 A-99, 9221 B-99, and 9221 C-99 appear in the 21st edition as Methods 9221 A, 9221 B, and 9221 C.  These appear in this Section as SM 9221 A (99), SM 9221 B (99), and SM 9221 C (99).</w:t>
      </w:r>
    </w:p>
    <w:p w14:paraId="2A09E787" w14:textId="77777777" w:rsidR="00AD24B5" w:rsidRDefault="00AD24B5" w:rsidP="00AD24B5">
      <w:pPr>
        <w:widowControl w:val="0"/>
        <w:ind w:left="720"/>
      </w:pPr>
    </w:p>
    <w:p w14:paraId="5903FE88" w14:textId="77777777" w:rsidR="00AD24B5" w:rsidRPr="003B4362" w:rsidRDefault="00AD24B5" w:rsidP="00AD24B5">
      <w:pPr>
        <w:widowControl w:val="0"/>
        <w:ind w:left="720"/>
      </w:pPr>
      <w:r w:rsidRPr="003B4362">
        <w:t>Standard Methods Online, Methods 9221 A-06, 9221 B-06, 9221 C-06, and 9221 E-06 appear in the 22nd edition as Methods 9221 A, 9221 B, 9221 C, and 9221 E.  These appear in this Section as SM 9221 A (06), SM 9221 B (06), SM 9221 C (06), and SM 9221 E (06).</w:t>
      </w:r>
    </w:p>
    <w:p w14:paraId="0948951B" w14:textId="77777777" w:rsidR="00AD24B5" w:rsidRDefault="00AD24B5" w:rsidP="00AD24B5">
      <w:pPr>
        <w:widowControl w:val="0"/>
        <w:ind w:left="720"/>
      </w:pPr>
    </w:p>
    <w:p w14:paraId="408CDD4A" w14:textId="77777777" w:rsidR="00AD24B5" w:rsidRPr="003B4362" w:rsidRDefault="00AD24B5" w:rsidP="00AD24B5">
      <w:pPr>
        <w:widowControl w:val="0"/>
        <w:ind w:left="720"/>
      </w:pPr>
      <w:r w:rsidRPr="003B4362">
        <w:t>Standard Methods Online, Methods 9222 A-97, 9222 B-97, and 9222 C-97 appear in the 20th and 21st editions as Methods 9222 A, 9222 B, and 9222 C.  These appear in this Section as SM 9222 A (97), SM 9222 B (97), and SM 9222 C (97).</w:t>
      </w:r>
    </w:p>
    <w:p w14:paraId="7712275D" w14:textId="77777777" w:rsidR="00AD24B5" w:rsidRDefault="00AD24B5" w:rsidP="00AD24B5">
      <w:pPr>
        <w:widowControl w:val="0"/>
        <w:ind w:left="720"/>
      </w:pPr>
    </w:p>
    <w:p w14:paraId="0E7CFF91" w14:textId="77777777" w:rsidR="00AD24B5" w:rsidRPr="003B4362" w:rsidRDefault="00AD24B5" w:rsidP="00AD24B5">
      <w:pPr>
        <w:widowControl w:val="0"/>
        <w:ind w:left="720"/>
      </w:pPr>
      <w:r w:rsidRPr="003B4362">
        <w:t>Standard Methods Online, Method 9223 B-97 appears in the 20th and 21st editions as Method 9223 B.  This appears in this Section as SM 9223 B (97).</w:t>
      </w:r>
    </w:p>
    <w:p w14:paraId="6C651CFD" w14:textId="77777777" w:rsidR="00AD24B5" w:rsidRDefault="00AD24B5" w:rsidP="00AD24B5">
      <w:pPr>
        <w:widowControl w:val="0"/>
        <w:ind w:left="720"/>
      </w:pPr>
    </w:p>
    <w:p w14:paraId="7E160267" w14:textId="77777777" w:rsidR="00AD24B5" w:rsidRPr="003B4362" w:rsidRDefault="00AD24B5" w:rsidP="00AD24B5">
      <w:pPr>
        <w:widowControl w:val="0"/>
        <w:ind w:left="720"/>
      </w:pPr>
      <w:r w:rsidRPr="003B4362">
        <w:t>Standard Methods Online, Method 9223 B-04 appears in the 22nd edition as Method 9223 B.  This appears in this Section as SM 9223 B (04).</w:t>
      </w:r>
    </w:p>
    <w:p w14:paraId="2D672A39" w14:textId="77777777" w:rsidR="00AD24B5" w:rsidRDefault="00AD24B5" w:rsidP="00AD24B5">
      <w:pPr>
        <w:suppressAutoHyphens/>
        <w:ind w:left="720"/>
      </w:pPr>
    </w:p>
    <w:p w14:paraId="69CB8979" w14:textId="77777777" w:rsidR="00AD24B5" w:rsidRPr="003B4362" w:rsidRDefault="00AD24B5" w:rsidP="00AD24B5">
      <w:pPr>
        <w:suppressAutoHyphens/>
        <w:ind w:left="720"/>
      </w:pPr>
      <w:r w:rsidRPr="003B4362">
        <w:t>(Source:  A</w:t>
      </w:r>
      <w:r w:rsidRPr="003B4362">
        <w:rPr>
          <w:szCs w:val="17"/>
        </w:rPr>
        <w:t xml:space="preserve">mended at </w:t>
      </w:r>
      <w:r>
        <w:t>47</w:t>
      </w:r>
      <w:r w:rsidRPr="003B4362">
        <w:t xml:space="preserve"> Ill. Reg</w:t>
      </w:r>
      <w:r>
        <w:t>. 18996</w:t>
      </w:r>
      <w:r w:rsidRPr="003B4362">
        <w:t xml:space="preserve">, effective </w:t>
      </w:r>
      <w:r>
        <w:t>December 26, 2023</w:t>
      </w:r>
      <w:r w:rsidRPr="003B4362">
        <w:t>)</w:t>
      </w:r>
    </w:p>
    <w:p w14:paraId="59AD5124" w14:textId="77777777" w:rsidR="00D479CA" w:rsidRPr="003B4362" w:rsidRDefault="00D479CA" w:rsidP="00D479CA">
      <w:pPr>
        <w:suppressAutoHyphens/>
        <w:ind w:left="720"/>
      </w:pPr>
    </w:p>
    <w:bookmarkEnd w:id="3513"/>
    <w:p w14:paraId="51F6B6BC" w14:textId="77777777" w:rsidR="004F7532" w:rsidRPr="003B4362" w:rsidRDefault="004F7532" w:rsidP="00A854E0">
      <w:pPr>
        <w:rPr>
          <w:b/>
          <w:bCs/>
        </w:rPr>
      </w:pPr>
      <w:r w:rsidRPr="003B4362">
        <w:rPr>
          <w:b/>
          <w:bCs/>
        </w:rPr>
        <w:t>Section 611.532  Unfiltered PWSs</w:t>
      </w:r>
    </w:p>
    <w:p w14:paraId="2D0F512A" w14:textId="77777777" w:rsidR="00A854E0" w:rsidRDefault="00A854E0" w:rsidP="00A854E0">
      <w:pPr>
        <w:suppressAutoHyphens/>
      </w:pPr>
    </w:p>
    <w:p w14:paraId="00CD1AA0" w14:textId="4E019072" w:rsidR="004F7532" w:rsidRPr="003B4362" w:rsidRDefault="004F7532" w:rsidP="00A854E0">
      <w:pPr>
        <w:suppressAutoHyphens/>
      </w:pPr>
      <w:r w:rsidRPr="003B4362">
        <w:t xml:space="preserve">If the Agency determines that filtration is required, it must specify alternative monitoring requirements, as appropriate, until filtration is in place.  A supplier </w:t>
      </w:r>
      <w:r w:rsidR="00DC6CA9" w:rsidRPr="003B4362">
        <w:t xml:space="preserve">using </w:t>
      </w:r>
      <w:r w:rsidRPr="003B4362">
        <w:t xml:space="preserve">a groundwater source under the direct influence of surface water </w:t>
      </w:r>
      <w:r w:rsidR="006C4D13" w:rsidRPr="003B4362">
        <w:t xml:space="preserve">not providing </w:t>
      </w:r>
      <w:r w:rsidRPr="003B4362">
        <w:t xml:space="preserve">filtration treatment must monitor </w:t>
      </w:r>
      <w:r w:rsidR="006C4D13" w:rsidRPr="003B4362">
        <w:t xml:space="preserve">as </w:t>
      </w:r>
      <w:r w:rsidRPr="003B4362">
        <w:t xml:space="preserve">the Agency </w:t>
      </w:r>
      <w:r w:rsidR="006C4D13" w:rsidRPr="003B4362">
        <w:t xml:space="preserve">directs in a SEP after determining </w:t>
      </w:r>
      <w:r w:rsidRPr="003B4362">
        <w:t xml:space="preserve">under Section 611.212 that the </w:t>
      </w:r>
      <w:r w:rsidR="006C4D13" w:rsidRPr="003B4362">
        <w:t xml:space="preserve">supplier’s </w:t>
      </w:r>
      <w:r w:rsidRPr="003B4362">
        <w:t>groundwater source is under the direct influence of surface water</w:t>
      </w:r>
      <w:r w:rsidR="008849E1" w:rsidRPr="003B4362">
        <w:t xml:space="preserve">, </w:t>
      </w:r>
      <w:r w:rsidR="006C4D13" w:rsidRPr="003B4362">
        <w:t>requiring the supplier to install and apply filtration treatment</w:t>
      </w:r>
      <w:r w:rsidR="008849E1" w:rsidRPr="003B4362">
        <w:t>, and specifying</w:t>
      </w:r>
      <w:r w:rsidR="006C4D13" w:rsidRPr="003B4362">
        <w:t xml:space="preserve"> </w:t>
      </w:r>
      <w:r w:rsidR="008849E1" w:rsidRPr="003B4362">
        <w:t xml:space="preserve">appropriate </w:t>
      </w:r>
      <w:r w:rsidRPr="003B4362">
        <w:t>monitoring requirements until filtration is in place.</w:t>
      </w:r>
    </w:p>
    <w:p w14:paraId="62BC0FC7" w14:textId="77777777" w:rsidR="00A854E0" w:rsidRDefault="00A854E0" w:rsidP="00A854E0">
      <w:pPr>
        <w:suppressAutoHyphens/>
        <w:ind w:left="1440" w:hanging="720"/>
      </w:pPr>
    </w:p>
    <w:p w14:paraId="578314CF" w14:textId="3FA97360" w:rsidR="004F7532" w:rsidRPr="003B4362" w:rsidRDefault="004F7532" w:rsidP="00A854E0">
      <w:pPr>
        <w:suppressAutoHyphens/>
        <w:ind w:left="1440" w:hanging="720"/>
      </w:pPr>
      <w:r w:rsidRPr="003B4362">
        <w:t>a)</w:t>
      </w:r>
      <w:r w:rsidRPr="003B4362">
        <w:tab/>
      </w:r>
      <w:r w:rsidR="00620E91" w:rsidRPr="003B4362">
        <w:t xml:space="preserve">The supplier must sample and analyze </w:t>
      </w:r>
      <w:r w:rsidR="00434E87" w:rsidRPr="003B4362">
        <w:t xml:space="preserve">for </w:t>
      </w:r>
      <w:r w:rsidR="00620E91" w:rsidRPr="003B4362">
        <w:t xml:space="preserve">fecal </w:t>
      </w:r>
      <w:r w:rsidRPr="003B4362">
        <w:t xml:space="preserve">coliform or total coliform as Section 611.231(a) </w:t>
      </w:r>
      <w:r w:rsidR="00620E91" w:rsidRPr="003B4362">
        <w:t xml:space="preserve">requires </w:t>
      </w:r>
      <w:r w:rsidRPr="003B4362">
        <w:t xml:space="preserve">on representative source water samples </w:t>
      </w:r>
      <w:r w:rsidR="00931D32" w:rsidRPr="003B4362">
        <w:t xml:space="preserve">it collects </w:t>
      </w:r>
      <w:r w:rsidRPr="003B4362">
        <w:t xml:space="preserve">immediately prior to the first or only point of </w:t>
      </w:r>
      <w:r w:rsidR="00AD319E" w:rsidRPr="003B4362">
        <w:t xml:space="preserve">applying </w:t>
      </w:r>
      <w:r w:rsidRPr="003B4362">
        <w:t xml:space="preserve">disinfectant.  The supplier must sample for fecal or total coliforms </w:t>
      </w:r>
      <w:r w:rsidR="00AD319E" w:rsidRPr="003B4362">
        <w:t xml:space="preserve">no less frequently than </w:t>
      </w:r>
      <w:r w:rsidRPr="003B4362">
        <w:t xml:space="preserve">Table B </w:t>
      </w:r>
      <w:r w:rsidR="00931D32" w:rsidRPr="003B4362">
        <w:t xml:space="preserve">specifies </w:t>
      </w:r>
      <w:r w:rsidRPr="003B4362">
        <w:t xml:space="preserve">each week the supplier serves water to the public.  </w:t>
      </w:r>
      <w:r w:rsidR="00931D32" w:rsidRPr="003B4362">
        <w:t xml:space="preserve">The supplier must also sample and analyze </w:t>
      </w:r>
      <w:r w:rsidR="00DB78DF" w:rsidRPr="003B4362">
        <w:t xml:space="preserve">once for </w:t>
      </w:r>
      <w:r w:rsidRPr="003B4362">
        <w:t xml:space="preserve">fecal or total coliform density every day the supplier serves water to the public and the turbidity of </w:t>
      </w:r>
      <w:r w:rsidR="00DB78DF" w:rsidRPr="003B4362">
        <w:t xml:space="preserve">its </w:t>
      </w:r>
      <w:r w:rsidRPr="003B4362">
        <w:t>source water exceeds 1 NTU (these samples count towards the weekly coliform sampling requirement)</w:t>
      </w:r>
      <w:r w:rsidR="00DB78DF" w:rsidRPr="003B4362">
        <w:t>,</w:t>
      </w:r>
      <w:r w:rsidRPr="003B4362">
        <w:t xml:space="preserve"> unless the Agency </w:t>
      </w:r>
      <w:r w:rsidR="00DB78DF" w:rsidRPr="003B4362">
        <w:t xml:space="preserve">issues a SEP determining </w:t>
      </w:r>
      <w:r w:rsidRPr="003B4362">
        <w:t xml:space="preserve">that the supplier cannot </w:t>
      </w:r>
      <w:r w:rsidR="00DB78DF" w:rsidRPr="003B4362">
        <w:t xml:space="preserve">analyze </w:t>
      </w:r>
      <w:r w:rsidRPr="003B4362">
        <w:t xml:space="preserve">within 30 hours after </w:t>
      </w:r>
      <w:r w:rsidR="00DB78DF" w:rsidRPr="003B4362">
        <w:t>collecting the sample for logistical reasons outside the supplier’s control</w:t>
      </w:r>
      <w:r w:rsidRPr="003B4362">
        <w:t>.</w:t>
      </w:r>
    </w:p>
    <w:p w14:paraId="5D032AF4" w14:textId="77777777" w:rsidR="00A854E0" w:rsidRDefault="00A854E0" w:rsidP="00A854E0">
      <w:pPr>
        <w:suppressAutoHyphens/>
        <w:ind w:left="1440" w:hanging="720"/>
      </w:pPr>
    </w:p>
    <w:p w14:paraId="5AC23B3D" w14:textId="63B62054" w:rsidR="004F7532" w:rsidRPr="003B4362" w:rsidRDefault="004F7532" w:rsidP="00A854E0">
      <w:pPr>
        <w:suppressAutoHyphens/>
        <w:ind w:left="1440" w:hanging="720"/>
      </w:pPr>
      <w:r w:rsidRPr="003B4362">
        <w:t>b)</w:t>
      </w:r>
      <w:r w:rsidRPr="003B4362">
        <w:tab/>
      </w:r>
      <w:r w:rsidR="00AD319E" w:rsidRPr="003B4362">
        <w:t xml:space="preserve">The supplier must measure turbidity </w:t>
      </w:r>
      <w:r w:rsidRPr="003B4362">
        <w:t xml:space="preserve">as Section 611.231(b) </w:t>
      </w:r>
      <w:r w:rsidR="00AD319E" w:rsidRPr="003B4362">
        <w:t xml:space="preserve">requires </w:t>
      </w:r>
      <w:r w:rsidRPr="003B4362">
        <w:t xml:space="preserve">on representative grab samples of source water </w:t>
      </w:r>
      <w:r w:rsidR="00AD319E" w:rsidRPr="003B4362">
        <w:t xml:space="preserve">it collects </w:t>
      </w:r>
      <w:r w:rsidRPr="003B4362">
        <w:t xml:space="preserve">immediately prior to the </w:t>
      </w:r>
      <w:r w:rsidRPr="003B4362">
        <w:lastRenderedPageBreak/>
        <w:t xml:space="preserve">first or only point of </w:t>
      </w:r>
      <w:r w:rsidR="00AD319E" w:rsidRPr="003B4362">
        <w:t xml:space="preserve">applying </w:t>
      </w:r>
      <w:r w:rsidRPr="003B4362">
        <w:t xml:space="preserve">disinfectant </w:t>
      </w:r>
      <w:r w:rsidR="00AD319E" w:rsidRPr="003B4362">
        <w:t xml:space="preserve">no less frequently than </w:t>
      </w:r>
      <w:r w:rsidRPr="003B4362">
        <w:t xml:space="preserve">every four hours </w:t>
      </w:r>
      <w:r w:rsidR="00AD319E" w:rsidRPr="003B4362">
        <w:t xml:space="preserve">when </w:t>
      </w:r>
      <w:r w:rsidRPr="003B4362">
        <w:t xml:space="preserve">the supplier serves water to the public.  A supplier may substitute continuous turbidity monitoring for grab sample monitoring </w:t>
      </w:r>
      <w:r w:rsidR="00AD319E" w:rsidRPr="003B4362">
        <w:t xml:space="preserve">after validating the accuracy of </w:t>
      </w:r>
      <w:r w:rsidR="007C2327" w:rsidRPr="003B4362">
        <w:t xml:space="preserve">regular </w:t>
      </w:r>
      <w:r w:rsidRPr="003B4362">
        <w:t xml:space="preserve">the continuous measurement for accuracy using a protocol </w:t>
      </w:r>
      <w:r w:rsidR="004122E1" w:rsidRPr="003B4362">
        <w:t xml:space="preserve">the Agency </w:t>
      </w:r>
      <w:r w:rsidRPr="003B4362">
        <w:t xml:space="preserve">approved </w:t>
      </w:r>
      <w:r w:rsidR="004122E1" w:rsidRPr="003B4362">
        <w:t xml:space="preserve">in </w:t>
      </w:r>
      <w:r w:rsidRPr="003B4362">
        <w:t>a SEP.</w:t>
      </w:r>
    </w:p>
    <w:p w14:paraId="06D96A83" w14:textId="77777777" w:rsidR="00A854E0" w:rsidRDefault="00A854E0" w:rsidP="00A854E0">
      <w:pPr>
        <w:suppressAutoHyphens/>
        <w:ind w:left="1440" w:hanging="720"/>
      </w:pPr>
    </w:p>
    <w:p w14:paraId="686789FF" w14:textId="5D93B6D1" w:rsidR="004F7532" w:rsidRPr="003B4362" w:rsidRDefault="004F7532" w:rsidP="00A854E0">
      <w:pPr>
        <w:suppressAutoHyphens/>
        <w:ind w:left="1440" w:hanging="720"/>
      </w:pPr>
      <w:r w:rsidRPr="003B4362">
        <w:t>c)</w:t>
      </w:r>
      <w:r w:rsidRPr="003B4362">
        <w:tab/>
        <w:t xml:space="preserve">The </w:t>
      </w:r>
      <w:r w:rsidR="00361BB6" w:rsidRPr="003B4362">
        <w:t xml:space="preserve">supplier must determine its </w:t>
      </w:r>
      <w:r w:rsidRPr="003B4362">
        <w:t xml:space="preserve">total inactivation ratio for each day </w:t>
      </w:r>
      <w:r w:rsidR="00361BB6" w:rsidRPr="003B4362">
        <w:t xml:space="preserve">it operates </w:t>
      </w:r>
      <w:r w:rsidRPr="003B4362">
        <w:t xml:space="preserve">based on the </w:t>
      </w:r>
      <w:r w:rsidR="00361BB6" w:rsidRPr="003B4362">
        <w:t xml:space="preserve">appropriate </w:t>
      </w:r>
      <w:r w:rsidRPr="003B4362">
        <w:t>CT</w:t>
      </w:r>
      <w:r w:rsidRPr="003B4362">
        <w:rPr>
          <w:vertAlign w:val="subscript"/>
        </w:rPr>
        <w:t>99.9</w:t>
      </w:r>
      <w:r w:rsidRPr="003B4362">
        <w:t xml:space="preserve"> values in Appendix B.  The </w:t>
      </w:r>
      <w:r w:rsidR="00361BB6" w:rsidRPr="003B4362">
        <w:t xml:space="preserve">supplier must monitor the </w:t>
      </w:r>
      <w:r w:rsidRPr="003B4362">
        <w:t xml:space="preserve">parameters necessary to determine </w:t>
      </w:r>
      <w:r w:rsidR="00361BB6" w:rsidRPr="003B4362">
        <w:t xml:space="preserve">its </w:t>
      </w:r>
      <w:r w:rsidRPr="003B4362">
        <w:t>total inactivation ratio</w:t>
      </w:r>
      <w:r w:rsidR="00361BB6" w:rsidRPr="003B4362">
        <w:t xml:space="preserve"> using specific procedures</w:t>
      </w:r>
      <w:r w:rsidRPr="003B4362">
        <w:t>:</w:t>
      </w:r>
    </w:p>
    <w:p w14:paraId="3D53EDFC" w14:textId="77777777" w:rsidR="00A854E0" w:rsidRDefault="00A854E0" w:rsidP="00A854E0">
      <w:pPr>
        <w:suppressAutoHyphens/>
        <w:ind w:left="2160" w:hanging="720"/>
      </w:pPr>
    </w:p>
    <w:p w14:paraId="6725D89F" w14:textId="5DD7DD5C" w:rsidR="004F7532" w:rsidRPr="003B4362" w:rsidRDefault="004F7532" w:rsidP="00A854E0">
      <w:pPr>
        <w:suppressAutoHyphens/>
        <w:ind w:left="2160" w:hanging="720"/>
      </w:pPr>
      <w:r w:rsidRPr="003B4362">
        <w:t>1)</w:t>
      </w:r>
      <w:r w:rsidRPr="003B4362">
        <w:tab/>
        <w:t xml:space="preserve">The </w:t>
      </w:r>
      <w:r w:rsidR="00361BB6" w:rsidRPr="003B4362">
        <w:t xml:space="preserve">supplier </w:t>
      </w:r>
      <w:r w:rsidR="0081371F" w:rsidRPr="003B4362">
        <w:t>must</w:t>
      </w:r>
      <w:r w:rsidR="00361BB6" w:rsidRPr="003B4362">
        <w:t xml:space="preserve"> measure </w:t>
      </w:r>
      <w:r w:rsidRPr="003B4362">
        <w:t>temperature of the disinfected water at least once per day at each RDC sampling point.</w:t>
      </w:r>
    </w:p>
    <w:p w14:paraId="6F7707F6" w14:textId="77777777" w:rsidR="00A854E0" w:rsidRDefault="00A854E0" w:rsidP="00A854E0">
      <w:pPr>
        <w:suppressAutoHyphens/>
        <w:ind w:left="2160" w:hanging="720"/>
      </w:pPr>
    </w:p>
    <w:p w14:paraId="31F43590" w14:textId="57DDB509" w:rsidR="004F7532" w:rsidRPr="003B4362" w:rsidRDefault="004F7532" w:rsidP="00A854E0">
      <w:pPr>
        <w:suppressAutoHyphens/>
        <w:ind w:left="2160" w:hanging="720"/>
      </w:pPr>
      <w:r w:rsidRPr="003B4362">
        <w:t>2)</w:t>
      </w:r>
      <w:r w:rsidRPr="003B4362">
        <w:tab/>
        <w:t xml:space="preserve">If </w:t>
      </w:r>
      <w:r w:rsidR="00361BB6" w:rsidRPr="003B4362">
        <w:t xml:space="preserve">using </w:t>
      </w:r>
      <w:r w:rsidRPr="003B4362">
        <w:t xml:space="preserve">chlorine, </w:t>
      </w:r>
      <w:r w:rsidR="00361BB6" w:rsidRPr="003B4362">
        <w:t xml:space="preserve">the supplier must measure </w:t>
      </w:r>
      <w:r w:rsidRPr="003B4362">
        <w:t>the pH of the disinfected water at least once per day at each chlorine RDC sampling point.</w:t>
      </w:r>
    </w:p>
    <w:p w14:paraId="003A7FF7" w14:textId="77777777" w:rsidR="00A854E0" w:rsidRDefault="00A854E0" w:rsidP="00A854E0">
      <w:pPr>
        <w:suppressAutoHyphens/>
        <w:ind w:left="2160" w:hanging="720"/>
      </w:pPr>
    </w:p>
    <w:p w14:paraId="00B79B13" w14:textId="44796593" w:rsidR="004F7532" w:rsidRPr="003B4362" w:rsidRDefault="004F7532" w:rsidP="00A854E0">
      <w:pPr>
        <w:suppressAutoHyphens/>
        <w:ind w:left="2160" w:hanging="720"/>
      </w:pPr>
      <w:r w:rsidRPr="003B4362">
        <w:t>3)</w:t>
      </w:r>
      <w:r w:rsidRPr="003B4362">
        <w:tab/>
        <w:t xml:space="preserve">The </w:t>
      </w:r>
      <w:r w:rsidR="00D31EB2" w:rsidRPr="003B4362">
        <w:t xml:space="preserve">supplier must determine the </w:t>
      </w:r>
      <w:r w:rsidRPr="003B4362">
        <w:t>disinfectant contact times (“T”) for each day during peak hourly flow.</w:t>
      </w:r>
    </w:p>
    <w:p w14:paraId="78EE383B" w14:textId="77777777" w:rsidR="00A854E0" w:rsidRDefault="00A854E0" w:rsidP="00A854E0">
      <w:pPr>
        <w:suppressAutoHyphens/>
        <w:ind w:left="2160" w:hanging="720"/>
      </w:pPr>
    </w:p>
    <w:p w14:paraId="1EC4DF80" w14:textId="5F4BC5C0" w:rsidR="004F7532" w:rsidRPr="003B4362" w:rsidRDefault="004F7532" w:rsidP="00A854E0">
      <w:pPr>
        <w:suppressAutoHyphens/>
        <w:ind w:left="2160" w:hanging="720"/>
      </w:pPr>
      <w:r w:rsidRPr="003B4362">
        <w:t>4)</w:t>
      </w:r>
      <w:r w:rsidRPr="003B4362">
        <w:tab/>
        <w:t xml:space="preserve">The </w:t>
      </w:r>
      <w:r w:rsidR="00D31EB2" w:rsidRPr="003B4362">
        <w:t xml:space="preserve">supplier must measure the </w:t>
      </w:r>
      <w:r w:rsidRPr="003B4362">
        <w:t>RDCs (“C”) of the water before or at the first customer each day during peak hourly flow.</w:t>
      </w:r>
    </w:p>
    <w:p w14:paraId="48974673" w14:textId="77777777" w:rsidR="00A854E0" w:rsidRDefault="00A854E0" w:rsidP="00A854E0">
      <w:pPr>
        <w:suppressAutoHyphens/>
        <w:ind w:left="2160" w:hanging="720"/>
      </w:pPr>
    </w:p>
    <w:p w14:paraId="01BF02CD" w14:textId="65F023B8" w:rsidR="004F7532" w:rsidRPr="003B4362" w:rsidRDefault="004F7532" w:rsidP="00A854E0">
      <w:pPr>
        <w:suppressAutoHyphens/>
        <w:ind w:left="2160" w:hanging="720"/>
      </w:pPr>
      <w:r w:rsidRPr="003B4362">
        <w:t>5)</w:t>
      </w:r>
      <w:r w:rsidRPr="003B4362">
        <w:tab/>
      </w:r>
      <w:r w:rsidR="00D31EB2" w:rsidRPr="003B4362">
        <w:t xml:space="preserve">A </w:t>
      </w:r>
      <w:r w:rsidRPr="003B4362">
        <w:t xml:space="preserve">supplier </w:t>
      </w:r>
      <w:r w:rsidR="00D31EB2" w:rsidRPr="003B4362">
        <w:t xml:space="preserve">using </w:t>
      </w:r>
      <w:r w:rsidRPr="003B4362">
        <w:t xml:space="preserve">a disinfectant other than chlorine may monitor by other </w:t>
      </w:r>
      <w:r w:rsidR="00D31EB2" w:rsidRPr="003B4362">
        <w:t xml:space="preserve">Agency-approved </w:t>
      </w:r>
      <w:r w:rsidRPr="003B4362">
        <w:t>methods under Section</w:t>
      </w:r>
      <w:r w:rsidR="00D31EB2" w:rsidRPr="003B4362">
        <w:t xml:space="preserve"> 611.241(a)</w:t>
      </w:r>
      <w:r w:rsidRPr="003B4362">
        <w:t>.</w:t>
      </w:r>
    </w:p>
    <w:p w14:paraId="5408B18B" w14:textId="77777777" w:rsidR="00A854E0" w:rsidRDefault="00A854E0" w:rsidP="00A854E0">
      <w:pPr>
        <w:suppressAutoHyphens/>
        <w:ind w:left="1440" w:hanging="720"/>
      </w:pPr>
    </w:p>
    <w:p w14:paraId="17DB3486" w14:textId="6E76863D" w:rsidR="004F7532" w:rsidRPr="003B4362" w:rsidRDefault="004F7532" w:rsidP="00A854E0">
      <w:pPr>
        <w:suppressAutoHyphens/>
        <w:ind w:left="1440" w:hanging="720"/>
      </w:pPr>
      <w:r w:rsidRPr="003B4362">
        <w:t>d)</w:t>
      </w:r>
      <w:r w:rsidRPr="003B4362">
        <w:tab/>
        <w:t xml:space="preserve">The </w:t>
      </w:r>
      <w:r w:rsidR="00D31EB2" w:rsidRPr="003B4362">
        <w:t xml:space="preserve">supplier must calculate </w:t>
      </w:r>
      <w:r w:rsidRPr="003B4362">
        <w:t>total inactivation ratio</w:t>
      </w:r>
      <w:r w:rsidR="00D31EB2" w:rsidRPr="003B4362">
        <w:t xml:space="preserve"> using a specific procedure</w:t>
      </w:r>
      <w:r w:rsidRPr="003B4362">
        <w:t>:</w:t>
      </w:r>
    </w:p>
    <w:p w14:paraId="6BFD14A7" w14:textId="77777777" w:rsidR="00A854E0" w:rsidRDefault="00A854E0" w:rsidP="00A854E0">
      <w:pPr>
        <w:suppressAutoHyphens/>
        <w:ind w:left="2160" w:hanging="720"/>
      </w:pPr>
    </w:p>
    <w:p w14:paraId="4F7AC3CC" w14:textId="6C90042D" w:rsidR="004F7532" w:rsidRPr="003B4362" w:rsidRDefault="004F7532" w:rsidP="00A854E0">
      <w:pPr>
        <w:suppressAutoHyphens/>
        <w:ind w:left="2160" w:hanging="720"/>
      </w:pPr>
      <w:r w:rsidRPr="003B4362">
        <w:t>1)</w:t>
      </w:r>
      <w:r w:rsidRPr="003B4362">
        <w:tab/>
      </w:r>
      <w:r w:rsidR="00B91FF2" w:rsidRPr="003B4362">
        <w:t xml:space="preserve">A </w:t>
      </w:r>
      <w:r w:rsidRPr="003B4362">
        <w:t xml:space="preserve">supplier </w:t>
      </w:r>
      <w:r w:rsidR="00B91FF2" w:rsidRPr="003B4362">
        <w:t xml:space="preserve">applying disinfectant at </w:t>
      </w:r>
      <w:r w:rsidRPr="003B4362">
        <w:t>only one point may determine the total inactivation ratio based on either of two methods:</w:t>
      </w:r>
    </w:p>
    <w:p w14:paraId="26674C48" w14:textId="77777777" w:rsidR="00A854E0" w:rsidRDefault="00A854E0" w:rsidP="00A854E0">
      <w:pPr>
        <w:suppressAutoHyphens/>
        <w:ind w:left="2160" w:hanging="720"/>
      </w:pPr>
    </w:p>
    <w:p w14:paraId="33B64A68" w14:textId="670E307E" w:rsidR="004F7532" w:rsidRPr="003B4362" w:rsidRDefault="004F7532" w:rsidP="00A854E0">
      <w:pPr>
        <w:suppressAutoHyphens/>
        <w:ind w:left="2880" w:hanging="720"/>
      </w:pPr>
      <w:r w:rsidRPr="003B4362">
        <w:t>A)</w:t>
      </w:r>
      <w:r w:rsidRPr="003B4362">
        <w:tab/>
      </w:r>
      <w:r w:rsidR="00B91FF2" w:rsidRPr="003B4362">
        <w:t xml:space="preserve">Determining one </w:t>
      </w:r>
      <w:r w:rsidRPr="003B4362">
        <w:t>inactivation ratio (</w:t>
      </w:r>
      <w:bookmarkStart w:id="3514" w:name="_Hlk36936662"/>
      <w:r w:rsidRPr="003B4362">
        <w:t>Ai = CT</w:t>
      </w:r>
      <w:r w:rsidRPr="003B4362">
        <w:rPr>
          <w:vertAlign w:val="subscript"/>
        </w:rPr>
        <w:t>calc</w:t>
      </w:r>
      <w:r w:rsidRPr="003B4362">
        <w:t>/CT</w:t>
      </w:r>
      <w:r w:rsidRPr="003B4362">
        <w:rPr>
          <w:vertAlign w:val="subscript"/>
        </w:rPr>
        <w:t>99.9</w:t>
      </w:r>
      <w:bookmarkEnd w:id="3514"/>
      <w:r w:rsidRPr="003B4362">
        <w:t>) before or at the first customer during peak hourly flow</w:t>
      </w:r>
      <w:r w:rsidR="00B91FF2" w:rsidRPr="003B4362">
        <w:t>, so that the supplier achieves 99.9 percent Giardia lamblia inactivation</w:t>
      </w:r>
      <w:r w:rsidRPr="003B4362">
        <w:t xml:space="preserve"> if the Ai is greater than 1.0; or</w:t>
      </w:r>
    </w:p>
    <w:p w14:paraId="128C1E83" w14:textId="77777777" w:rsidR="00A854E0" w:rsidRDefault="00A854E0" w:rsidP="00A854E0">
      <w:pPr>
        <w:suppressAutoHyphens/>
        <w:ind w:left="2160" w:hanging="720"/>
      </w:pPr>
    </w:p>
    <w:p w14:paraId="7351391E" w14:textId="16E9631D" w:rsidR="004F7532" w:rsidRPr="003B4362" w:rsidRDefault="004F7532" w:rsidP="00A854E0">
      <w:pPr>
        <w:suppressAutoHyphens/>
        <w:ind w:left="2880" w:hanging="720"/>
      </w:pPr>
      <w:r w:rsidRPr="003B4362">
        <w:t>B)</w:t>
      </w:r>
      <w:r w:rsidRPr="003B4362">
        <w:tab/>
      </w:r>
      <w:r w:rsidR="00030AA0" w:rsidRPr="003B4362">
        <w:t xml:space="preserve">The supplier may determine successive </w:t>
      </w:r>
      <w:r w:rsidRPr="003B4362">
        <w:t>Ai values</w:t>
      </w:r>
      <w:r w:rsidR="00030AA0" w:rsidRPr="003B4362">
        <w:t xml:space="preserve"> at points between where the supplier applies disinfectant and before or at the first customer</w:t>
      </w:r>
      <w:r w:rsidRPr="003B4362">
        <w:t xml:space="preserve">, representing sequential inactivation ratios, during peak hourly flow.  Under this alternative, </w:t>
      </w:r>
      <w:r w:rsidR="00030AA0" w:rsidRPr="003B4362">
        <w:t xml:space="preserve">the supplier must use a specific </w:t>
      </w:r>
      <w:r w:rsidRPr="003B4362">
        <w:t>method to calculate the total inactivation ratio:</w:t>
      </w:r>
    </w:p>
    <w:p w14:paraId="52397687" w14:textId="77777777" w:rsidR="00A854E0" w:rsidRDefault="00A854E0" w:rsidP="00A854E0">
      <w:pPr>
        <w:suppressAutoHyphens/>
        <w:ind w:left="3600" w:hanging="720"/>
      </w:pPr>
    </w:p>
    <w:p w14:paraId="0E091CBA" w14:textId="0A212EC8" w:rsidR="004F7532" w:rsidRDefault="004F7532" w:rsidP="00A854E0">
      <w:pPr>
        <w:suppressAutoHyphens/>
        <w:ind w:left="3600" w:hanging="720"/>
      </w:pPr>
      <w:r w:rsidRPr="003B4362">
        <w:t>i)</w:t>
      </w:r>
      <w:r w:rsidRPr="003B4362">
        <w:tab/>
        <w:t xml:space="preserve">Determine </w:t>
      </w:r>
      <w:r w:rsidR="00AE7FE0" w:rsidRPr="003B4362">
        <w:t xml:space="preserve">Ai </w:t>
      </w:r>
      <w:r w:rsidRPr="003B4362">
        <w:t>for each sequence:</w:t>
      </w:r>
    </w:p>
    <w:p w14:paraId="360C6A13" w14:textId="77777777" w:rsidR="00A854E0" w:rsidRPr="003B4362" w:rsidRDefault="00A854E0" w:rsidP="00A854E0">
      <w:pPr>
        <w:suppressAutoHyphens/>
        <w:ind w:left="3600" w:hanging="720"/>
      </w:pPr>
    </w:p>
    <w:p w14:paraId="0E9FC38C" w14:textId="77777777" w:rsidR="004F7532" w:rsidRPr="003B4362" w:rsidRDefault="004F7532" w:rsidP="00A854E0">
      <w:pPr>
        <w:suppressAutoHyphens/>
        <w:ind w:left="3600"/>
      </w:pPr>
      <w:r w:rsidRPr="003B4362">
        <w:t>Ai = CT</w:t>
      </w:r>
      <w:r w:rsidRPr="003B4362">
        <w:rPr>
          <w:vertAlign w:val="subscript"/>
        </w:rPr>
        <w:t>calc</w:t>
      </w:r>
      <w:r w:rsidRPr="003B4362">
        <w:t>/CT</w:t>
      </w:r>
      <w:r w:rsidRPr="003B4362">
        <w:rPr>
          <w:vertAlign w:val="subscript"/>
        </w:rPr>
        <w:t>99.9</w:t>
      </w:r>
    </w:p>
    <w:p w14:paraId="74868BFA" w14:textId="77777777" w:rsidR="00A854E0" w:rsidRDefault="00A854E0" w:rsidP="00A854E0">
      <w:pPr>
        <w:suppressAutoHyphens/>
        <w:ind w:left="2880" w:hanging="720"/>
      </w:pPr>
    </w:p>
    <w:p w14:paraId="221D7946" w14:textId="1FE09FFE" w:rsidR="004F7532" w:rsidRDefault="004F7532" w:rsidP="00A854E0">
      <w:pPr>
        <w:suppressAutoHyphens/>
        <w:ind w:left="3600" w:hanging="720"/>
      </w:pPr>
      <w:r w:rsidRPr="003B4362">
        <w:t>ii)</w:t>
      </w:r>
      <w:r w:rsidRPr="003B4362">
        <w:tab/>
        <w:t>Add the Ai values:</w:t>
      </w:r>
    </w:p>
    <w:p w14:paraId="07668CD3" w14:textId="77777777" w:rsidR="00A854E0" w:rsidRPr="003B4362" w:rsidRDefault="00A854E0" w:rsidP="00A854E0">
      <w:pPr>
        <w:suppressAutoHyphens/>
        <w:ind w:left="3600" w:hanging="720"/>
      </w:pPr>
    </w:p>
    <w:p w14:paraId="5FC23ABC" w14:textId="77777777" w:rsidR="004F7532" w:rsidRPr="003B4362" w:rsidRDefault="004F7532" w:rsidP="00A854E0">
      <w:pPr>
        <w:suppressAutoHyphens/>
        <w:ind w:left="3600"/>
      </w:pPr>
      <w:r w:rsidRPr="003B4362">
        <w:t>B = ∑(Ai)</w:t>
      </w:r>
    </w:p>
    <w:p w14:paraId="07CA1311" w14:textId="77777777" w:rsidR="00A854E0" w:rsidRDefault="00A854E0" w:rsidP="00A854E0">
      <w:pPr>
        <w:suppressAutoHyphens/>
        <w:ind w:left="2880" w:hanging="720"/>
      </w:pPr>
    </w:p>
    <w:p w14:paraId="39542300" w14:textId="7A310C6C" w:rsidR="004F7532" w:rsidRDefault="004F7532" w:rsidP="00A854E0">
      <w:pPr>
        <w:suppressAutoHyphens/>
        <w:ind w:left="3600" w:hanging="720"/>
      </w:pPr>
      <w:r w:rsidRPr="003B4362">
        <w:t>iii)</w:t>
      </w:r>
      <w:r w:rsidRPr="003B4362">
        <w:tab/>
        <w:t xml:space="preserve">If B is greater than 1.0, </w:t>
      </w:r>
      <w:r w:rsidR="001146F1" w:rsidRPr="003B4362">
        <w:t xml:space="preserve">the supplier achieved </w:t>
      </w:r>
      <w:r w:rsidRPr="003B4362">
        <w:t xml:space="preserve">the </w:t>
      </w:r>
      <w:r w:rsidR="001146F1" w:rsidRPr="003B4362">
        <w:t xml:space="preserve">required </w:t>
      </w:r>
      <w:r w:rsidRPr="003B4362">
        <w:t>99.9 percent Giardia lamblia inactivation.</w:t>
      </w:r>
    </w:p>
    <w:p w14:paraId="46B68046" w14:textId="77777777" w:rsidR="00A854E0" w:rsidRPr="003B4362" w:rsidRDefault="00A854E0" w:rsidP="00A854E0">
      <w:pPr>
        <w:suppressAutoHyphens/>
        <w:ind w:left="3600" w:hanging="720"/>
      </w:pPr>
    </w:p>
    <w:p w14:paraId="6BCF95A2" w14:textId="7FA29863" w:rsidR="004F7532" w:rsidRPr="003B4362" w:rsidRDefault="004F7532" w:rsidP="00A854E0">
      <w:pPr>
        <w:suppressAutoHyphens/>
        <w:ind w:left="2160" w:hanging="720"/>
      </w:pPr>
      <w:r w:rsidRPr="003B4362">
        <w:t>2)</w:t>
      </w:r>
      <w:r w:rsidRPr="003B4362">
        <w:tab/>
      </w:r>
      <w:r w:rsidR="001146F1" w:rsidRPr="003B4362">
        <w:t xml:space="preserve">A </w:t>
      </w:r>
      <w:r w:rsidRPr="003B4362">
        <w:t xml:space="preserve">supplier </w:t>
      </w:r>
      <w:r w:rsidR="001146F1" w:rsidRPr="003B4362">
        <w:t xml:space="preserve">applying disinfectant at </w:t>
      </w:r>
      <w:r w:rsidRPr="003B4362">
        <w:t xml:space="preserve">more than one point before or at the first customer must determine the CT value of each disinfection sequence immediately prior to the next point </w:t>
      </w:r>
      <w:r w:rsidR="001146F1" w:rsidRPr="003B4362">
        <w:t xml:space="preserve">it applies </w:t>
      </w:r>
      <w:r w:rsidRPr="003B4362">
        <w:t xml:space="preserve">disinfectant during peak hourly flow.  The </w:t>
      </w:r>
      <w:r w:rsidR="001146F1" w:rsidRPr="003B4362">
        <w:t xml:space="preserve">supplier must calculate the </w:t>
      </w:r>
      <w:r w:rsidRPr="003B4362">
        <w:t xml:space="preserve">Ai value of each sequence and B using the method in subsection (d)(1)(B) to determine if the supplier </w:t>
      </w:r>
      <w:r w:rsidR="004604D0" w:rsidRPr="003B4362">
        <w:t>complies</w:t>
      </w:r>
      <w:r w:rsidR="001146F1" w:rsidRPr="003B4362">
        <w:t xml:space="preserve"> </w:t>
      </w:r>
      <w:r w:rsidRPr="003B4362">
        <w:t>with Section 611.241.</w:t>
      </w:r>
    </w:p>
    <w:p w14:paraId="29B3D5D8" w14:textId="77777777" w:rsidR="00A854E0" w:rsidRDefault="00A854E0" w:rsidP="00A854E0">
      <w:pPr>
        <w:suppressAutoHyphens/>
        <w:ind w:left="2160" w:hanging="720"/>
      </w:pPr>
    </w:p>
    <w:p w14:paraId="15AC5181" w14:textId="6263CCC7" w:rsidR="004F7532" w:rsidRPr="003B4362" w:rsidRDefault="004F7532" w:rsidP="00A854E0">
      <w:pPr>
        <w:suppressAutoHyphens/>
        <w:ind w:left="2160" w:hanging="720"/>
      </w:pPr>
      <w:r w:rsidRPr="003B4362">
        <w:t>3)</w:t>
      </w:r>
      <w:r w:rsidRPr="003B4362">
        <w:tab/>
      </w:r>
      <w:r w:rsidR="00847008" w:rsidRPr="003B4362">
        <w:t xml:space="preserve">A supplier monitoring RDC at one or more points may voluntarily calculate its </w:t>
      </w:r>
      <w:r w:rsidRPr="003B4362">
        <w:t>total percent inactivation (PI) may</w:t>
      </w:r>
      <w:r w:rsidR="00847008" w:rsidRPr="003B4362">
        <w:t xml:space="preserve"> using the equation</w:t>
      </w:r>
      <w:r w:rsidRPr="003B4362">
        <w:t>:</w:t>
      </w:r>
    </w:p>
    <w:p w14:paraId="1E717B90" w14:textId="77777777" w:rsidR="00A854E0" w:rsidRDefault="00A854E0" w:rsidP="00A854E0">
      <w:pPr>
        <w:suppressAutoHyphens/>
        <w:ind w:left="2160"/>
      </w:pPr>
    </w:p>
    <w:p w14:paraId="0EBF79D7" w14:textId="731F9A5B" w:rsidR="004F7532" w:rsidRPr="003B4362" w:rsidRDefault="004F7532" w:rsidP="00A854E0">
      <w:pPr>
        <w:suppressAutoHyphens/>
        <w:ind w:left="2160"/>
      </w:pPr>
      <w:r w:rsidRPr="003B4362">
        <w:rPr>
          <w:position w:val="-24"/>
        </w:rPr>
        <w:object w:dxaOrig="1560" w:dyaOrig="620" w14:anchorId="7888FA4D">
          <v:shape id="_x0000_i1029" type="#_x0000_t75" style="width:80.5pt;height:27.5pt" o:ole="">
            <v:imagedata r:id="rId28" o:title=""/>
          </v:shape>
          <o:OLEObject Type="Embed" ProgID="Equation.3" ShapeID="_x0000_i1029" DrawAspect="Content" ObjectID="_1801494024" r:id="rId29"/>
        </w:object>
      </w:r>
    </w:p>
    <w:p w14:paraId="03DA54FC" w14:textId="77777777" w:rsidR="00A854E0" w:rsidRDefault="00A854E0" w:rsidP="00A854E0">
      <w:pPr>
        <w:suppressAutoHyphens/>
        <w:ind w:left="1440" w:hanging="720"/>
      </w:pPr>
    </w:p>
    <w:p w14:paraId="62B1D484" w14:textId="029E0960" w:rsidR="004F7532" w:rsidRPr="003B4362" w:rsidRDefault="004F7532" w:rsidP="00A854E0">
      <w:pPr>
        <w:suppressAutoHyphens/>
        <w:ind w:left="1440" w:hanging="720"/>
      </w:pPr>
      <w:r w:rsidRPr="003B4362">
        <w:t>e)</w:t>
      </w:r>
      <w:r w:rsidRPr="003B4362">
        <w:tab/>
        <w:t xml:space="preserve">The </w:t>
      </w:r>
      <w:r w:rsidR="00847008" w:rsidRPr="003B4362">
        <w:t xml:space="preserve">supplier must </w:t>
      </w:r>
      <w:r w:rsidR="00511F5F" w:rsidRPr="003B4362">
        <w:t xml:space="preserve">continuously </w:t>
      </w:r>
      <w:r w:rsidR="00847008" w:rsidRPr="003B4362">
        <w:t xml:space="preserve">monitor the </w:t>
      </w:r>
      <w:r w:rsidRPr="003B4362">
        <w:t xml:space="preserve">RDC of the water entering </w:t>
      </w:r>
      <w:r w:rsidR="00847008" w:rsidRPr="003B4362">
        <w:t xml:space="preserve">its </w:t>
      </w:r>
      <w:r w:rsidRPr="003B4362">
        <w:t xml:space="preserve">distribution system and </w:t>
      </w:r>
      <w:r w:rsidR="00511F5F" w:rsidRPr="003B4362">
        <w:t xml:space="preserve">record </w:t>
      </w:r>
      <w:r w:rsidRPr="003B4362">
        <w:t xml:space="preserve">the lowest value each day, except that </w:t>
      </w:r>
      <w:r w:rsidR="00511F5F" w:rsidRPr="003B4362">
        <w:t xml:space="preserve">the supplier may use grab sampling every four hours for no more than five days in lieu of continuous monitoring after a failure of </w:t>
      </w:r>
      <w:r w:rsidRPr="003B4362">
        <w:t>the continuous monitoring equipment</w:t>
      </w:r>
      <w:r w:rsidR="00511F5F" w:rsidRPr="003B4362">
        <w:t>.  A supplier</w:t>
      </w:r>
      <w:r w:rsidRPr="003B4362">
        <w:t xml:space="preserve"> serving 3,300 or fewer persons may take grab samples </w:t>
      </w:r>
      <w:r w:rsidR="00511F5F" w:rsidRPr="003B4362">
        <w:t xml:space="preserve">on an ongoing basis </w:t>
      </w:r>
      <w:r w:rsidR="006D0B56" w:rsidRPr="003B4362">
        <w:t xml:space="preserve">at the applicable frequency in Table C </w:t>
      </w:r>
      <w:r w:rsidRPr="003B4362">
        <w:t>in lieu of continuous monitoring.  If the RDC falls below 0.2 mg/</w:t>
      </w:r>
      <w:r w:rsidR="002E7704" w:rsidRPr="003B4362">
        <w:t xml:space="preserve"> L</w:t>
      </w:r>
      <w:r w:rsidRPr="003B4362">
        <w:t xml:space="preserve"> in a system using grab sampling in lieu of continuous monitoring, the supplier must take a grab sample every four hours until </w:t>
      </w:r>
      <w:r w:rsidR="006D0B56" w:rsidRPr="003B4362">
        <w:t xml:space="preserve">its </w:t>
      </w:r>
      <w:r w:rsidRPr="003B4362">
        <w:t>RDC is equal to or greater than 0.2 mg/</w:t>
      </w:r>
      <w:r w:rsidR="002E7704" w:rsidRPr="003B4362">
        <w:t xml:space="preserve"> L</w:t>
      </w:r>
      <w:r w:rsidRPr="003B4362">
        <w:t>.</w:t>
      </w:r>
    </w:p>
    <w:p w14:paraId="5E7CA6D3" w14:textId="77777777" w:rsidR="00A854E0" w:rsidRDefault="00A854E0" w:rsidP="00A854E0">
      <w:pPr>
        <w:suppressAutoHyphens/>
        <w:ind w:left="1440" w:hanging="720"/>
      </w:pPr>
    </w:p>
    <w:p w14:paraId="5B32BA9F" w14:textId="69FB085C" w:rsidR="004F7532" w:rsidRPr="003B4362" w:rsidRDefault="004F7532" w:rsidP="00A854E0">
      <w:pPr>
        <w:suppressAutoHyphens/>
        <w:ind w:left="1440" w:hanging="720"/>
      </w:pPr>
      <w:r w:rsidRPr="003B4362">
        <w:t>f)</w:t>
      </w:r>
      <w:r w:rsidRPr="003B4362">
        <w:tab/>
      </w:r>
      <w:r w:rsidR="00730775" w:rsidRPr="003B4362">
        <w:t xml:space="preserve">Measuring </w:t>
      </w:r>
      <w:r w:rsidRPr="003B4362">
        <w:t>Points</w:t>
      </w:r>
    </w:p>
    <w:p w14:paraId="25D9B20F" w14:textId="77777777" w:rsidR="00A854E0" w:rsidRDefault="00A854E0" w:rsidP="00A854E0">
      <w:pPr>
        <w:suppressAutoHyphens/>
        <w:ind w:left="2160" w:hanging="720"/>
      </w:pPr>
    </w:p>
    <w:p w14:paraId="442E4A77" w14:textId="6F18CF68" w:rsidR="004F7532" w:rsidRPr="003B4362" w:rsidRDefault="004F7532" w:rsidP="00A854E0">
      <w:pPr>
        <w:suppressAutoHyphens/>
        <w:ind w:left="2160" w:hanging="720"/>
      </w:pPr>
      <w:r w:rsidRPr="003B4362">
        <w:t>1)</w:t>
      </w:r>
      <w:r w:rsidRPr="003B4362">
        <w:tab/>
        <w:t xml:space="preserve">The </w:t>
      </w:r>
      <w:r w:rsidR="00E4408F" w:rsidRPr="003B4362">
        <w:t xml:space="preserve">supplier must measure the </w:t>
      </w:r>
      <w:r w:rsidRPr="003B4362">
        <w:rPr>
          <w:szCs w:val="24"/>
        </w:rPr>
        <w:t xml:space="preserve">RDC at the same points in </w:t>
      </w:r>
      <w:r w:rsidR="00730775" w:rsidRPr="003B4362">
        <w:rPr>
          <w:szCs w:val="24"/>
        </w:rPr>
        <w:t xml:space="preserve">its </w:t>
      </w:r>
      <w:r w:rsidRPr="003B4362">
        <w:rPr>
          <w:szCs w:val="24"/>
        </w:rPr>
        <w:t xml:space="preserve">distribution system and at the same time </w:t>
      </w:r>
      <w:r w:rsidR="00E4408F" w:rsidRPr="003B4362">
        <w:rPr>
          <w:szCs w:val="24"/>
        </w:rPr>
        <w:t xml:space="preserve">it samples </w:t>
      </w:r>
      <w:r w:rsidRPr="003B4362">
        <w:rPr>
          <w:szCs w:val="24"/>
        </w:rPr>
        <w:t>total coliforms, as Sections 611.1054 through 611.1058</w:t>
      </w:r>
      <w:r w:rsidR="00E4408F" w:rsidRPr="003B4362">
        <w:rPr>
          <w:szCs w:val="24"/>
        </w:rPr>
        <w:t xml:space="preserve"> specify</w:t>
      </w:r>
      <w:r w:rsidRPr="003B4362">
        <w:rPr>
          <w:szCs w:val="24"/>
        </w:rPr>
        <w:t xml:space="preserve">.  The </w:t>
      </w:r>
      <w:r w:rsidRPr="003B4362">
        <w:t xml:space="preserve">Agency must allow a supplier </w:t>
      </w:r>
      <w:r w:rsidR="00730775" w:rsidRPr="003B4362">
        <w:t xml:space="preserve">using </w:t>
      </w:r>
      <w:r w:rsidRPr="003B4362">
        <w:t xml:space="preserve">both </w:t>
      </w:r>
      <w:r w:rsidR="00730775" w:rsidRPr="003B4362">
        <w:t xml:space="preserve">a groundwater source and </w:t>
      </w:r>
      <w:r w:rsidRPr="003B4362">
        <w:t xml:space="preserve">a surface water source or groundwater source under direct influence of surface water to take disinfectant residual samples at points other than the total coliform sampling points if the Agency </w:t>
      </w:r>
      <w:r w:rsidR="004122E1" w:rsidRPr="003B4362">
        <w:t xml:space="preserve">issues </w:t>
      </w:r>
      <w:r w:rsidRPr="003B4362">
        <w:t>a SEP</w:t>
      </w:r>
      <w:r w:rsidR="004122E1" w:rsidRPr="003B4362">
        <w:t xml:space="preserve"> determining</w:t>
      </w:r>
      <w:r w:rsidRPr="003B4362">
        <w:t xml:space="preserve"> that </w:t>
      </w:r>
      <w:r w:rsidR="00434E87" w:rsidRPr="003B4362">
        <w:t xml:space="preserve">those </w:t>
      </w:r>
      <w:r w:rsidRPr="003B4362">
        <w:t xml:space="preserve">points </w:t>
      </w:r>
      <w:r w:rsidR="00434E87" w:rsidRPr="003B4362">
        <w:t xml:space="preserve">better represent </w:t>
      </w:r>
      <w:r w:rsidRPr="003B4362">
        <w:t xml:space="preserve">treated (disinfected) water quality within the distribution system.  </w:t>
      </w:r>
      <w:r w:rsidR="00434E87" w:rsidRPr="003B4362">
        <w:t xml:space="preserve">The supplier may measure </w:t>
      </w:r>
      <w:r w:rsidRPr="003B4362">
        <w:t>HPC in lieu of RDC.</w:t>
      </w:r>
    </w:p>
    <w:p w14:paraId="6711B40F" w14:textId="77777777" w:rsidR="00A854E0" w:rsidRDefault="00A854E0" w:rsidP="00A854E0">
      <w:pPr>
        <w:suppressAutoHyphens/>
        <w:ind w:left="2160" w:hanging="720"/>
      </w:pPr>
    </w:p>
    <w:p w14:paraId="3EEB95DE" w14:textId="2B90A4DE" w:rsidR="004F7532" w:rsidRPr="003B4362" w:rsidRDefault="004F7532" w:rsidP="00A854E0">
      <w:pPr>
        <w:suppressAutoHyphens/>
        <w:ind w:left="2160" w:hanging="720"/>
      </w:pPr>
      <w:r w:rsidRPr="003B4362">
        <w:lastRenderedPageBreak/>
        <w:t>2)</w:t>
      </w:r>
      <w:r w:rsidRPr="003B4362">
        <w:tab/>
        <w:t xml:space="preserve">If the Agency determines under Section 611.213 that a supplier </w:t>
      </w:r>
      <w:r w:rsidR="00A854C7" w:rsidRPr="003B4362">
        <w:t>has</w:t>
      </w:r>
      <w:r w:rsidRPr="003B4362">
        <w:t xml:space="preserve"> no means for having a sample analyzed for HPC as subsection (a)</w:t>
      </w:r>
      <w:r w:rsidR="00197F33" w:rsidRPr="003B4362">
        <w:t xml:space="preserve"> specifies</w:t>
      </w:r>
      <w:r w:rsidRPr="003B4362">
        <w:t xml:space="preserve">, the subsection (f)(1) </w:t>
      </w:r>
      <w:r w:rsidR="00197F33" w:rsidRPr="003B4362">
        <w:t xml:space="preserve">does </w:t>
      </w:r>
      <w:r w:rsidRPr="003B4362">
        <w:t>not apply.</w:t>
      </w:r>
    </w:p>
    <w:p w14:paraId="7B89A9B8" w14:textId="77777777" w:rsidR="00A854E0" w:rsidRDefault="00A854E0" w:rsidP="00A854E0"/>
    <w:p w14:paraId="6EE128EE" w14:textId="2D35945E" w:rsidR="004F7532" w:rsidRPr="003B4362" w:rsidRDefault="004F7532" w:rsidP="00A854E0">
      <w:r w:rsidRPr="003B4362">
        <w:t xml:space="preserve">BOARD NOTE:  </w:t>
      </w:r>
      <w:r w:rsidR="003F03B0" w:rsidRPr="003B4362">
        <w:rPr>
          <w:spacing w:val="-3"/>
        </w:rPr>
        <w:t xml:space="preserve">This Section derives </w:t>
      </w:r>
      <w:r w:rsidRPr="003B4362">
        <w:t>from 40 CFR 141.74(b).</w:t>
      </w:r>
    </w:p>
    <w:p w14:paraId="35E8FC93" w14:textId="77777777" w:rsidR="00A854E0" w:rsidRDefault="00A854E0" w:rsidP="00A854E0">
      <w:pPr>
        <w:suppressAutoHyphens/>
        <w:ind w:left="720"/>
      </w:pPr>
    </w:p>
    <w:p w14:paraId="4EEC3702" w14:textId="52F8DB5A" w:rsidR="004F7532" w:rsidRPr="003B4362" w:rsidRDefault="00EB353D" w:rsidP="00A854E0">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3F15A7C3" w14:textId="77777777" w:rsidR="00D479CA" w:rsidRPr="003B4362" w:rsidRDefault="00D479CA" w:rsidP="00D479CA">
      <w:pPr>
        <w:suppressAutoHyphens/>
        <w:ind w:left="720"/>
      </w:pPr>
    </w:p>
    <w:p w14:paraId="7BFE6175" w14:textId="77777777" w:rsidR="00331F1D" w:rsidRPr="003B4362" w:rsidRDefault="00331F1D" w:rsidP="00A854E0">
      <w:pPr>
        <w:rPr>
          <w:b/>
          <w:bCs/>
        </w:rPr>
      </w:pPr>
      <w:r w:rsidRPr="003B4362">
        <w:rPr>
          <w:b/>
          <w:bCs/>
        </w:rPr>
        <w:t>Section 611.533  Filtered PWSs</w:t>
      </w:r>
    </w:p>
    <w:p w14:paraId="38B722C7" w14:textId="77777777" w:rsidR="00A854E0" w:rsidRDefault="00A854E0" w:rsidP="00A854E0">
      <w:pPr>
        <w:widowControl w:val="0"/>
        <w:suppressAutoHyphens/>
      </w:pPr>
    </w:p>
    <w:p w14:paraId="68EDBE70" w14:textId="244CFDF3" w:rsidR="00331F1D" w:rsidRPr="003B4362" w:rsidRDefault="00331F1D" w:rsidP="00A854E0">
      <w:pPr>
        <w:widowControl w:val="0"/>
        <w:suppressAutoHyphens/>
      </w:pPr>
      <w:r w:rsidRPr="003B4362">
        <w:t xml:space="preserve">A supplier using a surface water source or a groundwater source under the </w:t>
      </w:r>
      <w:r w:rsidR="0090731F" w:rsidRPr="003B4362">
        <w:t>direct influence of surface water</w:t>
      </w:r>
      <w:r w:rsidRPr="003B4362">
        <w:t xml:space="preserve"> and providing filtration treatment must monitor in accordance with this Section.</w:t>
      </w:r>
    </w:p>
    <w:p w14:paraId="67630A84" w14:textId="77777777" w:rsidR="00A854E0" w:rsidRDefault="00A854E0" w:rsidP="00A854E0">
      <w:pPr>
        <w:widowControl w:val="0"/>
        <w:suppressAutoHyphens/>
        <w:ind w:left="1440" w:hanging="720"/>
      </w:pPr>
    </w:p>
    <w:p w14:paraId="03AFAF20" w14:textId="3003E649" w:rsidR="00331F1D" w:rsidRPr="003B4362" w:rsidRDefault="00331F1D" w:rsidP="00A854E0">
      <w:pPr>
        <w:widowControl w:val="0"/>
        <w:suppressAutoHyphens/>
        <w:ind w:left="1440" w:hanging="720"/>
      </w:pPr>
      <w:r w:rsidRPr="003B4362">
        <w:t>a)</w:t>
      </w:r>
      <w:r w:rsidRPr="003B4362">
        <w:tab/>
        <w:t xml:space="preserve">The supplier must perform turbidity measurements Section 611.250 requires on representative samples of the PWS’s filtered water every four hours (or more frequently) when the supplier serves water to the public.  A supplier may substitute continuous turbidity monitoring for grab sample monitoring if it validates the continuous measurement for accuracy on a regular basis using a protocol the Agency approved </w:t>
      </w:r>
      <w:r w:rsidR="004122E1" w:rsidRPr="003B4362">
        <w:t xml:space="preserve">in </w:t>
      </w:r>
      <w:r w:rsidRPr="003B4362">
        <w:t xml:space="preserve">a SEP.  For a supplier using slow sand filtration or filtration treatment other than conventional treatment, direct filtration, or diatomaceous earth filtration, the Agency must reduce the sampling frequency to once per day </w:t>
      </w:r>
      <w:r w:rsidR="00370524" w:rsidRPr="003B4362">
        <w:t>in</w:t>
      </w:r>
      <w:r w:rsidRPr="003B4362">
        <w:t xml:space="preserve"> a SEP if the Agency determines that less frequent monitoring is sufficient to indicate effective filtration performance.  For a supplier serving 500 or fewer persons, the Agency must reduce the turbidity sampling frequency to once per day </w:t>
      </w:r>
      <w:r w:rsidR="00370524" w:rsidRPr="003B4362">
        <w:t>in</w:t>
      </w:r>
      <w:r w:rsidRPr="003B4362">
        <w:t xml:space="preserve"> a SEP if the Agency determines that less frequent monitoring is sufficient to indicate effective filtration performance regardless of the type of filtration treatment used.</w:t>
      </w:r>
    </w:p>
    <w:p w14:paraId="11131D46" w14:textId="77777777" w:rsidR="00A854E0" w:rsidRDefault="00A854E0" w:rsidP="00A854E0">
      <w:pPr>
        <w:widowControl w:val="0"/>
        <w:suppressAutoHyphens/>
        <w:ind w:left="1440" w:hanging="720"/>
      </w:pPr>
    </w:p>
    <w:p w14:paraId="05DE0957" w14:textId="5D975134" w:rsidR="00331F1D" w:rsidRPr="003B4362" w:rsidRDefault="00331F1D" w:rsidP="00A854E0">
      <w:pPr>
        <w:widowControl w:val="0"/>
        <w:suppressAutoHyphens/>
        <w:ind w:left="1440" w:hanging="720"/>
      </w:pPr>
      <w:r w:rsidRPr="003B4362">
        <w:t>b)</w:t>
      </w:r>
      <w:r w:rsidRPr="003B4362">
        <w:tab/>
        <w:t>RDC Entering Distribution System</w:t>
      </w:r>
    </w:p>
    <w:p w14:paraId="09C53ADD" w14:textId="77777777" w:rsidR="00A854E0" w:rsidRDefault="00A854E0" w:rsidP="00A854E0">
      <w:pPr>
        <w:widowControl w:val="0"/>
        <w:suppressAutoHyphens/>
        <w:ind w:left="2160" w:hanging="720"/>
      </w:pPr>
    </w:p>
    <w:p w14:paraId="3218F040" w14:textId="2556B0B1" w:rsidR="00331F1D" w:rsidRPr="003B4362" w:rsidRDefault="00331F1D" w:rsidP="00A854E0">
      <w:pPr>
        <w:widowControl w:val="0"/>
        <w:suppressAutoHyphens/>
        <w:ind w:left="2160" w:hanging="720"/>
      </w:pPr>
      <w:r w:rsidRPr="003B4362">
        <w:t>1)</w:t>
      </w:r>
      <w:r w:rsidRPr="003B4362">
        <w:tab/>
        <w:t xml:space="preserve">Suppliers Serving More Than 3300 Persons.  The supplier must continuously monitor the RDC of the water entering the distribution system, and the </w:t>
      </w:r>
      <w:r w:rsidR="00C25AED" w:rsidRPr="003B4362">
        <w:t>s</w:t>
      </w:r>
      <w:r w:rsidRPr="003B4362">
        <w:t>upplier must record the lowest value each day, except that the supplier may conduct grab sampling every four hours in lieu of continuous monitoring if there is a failure in the continuous monitoring equipment, but not for more than five working days following the equipment failure.</w:t>
      </w:r>
    </w:p>
    <w:p w14:paraId="56A99431" w14:textId="77777777" w:rsidR="00A854E0" w:rsidRDefault="00A854E0" w:rsidP="00A854E0">
      <w:pPr>
        <w:widowControl w:val="0"/>
        <w:suppressAutoHyphens/>
        <w:ind w:left="2160" w:hanging="720"/>
      </w:pPr>
    </w:p>
    <w:p w14:paraId="01C59016" w14:textId="6E6FEB7A" w:rsidR="00331F1D" w:rsidRPr="003B4362" w:rsidRDefault="00331F1D" w:rsidP="00A854E0">
      <w:pPr>
        <w:widowControl w:val="0"/>
        <w:suppressAutoHyphens/>
        <w:ind w:left="2160" w:hanging="720"/>
      </w:pPr>
      <w:r w:rsidRPr="003B4362">
        <w:t>2)</w:t>
      </w:r>
      <w:r w:rsidRPr="003B4362">
        <w:tab/>
        <w:t>Suppliers Serving 3,300 or Fewer Persons.  The supplier may take grab samples in lieu of providing continuous monitoring on an ongoing basis at the frequencies each day Table C prescribes.  If at any time the RDC falls below 0.2 mg/</w:t>
      </w:r>
      <w:r w:rsidR="002E7704" w:rsidRPr="003B4362">
        <w:t xml:space="preserve"> L</w:t>
      </w:r>
      <w:r w:rsidRPr="003B4362">
        <w:t xml:space="preserve"> in a system using grab sampling in lieu of continuous monitoring, the supplier must take a grab sample every four hours until RDC is equal to or greater than 0.2 mg/</w:t>
      </w:r>
      <w:r w:rsidR="002E7704" w:rsidRPr="003B4362">
        <w:t xml:space="preserve"> L</w:t>
      </w:r>
      <w:r w:rsidRPr="003B4362">
        <w:t>.</w:t>
      </w:r>
    </w:p>
    <w:p w14:paraId="19BD2B2B" w14:textId="77777777" w:rsidR="00A854E0" w:rsidRDefault="00A854E0" w:rsidP="00A854E0">
      <w:pPr>
        <w:widowControl w:val="0"/>
        <w:suppressAutoHyphens/>
        <w:ind w:left="1440" w:hanging="720"/>
      </w:pPr>
    </w:p>
    <w:p w14:paraId="13353E63" w14:textId="42A6F2CB" w:rsidR="00331F1D" w:rsidRPr="003B4362" w:rsidRDefault="00331F1D" w:rsidP="00A854E0">
      <w:pPr>
        <w:widowControl w:val="0"/>
        <w:suppressAutoHyphens/>
        <w:ind w:left="1440" w:hanging="720"/>
      </w:pPr>
      <w:r w:rsidRPr="003B4362">
        <w:lastRenderedPageBreak/>
        <w:t>c)</w:t>
      </w:r>
      <w:r w:rsidRPr="003B4362">
        <w:tab/>
        <w:t>Points of Measurement</w:t>
      </w:r>
    </w:p>
    <w:p w14:paraId="3C304019" w14:textId="77777777" w:rsidR="00A854E0" w:rsidRDefault="00A854E0" w:rsidP="00A854E0">
      <w:pPr>
        <w:widowControl w:val="0"/>
        <w:suppressAutoHyphens/>
        <w:ind w:left="2160" w:hanging="720"/>
      </w:pPr>
    </w:p>
    <w:p w14:paraId="7CA71DC0" w14:textId="092DC6CC" w:rsidR="00331F1D" w:rsidRPr="003B4362" w:rsidRDefault="00331F1D" w:rsidP="00A854E0">
      <w:pPr>
        <w:widowControl w:val="0"/>
        <w:suppressAutoHyphens/>
        <w:ind w:left="2160" w:hanging="720"/>
      </w:pPr>
      <w:r w:rsidRPr="003B4362">
        <w:t>1)</w:t>
      </w:r>
      <w:r w:rsidRPr="003B4362">
        <w:tab/>
        <w:t xml:space="preserve">The supplier must measure the </w:t>
      </w:r>
      <w:r w:rsidRPr="003B4362">
        <w:rPr>
          <w:szCs w:val="24"/>
        </w:rPr>
        <w:t>RDC at least at the same points in the distribution system and at the same time as sampling total coliforms, as Sections 611.1054 through 611.1058 specif</w:t>
      </w:r>
      <w:r w:rsidR="00C25AED" w:rsidRPr="003B4362">
        <w:rPr>
          <w:szCs w:val="24"/>
        </w:rPr>
        <w:t>y</w:t>
      </w:r>
      <w:r w:rsidRPr="003B4362">
        <w:rPr>
          <w:szCs w:val="24"/>
        </w:rPr>
        <w:t>.  The</w:t>
      </w:r>
      <w:r w:rsidRPr="003B4362">
        <w:t xml:space="preserve"> Agency must allow a supplier using both a surface water source and a gro</w:t>
      </w:r>
      <w:r w:rsidR="00C25AED" w:rsidRPr="003B4362">
        <w:t>u</w:t>
      </w:r>
      <w:r w:rsidRPr="003B4362">
        <w:t>ndwater source or a groundwater source under direct influence of surface water and a groundwater source to take RDC samples at points other than the total coliform sampling points if the Agency determines that such points are more representative of treated (disinfected) water quality within the distribution system.  The supplier may measure HPC, as Section 611.531(a) specifies, in lieu of RDC.</w:t>
      </w:r>
    </w:p>
    <w:p w14:paraId="089BDF64" w14:textId="77777777" w:rsidR="00A854E0" w:rsidRDefault="00A854E0" w:rsidP="00A854E0">
      <w:pPr>
        <w:widowControl w:val="0"/>
        <w:suppressAutoHyphens/>
        <w:ind w:left="2160" w:hanging="720"/>
      </w:pPr>
    </w:p>
    <w:p w14:paraId="322D5207" w14:textId="2217DD92" w:rsidR="00331F1D" w:rsidRPr="003B4362" w:rsidRDefault="00331F1D" w:rsidP="00A854E0">
      <w:pPr>
        <w:widowControl w:val="0"/>
        <w:suppressAutoHyphens/>
        <w:ind w:left="2160" w:hanging="720"/>
      </w:pPr>
      <w:r w:rsidRPr="003B4362">
        <w:t>2)</w:t>
      </w:r>
      <w:r w:rsidRPr="003B4362">
        <w:tab/>
        <w:t xml:space="preserve">Subsection (c)(1) does not apply if the Agency determines under Section 611.213(c) that a system </w:t>
      </w:r>
      <w:r w:rsidR="00A854C7" w:rsidRPr="003B4362">
        <w:t>has</w:t>
      </w:r>
      <w:r w:rsidRPr="003B4362">
        <w:t xml:space="preserve"> no means for having a certified laboratory analyze a sample for PHC under the requisite time and temperature conditions Section 611.531(a) specifies and the supplier provides adequate disinfection in its distribution system.</w:t>
      </w:r>
    </w:p>
    <w:p w14:paraId="491C44C8" w14:textId="77777777" w:rsidR="00A854E0" w:rsidRDefault="00A854E0" w:rsidP="00A854E0">
      <w:pPr>
        <w:widowControl w:val="0"/>
      </w:pPr>
    </w:p>
    <w:p w14:paraId="0FB09303" w14:textId="5ED5BF64" w:rsidR="00331F1D" w:rsidRPr="003B4362" w:rsidRDefault="00331F1D" w:rsidP="00A854E0">
      <w:pPr>
        <w:widowControl w:val="0"/>
      </w:pPr>
      <w:r w:rsidRPr="003B4362">
        <w:t xml:space="preserve">BOARD NOTE:  </w:t>
      </w:r>
      <w:r w:rsidR="003F03B0" w:rsidRPr="003B4362">
        <w:rPr>
          <w:spacing w:val="-3"/>
        </w:rPr>
        <w:t xml:space="preserve">This Section derives </w:t>
      </w:r>
      <w:r w:rsidRPr="003B4362">
        <w:t>from 40 CFR 141.74(c).</w:t>
      </w:r>
    </w:p>
    <w:p w14:paraId="55E94BB0" w14:textId="77777777" w:rsidR="00A854E0" w:rsidRDefault="00A854E0" w:rsidP="00A854E0">
      <w:pPr>
        <w:suppressAutoHyphens/>
        <w:ind w:left="720"/>
      </w:pPr>
    </w:p>
    <w:p w14:paraId="0404A3F9" w14:textId="0E79E14F" w:rsidR="00331F1D" w:rsidRDefault="00EB353D" w:rsidP="00A854E0">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74C53C3C" w14:textId="77777777" w:rsidR="005605D6" w:rsidRPr="003B4362" w:rsidRDefault="005605D6" w:rsidP="00A854E0">
      <w:pPr>
        <w:suppressAutoHyphens/>
        <w:ind w:left="720"/>
      </w:pPr>
    </w:p>
    <w:p w14:paraId="15E5631E" w14:textId="0D7CC469" w:rsidR="005614AB" w:rsidRPr="003B4362" w:rsidRDefault="005614AB" w:rsidP="00710318">
      <w:pPr>
        <w:widowControl w:val="0"/>
        <w:suppressAutoHyphens/>
        <w:ind w:left="360" w:right="360"/>
        <w:jc w:val="center"/>
      </w:pPr>
      <w:r w:rsidRPr="003B4362">
        <w:t>SUBPART M: TURBIDITY MONITORING AND ANALYTICAL REQUIREMENTS</w:t>
      </w:r>
    </w:p>
    <w:p w14:paraId="61441AE8" w14:textId="77777777" w:rsidR="00710318" w:rsidRDefault="00710318" w:rsidP="00710318">
      <w:pPr>
        <w:rPr>
          <w:b/>
          <w:bCs/>
        </w:rPr>
      </w:pPr>
    </w:p>
    <w:p w14:paraId="1C182BB3" w14:textId="6460665E" w:rsidR="005614AB" w:rsidRPr="003B4362" w:rsidRDefault="005614AB" w:rsidP="00710318">
      <w:pPr>
        <w:rPr>
          <w:b/>
          <w:bCs/>
        </w:rPr>
      </w:pPr>
      <w:r w:rsidRPr="003B4362">
        <w:rPr>
          <w:b/>
          <w:bCs/>
        </w:rPr>
        <w:t>Section 611.560  Turbidity</w:t>
      </w:r>
      <w:r w:rsidR="00895626" w:rsidRPr="003B4362">
        <w:rPr>
          <w:b/>
          <w:bCs/>
        </w:rPr>
        <w:t xml:space="preserve"> (Repealed)</w:t>
      </w:r>
    </w:p>
    <w:p w14:paraId="1DA96B51" w14:textId="77777777" w:rsidR="00710318" w:rsidRDefault="00710318" w:rsidP="00710318">
      <w:pPr>
        <w:suppressAutoHyphens/>
        <w:ind w:left="720"/>
      </w:pPr>
    </w:p>
    <w:p w14:paraId="48859B7E" w14:textId="41B0442B" w:rsidR="005614AB" w:rsidRPr="003B4362" w:rsidRDefault="005614AB" w:rsidP="00710318">
      <w:pPr>
        <w:suppressAutoHyphens/>
        <w:ind w:left="720"/>
      </w:pPr>
      <w:r w:rsidRPr="003B4362">
        <w:t xml:space="preserve">(Source:  </w:t>
      </w:r>
      <w:r w:rsidR="0081371F" w:rsidRPr="003B4362">
        <w:t>Repealed</w:t>
      </w:r>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2A9ACDE1" w14:textId="77777777" w:rsidR="00D479CA" w:rsidRPr="003B4362" w:rsidRDefault="00D479CA" w:rsidP="00D479CA">
      <w:pPr>
        <w:suppressAutoHyphens/>
        <w:ind w:left="720"/>
      </w:pPr>
    </w:p>
    <w:p w14:paraId="48AB01C5" w14:textId="30666C1A" w:rsidR="005614AB" w:rsidRPr="003B4362" w:rsidRDefault="005614AB" w:rsidP="00D479CA">
      <w:pPr>
        <w:jc w:val="center"/>
      </w:pPr>
      <w:r w:rsidRPr="003B4362">
        <w:t>SUBPART N:  INORGANIC MONITORING AND ANALYTICAL REQUIREMENTS</w:t>
      </w:r>
    </w:p>
    <w:p w14:paraId="644DFD88" w14:textId="77777777" w:rsidR="00631B8E" w:rsidRPr="003B4362" w:rsidRDefault="00631B8E" w:rsidP="00D479CA">
      <w:pPr>
        <w:jc w:val="center"/>
      </w:pPr>
    </w:p>
    <w:p w14:paraId="3F6A82C4" w14:textId="77777777" w:rsidR="00631B8E" w:rsidRPr="003B4362" w:rsidRDefault="00631B8E" w:rsidP="00631B8E">
      <w:pPr>
        <w:rPr>
          <w:b/>
          <w:szCs w:val="24"/>
        </w:rPr>
      </w:pPr>
      <w:bookmarkStart w:id="3515" w:name="_Hlk131079921"/>
      <w:r w:rsidRPr="003B4362">
        <w:rPr>
          <w:b/>
          <w:szCs w:val="24"/>
        </w:rPr>
        <w:t>Section 611.591  Violation of a State-Only MCL</w:t>
      </w:r>
    </w:p>
    <w:p w14:paraId="74277968" w14:textId="77777777" w:rsidR="00631B8E" w:rsidRPr="003B4362" w:rsidRDefault="00631B8E" w:rsidP="00631B8E">
      <w:pPr>
        <w:rPr>
          <w:szCs w:val="24"/>
        </w:rPr>
      </w:pPr>
    </w:p>
    <w:p w14:paraId="296993AD" w14:textId="047BC866" w:rsidR="00631B8E" w:rsidRPr="003B4362" w:rsidRDefault="00631B8E" w:rsidP="00631B8E">
      <w:pPr>
        <w:suppressAutoHyphens/>
        <w:rPr>
          <w:szCs w:val="24"/>
        </w:rPr>
      </w:pPr>
      <w:r w:rsidRPr="003B4362">
        <w:rPr>
          <w:szCs w:val="24"/>
        </w:rPr>
        <w:t>This Section applies to State-only MCLs.  If the result of analysis under Section 611.612 indicates that the level of any contaminant exceeds the State-only MCL, the CWS supplier must take certain actions:</w:t>
      </w:r>
    </w:p>
    <w:p w14:paraId="5253284B" w14:textId="77777777" w:rsidR="00631B8E" w:rsidRPr="003B4362" w:rsidRDefault="00631B8E" w:rsidP="00631B8E">
      <w:pPr>
        <w:suppressAutoHyphens/>
        <w:ind w:left="1440" w:hanging="720"/>
        <w:rPr>
          <w:szCs w:val="24"/>
        </w:rPr>
      </w:pPr>
    </w:p>
    <w:p w14:paraId="5B3D93EB" w14:textId="77777777" w:rsidR="00631B8E" w:rsidRPr="003B4362" w:rsidRDefault="00631B8E" w:rsidP="00631B8E">
      <w:pPr>
        <w:suppressAutoHyphens/>
        <w:ind w:left="1440" w:hanging="720"/>
        <w:rPr>
          <w:szCs w:val="24"/>
        </w:rPr>
      </w:pPr>
      <w:r w:rsidRPr="003B4362">
        <w:rPr>
          <w:szCs w:val="24"/>
        </w:rPr>
        <w:t>a)</w:t>
      </w:r>
      <w:r w:rsidRPr="003B4362">
        <w:rPr>
          <w:szCs w:val="24"/>
        </w:rPr>
        <w:tab/>
        <w:t>Report to the Agency within seven days and initiate three additional analyses at the same sampling point within one month;</w:t>
      </w:r>
    </w:p>
    <w:p w14:paraId="646093EF" w14:textId="77777777" w:rsidR="00631B8E" w:rsidRPr="003B4362" w:rsidRDefault="00631B8E" w:rsidP="00631B8E">
      <w:pPr>
        <w:suppressAutoHyphens/>
        <w:ind w:left="1440" w:hanging="720"/>
        <w:rPr>
          <w:szCs w:val="24"/>
        </w:rPr>
      </w:pPr>
    </w:p>
    <w:p w14:paraId="68181170" w14:textId="3B078D07" w:rsidR="00631B8E" w:rsidRPr="003B4362" w:rsidRDefault="00631B8E" w:rsidP="00631B8E">
      <w:pPr>
        <w:suppressAutoHyphens/>
        <w:ind w:left="1440" w:hanging="720"/>
        <w:rPr>
          <w:szCs w:val="24"/>
        </w:rPr>
      </w:pPr>
      <w:r w:rsidRPr="003B4362">
        <w:rPr>
          <w:szCs w:val="24"/>
        </w:rPr>
        <w:t>b)</w:t>
      </w:r>
      <w:r w:rsidRPr="003B4362">
        <w:rPr>
          <w:szCs w:val="24"/>
        </w:rPr>
        <w:tab/>
        <w:t>Notify the Agency and give public notice, as Subpart T specifies, if the average of four analyses exceeds the State-only MCL; and</w:t>
      </w:r>
    </w:p>
    <w:p w14:paraId="7E61D8D0" w14:textId="77777777" w:rsidR="00631B8E" w:rsidRPr="003B4362" w:rsidRDefault="00631B8E" w:rsidP="00631B8E">
      <w:pPr>
        <w:suppressAutoHyphens/>
        <w:ind w:left="1440" w:hanging="720"/>
        <w:rPr>
          <w:szCs w:val="24"/>
        </w:rPr>
      </w:pPr>
    </w:p>
    <w:p w14:paraId="0AC7AFAF" w14:textId="1DEB48EE" w:rsidR="00631B8E" w:rsidRPr="003B4362" w:rsidRDefault="00631B8E" w:rsidP="00631B8E">
      <w:pPr>
        <w:suppressAutoHyphens/>
        <w:ind w:left="1440" w:hanging="720"/>
        <w:rPr>
          <w:szCs w:val="24"/>
        </w:rPr>
      </w:pPr>
      <w:r w:rsidRPr="003B4362">
        <w:rPr>
          <w:szCs w:val="24"/>
        </w:rPr>
        <w:t>c)</w:t>
      </w:r>
      <w:r w:rsidRPr="003B4362">
        <w:rPr>
          <w:szCs w:val="24"/>
        </w:rPr>
        <w:tab/>
        <w:t xml:space="preserve">After giving public notice, monitor at a frequency the Agency designates in a SEP.  The supplier must continue monitoring until the results do not exceed the </w:t>
      </w:r>
      <w:r w:rsidRPr="003B4362">
        <w:rPr>
          <w:szCs w:val="24"/>
        </w:rPr>
        <w:lastRenderedPageBreak/>
        <w:t>State-only  MCL  in two consecutive samples or until the effective date of a monitoring schedule the Board issues as a condition of a variance, adjusted standard, or enforcement action.</w:t>
      </w:r>
    </w:p>
    <w:p w14:paraId="29AB7377" w14:textId="77777777" w:rsidR="00631B8E" w:rsidRPr="003B4362" w:rsidRDefault="00631B8E" w:rsidP="00631B8E">
      <w:pPr>
        <w:rPr>
          <w:szCs w:val="24"/>
        </w:rPr>
      </w:pPr>
    </w:p>
    <w:p w14:paraId="31795A1F" w14:textId="77777777" w:rsidR="00631B8E" w:rsidRPr="003B4362" w:rsidRDefault="00631B8E" w:rsidP="00631B8E">
      <w:pPr>
        <w:rPr>
          <w:szCs w:val="24"/>
        </w:rPr>
      </w:pPr>
      <w:r w:rsidRPr="003B4362">
        <w:rPr>
          <w:szCs w:val="24"/>
        </w:rPr>
        <w:t>BOARD NOTE:  This is an additional State requirement.</w:t>
      </w:r>
    </w:p>
    <w:p w14:paraId="17833274" w14:textId="77777777" w:rsidR="00631B8E" w:rsidRPr="003B4362" w:rsidRDefault="00631B8E" w:rsidP="00631B8E">
      <w:pPr>
        <w:suppressAutoHyphens/>
        <w:ind w:left="720"/>
        <w:rPr>
          <w:szCs w:val="24"/>
        </w:rPr>
      </w:pPr>
    </w:p>
    <w:p w14:paraId="1F3341CB" w14:textId="416BB190" w:rsidR="00631B8E" w:rsidRPr="003B4362" w:rsidRDefault="00631B8E" w:rsidP="00631B8E">
      <w:pPr>
        <w:suppressAutoHyphens/>
        <w:ind w:left="720"/>
        <w:rPr>
          <w:szCs w:val="24"/>
        </w:rPr>
      </w:pPr>
      <w:r w:rsidRPr="003B4362">
        <w:rPr>
          <w:szCs w:val="24"/>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szCs w:val="24"/>
        </w:rPr>
        <w:t>)</w:t>
      </w:r>
    </w:p>
    <w:bookmarkEnd w:id="3515"/>
    <w:p w14:paraId="2C3F7C39" w14:textId="77777777" w:rsidR="00D479CA" w:rsidRPr="003B4362" w:rsidRDefault="00D479CA" w:rsidP="00D479CA">
      <w:pPr>
        <w:suppressAutoHyphens/>
        <w:ind w:left="720"/>
      </w:pPr>
    </w:p>
    <w:p w14:paraId="3467A378" w14:textId="77777777" w:rsidR="000840B6" w:rsidRPr="003B4362" w:rsidRDefault="000840B6" w:rsidP="00710318">
      <w:pPr>
        <w:rPr>
          <w:b/>
          <w:bCs/>
        </w:rPr>
      </w:pPr>
      <w:r w:rsidRPr="003B4362">
        <w:rPr>
          <w:b/>
          <w:bCs/>
        </w:rPr>
        <w:t>Section 611.592  Frequency of State Monitoring</w:t>
      </w:r>
    </w:p>
    <w:p w14:paraId="498DBB74" w14:textId="77777777" w:rsidR="00710318" w:rsidRDefault="00710318" w:rsidP="00710318">
      <w:pPr>
        <w:suppressAutoHyphens/>
      </w:pPr>
    </w:p>
    <w:p w14:paraId="06F70A0A" w14:textId="2F96DC49" w:rsidR="000840B6" w:rsidRPr="003B4362" w:rsidRDefault="000840B6" w:rsidP="00710318">
      <w:pPr>
        <w:suppressAutoHyphens/>
      </w:pPr>
      <w:r w:rsidRPr="003B4362">
        <w:t xml:space="preserve">This Section applies to </w:t>
      </w:r>
      <w:r w:rsidR="00D52BA3" w:rsidRPr="003B4362">
        <w:t xml:space="preserve">State-only </w:t>
      </w:r>
      <w:r w:rsidRPr="003B4362">
        <w:t>MCLs marked as “additional State requirements” in Section 611.300 and for which there are no specific monitoring, reporting, or public notice requirements among the NPDWRs.</w:t>
      </w:r>
    </w:p>
    <w:p w14:paraId="5B12C7AC" w14:textId="77777777" w:rsidR="00710318" w:rsidRDefault="00710318" w:rsidP="00710318">
      <w:pPr>
        <w:suppressAutoHyphens/>
        <w:ind w:left="1440" w:hanging="720"/>
      </w:pPr>
    </w:p>
    <w:p w14:paraId="4E48D422" w14:textId="5D5D304C" w:rsidR="000840B6" w:rsidRPr="003B4362" w:rsidRDefault="000840B6" w:rsidP="00710318">
      <w:pPr>
        <w:suppressAutoHyphens/>
        <w:ind w:left="1440" w:hanging="720"/>
      </w:pPr>
      <w:r w:rsidRPr="003B4362">
        <w:t>a)</w:t>
      </w:r>
      <w:r w:rsidRPr="003B4362">
        <w:tab/>
        <w:t xml:space="preserve">A CWS supplier using surface water sources must repeat analyses for the </w:t>
      </w:r>
      <w:r w:rsidR="00D52BA3" w:rsidRPr="003B4362">
        <w:t>State-only</w:t>
      </w:r>
      <w:r w:rsidRPr="003B4362">
        <w:t xml:space="preserve"> MCLs at yearly intervals.</w:t>
      </w:r>
    </w:p>
    <w:p w14:paraId="0D9E68E7" w14:textId="77777777" w:rsidR="00710318" w:rsidRDefault="00710318" w:rsidP="00710318">
      <w:pPr>
        <w:suppressAutoHyphens/>
        <w:ind w:left="1440" w:hanging="720"/>
      </w:pPr>
    </w:p>
    <w:p w14:paraId="5AFF0686" w14:textId="7A82F92F" w:rsidR="000840B6" w:rsidRPr="003B4362" w:rsidRDefault="000840B6" w:rsidP="00710318">
      <w:pPr>
        <w:suppressAutoHyphens/>
        <w:ind w:left="1440" w:hanging="720"/>
      </w:pPr>
      <w:r w:rsidRPr="003B4362">
        <w:t>b)</w:t>
      </w:r>
      <w:r w:rsidRPr="003B4362">
        <w:tab/>
        <w:t xml:space="preserve">A CWS supplier using groundwater sources must repeat analyses for the </w:t>
      </w:r>
      <w:r w:rsidR="00D52BA3" w:rsidRPr="003B4362">
        <w:t>State-only</w:t>
      </w:r>
      <w:r w:rsidRPr="003B4362">
        <w:t xml:space="preserve"> MCLs at three-year intervals.</w:t>
      </w:r>
    </w:p>
    <w:p w14:paraId="3E26819B" w14:textId="77777777" w:rsidR="00710318" w:rsidRDefault="00710318" w:rsidP="00710318"/>
    <w:p w14:paraId="04AA2B49" w14:textId="112B1DE5" w:rsidR="000840B6" w:rsidRPr="003B4362" w:rsidRDefault="000840B6" w:rsidP="00710318">
      <w:r w:rsidRPr="003B4362">
        <w:t>BOARD NOTE:  This is an additional State requirement.</w:t>
      </w:r>
    </w:p>
    <w:p w14:paraId="47FD6EBD" w14:textId="77777777" w:rsidR="00710318" w:rsidRDefault="00710318" w:rsidP="00710318">
      <w:pPr>
        <w:suppressAutoHyphens/>
        <w:ind w:left="720"/>
      </w:pPr>
    </w:p>
    <w:p w14:paraId="0F4B3284" w14:textId="0176F518" w:rsidR="000840B6" w:rsidRPr="003B4362" w:rsidRDefault="000840B6" w:rsidP="0071031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54AD36B5" w14:textId="77777777" w:rsidR="00D479CA" w:rsidRPr="003B4362" w:rsidRDefault="00D479CA" w:rsidP="00D479CA">
      <w:pPr>
        <w:suppressAutoHyphens/>
        <w:ind w:left="720"/>
      </w:pPr>
    </w:p>
    <w:p w14:paraId="52DD9EC2" w14:textId="77777777" w:rsidR="000840B6" w:rsidRPr="003B4362" w:rsidRDefault="000840B6" w:rsidP="00710318">
      <w:pPr>
        <w:rPr>
          <w:b/>
          <w:bCs/>
        </w:rPr>
      </w:pPr>
      <w:r w:rsidRPr="003B4362">
        <w:rPr>
          <w:b/>
          <w:bCs/>
        </w:rPr>
        <w:t>Section 611.600  Applicability</w:t>
      </w:r>
    </w:p>
    <w:p w14:paraId="3A7E3696" w14:textId="77777777" w:rsidR="00710318" w:rsidRDefault="00710318" w:rsidP="00710318">
      <w:pPr>
        <w:widowControl w:val="0"/>
        <w:suppressAutoHyphens/>
      </w:pPr>
    </w:p>
    <w:p w14:paraId="1B206A25" w14:textId="5017C21A" w:rsidR="000840B6" w:rsidRPr="003B4362" w:rsidRDefault="000840B6" w:rsidP="00710318">
      <w:pPr>
        <w:widowControl w:val="0"/>
        <w:suppressAutoHyphens/>
      </w:pPr>
      <w:r w:rsidRPr="003B4362">
        <w:t xml:space="preserve">Certain suppliers must monitor to determine compliance with the </w:t>
      </w:r>
      <w:r w:rsidR="00D52BA3" w:rsidRPr="003B4362">
        <w:t xml:space="preserve">State-only </w:t>
      </w:r>
      <w:r w:rsidRPr="003B4362">
        <w:t>MCLs in Section 611.300 and the revised MCLs in 611.301, as appropriate, as this Subpart N requires:</w:t>
      </w:r>
    </w:p>
    <w:p w14:paraId="1BCA8821" w14:textId="77777777" w:rsidR="00710318" w:rsidRDefault="00710318" w:rsidP="00710318">
      <w:pPr>
        <w:widowControl w:val="0"/>
        <w:suppressAutoHyphens/>
        <w:ind w:left="1440" w:hanging="720"/>
      </w:pPr>
    </w:p>
    <w:p w14:paraId="4594D5F9" w14:textId="1700FBDA" w:rsidR="000840B6" w:rsidRPr="003B4362" w:rsidRDefault="000840B6" w:rsidP="00710318">
      <w:pPr>
        <w:widowControl w:val="0"/>
        <w:suppressAutoHyphens/>
        <w:ind w:left="1440" w:hanging="720"/>
      </w:pPr>
      <w:r w:rsidRPr="003B4362">
        <w:t>a)</w:t>
      </w:r>
      <w:r w:rsidRPr="003B4362">
        <w:tab/>
        <w:t>CWS suppliers.</w:t>
      </w:r>
    </w:p>
    <w:p w14:paraId="616F2903" w14:textId="77777777" w:rsidR="00710318" w:rsidRDefault="00710318" w:rsidP="00710318">
      <w:pPr>
        <w:widowControl w:val="0"/>
        <w:suppressAutoHyphens/>
        <w:ind w:left="1440" w:hanging="720"/>
      </w:pPr>
    </w:p>
    <w:p w14:paraId="79E184B3" w14:textId="43D51ABA" w:rsidR="000840B6" w:rsidRPr="003B4362" w:rsidRDefault="000840B6" w:rsidP="00710318">
      <w:pPr>
        <w:widowControl w:val="0"/>
        <w:suppressAutoHyphens/>
        <w:ind w:left="1440" w:hanging="720"/>
      </w:pPr>
      <w:r w:rsidRPr="003B4362">
        <w:t>b)</w:t>
      </w:r>
      <w:r w:rsidRPr="003B4362">
        <w:tab/>
        <w:t>NTNCWS suppliers.</w:t>
      </w:r>
    </w:p>
    <w:p w14:paraId="10B3EAD1" w14:textId="77777777" w:rsidR="00710318" w:rsidRDefault="00710318" w:rsidP="00710318">
      <w:pPr>
        <w:widowControl w:val="0"/>
        <w:suppressAutoHyphens/>
        <w:ind w:left="1440" w:hanging="720"/>
      </w:pPr>
    </w:p>
    <w:p w14:paraId="5BACBFA9" w14:textId="008530F6" w:rsidR="000840B6" w:rsidRPr="003B4362" w:rsidRDefault="000840B6" w:rsidP="00710318">
      <w:pPr>
        <w:widowControl w:val="0"/>
        <w:suppressAutoHyphens/>
        <w:ind w:left="1440" w:hanging="720"/>
      </w:pPr>
      <w:r w:rsidRPr="003B4362">
        <w:t>c)</w:t>
      </w:r>
      <w:r w:rsidRPr="003B4362">
        <w:tab/>
        <w:t>Transient non</w:t>
      </w:r>
      <w:r w:rsidRPr="003B4362">
        <w:noBreakHyphen/>
        <w:t>CWS suppliers to determine compliance with the nitrate and nitrite MCLs.</w:t>
      </w:r>
    </w:p>
    <w:p w14:paraId="0C131E1E" w14:textId="77777777" w:rsidR="00710318" w:rsidRDefault="00710318" w:rsidP="00710318">
      <w:pPr>
        <w:widowControl w:val="0"/>
        <w:suppressAutoHyphens/>
        <w:ind w:left="1440" w:hanging="720"/>
      </w:pPr>
    </w:p>
    <w:p w14:paraId="0D41A152" w14:textId="54772064" w:rsidR="000840B6" w:rsidRDefault="000840B6" w:rsidP="00710318">
      <w:pPr>
        <w:widowControl w:val="0"/>
        <w:suppressAutoHyphens/>
        <w:ind w:left="1440" w:hanging="720"/>
      </w:pPr>
      <w:r w:rsidRPr="003B4362">
        <w:t>d)</w:t>
      </w:r>
      <w:r w:rsidRPr="003B4362">
        <w:tab/>
        <w:t>Detection Limits.  Specific detection limits apply for this Subpart N (this list includes MCLs from Section 611.301 are for information purposes only):</w:t>
      </w:r>
    </w:p>
    <w:p w14:paraId="79227EB5" w14:textId="77777777" w:rsidR="00710318" w:rsidRPr="003B4362" w:rsidRDefault="00710318" w:rsidP="00710318">
      <w:pPr>
        <w:widowControl w:val="0"/>
        <w:suppressAutoHyphens/>
        <w:ind w:left="1440" w:hanging="720"/>
      </w:pPr>
    </w:p>
    <w:tbl>
      <w:tblPr>
        <w:tblW w:w="7920" w:type="dxa"/>
        <w:tblInd w:w="1440" w:type="dxa"/>
        <w:tblLayout w:type="fixed"/>
        <w:tblCellMar>
          <w:top w:w="72" w:type="dxa"/>
          <w:left w:w="72" w:type="dxa"/>
          <w:bottom w:w="72" w:type="dxa"/>
          <w:right w:w="72" w:type="dxa"/>
        </w:tblCellMar>
        <w:tblLook w:val="04A0" w:firstRow="1" w:lastRow="0" w:firstColumn="1" w:lastColumn="0" w:noHBand="0" w:noVBand="1"/>
      </w:tblPr>
      <w:tblGrid>
        <w:gridCol w:w="1708"/>
        <w:gridCol w:w="1553"/>
        <w:gridCol w:w="3106"/>
        <w:gridCol w:w="1553"/>
      </w:tblGrid>
      <w:tr w:rsidR="001628C1" w:rsidRPr="003B4362" w14:paraId="08D6234C" w14:textId="77777777" w:rsidTr="00E7356A">
        <w:tc>
          <w:tcPr>
            <w:tcW w:w="1708" w:type="dxa"/>
            <w:vAlign w:val="bottom"/>
            <w:hideMark/>
          </w:tcPr>
          <w:p w14:paraId="29D681FC" w14:textId="77777777" w:rsidR="000840B6" w:rsidRPr="003B4362" w:rsidRDefault="000840B6" w:rsidP="00710318">
            <w:r w:rsidRPr="003B4362">
              <w:t>Contaminant</w:t>
            </w:r>
          </w:p>
        </w:tc>
        <w:tc>
          <w:tcPr>
            <w:tcW w:w="1553" w:type="dxa"/>
            <w:vAlign w:val="bottom"/>
            <w:hideMark/>
          </w:tcPr>
          <w:p w14:paraId="2545670E" w14:textId="05AC3553" w:rsidR="000840B6" w:rsidRPr="003B4362" w:rsidRDefault="000840B6" w:rsidP="00E7356A">
            <w:pPr>
              <w:keepNext/>
              <w:keepLines/>
              <w:widowControl w:val="0"/>
              <w:suppressAutoHyphens/>
            </w:pPr>
            <w:r w:rsidRPr="003B4362">
              <w:t>MCL (mg/</w:t>
            </w:r>
            <w:r w:rsidR="002E7704" w:rsidRPr="003B4362">
              <w:t xml:space="preserve"> L</w:t>
            </w:r>
            <w:r w:rsidRPr="003B4362">
              <w:t>, except asbestos)</w:t>
            </w:r>
          </w:p>
        </w:tc>
        <w:tc>
          <w:tcPr>
            <w:tcW w:w="3106" w:type="dxa"/>
            <w:vAlign w:val="bottom"/>
            <w:hideMark/>
          </w:tcPr>
          <w:p w14:paraId="728F5B00" w14:textId="77777777" w:rsidR="000840B6" w:rsidRPr="003B4362" w:rsidRDefault="000840B6" w:rsidP="00E7356A">
            <w:pPr>
              <w:keepNext/>
              <w:keepLines/>
              <w:widowControl w:val="0"/>
              <w:suppressAutoHyphens/>
            </w:pPr>
            <w:r w:rsidRPr="003B4362">
              <w:t>Method</w:t>
            </w:r>
          </w:p>
        </w:tc>
        <w:tc>
          <w:tcPr>
            <w:tcW w:w="1553" w:type="dxa"/>
            <w:vAlign w:val="bottom"/>
            <w:hideMark/>
          </w:tcPr>
          <w:p w14:paraId="00A303D1" w14:textId="3A865D83" w:rsidR="000840B6" w:rsidRPr="003B4362" w:rsidRDefault="000840B6" w:rsidP="00E7356A">
            <w:pPr>
              <w:keepNext/>
              <w:keepLines/>
              <w:widowControl w:val="0"/>
              <w:suppressAutoHyphens/>
            </w:pPr>
            <w:r w:rsidRPr="003B4362">
              <w:t>Detection Limit (mg/</w:t>
            </w:r>
            <w:r w:rsidR="002E7704" w:rsidRPr="003B4362">
              <w:t xml:space="preserve"> L</w:t>
            </w:r>
            <w:r w:rsidRPr="003B4362">
              <w:t>)</w:t>
            </w:r>
          </w:p>
        </w:tc>
      </w:tr>
      <w:tr w:rsidR="001628C1" w:rsidRPr="003B4362" w14:paraId="7C7406E9" w14:textId="77777777" w:rsidTr="00E7356A">
        <w:tc>
          <w:tcPr>
            <w:tcW w:w="1708" w:type="dxa"/>
            <w:hideMark/>
          </w:tcPr>
          <w:p w14:paraId="1A14E132" w14:textId="77777777" w:rsidR="000840B6" w:rsidRPr="003B4362" w:rsidRDefault="000840B6" w:rsidP="00E7356A">
            <w:pPr>
              <w:widowControl w:val="0"/>
              <w:suppressAutoHyphens/>
            </w:pPr>
            <w:r w:rsidRPr="003B4362">
              <w:t>Antimony</w:t>
            </w:r>
          </w:p>
        </w:tc>
        <w:tc>
          <w:tcPr>
            <w:tcW w:w="1553" w:type="dxa"/>
            <w:hideMark/>
          </w:tcPr>
          <w:p w14:paraId="2E0FFE30" w14:textId="77777777" w:rsidR="000840B6" w:rsidRPr="003B4362" w:rsidRDefault="000840B6" w:rsidP="00E7356A">
            <w:pPr>
              <w:widowControl w:val="0"/>
              <w:suppressAutoHyphens/>
            </w:pPr>
            <w:r w:rsidRPr="003B4362">
              <w:t>0.006</w:t>
            </w:r>
          </w:p>
        </w:tc>
        <w:tc>
          <w:tcPr>
            <w:tcW w:w="3106" w:type="dxa"/>
            <w:hideMark/>
          </w:tcPr>
          <w:p w14:paraId="3697506A" w14:textId="77777777" w:rsidR="000840B6" w:rsidRPr="003B4362" w:rsidRDefault="000840B6" w:rsidP="00E7356A">
            <w:pPr>
              <w:widowControl w:val="0"/>
              <w:suppressAutoHyphens/>
            </w:pPr>
            <w:r w:rsidRPr="003B4362">
              <w:t>Atomic absorption-furnace technique</w:t>
            </w:r>
          </w:p>
        </w:tc>
        <w:tc>
          <w:tcPr>
            <w:tcW w:w="1553" w:type="dxa"/>
            <w:hideMark/>
          </w:tcPr>
          <w:p w14:paraId="65F4D3F3" w14:textId="77777777" w:rsidR="000840B6" w:rsidRPr="003B4362" w:rsidRDefault="000840B6" w:rsidP="00E7356A">
            <w:pPr>
              <w:widowControl w:val="0"/>
              <w:suppressAutoHyphens/>
            </w:pPr>
            <w:r w:rsidRPr="003B4362">
              <w:t>0.003</w:t>
            </w:r>
          </w:p>
        </w:tc>
      </w:tr>
      <w:tr w:rsidR="001628C1" w:rsidRPr="003B4362" w14:paraId="1139EE46" w14:textId="77777777" w:rsidTr="00E7356A">
        <w:tc>
          <w:tcPr>
            <w:tcW w:w="1708" w:type="dxa"/>
          </w:tcPr>
          <w:p w14:paraId="0A3A1F98" w14:textId="77777777" w:rsidR="000840B6" w:rsidRPr="003B4362" w:rsidRDefault="000840B6" w:rsidP="00E7356A">
            <w:pPr>
              <w:widowControl w:val="0"/>
              <w:suppressAutoHyphens/>
            </w:pPr>
          </w:p>
        </w:tc>
        <w:tc>
          <w:tcPr>
            <w:tcW w:w="1553" w:type="dxa"/>
          </w:tcPr>
          <w:p w14:paraId="72DAC2F0" w14:textId="77777777" w:rsidR="000840B6" w:rsidRPr="003B4362" w:rsidRDefault="000840B6" w:rsidP="00E7356A">
            <w:pPr>
              <w:widowControl w:val="0"/>
              <w:suppressAutoHyphens/>
            </w:pPr>
          </w:p>
        </w:tc>
        <w:tc>
          <w:tcPr>
            <w:tcW w:w="3106" w:type="dxa"/>
            <w:hideMark/>
          </w:tcPr>
          <w:p w14:paraId="4D755E48"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2AAEDBFB" w14:textId="77777777" w:rsidR="000840B6" w:rsidRPr="003B4362" w:rsidRDefault="000840B6" w:rsidP="00E7356A">
            <w:pPr>
              <w:widowControl w:val="0"/>
              <w:suppressAutoHyphens/>
              <w:rPr>
                <w:vertAlign w:val="superscript"/>
              </w:rPr>
            </w:pPr>
            <w:r w:rsidRPr="003B4362">
              <w:t>0.0008</w:t>
            </w:r>
            <w:r w:rsidRPr="003B4362">
              <w:rPr>
                <w:vertAlign w:val="superscript"/>
              </w:rPr>
              <w:t>5</w:t>
            </w:r>
          </w:p>
        </w:tc>
      </w:tr>
      <w:tr w:rsidR="001628C1" w:rsidRPr="003B4362" w14:paraId="63F31737" w14:textId="77777777" w:rsidTr="00E7356A">
        <w:tc>
          <w:tcPr>
            <w:tcW w:w="1708" w:type="dxa"/>
          </w:tcPr>
          <w:p w14:paraId="7676AED8" w14:textId="77777777" w:rsidR="000840B6" w:rsidRPr="003B4362" w:rsidRDefault="000840B6" w:rsidP="00E7356A">
            <w:pPr>
              <w:widowControl w:val="0"/>
              <w:suppressAutoHyphens/>
            </w:pPr>
          </w:p>
        </w:tc>
        <w:tc>
          <w:tcPr>
            <w:tcW w:w="1553" w:type="dxa"/>
          </w:tcPr>
          <w:p w14:paraId="421E963F" w14:textId="77777777" w:rsidR="000840B6" w:rsidRPr="003B4362" w:rsidRDefault="000840B6" w:rsidP="00E7356A">
            <w:pPr>
              <w:widowControl w:val="0"/>
              <w:suppressAutoHyphens/>
            </w:pPr>
          </w:p>
        </w:tc>
        <w:tc>
          <w:tcPr>
            <w:tcW w:w="3106" w:type="dxa"/>
            <w:hideMark/>
          </w:tcPr>
          <w:p w14:paraId="2A76B971" w14:textId="77777777" w:rsidR="000840B6" w:rsidRPr="003B4362" w:rsidRDefault="000840B6" w:rsidP="00E7356A">
            <w:pPr>
              <w:widowControl w:val="0"/>
              <w:suppressAutoHyphens/>
            </w:pPr>
            <w:r w:rsidRPr="003B4362">
              <w:t>Inductively coupled plasma-mass spectrometry</w:t>
            </w:r>
          </w:p>
        </w:tc>
        <w:tc>
          <w:tcPr>
            <w:tcW w:w="1553" w:type="dxa"/>
            <w:hideMark/>
          </w:tcPr>
          <w:p w14:paraId="27B4F3A0" w14:textId="77777777" w:rsidR="000840B6" w:rsidRPr="003B4362" w:rsidRDefault="000840B6" w:rsidP="00E7356A">
            <w:pPr>
              <w:widowControl w:val="0"/>
              <w:suppressAutoHyphens/>
            </w:pPr>
            <w:r w:rsidRPr="003B4362">
              <w:t>0.0004</w:t>
            </w:r>
          </w:p>
        </w:tc>
      </w:tr>
      <w:tr w:rsidR="001628C1" w:rsidRPr="003B4362" w14:paraId="4268A83E" w14:textId="77777777" w:rsidTr="00E7356A">
        <w:tc>
          <w:tcPr>
            <w:tcW w:w="1708" w:type="dxa"/>
          </w:tcPr>
          <w:p w14:paraId="7FCE8DDD" w14:textId="77777777" w:rsidR="000840B6" w:rsidRPr="003B4362" w:rsidRDefault="000840B6" w:rsidP="00E7356A">
            <w:pPr>
              <w:widowControl w:val="0"/>
              <w:suppressAutoHyphens/>
            </w:pPr>
          </w:p>
        </w:tc>
        <w:tc>
          <w:tcPr>
            <w:tcW w:w="1553" w:type="dxa"/>
          </w:tcPr>
          <w:p w14:paraId="32256547" w14:textId="77777777" w:rsidR="000840B6" w:rsidRPr="003B4362" w:rsidRDefault="000840B6" w:rsidP="00E7356A">
            <w:pPr>
              <w:widowControl w:val="0"/>
              <w:suppressAutoHyphens/>
            </w:pPr>
          </w:p>
        </w:tc>
        <w:tc>
          <w:tcPr>
            <w:tcW w:w="3106" w:type="dxa"/>
            <w:hideMark/>
          </w:tcPr>
          <w:p w14:paraId="5FAB105C" w14:textId="77777777" w:rsidR="000840B6" w:rsidRPr="003B4362" w:rsidRDefault="000840B6" w:rsidP="00E7356A">
            <w:pPr>
              <w:widowControl w:val="0"/>
              <w:suppressAutoHyphens/>
            </w:pPr>
            <w:r w:rsidRPr="003B4362">
              <w:t>Atomic absorption-gaseous hydride technique</w:t>
            </w:r>
          </w:p>
        </w:tc>
        <w:tc>
          <w:tcPr>
            <w:tcW w:w="1553" w:type="dxa"/>
            <w:hideMark/>
          </w:tcPr>
          <w:p w14:paraId="409F82C5" w14:textId="77777777" w:rsidR="000840B6" w:rsidRPr="003B4362" w:rsidRDefault="000840B6" w:rsidP="00E7356A">
            <w:pPr>
              <w:widowControl w:val="0"/>
              <w:suppressAutoHyphens/>
            </w:pPr>
            <w:r w:rsidRPr="003B4362">
              <w:t>0.001</w:t>
            </w:r>
          </w:p>
        </w:tc>
      </w:tr>
      <w:tr w:rsidR="001628C1" w:rsidRPr="003B4362" w14:paraId="54A7D980" w14:textId="77777777" w:rsidTr="00E7356A">
        <w:tc>
          <w:tcPr>
            <w:tcW w:w="1708" w:type="dxa"/>
            <w:hideMark/>
          </w:tcPr>
          <w:p w14:paraId="440B22D9" w14:textId="77777777" w:rsidR="000840B6" w:rsidRPr="003B4362" w:rsidRDefault="000840B6" w:rsidP="00E7356A">
            <w:pPr>
              <w:widowControl w:val="0"/>
              <w:suppressAutoHyphens/>
            </w:pPr>
            <w:r w:rsidRPr="003B4362">
              <w:t>Arsenic</w:t>
            </w:r>
          </w:p>
        </w:tc>
        <w:tc>
          <w:tcPr>
            <w:tcW w:w="1553" w:type="dxa"/>
            <w:hideMark/>
          </w:tcPr>
          <w:p w14:paraId="7A44ADE1" w14:textId="77777777" w:rsidR="000840B6" w:rsidRPr="003B4362" w:rsidRDefault="000840B6" w:rsidP="00E7356A">
            <w:pPr>
              <w:widowControl w:val="0"/>
              <w:suppressAutoHyphens/>
              <w:rPr>
                <w:vertAlign w:val="superscript"/>
              </w:rPr>
            </w:pPr>
            <w:r w:rsidRPr="003B4362">
              <w:t>0.010</w:t>
            </w:r>
          </w:p>
        </w:tc>
        <w:tc>
          <w:tcPr>
            <w:tcW w:w="3106" w:type="dxa"/>
            <w:hideMark/>
          </w:tcPr>
          <w:p w14:paraId="37CF82C8" w14:textId="77777777" w:rsidR="000840B6" w:rsidRPr="003B4362" w:rsidRDefault="000840B6" w:rsidP="00E7356A">
            <w:pPr>
              <w:widowControl w:val="0"/>
              <w:suppressAutoHyphens/>
            </w:pPr>
            <w:r w:rsidRPr="003B4362">
              <w:t>Atomic absorption-furnace technique</w:t>
            </w:r>
          </w:p>
        </w:tc>
        <w:tc>
          <w:tcPr>
            <w:tcW w:w="1553" w:type="dxa"/>
            <w:hideMark/>
          </w:tcPr>
          <w:p w14:paraId="2ED8F7D1" w14:textId="77777777" w:rsidR="000840B6" w:rsidRPr="003B4362" w:rsidRDefault="000840B6" w:rsidP="00E7356A">
            <w:pPr>
              <w:widowControl w:val="0"/>
              <w:suppressAutoHyphens/>
            </w:pPr>
            <w:r w:rsidRPr="003B4362">
              <w:t>0.001</w:t>
            </w:r>
          </w:p>
        </w:tc>
      </w:tr>
      <w:tr w:rsidR="001628C1" w:rsidRPr="003B4362" w14:paraId="18C84605" w14:textId="77777777" w:rsidTr="00E7356A">
        <w:tc>
          <w:tcPr>
            <w:tcW w:w="1708" w:type="dxa"/>
          </w:tcPr>
          <w:p w14:paraId="464FF5C4" w14:textId="77777777" w:rsidR="000840B6" w:rsidRPr="003B4362" w:rsidRDefault="000840B6" w:rsidP="00E7356A">
            <w:pPr>
              <w:widowControl w:val="0"/>
              <w:suppressAutoHyphens/>
            </w:pPr>
          </w:p>
        </w:tc>
        <w:tc>
          <w:tcPr>
            <w:tcW w:w="1553" w:type="dxa"/>
          </w:tcPr>
          <w:p w14:paraId="04943A1F" w14:textId="77777777" w:rsidR="000840B6" w:rsidRPr="003B4362" w:rsidRDefault="000840B6" w:rsidP="00E7356A">
            <w:pPr>
              <w:widowControl w:val="0"/>
              <w:suppressAutoHyphens/>
            </w:pPr>
          </w:p>
        </w:tc>
        <w:tc>
          <w:tcPr>
            <w:tcW w:w="3106" w:type="dxa"/>
            <w:hideMark/>
          </w:tcPr>
          <w:p w14:paraId="4586698A"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508BA867" w14:textId="77777777" w:rsidR="000840B6" w:rsidRPr="003B4362" w:rsidRDefault="000840B6" w:rsidP="00E7356A">
            <w:pPr>
              <w:widowControl w:val="0"/>
              <w:suppressAutoHyphens/>
              <w:rPr>
                <w:vertAlign w:val="superscript"/>
              </w:rPr>
            </w:pPr>
            <w:r w:rsidRPr="003B4362">
              <w:t>0.00005</w:t>
            </w:r>
            <w:r w:rsidRPr="003B4362">
              <w:rPr>
                <w:vertAlign w:val="superscript"/>
              </w:rPr>
              <w:t>6</w:t>
            </w:r>
          </w:p>
        </w:tc>
      </w:tr>
      <w:tr w:rsidR="001628C1" w:rsidRPr="003B4362" w14:paraId="7B7232F4" w14:textId="77777777" w:rsidTr="00E7356A">
        <w:tc>
          <w:tcPr>
            <w:tcW w:w="1708" w:type="dxa"/>
          </w:tcPr>
          <w:p w14:paraId="5632F60C" w14:textId="77777777" w:rsidR="000840B6" w:rsidRPr="003B4362" w:rsidRDefault="000840B6" w:rsidP="00E7356A">
            <w:pPr>
              <w:widowControl w:val="0"/>
              <w:suppressAutoHyphens/>
            </w:pPr>
          </w:p>
        </w:tc>
        <w:tc>
          <w:tcPr>
            <w:tcW w:w="1553" w:type="dxa"/>
          </w:tcPr>
          <w:p w14:paraId="7C160817" w14:textId="77777777" w:rsidR="000840B6" w:rsidRPr="003B4362" w:rsidRDefault="000840B6" w:rsidP="00E7356A">
            <w:pPr>
              <w:widowControl w:val="0"/>
              <w:suppressAutoHyphens/>
            </w:pPr>
          </w:p>
        </w:tc>
        <w:tc>
          <w:tcPr>
            <w:tcW w:w="3106" w:type="dxa"/>
            <w:hideMark/>
          </w:tcPr>
          <w:p w14:paraId="74416379" w14:textId="77777777" w:rsidR="000840B6" w:rsidRPr="003B4362" w:rsidRDefault="000840B6" w:rsidP="00E7356A">
            <w:pPr>
              <w:widowControl w:val="0"/>
              <w:suppressAutoHyphens/>
            </w:pPr>
            <w:r w:rsidRPr="003B4362">
              <w:t>Atomic absorption-gaseous hydride technique</w:t>
            </w:r>
          </w:p>
        </w:tc>
        <w:tc>
          <w:tcPr>
            <w:tcW w:w="1553" w:type="dxa"/>
            <w:hideMark/>
          </w:tcPr>
          <w:p w14:paraId="0B920262" w14:textId="77777777" w:rsidR="000840B6" w:rsidRPr="003B4362" w:rsidRDefault="000840B6" w:rsidP="00E7356A">
            <w:pPr>
              <w:widowControl w:val="0"/>
              <w:suppressAutoHyphens/>
            </w:pPr>
            <w:r w:rsidRPr="003B4362">
              <w:t>0.001</w:t>
            </w:r>
          </w:p>
        </w:tc>
      </w:tr>
      <w:tr w:rsidR="001628C1" w:rsidRPr="003B4362" w14:paraId="6630819B" w14:textId="77777777" w:rsidTr="00E7356A">
        <w:tc>
          <w:tcPr>
            <w:tcW w:w="1708" w:type="dxa"/>
          </w:tcPr>
          <w:p w14:paraId="6719B42C" w14:textId="77777777" w:rsidR="000840B6" w:rsidRPr="003B4362" w:rsidRDefault="000840B6" w:rsidP="00E7356A">
            <w:pPr>
              <w:widowControl w:val="0"/>
              <w:suppressAutoHyphens/>
            </w:pPr>
          </w:p>
        </w:tc>
        <w:tc>
          <w:tcPr>
            <w:tcW w:w="1553" w:type="dxa"/>
          </w:tcPr>
          <w:p w14:paraId="6021EDCC" w14:textId="77777777" w:rsidR="000840B6" w:rsidRPr="003B4362" w:rsidRDefault="000840B6" w:rsidP="00E7356A">
            <w:pPr>
              <w:widowControl w:val="0"/>
              <w:suppressAutoHyphens/>
            </w:pPr>
          </w:p>
        </w:tc>
        <w:tc>
          <w:tcPr>
            <w:tcW w:w="3106" w:type="dxa"/>
            <w:hideMark/>
          </w:tcPr>
          <w:p w14:paraId="10ACA7F1" w14:textId="77777777" w:rsidR="000840B6" w:rsidRPr="003B4362" w:rsidRDefault="000840B6" w:rsidP="00E7356A">
            <w:pPr>
              <w:widowControl w:val="0"/>
              <w:suppressAutoHyphens/>
            </w:pPr>
            <w:r w:rsidRPr="003B4362">
              <w:t>Inductively coupled plasma-mass spectrometry</w:t>
            </w:r>
          </w:p>
        </w:tc>
        <w:tc>
          <w:tcPr>
            <w:tcW w:w="1553" w:type="dxa"/>
            <w:hideMark/>
          </w:tcPr>
          <w:p w14:paraId="4AB3938E" w14:textId="77777777" w:rsidR="000840B6" w:rsidRPr="003B4362" w:rsidRDefault="000840B6" w:rsidP="00E7356A">
            <w:pPr>
              <w:widowControl w:val="0"/>
              <w:suppressAutoHyphens/>
              <w:rPr>
                <w:vertAlign w:val="superscript"/>
              </w:rPr>
            </w:pPr>
            <w:r w:rsidRPr="003B4362">
              <w:t>0.0014</w:t>
            </w:r>
            <w:r w:rsidRPr="003B4362">
              <w:rPr>
                <w:vertAlign w:val="superscript"/>
              </w:rPr>
              <w:t>7</w:t>
            </w:r>
          </w:p>
        </w:tc>
      </w:tr>
      <w:tr w:rsidR="001628C1" w:rsidRPr="003B4362" w14:paraId="23C35936" w14:textId="77777777" w:rsidTr="00E7356A">
        <w:tc>
          <w:tcPr>
            <w:tcW w:w="1708" w:type="dxa"/>
            <w:hideMark/>
          </w:tcPr>
          <w:p w14:paraId="6DE8FB09" w14:textId="77777777" w:rsidR="000840B6" w:rsidRPr="003B4362" w:rsidRDefault="000840B6" w:rsidP="00E7356A">
            <w:pPr>
              <w:widowControl w:val="0"/>
              <w:suppressAutoHyphens/>
            </w:pPr>
            <w:r w:rsidRPr="003B4362">
              <w:t>Asbestos</w:t>
            </w:r>
          </w:p>
        </w:tc>
        <w:tc>
          <w:tcPr>
            <w:tcW w:w="1553" w:type="dxa"/>
            <w:hideMark/>
          </w:tcPr>
          <w:p w14:paraId="1DF37F68" w14:textId="77777777" w:rsidR="000840B6" w:rsidRPr="003B4362" w:rsidRDefault="000840B6" w:rsidP="00E7356A">
            <w:pPr>
              <w:widowControl w:val="0"/>
              <w:suppressAutoHyphens/>
              <w:rPr>
                <w:vertAlign w:val="superscript"/>
              </w:rPr>
            </w:pPr>
            <w:r w:rsidRPr="003B4362">
              <w:t>7 MFL</w:t>
            </w:r>
            <w:r w:rsidRPr="003B4362">
              <w:rPr>
                <w:vertAlign w:val="superscript"/>
              </w:rPr>
              <w:t>1</w:t>
            </w:r>
          </w:p>
        </w:tc>
        <w:tc>
          <w:tcPr>
            <w:tcW w:w="3106" w:type="dxa"/>
            <w:hideMark/>
          </w:tcPr>
          <w:p w14:paraId="216B8B6E" w14:textId="77777777" w:rsidR="000840B6" w:rsidRPr="003B4362" w:rsidRDefault="000840B6" w:rsidP="00E7356A">
            <w:pPr>
              <w:widowControl w:val="0"/>
              <w:suppressAutoHyphens/>
            </w:pPr>
            <w:r w:rsidRPr="003B4362">
              <w:t>Transmission electron microscopy</w:t>
            </w:r>
          </w:p>
        </w:tc>
        <w:tc>
          <w:tcPr>
            <w:tcW w:w="1553" w:type="dxa"/>
            <w:hideMark/>
          </w:tcPr>
          <w:p w14:paraId="35D0BBDA" w14:textId="77777777" w:rsidR="000840B6" w:rsidRPr="003B4362" w:rsidRDefault="000840B6" w:rsidP="00E7356A">
            <w:pPr>
              <w:widowControl w:val="0"/>
              <w:suppressAutoHyphens/>
            </w:pPr>
            <w:r w:rsidRPr="003B4362">
              <w:t>0.01 MFL</w:t>
            </w:r>
          </w:p>
        </w:tc>
      </w:tr>
      <w:tr w:rsidR="001628C1" w:rsidRPr="003B4362" w14:paraId="6AA16CD4" w14:textId="77777777" w:rsidTr="00E7356A">
        <w:tc>
          <w:tcPr>
            <w:tcW w:w="1708" w:type="dxa"/>
            <w:hideMark/>
          </w:tcPr>
          <w:p w14:paraId="18423D3E" w14:textId="77777777" w:rsidR="000840B6" w:rsidRPr="003B4362" w:rsidRDefault="000840B6" w:rsidP="00E7356A">
            <w:pPr>
              <w:widowControl w:val="0"/>
              <w:suppressAutoHyphens/>
            </w:pPr>
            <w:r w:rsidRPr="003B4362">
              <w:t>Barium</w:t>
            </w:r>
          </w:p>
        </w:tc>
        <w:tc>
          <w:tcPr>
            <w:tcW w:w="1553" w:type="dxa"/>
            <w:hideMark/>
          </w:tcPr>
          <w:p w14:paraId="40343815" w14:textId="77777777" w:rsidR="000840B6" w:rsidRPr="003B4362" w:rsidRDefault="000840B6" w:rsidP="00E7356A">
            <w:pPr>
              <w:widowControl w:val="0"/>
              <w:suppressAutoHyphens/>
            </w:pPr>
            <w:r w:rsidRPr="003B4362">
              <w:t>2</w:t>
            </w:r>
          </w:p>
        </w:tc>
        <w:tc>
          <w:tcPr>
            <w:tcW w:w="3106" w:type="dxa"/>
            <w:hideMark/>
          </w:tcPr>
          <w:p w14:paraId="2E585F30" w14:textId="77777777" w:rsidR="000840B6" w:rsidRPr="003B4362" w:rsidRDefault="000840B6" w:rsidP="00E7356A">
            <w:pPr>
              <w:widowControl w:val="0"/>
              <w:suppressAutoHyphens/>
            </w:pPr>
            <w:r w:rsidRPr="003B4362">
              <w:t>Atomic absorption-furnace technique</w:t>
            </w:r>
          </w:p>
        </w:tc>
        <w:tc>
          <w:tcPr>
            <w:tcW w:w="1553" w:type="dxa"/>
            <w:hideMark/>
          </w:tcPr>
          <w:p w14:paraId="0F487AF3" w14:textId="77777777" w:rsidR="000840B6" w:rsidRPr="003B4362" w:rsidRDefault="000840B6" w:rsidP="00E7356A">
            <w:pPr>
              <w:widowControl w:val="0"/>
              <w:suppressAutoHyphens/>
            </w:pPr>
            <w:r w:rsidRPr="003B4362">
              <w:t>0.002</w:t>
            </w:r>
          </w:p>
        </w:tc>
      </w:tr>
      <w:tr w:rsidR="001628C1" w:rsidRPr="003B4362" w14:paraId="117BF555" w14:textId="77777777" w:rsidTr="00E7356A">
        <w:tc>
          <w:tcPr>
            <w:tcW w:w="1708" w:type="dxa"/>
          </w:tcPr>
          <w:p w14:paraId="4DD8F5D4" w14:textId="77777777" w:rsidR="000840B6" w:rsidRPr="003B4362" w:rsidRDefault="000840B6" w:rsidP="00E7356A">
            <w:pPr>
              <w:widowControl w:val="0"/>
              <w:suppressAutoHyphens/>
            </w:pPr>
          </w:p>
        </w:tc>
        <w:tc>
          <w:tcPr>
            <w:tcW w:w="1553" w:type="dxa"/>
          </w:tcPr>
          <w:p w14:paraId="175BA6AD" w14:textId="77777777" w:rsidR="000840B6" w:rsidRPr="003B4362" w:rsidRDefault="000840B6" w:rsidP="00E7356A">
            <w:pPr>
              <w:widowControl w:val="0"/>
              <w:suppressAutoHyphens/>
            </w:pPr>
          </w:p>
        </w:tc>
        <w:tc>
          <w:tcPr>
            <w:tcW w:w="3106" w:type="dxa"/>
            <w:hideMark/>
          </w:tcPr>
          <w:p w14:paraId="3215FA77" w14:textId="77777777" w:rsidR="000840B6" w:rsidRPr="003B4362" w:rsidRDefault="000840B6" w:rsidP="00E7356A">
            <w:pPr>
              <w:widowControl w:val="0"/>
              <w:suppressAutoHyphens/>
            </w:pPr>
            <w:r w:rsidRPr="003B4362">
              <w:t>Atomic absorption-direct aspiration technique</w:t>
            </w:r>
          </w:p>
        </w:tc>
        <w:tc>
          <w:tcPr>
            <w:tcW w:w="1553" w:type="dxa"/>
            <w:hideMark/>
          </w:tcPr>
          <w:p w14:paraId="103662E0" w14:textId="77777777" w:rsidR="000840B6" w:rsidRPr="003B4362" w:rsidRDefault="000840B6" w:rsidP="00E7356A">
            <w:pPr>
              <w:widowControl w:val="0"/>
              <w:suppressAutoHyphens/>
            </w:pPr>
            <w:r w:rsidRPr="003B4362">
              <w:t>0.1</w:t>
            </w:r>
          </w:p>
        </w:tc>
      </w:tr>
      <w:tr w:rsidR="001628C1" w:rsidRPr="003B4362" w14:paraId="2EB3C4C2" w14:textId="77777777" w:rsidTr="00E7356A">
        <w:tc>
          <w:tcPr>
            <w:tcW w:w="1708" w:type="dxa"/>
          </w:tcPr>
          <w:p w14:paraId="5B7F7C11" w14:textId="77777777" w:rsidR="000840B6" w:rsidRPr="003B4362" w:rsidRDefault="000840B6" w:rsidP="00E7356A">
            <w:pPr>
              <w:widowControl w:val="0"/>
              <w:suppressAutoHyphens/>
            </w:pPr>
          </w:p>
        </w:tc>
        <w:tc>
          <w:tcPr>
            <w:tcW w:w="1553" w:type="dxa"/>
          </w:tcPr>
          <w:p w14:paraId="44C78F3D" w14:textId="77777777" w:rsidR="000840B6" w:rsidRPr="003B4362" w:rsidRDefault="000840B6" w:rsidP="00E7356A">
            <w:pPr>
              <w:widowControl w:val="0"/>
              <w:suppressAutoHyphens/>
            </w:pPr>
          </w:p>
        </w:tc>
        <w:tc>
          <w:tcPr>
            <w:tcW w:w="3106" w:type="dxa"/>
            <w:hideMark/>
          </w:tcPr>
          <w:p w14:paraId="36CEE2B0" w14:textId="77777777" w:rsidR="000840B6" w:rsidRPr="003B4362" w:rsidRDefault="000840B6" w:rsidP="00E7356A">
            <w:pPr>
              <w:widowControl w:val="0"/>
              <w:suppressAutoHyphens/>
            </w:pPr>
            <w:r w:rsidRPr="003B4362">
              <w:t>Inductively coupled plasma arc furnace</w:t>
            </w:r>
          </w:p>
        </w:tc>
        <w:tc>
          <w:tcPr>
            <w:tcW w:w="1553" w:type="dxa"/>
            <w:hideMark/>
          </w:tcPr>
          <w:p w14:paraId="39DB5760" w14:textId="77777777" w:rsidR="000840B6" w:rsidRPr="003B4362" w:rsidRDefault="000840B6" w:rsidP="00E7356A">
            <w:pPr>
              <w:widowControl w:val="0"/>
              <w:suppressAutoHyphens/>
            </w:pPr>
            <w:r w:rsidRPr="003B4362">
              <w:t>0.002</w:t>
            </w:r>
          </w:p>
        </w:tc>
      </w:tr>
      <w:tr w:rsidR="001628C1" w:rsidRPr="003B4362" w14:paraId="3496EE18" w14:textId="77777777" w:rsidTr="00E7356A">
        <w:tc>
          <w:tcPr>
            <w:tcW w:w="1708" w:type="dxa"/>
          </w:tcPr>
          <w:p w14:paraId="419019DF" w14:textId="77777777" w:rsidR="000840B6" w:rsidRPr="003B4362" w:rsidRDefault="000840B6" w:rsidP="00E7356A">
            <w:pPr>
              <w:widowControl w:val="0"/>
              <w:suppressAutoHyphens/>
            </w:pPr>
          </w:p>
        </w:tc>
        <w:tc>
          <w:tcPr>
            <w:tcW w:w="1553" w:type="dxa"/>
          </w:tcPr>
          <w:p w14:paraId="503D6038" w14:textId="77777777" w:rsidR="000840B6" w:rsidRPr="003B4362" w:rsidRDefault="000840B6" w:rsidP="00E7356A">
            <w:pPr>
              <w:widowControl w:val="0"/>
              <w:suppressAutoHyphens/>
            </w:pPr>
          </w:p>
        </w:tc>
        <w:tc>
          <w:tcPr>
            <w:tcW w:w="3106" w:type="dxa"/>
            <w:hideMark/>
          </w:tcPr>
          <w:p w14:paraId="5DA126DF" w14:textId="77777777" w:rsidR="000840B6" w:rsidRPr="003B4362" w:rsidRDefault="000840B6" w:rsidP="00E7356A">
            <w:pPr>
              <w:widowControl w:val="0"/>
              <w:suppressAutoHyphens/>
            </w:pPr>
            <w:r w:rsidRPr="003B4362">
              <w:t>Inductively coupled plasma</w:t>
            </w:r>
          </w:p>
        </w:tc>
        <w:tc>
          <w:tcPr>
            <w:tcW w:w="1553" w:type="dxa"/>
            <w:hideMark/>
          </w:tcPr>
          <w:p w14:paraId="0A5D33BF" w14:textId="77777777" w:rsidR="000840B6" w:rsidRPr="003B4362" w:rsidRDefault="000840B6" w:rsidP="00E7356A">
            <w:pPr>
              <w:widowControl w:val="0"/>
              <w:suppressAutoHyphens/>
            </w:pPr>
            <w:r w:rsidRPr="003B4362">
              <w:t>0.001</w:t>
            </w:r>
          </w:p>
        </w:tc>
      </w:tr>
      <w:tr w:rsidR="001628C1" w:rsidRPr="003B4362" w14:paraId="62128357" w14:textId="77777777" w:rsidTr="00E7356A">
        <w:tc>
          <w:tcPr>
            <w:tcW w:w="1708" w:type="dxa"/>
            <w:hideMark/>
          </w:tcPr>
          <w:p w14:paraId="1D38E20B" w14:textId="77777777" w:rsidR="000840B6" w:rsidRPr="003B4362" w:rsidRDefault="000840B6" w:rsidP="00E7356A">
            <w:pPr>
              <w:widowControl w:val="0"/>
              <w:suppressAutoHyphens/>
            </w:pPr>
            <w:r w:rsidRPr="003B4362">
              <w:t>Beryllium</w:t>
            </w:r>
          </w:p>
        </w:tc>
        <w:tc>
          <w:tcPr>
            <w:tcW w:w="1553" w:type="dxa"/>
            <w:hideMark/>
          </w:tcPr>
          <w:p w14:paraId="2A4472E0" w14:textId="77777777" w:rsidR="000840B6" w:rsidRPr="003B4362" w:rsidRDefault="000840B6" w:rsidP="00E7356A">
            <w:pPr>
              <w:widowControl w:val="0"/>
              <w:suppressAutoHyphens/>
            </w:pPr>
            <w:r w:rsidRPr="003B4362">
              <w:t>0.004</w:t>
            </w:r>
          </w:p>
        </w:tc>
        <w:tc>
          <w:tcPr>
            <w:tcW w:w="3106" w:type="dxa"/>
            <w:hideMark/>
          </w:tcPr>
          <w:p w14:paraId="1EF7BBAA" w14:textId="77777777" w:rsidR="000840B6" w:rsidRPr="003B4362" w:rsidRDefault="000840B6" w:rsidP="00E7356A">
            <w:pPr>
              <w:widowControl w:val="0"/>
              <w:suppressAutoHyphens/>
            </w:pPr>
            <w:r w:rsidRPr="003B4362">
              <w:t>Atomic absorption-furnace technique</w:t>
            </w:r>
          </w:p>
        </w:tc>
        <w:tc>
          <w:tcPr>
            <w:tcW w:w="1553" w:type="dxa"/>
            <w:hideMark/>
          </w:tcPr>
          <w:p w14:paraId="20E73CC1" w14:textId="77777777" w:rsidR="000840B6" w:rsidRPr="003B4362" w:rsidRDefault="000840B6" w:rsidP="00E7356A">
            <w:pPr>
              <w:widowControl w:val="0"/>
              <w:suppressAutoHyphens/>
            </w:pPr>
            <w:r w:rsidRPr="003B4362">
              <w:t>0.0002</w:t>
            </w:r>
          </w:p>
        </w:tc>
      </w:tr>
      <w:tr w:rsidR="001628C1" w:rsidRPr="003B4362" w14:paraId="2A3C2112" w14:textId="77777777" w:rsidTr="00E7356A">
        <w:tc>
          <w:tcPr>
            <w:tcW w:w="1708" w:type="dxa"/>
          </w:tcPr>
          <w:p w14:paraId="7B458887" w14:textId="77777777" w:rsidR="000840B6" w:rsidRPr="003B4362" w:rsidRDefault="000840B6" w:rsidP="00E7356A">
            <w:pPr>
              <w:widowControl w:val="0"/>
              <w:suppressAutoHyphens/>
            </w:pPr>
          </w:p>
        </w:tc>
        <w:tc>
          <w:tcPr>
            <w:tcW w:w="1553" w:type="dxa"/>
          </w:tcPr>
          <w:p w14:paraId="3593A0C6" w14:textId="77777777" w:rsidR="000840B6" w:rsidRPr="003B4362" w:rsidRDefault="000840B6" w:rsidP="00E7356A">
            <w:pPr>
              <w:widowControl w:val="0"/>
              <w:suppressAutoHyphens/>
            </w:pPr>
          </w:p>
        </w:tc>
        <w:tc>
          <w:tcPr>
            <w:tcW w:w="3106" w:type="dxa"/>
            <w:hideMark/>
          </w:tcPr>
          <w:p w14:paraId="7B8B9DF9"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363855B0" w14:textId="77777777" w:rsidR="000840B6" w:rsidRPr="003B4362" w:rsidRDefault="000840B6" w:rsidP="00E7356A">
            <w:pPr>
              <w:widowControl w:val="0"/>
              <w:suppressAutoHyphens/>
              <w:rPr>
                <w:vertAlign w:val="superscript"/>
              </w:rPr>
            </w:pPr>
            <w:r w:rsidRPr="003B4362">
              <w:t>0.00002</w:t>
            </w:r>
            <w:r w:rsidRPr="003B4362">
              <w:rPr>
                <w:vertAlign w:val="superscript"/>
              </w:rPr>
              <w:t>5</w:t>
            </w:r>
          </w:p>
        </w:tc>
      </w:tr>
      <w:tr w:rsidR="001628C1" w:rsidRPr="003B4362" w14:paraId="167AD761" w14:textId="77777777" w:rsidTr="00E7356A">
        <w:tc>
          <w:tcPr>
            <w:tcW w:w="1708" w:type="dxa"/>
          </w:tcPr>
          <w:p w14:paraId="5FCD8B1A" w14:textId="77777777" w:rsidR="000840B6" w:rsidRPr="003B4362" w:rsidRDefault="000840B6" w:rsidP="00E7356A">
            <w:pPr>
              <w:widowControl w:val="0"/>
              <w:suppressAutoHyphens/>
            </w:pPr>
          </w:p>
        </w:tc>
        <w:tc>
          <w:tcPr>
            <w:tcW w:w="1553" w:type="dxa"/>
          </w:tcPr>
          <w:p w14:paraId="6B5E3CEF" w14:textId="77777777" w:rsidR="000840B6" w:rsidRPr="003B4362" w:rsidRDefault="000840B6" w:rsidP="00E7356A">
            <w:pPr>
              <w:widowControl w:val="0"/>
              <w:suppressAutoHyphens/>
            </w:pPr>
          </w:p>
        </w:tc>
        <w:tc>
          <w:tcPr>
            <w:tcW w:w="3106" w:type="dxa"/>
            <w:hideMark/>
          </w:tcPr>
          <w:p w14:paraId="19548A86" w14:textId="77777777" w:rsidR="000840B6" w:rsidRPr="003B4362" w:rsidRDefault="000840B6" w:rsidP="00E7356A">
            <w:pPr>
              <w:widowControl w:val="0"/>
              <w:suppressAutoHyphens/>
            </w:pPr>
            <w:r w:rsidRPr="003B4362">
              <w:t>Inductively coupled plasma</w:t>
            </w:r>
            <w:r w:rsidRPr="003B4362">
              <w:rPr>
                <w:vertAlign w:val="superscript"/>
              </w:rPr>
              <w:t>2</w:t>
            </w:r>
          </w:p>
        </w:tc>
        <w:tc>
          <w:tcPr>
            <w:tcW w:w="1553" w:type="dxa"/>
            <w:hideMark/>
          </w:tcPr>
          <w:p w14:paraId="5B52E728" w14:textId="77777777" w:rsidR="000840B6" w:rsidRPr="003B4362" w:rsidRDefault="000840B6" w:rsidP="00E7356A">
            <w:pPr>
              <w:widowControl w:val="0"/>
              <w:suppressAutoHyphens/>
            </w:pPr>
            <w:r w:rsidRPr="003B4362">
              <w:t>0.0003</w:t>
            </w:r>
          </w:p>
        </w:tc>
      </w:tr>
      <w:tr w:rsidR="001628C1" w:rsidRPr="003B4362" w14:paraId="426E2C30" w14:textId="77777777" w:rsidTr="00E7356A">
        <w:tc>
          <w:tcPr>
            <w:tcW w:w="1708" w:type="dxa"/>
          </w:tcPr>
          <w:p w14:paraId="01A562A8" w14:textId="77777777" w:rsidR="000840B6" w:rsidRPr="003B4362" w:rsidRDefault="000840B6" w:rsidP="00E7356A">
            <w:pPr>
              <w:widowControl w:val="0"/>
              <w:suppressAutoHyphens/>
            </w:pPr>
          </w:p>
        </w:tc>
        <w:tc>
          <w:tcPr>
            <w:tcW w:w="1553" w:type="dxa"/>
          </w:tcPr>
          <w:p w14:paraId="40C68645" w14:textId="77777777" w:rsidR="000840B6" w:rsidRPr="003B4362" w:rsidRDefault="000840B6" w:rsidP="00E7356A">
            <w:pPr>
              <w:widowControl w:val="0"/>
              <w:suppressAutoHyphens/>
            </w:pPr>
          </w:p>
        </w:tc>
        <w:tc>
          <w:tcPr>
            <w:tcW w:w="3106" w:type="dxa"/>
            <w:hideMark/>
          </w:tcPr>
          <w:p w14:paraId="1B19EA99" w14:textId="77777777" w:rsidR="000840B6" w:rsidRPr="003B4362" w:rsidRDefault="000840B6" w:rsidP="00E7356A">
            <w:pPr>
              <w:widowControl w:val="0"/>
              <w:suppressAutoHyphens/>
            </w:pPr>
            <w:r w:rsidRPr="003B4362">
              <w:t>Inductively coupled plasma-mass spectrometry</w:t>
            </w:r>
          </w:p>
        </w:tc>
        <w:tc>
          <w:tcPr>
            <w:tcW w:w="1553" w:type="dxa"/>
            <w:hideMark/>
          </w:tcPr>
          <w:p w14:paraId="4C49B33E" w14:textId="77777777" w:rsidR="000840B6" w:rsidRPr="003B4362" w:rsidRDefault="000840B6" w:rsidP="00E7356A">
            <w:pPr>
              <w:widowControl w:val="0"/>
              <w:suppressAutoHyphens/>
            </w:pPr>
            <w:r w:rsidRPr="003B4362">
              <w:t>0.0003</w:t>
            </w:r>
          </w:p>
        </w:tc>
      </w:tr>
      <w:tr w:rsidR="001628C1" w:rsidRPr="003B4362" w14:paraId="77CD4638" w14:textId="77777777" w:rsidTr="00E7356A">
        <w:tc>
          <w:tcPr>
            <w:tcW w:w="1708" w:type="dxa"/>
            <w:hideMark/>
          </w:tcPr>
          <w:p w14:paraId="17A1FF0A" w14:textId="77777777" w:rsidR="000840B6" w:rsidRPr="003B4362" w:rsidRDefault="000840B6" w:rsidP="00E7356A">
            <w:pPr>
              <w:widowControl w:val="0"/>
              <w:suppressAutoHyphens/>
            </w:pPr>
            <w:r w:rsidRPr="003B4362">
              <w:t>Cadmium</w:t>
            </w:r>
          </w:p>
        </w:tc>
        <w:tc>
          <w:tcPr>
            <w:tcW w:w="1553" w:type="dxa"/>
            <w:hideMark/>
          </w:tcPr>
          <w:p w14:paraId="3CC1CEB1" w14:textId="77777777" w:rsidR="000840B6" w:rsidRPr="003B4362" w:rsidRDefault="000840B6" w:rsidP="00E7356A">
            <w:pPr>
              <w:widowControl w:val="0"/>
              <w:suppressAutoHyphens/>
            </w:pPr>
            <w:r w:rsidRPr="003B4362">
              <w:t>0.005</w:t>
            </w:r>
          </w:p>
        </w:tc>
        <w:tc>
          <w:tcPr>
            <w:tcW w:w="3106" w:type="dxa"/>
            <w:hideMark/>
          </w:tcPr>
          <w:p w14:paraId="72232EA5" w14:textId="77777777" w:rsidR="000840B6" w:rsidRPr="003B4362" w:rsidRDefault="000840B6" w:rsidP="00E7356A">
            <w:pPr>
              <w:widowControl w:val="0"/>
              <w:suppressAutoHyphens/>
            </w:pPr>
            <w:r w:rsidRPr="003B4362">
              <w:t>Atomic absorption-furnace technique</w:t>
            </w:r>
          </w:p>
        </w:tc>
        <w:tc>
          <w:tcPr>
            <w:tcW w:w="1553" w:type="dxa"/>
            <w:hideMark/>
          </w:tcPr>
          <w:p w14:paraId="4AC161AF" w14:textId="77777777" w:rsidR="000840B6" w:rsidRPr="003B4362" w:rsidRDefault="000840B6" w:rsidP="00E7356A">
            <w:pPr>
              <w:widowControl w:val="0"/>
              <w:suppressAutoHyphens/>
            </w:pPr>
            <w:r w:rsidRPr="003B4362">
              <w:t>0.0001</w:t>
            </w:r>
          </w:p>
        </w:tc>
      </w:tr>
      <w:tr w:rsidR="001628C1" w:rsidRPr="003B4362" w14:paraId="2FD41402" w14:textId="77777777" w:rsidTr="00E7356A">
        <w:tc>
          <w:tcPr>
            <w:tcW w:w="1708" w:type="dxa"/>
          </w:tcPr>
          <w:p w14:paraId="190BD5C5" w14:textId="77777777" w:rsidR="000840B6" w:rsidRPr="003B4362" w:rsidRDefault="000840B6" w:rsidP="00E7356A">
            <w:pPr>
              <w:widowControl w:val="0"/>
              <w:suppressAutoHyphens/>
            </w:pPr>
          </w:p>
        </w:tc>
        <w:tc>
          <w:tcPr>
            <w:tcW w:w="1553" w:type="dxa"/>
          </w:tcPr>
          <w:p w14:paraId="7614B11E" w14:textId="77777777" w:rsidR="000840B6" w:rsidRPr="003B4362" w:rsidRDefault="000840B6" w:rsidP="00E7356A">
            <w:pPr>
              <w:widowControl w:val="0"/>
              <w:suppressAutoHyphens/>
            </w:pPr>
          </w:p>
        </w:tc>
        <w:tc>
          <w:tcPr>
            <w:tcW w:w="3106" w:type="dxa"/>
            <w:hideMark/>
          </w:tcPr>
          <w:p w14:paraId="12DBC1D7" w14:textId="77777777" w:rsidR="000840B6" w:rsidRPr="003B4362" w:rsidRDefault="000840B6" w:rsidP="00E7356A">
            <w:pPr>
              <w:widowControl w:val="0"/>
              <w:suppressAutoHyphens/>
            </w:pPr>
            <w:r w:rsidRPr="003B4362">
              <w:t>Inductively coupled plasma</w:t>
            </w:r>
          </w:p>
        </w:tc>
        <w:tc>
          <w:tcPr>
            <w:tcW w:w="1553" w:type="dxa"/>
            <w:hideMark/>
          </w:tcPr>
          <w:p w14:paraId="13A804FD" w14:textId="77777777" w:rsidR="000840B6" w:rsidRPr="003B4362" w:rsidRDefault="000840B6" w:rsidP="00E7356A">
            <w:pPr>
              <w:widowControl w:val="0"/>
              <w:suppressAutoHyphens/>
            </w:pPr>
            <w:r w:rsidRPr="003B4362">
              <w:t>0.001</w:t>
            </w:r>
          </w:p>
        </w:tc>
      </w:tr>
      <w:tr w:rsidR="001628C1" w:rsidRPr="003B4362" w14:paraId="3BBCC741" w14:textId="77777777" w:rsidTr="00E7356A">
        <w:tc>
          <w:tcPr>
            <w:tcW w:w="1708" w:type="dxa"/>
            <w:hideMark/>
          </w:tcPr>
          <w:p w14:paraId="7610701B" w14:textId="77777777" w:rsidR="000840B6" w:rsidRPr="003B4362" w:rsidRDefault="000840B6" w:rsidP="00E7356A">
            <w:pPr>
              <w:widowControl w:val="0"/>
              <w:suppressAutoHyphens/>
            </w:pPr>
            <w:r w:rsidRPr="003B4362">
              <w:t>Chromium</w:t>
            </w:r>
          </w:p>
        </w:tc>
        <w:tc>
          <w:tcPr>
            <w:tcW w:w="1553" w:type="dxa"/>
            <w:hideMark/>
          </w:tcPr>
          <w:p w14:paraId="6FA9C4C6" w14:textId="77777777" w:rsidR="000840B6" w:rsidRPr="003B4362" w:rsidRDefault="000840B6" w:rsidP="00E7356A">
            <w:pPr>
              <w:widowControl w:val="0"/>
              <w:suppressAutoHyphens/>
            </w:pPr>
            <w:r w:rsidRPr="003B4362">
              <w:t>0.1</w:t>
            </w:r>
          </w:p>
        </w:tc>
        <w:tc>
          <w:tcPr>
            <w:tcW w:w="3106" w:type="dxa"/>
            <w:hideMark/>
          </w:tcPr>
          <w:p w14:paraId="5EEEE1A1" w14:textId="77777777" w:rsidR="000840B6" w:rsidRPr="003B4362" w:rsidRDefault="000840B6" w:rsidP="00E7356A">
            <w:pPr>
              <w:widowControl w:val="0"/>
              <w:suppressAutoHyphens/>
            </w:pPr>
            <w:r w:rsidRPr="003B4362">
              <w:t>Atomic absorption-furnace technique</w:t>
            </w:r>
          </w:p>
        </w:tc>
        <w:tc>
          <w:tcPr>
            <w:tcW w:w="1553" w:type="dxa"/>
            <w:hideMark/>
          </w:tcPr>
          <w:p w14:paraId="0D52C784" w14:textId="77777777" w:rsidR="000840B6" w:rsidRPr="003B4362" w:rsidRDefault="000840B6" w:rsidP="00E7356A">
            <w:pPr>
              <w:widowControl w:val="0"/>
              <w:suppressAutoHyphens/>
            </w:pPr>
            <w:r w:rsidRPr="003B4362">
              <w:t>0.001</w:t>
            </w:r>
          </w:p>
        </w:tc>
      </w:tr>
      <w:tr w:rsidR="001628C1" w:rsidRPr="003B4362" w14:paraId="360150D0" w14:textId="77777777" w:rsidTr="00E7356A">
        <w:tc>
          <w:tcPr>
            <w:tcW w:w="1708" w:type="dxa"/>
          </w:tcPr>
          <w:p w14:paraId="5434DA36" w14:textId="77777777" w:rsidR="000840B6" w:rsidRPr="003B4362" w:rsidRDefault="000840B6" w:rsidP="00E7356A">
            <w:pPr>
              <w:widowControl w:val="0"/>
              <w:suppressAutoHyphens/>
            </w:pPr>
          </w:p>
        </w:tc>
        <w:tc>
          <w:tcPr>
            <w:tcW w:w="1553" w:type="dxa"/>
          </w:tcPr>
          <w:p w14:paraId="0AA41C0B" w14:textId="77777777" w:rsidR="000840B6" w:rsidRPr="003B4362" w:rsidRDefault="000840B6" w:rsidP="00E7356A">
            <w:pPr>
              <w:widowControl w:val="0"/>
              <w:suppressAutoHyphens/>
            </w:pPr>
          </w:p>
        </w:tc>
        <w:tc>
          <w:tcPr>
            <w:tcW w:w="3106" w:type="dxa"/>
            <w:hideMark/>
          </w:tcPr>
          <w:p w14:paraId="54D47DFA" w14:textId="77777777" w:rsidR="000840B6" w:rsidRPr="003B4362" w:rsidRDefault="000840B6" w:rsidP="00E7356A">
            <w:pPr>
              <w:widowControl w:val="0"/>
              <w:suppressAutoHyphens/>
            </w:pPr>
            <w:r w:rsidRPr="003B4362">
              <w:t>Inductively coupled plasma</w:t>
            </w:r>
          </w:p>
        </w:tc>
        <w:tc>
          <w:tcPr>
            <w:tcW w:w="1553" w:type="dxa"/>
            <w:hideMark/>
          </w:tcPr>
          <w:p w14:paraId="76F1D18F" w14:textId="77777777" w:rsidR="000840B6" w:rsidRPr="003B4362" w:rsidRDefault="000840B6" w:rsidP="00E7356A">
            <w:pPr>
              <w:widowControl w:val="0"/>
              <w:suppressAutoHyphens/>
            </w:pPr>
            <w:r w:rsidRPr="003B4362">
              <w:t>0.007</w:t>
            </w:r>
          </w:p>
        </w:tc>
      </w:tr>
      <w:tr w:rsidR="001628C1" w:rsidRPr="003B4362" w14:paraId="3690C264" w14:textId="77777777" w:rsidTr="00E7356A">
        <w:tc>
          <w:tcPr>
            <w:tcW w:w="1708" w:type="dxa"/>
          </w:tcPr>
          <w:p w14:paraId="6B860AC2" w14:textId="77777777" w:rsidR="000840B6" w:rsidRPr="003B4362" w:rsidRDefault="000840B6" w:rsidP="00E7356A">
            <w:pPr>
              <w:widowControl w:val="0"/>
              <w:suppressAutoHyphens/>
            </w:pPr>
          </w:p>
        </w:tc>
        <w:tc>
          <w:tcPr>
            <w:tcW w:w="1553" w:type="dxa"/>
          </w:tcPr>
          <w:p w14:paraId="1057B475" w14:textId="77777777" w:rsidR="000840B6" w:rsidRPr="003B4362" w:rsidRDefault="000840B6" w:rsidP="00E7356A">
            <w:pPr>
              <w:widowControl w:val="0"/>
              <w:suppressAutoHyphens/>
            </w:pPr>
          </w:p>
        </w:tc>
        <w:tc>
          <w:tcPr>
            <w:tcW w:w="3106" w:type="dxa"/>
            <w:hideMark/>
          </w:tcPr>
          <w:p w14:paraId="0FB2A946" w14:textId="77777777" w:rsidR="000840B6" w:rsidRPr="003B4362" w:rsidRDefault="000840B6" w:rsidP="00E7356A">
            <w:pPr>
              <w:widowControl w:val="0"/>
              <w:suppressAutoHyphens/>
            </w:pPr>
            <w:r w:rsidRPr="003B4362">
              <w:t>Inductively coupled plasma</w:t>
            </w:r>
          </w:p>
        </w:tc>
        <w:tc>
          <w:tcPr>
            <w:tcW w:w="1553" w:type="dxa"/>
            <w:hideMark/>
          </w:tcPr>
          <w:p w14:paraId="5414A1D1" w14:textId="77777777" w:rsidR="000840B6" w:rsidRPr="003B4362" w:rsidRDefault="000840B6" w:rsidP="00E7356A">
            <w:pPr>
              <w:widowControl w:val="0"/>
              <w:suppressAutoHyphens/>
            </w:pPr>
            <w:r w:rsidRPr="003B4362">
              <w:t>0.001</w:t>
            </w:r>
          </w:p>
        </w:tc>
      </w:tr>
      <w:tr w:rsidR="001628C1" w:rsidRPr="003B4362" w14:paraId="4F0D8476" w14:textId="77777777" w:rsidTr="00E7356A">
        <w:tc>
          <w:tcPr>
            <w:tcW w:w="1708" w:type="dxa"/>
            <w:hideMark/>
          </w:tcPr>
          <w:p w14:paraId="6A7E4CA5" w14:textId="77777777" w:rsidR="000840B6" w:rsidRPr="003B4362" w:rsidRDefault="000840B6" w:rsidP="00E7356A">
            <w:pPr>
              <w:widowControl w:val="0"/>
              <w:suppressAutoHyphens/>
            </w:pPr>
            <w:r w:rsidRPr="003B4362">
              <w:t>Cyanide</w:t>
            </w:r>
          </w:p>
        </w:tc>
        <w:tc>
          <w:tcPr>
            <w:tcW w:w="1553" w:type="dxa"/>
            <w:hideMark/>
          </w:tcPr>
          <w:p w14:paraId="0A4F3960" w14:textId="77777777" w:rsidR="000840B6" w:rsidRPr="003B4362" w:rsidRDefault="000840B6" w:rsidP="00E7356A">
            <w:pPr>
              <w:widowControl w:val="0"/>
              <w:suppressAutoHyphens/>
            </w:pPr>
            <w:r w:rsidRPr="003B4362">
              <w:t>0.2</w:t>
            </w:r>
          </w:p>
        </w:tc>
        <w:tc>
          <w:tcPr>
            <w:tcW w:w="3106" w:type="dxa"/>
            <w:hideMark/>
          </w:tcPr>
          <w:p w14:paraId="1C58CCC7" w14:textId="77777777" w:rsidR="000840B6" w:rsidRPr="003B4362" w:rsidRDefault="000840B6" w:rsidP="00E7356A">
            <w:pPr>
              <w:widowControl w:val="0"/>
              <w:suppressAutoHyphens/>
            </w:pPr>
            <w:r w:rsidRPr="003B4362">
              <w:t>Distillation, spectrophotometric</w:t>
            </w:r>
            <w:r w:rsidRPr="003B4362">
              <w:rPr>
                <w:vertAlign w:val="superscript"/>
              </w:rPr>
              <w:t>3</w:t>
            </w:r>
          </w:p>
        </w:tc>
        <w:tc>
          <w:tcPr>
            <w:tcW w:w="1553" w:type="dxa"/>
            <w:hideMark/>
          </w:tcPr>
          <w:p w14:paraId="15B4AAEA" w14:textId="77777777" w:rsidR="000840B6" w:rsidRPr="003B4362" w:rsidRDefault="000840B6" w:rsidP="00E7356A">
            <w:pPr>
              <w:widowControl w:val="0"/>
              <w:suppressAutoHyphens/>
            </w:pPr>
            <w:r w:rsidRPr="003B4362">
              <w:t>0.02</w:t>
            </w:r>
          </w:p>
        </w:tc>
      </w:tr>
      <w:tr w:rsidR="001628C1" w:rsidRPr="003B4362" w14:paraId="3D237754" w14:textId="77777777" w:rsidTr="00E7356A">
        <w:tc>
          <w:tcPr>
            <w:tcW w:w="1708" w:type="dxa"/>
          </w:tcPr>
          <w:p w14:paraId="549F7836" w14:textId="77777777" w:rsidR="000840B6" w:rsidRPr="003B4362" w:rsidRDefault="000840B6" w:rsidP="00E7356A">
            <w:pPr>
              <w:widowControl w:val="0"/>
              <w:suppressAutoHyphens/>
            </w:pPr>
          </w:p>
        </w:tc>
        <w:tc>
          <w:tcPr>
            <w:tcW w:w="1553" w:type="dxa"/>
          </w:tcPr>
          <w:p w14:paraId="04D38530" w14:textId="77777777" w:rsidR="000840B6" w:rsidRPr="003B4362" w:rsidRDefault="000840B6" w:rsidP="00E7356A">
            <w:pPr>
              <w:widowControl w:val="0"/>
              <w:suppressAutoHyphens/>
            </w:pPr>
          </w:p>
        </w:tc>
        <w:tc>
          <w:tcPr>
            <w:tcW w:w="3106" w:type="dxa"/>
            <w:hideMark/>
          </w:tcPr>
          <w:p w14:paraId="41A9468C" w14:textId="77777777" w:rsidR="000840B6" w:rsidRPr="003B4362" w:rsidRDefault="000840B6" w:rsidP="00E7356A">
            <w:pPr>
              <w:widowControl w:val="0"/>
              <w:suppressAutoHyphens/>
            </w:pPr>
            <w:r w:rsidRPr="003B4362">
              <w:t>Automated distillation, spectrophotometric</w:t>
            </w:r>
            <w:r w:rsidRPr="003B4362">
              <w:rPr>
                <w:vertAlign w:val="superscript"/>
              </w:rPr>
              <w:t>3</w:t>
            </w:r>
          </w:p>
        </w:tc>
        <w:tc>
          <w:tcPr>
            <w:tcW w:w="1553" w:type="dxa"/>
            <w:hideMark/>
          </w:tcPr>
          <w:p w14:paraId="160446F9" w14:textId="77777777" w:rsidR="000840B6" w:rsidRPr="003B4362" w:rsidRDefault="000840B6" w:rsidP="00E7356A">
            <w:pPr>
              <w:widowControl w:val="0"/>
              <w:suppressAutoHyphens/>
            </w:pPr>
            <w:r w:rsidRPr="003B4362">
              <w:t>0.005</w:t>
            </w:r>
          </w:p>
        </w:tc>
      </w:tr>
      <w:tr w:rsidR="001628C1" w:rsidRPr="003B4362" w14:paraId="7B0CC487" w14:textId="77777777" w:rsidTr="00E7356A">
        <w:tc>
          <w:tcPr>
            <w:tcW w:w="1708" w:type="dxa"/>
          </w:tcPr>
          <w:p w14:paraId="14A5A630" w14:textId="77777777" w:rsidR="000840B6" w:rsidRPr="003B4362" w:rsidRDefault="000840B6" w:rsidP="00E7356A">
            <w:pPr>
              <w:widowControl w:val="0"/>
              <w:suppressAutoHyphens/>
            </w:pPr>
          </w:p>
        </w:tc>
        <w:tc>
          <w:tcPr>
            <w:tcW w:w="1553" w:type="dxa"/>
          </w:tcPr>
          <w:p w14:paraId="31E53CA8" w14:textId="77777777" w:rsidR="000840B6" w:rsidRPr="003B4362" w:rsidRDefault="000840B6" w:rsidP="00E7356A">
            <w:pPr>
              <w:widowControl w:val="0"/>
              <w:suppressAutoHyphens/>
            </w:pPr>
          </w:p>
        </w:tc>
        <w:tc>
          <w:tcPr>
            <w:tcW w:w="3106" w:type="dxa"/>
            <w:hideMark/>
          </w:tcPr>
          <w:p w14:paraId="4254BBDE" w14:textId="77777777" w:rsidR="000840B6" w:rsidRPr="003B4362" w:rsidRDefault="000840B6" w:rsidP="00E7356A">
            <w:pPr>
              <w:widowControl w:val="0"/>
              <w:suppressAutoHyphens/>
            </w:pPr>
            <w:r w:rsidRPr="003B4362">
              <w:t>Distillation, selective electrode</w:t>
            </w:r>
            <w:r w:rsidRPr="003B4362">
              <w:rPr>
                <w:vertAlign w:val="superscript"/>
              </w:rPr>
              <w:t>3</w:t>
            </w:r>
          </w:p>
        </w:tc>
        <w:tc>
          <w:tcPr>
            <w:tcW w:w="1553" w:type="dxa"/>
            <w:hideMark/>
          </w:tcPr>
          <w:p w14:paraId="47B80E63" w14:textId="77777777" w:rsidR="000840B6" w:rsidRPr="003B4362" w:rsidRDefault="000840B6" w:rsidP="00E7356A">
            <w:pPr>
              <w:widowControl w:val="0"/>
              <w:suppressAutoHyphens/>
            </w:pPr>
            <w:r w:rsidRPr="003B4362">
              <w:t>0.05</w:t>
            </w:r>
          </w:p>
        </w:tc>
      </w:tr>
      <w:tr w:rsidR="001628C1" w:rsidRPr="003B4362" w14:paraId="1DF83B83" w14:textId="77777777" w:rsidTr="00E7356A">
        <w:tc>
          <w:tcPr>
            <w:tcW w:w="1708" w:type="dxa"/>
          </w:tcPr>
          <w:p w14:paraId="33DC63B5" w14:textId="77777777" w:rsidR="000840B6" w:rsidRPr="003B4362" w:rsidRDefault="000840B6" w:rsidP="00E7356A">
            <w:pPr>
              <w:widowControl w:val="0"/>
              <w:suppressAutoHyphens/>
            </w:pPr>
          </w:p>
        </w:tc>
        <w:tc>
          <w:tcPr>
            <w:tcW w:w="1553" w:type="dxa"/>
          </w:tcPr>
          <w:p w14:paraId="28E9E98D" w14:textId="77777777" w:rsidR="000840B6" w:rsidRPr="003B4362" w:rsidRDefault="000840B6" w:rsidP="00E7356A">
            <w:pPr>
              <w:widowControl w:val="0"/>
              <w:suppressAutoHyphens/>
            </w:pPr>
          </w:p>
        </w:tc>
        <w:tc>
          <w:tcPr>
            <w:tcW w:w="3106" w:type="dxa"/>
            <w:hideMark/>
          </w:tcPr>
          <w:p w14:paraId="30B1950C" w14:textId="77777777" w:rsidR="000840B6" w:rsidRPr="003B4362" w:rsidRDefault="000840B6" w:rsidP="00E7356A">
            <w:pPr>
              <w:widowControl w:val="0"/>
              <w:suppressAutoHyphens/>
            </w:pPr>
            <w:r w:rsidRPr="003B4362">
              <w:t>Distillation, amenable, spectrophotometric</w:t>
            </w:r>
            <w:r w:rsidRPr="003B4362">
              <w:rPr>
                <w:vertAlign w:val="superscript"/>
              </w:rPr>
              <w:t>4</w:t>
            </w:r>
          </w:p>
        </w:tc>
        <w:tc>
          <w:tcPr>
            <w:tcW w:w="1553" w:type="dxa"/>
            <w:hideMark/>
          </w:tcPr>
          <w:p w14:paraId="27AFCA7F" w14:textId="77777777" w:rsidR="000840B6" w:rsidRPr="003B4362" w:rsidRDefault="000840B6" w:rsidP="00E7356A">
            <w:pPr>
              <w:widowControl w:val="0"/>
              <w:suppressAutoHyphens/>
            </w:pPr>
            <w:r w:rsidRPr="003B4362">
              <w:t>0.02</w:t>
            </w:r>
          </w:p>
        </w:tc>
      </w:tr>
      <w:tr w:rsidR="001628C1" w:rsidRPr="003B4362" w14:paraId="26E6F306" w14:textId="77777777" w:rsidTr="00E7356A">
        <w:tc>
          <w:tcPr>
            <w:tcW w:w="1708" w:type="dxa"/>
          </w:tcPr>
          <w:p w14:paraId="570FCE1B" w14:textId="77777777" w:rsidR="000840B6" w:rsidRPr="003B4362" w:rsidRDefault="000840B6" w:rsidP="00E7356A">
            <w:pPr>
              <w:widowControl w:val="0"/>
              <w:suppressAutoHyphens/>
            </w:pPr>
          </w:p>
        </w:tc>
        <w:tc>
          <w:tcPr>
            <w:tcW w:w="1553" w:type="dxa"/>
          </w:tcPr>
          <w:p w14:paraId="1462C085" w14:textId="77777777" w:rsidR="000840B6" w:rsidRPr="003B4362" w:rsidRDefault="000840B6" w:rsidP="00E7356A">
            <w:pPr>
              <w:widowControl w:val="0"/>
              <w:suppressAutoHyphens/>
            </w:pPr>
          </w:p>
        </w:tc>
        <w:tc>
          <w:tcPr>
            <w:tcW w:w="3106" w:type="dxa"/>
            <w:hideMark/>
          </w:tcPr>
          <w:p w14:paraId="2B807892" w14:textId="77777777" w:rsidR="000840B6" w:rsidRPr="003B4362" w:rsidRDefault="000840B6" w:rsidP="00E7356A">
            <w:pPr>
              <w:widowControl w:val="0"/>
              <w:suppressAutoHyphens/>
            </w:pPr>
            <w:r w:rsidRPr="003B4362">
              <w:t>UV, distillation, spectrophotometric</w:t>
            </w:r>
            <w:r w:rsidRPr="003B4362">
              <w:rPr>
                <w:vertAlign w:val="superscript"/>
              </w:rPr>
              <w:t>8</w:t>
            </w:r>
          </w:p>
        </w:tc>
        <w:tc>
          <w:tcPr>
            <w:tcW w:w="1553" w:type="dxa"/>
            <w:hideMark/>
          </w:tcPr>
          <w:p w14:paraId="7A9E531A" w14:textId="77777777" w:rsidR="000840B6" w:rsidRPr="003B4362" w:rsidRDefault="000840B6" w:rsidP="00E7356A">
            <w:pPr>
              <w:widowControl w:val="0"/>
              <w:suppressAutoHyphens/>
            </w:pPr>
            <w:r w:rsidRPr="003B4362">
              <w:t>0.0005</w:t>
            </w:r>
          </w:p>
        </w:tc>
      </w:tr>
      <w:tr w:rsidR="001628C1" w:rsidRPr="003B4362" w14:paraId="1B64080E" w14:textId="77777777" w:rsidTr="00E7356A">
        <w:tc>
          <w:tcPr>
            <w:tcW w:w="1708" w:type="dxa"/>
          </w:tcPr>
          <w:p w14:paraId="0505FA49" w14:textId="77777777" w:rsidR="000840B6" w:rsidRPr="003B4362" w:rsidRDefault="000840B6" w:rsidP="00E7356A">
            <w:pPr>
              <w:widowControl w:val="0"/>
              <w:suppressAutoHyphens/>
            </w:pPr>
          </w:p>
        </w:tc>
        <w:tc>
          <w:tcPr>
            <w:tcW w:w="1553" w:type="dxa"/>
          </w:tcPr>
          <w:p w14:paraId="515F7279" w14:textId="77777777" w:rsidR="000840B6" w:rsidRPr="003B4362" w:rsidRDefault="000840B6" w:rsidP="00E7356A">
            <w:pPr>
              <w:widowControl w:val="0"/>
              <w:suppressAutoHyphens/>
            </w:pPr>
          </w:p>
        </w:tc>
        <w:tc>
          <w:tcPr>
            <w:tcW w:w="3106" w:type="dxa"/>
            <w:hideMark/>
          </w:tcPr>
          <w:p w14:paraId="55B76F63" w14:textId="77777777" w:rsidR="000840B6" w:rsidRPr="003B4362" w:rsidRDefault="000840B6" w:rsidP="00E7356A">
            <w:pPr>
              <w:widowControl w:val="0"/>
              <w:suppressAutoHyphens/>
            </w:pPr>
            <w:r w:rsidRPr="003B4362">
              <w:t>Micro distillation, flow injection, spectrophotometric</w:t>
            </w:r>
            <w:r w:rsidRPr="003B4362">
              <w:rPr>
                <w:vertAlign w:val="superscript"/>
              </w:rPr>
              <w:t>3</w:t>
            </w:r>
          </w:p>
        </w:tc>
        <w:tc>
          <w:tcPr>
            <w:tcW w:w="1553" w:type="dxa"/>
            <w:hideMark/>
          </w:tcPr>
          <w:p w14:paraId="79390439" w14:textId="77777777" w:rsidR="000840B6" w:rsidRPr="003B4362" w:rsidRDefault="000840B6" w:rsidP="00E7356A">
            <w:pPr>
              <w:widowControl w:val="0"/>
              <w:suppressAutoHyphens/>
            </w:pPr>
            <w:r w:rsidRPr="003B4362">
              <w:t>0.0006</w:t>
            </w:r>
          </w:p>
        </w:tc>
      </w:tr>
      <w:tr w:rsidR="001628C1" w:rsidRPr="003B4362" w14:paraId="1ADFA88A" w14:textId="77777777" w:rsidTr="00E7356A">
        <w:tc>
          <w:tcPr>
            <w:tcW w:w="1708" w:type="dxa"/>
          </w:tcPr>
          <w:p w14:paraId="6795B29D" w14:textId="77777777" w:rsidR="000840B6" w:rsidRPr="003B4362" w:rsidRDefault="000840B6" w:rsidP="00E7356A">
            <w:pPr>
              <w:widowControl w:val="0"/>
              <w:suppressAutoHyphens/>
            </w:pPr>
          </w:p>
        </w:tc>
        <w:tc>
          <w:tcPr>
            <w:tcW w:w="1553" w:type="dxa"/>
          </w:tcPr>
          <w:p w14:paraId="74F20D58" w14:textId="77777777" w:rsidR="000840B6" w:rsidRPr="003B4362" w:rsidRDefault="000840B6" w:rsidP="00E7356A">
            <w:pPr>
              <w:widowControl w:val="0"/>
              <w:suppressAutoHyphens/>
            </w:pPr>
          </w:p>
        </w:tc>
        <w:tc>
          <w:tcPr>
            <w:tcW w:w="3106" w:type="dxa"/>
            <w:hideMark/>
          </w:tcPr>
          <w:p w14:paraId="04F6E0C8" w14:textId="77777777" w:rsidR="000840B6" w:rsidRPr="003B4362" w:rsidRDefault="000840B6" w:rsidP="00E7356A">
            <w:pPr>
              <w:widowControl w:val="0"/>
              <w:suppressAutoHyphens/>
            </w:pPr>
            <w:r w:rsidRPr="003B4362">
              <w:t>Ligand exchange with amperometry</w:t>
            </w:r>
            <w:r w:rsidRPr="003B4362">
              <w:rPr>
                <w:vertAlign w:val="superscript"/>
              </w:rPr>
              <w:t>4</w:t>
            </w:r>
          </w:p>
        </w:tc>
        <w:tc>
          <w:tcPr>
            <w:tcW w:w="1553" w:type="dxa"/>
            <w:hideMark/>
          </w:tcPr>
          <w:p w14:paraId="0E1A1D38" w14:textId="77777777" w:rsidR="000840B6" w:rsidRPr="003B4362" w:rsidRDefault="000840B6" w:rsidP="00E7356A">
            <w:pPr>
              <w:widowControl w:val="0"/>
              <w:suppressAutoHyphens/>
            </w:pPr>
            <w:r w:rsidRPr="003B4362">
              <w:t>0.0005</w:t>
            </w:r>
          </w:p>
        </w:tc>
      </w:tr>
      <w:tr w:rsidR="001628C1" w:rsidRPr="003B4362" w14:paraId="3A61DAA7" w14:textId="77777777" w:rsidTr="00E7356A">
        <w:tc>
          <w:tcPr>
            <w:tcW w:w="1708" w:type="dxa"/>
            <w:hideMark/>
          </w:tcPr>
          <w:p w14:paraId="11517CA5" w14:textId="77777777" w:rsidR="000840B6" w:rsidRPr="003B4362" w:rsidRDefault="000840B6" w:rsidP="00E7356A">
            <w:pPr>
              <w:widowControl w:val="0"/>
              <w:suppressAutoHyphens/>
            </w:pPr>
            <w:r w:rsidRPr="003B4362">
              <w:t>Mercury</w:t>
            </w:r>
          </w:p>
        </w:tc>
        <w:tc>
          <w:tcPr>
            <w:tcW w:w="1553" w:type="dxa"/>
            <w:hideMark/>
          </w:tcPr>
          <w:p w14:paraId="7E27767E" w14:textId="77777777" w:rsidR="000840B6" w:rsidRPr="003B4362" w:rsidRDefault="000840B6" w:rsidP="00E7356A">
            <w:pPr>
              <w:widowControl w:val="0"/>
              <w:suppressAutoHyphens/>
            </w:pPr>
            <w:r w:rsidRPr="003B4362">
              <w:t>0.002</w:t>
            </w:r>
          </w:p>
        </w:tc>
        <w:tc>
          <w:tcPr>
            <w:tcW w:w="3106" w:type="dxa"/>
            <w:hideMark/>
          </w:tcPr>
          <w:p w14:paraId="4AF9B496" w14:textId="77777777" w:rsidR="000840B6" w:rsidRPr="003B4362" w:rsidRDefault="000840B6" w:rsidP="00E7356A">
            <w:pPr>
              <w:widowControl w:val="0"/>
              <w:suppressAutoHyphens/>
            </w:pPr>
            <w:r w:rsidRPr="003B4362">
              <w:t>Manual cold vapor technique</w:t>
            </w:r>
          </w:p>
        </w:tc>
        <w:tc>
          <w:tcPr>
            <w:tcW w:w="1553" w:type="dxa"/>
            <w:hideMark/>
          </w:tcPr>
          <w:p w14:paraId="6891BF39" w14:textId="77777777" w:rsidR="000840B6" w:rsidRPr="003B4362" w:rsidRDefault="000840B6" w:rsidP="00E7356A">
            <w:pPr>
              <w:widowControl w:val="0"/>
              <w:suppressAutoHyphens/>
            </w:pPr>
            <w:r w:rsidRPr="003B4362">
              <w:t>0.0002</w:t>
            </w:r>
          </w:p>
        </w:tc>
      </w:tr>
      <w:tr w:rsidR="001628C1" w:rsidRPr="003B4362" w14:paraId="037126C3" w14:textId="77777777" w:rsidTr="00E7356A">
        <w:tc>
          <w:tcPr>
            <w:tcW w:w="1708" w:type="dxa"/>
          </w:tcPr>
          <w:p w14:paraId="570E168D" w14:textId="77777777" w:rsidR="000840B6" w:rsidRPr="003B4362" w:rsidRDefault="000840B6" w:rsidP="00E7356A">
            <w:pPr>
              <w:widowControl w:val="0"/>
              <w:suppressAutoHyphens/>
            </w:pPr>
          </w:p>
        </w:tc>
        <w:tc>
          <w:tcPr>
            <w:tcW w:w="1553" w:type="dxa"/>
          </w:tcPr>
          <w:p w14:paraId="52840FEA" w14:textId="77777777" w:rsidR="000840B6" w:rsidRPr="003B4362" w:rsidRDefault="000840B6" w:rsidP="00E7356A">
            <w:pPr>
              <w:widowControl w:val="0"/>
              <w:suppressAutoHyphens/>
            </w:pPr>
          </w:p>
        </w:tc>
        <w:tc>
          <w:tcPr>
            <w:tcW w:w="3106" w:type="dxa"/>
            <w:hideMark/>
          </w:tcPr>
          <w:p w14:paraId="2F63650B" w14:textId="77777777" w:rsidR="000840B6" w:rsidRPr="003B4362" w:rsidRDefault="000840B6" w:rsidP="00E7356A">
            <w:pPr>
              <w:widowControl w:val="0"/>
              <w:suppressAutoHyphens/>
            </w:pPr>
            <w:r w:rsidRPr="003B4362">
              <w:t>Automated cold vapor technique</w:t>
            </w:r>
          </w:p>
        </w:tc>
        <w:tc>
          <w:tcPr>
            <w:tcW w:w="1553" w:type="dxa"/>
            <w:hideMark/>
          </w:tcPr>
          <w:p w14:paraId="13281317" w14:textId="77777777" w:rsidR="000840B6" w:rsidRPr="003B4362" w:rsidRDefault="000840B6" w:rsidP="00E7356A">
            <w:pPr>
              <w:widowControl w:val="0"/>
              <w:suppressAutoHyphens/>
            </w:pPr>
            <w:r w:rsidRPr="003B4362">
              <w:t>0.0002</w:t>
            </w:r>
          </w:p>
        </w:tc>
      </w:tr>
      <w:tr w:rsidR="001628C1" w:rsidRPr="003B4362" w14:paraId="3A6DAFD3" w14:textId="77777777" w:rsidTr="00E7356A">
        <w:tc>
          <w:tcPr>
            <w:tcW w:w="1708" w:type="dxa"/>
            <w:hideMark/>
          </w:tcPr>
          <w:p w14:paraId="26E8AC4E" w14:textId="77777777" w:rsidR="000840B6" w:rsidRPr="003B4362" w:rsidRDefault="000840B6" w:rsidP="00E7356A">
            <w:pPr>
              <w:widowControl w:val="0"/>
              <w:suppressAutoHyphens/>
            </w:pPr>
            <w:r w:rsidRPr="003B4362">
              <w:t>Nickel</w:t>
            </w:r>
          </w:p>
        </w:tc>
        <w:tc>
          <w:tcPr>
            <w:tcW w:w="1553" w:type="dxa"/>
            <w:hideMark/>
          </w:tcPr>
          <w:p w14:paraId="4726FF48" w14:textId="77777777" w:rsidR="000840B6" w:rsidRPr="003B4362" w:rsidRDefault="000840B6" w:rsidP="00E7356A">
            <w:pPr>
              <w:widowControl w:val="0"/>
              <w:suppressAutoHyphens/>
            </w:pPr>
            <w:r w:rsidRPr="003B4362">
              <w:t>No MCL</w:t>
            </w:r>
          </w:p>
        </w:tc>
        <w:tc>
          <w:tcPr>
            <w:tcW w:w="3106" w:type="dxa"/>
            <w:hideMark/>
          </w:tcPr>
          <w:p w14:paraId="3E1C49EB" w14:textId="77777777" w:rsidR="000840B6" w:rsidRPr="003B4362" w:rsidRDefault="000840B6" w:rsidP="00E7356A">
            <w:pPr>
              <w:widowControl w:val="0"/>
              <w:suppressAutoHyphens/>
            </w:pPr>
            <w:r w:rsidRPr="003B4362">
              <w:t>Atomic absorption-furnace technique</w:t>
            </w:r>
          </w:p>
        </w:tc>
        <w:tc>
          <w:tcPr>
            <w:tcW w:w="1553" w:type="dxa"/>
            <w:hideMark/>
          </w:tcPr>
          <w:p w14:paraId="5E4C9143" w14:textId="77777777" w:rsidR="000840B6" w:rsidRPr="003B4362" w:rsidRDefault="000840B6" w:rsidP="00E7356A">
            <w:pPr>
              <w:widowControl w:val="0"/>
              <w:suppressAutoHyphens/>
            </w:pPr>
            <w:r w:rsidRPr="003B4362">
              <w:t>0.001</w:t>
            </w:r>
          </w:p>
        </w:tc>
      </w:tr>
      <w:tr w:rsidR="001628C1" w:rsidRPr="003B4362" w14:paraId="7210E931" w14:textId="77777777" w:rsidTr="00E7356A">
        <w:tc>
          <w:tcPr>
            <w:tcW w:w="1708" w:type="dxa"/>
          </w:tcPr>
          <w:p w14:paraId="1CFF0E7E" w14:textId="77777777" w:rsidR="000840B6" w:rsidRPr="003B4362" w:rsidRDefault="000840B6" w:rsidP="00E7356A">
            <w:pPr>
              <w:widowControl w:val="0"/>
              <w:suppressAutoHyphens/>
            </w:pPr>
          </w:p>
        </w:tc>
        <w:tc>
          <w:tcPr>
            <w:tcW w:w="1553" w:type="dxa"/>
          </w:tcPr>
          <w:p w14:paraId="7FDBAD45" w14:textId="77777777" w:rsidR="000840B6" w:rsidRPr="003B4362" w:rsidRDefault="000840B6" w:rsidP="00E7356A">
            <w:pPr>
              <w:widowControl w:val="0"/>
              <w:suppressAutoHyphens/>
            </w:pPr>
          </w:p>
        </w:tc>
        <w:tc>
          <w:tcPr>
            <w:tcW w:w="3106" w:type="dxa"/>
            <w:hideMark/>
          </w:tcPr>
          <w:p w14:paraId="2993246F"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0CE96D40" w14:textId="77777777" w:rsidR="000840B6" w:rsidRPr="003B4362" w:rsidRDefault="000840B6" w:rsidP="00E7356A">
            <w:pPr>
              <w:widowControl w:val="0"/>
              <w:suppressAutoHyphens/>
            </w:pPr>
            <w:r w:rsidRPr="003B4362">
              <w:t>0.0006</w:t>
            </w:r>
            <w:r w:rsidRPr="003B4362">
              <w:rPr>
                <w:vertAlign w:val="superscript"/>
              </w:rPr>
              <w:t>5</w:t>
            </w:r>
          </w:p>
        </w:tc>
      </w:tr>
      <w:tr w:rsidR="001628C1" w:rsidRPr="003B4362" w14:paraId="091CC494" w14:textId="77777777" w:rsidTr="00E7356A">
        <w:tc>
          <w:tcPr>
            <w:tcW w:w="1708" w:type="dxa"/>
          </w:tcPr>
          <w:p w14:paraId="0DCEFECE" w14:textId="77777777" w:rsidR="000840B6" w:rsidRPr="003B4362" w:rsidRDefault="000840B6" w:rsidP="00E7356A">
            <w:pPr>
              <w:widowControl w:val="0"/>
              <w:suppressAutoHyphens/>
            </w:pPr>
          </w:p>
        </w:tc>
        <w:tc>
          <w:tcPr>
            <w:tcW w:w="1553" w:type="dxa"/>
          </w:tcPr>
          <w:p w14:paraId="5911DE01" w14:textId="77777777" w:rsidR="000840B6" w:rsidRPr="003B4362" w:rsidRDefault="000840B6" w:rsidP="00E7356A">
            <w:pPr>
              <w:widowControl w:val="0"/>
              <w:suppressAutoHyphens/>
            </w:pPr>
          </w:p>
        </w:tc>
        <w:tc>
          <w:tcPr>
            <w:tcW w:w="3106" w:type="dxa"/>
            <w:hideMark/>
          </w:tcPr>
          <w:p w14:paraId="1D7EBCE8" w14:textId="77777777" w:rsidR="000840B6" w:rsidRPr="003B4362" w:rsidRDefault="000840B6" w:rsidP="00E7356A">
            <w:pPr>
              <w:widowControl w:val="0"/>
              <w:suppressAutoHyphens/>
            </w:pPr>
            <w:r w:rsidRPr="003B4362">
              <w:t>Inductively coupled plasma</w:t>
            </w:r>
            <w:r w:rsidRPr="003B4362">
              <w:rPr>
                <w:vertAlign w:val="superscript"/>
              </w:rPr>
              <w:t>2</w:t>
            </w:r>
          </w:p>
        </w:tc>
        <w:tc>
          <w:tcPr>
            <w:tcW w:w="1553" w:type="dxa"/>
            <w:hideMark/>
          </w:tcPr>
          <w:p w14:paraId="2221E361" w14:textId="77777777" w:rsidR="000840B6" w:rsidRPr="003B4362" w:rsidRDefault="000840B6" w:rsidP="00E7356A">
            <w:pPr>
              <w:widowControl w:val="0"/>
              <w:suppressAutoHyphens/>
            </w:pPr>
            <w:r w:rsidRPr="003B4362">
              <w:t>0.005</w:t>
            </w:r>
          </w:p>
        </w:tc>
      </w:tr>
      <w:tr w:rsidR="001628C1" w:rsidRPr="003B4362" w14:paraId="202B8760" w14:textId="77777777" w:rsidTr="00E7356A">
        <w:tc>
          <w:tcPr>
            <w:tcW w:w="1708" w:type="dxa"/>
          </w:tcPr>
          <w:p w14:paraId="2FAE080E" w14:textId="77777777" w:rsidR="000840B6" w:rsidRPr="003B4362" w:rsidRDefault="000840B6" w:rsidP="00E7356A">
            <w:pPr>
              <w:widowControl w:val="0"/>
              <w:suppressAutoHyphens/>
            </w:pPr>
          </w:p>
        </w:tc>
        <w:tc>
          <w:tcPr>
            <w:tcW w:w="1553" w:type="dxa"/>
          </w:tcPr>
          <w:p w14:paraId="4277D3F5" w14:textId="77777777" w:rsidR="000840B6" w:rsidRPr="003B4362" w:rsidRDefault="000840B6" w:rsidP="00E7356A">
            <w:pPr>
              <w:widowControl w:val="0"/>
              <w:suppressAutoHyphens/>
            </w:pPr>
          </w:p>
        </w:tc>
        <w:tc>
          <w:tcPr>
            <w:tcW w:w="3106" w:type="dxa"/>
            <w:hideMark/>
          </w:tcPr>
          <w:p w14:paraId="0A0B33CD" w14:textId="77777777" w:rsidR="000840B6" w:rsidRPr="003B4362" w:rsidRDefault="000840B6" w:rsidP="00E7356A">
            <w:pPr>
              <w:widowControl w:val="0"/>
              <w:suppressAutoHyphens/>
            </w:pPr>
            <w:r w:rsidRPr="003B4362">
              <w:t>Inductively coupled plasma-mass spectrometry</w:t>
            </w:r>
          </w:p>
        </w:tc>
        <w:tc>
          <w:tcPr>
            <w:tcW w:w="1553" w:type="dxa"/>
            <w:hideMark/>
          </w:tcPr>
          <w:p w14:paraId="6ACEF21F" w14:textId="77777777" w:rsidR="000840B6" w:rsidRPr="003B4362" w:rsidRDefault="000840B6" w:rsidP="00E7356A">
            <w:pPr>
              <w:widowControl w:val="0"/>
              <w:suppressAutoHyphens/>
            </w:pPr>
            <w:r w:rsidRPr="003B4362">
              <w:t>0.0005</w:t>
            </w:r>
          </w:p>
        </w:tc>
      </w:tr>
      <w:tr w:rsidR="001628C1" w:rsidRPr="003B4362" w14:paraId="5869C7A5" w14:textId="77777777" w:rsidTr="00E7356A">
        <w:tc>
          <w:tcPr>
            <w:tcW w:w="1708" w:type="dxa"/>
            <w:hideMark/>
          </w:tcPr>
          <w:p w14:paraId="40F527F2" w14:textId="77777777" w:rsidR="000840B6" w:rsidRPr="003B4362" w:rsidRDefault="000840B6" w:rsidP="00E7356A">
            <w:pPr>
              <w:widowControl w:val="0"/>
              <w:suppressAutoHyphens/>
            </w:pPr>
            <w:r w:rsidRPr="003B4362">
              <w:t>Nitrate (as N)</w:t>
            </w:r>
          </w:p>
        </w:tc>
        <w:tc>
          <w:tcPr>
            <w:tcW w:w="1553" w:type="dxa"/>
            <w:hideMark/>
          </w:tcPr>
          <w:p w14:paraId="180A3FFD" w14:textId="77777777" w:rsidR="000840B6" w:rsidRPr="003B4362" w:rsidRDefault="000840B6" w:rsidP="00E7356A">
            <w:pPr>
              <w:widowControl w:val="0"/>
              <w:suppressAutoHyphens/>
            </w:pPr>
            <w:r w:rsidRPr="003B4362">
              <w:t>10</w:t>
            </w:r>
          </w:p>
        </w:tc>
        <w:tc>
          <w:tcPr>
            <w:tcW w:w="3106" w:type="dxa"/>
            <w:hideMark/>
          </w:tcPr>
          <w:p w14:paraId="5C4594EA" w14:textId="77777777" w:rsidR="000840B6" w:rsidRPr="003B4362" w:rsidRDefault="000840B6" w:rsidP="00E7356A">
            <w:pPr>
              <w:widowControl w:val="0"/>
              <w:suppressAutoHyphens/>
            </w:pPr>
            <w:r w:rsidRPr="003B4362">
              <w:t>Manual cadmium reduction</w:t>
            </w:r>
          </w:p>
        </w:tc>
        <w:tc>
          <w:tcPr>
            <w:tcW w:w="1553" w:type="dxa"/>
            <w:hideMark/>
          </w:tcPr>
          <w:p w14:paraId="746EC433" w14:textId="77777777" w:rsidR="000840B6" w:rsidRPr="003B4362" w:rsidRDefault="000840B6" w:rsidP="00E7356A">
            <w:pPr>
              <w:widowControl w:val="0"/>
              <w:suppressAutoHyphens/>
            </w:pPr>
            <w:r w:rsidRPr="003B4362">
              <w:t>0.01</w:t>
            </w:r>
          </w:p>
        </w:tc>
      </w:tr>
      <w:tr w:rsidR="001628C1" w:rsidRPr="003B4362" w14:paraId="24B7029C" w14:textId="77777777" w:rsidTr="00E7356A">
        <w:tc>
          <w:tcPr>
            <w:tcW w:w="1708" w:type="dxa"/>
          </w:tcPr>
          <w:p w14:paraId="6D1CED2A" w14:textId="77777777" w:rsidR="000840B6" w:rsidRPr="003B4362" w:rsidRDefault="000840B6" w:rsidP="00E7356A">
            <w:pPr>
              <w:widowControl w:val="0"/>
              <w:suppressAutoHyphens/>
            </w:pPr>
          </w:p>
        </w:tc>
        <w:tc>
          <w:tcPr>
            <w:tcW w:w="1553" w:type="dxa"/>
          </w:tcPr>
          <w:p w14:paraId="09C35780" w14:textId="77777777" w:rsidR="000840B6" w:rsidRPr="003B4362" w:rsidRDefault="000840B6" w:rsidP="00E7356A">
            <w:pPr>
              <w:widowControl w:val="0"/>
              <w:suppressAutoHyphens/>
            </w:pPr>
          </w:p>
        </w:tc>
        <w:tc>
          <w:tcPr>
            <w:tcW w:w="3106" w:type="dxa"/>
            <w:hideMark/>
          </w:tcPr>
          <w:p w14:paraId="26008B10" w14:textId="77777777" w:rsidR="000840B6" w:rsidRPr="003B4362" w:rsidRDefault="000840B6" w:rsidP="00E7356A">
            <w:pPr>
              <w:widowControl w:val="0"/>
              <w:suppressAutoHyphens/>
            </w:pPr>
            <w:r w:rsidRPr="003B4362">
              <w:t>Automated hydrazine reduction</w:t>
            </w:r>
          </w:p>
        </w:tc>
        <w:tc>
          <w:tcPr>
            <w:tcW w:w="1553" w:type="dxa"/>
            <w:hideMark/>
          </w:tcPr>
          <w:p w14:paraId="7DE3BC2D" w14:textId="77777777" w:rsidR="000840B6" w:rsidRPr="003B4362" w:rsidRDefault="000840B6" w:rsidP="00E7356A">
            <w:pPr>
              <w:widowControl w:val="0"/>
              <w:suppressAutoHyphens/>
            </w:pPr>
            <w:r w:rsidRPr="003B4362">
              <w:t>0.01</w:t>
            </w:r>
          </w:p>
        </w:tc>
      </w:tr>
      <w:tr w:rsidR="001628C1" w:rsidRPr="003B4362" w14:paraId="4BAF68FA" w14:textId="77777777" w:rsidTr="00E7356A">
        <w:tc>
          <w:tcPr>
            <w:tcW w:w="1708" w:type="dxa"/>
          </w:tcPr>
          <w:p w14:paraId="1BEBE2AE" w14:textId="77777777" w:rsidR="000840B6" w:rsidRPr="003B4362" w:rsidRDefault="000840B6" w:rsidP="00E7356A">
            <w:pPr>
              <w:widowControl w:val="0"/>
              <w:suppressAutoHyphens/>
            </w:pPr>
          </w:p>
        </w:tc>
        <w:tc>
          <w:tcPr>
            <w:tcW w:w="1553" w:type="dxa"/>
          </w:tcPr>
          <w:p w14:paraId="4363F60B" w14:textId="77777777" w:rsidR="000840B6" w:rsidRPr="003B4362" w:rsidRDefault="000840B6" w:rsidP="00E7356A">
            <w:pPr>
              <w:widowControl w:val="0"/>
              <w:suppressAutoHyphens/>
            </w:pPr>
          </w:p>
        </w:tc>
        <w:tc>
          <w:tcPr>
            <w:tcW w:w="3106" w:type="dxa"/>
            <w:hideMark/>
          </w:tcPr>
          <w:p w14:paraId="6CE2CCC0" w14:textId="77777777" w:rsidR="000840B6" w:rsidRPr="003B4362" w:rsidRDefault="000840B6" w:rsidP="00E7356A">
            <w:pPr>
              <w:widowControl w:val="0"/>
              <w:suppressAutoHyphens/>
            </w:pPr>
            <w:r w:rsidRPr="003B4362">
              <w:t xml:space="preserve">Automated cadmium </w:t>
            </w:r>
            <w:r w:rsidRPr="003B4362">
              <w:lastRenderedPageBreak/>
              <w:t>reduction</w:t>
            </w:r>
          </w:p>
        </w:tc>
        <w:tc>
          <w:tcPr>
            <w:tcW w:w="1553" w:type="dxa"/>
            <w:hideMark/>
          </w:tcPr>
          <w:p w14:paraId="53D5C9E6" w14:textId="77777777" w:rsidR="000840B6" w:rsidRPr="003B4362" w:rsidRDefault="000840B6" w:rsidP="00E7356A">
            <w:pPr>
              <w:widowControl w:val="0"/>
              <w:suppressAutoHyphens/>
            </w:pPr>
            <w:r w:rsidRPr="003B4362">
              <w:lastRenderedPageBreak/>
              <w:t>0.05</w:t>
            </w:r>
          </w:p>
        </w:tc>
      </w:tr>
      <w:tr w:rsidR="001628C1" w:rsidRPr="003B4362" w14:paraId="32D7ED62" w14:textId="77777777" w:rsidTr="00E7356A">
        <w:tc>
          <w:tcPr>
            <w:tcW w:w="1708" w:type="dxa"/>
          </w:tcPr>
          <w:p w14:paraId="235B124B" w14:textId="77777777" w:rsidR="000840B6" w:rsidRPr="003B4362" w:rsidRDefault="000840B6" w:rsidP="00E7356A">
            <w:pPr>
              <w:widowControl w:val="0"/>
              <w:suppressAutoHyphens/>
            </w:pPr>
          </w:p>
        </w:tc>
        <w:tc>
          <w:tcPr>
            <w:tcW w:w="1553" w:type="dxa"/>
          </w:tcPr>
          <w:p w14:paraId="77D9880E" w14:textId="77777777" w:rsidR="000840B6" w:rsidRPr="003B4362" w:rsidRDefault="000840B6" w:rsidP="00E7356A">
            <w:pPr>
              <w:widowControl w:val="0"/>
              <w:suppressAutoHyphens/>
            </w:pPr>
          </w:p>
        </w:tc>
        <w:tc>
          <w:tcPr>
            <w:tcW w:w="3106" w:type="dxa"/>
            <w:hideMark/>
          </w:tcPr>
          <w:p w14:paraId="6F4585DB" w14:textId="77777777" w:rsidR="000840B6" w:rsidRPr="003B4362" w:rsidRDefault="000840B6" w:rsidP="00E7356A">
            <w:pPr>
              <w:widowControl w:val="0"/>
              <w:suppressAutoHyphens/>
            </w:pPr>
            <w:r w:rsidRPr="003B4362">
              <w:t>Ion-selective electrode</w:t>
            </w:r>
          </w:p>
        </w:tc>
        <w:tc>
          <w:tcPr>
            <w:tcW w:w="1553" w:type="dxa"/>
            <w:hideMark/>
          </w:tcPr>
          <w:p w14:paraId="592D1DAA" w14:textId="77777777" w:rsidR="000840B6" w:rsidRPr="003B4362" w:rsidRDefault="000840B6" w:rsidP="00E7356A">
            <w:pPr>
              <w:widowControl w:val="0"/>
              <w:suppressAutoHyphens/>
            </w:pPr>
            <w:r w:rsidRPr="003B4362">
              <w:t>1</w:t>
            </w:r>
          </w:p>
        </w:tc>
      </w:tr>
      <w:tr w:rsidR="001628C1" w:rsidRPr="003B4362" w14:paraId="17AC15B2" w14:textId="77777777" w:rsidTr="00E7356A">
        <w:tc>
          <w:tcPr>
            <w:tcW w:w="1708" w:type="dxa"/>
          </w:tcPr>
          <w:p w14:paraId="20BA8E4A" w14:textId="77777777" w:rsidR="000840B6" w:rsidRPr="003B4362" w:rsidRDefault="000840B6" w:rsidP="00E7356A">
            <w:pPr>
              <w:widowControl w:val="0"/>
              <w:suppressAutoHyphens/>
            </w:pPr>
          </w:p>
        </w:tc>
        <w:tc>
          <w:tcPr>
            <w:tcW w:w="1553" w:type="dxa"/>
          </w:tcPr>
          <w:p w14:paraId="2FF15D83" w14:textId="77777777" w:rsidR="000840B6" w:rsidRPr="003B4362" w:rsidRDefault="000840B6" w:rsidP="00E7356A">
            <w:pPr>
              <w:widowControl w:val="0"/>
              <w:suppressAutoHyphens/>
            </w:pPr>
          </w:p>
        </w:tc>
        <w:tc>
          <w:tcPr>
            <w:tcW w:w="3106" w:type="dxa"/>
            <w:hideMark/>
          </w:tcPr>
          <w:p w14:paraId="599D4002" w14:textId="77777777" w:rsidR="000840B6" w:rsidRPr="003B4362" w:rsidRDefault="000840B6" w:rsidP="00E7356A">
            <w:pPr>
              <w:widowControl w:val="0"/>
              <w:suppressAutoHyphens/>
            </w:pPr>
            <w:r w:rsidRPr="003B4362">
              <w:t>Ion chromatography</w:t>
            </w:r>
          </w:p>
        </w:tc>
        <w:tc>
          <w:tcPr>
            <w:tcW w:w="1553" w:type="dxa"/>
            <w:hideMark/>
          </w:tcPr>
          <w:p w14:paraId="00AD6944" w14:textId="77777777" w:rsidR="000840B6" w:rsidRPr="003B4362" w:rsidRDefault="000840B6" w:rsidP="00E7356A">
            <w:pPr>
              <w:widowControl w:val="0"/>
              <w:suppressAutoHyphens/>
            </w:pPr>
            <w:r w:rsidRPr="003B4362">
              <w:t>0.01</w:t>
            </w:r>
          </w:p>
        </w:tc>
      </w:tr>
      <w:tr w:rsidR="001628C1" w:rsidRPr="003B4362" w14:paraId="4776C425" w14:textId="77777777" w:rsidTr="00E7356A">
        <w:tc>
          <w:tcPr>
            <w:tcW w:w="1708" w:type="dxa"/>
          </w:tcPr>
          <w:p w14:paraId="3FC905C9" w14:textId="77777777" w:rsidR="000840B6" w:rsidRPr="003B4362" w:rsidRDefault="000840B6" w:rsidP="00E7356A">
            <w:pPr>
              <w:widowControl w:val="0"/>
              <w:suppressAutoHyphens/>
            </w:pPr>
          </w:p>
        </w:tc>
        <w:tc>
          <w:tcPr>
            <w:tcW w:w="1553" w:type="dxa"/>
          </w:tcPr>
          <w:p w14:paraId="1DEFD73C" w14:textId="77777777" w:rsidR="000840B6" w:rsidRPr="003B4362" w:rsidRDefault="000840B6" w:rsidP="00E7356A">
            <w:pPr>
              <w:widowControl w:val="0"/>
              <w:suppressAutoHyphens/>
            </w:pPr>
          </w:p>
        </w:tc>
        <w:tc>
          <w:tcPr>
            <w:tcW w:w="3106" w:type="dxa"/>
            <w:hideMark/>
          </w:tcPr>
          <w:p w14:paraId="1520E779" w14:textId="77777777" w:rsidR="000840B6" w:rsidRPr="003B4362" w:rsidRDefault="000840B6" w:rsidP="00E7356A">
            <w:pPr>
              <w:widowControl w:val="0"/>
              <w:suppressAutoHyphens/>
            </w:pPr>
            <w:r w:rsidRPr="003B4362">
              <w:t>Capillary ion electrophoresis</w:t>
            </w:r>
          </w:p>
        </w:tc>
        <w:tc>
          <w:tcPr>
            <w:tcW w:w="1553" w:type="dxa"/>
            <w:hideMark/>
          </w:tcPr>
          <w:p w14:paraId="2A5CDC28" w14:textId="77777777" w:rsidR="000840B6" w:rsidRPr="003B4362" w:rsidRDefault="000840B6" w:rsidP="00E7356A">
            <w:pPr>
              <w:widowControl w:val="0"/>
              <w:suppressAutoHyphens/>
            </w:pPr>
            <w:r w:rsidRPr="003B4362">
              <w:t>0.076</w:t>
            </w:r>
          </w:p>
        </w:tc>
      </w:tr>
      <w:tr w:rsidR="001628C1" w:rsidRPr="003B4362" w14:paraId="7CE4BC3B" w14:textId="77777777" w:rsidTr="00E7356A">
        <w:tc>
          <w:tcPr>
            <w:tcW w:w="1708" w:type="dxa"/>
            <w:hideMark/>
          </w:tcPr>
          <w:p w14:paraId="324FA293" w14:textId="77777777" w:rsidR="000840B6" w:rsidRPr="003B4362" w:rsidRDefault="000840B6" w:rsidP="00E7356A">
            <w:pPr>
              <w:widowControl w:val="0"/>
              <w:suppressAutoHyphens/>
            </w:pPr>
            <w:r w:rsidRPr="003B4362">
              <w:t>Nitrite (as N)</w:t>
            </w:r>
          </w:p>
        </w:tc>
        <w:tc>
          <w:tcPr>
            <w:tcW w:w="1553" w:type="dxa"/>
            <w:hideMark/>
          </w:tcPr>
          <w:p w14:paraId="341CA0CB" w14:textId="77777777" w:rsidR="000840B6" w:rsidRPr="003B4362" w:rsidRDefault="000840B6" w:rsidP="00E7356A">
            <w:pPr>
              <w:widowControl w:val="0"/>
              <w:suppressAutoHyphens/>
            </w:pPr>
            <w:r w:rsidRPr="003B4362">
              <w:t>1</w:t>
            </w:r>
          </w:p>
        </w:tc>
        <w:tc>
          <w:tcPr>
            <w:tcW w:w="3106" w:type="dxa"/>
            <w:hideMark/>
          </w:tcPr>
          <w:p w14:paraId="495158D9" w14:textId="77777777" w:rsidR="000840B6" w:rsidRPr="003B4362" w:rsidRDefault="000840B6" w:rsidP="00E7356A">
            <w:pPr>
              <w:widowControl w:val="0"/>
              <w:suppressAutoHyphens/>
            </w:pPr>
            <w:r w:rsidRPr="003B4362">
              <w:t>Spectrophotometric</w:t>
            </w:r>
          </w:p>
        </w:tc>
        <w:tc>
          <w:tcPr>
            <w:tcW w:w="1553" w:type="dxa"/>
            <w:hideMark/>
          </w:tcPr>
          <w:p w14:paraId="50CA5326" w14:textId="77777777" w:rsidR="000840B6" w:rsidRPr="003B4362" w:rsidRDefault="000840B6" w:rsidP="00E7356A">
            <w:pPr>
              <w:widowControl w:val="0"/>
              <w:suppressAutoHyphens/>
            </w:pPr>
            <w:r w:rsidRPr="003B4362">
              <w:t>0.01</w:t>
            </w:r>
          </w:p>
        </w:tc>
      </w:tr>
      <w:tr w:rsidR="001628C1" w:rsidRPr="003B4362" w14:paraId="696D0214" w14:textId="77777777" w:rsidTr="00E7356A">
        <w:tc>
          <w:tcPr>
            <w:tcW w:w="1708" w:type="dxa"/>
          </w:tcPr>
          <w:p w14:paraId="6E16250F" w14:textId="77777777" w:rsidR="000840B6" w:rsidRPr="003B4362" w:rsidRDefault="000840B6" w:rsidP="00E7356A">
            <w:pPr>
              <w:widowControl w:val="0"/>
              <w:suppressAutoHyphens/>
            </w:pPr>
          </w:p>
        </w:tc>
        <w:tc>
          <w:tcPr>
            <w:tcW w:w="1553" w:type="dxa"/>
          </w:tcPr>
          <w:p w14:paraId="62989394" w14:textId="77777777" w:rsidR="000840B6" w:rsidRPr="003B4362" w:rsidRDefault="000840B6" w:rsidP="00E7356A">
            <w:pPr>
              <w:widowControl w:val="0"/>
              <w:suppressAutoHyphens/>
            </w:pPr>
          </w:p>
        </w:tc>
        <w:tc>
          <w:tcPr>
            <w:tcW w:w="3106" w:type="dxa"/>
            <w:hideMark/>
          </w:tcPr>
          <w:p w14:paraId="12627A99" w14:textId="77777777" w:rsidR="000840B6" w:rsidRPr="003B4362" w:rsidRDefault="000840B6" w:rsidP="00E7356A">
            <w:pPr>
              <w:widowControl w:val="0"/>
              <w:suppressAutoHyphens/>
            </w:pPr>
            <w:r w:rsidRPr="003B4362">
              <w:t>Automated cadmium reduction</w:t>
            </w:r>
          </w:p>
        </w:tc>
        <w:tc>
          <w:tcPr>
            <w:tcW w:w="1553" w:type="dxa"/>
            <w:hideMark/>
          </w:tcPr>
          <w:p w14:paraId="6705ED49" w14:textId="77777777" w:rsidR="000840B6" w:rsidRPr="003B4362" w:rsidRDefault="000840B6" w:rsidP="00E7356A">
            <w:pPr>
              <w:widowControl w:val="0"/>
              <w:suppressAutoHyphens/>
            </w:pPr>
            <w:r w:rsidRPr="003B4362">
              <w:t>0.05</w:t>
            </w:r>
          </w:p>
        </w:tc>
      </w:tr>
      <w:tr w:rsidR="001628C1" w:rsidRPr="003B4362" w14:paraId="467128E4" w14:textId="77777777" w:rsidTr="00E7356A">
        <w:tc>
          <w:tcPr>
            <w:tcW w:w="1708" w:type="dxa"/>
          </w:tcPr>
          <w:p w14:paraId="15F59D13" w14:textId="77777777" w:rsidR="000840B6" w:rsidRPr="003B4362" w:rsidRDefault="000840B6" w:rsidP="00E7356A">
            <w:pPr>
              <w:widowControl w:val="0"/>
              <w:suppressAutoHyphens/>
            </w:pPr>
          </w:p>
        </w:tc>
        <w:tc>
          <w:tcPr>
            <w:tcW w:w="1553" w:type="dxa"/>
          </w:tcPr>
          <w:p w14:paraId="0A979349" w14:textId="77777777" w:rsidR="000840B6" w:rsidRPr="003B4362" w:rsidRDefault="000840B6" w:rsidP="00E7356A">
            <w:pPr>
              <w:widowControl w:val="0"/>
              <w:suppressAutoHyphens/>
            </w:pPr>
          </w:p>
        </w:tc>
        <w:tc>
          <w:tcPr>
            <w:tcW w:w="3106" w:type="dxa"/>
            <w:hideMark/>
          </w:tcPr>
          <w:p w14:paraId="73F9FF87" w14:textId="77777777" w:rsidR="000840B6" w:rsidRPr="003B4362" w:rsidRDefault="000840B6" w:rsidP="00E7356A">
            <w:pPr>
              <w:widowControl w:val="0"/>
              <w:suppressAutoHyphens/>
            </w:pPr>
            <w:r w:rsidRPr="003B4362">
              <w:t>Manual cadmium reduction</w:t>
            </w:r>
          </w:p>
        </w:tc>
        <w:tc>
          <w:tcPr>
            <w:tcW w:w="1553" w:type="dxa"/>
            <w:hideMark/>
          </w:tcPr>
          <w:p w14:paraId="58CCDE18" w14:textId="77777777" w:rsidR="000840B6" w:rsidRPr="003B4362" w:rsidRDefault="000840B6" w:rsidP="00E7356A">
            <w:pPr>
              <w:widowControl w:val="0"/>
              <w:suppressAutoHyphens/>
            </w:pPr>
            <w:r w:rsidRPr="003B4362">
              <w:t>0.01</w:t>
            </w:r>
          </w:p>
        </w:tc>
      </w:tr>
      <w:tr w:rsidR="001628C1" w:rsidRPr="003B4362" w14:paraId="37A618E3" w14:textId="77777777" w:rsidTr="00E7356A">
        <w:tc>
          <w:tcPr>
            <w:tcW w:w="1708" w:type="dxa"/>
          </w:tcPr>
          <w:p w14:paraId="7E3A9B6D" w14:textId="77777777" w:rsidR="000840B6" w:rsidRPr="003B4362" w:rsidRDefault="000840B6" w:rsidP="00E7356A">
            <w:pPr>
              <w:widowControl w:val="0"/>
              <w:suppressAutoHyphens/>
            </w:pPr>
          </w:p>
        </w:tc>
        <w:tc>
          <w:tcPr>
            <w:tcW w:w="1553" w:type="dxa"/>
          </w:tcPr>
          <w:p w14:paraId="29699451" w14:textId="77777777" w:rsidR="000840B6" w:rsidRPr="003B4362" w:rsidRDefault="000840B6" w:rsidP="00E7356A">
            <w:pPr>
              <w:widowControl w:val="0"/>
              <w:suppressAutoHyphens/>
            </w:pPr>
          </w:p>
        </w:tc>
        <w:tc>
          <w:tcPr>
            <w:tcW w:w="3106" w:type="dxa"/>
            <w:hideMark/>
          </w:tcPr>
          <w:p w14:paraId="526BBAAC" w14:textId="77777777" w:rsidR="000840B6" w:rsidRPr="003B4362" w:rsidRDefault="000840B6" w:rsidP="00E7356A">
            <w:pPr>
              <w:widowControl w:val="0"/>
              <w:suppressAutoHyphens/>
            </w:pPr>
            <w:r w:rsidRPr="003B4362">
              <w:t>Ion chromatography</w:t>
            </w:r>
          </w:p>
        </w:tc>
        <w:tc>
          <w:tcPr>
            <w:tcW w:w="1553" w:type="dxa"/>
            <w:hideMark/>
          </w:tcPr>
          <w:p w14:paraId="09E52AC2" w14:textId="77777777" w:rsidR="000840B6" w:rsidRPr="003B4362" w:rsidRDefault="000840B6" w:rsidP="00E7356A">
            <w:pPr>
              <w:widowControl w:val="0"/>
              <w:suppressAutoHyphens/>
            </w:pPr>
            <w:r w:rsidRPr="003B4362">
              <w:t>0.004</w:t>
            </w:r>
          </w:p>
        </w:tc>
      </w:tr>
      <w:tr w:rsidR="001628C1" w:rsidRPr="003B4362" w14:paraId="044DFCA5" w14:textId="77777777" w:rsidTr="00E7356A">
        <w:tc>
          <w:tcPr>
            <w:tcW w:w="1708" w:type="dxa"/>
          </w:tcPr>
          <w:p w14:paraId="7A159015" w14:textId="77777777" w:rsidR="000840B6" w:rsidRPr="003B4362" w:rsidRDefault="000840B6" w:rsidP="00E7356A">
            <w:pPr>
              <w:widowControl w:val="0"/>
              <w:suppressAutoHyphens/>
            </w:pPr>
          </w:p>
        </w:tc>
        <w:tc>
          <w:tcPr>
            <w:tcW w:w="1553" w:type="dxa"/>
          </w:tcPr>
          <w:p w14:paraId="28456ABE" w14:textId="77777777" w:rsidR="000840B6" w:rsidRPr="003B4362" w:rsidRDefault="000840B6" w:rsidP="00E7356A">
            <w:pPr>
              <w:widowControl w:val="0"/>
              <w:suppressAutoHyphens/>
            </w:pPr>
          </w:p>
        </w:tc>
        <w:tc>
          <w:tcPr>
            <w:tcW w:w="3106" w:type="dxa"/>
            <w:hideMark/>
          </w:tcPr>
          <w:p w14:paraId="0A1CD145" w14:textId="77777777" w:rsidR="000840B6" w:rsidRPr="003B4362" w:rsidRDefault="000840B6" w:rsidP="00E7356A">
            <w:pPr>
              <w:widowControl w:val="0"/>
              <w:suppressAutoHyphens/>
            </w:pPr>
            <w:r w:rsidRPr="003B4362">
              <w:t>Capillary ion electrophoresis</w:t>
            </w:r>
          </w:p>
        </w:tc>
        <w:tc>
          <w:tcPr>
            <w:tcW w:w="1553" w:type="dxa"/>
            <w:hideMark/>
          </w:tcPr>
          <w:p w14:paraId="0E94FA2B" w14:textId="77777777" w:rsidR="000840B6" w:rsidRPr="003B4362" w:rsidRDefault="000840B6" w:rsidP="00E7356A">
            <w:pPr>
              <w:widowControl w:val="0"/>
              <w:suppressAutoHyphens/>
            </w:pPr>
            <w:r w:rsidRPr="003B4362">
              <w:t>0.103</w:t>
            </w:r>
          </w:p>
        </w:tc>
      </w:tr>
      <w:tr w:rsidR="001628C1" w:rsidRPr="003B4362" w14:paraId="549329F7" w14:textId="77777777" w:rsidTr="00E7356A">
        <w:tc>
          <w:tcPr>
            <w:tcW w:w="1708" w:type="dxa"/>
            <w:hideMark/>
          </w:tcPr>
          <w:p w14:paraId="3EE2022F" w14:textId="77777777" w:rsidR="000840B6" w:rsidRPr="003B4362" w:rsidRDefault="000840B6" w:rsidP="00E7356A">
            <w:pPr>
              <w:widowControl w:val="0"/>
              <w:suppressAutoHyphens/>
            </w:pPr>
            <w:r w:rsidRPr="003B4362">
              <w:t>Selenium</w:t>
            </w:r>
          </w:p>
        </w:tc>
        <w:tc>
          <w:tcPr>
            <w:tcW w:w="1553" w:type="dxa"/>
            <w:hideMark/>
          </w:tcPr>
          <w:p w14:paraId="7F7AA069" w14:textId="77777777" w:rsidR="000840B6" w:rsidRPr="003B4362" w:rsidRDefault="000840B6" w:rsidP="00E7356A">
            <w:pPr>
              <w:widowControl w:val="0"/>
              <w:suppressAutoHyphens/>
            </w:pPr>
            <w:r w:rsidRPr="003B4362">
              <w:t>0.05</w:t>
            </w:r>
          </w:p>
        </w:tc>
        <w:tc>
          <w:tcPr>
            <w:tcW w:w="3106" w:type="dxa"/>
            <w:hideMark/>
          </w:tcPr>
          <w:p w14:paraId="1E68C618" w14:textId="77777777" w:rsidR="000840B6" w:rsidRPr="003B4362" w:rsidRDefault="000840B6" w:rsidP="00E7356A">
            <w:pPr>
              <w:widowControl w:val="0"/>
              <w:suppressAutoHyphens/>
            </w:pPr>
            <w:r w:rsidRPr="003B4362">
              <w:t>Atomic absorption-furnace technique</w:t>
            </w:r>
          </w:p>
        </w:tc>
        <w:tc>
          <w:tcPr>
            <w:tcW w:w="1553" w:type="dxa"/>
            <w:hideMark/>
          </w:tcPr>
          <w:p w14:paraId="34845A91" w14:textId="77777777" w:rsidR="000840B6" w:rsidRPr="003B4362" w:rsidRDefault="000840B6" w:rsidP="00E7356A">
            <w:pPr>
              <w:widowControl w:val="0"/>
              <w:suppressAutoHyphens/>
            </w:pPr>
            <w:r w:rsidRPr="003B4362">
              <w:t>0.002</w:t>
            </w:r>
          </w:p>
        </w:tc>
      </w:tr>
      <w:tr w:rsidR="001628C1" w:rsidRPr="003B4362" w14:paraId="03039A02" w14:textId="77777777" w:rsidTr="00E7356A">
        <w:tc>
          <w:tcPr>
            <w:tcW w:w="1708" w:type="dxa"/>
          </w:tcPr>
          <w:p w14:paraId="2CBDD8E6" w14:textId="77777777" w:rsidR="000840B6" w:rsidRPr="003B4362" w:rsidRDefault="000840B6" w:rsidP="00E7356A">
            <w:pPr>
              <w:widowControl w:val="0"/>
              <w:suppressAutoHyphens/>
            </w:pPr>
          </w:p>
        </w:tc>
        <w:tc>
          <w:tcPr>
            <w:tcW w:w="1553" w:type="dxa"/>
          </w:tcPr>
          <w:p w14:paraId="0A36C62D" w14:textId="77777777" w:rsidR="000840B6" w:rsidRPr="003B4362" w:rsidRDefault="000840B6" w:rsidP="00E7356A">
            <w:pPr>
              <w:widowControl w:val="0"/>
              <w:suppressAutoHyphens/>
            </w:pPr>
          </w:p>
        </w:tc>
        <w:tc>
          <w:tcPr>
            <w:tcW w:w="3106" w:type="dxa"/>
            <w:hideMark/>
          </w:tcPr>
          <w:p w14:paraId="725D5EEC" w14:textId="77777777" w:rsidR="000840B6" w:rsidRPr="003B4362" w:rsidRDefault="000840B6" w:rsidP="00E7356A">
            <w:pPr>
              <w:widowControl w:val="0"/>
              <w:suppressAutoHyphens/>
            </w:pPr>
            <w:r w:rsidRPr="003B4362">
              <w:t>Atomic absorption-gaseous hydride technique</w:t>
            </w:r>
          </w:p>
        </w:tc>
        <w:tc>
          <w:tcPr>
            <w:tcW w:w="1553" w:type="dxa"/>
            <w:hideMark/>
          </w:tcPr>
          <w:p w14:paraId="030F74E1" w14:textId="77777777" w:rsidR="000840B6" w:rsidRPr="003B4362" w:rsidRDefault="000840B6" w:rsidP="00E7356A">
            <w:pPr>
              <w:widowControl w:val="0"/>
              <w:suppressAutoHyphens/>
            </w:pPr>
            <w:r w:rsidRPr="003B4362">
              <w:t>0.002</w:t>
            </w:r>
          </w:p>
        </w:tc>
      </w:tr>
      <w:tr w:rsidR="001628C1" w:rsidRPr="003B4362" w14:paraId="445DC6D5" w14:textId="77777777" w:rsidTr="00E7356A">
        <w:tc>
          <w:tcPr>
            <w:tcW w:w="1708" w:type="dxa"/>
            <w:hideMark/>
          </w:tcPr>
          <w:p w14:paraId="3C37F008" w14:textId="77777777" w:rsidR="000840B6" w:rsidRPr="003B4362" w:rsidRDefault="000840B6" w:rsidP="00E7356A">
            <w:pPr>
              <w:widowControl w:val="0"/>
              <w:suppressAutoHyphens/>
            </w:pPr>
            <w:r w:rsidRPr="003B4362">
              <w:t>Thallium</w:t>
            </w:r>
          </w:p>
        </w:tc>
        <w:tc>
          <w:tcPr>
            <w:tcW w:w="1553" w:type="dxa"/>
            <w:hideMark/>
          </w:tcPr>
          <w:p w14:paraId="49004150" w14:textId="77777777" w:rsidR="000840B6" w:rsidRPr="003B4362" w:rsidRDefault="000840B6" w:rsidP="00E7356A">
            <w:pPr>
              <w:widowControl w:val="0"/>
              <w:suppressAutoHyphens/>
            </w:pPr>
            <w:r w:rsidRPr="003B4362">
              <w:t>0.002</w:t>
            </w:r>
          </w:p>
        </w:tc>
        <w:tc>
          <w:tcPr>
            <w:tcW w:w="3106" w:type="dxa"/>
            <w:hideMark/>
          </w:tcPr>
          <w:p w14:paraId="29D6672A" w14:textId="77777777" w:rsidR="000840B6" w:rsidRPr="003B4362" w:rsidRDefault="000840B6" w:rsidP="00E7356A">
            <w:pPr>
              <w:widowControl w:val="0"/>
              <w:suppressAutoHyphens/>
            </w:pPr>
            <w:r w:rsidRPr="003B4362">
              <w:t>Atomic absorption-furnace technique</w:t>
            </w:r>
          </w:p>
        </w:tc>
        <w:tc>
          <w:tcPr>
            <w:tcW w:w="1553" w:type="dxa"/>
            <w:hideMark/>
          </w:tcPr>
          <w:p w14:paraId="21408C94" w14:textId="77777777" w:rsidR="000840B6" w:rsidRPr="003B4362" w:rsidRDefault="000840B6" w:rsidP="00E7356A">
            <w:pPr>
              <w:widowControl w:val="0"/>
              <w:suppressAutoHyphens/>
            </w:pPr>
            <w:r w:rsidRPr="003B4362">
              <w:t>0.001</w:t>
            </w:r>
          </w:p>
        </w:tc>
      </w:tr>
      <w:tr w:rsidR="001628C1" w:rsidRPr="003B4362" w14:paraId="10632381" w14:textId="77777777" w:rsidTr="00E7356A">
        <w:tc>
          <w:tcPr>
            <w:tcW w:w="1708" w:type="dxa"/>
          </w:tcPr>
          <w:p w14:paraId="5CA1B4A4" w14:textId="77777777" w:rsidR="000840B6" w:rsidRPr="003B4362" w:rsidRDefault="000840B6" w:rsidP="00E7356A">
            <w:pPr>
              <w:widowControl w:val="0"/>
              <w:suppressAutoHyphens/>
            </w:pPr>
          </w:p>
        </w:tc>
        <w:tc>
          <w:tcPr>
            <w:tcW w:w="1553" w:type="dxa"/>
          </w:tcPr>
          <w:p w14:paraId="429BDA8F" w14:textId="77777777" w:rsidR="000840B6" w:rsidRPr="003B4362" w:rsidRDefault="000840B6" w:rsidP="00E7356A">
            <w:pPr>
              <w:widowControl w:val="0"/>
              <w:suppressAutoHyphens/>
            </w:pPr>
          </w:p>
        </w:tc>
        <w:tc>
          <w:tcPr>
            <w:tcW w:w="3106" w:type="dxa"/>
            <w:hideMark/>
          </w:tcPr>
          <w:p w14:paraId="701C77C3"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0F2B6F8D" w14:textId="77777777" w:rsidR="000840B6" w:rsidRPr="003B4362" w:rsidRDefault="000840B6" w:rsidP="00E7356A">
            <w:pPr>
              <w:widowControl w:val="0"/>
              <w:suppressAutoHyphens/>
            </w:pPr>
            <w:r w:rsidRPr="003B4362">
              <w:t>0.0007</w:t>
            </w:r>
            <w:r w:rsidRPr="003B4362">
              <w:rPr>
                <w:vertAlign w:val="superscript"/>
              </w:rPr>
              <w:t>5</w:t>
            </w:r>
          </w:p>
        </w:tc>
      </w:tr>
      <w:tr w:rsidR="001628C1" w:rsidRPr="003B4362" w14:paraId="729A86F5" w14:textId="77777777" w:rsidTr="00E7356A">
        <w:tc>
          <w:tcPr>
            <w:tcW w:w="1708" w:type="dxa"/>
          </w:tcPr>
          <w:p w14:paraId="4655D6F1" w14:textId="77777777" w:rsidR="000840B6" w:rsidRPr="003B4362" w:rsidRDefault="000840B6" w:rsidP="00E7356A">
            <w:pPr>
              <w:widowControl w:val="0"/>
              <w:suppressAutoHyphens/>
            </w:pPr>
          </w:p>
        </w:tc>
        <w:tc>
          <w:tcPr>
            <w:tcW w:w="1553" w:type="dxa"/>
          </w:tcPr>
          <w:p w14:paraId="6623B58A" w14:textId="77777777" w:rsidR="000840B6" w:rsidRPr="003B4362" w:rsidRDefault="000840B6" w:rsidP="00E7356A">
            <w:pPr>
              <w:widowControl w:val="0"/>
              <w:suppressAutoHyphens/>
            </w:pPr>
          </w:p>
        </w:tc>
        <w:tc>
          <w:tcPr>
            <w:tcW w:w="3106" w:type="dxa"/>
            <w:hideMark/>
          </w:tcPr>
          <w:p w14:paraId="02F84EBF" w14:textId="77777777" w:rsidR="000840B6" w:rsidRPr="003B4362" w:rsidRDefault="000840B6" w:rsidP="00E7356A">
            <w:pPr>
              <w:widowControl w:val="0"/>
              <w:suppressAutoHyphens/>
            </w:pPr>
            <w:r w:rsidRPr="003B4362">
              <w:t>Inductively coupled plasma-mass spectrometry</w:t>
            </w:r>
          </w:p>
        </w:tc>
        <w:tc>
          <w:tcPr>
            <w:tcW w:w="1553" w:type="dxa"/>
            <w:hideMark/>
          </w:tcPr>
          <w:p w14:paraId="0AF1A02D" w14:textId="77777777" w:rsidR="000840B6" w:rsidRPr="003B4362" w:rsidRDefault="000840B6" w:rsidP="00E7356A">
            <w:pPr>
              <w:widowControl w:val="0"/>
              <w:suppressAutoHyphens/>
            </w:pPr>
            <w:r w:rsidRPr="003B4362">
              <w:t>0.0003</w:t>
            </w:r>
          </w:p>
        </w:tc>
      </w:tr>
    </w:tbl>
    <w:p w14:paraId="322EEB0A" w14:textId="77777777" w:rsidR="00710318" w:rsidRDefault="00710318" w:rsidP="00710318">
      <w:pPr>
        <w:ind w:left="1440"/>
      </w:pPr>
    </w:p>
    <w:p w14:paraId="2D386712" w14:textId="142B7943" w:rsidR="000840B6" w:rsidRDefault="000840B6" w:rsidP="00710318">
      <w:pPr>
        <w:ind w:left="1440"/>
      </w:pPr>
      <w:r w:rsidRPr="003B4362">
        <w:t>Footnotes.</w:t>
      </w:r>
    </w:p>
    <w:p w14:paraId="62D7CC84" w14:textId="77777777" w:rsidR="00710318" w:rsidRPr="003B4362" w:rsidRDefault="00710318" w:rsidP="00710318">
      <w:pPr>
        <w:ind w:left="1440"/>
      </w:pPr>
    </w:p>
    <w:p w14:paraId="67D6F4D4" w14:textId="0BCDC13E" w:rsidR="000840B6" w:rsidRDefault="000840B6" w:rsidP="00710318">
      <w:pPr>
        <w:ind w:left="1440"/>
      </w:pPr>
      <w:r w:rsidRPr="003B4362">
        <w:t>1</w:t>
      </w:r>
      <w:r w:rsidRPr="003B4362">
        <w:tab/>
        <w:t xml:space="preserve">“MFL” means millions of fibers per liter less than 10 </w:t>
      </w:r>
      <w:r w:rsidRPr="003B4362">
        <w:sym w:font="Symbol" w:char="F06D"/>
      </w:r>
      <w:r w:rsidRPr="003B4362">
        <w:t>m.</w:t>
      </w:r>
    </w:p>
    <w:p w14:paraId="6F7B2077" w14:textId="77777777" w:rsidR="00710318" w:rsidRPr="003B4362" w:rsidRDefault="00710318" w:rsidP="00710318">
      <w:pPr>
        <w:ind w:left="1440"/>
      </w:pPr>
    </w:p>
    <w:p w14:paraId="3C7B5A4F" w14:textId="6199773B" w:rsidR="000840B6" w:rsidRDefault="000840B6" w:rsidP="000840B6">
      <w:pPr>
        <w:widowControl w:val="0"/>
        <w:suppressAutoHyphens/>
        <w:ind w:left="1800" w:hanging="360"/>
      </w:pPr>
      <w:r w:rsidRPr="003B4362">
        <w:t>2</w:t>
      </w:r>
      <w:r w:rsidRPr="003B4362">
        <w:tab/>
        <w:t>Using a 2</w:t>
      </w:r>
      <w:r w:rsidRPr="003B4362">
        <w:sym w:font="Symbol" w:char="F0B4"/>
      </w:r>
      <w:r w:rsidRPr="003B4362">
        <w:t xml:space="preserve"> preconcentration step as noted in USEPA 200.7 (94).  Lower MDLs are possible when using a 4</w:t>
      </w:r>
      <w:r w:rsidRPr="003B4362">
        <w:sym w:font="Symbol" w:char="F0B4"/>
      </w:r>
      <w:r w:rsidRPr="003B4362">
        <w:t xml:space="preserve"> preconcentration.</w:t>
      </w:r>
    </w:p>
    <w:p w14:paraId="577FF1F7" w14:textId="77777777" w:rsidR="00710318" w:rsidRPr="003B4362" w:rsidRDefault="00710318" w:rsidP="000840B6">
      <w:pPr>
        <w:widowControl w:val="0"/>
        <w:suppressAutoHyphens/>
        <w:ind w:left="1800" w:hanging="360"/>
      </w:pPr>
    </w:p>
    <w:p w14:paraId="634454C0" w14:textId="62728145" w:rsidR="000840B6" w:rsidRDefault="000840B6" w:rsidP="000840B6">
      <w:pPr>
        <w:widowControl w:val="0"/>
        <w:suppressAutoHyphens/>
        <w:ind w:left="1800" w:hanging="360"/>
      </w:pPr>
      <w:r w:rsidRPr="003B4362">
        <w:t>3</w:t>
      </w:r>
      <w:r w:rsidRPr="003B4362">
        <w:tab/>
        <w:t>Screening method for total cyanides.</w:t>
      </w:r>
    </w:p>
    <w:p w14:paraId="5DD62D86" w14:textId="77777777" w:rsidR="00710318" w:rsidRPr="003B4362" w:rsidRDefault="00710318" w:rsidP="000840B6">
      <w:pPr>
        <w:widowControl w:val="0"/>
        <w:suppressAutoHyphens/>
        <w:ind w:left="1800" w:hanging="360"/>
      </w:pPr>
    </w:p>
    <w:p w14:paraId="4F74319A" w14:textId="7C9D5860" w:rsidR="000840B6" w:rsidRDefault="000840B6" w:rsidP="000840B6">
      <w:pPr>
        <w:widowControl w:val="0"/>
        <w:suppressAutoHyphens/>
        <w:ind w:left="1800" w:hanging="360"/>
      </w:pPr>
      <w:r w:rsidRPr="003B4362">
        <w:t>4</w:t>
      </w:r>
      <w:r w:rsidRPr="003B4362">
        <w:tab/>
        <w:t>Measures “free” cyanides when omitting distillation, digestion, or ligand exchange.</w:t>
      </w:r>
    </w:p>
    <w:p w14:paraId="3B544DE4" w14:textId="77777777" w:rsidR="00710318" w:rsidRPr="003B4362" w:rsidRDefault="00710318" w:rsidP="000840B6">
      <w:pPr>
        <w:widowControl w:val="0"/>
        <w:suppressAutoHyphens/>
        <w:ind w:left="1800" w:hanging="360"/>
      </w:pPr>
    </w:p>
    <w:p w14:paraId="379FB158" w14:textId="2C3CF6C6" w:rsidR="000840B6" w:rsidRDefault="000840B6" w:rsidP="000840B6">
      <w:pPr>
        <w:widowControl w:val="0"/>
        <w:suppressAutoHyphens/>
        <w:ind w:left="1800" w:hanging="360"/>
      </w:pPr>
      <w:r w:rsidRPr="003B4362">
        <w:t>5</w:t>
      </w:r>
      <w:r w:rsidRPr="003B4362">
        <w:tab/>
        <w:t>Lower MDLs are possible using stabilized temperature graphite furnace atomic absorption.</w:t>
      </w:r>
    </w:p>
    <w:p w14:paraId="39D3E6B1" w14:textId="77777777" w:rsidR="00710318" w:rsidRPr="003B4362" w:rsidRDefault="00710318" w:rsidP="000840B6">
      <w:pPr>
        <w:widowControl w:val="0"/>
        <w:suppressAutoHyphens/>
        <w:ind w:left="1800" w:hanging="360"/>
      </w:pPr>
    </w:p>
    <w:p w14:paraId="046352FE" w14:textId="1145E933" w:rsidR="000840B6" w:rsidRDefault="000840B6" w:rsidP="000840B6">
      <w:pPr>
        <w:widowControl w:val="0"/>
        <w:suppressAutoHyphens/>
        <w:ind w:left="1800" w:hanging="360"/>
      </w:pPr>
      <w:r w:rsidRPr="003B4362">
        <w:lastRenderedPageBreak/>
        <w:t>6</w:t>
      </w:r>
      <w:r w:rsidRPr="003B4362">
        <w:tab/>
        <w:t>The MDL for USEPA 200.9 (94) (atomic absorption-platform furnace (stabilized temperature)) resulted using a 2</w:t>
      </w:r>
      <w:r w:rsidRPr="003B4362">
        <w:sym w:font="Symbol" w:char="F0B4"/>
      </w:r>
      <w:r w:rsidRPr="003B4362">
        <w:t xml:space="preserve"> concentration step during sample digestion.  The MDL using direct analyses (i.e., no sample digestion) is higher.  Using multiple depositions, USEPA 200.9 (94) can obtain an MDL of 0.0001 mg/</w:t>
      </w:r>
      <w:r w:rsidR="002E7704" w:rsidRPr="003B4362">
        <w:t xml:space="preserve"> L</w:t>
      </w:r>
      <w:r w:rsidRPr="003B4362">
        <w:t>.</w:t>
      </w:r>
    </w:p>
    <w:p w14:paraId="420FF549" w14:textId="77777777" w:rsidR="00710318" w:rsidRPr="003B4362" w:rsidRDefault="00710318" w:rsidP="000840B6">
      <w:pPr>
        <w:widowControl w:val="0"/>
        <w:suppressAutoHyphens/>
        <w:ind w:left="1800" w:hanging="360"/>
      </w:pPr>
    </w:p>
    <w:p w14:paraId="71737B77" w14:textId="7941CE5A" w:rsidR="000840B6" w:rsidRDefault="000840B6" w:rsidP="000840B6">
      <w:pPr>
        <w:widowControl w:val="0"/>
        <w:suppressAutoHyphens/>
        <w:ind w:left="1800" w:hanging="360"/>
      </w:pPr>
      <w:r w:rsidRPr="003B4362">
        <w:t>7</w:t>
      </w:r>
      <w:r w:rsidRPr="003B4362">
        <w:tab/>
        <w:t>Using selective ion monitoring, USEPA 200.8 (94) (ICP-MS) can obtain an MDL of 0.0001 mg/</w:t>
      </w:r>
      <w:r w:rsidR="002E7704" w:rsidRPr="003B4362">
        <w:t xml:space="preserve"> L</w:t>
      </w:r>
      <w:r w:rsidRPr="003B4362">
        <w:t>.</w:t>
      </w:r>
    </w:p>
    <w:p w14:paraId="6C9654EB" w14:textId="77777777" w:rsidR="00710318" w:rsidRPr="003B4362" w:rsidRDefault="00710318" w:rsidP="000840B6">
      <w:pPr>
        <w:widowControl w:val="0"/>
        <w:suppressAutoHyphens/>
        <w:ind w:left="1800" w:hanging="360"/>
      </w:pPr>
    </w:p>
    <w:p w14:paraId="76546FF9" w14:textId="5E44AFE2" w:rsidR="000840B6" w:rsidRDefault="000840B6" w:rsidP="000840B6">
      <w:pPr>
        <w:widowControl w:val="0"/>
        <w:suppressAutoHyphens/>
        <w:ind w:left="1800" w:hanging="360"/>
      </w:pPr>
      <w:r w:rsidRPr="003B4362">
        <w:t>8</w:t>
      </w:r>
      <w:r w:rsidRPr="003B4362">
        <w:tab/>
        <w:t>Measures total cyanides when using UV-digestor and “free” cyanides when bypassing UV-digestor.</w:t>
      </w:r>
    </w:p>
    <w:p w14:paraId="0C1C5C54" w14:textId="77777777" w:rsidR="00710318" w:rsidRPr="003B4362" w:rsidRDefault="00710318" w:rsidP="00710318">
      <w:pPr>
        <w:widowControl w:val="0"/>
        <w:suppressAutoHyphens/>
        <w:ind w:left="1800" w:hanging="360"/>
      </w:pPr>
    </w:p>
    <w:p w14:paraId="2058AB74" w14:textId="3D994263" w:rsidR="000840B6" w:rsidRDefault="000840B6" w:rsidP="00710318">
      <w:pPr>
        <w:widowControl w:val="0"/>
        <w:suppressAutoHyphens/>
      </w:pPr>
      <w:r w:rsidRPr="003B4362">
        <w:t>BOARD NOTE:  Subsections (a) through (c) derive from 40 CFR 141.23 preamble, and subsection (d) derives from 40 CFR 141.23(a)(4)(i) and appendix A to subpart C of 40 CFR 141.  See the Board Note at Section 611.301(b) relating to the MCL for nickel.</w:t>
      </w:r>
    </w:p>
    <w:p w14:paraId="3B94A71B" w14:textId="77777777" w:rsidR="00710318" w:rsidRPr="003B4362" w:rsidRDefault="00710318" w:rsidP="00710318">
      <w:pPr>
        <w:widowControl w:val="0"/>
        <w:suppressAutoHyphens/>
      </w:pPr>
    </w:p>
    <w:p w14:paraId="04B64EB2" w14:textId="1ED4713F" w:rsidR="000840B6" w:rsidRPr="003B4362" w:rsidRDefault="00EB353D" w:rsidP="0071031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14442185" w14:textId="77777777" w:rsidR="006D3CC8" w:rsidRDefault="006D3CC8" w:rsidP="006D3CC8">
      <w:pPr>
        <w:rPr>
          <w:b/>
          <w:bCs/>
        </w:rPr>
      </w:pPr>
      <w:bookmarkStart w:id="3516" w:name="_Hlk505272172"/>
    </w:p>
    <w:p w14:paraId="48513F42" w14:textId="5C0A5AA4" w:rsidR="006D3CC8" w:rsidRPr="006D3CC8" w:rsidRDefault="006D3CC8" w:rsidP="006D3CC8">
      <w:pPr>
        <w:rPr>
          <w:b/>
          <w:bCs/>
        </w:rPr>
      </w:pPr>
      <w:r w:rsidRPr="006D3CC8">
        <w:rPr>
          <w:b/>
          <w:bCs/>
        </w:rPr>
        <w:t>Section 611.601  Monitoring Frequency</w:t>
      </w:r>
    </w:p>
    <w:p w14:paraId="36225BC2" w14:textId="77777777" w:rsidR="006D3CC8" w:rsidRDefault="006D3CC8" w:rsidP="006D3CC8">
      <w:pPr>
        <w:suppressAutoHyphens/>
      </w:pPr>
    </w:p>
    <w:p w14:paraId="6FF4B425" w14:textId="73B3070C" w:rsidR="006D3CC8" w:rsidRPr="001A7517" w:rsidRDefault="006D3CC8" w:rsidP="006D3CC8">
      <w:pPr>
        <w:suppressAutoHyphens/>
      </w:pPr>
      <w:r w:rsidRPr="001A7517">
        <w:t>Monitoring must be conducted as follows:</w:t>
      </w:r>
    </w:p>
    <w:p w14:paraId="754AA6AE" w14:textId="77777777" w:rsidR="006D3CC8" w:rsidRDefault="006D3CC8" w:rsidP="006D3CC8">
      <w:pPr>
        <w:suppressAutoHyphens/>
        <w:ind w:left="1440" w:hanging="720"/>
      </w:pPr>
    </w:p>
    <w:p w14:paraId="19AFE23C" w14:textId="5F26F9D1" w:rsidR="006D3CC8" w:rsidRPr="001A7517" w:rsidRDefault="006D3CC8" w:rsidP="006D3CC8">
      <w:pPr>
        <w:suppressAutoHyphens/>
        <w:ind w:left="1440" w:hanging="720"/>
      </w:pPr>
      <w:r w:rsidRPr="001A7517">
        <w:t>a)</w:t>
      </w:r>
      <w:r w:rsidRPr="001A7517">
        <w:tab/>
        <w:t>Required Sampling</w:t>
      </w:r>
    </w:p>
    <w:p w14:paraId="54142833" w14:textId="77777777" w:rsidR="006D3CC8" w:rsidRDefault="006D3CC8" w:rsidP="006D3CC8">
      <w:pPr>
        <w:suppressAutoHyphens/>
        <w:ind w:left="2160" w:hanging="720"/>
      </w:pPr>
    </w:p>
    <w:p w14:paraId="0B86D5C4" w14:textId="4BE966A8" w:rsidR="006D3CC8" w:rsidRPr="001A7517" w:rsidRDefault="006D3CC8" w:rsidP="006D3CC8">
      <w:pPr>
        <w:suppressAutoHyphens/>
        <w:ind w:left="2160" w:hanging="720"/>
      </w:pPr>
      <w:r w:rsidRPr="001A7517">
        <w:t>1)</w:t>
      </w:r>
      <w:r w:rsidRPr="001A7517">
        <w:tab/>
        <w:t>Each supplier must take a minimum of one sample at each sampling point at the times required by Section 611.610 beginning in the initial compliance period.</w:t>
      </w:r>
    </w:p>
    <w:p w14:paraId="3D594AC1" w14:textId="77777777" w:rsidR="006D3CC8" w:rsidRDefault="006D3CC8" w:rsidP="006D3CC8">
      <w:pPr>
        <w:suppressAutoHyphens/>
        <w:ind w:left="2160" w:hanging="720"/>
      </w:pPr>
    </w:p>
    <w:p w14:paraId="4EC37BFF" w14:textId="24571F52" w:rsidR="006D3CC8" w:rsidRPr="001A7517" w:rsidRDefault="006D3CC8" w:rsidP="006D3CC8">
      <w:pPr>
        <w:suppressAutoHyphens/>
        <w:ind w:left="2160" w:hanging="720"/>
      </w:pPr>
      <w:r w:rsidRPr="001A7517">
        <w:t>2)</w:t>
      </w:r>
      <w:r w:rsidRPr="001A7517">
        <w:tab/>
        <w:t>Each sampling point must produce samples that are representative of the water from each source after treatment or from each treatment plant, as required by subsection (b).  The total number of sampling points must be representative of the water delivered to users throughout the PWS.</w:t>
      </w:r>
    </w:p>
    <w:p w14:paraId="7A981EF4" w14:textId="77777777" w:rsidR="006D3CC8" w:rsidRDefault="006D3CC8" w:rsidP="006D3CC8">
      <w:pPr>
        <w:suppressAutoHyphens/>
        <w:ind w:left="2160" w:hanging="720"/>
      </w:pPr>
    </w:p>
    <w:p w14:paraId="3C78BD87" w14:textId="2595B045" w:rsidR="006D3CC8" w:rsidRPr="001A7517" w:rsidRDefault="006D3CC8" w:rsidP="006D3CC8">
      <w:pPr>
        <w:suppressAutoHyphens/>
        <w:ind w:left="2160" w:hanging="720"/>
      </w:pPr>
      <w:r w:rsidRPr="001A7517">
        <w:t>3)</w:t>
      </w:r>
      <w:r w:rsidRPr="001A7517">
        <w:tab/>
        <w:t>The supplier must take each sample at the same sampling point unless conditions make another sampling point more representative of each source or treatment plant and the Agency has granted a SEP under subsection (b)(5).</w:t>
      </w:r>
    </w:p>
    <w:p w14:paraId="4982E9DF" w14:textId="77777777" w:rsidR="006D3CC8" w:rsidRDefault="006D3CC8" w:rsidP="006D3CC8">
      <w:pPr>
        <w:suppressAutoHyphens/>
        <w:ind w:left="1440" w:hanging="720"/>
      </w:pPr>
    </w:p>
    <w:p w14:paraId="7F0BC05A" w14:textId="38E87951" w:rsidR="006D3CC8" w:rsidRPr="001A7517" w:rsidRDefault="006D3CC8" w:rsidP="006D3CC8">
      <w:pPr>
        <w:suppressAutoHyphens/>
        <w:ind w:left="1440" w:hanging="720"/>
      </w:pPr>
      <w:r w:rsidRPr="001A7517">
        <w:t>b)</w:t>
      </w:r>
      <w:r w:rsidRPr="001A7517">
        <w:tab/>
        <w:t>Sampling Points</w:t>
      </w:r>
    </w:p>
    <w:p w14:paraId="106EA483" w14:textId="77777777" w:rsidR="006D3CC8" w:rsidRDefault="006D3CC8" w:rsidP="006D3CC8">
      <w:pPr>
        <w:suppressAutoHyphens/>
        <w:ind w:left="2160" w:hanging="720"/>
      </w:pPr>
    </w:p>
    <w:p w14:paraId="00DF3483" w14:textId="3E52FADC" w:rsidR="006D3CC8" w:rsidRPr="001A7517" w:rsidRDefault="006D3CC8" w:rsidP="006D3CC8">
      <w:pPr>
        <w:suppressAutoHyphens/>
        <w:ind w:left="2160" w:hanging="720"/>
      </w:pPr>
      <w:r w:rsidRPr="001A7517">
        <w:t>1)</w:t>
      </w:r>
      <w:r w:rsidRPr="001A7517">
        <w:tab/>
        <w:t>Sampling points for GWSs.  Unless otherwise provided by SEP, a GWS supplier must take at least one sample from each of the following points:  each entry point that is representative of each well after treatment.</w:t>
      </w:r>
    </w:p>
    <w:p w14:paraId="37D73AE3" w14:textId="77777777" w:rsidR="006D3CC8" w:rsidRDefault="006D3CC8" w:rsidP="006D3CC8">
      <w:pPr>
        <w:suppressAutoHyphens/>
        <w:ind w:left="2160" w:hanging="720"/>
      </w:pPr>
    </w:p>
    <w:p w14:paraId="0DEE23CA" w14:textId="7FAA0037" w:rsidR="006D3CC8" w:rsidRPr="001A7517" w:rsidRDefault="006D3CC8" w:rsidP="006D3CC8">
      <w:pPr>
        <w:suppressAutoHyphens/>
        <w:ind w:left="2160" w:hanging="720"/>
      </w:pPr>
      <w:r w:rsidRPr="001A7517">
        <w:lastRenderedPageBreak/>
        <w:t>2)</w:t>
      </w:r>
      <w:r w:rsidRPr="001A7517">
        <w:tab/>
        <w:t xml:space="preserve">Sampling points for </w:t>
      </w:r>
      <w:r w:rsidRPr="001A7517">
        <w:rPr>
          <w:spacing w:val="-2"/>
        </w:rPr>
        <w:t xml:space="preserve">an SWS or a mixed system supplier </w:t>
      </w:r>
      <w:r w:rsidRPr="001A7517">
        <w:t>.  Unless otherwise provided by SEP, an SWS or mixed system supplier must take at least one sample from each of the following points:</w:t>
      </w:r>
    </w:p>
    <w:p w14:paraId="72B6BF74" w14:textId="77777777" w:rsidR="006D3CC8" w:rsidRDefault="006D3CC8" w:rsidP="006D3CC8">
      <w:pPr>
        <w:suppressAutoHyphens/>
        <w:ind w:left="2880" w:hanging="720"/>
      </w:pPr>
    </w:p>
    <w:p w14:paraId="03DFB795" w14:textId="56FAE883" w:rsidR="006D3CC8" w:rsidRPr="001A7517" w:rsidRDefault="006D3CC8" w:rsidP="006D3CC8">
      <w:pPr>
        <w:suppressAutoHyphens/>
        <w:ind w:left="2880" w:hanging="720"/>
      </w:pPr>
      <w:r w:rsidRPr="001A7517">
        <w:t>A)</w:t>
      </w:r>
      <w:r w:rsidRPr="001A7517">
        <w:tab/>
        <w:t>Each entry point after the application of treatment; or</w:t>
      </w:r>
    </w:p>
    <w:p w14:paraId="761A481C" w14:textId="77777777" w:rsidR="006D3CC8" w:rsidRDefault="006D3CC8" w:rsidP="006D3CC8">
      <w:pPr>
        <w:suppressAutoHyphens/>
        <w:ind w:left="2880" w:hanging="720"/>
      </w:pPr>
    </w:p>
    <w:p w14:paraId="38927AC7" w14:textId="67DBCB7C" w:rsidR="006D3CC8" w:rsidRPr="001A7517" w:rsidRDefault="006D3CC8" w:rsidP="006D3CC8">
      <w:pPr>
        <w:suppressAutoHyphens/>
        <w:ind w:left="2880" w:hanging="720"/>
      </w:pPr>
      <w:r w:rsidRPr="001A7517">
        <w:t>B)</w:t>
      </w:r>
      <w:r w:rsidRPr="001A7517">
        <w:tab/>
        <w:t>A point in the distribution system that is representative of each source after treatment.</w:t>
      </w:r>
    </w:p>
    <w:p w14:paraId="53E4F0D6" w14:textId="77777777" w:rsidR="006D3CC8" w:rsidRDefault="006D3CC8" w:rsidP="006D3CC8">
      <w:pPr>
        <w:suppressAutoHyphens/>
        <w:ind w:left="2160" w:hanging="720"/>
      </w:pPr>
    </w:p>
    <w:p w14:paraId="667CE37E" w14:textId="694D41DF" w:rsidR="006D3CC8" w:rsidRPr="001A7517" w:rsidRDefault="006D3CC8" w:rsidP="006D3CC8">
      <w:pPr>
        <w:suppressAutoHyphens/>
        <w:ind w:left="2160" w:hanging="720"/>
      </w:pPr>
      <w:r w:rsidRPr="001A7517">
        <w:t>3)</w:t>
      </w:r>
      <w:r w:rsidRPr="001A7517">
        <w:tab/>
        <w:t xml:space="preserve">If a </w:t>
      </w:r>
      <w:r w:rsidRPr="001A7517">
        <w:rPr>
          <w:spacing w:val="-2"/>
        </w:rPr>
        <w:t xml:space="preserve">supplier </w:t>
      </w:r>
      <w:r w:rsidRPr="001A7517">
        <w:t>draws water from more than one source, and the sources are combined before distribution, the supplier must sample at an entry point during periods of normal operating conditions when water is representative of all sources being used.</w:t>
      </w:r>
    </w:p>
    <w:p w14:paraId="19F08D2C" w14:textId="77777777" w:rsidR="006D3CC8" w:rsidRDefault="006D3CC8" w:rsidP="006D3CC8">
      <w:pPr>
        <w:suppressAutoHyphens/>
        <w:ind w:left="2160" w:hanging="720"/>
      </w:pPr>
    </w:p>
    <w:p w14:paraId="60304DF6" w14:textId="10F82001" w:rsidR="006D3CC8" w:rsidRPr="001A7517" w:rsidRDefault="006D3CC8" w:rsidP="006D3CC8">
      <w:pPr>
        <w:suppressAutoHyphens/>
        <w:ind w:left="2160" w:hanging="720"/>
      </w:pPr>
      <w:r w:rsidRPr="001A7517">
        <w:t>4)</w:t>
      </w:r>
      <w:r w:rsidRPr="001A7517">
        <w:tab/>
        <w:t>Additional sampling points.  The Agency must, by SEP, designate additional sampling points in the distribution system or at the consumer’s tap if it determines that such samples are necessary to more accurately determine consumer exposure.</w:t>
      </w:r>
    </w:p>
    <w:p w14:paraId="7AF7A978" w14:textId="77777777" w:rsidR="006D3CC8" w:rsidRDefault="006D3CC8" w:rsidP="006D3CC8">
      <w:pPr>
        <w:suppressAutoHyphens/>
        <w:ind w:left="2160" w:hanging="720"/>
      </w:pPr>
    </w:p>
    <w:p w14:paraId="382BB381" w14:textId="3C649D69" w:rsidR="006D3CC8" w:rsidRPr="001A7517" w:rsidRDefault="006D3CC8" w:rsidP="006D3CC8">
      <w:pPr>
        <w:suppressAutoHyphens/>
        <w:ind w:left="2160" w:hanging="720"/>
      </w:pPr>
      <w:r w:rsidRPr="001A7517">
        <w:t>5)</w:t>
      </w:r>
      <w:r w:rsidRPr="001A7517">
        <w:tab/>
        <w:t>Alternative sampling points.  The Agency must, by SEP, approve alternate sampling points if the supplier demonstrates that the points are more representative than the generally required point.</w:t>
      </w:r>
    </w:p>
    <w:p w14:paraId="0B265594" w14:textId="77777777" w:rsidR="006D3CC8" w:rsidRDefault="006D3CC8" w:rsidP="006D3CC8">
      <w:pPr>
        <w:suppressAutoHyphens/>
        <w:ind w:left="1440" w:hanging="720"/>
      </w:pPr>
    </w:p>
    <w:p w14:paraId="7F922D3B" w14:textId="0A2D691E" w:rsidR="006D3CC8" w:rsidRPr="001A7517" w:rsidRDefault="006D3CC8" w:rsidP="006D3CC8">
      <w:pPr>
        <w:suppressAutoHyphens/>
        <w:ind w:left="1440" w:hanging="720"/>
      </w:pPr>
      <w:r w:rsidRPr="001A7517">
        <w:t>c)</w:t>
      </w:r>
      <w:r w:rsidRPr="001A7517">
        <w:tab/>
        <w:t>This subsection corresponds with 40 CFR 141.23(a)(4), an optional provision relating to compositing of samples that USEPA does not require for state programs.  This statement maintains structural consistency with USEPA rules.</w:t>
      </w:r>
    </w:p>
    <w:p w14:paraId="1F7719E0" w14:textId="77777777" w:rsidR="006D3CC8" w:rsidRDefault="006D3CC8" w:rsidP="006D3CC8">
      <w:pPr>
        <w:suppressAutoHyphens/>
        <w:ind w:left="1440" w:hanging="720"/>
      </w:pPr>
    </w:p>
    <w:p w14:paraId="25DE3AAE" w14:textId="58ADD2A6" w:rsidR="006D3CC8" w:rsidRPr="001A7517" w:rsidRDefault="006D3CC8" w:rsidP="006D3CC8">
      <w:pPr>
        <w:suppressAutoHyphens/>
        <w:ind w:left="1440" w:hanging="720"/>
      </w:pPr>
      <w:r w:rsidRPr="001A7517">
        <w:t>d)</w:t>
      </w:r>
      <w:r w:rsidRPr="001A7517">
        <w:tab/>
        <w:t>The frequency of monitoring for the following contaminants must be in accordance with the following Sections:</w:t>
      </w:r>
    </w:p>
    <w:p w14:paraId="24B51338" w14:textId="77777777" w:rsidR="006D3CC8" w:rsidRDefault="006D3CC8" w:rsidP="006D3CC8">
      <w:pPr>
        <w:suppressAutoHyphens/>
        <w:ind w:left="2160" w:hanging="720"/>
      </w:pPr>
    </w:p>
    <w:p w14:paraId="597DDDA1" w14:textId="37286B9C" w:rsidR="006D3CC8" w:rsidRPr="001A7517" w:rsidRDefault="006D3CC8" w:rsidP="006D3CC8">
      <w:pPr>
        <w:suppressAutoHyphens/>
        <w:ind w:left="2160" w:hanging="720"/>
      </w:pPr>
      <w:r w:rsidRPr="001A7517">
        <w:t>1)</w:t>
      </w:r>
      <w:r w:rsidRPr="001A7517">
        <w:tab/>
        <w:t>Asbestos:  Section 611.602;</w:t>
      </w:r>
    </w:p>
    <w:p w14:paraId="447D8CEA" w14:textId="77777777" w:rsidR="006D3CC8" w:rsidRDefault="006D3CC8" w:rsidP="006D3CC8">
      <w:pPr>
        <w:suppressAutoHyphens/>
        <w:ind w:left="2160" w:hanging="720"/>
      </w:pPr>
    </w:p>
    <w:p w14:paraId="4CAC6113" w14:textId="51AF1320" w:rsidR="006D3CC8" w:rsidRPr="001A7517" w:rsidRDefault="006D3CC8" w:rsidP="006D3CC8">
      <w:pPr>
        <w:suppressAutoHyphens/>
        <w:ind w:left="2160" w:hanging="720"/>
      </w:pPr>
      <w:r w:rsidRPr="001A7517">
        <w:t>2)</w:t>
      </w:r>
      <w:r w:rsidRPr="001A7517">
        <w:tab/>
        <w:t>Antimony, arsenic, barium, beryllium, cadmium, chromium, cyanide, fluoride, mercury, nickel, selenium, and thallium:  Section 611.603;</w:t>
      </w:r>
    </w:p>
    <w:p w14:paraId="028B2CA8" w14:textId="77777777" w:rsidR="006D3CC8" w:rsidRDefault="006D3CC8" w:rsidP="006D3CC8">
      <w:pPr>
        <w:suppressAutoHyphens/>
        <w:ind w:left="2160" w:hanging="720"/>
      </w:pPr>
    </w:p>
    <w:p w14:paraId="0C14EBD9" w14:textId="1F93C221" w:rsidR="006D3CC8" w:rsidRPr="001A7517" w:rsidRDefault="006D3CC8" w:rsidP="006D3CC8">
      <w:pPr>
        <w:suppressAutoHyphens/>
        <w:ind w:left="2160" w:hanging="720"/>
      </w:pPr>
      <w:r w:rsidRPr="001A7517">
        <w:t>3)</w:t>
      </w:r>
      <w:r w:rsidRPr="001A7517">
        <w:tab/>
        <w:t>Nitrate:  Section 611.604; and</w:t>
      </w:r>
    </w:p>
    <w:p w14:paraId="287CE911" w14:textId="77777777" w:rsidR="006D3CC8" w:rsidRDefault="006D3CC8" w:rsidP="006D3CC8">
      <w:pPr>
        <w:suppressAutoHyphens/>
        <w:ind w:left="2160" w:hanging="720"/>
      </w:pPr>
    </w:p>
    <w:p w14:paraId="19A8A46C" w14:textId="303CD324" w:rsidR="006D3CC8" w:rsidRPr="001A7517" w:rsidRDefault="006D3CC8" w:rsidP="006D3CC8">
      <w:pPr>
        <w:suppressAutoHyphens/>
        <w:ind w:left="2160" w:hanging="720"/>
      </w:pPr>
      <w:r w:rsidRPr="001A7517">
        <w:t>4)</w:t>
      </w:r>
      <w:r w:rsidRPr="001A7517">
        <w:tab/>
        <w:t>Nitrite:  Section 611.605.</w:t>
      </w:r>
    </w:p>
    <w:p w14:paraId="11F86918" w14:textId="77777777" w:rsidR="006D3CC8" w:rsidRDefault="006D3CC8" w:rsidP="006D3CC8"/>
    <w:p w14:paraId="75B88CBC" w14:textId="01E47625" w:rsidR="006D3CC8" w:rsidRDefault="006D3CC8" w:rsidP="006D3CC8">
      <w:r w:rsidRPr="001A7517">
        <w:t>BOARD NOTE:  Derived from 40 CFR 141.23(a) and (c).</w:t>
      </w:r>
    </w:p>
    <w:p w14:paraId="3495144D" w14:textId="77777777" w:rsidR="006D3CC8" w:rsidRPr="001A7517" w:rsidRDefault="006D3CC8" w:rsidP="006D3CC8"/>
    <w:p w14:paraId="43FC0FC4" w14:textId="5638A3EB" w:rsidR="006D3CC8" w:rsidRDefault="006D3CC8" w:rsidP="006D3CC8">
      <w:pPr>
        <w:suppressAutoHyphens/>
        <w:ind w:left="720"/>
      </w:pPr>
      <w:r w:rsidRPr="001A7517">
        <w:t>(Source:  A</w:t>
      </w:r>
      <w:r w:rsidRPr="001A7517">
        <w:rPr>
          <w:szCs w:val="17"/>
        </w:rPr>
        <w:t xml:space="preserve">mended at </w:t>
      </w:r>
      <w:r w:rsidRPr="001A7517">
        <w:t>44 Ill. Reg. 6996, effective April 17, 2020)</w:t>
      </w:r>
    </w:p>
    <w:p w14:paraId="55F545F6" w14:textId="77777777" w:rsidR="006D3CC8" w:rsidRPr="001A7517" w:rsidRDefault="006D3CC8" w:rsidP="006D3CC8">
      <w:pPr>
        <w:suppressAutoHyphens/>
        <w:ind w:left="720"/>
      </w:pPr>
    </w:p>
    <w:p w14:paraId="37F5BBA1" w14:textId="2656CBB4" w:rsidR="006D3CC8" w:rsidRDefault="006D3CC8" w:rsidP="006D3CC8">
      <w:pPr>
        <w:rPr>
          <w:b/>
          <w:bCs/>
        </w:rPr>
      </w:pPr>
      <w:r w:rsidRPr="006D3CC8">
        <w:rPr>
          <w:b/>
          <w:bCs/>
        </w:rPr>
        <w:t>Section 611.602  Asbestos Monitoring Frequency</w:t>
      </w:r>
    </w:p>
    <w:p w14:paraId="6AD18377" w14:textId="77777777" w:rsidR="006D3CC8" w:rsidRPr="006D3CC8" w:rsidRDefault="006D3CC8" w:rsidP="006D3CC8">
      <w:pPr>
        <w:rPr>
          <w:b/>
          <w:bCs/>
        </w:rPr>
      </w:pPr>
    </w:p>
    <w:p w14:paraId="692BD8C4" w14:textId="02AD6C96" w:rsidR="006D3CC8" w:rsidRDefault="006D3CC8" w:rsidP="006D3CC8">
      <w:r w:rsidRPr="001A7517">
        <w:lastRenderedPageBreak/>
        <w:t>The frequency of monitoring conducted to determine compliance with the MCL for asbestos in Section 611.301 is as follows:</w:t>
      </w:r>
    </w:p>
    <w:p w14:paraId="522B6FD0" w14:textId="77777777" w:rsidR="006D3CC8" w:rsidRPr="001A7517" w:rsidRDefault="006D3CC8" w:rsidP="006D3CC8"/>
    <w:p w14:paraId="5227C9C5" w14:textId="77777777" w:rsidR="006D3CC8" w:rsidRPr="001A7517" w:rsidRDefault="006D3CC8" w:rsidP="006D3CC8">
      <w:pPr>
        <w:ind w:left="1440" w:hanging="720"/>
      </w:pPr>
      <w:r w:rsidRPr="001A7517">
        <w:t>a)</w:t>
      </w:r>
      <w:r w:rsidRPr="001A7517">
        <w:tab/>
        <w:t>Unless the Agency has determined under subsection (c) that the PWS is not vulnerable, each CWS and NTNCWS supplier must monitor for asbestos during the first compliance period of each compliance cycle.</w:t>
      </w:r>
    </w:p>
    <w:p w14:paraId="68A33311" w14:textId="77777777" w:rsidR="006D3CC8" w:rsidRDefault="006D3CC8" w:rsidP="006D3CC8">
      <w:pPr>
        <w:ind w:left="1440" w:hanging="720"/>
      </w:pPr>
    </w:p>
    <w:p w14:paraId="5B7459FD" w14:textId="676D56AE" w:rsidR="006D3CC8" w:rsidRPr="001A7517" w:rsidRDefault="006D3CC8" w:rsidP="006D3CC8">
      <w:pPr>
        <w:ind w:left="1440" w:hanging="720"/>
      </w:pPr>
      <w:r w:rsidRPr="001A7517">
        <w:t>b)</w:t>
      </w:r>
      <w:r w:rsidRPr="001A7517">
        <w:tab/>
        <w:t>CWS suppliers may apply to the Agency, by way of an application for a SEP, for a determination that the CWS is not vulnerable based on consideration of the criteria listed in subsection (c).</w:t>
      </w:r>
    </w:p>
    <w:p w14:paraId="6BDB3561" w14:textId="77777777" w:rsidR="006D3CC8" w:rsidRDefault="006D3CC8" w:rsidP="006D3CC8">
      <w:pPr>
        <w:ind w:left="1440" w:hanging="720"/>
      </w:pPr>
    </w:p>
    <w:p w14:paraId="19AD2D6F" w14:textId="57EAF58E" w:rsidR="006D3CC8" w:rsidRPr="001A7517" w:rsidRDefault="006D3CC8" w:rsidP="006D3CC8">
      <w:pPr>
        <w:ind w:left="1440" w:hanging="720"/>
      </w:pPr>
      <w:r w:rsidRPr="001A7517">
        <w:t>c)</w:t>
      </w:r>
      <w:r w:rsidRPr="001A7517">
        <w:tab/>
        <w:t>The Agency must determine that the CWS is “not vulnerable” if the CWS is not vulnerable to contamination either from asbestos in its source water, from corrosion of asbestos-cement pipe, or from both, based on a consideration of the following factors:</w:t>
      </w:r>
    </w:p>
    <w:p w14:paraId="1936B3DF" w14:textId="77777777" w:rsidR="006D3CC8" w:rsidRDefault="006D3CC8" w:rsidP="006D3CC8">
      <w:pPr>
        <w:ind w:left="2160" w:hanging="720"/>
      </w:pPr>
    </w:p>
    <w:p w14:paraId="23B4ABBB" w14:textId="539BC08D" w:rsidR="006D3CC8" w:rsidRPr="001A7517" w:rsidRDefault="006D3CC8" w:rsidP="006D3CC8">
      <w:pPr>
        <w:ind w:left="2160" w:hanging="720"/>
      </w:pPr>
      <w:r w:rsidRPr="001A7517">
        <w:t>1)</w:t>
      </w:r>
      <w:r w:rsidRPr="001A7517">
        <w:tab/>
        <w:t>Potential asbestos contamination of the water source; and</w:t>
      </w:r>
    </w:p>
    <w:p w14:paraId="107086F0" w14:textId="77777777" w:rsidR="006D3CC8" w:rsidRDefault="006D3CC8" w:rsidP="006D3CC8">
      <w:pPr>
        <w:ind w:left="2160" w:hanging="720"/>
      </w:pPr>
    </w:p>
    <w:p w14:paraId="652CE572" w14:textId="629F32E6" w:rsidR="006D3CC8" w:rsidRPr="001A7517" w:rsidRDefault="006D3CC8" w:rsidP="006D3CC8">
      <w:pPr>
        <w:ind w:left="2160" w:hanging="720"/>
      </w:pPr>
      <w:r w:rsidRPr="001A7517">
        <w:t>2)</w:t>
      </w:r>
      <w:r w:rsidRPr="001A7517">
        <w:tab/>
        <w:t>The use of asbestos-cement pipe for finished water distribution and the corrosive nature of the water.</w:t>
      </w:r>
    </w:p>
    <w:p w14:paraId="28F5B357" w14:textId="77777777" w:rsidR="006D3CC8" w:rsidRDefault="006D3CC8" w:rsidP="006D3CC8">
      <w:pPr>
        <w:ind w:left="1440" w:hanging="720"/>
      </w:pPr>
    </w:p>
    <w:p w14:paraId="066B2F51" w14:textId="47F54F72" w:rsidR="006D3CC8" w:rsidRPr="001A7517" w:rsidRDefault="006D3CC8" w:rsidP="006D3CC8">
      <w:pPr>
        <w:ind w:left="1440" w:hanging="720"/>
      </w:pPr>
      <w:r w:rsidRPr="001A7517">
        <w:t>d)</w:t>
      </w:r>
      <w:r w:rsidRPr="001A7517">
        <w:tab/>
        <w:t>A SEP based on a determination that a CWS is not vulnerable to asbestos contamination expires at the end of the compliance cycle for which it was issued.</w:t>
      </w:r>
    </w:p>
    <w:p w14:paraId="61B03DFA" w14:textId="77777777" w:rsidR="006D3CC8" w:rsidRDefault="006D3CC8" w:rsidP="006D3CC8">
      <w:pPr>
        <w:ind w:left="1440" w:hanging="720"/>
      </w:pPr>
    </w:p>
    <w:p w14:paraId="5902F54A" w14:textId="74EDCBCC" w:rsidR="006D3CC8" w:rsidRPr="001A7517" w:rsidRDefault="006D3CC8" w:rsidP="006D3CC8">
      <w:pPr>
        <w:ind w:left="1440" w:hanging="720"/>
      </w:pPr>
      <w:r w:rsidRPr="001A7517">
        <w:t>e)</w:t>
      </w:r>
      <w:r w:rsidRPr="001A7517">
        <w:tab/>
        <w:t xml:space="preserve">A supplier of a PWS vulnerable to asbestos contamination due solely to corrosion of asbestos-cement pipe must take one sample at a tap served by asbestos-cement pipe and under conditions </w:t>
      </w:r>
      <w:r w:rsidRPr="001A7517">
        <w:rPr>
          <w:spacing w:val="-3"/>
        </w:rPr>
        <w:t xml:space="preserve">that </w:t>
      </w:r>
      <w:r w:rsidRPr="001A7517">
        <w:t>asbestos contamination is most likely to occur.</w:t>
      </w:r>
    </w:p>
    <w:p w14:paraId="4D089CC4" w14:textId="77777777" w:rsidR="006D3CC8" w:rsidRDefault="006D3CC8" w:rsidP="006D3CC8">
      <w:pPr>
        <w:ind w:left="1440" w:hanging="720"/>
      </w:pPr>
    </w:p>
    <w:p w14:paraId="618900EE" w14:textId="41469D2D" w:rsidR="006D3CC8" w:rsidRPr="001A7517" w:rsidRDefault="006D3CC8" w:rsidP="006D3CC8">
      <w:pPr>
        <w:ind w:left="1440" w:hanging="720"/>
      </w:pPr>
      <w:r w:rsidRPr="001A7517">
        <w:t>f)</w:t>
      </w:r>
      <w:r w:rsidRPr="001A7517">
        <w:tab/>
        <w:t>A supplier of a PWS vulnerable to asbestos contamination due solely to source water must monitor in accordance with Section 611.601.</w:t>
      </w:r>
    </w:p>
    <w:p w14:paraId="79312402" w14:textId="77777777" w:rsidR="006D3CC8" w:rsidRDefault="006D3CC8" w:rsidP="006D3CC8">
      <w:pPr>
        <w:ind w:left="1440" w:hanging="720"/>
      </w:pPr>
    </w:p>
    <w:p w14:paraId="5FF59DA0" w14:textId="5E72E7BD" w:rsidR="006D3CC8" w:rsidRPr="001A7517" w:rsidRDefault="006D3CC8" w:rsidP="006D3CC8">
      <w:pPr>
        <w:ind w:left="1440" w:hanging="720"/>
      </w:pPr>
      <w:r w:rsidRPr="001A7517">
        <w:t>g)</w:t>
      </w:r>
      <w:r w:rsidRPr="001A7517">
        <w:tab/>
        <w:t xml:space="preserve">A supplier of a PWS vulnerable to asbestos contamination due both to its source water supply and corrosion of asbestos-cement pipe must take one sample at a tap served by asbestos-cement pipe and under conditions </w:t>
      </w:r>
      <w:r w:rsidRPr="001A7517">
        <w:rPr>
          <w:spacing w:val="-3"/>
        </w:rPr>
        <w:t xml:space="preserve">that </w:t>
      </w:r>
      <w:r w:rsidRPr="001A7517">
        <w:t>asbestos contamination is most likely to occur.</w:t>
      </w:r>
    </w:p>
    <w:p w14:paraId="34289431" w14:textId="77777777" w:rsidR="006D3CC8" w:rsidRDefault="006D3CC8" w:rsidP="006D3CC8">
      <w:pPr>
        <w:ind w:left="1440" w:hanging="720"/>
      </w:pPr>
    </w:p>
    <w:p w14:paraId="6CACE3EE" w14:textId="6D3F6592" w:rsidR="006D3CC8" w:rsidRPr="001A7517" w:rsidRDefault="006D3CC8" w:rsidP="006D3CC8">
      <w:pPr>
        <w:ind w:left="1440" w:hanging="720"/>
      </w:pPr>
      <w:r w:rsidRPr="001A7517">
        <w:t>h)</w:t>
      </w:r>
      <w:r w:rsidRPr="001A7517">
        <w:tab/>
        <w:t>A supplier that exceeds the MCL, as determined in Section 611.609, must monitor quarterly beginning in the next quarter after the violation occurred.</w:t>
      </w:r>
    </w:p>
    <w:p w14:paraId="4312C695" w14:textId="77777777" w:rsidR="006D3CC8" w:rsidRDefault="006D3CC8" w:rsidP="006D3CC8">
      <w:pPr>
        <w:ind w:left="1440" w:hanging="720"/>
      </w:pPr>
    </w:p>
    <w:p w14:paraId="3FB11560" w14:textId="13C9E2E9" w:rsidR="006D3CC8" w:rsidRPr="001A7517" w:rsidRDefault="006D3CC8" w:rsidP="006D3CC8">
      <w:pPr>
        <w:ind w:left="1440" w:hanging="720"/>
      </w:pPr>
      <w:r w:rsidRPr="001A7517">
        <w:t>i)</w:t>
      </w:r>
      <w:r w:rsidRPr="001A7517">
        <w:tab/>
        <w:t>Reduction of Quarterly Monitoring</w:t>
      </w:r>
    </w:p>
    <w:p w14:paraId="13E81E7A" w14:textId="77777777" w:rsidR="00130349" w:rsidRDefault="00130349" w:rsidP="006D3CC8">
      <w:pPr>
        <w:ind w:left="2160" w:hanging="720"/>
      </w:pPr>
    </w:p>
    <w:p w14:paraId="078DDDB8" w14:textId="302EF134" w:rsidR="006D3CC8" w:rsidRPr="001A7517" w:rsidRDefault="006D3CC8" w:rsidP="006D3CC8">
      <w:pPr>
        <w:ind w:left="2160" w:hanging="720"/>
      </w:pPr>
      <w:r w:rsidRPr="001A7517">
        <w:t>1)</w:t>
      </w:r>
      <w:r w:rsidRPr="001A7517">
        <w:tab/>
        <w:t>The Agency must issue a SEP that reduces the monitoring frequency to that specified by subsection (a) if it determines that the sampling point is reliably and consistently below the MCL.</w:t>
      </w:r>
    </w:p>
    <w:p w14:paraId="7421D217" w14:textId="77777777" w:rsidR="00130349" w:rsidRDefault="00130349" w:rsidP="006D3CC8">
      <w:pPr>
        <w:ind w:left="2160" w:hanging="720"/>
      </w:pPr>
    </w:p>
    <w:p w14:paraId="687F8726" w14:textId="4AE5FCD8" w:rsidR="006D3CC8" w:rsidRPr="001A7517" w:rsidRDefault="006D3CC8" w:rsidP="006D3CC8">
      <w:pPr>
        <w:ind w:left="2160" w:hanging="720"/>
      </w:pPr>
      <w:r w:rsidRPr="001A7517">
        <w:lastRenderedPageBreak/>
        <w:t>2)</w:t>
      </w:r>
      <w:r w:rsidRPr="001A7517">
        <w:tab/>
        <w:t>The request must, at a minimum, include the following information:</w:t>
      </w:r>
    </w:p>
    <w:p w14:paraId="36D31DEF" w14:textId="77777777" w:rsidR="00130349" w:rsidRDefault="00130349" w:rsidP="006D3CC8">
      <w:pPr>
        <w:ind w:left="2880" w:hanging="720"/>
      </w:pPr>
    </w:p>
    <w:p w14:paraId="7F70BC8E" w14:textId="5085C493" w:rsidR="006D3CC8" w:rsidRPr="001A7517" w:rsidRDefault="006D3CC8" w:rsidP="006D3CC8">
      <w:pPr>
        <w:ind w:left="2880" w:hanging="720"/>
      </w:pPr>
      <w:r w:rsidRPr="001A7517">
        <w:t>A)</w:t>
      </w:r>
      <w:r w:rsidRPr="001A7517">
        <w:tab/>
        <w:t>For a GWS:  two quarterly samples.</w:t>
      </w:r>
    </w:p>
    <w:p w14:paraId="3F68FBDF" w14:textId="77777777" w:rsidR="00130349" w:rsidRDefault="00130349" w:rsidP="006D3CC8">
      <w:pPr>
        <w:ind w:left="2880" w:hanging="720"/>
      </w:pPr>
    </w:p>
    <w:p w14:paraId="22FE882D" w14:textId="5C302E31" w:rsidR="006D3CC8" w:rsidRPr="001A7517" w:rsidRDefault="006D3CC8" w:rsidP="006D3CC8">
      <w:pPr>
        <w:ind w:left="2880" w:hanging="720"/>
      </w:pPr>
      <w:r w:rsidRPr="001A7517">
        <w:t>B)</w:t>
      </w:r>
      <w:r w:rsidRPr="001A7517">
        <w:tab/>
        <w:t>For an SWS or mixed system:  four quarterly samples.</w:t>
      </w:r>
    </w:p>
    <w:p w14:paraId="67D62F1E" w14:textId="77777777" w:rsidR="00130349" w:rsidRDefault="00130349" w:rsidP="006D3CC8">
      <w:pPr>
        <w:ind w:left="2160" w:hanging="720"/>
      </w:pPr>
    </w:p>
    <w:p w14:paraId="19BAF21A" w14:textId="39936D55" w:rsidR="006D3CC8" w:rsidRPr="001A7517" w:rsidRDefault="006D3CC8" w:rsidP="006D3CC8">
      <w:pPr>
        <w:ind w:left="2160" w:hanging="720"/>
      </w:pPr>
      <w:r w:rsidRPr="001A7517">
        <w:t>3)</w:t>
      </w:r>
      <w:r w:rsidRPr="001A7517">
        <w:tab/>
        <w:t>In issuing a SEP, the Agency must specify the level of the contaminant upon which the “reliably and consistently” determination was based.  All SEPs that allow less frequent monitoring based on an Agency “reliably and consistently” determination must include a condition requiring the supplier to resume quarterly monitoring under subsection (h) if it violates the MCL specified by Section 611.609.</w:t>
      </w:r>
    </w:p>
    <w:p w14:paraId="3E4F8D38" w14:textId="77777777" w:rsidR="00130349" w:rsidRDefault="00130349" w:rsidP="006D3CC8">
      <w:pPr>
        <w:ind w:left="1440" w:hanging="720"/>
      </w:pPr>
    </w:p>
    <w:p w14:paraId="33E69B6C" w14:textId="1EDA788D" w:rsidR="006D3CC8" w:rsidRPr="001A7517" w:rsidRDefault="006D3CC8" w:rsidP="006D3CC8">
      <w:pPr>
        <w:ind w:left="1440" w:hanging="720"/>
      </w:pPr>
      <w:r w:rsidRPr="001A7517">
        <w:t>j)</w:t>
      </w:r>
      <w:r w:rsidRPr="001A7517">
        <w:tab/>
        <w:t>This subsection (j) corresponds with 40 CFR 141.23(b)(10), which pertains to a compliance period long since expired.  This statement maintains structural consistency with the federal regulations.</w:t>
      </w:r>
    </w:p>
    <w:p w14:paraId="715D90F6" w14:textId="77777777" w:rsidR="00130349" w:rsidRDefault="00130349" w:rsidP="006D3CC8">
      <w:pPr>
        <w:widowControl w:val="0"/>
      </w:pPr>
    </w:p>
    <w:p w14:paraId="30E55F1E" w14:textId="0CE96893" w:rsidR="006D3CC8" w:rsidRPr="001A7517" w:rsidRDefault="006D3CC8" w:rsidP="006D3CC8">
      <w:pPr>
        <w:widowControl w:val="0"/>
      </w:pPr>
      <w:r w:rsidRPr="001A7517">
        <w:t>BOARD NOTE: Derived from 40 CFR 141.23(b).</w:t>
      </w:r>
    </w:p>
    <w:p w14:paraId="68753020" w14:textId="77777777" w:rsidR="00130349" w:rsidRDefault="00130349" w:rsidP="006D3CC8">
      <w:pPr>
        <w:suppressAutoHyphens/>
        <w:ind w:left="720"/>
      </w:pPr>
    </w:p>
    <w:p w14:paraId="6A7ED66A" w14:textId="2D8F2B19" w:rsidR="006D3CC8" w:rsidRPr="001A7517" w:rsidRDefault="006D3CC8" w:rsidP="006D3CC8">
      <w:pPr>
        <w:suppressAutoHyphens/>
        <w:ind w:left="720"/>
      </w:pPr>
      <w:r w:rsidRPr="001A7517">
        <w:t>(Source:  A</w:t>
      </w:r>
      <w:r w:rsidRPr="001A7517">
        <w:rPr>
          <w:szCs w:val="17"/>
        </w:rPr>
        <w:t xml:space="preserve">mended at </w:t>
      </w:r>
      <w:r w:rsidRPr="001A7517">
        <w:t>44 Ill. Reg. 6996, effective April 17, 2020)</w:t>
      </w:r>
    </w:p>
    <w:p w14:paraId="6C9FAC8A" w14:textId="77777777" w:rsidR="00130349" w:rsidRDefault="00130349" w:rsidP="006D3CC8">
      <w:pPr>
        <w:rPr>
          <w:b/>
          <w:bCs/>
        </w:rPr>
      </w:pPr>
    </w:p>
    <w:p w14:paraId="1EF49C84" w14:textId="72C437DA" w:rsidR="006D3CC8" w:rsidRPr="006D3CC8" w:rsidRDefault="006D3CC8" w:rsidP="00130349">
      <w:pPr>
        <w:rPr>
          <w:b/>
          <w:bCs/>
        </w:rPr>
      </w:pPr>
      <w:r w:rsidRPr="006D3CC8">
        <w:rPr>
          <w:b/>
          <w:bCs/>
        </w:rPr>
        <w:t>Section 611.603  Inorganic Monitoring Frequency</w:t>
      </w:r>
    </w:p>
    <w:p w14:paraId="621601C4" w14:textId="77777777" w:rsidR="00130349" w:rsidRDefault="00130349" w:rsidP="00130349"/>
    <w:p w14:paraId="29253F08" w14:textId="34DECAC7" w:rsidR="006D3CC8" w:rsidRPr="001A7517" w:rsidRDefault="006D3CC8" w:rsidP="00130349">
      <w:r w:rsidRPr="001A7517">
        <w:t>The frequency of monitoring conducted to determine compliance with the revised MCLs in Section 611.301 for antimony, arsenic, barium, beryllium, cadmium, chromium, cyanide, fluoride, mercury, nickel, selenium, and thallium is as follows:</w:t>
      </w:r>
    </w:p>
    <w:p w14:paraId="43907F9C" w14:textId="77777777" w:rsidR="00130349" w:rsidRDefault="00130349" w:rsidP="00130349">
      <w:pPr>
        <w:ind w:left="1440" w:hanging="720"/>
      </w:pPr>
    </w:p>
    <w:p w14:paraId="14EFEFE6" w14:textId="014EB55E" w:rsidR="006D3CC8" w:rsidRPr="001A7517" w:rsidRDefault="006D3CC8" w:rsidP="00130349">
      <w:pPr>
        <w:ind w:left="1440" w:hanging="720"/>
      </w:pPr>
      <w:r w:rsidRPr="001A7517">
        <w:t>a)</w:t>
      </w:r>
      <w:r w:rsidRPr="001A7517">
        <w:tab/>
        <w:t>Suppliers must take samples at each sampling point, beginning in the initial compliance period, as follows:</w:t>
      </w:r>
    </w:p>
    <w:p w14:paraId="539AC209" w14:textId="77777777" w:rsidR="00130349" w:rsidRDefault="00130349" w:rsidP="00130349">
      <w:pPr>
        <w:ind w:left="2160" w:hanging="720"/>
      </w:pPr>
    </w:p>
    <w:p w14:paraId="53D303CD" w14:textId="197C60D0" w:rsidR="006D3CC8" w:rsidRPr="001A7517" w:rsidRDefault="006D3CC8" w:rsidP="00130349">
      <w:pPr>
        <w:ind w:left="2160" w:hanging="720"/>
      </w:pPr>
      <w:r w:rsidRPr="001A7517">
        <w:t>1)</w:t>
      </w:r>
      <w:r w:rsidRPr="001A7517">
        <w:tab/>
        <w:t>For a GWS supplier: at least one sample during each compliance period;</w:t>
      </w:r>
    </w:p>
    <w:p w14:paraId="2ED5795A" w14:textId="77777777" w:rsidR="00130349" w:rsidRDefault="00130349" w:rsidP="00130349">
      <w:pPr>
        <w:ind w:left="2160" w:hanging="720"/>
      </w:pPr>
    </w:p>
    <w:p w14:paraId="6145A09E" w14:textId="7312AF21" w:rsidR="006D3CC8" w:rsidRPr="001A7517" w:rsidRDefault="006D3CC8" w:rsidP="00130349">
      <w:pPr>
        <w:ind w:left="2160" w:hanging="720"/>
      </w:pPr>
      <w:r w:rsidRPr="001A7517">
        <w:t>2)</w:t>
      </w:r>
      <w:r w:rsidRPr="001A7517">
        <w:tab/>
        <w:t>For an SWS or a mixed system supplier: at least one sample each year.</w:t>
      </w:r>
    </w:p>
    <w:p w14:paraId="44E57E1D" w14:textId="77777777" w:rsidR="00130349" w:rsidRDefault="00130349" w:rsidP="00130349">
      <w:pPr>
        <w:ind w:left="1440"/>
      </w:pPr>
    </w:p>
    <w:p w14:paraId="472FC2BC" w14:textId="213D39F7" w:rsidR="006D3CC8" w:rsidRPr="001A7517" w:rsidRDefault="006D3CC8" w:rsidP="00130349">
      <w:pPr>
        <w:ind w:left="1440"/>
      </w:pPr>
      <w:r w:rsidRPr="001A7517">
        <w:t>BOARD NOTE:  Derived from 40 CFR 141.23(c)(1).</w:t>
      </w:r>
    </w:p>
    <w:p w14:paraId="07217F5C" w14:textId="77777777" w:rsidR="00130349" w:rsidRDefault="00130349" w:rsidP="00130349">
      <w:pPr>
        <w:ind w:left="1440" w:hanging="720"/>
      </w:pPr>
    </w:p>
    <w:p w14:paraId="0E4E915F" w14:textId="33240005" w:rsidR="006D3CC8" w:rsidRPr="001A7517" w:rsidRDefault="006D3CC8" w:rsidP="00130349">
      <w:pPr>
        <w:ind w:left="1440" w:hanging="720"/>
      </w:pPr>
      <w:r w:rsidRPr="001A7517">
        <w:t>b)</w:t>
      </w:r>
      <w:r w:rsidRPr="001A7517">
        <w:tab/>
        <w:t>SEP Application</w:t>
      </w:r>
    </w:p>
    <w:p w14:paraId="77740A27" w14:textId="77777777" w:rsidR="00130349" w:rsidRDefault="00130349" w:rsidP="00130349">
      <w:pPr>
        <w:ind w:left="2160" w:hanging="720"/>
      </w:pPr>
    </w:p>
    <w:p w14:paraId="772BB2A4" w14:textId="2B1FA119" w:rsidR="006D3CC8" w:rsidRPr="001A7517" w:rsidRDefault="006D3CC8" w:rsidP="00130349">
      <w:pPr>
        <w:ind w:left="2160" w:hanging="720"/>
      </w:pPr>
      <w:r w:rsidRPr="001A7517">
        <w:t>1)</w:t>
      </w:r>
      <w:r w:rsidRPr="001A7517">
        <w:tab/>
        <w:t>The supplier may apply to the Agency for a SEP that allows reduction from the monitoring frequencies specified in subsection (a) under subsections (d) through (f) and</w:t>
      </w:r>
      <w:bookmarkStart w:id="3517" w:name="_Hlk26270573"/>
      <w:r w:rsidRPr="001A7517">
        <w:t xml:space="preserve"> 35 Ill. Adm. Code</w:t>
      </w:r>
      <w:bookmarkStart w:id="3518" w:name="_Hlk26868207"/>
      <w:r w:rsidRPr="001A7517">
        <w:t xml:space="preserve"> 602.600</w:t>
      </w:r>
      <w:bookmarkEnd w:id="3517"/>
      <w:bookmarkEnd w:id="3518"/>
      <w:r w:rsidRPr="001A7517">
        <w:t>.</w:t>
      </w:r>
    </w:p>
    <w:p w14:paraId="2A0E0E6A" w14:textId="77777777" w:rsidR="00130349" w:rsidRDefault="00130349" w:rsidP="00130349">
      <w:pPr>
        <w:ind w:left="2160" w:hanging="720"/>
      </w:pPr>
    </w:p>
    <w:p w14:paraId="62712234" w14:textId="4D35FB35" w:rsidR="006D3CC8" w:rsidRDefault="006D3CC8" w:rsidP="00130349">
      <w:pPr>
        <w:ind w:left="2160" w:hanging="720"/>
      </w:pPr>
      <w:r w:rsidRPr="001A7517">
        <w:t>2)</w:t>
      </w:r>
      <w:r w:rsidRPr="001A7517">
        <w:tab/>
        <w:t>The supplier may apply to the Agency for a SEP that relieves it of the requirement for monitoring cyanide under subsections (d) through (f) and</w:t>
      </w:r>
      <w:bookmarkStart w:id="3519" w:name="_Hlk26868407"/>
      <w:r w:rsidRPr="001A7517">
        <w:t xml:space="preserve"> </w:t>
      </w:r>
      <w:r w:rsidRPr="001A7517">
        <w:lastRenderedPageBreak/>
        <w:t>35 Ill. Adm. Code 602.600</w:t>
      </w:r>
      <w:bookmarkEnd w:id="3519"/>
      <w:r w:rsidRPr="001A7517">
        <w:t xml:space="preserve"> if it can demonstrate that its system is not vulnerable due to a lack of any industrial source of cyanide.</w:t>
      </w:r>
    </w:p>
    <w:p w14:paraId="2AF30F26" w14:textId="77777777" w:rsidR="00130349" w:rsidRPr="001A7517" w:rsidRDefault="00130349" w:rsidP="00130349">
      <w:pPr>
        <w:ind w:left="2160" w:hanging="720"/>
      </w:pPr>
    </w:p>
    <w:p w14:paraId="293A22FF" w14:textId="4998F80D" w:rsidR="006D3CC8" w:rsidRDefault="006D3CC8" w:rsidP="00130349">
      <w:pPr>
        <w:ind w:left="1440"/>
      </w:pPr>
      <w:r w:rsidRPr="001A7517">
        <w:t>BOARD NOTE:  Derived from 40 CFR 141.23(c)(2) and (c)(6).</w:t>
      </w:r>
    </w:p>
    <w:p w14:paraId="0C70DCFF" w14:textId="77777777" w:rsidR="00130349" w:rsidRPr="001A7517" w:rsidRDefault="00130349" w:rsidP="00130349">
      <w:pPr>
        <w:ind w:left="1440"/>
      </w:pPr>
    </w:p>
    <w:p w14:paraId="365D5F03" w14:textId="60DAE70B" w:rsidR="006D3CC8" w:rsidRDefault="006D3CC8" w:rsidP="00130349">
      <w:pPr>
        <w:ind w:left="1440" w:hanging="720"/>
      </w:pPr>
      <w:r w:rsidRPr="001A7517">
        <w:t>c)</w:t>
      </w:r>
      <w:r w:rsidRPr="001A7517">
        <w:tab/>
        <w:t>SEP Procedures.  The Agency must review the request under the SEP procedures of 35 Ill. Adm. Code 602.600 based on consideration of the factors in subsection (e).</w:t>
      </w:r>
    </w:p>
    <w:p w14:paraId="48DE8AFB" w14:textId="77777777" w:rsidR="00130349" w:rsidRPr="001A7517" w:rsidRDefault="00130349" w:rsidP="00130349">
      <w:pPr>
        <w:ind w:left="1440" w:hanging="720"/>
      </w:pPr>
    </w:p>
    <w:p w14:paraId="3712CFC8" w14:textId="78F419F9" w:rsidR="006D3CC8" w:rsidRDefault="006D3CC8" w:rsidP="00130349">
      <w:pPr>
        <w:ind w:left="1440"/>
      </w:pPr>
      <w:r w:rsidRPr="001A7517">
        <w:t>BOARD NOTE:  Derived from 40 CFR 141.23(c)(6).</w:t>
      </w:r>
    </w:p>
    <w:p w14:paraId="47956822" w14:textId="77777777" w:rsidR="00130349" w:rsidRPr="001A7517" w:rsidRDefault="00130349" w:rsidP="00130349">
      <w:pPr>
        <w:ind w:left="1440"/>
      </w:pPr>
    </w:p>
    <w:p w14:paraId="67B9EF64" w14:textId="49C8B1CC" w:rsidR="006D3CC8" w:rsidRDefault="006D3CC8" w:rsidP="00130349">
      <w:pPr>
        <w:ind w:left="1440" w:hanging="720"/>
      </w:pPr>
      <w:r w:rsidRPr="001A7517">
        <w:t>d)</w:t>
      </w:r>
      <w:r w:rsidRPr="001A7517">
        <w:tab/>
        <w:t>Standard for SEP Reduction in Monitoring.  The Agency must grant a SEP that allows a reduction in the monitoring frequency if the supplier demonstrates that all previous analytical results were less than the MCL, provided the supplier meets the following minimum data requirements:</w:t>
      </w:r>
    </w:p>
    <w:p w14:paraId="3359C9F5" w14:textId="77777777" w:rsidR="00130349" w:rsidRPr="001A7517" w:rsidRDefault="00130349" w:rsidP="00130349">
      <w:pPr>
        <w:ind w:left="1440" w:hanging="720"/>
      </w:pPr>
    </w:p>
    <w:p w14:paraId="6321B0F5" w14:textId="16A59698" w:rsidR="006D3CC8" w:rsidRDefault="006D3CC8" w:rsidP="00130349">
      <w:pPr>
        <w:ind w:left="2160" w:hanging="720"/>
      </w:pPr>
      <w:r w:rsidRPr="001A7517">
        <w:t>1)</w:t>
      </w:r>
      <w:r w:rsidRPr="001A7517">
        <w:tab/>
        <w:t>For GWS suppliers:  a minimum of three rounds of monitoring.</w:t>
      </w:r>
    </w:p>
    <w:p w14:paraId="698F0FD8" w14:textId="77777777" w:rsidR="00130349" w:rsidRPr="001A7517" w:rsidRDefault="00130349" w:rsidP="00130349">
      <w:pPr>
        <w:ind w:left="2160" w:hanging="720"/>
      </w:pPr>
    </w:p>
    <w:p w14:paraId="1E8E9AD8" w14:textId="305FCE60" w:rsidR="006D3CC8" w:rsidRDefault="006D3CC8" w:rsidP="00130349">
      <w:pPr>
        <w:ind w:left="2160" w:hanging="720"/>
      </w:pPr>
      <w:r w:rsidRPr="001A7517">
        <w:t>2)</w:t>
      </w:r>
      <w:r w:rsidRPr="001A7517">
        <w:tab/>
        <w:t>For an SWS or mixed system supplier:  annual monitoring for at least three years.</w:t>
      </w:r>
    </w:p>
    <w:p w14:paraId="667D0AD8" w14:textId="77777777" w:rsidR="00130349" w:rsidRPr="001A7517" w:rsidRDefault="00130349" w:rsidP="00130349">
      <w:pPr>
        <w:ind w:left="2160" w:hanging="720"/>
      </w:pPr>
    </w:p>
    <w:p w14:paraId="5FD72343" w14:textId="6615F5BB" w:rsidR="006D3CC8" w:rsidRDefault="006D3CC8" w:rsidP="00130349">
      <w:pPr>
        <w:ind w:left="2160" w:hanging="720"/>
      </w:pPr>
      <w:r w:rsidRPr="001A7517">
        <w:t>3)</w:t>
      </w:r>
      <w:r w:rsidRPr="001A7517">
        <w:tab/>
        <w:t>A supplier that uses a new water source is not eligible for a SEP until it completes three rounds of monitoring from the new source.</w:t>
      </w:r>
    </w:p>
    <w:p w14:paraId="7380EB09" w14:textId="77777777" w:rsidR="00130349" w:rsidRPr="001A7517" w:rsidRDefault="00130349" w:rsidP="00130349">
      <w:pPr>
        <w:ind w:left="2160" w:hanging="720"/>
      </w:pPr>
    </w:p>
    <w:p w14:paraId="5B70B687" w14:textId="1298555A" w:rsidR="006D3CC8" w:rsidRDefault="006D3CC8" w:rsidP="00130349">
      <w:pPr>
        <w:ind w:left="1440"/>
      </w:pPr>
      <w:r w:rsidRPr="001A7517">
        <w:t>BOARD NOTE: Derived from 40 CFR 141.23(c)(4).</w:t>
      </w:r>
    </w:p>
    <w:p w14:paraId="790F0B66" w14:textId="77777777" w:rsidR="00130349" w:rsidRPr="001A7517" w:rsidRDefault="00130349" w:rsidP="00130349">
      <w:pPr>
        <w:ind w:left="1440"/>
      </w:pPr>
    </w:p>
    <w:p w14:paraId="0E17362F" w14:textId="5135409D" w:rsidR="006D3CC8" w:rsidRDefault="006D3CC8" w:rsidP="00130349">
      <w:pPr>
        <w:ind w:left="1440" w:hanging="720"/>
      </w:pPr>
      <w:r w:rsidRPr="001A7517">
        <w:t>e)</w:t>
      </w:r>
      <w:r w:rsidRPr="001A7517">
        <w:tab/>
        <w:t>Standard for SEP Monitoring Conditions.  As a condition of any SEP, the Agency must require that the supplier take a minimum of one sample during the term of the SEP.  In determining the appropriate reduced monitoring frequency, the Agency must consider the following:</w:t>
      </w:r>
    </w:p>
    <w:p w14:paraId="02FCAAEB" w14:textId="77777777" w:rsidR="00130349" w:rsidRPr="001A7517" w:rsidRDefault="00130349" w:rsidP="00130349">
      <w:pPr>
        <w:ind w:left="1440" w:hanging="720"/>
      </w:pPr>
    </w:p>
    <w:p w14:paraId="2B865416" w14:textId="3235B1B8" w:rsidR="006D3CC8" w:rsidRDefault="006D3CC8" w:rsidP="00130349">
      <w:pPr>
        <w:ind w:left="2160" w:hanging="720"/>
      </w:pPr>
      <w:r w:rsidRPr="001A7517">
        <w:t>1)</w:t>
      </w:r>
      <w:r w:rsidRPr="001A7517">
        <w:tab/>
        <w:t>Reported concentrations from all previous monitoring;</w:t>
      </w:r>
    </w:p>
    <w:p w14:paraId="50EFAA19" w14:textId="77777777" w:rsidR="00130349" w:rsidRPr="001A7517" w:rsidRDefault="00130349" w:rsidP="00130349">
      <w:pPr>
        <w:ind w:left="2160" w:hanging="720"/>
      </w:pPr>
    </w:p>
    <w:p w14:paraId="5B548D82" w14:textId="155D7227" w:rsidR="006D3CC8" w:rsidRDefault="006D3CC8" w:rsidP="00130349">
      <w:pPr>
        <w:ind w:left="2160" w:hanging="720"/>
      </w:pPr>
      <w:r w:rsidRPr="001A7517">
        <w:t>2)</w:t>
      </w:r>
      <w:r w:rsidRPr="001A7517">
        <w:tab/>
        <w:t>The degree of variation in reported concentrations; and</w:t>
      </w:r>
    </w:p>
    <w:p w14:paraId="3CF0F951" w14:textId="77777777" w:rsidR="00130349" w:rsidRPr="001A7517" w:rsidRDefault="00130349" w:rsidP="00130349">
      <w:pPr>
        <w:ind w:left="2160" w:hanging="720"/>
      </w:pPr>
    </w:p>
    <w:p w14:paraId="55C592EF" w14:textId="03996648" w:rsidR="006D3CC8" w:rsidRDefault="006D3CC8" w:rsidP="00130349">
      <w:pPr>
        <w:ind w:left="2160" w:hanging="720"/>
      </w:pPr>
      <w:r w:rsidRPr="001A7517">
        <w:t>3)</w:t>
      </w:r>
      <w:r w:rsidRPr="001A7517">
        <w:tab/>
        <w:t>Other factors that may affect contaminant concentrations, such as changes in groundwater pumping rates, changes in the CWS’s configuration, the CWS’s operating procedures, or changes in stream flows or characteristics.</w:t>
      </w:r>
    </w:p>
    <w:p w14:paraId="2EF58112" w14:textId="77777777" w:rsidR="00130349" w:rsidRPr="001A7517" w:rsidRDefault="00130349" w:rsidP="00130349">
      <w:pPr>
        <w:ind w:left="2160" w:hanging="720"/>
      </w:pPr>
    </w:p>
    <w:p w14:paraId="17A2CB72" w14:textId="46E60173" w:rsidR="006D3CC8" w:rsidRDefault="006D3CC8" w:rsidP="00130349">
      <w:pPr>
        <w:ind w:left="1440"/>
      </w:pPr>
      <w:r w:rsidRPr="001A7517">
        <w:t>BOARD NOTE: Derived from 40 CFR 141.23(c)(3) and (c)(5).</w:t>
      </w:r>
    </w:p>
    <w:p w14:paraId="00D26EA7" w14:textId="77777777" w:rsidR="00130349" w:rsidRPr="001A7517" w:rsidRDefault="00130349" w:rsidP="00130349">
      <w:pPr>
        <w:ind w:left="1440"/>
      </w:pPr>
    </w:p>
    <w:p w14:paraId="5B63881D" w14:textId="23EBA6EE" w:rsidR="006D3CC8" w:rsidRDefault="006D3CC8" w:rsidP="00130349">
      <w:pPr>
        <w:ind w:left="1440" w:hanging="720"/>
      </w:pPr>
      <w:r w:rsidRPr="001A7517">
        <w:t>f)</w:t>
      </w:r>
      <w:r w:rsidRPr="001A7517">
        <w:tab/>
        <w:t>SEP Conditions and Revision</w:t>
      </w:r>
    </w:p>
    <w:p w14:paraId="226FBD06" w14:textId="77777777" w:rsidR="00130349" w:rsidRPr="001A7517" w:rsidRDefault="00130349" w:rsidP="00130349">
      <w:pPr>
        <w:ind w:left="1440" w:hanging="720"/>
      </w:pPr>
    </w:p>
    <w:p w14:paraId="1469A71D" w14:textId="33B355E0" w:rsidR="006D3CC8" w:rsidRDefault="006D3CC8" w:rsidP="00130349">
      <w:pPr>
        <w:ind w:left="2160" w:hanging="720"/>
      </w:pPr>
      <w:r w:rsidRPr="001A7517">
        <w:lastRenderedPageBreak/>
        <w:t>1)</w:t>
      </w:r>
      <w:r w:rsidRPr="001A7517">
        <w:tab/>
        <w:t>A SEP will expire at the end of the compliance cycle for which it was issued.</w:t>
      </w:r>
    </w:p>
    <w:p w14:paraId="01F24789" w14:textId="77777777" w:rsidR="00130349" w:rsidRPr="001A7517" w:rsidRDefault="00130349" w:rsidP="00130349">
      <w:pPr>
        <w:ind w:left="2160" w:hanging="720"/>
      </w:pPr>
    </w:p>
    <w:p w14:paraId="343CD090" w14:textId="2ABD3F68" w:rsidR="006D3CC8" w:rsidRDefault="006D3CC8" w:rsidP="00130349">
      <w:pPr>
        <w:ind w:left="2160"/>
      </w:pPr>
      <w:r w:rsidRPr="001A7517">
        <w:t>BOARD NOTE: Derived from 40 CFR 141.23(c)(3).</w:t>
      </w:r>
    </w:p>
    <w:p w14:paraId="39365026" w14:textId="77777777" w:rsidR="00130349" w:rsidRPr="001A7517" w:rsidRDefault="00130349" w:rsidP="00130349">
      <w:pPr>
        <w:ind w:left="2160"/>
      </w:pPr>
    </w:p>
    <w:p w14:paraId="1C19F3AA" w14:textId="73AD93B3" w:rsidR="006D3CC8" w:rsidRDefault="006D3CC8" w:rsidP="00130349">
      <w:pPr>
        <w:ind w:left="2160" w:hanging="720"/>
      </w:pPr>
      <w:r w:rsidRPr="001A7517">
        <w:t>2)</w:t>
      </w:r>
      <w:r w:rsidRPr="001A7517">
        <w:tab/>
        <w:t xml:space="preserve">In issuing a SEP, the Agency must specify the level of the contaminant upon which the “reliably and consistently” determination was based.  A SEP must provide that the Agency will review and, </w:t>
      </w:r>
      <w:r w:rsidRPr="001A7517">
        <w:rPr>
          <w:spacing w:val="-3"/>
        </w:rPr>
        <w:t xml:space="preserve">if </w:t>
      </w:r>
      <w:r w:rsidRPr="001A7517">
        <w:t>appropriate, revise its determination of the appropriate monitoring frequency when the supplier submits new monitoring data or when other data relevant to the supplier’s appropriate monitoring frequency become available.</w:t>
      </w:r>
    </w:p>
    <w:p w14:paraId="65082852" w14:textId="77777777" w:rsidR="00130349" w:rsidRPr="001A7517" w:rsidRDefault="00130349" w:rsidP="00130349">
      <w:pPr>
        <w:ind w:left="2160" w:hanging="720"/>
      </w:pPr>
    </w:p>
    <w:p w14:paraId="2AA581F2" w14:textId="04FFBA05" w:rsidR="006D3CC8" w:rsidRDefault="006D3CC8" w:rsidP="00130349">
      <w:pPr>
        <w:ind w:left="2160"/>
      </w:pPr>
      <w:r w:rsidRPr="001A7517">
        <w:t>BOARD NOTE: Derived from 40 CFR 141.23(c)(6).</w:t>
      </w:r>
    </w:p>
    <w:p w14:paraId="618FF854" w14:textId="77777777" w:rsidR="00130349" w:rsidRPr="001A7517" w:rsidRDefault="00130349" w:rsidP="00130349">
      <w:pPr>
        <w:ind w:left="2160"/>
      </w:pPr>
    </w:p>
    <w:p w14:paraId="2A76FBCE" w14:textId="6B36964A" w:rsidR="006D3CC8" w:rsidRDefault="006D3CC8" w:rsidP="00130349">
      <w:pPr>
        <w:ind w:left="1440" w:hanging="720"/>
      </w:pPr>
      <w:r w:rsidRPr="001A7517">
        <w:t>g)</w:t>
      </w:r>
      <w:r w:rsidRPr="001A7517">
        <w:tab/>
        <w:t>A supplier that exceeds the MCL as determined in Section 611.609, must monitor quarterly for that contaminant, beginning in the next quarter after the violation occurred.</w:t>
      </w:r>
    </w:p>
    <w:p w14:paraId="283084AD" w14:textId="77777777" w:rsidR="00130349" w:rsidRPr="001A7517" w:rsidRDefault="00130349" w:rsidP="00130349">
      <w:pPr>
        <w:ind w:left="1440" w:hanging="720"/>
      </w:pPr>
    </w:p>
    <w:p w14:paraId="31A6CDFA" w14:textId="60118E48" w:rsidR="006D3CC8" w:rsidRDefault="006D3CC8" w:rsidP="00130349">
      <w:pPr>
        <w:ind w:left="1440"/>
      </w:pPr>
      <w:r w:rsidRPr="001A7517">
        <w:t>BOARD NOTE: Derived from 40 CFR 141.23(c)(7).</w:t>
      </w:r>
    </w:p>
    <w:p w14:paraId="1C8C4DDB" w14:textId="77777777" w:rsidR="00130349" w:rsidRPr="001A7517" w:rsidRDefault="00130349" w:rsidP="00130349">
      <w:pPr>
        <w:ind w:left="1440"/>
      </w:pPr>
    </w:p>
    <w:p w14:paraId="6738B5E0" w14:textId="4D937B09" w:rsidR="006D3CC8" w:rsidRDefault="006D3CC8" w:rsidP="00130349">
      <w:pPr>
        <w:ind w:left="1440" w:hanging="720"/>
      </w:pPr>
      <w:r w:rsidRPr="001A7517">
        <w:t>h)</w:t>
      </w:r>
      <w:r w:rsidRPr="001A7517">
        <w:tab/>
        <w:t>Reduction of Quarterly Monitoring</w:t>
      </w:r>
    </w:p>
    <w:p w14:paraId="2DE3F61E" w14:textId="77777777" w:rsidR="00130349" w:rsidRPr="001A7517" w:rsidRDefault="00130349" w:rsidP="00130349">
      <w:pPr>
        <w:ind w:left="1440" w:hanging="720"/>
      </w:pPr>
    </w:p>
    <w:p w14:paraId="05A64C36" w14:textId="1D659B51" w:rsidR="006D3CC8" w:rsidRDefault="006D3CC8" w:rsidP="00130349">
      <w:pPr>
        <w:ind w:left="2160" w:hanging="720"/>
      </w:pPr>
      <w:r w:rsidRPr="001A7517">
        <w:t>1)</w:t>
      </w:r>
      <w:r w:rsidRPr="001A7517">
        <w:tab/>
        <w:t>The Agency must grant a SEP that reduces the monitoring frequency to that specified by subsection (a) if it determines that the sampling point is reliably and consistently below the MCL.</w:t>
      </w:r>
    </w:p>
    <w:p w14:paraId="5E0431AA" w14:textId="77777777" w:rsidR="00130349" w:rsidRPr="001A7517" w:rsidRDefault="00130349" w:rsidP="00130349">
      <w:pPr>
        <w:ind w:left="2160" w:hanging="720"/>
      </w:pPr>
    </w:p>
    <w:p w14:paraId="57C6746E" w14:textId="61F22C49" w:rsidR="006D3CC8" w:rsidRDefault="006D3CC8" w:rsidP="00130349">
      <w:pPr>
        <w:ind w:left="2160" w:hanging="720"/>
      </w:pPr>
      <w:r w:rsidRPr="001A7517">
        <w:t>2)</w:t>
      </w:r>
      <w:r w:rsidRPr="001A7517">
        <w:tab/>
        <w:t>A request for a SEP must include the following minimal information:</w:t>
      </w:r>
    </w:p>
    <w:p w14:paraId="2299CB15" w14:textId="77777777" w:rsidR="00130349" w:rsidRPr="001A7517" w:rsidRDefault="00130349" w:rsidP="00130349">
      <w:pPr>
        <w:ind w:left="2160" w:hanging="720"/>
      </w:pPr>
    </w:p>
    <w:p w14:paraId="736D7E5E" w14:textId="0110A0F3" w:rsidR="006D3CC8" w:rsidRDefault="006D3CC8" w:rsidP="00130349">
      <w:pPr>
        <w:ind w:left="2880" w:hanging="720"/>
      </w:pPr>
      <w:r w:rsidRPr="001A7517">
        <w:t>A)</w:t>
      </w:r>
      <w:r w:rsidRPr="001A7517">
        <w:tab/>
        <w:t>For a GWS:  two quarterly samples.</w:t>
      </w:r>
    </w:p>
    <w:p w14:paraId="75FB4638" w14:textId="77777777" w:rsidR="00130349" w:rsidRPr="001A7517" w:rsidRDefault="00130349" w:rsidP="00130349">
      <w:pPr>
        <w:ind w:left="2880" w:hanging="720"/>
      </w:pPr>
    </w:p>
    <w:p w14:paraId="4A95D741" w14:textId="43C1B82C" w:rsidR="006D3CC8" w:rsidRDefault="006D3CC8" w:rsidP="00130349">
      <w:pPr>
        <w:ind w:left="2880" w:hanging="720"/>
      </w:pPr>
      <w:r w:rsidRPr="001A7517">
        <w:t>B)</w:t>
      </w:r>
      <w:r w:rsidRPr="001A7517">
        <w:tab/>
        <w:t>For an SWS or mixed system supplier:  four quarterly samples.</w:t>
      </w:r>
    </w:p>
    <w:p w14:paraId="79C34FAA" w14:textId="77777777" w:rsidR="00130349" w:rsidRPr="001A7517" w:rsidRDefault="00130349" w:rsidP="00130349">
      <w:pPr>
        <w:ind w:left="2880" w:hanging="720"/>
      </w:pPr>
    </w:p>
    <w:p w14:paraId="716FC33C" w14:textId="54D42B3C" w:rsidR="006D3CC8" w:rsidRDefault="006D3CC8" w:rsidP="00130349">
      <w:pPr>
        <w:ind w:left="2160" w:hanging="720"/>
      </w:pPr>
      <w:r w:rsidRPr="001A7517">
        <w:t>3)</w:t>
      </w:r>
      <w:r w:rsidRPr="001A7517">
        <w:tab/>
        <w:t>In issuing the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for any contaminant under subsection (g) if it violates the MCL specified by Section 611.609 for that contaminant.</w:t>
      </w:r>
    </w:p>
    <w:p w14:paraId="6A8B8E03" w14:textId="77777777" w:rsidR="00130349" w:rsidRPr="001A7517" w:rsidRDefault="00130349" w:rsidP="00130349">
      <w:pPr>
        <w:ind w:left="2160" w:hanging="720"/>
      </w:pPr>
    </w:p>
    <w:p w14:paraId="67A1C0D7" w14:textId="690783B8" w:rsidR="006D3CC8" w:rsidRDefault="006D3CC8" w:rsidP="00130349">
      <w:pPr>
        <w:ind w:left="2160"/>
      </w:pPr>
      <w:r w:rsidRPr="001A7517">
        <w:t>BOARD NOTE:  Derived from 40 CFR 141.23(c)(8).</w:t>
      </w:r>
    </w:p>
    <w:p w14:paraId="60550794" w14:textId="77777777" w:rsidR="00130349" w:rsidRPr="001A7517" w:rsidRDefault="00130349" w:rsidP="00130349">
      <w:pPr>
        <w:ind w:left="2160"/>
      </w:pPr>
    </w:p>
    <w:p w14:paraId="436FF59C" w14:textId="39109B86" w:rsidR="006D3CC8" w:rsidRDefault="006D3CC8" w:rsidP="00130349">
      <w:pPr>
        <w:widowControl w:val="0"/>
        <w:ind w:left="1440" w:hanging="720"/>
      </w:pPr>
      <w:r w:rsidRPr="001A7517">
        <w:t>i)</w:t>
      </w:r>
      <w:r w:rsidRPr="001A7517">
        <w:tab/>
        <w:t xml:space="preserve">A new system supplier or a supplier whose system uses a new source of water must demonstrate compliance with the MCL within a period of time specified by a permit issued the Agency.  The supplier must also comply with the initial </w:t>
      </w:r>
      <w:r w:rsidRPr="001A7517">
        <w:lastRenderedPageBreak/>
        <w:t>sampling frequencies specified by the Agency to ensure a system can demonstrate compliance with the MCL.  Routine and increased monitoring frequencies must be conducted in accordance with the requirements in this Section.</w:t>
      </w:r>
    </w:p>
    <w:p w14:paraId="4D2B2697" w14:textId="77777777" w:rsidR="00130349" w:rsidRPr="001A7517" w:rsidRDefault="00130349" w:rsidP="00130349">
      <w:pPr>
        <w:widowControl w:val="0"/>
        <w:ind w:left="1440" w:hanging="720"/>
      </w:pPr>
    </w:p>
    <w:p w14:paraId="392E4507" w14:textId="0B745091" w:rsidR="006D3CC8" w:rsidRDefault="006D3CC8" w:rsidP="00130349">
      <w:pPr>
        <w:ind w:left="1440"/>
      </w:pPr>
      <w:r w:rsidRPr="001A7517">
        <w:t>BOARD NOTE:  Derived from 40 CFR 141.23(c)(9).</w:t>
      </w:r>
    </w:p>
    <w:p w14:paraId="084378C3" w14:textId="77777777" w:rsidR="00130349" w:rsidRPr="001A7517" w:rsidRDefault="00130349" w:rsidP="00130349">
      <w:pPr>
        <w:ind w:left="1440"/>
      </w:pPr>
    </w:p>
    <w:p w14:paraId="3F1AF1D6" w14:textId="1F7C7927" w:rsidR="006D3CC8" w:rsidRDefault="006D3CC8" w:rsidP="00130349">
      <w:pPr>
        <w:suppressAutoHyphens/>
        <w:ind w:left="720"/>
      </w:pPr>
      <w:r w:rsidRPr="001A7517">
        <w:t>(Source:  A</w:t>
      </w:r>
      <w:r w:rsidRPr="001A7517">
        <w:rPr>
          <w:szCs w:val="17"/>
        </w:rPr>
        <w:t xml:space="preserve">mended at </w:t>
      </w:r>
      <w:r w:rsidRPr="001A7517">
        <w:t>44 Ill. Reg. 6996, effective April 17, 2020)</w:t>
      </w:r>
    </w:p>
    <w:p w14:paraId="05409C5F" w14:textId="77777777" w:rsidR="00130349" w:rsidRPr="001A7517" w:rsidRDefault="00130349" w:rsidP="00130349">
      <w:pPr>
        <w:suppressAutoHyphens/>
        <w:ind w:left="720"/>
      </w:pPr>
    </w:p>
    <w:p w14:paraId="07BC85D9" w14:textId="6E27AA38" w:rsidR="006D3CC8" w:rsidRDefault="006D3CC8" w:rsidP="00130349">
      <w:pPr>
        <w:rPr>
          <w:b/>
          <w:bCs/>
        </w:rPr>
      </w:pPr>
      <w:r w:rsidRPr="006D3CC8">
        <w:rPr>
          <w:b/>
          <w:bCs/>
        </w:rPr>
        <w:t>Section 611.604  Nitrate Monitoring</w:t>
      </w:r>
    </w:p>
    <w:p w14:paraId="02BA1B9C" w14:textId="77777777" w:rsidR="00130349" w:rsidRPr="006D3CC8" w:rsidRDefault="00130349" w:rsidP="00130349">
      <w:pPr>
        <w:rPr>
          <w:b/>
          <w:bCs/>
        </w:rPr>
      </w:pPr>
    </w:p>
    <w:p w14:paraId="666786E8" w14:textId="77777777" w:rsidR="006D3CC8" w:rsidRPr="001A7517" w:rsidRDefault="006D3CC8" w:rsidP="00130349">
      <w:pPr>
        <w:suppressAutoHyphens/>
      </w:pPr>
      <w:r w:rsidRPr="001A7517">
        <w:t>Each supplier must monitor to determine compliance with the MCL for nitrate in Section 611.301.</w:t>
      </w:r>
    </w:p>
    <w:p w14:paraId="02C0A8A3" w14:textId="77777777" w:rsidR="00130349" w:rsidRDefault="00130349" w:rsidP="00130349">
      <w:pPr>
        <w:suppressAutoHyphens/>
        <w:ind w:left="1440" w:hanging="720"/>
      </w:pPr>
    </w:p>
    <w:p w14:paraId="2CAF7183" w14:textId="38C1ED7D" w:rsidR="006D3CC8" w:rsidRPr="001A7517" w:rsidRDefault="006D3CC8" w:rsidP="00130349">
      <w:pPr>
        <w:suppressAutoHyphens/>
        <w:ind w:left="1440" w:hanging="720"/>
      </w:pPr>
      <w:r w:rsidRPr="001A7517">
        <w:t>a)</w:t>
      </w:r>
      <w:r w:rsidRPr="001A7517">
        <w:tab/>
        <w:t>Suppliers must monitor at the following frequencies:</w:t>
      </w:r>
    </w:p>
    <w:p w14:paraId="36540FA0" w14:textId="77777777" w:rsidR="00130349" w:rsidRDefault="00130349" w:rsidP="00130349">
      <w:pPr>
        <w:suppressAutoHyphens/>
        <w:ind w:left="2160" w:hanging="720"/>
      </w:pPr>
    </w:p>
    <w:p w14:paraId="61A27266" w14:textId="34121FA0" w:rsidR="006D3CC8" w:rsidRPr="001A7517" w:rsidRDefault="006D3CC8" w:rsidP="00130349">
      <w:pPr>
        <w:suppressAutoHyphens/>
        <w:ind w:left="2160" w:hanging="720"/>
      </w:pPr>
      <w:r w:rsidRPr="001A7517">
        <w:t>1)</w:t>
      </w:r>
      <w:r w:rsidRPr="001A7517">
        <w:tab/>
        <w:t>CWSs and NTNCWSs</w:t>
      </w:r>
    </w:p>
    <w:p w14:paraId="5495DED2" w14:textId="77777777" w:rsidR="00130349" w:rsidRDefault="00130349" w:rsidP="00130349">
      <w:pPr>
        <w:suppressAutoHyphens/>
        <w:ind w:left="2880" w:hanging="720"/>
      </w:pPr>
    </w:p>
    <w:p w14:paraId="300B9BA8" w14:textId="51E83714" w:rsidR="006D3CC8" w:rsidRPr="001A7517" w:rsidRDefault="006D3CC8" w:rsidP="00130349">
      <w:pPr>
        <w:suppressAutoHyphens/>
        <w:ind w:left="2880" w:hanging="720"/>
      </w:pPr>
      <w:r w:rsidRPr="001A7517">
        <w:t>A)</w:t>
      </w:r>
      <w:r w:rsidRPr="001A7517">
        <w:tab/>
        <w:t>GWSs:  annually;</w:t>
      </w:r>
    </w:p>
    <w:p w14:paraId="3D8A2B70" w14:textId="77777777" w:rsidR="00130349" w:rsidRDefault="00130349" w:rsidP="00130349">
      <w:pPr>
        <w:suppressAutoHyphens/>
        <w:ind w:left="2880" w:hanging="720"/>
      </w:pPr>
    </w:p>
    <w:p w14:paraId="485F4563" w14:textId="1491EEFD" w:rsidR="006D3CC8" w:rsidRPr="001A7517" w:rsidRDefault="006D3CC8" w:rsidP="00130349">
      <w:pPr>
        <w:suppressAutoHyphens/>
        <w:ind w:left="2880" w:hanging="720"/>
      </w:pPr>
      <w:r w:rsidRPr="001A7517">
        <w:t>B)</w:t>
      </w:r>
      <w:r w:rsidRPr="001A7517">
        <w:tab/>
        <w:t>SWSs and mixed systems:  quarterly.</w:t>
      </w:r>
    </w:p>
    <w:p w14:paraId="43B5A382" w14:textId="77777777" w:rsidR="00130349" w:rsidRDefault="00130349" w:rsidP="00130349">
      <w:pPr>
        <w:suppressAutoHyphens/>
        <w:ind w:left="2160"/>
      </w:pPr>
    </w:p>
    <w:p w14:paraId="09F5BA24" w14:textId="78B1451F" w:rsidR="006D3CC8" w:rsidRPr="001A7517" w:rsidRDefault="006D3CC8" w:rsidP="00130349">
      <w:pPr>
        <w:suppressAutoHyphens/>
        <w:ind w:left="2160"/>
      </w:pPr>
      <w:r w:rsidRPr="001A7517">
        <w:t>BOARD NOTE:  Derived from 40 CFR 141.23(d)(1).</w:t>
      </w:r>
    </w:p>
    <w:p w14:paraId="216EC4B7" w14:textId="77777777" w:rsidR="00130349" w:rsidRDefault="00130349" w:rsidP="00130349">
      <w:pPr>
        <w:suppressAutoHyphens/>
        <w:ind w:left="2160" w:hanging="720"/>
      </w:pPr>
    </w:p>
    <w:p w14:paraId="32F29C05" w14:textId="2A4E85C6" w:rsidR="006D3CC8" w:rsidRPr="001A7517" w:rsidRDefault="006D3CC8" w:rsidP="00130349">
      <w:pPr>
        <w:suppressAutoHyphens/>
        <w:ind w:left="2160" w:hanging="720"/>
      </w:pPr>
      <w:r w:rsidRPr="001A7517">
        <w:t>2)</w:t>
      </w:r>
      <w:r w:rsidRPr="001A7517">
        <w:tab/>
        <w:t>Transient non</w:t>
      </w:r>
      <w:r w:rsidRPr="001A7517">
        <w:noBreakHyphen/>
        <w:t>CWSs:  annually.</w:t>
      </w:r>
    </w:p>
    <w:p w14:paraId="20583459" w14:textId="77777777" w:rsidR="006D3CC8" w:rsidRPr="001A7517" w:rsidRDefault="006D3CC8" w:rsidP="00130349">
      <w:pPr>
        <w:suppressAutoHyphens/>
        <w:ind w:left="2160"/>
      </w:pPr>
      <w:r w:rsidRPr="001A7517">
        <w:t>BOARD NOTE:  Derived from 40 CFR 141.23(d)(4).</w:t>
      </w:r>
    </w:p>
    <w:p w14:paraId="301BEEE7" w14:textId="77777777" w:rsidR="00130349" w:rsidRDefault="00130349" w:rsidP="00130349">
      <w:pPr>
        <w:suppressAutoHyphens/>
        <w:ind w:left="1440" w:hanging="720"/>
      </w:pPr>
    </w:p>
    <w:p w14:paraId="72DD0D93" w14:textId="317D5468" w:rsidR="006D3CC8" w:rsidRPr="001A7517" w:rsidRDefault="006D3CC8" w:rsidP="00130349">
      <w:pPr>
        <w:suppressAutoHyphens/>
        <w:ind w:left="1440" w:hanging="720"/>
      </w:pPr>
      <w:r w:rsidRPr="001A7517">
        <w:t>b)</w:t>
      </w:r>
      <w:r w:rsidRPr="001A7517">
        <w:tab/>
        <w:t>Quarterly Monitoring for GWSs</w:t>
      </w:r>
    </w:p>
    <w:p w14:paraId="79F02899" w14:textId="77777777" w:rsidR="00130349" w:rsidRDefault="00130349" w:rsidP="00130349">
      <w:pPr>
        <w:suppressAutoHyphens/>
        <w:ind w:left="2160" w:hanging="720"/>
      </w:pPr>
    </w:p>
    <w:p w14:paraId="255EB90A" w14:textId="3AA8D495" w:rsidR="006D3CC8" w:rsidRPr="001A7517" w:rsidRDefault="006D3CC8" w:rsidP="00130349">
      <w:pPr>
        <w:suppressAutoHyphens/>
        <w:ind w:left="2160" w:hanging="720"/>
      </w:pPr>
      <w:r w:rsidRPr="001A7517">
        <w:t>1)</w:t>
      </w:r>
      <w:r w:rsidRPr="001A7517">
        <w:tab/>
        <w:t>A CWS or NTNCWS supplier that is a GWS must initiate quarterly monitoring in the quarter following any one sample that has a nitrate concentration equal to or greater than 50 percent of the MCL.</w:t>
      </w:r>
    </w:p>
    <w:p w14:paraId="2FF62C56" w14:textId="77777777" w:rsidR="00130349" w:rsidRDefault="00130349" w:rsidP="00130349">
      <w:pPr>
        <w:suppressAutoHyphens/>
        <w:ind w:left="2160" w:hanging="720"/>
      </w:pPr>
    </w:p>
    <w:p w14:paraId="3DED7931" w14:textId="0D5278EF" w:rsidR="006D3CC8" w:rsidRPr="001A7517" w:rsidRDefault="006D3CC8" w:rsidP="00130349">
      <w:pPr>
        <w:suppressAutoHyphens/>
        <w:ind w:left="2160" w:hanging="720"/>
      </w:pPr>
      <w:r w:rsidRPr="001A7517">
        <w:t>2)</w:t>
      </w:r>
      <w:r w:rsidRPr="001A7517">
        <w:tab/>
        <w:t>The Agency must grant a SEP that reduces the monitoring frequency to annual after the supplier has completed quarterly sampling for at least four quarters if it determines that the sampling point is reliably and consistently below the MCL.</w:t>
      </w:r>
    </w:p>
    <w:p w14:paraId="7E4522EE" w14:textId="77777777" w:rsidR="00130349" w:rsidRDefault="00130349" w:rsidP="00130349">
      <w:pPr>
        <w:suppressAutoHyphens/>
        <w:ind w:left="2880" w:hanging="720"/>
      </w:pPr>
    </w:p>
    <w:p w14:paraId="5A4F2E5B" w14:textId="120FABF9" w:rsidR="006D3CC8" w:rsidRPr="001A7517" w:rsidRDefault="006D3CC8" w:rsidP="00130349">
      <w:pPr>
        <w:suppressAutoHyphens/>
        <w:ind w:left="2880" w:hanging="720"/>
      </w:pPr>
      <w:r w:rsidRPr="001A7517">
        <w:t>A)</w:t>
      </w:r>
      <w:r w:rsidRPr="001A7517">
        <w:tab/>
        <w:t>The request must include the following minimal information:  the results from four consecutive quarterly samples.</w:t>
      </w:r>
    </w:p>
    <w:p w14:paraId="40386DAD" w14:textId="77777777" w:rsidR="00130349" w:rsidRDefault="00130349" w:rsidP="00130349">
      <w:pPr>
        <w:suppressAutoHyphens/>
        <w:ind w:left="2880" w:hanging="720"/>
      </w:pPr>
    </w:p>
    <w:p w14:paraId="2AB245EE" w14:textId="3D59FC7F" w:rsidR="006D3CC8" w:rsidRPr="001A7517" w:rsidRDefault="006D3CC8" w:rsidP="00130349">
      <w:pPr>
        <w:suppressAutoHyphens/>
        <w:ind w:left="2880" w:hanging="720"/>
      </w:pPr>
      <w:r w:rsidRPr="001A7517">
        <w:t>B)</w:t>
      </w:r>
      <w:r w:rsidRPr="001A7517">
        <w:tab/>
        <w:t xml:space="preserve">In issuing the SEP, the Agency must specify the level of the contaminant upon which the “reliably and consistently” determination was based.  All SEPs that allow less frequent monitoring based on an Agency “reliably and consistently” determination must include a condition requiring the supplier to </w:t>
      </w:r>
      <w:r w:rsidRPr="001A7517">
        <w:lastRenderedPageBreak/>
        <w:t>resume quarterly monitoring under subsection (b)(1) if it violates the MCL specified by Section 611.301 for nitrate.</w:t>
      </w:r>
    </w:p>
    <w:p w14:paraId="21C0D09A" w14:textId="77777777" w:rsidR="00130349" w:rsidRDefault="00130349" w:rsidP="00130349">
      <w:pPr>
        <w:suppressAutoHyphens/>
        <w:ind w:left="1440"/>
      </w:pPr>
    </w:p>
    <w:p w14:paraId="14319261" w14:textId="4FD46202" w:rsidR="006D3CC8" w:rsidRPr="001A7517" w:rsidRDefault="006D3CC8" w:rsidP="00130349">
      <w:pPr>
        <w:suppressAutoHyphens/>
        <w:ind w:left="1440"/>
      </w:pPr>
      <w:r w:rsidRPr="001A7517">
        <w:t>BOARD NOTE:  Derived from 40 CFR 141.23(d)(2).</w:t>
      </w:r>
    </w:p>
    <w:p w14:paraId="54625053" w14:textId="77777777" w:rsidR="00130349" w:rsidRDefault="00130349" w:rsidP="00130349">
      <w:pPr>
        <w:suppressAutoHyphens/>
        <w:ind w:left="1440" w:hanging="720"/>
      </w:pPr>
    </w:p>
    <w:p w14:paraId="4CC961B0" w14:textId="7D0F70AB" w:rsidR="006D3CC8" w:rsidRPr="001A7517" w:rsidRDefault="006D3CC8" w:rsidP="00130349">
      <w:pPr>
        <w:suppressAutoHyphens/>
        <w:ind w:left="1440" w:hanging="720"/>
      </w:pPr>
      <w:r w:rsidRPr="001A7517">
        <w:t>c)</w:t>
      </w:r>
      <w:r w:rsidRPr="001A7517">
        <w:tab/>
        <w:t>Reduction of Monitoring Frequency for SWSs and Mixed Systems</w:t>
      </w:r>
    </w:p>
    <w:p w14:paraId="3942C4EA" w14:textId="77777777" w:rsidR="00130349" w:rsidRDefault="00130349" w:rsidP="00130349">
      <w:pPr>
        <w:suppressAutoHyphens/>
        <w:ind w:left="2160" w:hanging="720"/>
      </w:pPr>
    </w:p>
    <w:p w14:paraId="64B57D98" w14:textId="5AB051E6" w:rsidR="006D3CC8" w:rsidRPr="001A7517" w:rsidRDefault="006D3CC8" w:rsidP="00130349">
      <w:pPr>
        <w:suppressAutoHyphens/>
        <w:ind w:left="2160" w:hanging="720"/>
      </w:pPr>
      <w:r w:rsidRPr="001A7517">
        <w:t>1)</w:t>
      </w:r>
      <w:r w:rsidRPr="001A7517">
        <w:tab/>
        <w:t>The Agency must grant a SEP that allows a CWS or NTNCWS supplier that is a SWS or mixed system to reduce its monitoring frequency to annually if it determines that all analytical results from four consecutive quarters are less than 50 percent of the MCL.</w:t>
      </w:r>
    </w:p>
    <w:p w14:paraId="121597AA" w14:textId="77777777" w:rsidR="00130349" w:rsidRDefault="00130349" w:rsidP="00130349">
      <w:pPr>
        <w:suppressAutoHyphens/>
        <w:ind w:left="2160" w:hanging="720"/>
      </w:pPr>
    </w:p>
    <w:p w14:paraId="21A01633" w14:textId="51890F1C" w:rsidR="006D3CC8" w:rsidRPr="001A7517" w:rsidRDefault="006D3CC8" w:rsidP="00130349">
      <w:pPr>
        <w:suppressAutoHyphens/>
        <w:ind w:left="2160" w:hanging="720"/>
      </w:pPr>
      <w:r w:rsidRPr="001A7517">
        <w:t>2)</w:t>
      </w:r>
      <w:r w:rsidRPr="001A7517">
        <w:tab/>
        <w:t>As a condition of the SEP, the Agency must require the supplier to initiate quarterly monitoring, beginning the next quarter, if any one sample is greater than or equal to 50 percent of the MCL.</w:t>
      </w:r>
    </w:p>
    <w:p w14:paraId="72359341" w14:textId="77777777" w:rsidR="00130349" w:rsidRDefault="00130349" w:rsidP="00130349">
      <w:pPr>
        <w:suppressAutoHyphens/>
        <w:ind w:left="1440"/>
      </w:pPr>
    </w:p>
    <w:p w14:paraId="15805E2C" w14:textId="61681D36" w:rsidR="006D3CC8" w:rsidRPr="001A7517" w:rsidRDefault="006D3CC8" w:rsidP="00130349">
      <w:pPr>
        <w:suppressAutoHyphens/>
        <w:ind w:left="1440"/>
      </w:pPr>
      <w:r w:rsidRPr="001A7517">
        <w:t>BOARD NOTE:  Derived from 40 CFR 141.23(d)(3).</w:t>
      </w:r>
    </w:p>
    <w:p w14:paraId="388FFD9F" w14:textId="77777777" w:rsidR="00130349" w:rsidRDefault="00130349" w:rsidP="00130349">
      <w:pPr>
        <w:suppressAutoHyphens/>
        <w:ind w:left="1440" w:hanging="720"/>
      </w:pPr>
    </w:p>
    <w:p w14:paraId="78A987EF" w14:textId="0C5F215F" w:rsidR="006D3CC8" w:rsidRPr="001A7517" w:rsidRDefault="006D3CC8" w:rsidP="00130349">
      <w:pPr>
        <w:suppressAutoHyphens/>
        <w:ind w:left="1440" w:hanging="720"/>
      </w:pPr>
      <w:r w:rsidRPr="001A7517">
        <w:t>d)</w:t>
      </w:r>
      <w:r w:rsidRPr="001A7517">
        <w:tab/>
        <w:t>This subsection corresponds with 40 CFR 141.23(d)(4), which the Board has codified at subsection (a)(2).  This statement maintains structural consistency with USEPA rules.</w:t>
      </w:r>
    </w:p>
    <w:p w14:paraId="639F3C3E" w14:textId="77777777" w:rsidR="00130349" w:rsidRDefault="00130349" w:rsidP="00130349">
      <w:pPr>
        <w:suppressAutoHyphens/>
        <w:ind w:left="1440" w:hanging="720"/>
      </w:pPr>
    </w:p>
    <w:p w14:paraId="1AD0E6BE" w14:textId="07019AE0" w:rsidR="006D3CC8" w:rsidRPr="001A7517" w:rsidRDefault="006D3CC8" w:rsidP="00130349">
      <w:pPr>
        <w:suppressAutoHyphens/>
        <w:ind w:left="1440" w:hanging="720"/>
      </w:pPr>
      <w:r w:rsidRPr="001A7517">
        <w:t>e)</w:t>
      </w:r>
      <w:r w:rsidRPr="001A7517">
        <w:tab/>
        <w:t>After completion of four consecutive quarters of monitoring, each CWS or NTNCWS supplier monitoring annually must take samples during the quarters that resulted in the highest analytical result.</w:t>
      </w:r>
    </w:p>
    <w:p w14:paraId="4BC9582A" w14:textId="77777777" w:rsidR="00130349" w:rsidRDefault="00130349" w:rsidP="00130349">
      <w:pPr>
        <w:suppressAutoHyphens/>
        <w:ind w:left="1440"/>
      </w:pPr>
    </w:p>
    <w:p w14:paraId="5B30D7DF" w14:textId="6ED7118E" w:rsidR="006D3CC8" w:rsidRPr="001A7517" w:rsidRDefault="006D3CC8" w:rsidP="00130349">
      <w:pPr>
        <w:suppressAutoHyphens/>
        <w:ind w:left="1440"/>
      </w:pPr>
      <w:r w:rsidRPr="001A7517">
        <w:t>BOARD NOTE:  Derived from 40 CFR 141.23(d)(5).</w:t>
      </w:r>
    </w:p>
    <w:p w14:paraId="19E13F1E" w14:textId="77777777" w:rsidR="00130349" w:rsidRDefault="00130349" w:rsidP="00130349">
      <w:pPr>
        <w:suppressAutoHyphens/>
        <w:ind w:left="720"/>
      </w:pPr>
    </w:p>
    <w:p w14:paraId="7BD65F79" w14:textId="06482C89" w:rsidR="006D3CC8" w:rsidRPr="001A7517" w:rsidRDefault="006D3CC8" w:rsidP="00130349">
      <w:pPr>
        <w:suppressAutoHyphens/>
        <w:ind w:left="720"/>
      </w:pPr>
      <w:r w:rsidRPr="001A7517">
        <w:t>(Source:  A</w:t>
      </w:r>
      <w:r w:rsidRPr="001A7517">
        <w:rPr>
          <w:szCs w:val="17"/>
        </w:rPr>
        <w:t xml:space="preserve">mended at </w:t>
      </w:r>
      <w:r w:rsidRPr="001A7517">
        <w:t>44 Ill. Reg. 6996, effective April 17, 2020)</w:t>
      </w:r>
    </w:p>
    <w:p w14:paraId="1B54DEDC" w14:textId="77777777" w:rsidR="00130349" w:rsidRDefault="00130349" w:rsidP="00130349">
      <w:pPr>
        <w:rPr>
          <w:b/>
          <w:bCs/>
        </w:rPr>
      </w:pPr>
    </w:p>
    <w:p w14:paraId="6A19A083" w14:textId="713F0FFA" w:rsidR="006D3CC8" w:rsidRPr="006D3CC8" w:rsidRDefault="006D3CC8" w:rsidP="00130349">
      <w:pPr>
        <w:rPr>
          <w:b/>
          <w:bCs/>
        </w:rPr>
      </w:pPr>
      <w:r w:rsidRPr="006D3CC8">
        <w:rPr>
          <w:b/>
          <w:bCs/>
        </w:rPr>
        <w:t>Section 611.605  Nitrite Monitoring</w:t>
      </w:r>
    </w:p>
    <w:p w14:paraId="05CAD79F" w14:textId="77777777" w:rsidR="00130349" w:rsidRDefault="00130349" w:rsidP="00130349">
      <w:pPr>
        <w:suppressAutoHyphens/>
      </w:pPr>
    </w:p>
    <w:p w14:paraId="742FAFA8" w14:textId="21F66D46" w:rsidR="006D3CC8" w:rsidRPr="001A7517" w:rsidRDefault="006D3CC8" w:rsidP="00130349">
      <w:pPr>
        <w:suppressAutoHyphens/>
      </w:pPr>
      <w:r w:rsidRPr="001A7517">
        <w:t>Each supplier must monitor to determine compliance with the MCL for nitrite in Section 611.301.</w:t>
      </w:r>
    </w:p>
    <w:p w14:paraId="198B0E06" w14:textId="77777777" w:rsidR="00130349" w:rsidRDefault="00130349" w:rsidP="00130349">
      <w:pPr>
        <w:suppressAutoHyphens/>
        <w:ind w:left="1440" w:hanging="720"/>
      </w:pPr>
    </w:p>
    <w:p w14:paraId="6472B9B7" w14:textId="51BEA349" w:rsidR="006D3CC8" w:rsidRPr="001A7517" w:rsidRDefault="006D3CC8" w:rsidP="00130349">
      <w:pPr>
        <w:suppressAutoHyphens/>
        <w:ind w:left="1440" w:hanging="720"/>
      </w:pPr>
      <w:r w:rsidRPr="001A7517">
        <w:t>a)</w:t>
      </w:r>
      <w:r w:rsidRPr="001A7517">
        <w:tab/>
        <w:t>This subsection (a) corresponds with 40 CFR 141.23(e)(1), which was applicable only until a date now past.  This statement maintains consistency with USEPA rules.</w:t>
      </w:r>
    </w:p>
    <w:p w14:paraId="201971A2" w14:textId="77777777" w:rsidR="00130349" w:rsidRDefault="00130349" w:rsidP="00130349">
      <w:pPr>
        <w:suppressAutoHyphens/>
        <w:ind w:left="1440" w:hanging="720"/>
      </w:pPr>
    </w:p>
    <w:p w14:paraId="204B7AB9" w14:textId="06A5C23E" w:rsidR="006D3CC8" w:rsidRPr="001A7517" w:rsidRDefault="006D3CC8" w:rsidP="00130349">
      <w:pPr>
        <w:suppressAutoHyphens/>
        <w:ind w:left="1440" w:hanging="720"/>
      </w:pPr>
      <w:r w:rsidRPr="001A7517">
        <w:t>b)</w:t>
      </w:r>
      <w:r w:rsidRPr="001A7517">
        <w:tab/>
        <w:t>This subsection corresponds with 40 CFR 141.23(e)(2), a provision by which USEPA refers to state requirements that do not exist in Illinois.  This statement maintains structural consistency with USEPA rules.</w:t>
      </w:r>
    </w:p>
    <w:p w14:paraId="420A9C2B" w14:textId="77777777" w:rsidR="00130349" w:rsidRDefault="00130349" w:rsidP="00130349">
      <w:pPr>
        <w:suppressAutoHyphens/>
        <w:ind w:left="1440" w:hanging="720"/>
      </w:pPr>
    </w:p>
    <w:p w14:paraId="0AAFCB80" w14:textId="0B2914AB" w:rsidR="006D3CC8" w:rsidRPr="001A7517" w:rsidRDefault="006D3CC8" w:rsidP="00130349">
      <w:pPr>
        <w:suppressAutoHyphens/>
        <w:ind w:left="1440" w:hanging="720"/>
      </w:pPr>
      <w:r w:rsidRPr="001A7517">
        <w:t>c)</w:t>
      </w:r>
      <w:r w:rsidRPr="001A7517">
        <w:tab/>
        <w:t>Monitoring Frequency</w:t>
      </w:r>
    </w:p>
    <w:p w14:paraId="60FFC455" w14:textId="77777777" w:rsidR="00130349" w:rsidRDefault="00130349" w:rsidP="00130349">
      <w:pPr>
        <w:suppressAutoHyphens/>
        <w:ind w:left="2160" w:hanging="720"/>
      </w:pPr>
    </w:p>
    <w:p w14:paraId="151E9B22" w14:textId="2C15F25E" w:rsidR="006D3CC8" w:rsidRPr="001A7517" w:rsidRDefault="006D3CC8" w:rsidP="00130349">
      <w:pPr>
        <w:suppressAutoHyphens/>
        <w:ind w:left="2160" w:hanging="720"/>
      </w:pPr>
      <w:r w:rsidRPr="001A7517">
        <w:lastRenderedPageBreak/>
        <w:t>1)</w:t>
      </w:r>
      <w:r w:rsidRPr="001A7517">
        <w:tab/>
        <w:t>Quarterly Monitoring</w:t>
      </w:r>
    </w:p>
    <w:p w14:paraId="79EBF31D" w14:textId="77777777" w:rsidR="00130349" w:rsidRDefault="00130349" w:rsidP="00130349">
      <w:pPr>
        <w:suppressAutoHyphens/>
        <w:ind w:left="2880" w:hanging="720"/>
      </w:pPr>
    </w:p>
    <w:p w14:paraId="52323294" w14:textId="4F1BD5F5" w:rsidR="006D3CC8" w:rsidRPr="001A7517" w:rsidRDefault="006D3CC8" w:rsidP="00130349">
      <w:pPr>
        <w:suppressAutoHyphens/>
        <w:ind w:left="2880" w:hanging="720"/>
      </w:pPr>
      <w:r w:rsidRPr="001A7517">
        <w:t>A)</w:t>
      </w:r>
      <w:r w:rsidRPr="001A7517">
        <w:tab/>
        <w:t>A supplier that has any one sample in which the concentration is equal to or greater than 50 percent of the MCL must initiate quarterly monitoring during the next quarter.</w:t>
      </w:r>
    </w:p>
    <w:p w14:paraId="3C76EFAF" w14:textId="77777777" w:rsidR="00130349" w:rsidRDefault="00130349" w:rsidP="00130349">
      <w:pPr>
        <w:suppressAutoHyphens/>
        <w:ind w:left="2880" w:hanging="720"/>
      </w:pPr>
    </w:p>
    <w:p w14:paraId="6ACB3FB0" w14:textId="6BDA9AF1" w:rsidR="006D3CC8" w:rsidRPr="001A7517" w:rsidRDefault="006D3CC8" w:rsidP="00130349">
      <w:pPr>
        <w:suppressAutoHyphens/>
        <w:ind w:left="2880" w:hanging="720"/>
      </w:pPr>
      <w:r w:rsidRPr="001A7517">
        <w:t>B)</w:t>
      </w:r>
      <w:r w:rsidRPr="001A7517">
        <w:tab/>
        <w:t>A supplier required to begin quarterly monitoring under subsection (c)(1)(A) must continue on a quarterly basis for a minimum of one year following any one sample exceeding the 50 percent of the MCL, after which the supplier may discontinue quarterly monitoring under subsection (c)(2).</w:t>
      </w:r>
    </w:p>
    <w:p w14:paraId="5E3A3F13" w14:textId="77777777" w:rsidR="00130349" w:rsidRDefault="00130349" w:rsidP="00130349">
      <w:pPr>
        <w:suppressAutoHyphens/>
        <w:ind w:left="2160" w:hanging="720"/>
      </w:pPr>
    </w:p>
    <w:p w14:paraId="125740AC" w14:textId="39D5E836" w:rsidR="006D3CC8" w:rsidRPr="001A7517" w:rsidRDefault="006D3CC8" w:rsidP="00130349">
      <w:pPr>
        <w:suppressAutoHyphens/>
        <w:ind w:left="2160" w:hanging="720"/>
      </w:pPr>
      <w:r w:rsidRPr="001A7517">
        <w:t>2)</w:t>
      </w:r>
      <w:r w:rsidRPr="001A7517">
        <w:tab/>
        <w:t>The Agency must grant a SEP that allows a supplier to reduce its monitoring frequency to annually if it determines that the sampling point is reliably and consistently below the MCL.</w:t>
      </w:r>
    </w:p>
    <w:p w14:paraId="43E31089" w14:textId="77777777" w:rsidR="00130349" w:rsidRDefault="00130349" w:rsidP="00130349">
      <w:pPr>
        <w:suppressAutoHyphens/>
        <w:ind w:left="2880" w:hanging="720"/>
      </w:pPr>
    </w:p>
    <w:p w14:paraId="3858B22B" w14:textId="7B92A579" w:rsidR="006D3CC8" w:rsidRPr="001A7517" w:rsidRDefault="006D3CC8" w:rsidP="00130349">
      <w:pPr>
        <w:suppressAutoHyphens/>
        <w:ind w:left="2880" w:hanging="720"/>
      </w:pPr>
      <w:r w:rsidRPr="001A7517">
        <w:t>A)</w:t>
      </w:r>
      <w:r w:rsidRPr="001A7517">
        <w:tab/>
        <w:t>A request for a SEP must include the following minimal information:  the results from four quarterly samples.</w:t>
      </w:r>
    </w:p>
    <w:p w14:paraId="4D3A62E4" w14:textId="77777777" w:rsidR="00130349" w:rsidRDefault="00130349" w:rsidP="00130349">
      <w:pPr>
        <w:suppressAutoHyphens/>
        <w:ind w:left="2880" w:hanging="720"/>
      </w:pPr>
    </w:p>
    <w:p w14:paraId="3DB7F17D" w14:textId="78FE4217" w:rsidR="006D3CC8" w:rsidRPr="001A7517" w:rsidRDefault="006D3CC8" w:rsidP="00130349">
      <w:pPr>
        <w:suppressAutoHyphens/>
        <w:ind w:left="2880" w:hanging="720"/>
      </w:pPr>
      <w:r w:rsidRPr="001A7517">
        <w:t>B)</w:t>
      </w:r>
      <w:r w:rsidRPr="001A7517">
        <w:tab/>
        <w:t>In issuing the SEP, the Agency must specify the level of the contaminant upon which the “reliably and consistently” determination was based.  All SEPs that allow less frequent monitoring based on an Agency “reliably and consistently” determination must include a condition requiring the supplier to resume quarterly monitoring for nitrite under subsection (c)(1) if it equals or exceeds 50 percent of the MCL specified by Section 611.301 for nitrite.</w:t>
      </w:r>
    </w:p>
    <w:p w14:paraId="5314BFFF" w14:textId="77777777" w:rsidR="00130349" w:rsidRDefault="00130349" w:rsidP="00130349">
      <w:pPr>
        <w:suppressAutoHyphens/>
        <w:ind w:left="1440" w:hanging="720"/>
      </w:pPr>
    </w:p>
    <w:p w14:paraId="54B82864" w14:textId="53F0AC74" w:rsidR="006D3CC8" w:rsidRPr="001A7517" w:rsidRDefault="006D3CC8" w:rsidP="00130349">
      <w:pPr>
        <w:suppressAutoHyphens/>
        <w:ind w:left="1440" w:hanging="720"/>
      </w:pPr>
      <w:r w:rsidRPr="001A7517">
        <w:t>d)</w:t>
      </w:r>
      <w:r w:rsidRPr="001A7517">
        <w:tab/>
        <w:t>A supplier that is monitoring annually must take samples during the quarters that previously resulted in the highest analytical result.</w:t>
      </w:r>
    </w:p>
    <w:p w14:paraId="1FA09240" w14:textId="77777777" w:rsidR="00130349" w:rsidRDefault="00130349" w:rsidP="00130349"/>
    <w:p w14:paraId="37F27851" w14:textId="5E167C04" w:rsidR="006D3CC8" w:rsidRPr="001A7517" w:rsidRDefault="006D3CC8" w:rsidP="00130349">
      <w:r w:rsidRPr="001A7517">
        <w:t>BOARD NOTE:  Derived from 40 CFR 141.23(e).</w:t>
      </w:r>
    </w:p>
    <w:p w14:paraId="145E841A" w14:textId="77777777" w:rsidR="00130349" w:rsidRDefault="00130349" w:rsidP="00130349">
      <w:pPr>
        <w:suppressAutoHyphens/>
        <w:ind w:left="720"/>
      </w:pPr>
    </w:p>
    <w:p w14:paraId="6BFE9C28" w14:textId="6E177132" w:rsidR="006D3CC8" w:rsidRPr="001A7517" w:rsidRDefault="006D3CC8" w:rsidP="00130349">
      <w:pPr>
        <w:suppressAutoHyphens/>
        <w:ind w:left="720"/>
      </w:pPr>
      <w:r w:rsidRPr="001A7517">
        <w:t>(Source:  A</w:t>
      </w:r>
      <w:r w:rsidRPr="001A7517">
        <w:rPr>
          <w:szCs w:val="17"/>
        </w:rPr>
        <w:t xml:space="preserve">mended at </w:t>
      </w:r>
      <w:r w:rsidRPr="001A7517">
        <w:t>44 Ill. Reg. 6996, effective April 17, 2020)</w:t>
      </w:r>
    </w:p>
    <w:p w14:paraId="296E0007" w14:textId="77777777" w:rsidR="00130349" w:rsidRDefault="00130349" w:rsidP="00130349">
      <w:pPr>
        <w:rPr>
          <w:b/>
          <w:bCs/>
        </w:rPr>
      </w:pPr>
    </w:p>
    <w:p w14:paraId="21B9977B" w14:textId="08FE9385" w:rsidR="006D3CC8" w:rsidRPr="006D3CC8" w:rsidRDefault="006D3CC8" w:rsidP="00130349">
      <w:pPr>
        <w:rPr>
          <w:b/>
          <w:bCs/>
        </w:rPr>
      </w:pPr>
      <w:r w:rsidRPr="006D3CC8">
        <w:rPr>
          <w:b/>
          <w:bCs/>
        </w:rPr>
        <w:t>Section 611.606  Confirmation Samples</w:t>
      </w:r>
    </w:p>
    <w:p w14:paraId="39FDEE0E" w14:textId="77777777" w:rsidR="00130349" w:rsidRDefault="00130349" w:rsidP="00130349">
      <w:pPr>
        <w:suppressAutoHyphens/>
        <w:ind w:left="1440" w:hanging="720"/>
      </w:pPr>
    </w:p>
    <w:p w14:paraId="67F5015A" w14:textId="7C03D48C" w:rsidR="006D3CC8" w:rsidRPr="001A7517" w:rsidRDefault="006D3CC8" w:rsidP="00130349">
      <w:pPr>
        <w:suppressAutoHyphens/>
        <w:ind w:left="1440" w:hanging="720"/>
      </w:pPr>
      <w:r w:rsidRPr="001A7517">
        <w:t>a)</w:t>
      </w:r>
      <w:r w:rsidRPr="001A7517">
        <w:tab/>
      </w:r>
      <w:r w:rsidRPr="001A7517">
        <w:rPr>
          <w:spacing w:val="-3"/>
        </w:rPr>
        <w:t xml:space="preserve">If </w:t>
      </w:r>
      <w:r w:rsidRPr="001A7517">
        <w:t>the results of sampling for antimony, arsenic, asbestos, barium, beryllium, cadmium, chromium, cyanide, fluoride, mercury, nickel, selenium, or thallium indicate a level in excess of the MCL, the supplier must collect one additional sample as soon as possible after the initial sample was taken (but not to exceed two weeks) at the same sampling point.</w:t>
      </w:r>
    </w:p>
    <w:p w14:paraId="3810BB42" w14:textId="77777777" w:rsidR="00130349" w:rsidRDefault="00130349" w:rsidP="00130349">
      <w:pPr>
        <w:suppressAutoHyphens/>
        <w:ind w:left="1440" w:hanging="720"/>
      </w:pPr>
    </w:p>
    <w:p w14:paraId="3D41D853" w14:textId="5DA257D7" w:rsidR="006D3CC8" w:rsidRPr="001A7517" w:rsidRDefault="006D3CC8" w:rsidP="00130349">
      <w:pPr>
        <w:suppressAutoHyphens/>
        <w:ind w:left="1440" w:hanging="720"/>
      </w:pPr>
      <w:r w:rsidRPr="001A7517">
        <w:lastRenderedPageBreak/>
        <w:t>b)</w:t>
      </w:r>
      <w:r w:rsidRPr="001A7517">
        <w:tab/>
      </w:r>
      <w:r w:rsidRPr="001A7517">
        <w:rPr>
          <w:spacing w:val="-3"/>
        </w:rPr>
        <w:t xml:space="preserve">If </w:t>
      </w:r>
      <w:r w:rsidRPr="001A7517">
        <w:t>nitrate or nitrite sampling results indicate a level in excess of the MCL, the supplier must take a confirmation sample within 24 hours after the supplier’s receipt of notification of the analytical results of the first sample.</w:t>
      </w:r>
    </w:p>
    <w:p w14:paraId="33B20200" w14:textId="77777777" w:rsidR="00130349" w:rsidRDefault="00130349" w:rsidP="00130349">
      <w:pPr>
        <w:suppressAutoHyphens/>
        <w:ind w:left="2160" w:hanging="720"/>
      </w:pPr>
    </w:p>
    <w:p w14:paraId="2214C0F2" w14:textId="74EC98E2" w:rsidR="006D3CC8" w:rsidRPr="001A7517" w:rsidRDefault="006D3CC8" w:rsidP="00130349">
      <w:pPr>
        <w:suppressAutoHyphens/>
        <w:ind w:left="2160" w:hanging="720"/>
      </w:pPr>
      <w:r w:rsidRPr="001A7517">
        <w:t>1)</w:t>
      </w:r>
      <w:r w:rsidRPr="001A7517">
        <w:tab/>
        <w:t>Suppliers unable to comply with the 24-hour sampling requirement must immediately notify the persons served in accordance with Section 611.902 and meet other Tier 1 public notification requirements under Subpart V of this Part.</w:t>
      </w:r>
    </w:p>
    <w:p w14:paraId="54C78DBF" w14:textId="77777777" w:rsidR="00130349" w:rsidRDefault="00130349" w:rsidP="00130349">
      <w:pPr>
        <w:suppressAutoHyphens/>
        <w:ind w:left="2160" w:hanging="720"/>
      </w:pPr>
    </w:p>
    <w:p w14:paraId="113AC0C2" w14:textId="4F03830E" w:rsidR="006D3CC8" w:rsidRPr="001A7517" w:rsidRDefault="006D3CC8" w:rsidP="00130349">
      <w:pPr>
        <w:suppressAutoHyphens/>
        <w:ind w:left="2160" w:hanging="720"/>
      </w:pPr>
      <w:r w:rsidRPr="001A7517">
        <w:t>2)</w:t>
      </w:r>
      <w:r w:rsidRPr="001A7517">
        <w:tab/>
        <w:t>Suppliers exercising this option must take and analyze a confirmation sample within two weeks after notification of the analytical results of the first sample.</w:t>
      </w:r>
    </w:p>
    <w:p w14:paraId="382DE961" w14:textId="77777777" w:rsidR="00130349" w:rsidRDefault="00130349" w:rsidP="00130349">
      <w:pPr>
        <w:suppressAutoHyphens/>
        <w:ind w:left="1440" w:hanging="720"/>
      </w:pPr>
    </w:p>
    <w:p w14:paraId="160198D6" w14:textId="0695B42D" w:rsidR="006D3CC8" w:rsidRPr="001A7517" w:rsidRDefault="006D3CC8" w:rsidP="00130349">
      <w:pPr>
        <w:suppressAutoHyphens/>
        <w:ind w:left="1440" w:hanging="720"/>
      </w:pPr>
      <w:r w:rsidRPr="001A7517">
        <w:t>c)</w:t>
      </w:r>
      <w:r w:rsidRPr="001A7517">
        <w:tab/>
        <w:t>Averaging rules are specified in Section 611.609.  The Agency must delete the original or confirmation sample if it determines that a sampling error occurred, in which case the confirmation sample will replace the original sample.</w:t>
      </w:r>
    </w:p>
    <w:p w14:paraId="3BD605A5" w14:textId="77777777" w:rsidR="00130349" w:rsidRDefault="00130349" w:rsidP="00130349"/>
    <w:p w14:paraId="565112B9" w14:textId="5DE52C01" w:rsidR="006D3CC8" w:rsidRPr="001A7517" w:rsidRDefault="006D3CC8" w:rsidP="00130349">
      <w:r w:rsidRPr="001A7517">
        <w:t>NOTE:  Derived from 40 CFR 141.23(f).</w:t>
      </w:r>
    </w:p>
    <w:p w14:paraId="417E13ED" w14:textId="77777777" w:rsidR="00130349" w:rsidRDefault="00130349" w:rsidP="00130349">
      <w:pPr>
        <w:suppressAutoHyphens/>
      </w:pPr>
    </w:p>
    <w:p w14:paraId="7F4819E5" w14:textId="1CCF422B" w:rsidR="006D3CC8" w:rsidRPr="001A7517" w:rsidRDefault="00130349" w:rsidP="00130349">
      <w:pPr>
        <w:suppressAutoHyphens/>
      </w:pPr>
      <w:r>
        <w:tab/>
      </w:r>
      <w:r w:rsidR="006D3CC8" w:rsidRPr="001A7517">
        <w:t>(Source:  Amended at 27 Ill. Reg. 16447, effective October 10, 2003)</w:t>
      </w:r>
    </w:p>
    <w:p w14:paraId="29598F5C" w14:textId="77777777" w:rsidR="00130349" w:rsidRDefault="00130349" w:rsidP="00130349">
      <w:pPr>
        <w:rPr>
          <w:b/>
          <w:bCs/>
        </w:rPr>
      </w:pPr>
    </w:p>
    <w:p w14:paraId="0C166C77" w14:textId="562A21A5" w:rsidR="006D3CC8" w:rsidRPr="006D3CC8" w:rsidRDefault="006D3CC8" w:rsidP="00130349">
      <w:pPr>
        <w:rPr>
          <w:b/>
          <w:bCs/>
        </w:rPr>
      </w:pPr>
      <w:r w:rsidRPr="006D3CC8">
        <w:rPr>
          <w:b/>
          <w:bCs/>
        </w:rPr>
        <w:t>Section 611.607  More Frequent Monitoring and Confirmation Sampling</w:t>
      </w:r>
    </w:p>
    <w:p w14:paraId="2B0905FC" w14:textId="77777777" w:rsidR="00130349" w:rsidRDefault="00130349" w:rsidP="00130349">
      <w:pPr>
        <w:suppressAutoHyphens/>
      </w:pPr>
    </w:p>
    <w:p w14:paraId="534BD7E3" w14:textId="6BDD7CC8" w:rsidR="006D3CC8" w:rsidRPr="001A7517" w:rsidRDefault="006D3CC8" w:rsidP="00130349">
      <w:pPr>
        <w:suppressAutoHyphens/>
      </w:pPr>
      <w:r w:rsidRPr="001A7517">
        <w:t>This Section corresponds with 40 CFR 141.23(g), which authorizes the states to require more frequent monitoring and confirmation sampling than is required under federal law.  This statement maintains structural consistency with the corresponding federal rules.</w:t>
      </w:r>
    </w:p>
    <w:p w14:paraId="1FA60452" w14:textId="14375BCF" w:rsidR="006D3CC8" w:rsidRPr="001A7517" w:rsidRDefault="00130349" w:rsidP="00130349">
      <w:pPr>
        <w:suppressAutoHyphens/>
      </w:pPr>
      <w:r>
        <w:tab/>
      </w:r>
      <w:r w:rsidR="006D3CC8" w:rsidRPr="001A7517">
        <w:t>(Source:  Amended at 27 Ill. Reg. 16447, effective October 10, 2003)</w:t>
      </w:r>
    </w:p>
    <w:p w14:paraId="187FBAB9" w14:textId="77777777" w:rsidR="00130349" w:rsidRDefault="00130349" w:rsidP="00130349">
      <w:pPr>
        <w:rPr>
          <w:b/>
          <w:bCs/>
        </w:rPr>
      </w:pPr>
    </w:p>
    <w:p w14:paraId="3F0083FF" w14:textId="2AC9BDB6" w:rsidR="006D3CC8" w:rsidRPr="006D3CC8" w:rsidRDefault="006D3CC8" w:rsidP="00130349">
      <w:pPr>
        <w:rPr>
          <w:b/>
          <w:bCs/>
        </w:rPr>
      </w:pPr>
      <w:r w:rsidRPr="006D3CC8">
        <w:rPr>
          <w:b/>
          <w:bCs/>
        </w:rPr>
        <w:t>Section 611.608  Additional Optional Monitoring</w:t>
      </w:r>
    </w:p>
    <w:p w14:paraId="490E9F03" w14:textId="77777777" w:rsidR="00130349" w:rsidRDefault="00130349" w:rsidP="00130349">
      <w:pPr>
        <w:suppressAutoHyphens/>
      </w:pPr>
    </w:p>
    <w:p w14:paraId="11D4AF0C" w14:textId="772B093F" w:rsidR="006D3CC8" w:rsidRPr="001A7517" w:rsidRDefault="006D3CC8" w:rsidP="00130349">
      <w:pPr>
        <w:suppressAutoHyphens/>
      </w:pPr>
      <w:r w:rsidRPr="001A7517">
        <w:t>Suppliers may conduct additional, more frequent monitoring than the minimum frequencies specified in this Subpart N, without prior approval from the Agency.  The supplier must report the results of all such monitoring to the Agency.</w:t>
      </w:r>
    </w:p>
    <w:p w14:paraId="3044F97B" w14:textId="77777777" w:rsidR="00130349" w:rsidRDefault="00130349" w:rsidP="00130349">
      <w:pPr>
        <w:suppressAutoHyphens/>
      </w:pPr>
    </w:p>
    <w:p w14:paraId="274C17EF" w14:textId="50F709EF" w:rsidR="006D3CC8" w:rsidRPr="001A7517" w:rsidRDefault="006D3CC8" w:rsidP="00130349">
      <w:pPr>
        <w:suppressAutoHyphens/>
      </w:pPr>
      <w:r w:rsidRPr="001A7517">
        <w:t>BOARD NOTE:  Derived from 40 CFR 141.23(h).</w:t>
      </w:r>
    </w:p>
    <w:p w14:paraId="53EDC47B" w14:textId="77777777" w:rsidR="00130349" w:rsidRDefault="00130349" w:rsidP="00130349">
      <w:pPr>
        <w:suppressAutoHyphens/>
      </w:pPr>
      <w:r>
        <w:tab/>
      </w:r>
    </w:p>
    <w:p w14:paraId="2D3EE49F" w14:textId="639793D3" w:rsidR="006D3CC8" w:rsidRPr="001A7517" w:rsidRDefault="00130349" w:rsidP="00130349">
      <w:pPr>
        <w:suppressAutoHyphens/>
      </w:pPr>
      <w:r>
        <w:tab/>
      </w:r>
      <w:r w:rsidR="006D3CC8" w:rsidRPr="001A7517">
        <w:t>(Source:  Amended at 27 Ill. Reg. 16447, effective October 10, 2003)</w:t>
      </w:r>
    </w:p>
    <w:p w14:paraId="5C38E414" w14:textId="77777777" w:rsidR="00130349" w:rsidRDefault="00130349" w:rsidP="00130349">
      <w:pPr>
        <w:rPr>
          <w:b/>
          <w:bCs/>
        </w:rPr>
      </w:pPr>
    </w:p>
    <w:p w14:paraId="60D57576" w14:textId="490EEA22" w:rsidR="006D3CC8" w:rsidRPr="006D3CC8" w:rsidRDefault="006D3CC8" w:rsidP="00130349">
      <w:pPr>
        <w:rPr>
          <w:b/>
          <w:bCs/>
        </w:rPr>
      </w:pPr>
      <w:r w:rsidRPr="006D3CC8">
        <w:rPr>
          <w:b/>
          <w:bCs/>
        </w:rPr>
        <w:t>Section 611.609  Determining Compliance</w:t>
      </w:r>
    </w:p>
    <w:p w14:paraId="534085DA" w14:textId="77777777" w:rsidR="00130349" w:rsidRDefault="00130349" w:rsidP="00130349"/>
    <w:p w14:paraId="78081791" w14:textId="0D92C948" w:rsidR="006D3CC8" w:rsidRPr="001A7517" w:rsidRDefault="006D3CC8" w:rsidP="00130349">
      <w:r w:rsidRPr="001A7517">
        <w:t>Compliance with the MCLs of Section 611.300 or 611.301 (as appropriate) must be determined based on the analytical results obtained at each sampling point.</w:t>
      </w:r>
    </w:p>
    <w:p w14:paraId="7A9E815D" w14:textId="77777777" w:rsidR="00130349" w:rsidRDefault="00130349" w:rsidP="00130349">
      <w:pPr>
        <w:ind w:left="1440" w:hanging="720"/>
      </w:pPr>
    </w:p>
    <w:p w14:paraId="697CFE80" w14:textId="6D5BECF6" w:rsidR="006D3CC8" w:rsidRPr="001A7517" w:rsidRDefault="006D3CC8" w:rsidP="00130349">
      <w:pPr>
        <w:ind w:left="1440" w:hanging="720"/>
      </w:pPr>
      <w:r w:rsidRPr="001A7517">
        <w:t>a)</w:t>
      </w:r>
      <w:r w:rsidRPr="001A7517">
        <w:tab/>
        <w:t xml:space="preserve">For suppliers that monitor at a frequency greater than annual, compliance with the MCLs for antimony, arsenic, asbestos, barium, beryllium, cadmium, chromium, </w:t>
      </w:r>
      <w:r w:rsidRPr="001A7517">
        <w:lastRenderedPageBreak/>
        <w:t>cyanide, fluoride, mercury, nickel, selenium, or thallium is determined by a running annual average at each sampling point.</w:t>
      </w:r>
    </w:p>
    <w:p w14:paraId="7ED24FE5" w14:textId="77777777" w:rsidR="00130349" w:rsidRDefault="00130349" w:rsidP="00130349">
      <w:pPr>
        <w:ind w:left="2160" w:hanging="720"/>
      </w:pPr>
    </w:p>
    <w:p w14:paraId="7B3C52D5" w14:textId="2DD5D17C" w:rsidR="006D3CC8" w:rsidRPr="001A7517" w:rsidRDefault="006D3CC8" w:rsidP="00130349">
      <w:pPr>
        <w:ind w:left="2160" w:hanging="720"/>
      </w:pPr>
      <w:r w:rsidRPr="001A7517">
        <w:t>1)</w:t>
      </w:r>
      <w:r w:rsidRPr="001A7517">
        <w:tab/>
        <w:t>If the average at any sampling point is greater than the MCL, then the supplier is out of compliance.</w:t>
      </w:r>
    </w:p>
    <w:p w14:paraId="48301ABF" w14:textId="77777777" w:rsidR="00130349" w:rsidRDefault="00130349" w:rsidP="00130349">
      <w:pPr>
        <w:ind w:left="2160" w:hanging="720"/>
      </w:pPr>
    </w:p>
    <w:p w14:paraId="5442A984" w14:textId="654FF9D4" w:rsidR="006D3CC8" w:rsidRPr="001A7517" w:rsidRDefault="006D3CC8" w:rsidP="00130349">
      <w:pPr>
        <w:ind w:left="2160" w:hanging="720"/>
      </w:pPr>
      <w:r w:rsidRPr="001A7517">
        <w:t>2)</w:t>
      </w:r>
      <w:r w:rsidRPr="001A7517">
        <w:tab/>
        <w:t>If any one sample would cause the annual average to be exceeded, then the supplier is out of compliance immediately.</w:t>
      </w:r>
    </w:p>
    <w:p w14:paraId="3AEFE0C4" w14:textId="77777777" w:rsidR="00130349" w:rsidRDefault="00130349" w:rsidP="00130349">
      <w:pPr>
        <w:ind w:left="2160" w:hanging="720"/>
      </w:pPr>
    </w:p>
    <w:p w14:paraId="1C6E1BC6" w14:textId="787EFE54" w:rsidR="006D3CC8" w:rsidRPr="001A7517" w:rsidRDefault="006D3CC8" w:rsidP="00130349">
      <w:pPr>
        <w:ind w:left="2160" w:hanging="720"/>
      </w:pPr>
      <w:r w:rsidRPr="001A7517">
        <w:t>3)</w:t>
      </w:r>
      <w:r w:rsidRPr="001A7517">
        <w:tab/>
        <w:t>Any sample below the method detection limit must be calculated at zero for the purpose of determining the annual average.</w:t>
      </w:r>
    </w:p>
    <w:p w14:paraId="3A41E74F" w14:textId="77777777" w:rsidR="00130349" w:rsidRDefault="00130349" w:rsidP="00130349">
      <w:pPr>
        <w:ind w:left="2160"/>
      </w:pPr>
    </w:p>
    <w:p w14:paraId="472C4735" w14:textId="0D53A00A" w:rsidR="006D3CC8" w:rsidRPr="001A7517" w:rsidRDefault="006D3CC8" w:rsidP="00130349">
      <w:pPr>
        <w:ind w:left="2160"/>
      </w:pPr>
      <w:r w:rsidRPr="001A7517">
        <w:t>BOARD NOTE: The “method detection limit” is different from the “detection limit, “as set forth in Section 611.600.  The “method detection limit” is the level of contaminant that can be determined by a particular method with a 95 percent degree of confidence, as determined by the method outlined in appendix B to 40 CFR 136, incorporated by reference at Section 611.102.</w:t>
      </w:r>
    </w:p>
    <w:p w14:paraId="1CC55FAB" w14:textId="77777777" w:rsidR="00130349" w:rsidRDefault="00130349" w:rsidP="00130349">
      <w:pPr>
        <w:widowControl w:val="0"/>
        <w:ind w:left="2160" w:hanging="720"/>
      </w:pPr>
    </w:p>
    <w:p w14:paraId="08B492A6" w14:textId="5C2F470B" w:rsidR="006D3CC8" w:rsidRPr="001A7517" w:rsidRDefault="006D3CC8" w:rsidP="00130349">
      <w:pPr>
        <w:widowControl w:val="0"/>
        <w:ind w:left="2160" w:hanging="720"/>
      </w:pPr>
      <w:r w:rsidRPr="001A7517">
        <w:t>4)</w:t>
      </w:r>
      <w:r w:rsidRPr="001A7517">
        <w:tab/>
        <w:t>If a system fails to collect the required number of samples, compliance (average concentration) will be based on the total number of samples collected.</w:t>
      </w:r>
    </w:p>
    <w:p w14:paraId="591D4A80" w14:textId="77777777" w:rsidR="00130349" w:rsidRDefault="00130349" w:rsidP="00130349">
      <w:pPr>
        <w:ind w:left="1440" w:hanging="720"/>
      </w:pPr>
    </w:p>
    <w:p w14:paraId="126AAE58" w14:textId="5AF3E176" w:rsidR="006D3CC8" w:rsidRPr="001A7517" w:rsidRDefault="006D3CC8" w:rsidP="00130349">
      <w:pPr>
        <w:ind w:left="1440" w:hanging="720"/>
      </w:pPr>
      <w:r w:rsidRPr="001A7517">
        <w:t>b)</w:t>
      </w:r>
      <w:r w:rsidRPr="001A7517">
        <w:tab/>
        <w:t>For suppliers that monitor annually or less frequently, compliance with the MCLs for antimony, arsenic, asbestos, barium, beryllium, cadmium, chromium, cyanide, fluoride, mercury, nickel, selenium, or thallium is determined by the level of the contaminant at any sampling point.  If confirmation samples are required by the Agency, the determination of compliance will be based on the average of the annual average of the initial MCL exceedance and any Agency-required confirmation samples.  If a supplier fails to collect the required number of samples, compliance (average concentration) will be based on the total number of samples collected.</w:t>
      </w:r>
    </w:p>
    <w:p w14:paraId="06EC61FE" w14:textId="77777777" w:rsidR="00130349" w:rsidRDefault="00130349" w:rsidP="00130349">
      <w:pPr>
        <w:ind w:left="1440" w:hanging="720"/>
      </w:pPr>
    </w:p>
    <w:p w14:paraId="21AF16C0" w14:textId="53BFFA26" w:rsidR="006D3CC8" w:rsidRPr="001A7517" w:rsidRDefault="006D3CC8" w:rsidP="00130349">
      <w:pPr>
        <w:ind w:left="1440" w:hanging="720"/>
      </w:pPr>
      <w:r w:rsidRPr="001A7517">
        <w:t>c)</w:t>
      </w:r>
      <w:r w:rsidRPr="001A7517">
        <w:tab/>
        <w:t>Compliance with the MCLs for nitrate and nitrite is determined based on one sample if the levels of these contaminants are below the MCLs.  If the levels of nitrate or nitrite in the initial sample exceed the MCLs, Section 611.606 requires confirmation sampling, and compliance is determined based on the average of the initial and confirmation samples.</w:t>
      </w:r>
    </w:p>
    <w:p w14:paraId="599BE215" w14:textId="77777777" w:rsidR="00130349" w:rsidRDefault="00130349" w:rsidP="00130349">
      <w:pPr>
        <w:ind w:left="1440" w:hanging="720"/>
      </w:pPr>
    </w:p>
    <w:p w14:paraId="550880BE" w14:textId="35780D1D" w:rsidR="006D3CC8" w:rsidRPr="001A7517" w:rsidRDefault="006D3CC8" w:rsidP="00130349">
      <w:pPr>
        <w:ind w:left="1440" w:hanging="720"/>
      </w:pPr>
      <w:r w:rsidRPr="001A7517">
        <w:t>d)</w:t>
      </w:r>
      <w:r w:rsidRPr="001A7517">
        <w:tab/>
        <w:t>Arsenic sampling results must be reported to the nearest 0.001 mg/ℓ.</w:t>
      </w:r>
    </w:p>
    <w:p w14:paraId="608AF0CE" w14:textId="77777777" w:rsidR="00130349" w:rsidRDefault="00130349" w:rsidP="00130349">
      <w:pPr>
        <w:widowControl w:val="0"/>
      </w:pPr>
    </w:p>
    <w:p w14:paraId="423FCD51" w14:textId="4C3D2395" w:rsidR="006D3CC8" w:rsidRPr="001A7517" w:rsidRDefault="006D3CC8" w:rsidP="00130349">
      <w:pPr>
        <w:widowControl w:val="0"/>
      </w:pPr>
      <w:r w:rsidRPr="001A7517">
        <w:t>BOARD NOTE: Derived from 40 CFR 141.23(i).</w:t>
      </w:r>
    </w:p>
    <w:p w14:paraId="6A6AC651" w14:textId="77777777" w:rsidR="00130349" w:rsidRDefault="00130349" w:rsidP="00130349">
      <w:pPr>
        <w:ind w:left="720"/>
      </w:pPr>
    </w:p>
    <w:p w14:paraId="24B48387" w14:textId="4D44FB55" w:rsidR="006D3CC8" w:rsidRPr="001A7517" w:rsidRDefault="006D3CC8" w:rsidP="00130349">
      <w:pPr>
        <w:ind w:left="720"/>
      </w:pPr>
      <w:r w:rsidRPr="001A7517">
        <w:t>(Source:  Amended at 39 Ill. Reg. 15352, effective November 13, 2015)</w:t>
      </w:r>
    </w:p>
    <w:p w14:paraId="461DF178" w14:textId="77777777" w:rsidR="00130349" w:rsidRDefault="00130349" w:rsidP="00130349">
      <w:pPr>
        <w:rPr>
          <w:b/>
          <w:bCs/>
        </w:rPr>
      </w:pPr>
    </w:p>
    <w:p w14:paraId="3C26A97C" w14:textId="1D46F47C" w:rsidR="006D3CC8" w:rsidRPr="006D3CC8" w:rsidRDefault="006D3CC8" w:rsidP="00130349">
      <w:pPr>
        <w:rPr>
          <w:b/>
          <w:bCs/>
        </w:rPr>
      </w:pPr>
      <w:r w:rsidRPr="006D3CC8">
        <w:rPr>
          <w:b/>
          <w:bCs/>
        </w:rPr>
        <w:lastRenderedPageBreak/>
        <w:t>Section 611.610  Inorganic Monitoring Times</w:t>
      </w:r>
    </w:p>
    <w:p w14:paraId="7F137CDD" w14:textId="77777777" w:rsidR="00130349" w:rsidRDefault="00130349" w:rsidP="00130349">
      <w:pPr>
        <w:suppressAutoHyphens/>
      </w:pPr>
    </w:p>
    <w:p w14:paraId="3240D2EA" w14:textId="05C559D2" w:rsidR="006D3CC8" w:rsidRPr="001A7517" w:rsidRDefault="006D3CC8" w:rsidP="00130349">
      <w:pPr>
        <w:suppressAutoHyphens/>
      </w:pPr>
      <w:r w:rsidRPr="001A7517">
        <w:t>Each supplier must monitor, within each compliance period, at the time designated by the Agency by SEP.</w:t>
      </w:r>
    </w:p>
    <w:p w14:paraId="0223D89B" w14:textId="77777777" w:rsidR="00130349" w:rsidRDefault="00130349" w:rsidP="00130349">
      <w:pPr>
        <w:suppressAutoHyphens/>
      </w:pPr>
    </w:p>
    <w:p w14:paraId="7BE81ED1" w14:textId="29AA379A" w:rsidR="006D3CC8" w:rsidRPr="001A7517" w:rsidRDefault="006D3CC8" w:rsidP="00130349">
      <w:pPr>
        <w:suppressAutoHyphens/>
      </w:pPr>
      <w:r w:rsidRPr="001A7517">
        <w:t>BOARD NOTE:  Derived from 40 CFR 141.23(j).</w:t>
      </w:r>
    </w:p>
    <w:p w14:paraId="16705F50" w14:textId="77777777" w:rsidR="00130349" w:rsidRDefault="00130349" w:rsidP="00130349">
      <w:pPr>
        <w:suppressAutoHyphens/>
        <w:ind w:left="720"/>
      </w:pPr>
    </w:p>
    <w:p w14:paraId="12F32087" w14:textId="343954A0" w:rsidR="006D3CC8" w:rsidRPr="001A7517" w:rsidRDefault="006D3CC8" w:rsidP="00130349">
      <w:pPr>
        <w:suppressAutoHyphens/>
        <w:ind w:left="720"/>
      </w:pPr>
      <w:r w:rsidRPr="001A7517">
        <w:t>(Source:  Amended at 27 Ill. Reg. 16447, effective October 10, 2003)</w:t>
      </w:r>
    </w:p>
    <w:p w14:paraId="41CD8E5C" w14:textId="77777777" w:rsidR="00D479CA" w:rsidRPr="003B4362" w:rsidRDefault="00D479CA" w:rsidP="00130349">
      <w:pPr>
        <w:rPr>
          <w:b/>
          <w:bCs/>
        </w:rPr>
      </w:pPr>
    </w:p>
    <w:p w14:paraId="7DDB0CB6" w14:textId="5E7ECEBA" w:rsidR="004F7532" w:rsidRPr="003B4362" w:rsidRDefault="004F7532" w:rsidP="00710318">
      <w:pPr>
        <w:rPr>
          <w:b/>
          <w:bCs/>
        </w:rPr>
      </w:pPr>
      <w:r w:rsidRPr="003B4362">
        <w:rPr>
          <w:b/>
          <w:bCs/>
        </w:rPr>
        <w:t>Section 611.611  Inorganic Analysis</w:t>
      </w:r>
    </w:p>
    <w:p w14:paraId="562A0779" w14:textId="77777777" w:rsidR="00710318" w:rsidRDefault="00710318" w:rsidP="00710318">
      <w:pPr>
        <w:widowControl w:val="0"/>
        <w:suppressAutoHyphens/>
      </w:pPr>
    </w:p>
    <w:p w14:paraId="5783A3E4" w14:textId="0909C07C" w:rsidR="004F7532" w:rsidRPr="003B4362" w:rsidRDefault="004F7532" w:rsidP="00710318">
      <w:pPr>
        <w:widowControl w:val="0"/>
        <w:suppressAutoHyphens/>
      </w:pPr>
      <w:r w:rsidRPr="003B4362">
        <w:t xml:space="preserve">Analytical methods are from documents incorporated by reference in Section 611.102.  </w:t>
      </w:r>
      <w:r w:rsidR="007A4E4D" w:rsidRPr="003B4362">
        <w:t>T</w:t>
      </w:r>
      <w:bookmarkStart w:id="3520" w:name="_Hlk132796773"/>
      <w:r w:rsidR="007A4E4D" w:rsidRPr="003B4362">
        <w:t xml:space="preserve">he substantive rules </w:t>
      </w:r>
      <w:r w:rsidRPr="003B4362">
        <w:t xml:space="preserve">mostly </w:t>
      </w:r>
      <w:r w:rsidR="007A4E4D" w:rsidRPr="003B4362">
        <w:t xml:space="preserve">reference these </w:t>
      </w:r>
      <w:bookmarkEnd w:id="3520"/>
      <w:r w:rsidRPr="003B4362">
        <w:t xml:space="preserve">by </w:t>
      </w:r>
      <w:bookmarkStart w:id="3521" w:name="_Hlk132796857"/>
      <w:r w:rsidRPr="003B4362">
        <w:t>a short name Section 611.102(a)</w:t>
      </w:r>
      <w:r w:rsidR="007A4E4D" w:rsidRPr="003B4362">
        <w:t xml:space="preserve"> defines</w:t>
      </w:r>
      <w:bookmarkEnd w:id="3521"/>
      <w:r w:rsidRPr="003B4362">
        <w:t xml:space="preserve">.  </w:t>
      </w:r>
      <w:bookmarkStart w:id="3522" w:name="_Hlk132796906"/>
      <w:r w:rsidR="007A4E4D" w:rsidRPr="003B4362">
        <w:t xml:space="preserve">Section 611.101 defines other </w:t>
      </w:r>
      <w:r w:rsidRPr="003B4362">
        <w:t>abbreviations</w:t>
      </w:r>
      <w:bookmarkEnd w:id="3522"/>
      <w:r w:rsidRPr="003B4362">
        <w:t>.</w:t>
      </w:r>
    </w:p>
    <w:p w14:paraId="7740619D" w14:textId="77777777" w:rsidR="00710318" w:rsidRDefault="00710318" w:rsidP="00710318">
      <w:pPr>
        <w:widowControl w:val="0"/>
        <w:suppressAutoHyphens/>
        <w:ind w:left="1440" w:hanging="720"/>
      </w:pPr>
    </w:p>
    <w:p w14:paraId="703352BE" w14:textId="256D902A" w:rsidR="004F7532" w:rsidRPr="003B4362" w:rsidRDefault="004F7532" w:rsidP="00710318">
      <w:pPr>
        <w:widowControl w:val="0"/>
        <w:suppressAutoHyphens/>
        <w:ind w:left="1440" w:hanging="720"/>
      </w:pPr>
      <w:r w:rsidRPr="003B4362">
        <w:t>a)</w:t>
      </w:r>
      <w:r w:rsidRPr="003B4362">
        <w:tab/>
      </w:r>
      <w:r w:rsidR="007A4E4D" w:rsidRPr="003B4362">
        <w:t>A</w:t>
      </w:r>
      <w:bookmarkStart w:id="3523" w:name="_Hlk132799207"/>
      <w:r w:rsidR="007A4E4D" w:rsidRPr="003B4362">
        <w:t xml:space="preserve"> certified laboratory must </w:t>
      </w:r>
      <w:r w:rsidR="00DC505A" w:rsidRPr="003B4362">
        <w:t xml:space="preserve">conduct analyses </w:t>
      </w:r>
      <w:r w:rsidRPr="003B4362">
        <w:t xml:space="preserve">for contaminants </w:t>
      </w:r>
      <w:r w:rsidR="00DC505A" w:rsidRPr="003B4362">
        <w:t xml:space="preserve">in this Section </w:t>
      </w:r>
      <w:bookmarkStart w:id="3524" w:name="_Hlk132799297"/>
      <w:bookmarkEnd w:id="3523"/>
      <w:r w:rsidRPr="003B4362">
        <w:t xml:space="preserve">using the </w:t>
      </w:r>
      <w:r w:rsidR="00DC505A" w:rsidRPr="003B4362">
        <w:t xml:space="preserve">indicated </w:t>
      </w:r>
      <w:r w:rsidRPr="003B4362">
        <w:t>methods</w:t>
      </w:r>
      <w:bookmarkEnd w:id="3524"/>
      <w:r w:rsidRPr="003B4362">
        <w:t xml:space="preserve"> or an alternative </w:t>
      </w:r>
      <w:bookmarkStart w:id="3525" w:name="_Hlk132799409"/>
      <w:r w:rsidRPr="003B4362">
        <w:t xml:space="preserve">method </w:t>
      </w:r>
      <w:r w:rsidR="00DC505A" w:rsidRPr="003B4362">
        <w:t xml:space="preserve">the Agency </w:t>
      </w:r>
      <w:r w:rsidRPr="003B4362">
        <w:t>approved under Section 611.480</w:t>
      </w:r>
      <w:bookmarkEnd w:id="3525"/>
      <w:r w:rsidRPr="003B4362">
        <w:t xml:space="preserve">.  </w:t>
      </w:r>
      <w:bookmarkStart w:id="3526" w:name="_Hlk132799575"/>
      <w:r w:rsidR="00DC505A" w:rsidRPr="003B4362">
        <w:t>USEPA Technical Notes, incorporated by reference in Section 611.102, includes</w:t>
      </w:r>
      <w:bookmarkEnd w:id="3526"/>
      <w:r w:rsidR="00DC505A" w:rsidRPr="003B4362">
        <w:t xml:space="preserve"> criteria </w:t>
      </w:r>
      <w:r w:rsidRPr="003B4362">
        <w:t xml:space="preserve">for analyzing arsenic, </w:t>
      </w:r>
      <w:bookmarkStart w:id="3527" w:name="_Hlk2604067"/>
      <w:r w:rsidRPr="003B4362">
        <w:t>barium, beryllium, cadmium, calcium,</w:t>
      </w:r>
      <w:bookmarkEnd w:id="3527"/>
      <w:r w:rsidRPr="003B4362">
        <w:t xml:space="preserve"> </w:t>
      </w:r>
      <w:r w:rsidR="00C0445F" w:rsidRPr="003B4362">
        <w:t xml:space="preserve">chloride, </w:t>
      </w:r>
      <w:r w:rsidRPr="003B4362">
        <w:t xml:space="preserve">chromium, copper, lead, nickel, selenium, sodium, </w:t>
      </w:r>
      <w:r w:rsidR="00C0445F" w:rsidRPr="003B4362">
        <w:t xml:space="preserve">sulfate, </w:t>
      </w:r>
      <w:r w:rsidRPr="003B4362">
        <w:t>and thallium with digestion or directly without digestion, and other analytical procedures.</w:t>
      </w:r>
    </w:p>
    <w:p w14:paraId="69076714" w14:textId="77777777" w:rsidR="00710318" w:rsidRDefault="00710318" w:rsidP="00710318">
      <w:pPr>
        <w:widowControl w:val="0"/>
        <w:suppressAutoHyphens/>
        <w:ind w:left="1440"/>
      </w:pPr>
    </w:p>
    <w:p w14:paraId="7BFA38F5" w14:textId="7BEDB360" w:rsidR="004F7532" w:rsidRPr="003B4362" w:rsidRDefault="004F7532" w:rsidP="00710318">
      <w:pPr>
        <w:widowControl w:val="0"/>
        <w:suppressAutoHyphens/>
        <w:ind w:left="1440"/>
      </w:pPr>
      <w:r w:rsidRPr="003B4362">
        <w:t>BOARD NOTE:  B</w:t>
      </w:r>
      <w:bookmarkStart w:id="3528" w:name="_Hlk132799738"/>
      <w:r w:rsidRPr="003B4362">
        <w:t xml:space="preserve">ecause </w:t>
      </w:r>
      <w:r w:rsidR="003A5C90" w:rsidRPr="003B4362">
        <w:t xml:space="preserve">a laboratory determines </w:t>
      </w:r>
      <w:r w:rsidRPr="003B4362">
        <w:t xml:space="preserve">MDLs </w:t>
      </w:r>
      <w:r w:rsidR="003A5C90" w:rsidRPr="003B4362">
        <w:t xml:space="preserve">it reports under </w:t>
      </w:r>
      <w:bookmarkStart w:id="3529" w:name="_Hlk13507243"/>
      <w:r w:rsidRPr="003B4362">
        <w:t>USEPA 200.7 (94) and USEPA 200.9 (94)</w:t>
      </w:r>
      <w:bookmarkEnd w:id="3529"/>
      <w:r w:rsidRPr="003B4362">
        <w:t xml:space="preserve"> </w:t>
      </w:r>
      <w:bookmarkEnd w:id="3528"/>
      <w:r w:rsidRPr="003B4362">
        <w:t>using a 2</w:t>
      </w:r>
      <w:r w:rsidRPr="003B4362">
        <w:sym w:font="Symbol" w:char="F0B4"/>
      </w:r>
      <w:r w:rsidRPr="003B4362">
        <w:t xml:space="preserve"> preconcentration step during sample digestion, </w:t>
      </w:r>
      <w:bookmarkStart w:id="3530" w:name="_Hlk132799831"/>
      <w:r w:rsidRPr="003B4362">
        <w:t xml:space="preserve">MDLs </w:t>
      </w:r>
      <w:r w:rsidR="003A5C90" w:rsidRPr="003B4362">
        <w:t xml:space="preserve">the laboratory determines analyzing </w:t>
      </w:r>
      <w:r w:rsidRPr="003B4362">
        <w:t xml:space="preserve">samples by direct analysis (i.e., no sample digestion) </w:t>
      </w:r>
      <w:r w:rsidR="003A5C90" w:rsidRPr="003B4362">
        <w:t xml:space="preserve">are </w:t>
      </w:r>
      <w:r w:rsidRPr="003B4362">
        <w:t>higher</w:t>
      </w:r>
      <w:bookmarkEnd w:id="3530"/>
      <w:r w:rsidRPr="003B4362">
        <w:t xml:space="preserve">.  For direct analysis of cadmium and arsenic </w:t>
      </w:r>
      <w:bookmarkStart w:id="3531" w:name="_Hlk132799947"/>
      <w:r w:rsidR="003A5C90" w:rsidRPr="003B4362">
        <w:t xml:space="preserve">using </w:t>
      </w:r>
      <w:r w:rsidRPr="003B4362">
        <w:t>USEPA 200.7 (94)</w:t>
      </w:r>
      <w:bookmarkEnd w:id="3531"/>
      <w:r w:rsidRPr="003B4362">
        <w:t xml:space="preserve"> and arsenic </w:t>
      </w:r>
      <w:bookmarkStart w:id="3532" w:name="_Hlk13507382"/>
      <w:r w:rsidR="003A5C90" w:rsidRPr="003B4362">
        <w:t xml:space="preserve">using </w:t>
      </w:r>
      <w:bookmarkStart w:id="3533" w:name="_Hlk132800108"/>
      <w:r w:rsidRPr="003B4362">
        <w:t>SM 3120 B (89)</w:t>
      </w:r>
      <w:bookmarkEnd w:id="3533"/>
      <w:r w:rsidRPr="003B4362">
        <w:t>, SM 3120 B (93), or SM 3120 B (99)</w:t>
      </w:r>
      <w:bookmarkEnd w:id="3532"/>
      <w:r w:rsidRPr="003B4362">
        <w:t xml:space="preserve">, </w:t>
      </w:r>
      <w:bookmarkStart w:id="3534" w:name="_Hlk132800185"/>
      <w:r w:rsidR="003A5C90" w:rsidRPr="003B4362">
        <w:t xml:space="preserve">it may be necessary to engage in </w:t>
      </w:r>
      <w:r w:rsidRPr="003B4362">
        <w:t xml:space="preserve">sample preconcentration using pneumatic nebulization </w:t>
      </w:r>
      <w:bookmarkEnd w:id="3534"/>
      <w:r w:rsidRPr="003B4362">
        <w:t xml:space="preserve">to achieve lower detection limits.  </w:t>
      </w:r>
      <w:r w:rsidR="00F72FBB" w:rsidRPr="003B4362">
        <w:t>D</w:t>
      </w:r>
      <w:bookmarkStart w:id="3535" w:name="_Hlk132800510"/>
      <w:r w:rsidR="00F72FBB" w:rsidRPr="003B4362">
        <w:t xml:space="preserve">irect </w:t>
      </w:r>
      <w:r w:rsidRPr="003B4362">
        <w:t xml:space="preserve">analysis of antimony, lead, and thallium </w:t>
      </w:r>
      <w:bookmarkStart w:id="3536" w:name="_Hlk13507505"/>
      <w:bookmarkStart w:id="3537" w:name="_Hlk132800617"/>
      <w:r w:rsidR="00F72FBB" w:rsidRPr="003B4362">
        <w:t xml:space="preserve">using </w:t>
      </w:r>
      <w:r w:rsidRPr="003B4362">
        <w:t>USEPA 200.9 (94)</w:t>
      </w:r>
      <w:bookmarkEnd w:id="3536"/>
      <w:r w:rsidRPr="003B4362">
        <w:t xml:space="preserve">; antimony and lead </w:t>
      </w:r>
      <w:bookmarkStart w:id="3538" w:name="_Hlk13507554"/>
      <w:r w:rsidR="00F72FBB" w:rsidRPr="003B4362">
        <w:t xml:space="preserve">using </w:t>
      </w:r>
      <w:r w:rsidRPr="003B4362">
        <w:t>SM 3113 B (89), SM 3113 B (99), or SM 3113 B (10)</w:t>
      </w:r>
      <w:bookmarkEnd w:id="3538"/>
      <w:r w:rsidRPr="003B4362">
        <w:t xml:space="preserve">; and lead </w:t>
      </w:r>
      <w:bookmarkStart w:id="3539" w:name="_Hlk13507662"/>
      <w:r w:rsidR="00F72FBB" w:rsidRPr="003B4362">
        <w:t xml:space="preserve">using </w:t>
      </w:r>
      <w:r w:rsidRPr="003B4362">
        <w:t>ASTM D3559-96 D, ASTM D3559-03 D, ASTM D3559-08 D, or ASTM D3559-15 D</w:t>
      </w:r>
      <w:bookmarkEnd w:id="3537"/>
      <w:bookmarkEnd w:id="3539"/>
      <w:r w:rsidR="00F72FBB" w:rsidRPr="003B4362">
        <w:t xml:space="preserve"> may require preconcentration</w:t>
      </w:r>
      <w:bookmarkEnd w:id="3535"/>
      <w:r w:rsidRPr="003B4362">
        <w:t xml:space="preserve">, unless </w:t>
      </w:r>
      <w:r w:rsidR="00A63D02" w:rsidRPr="003B4362">
        <w:t xml:space="preserve">the laboratory makes </w:t>
      </w:r>
      <w:r w:rsidRPr="003B4362">
        <w:t>multiple in-furnace depositions.</w:t>
      </w:r>
      <w:r w:rsidR="00C0445F" w:rsidRPr="003B4362">
        <w:t xml:space="preserve">  </w:t>
      </w:r>
    </w:p>
    <w:p w14:paraId="13E5EED3" w14:textId="77777777" w:rsidR="00710318" w:rsidRDefault="00710318" w:rsidP="00710318">
      <w:pPr>
        <w:widowControl w:val="0"/>
        <w:suppressAutoHyphens/>
        <w:ind w:left="2160" w:hanging="720"/>
      </w:pPr>
    </w:p>
    <w:p w14:paraId="49680B9C" w14:textId="5C0A582F" w:rsidR="004F7532" w:rsidRPr="003B4362" w:rsidRDefault="004F7532" w:rsidP="00710318">
      <w:pPr>
        <w:widowControl w:val="0"/>
        <w:suppressAutoHyphens/>
        <w:ind w:left="2160" w:hanging="720"/>
      </w:pPr>
      <w:r w:rsidRPr="003B4362">
        <w:t>1)</w:t>
      </w:r>
      <w:r w:rsidRPr="003B4362">
        <w:tab/>
        <w:t>Alkalinity</w:t>
      </w:r>
    </w:p>
    <w:p w14:paraId="01BA9E79" w14:textId="77777777" w:rsidR="00710318" w:rsidRDefault="00710318" w:rsidP="00710318">
      <w:pPr>
        <w:widowControl w:val="0"/>
        <w:suppressAutoHyphens/>
        <w:ind w:left="2880" w:hanging="720"/>
      </w:pPr>
    </w:p>
    <w:p w14:paraId="37923C36" w14:textId="7707CFC5" w:rsidR="004F7532" w:rsidRPr="003B4362" w:rsidRDefault="004F7532" w:rsidP="00710318">
      <w:pPr>
        <w:widowControl w:val="0"/>
        <w:suppressAutoHyphens/>
        <w:ind w:left="2880" w:hanging="720"/>
      </w:pPr>
      <w:r w:rsidRPr="003B4362">
        <w:t>A)</w:t>
      </w:r>
      <w:r w:rsidRPr="003B4362">
        <w:tab/>
        <w:t xml:space="preserve">Titrimetric.  </w:t>
      </w:r>
      <w:bookmarkStart w:id="3540" w:name="_Hlk13570945"/>
      <w:r w:rsidRPr="003B4362">
        <w:t>ASTM D1067-92 B, ASTM D1067-02 B, ASTM D1067-06 B, ASTM D1067-11 B</w:t>
      </w:r>
      <w:bookmarkEnd w:id="3540"/>
      <w:r w:rsidRPr="003B4362">
        <w:t xml:space="preserve">, ASTM D1067-16 B, </w:t>
      </w:r>
      <w:bookmarkStart w:id="3541" w:name="_Hlk13571160"/>
      <w:r w:rsidRPr="003B4362">
        <w:t>SM 2320 B (91), or SM 2320 B (97)</w:t>
      </w:r>
      <w:bookmarkEnd w:id="3541"/>
      <w:r w:rsidRPr="003B4362">
        <w:t>.</w:t>
      </w:r>
    </w:p>
    <w:p w14:paraId="0D48E0EF" w14:textId="77777777" w:rsidR="00710318" w:rsidRDefault="00710318" w:rsidP="00710318">
      <w:pPr>
        <w:widowControl w:val="0"/>
        <w:suppressAutoHyphens/>
        <w:ind w:left="2880" w:hanging="720"/>
      </w:pPr>
    </w:p>
    <w:p w14:paraId="001CA39C" w14:textId="6F5E3CA1" w:rsidR="004F7532" w:rsidRPr="003B4362" w:rsidRDefault="004F7532" w:rsidP="00710318">
      <w:pPr>
        <w:widowControl w:val="0"/>
        <w:suppressAutoHyphens/>
        <w:ind w:left="2880" w:hanging="720"/>
      </w:pPr>
      <w:r w:rsidRPr="003B4362">
        <w:t>B)</w:t>
      </w:r>
      <w:r w:rsidRPr="003B4362">
        <w:tab/>
        <w:t xml:space="preserve">Electrometric Titration.  </w:t>
      </w:r>
      <w:bookmarkStart w:id="3542" w:name="_Hlk13571816"/>
      <w:r w:rsidRPr="003B4362">
        <w:t>USGS I-1030-85</w:t>
      </w:r>
      <w:bookmarkEnd w:id="3542"/>
      <w:r w:rsidRPr="003B4362">
        <w:t>.</w:t>
      </w:r>
    </w:p>
    <w:p w14:paraId="0A2A782F" w14:textId="77777777" w:rsidR="00710318" w:rsidRDefault="00710318" w:rsidP="00710318">
      <w:pPr>
        <w:widowControl w:val="0"/>
        <w:suppressAutoHyphens/>
        <w:ind w:left="2160" w:hanging="720"/>
      </w:pPr>
    </w:p>
    <w:p w14:paraId="65BD4FCB" w14:textId="3FE9DF5B" w:rsidR="004F7532" w:rsidRPr="003B4362" w:rsidRDefault="004F7532" w:rsidP="00710318">
      <w:pPr>
        <w:widowControl w:val="0"/>
        <w:suppressAutoHyphens/>
        <w:ind w:left="2160" w:hanging="720"/>
      </w:pPr>
      <w:r w:rsidRPr="003B4362">
        <w:t>2)</w:t>
      </w:r>
      <w:r w:rsidRPr="003B4362">
        <w:tab/>
        <w:t>Antimony</w:t>
      </w:r>
    </w:p>
    <w:p w14:paraId="3DE52BB9" w14:textId="77777777" w:rsidR="00710318" w:rsidRDefault="00710318" w:rsidP="00710318">
      <w:pPr>
        <w:widowControl w:val="0"/>
        <w:suppressAutoHyphens/>
        <w:ind w:left="2880" w:hanging="720"/>
      </w:pPr>
    </w:p>
    <w:p w14:paraId="2AAAFA76" w14:textId="1A51598D" w:rsidR="004F7532" w:rsidRPr="003B4362" w:rsidRDefault="004F7532" w:rsidP="00710318">
      <w:pPr>
        <w:widowControl w:val="0"/>
        <w:suppressAutoHyphens/>
        <w:ind w:left="2880" w:hanging="720"/>
      </w:pPr>
      <w:r w:rsidRPr="003B4362">
        <w:t>A)</w:t>
      </w:r>
      <w:r w:rsidRPr="003B4362">
        <w:tab/>
        <w:t xml:space="preserve">Inductively Coupled Plasma-Mass Spectrometry.  </w:t>
      </w:r>
      <w:bookmarkStart w:id="3543" w:name="_Hlk13572103"/>
      <w:r w:rsidRPr="003B4362">
        <w:t>USEPA 200.8 (94)</w:t>
      </w:r>
      <w:bookmarkEnd w:id="3543"/>
      <w:r w:rsidRPr="003B4362">
        <w:t>.</w:t>
      </w:r>
    </w:p>
    <w:p w14:paraId="5B859C77" w14:textId="77777777" w:rsidR="00710318" w:rsidRDefault="00710318" w:rsidP="00710318">
      <w:pPr>
        <w:widowControl w:val="0"/>
        <w:suppressAutoHyphens/>
        <w:ind w:left="2880" w:hanging="720"/>
      </w:pPr>
    </w:p>
    <w:p w14:paraId="7C574F50" w14:textId="1BCB2636" w:rsidR="004F7532" w:rsidRPr="003B4362" w:rsidRDefault="004F7532" w:rsidP="00710318">
      <w:pPr>
        <w:widowControl w:val="0"/>
        <w:suppressAutoHyphens/>
        <w:ind w:left="2880" w:hanging="720"/>
      </w:pPr>
      <w:r w:rsidRPr="003B4362">
        <w:t>B)</w:t>
      </w:r>
      <w:r w:rsidRPr="003B4362">
        <w:tab/>
        <w:t xml:space="preserve">Atomic Absorption, Hydride Technique.  </w:t>
      </w:r>
      <w:bookmarkStart w:id="3544" w:name="_Hlk13573578"/>
      <w:r w:rsidRPr="003B4362">
        <w:t>ASTM D3697-92, ASTM D3697-02, ASTM D3697-07, ASTM D3697-12</w:t>
      </w:r>
      <w:bookmarkEnd w:id="3544"/>
      <w:r w:rsidR="00312696" w:rsidRPr="003B4362">
        <w:t xml:space="preserve">, or </w:t>
      </w:r>
      <w:bookmarkStart w:id="3545" w:name="_Hlk131431811"/>
      <w:r w:rsidR="00312696" w:rsidRPr="003B4362">
        <w:t>ASTM D3697-17</w:t>
      </w:r>
      <w:bookmarkEnd w:id="3545"/>
      <w:r w:rsidRPr="003B4362">
        <w:t>.</w:t>
      </w:r>
    </w:p>
    <w:p w14:paraId="670915CC" w14:textId="77777777" w:rsidR="00710318" w:rsidRDefault="00710318" w:rsidP="00710318">
      <w:pPr>
        <w:widowControl w:val="0"/>
        <w:suppressAutoHyphens/>
        <w:ind w:left="2880" w:hanging="720"/>
      </w:pPr>
    </w:p>
    <w:p w14:paraId="3C8AB715" w14:textId="2FD05992" w:rsidR="004F7532" w:rsidRPr="003B4362" w:rsidRDefault="004F7532" w:rsidP="00710318">
      <w:pPr>
        <w:widowControl w:val="0"/>
        <w:suppressAutoHyphens/>
        <w:ind w:left="2880" w:hanging="720"/>
      </w:pPr>
      <w:r w:rsidRPr="003B4362">
        <w:t>C)</w:t>
      </w:r>
      <w:r w:rsidRPr="003B4362">
        <w:tab/>
        <w:t xml:space="preserve">Atomic Absorption, Platform Furnace Technique.  </w:t>
      </w:r>
      <w:bookmarkStart w:id="3546" w:name="_Hlk13573714"/>
      <w:r w:rsidRPr="003B4362">
        <w:t>USEPA 200.9 (94)</w:t>
      </w:r>
      <w:bookmarkEnd w:id="3546"/>
      <w:r w:rsidRPr="003B4362">
        <w:t>.</w:t>
      </w:r>
    </w:p>
    <w:p w14:paraId="3244CEE6" w14:textId="77777777" w:rsidR="00710318" w:rsidRDefault="00710318" w:rsidP="00710318">
      <w:pPr>
        <w:widowControl w:val="0"/>
        <w:suppressAutoHyphens/>
        <w:ind w:left="2880" w:hanging="720"/>
      </w:pPr>
    </w:p>
    <w:p w14:paraId="309E86C2" w14:textId="62961231" w:rsidR="004F7532" w:rsidRPr="003B4362" w:rsidRDefault="004F7532" w:rsidP="00710318">
      <w:pPr>
        <w:widowControl w:val="0"/>
        <w:suppressAutoHyphens/>
        <w:ind w:left="2880" w:hanging="720"/>
      </w:pPr>
      <w:r w:rsidRPr="003B4362">
        <w:t>D)</w:t>
      </w:r>
      <w:r w:rsidRPr="003B4362">
        <w:tab/>
        <w:t xml:space="preserve">Atomic Absorption, Furnace Technique.  </w:t>
      </w:r>
      <w:bookmarkStart w:id="3547" w:name="_Hlk13574883"/>
      <w:r w:rsidRPr="003B4362">
        <w:t>SM 3113 B (89), SM 3113 B (93), SM 3113 B (99), SM 3113 B (04)</w:t>
      </w:r>
      <w:bookmarkEnd w:id="3547"/>
      <w:r w:rsidRPr="003B4362">
        <w:t xml:space="preserve">, or </w:t>
      </w:r>
      <w:bookmarkStart w:id="3548" w:name="_Hlk13577041"/>
      <w:r w:rsidRPr="003B4362">
        <w:t>SM 3113 B (10)</w:t>
      </w:r>
      <w:bookmarkEnd w:id="3548"/>
      <w:r w:rsidRPr="003B4362">
        <w:t>.</w:t>
      </w:r>
    </w:p>
    <w:p w14:paraId="74604289" w14:textId="77777777" w:rsidR="00710318" w:rsidRDefault="00710318" w:rsidP="00710318">
      <w:pPr>
        <w:widowControl w:val="0"/>
        <w:suppressAutoHyphens/>
        <w:ind w:left="2880" w:hanging="720"/>
      </w:pPr>
    </w:p>
    <w:p w14:paraId="4CA48A0E" w14:textId="14C21304" w:rsidR="004F7532" w:rsidRPr="003B4362" w:rsidRDefault="004F7532" w:rsidP="00710318">
      <w:pPr>
        <w:widowControl w:val="0"/>
        <w:suppressAutoHyphens/>
        <w:ind w:left="2880" w:hanging="720"/>
      </w:pPr>
      <w:r w:rsidRPr="003B4362">
        <w:t>E)</w:t>
      </w:r>
      <w:r w:rsidRPr="003B4362">
        <w:tab/>
        <w:t xml:space="preserve">Axially Viewed Inductively Coupled Plasma-Atomic Emission Spectrometry (AVICP-AES).  </w:t>
      </w:r>
      <w:bookmarkStart w:id="3549" w:name="_Hlk13577203"/>
      <w:r w:rsidRPr="003B4362">
        <w:t>USEPA 200.5 (03)</w:t>
      </w:r>
      <w:bookmarkEnd w:id="3549"/>
      <w:r w:rsidRPr="003B4362">
        <w:t>.</w:t>
      </w:r>
    </w:p>
    <w:p w14:paraId="1FE8B17F" w14:textId="77777777" w:rsidR="00710318" w:rsidRDefault="00710318" w:rsidP="00710318">
      <w:pPr>
        <w:widowControl w:val="0"/>
        <w:suppressAutoHyphens/>
        <w:ind w:left="2160" w:hanging="720"/>
      </w:pPr>
    </w:p>
    <w:p w14:paraId="5F512329" w14:textId="2BE589EA" w:rsidR="004F7532" w:rsidRPr="003B4362" w:rsidRDefault="004F7532" w:rsidP="00710318">
      <w:pPr>
        <w:widowControl w:val="0"/>
        <w:suppressAutoHyphens/>
        <w:ind w:left="2160" w:hanging="720"/>
      </w:pPr>
      <w:r w:rsidRPr="003B4362">
        <w:t>3)</w:t>
      </w:r>
      <w:r w:rsidRPr="003B4362">
        <w:tab/>
        <w:t>Arsenic</w:t>
      </w:r>
    </w:p>
    <w:p w14:paraId="174DECDA" w14:textId="77777777" w:rsidR="00710318" w:rsidRDefault="00710318" w:rsidP="00710318">
      <w:pPr>
        <w:widowControl w:val="0"/>
        <w:suppressAutoHyphens/>
        <w:ind w:left="2160"/>
      </w:pPr>
    </w:p>
    <w:p w14:paraId="46BEC133" w14:textId="3CEE26A9" w:rsidR="004F7532" w:rsidRPr="003B4362" w:rsidRDefault="004F7532" w:rsidP="00710318">
      <w:pPr>
        <w:widowControl w:val="0"/>
        <w:suppressAutoHyphens/>
        <w:ind w:left="2160"/>
      </w:pPr>
      <w:r w:rsidRPr="003B4362">
        <w:t>BOARD NOTE:  I</w:t>
      </w:r>
      <w:bookmarkStart w:id="3550" w:name="_Hlk132800849"/>
      <w:r w:rsidRPr="003B4362">
        <w:t xml:space="preserve">f </w:t>
      </w:r>
      <w:r w:rsidR="00A63D02" w:rsidRPr="003B4362">
        <w:t xml:space="preserve">the laboratory uses </w:t>
      </w:r>
      <w:r w:rsidRPr="003B4362">
        <w:t xml:space="preserve">ultrasonic nebulization in </w:t>
      </w:r>
      <w:r w:rsidR="00A63D02" w:rsidRPr="003B4362">
        <w:t xml:space="preserve">determining </w:t>
      </w:r>
      <w:r w:rsidRPr="003B4362">
        <w:t xml:space="preserve">arsenic </w:t>
      </w:r>
      <w:r w:rsidR="00A63D02" w:rsidRPr="003B4362">
        <w:t xml:space="preserve">using </w:t>
      </w:r>
      <w:bookmarkStart w:id="3551" w:name="_Hlk17301389"/>
      <w:r w:rsidRPr="003B4362">
        <w:t>USEPA 200.8 (94)</w:t>
      </w:r>
      <w:bookmarkEnd w:id="3550"/>
      <w:bookmarkEnd w:id="3551"/>
      <w:r w:rsidRPr="003B4362">
        <w:t>, the arsenic must be in the pentavalent state to provide uniform signal response.  For direct analysis of arsenic with USEPA 200.8 (94) using ultrasonic nebulization, samples and standards must contain one mg/</w:t>
      </w:r>
      <w:r w:rsidR="002E7704" w:rsidRPr="003B4362">
        <w:t xml:space="preserve"> L</w:t>
      </w:r>
      <w:r w:rsidRPr="003B4362">
        <w:t xml:space="preserve"> of sodium hypochlorite.</w:t>
      </w:r>
    </w:p>
    <w:p w14:paraId="1D7EAFFA" w14:textId="77777777" w:rsidR="00710318" w:rsidRDefault="00710318" w:rsidP="00710318">
      <w:pPr>
        <w:widowControl w:val="0"/>
        <w:suppressAutoHyphens/>
        <w:ind w:left="2880" w:hanging="720"/>
      </w:pPr>
    </w:p>
    <w:p w14:paraId="1F068B2F" w14:textId="2384174D" w:rsidR="004F7532" w:rsidRPr="003B4362" w:rsidRDefault="004F7532" w:rsidP="00710318">
      <w:pPr>
        <w:widowControl w:val="0"/>
        <w:suppressAutoHyphens/>
        <w:ind w:left="2880" w:hanging="720"/>
      </w:pPr>
      <w:r w:rsidRPr="003B4362">
        <w:t>A)</w:t>
      </w:r>
      <w:r w:rsidRPr="003B4362">
        <w:tab/>
        <w:t xml:space="preserve">Inductively Coupled Plasma-Mass Spectrometry.  </w:t>
      </w:r>
      <w:bookmarkStart w:id="3552" w:name="_Hlk13577427"/>
      <w:r w:rsidRPr="003B4362">
        <w:t>USEPA 200.8 (94)</w:t>
      </w:r>
      <w:bookmarkEnd w:id="3552"/>
      <w:r w:rsidRPr="003B4362">
        <w:t>.</w:t>
      </w:r>
    </w:p>
    <w:p w14:paraId="33F207D6" w14:textId="77777777" w:rsidR="00710318" w:rsidRDefault="00710318" w:rsidP="00710318">
      <w:pPr>
        <w:widowControl w:val="0"/>
        <w:suppressAutoHyphens/>
        <w:ind w:left="2880" w:hanging="720"/>
      </w:pPr>
    </w:p>
    <w:p w14:paraId="591652C1" w14:textId="2031DCD8" w:rsidR="004F7532" w:rsidRPr="003B4362" w:rsidRDefault="004F7532" w:rsidP="00710318">
      <w:pPr>
        <w:widowControl w:val="0"/>
        <w:suppressAutoHyphens/>
        <w:ind w:left="2880" w:hanging="720"/>
      </w:pPr>
      <w:r w:rsidRPr="003B4362">
        <w:t>B)</w:t>
      </w:r>
      <w:r w:rsidRPr="003B4362">
        <w:tab/>
        <w:t xml:space="preserve">Atomic Absorption, Platform Furnace Technique.  </w:t>
      </w:r>
      <w:bookmarkStart w:id="3553" w:name="_Hlk13577486"/>
      <w:r w:rsidRPr="003B4362">
        <w:t>USEPA 200.9 (94)</w:t>
      </w:r>
      <w:bookmarkEnd w:id="3553"/>
      <w:r w:rsidRPr="003B4362">
        <w:t>.</w:t>
      </w:r>
    </w:p>
    <w:p w14:paraId="552D3373" w14:textId="77777777" w:rsidR="00710318" w:rsidRDefault="00710318" w:rsidP="00710318">
      <w:pPr>
        <w:widowControl w:val="0"/>
        <w:suppressAutoHyphens/>
        <w:ind w:left="2880" w:hanging="720"/>
      </w:pPr>
    </w:p>
    <w:p w14:paraId="4871974C" w14:textId="67236D83" w:rsidR="004F7532" w:rsidRPr="003B4362" w:rsidRDefault="004F7532" w:rsidP="00710318">
      <w:pPr>
        <w:widowControl w:val="0"/>
        <w:suppressAutoHyphens/>
        <w:ind w:left="2880" w:hanging="720"/>
      </w:pPr>
      <w:r w:rsidRPr="003B4362">
        <w:t>C)</w:t>
      </w:r>
      <w:r w:rsidRPr="003B4362">
        <w:tab/>
        <w:t xml:space="preserve">Atomic Absorption, Furnace Technique.  </w:t>
      </w:r>
      <w:bookmarkStart w:id="3554" w:name="_Hlk13577816"/>
      <w:r w:rsidRPr="003B4362">
        <w:t>ASTM D2972-97 C, ASTM D2972-03 C, ASTM D2972-08 C, ASTM D2972-15 C</w:t>
      </w:r>
      <w:bookmarkEnd w:id="3554"/>
      <w:r w:rsidRPr="003B4362">
        <w:t xml:space="preserve">, </w:t>
      </w:r>
      <w:bookmarkStart w:id="3555" w:name="_Hlk13578036"/>
      <w:r w:rsidRPr="003B4362">
        <w:t>SM 3113 B (89), SM 3113 B (93), 3113 B (99), 3113 B (04), or 3113 B (10)</w:t>
      </w:r>
      <w:bookmarkEnd w:id="3555"/>
      <w:r w:rsidRPr="003B4362">
        <w:t>.</w:t>
      </w:r>
    </w:p>
    <w:p w14:paraId="38400BFA" w14:textId="77777777" w:rsidR="00710318" w:rsidRDefault="00710318" w:rsidP="00710318">
      <w:pPr>
        <w:widowControl w:val="0"/>
        <w:suppressAutoHyphens/>
        <w:ind w:left="2880" w:hanging="720"/>
      </w:pPr>
    </w:p>
    <w:p w14:paraId="48C608A3" w14:textId="421B9C18" w:rsidR="004F7532" w:rsidRPr="003B4362" w:rsidRDefault="004F7532" w:rsidP="00710318">
      <w:pPr>
        <w:widowControl w:val="0"/>
        <w:suppressAutoHyphens/>
        <w:ind w:left="2880" w:hanging="720"/>
      </w:pPr>
      <w:r w:rsidRPr="003B4362">
        <w:t>D)</w:t>
      </w:r>
      <w:r w:rsidRPr="003B4362">
        <w:tab/>
        <w:t>Atomic Absorption, Hydride Technique</w:t>
      </w:r>
      <w:r w:rsidR="005D2BF8" w:rsidRPr="003B4362">
        <w:t>.</w:t>
      </w:r>
      <w:r w:rsidRPr="003B4362">
        <w:t xml:space="preserve">  </w:t>
      </w:r>
      <w:bookmarkStart w:id="3556" w:name="_Hlk13581190"/>
      <w:r w:rsidRPr="003B4362">
        <w:t>ASTM D2972-97 B, ASTM D2972-03 B, ASTM D2972-08 B, ASTM D2972-15 B</w:t>
      </w:r>
      <w:bookmarkEnd w:id="3556"/>
      <w:r w:rsidRPr="003B4362">
        <w:t xml:space="preserve">, </w:t>
      </w:r>
      <w:bookmarkStart w:id="3557" w:name="_Hlk13581334"/>
      <w:r w:rsidRPr="003B4362">
        <w:t>SM 3114 B (89), SM 3114 B (93), SM 3114 B (97), SM 3114 B (04), or SM 3114 B (09)</w:t>
      </w:r>
      <w:bookmarkEnd w:id="3557"/>
      <w:r w:rsidRPr="003B4362">
        <w:t>.</w:t>
      </w:r>
    </w:p>
    <w:p w14:paraId="1A368945" w14:textId="77777777" w:rsidR="00710318" w:rsidRDefault="00710318" w:rsidP="00710318">
      <w:pPr>
        <w:widowControl w:val="0"/>
        <w:suppressAutoHyphens/>
        <w:ind w:left="2880" w:hanging="720"/>
      </w:pPr>
    </w:p>
    <w:p w14:paraId="704640BC" w14:textId="0C1845B3" w:rsidR="004F7532" w:rsidRPr="003B4362" w:rsidRDefault="004F7532" w:rsidP="00710318">
      <w:pPr>
        <w:widowControl w:val="0"/>
        <w:suppressAutoHyphens/>
        <w:ind w:left="2880" w:hanging="720"/>
      </w:pPr>
      <w:r w:rsidRPr="003B4362">
        <w:t>E)</w:t>
      </w:r>
      <w:r w:rsidRPr="003B4362">
        <w:tab/>
        <w:t>Axially Viewed Inductively Coupled Plasma-Atomic Emission Spectrometry (AVICP-AES).  USEPA 200.5 (94).</w:t>
      </w:r>
    </w:p>
    <w:p w14:paraId="6E8826EE" w14:textId="77777777" w:rsidR="00710318" w:rsidRDefault="00710318" w:rsidP="00710318">
      <w:pPr>
        <w:widowControl w:val="0"/>
        <w:suppressAutoHyphens/>
        <w:ind w:left="2160" w:hanging="720"/>
      </w:pPr>
    </w:p>
    <w:p w14:paraId="522E5F3C" w14:textId="393CDA1C" w:rsidR="004F7532" w:rsidRPr="003B4362" w:rsidRDefault="004F7532" w:rsidP="00710318">
      <w:pPr>
        <w:widowControl w:val="0"/>
        <w:suppressAutoHyphens/>
        <w:ind w:left="2160" w:hanging="720"/>
      </w:pPr>
      <w:r w:rsidRPr="003B4362">
        <w:lastRenderedPageBreak/>
        <w:t>4)</w:t>
      </w:r>
      <w:r w:rsidRPr="003B4362">
        <w:tab/>
        <w:t xml:space="preserve">Asbestos.  Transmission Electron Microscopy.  </w:t>
      </w:r>
      <w:bookmarkStart w:id="3558" w:name="_Hlk13582678"/>
      <w:r w:rsidRPr="003B4362">
        <w:t>USEPA 100.1 (83) or USEPA 100.2 (94)</w:t>
      </w:r>
      <w:bookmarkEnd w:id="3558"/>
      <w:r w:rsidRPr="003B4362">
        <w:t>.</w:t>
      </w:r>
    </w:p>
    <w:p w14:paraId="5B1B0E0E" w14:textId="77777777" w:rsidR="00710318" w:rsidRDefault="00710318" w:rsidP="00710318">
      <w:pPr>
        <w:widowControl w:val="0"/>
        <w:suppressAutoHyphens/>
        <w:ind w:left="2160" w:hanging="720"/>
      </w:pPr>
    </w:p>
    <w:p w14:paraId="58087336" w14:textId="784A7297" w:rsidR="004F7532" w:rsidRPr="003B4362" w:rsidRDefault="004F7532" w:rsidP="00710318">
      <w:pPr>
        <w:widowControl w:val="0"/>
        <w:suppressAutoHyphens/>
        <w:ind w:left="2160" w:hanging="720"/>
      </w:pPr>
      <w:r w:rsidRPr="003B4362">
        <w:t>5)</w:t>
      </w:r>
      <w:r w:rsidRPr="003B4362">
        <w:tab/>
        <w:t>Barium</w:t>
      </w:r>
    </w:p>
    <w:p w14:paraId="1B6EBA27" w14:textId="77777777" w:rsidR="00710318" w:rsidRDefault="00710318" w:rsidP="00710318">
      <w:pPr>
        <w:widowControl w:val="0"/>
        <w:suppressAutoHyphens/>
        <w:ind w:left="2880" w:hanging="720"/>
      </w:pPr>
    </w:p>
    <w:p w14:paraId="5738C677" w14:textId="37F70B06" w:rsidR="004F7532" w:rsidRPr="003B4362" w:rsidRDefault="004F7532" w:rsidP="00710318">
      <w:pPr>
        <w:widowControl w:val="0"/>
        <w:suppressAutoHyphens/>
        <w:ind w:left="2880" w:hanging="720"/>
      </w:pPr>
      <w:r w:rsidRPr="003B4362">
        <w:t>A)</w:t>
      </w:r>
      <w:r w:rsidRPr="003B4362">
        <w:tab/>
        <w:t xml:space="preserve">Inductively Coupled Plasma.  </w:t>
      </w:r>
      <w:bookmarkStart w:id="3559" w:name="_Hlk13583243"/>
      <w:r w:rsidRPr="003B4362">
        <w:t>USEPA 200.7 (94)</w:t>
      </w:r>
      <w:bookmarkEnd w:id="3559"/>
      <w:r w:rsidRPr="003B4362">
        <w:t xml:space="preserve">, </w:t>
      </w:r>
      <w:bookmarkStart w:id="3560" w:name="_Hlk13583293"/>
      <w:r w:rsidRPr="003B4362">
        <w:t>SM 3120 B (83), SM 3120 B (93), or SM 3120 B (99)</w:t>
      </w:r>
      <w:bookmarkEnd w:id="3560"/>
      <w:r w:rsidRPr="003B4362">
        <w:t>.</w:t>
      </w:r>
    </w:p>
    <w:p w14:paraId="40A955E8" w14:textId="77777777" w:rsidR="00710318" w:rsidRDefault="00710318" w:rsidP="00710318">
      <w:pPr>
        <w:widowControl w:val="0"/>
        <w:suppressAutoHyphens/>
        <w:ind w:left="2880" w:hanging="720"/>
      </w:pPr>
    </w:p>
    <w:p w14:paraId="3822B9FE" w14:textId="01E81CE6" w:rsidR="004F7532" w:rsidRPr="003B4362" w:rsidRDefault="004F7532" w:rsidP="00710318">
      <w:pPr>
        <w:widowControl w:val="0"/>
        <w:suppressAutoHyphens/>
        <w:ind w:left="2880" w:hanging="720"/>
      </w:pPr>
      <w:r w:rsidRPr="003B4362">
        <w:t>B)</w:t>
      </w:r>
      <w:r w:rsidRPr="003B4362">
        <w:tab/>
        <w:t xml:space="preserve">Inductively Coupled Plasma-Mass Spectrometry.  </w:t>
      </w:r>
      <w:bookmarkStart w:id="3561" w:name="_Hlk13584683"/>
      <w:r w:rsidRPr="003B4362">
        <w:t>USEPA 200.8 (94)</w:t>
      </w:r>
      <w:bookmarkEnd w:id="3561"/>
      <w:r w:rsidRPr="003B4362">
        <w:t>.</w:t>
      </w:r>
    </w:p>
    <w:p w14:paraId="40E2ACCC" w14:textId="77777777" w:rsidR="00710318" w:rsidRDefault="00710318" w:rsidP="00710318">
      <w:pPr>
        <w:widowControl w:val="0"/>
        <w:suppressAutoHyphens/>
        <w:ind w:left="2880" w:hanging="720"/>
      </w:pPr>
    </w:p>
    <w:p w14:paraId="27461B4B" w14:textId="3B518185" w:rsidR="004F7532" w:rsidRPr="003B4362" w:rsidRDefault="004F7532" w:rsidP="00710318">
      <w:pPr>
        <w:widowControl w:val="0"/>
        <w:suppressAutoHyphens/>
        <w:ind w:left="2880" w:hanging="720"/>
      </w:pPr>
      <w:r w:rsidRPr="003B4362">
        <w:t>C)</w:t>
      </w:r>
      <w:r w:rsidRPr="003B4362">
        <w:tab/>
        <w:t xml:space="preserve">Atomic Absorption, Direct Aspiration Technique.  </w:t>
      </w:r>
      <w:bookmarkStart w:id="3562" w:name="_Hlk13584844"/>
      <w:r w:rsidRPr="003B4362">
        <w:t>SM 3111 D (89), SM 3111 D (93), or SM 3111 D (99)</w:t>
      </w:r>
      <w:bookmarkEnd w:id="3562"/>
      <w:r w:rsidRPr="003B4362">
        <w:t>.</w:t>
      </w:r>
    </w:p>
    <w:p w14:paraId="0C9CF222" w14:textId="77777777" w:rsidR="00710318" w:rsidRDefault="00710318" w:rsidP="00710318">
      <w:pPr>
        <w:widowControl w:val="0"/>
        <w:suppressAutoHyphens/>
        <w:ind w:left="2880" w:hanging="720"/>
      </w:pPr>
    </w:p>
    <w:p w14:paraId="4791D3CD" w14:textId="530BF403" w:rsidR="004F7532" w:rsidRPr="003B4362" w:rsidRDefault="004F7532" w:rsidP="00710318">
      <w:pPr>
        <w:widowControl w:val="0"/>
        <w:suppressAutoHyphens/>
        <w:ind w:left="2880" w:hanging="720"/>
      </w:pPr>
      <w:r w:rsidRPr="003B4362">
        <w:t>D)</w:t>
      </w:r>
      <w:r w:rsidRPr="003B4362">
        <w:tab/>
        <w:t xml:space="preserve">Atomic Absorption, Furnace Technique.  </w:t>
      </w:r>
      <w:bookmarkStart w:id="3563" w:name="_Hlk13585193"/>
      <w:r w:rsidRPr="003B4362">
        <w:t xml:space="preserve">SM 3113 B (89), SM 3113 B (93), SM 3113 B (99), </w:t>
      </w:r>
      <w:bookmarkStart w:id="3564" w:name="_Hlk13585413"/>
      <w:r w:rsidRPr="003B4362">
        <w:t>SM 3113 B (04)</w:t>
      </w:r>
      <w:bookmarkEnd w:id="3564"/>
      <w:r w:rsidRPr="003B4362">
        <w:t>, and SM 3113 B (10)</w:t>
      </w:r>
      <w:bookmarkEnd w:id="3563"/>
      <w:r w:rsidRPr="003B4362">
        <w:t>.</w:t>
      </w:r>
    </w:p>
    <w:p w14:paraId="66E60BFD" w14:textId="77777777" w:rsidR="00710318" w:rsidRDefault="00710318" w:rsidP="00710318">
      <w:pPr>
        <w:widowControl w:val="0"/>
        <w:suppressAutoHyphens/>
        <w:ind w:left="2880" w:hanging="720"/>
      </w:pPr>
    </w:p>
    <w:p w14:paraId="40774B38" w14:textId="7C01AA0F" w:rsidR="004F7532" w:rsidRPr="003B4362" w:rsidRDefault="004F7532" w:rsidP="00710318">
      <w:pPr>
        <w:widowControl w:val="0"/>
        <w:suppressAutoHyphens/>
        <w:ind w:left="2880" w:hanging="720"/>
      </w:pPr>
      <w:r w:rsidRPr="003B4362">
        <w:t>E)</w:t>
      </w:r>
      <w:r w:rsidRPr="003B4362">
        <w:tab/>
        <w:t xml:space="preserve">Axially Viewed Inductively Coupled Plasma-Atomic Emission Spectrometry (AVICP-AES).  </w:t>
      </w:r>
      <w:bookmarkStart w:id="3565" w:name="_Hlk13584935"/>
      <w:r w:rsidRPr="003B4362">
        <w:t>USEPA 200.5 (03)</w:t>
      </w:r>
      <w:bookmarkEnd w:id="3565"/>
      <w:r w:rsidRPr="003B4362">
        <w:t>.</w:t>
      </w:r>
    </w:p>
    <w:p w14:paraId="603518C7" w14:textId="77777777" w:rsidR="00710318" w:rsidRDefault="00710318" w:rsidP="00710318">
      <w:pPr>
        <w:widowControl w:val="0"/>
        <w:suppressAutoHyphens/>
        <w:ind w:left="2160" w:hanging="720"/>
      </w:pPr>
    </w:p>
    <w:p w14:paraId="3B8D84D3" w14:textId="2266E392" w:rsidR="004F7532" w:rsidRPr="003B4362" w:rsidRDefault="004F7532" w:rsidP="00710318">
      <w:pPr>
        <w:widowControl w:val="0"/>
        <w:suppressAutoHyphens/>
        <w:ind w:left="2160" w:hanging="720"/>
      </w:pPr>
      <w:r w:rsidRPr="003B4362">
        <w:t>6)</w:t>
      </w:r>
      <w:r w:rsidRPr="003B4362">
        <w:tab/>
        <w:t>Beryllium</w:t>
      </w:r>
    </w:p>
    <w:p w14:paraId="73264229" w14:textId="77777777" w:rsidR="00710318" w:rsidRDefault="00710318" w:rsidP="00710318">
      <w:pPr>
        <w:widowControl w:val="0"/>
        <w:suppressAutoHyphens/>
        <w:ind w:left="2880" w:hanging="720"/>
      </w:pPr>
    </w:p>
    <w:p w14:paraId="3F2D788E" w14:textId="700461BB" w:rsidR="004F7532" w:rsidRPr="003B4362" w:rsidRDefault="004F7532" w:rsidP="00710318">
      <w:pPr>
        <w:widowControl w:val="0"/>
        <w:suppressAutoHyphens/>
        <w:ind w:left="2880" w:hanging="720"/>
      </w:pPr>
      <w:r w:rsidRPr="003B4362">
        <w:t>A)</w:t>
      </w:r>
      <w:r w:rsidRPr="003B4362">
        <w:tab/>
        <w:t xml:space="preserve">Inductively Coupled Plasma.  </w:t>
      </w:r>
      <w:bookmarkStart w:id="3566" w:name="_Hlk13585954"/>
      <w:r w:rsidRPr="003B4362">
        <w:t>USEPA 200.7 (94)</w:t>
      </w:r>
      <w:bookmarkEnd w:id="3566"/>
      <w:r w:rsidRPr="003B4362">
        <w:t xml:space="preserve">, </w:t>
      </w:r>
      <w:bookmarkStart w:id="3567" w:name="_Hlk13586010"/>
      <w:r w:rsidRPr="003B4362">
        <w:t>SM 3120 B (83), SM 3120 B (93), or SM 3120 B (99)</w:t>
      </w:r>
      <w:bookmarkEnd w:id="3567"/>
      <w:r w:rsidRPr="003B4362">
        <w:t>.</w:t>
      </w:r>
    </w:p>
    <w:p w14:paraId="2AFF7998" w14:textId="77777777" w:rsidR="00710318" w:rsidRDefault="00710318" w:rsidP="00710318">
      <w:pPr>
        <w:widowControl w:val="0"/>
        <w:suppressAutoHyphens/>
        <w:ind w:left="2880" w:hanging="720"/>
      </w:pPr>
    </w:p>
    <w:p w14:paraId="4E76BAA0" w14:textId="1DC50938" w:rsidR="004F7532" w:rsidRPr="003B4362" w:rsidRDefault="004F7532" w:rsidP="00710318">
      <w:pPr>
        <w:widowControl w:val="0"/>
        <w:suppressAutoHyphens/>
        <w:ind w:left="2880" w:hanging="720"/>
      </w:pPr>
      <w:r w:rsidRPr="003B4362">
        <w:t>B)</w:t>
      </w:r>
      <w:r w:rsidRPr="003B4362">
        <w:tab/>
        <w:t xml:space="preserve">Inductively Coupled Plasma-Mass Spectrometry.  </w:t>
      </w:r>
      <w:bookmarkStart w:id="3568" w:name="_Hlk13587825"/>
      <w:r w:rsidRPr="003B4362">
        <w:t>USEPA 200.8 (94)</w:t>
      </w:r>
      <w:bookmarkEnd w:id="3568"/>
      <w:r w:rsidRPr="003B4362">
        <w:t>.</w:t>
      </w:r>
    </w:p>
    <w:p w14:paraId="64284DC5" w14:textId="77777777" w:rsidR="00710318" w:rsidRDefault="00710318" w:rsidP="00710318">
      <w:pPr>
        <w:widowControl w:val="0"/>
        <w:suppressAutoHyphens/>
        <w:ind w:left="2880" w:hanging="720"/>
      </w:pPr>
    </w:p>
    <w:p w14:paraId="3BE25A33" w14:textId="25E8844D" w:rsidR="004F7532" w:rsidRPr="003B4362" w:rsidRDefault="004F7532" w:rsidP="00710318">
      <w:pPr>
        <w:widowControl w:val="0"/>
        <w:suppressAutoHyphens/>
        <w:ind w:left="2880" w:hanging="720"/>
      </w:pPr>
      <w:r w:rsidRPr="003B4362">
        <w:t>C)</w:t>
      </w:r>
      <w:r w:rsidRPr="003B4362">
        <w:tab/>
        <w:t xml:space="preserve">Atomic Absorption, Platform Furnace Technique.  </w:t>
      </w:r>
      <w:bookmarkStart w:id="3569" w:name="_Hlk13587915"/>
      <w:r w:rsidRPr="003B4362">
        <w:t>USEPA 200.9 (94)</w:t>
      </w:r>
      <w:bookmarkEnd w:id="3569"/>
      <w:r w:rsidRPr="003B4362">
        <w:t>.</w:t>
      </w:r>
    </w:p>
    <w:p w14:paraId="1DAAA1D7" w14:textId="77777777" w:rsidR="00710318" w:rsidRDefault="00710318" w:rsidP="00710318">
      <w:pPr>
        <w:widowControl w:val="0"/>
        <w:suppressAutoHyphens/>
        <w:ind w:left="2880" w:hanging="720"/>
      </w:pPr>
    </w:p>
    <w:p w14:paraId="75AB3AB4" w14:textId="793C6990" w:rsidR="004F7532" w:rsidRPr="003B4362" w:rsidRDefault="004F7532" w:rsidP="00710318">
      <w:pPr>
        <w:widowControl w:val="0"/>
        <w:suppressAutoHyphens/>
        <w:ind w:left="2880" w:hanging="720"/>
      </w:pPr>
      <w:r w:rsidRPr="003B4362">
        <w:t>D)</w:t>
      </w:r>
      <w:r w:rsidRPr="003B4362">
        <w:tab/>
        <w:t xml:space="preserve">Atomic Absorption, Furnace Technique.  </w:t>
      </w:r>
      <w:bookmarkStart w:id="3570" w:name="_Hlk13588054"/>
      <w:r w:rsidRPr="003B4362">
        <w:t>ASTM D3645-97 B, ASTM D3645-03 B, ASTM D3645-08 B, ASTM D3645-15 B</w:t>
      </w:r>
      <w:bookmarkEnd w:id="3570"/>
      <w:r w:rsidRPr="003B4362">
        <w:t xml:space="preserve">, </w:t>
      </w:r>
      <w:bookmarkStart w:id="3571" w:name="_Hlk13588330"/>
      <w:r w:rsidRPr="003B4362">
        <w:t xml:space="preserve">SM 3113 B (89), SM 3113 B (93), SM 3113 B (99), </w:t>
      </w:r>
      <w:bookmarkStart w:id="3572" w:name="_Hlk13588595"/>
      <w:r w:rsidRPr="003B4362">
        <w:t>SM 3113 B (04)</w:t>
      </w:r>
      <w:bookmarkEnd w:id="3572"/>
      <w:r w:rsidRPr="003B4362">
        <w:t>, or SM 3113 B (10)</w:t>
      </w:r>
      <w:bookmarkEnd w:id="3571"/>
      <w:r w:rsidRPr="003B4362">
        <w:t>.</w:t>
      </w:r>
    </w:p>
    <w:p w14:paraId="0A6AD3F0" w14:textId="77777777" w:rsidR="00710318" w:rsidRDefault="00710318" w:rsidP="00710318">
      <w:pPr>
        <w:widowControl w:val="0"/>
        <w:suppressAutoHyphens/>
        <w:ind w:left="2880" w:hanging="720"/>
      </w:pPr>
    </w:p>
    <w:p w14:paraId="44F805F9" w14:textId="360F7791" w:rsidR="004F7532" w:rsidRPr="003B4362" w:rsidRDefault="004F7532" w:rsidP="00710318">
      <w:pPr>
        <w:widowControl w:val="0"/>
        <w:suppressAutoHyphens/>
        <w:ind w:left="2880" w:hanging="720"/>
      </w:pPr>
      <w:r w:rsidRPr="003B4362">
        <w:t>E)</w:t>
      </w:r>
      <w:r w:rsidRPr="003B4362">
        <w:tab/>
        <w:t>Axially Viewed Inductively Coupled Plasma-Atomic Emission Spectrometry (AVICP-AES).  USEPA 200.5 (03).</w:t>
      </w:r>
    </w:p>
    <w:p w14:paraId="309C5711" w14:textId="77777777" w:rsidR="00710318" w:rsidRDefault="00710318" w:rsidP="00710318">
      <w:pPr>
        <w:widowControl w:val="0"/>
        <w:suppressAutoHyphens/>
        <w:ind w:left="2160" w:hanging="720"/>
      </w:pPr>
    </w:p>
    <w:p w14:paraId="7A0A0196" w14:textId="3F5164FF" w:rsidR="004F7532" w:rsidRPr="003B4362" w:rsidRDefault="004F7532" w:rsidP="00710318">
      <w:pPr>
        <w:widowControl w:val="0"/>
        <w:suppressAutoHyphens/>
        <w:ind w:left="2160" w:hanging="720"/>
      </w:pPr>
      <w:r w:rsidRPr="003B4362">
        <w:t>7)</w:t>
      </w:r>
      <w:r w:rsidRPr="003B4362">
        <w:tab/>
        <w:t>Cadmium</w:t>
      </w:r>
    </w:p>
    <w:p w14:paraId="3497783C" w14:textId="77777777" w:rsidR="00710318" w:rsidRDefault="00710318" w:rsidP="00710318">
      <w:pPr>
        <w:widowControl w:val="0"/>
        <w:suppressAutoHyphens/>
        <w:ind w:left="2880" w:hanging="720"/>
      </w:pPr>
    </w:p>
    <w:p w14:paraId="6CEBD96A" w14:textId="78C4E523" w:rsidR="004F7532" w:rsidRPr="003B4362" w:rsidRDefault="004F7532" w:rsidP="00710318">
      <w:pPr>
        <w:widowControl w:val="0"/>
        <w:suppressAutoHyphens/>
        <w:ind w:left="2880" w:hanging="720"/>
      </w:pPr>
      <w:r w:rsidRPr="003B4362">
        <w:t>A)</w:t>
      </w:r>
      <w:r w:rsidRPr="003B4362">
        <w:tab/>
        <w:t xml:space="preserve">Inductively Coupled Plasma Arc Furnace.  </w:t>
      </w:r>
      <w:bookmarkStart w:id="3573" w:name="_Hlk13588968"/>
      <w:r w:rsidRPr="003B4362">
        <w:t>USEPA 200.7 (94)</w:t>
      </w:r>
      <w:bookmarkEnd w:id="3573"/>
      <w:r w:rsidRPr="003B4362">
        <w:t>.</w:t>
      </w:r>
    </w:p>
    <w:p w14:paraId="563E94FD" w14:textId="77777777" w:rsidR="00710318" w:rsidRDefault="00710318" w:rsidP="00710318">
      <w:pPr>
        <w:widowControl w:val="0"/>
        <w:suppressAutoHyphens/>
        <w:ind w:left="2880" w:hanging="720"/>
      </w:pPr>
    </w:p>
    <w:p w14:paraId="2F00B683" w14:textId="31EC6DD7" w:rsidR="004F7532" w:rsidRPr="003B4362" w:rsidRDefault="004F7532" w:rsidP="00710318">
      <w:pPr>
        <w:widowControl w:val="0"/>
        <w:suppressAutoHyphens/>
        <w:ind w:left="2880" w:hanging="720"/>
      </w:pPr>
      <w:r w:rsidRPr="003B4362">
        <w:t>B)</w:t>
      </w:r>
      <w:r w:rsidRPr="003B4362">
        <w:tab/>
        <w:t xml:space="preserve">Inductively Coupled Plasma-Mass Spectrometry.  </w:t>
      </w:r>
      <w:bookmarkStart w:id="3574" w:name="_Hlk13589172"/>
      <w:r w:rsidRPr="003B4362">
        <w:t xml:space="preserve">USEPA 200.8 </w:t>
      </w:r>
      <w:r w:rsidRPr="003B4362">
        <w:lastRenderedPageBreak/>
        <w:t>(94)</w:t>
      </w:r>
      <w:bookmarkEnd w:id="3574"/>
      <w:r w:rsidRPr="003B4362">
        <w:t>.</w:t>
      </w:r>
    </w:p>
    <w:p w14:paraId="5F343CEA" w14:textId="77777777" w:rsidR="00710318" w:rsidRDefault="00710318" w:rsidP="00710318">
      <w:pPr>
        <w:widowControl w:val="0"/>
        <w:suppressAutoHyphens/>
        <w:ind w:left="2880" w:hanging="720"/>
      </w:pPr>
    </w:p>
    <w:p w14:paraId="496694EF" w14:textId="39E69D7B" w:rsidR="004F7532" w:rsidRPr="003B4362" w:rsidRDefault="004F7532" w:rsidP="00710318">
      <w:pPr>
        <w:widowControl w:val="0"/>
        <w:suppressAutoHyphens/>
        <w:ind w:left="2880" w:hanging="720"/>
      </w:pPr>
      <w:r w:rsidRPr="003B4362">
        <w:t>C)</w:t>
      </w:r>
      <w:r w:rsidRPr="003B4362">
        <w:tab/>
        <w:t>Atomic Absorption, Platform Furnace Technique.  USEPA 200.9 (94).</w:t>
      </w:r>
    </w:p>
    <w:p w14:paraId="316EBD27" w14:textId="77777777" w:rsidR="00710318" w:rsidRDefault="00710318" w:rsidP="00710318">
      <w:pPr>
        <w:widowControl w:val="0"/>
        <w:suppressAutoHyphens/>
        <w:ind w:left="2880" w:hanging="720"/>
      </w:pPr>
    </w:p>
    <w:p w14:paraId="7F6C6A64" w14:textId="7211D6EA" w:rsidR="004F7532" w:rsidRPr="003B4362" w:rsidRDefault="004F7532" w:rsidP="00710318">
      <w:pPr>
        <w:widowControl w:val="0"/>
        <w:suppressAutoHyphens/>
        <w:ind w:left="2880" w:hanging="720"/>
      </w:pPr>
      <w:r w:rsidRPr="003B4362">
        <w:t>D)</w:t>
      </w:r>
      <w:r w:rsidRPr="003B4362">
        <w:tab/>
        <w:t xml:space="preserve">Atomic Absorption, Furnace Technique.  </w:t>
      </w:r>
      <w:bookmarkStart w:id="3575" w:name="_Hlk13589704"/>
      <w:bookmarkStart w:id="3576" w:name="_Hlk13589737"/>
      <w:r w:rsidRPr="003B4362">
        <w:t xml:space="preserve">SM 3113 B </w:t>
      </w:r>
      <w:bookmarkEnd w:id="3575"/>
      <w:r w:rsidRPr="003B4362">
        <w:t>(89), SM 3113 B (93), SM 3113 B (99), SM 3113 B (04), and SM 3113 B (10)</w:t>
      </w:r>
      <w:bookmarkEnd w:id="3576"/>
      <w:r w:rsidRPr="003B4362">
        <w:t>.</w:t>
      </w:r>
    </w:p>
    <w:p w14:paraId="4BD62C5D" w14:textId="77777777" w:rsidR="00710318" w:rsidRDefault="00710318" w:rsidP="00710318">
      <w:pPr>
        <w:widowControl w:val="0"/>
        <w:suppressAutoHyphens/>
        <w:ind w:left="2880" w:hanging="720"/>
      </w:pPr>
    </w:p>
    <w:p w14:paraId="7D3A68CC" w14:textId="005B5B9C" w:rsidR="004F7532" w:rsidRPr="003B4362" w:rsidRDefault="004F7532" w:rsidP="00710318">
      <w:pPr>
        <w:widowControl w:val="0"/>
        <w:suppressAutoHyphens/>
        <w:ind w:left="2880" w:hanging="720"/>
      </w:pPr>
      <w:r w:rsidRPr="003B4362">
        <w:t>E)</w:t>
      </w:r>
      <w:r w:rsidRPr="003B4362">
        <w:tab/>
        <w:t>Axially Viewed Inductively Coupled Plasma-Atomic Emission Spectrometry (AVICP-AES).  USEPA 200.5 (03).</w:t>
      </w:r>
    </w:p>
    <w:p w14:paraId="6C1822A5" w14:textId="77777777" w:rsidR="00710318" w:rsidRDefault="00710318" w:rsidP="00710318">
      <w:pPr>
        <w:widowControl w:val="0"/>
        <w:suppressAutoHyphens/>
        <w:ind w:left="1440"/>
      </w:pPr>
    </w:p>
    <w:p w14:paraId="44D35EA8" w14:textId="7270CA91" w:rsidR="004F7532" w:rsidRPr="003B4362" w:rsidRDefault="004F7532" w:rsidP="00710318">
      <w:pPr>
        <w:widowControl w:val="0"/>
        <w:suppressAutoHyphens/>
        <w:ind w:left="1440"/>
      </w:pPr>
      <w:r w:rsidRPr="003B4362">
        <w:t>8)</w:t>
      </w:r>
      <w:r w:rsidRPr="003B4362">
        <w:tab/>
        <w:t>Calcium</w:t>
      </w:r>
    </w:p>
    <w:p w14:paraId="1E223031" w14:textId="77777777" w:rsidR="00710318" w:rsidRDefault="00710318" w:rsidP="00710318">
      <w:pPr>
        <w:widowControl w:val="0"/>
        <w:suppressAutoHyphens/>
        <w:ind w:left="2880" w:hanging="720"/>
      </w:pPr>
    </w:p>
    <w:p w14:paraId="7BE3394E" w14:textId="74F60B73" w:rsidR="004F7532" w:rsidRPr="003B4362" w:rsidRDefault="004F7532" w:rsidP="00710318">
      <w:pPr>
        <w:widowControl w:val="0"/>
        <w:suppressAutoHyphens/>
        <w:ind w:left="2880" w:hanging="720"/>
      </w:pPr>
      <w:r w:rsidRPr="003B4362">
        <w:t>A)</w:t>
      </w:r>
      <w:r w:rsidRPr="003B4362">
        <w:tab/>
        <w:t xml:space="preserve">EDTA Titrimetric.  </w:t>
      </w:r>
      <w:bookmarkStart w:id="3577" w:name="_Hlk13592243"/>
      <w:r w:rsidRPr="003B4362">
        <w:t>ASTM D511-93 A, ASTM D511-03 A, ASTM D511-09 A, ASTM D511-14 A</w:t>
      </w:r>
      <w:bookmarkEnd w:id="3577"/>
      <w:r w:rsidRPr="003B4362">
        <w:t xml:space="preserve">, </w:t>
      </w:r>
      <w:bookmarkStart w:id="3578" w:name="_Hlk13592434"/>
      <w:r w:rsidRPr="003B4362">
        <w:t>SM 3500-Ca B (97), or 3500-Ca D (91)</w:t>
      </w:r>
      <w:bookmarkEnd w:id="3578"/>
      <w:r w:rsidRPr="003B4362">
        <w:t>.</w:t>
      </w:r>
    </w:p>
    <w:p w14:paraId="24EC7A91" w14:textId="77777777" w:rsidR="00710318" w:rsidRDefault="00710318" w:rsidP="00710318">
      <w:pPr>
        <w:widowControl w:val="0"/>
        <w:suppressAutoHyphens/>
        <w:ind w:left="2880" w:hanging="720"/>
      </w:pPr>
    </w:p>
    <w:p w14:paraId="571A6337" w14:textId="209F938E" w:rsidR="004F7532" w:rsidRPr="003B4362" w:rsidRDefault="004F7532" w:rsidP="00710318">
      <w:pPr>
        <w:widowControl w:val="0"/>
        <w:suppressAutoHyphens/>
        <w:ind w:left="2880" w:hanging="720"/>
      </w:pPr>
      <w:r w:rsidRPr="003B4362">
        <w:t>B)</w:t>
      </w:r>
      <w:r w:rsidRPr="003B4362">
        <w:tab/>
        <w:t xml:space="preserve">Atomic Absorption, Direct Aspiration.  </w:t>
      </w:r>
      <w:bookmarkStart w:id="3579" w:name="_Hlk13592633"/>
      <w:r w:rsidRPr="003B4362">
        <w:t>ASTM D511-93 B, ASTM D511-03 B, ASTM D511-09 B, ASTM D511-14 B</w:t>
      </w:r>
      <w:bookmarkEnd w:id="3579"/>
      <w:r w:rsidRPr="003B4362">
        <w:t xml:space="preserve">, </w:t>
      </w:r>
      <w:bookmarkStart w:id="3580" w:name="_Hlk13592755"/>
      <w:r w:rsidRPr="003B4362">
        <w:t>SM 3111 B (89), SM 3111 B (93), or SM 3111 B (99)</w:t>
      </w:r>
      <w:bookmarkEnd w:id="3580"/>
      <w:r w:rsidRPr="003B4362">
        <w:t>.</w:t>
      </w:r>
    </w:p>
    <w:p w14:paraId="2DB49DAF" w14:textId="77777777" w:rsidR="00710318" w:rsidRDefault="00710318" w:rsidP="00710318">
      <w:pPr>
        <w:widowControl w:val="0"/>
        <w:suppressAutoHyphens/>
        <w:ind w:left="2880" w:hanging="720"/>
      </w:pPr>
    </w:p>
    <w:p w14:paraId="2A5D14D1" w14:textId="1F26C732" w:rsidR="004F7532" w:rsidRPr="003B4362" w:rsidRDefault="004F7532" w:rsidP="00710318">
      <w:pPr>
        <w:widowControl w:val="0"/>
        <w:suppressAutoHyphens/>
        <w:ind w:left="2880" w:hanging="720"/>
      </w:pPr>
      <w:r w:rsidRPr="003B4362">
        <w:t>C)</w:t>
      </w:r>
      <w:r w:rsidRPr="003B4362">
        <w:tab/>
        <w:t xml:space="preserve">Inductively Coupled Plasma.  </w:t>
      </w:r>
      <w:bookmarkStart w:id="3581" w:name="_Hlk13592902"/>
      <w:r w:rsidRPr="003B4362">
        <w:t>USEPA 200.7 (94)</w:t>
      </w:r>
      <w:bookmarkEnd w:id="3581"/>
      <w:r w:rsidRPr="003B4362">
        <w:t xml:space="preserve">, </w:t>
      </w:r>
      <w:bookmarkStart w:id="3582" w:name="_Hlk13592989"/>
      <w:r w:rsidRPr="003B4362">
        <w:t>SM 3120 B (83), SM 3120 B (93), or SM 3120 B (99)</w:t>
      </w:r>
      <w:bookmarkEnd w:id="3582"/>
      <w:r w:rsidRPr="003B4362">
        <w:t>.</w:t>
      </w:r>
    </w:p>
    <w:p w14:paraId="2237E76D" w14:textId="77777777" w:rsidR="00710318" w:rsidRDefault="00710318" w:rsidP="00710318">
      <w:pPr>
        <w:widowControl w:val="0"/>
        <w:suppressAutoHyphens/>
        <w:ind w:left="2880" w:hanging="720"/>
      </w:pPr>
    </w:p>
    <w:p w14:paraId="4FF4559D" w14:textId="05121839" w:rsidR="004F7532" w:rsidRPr="003B4362" w:rsidRDefault="004F7532" w:rsidP="00710318">
      <w:pPr>
        <w:widowControl w:val="0"/>
        <w:suppressAutoHyphens/>
        <w:ind w:left="2880" w:hanging="720"/>
      </w:pPr>
      <w:r w:rsidRPr="003B4362">
        <w:t>D)</w:t>
      </w:r>
      <w:r w:rsidRPr="003B4362">
        <w:tab/>
        <w:t xml:space="preserve">Ion Chromatography.  </w:t>
      </w:r>
      <w:bookmarkStart w:id="3583" w:name="_Hlk13593131"/>
      <w:r w:rsidRPr="003B4362">
        <w:t>ASTM D6919-03</w:t>
      </w:r>
      <w:r w:rsidR="00312696" w:rsidRPr="003B4362">
        <w:t>,</w:t>
      </w:r>
      <w:r w:rsidRPr="003B4362">
        <w:t xml:space="preserve"> ASTM D6919-09</w:t>
      </w:r>
      <w:bookmarkEnd w:id="3583"/>
      <w:r w:rsidR="00312696" w:rsidRPr="003B4362">
        <w:t>, or ASTM D6919-17</w:t>
      </w:r>
      <w:r w:rsidRPr="003B4362">
        <w:t>.</w:t>
      </w:r>
    </w:p>
    <w:p w14:paraId="40670E51" w14:textId="77777777" w:rsidR="00710318" w:rsidRDefault="00710318" w:rsidP="00710318">
      <w:pPr>
        <w:widowControl w:val="0"/>
        <w:suppressAutoHyphens/>
        <w:ind w:left="2880" w:hanging="720"/>
      </w:pPr>
    </w:p>
    <w:p w14:paraId="6B855102" w14:textId="55B5F439" w:rsidR="004F7532" w:rsidRPr="003B4362" w:rsidRDefault="004F7532" w:rsidP="00710318">
      <w:pPr>
        <w:widowControl w:val="0"/>
        <w:suppressAutoHyphens/>
        <w:ind w:left="2880" w:hanging="720"/>
      </w:pPr>
      <w:r w:rsidRPr="003B4362">
        <w:t>E)</w:t>
      </w:r>
      <w:r w:rsidRPr="003B4362">
        <w:tab/>
        <w:t>Axially Viewed Inductively Coupled Plasma-Atomic Emission Spectrometry (AVICP-AES).  USEPA 200.5 (03).</w:t>
      </w:r>
    </w:p>
    <w:p w14:paraId="3FAB7861" w14:textId="77777777" w:rsidR="00710318" w:rsidRDefault="00710318" w:rsidP="00710318">
      <w:pPr>
        <w:widowControl w:val="0"/>
        <w:suppressAutoHyphens/>
        <w:ind w:left="2160" w:hanging="720"/>
      </w:pPr>
    </w:p>
    <w:p w14:paraId="27F4F55A" w14:textId="4C9D0A93" w:rsidR="00A32F69" w:rsidRPr="003B4362" w:rsidRDefault="004F7532" w:rsidP="00710318">
      <w:pPr>
        <w:widowControl w:val="0"/>
        <w:suppressAutoHyphens/>
        <w:ind w:left="2160" w:hanging="720"/>
      </w:pPr>
      <w:r w:rsidRPr="003B4362">
        <w:t>9)</w:t>
      </w:r>
      <w:r w:rsidRPr="003B4362">
        <w:tab/>
      </w:r>
      <w:r w:rsidR="00A32F69" w:rsidRPr="003B4362">
        <w:t>Chloride.  Ion Chromatography.  ASTM D4327-17.</w:t>
      </w:r>
    </w:p>
    <w:p w14:paraId="1EC36469" w14:textId="77777777" w:rsidR="00710318" w:rsidRDefault="00710318" w:rsidP="00710318">
      <w:pPr>
        <w:widowControl w:val="0"/>
        <w:suppressAutoHyphens/>
        <w:ind w:left="2160" w:hanging="720"/>
      </w:pPr>
    </w:p>
    <w:p w14:paraId="7481A5EC" w14:textId="3035E5F3" w:rsidR="004F7532" w:rsidRPr="003B4362" w:rsidRDefault="00A32F69" w:rsidP="00710318">
      <w:pPr>
        <w:widowControl w:val="0"/>
        <w:suppressAutoHyphens/>
        <w:ind w:left="2160" w:hanging="720"/>
      </w:pPr>
      <w:r w:rsidRPr="003B4362">
        <w:t>10)</w:t>
      </w:r>
      <w:r w:rsidRPr="003B4362">
        <w:tab/>
      </w:r>
      <w:r w:rsidR="004F7532" w:rsidRPr="003B4362">
        <w:t>Chromium</w:t>
      </w:r>
    </w:p>
    <w:p w14:paraId="32CE69D0" w14:textId="77777777" w:rsidR="00710318" w:rsidRDefault="00710318" w:rsidP="00710318">
      <w:pPr>
        <w:widowControl w:val="0"/>
        <w:suppressAutoHyphens/>
        <w:ind w:left="2880" w:hanging="720"/>
      </w:pPr>
    </w:p>
    <w:p w14:paraId="2CC733AA" w14:textId="48EFCE69" w:rsidR="004F7532" w:rsidRPr="003B4362" w:rsidRDefault="004F7532" w:rsidP="00710318">
      <w:pPr>
        <w:widowControl w:val="0"/>
        <w:suppressAutoHyphens/>
        <w:ind w:left="2880" w:hanging="720"/>
      </w:pPr>
      <w:r w:rsidRPr="003B4362">
        <w:t>A)</w:t>
      </w:r>
      <w:r w:rsidRPr="003B4362">
        <w:tab/>
        <w:t xml:space="preserve">Inductively Coupled Plasma.  </w:t>
      </w:r>
      <w:bookmarkStart w:id="3584" w:name="_Hlk13594436"/>
      <w:r w:rsidRPr="003B4362">
        <w:t>USEPA 200.7 (94)</w:t>
      </w:r>
      <w:bookmarkEnd w:id="3584"/>
      <w:r w:rsidRPr="003B4362">
        <w:t xml:space="preserve">, </w:t>
      </w:r>
      <w:bookmarkStart w:id="3585" w:name="_Hlk13594480"/>
      <w:r w:rsidRPr="003B4362">
        <w:t>SM 3120 B (83), SM 3120 B (93), or SM 3120 B (99)</w:t>
      </w:r>
      <w:bookmarkEnd w:id="3585"/>
      <w:r w:rsidRPr="003B4362">
        <w:t>.</w:t>
      </w:r>
    </w:p>
    <w:p w14:paraId="1EAA62E8" w14:textId="77777777" w:rsidR="00710318" w:rsidRDefault="00710318" w:rsidP="00710318">
      <w:pPr>
        <w:widowControl w:val="0"/>
        <w:suppressAutoHyphens/>
        <w:ind w:left="2880" w:hanging="720"/>
      </w:pPr>
    </w:p>
    <w:p w14:paraId="7115CE02" w14:textId="33BE17F8" w:rsidR="004F7532" w:rsidRPr="003B4362" w:rsidRDefault="004F7532" w:rsidP="00710318">
      <w:pPr>
        <w:widowControl w:val="0"/>
        <w:suppressAutoHyphens/>
        <w:ind w:left="2880" w:hanging="720"/>
      </w:pPr>
      <w:r w:rsidRPr="003B4362">
        <w:t>B)</w:t>
      </w:r>
      <w:r w:rsidRPr="003B4362">
        <w:tab/>
        <w:t xml:space="preserve">Inductively Coupled Plasma-Mass Spectrometry.  </w:t>
      </w:r>
      <w:bookmarkStart w:id="3586" w:name="_Hlk13594592"/>
      <w:r w:rsidRPr="003B4362">
        <w:t>USEPA 200.8 (94)</w:t>
      </w:r>
      <w:bookmarkEnd w:id="3586"/>
      <w:r w:rsidRPr="003B4362">
        <w:t>.</w:t>
      </w:r>
    </w:p>
    <w:p w14:paraId="059475BC" w14:textId="77777777" w:rsidR="00710318" w:rsidRDefault="00710318" w:rsidP="00710318">
      <w:pPr>
        <w:widowControl w:val="0"/>
        <w:suppressAutoHyphens/>
        <w:ind w:left="2880" w:hanging="720"/>
      </w:pPr>
    </w:p>
    <w:p w14:paraId="6C8D06FA" w14:textId="09A121A5" w:rsidR="004F7532" w:rsidRPr="003B4362" w:rsidRDefault="004F7532" w:rsidP="00710318">
      <w:pPr>
        <w:widowControl w:val="0"/>
        <w:suppressAutoHyphens/>
        <w:ind w:left="2880" w:hanging="720"/>
      </w:pPr>
      <w:r w:rsidRPr="003B4362">
        <w:t>C)</w:t>
      </w:r>
      <w:r w:rsidRPr="003B4362">
        <w:tab/>
        <w:t xml:space="preserve">Atomic Absorption, Platform Furnace Technique.  </w:t>
      </w:r>
      <w:bookmarkStart w:id="3587" w:name="_Hlk13651228"/>
      <w:r w:rsidRPr="003B4362">
        <w:t>USEPA 200.9 (94)</w:t>
      </w:r>
      <w:bookmarkEnd w:id="3587"/>
      <w:r w:rsidRPr="003B4362">
        <w:t>.</w:t>
      </w:r>
    </w:p>
    <w:p w14:paraId="524A8F60" w14:textId="77777777" w:rsidR="00710318" w:rsidRDefault="00710318" w:rsidP="00710318">
      <w:pPr>
        <w:widowControl w:val="0"/>
        <w:suppressAutoHyphens/>
        <w:ind w:left="2880" w:hanging="720"/>
      </w:pPr>
    </w:p>
    <w:p w14:paraId="7951A685" w14:textId="2B756904" w:rsidR="004F7532" w:rsidRPr="003B4362" w:rsidRDefault="004F7532" w:rsidP="00710318">
      <w:pPr>
        <w:widowControl w:val="0"/>
        <w:suppressAutoHyphens/>
        <w:ind w:left="2880" w:hanging="720"/>
      </w:pPr>
      <w:r w:rsidRPr="003B4362">
        <w:t>D)</w:t>
      </w:r>
      <w:r w:rsidRPr="003B4362">
        <w:tab/>
        <w:t xml:space="preserve">Atomic Absorption, Furnace Technique.  </w:t>
      </w:r>
      <w:bookmarkStart w:id="3588" w:name="_Hlk13651712"/>
      <w:bookmarkStart w:id="3589" w:name="_Hlk13651621"/>
      <w:r w:rsidRPr="003B4362">
        <w:t xml:space="preserve">SM </w:t>
      </w:r>
      <w:bookmarkEnd w:id="3588"/>
      <w:r w:rsidRPr="003B4362">
        <w:t xml:space="preserve">3113 B (89), SM </w:t>
      </w:r>
      <w:r w:rsidRPr="003B4362">
        <w:lastRenderedPageBreak/>
        <w:t>3113 B (93), SM 3113 B (99), SM 3113 B (04), and SM 3113 B (10)</w:t>
      </w:r>
      <w:bookmarkEnd w:id="3589"/>
      <w:r w:rsidRPr="003B4362">
        <w:t>.</w:t>
      </w:r>
    </w:p>
    <w:p w14:paraId="590F45C5" w14:textId="77777777" w:rsidR="00710318" w:rsidRDefault="00710318" w:rsidP="00710318">
      <w:pPr>
        <w:widowControl w:val="0"/>
        <w:suppressAutoHyphens/>
        <w:ind w:left="2880" w:hanging="720"/>
      </w:pPr>
    </w:p>
    <w:p w14:paraId="4C6E2657" w14:textId="116B3650" w:rsidR="004F7532" w:rsidRPr="003B4362" w:rsidRDefault="004F7532" w:rsidP="00710318">
      <w:pPr>
        <w:widowControl w:val="0"/>
        <w:suppressAutoHyphens/>
        <w:ind w:left="2880" w:hanging="720"/>
      </w:pPr>
      <w:r w:rsidRPr="003B4362">
        <w:t>E)</w:t>
      </w:r>
      <w:r w:rsidRPr="003B4362">
        <w:tab/>
        <w:t>Axially Viewed Inductively Coupled Plasma-Atomic Emission Spectrometry (AVICP-AES).  USEPA 200.5 (03).</w:t>
      </w:r>
    </w:p>
    <w:p w14:paraId="749CB404" w14:textId="77777777" w:rsidR="00710318" w:rsidRDefault="00710318" w:rsidP="00710318">
      <w:pPr>
        <w:widowControl w:val="0"/>
        <w:suppressAutoHyphens/>
        <w:ind w:left="2160" w:hanging="720"/>
      </w:pPr>
    </w:p>
    <w:p w14:paraId="38C1B258" w14:textId="39F484F0" w:rsidR="004F7532" w:rsidRPr="003B4362" w:rsidRDefault="0033057D" w:rsidP="00710318">
      <w:pPr>
        <w:widowControl w:val="0"/>
        <w:suppressAutoHyphens/>
        <w:ind w:left="2160" w:hanging="720"/>
      </w:pPr>
      <w:r w:rsidRPr="003B4362">
        <w:t>11</w:t>
      </w:r>
      <w:r w:rsidR="004F7532" w:rsidRPr="003B4362">
        <w:t>)</w:t>
      </w:r>
      <w:r w:rsidR="004F7532" w:rsidRPr="003B4362">
        <w:tab/>
        <w:t>Copper</w:t>
      </w:r>
    </w:p>
    <w:p w14:paraId="7D2A8543" w14:textId="77777777" w:rsidR="00710318" w:rsidRDefault="00710318" w:rsidP="00710318">
      <w:pPr>
        <w:widowControl w:val="0"/>
        <w:suppressAutoHyphens/>
        <w:ind w:left="2880" w:hanging="720"/>
      </w:pPr>
    </w:p>
    <w:p w14:paraId="79E3B288" w14:textId="3AB2EC93" w:rsidR="004F7532" w:rsidRPr="003B4362" w:rsidRDefault="004F7532" w:rsidP="00710318">
      <w:pPr>
        <w:widowControl w:val="0"/>
        <w:suppressAutoHyphens/>
        <w:ind w:left="2880" w:hanging="720"/>
      </w:pPr>
      <w:r w:rsidRPr="003B4362">
        <w:t>A)</w:t>
      </w:r>
      <w:r w:rsidRPr="003B4362">
        <w:tab/>
        <w:t xml:space="preserve">Atomic Absorption, Furnace Technique.  </w:t>
      </w:r>
      <w:bookmarkStart w:id="3590" w:name="_Hlk13652636"/>
      <w:r w:rsidRPr="003B4362">
        <w:t>ASTM D1688-95 C, ASTM D1688-02 C, ASTM D1688-07 C, ASTM D1688-12 C</w:t>
      </w:r>
      <w:bookmarkEnd w:id="3590"/>
      <w:r w:rsidRPr="003B4362">
        <w:t xml:space="preserve">, </w:t>
      </w:r>
      <w:bookmarkStart w:id="3591" w:name="_Hlk13652798"/>
      <w:r w:rsidR="00312696" w:rsidRPr="003B4362">
        <w:t xml:space="preserve">ASTM D1688-17 C, </w:t>
      </w:r>
      <w:r w:rsidRPr="003B4362">
        <w:t>SM 3113 B (89), SM 3113 B (93), SM 3113 B (99), SM 3113 B (04), and SM 3113 B (10)</w:t>
      </w:r>
      <w:bookmarkEnd w:id="3591"/>
      <w:r w:rsidRPr="003B4362">
        <w:t>.</w:t>
      </w:r>
    </w:p>
    <w:p w14:paraId="419E6BB1" w14:textId="77777777" w:rsidR="00710318" w:rsidRDefault="00710318" w:rsidP="00710318">
      <w:pPr>
        <w:widowControl w:val="0"/>
        <w:suppressAutoHyphens/>
        <w:ind w:left="2880" w:hanging="720"/>
      </w:pPr>
    </w:p>
    <w:p w14:paraId="2F450012" w14:textId="63474E94" w:rsidR="004F7532" w:rsidRPr="003B4362" w:rsidRDefault="004F7532" w:rsidP="00710318">
      <w:pPr>
        <w:widowControl w:val="0"/>
        <w:suppressAutoHyphens/>
        <w:ind w:left="2880" w:hanging="720"/>
      </w:pPr>
      <w:r w:rsidRPr="003B4362">
        <w:t>B)</w:t>
      </w:r>
      <w:r w:rsidRPr="003B4362">
        <w:tab/>
        <w:t xml:space="preserve">Atomic Absorption, Direct Aspiration.  </w:t>
      </w:r>
      <w:bookmarkStart w:id="3592" w:name="_Hlk13654105"/>
      <w:r w:rsidRPr="003B4362">
        <w:t>ASTM D1688-95 A, ASTM D1688-02 A, ASTM D1688-07 A, ASTM D1688-12 A</w:t>
      </w:r>
      <w:bookmarkEnd w:id="3592"/>
      <w:r w:rsidRPr="003B4362">
        <w:t xml:space="preserve">, </w:t>
      </w:r>
      <w:bookmarkStart w:id="3593" w:name="_Hlk13654081"/>
      <w:r w:rsidR="00312696" w:rsidRPr="003B4362">
        <w:t xml:space="preserve">ASTM D1688-17 A, </w:t>
      </w:r>
      <w:r w:rsidRPr="003B4362">
        <w:t>SM 3111 B (89), SM 3111 B (93), or SM 3111 B (99)</w:t>
      </w:r>
      <w:bookmarkEnd w:id="3593"/>
      <w:r w:rsidRPr="003B4362">
        <w:t>.</w:t>
      </w:r>
    </w:p>
    <w:p w14:paraId="1FA23E05" w14:textId="77777777" w:rsidR="00710318" w:rsidRDefault="00710318" w:rsidP="00710318">
      <w:pPr>
        <w:widowControl w:val="0"/>
        <w:suppressAutoHyphens/>
        <w:ind w:left="2880" w:hanging="720"/>
      </w:pPr>
    </w:p>
    <w:p w14:paraId="05208557" w14:textId="75963CAA" w:rsidR="004F7532" w:rsidRPr="003B4362" w:rsidRDefault="004F7532" w:rsidP="00710318">
      <w:pPr>
        <w:widowControl w:val="0"/>
        <w:suppressAutoHyphens/>
        <w:ind w:left="2880" w:hanging="720"/>
      </w:pPr>
      <w:r w:rsidRPr="003B4362">
        <w:t>C)</w:t>
      </w:r>
      <w:r w:rsidRPr="003B4362">
        <w:tab/>
        <w:t xml:space="preserve">Inductively Coupled Plasma.  </w:t>
      </w:r>
      <w:bookmarkStart w:id="3594" w:name="_Hlk13654806"/>
      <w:r w:rsidRPr="003B4362">
        <w:t>USEPA 200.7 (94)</w:t>
      </w:r>
      <w:bookmarkEnd w:id="3594"/>
      <w:r w:rsidRPr="003B4362">
        <w:t xml:space="preserve">, </w:t>
      </w:r>
      <w:bookmarkStart w:id="3595" w:name="_Hlk13654905"/>
      <w:r w:rsidRPr="003B4362">
        <w:t>SM 3120 B (83), SM 3120 B (93), or SM 3120 B (99)</w:t>
      </w:r>
      <w:bookmarkEnd w:id="3595"/>
      <w:r w:rsidRPr="003B4362">
        <w:t>.</w:t>
      </w:r>
    </w:p>
    <w:p w14:paraId="5149207B" w14:textId="77777777" w:rsidR="00710318" w:rsidRDefault="00710318" w:rsidP="00710318">
      <w:pPr>
        <w:widowControl w:val="0"/>
        <w:suppressAutoHyphens/>
        <w:ind w:left="2880" w:hanging="720"/>
      </w:pPr>
    </w:p>
    <w:p w14:paraId="4BA80311" w14:textId="2E320DD3" w:rsidR="004F7532" w:rsidRPr="003B4362" w:rsidRDefault="004F7532" w:rsidP="00710318">
      <w:pPr>
        <w:widowControl w:val="0"/>
        <w:suppressAutoHyphens/>
        <w:ind w:left="2880" w:hanging="720"/>
      </w:pPr>
      <w:r w:rsidRPr="003B4362">
        <w:t>D)</w:t>
      </w:r>
      <w:r w:rsidRPr="003B4362">
        <w:tab/>
        <w:t>Inductively Coupled Plasma-Mass Spectrometry.  USEPA 200.8 (94).</w:t>
      </w:r>
    </w:p>
    <w:p w14:paraId="4C68899F" w14:textId="77777777" w:rsidR="00710318" w:rsidRDefault="00710318" w:rsidP="00710318">
      <w:pPr>
        <w:widowControl w:val="0"/>
        <w:suppressAutoHyphens/>
        <w:ind w:left="2880" w:hanging="720"/>
      </w:pPr>
    </w:p>
    <w:p w14:paraId="078A8051" w14:textId="7D6FFDCC" w:rsidR="004F7532" w:rsidRPr="003B4362" w:rsidRDefault="004F7532" w:rsidP="00710318">
      <w:pPr>
        <w:widowControl w:val="0"/>
        <w:suppressAutoHyphens/>
        <w:ind w:left="2880" w:hanging="720"/>
      </w:pPr>
      <w:r w:rsidRPr="003B4362">
        <w:t>E)</w:t>
      </w:r>
      <w:r w:rsidRPr="003B4362">
        <w:tab/>
        <w:t>Atomic Absorption, Platform Furnace Technique.  USEPA 200.9 (94).</w:t>
      </w:r>
    </w:p>
    <w:p w14:paraId="4E262F8B" w14:textId="77777777" w:rsidR="00710318" w:rsidRDefault="00710318" w:rsidP="00710318">
      <w:pPr>
        <w:widowControl w:val="0"/>
        <w:suppressAutoHyphens/>
        <w:ind w:left="2880" w:hanging="720"/>
      </w:pPr>
    </w:p>
    <w:p w14:paraId="67694E6F" w14:textId="6174852E" w:rsidR="004F7532" w:rsidRPr="003B4362" w:rsidRDefault="004F7532" w:rsidP="00710318">
      <w:pPr>
        <w:widowControl w:val="0"/>
        <w:suppressAutoHyphens/>
        <w:ind w:left="2880" w:hanging="720"/>
      </w:pPr>
      <w:r w:rsidRPr="003B4362">
        <w:t>F)</w:t>
      </w:r>
      <w:r w:rsidRPr="003B4362">
        <w:tab/>
        <w:t>Axially Viewed Inductively Coupled Plasma-Atomic Emission Spectrometry (AVICP-AES).  USEPA 200.5 (03).</w:t>
      </w:r>
    </w:p>
    <w:p w14:paraId="15D77AE6" w14:textId="77777777" w:rsidR="00710318" w:rsidRDefault="00710318" w:rsidP="00710318">
      <w:pPr>
        <w:widowControl w:val="0"/>
        <w:suppressAutoHyphens/>
        <w:ind w:left="2160"/>
      </w:pPr>
    </w:p>
    <w:p w14:paraId="4DF2DC34" w14:textId="29FACEAD" w:rsidR="004F7532" w:rsidRPr="003B4362" w:rsidRDefault="004F7532" w:rsidP="00710318">
      <w:pPr>
        <w:widowControl w:val="0"/>
        <w:suppressAutoHyphens/>
        <w:ind w:left="2160"/>
      </w:pPr>
      <w:r w:rsidRPr="003B4362">
        <w:t>G)</w:t>
      </w:r>
      <w:r w:rsidRPr="003B4362">
        <w:tab/>
        <w:t xml:space="preserve">Colorimetric.  </w:t>
      </w:r>
      <w:bookmarkStart w:id="3596" w:name="_Hlk13655184"/>
      <w:r w:rsidRPr="003B4362">
        <w:t>Hach 8026 (15) or Hach 10272 (15)</w:t>
      </w:r>
      <w:bookmarkEnd w:id="3596"/>
      <w:r w:rsidRPr="003B4362">
        <w:t>.</w:t>
      </w:r>
    </w:p>
    <w:p w14:paraId="3C0FF65F" w14:textId="77777777" w:rsidR="00710318" w:rsidRDefault="00710318" w:rsidP="00710318">
      <w:pPr>
        <w:widowControl w:val="0"/>
        <w:suppressAutoHyphens/>
        <w:ind w:left="2160" w:hanging="720"/>
      </w:pPr>
    </w:p>
    <w:p w14:paraId="78F69599" w14:textId="069277F0" w:rsidR="004F7532" w:rsidRPr="003B4362" w:rsidRDefault="0033057D" w:rsidP="00710318">
      <w:pPr>
        <w:widowControl w:val="0"/>
        <w:suppressAutoHyphens/>
        <w:ind w:left="2160" w:hanging="720"/>
      </w:pPr>
      <w:r w:rsidRPr="003B4362">
        <w:t>12</w:t>
      </w:r>
      <w:r w:rsidR="004F7532" w:rsidRPr="003B4362">
        <w:t>)</w:t>
      </w:r>
      <w:r w:rsidR="004F7532" w:rsidRPr="003B4362">
        <w:tab/>
        <w:t xml:space="preserve">Conductivity; Conductance.  </w:t>
      </w:r>
      <w:bookmarkStart w:id="3597" w:name="_Hlk37072343"/>
      <w:bookmarkStart w:id="3598" w:name="_Hlk13655583"/>
      <w:r w:rsidR="004F7532" w:rsidRPr="003B4362">
        <w:t>ASTM D1125-95(1999) A</w:t>
      </w:r>
      <w:bookmarkEnd w:id="3597"/>
      <w:r w:rsidR="004F7532" w:rsidRPr="003B4362">
        <w:t>, ASTM D1125-14 A</w:t>
      </w:r>
      <w:bookmarkEnd w:id="3598"/>
      <w:r w:rsidR="004F7532" w:rsidRPr="003B4362">
        <w:t xml:space="preserve">, </w:t>
      </w:r>
      <w:bookmarkStart w:id="3599" w:name="_Hlk13655629"/>
      <w:r w:rsidR="004F7532" w:rsidRPr="003B4362">
        <w:t>SM 2510 B (91), or SM 2510 B (97)</w:t>
      </w:r>
      <w:bookmarkEnd w:id="3599"/>
      <w:r w:rsidR="004F7532" w:rsidRPr="003B4362">
        <w:t>.</w:t>
      </w:r>
    </w:p>
    <w:p w14:paraId="760A9EF7" w14:textId="77777777" w:rsidR="00710318" w:rsidRDefault="00710318" w:rsidP="00710318">
      <w:pPr>
        <w:widowControl w:val="0"/>
        <w:suppressAutoHyphens/>
        <w:ind w:left="2160" w:hanging="720"/>
      </w:pPr>
    </w:p>
    <w:p w14:paraId="26D5FF33" w14:textId="4B6B7F97" w:rsidR="004F7532" w:rsidRPr="003B4362" w:rsidRDefault="004F7532" w:rsidP="00710318">
      <w:pPr>
        <w:widowControl w:val="0"/>
        <w:suppressAutoHyphens/>
        <w:ind w:left="2160" w:hanging="720"/>
      </w:pPr>
      <w:r w:rsidRPr="003B4362">
        <w:t>1</w:t>
      </w:r>
      <w:r w:rsidR="0033057D" w:rsidRPr="003B4362">
        <w:t>3</w:t>
      </w:r>
      <w:r w:rsidRPr="003B4362">
        <w:t>)</w:t>
      </w:r>
      <w:r w:rsidRPr="003B4362">
        <w:tab/>
        <w:t>Cyanide</w:t>
      </w:r>
    </w:p>
    <w:p w14:paraId="4F11CFD9" w14:textId="77777777" w:rsidR="00710318" w:rsidRDefault="00710318" w:rsidP="00710318">
      <w:pPr>
        <w:widowControl w:val="0"/>
        <w:suppressAutoHyphens/>
        <w:ind w:left="2880" w:hanging="720"/>
      </w:pPr>
    </w:p>
    <w:p w14:paraId="7AAC21AA" w14:textId="10816524" w:rsidR="004F7532" w:rsidRPr="003B4362" w:rsidRDefault="004F7532" w:rsidP="00710318">
      <w:pPr>
        <w:widowControl w:val="0"/>
        <w:suppressAutoHyphens/>
        <w:ind w:left="2880" w:hanging="720"/>
      </w:pPr>
      <w:r w:rsidRPr="003B4362">
        <w:t>A)</w:t>
      </w:r>
      <w:r w:rsidRPr="003B4362">
        <w:tab/>
        <w:t>Manual Distillation with MgCl</w:t>
      </w:r>
      <w:r w:rsidRPr="003B4362">
        <w:rPr>
          <w:vertAlign w:val="subscript"/>
        </w:rPr>
        <w:t>2</w:t>
      </w:r>
      <w:r w:rsidRPr="003B4362">
        <w:t>.  (</w:t>
      </w:r>
      <w:bookmarkStart w:id="3600" w:name="_Hlk13658542"/>
      <w:r w:rsidRPr="003B4362">
        <w:t>ASTM D2036-98 A</w:t>
      </w:r>
      <w:bookmarkEnd w:id="3600"/>
      <w:r w:rsidRPr="003B4362">
        <w:t xml:space="preserve">, ASTM D2036-06 A, SM </w:t>
      </w:r>
      <w:bookmarkStart w:id="3601" w:name="_Hlk13660335"/>
      <w:bookmarkStart w:id="3602" w:name="_Hlk13660388"/>
      <w:r w:rsidRPr="003B4362">
        <w:t>4500-CN</w:t>
      </w:r>
      <w:r w:rsidRPr="003B4362">
        <w:rPr>
          <w:vertAlign w:val="superscript"/>
        </w:rPr>
        <w:t>–</w:t>
      </w:r>
      <w:r w:rsidRPr="003B4362">
        <w:t xml:space="preserve"> C </w:t>
      </w:r>
      <w:bookmarkEnd w:id="3601"/>
      <w:r w:rsidRPr="003B4362">
        <w:t>(90), SM 4500-CN</w:t>
      </w:r>
      <w:r w:rsidRPr="003B4362">
        <w:rPr>
          <w:vertAlign w:val="superscript"/>
        </w:rPr>
        <w:t>–</w:t>
      </w:r>
      <w:r w:rsidRPr="003B4362">
        <w:t xml:space="preserve"> C (97), SM 4500-CN</w:t>
      </w:r>
      <w:r w:rsidRPr="003B4362">
        <w:rPr>
          <w:vertAlign w:val="superscript"/>
        </w:rPr>
        <w:t>–</w:t>
      </w:r>
      <w:r w:rsidRPr="003B4362">
        <w:t xml:space="preserve"> C (99), or SM 4500-CN</w:t>
      </w:r>
      <w:r w:rsidRPr="003B4362">
        <w:rPr>
          <w:vertAlign w:val="superscript"/>
        </w:rPr>
        <w:t>–</w:t>
      </w:r>
      <w:r w:rsidRPr="003B4362">
        <w:t xml:space="preserve"> C (16)</w:t>
      </w:r>
      <w:bookmarkEnd w:id="3602"/>
      <w:r w:rsidRPr="003B4362">
        <w:t>), followed by spectrophotometric, amenable (</w:t>
      </w:r>
      <w:bookmarkStart w:id="3603" w:name="_Hlk13659039"/>
      <w:r w:rsidRPr="003B4362">
        <w:t>ASTM D2036-98 B, ASTM D2036-06 B</w:t>
      </w:r>
      <w:bookmarkEnd w:id="3603"/>
      <w:r w:rsidRPr="003B4362">
        <w:t>, SM 4500-CN</w:t>
      </w:r>
      <w:r w:rsidRPr="003B4362">
        <w:rPr>
          <w:vertAlign w:val="superscript"/>
        </w:rPr>
        <w:t>–</w:t>
      </w:r>
      <w:r w:rsidRPr="003B4362">
        <w:t xml:space="preserve"> G (90), </w:t>
      </w:r>
      <w:bookmarkStart w:id="3604" w:name="_Hlk13659453"/>
      <w:r w:rsidRPr="003B4362">
        <w:t>SM 4500-CN</w:t>
      </w:r>
      <w:r w:rsidRPr="003B4362">
        <w:rPr>
          <w:vertAlign w:val="superscript"/>
        </w:rPr>
        <w:t>–</w:t>
      </w:r>
      <w:r w:rsidRPr="003B4362">
        <w:t xml:space="preserve"> </w:t>
      </w:r>
      <w:bookmarkStart w:id="3605" w:name="_Hlk13660158"/>
      <w:r w:rsidRPr="003B4362">
        <w:t xml:space="preserve">G </w:t>
      </w:r>
      <w:bookmarkEnd w:id="3605"/>
      <w:r w:rsidRPr="003B4362">
        <w:t>(97), SM 4500-CN</w:t>
      </w:r>
      <w:r w:rsidRPr="003B4362">
        <w:rPr>
          <w:vertAlign w:val="superscript"/>
        </w:rPr>
        <w:t>–</w:t>
      </w:r>
      <w:r w:rsidRPr="003B4362">
        <w:t xml:space="preserve"> G (99), or SM 4500-CN</w:t>
      </w:r>
      <w:r w:rsidRPr="003B4362">
        <w:rPr>
          <w:vertAlign w:val="superscript"/>
        </w:rPr>
        <w:t>–</w:t>
      </w:r>
      <w:r w:rsidRPr="003B4362">
        <w:t xml:space="preserve"> G (16)</w:t>
      </w:r>
      <w:bookmarkEnd w:id="3604"/>
      <w:r w:rsidRPr="003B4362">
        <w:t>).</w:t>
      </w:r>
    </w:p>
    <w:p w14:paraId="62A6622E" w14:textId="77777777" w:rsidR="00710318" w:rsidRDefault="00710318" w:rsidP="00710318">
      <w:pPr>
        <w:widowControl w:val="0"/>
        <w:suppressAutoHyphens/>
        <w:ind w:left="2880" w:hanging="720"/>
      </w:pPr>
    </w:p>
    <w:p w14:paraId="3894644E" w14:textId="795F9364" w:rsidR="004F7532" w:rsidRPr="003B4362" w:rsidRDefault="004F7532" w:rsidP="00710318">
      <w:pPr>
        <w:widowControl w:val="0"/>
        <w:suppressAutoHyphens/>
        <w:ind w:left="2880" w:hanging="720"/>
      </w:pPr>
      <w:r w:rsidRPr="003B4362">
        <w:t>B)</w:t>
      </w:r>
      <w:r w:rsidRPr="003B4362">
        <w:tab/>
        <w:t>Manual Distillation with MgCl</w:t>
      </w:r>
      <w:r w:rsidRPr="003B4362">
        <w:rPr>
          <w:vertAlign w:val="subscript"/>
        </w:rPr>
        <w:t>2</w:t>
      </w:r>
      <w:r w:rsidRPr="003B4362">
        <w:t xml:space="preserve">.  Distillation (ASTM D2036-98 A </w:t>
      </w:r>
      <w:r w:rsidRPr="003B4362">
        <w:lastRenderedPageBreak/>
        <w:t xml:space="preserve">or ASTM D2036-06 A or </w:t>
      </w:r>
      <w:bookmarkStart w:id="3606" w:name="_Hlk13660616"/>
      <w:r w:rsidRPr="003B4362">
        <w:t>SM 4500-CN</w:t>
      </w:r>
      <w:r w:rsidRPr="003B4362">
        <w:rPr>
          <w:vertAlign w:val="superscript"/>
        </w:rPr>
        <w:t>–</w:t>
      </w:r>
      <w:r w:rsidRPr="003B4362">
        <w:t xml:space="preserve"> C (90), SM 4500-CN</w:t>
      </w:r>
      <w:r w:rsidRPr="003B4362">
        <w:rPr>
          <w:vertAlign w:val="superscript"/>
        </w:rPr>
        <w:t>–</w:t>
      </w:r>
      <w:r w:rsidRPr="003B4362">
        <w:t xml:space="preserve"> C (97), SM 4500-CN</w:t>
      </w:r>
      <w:r w:rsidRPr="003B4362">
        <w:rPr>
          <w:vertAlign w:val="superscript"/>
        </w:rPr>
        <w:t>–</w:t>
      </w:r>
      <w:r w:rsidRPr="003B4362">
        <w:t xml:space="preserve"> C (99), or SM 4500-CN</w:t>
      </w:r>
      <w:r w:rsidRPr="003B4362">
        <w:rPr>
          <w:vertAlign w:val="superscript"/>
        </w:rPr>
        <w:t>–</w:t>
      </w:r>
      <w:r w:rsidRPr="003B4362">
        <w:t xml:space="preserve"> C (16)</w:t>
      </w:r>
      <w:bookmarkEnd w:id="3606"/>
      <w:r w:rsidRPr="003B4362">
        <w:t xml:space="preserve">), </w:t>
      </w:r>
      <w:r w:rsidR="003E4B77" w:rsidRPr="003B4362">
        <w:t xml:space="preserve">followed </w:t>
      </w:r>
      <w:r w:rsidRPr="003B4362">
        <w:t xml:space="preserve">by Spectrophotometric, Manual (ASTM D2036-98 A, ASTM D2036-06 A, SM </w:t>
      </w:r>
      <w:bookmarkStart w:id="3607" w:name="_Hlk13661695"/>
      <w:r w:rsidRPr="003B4362">
        <w:t>4500-CN</w:t>
      </w:r>
      <w:r w:rsidRPr="003B4362">
        <w:rPr>
          <w:vertAlign w:val="superscript"/>
        </w:rPr>
        <w:t>–</w:t>
      </w:r>
      <w:r w:rsidRPr="003B4362">
        <w:t xml:space="preserve"> E </w:t>
      </w:r>
      <w:bookmarkEnd w:id="3607"/>
      <w:r w:rsidRPr="003B4362">
        <w:t>(90), 4500-CN</w:t>
      </w:r>
      <w:r w:rsidRPr="003B4362">
        <w:rPr>
          <w:vertAlign w:val="superscript"/>
        </w:rPr>
        <w:t>–</w:t>
      </w:r>
      <w:r w:rsidRPr="003B4362">
        <w:t xml:space="preserve"> E (97), 4500-CN</w:t>
      </w:r>
      <w:r w:rsidRPr="003B4362">
        <w:rPr>
          <w:vertAlign w:val="superscript"/>
        </w:rPr>
        <w:t>–</w:t>
      </w:r>
      <w:r w:rsidRPr="003B4362">
        <w:t xml:space="preserve"> E (99), 4500-CN</w:t>
      </w:r>
      <w:r w:rsidRPr="003B4362">
        <w:rPr>
          <w:vertAlign w:val="superscript"/>
        </w:rPr>
        <w:t>–</w:t>
      </w:r>
      <w:r w:rsidRPr="003B4362">
        <w:t xml:space="preserve"> E (16), or </w:t>
      </w:r>
      <w:bookmarkStart w:id="3608" w:name="_Hlk13661720"/>
      <w:r w:rsidRPr="003B4362">
        <w:t>USGS I-3300-85</w:t>
      </w:r>
      <w:bookmarkEnd w:id="3608"/>
      <w:r w:rsidRPr="003B4362">
        <w:t>).</w:t>
      </w:r>
    </w:p>
    <w:p w14:paraId="4B7B887E" w14:textId="77777777" w:rsidR="00710318" w:rsidRDefault="00710318" w:rsidP="00710318">
      <w:pPr>
        <w:widowControl w:val="0"/>
        <w:suppressAutoHyphens/>
        <w:ind w:left="2880" w:hanging="720"/>
      </w:pPr>
    </w:p>
    <w:p w14:paraId="2FD8CD64" w14:textId="24116C7C" w:rsidR="004F7532" w:rsidRPr="003B4362" w:rsidRDefault="004F7532" w:rsidP="00710318">
      <w:pPr>
        <w:widowControl w:val="0"/>
        <w:suppressAutoHyphens/>
        <w:ind w:left="2880" w:hanging="720"/>
      </w:pPr>
      <w:r w:rsidRPr="003B4362">
        <w:t>C)</w:t>
      </w:r>
      <w:r w:rsidRPr="003B4362">
        <w:tab/>
        <w:t xml:space="preserve">Spectrophotometric, Semiautomated.  </w:t>
      </w:r>
      <w:bookmarkStart w:id="3609" w:name="_Hlk13662109"/>
      <w:r w:rsidRPr="003B4362">
        <w:t>USEPA 335.4 (93)</w:t>
      </w:r>
      <w:bookmarkEnd w:id="3609"/>
      <w:r w:rsidRPr="003B4362">
        <w:t>.</w:t>
      </w:r>
    </w:p>
    <w:p w14:paraId="1D34744B" w14:textId="77777777" w:rsidR="00710318" w:rsidRDefault="00710318" w:rsidP="00710318">
      <w:pPr>
        <w:widowControl w:val="0"/>
        <w:suppressAutoHyphens/>
        <w:ind w:left="2880" w:hanging="720"/>
      </w:pPr>
    </w:p>
    <w:p w14:paraId="2B4C52FD" w14:textId="5D30337F" w:rsidR="004F7532" w:rsidRPr="003B4362" w:rsidRDefault="004F7532" w:rsidP="00710318">
      <w:pPr>
        <w:widowControl w:val="0"/>
        <w:suppressAutoHyphens/>
        <w:ind w:left="2880" w:hanging="720"/>
      </w:pPr>
      <w:r w:rsidRPr="003B4362">
        <w:t>D)</w:t>
      </w:r>
      <w:r w:rsidRPr="003B4362">
        <w:tab/>
        <w:t xml:space="preserve">Selective Electrode.  </w:t>
      </w:r>
      <w:bookmarkStart w:id="3610" w:name="_Hlk13662345"/>
      <w:r w:rsidRPr="003B4362">
        <w:t>SM 4500-CN</w:t>
      </w:r>
      <w:r w:rsidRPr="003B4362">
        <w:rPr>
          <w:vertAlign w:val="superscript"/>
        </w:rPr>
        <w:t>–</w:t>
      </w:r>
      <w:r w:rsidRPr="003B4362">
        <w:t xml:space="preserve"> F (90), SM 4500-CN</w:t>
      </w:r>
      <w:r w:rsidRPr="003B4362">
        <w:rPr>
          <w:vertAlign w:val="superscript"/>
        </w:rPr>
        <w:t>–</w:t>
      </w:r>
      <w:r w:rsidRPr="003B4362">
        <w:t xml:space="preserve"> F (97), SM 4500-CN</w:t>
      </w:r>
      <w:r w:rsidRPr="003B4362">
        <w:rPr>
          <w:vertAlign w:val="superscript"/>
        </w:rPr>
        <w:t>–</w:t>
      </w:r>
      <w:r w:rsidRPr="003B4362">
        <w:t xml:space="preserve"> F (99), or SM 4500-CN</w:t>
      </w:r>
      <w:r w:rsidRPr="003B4362">
        <w:rPr>
          <w:vertAlign w:val="superscript"/>
        </w:rPr>
        <w:t>–</w:t>
      </w:r>
      <w:r w:rsidRPr="003B4362">
        <w:t xml:space="preserve"> F (16)</w:t>
      </w:r>
      <w:bookmarkEnd w:id="3610"/>
      <w:r w:rsidRPr="003B4362">
        <w:t>.</w:t>
      </w:r>
    </w:p>
    <w:p w14:paraId="358A00A7" w14:textId="77777777" w:rsidR="00710318" w:rsidRDefault="00710318" w:rsidP="00710318">
      <w:pPr>
        <w:widowControl w:val="0"/>
        <w:suppressAutoHyphens/>
        <w:ind w:left="2880" w:hanging="720"/>
      </w:pPr>
    </w:p>
    <w:p w14:paraId="2A188FB3" w14:textId="005E1CF8" w:rsidR="004F7532" w:rsidRPr="003B4362" w:rsidRDefault="004F7532" w:rsidP="00710318">
      <w:pPr>
        <w:widowControl w:val="0"/>
        <w:suppressAutoHyphens/>
        <w:ind w:left="2880" w:hanging="720"/>
      </w:pPr>
      <w:r w:rsidRPr="003B4362">
        <w:t>E)</w:t>
      </w:r>
      <w:r w:rsidRPr="003B4362">
        <w:tab/>
        <w:t xml:space="preserve">UV/Distillation/Spectrophotometric.  </w:t>
      </w:r>
      <w:bookmarkStart w:id="3611" w:name="_Hlk13662566"/>
      <w:r w:rsidRPr="003B4362">
        <w:rPr>
          <w:szCs w:val="16"/>
        </w:rPr>
        <w:t xml:space="preserve">Kelada </w:t>
      </w:r>
      <w:r w:rsidRPr="003B4362">
        <w:t>01 (01)</w:t>
      </w:r>
      <w:bookmarkEnd w:id="3611"/>
      <w:r w:rsidRPr="003B4362">
        <w:t>.</w:t>
      </w:r>
    </w:p>
    <w:p w14:paraId="0379AFE8" w14:textId="77777777" w:rsidR="00710318" w:rsidRDefault="00710318" w:rsidP="00710318">
      <w:pPr>
        <w:widowControl w:val="0"/>
        <w:suppressAutoHyphens/>
        <w:ind w:left="2880" w:hanging="720"/>
      </w:pPr>
    </w:p>
    <w:p w14:paraId="0B4D8D10" w14:textId="0A47E71B" w:rsidR="004F7532" w:rsidRPr="003B4362" w:rsidRDefault="004F7532" w:rsidP="00710318">
      <w:pPr>
        <w:widowControl w:val="0"/>
        <w:suppressAutoHyphens/>
        <w:ind w:left="2880" w:hanging="720"/>
      </w:pPr>
      <w:r w:rsidRPr="003B4362">
        <w:t>F)</w:t>
      </w:r>
      <w:r w:rsidRPr="003B4362">
        <w:tab/>
        <w:t xml:space="preserve">Microdistillation/Flow Injection/Spectrophotometric.  </w:t>
      </w:r>
      <w:bookmarkStart w:id="3612" w:name="_Hlk13662638"/>
      <w:r w:rsidRPr="003B4362">
        <w:t>QuikChem 10-204-00-1-X (00)</w:t>
      </w:r>
      <w:bookmarkEnd w:id="3612"/>
      <w:r w:rsidRPr="003B4362">
        <w:t>.</w:t>
      </w:r>
    </w:p>
    <w:p w14:paraId="2B2B2AFE" w14:textId="77777777" w:rsidR="00710318" w:rsidRDefault="00710318" w:rsidP="00710318">
      <w:pPr>
        <w:widowControl w:val="0"/>
        <w:suppressAutoHyphens/>
        <w:ind w:left="2880" w:hanging="720"/>
      </w:pPr>
    </w:p>
    <w:p w14:paraId="392959C8" w14:textId="6E5E1A7D" w:rsidR="004F7532" w:rsidRPr="003B4362" w:rsidRDefault="004F7532" w:rsidP="00710318">
      <w:pPr>
        <w:widowControl w:val="0"/>
        <w:suppressAutoHyphens/>
        <w:ind w:left="2880" w:hanging="720"/>
      </w:pPr>
      <w:r w:rsidRPr="003B4362">
        <w:t>G)</w:t>
      </w:r>
      <w:r w:rsidRPr="003B4362">
        <w:tab/>
        <w:t xml:space="preserve">Ligand Exchange and Amperometry.  </w:t>
      </w:r>
      <w:bookmarkStart w:id="3613" w:name="_Hlk13662765"/>
      <w:r w:rsidRPr="003B4362">
        <w:t>ASTM D6888-04</w:t>
      </w:r>
      <w:bookmarkEnd w:id="3613"/>
      <w:r w:rsidRPr="003B4362">
        <w:t xml:space="preserve"> or </w:t>
      </w:r>
      <w:bookmarkStart w:id="3614" w:name="_Hlk13663137"/>
      <w:r w:rsidRPr="003B4362">
        <w:t>OIA-1677 DW (04)</w:t>
      </w:r>
      <w:bookmarkEnd w:id="3614"/>
      <w:r w:rsidRPr="003B4362">
        <w:t>.</w:t>
      </w:r>
    </w:p>
    <w:p w14:paraId="20EACBF9" w14:textId="77777777" w:rsidR="00710318" w:rsidRDefault="00710318" w:rsidP="00710318">
      <w:pPr>
        <w:widowControl w:val="0"/>
        <w:suppressAutoHyphens/>
        <w:ind w:left="2880" w:hanging="720"/>
      </w:pPr>
    </w:p>
    <w:p w14:paraId="026625A0" w14:textId="321D163C" w:rsidR="004F7532" w:rsidRPr="003B4362" w:rsidRDefault="004F7532" w:rsidP="00710318">
      <w:pPr>
        <w:widowControl w:val="0"/>
        <w:suppressAutoHyphens/>
        <w:ind w:left="2880" w:hanging="720"/>
      </w:pPr>
      <w:r w:rsidRPr="003B4362">
        <w:t>H)</w:t>
      </w:r>
      <w:r w:rsidRPr="003B4362">
        <w:tab/>
        <w:t xml:space="preserve">Gas Chromatography-Mass Spectrometry Headspace.  </w:t>
      </w:r>
      <w:bookmarkStart w:id="3615" w:name="_Hlk13663492"/>
      <w:r w:rsidRPr="003B4362">
        <w:t>ME355.01 (09)</w:t>
      </w:r>
      <w:bookmarkEnd w:id="3615"/>
      <w:r w:rsidRPr="003B4362">
        <w:t>.</w:t>
      </w:r>
    </w:p>
    <w:p w14:paraId="101144F6" w14:textId="77777777" w:rsidR="00710318" w:rsidRDefault="00710318" w:rsidP="00710318">
      <w:pPr>
        <w:widowControl w:val="0"/>
        <w:suppressAutoHyphens/>
        <w:ind w:left="2160" w:hanging="720"/>
      </w:pPr>
    </w:p>
    <w:p w14:paraId="23BE280B" w14:textId="6A9FD091" w:rsidR="004F7532" w:rsidRPr="003B4362" w:rsidRDefault="004F7532" w:rsidP="00710318">
      <w:pPr>
        <w:widowControl w:val="0"/>
        <w:suppressAutoHyphens/>
        <w:ind w:left="2160" w:hanging="720"/>
      </w:pPr>
      <w:r w:rsidRPr="003B4362">
        <w:t>1</w:t>
      </w:r>
      <w:r w:rsidR="0033057D" w:rsidRPr="003B4362">
        <w:t>4</w:t>
      </w:r>
      <w:r w:rsidRPr="003B4362">
        <w:t>)</w:t>
      </w:r>
      <w:r w:rsidRPr="003B4362">
        <w:tab/>
        <w:t>Fluoride</w:t>
      </w:r>
    </w:p>
    <w:p w14:paraId="72D4C72B" w14:textId="77777777" w:rsidR="00710318" w:rsidRDefault="00710318" w:rsidP="00710318">
      <w:pPr>
        <w:widowControl w:val="0"/>
        <w:suppressAutoHyphens/>
        <w:ind w:left="2880" w:hanging="720"/>
      </w:pPr>
    </w:p>
    <w:p w14:paraId="5112FB53" w14:textId="018F55A2" w:rsidR="004F7532" w:rsidRPr="003B4362" w:rsidRDefault="004F7532" w:rsidP="00710318">
      <w:pPr>
        <w:widowControl w:val="0"/>
        <w:suppressAutoHyphens/>
        <w:ind w:left="2880" w:hanging="720"/>
      </w:pPr>
      <w:r w:rsidRPr="003B4362">
        <w:t>A)</w:t>
      </w:r>
      <w:r w:rsidRPr="003B4362">
        <w:tab/>
        <w:t xml:space="preserve">Ion Chromatography.  </w:t>
      </w:r>
      <w:bookmarkStart w:id="3616" w:name="_Hlk13664320"/>
      <w:r w:rsidRPr="003B4362">
        <w:t>USEPA 300.0 (93), USEPA 300.1 (97)</w:t>
      </w:r>
      <w:bookmarkEnd w:id="3616"/>
      <w:r w:rsidRPr="003B4362">
        <w:t xml:space="preserve">, </w:t>
      </w:r>
      <w:bookmarkStart w:id="3617" w:name="_Hlk13664409"/>
      <w:r w:rsidRPr="003B4362">
        <w:t xml:space="preserve">ASTM D4327-97, ASTM D4327-03, ASTM D4327-11, </w:t>
      </w:r>
      <w:r w:rsidR="00312696" w:rsidRPr="003B4362">
        <w:t>ASTM D4327-1</w:t>
      </w:r>
      <w:r w:rsidR="00581BB1" w:rsidRPr="003B4362">
        <w:t>7</w:t>
      </w:r>
      <w:r w:rsidR="00312696" w:rsidRPr="003B4362">
        <w:t xml:space="preserve">, </w:t>
      </w:r>
      <w:r w:rsidRPr="003B4362">
        <w:t>SM 4110 B (90)</w:t>
      </w:r>
      <w:bookmarkEnd w:id="3617"/>
      <w:r w:rsidRPr="003B4362">
        <w:t>, SM 4110 B (91), SM 4110 B (97), or SM 4110 B (00).</w:t>
      </w:r>
    </w:p>
    <w:p w14:paraId="0C908CDB" w14:textId="77777777" w:rsidR="00710318" w:rsidRDefault="00710318" w:rsidP="00710318">
      <w:pPr>
        <w:widowControl w:val="0"/>
        <w:suppressAutoHyphens/>
        <w:ind w:left="2880" w:hanging="720"/>
      </w:pPr>
    </w:p>
    <w:p w14:paraId="60407B03" w14:textId="67E9B9FA" w:rsidR="004F7532" w:rsidRPr="003B4362" w:rsidRDefault="004F7532" w:rsidP="00710318">
      <w:pPr>
        <w:widowControl w:val="0"/>
        <w:suppressAutoHyphens/>
        <w:ind w:left="2880" w:hanging="720"/>
      </w:pPr>
      <w:r w:rsidRPr="003B4362">
        <w:t>B)</w:t>
      </w:r>
      <w:r w:rsidRPr="003B4362">
        <w:tab/>
        <w:t xml:space="preserve">Manual Distillation, Colorimetric SPADNS.  </w:t>
      </w:r>
      <w:bookmarkStart w:id="3618" w:name="_Hlk13666424"/>
      <w:r w:rsidRPr="003B4362">
        <w:t>SM 4500-F</w:t>
      </w:r>
      <w:r w:rsidRPr="003B4362">
        <w:rPr>
          <w:vertAlign w:val="superscript"/>
        </w:rPr>
        <w:t>–</w:t>
      </w:r>
      <w:r w:rsidRPr="003B4362">
        <w:t xml:space="preserve"> B (88), SM 4500-F</w:t>
      </w:r>
      <w:r w:rsidRPr="003B4362">
        <w:rPr>
          <w:vertAlign w:val="superscript"/>
        </w:rPr>
        <w:t>–</w:t>
      </w:r>
      <w:r w:rsidRPr="003B4362">
        <w:t xml:space="preserve"> B (94), SM 4500-F</w:t>
      </w:r>
      <w:r w:rsidRPr="003B4362">
        <w:rPr>
          <w:vertAlign w:val="superscript"/>
        </w:rPr>
        <w:t>–</w:t>
      </w:r>
      <w:r w:rsidRPr="003B4362">
        <w:t xml:space="preserve"> B (97), SM 4500-F</w:t>
      </w:r>
      <w:r w:rsidRPr="003B4362">
        <w:rPr>
          <w:vertAlign w:val="superscript"/>
        </w:rPr>
        <w:t>–</w:t>
      </w:r>
      <w:r w:rsidRPr="003B4362">
        <w:t>, D (88), SM 4500-F</w:t>
      </w:r>
      <w:r w:rsidRPr="003B4362">
        <w:rPr>
          <w:vertAlign w:val="superscript"/>
        </w:rPr>
        <w:t>–</w:t>
      </w:r>
      <w:r w:rsidRPr="003B4362">
        <w:t xml:space="preserve"> B (94), or SM 4500-F</w:t>
      </w:r>
      <w:r w:rsidRPr="003B4362">
        <w:rPr>
          <w:vertAlign w:val="superscript"/>
        </w:rPr>
        <w:t>–</w:t>
      </w:r>
      <w:r w:rsidRPr="003B4362">
        <w:t xml:space="preserve"> B (97)</w:t>
      </w:r>
      <w:bookmarkEnd w:id="3618"/>
      <w:r w:rsidRPr="003B4362">
        <w:t>.</w:t>
      </w:r>
    </w:p>
    <w:p w14:paraId="4679F912" w14:textId="77777777" w:rsidR="00710318" w:rsidRDefault="00710318" w:rsidP="00710318">
      <w:pPr>
        <w:widowControl w:val="0"/>
        <w:suppressAutoHyphens/>
        <w:ind w:left="2880" w:hanging="720"/>
      </w:pPr>
    </w:p>
    <w:p w14:paraId="24BC1675" w14:textId="207869A7" w:rsidR="004F7532" w:rsidRPr="003B4362" w:rsidRDefault="004F7532" w:rsidP="00710318">
      <w:pPr>
        <w:widowControl w:val="0"/>
        <w:suppressAutoHyphens/>
        <w:ind w:left="2880" w:hanging="720"/>
      </w:pPr>
      <w:r w:rsidRPr="003B4362">
        <w:t>C)</w:t>
      </w:r>
      <w:r w:rsidRPr="003B4362">
        <w:tab/>
        <w:t xml:space="preserve">Manual Electrode.  </w:t>
      </w:r>
      <w:bookmarkStart w:id="3619" w:name="_Hlk13666932"/>
      <w:r w:rsidRPr="003B4362">
        <w:t>ASTM D1179-93 B, ASTM D1179-99 B, ASTM D1179-04 B, ASTM D1179-10 B, ASTM D1179-16 B</w:t>
      </w:r>
      <w:bookmarkEnd w:id="3619"/>
      <w:r w:rsidRPr="003B4362">
        <w:t xml:space="preserve">, </w:t>
      </w:r>
      <w:bookmarkStart w:id="3620" w:name="_Hlk13667063"/>
      <w:r w:rsidRPr="003B4362">
        <w:t>SM 4500-F</w:t>
      </w:r>
      <w:r w:rsidRPr="003B4362">
        <w:rPr>
          <w:vertAlign w:val="superscript"/>
        </w:rPr>
        <w:t>–</w:t>
      </w:r>
      <w:r w:rsidRPr="003B4362">
        <w:t xml:space="preserve"> C (88), SM 4500-F</w:t>
      </w:r>
      <w:r w:rsidRPr="003B4362">
        <w:rPr>
          <w:vertAlign w:val="superscript"/>
        </w:rPr>
        <w:t>–</w:t>
      </w:r>
      <w:r w:rsidRPr="003B4362">
        <w:t xml:space="preserve"> C (94), or SM 4500-F</w:t>
      </w:r>
      <w:r w:rsidRPr="003B4362">
        <w:rPr>
          <w:vertAlign w:val="superscript"/>
        </w:rPr>
        <w:t>–</w:t>
      </w:r>
      <w:r w:rsidRPr="003B4362">
        <w:t xml:space="preserve"> C (97)</w:t>
      </w:r>
      <w:bookmarkEnd w:id="3620"/>
      <w:r w:rsidRPr="003B4362">
        <w:t>.</w:t>
      </w:r>
    </w:p>
    <w:p w14:paraId="66093018" w14:textId="77777777" w:rsidR="00710318" w:rsidRDefault="00710318" w:rsidP="00710318">
      <w:pPr>
        <w:widowControl w:val="0"/>
        <w:suppressAutoHyphens/>
        <w:ind w:left="2880" w:hanging="720"/>
      </w:pPr>
    </w:p>
    <w:p w14:paraId="5EB63D5A" w14:textId="5054F35E" w:rsidR="004F7532" w:rsidRPr="003B4362" w:rsidRDefault="004F7532" w:rsidP="00710318">
      <w:pPr>
        <w:widowControl w:val="0"/>
        <w:suppressAutoHyphens/>
        <w:ind w:left="2880" w:hanging="720"/>
      </w:pPr>
      <w:r w:rsidRPr="003B4362">
        <w:t>D)</w:t>
      </w:r>
      <w:r w:rsidRPr="003B4362">
        <w:tab/>
        <w:t xml:space="preserve">Automated Electrode.  </w:t>
      </w:r>
      <w:bookmarkStart w:id="3621" w:name="_Hlk13667772"/>
      <w:r w:rsidRPr="003B4362">
        <w:t>Technicon #380-75WE (76)</w:t>
      </w:r>
      <w:bookmarkEnd w:id="3621"/>
      <w:r w:rsidRPr="003B4362">
        <w:t>.</w:t>
      </w:r>
    </w:p>
    <w:p w14:paraId="171E7495" w14:textId="77777777" w:rsidR="00710318" w:rsidRDefault="00710318" w:rsidP="00710318">
      <w:pPr>
        <w:widowControl w:val="0"/>
        <w:suppressAutoHyphens/>
        <w:ind w:left="2880" w:hanging="720"/>
      </w:pPr>
    </w:p>
    <w:p w14:paraId="105C7E0A" w14:textId="0986E57C" w:rsidR="004F7532" w:rsidRPr="003B4362" w:rsidRDefault="004F7532" w:rsidP="00710318">
      <w:pPr>
        <w:widowControl w:val="0"/>
        <w:suppressAutoHyphens/>
        <w:ind w:left="2880" w:hanging="720"/>
      </w:pPr>
      <w:r w:rsidRPr="003B4362">
        <w:t>E)</w:t>
      </w:r>
      <w:r w:rsidRPr="003B4362">
        <w:tab/>
        <w:t xml:space="preserve">Automated Alizarin.  </w:t>
      </w:r>
      <w:bookmarkStart w:id="3622" w:name="_Hlk13668886"/>
      <w:r w:rsidRPr="003B4362">
        <w:t>SM 4500-F</w:t>
      </w:r>
      <w:r w:rsidRPr="003B4362">
        <w:rPr>
          <w:vertAlign w:val="superscript"/>
        </w:rPr>
        <w:t>–</w:t>
      </w:r>
      <w:r w:rsidRPr="003B4362">
        <w:t xml:space="preserve"> E (88), SM 4500-F</w:t>
      </w:r>
      <w:r w:rsidRPr="003B4362">
        <w:rPr>
          <w:vertAlign w:val="superscript"/>
        </w:rPr>
        <w:t>–</w:t>
      </w:r>
      <w:r w:rsidRPr="003B4362">
        <w:t xml:space="preserve"> E (94), SM 4500-F</w:t>
      </w:r>
      <w:r w:rsidRPr="003B4362">
        <w:rPr>
          <w:vertAlign w:val="superscript"/>
        </w:rPr>
        <w:t>–</w:t>
      </w:r>
      <w:r w:rsidRPr="003B4362">
        <w:t xml:space="preserve"> E (97)</w:t>
      </w:r>
      <w:bookmarkEnd w:id="3622"/>
      <w:r w:rsidRPr="003B4362">
        <w:t xml:space="preserve">, or </w:t>
      </w:r>
      <w:bookmarkStart w:id="3623" w:name="_Hlk13668982"/>
      <w:r w:rsidRPr="003B4362">
        <w:t>Technicon #129-71W</w:t>
      </w:r>
      <w:bookmarkEnd w:id="3623"/>
      <w:r w:rsidRPr="003B4362">
        <w:t>.</w:t>
      </w:r>
    </w:p>
    <w:p w14:paraId="574C984D" w14:textId="77777777" w:rsidR="00710318" w:rsidRDefault="00710318" w:rsidP="00710318">
      <w:pPr>
        <w:widowControl w:val="0"/>
        <w:suppressAutoHyphens/>
        <w:ind w:left="2880" w:hanging="720"/>
      </w:pPr>
    </w:p>
    <w:p w14:paraId="475BFF07" w14:textId="066B23E4" w:rsidR="004F7532" w:rsidRPr="003B4362" w:rsidRDefault="004F7532" w:rsidP="00710318">
      <w:pPr>
        <w:widowControl w:val="0"/>
        <w:suppressAutoHyphens/>
        <w:ind w:left="2880" w:hanging="720"/>
      </w:pPr>
      <w:r w:rsidRPr="003B4362">
        <w:t>F)</w:t>
      </w:r>
      <w:r w:rsidRPr="003B4362">
        <w:tab/>
      </w:r>
      <w:bookmarkStart w:id="3624" w:name="_Hlk13669150"/>
      <w:r w:rsidRPr="003B4362">
        <w:t>Arsenite-Free Colorimetric SPADNS</w:t>
      </w:r>
      <w:bookmarkEnd w:id="3624"/>
      <w:r w:rsidRPr="003B4362">
        <w:t xml:space="preserve">.  </w:t>
      </w:r>
      <w:bookmarkStart w:id="3625" w:name="_Hlk13665543"/>
      <w:r w:rsidRPr="003B4362">
        <w:t>Hach 10225 (11) (SPADNS 2)</w:t>
      </w:r>
      <w:bookmarkEnd w:id="3625"/>
      <w:r w:rsidRPr="003B4362">
        <w:t>.</w:t>
      </w:r>
    </w:p>
    <w:p w14:paraId="1162E8BF" w14:textId="77777777" w:rsidR="00710318" w:rsidRDefault="00710318" w:rsidP="00710318">
      <w:pPr>
        <w:widowControl w:val="0"/>
        <w:suppressAutoHyphens/>
        <w:ind w:left="2880" w:hanging="720"/>
      </w:pPr>
    </w:p>
    <w:p w14:paraId="2F538EA1" w14:textId="307B9DD6" w:rsidR="004F7532" w:rsidRPr="003B4362" w:rsidRDefault="004F7532" w:rsidP="00710318">
      <w:pPr>
        <w:widowControl w:val="0"/>
        <w:suppressAutoHyphens/>
        <w:ind w:left="2880" w:hanging="720"/>
      </w:pPr>
      <w:r w:rsidRPr="003B4362">
        <w:lastRenderedPageBreak/>
        <w:t>G)</w:t>
      </w:r>
      <w:r w:rsidRPr="003B4362">
        <w:tab/>
        <w:t xml:space="preserve">Capillary Ion Electrophoresis.  </w:t>
      </w:r>
      <w:bookmarkStart w:id="3626" w:name="_Hlk13670708"/>
      <w:r w:rsidRPr="003B4362">
        <w:t>ASTM D6508-00</w:t>
      </w:r>
      <w:bookmarkEnd w:id="3626"/>
      <w:r w:rsidRPr="003B4362">
        <w:t>.</w:t>
      </w:r>
    </w:p>
    <w:p w14:paraId="33937D39" w14:textId="3F946F60" w:rsidR="004F7532" w:rsidRPr="003B4362" w:rsidRDefault="004F7532" w:rsidP="00710318">
      <w:pPr>
        <w:widowControl w:val="0"/>
        <w:suppressAutoHyphens/>
        <w:ind w:left="2880"/>
      </w:pPr>
      <w:r w:rsidRPr="003B4362">
        <w:t xml:space="preserve">BOARD NOTE:  </w:t>
      </w:r>
      <w:bookmarkStart w:id="3627" w:name="_Hlk2682086"/>
      <w:r w:rsidRPr="003B4362">
        <w:t>On March 12, 2007 (at 72 Fed. Reg. 11200), USEPA amended the entry for fluoride to add capillary ion electrophoresis in the table at corresponding 40 CFR 141.23(k)(1) to allow the use of “Waters Method D6508, Rev. 2”.  T</w:t>
      </w:r>
      <w:bookmarkStart w:id="3628" w:name="_Hlk131444248"/>
      <w:r w:rsidRPr="003B4362">
        <w:t>he Board cited the ASTM Method</w:t>
      </w:r>
      <w:bookmarkEnd w:id="3628"/>
      <w:r w:rsidRPr="003B4362">
        <w:t xml:space="preserve"> D6508-00(2005).  On </w:t>
      </w:r>
      <w:bookmarkStart w:id="3629" w:name="_Hlk132800999"/>
      <w:r w:rsidRPr="003B4362">
        <w:t>May 2, 2012</w:t>
      </w:r>
      <w:r w:rsidR="00267171" w:rsidRPr="003B4362">
        <w:t xml:space="preserve"> (at 77 Fed. Reg. 26072, 26096-97; in corrections to UCMR 3)</w:t>
      </w:r>
      <w:bookmarkEnd w:id="3629"/>
      <w:r w:rsidRPr="003B4362">
        <w:t>, USEPA changed the entries for nitrate, nitrite, and orthophosphate to ASTM D6508-00.</w:t>
      </w:r>
      <w:bookmarkEnd w:id="3627"/>
    </w:p>
    <w:p w14:paraId="5FCE3C23" w14:textId="77777777" w:rsidR="00710318" w:rsidRDefault="00710318" w:rsidP="00710318">
      <w:pPr>
        <w:widowControl w:val="0"/>
        <w:suppressAutoHyphens/>
        <w:ind w:left="2160" w:hanging="720"/>
      </w:pPr>
    </w:p>
    <w:p w14:paraId="3C37B92B" w14:textId="1A879E3D" w:rsidR="004F7532" w:rsidRPr="003B4362" w:rsidRDefault="004F7532" w:rsidP="00710318">
      <w:pPr>
        <w:widowControl w:val="0"/>
        <w:suppressAutoHyphens/>
        <w:ind w:left="2160" w:hanging="720"/>
      </w:pPr>
      <w:r w:rsidRPr="003B4362">
        <w:t>1</w:t>
      </w:r>
      <w:r w:rsidR="0033057D" w:rsidRPr="003B4362">
        <w:t>5</w:t>
      </w:r>
      <w:r w:rsidRPr="003B4362">
        <w:t>)</w:t>
      </w:r>
      <w:r w:rsidRPr="003B4362">
        <w:tab/>
        <w:t>Lead</w:t>
      </w:r>
    </w:p>
    <w:p w14:paraId="6061030A" w14:textId="77777777" w:rsidR="00710318" w:rsidRDefault="00710318" w:rsidP="00710318">
      <w:pPr>
        <w:widowControl w:val="0"/>
        <w:suppressAutoHyphens/>
        <w:ind w:left="2880" w:hanging="720"/>
      </w:pPr>
    </w:p>
    <w:p w14:paraId="40C768B5" w14:textId="05E5EA7A" w:rsidR="004F7532" w:rsidRPr="003B4362" w:rsidRDefault="004F7532" w:rsidP="00710318">
      <w:pPr>
        <w:widowControl w:val="0"/>
        <w:suppressAutoHyphens/>
        <w:ind w:left="2880" w:hanging="720"/>
      </w:pPr>
      <w:r w:rsidRPr="003B4362">
        <w:t>A)</w:t>
      </w:r>
      <w:r w:rsidRPr="003B4362">
        <w:tab/>
        <w:t xml:space="preserve">Atomic Absorption, Furnace Technique.  </w:t>
      </w:r>
      <w:bookmarkStart w:id="3630" w:name="_Hlk13675592"/>
      <w:r w:rsidRPr="003B4362">
        <w:t>ASTM D3559-96 D, ASTM D3559-03 D, ASTM D3559-08 D, ASTM D3559-15</w:t>
      </w:r>
      <w:bookmarkEnd w:id="3630"/>
      <w:r w:rsidRPr="003B4362">
        <w:t xml:space="preserve"> D, </w:t>
      </w:r>
      <w:bookmarkStart w:id="3631" w:name="_Hlk13675729"/>
      <w:r w:rsidRPr="003B4362">
        <w:t xml:space="preserve">SM 3113 B (89), SM 3113 B (93), SM 3113 B (99), </w:t>
      </w:r>
      <w:bookmarkStart w:id="3632" w:name="_Hlk13675894"/>
      <w:r w:rsidRPr="003B4362">
        <w:t>SM 3113 B (04)</w:t>
      </w:r>
      <w:bookmarkEnd w:id="3632"/>
      <w:r w:rsidRPr="003B4362">
        <w:t>, or SM 3113 B (10)</w:t>
      </w:r>
      <w:bookmarkEnd w:id="3631"/>
      <w:r w:rsidRPr="003B4362">
        <w:t>.</w:t>
      </w:r>
    </w:p>
    <w:p w14:paraId="1BD06265" w14:textId="77777777" w:rsidR="00710318" w:rsidRDefault="00710318" w:rsidP="00710318">
      <w:pPr>
        <w:widowControl w:val="0"/>
        <w:suppressAutoHyphens/>
        <w:ind w:left="2880" w:hanging="720"/>
      </w:pPr>
    </w:p>
    <w:p w14:paraId="3D08C989" w14:textId="04BE83BB" w:rsidR="004F7532" w:rsidRPr="003B4362" w:rsidRDefault="004F7532" w:rsidP="00710318">
      <w:pPr>
        <w:widowControl w:val="0"/>
        <w:suppressAutoHyphens/>
        <w:ind w:left="2880" w:hanging="720"/>
      </w:pPr>
      <w:r w:rsidRPr="003B4362">
        <w:t>B)</w:t>
      </w:r>
      <w:r w:rsidRPr="003B4362">
        <w:tab/>
        <w:t xml:space="preserve">Inductively Coupled Plasma-Mass Spectrometry.  </w:t>
      </w:r>
      <w:bookmarkStart w:id="3633" w:name="_Hlk13676274"/>
      <w:r w:rsidRPr="003B4362">
        <w:t>USEPA 200.8 (94)</w:t>
      </w:r>
      <w:bookmarkEnd w:id="3633"/>
      <w:r w:rsidRPr="003B4362">
        <w:t>.</w:t>
      </w:r>
    </w:p>
    <w:p w14:paraId="651B7A13" w14:textId="77777777" w:rsidR="00710318" w:rsidRDefault="00710318" w:rsidP="00710318">
      <w:pPr>
        <w:widowControl w:val="0"/>
        <w:suppressAutoHyphens/>
        <w:ind w:left="2880" w:hanging="720"/>
      </w:pPr>
    </w:p>
    <w:p w14:paraId="1528682F" w14:textId="245B7EC8" w:rsidR="004F7532" w:rsidRPr="003B4362" w:rsidRDefault="004F7532" w:rsidP="00710318">
      <w:pPr>
        <w:widowControl w:val="0"/>
        <w:suppressAutoHyphens/>
        <w:ind w:left="2880" w:hanging="720"/>
      </w:pPr>
      <w:r w:rsidRPr="003B4362">
        <w:t>C)</w:t>
      </w:r>
      <w:r w:rsidRPr="003B4362">
        <w:tab/>
        <w:t xml:space="preserve">Atomic Absorption, Platform Furnace Technique.  </w:t>
      </w:r>
      <w:bookmarkStart w:id="3634" w:name="_Hlk13676367"/>
      <w:r w:rsidRPr="003B4362">
        <w:t>USEPA 200.9 (94)</w:t>
      </w:r>
      <w:bookmarkEnd w:id="3634"/>
      <w:r w:rsidRPr="003B4362">
        <w:t>.</w:t>
      </w:r>
    </w:p>
    <w:p w14:paraId="762A1BFA" w14:textId="77777777" w:rsidR="00710318" w:rsidRDefault="00710318" w:rsidP="00710318">
      <w:pPr>
        <w:widowControl w:val="0"/>
        <w:suppressAutoHyphens/>
        <w:ind w:left="2880" w:hanging="720"/>
      </w:pPr>
    </w:p>
    <w:p w14:paraId="4A319DA1" w14:textId="6A270650" w:rsidR="004F7532" w:rsidRPr="003B4362" w:rsidRDefault="004F7532" w:rsidP="00710318">
      <w:pPr>
        <w:widowControl w:val="0"/>
        <w:suppressAutoHyphens/>
        <w:ind w:left="2880" w:hanging="720"/>
      </w:pPr>
      <w:r w:rsidRPr="003B4362">
        <w:t>D)</w:t>
      </w:r>
      <w:r w:rsidRPr="003B4362">
        <w:tab/>
        <w:t xml:space="preserve">Differential Pulse Anodic Stripping Voltammetry.  </w:t>
      </w:r>
      <w:bookmarkStart w:id="3635" w:name="_Hlk13676439"/>
      <w:r w:rsidRPr="003B4362">
        <w:t>Palintest 1001 (99)</w:t>
      </w:r>
      <w:bookmarkEnd w:id="3635"/>
      <w:r w:rsidRPr="003B4362">
        <w:t>.</w:t>
      </w:r>
    </w:p>
    <w:p w14:paraId="7A8157B7" w14:textId="77777777" w:rsidR="00710318" w:rsidRDefault="00710318" w:rsidP="00710318">
      <w:pPr>
        <w:widowControl w:val="0"/>
        <w:suppressAutoHyphens/>
        <w:ind w:left="2880" w:hanging="720"/>
      </w:pPr>
    </w:p>
    <w:p w14:paraId="6C78F90F" w14:textId="48803BC2" w:rsidR="004F7532" w:rsidRPr="003B4362" w:rsidRDefault="004F7532" w:rsidP="00710318">
      <w:pPr>
        <w:widowControl w:val="0"/>
        <w:suppressAutoHyphens/>
        <w:ind w:left="2880" w:hanging="720"/>
      </w:pPr>
      <w:r w:rsidRPr="003B4362">
        <w:t>E)</w:t>
      </w:r>
      <w:r w:rsidRPr="003B4362">
        <w:tab/>
        <w:t xml:space="preserve">Axially Viewed Inductively Coupled Plasma-Atomic Emission Spectrometry (AVICP-AES).  </w:t>
      </w:r>
      <w:bookmarkStart w:id="3636" w:name="_Hlk13676542"/>
      <w:r w:rsidRPr="003B4362">
        <w:t>USEPA 200.5 (03)</w:t>
      </w:r>
      <w:bookmarkEnd w:id="3636"/>
      <w:r w:rsidRPr="003B4362">
        <w:t>.</w:t>
      </w:r>
    </w:p>
    <w:p w14:paraId="0F0B31DF" w14:textId="77777777" w:rsidR="00710318" w:rsidRDefault="00710318" w:rsidP="00710318">
      <w:pPr>
        <w:widowControl w:val="0"/>
        <w:suppressAutoHyphens/>
        <w:ind w:left="2880" w:hanging="720"/>
      </w:pPr>
    </w:p>
    <w:p w14:paraId="42CDE101" w14:textId="4F0F0A4E" w:rsidR="00581BB1" w:rsidRPr="003B4362" w:rsidRDefault="00581BB1" w:rsidP="00710318">
      <w:pPr>
        <w:widowControl w:val="0"/>
        <w:suppressAutoHyphens/>
        <w:ind w:left="2880" w:hanging="720"/>
      </w:pPr>
      <w:r w:rsidRPr="003B4362">
        <w:t>F)</w:t>
      </w:r>
      <w:r w:rsidRPr="003B4362">
        <w:tab/>
        <w:t xml:space="preserve">Differential Pulse Anode Stripping Voltametry.  </w:t>
      </w:r>
      <w:bookmarkStart w:id="3637" w:name="_Hlk131446040"/>
      <w:r w:rsidRPr="003B4362">
        <w:t>Palintest 1001 (20)</w:t>
      </w:r>
      <w:bookmarkEnd w:id="3637"/>
      <w:r w:rsidRPr="003B4362">
        <w:t>.</w:t>
      </w:r>
    </w:p>
    <w:p w14:paraId="78B1E4E5" w14:textId="77777777" w:rsidR="00710318" w:rsidRDefault="00710318" w:rsidP="00710318">
      <w:pPr>
        <w:widowControl w:val="0"/>
        <w:suppressAutoHyphens/>
        <w:ind w:left="2160" w:hanging="720"/>
      </w:pPr>
    </w:p>
    <w:p w14:paraId="77F7B0E7" w14:textId="3B850231" w:rsidR="004F7532" w:rsidRPr="003B4362" w:rsidRDefault="004F7532" w:rsidP="00710318">
      <w:pPr>
        <w:widowControl w:val="0"/>
        <w:suppressAutoHyphens/>
        <w:ind w:left="2160" w:hanging="720"/>
      </w:pPr>
      <w:r w:rsidRPr="003B4362">
        <w:t>1</w:t>
      </w:r>
      <w:r w:rsidR="0033057D" w:rsidRPr="003B4362">
        <w:t>6</w:t>
      </w:r>
      <w:r w:rsidRPr="003B4362">
        <w:t>)</w:t>
      </w:r>
      <w:r w:rsidRPr="003B4362">
        <w:tab/>
        <w:t>Magnesium</w:t>
      </w:r>
    </w:p>
    <w:p w14:paraId="33196A7B" w14:textId="77777777" w:rsidR="00710318" w:rsidRDefault="00710318" w:rsidP="00710318">
      <w:pPr>
        <w:widowControl w:val="0"/>
        <w:suppressAutoHyphens/>
        <w:ind w:left="2880" w:hanging="720"/>
      </w:pPr>
    </w:p>
    <w:p w14:paraId="744A82E1" w14:textId="5BA70FE3" w:rsidR="004F7532" w:rsidRPr="003B4362" w:rsidRDefault="004F7532" w:rsidP="00710318">
      <w:pPr>
        <w:widowControl w:val="0"/>
        <w:suppressAutoHyphens/>
        <w:ind w:left="2880" w:hanging="720"/>
      </w:pPr>
      <w:r w:rsidRPr="003B4362">
        <w:t>A)</w:t>
      </w:r>
      <w:r w:rsidRPr="003B4362">
        <w:tab/>
        <w:t xml:space="preserve">Atomic Absorption.  </w:t>
      </w:r>
      <w:bookmarkStart w:id="3638" w:name="_Hlk13677318"/>
      <w:r w:rsidRPr="003B4362">
        <w:t>ASTM D511-93 B, ASTM D511-03 B, ASTM D511-09 B, ASTM D511-14 B</w:t>
      </w:r>
      <w:bookmarkEnd w:id="3638"/>
      <w:r w:rsidRPr="003B4362">
        <w:t xml:space="preserve">, </w:t>
      </w:r>
      <w:bookmarkStart w:id="3639" w:name="_Hlk13677424"/>
      <w:r w:rsidRPr="003B4362">
        <w:t>SM 3111 B (89), SM 3111 B (93), or SM 3111 B (99)</w:t>
      </w:r>
      <w:bookmarkEnd w:id="3639"/>
      <w:r w:rsidRPr="003B4362">
        <w:t>.</w:t>
      </w:r>
    </w:p>
    <w:p w14:paraId="1158F462" w14:textId="77777777" w:rsidR="00710318" w:rsidRDefault="00710318" w:rsidP="00710318">
      <w:pPr>
        <w:widowControl w:val="0"/>
        <w:suppressAutoHyphens/>
        <w:ind w:left="2880" w:hanging="720"/>
      </w:pPr>
    </w:p>
    <w:p w14:paraId="698BE068" w14:textId="7116C38D" w:rsidR="004F7532" w:rsidRPr="003B4362" w:rsidRDefault="004F7532" w:rsidP="00710318">
      <w:pPr>
        <w:widowControl w:val="0"/>
        <w:suppressAutoHyphens/>
        <w:ind w:left="2880" w:hanging="720"/>
      </w:pPr>
      <w:r w:rsidRPr="003B4362">
        <w:t>B)</w:t>
      </w:r>
      <w:r w:rsidRPr="003B4362">
        <w:tab/>
        <w:t xml:space="preserve">Inductively Coupled Plasma.  </w:t>
      </w:r>
      <w:bookmarkStart w:id="3640" w:name="_Hlk13677665"/>
      <w:r w:rsidRPr="003B4362">
        <w:t>USEPA 200.7 (94)</w:t>
      </w:r>
      <w:bookmarkEnd w:id="3640"/>
      <w:r w:rsidRPr="003B4362">
        <w:t xml:space="preserve">, </w:t>
      </w:r>
      <w:bookmarkStart w:id="3641" w:name="_Hlk13677813"/>
      <w:r w:rsidRPr="003B4362">
        <w:t>SM 3120 B (89), SM 3120 B (93), or SM 3120 B (99)</w:t>
      </w:r>
      <w:bookmarkEnd w:id="3641"/>
      <w:r w:rsidRPr="003B4362">
        <w:t>.</w:t>
      </w:r>
    </w:p>
    <w:p w14:paraId="5B939D3B" w14:textId="77777777" w:rsidR="00710318" w:rsidRDefault="00710318" w:rsidP="00710318">
      <w:pPr>
        <w:widowControl w:val="0"/>
        <w:suppressAutoHyphens/>
        <w:ind w:left="2880" w:hanging="720"/>
      </w:pPr>
    </w:p>
    <w:p w14:paraId="362CDA90" w14:textId="1CA40655" w:rsidR="004F7532" w:rsidRPr="003B4362" w:rsidRDefault="004F7532" w:rsidP="00710318">
      <w:pPr>
        <w:widowControl w:val="0"/>
        <w:suppressAutoHyphens/>
        <w:ind w:left="2880" w:hanging="720"/>
      </w:pPr>
      <w:r w:rsidRPr="003B4362">
        <w:t>C)</w:t>
      </w:r>
      <w:r w:rsidRPr="003B4362">
        <w:tab/>
        <w:t xml:space="preserve">Complexation Titrimetric.  </w:t>
      </w:r>
      <w:bookmarkStart w:id="3642" w:name="_Hlk13678084"/>
      <w:r w:rsidRPr="003B4362">
        <w:t>ASTM D511-93 A, ASTM D511-03 A, ASTM D511-09 A, ASTM D511-14 A</w:t>
      </w:r>
      <w:bookmarkEnd w:id="3642"/>
      <w:r w:rsidRPr="003B4362">
        <w:t xml:space="preserve">, </w:t>
      </w:r>
      <w:bookmarkStart w:id="3643" w:name="_Hlk13680136"/>
      <w:r w:rsidRPr="003B4362">
        <w:t>SM 3500-Mg B (97), SM 3500-Mg E (90)</w:t>
      </w:r>
      <w:bookmarkEnd w:id="3643"/>
      <w:r w:rsidRPr="003B4362">
        <w:t>, or SM 3500-Mg E (91).</w:t>
      </w:r>
    </w:p>
    <w:p w14:paraId="2F69DCF7" w14:textId="77777777" w:rsidR="00710318" w:rsidRDefault="00710318" w:rsidP="00710318">
      <w:pPr>
        <w:widowControl w:val="0"/>
        <w:suppressAutoHyphens/>
        <w:ind w:left="2880" w:hanging="720"/>
      </w:pPr>
    </w:p>
    <w:p w14:paraId="71C9858D" w14:textId="4903BCAC" w:rsidR="004F7532" w:rsidRPr="003B4362" w:rsidRDefault="004F7532" w:rsidP="00710318">
      <w:pPr>
        <w:widowControl w:val="0"/>
        <w:suppressAutoHyphens/>
        <w:ind w:left="2880" w:hanging="720"/>
      </w:pPr>
      <w:r w:rsidRPr="003B4362">
        <w:lastRenderedPageBreak/>
        <w:t>D)</w:t>
      </w:r>
      <w:r w:rsidRPr="003B4362">
        <w:tab/>
        <w:t xml:space="preserve">Ion Chromatography.  </w:t>
      </w:r>
      <w:bookmarkStart w:id="3644" w:name="_Hlk13680747"/>
      <w:r w:rsidRPr="003B4362">
        <w:t>ASTM D6919-03</w:t>
      </w:r>
      <w:r w:rsidR="00362FBD" w:rsidRPr="003B4362">
        <w:t>,</w:t>
      </w:r>
      <w:r w:rsidRPr="003B4362">
        <w:t xml:space="preserve"> ASTM D6919-09</w:t>
      </w:r>
      <w:bookmarkEnd w:id="3644"/>
      <w:r w:rsidR="00362FBD" w:rsidRPr="003B4362">
        <w:t>, or ASTM D6919-17</w:t>
      </w:r>
      <w:r w:rsidRPr="003B4362">
        <w:t>.</w:t>
      </w:r>
    </w:p>
    <w:p w14:paraId="66029574" w14:textId="77777777" w:rsidR="00710318" w:rsidRDefault="00710318" w:rsidP="00710318">
      <w:pPr>
        <w:widowControl w:val="0"/>
        <w:suppressAutoHyphens/>
        <w:ind w:left="2880" w:hanging="720"/>
      </w:pPr>
    </w:p>
    <w:p w14:paraId="5B1557C0" w14:textId="0B4EB857" w:rsidR="004F7532" w:rsidRPr="003B4362" w:rsidRDefault="004F7532" w:rsidP="00710318">
      <w:pPr>
        <w:widowControl w:val="0"/>
        <w:suppressAutoHyphens/>
        <w:ind w:left="2880" w:hanging="720"/>
      </w:pPr>
      <w:r w:rsidRPr="003B4362">
        <w:t>E)</w:t>
      </w:r>
      <w:r w:rsidRPr="003B4362">
        <w:tab/>
        <w:t>Axially Viewed Inductively Coupled Plasma-Atomic Emission Spectrometry (AVICP-AES).  USEPA 200.5 (03).</w:t>
      </w:r>
    </w:p>
    <w:p w14:paraId="20F72CD1" w14:textId="77777777" w:rsidR="00710318" w:rsidRDefault="00710318" w:rsidP="00710318">
      <w:pPr>
        <w:widowControl w:val="0"/>
        <w:suppressAutoHyphens/>
        <w:ind w:left="2160" w:hanging="720"/>
      </w:pPr>
    </w:p>
    <w:p w14:paraId="5CD43F62" w14:textId="0C2C77A8" w:rsidR="004F7532" w:rsidRPr="003B4362" w:rsidRDefault="004F7532" w:rsidP="00710318">
      <w:pPr>
        <w:widowControl w:val="0"/>
        <w:suppressAutoHyphens/>
        <w:ind w:left="2160" w:hanging="720"/>
      </w:pPr>
      <w:r w:rsidRPr="003B4362">
        <w:t>1</w:t>
      </w:r>
      <w:r w:rsidR="0033057D" w:rsidRPr="003B4362">
        <w:t>7</w:t>
      </w:r>
      <w:r w:rsidRPr="003B4362">
        <w:t>)</w:t>
      </w:r>
      <w:r w:rsidRPr="003B4362">
        <w:tab/>
        <w:t>Mercury</w:t>
      </w:r>
    </w:p>
    <w:p w14:paraId="38AFACB0" w14:textId="77777777" w:rsidR="00710318" w:rsidRDefault="00710318" w:rsidP="00710318">
      <w:pPr>
        <w:widowControl w:val="0"/>
        <w:suppressAutoHyphens/>
        <w:ind w:left="2880" w:hanging="720"/>
      </w:pPr>
    </w:p>
    <w:p w14:paraId="55907C40" w14:textId="457F1E06" w:rsidR="004F7532" w:rsidRPr="003B4362" w:rsidRDefault="004F7532" w:rsidP="00710318">
      <w:pPr>
        <w:widowControl w:val="0"/>
        <w:suppressAutoHyphens/>
        <w:ind w:left="2880" w:hanging="720"/>
      </w:pPr>
      <w:r w:rsidRPr="003B4362">
        <w:t>A)</w:t>
      </w:r>
      <w:r w:rsidRPr="003B4362">
        <w:tab/>
        <w:t xml:space="preserve">Manual Cold Vapor Technique.  </w:t>
      </w:r>
      <w:bookmarkStart w:id="3645" w:name="_Hlk13738618"/>
      <w:r w:rsidRPr="003B4362">
        <w:t>ASTM D3223-97, ASTM D3223-02, ASTM D3223-12</w:t>
      </w:r>
      <w:bookmarkEnd w:id="3645"/>
      <w:r w:rsidRPr="003B4362">
        <w:t xml:space="preserve">, </w:t>
      </w:r>
      <w:bookmarkStart w:id="3646" w:name="_Hlk13739025"/>
      <w:r w:rsidR="00362FBD" w:rsidRPr="003B4362">
        <w:t xml:space="preserve">ASTM D3223-17, </w:t>
      </w:r>
      <w:r w:rsidRPr="003B4362">
        <w:t>SM 3112 B (88), SM 3112 B (93), SM 3112 B (99), SM 3112 B (09)</w:t>
      </w:r>
      <w:bookmarkEnd w:id="3646"/>
      <w:r w:rsidRPr="003B4362">
        <w:t xml:space="preserve">, or </w:t>
      </w:r>
      <w:bookmarkStart w:id="3647" w:name="_Hlk13738338"/>
      <w:r w:rsidRPr="003B4362">
        <w:t>USEPA 245.1 (91)</w:t>
      </w:r>
      <w:bookmarkEnd w:id="3647"/>
      <w:r w:rsidRPr="003B4362">
        <w:t>.</w:t>
      </w:r>
    </w:p>
    <w:p w14:paraId="52856811" w14:textId="77777777" w:rsidR="00710318" w:rsidRDefault="00710318" w:rsidP="00710318">
      <w:pPr>
        <w:widowControl w:val="0"/>
        <w:suppressAutoHyphens/>
        <w:ind w:left="2880" w:hanging="720"/>
      </w:pPr>
    </w:p>
    <w:p w14:paraId="22FB8170" w14:textId="4680B3FA" w:rsidR="004F7532" w:rsidRPr="003B4362" w:rsidRDefault="004F7532" w:rsidP="00710318">
      <w:pPr>
        <w:widowControl w:val="0"/>
        <w:suppressAutoHyphens/>
        <w:ind w:left="2880" w:hanging="720"/>
      </w:pPr>
      <w:r w:rsidRPr="003B4362">
        <w:t>B)</w:t>
      </w:r>
      <w:r w:rsidRPr="003B4362">
        <w:tab/>
        <w:t xml:space="preserve">Automated Cold Vapor Technique.  </w:t>
      </w:r>
      <w:bookmarkStart w:id="3648" w:name="_Hlk13739127"/>
      <w:r w:rsidRPr="003B4362">
        <w:t>USEPA 245.2 (74)</w:t>
      </w:r>
      <w:bookmarkEnd w:id="3648"/>
      <w:r w:rsidRPr="003B4362">
        <w:t>.</w:t>
      </w:r>
    </w:p>
    <w:p w14:paraId="1C91BB9F" w14:textId="77777777" w:rsidR="00710318" w:rsidRDefault="00710318" w:rsidP="00710318">
      <w:pPr>
        <w:widowControl w:val="0"/>
        <w:suppressAutoHyphens/>
        <w:ind w:left="2880" w:hanging="720"/>
      </w:pPr>
    </w:p>
    <w:p w14:paraId="25A16587" w14:textId="62F643BE" w:rsidR="004F7532" w:rsidRPr="003B4362" w:rsidRDefault="004F7532" w:rsidP="00710318">
      <w:pPr>
        <w:widowControl w:val="0"/>
        <w:suppressAutoHyphens/>
        <w:ind w:left="2880" w:hanging="720"/>
      </w:pPr>
      <w:r w:rsidRPr="003B4362">
        <w:t>C)</w:t>
      </w:r>
      <w:r w:rsidRPr="003B4362">
        <w:tab/>
        <w:t>Inductively Coupled Plasma-Mass Spectrometry.  USEPA 200.8 (94).</w:t>
      </w:r>
    </w:p>
    <w:p w14:paraId="72AE1C7A" w14:textId="77777777" w:rsidR="00710318" w:rsidRDefault="00710318" w:rsidP="00710318">
      <w:pPr>
        <w:widowControl w:val="0"/>
        <w:suppressAutoHyphens/>
        <w:ind w:left="2160" w:hanging="720"/>
      </w:pPr>
    </w:p>
    <w:p w14:paraId="3BC0BC97" w14:textId="1DD7964F" w:rsidR="004F7532" w:rsidRPr="003B4362" w:rsidRDefault="004F7532" w:rsidP="00710318">
      <w:pPr>
        <w:widowControl w:val="0"/>
        <w:suppressAutoHyphens/>
        <w:ind w:left="2160" w:hanging="720"/>
      </w:pPr>
      <w:r w:rsidRPr="003B4362">
        <w:t>1</w:t>
      </w:r>
      <w:r w:rsidR="0033057D" w:rsidRPr="003B4362">
        <w:t>8</w:t>
      </w:r>
      <w:r w:rsidRPr="003B4362">
        <w:t>)</w:t>
      </w:r>
      <w:r w:rsidRPr="003B4362">
        <w:tab/>
        <w:t>Nickel</w:t>
      </w:r>
    </w:p>
    <w:p w14:paraId="139F49A7" w14:textId="77777777" w:rsidR="00710318" w:rsidRDefault="00710318" w:rsidP="00710318">
      <w:pPr>
        <w:widowControl w:val="0"/>
        <w:suppressAutoHyphens/>
        <w:ind w:left="2880" w:hanging="720"/>
      </w:pPr>
    </w:p>
    <w:p w14:paraId="6C0FD0CF" w14:textId="1C8774FA" w:rsidR="004F7532" w:rsidRPr="003B4362" w:rsidRDefault="004F7532" w:rsidP="00710318">
      <w:pPr>
        <w:widowControl w:val="0"/>
        <w:suppressAutoHyphens/>
        <w:ind w:left="2880" w:hanging="720"/>
      </w:pPr>
      <w:r w:rsidRPr="003B4362">
        <w:t>A)</w:t>
      </w:r>
      <w:r w:rsidRPr="003B4362">
        <w:tab/>
        <w:t xml:space="preserve">Inductively Coupled Plasma.  </w:t>
      </w:r>
      <w:bookmarkStart w:id="3649" w:name="_Hlk13739776"/>
      <w:r w:rsidRPr="003B4362">
        <w:t>SM 3120 B (89), SM 3120 B (93), SM 3120 B (99)</w:t>
      </w:r>
      <w:bookmarkEnd w:id="3649"/>
      <w:r w:rsidRPr="003B4362">
        <w:t xml:space="preserve">, or </w:t>
      </w:r>
      <w:bookmarkStart w:id="3650" w:name="_Hlk13739637"/>
      <w:r w:rsidRPr="003B4362">
        <w:t>USEPA 200.7 (94)</w:t>
      </w:r>
      <w:bookmarkEnd w:id="3650"/>
      <w:r w:rsidRPr="003B4362">
        <w:t>.</w:t>
      </w:r>
    </w:p>
    <w:p w14:paraId="0C5D7D54" w14:textId="77777777" w:rsidR="00710318" w:rsidRDefault="00710318" w:rsidP="00710318">
      <w:pPr>
        <w:widowControl w:val="0"/>
        <w:suppressAutoHyphens/>
        <w:ind w:left="2880" w:hanging="720"/>
      </w:pPr>
    </w:p>
    <w:p w14:paraId="35CA7AE1" w14:textId="60D9534C" w:rsidR="004F7532" w:rsidRPr="003B4362" w:rsidRDefault="004F7532" w:rsidP="00710318">
      <w:pPr>
        <w:widowControl w:val="0"/>
        <w:suppressAutoHyphens/>
        <w:ind w:left="2880" w:hanging="720"/>
      </w:pPr>
      <w:r w:rsidRPr="003B4362">
        <w:t>B)</w:t>
      </w:r>
      <w:r w:rsidRPr="003B4362">
        <w:tab/>
        <w:t xml:space="preserve">Inductively Coupled Plasma-Mass Spectrometry.  </w:t>
      </w:r>
      <w:bookmarkStart w:id="3651" w:name="_Hlk13739873"/>
      <w:r w:rsidRPr="003B4362">
        <w:t>USEPA 200.8 (94)</w:t>
      </w:r>
      <w:bookmarkEnd w:id="3651"/>
      <w:r w:rsidRPr="003B4362">
        <w:t>.</w:t>
      </w:r>
    </w:p>
    <w:p w14:paraId="326FA5DE" w14:textId="77777777" w:rsidR="00710318" w:rsidRDefault="00710318" w:rsidP="00710318">
      <w:pPr>
        <w:widowControl w:val="0"/>
        <w:suppressAutoHyphens/>
        <w:ind w:left="2880" w:hanging="720"/>
      </w:pPr>
    </w:p>
    <w:p w14:paraId="33D8CFF2" w14:textId="799DB683" w:rsidR="004F7532" w:rsidRPr="003B4362" w:rsidRDefault="004F7532" w:rsidP="00710318">
      <w:pPr>
        <w:widowControl w:val="0"/>
        <w:suppressAutoHyphens/>
        <w:ind w:left="2880" w:hanging="720"/>
      </w:pPr>
      <w:r w:rsidRPr="003B4362">
        <w:t>C)</w:t>
      </w:r>
      <w:r w:rsidRPr="003B4362">
        <w:tab/>
        <w:t>Atomic Absorption, Platform Furnace Technique.  USEPA 200.9 (94).</w:t>
      </w:r>
    </w:p>
    <w:p w14:paraId="7477C3F5" w14:textId="77777777" w:rsidR="00710318" w:rsidRDefault="00710318" w:rsidP="00710318">
      <w:pPr>
        <w:widowControl w:val="0"/>
        <w:suppressAutoHyphens/>
        <w:ind w:left="2880" w:hanging="720"/>
      </w:pPr>
    </w:p>
    <w:p w14:paraId="1FAE5853" w14:textId="003B0D3E" w:rsidR="004F7532" w:rsidRPr="003B4362" w:rsidRDefault="004F7532" w:rsidP="00710318">
      <w:pPr>
        <w:widowControl w:val="0"/>
        <w:suppressAutoHyphens/>
        <w:ind w:left="2880" w:hanging="720"/>
      </w:pPr>
      <w:r w:rsidRPr="003B4362">
        <w:t>D)</w:t>
      </w:r>
      <w:r w:rsidRPr="003B4362">
        <w:tab/>
        <w:t xml:space="preserve">Atomic Absorption, Direct Aspiration Technique.  </w:t>
      </w:r>
      <w:bookmarkStart w:id="3652" w:name="_Hlk13740017"/>
      <w:r w:rsidRPr="003B4362">
        <w:t>SM 3111 B (89), 3111 B (93), or 3111 B (99)</w:t>
      </w:r>
      <w:bookmarkEnd w:id="3652"/>
      <w:r w:rsidRPr="003B4362">
        <w:t>.</w:t>
      </w:r>
    </w:p>
    <w:p w14:paraId="3883D96C" w14:textId="77777777" w:rsidR="00710318" w:rsidRDefault="00710318" w:rsidP="00710318">
      <w:pPr>
        <w:widowControl w:val="0"/>
        <w:suppressAutoHyphens/>
        <w:ind w:left="2880" w:hanging="720"/>
      </w:pPr>
    </w:p>
    <w:p w14:paraId="7E7F20B8" w14:textId="31A5964D" w:rsidR="004F7532" w:rsidRPr="003B4362" w:rsidRDefault="004F7532" w:rsidP="00710318">
      <w:pPr>
        <w:widowControl w:val="0"/>
        <w:suppressAutoHyphens/>
        <w:ind w:left="2880" w:hanging="720"/>
      </w:pPr>
      <w:r w:rsidRPr="003B4362">
        <w:t>E)</w:t>
      </w:r>
      <w:r w:rsidRPr="003B4362">
        <w:tab/>
        <w:t xml:space="preserve">Atomic Absorption, Furnace Technique.  </w:t>
      </w:r>
      <w:bookmarkStart w:id="3653" w:name="_Hlk13740207"/>
      <w:r w:rsidRPr="003B4362">
        <w:t>SM 3113 B (89), SM 3113 B (93), SM 3113 B (99), SM 3113 B (04), or SM 3113 B (10)</w:t>
      </w:r>
      <w:bookmarkEnd w:id="3653"/>
      <w:r w:rsidRPr="003B4362">
        <w:t>.</w:t>
      </w:r>
    </w:p>
    <w:p w14:paraId="5E79156E" w14:textId="77777777" w:rsidR="00710318" w:rsidRDefault="00710318" w:rsidP="00710318">
      <w:pPr>
        <w:widowControl w:val="0"/>
        <w:suppressAutoHyphens/>
        <w:ind w:left="2880" w:hanging="720"/>
      </w:pPr>
    </w:p>
    <w:p w14:paraId="6E17385D" w14:textId="3538C8B8" w:rsidR="004F7532" w:rsidRPr="003B4362" w:rsidRDefault="004F7532" w:rsidP="00710318">
      <w:pPr>
        <w:widowControl w:val="0"/>
        <w:suppressAutoHyphens/>
        <w:ind w:left="2880" w:hanging="720"/>
      </w:pPr>
      <w:r w:rsidRPr="003B4362">
        <w:t>F)</w:t>
      </w:r>
      <w:r w:rsidRPr="003B4362">
        <w:tab/>
        <w:t xml:space="preserve">Axially Viewed Inductively Coupled Plasma-Atomic Emission Spectrometry (AVICP-AES).  </w:t>
      </w:r>
      <w:bookmarkStart w:id="3654" w:name="_Hlk13740440"/>
      <w:r w:rsidRPr="003B4362">
        <w:t>USEPA 200.5 (03)</w:t>
      </w:r>
      <w:bookmarkEnd w:id="3654"/>
      <w:r w:rsidRPr="003B4362">
        <w:t>.</w:t>
      </w:r>
    </w:p>
    <w:p w14:paraId="0F7C2030" w14:textId="77777777" w:rsidR="00710318" w:rsidRDefault="00710318" w:rsidP="00710318">
      <w:pPr>
        <w:widowControl w:val="0"/>
        <w:suppressAutoHyphens/>
        <w:ind w:left="2160" w:hanging="720"/>
      </w:pPr>
    </w:p>
    <w:p w14:paraId="0BDA3C01" w14:textId="66380DF3" w:rsidR="004F7532" w:rsidRPr="003B4362" w:rsidRDefault="004F7532" w:rsidP="00710318">
      <w:pPr>
        <w:widowControl w:val="0"/>
        <w:suppressAutoHyphens/>
        <w:ind w:left="2160" w:hanging="720"/>
      </w:pPr>
      <w:r w:rsidRPr="003B4362">
        <w:t>1</w:t>
      </w:r>
      <w:r w:rsidR="0033057D" w:rsidRPr="003B4362">
        <w:t>9</w:t>
      </w:r>
      <w:r w:rsidRPr="003B4362">
        <w:t>)</w:t>
      </w:r>
      <w:r w:rsidRPr="003B4362">
        <w:tab/>
        <w:t>Nitrate</w:t>
      </w:r>
    </w:p>
    <w:p w14:paraId="10290443" w14:textId="77777777" w:rsidR="00710318" w:rsidRDefault="00710318" w:rsidP="00710318">
      <w:pPr>
        <w:widowControl w:val="0"/>
        <w:suppressAutoHyphens/>
        <w:ind w:left="2880" w:hanging="720"/>
      </w:pPr>
    </w:p>
    <w:p w14:paraId="4E3C9B59" w14:textId="27EB7D0C" w:rsidR="004F7532" w:rsidRPr="003B4362" w:rsidRDefault="004F7532" w:rsidP="00710318">
      <w:pPr>
        <w:widowControl w:val="0"/>
        <w:suppressAutoHyphens/>
        <w:ind w:left="2880" w:hanging="720"/>
      </w:pPr>
      <w:r w:rsidRPr="003B4362">
        <w:t>A)</w:t>
      </w:r>
      <w:r w:rsidRPr="003B4362">
        <w:tab/>
        <w:t xml:space="preserve">Ion Chromatography.  </w:t>
      </w:r>
      <w:bookmarkStart w:id="3655" w:name="_Hlk13744504"/>
      <w:r w:rsidRPr="003B4362">
        <w:t>ASTM D4327-97, ASTM D4327-03, ASTM D4327-11</w:t>
      </w:r>
      <w:bookmarkEnd w:id="3655"/>
      <w:r w:rsidRPr="003B4362">
        <w:t xml:space="preserve">, </w:t>
      </w:r>
      <w:bookmarkStart w:id="3656" w:name="_Hlk13744817"/>
      <w:r w:rsidR="00362FBD" w:rsidRPr="003B4362">
        <w:t xml:space="preserve">ASTM D4327-17, </w:t>
      </w:r>
      <w:r w:rsidRPr="003B4362">
        <w:t>SM 4110 B (90), SM 4110 B (97), SM 4110 B (00)</w:t>
      </w:r>
      <w:bookmarkEnd w:id="3656"/>
      <w:r w:rsidRPr="003B4362">
        <w:t xml:space="preserve">, </w:t>
      </w:r>
      <w:bookmarkStart w:id="3657" w:name="_Hlk13744422"/>
      <w:bookmarkStart w:id="3658" w:name="_Hlk13744928"/>
      <w:r w:rsidRPr="003B4362">
        <w:t>USEPA 300.0 (93), USEPA 300.1 (97)</w:t>
      </w:r>
      <w:bookmarkEnd w:id="3657"/>
      <w:r w:rsidRPr="003B4362">
        <w:t>, or Waters B-1011 (87)</w:t>
      </w:r>
      <w:bookmarkEnd w:id="3658"/>
      <w:r w:rsidRPr="003B4362">
        <w:t>.</w:t>
      </w:r>
    </w:p>
    <w:p w14:paraId="482EBEE1" w14:textId="77777777" w:rsidR="00710318" w:rsidRDefault="00710318" w:rsidP="00710318">
      <w:pPr>
        <w:widowControl w:val="0"/>
        <w:suppressAutoHyphens/>
        <w:ind w:left="2880" w:hanging="720"/>
      </w:pPr>
    </w:p>
    <w:p w14:paraId="06208CE3" w14:textId="10953C15" w:rsidR="004F7532" w:rsidRPr="003B4362" w:rsidRDefault="004F7532" w:rsidP="00710318">
      <w:pPr>
        <w:widowControl w:val="0"/>
        <w:suppressAutoHyphens/>
        <w:ind w:left="2880" w:hanging="720"/>
      </w:pPr>
      <w:r w:rsidRPr="003B4362">
        <w:t>B)</w:t>
      </w:r>
      <w:r w:rsidRPr="003B4362">
        <w:tab/>
        <w:t xml:space="preserve">Automated Cadmium Reduction.  </w:t>
      </w:r>
      <w:bookmarkStart w:id="3659" w:name="_Hlk13745787"/>
      <w:r w:rsidRPr="003B4362">
        <w:t>ASTM D3867-90 A</w:t>
      </w:r>
      <w:bookmarkEnd w:id="3659"/>
      <w:r w:rsidRPr="003B4362">
        <w:t xml:space="preserve">; </w:t>
      </w:r>
      <w:bookmarkStart w:id="3660" w:name="_Hlk13745914"/>
      <w:r w:rsidRPr="003B4362">
        <w:t>SM 4500-NO</w:t>
      </w:r>
      <w:r w:rsidRPr="003B4362">
        <w:rPr>
          <w:vertAlign w:val="subscript"/>
        </w:rPr>
        <w:t>3</w:t>
      </w:r>
      <w:r w:rsidRPr="003B4362">
        <w:rPr>
          <w:vertAlign w:val="superscript"/>
        </w:rPr>
        <w:t>–</w:t>
      </w:r>
      <w:r w:rsidRPr="003B4362">
        <w:t xml:space="preserve"> F (88), 4500-NO</w:t>
      </w:r>
      <w:r w:rsidRPr="003B4362">
        <w:rPr>
          <w:vertAlign w:val="subscript"/>
        </w:rPr>
        <w:t>3</w:t>
      </w:r>
      <w:r w:rsidRPr="003B4362">
        <w:rPr>
          <w:vertAlign w:val="superscript"/>
        </w:rPr>
        <w:t>–</w:t>
      </w:r>
      <w:r w:rsidRPr="003B4362">
        <w:t xml:space="preserve"> F (93), 4500-NO</w:t>
      </w:r>
      <w:r w:rsidRPr="003B4362">
        <w:rPr>
          <w:vertAlign w:val="subscript"/>
        </w:rPr>
        <w:t>3</w:t>
      </w:r>
      <w:r w:rsidRPr="003B4362">
        <w:rPr>
          <w:vertAlign w:val="superscript"/>
        </w:rPr>
        <w:t>–</w:t>
      </w:r>
      <w:r w:rsidRPr="003B4362">
        <w:t xml:space="preserve"> F (97), 4500-NO</w:t>
      </w:r>
      <w:r w:rsidRPr="003B4362">
        <w:rPr>
          <w:vertAlign w:val="subscript"/>
        </w:rPr>
        <w:t>3</w:t>
      </w:r>
      <w:r w:rsidRPr="003B4362">
        <w:rPr>
          <w:vertAlign w:val="superscript"/>
        </w:rPr>
        <w:t>–</w:t>
      </w:r>
      <w:r w:rsidRPr="003B4362">
        <w:t xml:space="preserve"> F (00)</w:t>
      </w:r>
      <w:bookmarkEnd w:id="3660"/>
      <w:r w:rsidRPr="003B4362">
        <w:t>, 4500-NO</w:t>
      </w:r>
      <w:r w:rsidRPr="003B4362">
        <w:rPr>
          <w:vertAlign w:val="subscript"/>
        </w:rPr>
        <w:t>3</w:t>
      </w:r>
      <w:r w:rsidRPr="003B4362">
        <w:rPr>
          <w:vertAlign w:val="superscript"/>
        </w:rPr>
        <w:t>–</w:t>
      </w:r>
      <w:r w:rsidRPr="003B4362">
        <w:t xml:space="preserve"> F (16), </w:t>
      </w:r>
      <w:bookmarkStart w:id="3661" w:name="_Hlk13745682"/>
      <w:r w:rsidRPr="003B4362">
        <w:t>or USEPA 353.2 (93)</w:t>
      </w:r>
      <w:bookmarkEnd w:id="3661"/>
      <w:r w:rsidRPr="003B4362">
        <w:t>.</w:t>
      </w:r>
    </w:p>
    <w:p w14:paraId="571C6876" w14:textId="77777777" w:rsidR="00710318" w:rsidRDefault="00710318" w:rsidP="00710318">
      <w:pPr>
        <w:widowControl w:val="0"/>
        <w:suppressAutoHyphens/>
        <w:ind w:left="2880" w:hanging="720"/>
      </w:pPr>
    </w:p>
    <w:p w14:paraId="29C994FE" w14:textId="445DA1FE" w:rsidR="004F7532" w:rsidRPr="003B4362" w:rsidRDefault="004F7532" w:rsidP="00710318">
      <w:pPr>
        <w:widowControl w:val="0"/>
        <w:suppressAutoHyphens/>
        <w:ind w:left="2880" w:hanging="720"/>
      </w:pPr>
      <w:r w:rsidRPr="003B4362">
        <w:t>C)</w:t>
      </w:r>
      <w:r w:rsidRPr="003B4362">
        <w:tab/>
        <w:t xml:space="preserve">Ion Selective Electrode.  </w:t>
      </w:r>
      <w:bookmarkStart w:id="3662" w:name="_Hlk13746296"/>
      <w:r w:rsidRPr="003B4362">
        <w:t>ATI Orion Technical Bulletin 601 (94)</w:t>
      </w:r>
      <w:bookmarkEnd w:id="3662"/>
      <w:r w:rsidRPr="003B4362">
        <w:t xml:space="preserve">, </w:t>
      </w:r>
      <w:bookmarkStart w:id="3663" w:name="_Hlk13746210"/>
      <w:r w:rsidRPr="003B4362">
        <w:t>SM 4500-NO</w:t>
      </w:r>
      <w:r w:rsidRPr="003B4362">
        <w:rPr>
          <w:vertAlign w:val="subscript"/>
        </w:rPr>
        <w:t>3</w:t>
      </w:r>
      <w:r w:rsidRPr="003B4362">
        <w:rPr>
          <w:vertAlign w:val="superscript"/>
        </w:rPr>
        <w:t>–</w:t>
      </w:r>
      <w:r w:rsidRPr="003B4362">
        <w:t xml:space="preserve"> D (88), SM 4500-NO</w:t>
      </w:r>
      <w:r w:rsidRPr="003B4362">
        <w:rPr>
          <w:vertAlign w:val="subscript"/>
        </w:rPr>
        <w:t>3</w:t>
      </w:r>
      <w:r w:rsidRPr="003B4362">
        <w:rPr>
          <w:vertAlign w:val="superscript"/>
        </w:rPr>
        <w:t>–</w:t>
      </w:r>
      <w:r w:rsidRPr="003B4362">
        <w:t xml:space="preserve"> D (93), SM 4500-NO</w:t>
      </w:r>
      <w:r w:rsidRPr="003B4362">
        <w:rPr>
          <w:vertAlign w:val="subscript"/>
        </w:rPr>
        <w:t>3</w:t>
      </w:r>
      <w:r w:rsidRPr="003B4362">
        <w:rPr>
          <w:vertAlign w:val="superscript"/>
        </w:rPr>
        <w:t>–</w:t>
      </w:r>
      <w:r w:rsidRPr="003B4362">
        <w:t xml:space="preserve"> D (97), SM 4500-NO</w:t>
      </w:r>
      <w:r w:rsidRPr="003B4362">
        <w:rPr>
          <w:vertAlign w:val="subscript"/>
        </w:rPr>
        <w:t>3</w:t>
      </w:r>
      <w:r w:rsidRPr="003B4362">
        <w:rPr>
          <w:vertAlign w:val="superscript"/>
        </w:rPr>
        <w:t>–</w:t>
      </w:r>
      <w:r w:rsidRPr="003B4362">
        <w:t xml:space="preserve"> D (00)</w:t>
      </w:r>
      <w:bookmarkEnd w:id="3663"/>
      <w:r w:rsidRPr="003B4362">
        <w:t>, or SM 4500-NO</w:t>
      </w:r>
      <w:r w:rsidRPr="003B4362">
        <w:rPr>
          <w:vertAlign w:val="subscript"/>
        </w:rPr>
        <w:t>3</w:t>
      </w:r>
      <w:r w:rsidRPr="003B4362">
        <w:rPr>
          <w:vertAlign w:val="superscript"/>
        </w:rPr>
        <w:t>–</w:t>
      </w:r>
      <w:r w:rsidRPr="003B4362">
        <w:t xml:space="preserve"> D (16).</w:t>
      </w:r>
    </w:p>
    <w:p w14:paraId="73D85DAC" w14:textId="77777777" w:rsidR="00710318" w:rsidRDefault="00710318" w:rsidP="00710318">
      <w:pPr>
        <w:widowControl w:val="0"/>
        <w:suppressAutoHyphens/>
        <w:ind w:left="2880" w:hanging="720"/>
      </w:pPr>
    </w:p>
    <w:p w14:paraId="3565946A" w14:textId="77E052E0" w:rsidR="004F7532" w:rsidRPr="003B4362" w:rsidRDefault="004F7532" w:rsidP="00710318">
      <w:pPr>
        <w:widowControl w:val="0"/>
        <w:suppressAutoHyphens/>
        <w:ind w:left="2880" w:hanging="720"/>
      </w:pPr>
      <w:r w:rsidRPr="003B4362">
        <w:t>D)</w:t>
      </w:r>
      <w:r w:rsidRPr="003B4362">
        <w:tab/>
        <w:t xml:space="preserve">Manual Cadmium Reduction.  </w:t>
      </w:r>
      <w:bookmarkStart w:id="3664" w:name="_Hlk13746585"/>
      <w:r w:rsidRPr="003B4362">
        <w:t>ASTM D3867-90 B</w:t>
      </w:r>
      <w:bookmarkEnd w:id="3664"/>
      <w:r w:rsidRPr="003B4362">
        <w:t xml:space="preserve">, </w:t>
      </w:r>
      <w:bookmarkStart w:id="3665" w:name="_Hlk13746721"/>
      <w:r w:rsidRPr="003B4362">
        <w:t>SM 4500-NO</w:t>
      </w:r>
      <w:r w:rsidRPr="003B4362">
        <w:rPr>
          <w:vertAlign w:val="subscript"/>
        </w:rPr>
        <w:t>3</w:t>
      </w:r>
      <w:r w:rsidRPr="003B4362">
        <w:rPr>
          <w:vertAlign w:val="superscript"/>
        </w:rPr>
        <w:t>–</w:t>
      </w:r>
      <w:r w:rsidRPr="003B4362">
        <w:t xml:space="preserve"> E (88), SM 4500-NO</w:t>
      </w:r>
      <w:r w:rsidRPr="003B4362">
        <w:rPr>
          <w:vertAlign w:val="subscript"/>
        </w:rPr>
        <w:t>3</w:t>
      </w:r>
      <w:r w:rsidRPr="003B4362">
        <w:rPr>
          <w:vertAlign w:val="superscript"/>
        </w:rPr>
        <w:t>–</w:t>
      </w:r>
      <w:r w:rsidRPr="003B4362">
        <w:t xml:space="preserve"> E (93), SM 4500-NO</w:t>
      </w:r>
      <w:r w:rsidRPr="003B4362">
        <w:rPr>
          <w:vertAlign w:val="subscript"/>
        </w:rPr>
        <w:t>3</w:t>
      </w:r>
      <w:r w:rsidRPr="003B4362">
        <w:rPr>
          <w:vertAlign w:val="superscript"/>
        </w:rPr>
        <w:t>–</w:t>
      </w:r>
      <w:r w:rsidRPr="003B4362">
        <w:t xml:space="preserve"> E (97), SM 4500-NO</w:t>
      </w:r>
      <w:r w:rsidRPr="003B4362">
        <w:rPr>
          <w:vertAlign w:val="subscript"/>
        </w:rPr>
        <w:t>3</w:t>
      </w:r>
      <w:r w:rsidRPr="003B4362">
        <w:rPr>
          <w:vertAlign w:val="superscript"/>
        </w:rPr>
        <w:t>–</w:t>
      </w:r>
      <w:r w:rsidRPr="003B4362">
        <w:t xml:space="preserve"> E (00)</w:t>
      </w:r>
      <w:bookmarkEnd w:id="3665"/>
      <w:r w:rsidRPr="003B4362">
        <w:t>, or SM 4500-NO</w:t>
      </w:r>
      <w:r w:rsidRPr="003B4362">
        <w:rPr>
          <w:vertAlign w:val="subscript"/>
        </w:rPr>
        <w:t>3</w:t>
      </w:r>
      <w:r w:rsidRPr="003B4362">
        <w:rPr>
          <w:vertAlign w:val="superscript"/>
        </w:rPr>
        <w:t>–</w:t>
      </w:r>
      <w:r w:rsidRPr="003B4362">
        <w:t xml:space="preserve"> E (16).</w:t>
      </w:r>
    </w:p>
    <w:p w14:paraId="4D732CF6" w14:textId="77777777" w:rsidR="00710318" w:rsidRDefault="00710318" w:rsidP="00710318">
      <w:pPr>
        <w:widowControl w:val="0"/>
        <w:suppressAutoHyphens/>
        <w:ind w:left="2880" w:hanging="720"/>
      </w:pPr>
    </w:p>
    <w:p w14:paraId="14FB6C92" w14:textId="4E8E8AE4" w:rsidR="004F7532" w:rsidRPr="003B4362" w:rsidRDefault="004F7532" w:rsidP="00710318">
      <w:pPr>
        <w:widowControl w:val="0"/>
        <w:suppressAutoHyphens/>
        <w:ind w:left="2880" w:hanging="720"/>
      </w:pPr>
      <w:r w:rsidRPr="003B4362">
        <w:t>E)</w:t>
      </w:r>
      <w:r w:rsidRPr="003B4362">
        <w:tab/>
        <w:t xml:space="preserve">Capillary Ion Electrophoresis.  </w:t>
      </w:r>
      <w:bookmarkStart w:id="3666" w:name="_Hlk13746877"/>
      <w:r w:rsidRPr="003B4362">
        <w:t xml:space="preserve">ASTM D6508-00 or </w:t>
      </w:r>
      <w:bookmarkStart w:id="3667" w:name="_Hlk505013924"/>
      <w:r w:rsidRPr="003B4362">
        <w:t>ASTM D6508-15</w:t>
      </w:r>
      <w:bookmarkEnd w:id="3666"/>
      <w:bookmarkEnd w:id="3667"/>
      <w:r w:rsidRPr="003B4362">
        <w:t>.</w:t>
      </w:r>
    </w:p>
    <w:p w14:paraId="0879E6F4" w14:textId="77777777" w:rsidR="00710318" w:rsidRDefault="00710318" w:rsidP="00710318">
      <w:pPr>
        <w:widowControl w:val="0"/>
        <w:suppressAutoHyphens/>
        <w:ind w:left="2880" w:hanging="720"/>
      </w:pPr>
    </w:p>
    <w:p w14:paraId="0C80CA26" w14:textId="5690B4EE" w:rsidR="004F7532" w:rsidRPr="003B4362" w:rsidRDefault="004F7532" w:rsidP="00710318">
      <w:pPr>
        <w:widowControl w:val="0"/>
        <w:suppressAutoHyphens/>
        <w:ind w:left="2880" w:hanging="720"/>
      </w:pPr>
      <w:r w:rsidRPr="003B4362">
        <w:t>F)</w:t>
      </w:r>
      <w:r w:rsidRPr="003B4362">
        <w:tab/>
        <w:t xml:space="preserve">Reduction-Colorimetric.  </w:t>
      </w:r>
      <w:bookmarkStart w:id="3668" w:name="_Hlk13747204"/>
      <w:r w:rsidRPr="003B4362">
        <w:t>Systea Easy (1-Reagent) (09) or NECi Nitrate-Reductase (06)</w:t>
      </w:r>
      <w:bookmarkEnd w:id="3668"/>
      <w:r w:rsidRPr="003B4362">
        <w:t>.</w:t>
      </w:r>
    </w:p>
    <w:p w14:paraId="0F8C584D" w14:textId="77777777" w:rsidR="00710318" w:rsidRDefault="00710318" w:rsidP="00710318">
      <w:pPr>
        <w:widowControl w:val="0"/>
        <w:suppressAutoHyphens/>
        <w:ind w:left="2880" w:hanging="720"/>
      </w:pPr>
    </w:p>
    <w:p w14:paraId="43D7D49E" w14:textId="479DE5F9" w:rsidR="004F7532" w:rsidRPr="003B4362" w:rsidRDefault="004F7532" w:rsidP="00710318">
      <w:pPr>
        <w:widowControl w:val="0"/>
        <w:suppressAutoHyphens/>
        <w:ind w:left="2880" w:hanging="720"/>
      </w:pPr>
      <w:r w:rsidRPr="003B4362">
        <w:t>G)</w:t>
      </w:r>
      <w:r w:rsidRPr="003B4362">
        <w:tab/>
        <w:t xml:space="preserve">Direct Colorimetric.  </w:t>
      </w:r>
      <w:bookmarkStart w:id="3669" w:name="_Hlk13747276"/>
      <w:r w:rsidRPr="003B4362">
        <w:t>Hach 10206 (TNTplus 835/836)</w:t>
      </w:r>
      <w:bookmarkEnd w:id="3669"/>
      <w:r w:rsidRPr="003B4362">
        <w:t>.</w:t>
      </w:r>
    </w:p>
    <w:p w14:paraId="0922CBEC" w14:textId="77777777" w:rsidR="00710318" w:rsidRDefault="00710318" w:rsidP="00710318">
      <w:pPr>
        <w:widowControl w:val="0"/>
        <w:suppressAutoHyphens/>
        <w:ind w:left="2160" w:hanging="720"/>
      </w:pPr>
    </w:p>
    <w:p w14:paraId="4A048FCF" w14:textId="16244975" w:rsidR="004F7532" w:rsidRPr="003B4362" w:rsidRDefault="0033057D" w:rsidP="00710318">
      <w:pPr>
        <w:widowControl w:val="0"/>
        <w:suppressAutoHyphens/>
        <w:ind w:left="2160" w:hanging="720"/>
      </w:pPr>
      <w:r w:rsidRPr="003B4362">
        <w:t>20</w:t>
      </w:r>
      <w:r w:rsidR="004F7532" w:rsidRPr="003B4362">
        <w:t>)</w:t>
      </w:r>
      <w:r w:rsidR="004F7532" w:rsidRPr="003B4362">
        <w:tab/>
        <w:t>Nitrite</w:t>
      </w:r>
    </w:p>
    <w:p w14:paraId="7104C4FB" w14:textId="77777777" w:rsidR="00710318" w:rsidRDefault="00710318" w:rsidP="00710318">
      <w:pPr>
        <w:widowControl w:val="0"/>
        <w:suppressAutoHyphens/>
        <w:ind w:left="2880" w:hanging="720"/>
      </w:pPr>
    </w:p>
    <w:p w14:paraId="2C0DCCF2" w14:textId="16F5DBFA" w:rsidR="004F7532" w:rsidRPr="003B4362" w:rsidRDefault="004F7532" w:rsidP="00710318">
      <w:pPr>
        <w:widowControl w:val="0"/>
        <w:suppressAutoHyphens/>
        <w:ind w:left="2880" w:hanging="720"/>
      </w:pPr>
      <w:r w:rsidRPr="003B4362">
        <w:t>A)</w:t>
      </w:r>
      <w:r w:rsidRPr="003B4362">
        <w:tab/>
        <w:t xml:space="preserve">Ion Chromatography. </w:t>
      </w:r>
      <w:bookmarkStart w:id="3670" w:name="_Hlk13748383"/>
      <w:r w:rsidRPr="003B4362">
        <w:t xml:space="preserve"> </w:t>
      </w:r>
      <w:bookmarkStart w:id="3671" w:name="_Hlk13748483"/>
      <w:bookmarkEnd w:id="3670"/>
      <w:r w:rsidRPr="003B4362">
        <w:t>ASTM D4327-97, ASTM D4327-03, ASTM D4327-11</w:t>
      </w:r>
      <w:bookmarkEnd w:id="3671"/>
      <w:r w:rsidRPr="003B4362">
        <w:t xml:space="preserve">, </w:t>
      </w:r>
      <w:bookmarkStart w:id="3672" w:name="_Hlk13748618"/>
      <w:r w:rsidR="00B42B8C" w:rsidRPr="003B4362">
        <w:t xml:space="preserve">ASTM D4327-17, </w:t>
      </w:r>
      <w:r w:rsidRPr="003B4362">
        <w:t xml:space="preserve">SM 4110 B (90), SM 4110 B (97), </w:t>
      </w:r>
      <w:bookmarkStart w:id="3673" w:name="_Hlk131442238"/>
      <w:r w:rsidRPr="003B4362">
        <w:t>SM 4110 B (00)</w:t>
      </w:r>
      <w:bookmarkEnd w:id="3672"/>
      <w:bookmarkEnd w:id="3673"/>
      <w:r w:rsidRPr="003B4362">
        <w:t>, USEPA 300.0 (93), USEPA 300.1 (97), or Waters B-1011 (87).</w:t>
      </w:r>
    </w:p>
    <w:p w14:paraId="7DF3ACA3" w14:textId="77777777" w:rsidR="00710318" w:rsidRDefault="00710318" w:rsidP="00710318">
      <w:pPr>
        <w:widowControl w:val="0"/>
        <w:suppressAutoHyphens/>
        <w:ind w:left="2880" w:hanging="720"/>
      </w:pPr>
    </w:p>
    <w:p w14:paraId="287C241A" w14:textId="5F05D61B" w:rsidR="004F7532" w:rsidRPr="003B4362" w:rsidRDefault="004F7532" w:rsidP="00710318">
      <w:pPr>
        <w:widowControl w:val="0"/>
        <w:suppressAutoHyphens/>
        <w:ind w:left="2880" w:hanging="720"/>
      </w:pPr>
      <w:r w:rsidRPr="003B4362">
        <w:t>B)</w:t>
      </w:r>
      <w:r w:rsidRPr="003B4362">
        <w:tab/>
        <w:t xml:space="preserve">Automated Cadmium Reduction.  ASTM D3867-90 A, SM </w:t>
      </w:r>
      <w:bookmarkStart w:id="3674" w:name="_Hlk13749044"/>
      <w:r w:rsidRPr="003B4362">
        <w:t>4500-NO</w:t>
      </w:r>
      <w:r w:rsidRPr="003B4362">
        <w:rPr>
          <w:vertAlign w:val="subscript"/>
        </w:rPr>
        <w:t>3</w:t>
      </w:r>
      <w:r w:rsidRPr="003B4362">
        <w:rPr>
          <w:vertAlign w:val="superscript"/>
        </w:rPr>
        <w:t>–</w:t>
      </w:r>
      <w:r w:rsidRPr="003B4362">
        <w:t xml:space="preserve"> F </w:t>
      </w:r>
      <w:bookmarkEnd w:id="3674"/>
      <w:r w:rsidRPr="003B4362">
        <w:t>(93), 4500-NO</w:t>
      </w:r>
      <w:r w:rsidRPr="003B4362">
        <w:rPr>
          <w:vertAlign w:val="subscript"/>
        </w:rPr>
        <w:t>3</w:t>
      </w:r>
      <w:r w:rsidRPr="003B4362">
        <w:rPr>
          <w:vertAlign w:val="superscript"/>
        </w:rPr>
        <w:t>–</w:t>
      </w:r>
      <w:r w:rsidRPr="003B4362">
        <w:t xml:space="preserve"> F (97), 4500-NO</w:t>
      </w:r>
      <w:r w:rsidRPr="003B4362">
        <w:rPr>
          <w:vertAlign w:val="subscript"/>
        </w:rPr>
        <w:t>3</w:t>
      </w:r>
      <w:r w:rsidRPr="003B4362">
        <w:rPr>
          <w:vertAlign w:val="superscript"/>
        </w:rPr>
        <w:t>–</w:t>
      </w:r>
      <w:r w:rsidRPr="003B4362">
        <w:t xml:space="preserve"> F (00), 4500-NO</w:t>
      </w:r>
      <w:r w:rsidRPr="003B4362">
        <w:rPr>
          <w:vertAlign w:val="subscript"/>
        </w:rPr>
        <w:t>3</w:t>
      </w:r>
      <w:r w:rsidRPr="003B4362">
        <w:rPr>
          <w:vertAlign w:val="superscript"/>
        </w:rPr>
        <w:t>–</w:t>
      </w:r>
      <w:r w:rsidRPr="003B4362">
        <w:t xml:space="preserve"> F (16), or USEPA 353.2 (93).</w:t>
      </w:r>
    </w:p>
    <w:p w14:paraId="21CD3B3E" w14:textId="77777777" w:rsidR="00710318" w:rsidRDefault="00710318" w:rsidP="00710318">
      <w:pPr>
        <w:widowControl w:val="0"/>
        <w:suppressAutoHyphens/>
        <w:ind w:left="2880" w:hanging="720"/>
      </w:pPr>
    </w:p>
    <w:p w14:paraId="3D81B829" w14:textId="0832D976" w:rsidR="004F7532" w:rsidRPr="003B4362" w:rsidRDefault="004F7532" w:rsidP="00710318">
      <w:pPr>
        <w:widowControl w:val="0"/>
        <w:suppressAutoHyphens/>
        <w:ind w:left="2880" w:hanging="720"/>
      </w:pPr>
      <w:r w:rsidRPr="003B4362">
        <w:t>C)</w:t>
      </w:r>
      <w:r w:rsidRPr="003B4362">
        <w:tab/>
        <w:t xml:space="preserve">Manual Cadmium Reduction.  </w:t>
      </w:r>
      <w:bookmarkStart w:id="3675" w:name="_Hlk13749124"/>
      <w:r w:rsidRPr="003B4362">
        <w:t>ASTM D3867-90 B</w:t>
      </w:r>
      <w:bookmarkEnd w:id="3675"/>
      <w:r w:rsidRPr="003B4362">
        <w:t xml:space="preserve">, </w:t>
      </w:r>
      <w:bookmarkStart w:id="3676" w:name="_Hlk13749255"/>
      <w:r w:rsidRPr="003B4362">
        <w:t>SM 4500-NO</w:t>
      </w:r>
      <w:r w:rsidRPr="003B4362">
        <w:rPr>
          <w:vertAlign w:val="subscript"/>
        </w:rPr>
        <w:t>3</w:t>
      </w:r>
      <w:r w:rsidRPr="003B4362">
        <w:rPr>
          <w:vertAlign w:val="superscript"/>
        </w:rPr>
        <w:t>–</w:t>
      </w:r>
      <w:r w:rsidRPr="003B4362">
        <w:t xml:space="preserve"> E (93), 4500-NO</w:t>
      </w:r>
      <w:r w:rsidRPr="003B4362">
        <w:rPr>
          <w:vertAlign w:val="subscript"/>
        </w:rPr>
        <w:t>3</w:t>
      </w:r>
      <w:r w:rsidRPr="003B4362">
        <w:rPr>
          <w:vertAlign w:val="superscript"/>
        </w:rPr>
        <w:t>–</w:t>
      </w:r>
      <w:r w:rsidRPr="003B4362">
        <w:t xml:space="preserve"> E (97), 4500-NO</w:t>
      </w:r>
      <w:r w:rsidRPr="003B4362">
        <w:rPr>
          <w:vertAlign w:val="subscript"/>
        </w:rPr>
        <w:t>3</w:t>
      </w:r>
      <w:r w:rsidRPr="003B4362">
        <w:rPr>
          <w:vertAlign w:val="superscript"/>
        </w:rPr>
        <w:t>–</w:t>
      </w:r>
      <w:r w:rsidRPr="003B4362">
        <w:t xml:space="preserve"> E (00)</w:t>
      </w:r>
      <w:bookmarkEnd w:id="3676"/>
      <w:r w:rsidRPr="003B4362">
        <w:t>, or 4500-NO</w:t>
      </w:r>
      <w:r w:rsidRPr="003B4362">
        <w:rPr>
          <w:vertAlign w:val="subscript"/>
        </w:rPr>
        <w:t>3</w:t>
      </w:r>
      <w:r w:rsidRPr="003B4362">
        <w:rPr>
          <w:vertAlign w:val="superscript"/>
        </w:rPr>
        <w:t>–</w:t>
      </w:r>
      <w:r w:rsidRPr="003B4362">
        <w:t xml:space="preserve"> E (16).</w:t>
      </w:r>
    </w:p>
    <w:p w14:paraId="4AC67B48" w14:textId="77777777" w:rsidR="00710318" w:rsidRDefault="00710318" w:rsidP="00710318">
      <w:pPr>
        <w:widowControl w:val="0"/>
        <w:suppressAutoHyphens/>
        <w:ind w:left="2880" w:hanging="720"/>
      </w:pPr>
    </w:p>
    <w:p w14:paraId="3482D802" w14:textId="596675EA" w:rsidR="004F7532" w:rsidRPr="003B4362" w:rsidRDefault="004F7532" w:rsidP="00710318">
      <w:pPr>
        <w:widowControl w:val="0"/>
        <w:suppressAutoHyphens/>
        <w:ind w:left="2880" w:hanging="720"/>
      </w:pPr>
      <w:r w:rsidRPr="003B4362">
        <w:t>D)</w:t>
      </w:r>
      <w:r w:rsidRPr="003B4362">
        <w:tab/>
        <w:t xml:space="preserve">Spectrophotometric.  </w:t>
      </w:r>
      <w:bookmarkStart w:id="3677" w:name="_Hlk13749391"/>
      <w:r w:rsidRPr="003B4362">
        <w:t>SM 4500-NO</w:t>
      </w:r>
      <w:r w:rsidRPr="003B4362">
        <w:rPr>
          <w:vertAlign w:val="subscript"/>
        </w:rPr>
        <w:t>2</w:t>
      </w:r>
      <w:r w:rsidRPr="003B4362">
        <w:rPr>
          <w:vertAlign w:val="superscript"/>
        </w:rPr>
        <w:t>–</w:t>
      </w:r>
      <w:r w:rsidRPr="003B4362">
        <w:t xml:space="preserve"> B (88), 4500-NO</w:t>
      </w:r>
      <w:r w:rsidRPr="003B4362">
        <w:rPr>
          <w:vertAlign w:val="subscript"/>
        </w:rPr>
        <w:t>2</w:t>
      </w:r>
      <w:r w:rsidRPr="003B4362">
        <w:rPr>
          <w:vertAlign w:val="superscript"/>
        </w:rPr>
        <w:t>–</w:t>
      </w:r>
      <w:r w:rsidRPr="003B4362">
        <w:t xml:space="preserve"> B (93), or 4500-NO</w:t>
      </w:r>
      <w:r w:rsidRPr="003B4362">
        <w:rPr>
          <w:vertAlign w:val="subscript"/>
        </w:rPr>
        <w:t>2</w:t>
      </w:r>
      <w:r w:rsidRPr="003B4362">
        <w:rPr>
          <w:vertAlign w:val="superscript"/>
        </w:rPr>
        <w:t>–</w:t>
      </w:r>
      <w:r w:rsidRPr="003B4362">
        <w:t xml:space="preserve"> B (00)</w:t>
      </w:r>
      <w:bookmarkEnd w:id="3677"/>
      <w:r w:rsidRPr="003B4362">
        <w:t>.</w:t>
      </w:r>
    </w:p>
    <w:p w14:paraId="79CEA4BA" w14:textId="77777777" w:rsidR="00710318" w:rsidRDefault="00710318" w:rsidP="00710318">
      <w:pPr>
        <w:widowControl w:val="0"/>
        <w:suppressAutoHyphens/>
        <w:ind w:left="2880" w:hanging="720"/>
      </w:pPr>
    </w:p>
    <w:p w14:paraId="1AA599C6" w14:textId="3B745ADD" w:rsidR="004F7532" w:rsidRPr="003B4362" w:rsidRDefault="004F7532" w:rsidP="00710318">
      <w:pPr>
        <w:widowControl w:val="0"/>
        <w:suppressAutoHyphens/>
        <w:ind w:left="2880" w:hanging="720"/>
      </w:pPr>
      <w:r w:rsidRPr="003B4362">
        <w:t>E)</w:t>
      </w:r>
      <w:r w:rsidRPr="003B4362">
        <w:tab/>
        <w:t>Capillary Ion Electrophoresis.  ASTM D6508-00 or ASTM D6508-15.</w:t>
      </w:r>
    </w:p>
    <w:p w14:paraId="16C3F806" w14:textId="77777777" w:rsidR="00710318" w:rsidRDefault="00710318" w:rsidP="00710318">
      <w:pPr>
        <w:widowControl w:val="0"/>
        <w:suppressAutoHyphens/>
        <w:ind w:left="2880" w:hanging="720"/>
      </w:pPr>
    </w:p>
    <w:p w14:paraId="5E08FA9F" w14:textId="0792689D" w:rsidR="004F7532" w:rsidRPr="003B4362" w:rsidRDefault="004F7532" w:rsidP="00710318">
      <w:pPr>
        <w:widowControl w:val="0"/>
        <w:suppressAutoHyphens/>
        <w:ind w:left="2880" w:hanging="720"/>
      </w:pPr>
      <w:r w:rsidRPr="003B4362">
        <w:t>F)</w:t>
      </w:r>
      <w:r w:rsidRPr="003B4362">
        <w:tab/>
        <w:t>Reduction-Colorimetric.  Systea Easy (1-Reagent) (09) or NECi Nitrate-Reductase (06).</w:t>
      </w:r>
    </w:p>
    <w:p w14:paraId="0BD0540A" w14:textId="77777777" w:rsidR="00710318" w:rsidRDefault="00710318" w:rsidP="00710318">
      <w:pPr>
        <w:widowControl w:val="0"/>
        <w:suppressAutoHyphens/>
        <w:ind w:left="2160" w:hanging="720"/>
      </w:pPr>
    </w:p>
    <w:p w14:paraId="1983A0B9" w14:textId="770EBF5D" w:rsidR="004F7532" w:rsidRPr="003B4362" w:rsidRDefault="004F7532" w:rsidP="00710318">
      <w:pPr>
        <w:widowControl w:val="0"/>
        <w:suppressAutoHyphens/>
        <w:ind w:left="2160" w:hanging="720"/>
      </w:pPr>
      <w:r w:rsidRPr="003B4362">
        <w:lastRenderedPageBreak/>
        <w:t>2</w:t>
      </w:r>
      <w:r w:rsidR="0033057D" w:rsidRPr="003B4362">
        <w:t>1</w:t>
      </w:r>
      <w:r w:rsidRPr="003B4362">
        <w:t>)</w:t>
      </w:r>
      <w:r w:rsidRPr="003B4362">
        <w:tab/>
        <w:t>Orthophosphate (unfiltered, without digestion or hydrolysis)</w:t>
      </w:r>
    </w:p>
    <w:p w14:paraId="4D4A28DC" w14:textId="77777777" w:rsidR="00710318" w:rsidRDefault="00710318" w:rsidP="00710318">
      <w:pPr>
        <w:widowControl w:val="0"/>
        <w:suppressAutoHyphens/>
        <w:ind w:left="2880" w:hanging="720"/>
      </w:pPr>
    </w:p>
    <w:p w14:paraId="69B98F74" w14:textId="5234C3D8" w:rsidR="004F7532" w:rsidRPr="003B4362" w:rsidRDefault="004F7532" w:rsidP="00710318">
      <w:pPr>
        <w:widowControl w:val="0"/>
        <w:suppressAutoHyphens/>
        <w:ind w:left="2880" w:hanging="720"/>
      </w:pPr>
      <w:r w:rsidRPr="003B4362">
        <w:t>A)</w:t>
      </w:r>
      <w:r w:rsidRPr="003B4362">
        <w:tab/>
        <w:t xml:space="preserve">Automated Colorimetric, Ascorbic Acid.  </w:t>
      </w:r>
      <w:bookmarkStart w:id="3678" w:name="_Hlk13752382"/>
      <w:r w:rsidRPr="003B4362">
        <w:t>SM 4500-P F (88), SM 4500-P F (93), SM 4500-P F (97), SM 4500-P F (99)</w:t>
      </w:r>
      <w:bookmarkEnd w:id="3678"/>
      <w:r w:rsidRPr="003B4362">
        <w:t xml:space="preserve">, SM 4500-P F (05), </w:t>
      </w:r>
      <w:bookmarkStart w:id="3679" w:name="_Hlk13752476"/>
      <w:r w:rsidRPr="003B4362">
        <w:t>Thermo-Fisher Discrete Analyzer (16)</w:t>
      </w:r>
      <w:bookmarkEnd w:id="3679"/>
      <w:r w:rsidRPr="003B4362">
        <w:t>, or USEPA 365.1</w:t>
      </w:r>
      <w:bookmarkStart w:id="3680" w:name="_Hlk13751642"/>
      <w:r w:rsidRPr="003B4362">
        <w:t xml:space="preserve"> (93)</w:t>
      </w:r>
      <w:bookmarkEnd w:id="3680"/>
      <w:r w:rsidRPr="003B4362">
        <w:t>.</w:t>
      </w:r>
    </w:p>
    <w:p w14:paraId="0D03F19F" w14:textId="77777777" w:rsidR="00710318" w:rsidRDefault="00710318" w:rsidP="00710318">
      <w:pPr>
        <w:widowControl w:val="0"/>
        <w:suppressAutoHyphens/>
        <w:ind w:left="2880" w:hanging="720"/>
      </w:pPr>
    </w:p>
    <w:p w14:paraId="0EC14277" w14:textId="310E4F46" w:rsidR="004F7532" w:rsidRPr="003B4362" w:rsidRDefault="004F7532" w:rsidP="00710318">
      <w:pPr>
        <w:widowControl w:val="0"/>
        <w:suppressAutoHyphens/>
        <w:ind w:left="2880" w:hanging="720"/>
      </w:pPr>
      <w:r w:rsidRPr="003B4362">
        <w:t>B)</w:t>
      </w:r>
      <w:r w:rsidRPr="003B4362">
        <w:tab/>
        <w:t xml:space="preserve">Single-Reagent Colorimetric, Ascorbic Acid.  </w:t>
      </w:r>
      <w:bookmarkStart w:id="3681" w:name="_Hlk13752596"/>
      <w:r w:rsidRPr="003B4362">
        <w:t>ASTM D515-88 A</w:t>
      </w:r>
      <w:bookmarkEnd w:id="3681"/>
      <w:r w:rsidRPr="003B4362">
        <w:t xml:space="preserve">, </w:t>
      </w:r>
      <w:bookmarkStart w:id="3682" w:name="_Hlk13752693"/>
      <w:r w:rsidRPr="003B4362">
        <w:t>SM 4500-P E (88), 4500-P E (93), 4500-P E (97)</w:t>
      </w:r>
      <w:bookmarkStart w:id="3683" w:name="_Hlk13752297"/>
      <w:r w:rsidRPr="003B4362">
        <w:t>, or 4500-P E (99)</w:t>
      </w:r>
      <w:bookmarkEnd w:id="3682"/>
      <w:bookmarkEnd w:id="3683"/>
      <w:r w:rsidRPr="003B4362">
        <w:t>, or 4500-P E (05).</w:t>
      </w:r>
    </w:p>
    <w:p w14:paraId="53927805" w14:textId="77777777" w:rsidR="00710318" w:rsidRDefault="00710318" w:rsidP="00710318">
      <w:pPr>
        <w:widowControl w:val="0"/>
        <w:suppressAutoHyphens/>
        <w:ind w:left="2880" w:hanging="720"/>
      </w:pPr>
    </w:p>
    <w:p w14:paraId="271F833C" w14:textId="6B591549" w:rsidR="004F7532" w:rsidRPr="003B4362" w:rsidRDefault="004F7532" w:rsidP="00710318">
      <w:pPr>
        <w:widowControl w:val="0"/>
        <w:suppressAutoHyphens/>
        <w:ind w:left="2880" w:hanging="720"/>
      </w:pPr>
      <w:r w:rsidRPr="003B4362">
        <w:t>C)</w:t>
      </w:r>
      <w:r w:rsidRPr="003B4362">
        <w:tab/>
        <w:t xml:space="preserve">Colorimetric, Phosphomolybdate.  </w:t>
      </w:r>
      <w:bookmarkStart w:id="3684" w:name="_Hlk13752791"/>
      <w:r w:rsidRPr="003B4362">
        <w:t>USGS I-1601-85</w:t>
      </w:r>
      <w:bookmarkEnd w:id="3684"/>
      <w:r w:rsidRPr="003B4362">
        <w:t>.</w:t>
      </w:r>
    </w:p>
    <w:p w14:paraId="3F2DABA1" w14:textId="77777777" w:rsidR="00710318" w:rsidRDefault="00710318" w:rsidP="00710318">
      <w:pPr>
        <w:widowControl w:val="0"/>
        <w:suppressAutoHyphens/>
        <w:ind w:left="2880" w:hanging="720"/>
      </w:pPr>
    </w:p>
    <w:p w14:paraId="7EFA4A84" w14:textId="3513443D" w:rsidR="004F7532" w:rsidRPr="003B4362" w:rsidRDefault="004F7532" w:rsidP="00710318">
      <w:pPr>
        <w:widowControl w:val="0"/>
        <w:suppressAutoHyphens/>
        <w:ind w:left="2880" w:hanging="720"/>
      </w:pPr>
      <w:r w:rsidRPr="003B4362">
        <w:t>D)</w:t>
      </w:r>
      <w:r w:rsidRPr="003B4362">
        <w:tab/>
        <w:t xml:space="preserve">Phosphorus, Orthophosphate, Colorimetry, Phosphomolybdate, Automated-Segmented Flow.  </w:t>
      </w:r>
      <w:bookmarkStart w:id="3685" w:name="_Hlk13752839"/>
      <w:r w:rsidRPr="003B4362">
        <w:t>USGS I-2601-90</w:t>
      </w:r>
      <w:bookmarkEnd w:id="3685"/>
      <w:r w:rsidRPr="003B4362">
        <w:t>.</w:t>
      </w:r>
    </w:p>
    <w:p w14:paraId="5DBE262A" w14:textId="77777777" w:rsidR="00710318" w:rsidRDefault="00710318" w:rsidP="00710318">
      <w:pPr>
        <w:widowControl w:val="0"/>
        <w:suppressAutoHyphens/>
        <w:ind w:left="2880" w:hanging="720"/>
      </w:pPr>
    </w:p>
    <w:p w14:paraId="6309B338" w14:textId="561E26AA" w:rsidR="004F7532" w:rsidRPr="003B4362" w:rsidRDefault="004F7532" w:rsidP="00710318">
      <w:pPr>
        <w:widowControl w:val="0"/>
        <w:suppressAutoHyphens/>
        <w:ind w:left="2880" w:hanging="720"/>
      </w:pPr>
      <w:r w:rsidRPr="003B4362">
        <w:t>E)</w:t>
      </w:r>
      <w:r w:rsidRPr="003B4362">
        <w:tab/>
        <w:t xml:space="preserve">Colorimetric, Phosphomolybdate, Automated Discrete.  </w:t>
      </w:r>
      <w:bookmarkStart w:id="3686" w:name="_Hlk13752887"/>
      <w:r w:rsidRPr="003B4362">
        <w:t>USGS I-2598-85</w:t>
      </w:r>
      <w:bookmarkEnd w:id="3686"/>
      <w:r w:rsidRPr="003B4362">
        <w:t>.</w:t>
      </w:r>
    </w:p>
    <w:p w14:paraId="23D91E56" w14:textId="77777777" w:rsidR="00710318" w:rsidRDefault="00710318" w:rsidP="00710318">
      <w:pPr>
        <w:widowControl w:val="0"/>
        <w:suppressAutoHyphens/>
        <w:ind w:left="2880" w:hanging="720"/>
      </w:pPr>
    </w:p>
    <w:p w14:paraId="062D628F" w14:textId="62CB145D" w:rsidR="004F7532" w:rsidRPr="003B4362" w:rsidRDefault="004F7532" w:rsidP="00710318">
      <w:pPr>
        <w:widowControl w:val="0"/>
        <w:suppressAutoHyphens/>
        <w:ind w:left="2880" w:hanging="720"/>
      </w:pPr>
      <w:r w:rsidRPr="003B4362">
        <w:t>F)</w:t>
      </w:r>
      <w:r w:rsidRPr="003B4362">
        <w:tab/>
        <w:t xml:space="preserve">Ion Chromatography.  </w:t>
      </w:r>
      <w:bookmarkStart w:id="3687" w:name="_Hlk13753449"/>
      <w:r w:rsidRPr="003B4362">
        <w:t>ASTM D4327-97, ASTM D4327-03, ASTM D4327-11</w:t>
      </w:r>
      <w:bookmarkEnd w:id="3687"/>
      <w:r w:rsidRPr="003B4362">
        <w:t xml:space="preserve">, </w:t>
      </w:r>
      <w:bookmarkStart w:id="3688" w:name="_Hlk13753558"/>
      <w:r w:rsidR="00B42B8C" w:rsidRPr="003B4362">
        <w:t xml:space="preserve">ASTM D4327-17, </w:t>
      </w:r>
      <w:r w:rsidRPr="003B4362">
        <w:t>SM 4110 B (90), SM 4110 B (91), SM 4110 B (97), SM 4110 B (00)</w:t>
      </w:r>
      <w:bookmarkEnd w:id="3688"/>
      <w:r w:rsidRPr="003B4362">
        <w:t xml:space="preserve">, </w:t>
      </w:r>
      <w:bookmarkStart w:id="3689" w:name="_Hlk13753350"/>
      <w:r w:rsidRPr="003B4362">
        <w:t>USEPA 300.0 (93), or USEPA 300.1 (97)</w:t>
      </w:r>
      <w:bookmarkEnd w:id="3689"/>
      <w:r w:rsidRPr="003B4362">
        <w:t>.</w:t>
      </w:r>
    </w:p>
    <w:p w14:paraId="14059D1F" w14:textId="77777777" w:rsidR="00710318" w:rsidRDefault="00710318" w:rsidP="00710318">
      <w:pPr>
        <w:widowControl w:val="0"/>
        <w:suppressAutoHyphens/>
        <w:ind w:left="2880" w:hanging="720"/>
      </w:pPr>
    </w:p>
    <w:p w14:paraId="162ABB0E" w14:textId="5B6D87F5" w:rsidR="004F7532" w:rsidRPr="003B4362" w:rsidRDefault="004F7532" w:rsidP="00710318">
      <w:pPr>
        <w:widowControl w:val="0"/>
        <w:suppressAutoHyphens/>
        <w:ind w:left="2880" w:hanging="720"/>
      </w:pPr>
      <w:r w:rsidRPr="003B4362">
        <w:t>G)</w:t>
      </w:r>
      <w:r w:rsidRPr="003B4362">
        <w:tab/>
        <w:t xml:space="preserve">Capillary Ion Electrophoresis.  </w:t>
      </w:r>
      <w:bookmarkStart w:id="3690" w:name="_Hlk13753661"/>
      <w:r w:rsidRPr="003B4362">
        <w:t>ASTM D6508-00 or ASTM D6508-15</w:t>
      </w:r>
      <w:bookmarkEnd w:id="3690"/>
      <w:r w:rsidRPr="003B4362">
        <w:t>.</w:t>
      </w:r>
    </w:p>
    <w:p w14:paraId="031F699D" w14:textId="77777777" w:rsidR="00710318" w:rsidRDefault="00710318" w:rsidP="00710318">
      <w:pPr>
        <w:widowControl w:val="0"/>
        <w:suppressAutoHyphens/>
        <w:ind w:left="2160" w:hanging="720"/>
      </w:pPr>
    </w:p>
    <w:p w14:paraId="0056B6EC" w14:textId="36695CF1" w:rsidR="004F7532" w:rsidRPr="003B4362" w:rsidRDefault="004F7532" w:rsidP="00710318">
      <w:pPr>
        <w:widowControl w:val="0"/>
        <w:suppressAutoHyphens/>
        <w:ind w:left="2160" w:hanging="720"/>
      </w:pPr>
      <w:r w:rsidRPr="003B4362">
        <w:t>2</w:t>
      </w:r>
      <w:r w:rsidR="0033057D" w:rsidRPr="003B4362">
        <w:t>2</w:t>
      </w:r>
      <w:r w:rsidRPr="003B4362">
        <w:t>)</w:t>
      </w:r>
      <w:r w:rsidRPr="003B4362">
        <w:tab/>
        <w:t xml:space="preserve">pH, Electrometric.  </w:t>
      </w:r>
      <w:bookmarkStart w:id="3691" w:name="_Hlk13754662"/>
      <w:r w:rsidRPr="003B4362">
        <w:t>ASTM D1293-95, ASTM D1293-99, ASTM D1293-12</w:t>
      </w:r>
      <w:bookmarkEnd w:id="3691"/>
      <w:r w:rsidRPr="003B4362">
        <w:t xml:space="preserve">, </w:t>
      </w:r>
      <w:bookmarkStart w:id="3692" w:name="_Hlk14371996"/>
      <w:bookmarkStart w:id="3693" w:name="_Hlk13754825"/>
      <w:r w:rsidR="00B42B8C" w:rsidRPr="003B4362">
        <w:t>ASTM D1293-1</w:t>
      </w:r>
      <w:r w:rsidR="00584915" w:rsidRPr="003B4362">
        <w:t>8</w:t>
      </w:r>
      <w:r w:rsidR="00B42B8C" w:rsidRPr="003B4362">
        <w:t xml:space="preserve">, </w:t>
      </w:r>
      <w:r w:rsidRPr="003B4362">
        <w:t xml:space="preserve">SM </w:t>
      </w:r>
      <w:bookmarkEnd w:id="3692"/>
      <w:r w:rsidRPr="003B4362">
        <w:t>4500-H</w:t>
      </w:r>
      <w:r w:rsidRPr="003B4362">
        <w:rPr>
          <w:vertAlign w:val="superscript"/>
        </w:rPr>
        <w:t>+</w:t>
      </w:r>
      <w:r w:rsidRPr="003B4362">
        <w:t xml:space="preserve"> B (90), SM 4500-H</w:t>
      </w:r>
      <w:r w:rsidRPr="003B4362">
        <w:rPr>
          <w:vertAlign w:val="superscript"/>
        </w:rPr>
        <w:t>+</w:t>
      </w:r>
      <w:r w:rsidRPr="003B4362">
        <w:t xml:space="preserve"> B (96), SM 4500-H</w:t>
      </w:r>
      <w:r w:rsidRPr="003B4362">
        <w:rPr>
          <w:vertAlign w:val="superscript"/>
        </w:rPr>
        <w:t>+</w:t>
      </w:r>
      <w:r w:rsidRPr="003B4362">
        <w:t xml:space="preserve"> B (00)</w:t>
      </w:r>
      <w:bookmarkEnd w:id="3693"/>
      <w:r w:rsidRPr="003B4362">
        <w:t xml:space="preserve">, </w:t>
      </w:r>
      <w:bookmarkStart w:id="3694" w:name="_Hlk13754425"/>
      <w:r w:rsidRPr="003B4362">
        <w:t>USEPA 150.1 (71), USEPA 150.2 (82)</w:t>
      </w:r>
      <w:bookmarkEnd w:id="3694"/>
      <w:r w:rsidRPr="003B4362">
        <w:t xml:space="preserve">, </w:t>
      </w:r>
      <w:bookmarkStart w:id="3695" w:name="_Hlk13754952"/>
      <w:r w:rsidRPr="003B4362">
        <w:t>or USEPA 150.3 (13)</w:t>
      </w:r>
      <w:bookmarkEnd w:id="3695"/>
      <w:r w:rsidRPr="003B4362">
        <w:t>.</w:t>
      </w:r>
    </w:p>
    <w:p w14:paraId="524ABF51" w14:textId="77777777" w:rsidR="00710318" w:rsidRDefault="00710318" w:rsidP="00710318">
      <w:pPr>
        <w:widowControl w:val="0"/>
        <w:suppressAutoHyphens/>
        <w:ind w:left="2160" w:hanging="720"/>
      </w:pPr>
    </w:p>
    <w:p w14:paraId="19B41D01" w14:textId="67235A44" w:rsidR="004F7532" w:rsidRPr="003B4362" w:rsidRDefault="004F7532" w:rsidP="00710318">
      <w:pPr>
        <w:widowControl w:val="0"/>
        <w:suppressAutoHyphens/>
        <w:ind w:left="2160" w:hanging="720"/>
      </w:pPr>
      <w:r w:rsidRPr="003B4362">
        <w:t>2</w:t>
      </w:r>
      <w:r w:rsidR="0033057D" w:rsidRPr="003B4362">
        <w:t>3</w:t>
      </w:r>
      <w:r w:rsidRPr="003B4362">
        <w:t>)</w:t>
      </w:r>
      <w:r w:rsidRPr="003B4362">
        <w:tab/>
        <w:t>Selenium</w:t>
      </w:r>
    </w:p>
    <w:p w14:paraId="7609FB42" w14:textId="77777777" w:rsidR="00710318" w:rsidRDefault="00710318" w:rsidP="00710318">
      <w:pPr>
        <w:widowControl w:val="0"/>
        <w:suppressAutoHyphens/>
        <w:ind w:left="2880" w:hanging="720"/>
      </w:pPr>
    </w:p>
    <w:p w14:paraId="2DC97BB8" w14:textId="189A6463" w:rsidR="004F7532" w:rsidRPr="003B4362" w:rsidRDefault="004F7532" w:rsidP="00710318">
      <w:pPr>
        <w:widowControl w:val="0"/>
        <w:suppressAutoHyphens/>
        <w:ind w:left="2880" w:hanging="720"/>
      </w:pPr>
      <w:r w:rsidRPr="003B4362">
        <w:t>A)</w:t>
      </w:r>
      <w:r w:rsidRPr="003B4362">
        <w:tab/>
        <w:t xml:space="preserve">Atomic Absorption, Hydride.  </w:t>
      </w:r>
      <w:bookmarkStart w:id="3696" w:name="_Hlk13756068"/>
      <w:r w:rsidRPr="003B4362">
        <w:t>ASTM D3859-98 A, ASTM D3859-03 A, ASTM D3859-08 A, ASTM D3859-15 A</w:t>
      </w:r>
      <w:bookmarkEnd w:id="3696"/>
      <w:r w:rsidRPr="003B4362">
        <w:t xml:space="preserve">, </w:t>
      </w:r>
      <w:bookmarkStart w:id="3697" w:name="_Hlk13756187"/>
      <w:r w:rsidRPr="003B4362">
        <w:t>SM 3114 B (89), SM 3114 (93), SM 3114 (97), or SM 3114 (09)</w:t>
      </w:r>
      <w:bookmarkEnd w:id="3697"/>
      <w:r w:rsidRPr="003B4362">
        <w:t>.</w:t>
      </w:r>
    </w:p>
    <w:p w14:paraId="29D77815" w14:textId="77777777" w:rsidR="00710318" w:rsidRDefault="00710318" w:rsidP="00710318">
      <w:pPr>
        <w:widowControl w:val="0"/>
        <w:suppressAutoHyphens/>
        <w:ind w:left="2880" w:hanging="720"/>
      </w:pPr>
    </w:p>
    <w:p w14:paraId="259C0736" w14:textId="77F9163F" w:rsidR="004F7532" w:rsidRPr="003B4362" w:rsidRDefault="004F7532" w:rsidP="00710318">
      <w:pPr>
        <w:widowControl w:val="0"/>
        <w:suppressAutoHyphens/>
        <w:ind w:left="2880" w:hanging="720"/>
      </w:pPr>
      <w:r w:rsidRPr="003B4362">
        <w:t>B)</w:t>
      </w:r>
      <w:r w:rsidRPr="003B4362">
        <w:tab/>
        <w:t xml:space="preserve">Inductively Coupled Plasma-Mass Spectrometry.  </w:t>
      </w:r>
      <w:bookmarkStart w:id="3698" w:name="_Hlk13756298"/>
      <w:r w:rsidRPr="003B4362">
        <w:t>USEPA 200.8</w:t>
      </w:r>
      <w:bookmarkStart w:id="3699" w:name="_Hlk13756498"/>
      <w:r w:rsidRPr="003B4362">
        <w:t xml:space="preserve"> (94)</w:t>
      </w:r>
      <w:bookmarkEnd w:id="3698"/>
      <w:bookmarkEnd w:id="3699"/>
      <w:r w:rsidRPr="003B4362">
        <w:t>.</w:t>
      </w:r>
    </w:p>
    <w:p w14:paraId="432C43AF" w14:textId="77777777" w:rsidR="00710318" w:rsidRDefault="00710318" w:rsidP="00710318">
      <w:pPr>
        <w:widowControl w:val="0"/>
        <w:suppressAutoHyphens/>
        <w:ind w:left="2880" w:hanging="720"/>
      </w:pPr>
    </w:p>
    <w:p w14:paraId="6DCD659A" w14:textId="4A268795" w:rsidR="004F7532" w:rsidRPr="003B4362" w:rsidRDefault="004F7532" w:rsidP="00710318">
      <w:pPr>
        <w:widowControl w:val="0"/>
        <w:suppressAutoHyphens/>
        <w:ind w:left="2880" w:hanging="720"/>
      </w:pPr>
      <w:r w:rsidRPr="003B4362">
        <w:t>C)</w:t>
      </w:r>
      <w:r w:rsidRPr="003B4362">
        <w:tab/>
        <w:t>Atomic Absorption, Platform Furnace Technique.  USEPA 200.9 (94).</w:t>
      </w:r>
    </w:p>
    <w:p w14:paraId="2BF985F5" w14:textId="77777777" w:rsidR="00710318" w:rsidRDefault="00710318" w:rsidP="00710318">
      <w:pPr>
        <w:widowControl w:val="0"/>
        <w:suppressAutoHyphens/>
        <w:ind w:left="2880" w:hanging="720"/>
      </w:pPr>
    </w:p>
    <w:p w14:paraId="7BBFAD9E" w14:textId="142D6146" w:rsidR="004F7532" w:rsidRPr="003B4362" w:rsidRDefault="004F7532" w:rsidP="00710318">
      <w:pPr>
        <w:widowControl w:val="0"/>
        <w:suppressAutoHyphens/>
        <w:ind w:left="2880" w:hanging="720"/>
      </w:pPr>
      <w:r w:rsidRPr="003B4362">
        <w:t>D)</w:t>
      </w:r>
      <w:r w:rsidRPr="003B4362">
        <w:tab/>
        <w:t xml:space="preserve">Atomic Absorption, Furnace Technique.  </w:t>
      </w:r>
      <w:bookmarkStart w:id="3700" w:name="_Hlk13756676"/>
      <w:r w:rsidRPr="003B4362">
        <w:t xml:space="preserve">ASTM D3859-98 B, </w:t>
      </w:r>
      <w:r w:rsidRPr="003B4362">
        <w:lastRenderedPageBreak/>
        <w:t>ASTM D3859-03 B, ASTM D3859-08 B, ASTM D3859-15 B</w:t>
      </w:r>
      <w:bookmarkEnd w:id="3700"/>
      <w:r w:rsidRPr="003B4362">
        <w:t xml:space="preserve">, </w:t>
      </w:r>
      <w:bookmarkStart w:id="3701" w:name="_Hlk13756823"/>
      <w:r w:rsidRPr="003B4362">
        <w:t xml:space="preserve">SM 3113 B (89), SM 3113 B (93), SM 3113 B (99), </w:t>
      </w:r>
      <w:bookmarkStart w:id="3702" w:name="_Hlk13757093"/>
      <w:r w:rsidRPr="003B4362">
        <w:t>SM 3113 B (04)</w:t>
      </w:r>
      <w:bookmarkEnd w:id="3702"/>
      <w:r w:rsidRPr="003B4362">
        <w:t>, or SM 3113 B (10)</w:t>
      </w:r>
      <w:bookmarkEnd w:id="3701"/>
      <w:r w:rsidRPr="003B4362">
        <w:t>.</w:t>
      </w:r>
    </w:p>
    <w:p w14:paraId="5132E6EF" w14:textId="77777777" w:rsidR="00710318" w:rsidRDefault="00710318" w:rsidP="00710318">
      <w:pPr>
        <w:widowControl w:val="0"/>
        <w:suppressAutoHyphens/>
        <w:ind w:left="2880" w:hanging="720"/>
      </w:pPr>
    </w:p>
    <w:p w14:paraId="03747D2A" w14:textId="1E94E571" w:rsidR="004F7532" w:rsidRPr="003B4362" w:rsidRDefault="004F7532" w:rsidP="00710318">
      <w:pPr>
        <w:widowControl w:val="0"/>
        <w:suppressAutoHyphens/>
        <w:ind w:left="2880" w:hanging="720"/>
      </w:pPr>
      <w:r w:rsidRPr="003B4362">
        <w:t>E)</w:t>
      </w:r>
      <w:r w:rsidRPr="003B4362">
        <w:tab/>
        <w:t xml:space="preserve">Axially Viewed Inductively Coupled Plasma-Atomic Emission Spectrometry (AVICP-AES).  </w:t>
      </w:r>
      <w:bookmarkStart w:id="3703" w:name="_Hlk13758003"/>
      <w:r w:rsidRPr="003B4362">
        <w:t>USEPA 200.5 (03)</w:t>
      </w:r>
      <w:bookmarkEnd w:id="3703"/>
      <w:r w:rsidRPr="003B4362">
        <w:t>.</w:t>
      </w:r>
    </w:p>
    <w:p w14:paraId="22DD6E8E" w14:textId="77777777" w:rsidR="00710318" w:rsidRDefault="00710318" w:rsidP="00710318">
      <w:pPr>
        <w:widowControl w:val="0"/>
        <w:suppressAutoHyphens/>
        <w:ind w:left="2160" w:hanging="720"/>
      </w:pPr>
    </w:p>
    <w:p w14:paraId="26F263FD" w14:textId="28D23239" w:rsidR="004F7532" w:rsidRPr="003B4362" w:rsidRDefault="004F7532" w:rsidP="00710318">
      <w:pPr>
        <w:widowControl w:val="0"/>
        <w:suppressAutoHyphens/>
        <w:ind w:left="2160" w:hanging="720"/>
      </w:pPr>
      <w:r w:rsidRPr="003B4362">
        <w:t>2</w:t>
      </w:r>
      <w:r w:rsidR="0033057D" w:rsidRPr="003B4362">
        <w:t>4</w:t>
      </w:r>
      <w:r w:rsidRPr="003B4362">
        <w:t>)</w:t>
      </w:r>
      <w:r w:rsidRPr="003B4362">
        <w:tab/>
        <w:t>Silica</w:t>
      </w:r>
    </w:p>
    <w:p w14:paraId="6F08357B" w14:textId="77777777" w:rsidR="00710318" w:rsidRDefault="00710318" w:rsidP="00710318">
      <w:pPr>
        <w:widowControl w:val="0"/>
        <w:suppressAutoHyphens/>
        <w:ind w:left="2880" w:hanging="720"/>
      </w:pPr>
    </w:p>
    <w:p w14:paraId="3BF2AF70" w14:textId="23E6F9C1" w:rsidR="004F7532" w:rsidRPr="003B4362" w:rsidRDefault="004F7532" w:rsidP="00710318">
      <w:pPr>
        <w:widowControl w:val="0"/>
        <w:suppressAutoHyphens/>
        <w:ind w:left="2880" w:hanging="720"/>
      </w:pPr>
      <w:r w:rsidRPr="003B4362">
        <w:t>A)</w:t>
      </w:r>
      <w:r w:rsidRPr="003B4362">
        <w:tab/>
        <w:t xml:space="preserve">Colorimetric, Molybdate Blue.  </w:t>
      </w:r>
      <w:bookmarkStart w:id="3704" w:name="_Hlk13758382"/>
      <w:r w:rsidRPr="003B4362">
        <w:t>USGS I-1700-85</w:t>
      </w:r>
      <w:bookmarkEnd w:id="3704"/>
      <w:r w:rsidRPr="003B4362">
        <w:t>.</w:t>
      </w:r>
    </w:p>
    <w:p w14:paraId="64C8C882" w14:textId="77777777" w:rsidR="00710318" w:rsidRDefault="00710318" w:rsidP="00710318">
      <w:pPr>
        <w:widowControl w:val="0"/>
        <w:suppressAutoHyphens/>
        <w:ind w:left="2880" w:hanging="720"/>
      </w:pPr>
    </w:p>
    <w:p w14:paraId="68411CF3" w14:textId="28F89DC1" w:rsidR="004F7532" w:rsidRPr="003B4362" w:rsidRDefault="004F7532" w:rsidP="00710318">
      <w:pPr>
        <w:widowControl w:val="0"/>
        <w:suppressAutoHyphens/>
        <w:ind w:left="2880" w:hanging="720"/>
      </w:pPr>
      <w:r w:rsidRPr="003B4362">
        <w:t>B)</w:t>
      </w:r>
      <w:r w:rsidRPr="003B4362">
        <w:tab/>
        <w:t xml:space="preserve">Colorimetric, Molybdate Blue, Automated-Segmented Flow.  </w:t>
      </w:r>
      <w:bookmarkStart w:id="3705" w:name="_Hlk13758580"/>
      <w:r w:rsidRPr="003B4362">
        <w:t>USGS I-2700-85</w:t>
      </w:r>
      <w:bookmarkEnd w:id="3705"/>
      <w:r w:rsidRPr="003B4362">
        <w:t>.</w:t>
      </w:r>
    </w:p>
    <w:p w14:paraId="58AD9BDB" w14:textId="77777777" w:rsidR="00710318" w:rsidRDefault="00710318" w:rsidP="00710318">
      <w:pPr>
        <w:widowControl w:val="0"/>
        <w:suppressAutoHyphens/>
        <w:ind w:left="2880" w:hanging="720"/>
      </w:pPr>
    </w:p>
    <w:p w14:paraId="25007823" w14:textId="05C10370" w:rsidR="004F7532" w:rsidRPr="003B4362" w:rsidRDefault="004F7532" w:rsidP="00710318">
      <w:pPr>
        <w:widowControl w:val="0"/>
        <w:suppressAutoHyphens/>
        <w:ind w:left="2880" w:hanging="720"/>
      </w:pPr>
      <w:r w:rsidRPr="003B4362">
        <w:t>C)</w:t>
      </w:r>
      <w:r w:rsidRPr="003B4362">
        <w:tab/>
        <w:t xml:space="preserve">Colorimetric.  </w:t>
      </w:r>
      <w:bookmarkStart w:id="3706" w:name="_Hlk13758637"/>
      <w:r w:rsidRPr="003B4362">
        <w:t>ASTM D859-94, ASTM D859-00, ASTM D859-05, ASTM D859-10</w:t>
      </w:r>
      <w:bookmarkEnd w:id="3706"/>
      <w:r w:rsidRPr="003B4362">
        <w:t>, or ASTM D859-16.</w:t>
      </w:r>
    </w:p>
    <w:p w14:paraId="3201162B" w14:textId="77777777" w:rsidR="00710318" w:rsidRDefault="00710318" w:rsidP="00710318">
      <w:pPr>
        <w:widowControl w:val="0"/>
        <w:suppressAutoHyphens/>
        <w:ind w:left="2880" w:hanging="720"/>
      </w:pPr>
    </w:p>
    <w:p w14:paraId="1E0D92BC" w14:textId="1740F4EE" w:rsidR="004F7532" w:rsidRPr="003B4362" w:rsidRDefault="004F7532" w:rsidP="00710318">
      <w:pPr>
        <w:widowControl w:val="0"/>
        <w:suppressAutoHyphens/>
        <w:ind w:left="2880" w:hanging="720"/>
      </w:pPr>
      <w:r w:rsidRPr="003B4362">
        <w:t>D)</w:t>
      </w:r>
      <w:r w:rsidRPr="003B4362">
        <w:tab/>
        <w:t xml:space="preserve">Molybdosilicate.  </w:t>
      </w:r>
      <w:bookmarkStart w:id="3707" w:name="_Hlk13759191"/>
      <w:r w:rsidRPr="003B4362">
        <w:t>SM 4500-Si D (88), SM 4500-Si D (93), or SM 4500-SiO</w:t>
      </w:r>
      <w:r w:rsidRPr="003B4362">
        <w:rPr>
          <w:vertAlign w:val="subscript"/>
        </w:rPr>
        <w:t>2</w:t>
      </w:r>
      <w:r w:rsidRPr="003B4362">
        <w:t xml:space="preserve"> C (97)</w:t>
      </w:r>
      <w:bookmarkEnd w:id="3707"/>
      <w:r w:rsidRPr="003B4362">
        <w:t>.</w:t>
      </w:r>
    </w:p>
    <w:p w14:paraId="4760F0CA" w14:textId="77777777" w:rsidR="00710318" w:rsidRDefault="00710318" w:rsidP="00710318">
      <w:pPr>
        <w:widowControl w:val="0"/>
        <w:suppressAutoHyphens/>
        <w:ind w:left="2880" w:hanging="720"/>
      </w:pPr>
    </w:p>
    <w:p w14:paraId="09C2FCBC" w14:textId="6EBC42F0" w:rsidR="004F7532" w:rsidRPr="003B4362" w:rsidRDefault="004F7532" w:rsidP="00710318">
      <w:pPr>
        <w:widowControl w:val="0"/>
        <w:suppressAutoHyphens/>
        <w:ind w:left="2880" w:hanging="720"/>
      </w:pPr>
      <w:r w:rsidRPr="003B4362">
        <w:t>E)</w:t>
      </w:r>
      <w:r w:rsidRPr="003B4362">
        <w:tab/>
        <w:t xml:space="preserve">Heteropoly Blue.  </w:t>
      </w:r>
      <w:bookmarkStart w:id="3708" w:name="_Hlk13759377"/>
      <w:r w:rsidRPr="003B4362">
        <w:t>SM 4500-Si E (88), SM 4500-Si E (93), or SM 4500-SiO</w:t>
      </w:r>
      <w:r w:rsidRPr="003B4362">
        <w:rPr>
          <w:vertAlign w:val="subscript"/>
        </w:rPr>
        <w:t>2</w:t>
      </w:r>
      <w:r w:rsidRPr="003B4362">
        <w:t xml:space="preserve"> D (97)</w:t>
      </w:r>
      <w:bookmarkEnd w:id="3708"/>
      <w:r w:rsidRPr="003B4362">
        <w:t>.</w:t>
      </w:r>
    </w:p>
    <w:p w14:paraId="0E947923" w14:textId="77777777" w:rsidR="00710318" w:rsidRDefault="00710318" w:rsidP="00710318">
      <w:pPr>
        <w:widowControl w:val="0"/>
        <w:suppressAutoHyphens/>
        <w:ind w:left="2880" w:hanging="720"/>
      </w:pPr>
    </w:p>
    <w:p w14:paraId="186661E3" w14:textId="6D025C1B" w:rsidR="004F7532" w:rsidRPr="003B4362" w:rsidRDefault="004F7532" w:rsidP="00710318">
      <w:pPr>
        <w:widowControl w:val="0"/>
        <w:suppressAutoHyphens/>
        <w:ind w:left="2880" w:hanging="720"/>
      </w:pPr>
      <w:r w:rsidRPr="003B4362">
        <w:t>F)</w:t>
      </w:r>
      <w:r w:rsidRPr="003B4362">
        <w:tab/>
        <w:t xml:space="preserve">Automated Method for Molybdate-Reactive Silica.  </w:t>
      </w:r>
      <w:bookmarkStart w:id="3709" w:name="_Hlk13759538"/>
      <w:r w:rsidRPr="003B4362">
        <w:t>SM 4500-Si F (88), SM 4500-Si F (93), or SM 4500-SiO</w:t>
      </w:r>
      <w:r w:rsidRPr="003B4362">
        <w:rPr>
          <w:vertAlign w:val="subscript"/>
        </w:rPr>
        <w:t>2</w:t>
      </w:r>
      <w:r w:rsidRPr="003B4362">
        <w:t xml:space="preserve"> E (97)</w:t>
      </w:r>
      <w:bookmarkEnd w:id="3709"/>
      <w:r w:rsidRPr="003B4362">
        <w:t>.</w:t>
      </w:r>
    </w:p>
    <w:p w14:paraId="7463F254" w14:textId="77777777" w:rsidR="00710318" w:rsidRDefault="00710318" w:rsidP="00710318">
      <w:pPr>
        <w:widowControl w:val="0"/>
        <w:suppressAutoHyphens/>
        <w:ind w:left="2880" w:hanging="720"/>
      </w:pPr>
    </w:p>
    <w:p w14:paraId="2AC5EDAD" w14:textId="70F7FAF8" w:rsidR="004F7532" w:rsidRPr="003B4362" w:rsidRDefault="004F7532" w:rsidP="00710318">
      <w:pPr>
        <w:widowControl w:val="0"/>
        <w:suppressAutoHyphens/>
        <w:ind w:left="2880" w:hanging="720"/>
      </w:pPr>
      <w:r w:rsidRPr="003B4362">
        <w:t>G)</w:t>
      </w:r>
      <w:r w:rsidRPr="003B4362">
        <w:tab/>
        <w:t xml:space="preserve">Inductively Coupled Plasma.  </w:t>
      </w:r>
      <w:bookmarkStart w:id="3710" w:name="_Hlk13760524"/>
      <w:r w:rsidRPr="003B4362">
        <w:t>SM 3120 B (89), SM 3120 B (93), SM 3120 B (99)</w:t>
      </w:r>
      <w:bookmarkEnd w:id="3710"/>
      <w:r w:rsidRPr="003B4362">
        <w:t xml:space="preserve">, </w:t>
      </w:r>
      <w:bookmarkStart w:id="3711" w:name="_Hlk13760390"/>
      <w:r w:rsidRPr="003B4362">
        <w:t>or USEPA 200.7 (94)</w:t>
      </w:r>
      <w:bookmarkEnd w:id="3711"/>
      <w:r w:rsidRPr="003B4362">
        <w:t>.</w:t>
      </w:r>
    </w:p>
    <w:p w14:paraId="77BE7CE7" w14:textId="77777777" w:rsidR="00710318" w:rsidRDefault="00710318" w:rsidP="00710318">
      <w:pPr>
        <w:widowControl w:val="0"/>
        <w:suppressAutoHyphens/>
        <w:ind w:left="2880" w:hanging="720"/>
      </w:pPr>
    </w:p>
    <w:p w14:paraId="063BBFC5" w14:textId="395472A2" w:rsidR="004F7532" w:rsidRPr="003B4362" w:rsidRDefault="004F7532" w:rsidP="00710318">
      <w:pPr>
        <w:widowControl w:val="0"/>
        <w:suppressAutoHyphens/>
        <w:ind w:left="2880" w:hanging="720"/>
      </w:pPr>
      <w:r w:rsidRPr="003B4362">
        <w:t>H)</w:t>
      </w:r>
      <w:r w:rsidRPr="003B4362">
        <w:tab/>
        <w:t>Axially Viewed Inductively Coupled Plasma-Atomic Emission Spectrometry (AVICP-AES).  USEPA 200.5 (03).</w:t>
      </w:r>
    </w:p>
    <w:p w14:paraId="3347031E" w14:textId="77777777" w:rsidR="00710318" w:rsidRDefault="00710318" w:rsidP="00710318">
      <w:pPr>
        <w:widowControl w:val="0"/>
        <w:suppressAutoHyphens/>
        <w:ind w:left="2160" w:hanging="720"/>
      </w:pPr>
    </w:p>
    <w:p w14:paraId="3D38ABB4" w14:textId="61CA91C4" w:rsidR="004F7532" w:rsidRPr="003B4362" w:rsidRDefault="004F7532" w:rsidP="00710318">
      <w:pPr>
        <w:widowControl w:val="0"/>
        <w:suppressAutoHyphens/>
        <w:ind w:left="2160" w:hanging="720"/>
      </w:pPr>
      <w:r w:rsidRPr="003B4362">
        <w:t>2</w:t>
      </w:r>
      <w:r w:rsidR="0033057D" w:rsidRPr="003B4362">
        <w:t>5</w:t>
      </w:r>
      <w:r w:rsidRPr="003B4362">
        <w:t>)</w:t>
      </w:r>
      <w:r w:rsidRPr="003B4362">
        <w:tab/>
        <w:t>Sodium</w:t>
      </w:r>
    </w:p>
    <w:p w14:paraId="6C42C816" w14:textId="77777777" w:rsidR="00710318" w:rsidRDefault="00710318" w:rsidP="00710318">
      <w:pPr>
        <w:widowControl w:val="0"/>
        <w:suppressAutoHyphens/>
        <w:ind w:left="2880" w:hanging="720"/>
      </w:pPr>
    </w:p>
    <w:p w14:paraId="421FE8A4" w14:textId="464F537D" w:rsidR="004F7532" w:rsidRPr="003B4362" w:rsidRDefault="004F7532" w:rsidP="00710318">
      <w:pPr>
        <w:widowControl w:val="0"/>
        <w:suppressAutoHyphens/>
        <w:ind w:left="2880" w:hanging="720"/>
      </w:pPr>
      <w:r w:rsidRPr="003B4362">
        <w:t>A)</w:t>
      </w:r>
      <w:r w:rsidRPr="003B4362">
        <w:tab/>
        <w:t xml:space="preserve">Inductively Coupled Plasma.  </w:t>
      </w:r>
      <w:bookmarkStart w:id="3712" w:name="_Hlk13761166"/>
      <w:r w:rsidRPr="003B4362">
        <w:t>USEPA 200.7 (94)</w:t>
      </w:r>
      <w:bookmarkEnd w:id="3712"/>
      <w:r w:rsidRPr="003B4362">
        <w:t>.</w:t>
      </w:r>
    </w:p>
    <w:p w14:paraId="5E6AF5D9" w14:textId="77777777" w:rsidR="00710318" w:rsidRDefault="00710318" w:rsidP="00710318">
      <w:pPr>
        <w:widowControl w:val="0"/>
        <w:suppressAutoHyphens/>
        <w:ind w:left="2880" w:hanging="720"/>
      </w:pPr>
    </w:p>
    <w:p w14:paraId="5D2CA3A8" w14:textId="5902E07D" w:rsidR="004F7532" w:rsidRPr="003B4362" w:rsidRDefault="004F7532" w:rsidP="00710318">
      <w:pPr>
        <w:widowControl w:val="0"/>
        <w:suppressAutoHyphens/>
        <w:ind w:left="2880" w:hanging="720"/>
      </w:pPr>
      <w:r w:rsidRPr="003B4362">
        <w:t>B)</w:t>
      </w:r>
      <w:r w:rsidRPr="003B4362">
        <w:tab/>
        <w:t xml:space="preserve">Atomic Absorption, Direct Aspiration.  </w:t>
      </w:r>
      <w:bookmarkStart w:id="3713" w:name="_Hlk13761229"/>
      <w:r w:rsidRPr="003B4362">
        <w:t>SM 3111 B (89), SM 3111 B (93), or SM 3111 B (99)</w:t>
      </w:r>
      <w:bookmarkEnd w:id="3713"/>
      <w:r w:rsidRPr="003B4362">
        <w:t>.</w:t>
      </w:r>
    </w:p>
    <w:p w14:paraId="1BD2AB40" w14:textId="77777777" w:rsidR="00710318" w:rsidRDefault="00710318" w:rsidP="00710318">
      <w:pPr>
        <w:widowControl w:val="0"/>
        <w:suppressAutoHyphens/>
        <w:ind w:left="2880" w:hanging="720"/>
      </w:pPr>
    </w:p>
    <w:p w14:paraId="148F5A32" w14:textId="486668E3" w:rsidR="004F7532" w:rsidRPr="003B4362" w:rsidRDefault="004F7532" w:rsidP="00710318">
      <w:pPr>
        <w:widowControl w:val="0"/>
        <w:suppressAutoHyphens/>
        <w:ind w:left="2880" w:hanging="720"/>
      </w:pPr>
      <w:r w:rsidRPr="003B4362">
        <w:t>C)</w:t>
      </w:r>
      <w:r w:rsidRPr="003B4362">
        <w:tab/>
        <w:t xml:space="preserve">Ion Chromatography.  </w:t>
      </w:r>
      <w:bookmarkStart w:id="3714" w:name="_Hlk13761380"/>
      <w:r w:rsidRPr="003B4362">
        <w:t>ASTM D6919-03</w:t>
      </w:r>
      <w:r w:rsidR="00B42B8C" w:rsidRPr="003B4362">
        <w:t>,</w:t>
      </w:r>
      <w:r w:rsidRPr="003B4362">
        <w:t xml:space="preserve"> ASTM D6919-09</w:t>
      </w:r>
      <w:bookmarkEnd w:id="3714"/>
      <w:r w:rsidR="00B42B8C" w:rsidRPr="003B4362">
        <w:t>, or ASTM D6919-17</w:t>
      </w:r>
      <w:r w:rsidRPr="003B4362">
        <w:t>.</w:t>
      </w:r>
    </w:p>
    <w:p w14:paraId="3B5A02E7" w14:textId="77777777" w:rsidR="00710318" w:rsidRDefault="00710318" w:rsidP="00710318">
      <w:pPr>
        <w:widowControl w:val="0"/>
        <w:suppressAutoHyphens/>
        <w:ind w:left="2880" w:hanging="720"/>
      </w:pPr>
    </w:p>
    <w:p w14:paraId="5A83F4CC" w14:textId="7C008778" w:rsidR="004F7532" w:rsidRPr="003B4362" w:rsidRDefault="004F7532" w:rsidP="00710318">
      <w:pPr>
        <w:widowControl w:val="0"/>
        <w:suppressAutoHyphens/>
        <w:ind w:left="2880" w:hanging="720"/>
      </w:pPr>
      <w:r w:rsidRPr="003B4362">
        <w:t>D)</w:t>
      </w:r>
      <w:r w:rsidRPr="003B4362">
        <w:tab/>
        <w:t xml:space="preserve">Axially Viewed Inductively Coupled Plasma-Atomic Emission Spectrometry (AVICP-AES).  </w:t>
      </w:r>
      <w:bookmarkStart w:id="3715" w:name="_Hlk13761452"/>
      <w:r w:rsidRPr="003B4362">
        <w:t>USEPA 200.5 (03)</w:t>
      </w:r>
      <w:bookmarkEnd w:id="3715"/>
      <w:r w:rsidRPr="003B4362">
        <w:t>.</w:t>
      </w:r>
    </w:p>
    <w:p w14:paraId="0E71DC9B" w14:textId="77777777" w:rsidR="00710318" w:rsidRDefault="00710318" w:rsidP="00710318">
      <w:pPr>
        <w:widowControl w:val="0"/>
        <w:suppressAutoHyphens/>
        <w:ind w:left="2160" w:hanging="720"/>
      </w:pPr>
    </w:p>
    <w:p w14:paraId="09744E20" w14:textId="072E1896" w:rsidR="00B751FF" w:rsidRPr="003B4362" w:rsidRDefault="004F7532" w:rsidP="00710318">
      <w:pPr>
        <w:widowControl w:val="0"/>
        <w:suppressAutoHyphens/>
        <w:ind w:left="2160" w:hanging="720"/>
      </w:pPr>
      <w:r w:rsidRPr="003B4362">
        <w:lastRenderedPageBreak/>
        <w:t>2</w:t>
      </w:r>
      <w:r w:rsidR="0033057D" w:rsidRPr="003B4362">
        <w:t>6</w:t>
      </w:r>
      <w:r w:rsidRPr="003B4362">
        <w:t>)</w:t>
      </w:r>
      <w:r w:rsidRPr="003B4362">
        <w:tab/>
      </w:r>
      <w:r w:rsidR="00B751FF" w:rsidRPr="003B4362">
        <w:t>Sulfate.  Ion Chromatography.  ASTM D4327-17.</w:t>
      </w:r>
    </w:p>
    <w:p w14:paraId="57B08042" w14:textId="77777777" w:rsidR="00710318" w:rsidRDefault="00710318" w:rsidP="00710318">
      <w:pPr>
        <w:widowControl w:val="0"/>
        <w:suppressAutoHyphens/>
        <w:ind w:left="2160" w:hanging="720"/>
      </w:pPr>
    </w:p>
    <w:p w14:paraId="13531EA3" w14:textId="4128DCEE" w:rsidR="004F7532" w:rsidRPr="003B4362" w:rsidRDefault="00B751FF" w:rsidP="00710318">
      <w:pPr>
        <w:widowControl w:val="0"/>
        <w:suppressAutoHyphens/>
        <w:ind w:left="2160" w:hanging="720"/>
      </w:pPr>
      <w:r w:rsidRPr="003B4362">
        <w:t>27)</w:t>
      </w:r>
      <w:r w:rsidRPr="003B4362">
        <w:tab/>
      </w:r>
      <w:r w:rsidR="004F7532" w:rsidRPr="003B4362">
        <w:t xml:space="preserve">Temperature; Thermometric.  </w:t>
      </w:r>
      <w:bookmarkStart w:id="3716" w:name="_Hlk13761687"/>
      <w:r w:rsidR="004F7532" w:rsidRPr="003B4362">
        <w:t>SM 2550 (88), SM 2550 (93), SM 2550 (00), or SM 2550 (10)</w:t>
      </w:r>
      <w:bookmarkEnd w:id="3716"/>
      <w:r w:rsidR="004F7532" w:rsidRPr="003B4362">
        <w:t>.</w:t>
      </w:r>
    </w:p>
    <w:p w14:paraId="7D4EAD0A" w14:textId="77777777" w:rsidR="00710318" w:rsidRDefault="00710318" w:rsidP="00710318">
      <w:pPr>
        <w:widowControl w:val="0"/>
        <w:suppressAutoHyphens/>
        <w:ind w:left="2160" w:hanging="720"/>
      </w:pPr>
    </w:p>
    <w:p w14:paraId="76CB1599" w14:textId="2935501A" w:rsidR="004F7532" w:rsidRPr="003B4362" w:rsidRDefault="004F7532" w:rsidP="00710318">
      <w:pPr>
        <w:widowControl w:val="0"/>
        <w:suppressAutoHyphens/>
        <w:ind w:left="2160" w:hanging="720"/>
      </w:pPr>
      <w:r w:rsidRPr="003B4362">
        <w:t>2</w:t>
      </w:r>
      <w:r w:rsidR="00AD2B48" w:rsidRPr="003B4362">
        <w:t>8</w:t>
      </w:r>
      <w:r w:rsidRPr="003B4362">
        <w:t>)</w:t>
      </w:r>
      <w:r w:rsidRPr="003B4362">
        <w:tab/>
        <w:t>Thallium</w:t>
      </w:r>
    </w:p>
    <w:p w14:paraId="20231FC1" w14:textId="77777777" w:rsidR="00710318" w:rsidRDefault="00710318" w:rsidP="00710318">
      <w:pPr>
        <w:widowControl w:val="0"/>
        <w:suppressAutoHyphens/>
        <w:ind w:left="2880" w:hanging="720"/>
      </w:pPr>
    </w:p>
    <w:p w14:paraId="68088C3C" w14:textId="12494685" w:rsidR="004F7532" w:rsidRPr="003B4362" w:rsidRDefault="004F7532" w:rsidP="00710318">
      <w:pPr>
        <w:widowControl w:val="0"/>
        <w:suppressAutoHyphens/>
        <w:ind w:left="2880" w:hanging="720"/>
      </w:pPr>
      <w:r w:rsidRPr="003B4362">
        <w:t>A)</w:t>
      </w:r>
      <w:r w:rsidRPr="003B4362">
        <w:tab/>
        <w:t xml:space="preserve">Inductively Coupled Plasma-Mass Spectrometry.  </w:t>
      </w:r>
      <w:bookmarkStart w:id="3717" w:name="_Hlk13761954"/>
      <w:r w:rsidRPr="003B4362">
        <w:t>USEPA 200.8 (94)</w:t>
      </w:r>
      <w:bookmarkEnd w:id="3717"/>
      <w:r w:rsidRPr="003B4362">
        <w:t>.</w:t>
      </w:r>
    </w:p>
    <w:p w14:paraId="740FECF8" w14:textId="77777777" w:rsidR="00710318" w:rsidRDefault="00710318" w:rsidP="00710318">
      <w:pPr>
        <w:widowControl w:val="0"/>
        <w:suppressAutoHyphens/>
        <w:ind w:left="2880" w:hanging="720"/>
      </w:pPr>
    </w:p>
    <w:p w14:paraId="2AF8CB2A" w14:textId="7E85F4DE" w:rsidR="004F7532" w:rsidRPr="003B4362" w:rsidRDefault="004F7532" w:rsidP="00710318">
      <w:pPr>
        <w:widowControl w:val="0"/>
        <w:suppressAutoHyphens/>
        <w:ind w:left="2880" w:hanging="720"/>
      </w:pPr>
      <w:r w:rsidRPr="003B4362">
        <w:t>B)</w:t>
      </w:r>
      <w:r w:rsidRPr="003B4362">
        <w:tab/>
        <w:t xml:space="preserve">Atomic Absorption, Platform Furnace Technique.  </w:t>
      </w:r>
      <w:bookmarkStart w:id="3718" w:name="_Hlk13762064"/>
      <w:r w:rsidRPr="003B4362">
        <w:t>USEPA 200.9 (94)</w:t>
      </w:r>
      <w:bookmarkEnd w:id="3718"/>
      <w:r w:rsidRPr="003B4362">
        <w:t>.</w:t>
      </w:r>
    </w:p>
    <w:p w14:paraId="6307D1D7" w14:textId="77777777" w:rsidR="00710318" w:rsidRDefault="00710318" w:rsidP="00710318">
      <w:pPr>
        <w:widowControl w:val="0"/>
        <w:suppressAutoHyphens/>
        <w:ind w:left="1440" w:hanging="720"/>
      </w:pPr>
    </w:p>
    <w:p w14:paraId="2596DD48" w14:textId="2202DDE8" w:rsidR="004F7532" w:rsidRPr="003B4362" w:rsidRDefault="004F7532" w:rsidP="00710318">
      <w:pPr>
        <w:widowControl w:val="0"/>
        <w:suppressAutoHyphens/>
        <w:ind w:left="1440" w:hanging="720"/>
      </w:pPr>
      <w:r w:rsidRPr="003B4362">
        <w:t>b)</w:t>
      </w:r>
      <w:r w:rsidRPr="003B4362">
        <w:tab/>
      </w:r>
      <w:r w:rsidR="008908EB" w:rsidRPr="003B4362">
        <w:t>T</w:t>
      </w:r>
      <w:bookmarkStart w:id="3719" w:name="_Hlk132801151"/>
      <w:r w:rsidR="008908EB" w:rsidRPr="003B4362">
        <w:t xml:space="preserve">he supplier must use specific sample preservation, container, and maximum holding time procedures when collecting samples </w:t>
      </w:r>
      <w:r w:rsidRPr="003B4362">
        <w:t>for antimony, arsenic, asbestos, barium, beryllium, cadmium, chromium, cyanide, fluoride, mercury, nickel, nitrate, nitrite, selenium, and thallium under Sections 611.600 through 611.604</w:t>
      </w:r>
      <w:bookmarkEnd w:id="3719"/>
      <w:r w:rsidRPr="003B4362">
        <w:t>:</w:t>
      </w:r>
    </w:p>
    <w:p w14:paraId="27B3D086" w14:textId="483ED0D7" w:rsidR="004F7532" w:rsidRPr="003B4362" w:rsidRDefault="004F7532" w:rsidP="00710318">
      <w:pPr>
        <w:widowControl w:val="0"/>
        <w:suppressAutoHyphens/>
        <w:ind w:left="1440"/>
      </w:pPr>
      <w:r w:rsidRPr="003B4362">
        <w:t>BOARD NOTE:  For cyanide determinations</w:t>
      </w:r>
      <w:r w:rsidR="008908EB" w:rsidRPr="003B4362">
        <w:t>,</w:t>
      </w:r>
      <w:r w:rsidRPr="003B4362">
        <w:t xml:space="preserve"> </w:t>
      </w:r>
      <w:bookmarkStart w:id="3720" w:name="_Hlk132801411"/>
      <w:r w:rsidR="008908EB" w:rsidRPr="003B4362">
        <w:t xml:space="preserve">the supplier must adjust </w:t>
      </w:r>
      <w:r w:rsidRPr="003B4362">
        <w:t xml:space="preserve">samples </w:t>
      </w:r>
      <w:r w:rsidR="008908EB" w:rsidRPr="003B4362">
        <w:t xml:space="preserve">to pH 12 </w:t>
      </w:r>
      <w:bookmarkEnd w:id="3720"/>
      <w:r w:rsidRPr="003B4362">
        <w:t>with sodium hydroxide to pH 12</w:t>
      </w:r>
      <w:r w:rsidR="008908EB" w:rsidRPr="003B4362">
        <w:t xml:space="preserve"> </w:t>
      </w:r>
      <w:bookmarkStart w:id="3721" w:name="_Hlk132801532"/>
      <w:r w:rsidR="008908EB" w:rsidRPr="003B4362">
        <w:t>when collecting them</w:t>
      </w:r>
      <w:bookmarkEnd w:id="3721"/>
      <w:r w:rsidRPr="003B4362">
        <w:t>.  W</w:t>
      </w:r>
      <w:bookmarkStart w:id="3722" w:name="_Hlk132801612"/>
      <w:r w:rsidRPr="003B4362">
        <w:t xml:space="preserve">hen </w:t>
      </w:r>
      <w:r w:rsidR="008908EB" w:rsidRPr="003B4362">
        <w:t xml:space="preserve">a sample needs </w:t>
      </w:r>
      <w:r w:rsidRPr="003B4362">
        <w:t>chilling</w:t>
      </w:r>
      <w:r w:rsidR="008908EB" w:rsidRPr="003B4362">
        <w:t>, the supplier must ship and store</w:t>
      </w:r>
      <w:r w:rsidRPr="003B4362">
        <w:t xml:space="preserve"> the sample </w:t>
      </w:r>
      <w:bookmarkEnd w:id="3722"/>
      <w:r w:rsidRPr="003B4362">
        <w:t>at 4</w:t>
      </w:r>
      <w:r w:rsidRPr="003B4362">
        <w:sym w:font="Symbol" w:char="F0B0"/>
      </w:r>
      <w:r w:rsidRPr="003B4362">
        <w:t xml:space="preserve"> C or less.  </w:t>
      </w:r>
      <w:r w:rsidR="008908EB" w:rsidRPr="003B4362">
        <w:t>T</w:t>
      </w:r>
      <w:bookmarkStart w:id="3723" w:name="_Hlk132801712"/>
      <w:r w:rsidR="008908EB" w:rsidRPr="003B4362">
        <w:t xml:space="preserve">he supplier may acidify </w:t>
      </w:r>
      <w:r w:rsidRPr="003B4362">
        <w:t xml:space="preserve">nitrate or metals samples </w:t>
      </w:r>
      <w:r w:rsidR="008908EB" w:rsidRPr="003B4362">
        <w:t xml:space="preserve">using </w:t>
      </w:r>
      <w:bookmarkEnd w:id="3723"/>
      <w:r w:rsidRPr="003B4362">
        <w:t xml:space="preserve">a concentrated acid or a dilute (50% by volume) </w:t>
      </w:r>
      <w:bookmarkStart w:id="3724" w:name="_Hlk132801800"/>
      <w:r w:rsidRPr="003B4362">
        <w:t>solution of the concentrated acid</w:t>
      </w:r>
      <w:bookmarkEnd w:id="3724"/>
      <w:r w:rsidRPr="003B4362">
        <w:t xml:space="preserve">.  </w:t>
      </w:r>
      <w:bookmarkStart w:id="3725" w:name="_Hlk132801880"/>
      <w:r w:rsidR="00135F0D" w:rsidRPr="003B4362">
        <w:t xml:space="preserve">USEPA encourages acidifying </w:t>
      </w:r>
      <w:r w:rsidRPr="003B4362">
        <w:t xml:space="preserve">samples for metals analysis and </w:t>
      </w:r>
      <w:r w:rsidR="00135F0D" w:rsidRPr="003B4362">
        <w:t xml:space="preserve">that </w:t>
      </w:r>
      <w:r w:rsidRPr="003B4362">
        <w:t xml:space="preserve">the laboratory </w:t>
      </w:r>
      <w:r w:rsidR="00135F0D" w:rsidRPr="003B4362">
        <w:t>acidify</w:t>
      </w:r>
      <w:bookmarkEnd w:id="3725"/>
      <w:r w:rsidR="00135F0D" w:rsidRPr="003B4362">
        <w:t xml:space="preserve">, </w:t>
      </w:r>
      <w:r w:rsidRPr="003B4362">
        <w:t>rather than at the time of sampling</w:t>
      </w:r>
      <w:r w:rsidR="00135F0D" w:rsidRPr="003B4362">
        <w:t>,</w:t>
      </w:r>
      <w:r w:rsidRPr="003B4362">
        <w:t xml:space="preserve"> provided </w:t>
      </w:r>
      <w:bookmarkStart w:id="3726" w:name="_Hlk132802429"/>
      <w:r w:rsidR="00135F0D" w:rsidRPr="003B4362">
        <w:t xml:space="preserve">the supplier follows </w:t>
      </w:r>
      <w:r w:rsidRPr="003B4362">
        <w:t xml:space="preserve">the shipping time and other instructions in Section 8.3 of </w:t>
      </w:r>
      <w:bookmarkStart w:id="3727" w:name="_Hlk17303383"/>
      <w:r w:rsidRPr="003B4362">
        <w:t>USEPA 200.7 (94), USEPA 200.8 (94), or USEPA 200.9 (94)</w:t>
      </w:r>
      <w:bookmarkEnd w:id="3727"/>
      <w:bookmarkEnd w:id="3726"/>
      <w:r w:rsidRPr="003B4362">
        <w:t>.</w:t>
      </w:r>
    </w:p>
    <w:p w14:paraId="21AE6E44" w14:textId="77777777" w:rsidR="00710318" w:rsidRDefault="00710318" w:rsidP="00710318">
      <w:pPr>
        <w:widowControl w:val="0"/>
        <w:suppressAutoHyphens/>
        <w:ind w:left="2160" w:hanging="720"/>
      </w:pPr>
    </w:p>
    <w:p w14:paraId="38537574" w14:textId="3E0A06AA" w:rsidR="004F7532" w:rsidRPr="003B4362" w:rsidRDefault="004F7532" w:rsidP="00710318">
      <w:pPr>
        <w:widowControl w:val="0"/>
        <w:suppressAutoHyphens/>
        <w:ind w:left="2160" w:hanging="720"/>
      </w:pPr>
      <w:r w:rsidRPr="003B4362">
        <w:t>1)</w:t>
      </w:r>
      <w:r w:rsidRPr="003B4362">
        <w:tab/>
        <w:t>Antimony</w:t>
      </w:r>
    </w:p>
    <w:p w14:paraId="28B68B37" w14:textId="77777777" w:rsidR="00710318" w:rsidRDefault="00710318" w:rsidP="00710318">
      <w:pPr>
        <w:widowControl w:val="0"/>
        <w:suppressAutoHyphens/>
        <w:ind w:left="2880" w:hanging="720"/>
      </w:pPr>
    </w:p>
    <w:p w14:paraId="74CDB5A2" w14:textId="3BC8FD9F"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7F779E67" w14:textId="77777777" w:rsidR="00710318" w:rsidRDefault="00710318" w:rsidP="00710318">
      <w:pPr>
        <w:widowControl w:val="0"/>
        <w:suppressAutoHyphens/>
        <w:ind w:left="2880" w:hanging="720"/>
      </w:pPr>
    </w:p>
    <w:p w14:paraId="12BE0788" w14:textId="7E077745" w:rsidR="004F7532" w:rsidRPr="003B4362" w:rsidRDefault="004F7532" w:rsidP="00710318">
      <w:pPr>
        <w:widowControl w:val="0"/>
        <w:suppressAutoHyphens/>
        <w:ind w:left="2880" w:hanging="720"/>
      </w:pPr>
      <w:r w:rsidRPr="003B4362">
        <w:t>B)</w:t>
      </w:r>
      <w:r w:rsidRPr="003B4362">
        <w:tab/>
        <w:t>Plastic or glass (hard or soft).</w:t>
      </w:r>
    </w:p>
    <w:p w14:paraId="74C03848" w14:textId="77777777" w:rsidR="00710318" w:rsidRDefault="00710318" w:rsidP="00710318">
      <w:pPr>
        <w:widowControl w:val="0"/>
        <w:suppressAutoHyphens/>
        <w:ind w:left="2880" w:hanging="720"/>
      </w:pPr>
    </w:p>
    <w:p w14:paraId="1F33B3AA" w14:textId="2B04DDDD"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53477FE6" w14:textId="77777777" w:rsidR="00710318" w:rsidRDefault="00710318" w:rsidP="00710318">
      <w:pPr>
        <w:widowControl w:val="0"/>
        <w:suppressAutoHyphens/>
        <w:ind w:left="2160" w:hanging="720"/>
      </w:pPr>
    </w:p>
    <w:p w14:paraId="1D8050A2" w14:textId="0D3C0990" w:rsidR="004F7532" w:rsidRPr="003B4362" w:rsidRDefault="004F7532" w:rsidP="00710318">
      <w:pPr>
        <w:widowControl w:val="0"/>
        <w:suppressAutoHyphens/>
        <w:ind w:left="2160" w:hanging="720"/>
      </w:pPr>
      <w:r w:rsidRPr="003B4362">
        <w:t>2)</w:t>
      </w:r>
      <w:r w:rsidRPr="003B4362">
        <w:tab/>
        <w:t>Arsenic</w:t>
      </w:r>
    </w:p>
    <w:p w14:paraId="715A1447" w14:textId="77777777" w:rsidR="00710318" w:rsidRDefault="00710318" w:rsidP="00710318">
      <w:pPr>
        <w:widowControl w:val="0"/>
        <w:suppressAutoHyphens/>
        <w:ind w:left="2880" w:hanging="720"/>
      </w:pPr>
    </w:p>
    <w:p w14:paraId="5EA22274" w14:textId="7902894C"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6195B217" w14:textId="77777777" w:rsidR="00710318" w:rsidRDefault="00710318" w:rsidP="00710318">
      <w:pPr>
        <w:widowControl w:val="0"/>
        <w:suppressAutoHyphens/>
        <w:ind w:left="2880" w:hanging="720"/>
      </w:pPr>
    </w:p>
    <w:p w14:paraId="0D10A08C" w14:textId="27C8E8BF" w:rsidR="004F7532" w:rsidRPr="003B4362" w:rsidRDefault="004F7532" w:rsidP="00710318">
      <w:pPr>
        <w:widowControl w:val="0"/>
        <w:suppressAutoHyphens/>
        <w:ind w:left="2880" w:hanging="720"/>
      </w:pPr>
      <w:r w:rsidRPr="003B4362">
        <w:t>B)</w:t>
      </w:r>
      <w:r w:rsidRPr="003B4362">
        <w:tab/>
        <w:t>Plastic or glass (hard or soft).</w:t>
      </w:r>
    </w:p>
    <w:p w14:paraId="4CC78780" w14:textId="77777777" w:rsidR="00710318" w:rsidRDefault="00710318" w:rsidP="00710318">
      <w:pPr>
        <w:widowControl w:val="0"/>
        <w:suppressAutoHyphens/>
        <w:ind w:left="2880" w:hanging="720"/>
      </w:pPr>
    </w:p>
    <w:p w14:paraId="51EBDD9F" w14:textId="46DDF9DE"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05AB7484" w14:textId="77777777" w:rsidR="00710318" w:rsidRDefault="00710318" w:rsidP="00710318">
      <w:pPr>
        <w:widowControl w:val="0"/>
        <w:suppressAutoHyphens/>
        <w:ind w:left="2160" w:hanging="720"/>
      </w:pPr>
    </w:p>
    <w:p w14:paraId="60A1F088" w14:textId="1DA608C7" w:rsidR="004F7532" w:rsidRPr="003B4362" w:rsidRDefault="004F7532" w:rsidP="00710318">
      <w:pPr>
        <w:widowControl w:val="0"/>
        <w:suppressAutoHyphens/>
        <w:ind w:left="2160" w:hanging="720"/>
      </w:pPr>
      <w:r w:rsidRPr="003B4362">
        <w:lastRenderedPageBreak/>
        <w:t>3)</w:t>
      </w:r>
      <w:r w:rsidRPr="003B4362">
        <w:tab/>
        <w:t>Asbestos</w:t>
      </w:r>
    </w:p>
    <w:p w14:paraId="5D3467B5" w14:textId="77777777" w:rsidR="00710318" w:rsidRDefault="00710318" w:rsidP="00710318">
      <w:pPr>
        <w:widowControl w:val="0"/>
        <w:suppressAutoHyphens/>
        <w:ind w:left="2880" w:hanging="720"/>
      </w:pPr>
    </w:p>
    <w:p w14:paraId="3F956E18" w14:textId="1DA1A49A" w:rsidR="004F7532" w:rsidRPr="003B4362" w:rsidRDefault="004F7532" w:rsidP="00710318">
      <w:pPr>
        <w:widowControl w:val="0"/>
        <w:suppressAutoHyphens/>
        <w:ind w:left="2880" w:hanging="720"/>
      </w:pPr>
      <w:r w:rsidRPr="003B4362">
        <w:t>A)</w:t>
      </w:r>
      <w:r w:rsidRPr="003B4362">
        <w:tab/>
        <w:t xml:space="preserve">Preservative:  Cool to </w:t>
      </w:r>
      <w:bookmarkStart w:id="3728" w:name="_Hlk37324396"/>
      <w:r w:rsidRPr="003B4362">
        <w:t>4 °</w:t>
      </w:r>
      <w:bookmarkEnd w:id="3728"/>
      <w:r w:rsidRPr="003B4362">
        <w:t>C.</w:t>
      </w:r>
    </w:p>
    <w:p w14:paraId="221EE6BE" w14:textId="77777777" w:rsidR="00710318" w:rsidRDefault="00710318" w:rsidP="00710318">
      <w:pPr>
        <w:widowControl w:val="0"/>
        <w:suppressAutoHyphens/>
        <w:ind w:left="2880" w:hanging="720"/>
      </w:pPr>
    </w:p>
    <w:p w14:paraId="62AD5CA4" w14:textId="3E7B7AB2" w:rsidR="004F7532" w:rsidRPr="003B4362" w:rsidRDefault="004F7532" w:rsidP="00710318">
      <w:pPr>
        <w:widowControl w:val="0"/>
        <w:suppressAutoHyphens/>
        <w:ind w:left="2880" w:hanging="720"/>
      </w:pPr>
      <w:r w:rsidRPr="003B4362">
        <w:t>B)</w:t>
      </w:r>
      <w:r w:rsidRPr="003B4362">
        <w:tab/>
        <w:t>Plastic or glass (hard or soft).</w:t>
      </w:r>
    </w:p>
    <w:p w14:paraId="4B655E62" w14:textId="77777777" w:rsidR="00710318" w:rsidRDefault="00710318" w:rsidP="00710318">
      <w:pPr>
        <w:widowControl w:val="0"/>
        <w:suppressAutoHyphens/>
        <w:ind w:left="2880" w:hanging="720"/>
      </w:pPr>
    </w:p>
    <w:p w14:paraId="2FC7FC2F" w14:textId="1686C5F7"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48 hours.</w:t>
      </w:r>
    </w:p>
    <w:p w14:paraId="389ECF20" w14:textId="77777777" w:rsidR="00710318" w:rsidRDefault="00710318" w:rsidP="00710318">
      <w:pPr>
        <w:widowControl w:val="0"/>
        <w:suppressAutoHyphens/>
        <w:ind w:left="2160" w:hanging="720"/>
      </w:pPr>
    </w:p>
    <w:p w14:paraId="2622738A" w14:textId="0AE2C4A6" w:rsidR="004F7532" w:rsidRPr="003B4362" w:rsidRDefault="004F7532" w:rsidP="00710318">
      <w:pPr>
        <w:widowControl w:val="0"/>
        <w:suppressAutoHyphens/>
        <w:ind w:left="2160" w:hanging="720"/>
      </w:pPr>
      <w:r w:rsidRPr="003B4362">
        <w:t>4)</w:t>
      </w:r>
      <w:r w:rsidRPr="003B4362">
        <w:tab/>
        <w:t>Barium</w:t>
      </w:r>
    </w:p>
    <w:p w14:paraId="312A9A31" w14:textId="77777777" w:rsidR="00710318" w:rsidRDefault="00710318" w:rsidP="00710318">
      <w:pPr>
        <w:widowControl w:val="0"/>
        <w:suppressAutoHyphens/>
        <w:ind w:left="2880" w:hanging="720"/>
      </w:pPr>
    </w:p>
    <w:p w14:paraId="12B72E28" w14:textId="3F7CC8A8"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62E95324" w14:textId="77777777" w:rsidR="00710318" w:rsidRDefault="00710318" w:rsidP="00710318">
      <w:pPr>
        <w:widowControl w:val="0"/>
        <w:suppressAutoHyphens/>
        <w:ind w:left="2880" w:hanging="720"/>
      </w:pPr>
    </w:p>
    <w:p w14:paraId="187270C7" w14:textId="4A6A1661" w:rsidR="004F7532" w:rsidRPr="003B4362" w:rsidRDefault="004F7532" w:rsidP="00710318">
      <w:pPr>
        <w:widowControl w:val="0"/>
        <w:suppressAutoHyphens/>
        <w:ind w:left="2880" w:hanging="720"/>
      </w:pPr>
      <w:r w:rsidRPr="003B4362">
        <w:t>B)</w:t>
      </w:r>
      <w:r w:rsidRPr="003B4362">
        <w:tab/>
        <w:t>Plastic or glass (hard or soft).</w:t>
      </w:r>
    </w:p>
    <w:p w14:paraId="7E8099E9" w14:textId="77777777" w:rsidR="00710318" w:rsidRDefault="00710318" w:rsidP="00710318">
      <w:pPr>
        <w:widowControl w:val="0"/>
        <w:suppressAutoHyphens/>
        <w:ind w:left="2880" w:hanging="720"/>
      </w:pPr>
    </w:p>
    <w:p w14:paraId="795D3744" w14:textId="2C2765FE"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028F218C" w14:textId="77777777" w:rsidR="00710318" w:rsidRDefault="00710318" w:rsidP="00710318">
      <w:pPr>
        <w:widowControl w:val="0"/>
        <w:suppressAutoHyphens/>
        <w:ind w:left="2160" w:hanging="720"/>
      </w:pPr>
    </w:p>
    <w:p w14:paraId="081E15A8" w14:textId="269D7B47" w:rsidR="004F7532" w:rsidRPr="003B4362" w:rsidRDefault="004F7532" w:rsidP="00710318">
      <w:pPr>
        <w:widowControl w:val="0"/>
        <w:suppressAutoHyphens/>
        <w:ind w:left="2160" w:hanging="720"/>
      </w:pPr>
      <w:r w:rsidRPr="003B4362">
        <w:t>5)</w:t>
      </w:r>
      <w:r w:rsidRPr="003B4362">
        <w:tab/>
        <w:t>Beryllium</w:t>
      </w:r>
    </w:p>
    <w:p w14:paraId="425AFA41" w14:textId="77777777" w:rsidR="00710318" w:rsidRDefault="00710318" w:rsidP="00710318">
      <w:pPr>
        <w:widowControl w:val="0"/>
        <w:suppressAutoHyphens/>
        <w:ind w:left="2880" w:hanging="720"/>
      </w:pPr>
    </w:p>
    <w:p w14:paraId="05317B84" w14:textId="4806A7AA"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15E2E2A5" w14:textId="77777777" w:rsidR="00710318" w:rsidRDefault="00710318" w:rsidP="00710318">
      <w:pPr>
        <w:widowControl w:val="0"/>
        <w:suppressAutoHyphens/>
        <w:ind w:left="2880" w:hanging="720"/>
      </w:pPr>
    </w:p>
    <w:p w14:paraId="565C343E" w14:textId="373F63C2" w:rsidR="004F7532" w:rsidRPr="003B4362" w:rsidRDefault="004F7532" w:rsidP="00710318">
      <w:pPr>
        <w:widowControl w:val="0"/>
        <w:suppressAutoHyphens/>
        <w:ind w:left="2880" w:hanging="720"/>
      </w:pPr>
      <w:r w:rsidRPr="003B4362">
        <w:t>B)</w:t>
      </w:r>
      <w:r w:rsidRPr="003B4362">
        <w:tab/>
        <w:t>Plastic or glass (hard or soft).</w:t>
      </w:r>
    </w:p>
    <w:p w14:paraId="54C11B74" w14:textId="77777777" w:rsidR="00710318" w:rsidRDefault="00710318" w:rsidP="00710318">
      <w:pPr>
        <w:widowControl w:val="0"/>
        <w:suppressAutoHyphens/>
        <w:ind w:left="2880" w:hanging="720"/>
      </w:pPr>
    </w:p>
    <w:p w14:paraId="2A4D1EB1" w14:textId="3C1D8D43"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36FDE882" w14:textId="77777777" w:rsidR="00710318" w:rsidRDefault="00710318" w:rsidP="00710318">
      <w:pPr>
        <w:widowControl w:val="0"/>
        <w:suppressAutoHyphens/>
        <w:ind w:left="2160" w:hanging="720"/>
      </w:pPr>
    </w:p>
    <w:p w14:paraId="6B9F42EA" w14:textId="0F47225C" w:rsidR="004F7532" w:rsidRPr="003B4362" w:rsidRDefault="004F7532" w:rsidP="00710318">
      <w:pPr>
        <w:widowControl w:val="0"/>
        <w:suppressAutoHyphens/>
        <w:ind w:left="2160" w:hanging="720"/>
      </w:pPr>
      <w:r w:rsidRPr="003B4362">
        <w:t>6)</w:t>
      </w:r>
      <w:r w:rsidRPr="003B4362">
        <w:tab/>
        <w:t>Cadmium</w:t>
      </w:r>
    </w:p>
    <w:p w14:paraId="790749C3" w14:textId="77777777" w:rsidR="00710318" w:rsidRDefault="00710318" w:rsidP="00710318">
      <w:pPr>
        <w:widowControl w:val="0"/>
        <w:suppressAutoHyphens/>
        <w:ind w:left="2880" w:hanging="720"/>
      </w:pPr>
    </w:p>
    <w:p w14:paraId="57D70A4F" w14:textId="45CD88D6"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1C6CFE43" w14:textId="77777777" w:rsidR="00710318" w:rsidRDefault="00710318" w:rsidP="00710318">
      <w:pPr>
        <w:widowControl w:val="0"/>
        <w:suppressAutoHyphens/>
        <w:ind w:left="2880" w:hanging="720"/>
      </w:pPr>
    </w:p>
    <w:p w14:paraId="6FB369EA" w14:textId="27A5BDBF" w:rsidR="004F7532" w:rsidRPr="003B4362" w:rsidRDefault="004F7532" w:rsidP="00710318">
      <w:pPr>
        <w:widowControl w:val="0"/>
        <w:suppressAutoHyphens/>
        <w:ind w:left="2880" w:hanging="720"/>
      </w:pPr>
      <w:r w:rsidRPr="003B4362">
        <w:t>B)</w:t>
      </w:r>
      <w:r w:rsidRPr="003B4362">
        <w:tab/>
        <w:t>Plastic or glass (hard or soft).</w:t>
      </w:r>
    </w:p>
    <w:p w14:paraId="2108B2E6" w14:textId="77777777" w:rsidR="00710318" w:rsidRDefault="00710318" w:rsidP="00710318">
      <w:pPr>
        <w:widowControl w:val="0"/>
        <w:suppressAutoHyphens/>
        <w:ind w:left="2880" w:hanging="720"/>
      </w:pPr>
    </w:p>
    <w:p w14:paraId="50F32174" w14:textId="1C631AD2"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24DEC4EF" w14:textId="77777777" w:rsidR="00710318" w:rsidRDefault="00710318" w:rsidP="00710318">
      <w:pPr>
        <w:widowControl w:val="0"/>
        <w:suppressAutoHyphens/>
        <w:ind w:left="2160" w:hanging="720"/>
      </w:pPr>
    </w:p>
    <w:p w14:paraId="1A574B44" w14:textId="65C3D567" w:rsidR="004F7532" w:rsidRPr="003B4362" w:rsidRDefault="004F7532" w:rsidP="00710318">
      <w:pPr>
        <w:widowControl w:val="0"/>
        <w:suppressAutoHyphens/>
        <w:ind w:left="2160" w:hanging="720"/>
      </w:pPr>
      <w:r w:rsidRPr="003B4362">
        <w:t>7)</w:t>
      </w:r>
      <w:r w:rsidRPr="003B4362">
        <w:tab/>
        <w:t>Chromium</w:t>
      </w:r>
    </w:p>
    <w:p w14:paraId="578435C5" w14:textId="77777777" w:rsidR="00710318" w:rsidRDefault="00710318" w:rsidP="00710318">
      <w:pPr>
        <w:widowControl w:val="0"/>
        <w:suppressAutoHyphens/>
        <w:ind w:left="2880" w:hanging="720"/>
      </w:pPr>
    </w:p>
    <w:p w14:paraId="21EF274D" w14:textId="1135C99D"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21895BF2" w14:textId="77777777" w:rsidR="00710318" w:rsidRDefault="00710318" w:rsidP="00710318">
      <w:pPr>
        <w:widowControl w:val="0"/>
        <w:suppressAutoHyphens/>
        <w:ind w:left="2880" w:hanging="720"/>
      </w:pPr>
    </w:p>
    <w:p w14:paraId="6EC38644" w14:textId="060FA714" w:rsidR="004F7532" w:rsidRPr="003B4362" w:rsidRDefault="004F7532" w:rsidP="00710318">
      <w:pPr>
        <w:widowControl w:val="0"/>
        <w:suppressAutoHyphens/>
        <w:ind w:left="2880" w:hanging="720"/>
      </w:pPr>
      <w:r w:rsidRPr="003B4362">
        <w:t>B)</w:t>
      </w:r>
      <w:r w:rsidRPr="003B4362">
        <w:tab/>
        <w:t>Plastic or glass (hard or soft).</w:t>
      </w:r>
    </w:p>
    <w:p w14:paraId="650C7FAD" w14:textId="77777777" w:rsidR="00710318" w:rsidRDefault="00710318" w:rsidP="00710318">
      <w:pPr>
        <w:widowControl w:val="0"/>
        <w:suppressAutoHyphens/>
        <w:ind w:left="2880" w:hanging="720"/>
      </w:pPr>
    </w:p>
    <w:p w14:paraId="5E02E1FA" w14:textId="2D9916CD"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0DDD17F6" w14:textId="77777777" w:rsidR="00710318" w:rsidRDefault="00710318" w:rsidP="00710318">
      <w:pPr>
        <w:widowControl w:val="0"/>
        <w:suppressAutoHyphens/>
        <w:ind w:left="2160" w:hanging="720"/>
      </w:pPr>
    </w:p>
    <w:p w14:paraId="2FA416A7" w14:textId="2B8AFB72" w:rsidR="004F7532" w:rsidRPr="003B4362" w:rsidRDefault="004F7532" w:rsidP="00710318">
      <w:pPr>
        <w:widowControl w:val="0"/>
        <w:suppressAutoHyphens/>
        <w:ind w:left="2160" w:hanging="720"/>
      </w:pPr>
      <w:r w:rsidRPr="003B4362">
        <w:lastRenderedPageBreak/>
        <w:t>8)</w:t>
      </w:r>
      <w:r w:rsidRPr="003B4362">
        <w:tab/>
        <w:t>Cyanide</w:t>
      </w:r>
    </w:p>
    <w:p w14:paraId="202B8C18" w14:textId="77777777" w:rsidR="00710318" w:rsidRDefault="00710318" w:rsidP="00710318">
      <w:pPr>
        <w:widowControl w:val="0"/>
        <w:suppressAutoHyphens/>
        <w:ind w:left="2880" w:hanging="720"/>
      </w:pPr>
    </w:p>
    <w:p w14:paraId="4505CE8C" w14:textId="75ED0025" w:rsidR="004F7532" w:rsidRPr="003B4362" w:rsidRDefault="004F7532" w:rsidP="00710318">
      <w:pPr>
        <w:widowControl w:val="0"/>
        <w:suppressAutoHyphens/>
        <w:ind w:left="2880" w:hanging="720"/>
      </w:pPr>
      <w:r w:rsidRPr="003B4362">
        <w:t>A)</w:t>
      </w:r>
      <w:r w:rsidRPr="003B4362">
        <w:tab/>
        <w:t>Preservative:  Cool to 4 °C.  Add sodium hydroxide to pH greater than 12.  See the analytical methods for information on sample preservation.</w:t>
      </w:r>
    </w:p>
    <w:p w14:paraId="3CE25DA4" w14:textId="77777777" w:rsidR="00710318" w:rsidRDefault="00710318" w:rsidP="00710318">
      <w:pPr>
        <w:widowControl w:val="0"/>
        <w:suppressAutoHyphens/>
        <w:ind w:left="2880" w:hanging="720"/>
      </w:pPr>
    </w:p>
    <w:p w14:paraId="0AD1AE73" w14:textId="41AA49EA" w:rsidR="004F7532" w:rsidRPr="003B4362" w:rsidRDefault="004F7532" w:rsidP="00710318">
      <w:pPr>
        <w:widowControl w:val="0"/>
        <w:suppressAutoHyphens/>
        <w:ind w:left="2880" w:hanging="720"/>
      </w:pPr>
      <w:r w:rsidRPr="003B4362">
        <w:t>B)</w:t>
      </w:r>
      <w:r w:rsidRPr="003B4362">
        <w:tab/>
        <w:t>Plastic or glass (hard or soft).</w:t>
      </w:r>
    </w:p>
    <w:p w14:paraId="53420FD2" w14:textId="77777777" w:rsidR="00710318" w:rsidRDefault="00710318" w:rsidP="00710318">
      <w:pPr>
        <w:widowControl w:val="0"/>
        <w:suppressAutoHyphens/>
        <w:ind w:left="2880" w:hanging="720"/>
      </w:pPr>
    </w:p>
    <w:p w14:paraId="291E203C" w14:textId="532F28EE"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14 days.</w:t>
      </w:r>
    </w:p>
    <w:p w14:paraId="65257F31" w14:textId="77777777" w:rsidR="00710318" w:rsidRDefault="00710318" w:rsidP="00710318">
      <w:pPr>
        <w:widowControl w:val="0"/>
        <w:suppressAutoHyphens/>
        <w:ind w:left="2160" w:hanging="720"/>
      </w:pPr>
    </w:p>
    <w:p w14:paraId="03C768F4" w14:textId="2865D191" w:rsidR="004F7532" w:rsidRPr="003B4362" w:rsidRDefault="004F7532" w:rsidP="00710318">
      <w:pPr>
        <w:widowControl w:val="0"/>
        <w:suppressAutoHyphens/>
        <w:ind w:left="2160" w:hanging="720"/>
      </w:pPr>
      <w:r w:rsidRPr="003B4362">
        <w:t>9)</w:t>
      </w:r>
      <w:r w:rsidRPr="003B4362">
        <w:tab/>
        <w:t>Fluoride</w:t>
      </w:r>
    </w:p>
    <w:p w14:paraId="4BDADEE7" w14:textId="77777777" w:rsidR="00710318" w:rsidRDefault="00710318" w:rsidP="00710318">
      <w:pPr>
        <w:widowControl w:val="0"/>
        <w:suppressAutoHyphens/>
        <w:ind w:left="2880" w:hanging="720"/>
      </w:pPr>
    </w:p>
    <w:p w14:paraId="1412133D" w14:textId="6A8D5AA2" w:rsidR="004F7532" w:rsidRPr="003B4362" w:rsidRDefault="004F7532" w:rsidP="00710318">
      <w:pPr>
        <w:widowControl w:val="0"/>
        <w:suppressAutoHyphens/>
        <w:ind w:left="2880" w:hanging="720"/>
      </w:pPr>
      <w:r w:rsidRPr="003B4362">
        <w:t>A)</w:t>
      </w:r>
      <w:r w:rsidRPr="003B4362">
        <w:tab/>
        <w:t>Preservative:  None.</w:t>
      </w:r>
    </w:p>
    <w:p w14:paraId="17C8A95A" w14:textId="77777777" w:rsidR="00710318" w:rsidRDefault="00710318" w:rsidP="00710318">
      <w:pPr>
        <w:widowControl w:val="0"/>
        <w:suppressAutoHyphens/>
        <w:ind w:left="2880" w:hanging="720"/>
      </w:pPr>
    </w:p>
    <w:p w14:paraId="1478C04A" w14:textId="5387B21B" w:rsidR="004F7532" w:rsidRPr="003B4362" w:rsidRDefault="004F7532" w:rsidP="00710318">
      <w:pPr>
        <w:widowControl w:val="0"/>
        <w:suppressAutoHyphens/>
        <w:ind w:left="2880" w:hanging="720"/>
      </w:pPr>
      <w:r w:rsidRPr="003B4362">
        <w:t>B)</w:t>
      </w:r>
      <w:r w:rsidRPr="003B4362">
        <w:tab/>
        <w:t>Plastic or glass (hard or soft).</w:t>
      </w:r>
    </w:p>
    <w:p w14:paraId="3F8CC4B5" w14:textId="77777777" w:rsidR="00710318" w:rsidRDefault="00710318" w:rsidP="00710318">
      <w:pPr>
        <w:widowControl w:val="0"/>
        <w:suppressAutoHyphens/>
        <w:ind w:left="2880" w:hanging="720"/>
      </w:pPr>
    </w:p>
    <w:p w14:paraId="7775820A" w14:textId="0815989F"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one month.</w:t>
      </w:r>
    </w:p>
    <w:p w14:paraId="761DEEC9" w14:textId="77777777" w:rsidR="00710318" w:rsidRDefault="00710318" w:rsidP="00710318">
      <w:pPr>
        <w:widowControl w:val="0"/>
        <w:suppressAutoHyphens/>
        <w:ind w:left="2160" w:hanging="720"/>
      </w:pPr>
    </w:p>
    <w:p w14:paraId="720AAB72" w14:textId="16632F65" w:rsidR="004F7532" w:rsidRPr="003B4362" w:rsidRDefault="004F7532" w:rsidP="00710318">
      <w:pPr>
        <w:widowControl w:val="0"/>
        <w:suppressAutoHyphens/>
        <w:ind w:left="2160" w:hanging="720"/>
      </w:pPr>
      <w:r w:rsidRPr="003B4362">
        <w:t>10)</w:t>
      </w:r>
      <w:r w:rsidRPr="003B4362">
        <w:tab/>
        <w:t>Mercury</w:t>
      </w:r>
    </w:p>
    <w:p w14:paraId="452B6483" w14:textId="77777777" w:rsidR="00710318" w:rsidRDefault="00710318" w:rsidP="00710318">
      <w:pPr>
        <w:widowControl w:val="0"/>
        <w:suppressAutoHyphens/>
        <w:ind w:left="2880" w:hanging="720"/>
      </w:pPr>
    </w:p>
    <w:p w14:paraId="1E603152" w14:textId="755E7E97"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39D85A3D" w14:textId="77777777" w:rsidR="00710318" w:rsidRDefault="00710318" w:rsidP="00710318">
      <w:pPr>
        <w:widowControl w:val="0"/>
        <w:suppressAutoHyphens/>
        <w:ind w:left="2880" w:hanging="720"/>
      </w:pPr>
    </w:p>
    <w:p w14:paraId="6B50E8D5" w14:textId="2CBBC098" w:rsidR="004F7532" w:rsidRPr="003B4362" w:rsidRDefault="004F7532" w:rsidP="00710318">
      <w:pPr>
        <w:widowControl w:val="0"/>
        <w:suppressAutoHyphens/>
        <w:ind w:left="2880" w:hanging="720"/>
      </w:pPr>
      <w:r w:rsidRPr="003B4362">
        <w:t>B)</w:t>
      </w:r>
      <w:r w:rsidRPr="003B4362">
        <w:tab/>
        <w:t>Plastic or glass (hard or soft).</w:t>
      </w:r>
    </w:p>
    <w:p w14:paraId="028A309B" w14:textId="77777777" w:rsidR="00710318" w:rsidRDefault="00710318" w:rsidP="00710318">
      <w:pPr>
        <w:widowControl w:val="0"/>
        <w:suppressAutoHyphens/>
        <w:ind w:left="2880" w:hanging="720"/>
      </w:pPr>
    </w:p>
    <w:p w14:paraId="1A012F9D" w14:textId="3C0AB9E4"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28 days.</w:t>
      </w:r>
    </w:p>
    <w:p w14:paraId="1F3C065F" w14:textId="77777777" w:rsidR="00710318" w:rsidRDefault="00710318" w:rsidP="00710318">
      <w:pPr>
        <w:widowControl w:val="0"/>
        <w:suppressAutoHyphens/>
        <w:ind w:left="2160" w:hanging="720"/>
      </w:pPr>
    </w:p>
    <w:p w14:paraId="3A8C53CE" w14:textId="0A775672" w:rsidR="004F7532" w:rsidRPr="003B4362" w:rsidRDefault="004F7532" w:rsidP="00710318">
      <w:pPr>
        <w:widowControl w:val="0"/>
        <w:suppressAutoHyphens/>
        <w:ind w:left="2160" w:hanging="720"/>
      </w:pPr>
      <w:r w:rsidRPr="003B4362">
        <w:t>11)</w:t>
      </w:r>
      <w:r w:rsidRPr="003B4362">
        <w:tab/>
        <w:t>Nickel</w:t>
      </w:r>
    </w:p>
    <w:p w14:paraId="44AD80FA" w14:textId="77777777" w:rsidR="00710318" w:rsidRDefault="00710318" w:rsidP="00710318">
      <w:pPr>
        <w:widowControl w:val="0"/>
        <w:suppressAutoHyphens/>
        <w:ind w:left="2880" w:hanging="720"/>
      </w:pPr>
    </w:p>
    <w:p w14:paraId="3477E166" w14:textId="5CCD2266"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7917C8C7" w14:textId="77777777" w:rsidR="00710318" w:rsidRDefault="00710318" w:rsidP="00710318">
      <w:pPr>
        <w:widowControl w:val="0"/>
        <w:suppressAutoHyphens/>
        <w:ind w:left="2880" w:hanging="720"/>
      </w:pPr>
    </w:p>
    <w:p w14:paraId="760EDE8B" w14:textId="4F39D7C7" w:rsidR="004F7532" w:rsidRPr="003B4362" w:rsidRDefault="004F7532" w:rsidP="00710318">
      <w:pPr>
        <w:widowControl w:val="0"/>
        <w:suppressAutoHyphens/>
        <w:ind w:left="2880" w:hanging="720"/>
      </w:pPr>
      <w:r w:rsidRPr="003B4362">
        <w:t>B)</w:t>
      </w:r>
      <w:r w:rsidRPr="003B4362">
        <w:tab/>
        <w:t>Plastic or glass (hard or soft).</w:t>
      </w:r>
    </w:p>
    <w:p w14:paraId="2DEF1A2A" w14:textId="77777777" w:rsidR="00710318" w:rsidRDefault="00710318" w:rsidP="00710318">
      <w:pPr>
        <w:widowControl w:val="0"/>
        <w:suppressAutoHyphens/>
        <w:ind w:left="2880" w:hanging="720"/>
      </w:pPr>
    </w:p>
    <w:p w14:paraId="337C6831" w14:textId="207E722E"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44EF1193" w14:textId="77777777" w:rsidR="00710318" w:rsidRDefault="00710318" w:rsidP="00710318">
      <w:pPr>
        <w:widowControl w:val="0"/>
        <w:suppressAutoHyphens/>
        <w:ind w:left="2160" w:hanging="720"/>
      </w:pPr>
    </w:p>
    <w:p w14:paraId="46B5F6A5" w14:textId="48CB93BA" w:rsidR="004F7532" w:rsidRPr="003B4362" w:rsidRDefault="004F7532" w:rsidP="00710318">
      <w:pPr>
        <w:widowControl w:val="0"/>
        <w:suppressAutoHyphens/>
        <w:ind w:left="2160" w:hanging="720"/>
      </w:pPr>
      <w:r w:rsidRPr="003B4362">
        <w:t>12)</w:t>
      </w:r>
      <w:r w:rsidRPr="003B4362">
        <w:tab/>
        <w:t>Nitrate, Chlorinated</w:t>
      </w:r>
    </w:p>
    <w:p w14:paraId="71639DF6" w14:textId="77777777" w:rsidR="00710318" w:rsidRDefault="00710318" w:rsidP="00710318">
      <w:pPr>
        <w:widowControl w:val="0"/>
        <w:suppressAutoHyphens/>
        <w:ind w:left="2880" w:hanging="720"/>
      </w:pPr>
    </w:p>
    <w:p w14:paraId="4DC3DF6C" w14:textId="2282076D" w:rsidR="004F7532" w:rsidRPr="003B4362" w:rsidRDefault="004F7532" w:rsidP="00710318">
      <w:pPr>
        <w:widowControl w:val="0"/>
        <w:suppressAutoHyphens/>
        <w:ind w:left="2880" w:hanging="720"/>
      </w:pPr>
      <w:r w:rsidRPr="003B4362">
        <w:t>A)</w:t>
      </w:r>
      <w:r w:rsidRPr="003B4362">
        <w:tab/>
        <w:t>Preservative:  Cool to 4 °C.</w:t>
      </w:r>
    </w:p>
    <w:p w14:paraId="16D17083" w14:textId="77777777" w:rsidR="00710318" w:rsidRDefault="00710318" w:rsidP="00710318">
      <w:pPr>
        <w:widowControl w:val="0"/>
        <w:suppressAutoHyphens/>
        <w:ind w:left="2880" w:hanging="720"/>
      </w:pPr>
    </w:p>
    <w:p w14:paraId="6E5F1703" w14:textId="15AFDD82" w:rsidR="004F7532" w:rsidRPr="003B4362" w:rsidRDefault="004F7532" w:rsidP="00710318">
      <w:pPr>
        <w:widowControl w:val="0"/>
        <w:suppressAutoHyphens/>
        <w:ind w:left="2880" w:hanging="720"/>
      </w:pPr>
      <w:r w:rsidRPr="003B4362">
        <w:t>B)</w:t>
      </w:r>
      <w:r w:rsidRPr="003B4362">
        <w:tab/>
        <w:t>Plastic or glass (hard or soft).</w:t>
      </w:r>
    </w:p>
    <w:p w14:paraId="5E8FB7B2" w14:textId="77777777" w:rsidR="00710318" w:rsidRDefault="00710318" w:rsidP="00710318">
      <w:pPr>
        <w:widowControl w:val="0"/>
        <w:suppressAutoHyphens/>
        <w:ind w:left="2880" w:hanging="720"/>
      </w:pPr>
    </w:p>
    <w:p w14:paraId="5102B3B1" w14:textId="7BD61279" w:rsidR="004F7532" w:rsidRPr="003B4362" w:rsidRDefault="004F7532" w:rsidP="00710318">
      <w:pPr>
        <w:widowControl w:val="0"/>
        <w:suppressAutoHyphens/>
        <w:ind w:left="2880" w:hanging="720"/>
      </w:pPr>
      <w:r w:rsidRPr="003B4362">
        <w:t>C)</w:t>
      </w:r>
      <w:r w:rsidRPr="003B4362">
        <w:tab/>
        <w:t xml:space="preserve">Holding Time.  Samples must be analyzed as soon after collection </w:t>
      </w:r>
      <w:r w:rsidRPr="003B4362">
        <w:lastRenderedPageBreak/>
        <w:t>as possible, but in any event within 14 days.</w:t>
      </w:r>
    </w:p>
    <w:p w14:paraId="3CB29119" w14:textId="77777777" w:rsidR="00710318" w:rsidRDefault="00710318" w:rsidP="00710318">
      <w:pPr>
        <w:widowControl w:val="0"/>
        <w:suppressAutoHyphens/>
        <w:ind w:left="2160" w:hanging="720"/>
      </w:pPr>
    </w:p>
    <w:p w14:paraId="6FB472D3" w14:textId="4A871EBA" w:rsidR="004F7532" w:rsidRPr="003B4362" w:rsidRDefault="004F7532" w:rsidP="00710318">
      <w:pPr>
        <w:widowControl w:val="0"/>
        <w:suppressAutoHyphens/>
        <w:ind w:left="2160" w:hanging="720"/>
      </w:pPr>
      <w:r w:rsidRPr="003B4362">
        <w:t>13)</w:t>
      </w:r>
      <w:r w:rsidRPr="003B4362">
        <w:tab/>
        <w:t>Nitrate, Non-Chlorinated</w:t>
      </w:r>
    </w:p>
    <w:p w14:paraId="13923A34" w14:textId="77777777" w:rsidR="00710318" w:rsidRDefault="00710318" w:rsidP="00710318">
      <w:pPr>
        <w:widowControl w:val="0"/>
        <w:suppressAutoHyphens/>
        <w:ind w:left="2880" w:hanging="720"/>
      </w:pPr>
    </w:p>
    <w:p w14:paraId="78A60D92" w14:textId="29754985" w:rsidR="004F7532" w:rsidRPr="003B4362" w:rsidRDefault="004F7532" w:rsidP="00710318">
      <w:pPr>
        <w:widowControl w:val="0"/>
        <w:suppressAutoHyphens/>
        <w:ind w:left="2880" w:hanging="720"/>
      </w:pPr>
      <w:r w:rsidRPr="003B4362">
        <w:t>A)</w:t>
      </w:r>
      <w:r w:rsidRPr="003B4362">
        <w:tab/>
        <w:t>Preservative:  Concentrated sulfuric acid to pH less than 2.</w:t>
      </w:r>
    </w:p>
    <w:p w14:paraId="13EB02F2" w14:textId="77777777" w:rsidR="00710318" w:rsidRDefault="00710318" w:rsidP="00710318">
      <w:pPr>
        <w:widowControl w:val="0"/>
        <w:suppressAutoHyphens/>
        <w:ind w:left="2880" w:hanging="720"/>
      </w:pPr>
    </w:p>
    <w:p w14:paraId="1563A33C" w14:textId="6BCF89EC" w:rsidR="004F7532" w:rsidRPr="003B4362" w:rsidRDefault="004F7532" w:rsidP="00710318">
      <w:pPr>
        <w:widowControl w:val="0"/>
        <w:suppressAutoHyphens/>
        <w:ind w:left="2880" w:hanging="720"/>
      </w:pPr>
      <w:r w:rsidRPr="003B4362">
        <w:t>B)</w:t>
      </w:r>
      <w:r w:rsidRPr="003B4362">
        <w:tab/>
        <w:t>Plastic or glass (hard or soft).</w:t>
      </w:r>
    </w:p>
    <w:p w14:paraId="63DB8BFF" w14:textId="77777777" w:rsidR="00710318" w:rsidRDefault="00710318" w:rsidP="00710318">
      <w:pPr>
        <w:widowControl w:val="0"/>
        <w:suppressAutoHyphens/>
        <w:ind w:left="2880" w:hanging="720"/>
      </w:pPr>
    </w:p>
    <w:p w14:paraId="2A79FEC1" w14:textId="39DCBA15"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14 days.</w:t>
      </w:r>
    </w:p>
    <w:p w14:paraId="46132A13" w14:textId="77777777" w:rsidR="00710318" w:rsidRDefault="00710318" w:rsidP="00710318">
      <w:pPr>
        <w:widowControl w:val="0"/>
        <w:suppressAutoHyphens/>
        <w:ind w:left="2160" w:hanging="720"/>
      </w:pPr>
    </w:p>
    <w:p w14:paraId="252EF04E" w14:textId="7896A3B4" w:rsidR="004F7532" w:rsidRPr="003B4362" w:rsidRDefault="004F7532" w:rsidP="00710318">
      <w:pPr>
        <w:widowControl w:val="0"/>
        <w:suppressAutoHyphens/>
        <w:ind w:left="2160" w:hanging="720"/>
      </w:pPr>
      <w:r w:rsidRPr="003B4362">
        <w:t>14)</w:t>
      </w:r>
      <w:r w:rsidRPr="003B4362">
        <w:tab/>
        <w:t>Nitrite</w:t>
      </w:r>
    </w:p>
    <w:p w14:paraId="453FEFBB" w14:textId="77777777" w:rsidR="00710318" w:rsidRDefault="00710318" w:rsidP="00710318">
      <w:pPr>
        <w:widowControl w:val="0"/>
        <w:suppressAutoHyphens/>
        <w:ind w:left="2880" w:hanging="720"/>
      </w:pPr>
    </w:p>
    <w:p w14:paraId="14C5B109" w14:textId="6841F424" w:rsidR="004F7532" w:rsidRPr="003B4362" w:rsidRDefault="004F7532" w:rsidP="00710318">
      <w:pPr>
        <w:widowControl w:val="0"/>
        <w:suppressAutoHyphens/>
        <w:ind w:left="2880" w:hanging="720"/>
      </w:pPr>
      <w:r w:rsidRPr="003B4362">
        <w:t>A)</w:t>
      </w:r>
      <w:r w:rsidRPr="003B4362">
        <w:tab/>
        <w:t>Preservative:  Cool to 4 °C.</w:t>
      </w:r>
    </w:p>
    <w:p w14:paraId="6CE2F1B0" w14:textId="77777777" w:rsidR="00710318" w:rsidRDefault="00710318" w:rsidP="00710318">
      <w:pPr>
        <w:widowControl w:val="0"/>
        <w:suppressAutoHyphens/>
        <w:ind w:left="2880" w:hanging="720"/>
      </w:pPr>
    </w:p>
    <w:p w14:paraId="7F2571CB" w14:textId="40DCACEE" w:rsidR="004F7532" w:rsidRPr="003B4362" w:rsidRDefault="004F7532" w:rsidP="00710318">
      <w:pPr>
        <w:widowControl w:val="0"/>
        <w:suppressAutoHyphens/>
        <w:ind w:left="2880" w:hanging="720"/>
      </w:pPr>
      <w:r w:rsidRPr="003B4362">
        <w:t>B)</w:t>
      </w:r>
      <w:r w:rsidRPr="003B4362">
        <w:tab/>
        <w:t>Plastic or glass (hard or soft).</w:t>
      </w:r>
    </w:p>
    <w:p w14:paraId="2618F9BA" w14:textId="77777777" w:rsidR="00710318" w:rsidRDefault="00710318" w:rsidP="00710318">
      <w:pPr>
        <w:widowControl w:val="0"/>
        <w:suppressAutoHyphens/>
        <w:ind w:left="2880" w:hanging="720"/>
      </w:pPr>
    </w:p>
    <w:p w14:paraId="5A8B7C8B" w14:textId="595ED4DD"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48 hours.</w:t>
      </w:r>
    </w:p>
    <w:p w14:paraId="24A8E580" w14:textId="77777777" w:rsidR="00710318" w:rsidRDefault="00710318" w:rsidP="00710318">
      <w:pPr>
        <w:widowControl w:val="0"/>
        <w:suppressAutoHyphens/>
        <w:ind w:left="2160" w:hanging="720"/>
      </w:pPr>
    </w:p>
    <w:p w14:paraId="3435CDD1" w14:textId="27312D70" w:rsidR="004F7532" w:rsidRPr="003B4362" w:rsidRDefault="004F7532" w:rsidP="00710318">
      <w:pPr>
        <w:widowControl w:val="0"/>
        <w:suppressAutoHyphens/>
        <w:ind w:left="2160" w:hanging="720"/>
      </w:pPr>
      <w:r w:rsidRPr="003B4362">
        <w:t>15)</w:t>
      </w:r>
      <w:r w:rsidRPr="003B4362">
        <w:tab/>
        <w:t>Selenium</w:t>
      </w:r>
    </w:p>
    <w:p w14:paraId="08101905" w14:textId="77777777" w:rsidR="00710318" w:rsidRDefault="00710318" w:rsidP="00710318">
      <w:pPr>
        <w:widowControl w:val="0"/>
        <w:suppressAutoHyphens/>
        <w:ind w:left="2880" w:hanging="720"/>
      </w:pPr>
    </w:p>
    <w:p w14:paraId="0F25A54B" w14:textId="7E7921BC"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4B28824C" w14:textId="77777777" w:rsidR="00710318" w:rsidRDefault="00710318" w:rsidP="00710318">
      <w:pPr>
        <w:widowControl w:val="0"/>
        <w:suppressAutoHyphens/>
        <w:ind w:left="2880" w:hanging="720"/>
      </w:pPr>
    </w:p>
    <w:p w14:paraId="3242E3F9" w14:textId="6C9C81B2" w:rsidR="004F7532" w:rsidRPr="003B4362" w:rsidRDefault="004F7532" w:rsidP="00710318">
      <w:pPr>
        <w:widowControl w:val="0"/>
        <w:suppressAutoHyphens/>
        <w:ind w:left="2880" w:hanging="720"/>
      </w:pPr>
      <w:r w:rsidRPr="003B4362">
        <w:t>B)</w:t>
      </w:r>
      <w:r w:rsidRPr="003B4362">
        <w:tab/>
        <w:t>Plastic or glass (hard or soft).</w:t>
      </w:r>
    </w:p>
    <w:p w14:paraId="7751AAF6" w14:textId="77777777" w:rsidR="00710318" w:rsidRDefault="00710318" w:rsidP="00710318">
      <w:pPr>
        <w:widowControl w:val="0"/>
        <w:suppressAutoHyphens/>
        <w:ind w:left="2880" w:hanging="720"/>
      </w:pPr>
    </w:p>
    <w:p w14:paraId="4B308400" w14:textId="6C1B8888"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2FCE96E5" w14:textId="77777777" w:rsidR="00710318" w:rsidRDefault="00710318" w:rsidP="00710318">
      <w:pPr>
        <w:widowControl w:val="0"/>
        <w:suppressAutoHyphens/>
        <w:ind w:left="2160" w:hanging="720"/>
      </w:pPr>
    </w:p>
    <w:p w14:paraId="1F44C4DA" w14:textId="13188C64" w:rsidR="004F7532" w:rsidRPr="003B4362" w:rsidRDefault="004F7532" w:rsidP="00710318">
      <w:pPr>
        <w:widowControl w:val="0"/>
        <w:suppressAutoHyphens/>
        <w:ind w:left="2160" w:hanging="720"/>
      </w:pPr>
      <w:r w:rsidRPr="003B4362">
        <w:t>16)</w:t>
      </w:r>
      <w:r w:rsidRPr="003B4362">
        <w:tab/>
        <w:t>Thallium</w:t>
      </w:r>
    </w:p>
    <w:p w14:paraId="719E9F6E" w14:textId="77777777" w:rsidR="00710318" w:rsidRDefault="00710318" w:rsidP="00710318">
      <w:pPr>
        <w:widowControl w:val="0"/>
        <w:suppressAutoHyphens/>
        <w:ind w:left="2880" w:hanging="720"/>
      </w:pPr>
    </w:p>
    <w:p w14:paraId="2C40924C" w14:textId="237F9C5F"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47F0D67D" w14:textId="77777777" w:rsidR="00710318" w:rsidRDefault="00710318" w:rsidP="00710318">
      <w:pPr>
        <w:widowControl w:val="0"/>
        <w:suppressAutoHyphens/>
        <w:ind w:left="2880" w:hanging="720"/>
      </w:pPr>
    </w:p>
    <w:p w14:paraId="443942CE" w14:textId="6D5744A1" w:rsidR="004F7532" w:rsidRPr="003B4362" w:rsidRDefault="004F7532" w:rsidP="00710318">
      <w:pPr>
        <w:widowControl w:val="0"/>
        <w:suppressAutoHyphens/>
        <w:ind w:left="2880" w:hanging="720"/>
      </w:pPr>
      <w:r w:rsidRPr="003B4362">
        <w:t>B)</w:t>
      </w:r>
      <w:r w:rsidRPr="003B4362">
        <w:tab/>
        <w:t>Plastic or glass (hard or soft).</w:t>
      </w:r>
    </w:p>
    <w:p w14:paraId="1A9E0618" w14:textId="77777777" w:rsidR="00710318" w:rsidRDefault="00710318" w:rsidP="00710318">
      <w:pPr>
        <w:widowControl w:val="0"/>
        <w:suppressAutoHyphens/>
        <w:ind w:left="2880" w:hanging="720"/>
      </w:pPr>
    </w:p>
    <w:p w14:paraId="63C4A077" w14:textId="7D6158F1"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6A8B6B00" w14:textId="77777777" w:rsidR="00710318" w:rsidRDefault="00710318" w:rsidP="00710318">
      <w:pPr>
        <w:widowControl w:val="0"/>
        <w:suppressAutoHyphens/>
        <w:ind w:left="1440" w:hanging="720"/>
      </w:pPr>
    </w:p>
    <w:p w14:paraId="094CE7F3" w14:textId="3B5C99F7" w:rsidR="004F7532" w:rsidRPr="003B4362" w:rsidRDefault="004F7532" w:rsidP="00710318">
      <w:pPr>
        <w:widowControl w:val="0"/>
        <w:suppressAutoHyphens/>
        <w:ind w:left="1440" w:hanging="720"/>
      </w:pPr>
      <w:r w:rsidRPr="003B4362">
        <w:t>c)</w:t>
      </w:r>
      <w:r w:rsidRPr="003B4362">
        <w:tab/>
      </w:r>
      <w:r w:rsidR="00135F0D" w:rsidRPr="003B4362">
        <w:t>A</w:t>
      </w:r>
      <w:bookmarkStart w:id="3729" w:name="_Hlk132802693"/>
      <w:r w:rsidR="00135F0D" w:rsidRPr="003B4362">
        <w:t xml:space="preserve"> certified laboratory in one of the categories in Section 611.490(a) must conduct analyses </w:t>
      </w:r>
      <w:r w:rsidRPr="003B4362">
        <w:t>under this Subpart N</w:t>
      </w:r>
      <w:bookmarkEnd w:id="3729"/>
      <w:r w:rsidRPr="003B4362">
        <w:t xml:space="preserve">.  The Agency must certify laboratories to conduct analyses for antimony, arsenic, asbestos, barium, beryllium, cadmium, chromium, cyanide, fluoride, mercury, nickel, nitrate, nitrite, selenium, and thallium </w:t>
      </w:r>
      <w:bookmarkStart w:id="3730" w:name="_Hlk132802788"/>
      <w:r w:rsidRPr="003B4362">
        <w:t>if the laboratory</w:t>
      </w:r>
      <w:r w:rsidR="00135F0D" w:rsidRPr="003B4362">
        <w:t xml:space="preserve"> fulfills </w:t>
      </w:r>
      <w:bookmarkStart w:id="3731" w:name="_Hlk132802942"/>
      <w:r w:rsidR="006F04D8" w:rsidRPr="003B4362">
        <w:t xml:space="preserve">certain </w:t>
      </w:r>
      <w:bookmarkEnd w:id="3731"/>
      <w:r w:rsidR="00135F0D" w:rsidRPr="003B4362">
        <w:t>conditions</w:t>
      </w:r>
      <w:bookmarkEnd w:id="3730"/>
      <w:r w:rsidRPr="003B4362">
        <w:t>:</w:t>
      </w:r>
    </w:p>
    <w:p w14:paraId="440D848D" w14:textId="77777777" w:rsidR="00710318" w:rsidRDefault="00710318" w:rsidP="00710318">
      <w:pPr>
        <w:widowControl w:val="0"/>
        <w:suppressAutoHyphens/>
        <w:ind w:left="2160" w:hanging="720"/>
      </w:pPr>
    </w:p>
    <w:p w14:paraId="666B0C46" w14:textId="0194C9C7" w:rsidR="004F7532" w:rsidRPr="003B4362" w:rsidRDefault="004F7532" w:rsidP="00710318">
      <w:pPr>
        <w:widowControl w:val="0"/>
        <w:suppressAutoHyphens/>
        <w:ind w:left="2160" w:hanging="720"/>
      </w:pPr>
      <w:r w:rsidRPr="003B4362">
        <w:t>1)</w:t>
      </w:r>
      <w:r w:rsidRPr="003B4362">
        <w:tab/>
      </w:r>
      <w:r w:rsidR="00135F0D" w:rsidRPr="003B4362">
        <w:t xml:space="preserve">The laboratory </w:t>
      </w:r>
      <w:r w:rsidRPr="003B4362">
        <w:t>analyzes performance evaluation (PE) samples</w:t>
      </w:r>
      <w:bookmarkStart w:id="3732" w:name="_Hlk132803270"/>
      <w:r w:rsidRPr="003B4362">
        <w:t xml:space="preserve"> the Agency </w:t>
      </w:r>
      <w:r w:rsidR="006F04D8" w:rsidRPr="003B4362">
        <w:lastRenderedPageBreak/>
        <w:t xml:space="preserve">provides </w:t>
      </w:r>
      <w:r w:rsidRPr="003B4362">
        <w:t>under 35 Ill. Adm. Code 186</w:t>
      </w:r>
      <w:bookmarkEnd w:id="3732"/>
      <w:r w:rsidRPr="003B4362">
        <w:t xml:space="preserve"> </w:t>
      </w:r>
      <w:bookmarkStart w:id="3733" w:name="_Hlk132803843"/>
      <w:r w:rsidR="00135F0D" w:rsidRPr="003B4362">
        <w:t xml:space="preserve">including </w:t>
      </w:r>
      <w:r w:rsidRPr="003B4362">
        <w:t xml:space="preserve">those substances at levels not </w:t>
      </w:r>
      <w:r w:rsidR="00135F0D" w:rsidRPr="003B4362">
        <w:t xml:space="preserve">exceeding </w:t>
      </w:r>
      <w:r w:rsidR="003A3245" w:rsidRPr="003B4362">
        <w:t>reasonably</w:t>
      </w:r>
      <w:r w:rsidR="00834121" w:rsidRPr="003B4362">
        <w:t xml:space="preserve"> </w:t>
      </w:r>
      <w:r w:rsidRPr="003B4362">
        <w:t xml:space="preserve">expected </w:t>
      </w:r>
      <w:r w:rsidR="003A3245" w:rsidRPr="003B4362">
        <w:t xml:space="preserve">levels </w:t>
      </w:r>
      <w:r w:rsidRPr="003B4362">
        <w:t>in drinking water</w:t>
      </w:r>
      <w:bookmarkEnd w:id="3733"/>
      <w:r w:rsidRPr="003B4362">
        <w:t>; and</w:t>
      </w:r>
    </w:p>
    <w:p w14:paraId="6510A916" w14:textId="77777777" w:rsidR="00710318" w:rsidRDefault="00710318" w:rsidP="00710318">
      <w:pPr>
        <w:widowControl w:val="0"/>
        <w:suppressAutoHyphens/>
        <w:ind w:left="2160" w:hanging="720"/>
      </w:pPr>
    </w:p>
    <w:p w14:paraId="33C2BFB5" w14:textId="55A2E3F9" w:rsidR="004F7532" w:rsidRPr="003B4362" w:rsidRDefault="004F7532" w:rsidP="00710318">
      <w:pPr>
        <w:widowControl w:val="0"/>
        <w:suppressAutoHyphens/>
        <w:ind w:left="2160" w:hanging="720"/>
      </w:pPr>
      <w:r w:rsidRPr="003B4362">
        <w:t>2)</w:t>
      </w:r>
      <w:r w:rsidRPr="003B4362">
        <w:tab/>
      </w:r>
      <w:r w:rsidR="00860957" w:rsidRPr="003B4362">
        <w:t xml:space="preserve">The laboratory </w:t>
      </w:r>
      <w:r w:rsidRPr="003B4362">
        <w:t xml:space="preserve">achieves quantitative results on the analyses </w:t>
      </w:r>
      <w:bookmarkStart w:id="3734" w:name="_Hlk132804051"/>
      <w:r w:rsidRPr="003B4362">
        <w:t xml:space="preserve">within </w:t>
      </w:r>
      <w:r w:rsidR="00860957" w:rsidRPr="003B4362">
        <w:t xml:space="preserve">specified </w:t>
      </w:r>
      <w:r w:rsidRPr="003B4362">
        <w:t>acceptance limits</w:t>
      </w:r>
      <w:bookmarkEnd w:id="3734"/>
      <w:r w:rsidRPr="003B4362">
        <w:t>:</w:t>
      </w:r>
    </w:p>
    <w:p w14:paraId="1747522D" w14:textId="77777777" w:rsidR="00710318" w:rsidRDefault="00710318" w:rsidP="00710318">
      <w:pPr>
        <w:widowControl w:val="0"/>
        <w:suppressAutoHyphens/>
        <w:ind w:left="2880" w:hanging="720"/>
      </w:pPr>
    </w:p>
    <w:p w14:paraId="51415A45" w14:textId="4B33A4D5" w:rsidR="004F7532" w:rsidRPr="003B4362" w:rsidRDefault="004F7532" w:rsidP="00710318">
      <w:pPr>
        <w:widowControl w:val="0"/>
        <w:suppressAutoHyphens/>
        <w:ind w:left="2880" w:hanging="720"/>
      </w:pPr>
      <w:r w:rsidRPr="003B4362">
        <w:t>A)</w:t>
      </w:r>
      <w:r w:rsidRPr="003B4362">
        <w:tab/>
        <w:t>Antimony:  ± 30% at greater than or equal to 0.006 mg/</w:t>
      </w:r>
      <w:r w:rsidR="002E7704" w:rsidRPr="003B4362">
        <w:t xml:space="preserve"> L</w:t>
      </w:r>
      <w:r w:rsidRPr="003B4362">
        <w:t>.</w:t>
      </w:r>
    </w:p>
    <w:p w14:paraId="74A5101E" w14:textId="77777777" w:rsidR="00710318" w:rsidRDefault="00710318" w:rsidP="00710318">
      <w:pPr>
        <w:widowControl w:val="0"/>
        <w:suppressAutoHyphens/>
        <w:ind w:left="2880" w:hanging="720"/>
      </w:pPr>
    </w:p>
    <w:p w14:paraId="5330E8E6" w14:textId="2628572D" w:rsidR="004F7532" w:rsidRPr="003B4362" w:rsidRDefault="004F7532" w:rsidP="00710318">
      <w:pPr>
        <w:widowControl w:val="0"/>
        <w:suppressAutoHyphens/>
        <w:ind w:left="2880" w:hanging="720"/>
      </w:pPr>
      <w:r w:rsidRPr="003B4362">
        <w:t>B)</w:t>
      </w:r>
      <w:r w:rsidRPr="003B4362">
        <w:tab/>
        <w:t xml:space="preserve">Arsenic:  </w:t>
      </w:r>
      <w:r w:rsidRPr="003B4362">
        <w:sym w:font="Symbol" w:char="F0B1"/>
      </w:r>
      <w:r w:rsidRPr="003B4362">
        <w:t xml:space="preserve"> 30% at greater than or equal to 0.003 mg/</w:t>
      </w:r>
      <w:r w:rsidR="002E7704" w:rsidRPr="003B4362">
        <w:t xml:space="preserve"> L</w:t>
      </w:r>
      <w:r w:rsidRPr="003B4362">
        <w:t>.</w:t>
      </w:r>
    </w:p>
    <w:p w14:paraId="6A6A98E1" w14:textId="77777777" w:rsidR="00710318" w:rsidRDefault="00710318" w:rsidP="00710318">
      <w:pPr>
        <w:widowControl w:val="0"/>
        <w:suppressAutoHyphens/>
        <w:ind w:left="2880" w:hanging="720"/>
      </w:pPr>
    </w:p>
    <w:p w14:paraId="1663A59C" w14:textId="7B6846A1" w:rsidR="004F7532" w:rsidRPr="003B4362" w:rsidRDefault="004F7532" w:rsidP="00710318">
      <w:pPr>
        <w:widowControl w:val="0"/>
        <w:suppressAutoHyphens/>
        <w:ind w:left="2880" w:hanging="720"/>
      </w:pPr>
      <w:r w:rsidRPr="003B4362">
        <w:t>C)</w:t>
      </w:r>
      <w:r w:rsidRPr="003B4362">
        <w:tab/>
        <w:t>Asbestos:  2 standard deviations based on study statistics.</w:t>
      </w:r>
    </w:p>
    <w:p w14:paraId="0F5163DA" w14:textId="77777777" w:rsidR="00710318" w:rsidRDefault="00710318" w:rsidP="00710318">
      <w:pPr>
        <w:widowControl w:val="0"/>
        <w:suppressAutoHyphens/>
        <w:ind w:left="2880" w:hanging="720"/>
      </w:pPr>
    </w:p>
    <w:p w14:paraId="07D51449" w14:textId="1677DC76" w:rsidR="004F7532" w:rsidRPr="003B4362" w:rsidRDefault="004F7532" w:rsidP="00710318">
      <w:pPr>
        <w:widowControl w:val="0"/>
        <w:suppressAutoHyphens/>
        <w:ind w:left="2880" w:hanging="720"/>
      </w:pPr>
      <w:r w:rsidRPr="003B4362">
        <w:t>D)</w:t>
      </w:r>
      <w:r w:rsidRPr="003B4362">
        <w:tab/>
        <w:t>Barium:  ± 15% at greater than or equal to 0.15 mg/</w:t>
      </w:r>
      <w:r w:rsidR="002E7704" w:rsidRPr="003B4362">
        <w:t xml:space="preserve"> L</w:t>
      </w:r>
      <w:r w:rsidRPr="003B4362">
        <w:t>.</w:t>
      </w:r>
    </w:p>
    <w:p w14:paraId="301ABE97" w14:textId="77777777" w:rsidR="00710318" w:rsidRDefault="00710318" w:rsidP="00710318">
      <w:pPr>
        <w:widowControl w:val="0"/>
        <w:suppressAutoHyphens/>
        <w:ind w:left="2880" w:hanging="720"/>
      </w:pPr>
    </w:p>
    <w:p w14:paraId="1477FA5B" w14:textId="40705286" w:rsidR="004F7532" w:rsidRPr="003B4362" w:rsidRDefault="004F7532" w:rsidP="00710318">
      <w:pPr>
        <w:widowControl w:val="0"/>
        <w:suppressAutoHyphens/>
        <w:ind w:left="2880" w:hanging="720"/>
      </w:pPr>
      <w:r w:rsidRPr="003B4362">
        <w:t>E)</w:t>
      </w:r>
      <w:r w:rsidRPr="003B4362">
        <w:tab/>
        <w:t>Beryllium:  ± 15% at greater than or equal to 0.001 mg/</w:t>
      </w:r>
      <w:r w:rsidR="002E7704" w:rsidRPr="003B4362">
        <w:t xml:space="preserve"> L</w:t>
      </w:r>
      <w:r w:rsidRPr="003B4362">
        <w:t>.</w:t>
      </w:r>
    </w:p>
    <w:p w14:paraId="7D8C1F71" w14:textId="77777777" w:rsidR="00710318" w:rsidRDefault="00710318" w:rsidP="00710318">
      <w:pPr>
        <w:widowControl w:val="0"/>
        <w:suppressAutoHyphens/>
        <w:ind w:left="2880" w:hanging="720"/>
      </w:pPr>
    </w:p>
    <w:p w14:paraId="59CC339F" w14:textId="0D0E6D84" w:rsidR="004F7532" w:rsidRPr="003B4362" w:rsidRDefault="004F7532" w:rsidP="00710318">
      <w:pPr>
        <w:widowControl w:val="0"/>
        <w:suppressAutoHyphens/>
        <w:ind w:left="2880" w:hanging="720"/>
      </w:pPr>
      <w:r w:rsidRPr="003B4362">
        <w:t>F)</w:t>
      </w:r>
      <w:r w:rsidRPr="003B4362">
        <w:tab/>
        <w:t>Cadmium:  ± 20% at greater than or equal to 0.002 mg/</w:t>
      </w:r>
      <w:r w:rsidR="002E7704" w:rsidRPr="003B4362">
        <w:t xml:space="preserve"> L</w:t>
      </w:r>
      <w:r w:rsidRPr="003B4362">
        <w:t>.</w:t>
      </w:r>
    </w:p>
    <w:p w14:paraId="0A669B3F" w14:textId="77777777" w:rsidR="00710318" w:rsidRDefault="00710318" w:rsidP="00710318">
      <w:pPr>
        <w:widowControl w:val="0"/>
        <w:suppressAutoHyphens/>
        <w:ind w:left="2880" w:hanging="720"/>
      </w:pPr>
    </w:p>
    <w:p w14:paraId="09E54E4E" w14:textId="039F1EA0" w:rsidR="004F7532" w:rsidRPr="003B4362" w:rsidRDefault="004F7532" w:rsidP="00710318">
      <w:pPr>
        <w:widowControl w:val="0"/>
        <w:suppressAutoHyphens/>
        <w:ind w:left="2880" w:hanging="720"/>
      </w:pPr>
      <w:r w:rsidRPr="003B4362">
        <w:t>G)</w:t>
      </w:r>
      <w:r w:rsidRPr="003B4362">
        <w:tab/>
        <w:t>Chromium:  ± 15% at greater than or equal to 0.01 mg/</w:t>
      </w:r>
      <w:r w:rsidR="002E7704" w:rsidRPr="003B4362">
        <w:t xml:space="preserve"> L</w:t>
      </w:r>
      <w:r w:rsidRPr="003B4362">
        <w:t>.</w:t>
      </w:r>
    </w:p>
    <w:p w14:paraId="4D4B53A3" w14:textId="77777777" w:rsidR="00710318" w:rsidRDefault="00710318" w:rsidP="00710318">
      <w:pPr>
        <w:widowControl w:val="0"/>
        <w:suppressAutoHyphens/>
        <w:ind w:left="2880" w:hanging="720"/>
      </w:pPr>
    </w:p>
    <w:p w14:paraId="3CF9BD42" w14:textId="1D5E7F6E" w:rsidR="004F7532" w:rsidRPr="003B4362" w:rsidRDefault="004F7532" w:rsidP="00710318">
      <w:pPr>
        <w:widowControl w:val="0"/>
        <w:suppressAutoHyphens/>
        <w:ind w:left="2880" w:hanging="720"/>
      </w:pPr>
      <w:r w:rsidRPr="003B4362">
        <w:t>H)</w:t>
      </w:r>
      <w:r w:rsidRPr="003B4362">
        <w:tab/>
        <w:t>Cyanide:  ± 25% at greater than or equal to 0.1 mg/</w:t>
      </w:r>
      <w:r w:rsidR="002E7704" w:rsidRPr="003B4362">
        <w:t xml:space="preserve"> L</w:t>
      </w:r>
      <w:r w:rsidRPr="003B4362">
        <w:t>.</w:t>
      </w:r>
    </w:p>
    <w:p w14:paraId="37CB9510" w14:textId="77777777" w:rsidR="00710318" w:rsidRDefault="00710318" w:rsidP="00710318">
      <w:pPr>
        <w:widowControl w:val="0"/>
        <w:suppressAutoHyphens/>
        <w:ind w:left="2880" w:hanging="720"/>
      </w:pPr>
    </w:p>
    <w:p w14:paraId="53DE6C49" w14:textId="5DD4624A" w:rsidR="004F7532" w:rsidRPr="003B4362" w:rsidRDefault="004F7532" w:rsidP="00710318">
      <w:pPr>
        <w:widowControl w:val="0"/>
        <w:suppressAutoHyphens/>
        <w:ind w:left="2880" w:hanging="720"/>
      </w:pPr>
      <w:r w:rsidRPr="003B4362">
        <w:t>I)</w:t>
      </w:r>
      <w:r w:rsidRPr="003B4362">
        <w:tab/>
        <w:t>Fluoride:  ± 10% at 1 to 10 mg/</w:t>
      </w:r>
      <w:r w:rsidR="002E7704" w:rsidRPr="003B4362">
        <w:t xml:space="preserve"> L</w:t>
      </w:r>
      <w:r w:rsidRPr="003B4362">
        <w:t>.</w:t>
      </w:r>
    </w:p>
    <w:p w14:paraId="790B2209" w14:textId="77777777" w:rsidR="00710318" w:rsidRDefault="00710318" w:rsidP="00710318">
      <w:pPr>
        <w:widowControl w:val="0"/>
        <w:suppressAutoHyphens/>
        <w:ind w:left="2880" w:hanging="720"/>
      </w:pPr>
    </w:p>
    <w:p w14:paraId="16ED0829" w14:textId="18225B09" w:rsidR="004F7532" w:rsidRPr="003B4362" w:rsidRDefault="004F7532" w:rsidP="00710318">
      <w:pPr>
        <w:widowControl w:val="0"/>
        <w:suppressAutoHyphens/>
        <w:ind w:left="2880" w:hanging="720"/>
      </w:pPr>
      <w:r w:rsidRPr="003B4362">
        <w:t>J)</w:t>
      </w:r>
      <w:r w:rsidRPr="003B4362">
        <w:tab/>
        <w:t>Mercury:  ± 30% at greater than or equal to 0.0005 mg/</w:t>
      </w:r>
      <w:r w:rsidR="002E7704" w:rsidRPr="003B4362">
        <w:t xml:space="preserve"> L</w:t>
      </w:r>
      <w:r w:rsidRPr="003B4362">
        <w:t>.</w:t>
      </w:r>
    </w:p>
    <w:p w14:paraId="30A517CE" w14:textId="77777777" w:rsidR="00710318" w:rsidRDefault="00710318" w:rsidP="00710318">
      <w:pPr>
        <w:widowControl w:val="0"/>
        <w:suppressAutoHyphens/>
        <w:ind w:left="2880" w:hanging="720"/>
      </w:pPr>
    </w:p>
    <w:p w14:paraId="1E5EC5FE" w14:textId="3B25B532" w:rsidR="004F7532" w:rsidRPr="003B4362" w:rsidRDefault="004F7532" w:rsidP="00710318">
      <w:pPr>
        <w:widowControl w:val="0"/>
        <w:suppressAutoHyphens/>
        <w:ind w:left="2880" w:hanging="720"/>
      </w:pPr>
      <w:r w:rsidRPr="003B4362">
        <w:t>K)</w:t>
      </w:r>
      <w:r w:rsidRPr="003B4362">
        <w:tab/>
        <w:t>Nickel:  ± 15% at greater than or equal to 0.01 mg/</w:t>
      </w:r>
      <w:r w:rsidR="002E7704" w:rsidRPr="003B4362">
        <w:t xml:space="preserve"> L</w:t>
      </w:r>
      <w:r w:rsidRPr="003B4362">
        <w:t>.</w:t>
      </w:r>
    </w:p>
    <w:p w14:paraId="33434D69" w14:textId="77777777" w:rsidR="00710318" w:rsidRDefault="00710318" w:rsidP="00710318">
      <w:pPr>
        <w:widowControl w:val="0"/>
        <w:suppressAutoHyphens/>
        <w:ind w:left="2880" w:hanging="720"/>
      </w:pPr>
    </w:p>
    <w:p w14:paraId="34DE647C" w14:textId="488F0F1B" w:rsidR="004F7532" w:rsidRPr="003B4362" w:rsidRDefault="004F7532" w:rsidP="00710318">
      <w:pPr>
        <w:widowControl w:val="0"/>
        <w:suppressAutoHyphens/>
        <w:ind w:left="2880" w:hanging="720"/>
      </w:pPr>
      <w:r w:rsidRPr="003B4362">
        <w:t>L)</w:t>
      </w:r>
      <w:r w:rsidRPr="003B4362">
        <w:tab/>
        <w:t>Nitrate:  ± 10% at greater than or equal to 0.4 mg/</w:t>
      </w:r>
      <w:r w:rsidR="002E7704" w:rsidRPr="003B4362">
        <w:t xml:space="preserve"> L</w:t>
      </w:r>
      <w:r w:rsidRPr="003B4362">
        <w:t>.</w:t>
      </w:r>
    </w:p>
    <w:p w14:paraId="12BFA99D" w14:textId="77777777" w:rsidR="00710318" w:rsidRDefault="00710318" w:rsidP="00710318">
      <w:pPr>
        <w:widowControl w:val="0"/>
        <w:suppressAutoHyphens/>
        <w:ind w:left="2880" w:hanging="720"/>
      </w:pPr>
    </w:p>
    <w:p w14:paraId="52C1C043" w14:textId="37FD7D60" w:rsidR="004F7532" w:rsidRPr="003B4362" w:rsidRDefault="004F7532" w:rsidP="00710318">
      <w:pPr>
        <w:widowControl w:val="0"/>
        <w:suppressAutoHyphens/>
        <w:ind w:left="2880" w:hanging="720"/>
      </w:pPr>
      <w:r w:rsidRPr="003B4362">
        <w:t>M)</w:t>
      </w:r>
      <w:r w:rsidRPr="003B4362">
        <w:tab/>
        <w:t>Nitrite:  ± 15% at greater than or equal to 0.4 mg/</w:t>
      </w:r>
      <w:r w:rsidR="002E7704" w:rsidRPr="003B4362">
        <w:t xml:space="preserve"> L</w:t>
      </w:r>
      <w:r w:rsidRPr="003B4362">
        <w:t>.</w:t>
      </w:r>
    </w:p>
    <w:p w14:paraId="287C46E0" w14:textId="77777777" w:rsidR="00710318" w:rsidRDefault="00710318" w:rsidP="00710318">
      <w:pPr>
        <w:widowControl w:val="0"/>
        <w:suppressAutoHyphens/>
        <w:ind w:left="2880" w:hanging="720"/>
      </w:pPr>
    </w:p>
    <w:p w14:paraId="6DF9B4A9" w14:textId="5DDAA86D" w:rsidR="004F7532" w:rsidRPr="003B4362" w:rsidRDefault="004F7532" w:rsidP="00710318">
      <w:pPr>
        <w:widowControl w:val="0"/>
        <w:suppressAutoHyphens/>
        <w:ind w:left="2880" w:hanging="720"/>
      </w:pPr>
      <w:r w:rsidRPr="003B4362">
        <w:t>N)</w:t>
      </w:r>
      <w:r w:rsidRPr="003B4362">
        <w:tab/>
        <w:t>Selenium:  ± 20% at greater than or equal to 0.01 mg/</w:t>
      </w:r>
      <w:r w:rsidR="002E7704" w:rsidRPr="003B4362">
        <w:t xml:space="preserve"> L</w:t>
      </w:r>
      <w:r w:rsidRPr="003B4362">
        <w:t>.</w:t>
      </w:r>
    </w:p>
    <w:p w14:paraId="1D82F94A" w14:textId="77777777" w:rsidR="00710318" w:rsidRDefault="00710318" w:rsidP="00710318">
      <w:pPr>
        <w:widowControl w:val="0"/>
        <w:suppressAutoHyphens/>
        <w:ind w:left="2880" w:hanging="720"/>
      </w:pPr>
    </w:p>
    <w:p w14:paraId="1F94ADEF" w14:textId="42B7BAB8" w:rsidR="004F7532" w:rsidRPr="003B4362" w:rsidRDefault="004F7532" w:rsidP="00710318">
      <w:pPr>
        <w:widowControl w:val="0"/>
        <w:suppressAutoHyphens/>
        <w:ind w:left="2880" w:hanging="720"/>
      </w:pPr>
      <w:r w:rsidRPr="003B4362">
        <w:t>O)</w:t>
      </w:r>
      <w:r w:rsidRPr="003B4362">
        <w:tab/>
        <w:t>Thallium:  ± 30% at greater than or equal to 0.002 mg/</w:t>
      </w:r>
      <w:r w:rsidR="002E7704" w:rsidRPr="003B4362">
        <w:t xml:space="preserve"> L</w:t>
      </w:r>
      <w:r w:rsidRPr="003B4362">
        <w:t>.</w:t>
      </w:r>
    </w:p>
    <w:p w14:paraId="2378EF27" w14:textId="77777777" w:rsidR="00710318" w:rsidRDefault="00710318" w:rsidP="00710318">
      <w:pPr>
        <w:widowControl w:val="0"/>
      </w:pPr>
    </w:p>
    <w:p w14:paraId="25E16B17" w14:textId="44A25A8F" w:rsidR="004F7532" w:rsidRPr="003B4362" w:rsidRDefault="004F7532" w:rsidP="00710318">
      <w:pPr>
        <w:widowControl w:val="0"/>
      </w:pPr>
      <w:r w:rsidRPr="003B4362">
        <w:t xml:space="preserve">BOARD NOTE:  </w:t>
      </w:r>
      <w:r w:rsidR="00260D73" w:rsidRPr="003B4362">
        <w:rPr>
          <w:spacing w:val="-3"/>
        </w:rPr>
        <w:t xml:space="preserve">This Section derives </w:t>
      </w:r>
      <w:r w:rsidRPr="003B4362">
        <w:t>from 40 CFR 141.23(k) and appendix A to subpart C of 40 CFR 141.  T</w:t>
      </w:r>
      <w:bookmarkStart w:id="3735" w:name="_Hlk131442748"/>
      <w:r w:rsidRPr="003B4362">
        <w:t xml:space="preserve">he Board </w:t>
      </w:r>
      <w:r w:rsidR="00F53D02" w:rsidRPr="003B4362">
        <w:t xml:space="preserve">did not separately list </w:t>
      </w:r>
      <w:r w:rsidRPr="003B4362">
        <w:t>approved alternative methods</w:t>
      </w:r>
      <w:bookmarkEnd w:id="3735"/>
      <w:r w:rsidRPr="003B4362">
        <w:t xml:space="preserve"> from Standard Methods Online that are the same version as </w:t>
      </w:r>
      <w:bookmarkStart w:id="3736" w:name="_Hlk131442874"/>
      <w:r w:rsidRPr="003B4362">
        <w:t xml:space="preserve">a method </w:t>
      </w:r>
      <w:r w:rsidR="00AC3823" w:rsidRPr="003B4362">
        <w:t xml:space="preserve">appearing </w:t>
      </w:r>
      <w:r w:rsidRPr="003B4362">
        <w:t>in a printed edition</w:t>
      </w:r>
      <w:bookmarkEnd w:id="3736"/>
      <w:r w:rsidRPr="003B4362">
        <w:t xml:space="preserve"> of Standard Methods.  </w:t>
      </w:r>
      <w:r w:rsidR="00AC3823" w:rsidRPr="003B4362">
        <w:rPr>
          <w:szCs w:val="22"/>
        </w:rPr>
        <w:t>U</w:t>
      </w:r>
      <w:bookmarkStart w:id="3737" w:name="_Hlk131442968"/>
      <w:r w:rsidR="00AC3823" w:rsidRPr="003B4362">
        <w:rPr>
          <w:szCs w:val="22"/>
        </w:rPr>
        <w:t xml:space="preserve">sing </w:t>
      </w:r>
      <w:r w:rsidRPr="003B4362">
        <w:t>the Standard Methods Online copy</w:t>
      </w:r>
      <w:bookmarkEnd w:id="3737"/>
      <w:r w:rsidRPr="003B4362">
        <w:t xml:space="preserve"> is acceptable.</w:t>
      </w:r>
    </w:p>
    <w:p w14:paraId="13A41509" w14:textId="77777777" w:rsidR="00710318" w:rsidRDefault="00710318" w:rsidP="00710318">
      <w:pPr>
        <w:widowControl w:val="0"/>
        <w:ind w:left="720"/>
      </w:pPr>
      <w:bookmarkStart w:id="3738" w:name="_Hlk3987265"/>
    </w:p>
    <w:p w14:paraId="53D60CD9" w14:textId="5FB73CCB" w:rsidR="004F7532" w:rsidRPr="003B4362" w:rsidRDefault="004F7532" w:rsidP="00710318">
      <w:pPr>
        <w:widowControl w:val="0"/>
        <w:ind w:left="720"/>
      </w:pPr>
      <w:r w:rsidRPr="003B4362">
        <w:t>Standard Methods Online, Method 2320 B-97</w:t>
      </w:r>
      <w:bookmarkEnd w:id="3738"/>
      <w:r w:rsidRPr="003B4362">
        <w:t xml:space="preserve"> appears in the 21st, 22nd, and 23rd editions as Method 2320 B.  </w:t>
      </w:r>
      <w:r w:rsidR="00D07060" w:rsidRPr="003B4362">
        <w:t xml:space="preserve">This appears in this Section </w:t>
      </w:r>
      <w:r w:rsidRPr="003B4362">
        <w:t>as SM 2320 B (97).</w:t>
      </w:r>
    </w:p>
    <w:p w14:paraId="4033209E" w14:textId="77777777" w:rsidR="00710318" w:rsidRDefault="00710318" w:rsidP="00710318">
      <w:pPr>
        <w:widowControl w:val="0"/>
        <w:ind w:left="720"/>
      </w:pPr>
      <w:bookmarkStart w:id="3739" w:name="_Hlk3987282"/>
    </w:p>
    <w:p w14:paraId="55B7C336" w14:textId="18C7B338" w:rsidR="004F7532" w:rsidRPr="003B4362" w:rsidRDefault="004F7532" w:rsidP="00710318">
      <w:pPr>
        <w:widowControl w:val="0"/>
        <w:ind w:left="720"/>
      </w:pPr>
      <w:r w:rsidRPr="003B4362">
        <w:t>Standard Methods Online, Method 2510 B-97</w:t>
      </w:r>
      <w:bookmarkEnd w:id="3739"/>
      <w:r w:rsidRPr="003B4362">
        <w:t xml:space="preserve"> appears in the 20th, 21st, 22nd, and 23rd </w:t>
      </w:r>
      <w:r w:rsidRPr="003B4362">
        <w:lastRenderedPageBreak/>
        <w:t xml:space="preserve">editions as Method 2510 B.  </w:t>
      </w:r>
      <w:r w:rsidR="00D07060" w:rsidRPr="003B4362">
        <w:t xml:space="preserve">This appears in this Section </w:t>
      </w:r>
      <w:r w:rsidRPr="003B4362">
        <w:t>as SM 2510 B (97).</w:t>
      </w:r>
    </w:p>
    <w:p w14:paraId="6B00B721" w14:textId="77777777" w:rsidR="00710318" w:rsidRDefault="00710318" w:rsidP="00710318">
      <w:pPr>
        <w:widowControl w:val="0"/>
        <w:ind w:left="720"/>
      </w:pPr>
      <w:bookmarkStart w:id="3740" w:name="_Hlk3987299"/>
    </w:p>
    <w:p w14:paraId="05C8DB6B" w14:textId="04772CDC" w:rsidR="004F7532" w:rsidRPr="003B4362" w:rsidRDefault="004F7532" w:rsidP="00710318">
      <w:pPr>
        <w:widowControl w:val="0"/>
        <w:ind w:left="720"/>
      </w:pPr>
      <w:r w:rsidRPr="003B4362">
        <w:t>Standard Methods Online, Method 2550-00</w:t>
      </w:r>
      <w:bookmarkEnd w:id="3740"/>
      <w:r w:rsidRPr="003B4362">
        <w:t xml:space="preserve"> appears in the 21st edition as Method 2550.  </w:t>
      </w:r>
      <w:r w:rsidR="00D07060" w:rsidRPr="003B4362">
        <w:t xml:space="preserve">This appears in this Section </w:t>
      </w:r>
      <w:r w:rsidRPr="003B4362">
        <w:t>as SM 2550 (00).</w:t>
      </w:r>
    </w:p>
    <w:p w14:paraId="390691BF" w14:textId="77777777" w:rsidR="00710318" w:rsidRDefault="00710318" w:rsidP="00710318">
      <w:pPr>
        <w:widowControl w:val="0"/>
        <w:ind w:left="720"/>
      </w:pPr>
      <w:bookmarkStart w:id="3741" w:name="_Hlk3987316"/>
    </w:p>
    <w:p w14:paraId="05964176" w14:textId="6EBF3950" w:rsidR="004F7532" w:rsidRPr="003B4362" w:rsidRDefault="004F7532" w:rsidP="00710318">
      <w:pPr>
        <w:widowControl w:val="0"/>
        <w:ind w:left="720"/>
      </w:pPr>
      <w:r w:rsidRPr="003B4362">
        <w:t>Standard Methods Online, Method 2550-10</w:t>
      </w:r>
      <w:bookmarkEnd w:id="3741"/>
      <w:r w:rsidRPr="003B4362">
        <w:t xml:space="preserve"> appears in the 22nd edition as Method 2550.  </w:t>
      </w:r>
      <w:r w:rsidR="00D07060" w:rsidRPr="003B4362">
        <w:t xml:space="preserve">This appears in this Section </w:t>
      </w:r>
      <w:r w:rsidRPr="003B4362">
        <w:t>as SM 2550 (10).</w:t>
      </w:r>
    </w:p>
    <w:p w14:paraId="6F121396" w14:textId="77777777" w:rsidR="00710318" w:rsidRDefault="00710318" w:rsidP="00710318">
      <w:pPr>
        <w:widowControl w:val="0"/>
        <w:ind w:left="720"/>
      </w:pPr>
    </w:p>
    <w:p w14:paraId="7059F812" w14:textId="4C122494" w:rsidR="004F7532" w:rsidRPr="003B4362" w:rsidRDefault="004F7532" w:rsidP="00710318">
      <w:pPr>
        <w:widowControl w:val="0"/>
        <w:ind w:left="720"/>
      </w:pPr>
      <w:r w:rsidRPr="003B4362">
        <w:t xml:space="preserve">Standard Methods Online, Methods </w:t>
      </w:r>
      <w:bookmarkStart w:id="3742" w:name="_Hlk3987334"/>
      <w:r w:rsidRPr="003B4362">
        <w:t>3111 B-99 and 3111 D-99</w:t>
      </w:r>
      <w:bookmarkEnd w:id="3742"/>
      <w:r w:rsidRPr="003B4362">
        <w:t xml:space="preserve"> appear in the 21st, 22nd, and 23rd editions as Methods 3111 B and 3111 D.  </w:t>
      </w:r>
      <w:r w:rsidR="00D07060" w:rsidRPr="003B4362">
        <w:t xml:space="preserve">These appear in this Section </w:t>
      </w:r>
      <w:r w:rsidRPr="003B4362">
        <w:t>as SM 3111 B (99) and SM 3111 D (99).</w:t>
      </w:r>
    </w:p>
    <w:p w14:paraId="71A46658" w14:textId="77777777" w:rsidR="00710318" w:rsidRDefault="00710318" w:rsidP="00710318">
      <w:pPr>
        <w:widowControl w:val="0"/>
        <w:ind w:left="720"/>
      </w:pPr>
    </w:p>
    <w:p w14:paraId="468ED12F" w14:textId="238648D2" w:rsidR="004F7532" w:rsidRPr="003B4362" w:rsidRDefault="004F7532" w:rsidP="00710318">
      <w:pPr>
        <w:widowControl w:val="0"/>
        <w:ind w:left="720"/>
      </w:pPr>
      <w:r w:rsidRPr="003B4362">
        <w:t xml:space="preserve">Standard Methods Online, Method </w:t>
      </w:r>
      <w:bookmarkStart w:id="3743" w:name="_Hlk3987351"/>
      <w:r w:rsidRPr="003B4362">
        <w:t>3112 B-09</w:t>
      </w:r>
      <w:bookmarkEnd w:id="3743"/>
      <w:r w:rsidRPr="003B4362">
        <w:t xml:space="preserve"> appears in the 22nd and 23rd editions as Method 3112 B.  </w:t>
      </w:r>
      <w:r w:rsidR="00D07060" w:rsidRPr="003B4362">
        <w:t xml:space="preserve">This appears in this Section </w:t>
      </w:r>
      <w:r w:rsidRPr="003B4362">
        <w:t>as SM 3112 B (09).</w:t>
      </w:r>
    </w:p>
    <w:p w14:paraId="09249ACD" w14:textId="77777777" w:rsidR="00710318" w:rsidRDefault="00710318" w:rsidP="00710318">
      <w:pPr>
        <w:widowControl w:val="0"/>
        <w:ind w:left="720"/>
      </w:pPr>
    </w:p>
    <w:p w14:paraId="6FFBE1A5" w14:textId="4AF737CD" w:rsidR="004F7532" w:rsidRPr="003B4362" w:rsidRDefault="004F7532" w:rsidP="00710318">
      <w:pPr>
        <w:widowControl w:val="0"/>
        <w:ind w:left="720"/>
      </w:pPr>
      <w:r w:rsidRPr="003B4362">
        <w:t xml:space="preserve">Standard Methods Online, Method </w:t>
      </w:r>
      <w:bookmarkStart w:id="3744" w:name="_Hlk3987368"/>
      <w:r w:rsidRPr="003B4362">
        <w:t>3113 B-99</w:t>
      </w:r>
      <w:bookmarkEnd w:id="3744"/>
      <w:r w:rsidRPr="003B4362">
        <w:t xml:space="preserve"> appears in the 21st edition as Method 3113 B.  </w:t>
      </w:r>
      <w:r w:rsidR="00D07060" w:rsidRPr="003B4362">
        <w:t xml:space="preserve">This appears in this Section </w:t>
      </w:r>
      <w:r w:rsidRPr="003B4362">
        <w:t>as SM 3113 B (99).</w:t>
      </w:r>
    </w:p>
    <w:p w14:paraId="080E0502" w14:textId="77777777" w:rsidR="00710318" w:rsidRDefault="00710318" w:rsidP="00710318">
      <w:pPr>
        <w:widowControl w:val="0"/>
        <w:ind w:left="720"/>
      </w:pPr>
    </w:p>
    <w:p w14:paraId="2D0C7486" w14:textId="5C537074" w:rsidR="004F7532" w:rsidRPr="003B4362" w:rsidRDefault="004F7532" w:rsidP="00710318">
      <w:pPr>
        <w:widowControl w:val="0"/>
        <w:ind w:left="720"/>
      </w:pPr>
      <w:r w:rsidRPr="003B4362">
        <w:t xml:space="preserve">Standard Methods Online, Method </w:t>
      </w:r>
      <w:bookmarkStart w:id="3745" w:name="_Hlk3987408"/>
      <w:r w:rsidRPr="003B4362">
        <w:t>3113 B-10</w:t>
      </w:r>
      <w:bookmarkEnd w:id="3745"/>
      <w:r w:rsidRPr="003B4362">
        <w:t xml:space="preserve"> appears in the 22nd and 23rd editions as Method 3113 B.  </w:t>
      </w:r>
      <w:r w:rsidR="00D07060" w:rsidRPr="003B4362">
        <w:t xml:space="preserve">This appears in this Section </w:t>
      </w:r>
      <w:r w:rsidRPr="003B4362">
        <w:t>as SM 3113 B (10).</w:t>
      </w:r>
    </w:p>
    <w:p w14:paraId="471E4B6E" w14:textId="77777777" w:rsidR="00710318" w:rsidRDefault="00710318" w:rsidP="00710318">
      <w:pPr>
        <w:widowControl w:val="0"/>
        <w:ind w:left="720"/>
      </w:pPr>
    </w:p>
    <w:p w14:paraId="51DEFCA4" w14:textId="1CE2E2AA" w:rsidR="004F7532" w:rsidRPr="003B4362" w:rsidRDefault="004F7532" w:rsidP="00710318">
      <w:pPr>
        <w:widowControl w:val="0"/>
        <w:ind w:left="720"/>
      </w:pPr>
      <w:r w:rsidRPr="003B4362">
        <w:t xml:space="preserve">Standard Methods Online, Method </w:t>
      </w:r>
      <w:bookmarkStart w:id="3746" w:name="_Hlk3987425"/>
      <w:r w:rsidRPr="003B4362">
        <w:t>3114 B-97</w:t>
      </w:r>
      <w:bookmarkEnd w:id="3746"/>
      <w:r w:rsidRPr="003B4362">
        <w:t xml:space="preserve"> appears in the 21st edition as Method 3114 B.  </w:t>
      </w:r>
      <w:r w:rsidR="00D07060" w:rsidRPr="003B4362">
        <w:t xml:space="preserve">This appears in this Section </w:t>
      </w:r>
      <w:r w:rsidRPr="003B4362">
        <w:t>as SM 3114 B (97).</w:t>
      </w:r>
    </w:p>
    <w:p w14:paraId="785CF0DB" w14:textId="77777777" w:rsidR="00710318" w:rsidRDefault="00710318" w:rsidP="00710318">
      <w:pPr>
        <w:widowControl w:val="0"/>
        <w:ind w:left="720"/>
      </w:pPr>
    </w:p>
    <w:p w14:paraId="728EEFC0" w14:textId="70409339" w:rsidR="004F7532" w:rsidRPr="003B4362" w:rsidRDefault="004F7532" w:rsidP="00710318">
      <w:pPr>
        <w:widowControl w:val="0"/>
        <w:ind w:left="720"/>
      </w:pPr>
      <w:r w:rsidRPr="003B4362">
        <w:t xml:space="preserve">Standard Methods Online, Method </w:t>
      </w:r>
      <w:bookmarkStart w:id="3747" w:name="_Hlk3987443"/>
      <w:r w:rsidRPr="003B4362">
        <w:t>3114 B-09</w:t>
      </w:r>
      <w:bookmarkEnd w:id="3747"/>
      <w:r w:rsidRPr="003B4362">
        <w:t xml:space="preserve"> appears in the 22nd and 23rd editions as Method 3114 B.  </w:t>
      </w:r>
      <w:r w:rsidR="00D07060" w:rsidRPr="003B4362">
        <w:t xml:space="preserve">This appears in this Section </w:t>
      </w:r>
      <w:r w:rsidRPr="003B4362">
        <w:t>as SM 3114 B (09).</w:t>
      </w:r>
    </w:p>
    <w:p w14:paraId="7767974A" w14:textId="77777777" w:rsidR="00710318" w:rsidRDefault="00710318" w:rsidP="00710318">
      <w:pPr>
        <w:widowControl w:val="0"/>
        <w:ind w:left="720"/>
      </w:pPr>
    </w:p>
    <w:p w14:paraId="70908039" w14:textId="20910B34" w:rsidR="004F7532" w:rsidRPr="003B4362" w:rsidRDefault="004F7532" w:rsidP="00710318">
      <w:pPr>
        <w:widowControl w:val="0"/>
        <w:ind w:left="720"/>
      </w:pPr>
      <w:r w:rsidRPr="003B4362">
        <w:t xml:space="preserve">Standard Methods Online, Method </w:t>
      </w:r>
      <w:bookmarkStart w:id="3748" w:name="_Hlk3987462"/>
      <w:r w:rsidRPr="003B4362">
        <w:t>3120 B-99</w:t>
      </w:r>
      <w:bookmarkEnd w:id="3748"/>
      <w:r w:rsidRPr="003B4362">
        <w:t xml:space="preserve"> appears in the 21st edition as Method 3120 B.  </w:t>
      </w:r>
      <w:r w:rsidR="00D07060" w:rsidRPr="003B4362">
        <w:t xml:space="preserve">This appears in this Section </w:t>
      </w:r>
      <w:r w:rsidRPr="003B4362">
        <w:t>as SM 3120 B (99).</w:t>
      </w:r>
    </w:p>
    <w:p w14:paraId="67F17FD9" w14:textId="77777777" w:rsidR="00710318" w:rsidRDefault="00710318" w:rsidP="00710318">
      <w:pPr>
        <w:widowControl w:val="0"/>
        <w:ind w:left="720"/>
      </w:pPr>
    </w:p>
    <w:p w14:paraId="72940510" w14:textId="5C23E412" w:rsidR="004F7532" w:rsidRPr="003B4362" w:rsidRDefault="004F7532" w:rsidP="00710318">
      <w:pPr>
        <w:widowControl w:val="0"/>
        <w:ind w:left="720"/>
      </w:pPr>
      <w:r w:rsidRPr="003B4362">
        <w:t xml:space="preserve">Standard Methods Online, Methods </w:t>
      </w:r>
      <w:bookmarkStart w:id="3749" w:name="_Hlk3987479"/>
      <w:r w:rsidRPr="003B4362">
        <w:t>3500-Ca B-97 and 3500-Ca D-97</w:t>
      </w:r>
      <w:bookmarkEnd w:id="3749"/>
      <w:r w:rsidRPr="003B4362">
        <w:t xml:space="preserve"> appear in the 20th, 21st, 22nd, and 23rd editions as Methods 3500-Ca B and 3500-Ca D.  </w:t>
      </w:r>
      <w:r w:rsidR="00D07060" w:rsidRPr="003B4362">
        <w:t xml:space="preserve">These appear in this Section </w:t>
      </w:r>
      <w:r w:rsidRPr="003B4362">
        <w:t>as SM 3500-Ca B (97) and SM 3500-Ca D (97).</w:t>
      </w:r>
    </w:p>
    <w:p w14:paraId="5F65901C" w14:textId="77777777" w:rsidR="00710318" w:rsidRDefault="00710318" w:rsidP="00710318">
      <w:pPr>
        <w:widowControl w:val="0"/>
        <w:ind w:left="720"/>
      </w:pPr>
    </w:p>
    <w:p w14:paraId="3393287B" w14:textId="36C28498" w:rsidR="004F7532" w:rsidRPr="003B4362" w:rsidRDefault="004F7532" w:rsidP="00710318">
      <w:pPr>
        <w:widowControl w:val="0"/>
        <w:ind w:left="720"/>
      </w:pPr>
      <w:r w:rsidRPr="003B4362">
        <w:t xml:space="preserve">Standard Methods Online, Method </w:t>
      </w:r>
      <w:bookmarkStart w:id="3750" w:name="_Hlk3987492"/>
      <w:r w:rsidRPr="003B4362">
        <w:t>3500-Mg B-97</w:t>
      </w:r>
      <w:bookmarkEnd w:id="3750"/>
      <w:r w:rsidRPr="003B4362">
        <w:t xml:space="preserve"> appears in the 20th, 21st, 22nd, and 23rd editions as Method 3500-Mg B.  </w:t>
      </w:r>
      <w:r w:rsidR="00D07060" w:rsidRPr="003B4362">
        <w:t xml:space="preserve">This appears in this Section </w:t>
      </w:r>
      <w:r w:rsidRPr="003B4362">
        <w:t>as SM 3500-Mg B (97).</w:t>
      </w:r>
    </w:p>
    <w:p w14:paraId="4EAC5BDE" w14:textId="77777777" w:rsidR="00710318" w:rsidRDefault="00710318" w:rsidP="00710318">
      <w:pPr>
        <w:widowControl w:val="0"/>
        <w:ind w:left="720"/>
      </w:pPr>
    </w:p>
    <w:p w14:paraId="2F84BF4A" w14:textId="56567AA8" w:rsidR="004F7532" w:rsidRPr="003B4362" w:rsidRDefault="004F7532" w:rsidP="00710318">
      <w:pPr>
        <w:widowControl w:val="0"/>
        <w:ind w:left="720"/>
      </w:pPr>
      <w:r w:rsidRPr="003B4362">
        <w:t xml:space="preserve">Standard Methods Online, Method </w:t>
      </w:r>
      <w:bookmarkStart w:id="3751" w:name="_Hlk3987505"/>
      <w:r w:rsidRPr="003B4362">
        <w:t>4110 B-00</w:t>
      </w:r>
      <w:bookmarkEnd w:id="3751"/>
      <w:r w:rsidRPr="003B4362">
        <w:t xml:space="preserve"> appears in the 21st, 22nd, and 23rd editions as Method 4110 B.  </w:t>
      </w:r>
      <w:r w:rsidR="00D07060" w:rsidRPr="003B4362">
        <w:t xml:space="preserve">This appears in this Section </w:t>
      </w:r>
      <w:r w:rsidRPr="003B4362">
        <w:t>as SM 4110 B (00).</w:t>
      </w:r>
    </w:p>
    <w:p w14:paraId="3D248297" w14:textId="77777777" w:rsidR="00710318" w:rsidRDefault="00710318" w:rsidP="00710318">
      <w:pPr>
        <w:widowControl w:val="0"/>
        <w:ind w:left="720"/>
      </w:pPr>
    </w:p>
    <w:p w14:paraId="12AB5419" w14:textId="454D2F83" w:rsidR="004F7532" w:rsidRPr="003B4362" w:rsidRDefault="004F7532" w:rsidP="00710318">
      <w:pPr>
        <w:widowControl w:val="0"/>
        <w:ind w:left="720"/>
      </w:pPr>
      <w:r w:rsidRPr="003B4362">
        <w:t xml:space="preserve">Standard Methods Online, Methods </w:t>
      </w:r>
      <w:bookmarkStart w:id="3752" w:name="_Hlk3987521"/>
      <w:r w:rsidRPr="003B4362">
        <w:t>4500-CN</w:t>
      </w:r>
      <w:r w:rsidRPr="003B4362">
        <w:rPr>
          <w:vertAlign w:val="superscript"/>
        </w:rPr>
        <w:t>–</w:t>
      </w:r>
      <w:r w:rsidRPr="003B4362">
        <w:t xml:space="preserve"> C-90, 4500-CN</w:t>
      </w:r>
      <w:r w:rsidRPr="003B4362">
        <w:rPr>
          <w:vertAlign w:val="superscript"/>
        </w:rPr>
        <w:t>–</w:t>
      </w:r>
      <w:r w:rsidRPr="003B4362">
        <w:t xml:space="preserve"> E-90, 4500-CN</w:t>
      </w:r>
      <w:r w:rsidRPr="003B4362">
        <w:rPr>
          <w:vertAlign w:val="superscript"/>
        </w:rPr>
        <w:t>–</w:t>
      </w:r>
      <w:r w:rsidRPr="003B4362">
        <w:t xml:space="preserve"> F-90, and 4500-CN</w:t>
      </w:r>
      <w:r w:rsidRPr="003B4362">
        <w:rPr>
          <w:vertAlign w:val="superscript"/>
        </w:rPr>
        <w:t>–</w:t>
      </w:r>
      <w:r w:rsidRPr="003B4362">
        <w:t xml:space="preserve"> G-90</w:t>
      </w:r>
      <w:bookmarkEnd w:id="3752"/>
      <w:r w:rsidRPr="003B4362">
        <w:t xml:space="preserve"> appear in the 18th and 19th editions as Methods 4500-CN</w:t>
      </w:r>
      <w:r w:rsidRPr="003B4362">
        <w:rPr>
          <w:vertAlign w:val="superscript"/>
        </w:rPr>
        <w:t>–</w:t>
      </w:r>
      <w:r w:rsidRPr="003B4362">
        <w:t xml:space="preserve"> C, 4500-CN</w:t>
      </w:r>
      <w:r w:rsidRPr="003B4362">
        <w:rPr>
          <w:vertAlign w:val="superscript"/>
        </w:rPr>
        <w:t>–</w:t>
      </w:r>
      <w:r w:rsidRPr="003B4362">
        <w:t xml:space="preserve"> E, 4500-CN</w:t>
      </w:r>
      <w:r w:rsidRPr="003B4362">
        <w:rPr>
          <w:vertAlign w:val="superscript"/>
        </w:rPr>
        <w:t>–</w:t>
      </w:r>
      <w:r w:rsidRPr="003B4362">
        <w:t xml:space="preserve"> F, and 4500-CN</w:t>
      </w:r>
      <w:r w:rsidRPr="003B4362">
        <w:rPr>
          <w:vertAlign w:val="superscript"/>
        </w:rPr>
        <w:t>–</w:t>
      </w:r>
      <w:r w:rsidRPr="003B4362">
        <w:t xml:space="preserve"> G.  </w:t>
      </w:r>
      <w:r w:rsidR="00D07060" w:rsidRPr="003B4362">
        <w:t xml:space="preserve">These appear in this Section </w:t>
      </w:r>
      <w:r w:rsidRPr="003B4362">
        <w:t>as SM 4500-CN</w:t>
      </w:r>
      <w:r w:rsidRPr="003B4362">
        <w:rPr>
          <w:vertAlign w:val="superscript"/>
        </w:rPr>
        <w:t>–</w:t>
      </w:r>
      <w:r w:rsidRPr="003B4362">
        <w:t xml:space="preserve"> C (90), SM 4500-CN</w:t>
      </w:r>
      <w:r w:rsidRPr="003B4362">
        <w:rPr>
          <w:vertAlign w:val="superscript"/>
        </w:rPr>
        <w:t>–</w:t>
      </w:r>
      <w:r w:rsidRPr="003B4362">
        <w:t xml:space="preserve"> E (90), SM 4500-CN</w:t>
      </w:r>
      <w:r w:rsidRPr="003B4362">
        <w:rPr>
          <w:vertAlign w:val="superscript"/>
        </w:rPr>
        <w:t>–</w:t>
      </w:r>
      <w:r w:rsidRPr="003B4362">
        <w:t xml:space="preserve"> F (90), and SM 4500-CN</w:t>
      </w:r>
      <w:r w:rsidRPr="003B4362">
        <w:rPr>
          <w:vertAlign w:val="superscript"/>
        </w:rPr>
        <w:t>–</w:t>
      </w:r>
      <w:r w:rsidRPr="003B4362">
        <w:t xml:space="preserve"> G (90).</w:t>
      </w:r>
    </w:p>
    <w:p w14:paraId="2F4C3C85" w14:textId="77777777" w:rsidR="00710318" w:rsidRDefault="00710318" w:rsidP="00710318">
      <w:pPr>
        <w:widowControl w:val="0"/>
        <w:ind w:left="720"/>
      </w:pPr>
    </w:p>
    <w:p w14:paraId="51C6113B" w14:textId="3CB2B811" w:rsidR="004F7532" w:rsidRPr="003B4362" w:rsidRDefault="004F7532" w:rsidP="00710318">
      <w:pPr>
        <w:widowControl w:val="0"/>
        <w:ind w:left="720"/>
      </w:pPr>
      <w:r w:rsidRPr="003B4362">
        <w:t>Standard Methods Online, Methods 4500-CN</w:t>
      </w:r>
      <w:r w:rsidRPr="003B4362">
        <w:rPr>
          <w:vertAlign w:val="superscript"/>
        </w:rPr>
        <w:t>–</w:t>
      </w:r>
      <w:r w:rsidRPr="003B4362">
        <w:t xml:space="preserve"> C-99, 4500-CN</w:t>
      </w:r>
      <w:r w:rsidRPr="003B4362">
        <w:rPr>
          <w:vertAlign w:val="superscript"/>
        </w:rPr>
        <w:t>–</w:t>
      </w:r>
      <w:r w:rsidRPr="003B4362">
        <w:t xml:space="preserve"> E-99, 4500-CN</w:t>
      </w:r>
      <w:r w:rsidRPr="003B4362">
        <w:rPr>
          <w:vertAlign w:val="superscript"/>
        </w:rPr>
        <w:t>–</w:t>
      </w:r>
      <w:r w:rsidRPr="003B4362">
        <w:t xml:space="preserve"> F-99, and 4500-CN</w:t>
      </w:r>
      <w:r w:rsidRPr="003B4362">
        <w:rPr>
          <w:vertAlign w:val="superscript"/>
        </w:rPr>
        <w:t>–</w:t>
      </w:r>
      <w:r w:rsidRPr="003B4362">
        <w:t xml:space="preserve"> G-99 appear in the 21st and 22nd editions as Methods 4500-CN</w:t>
      </w:r>
      <w:r w:rsidRPr="003B4362">
        <w:rPr>
          <w:vertAlign w:val="superscript"/>
        </w:rPr>
        <w:t>–</w:t>
      </w:r>
      <w:r w:rsidRPr="003B4362">
        <w:t xml:space="preserve"> C, 4500-CN</w:t>
      </w:r>
      <w:r w:rsidRPr="003B4362">
        <w:rPr>
          <w:vertAlign w:val="superscript"/>
        </w:rPr>
        <w:t>–</w:t>
      </w:r>
      <w:r w:rsidRPr="003B4362">
        <w:t xml:space="preserve"> E, 4500-CN</w:t>
      </w:r>
      <w:r w:rsidRPr="003B4362">
        <w:rPr>
          <w:vertAlign w:val="superscript"/>
        </w:rPr>
        <w:t>–</w:t>
      </w:r>
      <w:r w:rsidRPr="003B4362">
        <w:t xml:space="preserve"> F, and 4500-CN</w:t>
      </w:r>
      <w:r w:rsidRPr="003B4362">
        <w:rPr>
          <w:vertAlign w:val="superscript"/>
        </w:rPr>
        <w:t>–</w:t>
      </w:r>
      <w:r w:rsidRPr="003B4362">
        <w:t xml:space="preserve"> G.  </w:t>
      </w:r>
      <w:r w:rsidR="00D07060" w:rsidRPr="003B4362">
        <w:t xml:space="preserve">These appear in this Section </w:t>
      </w:r>
      <w:r w:rsidRPr="003B4362">
        <w:t>as SM 4500-CN</w:t>
      </w:r>
      <w:r w:rsidRPr="003B4362">
        <w:rPr>
          <w:vertAlign w:val="superscript"/>
        </w:rPr>
        <w:t>–</w:t>
      </w:r>
      <w:r w:rsidRPr="003B4362">
        <w:t xml:space="preserve"> C (99), SM 4500-CN</w:t>
      </w:r>
      <w:r w:rsidRPr="003B4362">
        <w:rPr>
          <w:vertAlign w:val="superscript"/>
        </w:rPr>
        <w:t>–</w:t>
      </w:r>
      <w:r w:rsidRPr="003B4362">
        <w:t xml:space="preserve"> E (99), SM 4500-CN</w:t>
      </w:r>
      <w:r w:rsidRPr="003B4362">
        <w:rPr>
          <w:vertAlign w:val="superscript"/>
        </w:rPr>
        <w:t>–</w:t>
      </w:r>
      <w:r w:rsidRPr="003B4362">
        <w:t xml:space="preserve"> F (99), and SM 4500-CN</w:t>
      </w:r>
      <w:r w:rsidRPr="003B4362">
        <w:rPr>
          <w:vertAlign w:val="superscript"/>
        </w:rPr>
        <w:t>–</w:t>
      </w:r>
      <w:r w:rsidRPr="003B4362">
        <w:t xml:space="preserve"> G (99).</w:t>
      </w:r>
    </w:p>
    <w:p w14:paraId="7DF5EC33" w14:textId="77777777" w:rsidR="00710318" w:rsidRDefault="00710318" w:rsidP="00710318">
      <w:pPr>
        <w:widowControl w:val="0"/>
        <w:ind w:left="720"/>
      </w:pPr>
    </w:p>
    <w:p w14:paraId="368FEF95" w14:textId="1ABA73B7" w:rsidR="004F7532" w:rsidRPr="003B4362" w:rsidRDefault="004F7532" w:rsidP="00710318">
      <w:pPr>
        <w:widowControl w:val="0"/>
        <w:ind w:left="720"/>
      </w:pPr>
      <w:r w:rsidRPr="003B4362">
        <w:t xml:space="preserve">Standard Methods Online, Methods </w:t>
      </w:r>
      <w:bookmarkStart w:id="3753" w:name="_Hlk3987549"/>
      <w:r w:rsidRPr="003B4362">
        <w:t>4500-F</w:t>
      </w:r>
      <w:r w:rsidRPr="003B4362">
        <w:rPr>
          <w:vertAlign w:val="superscript"/>
        </w:rPr>
        <w:t>–</w:t>
      </w:r>
      <w:r w:rsidRPr="003B4362">
        <w:t xml:space="preserve"> B-97, 4500-F</w:t>
      </w:r>
      <w:r w:rsidRPr="003B4362">
        <w:rPr>
          <w:vertAlign w:val="superscript"/>
        </w:rPr>
        <w:t>–</w:t>
      </w:r>
      <w:r w:rsidRPr="003B4362">
        <w:t xml:space="preserve"> C-97, 4500-F</w:t>
      </w:r>
      <w:r w:rsidRPr="003B4362">
        <w:rPr>
          <w:vertAlign w:val="superscript"/>
        </w:rPr>
        <w:t>–</w:t>
      </w:r>
      <w:r w:rsidRPr="003B4362">
        <w:t xml:space="preserve"> D-97, and 4500-F</w:t>
      </w:r>
      <w:r w:rsidRPr="003B4362">
        <w:rPr>
          <w:vertAlign w:val="superscript"/>
        </w:rPr>
        <w:t>–</w:t>
      </w:r>
      <w:r w:rsidRPr="003B4362">
        <w:t xml:space="preserve"> E-97</w:t>
      </w:r>
      <w:bookmarkEnd w:id="3753"/>
      <w:r w:rsidRPr="003B4362">
        <w:t xml:space="preserve"> appear in the 20th, 21st, 22nd, and 23rd editions as Methods 4500-F</w:t>
      </w:r>
      <w:r w:rsidRPr="003B4362">
        <w:rPr>
          <w:vertAlign w:val="superscript"/>
        </w:rPr>
        <w:t>–</w:t>
      </w:r>
      <w:r w:rsidRPr="003B4362">
        <w:t xml:space="preserve"> B, 4500-F</w:t>
      </w:r>
      <w:r w:rsidRPr="003B4362">
        <w:rPr>
          <w:vertAlign w:val="superscript"/>
        </w:rPr>
        <w:t>–</w:t>
      </w:r>
      <w:r w:rsidRPr="003B4362">
        <w:t xml:space="preserve"> C, 4500-F</w:t>
      </w:r>
      <w:r w:rsidRPr="003B4362">
        <w:rPr>
          <w:vertAlign w:val="superscript"/>
        </w:rPr>
        <w:t>–</w:t>
      </w:r>
      <w:r w:rsidRPr="003B4362">
        <w:t xml:space="preserve"> D, and 4500-F</w:t>
      </w:r>
      <w:r w:rsidRPr="003B4362">
        <w:rPr>
          <w:vertAlign w:val="superscript"/>
        </w:rPr>
        <w:t>–</w:t>
      </w:r>
      <w:r w:rsidRPr="003B4362">
        <w:t xml:space="preserve"> E.  </w:t>
      </w:r>
      <w:r w:rsidR="00D07060" w:rsidRPr="003B4362">
        <w:t xml:space="preserve">These appear in this Section </w:t>
      </w:r>
      <w:r w:rsidRPr="003B4362">
        <w:t>as SM 4500-F</w:t>
      </w:r>
      <w:r w:rsidRPr="003B4362">
        <w:rPr>
          <w:vertAlign w:val="superscript"/>
        </w:rPr>
        <w:t>–</w:t>
      </w:r>
      <w:r w:rsidRPr="003B4362">
        <w:t xml:space="preserve"> B (97), SM 4500-F</w:t>
      </w:r>
      <w:r w:rsidRPr="003B4362">
        <w:rPr>
          <w:vertAlign w:val="superscript"/>
        </w:rPr>
        <w:t>–</w:t>
      </w:r>
      <w:r w:rsidRPr="003B4362">
        <w:t xml:space="preserve"> C (97), SM 4500-F</w:t>
      </w:r>
      <w:r w:rsidRPr="003B4362">
        <w:rPr>
          <w:vertAlign w:val="superscript"/>
        </w:rPr>
        <w:t>–</w:t>
      </w:r>
      <w:r w:rsidRPr="003B4362">
        <w:t xml:space="preserve"> D (97), and SM 4500-F</w:t>
      </w:r>
      <w:r w:rsidRPr="003B4362">
        <w:rPr>
          <w:vertAlign w:val="superscript"/>
        </w:rPr>
        <w:t>–</w:t>
      </w:r>
      <w:r w:rsidRPr="003B4362">
        <w:t xml:space="preserve"> E (97).</w:t>
      </w:r>
    </w:p>
    <w:p w14:paraId="0875B896" w14:textId="77777777" w:rsidR="00710318" w:rsidRDefault="00710318" w:rsidP="00710318">
      <w:pPr>
        <w:widowControl w:val="0"/>
        <w:ind w:left="720"/>
      </w:pPr>
    </w:p>
    <w:p w14:paraId="4AE6F73A" w14:textId="5E734D9F" w:rsidR="004F7532" w:rsidRPr="003B4362" w:rsidRDefault="004F7532" w:rsidP="00710318">
      <w:pPr>
        <w:widowControl w:val="0"/>
        <w:ind w:left="720"/>
      </w:pPr>
      <w:r w:rsidRPr="003B4362">
        <w:t xml:space="preserve">Standard Methods Online, Methods </w:t>
      </w:r>
      <w:bookmarkStart w:id="3754" w:name="_Hlk3987561"/>
      <w:r w:rsidRPr="003B4362">
        <w:t>4500-NO</w:t>
      </w:r>
      <w:r w:rsidRPr="003B4362">
        <w:rPr>
          <w:vertAlign w:val="subscript"/>
        </w:rPr>
        <w:t>3</w:t>
      </w:r>
      <w:r w:rsidRPr="003B4362">
        <w:rPr>
          <w:vertAlign w:val="superscript"/>
        </w:rPr>
        <w:t>–</w:t>
      </w:r>
      <w:r w:rsidRPr="003B4362">
        <w:t xml:space="preserve"> D-00, 4500-NO</w:t>
      </w:r>
      <w:r w:rsidRPr="003B4362">
        <w:rPr>
          <w:vertAlign w:val="subscript"/>
        </w:rPr>
        <w:t>3</w:t>
      </w:r>
      <w:r w:rsidRPr="003B4362">
        <w:rPr>
          <w:vertAlign w:val="superscript"/>
        </w:rPr>
        <w:t>–</w:t>
      </w:r>
      <w:r w:rsidRPr="003B4362">
        <w:t xml:space="preserve"> E-00, and 4500-NO</w:t>
      </w:r>
      <w:r w:rsidRPr="003B4362">
        <w:rPr>
          <w:vertAlign w:val="subscript"/>
        </w:rPr>
        <w:t>3</w:t>
      </w:r>
      <w:r w:rsidRPr="003B4362">
        <w:rPr>
          <w:vertAlign w:val="superscript"/>
        </w:rPr>
        <w:t>–</w:t>
      </w:r>
      <w:r w:rsidRPr="003B4362">
        <w:t xml:space="preserve"> F-00</w:t>
      </w:r>
      <w:bookmarkEnd w:id="3754"/>
      <w:r w:rsidRPr="003B4362">
        <w:t xml:space="preserve"> appear in the 21st, 22nd, and 23rd editions as Methods 4500-NO</w:t>
      </w:r>
      <w:r w:rsidRPr="003B4362">
        <w:rPr>
          <w:vertAlign w:val="subscript"/>
        </w:rPr>
        <w:t>3</w:t>
      </w:r>
      <w:r w:rsidRPr="003B4362">
        <w:rPr>
          <w:vertAlign w:val="superscript"/>
        </w:rPr>
        <w:t>–</w:t>
      </w:r>
      <w:r w:rsidRPr="003B4362">
        <w:t xml:space="preserve"> D, 4500-NO</w:t>
      </w:r>
      <w:r w:rsidRPr="003B4362">
        <w:rPr>
          <w:vertAlign w:val="subscript"/>
        </w:rPr>
        <w:t>3</w:t>
      </w:r>
      <w:r w:rsidRPr="003B4362">
        <w:rPr>
          <w:vertAlign w:val="superscript"/>
        </w:rPr>
        <w:t>–</w:t>
      </w:r>
      <w:r w:rsidRPr="003B4362">
        <w:t xml:space="preserve"> E, and 4500-NO</w:t>
      </w:r>
      <w:r w:rsidRPr="003B4362">
        <w:rPr>
          <w:vertAlign w:val="subscript"/>
        </w:rPr>
        <w:t>3</w:t>
      </w:r>
      <w:r w:rsidRPr="003B4362">
        <w:rPr>
          <w:vertAlign w:val="superscript"/>
        </w:rPr>
        <w:t>–</w:t>
      </w:r>
      <w:r w:rsidRPr="003B4362">
        <w:t xml:space="preserve"> F.  </w:t>
      </w:r>
      <w:r w:rsidR="00D07060" w:rsidRPr="003B4362">
        <w:t xml:space="preserve">These appear in this Section </w:t>
      </w:r>
      <w:r w:rsidRPr="003B4362">
        <w:t>as SM 4500-NO</w:t>
      </w:r>
      <w:r w:rsidRPr="003B4362">
        <w:rPr>
          <w:vertAlign w:val="subscript"/>
        </w:rPr>
        <w:t>3</w:t>
      </w:r>
      <w:r w:rsidRPr="003B4362">
        <w:rPr>
          <w:vertAlign w:val="superscript"/>
        </w:rPr>
        <w:t>–</w:t>
      </w:r>
      <w:r w:rsidRPr="003B4362">
        <w:t xml:space="preserve"> D (00), SM 4500-NO</w:t>
      </w:r>
      <w:r w:rsidRPr="003B4362">
        <w:rPr>
          <w:vertAlign w:val="subscript"/>
        </w:rPr>
        <w:t>3</w:t>
      </w:r>
      <w:r w:rsidRPr="003B4362">
        <w:rPr>
          <w:vertAlign w:val="superscript"/>
        </w:rPr>
        <w:t>–</w:t>
      </w:r>
      <w:r w:rsidRPr="003B4362">
        <w:t xml:space="preserve"> E (00), and SM 4500-NO</w:t>
      </w:r>
      <w:r w:rsidRPr="003B4362">
        <w:rPr>
          <w:vertAlign w:val="subscript"/>
        </w:rPr>
        <w:t>3</w:t>
      </w:r>
      <w:r w:rsidRPr="003B4362">
        <w:rPr>
          <w:vertAlign w:val="superscript"/>
        </w:rPr>
        <w:t>–</w:t>
      </w:r>
      <w:r w:rsidRPr="003B4362">
        <w:t xml:space="preserve"> F (00).</w:t>
      </w:r>
    </w:p>
    <w:p w14:paraId="071D538D" w14:textId="77777777" w:rsidR="00710318" w:rsidRDefault="00710318" w:rsidP="00710318">
      <w:pPr>
        <w:widowControl w:val="0"/>
        <w:ind w:left="720"/>
      </w:pPr>
    </w:p>
    <w:p w14:paraId="19A74C95" w14:textId="27371495" w:rsidR="004F7532" w:rsidRPr="003B4362" w:rsidRDefault="004F7532" w:rsidP="00710318">
      <w:pPr>
        <w:widowControl w:val="0"/>
        <w:ind w:left="720"/>
      </w:pPr>
      <w:r w:rsidRPr="003B4362">
        <w:t xml:space="preserve">Standard Methods Online, Methods </w:t>
      </w:r>
      <w:bookmarkStart w:id="3755" w:name="_Hlk3987574"/>
      <w:r w:rsidRPr="003B4362">
        <w:t>4500-NO</w:t>
      </w:r>
      <w:r w:rsidRPr="003B4362">
        <w:rPr>
          <w:vertAlign w:val="subscript"/>
        </w:rPr>
        <w:t>2</w:t>
      </w:r>
      <w:r w:rsidRPr="003B4362">
        <w:rPr>
          <w:vertAlign w:val="superscript"/>
        </w:rPr>
        <w:t>–</w:t>
      </w:r>
      <w:r w:rsidRPr="003B4362">
        <w:t xml:space="preserve"> B-00</w:t>
      </w:r>
      <w:bookmarkEnd w:id="3755"/>
      <w:r w:rsidRPr="003B4362">
        <w:t xml:space="preserve"> appears in the 21st, 22nd, and 23rd editions as Method 4500-NO</w:t>
      </w:r>
      <w:r w:rsidRPr="003B4362">
        <w:rPr>
          <w:vertAlign w:val="subscript"/>
        </w:rPr>
        <w:t>2</w:t>
      </w:r>
      <w:r w:rsidRPr="003B4362">
        <w:rPr>
          <w:vertAlign w:val="superscript"/>
        </w:rPr>
        <w:t>–</w:t>
      </w:r>
      <w:r w:rsidRPr="003B4362">
        <w:t xml:space="preserve"> B.  </w:t>
      </w:r>
      <w:r w:rsidR="00D07060" w:rsidRPr="003B4362">
        <w:t xml:space="preserve">This appears in this Section </w:t>
      </w:r>
      <w:r w:rsidRPr="003B4362">
        <w:t>as SM 4500-NO</w:t>
      </w:r>
      <w:r w:rsidRPr="003B4362">
        <w:rPr>
          <w:vertAlign w:val="subscript"/>
        </w:rPr>
        <w:t>2</w:t>
      </w:r>
      <w:r w:rsidRPr="003B4362">
        <w:rPr>
          <w:vertAlign w:val="superscript"/>
        </w:rPr>
        <w:t>–</w:t>
      </w:r>
      <w:r w:rsidRPr="003B4362">
        <w:t xml:space="preserve"> B (00).</w:t>
      </w:r>
    </w:p>
    <w:p w14:paraId="257330FC" w14:textId="77777777" w:rsidR="00710318" w:rsidRDefault="00710318" w:rsidP="00710318">
      <w:pPr>
        <w:widowControl w:val="0"/>
        <w:ind w:left="720"/>
      </w:pPr>
    </w:p>
    <w:p w14:paraId="4231A1CE" w14:textId="0B1AFD47" w:rsidR="004F7532" w:rsidRPr="003B4362" w:rsidRDefault="004F7532" w:rsidP="00710318">
      <w:pPr>
        <w:widowControl w:val="0"/>
        <w:ind w:left="720"/>
      </w:pPr>
      <w:r w:rsidRPr="003B4362">
        <w:t xml:space="preserve">Standard Methods Online, Method </w:t>
      </w:r>
      <w:bookmarkStart w:id="3756" w:name="_Hlk3987617"/>
      <w:r w:rsidRPr="003B4362">
        <w:t>4500-H</w:t>
      </w:r>
      <w:r w:rsidRPr="003B4362">
        <w:rPr>
          <w:vertAlign w:val="superscript"/>
        </w:rPr>
        <w:t>+</w:t>
      </w:r>
      <w:r w:rsidRPr="003B4362">
        <w:t xml:space="preserve"> B-90</w:t>
      </w:r>
      <w:bookmarkEnd w:id="3756"/>
      <w:r w:rsidRPr="003B4362">
        <w:t xml:space="preserve"> appears in the 18th and 19th editions as Method 4500-H</w:t>
      </w:r>
      <w:r w:rsidRPr="003B4362">
        <w:rPr>
          <w:vertAlign w:val="superscript"/>
        </w:rPr>
        <w:t>+</w:t>
      </w:r>
      <w:r w:rsidRPr="003B4362">
        <w:t xml:space="preserve"> B.  </w:t>
      </w:r>
      <w:r w:rsidR="00D07060" w:rsidRPr="003B4362">
        <w:t xml:space="preserve">This appears in this Section </w:t>
      </w:r>
      <w:r w:rsidRPr="003B4362">
        <w:t>as SM 4500-H</w:t>
      </w:r>
      <w:r w:rsidRPr="003B4362">
        <w:rPr>
          <w:vertAlign w:val="superscript"/>
        </w:rPr>
        <w:t>+</w:t>
      </w:r>
      <w:r w:rsidRPr="003B4362">
        <w:t xml:space="preserve"> B (90).</w:t>
      </w:r>
    </w:p>
    <w:p w14:paraId="4023925B" w14:textId="77777777" w:rsidR="00710318" w:rsidRDefault="00710318" w:rsidP="00710318">
      <w:pPr>
        <w:widowControl w:val="0"/>
        <w:ind w:left="720"/>
      </w:pPr>
    </w:p>
    <w:p w14:paraId="05194617" w14:textId="4F2B031F" w:rsidR="004F7532" w:rsidRPr="003B4362" w:rsidRDefault="004F7532" w:rsidP="00710318">
      <w:pPr>
        <w:widowControl w:val="0"/>
        <w:ind w:left="720"/>
      </w:pPr>
      <w:r w:rsidRPr="003B4362">
        <w:t xml:space="preserve">Standard Methods Online, Method </w:t>
      </w:r>
      <w:bookmarkStart w:id="3757" w:name="_Hlk3987637"/>
      <w:r w:rsidRPr="003B4362">
        <w:t>4500-H</w:t>
      </w:r>
      <w:r w:rsidRPr="003B4362">
        <w:rPr>
          <w:vertAlign w:val="superscript"/>
        </w:rPr>
        <w:t>+</w:t>
      </w:r>
      <w:r w:rsidRPr="003B4362">
        <w:t xml:space="preserve"> B-00</w:t>
      </w:r>
      <w:bookmarkEnd w:id="3757"/>
      <w:r w:rsidRPr="003B4362">
        <w:t xml:space="preserve"> appears in the 21st, 22nd, and 23rd editions as Method 4500-H</w:t>
      </w:r>
      <w:r w:rsidRPr="003B4362">
        <w:rPr>
          <w:vertAlign w:val="superscript"/>
        </w:rPr>
        <w:t>+</w:t>
      </w:r>
      <w:r w:rsidRPr="003B4362">
        <w:t xml:space="preserve"> B.  </w:t>
      </w:r>
      <w:r w:rsidR="00D07060" w:rsidRPr="003B4362">
        <w:t xml:space="preserve">This appears in this Section </w:t>
      </w:r>
      <w:r w:rsidRPr="003B4362">
        <w:t>as SM 4500-H</w:t>
      </w:r>
      <w:r w:rsidRPr="003B4362">
        <w:rPr>
          <w:vertAlign w:val="superscript"/>
        </w:rPr>
        <w:t>+</w:t>
      </w:r>
      <w:r w:rsidRPr="003B4362">
        <w:t xml:space="preserve"> B (00).</w:t>
      </w:r>
    </w:p>
    <w:p w14:paraId="6D3BEAC1" w14:textId="77777777" w:rsidR="00710318" w:rsidRDefault="00710318" w:rsidP="00710318">
      <w:pPr>
        <w:widowControl w:val="0"/>
        <w:ind w:left="720"/>
      </w:pPr>
    </w:p>
    <w:p w14:paraId="35A28333" w14:textId="2FB27B96" w:rsidR="004F7532" w:rsidRPr="003B4362" w:rsidRDefault="004F7532" w:rsidP="00710318">
      <w:pPr>
        <w:widowControl w:val="0"/>
        <w:ind w:left="720"/>
      </w:pPr>
      <w:r w:rsidRPr="003B4362">
        <w:t xml:space="preserve">Standard Methods Online, Methods </w:t>
      </w:r>
      <w:bookmarkStart w:id="3758" w:name="_Hlk3987587"/>
      <w:r w:rsidRPr="003B4362">
        <w:t>4500-P E-99 and 4500-P F-99</w:t>
      </w:r>
      <w:bookmarkEnd w:id="3758"/>
      <w:r w:rsidRPr="003B4362">
        <w:t xml:space="preserve"> appear in the 21st and 22nd editions as Methods 4500-P E and 4500-P F.  </w:t>
      </w:r>
      <w:r w:rsidR="00D07060" w:rsidRPr="003B4362">
        <w:t xml:space="preserve">These appear in this Section </w:t>
      </w:r>
      <w:r w:rsidRPr="003B4362">
        <w:t>as SM 4500-P E (97) and SM 4500-P F (97).</w:t>
      </w:r>
    </w:p>
    <w:p w14:paraId="439C3FA0" w14:textId="77777777" w:rsidR="00710318" w:rsidRDefault="00710318" w:rsidP="00710318">
      <w:pPr>
        <w:widowControl w:val="0"/>
        <w:ind w:left="720"/>
      </w:pPr>
    </w:p>
    <w:p w14:paraId="369000C3" w14:textId="2EA9CFF9" w:rsidR="004F7532" w:rsidRPr="003B4362" w:rsidRDefault="004F7532" w:rsidP="00710318">
      <w:pPr>
        <w:widowControl w:val="0"/>
        <w:ind w:left="720"/>
      </w:pPr>
      <w:r w:rsidRPr="003B4362">
        <w:t xml:space="preserve">Standard Methods Online, Methods </w:t>
      </w:r>
      <w:bookmarkStart w:id="3759" w:name="_Hlk3987600"/>
      <w:r w:rsidRPr="003B4362">
        <w:t>4500-SiO</w:t>
      </w:r>
      <w:r w:rsidRPr="003B4362">
        <w:rPr>
          <w:vertAlign w:val="subscript"/>
        </w:rPr>
        <w:t>2</w:t>
      </w:r>
      <w:r w:rsidRPr="003B4362">
        <w:t xml:space="preserve"> C-97, 4500-SiO</w:t>
      </w:r>
      <w:r w:rsidRPr="003B4362">
        <w:rPr>
          <w:vertAlign w:val="subscript"/>
        </w:rPr>
        <w:t>2</w:t>
      </w:r>
      <w:r w:rsidRPr="003B4362">
        <w:t xml:space="preserve"> D-97, and 4500-SiO</w:t>
      </w:r>
      <w:r w:rsidRPr="003B4362">
        <w:rPr>
          <w:vertAlign w:val="subscript"/>
        </w:rPr>
        <w:t>2</w:t>
      </w:r>
      <w:r w:rsidRPr="003B4362">
        <w:t xml:space="preserve"> E-97</w:t>
      </w:r>
      <w:bookmarkEnd w:id="3759"/>
      <w:r w:rsidRPr="003B4362">
        <w:t xml:space="preserve"> appear in the 20th, 21st, 22nd, and 23rd editions as Methods 4500-SiO</w:t>
      </w:r>
      <w:r w:rsidRPr="003B4362">
        <w:rPr>
          <w:vertAlign w:val="subscript"/>
        </w:rPr>
        <w:t>2</w:t>
      </w:r>
      <w:r w:rsidRPr="003B4362">
        <w:t xml:space="preserve"> C, 4500-SiO</w:t>
      </w:r>
      <w:r w:rsidRPr="003B4362">
        <w:rPr>
          <w:vertAlign w:val="subscript"/>
        </w:rPr>
        <w:t>2</w:t>
      </w:r>
      <w:r w:rsidRPr="003B4362">
        <w:t xml:space="preserve"> D, and 4500-SiO</w:t>
      </w:r>
      <w:r w:rsidRPr="003B4362">
        <w:rPr>
          <w:vertAlign w:val="subscript"/>
        </w:rPr>
        <w:t>2</w:t>
      </w:r>
      <w:r w:rsidRPr="003B4362">
        <w:t xml:space="preserve"> E.  </w:t>
      </w:r>
      <w:r w:rsidR="00D07060" w:rsidRPr="003B4362">
        <w:t xml:space="preserve">These appear in this Section </w:t>
      </w:r>
      <w:r w:rsidRPr="003B4362">
        <w:t>as SM 4500-SiO</w:t>
      </w:r>
      <w:r w:rsidRPr="003B4362">
        <w:rPr>
          <w:vertAlign w:val="subscript"/>
        </w:rPr>
        <w:t>2</w:t>
      </w:r>
      <w:r w:rsidRPr="003B4362">
        <w:t xml:space="preserve"> C (97), SM 4500-SiO</w:t>
      </w:r>
      <w:r w:rsidRPr="003B4362">
        <w:rPr>
          <w:vertAlign w:val="subscript"/>
        </w:rPr>
        <w:t>2</w:t>
      </w:r>
      <w:r w:rsidRPr="003B4362">
        <w:t xml:space="preserve"> D (97), and SM 4500-SiO</w:t>
      </w:r>
      <w:r w:rsidRPr="003B4362">
        <w:rPr>
          <w:vertAlign w:val="subscript"/>
        </w:rPr>
        <w:t>2</w:t>
      </w:r>
      <w:r w:rsidRPr="003B4362">
        <w:t xml:space="preserve"> E (97).</w:t>
      </w:r>
    </w:p>
    <w:p w14:paraId="5F431CD7" w14:textId="77777777" w:rsidR="00710318" w:rsidRDefault="00710318" w:rsidP="00710318">
      <w:pPr>
        <w:widowControl w:val="0"/>
        <w:ind w:left="720"/>
      </w:pPr>
    </w:p>
    <w:p w14:paraId="4D7A0C62" w14:textId="5C41B17E" w:rsidR="004F7532" w:rsidRPr="003B4362" w:rsidRDefault="004F7532" w:rsidP="00710318">
      <w:pPr>
        <w:widowControl w:val="0"/>
        <w:ind w:left="720"/>
      </w:pPr>
      <w:r w:rsidRPr="003B4362">
        <w:t xml:space="preserve">Standard Methods Online, Method 6251 B-07 appears in the 22nd and 23rd editions as Method 6251 B.  </w:t>
      </w:r>
      <w:r w:rsidR="00D07060" w:rsidRPr="003B4362">
        <w:t xml:space="preserve">This appears in this Section </w:t>
      </w:r>
      <w:r w:rsidRPr="003B4362">
        <w:t>as SM 6251 B (07).</w:t>
      </w:r>
    </w:p>
    <w:p w14:paraId="6B38E79F" w14:textId="77777777" w:rsidR="00710318" w:rsidRDefault="00710318" w:rsidP="00710318">
      <w:pPr>
        <w:widowControl w:val="0"/>
        <w:ind w:left="720"/>
      </w:pPr>
    </w:p>
    <w:p w14:paraId="5E39F9BF" w14:textId="02C9A991" w:rsidR="004F7532" w:rsidRDefault="00EB353D" w:rsidP="00710318">
      <w:pPr>
        <w:widowControl w:val="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0D7ACB5D" w14:textId="77777777" w:rsidR="00130349" w:rsidRDefault="00130349" w:rsidP="00710318">
      <w:pPr>
        <w:widowControl w:val="0"/>
        <w:ind w:left="720"/>
      </w:pPr>
    </w:p>
    <w:p w14:paraId="4F5C921D" w14:textId="77777777" w:rsidR="00130349" w:rsidRPr="00130349" w:rsidRDefault="00130349" w:rsidP="00130349">
      <w:pPr>
        <w:rPr>
          <w:b/>
          <w:bCs/>
        </w:rPr>
      </w:pPr>
      <w:r w:rsidRPr="00130349">
        <w:rPr>
          <w:b/>
          <w:bCs/>
        </w:rPr>
        <w:t>Section 611.612  Monitoring Requirements for Old Inorganic MCLs</w:t>
      </w:r>
    </w:p>
    <w:p w14:paraId="0E73A731" w14:textId="77777777" w:rsidR="00130349" w:rsidRDefault="00130349" w:rsidP="00130349">
      <w:pPr>
        <w:widowControl w:val="0"/>
        <w:ind w:left="1440" w:hanging="720"/>
      </w:pPr>
    </w:p>
    <w:p w14:paraId="2D5E3482" w14:textId="48AF76F6" w:rsidR="00130349" w:rsidRPr="001A7517" w:rsidRDefault="00130349" w:rsidP="00130349">
      <w:pPr>
        <w:widowControl w:val="0"/>
        <w:ind w:left="1440" w:hanging="720"/>
      </w:pPr>
      <w:r w:rsidRPr="001A7517">
        <w:t>a)</w:t>
      </w:r>
      <w:r w:rsidRPr="001A7517">
        <w:tab/>
        <w:t>Analyses for the purpose of determining compliance with the old inorganic MCLs of Section 611.300 are required as follows:</w:t>
      </w:r>
    </w:p>
    <w:p w14:paraId="414B1A3F" w14:textId="77777777" w:rsidR="00130349" w:rsidRDefault="00130349" w:rsidP="00130349">
      <w:pPr>
        <w:widowControl w:val="0"/>
        <w:ind w:left="2160" w:hanging="720"/>
      </w:pPr>
    </w:p>
    <w:p w14:paraId="12112E21" w14:textId="05E1C4E4" w:rsidR="00130349" w:rsidRPr="001A7517" w:rsidRDefault="00130349" w:rsidP="00130349">
      <w:pPr>
        <w:widowControl w:val="0"/>
        <w:ind w:left="2160" w:hanging="720"/>
      </w:pPr>
      <w:r w:rsidRPr="001A7517">
        <w:t>1)</w:t>
      </w:r>
      <w:r w:rsidRPr="001A7517">
        <w:tab/>
        <w:t xml:space="preserve">Analyses for all CWSs utilizing surface water sources must be repeated at </w:t>
      </w:r>
      <w:r w:rsidRPr="001A7517">
        <w:lastRenderedPageBreak/>
        <w:t>yearly intervals.</w:t>
      </w:r>
    </w:p>
    <w:p w14:paraId="5DA35A86" w14:textId="77777777" w:rsidR="00130349" w:rsidRDefault="00130349" w:rsidP="00130349">
      <w:pPr>
        <w:widowControl w:val="0"/>
        <w:ind w:left="2160" w:hanging="720"/>
      </w:pPr>
    </w:p>
    <w:p w14:paraId="382365BB" w14:textId="793ABE4C" w:rsidR="00130349" w:rsidRPr="001A7517" w:rsidRDefault="00130349" w:rsidP="00130349">
      <w:pPr>
        <w:widowControl w:val="0"/>
        <w:ind w:left="2160" w:hanging="720"/>
      </w:pPr>
      <w:r w:rsidRPr="001A7517">
        <w:t>2)</w:t>
      </w:r>
      <w:r w:rsidRPr="001A7517">
        <w:tab/>
        <w:t>Analyses for all CWSs utilizing only groundwater sources must be repeated at three-year intervals.</w:t>
      </w:r>
    </w:p>
    <w:p w14:paraId="2257AF5D" w14:textId="77777777" w:rsidR="00130349" w:rsidRDefault="00130349" w:rsidP="00130349">
      <w:pPr>
        <w:widowControl w:val="0"/>
        <w:ind w:left="2160" w:hanging="720"/>
      </w:pPr>
    </w:p>
    <w:p w14:paraId="4102842F" w14:textId="5ED4BCB1" w:rsidR="00130349" w:rsidRPr="001A7517" w:rsidRDefault="00130349" w:rsidP="00130349">
      <w:pPr>
        <w:widowControl w:val="0"/>
        <w:ind w:left="2160" w:hanging="720"/>
      </w:pPr>
      <w:r w:rsidRPr="001A7517">
        <w:t>3)</w:t>
      </w:r>
      <w:r w:rsidRPr="001A7517">
        <w:tab/>
        <w:t>This subsection (a)(3) corresponds with 40 CFR 141.23(1)(3), which requires monitoring for the repealed old MCL for nitrate at a frequency specified by the state.  The Board has followed the USEPA lead and repealed that old MCL.  This statement maintains structural consistency with USEPA rules.</w:t>
      </w:r>
    </w:p>
    <w:p w14:paraId="2F711270" w14:textId="77777777" w:rsidR="00130349" w:rsidRDefault="00130349" w:rsidP="00130349">
      <w:pPr>
        <w:widowControl w:val="0"/>
        <w:ind w:left="2160" w:hanging="720"/>
      </w:pPr>
    </w:p>
    <w:p w14:paraId="1895E355" w14:textId="18EF4D31" w:rsidR="00130349" w:rsidRPr="001A7517" w:rsidRDefault="00130349" w:rsidP="00130349">
      <w:pPr>
        <w:widowControl w:val="0"/>
        <w:ind w:left="2160" w:hanging="720"/>
      </w:pPr>
      <w:r w:rsidRPr="001A7517">
        <w:t>4)</w:t>
      </w:r>
      <w:r w:rsidRPr="001A7517">
        <w:tab/>
        <w:t>This subsection (a)(4) corresponds with 40 CFR 141.23(1)(4), which authorizes the state to determine compliance and initiate enforcement action.  This statement maintains structural consistency with USEPA rules.</w:t>
      </w:r>
    </w:p>
    <w:p w14:paraId="03AE80F6" w14:textId="77777777" w:rsidR="00130349" w:rsidRDefault="00130349" w:rsidP="00130349">
      <w:pPr>
        <w:widowControl w:val="0"/>
        <w:ind w:left="1440" w:hanging="720"/>
      </w:pPr>
    </w:p>
    <w:p w14:paraId="493EE8B4" w14:textId="1FDD3106" w:rsidR="00130349" w:rsidRPr="001A7517" w:rsidRDefault="00130349" w:rsidP="00130349">
      <w:pPr>
        <w:widowControl w:val="0"/>
        <w:ind w:left="1440" w:hanging="720"/>
      </w:pPr>
      <w:r w:rsidRPr="001A7517">
        <w:t>b)</w:t>
      </w:r>
      <w:r w:rsidRPr="001A7517">
        <w:tab/>
        <w:t>If the result of an analysis made under subsection (a) indicates that the level of any contaminant listed in Section 611.300 exceeds the old MCL, the supplier must report to the Agency within seven days and initiate three additional analyses at the same sampling point within one month.</w:t>
      </w:r>
    </w:p>
    <w:p w14:paraId="0D705E68" w14:textId="77777777" w:rsidR="00130349" w:rsidRDefault="00130349" w:rsidP="00130349">
      <w:pPr>
        <w:widowControl w:val="0"/>
        <w:ind w:left="1440" w:hanging="720"/>
      </w:pPr>
    </w:p>
    <w:p w14:paraId="0D721D68" w14:textId="5895FF4F" w:rsidR="00130349" w:rsidRPr="001A7517" w:rsidRDefault="00130349" w:rsidP="00130349">
      <w:pPr>
        <w:widowControl w:val="0"/>
        <w:ind w:left="1440" w:hanging="720"/>
      </w:pPr>
      <w:r w:rsidRPr="001A7517">
        <w:t>c)</w:t>
      </w:r>
      <w:r w:rsidRPr="001A7517">
        <w:tab/>
        <w:t>When the average of four analyses made under subsection (b), rounded to the same number of significant figures as the old MCL for the substance in question, exceeds the old MCL, the supplier must notify the Agency and give notice to the public under Subpart V.  Monitoring after public notification must be at a frequency designated by the Agency by a SEP and must continue until the old MCL has not been exceeded in two successive samples or until a different monitoring schedule becomes effective as a condition to a variance, an adjusted standard, a site specific rule, an enforcement action, or another SEP.</w:t>
      </w:r>
    </w:p>
    <w:p w14:paraId="4C8B005F" w14:textId="77777777" w:rsidR="00130349" w:rsidRDefault="00130349" w:rsidP="00130349">
      <w:pPr>
        <w:widowControl w:val="0"/>
        <w:ind w:left="1440" w:hanging="720"/>
      </w:pPr>
    </w:p>
    <w:p w14:paraId="6DDED45A" w14:textId="2AE2740E" w:rsidR="00130349" w:rsidRPr="001A7517" w:rsidRDefault="00130349" w:rsidP="00130349">
      <w:pPr>
        <w:widowControl w:val="0"/>
        <w:ind w:left="1440" w:hanging="720"/>
      </w:pPr>
      <w:r w:rsidRPr="001A7517">
        <w:t>d)</w:t>
      </w:r>
      <w:r w:rsidRPr="001A7517">
        <w:tab/>
        <w:t>This subsection (d) corresponds with 40 CFR 141.23(o), which pertains to monitoring for the repealed old MCL for nitrate.  This statement maintains structural consistency with USEPA rules.</w:t>
      </w:r>
    </w:p>
    <w:p w14:paraId="31FF04DE" w14:textId="77777777" w:rsidR="00130349" w:rsidRDefault="00130349" w:rsidP="00130349">
      <w:pPr>
        <w:widowControl w:val="0"/>
        <w:ind w:left="1440" w:hanging="720"/>
      </w:pPr>
    </w:p>
    <w:p w14:paraId="18857C08" w14:textId="0B9A1AB3" w:rsidR="00130349" w:rsidRPr="001A7517" w:rsidRDefault="00130349" w:rsidP="00130349">
      <w:pPr>
        <w:widowControl w:val="0"/>
        <w:ind w:left="1440" w:hanging="720"/>
      </w:pPr>
      <w:r w:rsidRPr="001A7517">
        <w:t>e)</w:t>
      </w:r>
      <w:r w:rsidRPr="001A7517">
        <w:tab/>
        <w:t>This subsection (e) corresponds with 40 CFR 141.23(p), which pertains to the use of existing data up until a date long since expired.  This statement maintains structural consistency with USEPA rules.</w:t>
      </w:r>
    </w:p>
    <w:p w14:paraId="551E271E" w14:textId="77777777" w:rsidR="00130349" w:rsidRDefault="00130349" w:rsidP="00130349">
      <w:pPr>
        <w:widowControl w:val="0"/>
        <w:ind w:left="1440" w:hanging="720"/>
      </w:pPr>
    </w:p>
    <w:p w14:paraId="53F3F1C8" w14:textId="1F6A8933" w:rsidR="00130349" w:rsidRPr="001A7517" w:rsidRDefault="00130349" w:rsidP="00130349">
      <w:pPr>
        <w:widowControl w:val="0"/>
        <w:ind w:left="1440" w:hanging="720"/>
      </w:pPr>
      <w:r w:rsidRPr="001A7517">
        <w:t>f)</w:t>
      </w:r>
      <w:r w:rsidRPr="001A7517">
        <w:tab/>
        <w:t xml:space="preserve">Analyses conducted to determine compliance with the old MCLs of Section 611.300 must be made in accordance with the following methods, incorporated by reference in Section 611.102, or alternative methods approved by the Agency under Section 611.480.  </w:t>
      </w:r>
      <w:bookmarkStart w:id="3760" w:name="_Hlk2701777"/>
      <w:r w:rsidRPr="001A7517">
        <w:t>Criteria for analyzing iron, manganese, and zinc samples with digestion or directly without digestion, and other analytical test procedures are contained in USEPA Technical Notes (94), incorporated by reference in Section 611.102</w:t>
      </w:r>
      <w:bookmarkEnd w:id="3760"/>
      <w:r w:rsidRPr="001A7517">
        <w:t>.</w:t>
      </w:r>
    </w:p>
    <w:p w14:paraId="35C3E6E6" w14:textId="77777777" w:rsidR="00130349" w:rsidRDefault="00130349" w:rsidP="00130349">
      <w:pPr>
        <w:widowControl w:val="0"/>
        <w:ind w:left="2160" w:hanging="720"/>
      </w:pPr>
    </w:p>
    <w:p w14:paraId="508F6C4F" w14:textId="00CF8F95" w:rsidR="00130349" w:rsidRPr="001A7517" w:rsidRDefault="00130349" w:rsidP="00130349">
      <w:pPr>
        <w:widowControl w:val="0"/>
        <w:ind w:left="2160" w:hanging="720"/>
      </w:pPr>
      <w:r w:rsidRPr="001A7517">
        <w:t>1)</w:t>
      </w:r>
      <w:r w:rsidRPr="001A7517">
        <w:tab/>
        <w:t>Fluoride.  The methods specified in Section 611.611(c) must apply for the purposes of this Section.</w:t>
      </w:r>
    </w:p>
    <w:p w14:paraId="730701CA" w14:textId="77777777" w:rsidR="00130349" w:rsidRDefault="00130349" w:rsidP="00130349">
      <w:pPr>
        <w:widowControl w:val="0"/>
        <w:ind w:left="2160" w:hanging="720"/>
      </w:pPr>
    </w:p>
    <w:p w14:paraId="293AE6B2" w14:textId="377DDFFF" w:rsidR="00130349" w:rsidRPr="001A7517" w:rsidRDefault="00130349" w:rsidP="00130349">
      <w:pPr>
        <w:widowControl w:val="0"/>
        <w:ind w:left="2160" w:hanging="720"/>
      </w:pPr>
      <w:r w:rsidRPr="001A7517">
        <w:t>2)</w:t>
      </w:r>
      <w:r w:rsidRPr="001A7517">
        <w:tab/>
        <w:t>Iron</w:t>
      </w:r>
    </w:p>
    <w:p w14:paraId="20E04B9E" w14:textId="77777777" w:rsidR="00130349" w:rsidRDefault="00130349" w:rsidP="00130349">
      <w:pPr>
        <w:widowControl w:val="0"/>
        <w:ind w:left="2880" w:hanging="720"/>
      </w:pPr>
    </w:p>
    <w:p w14:paraId="53B105E4" w14:textId="6EDC9F83" w:rsidR="00130349" w:rsidRPr="001A7517" w:rsidRDefault="00130349" w:rsidP="00130349">
      <w:pPr>
        <w:widowControl w:val="0"/>
        <w:ind w:left="2880" w:hanging="720"/>
      </w:pPr>
      <w:r w:rsidRPr="001A7517">
        <w:t>A)</w:t>
      </w:r>
      <w:r w:rsidRPr="001A7517">
        <w:tab/>
      </w:r>
      <w:bookmarkStart w:id="3761" w:name="_Hlk13763262"/>
      <w:bookmarkStart w:id="3762" w:name="_Hlk2703942"/>
      <w:r w:rsidRPr="001A7517">
        <w:t>Atomic Absorption, Direct Aspiration Technique</w:t>
      </w:r>
      <w:bookmarkEnd w:id="3761"/>
      <w:r w:rsidRPr="001A7517">
        <w:t>.</w:t>
      </w:r>
      <w:bookmarkEnd w:id="3762"/>
      <w:r w:rsidRPr="001A7517">
        <w:t xml:space="preserve">  </w:t>
      </w:r>
      <w:bookmarkStart w:id="3763" w:name="_Hlk13763343"/>
      <w:r w:rsidRPr="001A7517">
        <w:t>SM 3111 B (89), SM 3111 B (93), or SM 3111 B (99).</w:t>
      </w:r>
      <w:bookmarkEnd w:id="3763"/>
    </w:p>
    <w:p w14:paraId="3E7A73DE" w14:textId="77777777" w:rsidR="00130349" w:rsidRDefault="00130349" w:rsidP="00130349">
      <w:pPr>
        <w:widowControl w:val="0"/>
        <w:ind w:left="2880" w:hanging="720"/>
      </w:pPr>
    </w:p>
    <w:p w14:paraId="493BE3C1" w14:textId="57C1BCF2" w:rsidR="00130349" w:rsidRPr="001A7517" w:rsidRDefault="00130349" w:rsidP="00130349">
      <w:pPr>
        <w:widowControl w:val="0"/>
        <w:ind w:left="2880" w:hanging="720"/>
      </w:pPr>
      <w:r w:rsidRPr="001A7517">
        <w:t>B)</w:t>
      </w:r>
      <w:r w:rsidRPr="001A7517">
        <w:tab/>
      </w:r>
      <w:bookmarkStart w:id="3764" w:name="_Hlk13763572"/>
      <w:r w:rsidRPr="001A7517">
        <w:t>Atomic Absorption, Graphite Furnace Techniqu</w:t>
      </w:r>
      <w:bookmarkEnd w:id="3764"/>
      <w:r w:rsidRPr="001A7517">
        <w:t xml:space="preserve">e.  </w:t>
      </w:r>
      <w:bookmarkStart w:id="3765" w:name="_Hlk13763623"/>
      <w:r w:rsidRPr="001A7517">
        <w:t>SM 3113 B (89), SM 3113 B (93), SM 3113 B (99), SM 3113 B (04), or SM 3113 B (10).</w:t>
      </w:r>
      <w:bookmarkEnd w:id="3765"/>
    </w:p>
    <w:p w14:paraId="1725E9A7" w14:textId="77777777" w:rsidR="00130349" w:rsidRDefault="00130349" w:rsidP="00130349">
      <w:pPr>
        <w:widowControl w:val="0"/>
        <w:ind w:left="2880" w:hanging="720"/>
      </w:pPr>
    </w:p>
    <w:p w14:paraId="199D3A7B" w14:textId="7ABBF153" w:rsidR="00130349" w:rsidRPr="001A7517" w:rsidRDefault="00130349" w:rsidP="00130349">
      <w:pPr>
        <w:widowControl w:val="0"/>
        <w:ind w:left="2880" w:hanging="720"/>
      </w:pPr>
      <w:r w:rsidRPr="001A7517">
        <w:t>C)</w:t>
      </w:r>
      <w:r w:rsidRPr="001A7517">
        <w:tab/>
      </w:r>
      <w:bookmarkStart w:id="3766" w:name="_Hlk13764575"/>
      <w:r w:rsidRPr="001A7517">
        <w:t>Atomic Absorption, Inductively Coupled Plasma Technique</w:t>
      </w:r>
      <w:bookmarkEnd w:id="3766"/>
      <w:r w:rsidRPr="001A7517">
        <w:t xml:space="preserve">.  </w:t>
      </w:r>
      <w:bookmarkStart w:id="3767" w:name="_Hlk13764603"/>
      <w:r w:rsidRPr="001A7517">
        <w:t>SM 3120 B (89), SM 3120 B (93), or SM 3120 B (99).</w:t>
      </w:r>
      <w:bookmarkEnd w:id="3767"/>
    </w:p>
    <w:p w14:paraId="1242DF15" w14:textId="77777777" w:rsidR="00130349" w:rsidRDefault="00130349" w:rsidP="00130349">
      <w:pPr>
        <w:widowControl w:val="0"/>
        <w:ind w:left="2880" w:hanging="720"/>
      </w:pPr>
    </w:p>
    <w:p w14:paraId="3FD95295" w14:textId="24815FBF" w:rsidR="00130349" w:rsidRPr="001A7517" w:rsidRDefault="00130349" w:rsidP="00130349">
      <w:pPr>
        <w:widowControl w:val="0"/>
        <w:ind w:left="2880" w:hanging="720"/>
      </w:pPr>
      <w:r w:rsidRPr="001A7517">
        <w:t>D)</w:t>
      </w:r>
      <w:r w:rsidRPr="001A7517">
        <w:tab/>
      </w:r>
      <w:bookmarkStart w:id="3768" w:name="_Hlk13764850"/>
      <w:r w:rsidRPr="001A7517">
        <w:t>Inductively Coupled Plasma Arc Furnace Technique</w:t>
      </w:r>
      <w:bookmarkEnd w:id="3768"/>
      <w:r w:rsidRPr="001A7517">
        <w:t xml:space="preserve">.  </w:t>
      </w:r>
      <w:bookmarkStart w:id="3769" w:name="_Hlk13764906"/>
      <w:r w:rsidRPr="001A7517">
        <w:t>USEPA 200.7 (94).</w:t>
      </w:r>
      <w:bookmarkEnd w:id="3769"/>
    </w:p>
    <w:p w14:paraId="60EA80F1" w14:textId="77777777" w:rsidR="00130349" w:rsidRDefault="00130349" w:rsidP="00130349">
      <w:pPr>
        <w:widowControl w:val="0"/>
        <w:ind w:left="2880" w:hanging="720"/>
      </w:pPr>
    </w:p>
    <w:p w14:paraId="0F41E610" w14:textId="2A74E10D" w:rsidR="00130349" w:rsidRPr="001A7517" w:rsidRDefault="00130349" w:rsidP="00130349">
      <w:pPr>
        <w:widowControl w:val="0"/>
        <w:ind w:left="2880" w:hanging="720"/>
      </w:pPr>
      <w:r w:rsidRPr="001A7517">
        <w:t>E)</w:t>
      </w:r>
      <w:r w:rsidRPr="001A7517">
        <w:tab/>
      </w:r>
      <w:bookmarkStart w:id="3770" w:name="_Hlk13765044"/>
      <w:r w:rsidRPr="001A7517">
        <w:t>Atomic Absorption, Platform Furnace Technique</w:t>
      </w:r>
      <w:bookmarkEnd w:id="3770"/>
      <w:r w:rsidRPr="001A7517">
        <w:t>.  USEPA 200.9 (94).</w:t>
      </w:r>
    </w:p>
    <w:p w14:paraId="7E584D82" w14:textId="77777777" w:rsidR="00130349" w:rsidRDefault="00130349" w:rsidP="00130349">
      <w:pPr>
        <w:widowControl w:val="0"/>
        <w:suppressAutoHyphens/>
        <w:ind w:left="2880" w:hanging="720"/>
      </w:pPr>
    </w:p>
    <w:p w14:paraId="6E23B5AC" w14:textId="1F6199DC" w:rsidR="00130349" w:rsidRPr="001A7517" w:rsidRDefault="00130349" w:rsidP="00130349">
      <w:pPr>
        <w:widowControl w:val="0"/>
        <w:suppressAutoHyphens/>
        <w:ind w:left="2880" w:hanging="720"/>
      </w:pPr>
      <w:r w:rsidRPr="001A7517">
        <w:t>F)</w:t>
      </w:r>
      <w:r w:rsidRPr="001A7517">
        <w:tab/>
        <w:t xml:space="preserve">Axially Viewed Inductively Coupled Plasma-Atomic Emission Spectrometry (AVICP-AES).  </w:t>
      </w:r>
      <w:bookmarkStart w:id="3771" w:name="_Hlk13765209"/>
      <w:r w:rsidRPr="001A7517">
        <w:t>USEPA 200.5 (03</w:t>
      </w:r>
      <w:bookmarkEnd w:id="3771"/>
      <w:r w:rsidRPr="001A7517">
        <w:t>).</w:t>
      </w:r>
    </w:p>
    <w:p w14:paraId="1CE6CDE7" w14:textId="77777777" w:rsidR="00130349" w:rsidRDefault="00130349" w:rsidP="00130349">
      <w:pPr>
        <w:widowControl w:val="0"/>
        <w:ind w:left="2160" w:hanging="720"/>
      </w:pPr>
    </w:p>
    <w:p w14:paraId="6AFD7AB9" w14:textId="1CA26419" w:rsidR="00130349" w:rsidRPr="001A7517" w:rsidRDefault="00130349" w:rsidP="00130349">
      <w:pPr>
        <w:widowControl w:val="0"/>
        <w:ind w:left="2160" w:hanging="720"/>
      </w:pPr>
      <w:r w:rsidRPr="001A7517">
        <w:t>3)</w:t>
      </w:r>
      <w:r w:rsidRPr="001A7517">
        <w:tab/>
        <w:t>Manganese</w:t>
      </w:r>
    </w:p>
    <w:p w14:paraId="0E438F71" w14:textId="77777777" w:rsidR="00130349" w:rsidRDefault="00130349" w:rsidP="00130349">
      <w:pPr>
        <w:widowControl w:val="0"/>
        <w:ind w:left="2880" w:hanging="720"/>
      </w:pPr>
    </w:p>
    <w:p w14:paraId="1959F323" w14:textId="5D75E0F2" w:rsidR="00130349" w:rsidRPr="001A7517" w:rsidRDefault="00130349" w:rsidP="00130349">
      <w:pPr>
        <w:widowControl w:val="0"/>
        <w:ind w:left="2880" w:hanging="720"/>
      </w:pPr>
      <w:r w:rsidRPr="001A7517">
        <w:t>A)</w:t>
      </w:r>
      <w:r w:rsidRPr="001A7517">
        <w:tab/>
        <w:t>Atomic Absorption, Direct Aspiration Technique.  SM 3111 B (89), SM 3111 B (93), or SM 3111 B (99).</w:t>
      </w:r>
    </w:p>
    <w:p w14:paraId="1D92649C" w14:textId="77777777" w:rsidR="00130349" w:rsidRDefault="00130349" w:rsidP="00130349">
      <w:pPr>
        <w:widowControl w:val="0"/>
        <w:ind w:left="2880" w:hanging="720"/>
      </w:pPr>
    </w:p>
    <w:p w14:paraId="2AD136CB" w14:textId="50E28843" w:rsidR="00130349" w:rsidRPr="001A7517" w:rsidRDefault="00130349" w:rsidP="00130349">
      <w:pPr>
        <w:widowControl w:val="0"/>
        <w:ind w:left="2880" w:hanging="720"/>
      </w:pPr>
      <w:r w:rsidRPr="001A7517">
        <w:t>B)</w:t>
      </w:r>
      <w:r w:rsidRPr="001A7517">
        <w:tab/>
        <w:t>Atomic Absorption, Graphite Furnace Technique.  SM 3113 B (89), SM 3113 B (93), SM 3113 B (99), SM 3113 B (04), or SM 3113 B (10).</w:t>
      </w:r>
    </w:p>
    <w:p w14:paraId="39ED2B59" w14:textId="77777777" w:rsidR="00130349" w:rsidRDefault="00130349" w:rsidP="00130349">
      <w:pPr>
        <w:widowControl w:val="0"/>
        <w:ind w:left="2880" w:hanging="720"/>
      </w:pPr>
    </w:p>
    <w:p w14:paraId="372FE29D" w14:textId="142A683A" w:rsidR="00130349" w:rsidRPr="001A7517" w:rsidRDefault="00130349" w:rsidP="00130349">
      <w:pPr>
        <w:widowControl w:val="0"/>
        <w:ind w:left="2880" w:hanging="720"/>
      </w:pPr>
      <w:r w:rsidRPr="001A7517">
        <w:t>C)</w:t>
      </w:r>
      <w:r w:rsidRPr="001A7517">
        <w:tab/>
        <w:t>Atomic Absorption, Inductively Coupled Plasma Technique.  SM 3120 B (89), SM 3120 B (93), or SM 3120 B (99).</w:t>
      </w:r>
    </w:p>
    <w:p w14:paraId="7EFD448B" w14:textId="77777777" w:rsidR="00130349" w:rsidRDefault="00130349" w:rsidP="00130349">
      <w:pPr>
        <w:widowControl w:val="0"/>
        <w:ind w:left="2880" w:hanging="720"/>
      </w:pPr>
    </w:p>
    <w:p w14:paraId="431564D8" w14:textId="5AA4CA99" w:rsidR="00130349" w:rsidRPr="001A7517" w:rsidRDefault="00130349" w:rsidP="00130349">
      <w:pPr>
        <w:widowControl w:val="0"/>
        <w:ind w:left="2880" w:hanging="720"/>
      </w:pPr>
      <w:r w:rsidRPr="001A7517">
        <w:t>D)</w:t>
      </w:r>
      <w:r w:rsidRPr="001A7517">
        <w:tab/>
        <w:t>Inductively Coupled Plasma Arc Furnace Technique.  USEPA 200.7 (94).</w:t>
      </w:r>
    </w:p>
    <w:p w14:paraId="65548B17" w14:textId="77777777" w:rsidR="00130349" w:rsidRDefault="00130349" w:rsidP="00130349">
      <w:pPr>
        <w:widowControl w:val="0"/>
        <w:ind w:left="2880" w:hanging="720"/>
      </w:pPr>
    </w:p>
    <w:p w14:paraId="26CA9B12" w14:textId="553B7717" w:rsidR="00130349" w:rsidRPr="001A7517" w:rsidRDefault="00130349" w:rsidP="00130349">
      <w:pPr>
        <w:widowControl w:val="0"/>
        <w:ind w:left="2880" w:hanging="720"/>
      </w:pPr>
      <w:r w:rsidRPr="001A7517">
        <w:t>E)</w:t>
      </w:r>
      <w:r w:rsidRPr="001A7517">
        <w:tab/>
        <w:t>Inductively Coupled Plasma</w:t>
      </w:r>
      <w:bookmarkStart w:id="3772" w:name="_Hlk13766810"/>
      <w:r w:rsidRPr="001A7517">
        <w:t>-Mass Spectrometry</w:t>
      </w:r>
      <w:bookmarkEnd w:id="3772"/>
      <w:r w:rsidRPr="001A7517">
        <w:t>.  USEPA 200.8 (94).</w:t>
      </w:r>
    </w:p>
    <w:p w14:paraId="0B9E1F73" w14:textId="77777777" w:rsidR="00130349" w:rsidRDefault="00130349" w:rsidP="00130349">
      <w:pPr>
        <w:widowControl w:val="0"/>
        <w:ind w:left="2880" w:hanging="720"/>
      </w:pPr>
    </w:p>
    <w:p w14:paraId="45ABCAE5" w14:textId="7768D41C" w:rsidR="00130349" w:rsidRPr="001A7517" w:rsidRDefault="00130349" w:rsidP="00130349">
      <w:pPr>
        <w:widowControl w:val="0"/>
        <w:ind w:left="2880" w:hanging="720"/>
      </w:pPr>
      <w:r w:rsidRPr="001A7517">
        <w:t>F)</w:t>
      </w:r>
      <w:r w:rsidRPr="001A7517">
        <w:tab/>
        <w:t>Atomic Absorption, Platform Furnace Technique.  USEPA 200.9 (94).</w:t>
      </w:r>
    </w:p>
    <w:p w14:paraId="64AA6B93" w14:textId="77777777" w:rsidR="00130349" w:rsidRDefault="00130349" w:rsidP="00130349">
      <w:pPr>
        <w:widowControl w:val="0"/>
        <w:suppressAutoHyphens/>
        <w:ind w:left="2880" w:hanging="720"/>
      </w:pPr>
    </w:p>
    <w:p w14:paraId="6A93865C" w14:textId="4C293A32" w:rsidR="00130349" w:rsidRPr="001A7517" w:rsidRDefault="00130349" w:rsidP="00130349">
      <w:pPr>
        <w:widowControl w:val="0"/>
        <w:suppressAutoHyphens/>
        <w:ind w:left="2880" w:hanging="720"/>
      </w:pPr>
      <w:r w:rsidRPr="001A7517">
        <w:t>G)</w:t>
      </w:r>
      <w:r w:rsidRPr="001A7517">
        <w:tab/>
        <w:t>Axially Viewed Inductively Coupled Plasma-Atomic Emission Spectrometry (AVICP-AES).  USEPA 200.5 (03).</w:t>
      </w:r>
    </w:p>
    <w:p w14:paraId="576A345D" w14:textId="77777777" w:rsidR="00130349" w:rsidRDefault="00130349" w:rsidP="00130349">
      <w:pPr>
        <w:widowControl w:val="0"/>
        <w:ind w:left="2160" w:hanging="720"/>
      </w:pPr>
    </w:p>
    <w:p w14:paraId="38966917" w14:textId="78EDD751" w:rsidR="00130349" w:rsidRPr="001A7517" w:rsidRDefault="00130349" w:rsidP="00130349">
      <w:pPr>
        <w:widowControl w:val="0"/>
        <w:ind w:left="2160" w:hanging="720"/>
      </w:pPr>
      <w:r w:rsidRPr="001A7517">
        <w:t>4)</w:t>
      </w:r>
      <w:r w:rsidRPr="001A7517">
        <w:tab/>
        <w:t>Zinc</w:t>
      </w:r>
    </w:p>
    <w:p w14:paraId="43F2AB01" w14:textId="77777777" w:rsidR="00130349" w:rsidRDefault="00130349" w:rsidP="00130349">
      <w:pPr>
        <w:widowControl w:val="0"/>
        <w:ind w:left="2880" w:hanging="720"/>
      </w:pPr>
    </w:p>
    <w:p w14:paraId="7D4A5FE2" w14:textId="2067AA08" w:rsidR="00130349" w:rsidRPr="001A7517" w:rsidRDefault="00130349" w:rsidP="00130349">
      <w:pPr>
        <w:widowControl w:val="0"/>
        <w:ind w:left="2880" w:hanging="720"/>
      </w:pPr>
      <w:r w:rsidRPr="001A7517">
        <w:t>A)</w:t>
      </w:r>
      <w:r w:rsidRPr="001A7517">
        <w:tab/>
        <w:t xml:space="preserve">Atomic Absorption, Direct Aspiration Technique.  </w:t>
      </w:r>
      <w:bookmarkStart w:id="3773" w:name="_Hlk14079847"/>
      <w:r w:rsidRPr="001A7517">
        <w:t>SM 3111 B (89), SM 3111 B (93), or SM 3111 B (99).</w:t>
      </w:r>
      <w:bookmarkEnd w:id="3773"/>
    </w:p>
    <w:p w14:paraId="746995FD" w14:textId="77777777" w:rsidR="00130349" w:rsidRDefault="00130349" w:rsidP="00130349">
      <w:pPr>
        <w:widowControl w:val="0"/>
        <w:ind w:left="2880" w:hanging="720"/>
      </w:pPr>
    </w:p>
    <w:p w14:paraId="294D5AB6" w14:textId="4F9724BF" w:rsidR="00130349" w:rsidRPr="001A7517" w:rsidRDefault="00130349" w:rsidP="00130349">
      <w:pPr>
        <w:widowControl w:val="0"/>
        <w:ind w:left="2880" w:hanging="720"/>
      </w:pPr>
      <w:r w:rsidRPr="001A7517">
        <w:t>B)</w:t>
      </w:r>
      <w:r w:rsidRPr="001A7517">
        <w:tab/>
        <w:t xml:space="preserve">Atomic Absorption, Inductively Coupled Plasma Technique.  </w:t>
      </w:r>
      <w:bookmarkStart w:id="3774" w:name="_Hlk14079672"/>
      <w:r w:rsidRPr="001A7517">
        <w:t>SM 3120 B (89), SM 3120 B (93), or SM 3120 B (99).</w:t>
      </w:r>
      <w:bookmarkEnd w:id="3774"/>
    </w:p>
    <w:p w14:paraId="106CA6B3" w14:textId="77777777" w:rsidR="00130349" w:rsidRDefault="00130349" w:rsidP="00130349">
      <w:pPr>
        <w:widowControl w:val="0"/>
        <w:ind w:left="2880" w:hanging="720"/>
      </w:pPr>
    </w:p>
    <w:p w14:paraId="179DCA77" w14:textId="11AC0C9D" w:rsidR="00130349" w:rsidRPr="001A7517" w:rsidRDefault="00130349" w:rsidP="00130349">
      <w:pPr>
        <w:widowControl w:val="0"/>
        <w:ind w:left="2880" w:hanging="720"/>
      </w:pPr>
      <w:r w:rsidRPr="001A7517">
        <w:t>C)</w:t>
      </w:r>
      <w:r w:rsidRPr="001A7517">
        <w:tab/>
        <w:t xml:space="preserve">Inductively Coupled Plasma </w:t>
      </w:r>
      <w:bookmarkStart w:id="3775" w:name="_Hlk14080198"/>
      <w:r w:rsidRPr="001A7517">
        <w:t xml:space="preserve">Arc Furnace </w:t>
      </w:r>
      <w:bookmarkEnd w:id="3775"/>
      <w:r w:rsidRPr="001A7517">
        <w:t xml:space="preserve">Technique.  </w:t>
      </w:r>
      <w:bookmarkStart w:id="3776" w:name="_Hlk14080229"/>
      <w:r w:rsidRPr="001A7517">
        <w:t>USEPA 200.7 (94).</w:t>
      </w:r>
      <w:bookmarkEnd w:id="3776"/>
    </w:p>
    <w:p w14:paraId="4C5BC91D" w14:textId="77777777" w:rsidR="00130349" w:rsidRDefault="00130349" w:rsidP="00130349">
      <w:pPr>
        <w:widowControl w:val="0"/>
        <w:ind w:left="2880" w:hanging="720"/>
      </w:pPr>
    </w:p>
    <w:p w14:paraId="1B6D029C" w14:textId="3343D554" w:rsidR="00130349" w:rsidRPr="001A7517" w:rsidRDefault="00130349" w:rsidP="00130349">
      <w:pPr>
        <w:widowControl w:val="0"/>
        <w:ind w:left="2880" w:hanging="720"/>
      </w:pPr>
      <w:r w:rsidRPr="001A7517">
        <w:t>D)</w:t>
      </w:r>
      <w:r w:rsidRPr="001A7517">
        <w:tab/>
      </w:r>
      <w:bookmarkStart w:id="3777" w:name="_Hlk14080520"/>
      <w:r w:rsidRPr="001A7517">
        <w:t xml:space="preserve">Atomic Absorption, Platform </w:t>
      </w:r>
      <w:bookmarkEnd w:id="3777"/>
      <w:r w:rsidRPr="001A7517">
        <w:t xml:space="preserve">Furnace Technique.  </w:t>
      </w:r>
      <w:bookmarkStart w:id="3778" w:name="_Hlk14080543"/>
      <w:r w:rsidRPr="001A7517">
        <w:t>USEPA 200.8 (94)</w:t>
      </w:r>
      <w:bookmarkEnd w:id="3778"/>
      <w:r w:rsidRPr="001A7517">
        <w:t>.</w:t>
      </w:r>
    </w:p>
    <w:p w14:paraId="2B1F9C5A" w14:textId="77777777" w:rsidR="00130349" w:rsidRDefault="00130349" w:rsidP="00130349">
      <w:pPr>
        <w:widowControl w:val="0"/>
        <w:suppressAutoHyphens/>
        <w:ind w:left="2880" w:hanging="720"/>
      </w:pPr>
    </w:p>
    <w:p w14:paraId="4009EA2C" w14:textId="783F2FF4" w:rsidR="00130349" w:rsidRPr="001A7517" w:rsidRDefault="00130349" w:rsidP="00130349">
      <w:pPr>
        <w:widowControl w:val="0"/>
        <w:suppressAutoHyphens/>
        <w:ind w:left="2880" w:hanging="720"/>
      </w:pPr>
      <w:r w:rsidRPr="001A7517">
        <w:t>E)</w:t>
      </w:r>
      <w:r w:rsidRPr="001A7517">
        <w:tab/>
        <w:t xml:space="preserve">Axially Viewed Inductively Coupled Plasma-Atomic Emission Spectrometry (AVICP-AES).  </w:t>
      </w:r>
      <w:bookmarkStart w:id="3779" w:name="_Hlk14080997"/>
      <w:r w:rsidRPr="001A7517">
        <w:t>USEPA 200.5 (03)</w:t>
      </w:r>
      <w:bookmarkEnd w:id="3779"/>
      <w:r w:rsidRPr="001A7517">
        <w:t>.</w:t>
      </w:r>
    </w:p>
    <w:p w14:paraId="704C2C45" w14:textId="77777777" w:rsidR="00130349" w:rsidRDefault="00130349" w:rsidP="00130349">
      <w:pPr>
        <w:widowControl w:val="0"/>
      </w:pPr>
    </w:p>
    <w:p w14:paraId="5769691C" w14:textId="76BDF425" w:rsidR="00130349" w:rsidRPr="001A7517" w:rsidRDefault="00130349" w:rsidP="00130349">
      <w:pPr>
        <w:widowControl w:val="0"/>
      </w:pPr>
      <w:r w:rsidRPr="001A7517">
        <w:t>BOARD NOTE: The provisions of subsections (a) through (e) derive from 40 CFR 141.23(l) through (p).  Subsections (f)(2) through (f)(4) relate exclusively to additional State requirements.  The Board retained subsection (f) to set forth methods for the inorganic contaminants for which there is a State-only MCL.  The methods specified are those set forth in 40 CFR 143.4(b) and appendix A to subpart C of 40 CFR 141, for secondary MCLs.  The Board has not separately listed the following approved alternative methods from Standard Methods Online that are the same version as a method that appears in a printed edition of Standard Methods.  Use of the Standard Methods Online copy is acceptable.</w:t>
      </w:r>
    </w:p>
    <w:p w14:paraId="2392E92A" w14:textId="77777777" w:rsidR="00130349" w:rsidRDefault="00130349" w:rsidP="00130349">
      <w:pPr>
        <w:widowControl w:val="0"/>
        <w:ind w:left="720"/>
      </w:pPr>
    </w:p>
    <w:p w14:paraId="01F229D2" w14:textId="354B4495" w:rsidR="00130349" w:rsidRPr="001A7517" w:rsidRDefault="00130349" w:rsidP="00130349">
      <w:pPr>
        <w:widowControl w:val="0"/>
        <w:ind w:left="720"/>
      </w:pPr>
      <w:r w:rsidRPr="001A7517">
        <w:t>Standard Methods Online, Method 3111 B-99 appears in the 21st, 22nd, and 23rd editions as Method 3111 B.  In this Section, this appears as SM 3111 B (99).</w:t>
      </w:r>
    </w:p>
    <w:p w14:paraId="7F6BC618" w14:textId="77777777" w:rsidR="00130349" w:rsidRDefault="00130349" w:rsidP="00130349">
      <w:pPr>
        <w:widowControl w:val="0"/>
        <w:ind w:left="720"/>
      </w:pPr>
    </w:p>
    <w:p w14:paraId="423B1E2D" w14:textId="5607AC59" w:rsidR="00130349" w:rsidRPr="001A7517" w:rsidRDefault="00130349" w:rsidP="00130349">
      <w:pPr>
        <w:widowControl w:val="0"/>
        <w:ind w:left="720"/>
      </w:pPr>
      <w:r w:rsidRPr="001A7517">
        <w:t>Standard Methods Online, Method 3113 B-99 appears in the 21st edition as Method 3113 B.  In this Section, this appears as SM 3113 B (99).</w:t>
      </w:r>
    </w:p>
    <w:p w14:paraId="3B7A5597" w14:textId="77777777" w:rsidR="00130349" w:rsidRDefault="00130349" w:rsidP="00130349">
      <w:pPr>
        <w:widowControl w:val="0"/>
        <w:ind w:left="720"/>
      </w:pPr>
    </w:p>
    <w:p w14:paraId="710189BA" w14:textId="649B78E8" w:rsidR="00130349" w:rsidRPr="001A7517" w:rsidRDefault="00130349" w:rsidP="00130349">
      <w:pPr>
        <w:widowControl w:val="0"/>
        <w:ind w:left="720"/>
      </w:pPr>
      <w:r w:rsidRPr="001A7517">
        <w:t>Standard Methods Online, Method 3113 B-10 appears in the 22nd and 23rd editions as Method 3113 B.  In this Section, this appears as SM 3113 B (10).</w:t>
      </w:r>
    </w:p>
    <w:p w14:paraId="2A64A84B" w14:textId="77777777" w:rsidR="00130349" w:rsidRDefault="00130349" w:rsidP="00130349">
      <w:pPr>
        <w:widowControl w:val="0"/>
        <w:ind w:left="720"/>
      </w:pPr>
    </w:p>
    <w:p w14:paraId="630D8C32" w14:textId="5F325E9D" w:rsidR="00130349" w:rsidRPr="001A7517" w:rsidRDefault="00130349" w:rsidP="00130349">
      <w:pPr>
        <w:widowControl w:val="0"/>
        <w:ind w:left="720"/>
      </w:pPr>
      <w:r w:rsidRPr="001A7517">
        <w:t>Standard Methods Online, Method 3120 B-99 appears in the 21st edition as Method 3120 B.  In this Section, this appears as SM 3120 B (99).</w:t>
      </w:r>
    </w:p>
    <w:p w14:paraId="76224DFB" w14:textId="77777777" w:rsidR="00130349" w:rsidRDefault="00130349" w:rsidP="00130349">
      <w:pPr>
        <w:suppressAutoHyphens/>
        <w:ind w:left="720"/>
      </w:pPr>
    </w:p>
    <w:p w14:paraId="19C83C19" w14:textId="7299175D" w:rsidR="00130349" w:rsidRPr="001A7517" w:rsidRDefault="00130349" w:rsidP="00130349">
      <w:pPr>
        <w:suppressAutoHyphens/>
        <w:ind w:left="720"/>
      </w:pPr>
      <w:r w:rsidRPr="001A7517">
        <w:t>(Source:  A</w:t>
      </w:r>
      <w:r w:rsidRPr="001A7517">
        <w:rPr>
          <w:szCs w:val="17"/>
        </w:rPr>
        <w:t xml:space="preserve">mended at </w:t>
      </w:r>
      <w:r w:rsidRPr="001A7517">
        <w:t>44 Ill. Reg. 6996, effective April 17, 2020)</w:t>
      </w:r>
    </w:p>
    <w:p w14:paraId="06E4A218" w14:textId="77777777" w:rsidR="00130349" w:rsidRDefault="00130349" w:rsidP="00130349">
      <w:pPr>
        <w:rPr>
          <w:b/>
          <w:bCs/>
        </w:rPr>
      </w:pPr>
    </w:p>
    <w:p w14:paraId="31B64E12" w14:textId="1D16987D" w:rsidR="00130349" w:rsidRPr="00130349" w:rsidRDefault="00130349" w:rsidP="00130349">
      <w:pPr>
        <w:rPr>
          <w:b/>
          <w:bCs/>
        </w:rPr>
      </w:pPr>
      <w:r w:rsidRPr="00130349">
        <w:rPr>
          <w:b/>
          <w:bCs/>
        </w:rPr>
        <w:t>Section 611.630  Special Monitoring for Sodium</w:t>
      </w:r>
    </w:p>
    <w:p w14:paraId="45DDD2DD" w14:textId="77777777" w:rsidR="00130349" w:rsidRDefault="00130349" w:rsidP="00130349">
      <w:pPr>
        <w:suppressAutoHyphens/>
        <w:ind w:left="1440" w:hanging="720"/>
      </w:pPr>
    </w:p>
    <w:p w14:paraId="39DDCADA" w14:textId="013E15FA" w:rsidR="00130349" w:rsidRPr="001A7517" w:rsidRDefault="00130349" w:rsidP="00130349">
      <w:pPr>
        <w:suppressAutoHyphens/>
        <w:ind w:left="1440" w:hanging="720"/>
      </w:pPr>
      <w:r w:rsidRPr="001A7517">
        <w:t>a)</w:t>
      </w:r>
      <w:r w:rsidRPr="001A7517">
        <w:tab/>
        <w:t>CWS suppliers must collect and analyze one sample per plant at the entry point of the distribution system for the determination of sodium concentration levels; samples must be collected and analyzed annually for CWSs utilizing surface water sources in whole or in part, and at least every three years for CWSs utilizing solely groundwater sources. The minimum number of samples required to be taken by the supplier is based on the number of treatment plants used by the supplier, except that multiple wells drawing raw water from a single aquifer may, with the Agency approval, be considered one treatment plant for determining the minimum number of samples. The Agency must require the supplier to collect and analyze water samples for sodium more frequently in locations where the sodium content is variable.</w:t>
      </w:r>
    </w:p>
    <w:p w14:paraId="1B8C19F8" w14:textId="77777777" w:rsidR="00130349" w:rsidRDefault="00130349" w:rsidP="00130349">
      <w:pPr>
        <w:suppressAutoHyphens/>
        <w:ind w:left="1440" w:hanging="720"/>
      </w:pPr>
    </w:p>
    <w:p w14:paraId="0CBBDD86" w14:textId="69EF4738" w:rsidR="00130349" w:rsidRPr="001A7517" w:rsidRDefault="00130349" w:rsidP="00130349">
      <w:pPr>
        <w:suppressAutoHyphens/>
        <w:ind w:left="1440" w:hanging="720"/>
      </w:pPr>
      <w:r w:rsidRPr="001A7517">
        <w:t>b)</w:t>
      </w:r>
      <w:r w:rsidRPr="001A7517">
        <w:tab/>
        <w:t>The CWS supplier must report to the Agency the results of the analyses for sodium within the first 10 days of the month following the month in which the sample results were received or within the first 10 days following the end of the required monitoring period as specified by SEP, whichever of these is first.  If more than annual sampling is required, the supplier must report the average sodium concentration within 10 days of the month following the month in which the analytical results of the last sample used for the annual average was received.</w:t>
      </w:r>
    </w:p>
    <w:p w14:paraId="1C3D1D4A" w14:textId="77777777" w:rsidR="00130349" w:rsidRDefault="00130349" w:rsidP="00130349">
      <w:pPr>
        <w:suppressAutoHyphens/>
        <w:ind w:left="1440" w:hanging="720"/>
      </w:pPr>
    </w:p>
    <w:p w14:paraId="1E2E065E" w14:textId="68CD04C6" w:rsidR="00130349" w:rsidRPr="001A7517" w:rsidRDefault="00130349" w:rsidP="00130349">
      <w:pPr>
        <w:suppressAutoHyphens/>
        <w:ind w:left="1440" w:hanging="720"/>
      </w:pPr>
      <w:r w:rsidRPr="001A7517">
        <w:t>c)</w:t>
      </w:r>
      <w:r w:rsidRPr="001A7517">
        <w:tab/>
        <w:t>The CWS supplier must notify the Agency and appropriate local public health officials of the sodium levels by written notice by direct mail within three months. A copy of each notice required to be provided by this subsection must be sent to the Agency within 10 days after its issuance.</w:t>
      </w:r>
    </w:p>
    <w:p w14:paraId="677629B9" w14:textId="77777777" w:rsidR="00130349" w:rsidRDefault="00130349" w:rsidP="00130349">
      <w:pPr>
        <w:suppressAutoHyphens/>
        <w:ind w:left="1440" w:hanging="720"/>
      </w:pPr>
    </w:p>
    <w:p w14:paraId="66B70FD3" w14:textId="6F994EEF" w:rsidR="00130349" w:rsidRPr="001A7517" w:rsidRDefault="00130349" w:rsidP="00130349">
      <w:pPr>
        <w:suppressAutoHyphens/>
        <w:ind w:left="1440" w:hanging="720"/>
      </w:pPr>
      <w:r w:rsidRPr="001A7517">
        <w:t>d)</w:t>
      </w:r>
      <w:r w:rsidRPr="001A7517">
        <w:tab/>
        <w:t>Analyses for sodium must be conducted as directed in Section 611.611(a).</w:t>
      </w:r>
    </w:p>
    <w:p w14:paraId="0F8C204F" w14:textId="77777777" w:rsidR="00130349" w:rsidRDefault="00130349" w:rsidP="00130349"/>
    <w:p w14:paraId="17E6FD07" w14:textId="3B2B84A2" w:rsidR="00130349" w:rsidRPr="001A7517" w:rsidRDefault="00130349" w:rsidP="00130349">
      <w:r w:rsidRPr="001A7517">
        <w:t>BOARD NOTE:  Derived from 40 CFR 141.41.</w:t>
      </w:r>
    </w:p>
    <w:p w14:paraId="1FC895E7" w14:textId="77777777" w:rsidR="00130349" w:rsidRDefault="00130349" w:rsidP="00130349">
      <w:pPr>
        <w:suppressAutoHyphens/>
        <w:ind w:left="720"/>
      </w:pPr>
    </w:p>
    <w:p w14:paraId="1385B430" w14:textId="0DC027EE" w:rsidR="00130349" w:rsidRPr="001A7517" w:rsidRDefault="00130349" w:rsidP="00130349">
      <w:pPr>
        <w:suppressAutoHyphens/>
        <w:ind w:left="720"/>
      </w:pPr>
      <w:r w:rsidRPr="001A7517">
        <w:t>(Source:  Amended at 42 Ill. Reg. 1140, effective January 4, 2018)</w:t>
      </w:r>
    </w:p>
    <w:p w14:paraId="3806D066" w14:textId="77777777" w:rsidR="00130349" w:rsidRDefault="00130349" w:rsidP="00130349">
      <w:pPr>
        <w:rPr>
          <w:b/>
          <w:bCs/>
        </w:rPr>
      </w:pPr>
    </w:p>
    <w:p w14:paraId="0B5E4339" w14:textId="6D2B7A7C" w:rsidR="00130349" w:rsidRPr="00130349" w:rsidRDefault="00130349" w:rsidP="00130349">
      <w:pPr>
        <w:rPr>
          <w:b/>
          <w:bCs/>
        </w:rPr>
      </w:pPr>
      <w:r w:rsidRPr="00130349">
        <w:rPr>
          <w:b/>
          <w:bCs/>
        </w:rPr>
        <w:t>Section 611.631  Special Monitoring for Inorganic Chemicals (Repealed)</w:t>
      </w:r>
    </w:p>
    <w:p w14:paraId="3A459482" w14:textId="77777777" w:rsidR="00130349" w:rsidRPr="001A7517" w:rsidRDefault="00130349" w:rsidP="00130349">
      <w:pPr>
        <w:suppressAutoHyphens/>
      </w:pPr>
    </w:p>
    <w:p w14:paraId="1A5F1EEA" w14:textId="1E6DB445" w:rsidR="00130349" w:rsidRDefault="00130349" w:rsidP="000B584F">
      <w:pPr>
        <w:suppressAutoHyphens/>
        <w:ind w:left="720"/>
      </w:pPr>
      <w:r w:rsidRPr="001A7517">
        <w:t>(Source:  Repealed at 28 Ill. Reg. 5269, effective March 10, 2004)</w:t>
      </w:r>
    </w:p>
    <w:p w14:paraId="71A97EE0" w14:textId="77777777" w:rsidR="000B584F" w:rsidRPr="001A7517" w:rsidRDefault="000B584F" w:rsidP="000B584F">
      <w:pPr>
        <w:suppressAutoHyphens/>
        <w:ind w:left="720"/>
      </w:pPr>
    </w:p>
    <w:p w14:paraId="1439A21C" w14:textId="0E753FFA" w:rsidR="000B584F" w:rsidRDefault="000B584F" w:rsidP="000B584F">
      <w:pPr>
        <w:jc w:val="center"/>
      </w:pPr>
      <w:r w:rsidRPr="001A7517">
        <w:t>SUBPART O:  ORGANIC MONITORING AND ANALYTICAL REQUIREMENTS</w:t>
      </w:r>
    </w:p>
    <w:p w14:paraId="4324232D" w14:textId="77777777" w:rsidR="000B584F" w:rsidRPr="001A7517" w:rsidRDefault="000B584F" w:rsidP="000B584F">
      <w:pPr>
        <w:jc w:val="center"/>
      </w:pPr>
    </w:p>
    <w:p w14:paraId="020CD0E3" w14:textId="5C664884" w:rsidR="000B584F" w:rsidRDefault="000B584F" w:rsidP="000B584F">
      <w:pPr>
        <w:rPr>
          <w:b/>
        </w:rPr>
      </w:pPr>
      <w:r w:rsidRPr="001A7517">
        <w:rPr>
          <w:b/>
        </w:rPr>
        <w:t>Section 611.640  Definitions</w:t>
      </w:r>
    </w:p>
    <w:p w14:paraId="5AF8E19E" w14:textId="77777777" w:rsidR="000B584F" w:rsidRPr="001A7517" w:rsidRDefault="000B584F" w:rsidP="000B584F">
      <w:pPr>
        <w:rPr>
          <w:b/>
        </w:rPr>
      </w:pPr>
    </w:p>
    <w:p w14:paraId="40B6373B" w14:textId="18F4594C" w:rsidR="000B584F" w:rsidRDefault="000B584F" w:rsidP="000B584F">
      <w:pPr>
        <w:suppressAutoHyphens/>
      </w:pPr>
      <w:r w:rsidRPr="001A7517">
        <w:t>The following terms are defined for use in this Subpart O only.  Additional definitions are located in Section 611.102.</w:t>
      </w:r>
    </w:p>
    <w:p w14:paraId="7112657D" w14:textId="77777777" w:rsidR="000B584F" w:rsidRPr="001A7517" w:rsidRDefault="000B584F" w:rsidP="000B584F">
      <w:pPr>
        <w:suppressAutoHyphens/>
      </w:pPr>
    </w:p>
    <w:p w14:paraId="2971B711" w14:textId="38EE12CC" w:rsidR="000B584F" w:rsidRDefault="000B584F" w:rsidP="000B584F">
      <w:pPr>
        <w:suppressAutoHyphens/>
        <w:ind w:left="1440"/>
      </w:pPr>
      <w:r w:rsidRPr="001A7517">
        <w:lastRenderedPageBreak/>
        <w:t>“Old MCL” means an MCL in Section 611.310.  These include the MCLs identified as “additional state requirements”.  “Old MCLs” include the Section 611.310 MCLs for the following contaminants:</w:t>
      </w:r>
    </w:p>
    <w:p w14:paraId="2053F7E6" w14:textId="77777777" w:rsidR="000B584F" w:rsidRPr="001A7517" w:rsidRDefault="000B584F" w:rsidP="000B584F">
      <w:pPr>
        <w:suppressAutoHyphens/>
        <w:ind w:left="1440"/>
      </w:pPr>
    </w:p>
    <w:p w14:paraId="0A88CF7C" w14:textId="77777777" w:rsidR="000B584F" w:rsidRPr="001A7517" w:rsidRDefault="000B584F" w:rsidP="000B584F">
      <w:pPr>
        <w:suppressAutoHyphens/>
        <w:ind w:left="2160"/>
      </w:pPr>
      <w:r w:rsidRPr="001A7517">
        <w:t>Aldrin</w:t>
      </w:r>
    </w:p>
    <w:p w14:paraId="3D8C8663" w14:textId="77777777" w:rsidR="000B584F" w:rsidRPr="001A7517" w:rsidRDefault="000B584F" w:rsidP="000B584F">
      <w:pPr>
        <w:suppressAutoHyphens/>
        <w:ind w:left="2160"/>
      </w:pPr>
      <w:r w:rsidRPr="001A7517">
        <w:t>2,4-D</w:t>
      </w:r>
    </w:p>
    <w:p w14:paraId="530C6299" w14:textId="77777777" w:rsidR="000B584F" w:rsidRPr="001A7517" w:rsidRDefault="000B584F" w:rsidP="000B584F">
      <w:pPr>
        <w:suppressAutoHyphens/>
        <w:ind w:left="2160"/>
      </w:pPr>
      <w:r w:rsidRPr="001A7517">
        <w:t>DDT</w:t>
      </w:r>
    </w:p>
    <w:p w14:paraId="1D2F713C" w14:textId="77777777" w:rsidR="000B584F" w:rsidRPr="001A7517" w:rsidRDefault="000B584F" w:rsidP="000B584F">
      <w:pPr>
        <w:suppressAutoHyphens/>
        <w:ind w:left="2160"/>
      </w:pPr>
      <w:r w:rsidRPr="001A7517">
        <w:t>Dieldrin</w:t>
      </w:r>
    </w:p>
    <w:p w14:paraId="4017C29E" w14:textId="77777777" w:rsidR="000B584F" w:rsidRPr="001A7517" w:rsidRDefault="000B584F" w:rsidP="000B584F">
      <w:pPr>
        <w:suppressAutoHyphens/>
        <w:ind w:left="2160"/>
      </w:pPr>
      <w:r w:rsidRPr="001A7517">
        <w:t>Heptachlor</w:t>
      </w:r>
    </w:p>
    <w:p w14:paraId="6A920D99" w14:textId="77777777" w:rsidR="000B584F" w:rsidRPr="001A7517" w:rsidRDefault="000B584F" w:rsidP="000B584F">
      <w:pPr>
        <w:suppressAutoHyphens/>
        <w:ind w:left="2160"/>
      </w:pPr>
      <w:r w:rsidRPr="001A7517">
        <w:t>Heptachlor epoxide</w:t>
      </w:r>
    </w:p>
    <w:p w14:paraId="00209D7F" w14:textId="5059F996" w:rsidR="000B584F" w:rsidRDefault="000B584F" w:rsidP="000B584F">
      <w:pPr>
        <w:suppressAutoHyphens/>
        <w:ind w:left="2160"/>
      </w:pPr>
      <w:r w:rsidRPr="001A7517">
        <w:t>BOARD NOTE:  2,4</w:t>
      </w:r>
      <w:r w:rsidRPr="001A7517">
        <w:noBreakHyphen/>
        <w:t>D, heptachlor, and heptachlor epoxide are also “Phase II SOCs”.  The additional state requirements of Section 611.310 impose a more stringent “old MCL” for each of these compounds than that imposed on them as Phase II SOCs by Section 611.311.  However, the requirements for sampling and monitoring for these compounds as Phase II SOCs and the consequences of their detection and violation of their revised MCLs is more stringent as Phase II SOCs.</w:t>
      </w:r>
    </w:p>
    <w:p w14:paraId="26C8D0D3" w14:textId="77777777" w:rsidR="000B584F" w:rsidRPr="001A7517" w:rsidRDefault="000B584F" w:rsidP="000B584F">
      <w:pPr>
        <w:suppressAutoHyphens/>
        <w:ind w:left="2160"/>
      </w:pPr>
    </w:p>
    <w:p w14:paraId="7E46CEB9" w14:textId="0100069F" w:rsidR="000B584F" w:rsidRDefault="000B584F" w:rsidP="000B584F">
      <w:pPr>
        <w:suppressAutoHyphens/>
        <w:ind w:left="1440"/>
      </w:pPr>
      <w:r w:rsidRPr="001A7517">
        <w:t>“Phase II SOCs” means the following:</w:t>
      </w:r>
    </w:p>
    <w:p w14:paraId="790ABEAD" w14:textId="77777777" w:rsidR="000B584F" w:rsidRPr="001A7517" w:rsidRDefault="000B584F" w:rsidP="000B584F">
      <w:pPr>
        <w:suppressAutoHyphens/>
        <w:ind w:left="1440"/>
      </w:pPr>
    </w:p>
    <w:p w14:paraId="7D759B3F" w14:textId="77777777" w:rsidR="000B584F" w:rsidRPr="001A7517" w:rsidRDefault="000B584F" w:rsidP="000B584F">
      <w:pPr>
        <w:suppressAutoHyphens/>
        <w:ind w:left="2160"/>
      </w:pPr>
      <w:r w:rsidRPr="001A7517">
        <w:t>Alachlor</w:t>
      </w:r>
    </w:p>
    <w:p w14:paraId="23D1BAD9" w14:textId="77777777" w:rsidR="000B584F" w:rsidRPr="001A7517" w:rsidRDefault="000B584F" w:rsidP="000B584F">
      <w:pPr>
        <w:suppressAutoHyphens/>
        <w:ind w:left="2160"/>
      </w:pPr>
      <w:r w:rsidRPr="001A7517">
        <w:t>Atrazine</w:t>
      </w:r>
    </w:p>
    <w:p w14:paraId="3FF9CD28" w14:textId="77777777" w:rsidR="000B584F" w:rsidRPr="001A7517" w:rsidRDefault="000B584F" w:rsidP="000B584F">
      <w:pPr>
        <w:suppressAutoHyphens/>
        <w:ind w:left="2160"/>
      </w:pPr>
      <w:r w:rsidRPr="001A7517">
        <w:t>Carbofuran</w:t>
      </w:r>
    </w:p>
    <w:p w14:paraId="6D404574" w14:textId="77777777" w:rsidR="000B584F" w:rsidRPr="001A7517" w:rsidRDefault="000B584F" w:rsidP="000B584F">
      <w:pPr>
        <w:suppressAutoHyphens/>
        <w:ind w:left="2160"/>
      </w:pPr>
      <w:r w:rsidRPr="001A7517">
        <w:t>Chlordane</w:t>
      </w:r>
    </w:p>
    <w:p w14:paraId="55B56FBF" w14:textId="77777777" w:rsidR="000B584F" w:rsidRPr="001A7517" w:rsidRDefault="000B584F" w:rsidP="000B584F">
      <w:pPr>
        <w:suppressAutoHyphens/>
        <w:ind w:left="2160"/>
      </w:pPr>
      <w:r w:rsidRPr="001A7517">
        <w:t>Dibromochloropropane</w:t>
      </w:r>
    </w:p>
    <w:p w14:paraId="2C8CCEED" w14:textId="77777777" w:rsidR="000B584F" w:rsidRPr="001A7517" w:rsidRDefault="000B584F" w:rsidP="000B584F">
      <w:pPr>
        <w:suppressAutoHyphens/>
        <w:ind w:left="2160"/>
      </w:pPr>
      <w:r w:rsidRPr="001A7517">
        <w:t>Ethylene dibromide</w:t>
      </w:r>
    </w:p>
    <w:p w14:paraId="30EB1A16" w14:textId="77777777" w:rsidR="000B584F" w:rsidRPr="001A7517" w:rsidRDefault="000B584F" w:rsidP="000B584F">
      <w:pPr>
        <w:suppressAutoHyphens/>
        <w:ind w:left="2160"/>
      </w:pPr>
      <w:r w:rsidRPr="001A7517">
        <w:t>Heptachlor</w:t>
      </w:r>
    </w:p>
    <w:p w14:paraId="46549C7A" w14:textId="77777777" w:rsidR="000B584F" w:rsidRPr="001A7517" w:rsidRDefault="000B584F" w:rsidP="000B584F">
      <w:pPr>
        <w:suppressAutoHyphens/>
        <w:ind w:left="2160"/>
      </w:pPr>
      <w:r w:rsidRPr="001A7517">
        <w:t>Heptachlor epoxide</w:t>
      </w:r>
    </w:p>
    <w:p w14:paraId="3703D009" w14:textId="77777777" w:rsidR="000B584F" w:rsidRPr="001A7517" w:rsidRDefault="000B584F" w:rsidP="000B584F">
      <w:pPr>
        <w:suppressAutoHyphens/>
        <w:ind w:left="2160"/>
      </w:pPr>
      <w:r w:rsidRPr="001A7517">
        <w:t>Lindane</w:t>
      </w:r>
    </w:p>
    <w:p w14:paraId="2850A956" w14:textId="77777777" w:rsidR="000B584F" w:rsidRPr="001A7517" w:rsidRDefault="000B584F" w:rsidP="000B584F">
      <w:pPr>
        <w:suppressAutoHyphens/>
        <w:ind w:left="2160"/>
      </w:pPr>
      <w:r w:rsidRPr="001A7517">
        <w:t>Methoxychlor</w:t>
      </w:r>
    </w:p>
    <w:p w14:paraId="397D0755" w14:textId="77777777" w:rsidR="000B584F" w:rsidRPr="001A7517" w:rsidRDefault="000B584F" w:rsidP="000B584F">
      <w:pPr>
        <w:suppressAutoHyphens/>
        <w:ind w:left="2160"/>
      </w:pPr>
      <w:r w:rsidRPr="001A7517">
        <w:t>Polychlorinated biphenyls</w:t>
      </w:r>
    </w:p>
    <w:p w14:paraId="0C8F1F79" w14:textId="77777777" w:rsidR="000B584F" w:rsidRPr="001A7517" w:rsidRDefault="000B584F" w:rsidP="000B584F">
      <w:pPr>
        <w:suppressAutoHyphens/>
        <w:ind w:left="2160"/>
      </w:pPr>
      <w:r w:rsidRPr="001A7517">
        <w:t>Toxaphene</w:t>
      </w:r>
    </w:p>
    <w:p w14:paraId="69B72565" w14:textId="77777777" w:rsidR="000B584F" w:rsidRPr="001A7517" w:rsidRDefault="000B584F" w:rsidP="000B584F">
      <w:pPr>
        <w:suppressAutoHyphens/>
        <w:ind w:left="2160"/>
      </w:pPr>
      <w:r w:rsidRPr="001A7517">
        <w:t>2,4-D</w:t>
      </w:r>
    </w:p>
    <w:p w14:paraId="322275A0" w14:textId="77777777" w:rsidR="000B584F" w:rsidRPr="001A7517" w:rsidRDefault="000B584F" w:rsidP="000B584F">
      <w:pPr>
        <w:suppressAutoHyphens/>
        <w:ind w:left="2160"/>
      </w:pPr>
      <w:r w:rsidRPr="001A7517">
        <w:t>2,4,5-TP</w:t>
      </w:r>
    </w:p>
    <w:p w14:paraId="6F073E1C" w14:textId="2C41E68A" w:rsidR="000B584F" w:rsidRDefault="000B584F" w:rsidP="000B584F">
      <w:pPr>
        <w:suppressAutoHyphens/>
        <w:ind w:left="2160"/>
      </w:pPr>
      <w:r w:rsidRPr="001A7517">
        <w:t>BOARD NOTE:  These are organic contaminants regulated at 40 CFR 141.61(c)(1) through (c)(18).  The MCLs for these contaminants are located at Section 611.311.  More stringent MCLs for heptachlor, heptachlor epoxide, and 2,4</w:t>
      </w:r>
      <w:r w:rsidRPr="001A7517">
        <w:noBreakHyphen/>
        <w:t>D are found as “additional state requirements” in Section 611.310.</w:t>
      </w:r>
    </w:p>
    <w:p w14:paraId="77360C87" w14:textId="77777777" w:rsidR="000B584F" w:rsidRPr="001A7517" w:rsidRDefault="000B584F" w:rsidP="000B584F">
      <w:pPr>
        <w:suppressAutoHyphens/>
        <w:ind w:left="2160"/>
      </w:pPr>
    </w:p>
    <w:p w14:paraId="03E6A0DA" w14:textId="6F8B936C" w:rsidR="000B584F" w:rsidRDefault="000B584F" w:rsidP="000B584F">
      <w:pPr>
        <w:suppressAutoHyphens/>
        <w:ind w:left="1440"/>
      </w:pPr>
      <w:r w:rsidRPr="001A7517">
        <w:t>“Phase IIB SOCs” means the following:</w:t>
      </w:r>
    </w:p>
    <w:p w14:paraId="58A38427" w14:textId="77777777" w:rsidR="000B584F" w:rsidRPr="001A7517" w:rsidRDefault="000B584F" w:rsidP="000B584F">
      <w:pPr>
        <w:suppressAutoHyphens/>
        <w:ind w:left="1440"/>
      </w:pPr>
    </w:p>
    <w:p w14:paraId="41B5753B" w14:textId="77777777" w:rsidR="000B584F" w:rsidRPr="001A7517" w:rsidRDefault="000B584F" w:rsidP="000B584F">
      <w:pPr>
        <w:suppressAutoHyphens/>
        <w:ind w:left="2160"/>
      </w:pPr>
      <w:r w:rsidRPr="001A7517">
        <w:t>Aldicarb</w:t>
      </w:r>
    </w:p>
    <w:p w14:paraId="695F2E73" w14:textId="77777777" w:rsidR="000B584F" w:rsidRPr="001A7517" w:rsidRDefault="000B584F" w:rsidP="000B584F">
      <w:pPr>
        <w:suppressAutoHyphens/>
        <w:ind w:left="2160"/>
      </w:pPr>
      <w:r w:rsidRPr="001A7517">
        <w:t>Aldicarb Sulfone</w:t>
      </w:r>
    </w:p>
    <w:p w14:paraId="0385DFB3" w14:textId="77777777" w:rsidR="000B584F" w:rsidRPr="001A7517" w:rsidRDefault="000B584F" w:rsidP="000B584F">
      <w:pPr>
        <w:suppressAutoHyphens/>
        <w:ind w:left="2160"/>
      </w:pPr>
      <w:r w:rsidRPr="001A7517">
        <w:t>Aldicarb Sulfoxide</w:t>
      </w:r>
    </w:p>
    <w:p w14:paraId="41E39B69" w14:textId="77777777" w:rsidR="000B584F" w:rsidRPr="001A7517" w:rsidRDefault="000B584F" w:rsidP="000B584F">
      <w:pPr>
        <w:suppressAutoHyphens/>
        <w:ind w:left="2160"/>
      </w:pPr>
      <w:r w:rsidRPr="001A7517">
        <w:lastRenderedPageBreak/>
        <w:t>Pentachlorophenol</w:t>
      </w:r>
    </w:p>
    <w:p w14:paraId="53CDECA0" w14:textId="1411B7FE" w:rsidR="000B584F" w:rsidRDefault="000B584F" w:rsidP="000B584F">
      <w:pPr>
        <w:suppressAutoHyphens/>
        <w:ind w:left="2160"/>
      </w:pPr>
      <w:r w:rsidRPr="001A7517">
        <w:t>BOARD NOTE:  These are organic contaminants regulated at 40 CFR 141.61(c)(1) through (c)(18).  The MCLs for these contaminants are located at Section 611.311.  See the Board note appended to Section 611.311(c) for information relating to implementation of requirements relating to aldicarb, aldicarb sulfone, and aldicarb sulfoxide.</w:t>
      </w:r>
    </w:p>
    <w:p w14:paraId="06CC4D5D" w14:textId="77777777" w:rsidR="000B584F" w:rsidRPr="001A7517" w:rsidRDefault="000B584F" w:rsidP="000B584F">
      <w:pPr>
        <w:suppressAutoHyphens/>
        <w:ind w:left="2160"/>
      </w:pPr>
    </w:p>
    <w:p w14:paraId="1DFB9C08" w14:textId="66C0A434" w:rsidR="000B584F" w:rsidRDefault="000B584F" w:rsidP="000B584F">
      <w:pPr>
        <w:suppressAutoHyphens/>
        <w:ind w:left="1440"/>
      </w:pPr>
      <w:r w:rsidRPr="001A7517">
        <w:t>“Phase V SOCs” means the following:</w:t>
      </w:r>
    </w:p>
    <w:p w14:paraId="07683A4F" w14:textId="77777777" w:rsidR="000B584F" w:rsidRPr="001A7517" w:rsidRDefault="000B584F" w:rsidP="000B584F">
      <w:pPr>
        <w:suppressAutoHyphens/>
        <w:ind w:left="1440"/>
      </w:pPr>
    </w:p>
    <w:p w14:paraId="589D9394" w14:textId="77777777" w:rsidR="000B584F" w:rsidRPr="001A7517" w:rsidRDefault="000B584F" w:rsidP="000B584F">
      <w:pPr>
        <w:suppressAutoHyphens/>
        <w:ind w:left="2160"/>
      </w:pPr>
      <w:r w:rsidRPr="001A7517">
        <w:t>Benzo(a)pyrene</w:t>
      </w:r>
    </w:p>
    <w:p w14:paraId="30338935" w14:textId="77777777" w:rsidR="000B584F" w:rsidRPr="001A7517" w:rsidRDefault="000B584F" w:rsidP="000B584F">
      <w:pPr>
        <w:suppressAutoHyphens/>
        <w:ind w:left="2160"/>
      </w:pPr>
      <w:r w:rsidRPr="001A7517">
        <w:t>Dalapon</w:t>
      </w:r>
    </w:p>
    <w:p w14:paraId="44237412" w14:textId="77777777" w:rsidR="000B584F" w:rsidRPr="001A7517" w:rsidRDefault="000B584F" w:rsidP="000B584F">
      <w:pPr>
        <w:suppressAutoHyphens/>
        <w:ind w:left="2160"/>
      </w:pPr>
      <w:r w:rsidRPr="001A7517">
        <w:t>Di(2-ethylhexyl)adipate</w:t>
      </w:r>
    </w:p>
    <w:p w14:paraId="1F28AAC3" w14:textId="77777777" w:rsidR="000B584F" w:rsidRPr="001A7517" w:rsidRDefault="000B584F" w:rsidP="000B584F">
      <w:pPr>
        <w:suppressAutoHyphens/>
        <w:ind w:left="2160"/>
      </w:pPr>
      <w:r w:rsidRPr="001A7517">
        <w:t>Di(2-ethylhexyl)phthalate</w:t>
      </w:r>
    </w:p>
    <w:p w14:paraId="762BB49B" w14:textId="77777777" w:rsidR="000B584F" w:rsidRPr="001A7517" w:rsidRDefault="000B584F" w:rsidP="000B584F">
      <w:pPr>
        <w:suppressAutoHyphens/>
        <w:ind w:left="2160"/>
      </w:pPr>
      <w:r w:rsidRPr="001A7517">
        <w:t>Dinoseb</w:t>
      </w:r>
    </w:p>
    <w:p w14:paraId="05BCA03D" w14:textId="77777777" w:rsidR="000B584F" w:rsidRPr="001A7517" w:rsidRDefault="000B584F" w:rsidP="000B584F">
      <w:pPr>
        <w:suppressAutoHyphens/>
        <w:ind w:left="2160"/>
      </w:pPr>
      <w:r w:rsidRPr="001A7517">
        <w:t>Diquat</w:t>
      </w:r>
    </w:p>
    <w:p w14:paraId="305BF670" w14:textId="77777777" w:rsidR="000B584F" w:rsidRPr="001A7517" w:rsidRDefault="000B584F" w:rsidP="000B584F">
      <w:pPr>
        <w:suppressAutoHyphens/>
        <w:ind w:left="2160"/>
      </w:pPr>
      <w:r w:rsidRPr="001A7517">
        <w:t>Endothall</w:t>
      </w:r>
    </w:p>
    <w:p w14:paraId="5309FBF4" w14:textId="77777777" w:rsidR="000B584F" w:rsidRPr="001A7517" w:rsidRDefault="000B584F" w:rsidP="000B584F">
      <w:pPr>
        <w:suppressAutoHyphens/>
        <w:ind w:left="2160"/>
      </w:pPr>
      <w:r w:rsidRPr="001A7517">
        <w:t>Endrin</w:t>
      </w:r>
    </w:p>
    <w:p w14:paraId="4113B49B" w14:textId="77777777" w:rsidR="000B584F" w:rsidRPr="001A7517" w:rsidRDefault="000B584F" w:rsidP="000B584F">
      <w:pPr>
        <w:suppressAutoHyphens/>
        <w:ind w:left="2160"/>
      </w:pPr>
      <w:r w:rsidRPr="001A7517">
        <w:t>Glyphosate</w:t>
      </w:r>
    </w:p>
    <w:p w14:paraId="2C04668A" w14:textId="77777777" w:rsidR="000B584F" w:rsidRPr="001A7517" w:rsidRDefault="000B584F" w:rsidP="000B584F">
      <w:pPr>
        <w:suppressAutoHyphens/>
        <w:ind w:left="2160"/>
      </w:pPr>
      <w:r w:rsidRPr="001A7517">
        <w:t>Hexachlorobenzene</w:t>
      </w:r>
    </w:p>
    <w:p w14:paraId="3FDE99DE" w14:textId="77777777" w:rsidR="000B584F" w:rsidRPr="001A7517" w:rsidRDefault="000B584F" w:rsidP="000B584F">
      <w:pPr>
        <w:suppressAutoHyphens/>
        <w:ind w:left="2160"/>
      </w:pPr>
      <w:r w:rsidRPr="001A7517">
        <w:t>Hexachlorocyclopentadiene</w:t>
      </w:r>
    </w:p>
    <w:p w14:paraId="59C1BC67" w14:textId="77777777" w:rsidR="000B584F" w:rsidRPr="001A7517" w:rsidRDefault="000B584F" w:rsidP="000B584F">
      <w:pPr>
        <w:suppressAutoHyphens/>
        <w:ind w:left="2160"/>
      </w:pPr>
      <w:r w:rsidRPr="001A7517">
        <w:t>Oxamyl</w:t>
      </w:r>
    </w:p>
    <w:p w14:paraId="7865A4B0" w14:textId="77777777" w:rsidR="000B584F" w:rsidRPr="001A7517" w:rsidRDefault="000B584F" w:rsidP="000B584F">
      <w:pPr>
        <w:suppressAutoHyphens/>
        <w:ind w:left="2160"/>
      </w:pPr>
      <w:r w:rsidRPr="001A7517">
        <w:t>Picloram</w:t>
      </w:r>
    </w:p>
    <w:p w14:paraId="6E6BFC01" w14:textId="77777777" w:rsidR="000B584F" w:rsidRPr="001A7517" w:rsidRDefault="000B584F" w:rsidP="000B584F">
      <w:pPr>
        <w:suppressAutoHyphens/>
        <w:ind w:left="2160"/>
      </w:pPr>
      <w:r w:rsidRPr="001A7517">
        <w:t>Simazine</w:t>
      </w:r>
    </w:p>
    <w:p w14:paraId="3FAFAD2C" w14:textId="77777777" w:rsidR="000B584F" w:rsidRPr="001A7517" w:rsidRDefault="000B584F" w:rsidP="000B584F">
      <w:pPr>
        <w:suppressAutoHyphens/>
        <w:ind w:left="2160"/>
      </w:pPr>
      <w:r w:rsidRPr="001A7517">
        <w:t>2,3,7,8-TCDD</w:t>
      </w:r>
    </w:p>
    <w:p w14:paraId="51933FBC" w14:textId="44918CE4" w:rsidR="000B584F" w:rsidRDefault="000B584F" w:rsidP="000B584F">
      <w:pPr>
        <w:suppressAutoHyphens/>
        <w:ind w:left="2160"/>
      </w:pPr>
      <w:r w:rsidRPr="001A7517">
        <w:t>BOARD NOTE:  These are organic contaminants regulated at 40 CFR 141.61(c)(19) through (c)(33).  The MCLs for these contaminants are located at Section 611.311.</w:t>
      </w:r>
    </w:p>
    <w:p w14:paraId="1ED6D668" w14:textId="77777777" w:rsidR="000B584F" w:rsidRPr="001A7517" w:rsidRDefault="000B584F" w:rsidP="000B584F">
      <w:pPr>
        <w:suppressAutoHyphens/>
        <w:ind w:left="2160"/>
      </w:pPr>
    </w:p>
    <w:p w14:paraId="1900E578" w14:textId="32EC0383" w:rsidR="000B584F" w:rsidRDefault="000B584F" w:rsidP="000B584F">
      <w:pPr>
        <w:suppressAutoHyphens/>
        <w:ind w:left="1440"/>
      </w:pPr>
      <w:r w:rsidRPr="001A7517">
        <w:t>“Phase I VOCs” means the following:</w:t>
      </w:r>
    </w:p>
    <w:p w14:paraId="234F871E" w14:textId="77777777" w:rsidR="000B584F" w:rsidRPr="001A7517" w:rsidRDefault="000B584F" w:rsidP="000B584F">
      <w:pPr>
        <w:suppressAutoHyphens/>
        <w:ind w:left="1440"/>
      </w:pPr>
    </w:p>
    <w:p w14:paraId="526FDBB9" w14:textId="77777777" w:rsidR="000B584F" w:rsidRPr="001A7517" w:rsidRDefault="000B584F" w:rsidP="000B584F">
      <w:pPr>
        <w:suppressAutoHyphens/>
        <w:ind w:left="2160"/>
      </w:pPr>
      <w:r w:rsidRPr="001A7517">
        <w:t>Benzene</w:t>
      </w:r>
    </w:p>
    <w:p w14:paraId="284D2BB7" w14:textId="77777777" w:rsidR="000B584F" w:rsidRPr="001A7517" w:rsidRDefault="000B584F" w:rsidP="000B584F">
      <w:pPr>
        <w:suppressAutoHyphens/>
        <w:ind w:left="2160"/>
      </w:pPr>
      <w:r w:rsidRPr="001A7517">
        <w:t>Carbon tetrachloride</w:t>
      </w:r>
    </w:p>
    <w:p w14:paraId="3392C759" w14:textId="77777777" w:rsidR="000B584F" w:rsidRPr="001A7517" w:rsidRDefault="000B584F" w:rsidP="000B584F">
      <w:pPr>
        <w:suppressAutoHyphens/>
        <w:ind w:left="2160"/>
      </w:pPr>
      <w:r w:rsidRPr="001A7517">
        <w:t>p-Dichlorobenzene</w:t>
      </w:r>
    </w:p>
    <w:p w14:paraId="20F68032" w14:textId="77777777" w:rsidR="000B584F" w:rsidRPr="001A7517" w:rsidRDefault="000B584F" w:rsidP="000B584F">
      <w:pPr>
        <w:suppressAutoHyphens/>
        <w:ind w:left="2160"/>
      </w:pPr>
      <w:r w:rsidRPr="001A7517">
        <w:t>1,2-Dichloroethane</w:t>
      </w:r>
    </w:p>
    <w:p w14:paraId="2BA0AFFE" w14:textId="77777777" w:rsidR="000B584F" w:rsidRPr="001A7517" w:rsidRDefault="000B584F" w:rsidP="000B584F">
      <w:pPr>
        <w:suppressAutoHyphens/>
        <w:ind w:left="2160"/>
      </w:pPr>
      <w:r w:rsidRPr="001A7517">
        <w:t>1,1-Dichloroethylene</w:t>
      </w:r>
    </w:p>
    <w:p w14:paraId="4E8C7518" w14:textId="77777777" w:rsidR="000B584F" w:rsidRPr="001A7517" w:rsidRDefault="000B584F" w:rsidP="000B584F">
      <w:pPr>
        <w:suppressAutoHyphens/>
        <w:ind w:left="2160"/>
      </w:pPr>
      <w:r w:rsidRPr="001A7517">
        <w:t>1,1,1-Trichloroethane</w:t>
      </w:r>
    </w:p>
    <w:p w14:paraId="7D75010B" w14:textId="77777777" w:rsidR="000B584F" w:rsidRPr="001A7517" w:rsidRDefault="000B584F" w:rsidP="000B584F">
      <w:pPr>
        <w:suppressAutoHyphens/>
        <w:ind w:left="2160"/>
      </w:pPr>
      <w:r w:rsidRPr="001A7517">
        <w:t>Trichloroethylene</w:t>
      </w:r>
    </w:p>
    <w:p w14:paraId="0CB5EF59" w14:textId="77777777" w:rsidR="000B584F" w:rsidRPr="001A7517" w:rsidRDefault="000B584F" w:rsidP="000B584F">
      <w:pPr>
        <w:suppressAutoHyphens/>
        <w:ind w:left="2160"/>
      </w:pPr>
      <w:r w:rsidRPr="001A7517">
        <w:t>Vinyl chloride</w:t>
      </w:r>
    </w:p>
    <w:p w14:paraId="3AABCF9F" w14:textId="3CFF4B29" w:rsidR="000B584F" w:rsidRDefault="000B584F" w:rsidP="000B584F">
      <w:pPr>
        <w:suppressAutoHyphens/>
        <w:ind w:left="2160"/>
      </w:pPr>
      <w:r w:rsidRPr="001A7517">
        <w:t>BOARD NOTE:  These are the organic contaminants regulated at 40 CFR 141.61(a)(1) through (a)(8).  The MCLs for these contaminants are located at Section 611.311(a).</w:t>
      </w:r>
    </w:p>
    <w:p w14:paraId="28F345C1" w14:textId="77777777" w:rsidR="000B584F" w:rsidRPr="001A7517" w:rsidRDefault="000B584F" w:rsidP="000B584F">
      <w:pPr>
        <w:suppressAutoHyphens/>
        <w:ind w:left="2160"/>
      </w:pPr>
    </w:p>
    <w:p w14:paraId="6C48D9A1" w14:textId="17C7B922" w:rsidR="000B584F" w:rsidRDefault="000B584F" w:rsidP="000B584F">
      <w:pPr>
        <w:suppressAutoHyphens/>
        <w:ind w:left="1440"/>
      </w:pPr>
      <w:r w:rsidRPr="001A7517">
        <w:t>“Phase II VOCs” means the following:</w:t>
      </w:r>
    </w:p>
    <w:p w14:paraId="641613C8" w14:textId="77777777" w:rsidR="000B584F" w:rsidRPr="001A7517" w:rsidRDefault="000B584F" w:rsidP="000B584F">
      <w:pPr>
        <w:suppressAutoHyphens/>
        <w:ind w:left="1440"/>
      </w:pPr>
    </w:p>
    <w:p w14:paraId="41D1F1A5" w14:textId="77777777" w:rsidR="000B584F" w:rsidRPr="001A7517" w:rsidRDefault="000B584F" w:rsidP="000B584F">
      <w:pPr>
        <w:suppressAutoHyphens/>
        <w:ind w:left="2160"/>
      </w:pPr>
      <w:r w:rsidRPr="001A7517">
        <w:t>o-Dichlorobenzene</w:t>
      </w:r>
    </w:p>
    <w:p w14:paraId="2E302008" w14:textId="77777777" w:rsidR="000B584F" w:rsidRPr="001A7517" w:rsidRDefault="000B584F" w:rsidP="000B584F">
      <w:pPr>
        <w:suppressAutoHyphens/>
        <w:ind w:left="2160"/>
      </w:pPr>
      <w:r w:rsidRPr="001A7517">
        <w:lastRenderedPageBreak/>
        <w:t>cis-1,2-Dichloroethylene</w:t>
      </w:r>
    </w:p>
    <w:p w14:paraId="0749ABA0" w14:textId="77777777" w:rsidR="000B584F" w:rsidRPr="001A7517" w:rsidRDefault="000B584F" w:rsidP="000B584F">
      <w:pPr>
        <w:suppressAutoHyphens/>
        <w:ind w:left="2160"/>
      </w:pPr>
      <w:r w:rsidRPr="001A7517">
        <w:t>trans-1,2-Dichloroethylene</w:t>
      </w:r>
    </w:p>
    <w:p w14:paraId="3049CF00" w14:textId="77777777" w:rsidR="000B584F" w:rsidRPr="001A7517" w:rsidRDefault="000B584F" w:rsidP="000B584F">
      <w:pPr>
        <w:suppressAutoHyphens/>
        <w:ind w:left="2160"/>
      </w:pPr>
      <w:r w:rsidRPr="001A7517">
        <w:t>1,2-Dichloropropane</w:t>
      </w:r>
    </w:p>
    <w:p w14:paraId="1A96FD7B" w14:textId="77777777" w:rsidR="000B584F" w:rsidRPr="001A7517" w:rsidRDefault="000B584F" w:rsidP="000B584F">
      <w:pPr>
        <w:suppressAutoHyphens/>
        <w:ind w:left="2160"/>
      </w:pPr>
      <w:r w:rsidRPr="001A7517">
        <w:t>Ethylbenzene</w:t>
      </w:r>
    </w:p>
    <w:p w14:paraId="2D87204A" w14:textId="77777777" w:rsidR="000B584F" w:rsidRPr="001A7517" w:rsidRDefault="000B584F" w:rsidP="000B584F">
      <w:pPr>
        <w:suppressAutoHyphens/>
        <w:ind w:left="2160"/>
      </w:pPr>
      <w:r w:rsidRPr="001A7517">
        <w:t>Monochlorobenzene</w:t>
      </w:r>
    </w:p>
    <w:p w14:paraId="33EE9119" w14:textId="77777777" w:rsidR="000B584F" w:rsidRPr="001A7517" w:rsidRDefault="000B584F" w:rsidP="000B584F">
      <w:pPr>
        <w:suppressAutoHyphens/>
        <w:ind w:left="2160"/>
      </w:pPr>
      <w:r w:rsidRPr="001A7517">
        <w:t>Styrene</w:t>
      </w:r>
    </w:p>
    <w:p w14:paraId="62413A3B" w14:textId="77777777" w:rsidR="000B584F" w:rsidRPr="001A7517" w:rsidRDefault="000B584F" w:rsidP="000B584F">
      <w:pPr>
        <w:suppressAutoHyphens/>
        <w:ind w:left="2160"/>
      </w:pPr>
      <w:r w:rsidRPr="001A7517">
        <w:t>Tetrachloroethylene</w:t>
      </w:r>
    </w:p>
    <w:p w14:paraId="7B63D494" w14:textId="77777777" w:rsidR="000B584F" w:rsidRPr="001A7517" w:rsidRDefault="000B584F" w:rsidP="000B584F">
      <w:pPr>
        <w:suppressAutoHyphens/>
        <w:ind w:left="2160"/>
      </w:pPr>
      <w:r w:rsidRPr="001A7517">
        <w:t>Toluene</w:t>
      </w:r>
    </w:p>
    <w:p w14:paraId="3FDF283A" w14:textId="77777777" w:rsidR="000B584F" w:rsidRPr="001A7517" w:rsidRDefault="000B584F" w:rsidP="000B584F">
      <w:pPr>
        <w:suppressAutoHyphens/>
        <w:ind w:left="2160"/>
      </w:pPr>
      <w:r w:rsidRPr="001A7517">
        <w:t>Xylenes (total)</w:t>
      </w:r>
    </w:p>
    <w:p w14:paraId="6F1719A6" w14:textId="3E01D5F8" w:rsidR="000B584F" w:rsidRDefault="000B584F" w:rsidP="000B584F">
      <w:pPr>
        <w:suppressAutoHyphens/>
        <w:ind w:left="2160"/>
      </w:pPr>
      <w:r w:rsidRPr="001A7517">
        <w:t>BOARD NOTE:  These are organic contaminants regulated at 40 CFR 141.61(a)(9) through (a)(18).  The MCLs for these contaminants are in Section 611.311(a).</w:t>
      </w:r>
    </w:p>
    <w:p w14:paraId="677A5DAA" w14:textId="77777777" w:rsidR="000B584F" w:rsidRPr="001A7517" w:rsidRDefault="000B584F" w:rsidP="000B584F">
      <w:pPr>
        <w:suppressAutoHyphens/>
        <w:ind w:left="2160"/>
      </w:pPr>
    </w:p>
    <w:p w14:paraId="643FFAAD" w14:textId="5C68230A" w:rsidR="000B584F" w:rsidRDefault="000B584F" w:rsidP="000B584F">
      <w:pPr>
        <w:suppressAutoHyphens/>
        <w:ind w:left="1440"/>
      </w:pPr>
      <w:r w:rsidRPr="001A7517">
        <w:t>“Phase V VOCs” means the following:</w:t>
      </w:r>
    </w:p>
    <w:p w14:paraId="22152022" w14:textId="77777777" w:rsidR="000B584F" w:rsidRPr="001A7517" w:rsidRDefault="000B584F" w:rsidP="000B584F">
      <w:pPr>
        <w:suppressAutoHyphens/>
        <w:ind w:left="1440"/>
      </w:pPr>
    </w:p>
    <w:p w14:paraId="0580A4FB" w14:textId="77777777" w:rsidR="000B584F" w:rsidRPr="001A7517" w:rsidRDefault="000B584F" w:rsidP="000B584F">
      <w:pPr>
        <w:suppressAutoHyphens/>
        <w:ind w:left="2160"/>
      </w:pPr>
      <w:r w:rsidRPr="001A7517">
        <w:t>Dichloromethane</w:t>
      </w:r>
    </w:p>
    <w:p w14:paraId="3345D467" w14:textId="77777777" w:rsidR="000B584F" w:rsidRPr="001A7517" w:rsidRDefault="000B584F" w:rsidP="000B584F">
      <w:pPr>
        <w:suppressAutoHyphens/>
        <w:ind w:left="2160"/>
      </w:pPr>
      <w:r w:rsidRPr="001A7517">
        <w:t>1,2,4-Trichlorobenzene</w:t>
      </w:r>
    </w:p>
    <w:p w14:paraId="18F23522" w14:textId="77777777" w:rsidR="000B584F" w:rsidRPr="001A7517" w:rsidRDefault="000B584F" w:rsidP="000B584F">
      <w:pPr>
        <w:suppressAutoHyphens/>
        <w:ind w:left="2160"/>
      </w:pPr>
      <w:r w:rsidRPr="001A7517">
        <w:t>1,1,2-Trichloroethane</w:t>
      </w:r>
    </w:p>
    <w:p w14:paraId="1EED184B" w14:textId="1F7E889A" w:rsidR="000B584F" w:rsidRDefault="000B584F" w:rsidP="000B584F">
      <w:pPr>
        <w:suppressAutoHyphens/>
        <w:ind w:left="2160"/>
      </w:pPr>
      <w:r w:rsidRPr="001A7517">
        <w:t>BOARD NOTE:  These are the organic contaminants regulated at 40 CFR 141.61(a)(19) through (a)(21).  The MCLs for these contaminants are located at Section 611.311(a).</w:t>
      </w:r>
    </w:p>
    <w:p w14:paraId="544B4407" w14:textId="77777777" w:rsidR="000B584F" w:rsidRPr="001A7517" w:rsidRDefault="000B584F" w:rsidP="000B584F">
      <w:pPr>
        <w:suppressAutoHyphens/>
        <w:ind w:left="2160"/>
      </w:pPr>
    </w:p>
    <w:p w14:paraId="08C9BEE8" w14:textId="667D9057" w:rsidR="000B584F" w:rsidRDefault="000B584F" w:rsidP="000B584F">
      <w:pPr>
        <w:suppressAutoHyphens/>
        <w:ind w:left="1440"/>
      </w:pPr>
      <w:r w:rsidRPr="001A7517">
        <w:t>“Revised MCL” means an MCL in Section 611.311.  This term includes MCLs for Phase I VOCs, Phase II VOCs, Phase V VOCs, Phase II SOCs, Phase IIB SOCs, and Phase V SOCs.</w:t>
      </w:r>
    </w:p>
    <w:p w14:paraId="7A17449A" w14:textId="77777777" w:rsidR="000B584F" w:rsidRPr="001A7517" w:rsidRDefault="000B584F" w:rsidP="000B584F">
      <w:pPr>
        <w:suppressAutoHyphens/>
        <w:ind w:left="1440"/>
      </w:pPr>
    </w:p>
    <w:p w14:paraId="3EAD6C99" w14:textId="77777777" w:rsidR="000B584F" w:rsidRPr="001A7517" w:rsidRDefault="000B584F" w:rsidP="000B584F">
      <w:pPr>
        <w:suppressAutoHyphens/>
        <w:ind w:left="720"/>
      </w:pPr>
      <w:r w:rsidRPr="001A7517">
        <w:t>(Source:  A</w:t>
      </w:r>
      <w:r w:rsidRPr="001A7517">
        <w:rPr>
          <w:szCs w:val="17"/>
        </w:rPr>
        <w:t xml:space="preserve">mended at </w:t>
      </w:r>
      <w:r w:rsidRPr="001A7517">
        <w:t>42 Ill. Reg. 1140, effective January 4, 2018)</w:t>
      </w:r>
    </w:p>
    <w:p w14:paraId="0AB61667" w14:textId="77777777" w:rsidR="005605D6" w:rsidRPr="003B4362" w:rsidRDefault="005605D6" w:rsidP="00710318">
      <w:pPr>
        <w:widowControl w:val="0"/>
        <w:ind w:left="720"/>
      </w:pPr>
    </w:p>
    <w:bookmarkEnd w:id="3516"/>
    <w:p w14:paraId="16076C04" w14:textId="6BC3859E" w:rsidR="005614AB" w:rsidRPr="003B4362" w:rsidRDefault="005614AB" w:rsidP="00710318">
      <w:pPr>
        <w:rPr>
          <w:b/>
          <w:bCs/>
        </w:rPr>
      </w:pPr>
      <w:r w:rsidRPr="003B4362">
        <w:rPr>
          <w:b/>
          <w:bCs/>
        </w:rPr>
        <w:t xml:space="preserve">Section 611.641  </w:t>
      </w:r>
      <w:r w:rsidR="00084E40" w:rsidRPr="003B4362">
        <w:rPr>
          <w:b/>
          <w:bCs/>
        </w:rPr>
        <w:t xml:space="preserve">State-Only </w:t>
      </w:r>
      <w:r w:rsidRPr="003B4362">
        <w:rPr>
          <w:b/>
          <w:bCs/>
        </w:rPr>
        <w:t>MCLs</w:t>
      </w:r>
    </w:p>
    <w:p w14:paraId="0299E1C1" w14:textId="77777777" w:rsidR="00710318" w:rsidRDefault="00710318" w:rsidP="00710318">
      <w:pPr>
        <w:suppressAutoHyphens/>
        <w:ind w:left="1440" w:hanging="720"/>
      </w:pPr>
    </w:p>
    <w:p w14:paraId="35C7924C" w14:textId="4FFEF215" w:rsidR="005614AB" w:rsidRPr="003B4362" w:rsidRDefault="005614AB" w:rsidP="00710318">
      <w:pPr>
        <w:suppressAutoHyphens/>
        <w:ind w:left="1440" w:hanging="720"/>
      </w:pPr>
      <w:r w:rsidRPr="003B4362">
        <w:t>a)</w:t>
      </w:r>
      <w:r w:rsidRPr="003B4362">
        <w:tab/>
        <w:t xml:space="preserve">An analysis of substances for the purpose of determining compliance with the </w:t>
      </w:r>
      <w:r w:rsidR="00084E40" w:rsidRPr="003B4362">
        <w:t xml:space="preserve">State-only </w:t>
      </w:r>
      <w:r w:rsidRPr="003B4362">
        <w:t>MCLs of Section 611.310 must be made as follows:</w:t>
      </w:r>
    </w:p>
    <w:p w14:paraId="2C3DD95C" w14:textId="77777777" w:rsidR="00710318" w:rsidRDefault="00710318" w:rsidP="00710318">
      <w:pPr>
        <w:suppressAutoHyphens/>
        <w:ind w:left="2160" w:hanging="720"/>
      </w:pPr>
    </w:p>
    <w:p w14:paraId="444433F8" w14:textId="64765F96" w:rsidR="005614AB" w:rsidRPr="003B4362" w:rsidRDefault="005614AB" w:rsidP="00710318">
      <w:pPr>
        <w:suppressAutoHyphens/>
        <w:ind w:left="2160" w:hanging="720"/>
      </w:pPr>
      <w:r w:rsidRPr="003B4362">
        <w:t>1)</w:t>
      </w:r>
      <w:r w:rsidRPr="003B4362">
        <w:tab/>
        <w:t>The Agency must</w:t>
      </w:r>
      <w:r w:rsidR="0061184A" w:rsidRPr="003B4362">
        <w:t xml:space="preserve"> issue a SEP requiring</w:t>
      </w:r>
      <w:r w:rsidRPr="003B4362">
        <w:t xml:space="preserve"> CWS suppliers utilizing surface water sources to collect samples during the period of the year when contamination by pesticides is most likely to occur.  The Agency must require the supplier to repeat these analyses at least annually.</w:t>
      </w:r>
    </w:p>
    <w:p w14:paraId="30A702F5" w14:textId="77777777" w:rsidR="00710318" w:rsidRDefault="00710318" w:rsidP="00710318">
      <w:pPr>
        <w:suppressAutoHyphens/>
        <w:ind w:left="2160" w:hanging="720"/>
      </w:pPr>
    </w:p>
    <w:p w14:paraId="078A7A14" w14:textId="5BC85D10" w:rsidR="005614AB" w:rsidRPr="003B4362" w:rsidRDefault="005614AB" w:rsidP="00710318">
      <w:pPr>
        <w:suppressAutoHyphens/>
        <w:ind w:left="2160" w:hanging="720"/>
      </w:pPr>
      <w:r w:rsidRPr="003B4362">
        <w:t>2)</w:t>
      </w:r>
      <w:r w:rsidRPr="003B4362">
        <w:tab/>
        <w:t>The Agency must</w:t>
      </w:r>
      <w:r w:rsidR="0061184A" w:rsidRPr="003B4362">
        <w:t xml:space="preserve"> issue a SEP requiring</w:t>
      </w:r>
      <w:r w:rsidRPr="003B4362">
        <w:t xml:space="preserve"> </w:t>
      </w:r>
      <w:r w:rsidR="005C7821" w:rsidRPr="003B4362">
        <w:t>CWS</w:t>
      </w:r>
      <w:r w:rsidR="00227052" w:rsidRPr="003B4362">
        <w:t xml:space="preserve"> </w:t>
      </w:r>
      <w:r w:rsidRPr="003B4362">
        <w:t>suppliers utilizing only groundwater sources to collect samples at least once every three years.</w:t>
      </w:r>
    </w:p>
    <w:p w14:paraId="550F334E" w14:textId="77777777" w:rsidR="00710318" w:rsidRDefault="00710318" w:rsidP="00710318">
      <w:pPr>
        <w:suppressAutoHyphens/>
        <w:ind w:left="1440" w:hanging="720"/>
      </w:pPr>
    </w:p>
    <w:p w14:paraId="667A0198" w14:textId="12294A2C" w:rsidR="005614AB" w:rsidRPr="003B4362" w:rsidRDefault="005614AB" w:rsidP="00710318">
      <w:pPr>
        <w:suppressAutoHyphens/>
        <w:ind w:left="1440" w:hanging="720"/>
      </w:pPr>
      <w:r w:rsidRPr="003B4362">
        <w:t>b)</w:t>
      </w:r>
      <w:r w:rsidRPr="003B4362">
        <w:tab/>
        <w:t xml:space="preserve">If the result of an analysis made </w:t>
      </w:r>
      <w:r w:rsidR="001E6EFC" w:rsidRPr="003B4362">
        <w:t xml:space="preserve">under </w:t>
      </w:r>
      <w:r w:rsidRPr="003B4362">
        <w:t xml:space="preserve">subsection (a) indicates that the level of any contaminant exceeds its </w:t>
      </w:r>
      <w:r w:rsidR="00084E40" w:rsidRPr="003B4362">
        <w:t xml:space="preserve">State-only </w:t>
      </w:r>
      <w:r w:rsidRPr="003B4362">
        <w:t>MCL, the CWS supplier must report to the Agency within seven days and initiate three additional analyses within one month.</w:t>
      </w:r>
    </w:p>
    <w:p w14:paraId="25CD9FFF" w14:textId="77777777" w:rsidR="00710318" w:rsidRDefault="00710318" w:rsidP="00710318">
      <w:pPr>
        <w:suppressAutoHyphens/>
        <w:ind w:left="1440" w:hanging="720"/>
      </w:pPr>
    </w:p>
    <w:p w14:paraId="719C0420" w14:textId="43300F74" w:rsidR="005614AB" w:rsidRPr="003B4362" w:rsidRDefault="005614AB" w:rsidP="00710318">
      <w:pPr>
        <w:suppressAutoHyphens/>
        <w:ind w:left="1440" w:hanging="720"/>
      </w:pPr>
      <w:r w:rsidRPr="003B4362">
        <w:lastRenderedPageBreak/>
        <w:t>c)</w:t>
      </w:r>
      <w:r w:rsidRPr="003B4362">
        <w:tab/>
        <w:t xml:space="preserve">When the average of four analyses made </w:t>
      </w:r>
      <w:r w:rsidR="001E6EFC" w:rsidRPr="003B4362">
        <w:t xml:space="preserve">under </w:t>
      </w:r>
      <w:r w:rsidRPr="003B4362">
        <w:t xml:space="preserve">subsection (a), rounded to the same number of significant figures as the MCL for the substance in question, exceeds the </w:t>
      </w:r>
      <w:r w:rsidR="00084E40" w:rsidRPr="003B4362">
        <w:t xml:space="preserve">State-only </w:t>
      </w:r>
      <w:r w:rsidRPr="003B4362">
        <w:t xml:space="preserve">MCL, the CWS supplier must report to the Agency and give notice to the public </w:t>
      </w:r>
      <w:r w:rsidR="001E6EFC" w:rsidRPr="003B4362">
        <w:t xml:space="preserve">under </w:t>
      </w:r>
      <w:r w:rsidRPr="003B4362">
        <w:t xml:space="preserve">Subpart T of this Part.  Monitoring after public notification must be at a frequency designated by the Agency and must continue until the MCL </w:t>
      </w:r>
      <w:r w:rsidR="00A854C7" w:rsidRPr="003B4362">
        <w:t>has</w:t>
      </w:r>
      <w:r w:rsidRPr="003B4362">
        <w:t xml:space="preserve"> not been exceeded in two successive samples or until a monitoring schedule as a condition to a variance, adjusted standard, or enforcement action becomes effective.</w:t>
      </w:r>
    </w:p>
    <w:p w14:paraId="2BC484D1" w14:textId="77777777" w:rsidR="00710318" w:rsidRDefault="00710318" w:rsidP="00710318">
      <w:pPr>
        <w:suppressAutoHyphens/>
        <w:ind w:left="1440" w:hanging="720"/>
      </w:pPr>
    </w:p>
    <w:p w14:paraId="09572CA6" w14:textId="5C7FBEB8" w:rsidR="005614AB" w:rsidRPr="003B4362" w:rsidRDefault="005614AB" w:rsidP="00710318">
      <w:pPr>
        <w:suppressAutoHyphens/>
        <w:ind w:left="1440" w:hanging="720"/>
      </w:pPr>
      <w:r w:rsidRPr="003B4362">
        <w:t>d)</w:t>
      </w:r>
      <w:r w:rsidRPr="003B4362">
        <w:tab/>
        <w:t xml:space="preserve">Analysis made to determine compliance with the </w:t>
      </w:r>
      <w:r w:rsidR="00084E40" w:rsidRPr="003B4362">
        <w:t xml:space="preserve">State-only </w:t>
      </w:r>
      <w:r w:rsidRPr="003B4362">
        <w:t>MCLs of Section 611.310 must be made in accordance with the appropriate methods specified in Section 611.645.</w:t>
      </w:r>
    </w:p>
    <w:p w14:paraId="75DEE4D0" w14:textId="77777777" w:rsidR="00710318" w:rsidRDefault="00710318" w:rsidP="00710318"/>
    <w:p w14:paraId="70589ADE" w14:textId="2D2815F3" w:rsidR="005614AB" w:rsidRPr="003B4362" w:rsidRDefault="005614AB" w:rsidP="00710318">
      <w:r w:rsidRPr="003B4362">
        <w:t xml:space="preserve">BOARD NOTE:  This provision now applies only to State-only MCLs.  </w:t>
      </w:r>
      <w:r w:rsidR="00260D73" w:rsidRPr="003B4362">
        <w:t xml:space="preserve">This Section originally </w:t>
      </w:r>
      <w:r w:rsidRPr="003B4362">
        <w:t>derived from 40 CFR 141.24(a) through (e), which USEPA removed and reserved.</w:t>
      </w:r>
    </w:p>
    <w:p w14:paraId="3F45F004" w14:textId="77777777" w:rsidR="00710318" w:rsidRDefault="00710318" w:rsidP="00710318">
      <w:pPr>
        <w:suppressAutoHyphens/>
        <w:ind w:left="720"/>
      </w:pPr>
    </w:p>
    <w:p w14:paraId="123A2A31" w14:textId="7AE22802" w:rsidR="005614AB" w:rsidRPr="003B4362" w:rsidRDefault="005614AB" w:rsidP="0071031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554038E2" w14:textId="77777777" w:rsidR="00AD24B5" w:rsidRPr="003B4362" w:rsidRDefault="00AD24B5" w:rsidP="00AD24B5">
      <w:pPr>
        <w:rPr>
          <w:b/>
          <w:bCs/>
        </w:rPr>
      </w:pPr>
      <w:r w:rsidRPr="003B4362">
        <w:rPr>
          <w:b/>
          <w:bCs/>
        </w:rPr>
        <w:t>Section 611.645  Analytical Methods for Organic Chemical Contaminants</w:t>
      </w:r>
    </w:p>
    <w:p w14:paraId="1BD30D78" w14:textId="77777777" w:rsidR="00AD24B5" w:rsidRDefault="00AD24B5" w:rsidP="00AD24B5">
      <w:pPr>
        <w:widowControl w:val="0"/>
        <w:suppressAutoHyphens/>
      </w:pPr>
    </w:p>
    <w:p w14:paraId="0AB8867E" w14:textId="77777777" w:rsidR="00AD24B5" w:rsidRPr="003B4362" w:rsidRDefault="00AD24B5" w:rsidP="00AD24B5">
      <w:pPr>
        <w:widowControl w:val="0"/>
        <w:suppressAutoHyphens/>
      </w:pPr>
      <w:r w:rsidRPr="003B4362">
        <w:t>T</w:t>
      </w:r>
      <w:bookmarkStart w:id="3780" w:name="_Hlk132805896"/>
      <w:r w:rsidRPr="003B4362">
        <w:t xml:space="preserve">he laboratory must analyze for the Section 611.311(a) VOCs under Section 611.646, the Section 611.311(c) SOCs under Section 611.648, the Section 611.310 State-only MCLs under Section 611.641, and the Section 611.312 MCL for TTHMs under Section 611.381 </w:t>
      </w:r>
      <w:bookmarkEnd w:id="3780"/>
      <w:r w:rsidRPr="003B4362">
        <w:t xml:space="preserve">using the </w:t>
      </w:r>
      <w:bookmarkStart w:id="3781" w:name="_Hlk132806164"/>
      <w:r w:rsidRPr="003B4362">
        <w:t>methods in this Section</w:t>
      </w:r>
      <w:bookmarkEnd w:id="3781"/>
      <w:r w:rsidRPr="003B4362">
        <w:t xml:space="preserve">.  All methods are incorporated by reference in Section 611.102.  </w:t>
      </w:r>
      <w:bookmarkStart w:id="3782" w:name="_Hlk132806214"/>
      <w:r w:rsidRPr="003B4362">
        <w:t>USEPA Technical Notes</w:t>
      </w:r>
      <w:r w:rsidRPr="003B4362">
        <w:rPr>
          <w:szCs w:val="16"/>
        </w:rPr>
        <w:t>,</w:t>
      </w:r>
      <w:r w:rsidRPr="003B4362">
        <w:t xml:space="preserve"> incorporated by reference in Section 611.102, contains other required analytical test procedures germane to conducting these analyses</w:t>
      </w:r>
      <w:bookmarkEnd w:id="3782"/>
      <w:r w:rsidRPr="003B4362">
        <w:t>.</w:t>
      </w:r>
    </w:p>
    <w:p w14:paraId="640C57B4" w14:textId="77777777" w:rsidR="00AD24B5" w:rsidRDefault="00AD24B5" w:rsidP="00AD24B5">
      <w:pPr>
        <w:ind w:firstLine="720"/>
      </w:pPr>
    </w:p>
    <w:p w14:paraId="488D7C9E" w14:textId="77777777" w:rsidR="00AD24B5" w:rsidRPr="003B4362" w:rsidRDefault="00AD24B5" w:rsidP="00AD24B5">
      <w:pPr>
        <w:ind w:firstLine="720"/>
      </w:pPr>
      <w:r w:rsidRPr="003B4362">
        <w:t>a)</w:t>
      </w:r>
      <w:r w:rsidRPr="003B4362">
        <w:tab/>
        <w:t>Volatile Organic Chemical Contaminants (VOCs)</w:t>
      </w:r>
    </w:p>
    <w:p w14:paraId="76F28646" w14:textId="77777777" w:rsidR="00AD24B5" w:rsidRDefault="00AD24B5" w:rsidP="00AD24B5">
      <w:pPr>
        <w:widowControl w:val="0"/>
        <w:suppressAutoHyphens/>
        <w:ind w:left="2160" w:hanging="720"/>
      </w:pPr>
    </w:p>
    <w:p w14:paraId="51161334" w14:textId="77777777" w:rsidR="00AD24B5" w:rsidRPr="003B4362" w:rsidRDefault="00AD24B5" w:rsidP="00AD24B5">
      <w:pPr>
        <w:widowControl w:val="0"/>
        <w:suppressAutoHyphens/>
        <w:ind w:left="2160" w:hanging="720"/>
      </w:pPr>
      <w:r w:rsidRPr="003B4362">
        <w:t>1)</w:t>
      </w:r>
      <w:r w:rsidRPr="003B4362">
        <w:tab/>
        <w:t>Benzene</w:t>
      </w:r>
    </w:p>
    <w:p w14:paraId="56EBA1C2" w14:textId="77777777" w:rsidR="00AD24B5" w:rsidRDefault="00AD24B5" w:rsidP="00AD24B5">
      <w:pPr>
        <w:widowControl w:val="0"/>
        <w:suppressAutoHyphens/>
        <w:ind w:left="2880" w:hanging="720"/>
      </w:pPr>
    </w:p>
    <w:p w14:paraId="28A97096" w14:textId="77777777" w:rsidR="00AD24B5" w:rsidRPr="003B4362" w:rsidRDefault="00AD24B5" w:rsidP="00AD24B5">
      <w:pPr>
        <w:widowControl w:val="0"/>
        <w:suppressAutoHyphens/>
        <w:ind w:left="2880" w:hanging="720"/>
      </w:pPr>
      <w:r w:rsidRPr="003B4362">
        <w:t>A)</w:t>
      </w:r>
      <w:r w:rsidRPr="003B4362">
        <w:tab/>
        <w:t>Purge and Trap Gas Chromatography.  USEPA 502.2 (95).</w:t>
      </w:r>
    </w:p>
    <w:p w14:paraId="0750ED8F" w14:textId="77777777" w:rsidR="00AD24B5" w:rsidRDefault="00AD24B5" w:rsidP="00AD24B5">
      <w:pPr>
        <w:widowControl w:val="0"/>
        <w:suppressAutoHyphens/>
        <w:ind w:left="2880" w:hanging="720"/>
      </w:pPr>
    </w:p>
    <w:p w14:paraId="46B629DE"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5570F5D9" w14:textId="77777777" w:rsidR="00AD24B5" w:rsidRDefault="00AD24B5" w:rsidP="00AD24B5">
      <w:pPr>
        <w:widowControl w:val="0"/>
        <w:suppressAutoHyphens/>
        <w:ind w:left="2160" w:hanging="720"/>
      </w:pPr>
    </w:p>
    <w:p w14:paraId="69947B9E" w14:textId="77777777" w:rsidR="00AD24B5" w:rsidRPr="003B4362" w:rsidRDefault="00AD24B5" w:rsidP="00AD24B5">
      <w:pPr>
        <w:widowControl w:val="0"/>
        <w:suppressAutoHyphens/>
        <w:ind w:left="2160" w:hanging="720"/>
      </w:pPr>
      <w:r w:rsidRPr="003B4362">
        <w:t>2)</w:t>
      </w:r>
      <w:r w:rsidRPr="003B4362">
        <w:tab/>
        <w:t>Carbon tetrachloride</w:t>
      </w:r>
    </w:p>
    <w:p w14:paraId="00574AEC" w14:textId="77777777" w:rsidR="00AD24B5" w:rsidRDefault="00AD24B5" w:rsidP="00AD24B5">
      <w:pPr>
        <w:widowControl w:val="0"/>
        <w:suppressAutoHyphens/>
        <w:ind w:left="2880" w:hanging="720"/>
      </w:pPr>
    </w:p>
    <w:p w14:paraId="2FE1F024"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09C65599" w14:textId="77777777" w:rsidR="00AD24B5" w:rsidRDefault="00AD24B5" w:rsidP="00AD24B5">
      <w:pPr>
        <w:widowControl w:val="0"/>
        <w:suppressAutoHyphens/>
        <w:ind w:left="2880" w:hanging="720"/>
      </w:pPr>
    </w:p>
    <w:p w14:paraId="18CE7925"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440A3A83" w14:textId="77777777" w:rsidR="00AD24B5" w:rsidRDefault="00AD24B5" w:rsidP="00AD24B5">
      <w:pPr>
        <w:widowControl w:val="0"/>
        <w:suppressAutoHyphens/>
        <w:ind w:left="2880" w:hanging="720"/>
      </w:pPr>
    </w:p>
    <w:p w14:paraId="577384A9" w14:textId="77777777" w:rsidR="00AD24B5" w:rsidRPr="003B4362" w:rsidRDefault="00AD24B5" w:rsidP="00AD24B5">
      <w:pPr>
        <w:widowControl w:val="0"/>
        <w:suppressAutoHyphens/>
        <w:ind w:left="2880" w:hanging="720"/>
      </w:pPr>
      <w:r w:rsidRPr="003B4362">
        <w:t>C)</w:t>
      </w:r>
      <w:r w:rsidRPr="003B4362">
        <w:tab/>
      </w:r>
      <w:bookmarkStart w:id="3783" w:name="_Hlk14107299"/>
      <w:r w:rsidRPr="003B4362">
        <w:t>Liquid-Liquid Extraction and Gas Chromatography</w:t>
      </w:r>
      <w:bookmarkEnd w:id="3783"/>
      <w:r w:rsidRPr="003B4362">
        <w:t>.  USEPA 551.1 (95).</w:t>
      </w:r>
    </w:p>
    <w:p w14:paraId="05B535C5" w14:textId="77777777" w:rsidR="00AD24B5" w:rsidRDefault="00AD24B5" w:rsidP="00AD24B5">
      <w:pPr>
        <w:widowControl w:val="0"/>
        <w:suppressAutoHyphens/>
        <w:ind w:left="2160" w:hanging="720"/>
      </w:pPr>
    </w:p>
    <w:p w14:paraId="13DC6909" w14:textId="77777777" w:rsidR="00AD24B5" w:rsidRPr="003B4362" w:rsidRDefault="00AD24B5" w:rsidP="00AD24B5">
      <w:pPr>
        <w:widowControl w:val="0"/>
        <w:suppressAutoHyphens/>
        <w:ind w:left="2160" w:hanging="720"/>
      </w:pPr>
      <w:r w:rsidRPr="003B4362">
        <w:t>3)</w:t>
      </w:r>
      <w:r w:rsidRPr="003B4362">
        <w:tab/>
        <w:t>Chlorobenzene</w:t>
      </w:r>
    </w:p>
    <w:p w14:paraId="09B64707" w14:textId="77777777" w:rsidR="00AD24B5" w:rsidRDefault="00AD24B5" w:rsidP="00AD24B5">
      <w:pPr>
        <w:widowControl w:val="0"/>
        <w:suppressAutoHyphens/>
        <w:ind w:left="2880" w:hanging="720"/>
      </w:pPr>
    </w:p>
    <w:p w14:paraId="30CF9955"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273A17CA" w14:textId="77777777" w:rsidR="00AD24B5" w:rsidRDefault="00AD24B5" w:rsidP="00AD24B5">
      <w:pPr>
        <w:widowControl w:val="0"/>
        <w:suppressAutoHyphens/>
        <w:ind w:left="2880" w:hanging="720"/>
      </w:pPr>
    </w:p>
    <w:p w14:paraId="7AAF65EA"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5E5B16D" w14:textId="77777777" w:rsidR="00AD24B5" w:rsidRDefault="00AD24B5" w:rsidP="00AD24B5">
      <w:pPr>
        <w:widowControl w:val="0"/>
        <w:suppressAutoHyphens/>
        <w:ind w:left="2160" w:hanging="720"/>
      </w:pPr>
    </w:p>
    <w:p w14:paraId="47D48055" w14:textId="77777777" w:rsidR="00AD24B5" w:rsidRPr="003B4362" w:rsidRDefault="00AD24B5" w:rsidP="00AD24B5">
      <w:pPr>
        <w:widowControl w:val="0"/>
        <w:suppressAutoHyphens/>
        <w:ind w:left="2160" w:hanging="720"/>
      </w:pPr>
      <w:r w:rsidRPr="003B4362">
        <w:t>4)</w:t>
      </w:r>
      <w:r w:rsidRPr="003B4362">
        <w:tab/>
        <w:t>1,2-Dichlorobenzene</w:t>
      </w:r>
    </w:p>
    <w:p w14:paraId="3E4C1FA3" w14:textId="77777777" w:rsidR="00AD24B5" w:rsidRDefault="00AD24B5" w:rsidP="00AD24B5">
      <w:pPr>
        <w:widowControl w:val="0"/>
        <w:suppressAutoHyphens/>
        <w:ind w:left="2880" w:hanging="720"/>
      </w:pPr>
    </w:p>
    <w:p w14:paraId="09667321"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3A5B7455" w14:textId="77777777" w:rsidR="00AD24B5" w:rsidRDefault="00AD24B5" w:rsidP="00AD24B5">
      <w:pPr>
        <w:widowControl w:val="0"/>
        <w:suppressAutoHyphens/>
        <w:ind w:left="2880" w:hanging="720"/>
      </w:pPr>
    </w:p>
    <w:p w14:paraId="618AB552"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215AFFD4" w14:textId="77777777" w:rsidR="00AD24B5" w:rsidRDefault="00AD24B5" w:rsidP="00AD24B5">
      <w:pPr>
        <w:widowControl w:val="0"/>
        <w:suppressAutoHyphens/>
        <w:ind w:left="2160" w:hanging="720"/>
      </w:pPr>
    </w:p>
    <w:p w14:paraId="3B153737" w14:textId="77777777" w:rsidR="00AD24B5" w:rsidRPr="003B4362" w:rsidRDefault="00AD24B5" w:rsidP="00AD24B5">
      <w:pPr>
        <w:widowControl w:val="0"/>
        <w:suppressAutoHyphens/>
        <w:ind w:left="2160" w:hanging="720"/>
      </w:pPr>
      <w:r w:rsidRPr="003B4362">
        <w:t>5)</w:t>
      </w:r>
      <w:r w:rsidRPr="003B4362">
        <w:tab/>
        <w:t>1,4-Dichlorobenzene</w:t>
      </w:r>
    </w:p>
    <w:p w14:paraId="37F41298" w14:textId="77777777" w:rsidR="00AD24B5" w:rsidRDefault="00AD24B5" w:rsidP="00AD24B5">
      <w:pPr>
        <w:widowControl w:val="0"/>
        <w:suppressAutoHyphens/>
        <w:ind w:left="2880" w:hanging="720"/>
      </w:pPr>
    </w:p>
    <w:p w14:paraId="297A345A"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50372016" w14:textId="77777777" w:rsidR="00AD24B5" w:rsidRDefault="00AD24B5" w:rsidP="00AD24B5">
      <w:pPr>
        <w:widowControl w:val="0"/>
        <w:suppressAutoHyphens/>
        <w:ind w:left="2880" w:hanging="720"/>
      </w:pPr>
    </w:p>
    <w:p w14:paraId="6DD6B917"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6187A409" w14:textId="77777777" w:rsidR="00AD24B5" w:rsidRDefault="00AD24B5" w:rsidP="00AD24B5">
      <w:pPr>
        <w:widowControl w:val="0"/>
        <w:suppressAutoHyphens/>
        <w:ind w:left="2160" w:hanging="720"/>
      </w:pPr>
    </w:p>
    <w:p w14:paraId="2BACD0B3" w14:textId="77777777" w:rsidR="00AD24B5" w:rsidRPr="003B4362" w:rsidRDefault="00AD24B5" w:rsidP="00AD24B5">
      <w:pPr>
        <w:widowControl w:val="0"/>
        <w:suppressAutoHyphens/>
        <w:ind w:left="2160" w:hanging="720"/>
      </w:pPr>
      <w:r w:rsidRPr="003B4362">
        <w:t>6)</w:t>
      </w:r>
      <w:r w:rsidRPr="003B4362">
        <w:tab/>
        <w:t>1,2-Dichloroethane</w:t>
      </w:r>
    </w:p>
    <w:p w14:paraId="1FCF3E4B" w14:textId="77777777" w:rsidR="00AD24B5" w:rsidRDefault="00AD24B5" w:rsidP="00AD24B5">
      <w:pPr>
        <w:widowControl w:val="0"/>
        <w:suppressAutoHyphens/>
        <w:ind w:left="2880" w:hanging="720"/>
      </w:pPr>
    </w:p>
    <w:p w14:paraId="6C957FDC"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3E57191A" w14:textId="77777777" w:rsidR="00AD24B5" w:rsidRDefault="00AD24B5" w:rsidP="00AD24B5">
      <w:pPr>
        <w:widowControl w:val="0"/>
        <w:suppressAutoHyphens/>
        <w:ind w:left="2880" w:hanging="720"/>
      </w:pPr>
    </w:p>
    <w:p w14:paraId="2E6ACFCA"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52B24DF3" w14:textId="77777777" w:rsidR="00AD24B5" w:rsidRDefault="00AD24B5" w:rsidP="00AD24B5">
      <w:pPr>
        <w:widowControl w:val="0"/>
        <w:suppressAutoHyphens/>
        <w:ind w:left="2160" w:hanging="720"/>
      </w:pPr>
    </w:p>
    <w:p w14:paraId="1D654DC1" w14:textId="77777777" w:rsidR="00AD24B5" w:rsidRPr="003B4362" w:rsidRDefault="00AD24B5" w:rsidP="00AD24B5">
      <w:pPr>
        <w:widowControl w:val="0"/>
        <w:suppressAutoHyphens/>
        <w:ind w:left="2160" w:hanging="720"/>
      </w:pPr>
      <w:r w:rsidRPr="003B4362">
        <w:t>7)</w:t>
      </w:r>
      <w:r w:rsidRPr="003B4362">
        <w:tab/>
        <w:t>1,1-Dichloroethylene</w:t>
      </w:r>
    </w:p>
    <w:p w14:paraId="52649CDC" w14:textId="77777777" w:rsidR="00AD24B5" w:rsidRDefault="00AD24B5" w:rsidP="00AD24B5">
      <w:pPr>
        <w:widowControl w:val="0"/>
        <w:suppressAutoHyphens/>
        <w:ind w:left="2880" w:hanging="720"/>
      </w:pPr>
    </w:p>
    <w:p w14:paraId="78E28327"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24CE6A34" w14:textId="77777777" w:rsidR="00AD24B5" w:rsidRDefault="00AD24B5" w:rsidP="00AD24B5">
      <w:pPr>
        <w:widowControl w:val="0"/>
        <w:suppressAutoHyphens/>
        <w:ind w:left="2880" w:hanging="720"/>
      </w:pPr>
    </w:p>
    <w:p w14:paraId="1DCD0A42"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5E0F56BF" w14:textId="77777777" w:rsidR="00AD24B5" w:rsidRDefault="00AD24B5" w:rsidP="00AD24B5">
      <w:pPr>
        <w:widowControl w:val="0"/>
        <w:suppressAutoHyphens/>
        <w:ind w:left="2160" w:hanging="720"/>
      </w:pPr>
    </w:p>
    <w:p w14:paraId="0D7FD640" w14:textId="77777777" w:rsidR="00AD24B5" w:rsidRPr="003B4362" w:rsidRDefault="00AD24B5" w:rsidP="00AD24B5">
      <w:pPr>
        <w:widowControl w:val="0"/>
        <w:suppressAutoHyphens/>
        <w:ind w:left="2160" w:hanging="720"/>
      </w:pPr>
      <w:r w:rsidRPr="003B4362">
        <w:t>8)</w:t>
      </w:r>
      <w:r w:rsidRPr="003B4362">
        <w:tab/>
        <w:t>cis-Dichloroethylene</w:t>
      </w:r>
    </w:p>
    <w:p w14:paraId="7C4B0833" w14:textId="77777777" w:rsidR="00AD24B5" w:rsidRDefault="00AD24B5" w:rsidP="00AD24B5">
      <w:pPr>
        <w:widowControl w:val="0"/>
        <w:suppressAutoHyphens/>
        <w:ind w:left="2880" w:hanging="720"/>
      </w:pPr>
    </w:p>
    <w:p w14:paraId="65867A25"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7308D3C0" w14:textId="77777777" w:rsidR="00AD24B5" w:rsidRDefault="00AD24B5" w:rsidP="00AD24B5">
      <w:pPr>
        <w:widowControl w:val="0"/>
        <w:suppressAutoHyphens/>
        <w:ind w:left="2880" w:hanging="720"/>
      </w:pPr>
    </w:p>
    <w:p w14:paraId="34B065AF"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6E39CB01" w14:textId="77777777" w:rsidR="00AD24B5" w:rsidRDefault="00AD24B5" w:rsidP="00AD24B5">
      <w:pPr>
        <w:widowControl w:val="0"/>
        <w:suppressAutoHyphens/>
        <w:ind w:left="2160" w:hanging="720"/>
      </w:pPr>
    </w:p>
    <w:p w14:paraId="3A2DDCCD" w14:textId="77777777" w:rsidR="00AD24B5" w:rsidRPr="003B4362" w:rsidRDefault="00AD24B5" w:rsidP="00AD24B5">
      <w:pPr>
        <w:widowControl w:val="0"/>
        <w:suppressAutoHyphens/>
        <w:ind w:left="2160" w:hanging="720"/>
      </w:pPr>
      <w:r w:rsidRPr="003B4362">
        <w:t>9)</w:t>
      </w:r>
      <w:r w:rsidRPr="003B4362">
        <w:tab/>
        <w:t>trans-Dichloroethylene</w:t>
      </w:r>
    </w:p>
    <w:p w14:paraId="0C7C6CA2" w14:textId="77777777" w:rsidR="00AD24B5" w:rsidRDefault="00AD24B5" w:rsidP="00AD24B5">
      <w:pPr>
        <w:widowControl w:val="0"/>
        <w:suppressAutoHyphens/>
        <w:ind w:left="2880" w:hanging="720"/>
      </w:pPr>
    </w:p>
    <w:p w14:paraId="1C603342"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319B2B7E" w14:textId="77777777" w:rsidR="00AD24B5" w:rsidRDefault="00AD24B5" w:rsidP="00AD24B5">
      <w:pPr>
        <w:widowControl w:val="0"/>
        <w:suppressAutoHyphens/>
        <w:ind w:left="2880" w:hanging="720"/>
      </w:pPr>
    </w:p>
    <w:p w14:paraId="28E04350"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E8312EE" w14:textId="77777777" w:rsidR="00AD24B5" w:rsidRDefault="00AD24B5" w:rsidP="00AD24B5">
      <w:pPr>
        <w:widowControl w:val="0"/>
        <w:suppressAutoHyphens/>
        <w:ind w:left="2160" w:hanging="720"/>
      </w:pPr>
    </w:p>
    <w:p w14:paraId="4579F726" w14:textId="77777777" w:rsidR="00AD24B5" w:rsidRPr="003B4362" w:rsidRDefault="00AD24B5" w:rsidP="00AD24B5">
      <w:pPr>
        <w:widowControl w:val="0"/>
        <w:suppressAutoHyphens/>
        <w:ind w:left="2160" w:hanging="720"/>
      </w:pPr>
      <w:r w:rsidRPr="003B4362">
        <w:t>10)</w:t>
      </w:r>
      <w:r w:rsidRPr="003B4362">
        <w:tab/>
        <w:t>Dichloromethane</w:t>
      </w:r>
    </w:p>
    <w:p w14:paraId="730B399A" w14:textId="77777777" w:rsidR="00AD24B5" w:rsidRDefault="00AD24B5" w:rsidP="00AD24B5">
      <w:pPr>
        <w:widowControl w:val="0"/>
        <w:suppressAutoHyphens/>
        <w:ind w:left="2880" w:hanging="720"/>
      </w:pPr>
    </w:p>
    <w:p w14:paraId="10ADD01F"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7715DC72" w14:textId="77777777" w:rsidR="00AD24B5" w:rsidRDefault="00AD24B5" w:rsidP="00AD24B5">
      <w:pPr>
        <w:widowControl w:val="0"/>
        <w:suppressAutoHyphens/>
        <w:ind w:left="2880" w:hanging="720"/>
      </w:pPr>
    </w:p>
    <w:p w14:paraId="1CB7018B"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3C2FC5A" w14:textId="77777777" w:rsidR="00AD24B5" w:rsidRDefault="00AD24B5" w:rsidP="00AD24B5">
      <w:pPr>
        <w:widowControl w:val="0"/>
        <w:suppressAutoHyphens/>
        <w:ind w:left="2160" w:hanging="720"/>
      </w:pPr>
    </w:p>
    <w:p w14:paraId="5A57CDC7" w14:textId="77777777" w:rsidR="00AD24B5" w:rsidRPr="003B4362" w:rsidRDefault="00AD24B5" w:rsidP="00AD24B5">
      <w:pPr>
        <w:widowControl w:val="0"/>
        <w:suppressAutoHyphens/>
        <w:ind w:left="2160" w:hanging="720"/>
      </w:pPr>
      <w:r w:rsidRPr="003B4362">
        <w:t>11)</w:t>
      </w:r>
      <w:r w:rsidRPr="003B4362">
        <w:tab/>
        <w:t>1,2-Dichloropropane</w:t>
      </w:r>
    </w:p>
    <w:p w14:paraId="757E3743" w14:textId="77777777" w:rsidR="00AD24B5" w:rsidRDefault="00AD24B5" w:rsidP="00AD24B5">
      <w:pPr>
        <w:widowControl w:val="0"/>
        <w:suppressAutoHyphens/>
        <w:ind w:left="2880" w:hanging="720"/>
      </w:pPr>
    </w:p>
    <w:p w14:paraId="061AFBBB"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5437E81C" w14:textId="77777777" w:rsidR="00AD24B5" w:rsidRDefault="00AD24B5" w:rsidP="00AD24B5">
      <w:pPr>
        <w:widowControl w:val="0"/>
        <w:suppressAutoHyphens/>
        <w:ind w:left="2880" w:hanging="720"/>
      </w:pPr>
    </w:p>
    <w:p w14:paraId="7FD05655"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768CE4C0" w14:textId="77777777" w:rsidR="00AD24B5" w:rsidRDefault="00AD24B5" w:rsidP="00AD24B5">
      <w:pPr>
        <w:widowControl w:val="0"/>
        <w:suppressAutoHyphens/>
        <w:ind w:left="2160" w:hanging="720"/>
      </w:pPr>
    </w:p>
    <w:p w14:paraId="16308CEB" w14:textId="77777777" w:rsidR="00AD24B5" w:rsidRPr="003B4362" w:rsidRDefault="00AD24B5" w:rsidP="00AD24B5">
      <w:pPr>
        <w:widowControl w:val="0"/>
        <w:suppressAutoHyphens/>
        <w:ind w:left="2160" w:hanging="720"/>
      </w:pPr>
      <w:r w:rsidRPr="003B4362">
        <w:t>12)</w:t>
      </w:r>
      <w:r w:rsidRPr="003B4362">
        <w:tab/>
        <w:t>Ethylbenzene</w:t>
      </w:r>
    </w:p>
    <w:p w14:paraId="5F9ACDE3" w14:textId="77777777" w:rsidR="00AD24B5" w:rsidRDefault="00AD24B5" w:rsidP="00AD24B5">
      <w:pPr>
        <w:widowControl w:val="0"/>
        <w:suppressAutoHyphens/>
        <w:ind w:left="2880" w:hanging="720"/>
      </w:pPr>
    </w:p>
    <w:p w14:paraId="50D97859"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41EAC3FA" w14:textId="77777777" w:rsidR="00AD24B5" w:rsidRDefault="00AD24B5" w:rsidP="00AD24B5">
      <w:pPr>
        <w:widowControl w:val="0"/>
        <w:suppressAutoHyphens/>
        <w:ind w:left="2880" w:hanging="720"/>
      </w:pPr>
    </w:p>
    <w:p w14:paraId="666D18E5"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0261098C" w14:textId="77777777" w:rsidR="00AD24B5" w:rsidRDefault="00AD24B5" w:rsidP="00AD24B5">
      <w:pPr>
        <w:widowControl w:val="0"/>
        <w:suppressAutoHyphens/>
        <w:ind w:left="2160" w:hanging="720"/>
      </w:pPr>
    </w:p>
    <w:p w14:paraId="5FB7F91A" w14:textId="77777777" w:rsidR="00AD24B5" w:rsidRPr="003B4362" w:rsidRDefault="00AD24B5" w:rsidP="00AD24B5">
      <w:pPr>
        <w:widowControl w:val="0"/>
        <w:suppressAutoHyphens/>
        <w:ind w:left="2160" w:hanging="720"/>
      </w:pPr>
      <w:r w:rsidRPr="003B4362">
        <w:t>13)</w:t>
      </w:r>
      <w:r w:rsidRPr="003B4362">
        <w:tab/>
        <w:t>Styrene</w:t>
      </w:r>
    </w:p>
    <w:p w14:paraId="2FDC51F6" w14:textId="77777777" w:rsidR="00AD24B5" w:rsidRDefault="00AD24B5" w:rsidP="00AD24B5">
      <w:pPr>
        <w:widowControl w:val="0"/>
        <w:suppressAutoHyphens/>
        <w:ind w:left="2880" w:hanging="720"/>
      </w:pPr>
    </w:p>
    <w:p w14:paraId="324109FC"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0428C432" w14:textId="77777777" w:rsidR="00AD24B5" w:rsidRDefault="00AD24B5" w:rsidP="00AD24B5">
      <w:pPr>
        <w:widowControl w:val="0"/>
        <w:suppressAutoHyphens/>
        <w:ind w:left="2880" w:hanging="720"/>
      </w:pPr>
    </w:p>
    <w:p w14:paraId="2AFB55C2"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0715B1AC" w14:textId="77777777" w:rsidR="00AD24B5" w:rsidRDefault="00AD24B5" w:rsidP="00AD24B5">
      <w:pPr>
        <w:widowControl w:val="0"/>
        <w:suppressAutoHyphens/>
        <w:ind w:left="2160" w:hanging="720"/>
      </w:pPr>
    </w:p>
    <w:p w14:paraId="664DBDD1" w14:textId="77777777" w:rsidR="00AD24B5" w:rsidRPr="003B4362" w:rsidRDefault="00AD24B5" w:rsidP="00AD24B5">
      <w:pPr>
        <w:widowControl w:val="0"/>
        <w:suppressAutoHyphens/>
        <w:ind w:left="2160" w:hanging="720"/>
      </w:pPr>
      <w:r w:rsidRPr="003B4362">
        <w:t>14)</w:t>
      </w:r>
      <w:r w:rsidRPr="003B4362">
        <w:tab/>
        <w:t>Tetrachloroethylene</w:t>
      </w:r>
    </w:p>
    <w:p w14:paraId="4F77ECD1" w14:textId="77777777" w:rsidR="00AD24B5" w:rsidRDefault="00AD24B5" w:rsidP="00AD24B5">
      <w:pPr>
        <w:widowControl w:val="0"/>
        <w:suppressAutoHyphens/>
        <w:ind w:left="2880" w:hanging="720"/>
      </w:pPr>
    </w:p>
    <w:p w14:paraId="46C4EB5C"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0B8615AC" w14:textId="77777777" w:rsidR="00AD24B5" w:rsidRDefault="00AD24B5" w:rsidP="00AD24B5">
      <w:pPr>
        <w:widowControl w:val="0"/>
        <w:suppressAutoHyphens/>
        <w:ind w:left="2880" w:hanging="720"/>
      </w:pPr>
    </w:p>
    <w:p w14:paraId="31FA1484"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61F1EC29" w14:textId="77777777" w:rsidR="00AD24B5" w:rsidRDefault="00AD24B5" w:rsidP="00AD24B5">
      <w:pPr>
        <w:widowControl w:val="0"/>
        <w:suppressAutoHyphens/>
        <w:ind w:left="2880" w:hanging="720"/>
      </w:pPr>
    </w:p>
    <w:p w14:paraId="18FDC36E" w14:textId="77777777" w:rsidR="00AD24B5" w:rsidRPr="003B4362" w:rsidRDefault="00AD24B5" w:rsidP="00AD24B5">
      <w:pPr>
        <w:widowControl w:val="0"/>
        <w:suppressAutoHyphens/>
        <w:ind w:left="2880" w:hanging="720"/>
      </w:pPr>
      <w:r w:rsidRPr="003B4362">
        <w:t>C)</w:t>
      </w:r>
      <w:r w:rsidRPr="003B4362">
        <w:tab/>
      </w:r>
      <w:bookmarkStart w:id="3784" w:name="_Hlk14109493"/>
      <w:r w:rsidRPr="003B4362">
        <w:t>Liquid-Liquid Extraction and Gas Chromatography</w:t>
      </w:r>
      <w:bookmarkEnd w:id="3784"/>
      <w:r w:rsidRPr="003B4362">
        <w:t>.  USEPA 551.1 (95).</w:t>
      </w:r>
    </w:p>
    <w:p w14:paraId="5A3F00F7" w14:textId="77777777" w:rsidR="00AD24B5" w:rsidRDefault="00AD24B5" w:rsidP="00AD24B5">
      <w:pPr>
        <w:widowControl w:val="0"/>
        <w:suppressAutoHyphens/>
        <w:ind w:left="2160" w:hanging="720"/>
      </w:pPr>
    </w:p>
    <w:p w14:paraId="3E14F1CD" w14:textId="77777777" w:rsidR="00AD24B5" w:rsidRPr="003B4362" w:rsidRDefault="00AD24B5" w:rsidP="00AD24B5">
      <w:pPr>
        <w:widowControl w:val="0"/>
        <w:suppressAutoHyphens/>
        <w:ind w:left="2160" w:hanging="720"/>
      </w:pPr>
      <w:r w:rsidRPr="003B4362">
        <w:t>15)</w:t>
      </w:r>
      <w:r w:rsidRPr="003B4362">
        <w:tab/>
        <w:t>Toluene</w:t>
      </w:r>
    </w:p>
    <w:p w14:paraId="448D18CB" w14:textId="77777777" w:rsidR="00AD24B5" w:rsidRDefault="00AD24B5" w:rsidP="00AD24B5">
      <w:pPr>
        <w:widowControl w:val="0"/>
        <w:suppressAutoHyphens/>
        <w:ind w:left="2880" w:hanging="720"/>
      </w:pPr>
    </w:p>
    <w:p w14:paraId="73FCFCFC"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4B823633" w14:textId="77777777" w:rsidR="00AD24B5" w:rsidRDefault="00AD24B5" w:rsidP="00AD24B5">
      <w:pPr>
        <w:widowControl w:val="0"/>
        <w:suppressAutoHyphens/>
        <w:ind w:left="2880" w:hanging="720"/>
      </w:pPr>
    </w:p>
    <w:p w14:paraId="5D6616AC"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0809DA6" w14:textId="77777777" w:rsidR="00AD24B5" w:rsidRDefault="00AD24B5" w:rsidP="00AD24B5">
      <w:pPr>
        <w:widowControl w:val="0"/>
        <w:suppressAutoHyphens/>
        <w:ind w:left="2160" w:hanging="720"/>
      </w:pPr>
    </w:p>
    <w:p w14:paraId="512CC8FD" w14:textId="77777777" w:rsidR="00AD24B5" w:rsidRPr="003B4362" w:rsidRDefault="00AD24B5" w:rsidP="00AD24B5">
      <w:pPr>
        <w:widowControl w:val="0"/>
        <w:suppressAutoHyphens/>
        <w:ind w:left="2160" w:hanging="720"/>
      </w:pPr>
      <w:r w:rsidRPr="003B4362">
        <w:t>16)</w:t>
      </w:r>
      <w:r w:rsidRPr="003B4362">
        <w:tab/>
        <w:t>1,2,4-Trichlorobenzene</w:t>
      </w:r>
    </w:p>
    <w:p w14:paraId="3E276A07" w14:textId="77777777" w:rsidR="00AD24B5" w:rsidRDefault="00AD24B5" w:rsidP="00AD24B5">
      <w:pPr>
        <w:widowControl w:val="0"/>
        <w:suppressAutoHyphens/>
        <w:ind w:left="2880" w:hanging="720"/>
      </w:pPr>
    </w:p>
    <w:p w14:paraId="091B5966"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79416323" w14:textId="77777777" w:rsidR="00AD24B5" w:rsidRDefault="00AD24B5" w:rsidP="00AD24B5">
      <w:pPr>
        <w:widowControl w:val="0"/>
        <w:suppressAutoHyphens/>
        <w:ind w:left="2880" w:hanging="720"/>
      </w:pPr>
    </w:p>
    <w:p w14:paraId="5C8521AF"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7A6A2D08" w14:textId="77777777" w:rsidR="00AD24B5" w:rsidRDefault="00AD24B5" w:rsidP="00AD24B5">
      <w:pPr>
        <w:widowControl w:val="0"/>
        <w:suppressAutoHyphens/>
        <w:ind w:left="2160" w:hanging="720"/>
      </w:pPr>
    </w:p>
    <w:p w14:paraId="564E92C7" w14:textId="77777777" w:rsidR="00AD24B5" w:rsidRPr="003B4362" w:rsidRDefault="00AD24B5" w:rsidP="00AD24B5">
      <w:pPr>
        <w:widowControl w:val="0"/>
        <w:suppressAutoHyphens/>
        <w:ind w:left="2160" w:hanging="720"/>
      </w:pPr>
      <w:r w:rsidRPr="003B4362">
        <w:t>17)</w:t>
      </w:r>
      <w:r w:rsidRPr="003B4362">
        <w:tab/>
        <w:t>1,1,1-Trichloroethane</w:t>
      </w:r>
    </w:p>
    <w:p w14:paraId="1F61B456" w14:textId="77777777" w:rsidR="00AD24B5" w:rsidRDefault="00AD24B5" w:rsidP="00AD24B5">
      <w:pPr>
        <w:widowControl w:val="0"/>
        <w:suppressAutoHyphens/>
        <w:ind w:left="2880" w:hanging="720"/>
      </w:pPr>
    </w:p>
    <w:p w14:paraId="02500B22"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53C7BA31" w14:textId="77777777" w:rsidR="00AD24B5" w:rsidRDefault="00AD24B5" w:rsidP="00AD24B5">
      <w:pPr>
        <w:widowControl w:val="0"/>
        <w:suppressAutoHyphens/>
        <w:ind w:left="2880" w:hanging="720"/>
      </w:pPr>
    </w:p>
    <w:p w14:paraId="303ED567"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758D949A" w14:textId="77777777" w:rsidR="00AD24B5" w:rsidRDefault="00AD24B5" w:rsidP="00AD24B5">
      <w:pPr>
        <w:widowControl w:val="0"/>
        <w:suppressAutoHyphens/>
        <w:ind w:left="2880" w:hanging="720"/>
      </w:pPr>
    </w:p>
    <w:p w14:paraId="538ABD06" w14:textId="77777777" w:rsidR="00AD24B5" w:rsidRPr="003B4362" w:rsidRDefault="00AD24B5" w:rsidP="00AD24B5">
      <w:pPr>
        <w:widowControl w:val="0"/>
        <w:suppressAutoHyphens/>
        <w:ind w:left="2880" w:hanging="720"/>
      </w:pPr>
      <w:r w:rsidRPr="003B4362">
        <w:t>C)</w:t>
      </w:r>
      <w:r w:rsidRPr="003B4362">
        <w:tab/>
      </w:r>
      <w:bookmarkStart w:id="3785" w:name="_Hlk14109849"/>
      <w:r w:rsidRPr="003B4362">
        <w:t>Liquid-Liquid Extraction and Gas Chromatography</w:t>
      </w:r>
      <w:bookmarkEnd w:id="3785"/>
      <w:r w:rsidRPr="003B4362">
        <w:t>.  USEPA 551.1 (95).</w:t>
      </w:r>
    </w:p>
    <w:p w14:paraId="0C826A5F" w14:textId="77777777" w:rsidR="00AD24B5" w:rsidRDefault="00AD24B5" w:rsidP="00AD24B5">
      <w:pPr>
        <w:widowControl w:val="0"/>
        <w:suppressAutoHyphens/>
        <w:ind w:left="2160" w:hanging="720"/>
      </w:pPr>
    </w:p>
    <w:p w14:paraId="0237742A" w14:textId="77777777" w:rsidR="00AD24B5" w:rsidRPr="003B4362" w:rsidRDefault="00AD24B5" w:rsidP="00AD24B5">
      <w:pPr>
        <w:widowControl w:val="0"/>
        <w:suppressAutoHyphens/>
        <w:ind w:left="2160" w:hanging="720"/>
      </w:pPr>
      <w:r w:rsidRPr="003B4362">
        <w:t>18)</w:t>
      </w:r>
      <w:r w:rsidRPr="003B4362">
        <w:tab/>
        <w:t>1,1,2-Trichloroethane</w:t>
      </w:r>
    </w:p>
    <w:p w14:paraId="247024D5" w14:textId="77777777" w:rsidR="00AD24B5" w:rsidRDefault="00AD24B5" w:rsidP="00AD24B5">
      <w:pPr>
        <w:widowControl w:val="0"/>
        <w:suppressAutoHyphens/>
        <w:ind w:left="2880" w:hanging="720"/>
      </w:pPr>
    </w:p>
    <w:p w14:paraId="7D41D459"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617C4A6C" w14:textId="77777777" w:rsidR="00AD24B5" w:rsidRDefault="00AD24B5" w:rsidP="00AD24B5">
      <w:pPr>
        <w:widowControl w:val="0"/>
        <w:suppressAutoHyphens/>
        <w:ind w:left="2880" w:hanging="720"/>
      </w:pPr>
    </w:p>
    <w:p w14:paraId="7840073E"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4B62D8F3" w14:textId="77777777" w:rsidR="00AD24B5" w:rsidRDefault="00AD24B5" w:rsidP="00AD24B5">
      <w:pPr>
        <w:widowControl w:val="0"/>
        <w:suppressAutoHyphens/>
        <w:ind w:left="2880" w:hanging="720"/>
      </w:pPr>
    </w:p>
    <w:p w14:paraId="2A29ACD5" w14:textId="77777777" w:rsidR="00AD24B5" w:rsidRPr="003B4362" w:rsidRDefault="00AD24B5" w:rsidP="00AD24B5">
      <w:pPr>
        <w:widowControl w:val="0"/>
        <w:suppressAutoHyphens/>
        <w:ind w:left="2880" w:hanging="720"/>
      </w:pPr>
      <w:r w:rsidRPr="003B4362">
        <w:lastRenderedPageBreak/>
        <w:t>C)</w:t>
      </w:r>
      <w:r w:rsidRPr="003B4362">
        <w:tab/>
      </w:r>
      <w:bookmarkStart w:id="3786" w:name="_Hlk14110031"/>
      <w:r w:rsidRPr="003B4362">
        <w:t>Liquid-Liquid Extraction and Gas Chromatography</w:t>
      </w:r>
      <w:bookmarkEnd w:id="3786"/>
      <w:r w:rsidRPr="003B4362">
        <w:t>.  USEPA 551.1 (95).</w:t>
      </w:r>
    </w:p>
    <w:p w14:paraId="1BD836F5" w14:textId="77777777" w:rsidR="00AD24B5" w:rsidRDefault="00AD24B5" w:rsidP="00AD24B5">
      <w:pPr>
        <w:widowControl w:val="0"/>
        <w:suppressAutoHyphens/>
        <w:ind w:left="2160" w:hanging="720"/>
      </w:pPr>
    </w:p>
    <w:p w14:paraId="50C104BC" w14:textId="77777777" w:rsidR="00AD24B5" w:rsidRPr="003B4362" w:rsidRDefault="00AD24B5" w:rsidP="00AD24B5">
      <w:pPr>
        <w:widowControl w:val="0"/>
        <w:suppressAutoHyphens/>
        <w:ind w:left="2160" w:hanging="720"/>
      </w:pPr>
      <w:r w:rsidRPr="003B4362">
        <w:t>19)</w:t>
      </w:r>
      <w:r w:rsidRPr="003B4362">
        <w:tab/>
        <w:t>Trichloroethylene</w:t>
      </w:r>
    </w:p>
    <w:p w14:paraId="17DF6ED3" w14:textId="77777777" w:rsidR="00AD24B5" w:rsidRDefault="00AD24B5" w:rsidP="00AD24B5">
      <w:pPr>
        <w:widowControl w:val="0"/>
        <w:suppressAutoHyphens/>
        <w:ind w:left="2880" w:hanging="720"/>
      </w:pPr>
    </w:p>
    <w:p w14:paraId="71AB55EA" w14:textId="77777777" w:rsidR="00AD24B5" w:rsidRPr="003B4362" w:rsidRDefault="00AD24B5" w:rsidP="00AD24B5">
      <w:pPr>
        <w:widowControl w:val="0"/>
        <w:suppressAutoHyphens/>
        <w:ind w:left="2880" w:hanging="720"/>
      </w:pPr>
      <w:r w:rsidRPr="003B4362">
        <w:t>A)</w:t>
      </w:r>
      <w:r w:rsidRPr="003B4362">
        <w:tab/>
        <w:t xml:space="preserve">Purge and Trap </w:t>
      </w:r>
      <w:bookmarkStart w:id="3787" w:name="_Hlk14110257"/>
      <w:r w:rsidRPr="003B4362">
        <w:t xml:space="preserve">Capillary Column </w:t>
      </w:r>
      <w:bookmarkEnd w:id="3787"/>
      <w:r w:rsidRPr="003B4362">
        <w:t>Gas Chromatography.  USEPA 502.2 (95).</w:t>
      </w:r>
    </w:p>
    <w:p w14:paraId="550BD3DD" w14:textId="77777777" w:rsidR="00AD24B5" w:rsidRDefault="00AD24B5" w:rsidP="00AD24B5">
      <w:pPr>
        <w:widowControl w:val="0"/>
        <w:suppressAutoHyphens/>
        <w:ind w:left="2880" w:hanging="720"/>
      </w:pPr>
    </w:p>
    <w:p w14:paraId="41CBA7D1"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CF1D14C" w14:textId="77777777" w:rsidR="00AD24B5" w:rsidRDefault="00AD24B5" w:rsidP="00AD24B5">
      <w:pPr>
        <w:widowControl w:val="0"/>
        <w:suppressAutoHyphens/>
        <w:ind w:left="2880" w:hanging="720"/>
      </w:pPr>
    </w:p>
    <w:p w14:paraId="23F71851" w14:textId="77777777" w:rsidR="00AD24B5" w:rsidRPr="003B4362" w:rsidRDefault="00AD24B5" w:rsidP="00AD24B5">
      <w:pPr>
        <w:widowControl w:val="0"/>
        <w:suppressAutoHyphens/>
        <w:ind w:left="2880" w:hanging="720"/>
      </w:pPr>
      <w:r w:rsidRPr="003B4362">
        <w:t>C)</w:t>
      </w:r>
      <w:r w:rsidRPr="003B4362">
        <w:tab/>
      </w:r>
      <w:bookmarkStart w:id="3788" w:name="_Hlk14110302"/>
      <w:r w:rsidRPr="003B4362">
        <w:t>Liquid-Liquid Extraction and Gas Chromatography</w:t>
      </w:r>
      <w:bookmarkEnd w:id="3788"/>
      <w:r w:rsidRPr="003B4362">
        <w:t>.  USEPA 551.1 (95).</w:t>
      </w:r>
    </w:p>
    <w:p w14:paraId="596CAEBF" w14:textId="77777777" w:rsidR="00AD24B5" w:rsidRDefault="00AD24B5" w:rsidP="00AD24B5">
      <w:pPr>
        <w:widowControl w:val="0"/>
        <w:suppressAutoHyphens/>
        <w:ind w:left="2160" w:hanging="720"/>
      </w:pPr>
    </w:p>
    <w:p w14:paraId="3978AEA1" w14:textId="77777777" w:rsidR="00AD24B5" w:rsidRPr="003B4362" w:rsidRDefault="00AD24B5" w:rsidP="00AD24B5">
      <w:pPr>
        <w:widowControl w:val="0"/>
        <w:suppressAutoHyphens/>
        <w:ind w:left="2160" w:hanging="720"/>
      </w:pPr>
      <w:r w:rsidRPr="003B4362">
        <w:t>20)</w:t>
      </w:r>
      <w:r w:rsidRPr="003B4362">
        <w:tab/>
        <w:t>Vinyl chloride</w:t>
      </w:r>
    </w:p>
    <w:p w14:paraId="65D016C6" w14:textId="77777777" w:rsidR="00AD24B5" w:rsidRDefault="00AD24B5" w:rsidP="00AD24B5">
      <w:pPr>
        <w:widowControl w:val="0"/>
        <w:suppressAutoHyphens/>
        <w:ind w:left="2880" w:hanging="720"/>
      </w:pPr>
    </w:p>
    <w:p w14:paraId="7B06A449"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48D9761C" w14:textId="77777777" w:rsidR="00AD24B5" w:rsidRDefault="00AD24B5" w:rsidP="00AD24B5">
      <w:pPr>
        <w:widowControl w:val="0"/>
        <w:suppressAutoHyphens/>
        <w:ind w:left="2880" w:hanging="720"/>
      </w:pPr>
    </w:p>
    <w:p w14:paraId="5994F819"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42FEAE73" w14:textId="77777777" w:rsidR="00AD24B5" w:rsidRDefault="00AD24B5" w:rsidP="00AD24B5">
      <w:pPr>
        <w:widowControl w:val="0"/>
        <w:suppressAutoHyphens/>
        <w:ind w:left="2160" w:hanging="720"/>
      </w:pPr>
    </w:p>
    <w:p w14:paraId="3F7743AD" w14:textId="77777777" w:rsidR="00AD24B5" w:rsidRPr="003B4362" w:rsidRDefault="00AD24B5" w:rsidP="00AD24B5">
      <w:pPr>
        <w:widowControl w:val="0"/>
        <w:suppressAutoHyphens/>
        <w:ind w:left="2160" w:hanging="720"/>
      </w:pPr>
      <w:r w:rsidRPr="003B4362">
        <w:t>21)</w:t>
      </w:r>
      <w:r w:rsidRPr="003B4362">
        <w:tab/>
        <w:t>Xylenes (total)</w:t>
      </w:r>
    </w:p>
    <w:p w14:paraId="5D6C0BC7" w14:textId="77777777" w:rsidR="00AD24B5" w:rsidRDefault="00AD24B5" w:rsidP="00AD24B5">
      <w:pPr>
        <w:widowControl w:val="0"/>
        <w:suppressAutoHyphens/>
        <w:ind w:left="2880" w:hanging="720"/>
      </w:pPr>
    </w:p>
    <w:p w14:paraId="150CB985"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2435F032" w14:textId="77777777" w:rsidR="00AD24B5" w:rsidRDefault="00AD24B5" w:rsidP="00AD24B5">
      <w:pPr>
        <w:widowControl w:val="0"/>
        <w:suppressAutoHyphens/>
        <w:ind w:left="2880" w:hanging="720"/>
      </w:pPr>
    </w:p>
    <w:p w14:paraId="444C6F94"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43614A32" w14:textId="77777777" w:rsidR="00AD24B5" w:rsidRDefault="00AD24B5" w:rsidP="00AD24B5">
      <w:pPr>
        <w:ind w:firstLine="720"/>
      </w:pPr>
    </w:p>
    <w:p w14:paraId="06683A4E" w14:textId="77777777" w:rsidR="00AD24B5" w:rsidRPr="003B4362" w:rsidRDefault="00AD24B5" w:rsidP="00AD24B5">
      <w:pPr>
        <w:ind w:firstLine="720"/>
      </w:pPr>
      <w:r w:rsidRPr="003B4362">
        <w:t>b)</w:t>
      </w:r>
      <w:r w:rsidRPr="003B4362">
        <w:tab/>
        <w:t>Synthetic Organic Chemical Contaminants (SOCs)</w:t>
      </w:r>
    </w:p>
    <w:p w14:paraId="67918984" w14:textId="77777777" w:rsidR="00AD24B5" w:rsidRDefault="00AD24B5" w:rsidP="00AD24B5">
      <w:pPr>
        <w:widowControl w:val="0"/>
        <w:suppressAutoHyphens/>
        <w:ind w:left="2160" w:hanging="720"/>
      </w:pPr>
    </w:p>
    <w:p w14:paraId="55557C38" w14:textId="77777777" w:rsidR="00AD24B5" w:rsidRPr="003B4362" w:rsidRDefault="00AD24B5" w:rsidP="00AD24B5">
      <w:pPr>
        <w:widowControl w:val="0"/>
        <w:suppressAutoHyphens/>
        <w:ind w:left="2160" w:hanging="720"/>
      </w:pPr>
      <w:r w:rsidRPr="003B4362">
        <w:t>1)</w:t>
      </w:r>
      <w:r w:rsidRPr="003B4362">
        <w:tab/>
      </w:r>
      <w:bookmarkStart w:id="3789" w:name="_Hlk14257263"/>
      <w:r w:rsidRPr="003B4362">
        <w:t>2,3,7,8-Tetrachlorodibenzo</w:t>
      </w:r>
      <w:r w:rsidRPr="003B4362">
        <w:softHyphen/>
        <w:t>dioxin (2,3,7,8-TCDD or Dioxin)</w:t>
      </w:r>
      <w:bookmarkEnd w:id="3789"/>
      <w:r w:rsidRPr="003B4362">
        <w:t>.  Isotope Dilution High Resolution Gas Chromatography-High Resolution Mass Spectrometry.  USEPA 1613 (94).</w:t>
      </w:r>
    </w:p>
    <w:p w14:paraId="4B8B666E" w14:textId="77777777" w:rsidR="00AD24B5" w:rsidRDefault="00AD24B5" w:rsidP="00AD24B5">
      <w:pPr>
        <w:widowControl w:val="0"/>
        <w:suppressAutoHyphens/>
        <w:ind w:left="2160" w:hanging="720"/>
      </w:pPr>
    </w:p>
    <w:p w14:paraId="3DE56DFE" w14:textId="77777777" w:rsidR="00AD24B5" w:rsidRPr="003B4362" w:rsidRDefault="00AD24B5" w:rsidP="00AD24B5">
      <w:pPr>
        <w:widowControl w:val="0"/>
        <w:suppressAutoHyphens/>
        <w:ind w:left="2160" w:hanging="720"/>
      </w:pPr>
      <w:r w:rsidRPr="003B4362">
        <w:t>2)</w:t>
      </w:r>
      <w:r w:rsidRPr="003B4362">
        <w:tab/>
      </w:r>
      <w:bookmarkStart w:id="3790" w:name="_Hlk14260053"/>
      <w:r w:rsidRPr="003B4362">
        <w:t>2,4-D</w:t>
      </w:r>
      <w:bookmarkEnd w:id="3790"/>
    </w:p>
    <w:p w14:paraId="25B96F8F" w14:textId="77777777" w:rsidR="00AD24B5" w:rsidRDefault="00AD24B5" w:rsidP="00AD24B5">
      <w:pPr>
        <w:widowControl w:val="0"/>
        <w:suppressAutoHyphens/>
        <w:ind w:left="2880" w:hanging="720"/>
      </w:pPr>
    </w:p>
    <w:p w14:paraId="55F982F6" w14:textId="77777777" w:rsidR="00AD24B5" w:rsidRPr="003B4362" w:rsidRDefault="00AD24B5" w:rsidP="00AD24B5">
      <w:pPr>
        <w:widowControl w:val="0"/>
        <w:suppressAutoHyphens/>
        <w:ind w:left="2880" w:hanging="720"/>
      </w:pPr>
      <w:r w:rsidRPr="003B4362">
        <w:t>A)</w:t>
      </w:r>
      <w:r w:rsidRPr="003B4362">
        <w:tab/>
        <w:t>Gas Chromatography with Electron Capture Detector.  ASTM D5317-93, ASTM D5317-98(2003)</w:t>
      </w:r>
      <w:r w:rsidRPr="004B63DB">
        <w:t>, ASTM D5317-20</w:t>
      </w:r>
      <w:r w:rsidRPr="003B4362">
        <w:t xml:space="preserve">, </w:t>
      </w:r>
      <w:bookmarkStart w:id="3791" w:name="_Hlk17392564"/>
      <w:r w:rsidRPr="003B4362">
        <w:t>SM 6640 B (01), or SM 6640 B (06)</w:t>
      </w:r>
      <w:bookmarkEnd w:id="3791"/>
      <w:r w:rsidRPr="003B4362">
        <w:t>.</w:t>
      </w:r>
    </w:p>
    <w:p w14:paraId="6021F22E" w14:textId="77777777" w:rsidR="00AD24B5" w:rsidRDefault="00AD24B5" w:rsidP="00AD24B5">
      <w:pPr>
        <w:widowControl w:val="0"/>
        <w:suppressAutoHyphens/>
        <w:ind w:left="2880" w:hanging="720"/>
      </w:pPr>
    </w:p>
    <w:p w14:paraId="1154AE3F" w14:textId="77777777" w:rsidR="00AD24B5" w:rsidRPr="003B4362" w:rsidRDefault="00AD24B5" w:rsidP="00AD24B5">
      <w:pPr>
        <w:widowControl w:val="0"/>
        <w:suppressAutoHyphens/>
        <w:ind w:left="2880" w:hanging="720"/>
      </w:pPr>
      <w:r w:rsidRPr="003B4362">
        <w:t>B)</w:t>
      </w:r>
      <w:r w:rsidRPr="003B4362">
        <w:tab/>
        <w:t>Liquid-Liquid Extraction Gas Chromatography with Electron Capture Detector.  USEPA 515.1 (89) or USEPA 515.3 (96).</w:t>
      </w:r>
    </w:p>
    <w:p w14:paraId="78AD7110" w14:textId="77777777" w:rsidR="00AD24B5" w:rsidRDefault="00AD24B5" w:rsidP="00AD24B5">
      <w:pPr>
        <w:widowControl w:val="0"/>
        <w:suppressAutoHyphens/>
        <w:ind w:left="2880" w:hanging="720"/>
      </w:pPr>
    </w:p>
    <w:p w14:paraId="30D76C46" w14:textId="77777777" w:rsidR="00AD24B5" w:rsidRPr="003B4362" w:rsidRDefault="00AD24B5" w:rsidP="00AD24B5">
      <w:pPr>
        <w:widowControl w:val="0"/>
        <w:suppressAutoHyphens/>
        <w:ind w:left="2880" w:hanging="720"/>
      </w:pPr>
      <w:r w:rsidRPr="003B4362">
        <w:lastRenderedPageBreak/>
        <w:t>C)</w:t>
      </w:r>
      <w:r w:rsidRPr="003B4362">
        <w:tab/>
        <w:t>Liquid-Solid Extraction Gas Chromatography with Electron Capture Detector.  USEPA 515.2 (95).</w:t>
      </w:r>
    </w:p>
    <w:p w14:paraId="53617DD7" w14:textId="77777777" w:rsidR="00AD24B5" w:rsidRDefault="00AD24B5" w:rsidP="00AD24B5">
      <w:pPr>
        <w:widowControl w:val="0"/>
        <w:suppressAutoHyphens/>
        <w:ind w:left="2880" w:hanging="720"/>
      </w:pPr>
    </w:p>
    <w:p w14:paraId="5E2574B9" w14:textId="77777777" w:rsidR="00AD24B5" w:rsidRPr="003B4362" w:rsidRDefault="00AD24B5" w:rsidP="00AD24B5">
      <w:pPr>
        <w:widowControl w:val="0"/>
        <w:suppressAutoHyphens/>
        <w:ind w:left="2880" w:hanging="720"/>
      </w:pPr>
      <w:r w:rsidRPr="003B4362">
        <w:t>D)</w:t>
      </w:r>
      <w:r w:rsidRPr="003B4362">
        <w:tab/>
        <w:t>Liquid-Liquid Microextraction, Derivatization, and Fast Gas Chromatography with Electron Capture Detector.  USEPA 515.4 (00).</w:t>
      </w:r>
    </w:p>
    <w:p w14:paraId="5DFBD252" w14:textId="77777777" w:rsidR="00AD24B5" w:rsidRDefault="00AD24B5" w:rsidP="00AD24B5">
      <w:pPr>
        <w:widowControl w:val="0"/>
        <w:suppressAutoHyphens/>
        <w:ind w:left="2880" w:hanging="720"/>
      </w:pPr>
    </w:p>
    <w:p w14:paraId="20C069F5" w14:textId="77777777" w:rsidR="00AD24B5" w:rsidRPr="003B4362" w:rsidRDefault="00AD24B5" w:rsidP="00AD24B5">
      <w:pPr>
        <w:widowControl w:val="0"/>
        <w:suppressAutoHyphens/>
        <w:ind w:left="2880" w:hanging="720"/>
      </w:pPr>
      <w:r w:rsidRPr="003B4362">
        <w:t>E)</w:t>
      </w:r>
      <w:r w:rsidRPr="003B4362">
        <w:tab/>
        <w:t>High Performance Liquid Chromatography with Photodiode Array Ultraviolet Detector.  USEPA 555 (92).</w:t>
      </w:r>
    </w:p>
    <w:p w14:paraId="10ADB180" w14:textId="77777777" w:rsidR="00AD24B5" w:rsidRDefault="00AD24B5" w:rsidP="00AD24B5">
      <w:pPr>
        <w:widowControl w:val="0"/>
        <w:suppressAutoHyphens/>
        <w:ind w:left="2160" w:hanging="720"/>
      </w:pPr>
    </w:p>
    <w:p w14:paraId="727F38A4" w14:textId="77777777" w:rsidR="00AD24B5" w:rsidRPr="003B4362" w:rsidRDefault="00AD24B5" w:rsidP="00AD24B5">
      <w:pPr>
        <w:widowControl w:val="0"/>
        <w:suppressAutoHyphens/>
        <w:ind w:left="2160" w:hanging="720"/>
      </w:pPr>
      <w:r w:rsidRPr="003B4362">
        <w:t>3)</w:t>
      </w:r>
      <w:r w:rsidRPr="003B4362">
        <w:tab/>
      </w:r>
      <w:bookmarkStart w:id="3792" w:name="_Hlk14260086"/>
      <w:r w:rsidRPr="003B4362">
        <w:t>2,4,5-TP (Silvex)</w:t>
      </w:r>
      <w:bookmarkEnd w:id="3792"/>
    </w:p>
    <w:p w14:paraId="15ACCDD0" w14:textId="77777777" w:rsidR="00AD24B5" w:rsidRDefault="00AD24B5" w:rsidP="00AD24B5">
      <w:pPr>
        <w:widowControl w:val="0"/>
        <w:suppressAutoHyphens/>
        <w:ind w:left="2880" w:hanging="720"/>
      </w:pPr>
    </w:p>
    <w:p w14:paraId="21605D23" w14:textId="77777777" w:rsidR="00AD24B5" w:rsidRPr="003B4362" w:rsidRDefault="00AD24B5" w:rsidP="00AD24B5">
      <w:pPr>
        <w:widowControl w:val="0"/>
        <w:suppressAutoHyphens/>
        <w:ind w:left="2880" w:hanging="720"/>
      </w:pPr>
      <w:r w:rsidRPr="003B4362">
        <w:t>A)</w:t>
      </w:r>
      <w:r w:rsidRPr="003B4362">
        <w:tab/>
        <w:t>Gas Chromatography with Electron Capture Detector.  ASTM D5317-93, ASTM D5317-98(2003)</w:t>
      </w:r>
      <w:r w:rsidRPr="004B63DB">
        <w:t>, ASTM D5317-20</w:t>
      </w:r>
      <w:r w:rsidRPr="003B4362">
        <w:t>, SM 6640 B (01), or SM 6640 B (06).</w:t>
      </w:r>
    </w:p>
    <w:p w14:paraId="08E1C084" w14:textId="77777777" w:rsidR="00AD24B5" w:rsidRDefault="00AD24B5" w:rsidP="00AD24B5">
      <w:pPr>
        <w:widowControl w:val="0"/>
        <w:suppressAutoHyphens/>
        <w:ind w:left="2880" w:hanging="720"/>
      </w:pPr>
    </w:p>
    <w:p w14:paraId="57A32F4A" w14:textId="77777777" w:rsidR="00AD24B5" w:rsidRPr="003B4362" w:rsidRDefault="00AD24B5" w:rsidP="00AD24B5">
      <w:pPr>
        <w:widowControl w:val="0"/>
        <w:suppressAutoHyphens/>
        <w:ind w:left="2880" w:hanging="720"/>
      </w:pPr>
      <w:r w:rsidRPr="003B4362">
        <w:t>B)</w:t>
      </w:r>
      <w:r w:rsidRPr="003B4362">
        <w:tab/>
        <w:t>Liquid-Liquid Extraction Gas Chromatography with Electron Capture Detector.  USEPA 515.1 (89) or USEPA 515.3 (96).</w:t>
      </w:r>
    </w:p>
    <w:p w14:paraId="2A5A1196" w14:textId="77777777" w:rsidR="00AD24B5" w:rsidRDefault="00AD24B5" w:rsidP="00AD24B5">
      <w:pPr>
        <w:widowControl w:val="0"/>
        <w:suppressAutoHyphens/>
        <w:ind w:left="2880" w:hanging="720"/>
      </w:pPr>
    </w:p>
    <w:p w14:paraId="5C6169F4"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515.2 (95).</w:t>
      </w:r>
    </w:p>
    <w:p w14:paraId="202A93E7" w14:textId="77777777" w:rsidR="00AD24B5" w:rsidRDefault="00AD24B5" w:rsidP="00AD24B5">
      <w:pPr>
        <w:widowControl w:val="0"/>
        <w:suppressAutoHyphens/>
        <w:ind w:left="2880" w:hanging="720"/>
      </w:pPr>
    </w:p>
    <w:p w14:paraId="1C78CBBA" w14:textId="77777777" w:rsidR="00AD24B5" w:rsidRPr="003B4362" w:rsidRDefault="00AD24B5" w:rsidP="00AD24B5">
      <w:pPr>
        <w:widowControl w:val="0"/>
        <w:suppressAutoHyphens/>
        <w:ind w:left="2880" w:hanging="720"/>
      </w:pPr>
      <w:r w:rsidRPr="003B4362">
        <w:t>D)</w:t>
      </w:r>
      <w:r w:rsidRPr="003B4362">
        <w:tab/>
        <w:t>Liquid-Liquid Microextraction, Derivatization, and Fast Gas Chromatography with Electron Capture Detector.  USEPA 515.4 (00).</w:t>
      </w:r>
    </w:p>
    <w:p w14:paraId="612C6AFF" w14:textId="77777777" w:rsidR="00AD24B5" w:rsidRDefault="00AD24B5" w:rsidP="00AD24B5">
      <w:pPr>
        <w:widowControl w:val="0"/>
        <w:suppressAutoHyphens/>
        <w:ind w:left="2880" w:hanging="720"/>
      </w:pPr>
    </w:p>
    <w:p w14:paraId="00119CF8" w14:textId="77777777" w:rsidR="00AD24B5" w:rsidRPr="003B4362" w:rsidRDefault="00AD24B5" w:rsidP="00AD24B5">
      <w:pPr>
        <w:widowControl w:val="0"/>
        <w:suppressAutoHyphens/>
        <w:ind w:left="2880" w:hanging="720"/>
      </w:pPr>
      <w:r w:rsidRPr="003B4362">
        <w:t>E)</w:t>
      </w:r>
      <w:r w:rsidRPr="003B4362">
        <w:tab/>
        <w:t>High Performance Liquid Chromatography with Photodiode Array Ultraviolet Detector.  USEPA 555 (92).</w:t>
      </w:r>
    </w:p>
    <w:p w14:paraId="3EBF91E3" w14:textId="77777777" w:rsidR="00AD24B5" w:rsidRDefault="00AD24B5" w:rsidP="00AD24B5">
      <w:pPr>
        <w:widowControl w:val="0"/>
        <w:suppressAutoHyphens/>
        <w:ind w:left="2160" w:hanging="720"/>
      </w:pPr>
    </w:p>
    <w:p w14:paraId="564C895B" w14:textId="77777777" w:rsidR="00AD24B5" w:rsidRPr="003B4362" w:rsidRDefault="00AD24B5" w:rsidP="00AD24B5">
      <w:pPr>
        <w:widowControl w:val="0"/>
        <w:suppressAutoHyphens/>
        <w:ind w:left="2160" w:hanging="720"/>
      </w:pPr>
      <w:r w:rsidRPr="003B4362">
        <w:t>4)</w:t>
      </w:r>
      <w:r w:rsidRPr="003B4362">
        <w:tab/>
        <w:t>Alachlor</w:t>
      </w:r>
    </w:p>
    <w:p w14:paraId="513E5202" w14:textId="77777777" w:rsidR="00AD24B5" w:rsidRDefault="00AD24B5" w:rsidP="00AD24B5">
      <w:pPr>
        <w:widowControl w:val="0"/>
        <w:suppressAutoHyphens/>
        <w:ind w:left="2880" w:hanging="720"/>
      </w:pPr>
    </w:p>
    <w:p w14:paraId="5EDCEA6B"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5C1A06F3" w14:textId="77777777" w:rsidR="00AD24B5" w:rsidRDefault="00AD24B5" w:rsidP="00AD24B5">
      <w:pPr>
        <w:widowControl w:val="0"/>
        <w:suppressAutoHyphens/>
        <w:ind w:left="2880" w:hanging="720"/>
      </w:pPr>
    </w:p>
    <w:p w14:paraId="6D8990AF" w14:textId="77777777" w:rsidR="00AD24B5" w:rsidRPr="003B4362" w:rsidRDefault="00AD24B5" w:rsidP="00AD24B5">
      <w:pPr>
        <w:widowControl w:val="0"/>
        <w:suppressAutoHyphens/>
        <w:ind w:left="2880" w:hanging="720"/>
      </w:pPr>
      <w:r w:rsidRPr="003B4362">
        <w:t>B)</w:t>
      </w:r>
      <w:r w:rsidRPr="003B4362">
        <w:tab/>
        <w:t>Gas Chromatography with Nitrogen-Phosphorus Detector.  USEPA 507 (95).</w:t>
      </w:r>
    </w:p>
    <w:p w14:paraId="518085CE" w14:textId="77777777" w:rsidR="00AD24B5" w:rsidRDefault="00AD24B5" w:rsidP="00AD24B5">
      <w:pPr>
        <w:widowControl w:val="0"/>
        <w:suppressAutoHyphens/>
        <w:ind w:left="2880" w:hanging="720"/>
      </w:pPr>
    </w:p>
    <w:p w14:paraId="4A9A0FF8"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136378A9" w14:textId="77777777" w:rsidR="00AD24B5" w:rsidRDefault="00AD24B5" w:rsidP="00AD24B5">
      <w:pPr>
        <w:widowControl w:val="0"/>
        <w:suppressAutoHyphens/>
        <w:ind w:left="2880" w:hanging="720"/>
      </w:pPr>
    </w:p>
    <w:p w14:paraId="6A189D85" w14:textId="77777777" w:rsidR="00AD24B5" w:rsidRPr="003B4362" w:rsidRDefault="00AD24B5" w:rsidP="00AD24B5">
      <w:pPr>
        <w:widowControl w:val="0"/>
        <w:suppressAutoHyphens/>
        <w:ind w:left="2880" w:hanging="720"/>
      </w:pPr>
      <w:r w:rsidRPr="003B4362">
        <w:t>D)</w:t>
      </w:r>
      <w:r w:rsidRPr="003B4362">
        <w:tab/>
      </w:r>
      <w:bookmarkStart w:id="3793" w:name="_Hlk14264229"/>
      <w:r w:rsidRPr="003B4362">
        <w:t>Liquid-Solid Extraction and Capillary Column Gas Chromatography-Mass Spectrometry</w:t>
      </w:r>
      <w:bookmarkEnd w:id="3793"/>
      <w:r w:rsidRPr="003B4362">
        <w:t>.  USEPA 525.2 (95).</w:t>
      </w:r>
    </w:p>
    <w:p w14:paraId="4D5FE503" w14:textId="77777777" w:rsidR="00AD24B5" w:rsidRDefault="00AD24B5" w:rsidP="00AD24B5">
      <w:pPr>
        <w:widowControl w:val="0"/>
        <w:suppressAutoHyphens/>
        <w:ind w:left="2880" w:hanging="720"/>
      </w:pPr>
    </w:p>
    <w:p w14:paraId="72E17AEE" w14:textId="77777777" w:rsidR="00AD24B5" w:rsidRPr="003B4362" w:rsidRDefault="00AD24B5" w:rsidP="00AD24B5">
      <w:pPr>
        <w:widowControl w:val="0"/>
        <w:suppressAutoHyphens/>
        <w:ind w:left="2880" w:hanging="720"/>
      </w:pPr>
      <w:r w:rsidRPr="003B4362">
        <w:t>E)</w:t>
      </w:r>
      <w:r w:rsidRPr="003B4362">
        <w:tab/>
      </w:r>
      <w:bookmarkStart w:id="3794" w:name="_Hlk14260867"/>
      <w:r w:rsidRPr="003B4362">
        <w:t>Solid Phase Extraction and Capillary Column Gas Chromatography-Mass Spectrometry</w:t>
      </w:r>
      <w:bookmarkEnd w:id="3794"/>
      <w:r w:rsidRPr="003B4362">
        <w:t>.  USEPA 525.3 (12).</w:t>
      </w:r>
    </w:p>
    <w:p w14:paraId="4F35EA4E" w14:textId="77777777" w:rsidR="00AD24B5" w:rsidRDefault="00AD24B5" w:rsidP="00AD24B5">
      <w:pPr>
        <w:widowControl w:val="0"/>
        <w:suppressAutoHyphens/>
        <w:ind w:left="2880" w:hanging="720"/>
      </w:pPr>
    </w:p>
    <w:p w14:paraId="626A9743" w14:textId="77777777" w:rsidR="00AD24B5" w:rsidRPr="003B4362" w:rsidRDefault="00AD24B5" w:rsidP="00AD24B5">
      <w:pPr>
        <w:widowControl w:val="0"/>
        <w:suppressAutoHyphens/>
        <w:ind w:left="2880" w:hanging="720"/>
      </w:pPr>
      <w:r w:rsidRPr="003B4362">
        <w:lastRenderedPageBreak/>
        <w:t>F)</w:t>
      </w:r>
      <w:r w:rsidRPr="003B4362">
        <w:tab/>
      </w:r>
      <w:bookmarkStart w:id="3795" w:name="_Hlk14261044"/>
      <w:r w:rsidRPr="003B4362">
        <w:t>Liquid-Liquid Extraction and Gas Chromatography</w:t>
      </w:r>
      <w:bookmarkEnd w:id="3795"/>
      <w:r w:rsidRPr="003B4362">
        <w:t>.  USEPA 551.1 (95).</w:t>
      </w:r>
    </w:p>
    <w:p w14:paraId="2E39D8E1" w14:textId="77777777" w:rsidR="00AD24B5" w:rsidRDefault="00AD24B5" w:rsidP="00AD24B5">
      <w:pPr>
        <w:widowControl w:val="0"/>
        <w:suppressAutoHyphens/>
        <w:ind w:left="2160" w:hanging="720"/>
      </w:pPr>
    </w:p>
    <w:p w14:paraId="7C420D05" w14:textId="77777777" w:rsidR="00AD24B5" w:rsidRPr="003B4362" w:rsidRDefault="00AD24B5" w:rsidP="00AD24B5">
      <w:pPr>
        <w:widowControl w:val="0"/>
        <w:suppressAutoHyphens/>
        <w:ind w:left="2160" w:hanging="720"/>
      </w:pPr>
      <w:r w:rsidRPr="003B4362">
        <w:t>5)</w:t>
      </w:r>
      <w:r w:rsidRPr="003B4362">
        <w:tab/>
      </w:r>
      <w:bookmarkStart w:id="3796" w:name="_Hlk14263104"/>
      <w:r w:rsidRPr="003B4362">
        <w:t>Atrazine</w:t>
      </w:r>
      <w:bookmarkEnd w:id="3796"/>
    </w:p>
    <w:p w14:paraId="0CFA7E7E" w14:textId="77777777" w:rsidR="00AD24B5" w:rsidRDefault="00AD24B5" w:rsidP="00AD24B5">
      <w:pPr>
        <w:widowControl w:val="0"/>
        <w:suppressAutoHyphens/>
        <w:ind w:left="2880" w:hanging="720"/>
      </w:pPr>
    </w:p>
    <w:p w14:paraId="00D35D0D"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47A574D1" w14:textId="77777777" w:rsidR="00AD24B5" w:rsidRDefault="00AD24B5" w:rsidP="00AD24B5">
      <w:pPr>
        <w:widowControl w:val="0"/>
        <w:suppressAutoHyphens/>
        <w:ind w:left="2880" w:hanging="720"/>
      </w:pPr>
    </w:p>
    <w:p w14:paraId="317F5F81" w14:textId="77777777" w:rsidR="00AD24B5" w:rsidRPr="003B4362" w:rsidRDefault="00AD24B5" w:rsidP="00AD24B5">
      <w:pPr>
        <w:widowControl w:val="0"/>
        <w:suppressAutoHyphens/>
        <w:ind w:left="2880" w:hanging="720"/>
      </w:pPr>
      <w:r w:rsidRPr="003B4362">
        <w:t>B)</w:t>
      </w:r>
      <w:r w:rsidRPr="003B4362">
        <w:tab/>
        <w:t>Gas Chromatography with Nitrogen-Phosphorus Detector.  USEPA 507 (95).</w:t>
      </w:r>
    </w:p>
    <w:p w14:paraId="7E7F942D" w14:textId="77777777" w:rsidR="00AD24B5" w:rsidRDefault="00AD24B5" w:rsidP="00AD24B5">
      <w:pPr>
        <w:widowControl w:val="0"/>
        <w:suppressAutoHyphens/>
        <w:ind w:left="2880" w:hanging="720"/>
      </w:pPr>
    </w:p>
    <w:p w14:paraId="7F648B03"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4F35FE48" w14:textId="77777777" w:rsidR="00AD24B5" w:rsidRDefault="00AD24B5" w:rsidP="00AD24B5">
      <w:pPr>
        <w:widowControl w:val="0"/>
        <w:suppressAutoHyphens/>
        <w:ind w:left="2880" w:hanging="720"/>
      </w:pPr>
    </w:p>
    <w:p w14:paraId="6568E44C" w14:textId="77777777" w:rsidR="00AD24B5" w:rsidRPr="003B4362" w:rsidRDefault="00AD24B5" w:rsidP="00AD24B5">
      <w:pPr>
        <w:widowControl w:val="0"/>
        <w:suppressAutoHyphens/>
        <w:ind w:left="2880" w:hanging="720"/>
      </w:pPr>
      <w:r w:rsidRPr="003B4362">
        <w:t>D)</w:t>
      </w:r>
      <w:r w:rsidRPr="003B4362">
        <w:tab/>
      </w:r>
      <w:bookmarkStart w:id="3797" w:name="_Hlk14263592"/>
      <w:r w:rsidRPr="003B4362">
        <w:t>Liquid-Solid Extraction Gas Chromatography with Electron Capture Detector</w:t>
      </w:r>
      <w:bookmarkEnd w:id="3797"/>
      <w:r w:rsidRPr="003B4362">
        <w:t>.  USEPA 523 (11).</w:t>
      </w:r>
    </w:p>
    <w:p w14:paraId="040B3724" w14:textId="77777777" w:rsidR="00AD24B5" w:rsidRDefault="00AD24B5" w:rsidP="00AD24B5">
      <w:pPr>
        <w:widowControl w:val="0"/>
        <w:suppressAutoHyphens/>
        <w:ind w:left="2880" w:hanging="720"/>
      </w:pPr>
    </w:p>
    <w:p w14:paraId="3D4F1966" w14:textId="77777777" w:rsidR="00AD24B5" w:rsidRPr="003B4362" w:rsidRDefault="00AD24B5" w:rsidP="00AD24B5">
      <w:pPr>
        <w:widowControl w:val="0"/>
        <w:suppressAutoHyphens/>
        <w:ind w:left="2880" w:hanging="720"/>
      </w:pPr>
      <w:r w:rsidRPr="003B4362">
        <w:t>E)</w:t>
      </w:r>
      <w:r w:rsidRPr="003B4362">
        <w:tab/>
        <w:t>Liquid-Solid Extraction and Capillary Column Gas Chromatography-Mass Spectrometry.  USEPA 525.2 (95).</w:t>
      </w:r>
    </w:p>
    <w:p w14:paraId="1E8E362C" w14:textId="77777777" w:rsidR="00AD24B5" w:rsidRDefault="00AD24B5" w:rsidP="00AD24B5">
      <w:pPr>
        <w:widowControl w:val="0"/>
        <w:suppressAutoHyphens/>
        <w:ind w:left="2880" w:hanging="720"/>
      </w:pPr>
    </w:p>
    <w:p w14:paraId="50C100D6" w14:textId="77777777" w:rsidR="00AD24B5" w:rsidRPr="003B4362" w:rsidRDefault="00AD24B5" w:rsidP="00AD24B5">
      <w:pPr>
        <w:widowControl w:val="0"/>
        <w:suppressAutoHyphens/>
        <w:ind w:left="2880" w:hanging="720"/>
      </w:pPr>
      <w:r w:rsidRPr="003B4362">
        <w:t>F)</w:t>
      </w:r>
      <w:r w:rsidRPr="003B4362">
        <w:tab/>
        <w:t>Solid Phase Extraction and Capillary Column Gas Chromatography-Mass Spectrometry.  USEPA 525.3 (12).</w:t>
      </w:r>
    </w:p>
    <w:p w14:paraId="1749FD31" w14:textId="77777777" w:rsidR="00AD24B5" w:rsidRDefault="00AD24B5" w:rsidP="00AD24B5">
      <w:pPr>
        <w:widowControl w:val="0"/>
        <w:suppressAutoHyphens/>
        <w:ind w:left="2880" w:hanging="720"/>
      </w:pPr>
    </w:p>
    <w:p w14:paraId="0C83066A" w14:textId="77777777" w:rsidR="00AD24B5" w:rsidRPr="003B4362" w:rsidRDefault="00AD24B5" w:rsidP="00AD24B5">
      <w:pPr>
        <w:widowControl w:val="0"/>
        <w:suppressAutoHyphens/>
        <w:ind w:left="2880" w:hanging="720"/>
      </w:pPr>
      <w:r w:rsidRPr="003B4362">
        <w:t>G)</w:t>
      </w:r>
      <w:r w:rsidRPr="003B4362">
        <w:tab/>
      </w:r>
      <w:bookmarkStart w:id="3798" w:name="_Hlk14264259"/>
      <w:r w:rsidRPr="003B4362">
        <w:t>Liquid Chromatography Electrospray Ionization Tandem Mass Spectrometry</w:t>
      </w:r>
      <w:bookmarkEnd w:id="3798"/>
      <w:r w:rsidRPr="003B4362">
        <w:t>.  USEPA 536 (07).</w:t>
      </w:r>
    </w:p>
    <w:p w14:paraId="1999BA2C" w14:textId="77777777" w:rsidR="00AD24B5" w:rsidRDefault="00AD24B5" w:rsidP="00AD24B5">
      <w:pPr>
        <w:widowControl w:val="0"/>
        <w:suppressAutoHyphens/>
        <w:ind w:left="2880" w:hanging="720"/>
      </w:pPr>
    </w:p>
    <w:p w14:paraId="3987DD29" w14:textId="77777777" w:rsidR="00AD24B5" w:rsidRPr="003B4362" w:rsidRDefault="00AD24B5" w:rsidP="00AD24B5">
      <w:pPr>
        <w:widowControl w:val="0"/>
        <w:suppressAutoHyphens/>
        <w:ind w:left="2880" w:hanging="720"/>
      </w:pPr>
      <w:r w:rsidRPr="003B4362">
        <w:t>H)</w:t>
      </w:r>
      <w:r w:rsidRPr="003B4362">
        <w:tab/>
        <w:t>Liquid-Liquid Extraction and Gas Chromatography.  USEPA 551.1 (95).</w:t>
      </w:r>
    </w:p>
    <w:p w14:paraId="2C3C4A0F" w14:textId="77777777" w:rsidR="00AD24B5" w:rsidRDefault="00AD24B5" w:rsidP="00AD24B5">
      <w:pPr>
        <w:widowControl w:val="0"/>
        <w:suppressAutoHyphens/>
        <w:ind w:left="2880" w:hanging="720"/>
      </w:pPr>
    </w:p>
    <w:p w14:paraId="1FF1E4F6" w14:textId="77777777" w:rsidR="00AD24B5" w:rsidRPr="003B4362" w:rsidRDefault="00AD24B5" w:rsidP="00AD24B5">
      <w:pPr>
        <w:widowControl w:val="0"/>
        <w:suppressAutoHyphens/>
        <w:ind w:left="2880" w:hanging="720"/>
      </w:pPr>
      <w:r w:rsidRPr="003B4362">
        <w:t>I)</w:t>
      </w:r>
      <w:r w:rsidRPr="003B4362">
        <w:tab/>
      </w:r>
      <w:bookmarkStart w:id="3799" w:name="_Hlk14264449"/>
      <w:r w:rsidRPr="003B4362">
        <w:t>Immunoassay</w:t>
      </w:r>
      <w:bookmarkEnd w:id="3799"/>
      <w:r w:rsidRPr="003B4362">
        <w:t>.  Syngenta AG-625</w:t>
      </w:r>
      <w:r w:rsidRPr="003B4362">
        <w:rPr>
          <w:vertAlign w:val="superscript"/>
        </w:rPr>
        <w:t>2</w:t>
      </w:r>
      <w:r w:rsidRPr="003B4362">
        <w:t>.</w:t>
      </w:r>
    </w:p>
    <w:p w14:paraId="1DE97E19" w14:textId="77777777" w:rsidR="00AD24B5" w:rsidRDefault="00AD24B5" w:rsidP="00AD24B5">
      <w:pPr>
        <w:widowControl w:val="0"/>
        <w:suppressAutoHyphens/>
        <w:ind w:left="2160" w:hanging="720"/>
      </w:pPr>
    </w:p>
    <w:p w14:paraId="2197388F" w14:textId="77777777" w:rsidR="00AD24B5" w:rsidRPr="003B4362" w:rsidRDefault="00AD24B5" w:rsidP="00AD24B5">
      <w:pPr>
        <w:widowControl w:val="0"/>
        <w:suppressAutoHyphens/>
        <w:ind w:left="2160" w:hanging="720"/>
      </w:pPr>
      <w:r w:rsidRPr="003B4362">
        <w:t>6)</w:t>
      </w:r>
      <w:r w:rsidRPr="003B4362">
        <w:tab/>
      </w:r>
      <w:bookmarkStart w:id="3800" w:name="_Hlk14264943"/>
      <w:r w:rsidRPr="003B4362">
        <w:t>Benzo(a)pyrene</w:t>
      </w:r>
      <w:bookmarkEnd w:id="3800"/>
    </w:p>
    <w:p w14:paraId="4161979F" w14:textId="77777777" w:rsidR="00AD24B5" w:rsidRDefault="00AD24B5" w:rsidP="00AD24B5">
      <w:pPr>
        <w:widowControl w:val="0"/>
        <w:suppressAutoHyphens/>
        <w:ind w:left="2880" w:hanging="720"/>
      </w:pPr>
    </w:p>
    <w:p w14:paraId="58028826" w14:textId="77777777" w:rsidR="00AD24B5" w:rsidRPr="003B4362" w:rsidRDefault="00AD24B5" w:rsidP="00AD24B5">
      <w:pPr>
        <w:widowControl w:val="0"/>
        <w:suppressAutoHyphens/>
        <w:ind w:left="2880" w:hanging="720"/>
      </w:pPr>
      <w:r w:rsidRPr="003B4362">
        <w:t>A)</w:t>
      </w:r>
      <w:r w:rsidRPr="003B4362">
        <w:tab/>
      </w:r>
      <w:bookmarkStart w:id="3801" w:name="_Hlk14264604"/>
      <w:r w:rsidRPr="003B4362">
        <w:t>Gas Chromatography-Mass Spectrometry</w:t>
      </w:r>
      <w:bookmarkEnd w:id="3801"/>
      <w:r w:rsidRPr="003B4362">
        <w:t xml:space="preserve">.  </w:t>
      </w:r>
      <w:bookmarkStart w:id="3802" w:name="_Hlk14264924"/>
      <w:r w:rsidRPr="003B4362">
        <w:t>USEPA 525.2 (95)</w:t>
      </w:r>
      <w:bookmarkEnd w:id="3802"/>
      <w:r w:rsidRPr="003B4362">
        <w:t>.</w:t>
      </w:r>
    </w:p>
    <w:p w14:paraId="742E0E64" w14:textId="77777777" w:rsidR="00AD24B5" w:rsidRDefault="00AD24B5" w:rsidP="00AD24B5">
      <w:pPr>
        <w:widowControl w:val="0"/>
        <w:suppressAutoHyphens/>
        <w:ind w:left="2880" w:hanging="720"/>
      </w:pPr>
    </w:p>
    <w:p w14:paraId="25EB0472" w14:textId="77777777" w:rsidR="00AD24B5" w:rsidRPr="003B4362" w:rsidRDefault="00AD24B5" w:rsidP="00AD24B5">
      <w:pPr>
        <w:widowControl w:val="0"/>
        <w:suppressAutoHyphens/>
        <w:ind w:left="2880" w:hanging="720"/>
      </w:pPr>
      <w:r w:rsidRPr="003B4362">
        <w:t>B)</w:t>
      </w:r>
      <w:r w:rsidRPr="003B4362">
        <w:tab/>
      </w:r>
      <w:bookmarkStart w:id="3803" w:name="_Hlk14264620"/>
      <w:r w:rsidRPr="003B4362">
        <w:t>Solid Phase Extraction and Capillary Column Gas Chromatography-Mass Spectrometry</w:t>
      </w:r>
      <w:bookmarkEnd w:id="3803"/>
      <w:r w:rsidRPr="003B4362">
        <w:t xml:space="preserve">.  </w:t>
      </w:r>
      <w:bookmarkStart w:id="3804" w:name="_Hlk14265022"/>
      <w:r w:rsidRPr="003B4362">
        <w:t>USEPA 525.3 (12)</w:t>
      </w:r>
      <w:bookmarkEnd w:id="3804"/>
      <w:r w:rsidRPr="003B4362">
        <w:t>.</w:t>
      </w:r>
    </w:p>
    <w:p w14:paraId="44165577" w14:textId="77777777" w:rsidR="00AD24B5" w:rsidRDefault="00AD24B5" w:rsidP="00AD24B5">
      <w:pPr>
        <w:widowControl w:val="0"/>
        <w:suppressAutoHyphens/>
        <w:ind w:left="2880" w:hanging="720"/>
      </w:pPr>
    </w:p>
    <w:p w14:paraId="27D99E15" w14:textId="77777777" w:rsidR="00AD24B5" w:rsidRPr="003B4362" w:rsidRDefault="00AD24B5" w:rsidP="00AD24B5">
      <w:pPr>
        <w:widowControl w:val="0"/>
        <w:suppressAutoHyphens/>
        <w:ind w:left="2880" w:hanging="720"/>
      </w:pPr>
      <w:r w:rsidRPr="003B4362">
        <w:t>C)</w:t>
      </w:r>
      <w:r w:rsidRPr="003B4362">
        <w:tab/>
      </w:r>
      <w:bookmarkStart w:id="3805" w:name="_Hlk14264754"/>
      <w:r w:rsidRPr="003B4362">
        <w:t>Liquid Liquid Extraction and HPLC with Coupled Ultraviolet and Fluorescence Detection</w:t>
      </w:r>
      <w:bookmarkEnd w:id="3805"/>
      <w:r w:rsidRPr="003B4362">
        <w:t xml:space="preserve">.  </w:t>
      </w:r>
      <w:bookmarkStart w:id="3806" w:name="_Hlk14265119"/>
      <w:r w:rsidRPr="003B4362">
        <w:t>USEPA 550 (90) or USEPA 550.1 (90)</w:t>
      </w:r>
      <w:bookmarkEnd w:id="3806"/>
      <w:r w:rsidRPr="003B4362">
        <w:t>.</w:t>
      </w:r>
    </w:p>
    <w:p w14:paraId="62925C06" w14:textId="77777777" w:rsidR="00AD24B5" w:rsidRDefault="00AD24B5" w:rsidP="00AD24B5">
      <w:pPr>
        <w:widowControl w:val="0"/>
        <w:suppressAutoHyphens/>
        <w:ind w:left="2160" w:hanging="720"/>
      </w:pPr>
    </w:p>
    <w:p w14:paraId="23E14E90" w14:textId="77777777" w:rsidR="00AD24B5" w:rsidRPr="003B4362" w:rsidRDefault="00AD24B5" w:rsidP="00AD24B5">
      <w:pPr>
        <w:widowControl w:val="0"/>
        <w:suppressAutoHyphens/>
        <w:ind w:left="2160" w:hanging="720"/>
      </w:pPr>
      <w:r w:rsidRPr="003B4362">
        <w:t>7)</w:t>
      </w:r>
      <w:r w:rsidRPr="003B4362">
        <w:tab/>
      </w:r>
      <w:bookmarkStart w:id="3807" w:name="_Hlk14265429"/>
      <w:r w:rsidRPr="003B4362">
        <w:t>Carbofuran</w:t>
      </w:r>
      <w:bookmarkEnd w:id="3807"/>
      <w:r w:rsidRPr="003B4362">
        <w:t>.</w:t>
      </w:r>
    </w:p>
    <w:p w14:paraId="158FB1DF" w14:textId="77777777" w:rsidR="00AD24B5" w:rsidRDefault="00AD24B5" w:rsidP="00AD24B5">
      <w:pPr>
        <w:widowControl w:val="0"/>
        <w:suppressAutoHyphens/>
        <w:ind w:left="2880" w:hanging="720"/>
      </w:pPr>
    </w:p>
    <w:p w14:paraId="44A77D65" w14:textId="77777777" w:rsidR="00AD24B5" w:rsidRPr="003B4362" w:rsidRDefault="00AD24B5" w:rsidP="00AD24B5">
      <w:pPr>
        <w:widowControl w:val="0"/>
        <w:suppressAutoHyphens/>
        <w:ind w:left="2880" w:hanging="720"/>
      </w:pPr>
      <w:r w:rsidRPr="003B4362">
        <w:t>A)</w:t>
      </w:r>
      <w:r w:rsidRPr="003B4362">
        <w:tab/>
        <w:t>Direct Aqueous Injection HPLC with Post-Column Derivatization.  SM 6610 (92), 6610 (96), 6610 B (99), SM 6610 B (04), USEPA 531.1 (95), or USEPA 531.2 (01).</w:t>
      </w:r>
    </w:p>
    <w:p w14:paraId="68826D2C" w14:textId="77777777" w:rsidR="00AD24B5" w:rsidRDefault="00AD24B5" w:rsidP="00AD24B5">
      <w:pPr>
        <w:widowControl w:val="0"/>
        <w:suppressAutoHyphens/>
        <w:ind w:left="2880" w:hanging="720"/>
      </w:pPr>
    </w:p>
    <w:p w14:paraId="6EA316E2" w14:textId="77777777" w:rsidR="00AD24B5" w:rsidRPr="003B4362" w:rsidRDefault="00AD24B5" w:rsidP="00AD24B5">
      <w:pPr>
        <w:widowControl w:val="0"/>
        <w:suppressAutoHyphens/>
        <w:ind w:left="2880" w:hanging="720"/>
      </w:pPr>
      <w:r w:rsidRPr="003B4362">
        <w:t>B)</w:t>
      </w:r>
      <w:r w:rsidRPr="003B4362">
        <w:tab/>
        <w:t>Liquid Chromatography/Mass Spectrometry.  ME 531 (19).</w:t>
      </w:r>
    </w:p>
    <w:p w14:paraId="01B1DD82" w14:textId="77777777" w:rsidR="00AD24B5" w:rsidRDefault="00AD24B5" w:rsidP="00AD24B5">
      <w:pPr>
        <w:widowControl w:val="0"/>
        <w:suppressAutoHyphens/>
        <w:ind w:left="2160" w:hanging="720"/>
      </w:pPr>
    </w:p>
    <w:p w14:paraId="1F8B6C04" w14:textId="77777777" w:rsidR="00AD24B5" w:rsidRPr="003B4362" w:rsidRDefault="00AD24B5" w:rsidP="00AD24B5">
      <w:pPr>
        <w:widowControl w:val="0"/>
        <w:suppressAutoHyphens/>
        <w:ind w:left="2160" w:hanging="720"/>
      </w:pPr>
      <w:r w:rsidRPr="003B4362">
        <w:t>8)</w:t>
      </w:r>
      <w:r w:rsidRPr="003B4362">
        <w:tab/>
      </w:r>
      <w:bookmarkStart w:id="3808" w:name="_Hlk14266386"/>
      <w:r w:rsidRPr="003B4362">
        <w:t>Chlordane</w:t>
      </w:r>
      <w:bookmarkEnd w:id="3808"/>
    </w:p>
    <w:p w14:paraId="42BB9A3D" w14:textId="77777777" w:rsidR="00AD24B5" w:rsidRDefault="00AD24B5" w:rsidP="00AD24B5">
      <w:pPr>
        <w:widowControl w:val="0"/>
        <w:suppressAutoHyphens/>
        <w:ind w:left="2880" w:hanging="720"/>
      </w:pPr>
    </w:p>
    <w:p w14:paraId="3218FD43"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03B8CAC9" w14:textId="77777777" w:rsidR="00AD24B5" w:rsidRDefault="00AD24B5" w:rsidP="00AD24B5">
      <w:pPr>
        <w:widowControl w:val="0"/>
        <w:suppressAutoHyphens/>
        <w:ind w:left="2880" w:hanging="720"/>
      </w:pPr>
    </w:p>
    <w:p w14:paraId="63483385" w14:textId="77777777" w:rsidR="00AD24B5" w:rsidRPr="003B4362" w:rsidRDefault="00AD24B5" w:rsidP="00AD24B5">
      <w:pPr>
        <w:widowControl w:val="0"/>
        <w:suppressAutoHyphens/>
        <w:ind w:left="2880" w:hanging="720"/>
      </w:pPr>
      <w:r w:rsidRPr="003B4362">
        <w:t>B)</w:t>
      </w:r>
      <w:r w:rsidRPr="003B4362">
        <w:tab/>
      </w:r>
      <w:bookmarkStart w:id="3809" w:name="_Hlk14269428"/>
      <w:r w:rsidRPr="003B4362">
        <w:t>Gas Chromatography with Electron Capture Detector</w:t>
      </w:r>
      <w:bookmarkEnd w:id="3809"/>
      <w:r w:rsidRPr="003B4362">
        <w:t>.  USEPA 508 (95).</w:t>
      </w:r>
    </w:p>
    <w:p w14:paraId="63ED5F7D" w14:textId="77777777" w:rsidR="00AD24B5" w:rsidRDefault="00AD24B5" w:rsidP="00AD24B5">
      <w:pPr>
        <w:widowControl w:val="0"/>
        <w:suppressAutoHyphens/>
        <w:ind w:left="2880" w:hanging="720"/>
      </w:pPr>
    </w:p>
    <w:p w14:paraId="24752703"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3D666772" w14:textId="77777777" w:rsidR="00AD24B5" w:rsidRDefault="00AD24B5" w:rsidP="00AD24B5">
      <w:pPr>
        <w:widowControl w:val="0"/>
        <w:suppressAutoHyphens/>
        <w:ind w:left="2880" w:hanging="720"/>
      </w:pPr>
    </w:p>
    <w:p w14:paraId="1C9B5396"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0DE26CCC" w14:textId="77777777" w:rsidR="00AD24B5" w:rsidRDefault="00AD24B5" w:rsidP="00AD24B5">
      <w:pPr>
        <w:widowControl w:val="0"/>
        <w:suppressAutoHyphens/>
        <w:ind w:left="2880" w:hanging="720"/>
      </w:pPr>
    </w:p>
    <w:p w14:paraId="427496A4"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0DC3E4D4" w14:textId="77777777" w:rsidR="00AD24B5" w:rsidRDefault="00AD24B5" w:rsidP="00AD24B5">
      <w:pPr>
        <w:widowControl w:val="0"/>
        <w:suppressAutoHyphens/>
        <w:ind w:left="2160" w:hanging="720"/>
      </w:pPr>
    </w:p>
    <w:p w14:paraId="2F2E44ED" w14:textId="77777777" w:rsidR="00AD24B5" w:rsidRPr="003B4362" w:rsidRDefault="00AD24B5" w:rsidP="00AD24B5">
      <w:pPr>
        <w:widowControl w:val="0"/>
        <w:suppressAutoHyphens/>
        <w:ind w:left="2160" w:hanging="720"/>
      </w:pPr>
      <w:r w:rsidRPr="003B4362">
        <w:t>9)</w:t>
      </w:r>
      <w:r w:rsidRPr="003B4362">
        <w:tab/>
      </w:r>
      <w:bookmarkStart w:id="3810" w:name="_Hlk14269726"/>
      <w:r w:rsidRPr="003B4362">
        <w:t>Dalapon</w:t>
      </w:r>
      <w:bookmarkEnd w:id="3810"/>
    </w:p>
    <w:p w14:paraId="1D16FC82" w14:textId="77777777" w:rsidR="00AD24B5" w:rsidRDefault="00AD24B5" w:rsidP="00AD24B5">
      <w:pPr>
        <w:widowControl w:val="0"/>
        <w:suppressAutoHyphens/>
        <w:ind w:left="2880" w:hanging="720"/>
      </w:pPr>
    </w:p>
    <w:p w14:paraId="15E1DAD9" w14:textId="77777777" w:rsidR="00AD24B5" w:rsidRPr="003B4362" w:rsidRDefault="00AD24B5" w:rsidP="00AD24B5">
      <w:pPr>
        <w:widowControl w:val="0"/>
        <w:suppressAutoHyphens/>
        <w:ind w:left="2880" w:hanging="720"/>
      </w:pPr>
      <w:r w:rsidRPr="003B4362">
        <w:t>A)</w:t>
      </w:r>
      <w:r w:rsidRPr="003B4362">
        <w:tab/>
      </w:r>
      <w:bookmarkStart w:id="3811" w:name="_Hlk14269785"/>
      <w:r w:rsidRPr="003B4362">
        <w:t>Liquid-Liquid Extraction Gas Chromatography with Electron Capture Detector</w:t>
      </w:r>
      <w:bookmarkEnd w:id="3811"/>
      <w:r w:rsidRPr="003B4362">
        <w:t xml:space="preserve">.  </w:t>
      </w:r>
      <w:bookmarkStart w:id="3812" w:name="_Hlk14269830"/>
      <w:r w:rsidRPr="003B4362">
        <w:t>USEPA 515.1 (89) or USEPA 515.3 (96)</w:t>
      </w:r>
      <w:bookmarkEnd w:id="3812"/>
      <w:r w:rsidRPr="003B4362">
        <w:t>.</w:t>
      </w:r>
    </w:p>
    <w:p w14:paraId="14958596" w14:textId="77777777" w:rsidR="00AD24B5" w:rsidRDefault="00AD24B5" w:rsidP="00AD24B5">
      <w:pPr>
        <w:widowControl w:val="0"/>
        <w:suppressAutoHyphens/>
        <w:ind w:left="2880" w:hanging="720"/>
      </w:pPr>
    </w:p>
    <w:p w14:paraId="47327B4C" w14:textId="77777777" w:rsidR="00AD24B5" w:rsidRPr="003B4362" w:rsidRDefault="00AD24B5" w:rsidP="00AD24B5">
      <w:pPr>
        <w:widowControl w:val="0"/>
        <w:suppressAutoHyphens/>
        <w:ind w:left="2880" w:hanging="720"/>
      </w:pPr>
      <w:r w:rsidRPr="003B4362">
        <w:t>B)</w:t>
      </w:r>
      <w:r w:rsidRPr="003B4362">
        <w:tab/>
      </w:r>
      <w:bookmarkStart w:id="3813" w:name="_Hlk14270030"/>
      <w:r w:rsidRPr="003B4362">
        <w:t>Liquid-Liquid Microextraction, Derivatization, and Fast Gas Chromatography with Electron Capture Detector</w:t>
      </w:r>
      <w:bookmarkEnd w:id="3813"/>
      <w:r w:rsidRPr="003B4362">
        <w:t xml:space="preserve">. </w:t>
      </w:r>
      <w:bookmarkStart w:id="3814" w:name="_Hlk14270060"/>
      <w:r w:rsidRPr="003B4362">
        <w:t xml:space="preserve"> SM 6640 B (01), SM 6640 B (06)</w:t>
      </w:r>
      <w:bookmarkEnd w:id="3814"/>
      <w:r w:rsidRPr="003B4362">
        <w:t>, or USEPA 515.4 (00).</w:t>
      </w:r>
    </w:p>
    <w:p w14:paraId="76B0E819" w14:textId="77777777" w:rsidR="00AD24B5" w:rsidRDefault="00AD24B5" w:rsidP="00AD24B5">
      <w:pPr>
        <w:widowControl w:val="0"/>
        <w:suppressAutoHyphens/>
        <w:ind w:left="2880" w:hanging="720"/>
      </w:pPr>
    </w:p>
    <w:p w14:paraId="7BC510F2" w14:textId="77777777" w:rsidR="00AD24B5" w:rsidRPr="003B4362" w:rsidRDefault="00AD24B5" w:rsidP="00AD24B5">
      <w:pPr>
        <w:widowControl w:val="0"/>
        <w:suppressAutoHyphens/>
        <w:ind w:left="2880" w:hanging="720"/>
      </w:pPr>
      <w:r w:rsidRPr="003B4362">
        <w:t>C)</w:t>
      </w:r>
      <w:r w:rsidRPr="003B4362">
        <w:tab/>
      </w:r>
      <w:bookmarkStart w:id="3815" w:name="_Hlk14270300"/>
      <w:r w:rsidRPr="003B4362">
        <w:t>Solid Phase Extractor (Acidic Methanol), Gas Chromatography, Electron Capture Detector</w:t>
      </w:r>
      <w:bookmarkEnd w:id="3815"/>
      <w:r w:rsidRPr="003B4362">
        <w:t xml:space="preserve">.  </w:t>
      </w:r>
      <w:bookmarkStart w:id="3816" w:name="_Hlk14270319"/>
      <w:r w:rsidRPr="003B4362">
        <w:t>USEPA 552.1 (92)</w:t>
      </w:r>
      <w:bookmarkEnd w:id="3816"/>
      <w:r w:rsidRPr="003B4362">
        <w:t>.</w:t>
      </w:r>
    </w:p>
    <w:p w14:paraId="52281C82" w14:textId="77777777" w:rsidR="00AD24B5" w:rsidRDefault="00AD24B5" w:rsidP="00AD24B5">
      <w:pPr>
        <w:widowControl w:val="0"/>
        <w:suppressAutoHyphens/>
        <w:ind w:left="2880" w:hanging="720"/>
      </w:pPr>
    </w:p>
    <w:p w14:paraId="67DA8629" w14:textId="77777777" w:rsidR="00AD24B5" w:rsidRPr="003B4362" w:rsidRDefault="00AD24B5" w:rsidP="00AD24B5">
      <w:pPr>
        <w:widowControl w:val="0"/>
        <w:suppressAutoHyphens/>
        <w:ind w:left="2880" w:hanging="720"/>
      </w:pPr>
      <w:r w:rsidRPr="003B4362">
        <w:t>D)</w:t>
      </w:r>
      <w:r w:rsidRPr="003B4362">
        <w:tab/>
      </w:r>
      <w:bookmarkStart w:id="3817" w:name="_Hlk14270496"/>
      <w:r w:rsidRPr="003B4362">
        <w:t>Liquid-Liquid Extraction (Acidic Methanol), Gas Chromatography, Electron Capture Detector</w:t>
      </w:r>
      <w:bookmarkEnd w:id="3817"/>
      <w:r w:rsidRPr="003B4362">
        <w:t xml:space="preserve">.  </w:t>
      </w:r>
      <w:bookmarkStart w:id="3818" w:name="_Hlk14270522"/>
      <w:r w:rsidRPr="003B4362">
        <w:t>USEPA 552.2 (95) or USEPA 552.3 (03)</w:t>
      </w:r>
      <w:bookmarkEnd w:id="3818"/>
      <w:r w:rsidRPr="003B4362">
        <w:t>.</w:t>
      </w:r>
    </w:p>
    <w:p w14:paraId="4559B20E" w14:textId="77777777" w:rsidR="00AD24B5" w:rsidRDefault="00AD24B5" w:rsidP="00AD24B5">
      <w:pPr>
        <w:widowControl w:val="0"/>
        <w:suppressAutoHyphens/>
        <w:ind w:left="2880" w:hanging="720"/>
      </w:pPr>
    </w:p>
    <w:p w14:paraId="1D1090CA" w14:textId="77777777" w:rsidR="00AD24B5" w:rsidRPr="003B4362" w:rsidRDefault="00AD24B5" w:rsidP="00AD24B5">
      <w:pPr>
        <w:widowControl w:val="0"/>
        <w:suppressAutoHyphens/>
        <w:ind w:left="2880" w:hanging="720"/>
      </w:pPr>
      <w:r w:rsidRPr="003B4362">
        <w:t>E)</w:t>
      </w:r>
      <w:r w:rsidRPr="003B4362">
        <w:tab/>
      </w:r>
      <w:bookmarkStart w:id="3819" w:name="_Hlk14270828"/>
      <w:r w:rsidRPr="003B4362">
        <w:t>Ion Chromatography, Electrospray Ionization, Tandem Mass Spectrometry</w:t>
      </w:r>
      <w:bookmarkEnd w:id="3819"/>
      <w:r w:rsidRPr="003B4362">
        <w:t xml:space="preserve">.  </w:t>
      </w:r>
      <w:bookmarkStart w:id="3820" w:name="_Hlk14270854"/>
      <w:r w:rsidRPr="003B4362">
        <w:t>USEPA 557 (09)</w:t>
      </w:r>
      <w:bookmarkEnd w:id="3820"/>
      <w:r w:rsidRPr="003B4362">
        <w:t>.</w:t>
      </w:r>
    </w:p>
    <w:p w14:paraId="1F8F56B9" w14:textId="77777777" w:rsidR="00AD24B5" w:rsidRDefault="00AD24B5" w:rsidP="00AD24B5">
      <w:pPr>
        <w:widowControl w:val="0"/>
        <w:suppressAutoHyphens/>
        <w:ind w:left="2160" w:hanging="720"/>
      </w:pPr>
    </w:p>
    <w:p w14:paraId="58FEB9AB" w14:textId="77777777" w:rsidR="00AD24B5" w:rsidRPr="003B4362" w:rsidRDefault="00AD24B5" w:rsidP="00AD24B5">
      <w:pPr>
        <w:widowControl w:val="0"/>
        <w:suppressAutoHyphens/>
        <w:ind w:left="2160" w:hanging="720"/>
      </w:pPr>
      <w:r w:rsidRPr="003B4362">
        <w:t>10)</w:t>
      </w:r>
      <w:r w:rsidRPr="003B4362">
        <w:tab/>
      </w:r>
      <w:bookmarkStart w:id="3821" w:name="_Hlk14271486"/>
      <w:r w:rsidRPr="003B4362">
        <w:t>Dibromochloropropane (DBCP)</w:t>
      </w:r>
      <w:bookmarkEnd w:id="3821"/>
    </w:p>
    <w:p w14:paraId="3F25B362" w14:textId="77777777" w:rsidR="00AD24B5" w:rsidRDefault="00AD24B5" w:rsidP="00AD24B5">
      <w:pPr>
        <w:widowControl w:val="0"/>
        <w:suppressAutoHyphens/>
        <w:ind w:left="2880" w:hanging="720"/>
      </w:pPr>
    </w:p>
    <w:p w14:paraId="245F7D69" w14:textId="77777777" w:rsidR="00AD24B5" w:rsidRPr="003B4362" w:rsidRDefault="00AD24B5" w:rsidP="00AD24B5">
      <w:pPr>
        <w:widowControl w:val="0"/>
        <w:suppressAutoHyphens/>
        <w:ind w:left="2880" w:hanging="720"/>
      </w:pPr>
      <w:r w:rsidRPr="003B4362">
        <w:t>A)</w:t>
      </w:r>
      <w:r w:rsidRPr="003B4362">
        <w:tab/>
      </w:r>
      <w:bookmarkStart w:id="3822" w:name="_Hlk14271519"/>
      <w:r w:rsidRPr="003B4362">
        <w:t>Microextraction and Gas Chromatography</w:t>
      </w:r>
      <w:bookmarkEnd w:id="3822"/>
      <w:r w:rsidRPr="003B4362">
        <w:t xml:space="preserve">.  </w:t>
      </w:r>
      <w:bookmarkStart w:id="3823" w:name="_Hlk14271549"/>
      <w:r w:rsidRPr="003B4362">
        <w:t>USEPA 504.1 (95)</w:t>
      </w:r>
      <w:bookmarkEnd w:id="3823"/>
      <w:r w:rsidRPr="003B4362">
        <w:t>.</w:t>
      </w:r>
    </w:p>
    <w:p w14:paraId="7E5AF191" w14:textId="77777777" w:rsidR="00AD24B5" w:rsidRDefault="00AD24B5" w:rsidP="00AD24B5">
      <w:pPr>
        <w:widowControl w:val="0"/>
        <w:suppressAutoHyphens/>
        <w:ind w:left="2880" w:hanging="720"/>
      </w:pPr>
    </w:p>
    <w:p w14:paraId="01F2525F" w14:textId="77777777" w:rsidR="00AD24B5" w:rsidRPr="003B4362" w:rsidRDefault="00AD24B5" w:rsidP="00AD24B5">
      <w:pPr>
        <w:widowControl w:val="0"/>
        <w:suppressAutoHyphens/>
        <w:ind w:left="2880" w:hanging="720"/>
      </w:pPr>
      <w:r w:rsidRPr="003B4362">
        <w:t>B)</w:t>
      </w:r>
      <w:r w:rsidRPr="003B4362">
        <w:tab/>
      </w:r>
      <w:bookmarkStart w:id="3824" w:name="_Hlk14271833"/>
      <w:r w:rsidRPr="003B4362">
        <w:t>Purge and Trap Gas Chromatography-Mass Spectrometry</w:t>
      </w:r>
      <w:bookmarkEnd w:id="3824"/>
      <w:r w:rsidRPr="003B4362">
        <w:t xml:space="preserve">.  </w:t>
      </w:r>
      <w:bookmarkStart w:id="3825" w:name="_Hlk14271856"/>
      <w:r w:rsidRPr="003B4362">
        <w:t>USEPA 524.3 (09)</w:t>
      </w:r>
      <w:bookmarkEnd w:id="3825"/>
      <w:r w:rsidRPr="003B4362">
        <w:t>.</w:t>
      </w:r>
    </w:p>
    <w:p w14:paraId="484EC261" w14:textId="77777777" w:rsidR="00AD24B5" w:rsidRDefault="00AD24B5" w:rsidP="00AD24B5">
      <w:pPr>
        <w:widowControl w:val="0"/>
        <w:suppressAutoHyphens/>
        <w:ind w:left="2880" w:hanging="720"/>
      </w:pPr>
    </w:p>
    <w:p w14:paraId="1083E21A" w14:textId="77777777" w:rsidR="00AD24B5" w:rsidRPr="003B4362" w:rsidRDefault="00AD24B5" w:rsidP="00AD24B5">
      <w:pPr>
        <w:widowControl w:val="0"/>
        <w:suppressAutoHyphens/>
        <w:ind w:left="2880" w:hanging="720"/>
      </w:pPr>
      <w:r w:rsidRPr="003B4362">
        <w:t>C)</w:t>
      </w:r>
      <w:r w:rsidRPr="003B4362">
        <w:tab/>
        <w:t xml:space="preserve">Liquid-Liquid Extraction, Gas Chromatography, Electron Capture </w:t>
      </w:r>
      <w:r w:rsidRPr="003B4362">
        <w:lastRenderedPageBreak/>
        <w:t>Detector.  USEPA 551.1 (95).</w:t>
      </w:r>
    </w:p>
    <w:p w14:paraId="2E85C847" w14:textId="77777777" w:rsidR="00AD24B5" w:rsidRDefault="00AD24B5" w:rsidP="00AD24B5">
      <w:pPr>
        <w:widowControl w:val="0"/>
        <w:suppressAutoHyphens/>
        <w:ind w:left="2160" w:hanging="720"/>
      </w:pPr>
    </w:p>
    <w:p w14:paraId="5D61148C" w14:textId="77777777" w:rsidR="00AD24B5" w:rsidRPr="003B4362" w:rsidRDefault="00AD24B5" w:rsidP="00AD24B5">
      <w:pPr>
        <w:widowControl w:val="0"/>
        <w:suppressAutoHyphens/>
        <w:ind w:left="2160" w:hanging="720"/>
      </w:pPr>
      <w:r w:rsidRPr="003B4362">
        <w:t>11)</w:t>
      </w:r>
      <w:r w:rsidRPr="003B4362">
        <w:tab/>
      </w:r>
      <w:bookmarkStart w:id="3826" w:name="_Hlk14274254"/>
      <w:r w:rsidRPr="003B4362">
        <w:t>Di(2-ethylhexyl)adipate</w:t>
      </w:r>
      <w:bookmarkEnd w:id="3826"/>
    </w:p>
    <w:p w14:paraId="705E2702" w14:textId="77777777" w:rsidR="00AD24B5" w:rsidRDefault="00AD24B5" w:rsidP="00AD24B5">
      <w:pPr>
        <w:widowControl w:val="0"/>
        <w:suppressAutoHyphens/>
        <w:ind w:left="2880" w:hanging="720"/>
      </w:pPr>
    </w:p>
    <w:p w14:paraId="670B63FF" w14:textId="77777777" w:rsidR="00AD24B5" w:rsidRPr="003B4362" w:rsidRDefault="00AD24B5" w:rsidP="00AD24B5">
      <w:pPr>
        <w:widowControl w:val="0"/>
        <w:suppressAutoHyphens/>
        <w:ind w:left="2880" w:hanging="720"/>
      </w:pPr>
      <w:r w:rsidRPr="003B4362">
        <w:t>A)</w:t>
      </w:r>
      <w:r w:rsidRPr="003B4362">
        <w:tab/>
      </w:r>
      <w:bookmarkStart w:id="3827" w:name="_Hlk14274294"/>
      <w:r w:rsidRPr="003B4362">
        <w:t>Liquid-Liquid or Liquid-Solid Extraction and Gas Chromatography with Photoionization Detection</w:t>
      </w:r>
      <w:bookmarkEnd w:id="3827"/>
      <w:r w:rsidRPr="003B4362">
        <w:t xml:space="preserve">.  </w:t>
      </w:r>
      <w:bookmarkStart w:id="3828" w:name="_Hlk14274400"/>
      <w:r w:rsidRPr="003B4362">
        <w:t>USEPA 506 (95)</w:t>
      </w:r>
      <w:bookmarkEnd w:id="3828"/>
      <w:r w:rsidRPr="003B4362">
        <w:t>.</w:t>
      </w:r>
    </w:p>
    <w:p w14:paraId="3B08199C" w14:textId="77777777" w:rsidR="00AD24B5" w:rsidRDefault="00AD24B5" w:rsidP="00AD24B5">
      <w:pPr>
        <w:widowControl w:val="0"/>
        <w:suppressAutoHyphens/>
        <w:ind w:left="2880" w:hanging="720"/>
      </w:pPr>
    </w:p>
    <w:p w14:paraId="40CB45B2" w14:textId="77777777" w:rsidR="00AD24B5" w:rsidRPr="003B4362" w:rsidRDefault="00AD24B5" w:rsidP="00AD24B5">
      <w:pPr>
        <w:widowControl w:val="0"/>
        <w:suppressAutoHyphens/>
        <w:ind w:left="2880" w:hanging="720"/>
      </w:pPr>
      <w:r w:rsidRPr="003B4362">
        <w:t>B)</w:t>
      </w:r>
      <w:r w:rsidRPr="003B4362">
        <w:tab/>
      </w:r>
      <w:bookmarkStart w:id="3829" w:name="_Hlk14274314"/>
      <w:r w:rsidRPr="003B4362">
        <w:t>Liquid-Solid Extraction and Capillary Column Gas Chromatography-Mass Spectrometry</w:t>
      </w:r>
      <w:bookmarkEnd w:id="3829"/>
      <w:r w:rsidRPr="003B4362">
        <w:t xml:space="preserve">.  </w:t>
      </w:r>
      <w:bookmarkStart w:id="3830" w:name="_Hlk14274416"/>
      <w:r w:rsidRPr="003B4362">
        <w:t>USEPA 525.2 (95)</w:t>
      </w:r>
      <w:bookmarkEnd w:id="3830"/>
      <w:r w:rsidRPr="003B4362">
        <w:t>.</w:t>
      </w:r>
    </w:p>
    <w:p w14:paraId="513D9734" w14:textId="77777777" w:rsidR="00AD24B5" w:rsidRDefault="00AD24B5" w:rsidP="00AD24B5">
      <w:pPr>
        <w:widowControl w:val="0"/>
        <w:suppressAutoHyphens/>
        <w:ind w:left="2880" w:hanging="720"/>
      </w:pPr>
    </w:p>
    <w:p w14:paraId="42DE820D" w14:textId="77777777" w:rsidR="00AD24B5" w:rsidRPr="003B4362" w:rsidRDefault="00AD24B5" w:rsidP="00AD24B5">
      <w:pPr>
        <w:widowControl w:val="0"/>
        <w:suppressAutoHyphens/>
        <w:ind w:left="2880" w:hanging="720"/>
      </w:pPr>
      <w:r w:rsidRPr="003B4362">
        <w:t>C)</w:t>
      </w:r>
      <w:r w:rsidRPr="003B4362">
        <w:tab/>
      </w:r>
      <w:bookmarkStart w:id="3831" w:name="_Hlk14274335"/>
      <w:r w:rsidRPr="003B4362">
        <w:t>Solid Phase Extraction and Capillary Column Gas Chromatography-Mass Spectrometry</w:t>
      </w:r>
      <w:bookmarkEnd w:id="3831"/>
      <w:r w:rsidRPr="003B4362">
        <w:t xml:space="preserve">.  </w:t>
      </w:r>
      <w:bookmarkStart w:id="3832" w:name="_Hlk14274433"/>
      <w:r w:rsidRPr="003B4362">
        <w:t>USEPA 525.3 (12)</w:t>
      </w:r>
      <w:bookmarkEnd w:id="3832"/>
      <w:r w:rsidRPr="003B4362">
        <w:t>.</w:t>
      </w:r>
    </w:p>
    <w:p w14:paraId="6D301698" w14:textId="77777777" w:rsidR="00AD24B5" w:rsidRDefault="00AD24B5" w:rsidP="00AD24B5">
      <w:pPr>
        <w:widowControl w:val="0"/>
        <w:suppressAutoHyphens/>
        <w:ind w:left="2160" w:hanging="720"/>
      </w:pPr>
    </w:p>
    <w:p w14:paraId="68DFB84E" w14:textId="77777777" w:rsidR="00AD24B5" w:rsidRPr="003B4362" w:rsidRDefault="00AD24B5" w:rsidP="00AD24B5">
      <w:pPr>
        <w:widowControl w:val="0"/>
        <w:suppressAutoHyphens/>
        <w:ind w:left="2160" w:hanging="720"/>
      </w:pPr>
      <w:r w:rsidRPr="003B4362">
        <w:t>12)</w:t>
      </w:r>
      <w:r w:rsidRPr="003B4362">
        <w:tab/>
      </w:r>
      <w:bookmarkStart w:id="3833" w:name="_Hlk14274640"/>
      <w:r w:rsidRPr="003B4362">
        <w:t>Di(2-ethylhexyl)phthalate</w:t>
      </w:r>
      <w:bookmarkEnd w:id="3833"/>
    </w:p>
    <w:p w14:paraId="69AE8889" w14:textId="77777777" w:rsidR="00AD24B5" w:rsidRDefault="00AD24B5" w:rsidP="00AD24B5">
      <w:pPr>
        <w:widowControl w:val="0"/>
        <w:suppressAutoHyphens/>
        <w:ind w:left="2880" w:hanging="720"/>
      </w:pPr>
    </w:p>
    <w:p w14:paraId="67B8E7CD" w14:textId="77777777" w:rsidR="00AD24B5" w:rsidRPr="003B4362" w:rsidRDefault="00AD24B5" w:rsidP="00AD24B5">
      <w:pPr>
        <w:widowControl w:val="0"/>
        <w:suppressAutoHyphens/>
        <w:ind w:left="2880" w:hanging="720"/>
      </w:pPr>
      <w:r w:rsidRPr="003B4362">
        <w:t>A)</w:t>
      </w:r>
      <w:r w:rsidRPr="003B4362">
        <w:tab/>
        <w:t>Liquid-Liquid or Liquid-Solid Extraction and Gas Chromatography with Photoionization Detection.  USEPA 506 (95).</w:t>
      </w:r>
    </w:p>
    <w:p w14:paraId="3BA1A33A" w14:textId="77777777" w:rsidR="00AD24B5" w:rsidRDefault="00AD24B5" w:rsidP="00AD24B5">
      <w:pPr>
        <w:widowControl w:val="0"/>
        <w:suppressAutoHyphens/>
        <w:ind w:left="2880" w:hanging="720"/>
      </w:pPr>
    </w:p>
    <w:p w14:paraId="42FFB64C" w14:textId="77777777" w:rsidR="00AD24B5" w:rsidRPr="003B4362" w:rsidRDefault="00AD24B5" w:rsidP="00AD24B5">
      <w:pPr>
        <w:widowControl w:val="0"/>
        <w:suppressAutoHyphens/>
        <w:ind w:left="2880" w:hanging="720"/>
      </w:pPr>
      <w:r w:rsidRPr="003B4362">
        <w:t>B)</w:t>
      </w:r>
      <w:r w:rsidRPr="003B4362">
        <w:tab/>
        <w:t>Liquid-Solid Extraction and Capillary Column Gas Chromatography-Mass Spectrometry.  USEPA 525.2 (95).</w:t>
      </w:r>
    </w:p>
    <w:p w14:paraId="67014D5C" w14:textId="77777777" w:rsidR="00AD24B5" w:rsidRDefault="00AD24B5" w:rsidP="00AD24B5">
      <w:pPr>
        <w:widowControl w:val="0"/>
        <w:suppressAutoHyphens/>
        <w:ind w:left="2880" w:hanging="720"/>
      </w:pPr>
    </w:p>
    <w:p w14:paraId="3801B4C3" w14:textId="77777777" w:rsidR="00AD24B5" w:rsidRPr="003B4362" w:rsidRDefault="00AD24B5" w:rsidP="00AD24B5">
      <w:pPr>
        <w:widowControl w:val="0"/>
        <w:suppressAutoHyphens/>
        <w:ind w:left="2880" w:hanging="720"/>
      </w:pPr>
      <w:r w:rsidRPr="003B4362">
        <w:t>C)</w:t>
      </w:r>
      <w:r w:rsidRPr="003B4362">
        <w:tab/>
        <w:t>Solid Phase Extraction and Capillary Column Gas Chromatography-Mass Spectrometry.  USEPA 525.3 (12).</w:t>
      </w:r>
    </w:p>
    <w:p w14:paraId="34807DB9" w14:textId="77777777" w:rsidR="00AD24B5" w:rsidRDefault="00AD24B5" w:rsidP="00AD24B5">
      <w:pPr>
        <w:widowControl w:val="0"/>
        <w:suppressAutoHyphens/>
        <w:ind w:left="2160" w:hanging="720"/>
      </w:pPr>
    </w:p>
    <w:p w14:paraId="4063F6BA" w14:textId="77777777" w:rsidR="00AD24B5" w:rsidRPr="003B4362" w:rsidRDefault="00AD24B5" w:rsidP="00AD24B5">
      <w:pPr>
        <w:widowControl w:val="0"/>
        <w:suppressAutoHyphens/>
        <w:ind w:left="2160" w:hanging="720"/>
      </w:pPr>
      <w:r w:rsidRPr="003B4362">
        <w:t>13)</w:t>
      </w:r>
      <w:r w:rsidRPr="003B4362">
        <w:tab/>
      </w:r>
      <w:bookmarkStart w:id="3834" w:name="_Hlk14274822"/>
      <w:r w:rsidRPr="003B4362">
        <w:t>Dinoseb</w:t>
      </w:r>
      <w:bookmarkEnd w:id="3834"/>
    </w:p>
    <w:p w14:paraId="55FD1336" w14:textId="77777777" w:rsidR="00AD24B5" w:rsidRDefault="00AD24B5" w:rsidP="00AD24B5">
      <w:pPr>
        <w:widowControl w:val="0"/>
        <w:suppressAutoHyphens/>
        <w:ind w:left="2880" w:hanging="720"/>
      </w:pPr>
    </w:p>
    <w:p w14:paraId="68D6F00E" w14:textId="77777777" w:rsidR="00AD24B5" w:rsidRPr="003B4362" w:rsidRDefault="00AD24B5" w:rsidP="00AD24B5">
      <w:pPr>
        <w:widowControl w:val="0"/>
        <w:suppressAutoHyphens/>
        <w:ind w:left="2880" w:hanging="720"/>
      </w:pPr>
      <w:r w:rsidRPr="003B4362">
        <w:t>A)</w:t>
      </w:r>
      <w:r w:rsidRPr="003B4362">
        <w:tab/>
        <w:t>Liquid-Liquid Extraction Gas Chromatography with Electron Capture Detector.  USEPA 515.1 (89) or USEPA 515.3 (96).</w:t>
      </w:r>
    </w:p>
    <w:p w14:paraId="18C44971" w14:textId="77777777" w:rsidR="00AD24B5" w:rsidRDefault="00AD24B5" w:rsidP="00AD24B5">
      <w:pPr>
        <w:widowControl w:val="0"/>
        <w:suppressAutoHyphens/>
        <w:ind w:left="2880" w:hanging="720"/>
      </w:pPr>
    </w:p>
    <w:p w14:paraId="3D422D4C" w14:textId="77777777" w:rsidR="00AD24B5" w:rsidRPr="003B4362" w:rsidRDefault="00AD24B5" w:rsidP="00AD24B5">
      <w:pPr>
        <w:widowControl w:val="0"/>
        <w:suppressAutoHyphens/>
        <w:ind w:left="2880" w:hanging="720"/>
      </w:pPr>
      <w:r w:rsidRPr="003B4362">
        <w:t>B)</w:t>
      </w:r>
      <w:r w:rsidRPr="003B4362">
        <w:tab/>
      </w:r>
      <w:bookmarkStart w:id="3835" w:name="_Hlk14274939"/>
      <w:r w:rsidRPr="003B4362">
        <w:t>Liquid-Solid Extraction Gas Chromatography with Electron Capture Detector</w:t>
      </w:r>
      <w:bookmarkEnd w:id="3835"/>
      <w:r w:rsidRPr="003B4362">
        <w:t xml:space="preserve">.  </w:t>
      </w:r>
      <w:bookmarkStart w:id="3836" w:name="_Hlk14274912"/>
      <w:r w:rsidRPr="003B4362">
        <w:t>USEPA 515.2 (95)</w:t>
      </w:r>
      <w:bookmarkEnd w:id="3836"/>
      <w:r w:rsidRPr="003B4362">
        <w:t>.</w:t>
      </w:r>
    </w:p>
    <w:p w14:paraId="2ED08DC2" w14:textId="77777777" w:rsidR="00AD24B5" w:rsidRDefault="00AD24B5" w:rsidP="00AD24B5">
      <w:pPr>
        <w:widowControl w:val="0"/>
        <w:suppressAutoHyphens/>
        <w:ind w:left="2880" w:hanging="720"/>
      </w:pPr>
    </w:p>
    <w:p w14:paraId="11DB1A74" w14:textId="77777777" w:rsidR="00AD24B5" w:rsidRPr="003B4362" w:rsidRDefault="00AD24B5" w:rsidP="00AD24B5">
      <w:pPr>
        <w:widowControl w:val="0"/>
        <w:suppressAutoHyphens/>
        <w:ind w:left="2880" w:hanging="720"/>
      </w:pPr>
      <w:r w:rsidRPr="003B4362">
        <w:t>C)</w:t>
      </w:r>
      <w:r w:rsidRPr="003B4362">
        <w:tab/>
        <w:t>Liquid-Liquid Microextraction, Derivatization, and Fast Gas Chromatography with Electron Capture Detector.  SM 6640 B (01), SM 6640 B (06), or USEPA 515.4 (00).</w:t>
      </w:r>
    </w:p>
    <w:p w14:paraId="1D9298DA" w14:textId="77777777" w:rsidR="00AD24B5" w:rsidRDefault="00AD24B5" w:rsidP="00AD24B5">
      <w:pPr>
        <w:widowControl w:val="0"/>
        <w:suppressAutoHyphens/>
        <w:ind w:left="2880" w:hanging="720"/>
      </w:pPr>
    </w:p>
    <w:p w14:paraId="1BFEAC54" w14:textId="77777777" w:rsidR="00AD24B5" w:rsidRPr="003B4362" w:rsidRDefault="00AD24B5" w:rsidP="00AD24B5">
      <w:pPr>
        <w:widowControl w:val="0"/>
        <w:suppressAutoHyphens/>
        <w:ind w:left="2880" w:hanging="720"/>
      </w:pPr>
      <w:r w:rsidRPr="003B4362">
        <w:t>D)</w:t>
      </w:r>
      <w:r w:rsidRPr="003B4362">
        <w:tab/>
        <w:t>High Performance Liquid Chromatography with Photodiode Array Ultraviolet Detector.  USEPA 555 (92).</w:t>
      </w:r>
    </w:p>
    <w:p w14:paraId="1425D0C9" w14:textId="77777777" w:rsidR="00AD24B5" w:rsidRDefault="00AD24B5" w:rsidP="00AD24B5">
      <w:pPr>
        <w:widowControl w:val="0"/>
        <w:suppressAutoHyphens/>
        <w:ind w:left="2160" w:hanging="720"/>
      </w:pPr>
    </w:p>
    <w:p w14:paraId="09C76053" w14:textId="77777777" w:rsidR="00AD24B5" w:rsidRPr="003B4362" w:rsidRDefault="00AD24B5" w:rsidP="00AD24B5">
      <w:pPr>
        <w:widowControl w:val="0"/>
        <w:suppressAutoHyphens/>
        <w:ind w:left="2160" w:hanging="720"/>
      </w:pPr>
      <w:r w:rsidRPr="003B4362">
        <w:t>14)</w:t>
      </w:r>
      <w:r w:rsidRPr="003B4362">
        <w:tab/>
      </w:r>
      <w:bookmarkStart w:id="3837" w:name="_Hlk14275256"/>
      <w:r w:rsidRPr="003B4362">
        <w:t>Diquat</w:t>
      </w:r>
      <w:bookmarkEnd w:id="3837"/>
      <w:r w:rsidRPr="003B4362">
        <w:t xml:space="preserve">.  </w:t>
      </w:r>
      <w:bookmarkStart w:id="3838" w:name="_Hlk14275282"/>
      <w:r w:rsidRPr="003B4362">
        <w:t>Liquid-Solid Extraction and HPLC with Ultraviolet Detection</w:t>
      </w:r>
      <w:bookmarkEnd w:id="3838"/>
      <w:r w:rsidRPr="003B4362">
        <w:t xml:space="preserve">.  </w:t>
      </w:r>
      <w:bookmarkStart w:id="3839" w:name="_Hlk14275367"/>
      <w:r w:rsidRPr="003B4362">
        <w:t>USEPA 549.2 (97)</w:t>
      </w:r>
      <w:bookmarkEnd w:id="3839"/>
      <w:r w:rsidRPr="003B4362">
        <w:t>.</w:t>
      </w:r>
    </w:p>
    <w:p w14:paraId="40C7178F" w14:textId="77777777" w:rsidR="00AD24B5" w:rsidRDefault="00AD24B5" w:rsidP="00AD24B5">
      <w:pPr>
        <w:widowControl w:val="0"/>
        <w:suppressAutoHyphens/>
        <w:ind w:left="2160" w:hanging="720"/>
      </w:pPr>
    </w:p>
    <w:p w14:paraId="30DFA6C3" w14:textId="77777777" w:rsidR="00AD24B5" w:rsidRPr="003B4362" w:rsidRDefault="00AD24B5" w:rsidP="00AD24B5">
      <w:pPr>
        <w:widowControl w:val="0"/>
        <w:suppressAutoHyphens/>
        <w:ind w:left="2160" w:hanging="720"/>
      </w:pPr>
      <w:r w:rsidRPr="003B4362">
        <w:t>15)</w:t>
      </w:r>
      <w:r w:rsidRPr="003B4362">
        <w:tab/>
      </w:r>
      <w:bookmarkStart w:id="3840" w:name="_Hlk14275450"/>
      <w:r w:rsidRPr="003B4362">
        <w:t>Endothall</w:t>
      </w:r>
      <w:bookmarkEnd w:id="3840"/>
      <w:r w:rsidRPr="003B4362">
        <w:t xml:space="preserve">.  </w:t>
      </w:r>
      <w:bookmarkStart w:id="3841" w:name="_Hlk14275486"/>
      <w:r w:rsidRPr="003B4362">
        <w:t xml:space="preserve">Ion-Exchange Extraction, Acidic Methanol Methylation and </w:t>
      </w:r>
      <w:r w:rsidRPr="003B4362">
        <w:lastRenderedPageBreak/>
        <w:t>Gas Chromatography/Mass Spectrometry</w:t>
      </w:r>
      <w:bookmarkEnd w:id="3841"/>
      <w:r w:rsidRPr="003B4362">
        <w:t xml:space="preserve">.  </w:t>
      </w:r>
      <w:bookmarkStart w:id="3842" w:name="_Hlk14275522"/>
      <w:r w:rsidRPr="003B4362">
        <w:t>USEPA 548.1 (92)</w:t>
      </w:r>
      <w:bookmarkEnd w:id="3842"/>
      <w:r w:rsidRPr="003B4362">
        <w:t>.</w:t>
      </w:r>
    </w:p>
    <w:p w14:paraId="0F0D4A34" w14:textId="77777777" w:rsidR="00AD24B5" w:rsidRDefault="00AD24B5" w:rsidP="00AD24B5">
      <w:pPr>
        <w:widowControl w:val="0"/>
        <w:suppressAutoHyphens/>
        <w:ind w:left="2160" w:hanging="720"/>
      </w:pPr>
    </w:p>
    <w:p w14:paraId="0BE46BAF" w14:textId="77777777" w:rsidR="00AD24B5" w:rsidRPr="003B4362" w:rsidRDefault="00AD24B5" w:rsidP="00AD24B5">
      <w:pPr>
        <w:widowControl w:val="0"/>
        <w:suppressAutoHyphens/>
        <w:ind w:left="2160" w:hanging="720"/>
      </w:pPr>
      <w:r w:rsidRPr="003B4362">
        <w:t>16)</w:t>
      </w:r>
      <w:r w:rsidRPr="003B4362">
        <w:tab/>
      </w:r>
      <w:bookmarkStart w:id="3843" w:name="_Hlk14275669"/>
      <w:r w:rsidRPr="003B4362">
        <w:t>Endrin</w:t>
      </w:r>
      <w:bookmarkEnd w:id="3843"/>
    </w:p>
    <w:p w14:paraId="5503D44B" w14:textId="77777777" w:rsidR="00AD24B5" w:rsidRDefault="00AD24B5" w:rsidP="00AD24B5">
      <w:pPr>
        <w:widowControl w:val="0"/>
        <w:suppressAutoHyphens/>
        <w:ind w:left="2880" w:hanging="720"/>
      </w:pPr>
    </w:p>
    <w:p w14:paraId="0EF4122C"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4469DC0E" w14:textId="77777777" w:rsidR="00AD24B5" w:rsidRDefault="00AD24B5" w:rsidP="00AD24B5">
      <w:pPr>
        <w:widowControl w:val="0"/>
        <w:suppressAutoHyphens/>
        <w:ind w:left="2880" w:hanging="720"/>
      </w:pPr>
    </w:p>
    <w:p w14:paraId="2C2BD629" w14:textId="77777777" w:rsidR="00AD24B5" w:rsidRPr="003B4362" w:rsidRDefault="00AD24B5" w:rsidP="00AD24B5">
      <w:pPr>
        <w:widowControl w:val="0"/>
        <w:suppressAutoHyphens/>
        <w:ind w:left="2880" w:hanging="720"/>
      </w:pPr>
      <w:r w:rsidRPr="003B4362">
        <w:t>B)</w:t>
      </w:r>
      <w:r w:rsidRPr="003B4362">
        <w:tab/>
      </w:r>
      <w:bookmarkStart w:id="3844" w:name="_Hlk14275874"/>
      <w:r w:rsidRPr="003B4362">
        <w:t>Gas Chromatography with Electron Capture Detector</w:t>
      </w:r>
      <w:bookmarkEnd w:id="3844"/>
      <w:r w:rsidRPr="003B4362">
        <w:t xml:space="preserve">.  </w:t>
      </w:r>
      <w:bookmarkStart w:id="3845" w:name="_Hlk14275917"/>
      <w:r w:rsidRPr="003B4362">
        <w:t>USEPA 508 (95)</w:t>
      </w:r>
      <w:bookmarkEnd w:id="3845"/>
      <w:r w:rsidRPr="003B4362">
        <w:t>.</w:t>
      </w:r>
    </w:p>
    <w:p w14:paraId="28C3AAE7" w14:textId="77777777" w:rsidR="00AD24B5" w:rsidRDefault="00AD24B5" w:rsidP="00AD24B5">
      <w:pPr>
        <w:widowControl w:val="0"/>
        <w:suppressAutoHyphens/>
        <w:ind w:left="2880" w:hanging="720"/>
      </w:pPr>
    </w:p>
    <w:p w14:paraId="758028BF"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50A81681" w14:textId="77777777" w:rsidR="00AD24B5" w:rsidRDefault="00AD24B5" w:rsidP="00AD24B5">
      <w:pPr>
        <w:widowControl w:val="0"/>
        <w:suppressAutoHyphens/>
        <w:ind w:left="2880" w:hanging="720"/>
      </w:pPr>
    </w:p>
    <w:p w14:paraId="5B743B16" w14:textId="77777777" w:rsidR="00AD24B5" w:rsidRPr="003B4362" w:rsidRDefault="00AD24B5" w:rsidP="00AD24B5">
      <w:pPr>
        <w:widowControl w:val="0"/>
        <w:suppressAutoHyphens/>
        <w:ind w:left="2880" w:hanging="720"/>
      </w:pPr>
      <w:r w:rsidRPr="003B4362">
        <w:t>D)</w:t>
      </w:r>
      <w:r w:rsidRPr="003B4362">
        <w:tab/>
      </w:r>
      <w:bookmarkStart w:id="3846" w:name="_Hlk14276276"/>
      <w:r w:rsidRPr="003B4362">
        <w:t>Liquid-Solid Extraction and Capillary Column Gas Chromatography-Mass Spectrometry</w:t>
      </w:r>
      <w:bookmarkEnd w:id="3846"/>
      <w:r w:rsidRPr="003B4362">
        <w:t>.  USEPA 525.2 (95).</w:t>
      </w:r>
    </w:p>
    <w:p w14:paraId="150BAE3C" w14:textId="77777777" w:rsidR="00AD24B5" w:rsidRDefault="00AD24B5" w:rsidP="00AD24B5">
      <w:pPr>
        <w:widowControl w:val="0"/>
        <w:suppressAutoHyphens/>
        <w:ind w:left="2880" w:hanging="720"/>
      </w:pPr>
    </w:p>
    <w:p w14:paraId="7C27F535"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23F6E20D" w14:textId="77777777" w:rsidR="00AD24B5" w:rsidRDefault="00AD24B5" w:rsidP="00AD24B5">
      <w:pPr>
        <w:widowControl w:val="0"/>
        <w:suppressAutoHyphens/>
        <w:ind w:left="2880" w:hanging="720"/>
      </w:pPr>
    </w:p>
    <w:p w14:paraId="514AC07F"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3BC7B5AF" w14:textId="77777777" w:rsidR="00AD24B5" w:rsidRDefault="00AD24B5" w:rsidP="00AD24B5">
      <w:pPr>
        <w:widowControl w:val="0"/>
        <w:suppressAutoHyphens/>
        <w:ind w:left="2160" w:hanging="720"/>
      </w:pPr>
    </w:p>
    <w:p w14:paraId="7791C37A" w14:textId="77777777" w:rsidR="00AD24B5" w:rsidRPr="003B4362" w:rsidRDefault="00AD24B5" w:rsidP="00AD24B5">
      <w:pPr>
        <w:widowControl w:val="0"/>
        <w:suppressAutoHyphens/>
        <w:ind w:left="2160" w:hanging="720"/>
      </w:pPr>
      <w:r w:rsidRPr="003B4362">
        <w:t>17)</w:t>
      </w:r>
      <w:r w:rsidRPr="003B4362">
        <w:tab/>
      </w:r>
      <w:bookmarkStart w:id="3847" w:name="_Hlk14278029"/>
      <w:r w:rsidRPr="003B4362">
        <w:t>Ethylene Dibromide (EDB)</w:t>
      </w:r>
      <w:bookmarkEnd w:id="3847"/>
    </w:p>
    <w:p w14:paraId="2E051569" w14:textId="77777777" w:rsidR="00AD24B5" w:rsidRDefault="00AD24B5" w:rsidP="00AD24B5">
      <w:pPr>
        <w:widowControl w:val="0"/>
        <w:suppressAutoHyphens/>
        <w:ind w:left="2880" w:hanging="720"/>
      </w:pPr>
    </w:p>
    <w:p w14:paraId="14131AD0" w14:textId="77777777" w:rsidR="00AD24B5" w:rsidRPr="003B4362" w:rsidRDefault="00AD24B5" w:rsidP="00AD24B5">
      <w:pPr>
        <w:widowControl w:val="0"/>
        <w:suppressAutoHyphens/>
        <w:ind w:left="2880" w:hanging="720"/>
      </w:pPr>
      <w:r w:rsidRPr="003B4362">
        <w:t>A)</w:t>
      </w:r>
      <w:r w:rsidRPr="003B4362">
        <w:tab/>
        <w:t>Microextraction and Gas Chromatography.  USEPA 504.1 (95).</w:t>
      </w:r>
    </w:p>
    <w:p w14:paraId="3BF863D9" w14:textId="77777777" w:rsidR="00AD24B5" w:rsidRDefault="00AD24B5" w:rsidP="00AD24B5">
      <w:pPr>
        <w:widowControl w:val="0"/>
        <w:suppressAutoHyphens/>
        <w:ind w:left="2880" w:hanging="720"/>
      </w:pPr>
    </w:p>
    <w:p w14:paraId="431B3DD8"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524.3 (09).</w:t>
      </w:r>
    </w:p>
    <w:p w14:paraId="07206249" w14:textId="77777777" w:rsidR="00AD24B5" w:rsidRDefault="00AD24B5" w:rsidP="00AD24B5">
      <w:pPr>
        <w:widowControl w:val="0"/>
        <w:suppressAutoHyphens/>
        <w:ind w:left="2880" w:hanging="720"/>
      </w:pPr>
    </w:p>
    <w:p w14:paraId="006743B2" w14:textId="77777777" w:rsidR="00AD24B5" w:rsidRPr="003B4362" w:rsidRDefault="00AD24B5" w:rsidP="00AD24B5">
      <w:pPr>
        <w:widowControl w:val="0"/>
        <w:suppressAutoHyphens/>
        <w:ind w:left="2880" w:hanging="720"/>
      </w:pPr>
      <w:r w:rsidRPr="003B4362">
        <w:t>C)</w:t>
      </w:r>
      <w:r w:rsidRPr="003B4362">
        <w:tab/>
        <w:t>Liquid-Liquid Extraction, Gas Chromatography, Electron Capture Detector.  USEPA 551.1 (95).</w:t>
      </w:r>
    </w:p>
    <w:p w14:paraId="149CA77C" w14:textId="77777777" w:rsidR="00AD24B5" w:rsidRDefault="00AD24B5" w:rsidP="00AD24B5">
      <w:pPr>
        <w:widowControl w:val="0"/>
        <w:suppressAutoHyphens/>
        <w:ind w:left="2160" w:hanging="720"/>
      </w:pPr>
    </w:p>
    <w:p w14:paraId="58D1ECC8" w14:textId="77777777" w:rsidR="00AD24B5" w:rsidRPr="003B4362" w:rsidRDefault="00AD24B5" w:rsidP="00AD24B5">
      <w:pPr>
        <w:widowControl w:val="0"/>
        <w:suppressAutoHyphens/>
        <w:ind w:left="2160" w:hanging="720"/>
      </w:pPr>
      <w:r w:rsidRPr="003B4362">
        <w:t>18)</w:t>
      </w:r>
      <w:r w:rsidRPr="003B4362">
        <w:tab/>
      </w:r>
      <w:bookmarkStart w:id="3848" w:name="_Hlk14278690"/>
      <w:r w:rsidRPr="003B4362">
        <w:t>Glyphosate</w:t>
      </w:r>
      <w:bookmarkEnd w:id="3848"/>
    </w:p>
    <w:p w14:paraId="0875875D" w14:textId="77777777" w:rsidR="00AD24B5" w:rsidRDefault="00AD24B5" w:rsidP="00AD24B5">
      <w:pPr>
        <w:widowControl w:val="0"/>
        <w:suppressAutoHyphens/>
        <w:ind w:left="2880" w:hanging="720"/>
      </w:pPr>
    </w:p>
    <w:p w14:paraId="1FD6A426" w14:textId="77777777" w:rsidR="00AD24B5" w:rsidRPr="003B4362" w:rsidRDefault="00AD24B5" w:rsidP="00AD24B5">
      <w:pPr>
        <w:widowControl w:val="0"/>
        <w:suppressAutoHyphens/>
        <w:ind w:left="2880" w:hanging="720"/>
      </w:pPr>
      <w:r w:rsidRPr="003B4362">
        <w:t>A)</w:t>
      </w:r>
      <w:r w:rsidRPr="003B4362">
        <w:tab/>
      </w:r>
      <w:bookmarkStart w:id="3849" w:name="_Hlk14278813"/>
      <w:r w:rsidRPr="003B4362">
        <w:t>Direct Aqueous Injection HPLC, Post-Column Derivatization, and Fluorescence Detection</w:t>
      </w:r>
      <w:bookmarkEnd w:id="3849"/>
      <w:r w:rsidRPr="003B4362">
        <w:t xml:space="preserve">.  </w:t>
      </w:r>
      <w:bookmarkStart w:id="3850" w:name="_Hlk14278835"/>
      <w:r w:rsidRPr="003B4362">
        <w:t>USEPA 547 (90)</w:t>
      </w:r>
      <w:bookmarkEnd w:id="3850"/>
      <w:r w:rsidRPr="003B4362">
        <w:t>.</w:t>
      </w:r>
    </w:p>
    <w:p w14:paraId="08640379" w14:textId="77777777" w:rsidR="00AD24B5" w:rsidRDefault="00AD24B5" w:rsidP="00AD24B5">
      <w:pPr>
        <w:widowControl w:val="0"/>
        <w:suppressAutoHyphens/>
        <w:ind w:left="2880" w:hanging="720"/>
      </w:pPr>
    </w:p>
    <w:p w14:paraId="7FE5FF3C" w14:textId="77777777" w:rsidR="00AD24B5" w:rsidRPr="003B4362" w:rsidRDefault="00AD24B5" w:rsidP="00AD24B5">
      <w:pPr>
        <w:widowControl w:val="0"/>
        <w:suppressAutoHyphens/>
        <w:ind w:left="2880" w:hanging="720"/>
      </w:pPr>
      <w:r w:rsidRPr="003B4362">
        <w:t>B)</w:t>
      </w:r>
      <w:r w:rsidRPr="003B4362">
        <w:tab/>
      </w:r>
      <w:bookmarkStart w:id="3851" w:name="_Hlk14278896"/>
      <w:r w:rsidRPr="003B4362">
        <w:t>Anion- or Cation-Exchange HPLC and Post-Column Derivatization with Ultraviolet Fluorescence Detector</w:t>
      </w:r>
      <w:bookmarkEnd w:id="3851"/>
      <w:r w:rsidRPr="003B4362">
        <w:t xml:space="preserve">.  </w:t>
      </w:r>
      <w:bookmarkStart w:id="3852" w:name="_Hlk14278928"/>
      <w:r w:rsidRPr="003B4362">
        <w:t>SM 6651 B (91), SM 6651 B (96), SM 6651 B (00), or SM 6651 B (05)</w:t>
      </w:r>
      <w:bookmarkEnd w:id="3852"/>
      <w:r w:rsidRPr="003B4362">
        <w:t>.</w:t>
      </w:r>
    </w:p>
    <w:p w14:paraId="357DAF89" w14:textId="77777777" w:rsidR="00AD24B5" w:rsidRDefault="00AD24B5" w:rsidP="00AD24B5">
      <w:pPr>
        <w:widowControl w:val="0"/>
        <w:suppressAutoHyphens/>
        <w:ind w:left="2160" w:hanging="720"/>
      </w:pPr>
    </w:p>
    <w:p w14:paraId="31C3F5A9" w14:textId="77777777" w:rsidR="00AD24B5" w:rsidRPr="003B4362" w:rsidRDefault="00AD24B5" w:rsidP="00AD24B5">
      <w:pPr>
        <w:widowControl w:val="0"/>
        <w:suppressAutoHyphens/>
        <w:ind w:left="2160" w:hanging="720"/>
      </w:pPr>
      <w:r w:rsidRPr="003B4362">
        <w:t>19)</w:t>
      </w:r>
      <w:r w:rsidRPr="003B4362">
        <w:tab/>
      </w:r>
      <w:bookmarkStart w:id="3853" w:name="_Hlk14279243"/>
      <w:r w:rsidRPr="003B4362">
        <w:t>Heptachlor</w:t>
      </w:r>
      <w:bookmarkEnd w:id="3853"/>
    </w:p>
    <w:p w14:paraId="45B41488" w14:textId="77777777" w:rsidR="00AD24B5" w:rsidRDefault="00AD24B5" w:rsidP="00AD24B5">
      <w:pPr>
        <w:widowControl w:val="0"/>
        <w:suppressAutoHyphens/>
        <w:ind w:left="2880" w:hanging="720"/>
      </w:pPr>
    </w:p>
    <w:p w14:paraId="288491D4"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00DB457D" w14:textId="77777777" w:rsidR="00AD24B5" w:rsidRDefault="00AD24B5" w:rsidP="00AD24B5">
      <w:pPr>
        <w:widowControl w:val="0"/>
        <w:suppressAutoHyphens/>
        <w:ind w:left="2880" w:hanging="720"/>
      </w:pPr>
    </w:p>
    <w:p w14:paraId="77058D38" w14:textId="77777777" w:rsidR="00AD24B5" w:rsidRPr="003B4362" w:rsidRDefault="00AD24B5" w:rsidP="00AD24B5">
      <w:pPr>
        <w:widowControl w:val="0"/>
        <w:suppressAutoHyphens/>
        <w:ind w:left="2880" w:hanging="720"/>
      </w:pPr>
      <w:r w:rsidRPr="003B4362">
        <w:t>B)</w:t>
      </w:r>
      <w:r w:rsidRPr="003B4362">
        <w:tab/>
      </w:r>
      <w:bookmarkStart w:id="3854" w:name="_Hlk14279284"/>
      <w:r w:rsidRPr="003B4362">
        <w:t>Gas Chromatography with Electron Capture Detector</w:t>
      </w:r>
      <w:bookmarkEnd w:id="3854"/>
      <w:r w:rsidRPr="003B4362">
        <w:t xml:space="preserve">.  USEPA </w:t>
      </w:r>
      <w:r w:rsidRPr="003B4362">
        <w:lastRenderedPageBreak/>
        <w:t>508 (95).</w:t>
      </w:r>
    </w:p>
    <w:p w14:paraId="2B07A21F" w14:textId="77777777" w:rsidR="00AD24B5" w:rsidRDefault="00AD24B5" w:rsidP="00AD24B5">
      <w:pPr>
        <w:widowControl w:val="0"/>
        <w:suppressAutoHyphens/>
        <w:ind w:left="2880" w:hanging="720"/>
      </w:pPr>
    </w:p>
    <w:p w14:paraId="5EE3392E"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4E158336" w14:textId="77777777" w:rsidR="00AD24B5" w:rsidRDefault="00AD24B5" w:rsidP="00AD24B5">
      <w:pPr>
        <w:widowControl w:val="0"/>
        <w:suppressAutoHyphens/>
        <w:ind w:left="2880" w:hanging="720"/>
      </w:pPr>
    </w:p>
    <w:p w14:paraId="2A577EDE"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79AAD2BA" w14:textId="77777777" w:rsidR="00AD24B5" w:rsidRDefault="00AD24B5" w:rsidP="00AD24B5">
      <w:pPr>
        <w:widowControl w:val="0"/>
        <w:suppressAutoHyphens/>
        <w:ind w:left="2880" w:hanging="720"/>
      </w:pPr>
    </w:p>
    <w:p w14:paraId="29631FBC"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5AC53401" w14:textId="77777777" w:rsidR="00AD24B5" w:rsidRDefault="00AD24B5" w:rsidP="00AD24B5">
      <w:pPr>
        <w:widowControl w:val="0"/>
        <w:suppressAutoHyphens/>
        <w:ind w:left="2880" w:hanging="720"/>
      </w:pPr>
    </w:p>
    <w:p w14:paraId="5A68F9DB"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08462B31" w14:textId="77777777" w:rsidR="00AD24B5" w:rsidRDefault="00AD24B5" w:rsidP="00AD24B5">
      <w:pPr>
        <w:widowControl w:val="0"/>
        <w:suppressAutoHyphens/>
        <w:ind w:left="2160" w:hanging="720"/>
      </w:pPr>
    </w:p>
    <w:p w14:paraId="06F3A81B" w14:textId="77777777" w:rsidR="00AD24B5" w:rsidRPr="003B4362" w:rsidRDefault="00AD24B5" w:rsidP="00AD24B5">
      <w:pPr>
        <w:widowControl w:val="0"/>
        <w:suppressAutoHyphens/>
        <w:ind w:left="2160" w:hanging="720"/>
      </w:pPr>
      <w:r w:rsidRPr="003B4362">
        <w:t>20)</w:t>
      </w:r>
      <w:r w:rsidRPr="003B4362">
        <w:tab/>
        <w:t>Heptachlor Epoxide</w:t>
      </w:r>
    </w:p>
    <w:p w14:paraId="4C84DB37" w14:textId="77777777" w:rsidR="00AD24B5" w:rsidRDefault="00AD24B5" w:rsidP="00AD24B5">
      <w:pPr>
        <w:widowControl w:val="0"/>
        <w:suppressAutoHyphens/>
        <w:ind w:left="2880" w:hanging="720"/>
      </w:pPr>
    </w:p>
    <w:p w14:paraId="1FDAAACB"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22D6F11C" w14:textId="77777777" w:rsidR="00AD24B5" w:rsidRDefault="00AD24B5" w:rsidP="00AD24B5">
      <w:pPr>
        <w:widowControl w:val="0"/>
        <w:suppressAutoHyphens/>
        <w:ind w:left="2880" w:hanging="720"/>
      </w:pPr>
    </w:p>
    <w:p w14:paraId="2AEC7DF7"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4DA92873" w14:textId="77777777" w:rsidR="00AD24B5" w:rsidRDefault="00AD24B5" w:rsidP="00AD24B5">
      <w:pPr>
        <w:widowControl w:val="0"/>
        <w:suppressAutoHyphens/>
        <w:ind w:left="2880" w:hanging="720"/>
      </w:pPr>
    </w:p>
    <w:p w14:paraId="6D8194B3"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1F327776" w14:textId="77777777" w:rsidR="00AD24B5" w:rsidRDefault="00AD24B5" w:rsidP="00AD24B5">
      <w:pPr>
        <w:widowControl w:val="0"/>
        <w:suppressAutoHyphens/>
        <w:ind w:left="2880" w:hanging="720"/>
      </w:pPr>
    </w:p>
    <w:p w14:paraId="6E1DBB03"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059C576E" w14:textId="77777777" w:rsidR="00AD24B5" w:rsidRDefault="00AD24B5" w:rsidP="00AD24B5">
      <w:pPr>
        <w:widowControl w:val="0"/>
        <w:suppressAutoHyphens/>
        <w:ind w:left="2880" w:hanging="720"/>
      </w:pPr>
    </w:p>
    <w:p w14:paraId="59D2DBD2"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0947DE5C" w14:textId="77777777" w:rsidR="00AD24B5" w:rsidRDefault="00AD24B5" w:rsidP="00AD24B5">
      <w:pPr>
        <w:widowControl w:val="0"/>
        <w:suppressAutoHyphens/>
        <w:ind w:left="2880" w:hanging="720"/>
      </w:pPr>
    </w:p>
    <w:p w14:paraId="252A2572"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5CEB5ED4" w14:textId="77777777" w:rsidR="00AD24B5" w:rsidRDefault="00AD24B5" w:rsidP="00AD24B5">
      <w:pPr>
        <w:widowControl w:val="0"/>
        <w:suppressAutoHyphens/>
        <w:ind w:left="2160" w:hanging="720"/>
      </w:pPr>
    </w:p>
    <w:p w14:paraId="4CA1D1BE" w14:textId="77777777" w:rsidR="00AD24B5" w:rsidRPr="003B4362" w:rsidRDefault="00AD24B5" w:rsidP="00AD24B5">
      <w:pPr>
        <w:widowControl w:val="0"/>
        <w:suppressAutoHyphens/>
        <w:ind w:left="2160" w:hanging="720"/>
      </w:pPr>
      <w:r w:rsidRPr="003B4362">
        <w:t>21)</w:t>
      </w:r>
      <w:r w:rsidRPr="003B4362">
        <w:tab/>
      </w:r>
      <w:bookmarkStart w:id="3855" w:name="_Hlk14279645"/>
      <w:r w:rsidRPr="003B4362">
        <w:t>Hexachlorobenzene</w:t>
      </w:r>
      <w:bookmarkEnd w:id="3855"/>
    </w:p>
    <w:p w14:paraId="76F840FC" w14:textId="77777777" w:rsidR="00AD24B5" w:rsidRDefault="00AD24B5" w:rsidP="00AD24B5">
      <w:pPr>
        <w:widowControl w:val="0"/>
        <w:suppressAutoHyphens/>
        <w:ind w:left="2880" w:hanging="720"/>
      </w:pPr>
    </w:p>
    <w:p w14:paraId="2CE1F105"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72E80ED3" w14:textId="77777777" w:rsidR="00AD24B5" w:rsidRDefault="00AD24B5" w:rsidP="00AD24B5">
      <w:pPr>
        <w:widowControl w:val="0"/>
        <w:suppressAutoHyphens/>
        <w:ind w:left="2880" w:hanging="720"/>
      </w:pPr>
    </w:p>
    <w:p w14:paraId="4B8DB5D4"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1685658D" w14:textId="77777777" w:rsidR="00AD24B5" w:rsidRDefault="00AD24B5" w:rsidP="00AD24B5">
      <w:pPr>
        <w:widowControl w:val="0"/>
        <w:suppressAutoHyphens/>
        <w:ind w:left="2880" w:hanging="720"/>
      </w:pPr>
    </w:p>
    <w:p w14:paraId="16959C68"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049DEE84" w14:textId="77777777" w:rsidR="00AD24B5" w:rsidRDefault="00AD24B5" w:rsidP="00AD24B5">
      <w:pPr>
        <w:widowControl w:val="0"/>
        <w:suppressAutoHyphens/>
        <w:ind w:left="2880" w:hanging="720"/>
      </w:pPr>
    </w:p>
    <w:p w14:paraId="39D4024A"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15689D8A" w14:textId="77777777" w:rsidR="00AD24B5" w:rsidRDefault="00AD24B5" w:rsidP="00AD24B5">
      <w:pPr>
        <w:widowControl w:val="0"/>
        <w:suppressAutoHyphens/>
        <w:ind w:left="2880" w:hanging="720"/>
      </w:pPr>
    </w:p>
    <w:p w14:paraId="697063A3"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17AB6060" w14:textId="77777777" w:rsidR="00AD24B5" w:rsidRDefault="00AD24B5" w:rsidP="00AD24B5">
      <w:pPr>
        <w:widowControl w:val="0"/>
        <w:suppressAutoHyphens/>
        <w:ind w:left="2880" w:hanging="720"/>
      </w:pPr>
    </w:p>
    <w:p w14:paraId="249CF587"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34840DCA" w14:textId="77777777" w:rsidR="00AD24B5" w:rsidRDefault="00AD24B5" w:rsidP="00AD24B5">
      <w:pPr>
        <w:widowControl w:val="0"/>
        <w:suppressAutoHyphens/>
        <w:ind w:left="2160" w:hanging="720"/>
      </w:pPr>
    </w:p>
    <w:p w14:paraId="4911DEBE" w14:textId="77777777" w:rsidR="00AD24B5" w:rsidRPr="003B4362" w:rsidRDefault="00AD24B5" w:rsidP="00AD24B5">
      <w:pPr>
        <w:widowControl w:val="0"/>
        <w:suppressAutoHyphens/>
        <w:ind w:left="2160" w:hanging="720"/>
      </w:pPr>
      <w:r w:rsidRPr="003B4362">
        <w:t>22)</w:t>
      </w:r>
      <w:r w:rsidRPr="003B4362">
        <w:tab/>
      </w:r>
      <w:bookmarkStart w:id="3856" w:name="_Hlk14279868"/>
      <w:r w:rsidRPr="003B4362">
        <w:t>Hexachlorocyclopentadiene</w:t>
      </w:r>
      <w:bookmarkEnd w:id="3856"/>
    </w:p>
    <w:p w14:paraId="4D9AE921" w14:textId="77777777" w:rsidR="00AD24B5" w:rsidRDefault="00AD24B5" w:rsidP="00AD24B5">
      <w:pPr>
        <w:widowControl w:val="0"/>
        <w:suppressAutoHyphens/>
        <w:ind w:left="2880" w:hanging="720"/>
      </w:pPr>
    </w:p>
    <w:p w14:paraId="4AEE631D"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365D3E5B" w14:textId="77777777" w:rsidR="00AD24B5" w:rsidRDefault="00AD24B5" w:rsidP="00AD24B5">
      <w:pPr>
        <w:widowControl w:val="0"/>
        <w:suppressAutoHyphens/>
        <w:ind w:left="2880" w:hanging="720"/>
      </w:pPr>
    </w:p>
    <w:p w14:paraId="322DF556"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2829BAA3" w14:textId="77777777" w:rsidR="00AD24B5" w:rsidRDefault="00AD24B5" w:rsidP="00AD24B5">
      <w:pPr>
        <w:widowControl w:val="0"/>
        <w:suppressAutoHyphens/>
        <w:ind w:left="2880" w:hanging="720"/>
      </w:pPr>
    </w:p>
    <w:p w14:paraId="63E9C33F"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19F44565" w14:textId="77777777" w:rsidR="00AD24B5" w:rsidRDefault="00AD24B5" w:rsidP="00AD24B5">
      <w:pPr>
        <w:widowControl w:val="0"/>
        <w:suppressAutoHyphens/>
        <w:ind w:left="2880" w:hanging="720"/>
      </w:pPr>
    </w:p>
    <w:p w14:paraId="4B16F0AF"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4A1C3DDE" w14:textId="77777777" w:rsidR="00AD24B5" w:rsidRDefault="00AD24B5" w:rsidP="00AD24B5">
      <w:pPr>
        <w:widowControl w:val="0"/>
        <w:suppressAutoHyphens/>
        <w:ind w:left="2880" w:hanging="720"/>
      </w:pPr>
    </w:p>
    <w:p w14:paraId="387E54C0"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61862131" w14:textId="77777777" w:rsidR="00AD24B5" w:rsidRDefault="00AD24B5" w:rsidP="00AD24B5">
      <w:pPr>
        <w:widowControl w:val="0"/>
        <w:suppressAutoHyphens/>
        <w:ind w:left="2880" w:hanging="720"/>
      </w:pPr>
    </w:p>
    <w:p w14:paraId="71B42DAA"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2848BCEF" w14:textId="77777777" w:rsidR="00AD24B5" w:rsidRDefault="00AD24B5" w:rsidP="00AD24B5">
      <w:pPr>
        <w:widowControl w:val="0"/>
        <w:suppressAutoHyphens/>
        <w:ind w:left="2160" w:hanging="720"/>
      </w:pPr>
    </w:p>
    <w:p w14:paraId="0984DF24" w14:textId="77777777" w:rsidR="00AD24B5" w:rsidRPr="003B4362" w:rsidRDefault="00AD24B5" w:rsidP="00AD24B5">
      <w:pPr>
        <w:widowControl w:val="0"/>
        <w:suppressAutoHyphens/>
        <w:ind w:left="2160" w:hanging="720"/>
      </w:pPr>
      <w:r w:rsidRPr="003B4362">
        <w:t>23)</w:t>
      </w:r>
      <w:r w:rsidRPr="003B4362">
        <w:tab/>
      </w:r>
      <w:bookmarkStart w:id="3857" w:name="_Hlk14279983"/>
      <w:r w:rsidRPr="003B4362">
        <w:t>Lindane</w:t>
      </w:r>
      <w:bookmarkEnd w:id="3857"/>
    </w:p>
    <w:p w14:paraId="4971120A" w14:textId="77777777" w:rsidR="00AD24B5" w:rsidRDefault="00AD24B5" w:rsidP="00AD24B5">
      <w:pPr>
        <w:widowControl w:val="0"/>
        <w:suppressAutoHyphens/>
        <w:ind w:left="2880" w:hanging="720"/>
      </w:pPr>
    </w:p>
    <w:p w14:paraId="11CDD8AF"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20FE7D41" w14:textId="77777777" w:rsidR="00AD24B5" w:rsidRDefault="00AD24B5" w:rsidP="00AD24B5">
      <w:pPr>
        <w:widowControl w:val="0"/>
        <w:suppressAutoHyphens/>
        <w:ind w:left="2880" w:hanging="720"/>
      </w:pPr>
    </w:p>
    <w:p w14:paraId="5E17EB9F"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56B717C4" w14:textId="77777777" w:rsidR="00AD24B5" w:rsidRDefault="00AD24B5" w:rsidP="00AD24B5">
      <w:pPr>
        <w:widowControl w:val="0"/>
        <w:suppressAutoHyphens/>
        <w:ind w:left="2880" w:hanging="720"/>
      </w:pPr>
    </w:p>
    <w:p w14:paraId="49178E59"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27BCC580" w14:textId="77777777" w:rsidR="00AD24B5" w:rsidRDefault="00AD24B5" w:rsidP="00AD24B5">
      <w:pPr>
        <w:widowControl w:val="0"/>
        <w:suppressAutoHyphens/>
        <w:ind w:left="2880" w:hanging="720"/>
      </w:pPr>
    </w:p>
    <w:p w14:paraId="0FF178D3"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3DB4E868" w14:textId="77777777" w:rsidR="00AD24B5" w:rsidRDefault="00AD24B5" w:rsidP="00AD24B5">
      <w:pPr>
        <w:widowControl w:val="0"/>
        <w:suppressAutoHyphens/>
        <w:ind w:left="2880" w:hanging="720"/>
      </w:pPr>
    </w:p>
    <w:p w14:paraId="6044A8A2"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45063A4C" w14:textId="77777777" w:rsidR="00AD24B5" w:rsidRDefault="00AD24B5" w:rsidP="00AD24B5">
      <w:pPr>
        <w:widowControl w:val="0"/>
        <w:suppressAutoHyphens/>
        <w:ind w:left="2880" w:hanging="720"/>
      </w:pPr>
    </w:p>
    <w:p w14:paraId="1AF76195"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1F676128" w14:textId="77777777" w:rsidR="00AD24B5" w:rsidRDefault="00AD24B5" w:rsidP="00AD24B5">
      <w:pPr>
        <w:widowControl w:val="0"/>
        <w:suppressAutoHyphens/>
        <w:ind w:left="2160" w:hanging="720"/>
      </w:pPr>
    </w:p>
    <w:p w14:paraId="5C06EEB5" w14:textId="77777777" w:rsidR="00AD24B5" w:rsidRPr="003B4362" w:rsidRDefault="00AD24B5" w:rsidP="00AD24B5">
      <w:pPr>
        <w:widowControl w:val="0"/>
        <w:suppressAutoHyphens/>
        <w:ind w:left="2160" w:hanging="720"/>
      </w:pPr>
      <w:r w:rsidRPr="003B4362">
        <w:lastRenderedPageBreak/>
        <w:t>24)</w:t>
      </w:r>
      <w:r w:rsidRPr="003B4362">
        <w:tab/>
      </w:r>
      <w:bookmarkStart w:id="3858" w:name="_Hlk14280765"/>
      <w:r w:rsidRPr="003B4362">
        <w:t>Methoxychlor</w:t>
      </w:r>
      <w:bookmarkEnd w:id="3858"/>
    </w:p>
    <w:p w14:paraId="110071EB" w14:textId="77777777" w:rsidR="00AD24B5" w:rsidRDefault="00AD24B5" w:rsidP="00AD24B5">
      <w:pPr>
        <w:widowControl w:val="0"/>
        <w:suppressAutoHyphens/>
        <w:ind w:left="2880" w:hanging="720"/>
      </w:pPr>
    </w:p>
    <w:p w14:paraId="591F07E1"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167E35D5" w14:textId="77777777" w:rsidR="00AD24B5" w:rsidRDefault="00AD24B5" w:rsidP="00AD24B5">
      <w:pPr>
        <w:widowControl w:val="0"/>
        <w:suppressAutoHyphens/>
        <w:ind w:left="2880" w:hanging="720"/>
      </w:pPr>
    </w:p>
    <w:p w14:paraId="02E3DFDC"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7B0FA63A" w14:textId="77777777" w:rsidR="00AD24B5" w:rsidRDefault="00AD24B5" w:rsidP="00AD24B5">
      <w:pPr>
        <w:widowControl w:val="0"/>
        <w:suppressAutoHyphens/>
        <w:ind w:left="2880" w:hanging="720"/>
      </w:pPr>
    </w:p>
    <w:p w14:paraId="2268FED4"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3104C9E2" w14:textId="77777777" w:rsidR="00AD24B5" w:rsidRDefault="00AD24B5" w:rsidP="00AD24B5">
      <w:pPr>
        <w:widowControl w:val="0"/>
        <w:suppressAutoHyphens/>
        <w:ind w:left="2880" w:hanging="720"/>
      </w:pPr>
    </w:p>
    <w:p w14:paraId="1FC1A5CA"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6302032F" w14:textId="77777777" w:rsidR="00AD24B5" w:rsidRDefault="00AD24B5" w:rsidP="00AD24B5">
      <w:pPr>
        <w:widowControl w:val="0"/>
        <w:suppressAutoHyphens/>
        <w:ind w:left="2880" w:hanging="720"/>
      </w:pPr>
    </w:p>
    <w:p w14:paraId="5F4102E1"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5C1865A7" w14:textId="77777777" w:rsidR="00AD24B5" w:rsidRDefault="00AD24B5" w:rsidP="00AD24B5">
      <w:pPr>
        <w:widowControl w:val="0"/>
        <w:suppressAutoHyphens/>
        <w:ind w:left="2880" w:hanging="720"/>
      </w:pPr>
    </w:p>
    <w:p w14:paraId="2F00916F"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43D81A07" w14:textId="77777777" w:rsidR="00AD24B5" w:rsidRDefault="00AD24B5" w:rsidP="00AD24B5">
      <w:pPr>
        <w:widowControl w:val="0"/>
        <w:suppressAutoHyphens/>
        <w:ind w:left="2160" w:hanging="720"/>
      </w:pPr>
    </w:p>
    <w:p w14:paraId="546B5C0D" w14:textId="77777777" w:rsidR="00AD24B5" w:rsidRPr="003B4362" w:rsidRDefault="00AD24B5" w:rsidP="00AD24B5">
      <w:pPr>
        <w:widowControl w:val="0"/>
        <w:suppressAutoHyphens/>
        <w:ind w:left="2160" w:hanging="720"/>
      </w:pPr>
      <w:r w:rsidRPr="003B4362">
        <w:t>25)</w:t>
      </w:r>
      <w:r w:rsidRPr="003B4362">
        <w:tab/>
      </w:r>
      <w:bookmarkStart w:id="3859" w:name="_Hlk14281011"/>
      <w:r w:rsidRPr="003B4362">
        <w:t>Oxamyl</w:t>
      </w:r>
      <w:bookmarkEnd w:id="3859"/>
      <w:r w:rsidRPr="00EB7F62">
        <w:rPr>
          <w:strike/>
        </w:rPr>
        <w:t>.</w:t>
      </w:r>
    </w:p>
    <w:p w14:paraId="35B752F0" w14:textId="77777777" w:rsidR="00AD24B5" w:rsidRDefault="00AD24B5" w:rsidP="00AD24B5">
      <w:pPr>
        <w:widowControl w:val="0"/>
        <w:suppressAutoHyphens/>
        <w:ind w:left="2880" w:hanging="720"/>
      </w:pPr>
    </w:p>
    <w:p w14:paraId="54F59076" w14:textId="77777777" w:rsidR="00AD24B5" w:rsidRPr="003B4362" w:rsidRDefault="00AD24B5" w:rsidP="00AD24B5">
      <w:pPr>
        <w:widowControl w:val="0"/>
        <w:suppressAutoHyphens/>
        <w:ind w:left="2880" w:hanging="720"/>
      </w:pPr>
      <w:r w:rsidRPr="003B4362">
        <w:t>A)</w:t>
      </w:r>
      <w:r w:rsidRPr="003B4362">
        <w:tab/>
        <w:t>Direct Aqueous Injection HPLC with Post-Column Derivatization.  SM 6610 (92), 6610 (96), 6610 B (99), SM 6610 B (04), USEPA 531.1 (95), or USEPA 531.2 (01).</w:t>
      </w:r>
    </w:p>
    <w:p w14:paraId="6BB3DF73" w14:textId="77777777" w:rsidR="00AD24B5" w:rsidRDefault="00AD24B5" w:rsidP="00AD24B5">
      <w:pPr>
        <w:widowControl w:val="0"/>
        <w:suppressAutoHyphens/>
        <w:ind w:left="2880" w:hanging="720"/>
      </w:pPr>
    </w:p>
    <w:p w14:paraId="6E901DC9" w14:textId="77777777" w:rsidR="00AD24B5" w:rsidRPr="003B4362" w:rsidRDefault="00AD24B5" w:rsidP="00AD24B5">
      <w:pPr>
        <w:widowControl w:val="0"/>
        <w:suppressAutoHyphens/>
        <w:ind w:left="2880" w:hanging="720"/>
      </w:pPr>
      <w:r w:rsidRPr="003B4362">
        <w:t>B)</w:t>
      </w:r>
      <w:r w:rsidRPr="003B4362">
        <w:tab/>
        <w:t>Liquid Chromatography/Mass Spectrometry.  ME 531 (19).</w:t>
      </w:r>
    </w:p>
    <w:p w14:paraId="29D38E26" w14:textId="77777777" w:rsidR="00AD24B5" w:rsidRDefault="00AD24B5" w:rsidP="00AD24B5">
      <w:pPr>
        <w:widowControl w:val="0"/>
        <w:suppressAutoHyphens/>
        <w:ind w:left="2160" w:hanging="720"/>
      </w:pPr>
    </w:p>
    <w:p w14:paraId="34011176" w14:textId="77777777" w:rsidR="00AD24B5" w:rsidRPr="003B4362" w:rsidRDefault="00AD24B5" w:rsidP="00AD24B5">
      <w:pPr>
        <w:widowControl w:val="0"/>
        <w:suppressAutoHyphens/>
        <w:ind w:left="2160" w:hanging="720"/>
      </w:pPr>
      <w:r w:rsidRPr="003B4362">
        <w:t>26)</w:t>
      </w:r>
      <w:r w:rsidRPr="003B4362">
        <w:tab/>
      </w:r>
      <w:bookmarkStart w:id="3860" w:name="_Hlk14283930"/>
      <w:r w:rsidRPr="003B4362">
        <w:t>PCBs (measured for compliance purposes as decachlorobiphenyl)</w:t>
      </w:r>
      <w:bookmarkEnd w:id="3860"/>
      <w:r w:rsidRPr="003B4362">
        <w:t xml:space="preserve">.  </w:t>
      </w:r>
      <w:bookmarkStart w:id="3861" w:name="_Hlk14283961"/>
      <w:r w:rsidRPr="003B4362">
        <w:t>Screening by Perchlorination and Gas Chromatography</w:t>
      </w:r>
      <w:bookmarkEnd w:id="3861"/>
      <w:r w:rsidRPr="003B4362">
        <w:t xml:space="preserve">.  </w:t>
      </w:r>
      <w:bookmarkStart w:id="3862" w:name="_Hlk14284033"/>
      <w:r w:rsidRPr="003B4362">
        <w:t>USEPA 508A (89)</w:t>
      </w:r>
      <w:bookmarkEnd w:id="3862"/>
      <w:r w:rsidRPr="003B4362">
        <w:t>.</w:t>
      </w:r>
    </w:p>
    <w:p w14:paraId="2807A48D" w14:textId="77777777" w:rsidR="00AD24B5" w:rsidRDefault="00AD24B5" w:rsidP="00AD24B5">
      <w:pPr>
        <w:widowControl w:val="0"/>
        <w:suppressAutoHyphens/>
        <w:ind w:left="2160" w:hanging="720"/>
      </w:pPr>
    </w:p>
    <w:p w14:paraId="4840700B" w14:textId="77777777" w:rsidR="00AD24B5" w:rsidRPr="003B4362" w:rsidRDefault="00AD24B5" w:rsidP="00AD24B5">
      <w:pPr>
        <w:widowControl w:val="0"/>
        <w:suppressAutoHyphens/>
        <w:ind w:left="2160" w:hanging="720"/>
      </w:pPr>
      <w:r w:rsidRPr="003B4362">
        <w:t>27)</w:t>
      </w:r>
      <w:r w:rsidRPr="003B4362">
        <w:tab/>
      </w:r>
      <w:bookmarkStart w:id="3863" w:name="_Hlk14284161"/>
      <w:r w:rsidRPr="003B4362">
        <w:t>PCBs (qualitatively identified as alachlors)</w:t>
      </w:r>
      <w:bookmarkEnd w:id="3863"/>
    </w:p>
    <w:p w14:paraId="6B172006" w14:textId="77777777" w:rsidR="00AD24B5" w:rsidRDefault="00AD24B5" w:rsidP="00AD24B5">
      <w:pPr>
        <w:widowControl w:val="0"/>
        <w:suppressAutoHyphens/>
        <w:ind w:left="2880" w:hanging="720"/>
      </w:pPr>
    </w:p>
    <w:p w14:paraId="713471B3"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03FAD30C" w14:textId="77777777" w:rsidR="00AD24B5" w:rsidRDefault="00AD24B5" w:rsidP="00AD24B5">
      <w:pPr>
        <w:widowControl w:val="0"/>
        <w:suppressAutoHyphens/>
        <w:ind w:left="2880" w:hanging="720"/>
      </w:pPr>
    </w:p>
    <w:p w14:paraId="487F1FF1" w14:textId="77777777" w:rsidR="00AD24B5" w:rsidRPr="003B4362" w:rsidRDefault="00AD24B5" w:rsidP="00AD24B5">
      <w:pPr>
        <w:widowControl w:val="0"/>
        <w:suppressAutoHyphens/>
        <w:ind w:left="2880" w:hanging="720"/>
      </w:pPr>
      <w:r w:rsidRPr="003B4362">
        <w:t>B)</w:t>
      </w:r>
      <w:r w:rsidRPr="003B4362">
        <w:tab/>
        <w:t xml:space="preserve">Gas Chromatography with </w:t>
      </w:r>
      <w:bookmarkStart w:id="3864" w:name="_Hlk14284310"/>
      <w:r w:rsidRPr="003B4362">
        <w:t>Electron Capture</w:t>
      </w:r>
      <w:bookmarkEnd w:id="3864"/>
      <w:r w:rsidRPr="003B4362">
        <w:t xml:space="preserve"> Detector.  USEPA 508 (95).</w:t>
      </w:r>
    </w:p>
    <w:p w14:paraId="4FF93D50" w14:textId="77777777" w:rsidR="00AD24B5" w:rsidRDefault="00AD24B5" w:rsidP="00AD24B5">
      <w:pPr>
        <w:widowControl w:val="0"/>
        <w:suppressAutoHyphens/>
        <w:ind w:left="2880" w:hanging="720"/>
      </w:pPr>
    </w:p>
    <w:p w14:paraId="27B1FAF5"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71F55B1F" w14:textId="77777777" w:rsidR="00AD24B5" w:rsidRDefault="00AD24B5" w:rsidP="00AD24B5">
      <w:pPr>
        <w:widowControl w:val="0"/>
        <w:suppressAutoHyphens/>
        <w:ind w:left="2880" w:hanging="720"/>
      </w:pPr>
    </w:p>
    <w:p w14:paraId="6CB5B775"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124C05CF" w14:textId="77777777" w:rsidR="00AD24B5" w:rsidRDefault="00AD24B5" w:rsidP="00AD24B5">
      <w:pPr>
        <w:widowControl w:val="0"/>
        <w:suppressAutoHyphens/>
        <w:ind w:left="2880" w:hanging="720"/>
      </w:pPr>
    </w:p>
    <w:p w14:paraId="098784E2"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2F018BCC" w14:textId="77777777" w:rsidR="00AD24B5" w:rsidRDefault="00AD24B5" w:rsidP="00AD24B5">
      <w:pPr>
        <w:widowControl w:val="0"/>
        <w:suppressAutoHyphens/>
        <w:ind w:left="2160" w:hanging="720"/>
      </w:pPr>
    </w:p>
    <w:p w14:paraId="695CE5B4" w14:textId="77777777" w:rsidR="00AD24B5" w:rsidRPr="003B4362" w:rsidRDefault="00AD24B5" w:rsidP="00AD24B5">
      <w:pPr>
        <w:widowControl w:val="0"/>
        <w:suppressAutoHyphens/>
        <w:ind w:left="2160" w:hanging="720"/>
      </w:pPr>
      <w:r w:rsidRPr="003B4362">
        <w:lastRenderedPageBreak/>
        <w:t>28)</w:t>
      </w:r>
      <w:r w:rsidRPr="003B4362">
        <w:tab/>
      </w:r>
      <w:bookmarkStart w:id="3865" w:name="_Hlk14284794"/>
      <w:r w:rsidRPr="003B4362">
        <w:t>Pentachlorophenol</w:t>
      </w:r>
      <w:bookmarkEnd w:id="3865"/>
    </w:p>
    <w:p w14:paraId="2BE50701" w14:textId="77777777" w:rsidR="00AD24B5" w:rsidRDefault="00AD24B5" w:rsidP="00AD24B5">
      <w:pPr>
        <w:widowControl w:val="0"/>
        <w:suppressAutoHyphens/>
        <w:ind w:left="2880" w:hanging="720"/>
      </w:pPr>
    </w:p>
    <w:p w14:paraId="0C4A7853" w14:textId="77777777" w:rsidR="00AD24B5" w:rsidRPr="003B4362" w:rsidRDefault="00AD24B5" w:rsidP="00AD24B5">
      <w:pPr>
        <w:widowControl w:val="0"/>
        <w:suppressAutoHyphens/>
        <w:ind w:left="2880" w:hanging="720"/>
      </w:pPr>
      <w:r w:rsidRPr="003B4362">
        <w:t>A)</w:t>
      </w:r>
      <w:r w:rsidRPr="003B4362">
        <w:tab/>
        <w:t>Gas Chromatography with Electron Capture Detector.  ASTM D5317-93, ASTM D5317-98(2003)</w:t>
      </w:r>
      <w:r w:rsidRPr="00452D56">
        <w:t>, ASTM D5317-20</w:t>
      </w:r>
      <w:r w:rsidRPr="003B4362">
        <w:t>, SM 6640 B (01), or SM 6640 B (06).</w:t>
      </w:r>
    </w:p>
    <w:p w14:paraId="1FF6BC28" w14:textId="77777777" w:rsidR="00AD24B5" w:rsidRDefault="00AD24B5" w:rsidP="00AD24B5">
      <w:pPr>
        <w:widowControl w:val="0"/>
        <w:suppressAutoHyphens/>
        <w:ind w:left="2880" w:hanging="720"/>
      </w:pPr>
    </w:p>
    <w:p w14:paraId="579D0041" w14:textId="77777777" w:rsidR="00AD24B5" w:rsidRPr="003B4362" w:rsidRDefault="00AD24B5" w:rsidP="00AD24B5">
      <w:pPr>
        <w:widowControl w:val="0"/>
        <w:suppressAutoHyphens/>
        <w:ind w:left="2880" w:hanging="720"/>
      </w:pPr>
      <w:r w:rsidRPr="003B4362">
        <w:t>B)</w:t>
      </w:r>
      <w:r w:rsidRPr="003B4362">
        <w:tab/>
        <w:t>Liquid-Liquid Extraction Gas Chromatography with Electron Capture Detector.  USEPA 515.1 (89) or USEPA 515.3 (96).</w:t>
      </w:r>
    </w:p>
    <w:p w14:paraId="3D1FA085" w14:textId="77777777" w:rsidR="00AD24B5" w:rsidRDefault="00AD24B5" w:rsidP="00AD24B5">
      <w:pPr>
        <w:widowControl w:val="0"/>
        <w:suppressAutoHyphens/>
        <w:ind w:left="2880" w:hanging="720"/>
      </w:pPr>
    </w:p>
    <w:p w14:paraId="015DDF2B"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515.2 (95).</w:t>
      </w:r>
    </w:p>
    <w:p w14:paraId="094727BA" w14:textId="77777777" w:rsidR="00AD24B5" w:rsidRDefault="00AD24B5" w:rsidP="00AD24B5">
      <w:pPr>
        <w:widowControl w:val="0"/>
        <w:suppressAutoHyphens/>
        <w:ind w:left="2880" w:hanging="720"/>
      </w:pPr>
    </w:p>
    <w:p w14:paraId="09CBB968" w14:textId="77777777" w:rsidR="00AD24B5" w:rsidRPr="003B4362" w:rsidRDefault="00AD24B5" w:rsidP="00AD24B5">
      <w:pPr>
        <w:widowControl w:val="0"/>
        <w:suppressAutoHyphens/>
        <w:ind w:left="2880" w:hanging="720"/>
      </w:pPr>
      <w:r w:rsidRPr="003B4362">
        <w:t>D)</w:t>
      </w:r>
      <w:r w:rsidRPr="003B4362">
        <w:tab/>
        <w:t>Liquid-Liquid Microextraction, Derivatization, and Fast Gas Chromatography with Electron Capture Detector.  USEPA 515.4 (00).</w:t>
      </w:r>
    </w:p>
    <w:p w14:paraId="6794778C" w14:textId="77777777" w:rsidR="00AD24B5" w:rsidRDefault="00AD24B5" w:rsidP="00AD24B5">
      <w:pPr>
        <w:widowControl w:val="0"/>
        <w:suppressAutoHyphens/>
        <w:ind w:left="2880" w:hanging="720"/>
      </w:pPr>
    </w:p>
    <w:p w14:paraId="45BB3739" w14:textId="77777777" w:rsidR="00AD24B5" w:rsidRPr="003B4362" w:rsidRDefault="00AD24B5" w:rsidP="00AD24B5">
      <w:pPr>
        <w:widowControl w:val="0"/>
        <w:suppressAutoHyphens/>
        <w:ind w:left="2880" w:hanging="720"/>
      </w:pPr>
      <w:r w:rsidRPr="003B4362">
        <w:t>E)</w:t>
      </w:r>
      <w:r w:rsidRPr="003B4362">
        <w:tab/>
      </w:r>
      <w:bookmarkStart w:id="3866" w:name="_Hlk17385574"/>
      <w:r w:rsidRPr="003B4362">
        <w:t>Gas Chromatography-Mass Spectrometry</w:t>
      </w:r>
      <w:bookmarkEnd w:id="3866"/>
      <w:r w:rsidRPr="003B4362">
        <w:t xml:space="preserve">.  </w:t>
      </w:r>
      <w:bookmarkStart w:id="3867" w:name="_Hlk17385603"/>
      <w:r w:rsidRPr="003B4362">
        <w:t>USEPA 525.2 (95)</w:t>
      </w:r>
      <w:bookmarkEnd w:id="3867"/>
      <w:r w:rsidRPr="003B4362">
        <w:t>.</w:t>
      </w:r>
    </w:p>
    <w:p w14:paraId="3A426385" w14:textId="77777777" w:rsidR="00AD24B5" w:rsidRDefault="00AD24B5" w:rsidP="00AD24B5">
      <w:pPr>
        <w:widowControl w:val="0"/>
        <w:suppressAutoHyphens/>
        <w:ind w:left="2880" w:hanging="720"/>
      </w:pPr>
    </w:p>
    <w:p w14:paraId="1FF0A8AE" w14:textId="77777777" w:rsidR="00AD24B5" w:rsidRPr="003B4362" w:rsidRDefault="00AD24B5" w:rsidP="00AD24B5">
      <w:pPr>
        <w:widowControl w:val="0"/>
        <w:suppressAutoHyphens/>
        <w:ind w:left="2880" w:hanging="720"/>
      </w:pPr>
      <w:r w:rsidRPr="003B4362">
        <w:t>F)</w:t>
      </w:r>
      <w:r w:rsidRPr="003B4362">
        <w:tab/>
        <w:t>Solid Phase Extraction and Capillary Column Gas Chromatography-Mass Spectrometry.  USEPA 525.3 (12).</w:t>
      </w:r>
    </w:p>
    <w:p w14:paraId="6E83DA00" w14:textId="77777777" w:rsidR="00AD24B5" w:rsidRDefault="00AD24B5" w:rsidP="00AD24B5">
      <w:pPr>
        <w:widowControl w:val="0"/>
        <w:suppressAutoHyphens/>
        <w:ind w:left="2880" w:hanging="720"/>
      </w:pPr>
    </w:p>
    <w:p w14:paraId="534F1415" w14:textId="77777777" w:rsidR="00AD24B5" w:rsidRPr="003B4362" w:rsidRDefault="00AD24B5" w:rsidP="00AD24B5">
      <w:pPr>
        <w:widowControl w:val="0"/>
        <w:suppressAutoHyphens/>
        <w:ind w:left="2880" w:hanging="720"/>
      </w:pPr>
      <w:r w:rsidRPr="003B4362">
        <w:t>G)</w:t>
      </w:r>
      <w:r w:rsidRPr="003B4362">
        <w:tab/>
        <w:t>High Performance Liquid Chromatography with Photodiode Array Ultraviolet Detector.  USEPA 555 (92).</w:t>
      </w:r>
    </w:p>
    <w:p w14:paraId="1BC23AA1" w14:textId="77777777" w:rsidR="00AD24B5" w:rsidRDefault="00AD24B5" w:rsidP="00AD24B5">
      <w:pPr>
        <w:widowControl w:val="0"/>
        <w:suppressAutoHyphens/>
        <w:ind w:left="2160" w:hanging="720"/>
      </w:pPr>
    </w:p>
    <w:p w14:paraId="054FF388" w14:textId="77777777" w:rsidR="00AD24B5" w:rsidRPr="003B4362" w:rsidRDefault="00AD24B5" w:rsidP="00AD24B5">
      <w:pPr>
        <w:widowControl w:val="0"/>
        <w:suppressAutoHyphens/>
        <w:ind w:left="2160" w:hanging="720"/>
      </w:pPr>
      <w:r w:rsidRPr="003B4362">
        <w:t>29)</w:t>
      </w:r>
      <w:r w:rsidRPr="003B4362">
        <w:tab/>
      </w:r>
      <w:bookmarkStart w:id="3868" w:name="_Hlk14285048"/>
      <w:r w:rsidRPr="003B4362">
        <w:t>Picloram</w:t>
      </w:r>
      <w:bookmarkEnd w:id="3868"/>
    </w:p>
    <w:p w14:paraId="673E4EFE" w14:textId="77777777" w:rsidR="00AD24B5" w:rsidRDefault="00AD24B5" w:rsidP="00AD24B5">
      <w:pPr>
        <w:widowControl w:val="0"/>
        <w:suppressAutoHyphens/>
        <w:ind w:left="2880" w:hanging="720"/>
      </w:pPr>
    </w:p>
    <w:p w14:paraId="5C695504" w14:textId="77777777" w:rsidR="00AD24B5" w:rsidRPr="003B4362" w:rsidRDefault="00AD24B5" w:rsidP="00AD24B5">
      <w:pPr>
        <w:widowControl w:val="0"/>
        <w:suppressAutoHyphens/>
        <w:ind w:left="2880" w:hanging="720"/>
      </w:pPr>
      <w:r w:rsidRPr="003B4362">
        <w:t>A)</w:t>
      </w:r>
      <w:r w:rsidRPr="003B4362">
        <w:tab/>
        <w:t>Gas Chromatography with Electron Capture Detector.  ASTM D5317-93, ASTM D5317-98(2003)</w:t>
      </w:r>
      <w:r w:rsidRPr="00452D56">
        <w:t>, ASTM D5317-20</w:t>
      </w:r>
      <w:r w:rsidRPr="003B4362">
        <w:t>, SM 6640 B (01), or SM 6640 B (06).</w:t>
      </w:r>
    </w:p>
    <w:p w14:paraId="4FEF6620" w14:textId="77777777" w:rsidR="00AD24B5" w:rsidRDefault="00AD24B5" w:rsidP="00AD24B5">
      <w:pPr>
        <w:widowControl w:val="0"/>
        <w:suppressAutoHyphens/>
        <w:ind w:left="2880" w:hanging="720"/>
      </w:pPr>
    </w:p>
    <w:p w14:paraId="2E2DB424" w14:textId="77777777" w:rsidR="00AD24B5" w:rsidRPr="003B4362" w:rsidRDefault="00AD24B5" w:rsidP="00AD24B5">
      <w:pPr>
        <w:widowControl w:val="0"/>
        <w:suppressAutoHyphens/>
        <w:ind w:left="2880" w:hanging="720"/>
      </w:pPr>
      <w:r w:rsidRPr="003B4362">
        <w:t>B)</w:t>
      </w:r>
      <w:r w:rsidRPr="003B4362">
        <w:tab/>
        <w:t>Liquid-Liquid Extraction Gas Chromatography with Electron Capture Detector.  USEPA 515.1 (89) or USEPA 515.3 (96).</w:t>
      </w:r>
    </w:p>
    <w:p w14:paraId="2A648CBD" w14:textId="77777777" w:rsidR="00AD24B5" w:rsidRDefault="00AD24B5" w:rsidP="00AD24B5">
      <w:pPr>
        <w:widowControl w:val="0"/>
        <w:suppressAutoHyphens/>
        <w:ind w:left="2880" w:hanging="720"/>
      </w:pPr>
    </w:p>
    <w:p w14:paraId="6E780952"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515.2 (95).</w:t>
      </w:r>
    </w:p>
    <w:p w14:paraId="0E0A86C1" w14:textId="77777777" w:rsidR="00AD24B5" w:rsidRDefault="00AD24B5" w:rsidP="00AD24B5">
      <w:pPr>
        <w:widowControl w:val="0"/>
        <w:suppressAutoHyphens/>
        <w:ind w:left="2880" w:hanging="720"/>
      </w:pPr>
    </w:p>
    <w:p w14:paraId="44E0463F" w14:textId="77777777" w:rsidR="00AD24B5" w:rsidRPr="003B4362" w:rsidRDefault="00AD24B5" w:rsidP="00AD24B5">
      <w:pPr>
        <w:widowControl w:val="0"/>
        <w:suppressAutoHyphens/>
        <w:ind w:left="2880" w:hanging="720"/>
      </w:pPr>
      <w:r w:rsidRPr="003B4362">
        <w:t>D)</w:t>
      </w:r>
      <w:r w:rsidRPr="003B4362">
        <w:tab/>
        <w:t>Liquid-Liquid Microextraction, Derivatization, and Fast Gas Chromatography with Electron Capture Detector.  USEPA 515.4 (00).</w:t>
      </w:r>
    </w:p>
    <w:p w14:paraId="6AF3B833" w14:textId="77777777" w:rsidR="00AD24B5" w:rsidRDefault="00AD24B5" w:rsidP="00AD24B5">
      <w:pPr>
        <w:widowControl w:val="0"/>
        <w:suppressAutoHyphens/>
        <w:ind w:left="2880" w:hanging="720"/>
      </w:pPr>
    </w:p>
    <w:p w14:paraId="22EE6A26" w14:textId="77777777" w:rsidR="00AD24B5" w:rsidRPr="003B4362" w:rsidRDefault="00AD24B5" w:rsidP="00AD24B5">
      <w:pPr>
        <w:widowControl w:val="0"/>
        <w:suppressAutoHyphens/>
        <w:ind w:left="2880" w:hanging="720"/>
      </w:pPr>
      <w:r w:rsidRPr="003B4362">
        <w:t>E)</w:t>
      </w:r>
      <w:r w:rsidRPr="003B4362">
        <w:tab/>
        <w:t>High Performance Liquid Chromatography with Photodiode Array Ultraviolet Detector.  USEPA 555 (92).</w:t>
      </w:r>
    </w:p>
    <w:p w14:paraId="2F6B03C1" w14:textId="77777777" w:rsidR="00AD24B5" w:rsidRDefault="00AD24B5" w:rsidP="00AD24B5">
      <w:pPr>
        <w:widowControl w:val="0"/>
        <w:suppressAutoHyphens/>
        <w:ind w:left="2160" w:hanging="720"/>
      </w:pPr>
    </w:p>
    <w:p w14:paraId="377BD5AF" w14:textId="77777777" w:rsidR="00AD24B5" w:rsidRPr="003B4362" w:rsidRDefault="00AD24B5" w:rsidP="00AD24B5">
      <w:pPr>
        <w:widowControl w:val="0"/>
        <w:suppressAutoHyphens/>
        <w:ind w:left="2160" w:hanging="720"/>
      </w:pPr>
      <w:r w:rsidRPr="003B4362">
        <w:t>30)</w:t>
      </w:r>
      <w:r w:rsidRPr="003B4362">
        <w:tab/>
      </w:r>
      <w:bookmarkStart w:id="3869" w:name="_Hlk14285218"/>
      <w:r w:rsidRPr="003B4362">
        <w:t>Simazine</w:t>
      </w:r>
      <w:bookmarkEnd w:id="3869"/>
    </w:p>
    <w:p w14:paraId="24C17ADC" w14:textId="77777777" w:rsidR="00AD24B5" w:rsidRDefault="00AD24B5" w:rsidP="00AD24B5">
      <w:pPr>
        <w:widowControl w:val="0"/>
        <w:suppressAutoHyphens/>
        <w:ind w:left="2880" w:hanging="720"/>
      </w:pPr>
    </w:p>
    <w:p w14:paraId="2D930D0F" w14:textId="77777777" w:rsidR="00AD24B5" w:rsidRPr="003B4362" w:rsidRDefault="00AD24B5" w:rsidP="00AD24B5">
      <w:pPr>
        <w:widowControl w:val="0"/>
        <w:suppressAutoHyphens/>
        <w:ind w:left="2880" w:hanging="720"/>
      </w:pPr>
      <w:r w:rsidRPr="003B4362">
        <w:lastRenderedPageBreak/>
        <w:t>A)</w:t>
      </w:r>
      <w:r w:rsidRPr="003B4362">
        <w:tab/>
        <w:t>Microextraction and Gas Chromatography.  USEPA 505 (95)</w:t>
      </w:r>
      <w:r w:rsidRPr="003B4362">
        <w:rPr>
          <w:vertAlign w:val="superscript"/>
        </w:rPr>
        <w:t>1</w:t>
      </w:r>
      <w:r w:rsidRPr="003B4362">
        <w:t>.</w:t>
      </w:r>
    </w:p>
    <w:p w14:paraId="7D68C8B2" w14:textId="77777777" w:rsidR="00AD24B5" w:rsidRDefault="00AD24B5" w:rsidP="00AD24B5">
      <w:pPr>
        <w:widowControl w:val="0"/>
        <w:suppressAutoHyphens/>
        <w:ind w:left="2880" w:hanging="720"/>
      </w:pPr>
    </w:p>
    <w:p w14:paraId="37E8431C"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507 (95).</w:t>
      </w:r>
    </w:p>
    <w:p w14:paraId="6463591E" w14:textId="77777777" w:rsidR="00AD24B5" w:rsidRDefault="00AD24B5" w:rsidP="00AD24B5">
      <w:pPr>
        <w:widowControl w:val="0"/>
        <w:suppressAutoHyphens/>
        <w:ind w:left="2880" w:hanging="720"/>
      </w:pPr>
    </w:p>
    <w:p w14:paraId="525ECCD5"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19E4E7AA" w14:textId="77777777" w:rsidR="00AD24B5" w:rsidRDefault="00AD24B5" w:rsidP="00AD24B5">
      <w:pPr>
        <w:widowControl w:val="0"/>
        <w:suppressAutoHyphens/>
        <w:ind w:left="2880" w:hanging="720"/>
      </w:pPr>
    </w:p>
    <w:p w14:paraId="7D9827E4" w14:textId="77777777" w:rsidR="00AD24B5" w:rsidRPr="003B4362" w:rsidRDefault="00AD24B5" w:rsidP="00AD24B5">
      <w:pPr>
        <w:widowControl w:val="0"/>
        <w:suppressAutoHyphens/>
        <w:ind w:left="2880" w:hanging="720"/>
      </w:pPr>
      <w:r w:rsidRPr="003B4362">
        <w:t>D)</w:t>
      </w:r>
      <w:r w:rsidRPr="003B4362">
        <w:tab/>
        <w:t>Liquid-Solid Extraction Gas Chromatography with Electron Capture Detector.  USEPA 523 (11).</w:t>
      </w:r>
    </w:p>
    <w:p w14:paraId="513F4C70" w14:textId="77777777" w:rsidR="00AD24B5" w:rsidRDefault="00AD24B5" w:rsidP="00AD24B5">
      <w:pPr>
        <w:widowControl w:val="0"/>
        <w:suppressAutoHyphens/>
        <w:ind w:left="2880" w:hanging="720"/>
      </w:pPr>
    </w:p>
    <w:p w14:paraId="04645336" w14:textId="77777777" w:rsidR="00AD24B5" w:rsidRPr="003B4362" w:rsidRDefault="00AD24B5" w:rsidP="00AD24B5">
      <w:pPr>
        <w:widowControl w:val="0"/>
        <w:suppressAutoHyphens/>
        <w:ind w:left="2880" w:hanging="720"/>
      </w:pPr>
      <w:r w:rsidRPr="003B4362">
        <w:t>E)</w:t>
      </w:r>
      <w:r w:rsidRPr="003B4362">
        <w:tab/>
        <w:t>Gas Chromatography-Mass Spectrometry.  USEPA 525.2 (95).</w:t>
      </w:r>
    </w:p>
    <w:p w14:paraId="17D8EF06" w14:textId="77777777" w:rsidR="00AD24B5" w:rsidRDefault="00AD24B5" w:rsidP="00AD24B5">
      <w:pPr>
        <w:widowControl w:val="0"/>
        <w:suppressAutoHyphens/>
        <w:ind w:left="2880" w:hanging="720"/>
      </w:pPr>
    </w:p>
    <w:p w14:paraId="785679B1" w14:textId="77777777" w:rsidR="00AD24B5" w:rsidRPr="003B4362" w:rsidRDefault="00AD24B5" w:rsidP="00AD24B5">
      <w:pPr>
        <w:widowControl w:val="0"/>
        <w:suppressAutoHyphens/>
        <w:ind w:left="2880" w:hanging="720"/>
      </w:pPr>
      <w:r w:rsidRPr="003B4362">
        <w:t>F)</w:t>
      </w:r>
      <w:r w:rsidRPr="003B4362">
        <w:tab/>
        <w:t>Solid Phase Extraction and Capillary Column Gas Chromatography-Mass Spectrometry.  USEPA 525.3 (12).</w:t>
      </w:r>
    </w:p>
    <w:p w14:paraId="28876434" w14:textId="77777777" w:rsidR="00AD24B5" w:rsidRDefault="00AD24B5" w:rsidP="00AD24B5">
      <w:pPr>
        <w:widowControl w:val="0"/>
        <w:suppressAutoHyphens/>
        <w:ind w:left="2880" w:hanging="720"/>
      </w:pPr>
    </w:p>
    <w:p w14:paraId="6D1BDDC1" w14:textId="77777777" w:rsidR="00AD24B5" w:rsidRPr="003B4362" w:rsidRDefault="00AD24B5" w:rsidP="00AD24B5">
      <w:pPr>
        <w:widowControl w:val="0"/>
        <w:suppressAutoHyphens/>
        <w:ind w:left="2880" w:hanging="720"/>
      </w:pPr>
      <w:r w:rsidRPr="003B4362">
        <w:t>G)</w:t>
      </w:r>
      <w:r w:rsidRPr="003B4362">
        <w:tab/>
        <w:t>Liquid Chromatography Electrospray Ionization Tandem Mass Spectrometry.  USEPA 536 (07).</w:t>
      </w:r>
    </w:p>
    <w:p w14:paraId="61171E29" w14:textId="77777777" w:rsidR="00AD24B5" w:rsidRDefault="00AD24B5" w:rsidP="00AD24B5">
      <w:pPr>
        <w:widowControl w:val="0"/>
        <w:suppressAutoHyphens/>
        <w:ind w:left="2880" w:hanging="720"/>
      </w:pPr>
    </w:p>
    <w:p w14:paraId="4EECFE35" w14:textId="77777777" w:rsidR="00AD24B5" w:rsidRPr="003B4362" w:rsidRDefault="00AD24B5" w:rsidP="00AD24B5">
      <w:pPr>
        <w:widowControl w:val="0"/>
        <w:suppressAutoHyphens/>
        <w:ind w:left="2880" w:hanging="720"/>
      </w:pPr>
      <w:r w:rsidRPr="003B4362">
        <w:t>H)</w:t>
      </w:r>
      <w:r w:rsidRPr="003B4362">
        <w:tab/>
        <w:t>Liquid-Liquid Extraction and Gas Chromatography.  USEPA 551.1 (95).</w:t>
      </w:r>
    </w:p>
    <w:p w14:paraId="74E125FF" w14:textId="77777777" w:rsidR="00AD24B5" w:rsidRDefault="00AD24B5" w:rsidP="00AD24B5">
      <w:pPr>
        <w:widowControl w:val="0"/>
        <w:suppressAutoHyphens/>
        <w:ind w:left="2160" w:hanging="720"/>
      </w:pPr>
    </w:p>
    <w:p w14:paraId="7C7B934E" w14:textId="77777777" w:rsidR="00AD24B5" w:rsidRPr="003B4362" w:rsidRDefault="00AD24B5" w:rsidP="00AD24B5">
      <w:pPr>
        <w:widowControl w:val="0"/>
        <w:suppressAutoHyphens/>
        <w:ind w:left="2160" w:hanging="720"/>
      </w:pPr>
      <w:r w:rsidRPr="003B4362">
        <w:t>31)</w:t>
      </w:r>
      <w:r w:rsidRPr="003B4362">
        <w:tab/>
      </w:r>
      <w:bookmarkStart w:id="3870" w:name="_Hlk14285664"/>
      <w:r w:rsidRPr="003B4362">
        <w:t>Toxaphene</w:t>
      </w:r>
      <w:bookmarkEnd w:id="3870"/>
    </w:p>
    <w:p w14:paraId="2BCF184A" w14:textId="77777777" w:rsidR="00AD24B5" w:rsidRDefault="00AD24B5" w:rsidP="00AD24B5">
      <w:pPr>
        <w:widowControl w:val="0"/>
        <w:suppressAutoHyphens/>
        <w:ind w:left="2880" w:hanging="720"/>
      </w:pPr>
    </w:p>
    <w:p w14:paraId="42E39996"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3087ED01" w14:textId="77777777" w:rsidR="00AD24B5" w:rsidRDefault="00AD24B5" w:rsidP="00AD24B5">
      <w:pPr>
        <w:widowControl w:val="0"/>
        <w:suppressAutoHyphens/>
        <w:ind w:left="2880" w:hanging="720"/>
      </w:pPr>
    </w:p>
    <w:p w14:paraId="699C0D36"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22B3C642" w14:textId="77777777" w:rsidR="00AD24B5" w:rsidRDefault="00AD24B5" w:rsidP="00AD24B5">
      <w:pPr>
        <w:widowControl w:val="0"/>
        <w:suppressAutoHyphens/>
        <w:ind w:left="2880" w:hanging="720"/>
      </w:pPr>
    </w:p>
    <w:p w14:paraId="65C98C32"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0014392D" w14:textId="77777777" w:rsidR="00AD24B5" w:rsidRDefault="00AD24B5" w:rsidP="00AD24B5">
      <w:pPr>
        <w:widowControl w:val="0"/>
        <w:suppressAutoHyphens/>
        <w:ind w:left="2880" w:hanging="720"/>
      </w:pPr>
    </w:p>
    <w:p w14:paraId="22E2331D"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5ACFA91D" w14:textId="77777777" w:rsidR="00AD24B5" w:rsidRDefault="00AD24B5" w:rsidP="00AD24B5">
      <w:pPr>
        <w:widowControl w:val="0"/>
        <w:suppressAutoHyphens/>
        <w:ind w:left="2880" w:hanging="720"/>
      </w:pPr>
    </w:p>
    <w:p w14:paraId="6B97B33F"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35C45F70" w14:textId="77777777" w:rsidR="00AD24B5" w:rsidRDefault="00AD24B5" w:rsidP="00AD24B5">
      <w:pPr>
        <w:ind w:left="720"/>
      </w:pPr>
    </w:p>
    <w:p w14:paraId="498E26BA" w14:textId="77777777" w:rsidR="00AD24B5" w:rsidRPr="003B4362" w:rsidRDefault="00AD24B5" w:rsidP="00AD24B5">
      <w:pPr>
        <w:ind w:left="720"/>
      </w:pPr>
      <w:r w:rsidRPr="003B4362">
        <w:t>c)</w:t>
      </w:r>
      <w:r w:rsidRPr="003B4362">
        <w:tab/>
        <w:t>Total Trihalomethanes (TTHMs)</w:t>
      </w:r>
    </w:p>
    <w:p w14:paraId="6D707BA5" w14:textId="77777777" w:rsidR="00AD24B5" w:rsidRDefault="00AD24B5" w:rsidP="00AD24B5">
      <w:pPr>
        <w:widowControl w:val="0"/>
        <w:suppressAutoHyphens/>
        <w:ind w:left="2160" w:hanging="720"/>
      </w:pPr>
    </w:p>
    <w:p w14:paraId="0F444D20" w14:textId="77777777" w:rsidR="00AD24B5" w:rsidRPr="003B4362" w:rsidRDefault="00AD24B5" w:rsidP="00AD24B5">
      <w:pPr>
        <w:widowControl w:val="0"/>
        <w:suppressAutoHyphens/>
        <w:ind w:left="2160" w:hanging="720"/>
      </w:pPr>
      <w:r w:rsidRPr="003B4362">
        <w:t>1)</w:t>
      </w:r>
      <w:r w:rsidRPr="003B4362">
        <w:tab/>
        <w:t>Purge and Trap Capillary Column Gas Chromatography.  USEPA 502.2 (95).</w:t>
      </w:r>
    </w:p>
    <w:p w14:paraId="4A4F728E" w14:textId="77777777" w:rsidR="00AD24B5" w:rsidRDefault="00AD24B5" w:rsidP="00AD24B5">
      <w:pPr>
        <w:widowControl w:val="0"/>
        <w:suppressAutoHyphens/>
        <w:ind w:left="2160" w:hanging="720"/>
      </w:pPr>
    </w:p>
    <w:p w14:paraId="64EA98AF" w14:textId="77777777" w:rsidR="00AD24B5" w:rsidRPr="003B4362" w:rsidRDefault="00AD24B5" w:rsidP="00AD24B5">
      <w:pPr>
        <w:widowControl w:val="0"/>
        <w:suppressAutoHyphens/>
        <w:ind w:left="2160" w:hanging="720"/>
      </w:pPr>
      <w:r w:rsidRPr="003B4362">
        <w:t>2)</w:t>
      </w:r>
      <w:r w:rsidRPr="003B4362">
        <w:tab/>
        <w:t>Purge and Trap Gas Chromatography-Mass Spectrometry.  USEPA 524.2 (95), USEPA 524.3 (09), or USEPA 524.4 (13).</w:t>
      </w:r>
    </w:p>
    <w:p w14:paraId="16F06F62" w14:textId="77777777" w:rsidR="00AD24B5" w:rsidRDefault="00AD24B5" w:rsidP="00AD24B5">
      <w:pPr>
        <w:widowControl w:val="0"/>
        <w:suppressAutoHyphens/>
        <w:ind w:left="2160" w:hanging="720"/>
      </w:pPr>
    </w:p>
    <w:p w14:paraId="20EDB51B" w14:textId="77777777" w:rsidR="00AD24B5" w:rsidRPr="003B4362" w:rsidRDefault="00AD24B5" w:rsidP="00AD24B5">
      <w:pPr>
        <w:widowControl w:val="0"/>
        <w:suppressAutoHyphens/>
        <w:ind w:left="2160" w:hanging="720"/>
      </w:pPr>
      <w:r w:rsidRPr="003B4362">
        <w:lastRenderedPageBreak/>
        <w:t>3)</w:t>
      </w:r>
      <w:r w:rsidRPr="003B4362">
        <w:tab/>
        <w:t>Liquid-Liquid Extraction and Gas Chromatography.  USEPA 551.1 (95).</w:t>
      </w:r>
    </w:p>
    <w:p w14:paraId="5A49909E" w14:textId="77777777" w:rsidR="00AD24B5" w:rsidRDefault="00AD24B5" w:rsidP="00AD24B5">
      <w:pPr>
        <w:ind w:left="720"/>
      </w:pPr>
    </w:p>
    <w:p w14:paraId="533DE5FF" w14:textId="77777777" w:rsidR="00AD24B5" w:rsidRPr="003B4362" w:rsidRDefault="00AD24B5" w:rsidP="00AD24B5">
      <w:pPr>
        <w:ind w:left="720"/>
      </w:pPr>
      <w:r w:rsidRPr="003B4362">
        <w:t>d)</w:t>
      </w:r>
      <w:r w:rsidRPr="003B4362">
        <w:tab/>
        <w:t>State-Only MCLs (for which a method is not listed in subsections (a) through (c))</w:t>
      </w:r>
    </w:p>
    <w:p w14:paraId="08AD575C" w14:textId="77777777" w:rsidR="00AD24B5" w:rsidRDefault="00AD24B5" w:rsidP="00AD24B5">
      <w:pPr>
        <w:widowControl w:val="0"/>
        <w:suppressAutoHyphens/>
        <w:ind w:left="2160" w:hanging="720"/>
      </w:pPr>
    </w:p>
    <w:p w14:paraId="7CFD113A" w14:textId="77777777" w:rsidR="00AD24B5" w:rsidRPr="003B4362" w:rsidRDefault="00AD24B5" w:rsidP="00AD24B5">
      <w:pPr>
        <w:widowControl w:val="0"/>
        <w:suppressAutoHyphens/>
        <w:ind w:left="2160" w:hanging="720"/>
      </w:pPr>
      <w:r w:rsidRPr="003B4362">
        <w:t>1)</w:t>
      </w:r>
      <w:r w:rsidRPr="003B4362">
        <w:tab/>
        <w:t>Aldrin</w:t>
      </w:r>
    </w:p>
    <w:p w14:paraId="138ACFBD" w14:textId="77777777" w:rsidR="00AD24B5" w:rsidRDefault="00AD24B5" w:rsidP="00AD24B5">
      <w:pPr>
        <w:widowControl w:val="0"/>
        <w:suppressAutoHyphens/>
        <w:ind w:left="2880" w:hanging="720"/>
      </w:pPr>
    </w:p>
    <w:p w14:paraId="4F504E44"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56D760EA" w14:textId="77777777" w:rsidR="00AD24B5" w:rsidRDefault="00AD24B5" w:rsidP="00AD24B5">
      <w:pPr>
        <w:widowControl w:val="0"/>
        <w:suppressAutoHyphens/>
        <w:ind w:left="2880" w:hanging="720"/>
      </w:pPr>
    </w:p>
    <w:p w14:paraId="1FADE586"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6D4B0A76" w14:textId="77777777" w:rsidR="00AD24B5" w:rsidRDefault="00AD24B5" w:rsidP="00AD24B5">
      <w:pPr>
        <w:widowControl w:val="0"/>
        <w:suppressAutoHyphens/>
        <w:ind w:left="2880" w:hanging="720"/>
      </w:pPr>
    </w:p>
    <w:p w14:paraId="72DD4753"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2E06421A" w14:textId="77777777" w:rsidR="00AD24B5" w:rsidRDefault="00AD24B5" w:rsidP="00AD24B5">
      <w:pPr>
        <w:widowControl w:val="0"/>
        <w:suppressAutoHyphens/>
        <w:ind w:left="2880" w:hanging="720"/>
      </w:pPr>
    </w:p>
    <w:p w14:paraId="4122982B"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6734705A" w14:textId="77777777" w:rsidR="00AD24B5" w:rsidRDefault="00AD24B5" w:rsidP="00AD24B5">
      <w:pPr>
        <w:widowControl w:val="0"/>
        <w:suppressAutoHyphens/>
        <w:ind w:left="2160" w:hanging="720"/>
      </w:pPr>
    </w:p>
    <w:p w14:paraId="61C71884" w14:textId="77777777" w:rsidR="00AD24B5" w:rsidRPr="003B4362" w:rsidRDefault="00AD24B5" w:rsidP="00AD24B5">
      <w:pPr>
        <w:widowControl w:val="0"/>
        <w:suppressAutoHyphens/>
        <w:ind w:left="2160" w:hanging="720"/>
      </w:pPr>
      <w:r w:rsidRPr="003B4362">
        <w:t>2)</w:t>
      </w:r>
      <w:r w:rsidRPr="003B4362">
        <w:tab/>
        <w:t>DDT</w:t>
      </w:r>
    </w:p>
    <w:p w14:paraId="2E046868" w14:textId="77777777" w:rsidR="00AD24B5" w:rsidRDefault="00AD24B5" w:rsidP="00AD24B5">
      <w:pPr>
        <w:widowControl w:val="0"/>
        <w:suppressAutoHyphens/>
        <w:ind w:left="2880" w:hanging="720"/>
      </w:pPr>
    </w:p>
    <w:p w14:paraId="7A261932"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22A194F1" w14:textId="77777777" w:rsidR="00AD24B5" w:rsidRDefault="00AD24B5" w:rsidP="00AD24B5">
      <w:pPr>
        <w:widowControl w:val="0"/>
        <w:suppressAutoHyphens/>
        <w:ind w:left="2880" w:hanging="720"/>
      </w:pPr>
    </w:p>
    <w:p w14:paraId="2BDBAC1B"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25665762" w14:textId="77777777" w:rsidR="00AD24B5" w:rsidRDefault="00AD24B5" w:rsidP="00AD24B5">
      <w:pPr>
        <w:widowControl w:val="0"/>
        <w:suppressAutoHyphens/>
        <w:ind w:left="2160" w:hanging="720"/>
      </w:pPr>
    </w:p>
    <w:p w14:paraId="623320B1" w14:textId="77777777" w:rsidR="00AD24B5" w:rsidRPr="003B4362" w:rsidRDefault="00AD24B5" w:rsidP="00AD24B5">
      <w:pPr>
        <w:widowControl w:val="0"/>
        <w:suppressAutoHyphens/>
        <w:ind w:left="2160" w:hanging="720"/>
      </w:pPr>
      <w:r w:rsidRPr="003B4362">
        <w:t>3)</w:t>
      </w:r>
      <w:r w:rsidRPr="003B4362">
        <w:tab/>
        <w:t>Dieldrin</w:t>
      </w:r>
    </w:p>
    <w:p w14:paraId="5E7A1B30" w14:textId="77777777" w:rsidR="00AD24B5" w:rsidRDefault="00AD24B5" w:rsidP="00AD24B5">
      <w:pPr>
        <w:widowControl w:val="0"/>
        <w:suppressAutoHyphens/>
        <w:ind w:left="2880" w:hanging="720"/>
      </w:pPr>
    </w:p>
    <w:p w14:paraId="0D71E811"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65E08FAB" w14:textId="77777777" w:rsidR="00AD24B5" w:rsidRDefault="00AD24B5" w:rsidP="00AD24B5">
      <w:pPr>
        <w:widowControl w:val="0"/>
        <w:suppressAutoHyphens/>
        <w:ind w:left="2880" w:hanging="720"/>
      </w:pPr>
    </w:p>
    <w:p w14:paraId="72F47580"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274C9C4C" w14:textId="77777777" w:rsidR="00AD24B5" w:rsidRDefault="00AD24B5" w:rsidP="00AD24B5">
      <w:pPr>
        <w:widowControl w:val="0"/>
        <w:suppressAutoHyphens/>
        <w:ind w:left="2880" w:hanging="720"/>
      </w:pPr>
    </w:p>
    <w:p w14:paraId="4114DF8F"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58D14385" w14:textId="77777777" w:rsidR="00AD24B5" w:rsidRDefault="00AD24B5" w:rsidP="00AD24B5">
      <w:pPr>
        <w:widowControl w:val="0"/>
        <w:suppressAutoHyphens/>
        <w:ind w:left="2880" w:hanging="720"/>
      </w:pPr>
    </w:p>
    <w:p w14:paraId="6F182599"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0C674816" w14:textId="77777777" w:rsidR="00AD24B5" w:rsidRDefault="00AD24B5" w:rsidP="00AD24B5">
      <w:pPr>
        <w:ind w:left="720"/>
      </w:pPr>
    </w:p>
    <w:p w14:paraId="71451DE0" w14:textId="77777777" w:rsidR="00AD24B5" w:rsidRPr="003B4362" w:rsidRDefault="00AD24B5" w:rsidP="00AD24B5">
      <w:pPr>
        <w:ind w:left="720"/>
      </w:pPr>
      <w:r w:rsidRPr="003B4362">
        <w:t>e)</w:t>
      </w:r>
      <w:r w:rsidRPr="003B4362">
        <w:tab/>
        <w:t>The following endnotes are appended to method entries in subsections (a) and (b):</w:t>
      </w:r>
    </w:p>
    <w:p w14:paraId="039808D3" w14:textId="77777777" w:rsidR="00AD24B5" w:rsidRDefault="00AD24B5" w:rsidP="00AD24B5">
      <w:pPr>
        <w:widowControl w:val="0"/>
        <w:suppressAutoHyphens/>
        <w:ind w:left="2160"/>
        <w:rPr>
          <w:vertAlign w:val="superscript"/>
        </w:rPr>
      </w:pPr>
    </w:p>
    <w:p w14:paraId="7A97303C" w14:textId="77777777" w:rsidR="00AD24B5" w:rsidRPr="003B4362" w:rsidRDefault="00AD24B5" w:rsidP="00AD24B5">
      <w:pPr>
        <w:widowControl w:val="0"/>
        <w:suppressAutoHyphens/>
        <w:ind w:left="2160"/>
      </w:pPr>
      <w:r w:rsidRPr="003B4362">
        <w:rPr>
          <w:vertAlign w:val="superscript"/>
        </w:rPr>
        <w:t>1</w:t>
      </w:r>
      <w:r w:rsidRPr="003B4362">
        <w:t xml:space="preserve"> denotes that, for the particular contaminant, </w:t>
      </w:r>
      <w:bookmarkStart w:id="3871" w:name="_Hlk132807983"/>
      <w:r w:rsidRPr="003B4362">
        <w:t xml:space="preserve">the laboratory should substitute a nitrogen-phosphorus detector </w:t>
      </w:r>
      <w:bookmarkEnd w:id="3871"/>
      <w:r w:rsidRPr="003B4362">
        <w:t xml:space="preserve">for the electron capture detector in </w:t>
      </w:r>
      <w:bookmarkStart w:id="3872" w:name="_Hlk14353888"/>
      <w:r w:rsidRPr="003B4362">
        <w:t>USEPA 505 (95)</w:t>
      </w:r>
      <w:bookmarkEnd w:id="3872"/>
      <w:r w:rsidRPr="003B4362">
        <w:t xml:space="preserve"> </w:t>
      </w:r>
      <w:bookmarkStart w:id="3873" w:name="_Hlk132808055"/>
      <w:r w:rsidRPr="003B4362">
        <w:t>(or use another approved method)</w:t>
      </w:r>
      <w:bookmarkEnd w:id="3873"/>
      <w:r w:rsidRPr="003B4362">
        <w:t xml:space="preserve"> to determine alachlor, atrazine, and simazine </w:t>
      </w:r>
      <w:bookmarkStart w:id="3874" w:name="_Hlk132808342"/>
      <w:r w:rsidRPr="003B4362">
        <w:t>if it needs a lower detection limit</w:t>
      </w:r>
      <w:bookmarkEnd w:id="3874"/>
      <w:r w:rsidRPr="003B4362">
        <w:t>.</w:t>
      </w:r>
    </w:p>
    <w:p w14:paraId="152266BC" w14:textId="77777777" w:rsidR="00AD24B5" w:rsidRDefault="00AD24B5" w:rsidP="00AD24B5">
      <w:pPr>
        <w:widowControl w:val="0"/>
        <w:suppressAutoHyphens/>
        <w:ind w:left="2160"/>
        <w:rPr>
          <w:vertAlign w:val="superscript"/>
        </w:rPr>
      </w:pPr>
    </w:p>
    <w:p w14:paraId="63CBF45D" w14:textId="77777777" w:rsidR="00AD24B5" w:rsidRPr="003B4362" w:rsidRDefault="00AD24B5" w:rsidP="00AD24B5">
      <w:pPr>
        <w:widowControl w:val="0"/>
        <w:suppressAutoHyphens/>
        <w:ind w:left="2160"/>
      </w:pPr>
      <w:r w:rsidRPr="003B4362">
        <w:rPr>
          <w:vertAlign w:val="superscript"/>
        </w:rPr>
        <w:t>2</w:t>
      </w:r>
      <w:r w:rsidRPr="003B4362">
        <w:t xml:space="preserve"> denotes that </w:t>
      </w:r>
      <w:bookmarkStart w:id="3875" w:name="_Hlk14354002"/>
      <w:bookmarkStart w:id="3876" w:name="_Hlk132809305"/>
      <w:r w:rsidRPr="003B4362">
        <w:t>the laboratory may not use Syngenta AG-625 (01)</w:t>
      </w:r>
      <w:bookmarkEnd w:id="3875"/>
      <w:r w:rsidRPr="003B4362">
        <w:t xml:space="preserve"> for atrazine</w:t>
      </w:r>
      <w:bookmarkEnd w:id="3876"/>
      <w:r w:rsidRPr="003B4362">
        <w:t xml:space="preserve"> in </w:t>
      </w:r>
      <w:bookmarkStart w:id="3877" w:name="_Hlk132809423"/>
      <w:r w:rsidRPr="003B4362">
        <w:t xml:space="preserve">any system </w:t>
      </w:r>
      <w:r w:rsidRPr="003B4362">
        <w:rPr>
          <w:spacing w:val="-3"/>
        </w:rPr>
        <w:t xml:space="preserve">using </w:t>
      </w:r>
      <w:r w:rsidRPr="003B4362">
        <w:t>chlorine dioxide for treatment</w:t>
      </w:r>
      <w:bookmarkEnd w:id="3877"/>
      <w:r w:rsidRPr="003B4362">
        <w:t xml:space="preserve">.  In samples from all other systems, </w:t>
      </w:r>
      <w:bookmarkStart w:id="3878" w:name="_Hlk132809529"/>
      <w:r w:rsidRPr="003B4362">
        <w:t xml:space="preserve">the laboratory must confirm any result for atrazine </w:t>
      </w:r>
      <w:r w:rsidRPr="003B4362">
        <w:lastRenderedPageBreak/>
        <w:t xml:space="preserve">using Syngenta AG-625 (01) that is greater than one-half the maximum contaminant level (MCL) (in other words, greater than 0.0015 mg/ L or 1.5 μg/ L) </w:t>
      </w:r>
      <w:bookmarkStart w:id="3879" w:name="_Hlk132809679"/>
      <w:bookmarkEnd w:id="3878"/>
      <w:r w:rsidRPr="003B4362">
        <w:t>using another approved method and additional volume</w:t>
      </w:r>
      <w:bookmarkEnd w:id="3879"/>
      <w:r w:rsidRPr="003B4362">
        <w:t xml:space="preserve"> of the </w:t>
      </w:r>
      <w:bookmarkStart w:id="3880" w:name="_Hlk132809866"/>
      <w:r w:rsidRPr="003B4362">
        <w:t>original sample the supplier collected</w:t>
      </w:r>
      <w:bookmarkEnd w:id="3880"/>
      <w:r w:rsidRPr="003B4362">
        <w:t xml:space="preserve">.  </w:t>
      </w:r>
      <w:r w:rsidRPr="003B4362">
        <w:rPr>
          <w:spacing w:val="-3"/>
        </w:rPr>
        <w:t xml:space="preserve">If </w:t>
      </w:r>
      <w:r w:rsidRPr="003B4362">
        <w:t xml:space="preserve">a result from Syngenta AG-625 (01) </w:t>
      </w:r>
      <w:bookmarkStart w:id="3881" w:name="_Hlk132809987"/>
      <w:r w:rsidRPr="003B4362">
        <w:t>triggers confirmatory testing</w:t>
      </w:r>
      <w:bookmarkEnd w:id="3881"/>
      <w:r w:rsidRPr="003B4362">
        <w:t xml:space="preserve">, </w:t>
      </w:r>
      <w:bookmarkStart w:id="3882" w:name="_Hlk132810057"/>
      <w:r w:rsidRPr="003B4362">
        <w:t xml:space="preserve">the supplier must use the confirmatory result </w:t>
      </w:r>
      <w:bookmarkEnd w:id="3882"/>
      <w:r w:rsidRPr="003B4362">
        <w:t>to determine compliance.</w:t>
      </w:r>
    </w:p>
    <w:p w14:paraId="226A8B39" w14:textId="77777777" w:rsidR="00AD24B5" w:rsidRDefault="00AD24B5" w:rsidP="00AD24B5">
      <w:pPr>
        <w:widowControl w:val="0"/>
      </w:pPr>
    </w:p>
    <w:p w14:paraId="6C6BD1B6" w14:textId="77777777" w:rsidR="00AD24B5" w:rsidRPr="003B4362" w:rsidRDefault="00AD24B5" w:rsidP="00AD24B5">
      <w:pPr>
        <w:widowControl w:val="0"/>
      </w:pPr>
      <w:r w:rsidRPr="003B4362">
        <w:t xml:space="preserve">BOARD NOTE:  </w:t>
      </w:r>
      <w:r w:rsidRPr="003B4362">
        <w:rPr>
          <w:spacing w:val="-3"/>
        </w:rPr>
        <w:t xml:space="preserve">This Section derives </w:t>
      </w:r>
      <w:r w:rsidRPr="003B4362">
        <w:t xml:space="preserve">from 40 CFR 141.24(e) and appendix A to subpart C of 40 CFR 141.  The Board did not separately list approved alternative methods from Standard Methods Online that are the same version as a method appearing in a printed edition of Standard Methods.  </w:t>
      </w:r>
      <w:r w:rsidRPr="003B4362">
        <w:rPr>
          <w:szCs w:val="22"/>
        </w:rPr>
        <w:t xml:space="preserve">Using </w:t>
      </w:r>
      <w:r w:rsidRPr="003B4362">
        <w:t>the Standard Methods Online copy is acceptable.</w:t>
      </w:r>
    </w:p>
    <w:p w14:paraId="7F59224F" w14:textId="77777777" w:rsidR="00AD24B5" w:rsidRDefault="00AD24B5" w:rsidP="00AD24B5">
      <w:pPr>
        <w:widowControl w:val="0"/>
        <w:ind w:left="720"/>
      </w:pPr>
    </w:p>
    <w:p w14:paraId="19861FD2" w14:textId="77777777" w:rsidR="00AD24B5" w:rsidRPr="003B4362" w:rsidRDefault="00AD24B5" w:rsidP="00AD24B5">
      <w:pPr>
        <w:widowControl w:val="0"/>
        <w:ind w:left="720"/>
      </w:pPr>
      <w:r w:rsidRPr="003B4362">
        <w:t xml:space="preserve">Standard Methods Online, Method </w:t>
      </w:r>
      <w:bookmarkStart w:id="3883" w:name="_Hlk3991860"/>
      <w:r w:rsidRPr="003B4362">
        <w:t>6610 B-04</w:t>
      </w:r>
      <w:bookmarkEnd w:id="3883"/>
      <w:r w:rsidRPr="003B4362">
        <w:t xml:space="preserve"> appears in the 22nd and 23rd editions as Method 6610 B.  This appears in this Section as SM 6610 B (04).</w:t>
      </w:r>
    </w:p>
    <w:p w14:paraId="497F7D27" w14:textId="77777777" w:rsidR="00AD24B5" w:rsidRDefault="00AD24B5" w:rsidP="00AD24B5">
      <w:pPr>
        <w:widowControl w:val="0"/>
        <w:ind w:left="720"/>
      </w:pPr>
    </w:p>
    <w:p w14:paraId="3AF10E0C" w14:textId="77777777" w:rsidR="00AD24B5" w:rsidRPr="003B4362" w:rsidRDefault="00AD24B5" w:rsidP="00AD24B5">
      <w:pPr>
        <w:widowControl w:val="0"/>
        <w:ind w:left="720"/>
      </w:pPr>
      <w:r w:rsidRPr="003B4362">
        <w:t xml:space="preserve">Standard Methods Online, Method </w:t>
      </w:r>
      <w:bookmarkStart w:id="3884" w:name="_Hlk3991874"/>
      <w:r w:rsidRPr="003B4362">
        <w:t>6640 B-01</w:t>
      </w:r>
      <w:bookmarkEnd w:id="3884"/>
      <w:r w:rsidRPr="003B4362">
        <w:t xml:space="preserve"> appears in the 21st edition as Method 6640 B.  This appears in this Section as SM 6640 B (01).</w:t>
      </w:r>
    </w:p>
    <w:p w14:paraId="4CB4A3C5" w14:textId="77777777" w:rsidR="00AD24B5" w:rsidRDefault="00AD24B5" w:rsidP="00AD24B5">
      <w:pPr>
        <w:widowControl w:val="0"/>
        <w:ind w:left="720"/>
      </w:pPr>
    </w:p>
    <w:p w14:paraId="48FBAC5C" w14:textId="77777777" w:rsidR="00AD24B5" w:rsidRPr="003B4362" w:rsidRDefault="00AD24B5" w:rsidP="00AD24B5">
      <w:pPr>
        <w:widowControl w:val="0"/>
        <w:ind w:left="720"/>
      </w:pPr>
      <w:r w:rsidRPr="003B4362">
        <w:t xml:space="preserve">Standard Methods Online, Method </w:t>
      </w:r>
      <w:bookmarkStart w:id="3885" w:name="_Hlk3991906"/>
      <w:r w:rsidRPr="003B4362">
        <w:t>6640 B-06</w:t>
      </w:r>
      <w:bookmarkEnd w:id="3885"/>
      <w:r w:rsidRPr="003B4362">
        <w:t xml:space="preserve"> appears in the 22nd and 23rd editions as Method 6640 B.  This appears in this Section as SM 6640 B (06).</w:t>
      </w:r>
    </w:p>
    <w:p w14:paraId="7A101F8F" w14:textId="77777777" w:rsidR="00AD24B5" w:rsidRDefault="00AD24B5" w:rsidP="00AD24B5">
      <w:pPr>
        <w:widowControl w:val="0"/>
        <w:ind w:left="720"/>
      </w:pPr>
    </w:p>
    <w:p w14:paraId="57979E7E" w14:textId="77777777" w:rsidR="00AD24B5" w:rsidRPr="003B4362" w:rsidRDefault="00AD24B5" w:rsidP="00AD24B5">
      <w:pPr>
        <w:widowControl w:val="0"/>
        <w:ind w:left="720"/>
      </w:pPr>
      <w:r w:rsidRPr="003B4362">
        <w:t xml:space="preserve">Standard Methods Online, Method </w:t>
      </w:r>
      <w:bookmarkStart w:id="3886" w:name="_Hlk3991925"/>
      <w:r w:rsidRPr="003B4362">
        <w:t>6651 B-00</w:t>
      </w:r>
      <w:bookmarkEnd w:id="3886"/>
      <w:r w:rsidRPr="003B4362">
        <w:t xml:space="preserve"> appears in the 21st edition as Method 6651 B.  This appears in this Section as SM 6651 B (00).</w:t>
      </w:r>
    </w:p>
    <w:p w14:paraId="6EA83730" w14:textId="77777777" w:rsidR="00AD24B5" w:rsidRDefault="00AD24B5" w:rsidP="00AD24B5">
      <w:pPr>
        <w:widowControl w:val="0"/>
        <w:ind w:left="720"/>
      </w:pPr>
    </w:p>
    <w:p w14:paraId="465A3076" w14:textId="77777777" w:rsidR="00AD24B5" w:rsidRPr="003B4362" w:rsidRDefault="00AD24B5" w:rsidP="00AD24B5">
      <w:pPr>
        <w:widowControl w:val="0"/>
        <w:ind w:left="720"/>
      </w:pPr>
      <w:r w:rsidRPr="003B4362">
        <w:t xml:space="preserve">Standard Methods Online, Method </w:t>
      </w:r>
      <w:bookmarkStart w:id="3887" w:name="_Hlk3991952"/>
      <w:r w:rsidRPr="003B4362">
        <w:t>6651 B-05</w:t>
      </w:r>
      <w:bookmarkEnd w:id="3887"/>
      <w:r w:rsidRPr="003B4362">
        <w:t xml:space="preserve"> appears in the 22nd and 23rd editions as Method 6651 B.  This appears in this Section as SM 6651 B (05).</w:t>
      </w:r>
    </w:p>
    <w:p w14:paraId="0D01FACF" w14:textId="77777777" w:rsidR="00AD24B5" w:rsidRDefault="00AD24B5" w:rsidP="00AD24B5">
      <w:pPr>
        <w:suppressAutoHyphens/>
        <w:ind w:left="720"/>
      </w:pPr>
    </w:p>
    <w:p w14:paraId="1FFF85CF" w14:textId="4631724E" w:rsidR="00AD24B5" w:rsidRDefault="00AD24B5" w:rsidP="00AD24B5">
      <w:pPr>
        <w:suppressAutoHyphens/>
        <w:ind w:left="720"/>
      </w:pPr>
      <w:r w:rsidRPr="003B4362">
        <w:t>(Source:  A</w:t>
      </w:r>
      <w:r w:rsidRPr="003B4362">
        <w:rPr>
          <w:szCs w:val="17"/>
        </w:rPr>
        <w:t xml:space="preserve">mended at </w:t>
      </w:r>
      <w:r>
        <w:t>47</w:t>
      </w:r>
      <w:r w:rsidRPr="003B4362">
        <w:t xml:space="preserve"> Ill. Reg</w:t>
      </w:r>
      <w:r>
        <w:t>. 18996</w:t>
      </w:r>
      <w:r w:rsidRPr="003B4362">
        <w:t xml:space="preserve">, effective </w:t>
      </w:r>
      <w:r>
        <w:t>December 26, 2023</w:t>
      </w:r>
      <w:r w:rsidRPr="003B4362">
        <w:t>)</w:t>
      </w:r>
    </w:p>
    <w:p w14:paraId="71FAE184" w14:textId="77777777" w:rsidR="000B584F" w:rsidRPr="003B4362" w:rsidRDefault="000B584F" w:rsidP="00AD24B5">
      <w:pPr>
        <w:suppressAutoHyphens/>
        <w:ind w:left="720"/>
      </w:pPr>
    </w:p>
    <w:p w14:paraId="551EA43D" w14:textId="40AA7439" w:rsidR="000B584F" w:rsidRDefault="000B584F" w:rsidP="000B584F">
      <w:pPr>
        <w:rPr>
          <w:b/>
          <w:bCs/>
        </w:rPr>
      </w:pPr>
      <w:r w:rsidRPr="000B584F">
        <w:rPr>
          <w:b/>
          <w:bCs/>
        </w:rPr>
        <w:t>Section 611.646  Phase I, Phase II, and Phase V Volatile Organic Contaminants</w:t>
      </w:r>
    </w:p>
    <w:p w14:paraId="66397E81" w14:textId="77777777" w:rsidR="000B584F" w:rsidRPr="000B584F" w:rsidRDefault="000B584F" w:rsidP="000B584F">
      <w:pPr>
        <w:rPr>
          <w:b/>
          <w:bCs/>
        </w:rPr>
      </w:pPr>
    </w:p>
    <w:p w14:paraId="138F9EBD" w14:textId="46B705DC" w:rsidR="000B584F" w:rsidRDefault="000B584F" w:rsidP="000B584F">
      <w:pPr>
        <w:suppressAutoHyphens/>
      </w:pPr>
      <w:r w:rsidRPr="001A7517">
        <w:t>Monitoring of the Phase I, Phase II, and Phase V VOCs for the purpose of determining compliance with the MCL must be conducted as follows:</w:t>
      </w:r>
    </w:p>
    <w:p w14:paraId="7668B172" w14:textId="77777777" w:rsidR="000B584F" w:rsidRPr="001A7517" w:rsidRDefault="000B584F" w:rsidP="000B584F">
      <w:pPr>
        <w:suppressAutoHyphens/>
      </w:pPr>
    </w:p>
    <w:p w14:paraId="07C985B1" w14:textId="296C4B2A" w:rsidR="000B584F" w:rsidRDefault="000B584F" w:rsidP="000B584F">
      <w:pPr>
        <w:suppressAutoHyphens/>
        <w:ind w:left="1440" w:hanging="720"/>
      </w:pPr>
      <w:r w:rsidRPr="001A7517">
        <w:t>a)</w:t>
      </w:r>
      <w:r w:rsidRPr="001A7517">
        <w:tab/>
        <w:t>Definitions.  As used in this Section the following have the given meanings:</w:t>
      </w:r>
    </w:p>
    <w:p w14:paraId="3A8C61B3" w14:textId="77777777" w:rsidR="000B584F" w:rsidRPr="001A7517" w:rsidRDefault="000B584F" w:rsidP="000B584F">
      <w:pPr>
        <w:suppressAutoHyphens/>
        <w:ind w:left="1440" w:hanging="720"/>
      </w:pPr>
    </w:p>
    <w:p w14:paraId="591A8049" w14:textId="77777777" w:rsidR="000B584F" w:rsidRPr="001A7517" w:rsidRDefault="000B584F" w:rsidP="000B584F">
      <w:pPr>
        <w:suppressAutoHyphens/>
        <w:ind w:left="2160"/>
      </w:pPr>
      <w:r w:rsidRPr="001A7517">
        <w:t>“Detect” and “detection” mean that the contaminant of interest is present at a level greater than or equal to the “detection limit”.</w:t>
      </w:r>
    </w:p>
    <w:p w14:paraId="6A1623A1" w14:textId="77777777" w:rsidR="000B584F" w:rsidRDefault="000B584F" w:rsidP="000B584F">
      <w:pPr>
        <w:ind w:left="2160"/>
      </w:pPr>
    </w:p>
    <w:p w14:paraId="68B85811" w14:textId="4C83746C" w:rsidR="000B584F" w:rsidRPr="001A7517" w:rsidRDefault="000B584F" w:rsidP="000B584F">
      <w:pPr>
        <w:ind w:left="2160"/>
      </w:pPr>
      <w:r w:rsidRPr="001A7517">
        <w:t>“Detection limit” means 0.0005 mg/ℓ.</w:t>
      </w:r>
    </w:p>
    <w:p w14:paraId="0317856E" w14:textId="0A919BD9" w:rsidR="000B584F" w:rsidRDefault="000B584F" w:rsidP="000B584F">
      <w:pPr>
        <w:suppressAutoHyphens/>
        <w:ind w:left="2160"/>
      </w:pPr>
      <w:r w:rsidRPr="001A7517">
        <w:t xml:space="preserve">BOARD NOTE:  Derived from 40 CFR 141.24(f)(7), (f)(11), (f)(14)(i), and (f)(20).  This is a “trigger level” for Phase I, Phase II, and Phase V VOCs inasmuch as it prompts further action.  The use of the term “detect” in this Section is not intended to include any analytical capability of quantifying lower levels of any contaminant, or the “method detection </w:t>
      </w:r>
      <w:r w:rsidRPr="001A7517">
        <w:lastRenderedPageBreak/>
        <w:t>limit”.  Note, however, that certain language at the end of federal paragraph (f)(20) is capable of meaning that the “method detection limit” is used to derive the “detection limit”.  The Board has chosen to disregard that language at the end of paragraph (f)(20) in favor of the more direct language of paragraphs (f)(7) and (f)(11).</w:t>
      </w:r>
    </w:p>
    <w:p w14:paraId="0F147807" w14:textId="77777777" w:rsidR="000B584F" w:rsidRPr="001A7517" w:rsidRDefault="000B584F" w:rsidP="000B584F">
      <w:pPr>
        <w:suppressAutoHyphens/>
        <w:ind w:left="2160"/>
      </w:pPr>
    </w:p>
    <w:p w14:paraId="38668D1A" w14:textId="77777777" w:rsidR="000B584F" w:rsidRPr="001A7517" w:rsidRDefault="000B584F" w:rsidP="000B584F">
      <w:pPr>
        <w:suppressAutoHyphens/>
        <w:ind w:left="2160"/>
      </w:pPr>
      <w:r w:rsidRPr="001A7517">
        <w:t>“Method detection limit</w:t>
      </w:r>
      <w:r w:rsidRPr="001A7517">
        <w:rPr>
          <w:szCs w:val="16"/>
        </w:rPr>
        <w:t>”,</w:t>
      </w:r>
      <w:r w:rsidRPr="001A7517">
        <w:t xml:space="preserve"> as used in subsections (q) and (t) means the minimum concentration of a substance that can be measured and reported with 99 percent confidence that the analyte concentration is greater than zero and is determined from analysis of a sample in a given matrix containing the analyte.</w:t>
      </w:r>
    </w:p>
    <w:p w14:paraId="513FE481" w14:textId="1F4D4DC1" w:rsidR="000B584F" w:rsidRDefault="000B584F" w:rsidP="000B584F">
      <w:pPr>
        <w:suppressAutoHyphens/>
        <w:ind w:left="2160"/>
      </w:pPr>
      <w:r w:rsidRPr="001A7517">
        <w:t>BOARD NOTE:  Derived from appendix B to 40 CFR 136.  The method detection limit is determined by the procedure set forth in appendix B to 40 CFR 136, incorporated by reference in Section 611.102(c).  See subsection (t).</w:t>
      </w:r>
    </w:p>
    <w:p w14:paraId="73ACBB34" w14:textId="77777777" w:rsidR="000B584F" w:rsidRPr="001A7517" w:rsidRDefault="000B584F" w:rsidP="000B584F">
      <w:pPr>
        <w:suppressAutoHyphens/>
        <w:ind w:left="2160"/>
      </w:pPr>
    </w:p>
    <w:p w14:paraId="1B2E1357" w14:textId="4496AEC7" w:rsidR="000B584F" w:rsidRDefault="000B584F" w:rsidP="000B584F">
      <w:pPr>
        <w:ind w:left="1440" w:hanging="720"/>
      </w:pPr>
      <w:r w:rsidRPr="001A7517">
        <w:t>b)</w:t>
      </w:r>
      <w:r w:rsidRPr="001A7517">
        <w:tab/>
        <w:t>Required Sampling.  Each supplier must take a minimum of one sample at each sampling point at the times required in subsection (u).</w:t>
      </w:r>
    </w:p>
    <w:p w14:paraId="63BBEFEB" w14:textId="77777777" w:rsidR="000B584F" w:rsidRPr="001A7517" w:rsidRDefault="000B584F" w:rsidP="000B584F">
      <w:pPr>
        <w:ind w:left="1440" w:hanging="720"/>
      </w:pPr>
    </w:p>
    <w:p w14:paraId="51A8A85A" w14:textId="3BEFEC3A" w:rsidR="000B584F" w:rsidRDefault="000B584F" w:rsidP="000B584F">
      <w:pPr>
        <w:ind w:left="1440" w:hanging="720"/>
      </w:pPr>
      <w:r w:rsidRPr="001A7517">
        <w:t>c)</w:t>
      </w:r>
      <w:r w:rsidRPr="001A7517">
        <w:tab/>
        <w:t>Sampling Points</w:t>
      </w:r>
    </w:p>
    <w:p w14:paraId="7E464F73" w14:textId="77777777" w:rsidR="000B584F" w:rsidRPr="001A7517" w:rsidRDefault="000B584F" w:rsidP="000B584F">
      <w:pPr>
        <w:ind w:left="1440" w:hanging="720"/>
      </w:pPr>
    </w:p>
    <w:p w14:paraId="4E4F63EE" w14:textId="6A62DB92" w:rsidR="000B584F" w:rsidRDefault="000B584F" w:rsidP="000B584F">
      <w:pPr>
        <w:suppressAutoHyphens/>
        <w:ind w:left="2160" w:hanging="720"/>
      </w:pPr>
      <w:r w:rsidRPr="001A7517">
        <w:t>1)</w:t>
      </w:r>
      <w:r w:rsidRPr="001A7517">
        <w:tab/>
        <w:t>Sampling Points for a GWS.  Unless otherwise provided by a SEP granted by the Agency, a GWS supplier must take at least one sample from each of the following points:  each entry point that is representative of each well after treatment.</w:t>
      </w:r>
    </w:p>
    <w:p w14:paraId="6D8E6659" w14:textId="77777777" w:rsidR="000B584F" w:rsidRPr="001A7517" w:rsidRDefault="000B584F" w:rsidP="000B584F">
      <w:pPr>
        <w:suppressAutoHyphens/>
        <w:ind w:left="2160" w:hanging="720"/>
      </w:pPr>
    </w:p>
    <w:p w14:paraId="56B97621" w14:textId="0AF95D45" w:rsidR="000B584F" w:rsidRDefault="000B584F" w:rsidP="000B584F">
      <w:pPr>
        <w:suppressAutoHyphens/>
        <w:ind w:left="2160" w:hanging="720"/>
      </w:pPr>
      <w:r w:rsidRPr="001A7517">
        <w:t>2)</w:t>
      </w:r>
      <w:r w:rsidRPr="001A7517">
        <w:tab/>
        <w:t>Sampling Points for an SWS or Mixed System Supplier.  Unless otherwise provided by a SEP granted by the Agency, an SWS or mixed system supplier must sample from each of the following points:</w:t>
      </w:r>
    </w:p>
    <w:p w14:paraId="1B7BDA23" w14:textId="77777777" w:rsidR="000B584F" w:rsidRPr="001A7517" w:rsidRDefault="000B584F" w:rsidP="000B584F">
      <w:pPr>
        <w:suppressAutoHyphens/>
        <w:ind w:left="2160" w:hanging="720"/>
      </w:pPr>
    </w:p>
    <w:p w14:paraId="23F5B392" w14:textId="796C41C9" w:rsidR="000B584F" w:rsidRDefault="000B584F" w:rsidP="000B584F">
      <w:pPr>
        <w:suppressAutoHyphens/>
        <w:ind w:left="2880" w:hanging="720"/>
      </w:pPr>
      <w:r w:rsidRPr="001A7517">
        <w:t>A)</w:t>
      </w:r>
      <w:r w:rsidRPr="001A7517">
        <w:tab/>
        <w:t>Each entry point after treatment; or</w:t>
      </w:r>
    </w:p>
    <w:p w14:paraId="4924AA64" w14:textId="77777777" w:rsidR="000B584F" w:rsidRPr="001A7517" w:rsidRDefault="000B584F" w:rsidP="000B584F">
      <w:pPr>
        <w:suppressAutoHyphens/>
        <w:ind w:left="2880" w:hanging="720"/>
      </w:pPr>
    </w:p>
    <w:p w14:paraId="23F6AAE1" w14:textId="1EA9873C" w:rsidR="000B584F" w:rsidRDefault="000B584F" w:rsidP="000B584F">
      <w:pPr>
        <w:suppressAutoHyphens/>
        <w:ind w:left="2880" w:hanging="720"/>
      </w:pPr>
      <w:r w:rsidRPr="001A7517">
        <w:t>B)</w:t>
      </w:r>
      <w:r w:rsidRPr="001A7517">
        <w:tab/>
        <w:t>Points in the distribution system that are representative of each source.</w:t>
      </w:r>
    </w:p>
    <w:p w14:paraId="68B5D885" w14:textId="77777777" w:rsidR="000B584F" w:rsidRPr="001A7517" w:rsidRDefault="000B584F" w:rsidP="000B584F">
      <w:pPr>
        <w:suppressAutoHyphens/>
        <w:ind w:left="2880" w:hanging="720"/>
      </w:pPr>
    </w:p>
    <w:p w14:paraId="49062E1D" w14:textId="23404A59" w:rsidR="000B584F" w:rsidRDefault="000B584F" w:rsidP="000B584F">
      <w:pPr>
        <w:suppressAutoHyphens/>
        <w:ind w:left="2160" w:hanging="720"/>
      </w:pPr>
      <w:r w:rsidRPr="001A7517">
        <w:t>3)</w:t>
      </w:r>
      <w:r w:rsidRPr="001A7517">
        <w:tab/>
        <w:t>The supplier must take each sample at the same sampling point unless the Agency has granted a SEP that designates another location as more representative of each source, treatment plant, or within the distribution system.</w:t>
      </w:r>
    </w:p>
    <w:p w14:paraId="7470FE9D" w14:textId="77777777" w:rsidR="000B584F" w:rsidRPr="001A7517" w:rsidRDefault="000B584F" w:rsidP="000B584F">
      <w:pPr>
        <w:suppressAutoHyphens/>
        <w:ind w:left="2160" w:hanging="720"/>
      </w:pPr>
    </w:p>
    <w:p w14:paraId="0D23E71B" w14:textId="2DE4B569" w:rsidR="000B584F" w:rsidRDefault="000B584F" w:rsidP="000B584F">
      <w:pPr>
        <w:suppressAutoHyphens/>
        <w:ind w:left="2160" w:hanging="720"/>
      </w:pPr>
      <w:r w:rsidRPr="001A7517">
        <w:t>4)</w:t>
      </w:r>
      <w:r w:rsidRPr="001A7517">
        <w:tab/>
        <w:t>If a system draws water from more than one source, and the sources are combined before distribution, the supplier must sample at an entry point during periods of normal operating conditions when water is representative of all sources being used.</w:t>
      </w:r>
    </w:p>
    <w:p w14:paraId="3A105809" w14:textId="77777777" w:rsidR="000B584F" w:rsidRPr="001A7517" w:rsidRDefault="000B584F" w:rsidP="000B584F">
      <w:pPr>
        <w:suppressAutoHyphens/>
        <w:ind w:left="2160" w:hanging="720"/>
      </w:pPr>
    </w:p>
    <w:p w14:paraId="35659EBF" w14:textId="200E1169" w:rsidR="000B584F" w:rsidRDefault="000B584F" w:rsidP="000B584F">
      <w:pPr>
        <w:suppressAutoHyphens/>
        <w:ind w:left="1440"/>
      </w:pPr>
      <w:r w:rsidRPr="001A7517">
        <w:lastRenderedPageBreak/>
        <w:t>BOARD NOTE:  Subsections (b) and (c) derived from 40 CFR 141.24(f)(1) through (f)(3).</w:t>
      </w:r>
    </w:p>
    <w:p w14:paraId="56BEAF34" w14:textId="77777777" w:rsidR="000B584F" w:rsidRPr="001A7517" w:rsidRDefault="000B584F" w:rsidP="000B584F">
      <w:pPr>
        <w:suppressAutoHyphens/>
        <w:ind w:left="1440"/>
      </w:pPr>
    </w:p>
    <w:p w14:paraId="1687D81C" w14:textId="6C54315C" w:rsidR="000B584F" w:rsidRDefault="000B584F" w:rsidP="000B584F">
      <w:pPr>
        <w:suppressAutoHyphens/>
        <w:ind w:left="1440" w:hanging="720"/>
      </w:pPr>
      <w:r w:rsidRPr="001A7517">
        <w:t>d)</w:t>
      </w:r>
      <w:r w:rsidRPr="001A7517">
        <w:tab/>
        <w:t>Each CWS and NTNCWS supplier must take four consecutive quarterly samples for each of the Phase I VOCs, excluding vinyl chloride, and Phase II VOCs during each compliance period, beginning in the compliance period starting in the initial compliance period.</w:t>
      </w:r>
    </w:p>
    <w:p w14:paraId="74F67D98" w14:textId="77777777" w:rsidR="000B584F" w:rsidRPr="001A7517" w:rsidRDefault="000B584F" w:rsidP="000B584F">
      <w:pPr>
        <w:suppressAutoHyphens/>
        <w:ind w:left="1440" w:hanging="720"/>
      </w:pPr>
    </w:p>
    <w:p w14:paraId="747A7206" w14:textId="2F3D3511" w:rsidR="000B584F" w:rsidRDefault="000B584F" w:rsidP="000B584F">
      <w:pPr>
        <w:suppressAutoHyphens/>
        <w:ind w:left="1440" w:hanging="720"/>
      </w:pPr>
      <w:r w:rsidRPr="001A7517">
        <w:t>e)</w:t>
      </w:r>
      <w:r w:rsidRPr="001A7517">
        <w:tab/>
        <w:t>This subsection (e) corresponds with 40 CFR 141.24(f)(5), which no longer has operative effect.  This statement maintains structural consistency with the federal regulations.</w:t>
      </w:r>
    </w:p>
    <w:p w14:paraId="5A29A8F6" w14:textId="77777777" w:rsidR="000B584F" w:rsidRPr="001A7517" w:rsidRDefault="000B584F" w:rsidP="000B584F">
      <w:pPr>
        <w:suppressAutoHyphens/>
        <w:ind w:left="1440" w:hanging="720"/>
      </w:pPr>
    </w:p>
    <w:p w14:paraId="187557CD" w14:textId="0B43D2C4" w:rsidR="000B584F" w:rsidRDefault="000B584F" w:rsidP="000B584F">
      <w:pPr>
        <w:suppressAutoHyphens/>
        <w:ind w:left="1440" w:hanging="720"/>
      </w:pPr>
      <w:r w:rsidRPr="001A7517">
        <w:t>f)</w:t>
      </w:r>
      <w:r w:rsidRPr="001A7517">
        <w:tab/>
        <w:t>GWS Reduction to Triennial Monitoring Frequency.  After a minimum of three years of annual sampling, GWS suppliers that have not previously detected any of the Phase I VOCs, including vinyl chloride; Phase II VOCs; or Phase V VOCs must take one sample during each three-year compliance period.</w:t>
      </w:r>
    </w:p>
    <w:p w14:paraId="43F9642C" w14:textId="77777777" w:rsidR="000B584F" w:rsidRPr="001A7517" w:rsidRDefault="000B584F" w:rsidP="000B584F">
      <w:pPr>
        <w:suppressAutoHyphens/>
        <w:ind w:left="1440" w:hanging="720"/>
      </w:pPr>
    </w:p>
    <w:p w14:paraId="68B6249E" w14:textId="77777777" w:rsidR="000B584F" w:rsidRPr="001A7517" w:rsidRDefault="000B584F" w:rsidP="000B584F">
      <w:pPr>
        <w:suppressAutoHyphens/>
        <w:ind w:left="1440" w:hanging="720"/>
      </w:pPr>
      <w:r w:rsidRPr="001A7517">
        <w:t>g)</w:t>
      </w:r>
      <w:r w:rsidRPr="001A7517">
        <w:tab/>
        <w:t>A CWS or NTNCWS supplier that has completed the initial round of monitoring required by subsection (d) and that did not detect any of the Phase I VOCs, including vinyl chloride; Phase II VOCs; and Phase V VOCs may apply to the Agency for a SEP that releases it from the requirements of subsection (f).  A supplier that serves fewer than 3300 service connections may apply to the Agency for a SEP that releases it from the requirements of subsection (d) as to 1,2,4-tri</w:t>
      </w:r>
      <w:r w:rsidRPr="001A7517">
        <w:softHyphen/>
        <w:t>chloro</w:t>
      </w:r>
      <w:r w:rsidRPr="001A7517">
        <w:softHyphen/>
        <w:t>benzene.</w:t>
      </w:r>
    </w:p>
    <w:p w14:paraId="2EA7B6BD" w14:textId="5184C3F3" w:rsidR="000B584F" w:rsidRDefault="000B584F" w:rsidP="000B584F">
      <w:pPr>
        <w:suppressAutoHyphens/>
        <w:ind w:left="1440"/>
      </w:pPr>
      <w:r w:rsidRPr="001A7517">
        <w:t>BOARD NOTE:  Derived from 40 CFR 141.24(f)(7) and (f)(10), and the discussion at 57 Fed. Reg. 31825 (July 17, 1992).  Provisions concerning the term of the waiver appear in subsections (i) and (j).  The definition of “detect</w:t>
      </w:r>
      <w:r w:rsidRPr="001A7517">
        <w:rPr>
          <w:szCs w:val="16"/>
        </w:rPr>
        <w:t>”,</w:t>
      </w:r>
      <w:r w:rsidRPr="001A7517">
        <w:t xml:space="preserve"> parenthetically added to the federal counterpart paragraph, is in subsection (a).</w:t>
      </w:r>
    </w:p>
    <w:p w14:paraId="6D5E248E" w14:textId="77777777" w:rsidR="000B584F" w:rsidRPr="001A7517" w:rsidRDefault="000B584F" w:rsidP="000B584F">
      <w:pPr>
        <w:suppressAutoHyphens/>
        <w:ind w:left="1440"/>
      </w:pPr>
    </w:p>
    <w:p w14:paraId="731A355E" w14:textId="4FAD4F46" w:rsidR="000B584F" w:rsidRDefault="000B584F" w:rsidP="000B584F">
      <w:pPr>
        <w:suppressAutoHyphens/>
        <w:ind w:left="1440" w:hanging="720"/>
      </w:pPr>
      <w:r w:rsidRPr="001A7517">
        <w:t>h)</w:t>
      </w:r>
      <w:r w:rsidRPr="001A7517">
        <w:tab/>
        <w:t>Vulnerability Assessment.  The Agency must consider the factors of Section 611.110(a) in granting a SEP from the requirements of subsection (d), (e), or (f) under subsection (g).</w:t>
      </w:r>
    </w:p>
    <w:p w14:paraId="46C71BA7" w14:textId="77777777" w:rsidR="000B584F" w:rsidRPr="001A7517" w:rsidRDefault="000B584F" w:rsidP="000B584F">
      <w:pPr>
        <w:suppressAutoHyphens/>
        <w:ind w:left="1440" w:hanging="720"/>
      </w:pPr>
    </w:p>
    <w:p w14:paraId="4F7E46A4" w14:textId="5F7CACBC" w:rsidR="000B584F" w:rsidRDefault="000B584F" w:rsidP="000B584F">
      <w:pPr>
        <w:suppressAutoHyphens/>
        <w:ind w:left="1440" w:hanging="720"/>
      </w:pPr>
      <w:r w:rsidRPr="001A7517">
        <w:t>i)</w:t>
      </w:r>
      <w:r w:rsidRPr="001A7517">
        <w:tab/>
        <w:t>A SEP issued to a GWS under subsection (g) is for a maximum of six years, except that a SEP as to the subsection (d) monitoring for 1,2,4-tri</w:t>
      </w:r>
      <w:r w:rsidRPr="001A7517">
        <w:softHyphen/>
        <w:t>chloro</w:t>
      </w:r>
      <w:r w:rsidRPr="001A7517">
        <w:softHyphen/>
        <w:t>benzene must apply only to the initial round of monitoring.  As a condition of a SEP, except as to a SEP from the initial round of subsection (d) monitoring for 1,2,4-tri</w:t>
      </w:r>
      <w:r w:rsidRPr="001A7517">
        <w:softHyphen/>
        <w:t>chloro</w:t>
      </w:r>
      <w:r w:rsidRPr="001A7517">
        <w:softHyphen/>
        <w:t>benzene, the supplier shall, within 30 months after the beginning of the period for which the waiver was issued, reconfirm its vulnerability assessment required by subsection (h) and submitted under subsection (g), by taking one sample at each sampling point and reapplying for a SEP under subsection (g).  Based on this application, the Agency must do either of the following:</w:t>
      </w:r>
    </w:p>
    <w:p w14:paraId="4CFB84AF" w14:textId="77777777" w:rsidR="000B584F" w:rsidRPr="001A7517" w:rsidRDefault="000B584F" w:rsidP="000B584F">
      <w:pPr>
        <w:suppressAutoHyphens/>
        <w:ind w:left="1440" w:hanging="720"/>
      </w:pPr>
    </w:p>
    <w:p w14:paraId="3A68E635" w14:textId="681E05FD" w:rsidR="000B584F" w:rsidRDefault="000B584F" w:rsidP="000B584F">
      <w:pPr>
        <w:suppressAutoHyphens/>
        <w:ind w:left="2160" w:hanging="720"/>
      </w:pPr>
      <w:r w:rsidRPr="001A7517">
        <w:lastRenderedPageBreak/>
        <w:t>1)</w:t>
      </w:r>
      <w:r w:rsidRPr="001A7517">
        <w:tab/>
        <w:t>If it determines that the PWS meets the standard of Section 611.610(e), issue a SEP that reconfirms the prior SEP for the remaining three-year compliance period of the six-year maximum term; or</w:t>
      </w:r>
    </w:p>
    <w:p w14:paraId="62D8A1A3" w14:textId="77777777" w:rsidR="000B584F" w:rsidRPr="001A7517" w:rsidRDefault="000B584F" w:rsidP="000B584F">
      <w:pPr>
        <w:suppressAutoHyphens/>
        <w:ind w:left="2160" w:hanging="720"/>
      </w:pPr>
    </w:p>
    <w:p w14:paraId="655456EB" w14:textId="2BBDC52E" w:rsidR="000B584F" w:rsidRDefault="000B584F" w:rsidP="000B584F">
      <w:pPr>
        <w:suppressAutoHyphens/>
        <w:ind w:left="2160" w:hanging="720"/>
      </w:pPr>
      <w:r w:rsidRPr="001A7517">
        <w:t>2)</w:t>
      </w:r>
      <w:r w:rsidRPr="001A7517">
        <w:tab/>
        <w:t>Issue a new SEP requiring the supplier to sample annually.</w:t>
      </w:r>
    </w:p>
    <w:p w14:paraId="2A423CD2" w14:textId="77777777" w:rsidR="000B584F" w:rsidRPr="001A7517" w:rsidRDefault="000B584F" w:rsidP="000B584F">
      <w:pPr>
        <w:suppressAutoHyphens/>
        <w:ind w:left="2160" w:hanging="720"/>
      </w:pPr>
    </w:p>
    <w:p w14:paraId="6F976323" w14:textId="4A24063A" w:rsidR="000B584F" w:rsidRDefault="000B584F" w:rsidP="000B584F">
      <w:pPr>
        <w:suppressAutoHyphens/>
        <w:ind w:left="1440"/>
      </w:pPr>
      <w:r w:rsidRPr="001A7517">
        <w:t>BOARD NOTE:  Subsection (i) does not apply to an SWS or mixed system supplier.</w:t>
      </w:r>
    </w:p>
    <w:p w14:paraId="630FB2EA" w14:textId="77777777" w:rsidR="000B584F" w:rsidRPr="001A7517" w:rsidRDefault="000B584F" w:rsidP="000B584F">
      <w:pPr>
        <w:suppressAutoHyphens/>
        <w:ind w:left="1440"/>
      </w:pPr>
    </w:p>
    <w:p w14:paraId="1DC339E4" w14:textId="6C4F9EA9" w:rsidR="000B584F" w:rsidRDefault="000B584F" w:rsidP="000B584F">
      <w:pPr>
        <w:suppressAutoHyphens/>
        <w:ind w:left="1440" w:hanging="720"/>
      </w:pPr>
      <w:r w:rsidRPr="001A7517">
        <w:t>j)</w:t>
      </w:r>
      <w:r w:rsidRPr="001A7517">
        <w:tab/>
        <w:t>Special Considerations for a SEP for an SWS or Mixed-System Supplier</w:t>
      </w:r>
    </w:p>
    <w:p w14:paraId="4586A990" w14:textId="77777777" w:rsidR="000B584F" w:rsidRPr="001A7517" w:rsidRDefault="000B584F" w:rsidP="000B584F">
      <w:pPr>
        <w:suppressAutoHyphens/>
        <w:ind w:left="1440" w:hanging="720"/>
      </w:pPr>
    </w:p>
    <w:p w14:paraId="6590A330" w14:textId="5A23D001" w:rsidR="000B584F" w:rsidRDefault="000B584F" w:rsidP="000B584F">
      <w:pPr>
        <w:suppressAutoHyphens/>
        <w:ind w:left="2160" w:hanging="720"/>
      </w:pPr>
      <w:r w:rsidRPr="001A7517">
        <w:t>1)</w:t>
      </w:r>
      <w:r w:rsidRPr="001A7517">
        <w:tab/>
        <w:t>The Agency must determine that an SWS is not vulnerable before issuing a SEP to an SWS supplier.  A SEP issued to an SWS or mixed system supplier under subsection (g) is for a maximum of one compliance period; and</w:t>
      </w:r>
    </w:p>
    <w:p w14:paraId="2AEF9646" w14:textId="77777777" w:rsidR="000B584F" w:rsidRPr="001A7517" w:rsidRDefault="000B584F" w:rsidP="000B584F">
      <w:pPr>
        <w:suppressAutoHyphens/>
        <w:ind w:left="2160" w:hanging="720"/>
      </w:pPr>
    </w:p>
    <w:p w14:paraId="78D14D96" w14:textId="4464C216" w:rsidR="000B584F" w:rsidRDefault="000B584F" w:rsidP="000B584F">
      <w:pPr>
        <w:ind w:left="2160" w:hanging="720"/>
      </w:pPr>
      <w:r w:rsidRPr="001A7517">
        <w:t>2)</w:t>
      </w:r>
      <w:r w:rsidRPr="001A7517">
        <w:tab/>
        <w:t>The Agency may require, as a condition to a SEP issued to an SWS or mixed supplier, that the supplier take such samples for Phase I, Phase II, and Phase V VOCs at such a frequency as the Agency determines are necessary, based on the vulnerability assessment.</w:t>
      </w:r>
    </w:p>
    <w:p w14:paraId="6876AAD8" w14:textId="77777777" w:rsidR="000B584F" w:rsidRPr="001A7517" w:rsidRDefault="000B584F" w:rsidP="000B584F">
      <w:pPr>
        <w:ind w:left="2160" w:hanging="720"/>
      </w:pPr>
    </w:p>
    <w:p w14:paraId="109A7BF1" w14:textId="2B850D0B" w:rsidR="000B584F" w:rsidRDefault="000B584F" w:rsidP="000B584F">
      <w:pPr>
        <w:suppressAutoHyphens/>
        <w:ind w:left="1440"/>
      </w:pPr>
      <w:r w:rsidRPr="001A7517">
        <w:t>BOARD NOTE:  There is a great degree of similarity between 40 CFR 141.24(f)(7), the provision applicable to GWSs, and 40 CFR 141.24(f)(10), the provision for SWSs.  The Board has consolidated the common requirements of both paragraphs into subsection (g).  Subsection (j) represents the elements unique to an SWSs or mixed system, and subsection (i) relates to a GWS supplier.  Although 40 CFR 141.24(f)(7) and (f)(10) are silent as to a mixed system supplier, the Board has included a mixed system supplier with an SWS supplier because this best follows the federal scheme for all other contaminants.</w:t>
      </w:r>
    </w:p>
    <w:p w14:paraId="2A521A0B" w14:textId="77777777" w:rsidR="000B584F" w:rsidRPr="001A7517" w:rsidRDefault="000B584F" w:rsidP="000B584F">
      <w:pPr>
        <w:suppressAutoHyphens/>
        <w:ind w:left="1440"/>
      </w:pPr>
    </w:p>
    <w:p w14:paraId="11917730" w14:textId="2ABDD092" w:rsidR="000B584F" w:rsidRDefault="000B584F" w:rsidP="000B584F">
      <w:pPr>
        <w:suppressAutoHyphens/>
        <w:ind w:left="1440" w:hanging="720"/>
      </w:pPr>
      <w:r w:rsidRPr="001A7517">
        <w:t>k)</w:t>
      </w:r>
      <w:r w:rsidRPr="001A7517">
        <w:tab/>
        <w:t>If one of the Phase I VOCs, excluding vinyl chloride; a Phase II VOC; or a Phase V VOC is detected in any sample, then the following must occur:</w:t>
      </w:r>
    </w:p>
    <w:p w14:paraId="4EF729D6" w14:textId="77777777" w:rsidR="000B584F" w:rsidRPr="001A7517" w:rsidRDefault="000B584F" w:rsidP="000B584F">
      <w:pPr>
        <w:suppressAutoHyphens/>
        <w:ind w:left="1440" w:hanging="720"/>
      </w:pPr>
    </w:p>
    <w:p w14:paraId="14962D7A" w14:textId="7B0CC471" w:rsidR="000B584F" w:rsidRDefault="000B584F" w:rsidP="000B584F">
      <w:pPr>
        <w:suppressAutoHyphens/>
        <w:ind w:left="2160" w:hanging="720"/>
      </w:pPr>
      <w:r w:rsidRPr="001A7517">
        <w:t>1)</w:t>
      </w:r>
      <w:r w:rsidRPr="001A7517">
        <w:tab/>
        <w:t>The supplier must monitor quarterly for that contaminant at each sampling point that resulted in a detection.</w:t>
      </w:r>
    </w:p>
    <w:p w14:paraId="33D90AC1" w14:textId="77777777" w:rsidR="000B584F" w:rsidRPr="001A7517" w:rsidRDefault="000B584F" w:rsidP="000B584F">
      <w:pPr>
        <w:suppressAutoHyphens/>
        <w:ind w:left="2160" w:hanging="720"/>
      </w:pPr>
    </w:p>
    <w:p w14:paraId="605B6E45" w14:textId="287E5094" w:rsidR="000B584F" w:rsidRDefault="000B584F" w:rsidP="000B584F">
      <w:pPr>
        <w:suppressAutoHyphens/>
        <w:ind w:left="2160" w:hanging="720"/>
      </w:pPr>
      <w:r w:rsidRPr="001A7517">
        <w:t>2)</w:t>
      </w:r>
      <w:r w:rsidRPr="001A7517">
        <w:tab/>
        <w:t>Annual Monitoring</w:t>
      </w:r>
    </w:p>
    <w:p w14:paraId="10E5F5AA" w14:textId="77777777" w:rsidR="000B584F" w:rsidRPr="001A7517" w:rsidRDefault="000B584F" w:rsidP="000B584F">
      <w:pPr>
        <w:suppressAutoHyphens/>
        <w:ind w:left="2160" w:hanging="720"/>
      </w:pPr>
    </w:p>
    <w:p w14:paraId="2EA23BD0" w14:textId="610E4190" w:rsidR="000B584F" w:rsidRDefault="000B584F" w:rsidP="000B584F">
      <w:pPr>
        <w:suppressAutoHyphens/>
        <w:ind w:left="2880" w:hanging="720"/>
      </w:pPr>
      <w:r w:rsidRPr="001A7517">
        <w:t>A)</w:t>
      </w:r>
      <w:r w:rsidRPr="001A7517">
        <w:tab/>
        <w:t>The Agency must grant a SEP that allows a supplier to reduce the monitoring frequency to annual at a sampling point if it determines that the sampling point is reliably and consistently below the MCL.</w:t>
      </w:r>
    </w:p>
    <w:p w14:paraId="7AF62419" w14:textId="77777777" w:rsidR="000B584F" w:rsidRPr="001A7517" w:rsidRDefault="000B584F" w:rsidP="000B584F">
      <w:pPr>
        <w:suppressAutoHyphens/>
        <w:ind w:left="2880" w:hanging="720"/>
      </w:pPr>
    </w:p>
    <w:p w14:paraId="20DD5FE0" w14:textId="4FD3DDC6" w:rsidR="000B584F" w:rsidRDefault="000B584F" w:rsidP="000B584F">
      <w:pPr>
        <w:suppressAutoHyphens/>
        <w:ind w:left="2880" w:hanging="720"/>
      </w:pPr>
      <w:r w:rsidRPr="001A7517">
        <w:t>B)</w:t>
      </w:r>
      <w:r w:rsidRPr="001A7517">
        <w:tab/>
        <w:t>A request for a SEP must include the following minimal information:</w:t>
      </w:r>
    </w:p>
    <w:p w14:paraId="0DEFD72A" w14:textId="77777777" w:rsidR="000B584F" w:rsidRPr="001A7517" w:rsidRDefault="000B584F" w:rsidP="000B584F">
      <w:pPr>
        <w:suppressAutoHyphens/>
        <w:ind w:left="2880" w:hanging="720"/>
      </w:pPr>
    </w:p>
    <w:p w14:paraId="67B3C886" w14:textId="451E1EC1" w:rsidR="000B584F" w:rsidRDefault="000B584F" w:rsidP="000B584F">
      <w:pPr>
        <w:suppressAutoHyphens/>
        <w:ind w:left="3600" w:hanging="720"/>
      </w:pPr>
      <w:r w:rsidRPr="001A7517">
        <w:lastRenderedPageBreak/>
        <w:t>i)</w:t>
      </w:r>
      <w:r w:rsidRPr="001A7517">
        <w:tab/>
        <w:t>For a GWS, two quarterly samples.</w:t>
      </w:r>
    </w:p>
    <w:p w14:paraId="2F8EAA4E" w14:textId="77777777" w:rsidR="000B584F" w:rsidRPr="001A7517" w:rsidRDefault="000B584F" w:rsidP="000B584F">
      <w:pPr>
        <w:suppressAutoHyphens/>
        <w:ind w:left="3600" w:hanging="720"/>
      </w:pPr>
    </w:p>
    <w:p w14:paraId="7720A6B3" w14:textId="0F284429" w:rsidR="000B584F" w:rsidRDefault="000B584F" w:rsidP="000B584F">
      <w:pPr>
        <w:suppressAutoHyphens/>
        <w:ind w:left="3600" w:hanging="720"/>
      </w:pPr>
      <w:r w:rsidRPr="001A7517">
        <w:t>ii)</w:t>
      </w:r>
      <w:r w:rsidRPr="001A7517">
        <w:tab/>
        <w:t>For an SWS or mixed system supplier, four quarterly samples.</w:t>
      </w:r>
    </w:p>
    <w:p w14:paraId="16CB99DC" w14:textId="77777777" w:rsidR="000B584F" w:rsidRPr="001A7517" w:rsidRDefault="000B584F" w:rsidP="000B584F">
      <w:pPr>
        <w:suppressAutoHyphens/>
        <w:ind w:left="3600" w:hanging="720"/>
      </w:pPr>
    </w:p>
    <w:p w14:paraId="3AA8220E" w14:textId="1BDA52E8" w:rsidR="000B584F" w:rsidRDefault="000B584F" w:rsidP="000B584F">
      <w:pPr>
        <w:suppressAutoHyphens/>
        <w:ind w:left="2880" w:hanging="720"/>
      </w:pPr>
      <w:r w:rsidRPr="001A7517">
        <w:t>C)</w:t>
      </w:r>
      <w:r w:rsidRPr="001A7517">
        <w:tab/>
        <w:t>In issuing a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under subsection (k)(1) if it violates the MCL specified by Section 611.311.</w:t>
      </w:r>
    </w:p>
    <w:p w14:paraId="21AB5AC9" w14:textId="77777777" w:rsidR="000B584F" w:rsidRPr="001A7517" w:rsidRDefault="000B584F" w:rsidP="000B584F">
      <w:pPr>
        <w:suppressAutoHyphens/>
        <w:ind w:left="2880" w:hanging="720"/>
      </w:pPr>
    </w:p>
    <w:p w14:paraId="5F2F44D5" w14:textId="45C695F4" w:rsidR="000B584F" w:rsidRDefault="000B584F" w:rsidP="000B584F">
      <w:pPr>
        <w:suppressAutoHyphens/>
        <w:ind w:left="2160" w:hanging="720"/>
      </w:pPr>
      <w:r w:rsidRPr="001A7517">
        <w:t>3)</w:t>
      </w:r>
      <w:r w:rsidRPr="001A7517">
        <w:tab/>
        <w:t>Suppliers that monitor annually must monitor during the quarters that previously yielded the highest analytical result.</w:t>
      </w:r>
    </w:p>
    <w:p w14:paraId="6E738FAC" w14:textId="77777777" w:rsidR="000B584F" w:rsidRPr="001A7517" w:rsidRDefault="000B584F" w:rsidP="000B584F">
      <w:pPr>
        <w:suppressAutoHyphens/>
        <w:ind w:left="2160" w:hanging="720"/>
      </w:pPr>
    </w:p>
    <w:p w14:paraId="33707FBD" w14:textId="625BB81D" w:rsidR="000B584F" w:rsidRDefault="000B584F" w:rsidP="000B584F">
      <w:pPr>
        <w:suppressAutoHyphens/>
        <w:ind w:left="2160" w:hanging="720"/>
      </w:pPr>
      <w:r w:rsidRPr="001A7517">
        <w:t>4)</w:t>
      </w:r>
      <w:r w:rsidRPr="001A7517">
        <w:tab/>
        <w:t>Suppliers that do not detect a contaminant at a sampling point in three consecutive annual samples may apply to the Agency for a SEP that allows it to discontinue monitoring for that contaminant at that point, as specified in subsection (g).</w:t>
      </w:r>
    </w:p>
    <w:p w14:paraId="73B30979" w14:textId="77777777" w:rsidR="000B584F" w:rsidRPr="001A7517" w:rsidRDefault="000B584F" w:rsidP="000B584F">
      <w:pPr>
        <w:suppressAutoHyphens/>
        <w:ind w:left="2160" w:hanging="720"/>
      </w:pPr>
    </w:p>
    <w:p w14:paraId="7DE13FC3" w14:textId="367F581A" w:rsidR="000B584F" w:rsidRDefault="000B584F" w:rsidP="000B584F">
      <w:pPr>
        <w:suppressAutoHyphens/>
        <w:ind w:left="2160" w:hanging="720"/>
      </w:pPr>
      <w:r w:rsidRPr="001A7517">
        <w:t>5)</w:t>
      </w:r>
      <w:r w:rsidRPr="001A7517">
        <w:tab/>
        <w:t>A GWS supplier that has detected one or more of the two-carbon contaminants listed in subsection (k)(5)(A) must monitor quarterly for vinyl chloride as described in subsection (k)(5)(B), subject to the limitation of subsection (k)(5)(C).</w:t>
      </w:r>
    </w:p>
    <w:p w14:paraId="4E639BB6" w14:textId="77777777" w:rsidR="000B584F" w:rsidRPr="001A7517" w:rsidRDefault="000B584F" w:rsidP="000B584F">
      <w:pPr>
        <w:suppressAutoHyphens/>
        <w:ind w:left="2160" w:hanging="720"/>
      </w:pPr>
    </w:p>
    <w:p w14:paraId="45580E55" w14:textId="5E596CC8" w:rsidR="000B584F" w:rsidRDefault="000B584F" w:rsidP="000B584F">
      <w:pPr>
        <w:suppressAutoHyphens/>
        <w:ind w:left="2880" w:hanging="720"/>
      </w:pPr>
      <w:r w:rsidRPr="001A7517">
        <w:t>A)</w:t>
      </w:r>
      <w:r w:rsidRPr="001A7517">
        <w:tab/>
        <w:t>“Two-carbon contaminants” (Phase I or II VOC) are the following:</w:t>
      </w:r>
    </w:p>
    <w:p w14:paraId="27AF226E" w14:textId="77777777" w:rsidR="000B584F" w:rsidRPr="001A7517" w:rsidRDefault="000B584F" w:rsidP="000B584F">
      <w:pPr>
        <w:suppressAutoHyphens/>
        <w:ind w:left="2880" w:hanging="720"/>
      </w:pPr>
    </w:p>
    <w:p w14:paraId="5E2A9B55" w14:textId="77777777" w:rsidR="000B584F" w:rsidRPr="001A7517" w:rsidRDefault="000B584F" w:rsidP="000B584F">
      <w:pPr>
        <w:suppressAutoHyphens/>
        <w:ind w:left="3600"/>
      </w:pPr>
      <w:r w:rsidRPr="001A7517">
        <w:t>1,2</w:t>
      </w:r>
      <w:r w:rsidRPr="001A7517">
        <w:noBreakHyphen/>
        <w:t>Dichloroethane (Phase I)</w:t>
      </w:r>
    </w:p>
    <w:p w14:paraId="2395FE85" w14:textId="77777777" w:rsidR="000B584F" w:rsidRPr="001A7517" w:rsidRDefault="000B584F" w:rsidP="000B584F">
      <w:pPr>
        <w:suppressAutoHyphens/>
        <w:ind w:left="3600"/>
      </w:pPr>
      <w:r w:rsidRPr="001A7517">
        <w:t>1,1</w:t>
      </w:r>
      <w:r w:rsidRPr="001A7517">
        <w:noBreakHyphen/>
        <w:t>Dichloroethylene (Phase I)</w:t>
      </w:r>
    </w:p>
    <w:p w14:paraId="4C520AB5" w14:textId="77777777" w:rsidR="000B584F" w:rsidRPr="001A7517" w:rsidRDefault="000B584F" w:rsidP="000B584F">
      <w:pPr>
        <w:suppressAutoHyphens/>
        <w:ind w:left="3600"/>
      </w:pPr>
      <w:r w:rsidRPr="001A7517">
        <w:t>cis</w:t>
      </w:r>
      <w:r w:rsidRPr="001A7517">
        <w:noBreakHyphen/>
        <w:t>1,2</w:t>
      </w:r>
      <w:r w:rsidRPr="001A7517">
        <w:noBreakHyphen/>
        <w:t>Dichloroethylene (Phase II)</w:t>
      </w:r>
    </w:p>
    <w:p w14:paraId="0271AC28" w14:textId="77777777" w:rsidR="000B584F" w:rsidRPr="001A7517" w:rsidRDefault="000B584F" w:rsidP="000B584F">
      <w:pPr>
        <w:suppressAutoHyphens/>
        <w:ind w:left="3600"/>
      </w:pPr>
      <w:r w:rsidRPr="001A7517">
        <w:t>trans</w:t>
      </w:r>
      <w:r w:rsidRPr="001A7517">
        <w:noBreakHyphen/>
        <w:t>1,2</w:t>
      </w:r>
      <w:r w:rsidRPr="001A7517">
        <w:noBreakHyphen/>
        <w:t>Dichloroethylene (Phase II)</w:t>
      </w:r>
    </w:p>
    <w:p w14:paraId="5DE62B4F" w14:textId="77777777" w:rsidR="000B584F" w:rsidRPr="001A7517" w:rsidRDefault="000B584F" w:rsidP="000B584F">
      <w:pPr>
        <w:suppressAutoHyphens/>
        <w:ind w:left="3600"/>
      </w:pPr>
      <w:r w:rsidRPr="001A7517">
        <w:t>Tetrachloroethylene (Phase II)</w:t>
      </w:r>
    </w:p>
    <w:p w14:paraId="6218590E" w14:textId="77777777" w:rsidR="000B584F" w:rsidRPr="001A7517" w:rsidRDefault="000B584F" w:rsidP="000B584F">
      <w:pPr>
        <w:suppressAutoHyphens/>
        <w:ind w:left="3600"/>
      </w:pPr>
      <w:r w:rsidRPr="001A7517">
        <w:t>1,1,1</w:t>
      </w:r>
      <w:r w:rsidRPr="001A7517">
        <w:noBreakHyphen/>
        <w:t>Trichloroethylene (Phase I)</w:t>
      </w:r>
    </w:p>
    <w:p w14:paraId="5B1D5962" w14:textId="04C88D69" w:rsidR="000B584F" w:rsidRDefault="000B584F" w:rsidP="000B584F">
      <w:pPr>
        <w:suppressAutoHyphens/>
        <w:ind w:left="3600"/>
      </w:pPr>
      <w:r w:rsidRPr="001A7517">
        <w:t>Trichloroethylene (Phase I)</w:t>
      </w:r>
    </w:p>
    <w:p w14:paraId="1CE5B882" w14:textId="77777777" w:rsidR="000B584F" w:rsidRPr="001A7517" w:rsidRDefault="000B584F" w:rsidP="000B584F">
      <w:pPr>
        <w:suppressAutoHyphens/>
        <w:ind w:left="3600"/>
      </w:pPr>
    </w:p>
    <w:p w14:paraId="0FFAE2A4" w14:textId="33E41204" w:rsidR="000B584F" w:rsidRDefault="000B584F" w:rsidP="000B584F">
      <w:pPr>
        <w:suppressAutoHyphens/>
        <w:ind w:left="2880" w:hanging="720"/>
      </w:pPr>
      <w:r w:rsidRPr="001A7517">
        <w:t>B)</w:t>
      </w:r>
      <w:r w:rsidRPr="001A7517">
        <w:tab/>
        <w:t>The supplier must sample quarterly for vinyl chloride at each sampling point at which it detected one or more of the two-carbon contaminants listed in subsection (k)(5)(A).</w:t>
      </w:r>
    </w:p>
    <w:p w14:paraId="4F940589" w14:textId="77777777" w:rsidR="000B584F" w:rsidRPr="001A7517" w:rsidRDefault="000B584F" w:rsidP="000B584F">
      <w:pPr>
        <w:suppressAutoHyphens/>
        <w:ind w:left="2880" w:hanging="720"/>
      </w:pPr>
    </w:p>
    <w:p w14:paraId="26D55F7B" w14:textId="7CA529B0" w:rsidR="000B584F" w:rsidRDefault="000B584F" w:rsidP="000B584F">
      <w:pPr>
        <w:suppressAutoHyphens/>
        <w:ind w:left="2880" w:hanging="720"/>
      </w:pPr>
      <w:r w:rsidRPr="001A7517">
        <w:t>C)</w:t>
      </w:r>
      <w:r w:rsidRPr="001A7517">
        <w:tab/>
        <w:t>The Agency must grant a SEP that allows the supplier to reduce the monitoring frequency for vinyl chloride at any sampling point to once in each three-year compliance period if it determines that the supplier has not detected vinyl chloride in the first sample required by subsection (k)(5)(B).</w:t>
      </w:r>
    </w:p>
    <w:p w14:paraId="673D4BBB" w14:textId="77777777" w:rsidR="000B584F" w:rsidRPr="001A7517" w:rsidRDefault="000B584F" w:rsidP="000B584F">
      <w:pPr>
        <w:suppressAutoHyphens/>
        <w:ind w:left="2880" w:hanging="720"/>
      </w:pPr>
    </w:p>
    <w:p w14:paraId="62BCCA79" w14:textId="358F3C72" w:rsidR="000B584F" w:rsidRDefault="000B584F" w:rsidP="000B584F">
      <w:pPr>
        <w:suppressAutoHyphens/>
        <w:ind w:left="1440" w:hanging="720"/>
      </w:pPr>
      <w:r w:rsidRPr="001A7517">
        <w:t>l)</w:t>
      </w:r>
      <w:r w:rsidRPr="001A7517">
        <w:tab/>
        <w:t>Quarterly Monitoring Following MCL Violations</w:t>
      </w:r>
    </w:p>
    <w:p w14:paraId="530EB063" w14:textId="77777777" w:rsidR="000B584F" w:rsidRPr="001A7517" w:rsidRDefault="000B584F" w:rsidP="000B584F">
      <w:pPr>
        <w:suppressAutoHyphens/>
        <w:ind w:left="1440" w:hanging="720"/>
      </w:pPr>
    </w:p>
    <w:p w14:paraId="7FB06729" w14:textId="7591B109" w:rsidR="000B584F" w:rsidRDefault="000B584F" w:rsidP="000B584F">
      <w:pPr>
        <w:suppressAutoHyphens/>
        <w:ind w:left="2160" w:hanging="720"/>
      </w:pPr>
      <w:r w:rsidRPr="001A7517">
        <w:t>1)</w:t>
      </w:r>
      <w:r w:rsidRPr="001A7517">
        <w:tab/>
        <w:t>Suppliers that violate an MCL for one of the Phase I VOCs, including vinyl chloride; Phase II VOCs; or Phase V VOCs, as determined by subsection (o), must monitor quarterly for that contaminant, at the sampling point where the violation occurred, beginning the next quarter after the violation.</w:t>
      </w:r>
    </w:p>
    <w:p w14:paraId="714195C3" w14:textId="77777777" w:rsidR="000B584F" w:rsidRPr="001A7517" w:rsidRDefault="000B584F" w:rsidP="000B584F">
      <w:pPr>
        <w:suppressAutoHyphens/>
        <w:ind w:left="2160" w:hanging="720"/>
      </w:pPr>
    </w:p>
    <w:p w14:paraId="2D727C9E" w14:textId="7C1B3E77" w:rsidR="000B584F" w:rsidRDefault="000B584F" w:rsidP="000B584F">
      <w:pPr>
        <w:suppressAutoHyphens/>
        <w:ind w:left="2160" w:hanging="720"/>
      </w:pPr>
      <w:r w:rsidRPr="001A7517">
        <w:t>2)</w:t>
      </w:r>
      <w:r w:rsidRPr="001A7517">
        <w:tab/>
        <w:t>Annual Monitoring</w:t>
      </w:r>
    </w:p>
    <w:p w14:paraId="3C385956" w14:textId="77777777" w:rsidR="000B584F" w:rsidRPr="001A7517" w:rsidRDefault="000B584F" w:rsidP="000B584F">
      <w:pPr>
        <w:suppressAutoHyphens/>
        <w:ind w:left="2160" w:hanging="720"/>
      </w:pPr>
    </w:p>
    <w:p w14:paraId="1C238275" w14:textId="58C806B1" w:rsidR="000B584F" w:rsidRDefault="000B584F" w:rsidP="000B584F">
      <w:pPr>
        <w:suppressAutoHyphens/>
        <w:ind w:left="2880" w:hanging="720"/>
      </w:pPr>
      <w:r w:rsidRPr="001A7517">
        <w:t>A)</w:t>
      </w:r>
      <w:r w:rsidRPr="001A7517">
        <w:tab/>
        <w:t>The Agency must grant a SEP that allows a supplier to reduce the monitoring frequency to annually if it determines that the sampling point is reliably and consistently below the MCL.</w:t>
      </w:r>
    </w:p>
    <w:p w14:paraId="0CB594F6" w14:textId="77777777" w:rsidR="000B584F" w:rsidRPr="001A7517" w:rsidRDefault="000B584F" w:rsidP="000B584F">
      <w:pPr>
        <w:suppressAutoHyphens/>
        <w:ind w:left="2880" w:hanging="720"/>
      </w:pPr>
    </w:p>
    <w:p w14:paraId="195079CE" w14:textId="2D2060FC" w:rsidR="000B584F" w:rsidRDefault="000B584F" w:rsidP="000B584F">
      <w:pPr>
        <w:suppressAutoHyphens/>
        <w:ind w:left="2880" w:hanging="720"/>
      </w:pPr>
      <w:r w:rsidRPr="001A7517">
        <w:t>B)</w:t>
      </w:r>
      <w:r w:rsidRPr="001A7517">
        <w:tab/>
        <w:t>A request for a SEP must include the following minimal information:  four quarterly samples.</w:t>
      </w:r>
    </w:p>
    <w:p w14:paraId="4E355F30" w14:textId="77777777" w:rsidR="000B584F" w:rsidRPr="001A7517" w:rsidRDefault="000B584F" w:rsidP="000B584F">
      <w:pPr>
        <w:suppressAutoHyphens/>
        <w:ind w:left="2880" w:hanging="720"/>
      </w:pPr>
    </w:p>
    <w:p w14:paraId="3F5D8943" w14:textId="7091A4C1" w:rsidR="000B584F" w:rsidRDefault="000B584F" w:rsidP="000B584F">
      <w:pPr>
        <w:suppressAutoHyphens/>
        <w:ind w:left="2880" w:hanging="720"/>
      </w:pPr>
      <w:r w:rsidRPr="001A7517">
        <w:t>C)</w:t>
      </w:r>
      <w:r w:rsidRPr="001A7517">
        <w:tab/>
        <w:t>In issuing a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under subsection (l)(1) if it violates the MCL specified by Section 611.311.</w:t>
      </w:r>
    </w:p>
    <w:p w14:paraId="1E6A64AB" w14:textId="77777777" w:rsidR="000B584F" w:rsidRPr="001A7517" w:rsidRDefault="000B584F" w:rsidP="000B584F">
      <w:pPr>
        <w:suppressAutoHyphens/>
        <w:ind w:left="2880" w:hanging="720"/>
      </w:pPr>
    </w:p>
    <w:p w14:paraId="02679660" w14:textId="72A4C4F7" w:rsidR="000B584F" w:rsidRDefault="000B584F" w:rsidP="000B584F">
      <w:pPr>
        <w:suppressAutoHyphens/>
        <w:ind w:left="2880" w:hanging="720"/>
      </w:pPr>
      <w:r w:rsidRPr="001A7517">
        <w:t>D)</w:t>
      </w:r>
      <w:r w:rsidRPr="001A7517">
        <w:tab/>
        <w:t>The supplier must monitor during the quarters that previously yielded the highest analytical result.</w:t>
      </w:r>
    </w:p>
    <w:p w14:paraId="3625378F" w14:textId="77777777" w:rsidR="000B584F" w:rsidRPr="001A7517" w:rsidRDefault="000B584F" w:rsidP="000B584F">
      <w:pPr>
        <w:suppressAutoHyphens/>
        <w:ind w:left="2880" w:hanging="720"/>
      </w:pPr>
    </w:p>
    <w:p w14:paraId="5B009BD8" w14:textId="4CD13E4B" w:rsidR="000B584F" w:rsidRDefault="000B584F" w:rsidP="000B584F">
      <w:pPr>
        <w:suppressAutoHyphens/>
        <w:ind w:left="1440" w:hanging="720"/>
      </w:pPr>
      <w:r w:rsidRPr="001A7517">
        <w:t>m)</w:t>
      </w:r>
      <w:r w:rsidRPr="001A7517">
        <w:tab/>
        <w:t>Confirmation Samples.  The Agency may issue a SEP to require a supplier to use a confirmation sample for results that it finds dubious for whatever reason.  The Agency must state its reasons for issuing the SEP if the SEP is Agency-initiated.</w:t>
      </w:r>
    </w:p>
    <w:p w14:paraId="124F98D1" w14:textId="77777777" w:rsidR="000B584F" w:rsidRPr="001A7517" w:rsidRDefault="000B584F" w:rsidP="000B584F">
      <w:pPr>
        <w:suppressAutoHyphens/>
        <w:ind w:left="1440" w:hanging="720"/>
      </w:pPr>
    </w:p>
    <w:p w14:paraId="41678570" w14:textId="12A64E0A" w:rsidR="000B584F" w:rsidRDefault="000B584F" w:rsidP="000B584F">
      <w:pPr>
        <w:suppressAutoHyphens/>
        <w:ind w:left="2160" w:hanging="720"/>
      </w:pPr>
      <w:r w:rsidRPr="001A7517">
        <w:t>1)</w:t>
      </w:r>
      <w:r w:rsidRPr="001A7517">
        <w:tab/>
        <w:t>If a supplier detects any of the Phase I, Phase II, or Phase V VOCs in a sample, the supplier must take a confirmation sample as soon as possible, but no later than 14 days after the supplier receives notice of the detection.</w:t>
      </w:r>
    </w:p>
    <w:p w14:paraId="110C8D62" w14:textId="77777777" w:rsidR="000B584F" w:rsidRPr="001A7517" w:rsidRDefault="000B584F" w:rsidP="000B584F">
      <w:pPr>
        <w:suppressAutoHyphens/>
        <w:ind w:left="2160" w:hanging="720"/>
      </w:pPr>
    </w:p>
    <w:p w14:paraId="3B76ED9C" w14:textId="2998A179" w:rsidR="000B584F" w:rsidRDefault="000B584F" w:rsidP="000B584F">
      <w:pPr>
        <w:suppressAutoHyphens/>
        <w:ind w:left="2160" w:hanging="720"/>
      </w:pPr>
      <w:r w:rsidRPr="001A7517">
        <w:t>2)</w:t>
      </w:r>
      <w:r w:rsidRPr="001A7517">
        <w:tab/>
        <w:t>Averaging is as specified in subsection (o).</w:t>
      </w:r>
    </w:p>
    <w:p w14:paraId="5F7773A0" w14:textId="77777777" w:rsidR="000B584F" w:rsidRPr="001A7517" w:rsidRDefault="000B584F" w:rsidP="000B584F">
      <w:pPr>
        <w:suppressAutoHyphens/>
        <w:ind w:left="2160" w:hanging="720"/>
      </w:pPr>
    </w:p>
    <w:p w14:paraId="5C863DEE" w14:textId="049BA4B5" w:rsidR="000B584F" w:rsidRDefault="000B584F" w:rsidP="000B584F">
      <w:pPr>
        <w:suppressAutoHyphens/>
        <w:ind w:left="2160" w:hanging="720"/>
      </w:pPr>
      <w:r w:rsidRPr="001A7517">
        <w:t>3)</w:t>
      </w:r>
      <w:r w:rsidRPr="001A7517">
        <w:tab/>
        <w:t>The Agency must delete the original or confirmation sample if it determines that a sampling error occurred, in which case the confirmation sample will replace the original or confirmation sample.</w:t>
      </w:r>
    </w:p>
    <w:p w14:paraId="620A7697" w14:textId="77777777" w:rsidR="000B584F" w:rsidRPr="001A7517" w:rsidRDefault="000B584F" w:rsidP="000B584F">
      <w:pPr>
        <w:suppressAutoHyphens/>
        <w:ind w:left="2160" w:hanging="720"/>
      </w:pPr>
    </w:p>
    <w:p w14:paraId="2502BF82" w14:textId="46745998" w:rsidR="000B584F" w:rsidRDefault="000B584F" w:rsidP="000B584F">
      <w:pPr>
        <w:suppressAutoHyphens/>
        <w:ind w:left="1440" w:hanging="720"/>
      </w:pPr>
      <w:r w:rsidRPr="001A7517">
        <w:t>n)</w:t>
      </w:r>
      <w:r w:rsidRPr="001A7517">
        <w:tab/>
        <w:t xml:space="preserve">This subsection (n) corresponds with 40 CFR 141.24(f)(14), an optional USEPA provision relating to compositing of samples that USEPA does not require for </w:t>
      </w:r>
      <w:r w:rsidRPr="001A7517">
        <w:lastRenderedPageBreak/>
        <w:t>state programs.  This statement maintains structural consistency with USEPA rules.</w:t>
      </w:r>
    </w:p>
    <w:p w14:paraId="789DF4C8" w14:textId="77777777" w:rsidR="000B584F" w:rsidRPr="001A7517" w:rsidRDefault="000B584F" w:rsidP="000B584F">
      <w:pPr>
        <w:suppressAutoHyphens/>
        <w:ind w:left="1440" w:hanging="720"/>
      </w:pPr>
    </w:p>
    <w:p w14:paraId="7579B537" w14:textId="5EC49151" w:rsidR="000B584F" w:rsidRDefault="000B584F" w:rsidP="000B584F">
      <w:pPr>
        <w:suppressAutoHyphens/>
        <w:ind w:left="1440" w:hanging="720"/>
      </w:pPr>
      <w:r w:rsidRPr="001A7517">
        <w:t>o)</w:t>
      </w:r>
      <w:r w:rsidRPr="001A7517">
        <w:tab/>
        <w:t>Compliance with the MCLs for the Phase I, Phase II, and Phase V VOCs must be determined based on the analytical results obtained at each sampling point.  If one sampling point is in violation of an MCL, the system is in violation of the MCL.</w:t>
      </w:r>
    </w:p>
    <w:p w14:paraId="3607C996" w14:textId="77777777" w:rsidR="000B584F" w:rsidRPr="001A7517" w:rsidRDefault="000B584F" w:rsidP="000B584F">
      <w:pPr>
        <w:suppressAutoHyphens/>
        <w:ind w:left="1440" w:hanging="720"/>
      </w:pPr>
    </w:p>
    <w:p w14:paraId="5929FAC3" w14:textId="63CD4E51" w:rsidR="000B584F" w:rsidRDefault="000B584F" w:rsidP="000B584F">
      <w:pPr>
        <w:suppressAutoHyphens/>
        <w:ind w:left="2160" w:hanging="720"/>
      </w:pPr>
      <w:r w:rsidRPr="001A7517">
        <w:t>1)</w:t>
      </w:r>
      <w:r w:rsidRPr="001A7517">
        <w:tab/>
        <w:t>For a supplier that monitors more than once per year, compliance with the MCL is determined by a running annual average at each sampling point.</w:t>
      </w:r>
    </w:p>
    <w:p w14:paraId="56425690" w14:textId="77777777" w:rsidR="000B584F" w:rsidRPr="001A7517" w:rsidRDefault="000B584F" w:rsidP="000B584F">
      <w:pPr>
        <w:suppressAutoHyphens/>
        <w:ind w:left="2160" w:hanging="720"/>
      </w:pPr>
    </w:p>
    <w:p w14:paraId="3A85E760" w14:textId="49FFA3AF" w:rsidR="000B584F" w:rsidRDefault="000B584F" w:rsidP="000B584F">
      <w:pPr>
        <w:suppressAutoHyphens/>
        <w:ind w:left="2160" w:hanging="720"/>
      </w:pPr>
      <w:r w:rsidRPr="001A7517">
        <w:t>2)</w:t>
      </w:r>
      <w:r w:rsidRPr="001A7517">
        <w:tab/>
        <w:t>A supplier that monitors annually or less frequently whose sample result exceeds the MCL must begin quarterly sampling.  The system will not be considered in violation of the MCL until it has completed one year of quarterly sampling.</w:t>
      </w:r>
    </w:p>
    <w:p w14:paraId="6F375473" w14:textId="77777777" w:rsidR="000B584F" w:rsidRPr="001A7517" w:rsidRDefault="000B584F" w:rsidP="000B584F">
      <w:pPr>
        <w:suppressAutoHyphens/>
        <w:ind w:left="2160" w:hanging="720"/>
      </w:pPr>
    </w:p>
    <w:p w14:paraId="3E0A343A" w14:textId="38AFC4DA" w:rsidR="000B584F" w:rsidRDefault="000B584F" w:rsidP="000B584F">
      <w:pPr>
        <w:ind w:left="2160" w:hanging="720"/>
      </w:pPr>
      <w:r w:rsidRPr="001A7517">
        <w:t>3)</w:t>
      </w:r>
      <w:r w:rsidRPr="001A7517">
        <w:tab/>
        <w:t>If any sample result will cause the running annual average to exceed the MCL at any sampling point, the supplier is out of compliance with the MCL immediately.</w:t>
      </w:r>
    </w:p>
    <w:p w14:paraId="4A1FA973" w14:textId="77777777" w:rsidR="000B584F" w:rsidRPr="001A7517" w:rsidRDefault="000B584F" w:rsidP="000B584F">
      <w:pPr>
        <w:ind w:left="2160" w:hanging="720"/>
      </w:pPr>
    </w:p>
    <w:p w14:paraId="2882738F" w14:textId="3BB47AD7" w:rsidR="000B584F" w:rsidRDefault="000B584F" w:rsidP="000B584F">
      <w:pPr>
        <w:ind w:left="2160" w:hanging="720"/>
      </w:pPr>
      <w:r w:rsidRPr="001A7517">
        <w:t>4)</w:t>
      </w:r>
      <w:r w:rsidRPr="001A7517">
        <w:tab/>
        <w:t>If a supplier fails to collect the required number of samples, compliance will be based on the total number of samples collected.</w:t>
      </w:r>
    </w:p>
    <w:p w14:paraId="15D970AF" w14:textId="77777777" w:rsidR="000B584F" w:rsidRPr="001A7517" w:rsidRDefault="000B584F" w:rsidP="000B584F">
      <w:pPr>
        <w:ind w:left="2160" w:hanging="720"/>
      </w:pPr>
    </w:p>
    <w:p w14:paraId="2F97EA4D" w14:textId="51C4B69A" w:rsidR="000B584F" w:rsidRDefault="000B584F" w:rsidP="000B584F">
      <w:pPr>
        <w:ind w:left="2160" w:hanging="720"/>
      </w:pPr>
      <w:r w:rsidRPr="001A7517">
        <w:t>5)</w:t>
      </w:r>
      <w:r w:rsidRPr="001A7517">
        <w:tab/>
        <w:t>If a sample result is less than the detection limit, zero will be used to calculate the annual average.</w:t>
      </w:r>
    </w:p>
    <w:p w14:paraId="029E014C" w14:textId="77777777" w:rsidR="000B584F" w:rsidRPr="001A7517" w:rsidRDefault="000B584F" w:rsidP="000B584F">
      <w:pPr>
        <w:ind w:left="2160" w:hanging="720"/>
      </w:pPr>
    </w:p>
    <w:p w14:paraId="72044C09" w14:textId="02A481CD" w:rsidR="000B584F" w:rsidRDefault="000B584F" w:rsidP="000B584F">
      <w:pPr>
        <w:ind w:left="1440" w:hanging="720"/>
      </w:pPr>
      <w:r w:rsidRPr="001A7517">
        <w:t>p)</w:t>
      </w:r>
      <w:r w:rsidRPr="001A7517">
        <w:tab/>
        <w:t>This subsection (p) corresponds with 40 CFR 141.24(f)(16), which USEPA removed and reserved.  This statement maintains structural consistency with the federal regulations.</w:t>
      </w:r>
    </w:p>
    <w:p w14:paraId="7C1449FF" w14:textId="77777777" w:rsidR="000B584F" w:rsidRPr="001A7517" w:rsidRDefault="000B584F" w:rsidP="000B584F">
      <w:pPr>
        <w:ind w:left="1440" w:hanging="720"/>
      </w:pPr>
    </w:p>
    <w:p w14:paraId="29E5DAB9" w14:textId="3167B923" w:rsidR="000B584F" w:rsidRDefault="000B584F" w:rsidP="000B584F">
      <w:pPr>
        <w:suppressAutoHyphens/>
        <w:ind w:left="1440" w:hanging="720"/>
      </w:pPr>
      <w:r w:rsidRPr="001A7517">
        <w:t>q)</w:t>
      </w:r>
      <w:r w:rsidRPr="001A7517">
        <w:tab/>
        <w:t>Analysis under this Section must only be conducted by a laboratory in one of the categories listed in Section 611.490(a) that has been certified according to the following conditions:</w:t>
      </w:r>
    </w:p>
    <w:p w14:paraId="73364F80" w14:textId="77777777" w:rsidR="000B584F" w:rsidRPr="001A7517" w:rsidRDefault="000B584F" w:rsidP="000B584F">
      <w:pPr>
        <w:suppressAutoHyphens/>
        <w:ind w:left="1440" w:hanging="720"/>
      </w:pPr>
    </w:p>
    <w:p w14:paraId="7204C2F2" w14:textId="0594CEE6" w:rsidR="000B584F" w:rsidRDefault="000B584F" w:rsidP="000B584F">
      <w:pPr>
        <w:suppressAutoHyphens/>
        <w:ind w:left="2160" w:hanging="720"/>
      </w:pPr>
      <w:r w:rsidRPr="001A7517">
        <w:t>1)</w:t>
      </w:r>
      <w:r w:rsidRPr="001A7517">
        <w:tab/>
        <w:t>To receive certification to conduct analyses for the Phase I VOCs, excluding vinyl chloride; Phase II VOCs; and Phase V VOCs, the laboratory must do the following:</w:t>
      </w:r>
    </w:p>
    <w:p w14:paraId="38D20886" w14:textId="77777777" w:rsidR="000B584F" w:rsidRPr="001A7517" w:rsidRDefault="000B584F" w:rsidP="000B584F">
      <w:pPr>
        <w:suppressAutoHyphens/>
        <w:ind w:left="2160" w:hanging="720"/>
      </w:pPr>
    </w:p>
    <w:p w14:paraId="3BB7B2A7" w14:textId="6C9DD4A5" w:rsidR="000B584F" w:rsidRDefault="000B584F" w:rsidP="000B584F">
      <w:pPr>
        <w:suppressAutoHyphens/>
        <w:ind w:left="2880" w:hanging="720"/>
      </w:pPr>
      <w:r w:rsidRPr="001A7517">
        <w:t>A)</w:t>
      </w:r>
      <w:r w:rsidRPr="001A7517">
        <w:tab/>
        <w:t>It must analyze performance evaluation (PE) samples that include these substances provided by the Agency under 35 Ill. Adm. Code 186.170;</w:t>
      </w:r>
    </w:p>
    <w:p w14:paraId="7DF3A138" w14:textId="77777777" w:rsidR="000B584F" w:rsidRPr="001A7517" w:rsidRDefault="000B584F" w:rsidP="000B584F">
      <w:pPr>
        <w:suppressAutoHyphens/>
        <w:ind w:left="2880" w:hanging="720"/>
      </w:pPr>
    </w:p>
    <w:p w14:paraId="114D8A83" w14:textId="067CD51D" w:rsidR="000B584F" w:rsidRDefault="000B584F" w:rsidP="000B584F">
      <w:pPr>
        <w:suppressAutoHyphens/>
        <w:ind w:left="2880" w:hanging="720"/>
      </w:pPr>
      <w:r w:rsidRPr="001A7517">
        <w:t>B)</w:t>
      </w:r>
      <w:r w:rsidRPr="001A7517">
        <w:tab/>
        <w:t>It must achieve the quantitative acceptance limits under subsections (q)(1)(C) and (q)(1)(D) for at least 80 percent of the regulated organic contaminants in the PE sample;</w:t>
      </w:r>
    </w:p>
    <w:p w14:paraId="7E085F12" w14:textId="77777777" w:rsidR="000B584F" w:rsidRPr="001A7517" w:rsidRDefault="000B584F" w:rsidP="000B584F">
      <w:pPr>
        <w:suppressAutoHyphens/>
        <w:ind w:left="2880" w:hanging="720"/>
      </w:pPr>
    </w:p>
    <w:p w14:paraId="66C76EE5" w14:textId="223435D2" w:rsidR="000B584F" w:rsidRDefault="000B584F" w:rsidP="000B584F">
      <w:pPr>
        <w:suppressAutoHyphens/>
        <w:ind w:left="2880" w:hanging="720"/>
      </w:pPr>
      <w:r w:rsidRPr="001A7517">
        <w:lastRenderedPageBreak/>
        <w:t>C)</w:t>
      </w:r>
      <w:r w:rsidRPr="001A7517">
        <w:tab/>
        <w:t>It must achieve quantitative results on the analyses performed under subsection (q)(1)(A) that are within ± 20 percent of the actual amount of the substances in the PE sample when the actual amount is greater than or equal to 0.010 mg/ℓ;</w:t>
      </w:r>
    </w:p>
    <w:p w14:paraId="48016B91" w14:textId="77777777" w:rsidR="000B584F" w:rsidRPr="001A7517" w:rsidRDefault="000B584F" w:rsidP="000B584F">
      <w:pPr>
        <w:suppressAutoHyphens/>
        <w:ind w:left="2880" w:hanging="720"/>
      </w:pPr>
    </w:p>
    <w:p w14:paraId="0BF646F3" w14:textId="79886EF1" w:rsidR="000B584F" w:rsidRDefault="000B584F" w:rsidP="000B584F">
      <w:pPr>
        <w:suppressAutoHyphens/>
        <w:ind w:left="2880" w:hanging="720"/>
      </w:pPr>
      <w:r w:rsidRPr="001A7517">
        <w:t>D)</w:t>
      </w:r>
      <w:r w:rsidRPr="001A7517">
        <w:tab/>
        <w:t>It must achieve quantitative results on the analyses performed under subsection (q)(1)(A) that are within ± 40 percent of the actual amount of the substances in the PE sample when the actual amount is less than 0.010 mg/ℓ; and</w:t>
      </w:r>
    </w:p>
    <w:p w14:paraId="02150885" w14:textId="77777777" w:rsidR="000B584F" w:rsidRPr="001A7517" w:rsidRDefault="000B584F" w:rsidP="000B584F">
      <w:pPr>
        <w:suppressAutoHyphens/>
        <w:ind w:left="2880" w:hanging="720"/>
      </w:pPr>
    </w:p>
    <w:p w14:paraId="020C8025" w14:textId="7BF47841" w:rsidR="000B584F" w:rsidRDefault="000B584F" w:rsidP="000B584F">
      <w:pPr>
        <w:suppressAutoHyphens/>
        <w:ind w:left="2880" w:hanging="720"/>
      </w:pPr>
      <w:r w:rsidRPr="001A7517">
        <w:t>E)</w:t>
      </w:r>
      <w:r w:rsidRPr="001A7517">
        <w:tab/>
        <w:t>It must achieve a method detection limit of 0.0005 mg/ℓ, according to the procedures in appendix B to 40 CFR 136, incorporated by reference in Section 611.102.</w:t>
      </w:r>
    </w:p>
    <w:p w14:paraId="6CB660AE" w14:textId="77777777" w:rsidR="000B584F" w:rsidRPr="001A7517" w:rsidRDefault="000B584F" w:rsidP="000B584F">
      <w:pPr>
        <w:suppressAutoHyphens/>
        <w:ind w:left="2880" w:hanging="720"/>
      </w:pPr>
    </w:p>
    <w:p w14:paraId="349CB0D5" w14:textId="2BA7E8ED" w:rsidR="000B584F" w:rsidRDefault="000B584F" w:rsidP="000B584F">
      <w:pPr>
        <w:suppressAutoHyphens/>
        <w:ind w:left="2160" w:hanging="720"/>
      </w:pPr>
      <w:r w:rsidRPr="001A7517">
        <w:t>2)</w:t>
      </w:r>
      <w:r w:rsidRPr="001A7517">
        <w:tab/>
        <w:t>To receive certification to conduct analyses for vinyl chloride the laboratory must do the following:</w:t>
      </w:r>
    </w:p>
    <w:p w14:paraId="639F8D5C" w14:textId="77777777" w:rsidR="000B584F" w:rsidRPr="001A7517" w:rsidRDefault="000B584F" w:rsidP="000B584F">
      <w:pPr>
        <w:suppressAutoHyphens/>
        <w:ind w:left="2160" w:hanging="720"/>
      </w:pPr>
    </w:p>
    <w:p w14:paraId="7A38A75B" w14:textId="7AFEE446" w:rsidR="000B584F" w:rsidRDefault="000B584F" w:rsidP="000B584F">
      <w:pPr>
        <w:suppressAutoHyphens/>
        <w:ind w:left="2880" w:hanging="720"/>
      </w:pPr>
      <w:r w:rsidRPr="001A7517">
        <w:t>A)</w:t>
      </w:r>
      <w:r w:rsidRPr="001A7517">
        <w:tab/>
        <w:t>It must analyze PE samples provided by the Agency under 35 Ill. Adm. Code 186.170;</w:t>
      </w:r>
    </w:p>
    <w:p w14:paraId="1F885A2D" w14:textId="77777777" w:rsidR="000B584F" w:rsidRPr="001A7517" w:rsidRDefault="000B584F" w:rsidP="000B584F">
      <w:pPr>
        <w:suppressAutoHyphens/>
        <w:ind w:left="2880" w:hanging="720"/>
      </w:pPr>
    </w:p>
    <w:p w14:paraId="6A7945F1" w14:textId="4CF836DB" w:rsidR="000B584F" w:rsidRDefault="000B584F" w:rsidP="000B584F">
      <w:pPr>
        <w:suppressAutoHyphens/>
        <w:ind w:left="2880" w:hanging="720"/>
      </w:pPr>
      <w:r w:rsidRPr="001A7517">
        <w:t>B)</w:t>
      </w:r>
      <w:r w:rsidRPr="001A7517">
        <w:tab/>
        <w:t>It must achieve quantitative results on the analyses performed under subsection (q)(2)(A) that are within ± 40 percent of the actual amount of vinyl chloride in the PE sample;</w:t>
      </w:r>
    </w:p>
    <w:p w14:paraId="695D4679" w14:textId="77777777" w:rsidR="000B584F" w:rsidRPr="001A7517" w:rsidRDefault="000B584F" w:rsidP="000B584F">
      <w:pPr>
        <w:suppressAutoHyphens/>
        <w:ind w:left="2880" w:hanging="720"/>
      </w:pPr>
    </w:p>
    <w:p w14:paraId="497D205E" w14:textId="3A6584C5" w:rsidR="000B584F" w:rsidRDefault="000B584F" w:rsidP="000B584F">
      <w:pPr>
        <w:suppressAutoHyphens/>
        <w:ind w:left="2880" w:hanging="720"/>
      </w:pPr>
      <w:r w:rsidRPr="001A7517">
        <w:t>C)</w:t>
      </w:r>
      <w:r w:rsidRPr="001A7517">
        <w:tab/>
        <w:t>It must achieve a method detection limit of 0.0005 mg/ℓ, according to the procedures in appendix B to 40 CFR 136, incorporated by reference in Section 611.102; and</w:t>
      </w:r>
    </w:p>
    <w:p w14:paraId="63A35A39" w14:textId="77777777" w:rsidR="000B584F" w:rsidRPr="001A7517" w:rsidRDefault="000B584F" w:rsidP="000B584F">
      <w:pPr>
        <w:suppressAutoHyphens/>
        <w:ind w:left="2880" w:hanging="720"/>
      </w:pPr>
    </w:p>
    <w:p w14:paraId="604F8C9D" w14:textId="0CC922B0" w:rsidR="000B584F" w:rsidRDefault="000B584F" w:rsidP="000B584F">
      <w:pPr>
        <w:suppressAutoHyphens/>
        <w:ind w:left="2880" w:hanging="720"/>
      </w:pPr>
      <w:r w:rsidRPr="001A7517">
        <w:t>D)</w:t>
      </w:r>
      <w:r w:rsidRPr="001A7517">
        <w:tab/>
        <w:t>It must obtain certification under subsection (q)(1) for Phase I VOCs, excluding vinyl chloride; Phase II VOCs; and Phase V VOCs.</w:t>
      </w:r>
    </w:p>
    <w:p w14:paraId="1B447595" w14:textId="77777777" w:rsidR="000B584F" w:rsidRPr="001A7517" w:rsidRDefault="000B584F" w:rsidP="000B584F">
      <w:pPr>
        <w:suppressAutoHyphens/>
        <w:ind w:left="2880" w:hanging="720"/>
      </w:pPr>
    </w:p>
    <w:p w14:paraId="66D25466" w14:textId="2C5F9F16" w:rsidR="000B584F" w:rsidRDefault="000B584F" w:rsidP="000B584F">
      <w:pPr>
        <w:suppressAutoHyphens/>
        <w:ind w:left="1440" w:hanging="720"/>
      </w:pPr>
      <w:r w:rsidRPr="001A7517">
        <w:t>r)</w:t>
      </w:r>
      <w:r w:rsidRPr="001A7517">
        <w:tab/>
        <w:t>This subsection (r) corresponds with 40 CFR 141.24(f)(18), an obsolete provision that relates to the initial compliance period from 1993 through 1995.  This statement maintains consistency with the federal regulations.</w:t>
      </w:r>
    </w:p>
    <w:p w14:paraId="6B66CD2E" w14:textId="77777777" w:rsidR="000B584F" w:rsidRPr="001A7517" w:rsidRDefault="000B584F" w:rsidP="000B584F">
      <w:pPr>
        <w:suppressAutoHyphens/>
        <w:ind w:left="1440" w:hanging="720"/>
      </w:pPr>
    </w:p>
    <w:p w14:paraId="2DFCC671" w14:textId="61DA54C5" w:rsidR="000B584F" w:rsidRDefault="000B584F" w:rsidP="000B584F">
      <w:pPr>
        <w:suppressAutoHyphens/>
        <w:ind w:left="1440" w:hanging="720"/>
      </w:pPr>
      <w:r w:rsidRPr="001A7517">
        <w:t>s)</w:t>
      </w:r>
      <w:r w:rsidRPr="001A7517">
        <w:tab/>
        <w:t>The Agency must, by a SEP, increase the number of sampling points or the frequency of monitoring if it determines that it is necessary to detect variations within the PWS.</w:t>
      </w:r>
    </w:p>
    <w:p w14:paraId="0FF2FB89" w14:textId="77777777" w:rsidR="000B584F" w:rsidRPr="001A7517" w:rsidRDefault="000B584F" w:rsidP="000B584F">
      <w:pPr>
        <w:suppressAutoHyphens/>
        <w:ind w:left="1440" w:hanging="720"/>
      </w:pPr>
    </w:p>
    <w:p w14:paraId="55559A6B" w14:textId="77A874CF" w:rsidR="000B584F" w:rsidRDefault="000B584F" w:rsidP="000B584F">
      <w:pPr>
        <w:suppressAutoHyphens/>
        <w:ind w:left="1440" w:hanging="720"/>
      </w:pPr>
      <w:r w:rsidRPr="001A7517">
        <w:t>t)</w:t>
      </w:r>
      <w:r w:rsidRPr="001A7517">
        <w:tab/>
        <w:t>Each laboratory certified for the analysis of Phase I, Phase II, or Phase V VOCs under subsection (q)(1) or (q)(2) must do the following:</w:t>
      </w:r>
    </w:p>
    <w:p w14:paraId="14961254" w14:textId="77777777" w:rsidR="000B584F" w:rsidRPr="001A7517" w:rsidRDefault="000B584F" w:rsidP="000B584F">
      <w:pPr>
        <w:suppressAutoHyphens/>
        <w:ind w:left="1440" w:hanging="720"/>
      </w:pPr>
    </w:p>
    <w:p w14:paraId="5011CBA5" w14:textId="5C49CDFF" w:rsidR="000B584F" w:rsidRDefault="000B584F" w:rsidP="000B584F">
      <w:pPr>
        <w:suppressAutoHyphens/>
        <w:ind w:left="2160" w:hanging="720"/>
      </w:pPr>
      <w:r w:rsidRPr="001A7517">
        <w:lastRenderedPageBreak/>
        <w:t>1)</w:t>
      </w:r>
      <w:r w:rsidRPr="001A7517">
        <w:tab/>
        <w:t>Determine the method detection limit (MDL), as defined in appendix B to 40 CFR 136, incorporated by reference in Section 611.102, at which it is capable of detecting the Phase I, Phase II, and Phase V VOCs; and,</w:t>
      </w:r>
    </w:p>
    <w:p w14:paraId="1670934B" w14:textId="77777777" w:rsidR="000B584F" w:rsidRPr="001A7517" w:rsidRDefault="000B584F" w:rsidP="000B584F">
      <w:pPr>
        <w:suppressAutoHyphens/>
        <w:ind w:left="2160" w:hanging="720"/>
      </w:pPr>
    </w:p>
    <w:p w14:paraId="55BE4B70" w14:textId="77CF6E0C" w:rsidR="000B584F" w:rsidRDefault="000B584F" w:rsidP="000B584F">
      <w:pPr>
        <w:ind w:left="2160" w:hanging="720"/>
      </w:pPr>
      <w:r w:rsidRPr="001A7517">
        <w:t>2)</w:t>
      </w:r>
      <w:r w:rsidRPr="001A7517">
        <w:tab/>
        <w:t>Achieve an MDL for each Phase I, Phase II, and Phase V VOC that is less than or equal to 0.0005 mg/ℓ.</w:t>
      </w:r>
    </w:p>
    <w:p w14:paraId="6BBDBF56" w14:textId="77777777" w:rsidR="000B584F" w:rsidRPr="001A7517" w:rsidRDefault="000B584F" w:rsidP="000B584F">
      <w:pPr>
        <w:ind w:left="2160" w:hanging="720"/>
      </w:pPr>
    </w:p>
    <w:p w14:paraId="0060E102" w14:textId="6962458B" w:rsidR="000B584F" w:rsidRDefault="000B584F" w:rsidP="000B584F">
      <w:pPr>
        <w:suppressAutoHyphens/>
        <w:ind w:left="1440" w:hanging="720"/>
      </w:pPr>
      <w:r w:rsidRPr="001A7517">
        <w:t>u)</w:t>
      </w:r>
      <w:r w:rsidRPr="001A7517">
        <w:tab/>
        <w:t>Each supplier must monitor, within each compliance period, at the time designated by the Agency by SEP.</w:t>
      </w:r>
    </w:p>
    <w:p w14:paraId="7A12D6B6" w14:textId="77777777" w:rsidR="000B584F" w:rsidRPr="001A7517" w:rsidRDefault="000B584F" w:rsidP="000B584F">
      <w:pPr>
        <w:suppressAutoHyphens/>
        <w:ind w:left="1440" w:hanging="720"/>
      </w:pPr>
    </w:p>
    <w:p w14:paraId="1FA4AA9F" w14:textId="3FC3EF91" w:rsidR="000B584F" w:rsidRDefault="000B584F" w:rsidP="000B584F">
      <w:pPr>
        <w:ind w:left="1440" w:hanging="720"/>
      </w:pPr>
      <w:r w:rsidRPr="001A7517">
        <w:t>v)</w:t>
      </w:r>
      <w:r w:rsidRPr="001A7517">
        <w:tab/>
        <w:t>A new system supplier or a supplier that uses a new source of water must demonstrate compliance with the MCL within a period of time specified by a permit issued by the Agency.  The supplier must also comply with the initial sampling frequencies specified by the Agency to ensure the supplier can demonstrate compliance with the MCL.  Routine and increased monitoring frequencies must be conducted in accordance with the requirements in this Section.</w:t>
      </w:r>
    </w:p>
    <w:p w14:paraId="5ACA536F" w14:textId="77777777" w:rsidR="000B584F" w:rsidRPr="001A7517" w:rsidRDefault="000B584F" w:rsidP="000B584F">
      <w:pPr>
        <w:ind w:left="1440" w:hanging="720"/>
      </w:pPr>
    </w:p>
    <w:p w14:paraId="0B3265A4" w14:textId="1EEFA749" w:rsidR="000B584F" w:rsidRDefault="000B584F" w:rsidP="000B584F">
      <w:r w:rsidRPr="001A7517">
        <w:t>BOARD NOTE:  Derived from 40 CFR 141.24(f).</w:t>
      </w:r>
    </w:p>
    <w:p w14:paraId="6AF16CD0" w14:textId="77777777" w:rsidR="000B584F" w:rsidRPr="001A7517" w:rsidRDefault="000B584F" w:rsidP="000B584F"/>
    <w:p w14:paraId="2771F835" w14:textId="340B703E" w:rsidR="000B584F" w:rsidRDefault="000B584F" w:rsidP="000B584F">
      <w:pPr>
        <w:suppressAutoHyphens/>
        <w:ind w:left="720"/>
      </w:pPr>
      <w:r w:rsidRPr="001A7517">
        <w:t>(Source:  A</w:t>
      </w:r>
      <w:r w:rsidRPr="001A7517">
        <w:rPr>
          <w:szCs w:val="17"/>
        </w:rPr>
        <w:t xml:space="preserve">mended at </w:t>
      </w:r>
      <w:r w:rsidRPr="001A7517">
        <w:t>44 Ill. Reg. 6996, effective April 17, 2020)</w:t>
      </w:r>
    </w:p>
    <w:p w14:paraId="35DDB831" w14:textId="77777777" w:rsidR="000B584F" w:rsidRPr="001A7517" w:rsidRDefault="000B584F" w:rsidP="000B584F">
      <w:pPr>
        <w:suppressAutoHyphens/>
        <w:ind w:left="720"/>
      </w:pPr>
    </w:p>
    <w:p w14:paraId="5A4BC27F" w14:textId="77777777" w:rsidR="000B584F" w:rsidRPr="001A7517" w:rsidRDefault="000B584F" w:rsidP="000B584F">
      <w:pPr>
        <w:suppressAutoHyphens/>
        <w:rPr>
          <w:b/>
        </w:rPr>
      </w:pPr>
      <w:r w:rsidRPr="001A7517">
        <w:rPr>
          <w:b/>
        </w:rPr>
        <w:t xml:space="preserve">Section </w:t>
      </w:r>
      <w:r w:rsidRPr="001A7517">
        <w:rPr>
          <w:b/>
          <w:spacing w:val="-3"/>
        </w:rPr>
        <w:t>611.647  Sampling for Phase I Volatile Organic Contaminants (Repealed)</w:t>
      </w:r>
    </w:p>
    <w:p w14:paraId="277179A6" w14:textId="77777777" w:rsidR="000B584F" w:rsidRPr="001A7517" w:rsidRDefault="000B584F" w:rsidP="000B584F">
      <w:pPr>
        <w:suppressAutoHyphens/>
      </w:pPr>
    </w:p>
    <w:p w14:paraId="4754A447" w14:textId="77777777" w:rsidR="000B584F" w:rsidRPr="001A7517" w:rsidRDefault="000B584F" w:rsidP="000B584F">
      <w:pPr>
        <w:suppressAutoHyphens/>
        <w:ind w:left="720"/>
      </w:pPr>
      <w:r w:rsidRPr="001A7517">
        <w:t>(Source:  Repealed at 19 Ill. Reg. 8613, effective June 20, 1995)</w:t>
      </w:r>
    </w:p>
    <w:p w14:paraId="0F766740" w14:textId="77777777" w:rsidR="00D479CA" w:rsidRPr="003B4362" w:rsidRDefault="00D479CA" w:rsidP="000B584F">
      <w:pPr>
        <w:suppressAutoHyphens/>
        <w:ind w:left="720"/>
      </w:pPr>
    </w:p>
    <w:p w14:paraId="5ABB1D93" w14:textId="77777777" w:rsidR="004F7532" w:rsidRPr="003B4362" w:rsidRDefault="004F7532" w:rsidP="00C46B20">
      <w:pPr>
        <w:rPr>
          <w:b/>
          <w:bCs/>
        </w:rPr>
      </w:pPr>
      <w:r w:rsidRPr="003B4362">
        <w:rPr>
          <w:b/>
          <w:bCs/>
        </w:rPr>
        <w:t>Section 611.648  Phase II, Phase IIB, and Phase V Synthetic Organic Contaminants</w:t>
      </w:r>
    </w:p>
    <w:p w14:paraId="576A642C" w14:textId="77777777" w:rsidR="004F7532" w:rsidRPr="003B4362" w:rsidRDefault="004F7532" w:rsidP="004F7532">
      <w:pPr>
        <w:suppressAutoHyphens/>
        <w:spacing w:before="240" w:after="240"/>
      </w:pPr>
      <w:r w:rsidRPr="003B4362">
        <w:t>Analysis of the Phase II, Phase IIB, and Phase V SOCs for the purposes of determining compliance with the MCL must be conducted as follows:</w:t>
      </w:r>
    </w:p>
    <w:p w14:paraId="2791C8AC" w14:textId="77777777" w:rsidR="004F7532" w:rsidRPr="003B4362" w:rsidRDefault="004F7532" w:rsidP="004F7532">
      <w:pPr>
        <w:suppressAutoHyphens/>
        <w:spacing w:before="240" w:after="240"/>
        <w:ind w:left="1440" w:hanging="720"/>
      </w:pPr>
      <w:r w:rsidRPr="003B4362">
        <w:t>a)</w:t>
      </w:r>
      <w:r w:rsidRPr="003B4362">
        <w:tab/>
        <w:t>Definitions.  As used in this Section, the following terms will have the following meanings:</w:t>
      </w:r>
    </w:p>
    <w:p w14:paraId="1ECC3C6A" w14:textId="77777777" w:rsidR="004F7532" w:rsidRPr="003B4362" w:rsidRDefault="004F7532" w:rsidP="004F7532">
      <w:pPr>
        <w:spacing w:before="240" w:after="240"/>
        <w:ind w:left="2160"/>
      </w:pPr>
      <w:r w:rsidRPr="003B4362">
        <w:t>“Detect” or “detection” means that the contaminant of interest is present at a level greater than or equal to the “detection limit”.</w:t>
      </w:r>
    </w:p>
    <w:p w14:paraId="1C365E64" w14:textId="77777777" w:rsidR="004F7532" w:rsidRPr="003B4362" w:rsidRDefault="004F7532" w:rsidP="004F7532">
      <w:pPr>
        <w:spacing w:before="240" w:after="240"/>
        <w:ind w:left="2160"/>
      </w:pPr>
      <w:r w:rsidRPr="003B4362">
        <w:t>“Detection limit” means the level of the contaminant of interest that is specified in subsection (r).</w:t>
      </w:r>
    </w:p>
    <w:p w14:paraId="6CCFD86D" w14:textId="77777777" w:rsidR="004F7532" w:rsidRPr="003B4362" w:rsidRDefault="004F7532" w:rsidP="004F7532">
      <w:pPr>
        <w:spacing w:before="240" w:after="240"/>
        <w:ind w:left="1440"/>
      </w:pPr>
      <w:r w:rsidRPr="003B4362">
        <w:t>BOARD NOTE:  This is a “trigger level” for Phase II, Phase IIB, and Phase V SOCs inasmuch as it prompts further action.  The use of the term “detect” or “detection” in this Section is not intended to include any analytical capability of quantifying lower levels of any contaminant, or the “method detection limit”.</w:t>
      </w:r>
    </w:p>
    <w:p w14:paraId="7CAEACFA" w14:textId="77777777" w:rsidR="004F7532" w:rsidRPr="003B4362" w:rsidRDefault="004F7532" w:rsidP="004F7532">
      <w:pPr>
        <w:suppressAutoHyphens/>
        <w:spacing w:before="240" w:after="240"/>
        <w:ind w:left="1440" w:hanging="720"/>
      </w:pPr>
      <w:r w:rsidRPr="003B4362">
        <w:lastRenderedPageBreak/>
        <w:t>b)</w:t>
      </w:r>
      <w:r w:rsidRPr="003B4362">
        <w:tab/>
        <w:t>Required Sampling.  Each supplier must take a minimum of one sample at each sampling point at the times required in subsection (q).</w:t>
      </w:r>
    </w:p>
    <w:p w14:paraId="542EFBDD" w14:textId="77777777" w:rsidR="004F7532" w:rsidRPr="003B4362" w:rsidRDefault="004F7532" w:rsidP="004F7532">
      <w:pPr>
        <w:suppressAutoHyphens/>
        <w:spacing w:before="240" w:after="240"/>
        <w:ind w:left="1440"/>
      </w:pPr>
      <w:r w:rsidRPr="003B4362">
        <w:t>BOARD NOTE:  See the Board note appended to Section 611.311(c) for information relating to implementation of requirements relating to aldicarb, aldicarb sulfone, and aldicarb sulfoxide.</w:t>
      </w:r>
    </w:p>
    <w:p w14:paraId="29812FAB" w14:textId="77777777" w:rsidR="004F7532" w:rsidRPr="003B4362" w:rsidRDefault="004F7532" w:rsidP="004F7532">
      <w:pPr>
        <w:suppressAutoHyphens/>
        <w:spacing w:before="240" w:after="240"/>
        <w:ind w:left="1440" w:hanging="720"/>
      </w:pPr>
      <w:r w:rsidRPr="003B4362">
        <w:t>c)</w:t>
      </w:r>
      <w:r w:rsidRPr="003B4362">
        <w:tab/>
        <w:t>Sampling Points</w:t>
      </w:r>
    </w:p>
    <w:p w14:paraId="5C0E798D" w14:textId="47C8F265" w:rsidR="004F7532" w:rsidRPr="003B4362" w:rsidRDefault="004F7532" w:rsidP="004F7532">
      <w:pPr>
        <w:suppressAutoHyphens/>
        <w:spacing w:before="240" w:after="240"/>
        <w:ind w:left="2160" w:hanging="720"/>
      </w:pPr>
      <w:r w:rsidRPr="003B4362">
        <w:t>1)</w:t>
      </w:r>
      <w:r w:rsidRPr="003B4362">
        <w:tab/>
        <w:t xml:space="preserve">Sampling Points for GWSs.  Unless otherwise provided </w:t>
      </w:r>
      <w:r w:rsidR="00552DCA" w:rsidRPr="003B4362">
        <w:t xml:space="preserve">in a </w:t>
      </w:r>
      <w:r w:rsidRPr="003B4362">
        <w:t>SEP, a GWS supplier must take at least one sample from each of the following points:  each entry point that is representative of each well after treatment.</w:t>
      </w:r>
    </w:p>
    <w:p w14:paraId="325A0C89" w14:textId="0307F1A0" w:rsidR="004F7532" w:rsidRPr="003B4362" w:rsidRDefault="004F7532" w:rsidP="004F7532">
      <w:pPr>
        <w:suppressAutoHyphens/>
        <w:spacing w:before="240" w:after="240"/>
        <w:ind w:left="2160" w:hanging="720"/>
      </w:pPr>
      <w:r w:rsidRPr="003B4362">
        <w:t>2)</w:t>
      </w:r>
      <w:r w:rsidRPr="003B4362">
        <w:tab/>
        <w:t xml:space="preserve">Sampling Points for an SWS or Mixed System Supplier.  Unless otherwise provided </w:t>
      </w:r>
      <w:r w:rsidR="00552DCA" w:rsidRPr="003B4362">
        <w:t xml:space="preserve">in a </w:t>
      </w:r>
      <w:r w:rsidRPr="003B4362">
        <w:t>SEP, an SWS or mixed system supplier must sample from each of the following points:</w:t>
      </w:r>
    </w:p>
    <w:p w14:paraId="439FB657" w14:textId="77777777" w:rsidR="004F7532" w:rsidRPr="003B4362" w:rsidRDefault="004F7532" w:rsidP="004F7532">
      <w:pPr>
        <w:suppressAutoHyphens/>
        <w:spacing w:before="240" w:after="240"/>
        <w:ind w:left="2880" w:hanging="720"/>
      </w:pPr>
      <w:r w:rsidRPr="003B4362">
        <w:t>A)</w:t>
      </w:r>
      <w:r w:rsidRPr="003B4362">
        <w:tab/>
        <w:t>Each entry point after treatment; or</w:t>
      </w:r>
    </w:p>
    <w:p w14:paraId="612307E3" w14:textId="77777777" w:rsidR="004F7532" w:rsidRPr="003B4362" w:rsidRDefault="004F7532" w:rsidP="004F7532">
      <w:pPr>
        <w:suppressAutoHyphens/>
        <w:spacing w:before="240" w:after="240"/>
        <w:ind w:left="2880" w:hanging="720"/>
      </w:pPr>
      <w:r w:rsidRPr="003B4362">
        <w:t>B)</w:t>
      </w:r>
      <w:r w:rsidRPr="003B4362">
        <w:tab/>
        <w:t>Points in the distribution system that are representative of each source.</w:t>
      </w:r>
    </w:p>
    <w:p w14:paraId="17F278F7" w14:textId="62CD2DF0" w:rsidR="004F7532" w:rsidRPr="003B4362" w:rsidRDefault="004F7532" w:rsidP="004F7532">
      <w:pPr>
        <w:suppressAutoHyphens/>
        <w:spacing w:before="240" w:after="240"/>
        <w:ind w:left="2160" w:hanging="720"/>
      </w:pPr>
      <w:r w:rsidRPr="003B4362">
        <w:t>3)</w:t>
      </w:r>
      <w:r w:rsidRPr="003B4362">
        <w:tab/>
        <w:t xml:space="preserve">The supplier must take each sample at the same sampling point unless the Agency </w:t>
      </w:r>
      <w:r w:rsidR="00552DCA" w:rsidRPr="003B4362">
        <w:t xml:space="preserve">issues </w:t>
      </w:r>
      <w:r w:rsidRPr="003B4362">
        <w:t>a SEP that designates another location as more representative of each source, treatment plant, or within the distribution system.</w:t>
      </w:r>
    </w:p>
    <w:p w14:paraId="4C176BFA" w14:textId="77777777" w:rsidR="004F7532" w:rsidRPr="003B4362" w:rsidRDefault="004F7532" w:rsidP="004F7532">
      <w:pPr>
        <w:suppressAutoHyphens/>
        <w:spacing w:before="240" w:after="240"/>
        <w:ind w:left="2160" w:hanging="720"/>
      </w:pPr>
      <w:r w:rsidRPr="003B4362">
        <w:t>4)</w:t>
      </w:r>
      <w:r w:rsidRPr="003B4362">
        <w:tab/>
        <w:t>If a system draws water from more than one source, and the sources are combined before distribution, the supplier must sample at an entry point during periods of normal operating conditions when water is representative of all sources being used.</w:t>
      </w:r>
    </w:p>
    <w:p w14:paraId="39964444" w14:textId="74682D79" w:rsidR="004F7532" w:rsidRPr="003B4362" w:rsidRDefault="004F7532" w:rsidP="004F7532">
      <w:pPr>
        <w:spacing w:before="240" w:after="240"/>
        <w:ind w:left="1440"/>
      </w:pPr>
      <w:r w:rsidRPr="003B4362">
        <w:t xml:space="preserve">BOARD NOTE:  Subsections (b) and (c) </w:t>
      </w:r>
      <w:r w:rsidR="00260D73" w:rsidRPr="003B4362">
        <w:rPr>
          <w:spacing w:val="-3"/>
        </w:rPr>
        <w:t xml:space="preserve">derive </w:t>
      </w:r>
      <w:r w:rsidRPr="003B4362">
        <w:t>from 40 CFR 141.24(h)(1) through (h)(3).</w:t>
      </w:r>
    </w:p>
    <w:p w14:paraId="54C5B480" w14:textId="77777777" w:rsidR="004F7532" w:rsidRPr="003B4362" w:rsidRDefault="004F7532" w:rsidP="004F7532">
      <w:pPr>
        <w:suppressAutoHyphens/>
        <w:spacing w:before="240" w:after="240"/>
        <w:ind w:left="1440" w:hanging="720"/>
      </w:pPr>
      <w:r w:rsidRPr="003B4362">
        <w:t>d)</w:t>
      </w:r>
      <w:r w:rsidRPr="003B4362">
        <w:tab/>
        <w:t>Monitoring Frequency</w:t>
      </w:r>
    </w:p>
    <w:p w14:paraId="3FAA7D7F" w14:textId="77777777" w:rsidR="004F7532" w:rsidRPr="003B4362" w:rsidRDefault="004F7532" w:rsidP="004F7532">
      <w:pPr>
        <w:suppressAutoHyphens/>
        <w:spacing w:before="240" w:after="240"/>
        <w:ind w:left="2160" w:hanging="720"/>
      </w:pPr>
      <w:r w:rsidRPr="003B4362">
        <w:t>1)</w:t>
      </w:r>
      <w:r w:rsidRPr="003B4362">
        <w:tab/>
        <w:t>Each CWS and NTNCWS supplier must take four consecutive quarterly samples for each of the Phase II, Phase IIB, and Phase V SOCs during each compliance period, beginning in the three-year compliance period starting in the initial compliance period.</w:t>
      </w:r>
    </w:p>
    <w:p w14:paraId="0A9D59AA" w14:textId="77777777" w:rsidR="004F7532" w:rsidRPr="003B4362" w:rsidRDefault="004F7532" w:rsidP="004F7532">
      <w:pPr>
        <w:suppressAutoHyphens/>
        <w:spacing w:before="240" w:after="240"/>
        <w:ind w:left="2160" w:hanging="720"/>
      </w:pPr>
      <w:r w:rsidRPr="003B4362">
        <w:t>2)</w:t>
      </w:r>
      <w:r w:rsidRPr="003B4362">
        <w:tab/>
        <w:t>Suppliers serving more than 3,300 persons that do not detect a contaminant in the initial compliance period must take a minimum of two quarterly samples in one year of each subsequent three-year compliance period.</w:t>
      </w:r>
    </w:p>
    <w:p w14:paraId="51859125" w14:textId="77777777" w:rsidR="004F7532" w:rsidRPr="003B4362" w:rsidRDefault="004F7532" w:rsidP="004F7532">
      <w:pPr>
        <w:suppressAutoHyphens/>
        <w:spacing w:before="240" w:after="240"/>
        <w:ind w:left="2160" w:hanging="720"/>
      </w:pPr>
      <w:r w:rsidRPr="003B4362">
        <w:lastRenderedPageBreak/>
        <w:t>3)</w:t>
      </w:r>
      <w:r w:rsidRPr="003B4362">
        <w:tab/>
        <w:t>Suppliers serving fewer than or equal to 3,300 persons that do not detect a contaminant in the initial compliance period must take a minimum of one sample during each subsequent three-year compliance period.</w:t>
      </w:r>
    </w:p>
    <w:p w14:paraId="0C1E0FBD" w14:textId="74F736B6" w:rsidR="004F7532" w:rsidRPr="003B4362" w:rsidRDefault="004F7532" w:rsidP="004F7532">
      <w:pPr>
        <w:suppressAutoHyphens/>
        <w:spacing w:before="240" w:after="240"/>
        <w:ind w:left="1440" w:hanging="720"/>
      </w:pPr>
      <w:r w:rsidRPr="003B4362">
        <w:t>e)</w:t>
      </w:r>
      <w:r w:rsidRPr="003B4362">
        <w:tab/>
        <w:t xml:space="preserve">Reduction to Annual Monitoring Frequency.  A CWS or NTNCWS supplier may apply to the Agency for a SEP </w:t>
      </w:r>
      <w:r w:rsidR="00552DCA" w:rsidRPr="003B4362">
        <w:t xml:space="preserve">releasing the supplier </w:t>
      </w:r>
      <w:r w:rsidRPr="003B4362">
        <w:t xml:space="preserve">from the requirements of subsection (d).  A SEP from the requirement of subsection (d) </w:t>
      </w:r>
      <w:r w:rsidR="00552DCA" w:rsidRPr="003B4362">
        <w:t xml:space="preserve">may </w:t>
      </w:r>
      <w:r w:rsidRPr="003B4362">
        <w:t>last for only a single three-year compliance period.</w:t>
      </w:r>
    </w:p>
    <w:p w14:paraId="784E6A39" w14:textId="4AFACB5E" w:rsidR="004F7532" w:rsidRPr="003B4362" w:rsidRDefault="004F7532" w:rsidP="004F7532">
      <w:pPr>
        <w:suppressAutoHyphens/>
        <w:spacing w:before="240" w:after="240"/>
        <w:ind w:left="1440" w:hanging="720"/>
      </w:pPr>
      <w:r w:rsidRPr="003B4362">
        <w:t>f)</w:t>
      </w:r>
      <w:r w:rsidRPr="003B4362">
        <w:tab/>
        <w:t xml:space="preserve">Vulnerability Assessment.  The Agency must </w:t>
      </w:r>
      <w:r w:rsidR="00927576" w:rsidRPr="003B4362">
        <w:t xml:space="preserve">issue </w:t>
      </w:r>
      <w:r w:rsidRPr="003B4362">
        <w:t>a SEP from the requirements of subsection (d) based on consideration of the factors set forth at Section 611.110(a).</w:t>
      </w:r>
    </w:p>
    <w:p w14:paraId="734DFF1F" w14:textId="77777777" w:rsidR="004F7532" w:rsidRPr="003B4362" w:rsidRDefault="004F7532" w:rsidP="004F7532">
      <w:pPr>
        <w:suppressAutoHyphens/>
        <w:spacing w:before="240" w:after="240"/>
        <w:ind w:left="1440" w:hanging="720"/>
      </w:pPr>
      <w:r w:rsidRPr="003B4362">
        <w:t>g)</w:t>
      </w:r>
      <w:r w:rsidRPr="003B4362">
        <w:tab/>
        <w:t>If one of the Phase II, Phase IIB, or Phase V SOCs is detected in any sample, then the following must occur:</w:t>
      </w:r>
    </w:p>
    <w:p w14:paraId="12413031" w14:textId="77777777" w:rsidR="004F7532" w:rsidRPr="003B4362" w:rsidRDefault="004F7532" w:rsidP="004F7532">
      <w:pPr>
        <w:suppressAutoHyphens/>
        <w:spacing w:before="240" w:after="240"/>
        <w:ind w:left="2160" w:hanging="720"/>
      </w:pPr>
      <w:r w:rsidRPr="003B4362">
        <w:t>1)</w:t>
      </w:r>
      <w:r w:rsidRPr="003B4362">
        <w:tab/>
        <w:t>The supplier must monitor quarterly for the contaminant at each sampling point that resulted in a detection.</w:t>
      </w:r>
    </w:p>
    <w:p w14:paraId="69E278E0" w14:textId="77777777" w:rsidR="004F7532" w:rsidRPr="003B4362" w:rsidRDefault="004F7532" w:rsidP="004F7532">
      <w:pPr>
        <w:suppressAutoHyphens/>
        <w:spacing w:before="240" w:after="240"/>
        <w:ind w:left="2160" w:hanging="720"/>
      </w:pPr>
      <w:r w:rsidRPr="003B4362">
        <w:t>2)</w:t>
      </w:r>
      <w:r w:rsidRPr="003B4362">
        <w:tab/>
        <w:t>Annual Monitoring</w:t>
      </w:r>
    </w:p>
    <w:p w14:paraId="3044289B" w14:textId="70FE5D68" w:rsidR="004F7532" w:rsidRPr="003B4362" w:rsidRDefault="004F7532" w:rsidP="004F7532">
      <w:pPr>
        <w:suppressAutoHyphens/>
        <w:spacing w:before="240" w:after="240"/>
        <w:ind w:left="2880" w:hanging="720"/>
      </w:pPr>
      <w:r w:rsidRPr="003B4362">
        <w:t>A)</w:t>
      </w:r>
      <w:r w:rsidRPr="003B4362">
        <w:tab/>
        <w:t xml:space="preserve">A supplier may request that the Agency </w:t>
      </w:r>
      <w:r w:rsidR="00927576" w:rsidRPr="003B4362">
        <w:t xml:space="preserve">issue </w:t>
      </w:r>
      <w:r w:rsidRPr="003B4362">
        <w:t xml:space="preserve">a SEP </w:t>
      </w:r>
      <w:r w:rsidR="00927576" w:rsidRPr="003B4362">
        <w:t xml:space="preserve">reducing </w:t>
      </w:r>
      <w:r w:rsidRPr="003B4362">
        <w:t>the monitoring frequency to annual.</w:t>
      </w:r>
    </w:p>
    <w:p w14:paraId="41D6861E" w14:textId="77777777" w:rsidR="004F7532" w:rsidRPr="003B4362" w:rsidRDefault="004F7532" w:rsidP="004F7532">
      <w:pPr>
        <w:suppressAutoHyphens/>
        <w:spacing w:before="240" w:after="240"/>
        <w:ind w:left="2880" w:hanging="720"/>
      </w:pPr>
      <w:r w:rsidRPr="003B4362">
        <w:t>B)</w:t>
      </w:r>
      <w:r w:rsidRPr="003B4362">
        <w:tab/>
        <w:t>A request for a SEP must include the following minimal information:</w:t>
      </w:r>
    </w:p>
    <w:p w14:paraId="5DE4157F" w14:textId="77777777" w:rsidR="004F7532" w:rsidRPr="003B4362" w:rsidRDefault="004F7532" w:rsidP="004F7532">
      <w:pPr>
        <w:suppressAutoHyphens/>
        <w:spacing w:before="240" w:after="240"/>
        <w:ind w:left="2880" w:hanging="720"/>
      </w:pPr>
      <w:r w:rsidRPr="003B4362">
        <w:t>i)</w:t>
      </w:r>
      <w:r w:rsidRPr="003B4362">
        <w:tab/>
        <w:t>For a GWS, two quarterly samples.</w:t>
      </w:r>
    </w:p>
    <w:p w14:paraId="121998DC" w14:textId="77777777" w:rsidR="004F7532" w:rsidRPr="003B4362" w:rsidRDefault="004F7532" w:rsidP="004F7532">
      <w:pPr>
        <w:suppressAutoHyphens/>
        <w:spacing w:before="240" w:after="240"/>
        <w:ind w:left="2880" w:hanging="720"/>
      </w:pPr>
      <w:r w:rsidRPr="003B4362">
        <w:t>ii)</w:t>
      </w:r>
      <w:r w:rsidRPr="003B4362">
        <w:tab/>
        <w:t>For an SWS or mixed system supplier, four quarterly samples.</w:t>
      </w:r>
    </w:p>
    <w:p w14:paraId="7B09DCBA" w14:textId="13A62E40" w:rsidR="004F7532" w:rsidRPr="003B4362" w:rsidRDefault="004F7532" w:rsidP="004F7532">
      <w:pPr>
        <w:suppressAutoHyphens/>
        <w:spacing w:before="240" w:after="240"/>
        <w:ind w:left="2880" w:hanging="720"/>
      </w:pPr>
      <w:r w:rsidRPr="003B4362">
        <w:t>C)</w:t>
      </w:r>
      <w:r w:rsidRPr="003B4362">
        <w:tab/>
        <w:t xml:space="preserve">The Agency must </w:t>
      </w:r>
      <w:r w:rsidR="00927576" w:rsidRPr="003B4362">
        <w:t xml:space="preserve">issue </w:t>
      </w:r>
      <w:r w:rsidRPr="003B4362">
        <w:t xml:space="preserve">a SEP </w:t>
      </w:r>
      <w:r w:rsidR="00927576" w:rsidRPr="003B4362">
        <w:t xml:space="preserve">allowing </w:t>
      </w:r>
      <w:r w:rsidRPr="003B4362">
        <w:t>annual monitoring at a sampling point if it determines that the sampling point is reliably and consistently below the MCL.</w:t>
      </w:r>
    </w:p>
    <w:p w14:paraId="4465BD3D" w14:textId="3384F086" w:rsidR="004F7532" w:rsidRPr="003B4362" w:rsidRDefault="004F7532" w:rsidP="004F7532">
      <w:pPr>
        <w:suppressAutoHyphens/>
        <w:spacing w:before="240" w:after="240"/>
        <w:ind w:left="2880" w:hanging="720"/>
      </w:pPr>
      <w:r w:rsidRPr="003B4362">
        <w:t>D)</w:t>
      </w:r>
      <w:r w:rsidRPr="003B4362">
        <w:tab/>
      </w:r>
      <w:r w:rsidR="00927576" w:rsidRPr="003B4362">
        <w:t xml:space="preserve">When </w:t>
      </w:r>
      <w:r w:rsidRPr="003B4362">
        <w:t>issuing the SEP, the Agency must specify the level of the contaminant upon which the “</w:t>
      </w:r>
      <w:r w:rsidR="006B165C" w:rsidRPr="003B4362">
        <w:t>reliably and consistently</w:t>
      </w:r>
      <w:r w:rsidR="006B165C" w:rsidRPr="003B4362">
        <w:rPr>
          <w:spacing w:val="-3"/>
        </w:rPr>
        <w:t xml:space="preserve"> below the MCL</w:t>
      </w:r>
      <w:r w:rsidRPr="003B4362">
        <w:t xml:space="preserve">” determination was based.  Any SEP </w:t>
      </w:r>
      <w:r w:rsidR="00927576" w:rsidRPr="003B4362">
        <w:t xml:space="preserve">allowing </w:t>
      </w:r>
      <w:r w:rsidRPr="003B4362">
        <w:t>less frequent monitoring based on an Agency “</w:t>
      </w:r>
      <w:r w:rsidR="006B165C" w:rsidRPr="003B4362">
        <w:t>reliably and consistently</w:t>
      </w:r>
      <w:r w:rsidR="006B165C" w:rsidRPr="003B4362">
        <w:rPr>
          <w:spacing w:val="-3"/>
        </w:rPr>
        <w:t xml:space="preserve"> below the MCL</w:t>
      </w:r>
      <w:r w:rsidRPr="003B4362">
        <w:t>” determination must include a condition requiring the supplier to resume quarterly monitoring under subsection (g)(1) if it detects any Phase II SOC.</w:t>
      </w:r>
    </w:p>
    <w:p w14:paraId="0E1995C5" w14:textId="77777777" w:rsidR="004F7532" w:rsidRPr="003B4362" w:rsidRDefault="004F7532" w:rsidP="004F7532">
      <w:pPr>
        <w:suppressAutoHyphens/>
        <w:spacing w:before="240" w:after="240"/>
        <w:ind w:left="2160" w:hanging="720"/>
      </w:pPr>
      <w:r w:rsidRPr="003B4362">
        <w:t>3)</w:t>
      </w:r>
      <w:r w:rsidRPr="003B4362">
        <w:tab/>
        <w:t>Suppliers that monitor annually must monitor during the quarters that previously yielded the highest analytical result.</w:t>
      </w:r>
    </w:p>
    <w:p w14:paraId="06935A6C" w14:textId="77777777" w:rsidR="004F7532" w:rsidRPr="003B4362" w:rsidRDefault="004F7532" w:rsidP="004F7532">
      <w:pPr>
        <w:suppressAutoHyphens/>
        <w:spacing w:before="240" w:after="240"/>
        <w:ind w:left="2160" w:hanging="720"/>
      </w:pPr>
      <w:r w:rsidRPr="003B4362">
        <w:lastRenderedPageBreak/>
        <w:t>4)</w:t>
      </w:r>
      <w:r w:rsidRPr="003B4362">
        <w:tab/>
        <w:t>Suppliers that have three consecutive annual samples with no detection of a contaminant at a sampling point may apply to the Agency for a SEP with respect to that point, as specified in subsections (e) and (f).</w:t>
      </w:r>
    </w:p>
    <w:p w14:paraId="5E008905" w14:textId="77777777" w:rsidR="004F7532" w:rsidRPr="003B4362" w:rsidRDefault="004F7532" w:rsidP="004F7532">
      <w:pPr>
        <w:suppressAutoHyphens/>
        <w:spacing w:before="240" w:after="240"/>
        <w:ind w:left="2160" w:hanging="720"/>
      </w:pPr>
      <w:r w:rsidRPr="003B4362">
        <w:t>5)</w:t>
      </w:r>
      <w:r w:rsidRPr="003B4362">
        <w:tab/>
        <w:t>Monitoring for Related Contaminants</w:t>
      </w:r>
    </w:p>
    <w:p w14:paraId="55956FF6" w14:textId="77777777" w:rsidR="004F7532" w:rsidRPr="003B4362" w:rsidRDefault="004F7532" w:rsidP="004F7532">
      <w:pPr>
        <w:suppressAutoHyphens/>
        <w:spacing w:before="240" w:after="240"/>
        <w:ind w:left="2880" w:hanging="720"/>
      </w:pPr>
      <w:r w:rsidRPr="003B4362">
        <w:t>A)</w:t>
      </w:r>
      <w:r w:rsidRPr="003B4362">
        <w:tab/>
        <w:t>If monitoring results in detection of one or more of the related contaminants listed in subsection (g)(5)(B), subsequent monitoring must analyze for all the related compounds in the respective group.</w:t>
      </w:r>
    </w:p>
    <w:p w14:paraId="60F526D4" w14:textId="77777777" w:rsidR="004F7532" w:rsidRPr="003B4362" w:rsidRDefault="004F7532" w:rsidP="004F7532">
      <w:pPr>
        <w:suppressAutoHyphens/>
        <w:spacing w:before="240" w:after="240"/>
        <w:ind w:left="2880" w:hanging="720"/>
      </w:pPr>
      <w:r w:rsidRPr="003B4362">
        <w:t>B)</w:t>
      </w:r>
      <w:r w:rsidRPr="003B4362">
        <w:tab/>
        <w:t>Related Contaminants</w:t>
      </w:r>
    </w:p>
    <w:p w14:paraId="37DF7386" w14:textId="77777777" w:rsidR="004F7532" w:rsidRPr="003B4362" w:rsidRDefault="004F7532" w:rsidP="004F7532">
      <w:pPr>
        <w:suppressAutoHyphens/>
        <w:spacing w:before="240" w:after="240"/>
        <w:ind w:left="3600" w:hanging="720"/>
      </w:pPr>
      <w:r w:rsidRPr="003B4362">
        <w:t>i)</w:t>
      </w:r>
      <w:r w:rsidRPr="003B4362">
        <w:tab/>
        <w:t>First Group</w:t>
      </w:r>
    </w:p>
    <w:p w14:paraId="125FB3B9" w14:textId="77777777" w:rsidR="004F7532" w:rsidRPr="003B4362" w:rsidRDefault="004F7532" w:rsidP="0081371F">
      <w:pPr>
        <w:suppressAutoHyphens/>
        <w:spacing w:before="240"/>
        <w:ind w:left="3600"/>
      </w:pPr>
      <w:r w:rsidRPr="003B4362">
        <w:t>aldicarb</w:t>
      </w:r>
    </w:p>
    <w:p w14:paraId="7C7E8417" w14:textId="77777777" w:rsidR="004F7532" w:rsidRPr="003B4362" w:rsidRDefault="004F7532" w:rsidP="0081371F">
      <w:pPr>
        <w:suppressAutoHyphens/>
        <w:ind w:left="3600"/>
      </w:pPr>
      <w:r w:rsidRPr="003B4362">
        <w:t>aldicarb sulfone</w:t>
      </w:r>
    </w:p>
    <w:p w14:paraId="1C9E55ED" w14:textId="77777777" w:rsidR="004F7532" w:rsidRPr="003B4362" w:rsidRDefault="004F7532" w:rsidP="0081371F">
      <w:pPr>
        <w:suppressAutoHyphens/>
        <w:spacing w:after="240"/>
        <w:ind w:left="3600"/>
      </w:pPr>
      <w:r w:rsidRPr="003B4362">
        <w:t>aldicarb sulfoxide</w:t>
      </w:r>
    </w:p>
    <w:p w14:paraId="01532A69" w14:textId="77777777" w:rsidR="004F7532" w:rsidRPr="003B4362" w:rsidRDefault="004F7532" w:rsidP="004F7532">
      <w:pPr>
        <w:suppressAutoHyphens/>
        <w:spacing w:before="240" w:after="240"/>
        <w:ind w:left="3600"/>
      </w:pPr>
      <w:r w:rsidRPr="003B4362">
        <w:t>BOARD NOTE:  See the Board note appended to Section 611.311(c) for information relating to implementation of requirements relating to aldicarb, aldicarb sulfone, and aldicarb sulfoxide.</w:t>
      </w:r>
    </w:p>
    <w:p w14:paraId="6E8EB24B" w14:textId="77777777" w:rsidR="004F7532" w:rsidRPr="003B4362" w:rsidRDefault="004F7532" w:rsidP="004F7532">
      <w:pPr>
        <w:suppressAutoHyphens/>
        <w:spacing w:before="240" w:after="240"/>
        <w:ind w:left="3600" w:hanging="720"/>
      </w:pPr>
      <w:r w:rsidRPr="003B4362">
        <w:t>ii)</w:t>
      </w:r>
      <w:r w:rsidRPr="003B4362">
        <w:tab/>
        <w:t>Second Group</w:t>
      </w:r>
    </w:p>
    <w:p w14:paraId="735AD145" w14:textId="77777777" w:rsidR="004F7532" w:rsidRPr="003B4362" w:rsidRDefault="004F7532" w:rsidP="0081371F">
      <w:pPr>
        <w:suppressAutoHyphens/>
        <w:spacing w:before="240"/>
        <w:ind w:left="3600"/>
      </w:pPr>
      <w:r w:rsidRPr="003B4362">
        <w:t>heptachlor</w:t>
      </w:r>
    </w:p>
    <w:p w14:paraId="7E1B2A57" w14:textId="77777777" w:rsidR="004F7532" w:rsidRPr="003B4362" w:rsidRDefault="004F7532" w:rsidP="0081371F">
      <w:pPr>
        <w:suppressAutoHyphens/>
        <w:spacing w:after="240"/>
        <w:ind w:left="3600"/>
      </w:pPr>
      <w:r w:rsidRPr="003B4362">
        <w:t>heptachlor epoxide.</w:t>
      </w:r>
    </w:p>
    <w:p w14:paraId="7334498F" w14:textId="77777777" w:rsidR="004F7532" w:rsidRPr="003B4362" w:rsidRDefault="004F7532" w:rsidP="004F7532">
      <w:pPr>
        <w:suppressAutoHyphens/>
        <w:spacing w:before="240" w:after="240"/>
        <w:ind w:left="1440" w:hanging="720"/>
      </w:pPr>
      <w:r w:rsidRPr="003B4362">
        <w:t>h)</w:t>
      </w:r>
      <w:r w:rsidRPr="003B4362">
        <w:tab/>
        <w:t>Quarterly Monitoring Following MCL Violations</w:t>
      </w:r>
    </w:p>
    <w:p w14:paraId="37F6D9D4" w14:textId="77777777" w:rsidR="004F7532" w:rsidRPr="003B4362" w:rsidRDefault="004F7532" w:rsidP="004F7532">
      <w:pPr>
        <w:suppressAutoHyphens/>
        <w:spacing w:before="240" w:after="240"/>
        <w:ind w:left="2160" w:hanging="720"/>
      </w:pPr>
      <w:r w:rsidRPr="003B4362">
        <w:t>1)</w:t>
      </w:r>
      <w:r w:rsidRPr="003B4362">
        <w:tab/>
        <w:t>Suppliers that violate an MCL for one of the Phase II, Phase IIB, or Phase V SOCs, as determined by subsection (k), must monitor quarterly for that contaminant at the sampling point where the violation occurred, beginning the next quarter after the violation.</w:t>
      </w:r>
    </w:p>
    <w:p w14:paraId="140F5CA1" w14:textId="77777777" w:rsidR="004F7532" w:rsidRPr="003B4362" w:rsidRDefault="004F7532" w:rsidP="004F7532">
      <w:pPr>
        <w:suppressAutoHyphens/>
        <w:spacing w:before="240" w:after="240"/>
        <w:ind w:left="2160" w:hanging="720"/>
      </w:pPr>
      <w:r w:rsidRPr="003B4362">
        <w:t>2)</w:t>
      </w:r>
      <w:r w:rsidRPr="003B4362">
        <w:tab/>
        <w:t>Annual Monitoring</w:t>
      </w:r>
    </w:p>
    <w:p w14:paraId="2C615253" w14:textId="00E4D289" w:rsidR="004F7532" w:rsidRPr="003B4362" w:rsidRDefault="004F7532" w:rsidP="004F7532">
      <w:pPr>
        <w:suppressAutoHyphens/>
        <w:spacing w:before="240" w:after="240"/>
        <w:ind w:left="2880" w:hanging="720"/>
      </w:pPr>
      <w:r w:rsidRPr="003B4362">
        <w:t>A)</w:t>
      </w:r>
      <w:r w:rsidRPr="003B4362">
        <w:tab/>
        <w:t xml:space="preserve">A supplier may request that the Agency </w:t>
      </w:r>
      <w:r w:rsidR="00927576" w:rsidRPr="003B4362">
        <w:t xml:space="preserve">issue </w:t>
      </w:r>
      <w:r w:rsidRPr="003B4362">
        <w:t xml:space="preserve">a SEP </w:t>
      </w:r>
      <w:r w:rsidR="00927576" w:rsidRPr="003B4362">
        <w:t xml:space="preserve">reducing </w:t>
      </w:r>
      <w:r w:rsidRPr="003B4362">
        <w:t>the monitoring frequency to annual.</w:t>
      </w:r>
    </w:p>
    <w:p w14:paraId="2C9FF8B8" w14:textId="77777777" w:rsidR="004F7532" w:rsidRPr="003B4362" w:rsidRDefault="004F7532" w:rsidP="004F7532">
      <w:pPr>
        <w:suppressAutoHyphens/>
        <w:spacing w:before="240" w:after="240"/>
        <w:ind w:left="2880" w:hanging="720"/>
      </w:pPr>
      <w:r w:rsidRPr="003B4362">
        <w:t>B)</w:t>
      </w:r>
      <w:r w:rsidRPr="003B4362">
        <w:tab/>
        <w:t>A request for a SEP must include, at a minimum, the results from four quarterly samples.</w:t>
      </w:r>
    </w:p>
    <w:p w14:paraId="10157806" w14:textId="37F65888" w:rsidR="004F7532" w:rsidRPr="003B4362" w:rsidRDefault="004F7532" w:rsidP="004F7532">
      <w:pPr>
        <w:suppressAutoHyphens/>
        <w:spacing w:before="240" w:after="240"/>
        <w:ind w:left="2880" w:hanging="720"/>
      </w:pPr>
      <w:r w:rsidRPr="003B4362">
        <w:t>C)</w:t>
      </w:r>
      <w:r w:rsidRPr="003B4362">
        <w:tab/>
        <w:t xml:space="preserve">The Agency must </w:t>
      </w:r>
      <w:r w:rsidR="00C0550E" w:rsidRPr="003B4362">
        <w:t xml:space="preserve">issue </w:t>
      </w:r>
      <w:r w:rsidRPr="003B4362">
        <w:t xml:space="preserve">a SEP </w:t>
      </w:r>
      <w:r w:rsidR="00C0550E" w:rsidRPr="003B4362">
        <w:t xml:space="preserve">allowing </w:t>
      </w:r>
      <w:r w:rsidRPr="003B4362">
        <w:t>annual monitoring at a sampling point if it determines that the sampling point is reliably and consistently below the MCL.</w:t>
      </w:r>
    </w:p>
    <w:p w14:paraId="22AA351B" w14:textId="5B5C546C" w:rsidR="004F7532" w:rsidRPr="003B4362" w:rsidRDefault="004F7532" w:rsidP="004F7532">
      <w:pPr>
        <w:suppressAutoHyphens/>
        <w:spacing w:before="240" w:after="240"/>
        <w:ind w:left="2880" w:hanging="720"/>
      </w:pPr>
      <w:r w:rsidRPr="003B4362">
        <w:lastRenderedPageBreak/>
        <w:t>D)</w:t>
      </w:r>
      <w:r w:rsidRPr="003B4362">
        <w:tab/>
      </w:r>
      <w:r w:rsidR="00C0550E" w:rsidRPr="003B4362">
        <w:t xml:space="preserve">When </w:t>
      </w:r>
      <w:r w:rsidRPr="003B4362">
        <w:t>issuing the SEP, the Agency must specify the level of the contaminant upon which the “</w:t>
      </w:r>
      <w:r w:rsidR="006B165C" w:rsidRPr="003B4362">
        <w:t>reliably and consistently</w:t>
      </w:r>
      <w:r w:rsidR="006B165C" w:rsidRPr="003B4362">
        <w:rPr>
          <w:spacing w:val="-3"/>
        </w:rPr>
        <w:t xml:space="preserve"> below the MCL</w:t>
      </w:r>
      <w:r w:rsidRPr="003B4362">
        <w:t xml:space="preserve">” determination was based.  Any SEP </w:t>
      </w:r>
      <w:r w:rsidR="00C0550E" w:rsidRPr="003B4362">
        <w:t xml:space="preserve">allowing </w:t>
      </w:r>
      <w:r w:rsidRPr="003B4362">
        <w:t>less frequent monitoring based on an Agency “</w:t>
      </w:r>
      <w:r w:rsidR="006B165C" w:rsidRPr="003B4362">
        <w:t>reliably and consistently</w:t>
      </w:r>
      <w:r w:rsidR="006B165C" w:rsidRPr="003B4362">
        <w:rPr>
          <w:spacing w:val="-3"/>
        </w:rPr>
        <w:t xml:space="preserve"> below the MCL</w:t>
      </w:r>
      <w:r w:rsidRPr="003B4362">
        <w:t>” determination must include a condition requiring the supplier to resume quarterly monitoring under subsection (h)(1) if it detects any Phase II SOC.</w:t>
      </w:r>
    </w:p>
    <w:p w14:paraId="76C405C0" w14:textId="77777777" w:rsidR="004F7532" w:rsidRPr="003B4362" w:rsidRDefault="004F7532" w:rsidP="004F7532">
      <w:pPr>
        <w:suppressAutoHyphens/>
        <w:spacing w:before="240" w:after="240"/>
        <w:ind w:left="2880" w:hanging="720"/>
      </w:pPr>
      <w:r w:rsidRPr="003B4362">
        <w:t>E)</w:t>
      </w:r>
      <w:r w:rsidRPr="003B4362">
        <w:tab/>
        <w:t>The supplier must monitor during the quarters that previously yielded the highest analytical result.</w:t>
      </w:r>
    </w:p>
    <w:p w14:paraId="591D98C0" w14:textId="77777777" w:rsidR="004F7532" w:rsidRPr="003B4362" w:rsidRDefault="004F7532" w:rsidP="004F7532">
      <w:pPr>
        <w:suppressAutoHyphens/>
        <w:spacing w:before="240" w:after="240"/>
        <w:ind w:left="1440" w:hanging="720"/>
      </w:pPr>
      <w:r w:rsidRPr="003B4362">
        <w:t>i)</w:t>
      </w:r>
      <w:r w:rsidRPr="003B4362">
        <w:tab/>
        <w:t>Confirmation Samples</w:t>
      </w:r>
    </w:p>
    <w:p w14:paraId="5F79DD48" w14:textId="77777777" w:rsidR="004F7532" w:rsidRPr="003B4362" w:rsidRDefault="004F7532" w:rsidP="004F7532">
      <w:pPr>
        <w:suppressAutoHyphens/>
        <w:spacing w:before="240" w:after="240"/>
        <w:ind w:left="2160" w:hanging="720"/>
      </w:pPr>
      <w:r w:rsidRPr="003B4362">
        <w:t>1)</w:t>
      </w:r>
      <w:r w:rsidRPr="003B4362">
        <w:tab/>
        <w:t>If any of the Phase II, Phase IIB, or Phase V SOCs are detected in a sample, the supplier must take a confirmation sample as soon as possible, but no later than 14 days after the supplier receives notice of the detection.</w:t>
      </w:r>
    </w:p>
    <w:p w14:paraId="612B03B2" w14:textId="77777777" w:rsidR="004F7532" w:rsidRPr="003B4362" w:rsidRDefault="004F7532" w:rsidP="004F7532">
      <w:pPr>
        <w:suppressAutoHyphens/>
        <w:spacing w:before="240" w:after="240"/>
        <w:ind w:left="2160" w:hanging="720"/>
      </w:pPr>
      <w:r w:rsidRPr="003B4362">
        <w:t>2)</w:t>
      </w:r>
      <w:r w:rsidRPr="003B4362">
        <w:tab/>
        <w:t>Averaging is as specified in subsection (k).</w:t>
      </w:r>
    </w:p>
    <w:p w14:paraId="4A39BD1F" w14:textId="77777777" w:rsidR="004F7532" w:rsidRPr="003B4362" w:rsidRDefault="004F7532" w:rsidP="004F7532">
      <w:pPr>
        <w:suppressAutoHyphens/>
        <w:spacing w:before="240" w:after="240"/>
        <w:ind w:left="2160" w:hanging="720"/>
      </w:pPr>
      <w:r w:rsidRPr="003B4362">
        <w:t>3)</w:t>
      </w:r>
      <w:r w:rsidRPr="003B4362">
        <w:tab/>
        <w:t>The Agency must delete the original or confirmation sample if it determines that a sampling error occurred, in which case the confirmation sample will replace the original or confirmation sample.</w:t>
      </w:r>
    </w:p>
    <w:p w14:paraId="241938F6" w14:textId="77777777" w:rsidR="004F7532" w:rsidRPr="003B4362" w:rsidRDefault="004F7532" w:rsidP="004F7532">
      <w:pPr>
        <w:suppressAutoHyphens/>
        <w:spacing w:before="240" w:after="240"/>
        <w:ind w:left="1440" w:hanging="720"/>
      </w:pPr>
      <w:r w:rsidRPr="003B4362">
        <w:t>j)</w:t>
      </w:r>
      <w:r w:rsidRPr="003B4362">
        <w:tab/>
        <w:t>This subsection (j) corresponds with 40 CFR 141.24(h)(10), an optional USEPA provision relating to compositing of samples that USEPA does not require for state programs.  This statement maintains structural consistency with USEPA rules.</w:t>
      </w:r>
    </w:p>
    <w:p w14:paraId="76AB0204" w14:textId="77777777" w:rsidR="004F7532" w:rsidRPr="003B4362" w:rsidRDefault="004F7532" w:rsidP="004F7532">
      <w:pPr>
        <w:suppressAutoHyphens/>
        <w:spacing w:before="240" w:after="240"/>
        <w:ind w:left="1440" w:hanging="720"/>
      </w:pPr>
      <w:r w:rsidRPr="003B4362">
        <w:t>k)</w:t>
      </w:r>
      <w:r w:rsidRPr="003B4362">
        <w:tab/>
        <w:t>Compliance with the MCLs for the Phase II, Phase IIB, and Phase V SOCs must be determined based on the analytical results obtained at each sampling point.  If one sampling point is in violation of an MCL, the supplier is in violation of the MCL.</w:t>
      </w:r>
    </w:p>
    <w:p w14:paraId="19794CB1" w14:textId="77777777" w:rsidR="004F7532" w:rsidRPr="003B4362" w:rsidRDefault="004F7532" w:rsidP="004F7532">
      <w:pPr>
        <w:suppressAutoHyphens/>
        <w:spacing w:before="240" w:after="240"/>
        <w:ind w:left="2160" w:hanging="720"/>
      </w:pPr>
      <w:r w:rsidRPr="003B4362">
        <w:t>1)</w:t>
      </w:r>
      <w:r w:rsidRPr="003B4362">
        <w:tab/>
        <w:t>For a supplier that monitors more than once per year, compliance with the MCL is determined by a running annual average at each sampling point.</w:t>
      </w:r>
    </w:p>
    <w:p w14:paraId="5D7FD1E1" w14:textId="57A6921F" w:rsidR="004F7532" w:rsidRPr="003B4362" w:rsidRDefault="004F7532" w:rsidP="004F7532">
      <w:pPr>
        <w:suppressAutoHyphens/>
        <w:spacing w:before="240" w:after="240"/>
        <w:ind w:left="2160" w:hanging="720"/>
      </w:pPr>
      <w:r w:rsidRPr="003B4362">
        <w:t>2)</w:t>
      </w:r>
      <w:r w:rsidRPr="003B4362">
        <w:tab/>
        <w:t xml:space="preserve">A supplier that monitors annually or less frequently whose sample result exceeds the regulatory detection level as defined by subsection (r) must begin quarterly sampling.  The system will not be considered in violation of the MCL until it </w:t>
      </w:r>
      <w:r w:rsidR="00A854C7" w:rsidRPr="003B4362">
        <w:t>has</w:t>
      </w:r>
      <w:r w:rsidRPr="003B4362">
        <w:t xml:space="preserve"> completed one year of quarterly sampling.</w:t>
      </w:r>
    </w:p>
    <w:p w14:paraId="0BA38BB1" w14:textId="77777777" w:rsidR="004F7532" w:rsidRPr="003B4362" w:rsidRDefault="004F7532" w:rsidP="004F7532">
      <w:pPr>
        <w:suppressAutoHyphens/>
        <w:spacing w:before="240" w:after="240"/>
        <w:ind w:left="2160" w:hanging="720"/>
      </w:pPr>
      <w:r w:rsidRPr="003B4362">
        <w:t>3)</w:t>
      </w:r>
      <w:r w:rsidRPr="003B4362">
        <w:tab/>
        <w:t>If any sample result will cause the running annual average to exceed the MCL at any sampling point, the supplier is out of compliance with the MCL immediately.</w:t>
      </w:r>
    </w:p>
    <w:p w14:paraId="1C32CECF" w14:textId="77777777" w:rsidR="004F7532" w:rsidRPr="003B4362" w:rsidRDefault="004F7532" w:rsidP="004F7532">
      <w:pPr>
        <w:suppressAutoHyphens/>
        <w:spacing w:before="240" w:after="240"/>
        <w:ind w:left="2160" w:hanging="720"/>
      </w:pPr>
      <w:r w:rsidRPr="003B4362">
        <w:lastRenderedPageBreak/>
        <w:t>4)</w:t>
      </w:r>
      <w:r w:rsidRPr="003B4362">
        <w:tab/>
        <w:t>If a supplier fails to collect the required number of samples, compliance will be based on the total number of samples collected.</w:t>
      </w:r>
    </w:p>
    <w:p w14:paraId="643495F1" w14:textId="77777777" w:rsidR="004F7532" w:rsidRPr="003B4362" w:rsidRDefault="004F7532" w:rsidP="004F7532">
      <w:pPr>
        <w:suppressAutoHyphens/>
        <w:spacing w:before="240" w:after="240"/>
        <w:ind w:left="2160" w:hanging="720"/>
      </w:pPr>
      <w:r w:rsidRPr="003B4362">
        <w:t>5)</w:t>
      </w:r>
      <w:r w:rsidRPr="003B4362">
        <w:tab/>
        <w:t>If a sample result is less than the detection limit, zero will be used to calculate the annual average.</w:t>
      </w:r>
    </w:p>
    <w:p w14:paraId="506927F9" w14:textId="77777777" w:rsidR="004F7532" w:rsidRPr="003B4362" w:rsidRDefault="004F7532" w:rsidP="004F7532">
      <w:pPr>
        <w:suppressAutoHyphens/>
        <w:spacing w:before="240" w:after="240"/>
        <w:ind w:left="1440" w:hanging="720"/>
      </w:pPr>
      <w:r w:rsidRPr="003B4362">
        <w:t>l)</w:t>
      </w:r>
      <w:r w:rsidRPr="003B4362">
        <w:tab/>
        <w:t>This subsection (l) corresponds with 40 CFR 141.24(h)(12), which USEPA removed and reserved.  This statement maintains structural consistency with the federal regulations.</w:t>
      </w:r>
    </w:p>
    <w:p w14:paraId="6D2F6B19" w14:textId="77777777" w:rsidR="004F7532" w:rsidRPr="003B4362" w:rsidRDefault="004F7532" w:rsidP="004F7532">
      <w:pPr>
        <w:suppressAutoHyphens/>
        <w:spacing w:before="240" w:after="240"/>
        <w:ind w:left="1440" w:hanging="720"/>
      </w:pPr>
      <w:r w:rsidRPr="003B4362">
        <w:t>m)</w:t>
      </w:r>
      <w:r w:rsidRPr="003B4362">
        <w:tab/>
        <w:t>Analysis for PCBs must be conducted as follows using the methods in Section 611.645:</w:t>
      </w:r>
    </w:p>
    <w:p w14:paraId="4F2C90A6" w14:textId="77777777" w:rsidR="004F7532" w:rsidRPr="003B4362" w:rsidRDefault="004F7532" w:rsidP="004F7532">
      <w:pPr>
        <w:suppressAutoHyphens/>
        <w:spacing w:before="240" w:after="240"/>
        <w:ind w:left="2160" w:hanging="720"/>
      </w:pPr>
      <w:r w:rsidRPr="003B4362">
        <w:t>1)</w:t>
      </w:r>
      <w:r w:rsidRPr="003B4362">
        <w:tab/>
        <w:t xml:space="preserve">Each supplier that monitors for PCBs must analyze each sample using either </w:t>
      </w:r>
      <w:bookmarkStart w:id="3888" w:name="_Hlk14357375"/>
      <w:r w:rsidRPr="003B4362">
        <w:t>USEPA 505 (95) or USEPA 508 (95)</w:t>
      </w:r>
      <w:bookmarkEnd w:id="3888"/>
      <w:r w:rsidRPr="003B4362">
        <w:t>.</w:t>
      </w:r>
    </w:p>
    <w:p w14:paraId="7BB5FFCD" w14:textId="001F8D87" w:rsidR="004F7532" w:rsidRPr="003B4362" w:rsidRDefault="004F7532" w:rsidP="004F7532">
      <w:pPr>
        <w:suppressAutoHyphens/>
        <w:spacing w:before="240" w:after="240"/>
        <w:ind w:left="2160" w:hanging="720"/>
      </w:pPr>
      <w:r w:rsidRPr="003B4362">
        <w:t>2)</w:t>
      </w:r>
      <w:r w:rsidRPr="003B4362">
        <w:tab/>
        <w:t>If PCBs are detected in any sample analyzed using USEPA 505 (95) or USEPA 508 (95), the supplier must reanalyze the sample using USEPA 508A (89) to quantitate the individual Aroclors (as decachlorobiphenyl).</w:t>
      </w:r>
    </w:p>
    <w:p w14:paraId="102350F7" w14:textId="77777777" w:rsidR="004F7532" w:rsidRPr="003B4362" w:rsidRDefault="004F7532" w:rsidP="004F7532">
      <w:pPr>
        <w:suppressAutoHyphens/>
        <w:spacing w:before="240" w:after="240"/>
        <w:ind w:left="2160" w:hanging="720"/>
      </w:pPr>
      <w:r w:rsidRPr="003B4362">
        <w:t>3)</w:t>
      </w:r>
      <w:r w:rsidRPr="003B4362">
        <w:tab/>
        <w:t>Compliance with the PCB MCL must be determined based upon the quantitative results of analyses using USEPA 508A (89).</w:t>
      </w:r>
    </w:p>
    <w:p w14:paraId="35E5C004" w14:textId="77777777" w:rsidR="004F7532" w:rsidRPr="003B4362" w:rsidRDefault="004F7532" w:rsidP="004F7532">
      <w:pPr>
        <w:suppressAutoHyphens/>
        <w:spacing w:before="240" w:after="240"/>
        <w:ind w:left="1440" w:hanging="720"/>
      </w:pPr>
      <w:r w:rsidRPr="003B4362">
        <w:t>n)</w:t>
      </w:r>
      <w:r w:rsidRPr="003B4362">
        <w:tab/>
        <w:t>This subsection (n) corresponds with 40 CFR 141.24(h)(14), an obsolete provision that relates to the initial compliance period from 1993 through 1995.  This statement maintains consistency with the federal regulations.</w:t>
      </w:r>
    </w:p>
    <w:p w14:paraId="4A041A57" w14:textId="55852E43" w:rsidR="004F7532" w:rsidRPr="003B4362" w:rsidRDefault="004F7532" w:rsidP="004F7532">
      <w:pPr>
        <w:suppressAutoHyphens/>
        <w:spacing w:before="240" w:after="240"/>
        <w:ind w:left="1440" w:hanging="720"/>
      </w:pPr>
      <w:r w:rsidRPr="003B4362">
        <w:t>o)</w:t>
      </w:r>
      <w:r w:rsidRPr="003B4362">
        <w:tab/>
        <w:t xml:space="preserve">The Agency must issue a SEP </w:t>
      </w:r>
      <w:r w:rsidR="00C0550E" w:rsidRPr="003B4362">
        <w:t xml:space="preserve">increasing </w:t>
      </w:r>
      <w:r w:rsidRPr="003B4362">
        <w:t>the number of sampling points or the frequency of monitoring if it determines that this is necessary to detect variations within the PWS due to such factors as fluctuations in contaminant concentration due to seasonal use or changes in the water source.</w:t>
      </w:r>
    </w:p>
    <w:p w14:paraId="1A7360FC" w14:textId="396E175E" w:rsidR="004F7532" w:rsidRPr="003B4362" w:rsidRDefault="004F7532" w:rsidP="004F7532">
      <w:pPr>
        <w:spacing w:before="240" w:after="240"/>
        <w:ind w:left="1440"/>
      </w:pPr>
      <w:r w:rsidRPr="003B4362">
        <w:t xml:space="preserve">BOARD NOTE:  At 40 CFR 141.24(h)(15), the factors </w:t>
      </w:r>
      <w:r w:rsidR="004911BE" w:rsidRPr="003B4362">
        <w:t xml:space="preserve">are </w:t>
      </w:r>
      <w:r w:rsidRPr="003B4362">
        <w:t xml:space="preserve">non-limiting examples of circumstances </w:t>
      </w:r>
      <w:r w:rsidR="004911BE" w:rsidRPr="003B4362">
        <w:t xml:space="preserve">making </w:t>
      </w:r>
      <w:r w:rsidRPr="003B4362">
        <w:t>additional monitoring necessary.</w:t>
      </w:r>
    </w:p>
    <w:p w14:paraId="575C742B" w14:textId="77777777" w:rsidR="004F7532" w:rsidRPr="003B4362" w:rsidRDefault="004F7532" w:rsidP="004F7532">
      <w:pPr>
        <w:suppressAutoHyphens/>
        <w:spacing w:before="240" w:after="240"/>
        <w:ind w:left="1440" w:hanging="720"/>
      </w:pPr>
      <w:r w:rsidRPr="003B4362">
        <w:t>p)</w:t>
      </w:r>
      <w:r w:rsidRPr="003B4362">
        <w:tab/>
        <w:t>This subsection (p) corresponds with 40 CFR 141.24(h)(16), a USEPA provision relating to reserving enforcement authority to the State that would serve no useful function as part of the State’s rules.  This statement maintains structural consistency with USEPA rules.</w:t>
      </w:r>
    </w:p>
    <w:p w14:paraId="10E1808C" w14:textId="4F834D89" w:rsidR="004F7532" w:rsidRPr="003B4362" w:rsidRDefault="004F7532" w:rsidP="004F7532">
      <w:pPr>
        <w:suppressAutoHyphens/>
        <w:spacing w:before="240" w:after="240"/>
        <w:ind w:left="1440" w:hanging="720"/>
      </w:pPr>
      <w:r w:rsidRPr="003B4362">
        <w:t>q)</w:t>
      </w:r>
      <w:r w:rsidRPr="003B4362">
        <w:tab/>
        <w:t xml:space="preserve">Each supplier must monitor, within each compliance period, at the time designated by the Agency </w:t>
      </w:r>
      <w:r w:rsidR="00D610C7" w:rsidRPr="003B4362">
        <w:t xml:space="preserve">in a </w:t>
      </w:r>
      <w:r w:rsidRPr="003B4362">
        <w:t>SEP.</w:t>
      </w:r>
    </w:p>
    <w:p w14:paraId="360D360E" w14:textId="77777777" w:rsidR="004F7532" w:rsidRPr="003B4362" w:rsidRDefault="004F7532" w:rsidP="004F7532">
      <w:pPr>
        <w:suppressAutoHyphens/>
        <w:spacing w:before="240" w:after="240"/>
        <w:ind w:left="1440" w:hanging="720"/>
      </w:pPr>
      <w:r w:rsidRPr="003B4362">
        <w:t>r)</w:t>
      </w:r>
      <w:r w:rsidRPr="003B4362">
        <w:tab/>
        <w:t>“Detection” means greater than or equal to the following concentrations for each contaminant:</w:t>
      </w:r>
    </w:p>
    <w:p w14:paraId="33DF7D98" w14:textId="7962ADB7" w:rsidR="004F7532" w:rsidRPr="003B4362" w:rsidRDefault="004F7532" w:rsidP="008B6EF6">
      <w:pPr>
        <w:ind w:left="2160" w:hanging="720"/>
      </w:pPr>
      <w:r w:rsidRPr="003B4362">
        <w:lastRenderedPageBreak/>
        <w:t>1)</w:t>
      </w:r>
      <w:r w:rsidRPr="003B4362">
        <w:tab/>
        <w:t>For PCBs (Aroclors), the following:</w:t>
      </w:r>
    </w:p>
    <w:p w14:paraId="59AF4D2D" w14:textId="77777777" w:rsidR="008B6EF6" w:rsidRPr="003B4362" w:rsidRDefault="008B6EF6" w:rsidP="008B6EF6">
      <w:pPr>
        <w:ind w:left="2160" w:hanging="720"/>
      </w:pPr>
    </w:p>
    <w:tbl>
      <w:tblPr>
        <w:tblW w:w="0" w:type="auto"/>
        <w:tblInd w:w="2880" w:type="dxa"/>
        <w:tblLayout w:type="fixed"/>
        <w:tblCellMar>
          <w:left w:w="0" w:type="dxa"/>
          <w:right w:w="72" w:type="dxa"/>
        </w:tblCellMar>
        <w:tblLook w:val="0000" w:firstRow="0" w:lastRow="0" w:firstColumn="0" w:lastColumn="0" w:noHBand="0" w:noVBand="0"/>
      </w:tblPr>
      <w:tblGrid>
        <w:gridCol w:w="1440"/>
        <w:gridCol w:w="2880"/>
      </w:tblGrid>
      <w:tr w:rsidR="001628C1" w:rsidRPr="003B4362" w14:paraId="3F3263EA" w14:textId="77777777" w:rsidTr="00C619B9">
        <w:tc>
          <w:tcPr>
            <w:tcW w:w="1440" w:type="dxa"/>
          </w:tcPr>
          <w:p w14:paraId="1FE20723" w14:textId="77777777" w:rsidR="004F7532" w:rsidRPr="003B4362" w:rsidRDefault="004F7532" w:rsidP="00C619B9">
            <w:pPr>
              <w:keepNext/>
              <w:keepLines/>
              <w:suppressAutoHyphens/>
              <w:spacing w:after="240"/>
            </w:pPr>
            <w:r w:rsidRPr="003B4362">
              <w:t>Aroclor</w:t>
            </w:r>
          </w:p>
        </w:tc>
        <w:tc>
          <w:tcPr>
            <w:tcW w:w="2880" w:type="dxa"/>
          </w:tcPr>
          <w:p w14:paraId="3D38982A" w14:textId="7B42702F" w:rsidR="004F7532" w:rsidRPr="003B4362" w:rsidRDefault="004F7532" w:rsidP="00C619B9">
            <w:pPr>
              <w:keepNext/>
              <w:keepLines/>
              <w:suppressAutoHyphens/>
              <w:spacing w:after="240"/>
            </w:pPr>
            <w:r w:rsidRPr="003B4362">
              <w:t>Detection Limit (mg/</w:t>
            </w:r>
            <w:r w:rsidR="002E7704" w:rsidRPr="003B4362">
              <w:t xml:space="preserve"> L</w:t>
            </w:r>
            <w:r w:rsidRPr="003B4362">
              <w:t>)</w:t>
            </w:r>
          </w:p>
        </w:tc>
      </w:tr>
      <w:tr w:rsidR="001628C1" w:rsidRPr="003B4362" w14:paraId="7EA01789" w14:textId="77777777" w:rsidTr="00C619B9">
        <w:tc>
          <w:tcPr>
            <w:tcW w:w="1440" w:type="dxa"/>
          </w:tcPr>
          <w:p w14:paraId="0B2FEDFD" w14:textId="77777777" w:rsidR="004F7532" w:rsidRPr="003B4362" w:rsidRDefault="004F7532" w:rsidP="00C619B9">
            <w:pPr>
              <w:suppressAutoHyphens/>
            </w:pPr>
            <w:r w:rsidRPr="003B4362">
              <w:t>1016</w:t>
            </w:r>
          </w:p>
        </w:tc>
        <w:tc>
          <w:tcPr>
            <w:tcW w:w="2880" w:type="dxa"/>
          </w:tcPr>
          <w:p w14:paraId="48C9BE8E" w14:textId="77777777" w:rsidR="004F7532" w:rsidRPr="003B4362" w:rsidRDefault="004F7532" w:rsidP="00C619B9">
            <w:pPr>
              <w:suppressAutoHyphens/>
            </w:pPr>
            <w:r w:rsidRPr="003B4362">
              <w:t>0.00008</w:t>
            </w:r>
          </w:p>
        </w:tc>
      </w:tr>
      <w:tr w:rsidR="001628C1" w:rsidRPr="003B4362" w14:paraId="4DC57D7C" w14:textId="77777777" w:rsidTr="00C619B9">
        <w:tc>
          <w:tcPr>
            <w:tcW w:w="1440" w:type="dxa"/>
          </w:tcPr>
          <w:p w14:paraId="5EB3EDAF" w14:textId="77777777" w:rsidR="004F7532" w:rsidRPr="003B4362" w:rsidRDefault="004F7532" w:rsidP="00C619B9">
            <w:pPr>
              <w:suppressAutoHyphens/>
            </w:pPr>
            <w:r w:rsidRPr="003B4362">
              <w:t>1221</w:t>
            </w:r>
          </w:p>
        </w:tc>
        <w:tc>
          <w:tcPr>
            <w:tcW w:w="2880" w:type="dxa"/>
          </w:tcPr>
          <w:p w14:paraId="37B249C9" w14:textId="77777777" w:rsidR="004F7532" w:rsidRPr="003B4362" w:rsidRDefault="004F7532" w:rsidP="00C619B9">
            <w:pPr>
              <w:suppressAutoHyphens/>
            </w:pPr>
            <w:r w:rsidRPr="003B4362">
              <w:t>0.02</w:t>
            </w:r>
          </w:p>
        </w:tc>
      </w:tr>
      <w:tr w:rsidR="001628C1" w:rsidRPr="003B4362" w14:paraId="2132FFE3" w14:textId="77777777" w:rsidTr="00C619B9">
        <w:tc>
          <w:tcPr>
            <w:tcW w:w="1440" w:type="dxa"/>
          </w:tcPr>
          <w:p w14:paraId="2C6BD33E" w14:textId="77777777" w:rsidR="004F7532" w:rsidRPr="003B4362" w:rsidRDefault="004F7532" w:rsidP="00C619B9">
            <w:pPr>
              <w:suppressAutoHyphens/>
            </w:pPr>
            <w:r w:rsidRPr="003B4362">
              <w:t>1232</w:t>
            </w:r>
          </w:p>
        </w:tc>
        <w:tc>
          <w:tcPr>
            <w:tcW w:w="2880" w:type="dxa"/>
          </w:tcPr>
          <w:p w14:paraId="3F93B928" w14:textId="77777777" w:rsidR="004F7532" w:rsidRPr="003B4362" w:rsidRDefault="004F7532" w:rsidP="00C619B9">
            <w:pPr>
              <w:suppressAutoHyphens/>
            </w:pPr>
            <w:r w:rsidRPr="003B4362">
              <w:t>0.0005</w:t>
            </w:r>
          </w:p>
        </w:tc>
      </w:tr>
      <w:tr w:rsidR="001628C1" w:rsidRPr="003B4362" w14:paraId="064351F6" w14:textId="77777777" w:rsidTr="00C619B9">
        <w:tc>
          <w:tcPr>
            <w:tcW w:w="1440" w:type="dxa"/>
          </w:tcPr>
          <w:p w14:paraId="3C8F5E76" w14:textId="77777777" w:rsidR="004F7532" w:rsidRPr="003B4362" w:rsidRDefault="004F7532" w:rsidP="00C619B9">
            <w:pPr>
              <w:suppressAutoHyphens/>
            </w:pPr>
            <w:r w:rsidRPr="003B4362">
              <w:t>1242</w:t>
            </w:r>
          </w:p>
        </w:tc>
        <w:tc>
          <w:tcPr>
            <w:tcW w:w="2880" w:type="dxa"/>
          </w:tcPr>
          <w:p w14:paraId="6327BB24" w14:textId="77777777" w:rsidR="004F7532" w:rsidRPr="003B4362" w:rsidRDefault="004F7532" w:rsidP="00C619B9">
            <w:pPr>
              <w:suppressAutoHyphens/>
            </w:pPr>
            <w:r w:rsidRPr="003B4362">
              <w:t>0.0003</w:t>
            </w:r>
          </w:p>
        </w:tc>
      </w:tr>
      <w:tr w:rsidR="001628C1" w:rsidRPr="003B4362" w14:paraId="00706ABA" w14:textId="77777777" w:rsidTr="00C619B9">
        <w:tc>
          <w:tcPr>
            <w:tcW w:w="1440" w:type="dxa"/>
          </w:tcPr>
          <w:p w14:paraId="5FAC03D6" w14:textId="77777777" w:rsidR="004F7532" w:rsidRPr="003B4362" w:rsidRDefault="004F7532" w:rsidP="00C619B9">
            <w:pPr>
              <w:suppressAutoHyphens/>
            </w:pPr>
            <w:r w:rsidRPr="003B4362">
              <w:t>1248</w:t>
            </w:r>
          </w:p>
        </w:tc>
        <w:tc>
          <w:tcPr>
            <w:tcW w:w="2880" w:type="dxa"/>
          </w:tcPr>
          <w:p w14:paraId="651C0ECB" w14:textId="77777777" w:rsidR="004F7532" w:rsidRPr="003B4362" w:rsidRDefault="004F7532" w:rsidP="00C619B9">
            <w:pPr>
              <w:suppressAutoHyphens/>
            </w:pPr>
            <w:r w:rsidRPr="003B4362">
              <w:t>0.0001</w:t>
            </w:r>
          </w:p>
        </w:tc>
      </w:tr>
      <w:tr w:rsidR="001628C1" w:rsidRPr="003B4362" w14:paraId="3EC58A1A" w14:textId="77777777" w:rsidTr="00C619B9">
        <w:tc>
          <w:tcPr>
            <w:tcW w:w="1440" w:type="dxa"/>
          </w:tcPr>
          <w:p w14:paraId="73BB010A" w14:textId="77777777" w:rsidR="004F7532" w:rsidRPr="003B4362" w:rsidRDefault="004F7532" w:rsidP="00C619B9">
            <w:pPr>
              <w:suppressAutoHyphens/>
            </w:pPr>
            <w:r w:rsidRPr="003B4362">
              <w:t>1254</w:t>
            </w:r>
          </w:p>
        </w:tc>
        <w:tc>
          <w:tcPr>
            <w:tcW w:w="2880" w:type="dxa"/>
          </w:tcPr>
          <w:p w14:paraId="6823C18F" w14:textId="77777777" w:rsidR="004F7532" w:rsidRPr="003B4362" w:rsidRDefault="004F7532" w:rsidP="00C619B9">
            <w:pPr>
              <w:suppressAutoHyphens/>
            </w:pPr>
            <w:r w:rsidRPr="003B4362">
              <w:t>0.0001</w:t>
            </w:r>
          </w:p>
        </w:tc>
      </w:tr>
      <w:tr w:rsidR="001628C1" w:rsidRPr="003B4362" w14:paraId="3BB80886" w14:textId="77777777" w:rsidTr="00C619B9">
        <w:tc>
          <w:tcPr>
            <w:tcW w:w="1440" w:type="dxa"/>
          </w:tcPr>
          <w:p w14:paraId="3B4FEAA7" w14:textId="77777777" w:rsidR="004F7532" w:rsidRPr="003B4362" w:rsidRDefault="004F7532" w:rsidP="00C619B9">
            <w:pPr>
              <w:suppressAutoHyphens/>
            </w:pPr>
            <w:r w:rsidRPr="003B4362">
              <w:t>1260</w:t>
            </w:r>
          </w:p>
        </w:tc>
        <w:tc>
          <w:tcPr>
            <w:tcW w:w="2880" w:type="dxa"/>
          </w:tcPr>
          <w:p w14:paraId="03E9CF08" w14:textId="77777777" w:rsidR="004F7532" w:rsidRPr="003B4362" w:rsidRDefault="004F7532" w:rsidP="00C619B9">
            <w:pPr>
              <w:suppressAutoHyphens/>
            </w:pPr>
            <w:r w:rsidRPr="003B4362">
              <w:t>0.0002</w:t>
            </w:r>
          </w:p>
        </w:tc>
      </w:tr>
    </w:tbl>
    <w:p w14:paraId="6CF60CAB" w14:textId="77777777" w:rsidR="008B6EF6" w:rsidRPr="003B4362" w:rsidRDefault="008B6EF6" w:rsidP="008B6EF6">
      <w:pPr>
        <w:ind w:left="2160" w:hanging="720"/>
      </w:pPr>
    </w:p>
    <w:p w14:paraId="1E2BD360" w14:textId="605D0E2F" w:rsidR="004F7532" w:rsidRPr="003B4362" w:rsidRDefault="004F7532" w:rsidP="008B6EF6">
      <w:pPr>
        <w:ind w:left="2160" w:hanging="720"/>
      </w:pPr>
      <w:r w:rsidRPr="003B4362">
        <w:t>2)</w:t>
      </w:r>
      <w:r w:rsidRPr="003B4362">
        <w:tab/>
        <w:t>For other Phase II, Phase IIB, and Phase V SOCs, the following:</w:t>
      </w:r>
    </w:p>
    <w:p w14:paraId="22F9B337" w14:textId="77777777" w:rsidR="008B6EF6" w:rsidRPr="003B4362" w:rsidRDefault="008B6EF6" w:rsidP="008B6EF6">
      <w:pPr>
        <w:ind w:left="2160" w:hanging="720"/>
      </w:pPr>
    </w:p>
    <w:tbl>
      <w:tblPr>
        <w:tblW w:w="0" w:type="auto"/>
        <w:tblInd w:w="2880" w:type="dxa"/>
        <w:tblLayout w:type="fixed"/>
        <w:tblCellMar>
          <w:left w:w="0" w:type="dxa"/>
          <w:right w:w="72" w:type="dxa"/>
        </w:tblCellMar>
        <w:tblLook w:val="0000" w:firstRow="0" w:lastRow="0" w:firstColumn="0" w:lastColumn="0" w:noHBand="0" w:noVBand="0"/>
      </w:tblPr>
      <w:tblGrid>
        <w:gridCol w:w="4032"/>
        <w:gridCol w:w="1728"/>
      </w:tblGrid>
      <w:tr w:rsidR="001628C1" w:rsidRPr="003B4362" w14:paraId="2DBA2BAF" w14:textId="77777777" w:rsidTr="00C619B9">
        <w:tc>
          <w:tcPr>
            <w:tcW w:w="4032" w:type="dxa"/>
            <w:vAlign w:val="bottom"/>
          </w:tcPr>
          <w:p w14:paraId="1258C36C" w14:textId="77777777" w:rsidR="004F7532" w:rsidRPr="003B4362" w:rsidRDefault="004F7532" w:rsidP="00C619B9">
            <w:pPr>
              <w:keepNext/>
              <w:keepLines/>
              <w:suppressAutoHyphens/>
              <w:spacing w:after="240"/>
            </w:pPr>
            <w:r w:rsidRPr="003B4362">
              <w:t>Contaminant</w:t>
            </w:r>
          </w:p>
        </w:tc>
        <w:tc>
          <w:tcPr>
            <w:tcW w:w="1728" w:type="dxa"/>
            <w:vAlign w:val="bottom"/>
          </w:tcPr>
          <w:p w14:paraId="724DCCE4" w14:textId="3ED6BF19" w:rsidR="004F7532" w:rsidRPr="003B4362" w:rsidRDefault="004F7532" w:rsidP="00C619B9">
            <w:pPr>
              <w:keepNext/>
              <w:keepLines/>
              <w:suppressAutoHyphens/>
              <w:spacing w:after="240"/>
            </w:pPr>
            <w:r w:rsidRPr="003B4362">
              <w:t>Detection Limit (mg/</w:t>
            </w:r>
            <w:r w:rsidR="002E7704" w:rsidRPr="003B4362">
              <w:t xml:space="preserve"> L</w:t>
            </w:r>
            <w:r w:rsidRPr="003B4362">
              <w:t>)</w:t>
            </w:r>
          </w:p>
        </w:tc>
      </w:tr>
      <w:tr w:rsidR="001628C1" w:rsidRPr="003B4362" w14:paraId="56A55887" w14:textId="77777777" w:rsidTr="00C619B9">
        <w:tc>
          <w:tcPr>
            <w:tcW w:w="4032" w:type="dxa"/>
          </w:tcPr>
          <w:p w14:paraId="5A2A9EEE" w14:textId="77777777" w:rsidR="004F7532" w:rsidRPr="003B4362" w:rsidRDefault="004F7532" w:rsidP="00C619B9">
            <w:pPr>
              <w:suppressAutoHyphens/>
            </w:pPr>
            <w:r w:rsidRPr="003B4362">
              <w:t>Alachlor</w:t>
            </w:r>
          </w:p>
        </w:tc>
        <w:tc>
          <w:tcPr>
            <w:tcW w:w="1728" w:type="dxa"/>
          </w:tcPr>
          <w:p w14:paraId="301FFFCE" w14:textId="77777777" w:rsidR="004F7532" w:rsidRPr="003B4362" w:rsidRDefault="004F7532" w:rsidP="00C619B9">
            <w:pPr>
              <w:suppressAutoHyphens/>
            </w:pPr>
            <w:r w:rsidRPr="003B4362">
              <w:t>0.0002</w:t>
            </w:r>
          </w:p>
        </w:tc>
      </w:tr>
      <w:tr w:rsidR="001628C1" w:rsidRPr="003B4362" w14:paraId="58190576" w14:textId="77777777" w:rsidTr="00C619B9">
        <w:tc>
          <w:tcPr>
            <w:tcW w:w="4032" w:type="dxa"/>
          </w:tcPr>
          <w:p w14:paraId="204212F4" w14:textId="77777777" w:rsidR="004F7532" w:rsidRPr="003B4362" w:rsidRDefault="004F7532" w:rsidP="00C619B9">
            <w:pPr>
              <w:suppressAutoHyphens/>
            </w:pPr>
            <w:r w:rsidRPr="003B4362">
              <w:t>Aldicarb</w:t>
            </w:r>
          </w:p>
        </w:tc>
        <w:tc>
          <w:tcPr>
            <w:tcW w:w="1728" w:type="dxa"/>
          </w:tcPr>
          <w:p w14:paraId="21DDE14D" w14:textId="77777777" w:rsidR="004F7532" w:rsidRPr="003B4362" w:rsidRDefault="004F7532" w:rsidP="00C619B9">
            <w:pPr>
              <w:suppressAutoHyphens/>
            </w:pPr>
            <w:r w:rsidRPr="003B4362">
              <w:t>0.0005</w:t>
            </w:r>
          </w:p>
        </w:tc>
      </w:tr>
      <w:tr w:rsidR="001628C1" w:rsidRPr="003B4362" w14:paraId="47EF05A7" w14:textId="77777777" w:rsidTr="00C619B9">
        <w:tc>
          <w:tcPr>
            <w:tcW w:w="4032" w:type="dxa"/>
          </w:tcPr>
          <w:p w14:paraId="52F36C70" w14:textId="77777777" w:rsidR="004F7532" w:rsidRPr="003B4362" w:rsidRDefault="004F7532" w:rsidP="00C619B9">
            <w:pPr>
              <w:suppressAutoHyphens/>
            </w:pPr>
            <w:r w:rsidRPr="003B4362">
              <w:t>Aldicarb sulfoxide</w:t>
            </w:r>
          </w:p>
        </w:tc>
        <w:tc>
          <w:tcPr>
            <w:tcW w:w="1728" w:type="dxa"/>
          </w:tcPr>
          <w:p w14:paraId="5F93E618" w14:textId="77777777" w:rsidR="004F7532" w:rsidRPr="003B4362" w:rsidRDefault="004F7532" w:rsidP="00C619B9">
            <w:pPr>
              <w:suppressAutoHyphens/>
            </w:pPr>
            <w:r w:rsidRPr="003B4362">
              <w:t>0.0005</w:t>
            </w:r>
          </w:p>
        </w:tc>
      </w:tr>
      <w:tr w:rsidR="001628C1" w:rsidRPr="003B4362" w14:paraId="006A442F" w14:textId="77777777" w:rsidTr="00C619B9">
        <w:tc>
          <w:tcPr>
            <w:tcW w:w="4032" w:type="dxa"/>
          </w:tcPr>
          <w:p w14:paraId="37B8B6D4" w14:textId="77777777" w:rsidR="004F7532" w:rsidRPr="003B4362" w:rsidRDefault="004F7532" w:rsidP="00C619B9">
            <w:pPr>
              <w:suppressAutoHyphens/>
            </w:pPr>
            <w:r w:rsidRPr="003B4362">
              <w:t>Aldicarb sulfone</w:t>
            </w:r>
          </w:p>
        </w:tc>
        <w:tc>
          <w:tcPr>
            <w:tcW w:w="1728" w:type="dxa"/>
          </w:tcPr>
          <w:p w14:paraId="444AB0B7" w14:textId="77777777" w:rsidR="004F7532" w:rsidRPr="003B4362" w:rsidRDefault="004F7532" w:rsidP="00C619B9">
            <w:pPr>
              <w:suppressAutoHyphens/>
            </w:pPr>
            <w:r w:rsidRPr="003B4362">
              <w:t>0.0008</w:t>
            </w:r>
          </w:p>
        </w:tc>
      </w:tr>
      <w:tr w:rsidR="001628C1" w:rsidRPr="003B4362" w14:paraId="526C5C37" w14:textId="77777777" w:rsidTr="00C619B9">
        <w:tc>
          <w:tcPr>
            <w:tcW w:w="4032" w:type="dxa"/>
          </w:tcPr>
          <w:p w14:paraId="07C6818A" w14:textId="77777777" w:rsidR="004F7532" w:rsidRPr="003B4362" w:rsidRDefault="004F7532" w:rsidP="00C619B9">
            <w:pPr>
              <w:suppressAutoHyphens/>
            </w:pPr>
            <w:r w:rsidRPr="003B4362">
              <w:t>Atrazine</w:t>
            </w:r>
          </w:p>
        </w:tc>
        <w:tc>
          <w:tcPr>
            <w:tcW w:w="1728" w:type="dxa"/>
          </w:tcPr>
          <w:p w14:paraId="65644307" w14:textId="77777777" w:rsidR="004F7532" w:rsidRPr="003B4362" w:rsidRDefault="004F7532" w:rsidP="00C619B9">
            <w:pPr>
              <w:suppressAutoHyphens/>
            </w:pPr>
            <w:r w:rsidRPr="003B4362">
              <w:t>0.0001</w:t>
            </w:r>
          </w:p>
        </w:tc>
      </w:tr>
      <w:tr w:rsidR="001628C1" w:rsidRPr="003B4362" w14:paraId="76531EE5" w14:textId="77777777" w:rsidTr="00C619B9">
        <w:tc>
          <w:tcPr>
            <w:tcW w:w="4032" w:type="dxa"/>
          </w:tcPr>
          <w:p w14:paraId="221A8518" w14:textId="77777777" w:rsidR="004F7532" w:rsidRPr="003B4362" w:rsidRDefault="004F7532" w:rsidP="00C619B9">
            <w:pPr>
              <w:suppressAutoHyphens/>
            </w:pPr>
            <w:r w:rsidRPr="003B4362">
              <w:t>Benzo(a)pyrene</w:t>
            </w:r>
          </w:p>
        </w:tc>
        <w:tc>
          <w:tcPr>
            <w:tcW w:w="1728" w:type="dxa"/>
          </w:tcPr>
          <w:p w14:paraId="6E70BEC3" w14:textId="77777777" w:rsidR="004F7532" w:rsidRPr="003B4362" w:rsidRDefault="004F7532" w:rsidP="00C619B9">
            <w:pPr>
              <w:suppressAutoHyphens/>
            </w:pPr>
            <w:r w:rsidRPr="003B4362">
              <w:t>0.00002</w:t>
            </w:r>
          </w:p>
        </w:tc>
      </w:tr>
      <w:tr w:rsidR="001628C1" w:rsidRPr="003B4362" w14:paraId="7ECC5B8D" w14:textId="77777777" w:rsidTr="00C619B9">
        <w:tc>
          <w:tcPr>
            <w:tcW w:w="4032" w:type="dxa"/>
          </w:tcPr>
          <w:p w14:paraId="6DD5324C" w14:textId="77777777" w:rsidR="004F7532" w:rsidRPr="003B4362" w:rsidRDefault="004F7532" w:rsidP="00C619B9">
            <w:pPr>
              <w:suppressAutoHyphens/>
            </w:pPr>
            <w:r w:rsidRPr="003B4362">
              <w:t>Carbofuran</w:t>
            </w:r>
          </w:p>
        </w:tc>
        <w:tc>
          <w:tcPr>
            <w:tcW w:w="1728" w:type="dxa"/>
          </w:tcPr>
          <w:p w14:paraId="26F7783C" w14:textId="77777777" w:rsidR="004F7532" w:rsidRPr="003B4362" w:rsidRDefault="004F7532" w:rsidP="00C619B9">
            <w:pPr>
              <w:suppressAutoHyphens/>
            </w:pPr>
            <w:r w:rsidRPr="003B4362">
              <w:t>0.0009</w:t>
            </w:r>
          </w:p>
        </w:tc>
      </w:tr>
      <w:tr w:rsidR="001628C1" w:rsidRPr="003B4362" w14:paraId="3ADD8B2F" w14:textId="77777777" w:rsidTr="00C619B9">
        <w:tc>
          <w:tcPr>
            <w:tcW w:w="4032" w:type="dxa"/>
          </w:tcPr>
          <w:p w14:paraId="00E1348D" w14:textId="77777777" w:rsidR="004F7532" w:rsidRPr="003B4362" w:rsidRDefault="004F7532" w:rsidP="00C619B9">
            <w:pPr>
              <w:suppressAutoHyphens/>
            </w:pPr>
            <w:r w:rsidRPr="003B4362">
              <w:t>Chlordane</w:t>
            </w:r>
          </w:p>
        </w:tc>
        <w:tc>
          <w:tcPr>
            <w:tcW w:w="1728" w:type="dxa"/>
          </w:tcPr>
          <w:p w14:paraId="5AA9B04E" w14:textId="77777777" w:rsidR="004F7532" w:rsidRPr="003B4362" w:rsidRDefault="004F7532" w:rsidP="00C619B9">
            <w:pPr>
              <w:suppressAutoHyphens/>
            </w:pPr>
            <w:r w:rsidRPr="003B4362">
              <w:t>0.0002</w:t>
            </w:r>
          </w:p>
        </w:tc>
      </w:tr>
      <w:tr w:rsidR="001628C1" w:rsidRPr="003B4362" w14:paraId="27CB2DC8" w14:textId="77777777" w:rsidTr="00C619B9">
        <w:tc>
          <w:tcPr>
            <w:tcW w:w="4032" w:type="dxa"/>
          </w:tcPr>
          <w:p w14:paraId="60317020" w14:textId="77777777" w:rsidR="004F7532" w:rsidRPr="003B4362" w:rsidRDefault="004F7532" w:rsidP="00C619B9">
            <w:pPr>
              <w:suppressAutoHyphens/>
            </w:pPr>
            <w:r w:rsidRPr="003B4362">
              <w:t>2,4-D</w:t>
            </w:r>
          </w:p>
        </w:tc>
        <w:tc>
          <w:tcPr>
            <w:tcW w:w="1728" w:type="dxa"/>
          </w:tcPr>
          <w:p w14:paraId="63A76499" w14:textId="77777777" w:rsidR="004F7532" w:rsidRPr="003B4362" w:rsidRDefault="004F7532" w:rsidP="00C619B9">
            <w:pPr>
              <w:suppressAutoHyphens/>
            </w:pPr>
            <w:r w:rsidRPr="003B4362">
              <w:t>0.0001</w:t>
            </w:r>
          </w:p>
        </w:tc>
      </w:tr>
      <w:tr w:rsidR="001628C1" w:rsidRPr="003B4362" w14:paraId="1C9DE664" w14:textId="77777777" w:rsidTr="00C619B9">
        <w:tc>
          <w:tcPr>
            <w:tcW w:w="4032" w:type="dxa"/>
          </w:tcPr>
          <w:p w14:paraId="38A81039" w14:textId="77777777" w:rsidR="004F7532" w:rsidRPr="003B4362" w:rsidRDefault="004F7532" w:rsidP="00C619B9">
            <w:pPr>
              <w:suppressAutoHyphens/>
            </w:pPr>
            <w:r w:rsidRPr="003B4362">
              <w:t>Dalapon</w:t>
            </w:r>
          </w:p>
        </w:tc>
        <w:tc>
          <w:tcPr>
            <w:tcW w:w="1728" w:type="dxa"/>
          </w:tcPr>
          <w:p w14:paraId="228327E3" w14:textId="77777777" w:rsidR="004F7532" w:rsidRPr="003B4362" w:rsidRDefault="004F7532" w:rsidP="00C619B9">
            <w:pPr>
              <w:suppressAutoHyphens/>
            </w:pPr>
            <w:r w:rsidRPr="003B4362">
              <w:t>0.001</w:t>
            </w:r>
          </w:p>
        </w:tc>
      </w:tr>
      <w:tr w:rsidR="001628C1" w:rsidRPr="003B4362" w14:paraId="2EE85BB6" w14:textId="77777777" w:rsidTr="00C619B9">
        <w:tc>
          <w:tcPr>
            <w:tcW w:w="4032" w:type="dxa"/>
          </w:tcPr>
          <w:p w14:paraId="709C4345" w14:textId="77777777" w:rsidR="004F7532" w:rsidRPr="003B4362" w:rsidRDefault="004F7532" w:rsidP="00C619B9">
            <w:pPr>
              <w:suppressAutoHyphens/>
            </w:pPr>
            <w:r w:rsidRPr="003B4362">
              <w:t>1,2-Dibromo-3-chloropropane (DBCP)</w:t>
            </w:r>
          </w:p>
        </w:tc>
        <w:tc>
          <w:tcPr>
            <w:tcW w:w="1728" w:type="dxa"/>
          </w:tcPr>
          <w:p w14:paraId="35CDB011" w14:textId="77777777" w:rsidR="004F7532" w:rsidRPr="003B4362" w:rsidRDefault="004F7532" w:rsidP="00C619B9">
            <w:pPr>
              <w:suppressAutoHyphens/>
            </w:pPr>
            <w:r w:rsidRPr="003B4362">
              <w:t>0.00002</w:t>
            </w:r>
          </w:p>
        </w:tc>
      </w:tr>
      <w:tr w:rsidR="001628C1" w:rsidRPr="003B4362" w14:paraId="53DDD916" w14:textId="77777777" w:rsidTr="00C619B9">
        <w:tc>
          <w:tcPr>
            <w:tcW w:w="4032" w:type="dxa"/>
          </w:tcPr>
          <w:p w14:paraId="23131F4C" w14:textId="77777777" w:rsidR="004F7532" w:rsidRPr="003B4362" w:rsidRDefault="004F7532" w:rsidP="00C619B9">
            <w:pPr>
              <w:suppressAutoHyphens/>
            </w:pPr>
            <w:r w:rsidRPr="003B4362">
              <w:t>Di(2-ethylhexyl)adipate</w:t>
            </w:r>
          </w:p>
        </w:tc>
        <w:tc>
          <w:tcPr>
            <w:tcW w:w="1728" w:type="dxa"/>
          </w:tcPr>
          <w:p w14:paraId="2FA479B5" w14:textId="77777777" w:rsidR="004F7532" w:rsidRPr="003B4362" w:rsidRDefault="004F7532" w:rsidP="00C619B9">
            <w:pPr>
              <w:suppressAutoHyphens/>
            </w:pPr>
            <w:r w:rsidRPr="003B4362">
              <w:t>0.0006</w:t>
            </w:r>
          </w:p>
        </w:tc>
      </w:tr>
      <w:tr w:rsidR="001628C1" w:rsidRPr="003B4362" w14:paraId="70A3BA60" w14:textId="77777777" w:rsidTr="00C619B9">
        <w:tc>
          <w:tcPr>
            <w:tcW w:w="4032" w:type="dxa"/>
          </w:tcPr>
          <w:p w14:paraId="00DE1403" w14:textId="77777777" w:rsidR="004F7532" w:rsidRPr="003B4362" w:rsidRDefault="004F7532" w:rsidP="00C619B9">
            <w:pPr>
              <w:suppressAutoHyphens/>
            </w:pPr>
            <w:r w:rsidRPr="003B4362">
              <w:t>Di(2-ethylhexyl)phthalate</w:t>
            </w:r>
          </w:p>
        </w:tc>
        <w:tc>
          <w:tcPr>
            <w:tcW w:w="1728" w:type="dxa"/>
          </w:tcPr>
          <w:p w14:paraId="62B26398" w14:textId="77777777" w:rsidR="004F7532" w:rsidRPr="003B4362" w:rsidRDefault="004F7532" w:rsidP="00C619B9">
            <w:pPr>
              <w:suppressAutoHyphens/>
            </w:pPr>
            <w:r w:rsidRPr="003B4362">
              <w:t>0.0006</w:t>
            </w:r>
          </w:p>
        </w:tc>
      </w:tr>
      <w:tr w:rsidR="001628C1" w:rsidRPr="003B4362" w14:paraId="2F2791E7" w14:textId="77777777" w:rsidTr="00C619B9">
        <w:tc>
          <w:tcPr>
            <w:tcW w:w="4032" w:type="dxa"/>
          </w:tcPr>
          <w:p w14:paraId="5431D95A" w14:textId="77777777" w:rsidR="004F7532" w:rsidRPr="003B4362" w:rsidRDefault="004F7532" w:rsidP="00C619B9">
            <w:pPr>
              <w:suppressAutoHyphens/>
            </w:pPr>
            <w:r w:rsidRPr="003B4362">
              <w:t>Dinoseb</w:t>
            </w:r>
          </w:p>
        </w:tc>
        <w:tc>
          <w:tcPr>
            <w:tcW w:w="1728" w:type="dxa"/>
          </w:tcPr>
          <w:p w14:paraId="176C41DE" w14:textId="77777777" w:rsidR="004F7532" w:rsidRPr="003B4362" w:rsidRDefault="004F7532" w:rsidP="00C619B9">
            <w:pPr>
              <w:suppressAutoHyphens/>
            </w:pPr>
            <w:r w:rsidRPr="003B4362">
              <w:t>0.0002</w:t>
            </w:r>
          </w:p>
        </w:tc>
      </w:tr>
      <w:tr w:rsidR="001628C1" w:rsidRPr="003B4362" w14:paraId="0A02AC83" w14:textId="77777777" w:rsidTr="00C619B9">
        <w:tc>
          <w:tcPr>
            <w:tcW w:w="4032" w:type="dxa"/>
          </w:tcPr>
          <w:p w14:paraId="1C1523DC" w14:textId="77777777" w:rsidR="004F7532" w:rsidRPr="003B4362" w:rsidRDefault="004F7532" w:rsidP="00C619B9">
            <w:pPr>
              <w:suppressAutoHyphens/>
            </w:pPr>
            <w:r w:rsidRPr="003B4362">
              <w:t>Diquat</w:t>
            </w:r>
          </w:p>
        </w:tc>
        <w:tc>
          <w:tcPr>
            <w:tcW w:w="1728" w:type="dxa"/>
          </w:tcPr>
          <w:p w14:paraId="720D79B3" w14:textId="77777777" w:rsidR="004F7532" w:rsidRPr="003B4362" w:rsidRDefault="004F7532" w:rsidP="00C619B9">
            <w:pPr>
              <w:suppressAutoHyphens/>
            </w:pPr>
            <w:r w:rsidRPr="003B4362">
              <w:t>0.0004</w:t>
            </w:r>
          </w:p>
        </w:tc>
      </w:tr>
      <w:tr w:rsidR="001628C1" w:rsidRPr="003B4362" w14:paraId="2B44BB9F" w14:textId="77777777" w:rsidTr="00C619B9">
        <w:tc>
          <w:tcPr>
            <w:tcW w:w="4032" w:type="dxa"/>
          </w:tcPr>
          <w:p w14:paraId="23A0C108" w14:textId="77777777" w:rsidR="004F7532" w:rsidRPr="003B4362" w:rsidRDefault="004F7532" w:rsidP="00C619B9">
            <w:pPr>
              <w:suppressAutoHyphens/>
            </w:pPr>
            <w:r w:rsidRPr="003B4362">
              <w:t>Endothall</w:t>
            </w:r>
          </w:p>
        </w:tc>
        <w:tc>
          <w:tcPr>
            <w:tcW w:w="1728" w:type="dxa"/>
          </w:tcPr>
          <w:p w14:paraId="691A2685" w14:textId="77777777" w:rsidR="004F7532" w:rsidRPr="003B4362" w:rsidRDefault="004F7532" w:rsidP="00C619B9">
            <w:pPr>
              <w:suppressAutoHyphens/>
            </w:pPr>
            <w:r w:rsidRPr="003B4362">
              <w:t>0.009</w:t>
            </w:r>
          </w:p>
        </w:tc>
      </w:tr>
      <w:tr w:rsidR="001628C1" w:rsidRPr="003B4362" w14:paraId="57D80FC3" w14:textId="77777777" w:rsidTr="00C619B9">
        <w:tc>
          <w:tcPr>
            <w:tcW w:w="4032" w:type="dxa"/>
          </w:tcPr>
          <w:p w14:paraId="06DE8D8B" w14:textId="77777777" w:rsidR="004F7532" w:rsidRPr="003B4362" w:rsidRDefault="004F7532" w:rsidP="00C619B9">
            <w:pPr>
              <w:suppressAutoHyphens/>
            </w:pPr>
            <w:r w:rsidRPr="003B4362">
              <w:t>Endrin</w:t>
            </w:r>
          </w:p>
        </w:tc>
        <w:tc>
          <w:tcPr>
            <w:tcW w:w="1728" w:type="dxa"/>
          </w:tcPr>
          <w:p w14:paraId="22E8CB9D" w14:textId="77777777" w:rsidR="004F7532" w:rsidRPr="003B4362" w:rsidRDefault="004F7532" w:rsidP="00C619B9">
            <w:pPr>
              <w:suppressAutoHyphens/>
            </w:pPr>
            <w:r w:rsidRPr="003B4362">
              <w:t>0.00001</w:t>
            </w:r>
          </w:p>
        </w:tc>
      </w:tr>
      <w:tr w:rsidR="001628C1" w:rsidRPr="003B4362" w14:paraId="66D57F61" w14:textId="77777777" w:rsidTr="00C619B9">
        <w:tc>
          <w:tcPr>
            <w:tcW w:w="4032" w:type="dxa"/>
          </w:tcPr>
          <w:p w14:paraId="16E1A1DB" w14:textId="77777777" w:rsidR="004F7532" w:rsidRPr="003B4362" w:rsidRDefault="004F7532" w:rsidP="00C619B9">
            <w:pPr>
              <w:suppressAutoHyphens/>
            </w:pPr>
            <w:r w:rsidRPr="003B4362">
              <w:t>Ethylene dibromide (EDB)</w:t>
            </w:r>
          </w:p>
        </w:tc>
        <w:tc>
          <w:tcPr>
            <w:tcW w:w="1728" w:type="dxa"/>
          </w:tcPr>
          <w:p w14:paraId="690B0541" w14:textId="77777777" w:rsidR="004F7532" w:rsidRPr="003B4362" w:rsidRDefault="004F7532" w:rsidP="00C619B9">
            <w:pPr>
              <w:suppressAutoHyphens/>
            </w:pPr>
            <w:r w:rsidRPr="003B4362">
              <w:t>0.00001</w:t>
            </w:r>
          </w:p>
        </w:tc>
      </w:tr>
      <w:tr w:rsidR="001628C1" w:rsidRPr="003B4362" w14:paraId="0AC6C3EA" w14:textId="77777777" w:rsidTr="00C619B9">
        <w:tc>
          <w:tcPr>
            <w:tcW w:w="4032" w:type="dxa"/>
          </w:tcPr>
          <w:p w14:paraId="2784943E" w14:textId="77777777" w:rsidR="004F7532" w:rsidRPr="003B4362" w:rsidRDefault="004F7532" w:rsidP="00C619B9">
            <w:pPr>
              <w:suppressAutoHyphens/>
            </w:pPr>
            <w:r w:rsidRPr="003B4362">
              <w:t>Glyphosate</w:t>
            </w:r>
          </w:p>
        </w:tc>
        <w:tc>
          <w:tcPr>
            <w:tcW w:w="1728" w:type="dxa"/>
          </w:tcPr>
          <w:p w14:paraId="2437C67F" w14:textId="77777777" w:rsidR="004F7532" w:rsidRPr="003B4362" w:rsidRDefault="004F7532" w:rsidP="00C619B9">
            <w:pPr>
              <w:suppressAutoHyphens/>
            </w:pPr>
            <w:r w:rsidRPr="003B4362">
              <w:t>0.006</w:t>
            </w:r>
          </w:p>
        </w:tc>
      </w:tr>
      <w:tr w:rsidR="001628C1" w:rsidRPr="003B4362" w14:paraId="6E9A2AD6" w14:textId="77777777" w:rsidTr="00C619B9">
        <w:tc>
          <w:tcPr>
            <w:tcW w:w="4032" w:type="dxa"/>
          </w:tcPr>
          <w:p w14:paraId="0656B051" w14:textId="77777777" w:rsidR="004F7532" w:rsidRPr="003B4362" w:rsidRDefault="004F7532" w:rsidP="00C619B9">
            <w:pPr>
              <w:suppressAutoHyphens/>
            </w:pPr>
            <w:r w:rsidRPr="003B4362">
              <w:t>Heptachlor</w:t>
            </w:r>
          </w:p>
        </w:tc>
        <w:tc>
          <w:tcPr>
            <w:tcW w:w="1728" w:type="dxa"/>
          </w:tcPr>
          <w:p w14:paraId="46B6D1C4" w14:textId="77777777" w:rsidR="004F7532" w:rsidRPr="003B4362" w:rsidRDefault="004F7532" w:rsidP="00C619B9">
            <w:pPr>
              <w:suppressAutoHyphens/>
            </w:pPr>
            <w:r w:rsidRPr="003B4362">
              <w:t>0.00004</w:t>
            </w:r>
          </w:p>
        </w:tc>
      </w:tr>
      <w:tr w:rsidR="001628C1" w:rsidRPr="003B4362" w14:paraId="1F135E89" w14:textId="77777777" w:rsidTr="00C619B9">
        <w:tc>
          <w:tcPr>
            <w:tcW w:w="4032" w:type="dxa"/>
          </w:tcPr>
          <w:p w14:paraId="2B6A3D65" w14:textId="77777777" w:rsidR="004F7532" w:rsidRPr="003B4362" w:rsidRDefault="004F7532" w:rsidP="00C619B9">
            <w:pPr>
              <w:suppressAutoHyphens/>
            </w:pPr>
            <w:r w:rsidRPr="003B4362">
              <w:t>Heptachlor epoxide</w:t>
            </w:r>
          </w:p>
        </w:tc>
        <w:tc>
          <w:tcPr>
            <w:tcW w:w="1728" w:type="dxa"/>
          </w:tcPr>
          <w:p w14:paraId="25C203AA" w14:textId="77777777" w:rsidR="004F7532" w:rsidRPr="003B4362" w:rsidRDefault="004F7532" w:rsidP="00C619B9">
            <w:pPr>
              <w:suppressAutoHyphens/>
            </w:pPr>
            <w:r w:rsidRPr="003B4362">
              <w:t>0.00002</w:t>
            </w:r>
          </w:p>
        </w:tc>
      </w:tr>
      <w:tr w:rsidR="001628C1" w:rsidRPr="003B4362" w14:paraId="11F267F2" w14:textId="77777777" w:rsidTr="00C619B9">
        <w:tc>
          <w:tcPr>
            <w:tcW w:w="4032" w:type="dxa"/>
          </w:tcPr>
          <w:p w14:paraId="451E7613" w14:textId="77777777" w:rsidR="004F7532" w:rsidRPr="003B4362" w:rsidRDefault="004F7532" w:rsidP="00C619B9">
            <w:pPr>
              <w:suppressAutoHyphens/>
            </w:pPr>
            <w:r w:rsidRPr="003B4362">
              <w:t>Hexachlorobenzene</w:t>
            </w:r>
          </w:p>
        </w:tc>
        <w:tc>
          <w:tcPr>
            <w:tcW w:w="1728" w:type="dxa"/>
          </w:tcPr>
          <w:p w14:paraId="3CA49B9B" w14:textId="77777777" w:rsidR="004F7532" w:rsidRPr="003B4362" w:rsidRDefault="004F7532" w:rsidP="00C619B9">
            <w:pPr>
              <w:suppressAutoHyphens/>
            </w:pPr>
            <w:r w:rsidRPr="003B4362">
              <w:t>0.0001</w:t>
            </w:r>
          </w:p>
        </w:tc>
      </w:tr>
      <w:tr w:rsidR="001628C1" w:rsidRPr="003B4362" w14:paraId="60C4E851" w14:textId="77777777" w:rsidTr="00C619B9">
        <w:tc>
          <w:tcPr>
            <w:tcW w:w="4032" w:type="dxa"/>
          </w:tcPr>
          <w:p w14:paraId="1B8A7234" w14:textId="77777777" w:rsidR="004F7532" w:rsidRPr="003B4362" w:rsidRDefault="004F7532" w:rsidP="00C619B9">
            <w:pPr>
              <w:suppressAutoHyphens/>
            </w:pPr>
            <w:r w:rsidRPr="003B4362">
              <w:t>Hexachlorocyclopentadiene</w:t>
            </w:r>
          </w:p>
        </w:tc>
        <w:tc>
          <w:tcPr>
            <w:tcW w:w="1728" w:type="dxa"/>
          </w:tcPr>
          <w:p w14:paraId="294BECB7" w14:textId="77777777" w:rsidR="004F7532" w:rsidRPr="003B4362" w:rsidRDefault="004F7532" w:rsidP="00C619B9">
            <w:pPr>
              <w:suppressAutoHyphens/>
            </w:pPr>
            <w:r w:rsidRPr="003B4362">
              <w:t>0.0001</w:t>
            </w:r>
          </w:p>
        </w:tc>
      </w:tr>
      <w:tr w:rsidR="001628C1" w:rsidRPr="003B4362" w14:paraId="6CFBA0FD" w14:textId="77777777" w:rsidTr="00C619B9">
        <w:tc>
          <w:tcPr>
            <w:tcW w:w="4032" w:type="dxa"/>
          </w:tcPr>
          <w:p w14:paraId="7D116255" w14:textId="77777777" w:rsidR="004F7532" w:rsidRPr="003B4362" w:rsidRDefault="004F7532" w:rsidP="00C619B9">
            <w:pPr>
              <w:suppressAutoHyphens/>
            </w:pPr>
            <w:r w:rsidRPr="003B4362">
              <w:t>Lindane</w:t>
            </w:r>
          </w:p>
        </w:tc>
        <w:tc>
          <w:tcPr>
            <w:tcW w:w="1728" w:type="dxa"/>
          </w:tcPr>
          <w:p w14:paraId="1EF66133" w14:textId="77777777" w:rsidR="004F7532" w:rsidRPr="003B4362" w:rsidRDefault="004F7532" w:rsidP="00C619B9">
            <w:pPr>
              <w:suppressAutoHyphens/>
            </w:pPr>
            <w:r w:rsidRPr="003B4362">
              <w:t>0.00002</w:t>
            </w:r>
          </w:p>
        </w:tc>
      </w:tr>
      <w:tr w:rsidR="001628C1" w:rsidRPr="003B4362" w14:paraId="6F0ACCCD" w14:textId="77777777" w:rsidTr="00C619B9">
        <w:tc>
          <w:tcPr>
            <w:tcW w:w="4032" w:type="dxa"/>
          </w:tcPr>
          <w:p w14:paraId="0C5C0459" w14:textId="77777777" w:rsidR="004F7532" w:rsidRPr="003B4362" w:rsidRDefault="004F7532" w:rsidP="00C619B9">
            <w:pPr>
              <w:suppressAutoHyphens/>
            </w:pPr>
            <w:r w:rsidRPr="003B4362">
              <w:t>Methoxychlor</w:t>
            </w:r>
          </w:p>
        </w:tc>
        <w:tc>
          <w:tcPr>
            <w:tcW w:w="1728" w:type="dxa"/>
          </w:tcPr>
          <w:p w14:paraId="411F7651" w14:textId="77777777" w:rsidR="004F7532" w:rsidRPr="003B4362" w:rsidRDefault="004F7532" w:rsidP="00C619B9">
            <w:pPr>
              <w:suppressAutoHyphens/>
            </w:pPr>
            <w:r w:rsidRPr="003B4362">
              <w:t>0.0001</w:t>
            </w:r>
          </w:p>
        </w:tc>
      </w:tr>
      <w:tr w:rsidR="001628C1" w:rsidRPr="003B4362" w14:paraId="69370CAA" w14:textId="77777777" w:rsidTr="00C619B9">
        <w:tc>
          <w:tcPr>
            <w:tcW w:w="4032" w:type="dxa"/>
          </w:tcPr>
          <w:p w14:paraId="0C5FCA57" w14:textId="77777777" w:rsidR="004F7532" w:rsidRPr="003B4362" w:rsidRDefault="004F7532" w:rsidP="00C619B9">
            <w:pPr>
              <w:suppressAutoHyphens/>
            </w:pPr>
            <w:r w:rsidRPr="003B4362">
              <w:t>Oxamyl</w:t>
            </w:r>
          </w:p>
        </w:tc>
        <w:tc>
          <w:tcPr>
            <w:tcW w:w="1728" w:type="dxa"/>
          </w:tcPr>
          <w:p w14:paraId="51E21471" w14:textId="77777777" w:rsidR="004F7532" w:rsidRPr="003B4362" w:rsidRDefault="004F7532" w:rsidP="00C619B9">
            <w:pPr>
              <w:suppressAutoHyphens/>
            </w:pPr>
            <w:r w:rsidRPr="003B4362">
              <w:t>0.002</w:t>
            </w:r>
          </w:p>
        </w:tc>
      </w:tr>
      <w:tr w:rsidR="001628C1" w:rsidRPr="003B4362" w14:paraId="2C59AB99" w14:textId="77777777" w:rsidTr="00C619B9">
        <w:tc>
          <w:tcPr>
            <w:tcW w:w="4032" w:type="dxa"/>
          </w:tcPr>
          <w:p w14:paraId="7FEDB8E2" w14:textId="77777777" w:rsidR="004F7532" w:rsidRPr="003B4362" w:rsidRDefault="004F7532" w:rsidP="00C619B9">
            <w:pPr>
              <w:suppressAutoHyphens/>
            </w:pPr>
            <w:r w:rsidRPr="003B4362">
              <w:t>Picloram</w:t>
            </w:r>
          </w:p>
        </w:tc>
        <w:tc>
          <w:tcPr>
            <w:tcW w:w="1728" w:type="dxa"/>
          </w:tcPr>
          <w:p w14:paraId="5DDAC237" w14:textId="77777777" w:rsidR="004F7532" w:rsidRPr="003B4362" w:rsidRDefault="004F7532" w:rsidP="00C619B9">
            <w:pPr>
              <w:suppressAutoHyphens/>
            </w:pPr>
            <w:r w:rsidRPr="003B4362">
              <w:t>0.0001</w:t>
            </w:r>
          </w:p>
        </w:tc>
      </w:tr>
      <w:tr w:rsidR="001628C1" w:rsidRPr="003B4362" w14:paraId="247AEA75" w14:textId="77777777" w:rsidTr="00C619B9">
        <w:tc>
          <w:tcPr>
            <w:tcW w:w="4032" w:type="dxa"/>
          </w:tcPr>
          <w:p w14:paraId="0718CA7A" w14:textId="77777777" w:rsidR="004F7532" w:rsidRPr="003B4362" w:rsidRDefault="004F7532" w:rsidP="00C619B9">
            <w:pPr>
              <w:suppressAutoHyphens/>
            </w:pPr>
            <w:r w:rsidRPr="003B4362">
              <w:lastRenderedPageBreak/>
              <w:t>Polychlorinated biphenyls (PCBs) (as decachlorobiphenyl)</w:t>
            </w:r>
          </w:p>
        </w:tc>
        <w:tc>
          <w:tcPr>
            <w:tcW w:w="1728" w:type="dxa"/>
          </w:tcPr>
          <w:p w14:paraId="5D1C5F25" w14:textId="77777777" w:rsidR="004F7532" w:rsidRPr="003B4362" w:rsidRDefault="004F7532" w:rsidP="00C619B9">
            <w:pPr>
              <w:suppressAutoHyphens/>
            </w:pPr>
            <w:r w:rsidRPr="003B4362">
              <w:t>0.0001</w:t>
            </w:r>
          </w:p>
        </w:tc>
      </w:tr>
      <w:tr w:rsidR="001628C1" w:rsidRPr="003B4362" w14:paraId="45091AE3" w14:textId="77777777" w:rsidTr="00C619B9">
        <w:tc>
          <w:tcPr>
            <w:tcW w:w="4032" w:type="dxa"/>
          </w:tcPr>
          <w:p w14:paraId="1A814015" w14:textId="77777777" w:rsidR="004F7532" w:rsidRPr="003B4362" w:rsidRDefault="004F7532" w:rsidP="00C619B9">
            <w:pPr>
              <w:suppressAutoHyphens/>
            </w:pPr>
            <w:r w:rsidRPr="003B4362">
              <w:t>Pentachlorophenol</w:t>
            </w:r>
          </w:p>
        </w:tc>
        <w:tc>
          <w:tcPr>
            <w:tcW w:w="1728" w:type="dxa"/>
          </w:tcPr>
          <w:p w14:paraId="6B84143B" w14:textId="77777777" w:rsidR="004F7532" w:rsidRPr="003B4362" w:rsidRDefault="004F7532" w:rsidP="00C619B9">
            <w:pPr>
              <w:suppressAutoHyphens/>
            </w:pPr>
            <w:r w:rsidRPr="003B4362">
              <w:t>0.00004</w:t>
            </w:r>
          </w:p>
        </w:tc>
      </w:tr>
      <w:tr w:rsidR="001628C1" w:rsidRPr="003B4362" w14:paraId="059665A7" w14:textId="77777777" w:rsidTr="00C619B9">
        <w:tc>
          <w:tcPr>
            <w:tcW w:w="4032" w:type="dxa"/>
          </w:tcPr>
          <w:p w14:paraId="09594F42" w14:textId="77777777" w:rsidR="004F7532" w:rsidRPr="003B4362" w:rsidRDefault="004F7532" w:rsidP="00C619B9">
            <w:pPr>
              <w:suppressAutoHyphens/>
            </w:pPr>
            <w:r w:rsidRPr="003B4362">
              <w:t>Simazine</w:t>
            </w:r>
          </w:p>
        </w:tc>
        <w:tc>
          <w:tcPr>
            <w:tcW w:w="1728" w:type="dxa"/>
          </w:tcPr>
          <w:p w14:paraId="424253D2" w14:textId="77777777" w:rsidR="004F7532" w:rsidRPr="003B4362" w:rsidRDefault="004F7532" w:rsidP="00C619B9">
            <w:pPr>
              <w:suppressAutoHyphens/>
            </w:pPr>
            <w:r w:rsidRPr="003B4362">
              <w:t>0.00007</w:t>
            </w:r>
          </w:p>
        </w:tc>
      </w:tr>
      <w:tr w:rsidR="001628C1" w:rsidRPr="003B4362" w14:paraId="0970EC9B" w14:textId="77777777" w:rsidTr="00C619B9">
        <w:tc>
          <w:tcPr>
            <w:tcW w:w="4032" w:type="dxa"/>
          </w:tcPr>
          <w:p w14:paraId="75C65A48" w14:textId="77777777" w:rsidR="004F7532" w:rsidRPr="003B4362" w:rsidRDefault="004F7532" w:rsidP="00C619B9">
            <w:pPr>
              <w:suppressAutoHyphens/>
            </w:pPr>
            <w:r w:rsidRPr="003B4362">
              <w:t>Toxaphene</w:t>
            </w:r>
          </w:p>
        </w:tc>
        <w:tc>
          <w:tcPr>
            <w:tcW w:w="1728" w:type="dxa"/>
          </w:tcPr>
          <w:p w14:paraId="55827936" w14:textId="77777777" w:rsidR="004F7532" w:rsidRPr="003B4362" w:rsidRDefault="004F7532" w:rsidP="00C619B9">
            <w:pPr>
              <w:suppressAutoHyphens/>
            </w:pPr>
            <w:r w:rsidRPr="003B4362">
              <w:t>0.001</w:t>
            </w:r>
          </w:p>
        </w:tc>
      </w:tr>
      <w:tr w:rsidR="001628C1" w:rsidRPr="003B4362" w14:paraId="364DD483" w14:textId="77777777" w:rsidTr="00C619B9">
        <w:tc>
          <w:tcPr>
            <w:tcW w:w="4032" w:type="dxa"/>
          </w:tcPr>
          <w:p w14:paraId="4C319D92" w14:textId="77777777" w:rsidR="004F7532" w:rsidRPr="003B4362" w:rsidRDefault="004F7532" w:rsidP="00C619B9">
            <w:pPr>
              <w:suppressAutoHyphens/>
            </w:pPr>
            <w:r w:rsidRPr="003B4362">
              <w:t>2,3,7,8-TCDD (dioxin)</w:t>
            </w:r>
          </w:p>
        </w:tc>
        <w:tc>
          <w:tcPr>
            <w:tcW w:w="1728" w:type="dxa"/>
          </w:tcPr>
          <w:p w14:paraId="2676CAC6" w14:textId="77777777" w:rsidR="004F7532" w:rsidRPr="003B4362" w:rsidRDefault="004F7532" w:rsidP="00C619B9">
            <w:pPr>
              <w:suppressAutoHyphens/>
            </w:pPr>
            <w:r w:rsidRPr="003B4362">
              <w:t>0.000000005</w:t>
            </w:r>
          </w:p>
        </w:tc>
      </w:tr>
      <w:tr w:rsidR="001628C1" w:rsidRPr="003B4362" w14:paraId="36872656" w14:textId="77777777" w:rsidTr="00C619B9">
        <w:tc>
          <w:tcPr>
            <w:tcW w:w="4032" w:type="dxa"/>
          </w:tcPr>
          <w:p w14:paraId="62DE8379" w14:textId="77777777" w:rsidR="004F7532" w:rsidRPr="003B4362" w:rsidRDefault="004F7532" w:rsidP="00C619B9">
            <w:pPr>
              <w:suppressAutoHyphens/>
            </w:pPr>
            <w:r w:rsidRPr="003B4362">
              <w:t>2,4,5-TP (silvex)</w:t>
            </w:r>
          </w:p>
        </w:tc>
        <w:tc>
          <w:tcPr>
            <w:tcW w:w="1728" w:type="dxa"/>
          </w:tcPr>
          <w:p w14:paraId="0D66A9A7" w14:textId="77777777" w:rsidR="004F7532" w:rsidRPr="003B4362" w:rsidRDefault="004F7532" w:rsidP="00C619B9">
            <w:pPr>
              <w:suppressAutoHyphens/>
            </w:pPr>
            <w:r w:rsidRPr="003B4362">
              <w:t>0.0002</w:t>
            </w:r>
          </w:p>
        </w:tc>
      </w:tr>
    </w:tbl>
    <w:p w14:paraId="79D693B2" w14:textId="77777777" w:rsidR="004F7532" w:rsidRPr="003B4362" w:rsidRDefault="004F7532" w:rsidP="004F7532">
      <w:pPr>
        <w:suppressAutoHyphens/>
        <w:spacing w:before="240" w:after="240"/>
        <w:ind w:left="2160"/>
      </w:pPr>
      <w:r w:rsidRPr="003B4362">
        <w:t>BOARD NOTE:  See the Board note appended to Section 611.311(c) for information relating to implementation of requirements relating to aldicarb, aldicarb sulfone, and aldicarb sulfoxide.</w:t>
      </w:r>
    </w:p>
    <w:p w14:paraId="37ED076E" w14:textId="77777777" w:rsidR="004F7532" w:rsidRPr="003B4362" w:rsidRDefault="004F7532" w:rsidP="004F7532">
      <w:pPr>
        <w:suppressAutoHyphens/>
        <w:spacing w:before="240" w:after="240"/>
        <w:ind w:left="1440" w:hanging="720"/>
      </w:pPr>
      <w:r w:rsidRPr="003B4362">
        <w:t>s)</w:t>
      </w:r>
      <w:r w:rsidRPr="003B4362">
        <w:tab/>
        <w:t>Laboratory Certification</w:t>
      </w:r>
    </w:p>
    <w:p w14:paraId="1B42D2DE" w14:textId="44E96452" w:rsidR="004F7532" w:rsidRPr="003B4362" w:rsidRDefault="004F7532" w:rsidP="004F7532">
      <w:pPr>
        <w:suppressAutoHyphens/>
        <w:spacing w:before="240" w:after="240"/>
        <w:ind w:left="2160" w:hanging="720"/>
      </w:pPr>
      <w:r w:rsidRPr="003B4362">
        <w:t>1)</w:t>
      </w:r>
      <w:r w:rsidRPr="003B4362">
        <w:tab/>
        <w:t xml:space="preserve">Analyses under this Section must only be conducted by a laboratory in one of the categories listed in Section 611.490(a) that </w:t>
      </w:r>
      <w:r w:rsidR="00A854C7" w:rsidRPr="003B4362">
        <w:t>has</w:t>
      </w:r>
      <w:r w:rsidRPr="003B4362">
        <w:t xml:space="preserve"> been certified according to the conditions of subsection (s)(2).</w:t>
      </w:r>
    </w:p>
    <w:p w14:paraId="6DA04232" w14:textId="77777777" w:rsidR="004F7532" w:rsidRPr="003B4362" w:rsidRDefault="004F7532" w:rsidP="004F7532">
      <w:pPr>
        <w:suppressAutoHyphens/>
        <w:spacing w:before="240" w:after="240"/>
        <w:ind w:left="2160" w:hanging="720"/>
      </w:pPr>
      <w:r w:rsidRPr="003B4362">
        <w:t>2)</w:t>
      </w:r>
      <w:r w:rsidRPr="003B4362">
        <w:tab/>
        <w:t>To receive certification to conduct analyses for the Phase II, Phase IIB, and Phase V SOCs, the laboratory must do the following:</w:t>
      </w:r>
    </w:p>
    <w:p w14:paraId="3818772B" w14:textId="77777777" w:rsidR="004F7532" w:rsidRPr="003B4362" w:rsidRDefault="004F7532" w:rsidP="004F7532">
      <w:pPr>
        <w:suppressAutoHyphens/>
        <w:spacing w:before="240" w:after="240"/>
        <w:ind w:left="2880" w:hanging="720"/>
      </w:pPr>
      <w:r w:rsidRPr="003B4362">
        <w:t>A)</w:t>
      </w:r>
      <w:r w:rsidRPr="003B4362">
        <w:tab/>
        <w:t>Analyze PE samples provided by the Agency under 35 Ill. Adm. Code 183.125(c) that include these substances; and</w:t>
      </w:r>
    </w:p>
    <w:p w14:paraId="1DA081F8" w14:textId="77777777" w:rsidR="004F7532" w:rsidRPr="003B4362" w:rsidRDefault="004F7532" w:rsidP="004F7532">
      <w:pPr>
        <w:suppressAutoHyphens/>
        <w:spacing w:before="240" w:after="240"/>
        <w:ind w:left="2880" w:hanging="720"/>
      </w:pPr>
      <w:r w:rsidRPr="003B4362">
        <w:t>B)</w:t>
      </w:r>
      <w:r w:rsidRPr="003B4362">
        <w:tab/>
        <w:t>Achieve quantitative results on the analyses performed under subsection (s)(2)(A) that are within the following acceptance limits:</w:t>
      </w:r>
    </w:p>
    <w:tbl>
      <w:tblPr>
        <w:tblW w:w="0" w:type="auto"/>
        <w:tblInd w:w="3600" w:type="dxa"/>
        <w:tblLayout w:type="fixed"/>
        <w:tblCellMar>
          <w:left w:w="0" w:type="dxa"/>
          <w:right w:w="115" w:type="dxa"/>
        </w:tblCellMar>
        <w:tblLook w:val="0000" w:firstRow="0" w:lastRow="0" w:firstColumn="0" w:lastColumn="0" w:noHBand="0" w:noVBand="0"/>
      </w:tblPr>
      <w:tblGrid>
        <w:gridCol w:w="3312"/>
        <w:gridCol w:w="2592"/>
      </w:tblGrid>
      <w:tr w:rsidR="001628C1" w:rsidRPr="003B4362" w14:paraId="68BB3FBD" w14:textId="77777777" w:rsidTr="00C619B9">
        <w:tc>
          <w:tcPr>
            <w:tcW w:w="3312" w:type="dxa"/>
          </w:tcPr>
          <w:p w14:paraId="31A6B64D" w14:textId="77777777" w:rsidR="004F7532" w:rsidRPr="003B4362" w:rsidRDefault="004F7532" w:rsidP="00C619B9">
            <w:pPr>
              <w:keepNext/>
              <w:keepLines/>
              <w:suppressAutoHyphens/>
              <w:spacing w:after="240"/>
            </w:pPr>
            <w:r w:rsidRPr="003B4362">
              <w:t>SOC</w:t>
            </w:r>
          </w:p>
        </w:tc>
        <w:tc>
          <w:tcPr>
            <w:tcW w:w="2592" w:type="dxa"/>
          </w:tcPr>
          <w:p w14:paraId="63AC6C15" w14:textId="77777777" w:rsidR="004F7532" w:rsidRPr="003B4362" w:rsidRDefault="004F7532" w:rsidP="00C619B9">
            <w:pPr>
              <w:keepNext/>
              <w:keepLines/>
              <w:suppressAutoHyphens/>
              <w:spacing w:after="240"/>
            </w:pPr>
            <w:r w:rsidRPr="003B4362">
              <w:t>Acceptance Limits</w:t>
            </w:r>
          </w:p>
        </w:tc>
      </w:tr>
      <w:tr w:rsidR="001628C1" w:rsidRPr="003B4362" w14:paraId="083100A8" w14:textId="77777777" w:rsidTr="00C619B9">
        <w:tc>
          <w:tcPr>
            <w:tcW w:w="3312" w:type="dxa"/>
          </w:tcPr>
          <w:p w14:paraId="728914E4" w14:textId="77777777" w:rsidR="004F7532" w:rsidRPr="003B4362" w:rsidRDefault="004F7532" w:rsidP="00C619B9">
            <w:pPr>
              <w:suppressAutoHyphens/>
            </w:pPr>
            <w:r w:rsidRPr="003B4362">
              <w:t>Alachlor</w:t>
            </w:r>
          </w:p>
        </w:tc>
        <w:tc>
          <w:tcPr>
            <w:tcW w:w="2592" w:type="dxa"/>
          </w:tcPr>
          <w:p w14:paraId="0FF369DD" w14:textId="77777777" w:rsidR="004F7532" w:rsidRPr="003B4362" w:rsidRDefault="004F7532" w:rsidP="00C619B9">
            <w:pPr>
              <w:suppressAutoHyphens/>
            </w:pPr>
            <w:r w:rsidRPr="003B4362">
              <w:t>± 45%</w:t>
            </w:r>
          </w:p>
        </w:tc>
      </w:tr>
      <w:tr w:rsidR="001628C1" w:rsidRPr="003B4362" w14:paraId="79FCC02C" w14:textId="77777777" w:rsidTr="00C619B9">
        <w:tc>
          <w:tcPr>
            <w:tcW w:w="3312" w:type="dxa"/>
          </w:tcPr>
          <w:p w14:paraId="5AF2D770" w14:textId="77777777" w:rsidR="004F7532" w:rsidRPr="003B4362" w:rsidRDefault="004F7532" w:rsidP="00C619B9">
            <w:pPr>
              <w:suppressAutoHyphens/>
            </w:pPr>
            <w:r w:rsidRPr="003B4362">
              <w:t>Aldicarb</w:t>
            </w:r>
          </w:p>
        </w:tc>
        <w:tc>
          <w:tcPr>
            <w:tcW w:w="2592" w:type="dxa"/>
          </w:tcPr>
          <w:p w14:paraId="313FDC8C" w14:textId="77777777" w:rsidR="004F7532" w:rsidRPr="003B4362" w:rsidRDefault="004F7532" w:rsidP="00C619B9">
            <w:pPr>
              <w:suppressAutoHyphens/>
            </w:pPr>
            <w:r w:rsidRPr="003B4362">
              <w:t>2 standard deviations</w:t>
            </w:r>
          </w:p>
        </w:tc>
      </w:tr>
      <w:tr w:rsidR="001628C1" w:rsidRPr="003B4362" w14:paraId="4F1E859F" w14:textId="77777777" w:rsidTr="00C619B9">
        <w:tc>
          <w:tcPr>
            <w:tcW w:w="3312" w:type="dxa"/>
          </w:tcPr>
          <w:p w14:paraId="7065459A" w14:textId="77777777" w:rsidR="004F7532" w:rsidRPr="003B4362" w:rsidRDefault="004F7532" w:rsidP="00C619B9">
            <w:pPr>
              <w:suppressAutoHyphens/>
            </w:pPr>
            <w:r w:rsidRPr="003B4362">
              <w:t>Aldicarb sulfone</w:t>
            </w:r>
          </w:p>
        </w:tc>
        <w:tc>
          <w:tcPr>
            <w:tcW w:w="2592" w:type="dxa"/>
          </w:tcPr>
          <w:p w14:paraId="782C1B41" w14:textId="77777777" w:rsidR="004F7532" w:rsidRPr="003B4362" w:rsidRDefault="004F7532" w:rsidP="00C619B9">
            <w:pPr>
              <w:suppressAutoHyphens/>
            </w:pPr>
            <w:r w:rsidRPr="003B4362">
              <w:t>2 standard deviations</w:t>
            </w:r>
          </w:p>
        </w:tc>
      </w:tr>
      <w:tr w:rsidR="001628C1" w:rsidRPr="003B4362" w14:paraId="4DB49A1B" w14:textId="77777777" w:rsidTr="00C619B9">
        <w:tc>
          <w:tcPr>
            <w:tcW w:w="3312" w:type="dxa"/>
          </w:tcPr>
          <w:p w14:paraId="60F90C16" w14:textId="77777777" w:rsidR="004F7532" w:rsidRPr="003B4362" w:rsidRDefault="004F7532" w:rsidP="00C619B9">
            <w:pPr>
              <w:suppressAutoHyphens/>
            </w:pPr>
            <w:r w:rsidRPr="003B4362">
              <w:t>Aldicarb sulfoxide</w:t>
            </w:r>
          </w:p>
        </w:tc>
        <w:tc>
          <w:tcPr>
            <w:tcW w:w="2592" w:type="dxa"/>
          </w:tcPr>
          <w:p w14:paraId="4D519457" w14:textId="77777777" w:rsidR="004F7532" w:rsidRPr="003B4362" w:rsidRDefault="004F7532" w:rsidP="00C619B9">
            <w:pPr>
              <w:suppressAutoHyphens/>
            </w:pPr>
            <w:r w:rsidRPr="003B4362">
              <w:t>2 standard deviations</w:t>
            </w:r>
          </w:p>
        </w:tc>
      </w:tr>
      <w:tr w:rsidR="001628C1" w:rsidRPr="003B4362" w14:paraId="0D6BCCBD" w14:textId="77777777" w:rsidTr="00C619B9">
        <w:tc>
          <w:tcPr>
            <w:tcW w:w="3312" w:type="dxa"/>
          </w:tcPr>
          <w:p w14:paraId="2488E91C" w14:textId="77777777" w:rsidR="004F7532" w:rsidRPr="003B4362" w:rsidRDefault="004F7532" w:rsidP="00C619B9">
            <w:pPr>
              <w:suppressAutoHyphens/>
            </w:pPr>
            <w:r w:rsidRPr="003B4362">
              <w:t>Atrazine</w:t>
            </w:r>
          </w:p>
        </w:tc>
        <w:tc>
          <w:tcPr>
            <w:tcW w:w="2592" w:type="dxa"/>
          </w:tcPr>
          <w:p w14:paraId="33638ED8" w14:textId="77777777" w:rsidR="004F7532" w:rsidRPr="003B4362" w:rsidRDefault="004F7532" w:rsidP="00C619B9">
            <w:pPr>
              <w:suppressAutoHyphens/>
            </w:pPr>
            <w:r w:rsidRPr="003B4362">
              <w:t>± 45%</w:t>
            </w:r>
          </w:p>
        </w:tc>
      </w:tr>
      <w:tr w:rsidR="001628C1" w:rsidRPr="003B4362" w14:paraId="4C5066E2" w14:textId="77777777" w:rsidTr="00C619B9">
        <w:tc>
          <w:tcPr>
            <w:tcW w:w="3312" w:type="dxa"/>
          </w:tcPr>
          <w:p w14:paraId="7B9A2115" w14:textId="77777777" w:rsidR="004F7532" w:rsidRPr="003B4362" w:rsidRDefault="004F7532" w:rsidP="00C619B9">
            <w:pPr>
              <w:suppressAutoHyphens/>
            </w:pPr>
            <w:r w:rsidRPr="003B4362">
              <w:t>Benzo(a)pyrene</w:t>
            </w:r>
          </w:p>
        </w:tc>
        <w:tc>
          <w:tcPr>
            <w:tcW w:w="2592" w:type="dxa"/>
          </w:tcPr>
          <w:p w14:paraId="62F42C32" w14:textId="77777777" w:rsidR="004F7532" w:rsidRPr="003B4362" w:rsidRDefault="004F7532" w:rsidP="00C619B9">
            <w:pPr>
              <w:suppressAutoHyphens/>
            </w:pPr>
            <w:r w:rsidRPr="003B4362">
              <w:t>2 standard deviations</w:t>
            </w:r>
          </w:p>
        </w:tc>
      </w:tr>
      <w:tr w:rsidR="001628C1" w:rsidRPr="003B4362" w14:paraId="1D519AB8" w14:textId="77777777" w:rsidTr="00C619B9">
        <w:tc>
          <w:tcPr>
            <w:tcW w:w="3312" w:type="dxa"/>
          </w:tcPr>
          <w:p w14:paraId="4387DB72" w14:textId="77777777" w:rsidR="004F7532" w:rsidRPr="003B4362" w:rsidRDefault="004F7532" w:rsidP="00C619B9">
            <w:pPr>
              <w:suppressAutoHyphens/>
            </w:pPr>
            <w:r w:rsidRPr="003B4362">
              <w:t>Carbofuran</w:t>
            </w:r>
          </w:p>
        </w:tc>
        <w:tc>
          <w:tcPr>
            <w:tcW w:w="2592" w:type="dxa"/>
          </w:tcPr>
          <w:p w14:paraId="4DFA7B1B" w14:textId="77777777" w:rsidR="004F7532" w:rsidRPr="003B4362" w:rsidRDefault="004F7532" w:rsidP="00C619B9">
            <w:pPr>
              <w:suppressAutoHyphens/>
            </w:pPr>
            <w:r w:rsidRPr="003B4362">
              <w:t>± 45%</w:t>
            </w:r>
          </w:p>
        </w:tc>
      </w:tr>
      <w:tr w:rsidR="001628C1" w:rsidRPr="003B4362" w14:paraId="7CDE3343" w14:textId="77777777" w:rsidTr="00C619B9">
        <w:tc>
          <w:tcPr>
            <w:tcW w:w="3312" w:type="dxa"/>
          </w:tcPr>
          <w:p w14:paraId="5EA94B80" w14:textId="77777777" w:rsidR="004F7532" w:rsidRPr="003B4362" w:rsidRDefault="004F7532" w:rsidP="00C619B9">
            <w:pPr>
              <w:suppressAutoHyphens/>
            </w:pPr>
            <w:r w:rsidRPr="003B4362">
              <w:t>Chlordane</w:t>
            </w:r>
          </w:p>
        </w:tc>
        <w:tc>
          <w:tcPr>
            <w:tcW w:w="2592" w:type="dxa"/>
          </w:tcPr>
          <w:p w14:paraId="1FC2525B" w14:textId="77777777" w:rsidR="004F7532" w:rsidRPr="003B4362" w:rsidRDefault="004F7532" w:rsidP="00C619B9">
            <w:pPr>
              <w:suppressAutoHyphens/>
            </w:pPr>
            <w:r w:rsidRPr="003B4362">
              <w:t>± 45%</w:t>
            </w:r>
          </w:p>
        </w:tc>
      </w:tr>
      <w:tr w:rsidR="001628C1" w:rsidRPr="003B4362" w14:paraId="4560390B" w14:textId="77777777" w:rsidTr="00C619B9">
        <w:tc>
          <w:tcPr>
            <w:tcW w:w="3312" w:type="dxa"/>
          </w:tcPr>
          <w:p w14:paraId="7361991B" w14:textId="77777777" w:rsidR="004F7532" w:rsidRPr="003B4362" w:rsidRDefault="004F7532" w:rsidP="00C619B9">
            <w:pPr>
              <w:suppressAutoHyphens/>
            </w:pPr>
            <w:r w:rsidRPr="003B4362">
              <w:t>Dalapon</w:t>
            </w:r>
          </w:p>
        </w:tc>
        <w:tc>
          <w:tcPr>
            <w:tcW w:w="2592" w:type="dxa"/>
          </w:tcPr>
          <w:p w14:paraId="023BA61C" w14:textId="77777777" w:rsidR="004F7532" w:rsidRPr="003B4362" w:rsidRDefault="004F7532" w:rsidP="00C619B9">
            <w:pPr>
              <w:suppressAutoHyphens/>
            </w:pPr>
            <w:r w:rsidRPr="003B4362">
              <w:t>2 standard deviations</w:t>
            </w:r>
          </w:p>
        </w:tc>
      </w:tr>
      <w:tr w:rsidR="001628C1" w:rsidRPr="003B4362" w14:paraId="2422F4BE" w14:textId="77777777" w:rsidTr="00C619B9">
        <w:tc>
          <w:tcPr>
            <w:tcW w:w="3312" w:type="dxa"/>
          </w:tcPr>
          <w:p w14:paraId="17792FAC" w14:textId="77777777" w:rsidR="004F7532" w:rsidRPr="003B4362" w:rsidRDefault="004F7532" w:rsidP="00C619B9">
            <w:pPr>
              <w:suppressAutoHyphens/>
            </w:pPr>
            <w:r w:rsidRPr="003B4362">
              <w:t>Di(2-ethylhexyl)adipate</w:t>
            </w:r>
          </w:p>
        </w:tc>
        <w:tc>
          <w:tcPr>
            <w:tcW w:w="2592" w:type="dxa"/>
          </w:tcPr>
          <w:p w14:paraId="1F268758" w14:textId="77777777" w:rsidR="004F7532" w:rsidRPr="003B4362" w:rsidRDefault="004F7532" w:rsidP="00C619B9">
            <w:pPr>
              <w:suppressAutoHyphens/>
            </w:pPr>
            <w:r w:rsidRPr="003B4362">
              <w:t>2 standard deviations</w:t>
            </w:r>
          </w:p>
        </w:tc>
      </w:tr>
      <w:tr w:rsidR="001628C1" w:rsidRPr="003B4362" w14:paraId="4A2544EF" w14:textId="77777777" w:rsidTr="00C619B9">
        <w:tc>
          <w:tcPr>
            <w:tcW w:w="3312" w:type="dxa"/>
          </w:tcPr>
          <w:p w14:paraId="6C13D238" w14:textId="77777777" w:rsidR="004F7532" w:rsidRPr="003B4362" w:rsidRDefault="004F7532" w:rsidP="00C619B9">
            <w:pPr>
              <w:suppressAutoHyphens/>
            </w:pPr>
            <w:r w:rsidRPr="003B4362">
              <w:t>Di(2-ethylhexyl)phthalate</w:t>
            </w:r>
          </w:p>
        </w:tc>
        <w:tc>
          <w:tcPr>
            <w:tcW w:w="2592" w:type="dxa"/>
          </w:tcPr>
          <w:p w14:paraId="4F74AD32" w14:textId="77777777" w:rsidR="004F7532" w:rsidRPr="003B4362" w:rsidRDefault="004F7532" w:rsidP="00C619B9">
            <w:pPr>
              <w:suppressAutoHyphens/>
            </w:pPr>
            <w:r w:rsidRPr="003B4362">
              <w:t>2 standard deviations</w:t>
            </w:r>
          </w:p>
        </w:tc>
      </w:tr>
      <w:tr w:rsidR="001628C1" w:rsidRPr="003B4362" w14:paraId="344E4E8E" w14:textId="77777777" w:rsidTr="00C619B9">
        <w:tc>
          <w:tcPr>
            <w:tcW w:w="3312" w:type="dxa"/>
          </w:tcPr>
          <w:p w14:paraId="12D262A3" w14:textId="77777777" w:rsidR="004F7532" w:rsidRPr="003B4362" w:rsidRDefault="004F7532" w:rsidP="00C619B9">
            <w:pPr>
              <w:suppressAutoHyphens/>
            </w:pPr>
            <w:r w:rsidRPr="003B4362">
              <w:t>Dinoseb</w:t>
            </w:r>
          </w:p>
        </w:tc>
        <w:tc>
          <w:tcPr>
            <w:tcW w:w="2592" w:type="dxa"/>
          </w:tcPr>
          <w:p w14:paraId="2C1ECA94" w14:textId="77777777" w:rsidR="004F7532" w:rsidRPr="003B4362" w:rsidRDefault="004F7532" w:rsidP="00C619B9">
            <w:pPr>
              <w:suppressAutoHyphens/>
            </w:pPr>
            <w:r w:rsidRPr="003B4362">
              <w:t>2 standard deviations</w:t>
            </w:r>
          </w:p>
        </w:tc>
      </w:tr>
      <w:tr w:rsidR="001628C1" w:rsidRPr="003B4362" w14:paraId="465A4A6E" w14:textId="77777777" w:rsidTr="00C619B9">
        <w:tc>
          <w:tcPr>
            <w:tcW w:w="3312" w:type="dxa"/>
          </w:tcPr>
          <w:p w14:paraId="3B287FAB" w14:textId="77777777" w:rsidR="004F7532" w:rsidRPr="003B4362" w:rsidRDefault="004F7532" w:rsidP="00C619B9">
            <w:pPr>
              <w:suppressAutoHyphens/>
            </w:pPr>
            <w:r w:rsidRPr="003B4362">
              <w:t>Diquat</w:t>
            </w:r>
          </w:p>
        </w:tc>
        <w:tc>
          <w:tcPr>
            <w:tcW w:w="2592" w:type="dxa"/>
          </w:tcPr>
          <w:p w14:paraId="1BB6940C" w14:textId="77777777" w:rsidR="004F7532" w:rsidRPr="003B4362" w:rsidRDefault="004F7532" w:rsidP="00C619B9">
            <w:pPr>
              <w:suppressAutoHyphens/>
            </w:pPr>
            <w:r w:rsidRPr="003B4362">
              <w:t>2 standard deviations</w:t>
            </w:r>
          </w:p>
        </w:tc>
      </w:tr>
      <w:tr w:rsidR="001628C1" w:rsidRPr="003B4362" w14:paraId="4E8D509F" w14:textId="77777777" w:rsidTr="00C619B9">
        <w:tc>
          <w:tcPr>
            <w:tcW w:w="3312" w:type="dxa"/>
          </w:tcPr>
          <w:p w14:paraId="10E62F09" w14:textId="77777777" w:rsidR="004F7532" w:rsidRPr="003B4362" w:rsidRDefault="004F7532" w:rsidP="00C619B9">
            <w:pPr>
              <w:suppressAutoHyphens/>
            </w:pPr>
            <w:r w:rsidRPr="003B4362">
              <w:t>Endothall</w:t>
            </w:r>
          </w:p>
        </w:tc>
        <w:tc>
          <w:tcPr>
            <w:tcW w:w="2592" w:type="dxa"/>
          </w:tcPr>
          <w:p w14:paraId="69A73446" w14:textId="77777777" w:rsidR="004F7532" w:rsidRPr="003B4362" w:rsidRDefault="004F7532" w:rsidP="00C619B9">
            <w:pPr>
              <w:suppressAutoHyphens/>
            </w:pPr>
            <w:r w:rsidRPr="003B4362">
              <w:t>2 standard deviations</w:t>
            </w:r>
          </w:p>
        </w:tc>
      </w:tr>
      <w:tr w:rsidR="001628C1" w:rsidRPr="003B4362" w14:paraId="771195BC" w14:textId="77777777" w:rsidTr="00C619B9">
        <w:tc>
          <w:tcPr>
            <w:tcW w:w="3312" w:type="dxa"/>
          </w:tcPr>
          <w:p w14:paraId="1E5AD2E2" w14:textId="77777777" w:rsidR="004F7532" w:rsidRPr="003B4362" w:rsidRDefault="004F7532" w:rsidP="00C619B9">
            <w:pPr>
              <w:suppressAutoHyphens/>
            </w:pPr>
            <w:r w:rsidRPr="003B4362">
              <w:t>Endrin</w:t>
            </w:r>
          </w:p>
        </w:tc>
        <w:tc>
          <w:tcPr>
            <w:tcW w:w="2592" w:type="dxa"/>
          </w:tcPr>
          <w:p w14:paraId="1D58E9E4" w14:textId="77777777" w:rsidR="004F7532" w:rsidRPr="003B4362" w:rsidRDefault="004F7532" w:rsidP="00C619B9">
            <w:pPr>
              <w:suppressAutoHyphens/>
            </w:pPr>
            <w:r w:rsidRPr="003B4362">
              <w:t>± 30%</w:t>
            </w:r>
          </w:p>
        </w:tc>
      </w:tr>
      <w:tr w:rsidR="001628C1" w:rsidRPr="003B4362" w14:paraId="64B8CE14" w14:textId="77777777" w:rsidTr="00C619B9">
        <w:tc>
          <w:tcPr>
            <w:tcW w:w="3312" w:type="dxa"/>
          </w:tcPr>
          <w:p w14:paraId="78AA3931" w14:textId="77777777" w:rsidR="004F7532" w:rsidRPr="003B4362" w:rsidRDefault="004F7532" w:rsidP="00C619B9">
            <w:pPr>
              <w:suppressAutoHyphens/>
            </w:pPr>
            <w:r w:rsidRPr="003B4362">
              <w:t>Glyphosate</w:t>
            </w:r>
          </w:p>
        </w:tc>
        <w:tc>
          <w:tcPr>
            <w:tcW w:w="2592" w:type="dxa"/>
          </w:tcPr>
          <w:p w14:paraId="3560FC38" w14:textId="77777777" w:rsidR="004F7532" w:rsidRPr="003B4362" w:rsidRDefault="004F7532" w:rsidP="00C619B9">
            <w:pPr>
              <w:suppressAutoHyphens/>
            </w:pPr>
            <w:r w:rsidRPr="003B4362">
              <w:t>2 standard deviations</w:t>
            </w:r>
          </w:p>
        </w:tc>
      </w:tr>
      <w:tr w:rsidR="001628C1" w:rsidRPr="003B4362" w14:paraId="2FFB3110" w14:textId="77777777" w:rsidTr="00C619B9">
        <w:tc>
          <w:tcPr>
            <w:tcW w:w="3312" w:type="dxa"/>
          </w:tcPr>
          <w:p w14:paraId="20C6B806" w14:textId="77777777" w:rsidR="004F7532" w:rsidRPr="003B4362" w:rsidRDefault="004F7532" w:rsidP="00C619B9">
            <w:pPr>
              <w:suppressAutoHyphens/>
            </w:pPr>
            <w:r w:rsidRPr="003B4362">
              <w:lastRenderedPageBreak/>
              <w:t>Dibromochloropropane (DBCP)</w:t>
            </w:r>
          </w:p>
        </w:tc>
        <w:tc>
          <w:tcPr>
            <w:tcW w:w="2592" w:type="dxa"/>
          </w:tcPr>
          <w:p w14:paraId="028E8118" w14:textId="77777777" w:rsidR="004F7532" w:rsidRPr="003B4362" w:rsidRDefault="004F7532" w:rsidP="00C619B9">
            <w:pPr>
              <w:suppressAutoHyphens/>
            </w:pPr>
            <w:r w:rsidRPr="003B4362">
              <w:t>± 40%</w:t>
            </w:r>
          </w:p>
        </w:tc>
      </w:tr>
      <w:tr w:rsidR="001628C1" w:rsidRPr="003B4362" w14:paraId="2839772A" w14:textId="77777777" w:rsidTr="00C619B9">
        <w:tc>
          <w:tcPr>
            <w:tcW w:w="3312" w:type="dxa"/>
          </w:tcPr>
          <w:p w14:paraId="52960742" w14:textId="77777777" w:rsidR="004F7532" w:rsidRPr="003B4362" w:rsidRDefault="004F7532" w:rsidP="00C619B9">
            <w:pPr>
              <w:suppressAutoHyphens/>
            </w:pPr>
            <w:r w:rsidRPr="003B4362">
              <w:t>Ethylene dibromide (EDB)</w:t>
            </w:r>
          </w:p>
        </w:tc>
        <w:tc>
          <w:tcPr>
            <w:tcW w:w="2592" w:type="dxa"/>
          </w:tcPr>
          <w:p w14:paraId="60A154A7" w14:textId="77777777" w:rsidR="004F7532" w:rsidRPr="003B4362" w:rsidRDefault="004F7532" w:rsidP="00C619B9">
            <w:pPr>
              <w:suppressAutoHyphens/>
            </w:pPr>
            <w:r w:rsidRPr="003B4362">
              <w:t>± 40%</w:t>
            </w:r>
          </w:p>
        </w:tc>
      </w:tr>
      <w:tr w:rsidR="001628C1" w:rsidRPr="003B4362" w14:paraId="1A31C4A1" w14:textId="77777777" w:rsidTr="00C619B9">
        <w:tc>
          <w:tcPr>
            <w:tcW w:w="3312" w:type="dxa"/>
          </w:tcPr>
          <w:p w14:paraId="3F9D60B2" w14:textId="77777777" w:rsidR="004F7532" w:rsidRPr="003B4362" w:rsidRDefault="004F7532" w:rsidP="00C619B9">
            <w:pPr>
              <w:suppressAutoHyphens/>
            </w:pPr>
            <w:r w:rsidRPr="003B4362">
              <w:t>Heptachlor</w:t>
            </w:r>
          </w:p>
        </w:tc>
        <w:tc>
          <w:tcPr>
            <w:tcW w:w="2592" w:type="dxa"/>
          </w:tcPr>
          <w:p w14:paraId="13936FB9" w14:textId="77777777" w:rsidR="004F7532" w:rsidRPr="003B4362" w:rsidRDefault="004F7532" w:rsidP="00C619B9">
            <w:pPr>
              <w:suppressAutoHyphens/>
            </w:pPr>
            <w:r w:rsidRPr="003B4362">
              <w:t>± 45%</w:t>
            </w:r>
          </w:p>
        </w:tc>
      </w:tr>
      <w:tr w:rsidR="001628C1" w:rsidRPr="003B4362" w14:paraId="41D05F67" w14:textId="77777777" w:rsidTr="00C619B9">
        <w:tc>
          <w:tcPr>
            <w:tcW w:w="3312" w:type="dxa"/>
          </w:tcPr>
          <w:p w14:paraId="025125B7" w14:textId="77777777" w:rsidR="004F7532" w:rsidRPr="003B4362" w:rsidRDefault="004F7532" w:rsidP="00C619B9">
            <w:pPr>
              <w:suppressAutoHyphens/>
            </w:pPr>
            <w:r w:rsidRPr="003B4362">
              <w:t>Heptachlor epoxide</w:t>
            </w:r>
          </w:p>
        </w:tc>
        <w:tc>
          <w:tcPr>
            <w:tcW w:w="2592" w:type="dxa"/>
          </w:tcPr>
          <w:p w14:paraId="7E208D0E" w14:textId="77777777" w:rsidR="004F7532" w:rsidRPr="003B4362" w:rsidRDefault="004F7532" w:rsidP="00C619B9">
            <w:pPr>
              <w:suppressAutoHyphens/>
            </w:pPr>
            <w:r w:rsidRPr="003B4362">
              <w:t>± 45%</w:t>
            </w:r>
          </w:p>
        </w:tc>
      </w:tr>
      <w:tr w:rsidR="001628C1" w:rsidRPr="003B4362" w14:paraId="1868E0DB" w14:textId="77777777" w:rsidTr="00C619B9">
        <w:tc>
          <w:tcPr>
            <w:tcW w:w="3312" w:type="dxa"/>
          </w:tcPr>
          <w:p w14:paraId="71E8D2FF" w14:textId="77777777" w:rsidR="004F7532" w:rsidRPr="003B4362" w:rsidRDefault="004F7532" w:rsidP="00C619B9">
            <w:pPr>
              <w:suppressAutoHyphens/>
            </w:pPr>
            <w:r w:rsidRPr="003B4362">
              <w:t>Hexachlorobenzene</w:t>
            </w:r>
          </w:p>
        </w:tc>
        <w:tc>
          <w:tcPr>
            <w:tcW w:w="2592" w:type="dxa"/>
          </w:tcPr>
          <w:p w14:paraId="0BF38603" w14:textId="77777777" w:rsidR="004F7532" w:rsidRPr="003B4362" w:rsidRDefault="004F7532" w:rsidP="00C619B9">
            <w:pPr>
              <w:suppressAutoHyphens/>
            </w:pPr>
            <w:r w:rsidRPr="003B4362">
              <w:t>2 standard deviations</w:t>
            </w:r>
          </w:p>
        </w:tc>
      </w:tr>
      <w:tr w:rsidR="001628C1" w:rsidRPr="003B4362" w14:paraId="52B10BAF" w14:textId="77777777" w:rsidTr="00C619B9">
        <w:tc>
          <w:tcPr>
            <w:tcW w:w="3312" w:type="dxa"/>
          </w:tcPr>
          <w:p w14:paraId="0A86FB24" w14:textId="77777777" w:rsidR="004F7532" w:rsidRPr="003B4362" w:rsidRDefault="004F7532" w:rsidP="00C619B9">
            <w:pPr>
              <w:suppressAutoHyphens/>
            </w:pPr>
            <w:r w:rsidRPr="003B4362">
              <w:t>Hexachlorocyclopentadiene</w:t>
            </w:r>
          </w:p>
        </w:tc>
        <w:tc>
          <w:tcPr>
            <w:tcW w:w="2592" w:type="dxa"/>
          </w:tcPr>
          <w:p w14:paraId="775D55CA" w14:textId="77777777" w:rsidR="004F7532" w:rsidRPr="003B4362" w:rsidRDefault="004F7532" w:rsidP="00C619B9">
            <w:pPr>
              <w:suppressAutoHyphens/>
            </w:pPr>
            <w:r w:rsidRPr="003B4362">
              <w:t>2 standard deviations</w:t>
            </w:r>
          </w:p>
        </w:tc>
      </w:tr>
      <w:tr w:rsidR="001628C1" w:rsidRPr="003B4362" w14:paraId="0F65B3E4" w14:textId="77777777" w:rsidTr="00C619B9">
        <w:tc>
          <w:tcPr>
            <w:tcW w:w="3312" w:type="dxa"/>
          </w:tcPr>
          <w:p w14:paraId="6D1A2897" w14:textId="77777777" w:rsidR="004F7532" w:rsidRPr="003B4362" w:rsidRDefault="004F7532" w:rsidP="00C619B9">
            <w:pPr>
              <w:suppressAutoHyphens/>
            </w:pPr>
            <w:r w:rsidRPr="003B4362">
              <w:t>Lindane</w:t>
            </w:r>
          </w:p>
        </w:tc>
        <w:tc>
          <w:tcPr>
            <w:tcW w:w="2592" w:type="dxa"/>
          </w:tcPr>
          <w:p w14:paraId="1F9417E7" w14:textId="77777777" w:rsidR="004F7532" w:rsidRPr="003B4362" w:rsidRDefault="004F7532" w:rsidP="00C619B9">
            <w:pPr>
              <w:suppressAutoHyphens/>
            </w:pPr>
            <w:r w:rsidRPr="003B4362">
              <w:t>± 45%</w:t>
            </w:r>
          </w:p>
        </w:tc>
      </w:tr>
      <w:tr w:rsidR="001628C1" w:rsidRPr="003B4362" w14:paraId="2EE6D5DA" w14:textId="77777777" w:rsidTr="00C619B9">
        <w:tc>
          <w:tcPr>
            <w:tcW w:w="3312" w:type="dxa"/>
          </w:tcPr>
          <w:p w14:paraId="4BB2E36E" w14:textId="77777777" w:rsidR="004F7532" w:rsidRPr="003B4362" w:rsidRDefault="004F7532" w:rsidP="00C619B9">
            <w:pPr>
              <w:suppressAutoHyphens/>
            </w:pPr>
            <w:r w:rsidRPr="003B4362">
              <w:t>Methoxychlor</w:t>
            </w:r>
          </w:p>
        </w:tc>
        <w:tc>
          <w:tcPr>
            <w:tcW w:w="2592" w:type="dxa"/>
          </w:tcPr>
          <w:p w14:paraId="28CBD63E" w14:textId="77777777" w:rsidR="004F7532" w:rsidRPr="003B4362" w:rsidRDefault="004F7532" w:rsidP="00C619B9">
            <w:pPr>
              <w:suppressAutoHyphens/>
            </w:pPr>
            <w:r w:rsidRPr="003B4362">
              <w:t>± 45%</w:t>
            </w:r>
          </w:p>
        </w:tc>
      </w:tr>
      <w:tr w:rsidR="001628C1" w:rsidRPr="003B4362" w14:paraId="6966FD8D" w14:textId="77777777" w:rsidTr="00C619B9">
        <w:tc>
          <w:tcPr>
            <w:tcW w:w="3312" w:type="dxa"/>
          </w:tcPr>
          <w:p w14:paraId="68A6D10D" w14:textId="77777777" w:rsidR="004F7532" w:rsidRPr="003B4362" w:rsidRDefault="004F7532" w:rsidP="00C619B9">
            <w:pPr>
              <w:suppressAutoHyphens/>
            </w:pPr>
            <w:r w:rsidRPr="003B4362">
              <w:t>Oxamyl</w:t>
            </w:r>
          </w:p>
        </w:tc>
        <w:tc>
          <w:tcPr>
            <w:tcW w:w="2592" w:type="dxa"/>
          </w:tcPr>
          <w:p w14:paraId="62AEDD27" w14:textId="77777777" w:rsidR="004F7532" w:rsidRPr="003B4362" w:rsidRDefault="004F7532" w:rsidP="00C619B9">
            <w:pPr>
              <w:suppressAutoHyphens/>
            </w:pPr>
            <w:r w:rsidRPr="003B4362">
              <w:t>2 standard deviations</w:t>
            </w:r>
          </w:p>
        </w:tc>
      </w:tr>
      <w:tr w:rsidR="001628C1" w:rsidRPr="003B4362" w14:paraId="44125989" w14:textId="77777777" w:rsidTr="00C619B9">
        <w:tc>
          <w:tcPr>
            <w:tcW w:w="3312" w:type="dxa"/>
          </w:tcPr>
          <w:p w14:paraId="2F1A0901" w14:textId="77777777" w:rsidR="004F7532" w:rsidRPr="003B4362" w:rsidRDefault="004F7532" w:rsidP="00C619B9">
            <w:pPr>
              <w:suppressAutoHyphens/>
            </w:pPr>
            <w:r w:rsidRPr="003B4362">
              <w:t>PCBs (as decachlorobiphenyl)</w:t>
            </w:r>
          </w:p>
        </w:tc>
        <w:tc>
          <w:tcPr>
            <w:tcW w:w="2592" w:type="dxa"/>
          </w:tcPr>
          <w:p w14:paraId="14D82BBB" w14:textId="77777777" w:rsidR="004F7532" w:rsidRPr="003B4362" w:rsidRDefault="004F7532" w:rsidP="00C619B9">
            <w:pPr>
              <w:suppressAutoHyphens/>
            </w:pPr>
            <w:r w:rsidRPr="003B4362">
              <w:t>0-200%</w:t>
            </w:r>
          </w:p>
        </w:tc>
      </w:tr>
      <w:tr w:rsidR="001628C1" w:rsidRPr="003B4362" w14:paraId="7B9EB0B0" w14:textId="77777777" w:rsidTr="00C619B9">
        <w:tc>
          <w:tcPr>
            <w:tcW w:w="3312" w:type="dxa"/>
          </w:tcPr>
          <w:p w14:paraId="0F01A3E1" w14:textId="77777777" w:rsidR="004F7532" w:rsidRPr="003B4362" w:rsidRDefault="004F7532" w:rsidP="00C619B9">
            <w:pPr>
              <w:suppressAutoHyphens/>
            </w:pPr>
            <w:r w:rsidRPr="003B4362">
              <w:t>Pentachlorophenol</w:t>
            </w:r>
          </w:p>
        </w:tc>
        <w:tc>
          <w:tcPr>
            <w:tcW w:w="2592" w:type="dxa"/>
          </w:tcPr>
          <w:p w14:paraId="4CF8B0AD" w14:textId="77777777" w:rsidR="004F7532" w:rsidRPr="003B4362" w:rsidRDefault="004F7532" w:rsidP="00C619B9">
            <w:pPr>
              <w:suppressAutoHyphens/>
            </w:pPr>
            <w:r w:rsidRPr="003B4362">
              <w:t>± 50%</w:t>
            </w:r>
          </w:p>
        </w:tc>
      </w:tr>
      <w:tr w:rsidR="001628C1" w:rsidRPr="003B4362" w14:paraId="0A3CFC90" w14:textId="77777777" w:rsidTr="00C619B9">
        <w:tc>
          <w:tcPr>
            <w:tcW w:w="3312" w:type="dxa"/>
          </w:tcPr>
          <w:p w14:paraId="11ED59F5" w14:textId="77777777" w:rsidR="004F7532" w:rsidRPr="003B4362" w:rsidRDefault="004F7532" w:rsidP="00C619B9">
            <w:pPr>
              <w:suppressAutoHyphens/>
            </w:pPr>
            <w:r w:rsidRPr="003B4362">
              <w:t>Picloram</w:t>
            </w:r>
          </w:p>
        </w:tc>
        <w:tc>
          <w:tcPr>
            <w:tcW w:w="2592" w:type="dxa"/>
          </w:tcPr>
          <w:p w14:paraId="59A0D5F5" w14:textId="77777777" w:rsidR="004F7532" w:rsidRPr="003B4362" w:rsidRDefault="004F7532" w:rsidP="00C619B9">
            <w:pPr>
              <w:suppressAutoHyphens/>
            </w:pPr>
            <w:r w:rsidRPr="003B4362">
              <w:t>2 standard deviations</w:t>
            </w:r>
          </w:p>
        </w:tc>
      </w:tr>
      <w:tr w:rsidR="001628C1" w:rsidRPr="003B4362" w14:paraId="72F781D0" w14:textId="77777777" w:rsidTr="00C619B9">
        <w:tc>
          <w:tcPr>
            <w:tcW w:w="3312" w:type="dxa"/>
          </w:tcPr>
          <w:p w14:paraId="60B1CAA5" w14:textId="77777777" w:rsidR="004F7532" w:rsidRPr="003B4362" w:rsidRDefault="004F7532" w:rsidP="00C619B9">
            <w:pPr>
              <w:suppressAutoHyphens/>
            </w:pPr>
            <w:r w:rsidRPr="003B4362">
              <w:t>Simazine</w:t>
            </w:r>
          </w:p>
        </w:tc>
        <w:tc>
          <w:tcPr>
            <w:tcW w:w="2592" w:type="dxa"/>
          </w:tcPr>
          <w:p w14:paraId="1FB80DD6" w14:textId="77777777" w:rsidR="004F7532" w:rsidRPr="003B4362" w:rsidRDefault="004F7532" w:rsidP="00C619B9">
            <w:pPr>
              <w:suppressAutoHyphens/>
            </w:pPr>
            <w:r w:rsidRPr="003B4362">
              <w:t>2 standard deviations</w:t>
            </w:r>
          </w:p>
        </w:tc>
      </w:tr>
      <w:tr w:rsidR="001628C1" w:rsidRPr="003B4362" w14:paraId="361B3C2B" w14:textId="77777777" w:rsidTr="00C619B9">
        <w:tc>
          <w:tcPr>
            <w:tcW w:w="3312" w:type="dxa"/>
          </w:tcPr>
          <w:p w14:paraId="1C3BF5CF" w14:textId="77777777" w:rsidR="004F7532" w:rsidRPr="003B4362" w:rsidRDefault="004F7532" w:rsidP="00C619B9">
            <w:pPr>
              <w:suppressAutoHyphens/>
            </w:pPr>
            <w:r w:rsidRPr="003B4362">
              <w:t>Toxaphene</w:t>
            </w:r>
          </w:p>
        </w:tc>
        <w:tc>
          <w:tcPr>
            <w:tcW w:w="2592" w:type="dxa"/>
          </w:tcPr>
          <w:p w14:paraId="4351D9BF" w14:textId="77777777" w:rsidR="004F7532" w:rsidRPr="003B4362" w:rsidRDefault="004F7532" w:rsidP="00C619B9">
            <w:pPr>
              <w:suppressAutoHyphens/>
            </w:pPr>
            <w:r w:rsidRPr="003B4362">
              <w:t>± 45%</w:t>
            </w:r>
          </w:p>
        </w:tc>
      </w:tr>
      <w:tr w:rsidR="001628C1" w:rsidRPr="003B4362" w14:paraId="50C991DE" w14:textId="77777777" w:rsidTr="00C619B9">
        <w:tc>
          <w:tcPr>
            <w:tcW w:w="3312" w:type="dxa"/>
          </w:tcPr>
          <w:p w14:paraId="4DE017E9" w14:textId="77777777" w:rsidR="004F7532" w:rsidRPr="003B4362" w:rsidRDefault="004F7532" w:rsidP="00C619B9">
            <w:pPr>
              <w:suppressAutoHyphens/>
            </w:pPr>
            <w:r w:rsidRPr="003B4362">
              <w:t>2,4-D</w:t>
            </w:r>
          </w:p>
        </w:tc>
        <w:tc>
          <w:tcPr>
            <w:tcW w:w="2592" w:type="dxa"/>
          </w:tcPr>
          <w:p w14:paraId="29021AC4" w14:textId="77777777" w:rsidR="004F7532" w:rsidRPr="003B4362" w:rsidRDefault="004F7532" w:rsidP="00C619B9">
            <w:pPr>
              <w:suppressAutoHyphens/>
            </w:pPr>
            <w:r w:rsidRPr="003B4362">
              <w:t>± 50%</w:t>
            </w:r>
          </w:p>
        </w:tc>
      </w:tr>
      <w:tr w:rsidR="001628C1" w:rsidRPr="003B4362" w14:paraId="21A5E6B0" w14:textId="77777777" w:rsidTr="00C619B9">
        <w:tc>
          <w:tcPr>
            <w:tcW w:w="3312" w:type="dxa"/>
          </w:tcPr>
          <w:p w14:paraId="5FEDC21F" w14:textId="77777777" w:rsidR="004F7532" w:rsidRPr="003B4362" w:rsidRDefault="004F7532" w:rsidP="00C619B9">
            <w:pPr>
              <w:suppressAutoHyphens/>
            </w:pPr>
            <w:r w:rsidRPr="003B4362">
              <w:t>2,3,7,8-TCDD (dioxin)</w:t>
            </w:r>
          </w:p>
        </w:tc>
        <w:tc>
          <w:tcPr>
            <w:tcW w:w="2592" w:type="dxa"/>
          </w:tcPr>
          <w:p w14:paraId="3F3CFC40" w14:textId="77777777" w:rsidR="004F7532" w:rsidRPr="003B4362" w:rsidRDefault="004F7532" w:rsidP="00C619B9">
            <w:pPr>
              <w:suppressAutoHyphens/>
            </w:pPr>
            <w:r w:rsidRPr="003B4362">
              <w:t>2 standard deviations</w:t>
            </w:r>
          </w:p>
        </w:tc>
      </w:tr>
      <w:tr w:rsidR="001628C1" w:rsidRPr="003B4362" w14:paraId="7FF87892" w14:textId="77777777" w:rsidTr="00C619B9">
        <w:tc>
          <w:tcPr>
            <w:tcW w:w="3312" w:type="dxa"/>
          </w:tcPr>
          <w:p w14:paraId="748FB3B1" w14:textId="77777777" w:rsidR="004F7532" w:rsidRPr="003B4362" w:rsidRDefault="004F7532" w:rsidP="00C619B9">
            <w:pPr>
              <w:suppressAutoHyphens/>
            </w:pPr>
            <w:r w:rsidRPr="003B4362">
              <w:t>2,4,5-TP (silvex)</w:t>
            </w:r>
          </w:p>
        </w:tc>
        <w:tc>
          <w:tcPr>
            <w:tcW w:w="2592" w:type="dxa"/>
          </w:tcPr>
          <w:p w14:paraId="47ED91A0" w14:textId="77777777" w:rsidR="004F7532" w:rsidRPr="003B4362" w:rsidRDefault="004F7532" w:rsidP="00C619B9">
            <w:pPr>
              <w:suppressAutoHyphens/>
            </w:pPr>
            <w:r w:rsidRPr="003B4362">
              <w:t>± 50%</w:t>
            </w:r>
          </w:p>
        </w:tc>
      </w:tr>
    </w:tbl>
    <w:p w14:paraId="7A3663E2" w14:textId="77777777" w:rsidR="004F7532" w:rsidRPr="003B4362" w:rsidRDefault="004F7532" w:rsidP="004F7532">
      <w:pPr>
        <w:suppressAutoHyphens/>
        <w:spacing w:before="240" w:after="240"/>
        <w:ind w:left="2880"/>
      </w:pPr>
      <w:r w:rsidRPr="003B4362">
        <w:t>BOARD NOTE:  See the Board note appended to Section 611.311(c) for information relating to implementation of requirements relating to aldicarb, aldicarb sulfone, and aldicarb sulfoxide.</w:t>
      </w:r>
    </w:p>
    <w:p w14:paraId="13A2D635" w14:textId="4F6DFE05" w:rsidR="004F7532" w:rsidRPr="003B4362" w:rsidRDefault="004F7532" w:rsidP="004F7532">
      <w:pPr>
        <w:spacing w:before="240" w:after="240"/>
        <w:ind w:left="1440" w:hanging="720"/>
      </w:pPr>
      <w:r w:rsidRPr="003B4362">
        <w:t>t)</w:t>
      </w:r>
      <w:r w:rsidRPr="003B4362">
        <w:tab/>
        <w:t xml:space="preserve">A new system supplier or a supplier </w:t>
      </w:r>
      <w:r w:rsidR="00DC6CA9" w:rsidRPr="003B4362">
        <w:t xml:space="preserve">using </w:t>
      </w:r>
      <w:r w:rsidRPr="003B4362">
        <w:t>a new source of water must demonstrate compliance with the MCL within a period of time specified by a permit issued by the Agency.  The supplier must also comply with the initial sampling frequencies specified by the Agency to ensure the supplier can demonstrate compliance with the MCL.  Routine and increased monitoring frequencies must be conducted in accordance with the requirements in this Section.</w:t>
      </w:r>
    </w:p>
    <w:p w14:paraId="69006187" w14:textId="49B6DAC9" w:rsidR="004F7532" w:rsidRPr="003B4362" w:rsidRDefault="004F7532" w:rsidP="004F7532">
      <w:pPr>
        <w:spacing w:before="240" w:after="240"/>
      </w:pPr>
      <w:r w:rsidRPr="003B4362">
        <w:t xml:space="preserve">BOARD NOTE:  </w:t>
      </w:r>
      <w:r w:rsidR="00260D73" w:rsidRPr="003B4362">
        <w:rPr>
          <w:spacing w:val="-3"/>
        </w:rPr>
        <w:t xml:space="preserve">This Section derives </w:t>
      </w:r>
      <w:r w:rsidRPr="003B4362">
        <w:t>from 40 CFR 141.24(h).</w:t>
      </w:r>
    </w:p>
    <w:p w14:paraId="4EAA73AD" w14:textId="283B8416" w:rsidR="004F7532" w:rsidRPr="003B4362" w:rsidRDefault="00EB353D" w:rsidP="004F7532">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4EC0368D" w14:textId="77777777" w:rsidR="004F3F98" w:rsidRDefault="004F3F98" w:rsidP="004F3F98">
      <w:pPr>
        <w:rPr>
          <w:b/>
          <w:bCs/>
        </w:rPr>
      </w:pPr>
    </w:p>
    <w:p w14:paraId="70A4873F" w14:textId="495EA3D6" w:rsidR="004F3F98" w:rsidRPr="004F3F98" w:rsidRDefault="004F3F98" w:rsidP="004F3F98">
      <w:pPr>
        <w:rPr>
          <w:b/>
          <w:bCs/>
        </w:rPr>
      </w:pPr>
      <w:r w:rsidRPr="004F3F98">
        <w:rPr>
          <w:b/>
          <w:bCs/>
        </w:rPr>
        <w:t>Section 611.650  Monitoring for 36 Contaminants (Repealed)</w:t>
      </w:r>
    </w:p>
    <w:p w14:paraId="72E5799D" w14:textId="77777777" w:rsidR="004F3F98" w:rsidRPr="001A7517" w:rsidRDefault="004F3F98" w:rsidP="004F3F98">
      <w:pPr>
        <w:suppressAutoHyphens/>
      </w:pPr>
    </w:p>
    <w:p w14:paraId="68777471" w14:textId="3B3E4B61" w:rsidR="004F3F98" w:rsidRDefault="004F3F98" w:rsidP="004F3F98">
      <w:pPr>
        <w:suppressAutoHyphens/>
        <w:ind w:left="720"/>
      </w:pPr>
      <w:r w:rsidRPr="001A7517">
        <w:t xml:space="preserve">(Source:  Repealed at 16 Ill. Reg. </w:t>
      </w:r>
      <w:r w:rsidRPr="001A7517">
        <w:rPr>
          <w:spacing w:val="-3"/>
        </w:rPr>
        <w:t>19010, effective December 1, 1992</w:t>
      </w:r>
      <w:r w:rsidRPr="001A7517">
        <w:t>)</w:t>
      </w:r>
    </w:p>
    <w:p w14:paraId="5FDE9809" w14:textId="77777777" w:rsidR="004F3F98" w:rsidRPr="001A7517" w:rsidRDefault="004F3F98" w:rsidP="004F3F98">
      <w:pPr>
        <w:suppressAutoHyphens/>
        <w:ind w:left="720"/>
      </w:pPr>
    </w:p>
    <w:p w14:paraId="49BB0F5B" w14:textId="77777777" w:rsidR="004F3F98" w:rsidRPr="004F3F98" w:rsidRDefault="004F3F98" w:rsidP="004F3F98">
      <w:pPr>
        <w:rPr>
          <w:b/>
          <w:bCs/>
        </w:rPr>
      </w:pPr>
      <w:r w:rsidRPr="004F3F98">
        <w:rPr>
          <w:b/>
          <w:bCs/>
        </w:rPr>
        <w:t>Section 611.657  Analytical Methods for 36 Contaminants (Repealed)</w:t>
      </w:r>
    </w:p>
    <w:p w14:paraId="2848FD03" w14:textId="77777777" w:rsidR="004F3F98" w:rsidRPr="004F3F98" w:rsidRDefault="004F3F98" w:rsidP="004F3F98">
      <w:pPr>
        <w:rPr>
          <w:b/>
          <w:bCs/>
        </w:rPr>
      </w:pPr>
    </w:p>
    <w:p w14:paraId="131F2599" w14:textId="797B7C44" w:rsidR="004F3F98" w:rsidRDefault="004F3F98" w:rsidP="004F3F98">
      <w:pPr>
        <w:suppressAutoHyphens/>
        <w:ind w:left="720"/>
      </w:pPr>
      <w:r w:rsidRPr="001A7517">
        <w:t xml:space="preserve">(Source:  Repealed at 16 Ill. Reg. </w:t>
      </w:r>
      <w:r w:rsidRPr="001A7517">
        <w:rPr>
          <w:spacing w:val="-3"/>
        </w:rPr>
        <w:t>19010, effective December 1, 1992</w:t>
      </w:r>
      <w:r w:rsidRPr="001A7517">
        <w:t>)</w:t>
      </w:r>
    </w:p>
    <w:p w14:paraId="115B253B" w14:textId="77777777" w:rsidR="004F3F98" w:rsidRPr="001A7517" w:rsidRDefault="004F3F98" w:rsidP="004F3F98">
      <w:pPr>
        <w:suppressAutoHyphens/>
        <w:ind w:left="720"/>
      </w:pPr>
    </w:p>
    <w:p w14:paraId="2CF21954" w14:textId="77777777" w:rsidR="004F3F98" w:rsidRPr="004F3F98" w:rsidRDefault="004F3F98" w:rsidP="004F3F98">
      <w:pPr>
        <w:rPr>
          <w:b/>
          <w:bCs/>
        </w:rPr>
      </w:pPr>
      <w:r w:rsidRPr="004F3F98">
        <w:rPr>
          <w:b/>
          <w:bCs/>
        </w:rPr>
        <w:t>Section 611.658  Special Monitoring for Organic Chemicals (Repealed)</w:t>
      </w:r>
    </w:p>
    <w:p w14:paraId="5EC26E93" w14:textId="77777777" w:rsidR="004F3F98" w:rsidRPr="004F3F98" w:rsidRDefault="004F3F98" w:rsidP="004F3F98">
      <w:pPr>
        <w:rPr>
          <w:b/>
          <w:bCs/>
        </w:rPr>
      </w:pPr>
    </w:p>
    <w:p w14:paraId="6418ED0B" w14:textId="61079848" w:rsidR="004F3F98" w:rsidRDefault="004F3F98" w:rsidP="004F3F98">
      <w:pPr>
        <w:suppressAutoHyphens/>
        <w:ind w:left="720"/>
      </w:pPr>
      <w:r w:rsidRPr="001A7517">
        <w:lastRenderedPageBreak/>
        <w:t>(Source:  Repealed at 28 Ill. Reg. 5269, effective March 10, 2004)</w:t>
      </w:r>
    </w:p>
    <w:p w14:paraId="7B69E85B" w14:textId="77777777" w:rsidR="004F3F98" w:rsidRPr="001A7517" w:rsidRDefault="004F3F98" w:rsidP="004F3F98">
      <w:pPr>
        <w:suppressAutoHyphens/>
        <w:ind w:left="720"/>
      </w:pPr>
    </w:p>
    <w:p w14:paraId="76C10FEA" w14:textId="77777777" w:rsidR="004F3F98" w:rsidRPr="001A7517" w:rsidRDefault="004F3F98" w:rsidP="004F3F98">
      <w:pPr>
        <w:jc w:val="center"/>
      </w:pPr>
      <w:r w:rsidRPr="001A7517">
        <w:t>SUBPART P:  THM MONITORING AND ANALYTICAL REQUIREMENTS</w:t>
      </w:r>
      <w:r w:rsidRPr="001A7517">
        <w:rPr>
          <w:spacing w:val="-3"/>
        </w:rPr>
        <w:t xml:space="preserve"> (REPEALED)</w:t>
      </w:r>
    </w:p>
    <w:p w14:paraId="453BEBFA" w14:textId="77777777" w:rsidR="004F3F98" w:rsidRDefault="004F3F98" w:rsidP="004F3F98"/>
    <w:p w14:paraId="678C864E" w14:textId="3A78BEC9" w:rsidR="004F3F98" w:rsidRPr="004F3F98" w:rsidRDefault="004F3F98" w:rsidP="004F3F98">
      <w:pPr>
        <w:rPr>
          <w:b/>
          <w:bCs/>
        </w:rPr>
      </w:pPr>
      <w:r w:rsidRPr="004F3F98">
        <w:rPr>
          <w:b/>
          <w:bCs/>
        </w:rPr>
        <w:t>Section 611.680  Sampling, Analytical, and other Requirements (Repealed)</w:t>
      </w:r>
    </w:p>
    <w:p w14:paraId="150959BF" w14:textId="77777777" w:rsidR="004F3F98" w:rsidRPr="001A7517" w:rsidRDefault="004F3F98" w:rsidP="004F3F98"/>
    <w:p w14:paraId="22C4AE15" w14:textId="26D8B030" w:rsidR="004F3F98" w:rsidRPr="001A7517" w:rsidRDefault="004F3F98" w:rsidP="004F3F98">
      <w:r>
        <w:tab/>
      </w:r>
      <w:r w:rsidRPr="001A7517">
        <w:t>(Source:  Repealed at 36 Ill. Reg. 7110, effective April 25, 2012)</w:t>
      </w:r>
    </w:p>
    <w:p w14:paraId="2FAA22CD" w14:textId="77777777" w:rsidR="004F3F98" w:rsidRDefault="004F3F98" w:rsidP="004F3F98"/>
    <w:p w14:paraId="6E573038" w14:textId="61EBD729" w:rsidR="004F3F98" w:rsidRPr="004F3F98" w:rsidRDefault="004F3F98" w:rsidP="004F3F98">
      <w:pPr>
        <w:rPr>
          <w:b/>
          <w:bCs/>
        </w:rPr>
      </w:pPr>
      <w:r w:rsidRPr="004F3F98">
        <w:rPr>
          <w:b/>
          <w:bCs/>
        </w:rPr>
        <w:t>Section 611.683  Reduced Monitoring Frequency (Repealed)</w:t>
      </w:r>
    </w:p>
    <w:p w14:paraId="21E1D752" w14:textId="77777777" w:rsidR="004F3F98" w:rsidRPr="001A7517" w:rsidRDefault="004F3F98" w:rsidP="004F3F98"/>
    <w:p w14:paraId="700E2BBE" w14:textId="2D05E352" w:rsidR="004F3F98" w:rsidRPr="001A7517" w:rsidRDefault="004F3F98" w:rsidP="004F3F98">
      <w:r>
        <w:tab/>
      </w:r>
      <w:r w:rsidRPr="001A7517">
        <w:t>(Source:  Repealed at 28 Ill. Reg. 5269, effective March 10, 2004)</w:t>
      </w:r>
    </w:p>
    <w:p w14:paraId="3DA084CF" w14:textId="77777777" w:rsidR="004F3F98" w:rsidRDefault="004F3F98" w:rsidP="004F3F98"/>
    <w:p w14:paraId="6AB118BF" w14:textId="55EE9A41" w:rsidR="004F3F98" w:rsidRPr="004F3F98" w:rsidRDefault="004F3F98" w:rsidP="004F3F98">
      <w:pPr>
        <w:rPr>
          <w:b/>
          <w:bCs/>
        </w:rPr>
      </w:pPr>
      <w:r w:rsidRPr="004F3F98">
        <w:rPr>
          <w:b/>
          <w:bCs/>
        </w:rPr>
        <w:t>Section 611.684  Averaging (Repealed)</w:t>
      </w:r>
    </w:p>
    <w:p w14:paraId="270F59FD" w14:textId="77777777" w:rsidR="004F3F98" w:rsidRPr="004F3F98" w:rsidRDefault="004F3F98" w:rsidP="004F3F98">
      <w:pPr>
        <w:rPr>
          <w:b/>
          <w:bCs/>
        </w:rPr>
      </w:pPr>
    </w:p>
    <w:p w14:paraId="12FC0964" w14:textId="5213C0D4" w:rsidR="004F3F98" w:rsidRPr="001A7517" w:rsidRDefault="004F3F98" w:rsidP="004F3F98">
      <w:r>
        <w:tab/>
      </w:r>
      <w:r w:rsidRPr="001A7517">
        <w:t>(Source:  Repealed at 28 Ill. Reg. 5269, effective March 10, 2004)</w:t>
      </w:r>
    </w:p>
    <w:p w14:paraId="63D31E4B" w14:textId="77777777" w:rsidR="004F3F98" w:rsidRDefault="004F3F98" w:rsidP="004F3F98">
      <w:pPr>
        <w:rPr>
          <w:b/>
          <w:bCs/>
        </w:rPr>
      </w:pPr>
    </w:p>
    <w:p w14:paraId="6A0109EE" w14:textId="5AD977BB" w:rsidR="004F3F98" w:rsidRPr="004F3F98" w:rsidRDefault="004F3F98" w:rsidP="004F3F98">
      <w:pPr>
        <w:rPr>
          <w:b/>
          <w:bCs/>
        </w:rPr>
      </w:pPr>
      <w:r w:rsidRPr="004F3F98">
        <w:rPr>
          <w:b/>
          <w:bCs/>
        </w:rPr>
        <w:t>Section 611.685  Analytical Methods (Repealed)</w:t>
      </w:r>
    </w:p>
    <w:p w14:paraId="44E6F00A" w14:textId="77777777" w:rsidR="004F3F98" w:rsidRPr="004F3F98" w:rsidRDefault="004F3F98" w:rsidP="004F3F98">
      <w:pPr>
        <w:rPr>
          <w:b/>
          <w:bCs/>
        </w:rPr>
      </w:pPr>
    </w:p>
    <w:p w14:paraId="6A937DC8" w14:textId="353E0986" w:rsidR="004F3F98" w:rsidRPr="001A7517" w:rsidRDefault="004F3F98" w:rsidP="004F3F98">
      <w:r>
        <w:tab/>
      </w:r>
      <w:r w:rsidRPr="001A7517">
        <w:t xml:space="preserve">(Source:  Repealed at </w:t>
      </w:r>
      <w:r w:rsidRPr="001A7517">
        <w:rPr>
          <w:szCs w:val="17"/>
        </w:rPr>
        <w:t>31 Ill. Reg. 11757, effective July 27, 2007</w:t>
      </w:r>
      <w:r w:rsidRPr="001A7517">
        <w:t>)</w:t>
      </w:r>
    </w:p>
    <w:p w14:paraId="2A6C2B00" w14:textId="77777777" w:rsidR="004F3F98" w:rsidRDefault="004F3F98" w:rsidP="004F3F98"/>
    <w:p w14:paraId="374D4CCE" w14:textId="28003133" w:rsidR="004F3F98" w:rsidRPr="004F3F98" w:rsidRDefault="004F3F98" w:rsidP="004F3F98">
      <w:pPr>
        <w:rPr>
          <w:b/>
          <w:bCs/>
        </w:rPr>
      </w:pPr>
      <w:r w:rsidRPr="004F3F98">
        <w:rPr>
          <w:b/>
          <w:bCs/>
        </w:rPr>
        <w:t>Section 611.686  Modification to System (Repealed)</w:t>
      </w:r>
    </w:p>
    <w:p w14:paraId="2B884AF0" w14:textId="77777777" w:rsidR="004F3F98" w:rsidRPr="004F3F98" w:rsidRDefault="004F3F98" w:rsidP="004F3F98">
      <w:pPr>
        <w:rPr>
          <w:b/>
          <w:bCs/>
        </w:rPr>
      </w:pPr>
    </w:p>
    <w:p w14:paraId="26AF9355" w14:textId="12BA5EB1" w:rsidR="004F3F98" w:rsidRPr="001A7517" w:rsidRDefault="004F3F98" w:rsidP="004F3F98">
      <w:r>
        <w:tab/>
      </w:r>
      <w:r w:rsidRPr="001A7517">
        <w:t>(Source:  Repealed at 28 Ill. Reg. 5269, effective March 10, 2004)</w:t>
      </w:r>
    </w:p>
    <w:p w14:paraId="3ADECCD7" w14:textId="77777777" w:rsidR="004F3F98" w:rsidRDefault="004F3F98" w:rsidP="004F3F98"/>
    <w:p w14:paraId="38B3FBEC" w14:textId="12CF6EEA" w:rsidR="004F3F98" w:rsidRPr="004F3F98" w:rsidRDefault="004F3F98" w:rsidP="004F3F98">
      <w:pPr>
        <w:rPr>
          <w:b/>
          <w:bCs/>
        </w:rPr>
      </w:pPr>
      <w:r w:rsidRPr="004F3F98">
        <w:rPr>
          <w:b/>
          <w:bCs/>
        </w:rPr>
        <w:t>Section 611.687  Sampling for Maximum THM Potential (Repealed)</w:t>
      </w:r>
    </w:p>
    <w:p w14:paraId="6BD4509E" w14:textId="77777777" w:rsidR="004F3F98" w:rsidRPr="001A7517" w:rsidRDefault="004F3F98" w:rsidP="004F3F98"/>
    <w:p w14:paraId="4B25ACF7" w14:textId="10653909" w:rsidR="004F3F98" w:rsidRPr="001A7517" w:rsidRDefault="004F3F98" w:rsidP="004F3F98">
      <w:r>
        <w:tab/>
      </w:r>
      <w:r w:rsidRPr="001A7517">
        <w:t>(Source:  Repealed at 28 Ill. Reg. 5269, effective March 10, 2004)</w:t>
      </w:r>
    </w:p>
    <w:p w14:paraId="2A7481B4" w14:textId="77777777" w:rsidR="004F3F98" w:rsidRDefault="004F3F98" w:rsidP="004F3F98">
      <w:pPr>
        <w:rPr>
          <w:spacing w:val="-2"/>
        </w:rPr>
      </w:pPr>
    </w:p>
    <w:p w14:paraId="7F696B66" w14:textId="1649DB73" w:rsidR="004F3F98" w:rsidRPr="004F3F98" w:rsidRDefault="004F3F98" w:rsidP="004F3F98">
      <w:pPr>
        <w:rPr>
          <w:b/>
          <w:bCs/>
          <w:spacing w:val="-2"/>
        </w:rPr>
      </w:pPr>
      <w:r w:rsidRPr="004F3F98">
        <w:rPr>
          <w:b/>
          <w:bCs/>
          <w:spacing w:val="-2"/>
        </w:rPr>
        <w:t>Section 611.688  Applicability Dates</w:t>
      </w:r>
      <w:r w:rsidRPr="004F3F98">
        <w:rPr>
          <w:b/>
          <w:bCs/>
        </w:rPr>
        <w:t xml:space="preserve"> (Repealed)</w:t>
      </w:r>
    </w:p>
    <w:p w14:paraId="0A4A28EF" w14:textId="77777777" w:rsidR="004F3F98" w:rsidRPr="004F3F98" w:rsidRDefault="004F3F98" w:rsidP="004F3F98">
      <w:pPr>
        <w:rPr>
          <w:b/>
          <w:bCs/>
        </w:rPr>
      </w:pPr>
    </w:p>
    <w:p w14:paraId="5A111C7C" w14:textId="52A08F56" w:rsidR="004F3F98" w:rsidRPr="001A7517" w:rsidRDefault="004F3F98" w:rsidP="004F3F98">
      <w:r>
        <w:tab/>
      </w:r>
      <w:r w:rsidRPr="001A7517">
        <w:t>(Source:  Repealed at 28 Ill. Reg. 5269, effective March 10, 2004)</w:t>
      </w:r>
    </w:p>
    <w:p w14:paraId="7A6CEE88" w14:textId="77777777" w:rsidR="00C46B20" w:rsidRPr="003B4362" w:rsidRDefault="00C46B20" w:rsidP="00C46B20">
      <w:pPr>
        <w:suppressAutoHyphens/>
        <w:ind w:left="720"/>
      </w:pPr>
    </w:p>
    <w:p w14:paraId="60E4FCC1" w14:textId="77777777" w:rsidR="004F7532" w:rsidRPr="003B4362" w:rsidRDefault="004F7532" w:rsidP="00C46B20">
      <w:pPr>
        <w:jc w:val="center"/>
      </w:pPr>
      <w:bookmarkStart w:id="3889" w:name="_Hlk531005715"/>
      <w:r w:rsidRPr="003B4362">
        <w:t>SUBPART Q:  RADIOLOGICAL MONITORING AND ANALYTICAL REQUIREMENTS</w:t>
      </w:r>
    </w:p>
    <w:p w14:paraId="4A1F72B8" w14:textId="77777777" w:rsidR="00C46B20" w:rsidRPr="003B4362" w:rsidRDefault="00C46B20" w:rsidP="00C46B20">
      <w:pPr>
        <w:rPr>
          <w:b/>
          <w:bCs/>
        </w:rPr>
      </w:pPr>
      <w:bookmarkStart w:id="3890" w:name="_Hlk9269516"/>
    </w:p>
    <w:bookmarkEnd w:id="3890"/>
    <w:p w14:paraId="58C121B3" w14:textId="77777777" w:rsidR="00AD24B5" w:rsidRPr="003B4362" w:rsidRDefault="00AD24B5" w:rsidP="00AD24B5">
      <w:pPr>
        <w:rPr>
          <w:b/>
          <w:bCs/>
        </w:rPr>
      </w:pPr>
      <w:r w:rsidRPr="003B4362">
        <w:rPr>
          <w:b/>
          <w:bCs/>
        </w:rPr>
        <w:t>Section 611.720  Analytical Methods</w:t>
      </w:r>
    </w:p>
    <w:p w14:paraId="0436A54D" w14:textId="77777777" w:rsidR="00AD24B5" w:rsidRDefault="00AD24B5" w:rsidP="00AD24B5">
      <w:pPr>
        <w:suppressAutoHyphens/>
        <w:ind w:left="1440" w:hanging="720"/>
      </w:pPr>
    </w:p>
    <w:p w14:paraId="3F702336" w14:textId="77777777" w:rsidR="00AD24B5" w:rsidRPr="003B4362" w:rsidRDefault="00AD24B5" w:rsidP="00AD24B5">
      <w:pPr>
        <w:suppressAutoHyphens/>
        <w:ind w:left="1440" w:hanging="720"/>
      </w:pPr>
      <w:r w:rsidRPr="003B4362">
        <w:t>a)</w:t>
      </w:r>
      <w:r w:rsidRPr="003B4362">
        <w:tab/>
        <w:t>A</w:t>
      </w:r>
      <w:bookmarkStart w:id="3891" w:name="_Hlk132810722"/>
      <w:r w:rsidRPr="003B4362">
        <w:t xml:space="preserve"> </w:t>
      </w:r>
      <w:bookmarkStart w:id="3892" w:name="_Hlk132810876"/>
      <w:r w:rsidRPr="003B4362">
        <w:t>certified laboratory</w:t>
      </w:r>
      <w:bookmarkEnd w:id="3892"/>
      <w:r w:rsidRPr="003B4362">
        <w:t xml:space="preserve"> must use specific methods or alternative methods the Agency approved under Section 611.480 to determine whether the supplier complies with Section 611.330</w:t>
      </w:r>
      <w:bookmarkEnd w:id="3891"/>
      <w:r w:rsidRPr="003B4362">
        <w:t>.</w:t>
      </w:r>
    </w:p>
    <w:p w14:paraId="4C0396D9" w14:textId="77777777" w:rsidR="00AD24B5" w:rsidRDefault="00AD24B5" w:rsidP="00AD24B5">
      <w:pPr>
        <w:suppressAutoHyphens/>
        <w:ind w:left="2160" w:hanging="720"/>
      </w:pPr>
    </w:p>
    <w:p w14:paraId="40BEE091" w14:textId="77777777" w:rsidR="00AD24B5" w:rsidRPr="003B4362" w:rsidRDefault="00AD24B5" w:rsidP="00AD24B5">
      <w:pPr>
        <w:suppressAutoHyphens/>
        <w:ind w:left="2160" w:hanging="720"/>
      </w:pPr>
      <w:r w:rsidRPr="003B4362">
        <w:t>1)</w:t>
      </w:r>
      <w:r w:rsidRPr="003B4362">
        <w:tab/>
        <w:t>Gross Alpha and Beta</w:t>
      </w:r>
    </w:p>
    <w:p w14:paraId="75B9FD6E" w14:textId="77777777" w:rsidR="00AD24B5" w:rsidRDefault="00AD24B5" w:rsidP="00AD24B5">
      <w:pPr>
        <w:suppressAutoHyphens/>
        <w:ind w:left="2880" w:hanging="720"/>
      </w:pPr>
    </w:p>
    <w:p w14:paraId="7B3C4E3B" w14:textId="77777777" w:rsidR="00AD24B5" w:rsidRPr="003B4362" w:rsidRDefault="00AD24B5" w:rsidP="00AD24B5">
      <w:pPr>
        <w:suppressAutoHyphens/>
        <w:ind w:left="2880" w:hanging="720"/>
      </w:pPr>
      <w:r w:rsidRPr="003B4362">
        <w:t>A)</w:t>
      </w:r>
      <w:r w:rsidRPr="003B4362">
        <w:tab/>
      </w:r>
      <w:bookmarkStart w:id="3893" w:name="_Hlk14358603"/>
      <w:r w:rsidRPr="003B4362">
        <w:t>Evaporation Methods</w:t>
      </w:r>
      <w:bookmarkEnd w:id="3893"/>
      <w:r w:rsidRPr="003B4362">
        <w:t xml:space="preserve">.  </w:t>
      </w:r>
      <w:bookmarkStart w:id="3894" w:name="_Hlk14360771"/>
      <w:r w:rsidRPr="003B4362">
        <w:t xml:space="preserve">SM 302 (71); SM 7110 B (85); SM 7110 B (91); SM 7110 B (96); SM 7110 B (00); USEPA 900.0 (80); </w:t>
      </w:r>
      <w:r w:rsidRPr="003B4362">
        <w:lastRenderedPageBreak/>
        <w:t xml:space="preserve">USEPA 900.0 (18); </w:t>
      </w:r>
      <w:bookmarkStart w:id="3895" w:name="_Hlk14367809"/>
      <w:r w:rsidRPr="003B4362">
        <w:t>USEPA 00-01 (84)</w:t>
      </w:r>
      <w:bookmarkEnd w:id="3895"/>
      <w:r w:rsidRPr="003B4362">
        <w:t xml:space="preserve">; </w:t>
      </w:r>
      <w:bookmarkStart w:id="3896" w:name="_Hlk14364964"/>
      <w:bookmarkStart w:id="3897" w:name="_Hlk14367649"/>
      <w:r w:rsidRPr="003B4362">
        <w:t>USEPA IRM (76), pages 1-3</w:t>
      </w:r>
      <w:bookmarkEnd w:id="3896"/>
      <w:r w:rsidRPr="003B4362">
        <w:t>; USEPA RCA (79), pages 1-5</w:t>
      </w:r>
      <w:bookmarkEnd w:id="3897"/>
      <w:r w:rsidRPr="003B4362">
        <w:t>; or USGS R1120-76</w:t>
      </w:r>
      <w:bookmarkEnd w:id="3894"/>
      <w:r w:rsidRPr="003B4362">
        <w:t>.</w:t>
      </w:r>
    </w:p>
    <w:p w14:paraId="53923594" w14:textId="77777777" w:rsidR="00AD24B5" w:rsidRDefault="00AD24B5" w:rsidP="00AD24B5">
      <w:pPr>
        <w:suppressAutoHyphens/>
        <w:ind w:left="2880" w:hanging="720"/>
      </w:pPr>
    </w:p>
    <w:p w14:paraId="2B1E4A41" w14:textId="77777777" w:rsidR="00AD24B5" w:rsidRPr="003B4362" w:rsidRDefault="00AD24B5" w:rsidP="00AD24B5">
      <w:pPr>
        <w:suppressAutoHyphens/>
        <w:ind w:left="2880" w:hanging="720"/>
      </w:pPr>
      <w:r w:rsidRPr="003B4362">
        <w:t>B)</w:t>
      </w:r>
      <w:r w:rsidRPr="003B4362">
        <w:tab/>
      </w:r>
      <w:bookmarkStart w:id="3898" w:name="_Hlk14360968"/>
      <w:r w:rsidRPr="003B4362">
        <w:t>Liquid Scintillation Methods</w:t>
      </w:r>
      <w:bookmarkEnd w:id="3898"/>
      <w:r w:rsidRPr="003B4362">
        <w:t xml:space="preserve">.  </w:t>
      </w:r>
      <w:bookmarkStart w:id="3899" w:name="_Hlk14361298"/>
      <w:r w:rsidRPr="003B4362">
        <w:t xml:space="preserve">ASTM D7283-17 or </w:t>
      </w:r>
      <w:bookmarkStart w:id="3900" w:name="_Hlk14368193"/>
      <w:r w:rsidRPr="003B4362">
        <w:t>SM 7110 D (17)</w:t>
      </w:r>
      <w:bookmarkEnd w:id="3899"/>
      <w:bookmarkEnd w:id="3900"/>
      <w:r w:rsidRPr="003B4362">
        <w:t>.</w:t>
      </w:r>
    </w:p>
    <w:p w14:paraId="44137123" w14:textId="77777777" w:rsidR="00AD24B5" w:rsidRDefault="00AD24B5" w:rsidP="00AD24B5">
      <w:pPr>
        <w:suppressAutoHyphens/>
        <w:ind w:left="2160" w:hanging="720"/>
      </w:pPr>
    </w:p>
    <w:p w14:paraId="38E8172B" w14:textId="77777777" w:rsidR="00AD24B5" w:rsidRPr="003B4362" w:rsidRDefault="00AD24B5" w:rsidP="00AD24B5">
      <w:pPr>
        <w:suppressAutoHyphens/>
        <w:ind w:left="2160" w:hanging="720"/>
      </w:pPr>
      <w:r w:rsidRPr="003B4362">
        <w:t>2)</w:t>
      </w:r>
      <w:r w:rsidRPr="003B4362">
        <w:tab/>
        <w:t xml:space="preserve">Gross Alpha.  Coprecipitation Methods.  </w:t>
      </w:r>
      <w:bookmarkStart w:id="3901" w:name="_Hlk14370578"/>
      <w:r w:rsidRPr="003B4362">
        <w:t>SM 7110 C (91), SM 7110 C (96), SM 7110 C (00)</w:t>
      </w:r>
      <w:bookmarkEnd w:id="3901"/>
      <w:r w:rsidRPr="003B4362">
        <w:t xml:space="preserve">, or </w:t>
      </w:r>
      <w:bookmarkStart w:id="3902" w:name="_Hlk14371680"/>
      <w:r w:rsidRPr="003B4362">
        <w:t>USEPA 00-02 (84)</w:t>
      </w:r>
      <w:bookmarkEnd w:id="3902"/>
      <w:r w:rsidRPr="003B4362">
        <w:t>.</w:t>
      </w:r>
    </w:p>
    <w:p w14:paraId="3ACDA317" w14:textId="77777777" w:rsidR="00AD24B5" w:rsidRDefault="00AD24B5" w:rsidP="00AD24B5">
      <w:pPr>
        <w:suppressAutoHyphens/>
        <w:ind w:left="2160" w:hanging="720"/>
      </w:pPr>
    </w:p>
    <w:p w14:paraId="7DF6745B" w14:textId="77777777" w:rsidR="00AD24B5" w:rsidRPr="003B4362" w:rsidRDefault="00AD24B5" w:rsidP="00AD24B5">
      <w:pPr>
        <w:suppressAutoHyphens/>
        <w:ind w:left="2160" w:hanging="720"/>
      </w:pPr>
      <w:r w:rsidRPr="003B4362">
        <w:t>3)</w:t>
      </w:r>
      <w:r w:rsidRPr="003B4362">
        <w:tab/>
        <w:t>Radium-226</w:t>
      </w:r>
    </w:p>
    <w:p w14:paraId="72DAC071" w14:textId="77777777" w:rsidR="00AD24B5" w:rsidRDefault="00AD24B5" w:rsidP="00AD24B5">
      <w:pPr>
        <w:suppressAutoHyphens/>
        <w:ind w:left="2880" w:hanging="720"/>
      </w:pPr>
    </w:p>
    <w:p w14:paraId="4D1592C8" w14:textId="77777777" w:rsidR="00AD24B5" w:rsidRPr="003B4362" w:rsidRDefault="00AD24B5" w:rsidP="00AD24B5">
      <w:pPr>
        <w:suppressAutoHyphens/>
        <w:ind w:left="2880" w:hanging="720"/>
      </w:pPr>
      <w:r w:rsidRPr="003B4362">
        <w:t>A)</w:t>
      </w:r>
      <w:r w:rsidRPr="003B4362">
        <w:tab/>
        <w:t xml:space="preserve">Radiochemical Methods.  </w:t>
      </w:r>
      <w:bookmarkStart w:id="3903" w:name="_Hlk14686442"/>
      <w:r w:rsidRPr="003B4362">
        <w:t>ASTM D2460-97; ASTM D2460-07</w:t>
      </w:r>
      <w:bookmarkEnd w:id="3903"/>
      <w:r w:rsidRPr="003B4362">
        <w:t xml:space="preserve">; </w:t>
      </w:r>
      <w:bookmarkStart w:id="3904" w:name="_Hlk14684846"/>
      <w:r w:rsidRPr="003B4362">
        <w:t>Georgia Radium (04)</w:t>
      </w:r>
      <w:bookmarkEnd w:id="3904"/>
      <w:r w:rsidRPr="003B4362">
        <w:t xml:space="preserve">; New York Radium (82); </w:t>
      </w:r>
      <w:bookmarkStart w:id="3905" w:name="_Hlk14692581"/>
      <w:r w:rsidRPr="003B4362">
        <w:t>SM 304</w:t>
      </w:r>
      <w:bookmarkEnd w:id="3905"/>
      <w:r w:rsidRPr="003B4362">
        <w:t xml:space="preserve"> (71); </w:t>
      </w:r>
      <w:bookmarkStart w:id="3906" w:name="_Hlk14683872"/>
      <w:r w:rsidRPr="003B4362">
        <w:t>SM 7500-Ra B (88); SM 7500-Ra B (93); SM 7500-Ra B (01)</w:t>
      </w:r>
      <w:bookmarkEnd w:id="3906"/>
      <w:r w:rsidRPr="003B4362">
        <w:t xml:space="preserve">; </w:t>
      </w:r>
      <w:bookmarkStart w:id="3907" w:name="_Hlk14691239"/>
      <w:bookmarkStart w:id="3908" w:name="_Hlk14690966"/>
      <w:r w:rsidRPr="003B4362">
        <w:t>USEPA 903.0 (80)</w:t>
      </w:r>
      <w:bookmarkEnd w:id="3907"/>
      <w:r w:rsidRPr="003B4362">
        <w:t xml:space="preserve">; </w:t>
      </w:r>
      <w:bookmarkStart w:id="3909" w:name="_Hlk14691704"/>
      <w:r w:rsidRPr="003B4362">
        <w:t>USEPA 903.0 (21); USEPA Ra-03 (84)</w:t>
      </w:r>
      <w:bookmarkEnd w:id="3909"/>
      <w:r w:rsidRPr="003B4362">
        <w:t>; USEPA IRM (76), pages 13-15</w:t>
      </w:r>
      <w:bookmarkEnd w:id="3908"/>
      <w:r w:rsidRPr="003B4362">
        <w:t xml:space="preserve">; USEPA RCA (79), pages 19-32; or </w:t>
      </w:r>
      <w:bookmarkStart w:id="3910" w:name="_Hlk14691905"/>
      <w:r w:rsidRPr="003B4362">
        <w:t>USGS R-1140-76</w:t>
      </w:r>
      <w:bookmarkEnd w:id="3910"/>
      <w:r w:rsidRPr="003B4362">
        <w:t>.</w:t>
      </w:r>
    </w:p>
    <w:p w14:paraId="4FACD381" w14:textId="77777777" w:rsidR="00AD24B5" w:rsidRDefault="00AD24B5" w:rsidP="00AD24B5">
      <w:pPr>
        <w:suppressAutoHyphens/>
        <w:ind w:left="2880" w:hanging="720"/>
      </w:pPr>
    </w:p>
    <w:p w14:paraId="343AD554" w14:textId="77777777" w:rsidR="00AD24B5" w:rsidRPr="003B4362" w:rsidRDefault="00AD24B5" w:rsidP="00AD24B5">
      <w:pPr>
        <w:suppressAutoHyphens/>
        <w:ind w:left="2880" w:hanging="720"/>
      </w:pPr>
      <w:r w:rsidRPr="003B4362">
        <w:t>B)</w:t>
      </w:r>
      <w:r w:rsidRPr="003B4362">
        <w:tab/>
      </w:r>
      <w:bookmarkStart w:id="3911" w:name="_Hlk14684905"/>
      <w:r w:rsidRPr="003B4362">
        <w:t>Radon Emanation</w:t>
      </w:r>
      <w:bookmarkEnd w:id="3911"/>
      <w:r w:rsidRPr="003B4362">
        <w:t xml:space="preserve"> Methods.  </w:t>
      </w:r>
      <w:bookmarkStart w:id="3912" w:name="_Hlk14686936"/>
      <w:r w:rsidRPr="003B4362">
        <w:t>ASTM D3454-97; ASTM D3454-05</w:t>
      </w:r>
      <w:bookmarkEnd w:id="3912"/>
      <w:r w:rsidRPr="003B4362">
        <w:t xml:space="preserve">; </w:t>
      </w:r>
      <w:bookmarkStart w:id="3913" w:name="_Hlk131504011"/>
      <w:bookmarkStart w:id="3914" w:name="_Hlk14687611"/>
      <w:r w:rsidRPr="003B4362">
        <w:t>ASTM D3454-18</w:t>
      </w:r>
      <w:bookmarkEnd w:id="3913"/>
      <w:r w:rsidRPr="003B4362">
        <w:t>; EML (97) Ra-04; EML (90) Ra-05</w:t>
      </w:r>
      <w:bookmarkEnd w:id="3914"/>
      <w:r w:rsidRPr="003B4362">
        <w:t xml:space="preserve">; SM 305 (71); </w:t>
      </w:r>
      <w:bookmarkStart w:id="3915" w:name="_Hlk14687384"/>
      <w:r w:rsidRPr="003B4362">
        <w:t xml:space="preserve">SM 7500-Ra C (88); </w:t>
      </w:r>
      <w:bookmarkStart w:id="3916" w:name="_Hlk14692731"/>
      <w:r w:rsidRPr="003B4362">
        <w:t>SM 7500-Ra C (93); SM 7500-Ra C (01)</w:t>
      </w:r>
      <w:bookmarkEnd w:id="3915"/>
      <w:bookmarkEnd w:id="3916"/>
      <w:r w:rsidRPr="003B4362">
        <w:t xml:space="preserve">; </w:t>
      </w:r>
      <w:bookmarkStart w:id="3917" w:name="_Hlk14691318"/>
      <w:bookmarkStart w:id="3918" w:name="_Hlk14691095"/>
      <w:r w:rsidRPr="003B4362">
        <w:t>USEPA 903.1 (80)</w:t>
      </w:r>
      <w:bookmarkEnd w:id="3917"/>
      <w:r w:rsidRPr="003B4362">
        <w:t xml:space="preserve">; </w:t>
      </w:r>
      <w:bookmarkStart w:id="3919" w:name="_Hlk14691728"/>
      <w:r w:rsidRPr="003B4362">
        <w:t>USEPA 903.1 (21); USEPA Ra-04 (84)</w:t>
      </w:r>
      <w:bookmarkEnd w:id="3919"/>
      <w:r w:rsidRPr="003B4362">
        <w:t>; USEPA IRM (76), pages 16-23</w:t>
      </w:r>
      <w:bookmarkEnd w:id="3918"/>
      <w:r w:rsidRPr="003B4362">
        <w:t xml:space="preserve">; or </w:t>
      </w:r>
      <w:bookmarkStart w:id="3920" w:name="_Hlk14691922"/>
      <w:r w:rsidRPr="003B4362">
        <w:t>USGS R-1141-76</w:t>
      </w:r>
      <w:bookmarkEnd w:id="3920"/>
      <w:r w:rsidRPr="003B4362">
        <w:t>.</w:t>
      </w:r>
    </w:p>
    <w:p w14:paraId="5016CCB5" w14:textId="77777777" w:rsidR="00AD24B5" w:rsidRDefault="00AD24B5" w:rsidP="00AD24B5">
      <w:pPr>
        <w:suppressAutoHyphens/>
        <w:ind w:left="2880" w:hanging="720"/>
      </w:pPr>
    </w:p>
    <w:p w14:paraId="15B829C0" w14:textId="77777777" w:rsidR="00AD24B5" w:rsidRPr="003B4362" w:rsidRDefault="00AD24B5" w:rsidP="00AD24B5">
      <w:pPr>
        <w:suppressAutoHyphens/>
        <w:ind w:left="2880" w:hanging="720"/>
      </w:pPr>
      <w:r w:rsidRPr="003B4362">
        <w:t>C)</w:t>
      </w:r>
      <w:r w:rsidRPr="003B4362">
        <w:tab/>
        <w:t xml:space="preserve">Gamma Spectrometry.  </w:t>
      </w:r>
      <w:bookmarkStart w:id="3921" w:name="_Hlk14689100"/>
      <w:r w:rsidRPr="003B4362">
        <w:t>SM 7500-Ra E (01)</w:t>
      </w:r>
      <w:bookmarkEnd w:id="3921"/>
      <w:r w:rsidRPr="003B4362">
        <w:t xml:space="preserve"> or SM 7500-Ra E (07).</w:t>
      </w:r>
    </w:p>
    <w:p w14:paraId="5526771A" w14:textId="77777777" w:rsidR="00AD24B5" w:rsidRDefault="00AD24B5" w:rsidP="00AD24B5">
      <w:pPr>
        <w:ind w:left="2160" w:hanging="720"/>
      </w:pPr>
    </w:p>
    <w:p w14:paraId="3FB3FDCE" w14:textId="77777777" w:rsidR="00AD24B5" w:rsidRPr="003B4362" w:rsidRDefault="00AD24B5" w:rsidP="00AD24B5">
      <w:pPr>
        <w:ind w:left="2160" w:hanging="720"/>
      </w:pPr>
      <w:r w:rsidRPr="003B4362">
        <w:t>4)</w:t>
      </w:r>
      <w:r w:rsidRPr="003B4362">
        <w:tab/>
        <w:t>Radium-228</w:t>
      </w:r>
    </w:p>
    <w:p w14:paraId="771CAE1C" w14:textId="77777777" w:rsidR="00AD24B5" w:rsidRDefault="00AD24B5" w:rsidP="00AD24B5">
      <w:pPr>
        <w:ind w:left="2880" w:hanging="720"/>
      </w:pPr>
    </w:p>
    <w:p w14:paraId="2250660E" w14:textId="77777777" w:rsidR="00AD24B5" w:rsidRPr="003B4362" w:rsidRDefault="00AD24B5" w:rsidP="00AD24B5">
      <w:pPr>
        <w:ind w:left="2880" w:hanging="720"/>
      </w:pPr>
      <w:r w:rsidRPr="003B4362">
        <w:t>A)</w:t>
      </w:r>
      <w:r w:rsidRPr="003B4362">
        <w:tab/>
        <w:t xml:space="preserve">Radiochemical Methods.  </w:t>
      </w:r>
      <w:bookmarkStart w:id="3922" w:name="_Hlk14696962"/>
      <w:r w:rsidRPr="003B4362">
        <w:t>Georgia Radium (04)</w:t>
      </w:r>
      <w:bookmarkEnd w:id="3922"/>
      <w:r w:rsidRPr="003B4362">
        <w:t xml:space="preserve">; </w:t>
      </w:r>
      <w:bookmarkStart w:id="3923" w:name="_Hlk14694668"/>
      <w:r w:rsidRPr="003B4362">
        <w:t>New Jersey Radium (90)</w:t>
      </w:r>
      <w:bookmarkEnd w:id="3923"/>
      <w:r w:rsidRPr="003B4362">
        <w:t xml:space="preserve">; </w:t>
      </w:r>
      <w:bookmarkStart w:id="3924" w:name="_Hlk14693974"/>
      <w:bookmarkStart w:id="3925" w:name="_Hlk14693863"/>
      <w:r w:rsidRPr="003B4362">
        <w:t>New York Radium (82)</w:t>
      </w:r>
      <w:bookmarkEnd w:id="3924"/>
      <w:r w:rsidRPr="003B4362">
        <w:t>; SM 7500-Ra D (88); SM 7500-Ra D (93); SM 7500-Ra D (01)</w:t>
      </w:r>
      <w:bookmarkEnd w:id="3925"/>
      <w:r w:rsidRPr="003B4362">
        <w:t xml:space="preserve">; </w:t>
      </w:r>
      <w:bookmarkStart w:id="3926" w:name="_Hlk14694164"/>
      <w:bookmarkStart w:id="3927" w:name="_Hlk14694035"/>
      <w:r w:rsidRPr="003B4362">
        <w:t>USEPA 904.0 (80)</w:t>
      </w:r>
      <w:bookmarkEnd w:id="3926"/>
      <w:r w:rsidRPr="003B4362">
        <w:t xml:space="preserve">; </w:t>
      </w:r>
      <w:bookmarkStart w:id="3928" w:name="_Hlk14694348"/>
      <w:r w:rsidRPr="004B63DB">
        <w:t xml:space="preserve">USEPA904.0 (22); </w:t>
      </w:r>
      <w:r w:rsidRPr="003B4362">
        <w:t>USEPA Ra-05 (90)</w:t>
      </w:r>
      <w:bookmarkEnd w:id="3928"/>
      <w:r w:rsidRPr="003B4362">
        <w:t>; USEPA IRM (76), pages 24-28</w:t>
      </w:r>
      <w:bookmarkEnd w:id="3927"/>
      <w:r w:rsidRPr="003B4362">
        <w:t xml:space="preserve">; </w:t>
      </w:r>
      <w:bookmarkStart w:id="3929" w:name="_Hlk14694260"/>
      <w:r w:rsidRPr="003B4362">
        <w:t>USEPA RCA (79), pages 19-32</w:t>
      </w:r>
      <w:bookmarkEnd w:id="3929"/>
      <w:r w:rsidRPr="003B4362">
        <w:t xml:space="preserve">; or </w:t>
      </w:r>
      <w:bookmarkStart w:id="3930" w:name="_Hlk14694615"/>
      <w:r w:rsidRPr="003B4362">
        <w:t>USGS R-1142-76</w:t>
      </w:r>
      <w:bookmarkEnd w:id="3930"/>
      <w:r w:rsidRPr="003B4362">
        <w:t>.</w:t>
      </w:r>
    </w:p>
    <w:p w14:paraId="0167E08F" w14:textId="77777777" w:rsidR="00AD24B5" w:rsidRDefault="00AD24B5" w:rsidP="00AD24B5">
      <w:pPr>
        <w:ind w:left="2880" w:hanging="720"/>
      </w:pPr>
    </w:p>
    <w:p w14:paraId="091E8DA4" w14:textId="77777777" w:rsidR="00AD24B5" w:rsidRPr="003B4362" w:rsidRDefault="00AD24B5" w:rsidP="00AD24B5">
      <w:pPr>
        <w:ind w:left="2880" w:hanging="720"/>
      </w:pPr>
      <w:r w:rsidRPr="003B4362">
        <w:t>B)</w:t>
      </w:r>
      <w:r w:rsidRPr="003B4362">
        <w:tab/>
        <w:t xml:space="preserve">Gamma Spectrometry.  </w:t>
      </w:r>
      <w:bookmarkStart w:id="3931" w:name="_Hlk14694924"/>
      <w:r w:rsidRPr="003B4362">
        <w:t>SM 7500-Ra E (01)</w:t>
      </w:r>
      <w:bookmarkEnd w:id="3931"/>
      <w:r w:rsidRPr="003B4362">
        <w:t xml:space="preserve"> or SM 7500-Ra E (07).</w:t>
      </w:r>
    </w:p>
    <w:p w14:paraId="742C8F30" w14:textId="77777777" w:rsidR="00AD24B5" w:rsidRDefault="00AD24B5" w:rsidP="00AD24B5">
      <w:pPr>
        <w:ind w:left="2160" w:hanging="720"/>
      </w:pPr>
    </w:p>
    <w:p w14:paraId="6C7E1C22" w14:textId="77777777" w:rsidR="00AD24B5" w:rsidRPr="003B4362" w:rsidRDefault="00AD24B5" w:rsidP="00AD24B5">
      <w:pPr>
        <w:ind w:left="2160" w:hanging="720"/>
      </w:pPr>
      <w:r w:rsidRPr="003B4362">
        <w:t>5)</w:t>
      </w:r>
      <w:r w:rsidRPr="003B4362">
        <w:tab/>
        <w:t>Uranium</w:t>
      </w:r>
    </w:p>
    <w:p w14:paraId="3D0A37F7" w14:textId="77777777" w:rsidR="00AD24B5" w:rsidRDefault="00AD24B5" w:rsidP="00AD24B5">
      <w:pPr>
        <w:ind w:left="2880" w:hanging="720"/>
      </w:pPr>
    </w:p>
    <w:p w14:paraId="4C11E30F" w14:textId="77777777" w:rsidR="00AD24B5" w:rsidRPr="003B4362" w:rsidRDefault="00AD24B5" w:rsidP="00AD24B5">
      <w:pPr>
        <w:ind w:left="2880" w:hanging="720"/>
      </w:pPr>
      <w:r w:rsidRPr="003B4362">
        <w:t>A)</w:t>
      </w:r>
      <w:r w:rsidRPr="003B4362">
        <w:tab/>
        <w:t xml:space="preserve">Radiochemical Methods.  </w:t>
      </w:r>
      <w:bookmarkStart w:id="3932" w:name="_Hlk14697840"/>
      <w:r w:rsidRPr="003B4362">
        <w:t>SM 7500-U B (88), SM 7500-U B (91), SM 7500-U B (96), SM 7500-U B (00)</w:t>
      </w:r>
      <w:bookmarkEnd w:id="3932"/>
      <w:r w:rsidRPr="003B4362">
        <w:t xml:space="preserve">, or </w:t>
      </w:r>
      <w:bookmarkStart w:id="3933" w:name="_Hlk14698607"/>
      <w:r w:rsidRPr="003B4362">
        <w:t>USEPA 908.0 (80)</w:t>
      </w:r>
      <w:bookmarkEnd w:id="3933"/>
      <w:r w:rsidRPr="003B4362">
        <w:t>.</w:t>
      </w:r>
    </w:p>
    <w:p w14:paraId="6540989A" w14:textId="77777777" w:rsidR="00AD24B5" w:rsidRDefault="00AD24B5" w:rsidP="00AD24B5">
      <w:pPr>
        <w:ind w:left="2880" w:hanging="720"/>
      </w:pPr>
    </w:p>
    <w:p w14:paraId="7A2B4A32" w14:textId="77777777" w:rsidR="00AD24B5" w:rsidRPr="003B4362" w:rsidRDefault="00AD24B5" w:rsidP="00AD24B5">
      <w:pPr>
        <w:ind w:left="2880" w:hanging="720"/>
      </w:pPr>
      <w:r w:rsidRPr="003B4362">
        <w:t>B)</w:t>
      </w:r>
      <w:r w:rsidRPr="003B4362">
        <w:tab/>
        <w:t xml:space="preserve">Fluorometric Methods.  </w:t>
      </w:r>
      <w:bookmarkStart w:id="3934" w:name="_Hlk14700509"/>
      <w:bookmarkStart w:id="3935" w:name="_Hlk14700991"/>
      <w:bookmarkStart w:id="3936" w:name="_Hlk14698220"/>
      <w:r w:rsidRPr="003B4362">
        <w:t>ASTM D2907-97</w:t>
      </w:r>
      <w:bookmarkEnd w:id="3934"/>
      <w:r w:rsidRPr="003B4362">
        <w:t>, EML (90) U-04, EML (97) U-04</w:t>
      </w:r>
      <w:bookmarkEnd w:id="3935"/>
      <w:r w:rsidRPr="003B4362">
        <w:t>, SM 7500-U C (88), SM 7500-U C (91), SM 7500-U C (96), SM 7500-U C (00)</w:t>
      </w:r>
      <w:bookmarkEnd w:id="3936"/>
      <w:r w:rsidRPr="003B4362">
        <w:t xml:space="preserve">, </w:t>
      </w:r>
      <w:bookmarkStart w:id="3937" w:name="_Hlk14700757"/>
      <w:r w:rsidRPr="003B4362">
        <w:t>USEPA 908.1 (80)</w:t>
      </w:r>
      <w:bookmarkEnd w:id="3937"/>
      <w:r w:rsidRPr="003B4362">
        <w:t xml:space="preserve">, </w:t>
      </w:r>
      <w:bookmarkStart w:id="3938" w:name="_Hlk14701293"/>
      <w:r w:rsidRPr="003B4362">
        <w:t>USGS R-1180-76, or USGS R-1181-76</w:t>
      </w:r>
      <w:bookmarkEnd w:id="3938"/>
      <w:r w:rsidRPr="003B4362">
        <w:t>.</w:t>
      </w:r>
    </w:p>
    <w:p w14:paraId="69CA62D6" w14:textId="77777777" w:rsidR="00AD24B5" w:rsidRDefault="00AD24B5" w:rsidP="00AD24B5">
      <w:pPr>
        <w:ind w:left="2880" w:hanging="720"/>
      </w:pPr>
    </w:p>
    <w:p w14:paraId="143EA38E" w14:textId="77777777" w:rsidR="00AD24B5" w:rsidRPr="003B4362" w:rsidRDefault="00AD24B5" w:rsidP="00AD24B5">
      <w:pPr>
        <w:ind w:left="2880" w:hanging="720"/>
      </w:pPr>
      <w:r w:rsidRPr="003B4362">
        <w:t>C)</w:t>
      </w:r>
      <w:r w:rsidRPr="003B4362">
        <w:tab/>
        <w:t xml:space="preserve">ICP-MS Methods.  </w:t>
      </w:r>
      <w:bookmarkStart w:id="3939" w:name="_Hlk14707263"/>
      <w:bookmarkStart w:id="3940" w:name="_Hlk14702702"/>
      <w:r w:rsidRPr="003B4362">
        <w:t>ASTM D5673-03, ASTM D5673-05, ASTM D5673-10</w:t>
      </w:r>
      <w:bookmarkEnd w:id="3939"/>
      <w:r w:rsidRPr="003B4362">
        <w:t>, ASTM D5673-16; SM 3125 (97)</w:t>
      </w:r>
      <w:bookmarkEnd w:id="3940"/>
      <w:r w:rsidRPr="003B4362">
        <w:t xml:space="preserve">; or </w:t>
      </w:r>
      <w:bookmarkStart w:id="3941" w:name="_Hlk14707355"/>
      <w:r w:rsidRPr="003B4362">
        <w:t>USEPA 200.8 (94)</w:t>
      </w:r>
      <w:bookmarkEnd w:id="3941"/>
      <w:r w:rsidRPr="003B4362">
        <w:t>.</w:t>
      </w:r>
    </w:p>
    <w:p w14:paraId="42154312" w14:textId="77777777" w:rsidR="00AD24B5" w:rsidRDefault="00AD24B5" w:rsidP="00AD24B5">
      <w:pPr>
        <w:ind w:left="2880" w:hanging="720"/>
      </w:pPr>
    </w:p>
    <w:p w14:paraId="44BAE421" w14:textId="77777777" w:rsidR="00AD24B5" w:rsidRPr="003B4362" w:rsidRDefault="00AD24B5" w:rsidP="00AD24B5">
      <w:pPr>
        <w:ind w:left="2880" w:hanging="720"/>
      </w:pPr>
      <w:r w:rsidRPr="003B4362">
        <w:t>D)</w:t>
      </w:r>
      <w:r w:rsidRPr="003B4362">
        <w:tab/>
        <w:t xml:space="preserve">Alpha Spectrometry.  </w:t>
      </w:r>
      <w:bookmarkStart w:id="3942" w:name="_Hlk14708365"/>
      <w:r w:rsidRPr="003B4362">
        <w:t>ASTM D3972-97; ASTM D3972-02; ASTM D3972-09</w:t>
      </w:r>
      <w:bookmarkEnd w:id="3942"/>
      <w:r w:rsidRPr="003B4362">
        <w:t xml:space="preserve">; </w:t>
      </w:r>
      <w:bookmarkStart w:id="3943" w:name="_Hlk14708784"/>
      <w:bookmarkStart w:id="3944" w:name="_Hlk14708438"/>
      <w:r w:rsidRPr="003B4362">
        <w:t>EML (90) U-02; EML (97) U-02</w:t>
      </w:r>
      <w:bookmarkEnd w:id="3943"/>
      <w:r w:rsidRPr="003B4362">
        <w:t xml:space="preserve">; </w:t>
      </w:r>
      <w:bookmarkStart w:id="3945" w:name="_Hlk14708506"/>
      <w:r w:rsidRPr="003B4362">
        <w:t>USEPA 00-07 (84)</w:t>
      </w:r>
      <w:bookmarkEnd w:id="3945"/>
      <w:r w:rsidRPr="003B4362">
        <w:t>; USEPA RCA (79), pages 33-48</w:t>
      </w:r>
      <w:bookmarkEnd w:id="3944"/>
      <w:r w:rsidRPr="003B4362">
        <w:t xml:space="preserve">; or </w:t>
      </w:r>
      <w:bookmarkStart w:id="3946" w:name="_Hlk14709934"/>
      <w:r w:rsidRPr="003B4362">
        <w:t>USGS R-1182-76</w:t>
      </w:r>
      <w:bookmarkEnd w:id="3946"/>
      <w:r w:rsidRPr="003B4362">
        <w:t>.</w:t>
      </w:r>
    </w:p>
    <w:p w14:paraId="50CE909E" w14:textId="77777777" w:rsidR="00AD24B5" w:rsidRDefault="00AD24B5" w:rsidP="00AD24B5">
      <w:pPr>
        <w:ind w:left="2880" w:hanging="720"/>
      </w:pPr>
    </w:p>
    <w:p w14:paraId="1F8ED3F1" w14:textId="77777777" w:rsidR="00AD24B5" w:rsidRPr="003B4362" w:rsidRDefault="00AD24B5" w:rsidP="00AD24B5">
      <w:pPr>
        <w:ind w:left="2880" w:hanging="720"/>
      </w:pPr>
      <w:r w:rsidRPr="003B4362">
        <w:t>E)</w:t>
      </w:r>
      <w:r w:rsidRPr="003B4362">
        <w:tab/>
        <w:t xml:space="preserve">Laser Spectrometry.  </w:t>
      </w:r>
      <w:bookmarkStart w:id="3947" w:name="_Hlk14710872"/>
      <w:r w:rsidRPr="003B4362">
        <w:t>ASTM D5174-97, ASTM D5174-02, or ASTM D5174-07</w:t>
      </w:r>
      <w:bookmarkEnd w:id="3947"/>
      <w:r w:rsidRPr="003B4362">
        <w:t>.</w:t>
      </w:r>
    </w:p>
    <w:p w14:paraId="45659686" w14:textId="77777777" w:rsidR="00AD24B5" w:rsidRDefault="00AD24B5" w:rsidP="00AD24B5">
      <w:pPr>
        <w:ind w:left="2880" w:hanging="720"/>
      </w:pPr>
    </w:p>
    <w:p w14:paraId="654C6194" w14:textId="77777777" w:rsidR="00AD24B5" w:rsidRPr="003B4362" w:rsidRDefault="00AD24B5" w:rsidP="00AD24B5">
      <w:pPr>
        <w:ind w:left="2880" w:hanging="720"/>
      </w:pPr>
      <w:r w:rsidRPr="003B4362">
        <w:t>F)</w:t>
      </w:r>
      <w:r w:rsidRPr="003B4362">
        <w:tab/>
      </w:r>
      <w:bookmarkStart w:id="3948" w:name="_Hlk14710130"/>
      <w:r w:rsidRPr="003B4362">
        <w:t>Alpha Liquid Scintillation Spectrometry</w:t>
      </w:r>
      <w:bookmarkEnd w:id="3948"/>
      <w:r w:rsidRPr="003B4362">
        <w:t xml:space="preserve">.  </w:t>
      </w:r>
      <w:bookmarkStart w:id="3949" w:name="_Hlk14710334"/>
      <w:r w:rsidRPr="003B4362">
        <w:t>ASTM D6239-09</w:t>
      </w:r>
      <w:bookmarkEnd w:id="3949"/>
      <w:r w:rsidRPr="003B4362">
        <w:t>.</w:t>
      </w:r>
    </w:p>
    <w:p w14:paraId="3E484EDF" w14:textId="77777777" w:rsidR="00AD24B5" w:rsidRDefault="00AD24B5" w:rsidP="00AD24B5">
      <w:pPr>
        <w:ind w:left="2160"/>
      </w:pPr>
    </w:p>
    <w:p w14:paraId="77068E42" w14:textId="77777777" w:rsidR="00AD24B5" w:rsidRPr="003B4362" w:rsidRDefault="00AD24B5" w:rsidP="00AD24B5">
      <w:pPr>
        <w:ind w:left="2160"/>
      </w:pPr>
      <w:r w:rsidRPr="003B4362">
        <w:t xml:space="preserve">BOARD NOTE:  </w:t>
      </w:r>
      <w:r w:rsidRPr="003B4362">
        <w:rPr>
          <w:szCs w:val="16"/>
        </w:rPr>
        <w:t>I</w:t>
      </w:r>
      <w:bookmarkStart w:id="3950" w:name="_Hlk132811539"/>
      <w:r w:rsidRPr="003B4362">
        <w:rPr>
          <w:szCs w:val="16"/>
        </w:rPr>
        <w:t xml:space="preserve">f the laboratory determines uranium (U) </w:t>
      </w:r>
      <w:bookmarkEnd w:id="3950"/>
      <w:r w:rsidRPr="003B4362">
        <w:rPr>
          <w:szCs w:val="16"/>
        </w:rPr>
        <w:t xml:space="preserve">by mass, </w:t>
      </w:r>
      <w:bookmarkStart w:id="3951" w:name="_Hlk132811621"/>
      <w:r w:rsidRPr="003B4362">
        <w:rPr>
          <w:szCs w:val="16"/>
        </w:rPr>
        <w:t>it must use a conversion factor of 0.67 pCi/µg U</w:t>
      </w:r>
      <w:bookmarkEnd w:id="3951"/>
      <w:r w:rsidRPr="003B4362">
        <w:rPr>
          <w:szCs w:val="16"/>
        </w:rPr>
        <w:t>.  T</w:t>
      </w:r>
      <w:bookmarkStart w:id="3952" w:name="_Hlk132811684"/>
      <w:r w:rsidRPr="003B4362">
        <w:rPr>
          <w:szCs w:val="16"/>
        </w:rPr>
        <w:t xml:space="preserve">his conversion factor reflects the characteristic 1:1 activity ratio of </w:t>
      </w:r>
      <w:r w:rsidRPr="003B4362">
        <w:rPr>
          <w:szCs w:val="16"/>
          <w:vertAlign w:val="superscript"/>
        </w:rPr>
        <w:t>234</w:t>
      </w:r>
      <w:r w:rsidRPr="003B4362">
        <w:rPr>
          <w:szCs w:val="16"/>
        </w:rPr>
        <w:t xml:space="preserve">U and </w:t>
      </w:r>
      <w:r w:rsidRPr="003B4362">
        <w:rPr>
          <w:szCs w:val="16"/>
          <w:vertAlign w:val="superscript"/>
        </w:rPr>
        <w:t>238</w:t>
      </w:r>
      <w:r w:rsidRPr="003B4362">
        <w:rPr>
          <w:szCs w:val="16"/>
        </w:rPr>
        <w:t>U of naturally occurring uranium</w:t>
      </w:r>
      <w:bookmarkEnd w:id="3952"/>
      <w:r w:rsidRPr="003B4362">
        <w:rPr>
          <w:szCs w:val="16"/>
        </w:rPr>
        <w:t>.</w:t>
      </w:r>
    </w:p>
    <w:p w14:paraId="518C8498" w14:textId="77777777" w:rsidR="00AD24B5" w:rsidRDefault="00AD24B5" w:rsidP="00AD24B5">
      <w:pPr>
        <w:ind w:left="2160" w:hanging="720"/>
      </w:pPr>
    </w:p>
    <w:p w14:paraId="16C7968F" w14:textId="77777777" w:rsidR="00AD24B5" w:rsidRPr="003B4362" w:rsidRDefault="00AD24B5" w:rsidP="00AD24B5">
      <w:pPr>
        <w:ind w:left="2160" w:hanging="720"/>
      </w:pPr>
      <w:r w:rsidRPr="003B4362">
        <w:t>6)</w:t>
      </w:r>
      <w:r w:rsidRPr="003B4362">
        <w:tab/>
        <w:t>Radioactive Cesium</w:t>
      </w:r>
    </w:p>
    <w:p w14:paraId="01E7AF8A" w14:textId="77777777" w:rsidR="00AD24B5" w:rsidRDefault="00AD24B5" w:rsidP="00AD24B5">
      <w:pPr>
        <w:ind w:left="2880" w:hanging="720"/>
      </w:pPr>
    </w:p>
    <w:p w14:paraId="3045EE77" w14:textId="77777777" w:rsidR="00AD24B5" w:rsidRPr="003B4362" w:rsidRDefault="00AD24B5" w:rsidP="00AD24B5">
      <w:pPr>
        <w:ind w:left="2880" w:hanging="720"/>
      </w:pPr>
      <w:r w:rsidRPr="003B4362">
        <w:t>A)</w:t>
      </w:r>
      <w:r w:rsidRPr="003B4362">
        <w:tab/>
        <w:t>Radiochemical</w:t>
      </w:r>
      <w:bookmarkStart w:id="3953" w:name="_Hlk14711798"/>
      <w:r w:rsidRPr="003B4362">
        <w:t xml:space="preserve"> Methods</w:t>
      </w:r>
      <w:bookmarkEnd w:id="3953"/>
      <w:r w:rsidRPr="003B4362">
        <w:t xml:space="preserve">.  </w:t>
      </w:r>
      <w:bookmarkStart w:id="3954" w:name="_Hlk14713968"/>
      <w:r w:rsidRPr="003B4362">
        <w:t>ASTM D2459-72</w:t>
      </w:r>
      <w:bookmarkEnd w:id="3954"/>
      <w:r w:rsidRPr="003B4362">
        <w:t>;</w:t>
      </w:r>
      <w:bookmarkStart w:id="3955" w:name="_Hlk14714197"/>
      <w:r w:rsidRPr="003B4362">
        <w:t xml:space="preserve"> SM 7500-Cs B (88), SM 7500-Cs B (93); SM 7500-Cs B (00)</w:t>
      </w:r>
      <w:bookmarkEnd w:id="3955"/>
      <w:r w:rsidRPr="003B4362">
        <w:t xml:space="preserve">; </w:t>
      </w:r>
      <w:bookmarkStart w:id="3956" w:name="_Hlk14715000"/>
      <w:bookmarkStart w:id="3957" w:name="_Hlk14714878"/>
      <w:r w:rsidRPr="003B4362">
        <w:t>USEPA 901.0 (80)</w:t>
      </w:r>
      <w:bookmarkEnd w:id="3956"/>
      <w:r w:rsidRPr="003B4362">
        <w:t>; USEPA IRM (76), pages 4-5</w:t>
      </w:r>
      <w:bookmarkEnd w:id="3957"/>
      <w:r w:rsidRPr="003B4362">
        <w:t xml:space="preserve">; or </w:t>
      </w:r>
      <w:bookmarkStart w:id="3958" w:name="_Hlk14715106"/>
      <w:r w:rsidRPr="003B4362">
        <w:t>USGS R-1111-76</w:t>
      </w:r>
      <w:bookmarkEnd w:id="3958"/>
      <w:r w:rsidRPr="003B4362">
        <w:t>.</w:t>
      </w:r>
    </w:p>
    <w:p w14:paraId="05DA20F4" w14:textId="77777777" w:rsidR="00AD24B5" w:rsidRDefault="00AD24B5" w:rsidP="00AD24B5">
      <w:pPr>
        <w:ind w:left="2880" w:hanging="720"/>
      </w:pPr>
    </w:p>
    <w:p w14:paraId="1C2EF354" w14:textId="77777777" w:rsidR="00AD24B5" w:rsidRPr="003B4362" w:rsidRDefault="00AD24B5" w:rsidP="00AD24B5">
      <w:pPr>
        <w:ind w:left="2880" w:hanging="720"/>
      </w:pPr>
      <w:r w:rsidRPr="003B4362">
        <w:t>B)</w:t>
      </w:r>
      <w:r w:rsidRPr="003B4362">
        <w:tab/>
        <w:t xml:space="preserve">Gamma Ray Spectrometry.  </w:t>
      </w:r>
      <w:bookmarkStart w:id="3959" w:name="_Hlk14716095"/>
      <w:r w:rsidRPr="003B4362">
        <w:t>ASTM D3649-91; ASTM D3649-98a; ASTM D3649-06</w:t>
      </w:r>
      <w:bookmarkEnd w:id="3959"/>
      <w:r w:rsidRPr="003B4362">
        <w:t xml:space="preserve">; </w:t>
      </w:r>
      <w:bookmarkStart w:id="3960" w:name="_Hlk14717021"/>
      <w:bookmarkStart w:id="3961" w:name="_Hlk14716248"/>
      <w:r w:rsidRPr="003B4362">
        <w:t>EML (90) Ga-01; EML (97) Ga-01-R</w:t>
      </w:r>
      <w:bookmarkEnd w:id="3960"/>
      <w:r w:rsidRPr="003B4362">
        <w:t>; SM 7120 (94); SM 7120 (97)</w:t>
      </w:r>
      <w:bookmarkEnd w:id="3961"/>
      <w:r w:rsidRPr="003B4362">
        <w:t>;</w:t>
      </w:r>
      <w:bookmarkStart w:id="3962" w:name="_Hlk14716425"/>
      <w:r w:rsidRPr="003B4362">
        <w:t xml:space="preserve"> </w:t>
      </w:r>
      <w:bookmarkEnd w:id="3962"/>
      <w:r w:rsidRPr="003B4362">
        <w:t xml:space="preserve">USEPA 901.1 (80); </w:t>
      </w:r>
      <w:bookmarkStart w:id="3963" w:name="_Hlk14716655"/>
      <w:r w:rsidRPr="003B4362">
        <w:t>USEPA RCA (79), pages 92-95</w:t>
      </w:r>
      <w:bookmarkEnd w:id="3963"/>
      <w:r w:rsidRPr="003B4362">
        <w:t xml:space="preserve">; or </w:t>
      </w:r>
      <w:bookmarkStart w:id="3964" w:name="_Hlk14716757"/>
      <w:r w:rsidRPr="003B4362">
        <w:t>USGS R-1110-76</w:t>
      </w:r>
      <w:bookmarkEnd w:id="3964"/>
      <w:r w:rsidRPr="003B4362">
        <w:t>.</w:t>
      </w:r>
    </w:p>
    <w:p w14:paraId="5039AA51" w14:textId="77777777" w:rsidR="00AD24B5" w:rsidRDefault="00AD24B5" w:rsidP="00AD24B5">
      <w:pPr>
        <w:ind w:left="2160" w:hanging="720"/>
      </w:pPr>
    </w:p>
    <w:p w14:paraId="4F47C63C" w14:textId="77777777" w:rsidR="00AD24B5" w:rsidRPr="003B4362" w:rsidRDefault="00AD24B5" w:rsidP="00AD24B5">
      <w:pPr>
        <w:ind w:left="2160" w:hanging="720"/>
      </w:pPr>
      <w:r w:rsidRPr="003B4362">
        <w:t>7)</w:t>
      </w:r>
      <w:r w:rsidRPr="003B4362">
        <w:tab/>
        <w:t>Radioactive Iodine</w:t>
      </w:r>
    </w:p>
    <w:p w14:paraId="0F8CB95A" w14:textId="77777777" w:rsidR="00AD24B5" w:rsidRDefault="00AD24B5" w:rsidP="00AD24B5">
      <w:pPr>
        <w:ind w:left="2880" w:hanging="720"/>
      </w:pPr>
    </w:p>
    <w:p w14:paraId="24AF6519" w14:textId="77777777" w:rsidR="00AD24B5" w:rsidRPr="003B4362" w:rsidRDefault="00AD24B5" w:rsidP="00AD24B5">
      <w:pPr>
        <w:ind w:left="2880" w:hanging="720"/>
      </w:pPr>
      <w:r w:rsidRPr="003B4362">
        <w:t>A)</w:t>
      </w:r>
      <w:r w:rsidRPr="003B4362">
        <w:tab/>
        <w:t xml:space="preserve">Radiochemical Methods.  </w:t>
      </w:r>
      <w:bookmarkStart w:id="3965" w:name="_Hlk14774029"/>
      <w:r w:rsidRPr="003B4362">
        <w:t>ASTM D3649-91; ASTM D3649-98a; ASTM D3649-06</w:t>
      </w:r>
      <w:bookmarkEnd w:id="3965"/>
      <w:r w:rsidRPr="003B4362">
        <w:t xml:space="preserve">; </w:t>
      </w:r>
      <w:bookmarkStart w:id="3966" w:name="_Hlk14774357"/>
      <w:r w:rsidRPr="003B4362">
        <w:t>SM 7500-I B (88); SM 7500-I B (93); SM 7500-I B (00)</w:t>
      </w:r>
      <w:bookmarkEnd w:id="3966"/>
      <w:r w:rsidRPr="003B4362">
        <w:t xml:space="preserve">; SM 7500-I C (88); SM 7500-I C (93); SM 7500-I C (00); SM 7500-I D (88); SM 7500-I D (93); SM 7500-I D (00); </w:t>
      </w:r>
      <w:bookmarkStart w:id="3967" w:name="_Hlk14775009"/>
      <w:r w:rsidRPr="003B4362">
        <w:t>USEPA 902.0 (80</w:t>
      </w:r>
      <w:bookmarkEnd w:id="3967"/>
      <w:r w:rsidRPr="003B4362">
        <w:t xml:space="preserve">); </w:t>
      </w:r>
      <w:bookmarkStart w:id="3968" w:name="_Hlk14774632"/>
      <w:r w:rsidRPr="003B4362">
        <w:t>USEPA IRM (76), pages 6-8; or USEPA IRM (76), pages 9-12</w:t>
      </w:r>
      <w:bookmarkEnd w:id="3968"/>
      <w:r w:rsidRPr="003B4362">
        <w:t>.</w:t>
      </w:r>
    </w:p>
    <w:p w14:paraId="77C63AC8" w14:textId="77777777" w:rsidR="00AD24B5" w:rsidRDefault="00AD24B5" w:rsidP="00AD24B5">
      <w:pPr>
        <w:ind w:left="2880" w:hanging="720"/>
      </w:pPr>
    </w:p>
    <w:p w14:paraId="0ACA0E89" w14:textId="77777777" w:rsidR="00AD24B5" w:rsidRPr="003B4362" w:rsidRDefault="00AD24B5" w:rsidP="00AD24B5">
      <w:pPr>
        <w:ind w:left="2880" w:hanging="720"/>
      </w:pPr>
      <w:r w:rsidRPr="003B4362">
        <w:t>B)</w:t>
      </w:r>
      <w:r w:rsidRPr="003B4362">
        <w:tab/>
        <w:t xml:space="preserve">Gamma Ray Spectrometry.  </w:t>
      </w:r>
      <w:bookmarkStart w:id="3969" w:name="_Hlk14775158"/>
      <w:r w:rsidRPr="003B4362">
        <w:t>ASTM D4785-93; ASTM D4785-00a; ASTM D4785-08</w:t>
      </w:r>
      <w:bookmarkEnd w:id="3969"/>
      <w:r w:rsidRPr="003B4362">
        <w:t xml:space="preserve">; </w:t>
      </w:r>
      <w:r w:rsidRPr="00A67AF5">
        <w:t xml:space="preserve">ASTM D4785-20; </w:t>
      </w:r>
      <w:r w:rsidRPr="003B4362">
        <w:t xml:space="preserve">EML (90) Ga-01; EML (97) Ga-01-R; SM 7120 (94); SM 7120 (97); </w:t>
      </w:r>
      <w:bookmarkStart w:id="3970" w:name="_Hlk14775611"/>
      <w:r w:rsidRPr="003B4362">
        <w:t>USEPA 901.1 (80)</w:t>
      </w:r>
      <w:bookmarkEnd w:id="3970"/>
      <w:r w:rsidRPr="003B4362">
        <w:t xml:space="preserve">; or </w:t>
      </w:r>
      <w:bookmarkStart w:id="3971" w:name="_Hlk14775461"/>
      <w:r w:rsidRPr="003B4362">
        <w:t>USEPA RCA (79), pages 92-95</w:t>
      </w:r>
      <w:bookmarkEnd w:id="3971"/>
      <w:r w:rsidRPr="003B4362">
        <w:t>.</w:t>
      </w:r>
    </w:p>
    <w:p w14:paraId="049C4543" w14:textId="77777777" w:rsidR="00AD24B5" w:rsidRDefault="00AD24B5" w:rsidP="00AD24B5">
      <w:pPr>
        <w:ind w:left="2160" w:hanging="720"/>
      </w:pPr>
    </w:p>
    <w:p w14:paraId="7A19C43F" w14:textId="77777777" w:rsidR="00AD24B5" w:rsidRPr="003B4362" w:rsidRDefault="00AD24B5" w:rsidP="00AD24B5">
      <w:pPr>
        <w:ind w:left="2160" w:hanging="720"/>
      </w:pPr>
      <w:r w:rsidRPr="003B4362">
        <w:lastRenderedPageBreak/>
        <w:t>8)</w:t>
      </w:r>
      <w:r w:rsidRPr="003B4362">
        <w:tab/>
        <w:t xml:space="preserve">Radioactive Strontium-89 and </w:t>
      </w:r>
      <w:r w:rsidRPr="003B4362">
        <w:noBreakHyphen/>
        <w:t xml:space="preserve">90.  Radiochemical Methods.  </w:t>
      </w:r>
      <w:bookmarkStart w:id="3972" w:name="_Hlk14779097"/>
      <w:bookmarkStart w:id="3973" w:name="_Hlk14778417"/>
      <w:r w:rsidRPr="003B4362">
        <w:t>EML (90) Sr-01; EML (97) Sr-01; EML (90) Sr-02; EML (97) Sr-02</w:t>
      </w:r>
      <w:bookmarkEnd w:id="3972"/>
      <w:r w:rsidRPr="003B4362">
        <w:t>; SM 303</w:t>
      </w:r>
      <w:bookmarkEnd w:id="3973"/>
      <w:r w:rsidRPr="003B4362">
        <w:t xml:space="preserve"> (71); </w:t>
      </w:r>
      <w:bookmarkStart w:id="3974" w:name="_Hlk14778780"/>
      <w:r w:rsidRPr="003B4362">
        <w:t>SM 7500-Sr B (88); SM 7500-Sr B (93); SM 7500-Sr B (01)</w:t>
      </w:r>
      <w:bookmarkEnd w:id="3974"/>
      <w:r w:rsidRPr="003B4362">
        <w:t xml:space="preserve">; </w:t>
      </w:r>
      <w:bookmarkStart w:id="3975" w:name="_Hlk14779330"/>
      <w:bookmarkStart w:id="3976" w:name="_Hlk14780743"/>
      <w:r w:rsidRPr="003B4362">
        <w:t>USEPA 905.0 (80)</w:t>
      </w:r>
      <w:bookmarkEnd w:id="3975"/>
      <w:r w:rsidRPr="003B4362">
        <w:t xml:space="preserve">; </w:t>
      </w:r>
      <w:bookmarkStart w:id="3977" w:name="_Hlk14779572"/>
      <w:r w:rsidRPr="003B4362">
        <w:t>USEPA Sr-04 (84)</w:t>
      </w:r>
      <w:bookmarkEnd w:id="3977"/>
      <w:r w:rsidRPr="003B4362">
        <w:t>; USEPA IRM (76), pages 29-33</w:t>
      </w:r>
      <w:bookmarkEnd w:id="3976"/>
      <w:r w:rsidRPr="003B4362">
        <w:t xml:space="preserve">; </w:t>
      </w:r>
      <w:bookmarkStart w:id="3978" w:name="_Hlk14779493"/>
      <w:r w:rsidRPr="003B4362">
        <w:t>USEPA RCA (79), pages 65-73</w:t>
      </w:r>
      <w:bookmarkEnd w:id="3978"/>
      <w:r w:rsidRPr="003B4362">
        <w:t xml:space="preserve">; or </w:t>
      </w:r>
      <w:bookmarkStart w:id="3979" w:name="_Hlk14779670"/>
      <w:r w:rsidRPr="003B4362">
        <w:t>USGS R-1160-76</w:t>
      </w:r>
      <w:bookmarkEnd w:id="3979"/>
      <w:r w:rsidRPr="003B4362">
        <w:t>.</w:t>
      </w:r>
    </w:p>
    <w:p w14:paraId="498AABD5" w14:textId="77777777" w:rsidR="00AD24B5" w:rsidRDefault="00AD24B5" w:rsidP="00AD24B5">
      <w:pPr>
        <w:ind w:left="2160" w:hanging="720"/>
      </w:pPr>
    </w:p>
    <w:p w14:paraId="67EEE976" w14:textId="77777777" w:rsidR="00AD24B5" w:rsidRPr="003B4362" w:rsidRDefault="00AD24B5" w:rsidP="00AD24B5">
      <w:pPr>
        <w:ind w:left="2160" w:hanging="720"/>
      </w:pPr>
      <w:r w:rsidRPr="003B4362">
        <w:t>9)</w:t>
      </w:r>
      <w:r w:rsidRPr="003B4362">
        <w:tab/>
        <w:t xml:space="preserve">Tritium.  </w:t>
      </w:r>
      <w:bookmarkStart w:id="3980" w:name="_Hlk14781392"/>
      <w:r w:rsidRPr="003B4362">
        <w:t>Liquid Scintillation</w:t>
      </w:r>
      <w:bookmarkEnd w:id="3980"/>
      <w:r w:rsidRPr="003B4362">
        <w:t xml:space="preserve">.  </w:t>
      </w:r>
      <w:bookmarkStart w:id="3981" w:name="_Hlk14781837"/>
      <w:r w:rsidRPr="003B4362">
        <w:t>ASTM D4107-91; ASTM D4107-98; ASTM D4107-08</w:t>
      </w:r>
      <w:bookmarkEnd w:id="3981"/>
      <w:r w:rsidRPr="003B4362">
        <w:t xml:space="preserve">; </w:t>
      </w:r>
      <w:r w:rsidRPr="00A67AF5">
        <w:t>ASTM D4107-20;</w:t>
      </w:r>
      <w:r>
        <w:t xml:space="preserve"> </w:t>
      </w:r>
      <w:r w:rsidRPr="00A67AF5">
        <w:t>SM</w:t>
      </w:r>
      <w:r w:rsidRPr="003B4362">
        <w:t xml:space="preserve"> 306 (71); </w:t>
      </w:r>
      <w:bookmarkStart w:id="3982" w:name="_Hlk14782101"/>
      <w:r w:rsidRPr="003B4362">
        <w:t>SM 7500-</w:t>
      </w:r>
      <w:r w:rsidRPr="003B4362">
        <w:rPr>
          <w:vertAlign w:val="superscript"/>
        </w:rPr>
        <w:t>3</w:t>
      </w:r>
      <w:r w:rsidRPr="003B4362">
        <w:t>H B (88); SM 7500-</w:t>
      </w:r>
      <w:r w:rsidRPr="003B4362">
        <w:rPr>
          <w:vertAlign w:val="superscript"/>
        </w:rPr>
        <w:t>3</w:t>
      </w:r>
      <w:r w:rsidRPr="003B4362">
        <w:t>H B (93); SM 7500-</w:t>
      </w:r>
      <w:r w:rsidRPr="003B4362">
        <w:rPr>
          <w:vertAlign w:val="superscript"/>
        </w:rPr>
        <w:t>3</w:t>
      </w:r>
      <w:r w:rsidRPr="003B4362">
        <w:t>H B (00)</w:t>
      </w:r>
      <w:bookmarkEnd w:id="3982"/>
      <w:r w:rsidRPr="003B4362">
        <w:t xml:space="preserve">; </w:t>
      </w:r>
      <w:bookmarkStart w:id="3983" w:name="_Hlk14782278"/>
      <w:bookmarkStart w:id="3984" w:name="_Hlk14782371"/>
      <w:bookmarkStart w:id="3985" w:name="_Hlk14782208"/>
      <w:r w:rsidRPr="003B4362">
        <w:t>USEPA 906.0 (80)</w:t>
      </w:r>
      <w:bookmarkEnd w:id="3983"/>
      <w:r w:rsidRPr="003B4362">
        <w:t>; USEPA H-02 (84)</w:t>
      </w:r>
      <w:bookmarkEnd w:id="3984"/>
      <w:r w:rsidRPr="003B4362">
        <w:t>; USEPA IRM (76), pages 34-37</w:t>
      </w:r>
      <w:bookmarkEnd w:id="3985"/>
      <w:r w:rsidRPr="003B4362">
        <w:t xml:space="preserve">; USEPA RCA (79), pages 87-91; or </w:t>
      </w:r>
      <w:bookmarkStart w:id="3986" w:name="_Hlk14782410"/>
      <w:r w:rsidRPr="003B4362">
        <w:t>USGS R-1171-76</w:t>
      </w:r>
      <w:bookmarkEnd w:id="3986"/>
      <w:r w:rsidRPr="003B4362">
        <w:t>.</w:t>
      </w:r>
    </w:p>
    <w:p w14:paraId="537F40F6" w14:textId="77777777" w:rsidR="00AD24B5" w:rsidRDefault="00AD24B5" w:rsidP="00AD24B5">
      <w:pPr>
        <w:ind w:left="2160" w:hanging="720"/>
      </w:pPr>
    </w:p>
    <w:p w14:paraId="53EC0930" w14:textId="77777777" w:rsidR="00AD24B5" w:rsidRPr="003B4362" w:rsidRDefault="00AD24B5" w:rsidP="00AD24B5">
      <w:pPr>
        <w:ind w:left="2160" w:hanging="720"/>
      </w:pPr>
      <w:r w:rsidRPr="003B4362">
        <w:t>10)</w:t>
      </w:r>
      <w:r w:rsidRPr="003B4362">
        <w:tab/>
        <w:t xml:space="preserve">Gamma Emitters.  </w:t>
      </w:r>
      <w:bookmarkStart w:id="3987" w:name="_Hlk14784077"/>
      <w:r w:rsidRPr="003B4362">
        <w:t>Gamma Ray Spectrometry</w:t>
      </w:r>
      <w:bookmarkEnd w:id="3987"/>
      <w:r w:rsidRPr="003B4362">
        <w:t xml:space="preserve">.  </w:t>
      </w:r>
      <w:bookmarkStart w:id="3988" w:name="_Hlk14785063"/>
      <w:r w:rsidRPr="003B4362">
        <w:t>ASTM D3649-91; ASTM D3649-98a; ASTM D3649-06</w:t>
      </w:r>
      <w:bookmarkEnd w:id="3988"/>
      <w:r w:rsidRPr="003B4362">
        <w:t xml:space="preserve">; </w:t>
      </w:r>
      <w:bookmarkStart w:id="3989" w:name="_Hlk14785149"/>
      <w:r w:rsidRPr="003B4362">
        <w:t>ASTM D4785-93; ASTM D4785-00a; ASTM D4785-08</w:t>
      </w:r>
      <w:bookmarkEnd w:id="3989"/>
      <w:r w:rsidRPr="003B4362">
        <w:t xml:space="preserve">; </w:t>
      </w:r>
      <w:bookmarkStart w:id="3990" w:name="_Hlk14785704"/>
      <w:bookmarkStart w:id="3991" w:name="_Hlk14785293"/>
      <w:r w:rsidRPr="00A67AF5">
        <w:t xml:space="preserve">ASTM D4785-20; </w:t>
      </w:r>
      <w:r w:rsidRPr="003B4362">
        <w:t>EML (90) Ga-01; EML (97) Ga-01-R</w:t>
      </w:r>
      <w:bookmarkEnd w:id="3990"/>
      <w:r w:rsidRPr="003B4362">
        <w:t>; SM 7120 (94); SM 7120 (97)</w:t>
      </w:r>
      <w:bookmarkEnd w:id="3991"/>
      <w:r w:rsidRPr="003B4362">
        <w:t xml:space="preserve">; </w:t>
      </w:r>
      <w:bookmarkStart w:id="3992" w:name="_Hlk14785522"/>
      <w:r w:rsidRPr="003B4362">
        <w:t>SM 7500-Cs B (88); SM 7500-Cs B (93); SM 7500-Cs B (00)</w:t>
      </w:r>
      <w:bookmarkEnd w:id="3992"/>
      <w:r w:rsidRPr="003B4362">
        <w:t xml:space="preserve">; </w:t>
      </w:r>
      <w:bookmarkStart w:id="3993" w:name="_Hlk14785601"/>
      <w:r w:rsidRPr="003B4362">
        <w:t>SM 7500-I B (88); SM 7500-I B (93); SM 7500-I B (00)</w:t>
      </w:r>
      <w:bookmarkEnd w:id="3993"/>
      <w:r w:rsidRPr="003B4362">
        <w:t xml:space="preserve">; </w:t>
      </w:r>
      <w:bookmarkStart w:id="3994" w:name="_Hlk14785799"/>
      <w:r w:rsidRPr="003B4362">
        <w:t>USEPA 901.0 (80); USEPA 901.1 (80); USEPA 902.0 (80)</w:t>
      </w:r>
      <w:bookmarkEnd w:id="3994"/>
      <w:r w:rsidRPr="003B4362">
        <w:t xml:space="preserve">; </w:t>
      </w:r>
      <w:bookmarkStart w:id="3995" w:name="_Hlk14785875"/>
      <w:r w:rsidRPr="003B4362">
        <w:t>USEPA RCA (79), pages 92-95</w:t>
      </w:r>
      <w:bookmarkEnd w:id="3995"/>
      <w:r w:rsidRPr="003B4362">
        <w:t xml:space="preserve">; or </w:t>
      </w:r>
      <w:bookmarkStart w:id="3996" w:name="_Hlk14785923"/>
      <w:r w:rsidRPr="003B4362">
        <w:t>USGS R-1110-76</w:t>
      </w:r>
      <w:bookmarkEnd w:id="3996"/>
      <w:r w:rsidRPr="003B4362">
        <w:t>.</w:t>
      </w:r>
    </w:p>
    <w:p w14:paraId="21295EE4" w14:textId="77777777" w:rsidR="00AD24B5" w:rsidRDefault="00AD24B5" w:rsidP="00AD24B5">
      <w:pPr>
        <w:suppressAutoHyphens/>
        <w:ind w:left="1440" w:hanging="720"/>
      </w:pPr>
    </w:p>
    <w:p w14:paraId="4B2A0C3F" w14:textId="77777777" w:rsidR="00AD24B5" w:rsidRPr="003B4362" w:rsidRDefault="00AD24B5" w:rsidP="00AD24B5">
      <w:pPr>
        <w:suppressAutoHyphens/>
        <w:ind w:left="1440" w:hanging="720"/>
      </w:pPr>
      <w:r w:rsidRPr="003B4362">
        <w:t>b)</w:t>
      </w:r>
      <w:r w:rsidRPr="003B4362">
        <w:tab/>
        <w:t>W</w:t>
      </w:r>
      <w:bookmarkStart w:id="3997" w:name="_Hlk132812614"/>
      <w:r w:rsidRPr="003B4362">
        <w:t>hen the laboratory must identify and measure radionuclides other than those in subsection (a)</w:t>
      </w:r>
      <w:bookmarkEnd w:id="3997"/>
      <w:r w:rsidRPr="003B4362">
        <w:t xml:space="preserve">, </w:t>
      </w:r>
      <w:bookmarkStart w:id="3998" w:name="_Hlk132812727"/>
      <w:r w:rsidRPr="003B4362">
        <w:t xml:space="preserve">it must use methods from either of two sources, incorporated by reference in Section 611.102, </w:t>
      </w:r>
      <w:bookmarkStart w:id="3999" w:name="_Hlk132812962"/>
      <w:bookmarkEnd w:id="3998"/>
      <w:r w:rsidRPr="003B4362">
        <w:t xml:space="preserve">except </w:t>
      </w:r>
      <w:r w:rsidRPr="003B4362">
        <w:rPr>
          <w:spacing w:val="-3"/>
        </w:rPr>
        <w:t xml:space="preserve">if the Agency approves </w:t>
      </w:r>
      <w:r w:rsidRPr="003B4362">
        <w:t>alternative methods under Section 611.480</w:t>
      </w:r>
      <w:bookmarkEnd w:id="3999"/>
      <w:r w:rsidRPr="003B4362">
        <w:t>:</w:t>
      </w:r>
    </w:p>
    <w:p w14:paraId="2724A84D" w14:textId="77777777" w:rsidR="00AD24B5" w:rsidRDefault="00AD24B5" w:rsidP="00AD24B5">
      <w:pPr>
        <w:suppressAutoHyphens/>
        <w:ind w:left="2160" w:hanging="720"/>
      </w:pPr>
    </w:p>
    <w:p w14:paraId="44595C87" w14:textId="77777777" w:rsidR="00AD24B5" w:rsidRPr="003B4362" w:rsidRDefault="00AD24B5" w:rsidP="00AD24B5">
      <w:pPr>
        <w:suppressAutoHyphens/>
        <w:ind w:left="2160" w:hanging="720"/>
      </w:pPr>
      <w:r w:rsidRPr="003B4362">
        <w:t>1)</w:t>
      </w:r>
      <w:r w:rsidRPr="003B4362">
        <w:tab/>
      </w:r>
      <w:bookmarkStart w:id="4000" w:name="_Hlk14787061"/>
      <w:r w:rsidRPr="003B4362">
        <w:t>USEPA ARP (73)</w:t>
      </w:r>
      <w:bookmarkEnd w:id="4000"/>
      <w:r w:rsidRPr="003B4362">
        <w:t>.</w:t>
      </w:r>
    </w:p>
    <w:p w14:paraId="333F769E" w14:textId="77777777" w:rsidR="00AD24B5" w:rsidRDefault="00AD24B5" w:rsidP="00AD24B5">
      <w:pPr>
        <w:suppressAutoHyphens/>
        <w:ind w:left="2160" w:hanging="720"/>
      </w:pPr>
    </w:p>
    <w:p w14:paraId="24B6617E" w14:textId="77777777" w:rsidR="00AD24B5" w:rsidRPr="003B4362" w:rsidRDefault="00AD24B5" w:rsidP="00AD24B5">
      <w:pPr>
        <w:suppressAutoHyphens/>
        <w:ind w:left="2160" w:hanging="720"/>
      </w:pPr>
      <w:r w:rsidRPr="003B4362">
        <w:t>2)</w:t>
      </w:r>
      <w:r w:rsidRPr="003B4362">
        <w:tab/>
      </w:r>
      <w:bookmarkStart w:id="4001" w:name="_Hlk16008880"/>
      <w:bookmarkStart w:id="4002" w:name="_Hlk14787115"/>
      <w:r w:rsidRPr="003B4362">
        <w:t>EML (90) or EML (97)</w:t>
      </w:r>
      <w:bookmarkEnd w:id="4001"/>
      <w:bookmarkEnd w:id="4002"/>
      <w:r w:rsidRPr="003B4362">
        <w:t>.</w:t>
      </w:r>
    </w:p>
    <w:p w14:paraId="03C6ED4D" w14:textId="77777777" w:rsidR="00AD24B5" w:rsidRDefault="00AD24B5" w:rsidP="00AD24B5">
      <w:pPr>
        <w:suppressAutoHyphens/>
        <w:ind w:left="1440" w:hanging="720"/>
      </w:pPr>
    </w:p>
    <w:p w14:paraId="018A643D" w14:textId="77777777" w:rsidR="00AD24B5" w:rsidRPr="003B4362" w:rsidRDefault="00AD24B5" w:rsidP="00AD24B5">
      <w:pPr>
        <w:suppressAutoHyphens/>
        <w:ind w:left="1440" w:hanging="720"/>
      </w:pPr>
      <w:r w:rsidRPr="003B4362">
        <w:t>c)</w:t>
      </w:r>
      <w:r w:rsidRPr="003B4362">
        <w:tab/>
        <w:t>F</w:t>
      </w:r>
      <w:bookmarkStart w:id="4003" w:name="_Hlk132813335"/>
      <w:r w:rsidRPr="003B4362">
        <w:t>or monitoring radioactivity</w:t>
      </w:r>
      <w:bookmarkEnd w:id="4003"/>
      <w:r w:rsidRPr="003B4362">
        <w:t xml:space="preserve"> concentrations in drinking water, </w:t>
      </w:r>
      <w:bookmarkStart w:id="4004" w:name="_Hlk132813464"/>
      <w:r w:rsidRPr="003B4362">
        <w:t>a detection limit defines the required sensitivity of the radio analysis</w:t>
      </w:r>
      <w:bookmarkEnd w:id="4004"/>
      <w:r w:rsidRPr="003B4362">
        <w:t>.  T</w:t>
      </w:r>
      <w:bookmarkStart w:id="4005" w:name="_Hlk132813523"/>
      <w:r w:rsidRPr="003B4362">
        <w:t xml:space="preserve">he detection limit is the concentration a laboratory can measure </w:t>
      </w:r>
      <w:bookmarkEnd w:id="4005"/>
      <w:r w:rsidRPr="003B4362">
        <w:t>with a precision of plus or minus 100 percent at the 95 percent confidence level (1.96σ, where σ is the standard deviation of the net counting rate of the sample).</w:t>
      </w:r>
    </w:p>
    <w:p w14:paraId="353433A7" w14:textId="77777777" w:rsidR="00AD24B5" w:rsidRDefault="00AD24B5" w:rsidP="00AD24B5">
      <w:pPr>
        <w:suppressAutoHyphens/>
        <w:ind w:left="2160" w:hanging="720"/>
      </w:pPr>
    </w:p>
    <w:p w14:paraId="2EAE700D" w14:textId="77777777" w:rsidR="00AD24B5" w:rsidRDefault="00AD24B5" w:rsidP="00AD24B5">
      <w:pPr>
        <w:suppressAutoHyphens/>
        <w:ind w:left="2160" w:hanging="720"/>
      </w:pPr>
      <w:r w:rsidRPr="003B4362">
        <w:t>1)</w:t>
      </w:r>
      <w:r w:rsidRPr="003B4362">
        <w:tab/>
        <w:t>W</w:t>
      </w:r>
      <w:bookmarkStart w:id="4006" w:name="_Hlk132816400"/>
      <w:r w:rsidRPr="003B4362">
        <w:t>hen determining compliance</w:t>
      </w:r>
      <w:bookmarkEnd w:id="4006"/>
      <w:r w:rsidRPr="003B4362">
        <w:t xml:space="preserve"> with Section 611.330(b), (c), and (e), the detection limit </w:t>
      </w:r>
      <w:bookmarkStart w:id="4007" w:name="_Hlk132816457"/>
      <w:r w:rsidRPr="003B4362">
        <w:t>must not exceed certain concentrations</w:t>
      </w:r>
      <w:bookmarkEnd w:id="4007"/>
      <w:r w:rsidRPr="003B4362">
        <w:t>:</w:t>
      </w:r>
    </w:p>
    <w:p w14:paraId="750D74A7" w14:textId="77777777" w:rsidR="00AD24B5" w:rsidRPr="003B4362" w:rsidRDefault="00AD24B5" w:rsidP="00AD24B5">
      <w:pPr>
        <w:suppressAutoHyphens/>
        <w:ind w:left="2160" w:hanging="720"/>
      </w:pPr>
    </w:p>
    <w:tbl>
      <w:tblPr>
        <w:tblW w:w="0" w:type="auto"/>
        <w:tblInd w:w="2880" w:type="dxa"/>
        <w:tblLayout w:type="fixed"/>
        <w:tblCellMar>
          <w:left w:w="0" w:type="dxa"/>
          <w:right w:w="115" w:type="dxa"/>
        </w:tblCellMar>
        <w:tblLook w:val="0000" w:firstRow="0" w:lastRow="0" w:firstColumn="0" w:lastColumn="0" w:noHBand="0" w:noVBand="0"/>
      </w:tblPr>
      <w:tblGrid>
        <w:gridCol w:w="2256"/>
        <w:gridCol w:w="2616"/>
      </w:tblGrid>
      <w:tr w:rsidR="00AD24B5" w:rsidRPr="003B4362" w14:paraId="77826CD3" w14:textId="77777777" w:rsidTr="00B46386">
        <w:tc>
          <w:tcPr>
            <w:tcW w:w="2256" w:type="dxa"/>
          </w:tcPr>
          <w:p w14:paraId="20412FA1" w14:textId="77777777" w:rsidR="00AD24B5" w:rsidRPr="003B4362" w:rsidRDefault="00AD24B5" w:rsidP="00B46386">
            <w:pPr>
              <w:keepNext/>
              <w:keepLines/>
            </w:pPr>
            <w:r w:rsidRPr="003B4362">
              <w:t>Contaminant</w:t>
            </w:r>
          </w:p>
        </w:tc>
        <w:tc>
          <w:tcPr>
            <w:tcW w:w="2616" w:type="dxa"/>
          </w:tcPr>
          <w:p w14:paraId="7FCD0695" w14:textId="77777777" w:rsidR="00AD24B5" w:rsidRPr="003B4362" w:rsidRDefault="00AD24B5" w:rsidP="00B46386">
            <w:pPr>
              <w:keepNext/>
              <w:keepLines/>
              <w:suppressAutoHyphens/>
            </w:pPr>
            <w:r w:rsidRPr="003B4362">
              <w:t>Detection Limit</w:t>
            </w:r>
          </w:p>
        </w:tc>
      </w:tr>
      <w:tr w:rsidR="00AD24B5" w:rsidRPr="003B4362" w14:paraId="571024F0" w14:textId="77777777" w:rsidTr="00B46386">
        <w:tc>
          <w:tcPr>
            <w:tcW w:w="2256" w:type="dxa"/>
          </w:tcPr>
          <w:p w14:paraId="6195CDAA" w14:textId="77777777" w:rsidR="00AD24B5" w:rsidRPr="003B4362" w:rsidRDefault="00AD24B5" w:rsidP="00B46386">
            <w:pPr>
              <w:suppressAutoHyphens/>
            </w:pPr>
            <w:r w:rsidRPr="003B4362">
              <w:t>Gross alpha particle activity</w:t>
            </w:r>
          </w:p>
        </w:tc>
        <w:tc>
          <w:tcPr>
            <w:tcW w:w="2616" w:type="dxa"/>
          </w:tcPr>
          <w:p w14:paraId="4AFFEC11" w14:textId="77777777" w:rsidR="00AD24B5" w:rsidRPr="003B4362" w:rsidRDefault="00AD24B5" w:rsidP="00B46386">
            <w:pPr>
              <w:suppressAutoHyphens/>
            </w:pPr>
            <w:r w:rsidRPr="003B4362">
              <w:t>3 pCi/ L</w:t>
            </w:r>
          </w:p>
        </w:tc>
      </w:tr>
      <w:tr w:rsidR="00AD24B5" w:rsidRPr="003B4362" w14:paraId="5DFD3D96" w14:textId="77777777" w:rsidTr="00B46386">
        <w:tc>
          <w:tcPr>
            <w:tcW w:w="2256" w:type="dxa"/>
          </w:tcPr>
          <w:p w14:paraId="2165E015" w14:textId="77777777" w:rsidR="00AD24B5" w:rsidRPr="003B4362" w:rsidRDefault="00AD24B5" w:rsidP="00B46386">
            <w:r w:rsidRPr="003B4362">
              <w:t>Radium-226</w:t>
            </w:r>
          </w:p>
        </w:tc>
        <w:tc>
          <w:tcPr>
            <w:tcW w:w="2616" w:type="dxa"/>
          </w:tcPr>
          <w:p w14:paraId="5C5257C0" w14:textId="77777777" w:rsidR="00AD24B5" w:rsidRPr="003B4362" w:rsidRDefault="00AD24B5" w:rsidP="00B46386">
            <w:r w:rsidRPr="003B4362">
              <w:t>1 pCi/ L</w:t>
            </w:r>
          </w:p>
        </w:tc>
      </w:tr>
      <w:tr w:rsidR="00AD24B5" w:rsidRPr="003B4362" w14:paraId="6446E0A8" w14:textId="77777777" w:rsidTr="00B46386">
        <w:tc>
          <w:tcPr>
            <w:tcW w:w="2256" w:type="dxa"/>
          </w:tcPr>
          <w:p w14:paraId="57307F5A" w14:textId="77777777" w:rsidR="00AD24B5" w:rsidRPr="003B4362" w:rsidRDefault="00AD24B5" w:rsidP="00B46386">
            <w:pPr>
              <w:suppressAutoHyphens/>
            </w:pPr>
            <w:r w:rsidRPr="003B4362">
              <w:t>Radium-228</w:t>
            </w:r>
          </w:p>
        </w:tc>
        <w:tc>
          <w:tcPr>
            <w:tcW w:w="2616" w:type="dxa"/>
          </w:tcPr>
          <w:p w14:paraId="7A92940E" w14:textId="77777777" w:rsidR="00AD24B5" w:rsidRPr="003B4362" w:rsidRDefault="00AD24B5" w:rsidP="00B46386">
            <w:pPr>
              <w:suppressAutoHyphens/>
            </w:pPr>
            <w:r w:rsidRPr="003B4362">
              <w:t>1 pCi/ L</w:t>
            </w:r>
          </w:p>
        </w:tc>
      </w:tr>
      <w:tr w:rsidR="00AD24B5" w:rsidRPr="003B4362" w14:paraId="18D9772C" w14:textId="77777777" w:rsidTr="00B46386">
        <w:tc>
          <w:tcPr>
            <w:tcW w:w="2256" w:type="dxa"/>
          </w:tcPr>
          <w:p w14:paraId="0E258BBD" w14:textId="77777777" w:rsidR="00AD24B5" w:rsidRPr="003B4362" w:rsidRDefault="00AD24B5" w:rsidP="00B46386">
            <w:pPr>
              <w:suppressAutoHyphens/>
            </w:pPr>
            <w:r w:rsidRPr="003B4362">
              <w:t>Uranium</w:t>
            </w:r>
          </w:p>
        </w:tc>
        <w:tc>
          <w:tcPr>
            <w:tcW w:w="2616" w:type="dxa"/>
          </w:tcPr>
          <w:p w14:paraId="516E8B0E" w14:textId="77777777" w:rsidR="00AD24B5" w:rsidRPr="003B4362" w:rsidRDefault="00AD24B5" w:rsidP="00B46386">
            <w:r w:rsidRPr="003B4362">
              <w:t>1 µg/ L</w:t>
            </w:r>
          </w:p>
        </w:tc>
      </w:tr>
    </w:tbl>
    <w:p w14:paraId="69BD99B7" w14:textId="77777777" w:rsidR="00AD24B5" w:rsidRDefault="00AD24B5" w:rsidP="00AD24B5">
      <w:pPr>
        <w:suppressAutoHyphens/>
        <w:ind w:left="2160"/>
      </w:pPr>
    </w:p>
    <w:p w14:paraId="29BEED4E" w14:textId="77777777" w:rsidR="00AD24B5" w:rsidRPr="003B4362" w:rsidRDefault="00AD24B5" w:rsidP="00AD24B5">
      <w:pPr>
        <w:suppressAutoHyphens/>
        <w:ind w:left="2160"/>
      </w:pPr>
      <w:r w:rsidRPr="003B4362">
        <w:lastRenderedPageBreak/>
        <w:t xml:space="preserve">BOARD NOTE:  </w:t>
      </w:r>
      <w:r w:rsidRPr="003B4362">
        <w:rPr>
          <w:spacing w:val="-3"/>
        </w:rPr>
        <w:t xml:space="preserve">This subsection (c)(1) derives </w:t>
      </w:r>
      <w:r w:rsidRPr="003B4362">
        <w:t>from 40 CFR 141.25(c) Table B.</w:t>
      </w:r>
    </w:p>
    <w:p w14:paraId="1CA28B6D" w14:textId="77777777" w:rsidR="00AD24B5" w:rsidRDefault="00AD24B5" w:rsidP="00AD24B5">
      <w:pPr>
        <w:suppressAutoHyphens/>
        <w:ind w:left="2160" w:hanging="720"/>
      </w:pPr>
    </w:p>
    <w:p w14:paraId="22CB9005" w14:textId="77777777" w:rsidR="00AD24B5" w:rsidRDefault="00AD24B5" w:rsidP="00AD24B5">
      <w:pPr>
        <w:suppressAutoHyphens/>
        <w:ind w:left="2160" w:hanging="720"/>
      </w:pPr>
      <w:r w:rsidRPr="003B4362">
        <w:t>2)</w:t>
      </w:r>
      <w:r w:rsidRPr="003B4362">
        <w:tab/>
        <w:t>When determining compliance with Section 611.330(d), the detection limits must not exceed certain concentrations:</w:t>
      </w:r>
    </w:p>
    <w:p w14:paraId="7660C4DD" w14:textId="77777777" w:rsidR="00AD24B5" w:rsidRPr="003B4362" w:rsidRDefault="00AD24B5" w:rsidP="00AD24B5">
      <w:pPr>
        <w:suppressAutoHyphens/>
        <w:ind w:left="2160" w:hanging="720"/>
      </w:pPr>
    </w:p>
    <w:tbl>
      <w:tblPr>
        <w:tblW w:w="0" w:type="auto"/>
        <w:tblInd w:w="2880" w:type="dxa"/>
        <w:tblLayout w:type="fixed"/>
        <w:tblCellMar>
          <w:left w:w="0" w:type="dxa"/>
          <w:right w:w="115" w:type="dxa"/>
        </w:tblCellMar>
        <w:tblLook w:val="0000" w:firstRow="0" w:lastRow="0" w:firstColumn="0" w:lastColumn="0" w:noHBand="0" w:noVBand="0"/>
      </w:tblPr>
      <w:tblGrid>
        <w:gridCol w:w="2256"/>
        <w:gridCol w:w="2616"/>
      </w:tblGrid>
      <w:tr w:rsidR="00AD24B5" w:rsidRPr="003B4362" w14:paraId="7EBA1844" w14:textId="77777777" w:rsidTr="00B46386">
        <w:tc>
          <w:tcPr>
            <w:tcW w:w="2256" w:type="dxa"/>
          </w:tcPr>
          <w:p w14:paraId="796D4333" w14:textId="77777777" w:rsidR="00AD24B5" w:rsidRPr="003B4362" w:rsidRDefault="00AD24B5" w:rsidP="00B46386">
            <w:pPr>
              <w:keepNext/>
              <w:keepLines/>
              <w:suppressAutoHyphens/>
            </w:pPr>
            <w:r w:rsidRPr="003B4362">
              <w:t>Radionuclide</w:t>
            </w:r>
          </w:p>
        </w:tc>
        <w:tc>
          <w:tcPr>
            <w:tcW w:w="2616" w:type="dxa"/>
          </w:tcPr>
          <w:p w14:paraId="6FB7F189" w14:textId="77777777" w:rsidR="00AD24B5" w:rsidRPr="003B4362" w:rsidRDefault="00AD24B5" w:rsidP="00B46386">
            <w:pPr>
              <w:keepNext/>
              <w:keepLines/>
              <w:suppressAutoHyphens/>
            </w:pPr>
            <w:r w:rsidRPr="003B4362">
              <w:t>Detection Limit</w:t>
            </w:r>
          </w:p>
        </w:tc>
      </w:tr>
      <w:tr w:rsidR="00AD24B5" w:rsidRPr="003B4362" w14:paraId="24D43F26" w14:textId="77777777" w:rsidTr="00B46386">
        <w:tc>
          <w:tcPr>
            <w:tcW w:w="2256" w:type="dxa"/>
          </w:tcPr>
          <w:p w14:paraId="4441E083" w14:textId="77777777" w:rsidR="00AD24B5" w:rsidRPr="003B4362" w:rsidRDefault="00AD24B5" w:rsidP="00B46386">
            <w:r w:rsidRPr="003B4362">
              <w:t>Tritium</w:t>
            </w:r>
          </w:p>
        </w:tc>
        <w:tc>
          <w:tcPr>
            <w:tcW w:w="2616" w:type="dxa"/>
          </w:tcPr>
          <w:p w14:paraId="2E4EEC84" w14:textId="77777777" w:rsidR="00AD24B5" w:rsidRPr="003B4362" w:rsidRDefault="00AD24B5" w:rsidP="00B46386">
            <w:pPr>
              <w:suppressAutoHyphens/>
            </w:pPr>
            <w:r w:rsidRPr="003B4362">
              <w:t>1,000 pCi/ L</w:t>
            </w:r>
          </w:p>
        </w:tc>
      </w:tr>
      <w:tr w:rsidR="00AD24B5" w:rsidRPr="003B4362" w14:paraId="04FE85A3" w14:textId="77777777" w:rsidTr="00B46386">
        <w:tc>
          <w:tcPr>
            <w:tcW w:w="2256" w:type="dxa"/>
          </w:tcPr>
          <w:p w14:paraId="7D875B4F" w14:textId="77777777" w:rsidR="00AD24B5" w:rsidRPr="003B4362" w:rsidRDefault="00AD24B5" w:rsidP="00B46386">
            <w:pPr>
              <w:suppressAutoHyphens/>
            </w:pPr>
            <w:r w:rsidRPr="003B4362">
              <w:t>Strontium-89</w:t>
            </w:r>
          </w:p>
        </w:tc>
        <w:tc>
          <w:tcPr>
            <w:tcW w:w="2616" w:type="dxa"/>
          </w:tcPr>
          <w:p w14:paraId="4CC6E2FB" w14:textId="77777777" w:rsidR="00AD24B5" w:rsidRPr="003B4362" w:rsidRDefault="00AD24B5" w:rsidP="00B46386">
            <w:pPr>
              <w:suppressAutoHyphens/>
            </w:pPr>
            <w:r w:rsidRPr="003B4362">
              <w:t>10 pCi/ L</w:t>
            </w:r>
          </w:p>
        </w:tc>
      </w:tr>
      <w:tr w:rsidR="00AD24B5" w:rsidRPr="003B4362" w14:paraId="2B1521E6" w14:textId="77777777" w:rsidTr="00B46386">
        <w:tc>
          <w:tcPr>
            <w:tcW w:w="2256" w:type="dxa"/>
          </w:tcPr>
          <w:p w14:paraId="33597883" w14:textId="77777777" w:rsidR="00AD24B5" w:rsidRPr="003B4362" w:rsidRDefault="00AD24B5" w:rsidP="00B46386">
            <w:pPr>
              <w:suppressAutoHyphens/>
            </w:pPr>
            <w:r w:rsidRPr="003B4362">
              <w:t>Strontium-90</w:t>
            </w:r>
          </w:p>
        </w:tc>
        <w:tc>
          <w:tcPr>
            <w:tcW w:w="2616" w:type="dxa"/>
          </w:tcPr>
          <w:p w14:paraId="0A70F935" w14:textId="77777777" w:rsidR="00AD24B5" w:rsidRPr="003B4362" w:rsidRDefault="00AD24B5" w:rsidP="00B46386">
            <w:pPr>
              <w:suppressAutoHyphens/>
            </w:pPr>
            <w:r w:rsidRPr="003B4362">
              <w:t>2 pCi/ L</w:t>
            </w:r>
          </w:p>
        </w:tc>
      </w:tr>
      <w:tr w:rsidR="00AD24B5" w:rsidRPr="003B4362" w14:paraId="0A4FFA5C" w14:textId="77777777" w:rsidTr="00B46386">
        <w:tc>
          <w:tcPr>
            <w:tcW w:w="2256" w:type="dxa"/>
          </w:tcPr>
          <w:p w14:paraId="64C23E82" w14:textId="77777777" w:rsidR="00AD24B5" w:rsidRPr="003B4362" w:rsidRDefault="00AD24B5" w:rsidP="00B46386">
            <w:pPr>
              <w:suppressAutoHyphens/>
            </w:pPr>
            <w:r w:rsidRPr="003B4362">
              <w:t>Iodine-131</w:t>
            </w:r>
          </w:p>
        </w:tc>
        <w:tc>
          <w:tcPr>
            <w:tcW w:w="2616" w:type="dxa"/>
          </w:tcPr>
          <w:p w14:paraId="0AE4E5C9" w14:textId="77777777" w:rsidR="00AD24B5" w:rsidRPr="003B4362" w:rsidRDefault="00AD24B5" w:rsidP="00B46386">
            <w:pPr>
              <w:suppressAutoHyphens/>
            </w:pPr>
            <w:r w:rsidRPr="003B4362">
              <w:t>1 pCi/ L</w:t>
            </w:r>
          </w:p>
        </w:tc>
      </w:tr>
      <w:tr w:rsidR="00AD24B5" w:rsidRPr="003B4362" w14:paraId="4FC74C58" w14:textId="77777777" w:rsidTr="00B46386">
        <w:tc>
          <w:tcPr>
            <w:tcW w:w="2256" w:type="dxa"/>
          </w:tcPr>
          <w:p w14:paraId="39444096" w14:textId="77777777" w:rsidR="00AD24B5" w:rsidRPr="003B4362" w:rsidRDefault="00AD24B5" w:rsidP="00B46386">
            <w:pPr>
              <w:suppressAutoHyphens/>
            </w:pPr>
            <w:r w:rsidRPr="003B4362">
              <w:t>Cesium-134</w:t>
            </w:r>
          </w:p>
        </w:tc>
        <w:tc>
          <w:tcPr>
            <w:tcW w:w="2616" w:type="dxa"/>
          </w:tcPr>
          <w:p w14:paraId="0A6E97EE" w14:textId="77777777" w:rsidR="00AD24B5" w:rsidRPr="003B4362" w:rsidRDefault="00AD24B5" w:rsidP="00B46386">
            <w:pPr>
              <w:suppressAutoHyphens/>
            </w:pPr>
            <w:r w:rsidRPr="003B4362">
              <w:t>10 pCi/ L</w:t>
            </w:r>
          </w:p>
        </w:tc>
      </w:tr>
      <w:tr w:rsidR="00AD24B5" w:rsidRPr="003B4362" w14:paraId="0D91FCCF" w14:textId="77777777" w:rsidTr="00B46386">
        <w:tc>
          <w:tcPr>
            <w:tcW w:w="2256" w:type="dxa"/>
          </w:tcPr>
          <w:p w14:paraId="2BC89F5E" w14:textId="77777777" w:rsidR="00AD24B5" w:rsidRPr="003B4362" w:rsidRDefault="00AD24B5" w:rsidP="00B46386">
            <w:pPr>
              <w:suppressAutoHyphens/>
            </w:pPr>
            <w:r w:rsidRPr="003B4362">
              <w:t>Gross beta</w:t>
            </w:r>
          </w:p>
        </w:tc>
        <w:tc>
          <w:tcPr>
            <w:tcW w:w="2616" w:type="dxa"/>
          </w:tcPr>
          <w:p w14:paraId="4A9692FE" w14:textId="77777777" w:rsidR="00AD24B5" w:rsidRPr="003B4362" w:rsidRDefault="00AD24B5" w:rsidP="00B46386">
            <w:pPr>
              <w:suppressAutoHyphens/>
            </w:pPr>
            <w:r w:rsidRPr="003B4362">
              <w:t>4 pCi/ L</w:t>
            </w:r>
          </w:p>
        </w:tc>
      </w:tr>
      <w:tr w:rsidR="00AD24B5" w:rsidRPr="003B4362" w14:paraId="2F38FFB0" w14:textId="77777777" w:rsidTr="00B46386">
        <w:tc>
          <w:tcPr>
            <w:tcW w:w="2256" w:type="dxa"/>
          </w:tcPr>
          <w:p w14:paraId="349C3F35" w14:textId="77777777" w:rsidR="00AD24B5" w:rsidRPr="003B4362" w:rsidRDefault="00AD24B5" w:rsidP="00B46386">
            <w:pPr>
              <w:suppressAutoHyphens/>
            </w:pPr>
            <w:r w:rsidRPr="003B4362">
              <w:t>Other radionuclides</w:t>
            </w:r>
          </w:p>
        </w:tc>
        <w:tc>
          <w:tcPr>
            <w:tcW w:w="2616" w:type="dxa"/>
          </w:tcPr>
          <w:p w14:paraId="69319BF5" w14:textId="77777777" w:rsidR="00AD24B5" w:rsidRPr="003B4362" w:rsidRDefault="00AD24B5" w:rsidP="00B46386">
            <w:pPr>
              <w:suppressAutoHyphens/>
            </w:pPr>
            <w:r w:rsidRPr="003B4362">
              <w:t>1/10 of applicable limit</w:t>
            </w:r>
          </w:p>
        </w:tc>
      </w:tr>
    </w:tbl>
    <w:p w14:paraId="38B5DC2E" w14:textId="77777777" w:rsidR="00AD24B5" w:rsidRDefault="00AD24B5" w:rsidP="00AD24B5">
      <w:pPr>
        <w:suppressAutoHyphens/>
        <w:ind w:left="2160"/>
      </w:pPr>
    </w:p>
    <w:p w14:paraId="33CC9100" w14:textId="77777777" w:rsidR="00AD24B5" w:rsidRPr="003B4362" w:rsidRDefault="00AD24B5" w:rsidP="00AD24B5">
      <w:pPr>
        <w:suppressAutoHyphens/>
        <w:ind w:left="2160"/>
      </w:pPr>
      <w:r w:rsidRPr="003B4362">
        <w:t xml:space="preserve">BOARD NOTE:  </w:t>
      </w:r>
      <w:r w:rsidRPr="003B4362">
        <w:rPr>
          <w:spacing w:val="-3"/>
        </w:rPr>
        <w:t xml:space="preserve">This subsection (c)(2) derives </w:t>
      </w:r>
      <w:r w:rsidRPr="003B4362">
        <w:t>from 40 CFR 141.25(c) Table C.</w:t>
      </w:r>
    </w:p>
    <w:p w14:paraId="49E380FF" w14:textId="77777777" w:rsidR="00AD24B5" w:rsidRDefault="00AD24B5" w:rsidP="00AD24B5">
      <w:pPr>
        <w:suppressAutoHyphens/>
        <w:ind w:left="1440" w:hanging="720"/>
      </w:pPr>
    </w:p>
    <w:p w14:paraId="37D881DE" w14:textId="77777777" w:rsidR="00AD24B5" w:rsidRPr="003B4362" w:rsidRDefault="00AD24B5" w:rsidP="00AD24B5">
      <w:pPr>
        <w:suppressAutoHyphens/>
        <w:ind w:left="1440" w:hanging="720"/>
      </w:pPr>
      <w:r w:rsidRPr="003B4362">
        <w:t>d)</w:t>
      </w:r>
      <w:r w:rsidRPr="003B4362">
        <w:tab/>
        <w:t>W</w:t>
      </w:r>
      <w:bookmarkStart w:id="4008" w:name="_Hlk132817002"/>
      <w:r w:rsidRPr="003B4362">
        <w:t>hen determining compliance with the MCLs in Section 611.330</w:t>
      </w:r>
      <w:bookmarkEnd w:id="4008"/>
      <w:r w:rsidRPr="003B4362">
        <w:t xml:space="preserve">, </w:t>
      </w:r>
      <w:bookmarkStart w:id="4009" w:name="_Hlk132817090"/>
      <w:r w:rsidRPr="003B4362">
        <w:t xml:space="preserve">the laboratory must use averages of data and round results </w:t>
      </w:r>
      <w:bookmarkEnd w:id="4009"/>
      <w:r w:rsidRPr="003B4362">
        <w:t xml:space="preserve">to the same number of significant figures as </w:t>
      </w:r>
      <w:bookmarkStart w:id="4010" w:name="_Hlk132817265"/>
      <w:r w:rsidRPr="003B4362">
        <w:t>the MCL</w:t>
      </w:r>
      <w:bookmarkEnd w:id="4010"/>
      <w:r w:rsidRPr="003B4362">
        <w:t>.</w:t>
      </w:r>
    </w:p>
    <w:p w14:paraId="07FAE337" w14:textId="77777777" w:rsidR="00AD24B5" w:rsidRDefault="00AD24B5" w:rsidP="00AD24B5">
      <w:pPr>
        <w:widowControl w:val="0"/>
      </w:pPr>
    </w:p>
    <w:p w14:paraId="3EEB65FC" w14:textId="77777777" w:rsidR="00AD24B5" w:rsidRPr="003B4362" w:rsidRDefault="00AD24B5" w:rsidP="00AD24B5">
      <w:pPr>
        <w:widowControl w:val="0"/>
      </w:pPr>
      <w:r w:rsidRPr="003B4362">
        <w:t xml:space="preserve">BOARD NOTE:  </w:t>
      </w:r>
      <w:r w:rsidRPr="003B4362">
        <w:rPr>
          <w:spacing w:val="-3"/>
        </w:rPr>
        <w:t xml:space="preserve">This Section derives </w:t>
      </w:r>
      <w:r w:rsidRPr="003B4362">
        <w:t xml:space="preserve">from 40 CFR 141.25 and appendix A to subpart C of 40 CFR 141.  The Board did not separately list approved alternative methods from Standard Methods Online that are the same version as a method appearing in a printed edition of Standard Methods.  </w:t>
      </w:r>
      <w:r w:rsidRPr="003B4362">
        <w:rPr>
          <w:szCs w:val="22"/>
        </w:rPr>
        <w:t xml:space="preserve">Using </w:t>
      </w:r>
      <w:r w:rsidRPr="003B4362">
        <w:t>the Standard Methods Online copy is acceptable.</w:t>
      </w:r>
    </w:p>
    <w:p w14:paraId="67B44671" w14:textId="77777777" w:rsidR="00AD24B5" w:rsidRDefault="00AD24B5" w:rsidP="00AD24B5">
      <w:pPr>
        <w:widowControl w:val="0"/>
        <w:ind w:left="720"/>
      </w:pPr>
    </w:p>
    <w:p w14:paraId="09FF4B59" w14:textId="77777777" w:rsidR="00AD24B5" w:rsidRPr="003B4362" w:rsidRDefault="00AD24B5" w:rsidP="00AD24B5">
      <w:pPr>
        <w:widowControl w:val="0"/>
        <w:ind w:left="720"/>
      </w:pPr>
      <w:r w:rsidRPr="003B4362">
        <w:t xml:space="preserve">Standard Methods Online, Methods </w:t>
      </w:r>
      <w:bookmarkStart w:id="4011" w:name="_Hlk3992130"/>
      <w:r w:rsidRPr="003B4362">
        <w:t>7110 B-91 and 7110 C-91</w:t>
      </w:r>
      <w:bookmarkEnd w:id="4011"/>
      <w:r w:rsidRPr="003B4362">
        <w:t xml:space="preserve"> appear in the 18th and 19th editions as Methods 7110 B and 7110 C.  These appear in this Section as SM 7110 B (91) and SM 7110 C (91).</w:t>
      </w:r>
    </w:p>
    <w:p w14:paraId="21FA5732" w14:textId="77777777" w:rsidR="00AD24B5" w:rsidRDefault="00AD24B5" w:rsidP="00AD24B5">
      <w:pPr>
        <w:widowControl w:val="0"/>
        <w:ind w:left="720"/>
      </w:pPr>
    </w:p>
    <w:p w14:paraId="1BEFE60B" w14:textId="77777777" w:rsidR="00AD24B5" w:rsidRPr="003B4362" w:rsidRDefault="00AD24B5" w:rsidP="00AD24B5">
      <w:pPr>
        <w:widowControl w:val="0"/>
        <w:ind w:left="720"/>
      </w:pPr>
      <w:r w:rsidRPr="003B4362">
        <w:t xml:space="preserve">Standard Methods Online, Methods </w:t>
      </w:r>
      <w:bookmarkStart w:id="4012" w:name="_Hlk3992143"/>
      <w:r w:rsidRPr="003B4362">
        <w:t>7110 B-00 and 7110 C-00</w:t>
      </w:r>
      <w:bookmarkEnd w:id="4012"/>
      <w:r w:rsidRPr="003B4362">
        <w:t xml:space="preserve"> appear in the 21st, 22nd, and 23rd editions as Methods 7110 B and 7110 C.  These appear in this Section as SM 7110 B (00) and SM 7110 C (00).</w:t>
      </w:r>
    </w:p>
    <w:p w14:paraId="5D58F568" w14:textId="77777777" w:rsidR="00AD24B5" w:rsidRDefault="00AD24B5" w:rsidP="00AD24B5">
      <w:pPr>
        <w:widowControl w:val="0"/>
        <w:ind w:left="720"/>
      </w:pPr>
    </w:p>
    <w:p w14:paraId="38CB8693" w14:textId="77777777" w:rsidR="00AD24B5" w:rsidRPr="003B4362" w:rsidRDefault="00AD24B5" w:rsidP="00AD24B5">
      <w:pPr>
        <w:widowControl w:val="0"/>
        <w:ind w:left="720"/>
      </w:pPr>
      <w:r w:rsidRPr="003B4362">
        <w:t xml:space="preserve">Standard Methods Online, Method </w:t>
      </w:r>
      <w:bookmarkStart w:id="4013" w:name="_Hlk3992176"/>
      <w:r w:rsidRPr="003B4362">
        <w:t>7120-97</w:t>
      </w:r>
      <w:bookmarkEnd w:id="4013"/>
      <w:r w:rsidRPr="003B4362">
        <w:t xml:space="preserve"> appears in the 20th, 21st, 22nd, and 23rd editions as Method 7120.  This appears in this Section appears as SM 7120 (97).</w:t>
      </w:r>
    </w:p>
    <w:p w14:paraId="72F68F8A" w14:textId="77777777" w:rsidR="00AD24B5" w:rsidRDefault="00AD24B5" w:rsidP="00AD24B5">
      <w:pPr>
        <w:widowControl w:val="0"/>
        <w:ind w:left="720"/>
      </w:pPr>
    </w:p>
    <w:p w14:paraId="77ED8EAD" w14:textId="77777777" w:rsidR="00AD24B5" w:rsidRPr="003B4362" w:rsidRDefault="00AD24B5" w:rsidP="00AD24B5">
      <w:pPr>
        <w:widowControl w:val="0"/>
        <w:ind w:left="720"/>
      </w:pPr>
      <w:r w:rsidRPr="003B4362">
        <w:t xml:space="preserve">Standard Methods Online, Method </w:t>
      </w:r>
      <w:bookmarkStart w:id="4014" w:name="_Hlk3992196"/>
      <w:r w:rsidRPr="003B4362">
        <w:t>7500-Cs B-00</w:t>
      </w:r>
      <w:bookmarkEnd w:id="4014"/>
      <w:r w:rsidRPr="003B4362">
        <w:t xml:space="preserve"> appears in the 21st, 22nd, and 23rd editions as Method 7500-Cs B.  In this Section, thus appears as SM 7500-Cs B (00).</w:t>
      </w:r>
    </w:p>
    <w:p w14:paraId="6F877243" w14:textId="77777777" w:rsidR="00AD24B5" w:rsidRDefault="00AD24B5" w:rsidP="00AD24B5">
      <w:pPr>
        <w:widowControl w:val="0"/>
        <w:ind w:left="720"/>
      </w:pPr>
    </w:p>
    <w:p w14:paraId="3A377870" w14:textId="77777777" w:rsidR="00AD24B5" w:rsidRPr="003B4362" w:rsidRDefault="00AD24B5" w:rsidP="00AD24B5">
      <w:pPr>
        <w:widowControl w:val="0"/>
        <w:ind w:left="720"/>
      </w:pPr>
      <w:r w:rsidRPr="003B4362">
        <w:t xml:space="preserve">Standard Methods Online, Methods </w:t>
      </w:r>
      <w:bookmarkStart w:id="4015" w:name="_Hlk3992211"/>
      <w:r w:rsidRPr="003B4362">
        <w:t>7500-I B-00, 7500-I C-00, and 7500-I D-00</w:t>
      </w:r>
      <w:bookmarkEnd w:id="4015"/>
      <w:r w:rsidRPr="003B4362">
        <w:t xml:space="preserve"> appear in the 21st, 22nd, and 23rd editions as Methods 7500-I B, 7500-I C, and 7500-I D.  These appear in this Section as SM 7500-I B (00), SM 7500-I C (00), and SM 7500-I D (00).</w:t>
      </w:r>
    </w:p>
    <w:p w14:paraId="7D144384" w14:textId="77777777" w:rsidR="00AD24B5" w:rsidRDefault="00AD24B5" w:rsidP="00AD24B5">
      <w:pPr>
        <w:widowControl w:val="0"/>
        <w:ind w:left="720"/>
      </w:pPr>
    </w:p>
    <w:p w14:paraId="0D6F0F33" w14:textId="77777777" w:rsidR="00AD24B5" w:rsidRPr="003B4362" w:rsidRDefault="00AD24B5" w:rsidP="00AD24B5">
      <w:pPr>
        <w:widowControl w:val="0"/>
        <w:ind w:left="720"/>
      </w:pPr>
      <w:r w:rsidRPr="003B4362">
        <w:lastRenderedPageBreak/>
        <w:t xml:space="preserve">Standard Methods Online, Methods </w:t>
      </w:r>
      <w:bookmarkStart w:id="4016" w:name="_Hlk3992247"/>
      <w:r w:rsidRPr="003B4362">
        <w:t>7500-Ra B-01, 7500-Ra C-01, and 7500-Ra D-01</w:t>
      </w:r>
      <w:bookmarkEnd w:id="4016"/>
      <w:r w:rsidRPr="003B4362">
        <w:t xml:space="preserve"> appears in the 21st and 22nd editions as Methods 7500-Ra B, 7500-Ra C, and 7500-Ra D.  These appear in this Section as SM 7500-Ra B (01), SM 7500-Ra C (01), and SM 7500-Ra D (01).</w:t>
      </w:r>
    </w:p>
    <w:p w14:paraId="78A6CEE5" w14:textId="77777777" w:rsidR="00AD24B5" w:rsidRDefault="00AD24B5" w:rsidP="00AD24B5">
      <w:pPr>
        <w:widowControl w:val="0"/>
        <w:ind w:left="720"/>
      </w:pPr>
    </w:p>
    <w:p w14:paraId="325C3050" w14:textId="77777777" w:rsidR="00AD24B5" w:rsidRPr="003B4362" w:rsidRDefault="00AD24B5" w:rsidP="00AD24B5">
      <w:pPr>
        <w:widowControl w:val="0"/>
        <w:ind w:left="720"/>
      </w:pPr>
      <w:r w:rsidRPr="003B4362">
        <w:t xml:space="preserve">Standard Methods Online, Methods </w:t>
      </w:r>
      <w:bookmarkStart w:id="4017" w:name="_Hlk3992263"/>
      <w:r w:rsidRPr="003B4362">
        <w:t>7500-Ra B-07, 7500-Ra C-07, 7500-Ra D-07, and 7500-Ra E-07</w:t>
      </w:r>
      <w:bookmarkEnd w:id="4017"/>
      <w:r w:rsidRPr="003B4362">
        <w:t xml:space="preserve"> appears in the 23rd edition as Methods 7500-Ra B, 7500-Ra C, 7500-Ra D, and 7500-Ra E.  These appear in this Section as SM 7500-Ra B (07), SM 7500-Ra C (07), SM 7500-Ra D (07), and SM 7500-Ra E (07).</w:t>
      </w:r>
    </w:p>
    <w:p w14:paraId="15B63020" w14:textId="77777777" w:rsidR="00AD24B5" w:rsidRDefault="00AD24B5" w:rsidP="00AD24B5">
      <w:pPr>
        <w:widowControl w:val="0"/>
        <w:ind w:left="720"/>
      </w:pPr>
    </w:p>
    <w:p w14:paraId="096104E9" w14:textId="77777777" w:rsidR="00AD24B5" w:rsidRPr="003B4362" w:rsidRDefault="00AD24B5" w:rsidP="00AD24B5">
      <w:pPr>
        <w:widowControl w:val="0"/>
        <w:ind w:left="720"/>
      </w:pPr>
      <w:r w:rsidRPr="003B4362">
        <w:t xml:space="preserve">Standard Methods Online, Method </w:t>
      </w:r>
      <w:bookmarkStart w:id="4018" w:name="_Hlk3992281"/>
      <w:r w:rsidRPr="003B4362">
        <w:t>7500-Sr B-01</w:t>
      </w:r>
      <w:bookmarkEnd w:id="4018"/>
      <w:r w:rsidRPr="003B4362">
        <w:t xml:space="preserve"> appears in the 21st, 22nd, and 23rd editions as Method 7500-Sr B.  This appears in this Section as SM 7500-Sr B (01).</w:t>
      </w:r>
    </w:p>
    <w:p w14:paraId="6A06047B" w14:textId="77777777" w:rsidR="00AD24B5" w:rsidRDefault="00AD24B5" w:rsidP="00AD24B5">
      <w:pPr>
        <w:widowControl w:val="0"/>
        <w:ind w:left="720"/>
      </w:pPr>
    </w:p>
    <w:p w14:paraId="03E6D87A" w14:textId="77777777" w:rsidR="00AD24B5" w:rsidRPr="003B4362" w:rsidRDefault="00AD24B5" w:rsidP="00AD24B5">
      <w:pPr>
        <w:widowControl w:val="0"/>
        <w:ind w:left="720"/>
      </w:pPr>
      <w:r w:rsidRPr="003B4362">
        <w:t xml:space="preserve">Standard Methods Online, Method </w:t>
      </w:r>
      <w:bookmarkStart w:id="4019" w:name="_Hlk3992291"/>
      <w:r w:rsidRPr="003B4362">
        <w:t>7500-</w:t>
      </w:r>
      <w:r w:rsidRPr="003B4362">
        <w:rPr>
          <w:vertAlign w:val="superscript"/>
        </w:rPr>
        <w:t>3</w:t>
      </w:r>
      <w:r w:rsidRPr="003B4362">
        <w:t>H B-00</w:t>
      </w:r>
      <w:bookmarkEnd w:id="4019"/>
      <w:r w:rsidRPr="003B4362">
        <w:t xml:space="preserve"> appears in the 21st, 22nd, and 23rd editions as Method 7500-</w:t>
      </w:r>
      <w:r w:rsidRPr="003B4362">
        <w:rPr>
          <w:vertAlign w:val="superscript"/>
        </w:rPr>
        <w:t>3</w:t>
      </w:r>
      <w:r w:rsidRPr="003B4362">
        <w:t>H B.  This appears in this Section as SM 7500-</w:t>
      </w:r>
      <w:r w:rsidRPr="003B4362">
        <w:rPr>
          <w:vertAlign w:val="superscript"/>
        </w:rPr>
        <w:t>3</w:t>
      </w:r>
      <w:r w:rsidRPr="003B4362">
        <w:t>H B (00)</w:t>
      </w:r>
    </w:p>
    <w:p w14:paraId="4A0B621D" w14:textId="77777777" w:rsidR="00AD24B5" w:rsidRDefault="00AD24B5" w:rsidP="00AD24B5">
      <w:pPr>
        <w:widowControl w:val="0"/>
        <w:ind w:left="720"/>
      </w:pPr>
    </w:p>
    <w:p w14:paraId="31BFC94E" w14:textId="77777777" w:rsidR="00AD24B5" w:rsidRPr="003B4362" w:rsidRDefault="00AD24B5" w:rsidP="00AD24B5">
      <w:pPr>
        <w:widowControl w:val="0"/>
        <w:ind w:left="720"/>
      </w:pPr>
      <w:r w:rsidRPr="003B4362">
        <w:t xml:space="preserve">Standard Methods Online, Methods </w:t>
      </w:r>
      <w:bookmarkStart w:id="4020" w:name="_Hlk3992323"/>
      <w:r w:rsidRPr="003B4362">
        <w:t>7500-U B and 7500-U C-00</w:t>
      </w:r>
      <w:bookmarkEnd w:id="4020"/>
      <w:r w:rsidRPr="003B4362">
        <w:t xml:space="preserve"> appear in the 21st, 22nd, and 23rd editions as Methods 7500-U B and 7500-U C.  These appear in this Section as SM 7500-U B (00) and SM 7500-U C (00).</w:t>
      </w:r>
    </w:p>
    <w:p w14:paraId="259A75DA" w14:textId="77777777" w:rsidR="00AD24B5" w:rsidRDefault="00AD24B5" w:rsidP="00AD24B5">
      <w:pPr>
        <w:suppressAutoHyphens/>
        <w:ind w:left="720"/>
      </w:pPr>
    </w:p>
    <w:p w14:paraId="31A7EEBC" w14:textId="77777777" w:rsidR="00AD24B5" w:rsidRPr="003B4362" w:rsidRDefault="00AD24B5" w:rsidP="00AD24B5">
      <w:pPr>
        <w:suppressAutoHyphens/>
        <w:ind w:left="720"/>
      </w:pPr>
      <w:r w:rsidRPr="003B4362">
        <w:t>(Source:  A</w:t>
      </w:r>
      <w:r w:rsidRPr="003B4362">
        <w:rPr>
          <w:szCs w:val="17"/>
        </w:rPr>
        <w:t xml:space="preserve">mended at </w:t>
      </w:r>
      <w:r>
        <w:t>47</w:t>
      </w:r>
      <w:r w:rsidRPr="003B4362">
        <w:t xml:space="preserve"> Ill. Reg</w:t>
      </w:r>
      <w:r>
        <w:t>. 18996</w:t>
      </w:r>
      <w:r w:rsidRPr="003B4362">
        <w:t xml:space="preserve">, effective </w:t>
      </w:r>
      <w:r>
        <w:t>December 26, 2023</w:t>
      </w:r>
      <w:r w:rsidRPr="003B4362">
        <w:t>)</w:t>
      </w:r>
    </w:p>
    <w:p w14:paraId="738A0F99" w14:textId="77777777" w:rsidR="00C46B20" w:rsidRPr="003B4362" w:rsidRDefault="00C46B20" w:rsidP="00C46B20">
      <w:pPr>
        <w:rPr>
          <w:b/>
          <w:bCs/>
        </w:rPr>
      </w:pPr>
    </w:p>
    <w:p w14:paraId="699C129E" w14:textId="13602215" w:rsidR="007A3E01" w:rsidRDefault="007A3E01" w:rsidP="004F3F98">
      <w:pPr>
        <w:rPr>
          <w:b/>
          <w:bCs/>
        </w:rPr>
      </w:pPr>
      <w:r w:rsidRPr="003B4362">
        <w:rPr>
          <w:b/>
          <w:bCs/>
        </w:rPr>
        <w:t>Section 611.731  Gross Alpha</w:t>
      </w:r>
    </w:p>
    <w:p w14:paraId="6A084815" w14:textId="77777777" w:rsidR="004F3F98" w:rsidRPr="003B4362" w:rsidRDefault="004F3F98" w:rsidP="004F3F98">
      <w:pPr>
        <w:rPr>
          <w:b/>
          <w:bCs/>
        </w:rPr>
      </w:pPr>
    </w:p>
    <w:p w14:paraId="23831D87" w14:textId="0E863B83" w:rsidR="007A3E01" w:rsidRPr="003B4362" w:rsidRDefault="007A3E01" w:rsidP="004F3F98">
      <w:pPr>
        <w:suppressAutoHyphens/>
      </w:pPr>
      <w:r w:rsidRPr="003B4362">
        <w:t>Monitoring for Gross Alpha Particle Activity, Radium-226, Radium-228, and Uranium</w:t>
      </w:r>
    </w:p>
    <w:p w14:paraId="69286D75" w14:textId="77777777" w:rsidR="004F3F98" w:rsidRDefault="004F3F98" w:rsidP="004F3F98">
      <w:pPr>
        <w:ind w:left="1440" w:hanging="720"/>
      </w:pPr>
    </w:p>
    <w:p w14:paraId="78108D9F" w14:textId="5AC24045" w:rsidR="007A3E01" w:rsidRPr="003B4362" w:rsidRDefault="007A3E01" w:rsidP="004F3F98">
      <w:pPr>
        <w:ind w:left="1440" w:hanging="720"/>
      </w:pPr>
      <w:r w:rsidRPr="003B4362">
        <w:t>a)</w:t>
      </w:r>
      <w:r w:rsidRPr="003B4362">
        <w:tab/>
        <w:t xml:space="preserve">A CWS supplier must </w:t>
      </w:r>
      <w:r w:rsidR="003E2679" w:rsidRPr="003B4362">
        <w:t xml:space="preserve">monitor </w:t>
      </w:r>
      <w:r w:rsidRPr="003B4362">
        <w:t>to determine whether it complies with Section 611.330(b), (c), and (e).  For monitoring gross alpha particle activity, radium-226, radium-228, uranium, and beta particle and photon radioactivity in drinking water</w:t>
      </w:r>
      <w:r w:rsidR="00E46EDC" w:rsidRPr="003B4362">
        <w:t xml:space="preserve">, </w:t>
      </w:r>
      <w:r w:rsidRPr="003B4362">
        <w:t>“detection limit” is defined as in Section 611.720(c).</w:t>
      </w:r>
    </w:p>
    <w:p w14:paraId="3661740F" w14:textId="77777777" w:rsidR="004F3F98" w:rsidRDefault="004F3F98" w:rsidP="004F3F98">
      <w:pPr>
        <w:ind w:left="2160" w:hanging="720"/>
      </w:pPr>
    </w:p>
    <w:p w14:paraId="2E15F4D7" w14:textId="4EFC0BE7" w:rsidR="007A3E01" w:rsidRPr="003B4362" w:rsidRDefault="007A3E01" w:rsidP="004F3F98">
      <w:pPr>
        <w:ind w:left="2160" w:hanging="720"/>
      </w:pPr>
      <w:r w:rsidRPr="003B4362">
        <w:t>1)</w:t>
      </w:r>
      <w:r w:rsidRPr="003B4362">
        <w:tab/>
        <w:t xml:space="preserve">Applicability and Sampling Location for an Existing CWS Supplier.  An existing CWS supplier using groundwater, surface water, or both groundwater and surface water must sample at every entry point to the distribution system </w:t>
      </w:r>
      <w:bookmarkStart w:id="4021" w:name="_Hlk133228039"/>
      <w:r w:rsidR="00375891" w:rsidRPr="003B4362">
        <w:t xml:space="preserve">representing </w:t>
      </w:r>
      <w:r w:rsidRPr="003B4362">
        <w:t xml:space="preserve">all sources the supplier uses </w:t>
      </w:r>
      <w:bookmarkStart w:id="4022" w:name="_Hlk133228109"/>
      <w:bookmarkEnd w:id="4021"/>
      <w:r w:rsidRPr="003B4362">
        <w:t>(a sampling point)</w:t>
      </w:r>
      <w:bookmarkEnd w:id="4022"/>
      <w:r w:rsidRPr="003B4362">
        <w:t xml:space="preserve"> under normal operating conditions.  The supplier must take each sample at the same sampling point, unless conditions make another sampling point more representative of each source </w:t>
      </w:r>
      <w:bookmarkStart w:id="4023" w:name="_Hlk133228227"/>
      <w:r w:rsidRPr="003B4362">
        <w:t xml:space="preserve">or the Agency </w:t>
      </w:r>
      <w:r w:rsidR="00FB3896" w:rsidRPr="003B4362">
        <w:t xml:space="preserve">designates </w:t>
      </w:r>
      <w:bookmarkEnd w:id="4023"/>
      <w:r w:rsidRPr="003B4362">
        <w:t xml:space="preserve">a distribution system location </w:t>
      </w:r>
      <w:bookmarkStart w:id="4024" w:name="_Hlk133228298"/>
      <w:r w:rsidRPr="003B4362">
        <w:t>under subsection (b)(2)(C)</w:t>
      </w:r>
      <w:bookmarkEnd w:id="4024"/>
      <w:r w:rsidRPr="003B4362">
        <w:t>.</w:t>
      </w:r>
    </w:p>
    <w:p w14:paraId="5FDF2121" w14:textId="77777777" w:rsidR="004F3F98" w:rsidRDefault="004F3F98" w:rsidP="004F3F98">
      <w:pPr>
        <w:ind w:left="2160" w:hanging="720"/>
      </w:pPr>
    </w:p>
    <w:p w14:paraId="1B5E9B1F" w14:textId="53AE46CE" w:rsidR="007A3E01" w:rsidRPr="003B4362" w:rsidRDefault="007A3E01" w:rsidP="004F3F98">
      <w:pPr>
        <w:ind w:left="2160" w:hanging="720"/>
      </w:pPr>
      <w:r w:rsidRPr="003B4362">
        <w:t>2)</w:t>
      </w:r>
      <w:r w:rsidRPr="003B4362">
        <w:tab/>
        <w:t xml:space="preserve">Applicability and Sampling Location for a New CWS Supplier.  A new CWS supplier or a CWS supplier </w:t>
      </w:r>
      <w:bookmarkStart w:id="4025" w:name="_Hlk133228411"/>
      <w:r w:rsidRPr="003B4362">
        <w:t>using a new source</w:t>
      </w:r>
      <w:bookmarkEnd w:id="4025"/>
      <w:r w:rsidRPr="003B4362">
        <w:t xml:space="preserve"> of water must </w:t>
      </w:r>
      <w:bookmarkStart w:id="4026" w:name="_Hlk133228450"/>
      <w:r w:rsidRPr="003B4362">
        <w:t>begin initial monitoring</w:t>
      </w:r>
      <w:bookmarkEnd w:id="4026"/>
      <w:r w:rsidRPr="003B4362">
        <w:t xml:space="preserve"> for the new source within the first quarter </w:t>
      </w:r>
      <w:bookmarkStart w:id="4027" w:name="_Hlk133228494"/>
      <w:r w:rsidRPr="003B4362">
        <w:t xml:space="preserve">after </w:t>
      </w:r>
      <w:r w:rsidR="00375891" w:rsidRPr="003B4362">
        <w:t xml:space="preserve">beginning to </w:t>
      </w:r>
      <w:r w:rsidRPr="003B4362">
        <w:t>use the source</w:t>
      </w:r>
      <w:bookmarkEnd w:id="4027"/>
      <w:r w:rsidRPr="003B4362">
        <w:t xml:space="preserve">.  A CWS supplier must conduct more frequent monitoring </w:t>
      </w:r>
      <w:bookmarkStart w:id="4028" w:name="_Hlk133228543"/>
      <w:r w:rsidR="003E2679" w:rsidRPr="003B4362">
        <w:t xml:space="preserve">as directed </w:t>
      </w:r>
      <w:r w:rsidRPr="003B4362">
        <w:t xml:space="preserve">by the Agency </w:t>
      </w:r>
      <w:r w:rsidR="00375891" w:rsidRPr="003B4362">
        <w:t>i</w:t>
      </w:r>
      <w:r w:rsidR="003E2679" w:rsidRPr="003B4362">
        <w:t>n</w:t>
      </w:r>
      <w:r w:rsidR="00375891" w:rsidRPr="003B4362">
        <w:t xml:space="preserve"> a SEP due to</w:t>
      </w:r>
      <w:r w:rsidRPr="003B4362">
        <w:t xml:space="preserve"> possible </w:t>
      </w:r>
      <w:r w:rsidRPr="003B4362">
        <w:lastRenderedPageBreak/>
        <w:t xml:space="preserve">contamination or changes in the distribution system or treatment processes </w:t>
      </w:r>
      <w:bookmarkEnd w:id="4028"/>
      <w:r w:rsidRPr="003B4362">
        <w:t xml:space="preserve">that may increase the concentration of </w:t>
      </w:r>
      <w:bookmarkStart w:id="4029" w:name="_Hlk133228639"/>
      <w:r w:rsidRPr="003B4362">
        <w:t xml:space="preserve">radioactivity in </w:t>
      </w:r>
      <w:r w:rsidR="003E2679" w:rsidRPr="003B4362">
        <w:t xml:space="preserve">the supplier’s </w:t>
      </w:r>
      <w:r w:rsidRPr="003B4362">
        <w:t>finished water</w:t>
      </w:r>
      <w:bookmarkEnd w:id="4029"/>
      <w:r w:rsidRPr="003B4362">
        <w:t>.</w:t>
      </w:r>
    </w:p>
    <w:p w14:paraId="375007CC" w14:textId="77777777" w:rsidR="004F3F98" w:rsidRDefault="004F3F98" w:rsidP="004F3F98">
      <w:pPr>
        <w:ind w:left="1440" w:hanging="720"/>
      </w:pPr>
    </w:p>
    <w:p w14:paraId="1771C4E3" w14:textId="0E06D618" w:rsidR="007A3E01" w:rsidRPr="003B4362" w:rsidRDefault="007A3E01" w:rsidP="004F3F98">
      <w:pPr>
        <w:ind w:left="1440" w:hanging="720"/>
      </w:pPr>
      <w:r w:rsidRPr="003B4362">
        <w:t>b)</w:t>
      </w:r>
      <w:r w:rsidRPr="003B4362">
        <w:tab/>
        <w:t xml:space="preserve">Initial Monitoring.  </w:t>
      </w:r>
      <w:r w:rsidR="00F7364A" w:rsidRPr="003B4362">
        <w:t xml:space="preserve">The Agency may issue a SEP directing a </w:t>
      </w:r>
      <w:bookmarkStart w:id="4030" w:name="_Hlk133228757"/>
      <w:r w:rsidRPr="003B4362">
        <w:t xml:space="preserve">CWS supplier </w:t>
      </w:r>
      <w:r w:rsidR="00F7364A" w:rsidRPr="003B4362">
        <w:t xml:space="preserve">to monitor </w:t>
      </w:r>
      <w:r w:rsidRPr="003B4362">
        <w:t>for gross alpha particle activity, radium-226, radium-228, and uranium</w:t>
      </w:r>
      <w:r w:rsidR="00F7364A" w:rsidRPr="003B4362">
        <w:t xml:space="preserve"> </w:t>
      </w:r>
      <w:bookmarkStart w:id="4031" w:name="_Hlk133229265"/>
      <w:r w:rsidR="00F7364A" w:rsidRPr="003B4362">
        <w:t>for four consecutive quarters at all sampling points</w:t>
      </w:r>
      <w:bookmarkEnd w:id="4031"/>
      <w:r w:rsidR="00F7364A" w:rsidRPr="003B4362">
        <w:t>.  T</w:t>
      </w:r>
      <w:bookmarkStart w:id="4032" w:name="_Hlk133229446"/>
      <w:r w:rsidR="00F7364A" w:rsidRPr="003B4362">
        <w:t>he Agency may revise the SEP waiving the final two quarters</w:t>
      </w:r>
      <w:bookmarkEnd w:id="4032"/>
      <w:r w:rsidR="00F7364A" w:rsidRPr="003B4362">
        <w:t xml:space="preserve"> of initial monitoring for a sampling point if the results of the samples from the previous two quarters are below the detection limit.</w:t>
      </w:r>
      <w:r w:rsidR="00AA360F" w:rsidRPr="003B4362">
        <w:t xml:space="preserve">  For gross alpha particle activity, uranium, radium-226, and radium-228 monitoring, the Agency may issue a SEP waiving the final two quarters of initial monitoring for a sampling point if the results of the samples from the previous two quarters are below the detection limit.  If the average of the initial monitoring results for a sampling point is above the MCL, the supplier must collect and analyze quarterly samples at that sampling point </w:t>
      </w:r>
      <w:bookmarkStart w:id="4033" w:name="_Hlk133229737"/>
      <w:r w:rsidR="00AA360F" w:rsidRPr="003B4362">
        <w:t>until its results from four consecutive quarters are at or below the MCL</w:t>
      </w:r>
      <w:bookmarkEnd w:id="4033"/>
      <w:r w:rsidR="00AA360F" w:rsidRPr="003B4362">
        <w:t xml:space="preserve">, </w:t>
      </w:r>
      <w:bookmarkStart w:id="4034" w:name="_Hlk133229788"/>
      <w:r w:rsidR="00AA360F" w:rsidRPr="003B4362">
        <w:t>unless the Agency issues a SEP requiring another schedule as part of a formal compliance agreement</w:t>
      </w:r>
      <w:bookmarkEnd w:id="4034"/>
      <w:r w:rsidR="00AA360F" w:rsidRPr="003B4362">
        <w:t>.</w:t>
      </w:r>
      <w:bookmarkEnd w:id="4030"/>
    </w:p>
    <w:p w14:paraId="27B43BA2" w14:textId="77777777" w:rsidR="004F3F98" w:rsidRDefault="004F3F98" w:rsidP="004F3F98">
      <w:pPr>
        <w:ind w:left="1440" w:hanging="720"/>
      </w:pPr>
    </w:p>
    <w:p w14:paraId="3DCD2FED" w14:textId="1447F5FA" w:rsidR="007A3E01" w:rsidRPr="003B4362" w:rsidRDefault="007A3E01" w:rsidP="004F3F98">
      <w:pPr>
        <w:ind w:left="1440" w:hanging="720"/>
      </w:pPr>
      <w:r w:rsidRPr="003B4362">
        <w:t>c)</w:t>
      </w:r>
      <w:r w:rsidRPr="003B4362">
        <w:tab/>
        <w:t>Reduced Monitoring.  The Agency may allow a CWS supplier to reduce the future frequency of monitoring from once every three years to once every six or nine years at each sampling point, based on certain criteria:</w:t>
      </w:r>
    </w:p>
    <w:p w14:paraId="37EBD3B6" w14:textId="77777777" w:rsidR="004F3F98" w:rsidRDefault="004F3F98" w:rsidP="004F3F98">
      <w:pPr>
        <w:ind w:left="2160" w:hanging="720"/>
      </w:pPr>
    </w:p>
    <w:p w14:paraId="03B46540" w14:textId="48607817" w:rsidR="007A3E01" w:rsidRPr="003B4362" w:rsidRDefault="007A3E01" w:rsidP="004F3F98">
      <w:pPr>
        <w:ind w:left="2160" w:hanging="720"/>
      </w:pPr>
      <w:r w:rsidRPr="003B4362">
        <w:t>1)</w:t>
      </w:r>
      <w:r w:rsidRPr="003B4362">
        <w:tab/>
        <w:t xml:space="preserve">If the average of the initial monitoring results for each contaminant (i.e., gross alpha particle activity, uranium, radium-226, or radium-228) is below </w:t>
      </w:r>
      <w:bookmarkStart w:id="4035" w:name="_Hlk133232451"/>
      <w:r w:rsidRPr="003B4362">
        <w:t>the detection limit Section 611.720(c)(1) specifies</w:t>
      </w:r>
      <w:bookmarkEnd w:id="4035"/>
      <w:r w:rsidRPr="003B4362">
        <w:t>, the supplier must collect and analyze for that contaminant using at least one sample at that sampling point every nine years.</w:t>
      </w:r>
    </w:p>
    <w:p w14:paraId="5C4EA22F" w14:textId="77777777" w:rsidR="004F3F98" w:rsidRDefault="004F3F98" w:rsidP="004F3F98">
      <w:pPr>
        <w:ind w:left="2160" w:hanging="720"/>
      </w:pPr>
    </w:p>
    <w:p w14:paraId="3A9D0D09" w14:textId="6D25C049" w:rsidR="007A3E01" w:rsidRPr="003B4362" w:rsidRDefault="007A3E01" w:rsidP="004F3F98">
      <w:pPr>
        <w:ind w:left="2160" w:hanging="720"/>
      </w:pPr>
      <w:r w:rsidRPr="003B4362">
        <w:t>2)</w:t>
      </w:r>
      <w:r w:rsidRPr="003B4362">
        <w:tab/>
        <w:t xml:space="preserve">For gross alpha particle activity and uranium, if the average of the initial monitoring results for each contaminant is at or above the detection limit but at or below one-half the MCL, the supplier must collect and analyze for that contaminant using at least one sample at that sampling point every six years.  For combined radium-226 and radium-228, </w:t>
      </w:r>
      <w:bookmarkStart w:id="4036" w:name="_Hlk133232510"/>
      <w:r w:rsidRPr="003B4362">
        <w:t>the supplier must combine the analytical results</w:t>
      </w:r>
      <w:bookmarkEnd w:id="4036"/>
      <w:r w:rsidRPr="003B4362">
        <w:t>.  If the average of the combined initial monitoring results for radium-226 and radium-228 is at or above the detection limit but at or below one-half the MCL, the supplier must collect and analyze for that contaminant using at least one sample at that sampling point every six years.</w:t>
      </w:r>
    </w:p>
    <w:p w14:paraId="4DC38436" w14:textId="77777777" w:rsidR="004F3F98" w:rsidRDefault="004F3F98" w:rsidP="004F3F98">
      <w:pPr>
        <w:ind w:left="2160" w:hanging="720"/>
      </w:pPr>
    </w:p>
    <w:p w14:paraId="3609E25E" w14:textId="4FB0D40B" w:rsidR="007A3E01" w:rsidRPr="003B4362" w:rsidRDefault="007A3E01" w:rsidP="004F3F98">
      <w:pPr>
        <w:ind w:left="2160" w:hanging="720"/>
      </w:pPr>
      <w:r w:rsidRPr="003B4362">
        <w:t>3)</w:t>
      </w:r>
      <w:r w:rsidRPr="003B4362">
        <w:tab/>
        <w:t xml:space="preserve">For gross alpha particle activity and uranium, if the average of the initial monitoring results for each contaminant is above one-half the MCL but at or below the MCL, the supplier must collect and analyze at least one sample at that sampling point every three years.  For combined radium-226 and radium-228, the supplier must combine the analytical results.  If the average of the combined initial monitoring results for radium-226 and </w:t>
      </w:r>
      <w:r w:rsidRPr="003B4362">
        <w:lastRenderedPageBreak/>
        <w:t>radium-228 is above one-half the MCL but at or below the MCL, the supplier must collect and analyze at least one sample at that sampling point every three years.</w:t>
      </w:r>
    </w:p>
    <w:p w14:paraId="6EB61F59" w14:textId="77777777" w:rsidR="004F3F98" w:rsidRDefault="004F3F98" w:rsidP="004F3F98">
      <w:pPr>
        <w:ind w:left="2160" w:hanging="720"/>
      </w:pPr>
    </w:p>
    <w:p w14:paraId="343E10A8" w14:textId="60B3D9C4" w:rsidR="007A3E01" w:rsidRPr="003B4362" w:rsidRDefault="007A3E01" w:rsidP="004F3F98">
      <w:pPr>
        <w:ind w:left="2160" w:hanging="720"/>
      </w:pPr>
      <w:r w:rsidRPr="003B4362">
        <w:t>4)</w:t>
      </w:r>
      <w:r w:rsidRPr="003B4362">
        <w:tab/>
        <w:t xml:space="preserve">A supplier must </w:t>
      </w:r>
      <w:bookmarkStart w:id="4037" w:name="_Hlk133232595"/>
      <w:r w:rsidRPr="003B4362">
        <w:t>use the samples it collected</w:t>
      </w:r>
      <w:bookmarkEnd w:id="4037"/>
      <w:r w:rsidRPr="003B4362">
        <w:t xml:space="preserve"> during the reduced monitoring period to determine the monitoring frequency for subsequent monitoring periods (e.g., if a supplier’s sampling point is on a nine year monitoring period, and the sample result is above one-half the MCL, then the next monitoring period for that sampling point is three years).</w:t>
      </w:r>
    </w:p>
    <w:p w14:paraId="5DE23F54" w14:textId="77777777" w:rsidR="004F3F98" w:rsidRDefault="004F3F98" w:rsidP="004F3F98">
      <w:pPr>
        <w:ind w:left="2160" w:hanging="720"/>
      </w:pPr>
    </w:p>
    <w:p w14:paraId="4C11D512" w14:textId="5BDD8FCB" w:rsidR="007A3E01" w:rsidRPr="003B4362" w:rsidRDefault="007A3E01" w:rsidP="004F3F98">
      <w:pPr>
        <w:ind w:left="2160" w:hanging="720"/>
      </w:pPr>
      <w:r w:rsidRPr="003B4362">
        <w:t>5)</w:t>
      </w:r>
      <w:r w:rsidRPr="003B4362">
        <w:tab/>
        <w:t xml:space="preserve">If a supplier </w:t>
      </w:r>
      <w:r w:rsidR="00A854C7" w:rsidRPr="003B4362">
        <w:t>has</w:t>
      </w:r>
      <w:r w:rsidRPr="003B4362">
        <w:t xml:space="preserve"> a monitoring </w:t>
      </w:r>
      <w:bookmarkStart w:id="4038" w:name="_Hlk133232653"/>
      <w:r w:rsidRPr="003B4362">
        <w:t>result exceeding the MCL</w:t>
      </w:r>
      <w:bookmarkEnd w:id="4038"/>
      <w:r w:rsidRPr="003B4362">
        <w:t xml:space="preserve"> while on reduced monitoring, the supplier must collect and analyze quarterly samples at that sampling point until the supplier </w:t>
      </w:r>
      <w:r w:rsidR="00A854C7" w:rsidRPr="003B4362">
        <w:t>has</w:t>
      </w:r>
      <w:r w:rsidRPr="003B4362">
        <w:t xml:space="preserve"> results from </w:t>
      </w:r>
      <w:bookmarkStart w:id="4039" w:name="_Hlk133232707"/>
      <w:r w:rsidRPr="003B4362">
        <w:t>four consecutive quarters below the MCL</w:t>
      </w:r>
      <w:bookmarkEnd w:id="4039"/>
      <w:r w:rsidRPr="003B4362">
        <w:t>, unless the supplier enters into another schedule as part of a formal compliance agreement with the Agency.</w:t>
      </w:r>
    </w:p>
    <w:p w14:paraId="7AE4F2CE" w14:textId="77777777" w:rsidR="004F3F98" w:rsidRDefault="004F3F98" w:rsidP="004F3F98">
      <w:pPr>
        <w:ind w:left="1440" w:hanging="720"/>
      </w:pPr>
    </w:p>
    <w:p w14:paraId="6327FDC9" w14:textId="4BA45886" w:rsidR="007A3E01" w:rsidRPr="003B4362" w:rsidRDefault="007A3E01" w:rsidP="004F3F98">
      <w:pPr>
        <w:ind w:left="1440" w:hanging="720"/>
      </w:pPr>
      <w:r w:rsidRPr="003B4362">
        <w:t>d)</w:t>
      </w:r>
      <w:r w:rsidRPr="003B4362">
        <w:tab/>
        <w:t xml:space="preserve">Compositing.  To fulfill quarterly monitoring requirements for gross alpha particle activity, radium-226, radium-228, or uranium, a supplier may composite up to four consecutive quarterly samples from a single entry point if analysis is done </w:t>
      </w:r>
      <w:bookmarkStart w:id="4040" w:name="_Hlk133236363"/>
      <w:r w:rsidRPr="003B4362">
        <w:t>within a year after collecting the first sample</w:t>
      </w:r>
      <w:bookmarkEnd w:id="4040"/>
      <w:r w:rsidRPr="003B4362">
        <w:t>.  T</w:t>
      </w:r>
      <w:bookmarkStart w:id="4041" w:name="_Hlk133236414"/>
      <w:r w:rsidRPr="003B4362">
        <w:t xml:space="preserve">he supplier must treat analytical results from the composited sample </w:t>
      </w:r>
      <w:bookmarkEnd w:id="4041"/>
      <w:r w:rsidRPr="003B4362">
        <w:t xml:space="preserve">as the average analytical result to </w:t>
      </w:r>
      <w:bookmarkStart w:id="4042" w:name="_Hlk133237260"/>
      <w:r w:rsidRPr="003B4362">
        <w:t>determine whether the supplier complies with the MCLs</w:t>
      </w:r>
      <w:bookmarkEnd w:id="4042"/>
      <w:r w:rsidRPr="003B4362">
        <w:t xml:space="preserve"> and the future monitoring frequency.  If the analytical result from the composited sample is greater than one-half the MCL, </w:t>
      </w:r>
      <w:bookmarkStart w:id="4043" w:name="_Hlk133237317"/>
      <w:r w:rsidRPr="003B4362">
        <w:t>the Agency may</w:t>
      </w:r>
      <w:r w:rsidR="006C215A" w:rsidRPr="003B4362">
        <w:t xml:space="preserve"> issue a SEP directing</w:t>
      </w:r>
      <w:r w:rsidRPr="003B4362">
        <w:t xml:space="preserve"> the supplier to take</w:t>
      </w:r>
      <w:bookmarkEnd w:id="4043"/>
      <w:r w:rsidRPr="003B4362">
        <w:t xml:space="preserve"> additional quarterly samples before allowing the supplier to sample under a reduced monitoring schedule.</w:t>
      </w:r>
    </w:p>
    <w:p w14:paraId="0D149286" w14:textId="77777777" w:rsidR="004F3F98" w:rsidRDefault="004F3F98" w:rsidP="004F3F98">
      <w:pPr>
        <w:ind w:left="1440" w:hanging="720"/>
      </w:pPr>
    </w:p>
    <w:p w14:paraId="103FF797" w14:textId="3C43B8C8" w:rsidR="007A3E01" w:rsidRPr="003B4362" w:rsidRDefault="007A3E01" w:rsidP="004F3F98">
      <w:pPr>
        <w:ind w:left="1440" w:hanging="720"/>
      </w:pPr>
      <w:r w:rsidRPr="003B4362">
        <w:t>e)</w:t>
      </w:r>
      <w:r w:rsidRPr="003B4362">
        <w:tab/>
        <w:t>A</w:t>
      </w:r>
      <w:bookmarkStart w:id="4044" w:name="_Hlk133237403"/>
      <w:r w:rsidRPr="003B4362">
        <w:t xml:space="preserve"> supplier may substitute a gross alpha particle activity measurement </w:t>
      </w:r>
      <w:bookmarkEnd w:id="4044"/>
      <w:r w:rsidRPr="003B4362">
        <w:t xml:space="preserve">for the required radium-226 measurement, </w:t>
      </w:r>
      <w:bookmarkStart w:id="4045" w:name="_Hlk133237604"/>
      <w:r w:rsidRPr="003B4362">
        <w:t>provided the measured gross alpha particle activity does not exceed 5 pCi/</w:t>
      </w:r>
      <w:bookmarkEnd w:id="4045"/>
      <w:r w:rsidR="00CB5C42" w:rsidRPr="003B4362">
        <w:t xml:space="preserve"> L</w:t>
      </w:r>
      <w:r w:rsidRPr="003B4362">
        <w:t>.  A</w:t>
      </w:r>
      <w:bookmarkStart w:id="4046" w:name="_Hlk133237642"/>
      <w:r w:rsidRPr="003B4362">
        <w:t xml:space="preserve"> supplier may substitute a gross alpha particle activity measurement </w:t>
      </w:r>
      <w:bookmarkEnd w:id="4046"/>
      <w:r w:rsidRPr="003B4362">
        <w:t xml:space="preserve">for the required uranium measurement, </w:t>
      </w:r>
      <w:bookmarkStart w:id="4047" w:name="_Hlk133237714"/>
      <w:r w:rsidRPr="003B4362">
        <w:t>provided the measured gross alpha particle activity does not exceed 15 pCi/</w:t>
      </w:r>
      <w:bookmarkEnd w:id="4047"/>
      <w:r w:rsidR="00CB5C42" w:rsidRPr="003B4362">
        <w:t xml:space="preserve"> L</w:t>
      </w:r>
      <w:r w:rsidRPr="003B4362">
        <w:t>.</w:t>
      </w:r>
    </w:p>
    <w:p w14:paraId="34AAD094" w14:textId="77777777" w:rsidR="004F3F98" w:rsidRDefault="004F3F98" w:rsidP="004F3F98">
      <w:pPr>
        <w:ind w:left="2160" w:hanging="720"/>
      </w:pPr>
    </w:p>
    <w:p w14:paraId="010A2118" w14:textId="6945C531" w:rsidR="007A3E01" w:rsidRPr="003B4362" w:rsidRDefault="007A3E01" w:rsidP="004F3F98">
      <w:pPr>
        <w:ind w:left="2160" w:hanging="720"/>
      </w:pPr>
      <w:r w:rsidRPr="003B4362">
        <w:t>1)</w:t>
      </w:r>
      <w:r w:rsidRPr="003B4362">
        <w:tab/>
        <w:t>The gross alpha measurement must have a confidence interval of 95% (1.65</w:t>
      </w:r>
      <w:r w:rsidRPr="003B4362">
        <w:sym w:font="Symbol" w:char="F073"/>
      </w:r>
      <w:r w:rsidRPr="003B4362">
        <w:t xml:space="preserve">, where </w:t>
      </w:r>
      <w:r w:rsidRPr="003B4362">
        <w:sym w:font="Symbol" w:char="F073"/>
      </w:r>
      <w:r w:rsidRPr="003B4362">
        <w:t xml:space="preserve"> is the standard deviation of the net counting rate of the sample) for radium-226 and uranium.</w:t>
      </w:r>
    </w:p>
    <w:p w14:paraId="4D1F634D" w14:textId="77777777" w:rsidR="004F3F98" w:rsidRDefault="004F3F98" w:rsidP="004F3F98">
      <w:pPr>
        <w:ind w:left="2160" w:hanging="720"/>
      </w:pPr>
    </w:p>
    <w:p w14:paraId="7CA442E6" w14:textId="18108733" w:rsidR="007A3E01" w:rsidRPr="003B4362" w:rsidRDefault="007A3E01" w:rsidP="004F3F98">
      <w:pPr>
        <w:ind w:left="2160" w:hanging="720"/>
      </w:pPr>
      <w:r w:rsidRPr="003B4362">
        <w:t>2)</w:t>
      </w:r>
      <w:r w:rsidRPr="003B4362">
        <w:tab/>
        <w:t xml:space="preserve">When a supplier uses a gross alpha particle activity measurement in lieu of a radium-226 or uranium measurement, </w:t>
      </w:r>
      <w:bookmarkStart w:id="4048" w:name="_Hlk133239188"/>
      <w:r w:rsidRPr="003B4362">
        <w:t xml:space="preserve">the supplier must use the gross alpha particle activity analytical result </w:t>
      </w:r>
      <w:bookmarkEnd w:id="4048"/>
      <w:r w:rsidRPr="003B4362">
        <w:t>to determine the future monitoring frequency for radium-226 or uranium.</w:t>
      </w:r>
    </w:p>
    <w:p w14:paraId="2B69AD39" w14:textId="77777777" w:rsidR="004F3F98" w:rsidRDefault="004F3F98" w:rsidP="004F3F98">
      <w:pPr>
        <w:ind w:left="2160" w:hanging="720"/>
      </w:pPr>
    </w:p>
    <w:p w14:paraId="44A75FB3" w14:textId="48316E85" w:rsidR="007A3E01" w:rsidRPr="003B4362" w:rsidRDefault="007A3E01" w:rsidP="004F3F98">
      <w:pPr>
        <w:ind w:left="2160" w:hanging="720"/>
      </w:pPr>
      <w:r w:rsidRPr="003B4362">
        <w:t>3)</w:t>
      </w:r>
      <w:r w:rsidRPr="003B4362">
        <w:tab/>
        <w:t>I</w:t>
      </w:r>
      <w:bookmarkStart w:id="4049" w:name="_Hlk133239454"/>
      <w:r w:rsidRPr="003B4362">
        <w:t xml:space="preserve">f the </w:t>
      </w:r>
      <w:r w:rsidR="00053CA9" w:rsidRPr="003B4362">
        <w:t xml:space="preserve">laboratory does not detect </w:t>
      </w:r>
      <w:r w:rsidRPr="003B4362">
        <w:t>gross alpha particle activity</w:t>
      </w:r>
      <w:bookmarkEnd w:id="4049"/>
      <w:r w:rsidRPr="003B4362">
        <w:t xml:space="preserve">, </w:t>
      </w:r>
      <w:bookmarkStart w:id="4050" w:name="_Hlk133239775"/>
      <w:r w:rsidRPr="003B4362">
        <w:t xml:space="preserve">the supplier must use </w:t>
      </w:r>
      <w:r w:rsidR="00053CA9" w:rsidRPr="003B4362">
        <w:t xml:space="preserve">one-half </w:t>
      </w:r>
      <w:r w:rsidRPr="003B4362">
        <w:t xml:space="preserve">the detection limit </w:t>
      </w:r>
      <w:bookmarkEnd w:id="4050"/>
      <w:r w:rsidRPr="003B4362">
        <w:t xml:space="preserve">to </w:t>
      </w:r>
      <w:bookmarkStart w:id="4051" w:name="_Hlk133239850"/>
      <w:r w:rsidRPr="003B4362">
        <w:t xml:space="preserve">determine </w:t>
      </w:r>
      <w:r w:rsidR="0020138A" w:rsidRPr="003B4362">
        <w:t xml:space="preserve">whether it complies </w:t>
      </w:r>
      <w:r w:rsidRPr="003B4362">
        <w:t xml:space="preserve">and </w:t>
      </w:r>
      <w:r w:rsidR="0020138A" w:rsidRPr="003B4362">
        <w:t xml:space="preserve">its </w:t>
      </w:r>
      <w:r w:rsidRPr="003B4362">
        <w:t>future monitoring</w:t>
      </w:r>
      <w:bookmarkEnd w:id="4051"/>
      <w:r w:rsidRPr="003B4362">
        <w:t xml:space="preserve"> frequency.</w:t>
      </w:r>
    </w:p>
    <w:p w14:paraId="4AECE6FD" w14:textId="77777777" w:rsidR="004F3F98" w:rsidRDefault="004F3F98" w:rsidP="004F3F98"/>
    <w:p w14:paraId="640F3BDA" w14:textId="1027336F" w:rsidR="007A3E01" w:rsidRPr="003B4362" w:rsidRDefault="007A3E01" w:rsidP="004F3F98">
      <w:r w:rsidRPr="003B4362">
        <w:t xml:space="preserve">BOARD NOTE:  </w:t>
      </w:r>
      <w:r w:rsidR="00053CA9" w:rsidRPr="003B4362">
        <w:t xml:space="preserve">This Section derives </w:t>
      </w:r>
      <w:bookmarkStart w:id="4052" w:name="_Hlk133239996"/>
      <w:r w:rsidRPr="003B4362">
        <w:t>from</w:t>
      </w:r>
      <w:bookmarkEnd w:id="4052"/>
      <w:r w:rsidRPr="003B4362">
        <w:t xml:space="preserve"> 40 CFR 141.26(a).</w:t>
      </w:r>
    </w:p>
    <w:p w14:paraId="5C2C83F6" w14:textId="77777777" w:rsidR="004F3F98" w:rsidRDefault="004F3F98" w:rsidP="004F3F98">
      <w:pPr>
        <w:suppressAutoHyphens/>
        <w:ind w:left="720"/>
      </w:pPr>
    </w:p>
    <w:p w14:paraId="377814A1" w14:textId="7D66648E" w:rsidR="007A3E01" w:rsidRPr="003B4362" w:rsidRDefault="00EB353D" w:rsidP="004F3F9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528FFEF3" w14:textId="77777777" w:rsidR="00C46B20" w:rsidRPr="003B4362" w:rsidRDefault="00C46B20" w:rsidP="004F3F98">
      <w:pPr>
        <w:suppressAutoHyphens/>
        <w:ind w:left="720"/>
      </w:pPr>
    </w:p>
    <w:p w14:paraId="40BB6122" w14:textId="32CF4F42" w:rsidR="004F7532" w:rsidRDefault="004F7532" w:rsidP="004F3F98">
      <w:pPr>
        <w:rPr>
          <w:b/>
          <w:bCs/>
        </w:rPr>
      </w:pPr>
      <w:r w:rsidRPr="003B4362">
        <w:rPr>
          <w:b/>
          <w:bCs/>
        </w:rPr>
        <w:t>Section 611.732  Beta Particle and Photon Radioactivity</w:t>
      </w:r>
    </w:p>
    <w:p w14:paraId="5620571D" w14:textId="77777777" w:rsidR="004F3F98" w:rsidRPr="003B4362" w:rsidRDefault="004F3F98" w:rsidP="004F3F98">
      <w:pPr>
        <w:rPr>
          <w:b/>
          <w:bCs/>
        </w:rPr>
      </w:pPr>
    </w:p>
    <w:p w14:paraId="6F8A2E70" w14:textId="31BADFF5" w:rsidR="004F7532" w:rsidRDefault="004F7532" w:rsidP="004F3F98">
      <w:pPr>
        <w:widowControl w:val="0"/>
      </w:pPr>
      <w:r w:rsidRPr="003B4362">
        <w:t xml:space="preserve">Monitoring and Compliance for Manmade Radioactivity.  To determine compliance with the maximum contaminant levels in Section 611.330(d) for beta particle and photon radioactivity, a supplier must monitor </w:t>
      </w:r>
      <w:bookmarkStart w:id="4053" w:name="_Hlk133240112"/>
      <w:r w:rsidRPr="003B4362">
        <w:t xml:space="preserve">at a </w:t>
      </w:r>
      <w:r w:rsidR="00053CA9" w:rsidRPr="003B4362">
        <w:t xml:space="preserve">specified </w:t>
      </w:r>
      <w:r w:rsidRPr="003B4362">
        <w:t>frequency</w:t>
      </w:r>
      <w:bookmarkEnd w:id="4053"/>
      <w:r w:rsidRPr="003B4362">
        <w:t>:</w:t>
      </w:r>
    </w:p>
    <w:p w14:paraId="692E8D79" w14:textId="77777777" w:rsidR="004F3F98" w:rsidRPr="003B4362" w:rsidRDefault="004F3F98" w:rsidP="004F3F98">
      <w:pPr>
        <w:widowControl w:val="0"/>
      </w:pPr>
    </w:p>
    <w:p w14:paraId="23247DC5" w14:textId="535F2206" w:rsidR="004F7532" w:rsidRPr="003B4362" w:rsidRDefault="004F7532" w:rsidP="004F3F98">
      <w:pPr>
        <w:widowControl w:val="0"/>
        <w:ind w:left="1440" w:hanging="720"/>
      </w:pPr>
      <w:r w:rsidRPr="003B4362">
        <w:t>a)</w:t>
      </w:r>
      <w:r w:rsidRPr="003B4362">
        <w:tab/>
      </w:r>
      <w:r w:rsidR="006C215A" w:rsidRPr="003B4362">
        <w:t>I</w:t>
      </w:r>
      <w:bookmarkStart w:id="4054" w:name="_Hlk133240326"/>
      <w:r w:rsidR="006C215A" w:rsidRPr="003B4362">
        <w:t xml:space="preserve">f the Agency issues a SEP designating a </w:t>
      </w:r>
      <w:r w:rsidRPr="003B4362">
        <w:t>CWS supplier (either a surface water or groundwater supplier) as vulnerable</w:t>
      </w:r>
      <w:bookmarkStart w:id="4055" w:name="_Hlk133240430"/>
      <w:bookmarkEnd w:id="4054"/>
      <w:r w:rsidR="006C215A" w:rsidRPr="003B4362">
        <w:t>, the supplier</w:t>
      </w:r>
      <w:r w:rsidRPr="003B4362">
        <w:t xml:space="preserve"> must sample</w:t>
      </w:r>
      <w:bookmarkEnd w:id="4055"/>
      <w:r w:rsidRPr="003B4362">
        <w:t xml:space="preserve"> for beta particle and photon radioactivity.  </w:t>
      </w:r>
      <w:bookmarkStart w:id="4056" w:name="_Hlk133240458"/>
      <w:r w:rsidR="006C215A" w:rsidRPr="003B4362">
        <w:t xml:space="preserve">The </w:t>
      </w:r>
      <w:r w:rsidRPr="003B4362">
        <w:t>supplier must collect</w:t>
      </w:r>
      <w:bookmarkEnd w:id="4056"/>
      <w:r w:rsidRPr="003B4362">
        <w:t xml:space="preserve"> quarterly samples for beta emitters and annual samples for tritium and strontium-90 at each entry point to the distribution system (hereafter called a sampling point) </w:t>
      </w:r>
      <w:bookmarkStart w:id="4057" w:name="_Hlk133240636"/>
      <w:r w:rsidRPr="003B4362">
        <w:t>beginning within one quarter after the Agency</w:t>
      </w:r>
      <w:r w:rsidR="006C215A" w:rsidRPr="003B4362">
        <w:t xml:space="preserve"> issued the SEP</w:t>
      </w:r>
      <w:bookmarkEnd w:id="4057"/>
      <w:r w:rsidRPr="003B4362">
        <w:t>.  A</w:t>
      </w:r>
      <w:bookmarkStart w:id="4058" w:name="_Hlk133241722"/>
      <w:r w:rsidRPr="003B4362">
        <w:t xml:space="preserve"> supplier the Agency </w:t>
      </w:r>
      <w:r w:rsidR="006C215A" w:rsidRPr="003B4362">
        <w:t>designates</w:t>
      </w:r>
      <w:bookmarkEnd w:id="4058"/>
      <w:r w:rsidR="006C215A" w:rsidRPr="003B4362">
        <w:t xml:space="preserve"> </w:t>
      </w:r>
      <w:r w:rsidRPr="003B4362">
        <w:t xml:space="preserve">must continue to sample </w:t>
      </w:r>
      <w:bookmarkStart w:id="4059" w:name="_Hlk133243727"/>
      <w:r w:rsidRPr="003B4362">
        <w:t xml:space="preserve">until the Agency </w:t>
      </w:r>
      <w:r w:rsidR="0019713F" w:rsidRPr="003B4362">
        <w:t xml:space="preserve">issues a new SEP removing </w:t>
      </w:r>
      <w:r w:rsidRPr="003B4362">
        <w:t>the designation</w:t>
      </w:r>
      <w:bookmarkEnd w:id="4059"/>
      <w:r w:rsidRPr="003B4362">
        <w:t>.</w:t>
      </w:r>
    </w:p>
    <w:p w14:paraId="3753F0C3" w14:textId="77777777" w:rsidR="004F3F98" w:rsidRDefault="004F3F98" w:rsidP="004F3F98">
      <w:pPr>
        <w:widowControl w:val="0"/>
        <w:ind w:left="2160" w:hanging="720"/>
      </w:pPr>
    </w:p>
    <w:p w14:paraId="49F9A471" w14:textId="39F64222" w:rsidR="004F7532" w:rsidRPr="003B4362" w:rsidRDefault="004F7532" w:rsidP="004F3F98">
      <w:pPr>
        <w:widowControl w:val="0"/>
        <w:ind w:left="2160" w:hanging="720"/>
      </w:pPr>
      <w:r w:rsidRPr="003B4362">
        <w:t>1)</w:t>
      </w:r>
      <w:r w:rsidRPr="003B4362">
        <w:tab/>
        <w:t xml:space="preserve">If the gross beta particle activity minus the naturally occurring potassium-40 beta particle activity at a sampling point </w:t>
      </w:r>
      <w:r w:rsidR="00A854C7" w:rsidRPr="003B4362">
        <w:t>has</w:t>
      </w:r>
      <w:r w:rsidRPr="003B4362">
        <w:t xml:space="preserve"> a running annual average (computed quarterly) less than or equal to </w:t>
      </w:r>
      <w:bookmarkStart w:id="4060" w:name="_Hlk133244538"/>
      <w:r w:rsidRPr="003B4362">
        <w:t>50 pCi/</w:t>
      </w:r>
      <w:r w:rsidR="00CB5C42" w:rsidRPr="003B4362">
        <w:t xml:space="preserve"> L</w:t>
      </w:r>
      <w:r w:rsidRPr="003B4362">
        <w:t xml:space="preserve"> (</w:t>
      </w:r>
      <w:r w:rsidR="0072450F" w:rsidRPr="003B4362">
        <w:t xml:space="preserve">the </w:t>
      </w:r>
      <w:r w:rsidRPr="003B4362">
        <w:t>screening level)</w:t>
      </w:r>
      <w:bookmarkEnd w:id="4060"/>
      <w:r w:rsidRPr="003B4362">
        <w:t xml:space="preserve">, the Agency may reduce </w:t>
      </w:r>
      <w:bookmarkStart w:id="4061" w:name="_Hlk133244580"/>
      <w:r w:rsidRPr="003B4362">
        <w:t xml:space="preserve">the </w:t>
      </w:r>
      <w:r w:rsidR="0072450F" w:rsidRPr="003B4362">
        <w:t xml:space="preserve">monitoring </w:t>
      </w:r>
      <w:r w:rsidRPr="003B4362">
        <w:t xml:space="preserve">frequency </w:t>
      </w:r>
      <w:bookmarkEnd w:id="4061"/>
      <w:r w:rsidRPr="003B4362">
        <w:t xml:space="preserve">at that sampling point to once every three years.  A supplier must </w:t>
      </w:r>
      <w:bookmarkStart w:id="4062" w:name="_Hlk133245442"/>
      <w:r w:rsidRPr="003B4362">
        <w:t xml:space="preserve">collect all </w:t>
      </w:r>
      <w:r w:rsidR="0072450F" w:rsidRPr="003B4362">
        <w:t xml:space="preserve">required </w:t>
      </w:r>
      <w:r w:rsidRPr="003B4362">
        <w:t xml:space="preserve">samples </w:t>
      </w:r>
      <w:bookmarkEnd w:id="4062"/>
      <w:r w:rsidRPr="003B4362">
        <w:t>during the reduced monitoring period.</w:t>
      </w:r>
    </w:p>
    <w:p w14:paraId="306F67AE" w14:textId="77777777" w:rsidR="004F3F98" w:rsidRDefault="004F3F98" w:rsidP="004F3F98">
      <w:pPr>
        <w:widowControl w:val="0"/>
        <w:ind w:left="2160" w:hanging="720"/>
      </w:pPr>
    </w:p>
    <w:p w14:paraId="09264D88" w14:textId="2A483D96" w:rsidR="004F7532" w:rsidRPr="003B4362" w:rsidRDefault="004F7532" w:rsidP="004F3F98">
      <w:pPr>
        <w:widowControl w:val="0"/>
        <w:ind w:left="2160" w:hanging="720"/>
      </w:pPr>
      <w:r w:rsidRPr="003B4362">
        <w:t>2)</w:t>
      </w:r>
      <w:r w:rsidRPr="003B4362">
        <w:tab/>
        <w:t xml:space="preserve">For a supplier in the vicinity of a nuclear facility, </w:t>
      </w:r>
      <w:bookmarkStart w:id="4063" w:name="_Hlk133245738"/>
      <w:r w:rsidRPr="003B4362">
        <w:t xml:space="preserve">the Agency may </w:t>
      </w:r>
      <w:r w:rsidR="009A1334" w:rsidRPr="003B4362">
        <w:t xml:space="preserve">issue a SEP allowing </w:t>
      </w:r>
      <w:bookmarkEnd w:id="4063"/>
      <w:r w:rsidRPr="003B4362">
        <w:t xml:space="preserve">the CWS supplier </w:t>
      </w:r>
      <w:bookmarkStart w:id="4064" w:name="_Hlk133248172"/>
      <w:r w:rsidRPr="003B4362">
        <w:t xml:space="preserve">to </w:t>
      </w:r>
      <w:r w:rsidR="00C74739" w:rsidRPr="003B4362">
        <w:t xml:space="preserve">use </w:t>
      </w:r>
      <w:r w:rsidRPr="003B4362">
        <w:t xml:space="preserve">environmental surveillance </w:t>
      </w:r>
      <w:bookmarkStart w:id="4065" w:name="_Hlk133245780"/>
      <w:bookmarkEnd w:id="4064"/>
      <w:r w:rsidRPr="003B4362">
        <w:t xml:space="preserve">data the nuclear facility </w:t>
      </w:r>
      <w:r w:rsidR="0072450F" w:rsidRPr="003B4362">
        <w:t>collect</w:t>
      </w:r>
      <w:r w:rsidR="00485498" w:rsidRPr="003B4362">
        <w:t>ed</w:t>
      </w:r>
      <w:bookmarkEnd w:id="4065"/>
      <w:r w:rsidR="0072450F" w:rsidRPr="003B4362">
        <w:t xml:space="preserve"> </w:t>
      </w:r>
      <w:r w:rsidRPr="003B4362">
        <w:t xml:space="preserve">in lieu of monitoring at the supplier’s entry points </w:t>
      </w:r>
      <w:bookmarkStart w:id="4066" w:name="_Hlk133244701"/>
      <w:r w:rsidR="009A1334" w:rsidRPr="003B4362">
        <w:rPr>
          <w:spacing w:val="-3"/>
        </w:rPr>
        <w:t>upon</w:t>
      </w:r>
      <w:r w:rsidR="005B7BD2" w:rsidRPr="003B4362">
        <w:rPr>
          <w:spacing w:val="-3"/>
        </w:rPr>
        <w:t xml:space="preserve"> </w:t>
      </w:r>
      <w:r w:rsidR="009A1334" w:rsidRPr="003B4362">
        <w:t xml:space="preserve">determining the nuclear facility’s </w:t>
      </w:r>
      <w:r w:rsidRPr="003B4362">
        <w:t xml:space="preserve">data </w:t>
      </w:r>
      <w:r w:rsidR="00485498" w:rsidRPr="003B4362">
        <w:t xml:space="preserve">are pertinent </w:t>
      </w:r>
      <w:r w:rsidRPr="003B4362">
        <w:t>to</w:t>
      </w:r>
      <w:r w:rsidR="00485498" w:rsidRPr="003B4362">
        <w:t xml:space="preserve"> </w:t>
      </w:r>
      <w:r w:rsidR="0072450F" w:rsidRPr="003B4362">
        <w:t>the supplier</w:t>
      </w:r>
      <w:r w:rsidR="00485498" w:rsidRPr="003B4362">
        <w:t xml:space="preserve">’s </w:t>
      </w:r>
      <w:r w:rsidRPr="003B4362">
        <w:t>system</w:t>
      </w:r>
      <w:bookmarkEnd w:id="4066"/>
      <w:r w:rsidRPr="003B4362">
        <w:t xml:space="preserve">.  </w:t>
      </w:r>
      <w:r w:rsidR="00485498" w:rsidRPr="003B4362">
        <w:t>I</w:t>
      </w:r>
      <w:bookmarkStart w:id="4067" w:name="_Hlk133244778"/>
      <w:r w:rsidR="00485498" w:rsidRPr="003B4362">
        <w:t xml:space="preserve">f </w:t>
      </w:r>
      <w:r w:rsidRPr="003B4362">
        <w:t>a release from a nuclear facility</w:t>
      </w:r>
      <w:r w:rsidR="00485498" w:rsidRPr="003B4362">
        <w:t xml:space="preserve"> occurs</w:t>
      </w:r>
      <w:bookmarkEnd w:id="4067"/>
      <w:r w:rsidRPr="003B4362">
        <w:t xml:space="preserve">, </w:t>
      </w:r>
      <w:bookmarkStart w:id="4068" w:name="_Hlk133244843"/>
      <w:r w:rsidRPr="003B4362">
        <w:t>a supplier using surveillance data</w:t>
      </w:r>
      <w:bookmarkEnd w:id="4068"/>
      <w:r w:rsidRPr="003B4362">
        <w:t xml:space="preserve"> must begin monitoring </w:t>
      </w:r>
      <w:bookmarkStart w:id="4069" w:name="_Hlk133244903"/>
      <w:r w:rsidRPr="003B4362">
        <w:t xml:space="preserve">at the </w:t>
      </w:r>
      <w:r w:rsidR="00044CAF" w:rsidRPr="003B4362">
        <w:t xml:space="preserve">CWS’s </w:t>
      </w:r>
      <w:r w:rsidRPr="003B4362">
        <w:t xml:space="preserve"> entry points</w:t>
      </w:r>
      <w:bookmarkEnd w:id="4069"/>
      <w:r w:rsidRPr="003B4362">
        <w:t xml:space="preserve"> </w:t>
      </w:r>
      <w:bookmarkStart w:id="4070" w:name="_Hlk133244982"/>
      <w:r w:rsidR="0072450F" w:rsidRPr="003B4362">
        <w:t xml:space="preserve">under </w:t>
      </w:r>
      <w:r w:rsidRPr="003B4362">
        <w:t>subsection (b)(1)</w:t>
      </w:r>
      <w:bookmarkEnd w:id="4070"/>
      <w:r w:rsidRPr="003B4362">
        <w:t>.</w:t>
      </w:r>
    </w:p>
    <w:p w14:paraId="5AD32B36" w14:textId="77777777" w:rsidR="004F3F98" w:rsidRDefault="004F3F98" w:rsidP="004F3F98">
      <w:pPr>
        <w:widowControl w:val="0"/>
        <w:ind w:left="1440" w:hanging="720"/>
      </w:pPr>
    </w:p>
    <w:p w14:paraId="1D792304" w14:textId="3CE93CED" w:rsidR="004F7532" w:rsidRPr="003B4362" w:rsidRDefault="004F7532" w:rsidP="004F3F98">
      <w:pPr>
        <w:widowControl w:val="0"/>
        <w:ind w:left="1440" w:hanging="720"/>
      </w:pPr>
      <w:r w:rsidRPr="003B4362">
        <w:t>b)</w:t>
      </w:r>
      <w:r w:rsidRPr="003B4362">
        <w:tab/>
        <w:t>A</w:t>
      </w:r>
      <w:bookmarkStart w:id="4071" w:name="_Hlk133246705"/>
      <w:r w:rsidRPr="003B4362">
        <w:t xml:space="preserve"> CWS supplier (either a surface water or groundwater supplier) the Agency</w:t>
      </w:r>
      <w:r w:rsidR="00094E34" w:rsidRPr="003B4362">
        <w:t xml:space="preserve"> </w:t>
      </w:r>
      <w:r w:rsidR="00656388" w:rsidRPr="003B4362">
        <w:t xml:space="preserve">designates </w:t>
      </w:r>
      <w:r w:rsidR="00094E34" w:rsidRPr="003B4362">
        <w:t>in</w:t>
      </w:r>
      <w:r w:rsidRPr="003B4362">
        <w:t xml:space="preserve"> a SEP as </w:t>
      </w:r>
      <w:r w:rsidR="00656388" w:rsidRPr="003B4362">
        <w:t xml:space="preserve">using source water </w:t>
      </w:r>
      <w:r w:rsidRPr="003B4362">
        <w:t xml:space="preserve">contaminated by </w:t>
      </w:r>
      <w:r w:rsidR="00656388" w:rsidRPr="003B4362">
        <w:t xml:space="preserve">effluent </w:t>
      </w:r>
      <w:r w:rsidRPr="003B4362">
        <w:t xml:space="preserve">from </w:t>
      </w:r>
      <w:r w:rsidR="00656388" w:rsidRPr="003B4362">
        <w:t xml:space="preserve">a </w:t>
      </w:r>
      <w:r w:rsidRPr="003B4362">
        <w:t xml:space="preserve">nuclear </w:t>
      </w:r>
      <w:r w:rsidR="00656388" w:rsidRPr="003B4362">
        <w:t xml:space="preserve">facility </w:t>
      </w:r>
      <w:bookmarkEnd w:id="4071"/>
      <w:r w:rsidRPr="003B4362">
        <w:t xml:space="preserve">must sample for beta particle and photon radioactivity.  </w:t>
      </w:r>
      <w:r w:rsidR="00656388" w:rsidRPr="003B4362">
        <w:t>T</w:t>
      </w:r>
      <w:bookmarkStart w:id="4072" w:name="_Hlk133246836"/>
      <w:r w:rsidR="00656388" w:rsidRPr="003B4362">
        <w:t xml:space="preserve">he </w:t>
      </w:r>
      <w:r w:rsidRPr="003B4362">
        <w:t>supplier must collect</w:t>
      </w:r>
      <w:bookmarkEnd w:id="4072"/>
      <w:r w:rsidRPr="003B4362">
        <w:t xml:space="preserve"> quarterly samples for beta emitters and iodine-131 and annual samples for tritium and strontium-90 at each </w:t>
      </w:r>
      <w:bookmarkStart w:id="4073" w:name="_Hlk133246891"/>
      <w:r w:rsidRPr="003B4362">
        <w:t xml:space="preserve">entry point to </w:t>
      </w:r>
      <w:r w:rsidR="00656388" w:rsidRPr="003B4362">
        <w:t xml:space="preserve">its </w:t>
      </w:r>
      <w:r w:rsidRPr="003B4362">
        <w:t>distribution system</w:t>
      </w:r>
      <w:bookmarkEnd w:id="4073"/>
      <w:r w:rsidRPr="003B4362">
        <w:t xml:space="preserve"> </w:t>
      </w:r>
      <w:bookmarkStart w:id="4074" w:name="_Hlk133246972"/>
      <w:r w:rsidRPr="003B4362">
        <w:t>(a sampling point)</w:t>
      </w:r>
      <w:bookmarkEnd w:id="4074"/>
      <w:r w:rsidRPr="003B4362">
        <w:t xml:space="preserve"> </w:t>
      </w:r>
      <w:bookmarkStart w:id="4075" w:name="_Hlk133247056"/>
      <w:r w:rsidRPr="003B4362">
        <w:t>beginning within one quarter</w:t>
      </w:r>
      <w:bookmarkEnd w:id="4075"/>
      <w:r w:rsidRPr="003B4362">
        <w:t xml:space="preserve"> </w:t>
      </w:r>
      <w:bookmarkStart w:id="4076" w:name="_Hlk133247087"/>
      <w:r w:rsidRPr="003B4362">
        <w:t>after the Agency</w:t>
      </w:r>
      <w:r w:rsidR="00656388" w:rsidRPr="003B4362">
        <w:t xml:space="preserve"> issues the SEP</w:t>
      </w:r>
      <w:bookmarkEnd w:id="4076"/>
      <w:r w:rsidRPr="003B4362">
        <w:t xml:space="preserve">.  A supplier already designated by the Agency as a supplier using waters contaminated by effluents from nuclear facilities must continue to sample until </w:t>
      </w:r>
      <w:bookmarkStart w:id="4077" w:name="_Hlk133247133"/>
      <w:r w:rsidRPr="003B4362">
        <w:t xml:space="preserve">the Agency reviews and </w:t>
      </w:r>
      <w:r w:rsidR="00094E34" w:rsidRPr="003B4362">
        <w:t xml:space="preserve">issues a SEP removing </w:t>
      </w:r>
      <w:r w:rsidRPr="003B4362">
        <w:t>the designation</w:t>
      </w:r>
      <w:bookmarkEnd w:id="4077"/>
      <w:r w:rsidRPr="003B4362">
        <w:t>.</w:t>
      </w:r>
    </w:p>
    <w:p w14:paraId="5853B274" w14:textId="77777777" w:rsidR="004F3F98" w:rsidRDefault="004F3F98" w:rsidP="004F3F98">
      <w:pPr>
        <w:widowControl w:val="0"/>
        <w:ind w:left="2160" w:hanging="720"/>
      </w:pPr>
    </w:p>
    <w:p w14:paraId="4B41044E" w14:textId="722D8BA8" w:rsidR="004F7532" w:rsidRPr="003B4362" w:rsidRDefault="004F7532" w:rsidP="004F3F98">
      <w:pPr>
        <w:widowControl w:val="0"/>
        <w:ind w:left="2160" w:hanging="720"/>
      </w:pPr>
      <w:r w:rsidRPr="003B4362">
        <w:t>1)</w:t>
      </w:r>
      <w:r w:rsidRPr="003B4362">
        <w:tab/>
      </w:r>
      <w:r w:rsidR="00656388" w:rsidRPr="003B4362">
        <w:t>T</w:t>
      </w:r>
      <w:bookmarkStart w:id="4078" w:name="_Hlk133247268"/>
      <w:r w:rsidR="00656388" w:rsidRPr="003B4362">
        <w:t xml:space="preserve">he supplier must base quarterly </w:t>
      </w:r>
      <w:r w:rsidRPr="003B4362">
        <w:t xml:space="preserve">monitoring for gross beta particle activity </w:t>
      </w:r>
      <w:r w:rsidRPr="003B4362">
        <w:lastRenderedPageBreak/>
        <w:t>on analysis</w:t>
      </w:r>
      <w:bookmarkEnd w:id="4078"/>
      <w:r w:rsidRPr="003B4362">
        <w:t xml:space="preserve"> of monthly samples </w:t>
      </w:r>
      <w:bookmarkStart w:id="4079" w:name="_Hlk133247332"/>
      <w:r w:rsidRPr="003B4362">
        <w:t>or the analysis of a composite</w:t>
      </w:r>
      <w:bookmarkEnd w:id="4079"/>
      <w:r w:rsidRPr="003B4362">
        <w:t xml:space="preserve"> of three monthly samples.</w:t>
      </w:r>
    </w:p>
    <w:p w14:paraId="634D28A6" w14:textId="77777777" w:rsidR="004F3F98" w:rsidRDefault="004F3F98" w:rsidP="004F3F98">
      <w:pPr>
        <w:widowControl w:val="0"/>
        <w:ind w:left="2160"/>
      </w:pPr>
    </w:p>
    <w:p w14:paraId="184EF27D" w14:textId="1DF1E0E3" w:rsidR="004F7532" w:rsidRPr="003B4362" w:rsidRDefault="004F7532" w:rsidP="004F3F98">
      <w:pPr>
        <w:widowControl w:val="0"/>
        <w:ind w:left="2160"/>
      </w:pPr>
      <w:r w:rsidRPr="003B4362">
        <w:t xml:space="preserve">BOARD NOTE:  In corresponding 40 CFR 141.26(b)(2)(i), </w:t>
      </w:r>
      <w:bookmarkStart w:id="4080" w:name="_Hlk133247405"/>
      <w:r w:rsidRPr="003B4362">
        <w:t xml:space="preserve">USEPA recommends </w:t>
      </w:r>
      <w:r w:rsidR="002A01F2" w:rsidRPr="003B4362">
        <w:t xml:space="preserve">using </w:t>
      </w:r>
      <w:r w:rsidRPr="003B4362">
        <w:t>composite samples</w:t>
      </w:r>
      <w:bookmarkEnd w:id="4080"/>
      <w:r w:rsidRPr="003B4362">
        <w:t>.</w:t>
      </w:r>
    </w:p>
    <w:p w14:paraId="592E83B7" w14:textId="77777777" w:rsidR="004F3F98" w:rsidRDefault="004F3F98" w:rsidP="004F3F98">
      <w:pPr>
        <w:widowControl w:val="0"/>
        <w:ind w:left="2160" w:hanging="720"/>
      </w:pPr>
    </w:p>
    <w:p w14:paraId="27B96A32" w14:textId="221D4D63" w:rsidR="004F7532" w:rsidRPr="003B4362" w:rsidRDefault="004F7532" w:rsidP="004F3F98">
      <w:pPr>
        <w:widowControl w:val="0"/>
        <w:ind w:left="2160" w:hanging="720"/>
      </w:pPr>
      <w:r w:rsidRPr="003B4362">
        <w:t>2)</w:t>
      </w:r>
      <w:r w:rsidRPr="003B4362">
        <w:tab/>
        <w:t xml:space="preserve">For iodine-131, </w:t>
      </w:r>
      <w:bookmarkStart w:id="4081" w:name="_Hlk133247459"/>
      <w:r w:rsidR="002A01F2" w:rsidRPr="003B4362">
        <w:t xml:space="preserve">the supplier must analyze </w:t>
      </w:r>
      <w:r w:rsidRPr="003B4362">
        <w:t xml:space="preserve">a composite of five consecutive daily samples </w:t>
      </w:r>
      <w:bookmarkEnd w:id="4081"/>
      <w:r w:rsidRPr="003B4362">
        <w:t>once each quarter.  T</w:t>
      </w:r>
      <w:bookmarkStart w:id="4082" w:name="_Hlk133247543"/>
      <w:r w:rsidRPr="003B4362">
        <w:t xml:space="preserve">he Agency must </w:t>
      </w:r>
      <w:r w:rsidR="00094E34" w:rsidRPr="003B4362">
        <w:t xml:space="preserve">issue a SEP requiring </w:t>
      </w:r>
      <w:r w:rsidRPr="003B4362">
        <w:t>more frequent monitoring</w:t>
      </w:r>
      <w:bookmarkEnd w:id="4082"/>
      <w:r w:rsidRPr="003B4362">
        <w:t xml:space="preserve"> for iodine-131 </w:t>
      </w:r>
      <w:bookmarkStart w:id="4083" w:name="_Hlk133247647"/>
      <w:r w:rsidR="005B7BD2" w:rsidRPr="003B4362">
        <w:rPr>
          <w:spacing w:val="-3"/>
        </w:rPr>
        <w:t xml:space="preserve">if </w:t>
      </w:r>
      <w:r w:rsidR="00094E34" w:rsidRPr="003B4362">
        <w:rPr>
          <w:spacing w:val="-3"/>
        </w:rPr>
        <w:t xml:space="preserve">analysis identifies </w:t>
      </w:r>
      <w:r w:rsidRPr="003B4362">
        <w:t xml:space="preserve">iodine-131 </w:t>
      </w:r>
      <w:bookmarkEnd w:id="4083"/>
      <w:r w:rsidRPr="003B4362">
        <w:t>in the finished water.</w:t>
      </w:r>
    </w:p>
    <w:p w14:paraId="0BA26CBE" w14:textId="77777777" w:rsidR="004F3F98" w:rsidRDefault="004F3F98" w:rsidP="004F3F98">
      <w:pPr>
        <w:widowControl w:val="0"/>
        <w:ind w:left="2160" w:hanging="720"/>
      </w:pPr>
    </w:p>
    <w:p w14:paraId="0F2BD044" w14:textId="687FD886" w:rsidR="004F7532" w:rsidRPr="003B4362" w:rsidRDefault="004F7532" w:rsidP="004F3F98">
      <w:pPr>
        <w:widowControl w:val="0"/>
        <w:ind w:left="2160" w:hanging="720"/>
      </w:pPr>
      <w:r w:rsidRPr="003B4362">
        <w:t>3)</w:t>
      </w:r>
      <w:r w:rsidRPr="003B4362">
        <w:tab/>
      </w:r>
      <w:r w:rsidR="002A01F2" w:rsidRPr="003B4362">
        <w:t>T</w:t>
      </w:r>
      <w:bookmarkStart w:id="4084" w:name="_Hlk133247758"/>
      <w:r w:rsidR="002A01F2" w:rsidRPr="003B4362">
        <w:t xml:space="preserve">he supplier must annually monitor </w:t>
      </w:r>
      <w:r w:rsidRPr="003B4362">
        <w:t xml:space="preserve">for strontium-90 and tritium </w:t>
      </w:r>
      <w:r w:rsidR="002A01F2" w:rsidRPr="003B4362">
        <w:t xml:space="preserve">using </w:t>
      </w:r>
      <w:r w:rsidRPr="003B4362">
        <w:t>a composite</w:t>
      </w:r>
      <w:bookmarkEnd w:id="4084"/>
      <w:r w:rsidRPr="003B4362">
        <w:t xml:space="preserve"> of four consecutive quarterly samples </w:t>
      </w:r>
      <w:bookmarkStart w:id="4085" w:name="_Hlk133247827"/>
      <w:r w:rsidRPr="003B4362">
        <w:t>or four quarterly samples</w:t>
      </w:r>
      <w:bookmarkEnd w:id="4085"/>
      <w:r w:rsidRPr="003B4362">
        <w:t>.</w:t>
      </w:r>
    </w:p>
    <w:p w14:paraId="3516913A" w14:textId="77777777" w:rsidR="004F3F98" w:rsidRDefault="004F3F98" w:rsidP="004F3F98">
      <w:pPr>
        <w:widowControl w:val="0"/>
        <w:ind w:left="2160"/>
      </w:pPr>
    </w:p>
    <w:p w14:paraId="1EE17ADA" w14:textId="71326340" w:rsidR="004F7532" w:rsidRPr="003B4362" w:rsidRDefault="004F7532" w:rsidP="004F3F98">
      <w:pPr>
        <w:widowControl w:val="0"/>
        <w:ind w:left="2160"/>
      </w:pPr>
      <w:r w:rsidRPr="003B4362">
        <w:t xml:space="preserve">BOARD NOTE:  In corresponding 40 CFR 141.26(b)(2)(iii), USEPA recommends </w:t>
      </w:r>
      <w:r w:rsidR="00B902E7" w:rsidRPr="003B4362">
        <w:t xml:space="preserve">using </w:t>
      </w:r>
      <w:r w:rsidRPr="003B4362">
        <w:t>four consecutive quarterly samples.</w:t>
      </w:r>
    </w:p>
    <w:p w14:paraId="286F57E9" w14:textId="77777777" w:rsidR="004F3F98" w:rsidRDefault="004F3F98" w:rsidP="004F3F98">
      <w:pPr>
        <w:widowControl w:val="0"/>
        <w:ind w:left="2160" w:hanging="720"/>
      </w:pPr>
    </w:p>
    <w:p w14:paraId="4B32AEDF" w14:textId="3DCE2507" w:rsidR="004F7532" w:rsidRPr="003B4362" w:rsidRDefault="004F7532" w:rsidP="004F3F98">
      <w:pPr>
        <w:widowControl w:val="0"/>
        <w:ind w:left="2160" w:hanging="720"/>
      </w:pPr>
      <w:r w:rsidRPr="003B4362">
        <w:t>4)</w:t>
      </w:r>
      <w:r w:rsidRPr="003B4362">
        <w:tab/>
        <w:t xml:space="preserve">If the gross beta particle activity minus the naturally occurring potassium-40 beta particle activity at a sampling point </w:t>
      </w:r>
      <w:r w:rsidR="00A854C7" w:rsidRPr="003B4362">
        <w:t>has</w:t>
      </w:r>
      <w:r w:rsidRPr="003B4362">
        <w:t xml:space="preserve"> a running annual average (computed quarterly) less than or equal to 15 pCi/</w:t>
      </w:r>
      <w:r w:rsidR="00CB5C42" w:rsidRPr="003B4362">
        <w:t xml:space="preserve"> L</w:t>
      </w:r>
      <w:r w:rsidRPr="003B4362">
        <w:t xml:space="preserve">, </w:t>
      </w:r>
      <w:bookmarkStart w:id="4086" w:name="_Hlk133247904"/>
      <w:r w:rsidRPr="003B4362">
        <w:t>the Agency may</w:t>
      </w:r>
      <w:r w:rsidR="00AA4731" w:rsidRPr="003B4362">
        <w:t xml:space="preserve"> issue a SEP reducing</w:t>
      </w:r>
      <w:r w:rsidRPr="003B4362">
        <w:t xml:space="preserve"> the frequency</w:t>
      </w:r>
      <w:bookmarkEnd w:id="4086"/>
      <w:r w:rsidRPr="003B4362">
        <w:t xml:space="preserve"> of monitoring at that sampling point to once every three years.  The supplier must collect </w:t>
      </w:r>
      <w:bookmarkStart w:id="4087" w:name="_Hlk133247965"/>
      <w:r w:rsidRPr="003B4362">
        <w:t xml:space="preserve">the samples subsection (b) </w:t>
      </w:r>
      <w:r w:rsidR="00E20BB7" w:rsidRPr="003B4362">
        <w:t>requires</w:t>
      </w:r>
      <w:bookmarkEnd w:id="4087"/>
      <w:r w:rsidR="00E20BB7" w:rsidRPr="003B4362">
        <w:t xml:space="preserve"> </w:t>
      </w:r>
      <w:r w:rsidRPr="003B4362">
        <w:t>during the reduced monitoring period.</w:t>
      </w:r>
    </w:p>
    <w:p w14:paraId="68CE680D" w14:textId="77777777" w:rsidR="004F3F98" w:rsidRDefault="004F3F98" w:rsidP="004F3F98">
      <w:pPr>
        <w:widowControl w:val="0"/>
        <w:ind w:left="2160" w:hanging="720"/>
      </w:pPr>
    </w:p>
    <w:p w14:paraId="726B8B42" w14:textId="528C3B5E" w:rsidR="004F7532" w:rsidRPr="003B4362" w:rsidRDefault="004F7532" w:rsidP="004F3F98">
      <w:pPr>
        <w:widowControl w:val="0"/>
        <w:ind w:left="2160" w:hanging="720"/>
      </w:pPr>
      <w:r w:rsidRPr="003B4362">
        <w:t>5)</w:t>
      </w:r>
      <w:r w:rsidRPr="003B4362">
        <w:tab/>
        <w:t xml:space="preserve">For a supplier in the vicinity of a nuclear facility, </w:t>
      </w:r>
      <w:bookmarkStart w:id="4088" w:name="_Hlk133248287"/>
      <w:r w:rsidRPr="003B4362">
        <w:t xml:space="preserve">the Agency may </w:t>
      </w:r>
      <w:r w:rsidR="00485498" w:rsidRPr="003B4362">
        <w:t xml:space="preserve">issue a SEP allowing </w:t>
      </w:r>
      <w:r w:rsidRPr="003B4362">
        <w:t xml:space="preserve">the CWS to </w:t>
      </w:r>
      <w:r w:rsidR="00C74739" w:rsidRPr="003B4362">
        <w:t xml:space="preserve">use </w:t>
      </w:r>
      <w:r w:rsidRPr="003B4362">
        <w:t xml:space="preserve">environmental surveillance data </w:t>
      </w:r>
      <w:r w:rsidR="00485498" w:rsidRPr="003B4362">
        <w:t>the nuclear facility collected</w:t>
      </w:r>
      <w:bookmarkEnd w:id="4088"/>
      <w:r w:rsidR="00485498" w:rsidRPr="003B4362">
        <w:t xml:space="preserve"> </w:t>
      </w:r>
      <w:r w:rsidRPr="003B4362">
        <w:t xml:space="preserve">in lieu of monitoring at the system’s entry points </w:t>
      </w:r>
      <w:r w:rsidR="00485498" w:rsidRPr="003B4362">
        <w:rPr>
          <w:spacing w:val="-3"/>
        </w:rPr>
        <w:t xml:space="preserve">upon </w:t>
      </w:r>
      <w:r w:rsidR="00485498" w:rsidRPr="003B4362">
        <w:t xml:space="preserve">determining the nuclear facility’s </w:t>
      </w:r>
      <w:r w:rsidRPr="003B4362">
        <w:t xml:space="preserve">the Agency a SEP that data </w:t>
      </w:r>
      <w:r w:rsidR="00485498" w:rsidRPr="003B4362">
        <w:t xml:space="preserve">are pertinent </w:t>
      </w:r>
      <w:r w:rsidRPr="003B4362">
        <w:t xml:space="preserve">to the </w:t>
      </w:r>
      <w:r w:rsidR="00485498" w:rsidRPr="003B4362">
        <w:t xml:space="preserve">supplier’s </w:t>
      </w:r>
      <w:r w:rsidRPr="003B4362">
        <w:t xml:space="preserve">system.  </w:t>
      </w:r>
      <w:r w:rsidR="00485498" w:rsidRPr="003B4362">
        <w:t>If a release from a nuclear facility occurs</w:t>
      </w:r>
      <w:r w:rsidRPr="003B4362">
        <w:t xml:space="preserve">, a supplier </w:t>
      </w:r>
      <w:r w:rsidR="00DC6CA9" w:rsidRPr="003B4362">
        <w:t xml:space="preserve">using </w:t>
      </w:r>
      <w:r w:rsidRPr="003B4362">
        <w:t xml:space="preserve">surveillance data must begin monitoring at the CWS’s entry points </w:t>
      </w:r>
      <w:r w:rsidR="00485498" w:rsidRPr="003B4362">
        <w:t xml:space="preserve">under </w:t>
      </w:r>
      <w:r w:rsidRPr="003B4362">
        <w:t>subsection (b)</w:t>
      </w:r>
      <w:r w:rsidR="00993A82" w:rsidRPr="003B4362">
        <w:t>(1)</w:t>
      </w:r>
      <w:r w:rsidRPr="003B4362">
        <w:t>.</w:t>
      </w:r>
    </w:p>
    <w:p w14:paraId="6B08F749" w14:textId="77777777" w:rsidR="004F3F98" w:rsidRDefault="004F3F98" w:rsidP="004F3F98">
      <w:pPr>
        <w:widowControl w:val="0"/>
        <w:ind w:left="1440" w:hanging="720"/>
      </w:pPr>
    </w:p>
    <w:p w14:paraId="22CA528C" w14:textId="517AB1EF" w:rsidR="004F7532" w:rsidRPr="003B4362" w:rsidRDefault="004F7532" w:rsidP="004F3F98">
      <w:pPr>
        <w:widowControl w:val="0"/>
        <w:ind w:left="1440" w:hanging="720"/>
      </w:pPr>
      <w:r w:rsidRPr="003B4362">
        <w:t>c)</w:t>
      </w:r>
      <w:r w:rsidRPr="003B4362">
        <w:tab/>
        <w:t xml:space="preserve">A CWS supplier the Agency </w:t>
      </w:r>
      <w:r w:rsidR="00993A82" w:rsidRPr="003B4362">
        <w:t xml:space="preserve">designates </w:t>
      </w:r>
      <w:r w:rsidRPr="003B4362">
        <w:t>to monitor for beta particle and photon radioactivity cannot apply to the Agency for a waiver from the monitoring frequencies in subsection (a) or (b).</w:t>
      </w:r>
    </w:p>
    <w:p w14:paraId="712D71F8" w14:textId="77777777" w:rsidR="004F3F98" w:rsidRDefault="004F3F98" w:rsidP="004F3F98">
      <w:pPr>
        <w:widowControl w:val="0"/>
        <w:ind w:left="1440" w:hanging="720"/>
      </w:pPr>
    </w:p>
    <w:p w14:paraId="46CD8A2B" w14:textId="5203A713" w:rsidR="004F7532" w:rsidRPr="003B4362" w:rsidRDefault="004F7532" w:rsidP="004F3F98">
      <w:pPr>
        <w:widowControl w:val="0"/>
        <w:ind w:left="1440" w:hanging="720"/>
      </w:pPr>
      <w:r w:rsidRPr="003B4362">
        <w:t>d)</w:t>
      </w:r>
      <w:r w:rsidRPr="003B4362">
        <w:tab/>
        <w:t xml:space="preserve">A CWS supplier may analyze for naturally occurring potassium-40 beta particle activity </w:t>
      </w:r>
      <w:r w:rsidR="00F33738" w:rsidRPr="003B4362">
        <w:t xml:space="preserve">using </w:t>
      </w:r>
      <w:r w:rsidRPr="003B4362">
        <w:t xml:space="preserve">the same or </w:t>
      </w:r>
      <w:r w:rsidR="00F33738" w:rsidRPr="003B4362">
        <w:t xml:space="preserve">an </w:t>
      </w:r>
      <w:r w:rsidRPr="003B4362">
        <w:t xml:space="preserve">equivalent sample </w:t>
      </w:r>
      <w:r w:rsidR="00F33738" w:rsidRPr="003B4362">
        <w:t xml:space="preserve">it </w:t>
      </w:r>
      <w:r w:rsidRPr="003B4362">
        <w:t xml:space="preserve">used for the gross beta particle activity analysis.  A supplier </w:t>
      </w:r>
      <w:r w:rsidR="000818FF" w:rsidRPr="003B4362">
        <w:t xml:space="preserve">may </w:t>
      </w:r>
      <w:r w:rsidRPr="003B4362">
        <w:t xml:space="preserve">subtract the potassium-40 beta particle activity value from the total gross beta particle activity value to determine if </w:t>
      </w:r>
      <w:r w:rsidR="000818FF" w:rsidRPr="003B4362">
        <w:t xml:space="preserve">it exceeded </w:t>
      </w:r>
      <w:r w:rsidRPr="003B4362">
        <w:t xml:space="preserve">the screening level.  The </w:t>
      </w:r>
      <w:r w:rsidR="000818FF" w:rsidRPr="003B4362">
        <w:t xml:space="preserve">supplier must calculate </w:t>
      </w:r>
      <w:r w:rsidRPr="003B4362">
        <w:t>potassium-40 beta particle activity by multiplying elemental potassium concentrations (in mg/</w:t>
      </w:r>
      <w:r w:rsidR="00CB5C42" w:rsidRPr="003B4362">
        <w:t xml:space="preserve"> L</w:t>
      </w:r>
      <w:r w:rsidRPr="003B4362">
        <w:t>) by a factor of 0.82</w:t>
      </w:r>
      <w:r w:rsidR="0037208F" w:rsidRPr="003B4362">
        <w:t xml:space="preserve"> pCi/mg.</w:t>
      </w:r>
    </w:p>
    <w:p w14:paraId="25AE1B89" w14:textId="77777777" w:rsidR="004F3F98" w:rsidRDefault="004F3F98" w:rsidP="004F3F98">
      <w:pPr>
        <w:widowControl w:val="0"/>
        <w:ind w:left="1440" w:hanging="720"/>
      </w:pPr>
    </w:p>
    <w:p w14:paraId="563A6E22" w14:textId="777A30C6" w:rsidR="004F7532" w:rsidRPr="003B4362" w:rsidRDefault="004F7532" w:rsidP="004F3F98">
      <w:pPr>
        <w:widowControl w:val="0"/>
        <w:ind w:left="1440" w:hanging="720"/>
      </w:pPr>
      <w:r w:rsidRPr="003B4362">
        <w:t>e)</w:t>
      </w:r>
      <w:r w:rsidRPr="003B4362">
        <w:tab/>
        <w:t xml:space="preserve">If the gross beta particle activity minus the naturally occurring potassium-40 beta </w:t>
      </w:r>
      <w:r w:rsidRPr="003B4362">
        <w:lastRenderedPageBreak/>
        <w:t xml:space="preserve">particle activity exceeds the appropriate screening level, </w:t>
      </w:r>
      <w:bookmarkStart w:id="4089" w:name="_Hlk133254885"/>
      <w:r w:rsidR="00664436" w:rsidRPr="003B4362">
        <w:t xml:space="preserve">the supplier must analyze </w:t>
      </w:r>
      <w:r w:rsidRPr="003B4362">
        <w:t xml:space="preserve">the sample </w:t>
      </w:r>
      <w:bookmarkEnd w:id="4089"/>
      <w:r w:rsidRPr="003B4362">
        <w:t>to identify the major radioactive constituents present in the sample</w:t>
      </w:r>
      <w:bookmarkStart w:id="4090" w:name="_Hlk133254964"/>
      <w:r w:rsidR="00CB5C42" w:rsidRPr="003B4362">
        <w:t xml:space="preserve">, as well as </w:t>
      </w:r>
      <w:r w:rsidR="00664436" w:rsidRPr="003B4362">
        <w:t xml:space="preserve">calculate and sum </w:t>
      </w:r>
      <w:r w:rsidRPr="003B4362">
        <w:t xml:space="preserve">the appropriate doses </w:t>
      </w:r>
      <w:bookmarkEnd w:id="4090"/>
      <w:r w:rsidRPr="003B4362">
        <w:t xml:space="preserve">to determine compliance with Section 611.330(d)(1) using the formula in </w:t>
      </w:r>
      <w:bookmarkStart w:id="4091" w:name="_Hlk133255110"/>
      <w:r w:rsidRPr="003B4362">
        <w:t>Section 611.330(d)(2)</w:t>
      </w:r>
      <w:bookmarkEnd w:id="4091"/>
      <w:r w:rsidRPr="003B4362">
        <w:t xml:space="preserve">.  </w:t>
      </w:r>
      <w:r w:rsidR="00664436" w:rsidRPr="003B4362">
        <w:t>T</w:t>
      </w:r>
      <w:bookmarkStart w:id="4092" w:name="_Hlk133255164"/>
      <w:r w:rsidR="00664436" w:rsidRPr="003B4362">
        <w:t xml:space="preserve">he suppler must also calculate and combine doses </w:t>
      </w:r>
      <w:bookmarkEnd w:id="4092"/>
      <w:r w:rsidRPr="003B4362">
        <w:t>for measured levels of tritium and strontium to determine compliance.</w:t>
      </w:r>
    </w:p>
    <w:p w14:paraId="2B7B4E51" w14:textId="77777777" w:rsidR="004F3F98" w:rsidRDefault="004F3F98" w:rsidP="004F3F98">
      <w:pPr>
        <w:widowControl w:val="0"/>
        <w:ind w:left="1440" w:hanging="720"/>
      </w:pPr>
    </w:p>
    <w:p w14:paraId="1A9FF861" w14:textId="23631723" w:rsidR="004F7532" w:rsidRPr="003B4362" w:rsidRDefault="004F7532" w:rsidP="004F3F98">
      <w:pPr>
        <w:widowControl w:val="0"/>
        <w:ind w:left="1440" w:hanging="720"/>
      </w:pPr>
      <w:r w:rsidRPr="003B4362">
        <w:t>f)</w:t>
      </w:r>
      <w:r w:rsidRPr="003B4362">
        <w:tab/>
        <w:t xml:space="preserve">A supplier must monitor monthly at </w:t>
      </w:r>
      <w:bookmarkStart w:id="4093" w:name="_Hlk133255362"/>
      <w:r w:rsidRPr="003B4362">
        <w:t xml:space="preserve">the sampling points </w:t>
      </w:r>
      <w:r w:rsidR="00664436" w:rsidRPr="003B4362">
        <w:t xml:space="preserve">exceeding </w:t>
      </w:r>
      <w:r w:rsidRPr="003B4362">
        <w:t xml:space="preserve">the </w:t>
      </w:r>
      <w:r w:rsidR="00664436" w:rsidRPr="003B4362">
        <w:t xml:space="preserve">MCL </w:t>
      </w:r>
      <w:bookmarkEnd w:id="4093"/>
      <w:r w:rsidRPr="003B4362">
        <w:t xml:space="preserve">in Section 611.330(d) beginning the month after the exceedance occurs.  A supplier must continue monthly monitoring until </w:t>
      </w:r>
      <w:bookmarkStart w:id="4094" w:name="_Hlk133255497"/>
      <w:r w:rsidRPr="003B4362">
        <w:t xml:space="preserve">the supplier </w:t>
      </w:r>
      <w:r w:rsidR="00A854C7" w:rsidRPr="003B4362">
        <w:t>has</w:t>
      </w:r>
      <w:r w:rsidRPr="003B4362">
        <w:t xml:space="preserve"> established</w:t>
      </w:r>
      <w:r w:rsidR="00BD023B" w:rsidRPr="003B4362">
        <w:t xml:space="preserve"> that it meets the MCL</w:t>
      </w:r>
      <w:r w:rsidRPr="003B4362">
        <w:t xml:space="preserve"> by a rolling average of three monthly samples</w:t>
      </w:r>
      <w:bookmarkEnd w:id="4094"/>
      <w:r w:rsidRPr="003B4362">
        <w:t xml:space="preserve">.  A supplier </w:t>
      </w:r>
      <w:r w:rsidR="00BD023B" w:rsidRPr="003B4362">
        <w:t xml:space="preserve">establishing </w:t>
      </w:r>
      <w:r w:rsidRPr="003B4362">
        <w:t xml:space="preserve">that </w:t>
      </w:r>
      <w:r w:rsidR="00BD023B" w:rsidRPr="003B4362">
        <w:t xml:space="preserve">it meets </w:t>
      </w:r>
      <w:r w:rsidRPr="003B4362">
        <w:t xml:space="preserve">the MCL must return to quarterly monitoring </w:t>
      </w:r>
      <w:bookmarkStart w:id="4095" w:name="_Hlk133256649"/>
      <w:r w:rsidRPr="003B4362">
        <w:t xml:space="preserve">until it </w:t>
      </w:r>
      <w:r w:rsidR="008915B2" w:rsidRPr="003B4362">
        <w:t xml:space="preserve">complies with </w:t>
      </w:r>
      <w:r w:rsidRPr="003B4362">
        <w:t>subsection (a)(1) or (b)(4)</w:t>
      </w:r>
      <w:bookmarkEnd w:id="4095"/>
      <w:r w:rsidRPr="003B4362">
        <w:t>.</w:t>
      </w:r>
    </w:p>
    <w:p w14:paraId="045089B6" w14:textId="77777777" w:rsidR="004F3F98" w:rsidRDefault="004F3F98" w:rsidP="004F3F98">
      <w:pPr>
        <w:widowControl w:val="0"/>
      </w:pPr>
    </w:p>
    <w:p w14:paraId="0608558B" w14:textId="34784089" w:rsidR="004F7532" w:rsidRPr="003B4362" w:rsidRDefault="004F7532" w:rsidP="004F3F98">
      <w:pPr>
        <w:widowControl w:val="0"/>
      </w:pPr>
      <w:r w:rsidRPr="003B4362">
        <w:t xml:space="preserve">BOARD NOTE:  </w:t>
      </w:r>
      <w:r w:rsidR="00260D73" w:rsidRPr="003B4362">
        <w:rPr>
          <w:spacing w:val="-3"/>
        </w:rPr>
        <w:t xml:space="preserve">This Section derives </w:t>
      </w:r>
      <w:r w:rsidRPr="003B4362">
        <w:t>from 40 CFR 141.26(b).</w:t>
      </w:r>
    </w:p>
    <w:p w14:paraId="7619A93C" w14:textId="77777777" w:rsidR="004F3F98" w:rsidRDefault="004F3F98" w:rsidP="004F3F98">
      <w:pPr>
        <w:suppressAutoHyphens/>
        <w:ind w:left="720"/>
      </w:pPr>
    </w:p>
    <w:p w14:paraId="08C660BC" w14:textId="20BFB89A" w:rsidR="004F7532" w:rsidRPr="003B4362" w:rsidRDefault="00EB353D" w:rsidP="004F3F9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5FF986A7" w14:textId="77777777" w:rsidR="00C46B20" w:rsidRPr="003B4362" w:rsidRDefault="00C46B20" w:rsidP="004F3F98">
      <w:pPr>
        <w:suppressAutoHyphens/>
        <w:ind w:left="720"/>
      </w:pPr>
    </w:p>
    <w:p w14:paraId="3D79B85B" w14:textId="77777777" w:rsidR="004F7532" w:rsidRPr="003B4362" w:rsidRDefault="004F7532" w:rsidP="004F3F98">
      <w:pPr>
        <w:rPr>
          <w:b/>
          <w:bCs/>
        </w:rPr>
      </w:pPr>
      <w:r w:rsidRPr="003B4362">
        <w:rPr>
          <w:b/>
          <w:bCs/>
        </w:rPr>
        <w:t>Section 611.733  General Monitoring and Compliance Requirements</w:t>
      </w:r>
    </w:p>
    <w:p w14:paraId="7641A46B" w14:textId="77777777" w:rsidR="004F3F98" w:rsidRDefault="004F3F98" w:rsidP="004F3F98">
      <w:pPr>
        <w:ind w:left="1440" w:hanging="720"/>
      </w:pPr>
    </w:p>
    <w:p w14:paraId="01A24D69" w14:textId="517E52F7" w:rsidR="004F7532" w:rsidRPr="003B4362" w:rsidRDefault="004F7532" w:rsidP="004F3F98">
      <w:pPr>
        <w:ind w:left="1440" w:hanging="720"/>
      </w:pPr>
      <w:r w:rsidRPr="003B4362">
        <w:t>a)</w:t>
      </w:r>
      <w:r w:rsidRPr="003B4362">
        <w:tab/>
        <w:t>T</w:t>
      </w:r>
      <w:bookmarkStart w:id="4096" w:name="_Hlk133256915"/>
      <w:r w:rsidRPr="003B4362">
        <w:t>he Agency may</w:t>
      </w:r>
      <w:r w:rsidR="00904CB2" w:rsidRPr="003B4362">
        <w:t xml:space="preserve"> issue a SEP requiring</w:t>
      </w:r>
      <w:r w:rsidRPr="003B4362">
        <w:t xml:space="preserve"> more frequent monitoring</w:t>
      </w:r>
      <w:bookmarkStart w:id="4097" w:name="_Hlk133259433"/>
      <w:bookmarkEnd w:id="4096"/>
      <w:r w:rsidRPr="003B4362">
        <w:t xml:space="preserve"> than Sections 611.731 and 611.732 </w:t>
      </w:r>
      <w:r w:rsidR="00504695" w:rsidRPr="003B4362">
        <w:t xml:space="preserve">specify </w:t>
      </w:r>
      <w:r w:rsidRPr="003B4362">
        <w:t xml:space="preserve">or </w:t>
      </w:r>
      <w:r w:rsidR="00504695" w:rsidRPr="003B4362">
        <w:t xml:space="preserve">requiring </w:t>
      </w:r>
      <w:r w:rsidRPr="003B4362">
        <w:t>confirmation samples</w:t>
      </w:r>
      <w:bookmarkEnd w:id="4097"/>
      <w:r w:rsidRPr="003B4362">
        <w:t>.  T</w:t>
      </w:r>
      <w:bookmarkStart w:id="4098" w:name="_Hlk133259649"/>
      <w:r w:rsidRPr="003B4362">
        <w:t xml:space="preserve">he </w:t>
      </w:r>
      <w:r w:rsidR="00C90D21" w:rsidRPr="003B4362">
        <w:t xml:space="preserve">supplier must average the </w:t>
      </w:r>
      <w:r w:rsidRPr="003B4362">
        <w:t xml:space="preserve">results of the initial and confirmation samples </w:t>
      </w:r>
      <w:r w:rsidR="00C90D21" w:rsidRPr="003B4362">
        <w:t>to determine whether it complies</w:t>
      </w:r>
      <w:bookmarkEnd w:id="4098"/>
      <w:r w:rsidRPr="003B4362">
        <w:t>.</w:t>
      </w:r>
    </w:p>
    <w:p w14:paraId="70788919" w14:textId="77777777" w:rsidR="004F3F98" w:rsidRDefault="004F3F98" w:rsidP="004F3F98">
      <w:pPr>
        <w:ind w:left="1440" w:hanging="720"/>
      </w:pPr>
    </w:p>
    <w:p w14:paraId="4A805A29" w14:textId="4F4DA324" w:rsidR="004F7532" w:rsidRPr="003B4362" w:rsidRDefault="004F7532" w:rsidP="004F3F98">
      <w:pPr>
        <w:ind w:left="1440" w:hanging="720"/>
      </w:pPr>
      <w:r w:rsidRPr="003B4362">
        <w:t>b)</w:t>
      </w:r>
      <w:r w:rsidRPr="003B4362">
        <w:tab/>
      </w:r>
      <w:r w:rsidR="00C90D21" w:rsidRPr="003B4362">
        <w:t>A</w:t>
      </w:r>
      <w:bookmarkStart w:id="4099" w:name="_Hlk133259853"/>
      <w:r w:rsidR="00C90D21" w:rsidRPr="003B4362">
        <w:t xml:space="preserve"> </w:t>
      </w:r>
      <w:r w:rsidRPr="003B4362">
        <w:t xml:space="preserve">PWS supplier must monitor at the time the Agency </w:t>
      </w:r>
      <w:r w:rsidR="00C90D21" w:rsidRPr="003B4362">
        <w:t>designates</w:t>
      </w:r>
      <w:bookmarkEnd w:id="4099"/>
      <w:r w:rsidR="00C90D21" w:rsidRPr="003B4362">
        <w:t xml:space="preserve"> </w:t>
      </w:r>
      <w:r w:rsidRPr="003B4362">
        <w:t>during each compliance period.</w:t>
      </w:r>
    </w:p>
    <w:p w14:paraId="6B36858B" w14:textId="77777777" w:rsidR="004F3F98" w:rsidRDefault="004F3F98" w:rsidP="004F3F98">
      <w:pPr>
        <w:ind w:left="1440" w:hanging="720"/>
      </w:pPr>
    </w:p>
    <w:p w14:paraId="390FA665" w14:textId="5B3068EF" w:rsidR="004F7532" w:rsidRPr="003B4362" w:rsidRDefault="004F7532" w:rsidP="004F3F98">
      <w:pPr>
        <w:ind w:left="1440" w:hanging="720"/>
      </w:pPr>
      <w:r w:rsidRPr="003B4362">
        <w:t>c)</w:t>
      </w:r>
      <w:r w:rsidRPr="003B4362">
        <w:tab/>
        <w:t xml:space="preserve">Compliance.  </w:t>
      </w:r>
      <w:r w:rsidR="00C90D21" w:rsidRPr="003B4362">
        <w:t>A</w:t>
      </w:r>
      <w:bookmarkStart w:id="4100" w:name="_Hlk133260810"/>
      <w:r w:rsidR="00C90D21" w:rsidRPr="003B4362">
        <w:t xml:space="preserve"> supplier must determine whether it c</w:t>
      </w:r>
      <w:r w:rsidR="00D97756" w:rsidRPr="003B4362">
        <w:t>ompl</w:t>
      </w:r>
      <w:r w:rsidR="00C90D21" w:rsidRPr="003B4362">
        <w:t>ies</w:t>
      </w:r>
      <w:r w:rsidR="00D97756" w:rsidRPr="003B4362">
        <w:t xml:space="preserve"> </w:t>
      </w:r>
      <w:r w:rsidRPr="003B4362">
        <w:t xml:space="preserve">with Section 611.330(b) through (e) </w:t>
      </w:r>
      <w:bookmarkEnd w:id="4100"/>
      <w:r w:rsidRPr="003B4362">
        <w:t xml:space="preserve">based on the analytical results </w:t>
      </w:r>
      <w:r w:rsidR="00C90D21" w:rsidRPr="003B4362">
        <w:t xml:space="preserve">it obtains </w:t>
      </w:r>
      <w:r w:rsidRPr="003B4362">
        <w:t xml:space="preserve">at each sampling point.  If one sampling point </w:t>
      </w:r>
      <w:bookmarkStart w:id="4101" w:name="_Hlk133260971"/>
      <w:r w:rsidR="00C90D21" w:rsidRPr="003B4362">
        <w:t xml:space="preserve">violates </w:t>
      </w:r>
      <w:r w:rsidRPr="003B4362">
        <w:t>an MCL</w:t>
      </w:r>
      <w:bookmarkEnd w:id="4101"/>
      <w:r w:rsidRPr="003B4362">
        <w:t xml:space="preserve">, the supplier </w:t>
      </w:r>
      <w:r w:rsidR="00C90D21" w:rsidRPr="003B4362">
        <w:t xml:space="preserve">violates </w:t>
      </w:r>
      <w:r w:rsidRPr="003B4362">
        <w:t>the MCL.</w:t>
      </w:r>
    </w:p>
    <w:p w14:paraId="226252F3" w14:textId="77777777" w:rsidR="004F3F98" w:rsidRDefault="004F3F98" w:rsidP="004F3F98">
      <w:pPr>
        <w:ind w:left="2160" w:hanging="720"/>
      </w:pPr>
    </w:p>
    <w:p w14:paraId="286F4B48" w14:textId="25AE14D7" w:rsidR="004F7532" w:rsidRPr="003B4362" w:rsidRDefault="004F7532" w:rsidP="004F3F98">
      <w:pPr>
        <w:ind w:left="2160" w:hanging="720"/>
      </w:pPr>
      <w:r w:rsidRPr="003B4362">
        <w:t>1)</w:t>
      </w:r>
      <w:r w:rsidRPr="003B4362">
        <w:tab/>
      </w:r>
      <w:r w:rsidR="009C5C9B" w:rsidRPr="003B4362">
        <w:t>A</w:t>
      </w:r>
      <w:bookmarkStart w:id="4102" w:name="_Hlk133261848"/>
      <w:r w:rsidR="009C5C9B" w:rsidRPr="003B4362">
        <w:t xml:space="preserve"> </w:t>
      </w:r>
      <w:r w:rsidRPr="003B4362">
        <w:t xml:space="preserve">supplier monitoring more than once per year </w:t>
      </w:r>
      <w:r w:rsidR="009C5C9B" w:rsidRPr="003B4362">
        <w:t xml:space="preserve">must run an annual average at each sampling point to determine whether it complies </w:t>
      </w:r>
      <w:r w:rsidRPr="003B4362">
        <w:t>with the MCL</w:t>
      </w:r>
      <w:bookmarkEnd w:id="4102"/>
      <w:r w:rsidRPr="003B4362">
        <w:t xml:space="preserve">.  If the average of any sampling point is greater than the MCL, </w:t>
      </w:r>
      <w:bookmarkStart w:id="4103" w:name="_Hlk133262044"/>
      <w:r w:rsidRPr="003B4362">
        <w:t xml:space="preserve">the supplier </w:t>
      </w:r>
      <w:r w:rsidR="009C5C9B" w:rsidRPr="003B4362">
        <w:t xml:space="preserve">does not comply </w:t>
      </w:r>
      <w:r w:rsidRPr="003B4362">
        <w:t>with the MCL</w:t>
      </w:r>
      <w:bookmarkEnd w:id="4103"/>
      <w:r w:rsidRPr="003B4362">
        <w:t>.</w:t>
      </w:r>
    </w:p>
    <w:p w14:paraId="0D0B2642" w14:textId="77777777" w:rsidR="004F3F98" w:rsidRDefault="004F3F98" w:rsidP="004F3F98">
      <w:pPr>
        <w:ind w:left="2160" w:hanging="720"/>
      </w:pPr>
    </w:p>
    <w:p w14:paraId="50A7D3C9" w14:textId="3114FBC3" w:rsidR="004F7532" w:rsidRPr="003B4362" w:rsidRDefault="004F7532" w:rsidP="004F3F98">
      <w:pPr>
        <w:ind w:left="2160" w:hanging="720"/>
      </w:pPr>
      <w:r w:rsidRPr="003B4362">
        <w:t>2)</w:t>
      </w:r>
      <w:r w:rsidRPr="003B4362">
        <w:tab/>
      </w:r>
      <w:r w:rsidR="00CD2B7F" w:rsidRPr="003B4362">
        <w:t>A</w:t>
      </w:r>
      <w:bookmarkStart w:id="4104" w:name="_Hlk133262455"/>
      <w:r w:rsidR="00CD2B7F" w:rsidRPr="003B4362">
        <w:t xml:space="preserve"> </w:t>
      </w:r>
      <w:r w:rsidRPr="003B4362">
        <w:t>supplier monitoring more than once per year</w:t>
      </w:r>
      <w:r w:rsidR="00CD2B7F" w:rsidRPr="003B4362">
        <w:t xml:space="preserve"> immediately does not comply with an MCL</w:t>
      </w:r>
      <w:r w:rsidRPr="003B4362">
        <w:t xml:space="preserve"> if any sample result would cause the running average to exceed the MCL at any single sampling point</w:t>
      </w:r>
      <w:bookmarkEnd w:id="4104"/>
      <w:r w:rsidRPr="003B4362">
        <w:t>.</w:t>
      </w:r>
    </w:p>
    <w:p w14:paraId="214F3083" w14:textId="77777777" w:rsidR="004F3F98" w:rsidRDefault="004F3F98" w:rsidP="004F3F98">
      <w:pPr>
        <w:ind w:left="2160" w:hanging="720"/>
      </w:pPr>
    </w:p>
    <w:p w14:paraId="51749C90" w14:textId="7FC77136" w:rsidR="004F7532" w:rsidRPr="003B4362" w:rsidRDefault="004F7532" w:rsidP="004F3F98">
      <w:pPr>
        <w:ind w:left="2160" w:hanging="720"/>
      </w:pPr>
      <w:r w:rsidRPr="003B4362">
        <w:t>3)</w:t>
      </w:r>
      <w:r w:rsidRPr="003B4362">
        <w:tab/>
        <w:t>A</w:t>
      </w:r>
      <w:bookmarkStart w:id="4105" w:name="_Hlk133263216"/>
      <w:r w:rsidRPr="003B4362">
        <w:t xml:space="preserve"> supplier must include all samples </w:t>
      </w:r>
      <w:r w:rsidR="00544DC4" w:rsidRPr="003B4362">
        <w:t xml:space="preserve">it takes and analyzes </w:t>
      </w:r>
      <w:bookmarkStart w:id="4106" w:name="_Hlk133263264"/>
      <w:bookmarkEnd w:id="4105"/>
      <w:r w:rsidRPr="003B4362">
        <w:t>under this Section and Sections 611.731 and 611.732</w:t>
      </w:r>
      <w:bookmarkEnd w:id="4106"/>
      <w:r w:rsidR="00544DC4" w:rsidRPr="003B4362">
        <w:t xml:space="preserve"> </w:t>
      </w:r>
      <w:bookmarkStart w:id="4107" w:name="_Hlk133263413"/>
      <w:r w:rsidR="00544DC4" w:rsidRPr="003B4362">
        <w:t>to determine whether it complies</w:t>
      </w:r>
      <w:bookmarkEnd w:id="4107"/>
      <w:r w:rsidRPr="003B4362">
        <w:t xml:space="preserve">, even if that number is </w:t>
      </w:r>
      <w:bookmarkStart w:id="4108" w:name="_Hlk133263507"/>
      <w:r w:rsidRPr="003B4362">
        <w:t xml:space="preserve">greater than the </w:t>
      </w:r>
      <w:r w:rsidR="00544DC4" w:rsidRPr="003B4362">
        <w:t xml:space="preserve">required </w:t>
      </w:r>
      <w:r w:rsidRPr="003B4362">
        <w:t>minimum</w:t>
      </w:r>
      <w:bookmarkEnd w:id="4108"/>
      <w:r w:rsidRPr="003B4362">
        <w:t>.</w:t>
      </w:r>
    </w:p>
    <w:p w14:paraId="30C0E692" w14:textId="77777777" w:rsidR="004F3F98" w:rsidRDefault="004F3F98" w:rsidP="004F3F98">
      <w:pPr>
        <w:ind w:left="2160" w:hanging="720"/>
      </w:pPr>
    </w:p>
    <w:p w14:paraId="01A7124A" w14:textId="7604C9DC" w:rsidR="004F7532" w:rsidRPr="003B4362" w:rsidRDefault="004F7532" w:rsidP="004F3F98">
      <w:pPr>
        <w:ind w:left="2160" w:hanging="720"/>
      </w:pPr>
      <w:r w:rsidRPr="003B4362">
        <w:lastRenderedPageBreak/>
        <w:t>4)</w:t>
      </w:r>
      <w:r w:rsidRPr="003B4362">
        <w:tab/>
        <w:t xml:space="preserve">If a supplier does not collect </w:t>
      </w:r>
      <w:bookmarkStart w:id="4109" w:name="_Hlk133264023"/>
      <w:r w:rsidRPr="003B4362">
        <w:t xml:space="preserve">all required samples </w:t>
      </w:r>
      <w:r w:rsidR="00F86159" w:rsidRPr="003B4362">
        <w:t xml:space="preserve">to determine its </w:t>
      </w:r>
      <w:r w:rsidRPr="003B4362">
        <w:t>compliance based on a running annual average</w:t>
      </w:r>
      <w:bookmarkEnd w:id="4109"/>
      <w:r w:rsidRPr="003B4362">
        <w:t xml:space="preserve"> of quarterly samples, </w:t>
      </w:r>
      <w:bookmarkStart w:id="4110" w:name="_Hlk133264182"/>
      <w:r w:rsidR="00F86159" w:rsidRPr="003B4362">
        <w:t xml:space="preserve">the supplier must determine whether it complies </w:t>
      </w:r>
      <w:r w:rsidRPr="003B4362">
        <w:t xml:space="preserve">based on the running average of the samples </w:t>
      </w:r>
      <w:r w:rsidR="00F86159" w:rsidRPr="003B4362">
        <w:t xml:space="preserve">it </w:t>
      </w:r>
      <w:r w:rsidRPr="003B4362">
        <w:t>collected</w:t>
      </w:r>
      <w:bookmarkEnd w:id="4110"/>
      <w:r w:rsidRPr="003B4362">
        <w:t>.</w:t>
      </w:r>
    </w:p>
    <w:p w14:paraId="6A5729A6" w14:textId="77777777" w:rsidR="004F3F98" w:rsidRDefault="004F3F98" w:rsidP="004F3F98">
      <w:pPr>
        <w:ind w:left="2160" w:hanging="720"/>
      </w:pPr>
    </w:p>
    <w:p w14:paraId="0175496C" w14:textId="735A4D5F" w:rsidR="004F7532" w:rsidRPr="003B4362" w:rsidRDefault="004F7532" w:rsidP="004F3F98">
      <w:pPr>
        <w:ind w:left="2160" w:hanging="720"/>
      </w:pPr>
      <w:r w:rsidRPr="003B4362">
        <w:t>5)</w:t>
      </w:r>
      <w:r w:rsidRPr="003B4362">
        <w:tab/>
        <w:t xml:space="preserve">If a sample result is less than the detection limit, </w:t>
      </w:r>
      <w:bookmarkStart w:id="4111" w:name="_Hlk133264479"/>
      <w:r w:rsidR="00F86159" w:rsidRPr="003B4362">
        <w:t xml:space="preserve">the supplier must use </w:t>
      </w:r>
      <w:r w:rsidRPr="003B4362">
        <w:t xml:space="preserve">zero </w:t>
      </w:r>
      <w:bookmarkEnd w:id="4111"/>
      <w:r w:rsidRPr="003B4362">
        <w:t xml:space="preserve">to calculate the annual average, </w:t>
      </w:r>
      <w:bookmarkStart w:id="4112" w:name="_Hlk133264550"/>
      <w:r w:rsidRPr="003B4362">
        <w:t xml:space="preserve">unless </w:t>
      </w:r>
      <w:r w:rsidR="00F86159" w:rsidRPr="003B4362">
        <w:t xml:space="preserve">the supplier uses </w:t>
      </w:r>
      <w:r w:rsidRPr="003B4362">
        <w:t xml:space="preserve">a gross alpha particle activity </w:t>
      </w:r>
      <w:bookmarkEnd w:id="4112"/>
      <w:r w:rsidRPr="003B4362">
        <w:t xml:space="preserve">in lieu of radium-226 or uranium.  If the gross alpha particle activity result is </w:t>
      </w:r>
      <w:bookmarkStart w:id="4113" w:name="_Hlk133267151"/>
      <w:r w:rsidRPr="003B4362">
        <w:t xml:space="preserve">less than </w:t>
      </w:r>
      <w:r w:rsidR="007271FC" w:rsidRPr="003B4362">
        <w:t xml:space="preserve">the </w:t>
      </w:r>
      <w:r w:rsidRPr="003B4362">
        <w:t>detection</w:t>
      </w:r>
      <w:r w:rsidR="007271FC" w:rsidRPr="003B4362">
        <w:t xml:space="preserve"> limit</w:t>
      </w:r>
      <w:bookmarkEnd w:id="4113"/>
      <w:r w:rsidRPr="003B4362">
        <w:t xml:space="preserve">, </w:t>
      </w:r>
      <w:r w:rsidR="003E7D9E" w:rsidRPr="003B4362">
        <w:t>t</w:t>
      </w:r>
      <w:bookmarkStart w:id="4114" w:name="_Hlk133267200"/>
      <w:r w:rsidR="003E7D9E" w:rsidRPr="003B4362">
        <w:t xml:space="preserve">he supplier must use </w:t>
      </w:r>
      <w:r w:rsidRPr="003B4362">
        <w:t xml:space="preserve">one-half the detection limit </w:t>
      </w:r>
      <w:bookmarkEnd w:id="4114"/>
      <w:r w:rsidRPr="003B4362">
        <w:t>to calculate the annual average.</w:t>
      </w:r>
    </w:p>
    <w:p w14:paraId="033BFBE8" w14:textId="77777777" w:rsidR="004F3F98" w:rsidRDefault="004F3F98" w:rsidP="004F3F98">
      <w:pPr>
        <w:ind w:left="1440" w:hanging="720"/>
      </w:pPr>
    </w:p>
    <w:p w14:paraId="0B8E71FB" w14:textId="2CE5B420" w:rsidR="004F7532" w:rsidRPr="003B4362" w:rsidRDefault="004F7532" w:rsidP="004F3F98">
      <w:pPr>
        <w:ind w:left="1440" w:hanging="720"/>
      </w:pPr>
      <w:r w:rsidRPr="003B4362">
        <w:t>d)</w:t>
      </w:r>
      <w:r w:rsidRPr="003B4362">
        <w:tab/>
        <w:t>T</w:t>
      </w:r>
      <w:bookmarkStart w:id="4115" w:name="_Hlk133267357"/>
      <w:r w:rsidRPr="003B4362">
        <w:t>he Agency may</w:t>
      </w:r>
      <w:r w:rsidR="00904CB2" w:rsidRPr="003B4362">
        <w:t xml:space="preserve"> issue a SEP allowing</w:t>
      </w:r>
      <w:r w:rsidRPr="003B4362">
        <w:t xml:space="preserve"> the supplier</w:t>
      </w:r>
      <w:bookmarkEnd w:id="4115"/>
      <w:r w:rsidRPr="003B4362">
        <w:t xml:space="preserve"> to delete results of </w:t>
      </w:r>
      <w:bookmarkStart w:id="4116" w:name="_Hlk133267429"/>
      <w:r w:rsidRPr="003B4362">
        <w:t>obvious sampling or analytic errors</w:t>
      </w:r>
      <w:bookmarkEnd w:id="4116"/>
      <w:r w:rsidRPr="003B4362">
        <w:t>.</w:t>
      </w:r>
    </w:p>
    <w:p w14:paraId="1DF4F81A" w14:textId="77777777" w:rsidR="004F3F98" w:rsidRDefault="004F3F98" w:rsidP="004F3F98">
      <w:pPr>
        <w:ind w:left="1440" w:hanging="720"/>
      </w:pPr>
    </w:p>
    <w:p w14:paraId="72B75C91" w14:textId="2F3BA350" w:rsidR="004F7532" w:rsidRPr="003B4362" w:rsidRDefault="004F7532" w:rsidP="004F3F98">
      <w:pPr>
        <w:ind w:left="1440" w:hanging="720"/>
      </w:pPr>
      <w:r w:rsidRPr="003B4362">
        <w:t>e)</w:t>
      </w:r>
      <w:r w:rsidRPr="003B4362">
        <w:tab/>
      </w:r>
      <w:bookmarkStart w:id="4117" w:name="_Hlk133267749"/>
      <w:r w:rsidR="00B363F2" w:rsidRPr="003B4362">
        <w:t>A</w:t>
      </w:r>
      <w:bookmarkStart w:id="4118" w:name="_Hlk133269163"/>
      <w:r w:rsidR="002A5B78" w:rsidRPr="003B4362">
        <w:t xml:space="preserve"> CWS supplier exceed</w:t>
      </w:r>
      <w:r w:rsidR="00B363F2" w:rsidRPr="003B4362">
        <w:t>ing</w:t>
      </w:r>
      <w:r w:rsidR="002A5B78" w:rsidRPr="003B4362">
        <w:t xml:space="preserve"> </w:t>
      </w:r>
      <w:r w:rsidRPr="003B4362">
        <w:t xml:space="preserve">the MCL for </w:t>
      </w:r>
      <w:r w:rsidR="00B363F2" w:rsidRPr="003B4362">
        <w:t xml:space="preserve">a </w:t>
      </w:r>
      <w:r w:rsidR="00AC086F" w:rsidRPr="003B4362">
        <w:t xml:space="preserve">radioactive contaminant </w:t>
      </w:r>
      <w:r w:rsidRPr="003B4362">
        <w:t xml:space="preserve">in Section </w:t>
      </w:r>
      <w:r w:rsidR="002A5B78" w:rsidRPr="003B4362">
        <w:t xml:space="preserve">611.330(b) </w:t>
      </w:r>
      <w:r w:rsidRPr="003B4362">
        <w:t>through (e)</w:t>
      </w:r>
      <w:bookmarkStart w:id="4119" w:name="_Hlk133268637"/>
      <w:bookmarkEnd w:id="4117"/>
      <w:r w:rsidRPr="003B4362">
        <w:t xml:space="preserve"> must </w:t>
      </w:r>
      <w:r w:rsidR="00367647" w:rsidRPr="003B4362">
        <w:t xml:space="preserve">notify </w:t>
      </w:r>
      <w:r w:rsidRPr="003B4362">
        <w:t>the Agency</w:t>
      </w:r>
      <w:bookmarkEnd w:id="4118"/>
      <w:bookmarkEnd w:id="4119"/>
      <w:r w:rsidRPr="003B4362">
        <w:t xml:space="preserve"> under Section 611.840 </w:t>
      </w:r>
      <w:bookmarkStart w:id="4120" w:name="_Hlk133269287"/>
      <w:r w:rsidRPr="003B4362">
        <w:t>and the public</w:t>
      </w:r>
      <w:r w:rsidR="00367647" w:rsidRPr="003B4362">
        <w:t xml:space="preserve"> under</w:t>
      </w:r>
      <w:r w:rsidRPr="003B4362">
        <w:t xml:space="preserve"> Subpart V</w:t>
      </w:r>
      <w:bookmarkEnd w:id="4120"/>
      <w:r w:rsidRPr="003B4362">
        <w:t>.</w:t>
      </w:r>
    </w:p>
    <w:p w14:paraId="52411C5C" w14:textId="77777777" w:rsidR="004F3F98" w:rsidRDefault="004F3F98" w:rsidP="004F3F98"/>
    <w:p w14:paraId="7F6728F2" w14:textId="59DEC53A" w:rsidR="004F7532" w:rsidRPr="003B4362" w:rsidRDefault="004F7532" w:rsidP="004F3F98">
      <w:r w:rsidRPr="003B4362">
        <w:t xml:space="preserve">BOARD NOTE:  </w:t>
      </w:r>
      <w:r w:rsidR="00260D73" w:rsidRPr="003B4362">
        <w:rPr>
          <w:spacing w:val="-3"/>
        </w:rPr>
        <w:t xml:space="preserve">This Section derives </w:t>
      </w:r>
      <w:r w:rsidRPr="003B4362">
        <w:t>from 40 CFR 141.26(c).</w:t>
      </w:r>
    </w:p>
    <w:p w14:paraId="720BF728" w14:textId="77777777" w:rsidR="004F3F98" w:rsidRDefault="004F3F98" w:rsidP="004F3F98">
      <w:pPr>
        <w:suppressAutoHyphens/>
        <w:ind w:left="720"/>
      </w:pPr>
    </w:p>
    <w:p w14:paraId="339ABFFB" w14:textId="26E9CA8B" w:rsidR="004F7532" w:rsidRPr="003B4362" w:rsidRDefault="00EB353D" w:rsidP="004F3F9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09F8DE7F" w14:textId="77777777" w:rsidR="00C46B20" w:rsidRPr="003B4362" w:rsidRDefault="00C46B20" w:rsidP="00C46B20">
      <w:pPr>
        <w:suppressAutoHyphens/>
        <w:ind w:left="720"/>
      </w:pPr>
    </w:p>
    <w:p w14:paraId="335400DF" w14:textId="25E45CFF" w:rsidR="00BA2F03" w:rsidRPr="003B4362" w:rsidRDefault="00BA2F03" w:rsidP="00C46B20">
      <w:pPr>
        <w:jc w:val="center"/>
      </w:pPr>
      <w:r w:rsidRPr="003B4362">
        <w:t>SUBPART R:  ENHANCED FILTRATION AND DISINFECTION:  SYSTEMS THAT SERVE 10,000 OR MORE PEOPLE</w:t>
      </w:r>
    </w:p>
    <w:p w14:paraId="44D07A61" w14:textId="77777777" w:rsidR="00C46B20" w:rsidRPr="003B4362" w:rsidRDefault="00C46B20" w:rsidP="00C46B20">
      <w:pPr>
        <w:jc w:val="center"/>
      </w:pPr>
    </w:p>
    <w:bookmarkEnd w:id="3889"/>
    <w:p w14:paraId="38B22C33" w14:textId="528F1F43" w:rsidR="00BA2F03" w:rsidRDefault="00BA2F03" w:rsidP="004F3F98">
      <w:pPr>
        <w:rPr>
          <w:b/>
          <w:bCs/>
        </w:rPr>
      </w:pPr>
      <w:r w:rsidRPr="003B4362">
        <w:rPr>
          <w:b/>
          <w:bCs/>
        </w:rPr>
        <w:t>Section 611.740  General Requirements</w:t>
      </w:r>
    </w:p>
    <w:p w14:paraId="57AF1D5D" w14:textId="77777777" w:rsidR="004F3F98" w:rsidRPr="003B4362" w:rsidRDefault="004F3F98" w:rsidP="004F3F98">
      <w:pPr>
        <w:rPr>
          <w:b/>
          <w:bCs/>
        </w:rPr>
      </w:pPr>
    </w:p>
    <w:p w14:paraId="26567B6B" w14:textId="31911651" w:rsidR="00BA2F03" w:rsidRDefault="00BA2F03" w:rsidP="004F3F98">
      <w:pPr>
        <w:suppressAutoHyphens/>
        <w:ind w:left="1440" w:hanging="720"/>
      </w:pPr>
      <w:r w:rsidRPr="003B4362">
        <w:t>a)</w:t>
      </w:r>
      <w:r w:rsidRPr="003B4362">
        <w:tab/>
      </w:r>
      <w:r w:rsidR="00A167EB" w:rsidRPr="003B4362">
        <w:t xml:space="preserve">This </w:t>
      </w:r>
      <w:r w:rsidRPr="003B4362">
        <w:t xml:space="preserve">Subpart R </w:t>
      </w:r>
      <w:r w:rsidR="00A167EB" w:rsidRPr="003B4362">
        <w:t xml:space="preserve">contains </w:t>
      </w:r>
      <w:r w:rsidRPr="003B4362">
        <w:t xml:space="preserve">National Primary Drinking Water Regulations.  </w:t>
      </w:r>
      <w:r w:rsidR="00A167EB" w:rsidRPr="003B4362">
        <w:t xml:space="preserve">These Subpart R </w:t>
      </w:r>
      <w:r w:rsidRPr="003B4362">
        <w:t xml:space="preserve">requirements for filtration and disinfection </w:t>
      </w:r>
      <w:r w:rsidR="00A167EB" w:rsidRPr="003B4362">
        <w:t xml:space="preserve">apply </w:t>
      </w:r>
      <w:r w:rsidRPr="003B4362">
        <w:t xml:space="preserve">in addition to </w:t>
      </w:r>
      <w:r w:rsidR="00A167EB" w:rsidRPr="003B4362">
        <w:t xml:space="preserve">those applying </w:t>
      </w:r>
      <w:r w:rsidRPr="003B4362">
        <w:t xml:space="preserve">under Subpart B.  </w:t>
      </w:r>
      <w:r w:rsidR="00A167EB" w:rsidRPr="003B4362">
        <w:t xml:space="preserve">This </w:t>
      </w:r>
      <w:r w:rsidRPr="003B4362">
        <w:t xml:space="preserve">Subpart R </w:t>
      </w:r>
      <w:r w:rsidR="00A167EB" w:rsidRPr="003B4362">
        <w:t xml:space="preserve">applies </w:t>
      </w:r>
      <w:r w:rsidRPr="003B4362">
        <w:t>to a Subpart B system supplier serving 10,000 or more persons, unless this Subpart R</w:t>
      </w:r>
      <w:r w:rsidR="00A167EB" w:rsidRPr="003B4362">
        <w:t xml:space="preserve"> specifies otherwise</w:t>
      </w:r>
      <w:r w:rsidRPr="003B4362">
        <w:t xml:space="preserve">.  </w:t>
      </w:r>
      <w:r w:rsidR="00A167EB" w:rsidRPr="003B4362">
        <w:t xml:space="preserve">This </w:t>
      </w:r>
      <w:r w:rsidRPr="003B4362">
        <w:t xml:space="preserve">Subpart R </w:t>
      </w:r>
      <w:r w:rsidR="00A167EB" w:rsidRPr="003B4362">
        <w:t>estab</w:t>
      </w:r>
      <w:r w:rsidR="00682747" w:rsidRPr="003B4362">
        <w:t xml:space="preserve">lishes </w:t>
      </w:r>
      <w:r w:rsidRPr="003B4362">
        <w:t xml:space="preserve">or </w:t>
      </w:r>
      <w:r w:rsidR="00682747" w:rsidRPr="003B4362">
        <w:t xml:space="preserve">extends </w:t>
      </w:r>
      <w:r w:rsidRPr="003B4362">
        <w:t xml:space="preserve">treatment </w:t>
      </w:r>
      <w:r w:rsidR="00682747" w:rsidRPr="003B4362">
        <w:t xml:space="preserve">techniques </w:t>
      </w:r>
      <w:r w:rsidRPr="003B4362">
        <w:t xml:space="preserve">in lieu of MCLs for </w:t>
      </w:r>
      <w:r w:rsidR="00682747" w:rsidRPr="003B4362">
        <w:t xml:space="preserve">certain </w:t>
      </w:r>
      <w:r w:rsidRPr="003B4362">
        <w:t xml:space="preserve">contaminants:  Giardia lamblia, viruses, heterotrophic plate count bacteria, Legionella, Cryptosporidium, and turbidity.  </w:t>
      </w:r>
      <w:r w:rsidR="00682747" w:rsidRPr="003B4362">
        <w:t xml:space="preserve">A </w:t>
      </w:r>
      <w:r w:rsidRPr="003B4362">
        <w:t xml:space="preserve">Subpart B system supplier serving 10,000 or more persons must </w:t>
      </w:r>
      <w:r w:rsidR="00682747" w:rsidRPr="003B4362">
        <w:t xml:space="preserve">treat </w:t>
      </w:r>
      <w:r w:rsidRPr="003B4362">
        <w:t xml:space="preserve">its source water </w:t>
      </w:r>
      <w:r w:rsidR="00682747" w:rsidRPr="003B4362">
        <w:t xml:space="preserve">complying </w:t>
      </w:r>
      <w:r w:rsidRPr="003B4362">
        <w:t xml:space="preserve">with </w:t>
      </w:r>
      <w:r w:rsidR="0034793D" w:rsidRPr="003B4362">
        <w:t xml:space="preserve">the </w:t>
      </w:r>
      <w:r w:rsidRPr="003B4362">
        <w:t xml:space="preserve">treatment </w:t>
      </w:r>
      <w:r w:rsidR="00682747" w:rsidRPr="003B4362">
        <w:t xml:space="preserve">techniques </w:t>
      </w:r>
      <w:r w:rsidR="0034793D" w:rsidRPr="003B4362">
        <w:t xml:space="preserve">in this Subpart R </w:t>
      </w:r>
      <w:r w:rsidRPr="003B4362">
        <w:t xml:space="preserve">and are in addition to those in Section 611.220.  The treatment </w:t>
      </w:r>
      <w:r w:rsidR="000C071E" w:rsidRPr="003B4362">
        <w:t xml:space="preserve">techniques in this Subpart R </w:t>
      </w:r>
      <w:r w:rsidRPr="003B4362">
        <w:t>consist of installing and properly operating water treatment processes reliably</w:t>
      </w:r>
      <w:r w:rsidR="000C071E" w:rsidRPr="003B4362">
        <w:t xml:space="preserve"> achieving two objectives</w:t>
      </w:r>
      <w:r w:rsidRPr="003B4362">
        <w:t>:</w:t>
      </w:r>
    </w:p>
    <w:p w14:paraId="2611E517" w14:textId="77777777" w:rsidR="004F3F98" w:rsidRPr="003B4362" w:rsidRDefault="004F3F98" w:rsidP="004F3F98">
      <w:pPr>
        <w:suppressAutoHyphens/>
        <w:ind w:left="1440" w:hanging="720"/>
      </w:pPr>
    </w:p>
    <w:p w14:paraId="5EC97802" w14:textId="178E57A9" w:rsidR="00BA2F03" w:rsidRDefault="00BA2F03" w:rsidP="004F3F98">
      <w:pPr>
        <w:suppressAutoHyphens/>
        <w:ind w:left="2160" w:hanging="720"/>
      </w:pPr>
      <w:r w:rsidRPr="003B4362">
        <w:t>1)</w:t>
      </w:r>
      <w:r w:rsidRPr="003B4362">
        <w:tab/>
        <w:t>At least 99 percent (2-log) removal of Cryptosporidium between a point where the raw water is not subject to recontamination by surface water runoff and a point downstream before or at the first customer for</w:t>
      </w:r>
      <w:r w:rsidR="007141B1" w:rsidRPr="003B4362">
        <w:t xml:space="preserve"> </w:t>
      </w:r>
      <w:r w:rsidR="000C071E" w:rsidRPr="003B4362">
        <w:t>a supplier applying filtration treatment</w:t>
      </w:r>
      <w:r w:rsidRPr="003B4362">
        <w:t>; and</w:t>
      </w:r>
    </w:p>
    <w:p w14:paraId="4AC599A1" w14:textId="77777777" w:rsidR="004F3F98" w:rsidRPr="003B4362" w:rsidRDefault="004F3F98" w:rsidP="004F3F98">
      <w:pPr>
        <w:suppressAutoHyphens/>
        <w:ind w:left="2160" w:hanging="720"/>
      </w:pPr>
    </w:p>
    <w:p w14:paraId="720DD125" w14:textId="19A387E9" w:rsidR="00BA2F03" w:rsidRDefault="00BA2F03" w:rsidP="004F3F98">
      <w:pPr>
        <w:suppressAutoHyphens/>
        <w:ind w:left="2160" w:hanging="720"/>
      </w:pPr>
      <w:r w:rsidRPr="003B4362">
        <w:lastRenderedPageBreak/>
        <w:t>2)</w:t>
      </w:r>
      <w:r w:rsidRPr="003B4362">
        <w:tab/>
        <w:t>Compliance with the profiling and benchmark requirements under Section 611.742.</w:t>
      </w:r>
    </w:p>
    <w:p w14:paraId="31A1C7FE" w14:textId="77777777" w:rsidR="004F3F98" w:rsidRPr="003B4362" w:rsidRDefault="004F3F98" w:rsidP="004F3F98">
      <w:pPr>
        <w:suppressAutoHyphens/>
        <w:ind w:left="2160" w:hanging="720"/>
      </w:pPr>
    </w:p>
    <w:p w14:paraId="171D7247" w14:textId="268226A7" w:rsidR="00BA2F03" w:rsidRDefault="00BA2F03" w:rsidP="004F3F98">
      <w:pPr>
        <w:suppressAutoHyphens/>
        <w:ind w:left="1440" w:hanging="720"/>
      </w:pPr>
      <w:r w:rsidRPr="003B4362">
        <w:t>b)</w:t>
      </w:r>
      <w:r w:rsidRPr="003B4362">
        <w:tab/>
        <w:t xml:space="preserve">A PWS supplier subject to this Subpart R </w:t>
      </w:r>
      <w:r w:rsidR="007D280B" w:rsidRPr="003B4362">
        <w:t xml:space="preserve">complies </w:t>
      </w:r>
      <w:r w:rsidRPr="003B4362">
        <w:t>with subsection (a)</w:t>
      </w:r>
      <w:r w:rsidR="007D280B" w:rsidRPr="003B4362">
        <w:t xml:space="preserve"> if </w:t>
      </w:r>
      <w:r w:rsidR="00A1042C" w:rsidRPr="003B4362">
        <w:t xml:space="preserve">it </w:t>
      </w:r>
      <w:r w:rsidR="007D280B" w:rsidRPr="003B4362">
        <w:t>complies with the applicable filtration requirements in Section 611.250 or 611.743 and the disinfection requirements in Sections 611.240 and 611.742.</w:t>
      </w:r>
    </w:p>
    <w:p w14:paraId="6A11A42A" w14:textId="77777777" w:rsidR="004F3F98" w:rsidRPr="003B4362" w:rsidRDefault="004F3F98" w:rsidP="004F3F98">
      <w:pPr>
        <w:suppressAutoHyphens/>
        <w:ind w:left="1440" w:hanging="720"/>
      </w:pPr>
    </w:p>
    <w:p w14:paraId="4036B15F" w14:textId="41D3D4BF" w:rsidR="00BA2F03" w:rsidRDefault="00BA2F03" w:rsidP="004F3F98">
      <w:pPr>
        <w:suppressAutoHyphens/>
        <w:ind w:left="1440" w:hanging="720"/>
      </w:pPr>
      <w:r w:rsidRPr="003B4362">
        <w:t>c)</w:t>
      </w:r>
      <w:r w:rsidRPr="003B4362">
        <w:tab/>
        <w:t xml:space="preserve">A supplier must not begin </w:t>
      </w:r>
      <w:r w:rsidR="00C6344F" w:rsidRPr="003B4362">
        <w:t xml:space="preserve">constructing an </w:t>
      </w:r>
      <w:r w:rsidRPr="003B4362">
        <w:t>uncovered finished water storage</w:t>
      </w:r>
      <w:r w:rsidR="00C6344F" w:rsidRPr="003B4362">
        <w:t xml:space="preserve"> facility</w:t>
      </w:r>
      <w:r w:rsidRPr="003B4362">
        <w:t>.</w:t>
      </w:r>
    </w:p>
    <w:p w14:paraId="76957608" w14:textId="77777777" w:rsidR="004F3F98" w:rsidRPr="003B4362" w:rsidRDefault="004F3F98" w:rsidP="004F3F98">
      <w:pPr>
        <w:suppressAutoHyphens/>
        <w:ind w:left="1440" w:hanging="720"/>
      </w:pPr>
    </w:p>
    <w:p w14:paraId="0D3F4E73" w14:textId="5EDDF828" w:rsidR="00BA2F03" w:rsidRDefault="00BA2F03" w:rsidP="004F3F98">
      <w:pPr>
        <w:ind w:left="1440" w:hanging="720"/>
      </w:pPr>
      <w:r w:rsidRPr="003B4362">
        <w:t>d)</w:t>
      </w:r>
      <w:r w:rsidRPr="003B4362">
        <w:tab/>
        <w:t xml:space="preserve">A supplier </w:t>
      </w:r>
      <w:r w:rsidR="00C6344F" w:rsidRPr="003B4362">
        <w:t xml:space="preserve">deciding to significantly </w:t>
      </w:r>
      <w:r w:rsidRPr="003B4362">
        <w:t>change its disinfection practice, as Section 611.742(c)(1)(A) through (c)(1)(D)</w:t>
      </w:r>
      <w:r w:rsidR="009210E2" w:rsidRPr="003B4362">
        <w:t xml:space="preserve"> describes,</w:t>
      </w:r>
      <w:r w:rsidRPr="003B4362">
        <w:t xml:space="preserve"> must obtain </w:t>
      </w:r>
      <w:r w:rsidR="009210E2" w:rsidRPr="003B4362">
        <w:t xml:space="preserve">Agency </w:t>
      </w:r>
      <w:r w:rsidRPr="003B4362">
        <w:t xml:space="preserve">approval </w:t>
      </w:r>
      <w:r w:rsidR="009210E2" w:rsidRPr="003B4362">
        <w:t xml:space="preserve">in a SEP before </w:t>
      </w:r>
      <w:r w:rsidRPr="003B4362">
        <w:t xml:space="preserve">of the Agency prior to making </w:t>
      </w:r>
      <w:r w:rsidR="009210E2" w:rsidRPr="003B4362">
        <w:t xml:space="preserve">the significant </w:t>
      </w:r>
      <w:r w:rsidRPr="003B4362">
        <w:t>change.</w:t>
      </w:r>
    </w:p>
    <w:p w14:paraId="0485FC10" w14:textId="77777777" w:rsidR="004F3F98" w:rsidRPr="003B4362" w:rsidRDefault="004F3F98" w:rsidP="004F3F98">
      <w:pPr>
        <w:ind w:left="1440" w:hanging="720"/>
      </w:pPr>
    </w:p>
    <w:p w14:paraId="50B14973" w14:textId="2323AA03" w:rsidR="00BA2F03" w:rsidRDefault="00BA2F03" w:rsidP="004F3F98">
      <w:pPr>
        <w:suppressAutoHyphens/>
        <w:rPr>
          <w:spacing w:val="-2"/>
        </w:rPr>
      </w:pPr>
      <w:r w:rsidRPr="003B4362">
        <w:rPr>
          <w:spacing w:val="-2"/>
        </w:rPr>
        <w:t xml:space="preserve">BOARD NOTE:  </w:t>
      </w:r>
      <w:r w:rsidR="00260D73" w:rsidRPr="003B4362">
        <w:rPr>
          <w:spacing w:val="-3"/>
        </w:rPr>
        <w:t xml:space="preserve">This Section derives </w:t>
      </w:r>
      <w:r w:rsidRPr="003B4362">
        <w:rPr>
          <w:spacing w:val="-2"/>
        </w:rPr>
        <w:t>from 40 CFR 141.170.</w:t>
      </w:r>
    </w:p>
    <w:p w14:paraId="2A3DF169" w14:textId="77777777" w:rsidR="004F3F98" w:rsidRPr="003B4362" w:rsidRDefault="004F3F98" w:rsidP="004F3F98">
      <w:pPr>
        <w:suppressAutoHyphens/>
        <w:rPr>
          <w:spacing w:val="-2"/>
        </w:rPr>
      </w:pPr>
    </w:p>
    <w:p w14:paraId="3C5B990B" w14:textId="637FB7FE" w:rsidR="00BA2F03" w:rsidRPr="003B4362" w:rsidRDefault="00BA2F03" w:rsidP="004F3F98">
      <w:pPr>
        <w:suppressAutoHyphens/>
        <w:ind w:left="720"/>
      </w:pPr>
      <w:r w:rsidRPr="003B4362">
        <w:t>(Source:  A</w:t>
      </w:r>
      <w:r w:rsidRPr="003B4362">
        <w:rPr>
          <w:szCs w:val="17"/>
        </w:rPr>
        <w:t xml:space="preserve">mended at </w:t>
      </w:r>
      <w:r w:rsidR="005605D6" w:rsidRPr="003B4362">
        <w:t xml:space="preserve">47 Ill. Reg. </w:t>
      </w:r>
      <w:r w:rsidR="005605D6">
        <w:t>16486</w:t>
      </w:r>
      <w:r w:rsidR="005605D6" w:rsidRPr="003B4362">
        <w:t xml:space="preserve">, effective </w:t>
      </w:r>
      <w:r w:rsidR="005605D6">
        <w:t>November 2, 2023</w:t>
      </w:r>
      <w:r w:rsidRPr="003B4362">
        <w:t>)</w:t>
      </w:r>
    </w:p>
    <w:p w14:paraId="289C6F97" w14:textId="77777777" w:rsidR="00700487" w:rsidRPr="003B4362" w:rsidRDefault="00700487" w:rsidP="004F3F98">
      <w:pPr>
        <w:suppressAutoHyphens/>
        <w:ind w:left="720"/>
      </w:pPr>
    </w:p>
    <w:p w14:paraId="0D22ED8B" w14:textId="25630517" w:rsidR="009210E2" w:rsidRDefault="009210E2" w:rsidP="004F3F98">
      <w:pPr>
        <w:rPr>
          <w:b/>
          <w:bCs/>
        </w:rPr>
      </w:pPr>
      <w:r w:rsidRPr="003B4362">
        <w:rPr>
          <w:b/>
          <w:bCs/>
        </w:rPr>
        <w:t>Section 611.741  Standards for Filtration</w:t>
      </w:r>
    </w:p>
    <w:p w14:paraId="62C702D1" w14:textId="77777777" w:rsidR="004F3F98" w:rsidRPr="003B4362" w:rsidRDefault="004F3F98" w:rsidP="004F3F98">
      <w:pPr>
        <w:rPr>
          <w:b/>
          <w:bCs/>
        </w:rPr>
      </w:pPr>
    </w:p>
    <w:p w14:paraId="0FFFA0FA" w14:textId="429ABA57" w:rsidR="009210E2" w:rsidRPr="003B4362" w:rsidRDefault="00C525A9" w:rsidP="004F3F98">
      <w:pPr>
        <w:suppressAutoHyphens/>
      </w:pPr>
      <w:r w:rsidRPr="003B4362">
        <w:t xml:space="preserve">A </w:t>
      </w:r>
      <w:r w:rsidR="009210E2" w:rsidRPr="003B4362">
        <w:t xml:space="preserve">PWS supplier </w:t>
      </w:r>
      <w:r w:rsidRPr="003B4362">
        <w:t xml:space="preserve">must apply filtration treatment complying with Subpart B and </w:t>
      </w:r>
      <w:r w:rsidR="009210E2" w:rsidRPr="003B4362">
        <w:t>this Subpart R.</w:t>
      </w:r>
    </w:p>
    <w:p w14:paraId="6EF2E8A2" w14:textId="77777777" w:rsidR="00A8183B" w:rsidRPr="003B4362" w:rsidRDefault="00A8183B" w:rsidP="004F3F98">
      <w:pPr>
        <w:rPr>
          <w:spacing w:val="-2"/>
        </w:rPr>
      </w:pPr>
    </w:p>
    <w:p w14:paraId="0978D787" w14:textId="07C4065D" w:rsidR="009210E2" w:rsidRDefault="009210E2" w:rsidP="004F3F98">
      <w:r w:rsidRPr="003B4362">
        <w:rPr>
          <w:spacing w:val="-2"/>
        </w:rPr>
        <w:t xml:space="preserve">BOARD NOTE:  </w:t>
      </w:r>
      <w:r w:rsidRPr="003B4362">
        <w:rPr>
          <w:spacing w:val="-3"/>
        </w:rPr>
        <w:t xml:space="preserve">This Section </w:t>
      </w:r>
      <w:r w:rsidR="003B2CD3" w:rsidRPr="003B4362">
        <w:rPr>
          <w:spacing w:val="-3"/>
        </w:rPr>
        <w:t xml:space="preserve">originally </w:t>
      </w:r>
      <w:r w:rsidRPr="003B4362">
        <w:rPr>
          <w:spacing w:val="-3"/>
        </w:rPr>
        <w:t>derive</w:t>
      </w:r>
      <w:r w:rsidR="003B2CD3" w:rsidRPr="003B4362">
        <w:rPr>
          <w:spacing w:val="-3"/>
        </w:rPr>
        <w:t>d</w:t>
      </w:r>
      <w:r w:rsidRPr="003B4362">
        <w:rPr>
          <w:spacing w:val="-3"/>
        </w:rPr>
        <w:t xml:space="preserve"> </w:t>
      </w:r>
      <w:r w:rsidRPr="003B4362">
        <w:rPr>
          <w:spacing w:val="-2"/>
        </w:rPr>
        <w:t>from 40 CFR 141.171.</w:t>
      </w:r>
      <w:r w:rsidR="00C525A9" w:rsidRPr="003B4362">
        <w:t xml:space="preserve">  The Board removed provisions for unfiltered system suppliers.  A supplier in Illinois using a surface water source or groundwater under the direct influence of surface water must apply filtration treatment and disinfection to water it provides to the public.</w:t>
      </w:r>
    </w:p>
    <w:p w14:paraId="0634C99F" w14:textId="77777777" w:rsidR="004F3F98" w:rsidRPr="003B4362" w:rsidRDefault="004F3F98" w:rsidP="004F3F98">
      <w:pPr>
        <w:rPr>
          <w:spacing w:val="-2"/>
        </w:rPr>
      </w:pPr>
    </w:p>
    <w:p w14:paraId="7BF110B5" w14:textId="7D8CCCA7" w:rsidR="009210E2" w:rsidRPr="003B4362" w:rsidRDefault="00EB353D" w:rsidP="004F3F9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55EFD1EF" w14:textId="77777777" w:rsidR="00700487" w:rsidRPr="003B4362" w:rsidRDefault="00700487" w:rsidP="004F3F98">
      <w:pPr>
        <w:suppressAutoHyphens/>
        <w:ind w:left="720"/>
      </w:pPr>
    </w:p>
    <w:p w14:paraId="11BA5B52" w14:textId="77777777" w:rsidR="004A1C78" w:rsidRPr="003B4362" w:rsidRDefault="004A1C78" w:rsidP="004F3F98">
      <w:pPr>
        <w:rPr>
          <w:b/>
          <w:bCs/>
        </w:rPr>
      </w:pPr>
      <w:r w:rsidRPr="003B4362">
        <w:rPr>
          <w:b/>
          <w:bCs/>
        </w:rPr>
        <w:t>Section 611.742  Disinfection Profiling and Benchmarking</w:t>
      </w:r>
    </w:p>
    <w:p w14:paraId="33BA20A2" w14:textId="77777777" w:rsidR="004F3F98" w:rsidRDefault="004F3F98" w:rsidP="004F3F98">
      <w:pPr>
        <w:widowControl w:val="0"/>
        <w:suppressAutoHyphens/>
        <w:ind w:left="1440" w:hanging="720"/>
      </w:pPr>
    </w:p>
    <w:p w14:paraId="354E018D" w14:textId="0682B53B" w:rsidR="004A1C78" w:rsidRDefault="004A1C78" w:rsidP="004F3F98">
      <w:pPr>
        <w:widowControl w:val="0"/>
        <w:suppressAutoHyphens/>
        <w:ind w:left="1440" w:hanging="720"/>
      </w:pPr>
      <w:r w:rsidRPr="003B4362">
        <w:t>a)</w:t>
      </w:r>
      <w:r w:rsidRPr="003B4362">
        <w:tab/>
        <w:t>Determination of a Supplier Required to Profile.  A PWS supplier subject to this Subpart R must determine its TTHM annual average under subsection (a)(1) and its HAA5 annual average under subsection (a)(2).  The annual average is the arithmetic average of the quarterly averages from four consecutive quarters of monitoring.</w:t>
      </w:r>
    </w:p>
    <w:p w14:paraId="5F6F4BC2" w14:textId="77777777" w:rsidR="004F3F98" w:rsidRPr="003B4362" w:rsidRDefault="004F3F98" w:rsidP="004F3F98">
      <w:pPr>
        <w:widowControl w:val="0"/>
        <w:suppressAutoHyphens/>
        <w:ind w:left="1440" w:hanging="720"/>
      </w:pPr>
    </w:p>
    <w:p w14:paraId="0C9E50DF" w14:textId="39CAD6A2" w:rsidR="004A1C78" w:rsidRPr="003B4362" w:rsidRDefault="004A1C78" w:rsidP="004F3F98">
      <w:pPr>
        <w:widowControl w:val="0"/>
        <w:suppressAutoHyphens/>
        <w:ind w:left="2160" w:hanging="720"/>
      </w:pPr>
      <w:r w:rsidRPr="003B4362">
        <w:t>1)</w:t>
      </w:r>
      <w:r w:rsidRPr="003B4362">
        <w:tab/>
        <w:t>The supplier must use the TTHM annual average during the same period as the HAA5 annual average.</w:t>
      </w:r>
    </w:p>
    <w:p w14:paraId="428C5809" w14:textId="77777777" w:rsidR="004F3F98" w:rsidRDefault="004F3F98" w:rsidP="004F3F98">
      <w:pPr>
        <w:widowControl w:val="0"/>
        <w:suppressAutoHyphens/>
        <w:ind w:left="2880" w:hanging="720"/>
      </w:pPr>
    </w:p>
    <w:p w14:paraId="30913BE7" w14:textId="4BBA3B93" w:rsidR="004A1C78" w:rsidRPr="003B4362" w:rsidRDefault="004A1C78" w:rsidP="004F3F98">
      <w:pPr>
        <w:widowControl w:val="0"/>
        <w:suppressAutoHyphens/>
        <w:ind w:left="2880" w:hanging="720"/>
      </w:pPr>
      <w:r w:rsidRPr="003B4362">
        <w:t>A)</w:t>
      </w:r>
      <w:r w:rsidRPr="003B4362">
        <w:tab/>
        <w:t>A supplier that collected data under 40 CFR 141 Subpart M (Information Collection Rule) must use the results of the samples collected during the last four quarters of required monitoring under former 40 CFR 141.42 (1995).</w:t>
      </w:r>
    </w:p>
    <w:p w14:paraId="0E1A5830" w14:textId="77777777" w:rsidR="004F3F98" w:rsidRDefault="004F3F98" w:rsidP="004F3F98">
      <w:pPr>
        <w:widowControl w:val="0"/>
        <w:suppressAutoHyphens/>
        <w:ind w:left="2880" w:hanging="720"/>
      </w:pPr>
    </w:p>
    <w:p w14:paraId="4EB3CBEF" w14:textId="1D1A1EBF" w:rsidR="004A1C78" w:rsidRPr="003B4362" w:rsidRDefault="004A1C78" w:rsidP="004F3F98">
      <w:pPr>
        <w:widowControl w:val="0"/>
        <w:suppressAutoHyphens/>
        <w:ind w:left="2880" w:hanging="720"/>
      </w:pPr>
      <w:r w:rsidRPr="003B4362">
        <w:lastRenderedPageBreak/>
        <w:t>B)</w:t>
      </w:r>
      <w:r w:rsidRPr="003B4362">
        <w:tab/>
        <w:t>A supplier using “grandfathered” HAA5 occurrence data under subsection (a)(2)(B) must use TTHM data it collected at the same time under former Section 611.680.</w:t>
      </w:r>
    </w:p>
    <w:p w14:paraId="114241B2" w14:textId="77777777" w:rsidR="004F3F98" w:rsidRDefault="004F3F98" w:rsidP="004F3F98">
      <w:pPr>
        <w:widowControl w:val="0"/>
        <w:suppressAutoHyphens/>
        <w:ind w:left="2880" w:hanging="720"/>
      </w:pPr>
    </w:p>
    <w:p w14:paraId="62A36072" w14:textId="23B5D1E7" w:rsidR="004A1C78" w:rsidRPr="003B4362" w:rsidRDefault="004A1C78" w:rsidP="004F3F98">
      <w:pPr>
        <w:widowControl w:val="0"/>
        <w:suppressAutoHyphens/>
        <w:ind w:left="2880" w:hanging="720"/>
      </w:pPr>
      <w:r w:rsidRPr="003B4362">
        <w:t>C)</w:t>
      </w:r>
      <w:r w:rsidRPr="003B4362">
        <w:tab/>
        <w:t xml:space="preserve">A supplier using HAA5 occurrence data </w:t>
      </w:r>
      <w:r w:rsidR="00841742" w:rsidRPr="003B4362">
        <w:t>under</w:t>
      </w:r>
      <w:r w:rsidRPr="003B4362">
        <w:t xml:space="preserve"> subsection (a)(2)(C)(i) must use TTHM data </w:t>
      </w:r>
      <w:r w:rsidR="003B2D89" w:rsidRPr="003B4362">
        <w:t xml:space="preserve">it </w:t>
      </w:r>
      <w:r w:rsidRPr="003B4362">
        <w:t>collected at the same time under the provisions of Section 611.310 and former Section 611.680.</w:t>
      </w:r>
    </w:p>
    <w:p w14:paraId="455D4E5D" w14:textId="77777777" w:rsidR="004F3F98" w:rsidRDefault="004F3F98" w:rsidP="004F3F98">
      <w:pPr>
        <w:widowControl w:val="0"/>
        <w:suppressAutoHyphens/>
        <w:ind w:left="2160" w:hanging="720"/>
      </w:pPr>
    </w:p>
    <w:p w14:paraId="30B7E057" w14:textId="35DEF4AD" w:rsidR="004A1C78" w:rsidRPr="003B4362" w:rsidRDefault="004A1C78" w:rsidP="004F3F98">
      <w:pPr>
        <w:widowControl w:val="0"/>
        <w:suppressAutoHyphens/>
        <w:ind w:left="2160" w:hanging="720"/>
      </w:pPr>
      <w:r w:rsidRPr="003B4362">
        <w:t>2)</w:t>
      </w:r>
      <w:r w:rsidRPr="003B4362">
        <w:tab/>
        <w:t xml:space="preserve">The HAA5 annual average </w:t>
      </w:r>
      <w:r w:rsidR="00841742" w:rsidRPr="003B4362">
        <w:t xml:space="preserve">the supplier uses </w:t>
      </w:r>
      <w:r w:rsidRPr="003B4362">
        <w:t>must be the annual average during the same period as the TTHM annual average.</w:t>
      </w:r>
    </w:p>
    <w:p w14:paraId="7948E663" w14:textId="77777777" w:rsidR="004F3F98" w:rsidRDefault="004F3F98" w:rsidP="004F3F98">
      <w:pPr>
        <w:widowControl w:val="0"/>
        <w:suppressAutoHyphens/>
        <w:ind w:left="2880" w:hanging="720"/>
      </w:pPr>
    </w:p>
    <w:p w14:paraId="192624CD" w14:textId="2794247F" w:rsidR="004A1C78" w:rsidRPr="003B4362" w:rsidRDefault="004A1C78" w:rsidP="004F3F98">
      <w:pPr>
        <w:widowControl w:val="0"/>
        <w:suppressAutoHyphens/>
        <w:ind w:left="2880" w:hanging="720"/>
      </w:pPr>
      <w:r w:rsidRPr="003B4362">
        <w:t>A)</w:t>
      </w:r>
      <w:r w:rsidRPr="003B4362">
        <w:tab/>
        <w:t xml:space="preserve">A supplier that collected data under the provisions of 40 CFR 141 Subpart M (Information Collection Rule) must use the results of the samples </w:t>
      </w:r>
      <w:r w:rsidR="003B2D89" w:rsidRPr="003B4362">
        <w:t xml:space="preserve">it </w:t>
      </w:r>
      <w:r w:rsidRPr="003B4362">
        <w:t>collected during the last four quarters of required monitoring under former 40 CFR 141.42</w:t>
      </w:r>
      <w:r w:rsidR="00024555" w:rsidRPr="003B4362">
        <w:t xml:space="preserve"> (1995)</w:t>
      </w:r>
      <w:r w:rsidRPr="003B4362">
        <w:t>.</w:t>
      </w:r>
    </w:p>
    <w:p w14:paraId="3C07370E" w14:textId="77777777" w:rsidR="004F3F98" w:rsidRDefault="004F3F98" w:rsidP="004F3F98">
      <w:pPr>
        <w:widowControl w:val="0"/>
        <w:suppressAutoHyphens/>
        <w:ind w:left="2880" w:hanging="720"/>
      </w:pPr>
    </w:p>
    <w:p w14:paraId="675E92FA" w14:textId="7CBB6463" w:rsidR="004A1C78" w:rsidRPr="003B4362" w:rsidRDefault="004A1C78" w:rsidP="004F3F98">
      <w:pPr>
        <w:widowControl w:val="0"/>
        <w:suppressAutoHyphens/>
        <w:ind w:left="2880" w:hanging="720"/>
      </w:pPr>
      <w:r w:rsidRPr="003B4362">
        <w:t>B)</w:t>
      </w:r>
      <w:r w:rsidRPr="003B4362">
        <w:tab/>
        <w:t>A</w:t>
      </w:r>
      <w:bookmarkStart w:id="4121" w:name="_Hlk133513377"/>
      <w:r w:rsidRPr="003B4362">
        <w:t xml:space="preserve"> supplier that collected </w:t>
      </w:r>
      <w:bookmarkEnd w:id="4121"/>
      <w:r w:rsidRPr="003B4362">
        <w:t xml:space="preserve">four quarters of HAA5 occurrence data </w:t>
      </w:r>
      <w:r w:rsidR="003B2D89" w:rsidRPr="003B4362">
        <w:t xml:space="preserve">meeting </w:t>
      </w:r>
      <w:r w:rsidRPr="003B4362">
        <w:t>the routine monitoring sample number and location requirements for TTHM in former Section 611.680 and handling and analytical method requirements of former Section 611.685 may use that data to determine whether this Section</w:t>
      </w:r>
      <w:r w:rsidR="003B2D89" w:rsidRPr="003B4362">
        <w:t xml:space="preserve"> applies</w:t>
      </w:r>
      <w:r w:rsidRPr="003B4362">
        <w:t>.</w:t>
      </w:r>
    </w:p>
    <w:p w14:paraId="25FD6CB4" w14:textId="77777777" w:rsidR="004F3F98" w:rsidRDefault="004F3F98" w:rsidP="004F3F98">
      <w:pPr>
        <w:ind w:left="2880" w:hanging="720"/>
      </w:pPr>
    </w:p>
    <w:p w14:paraId="2F29FC53" w14:textId="7BD7EF1F" w:rsidR="00AD5919" w:rsidRPr="003B4362" w:rsidRDefault="00AD5919" w:rsidP="004F3F98">
      <w:pPr>
        <w:ind w:left="2880" w:hanging="720"/>
      </w:pPr>
      <w:r w:rsidRPr="003B4362">
        <w:t>C)</w:t>
      </w:r>
      <w:r w:rsidRPr="003B4362">
        <w:tab/>
        <w:t xml:space="preserve">A supplier that has not collected four quarters of HAA5 occurrence data </w:t>
      </w:r>
      <w:bookmarkStart w:id="4122" w:name="_Hlk133420626"/>
      <w:r w:rsidRPr="003B4362">
        <w:t>complying with either subsection (a)(2)(A) or (a)(2)(B)</w:t>
      </w:r>
      <w:bookmarkEnd w:id="4122"/>
      <w:r w:rsidRPr="003B4362">
        <w:t xml:space="preserve"> must do either of two things: </w:t>
      </w:r>
    </w:p>
    <w:p w14:paraId="5E67CC37" w14:textId="77777777" w:rsidR="004F3F98" w:rsidRDefault="004F3F98" w:rsidP="004F3F98">
      <w:pPr>
        <w:ind w:left="3600" w:hanging="720"/>
      </w:pPr>
    </w:p>
    <w:p w14:paraId="78C1BDDC" w14:textId="063FF35C" w:rsidR="00AD5919" w:rsidRPr="003B4362" w:rsidRDefault="00AD5919" w:rsidP="004F3F98">
      <w:pPr>
        <w:ind w:left="3600" w:hanging="720"/>
      </w:pPr>
      <w:r w:rsidRPr="003B4362">
        <w:t>i)</w:t>
      </w:r>
      <w:r w:rsidRPr="003B4362">
        <w:tab/>
        <w:t xml:space="preserve">Conduct monitoring for HAA5 meeting the routine monitoring sample number and location requirements for TTHM in former Section 611.680 and handling and analytical method requirements of former Section 611.685 to determine the HAA5 annual average and whether subsection (b) applies; or </w:t>
      </w:r>
    </w:p>
    <w:p w14:paraId="08101454" w14:textId="77777777" w:rsidR="004F3F98" w:rsidRDefault="004F3F98" w:rsidP="004F3F98">
      <w:pPr>
        <w:widowControl w:val="0"/>
        <w:suppressAutoHyphens/>
        <w:ind w:left="3600" w:hanging="720"/>
        <w:rPr>
          <w:szCs w:val="24"/>
        </w:rPr>
      </w:pPr>
    </w:p>
    <w:p w14:paraId="3B9DAC97" w14:textId="4F1231DF" w:rsidR="00AD5919" w:rsidRPr="003B4362" w:rsidRDefault="00AD5919" w:rsidP="004F3F98">
      <w:pPr>
        <w:widowControl w:val="0"/>
        <w:suppressAutoHyphens/>
        <w:ind w:left="3600" w:hanging="720"/>
        <w:rPr>
          <w:szCs w:val="24"/>
        </w:rPr>
      </w:pPr>
      <w:r w:rsidRPr="003B4362">
        <w:rPr>
          <w:szCs w:val="24"/>
        </w:rPr>
        <w:t>ii)</w:t>
      </w:r>
      <w:r w:rsidRPr="003B4362">
        <w:rPr>
          <w:szCs w:val="24"/>
        </w:rPr>
        <w:tab/>
        <w:t>Comply with all other provisions of this Section as if the supplier had conducted the HAA5 monitoring and the results required the supplier to comply with subsection (b).</w:t>
      </w:r>
    </w:p>
    <w:p w14:paraId="525A296E" w14:textId="77777777" w:rsidR="004F3F98" w:rsidRDefault="004F3F98" w:rsidP="004F3F98">
      <w:pPr>
        <w:widowControl w:val="0"/>
        <w:suppressAutoHyphens/>
        <w:ind w:left="2160" w:hanging="720"/>
      </w:pPr>
    </w:p>
    <w:p w14:paraId="5D6B38CF" w14:textId="6BE88599" w:rsidR="004A1C78" w:rsidRPr="003B4362" w:rsidRDefault="004A1C78" w:rsidP="004F3F98">
      <w:pPr>
        <w:widowControl w:val="0"/>
        <w:suppressAutoHyphens/>
        <w:ind w:left="2160" w:hanging="720"/>
      </w:pPr>
      <w:r w:rsidRPr="003B4362">
        <w:t>3)</w:t>
      </w:r>
      <w:r w:rsidRPr="003B4362">
        <w:tab/>
        <w:t>The supplier may request that the Agency approve a more representative annual data set than the data set under subsection (a)(1) or (a)(2) for determining applicability of this Section.</w:t>
      </w:r>
    </w:p>
    <w:p w14:paraId="1FA31A98" w14:textId="77777777" w:rsidR="004F3F98" w:rsidRDefault="004F3F98" w:rsidP="004F3F98">
      <w:pPr>
        <w:widowControl w:val="0"/>
        <w:suppressAutoHyphens/>
        <w:ind w:left="2160" w:hanging="720"/>
      </w:pPr>
    </w:p>
    <w:p w14:paraId="756F3F34" w14:textId="67F43BB2" w:rsidR="004A1C78" w:rsidRPr="003B4362" w:rsidRDefault="004A1C78" w:rsidP="004F3F98">
      <w:pPr>
        <w:widowControl w:val="0"/>
        <w:suppressAutoHyphens/>
        <w:ind w:left="2160" w:hanging="720"/>
      </w:pPr>
      <w:r w:rsidRPr="003B4362">
        <w:t>4)</w:t>
      </w:r>
      <w:r w:rsidRPr="003B4362">
        <w:tab/>
        <w:t>The Agency may require a supplier to use a more representative annual data set than the data set under subsection (a)(1) or (a)(2) for determining applicability of this Section.</w:t>
      </w:r>
    </w:p>
    <w:p w14:paraId="666D4C09" w14:textId="77777777" w:rsidR="004F3F98" w:rsidRDefault="004F3F98" w:rsidP="004F3F98">
      <w:pPr>
        <w:widowControl w:val="0"/>
        <w:suppressAutoHyphens/>
        <w:ind w:left="2160" w:hanging="720"/>
      </w:pPr>
    </w:p>
    <w:p w14:paraId="47D89E35" w14:textId="4F400785" w:rsidR="004A1C78" w:rsidRPr="003B4362" w:rsidRDefault="004A1C78" w:rsidP="004F3F98">
      <w:pPr>
        <w:widowControl w:val="0"/>
        <w:suppressAutoHyphens/>
        <w:ind w:left="2160" w:hanging="720"/>
      </w:pPr>
      <w:r w:rsidRPr="003B4362">
        <w:t>5)</w:t>
      </w:r>
      <w:r w:rsidRPr="003B4362">
        <w:tab/>
        <w:t xml:space="preserve">This subsection (a)(5) corresponds with 40 CFR 141.172(a)(5), an implementing provision that no longer </w:t>
      </w:r>
      <w:r w:rsidR="00A854C7" w:rsidRPr="003B4362">
        <w:t>has</w:t>
      </w:r>
      <w:r w:rsidRPr="003B4362">
        <w:t xml:space="preserve"> operative effect.  This statement maintains structural consistency with the corresponding federal rules.</w:t>
      </w:r>
    </w:p>
    <w:p w14:paraId="5EC613AA" w14:textId="77777777" w:rsidR="004F3F98" w:rsidRDefault="004F3F98" w:rsidP="004F3F98">
      <w:pPr>
        <w:widowControl w:val="0"/>
        <w:suppressAutoHyphens/>
        <w:ind w:left="2160" w:hanging="720"/>
      </w:pPr>
    </w:p>
    <w:p w14:paraId="5C3A3BE2" w14:textId="0A0AE37E" w:rsidR="004A1C78" w:rsidRPr="003B4362" w:rsidRDefault="004A1C78" w:rsidP="004F3F98">
      <w:pPr>
        <w:widowControl w:val="0"/>
        <w:suppressAutoHyphens/>
        <w:ind w:left="2160" w:hanging="720"/>
      </w:pPr>
      <w:r w:rsidRPr="003B4362">
        <w:t>6)</w:t>
      </w:r>
      <w:r w:rsidRPr="003B4362">
        <w:tab/>
        <w:t xml:space="preserve">Any supplier that had either a TTHM annual average </w:t>
      </w:r>
      <w:r w:rsidRPr="003B4362">
        <w:sym w:font="Symbol" w:char="F0B3"/>
      </w:r>
      <w:r w:rsidRPr="003B4362">
        <w:t xml:space="preserve"> (greater than or equal to) 0.064 mg/</w:t>
      </w:r>
      <w:r w:rsidR="000076B3" w:rsidRPr="003B4362">
        <w:t>L</w:t>
      </w:r>
      <w:r w:rsidRPr="003B4362">
        <w:t xml:space="preserve"> or an HAA5 annual average </w:t>
      </w:r>
      <w:r w:rsidRPr="003B4362">
        <w:sym w:font="Symbol" w:char="F0B3"/>
      </w:r>
      <w:r w:rsidRPr="003B4362">
        <w:t xml:space="preserve"> 0.048 mg/</w:t>
      </w:r>
      <w:r w:rsidR="00CB5C42" w:rsidRPr="003B4362">
        <w:t>L</w:t>
      </w:r>
      <w:r w:rsidRPr="003B4362">
        <w:t xml:space="preserve"> under subsections (a)(1) and (a)(2) must comply with subsection (b).</w:t>
      </w:r>
    </w:p>
    <w:p w14:paraId="7F5A5E4C" w14:textId="77777777" w:rsidR="004F3F98" w:rsidRDefault="004F3F98" w:rsidP="004F3F98">
      <w:pPr>
        <w:widowControl w:val="0"/>
        <w:suppressAutoHyphens/>
        <w:ind w:left="1440"/>
      </w:pPr>
    </w:p>
    <w:p w14:paraId="411824C5" w14:textId="6FED581E" w:rsidR="004A1C78" w:rsidRPr="003B4362" w:rsidRDefault="004A1C78" w:rsidP="004F3F98">
      <w:pPr>
        <w:widowControl w:val="0"/>
        <w:suppressAutoHyphens/>
        <w:ind w:left="1440"/>
      </w:pPr>
      <w:r w:rsidRPr="003B4362">
        <w:t xml:space="preserve">BOARD NOTE:  Former Sections 611.680 and 611.685 originally derived from 40 CFR 141.30(a), (b), and (e).  USEPA removed 40 CFR 141.30 in its entirety in 2006.  The Board repealed former Section 611.685 in 2007 and Section 611.680 in 2012.  The references to former Sections 611.680 and 611.685 in this subsection (a) relate to </w:t>
      </w:r>
      <w:r w:rsidR="003B2D89" w:rsidRPr="003B4362">
        <w:t xml:space="preserve">using </w:t>
      </w:r>
      <w:r w:rsidRPr="003B4362">
        <w:t>existing monitoring data collected under those provisions as they existed before their repeal.</w:t>
      </w:r>
    </w:p>
    <w:p w14:paraId="6725588D" w14:textId="77777777" w:rsidR="004F3F98" w:rsidRDefault="004F3F98" w:rsidP="004F3F98">
      <w:pPr>
        <w:widowControl w:val="0"/>
        <w:suppressAutoHyphens/>
        <w:ind w:left="1440" w:hanging="720"/>
      </w:pPr>
    </w:p>
    <w:p w14:paraId="564760F9" w14:textId="48E07CEC" w:rsidR="004A1C78" w:rsidRPr="003B4362" w:rsidRDefault="004A1C78" w:rsidP="004F3F98">
      <w:pPr>
        <w:widowControl w:val="0"/>
        <w:suppressAutoHyphens/>
        <w:ind w:left="1440" w:hanging="720"/>
      </w:pPr>
      <w:r w:rsidRPr="003B4362">
        <w:t>b)</w:t>
      </w:r>
      <w:r w:rsidRPr="003B4362">
        <w:tab/>
        <w:t>Disinfection Profiling</w:t>
      </w:r>
    </w:p>
    <w:p w14:paraId="3BAAF3AE" w14:textId="77777777" w:rsidR="004F3F98" w:rsidRDefault="004F3F98" w:rsidP="004F3F98">
      <w:pPr>
        <w:widowControl w:val="0"/>
        <w:suppressAutoHyphens/>
        <w:ind w:left="2160" w:hanging="720"/>
      </w:pPr>
    </w:p>
    <w:p w14:paraId="0B600E45" w14:textId="1EC30BDE" w:rsidR="004A1C78" w:rsidRPr="003B4362" w:rsidRDefault="004A1C78" w:rsidP="004F3F98">
      <w:pPr>
        <w:widowControl w:val="0"/>
        <w:suppressAutoHyphens/>
        <w:ind w:left="2160" w:hanging="720"/>
      </w:pPr>
      <w:r w:rsidRPr="003B4362">
        <w:t>1)</w:t>
      </w:r>
      <w:r w:rsidRPr="003B4362">
        <w:tab/>
        <w:t xml:space="preserve">Any supplier </w:t>
      </w:r>
      <w:r w:rsidR="003B2D89" w:rsidRPr="003B4362">
        <w:t>comply</w:t>
      </w:r>
      <w:r w:rsidRPr="003B4362">
        <w:t>ing</w:t>
      </w:r>
      <w:r w:rsidR="003B2D89" w:rsidRPr="003B4362">
        <w:t xml:space="preserve"> with</w:t>
      </w:r>
      <w:r w:rsidRPr="003B4362">
        <w:t xml:space="preserve"> subsection (a)(6) </w:t>
      </w:r>
      <w:r w:rsidR="003B2D89" w:rsidRPr="003B4362">
        <w:t xml:space="preserve">was to develop </w:t>
      </w:r>
      <w:r w:rsidRPr="003B4362">
        <w:t xml:space="preserve">a disinfection profile of its disinfection practice for a period of up to three years.  The Agency </w:t>
      </w:r>
      <w:r w:rsidR="003B2D89" w:rsidRPr="003B4362">
        <w:t xml:space="preserve">was to determine </w:t>
      </w:r>
      <w:r w:rsidRPr="003B4362">
        <w:t>the period of the disinfection profile, with a minimum period of one year.</w:t>
      </w:r>
    </w:p>
    <w:p w14:paraId="17BC2E08" w14:textId="77777777" w:rsidR="004F3F98" w:rsidRDefault="004F3F98" w:rsidP="004F3F98">
      <w:pPr>
        <w:widowControl w:val="0"/>
        <w:suppressAutoHyphens/>
        <w:ind w:left="2160" w:hanging="720"/>
      </w:pPr>
    </w:p>
    <w:p w14:paraId="7F10306C" w14:textId="28531E3F" w:rsidR="004A1C78" w:rsidRPr="003B4362" w:rsidRDefault="004A1C78" w:rsidP="004F3F98">
      <w:pPr>
        <w:widowControl w:val="0"/>
        <w:suppressAutoHyphens/>
        <w:ind w:left="2160" w:hanging="720"/>
      </w:pPr>
      <w:r w:rsidRPr="003B4362">
        <w:t>2)</w:t>
      </w:r>
      <w:r w:rsidRPr="003B4362">
        <w:tab/>
        <w:t>The supplier must monitor daily for a period of 12 consecutive calendar months to determine the total logs of inactivation for each day of operation, based on the appropriate CT</w:t>
      </w:r>
      <w:r w:rsidRPr="003B4362">
        <w:rPr>
          <w:vertAlign w:val="subscript"/>
        </w:rPr>
        <w:t>99.9</w:t>
      </w:r>
      <w:r w:rsidRPr="003B4362">
        <w:t xml:space="preserve"> values in Appendix B through the entire treatment plant.  As a minimum, the supplier </w:t>
      </w:r>
      <w:r w:rsidR="003B2D89" w:rsidRPr="003B4362">
        <w:t xml:space="preserve">applying disinfection treatment at </w:t>
      </w:r>
      <w:r w:rsidRPr="003B4362">
        <w:t xml:space="preserve">a single point </w:t>
      </w:r>
      <w:r w:rsidR="003B2D89" w:rsidRPr="003B4362">
        <w:t xml:space="preserve">before the entry point </w:t>
      </w:r>
      <w:r w:rsidRPr="003B4362">
        <w:t xml:space="preserve">to </w:t>
      </w:r>
      <w:r w:rsidR="003B2D89" w:rsidRPr="003B4362">
        <w:t xml:space="preserve">its </w:t>
      </w:r>
      <w:r w:rsidRPr="003B4362">
        <w:t xml:space="preserve">distribution system </w:t>
      </w:r>
      <w:r w:rsidR="003B2D89" w:rsidRPr="003B4362">
        <w:t xml:space="preserve">was to conduct </w:t>
      </w:r>
      <w:r w:rsidRPr="003B4362">
        <w:t xml:space="preserve">the monitoring </w:t>
      </w:r>
      <w:r w:rsidR="003B2D89" w:rsidRPr="003B4362">
        <w:t xml:space="preserve">under </w:t>
      </w:r>
      <w:r w:rsidRPr="003B4362">
        <w:t xml:space="preserve">subsections (b)(2)(A) through (b)(2)(D).  A supplier </w:t>
      </w:r>
      <w:r w:rsidR="001F147E" w:rsidRPr="003B4362">
        <w:t xml:space="preserve">applying disinfection treatment at </w:t>
      </w:r>
      <w:r w:rsidRPr="003B4362">
        <w:t xml:space="preserve">more than one point </w:t>
      </w:r>
      <w:r w:rsidR="001F147E" w:rsidRPr="003B4362">
        <w:t xml:space="preserve">in its distribution system was to conduct </w:t>
      </w:r>
      <w:r w:rsidRPr="003B4362">
        <w:t xml:space="preserve">the monitoring </w:t>
      </w:r>
      <w:r w:rsidR="001F147E" w:rsidRPr="003B4362">
        <w:t xml:space="preserve">under </w:t>
      </w:r>
      <w:r w:rsidRPr="003B4362">
        <w:t xml:space="preserve">subsections (b)(2)(A) through (b)(2)(D) for each disinfection segment.  The supplier </w:t>
      </w:r>
      <w:r w:rsidR="001F147E" w:rsidRPr="003B4362">
        <w:t xml:space="preserve">was to monitor </w:t>
      </w:r>
      <w:r w:rsidRPr="003B4362">
        <w:t>the parameters necessary to determine the total inactivation ratio, using analytical methods in Section 611.531:</w:t>
      </w:r>
    </w:p>
    <w:p w14:paraId="636F3CD9" w14:textId="77777777" w:rsidR="004F3F98" w:rsidRDefault="004F3F98" w:rsidP="004F3F98">
      <w:pPr>
        <w:widowControl w:val="0"/>
        <w:suppressAutoHyphens/>
        <w:ind w:left="2880" w:hanging="720"/>
      </w:pPr>
    </w:p>
    <w:p w14:paraId="2B1EAAC1" w14:textId="3D7E37EF" w:rsidR="004A1C78" w:rsidRPr="003B4362" w:rsidRDefault="004A1C78" w:rsidP="004F3F98">
      <w:pPr>
        <w:widowControl w:val="0"/>
        <w:suppressAutoHyphens/>
        <w:ind w:left="2880" w:hanging="720"/>
      </w:pPr>
      <w:r w:rsidRPr="003B4362">
        <w:t>A)</w:t>
      </w:r>
      <w:r w:rsidRPr="003B4362">
        <w:tab/>
        <w:t xml:space="preserve">The supplier </w:t>
      </w:r>
      <w:r w:rsidR="001F147E" w:rsidRPr="003B4362">
        <w:t>was to</w:t>
      </w:r>
      <w:r w:rsidRPr="003B4362">
        <w:t xml:space="preserve"> measure the temperature of the disinfected water once per day at each residual disinfectant concentration sampling point during peak hourly flow.</w:t>
      </w:r>
    </w:p>
    <w:p w14:paraId="1E81E4DA" w14:textId="77777777" w:rsidR="004F3F98" w:rsidRDefault="004F3F98" w:rsidP="004F3F98">
      <w:pPr>
        <w:widowControl w:val="0"/>
        <w:suppressAutoHyphens/>
        <w:ind w:left="2880" w:hanging="720"/>
      </w:pPr>
    </w:p>
    <w:p w14:paraId="528969FB" w14:textId="34684092" w:rsidR="004A1C78" w:rsidRPr="003B4362" w:rsidRDefault="004A1C78" w:rsidP="004F3F98">
      <w:pPr>
        <w:widowControl w:val="0"/>
        <w:suppressAutoHyphens/>
        <w:ind w:left="2880" w:hanging="720"/>
      </w:pPr>
      <w:r w:rsidRPr="003B4362">
        <w:t>B)</w:t>
      </w:r>
      <w:r w:rsidRPr="003B4362">
        <w:tab/>
        <w:t xml:space="preserve">If the supplier uses chlorine, the supplier </w:t>
      </w:r>
      <w:r w:rsidR="001F147E" w:rsidRPr="003B4362">
        <w:t>was to</w:t>
      </w:r>
      <w:r w:rsidRPr="003B4362">
        <w:t xml:space="preserve"> measure the pH of the disinfected water once per day at each chlorine residual disinfectant concentration sampling point during peak hourly flow.</w:t>
      </w:r>
    </w:p>
    <w:p w14:paraId="2E1C08AE" w14:textId="77777777" w:rsidR="004F3F98" w:rsidRDefault="004F3F98" w:rsidP="004F3F98">
      <w:pPr>
        <w:widowControl w:val="0"/>
        <w:suppressAutoHyphens/>
        <w:ind w:left="2880" w:hanging="720"/>
      </w:pPr>
    </w:p>
    <w:p w14:paraId="7CB3A10A" w14:textId="7835416E" w:rsidR="004A1C78" w:rsidRPr="003B4362" w:rsidRDefault="004A1C78" w:rsidP="004F3F98">
      <w:pPr>
        <w:widowControl w:val="0"/>
        <w:suppressAutoHyphens/>
        <w:ind w:left="2880" w:hanging="720"/>
      </w:pPr>
      <w:r w:rsidRPr="003B4362">
        <w:t>C)</w:t>
      </w:r>
      <w:r w:rsidRPr="003B4362">
        <w:tab/>
        <w:t xml:space="preserve">The supplier </w:t>
      </w:r>
      <w:r w:rsidR="001F147E" w:rsidRPr="003B4362">
        <w:t>was to</w:t>
      </w:r>
      <w:r w:rsidRPr="003B4362">
        <w:t xml:space="preserve"> determine the disinfectant contact times (“T”) for each day during peak hourly flow.</w:t>
      </w:r>
    </w:p>
    <w:p w14:paraId="1C4E30C7" w14:textId="77777777" w:rsidR="004F3F98" w:rsidRDefault="004F3F98" w:rsidP="004F3F98">
      <w:pPr>
        <w:widowControl w:val="0"/>
        <w:suppressAutoHyphens/>
        <w:ind w:left="2880" w:hanging="720"/>
      </w:pPr>
    </w:p>
    <w:p w14:paraId="1235FB31" w14:textId="0485CE76" w:rsidR="004A1C78" w:rsidRPr="003B4362" w:rsidRDefault="004A1C78" w:rsidP="004F3F98">
      <w:pPr>
        <w:widowControl w:val="0"/>
        <w:suppressAutoHyphens/>
        <w:ind w:left="2880" w:hanging="720"/>
      </w:pPr>
      <w:r w:rsidRPr="003B4362">
        <w:t>D)</w:t>
      </w:r>
      <w:r w:rsidRPr="003B4362">
        <w:tab/>
        <w:t xml:space="preserve">The supplier </w:t>
      </w:r>
      <w:r w:rsidR="001F147E" w:rsidRPr="003B4362">
        <w:t>was to</w:t>
      </w:r>
      <w:r w:rsidRPr="003B4362">
        <w:t xml:space="preserve"> measure the residual disinfectant concentrations (“C”) of the water before or at the first customer and prior to each additional point of disinfection each day during peak hourly flow.</w:t>
      </w:r>
    </w:p>
    <w:p w14:paraId="0EB7FB04" w14:textId="77777777" w:rsidR="004F3F98" w:rsidRDefault="004F3F98" w:rsidP="004F3F98">
      <w:pPr>
        <w:widowControl w:val="0"/>
        <w:suppressAutoHyphens/>
        <w:ind w:left="2160" w:hanging="720"/>
      </w:pPr>
    </w:p>
    <w:p w14:paraId="3BF23256" w14:textId="7EB206B3" w:rsidR="004A1C78" w:rsidRPr="003B4362" w:rsidRDefault="004A1C78" w:rsidP="004F3F98">
      <w:pPr>
        <w:widowControl w:val="0"/>
        <w:suppressAutoHyphens/>
        <w:ind w:left="2160" w:hanging="720"/>
      </w:pPr>
      <w:r w:rsidRPr="003B4362">
        <w:t>3)</w:t>
      </w:r>
      <w:r w:rsidRPr="003B4362">
        <w:tab/>
        <w:t xml:space="preserve">This subsection (b)(3) corresponds with 40 CFR 141.172(b)(2)(A), a provision relating to implementation of </w:t>
      </w:r>
      <w:bookmarkStart w:id="4123" w:name="_Hlk133488663"/>
      <w:r w:rsidRPr="003B4362">
        <w:t xml:space="preserve">the Interim Enhanced Surface Water </w:t>
      </w:r>
      <w:r w:rsidR="009C41F5" w:rsidRPr="003B4362">
        <w:t xml:space="preserve">Treatment </w:t>
      </w:r>
      <w:r w:rsidRPr="003B4362">
        <w:t>Rule</w:t>
      </w:r>
      <w:bookmarkEnd w:id="4123"/>
      <w:r w:rsidRPr="003B4362">
        <w:t>.  This statement maintains structural consistency with the corresponding federal rule.</w:t>
      </w:r>
    </w:p>
    <w:p w14:paraId="0E66BE47" w14:textId="77777777" w:rsidR="004F3F98" w:rsidRDefault="004F3F98" w:rsidP="004F3F98">
      <w:pPr>
        <w:widowControl w:val="0"/>
        <w:suppressAutoHyphens/>
        <w:ind w:left="2160" w:hanging="720"/>
      </w:pPr>
    </w:p>
    <w:p w14:paraId="5581D52C" w14:textId="432570D7" w:rsidR="004A1C78" w:rsidRPr="003B4362" w:rsidRDefault="004A1C78" w:rsidP="004F3F98">
      <w:pPr>
        <w:widowControl w:val="0"/>
        <w:suppressAutoHyphens/>
        <w:ind w:left="2160" w:hanging="720"/>
      </w:pPr>
      <w:r w:rsidRPr="003B4362">
        <w:t>4)</w:t>
      </w:r>
      <w:r w:rsidRPr="003B4362">
        <w:tab/>
        <w:t>The supplier must calculate the total inactivation ratio:</w:t>
      </w:r>
    </w:p>
    <w:p w14:paraId="53C6393D" w14:textId="77777777" w:rsidR="004F3F98" w:rsidRDefault="004F3F98" w:rsidP="004F3F98">
      <w:pPr>
        <w:widowControl w:val="0"/>
        <w:suppressAutoHyphens/>
        <w:ind w:left="2880" w:hanging="720"/>
      </w:pPr>
    </w:p>
    <w:p w14:paraId="70DBE135" w14:textId="169E58ED" w:rsidR="004A1C78" w:rsidRPr="003B4362" w:rsidRDefault="004A1C78" w:rsidP="004F3F98">
      <w:pPr>
        <w:widowControl w:val="0"/>
        <w:suppressAutoHyphens/>
        <w:ind w:left="2880" w:hanging="720"/>
      </w:pPr>
      <w:r w:rsidRPr="003B4362">
        <w:t>A)</w:t>
      </w:r>
      <w:r w:rsidRPr="003B4362">
        <w:tab/>
      </w:r>
      <w:r w:rsidR="009C41F5" w:rsidRPr="003B4362">
        <w:t>A</w:t>
      </w:r>
      <w:bookmarkStart w:id="4124" w:name="_Hlk133488871"/>
      <w:r w:rsidR="009C41F5" w:rsidRPr="003B4362">
        <w:t xml:space="preserve"> supplier using </w:t>
      </w:r>
      <w:r w:rsidRPr="003B4362">
        <w:t>only one point of disinfectant application may determine</w:t>
      </w:r>
      <w:bookmarkEnd w:id="4124"/>
      <w:r w:rsidRPr="003B4362">
        <w:t xml:space="preserve"> the </w:t>
      </w:r>
      <w:bookmarkStart w:id="4125" w:name="_Hlk133489051"/>
      <w:r w:rsidRPr="003B4362">
        <w:t xml:space="preserve">total inactivation ratio for </w:t>
      </w:r>
      <w:r w:rsidR="001F147E" w:rsidRPr="003B4362">
        <w:t xml:space="preserve">its </w:t>
      </w:r>
      <w:r w:rsidRPr="003B4362">
        <w:t>disinfection segment</w:t>
      </w:r>
      <w:bookmarkEnd w:id="4125"/>
      <w:r w:rsidRPr="003B4362">
        <w:t xml:space="preserve"> </w:t>
      </w:r>
      <w:bookmarkStart w:id="4126" w:name="_Hlk133489083"/>
      <w:r w:rsidR="00EF7853" w:rsidRPr="003B4362">
        <w:t xml:space="preserve">under </w:t>
      </w:r>
      <w:r w:rsidRPr="003B4362">
        <w:t>subsection (b)(4)(A)(i) or (b)(4)(A)(ii)</w:t>
      </w:r>
      <w:bookmarkEnd w:id="4126"/>
      <w:r w:rsidRPr="003B4362">
        <w:t>.</w:t>
      </w:r>
    </w:p>
    <w:p w14:paraId="5CB7CA30" w14:textId="77777777" w:rsidR="004F3F98" w:rsidRDefault="004F3F98" w:rsidP="004F3F98">
      <w:pPr>
        <w:widowControl w:val="0"/>
        <w:suppressAutoHyphens/>
        <w:ind w:left="3600" w:hanging="720"/>
      </w:pPr>
    </w:p>
    <w:p w14:paraId="3E5BA17E" w14:textId="768EBB63" w:rsidR="004A1C78" w:rsidRPr="003B4362" w:rsidRDefault="004A1C78" w:rsidP="004F3F98">
      <w:pPr>
        <w:widowControl w:val="0"/>
        <w:suppressAutoHyphens/>
        <w:ind w:left="3600" w:hanging="720"/>
      </w:pPr>
      <w:r w:rsidRPr="003B4362">
        <w:t>i)</w:t>
      </w:r>
      <w:r w:rsidRPr="003B4362">
        <w:tab/>
      </w:r>
      <w:r w:rsidR="00BD324B" w:rsidRPr="003B4362">
        <w:t xml:space="preserve">The supplier may determine </w:t>
      </w:r>
      <w:r w:rsidRPr="003B4362">
        <w:t>one inactivation ratio (CT</w:t>
      </w:r>
      <w:r w:rsidRPr="003B4362">
        <w:rPr>
          <w:vertAlign w:val="subscript"/>
        </w:rPr>
        <w:t>calc</w:t>
      </w:r>
      <w:r w:rsidRPr="003B4362">
        <w:t>/CT</w:t>
      </w:r>
      <w:r w:rsidRPr="003B4362">
        <w:rPr>
          <w:vertAlign w:val="subscript"/>
        </w:rPr>
        <w:t>99.9</w:t>
      </w:r>
      <w:r w:rsidRPr="003B4362">
        <w:t>) before or at the first customer during peak hourly flow</w:t>
      </w:r>
      <w:r w:rsidR="00BD324B" w:rsidRPr="003B4362">
        <w:t>; or</w:t>
      </w:r>
    </w:p>
    <w:p w14:paraId="1D37910E" w14:textId="77777777" w:rsidR="004F3F98" w:rsidRDefault="004F3F98" w:rsidP="004F3F98">
      <w:pPr>
        <w:widowControl w:val="0"/>
        <w:suppressAutoHyphens/>
        <w:ind w:left="3600" w:hanging="720"/>
      </w:pPr>
    </w:p>
    <w:p w14:paraId="5C4F46B3" w14:textId="11D46BC8" w:rsidR="004A1C78" w:rsidRPr="003B4362" w:rsidRDefault="004A1C78" w:rsidP="004F3F98">
      <w:pPr>
        <w:widowControl w:val="0"/>
        <w:suppressAutoHyphens/>
        <w:ind w:left="3600" w:hanging="720"/>
      </w:pPr>
      <w:r w:rsidRPr="003B4362">
        <w:t>ii)</w:t>
      </w:r>
      <w:r w:rsidRPr="003B4362">
        <w:tab/>
      </w:r>
      <w:r w:rsidR="00BD324B" w:rsidRPr="003B4362">
        <w:t xml:space="preserve">The supplier may determine </w:t>
      </w:r>
      <w:r w:rsidRPr="003B4362">
        <w:t>successive CT</w:t>
      </w:r>
      <w:r w:rsidRPr="003B4362">
        <w:rPr>
          <w:vertAlign w:val="subscript"/>
        </w:rPr>
        <w:t>calc</w:t>
      </w:r>
      <w:r w:rsidRPr="003B4362">
        <w:t>/CT</w:t>
      </w:r>
      <w:r w:rsidRPr="003B4362">
        <w:rPr>
          <w:vertAlign w:val="subscript"/>
        </w:rPr>
        <w:t>99.9</w:t>
      </w:r>
      <w:r w:rsidRPr="003B4362">
        <w:t xml:space="preserve"> values, representing sequential inactivation ratios, between </w:t>
      </w:r>
      <w:bookmarkStart w:id="4127" w:name="_Hlk133494333"/>
      <w:r w:rsidRPr="003B4362">
        <w:t xml:space="preserve">the point </w:t>
      </w:r>
      <w:r w:rsidR="00BD324B" w:rsidRPr="003B4362">
        <w:t xml:space="preserve">where applying </w:t>
      </w:r>
      <w:r w:rsidRPr="003B4362">
        <w:t xml:space="preserve">disinfectant </w:t>
      </w:r>
      <w:bookmarkEnd w:id="4127"/>
      <w:r w:rsidRPr="003B4362">
        <w:t>and a point before or at the first customer during peak hourly flow.  Under this alternative, the supplier must calculate the total inactivation ratio (</w:t>
      </w:r>
      <w:r w:rsidRPr="003B4362">
        <w:sym w:font="Symbol" w:char="F053"/>
      </w:r>
      <w:r w:rsidRPr="003B4362">
        <w:t>(CT</w:t>
      </w:r>
      <w:r w:rsidRPr="003B4362">
        <w:rPr>
          <w:vertAlign w:val="subscript"/>
        </w:rPr>
        <w:t>calc</w:t>
      </w:r>
      <w:r w:rsidRPr="003B4362">
        <w:t>/CT</w:t>
      </w:r>
      <w:r w:rsidRPr="003B4362">
        <w:rPr>
          <w:vertAlign w:val="subscript"/>
        </w:rPr>
        <w:t>99.9</w:t>
      </w:r>
      <w:r w:rsidRPr="003B4362">
        <w:t>)) by determining CT</w:t>
      </w:r>
      <w:r w:rsidRPr="003B4362">
        <w:rPr>
          <w:vertAlign w:val="subscript"/>
        </w:rPr>
        <w:t>calc</w:t>
      </w:r>
      <w:r w:rsidRPr="003B4362">
        <w:t>/CT</w:t>
      </w:r>
      <w:r w:rsidRPr="003B4362">
        <w:rPr>
          <w:vertAlign w:val="subscript"/>
        </w:rPr>
        <w:t>99.9</w:t>
      </w:r>
      <w:r w:rsidRPr="003B4362">
        <w:t xml:space="preserve"> </w:t>
      </w:r>
      <w:bookmarkStart w:id="4128" w:name="_Hlk133494408"/>
      <w:r w:rsidRPr="003B4362">
        <w:t xml:space="preserve">for each </w:t>
      </w:r>
      <w:r w:rsidR="00BD324B" w:rsidRPr="003B4362">
        <w:t xml:space="preserve">step in the </w:t>
      </w:r>
      <w:r w:rsidRPr="003B4362">
        <w:t>sequence</w:t>
      </w:r>
      <w:r w:rsidR="00BD324B" w:rsidRPr="003B4362">
        <w:t>,</w:t>
      </w:r>
      <w:r w:rsidRPr="003B4362">
        <w:t xml:space="preserve"> then </w:t>
      </w:r>
      <w:r w:rsidR="00BD324B" w:rsidRPr="003B4362">
        <w:t xml:space="preserve">summing </w:t>
      </w:r>
      <w:r w:rsidRPr="003B4362">
        <w:t>the CT</w:t>
      </w:r>
      <w:r w:rsidRPr="003B4362">
        <w:rPr>
          <w:vertAlign w:val="subscript"/>
        </w:rPr>
        <w:t>calc</w:t>
      </w:r>
      <w:r w:rsidRPr="003B4362">
        <w:t>/CT</w:t>
      </w:r>
      <w:r w:rsidRPr="003B4362">
        <w:rPr>
          <w:vertAlign w:val="subscript"/>
        </w:rPr>
        <w:t>99.9</w:t>
      </w:r>
      <w:r w:rsidRPr="003B4362">
        <w:t xml:space="preserve"> values </w:t>
      </w:r>
      <w:r w:rsidR="00BD324B" w:rsidRPr="003B4362">
        <w:t xml:space="preserve">for each step </w:t>
      </w:r>
      <w:bookmarkEnd w:id="4128"/>
      <w:r w:rsidRPr="003B4362">
        <w:t xml:space="preserve">to determine </w:t>
      </w:r>
      <w:r w:rsidRPr="003B4362">
        <w:sym w:font="Symbol" w:char="F053"/>
      </w:r>
      <w:r w:rsidRPr="003B4362">
        <w:t>(CT</w:t>
      </w:r>
      <w:r w:rsidRPr="003B4362">
        <w:rPr>
          <w:vertAlign w:val="subscript"/>
        </w:rPr>
        <w:t>calc</w:t>
      </w:r>
      <w:r w:rsidRPr="003B4362">
        <w:t>/CT</w:t>
      </w:r>
      <w:r w:rsidRPr="003B4362">
        <w:rPr>
          <w:vertAlign w:val="subscript"/>
        </w:rPr>
        <w:t>99.9</w:t>
      </w:r>
      <w:r w:rsidRPr="003B4362">
        <w:t>).</w:t>
      </w:r>
    </w:p>
    <w:p w14:paraId="484191EE" w14:textId="77777777" w:rsidR="004F3F98" w:rsidRDefault="004F3F98" w:rsidP="004F3F98">
      <w:pPr>
        <w:widowControl w:val="0"/>
        <w:suppressAutoHyphens/>
        <w:ind w:left="2880" w:hanging="720"/>
      </w:pPr>
    </w:p>
    <w:p w14:paraId="68581864" w14:textId="77C47ECE" w:rsidR="004A1C78" w:rsidRPr="003B4362" w:rsidRDefault="004A1C78" w:rsidP="004F3F98">
      <w:pPr>
        <w:widowControl w:val="0"/>
        <w:suppressAutoHyphens/>
        <w:ind w:left="2880" w:hanging="720"/>
      </w:pPr>
      <w:r w:rsidRPr="003B4362">
        <w:t>B)</w:t>
      </w:r>
      <w:r w:rsidRPr="003B4362">
        <w:tab/>
      </w:r>
      <w:r w:rsidR="00FE7702" w:rsidRPr="003B4362">
        <w:t>A</w:t>
      </w:r>
      <w:bookmarkStart w:id="4129" w:name="_Hlk133495076"/>
      <w:r w:rsidR="00FE7702" w:rsidRPr="003B4362">
        <w:t xml:space="preserve"> </w:t>
      </w:r>
      <w:r w:rsidRPr="003B4362">
        <w:t xml:space="preserve">supplier </w:t>
      </w:r>
      <w:r w:rsidR="00FE7702" w:rsidRPr="003B4362">
        <w:t xml:space="preserve">applying disinfection treatment at </w:t>
      </w:r>
      <w:r w:rsidRPr="003B4362">
        <w:t>more than one point before the first customer must determine</w:t>
      </w:r>
      <w:bookmarkEnd w:id="4129"/>
      <w:r w:rsidRPr="003B4362">
        <w:t xml:space="preserve"> the CT value of each disinfection segment</w:t>
      </w:r>
      <w:r w:rsidR="004170B0" w:rsidRPr="003B4362">
        <w:t xml:space="preserve"> </w:t>
      </w:r>
      <w:bookmarkStart w:id="4130" w:name="_Hlk133495159"/>
      <w:r w:rsidR="004170B0" w:rsidRPr="003B4362">
        <w:t>during peak hourly flow</w:t>
      </w:r>
      <w:r w:rsidRPr="003B4362">
        <w:t xml:space="preserve"> immediately prior to the next point</w:t>
      </w:r>
      <w:r w:rsidR="00FE7702" w:rsidRPr="003B4362">
        <w:t xml:space="preserve"> where applying</w:t>
      </w:r>
      <w:r w:rsidRPr="003B4362">
        <w:t xml:space="preserve"> or before or at the first customer</w:t>
      </w:r>
      <w:r w:rsidR="00FE7702" w:rsidRPr="003B4362">
        <w:t xml:space="preserve"> for the final segment</w:t>
      </w:r>
      <w:bookmarkEnd w:id="4130"/>
      <w:r w:rsidRPr="003B4362">
        <w:t>.  T</w:t>
      </w:r>
      <w:bookmarkStart w:id="4131" w:name="_Hlk133495269"/>
      <w:r w:rsidRPr="003B4362">
        <w:t>he supplier must calculate the (CT</w:t>
      </w:r>
      <w:r w:rsidRPr="003B4362">
        <w:rPr>
          <w:vertAlign w:val="subscript"/>
        </w:rPr>
        <w:t>calc</w:t>
      </w:r>
      <w:r w:rsidRPr="003B4362">
        <w:t>/CT</w:t>
      </w:r>
      <w:r w:rsidRPr="003B4362">
        <w:rPr>
          <w:vertAlign w:val="subscript"/>
        </w:rPr>
        <w:t>99.9</w:t>
      </w:r>
      <w:r w:rsidRPr="003B4362">
        <w:t>) value of each segment and (</w:t>
      </w:r>
      <w:r w:rsidRPr="003B4362">
        <w:sym w:font="Symbol" w:char="F053"/>
      </w:r>
      <w:r w:rsidRPr="003B4362">
        <w:t>(CT</w:t>
      </w:r>
      <w:r w:rsidRPr="003B4362">
        <w:rPr>
          <w:vertAlign w:val="subscript"/>
        </w:rPr>
        <w:t>calc</w:t>
      </w:r>
      <w:r w:rsidRPr="003B4362">
        <w:t>/CT</w:t>
      </w:r>
      <w:r w:rsidRPr="003B4362">
        <w:rPr>
          <w:vertAlign w:val="subscript"/>
        </w:rPr>
        <w:t>99.9</w:t>
      </w:r>
      <w:r w:rsidRPr="003B4362">
        <w:t xml:space="preserve">)) </w:t>
      </w:r>
      <w:bookmarkEnd w:id="4131"/>
      <w:r w:rsidRPr="003B4362">
        <w:t>using the method in subsection (b)(4)(A).</w:t>
      </w:r>
    </w:p>
    <w:p w14:paraId="048A099C" w14:textId="77777777" w:rsidR="004F3F98" w:rsidRDefault="004F3F98" w:rsidP="004F3F98">
      <w:pPr>
        <w:widowControl w:val="0"/>
        <w:suppressAutoHyphens/>
        <w:ind w:left="2880" w:hanging="720"/>
      </w:pPr>
    </w:p>
    <w:p w14:paraId="16ACAC97" w14:textId="16884349" w:rsidR="004A1C78" w:rsidRPr="003B4362" w:rsidRDefault="004A1C78" w:rsidP="004F3F98">
      <w:pPr>
        <w:widowControl w:val="0"/>
        <w:suppressAutoHyphens/>
        <w:ind w:left="2880" w:hanging="720"/>
      </w:pPr>
      <w:r w:rsidRPr="003B4362">
        <w:t>C)</w:t>
      </w:r>
      <w:r w:rsidRPr="003B4362">
        <w:tab/>
        <w:t xml:space="preserve">The supplier must determine the total logs of inactivation by multiplying the value </w:t>
      </w:r>
      <w:bookmarkStart w:id="4132" w:name="_Hlk133513548"/>
      <w:r w:rsidRPr="003B4362">
        <w:t xml:space="preserve">calculated </w:t>
      </w:r>
      <w:r w:rsidR="000C21CF" w:rsidRPr="003B4362">
        <w:t xml:space="preserve">under </w:t>
      </w:r>
      <w:r w:rsidRPr="003B4362">
        <w:t>subsection (b)(4)(A)</w:t>
      </w:r>
      <w:bookmarkEnd w:id="4132"/>
      <w:r w:rsidRPr="003B4362">
        <w:t xml:space="preserve"> or (b)(4)(B) by 3.0.</w:t>
      </w:r>
    </w:p>
    <w:p w14:paraId="035C8AC6" w14:textId="77777777" w:rsidR="004F3F98" w:rsidRDefault="004F3F98" w:rsidP="004F3F98">
      <w:pPr>
        <w:widowControl w:val="0"/>
        <w:suppressAutoHyphens/>
        <w:ind w:left="2160" w:hanging="720"/>
      </w:pPr>
    </w:p>
    <w:p w14:paraId="7965E4C9" w14:textId="3E9F6117" w:rsidR="004A1C78" w:rsidRPr="003B4362" w:rsidRDefault="004A1C78" w:rsidP="004F3F98">
      <w:pPr>
        <w:widowControl w:val="0"/>
        <w:suppressAutoHyphens/>
        <w:ind w:left="2160" w:hanging="720"/>
      </w:pPr>
      <w:r w:rsidRPr="003B4362">
        <w:t>5)</w:t>
      </w:r>
      <w:r w:rsidRPr="003B4362">
        <w:tab/>
        <w:t>A</w:t>
      </w:r>
      <w:bookmarkStart w:id="4133" w:name="_Hlk133513789"/>
      <w:r w:rsidRPr="003B4362">
        <w:t xml:space="preserve"> supplier using chloramines or ozone</w:t>
      </w:r>
      <w:bookmarkEnd w:id="4133"/>
      <w:r w:rsidRPr="003B4362">
        <w:t xml:space="preserve"> for primary disinfection must also calculate the logs of inactivation for viruses </w:t>
      </w:r>
      <w:bookmarkStart w:id="4134" w:name="_Hlk133513883"/>
      <w:r w:rsidRPr="003B4362">
        <w:t>using an Agency-approved method</w:t>
      </w:r>
      <w:bookmarkEnd w:id="4134"/>
      <w:r w:rsidRPr="003B4362">
        <w:t>.</w:t>
      </w:r>
    </w:p>
    <w:p w14:paraId="2CDADED6" w14:textId="77777777" w:rsidR="004F3F98" w:rsidRDefault="004F3F98" w:rsidP="004F3F98">
      <w:pPr>
        <w:widowControl w:val="0"/>
        <w:suppressAutoHyphens/>
        <w:ind w:left="2160" w:hanging="720"/>
      </w:pPr>
    </w:p>
    <w:p w14:paraId="5506DB3E" w14:textId="10447220" w:rsidR="004A1C78" w:rsidRPr="003B4362" w:rsidRDefault="004A1C78" w:rsidP="004F3F98">
      <w:pPr>
        <w:widowControl w:val="0"/>
        <w:suppressAutoHyphens/>
        <w:ind w:left="2160" w:hanging="720"/>
      </w:pPr>
      <w:r w:rsidRPr="003B4362">
        <w:t>6)</w:t>
      </w:r>
      <w:r w:rsidRPr="003B4362">
        <w:tab/>
        <w:t xml:space="preserve">The supplier </w:t>
      </w:r>
      <w:bookmarkStart w:id="4135" w:name="_Hlk133514195"/>
      <w:r w:rsidRPr="003B4362">
        <w:t xml:space="preserve">must </w:t>
      </w:r>
      <w:r w:rsidR="006B3FE8" w:rsidRPr="003B4362">
        <w:t xml:space="preserve">maintain </w:t>
      </w:r>
      <w:r w:rsidRPr="003B4362">
        <w:t>disinfection profile data</w:t>
      </w:r>
      <w:bookmarkEnd w:id="4135"/>
      <w:r w:rsidRPr="003B4362">
        <w:t xml:space="preserve"> in </w:t>
      </w:r>
      <w:bookmarkStart w:id="4136" w:name="_Hlk133514359"/>
      <w:r w:rsidRPr="003B4362">
        <w:t>graphic form, as a spreadsheet or in some other format acceptable to the Agency</w:t>
      </w:r>
      <w:r w:rsidR="006B3FE8" w:rsidRPr="003B4362">
        <w:t>,</w:t>
      </w:r>
      <w:r w:rsidRPr="003B4362">
        <w:t xml:space="preserve"> for review</w:t>
      </w:r>
      <w:bookmarkEnd w:id="4136"/>
      <w:r w:rsidRPr="003B4362">
        <w:t xml:space="preserve"> as part of sanitary surveys the Agency conducts.</w:t>
      </w:r>
    </w:p>
    <w:p w14:paraId="14851945" w14:textId="77777777" w:rsidR="004F3F98" w:rsidRDefault="004F3F98" w:rsidP="004F3F98">
      <w:pPr>
        <w:widowControl w:val="0"/>
        <w:suppressAutoHyphens/>
        <w:ind w:left="1440" w:hanging="720"/>
      </w:pPr>
    </w:p>
    <w:p w14:paraId="0315CCD8" w14:textId="63A38DD5" w:rsidR="004A1C78" w:rsidRPr="003B4362" w:rsidRDefault="004A1C78" w:rsidP="004F3F98">
      <w:pPr>
        <w:widowControl w:val="0"/>
        <w:suppressAutoHyphens/>
        <w:ind w:left="1440" w:hanging="720"/>
      </w:pPr>
      <w:r w:rsidRPr="003B4362">
        <w:t>c)</w:t>
      </w:r>
      <w:r w:rsidRPr="003B4362">
        <w:tab/>
        <w:t>Disinfection Benchmarking</w:t>
      </w:r>
    </w:p>
    <w:p w14:paraId="6702D15F" w14:textId="77777777" w:rsidR="004F3F98" w:rsidRDefault="004F3F98" w:rsidP="004F3F98">
      <w:pPr>
        <w:widowControl w:val="0"/>
        <w:suppressAutoHyphens/>
        <w:ind w:left="2160" w:hanging="720"/>
      </w:pPr>
    </w:p>
    <w:p w14:paraId="76601C7C" w14:textId="51272D54" w:rsidR="004A1C78" w:rsidRPr="003B4362" w:rsidRDefault="004A1C78" w:rsidP="004F3F98">
      <w:pPr>
        <w:widowControl w:val="0"/>
        <w:suppressAutoHyphens/>
        <w:ind w:left="2160" w:hanging="720"/>
      </w:pPr>
      <w:r w:rsidRPr="003B4362">
        <w:t>1)</w:t>
      </w:r>
      <w:r w:rsidRPr="003B4362">
        <w:tab/>
      </w:r>
      <w:r w:rsidR="00F036F8" w:rsidRPr="003B4362">
        <w:t xml:space="preserve">A </w:t>
      </w:r>
      <w:bookmarkStart w:id="4137" w:name="_Hlk133514483"/>
      <w:r w:rsidRPr="003B4362">
        <w:t>supplier that must develop</w:t>
      </w:r>
      <w:bookmarkEnd w:id="4137"/>
      <w:r w:rsidRPr="003B4362">
        <w:t xml:space="preserve"> a disinfection profile </w:t>
      </w:r>
      <w:bookmarkStart w:id="4138" w:name="_Hlk133514585"/>
      <w:r w:rsidRPr="003B4362">
        <w:t>under the subsections (a) and (b)</w:t>
      </w:r>
      <w:bookmarkEnd w:id="4138"/>
      <w:r w:rsidRPr="003B4362">
        <w:t xml:space="preserve"> </w:t>
      </w:r>
      <w:bookmarkStart w:id="4139" w:name="_Hlk133514672"/>
      <w:r w:rsidRPr="003B4362">
        <w:t xml:space="preserve">deciding to </w:t>
      </w:r>
      <w:r w:rsidR="00F036F8" w:rsidRPr="003B4362">
        <w:t xml:space="preserve">significantly </w:t>
      </w:r>
      <w:r w:rsidRPr="003B4362">
        <w:t>change its disinfection practice</w:t>
      </w:r>
      <w:bookmarkEnd w:id="4139"/>
      <w:r w:rsidRPr="003B4362">
        <w:t xml:space="preserve"> must </w:t>
      </w:r>
      <w:r w:rsidR="00F036F8" w:rsidRPr="003B4362">
        <w:t xml:space="preserve">obtain </w:t>
      </w:r>
      <w:r w:rsidRPr="003B4362">
        <w:t xml:space="preserve">Agency </w:t>
      </w:r>
      <w:r w:rsidR="00F036F8" w:rsidRPr="003B4362">
        <w:t xml:space="preserve">approval before </w:t>
      </w:r>
      <w:r w:rsidRPr="003B4362">
        <w:t xml:space="preserve">making </w:t>
      </w:r>
      <w:r w:rsidR="00F036F8" w:rsidRPr="003B4362">
        <w:t>the</w:t>
      </w:r>
      <w:r w:rsidRPr="003B4362">
        <w:t xml:space="preserve"> change.  C</w:t>
      </w:r>
      <w:bookmarkStart w:id="4140" w:name="_Hlk133518349"/>
      <w:r w:rsidR="003D20D1" w:rsidRPr="003B4362">
        <w:t xml:space="preserve">ertain changes </w:t>
      </w:r>
      <w:r w:rsidRPr="003B4362">
        <w:t>are significant changes to disinfection practice</w:t>
      </w:r>
      <w:bookmarkEnd w:id="4140"/>
      <w:r w:rsidRPr="003B4362">
        <w:t>:</w:t>
      </w:r>
    </w:p>
    <w:p w14:paraId="5F00169F" w14:textId="77777777" w:rsidR="004F3F98" w:rsidRDefault="004F3F98" w:rsidP="004F3F98">
      <w:pPr>
        <w:widowControl w:val="0"/>
        <w:suppressAutoHyphens/>
        <w:ind w:left="2880" w:hanging="720"/>
      </w:pPr>
    </w:p>
    <w:p w14:paraId="6031ACB8" w14:textId="72270BE4" w:rsidR="004A1C78" w:rsidRPr="003B4362" w:rsidRDefault="004A1C78" w:rsidP="004F3F98">
      <w:pPr>
        <w:widowControl w:val="0"/>
        <w:suppressAutoHyphens/>
        <w:ind w:left="2880" w:hanging="720"/>
      </w:pPr>
      <w:r w:rsidRPr="003B4362">
        <w:t>A)</w:t>
      </w:r>
      <w:r w:rsidRPr="003B4362">
        <w:tab/>
      </w:r>
      <w:r w:rsidR="003D20D1" w:rsidRPr="003B4362">
        <w:t>A</w:t>
      </w:r>
      <w:bookmarkStart w:id="4141" w:name="_Hlk133518688"/>
      <w:r w:rsidR="003D20D1" w:rsidRPr="003B4362">
        <w:t xml:space="preserve"> change in </w:t>
      </w:r>
      <w:r w:rsidRPr="003B4362">
        <w:t xml:space="preserve">the point </w:t>
      </w:r>
      <w:r w:rsidR="003D20D1" w:rsidRPr="003B4362">
        <w:t xml:space="preserve">where the supplier applies </w:t>
      </w:r>
      <w:r w:rsidRPr="003B4362">
        <w:t>disinfection</w:t>
      </w:r>
      <w:r w:rsidR="003D20D1" w:rsidRPr="003B4362">
        <w:t xml:space="preserve"> treatment</w:t>
      </w:r>
      <w:bookmarkEnd w:id="4141"/>
      <w:r w:rsidRPr="003B4362">
        <w:t>;</w:t>
      </w:r>
    </w:p>
    <w:p w14:paraId="7EB85378" w14:textId="77777777" w:rsidR="004F3F98" w:rsidRDefault="004F3F98" w:rsidP="004F3F98">
      <w:pPr>
        <w:widowControl w:val="0"/>
        <w:suppressAutoHyphens/>
        <w:ind w:left="2880" w:hanging="720"/>
      </w:pPr>
    </w:p>
    <w:p w14:paraId="6CBC005C" w14:textId="2170C813" w:rsidR="004A1C78" w:rsidRPr="003B4362" w:rsidRDefault="004A1C78" w:rsidP="004F3F98">
      <w:pPr>
        <w:widowControl w:val="0"/>
        <w:suppressAutoHyphens/>
        <w:ind w:left="2880" w:hanging="720"/>
      </w:pPr>
      <w:r w:rsidRPr="003B4362">
        <w:t>B)</w:t>
      </w:r>
      <w:r w:rsidRPr="003B4362">
        <w:tab/>
      </w:r>
      <w:r w:rsidR="003D20D1" w:rsidRPr="003B4362">
        <w:t>A</w:t>
      </w:r>
      <w:bookmarkStart w:id="4142" w:name="_Hlk133518927"/>
      <w:r w:rsidR="003D20D1" w:rsidRPr="003B4362">
        <w:t xml:space="preserve"> change in </w:t>
      </w:r>
      <w:r w:rsidRPr="003B4362">
        <w:t xml:space="preserve">the </w:t>
      </w:r>
      <w:r w:rsidR="003D20D1" w:rsidRPr="003B4362">
        <w:t xml:space="preserve">disinfectant the supplier uses </w:t>
      </w:r>
      <w:r w:rsidRPr="003B4362">
        <w:t xml:space="preserve">in </w:t>
      </w:r>
      <w:r w:rsidR="003D20D1" w:rsidRPr="003B4362">
        <w:t xml:space="preserve">its </w:t>
      </w:r>
      <w:r w:rsidRPr="003B4362">
        <w:t>treatment plant</w:t>
      </w:r>
      <w:bookmarkEnd w:id="4142"/>
      <w:r w:rsidRPr="003B4362">
        <w:t>;</w:t>
      </w:r>
    </w:p>
    <w:p w14:paraId="10A5F2BD" w14:textId="77777777" w:rsidR="004F3F98" w:rsidRDefault="004F3F98" w:rsidP="004F3F98">
      <w:pPr>
        <w:widowControl w:val="0"/>
        <w:suppressAutoHyphens/>
        <w:ind w:left="2880" w:hanging="720"/>
      </w:pPr>
    </w:p>
    <w:p w14:paraId="0366AA62" w14:textId="0067293E" w:rsidR="004A1C78" w:rsidRPr="003B4362" w:rsidRDefault="004A1C78" w:rsidP="004F3F98">
      <w:pPr>
        <w:widowControl w:val="0"/>
        <w:suppressAutoHyphens/>
        <w:ind w:left="2880" w:hanging="720"/>
      </w:pPr>
      <w:r w:rsidRPr="003B4362">
        <w:t>C)</w:t>
      </w:r>
      <w:r w:rsidRPr="003B4362">
        <w:tab/>
      </w:r>
      <w:r w:rsidR="003D20D1" w:rsidRPr="003B4362">
        <w:t>A</w:t>
      </w:r>
      <w:bookmarkStart w:id="4143" w:name="_Hlk133519002"/>
      <w:r w:rsidR="003D20D1" w:rsidRPr="003B4362">
        <w:t xml:space="preserve"> change in </w:t>
      </w:r>
      <w:r w:rsidRPr="003B4362">
        <w:t xml:space="preserve">the </w:t>
      </w:r>
      <w:r w:rsidR="003D20D1" w:rsidRPr="003B4362">
        <w:t xml:space="preserve">supplier’s </w:t>
      </w:r>
      <w:r w:rsidRPr="003B4362">
        <w:t>disinfection process</w:t>
      </w:r>
      <w:bookmarkEnd w:id="4143"/>
      <w:r w:rsidRPr="003B4362">
        <w:t>; and</w:t>
      </w:r>
    </w:p>
    <w:p w14:paraId="336DB348" w14:textId="77777777" w:rsidR="004F3F98" w:rsidRDefault="004F3F98" w:rsidP="004F3F98">
      <w:pPr>
        <w:widowControl w:val="0"/>
        <w:suppressAutoHyphens/>
        <w:ind w:left="2880" w:hanging="720"/>
      </w:pPr>
    </w:p>
    <w:p w14:paraId="14A326E1" w14:textId="495DED84" w:rsidR="004A1C78" w:rsidRPr="003B4362" w:rsidRDefault="004A1C78" w:rsidP="004F3F98">
      <w:pPr>
        <w:widowControl w:val="0"/>
        <w:suppressAutoHyphens/>
        <w:ind w:left="2880" w:hanging="720"/>
      </w:pPr>
      <w:r w:rsidRPr="003B4362">
        <w:t>D)</w:t>
      </w:r>
      <w:r w:rsidRPr="003B4362">
        <w:tab/>
        <w:t xml:space="preserve">Any </w:t>
      </w:r>
      <w:bookmarkStart w:id="4144" w:name="_Hlk133519146"/>
      <w:r w:rsidRPr="003B4362">
        <w:t>other modification the Agency identifies as a significant change</w:t>
      </w:r>
      <w:bookmarkEnd w:id="4144"/>
      <w:r w:rsidR="003D20D1" w:rsidRPr="003B4362">
        <w:t xml:space="preserve"> in a SEP</w:t>
      </w:r>
      <w:r w:rsidRPr="003B4362">
        <w:t>.</w:t>
      </w:r>
    </w:p>
    <w:p w14:paraId="5F46D5B0" w14:textId="77777777" w:rsidR="004F3F98" w:rsidRDefault="004F3F98" w:rsidP="004F3F98">
      <w:pPr>
        <w:widowControl w:val="0"/>
        <w:suppressAutoHyphens/>
        <w:ind w:left="2160" w:hanging="720"/>
      </w:pPr>
    </w:p>
    <w:p w14:paraId="52173ED5" w14:textId="1283A468" w:rsidR="004A1C78" w:rsidRPr="003B4362" w:rsidRDefault="004A1C78" w:rsidP="004F3F98">
      <w:pPr>
        <w:widowControl w:val="0"/>
        <w:suppressAutoHyphens/>
        <w:ind w:left="2160" w:hanging="720"/>
      </w:pPr>
      <w:r w:rsidRPr="003B4362">
        <w:t>2)</w:t>
      </w:r>
      <w:r w:rsidRPr="003B4362">
        <w:tab/>
        <w:t>A</w:t>
      </w:r>
      <w:bookmarkStart w:id="4145" w:name="_Hlk133519255"/>
      <w:r w:rsidRPr="003B4362">
        <w:t>ny supplier modifying its disinfection practice</w:t>
      </w:r>
      <w:bookmarkEnd w:id="4145"/>
      <w:r w:rsidRPr="003B4362">
        <w:t xml:space="preserve"> must calculate its disinfection benchmark using </w:t>
      </w:r>
      <w:bookmarkStart w:id="4146" w:name="_Hlk133519302"/>
      <w:r w:rsidRPr="003B4362">
        <w:t>the procedure in subsections (c)(2)(A) and (c)(2)(B)</w:t>
      </w:r>
      <w:bookmarkEnd w:id="4146"/>
      <w:r w:rsidRPr="003B4362">
        <w:t>.</w:t>
      </w:r>
    </w:p>
    <w:p w14:paraId="524838BD" w14:textId="77777777" w:rsidR="004F3F98" w:rsidRDefault="004F3F98" w:rsidP="004F3F98">
      <w:pPr>
        <w:widowControl w:val="0"/>
        <w:suppressAutoHyphens/>
        <w:ind w:left="2880" w:hanging="720"/>
      </w:pPr>
    </w:p>
    <w:p w14:paraId="60D25AF4" w14:textId="3B80ABB6" w:rsidR="004A1C78" w:rsidRPr="003B4362" w:rsidRDefault="004A1C78" w:rsidP="004F3F98">
      <w:pPr>
        <w:widowControl w:val="0"/>
        <w:suppressAutoHyphens/>
        <w:ind w:left="2880" w:hanging="720"/>
      </w:pPr>
      <w:r w:rsidRPr="003B4362">
        <w:t>A)</w:t>
      </w:r>
      <w:r w:rsidRPr="003B4362">
        <w:tab/>
        <w:t xml:space="preserve">For each year of profiling </w:t>
      </w:r>
      <w:bookmarkStart w:id="4147" w:name="_Hlk133519544"/>
      <w:r w:rsidRPr="003B4362">
        <w:t xml:space="preserve">data </w:t>
      </w:r>
      <w:r w:rsidR="003D20D1" w:rsidRPr="003B4362">
        <w:t>a supplier collects</w:t>
      </w:r>
      <w:r w:rsidRPr="003B4362">
        <w:t xml:space="preserve"> and </w:t>
      </w:r>
      <w:r w:rsidR="003D20D1" w:rsidRPr="003B4362">
        <w:t xml:space="preserve">calculates </w:t>
      </w:r>
      <w:r w:rsidRPr="003B4362">
        <w:t>under subsection (b)</w:t>
      </w:r>
      <w:bookmarkEnd w:id="4147"/>
      <w:r w:rsidRPr="003B4362">
        <w:t>, the supplier must determine the lowest average monthly Giardia lamblia inactivation in each year of profiling data.  The supplier must determine the average Giardia lamblia inactivation for each calendar month for each year of profiling data by dividing the sum of daily Giardia lamblia of inactivation by the number of values calculated for that month.</w:t>
      </w:r>
    </w:p>
    <w:p w14:paraId="47FF8750" w14:textId="77777777" w:rsidR="004F3F98" w:rsidRDefault="004F3F98" w:rsidP="004F3F98">
      <w:pPr>
        <w:widowControl w:val="0"/>
        <w:suppressAutoHyphens/>
        <w:ind w:left="2880" w:hanging="720"/>
      </w:pPr>
    </w:p>
    <w:p w14:paraId="00F819DD" w14:textId="37B57969" w:rsidR="004A1C78" w:rsidRPr="003B4362" w:rsidRDefault="004A1C78" w:rsidP="004F3F98">
      <w:pPr>
        <w:widowControl w:val="0"/>
        <w:suppressAutoHyphens/>
        <w:ind w:left="2880" w:hanging="720"/>
      </w:pPr>
      <w:r w:rsidRPr="003B4362">
        <w:t>B)</w:t>
      </w:r>
      <w:r w:rsidRPr="003B4362">
        <w:tab/>
        <w:t>The disinfection benchmark is the lowest monthly average value (</w:t>
      </w:r>
      <w:bookmarkStart w:id="4148" w:name="_Hlk133520189"/>
      <w:r w:rsidRPr="003B4362">
        <w:t xml:space="preserve">for </w:t>
      </w:r>
      <w:r w:rsidR="00FE3452" w:rsidRPr="003B4362">
        <w:t xml:space="preserve">a supplier </w:t>
      </w:r>
      <w:r w:rsidRPr="003B4362">
        <w:t>with one year</w:t>
      </w:r>
      <w:bookmarkEnd w:id="4148"/>
      <w:r w:rsidRPr="003B4362">
        <w:t xml:space="preserve"> of profiling data) or average of lowest monthly average values (for </w:t>
      </w:r>
      <w:r w:rsidR="00FE3452" w:rsidRPr="003B4362">
        <w:t xml:space="preserve">a supplier </w:t>
      </w:r>
      <w:r w:rsidRPr="003B4362">
        <w:t xml:space="preserve">with </w:t>
      </w:r>
      <w:bookmarkStart w:id="4149" w:name="_Hlk133520240"/>
      <w:r w:rsidRPr="003B4362">
        <w:t xml:space="preserve">more than </w:t>
      </w:r>
      <w:bookmarkEnd w:id="4149"/>
      <w:r w:rsidRPr="003B4362">
        <w:t>one year of profiling data) of the monthly logs of Giardia lamblia inactivation in each year of profiling data.</w:t>
      </w:r>
    </w:p>
    <w:p w14:paraId="099E7418" w14:textId="77777777" w:rsidR="004F3F98" w:rsidRDefault="004F3F98" w:rsidP="004F3F98">
      <w:pPr>
        <w:widowControl w:val="0"/>
        <w:suppressAutoHyphens/>
        <w:ind w:left="2160" w:hanging="720"/>
      </w:pPr>
    </w:p>
    <w:p w14:paraId="4904D0E2" w14:textId="30F6DD8F" w:rsidR="004A1C78" w:rsidRPr="003B4362" w:rsidRDefault="004A1C78" w:rsidP="004F3F98">
      <w:pPr>
        <w:widowControl w:val="0"/>
        <w:suppressAutoHyphens/>
        <w:ind w:left="2160" w:hanging="720"/>
      </w:pPr>
      <w:r w:rsidRPr="003B4362">
        <w:t>3)</w:t>
      </w:r>
      <w:r w:rsidRPr="003B4362">
        <w:tab/>
        <w:t xml:space="preserve">A supplier using chloramines or ozone for primary disinfection must also </w:t>
      </w:r>
      <w:r w:rsidRPr="003B4362">
        <w:lastRenderedPageBreak/>
        <w:t>calculate the disinfection benchmark for viruses using an Agency-approved method.</w:t>
      </w:r>
    </w:p>
    <w:p w14:paraId="7196F159" w14:textId="77777777" w:rsidR="004F3F98" w:rsidRDefault="004F3F98" w:rsidP="004F3F98">
      <w:pPr>
        <w:widowControl w:val="0"/>
        <w:suppressAutoHyphens/>
        <w:ind w:left="2160" w:hanging="720"/>
      </w:pPr>
    </w:p>
    <w:p w14:paraId="58CE3E46" w14:textId="1ED87897" w:rsidR="004A1C78" w:rsidRPr="003B4362" w:rsidRDefault="004A1C78" w:rsidP="004F3F98">
      <w:pPr>
        <w:widowControl w:val="0"/>
        <w:suppressAutoHyphens/>
        <w:ind w:left="2160" w:hanging="720"/>
      </w:pPr>
      <w:r w:rsidRPr="003B4362">
        <w:t>4)</w:t>
      </w:r>
      <w:r w:rsidRPr="003B4362">
        <w:tab/>
        <w:t xml:space="preserve">The supplier must </w:t>
      </w:r>
      <w:bookmarkStart w:id="4150" w:name="_Hlk133521549"/>
      <w:r w:rsidRPr="003B4362">
        <w:t xml:space="preserve">submit </w:t>
      </w:r>
      <w:r w:rsidR="004638A5" w:rsidRPr="003B4362">
        <w:t xml:space="preserve">the </w:t>
      </w:r>
      <w:r w:rsidRPr="003B4362">
        <w:t>information in subsections (c)(4)(A) through (c)(4)(C)</w:t>
      </w:r>
      <w:bookmarkEnd w:id="4150"/>
      <w:r w:rsidRPr="003B4362">
        <w:t xml:space="preserve"> to the Agency</w:t>
      </w:r>
      <w:r w:rsidR="004638A5" w:rsidRPr="003B4362">
        <w:t xml:space="preserve"> </w:t>
      </w:r>
      <w:bookmarkStart w:id="4151" w:name="_Hlk133521588"/>
      <w:r w:rsidR="004638A5" w:rsidRPr="003B4362">
        <w:t>when seeking Agency approval</w:t>
      </w:r>
      <w:bookmarkEnd w:id="4151"/>
      <w:r w:rsidRPr="003B4362">
        <w:t>.</w:t>
      </w:r>
    </w:p>
    <w:p w14:paraId="4AA7935C" w14:textId="77777777" w:rsidR="004F3F98" w:rsidRDefault="004F3F98" w:rsidP="004F3F98">
      <w:pPr>
        <w:widowControl w:val="0"/>
        <w:suppressAutoHyphens/>
        <w:ind w:left="2880" w:hanging="720"/>
      </w:pPr>
    </w:p>
    <w:p w14:paraId="7B37F65E" w14:textId="46B5E1E3" w:rsidR="004A1C78" w:rsidRPr="003B4362" w:rsidRDefault="004A1C78" w:rsidP="004F3F98">
      <w:pPr>
        <w:widowControl w:val="0"/>
        <w:suppressAutoHyphens/>
        <w:ind w:left="2880" w:hanging="720"/>
      </w:pPr>
      <w:r w:rsidRPr="003B4362">
        <w:t>A)</w:t>
      </w:r>
      <w:r w:rsidRPr="003B4362">
        <w:tab/>
        <w:t>A description of the proposed change;</w:t>
      </w:r>
    </w:p>
    <w:p w14:paraId="6D203AB4" w14:textId="77777777" w:rsidR="004F3F98" w:rsidRDefault="004F3F98" w:rsidP="004F3F98">
      <w:pPr>
        <w:widowControl w:val="0"/>
        <w:suppressAutoHyphens/>
        <w:ind w:left="2880" w:hanging="720"/>
      </w:pPr>
    </w:p>
    <w:p w14:paraId="2CF3666A" w14:textId="0878FEA2" w:rsidR="004A1C78" w:rsidRDefault="004A1C78" w:rsidP="004F3F98">
      <w:pPr>
        <w:widowControl w:val="0"/>
        <w:suppressAutoHyphens/>
        <w:ind w:left="2880" w:hanging="720"/>
      </w:pPr>
      <w:r w:rsidRPr="003B4362">
        <w:t>B)</w:t>
      </w:r>
      <w:r w:rsidRPr="003B4362">
        <w:tab/>
        <w:t xml:space="preserve">The disinfection profile for Giardia lamblia </w:t>
      </w:r>
      <w:bookmarkStart w:id="4152" w:name="_Hlk133521668"/>
      <w:r w:rsidRPr="003B4362">
        <w:t>(and viruses if necessary)</w:t>
      </w:r>
      <w:bookmarkEnd w:id="4152"/>
      <w:r w:rsidRPr="003B4362">
        <w:t xml:space="preserve"> under subsection (b) and </w:t>
      </w:r>
      <w:bookmarkStart w:id="4153" w:name="_Hlk133521708"/>
      <w:r w:rsidRPr="003B4362">
        <w:t>benchmark as subsection (c)(2) requires</w:t>
      </w:r>
      <w:bookmarkEnd w:id="4153"/>
      <w:r w:rsidRPr="003B4362">
        <w:t>; and</w:t>
      </w:r>
    </w:p>
    <w:p w14:paraId="24CD4E6A" w14:textId="77777777" w:rsidR="004F3F98" w:rsidRPr="003B4362" w:rsidRDefault="004F3F98" w:rsidP="004F3F98">
      <w:pPr>
        <w:widowControl w:val="0"/>
        <w:suppressAutoHyphens/>
        <w:ind w:left="2880" w:hanging="720"/>
      </w:pPr>
    </w:p>
    <w:p w14:paraId="10ACCA80" w14:textId="73460FDF" w:rsidR="004A1C78" w:rsidRDefault="004A1C78" w:rsidP="004F3F98">
      <w:pPr>
        <w:widowControl w:val="0"/>
        <w:suppressAutoHyphens/>
        <w:ind w:left="2880" w:hanging="720"/>
      </w:pPr>
      <w:r w:rsidRPr="003B4362">
        <w:t>C)</w:t>
      </w:r>
      <w:r w:rsidRPr="003B4362">
        <w:tab/>
        <w:t>An analysis of how the proposed change will affect the current levels of disinfection.</w:t>
      </w:r>
    </w:p>
    <w:p w14:paraId="61DBD645" w14:textId="77777777" w:rsidR="004F3F98" w:rsidRPr="003B4362" w:rsidRDefault="004F3F98" w:rsidP="004F3F98">
      <w:pPr>
        <w:widowControl w:val="0"/>
        <w:suppressAutoHyphens/>
        <w:ind w:left="2880" w:hanging="720"/>
      </w:pPr>
    </w:p>
    <w:p w14:paraId="4FE149BF" w14:textId="49B8036F" w:rsidR="004A1C78" w:rsidRDefault="004A1C78" w:rsidP="004F3F98">
      <w:pPr>
        <w:widowControl w:val="0"/>
        <w:suppressAutoHyphens/>
        <w:rPr>
          <w:spacing w:val="-2"/>
        </w:rPr>
      </w:pPr>
      <w:r w:rsidRPr="003B4362">
        <w:rPr>
          <w:spacing w:val="-2"/>
        </w:rPr>
        <w:t xml:space="preserve">BOARD NOTE:  </w:t>
      </w:r>
      <w:r w:rsidR="00260D73" w:rsidRPr="003B4362">
        <w:rPr>
          <w:spacing w:val="-3"/>
        </w:rPr>
        <w:t xml:space="preserve">This Section derives </w:t>
      </w:r>
      <w:r w:rsidRPr="003B4362">
        <w:rPr>
          <w:spacing w:val="-2"/>
        </w:rPr>
        <w:t>from 40 CFR 141.172.</w:t>
      </w:r>
    </w:p>
    <w:p w14:paraId="3368A885" w14:textId="77777777" w:rsidR="004F3F98" w:rsidRPr="003B4362" w:rsidRDefault="004F3F98" w:rsidP="004F3F98">
      <w:pPr>
        <w:widowControl w:val="0"/>
        <w:suppressAutoHyphens/>
        <w:rPr>
          <w:spacing w:val="-2"/>
        </w:rPr>
      </w:pPr>
    </w:p>
    <w:p w14:paraId="10D6F58A" w14:textId="1D6074D7" w:rsidR="004A1C78" w:rsidRDefault="00EB353D" w:rsidP="004F3F9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186F1414" w14:textId="77777777" w:rsidR="00A31B87" w:rsidRPr="003B4362" w:rsidRDefault="00A31B87" w:rsidP="004F3F98">
      <w:pPr>
        <w:suppressAutoHyphens/>
        <w:ind w:left="720"/>
      </w:pPr>
    </w:p>
    <w:p w14:paraId="055BEA8B" w14:textId="7B20CFF4" w:rsidR="00A31B87" w:rsidRDefault="00A31B87" w:rsidP="00A31B87">
      <w:pPr>
        <w:rPr>
          <w:b/>
          <w:bCs/>
        </w:rPr>
      </w:pPr>
      <w:r w:rsidRPr="00A31B87">
        <w:rPr>
          <w:b/>
          <w:bCs/>
        </w:rPr>
        <w:t>Section 611.743  Filtration</w:t>
      </w:r>
    </w:p>
    <w:p w14:paraId="34D6C57E" w14:textId="77777777" w:rsidR="00A31B87" w:rsidRPr="00A31B87" w:rsidRDefault="00A31B87" w:rsidP="00A31B87">
      <w:pPr>
        <w:rPr>
          <w:b/>
          <w:bCs/>
        </w:rPr>
      </w:pPr>
    </w:p>
    <w:p w14:paraId="324193CA" w14:textId="2E63445F" w:rsidR="00A31B87" w:rsidRDefault="00A31B87" w:rsidP="00A31B87">
      <w:pPr>
        <w:suppressAutoHyphens/>
      </w:pPr>
      <w:r w:rsidRPr="001A7517">
        <w:t>A PWS must provide treatment consisting of both disinfection, as specified in Section 611.242, and filtration treatment that complies with the requirements of subsection (a) or (b) or Section 611.250 (b) or (c).</w:t>
      </w:r>
    </w:p>
    <w:p w14:paraId="3142C2EF" w14:textId="77777777" w:rsidR="00A31B87" w:rsidRPr="001A7517" w:rsidRDefault="00A31B87" w:rsidP="00A31B87">
      <w:pPr>
        <w:suppressAutoHyphens/>
      </w:pPr>
    </w:p>
    <w:p w14:paraId="18CF7631" w14:textId="693D1D2B" w:rsidR="00A31B87" w:rsidRDefault="00A31B87" w:rsidP="00A31B87">
      <w:pPr>
        <w:suppressAutoHyphens/>
        <w:ind w:left="1440" w:hanging="720"/>
      </w:pPr>
      <w:r w:rsidRPr="001A7517">
        <w:t>a)</w:t>
      </w:r>
      <w:r w:rsidRPr="001A7517">
        <w:tab/>
        <w:t>Conventional Filtration Treatment or Direct Filtration</w:t>
      </w:r>
    </w:p>
    <w:p w14:paraId="6894EC5C" w14:textId="77777777" w:rsidR="00A31B87" w:rsidRPr="001A7517" w:rsidRDefault="00A31B87" w:rsidP="00A31B87">
      <w:pPr>
        <w:suppressAutoHyphens/>
        <w:ind w:left="1440" w:hanging="720"/>
      </w:pPr>
    </w:p>
    <w:p w14:paraId="69F5E60D" w14:textId="343C7B49" w:rsidR="00A31B87" w:rsidRDefault="00A31B87" w:rsidP="00A31B87">
      <w:pPr>
        <w:suppressAutoHyphens/>
        <w:ind w:left="2160" w:hanging="720"/>
      </w:pPr>
      <w:r w:rsidRPr="001A7517">
        <w:t>1)</w:t>
      </w:r>
      <w:r w:rsidRPr="001A7517">
        <w:tab/>
        <w:t>For a supplier using conventional filtration or direct filtration, the turbidity level of representative samples of a system’s filtered water must be less than or equal to 0.3 NTU in at least 95 percent of the measurements taken each month, measured as specified in Sections 611.531 and 611.533.</w:t>
      </w:r>
    </w:p>
    <w:p w14:paraId="0F526EA6" w14:textId="77777777" w:rsidR="00A31B87" w:rsidRPr="001A7517" w:rsidRDefault="00A31B87" w:rsidP="00A31B87">
      <w:pPr>
        <w:suppressAutoHyphens/>
        <w:ind w:left="2160" w:hanging="720"/>
      </w:pPr>
    </w:p>
    <w:p w14:paraId="19878007" w14:textId="686B8296" w:rsidR="00A31B87" w:rsidRDefault="00A31B87" w:rsidP="00A31B87">
      <w:pPr>
        <w:suppressAutoHyphens/>
        <w:ind w:left="2160" w:hanging="720"/>
      </w:pPr>
      <w:r w:rsidRPr="001A7517">
        <w:t>2)</w:t>
      </w:r>
      <w:r w:rsidRPr="001A7517">
        <w:tab/>
        <w:t>The turbidity level of representative samples of a supplier’s filtered water must at no time exceed 1 NTU, measured as specified in Sections 611.531 and 611.533.</w:t>
      </w:r>
    </w:p>
    <w:p w14:paraId="7F7D9BBD" w14:textId="77777777" w:rsidR="00A31B87" w:rsidRPr="001A7517" w:rsidRDefault="00A31B87" w:rsidP="00A31B87">
      <w:pPr>
        <w:suppressAutoHyphens/>
        <w:ind w:left="2160" w:hanging="720"/>
      </w:pPr>
    </w:p>
    <w:p w14:paraId="7E475751" w14:textId="10CCAD68" w:rsidR="00A31B87" w:rsidRDefault="00A31B87" w:rsidP="00A31B87">
      <w:pPr>
        <w:suppressAutoHyphens/>
        <w:ind w:left="2160" w:hanging="720"/>
      </w:pPr>
      <w:r w:rsidRPr="001A7517">
        <w:t>3)</w:t>
      </w:r>
      <w:r w:rsidRPr="001A7517">
        <w:tab/>
        <w:t>A supplier that uses lime softening may acidify representative samples prior to analysis using a protocol approved by the Agency.</w:t>
      </w:r>
    </w:p>
    <w:p w14:paraId="1725191E" w14:textId="77777777" w:rsidR="00A31B87" w:rsidRPr="001A7517" w:rsidRDefault="00A31B87" w:rsidP="00A31B87">
      <w:pPr>
        <w:suppressAutoHyphens/>
        <w:ind w:left="2160" w:hanging="720"/>
      </w:pPr>
    </w:p>
    <w:p w14:paraId="11EDC945" w14:textId="05415F6E" w:rsidR="00A31B87" w:rsidRDefault="00A31B87" w:rsidP="00A31B87">
      <w:pPr>
        <w:suppressAutoHyphens/>
        <w:ind w:left="1440" w:hanging="720"/>
      </w:pPr>
      <w:r w:rsidRPr="001A7517">
        <w:t>b)</w:t>
      </w:r>
      <w:r w:rsidRPr="001A7517">
        <w:tab/>
        <w:t xml:space="preserve">Filtration Technologies Other Than Conventional Filtration Treatment, Direct Filtration, Slow Sand Filtration, or Diatomaceous Earth Filtration.  A PWS supplier may use a filtration technology not listed in subsection (a) or in Section 611.250 (b) or (c) if it demonstrates to the Agency, using pilot plant studies or other means, that the alternative filtration technology, in combination with disinfection treatment that meets the requirements of Section 611.242(b), </w:t>
      </w:r>
      <w:r w:rsidRPr="001A7517">
        <w:lastRenderedPageBreak/>
        <w:t>consistently achieves 99.9 percent removal or inactivation of Giardia lamblia cysts and 99.99 percent removal or inactivation of viruses, and 99 percent removal of Cryptosporidium oocysts, and the Agency approves the use of the filtration technology.  For each approval, the Agency must set turbidity performance requirements that the supplier must meet at least 95 percent of the time and that the supplier must not exceed at any time at a level that consistently achieves 99.9 percent removal or inactivation of Giardia lamblia cysts, 99.99 percent removal or inactivation of viruses, and 99 percent removal of Cryptosporidium oocysts.</w:t>
      </w:r>
    </w:p>
    <w:p w14:paraId="37F6B609" w14:textId="77777777" w:rsidR="00A31B87" w:rsidRPr="001A7517" w:rsidRDefault="00A31B87" w:rsidP="00A31B87">
      <w:pPr>
        <w:suppressAutoHyphens/>
        <w:ind w:left="1440" w:hanging="720"/>
      </w:pPr>
    </w:p>
    <w:p w14:paraId="6A4F25DE" w14:textId="0EB23E28" w:rsidR="00A31B87" w:rsidRDefault="00A31B87" w:rsidP="00A31B87">
      <w:pPr>
        <w:suppressAutoHyphens/>
        <w:rPr>
          <w:spacing w:val="-2"/>
        </w:rPr>
      </w:pPr>
      <w:r w:rsidRPr="001A7517">
        <w:rPr>
          <w:spacing w:val="-2"/>
        </w:rPr>
        <w:t>BOARD NOTE:  Derived from 40 CFR 141.173.</w:t>
      </w:r>
    </w:p>
    <w:p w14:paraId="67073190" w14:textId="77777777" w:rsidR="00A31B87" w:rsidRPr="001A7517" w:rsidRDefault="00A31B87" w:rsidP="00A31B87">
      <w:pPr>
        <w:suppressAutoHyphens/>
        <w:rPr>
          <w:spacing w:val="-2"/>
        </w:rPr>
      </w:pPr>
    </w:p>
    <w:p w14:paraId="796CB2A0" w14:textId="1A054186" w:rsidR="00A31B87" w:rsidRDefault="00A31B87" w:rsidP="00A31B87">
      <w:pPr>
        <w:suppressAutoHyphens/>
        <w:ind w:left="720"/>
      </w:pPr>
      <w:r w:rsidRPr="001A7517">
        <w:t>(Source:  A</w:t>
      </w:r>
      <w:r w:rsidRPr="001A7517">
        <w:rPr>
          <w:szCs w:val="17"/>
        </w:rPr>
        <w:t xml:space="preserve">mended at </w:t>
      </w:r>
      <w:r w:rsidRPr="001A7517">
        <w:t>44 Ill. Reg. 6996, effective April 17, 2020)</w:t>
      </w:r>
    </w:p>
    <w:p w14:paraId="56AF6DD9" w14:textId="77777777" w:rsidR="00A31B87" w:rsidRPr="001A7517" w:rsidRDefault="00A31B87" w:rsidP="00A31B87">
      <w:pPr>
        <w:suppressAutoHyphens/>
        <w:ind w:left="720"/>
      </w:pPr>
    </w:p>
    <w:p w14:paraId="5A0DA36D" w14:textId="77777777" w:rsidR="00A31B87" w:rsidRPr="00A31B87" w:rsidRDefault="00A31B87" w:rsidP="00A31B87">
      <w:pPr>
        <w:rPr>
          <w:b/>
          <w:bCs/>
        </w:rPr>
      </w:pPr>
      <w:r w:rsidRPr="00A31B87">
        <w:rPr>
          <w:b/>
          <w:bCs/>
        </w:rPr>
        <w:t>Section 611.744  Filtration Sampling Requirements</w:t>
      </w:r>
    </w:p>
    <w:p w14:paraId="6A733096" w14:textId="77777777" w:rsidR="00A31B87" w:rsidRDefault="00A31B87" w:rsidP="00A31B87">
      <w:pPr>
        <w:suppressAutoHyphens/>
        <w:ind w:left="1440" w:hanging="720"/>
      </w:pPr>
    </w:p>
    <w:p w14:paraId="58437DD0" w14:textId="520D7CA2" w:rsidR="00A31B87" w:rsidRPr="001A7517" w:rsidRDefault="00A31B87" w:rsidP="00A31B87">
      <w:pPr>
        <w:suppressAutoHyphens/>
        <w:ind w:left="1440" w:hanging="720"/>
      </w:pPr>
      <w:r w:rsidRPr="001A7517">
        <w:t>a)</w:t>
      </w:r>
      <w:r w:rsidRPr="001A7517">
        <w:tab/>
        <w:t>Monitoring Requirements for Systems Using Filtration Treatment.  In addition to monitoring required by Sections 611.531 and 611.533, a PWS subject to the requirements of this Subpart R that provides conventional filtration treatment or direct filtration must conduct continuous monitoring of turbidity for each individual filter using an approved method in Section 611.531(a) and must calibrate turbidimeters using the procedure specified by the manufacturer.  Systems must record the results of individual filter monitoring every 15 minutes.</w:t>
      </w:r>
    </w:p>
    <w:p w14:paraId="259DD32A" w14:textId="77777777" w:rsidR="00A31B87" w:rsidRDefault="00A31B87" w:rsidP="00A31B87">
      <w:pPr>
        <w:suppressAutoHyphens/>
        <w:ind w:left="1440" w:hanging="720"/>
      </w:pPr>
    </w:p>
    <w:p w14:paraId="303E8003" w14:textId="601BCD3F" w:rsidR="00A31B87" w:rsidRPr="001A7517" w:rsidRDefault="00A31B87" w:rsidP="00A31B87">
      <w:pPr>
        <w:suppressAutoHyphens/>
        <w:ind w:left="1440" w:hanging="720"/>
      </w:pPr>
      <w:r w:rsidRPr="001A7517">
        <w:t>b)</w:t>
      </w:r>
      <w:r w:rsidRPr="001A7517">
        <w:tab/>
        <w:t>If there is a failure in the continuous turbidity monitoring equipment, the system must conduct grab sampling every four hours in lieu of continuous monitoring, until the turbidimeter is back online.  A system must repair the equipment within a maximum of five working days after failure.</w:t>
      </w:r>
    </w:p>
    <w:p w14:paraId="3EA2C164" w14:textId="77777777" w:rsidR="00A31B87" w:rsidRDefault="00A31B87" w:rsidP="00A31B87">
      <w:pPr>
        <w:suppressAutoHyphens/>
      </w:pPr>
    </w:p>
    <w:p w14:paraId="68C1B8B2" w14:textId="32BAAD9A" w:rsidR="00A31B87" w:rsidRPr="001A7517" w:rsidRDefault="00A31B87" w:rsidP="00A31B87">
      <w:pPr>
        <w:suppressAutoHyphens/>
      </w:pPr>
      <w:r w:rsidRPr="001A7517">
        <w:t>BOARD NOTE:  Derived from 40 CFR 141.174.</w:t>
      </w:r>
    </w:p>
    <w:p w14:paraId="698E3D8F" w14:textId="77777777" w:rsidR="00A31B87" w:rsidRDefault="00A31B87" w:rsidP="00A31B87">
      <w:pPr>
        <w:suppressAutoHyphens/>
        <w:ind w:left="720"/>
      </w:pPr>
    </w:p>
    <w:p w14:paraId="6AD77B0C" w14:textId="04E1E802" w:rsidR="00A31B87" w:rsidRPr="001A7517" w:rsidRDefault="00A31B87" w:rsidP="00A31B87">
      <w:pPr>
        <w:suppressAutoHyphens/>
        <w:ind w:left="720"/>
      </w:pPr>
      <w:r w:rsidRPr="001A7517">
        <w:t>(Source:  A</w:t>
      </w:r>
      <w:r w:rsidRPr="001A7517">
        <w:rPr>
          <w:szCs w:val="17"/>
        </w:rPr>
        <w:t xml:space="preserve">mended at </w:t>
      </w:r>
      <w:r w:rsidRPr="001A7517">
        <w:t>44 Ill. Reg. 6996, effective April 17, 2020)</w:t>
      </w:r>
    </w:p>
    <w:p w14:paraId="1DC5DD02" w14:textId="77777777" w:rsidR="00A31B87" w:rsidRDefault="00A31B87" w:rsidP="00A31B87">
      <w:pPr>
        <w:rPr>
          <w:b/>
          <w:bCs/>
        </w:rPr>
      </w:pPr>
    </w:p>
    <w:p w14:paraId="67987B43" w14:textId="4105FCF3" w:rsidR="00A31B87" w:rsidRPr="00A31B87" w:rsidRDefault="00A31B87" w:rsidP="00A31B87">
      <w:pPr>
        <w:rPr>
          <w:b/>
          <w:bCs/>
        </w:rPr>
      </w:pPr>
      <w:r w:rsidRPr="00A31B87">
        <w:rPr>
          <w:b/>
          <w:bCs/>
        </w:rPr>
        <w:t>Section 611.745  Reporting and Recordkeeping Requirements</w:t>
      </w:r>
    </w:p>
    <w:p w14:paraId="180D15CB" w14:textId="77777777" w:rsidR="00A31B87" w:rsidRDefault="00A31B87" w:rsidP="00A31B87">
      <w:pPr>
        <w:suppressAutoHyphens/>
      </w:pPr>
    </w:p>
    <w:p w14:paraId="5FBD9593" w14:textId="393742DE" w:rsidR="00A31B87" w:rsidRPr="001A7517" w:rsidRDefault="00A31B87" w:rsidP="00A31B87">
      <w:pPr>
        <w:suppressAutoHyphens/>
      </w:pPr>
      <w:r w:rsidRPr="001A7517">
        <w:t>In addition to the reporting and recordkeeping requirements in Sections 611.261 and 611.262, a PWS supplier subject to the requirements of this Subpart R that provides conventional filtration treatment or direct filtration must report monthly to the Agency the information specified in subsections (a) and (b).  In addition to the reporting and recordkeeping requirements in Sections 611.261 and 611.262, a PWS supplier subject to the requirements of this Subpart R that provides filtration approved under Section 611.743(b) must report monthly to the Agency the information specified in subsection (a).  The reporting in subsection (a) is in lieu of the reporting specified in Section 611.262(a).</w:t>
      </w:r>
    </w:p>
    <w:p w14:paraId="178D2BF5" w14:textId="77777777" w:rsidR="00A31B87" w:rsidRDefault="00A31B87" w:rsidP="00A31B87">
      <w:pPr>
        <w:suppressAutoHyphens/>
        <w:ind w:left="1440" w:hanging="720"/>
      </w:pPr>
    </w:p>
    <w:p w14:paraId="07201940" w14:textId="4909C9BD" w:rsidR="00A31B87" w:rsidRPr="001A7517" w:rsidRDefault="00A31B87" w:rsidP="00A31B87">
      <w:pPr>
        <w:suppressAutoHyphens/>
        <w:ind w:left="1440" w:hanging="720"/>
      </w:pPr>
      <w:r w:rsidRPr="001A7517">
        <w:lastRenderedPageBreak/>
        <w:t>a)</w:t>
      </w:r>
      <w:r w:rsidRPr="001A7517">
        <w:tab/>
        <w:t>Turbidity measurements, as required by Section 611.743, must be reported within ten days after the end of each month the system serves water to the public.  Information that must be reported is the following:</w:t>
      </w:r>
    </w:p>
    <w:p w14:paraId="1F614E78" w14:textId="77777777" w:rsidR="00A31B87" w:rsidRDefault="00A31B87" w:rsidP="00A31B87">
      <w:pPr>
        <w:suppressAutoHyphens/>
        <w:ind w:left="2160" w:hanging="720"/>
      </w:pPr>
    </w:p>
    <w:p w14:paraId="75754E7D" w14:textId="1DDC16BF" w:rsidR="00A31B87" w:rsidRPr="001A7517" w:rsidRDefault="00A31B87" w:rsidP="00A31B87">
      <w:pPr>
        <w:suppressAutoHyphens/>
        <w:ind w:left="2160" w:hanging="720"/>
      </w:pPr>
      <w:r w:rsidRPr="001A7517">
        <w:t>1)</w:t>
      </w:r>
      <w:r w:rsidRPr="001A7517">
        <w:tab/>
        <w:t>The total number of filtered water turbidity measurements taken during the month.</w:t>
      </w:r>
    </w:p>
    <w:p w14:paraId="2F05F6E5" w14:textId="77777777" w:rsidR="00A31B87" w:rsidRDefault="00A31B87" w:rsidP="00A31B87">
      <w:pPr>
        <w:suppressAutoHyphens/>
        <w:ind w:left="2160" w:hanging="720"/>
      </w:pPr>
    </w:p>
    <w:p w14:paraId="305111FD" w14:textId="730C0418" w:rsidR="00A31B87" w:rsidRPr="001A7517" w:rsidRDefault="00A31B87" w:rsidP="00A31B87">
      <w:pPr>
        <w:suppressAutoHyphens/>
        <w:ind w:left="2160" w:hanging="720"/>
      </w:pPr>
      <w:r w:rsidRPr="001A7517">
        <w:t>2)</w:t>
      </w:r>
      <w:r w:rsidRPr="001A7517">
        <w:tab/>
        <w:t>The number and percentage of filtered water turbidity measurements taken during the month that are less than or equal to the turbidity limits specified in Section 611.743(a) or (b).</w:t>
      </w:r>
    </w:p>
    <w:p w14:paraId="5458322F" w14:textId="77777777" w:rsidR="00A31B87" w:rsidRDefault="00A31B87" w:rsidP="00A31B87">
      <w:pPr>
        <w:suppressAutoHyphens/>
        <w:ind w:left="2160" w:hanging="720"/>
      </w:pPr>
    </w:p>
    <w:p w14:paraId="312BE510" w14:textId="12DD7182" w:rsidR="00A31B87" w:rsidRPr="001A7517" w:rsidRDefault="00A31B87" w:rsidP="00A31B87">
      <w:pPr>
        <w:suppressAutoHyphens/>
        <w:ind w:left="2160" w:hanging="720"/>
      </w:pPr>
      <w:r w:rsidRPr="001A7517">
        <w:t>3)</w:t>
      </w:r>
      <w:r w:rsidRPr="001A7517">
        <w:tab/>
        <w:t>The date and value of any turbidity measurements taken during the month that exceed 1 NTU for a supplier using conventional filtration treatment or direct filtration, or that exceed the maximum level under Section 611.743(b).</w:t>
      </w:r>
    </w:p>
    <w:p w14:paraId="0D8CC917" w14:textId="77777777" w:rsidR="00A31B87" w:rsidRDefault="00A31B87" w:rsidP="00A31B87">
      <w:pPr>
        <w:suppressAutoHyphens/>
        <w:ind w:left="1440" w:hanging="720"/>
      </w:pPr>
    </w:p>
    <w:p w14:paraId="7BFF5B98" w14:textId="568A2A7C" w:rsidR="00A31B87" w:rsidRPr="001A7517" w:rsidRDefault="00A31B87" w:rsidP="00A31B87">
      <w:pPr>
        <w:suppressAutoHyphens/>
        <w:ind w:left="1440" w:hanging="720"/>
      </w:pPr>
      <w:r w:rsidRPr="001A7517">
        <w:t>b)</w:t>
      </w:r>
      <w:r w:rsidRPr="001A7517">
        <w:tab/>
        <w:t>A supplier must maintain the results of individual filter monitoring taken under Section 611.744 for at least three years.  A supplier must report that it has conducted individual filter turbidity monitoring under Section 611.744 within ten days after the end of each month the system serves water to the public.  A supplier must report individual filter turbidity measurement results taken under Section 611.744 within ten days after the end of each month the supplier serves water to the public only if measurements demonstrate one or more of the conditions in subsections (b)(1) through (b)(4).  A supplier that uses lime softening may apply to the Agency for alternative exceedance levels for the levels specified in subsections (b)(1) through (b)(4) if they can demonstrate that higher turbidity levels in individual filters are due to lime carryover only and not due to degraded filter performance.</w:t>
      </w:r>
    </w:p>
    <w:p w14:paraId="6317A0C9" w14:textId="77777777" w:rsidR="00A31B87" w:rsidRDefault="00A31B87" w:rsidP="00A31B87">
      <w:pPr>
        <w:suppressAutoHyphens/>
        <w:ind w:left="2160" w:hanging="720"/>
      </w:pPr>
    </w:p>
    <w:p w14:paraId="0E69CCAF" w14:textId="6D0B3C5D" w:rsidR="00A31B87" w:rsidRPr="001A7517" w:rsidRDefault="00A31B87" w:rsidP="00A31B87">
      <w:pPr>
        <w:suppressAutoHyphens/>
        <w:ind w:left="2160" w:hanging="720"/>
      </w:pPr>
      <w:r w:rsidRPr="001A7517">
        <w:t>1)</w:t>
      </w:r>
      <w:r w:rsidRPr="001A7517">
        <w:tab/>
        <w:t>For any individual filter that has a measured turbidity level of greater than 1.0 NTU in two consecutive measurements taken 15 minutes apart, the supplier must report the filter number, the turbidity measurement, and the dates on which the exceedance occurred.  In addition, the supplier must either produce a filter profile for the filter within seven days after the exceedance (if the supplier is not able to identify an obvious reason for the abnormal filter performance) and report that the profile has been produced or report the obvious reason for the exceedance.</w:t>
      </w:r>
    </w:p>
    <w:p w14:paraId="7E2BC934" w14:textId="77777777" w:rsidR="00A31B87" w:rsidRDefault="00A31B87" w:rsidP="00A31B87">
      <w:pPr>
        <w:suppressAutoHyphens/>
        <w:ind w:left="2160" w:hanging="720"/>
      </w:pPr>
    </w:p>
    <w:p w14:paraId="0BDE0FCC" w14:textId="1C803988" w:rsidR="00A31B87" w:rsidRPr="001A7517" w:rsidRDefault="00A31B87" w:rsidP="00A31B87">
      <w:pPr>
        <w:suppressAutoHyphens/>
        <w:ind w:left="2160" w:hanging="720"/>
      </w:pPr>
      <w:r w:rsidRPr="001A7517">
        <w:t>2)</w:t>
      </w:r>
      <w:r w:rsidRPr="001A7517">
        <w:tab/>
        <w:t xml:space="preserve">For any individual filter that has a measured turbidity level of greater than 0.5 NTU in two consecutive measurements taken 15 minutes apart at the end of the first four hours of continuous filter operation after the filter has been backwashed or otherwise taken offline, the supplier must report the filter number, the turbidity, and the dates on which the exceedance occurred.  In addition, the supplier must either produce a filter profile for the filter within seven days after the exceedance (if the supplier is not able </w:t>
      </w:r>
      <w:r w:rsidRPr="001A7517">
        <w:lastRenderedPageBreak/>
        <w:t>to identify an obvious reason for the abnormal filter performance) and report that the profile has been produced or report the obvious reason for the exceedance.</w:t>
      </w:r>
    </w:p>
    <w:p w14:paraId="63663060" w14:textId="77777777" w:rsidR="00A31B87" w:rsidRDefault="00A31B87" w:rsidP="00A31B87">
      <w:pPr>
        <w:suppressAutoHyphens/>
        <w:ind w:left="2160" w:hanging="720"/>
      </w:pPr>
    </w:p>
    <w:p w14:paraId="6110BDC1" w14:textId="70D2D5EF" w:rsidR="00A31B87" w:rsidRPr="001A7517" w:rsidRDefault="00A31B87" w:rsidP="00A31B87">
      <w:pPr>
        <w:suppressAutoHyphens/>
        <w:ind w:left="2160" w:hanging="720"/>
      </w:pPr>
      <w:r w:rsidRPr="001A7517">
        <w:t>3)</w:t>
      </w:r>
      <w:r w:rsidRPr="001A7517">
        <w:tab/>
        <w:t>For any individual filter that has a measured turbidity level of greater than 1.0 NTU in two consecutive measurements taken 15 minutes apart at any time in each of three consecutive months, the supplier must report the filter number, the turbidity measurement, and the dates on which the exceedance occurred.  In addition, the supplier must conduct a self-assessment of the filter within 14 days after the exceedance and report that the self-assessment was conducted.  The self-assessment must consist of at least the following components:  assessment of filter performance; development of a filter profile; identification and prioritization of factors limiting filter performance; assessment of the applicability of corrections; and preparation of a filter self-assessment report.</w:t>
      </w:r>
    </w:p>
    <w:p w14:paraId="502FC5A5" w14:textId="77777777" w:rsidR="00A31B87" w:rsidRDefault="00A31B87" w:rsidP="00A31B87">
      <w:pPr>
        <w:suppressAutoHyphens/>
        <w:ind w:left="2160" w:hanging="720"/>
      </w:pPr>
    </w:p>
    <w:p w14:paraId="5A4C7B3D" w14:textId="625ACB22" w:rsidR="00A31B87" w:rsidRPr="001A7517" w:rsidRDefault="00A31B87" w:rsidP="00A31B87">
      <w:pPr>
        <w:suppressAutoHyphens/>
        <w:ind w:left="2160" w:hanging="720"/>
      </w:pPr>
      <w:r w:rsidRPr="001A7517">
        <w:t>4)</w:t>
      </w:r>
      <w:r w:rsidRPr="001A7517">
        <w:tab/>
        <w:t>For any individual filter that has a measured turbidity level of greater than 2.0 NTU in two consecutive measurements taken 15 minutes apart at any time in each of two consecutive months, the supplier must report the filter number, the turbidity measurement, and the dates on which the exceedance occurred.  In addition, the supplier must arrange for the conduct of a comprehensive performance evaluation by the Agency or a third party approved by the Agency no later than 30 days following the exceedance and have the evaluation completed and submitted to the Agency no later than 90 days following the exceedance.</w:t>
      </w:r>
    </w:p>
    <w:p w14:paraId="42BDC57F" w14:textId="77777777" w:rsidR="00A31B87" w:rsidRDefault="00A31B87" w:rsidP="00A31B87">
      <w:pPr>
        <w:ind w:left="1440" w:hanging="720"/>
      </w:pPr>
    </w:p>
    <w:p w14:paraId="4320C31A" w14:textId="53BE332A" w:rsidR="00A31B87" w:rsidRPr="001A7517" w:rsidRDefault="00A31B87" w:rsidP="00A31B87">
      <w:pPr>
        <w:ind w:left="1440" w:hanging="720"/>
      </w:pPr>
      <w:r w:rsidRPr="001A7517">
        <w:t>c)</w:t>
      </w:r>
      <w:r w:rsidRPr="001A7517">
        <w:tab/>
        <w:t>Additional Reporting Requirements</w:t>
      </w:r>
    </w:p>
    <w:p w14:paraId="2FB45A70" w14:textId="77777777" w:rsidR="00A31B87" w:rsidRDefault="00A31B87" w:rsidP="00A31B87">
      <w:pPr>
        <w:ind w:left="2160" w:hanging="720"/>
      </w:pPr>
    </w:p>
    <w:p w14:paraId="5AE9A485" w14:textId="054E80EB" w:rsidR="00A31B87" w:rsidRPr="001A7517" w:rsidRDefault="00A31B87" w:rsidP="00A31B87">
      <w:pPr>
        <w:ind w:left="2160" w:hanging="720"/>
      </w:pPr>
      <w:r w:rsidRPr="001A7517">
        <w:t>1)</w:t>
      </w:r>
      <w:r w:rsidRPr="001A7517">
        <w:tab/>
        <w:t>If at any time the turbidity exceeds 1 NTU in representative samples of filtered water in a system using conventional filtration treatment or direct filtration, the supplier must consult with the Agency as soon as possible, but no later than the end of the next business day.</w:t>
      </w:r>
    </w:p>
    <w:p w14:paraId="1C091033" w14:textId="77777777" w:rsidR="00A31B87" w:rsidRDefault="00A31B87" w:rsidP="00A31B87">
      <w:pPr>
        <w:ind w:left="2160" w:hanging="720"/>
      </w:pPr>
    </w:p>
    <w:p w14:paraId="5059679E" w14:textId="34FE54D4" w:rsidR="00A31B87" w:rsidRPr="001A7517" w:rsidRDefault="00A31B87" w:rsidP="00A31B87">
      <w:pPr>
        <w:ind w:left="2160" w:hanging="720"/>
      </w:pPr>
      <w:r w:rsidRPr="001A7517">
        <w:t>2)</w:t>
      </w:r>
      <w:r w:rsidRPr="001A7517">
        <w:tab/>
        <w:t>If at any time the turbidity in representative samples of filtered water exceeds the maximum level set by the Agency under Section 611.743(b) for filtration technologies other than conventional filtration treatment, direct filtration, slow sand filtration, or diatomaceous earth filtration, the supplier must inform the Agency as soon as possible, but no later than the end of the next business day.</w:t>
      </w:r>
    </w:p>
    <w:p w14:paraId="1DA49B0D" w14:textId="77777777" w:rsidR="00A31B87" w:rsidRDefault="00A31B87" w:rsidP="00A31B87">
      <w:pPr>
        <w:suppressAutoHyphens/>
      </w:pPr>
    </w:p>
    <w:p w14:paraId="10E9086B" w14:textId="22BF3D6F" w:rsidR="00A31B87" w:rsidRPr="001A7517" w:rsidRDefault="00A31B87" w:rsidP="00A31B87">
      <w:pPr>
        <w:suppressAutoHyphens/>
      </w:pPr>
      <w:r w:rsidRPr="001A7517">
        <w:t>BOARD NOTE:  Derived from 40 CFR 141.175.</w:t>
      </w:r>
    </w:p>
    <w:p w14:paraId="0F3E659D" w14:textId="77777777" w:rsidR="00A31B87" w:rsidRDefault="00A31B87" w:rsidP="00A31B87">
      <w:pPr>
        <w:suppressAutoHyphens/>
        <w:ind w:left="720"/>
      </w:pPr>
    </w:p>
    <w:p w14:paraId="56F4B98D" w14:textId="67CCFA0B" w:rsidR="00A31B87" w:rsidRDefault="00A31B87" w:rsidP="00A31B87">
      <w:pPr>
        <w:suppressAutoHyphens/>
        <w:ind w:left="720"/>
      </w:pPr>
      <w:r w:rsidRPr="001A7517">
        <w:t>(Source:  A</w:t>
      </w:r>
      <w:r w:rsidRPr="001A7517">
        <w:rPr>
          <w:szCs w:val="17"/>
        </w:rPr>
        <w:t xml:space="preserve">mended at </w:t>
      </w:r>
      <w:r w:rsidRPr="001A7517">
        <w:t>44 Ill. Reg. 6996, effective April 17, 2020)</w:t>
      </w:r>
    </w:p>
    <w:p w14:paraId="3DA1792C" w14:textId="77777777" w:rsidR="00A31B87" w:rsidRPr="001A7517" w:rsidRDefault="00A31B87" w:rsidP="00A31B87">
      <w:pPr>
        <w:suppressAutoHyphens/>
        <w:ind w:left="720"/>
      </w:pPr>
    </w:p>
    <w:p w14:paraId="057F3769" w14:textId="58E0E27E" w:rsidR="00A31B87" w:rsidRDefault="00A31B87" w:rsidP="00A31B87">
      <w:pPr>
        <w:jc w:val="center"/>
      </w:pPr>
      <w:r w:rsidRPr="001A7517">
        <w:t>SUBPART S:  GROUNDWATER RULE</w:t>
      </w:r>
    </w:p>
    <w:p w14:paraId="465DDC81" w14:textId="77777777" w:rsidR="00A31B87" w:rsidRPr="00A31B87" w:rsidRDefault="00A31B87" w:rsidP="00A31B87">
      <w:pPr>
        <w:rPr>
          <w:b/>
        </w:rPr>
      </w:pPr>
    </w:p>
    <w:p w14:paraId="7C7D5ACF" w14:textId="576A301D" w:rsidR="00A31B87" w:rsidRDefault="00A31B87" w:rsidP="00A31B87">
      <w:pPr>
        <w:rPr>
          <w:b/>
          <w:szCs w:val="16"/>
        </w:rPr>
      </w:pPr>
      <w:r w:rsidRPr="00A31B87">
        <w:rPr>
          <w:b/>
          <w:szCs w:val="16"/>
        </w:rPr>
        <w:t>Section 611.800  General Requirements and Applicability</w:t>
      </w:r>
    </w:p>
    <w:p w14:paraId="1FC4A500" w14:textId="77777777" w:rsidR="00A31B87" w:rsidRPr="00A31B87" w:rsidRDefault="00A31B87" w:rsidP="00A31B87">
      <w:pPr>
        <w:rPr>
          <w:b/>
          <w:szCs w:val="16"/>
        </w:rPr>
      </w:pPr>
    </w:p>
    <w:p w14:paraId="7011A2B8" w14:textId="5C6E5E92" w:rsidR="00A31B87" w:rsidRDefault="00A31B87" w:rsidP="00A31B87">
      <w:pPr>
        <w:ind w:left="1440" w:hanging="720"/>
      </w:pPr>
      <w:r w:rsidRPr="001A7517">
        <w:rPr>
          <w:szCs w:val="16"/>
        </w:rPr>
        <w:t>a)</w:t>
      </w:r>
      <w:r w:rsidRPr="001A7517">
        <w:rPr>
          <w:szCs w:val="16"/>
        </w:rPr>
        <w:tab/>
      </w:r>
      <w:r w:rsidRPr="001A7517">
        <w:t>Scope of This Subpart S.  The requirements of this Subpart S constitute NPDWRs.</w:t>
      </w:r>
    </w:p>
    <w:p w14:paraId="112EF0FE" w14:textId="77777777" w:rsidR="00A31B87" w:rsidRPr="001A7517" w:rsidRDefault="00A31B87" w:rsidP="00A31B87">
      <w:pPr>
        <w:ind w:left="1440" w:hanging="720"/>
      </w:pPr>
    </w:p>
    <w:p w14:paraId="6F9C5FDB" w14:textId="50DFED9B" w:rsidR="00A31B87" w:rsidRDefault="00A31B87" w:rsidP="00A31B87">
      <w:pPr>
        <w:ind w:left="1440" w:hanging="720"/>
      </w:pPr>
      <w:r w:rsidRPr="001A7517">
        <w:t>b)</w:t>
      </w:r>
      <w:r w:rsidRPr="001A7517">
        <w:tab/>
        <w:t>Applicability.  This Subpart S applies to all PWS suppliers that use groundwater, except that it does not apply to public water systems that combine all of their groundwater with surface water or with groundwater under the direct influence of surface water prior to treatment under Subpart B.  For the purposes of this Subpart S, “GWS” is defined as any PWS that meets this applicability statement, including a consecutive system receiving finished groundwater.</w:t>
      </w:r>
    </w:p>
    <w:p w14:paraId="39AB2907" w14:textId="77777777" w:rsidR="00A31B87" w:rsidRPr="001A7517" w:rsidRDefault="00A31B87" w:rsidP="00A31B87">
      <w:pPr>
        <w:ind w:left="1440" w:hanging="720"/>
      </w:pPr>
    </w:p>
    <w:p w14:paraId="5D164DDE" w14:textId="7651C396" w:rsidR="00A31B87" w:rsidRDefault="00A31B87" w:rsidP="00A31B87">
      <w:pPr>
        <w:ind w:left="1440" w:hanging="720"/>
      </w:pPr>
      <w:r w:rsidRPr="001A7517">
        <w:t>c)</w:t>
      </w:r>
      <w:r w:rsidRPr="001A7517">
        <w:tab/>
        <w:t>General Requirements.  A supplier subject to this Subpart S must comply with the following requirements:</w:t>
      </w:r>
    </w:p>
    <w:p w14:paraId="39C94DB9" w14:textId="77777777" w:rsidR="00A31B87" w:rsidRPr="001A7517" w:rsidRDefault="00A31B87" w:rsidP="00A31B87">
      <w:pPr>
        <w:ind w:left="1440" w:hanging="720"/>
      </w:pPr>
    </w:p>
    <w:p w14:paraId="3BB61A7C" w14:textId="7AB79256" w:rsidR="00A31B87" w:rsidRDefault="00A31B87" w:rsidP="00A31B87">
      <w:pPr>
        <w:ind w:left="2160" w:hanging="720"/>
      </w:pPr>
      <w:r w:rsidRPr="001A7517">
        <w:t>1)</w:t>
      </w:r>
      <w:r w:rsidRPr="001A7517">
        <w:tab/>
        <w:t>Sanitary survey information requirements for all GWS suppliers, as described in Section 611.801.</w:t>
      </w:r>
    </w:p>
    <w:p w14:paraId="6F75EF2A" w14:textId="77777777" w:rsidR="00A31B87" w:rsidRPr="001A7517" w:rsidRDefault="00A31B87" w:rsidP="00A31B87">
      <w:pPr>
        <w:ind w:left="2160" w:hanging="720"/>
      </w:pPr>
    </w:p>
    <w:p w14:paraId="5422E2E8" w14:textId="1A651D44" w:rsidR="00A31B87" w:rsidRDefault="00A31B87" w:rsidP="00A31B87">
      <w:pPr>
        <w:ind w:left="2160" w:hanging="720"/>
      </w:pPr>
      <w:r w:rsidRPr="001A7517">
        <w:t>2)</w:t>
      </w:r>
      <w:r w:rsidRPr="001A7517">
        <w:tab/>
        <w:t>Microbial source water monitoring requirements for GWS suppliers that do not treat all of their groundwater to at least 99.99 percent (4-log) treatment of viruses (using inactivation, removal, or an Agency-approved combination of 4-log virus inactivation and removal) before or at the first customer, as described in Section 611.802.</w:t>
      </w:r>
    </w:p>
    <w:p w14:paraId="342068AF" w14:textId="77777777" w:rsidR="00A31B87" w:rsidRPr="001A7517" w:rsidRDefault="00A31B87" w:rsidP="00A31B87">
      <w:pPr>
        <w:ind w:left="2160" w:hanging="720"/>
      </w:pPr>
    </w:p>
    <w:p w14:paraId="5967D2A5" w14:textId="5A5CD724" w:rsidR="00A31B87" w:rsidRDefault="00A31B87" w:rsidP="00A31B87">
      <w:pPr>
        <w:ind w:left="2160" w:hanging="720"/>
      </w:pPr>
      <w:r w:rsidRPr="001A7517">
        <w:t>3)</w:t>
      </w:r>
      <w:r w:rsidRPr="001A7517">
        <w:tab/>
        <w:t>Treatment technique requirements, described in Section 611.803, that apply to GWS suppliers that have fecally contaminated source waters, as determined by source water monitoring conducted under Section 611.802, or that have significant deficiencies that are identified by the Agency, by a SEP, or that are identified by USEPA under SDWA section 1445 (42 USC 300j-4).  A GWS supplier with fecally contaminated source water or with significant deficiencies subject to the treatment technique requirements of this Subpart S must implement one or more of the following corrective action options:  correct all significant deficiencies; provide an alternate source of water; eliminate the source of contamination; or provide treatment that reliably achieves at least 4-log treatment of viruses (using inactivation, removal, or an Agency-approved combination of 4-log virus inactivation and removal) before or at the first customer.</w:t>
      </w:r>
    </w:p>
    <w:p w14:paraId="36B66A8D" w14:textId="77777777" w:rsidR="00A31B87" w:rsidRPr="001A7517" w:rsidRDefault="00A31B87" w:rsidP="00A31B87">
      <w:pPr>
        <w:ind w:left="2160" w:hanging="720"/>
      </w:pPr>
    </w:p>
    <w:p w14:paraId="7F08E126" w14:textId="0F228156" w:rsidR="00A31B87" w:rsidRDefault="00A31B87" w:rsidP="00A31B87">
      <w:pPr>
        <w:ind w:left="2160" w:hanging="720"/>
      </w:pPr>
      <w:r w:rsidRPr="001A7517">
        <w:t>4)</w:t>
      </w:r>
      <w:r w:rsidRPr="001A7517">
        <w:tab/>
        <w:t>A GWS supplier that provides at least 4-log treatment of viruses (using inactivation, removal, or an Agency-approved combination of 4-log virus inactivation and removal) before or at the first customer is required to conduct compliance monitoring to demonstrate treatment effectiveness, as described in Section 611.803(b).</w:t>
      </w:r>
    </w:p>
    <w:p w14:paraId="39C8791D" w14:textId="77777777" w:rsidR="00A31B87" w:rsidRPr="001A7517" w:rsidRDefault="00A31B87" w:rsidP="00A31B87">
      <w:pPr>
        <w:ind w:left="2160" w:hanging="720"/>
      </w:pPr>
    </w:p>
    <w:p w14:paraId="12B26D83" w14:textId="5ADB2234" w:rsidR="00A31B87" w:rsidRDefault="00A31B87" w:rsidP="00A31B87">
      <w:pPr>
        <w:ind w:left="2160" w:hanging="720"/>
      </w:pPr>
      <w:r w:rsidRPr="001A7517">
        <w:lastRenderedPageBreak/>
        <w:t>5)</w:t>
      </w:r>
      <w:r w:rsidRPr="001A7517">
        <w:tab/>
        <w:t>If requested by the Agency, a GWS supplier must provide the Agency with any existing information that will enable the Agency to perform a hydrogeologic sensitivity assessment.</w:t>
      </w:r>
    </w:p>
    <w:p w14:paraId="23BC0879" w14:textId="77777777" w:rsidR="00A31B87" w:rsidRPr="001A7517" w:rsidRDefault="00A31B87" w:rsidP="00A31B87">
      <w:pPr>
        <w:ind w:left="2160" w:hanging="720"/>
      </w:pPr>
    </w:p>
    <w:p w14:paraId="621FF40F" w14:textId="7F9DCCCA" w:rsidR="00A31B87" w:rsidRDefault="00A31B87" w:rsidP="00A31B87">
      <w:pPr>
        <w:ind w:left="2160"/>
      </w:pPr>
      <w:r w:rsidRPr="001A7517">
        <w:t>BOARD NOTE:  The Board moved the definition of “hydrogeologic sensitivity assessment” to the definitions provision of this Part:  Section 611.101.</w:t>
      </w:r>
    </w:p>
    <w:p w14:paraId="63C6627B" w14:textId="77777777" w:rsidR="00A31B87" w:rsidRPr="001A7517" w:rsidRDefault="00A31B87" w:rsidP="00A31B87">
      <w:pPr>
        <w:ind w:left="2160"/>
      </w:pPr>
    </w:p>
    <w:p w14:paraId="7EE2C97F" w14:textId="4CBD07B0" w:rsidR="00A31B87" w:rsidRDefault="00A31B87" w:rsidP="00A31B87">
      <w:pPr>
        <w:ind w:left="1440" w:hanging="720"/>
      </w:pPr>
      <w:r w:rsidRPr="001A7517">
        <w:t>d)</w:t>
      </w:r>
      <w:r w:rsidRPr="001A7517">
        <w:tab/>
        <w:t>This subsection (d) corresponds with 40 CFR 141.400(d), which recites past effective dates.  This statement maintains structural consistency with the corresponding federal provision.</w:t>
      </w:r>
    </w:p>
    <w:p w14:paraId="0ADCC036" w14:textId="77777777" w:rsidR="00A31B87" w:rsidRPr="001A7517" w:rsidRDefault="00A31B87" w:rsidP="00A31B87">
      <w:pPr>
        <w:ind w:left="1440" w:hanging="720"/>
      </w:pPr>
    </w:p>
    <w:p w14:paraId="5D591C79" w14:textId="51C67FDA" w:rsidR="00A31B87" w:rsidRDefault="00A31B87" w:rsidP="00A31B87">
      <w:r w:rsidRPr="001A7517">
        <w:t>BOARD NOTE:  Derived from 40 CFR 141.400.</w:t>
      </w:r>
    </w:p>
    <w:p w14:paraId="4723BCCA" w14:textId="77777777" w:rsidR="00A31B87" w:rsidRPr="001A7517" w:rsidRDefault="00A31B87" w:rsidP="00A31B87"/>
    <w:p w14:paraId="3EA63A3B" w14:textId="77777777" w:rsidR="00A31B87" w:rsidRPr="001A7517" w:rsidRDefault="00A31B87" w:rsidP="00A31B87">
      <w:pPr>
        <w:suppressAutoHyphens/>
        <w:ind w:left="720"/>
      </w:pPr>
      <w:r w:rsidRPr="001A7517">
        <w:t>(Source:  A</w:t>
      </w:r>
      <w:r w:rsidRPr="001A7517">
        <w:rPr>
          <w:szCs w:val="17"/>
        </w:rPr>
        <w:t xml:space="preserve">mended at </w:t>
      </w:r>
      <w:r w:rsidRPr="001A7517">
        <w:t>44 Ill. Reg. 6996, effective April 17, 2020)</w:t>
      </w:r>
    </w:p>
    <w:p w14:paraId="7120B779" w14:textId="77777777" w:rsidR="00700487" w:rsidRPr="003B4362" w:rsidRDefault="00700487" w:rsidP="00A31B87">
      <w:pPr>
        <w:suppressAutoHyphens/>
        <w:ind w:left="720"/>
      </w:pPr>
    </w:p>
    <w:p w14:paraId="549A23C3" w14:textId="43AE7D44" w:rsidR="00F437D9" w:rsidRDefault="00F437D9" w:rsidP="00A31B87">
      <w:pPr>
        <w:rPr>
          <w:b/>
          <w:bCs/>
        </w:rPr>
      </w:pPr>
      <w:bookmarkStart w:id="4154" w:name="_Hlk9269715"/>
      <w:r w:rsidRPr="003B4362">
        <w:rPr>
          <w:b/>
          <w:bCs/>
        </w:rPr>
        <w:t>Section 611.801  Sanitary Surveys for GWS Suppliers</w:t>
      </w:r>
    </w:p>
    <w:p w14:paraId="180869CE" w14:textId="77777777" w:rsidR="00A31B87" w:rsidRPr="003B4362" w:rsidRDefault="00A31B87" w:rsidP="00A31B87">
      <w:pPr>
        <w:rPr>
          <w:b/>
          <w:bCs/>
        </w:rPr>
      </w:pPr>
    </w:p>
    <w:p w14:paraId="385ACFF9" w14:textId="77777777" w:rsidR="00F437D9" w:rsidRPr="003B4362" w:rsidRDefault="00F437D9" w:rsidP="00A31B87">
      <w:pPr>
        <w:ind w:left="1440" w:hanging="720"/>
      </w:pPr>
      <w:r w:rsidRPr="003B4362">
        <w:rPr>
          <w:szCs w:val="16"/>
        </w:rPr>
        <w:t>a)</w:t>
      </w:r>
      <w:r w:rsidRPr="003B4362">
        <w:rPr>
          <w:szCs w:val="16"/>
        </w:rPr>
        <w:tab/>
        <w:t xml:space="preserve">A </w:t>
      </w:r>
      <w:r w:rsidRPr="003B4362">
        <w:t>GWS supplier must provide the Agency, at the Agency’s request, any existing information that will enable the Agency to conduct a sanitary survey.</w:t>
      </w:r>
    </w:p>
    <w:p w14:paraId="5DB81E39" w14:textId="77777777" w:rsidR="00A31B87" w:rsidRDefault="00A31B87" w:rsidP="00A31B87">
      <w:pPr>
        <w:ind w:left="1440" w:hanging="720"/>
      </w:pPr>
    </w:p>
    <w:p w14:paraId="0EE95F06" w14:textId="15CFBDFC" w:rsidR="00F437D9" w:rsidRPr="003B4362" w:rsidRDefault="00F437D9" w:rsidP="00A31B87">
      <w:pPr>
        <w:ind w:left="1440" w:hanging="720"/>
      </w:pPr>
      <w:r w:rsidRPr="003B4362">
        <w:t>b)</w:t>
      </w:r>
      <w:r w:rsidRPr="003B4362">
        <w:tab/>
        <w:t>For the purposes of this Subpart S, a “sanitary survey</w:t>
      </w:r>
      <w:r w:rsidRPr="003B4362">
        <w:rPr>
          <w:szCs w:val="16"/>
        </w:rPr>
        <w:t>”,</w:t>
      </w:r>
      <w:r w:rsidRPr="003B4362">
        <w:t xml:space="preserve"> as conducted by the Agency, includes an onsite review of the delineated WHPAs (identifying sources of contamination within the WHPAs and evaluations of the hydrogeologic sensitivity of the delineated WHPAs conducted under source water assessments or utilizing other relevant information </w:t>
      </w:r>
      <w:r w:rsidR="005B7BD2" w:rsidRPr="003B4362">
        <w:rPr>
          <w:spacing w:val="-3"/>
        </w:rPr>
        <w:t xml:space="preserve">if </w:t>
      </w:r>
      <w:r w:rsidRPr="003B4362">
        <w:t xml:space="preserve">available), facilities, equipment, operation, maintenance, and monitoring compliance of a </w:t>
      </w:r>
      <w:r w:rsidR="002521CA" w:rsidRPr="003B4362">
        <w:t xml:space="preserve">PWS </w:t>
      </w:r>
      <w:r w:rsidRPr="003B4362">
        <w:t>to evaluate the adequacy of the system, its sources and operations and the distribution of safe drinking water.</w:t>
      </w:r>
    </w:p>
    <w:p w14:paraId="06EA3236" w14:textId="77777777" w:rsidR="00A31B87" w:rsidRDefault="00A31B87" w:rsidP="00A31B87">
      <w:pPr>
        <w:ind w:left="1440" w:hanging="720"/>
      </w:pPr>
    </w:p>
    <w:p w14:paraId="29EF1B4F" w14:textId="7B6C5AF4" w:rsidR="00F437D9" w:rsidRPr="003B4362" w:rsidRDefault="00F437D9" w:rsidP="00A31B87">
      <w:pPr>
        <w:ind w:left="1440" w:hanging="720"/>
      </w:pPr>
      <w:r w:rsidRPr="003B4362">
        <w:t>c)</w:t>
      </w:r>
      <w:r w:rsidRPr="003B4362">
        <w:tab/>
        <w:t>The sanitary survey must include an evaluation of the applicable components listed in subsections (c)(1) through (c)(8):</w:t>
      </w:r>
    </w:p>
    <w:p w14:paraId="2D378C9D" w14:textId="77777777" w:rsidR="00A31B87" w:rsidRDefault="00A31B87" w:rsidP="00A31B87">
      <w:pPr>
        <w:ind w:left="2160" w:hanging="720"/>
      </w:pPr>
    </w:p>
    <w:p w14:paraId="54F76D08" w14:textId="619506ED" w:rsidR="00F437D9" w:rsidRPr="003B4362" w:rsidRDefault="00F437D9" w:rsidP="00A31B87">
      <w:pPr>
        <w:ind w:left="2160" w:hanging="720"/>
      </w:pPr>
      <w:r w:rsidRPr="003B4362">
        <w:t>1)</w:t>
      </w:r>
      <w:r w:rsidRPr="003B4362">
        <w:tab/>
        <w:t>Source;</w:t>
      </w:r>
    </w:p>
    <w:p w14:paraId="514B5554" w14:textId="77777777" w:rsidR="00A31B87" w:rsidRDefault="00A31B87" w:rsidP="00A31B87">
      <w:pPr>
        <w:ind w:left="2160" w:hanging="720"/>
      </w:pPr>
    </w:p>
    <w:p w14:paraId="331EA2C0" w14:textId="471A26B2" w:rsidR="00F437D9" w:rsidRPr="003B4362" w:rsidRDefault="00F437D9" w:rsidP="00A31B87">
      <w:pPr>
        <w:ind w:left="2160" w:hanging="720"/>
      </w:pPr>
      <w:r w:rsidRPr="003B4362">
        <w:t>2)</w:t>
      </w:r>
      <w:r w:rsidRPr="003B4362">
        <w:tab/>
        <w:t>Treatment</w:t>
      </w:r>
      <w:r w:rsidR="00B31FA2" w:rsidRPr="003B4362">
        <w:rPr>
          <w:szCs w:val="24"/>
        </w:rPr>
        <w:t xml:space="preserve"> </w:t>
      </w:r>
      <w:bookmarkStart w:id="4155" w:name="_Hlk126764868"/>
      <w:r w:rsidR="00B31FA2" w:rsidRPr="003B4362">
        <w:rPr>
          <w:szCs w:val="24"/>
        </w:rPr>
        <w:t>including any corrosion control treatment and water quality parameters</w:t>
      </w:r>
      <w:bookmarkEnd w:id="4155"/>
      <w:r w:rsidRPr="003B4362">
        <w:t>;</w:t>
      </w:r>
    </w:p>
    <w:p w14:paraId="15A2AFF6" w14:textId="77777777" w:rsidR="00A31B87" w:rsidRDefault="00A31B87" w:rsidP="00A31B87">
      <w:pPr>
        <w:ind w:left="2160" w:hanging="720"/>
      </w:pPr>
    </w:p>
    <w:p w14:paraId="3956673B" w14:textId="5215491D" w:rsidR="00F437D9" w:rsidRPr="003B4362" w:rsidRDefault="00F437D9" w:rsidP="00A31B87">
      <w:pPr>
        <w:ind w:left="2160" w:hanging="720"/>
      </w:pPr>
      <w:r w:rsidRPr="003B4362">
        <w:t>3)</w:t>
      </w:r>
      <w:r w:rsidRPr="003B4362">
        <w:tab/>
        <w:t>Distribution system;</w:t>
      </w:r>
    </w:p>
    <w:p w14:paraId="7F5D7412" w14:textId="77777777" w:rsidR="00A31B87" w:rsidRDefault="00A31B87" w:rsidP="00A31B87">
      <w:pPr>
        <w:ind w:left="2160" w:hanging="720"/>
      </w:pPr>
    </w:p>
    <w:p w14:paraId="42C32736" w14:textId="1D451C5A" w:rsidR="00F437D9" w:rsidRPr="003B4362" w:rsidRDefault="00F437D9" w:rsidP="00A31B87">
      <w:pPr>
        <w:ind w:left="2160" w:hanging="720"/>
      </w:pPr>
      <w:r w:rsidRPr="003B4362">
        <w:t>4)</w:t>
      </w:r>
      <w:r w:rsidRPr="003B4362">
        <w:tab/>
        <w:t>Finished water storage;</w:t>
      </w:r>
    </w:p>
    <w:p w14:paraId="4DC05A9E" w14:textId="77777777" w:rsidR="00A31B87" w:rsidRDefault="00A31B87" w:rsidP="00A31B87">
      <w:pPr>
        <w:ind w:left="2160" w:hanging="720"/>
      </w:pPr>
    </w:p>
    <w:p w14:paraId="53C42838" w14:textId="3F3ACC67" w:rsidR="00F437D9" w:rsidRPr="003B4362" w:rsidRDefault="00F437D9" w:rsidP="00A31B87">
      <w:pPr>
        <w:ind w:left="2160" w:hanging="720"/>
      </w:pPr>
      <w:r w:rsidRPr="003B4362">
        <w:t>5)</w:t>
      </w:r>
      <w:r w:rsidRPr="003B4362">
        <w:tab/>
        <w:t>Pumps, pump facilities, and controls;</w:t>
      </w:r>
    </w:p>
    <w:p w14:paraId="17D50B39" w14:textId="77777777" w:rsidR="00A31B87" w:rsidRDefault="00A31B87" w:rsidP="00A31B87">
      <w:pPr>
        <w:ind w:left="2160" w:hanging="720"/>
      </w:pPr>
    </w:p>
    <w:p w14:paraId="2747D1E0" w14:textId="67613903" w:rsidR="00F437D9" w:rsidRPr="003B4362" w:rsidRDefault="00F437D9" w:rsidP="00A31B87">
      <w:pPr>
        <w:ind w:left="2160" w:hanging="720"/>
      </w:pPr>
      <w:r w:rsidRPr="003B4362">
        <w:t>6)</w:t>
      </w:r>
      <w:r w:rsidRPr="003B4362">
        <w:tab/>
        <w:t>Monitoring, reporting, and data verification;</w:t>
      </w:r>
    </w:p>
    <w:p w14:paraId="4F2D112F" w14:textId="77777777" w:rsidR="00A31B87" w:rsidRDefault="00A31B87" w:rsidP="00A31B87">
      <w:pPr>
        <w:ind w:left="2160" w:hanging="720"/>
      </w:pPr>
    </w:p>
    <w:p w14:paraId="094B3693" w14:textId="631C4918" w:rsidR="00F437D9" w:rsidRPr="003B4362" w:rsidRDefault="00F437D9" w:rsidP="00A31B87">
      <w:pPr>
        <w:ind w:left="2160" w:hanging="720"/>
      </w:pPr>
      <w:r w:rsidRPr="003B4362">
        <w:lastRenderedPageBreak/>
        <w:t>7)</w:t>
      </w:r>
      <w:r w:rsidRPr="003B4362">
        <w:tab/>
        <w:t>System management and operation; and</w:t>
      </w:r>
    </w:p>
    <w:p w14:paraId="03A9F5C3" w14:textId="77777777" w:rsidR="00A31B87" w:rsidRDefault="00A31B87" w:rsidP="00A31B87">
      <w:pPr>
        <w:ind w:left="2160" w:hanging="720"/>
      </w:pPr>
    </w:p>
    <w:p w14:paraId="257961B9" w14:textId="0EF90E65" w:rsidR="00F437D9" w:rsidRPr="003B4362" w:rsidRDefault="00F437D9" w:rsidP="00A31B87">
      <w:pPr>
        <w:ind w:left="2160" w:hanging="720"/>
      </w:pPr>
      <w:r w:rsidRPr="003B4362">
        <w:t>8)</w:t>
      </w:r>
      <w:r w:rsidRPr="003B4362">
        <w:tab/>
        <w:t>Operator compliance with Agency requirements.</w:t>
      </w:r>
    </w:p>
    <w:p w14:paraId="57E4ABA4" w14:textId="77777777" w:rsidR="00A31B87" w:rsidRDefault="00A31B87" w:rsidP="00A31B87">
      <w:pPr>
        <w:ind w:left="1440" w:hanging="720"/>
      </w:pPr>
    </w:p>
    <w:p w14:paraId="3CA6B226" w14:textId="2A45EEBE" w:rsidR="00F437D9" w:rsidRPr="003B4362" w:rsidRDefault="00F437D9" w:rsidP="00A31B87">
      <w:pPr>
        <w:ind w:left="1440" w:hanging="720"/>
      </w:pPr>
      <w:r w:rsidRPr="003B4362">
        <w:t>d)</w:t>
      </w:r>
      <w:r w:rsidRPr="003B4362">
        <w:tab/>
        <w:t>The Agency must repeat the sanitary survey as follows:</w:t>
      </w:r>
    </w:p>
    <w:p w14:paraId="6F5F1A08" w14:textId="77777777" w:rsidR="00A31B87" w:rsidRDefault="00A31B87" w:rsidP="00A31B87">
      <w:pPr>
        <w:ind w:left="2160" w:hanging="720"/>
      </w:pPr>
    </w:p>
    <w:p w14:paraId="620D41A1" w14:textId="7A998A64" w:rsidR="00F437D9" w:rsidRPr="003B4362" w:rsidRDefault="00F437D9" w:rsidP="00A31B87">
      <w:pPr>
        <w:ind w:left="2160" w:hanging="720"/>
      </w:pPr>
      <w:r w:rsidRPr="003B4362">
        <w:t>1)</w:t>
      </w:r>
      <w:r w:rsidRPr="003B4362">
        <w:tab/>
        <w:t>The Agency must conduct a sanitary survey that addresses the eight sanitary survey components listed in subsection (c) no less frequently than every three years for a CWS supplier, except as provided in subsection (d)(3), and every five years for a non-CWS supplier.  The Agency may conduct more frequent sanitary surveys for any supplier.  The sanitary survey must include an evaluation of each of the elements set forth in subsection (c), as applicable.</w:t>
      </w:r>
    </w:p>
    <w:p w14:paraId="0EF8223D" w14:textId="77777777" w:rsidR="00A31B87" w:rsidRDefault="00A31B87" w:rsidP="00A31B87">
      <w:pPr>
        <w:ind w:left="2160" w:hanging="720"/>
      </w:pPr>
    </w:p>
    <w:p w14:paraId="319BB7EC" w14:textId="07BD948A" w:rsidR="00F437D9" w:rsidRPr="003B4362" w:rsidRDefault="00F437D9" w:rsidP="00A31B87">
      <w:pPr>
        <w:ind w:left="2160" w:hanging="720"/>
      </w:pPr>
      <w:r w:rsidRPr="003B4362">
        <w:t>2)</w:t>
      </w:r>
      <w:r w:rsidRPr="003B4362">
        <w:tab/>
        <w:t>The Agency may use a phased review process to meet the requirements of subsection (d)(1) if all the applicable elements of subsection (c) are evaluated within the required interval.</w:t>
      </w:r>
    </w:p>
    <w:p w14:paraId="0371A348" w14:textId="77777777" w:rsidR="00A31B87" w:rsidRDefault="00A31B87" w:rsidP="00A31B87">
      <w:pPr>
        <w:ind w:left="2160" w:hanging="720"/>
      </w:pPr>
    </w:p>
    <w:p w14:paraId="3DEBAAEE" w14:textId="60464929" w:rsidR="00F437D9" w:rsidRPr="003B4362" w:rsidRDefault="00F437D9" w:rsidP="00A31B87">
      <w:pPr>
        <w:ind w:left="2160" w:hanging="720"/>
      </w:pPr>
      <w:r w:rsidRPr="003B4362">
        <w:t>3)</w:t>
      </w:r>
      <w:r w:rsidRPr="003B4362">
        <w:tab/>
        <w:t>The Agency may conduct sanitary surveys once every five years for</w:t>
      </w:r>
      <w:r w:rsidR="00C25AED" w:rsidRPr="003B4362">
        <w:t xml:space="preserve"> </w:t>
      </w:r>
      <w:r w:rsidR="00044CAF" w:rsidRPr="003B4362">
        <w:t xml:space="preserve">CWSs </w:t>
      </w:r>
      <w:r w:rsidRPr="003B4362">
        <w:t>under any of the following circumstances:</w:t>
      </w:r>
    </w:p>
    <w:p w14:paraId="2746EB74" w14:textId="77777777" w:rsidR="00A31B87" w:rsidRDefault="00A31B87" w:rsidP="00A31B87">
      <w:pPr>
        <w:ind w:left="2880" w:hanging="720"/>
      </w:pPr>
    </w:p>
    <w:p w14:paraId="15095045" w14:textId="3991BE86" w:rsidR="00F437D9" w:rsidRPr="003B4362" w:rsidRDefault="00F437D9" w:rsidP="00A31B87">
      <w:pPr>
        <w:ind w:left="2880" w:hanging="720"/>
      </w:pPr>
      <w:r w:rsidRPr="003B4362">
        <w:t>A)</w:t>
      </w:r>
      <w:r w:rsidRPr="003B4362">
        <w:tab/>
        <w:t>If the system either provides at least 4-log treatment of viruses (using inactivation, removal, or an Agency-approved combination of 4-log inactivation and removal) before or at the first customer for all its groundwater sources; or</w:t>
      </w:r>
    </w:p>
    <w:p w14:paraId="7803AD87" w14:textId="77777777" w:rsidR="00A31B87" w:rsidRDefault="00A31B87" w:rsidP="00A31B87">
      <w:pPr>
        <w:ind w:left="2880" w:hanging="720"/>
      </w:pPr>
    </w:p>
    <w:p w14:paraId="21591872" w14:textId="66C393A2" w:rsidR="00F437D9" w:rsidRPr="003B4362" w:rsidRDefault="00F437D9" w:rsidP="00A31B87">
      <w:pPr>
        <w:ind w:left="2880" w:hanging="720"/>
      </w:pPr>
      <w:r w:rsidRPr="003B4362">
        <w:t>B)</w:t>
      </w:r>
      <w:r w:rsidRPr="003B4362">
        <w:tab/>
        <w:t xml:space="preserve">If the supplier </w:t>
      </w:r>
      <w:r w:rsidR="00A854C7" w:rsidRPr="003B4362">
        <w:t>has</w:t>
      </w:r>
      <w:r w:rsidRPr="003B4362">
        <w:t xml:space="preserve"> an outstanding performance record, as determined by the Agency and documented in previous sanitary surveys, and the supplier had no history of total coliform MCL or monitoring violations under former Sections 611.521 through 611.527 since the last sanitary survey.</w:t>
      </w:r>
    </w:p>
    <w:p w14:paraId="66BDA6B4" w14:textId="77777777" w:rsidR="00A31B87" w:rsidRDefault="00A31B87" w:rsidP="00A31B87">
      <w:pPr>
        <w:ind w:left="2160" w:hanging="720"/>
      </w:pPr>
    </w:p>
    <w:p w14:paraId="720B9BC9" w14:textId="402501AA" w:rsidR="00F437D9" w:rsidRPr="003B4362" w:rsidRDefault="00F437D9" w:rsidP="00A31B87">
      <w:pPr>
        <w:ind w:left="2160" w:hanging="720"/>
      </w:pPr>
      <w:r w:rsidRPr="003B4362">
        <w:t>4)</w:t>
      </w:r>
      <w:r w:rsidRPr="003B4362">
        <w:tab/>
        <w:t>This subsection (d)(4) corresponds with 40 CFR 142.16(o)(2)(iv), which imposes requirements for describing the elements of the State’s regulatory system.  This statement maintains structural consistency with the corresponding federal provision.</w:t>
      </w:r>
    </w:p>
    <w:p w14:paraId="6EFD906F" w14:textId="77777777" w:rsidR="00A31B87" w:rsidRDefault="00A31B87" w:rsidP="00A31B87">
      <w:pPr>
        <w:ind w:left="2160" w:hanging="720"/>
      </w:pPr>
    </w:p>
    <w:p w14:paraId="42646E12" w14:textId="14B14054" w:rsidR="00F437D9" w:rsidRPr="003B4362" w:rsidRDefault="00F437D9" w:rsidP="00A31B87">
      <w:pPr>
        <w:ind w:left="2160" w:hanging="720"/>
      </w:pPr>
      <w:r w:rsidRPr="003B4362">
        <w:t>5)</w:t>
      </w:r>
      <w:r w:rsidRPr="003B4362">
        <w:tab/>
        <w:t xml:space="preserve">The Agency must provide a GWS supplier with written notice </w:t>
      </w:r>
      <w:r w:rsidR="00904CB2" w:rsidRPr="003B4362">
        <w:t xml:space="preserve">in </w:t>
      </w:r>
      <w:r w:rsidRPr="003B4362">
        <w:t xml:space="preserve">a SEP that describes any significant deficiency </w:t>
      </w:r>
      <w:r w:rsidR="002F3D46" w:rsidRPr="003B4362">
        <w:t xml:space="preserve">that </w:t>
      </w:r>
      <w:r w:rsidRPr="003B4362">
        <w:t xml:space="preserve">it </w:t>
      </w:r>
      <w:r w:rsidR="00A854C7" w:rsidRPr="003B4362">
        <w:t>has</w:t>
      </w:r>
      <w:r w:rsidRPr="003B4362">
        <w:t xml:space="preserve"> found no later than 30 days after the Agency </w:t>
      </w:r>
      <w:r w:rsidR="00A854C7" w:rsidRPr="003B4362">
        <w:t>has</w:t>
      </w:r>
      <w:r w:rsidRPr="003B4362">
        <w:t xml:space="preserve"> identified the significant deficiency.  The notice may specify corrective actions and deadlines for completion of corrective actions.  The Agency may provide the written notice at the time of the sanitary survey.</w:t>
      </w:r>
    </w:p>
    <w:p w14:paraId="1FEFFDE7" w14:textId="77777777" w:rsidR="00A31B87" w:rsidRDefault="00A31B87" w:rsidP="00A31B87"/>
    <w:p w14:paraId="21DF92B7" w14:textId="109ADBD4" w:rsidR="00F437D9" w:rsidRPr="003B4362" w:rsidRDefault="00F437D9" w:rsidP="00A31B87">
      <w:r w:rsidRPr="003B4362">
        <w:lastRenderedPageBreak/>
        <w:t xml:space="preserve">BOARD NOTE:  Subsections (a) through (c) </w:t>
      </w:r>
      <w:r w:rsidR="00260D73" w:rsidRPr="003B4362">
        <w:rPr>
          <w:spacing w:val="-3"/>
        </w:rPr>
        <w:t xml:space="preserve">derive </w:t>
      </w:r>
      <w:r w:rsidRPr="003B4362">
        <w:t xml:space="preserve">from 40 CFR 141.401.  Subsection (d) </w:t>
      </w:r>
      <w:r w:rsidR="00260D73" w:rsidRPr="003B4362">
        <w:t xml:space="preserve">derives </w:t>
      </w:r>
      <w:r w:rsidRPr="003B4362">
        <w:t>from 40 CFR 142.16(o)(2).</w:t>
      </w:r>
    </w:p>
    <w:p w14:paraId="089F82CD" w14:textId="77777777" w:rsidR="00A31B87" w:rsidRDefault="00A31B87" w:rsidP="00A31B87">
      <w:pPr>
        <w:suppressAutoHyphens/>
        <w:ind w:left="720"/>
      </w:pPr>
    </w:p>
    <w:p w14:paraId="190C38B8" w14:textId="54EC4EFF" w:rsidR="00F437D9" w:rsidRPr="003B4362" w:rsidRDefault="00EB353D" w:rsidP="00A31B87">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7D06721F" w14:textId="77777777" w:rsidR="00700487" w:rsidRPr="003B4362" w:rsidRDefault="00700487" w:rsidP="00700487">
      <w:pPr>
        <w:suppressAutoHyphens/>
        <w:ind w:left="720"/>
      </w:pPr>
    </w:p>
    <w:p w14:paraId="04E8B434" w14:textId="77777777" w:rsidR="00F437D9" w:rsidRPr="003B4362" w:rsidRDefault="00F437D9" w:rsidP="00A31B87">
      <w:pPr>
        <w:rPr>
          <w:b/>
          <w:bCs/>
        </w:rPr>
      </w:pPr>
      <w:r w:rsidRPr="003B4362">
        <w:rPr>
          <w:b/>
          <w:bCs/>
        </w:rPr>
        <w:t>Section 611.802  Groundwater Source Microbial Monitoring and Analytical Methods</w:t>
      </w:r>
    </w:p>
    <w:p w14:paraId="0F8F3026" w14:textId="77777777" w:rsidR="00A31B87" w:rsidRDefault="00A31B87" w:rsidP="00A31B87">
      <w:pPr>
        <w:widowControl w:val="0"/>
        <w:suppressAutoHyphens/>
        <w:ind w:left="1440" w:hanging="720"/>
        <w:rPr>
          <w:szCs w:val="16"/>
        </w:rPr>
      </w:pPr>
    </w:p>
    <w:p w14:paraId="6E55DBB2" w14:textId="1FAB7409" w:rsidR="00F437D9" w:rsidRPr="003B4362" w:rsidRDefault="00F437D9" w:rsidP="00A31B87">
      <w:pPr>
        <w:widowControl w:val="0"/>
        <w:suppressAutoHyphens/>
        <w:ind w:left="1440" w:hanging="720"/>
      </w:pPr>
      <w:r w:rsidRPr="003B4362">
        <w:rPr>
          <w:szCs w:val="16"/>
        </w:rPr>
        <w:t>a)</w:t>
      </w:r>
      <w:r w:rsidRPr="003B4362">
        <w:rPr>
          <w:szCs w:val="16"/>
        </w:rPr>
        <w:tab/>
      </w:r>
      <w:r w:rsidRPr="003B4362">
        <w:t>Triggered Source Water Monitoring</w:t>
      </w:r>
    </w:p>
    <w:p w14:paraId="6B8C86B6" w14:textId="77777777" w:rsidR="00A31B87" w:rsidRDefault="00A31B87" w:rsidP="00A31B87">
      <w:pPr>
        <w:widowControl w:val="0"/>
        <w:ind w:left="2160" w:hanging="720"/>
      </w:pPr>
    </w:p>
    <w:p w14:paraId="6EDA2D54" w14:textId="0336E219" w:rsidR="00F437D9" w:rsidRPr="003B4362" w:rsidRDefault="00F437D9" w:rsidP="00A31B87">
      <w:pPr>
        <w:widowControl w:val="0"/>
        <w:ind w:left="2160" w:hanging="720"/>
      </w:pPr>
      <w:r w:rsidRPr="003B4362">
        <w:t>1)</w:t>
      </w:r>
      <w:r w:rsidRPr="003B4362">
        <w:tab/>
        <w:t>General Requirements.  A GWS supplier must conduct triggered source water monitoring if the following conditions exist.</w:t>
      </w:r>
    </w:p>
    <w:p w14:paraId="1B314FC3" w14:textId="77777777" w:rsidR="00A31B87" w:rsidRDefault="00A31B87" w:rsidP="00A31B87">
      <w:pPr>
        <w:widowControl w:val="0"/>
        <w:ind w:left="2880" w:hanging="720"/>
      </w:pPr>
    </w:p>
    <w:p w14:paraId="4309DE7C" w14:textId="0918E5B7" w:rsidR="00F437D9" w:rsidRPr="003B4362" w:rsidRDefault="00F437D9" w:rsidP="00A31B87">
      <w:pPr>
        <w:widowControl w:val="0"/>
        <w:ind w:left="2880" w:hanging="720"/>
      </w:pPr>
      <w:r w:rsidRPr="003B4362">
        <w:t>A)</w:t>
      </w:r>
      <w:r w:rsidRPr="003B4362">
        <w:tab/>
        <w:t>The supplier does not provide at least 4-log treatment of viruses (using inactivation, removal, or an Agency-approved combination of 4-log virus inactivation and removal) before or at the first customer for each groundwater source.</w:t>
      </w:r>
    </w:p>
    <w:p w14:paraId="63B65FFC" w14:textId="77777777" w:rsidR="00A31B87" w:rsidRDefault="00A31B87" w:rsidP="00A31B87">
      <w:pPr>
        <w:widowControl w:val="0"/>
        <w:ind w:left="2880" w:hanging="720"/>
      </w:pPr>
    </w:p>
    <w:p w14:paraId="6CA91555" w14:textId="4DCD9ABF" w:rsidR="00F437D9" w:rsidRPr="003B4362" w:rsidRDefault="00F437D9" w:rsidP="00A31B87">
      <w:pPr>
        <w:widowControl w:val="0"/>
        <w:ind w:left="2880" w:hanging="720"/>
      </w:pPr>
      <w:r w:rsidRPr="003B4362">
        <w:t>B)</w:t>
      </w:r>
      <w:r w:rsidRPr="003B4362">
        <w:tab/>
        <w:t xml:space="preserve">This subsection (a)(1)(B) corresponds with 40 CFR 141.802(a)(1)(ii), which </w:t>
      </w:r>
      <w:r w:rsidR="00A854C7" w:rsidRPr="003B4362">
        <w:t>has</w:t>
      </w:r>
      <w:r w:rsidRPr="003B4362">
        <w:t xml:space="preserve"> no operative effect after a past implementation date.  This statement maintains structural consistency with the federal regulations.</w:t>
      </w:r>
    </w:p>
    <w:p w14:paraId="523C83D0" w14:textId="77777777" w:rsidR="00A31B87" w:rsidRDefault="00A31B87" w:rsidP="00A31B87">
      <w:pPr>
        <w:widowControl w:val="0"/>
        <w:ind w:left="2880" w:hanging="720"/>
        <w:rPr>
          <w:szCs w:val="24"/>
        </w:rPr>
      </w:pPr>
    </w:p>
    <w:p w14:paraId="2DA4595D" w14:textId="668D3524" w:rsidR="00F437D9" w:rsidRPr="003B4362" w:rsidRDefault="00F437D9" w:rsidP="00A31B87">
      <w:pPr>
        <w:widowControl w:val="0"/>
        <w:ind w:left="2880" w:hanging="720"/>
        <w:rPr>
          <w:szCs w:val="24"/>
        </w:rPr>
      </w:pPr>
      <w:r w:rsidRPr="003B4362">
        <w:rPr>
          <w:szCs w:val="24"/>
        </w:rPr>
        <w:t>C)</w:t>
      </w:r>
      <w:r w:rsidRPr="003B4362">
        <w:rPr>
          <w:szCs w:val="24"/>
        </w:rPr>
        <w:tab/>
        <w:t>The system is notified that a sample collected under Sections 611.1054 through 611.1057 is total coliform-positive and the sample is not invalidated under Section 611.1053(c).</w:t>
      </w:r>
    </w:p>
    <w:p w14:paraId="7F67FDB2" w14:textId="77777777" w:rsidR="00A31B87" w:rsidRDefault="00A31B87" w:rsidP="00A31B87">
      <w:pPr>
        <w:widowControl w:val="0"/>
        <w:ind w:left="2160" w:hanging="720"/>
      </w:pPr>
    </w:p>
    <w:p w14:paraId="15050574" w14:textId="7699A551" w:rsidR="00F437D9" w:rsidRPr="003B4362" w:rsidRDefault="00F437D9" w:rsidP="00A31B87">
      <w:pPr>
        <w:widowControl w:val="0"/>
        <w:ind w:left="2160" w:hanging="720"/>
      </w:pPr>
      <w:r w:rsidRPr="003B4362">
        <w:t>2)</w:t>
      </w:r>
      <w:r w:rsidRPr="003B4362">
        <w:tab/>
        <w:t xml:space="preserve">Sampling Requirements.  A GWS supplier must collect, within 24 hours after notification of the total coliform-positive sample, at least one groundwater source sample from each groundwater source in use at the time the total coliform-positive sample was </w:t>
      </w:r>
      <w:r w:rsidRPr="003B4362">
        <w:rPr>
          <w:szCs w:val="24"/>
        </w:rPr>
        <w:t xml:space="preserve">collected </w:t>
      </w:r>
      <w:r w:rsidRPr="003B4362">
        <w:t xml:space="preserve">under </w:t>
      </w:r>
      <w:r w:rsidRPr="003B4362">
        <w:rPr>
          <w:szCs w:val="24"/>
        </w:rPr>
        <w:t>Sections 611.1054 through 611.1057</w:t>
      </w:r>
      <w:r w:rsidRPr="003B4362">
        <w:t>, except as provided in subsection (a)(2)(B).</w:t>
      </w:r>
    </w:p>
    <w:p w14:paraId="6EBEE9AF" w14:textId="77777777" w:rsidR="00A31B87" w:rsidRDefault="00A31B87" w:rsidP="00A31B87">
      <w:pPr>
        <w:widowControl w:val="0"/>
        <w:ind w:left="2880" w:hanging="720"/>
      </w:pPr>
    </w:p>
    <w:p w14:paraId="7CAEDD3F" w14:textId="537C9DCF" w:rsidR="00F437D9" w:rsidRPr="003B4362" w:rsidRDefault="00F437D9" w:rsidP="00A31B87">
      <w:pPr>
        <w:widowControl w:val="0"/>
        <w:ind w:left="2880" w:hanging="720"/>
      </w:pPr>
      <w:r w:rsidRPr="003B4362">
        <w:t>A)</w:t>
      </w:r>
      <w:r w:rsidRPr="003B4362">
        <w:tab/>
        <w:t>The Agency may</w:t>
      </w:r>
      <w:r w:rsidR="00904CB2" w:rsidRPr="003B4362">
        <w:t xml:space="preserve"> issue a SEP extending</w:t>
      </w:r>
      <w:r w:rsidRPr="003B4362">
        <w:t xml:space="preserve"> the 24-hour time limit on a case-by-case basis if it determines that the supplier cannot collect the groundwater source water sample within 24 hours due to circumstances beyond the supplier’s control.  In the case of an extension, the Agency must specify how much time the supplier </w:t>
      </w:r>
      <w:r w:rsidR="00A854C7" w:rsidRPr="003B4362">
        <w:t>has</w:t>
      </w:r>
      <w:r w:rsidRPr="003B4362">
        <w:t xml:space="preserve"> to collect the sample.</w:t>
      </w:r>
    </w:p>
    <w:p w14:paraId="068B3853" w14:textId="77777777" w:rsidR="00A31B87" w:rsidRDefault="00A31B87" w:rsidP="00A31B87">
      <w:pPr>
        <w:widowControl w:val="0"/>
        <w:ind w:left="2880" w:hanging="720"/>
      </w:pPr>
    </w:p>
    <w:p w14:paraId="5B6ABD3C" w14:textId="2D17D676" w:rsidR="00F437D9" w:rsidRPr="003B4362" w:rsidRDefault="00F437D9" w:rsidP="00A31B87">
      <w:pPr>
        <w:widowControl w:val="0"/>
        <w:ind w:left="2880" w:hanging="720"/>
      </w:pPr>
      <w:r w:rsidRPr="003B4362">
        <w:t>B)</w:t>
      </w:r>
      <w:r w:rsidRPr="003B4362">
        <w:tab/>
        <w:t xml:space="preserve">If approved by the Agency, a supplier with more than one groundwater source may meet the requirements of this subsection (a)(2) by sampling a representative groundwater source or sources.  If directed by the Agency </w:t>
      </w:r>
      <w:r w:rsidR="00904CB2" w:rsidRPr="003B4362">
        <w:t xml:space="preserve">in </w:t>
      </w:r>
      <w:r w:rsidRPr="003B4362">
        <w:t xml:space="preserve">a SEP, the supplier must submit for Agency approval a triggered source water monitoring plan that identifies one or more groundwater sources that are representative </w:t>
      </w:r>
      <w:r w:rsidRPr="003B4362">
        <w:lastRenderedPageBreak/>
        <w:t xml:space="preserve">of each monitoring site in the system’s sample siting plan under </w:t>
      </w:r>
      <w:bookmarkStart w:id="4156" w:name="_Hlk16774653"/>
      <w:r w:rsidRPr="003B4362">
        <w:t xml:space="preserve">Section 611.1053 </w:t>
      </w:r>
      <w:bookmarkEnd w:id="4156"/>
      <w:r w:rsidRPr="003B4362">
        <w:t>and that the system intends to use for representative sampling under this subsection (a).</w:t>
      </w:r>
    </w:p>
    <w:p w14:paraId="619E46FA" w14:textId="77777777" w:rsidR="00A31B87" w:rsidRDefault="00A31B87" w:rsidP="00A31B87">
      <w:pPr>
        <w:widowControl w:val="0"/>
        <w:ind w:left="2880" w:hanging="720"/>
      </w:pPr>
    </w:p>
    <w:p w14:paraId="28EA90AC" w14:textId="25FC7842" w:rsidR="00F437D9" w:rsidRPr="003B4362" w:rsidRDefault="00F437D9" w:rsidP="00A31B87">
      <w:pPr>
        <w:widowControl w:val="0"/>
        <w:ind w:left="2880" w:hanging="720"/>
      </w:pPr>
      <w:r w:rsidRPr="003B4362">
        <w:t>C)</w:t>
      </w:r>
      <w:r w:rsidRPr="003B4362">
        <w:tab/>
        <w:t>This subsection (a)(2)(C) corresponds with 40 CFR 141.802(a)(1)(ii), a now-obsolete implementing provision.  This statement maintains structural consistency with the federal regulations.</w:t>
      </w:r>
    </w:p>
    <w:p w14:paraId="31FA549F" w14:textId="77777777" w:rsidR="00A31B87" w:rsidRDefault="00A31B87" w:rsidP="00A31B87">
      <w:pPr>
        <w:widowControl w:val="0"/>
        <w:ind w:left="2880" w:hanging="720"/>
        <w:rPr>
          <w:szCs w:val="24"/>
        </w:rPr>
      </w:pPr>
    </w:p>
    <w:p w14:paraId="49BCE336" w14:textId="1015DE35" w:rsidR="00F437D9" w:rsidRPr="003B4362" w:rsidRDefault="00F437D9" w:rsidP="00A31B87">
      <w:pPr>
        <w:widowControl w:val="0"/>
        <w:ind w:left="2880" w:hanging="720"/>
        <w:rPr>
          <w:szCs w:val="24"/>
        </w:rPr>
      </w:pPr>
      <w:r w:rsidRPr="003B4362">
        <w:rPr>
          <w:szCs w:val="24"/>
        </w:rPr>
        <w:t>D)</w:t>
      </w:r>
      <w:r w:rsidRPr="003B4362">
        <w:rPr>
          <w:szCs w:val="24"/>
        </w:rPr>
        <w:tab/>
        <w:t xml:space="preserve">A GWS supplier </w:t>
      </w:r>
      <w:r w:rsidR="006A06B9" w:rsidRPr="003B4362">
        <w:t xml:space="preserve">serving </w:t>
      </w:r>
      <w:r w:rsidRPr="003B4362">
        <w:rPr>
          <w:szCs w:val="24"/>
        </w:rPr>
        <w:t>1,000 or fewer people may use a repeat sample collected from a groundwater source to meet both the requirements of Subpart AA and to satisfy the monitoring requirements of subsection (a)(2) for that groundwater source only if the Agency</w:t>
      </w:r>
      <w:r w:rsidR="00904CB2" w:rsidRPr="003B4362">
        <w:t xml:space="preserve"> issues a SEP approving</w:t>
      </w:r>
      <w:r w:rsidRPr="003B4362">
        <w:rPr>
          <w:szCs w:val="24"/>
        </w:rPr>
        <w:t xml:space="preserve"> the use of </w:t>
      </w:r>
      <w:r w:rsidRPr="003B4362">
        <w:rPr>
          <w:iCs/>
          <w:szCs w:val="24"/>
        </w:rPr>
        <w:t xml:space="preserve">E. coli </w:t>
      </w:r>
      <w:r w:rsidRPr="003B4362">
        <w:rPr>
          <w:szCs w:val="24"/>
        </w:rPr>
        <w:t xml:space="preserve">as a fecal indicator for source water monitoring under this subsection (a) and approves the use of a single sample for meeting both the triggered source water monitoring requirements in this subsection (a) and the repeat monitoring requirements in Section 611.1058.  If the repeat sample collected from the groundwater source is </w:t>
      </w:r>
      <w:r w:rsidRPr="003B4362">
        <w:rPr>
          <w:iCs/>
          <w:szCs w:val="24"/>
        </w:rPr>
        <w:t>E. coli</w:t>
      </w:r>
      <w:r w:rsidRPr="003B4362">
        <w:rPr>
          <w:szCs w:val="24"/>
        </w:rPr>
        <w:t>-positive, the system must comply with subsection (a)(3).</w:t>
      </w:r>
    </w:p>
    <w:p w14:paraId="2158E245" w14:textId="77777777" w:rsidR="00A31B87" w:rsidRDefault="00A31B87" w:rsidP="00A31B87">
      <w:pPr>
        <w:widowControl w:val="0"/>
        <w:ind w:left="2160" w:hanging="720"/>
      </w:pPr>
    </w:p>
    <w:p w14:paraId="6E656874" w14:textId="6B8D2888" w:rsidR="00F437D9" w:rsidRPr="003B4362" w:rsidRDefault="00F437D9" w:rsidP="00A31B87">
      <w:pPr>
        <w:widowControl w:val="0"/>
        <w:ind w:left="2160" w:hanging="720"/>
      </w:pPr>
      <w:r w:rsidRPr="003B4362">
        <w:t>3)</w:t>
      </w:r>
      <w:r w:rsidRPr="003B4362">
        <w:tab/>
        <w:t xml:space="preserve">Additional Requirements.  If the Agency does not require corrective action under Section 611.803(a)(2) for a fecal indicator-positive source water sample collected under subsection (a)(2) that is not invalidated under subsection (d), the </w:t>
      </w:r>
      <w:r w:rsidR="000566F4" w:rsidRPr="003B4362">
        <w:t xml:space="preserve">supplier </w:t>
      </w:r>
      <w:r w:rsidRPr="003B4362">
        <w:t>must collect five additional source water samples from the same source within 24 hours after being notified of the fecal indicator-positive sample.</w:t>
      </w:r>
    </w:p>
    <w:p w14:paraId="498E7AF2" w14:textId="77777777" w:rsidR="00A31B87" w:rsidRDefault="00A31B87" w:rsidP="00A31B87">
      <w:pPr>
        <w:widowControl w:val="0"/>
        <w:ind w:left="2160" w:hanging="720"/>
      </w:pPr>
    </w:p>
    <w:p w14:paraId="4365222D" w14:textId="69ED2417" w:rsidR="00F437D9" w:rsidRPr="003B4362" w:rsidRDefault="00F437D9" w:rsidP="00A31B87">
      <w:pPr>
        <w:widowControl w:val="0"/>
        <w:ind w:left="2160" w:hanging="720"/>
      </w:pPr>
      <w:r w:rsidRPr="003B4362">
        <w:t>4)</w:t>
      </w:r>
      <w:r w:rsidRPr="003B4362">
        <w:tab/>
        <w:t>Consecutive and Wholesale Systems</w:t>
      </w:r>
    </w:p>
    <w:p w14:paraId="3B22A919" w14:textId="77777777" w:rsidR="00A31B87" w:rsidRDefault="00A31B87" w:rsidP="00A31B87">
      <w:pPr>
        <w:widowControl w:val="0"/>
        <w:ind w:left="2880" w:hanging="720"/>
      </w:pPr>
    </w:p>
    <w:p w14:paraId="19DCF1E4" w14:textId="7A0F61AA" w:rsidR="00F437D9" w:rsidRPr="003B4362" w:rsidRDefault="00F437D9" w:rsidP="00A31B87">
      <w:pPr>
        <w:widowControl w:val="0"/>
        <w:ind w:left="2880" w:hanging="720"/>
      </w:pPr>
      <w:r w:rsidRPr="003B4362">
        <w:t>A)</w:t>
      </w:r>
      <w:r w:rsidRPr="003B4362">
        <w:tab/>
        <w:t xml:space="preserve">In addition to the other requirements of this subsection (a), a consecutive GWS supplier that </w:t>
      </w:r>
      <w:r w:rsidR="00A854C7" w:rsidRPr="003B4362">
        <w:t>has</w:t>
      </w:r>
      <w:r w:rsidRPr="003B4362">
        <w:t xml:space="preserve"> a total coliform-positive sample collected </w:t>
      </w:r>
      <w:r w:rsidRPr="003B4362">
        <w:rPr>
          <w:szCs w:val="24"/>
        </w:rPr>
        <w:t xml:space="preserve">under Sections 611.1054 through 611.1057, </w:t>
      </w:r>
      <w:r w:rsidRPr="003B4362">
        <w:t>must notify the wholesale systems within 24 hours after being notified of the total coliform-positive sample.</w:t>
      </w:r>
    </w:p>
    <w:p w14:paraId="03D70BFF" w14:textId="77777777" w:rsidR="00A31B87" w:rsidRDefault="00A31B87" w:rsidP="00A31B87">
      <w:pPr>
        <w:widowControl w:val="0"/>
        <w:ind w:left="2880" w:hanging="720"/>
      </w:pPr>
    </w:p>
    <w:p w14:paraId="4C386DA0" w14:textId="3BBE051D" w:rsidR="00F437D9" w:rsidRPr="003B4362" w:rsidRDefault="00F437D9" w:rsidP="00A31B87">
      <w:pPr>
        <w:widowControl w:val="0"/>
        <w:ind w:left="2880" w:hanging="720"/>
      </w:pPr>
      <w:r w:rsidRPr="003B4362">
        <w:t>B)</w:t>
      </w:r>
      <w:r w:rsidRPr="003B4362">
        <w:tab/>
        <w:t>In addition to the other requirements of this subsection (a), a wholesale GWS supplier must comply with the following requirements:</w:t>
      </w:r>
    </w:p>
    <w:p w14:paraId="0565A4AE" w14:textId="77777777" w:rsidR="00A31B87" w:rsidRDefault="00A31B87" w:rsidP="00A31B87">
      <w:pPr>
        <w:widowControl w:val="0"/>
        <w:ind w:left="3600" w:hanging="720"/>
      </w:pPr>
    </w:p>
    <w:p w14:paraId="2BD27D00" w14:textId="6BF3DCAC" w:rsidR="00F437D9" w:rsidRPr="003B4362" w:rsidRDefault="00F437D9" w:rsidP="00A31B87">
      <w:pPr>
        <w:widowControl w:val="0"/>
        <w:ind w:left="3600" w:hanging="720"/>
      </w:pPr>
      <w:r w:rsidRPr="003B4362">
        <w:t>i)</w:t>
      </w:r>
      <w:r w:rsidRPr="003B4362">
        <w:tab/>
        <w:t xml:space="preserve">A wholesale GWS supplier that receives notice from a consecutive system it serves that a sample </w:t>
      </w:r>
      <w:r w:rsidRPr="003B4362">
        <w:rPr>
          <w:szCs w:val="24"/>
        </w:rPr>
        <w:t xml:space="preserve">collected under Sections 611.1054 through 611.1057 </w:t>
      </w:r>
      <w:r w:rsidRPr="003B4362">
        <w:t xml:space="preserve">is total coliform-positive must, within 24 hours after being notified, collect a sample from its groundwater sources under subsection </w:t>
      </w:r>
      <w:r w:rsidRPr="003B4362">
        <w:lastRenderedPageBreak/>
        <w:t>(a)(2) and analyze it for a fecal indicator under subsection (c).</w:t>
      </w:r>
    </w:p>
    <w:p w14:paraId="5B7A6F82" w14:textId="77777777" w:rsidR="00A31B87" w:rsidRDefault="00A31B87" w:rsidP="00A31B87">
      <w:pPr>
        <w:widowControl w:val="0"/>
        <w:ind w:left="3600" w:hanging="720"/>
      </w:pPr>
    </w:p>
    <w:p w14:paraId="451235BA" w14:textId="276B53CC" w:rsidR="00F437D9" w:rsidRPr="003B4362" w:rsidRDefault="00F437D9" w:rsidP="00A31B87">
      <w:pPr>
        <w:widowControl w:val="0"/>
        <w:ind w:left="3600" w:hanging="720"/>
      </w:pPr>
      <w:r w:rsidRPr="003B4362">
        <w:t>ii)</w:t>
      </w:r>
      <w:r w:rsidRPr="003B4362">
        <w:tab/>
        <w:t>If the sample collected under subsection (a)(4)(B)(i) is fecal indicator-positive, the wholesale GWS supplier must notify all consecutive systems served by that groundwater source of the fecal indicator source water positive within 24 hours after being notified of the groundwater source sample monitoring result and must meet the requirements of subsection (a)(3).</w:t>
      </w:r>
    </w:p>
    <w:p w14:paraId="49C2AE62" w14:textId="77777777" w:rsidR="00A31B87" w:rsidRDefault="00A31B87" w:rsidP="00A31B87">
      <w:pPr>
        <w:widowControl w:val="0"/>
        <w:ind w:left="2160" w:hanging="720"/>
      </w:pPr>
    </w:p>
    <w:p w14:paraId="66A3FA68" w14:textId="0314A320" w:rsidR="00F437D9" w:rsidRPr="003B4362" w:rsidRDefault="00F437D9" w:rsidP="00A31B87">
      <w:pPr>
        <w:widowControl w:val="0"/>
        <w:ind w:left="2160" w:hanging="720"/>
      </w:pPr>
      <w:r w:rsidRPr="003B4362">
        <w:t>5)</w:t>
      </w:r>
      <w:r w:rsidRPr="003B4362">
        <w:tab/>
        <w:t>Exceptions to the Triggered Source Water Monitoring Requirements.  A GWS supplier is not required to comply with the source water monitoring requirements of subsection (a) if either of the following conditions exists:</w:t>
      </w:r>
    </w:p>
    <w:p w14:paraId="0138358F" w14:textId="77777777" w:rsidR="00A31B87" w:rsidRDefault="00A31B87" w:rsidP="00A31B87">
      <w:pPr>
        <w:widowControl w:val="0"/>
        <w:ind w:left="2880" w:hanging="720"/>
      </w:pPr>
    </w:p>
    <w:p w14:paraId="3BCA5FD1" w14:textId="4CA8C271" w:rsidR="00F437D9" w:rsidRPr="003B4362" w:rsidRDefault="00F437D9" w:rsidP="00A31B87">
      <w:pPr>
        <w:widowControl w:val="0"/>
        <w:ind w:left="2880" w:hanging="720"/>
      </w:pPr>
      <w:r w:rsidRPr="003B4362">
        <w:t>A)</w:t>
      </w:r>
      <w:r w:rsidRPr="003B4362">
        <w:tab/>
        <w:t xml:space="preserve">The Agency </w:t>
      </w:r>
      <w:r w:rsidR="00904CB2" w:rsidRPr="003B4362">
        <w:t xml:space="preserve">issues </w:t>
      </w:r>
      <w:r w:rsidRPr="003B4362">
        <w:t>a SEP</w:t>
      </w:r>
      <w:r w:rsidR="00904CB2" w:rsidRPr="003B4362">
        <w:t xml:space="preserve"> determining and documenting</w:t>
      </w:r>
      <w:r w:rsidRPr="003B4362">
        <w:t xml:space="preserve"> that </w:t>
      </w:r>
      <w:r w:rsidR="00904CB2" w:rsidRPr="003B4362">
        <w:t xml:space="preserve">a distribution system deficiency caused </w:t>
      </w:r>
      <w:r w:rsidRPr="003B4362">
        <w:t xml:space="preserve">the total coliform-positive sample </w:t>
      </w:r>
      <w:r w:rsidRPr="003B4362">
        <w:rPr>
          <w:szCs w:val="24"/>
        </w:rPr>
        <w:t>collected under Sections 611.1054 through 611.1057</w:t>
      </w:r>
      <w:r w:rsidRPr="003B4362">
        <w:t>; or</w:t>
      </w:r>
    </w:p>
    <w:p w14:paraId="0389C55B" w14:textId="77777777" w:rsidR="00A31B87" w:rsidRDefault="00A31B87" w:rsidP="00A31B87">
      <w:pPr>
        <w:widowControl w:val="0"/>
        <w:ind w:left="2880" w:hanging="720"/>
      </w:pPr>
    </w:p>
    <w:p w14:paraId="5DCAAE50" w14:textId="646B4D85" w:rsidR="00F437D9" w:rsidRPr="003B4362" w:rsidRDefault="00F437D9" w:rsidP="00A31B87">
      <w:pPr>
        <w:widowControl w:val="0"/>
        <w:ind w:left="2880" w:hanging="720"/>
      </w:pPr>
      <w:r w:rsidRPr="003B4362">
        <w:t>B)</w:t>
      </w:r>
      <w:r w:rsidRPr="003B4362">
        <w:tab/>
        <w:t xml:space="preserve">The total coliform-positive sample </w:t>
      </w:r>
      <w:r w:rsidRPr="003B4362">
        <w:rPr>
          <w:szCs w:val="24"/>
        </w:rPr>
        <w:t xml:space="preserve">collected under Sections 611.1054 through 611.1057 </w:t>
      </w:r>
      <w:r w:rsidRPr="003B4362">
        <w:t>is collected at a location that meets Agency criteria for distribution system conditions that will cause total coliform-positive samples.</w:t>
      </w:r>
    </w:p>
    <w:p w14:paraId="568EB35F" w14:textId="77777777" w:rsidR="00A31B87" w:rsidRDefault="00A31B87" w:rsidP="00A31B87">
      <w:pPr>
        <w:widowControl w:val="0"/>
        <w:ind w:left="1440" w:hanging="720"/>
      </w:pPr>
    </w:p>
    <w:p w14:paraId="438E27A7" w14:textId="5764F16C" w:rsidR="00F437D9" w:rsidRPr="003B4362" w:rsidRDefault="00F437D9" w:rsidP="00A31B87">
      <w:pPr>
        <w:widowControl w:val="0"/>
        <w:ind w:left="1440" w:hanging="720"/>
      </w:pPr>
      <w:r w:rsidRPr="003B4362">
        <w:t>b)</w:t>
      </w:r>
      <w:r w:rsidRPr="003B4362">
        <w:tab/>
        <w:t xml:space="preserve">Assessment Source Water Monitoring.  If the Agency </w:t>
      </w:r>
      <w:r w:rsidR="00457B9B" w:rsidRPr="003B4362">
        <w:t xml:space="preserve">directs in </w:t>
      </w:r>
      <w:r w:rsidRPr="003B4362">
        <w:t>a SEP, a GWS supplier must conduct assessment source water monitoring that meets Agency-determined requirements for such monitoring.  A GWS supplier conducting assessment source water monitoring may use a triggered source water sample collected under subsection (a)(2) to meet the requirements of subsection (b).  Agency-determined assessment source water monitoring requirements may include the following:</w:t>
      </w:r>
    </w:p>
    <w:p w14:paraId="554D240A" w14:textId="77777777" w:rsidR="00A31B87" w:rsidRDefault="00A31B87" w:rsidP="00A31B87">
      <w:pPr>
        <w:widowControl w:val="0"/>
        <w:ind w:left="2160" w:hanging="720"/>
      </w:pPr>
    </w:p>
    <w:p w14:paraId="3F93FD6C" w14:textId="3B841602" w:rsidR="00F437D9" w:rsidRPr="003B4362" w:rsidRDefault="00F437D9" w:rsidP="00A31B87">
      <w:pPr>
        <w:widowControl w:val="0"/>
        <w:ind w:left="2160" w:hanging="720"/>
      </w:pPr>
      <w:r w:rsidRPr="003B4362">
        <w:t>1)</w:t>
      </w:r>
      <w:r w:rsidRPr="003B4362">
        <w:tab/>
        <w:t>Collection of a total of 12 groundwater source samples that represent each month the system provides groundwater to the public;</w:t>
      </w:r>
    </w:p>
    <w:p w14:paraId="5CA76A7C" w14:textId="77777777" w:rsidR="00A31B87" w:rsidRDefault="00A31B87" w:rsidP="00A31B87">
      <w:pPr>
        <w:widowControl w:val="0"/>
        <w:ind w:left="2160" w:hanging="720"/>
      </w:pPr>
    </w:p>
    <w:p w14:paraId="2B6DE437" w14:textId="0B6C8142" w:rsidR="00F437D9" w:rsidRPr="003B4362" w:rsidRDefault="00F437D9" w:rsidP="00A31B87">
      <w:pPr>
        <w:widowControl w:val="0"/>
        <w:ind w:left="2160" w:hanging="720"/>
      </w:pPr>
      <w:r w:rsidRPr="003B4362">
        <w:t>2)</w:t>
      </w:r>
      <w:r w:rsidRPr="003B4362">
        <w:tab/>
        <w:t xml:space="preserve">Collection of samples from each well, unless the system obtains written Agency approval to conduct monitoring at one or more wells within the GWS that are representative of multiple wells used by that system and </w:t>
      </w:r>
      <w:r w:rsidR="002F3D46" w:rsidRPr="003B4362">
        <w:t xml:space="preserve">that </w:t>
      </w:r>
      <w:r w:rsidRPr="003B4362">
        <w:t>draw water from the same hydrogeologic setting;</w:t>
      </w:r>
    </w:p>
    <w:p w14:paraId="123F9C7F" w14:textId="77777777" w:rsidR="00A31B87" w:rsidRDefault="00A31B87" w:rsidP="00A31B87">
      <w:pPr>
        <w:widowControl w:val="0"/>
        <w:ind w:left="2160" w:hanging="720"/>
      </w:pPr>
    </w:p>
    <w:p w14:paraId="31D8CC80" w14:textId="1DAD0904" w:rsidR="00F437D9" w:rsidRPr="003B4362" w:rsidRDefault="00F437D9" w:rsidP="00A31B87">
      <w:pPr>
        <w:widowControl w:val="0"/>
        <w:ind w:left="2160" w:hanging="720"/>
      </w:pPr>
      <w:r w:rsidRPr="003B4362">
        <w:t>3)</w:t>
      </w:r>
      <w:r w:rsidRPr="003B4362">
        <w:tab/>
        <w:t>Collection of a standard sample volume of at least 100 m</w:t>
      </w:r>
      <w:r w:rsidR="00E9413D" w:rsidRPr="003B4362">
        <w:t>L</w:t>
      </w:r>
      <w:r w:rsidRPr="003B4362">
        <w:t xml:space="preserve"> for fecal indicator analysis, regardless of the fecal indicator or analytical method used;</w:t>
      </w:r>
    </w:p>
    <w:p w14:paraId="5BD52953" w14:textId="77777777" w:rsidR="00A31B87" w:rsidRDefault="00A31B87" w:rsidP="00A31B87">
      <w:pPr>
        <w:widowControl w:val="0"/>
        <w:ind w:left="2160" w:hanging="720"/>
      </w:pPr>
    </w:p>
    <w:p w14:paraId="652A1F04" w14:textId="2D6376E6" w:rsidR="00F437D9" w:rsidRPr="003B4362" w:rsidRDefault="00F437D9" w:rsidP="00A31B87">
      <w:pPr>
        <w:widowControl w:val="0"/>
        <w:ind w:left="2160" w:hanging="720"/>
      </w:pPr>
      <w:r w:rsidRPr="003B4362">
        <w:t>4)</w:t>
      </w:r>
      <w:r w:rsidRPr="003B4362">
        <w:tab/>
        <w:t xml:space="preserve">Analysis of all groundwater source samples using one of the analytical </w:t>
      </w:r>
      <w:r w:rsidRPr="003B4362">
        <w:lastRenderedPageBreak/>
        <w:t>methods listed in subsection (c)(2) for the presence of E. coli, enterococci, or coliphage;</w:t>
      </w:r>
    </w:p>
    <w:p w14:paraId="4547D308" w14:textId="77777777" w:rsidR="00A31B87" w:rsidRDefault="00A31B87" w:rsidP="00A31B87">
      <w:pPr>
        <w:widowControl w:val="0"/>
        <w:ind w:left="2160" w:hanging="720"/>
      </w:pPr>
    </w:p>
    <w:p w14:paraId="1BF4D876" w14:textId="1B9F31D7" w:rsidR="00F437D9" w:rsidRPr="003B4362" w:rsidRDefault="00F437D9" w:rsidP="00A31B87">
      <w:pPr>
        <w:widowControl w:val="0"/>
        <w:ind w:left="2160" w:hanging="720"/>
      </w:pPr>
      <w:r w:rsidRPr="003B4362">
        <w:t>5)</w:t>
      </w:r>
      <w:r w:rsidRPr="003B4362">
        <w:tab/>
        <w:t>Collection of groundwater source samples at a location prior to any treatment of the groundwater source unless the Agency approves a sampling location after treatment; and</w:t>
      </w:r>
    </w:p>
    <w:p w14:paraId="5DAD7E44" w14:textId="77777777" w:rsidR="00A31B87" w:rsidRDefault="00A31B87" w:rsidP="00A31B87">
      <w:pPr>
        <w:widowControl w:val="0"/>
        <w:ind w:left="2160" w:hanging="720"/>
      </w:pPr>
    </w:p>
    <w:p w14:paraId="1B20F1F3" w14:textId="6F77B025" w:rsidR="00F437D9" w:rsidRPr="003B4362" w:rsidRDefault="00F437D9" w:rsidP="00A31B87">
      <w:pPr>
        <w:widowControl w:val="0"/>
        <w:ind w:left="2160" w:hanging="720"/>
      </w:pPr>
      <w:r w:rsidRPr="003B4362">
        <w:t>6)</w:t>
      </w:r>
      <w:r w:rsidRPr="003B4362">
        <w:tab/>
        <w:t xml:space="preserve">Collection of groundwater source samples at the well itself, unless the system’s configuration does not allow for sampling at the well itself and the Agency approves </w:t>
      </w:r>
      <w:r w:rsidR="00A4425D" w:rsidRPr="003B4362">
        <w:t xml:space="preserve">in a SEP </w:t>
      </w:r>
      <w:r w:rsidRPr="003B4362">
        <w:t>an alternate sampling location that is representative of the water quality of that well.</w:t>
      </w:r>
    </w:p>
    <w:p w14:paraId="0414AC58" w14:textId="77777777" w:rsidR="00A31B87" w:rsidRDefault="00A31B87" w:rsidP="00A31B87">
      <w:pPr>
        <w:widowControl w:val="0"/>
        <w:ind w:left="1440" w:hanging="720"/>
      </w:pPr>
    </w:p>
    <w:p w14:paraId="59EEAAE7" w14:textId="63D1D63C" w:rsidR="00F437D9" w:rsidRPr="003B4362" w:rsidRDefault="00F437D9" w:rsidP="00A31B87">
      <w:pPr>
        <w:widowControl w:val="0"/>
        <w:ind w:left="1440" w:hanging="720"/>
      </w:pPr>
      <w:r w:rsidRPr="003B4362">
        <w:t>c)</w:t>
      </w:r>
      <w:r w:rsidRPr="003B4362">
        <w:tab/>
        <w:t>Analytical Methods</w:t>
      </w:r>
    </w:p>
    <w:p w14:paraId="156BB5BA" w14:textId="77777777" w:rsidR="00A31B87" w:rsidRDefault="00A31B87" w:rsidP="00A31B87">
      <w:pPr>
        <w:widowControl w:val="0"/>
        <w:ind w:left="2160" w:hanging="720"/>
      </w:pPr>
    </w:p>
    <w:p w14:paraId="341F3F87" w14:textId="282458B4" w:rsidR="00F437D9" w:rsidRPr="003B4362" w:rsidRDefault="00F437D9" w:rsidP="00A31B87">
      <w:pPr>
        <w:widowControl w:val="0"/>
        <w:ind w:left="2160" w:hanging="720"/>
      </w:pPr>
      <w:r w:rsidRPr="003B4362">
        <w:t>1)</w:t>
      </w:r>
      <w:r w:rsidRPr="003B4362">
        <w:tab/>
        <w:t>A GWS supplier subject to the source water monitoring requirements of subsection (a) must collect a standard sample volume of at least 100 m</w:t>
      </w:r>
      <w:r w:rsidR="00E9413D" w:rsidRPr="003B4362">
        <w:t>L</w:t>
      </w:r>
      <w:r w:rsidRPr="003B4362">
        <w:t xml:space="preserve"> for fecal indicator analysis, regardless of the fecal indicator or analytical method used.</w:t>
      </w:r>
    </w:p>
    <w:p w14:paraId="6395F693" w14:textId="77777777" w:rsidR="00A31B87" w:rsidRDefault="00A31B87" w:rsidP="00A31B87">
      <w:pPr>
        <w:widowControl w:val="0"/>
        <w:ind w:left="2160" w:hanging="720"/>
      </w:pPr>
    </w:p>
    <w:p w14:paraId="2DD4EF31" w14:textId="60276D38" w:rsidR="00F437D9" w:rsidRPr="003B4362" w:rsidRDefault="00F437D9" w:rsidP="00A31B87">
      <w:pPr>
        <w:widowControl w:val="0"/>
        <w:ind w:left="2160" w:hanging="720"/>
      </w:pPr>
      <w:r w:rsidRPr="003B4362">
        <w:t>2)</w:t>
      </w:r>
      <w:r w:rsidRPr="003B4362">
        <w:tab/>
        <w:t>A GWS supplier must analyze all groundwater source samples collected under subsection (a) using one of the analytical methods listed in subsections (c)(2)(A) through (c)(2)(C), each incorporated by reference in Section 611.102, or alternative methods approved by the Agency under Section 611.480, subject to the limitations of subsection (c)(2)(D), for the presence of E. coli, enterococci, or coliphage:</w:t>
      </w:r>
    </w:p>
    <w:p w14:paraId="1AA883F7" w14:textId="77777777" w:rsidR="00A31B87" w:rsidRDefault="00A31B87" w:rsidP="00A31B87">
      <w:pPr>
        <w:widowControl w:val="0"/>
        <w:ind w:left="2880" w:hanging="720"/>
      </w:pPr>
    </w:p>
    <w:p w14:paraId="5CE8F9C6" w14:textId="0B216190" w:rsidR="00F437D9" w:rsidRPr="003B4362" w:rsidRDefault="00F437D9" w:rsidP="00A31B87">
      <w:pPr>
        <w:widowControl w:val="0"/>
        <w:ind w:left="2880" w:hanging="720"/>
      </w:pPr>
      <w:r w:rsidRPr="003B4362">
        <w:t>A)</w:t>
      </w:r>
      <w:r w:rsidRPr="003B4362">
        <w:tab/>
      </w:r>
      <w:r w:rsidRPr="003B4362">
        <w:rPr>
          <w:szCs w:val="16"/>
        </w:rPr>
        <w:t xml:space="preserve">E. coli.  </w:t>
      </w:r>
      <w:bookmarkStart w:id="4157" w:name="_Hlk2784042"/>
      <w:r w:rsidRPr="003B4362">
        <w:t>Enzyme Substrate Technique</w:t>
      </w:r>
      <w:bookmarkEnd w:id="4157"/>
    </w:p>
    <w:p w14:paraId="75DD64AD" w14:textId="77777777" w:rsidR="00A31B87" w:rsidRDefault="00A31B87" w:rsidP="00A31B87">
      <w:pPr>
        <w:widowControl w:val="0"/>
        <w:ind w:left="3600" w:hanging="720"/>
      </w:pPr>
    </w:p>
    <w:p w14:paraId="70C30C00" w14:textId="4DDB6C7A" w:rsidR="00F437D9" w:rsidRPr="003B4362" w:rsidRDefault="00F437D9" w:rsidP="00A31B87">
      <w:pPr>
        <w:widowControl w:val="0"/>
        <w:ind w:left="3600" w:hanging="720"/>
      </w:pPr>
      <w:r w:rsidRPr="003B4362">
        <w:t>i)</w:t>
      </w:r>
      <w:r w:rsidRPr="003B4362">
        <w:tab/>
        <w:t>Colilert</w:t>
      </w:r>
      <w:r w:rsidRPr="003B4362">
        <w:rPr>
          <w:vertAlign w:val="superscript"/>
        </w:rPr>
        <w:t>®</w:t>
      </w:r>
      <w:bookmarkStart w:id="4158" w:name="_Hlk505090801"/>
      <w:r w:rsidRPr="003B4362">
        <w:t xml:space="preserve">.  </w:t>
      </w:r>
      <w:bookmarkStart w:id="4159" w:name="_Hlk14789254"/>
      <w:bookmarkEnd w:id="4158"/>
      <w:r w:rsidRPr="003B4362">
        <w:t>SM 9223 B (97), SM 9223 B (04)</w:t>
      </w:r>
      <w:bookmarkEnd w:id="4159"/>
      <w:r w:rsidRPr="003B4362">
        <w:t>, or SM 9223 B (16).</w:t>
      </w:r>
    </w:p>
    <w:p w14:paraId="56ACBCA0" w14:textId="77777777" w:rsidR="00A31B87" w:rsidRDefault="00A31B87" w:rsidP="00A31B87">
      <w:pPr>
        <w:widowControl w:val="0"/>
        <w:ind w:left="3600" w:hanging="720"/>
      </w:pPr>
    </w:p>
    <w:p w14:paraId="05B04B7F" w14:textId="496C3151" w:rsidR="00F437D9" w:rsidRPr="003B4362" w:rsidRDefault="00F437D9" w:rsidP="00A31B87">
      <w:pPr>
        <w:widowControl w:val="0"/>
        <w:ind w:left="3600" w:hanging="720"/>
      </w:pPr>
      <w:r w:rsidRPr="003B4362">
        <w:t>ii)</w:t>
      </w:r>
      <w:r w:rsidRPr="003B4362">
        <w:tab/>
        <w:t>Colisure</w:t>
      </w:r>
      <w:r w:rsidRPr="003B4362">
        <w:rPr>
          <w:vertAlign w:val="superscript"/>
        </w:rPr>
        <w:t>®</w:t>
      </w:r>
      <w:r w:rsidRPr="003B4362">
        <w:t>.  SM 9223 B (97), SM 9223 B (04), or SM 9223 B (16).</w:t>
      </w:r>
    </w:p>
    <w:p w14:paraId="4B80482A" w14:textId="77777777" w:rsidR="00A31B87" w:rsidRDefault="00A31B87" w:rsidP="00A31B87">
      <w:pPr>
        <w:widowControl w:val="0"/>
        <w:ind w:left="3600" w:hanging="720"/>
      </w:pPr>
    </w:p>
    <w:p w14:paraId="574D0567" w14:textId="3BCD3BEA" w:rsidR="00F437D9" w:rsidRPr="003B4362" w:rsidRDefault="00F437D9" w:rsidP="00A31B87">
      <w:pPr>
        <w:widowControl w:val="0"/>
        <w:ind w:left="3600" w:hanging="720"/>
      </w:pPr>
      <w:r w:rsidRPr="003B4362">
        <w:t>iii)</w:t>
      </w:r>
      <w:r w:rsidRPr="003B4362">
        <w:tab/>
      </w:r>
      <w:r w:rsidRPr="003B4362">
        <w:rPr>
          <w:szCs w:val="16"/>
        </w:rPr>
        <w:t>Membrane Filter Method with MI Agar.</w:t>
      </w:r>
      <w:r w:rsidRPr="003B4362">
        <w:t xml:space="preserve">  </w:t>
      </w:r>
      <w:bookmarkStart w:id="4160" w:name="_Hlk14789914"/>
      <w:r w:rsidRPr="003B4362">
        <w:rPr>
          <w:szCs w:val="16"/>
        </w:rPr>
        <w:t>USEPA 1604 (02)</w:t>
      </w:r>
      <w:bookmarkEnd w:id="4160"/>
      <w:r w:rsidRPr="003B4362">
        <w:t>.</w:t>
      </w:r>
    </w:p>
    <w:p w14:paraId="7CEDAF0E" w14:textId="77777777" w:rsidR="00A31B87" w:rsidRDefault="00A31B87" w:rsidP="00A31B87">
      <w:pPr>
        <w:widowControl w:val="0"/>
        <w:ind w:left="3600" w:hanging="720"/>
      </w:pPr>
    </w:p>
    <w:p w14:paraId="40D51816" w14:textId="135D4A07" w:rsidR="00F437D9" w:rsidRPr="003B4362" w:rsidRDefault="00F437D9" w:rsidP="00A31B87">
      <w:pPr>
        <w:widowControl w:val="0"/>
        <w:ind w:left="3600" w:hanging="720"/>
      </w:pPr>
      <w:r w:rsidRPr="003B4362">
        <w:t>iv)</w:t>
      </w:r>
      <w:r w:rsidRPr="003B4362">
        <w:tab/>
      </w:r>
      <w:bookmarkStart w:id="4161" w:name="_Hlk14791313"/>
      <w:r w:rsidRPr="003B4362">
        <w:rPr>
          <w:szCs w:val="16"/>
        </w:rPr>
        <w:t>E*Colite (98)</w:t>
      </w:r>
      <w:bookmarkEnd w:id="4161"/>
      <w:r w:rsidRPr="003B4362">
        <w:t>.</w:t>
      </w:r>
    </w:p>
    <w:p w14:paraId="4B9D6CC6" w14:textId="77777777" w:rsidR="00A31B87" w:rsidRDefault="00A31B87" w:rsidP="00A31B87">
      <w:pPr>
        <w:widowControl w:val="0"/>
        <w:ind w:left="3600" w:hanging="720"/>
      </w:pPr>
    </w:p>
    <w:p w14:paraId="4A09CB66" w14:textId="456194FC" w:rsidR="00F437D9" w:rsidRPr="003B4362" w:rsidRDefault="00F437D9" w:rsidP="00A31B87">
      <w:pPr>
        <w:widowControl w:val="0"/>
        <w:ind w:left="3600" w:hanging="720"/>
      </w:pPr>
      <w:r w:rsidRPr="003B4362">
        <w:t>v)</w:t>
      </w:r>
      <w:r w:rsidRPr="003B4362">
        <w:tab/>
      </w:r>
      <w:r w:rsidRPr="003B4362">
        <w:rPr>
          <w:szCs w:val="16"/>
        </w:rPr>
        <w:t>EC–MUG</w:t>
      </w:r>
      <w:r w:rsidRPr="003B4362">
        <w:t xml:space="preserve">.  </w:t>
      </w:r>
      <w:bookmarkStart w:id="4162" w:name="_Hlk14791510"/>
      <w:r w:rsidRPr="003B4362">
        <w:t xml:space="preserve">SM </w:t>
      </w:r>
      <w:r w:rsidRPr="003B4362">
        <w:rPr>
          <w:szCs w:val="16"/>
        </w:rPr>
        <w:t xml:space="preserve">9221 F (94), </w:t>
      </w:r>
      <w:r w:rsidRPr="003B4362">
        <w:t xml:space="preserve">SM </w:t>
      </w:r>
      <w:r w:rsidRPr="003B4362">
        <w:rPr>
          <w:szCs w:val="16"/>
        </w:rPr>
        <w:t xml:space="preserve">9221 F (06), or </w:t>
      </w:r>
      <w:r w:rsidRPr="003B4362">
        <w:t xml:space="preserve">SM </w:t>
      </w:r>
      <w:r w:rsidRPr="003B4362">
        <w:rPr>
          <w:szCs w:val="16"/>
        </w:rPr>
        <w:t>9221 F (14)</w:t>
      </w:r>
      <w:bookmarkEnd w:id="4162"/>
      <w:r w:rsidRPr="003B4362">
        <w:t>.</w:t>
      </w:r>
    </w:p>
    <w:p w14:paraId="76F7F9FB" w14:textId="77777777" w:rsidR="00A31B87" w:rsidRDefault="00A31B87" w:rsidP="00A31B87">
      <w:pPr>
        <w:widowControl w:val="0"/>
        <w:ind w:left="3600" w:hanging="720"/>
      </w:pPr>
    </w:p>
    <w:p w14:paraId="74CCE5DD" w14:textId="7162D0FA" w:rsidR="00F437D9" w:rsidRPr="003B4362" w:rsidRDefault="00F437D9" w:rsidP="00A31B87">
      <w:pPr>
        <w:widowControl w:val="0"/>
        <w:ind w:left="3600" w:hanging="720"/>
      </w:pPr>
      <w:r w:rsidRPr="003B4362">
        <w:t>vi)</w:t>
      </w:r>
      <w:r w:rsidRPr="003B4362">
        <w:tab/>
      </w:r>
      <w:r w:rsidRPr="003B4362">
        <w:rPr>
          <w:szCs w:val="16"/>
        </w:rPr>
        <w:t>NA–MUG</w:t>
      </w:r>
      <w:r w:rsidRPr="003B4362">
        <w:t xml:space="preserve">.  </w:t>
      </w:r>
      <w:bookmarkStart w:id="4163" w:name="_Hlk14791612"/>
      <w:r w:rsidRPr="003B4362">
        <w:t xml:space="preserve">SM </w:t>
      </w:r>
      <w:r w:rsidRPr="003B4362">
        <w:rPr>
          <w:szCs w:val="16"/>
        </w:rPr>
        <w:t>9222 G</w:t>
      </w:r>
      <w:r w:rsidRPr="003B4362">
        <w:t xml:space="preserve"> (97) (20th ed. only) or SM 9222 I (15)</w:t>
      </w:r>
      <w:bookmarkEnd w:id="4163"/>
      <w:r w:rsidRPr="003B4362">
        <w:t>.</w:t>
      </w:r>
    </w:p>
    <w:p w14:paraId="4362658E" w14:textId="77777777" w:rsidR="00A31B87" w:rsidRDefault="00A31B87" w:rsidP="00A31B87">
      <w:pPr>
        <w:widowControl w:val="0"/>
        <w:ind w:left="3600" w:hanging="720"/>
      </w:pPr>
    </w:p>
    <w:p w14:paraId="739B3902" w14:textId="223E196E" w:rsidR="00F437D9" w:rsidRPr="003B4362" w:rsidRDefault="00F437D9" w:rsidP="00A31B87">
      <w:pPr>
        <w:widowControl w:val="0"/>
        <w:ind w:left="3600" w:hanging="720"/>
      </w:pPr>
      <w:r w:rsidRPr="003B4362">
        <w:lastRenderedPageBreak/>
        <w:t>vii)</w:t>
      </w:r>
      <w:r w:rsidRPr="003B4362">
        <w:tab/>
      </w:r>
      <w:bookmarkStart w:id="4164" w:name="_Hlk14791757"/>
      <w:r w:rsidRPr="003B4362">
        <w:rPr>
          <w:szCs w:val="24"/>
        </w:rPr>
        <w:t>Colilert</w:t>
      </w:r>
      <w:r w:rsidRPr="003B4362">
        <w:rPr>
          <w:szCs w:val="24"/>
          <w:vertAlign w:val="superscript"/>
        </w:rPr>
        <w:t>®</w:t>
      </w:r>
      <w:r w:rsidRPr="003B4362">
        <w:rPr>
          <w:szCs w:val="24"/>
        </w:rPr>
        <w:t>-18</w:t>
      </w:r>
      <w:r w:rsidRPr="003B4362">
        <w:t>.</w:t>
      </w:r>
      <w:bookmarkEnd w:id="4164"/>
      <w:r w:rsidRPr="003B4362">
        <w:t xml:space="preserve">  </w:t>
      </w:r>
      <w:bookmarkStart w:id="4165" w:name="_Hlk14791850"/>
      <w:r w:rsidRPr="003B4362">
        <w:t>SM 9223 B (97)</w:t>
      </w:r>
      <w:bookmarkEnd w:id="4165"/>
      <w:r w:rsidRPr="003B4362">
        <w:t>, SM 9223 B (04), or SM 9223 B (16).</w:t>
      </w:r>
    </w:p>
    <w:p w14:paraId="7BC78B02" w14:textId="77777777" w:rsidR="00A31B87" w:rsidRDefault="00A31B87" w:rsidP="00A31B87">
      <w:pPr>
        <w:widowControl w:val="0"/>
        <w:ind w:left="3600" w:hanging="720"/>
      </w:pPr>
    </w:p>
    <w:p w14:paraId="24E6E6F5" w14:textId="44974F3C" w:rsidR="00F437D9" w:rsidRPr="003B4362" w:rsidRDefault="00F437D9" w:rsidP="00A31B87">
      <w:pPr>
        <w:widowControl w:val="0"/>
        <w:ind w:left="3600" w:hanging="720"/>
      </w:pPr>
      <w:r w:rsidRPr="003B4362">
        <w:t>viii)</w:t>
      </w:r>
      <w:r w:rsidRPr="003B4362">
        <w:tab/>
      </w:r>
      <w:bookmarkStart w:id="4166" w:name="_Hlk14791962"/>
      <w:r w:rsidRPr="003B4362">
        <w:rPr>
          <w:szCs w:val="16"/>
        </w:rPr>
        <w:t>Readycult</w:t>
      </w:r>
      <w:r w:rsidRPr="003B4362">
        <w:rPr>
          <w:vertAlign w:val="superscript"/>
        </w:rPr>
        <w:t>®</w:t>
      </w:r>
      <w:r w:rsidRPr="003B4362">
        <w:t xml:space="preserve"> (07)</w:t>
      </w:r>
      <w:bookmarkEnd w:id="4166"/>
      <w:r w:rsidRPr="003B4362">
        <w:t>.</w:t>
      </w:r>
    </w:p>
    <w:p w14:paraId="1CD7CF63" w14:textId="77777777" w:rsidR="00A31B87" w:rsidRDefault="00A31B87" w:rsidP="00A31B87">
      <w:pPr>
        <w:widowControl w:val="0"/>
        <w:ind w:left="3600" w:hanging="720"/>
      </w:pPr>
    </w:p>
    <w:p w14:paraId="493707C4" w14:textId="312CC03E" w:rsidR="00F437D9" w:rsidRPr="003B4362" w:rsidRDefault="00F437D9" w:rsidP="00A31B87">
      <w:pPr>
        <w:widowControl w:val="0"/>
        <w:ind w:left="3600" w:hanging="720"/>
      </w:pPr>
      <w:r w:rsidRPr="003B4362">
        <w:t>ix)</w:t>
      </w:r>
      <w:r w:rsidRPr="003B4362">
        <w:tab/>
      </w:r>
      <w:bookmarkStart w:id="4167" w:name="_Hlk14792047"/>
      <w:r w:rsidRPr="003B4362">
        <w:t>Modified Colitag™ (09)</w:t>
      </w:r>
      <w:bookmarkEnd w:id="4167"/>
      <w:r w:rsidR="00E238B5" w:rsidRPr="003B4362">
        <w:t xml:space="preserve"> or </w:t>
      </w:r>
      <w:bookmarkStart w:id="4168" w:name="_Hlk131537551"/>
      <w:r w:rsidR="00E238B5" w:rsidRPr="003B4362">
        <w:t>Modified Colitag™ (20)</w:t>
      </w:r>
      <w:r w:rsidRPr="003B4362">
        <w:t>.</w:t>
      </w:r>
      <w:bookmarkEnd w:id="4168"/>
    </w:p>
    <w:p w14:paraId="744EB181" w14:textId="77777777" w:rsidR="00A31B87" w:rsidRDefault="00A31B87" w:rsidP="00A31B87">
      <w:pPr>
        <w:widowControl w:val="0"/>
        <w:ind w:left="3600" w:hanging="720"/>
      </w:pPr>
    </w:p>
    <w:p w14:paraId="5F31BDF9" w14:textId="1E3BB9AC" w:rsidR="00F437D9" w:rsidRPr="003B4362" w:rsidRDefault="00F437D9" w:rsidP="00A31B87">
      <w:pPr>
        <w:widowControl w:val="0"/>
        <w:ind w:left="3600" w:hanging="720"/>
        <w:rPr>
          <w:szCs w:val="16"/>
        </w:rPr>
      </w:pPr>
      <w:r w:rsidRPr="003B4362">
        <w:t>x)</w:t>
      </w:r>
      <w:r w:rsidRPr="003B4362">
        <w:tab/>
      </w:r>
      <w:bookmarkStart w:id="4169" w:name="_Hlk14792123"/>
      <w:r w:rsidRPr="003B4362">
        <w:t>Chromocult</w:t>
      </w:r>
      <w:r w:rsidRPr="003B4362">
        <w:rPr>
          <w:vertAlign w:val="superscript"/>
        </w:rPr>
        <w:t>®</w:t>
      </w:r>
      <w:r w:rsidRPr="003B4362">
        <w:t xml:space="preserve"> (00)</w:t>
      </w:r>
      <w:bookmarkEnd w:id="4169"/>
      <w:r w:rsidRPr="003B4362">
        <w:t>.</w:t>
      </w:r>
    </w:p>
    <w:p w14:paraId="3BAB9A4E" w14:textId="77777777" w:rsidR="00A31B87" w:rsidRDefault="00A31B87" w:rsidP="00A31B87">
      <w:pPr>
        <w:widowControl w:val="0"/>
        <w:ind w:left="3600" w:hanging="720"/>
        <w:rPr>
          <w:szCs w:val="16"/>
        </w:rPr>
      </w:pPr>
    </w:p>
    <w:p w14:paraId="1251D625" w14:textId="09FCA0A5" w:rsidR="00F437D9" w:rsidRPr="003B4362" w:rsidRDefault="00F437D9" w:rsidP="00A31B87">
      <w:pPr>
        <w:widowControl w:val="0"/>
        <w:ind w:left="3600" w:hanging="720"/>
      </w:pPr>
      <w:r w:rsidRPr="003B4362">
        <w:rPr>
          <w:szCs w:val="16"/>
        </w:rPr>
        <w:t>xi)</w:t>
      </w:r>
      <w:r w:rsidRPr="003B4362">
        <w:rPr>
          <w:szCs w:val="16"/>
        </w:rPr>
        <w:tab/>
      </w:r>
      <w:bookmarkStart w:id="4170" w:name="_Hlk14792212"/>
      <w:r w:rsidRPr="003B4362">
        <w:rPr>
          <w:szCs w:val="16"/>
        </w:rPr>
        <w:t>Tecta (14) or Tecta (17)</w:t>
      </w:r>
      <w:bookmarkEnd w:id="4170"/>
      <w:r w:rsidRPr="003B4362">
        <w:rPr>
          <w:szCs w:val="16"/>
        </w:rPr>
        <w:t>.</w:t>
      </w:r>
    </w:p>
    <w:p w14:paraId="0812BA15" w14:textId="77777777" w:rsidR="00A31B87" w:rsidRDefault="00A31B87" w:rsidP="00A31B87">
      <w:pPr>
        <w:widowControl w:val="0"/>
        <w:ind w:left="3600" w:hanging="720"/>
        <w:rPr>
          <w:szCs w:val="16"/>
        </w:rPr>
      </w:pPr>
    </w:p>
    <w:p w14:paraId="1EB78129" w14:textId="414B7D4D" w:rsidR="00582230" w:rsidRPr="003B4362" w:rsidRDefault="00582230" w:rsidP="00A31B87">
      <w:pPr>
        <w:widowControl w:val="0"/>
        <w:ind w:left="3600" w:hanging="720"/>
      </w:pPr>
      <w:r w:rsidRPr="003B4362">
        <w:rPr>
          <w:szCs w:val="16"/>
        </w:rPr>
        <w:t>xi</w:t>
      </w:r>
      <w:r w:rsidR="003568B4" w:rsidRPr="003B4362">
        <w:rPr>
          <w:szCs w:val="16"/>
        </w:rPr>
        <w:t>i</w:t>
      </w:r>
      <w:r w:rsidRPr="003B4362">
        <w:rPr>
          <w:szCs w:val="16"/>
        </w:rPr>
        <w:t>)</w:t>
      </w:r>
      <w:r w:rsidRPr="003B4362">
        <w:rPr>
          <w:szCs w:val="16"/>
        </w:rPr>
        <w:tab/>
      </w:r>
      <w:bookmarkStart w:id="4171" w:name="_Hlk131537712"/>
      <w:r w:rsidRPr="003B4362">
        <w:rPr>
          <w:szCs w:val="16"/>
        </w:rPr>
        <w:t>RAPID’E. coli (20)</w:t>
      </w:r>
      <w:bookmarkEnd w:id="4171"/>
      <w:r w:rsidRPr="003B4362">
        <w:rPr>
          <w:szCs w:val="16"/>
        </w:rPr>
        <w:t>.</w:t>
      </w:r>
    </w:p>
    <w:p w14:paraId="3C398385" w14:textId="77777777" w:rsidR="00A31B87" w:rsidRDefault="00A31B87" w:rsidP="00A31B87">
      <w:pPr>
        <w:widowControl w:val="0"/>
        <w:suppressAutoHyphens/>
        <w:ind w:left="2880"/>
      </w:pPr>
    </w:p>
    <w:p w14:paraId="6891175D" w14:textId="51797991" w:rsidR="00F437D9" w:rsidRPr="003B4362" w:rsidRDefault="00F437D9" w:rsidP="00A31B87">
      <w:pPr>
        <w:widowControl w:val="0"/>
        <w:suppressAutoHyphens/>
        <w:ind w:left="2880"/>
      </w:pPr>
      <w:r w:rsidRPr="003B4362">
        <w:t>BOARD NOTE:  EC–MUG (</w:t>
      </w:r>
      <w:bookmarkStart w:id="4172" w:name="_Hlk17114295"/>
      <w:bookmarkStart w:id="4173" w:name="_Hlk17136021"/>
      <w:r w:rsidRPr="003B4362">
        <w:t xml:space="preserve">SM </w:t>
      </w:r>
      <w:bookmarkEnd w:id="4172"/>
      <w:r w:rsidRPr="003B4362">
        <w:t>9221 F (94) (20th ed. only)</w:t>
      </w:r>
      <w:bookmarkEnd w:id="4173"/>
      <w:r w:rsidRPr="003B4362">
        <w:t xml:space="preserve">) or NA–MUG (SM 9222 G (97) (20th ed. only)), both incorporated by reference in Section 611.102, can be used for E. coli testing step, as described in </w:t>
      </w:r>
      <w:bookmarkStart w:id="4174" w:name="_Hlk16779839"/>
      <w:r w:rsidRPr="003B4362">
        <w:t xml:space="preserve">40 CFR 141.21(f)(6)(i) or (f)(6)(ii), incorporated by reference in Section 611.102, </w:t>
      </w:r>
      <w:bookmarkEnd w:id="4174"/>
      <w:r w:rsidRPr="003B4362">
        <w:t xml:space="preserve">after use of </w:t>
      </w:r>
      <w:bookmarkStart w:id="4175" w:name="_Hlk17196181"/>
      <w:r w:rsidRPr="003B4362">
        <w:t>SM 9221 B (93), SM 9221 B (94), SM 9221 B (99)</w:t>
      </w:r>
      <w:bookmarkStart w:id="4176" w:name="_Hlk19012191"/>
      <w:r w:rsidRPr="003B4362">
        <w:t>, SM 9221 B (06)</w:t>
      </w:r>
      <w:bookmarkEnd w:id="4176"/>
      <w:r w:rsidRPr="003B4362">
        <w:t>, SM 9221 D (93), SM 9221 D (94), SM 9221 D (99), SM 9221 D (06), SM 9222 B (91), SM 9222 B (94), SM 9222 B (97), SM 9222 C (91), SM 9222 C (94), or SM 9222 C (97)</w:t>
      </w:r>
      <w:bookmarkEnd w:id="4175"/>
      <w:r w:rsidRPr="003B4362">
        <w:t>.</w:t>
      </w:r>
    </w:p>
    <w:p w14:paraId="5102E243" w14:textId="77777777" w:rsidR="00A31B87" w:rsidRDefault="00A31B87" w:rsidP="00A31B87">
      <w:pPr>
        <w:widowControl w:val="0"/>
        <w:ind w:left="2880" w:hanging="720"/>
      </w:pPr>
    </w:p>
    <w:p w14:paraId="213A4765" w14:textId="057768FA" w:rsidR="00F437D9" w:rsidRPr="003B4362" w:rsidRDefault="00F437D9" w:rsidP="00A31B87">
      <w:pPr>
        <w:widowControl w:val="0"/>
        <w:ind w:left="2880" w:hanging="720"/>
      </w:pPr>
      <w:r w:rsidRPr="003B4362">
        <w:t>B)</w:t>
      </w:r>
      <w:r w:rsidRPr="003B4362">
        <w:tab/>
      </w:r>
      <w:r w:rsidRPr="003B4362">
        <w:rPr>
          <w:szCs w:val="16"/>
        </w:rPr>
        <w:t xml:space="preserve">E. coli.  </w:t>
      </w:r>
      <w:r w:rsidRPr="003B4362">
        <w:t>Fermentation Technique</w:t>
      </w:r>
    </w:p>
    <w:p w14:paraId="31DE61F2" w14:textId="77777777" w:rsidR="00A31B87" w:rsidRDefault="00A31B87" w:rsidP="00A31B87">
      <w:pPr>
        <w:widowControl w:val="0"/>
        <w:ind w:left="3600" w:hanging="720"/>
      </w:pPr>
    </w:p>
    <w:p w14:paraId="53D1A3CA" w14:textId="76AEFAF4" w:rsidR="00F437D9" w:rsidRPr="003B4362" w:rsidRDefault="00F437D9" w:rsidP="00A31B87">
      <w:pPr>
        <w:widowControl w:val="0"/>
        <w:ind w:left="3600" w:hanging="720"/>
      </w:pPr>
      <w:r w:rsidRPr="003B4362">
        <w:t>i)</w:t>
      </w:r>
      <w:r w:rsidRPr="003B4362">
        <w:tab/>
      </w:r>
      <w:bookmarkStart w:id="4177" w:name="_Hlk14790841"/>
      <w:r w:rsidRPr="003B4362">
        <w:t>Hach 10029 (99) (m-ColiBlue24</w:t>
      </w:r>
      <w:r w:rsidRPr="003B4362">
        <w:rPr>
          <w:szCs w:val="22"/>
          <w:vertAlign w:val="superscript"/>
        </w:rPr>
        <w:t>®</w:t>
      </w:r>
      <w:r w:rsidRPr="003B4362">
        <w:t>)</w:t>
      </w:r>
      <w:bookmarkEnd w:id="4177"/>
      <w:r w:rsidRPr="003B4362">
        <w:t>.</w:t>
      </w:r>
    </w:p>
    <w:p w14:paraId="784789A6" w14:textId="77777777" w:rsidR="00A31B87" w:rsidRDefault="00A31B87" w:rsidP="00A31B87">
      <w:pPr>
        <w:widowControl w:val="0"/>
        <w:ind w:left="3600" w:hanging="720"/>
      </w:pPr>
    </w:p>
    <w:p w14:paraId="2C855BC5" w14:textId="3B604BC5" w:rsidR="00F437D9" w:rsidRPr="003B4362" w:rsidRDefault="00F437D9" w:rsidP="00A31B87">
      <w:pPr>
        <w:widowControl w:val="0"/>
        <w:ind w:left="3600" w:hanging="720"/>
      </w:pPr>
      <w:r w:rsidRPr="003B4362">
        <w:t>ii)</w:t>
      </w:r>
      <w:r w:rsidRPr="003B4362">
        <w:tab/>
        <w:t>SM 9222 J (15).</w:t>
      </w:r>
    </w:p>
    <w:p w14:paraId="0B6A20E5" w14:textId="77777777" w:rsidR="00A31B87" w:rsidRDefault="00A31B87" w:rsidP="00A31B87">
      <w:pPr>
        <w:widowControl w:val="0"/>
        <w:ind w:left="2880" w:hanging="720"/>
      </w:pPr>
    </w:p>
    <w:p w14:paraId="131E50D0" w14:textId="6B789146" w:rsidR="00F437D9" w:rsidRPr="003B4362" w:rsidRDefault="00F437D9" w:rsidP="00A31B87">
      <w:pPr>
        <w:widowControl w:val="0"/>
        <w:ind w:left="2880" w:hanging="720"/>
      </w:pPr>
      <w:r w:rsidRPr="003B4362">
        <w:t>C)</w:t>
      </w:r>
      <w:r w:rsidRPr="003B4362">
        <w:tab/>
      </w:r>
      <w:r w:rsidRPr="003B4362">
        <w:rPr>
          <w:szCs w:val="16"/>
        </w:rPr>
        <w:t>Enterococci</w:t>
      </w:r>
    </w:p>
    <w:p w14:paraId="26C8BA28" w14:textId="77777777" w:rsidR="00A31B87" w:rsidRDefault="00A31B87" w:rsidP="00A31B87">
      <w:pPr>
        <w:widowControl w:val="0"/>
        <w:ind w:left="3600" w:hanging="720"/>
      </w:pPr>
    </w:p>
    <w:p w14:paraId="0D0EF08A" w14:textId="017CAB6A" w:rsidR="00F437D9" w:rsidRPr="003B4362" w:rsidRDefault="00F437D9" w:rsidP="00A31B87">
      <w:pPr>
        <w:widowControl w:val="0"/>
        <w:ind w:left="3600" w:hanging="720"/>
      </w:pPr>
      <w:r w:rsidRPr="003B4362">
        <w:t>i)</w:t>
      </w:r>
      <w:r w:rsidRPr="003B4362">
        <w:tab/>
      </w:r>
      <w:r w:rsidRPr="003B4362">
        <w:rPr>
          <w:szCs w:val="16"/>
        </w:rPr>
        <w:t>Multiple-Tube Technique.</w:t>
      </w:r>
      <w:r w:rsidRPr="003B4362">
        <w:t xml:space="preserve">  </w:t>
      </w:r>
      <w:bookmarkStart w:id="4178" w:name="_Hlk14795007"/>
      <w:r w:rsidRPr="003B4362">
        <w:t xml:space="preserve">SM </w:t>
      </w:r>
      <w:r w:rsidRPr="003B4362">
        <w:rPr>
          <w:szCs w:val="16"/>
        </w:rPr>
        <w:t xml:space="preserve">9230 B (93) (20th ed. only), SM 9230 B (04), </w:t>
      </w:r>
      <w:bookmarkStart w:id="4179" w:name="_Hlk14795329"/>
      <w:r w:rsidRPr="003B4362">
        <w:rPr>
          <w:szCs w:val="16"/>
        </w:rPr>
        <w:t>SM 9230 C (93) (20th ed. only)</w:t>
      </w:r>
      <w:bookmarkEnd w:id="4178"/>
      <w:r w:rsidRPr="003B4362">
        <w:rPr>
          <w:szCs w:val="16"/>
        </w:rPr>
        <w:t>, SM 9230 C (13), or USEPA 1600 (02)</w:t>
      </w:r>
      <w:bookmarkEnd w:id="4179"/>
      <w:r w:rsidRPr="003B4362">
        <w:rPr>
          <w:szCs w:val="16"/>
        </w:rPr>
        <w:t>.</w:t>
      </w:r>
    </w:p>
    <w:p w14:paraId="112EA1B9" w14:textId="77777777" w:rsidR="00F437D9" w:rsidRPr="003B4362" w:rsidRDefault="00F437D9" w:rsidP="00A31B87">
      <w:pPr>
        <w:widowControl w:val="0"/>
        <w:ind w:left="3600"/>
      </w:pPr>
      <w:r w:rsidRPr="003B4362">
        <w:t>BOARD NOTE:  The holding time and temperature for groundwater samples are specified in subsection (c)(2)(D), rather than as specified in Section 8 of USEPA 1600</w:t>
      </w:r>
      <w:r w:rsidRPr="003B4362">
        <w:rPr>
          <w:szCs w:val="16"/>
        </w:rPr>
        <w:t xml:space="preserve"> (02)</w:t>
      </w:r>
      <w:r w:rsidRPr="003B4362">
        <w:t>.</w:t>
      </w:r>
    </w:p>
    <w:p w14:paraId="240748B1" w14:textId="77777777" w:rsidR="00A31B87" w:rsidRDefault="00A31B87" w:rsidP="00A31B87">
      <w:pPr>
        <w:widowControl w:val="0"/>
        <w:ind w:left="3600" w:hanging="720"/>
      </w:pPr>
    </w:p>
    <w:p w14:paraId="44FEE38A" w14:textId="7D9A504B" w:rsidR="00F437D9" w:rsidRPr="003B4362" w:rsidRDefault="00F437D9" w:rsidP="00A31B87">
      <w:pPr>
        <w:widowControl w:val="0"/>
        <w:ind w:left="3600" w:hanging="720"/>
      </w:pPr>
      <w:r w:rsidRPr="003B4362">
        <w:t>ii)</w:t>
      </w:r>
      <w:r w:rsidRPr="003B4362">
        <w:tab/>
      </w:r>
      <w:bookmarkStart w:id="4180" w:name="_Hlk14798859"/>
      <w:bookmarkStart w:id="4181" w:name="_Hlk14796159"/>
      <w:r w:rsidRPr="003B4362">
        <w:rPr>
          <w:szCs w:val="16"/>
        </w:rPr>
        <w:t>Fluorogenic Substrate Enterococcus Test (using Enterolert)</w:t>
      </w:r>
      <w:bookmarkEnd w:id="4180"/>
      <w:r w:rsidRPr="003B4362">
        <w:rPr>
          <w:szCs w:val="16"/>
        </w:rPr>
        <w:t>.  Enterolert (96)</w:t>
      </w:r>
      <w:bookmarkEnd w:id="4181"/>
      <w:r w:rsidRPr="003B4362">
        <w:rPr>
          <w:szCs w:val="16"/>
        </w:rPr>
        <w:t xml:space="preserve"> or SM 9230 D (13).</w:t>
      </w:r>
    </w:p>
    <w:p w14:paraId="016BFADB" w14:textId="77777777" w:rsidR="00F437D9" w:rsidRPr="003B4362" w:rsidRDefault="00F437D9" w:rsidP="00A31B87">
      <w:pPr>
        <w:widowControl w:val="0"/>
        <w:ind w:left="3600"/>
      </w:pPr>
      <w:r w:rsidRPr="003B4362">
        <w:t xml:space="preserve">BOARD NOTE:  </w:t>
      </w:r>
      <w:r w:rsidRPr="003B4362">
        <w:rPr>
          <w:szCs w:val="16"/>
        </w:rPr>
        <w:t>Medium is available through IDEXX Laboratories, Inc., at the address set forth in Section 611.102(b).  Preparation and use of the medium must be as set forth in the article that embodies the method as incorporated by reference in Section 611.102(b).</w:t>
      </w:r>
    </w:p>
    <w:p w14:paraId="31156F0C" w14:textId="77777777" w:rsidR="00A31B87" w:rsidRDefault="00A31B87" w:rsidP="00A31B87">
      <w:pPr>
        <w:widowControl w:val="0"/>
        <w:ind w:left="2880" w:hanging="720"/>
      </w:pPr>
    </w:p>
    <w:p w14:paraId="26834F3E" w14:textId="467C7EB3" w:rsidR="00F437D9" w:rsidRPr="003B4362" w:rsidRDefault="00F437D9" w:rsidP="00A31B87">
      <w:pPr>
        <w:widowControl w:val="0"/>
        <w:ind w:left="2880" w:hanging="720"/>
      </w:pPr>
      <w:r w:rsidRPr="003B4362">
        <w:t>D)</w:t>
      </w:r>
      <w:r w:rsidRPr="003B4362">
        <w:tab/>
      </w:r>
      <w:r w:rsidRPr="003B4362">
        <w:rPr>
          <w:szCs w:val="16"/>
        </w:rPr>
        <w:t>Coliphage</w:t>
      </w:r>
    </w:p>
    <w:p w14:paraId="47148AC1" w14:textId="77777777" w:rsidR="00A31B87" w:rsidRDefault="00A31B87" w:rsidP="00A31B87">
      <w:pPr>
        <w:ind w:left="3600" w:hanging="720"/>
      </w:pPr>
    </w:p>
    <w:p w14:paraId="1683D365" w14:textId="1E51E6EB" w:rsidR="00F437D9" w:rsidRPr="003B4362" w:rsidRDefault="00F437D9" w:rsidP="00A31B87">
      <w:pPr>
        <w:ind w:left="3600" w:hanging="720"/>
      </w:pPr>
      <w:r w:rsidRPr="003B4362">
        <w:t>i)</w:t>
      </w:r>
      <w:r w:rsidRPr="003B4362">
        <w:tab/>
        <w:t>Two-Step Enrichment Presence-Absence Procedure</w:t>
      </w:r>
      <w:r w:rsidRPr="003B4362">
        <w:rPr>
          <w:szCs w:val="16"/>
        </w:rPr>
        <w:t>.</w:t>
      </w:r>
      <w:r w:rsidRPr="003B4362">
        <w:t xml:space="preserve">  </w:t>
      </w:r>
      <w:bookmarkStart w:id="4182" w:name="_Hlk14799737"/>
      <w:r w:rsidRPr="003B4362">
        <w:t>USEPA 1601 (01) or Charm Fast Phage (12)</w:t>
      </w:r>
      <w:bookmarkEnd w:id="4182"/>
      <w:r w:rsidRPr="003B4362">
        <w:t>.</w:t>
      </w:r>
    </w:p>
    <w:p w14:paraId="1CC38020" w14:textId="77777777" w:rsidR="00A31B87" w:rsidRDefault="00A31B87" w:rsidP="00A31B87">
      <w:pPr>
        <w:widowControl w:val="0"/>
        <w:ind w:left="3600" w:hanging="720"/>
      </w:pPr>
    </w:p>
    <w:p w14:paraId="5A518ED0" w14:textId="7A1BEF97" w:rsidR="00F437D9" w:rsidRPr="003B4362" w:rsidRDefault="00F437D9" w:rsidP="00A31B87">
      <w:pPr>
        <w:widowControl w:val="0"/>
        <w:ind w:left="3600" w:hanging="720"/>
      </w:pPr>
      <w:r w:rsidRPr="003B4362">
        <w:t>ii)</w:t>
      </w:r>
      <w:r w:rsidRPr="003B4362">
        <w:tab/>
        <w:t>Single Agar Layer Procedure</w:t>
      </w:r>
      <w:r w:rsidRPr="003B4362">
        <w:rPr>
          <w:szCs w:val="16"/>
        </w:rPr>
        <w:t>.</w:t>
      </w:r>
      <w:r w:rsidRPr="003B4362">
        <w:t xml:space="preserve">  </w:t>
      </w:r>
      <w:bookmarkStart w:id="4183" w:name="_Hlk14800034"/>
      <w:r w:rsidRPr="003B4362">
        <w:t>USEPA 1602 (01)</w:t>
      </w:r>
      <w:bookmarkEnd w:id="4183"/>
      <w:r w:rsidRPr="003B4362">
        <w:t>.</w:t>
      </w:r>
    </w:p>
    <w:p w14:paraId="7473580C" w14:textId="77777777" w:rsidR="00A31B87" w:rsidRDefault="00A31B87" w:rsidP="00A31B87">
      <w:pPr>
        <w:widowControl w:val="0"/>
        <w:ind w:left="2880" w:hanging="720"/>
      </w:pPr>
    </w:p>
    <w:p w14:paraId="05E09DD7" w14:textId="1317004D" w:rsidR="00F437D9" w:rsidRPr="003B4362" w:rsidRDefault="00F437D9" w:rsidP="00A31B87">
      <w:pPr>
        <w:widowControl w:val="0"/>
        <w:ind w:left="2880" w:hanging="720"/>
      </w:pPr>
      <w:r w:rsidRPr="003B4362">
        <w:t>E)</w:t>
      </w:r>
      <w:r w:rsidRPr="003B4362">
        <w:tab/>
        <w:t xml:space="preserve">Limitation on Methods Use.  The time from sample collection to initiation of analysis may not exceed 30 hours.  The GWS supplier is encouraged but is not required to hold samples below </w:t>
      </w:r>
      <w:bookmarkStart w:id="4184" w:name="_Hlk2786143"/>
      <w:r w:rsidRPr="003B4362">
        <w:t xml:space="preserve">10 °C </w:t>
      </w:r>
      <w:bookmarkEnd w:id="4184"/>
      <w:r w:rsidRPr="003B4362">
        <w:t>during transit.</w:t>
      </w:r>
    </w:p>
    <w:p w14:paraId="5C1F8A6D" w14:textId="77777777" w:rsidR="00A31B87" w:rsidRDefault="00A31B87" w:rsidP="00A31B87">
      <w:pPr>
        <w:widowControl w:val="0"/>
        <w:ind w:left="1440" w:hanging="720"/>
        <w:rPr>
          <w:szCs w:val="16"/>
        </w:rPr>
      </w:pPr>
    </w:p>
    <w:p w14:paraId="1513FBDA" w14:textId="0805A88B" w:rsidR="00F437D9" w:rsidRPr="003B4362" w:rsidRDefault="00F437D9" w:rsidP="00A31B87">
      <w:pPr>
        <w:widowControl w:val="0"/>
        <w:ind w:left="1440" w:hanging="720"/>
      </w:pPr>
      <w:r w:rsidRPr="003B4362">
        <w:rPr>
          <w:szCs w:val="16"/>
        </w:rPr>
        <w:t>d)</w:t>
      </w:r>
      <w:r w:rsidRPr="003B4362">
        <w:rPr>
          <w:szCs w:val="16"/>
        </w:rPr>
        <w:tab/>
      </w:r>
      <w:r w:rsidRPr="003B4362">
        <w:t>Invalidation of a Fecal Indicator-Positive Groundwater Source Sample</w:t>
      </w:r>
    </w:p>
    <w:p w14:paraId="5F53D078" w14:textId="77777777" w:rsidR="00A31B87" w:rsidRDefault="00A31B87" w:rsidP="00A31B87">
      <w:pPr>
        <w:widowControl w:val="0"/>
        <w:ind w:left="2160" w:hanging="720"/>
      </w:pPr>
    </w:p>
    <w:p w14:paraId="3AB19D42" w14:textId="410E5EB3" w:rsidR="00F437D9" w:rsidRPr="003B4362" w:rsidRDefault="00F437D9" w:rsidP="00A31B87">
      <w:pPr>
        <w:widowControl w:val="0"/>
        <w:ind w:left="2160" w:hanging="720"/>
      </w:pPr>
      <w:r w:rsidRPr="003B4362">
        <w:t>1)</w:t>
      </w:r>
      <w:r w:rsidRPr="003B4362">
        <w:tab/>
        <w:t>A GWS supplier may obtain Agency invalidation of a fecal indicator-positive groundwater source sample collected under subsection (a) only under either of the following conditions:</w:t>
      </w:r>
    </w:p>
    <w:p w14:paraId="7227C6AD" w14:textId="77777777" w:rsidR="00A31B87" w:rsidRDefault="00A31B87" w:rsidP="00A31B87">
      <w:pPr>
        <w:widowControl w:val="0"/>
        <w:ind w:left="2880" w:hanging="720"/>
      </w:pPr>
    </w:p>
    <w:p w14:paraId="4AEAB642" w14:textId="2D716476" w:rsidR="00F437D9" w:rsidRPr="003B4362" w:rsidRDefault="00F437D9" w:rsidP="00A31B87">
      <w:pPr>
        <w:widowControl w:val="0"/>
        <w:ind w:left="2880" w:hanging="720"/>
      </w:pPr>
      <w:r w:rsidRPr="003B4362">
        <w:t>A)</w:t>
      </w:r>
      <w:r w:rsidRPr="003B4362">
        <w:tab/>
        <w:t>The supplier provides the Agency with written notice from the laboratory that improper sample analysis occurred; or</w:t>
      </w:r>
    </w:p>
    <w:p w14:paraId="743FDC21" w14:textId="77777777" w:rsidR="00A31B87" w:rsidRDefault="00A31B87" w:rsidP="00A31B87">
      <w:pPr>
        <w:widowControl w:val="0"/>
        <w:ind w:left="2880" w:hanging="720"/>
      </w:pPr>
    </w:p>
    <w:p w14:paraId="295ECE2E" w14:textId="7AFDC372" w:rsidR="00F437D9" w:rsidRPr="003B4362" w:rsidRDefault="00F437D9" w:rsidP="00A31B87">
      <w:pPr>
        <w:widowControl w:val="0"/>
        <w:ind w:left="2880" w:hanging="720"/>
      </w:pPr>
      <w:r w:rsidRPr="003B4362">
        <w:t>B)</w:t>
      </w:r>
      <w:r w:rsidRPr="003B4362">
        <w:tab/>
        <w:t xml:space="preserve">The Agency </w:t>
      </w:r>
      <w:r w:rsidR="00EA49E0" w:rsidRPr="003B4362">
        <w:t xml:space="preserve">issues a SEP determining and documenting </w:t>
      </w:r>
      <w:r w:rsidRPr="003B4362">
        <w:t>that substantial evidence that a fecal indicator-positive groundwater source sample is not related to source water quality.</w:t>
      </w:r>
    </w:p>
    <w:p w14:paraId="2917DAEE" w14:textId="77777777" w:rsidR="00A31B87" w:rsidRDefault="00A31B87" w:rsidP="00A31B87">
      <w:pPr>
        <w:widowControl w:val="0"/>
        <w:ind w:left="2160" w:hanging="720"/>
      </w:pPr>
    </w:p>
    <w:p w14:paraId="35188A23" w14:textId="50ECD799" w:rsidR="00F437D9" w:rsidRPr="003B4362" w:rsidRDefault="00F437D9" w:rsidP="00A31B87">
      <w:pPr>
        <w:widowControl w:val="0"/>
        <w:ind w:left="2160" w:hanging="720"/>
      </w:pPr>
      <w:r w:rsidRPr="003B4362">
        <w:t>2)</w:t>
      </w:r>
      <w:r w:rsidRPr="003B4362">
        <w:tab/>
        <w:t xml:space="preserve">If the Agency invalidates a fecal indicator-positive groundwater source sample, the GWS supplier must collect another source water sample under subsection (a) within 24 hours after being notified by the Agency of its invalidation decision, and the supplier must have it analyzed for the same fecal indicator using the analytical methods in subsection (c).  The Agency may extend the 24-hour time limit on a case-by-case basis if the supplier cannot collect the source water sample within 24 hours due to circumstances beyond its control.  In the case of an extension, the Agency must specify how much time the system </w:t>
      </w:r>
      <w:r w:rsidR="00A854C7" w:rsidRPr="003B4362">
        <w:t>has</w:t>
      </w:r>
      <w:r w:rsidRPr="003B4362">
        <w:t xml:space="preserve"> to collect the sample.</w:t>
      </w:r>
    </w:p>
    <w:p w14:paraId="32D1B29B" w14:textId="77777777" w:rsidR="00A31B87" w:rsidRDefault="00A31B87" w:rsidP="00A31B87">
      <w:pPr>
        <w:widowControl w:val="0"/>
        <w:ind w:left="1440" w:hanging="720"/>
      </w:pPr>
    </w:p>
    <w:p w14:paraId="097828E0" w14:textId="1336A7D8" w:rsidR="00F437D9" w:rsidRPr="003B4362" w:rsidRDefault="00F437D9" w:rsidP="00A31B87">
      <w:pPr>
        <w:widowControl w:val="0"/>
        <w:ind w:left="1440" w:hanging="720"/>
      </w:pPr>
      <w:r w:rsidRPr="003B4362">
        <w:t>e)</w:t>
      </w:r>
      <w:r w:rsidRPr="003B4362">
        <w:tab/>
        <w:t>Sampling Location</w:t>
      </w:r>
    </w:p>
    <w:p w14:paraId="55997BF8" w14:textId="77777777" w:rsidR="00A31B87" w:rsidRDefault="00A31B87" w:rsidP="00A31B87">
      <w:pPr>
        <w:widowControl w:val="0"/>
        <w:ind w:left="2160" w:hanging="720"/>
      </w:pPr>
    </w:p>
    <w:p w14:paraId="61C4C9C7" w14:textId="31BDB36F" w:rsidR="00F437D9" w:rsidRPr="003B4362" w:rsidRDefault="00F437D9" w:rsidP="00A31B87">
      <w:pPr>
        <w:widowControl w:val="0"/>
        <w:ind w:left="2160" w:hanging="720"/>
      </w:pPr>
      <w:r w:rsidRPr="003B4362">
        <w:t>1)</w:t>
      </w:r>
      <w:r w:rsidRPr="003B4362">
        <w:tab/>
        <w:t>Any groundwater source sample required under subsection (a) must be collected at a location prior to any treatment of the groundwater source unless the Agency approves a sampling location after treatment.</w:t>
      </w:r>
    </w:p>
    <w:p w14:paraId="3520D559" w14:textId="77777777" w:rsidR="00A31B87" w:rsidRDefault="00A31B87" w:rsidP="00A31B87">
      <w:pPr>
        <w:widowControl w:val="0"/>
        <w:ind w:left="2160" w:hanging="720"/>
      </w:pPr>
    </w:p>
    <w:p w14:paraId="557DBE2B" w14:textId="7C35C057" w:rsidR="00F437D9" w:rsidRPr="003B4362" w:rsidRDefault="00F437D9" w:rsidP="00A31B87">
      <w:pPr>
        <w:widowControl w:val="0"/>
        <w:ind w:left="2160" w:hanging="720"/>
      </w:pPr>
      <w:r w:rsidRPr="003B4362">
        <w:t>2)</w:t>
      </w:r>
      <w:r w:rsidRPr="003B4362">
        <w:tab/>
        <w:t xml:space="preserve">If the supplier’s system configuration does not allow for sampling at the well itself, it may collect a sample at an Agency-approved location to meet the requirements of subsection (a) if the sample is representative of the </w:t>
      </w:r>
      <w:r w:rsidRPr="003B4362">
        <w:lastRenderedPageBreak/>
        <w:t>water quality of that well.</w:t>
      </w:r>
    </w:p>
    <w:p w14:paraId="3460666F" w14:textId="77777777" w:rsidR="00A31B87" w:rsidRDefault="00A31B87" w:rsidP="00A31B87">
      <w:pPr>
        <w:widowControl w:val="0"/>
        <w:ind w:left="1440" w:hanging="720"/>
      </w:pPr>
    </w:p>
    <w:p w14:paraId="53F56085" w14:textId="47A58808" w:rsidR="00F437D9" w:rsidRPr="003B4362" w:rsidRDefault="00F437D9" w:rsidP="00A31B87">
      <w:pPr>
        <w:widowControl w:val="0"/>
        <w:ind w:left="1440" w:hanging="720"/>
      </w:pPr>
      <w:r w:rsidRPr="003B4362">
        <w:t>f)</w:t>
      </w:r>
      <w:r w:rsidRPr="003B4362">
        <w:tab/>
        <w:t xml:space="preserve">New Sources.  If the Agency </w:t>
      </w:r>
      <w:r w:rsidR="003C501C" w:rsidRPr="003B4362">
        <w:t>directs in</w:t>
      </w:r>
      <w:r w:rsidR="00290295" w:rsidRPr="003B4362">
        <w:t xml:space="preserve"> </w:t>
      </w:r>
      <w:r w:rsidRPr="003B4362">
        <w:t xml:space="preserve">a SEP, a GWS supplier </w:t>
      </w:r>
      <w:r w:rsidR="00BE3F16" w:rsidRPr="003B4362">
        <w:t xml:space="preserve">placing </w:t>
      </w:r>
      <w:r w:rsidRPr="003B4362">
        <w:t>a new groundwater source into service must conduct assessment source water monitoring under subsection (b).  If the SEP</w:t>
      </w:r>
      <w:r w:rsidR="00CB3282" w:rsidRPr="003B4362">
        <w:t xml:space="preserve"> directs</w:t>
      </w:r>
      <w:r w:rsidRPr="003B4362">
        <w:t xml:space="preserve">, the </w:t>
      </w:r>
      <w:r w:rsidR="001F5FCA" w:rsidRPr="003B4362">
        <w:t xml:space="preserve">supplier </w:t>
      </w:r>
      <w:r w:rsidRPr="003B4362">
        <w:t>must begin monitoring before the groundwater source is used to provide water to the public.</w:t>
      </w:r>
    </w:p>
    <w:p w14:paraId="3AB938B9" w14:textId="77777777" w:rsidR="00A31B87" w:rsidRDefault="00A31B87" w:rsidP="00A31B87">
      <w:pPr>
        <w:widowControl w:val="0"/>
        <w:ind w:left="1440" w:hanging="720"/>
      </w:pPr>
    </w:p>
    <w:p w14:paraId="0784B38C" w14:textId="71468DC2" w:rsidR="00F437D9" w:rsidRPr="003B4362" w:rsidRDefault="00F437D9" w:rsidP="00A31B87">
      <w:pPr>
        <w:widowControl w:val="0"/>
        <w:ind w:left="1440" w:hanging="720"/>
      </w:pPr>
      <w:r w:rsidRPr="003B4362">
        <w:t>g)</w:t>
      </w:r>
      <w:r w:rsidRPr="003B4362">
        <w:tab/>
        <w:t xml:space="preserve">Public Notification.  A GWS supplier with a groundwater source sample collected under subsection (a) or (b) that is fecal indicator-positive and </w:t>
      </w:r>
      <w:r w:rsidR="002F3D46" w:rsidRPr="003B4362">
        <w:t xml:space="preserve">that </w:t>
      </w:r>
      <w:r w:rsidRPr="003B4362">
        <w:t>is not invalidated under subsection (d), including a consecutive system supplier served by the groundwater source, must conduct public notification under Section 611.902.</w:t>
      </w:r>
    </w:p>
    <w:p w14:paraId="1F7187E6" w14:textId="77777777" w:rsidR="00A31B87" w:rsidRDefault="00A31B87" w:rsidP="00A31B87">
      <w:pPr>
        <w:widowControl w:val="0"/>
        <w:ind w:left="1440" w:hanging="720"/>
      </w:pPr>
    </w:p>
    <w:p w14:paraId="08E8C48D" w14:textId="6EC1E4C0" w:rsidR="00F437D9" w:rsidRPr="003B4362" w:rsidRDefault="00F437D9" w:rsidP="00A31B87">
      <w:pPr>
        <w:widowControl w:val="0"/>
        <w:ind w:left="1440" w:hanging="720"/>
      </w:pPr>
      <w:r w:rsidRPr="003B4362">
        <w:t>h)</w:t>
      </w:r>
      <w:r w:rsidRPr="003B4362">
        <w:tab/>
        <w:t>Monitoring Violations.  A failure to meet the requirements of subsections (a) through (f) is a monitoring violation that requires the GWS supplier to provide public notification under Section 611.904.</w:t>
      </w:r>
    </w:p>
    <w:p w14:paraId="3577A18B" w14:textId="77777777" w:rsidR="00A31B87" w:rsidRDefault="00A31B87" w:rsidP="00A31B87">
      <w:pPr>
        <w:widowControl w:val="0"/>
      </w:pPr>
    </w:p>
    <w:p w14:paraId="64C8FBA9" w14:textId="617736A1" w:rsidR="00F437D9" w:rsidRPr="003B4362" w:rsidRDefault="00F437D9" w:rsidP="00A31B87">
      <w:pPr>
        <w:widowControl w:val="0"/>
      </w:pPr>
      <w:r w:rsidRPr="003B4362">
        <w:t xml:space="preserve">BOARD NOTE:  </w:t>
      </w:r>
      <w:r w:rsidR="00260D73" w:rsidRPr="003B4362">
        <w:rPr>
          <w:spacing w:val="-3"/>
        </w:rPr>
        <w:t xml:space="preserve">This Section derives </w:t>
      </w:r>
      <w:r w:rsidRPr="003B4362">
        <w:t xml:space="preserve">from 40 CFR 141.402 and appendix A to subpart C of 40 CFR 141.  The Board </w:t>
      </w:r>
      <w:r w:rsidR="00F53D02" w:rsidRPr="003B4362">
        <w:t xml:space="preserve">did not separately list </w:t>
      </w:r>
      <w:r w:rsidRPr="003B4362">
        <w:t xml:space="preserve">approved alternative methods from Standard Methods Online that are the same version as a method </w:t>
      </w:r>
      <w:r w:rsidR="00F53D02" w:rsidRPr="003B4362">
        <w:t xml:space="preserve">appearing </w:t>
      </w:r>
      <w:r w:rsidRPr="003B4362">
        <w:t xml:space="preserve">in a printed edition of Standard Methods.  </w:t>
      </w:r>
      <w:r w:rsidR="00F53D02" w:rsidRPr="003B4362">
        <w:rPr>
          <w:szCs w:val="22"/>
        </w:rPr>
        <w:t xml:space="preserve">Using </w:t>
      </w:r>
      <w:r w:rsidRPr="003B4362">
        <w:t>the Standard Methods Online copy is acceptable.</w:t>
      </w:r>
    </w:p>
    <w:p w14:paraId="62B20B60" w14:textId="77777777" w:rsidR="00A31B87" w:rsidRDefault="00A31B87" w:rsidP="00A31B87">
      <w:pPr>
        <w:widowControl w:val="0"/>
        <w:ind w:left="720"/>
      </w:pPr>
    </w:p>
    <w:p w14:paraId="0D6B6335" w14:textId="497D3048" w:rsidR="00F437D9" w:rsidRPr="003B4362" w:rsidRDefault="00F437D9" w:rsidP="00A31B87">
      <w:pPr>
        <w:widowControl w:val="0"/>
        <w:ind w:left="720"/>
      </w:pPr>
      <w:r w:rsidRPr="003B4362">
        <w:t xml:space="preserve">Standard Methods Online, Method </w:t>
      </w:r>
      <w:bookmarkStart w:id="4185" w:name="_Hlk3992503"/>
      <w:r w:rsidRPr="003B4362">
        <w:t>9221 F-06</w:t>
      </w:r>
      <w:bookmarkEnd w:id="4185"/>
      <w:r w:rsidRPr="003B4362">
        <w:t xml:space="preserve"> appears in the 22nd edition as Method 9221 F.  </w:t>
      </w:r>
      <w:r w:rsidR="005406D3" w:rsidRPr="003B4362">
        <w:t xml:space="preserve">This appears in this Section </w:t>
      </w:r>
      <w:r w:rsidRPr="003B4362">
        <w:t>as SM 9221 F (06).</w:t>
      </w:r>
    </w:p>
    <w:p w14:paraId="2908F1AA" w14:textId="77777777" w:rsidR="00A31B87" w:rsidRDefault="00A31B87" w:rsidP="00A31B87">
      <w:pPr>
        <w:widowControl w:val="0"/>
        <w:ind w:left="720"/>
      </w:pPr>
    </w:p>
    <w:p w14:paraId="6BC98F70" w14:textId="636B5E2E" w:rsidR="00F437D9" w:rsidRPr="003B4362" w:rsidRDefault="00F437D9" w:rsidP="00A31B87">
      <w:pPr>
        <w:widowControl w:val="0"/>
        <w:ind w:left="720"/>
      </w:pPr>
      <w:r w:rsidRPr="003B4362">
        <w:t xml:space="preserve">Standard Methods Online, Method </w:t>
      </w:r>
      <w:bookmarkStart w:id="4186" w:name="_Hlk3992513"/>
      <w:r w:rsidRPr="003B4362">
        <w:t>9222 G-97</w:t>
      </w:r>
      <w:bookmarkEnd w:id="4186"/>
      <w:r w:rsidRPr="003B4362">
        <w:t xml:space="preserve"> appears in the 20th and 21st editions as Method 9222 G.  </w:t>
      </w:r>
      <w:r w:rsidR="005406D3" w:rsidRPr="003B4362">
        <w:t xml:space="preserve">This appears in this Section </w:t>
      </w:r>
      <w:r w:rsidRPr="003B4362">
        <w:t>as SM 9222 G (97).</w:t>
      </w:r>
    </w:p>
    <w:p w14:paraId="46E17B72" w14:textId="77777777" w:rsidR="00A31B87" w:rsidRDefault="00A31B87" w:rsidP="00A31B87">
      <w:pPr>
        <w:widowControl w:val="0"/>
        <w:ind w:left="720"/>
      </w:pPr>
    </w:p>
    <w:p w14:paraId="2E90BBD1" w14:textId="572BD043" w:rsidR="00F437D9" w:rsidRPr="003B4362" w:rsidRDefault="00F437D9" w:rsidP="00A31B87">
      <w:pPr>
        <w:widowControl w:val="0"/>
        <w:ind w:left="720"/>
      </w:pPr>
      <w:r w:rsidRPr="003B4362">
        <w:t xml:space="preserve">Standard Methods Online, Method </w:t>
      </w:r>
      <w:bookmarkStart w:id="4187" w:name="_Hlk3992529"/>
      <w:r w:rsidRPr="003B4362">
        <w:t>9223 B-97</w:t>
      </w:r>
      <w:bookmarkEnd w:id="4187"/>
      <w:r w:rsidRPr="003B4362">
        <w:t xml:space="preserve"> appears in the 20th and 21st editions as Method 9223 B.  </w:t>
      </w:r>
      <w:r w:rsidR="005406D3" w:rsidRPr="003B4362">
        <w:t xml:space="preserve">This appears in this Section </w:t>
      </w:r>
      <w:r w:rsidRPr="003B4362">
        <w:t>as SM 9223 B (97).</w:t>
      </w:r>
    </w:p>
    <w:p w14:paraId="4C9EDA63" w14:textId="77777777" w:rsidR="00A31B87" w:rsidRDefault="00A31B87" w:rsidP="00A31B87">
      <w:pPr>
        <w:widowControl w:val="0"/>
        <w:ind w:left="720"/>
      </w:pPr>
    </w:p>
    <w:p w14:paraId="01820BC9" w14:textId="5349ADD6" w:rsidR="00F437D9" w:rsidRPr="003B4362" w:rsidRDefault="00F437D9" w:rsidP="00A31B87">
      <w:pPr>
        <w:widowControl w:val="0"/>
        <w:ind w:left="720"/>
      </w:pPr>
      <w:r w:rsidRPr="003B4362">
        <w:t xml:space="preserve">Standard Methods Online, Method </w:t>
      </w:r>
      <w:bookmarkStart w:id="4188" w:name="_Hlk3992542"/>
      <w:r w:rsidRPr="003B4362">
        <w:t>9223 B-04</w:t>
      </w:r>
      <w:bookmarkEnd w:id="4188"/>
      <w:r w:rsidRPr="003B4362">
        <w:t xml:space="preserve"> appears in the 22nd edition as Method 9223 B.  </w:t>
      </w:r>
      <w:r w:rsidR="005406D3" w:rsidRPr="003B4362">
        <w:t xml:space="preserve">This appears in this Section </w:t>
      </w:r>
      <w:r w:rsidRPr="003B4362">
        <w:t>as SM 9223 B (04).</w:t>
      </w:r>
    </w:p>
    <w:p w14:paraId="23D4450C" w14:textId="77777777" w:rsidR="00A31B87" w:rsidRDefault="00A31B87" w:rsidP="00A31B87">
      <w:pPr>
        <w:widowControl w:val="0"/>
        <w:ind w:firstLine="720"/>
      </w:pPr>
    </w:p>
    <w:p w14:paraId="01631655" w14:textId="052CD42C" w:rsidR="00A31B87" w:rsidRDefault="00EB353D" w:rsidP="00A31B87">
      <w:pPr>
        <w:widowControl w:val="0"/>
        <w:ind w:firstLine="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60FB6271" w14:textId="77777777" w:rsidR="00A31B87" w:rsidRDefault="00A31B87" w:rsidP="00A31B87">
      <w:pPr>
        <w:rPr>
          <w:b/>
          <w:bCs/>
        </w:rPr>
      </w:pPr>
    </w:p>
    <w:p w14:paraId="2DDFDBAC" w14:textId="3E83CA79" w:rsidR="00A31B87" w:rsidRPr="00A31B87" w:rsidRDefault="00A31B87" w:rsidP="005F7A96">
      <w:pPr>
        <w:rPr>
          <w:b/>
          <w:bCs/>
        </w:rPr>
      </w:pPr>
      <w:r w:rsidRPr="00A31B87">
        <w:rPr>
          <w:b/>
          <w:bCs/>
        </w:rPr>
        <w:t>Section 611.803  Treatment Technique Requirements for GWS Suppliers</w:t>
      </w:r>
    </w:p>
    <w:p w14:paraId="7F99D99A" w14:textId="77777777" w:rsidR="005F7A96" w:rsidRDefault="005F7A96" w:rsidP="005F7A96">
      <w:pPr>
        <w:ind w:left="1440" w:hanging="720"/>
        <w:rPr>
          <w:szCs w:val="16"/>
        </w:rPr>
      </w:pPr>
    </w:p>
    <w:p w14:paraId="7FFB1146" w14:textId="7B016558" w:rsidR="00A31B87" w:rsidRPr="001A7517" w:rsidRDefault="00A31B87" w:rsidP="005F7A96">
      <w:pPr>
        <w:ind w:left="1440" w:hanging="720"/>
      </w:pPr>
      <w:r w:rsidRPr="001A7517">
        <w:rPr>
          <w:szCs w:val="16"/>
        </w:rPr>
        <w:t>a)</w:t>
      </w:r>
      <w:r w:rsidRPr="001A7517">
        <w:rPr>
          <w:szCs w:val="16"/>
        </w:rPr>
        <w:tab/>
      </w:r>
      <w:r w:rsidRPr="001A7517">
        <w:t>GWS Suppliers with Significant Deficiencies or Source Water Fecal Contamination</w:t>
      </w:r>
    </w:p>
    <w:p w14:paraId="7AF5CD47" w14:textId="77777777" w:rsidR="005F7A96" w:rsidRDefault="005F7A96" w:rsidP="005F7A96">
      <w:pPr>
        <w:ind w:left="2160" w:hanging="720"/>
      </w:pPr>
    </w:p>
    <w:p w14:paraId="5DD2A8AF" w14:textId="4C3DD3DE" w:rsidR="00A31B87" w:rsidRPr="001A7517" w:rsidRDefault="00A31B87" w:rsidP="005F7A96">
      <w:pPr>
        <w:ind w:left="2160" w:hanging="720"/>
      </w:pPr>
      <w:r w:rsidRPr="001A7517">
        <w:t>1)</w:t>
      </w:r>
      <w:r w:rsidRPr="001A7517">
        <w:tab/>
        <w:t>The treatment technique requirements of this Section must be met by GWS suppliers when a significant deficiency is identified or when a groundwater source sample collected under Section 611.802(a)(3) is fecal indicator-positive.</w:t>
      </w:r>
    </w:p>
    <w:p w14:paraId="6977E9CC" w14:textId="77777777" w:rsidR="005F7A96" w:rsidRDefault="005F7A96" w:rsidP="005F7A96">
      <w:pPr>
        <w:ind w:left="2160" w:hanging="720"/>
      </w:pPr>
    </w:p>
    <w:p w14:paraId="759E1DF5" w14:textId="42D110A2" w:rsidR="00A31B87" w:rsidRPr="001A7517" w:rsidRDefault="00A31B87" w:rsidP="005F7A96">
      <w:pPr>
        <w:ind w:left="2160" w:hanging="720"/>
      </w:pPr>
      <w:r w:rsidRPr="001A7517">
        <w:t>2)</w:t>
      </w:r>
      <w:r w:rsidRPr="001A7517">
        <w:tab/>
        <w:t>If directed by the Agency by a SEP, a GWS supplier with a groundwater source sample collected under Section 611.802(a)(2), (a)(4), or (b) that is fecal indicator-positive must comply with the treatment technique requirements of this Section.</w:t>
      </w:r>
    </w:p>
    <w:p w14:paraId="197426E8" w14:textId="77777777" w:rsidR="005F7A96" w:rsidRDefault="005F7A96" w:rsidP="005F7A96">
      <w:pPr>
        <w:ind w:left="2160" w:hanging="720"/>
      </w:pPr>
    </w:p>
    <w:p w14:paraId="4DF03EC8" w14:textId="385113DF" w:rsidR="00A31B87" w:rsidRPr="001A7517" w:rsidRDefault="00A31B87" w:rsidP="005F7A96">
      <w:pPr>
        <w:ind w:left="2160" w:hanging="720"/>
      </w:pPr>
      <w:r w:rsidRPr="001A7517">
        <w:t>3)</w:t>
      </w:r>
      <w:r w:rsidRPr="001A7517">
        <w:tab/>
        <w:t xml:space="preserve">When a significant deficiency is identified at a Subpart B PWS that uses both groundwater and surface water or groundwater under the direct influence of surface water, the system must comply with provisions of this subsection (a) except </w:t>
      </w:r>
      <w:r w:rsidRPr="001A7517">
        <w:rPr>
          <w:spacing w:val="-3"/>
        </w:rPr>
        <w:t xml:space="preserve">if </w:t>
      </w:r>
      <w:r w:rsidRPr="001A7517">
        <w:t>the Agency determines that the significant deficiency is in a portion of the distribution system that is served solely by surface water or groundwater under the direct influence of surface water.</w:t>
      </w:r>
    </w:p>
    <w:p w14:paraId="21E9A042" w14:textId="77777777" w:rsidR="005F7A96" w:rsidRDefault="005F7A96" w:rsidP="005F7A96">
      <w:pPr>
        <w:ind w:left="2160" w:hanging="720"/>
      </w:pPr>
    </w:p>
    <w:p w14:paraId="14A56563" w14:textId="18056468" w:rsidR="00A31B87" w:rsidRPr="001A7517" w:rsidRDefault="00A31B87" w:rsidP="005F7A96">
      <w:pPr>
        <w:ind w:left="2160" w:hanging="720"/>
      </w:pPr>
      <w:r w:rsidRPr="001A7517">
        <w:t>4)</w:t>
      </w:r>
      <w:r w:rsidRPr="001A7517">
        <w:tab/>
        <w:t>Unless the Agency, by a SEP, directs the GWS supplier to implement a specific corrective action, the GWS supplier must consult with the Agency regarding the appropriate corrective action within 30 days after receiving written notice from the Agency of a significant deficiency, written notice from a laboratory that a groundwater source sample collected under Section 611.802(a)(3) was found to be fecal indicator-positive, or direction from the Agency that a fecal indicator-positive collected under Section 611.802(a)(2), (a)(4), or (b) requires corrective action.  For the purposes of this Subpart S, significant deficiencies include defects in design, operation, or maintenance, or a failure or malfunction of the sources, treatment, storage, or distribution system that the Agency determines to be causing, or have potential for causing, the introduction of contamination into the water delivered to consumers.</w:t>
      </w:r>
    </w:p>
    <w:p w14:paraId="48994B52" w14:textId="77777777" w:rsidR="005F7A96" w:rsidRDefault="005F7A96" w:rsidP="005F7A96">
      <w:pPr>
        <w:ind w:left="2160" w:hanging="720"/>
      </w:pPr>
    </w:p>
    <w:p w14:paraId="282F3B91" w14:textId="1AB5B97A" w:rsidR="00A31B87" w:rsidRPr="001A7517" w:rsidRDefault="00A31B87" w:rsidP="005F7A96">
      <w:pPr>
        <w:ind w:left="2160" w:hanging="720"/>
      </w:pPr>
      <w:r w:rsidRPr="001A7517">
        <w:t>5)</w:t>
      </w:r>
      <w:r w:rsidRPr="001A7517">
        <w:tab/>
        <w:t>Within 120 days (or earlier if directed by the Agency) after receiving written notification from the Agency of a significant deficiency, written notice from a laboratory that a groundwater source sample collected under Section 611.802(a)(3) was found to be fecal indicator-positive, or written notice from the Agency that a fecal indicator-positive sample collected under Section 611.802(a)(2), (a)(4), or (b) requires corrective action, the GWS supplier must do either of the following:</w:t>
      </w:r>
    </w:p>
    <w:p w14:paraId="50B4E657" w14:textId="77777777" w:rsidR="005F7A96" w:rsidRDefault="005F7A96" w:rsidP="005F7A96">
      <w:pPr>
        <w:ind w:left="2880" w:hanging="720"/>
      </w:pPr>
    </w:p>
    <w:p w14:paraId="370CF0C9" w14:textId="3BEB6600" w:rsidR="00A31B87" w:rsidRPr="001A7517" w:rsidRDefault="00A31B87" w:rsidP="005F7A96">
      <w:pPr>
        <w:ind w:left="2880" w:hanging="720"/>
      </w:pPr>
      <w:r w:rsidRPr="001A7517">
        <w:t>A)</w:t>
      </w:r>
      <w:r w:rsidRPr="001A7517">
        <w:tab/>
        <w:t>It must have completed corrective action in accordance with any applicable plan review processes adopted by the Agency or with any SEP issued by the Agency, if any, including Agency-specified interim measures; or</w:t>
      </w:r>
    </w:p>
    <w:p w14:paraId="51F109DE" w14:textId="77777777" w:rsidR="005F7A96" w:rsidRDefault="005F7A96" w:rsidP="005F7A96">
      <w:pPr>
        <w:ind w:left="2880" w:hanging="720"/>
      </w:pPr>
    </w:p>
    <w:p w14:paraId="067E10F6" w14:textId="46F5775D" w:rsidR="00A31B87" w:rsidRPr="001A7517" w:rsidRDefault="00A31B87" w:rsidP="005F7A96">
      <w:pPr>
        <w:ind w:left="2880" w:hanging="720"/>
      </w:pPr>
      <w:r w:rsidRPr="001A7517">
        <w:t>B)</w:t>
      </w:r>
      <w:r w:rsidRPr="001A7517">
        <w:tab/>
        <w:t>It must be in compliance with an Agency-approved corrective action plan and schedule, subject to the following conditions:</w:t>
      </w:r>
    </w:p>
    <w:p w14:paraId="571C42D8" w14:textId="77777777" w:rsidR="005F7A96" w:rsidRDefault="005F7A96" w:rsidP="005F7A96">
      <w:pPr>
        <w:ind w:left="3600" w:hanging="720"/>
      </w:pPr>
    </w:p>
    <w:p w14:paraId="2D5D5ADA" w14:textId="271476BF" w:rsidR="00A31B87" w:rsidRPr="001A7517" w:rsidRDefault="00A31B87" w:rsidP="005F7A96">
      <w:pPr>
        <w:ind w:left="3600" w:hanging="720"/>
      </w:pPr>
      <w:r w:rsidRPr="001A7517">
        <w:lastRenderedPageBreak/>
        <w:t>i)</w:t>
      </w:r>
      <w:r w:rsidRPr="001A7517">
        <w:tab/>
        <w:t>Any subsequent modifications to an Agency-approved corrective action plan and schedule must also be approved by the Agency; and</w:t>
      </w:r>
    </w:p>
    <w:p w14:paraId="32F05927" w14:textId="77777777" w:rsidR="005F7A96" w:rsidRDefault="005F7A96" w:rsidP="005F7A96">
      <w:pPr>
        <w:ind w:left="3600" w:hanging="720"/>
      </w:pPr>
    </w:p>
    <w:p w14:paraId="71731A7C" w14:textId="723D40EB" w:rsidR="00A31B87" w:rsidRPr="001A7517" w:rsidRDefault="00A31B87" w:rsidP="005F7A96">
      <w:pPr>
        <w:ind w:left="3600" w:hanging="720"/>
      </w:pPr>
      <w:r w:rsidRPr="001A7517">
        <w:t>ii)</w:t>
      </w:r>
      <w:r w:rsidRPr="001A7517">
        <w:tab/>
        <w:t>If the Agency specifies interim measures for protection of the public health pending Agency approval of the corrective action plan and schedule or pending completion of the corrective action plan, the supplier must comply with those interim measures, as well as with any schedule specified by the Agency.</w:t>
      </w:r>
    </w:p>
    <w:p w14:paraId="0EEDE68E" w14:textId="77777777" w:rsidR="005F7A96" w:rsidRDefault="005F7A96" w:rsidP="005F7A96">
      <w:pPr>
        <w:ind w:left="2160" w:hanging="720"/>
      </w:pPr>
    </w:p>
    <w:p w14:paraId="67CBF736" w14:textId="499908A8" w:rsidR="00A31B87" w:rsidRPr="001A7517" w:rsidRDefault="00A31B87" w:rsidP="005F7A96">
      <w:pPr>
        <w:ind w:left="2160" w:hanging="720"/>
      </w:pPr>
      <w:r w:rsidRPr="001A7517">
        <w:t>6)</w:t>
      </w:r>
      <w:r w:rsidRPr="001A7517">
        <w:tab/>
        <w:t>Corrective Action Alternatives.  A GWS supplier that meets the conditions of subsection (a)(1) or (a)(2) must implement one or more of the following corrective action alternatives:</w:t>
      </w:r>
    </w:p>
    <w:p w14:paraId="7AD8D319" w14:textId="77777777" w:rsidR="005F7A96" w:rsidRDefault="005F7A96" w:rsidP="005F7A96">
      <w:pPr>
        <w:ind w:left="2880" w:hanging="720"/>
      </w:pPr>
    </w:p>
    <w:p w14:paraId="16D7CFAD" w14:textId="57B2A10A" w:rsidR="00A31B87" w:rsidRPr="001A7517" w:rsidRDefault="00A31B87" w:rsidP="005F7A96">
      <w:pPr>
        <w:ind w:left="2880" w:hanging="720"/>
      </w:pPr>
      <w:r w:rsidRPr="001A7517">
        <w:t>A)</w:t>
      </w:r>
      <w:r w:rsidRPr="001A7517">
        <w:tab/>
        <w:t>It must correct all significant deficiencies;</w:t>
      </w:r>
    </w:p>
    <w:p w14:paraId="5F52A9DF" w14:textId="77777777" w:rsidR="005F7A96" w:rsidRDefault="005F7A96" w:rsidP="005F7A96">
      <w:pPr>
        <w:ind w:left="2880" w:hanging="720"/>
      </w:pPr>
    </w:p>
    <w:p w14:paraId="7046D964" w14:textId="6B275772" w:rsidR="00A31B87" w:rsidRPr="001A7517" w:rsidRDefault="00A31B87" w:rsidP="005F7A96">
      <w:pPr>
        <w:ind w:left="2880" w:hanging="720"/>
      </w:pPr>
      <w:r w:rsidRPr="001A7517">
        <w:t>B)</w:t>
      </w:r>
      <w:r w:rsidRPr="001A7517">
        <w:tab/>
        <w:t>It must provide an alternate source of water;</w:t>
      </w:r>
    </w:p>
    <w:p w14:paraId="514984A4" w14:textId="77777777" w:rsidR="005F7A96" w:rsidRDefault="005F7A96" w:rsidP="005F7A96">
      <w:pPr>
        <w:ind w:left="2880" w:hanging="720"/>
      </w:pPr>
    </w:p>
    <w:p w14:paraId="690EBE59" w14:textId="014BBACA" w:rsidR="00A31B87" w:rsidRPr="001A7517" w:rsidRDefault="00A31B87" w:rsidP="005F7A96">
      <w:pPr>
        <w:ind w:left="2880" w:hanging="720"/>
      </w:pPr>
      <w:r w:rsidRPr="001A7517">
        <w:t>C)</w:t>
      </w:r>
      <w:r w:rsidRPr="001A7517">
        <w:tab/>
        <w:t>It must eliminate the source of contamination; or</w:t>
      </w:r>
    </w:p>
    <w:p w14:paraId="1966B626" w14:textId="77777777" w:rsidR="005F7A96" w:rsidRDefault="005F7A96" w:rsidP="005F7A96">
      <w:pPr>
        <w:ind w:left="2880" w:hanging="720"/>
      </w:pPr>
    </w:p>
    <w:p w14:paraId="75A94142" w14:textId="0C725655" w:rsidR="00A31B87" w:rsidRPr="001A7517" w:rsidRDefault="00A31B87" w:rsidP="005F7A96">
      <w:pPr>
        <w:ind w:left="2880" w:hanging="720"/>
      </w:pPr>
      <w:r w:rsidRPr="001A7517">
        <w:t>D)</w:t>
      </w:r>
      <w:r w:rsidRPr="001A7517">
        <w:tab/>
        <w:t>It must provide treatment that reliably achieves at least 4-log treatment of viruses (using inactivation, removal, or an Agency-approved combination of 4-log virus inactivation and removal) before or at the first customer for the groundwater source.</w:t>
      </w:r>
    </w:p>
    <w:p w14:paraId="3FACA5F4" w14:textId="77777777" w:rsidR="005F7A96" w:rsidRDefault="005F7A96" w:rsidP="005F7A96">
      <w:pPr>
        <w:ind w:left="2160" w:hanging="720"/>
      </w:pPr>
    </w:p>
    <w:p w14:paraId="79397483" w14:textId="14669D49" w:rsidR="00A31B87" w:rsidRPr="001A7517" w:rsidRDefault="00A31B87" w:rsidP="005F7A96">
      <w:pPr>
        <w:ind w:left="2160" w:hanging="720"/>
      </w:pPr>
      <w:r w:rsidRPr="001A7517">
        <w:t>7)</w:t>
      </w:r>
      <w:r w:rsidRPr="001A7517">
        <w:tab/>
        <w:t>Special Notice to the Public of Significant Deficiencies or Source Water Fecal Contamination</w:t>
      </w:r>
    </w:p>
    <w:p w14:paraId="5F86C25D" w14:textId="77777777" w:rsidR="005F7A96" w:rsidRDefault="005F7A96" w:rsidP="005F7A96">
      <w:pPr>
        <w:ind w:left="2880" w:hanging="720"/>
      </w:pPr>
    </w:p>
    <w:p w14:paraId="2C37C964" w14:textId="5D675077" w:rsidR="00A31B87" w:rsidRPr="001A7517" w:rsidRDefault="00A31B87" w:rsidP="005F7A96">
      <w:pPr>
        <w:ind w:left="2880" w:hanging="720"/>
      </w:pPr>
      <w:r w:rsidRPr="001A7517">
        <w:t>A)</w:t>
      </w:r>
      <w:r w:rsidRPr="001A7517">
        <w:tab/>
        <w:t>In addition to the applicable public notification requirements of Section 611.902, a community GWS supplier that receives notice from the Agency of a significant deficiency or notification of a fecal indicator-positive groundwater source sample that is not invalidated by the Agency under Section 611.802(d) must inform the public served by the water system under Section 611.883(h)(6) of the fecal indicator-positive source sample or of any significant deficiency that has not been corrected.  The supplier must continue to inform the public annually until the significant deficiency is corrected or the fecal contamination in the groundwater source is determined by the Agency to be corrected under subsection (a)(5).</w:t>
      </w:r>
    </w:p>
    <w:p w14:paraId="2E390F32" w14:textId="77777777" w:rsidR="005F7A96" w:rsidRDefault="005F7A96" w:rsidP="005F7A96">
      <w:pPr>
        <w:ind w:left="2880" w:hanging="720"/>
      </w:pPr>
    </w:p>
    <w:p w14:paraId="7335C848" w14:textId="4FDB6185" w:rsidR="00A31B87" w:rsidRPr="001A7517" w:rsidRDefault="00A31B87" w:rsidP="005F7A96">
      <w:pPr>
        <w:ind w:left="2880" w:hanging="720"/>
      </w:pPr>
      <w:r w:rsidRPr="001A7517">
        <w:t>B)</w:t>
      </w:r>
      <w:r w:rsidRPr="001A7517">
        <w:tab/>
        <w:t xml:space="preserve">In addition to the applicable public notification requirements of Section 611.902, a non-community GWS supplier that receives notice from the Agency of a significant deficiency must inform the public served by the water system in a manner approved by the </w:t>
      </w:r>
      <w:r w:rsidRPr="001A7517">
        <w:lastRenderedPageBreak/>
        <w:t>Agency of any significant deficiency that has not been corrected within 12 months after being notified by the Agency, or earlier if directed by the Agency.  The supplier must continue to inform the public annually until the significant deficiency is corrected.  The information must include the following information:</w:t>
      </w:r>
    </w:p>
    <w:p w14:paraId="131B8EA2" w14:textId="77777777" w:rsidR="005F7A96" w:rsidRDefault="005F7A96" w:rsidP="005F7A96">
      <w:pPr>
        <w:ind w:left="3600" w:hanging="720"/>
      </w:pPr>
    </w:p>
    <w:p w14:paraId="715172E1" w14:textId="5E08CFDF" w:rsidR="00A31B87" w:rsidRPr="001A7517" w:rsidRDefault="00A31B87" w:rsidP="005F7A96">
      <w:pPr>
        <w:ind w:left="3600" w:hanging="720"/>
      </w:pPr>
      <w:r w:rsidRPr="001A7517">
        <w:t>i)</w:t>
      </w:r>
      <w:r w:rsidRPr="001A7517">
        <w:tab/>
        <w:t>The nature of the significant deficiency and the date the significant deficiency was identified by the Agency;</w:t>
      </w:r>
    </w:p>
    <w:p w14:paraId="3F2557CD" w14:textId="77777777" w:rsidR="005F7A96" w:rsidRDefault="005F7A96" w:rsidP="005F7A96">
      <w:pPr>
        <w:ind w:left="3600" w:hanging="720"/>
      </w:pPr>
    </w:p>
    <w:p w14:paraId="5CB12456" w14:textId="233B908E" w:rsidR="00A31B87" w:rsidRPr="001A7517" w:rsidRDefault="00A31B87" w:rsidP="005F7A96">
      <w:pPr>
        <w:ind w:left="3600" w:hanging="720"/>
      </w:pPr>
      <w:r w:rsidRPr="001A7517">
        <w:t>ii)</w:t>
      </w:r>
      <w:r w:rsidRPr="001A7517">
        <w:tab/>
        <w:t>The Agency-approved plan and schedule for correction of the significant deficiency, including interim measures, progress to date, and any interim measures completed; and</w:t>
      </w:r>
    </w:p>
    <w:p w14:paraId="7E399DD8" w14:textId="77777777" w:rsidR="005F7A96" w:rsidRDefault="005F7A96" w:rsidP="005F7A96">
      <w:pPr>
        <w:ind w:left="3600" w:hanging="720"/>
      </w:pPr>
    </w:p>
    <w:p w14:paraId="12CBE82A" w14:textId="16A62080" w:rsidR="00A31B87" w:rsidRPr="001A7517" w:rsidRDefault="00A31B87" w:rsidP="005F7A96">
      <w:pPr>
        <w:ind w:left="3600" w:hanging="720"/>
      </w:pPr>
      <w:r w:rsidRPr="001A7517">
        <w:t>iii)</w:t>
      </w:r>
      <w:r w:rsidRPr="001A7517">
        <w:tab/>
        <w:t>For a supplier with a large proportion of non-English speaking consumers, as determined by the Agency, information in the appropriate languages regarding the importance of the notice or a telephone number or address where consumers may contact the system to obtain a translated copy of the notice or assistance in the appropriate language.</w:t>
      </w:r>
    </w:p>
    <w:p w14:paraId="7FC90BA3" w14:textId="77777777" w:rsidR="005F7A96" w:rsidRDefault="005F7A96" w:rsidP="005F7A96">
      <w:pPr>
        <w:ind w:left="2880" w:hanging="720"/>
      </w:pPr>
    </w:p>
    <w:p w14:paraId="33963C78" w14:textId="03697563" w:rsidR="00A31B87" w:rsidRPr="001A7517" w:rsidRDefault="00A31B87" w:rsidP="005F7A96">
      <w:pPr>
        <w:ind w:left="2880" w:hanging="720"/>
      </w:pPr>
      <w:r w:rsidRPr="001A7517">
        <w:t>C)</w:t>
      </w:r>
      <w:r w:rsidRPr="001A7517">
        <w:tab/>
        <w:t>If directed by the Agency, a non-CWS supplier with significant deficiencies that have been corrected must inform its customers of the significant deficiencies, how the deficiencies were corrected, and the dates of correction under subsection (a)(7)(B).</w:t>
      </w:r>
    </w:p>
    <w:p w14:paraId="7B18CAFE" w14:textId="77777777" w:rsidR="005F7A96" w:rsidRDefault="005F7A96" w:rsidP="005F7A96">
      <w:pPr>
        <w:ind w:left="1440" w:hanging="720"/>
      </w:pPr>
    </w:p>
    <w:p w14:paraId="259A9DB0" w14:textId="5ED060A7" w:rsidR="00A31B87" w:rsidRPr="001A7517" w:rsidRDefault="00A31B87" w:rsidP="005F7A96">
      <w:pPr>
        <w:ind w:left="1440" w:hanging="720"/>
      </w:pPr>
      <w:r w:rsidRPr="001A7517">
        <w:t>b)</w:t>
      </w:r>
      <w:r w:rsidRPr="001A7517">
        <w:tab/>
        <w:t>Compliance Monitoring</w:t>
      </w:r>
    </w:p>
    <w:p w14:paraId="3BE395CA" w14:textId="77777777" w:rsidR="005F7A96" w:rsidRDefault="005F7A96" w:rsidP="005F7A96">
      <w:pPr>
        <w:ind w:left="2160" w:hanging="720"/>
      </w:pPr>
    </w:p>
    <w:p w14:paraId="37A03777" w14:textId="01307ACC" w:rsidR="00A31B87" w:rsidRPr="001A7517" w:rsidRDefault="00A31B87" w:rsidP="005F7A96">
      <w:pPr>
        <w:ind w:left="2160" w:hanging="720"/>
      </w:pPr>
      <w:r w:rsidRPr="001A7517">
        <w:t>1)</w:t>
      </w:r>
      <w:r w:rsidRPr="001A7517">
        <w:tab/>
        <w:t>Existing Groundwater Sources.  A GWS supplier that is not required by Section 611.802(a)(1) to meet the source water monitoring requirements of this Subpart S for any groundwater source must notify the Agency in writing that it provides at least 4-log treatment of viruses (using inactivation, removal, or an Agency-approved combination of 4-log virus inactivation and removal) before or at the first customer for the specified groundwater source and begin compliance monitoring in accordance with subsection (b)(3).  Notification to the Agency must include engineering, operational, or other information that the Agency requests to evaluate the submission.  If the supplier subsequently discontinues 4-log treatment of viruses (using inactivation, removal, or an Agency-approved combination of 4-log virus inactivation and removal) before or at the first customer for a groundwater source, the supplier must conduct groundwater source monitoring, as required under Section 611.802.</w:t>
      </w:r>
    </w:p>
    <w:p w14:paraId="12C06DBD" w14:textId="77777777" w:rsidR="005F7A96" w:rsidRDefault="005F7A96" w:rsidP="005F7A96">
      <w:pPr>
        <w:ind w:left="2160" w:hanging="720"/>
      </w:pPr>
    </w:p>
    <w:p w14:paraId="187C917F" w14:textId="24F62A45" w:rsidR="00A31B87" w:rsidRPr="001A7517" w:rsidRDefault="00A31B87" w:rsidP="005F7A96">
      <w:pPr>
        <w:ind w:left="2160" w:hanging="720"/>
      </w:pPr>
      <w:r w:rsidRPr="001A7517">
        <w:t>2)</w:t>
      </w:r>
      <w:r w:rsidRPr="001A7517">
        <w:tab/>
        <w:t xml:space="preserve">New Groundwater Sources.  A GWS supplier that places a groundwater source in service that is not required by Section 611.802(a)(1) to meet the </w:t>
      </w:r>
      <w:r w:rsidRPr="001A7517">
        <w:lastRenderedPageBreak/>
        <w:t>source water monitoring requirements of this Subpart S must comply with the requirements of subsections (b)(2)(A), (b)(2)(B), and (b)(2)(C).</w:t>
      </w:r>
    </w:p>
    <w:p w14:paraId="2DE18293" w14:textId="77777777" w:rsidR="005F7A96" w:rsidRDefault="005F7A96" w:rsidP="005F7A96">
      <w:pPr>
        <w:ind w:left="2880" w:hanging="720"/>
      </w:pPr>
    </w:p>
    <w:p w14:paraId="7DE670A0" w14:textId="7B3EA8E0" w:rsidR="00A31B87" w:rsidRPr="001A7517" w:rsidRDefault="00A31B87" w:rsidP="005F7A96">
      <w:pPr>
        <w:ind w:left="2880" w:hanging="720"/>
      </w:pPr>
      <w:r w:rsidRPr="001A7517">
        <w:t>A)</w:t>
      </w:r>
      <w:r w:rsidRPr="001A7517">
        <w:tab/>
        <w:t>The supplier must notify the Agency in writing that it provides at least 4-log treatment of viruses (using inactivation, removal, or an Agency-approved combination of 4-log virus inactivation and removal) before or at the first customer for the groundwater source.  Notification to the Agency must include engineering, operational, or other information that the Agency requests by a SEP to evaluate the submission.</w:t>
      </w:r>
    </w:p>
    <w:p w14:paraId="255369A5" w14:textId="77777777" w:rsidR="005F7A96" w:rsidRDefault="005F7A96" w:rsidP="005F7A96">
      <w:pPr>
        <w:ind w:left="2880" w:hanging="720"/>
      </w:pPr>
    </w:p>
    <w:p w14:paraId="0C7BB2DF" w14:textId="3F5B1C24" w:rsidR="00A31B87" w:rsidRPr="001A7517" w:rsidRDefault="00A31B87" w:rsidP="005F7A96">
      <w:pPr>
        <w:ind w:left="2880" w:hanging="720"/>
      </w:pPr>
      <w:r w:rsidRPr="001A7517">
        <w:t>B)</w:t>
      </w:r>
      <w:r w:rsidRPr="001A7517">
        <w:tab/>
        <w:t>The supplier must conduct compliance monitoring, as required under Section 611.803(b)(3), within 30 days after placing the source in service.</w:t>
      </w:r>
    </w:p>
    <w:p w14:paraId="43EAF63F" w14:textId="77777777" w:rsidR="005F7A96" w:rsidRDefault="005F7A96" w:rsidP="005F7A96">
      <w:pPr>
        <w:ind w:left="2880" w:hanging="720"/>
      </w:pPr>
    </w:p>
    <w:p w14:paraId="0089DB86" w14:textId="0C08AD3F" w:rsidR="00A31B87" w:rsidRPr="001A7517" w:rsidRDefault="00A31B87" w:rsidP="005F7A96">
      <w:pPr>
        <w:ind w:left="2880" w:hanging="720"/>
      </w:pPr>
      <w:r w:rsidRPr="001A7517">
        <w:t>C)</w:t>
      </w:r>
      <w:r w:rsidRPr="001A7517">
        <w:tab/>
        <w:t>The supplier must conduct groundwater source monitoring under Section 611.802 if it subsequently discontinues 4-log treatment of viruses (using inactivation, removal, or an Agency-approved combination of 4-log virus inactivation and removal) before or at the first customer for the groundwater source.</w:t>
      </w:r>
    </w:p>
    <w:p w14:paraId="13A4D849" w14:textId="77777777" w:rsidR="005F7A96" w:rsidRDefault="005F7A96" w:rsidP="005F7A96">
      <w:pPr>
        <w:ind w:left="2160" w:hanging="720"/>
      </w:pPr>
    </w:p>
    <w:p w14:paraId="43B7543C" w14:textId="27F596BF" w:rsidR="00A31B87" w:rsidRPr="001A7517" w:rsidRDefault="00A31B87" w:rsidP="005F7A96">
      <w:pPr>
        <w:ind w:left="2160" w:hanging="720"/>
      </w:pPr>
      <w:r w:rsidRPr="001A7517">
        <w:t>3)</w:t>
      </w:r>
      <w:r w:rsidRPr="001A7517">
        <w:tab/>
        <w:t>Monitoring Requirements.  A GWS supplier subject to the requirements of subsection (a), (b)(1), or (b)(2) must monitor the effectiveness and reliability of treatment for that groundwater source before or at the first customer as follows:</w:t>
      </w:r>
    </w:p>
    <w:p w14:paraId="3B8DA692" w14:textId="77777777" w:rsidR="005F7A96" w:rsidRDefault="005F7A96" w:rsidP="005F7A96">
      <w:pPr>
        <w:ind w:left="2880" w:hanging="720"/>
      </w:pPr>
    </w:p>
    <w:p w14:paraId="6B27503F" w14:textId="360A1328" w:rsidR="00A31B87" w:rsidRPr="001A7517" w:rsidRDefault="00A31B87" w:rsidP="005F7A96">
      <w:pPr>
        <w:ind w:left="2880" w:hanging="720"/>
      </w:pPr>
      <w:r w:rsidRPr="001A7517">
        <w:t>A)</w:t>
      </w:r>
      <w:r w:rsidRPr="001A7517">
        <w:tab/>
        <w:t>Chemical Disinfection</w:t>
      </w:r>
    </w:p>
    <w:p w14:paraId="4C3F07A7" w14:textId="77777777" w:rsidR="005F7A96" w:rsidRDefault="005F7A96" w:rsidP="005F7A96">
      <w:pPr>
        <w:ind w:left="3600" w:hanging="720"/>
      </w:pPr>
    </w:p>
    <w:p w14:paraId="5E3E6D02" w14:textId="443BFBFE" w:rsidR="00A31B87" w:rsidRPr="001A7517" w:rsidRDefault="00A31B87" w:rsidP="005F7A96">
      <w:pPr>
        <w:ind w:left="3600" w:hanging="720"/>
      </w:pPr>
      <w:r w:rsidRPr="001A7517">
        <w:t>i)</w:t>
      </w:r>
      <w:r w:rsidRPr="001A7517">
        <w:tab/>
        <w:t>GWS Suppliers Serving More Than 3,300 People.  A GWS supplier that serves more than 3,300 people must continuously monitor the residual disinfectant concentration using analytical methods specified in Section 611.531(b) at a location approved by the Agency and must record the lowest residual disinfectant concentration each day that water from the groundwater source is served to the public.  The GWS supplier must maintain the Agency-approved residual disinfectant concentration every day it serves water from the groundwater source to the public.  If there is a failure in the continuous monitoring equipment, the GWS supplier must conduct grab sampling every four hours until the continuous monitoring equipment is returned to service.  The supplier must resume continuous residual disinfectant monitoring within 14 days.</w:t>
      </w:r>
    </w:p>
    <w:p w14:paraId="38764D1F" w14:textId="77777777" w:rsidR="005F7A96" w:rsidRDefault="005F7A96" w:rsidP="005F7A96">
      <w:pPr>
        <w:ind w:left="3600" w:hanging="720"/>
      </w:pPr>
    </w:p>
    <w:p w14:paraId="1BE8C3C4" w14:textId="29157D57" w:rsidR="00A31B87" w:rsidRPr="001A7517" w:rsidRDefault="00A31B87" w:rsidP="005F7A96">
      <w:pPr>
        <w:ind w:left="3600" w:hanging="720"/>
      </w:pPr>
      <w:r w:rsidRPr="001A7517">
        <w:lastRenderedPageBreak/>
        <w:t>ii)</w:t>
      </w:r>
      <w:r w:rsidRPr="001A7517">
        <w:tab/>
        <w:t>GWS Suppliers Serving 3,300 or Fewer People.  A GWS supplier that serves 3,300 or fewer people must monitor the residual disinfectant concentration using analytical methods specified in Section 611.531(b) at a location approved by the Agency and record the residual disinfection concentration each day that water from the groundwater source is served to the public.  The GWS supplier must determine and maintain the Agency-approved residual disinfectant concentration every day that it serves water from the groundwater source to the public.  The GWS supplier must take a daily grab sample during the hour of peak flow or at another time specified by the Agency.  If any daily grab sample measurement falls below the Agency-approved residual disinfectant concentration, the GWS supplier must take follow-up samples every four hours until the residual disinfectant concentration is restored to the Agency-approved level.  Alternatively, a GWS supplier that serves 3,300 or fewer people may monitor continuously and meet the requirements of subsection (b)(3)(A)(i).</w:t>
      </w:r>
    </w:p>
    <w:p w14:paraId="24AE7566" w14:textId="77777777" w:rsidR="005F7A96" w:rsidRDefault="005F7A96" w:rsidP="005F7A96">
      <w:pPr>
        <w:ind w:left="2880" w:hanging="720"/>
      </w:pPr>
    </w:p>
    <w:p w14:paraId="4BAAE81B" w14:textId="2D7961EC" w:rsidR="00A31B87" w:rsidRPr="001A7517" w:rsidRDefault="00A31B87" w:rsidP="005F7A96">
      <w:pPr>
        <w:ind w:left="2880" w:hanging="720"/>
      </w:pPr>
      <w:r w:rsidRPr="001A7517">
        <w:t>B)</w:t>
      </w:r>
      <w:r w:rsidRPr="001A7517">
        <w:tab/>
        <w:t>Membrane Filtration.  A GWS supplier that uses membrane filtration to meet the requirements of this Subpart S must monitor the membrane filtration process in accordance with all Agency-specified monitoring requirements and must operate the membrane filtration in accordance with all Agency-specified compliance requirements.  A GWS supplier that uses membrane filtration is in compliance with the requirement to achieve at least 4-log removal of viruses when it fulfills the following conditions:</w:t>
      </w:r>
    </w:p>
    <w:p w14:paraId="04922818" w14:textId="77777777" w:rsidR="005F7A96" w:rsidRDefault="005F7A96" w:rsidP="005F7A96">
      <w:pPr>
        <w:ind w:left="3600" w:hanging="720"/>
      </w:pPr>
    </w:p>
    <w:p w14:paraId="76972C98" w14:textId="53DA9BA7" w:rsidR="00A31B87" w:rsidRPr="001A7517" w:rsidRDefault="00A31B87" w:rsidP="005F7A96">
      <w:pPr>
        <w:ind w:left="3600" w:hanging="720"/>
      </w:pPr>
      <w:r w:rsidRPr="001A7517">
        <w:t>i)</w:t>
      </w:r>
      <w:r w:rsidRPr="001A7517">
        <w:tab/>
        <w:t>The membrane has an absolute molecular weight cut-off, or an alternative parameter that describes the exclusion characteristics of the membrane, that can reliably achieve at least 4-log removal of viruses;</w:t>
      </w:r>
    </w:p>
    <w:p w14:paraId="3071E0C5" w14:textId="77777777" w:rsidR="005F7A96" w:rsidRDefault="005F7A96" w:rsidP="005F7A96">
      <w:pPr>
        <w:ind w:left="3600" w:hanging="720"/>
      </w:pPr>
    </w:p>
    <w:p w14:paraId="2096CCCA" w14:textId="7618CCB3" w:rsidR="00A31B87" w:rsidRPr="001A7517" w:rsidRDefault="00A31B87" w:rsidP="005F7A96">
      <w:pPr>
        <w:ind w:left="3600" w:hanging="720"/>
      </w:pPr>
      <w:r w:rsidRPr="001A7517">
        <w:t>ii)</w:t>
      </w:r>
      <w:r w:rsidRPr="001A7517">
        <w:tab/>
        <w:t>The membrane process is operated in accordance with Agency-specified compliance requirements; and</w:t>
      </w:r>
    </w:p>
    <w:p w14:paraId="7DDCDC0A" w14:textId="77777777" w:rsidR="005F7A96" w:rsidRDefault="005F7A96" w:rsidP="005F7A96">
      <w:pPr>
        <w:ind w:left="3600" w:hanging="720"/>
      </w:pPr>
    </w:p>
    <w:p w14:paraId="543B27BD" w14:textId="1BC8B538" w:rsidR="00A31B87" w:rsidRPr="001A7517" w:rsidRDefault="00A31B87" w:rsidP="005F7A96">
      <w:pPr>
        <w:ind w:left="3600" w:hanging="720"/>
      </w:pPr>
      <w:r w:rsidRPr="001A7517">
        <w:t>iii)</w:t>
      </w:r>
      <w:r w:rsidRPr="001A7517">
        <w:tab/>
        <w:t>The integrity of the membrane is intact.</w:t>
      </w:r>
    </w:p>
    <w:p w14:paraId="18CF9D22" w14:textId="77777777" w:rsidR="005F7A96" w:rsidRDefault="005F7A96" w:rsidP="005F7A96">
      <w:pPr>
        <w:ind w:left="2880" w:hanging="720"/>
      </w:pPr>
    </w:p>
    <w:p w14:paraId="7C706D00" w14:textId="1CF25C67" w:rsidR="00A31B87" w:rsidRPr="001A7517" w:rsidRDefault="00A31B87" w:rsidP="005F7A96">
      <w:pPr>
        <w:ind w:left="2880" w:hanging="720"/>
      </w:pPr>
      <w:r w:rsidRPr="001A7517">
        <w:t>C)</w:t>
      </w:r>
      <w:r w:rsidRPr="001A7517">
        <w:tab/>
        <w:t>Alternative Treatment.  A GWS supplier that uses an Agency-approved alternative treatment to meet the requirements of this Subpart S by providing at least 4-log treatment of viruses (using inactivation, removal, or an Agency-approved combination of 4-</w:t>
      </w:r>
      <w:r w:rsidRPr="001A7517">
        <w:lastRenderedPageBreak/>
        <w:t>log virus inactivation and removal) before or at the first customer must do both of the following:</w:t>
      </w:r>
    </w:p>
    <w:p w14:paraId="7B6866E6" w14:textId="77777777" w:rsidR="005F7A96" w:rsidRDefault="005F7A96" w:rsidP="005F7A96">
      <w:pPr>
        <w:ind w:left="3600" w:hanging="720"/>
      </w:pPr>
    </w:p>
    <w:p w14:paraId="0012960F" w14:textId="6FCBE04A" w:rsidR="00A31B87" w:rsidRPr="001A7517" w:rsidRDefault="00A31B87" w:rsidP="005F7A96">
      <w:pPr>
        <w:ind w:left="3600" w:hanging="720"/>
      </w:pPr>
      <w:r w:rsidRPr="001A7517">
        <w:t>i)</w:t>
      </w:r>
      <w:r w:rsidRPr="001A7517">
        <w:tab/>
        <w:t>It must monitor the alternative treatment in accordance with all Agency-specified monitoring requirements; and</w:t>
      </w:r>
    </w:p>
    <w:p w14:paraId="16C8D2B6" w14:textId="77777777" w:rsidR="005F7A96" w:rsidRDefault="005F7A96" w:rsidP="005F7A96">
      <w:pPr>
        <w:ind w:left="3600" w:hanging="720"/>
      </w:pPr>
    </w:p>
    <w:p w14:paraId="64137711" w14:textId="6F4074AC" w:rsidR="00A31B87" w:rsidRPr="001A7517" w:rsidRDefault="00A31B87" w:rsidP="005F7A96">
      <w:pPr>
        <w:ind w:left="3600" w:hanging="720"/>
      </w:pPr>
      <w:r w:rsidRPr="001A7517">
        <w:t>ii)</w:t>
      </w:r>
      <w:r w:rsidRPr="001A7517">
        <w:tab/>
        <w:t>It must operate the alternative treatment in accordance with all operational requirements determined by the supplier that the Agency has approved as necessary to achieve at least 4-log treatment of viruses.</w:t>
      </w:r>
    </w:p>
    <w:p w14:paraId="402743EC" w14:textId="77777777" w:rsidR="005F7A96" w:rsidRDefault="005F7A96" w:rsidP="005F7A96">
      <w:pPr>
        <w:ind w:left="1440" w:hanging="720"/>
      </w:pPr>
    </w:p>
    <w:p w14:paraId="59CBBB2A" w14:textId="31485D12" w:rsidR="00A31B87" w:rsidRPr="001A7517" w:rsidRDefault="00A31B87" w:rsidP="005F7A96">
      <w:pPr>
        <w:ind w:left="1440" w:hanging="720"/>
      </w:pPr>
      <w:r w:rsidRPr="001A7517">
        <w:t>c)</w:t>
      </w:r>
      <w:r w:rsidRPr="001A7517">
        <w:tab/>
        <w:t>Discontinuing Treatment.  A GWS supplier may discontinue 4-log treatment of viruses (using inactivation, removal, or an Agency-approved combination of 4-log virus inactivation and removal) before or at the first customer for a groundwater source if the supplier determines and documents and the Agency approves in writing that 4-log treatment of viruses is no longer necessary for that groundwater source. A system that discontinues 4-log treatment of viruses is subject to the source water monitoring and analytical methods requirements of Section 611.802 of this Subpart S.</w:t>
      </w:r>
    </w:p>
    <w:p w14:paraId="7907D282" w14:textId="77777777" w:rsidR="005F7A96" w:rsidRDefault="005F7A96" w:rsidP="005F7A96">
      <w:pPr>
        <w:ind w:left="1440" w:hanging="720"/>
      </w:pPr>
    </w:p>
    <w:p w14:paraId="77D828A0" w14:textId="3D657A0B" w:rsidR="00A31B87" w:rsidRPr="001A7517" w:rsidRDefault="00A31B87" w:rsidP="005F7A96">
      <w:pPr>
        <w:ind w:left="1440" w:hanging="720"/>
      </w:pPr>
      <w:r w:rsidRPr="001A7517">
        <w:t>d)</w:t>
      </w:r>
      <w:r w:rsidRPr="001A7517">
        <w:tab/>
        <w:t>A failure to meet the monitoring requirements of subsection (b) is a monitoring violation and requires the GWS supplier to provide public notification under Section 611.904.</w:t>
      </w:r>
    </w:p>
    <w:p w14:paraId="400704FD" w14:textId="77777777" w:rsidR="005F7A96" w:rsidRDefault="005F7A96" w:rsidP="005F7A96"/>
    <w:p w14:paraId="3A9B7152" w14:textId="3C23AF40" w:rsidR="00A31B87" w:rsidRPr="001A7517" w:rsidRDefault="00A31B87" w:rsidP="005F7A96">
      <w:r w:rsidRPr="001A7517">
        <w:t>BOARD NOTE:  Derived from 40 CFR 141.403.</w:t>
      </w:r>
    </w:p>
    <w:p w14:paraId="74D1B49E" w14:textId="77777777" w:rsidR="005F7A96" w:rsidRDefault="005F7A96" w:rsidP="005F7A96">
      <w:pPr>
        <w:suppressAutoHyphens/>
        <w:ind w:left="720"/>
      </w:pPr>
    </w:p>
    <w:p w14:paraId="78571F8B" w14:textId="36B5312B" w:rsidR="00A31B87" w:rsidRDefault="00A31B87" w:rsidP="005F7A96">
      <w:pPr>
        <w:suppressAutoHyphens/>
        <w:ind w:left="720"/>
      </w:pPr>
      <w:r w:rsidRPr="001A7517">
        <w:t>(Source:  A</w:t>
      </w:r>
      <w:r w:rsidRPr="001A7517">
        <w:rPr>
          <w:szCs w:val="17"/>
        </w:rPr>
        <w:t xml:space="preserve">mended at </w:t>
      </w:r>
      <w:r w:rsidRPr="001A7517">
        <w:t>44 Ill. Reg. 6996, effective April 17, 2020)</w:t>
      </w:r>
    </w:p>
    <w:p w14:paraId="602C0C18" w14:textId="77777777" w:rsidR="005F7A96" w:rsidRPr="001A7517" w:rsidRDefault="005F7A96" w:rsidP="005F7A96">
      <w:pPr>
        <w:suppressAutoHyphens/>
        <w:ind w:left="720"/>
      </w:pPr>
    </w:p>
    <w:p w14:paraId="4161FFA6" w14:textId="2BC0705B" w:rsidR="00A31B87" w:rsidRDefault="00A31B87" w:rsidP="005F7A96">
      <w:pPr>
        <w:rPr>
          <w:b/>
          <w:bCs/>
        </w:rPr>
      </w:pPr>
      <w:r w:rsidRPr="005F7A96">
        <w:rPr>
          <w:b/>
          <w:bCs/>
        </w:rPr>
        <w:t>Section 611.804  Treatment Technique Violations for GWS Suppliers</w:t>
      </w:r>
    </w:p>
    <w:p w14:paraId="10A31646" w14:textId="77777777" w:rsidR="005F7A96" w:rsidRPr="005F7A96" w:rsidRDefault="005F7A96" w:rsidP="005F7A96">
      <w:pPr>
        <w:rPr>
          <w:b/>
          <w:bCs/>
        </w:rPr>
      </w:pPr>
    </w:p>
    <w:p w14:paraId="6799495C" w14:textId="77777777" w:rsidR="00A31B87" w:rsidRPr="001A7517" w:rsidRDefault="00A31B87" w:rsidP="005F7A96">
      <w:pPr>
        <w:ind w:left="1440" w:hanging="720"/>
      </w:pPr>
      <w:r w:rsidRPr="001A7517">
        <w:rPr>
          <w:szCs w:val="16"/>
        </w:rPr>
        <w:t>a)</w:t>
      </w:r>
      <w:r w:rsidRPr="001A7517">
        <w:rPr>
          <w:szCs w:val="16"/>
        </w:rPr>
        <w:tab/>
      </w:r>
      <w:r w:rsidRPr="001A7517">
        <w:t>A GWS supplier with a significant deficiency is in violation of the treatment technique requirement if, within 120 days (or earlier if directed by the Agency by a SEP) after receiving written notice from the Agency of the significant deficiency, the system does not do either of the following:</w:t>
      </w:r>
    </w:p>
    <w:p w14:paraId="44A1B07B" w14:textId="77777777" w:rsidR="005F7A96" w:rsidRDefault="005F7A96" w:rsidP="005F7A96">
      <w:pPr>
        <w:ind w:left="2160" w:hanging="720"/>
      </w:pPr>
    </w:p>
    <w:p w14:paraId="7EA04840" w14:textId="5B9A2C48" w:rsidR="00A31B87" w:rsidRPr="001A7517" w:rsidRDefault="00A31B87" w:rsidP="005F7A96">
      <w:pPr>
        <w:ind w:left="2160" w:hanging="720"/>
      </w:pPr>
      <w:r w:rsidRPr="001A7517">
        <w:t>1)</w:t>
      </w:r>
      <w:r w:rsidRPr="001A7517">
        <w:tab/>
        <w:t>It does not complete corrective action in accordance with any applicable Agency plan review processes or other Agency guidance and direction, including Agency specified interim actions and measures; or</w:t>
      </w:r>
    </w:p>
    <w:p w14:paraId="2A9E6F09" w14:textId="77777777" w:rsidR="005F7A96" w:rsidRDefault="005F7A96" w:rsidP="005F7A96">
      <w:pPr>
        <w:ind w:left="2160" w:hanging="720"/>
      </w:pPr>
    </w:p>
    <w:p w14:paraId="6600CCCA" w14:textId="09FC2EDC" w:rsidR="00A31B87" w:rsidRPr="001A7517" w:rsidRDefault="00A31B87" w:rsidP="005F7A96">
      <w:pPr>
        <w:ind w:left="2160" w:hanging="720"/>
      </w:pPr>
      <w:r w:rsidRPr="001A7517">
        <w:t>2)</w:t>
      </w:r>
      <w:r w:rsidRPr="001A7517">
        <w:tab/>
        <w:t>It is not in compliance with an Agency-approved corrective action plan and schedule.</w:t>
      </w:r>
    </w:p>
    <w:p w14:paraId="49409C0F" w14:textId="77777777" w:rsidR="005F7A96" w:rsidRDefault="005F7A96" w:rsidP="005F7A96">
      <w:pPr>
        <w:ind w:left="1440" w:hanging="720"/>
      </w:pPr>
    </w:p>
    <w:p w14:paraId="47BD3FDE" w14:textId="1B168031" w:rsidR="00A31B87" w:rsidRPr="001A7517" w:rsidRDefault="00A31B87" w:rsidP="005F7A96">
      <w:pPr>
        <w:ind w:left="1440" w:hanging="720"/>
      </w:pPr>
      <w:r w:rsidRPr="001A7517">
        <w:t>b)</w:t>
      </w:r>
      <w:r w:rsidRPr="001A7517">
        <w:tab/>
        <w:t xml:space="preserve">Unless the Agency invalidates a fecal indicator-positive groundwater source sample under Section 611.802(d), a GWS supplier is in violation of the treatment technique requirement if, within 120 days (or earlier if directed by the Agency) </w:t>
      </w:r>
      <w:r w:rsidRPr="001A7517">
        <w:lastRenderedPageBreak/>
        <w:t>after meeting the conditions of Section 611.803(a)(1) or (a)(2), the supplier does not do either of the following:</w:t>
      </w:r>
    </w:p>
    <w:p w14:paraId="4AEAFA21" w14:textId="77777777" w:rsidR="005F7A96" w:rsidRDefault="005F7A96" w:rsidP="005F7A96">
      <w:pPr>
        <w:ind w:left="2160" w:hanging="720"/>
      </w:pPr>
    </w:p>
    <w:p w14:paraId="4248035C" w14:textId="4EAFD77F" w:rsidR="00A31B87" w:rsidRPr="001A7517" w:rsidRDefault="00A31B87" w:rsidP="005F7A96">
      <w:pPr>
        <w:ind w:left="2160" w:hanging="720"/>
      </w:pPr>
      <w:r w:rsidRPr="001A7517">
        <w:t>1)</w:t>
      </w:r>
      <w:r w:rsidRPr="001A7517">
        <w:tab/>
        <w:t>It does not complete corrective action in accordance with any applicable Agency plan review processes or other Agency guidance and direction, including Agency-specified interim measures; or</w:t>
      </w:r>
    </w:p>
    <w:p w14:paraId="672C0751" w14:textId="77777777" w:rsidR="005F7A96" w:rsidRDefault="005F7A96" w:rsidP="005F7A96">
      <w:pPr>
        <w:ind w:left="2160" w:hanging="720"/>
      </w:pPr>
    </w:p>
    <w:p w14:paraId="5FB5C6D9" w14:textId="338A9968" w:rsidR="00A31B87" w:rsidRPr="001A7517" w:rsidRDefault="00A31B87" w:rsidP="005F7A96">
      <w:pPr>
        <w:ind w:left="2160" w:hanging="720"/>
      </w:pPr>
      <w:r w:rsidRPr="001A7517">
        <w:t>2)</w:t>
      </w:r>
      <w:r w:rsidRPr="001A7517">
        <w:tab/>
        <w:t>It is not in compliance with an Agency-approved corrective action plan and schedule.</w:t>
      </w:r>
    </w:p>
    <w:p w14:paraId="665574C7" w14:textId="77777777" w:rsidR="005F7A96" w:rsidRDefault="005F7A96" w:rsidP="005F7A96">
      <w:pPr>
        <w:ind w:left="1440" w:hanging="720"/>
      </w:pPr>
    </w:p>
    <w:p w14:paraId="5B9A5849" w14:textId="1F2194C8" w:rsidR="00A31B87" w:rsidRPr="001A7517" w:rsidRDefault="00A31B87" w:rsidP="005F7A96">
      <w:pPr>
        <w:ind w:left="1440" w:hanging="720"/>
      </w:pPr>
      <w:r w:rsidRPr="001A7517">
        <w:t>c)</w:t>
      </w:r>
      <w:r w:rsidRPr="001A7517">
        <w:tab/>
        <w:t>A GWS supplier subject to the requirements of Section 611.803(b)(3) that fails to maintain at least 4-log treatment of viruses (using inactivation, removal, or an Agency-approved combination of 4-log virus inactivation and removal) before or at the first customer for a groundwater source is in violation of the treatment technique requirement if the failure is not corrected within four hours after determining the supplier is not maintaining at least 4-log treatment of viruses before or at the first customer.</w:t>
      </w:r>
    </w:p>
    <w:p w14:paraId="4B1E56CA" w14:textId="77777777" w:rsidR="005F7A96" w:rsidRDefault="005F7A96" w:rsidP="005F7A96">
      <w:pPr>
        <w:ind w:left="1440" w:hanging="720"/>
      </w:pPr>
    </w:p>
    <w:p w14:paraId="4B39C01C" w14:textId="776DD201" w:rsidR="00A31B87" w:rsidRPr="001A7517" w:rsidRDefault="00A31B87" w:rsidP="005F7A96">
      <w:pPr>
        <w:ind w:left="1440" w:hanging="720"/>
      </w:pPr>
      <w:r w:rsidRPr="001A7517">
        <w:t>d)</w:t>
      </w:r>
      <w:r w:rsidRPr="001A7517">
        <w:tab/>
        <w:t>A GWS supplier must give public notification under Section 611.903 for the treatment technique violations specified in subsections (a), (b), and (c).</w:t>
      </w:r>
    </w:p>
    <w:p w14:paraId="6C699134" w14:textId="77777777" w:rsidR="005F7A96" w:rsidRDefault="005F7A96" w:rsidP="005F7A96"/>
    <w:p w14:paraId="018BD8FA" w14:textId="65F468E9" w:rsidR="00A31B87" w:rsidRPr="001A7517" w:rsidRDefault="00A31B87" w:rsidP="005F7A96">
      <w:r w:rsidRPr="001A7517">
        <w:t>BOARD NOTE:  Derived from 40 CFR 141.404.</w:t>
      </w:r>
    </w:p>
    <w:p w14:paraId="4143756C" w14:textId="77777777" w:rsidR="005F7A96" w:rsidRDefault="005F7A96" w:rsidP="005F7A96">
      <w:pPr>
        <w:suppressAutoHyphens/>
        <w:ind w:left="720"/>
      </w:pPr>
    </w:p>
    <w:p w14:paraId="6D0FAA63" w14:textId="28F45A93" w:rsidR="00A31B87" w:rsidRPr="001A7517" w:rsidRDefault="00A31B87" w:rsidP="005F7A96">
      <w:pPr>
        <w:suppressAutoHyphens/>
        <w:ind w:left="720"/>
      </w:pPr>
      <w:r w:rsidRPr="001A7517">
        <w:t>(Source:  A</w:t>
      </w:r>
      <w:r w:rsidRPr="001A7517">
        <w:rPr>
          <w:szCs w:val="17"/>
        </w:rPr>
        <w:t xml:space="preserve">mended at </w:t>
      </w:r>
      <w:r w:rsidRPr="001A7517">
        <w:t>44 Ill. Reg. 6996, effective April 17, 2020)</w:t>
      </w:r>
    </w:p>
    <w:p w14:paraId="6280E50A" w14:textId="77777777" w:rsidR="00A31B87" w:rsidRDefault="00A31B87" w:rsidP="005F7A96">
      <w:pPr>
        <w:widowControl w:val="0"/>
        <w:ind w:firstLine="720"/>
      </w:pPr>
    </w:p>
    <w:p w14:paraId="163B7781" w14:textId="515C71A7" w:rsidR="00110FD8" w:rsidRPr="00A31B87" w:rsidRDefault="00110FD8" w:rsidP="00A31B87">
      <w:pPr>
        <w:rPr>
          <w:b/>
          <w:bCs/>
        </w:rPr>
      </w:pPr>
      <w:r w:rsidRPr="00A31B87">
        <w:rPr>
          <w:b/>
          <w:bCs/>
        </w:rPr>
        <w:t>Section 611.805  Reporting and Recordkeeping for GWS Suppliers</w:t>
      </w:r>
    </w:p>
    <w:p w14:paraId="02645121" w14:textId="77777777" w:rsidR="00110FD8" w:rsidRPr="00A31B87" w:rsidRDefault="00110FD8" w:rsidP="00110FD8">
      <w:pPr>
        <w:rPr>
          <w:b/>
          <w:bCs/>
          <w:szCs w:val="24"/>
        </w:rPr>
      </w:pPr>
    </w:p>
    <w:p w14:paraId="5D891A7B" w14:textId="77777777" w:rsidR="00110FD8" w:rsidRPr="00387CBE" w:rsidRDefault="00110FD8" w:rsidP="00110FD8">
      <w:pPr>
        <w:ind w:left="1440" w:hanging="720"/>
        <w:rPr>
          <w:szCs w:val="24"/>
        </w:rPr>
      </w:pPr>
      <w:r w:rsidRPr="00387CBE">
        <w:rPr>
          <w:szCs w:val="24"/>
        </w:rPr>
        <w:t>a)</w:t>
      </w:r>
      <w:r w:rsidRPr="00387CBE">
        <w:rPr>
          <w:szCs w:val="24"/>
        </w:rPr>
        <w:tab/>
        <w:t>Reporting.  In addition to the requirements of Section 611.840, a GWS supplier regulated under this Subpart S must provide the following information to the Agency:</w:t>
      </w:r>
    </w:p>
    <w:p w14:paraId="6FC9C310" w14:textId="77777777" w:rsidR="00110FD8" w:rsidRPr="00387CBE" w:rsidRDefault="00110FD8" w:rsidP="00110FD8">
      <w:pPr>
        <w:ind w:left="2160" w:hanging="720"/>
        <w:rPr>
          <w:szCs w:val="24"/>
        </w:rPr>
      </w:pPr>
    </w:p>
    <w:p w14:paraId="2A4D409D" w14:textId="77777777" w:rsidR="00110FD8" w:rsidRPr="00387CBE" w:rsidRDefault="00110FD8" w:rsidP="00110FD8">
      <w:pPr>
        <w:ind w:left="2160" w:hanging="720"/>
        <w:rPr>
          <w:szCs w:val="24"/>
        </w:rPr>
      </w:pPr>
      <w:r w:rsidRPr="00387CBE">
        <w:rPr>
          <w:szCs w:val="24"/>
        </w:rPr>
        <w:t>1)</w:t>
      </w:r>
      <w:r w:rsidRPr="00387CBE">
        <w:rPr>
          <w:szCs w:val="24"/>
        </w:rPr>
        <w:tab/>
        <w:t>A GWS supplier conducting compliance monitoring under Section 611.803(b) must notify the Agency any time the supplier fails to meet any Agency-specified requirements including minimum residual disinfectant concentration, membrane operating criteria or membrane integrity, and alternative treatment operating criteria, if operation in accordance with the criteria or requirements is not restored within four hours.  The GWS supplier must notify the Agency as soon as possible, but in no case later than the end of the next business day.</w:t>
      </w:r>
    </w:p>
    <w:p w14:paraId="70B48DFD" w14:textId="77777777" w:rsidR="00110FD8" w:rsidRPr="00387CBE" w:rsidRDefault="00110FD8" w:rsidP="00110FD8">
      <w:pPr>
        <w:ind w:left="2160" w:hanging="720"/>
        <w:rPr>
          <w:szCs w:val="24"/>
        </w:rPr>
      </w:pPr>
    </w:p>
    <w:p w14:paraId="59B823A3" w14:textId="77777777" w:rsidR="00110FD8" w:rsidRPr="00387CBE" w:rsidRDefault="00110FD8" w:rsidP="00110FD8">
      <w:pPr>
        <w:ind w:left="2160" w:hanging="720"/>
        <w:rPr>
          <w:szCs w:val="24"/>
        </w:rPr>
      </w:pPr>
      <w:r w:rsidRPr="00387CBE">
        <w:rPr>
          <w:szCs w:val="24"/>
        </w:rPr>
        <w:t>2)</w:t>
      </w:r>
      <w:r w:rsidRPr="00387CBE">
        <w:rPr>
          <w:szCs w:val="24"/>
        </w:rPr>
        <w:tab/>
        <w:t>After completing any corrective action under Section 611.803(a), a GWS supplier must notify the Agency within 30 days after completion of the corrective action.</w:t>
      </w:r>
    </w:p>
    <w:p w14:paraId="083C0075" w14:textId="77777777" w:rsidR="00110FD8" w:rsidRPr="00387CBE" w:rsidRDefault="00110FD8" w:rsidP="00110FD8">
      <w:pPr>
        <w:ind w:left="2160" w:hanging="720"/>
        <w:rPr>
          <w:szCs w:val="24"/>
        </w:rPr>
      </w:pPr>
    </w:p>
    <w:p w14:paraId="00EA2CA0" w14:textId="77777777" w:rsidR="00110FD8" w:rsidRPr="00387CBE" w:rsidRDefault="00110FD8" w:rsidP="00110FD8">
      <w:pPr>
        <w:ind w:left="2160" w:hanging="720"/>
        <w:rPr>
          <w:szCs w:val="24"/>
        </w:rPr>
      </w:pPr>
      <w:r w:rsidRPr="00387CBE">
        <w:rPr>
          <w:szCs w:val="24"/>
        </w:rPr>
        <w:lastRenderedPageBreak/>
        <w:t>3)</w:t>
      </w:r>
      <w:r w:rsidRPr="00387CBE">
        <w:rPr>
          <w:szCs w:val="24"/>
        </w:rPr>
        <w:tab/>
        <w:t>If a GWS supplier subject to the requirements of Section 611.802(a) does not conduct source water monitoring under Section 611.802(a)(5)(B), the supplier must provide documentation to the Agency within 30 days after the total coliform-positive sample that it met the Agency criteria.</w:t>
      </w:r>
    </w:p>
    <w:p w14:paraId="32BE985E" w14:textId="77777777" w:rsidR="00110FD8" w:rsidRPr="00387CBE" w:rsidRDefault="00110FD8" w:rsidP="00110FD8">
      <w:pPr>
        <w:ind w:left="1440" w:hanging="720"/>
        <w:rPr>
          <w:szCs w:val="24"/>
        </w:rPr>
      </w:pPr>
    </w:p>
    <w:p w14:paraId="54E8285D" w14:textId="77777777" w:rsidR="00110FD8" w:rsidRPr="00387CBE" w:rsidRDefault="00110FD8" w:rsidP="00110FD8">
      <w:pPr>
        <w:ind w:left="1440" w:hanging="720"/>
        <w:rPr>
          <w:szCs w:val="24"/>
        </w:rPr>
      </w:pPr>
      <w:r w:rsidRPr="00387CBE">
        <w:rPr>
          <w:szCs w:val="24"/>
        </w:rPr>
        <w:t>b)</w:t>
      </w:r>
      <w:r w:rsidRPr="00387CBE">
        <w:rPr>
          <w:szCs w:val="24"/>
        </w:rPr>
        <w:tab/>
        <w:t>Recordkeeping.  In addition to the requirements of Section 611.860, a GWS supplier regulated under this Subpart S must maintain the following information in its records:</w:t>
      </w:r>
    </w:p>
    <w:p w14:paraId="6961516F" w14:textId="77777777" w:rsidR="00110FD8" w:rsidRPr="00387CBE" w:rsidRDefault="00110FD8" w:rsidP="00110FD8">
      <w:pPr>
        <w:ind w:left="2160" w:hanging="720"/>
        <w:rPr>
          <w:szCs w:val="24"/>
        </w:rPr>
      </w:pPr>
    </w:p>
    <w:p w14:paraId="557E0928" w14:textId="77777777" w:rsidR="00110FD8" w:rsidRPr="00387CBE" w:rsidRDefault="00110FD8" w:rsidP="00110FD8">
      <w:pPr>
        <w:ind w:left="2160" w:hanging="720"/>
        <w:rPr>
          <w:szCs w:val="24"/>
        </w:rPr>
      </w:pPr>
      <w:r w:rsidRPr="00387CBE">
        <w:rPr>
          <w:szCs w:val="24"/>
        </w:rPr>
        <w:t>1)</w:t>
      </w:r>
      <w:r w:rsidRPr="00387CBE">
        <w:rPr>
          <w:szCs w:val="24"/>
        </w:rPr>
        <w:tab/>
        <w:t>Documentation of corrective actions.  Documentation must be kept for at least ten years.</w:t>
      </w:r>
    </w:p>
    <w:p w14:paraId="5F322AB5" w14:textId="77777777" w:rsidR="00110FD8" w:rsidRPr="00387CBE" w:rsidRDefault="00110FD8" w:rsidP="00110FD8">
      <w:pPr>
        <w:ind w:left="2160" w:hanging="720"/>
        <w:rPr>
          <w:szCs w:val="24"/>
        </w:rPr>
      </w:pPr>
    </w:p>
    <w:p w14:paraId="229D402A" w14:textId="77777777" w:rsidR="00110FD8" w:rsidRPr="00387CBE" w:rsidRDefault="00110FD8" w:rsidP="00110FD8">
      <w:pPr>
        <w:ind w:left="2160" w:hanging="720"/>
        <w:rPr>
          <w:szCs w:val="24"/>
        </w:rPr>
      </w:pPr>
      <w:r w:rsidRPr="00387CBE">
        <w:rPr>
          <w:szCs w:val="24"/>
        </w:rPr>
        <w:t>2)</w:t>
      </w:r>
      <w:r w:rsidRPr="00387CBE">
        <w:rPr>
          <w:szCs w:val="24"/>
        </w:rPr>
        <w:tab/>
        <w:t>Documentation of notice to the public as required under Section 611.803(a)(7).  Documentation must be kept for at least three years.</w:t>
      </w:r>
    </w:p>
    <w:p w14:paraId="05B36001" w14:textId="77777777" w:rsidR="00110FD8" w:rsidRPr="00387CBE" w:rsidRDefault="00110FD8" w:rsidP="00110FD8">
      <w:pPr>
        <w:ind w:left="2160" w:hanging="720"/>
        <w:rPr>
          <w:szCs w:val="24"/>
        </w:rPr>
      </w:pPr>
    </w:p>
    <w:p w14:paraId="4D76CA8C" w14:textId="77777777" w:rsidR="00110FD8" w:rsidRPr="00387CBE" w:rsidRDefault="00110FD8" w:rsidP="00110FD8">
      <w:pPr>
        <w:ind w:left="2160" w:hanging="720"/>
        <w:rPr>
          <w:szCs w:val="24"/>
        </w:rPr>
      </w:pPr>
      <w:r w:rsidRPr="00387CBE">
        <w:rPr>
          <w:szCs w:val="24"/>
        </w:rPr>
        <w:t>3)</w:t>
      </w:r>
      <w:r w:rsidRPr="00387CBE">
        <w:rPr>
          <w:szCs w:val="24"/>
        </w:rPr>
        <w:tab/>
        <w:t>Records of decisions under Section 611.802(a)(5)(B) and records of invalidation of fecal indicator-positive groundwater source samples under Section 611.802(d).  Documentation must be kept for at least five years.</w:t>
      </w:r>
    </w:p>
    <w:p w14:paraId="614541F0" w14:textId="77777777" w:rsidR="00110FD8" w:rsidRPr="00387CBE" w:rsidRDefault="00110FD8" w:rsidP="00110FD8">
      <w:pPr>
        <w:ind w:left="2160" w:hanging="720"/>
        <w:rPr>
          <w:szCs w:val="24"/>
        </w:rPr>
      </w:pPr>
    </w:p>
    <w:p w14:paraId="38FF6F4D" w14:textId="77777777" w:rsidR="00110FD8" w:rsidRPr="00387CBE" w:rsidRDefault="00110FD8" w:rsidP="00110FD8">
      <w:pPr>
        <w:ind w:left="2160" w:hanging="720"/>
        <w:rPr>
          <w:szCs w:val="24"/>
        </w:rPr>
      </w:pPr>
      <w:r w:rsidRPr="00387CBE">
        <w:rPr>
          <w:szCs w:val="24"/>
        </w:rPr>
        <w:t>4)</w:t>
      </w:r>
      <w:r w:rsidRPr="00387CBE">
        <w:rPr>
          <w:szCs w:val="24"/>
        </w:rPr>
        <w:tab/>
        <w:t>For a consecutive system supplier, documentation of notification to the wholesale systems of total coliform-positive samples that are not invalidated under Section 611.1053.  Documentation must be kept for at least five years.</w:t>
      </w:r>
    </w:p>
    <w:p w14:paraId="3A5DB204" w14:textId="77777777" w:rsidR="00110FD8" w:rsidRPr="00387CBE" w:rsidRDefault="00110FD8" w:rsidP="00110FD8">
      <w:pPr>
        <w:ind w:left="2160" w:hanging="720"/>
        <w:rPr>
          <w:szCs w:val="24"/>
        </w:rPr>
      </w:pPr>
    </w:p>
    <w:p w14:paraId="37832383" w14:textId="77777777" w:rsidR="00110FD8" w:rsidRPr="00387CBE" w:rsidRDefault="00110FD8" w:rsidP="00110FD8">
      <w:pPr>
        <w:ind w:left="2160" w:hanging="720"/>
        <w:rPr>
          <w:szCs w:val="24"/>
        </w:rPr>
      </w:pPr>
      <w:r w:rsidRPr="00387CBE">
        <w:rPr>
          <w:szCs w:val="24"/>
        </w:rPr>
        <w:t>5)</w:t>
      </w:r>
      <w:r w:rsidRPr="00387CBE">
        <w:rPr>
          <w:szCs w:val="24"/>
        </w:rPr>
        <w:tab/>
        <w:t>For a supplier, including a wholesale system supplier, that is required to perform compliance monitoring under Section 611.803(b), the following information:</w:t>
      </w:r>
    </w:p>
    <w:p w14:paraId="3CF62D2F" w14:textId="77777777" w:rsidR="00110FD8" w:rsidRPr="00387CBE" w:rsidRDefault="00110FD8" w:rsidP="00110FD8">
      <w:pPr>
        <w:ind w:left="2880" w:hanging="720"/>
        <w:rPr>
          <w:szCs w:val="24"/>
        </w:rPr>
      </w:pPr>
    </w:p>
    <w:p w14:paraId="4B3040AF" w14:textId="77777777" w:rsidR="00110FD8" w:rsidRPr="00387CBE" w:rsidRDefault="00110FD8" w:rsidP="00110FD8">
      <w:pPr>
        <w:ind w:left="2880" w:hanging="720"/>
        <w:rPr>
          <w:szCs w:val="24"/>
        </w:rPr>
      </w:pPr>
      <w:r w:rsidRPr="00387CBE">
        <w:rPr>
          <w:szCs w:val="24"/>
        </w:rPr>
        <w:t>A)</w:t>
      </w:r>
      <w:r w:rsidRPr="00387CBE">
        <w:rPr>
          <w:szCs w:val="24"/>
        </w:rPr>
        <w:tab/>
        <w:t>Records of the supplier-specified, Agency-approved minimum disinfectant residual.  Documentation must be kept for at least ten years;</w:t>
      </w:r>
    </w:p>
    <w:p w14:paraId="152E66E6" w14:textId="77777777" w:rsidR="00110FD8" w:rsidRPr="00387CBE" w:rsidRDefault="00110FD8" w:rsidP="00110FD8">
      <w:pPr>
        <w:ind w:left="2880" w:hanging="720"/>
        <w:rPr>
          <w:szCs w:val="24"/>
        </w:rPr>
      </w:pPr>
    </w:p>
    <w:p w14:paraId="302E398E" w14:textId="77777777" w:rsidR="00110FD8" w:rsidRPr="00387CBE" w:rsidRDefault="00110FD8" w:rsidP="00110FD8">
      <w:pPr>
        <w:ind w:left="2880" w:hanging="720"/>
        <w:rPr>
          <w:szCs w:val="24"/>
        </w:rPr>
      </w:pPr>
      <w:r w:rsidRPr="00387CBE">
        <w:rPr>
          <w:szCs w:val="24"/>
        </w:rPr>
        <w:t>B)</w:t>
      </w:r>
      <w:r w:rsidRPr="00387CBE">
        <w:rPr>
          <w:szCs w:val="24"/>
        </w:rPr>
        <w:tab/>
        <w:t>Records of the lowest daily residual disinfectant concentration and records of the date and duration of any failure to maintain the Agency-prescribed minimum residual disinfectant concentration for a period of more than four hours.  Documentation must be kept for at least five years; and</w:t>
      </w:r>
    </w:p>
    <w:p w14:paraId="7862D8AB" w14:textId="77777777" w:rsidR="00110FD8" w:rsidRPr="00387CBE" w:rsidRDefault="00110FD8" w:rsidP="00110FD8">
      <w:pPr>
        <w:ind w:left="2880" w:hanging="720"/>
        <w:rPr>
          <w:szCs w:val="24"/>
        </w:rPr>
      </w:pPr>
    </w:p>
    <w:p w14:paraId="031F2165" w14:textId="77777777" w:rsidR="00110FD8" w:rsidRPr="00387CBE" w:rsidRDefault="00110FD8" w:rsidP="00110FD8">
      <w:pPr>
        <w:ind w:left="2880" w:hanging="720"/>
        <w:rPr>
          <w:szCs w:val="24"/>
        </w:rPr>
      </w:pPr>
      <w:r w:rsidRPr="00387CBE">
        <w:rPr>
          <w:szCs w:val="24"/>
        </w:rPr>
        <w:t>C)</w:t>
      </w:r>
      <w:r w:rsidRPr="00387CBE">
        <w:rPr>
          <w:szCs w:val="24"/>
        </w:rPr>
        <w:tab/>
        <w:t>Records of supplier-specified, Agency-approved compliance requirements for membrane filtration and of parameters specified by the supplier for Agency-approved alternative treatment and records of the date and duration of any failure to meet the membrane operating, membrane integrity, or alternative treatment operating requirements for more than four hours.  Documentation must be kept for at least five years.</w:t>
      </w:r>
    </w:p>
    <w:p w14:paraId="5C50CA2D" w14:textId="77777777" w:rsidR="00110FD8" w:rsidRPr="00387CBE" w:rsidRDefault="00110FD8" w:rsidP="00110FD8">
      <w:pPr>
        <w:rPr>
          <w:szCs w:val="24"/>
        </w:rPr>
      </w:pPr>
    </w:p>
    <w:p w14:paraId="2268F9D1" w14:textId="77777777" w:rsidR="00110FD8" w:rsidRPr="00387CBE" w:rsidRDefault="00110FD8" w:rsidP="00110FD8">
      <w:pPr>
        <w:ind w:firstLine="720"/>
        <w:rPr>
          <w:szCs w:val="24"/>
        </w:rPr>
      </w:pPr>
      <w:r w:rsidRPr="00387CBE">
        <w:rPr>
          <w:szCs w:val="24"/>
        </w:rPr>
        <w:t>BOARD NOTE:  Derived from 40 CFR 141.405.</w:t>
      </w:r>
    </w:p>
    <w:p w14:paraId="30448CC3" w14:textId="77777777" w:rsidR="00110FD8" w:rsidRPr="00387CBE" w:rsidRDefault="00110FD8" w:rsidP="00110FD8">
      <w:pPr>
        <w:suppressAutoHyphens/>
        <w:ind w:left="720"/>
        <w:rPr>
          <w:szCs w:val="24"/>
        </w:rPr>
      </w:pPr>
    </w:p>
    <w:p w14:paraId="50D8D367" w14:textId="6A8AEC6F" w:rsidR="00110FD8" w:rsidRDefault="00110FD8" w:rsidP="00110FD8">
      <w:pPr>
        <w:suppressAutoHyphens/>
        <w:ind w:left="720"/>
        <w:rPr>
          <w:szCs w:val="24"/>
        </w:rPr>
      </w:pPr>
      <w:r w:rsidRPr="00387CBE">
        <w:rPr>
          <w:szCs w:val="24"/>
        </w:rPr>
        <w:t xml:space="preserve">(Source:  Amended at 47 Ill. Reg. </w:t>
      </w:r>
      <w:r>
        <w:rPr>
          <w:szCs w:val="24"/>
        </w:rPr>
        <w:t>7556</w:t>
      </w:r>
      <w:r w:rsidRPr="00387CBE">
        <w:rPr>
          <w:szCs w:val="24"/>
        </w:rPr>
        <w:t xml:space="preserve">, effective </w:t>
      </w:r>
      <w:r>
        <w:rPr>
          <w:szCs w:val="24"/>
        </w:rPr>
        <w:t>May 16, 2023</w:t>
      </w:r>
      <w:r w:rsidRPr="00387CBE">
        <w:rPr>
          <w:szCs w:val="24"/>
        </w:rPr>
        <w:t>)</w:t>
      </w:r>
    </w:p>
    <w:p w14:paraId="6E9D46B2" w14:textId="77777777" w:rsidR="005F7A96" w:rsidRPr="00387CBE" w:rsidRDefault="005F7A96" w:rsidP="00110FD8">
      <w:pPr>
        <w:suppressAutoHyphens/>
        <w:ind w:left="720"/>
        <w:rPr>
          <w:szCs w:val="24"/>
        </w:rPr>
      </w:pPr>
    </w:p>
    <w:p w14:paraId="1A062BB1" w14:textId="77777777" w:rsidR="005F7A96" w:rsidRPr="001A7517" w:rsidRDefault="005F7A96" w:rsidP="005F7A96">
      <w:pPr>
        <w:jc w:val="center"/>
      </w:pPr>
      <w:bookmarkStart w:id="4189" w:name="_Hlk26280266"/>
      <w:r w:rsidRPr="001A7517">
        <w:t>SUBPART T: REPORTING AND RECORDKEEPING</w:t>
      </w:r>
    </w:p>
    <w:bookmarkEnd w:id="4189"/>
    <w:p w14:paraId="774F280D" w14:textId="77777777" w:rsidR="005F7A96" w:rsidRDefault="005F7A96" w:rsidP="005F7A96">
      <w:pPr>
        <w:rPr>
          <w:b/>
          <w:bCs/>
        </w:rPr>
      </w:pPr>
    </w:p>
    <w:p w14:paraId="79C6DF97" w14:textId="6FD754F3" w:rsidR="005F7A96" w:rsidRDefault="005F7A96" w:rsidP="005F7A96">
      <w:pPr>
        <w:rPr>
          <w:b/>
          <w:bCs/>
        </w:rPr>
      </w:pPr>
      <w:r w:rsidRPr="005F7A96">
        <w:rPr>
          <w:b/>
          <w:bCs/>
        </w:rPr>
        <w:t>Section 611.830  Applicability</w:t>
      </w:r>
    </w:p>
    <w:p w14:paraId="32E2F034" w14:textId="77777777" w:rsidR="005F7A96" w:rsidRPr="005F7A96" w:rsidRDefault="005F7A96" w:rsidP="005F7A96">
      <w:pPr>
        <w:rPr>
          <w:b/>
          <w:bCs/>
        </w:rPr>
      </w:pPr>
    </w:p>
    <w:p w14:paraId="5D7CB032" w14:textId="1AB50473" w:rsidR="005F7A96" w:rsidRDefault="005F7A96" w:rsidP="005F7A96">
      <w:pPr>
        <w:suppressAutoHyphens/>
      </w:pPr>
      <w:r w:rsidRPr="001A7517">
        <w:t>Except as otherwise provided, this Subpart T applies to violations of both identical in substance regulations and those noted as additional State requirements.</w:t>
      </w:r>
    </w:p>
    <w:p w14:paraId="2D787802" w14:textId="77777777" w:rsidR="005F7A96" w:rsidRPr="001A7517" w:rsidRDefault="005F7A96" w:rsidP="005F7A96">
      <w:pPr>
        <w:suppressAutoHyphens/>
      </w:pPr>
    </w:p>
    <w:p w14:paraId="13805040" w14:textId="01A0C277" w:rsidR="005F7A96" w:rsidRDefault="005F7A96" w:rsidP="005F7A96">
      <w:pPr>
        <w:suppressAutoHyphens/>
      </w:pPr>
      <w:r>
        <w:tab/>
      </w:r>
      <w:r w:rsidRPr="001A7517">
        <w:t>(Source:  Amended at 27 Ill. Reg. 16447, effective October 10, 2003)</w:t>
      </w:r>
    </w:p>
    <w:p w14:paraId="0F510BA0" w14:textId="77777777" w:rsidR="005F7A96" w:rsidRPr="001A7517" w:rsidRDefault="005F7A96" w:rsidP="005F7A96">
      <w:pPr>
        <w:suppressAutoHyphens/>
      </w:pPr>
    </w:p>
    <w:p w14:paraId="3C9351CF" w14:textId="3337BC0A" w:rsidR="005F7A96" w:rsidRDefault="005F7A96" w:rsidP="005F7A96">
      <w:pPr>
        <w:rPr>
          <w:b/>
          <w:bCs/>
        </w:rPr>
      </w:pPr>
      <w:bookmarkStart w:id="4190" w:name="_Hlk26280311"/>
      <w:r w:rsidRPr="005F7A96">
        <w:rPr>
          <w:b/>
          <w:bCs/>
        </w:rPr>
        <w:t>Section 611.831  Monthly Operating Report (Repealed)</w:t>
      </w:r>
    </w:p>
    <w:p w14:paraId="7C359279" w14:textId="77777777" w:rsidR="005F7A96" w:rsidRPr="005F7A96" w:rsidRDefault="005F7A96" w:rsidP="005F7A96">
      <w:pPr>
        <w:rPr>
          <w:b/>
          <w:bCs/>
        </w:rPr>
      </w:pPr>
    </w:p>
    <w:p w14:paraId="7AB652A1" w14:textId="372DE35E" w:rsidR="005F7A96" w:rsidRDefault="005F7A96" w:rsidP="005F7A96">
      <w:pPr>
        <w:suppressAutoHyphens/>
        <w:ind w:left="720"/>
      </w:pPr>
      <w:r w:rsidRPr="001A7517">
        <w:t xml:space="preserve">(Source:  </w:t>
      </w:r>
      <w:r>
        <w:t xml:space="preserve">Repealed </w:t>
      </w:r>
      <w:r w:rsidRPr="001A7517">
        <w:t xml:space="preserve">at </w:t>
      </w:r>
      <w:r>
        <w:t>43</w:t>
      </w:r>
      <w:r w:rsidRPr="001A7517">
        <w:t xml:space="preserve"> Ill. Reg. </w:t>
      </w:r>
      <w:r>
        <w:t>8206</w:t>
      </w:r>
      <w:r w:rsidRPr="001A7517">
        <w:t xml:space="preserve">, effective </w:t>
      </w:r>
      <w:r>
        <w:t>July 26, 2019</w:t>
      </w:r>
      <w:r w:rsidRPr="001A7517">
        <w:t>)</w:t>
      </w:r>
    </w:p>
    <w:p w14:paraId="76787047" w14:textId="77777777" w:rsidR="005F7A96" w:rsidRPr="001A7517" w:rsidRDefault="005F7A96" w:rsidP="005F7A96">
      <w:pPr>
        <w:suppressAutoHyphens/>
        <w:ind w:left="720"/>
      </w:pPr>
    </w:p>
    <w:bookmarkEnd w:id="4190"/>
    <w:p w14:paraId="3F8CE1ED" w14:textId="72A553EF" w:rsidR="005F7A96" w:rsidRDefault="005F7A96" w:rsidP="005F7A96">
      <w:pPr>
        <w:rPr>
          <w:b/>
          <w:bCs/>
        </w:rPr>
      </w:pPr>
      <w:r w:rsidRPr="005F7A96">
        <w:rPr>
          <w:b/>
          <w:bCs/>
        </w:rPr>
        <w:t>Section 611.832  Notice by Agency (Repealed)</w:t>
      </w:r>
    </w:p>
    <w:p w14:paraId="1AC40942" w14:textId="77777777" w:rsidR="005F7A96" w:rsidRPr="005F7A96" w:rsidRDefault="005F7A96" w:rsidP="005F7A96">
      <w:pPr>
        <w:rPr>
          <w:b/>
          <w:bCs/>
        </w:rPr>
      </w:pPr>
    </w:p>
    <w:p w14:paraId="6DA3D961" w14:textId="2495534C" w:rsidR="005F7A96" w:rsidRDefault="005F7A96" w:rsidP="005F7A96">
      <w:pPr>
        <w:ind w:left="720"/>
        <w:rPr>
          <w:spacing w:val="-3"/>
        </w:rPr>
      </w:pPr>
      <w:r w:rsidRPr="001A7517">
        <w:rPr>
          <w:spacing w:val="-3"/>
        </w:rPr>
        <w:t>(Source:  Repealed at 25 Ill. Reg. 1329, effective January 11, 2001)</w:t>
      </w:r>
    </w:p>
    <w:p w14:paraId="0FA9613B" w14:textId="77777777" w:rsidR="005F7A96" w:rsidRPr="001A7517" w:rsidRDefault="005F7A96" w:rsidP="005F7A96">
      <w:pPr>
        <w:ind w:left="720"/>
        <w:rPr>
          <w:spacing w:val="-3"/>
        </w:rPr>
      </w:pPr>
    </w:p>
    <w:p w14:paraId="41D7451D" w14:textId="77777777" w:rsidR="005F7A96" w:rsidRPr="005F7A96" w:rsidRDefault="005F7A96" w:rsidP="005F7A96">
      <w:pPr>
        <w:rPr>
          <w:b/>
          <w:bCs/>
        </w:rPr>
      </w:pPr>
      <w:r w:rsidRPr="005F7A96">
        <w:rPr>
          <w:b/>
          <w:bCs/>
        </w:rPr>
        <w:t>Section 611.833  Cross Connection Reporting (Repealed)</w:t>
      </w:r>
    </w:p>
    <w:p w14:paraId="7A835282" w14:textId="77777777" w:rsidR="005F7A96" w:rsidRPr="005F7A96" w:rsidRDefault="005F7A96" w:rsidP="005F7A96">
      <w:pPr>
        <w:rPr>
          <w:b/>
          <w:bCs/>
        </w:rPr>
      </w:pPr>
    </w:p>
    <w:p w14:paraId="1B01316D" w14:textId="77777777" w:rsidR="005F7A96" w:rsidRPr="001A7517" w:rsidRDefault="005F7A96" w:rsidP="005F7A96">
      <w:pPr>
        <w:suppressAutoHyphens/>
        <w:ind w:left="720"/>
      </w:pPr>
      <w:r w:rsidRPr="001A7517">
        <w:t>(Source:  Repealed at 43 Ill. Reg. 8206, effective July 26, 2019)</w:t>
      </w:r>
    </w:p>
    <w:p w14:paraId="293309F6" w14:textId="77777777" w:rsidR="00110FD8" w:rsidRPr="00387CBE" w:rsidRDefault="00110FD8" w:rsidP="005F7A96">
      <w:pPr>
        <w:suppressAutoHyphens/>
        <w:ind w:left="720"/>
        <w:rPr>
          <w:szCs w:val="24"/>
        </w:rPr>
      </w:pPr>
    </w:p>
    <w:p w14:paraId="05B4A989" w14:textId="211BA506" w:rsidR="005614AB" w:rsidRDefault="005614AB" w:rsidP="005F7A96">
      <w:pPr>
        <w:rPr>
          <w:b/>
          <w:bCs/>
        </w:rPr>
      </w:pPr>
      <w:bookmarkStart w:id="4191" w:name="_Hlk26280332"/>
      <w:bookmarkEnd w:id="4154"/>
      <w:r w:rsidRPr="003B4362">
        <w:rPr>
          <w:b/>
          <w:bCs/>
        </w:rPr>
        <w:t>Section 611.840  Reporting</w:t>
      </w:r>
    </w:p>
    <w:p w14:paraId="3C969898" w14:textId="77777777" w:rsidR="005F7A96" w:rsidRPr="003B4362" w:rsidRDefault="005F7A96" w:rsidP="005F7A96">
      <w:pPr>
        <w:rPr>
          <w:b/>
          <w:bCs/>
        </w:rPr>
      </w:pPr>
    </w:p>
    <w:p w14:paraId="7ED8960D" w14:textId="0A8E66B8" w:rsidR="005614AB" w:rsidRPr="003B4362" w:rsidRDefault="005614AB" w:rsidP="005F7A96">
      <w:pPr>
        <w:suppressAutoHyphens/>
        <w:ind w:left="1440" w:hanging="720"/>
      </w:pPr>
      <w:r w:rsidRPr="003B4362">
        <w:t>a)</w:t>
      </w:r>
      <w:r w:rsidRPr="003B4362">
        <w:tab/>
        <w:t>E</w:t>
      </w:r>
      <w:bookmarkStart w:id="4192" w:name="_Hlk131588437"/>
      <w:bookmarkStart w:id="4193" w:name="_Hlk131587143"/>
      <w:r w:rsidRPr="003B4362">
        <w:t xml:space="preserve">xcept </w:t>
      </w:r>
      <w:r w:rsidR="00E9413D" w:rsidRPr="003B4362">
        <w:t>when</w:t>
      </w:r>
      <w:r w:rsidR="00265AAF" w:rsidRPr="003B4362">
        <w:rPr>
          <w:spacing w:val="-3"/>
        </w:rPr>
        <w:t xml:space="preserve"> this Part specifies</w:t>
      </w:r>
      <w:r w:rsidR="005B7BD2" w:rsidRPr="003B4362">
        <w:rPr>
          <w:spacing w:val="-3"/>
        </w:rPr>
        <w:t xml:space="preserve"> </w:t>
      </w:r>
      <w:r w:rsidRPr="003B4362">
        <w:t>a shorter period</w:t>
      </w:r>
      <w:bookmarkEnd w:id="4192"/>
      <w:bookmarkEnd w:id="4193"/>
      <w:r w:rsidRPr="003B4362">
        <w:t xml:space="preserve">, a supplier must report to the Agency the results of any test measurement or analysis </w:t>
      </w:r>
      <w:bookmarkStart w:id="4194" w:name="_Hlk131588716"/>
      <w:bookmarkStart w:id="4195" w:name="_Hlk131588486"/>
      <w:r w:rsidRPr="003B4362">
        <w:t xml:space="preserve">this Part </w:t>
      </w:r>
      <w:r w:rsidR="0010740C" w:rsidRPr="003B4362">
        <w:t xml:space="preserve">requires </w:t>
      </w:r>
      <w:r w:rsidRPr="003B4362">
        <w:t xml:space="preserve">within the </w:t>
      </w:r>
      <w:r w:rsidR="00E9413D" w:rsidRPr="003B4362">
        <w:t xml:space="preserve">earlier of the </w:t>
      </w:r>
      <w:r w:rsidRPr="003B4362">
        <w:t xml:space="preserve">following </w:t>
      </w:r>
      <w:r w:rsidR="00E9413D" w:rsidRPr="003B4362">
        <w:t>timeframes</w:t>
      </w:r>
      <w:bookmarkEnd w:id="4194"/>
      <w:bookmarkEnd w:id="4195"/>
      <w:r w:rsidRPr="003B4362">
        <w:t>:</w:t>
      </w:r>
    </w:p>
    <w:p w14:paraId="66E66271" w14:textId="77777777" w:rsidR="005F7A96" w:rsidRDefault="005F7A96" w:rsidP="005F7A96">
      <w:pPr>
        <w:suppressAutoHyphens/>
        <w:ind w:left="2160" w:hanging="720"/>
      </w:pPr>
    </w:p>
    <w:p w14:paraId="56017425" w14:textId="7868C8A5" w:rsidR="005614AB" w:rsidRPr="003B4362" w:rsidRDefault="005614AB" w:rsidP="005F7A96">
      <w:pPr>
        <w:suppressAutoHyphens/>
        <w:ind w:left="2160" w:hanging="720"/>
      </w:pPr>
      <w:r w:rsidRPr="003B4362">
        <w:t>1)</w:t>
      </w:r>
      <w:r w:rsidRPr="003B4362">
        <w:tab/>
      </w:r>
      <w:bookmarkStart w:id="4196" w:name="_Hlk131588948"/>
      <w:r w:rsidRPr="003B4362">
        <w:t xml:space="preserve">The ten days </w:t>
      </w:r>
      <w:r w:rsidR="0010740C" w:rsidRPr="003B4362">
        <w:t xml:space="preserve">after </w:t>
      </w:r>
      <w:r w:rsidRPr="003B4362">
        <w:t xml:space="preserve">the month </w:t>
      </w:r>
      <w:r w:rsidR="0010740C" w:rsidRPr="003B4362">
        <w:t xml:space="preserve">when the supplier receives </w:t>
      </w:r>
      <w:r w:rsidRPr="003B4362">
        <w:t>the result</w:t>
      </w:r>
      <w:bookmarkEnd w:id="4196"/>
      <w:r w:rsidRPr="003B4362">
        <w:t>; or</w:t>
      </w:r>
    </w:p>
    <w:p w14:paraId="62E4745B" w14:textId="77777777" w:rsidR="005F7A96" w:rsidRDefault="005F7A96" w:rsidP="005F7A96">
      <w:pPr>
        <w:suppressAutoHyphens/>
        <w:ind w:left="2160" w:hanging="720"/>
      </w:pPr>
    </w:p>
    <w:p w14:paraId="10D1A05D" w14:textId="2F5B76AC" w:rsidR="005614AB" w:rsidRPr="003B4362" w:rsidRDefault="005614AB" w:rsidP="005F7A96">
      <w:pPr>
        <w:suppressAutoHyphens/>
        <w:ind w:left="2160" w:hanging="720"/>
      </w:pPr>
      <w:r w:rsidRPr="003B4362">
        <w:t>2)</w:t>
      </w:r>
      <w:r w:rsidRPr="003B4362">
        <w:tab/>
      </w:r>
      <w:r w:rsidR="0010740C" w:rsidRPr="003B4362">
        <w:t xml:space="preserve">The </w:t>
      </w:r>
      <w:r w:rsidRPr="003B4362">
        <w:t xml:space="preserve">ten days </w:t>
      </w:r>
      <w:r w:rsidR="0010740C" w:rsidRPr="003B4362">
        <w:t xml:space="preserve">after </w:t>
      </w:r>
      <w:bookmarkStart w:id="4197" w:name="_Hlk131589265"/>
      <w:r w:rsidRPr="003B4362">
        <w:t>the end of the monitoring period</w:t>
      </w:r>
      <w:r w:rsidR="0010740C" w:rsidRPr="003B4362">
        <w:t xml:space="preserve"> the Agency specifies in</w:t>
      </w:r>
      <w:r w:rsidR="006C07DD" w:rsidRPr="003B4362">
        <w:t xml:space="preserve"> </w:t>
      </w:r>
      <w:r w:rsidRPr="003B4362">
        <w:t>a SEP</w:t>
      </w:r>
      <w:bookmarkEnd w:id="4197"/>
      <w:r w:rsidRPr="003B4362">
        <w:t>.</w:t>
      </w:r>
    </w:p>
    <w:p w14:paraId="40D6FF95" w14:textId="77777777" w:rsidR="005F7A96" w:rsidRDefault="005F7A96" w:rsidP="005F7A96">
      <w:pPr>
        <w:suppressAutoHyphens/>
        <w:ind w:left="1440" w:hanging="720"/>
      </w:pPr>
    </w:p>
    <w:p w14:paraId="5501B8FF" w14:textId="7150B906" w:rsidR="005614AB" w:rsidRPr="003B4362" w:rsidRDefault="005614AB" w:rsidP="005F7A96">
      <w:pPr>
        <w:suppressAutoHyphens/>
        <w:ind w:left="1440" w:hanging="720"/>
      </w:pPr>
      <w:r w:rsidRPr="003B4362">
        <w:t>b)</w:t>
      </w:r>
      <w:r w:rsidRPr="003B4362">
        <w:tab/>
        <w:t xml:space="preserve">Except </w:t>
      </w:r>
      <w:r w:rsidR="008E5633" w:rsidRPr="003B4362">
        <w:rPr>
          <w:spacing w:val="-3"/>
        </w:rPr>
        <w:t>as this Part specifies</w:t>
      </w:r>
      <w:r w:rsidR="005B7BD2" w:rsidRPr="003B4362">
        <w:rPr>
          <w:spacing w:val="-3"/>
        </w:rPr>
        <w:t xml:space="preserve"> </w:t>
      </w:r>
      <w:bookmarkStart w:id="4198" w:name="_Hlk131591134"/>
      <w:r w:rsidRPr="003B4362">
        <w:t>a different reporting period</w:t>
      </w:r>
      <w:bookmarkEnd w:id="4198"/>
      <w:r w:rsidRPr="003B4362">
        <w:t xml:space="preserve">, </w:t>
      </w:r>
      <w:r w:rsidR="008E5633" w:rsidRPr="003B4362">
        <w:t xml:space="preserve">a </w:t>
      </w:r>
      <w:r w:rsidRPr="003B4362">
        <w:t>supplier must report to the Agency within 48 hours any failure to comply with any provision (including failure to comply with monitoring requirements) of this Part.</w:t>
      </w:r>
    </w:p>
    <w:p w14:paraId="1602F163" w14:textId="77777777" w:rsidR="005F7A96" w:rsidRDefault="005F7A96" w:rsidP="005F7A96">
      <w:pPr>
        <w:suppressAutoHyphens/>
        <w:ind w:left="1440" w:hanging="720"/>
      </w:pPr>
    </w:p>
    <w:p w14:paraId="3E22E4BB" w14:textId="1317E042" w:rsidR="005614AB" w:rsidRPr="003B4362" w:rsidRDefault="005614AB" w:rsidP="005F7A96">
      <w:pPr>
        <w:suppressAutoHyphens/>
        <w:ind w:left="1440" w:hanging="720"/>
      </w:pPr>
      <w:r w:rsidRPr="003B4362">
        <w:t>c)</w:t>
      </w:r>
      <w:r w:rsidRPr="003B4362">
        <w:tab/>
        <w:t>T</w:t>
      </w:r>
      <w:bookmarkStart w:id="4199" w:name="_Hlk131591247"/>
      <w:r w:rsidRPr="003B4362">
        <w:t xml:space="preserve">he supplier </w:t>
      </w:r>
      <w:r w:rsidR="008E5633" w:rsidRPr="003B4362">
        <w:t xml:space="preserve">needs </w:t>
      </w:r>
      <w:r w:rsidRPr="003B4362">
        <w:t>not report</w:t>
      </w:r>
      <w:bookmarkEnd w:id="4199"/>
      <w:r w:rsidRPr="003B4362">
        <w:t xml:space="preserve"> analytical results to the Agency </w:t>
      </w:r>
      <w:r w:rsidR="005B7BD2" w:rsidRPr="003B4362">
        <w:rPr>
          <w:spacing w:val="-3"/>
        </w:rPr>
        <w:t xml:space="preserve">if </w:t>
      </w:r>
      <w:r w:rsidRPr="003B4362">
        <w:t>an Agency laboratory performs the analysis.</w:t>
      </w:r>
    </w:p>
    <w:p w14:paraId="4E1DF9CF" w14:textId="77777777" w:rsidR="005F7A96" w:rsidRDefault="005F7A96" w:rsidP="005F7A96">
      <w:pPr>
        <w:autoSpaceDE w:val="0"/>
        <w:autoSpaceDN w:val="0"/>
        <w:adjustRightInd w:val="0"/>
        <w:ind w:left="1440" w:hanging="720"/>
      </w:pPr>
    </w:p>
    <w:p w14:paraId="7E12BAD0" w14:textId="09F3194B" w:rsidR="00612550" w:rsidRPr="003B4362" w:rsidRDefault="005614AB" w:rsidP="005F7A96">
      <w:pPr>
        <w:autoSpaceDE w:val="0"/>
        <w:autoSpaceDN w:val="0"/>
        <w:adjustRightInd w:val="0"/>
        <w:ind w:left="1440" w:hanging="720"/>
        <w:rPr>
          <w:szCs w:val="24"/>
        </w:rPr>
      </w:pPr>
      <w:r w:rsidRPr="003B4362">
        <w:t>d)</w:t>
      </w:r>
      <w:r w:rsidRPr="003B4362">
        <w:tab/>
      </w:r>
      <w:r w:rsidR="00612550" w:rsidRPr="003B4362">
        <w:t>Notice to the Agency</w:t>
      </w:r>
    </w:p>
    <w:p w14:paraId="39EBDB83" w14:textId="77777777" w:rsidR="005F7A96" w:rsidRDefault="005F7A96" w:rsidP="005F7A96">
      <w:pPr>
        <w:suppressAutoHyphens/>
        <w:ind w:left="2160" w:hanging="720"/>
        <w:rPr>
          <w:szCs w:val="24"/>
        </w:rPr>
      </w:pPr>
    </w:p>
    <w:p w14:paraId="5BADA875" w14:textId="6F055070" w:rsidR="005614AB" w:rsidRPr="003B4362" w:rsidRDefault="00612550" w:rsidP="005F7A96">
      <w:pPr>
        <w:suppressAutoHyphens/>
        <w:ind w:left="2160" w:hanging="720"/>
      </w:pPr>
      <w:r w:rsidRPr="003B4362">
        <w:rPr>
          <w:szCs w:val="24"/>
        </w:rPr>
        <w:t>1)</w:t>
      </w:r>
      <w:r w:rsidRPr="003B4362">
        <w:rPr>
          <w:szCs w:val="24"/>
        </w:rPr>
        <w:tab/>
      </w:r>
      <w:r w:rsidR="00E9413D" w:rsidRPr="003B4362">
        <w:rPr>
          <w:szCs w:val="24"/>
        </w:rPr>
        <w:t>Within</w:t>
      </w:r>
      <w:bookmarkStart w:id="4200" w:name="_Hlk116466461"/>
      <w:r w:rsidR="005614AB" w:rsidRPr="003B4362">
        <w:t xml:space="preserve"> ten days after completing the public notification requirements under Subpart V for the initial public notice and any repeat </w:t>
      </w:r>
      <w:r w:rsidR="00E23493" w:rsidRPr="003B4362">
        <w:t xml:space="preserve">public </w:t>
      </w:r>
      <w:r w:rsidR="005614AB" w:rsidRPr="003B4362">
        <w:t>notices</w:t>
      </w:r>
      <w:r w:rsidR="00E9413D" w:rsidRPr="003B4362">
        <w:t>, the PWS must certify to the Agency that it has fully complied with the public notification rules</w:t>
      </w:r>
      <w:bookmarkEnd w:id="4200"/>
      <w:r w:rsidR="005614AB" w:rsidRPr="003B4362">
        <w:t xml:space="preserve">.  </w:t>
      </w:r>
      <w:bookmarkStart w:id="4201" w:name="_Hlk112144737"/>
      <w:r w:rsidRPr="003B4362">
        <w:rPr>
          <w:szCs w:val="24"/>
        </w:rPr>
        <w:t>F</w:t>
      </w:r>
      <w:bookmarkStart w:id="4202" w:name="_Hlk131584397"/>
      <w:r w:rsidRPr="003B4362">
        <w:rPr>
          <w:szCs w:val="24"/>
        </w:rPr>
        <w:t>or Tier 2 and 3 public notices</w:t>
      </w:r>
      <w:bookmarkEnd w:id="4202"/>
      <w:r w:rsidRPr="003B4362">
        <w:rPr>
          <w:szCs w:val="24"/>
        </w:rPr>
        <w:t xml:space="preserve">, the </w:t>
      </w:r>
      <w:bookmarkEnd w:id="4201"/>
      <w:r w:rsidR="005614AB" w:rsidRPr="003B4362">
        <w:t xml:space="preserve">PWS must include with this certification a representative copy of each type of notice </w:t>
      </w:r>
      <w:r w:rsidR="00E9413D" w:rsidRPr="003B4362">
        <w:t>that the PWS</w:t>
      </w:r>
      <w:r w:rsidRPr="003B4362">
        <w:t xml:space="preserve"> </w:t>
      </w:r>
      <w:r w:rsidR="005614AB" w:rsidRPr="003B4362">
        <w:t xml:space="preserve">distributed, published, posted, or made available to the persons served </w:t>
      </w:r>
      <w:r w:rsidR="00E9413D" w:rsidRPr="003B4362">
        <w:t>and</w:t>
      </w:r>
      <w:r w:rsidR="005614AB" w:rsidRPr="003B4362">
        <w:t xml:space="preserve"> to the media.</w:t>
      </w:r>
    </w:p>
    <w:p w14:paraId="48E465CE" w14:textId="77777777" w:rsidR="005F7A96" w:rsidRDefault="005F7A96" w:rsidP="005F7A96">
      <w:pPr>
        <w:autoSpaceDE w:val="0"/>
        <w:autoSpaceDN w:val="0"/>
        <w:adjustRightInd w:val="0"/>
        <w:ind w:left="2160" w:hanging="720"/>
        <w:rPr>
          <w:rFonts w:eastAsia="Calibri"/>
          <w:szCs w:val="24"/>
        </w:rPr>
      </w:pPr>
      <w:bookmarkStart w:id="4203" w:name="_Hlk112145456"/>
    </w:p>
    <w:p w14:paraId="25357308" w14:textId="28511020" w:rsidR="00970704" w:rsidRPr="003B4362" w:rsidRDefault="00970704" w:rsidP="005F7A96">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t xml:space="preserve">For </w:t>
      </w:r>
      <w:r w:rsidR="00A23EE5" w:rsidRPr="003B4362">
        <w:rPr>
          <w:rFonts w:eastAsia="Calibri"/>
          <w:szCs w:val="24"/>
        </w:rPr>
        <w:t xml:space="preserve">a </w:t>
      </w:r>
      <w:r w:rsidRPr="003B4362">
        <w:rPr>
          <w:rFonts w:eastAsia="Calibri"/>
          <w:szCs w:val="24"/>
        </w:rPr>
        <w:t xml:space="preserve">Tier 1 public notice </w:t>
      </w:r>
      <w:bookmarkStart w:id="4204" w:name="_Hlk116467479"/>
      <w:r w:rsidRPr="003B4362">
        <w:rPr>
          <w:rFonts w:eastAsia="Calibri"/>
          <w:szCs w:val="24"/>
        </w:rPr>
        <w:t>for exceeding the lead action level</w:t>
      </w:r>
      <w:bookmarkEnd w:id="4204"/>
      <w:r w:rsidRPr="003B4362">
        <w:rPr>
          <w:rFonts w:eastAsia="Calibri"/>
          <w:szCs w:val="24"/>
        </w:rPr>
        <w:t xml:space="preserve">, </w:t>
      </w:r>
      <w:bookmarkStart w:id="4205" w:name="_Hlk116467766"/>
      <w:r w:rsidR="00B331E5" w:rsidRPr="003B4362">
        <w:rPr>
          <w:rFonts w:eastAsia="Calibri"/>
          <w:szCs w:val="24"/>
        </w:rPr>
        <w:t xml:space="preserve">the </w:t>
      </w:r>
      <w:r w:rsidR="00E9413D" w:rsidRPr="003B4362">
        <w:rPr>
          <w:rFonts w:eastAsia="Calibri"/>
          <w:szCs w:val="24"/>
        </w:rPr>
        <w:t>PWS</w:t>
      </w:r>
      <w:r w:rsidRPr="003B4362">
        <w:rPr>
          <w:rFonts w:eastAsia="Calibri"/>
          <w:szCs w:val="24"/>
        </w:rPr>
        <w:t xml:space="preserve"> must provide</w:t>
      </w:r>
      <w:bookmarkEnd w:id="4205"/>
      <w:r w:rsidRPr="003B4362">
        <w:rPr>
          <w:rFonts w:eastAsia="Calibri"/>
          <w:szCs w:val="24"/>
        </w:rPr>
        <w:t xml:space="preserve"> a copy of any Tier 1 public notice </w:t>
      </w:r>
      <w:bookmarkStart w:id="4206" w:name="_Hlk116468119"/>
      <w:r w:rsidRPr="003B4362">
        <w:rPr>
          <w:rFonts w:eastAsia="Calibri"/>
          <w:szCs w:val="24"/>
        </w:rPr>
        <w:t xml:space="preserve">to </w:t>
      </w:r>
      <w:bookmarkStart w:id="4207" w:name="_Hlk116468022"/>
      <w:r w:rsidR="00B331E5" w:rsidRPr="003B4362">
        <w:rPr>
          <w:rFonts w:eastAsia="Calibri"/>
          <w:szCs w:val="24"/>
        </w:rPr>
        <w:t>USEPA</w:t>
      </w:r>
      <w:r w:rsidRPr="003B4362">
        <w:rPr>
          <w:rFonts w:eastAsia="Calibri"/>
          <w:szCs w:val="24"/>
        </w:rPr>
        <w:t xml:space="preserve"> and the </w:t>
      </w:r>
      <w:r w:rsidR="00B331E5" w:rsidRPr="003B4362">
        <w:rPr>
          <w:rFonts w:eastAsia="Calibri"/>
          <w:szCs w:val="24"/>
        </w:rPr>
        <w:t>A</w:t>
      </w:r>
      <w:r w:rsidRPr="003B4362">
        <w:rPr>
          <w:rFonts w:eastAsia="Calibri"/>
          <w:szCs w:val="24"/>
        </w:rPr>
        <w:t>gency</w:t>
      </w:r>
      <w:bookmarkEnd w:id="4206"/>
      <w:bookmarkEnd w:id="4207"/>
      <w:r w:rsidRPr="003B4362">
        <w:rPr>
          <w:rFonts w:eastAsia="Calibri"/>
          <w:szCs w:val="24"/>
        </w:rPr>
        <w:t xml:space="preserve"> as soon as practicable but no later than 24 hours after the </w:t>
      </w:r>
      <w:r w:rsidR="00E22F63" w:rsidRPr="003B4362">
        <w:rPr>
          <w:rFonts w:eastAsia="Calibri"/>
          <w:szCs w:val="24"/>
        </w:rPr>
        <w:t>supplier</w:t>
      </w:r>
      <w:r w:rsidRPr="003B4362">
        <w:rPr>
          <w:rFonts w:eastAsia="Calibri"/>
          <w:szCs w:val="24"/>
        </w:rPr>
        <w:t xml:space="preserve"> </w:t>
      </w:r>
      <w:bookmarkStart w:id="4208" w:name="_Hlk116468897"/>
      <w:r w:rsidRPr="003B4362">
        <w:rPr>
          <w:rFonts w:eastAsia="Calibri"/>
          <w:szCs w:val="24"/>
        </w:rPr>
        <w:t>learns of the exceedance</w:t>
      </w:r>
      <w:bookmarkEnd w:id="4208"/>
      <w:r w:rsidRPr="003B4362">
        <w:rPr>
          <w:rFonts w:eastAsia="Calibri"/>
          <w:szCs w:val="24"/>
        </w:rPr>
        <w:t>.</w:t>
      </w:r>
      <w:bookmarkEnd w:id="4203"/>
    </w:p>
    <w:p w14:paraId="2B3A2F29" w14:textId="77777777" w:rsidR="005F7A96" w:rsidRDefault="005F7A96" w:rsidP="005F7A96">
      <w:pPr>
        <w:suppressAutoHyphens/>
        <w:ind w:left="1440" w:hanging="720"/>
      </w:pPr>
    </w:p>
    <w:p w14:paraId="30247822" w14:textId="7D2262EE" w:rsidR="005614AB" w:rsidRPr="003B4362" w:rsidRDefault="005614AB" w:rsidP="005F7A96">
      <w:pPr>
        <w:suppressAutoHyphens/>
        <w:ind w:left="1440" w:hanging="720"/>
      </w:pPr>
      <w:r w:rsidRPr="003B4362">
        <w:t>e)</w:t>
      </w:r>
      <w:r w:rsidRPr="003B4362">
        <w:tab/>
        <w:t xml:space="preserve">The supplier must submit to the Agency </w:t>
      </w:r>
      <w:bookmarkStart w:id="4209" w:name="_Hlk131591784"/>
      <w:r w:rsidRPr="003B4362">
        <w:t xml:space="preserve">within the time </w:t>
      </w:r>
      <w:r w:rsidR="0085766A" w:rsidRPr="003B4362">
        <w:t xml:space="preserve">the Agency states </w:t>
      </w:r>
      <w:r w:rsidRPr="003B4362">
        <w:t xml:space="preserve">in </w:t>
      </w:r>
      <w:r w:rsidR="0085766A" w:rsidRPr="003B4362">
        <w:t xml:space="preserve">a </w:t>
      </w:r>
      <w:r w:rsidRPr="003B4362">
        <w:t>request</w:t>
      </w:r>
      <w:bookmarkEnd w:id="4209"/>
      <w:r w:rsidRPr="003B4362">
        <w:t xml:space="preserve"> copies of </w:t>
      </w:r>
      <w:bookmarkStart w:id="4210" w:name="_Hlk131591874"/>
      <w:r w:rsidRPr="003B4362">
        <w:t xml:space="preserve">any records Section 611.860 </w:t>
      </w:r>
      <w:r w:rsidR="00182C30" w:rsidRPr="003B4362">
        <w:t xml:space="preserve">requires </w:t>
      </w:r>
      <w:r w:rsidRPr="003B4362">
        <w:t xml:space="preserve">or copies of any </w:t>
      </w:r>
      <w:r w:rsidR="00182C30" w:rsidRPr="003B4362">
        <w:t xml:space="preserve">existing </w:t>
      </w:r>
      <w:r w:rsidRPr="003B4362">
        <w:t xml:space="preserve">documents that Section 4 of the </w:t>
      </w:r>
      <w:r w:rsidRPr="003B4362">
        <w:rPr>
          <w:spacing w:val="-2"/>
        </w:rPr>
        <w:t>Act</w:t>
      </w:r>
      <w:r w:rsidRPr="003B4362">
        <w:t xml:space="preserve"> [415 ILCS 5/4]</w:t>
      </w:r>
      <w:r w:rsidR="00182C30" w:rsidRPr="003B4362">
        <w:t xml:space="preserve"> entitles the Agency to inspect</w:t>
      </w:r>
      <w:bookmarkEnd w:id="4210"/>
      <w:r w:rsidRPr="003B4362">
        <w:t>.</w:t>
      </w:r>
    </w:p>
    <w:p w14:paraId="6C8F284E" w14:textId="77777777" w:rsidR="008D1FEE" w:rsidRDefault="008D1FEE" w:rsidP="005F7A96"/>
    <w:p w14:paraId="02216BD9" w14:textId="283AA315" w:rsidR="005614AB" w:rsidRPr="003B4362" w:rsidRDefault="005614AB" w:rsidP="005F7A96">
      <w:r w:rsidRPr="003B4362">
        <w:t xml:space="preserve">BOARD NOTE:  </w:t>
      </w:r>
      <w:r w:rsidR="00260D73" w:rsidRPr="003B4362">
        <w:rPr>
          <w:spacing w:val="-3"/>
        </w:rPr>
        <w:t xml:space="preserve">This Section derives </w:t>
      </w:r>
      <w:r w:rsidRPr="003B4362">
        <w:t>from 40 CFR 141.31.</w:t>
      </w:r>
    </w:p>
    <w:p w14:paraId="5F08BBD5" w14:textId="77777777" w:rsidR="008D1FEE" w:rsidRDefault="008D1FEE" w:rsidP="005F7A96">
      <w:pPr>
        <w:suppressAutoHyphens/>
        <w:ind w:left="720"/>
      </w:pPr>
    </w:p>
    <w:p w14:paraId="57331FD9" w14:textId="4B0A23B5" w:rsidR="005614AB" w:rsidRPr="003B4362" w:rsidRDefault="005614AB" w:rsidP="005F7A96">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34B177D1" w14:textId="77777777" w:rsidR="008D1FEE" w:rsidRDefault="008D1FEE" w:rsidP="005F7A96">
      <w:pPr>
        <w:rPr>
          <w:b/>
          <w:bCs/>
        </w:rPr>
      </w:pPr>
    </w:p>
    <w:p w14:paraId="131429C3" w14:textId="6D1AB57D" w:rsidR="005F7A96" w:rsidRPr="005F7A96" w:rsidRDefault="005F7A96" w:rsidP="008D1FEE">
      <w:pPr>
        <w:rPr>
          <w:b/>
          <w:bCs/>
        </w:rPr>
      </w:pPr>
      <w:r w:rsidRPr="005F7A96">
        <w:rPr>
          <w:b/>
          <w:bCs/>
        </w:rPr>
        <w:t>Section 611.851  Reporting MCL</w:t>
      </w:r>
      <w:r w:rsidRPr="005F7A96">
        <w:rPr>
          <w:b/>
          <w:bCs/>
          <w:spacing w:val="-2"/>
        </w:rPr>
        <w:t>, MRDL, and</w:t>
      </w:r>
      <w:r w:rsidRPr="005F7A96">
        <w:rPr>
          <w:b/>
          <w:bCs/>
        </w:rPr>
        <w:t xml:space="preserve"> other Violations (Repealed)</w:t>
      </w:r>
    </w:p>
    <w:p w14:paraId="0792E061" w14:textId="77777777" w:rsidR="005F7A96" w:rsidRPr="005F7A96" w:rsidRDefault="005F7A96" w:rsidP="008D1FEE">
      <w:pPr>
        <w:rPr>
          <w:b/>
          <w:bCs/>
        </w:rPr>
      </w:pPr>
    </w:p>
    <w:p w14:paraId="28B6A81B" w14:textId="77777777" w:rsidR="005F7A96" w:rsidRPr="001A7517" w:rsidRDefault="005F7A96" w:rsidP="008D1FEE">
      <w:pPr>
        <w:ind w:left="720"/>
        <w:rPr>
          <w:spacing w:val="-3"/>
        </w:rPr>
      </w:pPr>
      <w:r w:rsidRPr="001A7517">
        <w:rPr>
          <w:spacing w:val="-3"/>
        </w:rPr>
        <w:t>(Source:  Repealed at 25 Ill. Reg. 1329, effective January 11, 2001)</w:t>
      </w:r>
    </w:p>
    <w:p w14:paraId="7991588F" w14:textId="77777777" w:rsidR="008D1FEE" w:rsidRDefault="008D1FEE" w:rsidP="008D1FEE">
      <w:pPr>
        <w:rPr>
          <w:b/>
          <w:bCs/>
        </w:rPr>
      </w:pPr>
    </w:p>
    <w:p w14:paraId="025BD680" w14:textId="282048B0" w:rsidR="005F7A96" w:rsidRPr="005F7A96" w:rsidRDefault="005F7A96" w:rsidP="008D1FEE">
      <w:pPr>
        <w:rPr>
          <w:b/>
          <w:bCs/>
        </w:rPr>
      </w:pPr>
      <w:r w:rsidRPr="005F7A96">
        <w:rPr>
          <w:b/>
          <w:bCs/>
        </w:rPr>
        <w:t>Section 611.852  Reporting other Violations (Repealed)</w:t>
      </w:r>
    </w:p>
    <w:p w14:paraId="184092F1" w14:textId="77777777" w:rsidR="005F7A96" w:rsidRPr="005F7A96" w:rsidRDefault="005F7A96" w:rsidP="008D1FEE">
      <w:pPr>
        <w:rPr>
          <w:b/>
          <w:bCs/>
        </w:rPr>
      </w:pPr>
    </w:p>
    <w:p w14:paraId="0051E200" w14:textId="77777777" w:rsidR="005F7A96" w:rsidRPr="001A7517" w:rsidRDefault="005F7A96" w:rsidP="008D1FEE">
      <w:pPr>
        <w:ind w:left="720"/>
        <w:rPr>
          <w:spacing w:val="-3"/>
        </w:rPr>
      </w:pPr>
      <w:r w:rsidRPr="001A7517">
        <w:rPr>
          <w:spacing w:val="-3"/>
        </w:rPr>
        <w:t>(Source:  Repealed at 25 Ill. Reg. 1329, effective January 11, 2001)</w:t>
      </w:r>
    </w:p>
    <w:p w14:paraId="78CE5CA4" w14:textId="77777777" w:rsidR="008D1FEE" w:rsidRDefault="008D1FEE" w:rsidP="008D1FEE">
      <w:pPr>
        <w:rPr>
          <w:b/>
          <w:bCs/>
        </w:rPr>
      </w:pPr>
    </w:p>
    <w:p w14:paraId="6057D830" w14:textId="57FF50DF" w:rsidR="005F7A96" w:rsidRPr="005F7A96" w:rsidRDefault="005F7A96" w:rsidP="008D1FEE">
      <w:pPr>
        <w:rPr>
          <w:b/>
          <w:bCs/>
        </w:rPr>
      </w:pPr>
      <w:r w:rsidRPr="005F7A96">
        <w:rPr>
          <w:b/>
          <w:bCs/>
        </w:rPr>
        <w:t>Section 611.853  Notice to New Billing Units (Repealed)</w:t>
      </w:r>
    </w:p>
    <w:p w14:paraId="250DA081" w14:textId="77777777" w:rsidR="005F7A96" w:rsidRPr="005F7A96" w:rsidRDefault="005F7A96" w:rsidP="008D1FEE">
      <w:pPr>
        <w:rPr>
          <w:b/>
          <w:bCs/>
        </w:rPr>
      </w:pPr>
    </w:p>
    <w:p w14:paraId="16D3286B" w14:textId="77777777" w:rsidR="005F7A96" w:rsidRPr="001A7517" w:rsidRDefault="005F7A96" w:rsidP="008D1FEE">
      <w:pPr>
        <w:ind w:left="720"/>
        <w:rPr>
          <w:spacing w:val="-3"/>
        </w:rPr>
      </w:pPr>
      <w:r w:rsidRPr="001A7517">
        <w:rPr>
          <w:spacing w:val="-3"/>
        </w:rPr>
        <w:t>(Source:  Repealed at 25 Ill. Reg. 1329, effective January 11, 2001)</w:t>
      </w:r>
    </w:p>
    <w:p w14:paraId="61BB22D1" w14:textId="77777777" w:rsidR="008D1FEE" w:rsidRDefault="008D1FEE" w:rsidP="008D1FEE">
      <w:pPr>
        <w:rPr>
          <w:b/>
          <w:bCs/>
        </w:rPr>
      </w:pPr>
    </w:p>
    <w:p w14:paraId="3DC24326" w14:textId="1FC4F36B" w:rsidR="005F7A96" w:rsidRPr="005F7A96" w:rsidRDefault="005F7A96" w:rsidP="008D1FEE">
      <w:pPr>
        <w:rPr>
          <w:b/>
          <w:bCs/>
        </w:rPr>
      </w:pPr>
      <w:r w:rsidRPr="005F7A96">
        <w:rPr>
          <w:b/>
          <w:bCs/>
        </w:rPr>
        <w:t>Section 611.854  General Content of Public Notice (Repealed)</w:t>
      </w:r>
    </w:p>
    <w:p w14:paraId="6096DE12" w14:textId="77777777" w:rsidR="005F7A96" w:rsidRPr="005F7A96" w:rsidRDefault="005F7A96" w:rsidP="008D1FEE">
      <w:pPr>
        <w:rPr>
          <w:b/>
          <w:bCs/>
        </w:rPr>
      </w:pPr>
    </w:p>
    <w:p w14:paraId="16D24D81" w14:textId="77777777" w:rsidR="005F7A96" w:rsidRPr="001A7517" w:rsidRDefault="005F7A96" w:rsidP="008D1FEE">
      <w:pPr>
        <w:ind w:left="720"/>
        <w:rPr>
          <w:spacing w:val="-3"/>
        </w:rPr>
      </w:pPr>
      <w:r w:rsidRPr="001A7517">
        <w:rPr>
          <w:spacing w:val="-3"/>
        </w:rPr>
        <w:t>(Source:  Repealed at 25 Ill. Reg. 1329, effective January 11, 2001)</w:t>
      </w:r>
    </w:p>
    <w:p w14:paraId="4B0F9CD5" w14:textId="77777777" w:rsidR="008D1FEE" w:rsidRDefault="008D1FEE" w:rsidP="008D1FEE">
      <w:pPr>
        <w:rPr>
          <w:b/>
          <w:bCs/>
        </w:rPr>
      </w:pPr>
    </w:p>
    <w:p w14:paraId="1CF41619" w14:textId="633388AF" w:rsidR="005F7A96" w:rsidRPr="005F7A96" w:rsidRDefault="005F7A96" w:rsidP="008D1FEE">
      <w:pPr>
        <w:rPr>
          <w:b/>
          <w:bCs/>
        </w:rPr>
      </w:pPr>
      <w:r w:rsidRPr="005F7A96">
        <w:rPr>
          <w:b/>
          <w:bCs/>
        </w:rPr>
        <w:t>Section 611.855  Mandatory Health Effects Language (Repealed)</w:t>
      </w:r>
    </w:p>
    <w:p w14:paraId="5B007474" w14:textId="77777777" w:rsidR="005F7A96" w:rsidRPr="005F7A96" w:rsidRDefault="005F7A96" w:rsidP="008D1FEE">
      <w:pPr>
        <w:rPr>
          <w:b/>
          <w:bCs/>
        </w:rPr>
      </w:pPr>
    </w:p>
    <w:p w14:paraId="3B8068E6" w14:textId="77777777" w:rsidR="005F7A96" w:rsidRPr="001A7517" w:rsidRDefault="005F7A96" w:rsidP="008D1FEE">
      <w:pPr>
        <w:ind w:left="720"/>
        <w:rPr>
          <w:spacing w:val="-3"/>
        </w:rPr>
      </w:pPr>
      <w:r w:rsidRPr="001A7517">
        <w:rPr>
          <w:spacing w:val="-3"/>
        </w:rPr>
        <w:t>(Source:  Repealed at 25 Ill. Reg. 1329, effective January 11, 2001)</w:t>
      </w:r>
    </w:p>
    <w:p w14:paraId="77DC3055" w14:textId="77777777" w:rsidR="008D1FEE" w:rsidRDefault="008D1FEE" w:rsidP="008D1FEE">
      <w:pPr>
        <w:rPr>
          <w:b/>
          <w:bCs/>
        </w:rPr>
      </w:pPr>
    </w:p>
    <w:p w14:paraId="48450277" w14:textId="31006980" w:rsidR="005F7A96" w:rsidRPr="005F7A96" w:rsidRDefault="005F7A96" w:rsidP="008D1FEE">
      <w:pPr>
        <w:rPr>
          <w:b/>
          <w:bCs/>
        </w:rPr>
      </w:pPr>
      <w:r w:rsidRPr="005F7A96">
        <w:rPr>
          <w:b/>
          <w:bCs/>
        </w:rPr>
        <w:t>Section 611.856  Fluoride Notice (Repealed)</w:t>
      </w:r>
    </w:p>
    <w:p w14:paraId="1A7C70F1" w14:textId="77777777" w:rsidR="005F7A96" w:rsidRPr="005F7A96" w:rsidRDefault="005F7A96" w:rsidP="008D1FEE">
      <w:pPr>
        <w:rPr>
          <w:b/>
          <w:bCs/>
        </w:rPr>
      </w:pPr>
    </w:p>
    <w:p w14:paraId="33057BA2" w14:textId="77777777" w:rsidR="005F7A96" w:rsidRPr="001A7517" w:rsidRDefault="005F7A96" w:rsidP="008D1FEE">
      <w:pPr>
        <w:ind w:left="720"/>
        <w:rPr>
          <w:spacing w:val="-3"/>
        </w:rPr>
      </w:pPr>
      <w:r w:rsidRPr="001A7517">
        <w:rPr>
          <w:spacing w:val="-3"/>
        </w:rPr>
        <w:t>(Source:  Repealed at 25 Ill. Reg. 1329, effective January 11, 2001)</w:t>
      </w:r>
    </w:p>
    <w:p w14:paraId="4116ECF6" w14:textId="77777777" w:rsidR="008D1FEE" w:rsidRDefault="008D1FEE" w:rsidP="008D1FEE">
      <w:pPr>
        <w:rPr>
          <w:b/>
          <w:bCs/>
        </w:rPr>
      </w:pPr>
    </w:p>
    <w:p w14:paraId="7464C486" w14:textId="55372F1A" w:rsidR="005F7A96" w:rsidRPr="005F7A96" w:rsidRDefault="005F7A96" w:rsidP="008D1FEE">
      <w:pPr>
        <w:rPr>
          <w:b/>
          <w:bCs/>
        </w:rPr>
      </w:pPr>
      <w:r w:rsidRPr="005F7A96">
        <w:rPr>
          <w:b/>
          <w:bCs/>
        </w:rPr>
        <w:t>Section 611.858  Fluoride Secondary Standard (Repealed)</w:t>
      </w:r>
    </w:p>
    <w:p w14:paraId="58D43E3E" w14:textId="77777777" w:rsidR="005F7A96" w:rsidRPr="005F7A96" w:rsidRDefault="005F7A96" w:rsidP="008D1FEE">
      <w:pPr>
        <w:rPr>
          <w:b/>
          <w:bCs/>
        </w:rPr>
      </w:pPr>
    </w:p>
    <w:p w14:paraId="6164AA36" w14:textId="77777777" w:rsidR="005F7A96" w:rsidRPr="001A7517" w:rsidRDefault="005F7A96" w:rsidP="008D1FEE">
      <w:pPr>
        <w:ind w:left="720"/>
        <w:rPr>
          <w:spacing w:val="-3"/>
        </w:rPr>
      </w:pPr>
      <w:r w:rsidRPr="001A7517">
        <w:rPr>
          <w:spacing w:val="-3"/>
        </w:rPr>
        <w:t>(Source:  Repealed at 25 Ill. Reg. 1329, effective January 11, 2001)</w:t>
      </w:r>
    </w:p>
    <w:p w14:paraId="7561CE43" w14:textId="77777777" w:rsidR="008D1FEE" w:rsidRDefault="008D1FEE" w:rsidP="005F7A96">
      <w:pPr>
        <w:rPr>
          <w:b/>
          <w:bCs/>
        </w:rPr>
      </w:pPr>
    </w:p>
    <w:p w14:paraId="6DE2C3B7" w14:textId="278D5E27" w:rsidR="005F7A96" w:rsidRPr="005F7A96" w:rsidRDefault="005F7A96" w:rsidP="008D1FEE">
      <w:pPr>
        <w:rPr>
          <w:b/>
          <w:bCs/>
        </w:rPr>
      </w:pPr>
      <w:r w:rsidRPr="005F7A96">
        <w:rPr>
          <w:b/>
          <w:bCs/>
        </w:rPr>
        <w:t>Section 611.860  Record Maintenance</w:t>
      </w:r>
    </w:p>
    <w:p w14:paraId="2D807738" w14:textId="77777777" w:rsidR="008D1FEE" w:rsidRDefault="008D1FEE" w:rsidP="008D1FEE"/>
    <w:p w14:paraId="2F7B251D" w14:textId="0B67F075" w:rsidR="005F7A96" w:rsidRPr="001A7517" w:rsidRDefault="005F7A96" w:rsidP="008D1FEE">
      <w:r w:rsidRPr="001A7517">
        <w:t>A supplier must retain on its premises or at a convenient location near its premises the following records:</w:t>
      </w:r>
    </w:p>
    <w:p w14:paraId="73E8AF8B" w14:textId="77777777" w:rsidR="008D1FEE" w:rsidRDefault="008D1FEE" w:rsidP="008D1FEE">
      <w:pPr>
        <w:ind w:left="1440" w:hanging="720"/>
      </w:pPr>
    </w:p>
    <w:p w14:paraId="224B9717" w14:textId="346A7A75" w:rsidR="005F7A96" w:rsidRPr="001A7517" w:rsidRDefault="005F7A96" w:rsidP="008D1FEE">
      <w:pPr>
        <w:ind w:left="1440" w:hanging="720"/>
      </w:pPr>
      <w:r w:rsidRPr="001A7517">
        <w:t>a)</w:t>
      </w:r>
      <w:r w:rsidRPr="001A7517">
        <w:tab/>
        <w:t>Records of bacteriological analyses and turbidity analyses made under this Part must be kept for not less than five years.  Records of chemical analyses made under this Part must be kept for not less than ten years.  Actual laboratory reports may be kept, or data may be transferred to tabular summaries, provided that the following information is included:</w:t>
      </w:r>
    </w:p>
    <w:p w14:paraId="58BCA51D" w14:textId="77777777" w:rsidR="008D1FEE" w:rsidRDefault="008D1FEE" w:rsidP="008D1FEE">
      <w:pPr>
        <w:ind w:left="2160" w:hanging="720"/>
      </w:pPr>
    </w:p>
    <w:p w14:paraId="48F000C2" w14:textId="40A36DEB" w:rsidR="005F7A96" w:rsidRPr="001A7517" w:rsidRDefault="005F7A96" w:rsidP="008D1FEE">
      <w:pPr>
        <w:ind w:left="2160" w:hanging="720"/>
      </w:pPr>
      <w:r w:rsidRPr="001A7517">
        <w:t>1)</w:t>
      </w:r>
      <w:r w:rsidRPr="001A7517">
        <w:tab/>
        <w:t>The date, place, and time of sampling, and the name of the person who collected the sample;</w:t>
      </w:r>
    </w:p>
    <w:p w14:paraId="0D35EEB6" w14:textId="77777777" w:rsidR="008D1FEE" w:rsidRDefault="008D1FEE" w:rsidP="008D1FEE">
      <w:pPr>
        <w:ind w:left="2160" w:hanging="720"/>
      </w:pPr>
    </w:p>
    <w:p w14:paraId="3A59DD2E" w14:textId="58173415" w:rsidR="005F7A96" w:rsidRPr="001A7517" w:rsidRDefault="005F7A96" w:rsidP="008D1FEE">
      <w:pPr>
        <w:ind w:left="2160" w:hanging="720"/>
      </w:pPr>
      <w:r w:rsidRPr="001A7517">
        <w:t>2)</w:t>
      </w:r>
      <w:r w:rsidRPr="001A7517">
        <w:tab/>
        <w:t>Identification of the sample as to whether it was a routine distribution system sample, check sample, raw or process water sample, or other special purpose sample;</w:t>
      </w:r>
    </w:p>
    <w:p w14:paraId="29DDC9B2" w14:textId="77777777" w:rsidR="008D1FEE" w:rsidRDefault="008D1FEE" w:rsidP="008D1FEE">
      <w:pPr>
        <w:ind w:left="2160" w:hanging="720"/>
      </w:pPr>
    </w:p>
    <w:p w14:paraId="24870B39" w14:textId="691370DD" w:rsidR="005F7A96" w:rsidRPr="001A7517" w:rsidRDefault="005F7A96" w:rsidP="008D1FEE">
      <w:pPr>
        <w:ind w:left="2160" w:hanging="720"/>
      </w:pPr>
      <w:r w:rsidRPr="001A7517">
        <w:t>3)</w:t>
      </w:r>
      <w:r w:rsidRPr="001A7517">
        <w:tab/>
        <w:t>The date of analysis;</w:t>
      </w:r>
    </w:p>
    <w:p w14:paraId="65167D04" w14:textId="77777777" w:rsidR="008D1FEE" w:rsidRDefault="008D1FEE" w:rsidP="008D1FEE">
      <w:pPr>
        <w:ind w:left="2160" w:hanging="720"/>
      </w:pPr>
    </w:p>
    <w:p w14:paraId="6BC6578E" w14:textId="3C8F6B5C" w:rsidR="005F7A96" w:rsidRPr="001A7517" w:rsidRDefault="005F7A96" w:rsidP="008D1FEE">
      <w:pPr>
        <w:ind w:left="2160" w:hanging="720"/>
      </w:pPr>
      <w:r w:rsidRPr="001A7517">
        <w:t>4)</w:t>
      </w:r>
      <w:r w:rsidRPr="001A7517">
        <w:tab/>
        <w:t>The laboratory and person responsible for performing analysis;</w:t>
      </w:r>
    </w:p>
    <w:p w14:paraId="2A685622" w14:textId="77777777" w:rsidR="008D1FEE" w:rsidRDefault="008D1FEE" w:rsidP="008D1FEE">
      <w:pPr>
        <w:ind w:left="2160" w:hanging="720"/>
      </w:pPr>
    </w:p>
    <w:p w14:paraId="3319D839" w14:textId="2AC6DF11" w:rsidR="005F7A96" w:rsidRPr="001A7517" w:rsidRDefault="005F7A96" w:rsidP="008D1FEE">
      <w:pPr>
        <w:ind w:left="2160" w:hanging="720"/>
      </w:pPr>
      <w:r w:rsidRPr="001A7517">
        <w:t>5)</w:t>
      </w:r>
      <w:r w:rsidRPr="001A7517">
        <w:tab/>
        <w:t>The analytical technique or method used; and</w:t>
      </w:r>
    </w:p>
    <w:p w14:paraId="1802B892" w14:textId="77777777" w:rsidR="008D1FEE" w:rsidRDefault="008D1FEE" w:rsidP="008D1FEE">
      <w:pPr>
        <w:ind w:left="2160" w:hanging="720"/>
      </w:pPr>
    </w:p>
    <w:p w14:paraId="0188E372" w14:textId="7FBD30B6" w:rsidR="005F7A96" w:rsidRPr="001A7517" w:rsidRDefault="005F7A96" w:rsidP="008D1FEE">
      <w:pPr>
        <w:ind w:left="2160" w:hanging="720"/>
      </w:pPr>
      <w:r w:rsidRPr="001A7517">
        <w:t>6)</w:t>
      </w:r>
      <w:r w:rsidRPr="001A7517">
        <w:tab/>
        <w:t>The results of the analysis.</w:t>
      </w:r>
    </w:p>
    <w:p w14:paraId="3E0185D9" w14:textId="77777777" w:rsidR="008D1FEE" w:rsidRDefault="008D1FEE" w:rsidP="008D1FEE">
      <w:pPr>
        <w:ind w:left="1440" w:hanging="720"/>
      </w:pPr>
    </w:p>
    <w:p w14:paraId="7B8A2CA1" w14:textId="3B6F75A8" w:rsidR="005F7A96" w:rsidRPr="001A7517" w:rsidRDefault="005F7A96" w:rsidP="008D1FEE">
      <w:pPr>
        <w:ind w:left="1440" w:hanging="720"/>
      </w:pPr>
      <w:r w:rsidRPr="001A7517">
        <w:t>b)</w:t>
      </w:r>
      <w:r w:rsidRPr="001A7517">
        <w:tab/>
        <w:t>Records of action taken by the supplier to correct violations of this Part must be kept for a period not less than three years after the last action taken with respect to the particular violation involved.</w:t>
      </w:r>
    </w:p>
    <w:p w14:paraId="3F4BB2EB" w14:textId="77777777" w:rsidR="008D1FEE" w:rsidRDefault="008D1FEE" w:rsidP="008D1FEE">
      <w:pPr>
        <w:ind w:left="1440" w:hanging="720"/>
      </w:pPr>
    </w:p>
    <w:p w14:paraId="7EDF20BC" w14:textId="5B78AB2D" w:rsidR="005F7A96" w:rsidRPr="001A7517" w:rsidRDefault="005F7A96" w:rsidP="008D1FEE">
      <w:pPr>
        <w:ind w:left="1440" w:hanging="720"/>
      </w:pPr>
      <w:r w:rsidRPr="001A7517">
        <w:t>c)</w:t>
      </w:r>
      <w:r w:rsidRPr="001A7517">
        <w:tab/>
        <w:t>Copies of any written reports, summaries, or communications relating to sanitary surveys of the system conducted by the supplier itself, by a private consultant, by USEPA, the Agency, or a unit of local government delegated under Section 611.108, must be kept for a period not less than ten years after completion of the sanitary survey involved.</w:t>
      </w:r>
    </w:p>
    <w:p w14:paraId="7DA83DCA" w14:textId="77777777" w:rsidR="008D1FEE" w:rsidRDefault="008D1FEE" w:rsidP="008D1FEE">
      <w:pPr>
        <w:ind w:left="1440" w:hanging="720"/>
      </w:pPr>
    </w:p>
    <w:p w14:paraId="50F7C89A" w14:textId="561BA57B" w:rsidR="005F7A96" w:rsidRPr="001A7517" w:rsidRDefault="005F7A96" w:rsidP="008D1FEE">
      <w:pPr>
        <w:ind w:left="1440" w:hanging="720"/>
      </w:pPr>
      <w:r w:rsidRPr="001A7517">
        <w:t>d)</w:t>
      </w:r>
      <w:r w:rsidRPr="001A7517">
        <w:tab/>
        <w:t>Records concerning a variance or adjusted standard granted to the supplier must be kept for a period ending not less than five years following the expiration of such variance or adjusted standard.</w:t>
      </w:r>
    </w:p>
    <w:p w14:paraId="480938ED" w14:textId="77777777" w:rsidR="008D1FEE" w:rsidRDefault="008D1FEE" w:rsidP="008D1FEE">
      <w:pPr>
        <w:ind w:left="1440" w:hanging="720"/>
      </w:pPr>
    </w:p>
    <w:p w14:paraId="4CD7A2F9" w14:textId="3A5773FB" w:rsidR="005F7A96" w:rsidRPr="001A7517" w:rsidRDefault="005F7A96" w:rsidP="008D1FEE">
      <w:pPr>
        <w:ind w:left="1440" w:hanging="720"/>
      </w:pPr>
      <w:r w:rsidRPr="001A7517">
        <w:lastRenderedPageBreak/>
        <w:t>e)</w:t>
      </w:r>
      <w:r w:rsidRPr="001A7517">
        <w:tab/>
        <w:t>Copies of public notices issued under Subpart V and certifications made to the Agency under Section 611.840 must be kept for three years after issuance.</w:t>
      </w:r>
    </w:p>
    <w:p w14:paraId="51A68D05" w14:textId="77777777" w:rsidR="008D1FEE" w:rsidRDefault="008D1FEE" w:rsidP="008D1FEE">
      <w:pPr>
        <w:ind w:left="1440" w:hanging="720"/>
        <w:rPr>
          <w:szCs w:val="18"/>
        </w:rPr>
      </w:pPr>
    </w:p>
    <w:p w14:paraId="0793FAEF" w14:textId="24D9C6A6" w:rsidR="005F7A96" w:rsidRPr="001A7517" w:rsidRDefault="005F7A96" w:rsidP="008D1FEE">
      <w:pPr>
        <w:ind w:left="1440" w:hanging="720"/>
        <w:rPr>
          <w:szCs w:val="18"/>
        </w:rPr>
      </w:pPr>
      <w:r w:rsidRPr="001A7517">
        <w:rPr>
          <w:szCs w:val="18"/>
        </w:rPr>
        <w:t>f)</w:t>
      </w:r>
      <w:r w:rsidRPr="001A7517">
        <w:rPr>
          <w:szCs w:val="18"/>
        </w:rPr>
        <w:tab/>
        <w:t xml:space="preserve">Copies of monitoring plans developed </w:t>
      </w:r>
      <w:r w:rsidRPr="001A7517">
        <w:t xml:space="preserve">under </w:t>
      </w:r>
      <w:r w:rsidRPr="001A7517">
        <w:rPr>
          <w:szCs w:val="18"/>
        </w:rPr>
        <w:t xml:space="preserve">this Part must be kept for the same period of not less than five years that applies to the records of analyses taken under the plan </w:t>
      </w:r>
      <w:r w:rsidRPr="001A7517">
        <w:t xml:space="preserve">under </w:t>
      </w:r>
      <w:r w:rsidRPr="001A7517">
        <w:rPr>
          <w:szCs w:val="18"/>
        </w:rPr>
        <w:t>subsection (a), except as specified otherwise elsewhere in this Part.</w:t>
      </w:r>
    </w:p>
    <w:p w14:paraId="38DB2681" w14:textId="77777777" w:rsidR="008D1FEE" w:rsidRDefault="008D1FEE" w:rsidP="008D1FEE"/>
    <w:p w14:paraId="530E5972" w14:textId="7D7CD3ED" w:rsidR="005F7A96" w:rsidRPr="001A7517" w:rsidRDefault="005F7A96" w:rsidP="008D1FEE">
      <w:r w:rsidRPr="001A7517">
        <w:t>BOARD NOTE:  Derived from 40 CFR 141.33.</w:t>
      </w:r>
    </w:p>
    <w:p w14:paraId="06BCCC34" w14:textId="77777777" w:rsidR="008D1FEE" w:rsidRDefault="008D1FEE" w:rsidP="008D1FEE">
      <w:pPr>
        <w:suppressAutoHyphens/>
        <w:ind w:left="720"/>
      </w:pPr>
    </w:p>
    <w:p w14:paraId="688A5436" w14:textId="4A6102FF" w:rsidR="005F7A96" w:rsidRPr="001A7517" w:rsidRDefault="005F7A96" w:rsidP="008D1FEE">
      <w:pPr>
        <w:suppressAutoHyphens/>
        <w:ind w:left="720"/>
      </w:pPr>
      <w:r w:rsidRPr="001A7517">
        <w:t>(Source:  A</w:t>
      </w:r>
      <w:r w:rsidRPr="001A7517">
        <w:rPr>
          <w:szCs w:val="17"/>
        </w:rPr>
        <w:t xml:space="preserve">mended at </w:t>
      </w:r>
      <w:r w:rsidRPr="001A7517">
        <w:t>42 Ill. Reg. 1140, effective January 4, 2018)</w:t>
      </w:r>
    </w:p>
    <w:p w14:paraId="5CE51C26" w14:textId="77777777" w:rsidR="008D1FEE" w:rsidRDefault="008D1FEE" w:rsidP="005F7A96">
      <w:pPr>
        <w:rPr>
          <w:b/>
          <w:bCs/>
        </w:rPr>
      </w:pPr>
    </w:p>
    <w:p w14:paraId="1DCD87BE" w14:textId="13F29905" w:rsidR="005F7A96" w:rsidRPr="005F7A96" w:rsidRDefault="005F7A96" w:rsidP="008D1FEE">
      <w:pPr>
        <w:rPr>
          <w:b/>
          <w:bCs/>
        </w:rPr>
      </w:pPr>
      <w:r w:rsidRPr="005F7A96">
        <w:rPr>
          <w:b/>
          <w:bCs/>
        </w:rPr>
        <w:t>Section 611.870  List of 36 Contaminants (Repealed)</w:t>
      </w:r>
    </w:p>
    <w:p w14:paraId="70DD3B9E" w14:textId="77777777" w:rsidR="005F7A96" w:rsidRPr="005F7A96" w:rsidRDefault="005F7A96" w:rsidP="008D1FEE">
      <w:pPr>
        <w:rPr>
          <w:b/>
          <w:bCs/>
        </w:rPr>
      </w:pPr>
    </w:p>
    <w:p w14:paraId="7245140E" w14:textId="4A1966B3" w:rsidR="005F7A96" w:rsidRDefault="005F7A96" w:rsidP="008D1FEE">
      <w:pPr>
        <w:suppressAutoHyphens/>
        <w:ind w:left="720"/>
      </w:pPr>
      <w:r w:rsidRPr="001A7517">
        <w:t>(Source:  Repealed at 20 Ill. Reg. 14493, effective October 22, 1996)</w:t>
      </w:r>
    </w:p>
    <w:p w14:paraId="4B85AF67" w14:textId="77777777" w:rsidR="008D1FEE" w:rsidRPr="001A7517" w:rsidRDefault="008D1FEE" w:rsidP="008D1FEE">
      <w:pPr>
        <w:suppressAutoHyphens/>
        <w:ind w:left="720"/>
      </w:pPr>
    </w:p>
    <w:p w14:paraId="5F1F606F" w14:textId="3E2562EA" w:rsidR="005F7A96" w:rsidRDefault="005F7A96" w:rsidP="008D1FEE">
      <w:pPr>
        <w:jc w:val="center"/>
      </w:pPr>
      <w:bookmarkStart w:id="4211" w:name="_Hlk531007287"/>
      <w:r w:rsidRPr="001A7517">
        <w:t>SUBPART U:  CONSUMER CONFIDENCE REPORTS</w:t>
      </w:r>
    </w:p>
    <w:p w14:paraId="3B50787C" w14:textId="77777777" w:rsidR="008D1FEE" w:rsidRPr="001A7517" w:rsidRDefault="008D1FEE" w:rsidP="008D1FEE">
      <w:pPr>
        <w:jc w:val="center"/>
      </w:pPr>
    </w:p>
    <w:bookmarkEnd w:id="4211"/>
    <w:p w14:paraId="51C36C32" w14:textId="2B3B0EB6" w:rsidR="005F7A96" w:rsidRDefault="005F7A96" w:rsidP="008D1FEE">
      <w:pPr>
        <w:rPr>
          <w:b/>
          <w:bCs/>
        </w:rPr>
      </w:pPr>
      <w:r w:rsidRPr="005F7A96">
        <w:rPr>
          <w:b/>
          <w:bCs/>
        </w:rPr>
        <w:t>Section 611.881  Purpose and Applicability</w:t>
      </w:r>
    </w:p>
    <w:p w14:paraId="13B02507" w14:textId="77777777" w:rsidR="008D1FEE" w:rsidRPr="005F7A96" w:rsidRDefault="008D1FEE" w:rsidP="008D1FEE">
      <w:pPr>
        <w:rPr>
          <w:b/>
          <w:bCs/>
        </w:rPr>
      </w:pPr>
    </w:p>
    <w:p w14:paraId="511AAD41" w14:textId="77777777" w:rsidR="005F7A96" w:rsidRPr="001A7517" w:rsidRDefault="005F7A96" w:rsidP="008D1FEE">
      <w:pPr>
        <w:suppressAutoHyphens/>
        <w:ind w:left="1440" w:hanging="720"/>
        <w:rPr>
          <w:spacing w:val="-2"/>
        </w:rPr>
      </w:pPr>
      <w:r w:rsidRPr="001A7517">
        <w:rPr>
          <w:spacing w:val="-2"/>
        </w:rPr>
        <w:t>a)</w:t>
      </w:r>
      <w:r w:rsidRPr="001A7517">
        <w:rPr>
          <w:spacing w:val="-2"/>
        </w:rPr>
        <w:tab/>
        <w:t>This Subpart</w:t>
      </w:r>
      <w:r w:rsidRPr="001A7517">
        <w:t xml:space="preserve"> U</w:t>
      </w:r>
      <w:r w:rsidRPr="001A7517">
        <w:rPr>
          <w:spacing w:val="-2"/>
        </w:rPr>
        <w:t xml:space="preserve"> establishes the minimum requirements for the content of annual reports that community water systems (CWSs) must deliver to their customers.  These reports must contain information on the quality of the water delivered by the systems and characterize the risks (if any) from exposure to contaminants detected in the drinking water in an accurate and understandable manner.</w:t>
      </w:r>
    </w:p>
    <w:p w14:paraId="13A64FF3" w14:textId="77777777" w:rsidR="008D1FEE" w:rsidRDefault="008D1FEE" w:rsidP="008D1FEE">
      <w:pPr>
        <w:suppressAutoHyphens/>
        <w:ind w:left="1440" w:hanging="720"/>
        <w:rPr>
          <w:spacing w:val="-2"/>
        </w:rPr>
      </w:pPr>
    </w:p>
    <w:p w14:paraId="07757075" w14:textId="678926E7" w:rsidR="005F7A96" w:rsidRPr="001A7517" w:rsidRDefault="005F7A96" w:rsidP="008D1FEE">
      <w:pPr>
        <w:suppressAutoHyphens/>
        <w:ind w:left="1440" w:hanging="720"/>
        <w:rPr>
          <w:spacing w:val="-2"/>
        </w:rPr>
      </w:pPr>
      <w:r w:rsidRPr="001A7517">
        <w:rPr>
          <w:spacing w:val="-2"/>
        </w:rPr>
        <w:t>b)</w:t>
      </w:r>
      <w:r w:rsidRPr="001A7517">
        <w:rPr>
          <w:spacing w:val="-2"/>
        </w:rPr>
        <w:tab/>
        <w:t>Notwithstanding the provisions of Section 611.100(d), this Subpart</w:t>
      </w:r>
      <w:r w:rsidRPr="001A7517">
        <w:t xml:space="preserve"> U</w:t>
      </w:r>
      <w:r w:rsidRPr="001A7517">
        <w:rPr>
          <w:spacing w:val="-2"/>
        </w:rPr>
        <w:t xml:space="preserve"> only applies to </w:t>
      </w:r>
      <w:r w:rsidRPr="001A7517">
        <w:t>CWSs</w:t>
      </w:r>
      <w:r w:rsidRPr="001A7517">
        <w:rPr>
          <w:spacing w:val="-2"/>
        </w:rPr>
        <w:t>.</w:t>
      </w:r>
    </w:p>
    <w:p w14:paraId="7007CD52" w14:textId="77777777" w:rsidR="008D1FEE" w:rsidRDefault="008D1FEE" w:rsidP="008D1FEE">
      <w:pPr>
        <w:suppressAutoHyphens/>
        <w:ind w:left="1440" w:hanging="720"/>
        <w:rPr>
          <w:spacing w:val="-2"/>
        </w:rPr>
      </w:pPr>
    </w:p>
    <w:p w14:paraId="3F67E3D0" w14:textId="6E55E38F" w:rsidR="005F7A96" w:rsidRPr="001A7517" w:rsidRDefault="005F7A96" w:rsidP="008D1FEE">
      <w:pPr>
        <w:suppressAutoHyphens/>
        <w:ind w:left="1440" w:hanging="720"/>
        <w:rPr>
          <w:spacing w:val="-2"/>
        </w:rPr>
      </w:pPr>
      <w:r w:rsidRPr="001A7517">
        <w:rPr>
          <w:spacing w:val="-2"/>
        </w:rPr>
        <w:t>c)</w:t>
      </w:r>
      <w:r w:rsidRPr="001A7517">
        <w:rPr>
          <w:spacing w:val="-2"/>
        </w:rPr>
        <w:tab/>
        <w:t>For the purpose of this Subpart</w:t>
      </w:r>
      <w:r w:rsidRPr="001A7517">
        <w:t xml:space="preserve"> U</w:t>
      </w:r>
      <w:r w:rsidRPr="001A7517">
        <w:rPr>
          <w:spacing w:val="-2"/>
        </w:rPr>
        <w:t>, “customers” are defined as billing units or service connections to which water is delivered by a CWS.</w:t>
      </w:r>
    </w:p>
    <w:p w14:paraId="5FD99A35" w14:textId="77777777" w:rsidR="008D1FEE" w:rsidRDefault="008D1FEE" w:rsidP="008D1FEE">
      <w:pPr>
        <w:suppressAutoHyphens/>
        <w:ind w:left="1440" w:hanging="720"/>
        <w:rPr>
          <w:spacing w:val="-2"/>
        </w:rPr>
      </w:pPr>
    </w:p>
    <w:p w14:paraId="0F9B7BF5" w14:textId="765CC40A" w:rsidR="005F7A96" w:rsidRPr="001A7517" w:rsidRDefault="005F7A96" w:rsidP="008D1FEE">
      <w:pPr>
        <w:suppressAutoHyphens/>
        <w:ind w:left="1440" w:hanging="720"/>
        <w:rPr>
          <w:spacing w:val="-2"/>
        </w:rPr>
      </w:pPr>
      <w:r w:rsidRPr="001A7517">
        <w:rPr>
          <w:spacing w:val="-2"/>
        </w:rPr>
        <w:t>d)</w:t>
      </w:r>
      <w:r w:rsidRPr="001A7517">
        <w:rPr>
          <w:spacing w:val="-2"/>
        </w:rPr>
        <w:tab/>
        <w:t>For the purpose of this Subpart</w:t>
      </w:r>
      <w:r w:rsidRPr="001A7517">
        <w:t xml:space="preserve"> U</w:t>
      </w:r>
      <w:r w:rsidRPr="001A7517">
        <w:rPr>
          <w:spacing w:val="-2"/>
        </w:rPr>
        <w:t>, “detected” means</w:t>
      </w:r>
      <w:r w:rsidRPr="001A7517">
        <w:t xml:space="preserve"> the following:  </w:t>
      </w:r>
      <w:r w:rsidRPr="001A7517">
        <w:rPr>
          <w:spacing w:val="-2"/>
        </w:rPr>
        <w:t xml:space="preserve">at or above the detection limit levels prescribed by Section 611.600(d) for inorganic contaminants; at or above the levels prescribed by Section 611.646(a) for </w:t>
      </w:r>
      <w:r w:rsidRPr="001A7517">
        <w:t>Phase I, II, and V VOCs</w:t>
      </w:r>
      <w:r w:rsidRPr="001A7517">
        <w:rPr>
          <w:spacing w:val="-2"/>
        </w:rPr>
        <w:t>;</w:t>
      </w:r>
      <w:r w:rsidRPr="001A7517">
        <w:t xml:space="preserve"> </w:t>
      </w:r>
      <w:r w:rsidRPr="001A7517">
        <w:rPr>
          <w:spacing w:val="-2"/>
        </w:rPr>
        <w:t xml:space="preserve">at or above the levels prescribed by Section 611.648(r) for </w:t>
      </w:r>
      <w:r w:rsidRPr="001A7517">
        <w:t>Phase II, IIB, and V SOCs</w:t>
      </w:r>
      <w:r w:rsidRPr="001A7517">
        <w:rPr>
          <w:szCs w:val="18"/>
        </w:rPr>
        <w:t xml:space="preserve"> at or above the levels prescribed by Section 611.381(b)(2)(D) for the disinfection byproducts listed in Section 611.312</w:t>
      </w:r>
      <w:r w:rsidRPr="001A7517">
        <w:rPr>
          <w:spacing w:val="-2"/>
        </w:rPr>
        <w:t>; and at or above the levels prescribed by Section 611.720(c)(3) for radioactive contaminants.</w:t>
      </w:r>
    </w:p>
    <w:p w14:paraId="5A232729" w14:textId="77777777" w:rsidR="008D1FEE" w:rsidRDefault="008D1FEE" w:rsidP="008D1FEE"/>
    <w:p w14:paraId="5AEF0DDD" w14:textId="39FDD6B8" w:rsidR="005F7A96" w:rsidRPr="001A7517" w:rsidRDefault="005F7A96" w:rsidP="008D1FEE">
      <w:r w:rsidRPr="001A7517">
        <w:t>BOARD NOTE:  Derived from 40 CFR 141.151.</w:t>
      </w:r>
    </w:p>
    <w:p w14:paraId="1697D26B" w14:textId="77777777" w:rsidR="008D1FEE" w:rsidRDefault="008D1FEE" w:rsidP="008D1FEE">
      <w:pPr>
        <w:suppressAutoHyphens/>
        <w:ind w:left="720"/>
      </w:pPr>
    </w:p>
    <w:p w14:paraId="1FF3C967" w14:textId="11A23354" w:rsidR="005F7A96" w:rsidRPr="001A7517" w:rsidRDefault="005F7A96" w:rsidP="008D1FEE">
      <w:pPr>
        <w:suppressAutoHyphens/>
        <w:ind w:left="720"/>
      </w:pPr>
      <w:r w:rsidRPr="001A7517">
        <w:t xml:space="preserve">(Source:  Amended at </w:t>
      </w:r>
      <w:r w:rsidRPr="001A7517">
        <w:rPr>
          <w:szCs w:val="17"/>
        </w:rPr>
        <w:t>31 Ill. Reg. 11757, effective July 27, 2007</w:t>
      </w:r>
      <w:r w:rsidRPr="001A7517">
        <w:t>)</w:t>
      </w:r>
    </w:p>
    <w:p w14:paraId="3B0F063A" w14:textId="77777777" w:rsidR="008D1FEE" w:rsidRDefault="008D1FEE" w:rsidP="008D1FEE">
      <w:pPr>
        <w:rPr>
          <w:b/>
          <w:bCs/>
        </w:rPr>
      </w:pPr>
    </w:p>
    <w:p w14:paraId="66824065" w14:textId="59700F7D" w:rsidR="005F7A96" w:rsidRPr="005F7A96" w:rsidRDefault="005F7A96" w:rsidP="008D1FEE">
      <w:pPr>
        <w:rPr>
          <w:b/>
          <w:bCs/>
        </w:rPr>
      </w:pPr>
      <w:r w:rsidRPr="005F7A96">
        <w:rPr>
          <w:b/>
          <w:bCs/>
        </w:rPr>
        <w:t>Section 611.882  Compliance Dates</w:t>
      </w:r>
    </w:p>
    <w:p w14:paraId="140C1C14" w14:textId="77777777" w:rsidR="008D1FEE" w:rsidRDefault="008D1FEE" w:rsidP="008D1FEE">
      <w:pPr>
        <w:suppressAutoHyphens/>
        <w:ind w:left="1440" w:hanging="720"/>
        <w:rPr>
          <w:spacing w:val="-2"/>
        </w:rPr>
      </w:pPr>
    </w:p>
    <w:p w14:paraId="2DED4393" w14:textId="4A6EB46A" w:rsidR="005F7A96" w:rsidRPr="001A7517" w:rsidRDefault="005F7A96" w:rsidP="008D1FEE">
      <w:pPr>
        <w:suppressAutoHyphens/>
        <w:ind w:left="1440" w:hanging="720"/>
      </w:pPr>
      <w:r w:rsidRPr="001A7517">
        <w:rPr>
          <w:spacing w:val="-2"/>
        </w:rPr>
        <w:t>a)</w:t>
      </w:r>
      <w:r w:rsidRPr="001A7517">
        <w:rPr>
          <w:spacing w:val="-2"/>
        </w:rPr>
        <w:tab/>
        <w:t xml:space="preserve">Each existing CWS </w:t>
      </w:r>
      <w:r w:rsidRPr="001A7517">
        <w:t xml:space="preserve">must deliver </w:t>
      </w:r>
      <w:r w:rsidRPr="001A7517">
        <w:rPr>
          <w:spacing w:val="-2"/>
        </w:rPr>
        <w:t>its reports by July 1 annually.  Each report must contain data collected during</w:t>
      </w:r>
      <w:r w:rsidRPr="001A7517">
        <w:t>, or</w:t>
      </w:r>
      <w:r w:rsidRPr="001A7517">
        <w:rPr>
          <w:spacing w:val="-2"/>
        </w:rPr>
        <w:t xml:space="preserve"> prior to, the previous calendar year as prescribed in Section 661.883(d)(3).</w:t>
      </w:r>
    </w:p>
    <w:p w14:paraId="58F513FC" w14:textId="77777777" w:rsidR="008D1FEE" w:rsidRDefault="008D1FEE" w:rsidP="008D1FEE">
      <w:pPr>
        <w:suppressAutoHyphens/>
        <w:ind w:left="1440" w:hanging="720"/>
        <w:rPr>
          <w:spacing w:val="-2"/>
        </w:rPr>
      </w:pPr>
    </w:p>
    <w:p w14:paraId="024632ED" w14:textId="2F9DEF60" w:rsidR="005F7A96" w:rsidRPr="001A7517" w:rsidRDefault="005F7A96" w:rsidP="008D1FEE">
      <w:pPr>
        <w:suppressAutoHyphens/>
        <w:ind w:left="1440" w:hanging="720"/>
        <w:rPr>
          <w:spacing w:val="-2"/>
        </w:rPr>
      </w:pPr>
      <w:r w:rsidRPr="001A7517">
        <w:rPr>
          <w:spacing w:val="-2"/>
        </w:rPr>
        <w:t>b)</w:t>
      </w:r>
      <w:r w:rsidRPr="001A7517">
        <w:rPr>
          <w:spacing w:val="-2"/>
        </w:rPr>
        <w:tab/>
        <w:t xml:space="preserve">A new CWS </w:t>
      </w:r>
      <w:r w:rsidRPr="001A7517">
        <w:t xml:space="preserve">must </w:t>
      </w:r>
      <w:r w:rsidRPr="001A7517">
        <w:rPr>
          <w:spacing w:val="-2"/>
        </w:rPr>
        <w:t>deliver its first report by July 1 of the year after its first full calendar year in operation and annually thereafter.</w:t>
      </w:r>
    </w:p>
    <w:p w14:paraId="750E9253" w14:textId="77777777" w:rsidR="008D1FEE" w:rsidRDefault="008D1FEE" w:rsidP="008D1FEE">
      <w:pPr>
        <w:suppressAutoHyphens/>
        <w:ind w:left="1440" w:hanging="720"/>
        <w:rPr>
          <w:spacing w:val="-2"/>
        </w:rPr>
      </w:pPr>
    </w:p>
    <w:p w14:paraId="5A1C5D60" w14:textId="4D0C89C8" w:rsidR="005F7A96" w:rsidRPr="001A7517" w:rsidRDefault="005F7A96" w:rsidP="008D1FEE">
      <w:pPr>
        <w:suppressAutoHyphens/>
        <w:ind w:left="1440" w:hanging="720"/>
        <w:rPr>
          <w:spacing w:val="-2"/>
        </w:rPr>
      </w:pPr>
      <w:r w:rsidRPr="001A7517">
        <w:rPr>
          <w:spacing w:val="-2"/>
        </w:rPr>
        <w:t>c)</w:t>
      </w:r>
      <w:r w:rsidRPr="001A7517">
        <w:rPr>
          <w:spacing w:val="-2"/>
        </w:rPr>
        <w:tab/>
        <w:t>A community water system that sells water to another community water system must deliver the applicable information required in Section 611.883 to the buyer system</w:t>
      </w:r>
      <w:r w:rsidRPr="001A7517">
        <w:t xml:space="preserve"> as follows</w:t>
      </w:r>
      <w:r w:rsidRPr="001A7517">
        <w:rPr>
          <w:spacing w:val="-2"/>
        </w:rPr>
        <w:t>:</w:t>
      </w:r>
    </w:p>
    <w:p w14:paraId="4DE8B835" w14:textId="77777777" w:rsidR="008D1FEE" w:rsidRDefault="008D1FEE" w:rsidP="008D1FEE">
      <w:pPr>
        <w:suppressAutoHyphens/>
        <w:ind w:left="2160" w:hanging="720"/>
        <w:rPr>
          <w:spacing w:val="-2"/>
        </w:rPr>
      </w:pPr>
    </w:p>
    <w:p w14:paraId="0D371D52" w14:textId="4B105DBB" w:rsidR="005F7A96" w:rsidRPr="001A7517" w:rsidRDefault="005F7A96" w:rsidP="008D1FEE">
      <w:pPr>
        <w:suppressAutoHyphens/>
        <w:ind w:left="2160" w:hanging="720"/>
        <w:rPr>
          <w:spacing w:val="-2"/>
        </w:rPr>
      </w:pPr>
      <w:r w:rsidRPr="001A7517">
        <w:rPr>
          <w:spacing w:val="-2"/>
        </w:rPr>
        <w:t>1)</w:t>
      </w:r>
      <w:r w:rsidRPr="001A7517">
        <w:rPr>
          <w:spacing w:val="-2"/>
        </w:rPr>
        <w:tab/>
      </w:r>
      <w:r w:rsidRPr="001A7517">
        <w:t xml:space="preserve">By no </w:t>
      </w:r>
      <w:r w:rsidRPr="001A7517">
        <w:rPr>
          <w:spacing w:val="-2"/>
        </w:rPr>
        <w:t>later than April 1 annually</w:t>
      </w:r>
      <w:r w:rsidRPr="001A7517">
        <w:t xml:space="preserve">; </w:t>
      </w:r>
      <w:r w:rsidRPr="001A7517">
        <w:rPr>
          <w:spacing w:val="-2"/>
        </w:rPr>
        <w:t>or</w:t>
      </w:r>
    </w:p>
    <w:p w14:paraId="4C7E73D0" w14:textId="77777777" w:rsidR="008D1FEE" w:rsidRDefault="008D1FEE" w:rsidP="008D1FEE">
      <w:pPr>
        <w:suppressAutoHyphens/>
        <w:ind w:left="2160" w:hanging="720"/>
        <w:rPr>
          <w:spacing w:val="-2"/>
        </w:rPr>
      </w:pPr>
    </w:p>
    <w:p w14:paraId="166C9D6C" w14:textId="73EFAAF5" w:rsidR="005F7A96" w:rsidRPr="001A7517" w:rsidRDefault="005F7A96" w:rsidP="008D1FEE">
      <w:pPr>
        <w:suppressAutoHyphens/>
        <w:ind w:left="2160" w:hanging="720"/>
        <w:rPr>
          <w:spacing w:val="-2"/>
        </w:rPr>
      </w:pPr>
      <w:r w:rsidRPr="001A7517">
        <w:rPr>
          <w:spacing w:val="-2"/>
        </w:rPr>
        <w:t>2)</w:t>
      </w:r>
      <w:r w:rsidRPr="001A7517">
        <w:rPr>
          <w:spacing w:val="-2"/>
        </w:rPr>
        <w:tab/>
        <w:t>On a date mutually agreed upon by the seller and the purchaser, and specifically included in a contract between the parties.</w:t>
      </w:r>
    </w:p>
    <w:p w14:paraId="385DF03B" w14:textId="77777777" w:rsidR="008D1FEE" w:rsidRDefault="008D1FEE" w:rsidP="008D1FEE"/>
    <w:p w14:paraId="5FDFE869" w14:textId="2A2DC150" w:rsidR="005F7A96" w:rsidRPr="001A7517" w:rsidRDefault="005F7A96" w:rsidP="008D1FEE">
      <w:r w:rsidRPr="001A7517">
        <w:t>BOARD NOTE:  Derived from 40 CFR 141.152.</w:t>
      </w:r>
    </w:p>
    <w:p w14:paraId="5589539A" w14:textId="77777777" w:rsidR="008D1FEE" w:rsidRDefault="008D1FEE" w:rsidP="008D1FEE">
      <w:pPr>
        <w:suppressAutoHyphens/>
        <w:ind w:left="720"/>
      </w:pPr>
    </w:p>
    <w:p w14:paraId="2BE3FC7B" w14:textId="06D5DCEE" w:rsidR="005F7A96" w:rsidRPr="001A7517" w:rsidRDefault="005F7A96" w:rsidP="008D1FEE">
      <w:pPr>
        <w:suppressAutoHyphens/>
        <w:ind w:left="720"/>
      </w:pPr>
      <w:r w:rsidRPr="001A7517">
        <w:t>(Source:  A</w:t>
      </w:r>
      <w:r w:rsidRPr="001A7517">
        <w:rPr>
          <w:szCs w:val="17"/>
        </w:rPr>
        <w:t xml:space="preserve">mended at </w:t>
      </w:r>
      <w:r w:rsidRPr="001A7517">
        <w:t>42 Ill. Reg. 1140, effective January 4, 2018)</w:t>
      </w:r>
    </w:p>
    <w:p w14:paraId="3B803874" w14:textId="77777777" w:rsidR="00700487" w:rsidRPr="003B4362" w:rsidRDefault="00700487" w:rsidP="008D1FEE">
      <w:pPr>
        <w:suppressAutoHyphens/>
        <w:ind w:left="720"/>
      </w:pPr>
    </w:p>
    <w:bookmarkEnd w:id="4191"/>
    <w:p w14:paraId="46A67FEE" w14:textId="0C76B1A1" w:rsidR="00F437D9" w:rsidRPr="003B4362" w:rsidRDefault="00F437D9" w:rsidP="008D1FEE">
      <w:pPr>
        <w:rPr>
          <w:b/>
          <w:bCs/>
        </w:rPr>
      </w:pPr>
      <w:r w:rsidRPr="003B4362">
        <w:rPr>
          <w:b/>
          <w:bCs/>
        </w:rPr>
        <w:t>Section 611.883  Content of the Reports</w:t>
      </w:r>
    </w:p>
    <w:p w14:paraId="34CFDE79" w14:textId="77777777" w:rsidR="008D1FEE" w:rsidRDefault="008D1FEE" w:rsidP="008D1FEE">
      <w:pPr>
        <w:widowControl w:val="0"/>
        <w:suppressAutoHyphens/>
        <w:ind w:left="1440" w:hanging="720"/>
        <w:rPr>
          <w:spacing w:val="-2"/>
        </w:rPr>
      </w:pPr>
    </w:p>
    <w:p w14:paraId="7C86B10A" w14:textId="233EA1BF" w:rsidR="00F437D9" w:rsidRPr="003B4362" w:rsidRDefault="00F437D9" w:rsidP="008D1FEE">
      <w:pPr>
        <w:widowControl w:val="0"/>
        <w:suppressAutoHyphens/>
        <w:ind w:left="1440" w:hanging="720"/>
        <w:rPr>
          <w:spacing w:val="-2"/>
        </w:rPr>
      </w:pPr>
      <w:r w:rsidRPr="003B4362">
        <w:rPr>
          <w:spacing w:val="-2"/>
        </w:rPr>
        <w:t>a)</w:t>
      </w:r>
      <w:r w:rsidRPr="003B4362">
        <w:rPr>
          <w:spacing w:val="-2"/>
        </w:rPr>
        <w:tab/>
        <w:t xml:space="preserve">Each CWS </w:t>
      </w:r>
      <w:r w:rsidRPr="003B4362">
        <w:t xml:space="preserve">must </w:t>
      </w:r>
      <w:r w:rsidRPr="003B4362">
        <w:rPr>
          <w:spacing w:val="-2"/>
        </w:rPr>
        <w:t xml:space="preserve">provide to its customers an annual </w:t>
      </w:r>
      <w:bookmarkStart w:id="4212" w:name="_Hlk131592669"/>
      <w:r w:rsidRPr="003B4362">
        <w:rPr>
          <w:spacing w:val="-2"/>
        </w:rPr>
        <w:t xml:space="preserve">report </w:t>
      </w:r>
      <w:r w:rsidR="00E239E8" w:rsidRPr="003B4362">
        <w:rPr>
          <w:spacing w:val="-2"/>
        </w:rPr>
        <w:t xml:space="preserve">containing </w:t>
      </w:r>
      <w:r w:rsidRPr="003B4362">
        <w:rPr>
          <w:spacing w:val="-2"/>
        </w:rPr>
        <w:t>the information</w:t>
      </w:r>
      <w:bookmarkEnd w:id="4212"/>
      <w:r w:rsidRPr="003B4362">
        <w:rPr>
          <w:spacing w:val="-2"/>
        </w:rPr>
        <w:t xml:space="preserve"> </w:t>
      </w:r>
      <w:bookmarkStart w:id="4213" w:name="_Hlk131592696"/>
      <w:r w:rsidRPr="003B4362">
        <w:rPr>
          <w:spacing w:val="-2"/>
        </w:rPr>
        <w:t>this Section and Section 611.884</w:t>
      </w:r>
      <w:r w:rsidR="00E239E8" w:rsidRPr="003B4362">
        <w:rPr>
          <w:spacing w:val="-2"/>
        </w:rPr>
        <w:t xml:space="preserve"> specify</w:t>
      </w:r>
      <w:bookmarkEnd w:id="4213"/>
      <w:r w:rsidRPr="003B4362">
        <w:rPr>
          <w:spacing w:val="-2"/>
        </w:rPr>
        <w:t>.</w:t>
      </w:r>
    </w:p>
    <w:p w14:paraId="1FFA9313" w14:textId="77777777" w:rsidR="008D1FEE" w:rsidRDefault="008D1FEE" w:rsidP="008D1FEE">
      <w:pPr>
        <w:widowControl w:val="0"/>
        <w:suppressAutoHyphens/>
        <w:ind w:left="1440" w:hanging="720"/>
        <w:rPr>
          <w:spacing w:val="-2"/>
        </w:rPr>
      </w:pPr>
    </w:p>
    <w:p w14:paraId="5642B5D5" w14:textId="2596A9BE" w:rsidR="00F437D9" w:rsidRPr="003B4362" w:rsidRDefault="00F437D9" w:rsidP="008D1FEE">
      <w:pPr>
        <w:widowControl w:val="0"/>
        <w:suppressAutoHyphens/>
        <w:ind w:left="1440" w:hanging="720"/>
        <w:rPr>
          <w:spacing w:val="-2"/>
        </w:rPr>
      </w:pPr>
      <w:r w:rsidRPr="003B4362">
        <w:rPr>
          <w:spacing w:val="-2"/>
        </w:rPr>
        <w:t>b)</w:t>
      </w:r>
      <w:r w:rsidRPr="003B4362">
        <w:rPr>
          <w:spacing w:val="-2"/>
        </w:rPr>
        <w:tab/>
      </w:r>
      <w:bookmarkStart w:id="4214" w:name="_Hlk131592817"/>
      <w:r w:rsidRPr="003B4362">
        <w:rPr>
          <w:spacing w:val="-2"/>
        </w:rPr>
        <w:t>Information on the Source of the Water</w:t>
      </w:r>
      <w:r w:rsidR="00E239E8" w:rsidRPr="003B4362">
        <w:rPr>
          <w:spacing w:val="-2"/>
        </w:rPr>
        <w:t xml:space="preserve"> the Supplier Delivers</w:t>
      </w:r>
      <w:bookmarkEnd w:id="4214"/>
    </w:p>
    <w:p w14:paraId="0942FA15" w14:textId="77777777" w:rsidR="008D1FEE" w:rsidRDefault="008D1FEE" w:rsidP="008D1FEE">
      <w:pPr>
        <w:widowControl w:val="0"/>
        <w:suppressAutoHyphens/>
        <w:ind w:left="2160" w:hanging="720"/>
        <w:rPr>
          <w:spacing w:val="-2"/>
        </w:rPr>
      </w:pPr>
    </w:p>
    <w:p w14:paraId="5846871E" w14:textId="6AE90A74" w:rsidR="00F437D9" w:rsidRPr="003B4362" w:rsidRDefault="00F437D9" w:rsidP="008D1FEE">
      <w:pPr>
        <w:widowControl w:val="0"/>
        <w:suppressAutoHyphens/>
        <w:ind w:left="2160" w:hanging="720"/>
        <w:rPr>
          <w:spacing w:val="-2"/>
        </w:rPr>
      </w:pPr>
      <w:r w:rsidRPr="003B4362">
        <w:rPr>
          <w:spacing w:val="-2"/>
        </w:rPr>
        <w:t>1)</w:t>
      </w:r>
      <w:r w:rsidRPr="003B4362">
        <w:rPr>
          <w:spacing w:val="-2"/>
        </w:rPr>
        <w:tab/>
        <w:t xml:space="preserve">Each report must identify the sources of </w:t>
      </w:r>
      <w:bookmarkStart w:id="4215" w:name="_Hlk131593043"/>
      <w:r w:rsidRPr="003B4362">
        <w:rPr>
          <w:spacing w:val="-2"/>
        </w:rPr>
        <w:t xml:space="preserve">the water </w:t>
      </w:r>
      <w:r w:rsidR="00E239E8" w:rsidRPr="003B4362">
        <w:rPr>
          <w:spacing w:val="-2"/>
        </w:rPr>
        <w:t xml:space="preserve">the CWS delivers </w:t>
      </w:r>
      <w:bookmarkStart w:id="4216" w:name="_Hlk131593101"/>
      <w:bookmarkEnd w:id="4215"/>
      <w:r w:rsidRPr="003B4362">
        <w:rPr>
          <w:spacing w:val="-2"/>
        </w:rPr>
        <w:t xml:space="preserve">providing </w:t>
      </w:r>
      <w:r w:rsidR="00E239E8" w:rsidRPr="003B4362">
        <w:rPr>
          <w:spacing w:val="-2"/>
        </w:rPr>
        <w:t xml:space="preserve">certain </w:t>
      </w:r>
      <w:r w:rsidRPr="003B4362">
        <w:rPr>
          <w:spacing w:val="-2"/>
        </w:rPr>
        <w:t>information</w:t>
      </w:r>
      <w:bookmarkEnd w:id="4216"/>
      <w:r w:rsidRPr="003B4362">
        <w:t>:</w:t>
      </w:r>
    </w:p>
    <w:p w14:paraId="07A702B1" w14:textId="77777777" w:rsidR="008D1FEE" w:rsidRDefault="008D1FEE" w:rsidP="008D1FEE">
      <w:pPr>
        <w:widowControl w:val="0"/>
        <w:suppressAutoHyphens/>
        <w:ind w:left="2880" w:hanging="720"/>
        <w:rPr>
          <w:spacing w:val="-2"/>
        </w:rPr>
      </w:pPr>
    </w:p>
    <w:p w14:paraId="24BA6277" w14:textId="6980A782" w:rsidR="00F437D9" w:rsidRPr="003B4362" w:rsidRDefault="00F437D9" w:rsidP="008D1FEE">
      <w:pPr>
        <w:widowControl w:val="0"/>
        <w:suppressAutoHyphens/>
        <w:ind w:left="2880" w:hanging="720"/>
        <w:rPr>
          <w:spacing w:val="-2"/>
        </w:rPr>
      </w:pPr>
      <w:r w:rsidRPr="003B4362">
        <w:rPr>
          <w:spacing w:val="-2"/>
        </w:rPr>
        <w:t>A)</w:t>
      </w:r>
      <w:r w:rsidRPr="003B4362">
        <w:rPr>
          <w:spacing w:val="-2"/>
        </w:rPr>
        <w:tab/>
        <w:t xml:space="preserve">The type of the water </w:t>
      </w:r>
      <w:bookmarkStart w:id="4217" w:name="_Hlk131593411"/>
      <w:r w:rsidRPr="003B4362">
        <w:rPr>
          <w:spacing w:val="-2"/>
        </w:rPr>
        <w:t>(</w:t>
      </w:r>
      <w:r w:rsidR="006E7A4F" w:rsidRPr="003B4362">
        <w:rPr>
          <w:spacing w:val="-2"/>
        </w:rPr>
        <w:t xml:space="preserve">i.e., </w:t>
      </w:r>
      <w:r w:rsidRPr="003B4362">
        <w:rPr>
          <w:spacing w:val="-2"/>
        </w:rPr>
        <w:t>surface water, groundwater</w:t>
      </w:r>
      <w:r w:rsidR="006E7A4F" w:rsidRPr="003B4362">
        <w:rPr>
          <w:spacing w:val="-2"/>
        </w:rPr>
        <w:t>, or groundwater under the direct influence of surface water</w:t>
      </w:r>
      <w:r w:rsidRPr="003B4362">
        <w:rPr>
          <w:spacing w:val="-2"/>
        </w:rPr>
        <w:t>)</w:t>
      </w:r>
      <w:bookmarkEnd w:id="4217"/>
      <w:r w:rsidRPr="003B4362">
        <w:rPr>
          <w:spacing w:val="-2"/>
        </w:rPr>
        <w:t>; and</w:t>
      </w:r>
    </w:p>
    <w:p w14:paraId="184FA166" w14:textId="77777777" w:rsidR="008D1FEE" w:rsidRDefault="008D1FEE" w:rsidP="008D1FEE">
      <w:pPr>
        <w:widowControl w:val="0"/>
        <w:suppressAutoHyphens/>
        <w:ind w:left="2880" w:hanging="720"/>
        <w:rPr>
          <w:spacing w:val="-2"/>
        </w:rPr>
      </w:pPr>
    </w:p>
    <w:p w14:paraId="1D603D88" w14:textId="2D1EF953" w:rsidR="00F437D9" w:rsidRPr="003B4362" w:rsidRDefault="00F437D9" w:rsidP="008D1FEE">
      <w:pPr>
        <w:widowControl w:val="0"/>
        <w:suppressAutoHyphens/>
        <w:ind w:left="2880" w:hanging="720"/>
        <w:rPr>
          <w:spacing w:val="-2"/>
        </w:rPr>
      </w:pPr>
      <w:r w:rsidRPr="003B4362">
        <w:rPr>
          <w:spacing w:val="-2"/>
        </w:rPr>
        <w:t>B)</w:t>
      </w:r>
      <w:r w:rsidRPr="003B4362">
        <w:rPr>
          <w:spacing w:val="-2"/>
        </w:rPr>
        <w:tab/>
        <w:t xml:space="preserve">The commonly used name (if any) and location of the </w:t>
      </w:r>
      <w:r w:rsidR="006E7A4F" w:rsidRPr="003B4362">
        <w:rPr>
          <w:spacing w:val="-2"/>
        </w:rPr>
        <w:t>source</w:t>
      </w:r>
      <w:bookmarkStart w:id="4218" w:name="_Hlk131593680"/>
      <w:r w:rsidR="006E7A4F" w:rsidRPr="003B4362">
        <w:rPr>
          <w:spacing w:val="-2"/>
        </w:rPr>
        <w:t xml:space="preserve"> </w:t>
      </w:r>
      <w:r w:rsidRPr="003B4362">
        <w:rPr>
          <w:spacing w:val="-2"/>
        </w:rPr>
        <w:t>body (or bodies) of water</w:t>
      </w:r>
      <w:bookmarkEnd w:id="4218"/>
      <w:r w:rsidRPr="003B4362">
        <w:rPr>
          <w:spacing w:val="-2"/>
        </w:rPr>
        <w:t>.</w:t>
      </w:r>
    </w:p>
    <w:p w14:paraId="1B4FA57E" w14:textId="77777777" w:rsidR="008D1FEE" w:rsidRDefault="008D1FEE" w:rsidP="008D1FEE">
      <w:pPr>
        <w:widowControl w:val="0"/>
        <w:suppressAutoHyphens/>
        <w:ind w:left="2160" w:hanging="720"/>
        <w:rPr>
          <w:spacing w:val="-2"/>
        </w:rPr>
      </w:pPr>
    </w:p>
    <w:p w14:paraId="10255D21" w14:textId="41EF7B07" w:rsidR="00F437D9" w:rsidRPr="003B4362" w:rsidRDefault="00F437D9" w:rsidP="008D1FEE">
      <w:pPr>
        <w:widowControl w:val="0"/>
        <w:suppressAutoHyphens/>
        <w:ind w:left="2160" w:hanging="720"/>
        <w:rPr>
          <w:spacing w:val="-2"/>
        </w:rPr>
      </w:pPr>
      <w:r w:rsidRPr="003B4362">
        <w:rPr>
          <w:spacing w:val="-2"/>
        </w:rPr>
        <w:t>2)</w:t>
      </w:r>
      <w:r w:rsidRPr="003B4362">
        <w:rPr>
          <w:spacing w:val="-2"/>
        </w:rPr>
        <w:tab/>
        <w:t>I</w:t>
      </w:r>
      <w:bookmarkStart w:id="4219" w:name="_Hlk131594349"/>
      <w:bookmarkStart w:id="4220" w:name="_Hlk131594294"/>
      <w:r w:rsidRPr="003B4362">
        <w:rPr>
          <w:spacing w:val="-2"/>
        </w:rPr>
        <w:t xml:space="preserve">f </w:t>
      </w:r>
      <w:r w:rsidR="006E7A4F" w:rsidRPr="003B4362">
        <w:rPr>
          <w:spacing w:val="-2"/>
        </w:rPr>
        <w:t xml:space="preserve">the supplier </w:t>
      </w:r>
      <w:r w:rsidR="001C3597" w:rsidRPr="003B4362">
        <w:rPr>
          <w:spacing w:val="-2"/>
        </w:rPr>
        <w:t xml:space="preserve">has </w:t>
      </w:r>
      <w:r w:rsidRPr="003B4362">
        <w:rPr>
          <w:spacing w:val="-2"/>
        </w:rPr>
        <w:t xml:space="preserve">a </w:t>
      </w:r>
      <w:r w:rsidR="001C3597" w:rsidRPr="003B4362">
        <w:rPr>
          <w:spacing w:val="-2"/>
        </w:rPr>
        <w:t xml:space="preserve">complete </w:t>
      </w:r>
      <w:r w:rsidRPr="003B4362">
        <w:rPr>
          <w:spacing w:val="-2"/>
        </w:rPr>
        <w:t>source water assessment</w:t>
      </w:r>
      <w:bookmarkEnd w:id="4219"/>
      <w:bookmarkEnd w:id="4220"/>
      <w:r w:rsidRPr="003B4362">
        <w:rPr>
          <w:spacing w:val="-2"/>
        </w:rPr>
        <w:t xml:space="preserve">, the report must notify consumers of the availability of </w:t>
      </w:r>
      <w:bookmarkStart w:id="4221" w:name="_Hlk131594477"/>
      <w:r w:rsidRPr="003B4362">
        <w:rPr>
          <w:spacing w:val="-2"/>
        </w:rPr>
        <w:t xml:space="preserve">this </w:t>
      </w:r>
      <w:r w:rsidR="00474F6E" w:rsidRPr="003B4362">
        <w:rPr>
          <w:spacing w:val="-2"/>
        </w:rPr>
        <w:t xml:space="preserve">assessment </w:t>
      </w:r>
      <w:r w:rsidRPr="003B4362">
        <w:rPr>
          <w:spacing w:val="-2"/>
        </w:rPr>
        <w:t xml:space="preserve">and </w:t>
      </w:r>
      <w:bookmarkStart w:id="4222" w:name="_Hlk131594387"/>
      <w:bookmarkEnd w:id="4221"/>
      <w:r w:rsidR="001C3597" w:rsidRPr="003B4362">
        <w:rPr>
          <w:spacing w:val="-2"/>
        </w:rPr>
        <w:t xml:space="preserve">how </w:t>
      </w:r>
      <w:r w:rsidRPr="003B4362">
        <w:rPr>
          <w:spacing w:val="-2"/>
        </w:rPr>
        <w:t>to obtain it</w:t>
      </w:r>
      <w:bookmarkEnd w:id="4222"/>
      <w:r w:rsidRPr="003B4362">
        <w:rPr>
          <w:spacing w:val="-2"/>
        </w:rPr>
        <w:t xml:space="preserve">.  In addition, </w:t>
      </w:r>
      <w:bookmarkStart w:id="4223" w:name="_Hlk131598797"/>
      <w:r w:rsidR="001C3597" w:rsidRPr="003B4362">
        <w:rPr>
          <w:spacing w:val="-2"/>
        </w:rPr>
        <w:t xml:space="preserve">the supplier should </w:t>
      </w:r>
      <w:r w:rsidRPr="003B4362">
        <w:rPr>
          <w:spacing w:val="-2"/>
        </w:rPr>
        <w:t>highlight in the report</w:t>
      </w:r>
      <w:bookmarkEnd w:id="4223"/>
      <w:r w:rsidRPr="003B4362">
        <w:rPr>
          <w:spacing w:val="-2"/>
        </w:rPr>
        <w:t xml:space="preserve"> significant sources of contamination in the source water area </w:t>
      </w:r>
      <w:bookmarkStart w:id="4224" w:name="_Hlk131598849"/>
      <w:r w:rsidRPr="003B4362">
        <w:rPr>
          <w:spacing w:val="-2"/>
        </w:rPr>
        <w:t xml:space="preserve">if </w:t>
      </w:r>
      <w:r w:rsidR="001C3597" w:rsidRPr="003B4362">
        <w:rPr>
          <w:spacing w:val="-2"/>
        </w:rPr>
        <w:t xml:space="preserve">the supplier </w:t>
      </w:r>
      <w:r w:rsidRPr="003B4362">
        <w:rPr>
          <w:spacing w:val="-2"/>
        </w:rPr>
        <w:t xml:space="preserve">readily </w:t>
      </w:r>
      <w:r w:rsidR="001C3597" w:rsidRPr="003B4362">
        <w:rPr>
          <w:spacing w:val="-2"/>
        </w:rPr>
        <w:t xml:space="preserve">has that </w:t>
      </w:r>
      <w:r w:rsidRPr="003B4362">
        <w:rPr>
          <w:spacing w:val="-2"/>
        </w:rPr>
        <w:t>information</w:t>
      </w:r>
      <w:bookmarkEnd w:id="4224"/>
      <w:r w:rsidRPr="003B4362">
        <w:rPr>
          <w:spacing w:val="-2"/>
        </w:rPr>
        <w:t xml:space="preserve">.  </w:t>
      </w:r>
      <w:r w:rsidR="005B7BD2" w:rsidRPr="003B4362">
        <w:rPr>
          <w:spacing w:val="-3"/>
        </w:rPr>
        <w:t>I</w:t>
      </w:r>
      <w:bookmarkStart w:id="4225" w:name="_Hlk131598934"/>
      <w:r w:rsidR="005B7BD2" w:rsidRPr="003B4362">
        <w:rPr>
          <w:spacing w:val="-3"/>
        </w:rPr>
        <w:t xml:space="preserve">f </w:t>
      </w:r>
      <w:r w:rsidR="001C3597" w:rsidRPr="003B4362">
        <w:rPr>
          <w:spacing w:val="-3"/>
        </w:rPr>
        <w:t xml:space="preserve">the supplier </w:t>
      </w:r>
      <w:r w:rsidRPr="003B4362">
        <w:rPr>
          <w:spacing w:val="-2"/>
        </w:rPr>
        <w:t xml:space="preserve">received </w:t>
      </w:r>
      <w:r w:rsidR="001C3597" w:rsidRPr="003B4362">
        <w:rPr>
          <w:spacing w:val="-2"/>
        </w:rPr>
        <w:t xml:space="preserve">the </w:t>
      </w:r>
      <w:r w:rsidRPr="003B4362">
        <w:rPr>
          <w:spacing w:val="-2"/>
        </w:rPr>
        <w:t>source water assessment from the Agency</w:t>
      </w:r>
      <w:bookmarkEnd w:id="4225"/>
      <w:r w:rsidRPr="003B4362">
        <w:rPr>
          <w:spacing w:val="-2"/>
        </w:rPr>
        <w:t xml:space="preserve">, the report must include a brief summary of the system’s susceptibility to potential sources of contamination, </w:t>
      </w:r>
      <w:bookmarkStart w:id="4226" w:name="_Hlk131599056"/>
      <w:r w:rsidRPr="003B4362">
        <w:rPr>
          <w:spacing w:val="-2"/>
        </w:rPr>
        <w:t xml:space="preserve">using language the Agency </w:t>
      </w:r>
      <w:r w:rsidR="001C3597" w:rsidRPr="003B4362">
        <w:rPr>
          <w:spacing w:val="-2"/>
        </w:rPr>
        <w:t xml:space="preserve">provides </w:t>
      </w:r>
      <w:r w:rsidRPr="003B4362">
        <w:rPr>
          <w:spacing w:val="-2"/>
        </w:rPr>
        <w:t xml:space="preserve">or </w:t>
      </w:r>
      <w:r w:rsidR="001C3597" w:rsidRPr="003B4362">
        <w:rPr>
          <w:spacing w:val="-2"/>
        </w:rPr>
        <w:t xml:space="preserve">as </w:t>
      </w:r>
      <w:r w:rsidRPr="003B4362">
        <w:rPr>
          <w:spacing w:val="-2"/>
        </w:rPr>
        <w:t>the</w:t>
      </w:r>
      <w:r w:rsidRPr="003B4362">
        <w:t xml:space="preserve"> supplier</w:t>
      </w:r>
      <w:r w:rsidR="00A349D4" w:rsidRPr="003B4362">
        <w:t xml:space="preserve"> writes</w:t>
      </w:r>
      <w:bookmarkEnd w:id="4226"/>
      <w:r w:rsidRPr="003B4362">
        <w:rPr>
          <w:spacing w:val="-2"/>
        </w:rPr>
        <w:t>.</w:t>
      </w:r>
    </w:p>
    <w:p w14:paraId="03DB1F51" w14:textId="77777777" w:rsidR="008D1FEE" w:rsidRDefault="008D1FEE" w:rsidP="008D1FEE">
      <w:pPr>
        <w:widowControl w:val="0"/>
        <w:suppressAutoHyphens/>
        <w:ind w:left="1440" w:hanging="720"/>
        <w:rPr>
          <w:spacing w:val="-2"/>
        </w:rPr>
      </w:pPr>
    </w:p>
    <w:p w14:paraId="047282D9" w14:textId="598CA678" w:rsidR="00F437D9" w:rsidRPr="003B4362" w:rsidRDefault="00F437D9" w:rsidP="008D1FEE">
      <w:pPr>
        <w:widowControl w:val="0"/>
        <w:suppressAutoHyphens/>
        <w:ind w:left="1440" w:hanging="720"/>
        <w:rPr>
          <w:spacing w:val="-2"/>
        </w:rPr>
      </w:pPr>
      <w:r w:rsidRPr="003B4362">
        <w:rPr>
          <w:spacing w:val="-2"/>
        </w:rPr>
        <w:t>c)</w:t>
      </w:r>
      <w:r w:rsidRPr="003B4362">
        <w:rPr>
          <w:spacing w:val="-2"/>
        </w:rPr>
        <w:tab/>
        <w:t>Definitions</w:t>
      </w:r>
    </w:p>
    <w:p w14:paraId="0FBC920B" w14:textId="77777777" w:rsidR="008D1FEE" w:rsidRDefault="008D1FEE" w:rsidP="008D1FEE">
      <w:pPr>
        <w:widowControl w:val="0"/>
        <w:suppressAutoHyphens/>
        <w:ind w:left="2160" w:hanging="720"/>
        <w:rPr>
          <w:spacing w:val="-2"/>
        </w:rPr>
      </w:pPr>
    </w:p>
    <w:p w14:paraId="381279BA" w14:textId="084D121D" w:rsidR="00F437D9" w:rsidRPr="003B4362" w:rsidRDefault="00F437D9" w:rsidP="008D1FEE">
      <w:pPr>
        <w:widowControl w:val="0"/>
        <w:suppressAutoHyphens/>
        <w:ind w:left="2160" w:hanging="720"/>
        <w:rPr>
          <w:spacing w:val="-2"/>
        </w:rPr>
      </w:pPr>
      <w:r w:rsidRPr="003B4362">
        <w:rPr>
          <w:spacing w:val="-2"/>
        </w:rPr>
        <w:t>1)</w:t>
      </w:r>
      <w:r w:rsidRPr="003B4362">
        <w:rPr>
          <w:spacing w:val="-2"/>
        </w:rPr>
        <w:tab/>
        <w:t xml:space="preserve">Each report must </w:t>
      </w:r>
      <w:bookmarkStart w:id="4227" w:name="_Hlk131600710"/>
      <w:r w:rsidRPr="003B4362">
        <w:rPr>
          <w:spacing w:val="-2"/>
        </w:rPr>
        <w:t xml:space="preserve">include </w:t>
      </w:r>
      <w:r w:rsidR="00C630FB" w:rsidRPr="003B4362">
        <w:rPr>
          <w:spacing w:val="-2"/>
        </w:rPr>
        <w:t xml:space="preserve">two </w:t>
      </w:r>
      <w:r w:rsidRPr="003B4362">
        <w:rPr>
          <w:spacing w:val="-2"/>
        </w:rPr>
        <w:t>definition</w:t>
      </w:r>
      <w:r w:rsidRPr="003B4362">
        <w:t>s</w:t>
      </w:r>
      <w:bookmarkEnd w:id="4227"/>
      <w:r w:rsidRPr="003B4362">
        <w:rPr>
          <w:spacing w:val="-2"/>
        </w:rPr>
        <w:t>:</w:t>
      </w:r>
    </w:p>
    <w:p w14:paraId="124FA007" w14:textId="77777777" w:rsidR="008D1FEE" w:rsidRDefault="008D1FEE" w:rsidP="008D1FEE">
      <w:pPr>
        <w:widowControl w:val="0"/>
        <w:suppressAutoHyphens/>
        <w:ind w:left="2880" w:hanging="720"/>
      </w:pPr>
    </w:p>
    <w:p w14:paraId="37D4A592" w14:textId="503B699E" w:rsidR="00F437D9" w:rsidRPr="003B4362" w:rsidRDefault="00F437D9" w:rsidP="008D1FEE">
      <w:pPr>
        <w:widowControl w:val="0"/>
        <w:suppressAutoHyphens/>
        <w:ind w:left="2880" w:hanging="720"/>
        <w:rPr>
          <w:spacing w:val="-2"/>
        </w:rPr>
      </w:pPr>
      <w:r w:rsidRPr="003B4362">
        <w:t>A)</w:t>
      </w:r>
      <w:r w:rsidRPr="003B4362">
        <w:tab/>
        <w:t xml:space="preserve">Maximum Contaminant Level Goal or MCLG:  The level of a contaminant in drinking water </w:t>
      </w:r>
      <w:bookmarkStart w:id="4228" w:name="_Hlk131601468"/>
      <w:r w:rsidRPr="003B4362">
        <w:t xml:space="preserve">below which </w:t>
      </w:r>
      <w:r w:rsidR="00340956" w:rsidRPr="003B4362">
        <w:t xml:space="preserve">USEPA determines </w:t>
      </w:r>
      <w:r w:rsidRPr="003B4362">
        <w:t>no known or expected risk to health</w:t>
      </w:r>
      <w:r w:rsidR="00340956" w:rsidRPr="003B4362">
        <w:t xml:space="preserve"> exists</w:t>
      </w:r>
      <w:bookmarkEnd w:id="4228"/>
      <w:r w:rsidRPr="003B4362">
        <w:t>.  MCLGs allow for a margin of safety.</w:t>
      </w:r>
    </w:p>
    <w:p w14:paraId="73E09313" w14:textId="6576FA35" w:rsidR="00F437D9" w:rsidRPr="003B4362" w:rsidRDefault="00F437D9" w:rsidP="008D1FEE">
      <w:pPr>
        <w:widowControl w:val="0"/>
        <w:ind w:left="2880"/>
      </w:pPr>
      <w:r w:rsidRPr="003B4362">
        <w:t xml:space="preserve">BOARD NOTE:  Although an MCLG is not an NPDWR that the Board must include in the Illinois SDWA regulations, </w:t>
      </w:r>
      <w:bookmarkStart w:id="4229" w:name="_Hlk131601569"/>
      <w:r w:rsidR="00340956" w:rsidRPr="003B4362">
        <w:t xml:space="preserve">USEPA mandates using </w:t>
      </w:r>
      <w:r w:rsidRPr="003B4362">
        <w:t>this definition</w:t>
      </w:r>
      <w:bookmarkEnd w:id="4229"/>
      <w:r w:rsidRPr="003B4362">
        <w:t>.</w:t>
      </w:r>
    </w:p>
    <w:p w14:paraId="04396598" w14:textId="77777777" w:rsidR="008D1FEE" w:rsidRDefault="008D1FEE" w:rsidP="008D1FEE">
      <w:pPr>
        <w:widowControl w:val="0"/>
        <w:suppressAutoHyphens/>
        <w:ind w:left="2880" w:hanging="720"/>
      </w:pPr>
    </w:p>
    <w:p w14:paraId="09773338" w14:textId="13BAE6EA" w:rsidR="00F437D9" w:rsidRPr="003B4362" w:rsidRDefault="00F437D9" w:rsidP="008D1FEE">
      <w:pPr>
        <w:widowControl w:val="0"/>
        <w:suppressAutoHyphens/>
        <w:ind w:left="2880" w:hanging="720"/>
        <w:rPr>
          <w:spacing w:val="-2"/>
        </w:rPr>
      </w:pPr>
      <w:r w:rsidRPr="003B4362">
        <w:t>B)</w:t>
      </w:r>
      <w:r w:rsidRPr="003B4362">
        <w:tab/>
      </w:r>
      <w:r w:rsidRPr="003B4362">
        <w:rPr>
          <w:spacing w:val="-2"/>
        </w:rPr>
        <w:t xml:space="preserve">Maximum Contaminant Level or MCL:  The highest level of a contaminant </w:t>
      </w:r>
      <w:bookmarkStart w:id="4230" w:name="_Hlk131601647"/>
      <w:r w:rsidRPr="003B4362">
        <w:rPr>
          <w:spacing w:val="-2"/>
        </w:rPr>
        <w:t xml:space="preserve">that </w:t>
      </w:r>
      <w:r w:rsidR="00340956" w:rsidRPr="003B4362">
        <w:rPr>
          <w:spacing w:val="-2"/>
        </w:rPr>
        <w:t xml:space="preserve">USEPA allows </w:t>
      </w:r>
      <w:r w:rsidRPr="003B4362">
        <w:rPr>
          <w:spacing w:val="-2"/>
        </w:rPr>
        <w:t xml:space="preserve">in drinking water.  </w:t>
      </w:r>
      <w:r w:rsidR="00340956" w:rsidRPr="003B4362">
        <w:rPr>
          <w:spacing w:val="-2"/>
        </w:rPr>
        <w:t xml:space="preserve">USEPA sets </w:t>
      </w:r>
      <w:r w:rsidRPr="003B4362">
        <w:rPr>
          <w:spacing w:val="-2"/>
        </w:rPr>
        <w:t xml:space="preserve">MCLs </w:t>
      </w:r>
      <w:bookmarkEnd w:id="4230"/>
      <w:r w:rsidRPr="003B4362">
        <w:t xml:space="preserve">as close to the MCLGs as feasible using </w:t>
      </w:r>
      <w:r w:rsidRPr="003B4362">
        <w:rPr>
          <w:spacing w:val="-2"/>
        </w:rPr>
        <w:t>the best available treatment technology.</w:t>
      </w:r>
    </w:p>
    <w:p w14:paraId="4763565A" w14:textId="77777777" w:rsidR="008D1FEE" w:rsidRDefault="008D1FEE" w:rsidP="008D1FEE">
      <w:pPr>
        <w:widowControl w:val="0"/>
        <w:suppressAutoHyphens/>
        <w:ind w:left="2160" w:hanging="720"/>
        <w:rPr>
          <w:spacing w:val="-2"/>
        </w:rPr>
      </w:pPr>
    </w:p>
    <w:p w14:paraId="3CF4B3CD" w14:textId="28FB2FBE" w:rsidR="00F437D9" w:rsidRPr="003B4362" w:rsidRDefault="00F437D9" w:rsidP="008D1FEE">
      <w:pPr>
        <w:widowControl w:val="0"/>
        <w:suppressAutoHyphens/>
        <w:ind w:left="2160" w:hanging="720"/>
        <w:rPr>
          <w:spacing w:val="-2"/>
        </w:rPr>
      </w:pPr>
      <w:r w:rsidRPr="003B4362">
        <w:rPr>
          <w:spacing w:val="-2"/>
        </w:rPr>
        <w:t>2)</w:t>
      </w:r>
      <w:r w:rsidRPr="003B4362">
        <w:rPr>
          <w:spacing w:val="-2"/>
        </w:rPr>
        <w:tab/>
        <w:t>A</w:t>
      </w:r>
      <w:bookmarkStart w:id="4231" w:name="_Hlk131605203"/>
      <w:r w:rsidRPr="003B4362">
        <w:rPr>
          <w:spacing w:val="-2"/>
        </w:rPr>
        <w:t xml:space="preserve"> CWS operating </w:t>
      </w:r>
      <w:r w:rsidRPr="003B4362">
        <w:t>under relief from an NPDWR</w:t>
      </w:r>
      <w:r w:rsidRPr="003B4362">
        <w:rPr>
          <w:spacing w:val="-2"/>
        </w:rPr>
        <w:t xml:space="preserve"> </w:t>
      </w:r>
      <w:r w:rsidRPr="003B4362">
        <w:t xml:space="preserve">issued under Section 611.111, 611.112, 611.130, or 611.131 </w:t>
      </w:r>
      <w:r w:rsidRPr="003B4362">
        <w:rPr>
          <w:spacing w:val="-2"/>
        </w:rPr>
        <w:t>must include the following definition</w:t>
      </w:r>
      <w:r w:rsidR="00660C9F" w:rsidRPr="003B4362">
        <w:rPr>
          <w:spacing w:val="-2"/>
        </w:rPr>
        <w:t xml:space="preserve"> in its report</w:t>
      </w:r>
      <w:bookmarkEnd w:id="4231"/>
      <w:r w:rsidRPr="003B4362">
        <w:rPr>
          <w:spacing w:val="-2"/>
        </w:rPr>
        <w:t>:  “Variances, Adjusted Standards, and Site-specific Rules:  State permission not to meet an MCL or a treatment technique under certain conditions.”</w:t>
      </w:r>
    </w:p>
    <w:p w14:paraId="6B071106" w14:textId="77777777" w:rsidR="008D1FEE" w:rsidRDefault="008D1FEE" w:rsidP="008D1FEE">
      <w:pPr>
        <w:widowControl w:val="0"/>
        <w:suppressAutoHyphens/>
        <w:ind w:left="2160" w:hanging="720"/>
        <w:rPr>
          <w:spacing w:val="-2"/>
        </w:rPr>
      </w:pPr>
    </w:p>
    <w:p w14:paraId="12A28BC1" w14:textId="48F49BBA" w:rsidR="00F437D9" w:rsidRPr="003B4362" w:rsidRDefault="00F437D9" w:rsidP="008D1FEE">
      <w:pPr>
        <w:widowControl w:val="0"/>
        <w:suppressAutoHyphens/>
        <w:ind w:left="2160" w:hanging="720"/>
        <w:rPr>
          <w:spacing w:val="-2"/>
        </w:rPr>
      </w:pPr>
      <w:r w:rsidRPr="003B4362">
        <w:rPr>
          <w:spacing w:val="-2"/>
        </w:rPr>
        <w:t>3)</w:t>
      </w:r>
      <w:r w:rsidRPr="003B4362">
        <w:rPr>
          <w:spacing w:val="-2"/>
        </w:rPr>
        <w:tab/>
        <w:t>A</w:t>
      </w:r>
      <w:bookmarkStart w:id="4232" w:name="_Hlk131631585"/>
      <w:r w:rsidRPr="003B4362">
        <w:rPr>
          <w:spacing w:val="-2"/>
        </w:rPr>
        <w:t xml:space="preserve"> report </w:t>
      </w:r>
      <w:bookmarkStart w:id="4233" w:name="_Hlk131606553"/>
      <w:r w:rsidR="00660C9F" w:rsidRPr="003B4362">
        <w:rPr>
          <w:spacing w:val="-2"/>
        </w:rPr>
        <w:t xml:space="preserve">containing </w:t>
      </w:r>
      <w:r w:rsidRPr="003B4362">
        <w:rPr>
          <w:spacing w:val="-2"/>
        </w:rPr>
        <w:t>data</w:t>
      </w:r>
      <w:bookmarkEnd w:id="4232"/>
      <w:bookmarkEnd w:id="4233"/>
      <w:r w:rsidRPr="003B4362">
        <w:rPr>
          <w:spacing w:val="-2"/>
        </w:rPr>
        <w:t xml:space="preserve"> on contaminants that USEPA</w:t>
      </w:r>
      <w:r w:rsidRPr="003B4362">
        <w:t xml:space="preserve"> regulates </w:t>
      </w:r>
      <w:bookmarkStart w:id="4234" w:name="_Hlk131631645"/>
      <w:r w:rsidRPr="003B4362">
        <w:t xml:space="preserve">using </w:t>
      </w:r>
      <w:bookmarkStart w:id="4235" w:name="_Hlk131606614"/>
      <w:r w:rsidRPr="003B4362">
        <w:t xml:space="preserve">any of </w:t>
      </w:r>
      <w:r w:rsidR="00660C9F" w:rsidRPr="003B4362">
        <w:t xml:space="preserve">certain </w:t>
      </w:r>
      <w:r w:rsidRPr="003B4362">
        <w:t>terms</w:t>
      </w:r>
      <w:bookmarkEnd w:id="4234"/>
      <w:bookmarkEnd w:id="4235"/>
      <w:r w:rsidRPr="003B4362">
        <w:t xml:space="preserve"> must include the applicable definitions</w:t>
      </w:r>
      <w:r w:rsidRPr="003B4362">
        <w:rPr>
          <w:spacing w:val="-2"/>
        </w:rPr>
        <w:t>:</w:t>
      </w:r>
    </w:p>
    <w:p w14:paraId="6C883DD0" w14:textId="77777777" w:rsidR="008D1FEE" w:rsidRDefault="008D1FEE" w:rsidP="008D1FEE">
      <w:pPr>
        <w:widowControl w:val="0"/>
        <w:suppressAutoHyphens/>
        <w:ind w:left="2880" w:hanging="720"/>
        <w:rPr>
          <w:spacing w:val="-2"/>
        </w:rPr>
      </w:pPr>
    </w:p>
    <w:p w14:paraId="00D81B26" w14:textId="092506F3" w:rsidR="00F437D9" w:rsidRPr="003B4362" w:rsidRDefault="00F437D9" w:rsidP="008D1FEE">
      <w:pPr>
        <w:widowControl w:val="0"/>
        <w:suppressAutoHyphens/>
        <w:ind w:left="2880" w:hanging="720"/>
        <w:rPr>
          <w:spacing w:val="-2"/>
        </w:rPr>
      </w:pPr>
      <w:r w:rsidRPr="003B4362">
        <w:rPr>
          <w:spacing w:val="-2"/>
        </w:rPr>
        <w:t>A)</w:t>
      </w:r>
      <w:r w:rsidRPr="003B4362">
        <w:rPr>
          <w:spacing w:val="-2"/>
        </w:rPr>
        <w:tab/>
        <w:t xml:space="preserve">Treatment technique:  A required </w:t>
      </w:r>
      <w:bookmarkStart w:id="4236" w:name="_Hlk131606690"/>
      <w:r w:rsidRPr="003B4362">
        <w:rPr>
          <w:spacing w:val="-2"/>
        </w:rPr>
        <w:t xml:space="preserve">process </w:t>
      </w:r>
      <w:r w:rsidR="00660C9F" w:rsidRPr="003B4362">
        <w:rPr>
          <w:spacing w:val="-2"/>
        </w:rPr>
        <w:t xml:space="preserve">for reducing </w:t>
      </w:r>
      <w:r w:rsidRPr="003B4362">
        <w:rPr>
          <w:spacing w:val="-2"/>
        </w:rPr>
        <w:t xml:space="preserve">the </w:t>
      </w:r>
      <w:r w:rsidR="00660C9F" w:rsidRPr="003B4362">
        <w:rPr>
          <w:spacing w:val="-2"/>
        </w:rPr>
        <w:t xml:space="preserve">concentration </w:t>
      </w:r>
      <w:r w:rsidRPr="003B4362">
        <w:rPr>
          <w:spacing w:val="-2"/>
        </w:rPr>
        <w:t>of a contaminant</w:t>
      </w:r>
      <w:bookmarkEnd w:id="4236"/>
      <w:r w:rsidRPr="003B4362">
        <w:rPr>
          <w:spacing w:val="-2"/>
        </w:rPr>
        <w:t xml:space="preserve"> in drinking water.</w:t>
      </w:r>
    </w:p>
    <w:p w14:paraId="579B94BF" w14:textId="77777777" w:rsidR="008D1FEE" w:rsidRDefault="008D1FEE" w:rsidP="008D1FEE">
      <w:pPr>
        <w:widowControl w:val="0"/>
        <w:suppressAutoHyphens/>
        <w:ind w:left="2880" w:hanging="720"/>
        <w:rPr>
          <w:spacing w:val="-2"/>
        </w:rPr>
      </w:pPr>
    </w:p>
    <w:p w14:paraId="7D961E79" w14:textId="41B854D7" w:rsidR="00F437D9" w:rsidRPr="003B4362" w:rsidRDefault="00F437D9" w:rsidP="008D1FEE">
      <w:pPr>
        <w:widowControl w:val="0"/>
        <w:suppressAutoHyphens/>
        <w:ind w:left="2880" w:hanging="720"/>
        <w:rPr>
          <w:spacing w:val="-2"/>
        </w:rPr>
      </w:pPr>
      <w:r w:rsidRPr="003B4362">
        <w:rPr>
          <w:spacing w:val="-2"/>
        </w:rPr>
        <w:t>B)</w:t>
      </w:r>
      <w:r w:rsidRPr="003B4362">
        <w:rPr>
          <w:spacing w:val="-2"/>
        </w:rPr>
        <w:tab/>
        <w:t xml:space="preserve">Action level:  The </w:t>
      </w:r>
      <w:bookmarkStart w:id="4237" w:name="_Hlk131631897"/>
      <w:r w:rsidRPr="003B4362">
        <w:rPr>
          <w:spacing w:val="-2"/>
        </w:rPr>
        <w:t xml:space="preserve">concentration of a contaminant </w:t>
      </w:r>
      <w:bookmarkStart w:id="4238" w:name="_Hlk131606804"/>
      <w:r w:rsidR="00660C9F" w:rsidRPr="003B4362">
        <w:rPr>
          <w:spacing w:val="-2"/>
        </w:rPr>
        <w:t xml:space="preserve">above which a supplier must follow </w:t>
      </w:r>
      <w:r w:rsidRPr="003B4362">
        <w:rPr>
          <w:spacing w:val="-2"/>
        </w:rPr>
        <w:t>treatment</w:t>
      </w:r>
      <w:bookmarkStart w:id="4239" w:name="_Hlk131631968"/>
      <w:bookmarkEnd w:id="4237"/>
      <w:r w:rsidRPr="003B4362">
        <w:rPr>
          <w:spacing w:val="-2"/>
        </w:rPr>
        <w:t xml:space="preserve"> or other requirements</w:t>
      </w:r>
      <w:bookmarkEnd w:id="4238"/>
      <w:bookmarkEnd w:id="4239"/>
      <w:r w:rsidRPr="003B4362">
        <w:rPr>
          <w:spacing w:val="-2"/>
        </w:rPr>
        <w:t>.</w:t>
      </w:r>
    </w:p>
    <w:p w14:paraId="31D853A2" w14:textId="77777777" w:rsidR="008D1FEE" w:rsidRDefault="008D1FEE" w:rsidP="008D1FEE">
      <w:pPr>
        <w:widowControl w:val="0"/>
        <w:ind w:left="2880" w:hanging="720"/>
        <w:rPr>
          <w:rFonts w:ascii="CG Times" w:hAnsi="CG Times"/>
        </w:rPr>
      </w:pPr>
    </w:p>
    <w:p w14:paraId="031C0578" w14:textId="06A638A9" w:rsidR="00F437D9" w:rsidRPr="003B4362" w:rsidRDefault="00F437D9" w:rsidP="008D1FEE">
      <w:pPr>
        <w:widowControl w:val="0"/>
        <w:ind w:left="2880" w:hanging="720"/>
        <w:rPr>
          <w:rFonts w:ascii="CG Times" w:hAnsi="CG Times"/>
        </w:rPr>
      </w:pPr>
      <w:r w:rsidRPr="003B4362">
        <w:rPr>
          <w:rFonts w:ascii="CG Times" w:hAnsi="CG Times"/>
        </w:rPr>
        <w:t>C)</w:t>
      </w:r>
      <w:r w:rsidRPr="003B4362">
        <w:rPr>
          <w:rFonts w:ascii="CG Times" w:hAnsi="CG Times"/>
        </w:rPr>
        <w:tab/>
        <w:t>Maximum residual disinfectant level goal or MRDLG:  T</w:t>
      </w:r>
      <w:bookmarkStart w:id="4240" w:name="_Hlk131606899"/>
      <w:r w:rsidRPr="003B4362">
        <w:rPr>
          <w:rFonts w:ascii="CG Times" w:hAnsi="CG Times"/>
        </w:rPr>
        <w:t xml:space="preserve">he </w:t>
      </w:r>
      <w:bookmarkStart w:id="4241" w:name="_Hlk131632032"/>
      <w:r w:rsidR="00660C9F" w:rsidRPr="003B4362">
        <w:rPr>
          <w:spacing w:val="-2"/>
        </w:rPr>
        <w:t xml:space="preserve">concentration </w:t>
      </w:r>
      <w:r w:rsidRPr="003B4362">
        <w:rPr>
          <w:rFonts w:ascii="CG Times" w:hAnsi="CG Times"/>
        </w:rPr>
        <w:t>of a drinking water disinfectant</w:t>
      </w:r>
      <w:bookmarkEnd w:id="4240"/>
      <w:bookmarkEnd w:id="4241"/>
      <w:r w:rsidRPr="003B4362">
        <w:rPr>
          <w:rFonts w:ascii="CG Times" w:hAnsi="CG Times"/>
        </w:rPr>
        <w:t xml:space="preserve"> below which there is no known or expected risk to health.  MRDLGs do not reflect </w:t>
      </w:r>
      <w:bookmarkStart w:id="4242" w:name="_Hlk131606969"/>
      <w:r w:rsidRPr="003B4362">
        <w:rPr>
          <w:rFonts w:ascii="CG Times" w:hAnsi="CG Times"/>
        </w:rPr>
        <w:t xml:space="preserve">the </w:t>
      </w:r>
      <w:bookmarkStart w:id="4243" w:name="_Hlk131632083"/>
      <w:r w:rsidRPr="003B4362">
        <w:rPr>
          <w:rFonts w:ascii="CG Times" w:hAnsi="CG Times"/>
        </w:rPr>
        <w:t xml:space="preserve">benefits of </w:t>
      </w:r>
      <w:r w:rsidR="00660C9F" w:rsidRPr="003B4362">
        <w:rPr>
          <w:rFonts w:ascii="CG Times" w:hAnsi="CG Times"/>
        </w:rPr>
        <w:t xml:space="preserve">using </w:t>
      </w:r>
      <w:r w:rsidRPr="003B4362">
        <w:rPr>
          <w:rFonts w:ascii="CG Times" w:hAnsi="CG Times"/>
        </w:rPr>
        <w:t>disinfectants</w:t>
      </w:r>
      <w:bookmarkEnd w:id="4242"/>
      <w:bookmarkEnd w:id="4243"/>
      <w:r w:rsidRPr="003B4362">
        <w:rPr>
          <w:rFonts w:ascii="CG Times" w:hAnsi="CG Times"/>
        </w:rPr>
        <w:t xml:space="preserve"> to control microbial contaminants.</w:t>
      </w:r>
    </w:p>
    <w:p w14:paraId="650A6ED6" w14:textId="61D334AC" w:rsidR="00F437D9" w:rsidRPr="003B4362" w:rsidRDefault="00F437D9" w:rsidP="008D1FEE">
      <w:pPr>
        <w:widowControl w:val="0"/>
        <w:ind w:left="2880"/>
        <w:rPr>
          <w:rFonts w:ascii="CG Times" w:hAnsi="CG Times"/>
        </w:rPr>
      </w:pPr>
      <w:r w:rsidRPr="003B4362">
        <w:rPr>
          <w:rFonts w:ascii="CG Times" w:hAnsi="CG Times"/>
        </w:rPr>
        <w:t xml:space="preserve">BOARD NOTE:  Although an MRDLG is not an NPDWR that the Board must include in the Illinois SDWA regulations, </w:t>
      </w:r>
      <w:bookmarkStart w:id="4244" w:name="_Hlk131607054"/>
      <w:r w:rsidR="00660C9F" w:rsidRPr="003B4362">
        <w:rPr>
          <w:rFonts w:ascii="CG Times" w:hAnsi="CG Times"/>
        </w:rPr>
        <w:t xml:space="preserve">USEPA mandates using </w:t>
      </w:r>
      <w:r w:rsidRPr="003B4362">
        <w:rPr>
          <w:rFonts w:ascii="CG Times" w:hAnsi="CG Times"/>
        </w:rPr>
        <w:t xml:space="preserve">this definition </w:t>
      </w:r>
      <w:r w:rsidR="005B7BD2" w:rsidRPr="003B4362">
        <w:rPr>
          <w:spacing w:val="-3"/>
        </w:rPr>
        <w:t xml:space="preserve">if </w:t>
      </w:r>
      <w:r w:rsidRPr="003B4362">
        <w:rPr>
          <w:rFonts w:ascii="CG Times" w:hAnsi="CG Times"/>
        </w:rPr>
        <w:t xml:space="preserve">the </w:t>
      </w:r>
      <w:r w:rsidR="00660C9F" w:rsidRPr="003B4362">
        <w:rPr>
          <w:rFonts w:ascii="CG Times" w:hAnsi="CG Times"/>
        </w:rPr>
        <w:t xml:space="preserve">report uses the </w:t>
      </w:r>
      <w:r w:rsidRPr="003B4362">
        <w:rPr>
          <w:rFonts w:ascii="CG Times" w:hAnsi="CG Times"/>
        </w:rPr>
        <w:t>term “MRDLG”</w:t>
      </w:r>
      <w:bookmarkEnd w:id="4244"/>
      <w:r w:rsidRPr="003B4362">
        <w:rPr>
          <w:rFonts w:ascii="CG Times" w:hAnsi="CG Times"/>
        </w:rPr>
        <w:t>.</w:t>
      </w:r>
    </w:p>
    <w:p w14:paraId="3CE0A15D" w14:textId="77777777" w:rsidR="008D1FEE" w:rsidRDefault="008D1FEE" w:rsidP="008D1FEE">
      <w:pPr>
        <w:widowControl w:val="0"/>
        <w:ind w:left="2880" w:hanging="720"/>
      </w:pPr>
    </w:p>
    <w:p w14:paraId="5C4AE1F5" w14:textId="530D3615" w:rsidR="00F437D9" w:rsidRPr="003B4362" w:rsidRDefault="00F437D9" w:rsidP="008D1FEE">
      <w:pPr>
        <w:widowControl w:val="0"/>
        <w:ind w:left="2880" w:hanging="720"/>
      </w:pPr>
      <w:r w:rsidRPr="003B4362">
        <w:t>D)</w:t>
      </w:r>
      <w:r w:rsidRPr="003B4362">
        <w:tab/>
        <w:t>Maximum residual disinfectant level or MRDL:  T</w:t>
      </w:r>
      <w:bookmarkStart w:id="4245" w:name="_Hlk131632338"/>
      <w:bookmarkStart w:id="4246" w:name="_Hlk131607257"/>
      <w:r w:rsidRPr="003B4362">
        <w:t xml:space="preserve">he highest </w:t>
      </w:r>
      <w:r w:rsidR="00B61C53" w:rsidRPr="003B4362">
        <w:rPr>
          <w:spacing w:val="-2"/>
        </w:rPr>
        <w:t xml:space="preserve">concentration </w:t>
      </w:r>
      <w:r w:rsidRPr="003B4362">
        <w:t xml:space="preserve">of a disinfectant </w:t>
      </w:r>
      <w:r w:rsidR="00B61C53" w:rsidRPr="003B4362">
        <w:t xml:space="preserve">USEPA allows </w:t>
      </w:r>
      <w:bookmarkEnd w:id="4245"/>
      <w:r w:rsidRPr="003B4362">
        <w:t>in drinking water</w:t>
      </w:r>
      <w:bookmarkEnd w:id="4246"/>
      <w:r w:rsidRPr="003B4362">
        <w:t xml:space="preserve">.  There is convincing </w:t>
      </w:r>
      <w:bookmarkStart w:id="4247" w:name="_Hlk131607327"/>
      <w:r w:rsidRPr="003B4362">
        <w:t xml:space="preserve">evidence that </w:t>
      </w:r>
      <w:bookmarkStart w:id="4248" w:name="_Hlk131632423"/>
      <w:r w:rsidR="00B61C53" w:rsidRPr="003B4362">
        <w:t xml:space="preserve">adding </w:t>
      </w:r>
      <w:r w:rsidRPr="003B4362">
        <w:t xml:space="preserve">a disinfectant is </w:t>
      </w:r>
      <w:r w:rsidRPr="003B4362">
        <w:lastRenderedPageBreak/>
        <w:t xml:space="preserve">necessary </w:t>
      </w:r>
      <w:r w:rsidR="00B61C53" w:rsidRPr="003B4362">
        <w:t xml:space="preserve">to </w:t>
      </w:r>
      <w:r w:rsidRPr="003B4362">
        <w:t>control microbial contaminants</w:t>
      </w:r>
      <w:bookmarkEnd w:id="4247"/>
      <w:bookmarkEnd w:id="4248"/>
      <w:r w:rsidRPr="003B4362">
        <w:t>.</w:t>
      </w:r>
    </w:p>
    <w:p w14:paraId="31474A69" w14:textId="77777777" w:rsidR="008D1FEE" w:rsidRDefault="008D1FEE" w:rsidP="008D1FEE">
      <w:pPr>
        <w:widowControl w:val="0"/>
        <w:ind w:left="2160" w:hanging="720"/>
        <w:rPr>
          <w:szCs w:val="24"/>
        </w:rPr>
      </w:pPr>
    </w:p>
    <w:p w14:paraId="3FCB5928" w14:textId="109B4F8B" w:rsidR="00F437D9" w:rsidRPr="003B4362" w:rsidRDefault="00F437D9" w:rsidP="008D1FEE">
      <w:pPr>
        <w:widowControl w:val="0"/>
        <w:ind w:left="2160" w:hanging="720"/>
        <w:rPr>
          <w:szCs w:val="24"/>
        </w:rPr>
      </w:pPr>
      <w:r w:rsidRPr="003B4362">
        <w:rPr>
          <w:szCs w:val="24"/>
        </w:rPr>
        <w:t>4)</w:t>
      </w:r>
      <w:r w:rsidRPr="003B4362">
        <w:rPr>
          <w:szCs w:val="24"/>
        </w:rPr>
        <w:tab/>
        <w:t>A</w:t>
      </w:r>
      <w:bookmarkStart w:id="4249" w:name="_Hlk131611114"/>
      <w:r w:rsidRPr="003B4362">
        <w:rPr>
          <w:szCs w:val="24"/>
        </w:rPr>
        <w:t xml:space="preserve"> </w:t>
      </w:r>
      <w:bookmarkStart w:id="4250" w:name="_Hlk131632532"/>
      <w:r w:rsidRPr="003B4362">
        <w:rPr>
          <w:szCs w:val="24"/>
        </w:rPr>
        <w:t xml:space="preserve">report </w:t>
      </w:r>
      <w:r w:rsidR="00F051D2" w:rsidRPr="003B4362">
        <w:rPr>
          <w:szCs w:val="24"/>
        </w:rPr>
        <w:t xml:space="preserve">containing </w:t>
      </w:r>
      <w:r w:rsidRPr="003B4362">
        <w:rPr>
          <w:szCs w:val="24"/>
        </w:rPr>
        <w:t xml:space="preserve">information </w:t>
      </w:r>
      <w:r w:rsidR="00691E64" w:rsidRPr="003B4362">
        <w:rPr>
          <w:szCs w:val="24"/>
        </w:rPr>
        <w:t xml:space="preserve">about </w:t>
      </w:r>
      <w:r w:rsidRPr="003B4362">
        <w:rPr>
          <w:szCs w:val="24"/>
        </w:rPr>
        <w:t>a Level 1 or Level 2 assessment</w:t>
      </w:r>
      <w:bookmarkEnd w:id="4249"/>
      <w:bookmarkEnd w:id="4250"/>
      <w:r w:rsidRPr="003B4362">
        <w:rPr>
          <w:szCs w:val="24"/>
        </w:rPr>
        <w:t xml:space="preserve"> </w:t>
      </w:r>
      <w:bookmarkStart w:id="4251" w:name="_Hlk131611371"/>
      <w:r w:rsidRPr="003B4362">
        <w:rPr>
          <w:szCs w:val="24"/>
        </w:rPr>
        <w:t xml:space="preserve">under Subpart AA </w:t>
      </w:r>
      <w:r w:rsidR="00691E64" w:rsidRPr="003B4362">
        <w:rPr>
          <w:szCs w:val="24"/>
        </w:rPr>
        <w:t>requires</w:t>
      </w:r>
      <w:bookmarkEnd w:id="4251"/>
      <w:r w:rsidR="00691E64" w:rsidRPr="003B4362">
        <w:rPr>
          <w:szCs w:val="24"/>
        </w:rPr>
        <w:t xml:space="preserve"> </w:t>
      </w:r>
      <w:r w:rsidRPr="003B4362">
        <w:rPr>
          <w:szCs w:val="24"/>
        </w:rPr>
        <w:t xml:space="preserve">must include </w:t>
      </w:r>
      <w:bookmarkStart w:id="4252" w:name="_Hlk131611435"/>
      <w:r w:rsidRPr="003B4362">
        <w:rPr>
          <w:szCs w:val="24"/>
        </w:rPr>
        <w:t>the applicable</w:t>
      </w:r>
      <w:r w:rsidR="00691E64" w:rsidRPr="003B4362">
        <w:rPr>
          <w:szCs w:val="24"/>
        </w:rPr>
        <w:t xml:space="preserve"> definition</w:t>
      </w:r>
      <w:bookmarkEnd w:id="4252"/>
      <w:r w:rsidRPr="003B4362">
        <w:rPr>
          <w:szCs w:val="24"/>
        </w:rPr>
        <w:t>:</w:t>
      </w:r>
    </w:p>
    <w:p w14:paraId="36BBE4DB" w14:textId="77777777" w:rsidR="008D1FEE" w:rsidRDefault="008D1FEE" w:rsidP="008D1FEE">
      <w:pPr>
        <w:widowControl w:val="0"/>
        <w:ind w:left="2880" w:hanging="720"/>
        <w:rPr>
          <w:szCs w:val="24"/>
        </w:rPr>
      </w:pPr>
    </w:p>
    <w:p w14:paraId="7728359C" w14:textId="16FE597E" w:rsidR="00F437D9" w:rsidRPr="003B4362" w:rsidRDefault="00F437D9" w:rsidP="008D1FEE">
      <w:pPr>
        <w:widowControl w:val="0"/>
        <w:ind w:left="2880" w:hanging="720"/>
        <w:rPr>
          <w:szCs w:val="24"/>
        </w:rPr>
      </w:pPr>
      <w:r w:rsidRPr="003B4362">
        <w:rPr>
          <w:szCs w:val="24"/>
        </w:rPr>
        <w:t>A)</w:t>
      </w:r>
      <w:r w:rsidRPr="003B4362">
        <w:rPr>
          <w:szCs w:val="24"/>
        </w:rPr>
        <w:tab/>
        <w:t>“</w:t>
      </w:r>
      <w:r w:rsidRPr="003B4362">
        <w:rPr>
          <w:iCs/>
          <w:szCs w:val="24"/>
        </w:rPr>
        <w:t xml:space="preserve">Level 1 assessment: </w:t>
      </w:r>
      <w:r w:rsidRPr="003B4362">
        <w:rPr>
          <w:szCs w:val="24"/>
        </w:rPr>
        <w:t xml:space="preserve"> A Level 1 assessment is a study of the water system to identify potential problems and determine (if possible) why total coliform bacteria have been found in our water system.”</w:t>
      </w:r>
    </w:p>
    <w:p w14:paraId="0D42F100" w14:textId="77777777" w:rsidR="008D1FEE" w:rsidRDefault="008D1FEE" w:rsidP="008D1FEE">
      <w:pPr>
        <w:widowControl w:val="0"/>
        <w:ind w:left="2880" w:hanging="720"/>
        <w:rPr>
          <w:szCs w:val="24"/>
        </w:rPr>
      </w:pPr>
    </w:p>
    <w:p w14:paraId="5C9D98F5" w14:textId="6147743B" w:rsidR="00F437D9" w:rsidRPr="003B4362" w:rsidRDefault="00F437D9" w:rsidP="008D1FEE">
      <w:pPr>
        <w:widowControl w:val="0"/>
        <w:ind w:left="2880" w:hanging="720"/>
        <w:rPr>
          <w:szCs w:val="24"/>
        </w:rPr>
      </w:pPr>
      <w:r w:rsidRPr="003B4362">
        <w:rPr>
          <w:szCs w:val="24"/>
        </w:rPr>
        <w:t>B)</w:t>
      </w:r>
      <w:r w:rsidRPr="003B4362">
        <w:rPr>
          <w:szCs w:val="24"/>
        </w:rPr>
        <w:tab/>
        <w:t>“</w:t>
      </w:r>
      <w:r w:rsidRPr="003B4362">
        <w:rPr>
          <w:iCs/>
          <w:szCs w:val="24"/>
        </w:rPr>
        <w:t xml:space="preserve">Level 2 assessment: </w:t>
      </w:r>
      <w:r w:rsidRPr="003B4362">
        <w:rPr>
          <w:szCs w:val="24"/>
        </w:rPr>
        <w:t xml:space="preserve"> A Level 2 assessment is a very detailed study of the water system to identify potential problems and determine (if possible) </w:t>
      </w:r>
      <w:bookmarkStart w:id="4253" w:name="_Hlk131611542"/>
      <w:r w:rsidRPr="003B4362">
        <w:rPr>
          <w:szCs w:val="24"/>
        </w:rPr>
        <w:t xml:space="preserve">why an </w:t>
      </w:r>
      <w:r w:rsidRPr="003B4362">
        <w:rPr>
          <w:iCs/>
          <w:szCs w:val="24"/>
        </w:rPr>
        <w:t xml:space="preserve">E. coli </w:t>
      </w:r>
      <w:r w:rsidRPr="003B4362">
        <w:rPr>
          <w:szCs w:val="24"/>
        </w:rPr>
        <w:t>MCL violation occurred</w:t>
      </w:r>
      <w:bookmarkEnd w:id="4253"/>
      <w:r w:rsidRPr="003B4362">
        <w:rPr>
          <w:szCs w:val="24"/>
        </w:rPr>
        <w:t xml:space="preserve"> or </w:t>
      </w:r>
      <w:bookmarkStart w:id="4254" w:name="_Hlk131611633"/>
      <w:r w:rsidRPr="003B4362">
        <w:rPr>
          <w:szCs w:val="24"/>
        </w:rPr>
        <w:t xml:space="preserve">why </w:t>
      </w:r>
      <w:r w:rsidR="00691E64" w:rsidRPr="003B4362">
        <w:rPr>
          <w:szCs w:val="24"/>
        </w:rPr>
        <w:t xml:space="preserve">monitoring found </w:t>
      </w:r>
      <w:r w:rsidRPr="003B4362">
        <w:rPr>
          <w:szCs w:val="24"/>
        </w:rPr>
        <w:t xml:space="preserve">total coliform bacteria </w:t>
      </w:r>
      <w:bookmarkEnd w:id="4254"/>
      <w:r w:rsidRPr="003B4362">
        <w:rPr>
          <w:szCs w:val="24"/>
        </w:rPr>
        <w:t>in our water system on multiple occasions.”</w:t>
      </w:r>
    </w:p>
    <w:p w14:paraId="75C1BA61" w14:textId="77777777" w:rsidR="008D1FEE" w:rsidRDefault="008D1FEE" w:rsidP="008D1FEE">
      <w:pPr>
        <w:widowControl w:val="0"/>
        <w:suppressAutoHyphens/>
        <w:ind w:left="1440" w:hanging="720"/>
        <w:rPr>
          <w:spacing w:val="-2"/>
        </w:rPr>
      </w:pPr>
    </w:p>
    <w:p w14:paraId="2501CF70" w14:textId="5C244040" w:rsidR="00F437D9" w:rsidRPr="003B4362" w:rsidRDefault="00F437D9" w:rsidP="008D1FEE">
      <w:pPr>
        <w:widowControl w:val="0"/>
        <w:suppressAutoHyphens/>
        <w:ind w:left="1440" w:hanging="720"/>
        <w:rPr>
          <w:spacing w:val="-2"/>
        </w:rPr>
      </w:pPr>
      <w:r w:rsidRPr="003B4362">
        <w:rPr>
          <w:spacing w:val="-2"/>
        </w:rPr>
        <w:t>d)</w:t>
      </w:r>
      <w:r w:rsidRPr="003B4362">
        <w:rPr>
          <w:spacing w:val="-2"/>
        </w:rPr>
        <w:tab/>
        <w:t>Information on Detected Contaminants</w:t>
      </w:r>
    </w:p>
    <w:p w14:paraId="47EADD86" w14:textId="77777777" w:rsidR="008D1FEE" w:rsidRDefault="008D1FEE" w:rsidP="008D1FEE">
      <w:pPr>
        <w:widowControl w:val="0"/>
        <w:suppressAutoHyphens/>
        <w:ind w:left="2160" w:hanging="720"/>
        <w:rPr>
          <w:spacing w:val="-2"/>
        </w:rPr>
      </w:pPr>
    </w:p>
    <w:p w14:paraId="517FCCC2" w14:textId="241800FE" w:rsidR="00F437D9" w:rsidRPr="003B4362" w:rsidRDefault="00F437D9" w:rsidP="008D1FEE">
      <w:pPr>
        <w:widowControl w:val="0"/>
        <w:suppressAutoHyphens/>
        <w:ind w:left="2160" w:hanging="720"/>
        <w:rPr>
          <w:spacing w:val="-2"/>
        </w:rPr>
      </w:pPr>
      <w:r w:rsidRPr="003B4362">
        <w:rPr>
          <w:spacing w:val="-2"/>
        </w:rPr>
        <w:t>1)</w:t>
      </w:r>
      <w:r w:rsidRPr="003B4362">
        <w:rPr>
          <w:spacing w:val="-2"/>
        </w:rPr>
        <w:tab/>
        <w:t xml:space="preserve">This subsection </w:t>
      </w:r>
      <w:r w:rsidRPr="003B4362">
        <w:t xml:space="preserve">(d) </w:t>
      </w:r>
      <w:r w:rsidRPr="003B4362">
        <w:rPr>
          <w:spacing w:val="-2"/>
        </w:rPr>
        <w:t xml:space="preserve">specifies </w:t>
      </w:r>
      <w:bookmarkStart w:id="4255" w:name="_Hlk131628252"/>
      <w:r w:rsidRPr="003B4362">
        <w:rPr>
          <w:spacing w:val="-2"/>
        </w:rPr>
        <w:t xml:space="preserve">the information </w:t>
      </w:r>
      <w:r w:rsidR="008144B1" w:rsidRPr="003B4362">
        <w:rPr>
          <w:spacing w:val="-2"/>
        </w:rPr>
        <w:t xml:space="preserve">a supplier must include </w:t>
      </w:r>
      <w:bookmarkEnd w:id="4255"/>
      <w:r w:rsidRPr="003B4362">
        <w:rPr>
          <w:spacing w:val="-2"/>
        </w:rPr>
        <w:t xml:space="preserve">in each report for contaminants subject to mandatory monitoring </w:t>
      </w:r>
      <w:bookmarkStart w:id="4256" w:name="_Hlk131628344"/>
      <w:r w:rsidRPr="003B4362">
        <w:rPr>
          <w:spacing w:val="-2"/>
        </w:rPr>
        <w:t>(except Cryptosporidium)</w:t>
      </w:r>
      <w:bookmarkEnd w:id="4256"/>
      <w:r w:rsidR="00942169" w:rsidRPr="003B4362">
        <w:rPr>
          <w:spacing w:val="-2"/>
        </w:rPr>
        <w:t>:</w:t>
      </w:r>
    </w:p>
    <w:p w14:paraId="1A8B4904" w14:textId="77777777" w:rsidR="008D1FEE" w:rsidRDefault="008D1FEE" w:rsidP="008D1FEE">
      <w:pPr>
        <w:widowControl w:val="0"/>
        <w:suppressAutoHyphens/>
        <w:ind w:left="2880" w:hanging="720"/>
        <w:rPr>
          <w:spacing w:val="-2"/>
        </w:rPr>
      </w:pPr>
    </w:p>
    <w:p w14:paraId="2EDF1CD9" w14:textId="184141F0" w:rsidR="00F437D9" w:rsidRPr="003B4362" w:rsidRDefault="00F437D9" w:rsidP="008D1FEE">
      <w:pPr>
        <w:widowControl w:val="0"/>
        <w:suppressAutoHyphens/>
        <w:ind w:left="2880" w:hanging="720"/>
        <w:rPr>
          <w:spacing w:val="-2"/>
        </w:rPr>
      </w:pPr>
      <w:r w:rsidRPr="003B4362">
        <w:rPr>
          <w:spacing w:val="-2"/>
        </w:rPr>
        <w:t>A)</w:t>
      </w:r>
      <w:r w:rsidRPr="003B4362">
        <w:rPr>
          <w:spacing w:val="-2"/>
        </w:rPr>
        <w:tab/>
        <w:t>Contaminants subject to an MCL, action level, MRDL</w:t>
      </w:r>
      <w:r w:rsidRPr="003B4362">
        <w:t>, or</w:t>
      </w:r>
      <w:r w:rsidRPr="003B4362">
        <w:rPr>
          <w:spacing w:val="-2"/>
        </w:rPr>
        <w:t xml:space="preserve"> treatment technique (regulated contaminants);</w:t>
      </w:r>
      <w:r w:rsidR="00083946" w:rsidRPr="003B4362">
        <w:rPr>
          <w:spacing w:val="-2"/>
        </w:rPr>
        <w:t xml:space="preserve"> and</w:t>
      </w:r>
    </w:p>
    <w:p w14:paraId="0BE1C563" w14:textId="77777777" w:rsidR="008D1FEE" w:rsidRDefault="008D1FEE" w:rsidP="008D1FEE">
      <w:pPr>
        <w:widowControl w:val="0"/>
        <w:suppressAutoHyphens/>
        <w:ind w:left="2880" w:hanging="720"/>
        <w:rPr>
          <w:spacing w:val="-2"/>
        </w:rPr>
      </w:pPr>
    </w:p>
    <w:p w14:paraId="406279AA" w14:textId="6C7CD419" w:rsidR="00F437D9" w:rsidRPr="003B4362" w:rsidRDefault="00F437D9" w:rsidP="008D1FEE">
      <w:pPr>
        <w:widowControl w:val="0"/>
        <w:suppressAutoHyphens/>
        <w:ind w:left="2880" w:hanging="720"/>
        <w:rPr>
          <w:spacing w:val="-2"/>
        </w:rPr>
      </w:pPr>
      <w:r w:rsidRPr="003B4362">
        <w:rPr>
          <w:spacing w:val="-2"/>
        </w:rPr>
        <w:t>B)</w:t>
      </w:r>
      <w:r w:rsidRPr="003B4362">
        <w:rPr>
          <w:spacing w:val="-2"/>
        </w:rPr>
        <w:tab/>
        <w:t>Contaminants for which monitoring is required by USEPA under 40 CFR 141.40 (unregulated contaminants)</w:t>
      </w:r>
      <w:r w:rsidR="00083946" w:rsidRPr="003B4362">
        <w:rPr>
          <w:spacing w:val="-2"/>
        </w:rPr>
        <w:t>.</w:t>
      </w:r>
    </w:p>
    <w:p w14:paraId="07713B01" w14:textId="77777777" w:rsidR="008D1FEE" w:rsidRDefault="008D1FEE" w:rsidP="008D1FEE">
      <w:pPr>
        <w:widowControl w:val="0"/>
        <w:suppressAutoHyphens/>
        <w:ind w:left="2160" w:hanging="720"/>
        <w:rPr>
          <w:spacing w:val="-2"/>
        </w:rPr>
      </w:pPr>
    </w:p>
    <w:p w14:paraId="2D7884BE" w14:textId="6F5E15A5" w:rsidR="00F437D9" w:rsidRPr="003B4362" w:rsidRDefault="00F437D9" w:rsidP="008D1FEE">
      <w:pPr>
        <w:widowControl w:val="0"/>
        <w:suppressAutoHyphens/>
        <w:ind w:left="2160" w:hanging="720"/>
        <w:rPr>
          <w:spacing w:val="-2"/>
        </w:rPr>
      </w:pPr>
      <w:r w:rsidRPr="003B4362">
        <w:rPr>
          <w:spacing w:val="-2"/>
        </w:rPr>
        <w:t>2)</w:t>
      </w:r>
      <w:r w:rsidRPr="003B4362">
        <w:rPr>
          <w:spacing w:val="-2"/>
        </w:rPr>
        <w:tab/>
        <w:t xml:space="preserve">The </w:t>
      </w:r>
      <w:r w:rsidR="0061008D" w:rsidRPr="003B4362">
        <w:rPr>
          <w:spacing w:val="-2"/>
        </w:rPr>
        <w:t xml:space="preserve">report must display </w:t>
      </w:r>
      <w:r w:rsidRPr="003B4362">
        <w:rPr>
          <w:spacing w:val="-2"/>
        </w:rPr>
        <w:t xml:space="preserve">these contaminants in one table or in several adjacent tables.  </w:t>
      </w:r>
      <w:r w:rsidR="0061008D" w:rsidRPr="003B4362">
        <w:rPr>
          <w:spacing w:val="-2"/>
        </w:rPr>
        <w:t xml:space="preserve">The CWS must separately display any </w:t>
      </w:r>
      <w:r w:rsidRPr="003B4362">
        <w:rPr>
          <w:spacing w:val="-2"/>
        </w:rPr>
        <w:t xml:space="preserve">additional monitoring results </w:t>
      </w:r>
      <w:r w:rsidR="0061008D" w:rsidRPr="003B4362">
        <w:rPr>
          <w:spacing w:val="-2"/>
        </w:rPr>
        <w:t xml:space="preserve">it </w:t>
      </w:r>
      <w:r w:rsidRPr="003B4362">
        <w:rPr>
          <w:spacing w:val="-2"/>
        </w:rPr>
        <w:t>chooses to include in its report.</w:t>
      </w:r>
    </w:p>
    <w:p w14:paraId="4BC0BA92" w14:textId="77777777" w:rsidR="008D1FEE" w:rsidRDefault="008D1FEE" w:rsidP="008D1FEE">
      <w:pPr>
        <w:widowControl w:val="0"/>
        <w:suppressAutoHyphens/>
        <w:ind w:left="2160" w:hanging="720"/>
        <w:rPr>
          <w:spacing w:val="-2"/>
        </w:rPr>
      </w:pPr>
    </w:p>
    <w:p w14:paraId="038932F0" w14:textId="1DF143BF" w:rsidR="00F437D9" w:rsidRPr="003B4362" w:rsidRDefault="00F437D9" w:rsidP="008D1FEE">
      <w:pPr>
        <w:widowControl w:val="0"/>
        <w:suppressAutoHyphens/>
        <w:ind w:left="2160" w:hanging="720"/>
        <w:rPr>
          <w:spacing w:val="-2"/>
        </w:rPr>
      </w:pPr>
      <w:r w:rsidRPr="003B4362">
        <w:rPr>
          <w:spacing w:val="-2"/>
        </w:rPr>
        <w:t>3)</w:t>
      </w:r>
      <w:r w:rsidRPr="003B4362">
        <w:rPr>
          <w:spacing w:val="-2"/>
        </w:rPr>
        <w:tab/>
        <w:t>T</w:t>
      </w:r>
      <w:bookmarkStart w:id="4257" w:name="_Hlk131677376"/>
      <w:r w:rsidRPr="003B4362">
        <w:rPr>
          <w:spacing w:val="-2"/>
        </w:rPr>
        <w:t xml:space="preserve">he </w:t>
      </w:r>
      <w:r w:rsidR="0061008D" w:rsidRPr="003B4362">
        <w:rPr>
          <w:spacing w:val="-2"/>
        </w:rPr>
        <w:t xml:space="preserve">supplier must </w:t>
      </w:r>
      <w:r w:rsidR="00E538CA" w:rsidRPr="003B4362">
        <w:rPr>
          <w:spacing w:val="-2"/>
        </w:rPr>
        <w:t>derive the</w:t>
      </w:r>
      <w:r w:rsidR="0061008D" w:rsidRPr="003B4362">
        <w:rPr>
          <w:spacing w:val="-2"/>
        </w:rPr>
        <w:t xml:space="preserve"> </w:t>
      </w:r>
      <w:r w:rsidRPr="003B4362">
        <w:rPr>
          <w:spacing w:val="-2"/>
        </w:rPr>
        <w:t xml:space="preserve">data </w:t>
      </w:r>
      <w:r w:rsidR="00E538CA" w:rsidRPr="003B4362">
        <w:rPr>
          <w:spacing w:val="-2"/>
        </w:rPr>
        <w:t xml:space="preserve">in the report </w:t>
      </w:r>
      <w:r w:rsidRPr="003B4362">
        <w:rPr>
          <w:spacing w:val="-2"/>
        </w:rPr>
        <w:t xml:space="preserve">from data </w:t>
      </w:r>
      <w:r w:rsidR="00E538CA" w:rsidRPr="003B4362">
        <w:rPr>
          <w:spacing w:val="-2"/>
        </w:rPr>
        <w:t xml:space="preserve">it </w:t>
      </w:r>
      <w:r w:rsidRPr="003B4362">
        <w:rPr>
          <w:spacing w:val="-2"/>
        </w:rPr>
        <w:t>collected to comply</w:t>
      </w:r>
      <w:bookmarkEnd w:id="4257"/>
      <w:r w:rsidRPr="003B4362">
        <w:rPr>
          <w:spacing w:val="-2"/>
        </w:rPr>
        <w:t xml:space="preserve"> with monitoring and analytical requirements </w:t>
      </w:r>
      <w:bookmarkStart w:id="4258" w:name="_Hlk131677491"/>
      <w:r w:rsidRPr="003B4362">
        <w:rPr>
          <w:spacing w:val="-2"/>
        </w:rPr>
        <w:t xml:space="preserve">during </w:t>
      </w:r>
      <w:r w:rsidR="00E538CA" w:rsidRPr="003B4362">
        <w:rPr>
          <w:spacing w:val="-2"/>
        </w:rPr>
        <w:t xml:space="preserve">each </w:t>
      </w:r>
      <w:r w:rsidRPr="003B4362">
        <w:rPr>
          <w:spacing w:val="-2"/>
        </w:rPr>
        <w:t>calendar year</w:t>
      </w:r>
      <w:bookmarkEnd w:id="4258"/>
      <w:r w:rsidR="004F72DD" w:rsidRPr="003B4362">
        <w:rPr>
          <w:spacing w:val="-2"/>
        </w:rPr>
        <w:t xml:space="preserve">.  </w:t>
      </w:r>
      <w:r w:rsidR="004F72DD" w:rsidRPr="003B4362">
        <w:rPr>
          <w:spacing w:val="-3"/>
        </w:rPr>
        <w:t>I</w:t>
      </w:r>
      <w:bookmarkStart w:id="4259" w:name="_Hlk131677738"/>
      <w:r w:rsidR="004F72DD" w:rsidRPr="003B4362">
        <w:rPr>
          <w:spacing w:val="-3"/>
        </w:rPr>
        <w:t xml:space="preserve">f the Agency allows </w:t>
      </w:r>
      <w:r w:rsidR="004F72DD" w:rsidRPr="003B4362">
        <w:rPr>
          <w:spacing w:val="-2"/>
        </w:rPr>
        <w:t>a supplier to monitor</w:t>
      </w:r>
      <w:bookmarkEnd w:id="4259"/>
      <w:r w:rsidR="004F72DD" w:rsidRPr="003B4362">
        <w:rPr>
          <w:spacing w:val="-2"/>
        </w:rPr>
        <w:t xml:space="preserve"> for regulated contaminants </w:t>
      </w:r>
      <w:bookmarkStart w:id="4260" w:name="_Hlk131677818"/>
      <w:r w:rsidR="004F72DD" w:rsidRPr="003B4362">
        <w:rPr>
          <w:spacing w:val="-2"/>
        </w:rPr>
        <w:t>less frequently than annually</w:t>
      </w:r>
      <w:bookmarkEnd w:id="4260"/>
      <w:r w:rsidR="004F72DD" w:rsidRPr="003B4362">
        <w:rPr>
          <w:spacing w:val="-2"/>
        </w:rPr>
        <w:t xml:space="preserve">, the tables must include the date and results of the most recent sampling, and the report must include a brief statement indicating that </w:t>
      </w:r>
      <w:bookmarkStart w:id="4261" w:name="_Hlk131677911"/>
      <w:r w:rsidR="004F72DD" w:rsidRPr="003B4362">
        <w:rPr>
          <w:spacing w:val="-2"/>
        </w:rPr>
        <w:t>the data in the report</w:t>
      </w:r>
      <w:bookmarkEnd w:id="4261"/>
      <w:r w:rsidR="004F72DD" w:rsidRPr="003B4362">
        <w:rPr>
          <w:spacing w:val="-2"/>
        </w:rPr>
        <w:t xml:space="preserve"> is from the most recent testing done </w:t>
      </w:r>
      <w:bookmarkStart w:id="4262" w:name="_Hlk131678028"/>
      <w:r w:rsidR="004F72DD" w:rsidRPr="003B4362">
        <w:rPr>
          <w:spacing w:val="-2"/>
        </w:rPr>
        <w:t>under the regulations</w:t>
      </w:r>
      <w:bookmarkEnd w:id="4262"/>
      <w:r w:rsidR="004F72DD" w:rsidRPr="003B4362">
        <w:rPr>
          <w:spacing w:val="-2"/>
        </w:rPr>
        <w:t>.  T</w:t>
      </w:r>
      <w:bookmarkStart w:id="4263" w:name="_Hlk131678165"/>
      <w:r w:rsidR="004F72DD" w:rsidRPr="003B4362">
        <w:rPr>
          <w:spacing w:val="-2"/>
        </w:rPr>
        <w:t xml:space="preserve">he supplier must not include data older than </w:t>
      </w:r>
      <w:r w:rsidR="004F72DD" w:rsidRPr="003B4362">
        <w:t xml:space="preserve">five </w:t>
      </w:r>
      <w:r w:rsidR="004F72DD" w:rsidRPr="003B4362">
        <w:rPr>
          <w:spacing w:val="-2"/>
        </w:rPr>
        <w:t>years</w:t>
      </w:r>
      <w:bookmarkEnd w:id="4263"/>
      <w:r w:rsidR="004F72DD" w:rsidRPr="003B4362">
        <w:rPr>
          <w:spacing w:val="-2"/>
        </w:rPr>
        <w:t>.</w:t>
      </w:r>
    </w:p>
    <w:p w14:paraId="29BB5203" w14:textId="77777777" w:rsidR="008D1FEE" w:rsidRDefault="008D1FEE" w:rsidP="008D1FEE">
      <w:pPr>
        <w:widowControl w:val="0"/>
        <w:suppressAutoHyphens/>
        <w:ind w:left="2160" w:hanging="720"/>
        <w:rPr>
          <w:spacing w:val="-2"/>
        </w:rPr>
      </w:pPr>
    </w:p>
    <w:p w14:paraId="7E13EFFA" w14:textId="3BC2581E" w:rsidR="00F437D9" w:rsidRPr="003B4362" w:rsidRDefault="00F437D9" w:rsidP="008D1FEE">
      <w:pPr>
        <w:widowControl w:val="0"/>
        <w:suppressAutoHyphens/>
        <w:ind w:left="2160" w:hanging="720"/>
        <w:rPr>
          <w:spacing w:val="-2"/>
        </w:rPr>
      </w:pPr>
      <w:r w:rsidRPr="003B4362">
        <w:rPr>
          <w:spacing w:val="-2"/>
        </w:rPr>
        <w:t>4)</w:t>
      </w:r>
      <w:r w:rsidRPr="003B4362">
        <w:rPr>
          <w:spacing w:val="-2"/>
        </w:rPr>
        <w:tab/>
        <w:t>F</w:t>
      </w:r>
      <w:bookmarkStart w:id="4264" w:name="_Hlk131679383"/>
      <w:r w:rsidRPr="003B4362">
        <w:rPr>
          <w:spacing w:val="-2"/>
        </w:rPr>
        <w:t xml:space="preserve">or </w:t>
      </w:r>
      <w:r w:rsidR="00A33CC8" w:rsidRPr="003B4362">
        <w:rPr>
          <w:spacing w:val="-2"/>
        </w:rPr>
        <w:t xml:space="preserve">each </w:t>
      </w:r>
      <w:r w:rsidRPr="003B4362">
        <w:rPr>
          <w:spacing w:val="-2"/>
        </w:rPr>
        <w:t xml:space="preserve">detected regulated </w:t>
      </w:r>
      <w:r w:rsidR="00A33CC8" w:rsidRPr="003B4362">
        <w:rPr>
          <w:spacing w:val="-2"/>
        </w:rPr>
        <w:t xml:space="preserve">contaminant </w:t>
      </w:r>
      <w:bookmarkEnd w:id="4264"/>
      <w:r w:rsidRPr="003B4362">
        <w:rPr>
          <w:spacing w:val="-2"/>
        </w:rPr>
        <w:t xml:space="preserve">(listed in Appendix A), the tables must </w:t>
      </w:r>
      <w:bookmarkStart w:id="4265" w:name="_Hlk131679109"/>
      <w:r w:rsidRPr="003B4362">
        <w:rPr>
          <w:spacing w:val="-2"/>
        </w:rPr>
        <w:t>contain</w:t>
      </w:r>
      <w:r w:rsidR="00A33CC8" w:rsidRPr="003B4362">
        <w:rPr>
          <w:spacing w:val="-2"/>
        </w:rPr>
        <w:t xml:space="preserve"> specific information</w:t>
      </w:r>
      <w:bookmarkEnd w:id="4265"/>
      <w:r w:rsidRPr="003B4362">
        <w:rPr>
          <w:spacing w:val="-2"/>
        </w:rPr>
        <w:t>:</w:t>
      </w:r>
    </w:p>
    <w:p w14:paraId="25328269" w14:textId="77777777" w:rsidR="008D1FEE" w:rsidRDefault="008D1FEE" w:rsidP="008D1FEE">
      <w:pPr>
        <w:widowControl w:val="0"/>
        <w:suppressAutoHyphens/>
        <w:ind w:left="2880" w:hanging="720"/>
        <w:rPr>
          <w:spacing w:val="-2"/>
        </w:rPr>
      </w:pPr>
    </w:p>
    <w:p w14:paraId="5DEA4BF8" w14:textId="12461223" w:rsidR="00F437D9" w:rsidRPr="003B4362" w:rsidRDefault="00F437D9" w:rsidP="008D1FEE">
      <w:pPr>
        <w:widowControl w:val="0"/>
        <w:suppressAutoHyphens/>
        <w:ind w:left="2880" w:hanging="720"/>
        <w:rPr>
          <w:spacing w:val="-2"/>
        </w:rPr>
      </w:pPr>
      <w:r w:rsidRPr="003B4362">
        <w:rPr>
          <w:spacing w:val="-2"/>
        </w:rPr>
        <w:t>A)</w:t>
      </w:r>
      <w:r w:rsidRPr="003B4362">
        <w:rPr>
          <w:spacing w:val="-2"/>
        </w:rPr>
        <w:tab/>
        <w:t xml:space="preserve">The MCL for </w:t>
      </w:r>
      <w:r w:rsidR="00ED42DB" w:rsidRPr="003B4362">
        <w:rPr>
          <w:spacing w:val="-2"/>
        </w:rPr>
        <w:t xml:space="preserve">the </w:t>
      </w:r>
      <w:r w:rsidRPr="003B4362">
        <w:rPr>
          <w:spacing w:val="-2"/>
        </w:rPr>
        <w:t>contaminant expressed as a number equal to or greater than 1.0 (</w:t>
      </w:r>
      <w:bookmarkStart w:id="4266" w:name="_Hlk131684153"/>
      <w:r w:rsidRPr="003B4362">
        <w:rPr>
          <w:spacing w:val="-2"/>
        </w:rPr>
        <w:t>as Appendix A</w:t>
      </w:r>
      <w:r w:rsidR="00ED42DB" w:rsidRPr="003B4362">
        <w:rPr>
          <w:spacing w:val="-2"/>
        </w:rPr>
        <w:t xml:space="preserve"> provides</w:t>
      </w:r>
      <w:bookmarkEnd w:id="4266"/>
      <w:r w:rsidRPr="003B4362">
        <w:rPr>
          <w:spacing w:val="-2"/>
        </w:rPr>
        <w:t>);</w:t>
      </w:r>
    </w:p>
    <w:p w14:paraId="2E8B9146" w14:textId="77777777" w:rsidR="008D1FEE" w:rsidRDefault="008D1FEE" w:rsidP="008D1FEE">
      <w:pPr>
        <w:widowControl w:val="0"/>
        <w:suppressAutoHyphens/>
        <w:ind w:left="2880" w:hanging="720"/>
      </w:pPr>
    </w:p>
    <w:p w14:paraId="00715691" w14:textId="1DC1CABE" w:rsidR="00F437D9" w:rsidRPr="003B4362" w:rsidRDefault="00F437D9" w:rsidP="008D1FEE">
      <w:pPr>
        <w:widowControl w:val="0"/>
        <w:suppressAutoHyphens/>
        <w:ind w:left="2880" w:hanging="720"/>
        <w:rPr>
          <w:spacing w:val="-2"/>
        </w:rPr>
      </w:pPr>
      <w:r w:rsidRPr="003B4362">
        <w:t>B)</w:t>
      </w:r>
      <w:r w:rsidRPr="003B4362">
        <w:tab/>
        <w:t>The federal Maximum Contaminant Level Goal (MCLG) for that contaminant expressed in the same units as the MCL;</w:t>
      </w:r>
    </w:p>
    <w:p w14:paraId="2B493D54" w14:textId="77777777" w:rsidR="008D1FEE" w:rsidRDefault="008D1FEE" w:rsidP="008D1FEE">
      <w:pPr>
        <w:widowControl w:val="0"/>
        <w:suppressAutoHyphens/>
        <w:ind w:left="2880" w:hanging="720"/>
      </w:pPr>
    </w:p>
    <w:p w14:paraId="1712BA9E" w14:textId="3B50F163" w:rsidR="00F437D9" w:rsidRPr="003B4362" w:rsidRDefault="00F437D9" w:rsidP="008D1FEE">
      <w:pPr>
        <w:widowControl w:val="0"/>
        <w:suppressAutoHyphens/>
        <w:ind w:left="2880" w:hanging="720"/>
        <w:rPr>
          <w:spacing w:val="-2"/>
        </w:rPr>
      </w:pPr>
      <w:r w:rsidRPr="003B4362">
        <w:t>C</w:t>
      </w:r>
      <w:r w:rsidRPr="003B4362">
        <w:rPr>
          <w:spacing w:val="-2"/>
        </w:rPr>
        <w:t>)</w:t>
      </w:r>
      <w:r w:rsidRPr="003B4362">
        <w:rPr>
          <w:spacing w:val="-2"/>
        </w:rPr>
        <w:tab/>
        <w:t>If there is no MCL for a detected contaminant, the table must indicate that there is a treatment technique</w:t>
      </w:r>
      <w:r w:rsidRPr="003B4362">
        <w:t xml:space="preserve"> </w:t>
      </w:r>
      <w:bookmarkStart w:id="4267" w:name="_Hlk131684823"/>
      <w:r w:rsidRPr="003B4362">
        <w:t>or</w:t>
      </w:r>
      <w:r w:rsidRPr="003B4362">
        <w:rPr>
          <w:spacing w:val="-2"/>
        </w:rPr>
        <w:t xml:space="preserve"> specify the action level</w:t>
      </w:r>
      <w:bookmarkEnd w:id="4267"/>
      <w:r w:rsidRPr="003B4362">
        <w:rPr>
          <w:spacing w:val="-2"/>
        </w:rPr>
        <w:t xml:space="preserve"> </w:t>
      </w:r>
      <w:bookmarkStart w:id="4268" w:name="_Hlk131684879"/>
      <w:r w:rsidR="00ED42DB" w:rsidRPr="003B4362">
        <w:rPr>
          <w:spacing w:val="-2"/>
        </w:rPr>
        <w:t xml:space="preserve">for the </w:t>
      </w:r>
      <w:r w:rsidRPr="003B4362">
        <w:rPr>
          <w:spacing w:val="-2"/>
        </w:rPr>
        <w:t>contaminant</w:t>
      </w:r>
      <w:bookmarkEnd w:id="4268"/>
      <w:r w:rsidRPr="003B4362">
        <w:rPr>
          <w:spacing w:val="-2"/>
        </w:rPr>
        <w:t xml:space="preserve">, and the report must include </w:t>
      </w:r>
      <w:bookmarkStart w:id="4269" w:name="_Hlk131684977"/>
      <w:r w:rsidRPr="003B4362">
        <w:rPr>
          <w:spacing w:val="-2"/>
        </w:rPr>
        <w:t xml:space="preserve">the </w:t>
      </w:r>
      <w:r w:rsidR="00ED42DB" w:rsidRPr="003B4362">
        <w:rPr>
          <w:spacing w:val="-2"/>
        </w:rPr>
        <w:t xml:space="preserve">applicable of the </w:t>
      </w:r>
      <w:r w:rsidRPr="003B4362">
        <w:rPr>
          <w:spacing w:val="-2"/>
        </w:rPr>
        <w:t>definitions for treatment technique or action level</w:t>
      </w:r>
      <w:r w:rsidR="00ED42DB" w:rsidRPr="003B4362">
        <w:rPr>
          <w:spacing w:val="-2"/>
        </w:rPr>
        <w:t xml:space="preserve"> that</w:t>
      </w:r>
      <w:r w:rsidRPr="003B4362">
        <w:rPr>
          <w:spacing w:val="-2"/>
        </w:rPr>
        <w:t xml:space="preserve"> subsection (c)(3)</w:t>
      </w:r>
      <w:r w:rsidR="00ED42DB" w:rsidRPr="003B4362">
        <w:rPr>
          <w:spacing w:val="-2"/>
        </w:rPr>
        <w:t xml:space="preserve"> specifies</w:t>
      </w:r>
      <w:bookmarkEnd w:id="4269"/>
      <w:r w:rsidRPr="003B4362">
        <w:rPr>
          <w:spacing w:val="-2"/>
        </w:rPr>
        <w:t>;</w:t>
      </w:r>
    </w:p>
    <w:p w14:paraId="4BD845DA" w14:textId="77777777" w:rsidR="008D1FEE" w:rsidRDefault="008D1FEE" w:rsidP="008D1FEE">
      <w:pPr>
        <w:widowControl w:val="0"/>
        <w:suppressAutoHyphens/>
        <w:ind w:left="2880" w:hanging="720"/>
      </w:pPr>
    </w:p>
    <w:p w14:paraId="448DECE2" w14:textId="33C29B9B" w:rsidR="00F437D9" w:rsidRPr="003B4362" w:rsidRDefault="00F437D9" w:rsidP="008D1FEE">
      <w:pPr>
        <w:widowControl w:val="0"/>
        <w:suppressAutoHyphens/>
        <w:ind w:left="2880" w:hanging="720"/>
        <w:rPr>
          <w:spacing w:val="-2"/>
        </w:rPr>
      </w:pPr>
      <w:r w:rsidRPr="003B4362">
        <w:t>D</w:t>
      </w:r>
      <w:r w:rsidRPr="003B4362">
        <w:rPr>
          <w:spacing w:val="-2"/>
        </w:rPr>
        <w:t>)</w:t>
      </w:r>
      <w:r w:rsidRPr="003B4362">
        <w:rPr>
          <w:spacing w:val="-2"/>
        </w:rPr>
        <w:tab/>
        <w:t xml:space="preserve">For contaminants subject to an MCL, except turbidity, total coliforms, </w:t>
      </w:r>
      <w:r w:rsidRPr="003B4362">
        <w:rPr>
          <w:szCs w:val="24"/>
        </w:rPr>
        <w:t xml:space="preserve">fecal coliforms, and </w:t>
      </w:r>
      <w:r w:rsidRPr="003B4362">
        <w:rPr>
          <w:iCs/>
          <w:szCs w:val="24"/>
        </w:rPr>
        <w:t xml:space="preserve">E. coli, </w:t>
      </w:r>
      <w:r w:rsidRPr="003B4362">
        <w:rPr>
          <w:spacing w:val="-2"/>
        </w:rPr>
        <w:t xml:space="preserve">the highest contaminant </w:t>
      </w:r>
      <w:bookmarkStart w:id="4270" w:name="_Hlk131685373"/>
      <w:r w:rsidRPr="003B4362">
        <w:rPr>
          <w:spacing w:val="-2"/>
        </w:rPr>
        <w:t xml:space="preserve">level </w:t>
      </w:r>
      <w:r w:rsidR="002C1EEA" w:rsidRPr="003B4362">
        <w:rPr>
          <w:spacing w:val="-2"/>
        </w:rPr>
        <w:t xml:space="preserve">the supplier </w:t>
      </w:r>
      <w:r w:rsidRPr="003B4362">
        <w:rPr>
          <w:spacing w:val="-2"/>
        </w:rPr>
        <w:t>used</w:t>
      </w:r>
      <w:bookmarkEnd w:id="4270"/>
      <w:r w:rsidRPr="003B4362">
        <w:rPr>
          <w:spacing w:val="-2"/>
        </w:rPr>
        <w:t xml:space="preserve"> to determine </w:t>
      </w:r>
      <w:bookmarkStart w:id="4271" w:name="_Hlk131685447"/>
      <w:r w:rsidRPr="003B4362">
        <w:rPr>
          <w:spacing w:val="-2"/>
        </w:rPr>
        <w:t xml:space="preserve">compliance with </w:t>
      </w:r>
      <w:r w:rsidR="002C1EEA" w:rsidRPr="003B4362">
        <w:rPr>
          <w:spacing w:val="-2"/>
        </w:rPr>
        <w:t xml:space="preserve">the applicable </w:t>
      </w:r>
      <w:r w:rsidRPr="003B4362">
        <w:rPr>
          <w:spacing w:val="-2"/>
        </w:rPr>
        <w:t>NPDWR</w:t>
      </w:r>
      <w:bookmarkEnd w:id="4271"/>
      <w:r w:rsidRPr="003B4362">
        <w:rPr>
          <w:spacing w:val="-2"/>
        </w:rPr>
        <w:t xml:space="preserve"> </w:t>
      </w:r>
      <w:bookmarkStart w:id="4272" w:name="_Hlk131685542"/>
      <w:r w:rsidRPr="003B4362">
        <w:rPr>
          <w:spacing w:val="-2"/>
        </w:rPr>
        <w:t>and the range of detected levels</w:t>
      </w:r>
      <w:bookmarkEnd w:id="4272"/>
      <w:r w:rsidRPr="003B4362">
        <w:rPr>
          <w:spacing w:val="-2"/>
        </w:rPr>
        <w:t>:</w:t>
      </w:r>
    </w:p>
    <w:p w14:paraId="6DBBB875" w14:textId="77777777" w:rsidR="008D1FEE" w:rsidRDefault="008D1FEE" w:rsidP="008D1FEE">
      <w:pPr>
        <w:widowControl w:val="0"/>
        <w:suppressAutoHyphens/>
        <w:ind w:left="3600" w:hanging="720"/>
        <w:rPr>
          <w:spacing w:val="-2"/>
        </w:rPr>
      </w:pPr>
    </w:p>
    <w:p w14:paraId="13C562E6" w14:textId="42FC8D0B" w:rsidR="00F437D9" w:rsidRPr="003B4362" w:rsidRDefault="00F437D9" w:rsidP="008D1FEE">
      <w:pPr>
        <w:widowControl w:val="0"/>
        <w:suppressAutoHyphens/>
        <w:ind w:left="3600" w:hanging="720"/>
        <w:rPr>
          <w:spacing w:val="-2"/>
        </w:rPr>
      </w:pPr>
      <w:r w:rsidRPr="003B4362">
        <w:rPr>
          <w:spacing w:val="-2"/>
        </w:rPr>
        <w:t>i)</w:t>
      </w:r>
      <w:r w:rsidRPr="003B4362">
        <w:rPr>
          <w:spacing w:val="-2"/>
        </w:rPr>
        <w:tab/>
        <w:t>W</w:t>
      </w:r>
      <w:bookmarkStart w:id="4273" w:name="_Hlk131685844"/>
      <w:r w:rsidRPr="003B4362">
        <w:rPr>
          <w:spacing w:val="-2"/>
        </w:rPr>
        <w:t xml:space="preserve">hen </w:t>
      </w:r>
      <w:r w:rsidR="00481858" w:rsidRPr="003B4362">
        <w:rPr>
          <w:spacing w:val="-2"/>
        </w:rPr>
        <w:t xml:space="preserve">the supplier determines </w:t>
      </w:r>
      <w:r w:rsidRPr="003B4362">
        <w:rPr>
          <w:spacing w:val="-2"/>
        </w:rPr>
        <w:t>compliance with the MCL annually</w:t>
      </w:r>
      <w:bookmarkEnd w:id="4273"/>
      <w:r w:rsidRPr="003B4362">
        <w:rPr>
          <w:spacing w:val="-2"/>
        </w:rPr>
        <w:t xml:space="preserve"> or less frequently:  the highest detected level at any sampling point and the range of detected levels expressed in the same units as the MCL.</w:t>
      </w:r>
    </w:p>
    <w:p w14:paraId="03F89986" w14:textId="77777777" w:rsidR="008D1FEE" w:rsidRDefault="008D1FEE" w:rsidP="008D1FEE">
      <w:pPr>
        <w:widowControl w:val="0"/>
        <w:suppressAutoHyphens/>
        <w:ind w:left="3600" w:hanging="720"/>
        <w:rPr>
          <w:spacing w:val="-2"/>
        </w:rPr>
      </w:pPr>
    </w:p>
    <w:p w14:paraId="166FC39C" w14:textId="55A05C0F" w:rsidR="00F437D9" w:rsidRPr="003B4362" w:rsidRDefault="00F437D9" w:rsidP="008D1FEE">
      <w:pPr>
        <w:widowControl w:val="0"/>
        <w:suppressAutoHyphens/>
        <w:ind w:left="3600" w:hanging="720"/>
        <w:rPr>
          <w:spacing w:val="-2"/>
        </w:rPr>
      </w:pPr>
      <w:r w:rsidRPr="003B4362">
        <w:rPr>
          <w:spacing w:val="-2"/>
        </w:rPr>
        <w:t>ii)</w:t>
      </w:r>
      <w:r w:rsidRPr="003B4362">
        <w:rPr>
          <w:spacing w:val="-2"/>
        </w:rPr>
        <w:tab/>
        <w:t>W</w:t>
      </w:r>
      <w:bookmarkStart w:id="4274" w:name="_Hlk131686569"/>
      <w:r w:rsidRPr="003B4362">
        <w:rPr>
          <w:spacing w:val="-2"/>
        </w:rPr>
        <w:t xml:space="preserve">hen </w:t>
      </w:r>
      <w:r w:rsidR="00553CEA" w:rsidRPr="003B4362">
        <w:rPr>
          <w:spacing w:val="-2"/>
        </w:rPr>
        <w:t xml:space="preserve">the supplier determines </w:t>
      </w:r>
      <w:r w:rsidRPr="003B4362">
        <w:rPr>
          <w:spacing w:val="-2"/>
        </w:rPr>
        <w:t>compliance with the MCL by calculating</w:t>
      </w:r>
      <w:bookmarkEnd w:id="4274"/>
      <w:r w:rsidRPr="003B4362">
        <w:rPr>
          <w:spacing w:val="-2"/>
        </w:rPr>
        <w:t xml:space="preserve"> a running annual average of all samples taken at a monitoring location:  the highest </w:t>
      </w:r>
      <w:bookmarkStart w:id="4275" w:name="_Hlk131686633"/>
      <w:r w:rsidRPr="003B4362">
        <w:rPr>
          <w:spacing w:val="-2"/>
        </w:rPr>
        <w:t xml:space="preserve">average of </w:t>
      </w:r>
      <w:r w:rsidR="00553CEA" w:rsidRPr="003B4362">
        <w:rPr>
          <w:spacing w:val="-2"/>
        </w:rPr>
        <w:t xml:space="preserve">all </w:t>
      </w:r>
      <w:r w:rsidRPr="003B4362">
        <w:rPr>
          <w:spacing w:val="-2"/>
        </w:rPr>
        <w:t>monitoring locations</w:t>
      </w:r>
      <w:bookmarkEnd w:id="4275"/>
      <w:r w:rsidRPr="003B4362">
        <w:rPr>
          <w:spacing w:val="-2"/>
        </w:rPr>
        <w:t xml:space="preserve"> and the range of all monitoring locations expressed in the same units as the MCL.</w:t>
      </w:r>
      <w:r w:rsidRPr="003B4362">
        <w:rPr>
          <w:szCs w:val="18"/>
        </w:rPr>
        <w:t xml:space="preserve">  F</w:t>
      </w:r>
      <w:bookmarkStart w:id="4276" w:name="_Hlk131686719"/>
      <w:r w:rsidRPr="003B4362">
        <w:rPr>
          <w:szCs w:val="18"/>
        </w:rPr>
        <w:t xml:space="preserve">or TTHM and HAA5 </w:t>
      </w:r>
      <w:r w:rsidR="00553CEA" w:rsidRPr="003B4362">
        <w:rPr>
          <w:szCs w:val="18"/>
        </w:rPr>
        <w:t>MCLs</w:t>
      </w:r>
      <w:bookmarkEnd w:id="4276"/>
      <w:r w:rsidR="00553CEA" w:rsidRPr="003B4362">
        <w:rPr>
          <w:szCs w:val="18"/>
        </w:rPr>
        <w:t xml:space="preserve"> </w:t>
      </w:r>
      <w:r w:rsidRPr="003B4362">
        <w:rPr>
          <w:szCs w:val="18"/>
        </w:rPr>
        <w:t xml:space="preserve">in </w:t>
      </w:r>
      <w:bookmarkStart w:id="4277" w:name="_Hlk131687158"/>
      <w:r w:rsidRPr="003B4362">
        <w:rPr>
          <w:szCs w:val="18"/>
        </w:rPr>
        <w:t>Section 611.312(b)</w:t>
      </w:r>
      <w:bookmarkEnd w:id="4277"/>
      <w:r w:rsidRPr="003B4362">
        <w:rPr>
          <w:szCs w:val="18"/>
        </w:rPr>
        <w:t xml:space="preserve">, the supplier must include the highest locational running annual average for TTHM and HAA5 and the range of individual sample results for all monitoring locations expressed in the same units as the MCL.  If results from more than one location exceed the TTHM or HAA5 MCL, the supplier must include the locational running annual average for </w:t>
      </w:r>
      <w:bookmarkStart w:id="4278" w:name="_Hlk131687221"/>
      <w:r w:rsidRPr="003B4362">
        <w:rPr>
          <w:szCs w:val="18"/>
        </w:rPr>
        <w:t xml:space="preserve">each location </w:t>
      </w:r>
      <w:r w:rsidR="00553CEA" w:rsidRPr="003B4362">
        <w:rPr>
          <w:szCs w:val="18"/>
        </w:rPr>
        <w:t xml:space="preserve">having </w:t>
      </w:r>
      <w:r w:rsidRPr="003B4362">
        <w:rPr>
          <w:szCs w:val="18"/>
        </w:rPr>
        <w:t xml:space="preserve">results </w:t>
      </w:r>
      <w:r w:rsidR="00447C9A" w:rsidRPr="003B4362">
        <w:rPr>
          <w:szCs w:val="18"/>
        </w:rPr>
        <w:t xml:space="preserve">exceeding </w:t>
      </w:r>
      <w:r w:rsidRPr="003B4362">
        <w:rPr>
          <w:szCs w:val="18"/>
        </w:rPr>
        <w:t>the MCL</w:t>
      </w:r>
      <w:bookmarkEnd w:id="4278"/>
      <w:r w:rsidRPr="003B4362">
        <w:rPr>
          <w:szCs w:val="18"/>
        </w:rPr>
        <w:t>.</w:t>
      </w:r>
    </w:p>
    <w:p w14:paraId="20D68475" w14:textId="77777777" w:rsidR="008D1FEE" w:rsidRDefault="008D1FEE" w:rsidP="008D1FEE">
      <w:pPr>
        <w:widowControl w:val="0"/>
        <w:suppressAutoHyphens/>
        <w:ind w:left="3600" w:hanging="720"/>
        <w:rPr>
          <w:spacing w:val="-2"/>
        </w:rPr>
      </w:pPr>
    </w:p>
    <w:p w14:paraId="58AFF809" w14:textId="732656A2" w:rsidR="00F437D9" w:rsidRPr="003B4362" w:rsidRDefault="00F437D9" w:rsidP="008D1FEE">
      <w:pPr>
        <w:widowControl w:val="0"/>
        <w:suppressAutoHyphens/>
        <w:ind w:left="3600" w:hanging="720"/>
        <w:rPr>
          <w:spacing w:val="-2"/>
        </w:rPr>
      </w:pPr>
      <w:r w:rsidRPr="003B4362">
        <w:rPr>
          <w:spacing w:val="-2"/>
        </w:rPr>
        <w:t>iii)</w:t>
      </w:r>
      <w:r w:rsidRPr="003B4362">
        <w:rPr>
          <w:spacing w:val="-2"/>
        </w:rPr>
        <w:tab/>
        <w:t xml:space="preserve">When </w:t>
      </w:r>
      <w:r w:rsidR="00E63516" w:rsidRPr="003B4362">
        <w:rPr>
          <w:spacing w:val="-2"/>
        </w:rPr>
        <w:t xml:space="preserve">the supplier determines compliance with the MCL </w:t>
      </w:r>
      <w:r w:rsidRPr="003B4362">
        <w:rPr>
          <w:spacing w:val="-2"/>
        </w:rPr>
        <w:t>on a system-wide basis by calculating a running annual average of all samples at all</w:t>
      </w:r>
      <w:r w:rsidRPr="003B4362">
        <w:t xml:space="preserve"> monitoring locations</w:t>
      </w:r>
      <w:r w:rsidRPr="003B4362">
        <w:rPr>
          <w:spacing w:val="-2"/>
        </w:rPr>
        <w:t xml:space="preserve">:  the average and </w:t>
      </w:r>
      <w:bookmarkStart w:id="4279" w:name="_Hlk131688385"/>
      <w:r w:rsidRPr="003B4362">
        <w:rPr>
          <w:spacing w:val="-2"/>
        </w:rPr>
        <w:t xml:space="preserve">range of </w:t>
      </w:r>
      <w:r w:rsidR="00E63516" w:rsidRPr="003B4362">
        <w:rPr>
          <w:spacing w:val="-2"/>
        </w:rPr>
        <w:t xml:space="preserve">detected concentrations </w:t>
      </w:r>
      <w:bookmarkEnd w:id="4279"/>
      <w:r w:rsidRPr="003B4362">
        <w:rPr>
          <w:spacing w:val="-2"/>
        </w:rPr>
        <w:t>expressed in the same units as the MCL</w:t>
      </w:r>
      <w:r w:rsidRPr="003B4362">
        <w:t>.  T</w:t>
      </w:r>
      <w:bookmarkStart w:id="4280" w:name="_Hlk131688460"/>
      <w:r w:rsidRPr="003B4362">
        <w:t xml:space="preserve">he supplier </w:t>
      </w:r>
      <w:r w:rsidR="00E63516" w:rsidRPr="003B4362">
        <w:t xml:space="preserve">must </w:t>
      </w:r>
      <w:r w:rsidRPr="003B4362">
        <w:t>include</w:t>
      </w:r>
      <w:bookmarkEnd w:id="4280"/>
      <w:r w:rsidRPr="003B4362">
        <w:t xml:space="preserve"> individual sample results for </w:t>
      </w:r>
      <w:bookmarkStart w:id="4281" w:name="_Hlk131688677"/>
      <w:r w:rsidRPr="003B4362">
        <w:t xml:space="preserve">the IDSE </w:t>
      </w:r>
      <w:r w:rsidR="00E63516" w:rsidRPr="003B4362">
        <w:t xml:space="preserve">the supplier </w:t>
      </w:r>
      <w:r w:rsidRPr="003B4362">
        <w:t>conducted under Subpart W</w:t>
      </w:r>
      <w:bookmarkEnd w:id="4281"/>
      <w:r w:rsidRPr="003B4362">
        <w:t xml:space="preserve"> when determining the range of TTHM and HAA5 </w:t>
      </w:r>
      <w:bookmarkStart w:id="4282" w:name="_Hlk131688979"/>
      <w:r w:rsidRPr="003B4362">
        <w:t xml:space="preserve">results to </w:t>
      </w:r>
      <w:r w:rsidR="00DC7A76" w:rsidRPr="003B4362">
        <w:t xml:space="preserve">report </w:t>
      </w:r>
      <w:r w:rsidRPr="003B4362">
        <w:t xml:space="preserve">in </w:t>
      </w:r>
      <w:r w:rsidR="00DC7A76" w:rsidRPr="003B4362">
        <w:t xml:space="preserve">its </w:t>
      </w:r>
      <w:r w:rsidRPr="003B4362">
        <w:t>annual consumer confidence report</w:t>
      </w:r>
      <w:bookmarkEnd w:id="4282"/>
      <w:r w:rsidRPr="003B4362">
        <w:t xml:space="preserve"> for the calendar </w:t>
      </w:r>
      <w:bookmarkStart w:id="4283" w:name="_Hlk131691068"/>
      <w:r w:rsidRPr="003B4362">
        <w:t xml:space="preserve">year </w:t>
      </w:r>
      <w:r w:rsidR="00DC7A76" w:rsidRPr="003B4362">
        <w:t xml:space="preserve">when the supplier took </w:t>
      </w:r>
      <w:r w:rsidRPr="003B4362">
        <w:t>the IDSE samples</w:t>
      </w:r>
      <w:bookmarkEnd w:id="4283"/>
      <w:r w:rsidRPr="003B4362">
        <w:t>;</w:t>
      </w:r>
    </w:p>
    <w:p w14:paraId="17BFEB9D" w14:textId="77777777" w:rsidR="008D1FEE" w:rsidRDefault="008D1FEE" w:rsidP="008D1FEE">
      <w:pPr>
        <w:widowControl w:val="0"/>
        <w:suppressAutoHyphens/>
        <w:ind w:left="2880"/>
        <w:rPr>
          <w:caps/>
          <w:spacing w:val="-2"/>
        </w:rPr>
      </w:pPr>
      <w:bookmarkStart w:id="4284" w:name="_Hlk131691592"/>
    </w:p>
    <w:p w14:paraId="71CB4C3B" w14:textId="60A43CDE" w:rsidR="00F437D9" w:rsidRPr="003B4362" w:rsidRDefault="00F437D9" w:rsidP="008D1FEE">
      <w:pPr>
        <w:widowControl w:val="0"/>
        <w:suppressAutoHyphens/>
        <w:ind w:left="2880"/>
        <w:rPr>
          <w:spacing w:val="-2"/>
        </w:rPr>
      </w:pPr>
      <w:r w:rsidRPr="003B4362">
        <w:rPr>
          <w:caps/>
          <w:spacing w:val="-2"/>
        </w:rPr>
        <w:lastRenderedPageBreak/>
        <w:t>Board Note</w:t>
      </w:r>
      <w:bookmarkEnd w:id="4284"/>
      <w:r w:rsidRPr="003B4362">
        <w:rPr>
          <w:spacing w:val="-2"/>
        </w:rPr>
        <w:t xml:space="preserve">:  </w:t>
      </w:r>
      <w:bookmarkStart w:id="4285" w:name="_Hlk131692401"/>
      <w:r w:rsidR="00665044" w:rsidRPr="003B4362">
        <w:rPr>
          <w:spacing w:val="-2"/>
        </w:rPr>
        <w:t xml:space="preserve">If a rule allows </w:t>
      </w:r>
      <w:r w:rsidRPr="003B4362">
        <w:rPr>
          <w:spacing w:val="-2"/>
        </w:rPr>
        <w:t>rounding results</w:t>
      </w:r>
      <w:bookmarkStart w:id="4286" w:name="_Hlk131692552"/>
      <w:bookmarkEnd w:id="4285"/>
      <w:r w:rsidRPr="003B4362">
        <w:rPr>
          <w:spacing w:val="-2"/>
        </w:rPr>
        <w:t xml:space="preserve"> to determine compliance with </w:t>
      </w:r>
      <w:r w:rsidR="00665044" w:rsidRPr="003B4362">
        <w:rPr>
          <w:spacing w:val="-2"/>
        </w:rPr>
        <w:t xml:space="preserve">an </w:t>
      </w:r>
      <w:r w:rsidRPr="003B4362">
        <w:rPr>
          <w:spacing w:val="-2"/>
        </w:rPr>
        <w:t>MCL</w:t>
      </w:r>
      <w:bookmarkEnd w:id="4286"/>
      <w:r w:rsidRPr="003B4362">
        <w:rPr>
          <w:spacing w:val="-2"/>
        </w:rPr>
        <w:t xml:space="preserve">, </w:t>
      </w:r>
      <w:bookmarkStart w:id="4287" w:name="_Hlk131692617"/>
      <w:r w:rsidR="00665044" w:rsidRPr="003B4362">
        <w:rPr>
          <w:spacing w:val="-2"/>
        </w:rPr>
        <w:t xml:space="preserve">the supplier should </w:t>
      </w:r>
      <w:r w:rsidR="00EE3EA7" w:rsidRPr="003B4362">
        <w:rPr>
          <w:spacing w:val="-2"/>
        </w:rPr>
        <w:t xml:space="preserve">round </w:t>
      </w:r>
      <w:r w:rsidR="00665044" w:rsidRPr="003B4362">
        <w:rPr>
          <w:spacing w:val="-2"/>
        </w:rPr>
        <w:t xml:space="preserve">before </w:t>
      </w:r>
      <w:r w:rsidRPr="003B4362">
        <w:rPr>
          <w:spacing w:val="-2"/>
        </w:rPr>
        <w:t>multiplying the results</w:t>
      </w:r>
      <w:bookmarkEnd w:id="4287"/>
      <w:r w:rsidRPr="003B4362">
        <w:rPr>
          <w:spacing w:val="-2"/>
        </w:rPr>
        <w:t xml:space="preserve"> by </w:t>
      </w:r>
      <w:bookmarkStart w:id="4288" w:name="_Hlk131692727"/>
      <w:r w:rsidRPr="003B4362">
        <w:rPr>
          <w:spacing w:val="-2"/>
        </w:rPr>
        <w:t xml:space="preserve">the </w:t>
      </w:r>
      <w:r w:rsidR="00665044" w:rsidRPr="003B4362">
        <w:rPr>
          <w:spacing w:val="-2"/>
        </w:rPr>
        <w:t xml:space="preserve">applicable </w:t>
      </w:r>
      <w:r w:rsidRPr="003B4362">
        <w:rPr>
          <w:spacing w:val="-2"/>
        </w:rPr>
        <w:t>factor in Appendix A</w:t>
      </w:r>
      <w:bookmarkEnd w:id="4288"/>
      <w:r w:rsidRPr="003B4362">
        <w:rPr>
          <w:spacing w:val="-2"/>
        </w:rPr>
        <w:t>.</w:t>
      </w:r>
    </w:p>
    <w:p w14:paraId="06052662" w14:textId="77777777" w:rsidR="008D1FEE" w:rsidRDefault="008D1FEE" w:rsidP="008D1FEE">
      <w:pPr>
        <w:widowControl w:val="0"/>
        <w:suppressAutoHyphens/>
        <w:ind w:left="2880" w:hanging="720"/>
        <w:rPr>
          <w:spacing w:val="-2"/>
        </w:rPr>
      </w:pPr>
    </w:p>
    <w:p w14:paraId="1F3860E8" w14:textId="38BEAD25" w:rsidR="00F437D9" w:rsidRPr="003B4362" w:rsidRDefault="00F437D9" w:rsidP="008D1FEE">
      <w:pPr>
        <w:widowControl w:val="0"/>
        <w:suppressAutoHyphens/>
        <w:ind w:left="2880" w:hanging="720"/>
        <w:rPr>
          <w:spacing w:val="-2"/>
        </w:rPr>
      </w:pPr>
      <w:r w:rsidRPr="003B4362">
        <w:rPr>
          <w:spacing w:val="-2"/>
        </w:rPr>
        <w:t>E)</w:t>
      </w:r>
      <w:r w:rsidRPr="003B4362">
        <w:rPr>
          <w:spacing w:val="-2"/>
        </w:rPr>
        <w:tab/>
        <w:t>For turbidity:</w:t>
      </w:r>
    </w:p>
    <w:p w14:paraId="64E7A848" w14:textId="77777777" w:rsidR="008D1FEE" w:rsidRDefault="008D1FEE" w:rsidP="008D1FEE">
      <w:pPr>
        <w:widowControl w:val="0"/>
        <w:suppressAutoHyphens/>
        <w:ind w:left="3600" w:hanging="720"/>
        <w:rPr>
          <w:spacing w:val="-2"/>
        </w:rPr>
      </w:pPr>
    </w:p>
    <w:p w14:paraId="50EA664B" w14:textId="0E9E2B16" w:rsidR="00F437D9" w:rsidRPr="003B4362" w:rsidRDefault="00F437D9" w:rsidP="008D1FEE">
      <w:pPr>
        <w:widowControl w:val="0"/>
        <w:suppressAutoHyphens/>
        <w:ind w:left="3600" w:hanging="720"/>
        <w:rPr>
          <w:spacing w:val="-2"/>
        </w:rPr>
      </w:pPr>
      <w:r w:rsidRPr="003B4362">
        <w:rPr>
          <w:spacing w:val="-2"/>
        </w:rPr>
        <w:t>i)</w:t>
      </w:r>
      <w:r w:rsidRPr="003B4362">
        <w:rPr>
          <w:spacing w:val="-2"/>
        </w:rPr>
        <w:tab/>
      </w:r>
      <w:bookmarkStart w:id="4289" w:name="_Hlk131694552"/>
      <w:r w:rsidR="00BE31AA" w:rsidRPr="003B4362">
        <w:rPr>
          <w:spacing w:val="-2"/>
        </w:rPr>
        <w:t xml:space="preserve">Corresponding 40 CFR 141.153(d)(4)(v)(A) relates to </w:t>
      </w:r>
      <w:r w:rsidR="00DB396D" w:rsidRPr="003B4362">
        <w:rPr>
          <w:spacing w:val="-2"/>
        </w:rPr>
        <w:t xml:space="preserve">an MCL for turbidity applicable to </w:t>
      </w:r>
      <w:r w:rsidR="00BE31AA" w:rsidRPr="003B4362">
        <w:rPr>
          <w:spacing w:val="-2"/>
        </w:rPr>
        <w:t xml:space="preserve">unfiltered systems, which do not exist in </w:t>
      </w:r>
      <w:r w:rsidR="000A378D" w:rsidRPr="003B4362">
        <w:rPr>
          <w:spacing w:val="-2"/>
        </w:rPr>
        <w:t>Illinois</w:t>
      </w:r>
      <w:r w:rsidR="00BE31AA" w:rsidRPr="003B4362">
        <w:rPr>
          <w:spacing w:val="-2"/>
        </w:rPr>
        <w:t>.  This statement maintains structural consistency with the federal rules.</w:t>
      </w:r>
      <w:bookmarkEnd w:id="4289"/>
    </w:p>
    <w:p w14:paraId="113EC0C6" w14:textId="77777777" w:rsidR="008D1FEE" w:rsidRDefault="008D1FEE" w:rsidP="008D1FEE">
      <w:pPr>
        <w:widowControl w:val="0"/>
        <w:suppressAutoHyphens/>
        <w:ind w:left="3600" w:hanging="720"/>
        <w:rPr>
          <w:spacing w:val="-2"/>
        </w:rPr>
      </w:pPr>
    </w:p>
    <w:p w14:paraId="4B63260F" w14:textId="262FC253" w:rsidR="00F437D9" w:rsidRPr="003B4362" w:rsidRDefault="00F437D9" w:rsidP="008D1FEE">
      <w:pPr>
        <w:widowControl w:val="0"/>
        <w:suppressAutoHyphens/>
        <w:ind w:left="3600" w:hanging="720"/>
        <w:rPr>
          <w:spacing w:val="-2"/>
        </w:rPr>
      </w:pPr>
      <w:r w:rsidRPr="003B4362">
        <w:rPr>
          <w:spacing w:val="-2"/>
        </w:rPr>
        <w:t>ii)</w:t>
      </w:r>
      <w:r w:rsidRPr="003B4362">
        <w:rPr>
          <w:spacing w:val="-2"/>
        </w:rPr>
        <w:tab/>
      </w:r>
      <w:r w:rsidR="00290B20" w:rsidRPr="003B4362">
        <w:rPr>
          <w:spacing w:val="-2"/>
        </w:rPr>
        <w:t xml:space="preserve">If the supplier reports </w:t>
      </w:r>
      <w:r w:rsidRPr="003B4362">
        <w:rPr>
          <w:spacing w:val="-2"/>
        </w:rPr>
        <w:t>under Section 611.211(b):  the highest monthly value.  T</w:t>
      </w:r>
      <w:bookmarkStart w:id="4290" w:name="_Hlk132105162"/>
      <w:r w:rsidRPr="003B4362">
        <w:rPr>
          <w:spacing w:val="-2"/>
        </w:rPr>
        <w:t xml:space="preserve">he report must </w:t>
      </w:r>
      <w:r w:rsidR="00290B20" w:rsidRPr="003B4362">
        <w:rPr>
          <w:spacing w:val="-2"/>
        </w:rPr>
        <w:t xml:space="preserve">explain </w:t>
      </w:r>
      <w:r w:rsidRPr="003B4362">
        <w:rPr>
          <w:spacing w:val="-2"/>
        </w:rPr>
        <w:t>the reasons</w:t>
      </w:r>
      <w:bookmarkEnd w:id="4290"/>
      <w:r w:rsidRPr="003B4362">
        <w:rPr>
          <w:spacing w:val="-2"/>
        </w:rPr>
        <w:t xml:space="preserve"> for measuring turbidity.</w:t>
      </w:r>
    </w:p>
    <w:p w14:paraId="617D2C01" w14:textId="77777777" w:rsidR="008D1FEE" w:rsidRDefault="008D1FEE" w:rsidP="008D1FEE">
      <w:pPr>
        <w:widowControl w:val="0"/>
        <w:suppressAutoHyphens/>
        <w:ind w:left="3600" w:hanging="720"/>
        <w:rPr>
          <w:spacing w:val="-2"/>
        </w:rPr>
      </w:pPr>
    </w:p>
    <w:p w14:paraId="35B7ECFC" w14:textId="2F761E82" w:rsidR="00F437D9" w:rsidRPr="003B4362" w:rsidRDefault="00F437D9" w:rsidP="008D1FEE">
      <w:pPr>
        <w:widowControl w:val="0"/>
        <w:suppressAutoHyphens/>
        <w:ind w:left="3600" w:hanging="720"/>
        <w:rPr>
          <w:spacing w:val="-2"/>
        </w:rPr>
      </w:pPr>
      <w:r w:rsidRPr="003B4362">
        <w:rPr>
          <w:spacing w:val="-2"/>
        </w:rPr>
        <w:t>iii)</w:t>
      </w:r>
      <w:r w:rsidRPr="003B4362">
        <w:rPr>
          <w:spacing w:val="-2"/>
        </w:rPr>
        <w:tab/>
      </w:r>
      <w:r w:rsidR="00F06FE3" w:rsidRPr="003B4362">
        <w:rPr>
          <w:spacing w:val="-2"/>
        </w:rPr>
        <w:t xml:space="preserve">If the supplier reports </w:t>
      </w:r>
      <w:r w:rsidRPr="003B4362">
        <w:rPr>
          <w:spacing w:val="-2"/>
        </w:rPr>
        <w:t xml:space="preserve">under </w:t>
      </w:r>
      <w:bookmarkStart w:id="4291" w:name="_Hlk132106076"/>
      <w:r w:rsidRPr="003B4362">
        <w:rPr>
          <w:spacing w:val="-2"/>
        </w:rPr>
        <w:t>Section 611.250, 611.743</w:t>
      </w:r>
      <w:r w:rsidRPr="003B4362">
        <w:t>, or</w:t>
      </w:r>
      <w:r w:rsidRPr="003B4362">
        <w:rPr>
          <w:spacing w:val="-2"/>
        </w:rPr>
        <w:t xml:space="preserve"> 611.955(b)</w:t>
      </w:r>
      <w:bookmarkEnd w:id="4291"/>
      <w:r w:rsidRPr="003B4362">
        <w:rPr>
          <w:spacing w:val="-2"/>
        </w:rPr>
        <w:t xml:space="preserve">:  the highest single measurement and the lowest monthly percentage of samples meeting the turbidity </w:t>
      </w:r>
      <w:bookmarkStart w:id="4292" w:name="_Hlk132106106"/>
      <w:r w:rsidRPr="003B4362">
        <w:rPr>
          <w:spacing w:val="-2"/>
        </w:rPr>
        <w:t>limits Section 611.250, 611.743</w:t>
      </w:r>
      <w:r w:rsidRPr="003B4362">
        <w:t>, or</w:t>
      </w:r>
      <w:r w:rsidRPr="003B4362">
        <w:rPr>
          <w:spacing w:val="-2"/>
        </w:rPr>
        <w:t xml:space="preserve"> 611.955(b) </w:t>
      </w:r>
      <w:r w:rsidR="00F06FE3" w:rsidRPr="003B4362">
        <w:rPr>
          <w:spacing w:val="-2"/>
        </w:rPr>
        <w:t>specifies</w:t>
      </w:r>
      <w:bookmarkEnd w:id="4292"/>
      <w:r w:rsidR="00F06FE3" w:rsidRPr="003B4362">
        <w:rPr>
          <w:spacing w:val="-2"/>
        </w:rPr>
        <w:t xml:space="preserve"> </w:t>
      </w:r>
      <w:r w:rsidRPr="003B4362">
        <w:rPr>
          <w:spacing w:val="-2"/>
        </w:rPr>
        <w:t xml:space="preserve">for </w:t>
      </w:r>
      <w:bookmarkStart w:id="4293" w:name="_Hlk132106161"/>
      <w:r w:rsidRPr="003B4362">
        <w:rPr>
          <w:spacing w:val="-2"/>
        </w:rPr>
        <w:t>the filtration technology</w:t>
      </w:r>
      <w:r w:rsidR="00F06FE3" w:rsidRPr="003B4362">
        <w:rPr>
          <w:spacing w:val="-2"/>
        </w:rPr>
        <w:t xml:space="preserve"> the supplier uses</w:t>
      </w:r>
      <w:bookmarkEnd w:id="4293"/>
      <w:r w:rsidRPr="003B4362">
        <w:rPr>
          <w:spacing w:val="-2"/>
        </w:rPr>
        <w:t xml:space="preserve">.  The report </w:t>
      </w:r>
      <w:r w:rsidRPr="003B4362">
        <w:t>must</w:t>
      </w:r>
      <w:r w:rsidRPr="003B4362">
        <w:rPr>
          <w:spacing w:val="-2"/>
        </w:rPr>
        <w:t xml:space="preserve"> </w:t>
      </w:r>
      <w:r w:rsidR="00EB6B42" w:rsidRPr="003B4362">
        <w:rPr>
          <w:spacing w:val="-2"/>
        </w:rPr>
        <w:t xml:space="preserve">explain </w:t>
      </w:r>
      <w:r w:rsidRPr="003B4362">
        <w:rPr>
          <w:spacing w:val="-2"/>
        </w:rPr>
        <w:t>the reasons for measuring turbidity;</w:t>
      </w:r>
    </w:p>
    <w:p w14:paraId="27295633" w14:textId="77777777" w:rsidR="008D1FEE" w:rsidRDefault="008D1FEE" w:rsidP="008D1FEE">
      <w:pPr>
        <w:widowControl w:val="0"/>
        <w:suppressAutoHyphens/>
        <w:ind w:left="2880" w:hanging="720"/>
        <w:rPr>
          <w:spacing w:val="-2"/>
        </w:rPr>
      </w:pPr>
    </w:p>
    <w:p w14:paraId="6C0B49B9" w14:textId="1A0E06D8" w:rsidR="00F437D9" w:rsidRPr="003B4362" w:rsidRDefault="00F437D9" w:rsidP="008D1FEE">
      <w:pPr>
        <w:widowControl w:val="0"/>
        <w:suppressAutoHyphens/>
        <w:ind w:left="2880" w:hanging="720"/>
        <w:rPr>
          <w:spacing w:val="-2"/>
        </w:rPr>
      </w:pPr>
      <w:r w:rsidRPr="003B4362">
        <w:rPr>
          <w:spacing w:val="-2"/>
        </w:rPr>
        <w:t>F)</w:t>
      </w:r>
      <w:r w:rsidRPr="003B4362">
        <w:rPr>
          <w:spacing w:val="-2"/>
        </w:rPr>
        <w:tab/>
        <w:t xml:space="preserve">For lead and copper:  the 90th percentile </w:t>
      </w:r>
      <w:r w:rsidR="0038448E" w:rsidRPr="003B4362">
        <w:rPr>
          <w:szCs w:val="24"/>
        </w:rPr>
        <w:t xml:space="preserve">concentration </w:t>
      </w:r>
      <w:r w:rsidRPr="003B4362">
        <w:rPr>
          <w:spacing w:val="-2"/>
        </w:rPr>
        <w:t>of the most recent round</w:t>
      </w:r>
      <w:r w:rsidR="0038448E" w:rsidRPr="003B4362">
        <w:rPr>
          <w:spacing w:val="-2"/>
        </w:rPr>
        <w:t>s</w:t>
      </w:r>
      <w:r w:rsidRPr="003B4362">
        <w:rPr>
          <w:spacing w:val="-2"/>
        </w:rPr>
        <w:t xml:space="preserve"> of sampling</w:t>
      </w:r>
      <w:r w:rsidR="0062612F" w:rsidRPr="003B4362">
        <w:rPr>
          <w:spacing w:val="-2"/>
        </w:rPr>
        <w:t>,</w:t>
      </w:r>
      <w:r w:rsidRPr="003B4362">
        <w:rPr>
          <w:spacing w:val="-2"/>
        </w:rPr>
        <w:t xml:space="preserve"> the number of sampling sites exceeding the action level</w:t>
      </w:r>
      <w:r w:rsidR="0038448E" w:rsidRPr="003B4362">
        <w:rPr>
          <w:szCs w:val="24"/>
        </w:rPr>
        <w:t>, and the range of tap sampling results</w:t>
      </w:r>
      <w:r w:rsidRPr="003B4362">
        <w:rPr>
          <w:spacing w:val="-2"/>
        </w:rPr>
        <w:t>;</w:t>
      </w:r>
    </w:p>
    <w:p w14:paraId="68AC4568" w14:textId="77777777" w:rsidR="008D1FEE" w:rsidRDefault="008D1FEE" w:rsidP="008D1FEE">
      <w:pPr>
        <w:widowControl w:val="0"/>
        <w:suppressAutoHyphens/>
        <w:ind w:left="2880" w:hanging="720"/>
        <w:rPr>
          <w:spacing w:val="-2"/>
        </w:rPr>
      </w:pPr>
    </w:p>
    <w:p w14:paraId="081837AB" w14:textId="77DCB22C" w:rsidR="00F437D9" w:rsidRPr="003B4362" w:rsidRDefault="00F437D9" w:rsidP="008D1FEE">
      <w:pPr>
        <w:widowControl w:val="0"/>
        <w:suppressAutoHyphens/>
        <w:ind w:left="2880" w:hanging="720"/>
        <w:rPr>
          <w:spacing w:val="-2"/>
        </w:rPr>
      </w:pPr>
      <w:r w:rsidRPr="003B4362">
        <w:rPr>
          <w:spacing w:val="-2"/>
        </w:rPr>
        <w:t>G)</w:t>
      </w:r>
      <w:r w:rsidRPr="003B4362">
        <w:rPr>
          <w:spacing w:val="-2"/>
        </w:rPr>
        <w:tab/>
      </w:r>
      <w:r w:rsidRPr="003B4362">
        <w:t xml:space="preserve">This subsection (d)(4)(G) corresponds with 40 CFR 141.153(d)(4)(vii), which </w:t>
      </w:r>
      <w:r w:rsidR="00A854C7" w:rsidRPr="003B4362">
        <w:t>has</w:t>
      </w:r>
      <w:r w:rsidRPr="003B4362">
        <w:t xml:space="preserve"> no operative effect after a past implementation date.  This statement maintains structural consistency with the federal regulations;</w:t>
      </w:r>
    </w:p>
    <w:p w14:paraId="099B7D9B" w14:textId="77777777" w:rsidR="008D1FEE" w:rsidRDefault="008D1FEE" w:rsidP="008D1FEE">
      <w:pPr>
        <w:widowControl w:val="0"/>
        <w:suppressAutoHyphens/>
        <w:ind w:left="2880" w:hanging="720"/>
        <w:rPr>
          <w:spacing w:val="-2"/>
        </w:rPr>
      </w:pPr>
    </w:p>
    <w:p w14:paraId="241C5F88" w14:textId="33EF97B3" w:rsidR="00F437D9" w:rsidRPr="003B4362" w:rsidRDefault="00F437D9" w:rsidP="008D1FEE">
      <w:pPr>
        <w:widowControl w:val="0"/>
        <w:suppressAutoHyphens/>
        <w:ind w:left="2880" w:hanging="720"/>
        <w:rPr>
          <w:spacing w:val="-2"/>
        </w:rPr>
      </w:pPr>
      <w:r w:rsidRPr="003B4362">
        <w:rPr>
          <w:spacing w:val="-2"/>
        </w:rPr>
        <w:t>H)</w:t>
      </w:r>
      <w:r w:rsidRPr="003B4362">
        <w:rPr>
          <w:spacing w:val="-2"/>
        </w:rPr>
        <w:tab/>
      </w:r>
      <w:r w:rsidRPr="003B4362">
        <w:t>This subsection (d)(4)(H) corresponds with 40 CFR 141.153(d)(4)(viii), a now-obsolete implementing provision.  This statement maintains structural consistency with the federal regulations;</w:t>
      </w:r>
    </w:p>
    <w:p w14:paraId="65347528" w14:textId="77777777" w:rsidR="008D1FEE" w:rsidRDefault="008D1FEE" w:rsidP="008D1FEE">
      <w:pPr>
        <w:widowControl w:val="0"/>
        <w:suppressAutoHyphens/>
        <w:ind w:left="2880" w:hanging="720"/>
        <w:rPr>
          <w:spacing w:val="-2"/>
        </w:rPr>
      </w:pPr>
    </w:p>
    <w:p w14:paraId="6F89B806" w14:textId="2D2E530A" w:rsidR="00F437D9" w:rsidRPr="003B4362" w:rsidRDefault="00F437D9" w:rsidP="008D1FEE">
      <w:pPr>
        <w:widowControl w:val="0"/>
        <w:suppressAutoHyphens/>
        <w:ind w:left="2880" w:hanging="720"/>
        <w:rPr>
          <w:spacing w:val="-2"/>
        </w:rPr>
      </w:pPr>
      <w:r w:rsidRPr="003B4362">
        <w:rPr>
          <w:spacing w:val="-2"/>
        </w:rPr>
        <w:t>I)</w:t>
      </w:r>
      <w:r w:rsidRPr="003B4362">
        <w:rPr>
          <w:spacing w:val="-2"/>
        </w:rPr>
        <w:tab/>
        <w:t xml:space="preserve">The likely sources of detected contaminants to the best of the supplier’s knowledge.  Specific information regarding contaminants may be available in sanitary surveys and source water assessments and </w:t>
      </w:r>
      <w:r w:rsidRPr="003B4362">
        <w:t xml:space="preserve">must </w:t>
      </w:r>
      <w:r w:rsidRPr="003B4362">
        <w:rPr>
          <w:spacing w:val="-2"/>
        </w:rPr>
        <w:t xml:space="preserve">be used when available to the </w:t>
      </w:r>
      <w:r w:rsidRPr="003B4362">
        <w:t>supplier</w:t>
      </w:r>
      <w:r w:rsidRPr="003B4362">
        <w:rPr>
          <w:spacing w:val="-2"/>
        </w:rPr>
        <w:t>.  If the supplier lacks specific information on the likely source, the report must include one or more of the typical sources for that contaminant listed in Appendix G</w:t>
      </w:r>
      <w:r w:rsidRPr="003B4362">
        <w:t xml:space="preserve"> </w:t>
      </w:r>
      <w:r w:rsidRPr="003B4362">
        <w:rPr>
          <w:spacing w:val="-2"/>
        </w:rPr>
        <w:t xml:space="preserve">that are most applicable to the </w:t>
      </w:r>
      <w:r w:rsidRPr="003B4362">
        <w:t>CWS;</w:t>
      </w:r>
    </w:p>
    <w:p w14:paraId="3AA54B63" w14:textId="77777777" w:rsidR="008D1FEE" w:rsidRDefault="008D1FEE" w:rsidP="008D1FEE">
      <w:pPr>
        <w:widowControl w:val="0"/>
        <w:ind w:left="2880" w:hanging="720"/>
        <w:rPr>
          <w:szCs w:val="24"/>
        </w:rPr>
      </w:pPr>
    </w:p>
    <w:p w14:paraId="1165B34C" w14:textId="287F6729" w:rsidR="00F437D9" w:rsidRPr="003B4362" w:rsidRDefault="00F437D9" w:rsidP="008D1FEE">
      <w:pPr>
        <w:widowControl w:val="0"/>
        <w:ind w:left="2880" w:hanging="720"/>
        <w:rPr>
          <w:szCs w:val="24"/>
        </w:rPr>
      </w:pPr>
      <w:r w:rsidRPr="003B4362">
        <w:rPr>
          <w:szCs w:val="24"/>
        </w:rPr>
        <w:t>J)</w:t>
      </w:r>
      <w:r w:rsidRPr="003B4362">
        <w:rPr>
          <w:szCs w:val="24"/>
        </w:rPr>
        <w:tab/>
        <w:t xml:space="preserve">For </w:t>
      </w:r>
      <w:r w:rsidRPr="003B4362">
        <w:rPr>
          <w:iCs/>
          <w:szCs w:val="24"/>
        </w:rPr>
        <w:t xml:space="preserve">E. coli </w:t>
      </w:r>
      <w:r w:rsidRPr="003B4362">
        <w:rPr>
          <w:szCs w:val="24"/>
        </w:rPr>
        <w:t xml:space="preserve">analytical results under Subpart AA, the total number of </w:t>
      </w:r>
      <w:r w:rsidRPr="003B4362">
        <w:rPr>
          <w:szCs w:val="24"/>
        </w:rPr>
        <w:lastRenderedPageBreak/>
        <w:t>positive samples</w:t>
      </w:r>
      <w:r w:rsidR="00E30A81" w:rsidRPr="003B4362">
        <w:t>;</w:t>
      </w:r>
    </w:p>
    <w:p w14:paraId="1AA2D7C4" w14:textId="77777777" w:rsidR="008D1FEE" w:rsidRDefault="008D1FEE" w:rsidP="008D1FEE">
      <w:pPr>
        <w:autoSpaceDE w:val="0"/>
        <w:autoSpaceDN w:val="0"/>
        <w:adjustRightInd w:val="0"/>
        <w:ind w:left="2880" w:hanging="720"/>
        <w:rPr>
          <w:rFonts w:eastAsia="Calibri"/>
          <w:szCs w:val="24"/>
        </w:rPr>
      </w:pPr>
    </w:p>
    <w:p w14:paraId="18CB7442" w14:textId="7249F758" w:rsidR="00E30A81" w:rsidRPr="003B4362" w:rsidRDefault="00E30A81" w:rsidP="008D1FEE">
      <w:pPr>
        <w:autoSpaceDE w:val="0"/>
        <w:autoSpaceDN w:val="0"/>
        <w:adjustRightInd w:val="0"/>
        <w:ind w:left="2880" w:hanging="720"/>
        <w:rPr>
          <w:rFonts w:eastAsia="Calibri"/>
          <w:szCs w:val="24"/>
        </w:rPr>
      </w:pPr>
      <w:r w:rsidRPr="003B4362">
        <w:rPr>
          <w:rFonts w:eastAsia="Calibri"/>
          <w:szCs w:val="24"/>
        </w:rPr>
        <w:t>K)</w:t>
      </w:r>
      <w:r w:rsidRPr="003B4362">
        <w:rPr>
          <w:rFonts w:eastAsia="Calibri"/>
          <w:szCs w:val="24"/>
        </w:rPr>
        <w:tab/>
        <w:t xml:space="preserve">The report </w:t>
      </w:r>
      <w:bookmarkStart w:id="4294" w:name="_Hlk126754473"/>
      <w:r w:rsidR="00D85ED3" w:rsidRPr="003B4362">
        <w:rPr>
          <w:rFonts w:eastAsia="Calibri"/>
          <w:szCs w:val="24"/>
        </w:rPr>
        <w:t>must</w:t>
      </w:r>
      <w:r w:rsidRPr="003B4362">
        <w:rPr>
          <w:rFonts w:eastAsia="Calibri"/>
          <w:szCs w:val="24"/>
        </w:rPr>
        <w:t xml:space="preserve"> </w:t>
      </w:r>
      <w:r w:rsidR="00D85ED3" w:rsidRPr="003B4362">
        <w:rPr>
          <w:rFonts w:eastAsia="Calibri"/>
          <w:szCs w:val="24"/>
        </w:rPr>
        <w:t>state</w:t>
      </w:r>
      <w:r w:rsidRPr="003B4362">
        <w:rPr>
          <w:rFonts w:eastAsia="Calibri"/>
          <w:szCs w:val="24"/>
        </w:rPr>
        <w:t xml:space="preserve"> that </w:t>
      </w:r>
      <w:r w:rsidR="00D85ED3" w:rsidRPr="003B4362">
        <w:rPr>
          <w:rFonts w:eastAsia="Calibri"/>
          <w:szCs w:val="24"/>
        </w:rPr>
        <w:t xml:space="preserve">the supplier inventoried its </w:t>
      </w:r>
      <w:r w:rsidRPr="003B4362">
        <w:rPr>
          <w:rFonts w:eastAsia="Calibri"/>
          <w:szCs w:val="24"/>
        </w:rPr>
        <w:t>service line</w:t>
      </w:r>
      <w:r w:rsidR="00D85ED3" w:rsidRPr="003B4362">
        <w:rPr>
          <w:rFonts w:eastAsia="Calibri"/>
          <w:szCs w:val="24"/>
        </w:rPr>
        <w:t>s</w:t>
      </w:r>
      <w:r w:rsidRPr="003B4362">
        <w:rPr>
          <w:rFonts w:eastAsia="Calibri"/>
          <w:szCs w:val="24"/>
        </w:rPr>
        <w:t xml:space="preserve"> (including </w:t>
      </w:r>
      <w:r w:rsidR="00D85ED3" w:rsidRPr="003B4362">
        <w:rPr>
          <w:rFonts w:eastAsia="Calibri"/>
          <w:szCs w:val="24"/>
        </w:rPr>
        <w:t>if</w:t>
      </w:r>
      <w:r w:rsidRPr="003B4362">
        <w:rPr>
          <w:rFonts w:eastAsia="Calibri"/>
          <w:szCs w:val="24"/>
        </w:rPr>
        <w:t xml:space="preserve"> only</w:t>
      </w:r>
      <w:r w:rsidR="00D85ED3" w:rsidRPr="003B4362">
        <w:rPr>
          <w:rFonts w:eastAsia="Calibri"/>
          <w:szCs w:val="24"/>
        </w:rPr>
        <w:t xml:space="preserve"> </w:t>
      </w:r>
      <w:r w:rsidRPr="003B4362">
        <w:rPr>
          <w:rFonts w:eastAsia="Calibri"/>
          <w:szCs w:val="24"/>
        </w:rPr>
        <w:t xml:space="preserve">a statement that </w:t>
      </w:r>
      <w:r w:rsidR="00D85ED3" w:rsidRPr="003B4362">
        <w:rPr>
          <w:rFonts w:eastAsia="Calibri"/>
          <w:szCs w:val="24"/>
        </w:rPr>
        <w:t>the supplier serves</w:t>
      </w:r>
      <w:r w:rsidRPr="003B4362">
        <w:rPr>
          <w:rFonts w:eastAsia="Calibri"/>
          <w:szCs w:val="24"/>
        </w:rPr>
        <w:t xml:space="preserve"> no lead service lines)</w:t>
      </w:r>
      <w:bookmarkEnd w:id="4294"/>
      <w:r w:rsidR="00D85ED3" w:rsidRPr="003B4362">
        <w:rPr>
          <w:rFonts w:eastAsia="Calibri"/>
          <w:szCs w:val="24"/>
        </w:rPr>
        <w:t xml:space="preserve"> </w:t>
      </w:r>
      <w:bookmarkStart w:id="4295" w:name="_Hlk126755090"/>
      <w:r w:rsidRPr="003B4362">
        <w:rPr>
          <w:rFonts w:eastAsia="Calibri"/>
          <w:szCs w:val="24"/>
        </w:rPr>
        <w:t xml:space="preserve">and </w:t>
      </w:r>
      <w:r w:rsidR="00D85ED3" w:rsidRPr="003B4362">
        <w:rPr>
          <w:rFonts w:eastAsia="Calibri"/>
          <w:szCs w:val="24"/>
        </w:rPr>
        <w:t>instruct how</w:t>
      </w:r>
      <w:r w:rsidRPr="003B4362">
        <w:rPr>
          <w:rFonts w:eastAsia="Calibri"/>
          <w:szCs w:val="24"/>
        </w:rPr>
        <w:t xml:space="preserve"> to access</w:t>
      </w:r>
      <w:bookmarkEnd w:id="4295"/>
      <w:r w:rsidRPr="003B4362">
        <w:rPr>
          <w:rFonts w:eastAsia="Calibri"/>
          <w:szCs w:val="24"/>
        </w:rPr>
        <w:t xml:space="preserve"> the service line inventory; and</w:t>
      </w:r>
    </w:p>
    <w:p w14:paraId="47F58CBD" w14:textId="77777777" w:rsidR="008D1FEE" w:rsidRDefault="008D1FEE" w:rsidP="008D1FEE">
      <w:pPr>
        <w:autoSpaceDE w:val="0"/>
        <w:autoSpaceDN w:val="0"/>
        <w:adjustRightInd w:val="0"/>
        <w:ind w:left="2880" w:hanging="720"/>
        <w:rPr>
          <w:rFonts w:eastAsia="Calibri"/>
          <w:szCs w:val="24"/>
        </w:rPr>
      </w:pPr>
    </w:p>
    <w:p w14:paraId="5037C711" w14:textId="743C4A26" w:rsidR="00E30A81" w:rsidRPr="003B4362" w:rsidRDefault="00E30A81" w:rsidP="008D1FEE">
      <w:pPr>
        <w:autoSpaceDE w:val="0"/>
        <w:autoSpaceDN w:val="0"/>
        <w:adjustRightInd w:val="0"/>
        <w:ind w:left="2880" w:hanging="720"/>
        <w:rPr>
          <w:rFonts w:eastAsia="Calibri"/>
          <w:szCs w:val="24"/>
        </w:rPr>
      </w:pPr>
      <w:r w:rsidRPr="003B4362">
        <w:rPr>
          <w:rFonts w:eastAsia="Calibri"/>
          <w:szCs w:val="24"/>
        </w:rPr>
        <w:t>L)</w:t>
      </w:r>
      <w:r w:rsidRPr="003B4362">
        <w:rPr>
          <w:rFonts w:eastAsia="Calibri"/>
          <w:szCs w:val="24"/>
        </w:rPr>
        <w:tab/>
        <w:t xml:space="preserve">The report </w:t>
      </w:r>
      <w:bookmarkStart w:id="4296" w:name="_Hlk126755222"/>
      <w:r w:rsidR="00AB76B9" w:rsidRPr="003B4362">
        <w:rPr>
          <w:rFonts w:eastAsia="Calibri"/>
          <w:szCs w:val="24"/>
        </w:rPr>
        <w:t>must</w:t>
      </w:r>
      <w:r w:rsidRPr="003B4362">
        <w:rPr>
          <w:rFonts w:eastAsia="Calibri"/>
          <w:szCs w:val="24"/>
        </w:rPr>
        <w:t xml:space="preserve"> notify</w:t>
      </w:r>
      <w:bookmarkEnd w:id="4296"/>
      <w:r w:rsidRPr="003B4362">
        <w:rPr>
          <w:rFonts w:eastAsia="Calibri"/>
          <w:szCs w:val="24"/>
        </w:rPr>
        <w:t xml:space="preserve"> consumers that complete lead tap sampling data are available for review </w:t>
      </w:r>
      <w:bookmarkStart w:id="4297" w:name="_Hlk126755334"/>
      <w:r w:rsidRPr="003B4362">
        <w:rPr>
          <w:rFonts w:eastAsia="Calibri"/>
          <w:szCs w:val="24"/>
        </w:rPr>
        <w:t xml:space="preserve">and </w:t>
      </w:r>
      <w:r w:rsidR="00AB76B9" w:rsidRPr="003B4362">
        <w:rPr>
          <w:rFonts w:eastAsia="Calibri"/>
          <w:szCs w:val="24"/>
        </w:rPr>
        <w:t>must</w:t>
      </w:r>
      <w:r w:rsidRPr="003B4362">
        <w:rPr>
          <w:rFonts w:eastAsia="Calibri"/>
          <w:szCs w:val="24"/>
        </w:rPr>
        <w:t xml:space="preserve"> </w:t>
      </w:r>
      <w:r w:rsidR="00AB76B9" w:rsidRPr="003B4362">
        <w:rPr>
          <w:rFonts w:eastAsia="Calibri"/>
          <w:szCs w:val="24"/>
        </w:rPr>
        <w:t>inform</w:t>
      </w:r>
      <w:r w:rsidRPr="003B4362">
        <w:rPr>
          <w:rFonts w:eastAsia="Calibri"/>
          <w:szCs w:val="24"/>
        </w:rPr>
        <w:t xml:space="preserve"> how</w:t>
      </w:r>
      <w:bookmarkEnd w:id="4297"/>
      <w:r w:rsidRPr="003B4362">
        <w:rPr>
          <w:rFonts w:eastAsia="Calibri"/>
          <w:szCs w:val="24"/>
        </w:rPr>
        <w:t xml:space="preserve"> to access the data.</w:t>
      </w:r>
    </w:p>
    <w:p w14:paraId="52C0DCCA" w14:textId="77777777" w:rsidR="008D1FEE" w:rsidRDefault="008D1FEE" w:rsidP="008D1FEE">
      <w:pPr>
        <w:widowControl w:val="0"/>
        <w:suppressAutoHyphens/>
        <w:ind w:left="2160" w:hanging="720"/>
        <w:rPr>
          <w:spacing w:val="-2"/>
        </w:rPr>
      </w:pPr>
    </w:p>
    <w:p w14:paraId="059C1A7E" w14:textId="32250F18" w:rsidR="00F437D9" w:rsidRPr="003B4362" w:rsidRDefault="00F437D9" w:rsidP="008D1FEE">
      <w:pPr>
        <w:widowControl w:val="0"/>
        <w:suppressAutoHyphens/>
        <w:ind w:left="2160" w:hanging="720"/>
        <w:rPr>
          <w:spacing w:val="-2"/>
        </w:rPr>
      </w:pPr>
      <w:r w:rsidRPr="003B4362">
        <w:rPr>
          <w:spacing w:val="-2"/>
        </w:rPr>
        <w:t>5)</w:t>
      </w:r>
      <w:r w:rsidRPr="003B4362">
        <w:rPr>
          <w:spacing w:val="-2"/>
        </w:rPr>
        <w:tab/>
        <w:t xml:space="preserve">If a CWS distributes water to its customers from multiple hydraulically independent distribution </w:t>
      </w:r>
      <w:bookmarkStart w:id="4298" w:name="_Hlk132106647"/>
      <w:r w:rsidRPr="003B4362">
        <w:rPr>
          <w:spacing w:val="-2"/>
        </w:rPr>
        <w:t>systems fed by different raw water sources</w:t>
      </w:r>
      <w:bookmarkEnd w:id="4298"/>
      <w:r w:rsidRPr="003B4362">
        <w:rPr>
          <w:spacing w:val="-2"/>
        </w:rPr>
        <w:t>, the table must contain a separate column for each service area</w:t>
      </w:r>
      <w:r w:rsidR="008901BE" w:rsidRPr="003B4362">
        <w:rPr>
          <w:spacing w:val="-2"/>
        </w:rPr>
        <w:t>,</w:t>
      </w:r>
      <w:r w:rsidRPr="003B4362">
        <w:rPr>
          <w:spacing w:val="-2"/>
        </w:rPr>
        <w:t xml:space="preserve"> </w:t>
      </w:r>
      <w:bookmarkStart w:id="4299" w:name="_Hlk132106716"/>
      <w:r w:rsidRPr="003B4362">
        <w:rPr>
          <w:spacing w:val="-2"/>
        </w:rPr>
        <w:t>and the report must identify</w:t>
      </w:r>
      <w:bookmarkEnd w:id="4299"/>
      <w:r w:rsidRPr="003B4362">
        <w:rPr>
          <w:spacing w:val="-2"/>
        </w:rPr>
        <w:t xml:space="preserve"> each separate distribution system.  Alternatively, a </w:t>
      </w:r>
      <w:r w:rsidRPr="003B4362">
        <w:t xml:space="preserve">CWS may </w:t>
      </w:r>
      <w:r w:rsidRPr="003B4362">
        <w:rPr>
          <w:spacing w:val="-2"/>
        </w:rPr>
        <w:t>produce separate reports tailored to include data for each service area.</w:t>
      </w:r>
    </w:p>
    <w:p w14:paraId="6345F7F1" w14:textId="77777777" w:rsidR="008D1FEE" w:rsidRDefault="008D1FEE" w:rsidP="008D1FEE">
      <w:pPr>
        <w:widowControl w:val="0"/>
        <w:suppressAutoHyphens/>
        <w:ind w:left="2160" w:hanging="720"/>
        <w:rPr>
          <w:spacing w:val="-2"/>
        </w:rPr>
      </w:pPr>
    </w:p>
    <w:p w14:paraId="50B109DF" w14:textId="4BE31FC0" w:rsidR="00F437D9" w:rsidRPr="003B4362" w:rsidRDefault="00F437D9" w:rsidP="008D1FEE">
      <w:pPr>
        <w:widowControl w:val="0"/>
        <w:suppressAutoHyphens/>
        <w:ind w:left="2160" w:hanging="720"/>
        <w:rPr>
          <w:spacing w:val="-2"/>
        </w:rPr>
      </w:pPr>
      <w:r w:rsidRPr="003B4362">
        <w:rPr>
          <w:spacing w:val="-2"/>
        </w:rPr>
        <w:t>6)</w:t>
      </w:r>
      <w:r w:rsidRPr="003B4362">
        <w:rPr>
          <w:spacing w:val="-2"/>
        </w:rPr>
        <w:tab/>
        <w:t>The tables must clearly identify any data indicating violations of MCLs, MRDLs</w:t>
      </w:r>
      <w:r w:rsidRPr="003B4362">
        <w:t>, or</w:t>
      </w:r>
      <w:r w:rsidRPr="003B4362">
        <w:rPr>
          <w:spacing w:val="-2"/>
        </w:rPr>
        <w:t xml:space="preserve"> treatment techniques, and the report must contain a clear and readily understandable explanation of the violation</w:t>
      </w:r>
      <w:r w:rsidR="008901BE" w:rsidRPr="003B4362">
        <w:rPr>
          <w:spacing w:val="-2"/>
        </w:rPr>
        <w:t>,</w:t>
      </w:r>
      <w:r w:rsidRPr="003B4362">
        <w:rPr>
          <w:spacing w:val="-2"/>
        </w:rPr>
        <w:t xml:space="preserve"> </w:t>
      </w:r>
      <w:bookmarkStart w:id="4300" w:name="_Hlk132107853"/>
      <w:r w:rsidRPr="003B4362">
        <w:rPr>
          <w:spacing w:val="-2"/>
        </w:rPr>
        <w:t>including</w:t>
      </w:r>
      <w:r w:rsidR="008901BE" w:rsidRPr="003B4362">
        <w:rPr>
          <w:spacing w:val="-2"/>
        </w:rPr>
        <w:t xml:space="preserve"> specific information</w:t>
      </w:r>
      <w:bookmarkEnd w:id="4300"/>
      <w:r w:rsidRPr="003B4362">
        <w:rPr>
          <w:spacing w:val="-2"/>
        </w:rPr>
        <w:t xml:space="preserve">:  the length of the violation, the potential adverse health effects, and </w:t>
      </w:r>
      <w:bookmarkStart w:id="4301" w:name="_Hlk132107915"/>
      <w:r w:rsidRPr="003B4362">
        <w:rPr>
          <w:spacing w:val="-2"/>
        </w:rPr>
        <w:t xml:space="preserve">actions the </w:t>
      </w:r>
      <w:r w:rsidRPr="003B4362">
        <w:t xml:space="preserve">CWS </w:t>
      </w:r>
      <w:r w:rsidR="008901BE" w:rsidRPr="003B4362">
        <w:t>took</w:t>
      </w:r>
      <w:bookmarkEnd w:id="4301"/>
      <w:r w:rsidR="008901BE" w:rsidRPr="003B4362">
        <w:t xml:space="preserve"> </w:t>
      </w:r>
      <w:r w:rsidRPr="003B4362">
        <w:rPr>
          <w:spacing w:val="-2"/>
        </w:rPr>
        <w:t xml:space="preserve">to address the violation.  To describe the potential health effects, the </w:t>
      </w:r>
      <w:r w:rsidRPr="003B4362">
        <w:t xml:space="preserve">CWS must </w:t>
      </w:r>
      <w:r w:rsidRPr="003B4362">
        <w:rPr>
          <w:spacing w:val="-2"/>
        </w:rPr>
        <w:t xml:space="preserve">use the </w:t>
      </w:r>
      <w:bookmarkStart w:id="4302" w:name="_Hlk132108037"/>
      <w:r w:rsidRPr="003B4362">
        <w:rPr>
          <w:spacing w:val="-2"/>
        </w:rPr>
        <w:t xml:space="preserve">relevant language </w:t>
      </w:r>
      <w:r w:rsidR="008E2EB8" w:rsidRPr="003B4362">
        <w:rPr>
          <w:spacing w:val="-2"/>
        </w:rPr>
        <w:t xml:space="preserve">from </w:t>
      </w:r>
      <w:r w:rsidRPr="003B4362">
        <w:rPr>
          <w:spacing w:val="-2"/>
        </w:rPr>
        <w:t>Appendix A</w:t>
      </w:r>
      <w:bookmarkEnd w:id="4302"/>
      <w:r w:rsidRPr="003B4362">
        <w:rPr>
          <w:spacing w:val="-2"/>
        </w:rPr>
        <w:t>.</w:t>
      </w:r>
    </w:p>
    <w:p w14:paraId="2609D346" w14:textId="77777777" w:rsidR="008D1FEE" w:rsidRDefault="008D1FEE" w:rsidP="008D1FEE">
      <w:pPr>
        <w:widowControl w:val="0"/>
        <w:suppressAutoHyphens/>
        <w:ind w:left="2160" w:hanging="720"/>
        <w:rPr>
          <w:spacing w:val="-2"/>
        </w:rPr>
      </w:pPr>
    </w:p>
    <w:p w14:paraId="32D48F66" w14:textId="0E45C7AC" w:rsidR="00F437D9" w:rsidRPr="003B4362" w:rsidRDefault="00F437D9" w:rsidP="008D1FEE">
      <w:pPr>
        <w:widowControl w:val="0"/>
        <w:suppressAutoHyphens/>
        <w:ind w:left="2160" w:hanging="720"/>
        <w:rPr>
          <w:spacing w:val="-2"/>
        </w:rPr>
      </w:pPr>
      <w:r w:rsidRPr="003B4362">
        <w:rPr>
          <w:spacing w:val="-2"/>
        </w:rPr>
        <w:t>7)</w:t>
      </w:r>
      <w:r w:rsidRPr="003B4362">
        <w:rPr>
          <w:spacing w:val="-2"/>
        </w:rPr>
        <w:tab/>
        <w:t xml:space="preserve">For detected unregulated </w:t>
      </w:r>
      <w:bookmarkStart w:id="4303" w:name="_Hlk132108281"/>
      <w:r w:rsidRPr="003B4362">
        <w:rPr>
          <w:spacing w:val="-2"/>
        </w:rPr>
        <w:t xml:space="preserve">contaminants for which </w:t>
      </w:r>
      <w:r w:rsidR="008E2EB8" w:rsidRPr="003B4362">
        <w:rPr>
          <w:spacing w:val="-2"/>
        </w:rPr>
        <w:t xml:space="preserve">USEPA requires </w:t>
      </w:r>
      <w:r w:rsidRPr="003B4362">
        <w:rPr>
          <w:spacing w:val="-2"/>
        </w:rPr>
        <w:t xml:space="preserve">monitoring </w:t>
      </w:r>
      <w:bookmarkEnd w:id="4303"/>
      <w:r w:rsidRPr="003B4362">
        <w:rPr>
          <w:spacing w:val="-2"/>
        </w:rPr>
        <w:t xml:space="preserve">under 40 CFR 141.40 (except Cryptosporidium), the tables must contain the average and </w:t>
      </w:r>
      <w:bookmarkStart w:id="4304" w:name="_Hlk132108378"/>
      <w:r w:rsidRPr="003B4362">
        <w:rPr>
          <w:spacing w:val="-2"/>
        </w:rPr>
        <w:t xml:space="preserve">range at which </w:t>
      </w:r>
      <w:r w:rsidR="008E2EB8" w:rsidRPr="003B4362">
        <w:rPr>
          <w:spacing w:val="-2"/>
        </w:rPr>
        <w:t xml:space="preserve">the supplier detected the </w:t>
      </w:r>
      <w:r w:rsidRPr="003B4362">
        <w:rPr>
          <w:spacing w:val="-2"/>
        </w:rPr>
        <w:t>contaminant</w:t>
      </w:r>
      <w:bookmarkEnd w:id="4304"/>
      <w:r w:rsidRPr="003B4362">
        <w:rPr>
          <w:spacing w:val="-2"/>
        </w:rPr>
        <w:t>.  T</w:t>
      </w:r>
      <w:bookmarkStart w:id="4305" w:name="_Hlk132108439"/>
      <w:r w:rsidRPr="003B4362">
        <w:rPr>
          <w:spacing w:val="-2"/>
        </w:rPr>
        <w:t xml:space="preserve">he report may </w:t>
      </w:r>
      <w:r w:rsidR="008E2EB8" w:rsidRPr="003B4362">
        <w:rPr>
          <w:spacing w:val="-2"/>
        </w:rPr>
        <w:t xml:space="preserve">briefly explain </w:t>
      </w:r>
      <w:r w:rsidRPr="003B4362">
        <w:rPr>
          <w:spacing w:val="-2"/>
        </w:rPr>
        <w:t>the reasons</w:t>
      </w:r>
      <w:bookmarkEnd w:id="4305"/>
      <w:r w:rsidRPr="003B4362">
        <w:rPr>
          <w:spacing w:val="-2"/>
        </w:rPr>
        <w:t xml:space="preserve"> for monitoring for unregulated contaminants.</w:t>
      </w:r>
    </w:p>
    <w:p w14:paraId="71FCD123" w14:textId="77777777" w:rsidR="008D1FEE" w:rsidRDefault="008D1FEE" w:rsidP="008D1FEE">
      <w:pPr>
        <w:widowControl w:val="0"/>
        <w:suppressAutoHyphens/>
        <w:ind w:left="1440" w:hanging="720"/>
        <w:rPr>
          <w:spacing w:val="-2"/>
        </w:rPr>
      </w:pPr>
    </w:p>
    <w:p w14:paraId="1F8DF84D" w14:textId="61FAEA56" w:rsidR="00F437D9" w:rsidRPr="003B4362" w:rsidRDefault="00F437D9" w:rsidP="008D1FEE">
      <w:pPr>
        <w:widowControl w:val="0"/>
        <w:suppressAutoHyphens/>
        <w:ind w:left="1440" w:hanging="720"/>
        <w:rPr>
          <w:spacing w:val="-2"/>
        </w:rPr>
      </w:pPr>
      <w:r w:rsidRPr="003B4362">
        <w:rPr>
          <w:spacing w:val="-2"/>
        </w:rPr>
        <w:t>e)</w:t>
      </w:r>
      <w:r w:rsidRPr="003B4362">
        <w:rPr>
          <w:spacing w:val="-2"/>
        </w:rPr>
        <w:tab/>
        <w:t>Information on Cryptosporidium, radon, and other contaminants:</w:t>
      </w:r>
    </w:p>
    <w:p w14:paraId="384DC516" w14:textId="77777777" w:rsidR="008D1FEE" w:rsidRDefault="008D1FEE" w:rsidP="008D1FEE">
      <w:pPr>
        <w:widowControl w:val="0"/>
        <w:suppressAutoHyphens/>
        <w:ind w:left="2160" w:hanging="720"/>
        <w:rPr>
          <w:spacing w:val="-2"/>
        </w:rPr>
      </w:pPr>
    </w:p>
    <w:p w14:paraId="247B56F3" w14:textId="0AF01B23" w:rsidR="00F437D9" w:rsidRPr="003B4362" w:rsidRDefault="00F437D9" w:rsidP="008D1FEE">
      <w:pPr>
        <w:widowControl w:val="0"/>
        <w:suppressAutoHyphens/>
        <w:ind w:left="2160" w:hanging="720"/>
        <w:rPr>
          <w:spacing w:val="-2"/>
        </w:rPr>
      </w:pPr>
      <w:r w:rsidRPr="003B4362">
        <w:rPr>
          <w:spacing w:val="-2"/>
        </w:rPr>
        <w:t>1)</w:t>
      </w:r>
      <w:r w:rsidRPr="003B4362">
        <w:rPr>
          <w:spacing w:val="-2"/>
        </w:rPr>
        <w:tab/>
        <w:t>I</w:t>
      </w:r>
      <w:bookmarkStart w:id="4306" w:name="_Hlk132115975"/>
      <w:r w:rsidRPr="003B4362">
        <w:rPr>
          <w:spacing w:val="-2"/>
        </w:rPr>
        <w:t xml:space="preserve">f the CWS </w:t>
      </w:r>
      <w:r w:rsidR="008E2EB8" w:rsidRPr="003B4362">
        <w:rPr>
          <w:spacing w:val="-2"/>
        </w:rPr>
        <w:t xml:space="preserve">monitored </w:t>
      </w:r>
      <w:r w:rsidRPr="003B4362">
        <w:rPr>
          <w:spacing w:val="-2"/>
        </w:rPr>
        <w:t>for Cryptosporidium</w:t>
      </w:r>
      <w:bookmarkEnd w:id="4306"/>
      <w:r w:rsidRPr="003B4362">
        <w:rPr>
          <w:spacing w:val="-2"/>
        </w:rPr>
        <w:t xml:space="preserve">, </w:t>
      </w:r>
      <w:bookmarkStart w:id="4307" w:name="_Hlk132116080"/>
      <w:r w:rsidRPr="003B4362">
        <w:rPr>
          <w:spacing w:val="-2"/>
        </w:rPr>
        <w:t xml:space="preserve">including </w:t>
      </w:r>
      <w:bookmarkStart w:id="4308" w:name="_Hlk132116036"/>
      <w:bookmarkEnd w:id="4307"/>
      <w:r w:rsidRPr="003B4362">
        <w:rPr>
          <w:spacing w:val="-2"/>
        </w:rPr>
        <w:t xml:space="preserve">monitoring </w:t>
      </w:r>
      <w:r w:rsidR="008E2EB8" w:rsidRPr="003B4362">
        <w:rPr>
          <w:spacing w:val="-2"/>
        </w:rPr>
        <w:t xml:space="preserve">under </w:t>
      </w:r>
      <w:r w:rsidRPr="003B4362">
        <w:rPr>
          <w:spacing w:val="-2"/>
        </w:rPr>
        <w:t>Subpart L</w:t>
      </w:r>
      <w:bookmarkEnd w:id="4308"/>
      <w:r w:rsidRPr="003B4362">
        <w:rPr>
          <w:spacing w:val="-2"/>
        </w:rPr>
        <w:t xml:space="preserve">, </w:t>
      </w:r>
      <w:bookmarkStart w:id="4309" w:name="_Hlk132116120"/>
      <w:r w:rsidR="002807CD" w:rsidRPr="003B4362">
        <w:rPr>
          <w:spacing w:val="-2"/>
        </w:rPr>
        <w:t xml:space="preserve">and </w:t>
      </w:r>
      <w:r w:rsidR="008E2EB8" w:rsidRPr="003B4362">
        <w:rPr>
          <w:spacing w:val="-2"/>
        </w:rPr>
        <w:t xml:space="preserve">the monitoring </w:t>
      </w:r>
      <w:r w:rsidRPr="003B4362">
        <w:rPr>
          <w:spacing w:val="-2"/>
        </w:rPr>
        <w:t xml:space="preserve">indicates </w:t>
      </w:r>
      <w:r w:rsidR="008E2EB8" w:rsidRPr="003B4362">
        <w:rPr>
          <w:spacing w:val="-2"/>
        </w:rPr>
        <w:t xml:space="preserve">the possible presence of </w:t>
      </w:r>
      <w:r w:rsidRPr="003B4362">
        <w:rPr>
          <w:spacing w:val="-2"/>
        </w:rPr>
        <w:t xml:space="preserve">Cryptosporidium in the </w:t>
      </w:r>
      <w:r w:rsidR="008E2EB8" w:rsidRPr="003B4362">
        <w:rPr>
          <w:spacing w:val="-2"/>
        </w:rPr>
        <w:t xml:space="preserve">supplier’s </w:t>
      </w:r>
      <w:r w:rsidRPr="003B4362">
        <w:rPr>
          <w:spacing w:val="-2"/>
        </w:rPr>
        <w:t>source water or finished water</w:t>
      </w:r>
      <w:bookmarkEnd w:id="4309"/>
      <w:r w:rsidRPr="003B4362">
        <w:rPr>
          <w:spacing w:val="-2"/>
        </w:rPr>
        <w:t xml:space="preserve">, the report must </w:t>
      </w:r>
      <w:bookmarkStart w:id="4310" w:name="_Hlk132116325"/>
      <w:r w:rsidRPr="003B4362">
        <w:rPr>
          <w:spacing w:val="-2"/>
        </w:rPr>
        <w:t>include</w:t>
      </w:r>
      <w:r w:rsidR="00F65408" w:rsidRPr="003B4362">
        <w:rPr>
          <w:spacing w:val="-2"/>
        </w:rPr>
        <w:t xml:space="preserve"> </w:t>
      </w:r>
      <w:r w:rsidR="00FB6DD1" w:rsidRPr="003B4362">
        <w:rPr>
          <w:spacing w:val="-2"/>
        </w:rPr>
        <w:t>specific</w:t>
      </w:r>
      <w:r w:rsidR="00F65408" w:rsidRPr="003B4362">
        <w:rPr>
          <w:spacing w:val="-2"/>
        </w:rPr>
        <w:t xml:space="preserve"> information</w:t>
      </w:r>
      <w:bookmarkEnd w:id="4310"/>
      <w:r w:rsidRPr="003B4362">
        <w:rPr>
          <w:spacing w:val="-2"/>
        </w:rPr>
        <w:t>:</w:t>
      </w:r>
    </w:p>
    <w:p w14:paraId="715EEBA9" w14:textId="77777777" w:rsidR="008D1FEE" w:rsidRDefault="008D1FEE" w:rsidP="008D1FEE">
      <w:pPr>
        <w:widowControl w:val="0"/>
        <w:suppressAutoHyphens/>
        <w:ind w:left="2880" w:hanging="720"/>
        <w:rPr>
          <w:spacing w:val="-2"/>
        </w:rPr>
      </w:pPr>
    </w:p>
    <w:p w14:paraId="2AC36BDD" w14:textId="1A8EBFC0" w:rsidR="00F437D9" w:rsidRPr="003B4362" w:rsidRDefault="00F437D9" w:rsidP="008D1FEE">
      <w:pPr>
        <w:widowControl w:val="0"/>
        <w:suppressAutoHyphens/>
        <w:ind w:left="2880" w:hanging="720"/>
        <w:rPr>
          <w:spacing w:val="-2"/>
        </w:rPr>
      </w:pPr>
      <w:r w:rsidRPr="003B4362">
        <w:rPr>
          <w:spacing w:val="-2"/>
        </w:rPr>
        <w:t>A)</w:t>
      </w:r>
      <w:r w:rsidRPr="003B4362">
        <w:rPr>
          <w:spacing w:val="-2"/>
        </w:rPr>
        <w:tab/>
      </w:r>
      <w:r w:rsidR="00FB6DD1" w:rsidRPr="003B4362">
        <w:rPr>
          <w:spacing w:val="-2"/>
        </w:rPr>
        <w:t>I</w:t>
      </w:r>
      <w:bookmarkStart w:id="4311" w:name="_Hlk132116393"/>
      <w:r w:rsidR="00FB6DD1" w:rsidRPr="003B4362">
        <w:rPr>
          <w:spacing w:val="-2"/>
        </w:rPr>
        <w:t xml:space="preserve">t must summarize </w:t>
      </w:r>
      <w:r w:rsidRPr="003B4362">
        <w:rPr>
          <w:spacing w:val="-2"/>
        </w:rPr>
        <w:t xml:space="preserve">the </w:t>
      </w:r>
      <w:r w:rsidR="00F65408" w:rsidRPr="003B4362">
        <w:rPr>
          <w:spacing w:val="-2"/>
        </w:rPr>
        <w:t xml:space="preserve">monitoring </w:t>
      </w:r>
      <w:r w:rsidRPr="003B4362">
        <w:rPr>
          <w:spacing w:val="-2"/>
        </w:rPr>
        <w:t>results</w:t>
      </w:r>
      <w:bookmarkEnd w:id="4311"/>
      <w:r w:rsidRPr="003B4362">
        <w:rPr>
          <w:spacing w:val="-2"/>
        </w:rPr>
        <w:t>; and</w:t>
      </w:r>
    </w:p>
    <w:p w14:paraId="0FD57DE5" w14:textId="77777777" w:rsidR="008D1FEE" w:rsidRDefault="008D1FEE" w:rsidP="008D1FEE">
      <w:pPr>
        <w:widowControl w:val="0"/>
        <w:suppressAutoHyphens/>
        <w:ind w:left="2880" w:hanging="720"/>
        <w:rPr>
          <w:spacing w:val="-2"/>
        </w:rPr>
      </w:pPr>
    </w:p>
    <w:p w14:paraId="260DD0FB" w14:textId="61839419" w:rsidR="00F437D9" w:rsidRPr="003B4362" w:rsidRDefault="00F437D9" w:rsidP="008D1FEE">
      <w:pPr>
        <w:widowControl w:val="0"/>
        <w:suppressAutoHyphens/>
        <w:ind w:left="2880" w:hanging="720"/>
        <w:rPr>
          <w:spacing w:val="-2"/>
        </w:rPr>
      </w:pPr>
      <w:r w:rsidRPr="003B4362">
        <w:rPr>
          <w:spacing w:val="-2"/>
        </w:rPr>
        <w:t>B)</w:t>
      </w:r>
      <w:r w:rsidRPr="003B4362">
        <w:rPr>
          <w:spacing w:val="-2"/>
        </w:rPr>
        <w:tab/>
      </w:r>
      <w:r w:rsidR="00FB6DD1" w:rsidRPr="003B4362">
        <w:rPr>
          <w:spacing w:val="-2"/>
        </w:rPr>
        <w:t>I</w:t>
      </w:r>
      <w:bookmarkStart w:id="4312" w:name="_Hlk132116479"/>
      <w:r w:rsidR="00FB6DD1" w:rsidRPr="003B4362">
        <w:rPr>
          <w:spacing w:val="-2"/>
        </w:rPr>
        <w:t xml:space="preserve">t must explain </w:t>
      </w:r>
      <w:r w:rsidRPr="003B4362">
        <w:rPr>
          <w:spacing w:val="-2"/>
        </w:rPr>
        <w:t xml:space="preserve">the </w:t>
      </w:r>
      <w:r w:rsidR="00F65408" w:rsidRPr="003B4362">
        <w:rPr>
          <w:spacing w:val="-2"/>
        </w:rPr>
        <w:t xml:space="preserve">results’ </w:t>
      </w:r>
      <w:r w:rsidRPr="003B4362">
        <w:rPr>
          <w:spacing w:val="-2"/>
        </w:rPr>
        <w:t>significance</w:t>
      </w:r>
      <w:bookmarkEnd w:id="4312"/>
      <w:r w:rsidRPr="003B4362">
        <w:rPr>
          <w:spacing w:val="-2"/>
        </w:rPr>
        <w:t>.</w:t>
      </w:r>
    </w:p>
    <w:p w14:paraId="430EBE10" w14:textId="77777777" w:rsidR="008D1FEE" w:rsidRDefault="008D1FEE" w:rsidP="008D1FEE">
      <w:pPr>
        <w:widowControl w:val="0"/>
        <w:suppressAutoHyphens/>
        <w:ind w:left="2160" w:hanging="720"/>
        <w:rPr>
          <w:spacing w:val="-2"/>
        </w:rPr>
      </w:pPr>
    </w:p>
    <w:p w14:paraId="7B1702E6" w14:textId="0C4B6282" w:rsidR="00F437D9" w:rsidRPr="003B4362" w:rsidRDefault="00F437D9" w:rsidP="008D1FEE">
      <w:pPr>
        <w:widowControl w:val="0"/>
        <w:suppressAutoHyphens/>
        <w:ind w:left="2160" w:hanging="720"/>
        <w:rPr>
          <w:spacing w:val="-2"/>
        </w:rPr>
      </w:pPr>
      <w:r w:rsidRPr="003B4362">
        <w:rPr>
          <w:spacing w:val="-2"/>
        </w:rPr>
        <w:t>2)</w:t>
      </w:r>
      <w:r w:rsidRPr="003B4362">
        <w:rPr>
          <w:spacing w:val="-2"/>
        </w:rPr>
        <w:tab/>
        <w:t xml:space="preserve">If the CWS </w:t>
      </w:r>
      <w:r w:rsidR="002807CD" w:rsidRPr="003B4362">
        <w:rPr>
          <w:spacing w:val="-2"/>
        </w:rPr>
        <w:t xml:space="preserve">monitored </w:t>
      </w:r>
      <w:r w:rsidRPr="003B4362">
        <w:rPr>
          <w:spacing w:val="-2"/>
        </w:rPr>
        <w:t>for radon</w:t>
      </w:r>
      <w:r w:rsidR="002807CD" w:rsidRPr="003B4362">
        <w:rPr>
          <w:spacing w:val="-2"/>
        </w:rPr>
        <w:t>, and the monitoring</w:t>
      </w:r>
      <w:r w:rsidRPr="003B4362">
        <w:rPr>
          <w:spacing w:val="-2"/>
        </w:rPr>
        <w:t xml:space="preserve"> indicates </w:t>
      </w:r>
      <w:r w:rsidR="002807CD" w:rsidRPr="003B4362">
        <w:rPr>
          <w:spacing w:val="-2"/>
        </w:rPr>
        <w:t xml:space="preserve">the possible presence of </w:t>
      </w:r>
      <w:r w:rsidRPr="003B4362">
        <w:rPr>
          <w:spacing w:val="-2"/>
        </w:rPr>
        <w:t xml:space="preserve">radon in the </w:t>
      </w:r>
      <w:r w:rsidR="002807CD" w:rsidRPr="003B4362">
        <w:rPr>
          <w:spacing w:val="-2"/>
        </w:rPr>
        <w:t xml:space="preserve">supplier’s </w:t>
      </w:r>
      <w:r w:rsidRPr="003B4362">
        <w:rPr>
          <w:spacing w:val="-2"/>
        </w:rPr>
        <w:t>finished water, the report must include</w:t>
      </w:r>
      <w:r w:rsidR="002807CD" w:rsidRPr="003B4362">
        <w:rPr>
          <w:spacing w:val="-2"/>
        </w:rPr>
        <w:t xml:space="preserve"> specific information</w:t>
      </w:r>
      <w:r w:rsidRPr="003B4362">
        <w:rPr>
          <w:spacing w:val="-2"/>
        </w:rPr>
        <w:t>:</w:t>
      </w:r>
    </w:p>
    <w:p w14:paraId="7DDA49B9" w14:textId="77777777" w:rsidR="008D1FEE" w:rsidRDefault="008D1FEE" w:rsidP="008D1FEE">
      <w:pPr>
        <w:widowControl w:val="0"/>
        <w:suppressAutoHyphens/>
        <w:ind w:left="2880" w:hanging="720"/>
        <w:rPr>
          <w:spacing w:val="-2"/>
        </w:rPr>
      </w:pPr>
    </w:p>
    <w:p w14:paraId="3CD729F7" w14:textId="279E456E" w:rsidR="00F437D9" w:rsidRPr="003B4362" w:rsidRDefault="00F437D9" w:rsidP="008D1FEE">
      <w:pPr>
        <w:widowControl w:val="0"/>
        <w:suppressAutoHyphens/>
        <w:ind w:left="2880" w:hanging="720"/>
        <w:rPr>
          <w:spacing w:val="-2"/>
        </w:rPr>
      </w:pPr>
      <w:r w:rsidRPr="003B4362">
        <w:rPr>
          <w:spacing w:val="-2"/>
        </w:rPr>
        <w:t>A)</w:t>
      </w:r>
      <w:r w:rsidRPr="003B4362">
        <w:rPr>
          <w:spacing w:val="-2"/>
        </w:rPr>
        <w:tab/>
        <w:t xml:space="preserve">The </w:t>
      </w:r>
      <w:r w:rsidR="002807CD" w:rsidRPr="003B4362">
        <w:rPr>
          <w:spacing w:val="-2"/>
        </w:rPr>
        <w:t xml:space="preserve">monitoring </w:t>
      </w:r>
      <w:r w:rsidRPr="003B4362">
        <w:rPr>
          <w:spacing w:val="-2"/>
        </w:rPr>
        <w:t>results; and</w:t>
      </w:r>
    </w:p>
    <w:p w14:paraId="756F1F67" w14:textId="77777777" w:rsidR="008D1FEE" w:rsidRDefault="008D1FEE" w:rsidP="008D1FEE">
      <w:pPr>
        <w:widowControl w:val="0"/>
        <w:suppressAutoHyphens/>
        <w:ind w:left="2880" w:hanging="720"/>
        <w:rPr>
          <w:spacing w:val="-2"/>
        </w:rPr>
      </w:pPr>
    </w:p>
    <w:p w14:paraId="2571BEAD" w14:textId="3A4B4A53" w:rsidR="00F437D9" w:rsidRPr="003B4362" w:rsidRDefault="00F437D9" w:rsidP="008D1FEE">
      <w:pPr>
        <w:widowControl w:val="0"/>
        <w:suppressAutoHyphens/>
        <w:ind w:left="2880" w:hanging="720"/>
        <w:rPr>
          <w:spacing w:val="-2"/>
        </w:rPr>
      </w:pPr>
      <w:r w:rsidRPr="003B4362">
        <w:rPr>
          <w:spacing w:val="-2"/>
        </w:rPr>
        <w:t>B)</w:t>
      </w:r>
      <w:r w:rsidRPr="003B4362">
        <w:rPr>
          <w:spacing w:val="-2"/>
        </w:rPr>
        <w:tab/>
      </w:r>
      <w:r w:rsidR="00560624" w:rsidRPr="003B4362">
        <w:rPr>
          <w:spacing w:val="-2"/>
        </w:rPr>
        <w:t>It must explain the results’ significance</w:t>
      </w:r>
      <w:r w:rsidRPr="003B4362">
        <w:rPr>
          <w:spacing w:val="-2"/>
        </w:rPr>
        <w:t>.</w:t>
      </w:r>
    </w:p>
    <w:p w14:paraId="07E51FD3" w14:textId="77777777" w:rsidR="008D1FEE" w:rsidRDefault="008D1FEE" w:rsidP="008D1FEE">
      <w:pPr>
        <w:widowControl w:val="0"/>
        <w:suppressAutoHyphens/>
        <w:ind w:left="2160" w:hanging="720"/>
        <w:rPr>
          <w:spacing w:val="-2"/>
        </w:rPr>
      </w:pPr>
    </w:p>
    <w:p w14:paraId="17ACB370" w14:textId="431496AC" w:rsidR="00F437D9" w:rsidRPr="003B4362" w:rsidRDefault="00F437D9" w:rsidP="008D1FEE">
      <w:pPr>
        <w:widowControl w:val="0"/>
        <w:suppressAutoHyphens/>
        <w:ind w:left="2160" w:hanging="720"/>
        <w:rPr>
          <w:spacing w:val="-2"/>
        </w:rPr>
      </w:pPr>
      <w:r w:rsidRPr="003B4362">
        <w:rPr>
          <w:spacing w:val="-2"/>
        </w:rPr>
        <w:t>3)</w:t>
      </w:r>
      <w:r w:rsidRPr="003B4362">
        <w:rPr>
          <w:spacing w:val="-2"/>
        </w:rPr>
        <w:tab/>
        <w:t xml:space="preserve">If the CWS </w:t>
      </w:r>
      <w:r w:rsidR="00560624" w:rsidRPr="003B4362">
        <w:rPr>
          <w:spacing w:val="-2"/>
        </w:rPr>
        <w:t xml:space="preserve">conducted </w:t>
      </w:r>
      <w:r w:rsidRPr="003B4362">
        <w:rPr>
          <w:spacing w:val="-2"/>
        </w:rPr>
        <w:t xml:space="preserve">additional monitoring </w:t>
      </w:r>
      <w:bookmarkStart w:id="4313" w:name="_Hlk132119676"/>
      <w:r w:rsidR="00560624" w:rsidRPr="003B4362">
        <w:rPr>
          <w:spacing w:val="-2"/>
        </w:rPr>
        <w:t xml:space="preserve">indicating </w:t>
      </w:r>
      <w:r w:rsidRPr="003B4362">
        <w:rPr>
          <w:spacing w:val="-2"/>
        </w:rPr>
        <w:t xml:space="preserve">the presence of other contaminants in the </w:t>
      </w:r>
      <w:r w:rsidR="00560624" w:rsidRPr="003B4362">
        <w:rPr>
          <w:spacing w:val="-2"/>
        </w:rPr>
        <w:t xml:space="preserve">supplier’s </w:t>
      </w:r>
      <w:r w:rsidRPr="003B4362">
        <w:rPr>
          <w:spacing w:val="-2"/>
        </w:rPr>
        <w:t>finished water</w:t>
      </w:r>
      <w:bookmarkEnd w:id="4313"/>
      <w:r w:rsidRPr="003B4362">
        <w:t>, the report must include</w:t>
      </w:r>
      <w:r w:rsidR="00560624" w:rsidRPr="003B4362">
        <w:rPr>
          <w:spacing w:val="-2"/>
        </w:rPr>
        <w:t xml:space="preserve"> specific information</w:t>
      </w:r>
      <w:r w:rsidRPr="003B4362">
        <w:rPr>
          <w:spacing w:val="-2"/>
        </w:rPr>
        <w:t>:</w:t>
      </w:r>
    </w:p>
    <w:p w14:paraId="0C89E8DC" w14:textId="77777777" w:rsidR="008D1FEE" w:rsidRDefault="008D1FEE" w:rsidP="008D1FEE">
      <w:pPr>
        <w:widowControl w:val="0"/>
        <w:suppressAutoHyphens/>
        <w:ind w:left="2880" w:hanging="720"/>
        <w:rPr>
          <w:spacing w:val="-2"/>
        </w:rPr>
      </w:pPr>
    </w:p>
    <w:p w14:paraId="576C9931" w14:textId="7C02A53C" w:rsidR="00F437D9" w:rsidRPr="003B4362" w:rsidRDefault="00F437D9" w:rsidP="008D1FEE">
      <w:pPr>
        <w:widowControl w:val="0"/>
        <w:suppressAutoHyphens/>
        <w:ind w:left="2880" w:hanging="720"/>
        <w:rPr>
          <w:spacing w:val="-2"/>
        </w:rPr>
      </w:pPr>
      <w:r w:rsidRPr="003B4362">
        <w:rPr>
          <w:spacing w:val="-2"/>
        </w:rPr>
        <w:t>A)</w:t>
      </w:r>
      <w:r w:rsidRPr="003B4362">
        <w:rPr>
          <w:spacing w:val="-2"/>
        </w:rPr>
        <w:tab/>
        <w:t xml:space="preserve">The </w:t>
      </w:r>
      <w:r w:rsidR="00560624" w:rsidRPr="003B4362">
        <w:rPr>
          <w:spacing w:val="-2"/>
        </w:rPr>
        <w:t>monitoring results</w:t>
      </w:r>
      <w:r w:rsidRPr="003B4362">
        <w:rPr>
          <w:spacing w:val="-2"/>
        </w:rPr>
        <w:t>; and</w:t>
      </w:r>
    </w:p>
    <w:p w14:paraId="020928B7" w14:textId="77777777" w:rsidR="008D1FEE" w:rsidRDefault="008D1FEE" w:rsidP="008D1FEE">
      <w:pPr>
        <w:widowControl w:val="0"/>
        <w:suppressAutoHyphens/>
        <w:ind w:left="2880" w:hanging="720"/>
        <w:rPr>
          <w:spacing w:val="-2"/>
        </w:rPr>
      </w:pPr>
    </w:p>
    <w:p w14:paraId="7C3DCDE8" w14:textId="21B6EF5B" w:rsidR="00F437D9" w:rsidRPr="003B4362" w:rsidRDefault="00F437D9" w:rsidP="008D1FEE">
      <w:pPr>
        <w:widowControl w:val="0"/>
        <w:suppressAutoHyphens/>
        <w:ind w:left="2880" w:hanging="720"/>
        <w:rPr>
          <w:spacing w:val="-2"/>
        </w:rPr>
      </w:pPr>
      <w:r w:rsidRPr="003B4362">
        <w:rPr>
          <w:spacing w:val="-2"/>
        </w:rPr>
        <w:t>B)</w:t>
      </w:r>
      <w:r w:rsidRPr="003B4362">
        <w:rPr>
          <w:spacing w:val="-2"/>
        </w:rPr>
        <w:tab/>
      </w:r>
      <w:r w:rsidR="00560624" w:rsidRPr="003B4362">
        <w:rPr>
          <w:spacing w:val="-2"/>
        </w:rPr>
        <w:t xml:space="preserve">It must explain the results’ significance </w:t>
      </w:r>
      <w:bookmarkStart w:id="4314" w:name="_Hlk132119824"/>
      <w:r w:rsidRPr="003B4362">
        <w:rPr>
          <w:spacing w:val="-2"/>
        </w:rPr>
        <w:t xml:space="preserve">noting any </w:t>
      </w:r>
      <w:r w:rsidR="00560624" w:rsidRPr="003B4362">
        <w:rPr>
          <w:spacing w:val="-2"/>
        </w:rPr>
        <w:t xml:space="preserve">pertinent </w:t>
      </w:r>
      <w:r w:rsidRPr="003B4362">
        <w:rPr>
          <w:spacing w:val="-2"/>
        </w:rPr>
        <w:t>health advisory</w:t>
      </w:r>
      <w:bookmarkEnd w:id="4314"/>
      <w:r w:rsidRPr="003B4362">
        <w:rPr>
          <w:spacing w:val="-2"/>
        </w:rPr>
        <w:t xml:space="preserve"> or proposed regulation.</w:t>
      </w:r>
    </w:p>
    <w:p w14:paraId="1FE0C1A6" w14:textId="77777777" w:rsidR="008D1FEE" w:rsidRDefault="008D1FEE" w:rsidP="008D1FEE">
      <w:pPr>
        <w:widowControl w:val="0"/>
        <w:suppressAutoHyphens/>
        <w:ind w:left="1440" w:hanging="720"/>
        <w:rPr>
          <w:spacing w:val="-2"/>
        </w:rPr>
      </w:pPr>
    </w:p>
    <w:p w14:paraId="6A1126B4" w14:textId="346B9FDD" w:rsidR="00F437D9" w:rsidRPr="003B4362" w:rsidRDefault="00F437D9" w:rsidP="008D1FEE">
      <w:pPr>
        <w:widowControl w:val="0"/>
        <w:suppressAutoHyphens/>
        <w:ind w:left="1440" w:hanging="720"/>
        <w:rPr>
          <w:spacing w:val="-2"/>
        </w:rPr>
      </w:pPr>
      <w:r w:rsidRPr="003B4362">
        <w:rPr>
          <w:spacing w:val="-2"/>
        </w:rPr>
        <w:t>f)</w:t>
      </w:r>
      <w:r w:rsidRPr="003B4362">
        <w:rPr>
          <w:spacing w:val="-2"/>
        </w:rPr>
        <w:tab/>
      </w:r>
      <w:r w:rsidR="005F1FAF" w:rsidRPr="003B4362">
        <w:rPr>
          <w:spacing w:val="-2"/>
        </w:rPr>
        <w:t xml:space="preserve">Complying </w:t>
      </w:r>
      <w:r w:rsidRPr="003B4362">
        <w:rPr>
          <w:spacing w:val="-2"/>
        </w:rPr>
        <w:t xml:space="preserve">with </w:t>
      </w:r>
      <w:r w:rsidRPr="003B4362">
        <w:t xml:space="preserve">an </w:t>
      </w:r>
      <w:r w:rsidRPr="003B4362">
        <w:rPr>
          <w:spacing w:val="-2"/>
        </w:rPr>
        <w:t xml:space="preserve">NPDWR.  In addition to </w:t>
      </w:r>
      <w:bookmarkStart w:id="4315" w:name="_Hlk132121226"/>
      <w:r w:rsidRPr="003B4362">
        <w:rPr>
          <w:spacing w:val="-2"/>
        </w:rPr>
        <w:t xml:space="preserve">the </w:t>
      </w:r>
      <w:r w:rsidR="005F1FAF" w:rsidRPr="003B4362">
        <w:rPr>
          <w:spacing w:val="-2"/>
        </w:rPr>
        <w:t xml:space="preserve">information </w:t>
      </w:r>
      <w:r w:rsidRPr="003B4362">
        <w:t>subsection (</w:t>
      </w:r>
      <w:r w:rsidRPr="003B4362">
        <w:rPr>
          <w:spacing w:val="-2"/>
        </w:rPr>
        <w:t>d)(</w:t>
      </w:r>
      <w:r w:rsidRPr="003B4362">
        <w:t>6</w:t>
      </w:r>
      <w:r w:rsidRPr="003B4362">
        <w:rPr>
          <w:spacing w:val="-2"/>
        </w:rPr>
        <w:t>)</w:t>
      </w:r>
      <w:r w:rsidR="005F1FAF" w:rsidRPr="003B4362">
        <w:rPr>
          <w:spacing w:val="-2"/>
        </w:rPr>
        <w:t xml:space="preserve"> requires</w:t>
      </w:r>
      <w:bookmarkEnd w:id="4315"/>
      <w:r w:rsidRPr="003B4362">
        <w:rPr>
          <w:spacing w:val="-2"/>
        </w:rPr>
        <w:t xml:space="preserve">, the report must note </w:t>
      </w:r>
      <w:bookmarkStart w:id="4316" w:name="_Hlk132121271"/>
      <w:r w:rsidRPr="003B4362">
        <w:rPr>
          <w:spacing w:val="-2"/>
        </w:rPr>
        <w:t xml:space="preserve">any </w:t>
      </w:r>
      <w:r w:rsidR="005F1FAF" w:rsidRPr="003B4362">
        <w:rPr>
          <w:spacing w:val="-2"/>
        </w:rPr>
        <w:t xml:space="preserve">of specific violations in subsections (f)(1) through (f)(7) occurring </w:t>
      </w:r>
      <w:r w:rsidRPr="003B4362">
        <w:rPr>
          <w:spacing w:val="-2"/>
        </w:rPr>
        <w:t xml:space="preserve">during the year the report </w:t>
      </w:r>
      <w:r w:rsidR="005F1FAF" w:rsidRPr="003B4362">
        <w:rPr>
          <w:spacing w:val="-2"/>
        </w:rPr>
        <w:t xml:space="preserve">covers </w:t>
      </w:r>
      <w:bookmarkStart w:id="4317" w:name="_Hlk132121347"/>
      <w:bookmarkEnd w:id="4316"/>
      <w:r w:rsidRPr="003B4362">
        <w:rPr>
          <w:spacing w:val="-2"/>
        </w:rPr>
        <w:t>and include a clear and readily understandable explanation of the violation</w:t>
      </w:r>
      <w:bookmarkEnd w:id="4317"/>
      <w:r w:rsidRPr="003B4362">
        <w:rPr>
          <w:spacing w:val="-2"/>
        </w:rPr>
        <w:t xml:space="preserve">, any potential adverse health effects, and the </w:t>
      </w:r>
      <w:bookmarkStart w:id="4318" w:name="_Hlk132121518"/>
      <w:r w:rsidRPr="003B4362">
        <w:rPr>
          <w:spacing w:val="-2"/>
        </w:rPr>
        <w:t xml:space="preserve">steps the CWS </w:t>
      </w:r>
      <w:r w:rsidR="00377CC0" w:rsidRPr="003B4362">
        <w:rPr>
          <w:spacing w:val="-2"/>
        </w:rPr>
        <w:t xml:space="preserve">took </w:t>
      </w:r>
      <w:r w:rsidRPr="003B4362">
        <w:rPr>
          <w:spacing w:val="-2"/>
        </w:rPr>
        <w:t>to correct</w:t>
      </w:r>
      <w:bookmarkEnd w:id="4318"/>
      <w:r w:rsidRPr="003B4362">
        <w:rPr>
          <w:spacing w:val="-2"/>
        </w:rPr>
        <w:t xml:space="preserve"> the violation.</w:t>
      </w:r>
    </w:p>
    <w:p w14:paraId="01AE8DCA" w14:textId="77777777" w:rsidR="008D1FEE" w:rsidRDefault="008D1FEE" w:rsidP="008D1FEE">
      <w:pPr>
        <w:widowControl w:val="0"/>
        <w:suppressAutoHyphens/>
        <w:ind w:left="2160" w:hanging="720"/>
        <w:rPr>
          <w:spacing w:val="-2"/>
        </w:rPr>
      </w:pPr>
    </w:p>
    <w:p w14:paraId="2F06B71C" w14:textId="0C71B80D" w:rsidR="00F437D9" w:rsidRPr="003B4362" w:rsidRDefault="00F437D9" w:rsidP="008D1FEE">
      <w:pPr>
        <w:widowControl w:val="0"/>
        <w:suppressAutoHyphens/>
        <w:ind w:left="2160" w:hanging="720"/>
        <w:rPr>
          <w:spacing w:val="-2"/>
        </w:rPr>
      </w:pPr>
      <w:r w:rsidRPr="003B4362">
        <w:rPr>
          <w:spacing w:val="-2"/>
        </w:rPr>
        <w:t>1)</w:t>
      </w:r>
      <w:r w:rsidRPr="003B4362">
        <w:rPr>
          <w:spacing w:val="-2"/>
        </w:rPr>
        <w:tab/>
      </w:r>
      <w:bookmarkStart w:id="4319" w:name="_Hlk132124159"/>
      <w:r w:rsidR="00DE5EC8" w:rsidRPr="003B4362">
        <w:rPr>
          <w:spacing w:val="-2"/>
        </w:rPr>
        <w:t>M</w:t>
      </w:r>
      <w:r w:rsidRPr="003B4362">
        <w:rPr>
          <w:spacing w:val="-2"/>
        </w:rPr>
        <w:t>onitoring and reporting compliance data</w:t>
      </w:r>
      <w:bookmarkEnd w:id="4319"/>
      <w:r w:rsidRPr="003B4362">
        <w:rPr>
          <w:spacing w:val="-2"/>
        </w:rPr>
        <w:t>.</w:t>
      </w:r>
    </w:p>
    <w:p w14:paraId="3B44532D" w14:textId="77777777" w:rsidR="008D1FEE" w:rsidRDefault="008D1FEE" w:rsidP="008D1FEE">
      <w:pPr>
        <w:widowControl w:val="0"/>
        <w:suppressAutoHyphens/>
        <w:ind w:left="2160" w:hanging="720"/>
        <w:rPr>
          <w:spacing w:val="-2"/>
        </w:rPr>
      </w:pPr>
    </w:p>
    <w:p w14:paraId="2FAB8058" w14:textId="2082214D" w:rsidR="00F437D9" w:rsidRPr="003B4362" w:rsidRDefault="00F437D9" w:rsidP="008D1FEE">
      <w:pPr>
        <w:widowControl w:val="0"/>
        <w:suppressAutoHyphens/>
        <w:ind w:left="2160" w:hanging="720"/>
        <w:rPr>
          <w:spacing w:val="-2"/>
        </w:rPr>
      </w:pPr>
      <w:r w:rsidRPr="003B4362">
        <w:rPr>
          <w:spacing w:val="-2"/>
        </w:rPr>
        <w:t>2)</w:t>
      </w:r>
      <w:r w:rsidRPr="003B4362">
        <w:rPr>
          <w:spacing w:val="-2"/>
        </w:rPr>
        <w:tab/>
        <w:t xml:space="preserve">Filtration and Disinfection </w:t>
      </w:r>
      <w:bookmarkStart w:id="4320" w:name="_Hlk132126160"/>
      <w:r w:rsidR="0041521E" w:rsidRPr="003B4362">
        <w:rPr>
          <w:spacing w:val="-2"/>
        </w:rPr>
        <w:t xml:space="preserve">Under </w:t>
      </w:r>
      <w:r w:rsidRPr="003B4362">
        <w:rPr>
          <w:spacing w:val="-2"/>
        </w:rPr>
        <w:t>Subpart B</w:t>
      </w:r>
      <w:bookmarkEnd w:id="4320"/>
      <w:r w:rsidRPr="003B4362">
        <w:rPr>
          <w:spacing w:val="-2"/>
        </w:rPr>
        <w:t>.  F</w:t>
      </w:r>
      <w:bookmarkStart w:id="4321" w:name="_Hlk132126219"/>
      <w:r w:rsidRPr="003B4362">
        <w:rPr>
          <w:spacing w:val="-2"/>
        </w:rPr>
        <w:t xml:space="preserve">or </w:t>
      </w:r>
      <w:r w:rsidR="0041521E" w:rsidRPr="003B4362">
        <w:rPr>
          <w:spacing w:val="-2"/>
        </w:rPr>
        <w:t xml:space="preserve">a CWS failing </w:t>
      </w:r>
      <w:r w:rsidRPr="003B4362">
        <w:rPr>
          <w:spacing w:val="-2"/>
        </w:rPr>
        <w:t>to install</w:t>
      </w:r>
      <w:bookmarkEnd w:id="4321"/>
      <w:r w:rsidRPr="003B4362">
        <w:rPr>
          <w:spacing w:val="-2"/>
        </w:rPr>
        <w:t xml:space="preserve"> adequate filtration or disinfection equipment or processes</w:t>
      </w:r>
      <w:r w:rsidRPr="003B4362">
        <w:t xml:space="preserve"> </w:t>
      </w:r>
      <w:bookmarkStart w:id="4322" w:name="_Hlk132126304"/>
      <w:r w:rsidRPr="003B4362">
        <w:t>or</w:t>
      </w:r>
      <w:r w:rsidRPr="003B4362">
        <w:rPr>
          <w:spacing w:val="-2"/>
        </w:rPr>
        <w:t xml:space="preserve"> </w:t>
      </w:r>
      <w:r w:rsidR="0041521E" w:rsidRPr="003B4362">
        <w:rPr>
          <w:spacing w:val="-2"/>
        </w:rPr>
        <w:t xml:space="preserve">having filtration or disinfection </w:t>
      </w:r>
      <w:r w:rsidRPr="003B4362">
        <w:rPr>
          <w:spacing w:val="-2"/>
        </w:rPr>
        <w:t xml:space="preserve">equipment or processes </w:t>
      </w:r>
      <w:r w:rsidR="0041521E" w:rsidRPr="003B4362">
        <w:rPr>
          <w:spacing w:val="-2"/>
        </w:rPr>
        <w:t xml:space="preserve">fail, causing </w:t>
      </w:r>
      <w:r w:rsidRPr="003B4362">
        <w:rPr>
          <w:spacing w:val="-2"/>
        </w:rPr>
        <w:t>a violation</w:t>
      </w:r>
      <w:bookmarkEnd w:id="4322"/>
      <w:r w:rsidRPr="003B4362">
        <w:rPr>
          <w:spacing w:val="-2"/>
        </w:rPr>
        <w:t xml:space="preserve">, the report must include </w:t>
      </w:r>
      <w:bookmarkStart w:id="4323" w:name="_Hlk132126518"/>
      <w:r w:rsidR="0041521E" w:rsidRPr="003B4362">
        <w:rPr>
          <w:spacing w:val="-2"/>
        </w:rPr>
        <w:t xml:space="preserve">specific </w:t>
      </w:r>
      <w:r w:rsidRPr="003B4362">
        <w:rPr>
          <w:spacing w:val="-2"/>
        </w:rPr>
        <w:t xml:space="preserve">language </w:t>
      </w:r>
      <w:r w:rsidR="0041521E" w:rsidRPr="003B4362">
        <w:rPr>
          <w:spacing w:val="-2"/>
        </w:rPr>
        <w:t xml:space="preserve">to explain </w:t>
      </w:r>
      <w:r w:rsidRPr="003B4362">
        <w:rPr>
          <w:spacing w:val="-2"/>
        </w:rPr>
        <w:t>potential adverse health effects</w:t>
      </w:r>
      <w:bookmarkEnd w:id="4323"/>
      <w:r w:rsidRPr="003B4362">
        <w:rPr>
          <w:spacing w:val="-2"/>
        </w:rPr>
        <w:t xml:space="preserve">:  </w:t>
      </w:r>
      <w:r w:rsidR="0041521E" w:rsidRPr="003B4362">
        <w:rPr>
          <w:spacing w:val="-2"/>
        </w:rPr>
        <w:t>“</w:t>
      </w:r>
      <w:bookmarkStart w:id="4324" w:name="_Hlk132126685"/>
      <w:r w:rsidRPr="003B4362">
        <w:rPr>
          <w:spacing w:val="-2"/>
        </w:rPr>
        <w:t xml:space="preserve">Inadequately treated water may contain disease-causing organisms.  </w:t>
      </w:r>
      <w:bookmarkStart w:id="4325" w:name="_Hlk132126653"/>
      <w:bookmarkEnd w:id="4324"/>
      <w:r w:rsidRPr="003B4362">
        <w:rPr>
          <w:spacing w:val="-2"/>
        </w:rPr>
        <w:t>These organisms include bacteria, viruses, and parasites that can cause symptoms such as nausea, cramps, diarrhea, and associated headaches.</w:t>
      </w:r>
      <w:bookmarkEnd w:id="4325"/>
      <w:r w:rsidR="0041521E" w:rsidRPr="003B4362">
        <w:rPr>
          <w:spacing w:val="-2"/>
        </w:rPr>
        <w:t>”</w:t>
      </w:r>
    </w:p>
    <w:p w14:paraId="42915062" w14:textId="77777777" w:rsidR="008D1FEE" w:rsidRDefault="008D1FEE" w:rsidP="008D1FEE">
      <w:pPr>
        <w:widowControl w:val="0"/>
        <w:suppressAutoHyphens/>
        <w:ind w:left="2160" w:hanging="720"/>
        <w:rPr>
          <w:spacing w:val="-2"/>
        </w:rPr>
      </w:pPr>
    </w:p>
    <w:p w14:paraId="61677B45" w14:textId="4737CBC6" w:rsidR="00F437D9" w:rsidRPr="003B4362" w:rsidRDefault="00F437D9" w:rsidP="008D1FEE">
      <w:pPr>
        <w:widowControl w:val="0"/>
        <w:suppressAutoHyphens/>
        <w:ind w:left="2160" w:hanging="720"/>
        <w:rPr>
          <w:spacing w:val="-2"/>
        </w:rPr>
      </w:pPr>
      <w:r w:rsidRPr="003B4362">
        <w:rPr>
          <w:spacing w:val="-2"/>
        </w:rPr>
        <w:t>3)</w:t>
      </w:r>
      <w:r w:rsidRPr="003B4362">
        <w:rPr>
          <w:spacing w:val="-2"/>
        </w:rPr>
        <w:tab/>
        <w:t xml:space="preserve">Lead and Copper Control Requirements </w:t>
      </w:r>
      <w:r w:rsidR="00A57131" w:rsidRPr="003B4362">
        <w:rPr>
          <w:spacing w:val="-2"/>
        </w:rPr>
        <w:t xml:space="preserve">Under </w:t>
      </w:r>
      <w:r w:rsidRPr="003B4362">
        <w:rPr>
          <w:spacing w:val="-2"/>
        </w:rPr>
        <w:t xml:space="preserve">Subpart G.  For </w:t>
      </w:r>
      <w:r w:rsidR="00A57131" w:rsidRPr="003B4362">
        <w:rPr>
          <w:spacing w:val="-2"/>
        </w:rPr>
        <w:t xml:space="preserve">a supplier failing </w:t>
      </w:r>
      <w:r w:rsidRPr="003B4362">
        <w:rPr>
          <w:spacing w:val="-2"/>
        </w:rPr>
        <w:t xml:space="preserve">to take one or more </w:t>
      </w:r>
      <w:bookmarkStart w:id="4326" w:name="_Hlk132127089"/>
      <w:r w:rsidRPr="003B4362">
        <w:rPr>
          <w:spacing w:val="-2"/>
        </w:rPr>
        <w:t xml:space="preserve">actions </w:t>
      </w:r>
      <w:r w:rsidR="00A57131" w:rsidRPr="003B4362">
        <w:rPr>
          <w:spacing w:val="-2"/>
        </w:rPr>
        <w:t xml:space="preserve">under </w:t>
      </w:r>
      <w:r w:rsidRPr="003B4362">
        <w:rPr>
          <w:spacing w:val="-2"/>
        </w:rPr>
        <w:t>Section 611.350(d)</w:t>
      </w:r>
      <w:bookmarkEnd w:id="4326"/>
      <w:r w:rsidRPr="003B4362">
        <w:rPr>
          <w:spacing w:val="-2"/>
        </w:rPr>
        <w:t xml:space="preserve">, </w:t>
      </w:r>
      <w:r w:rsidRPr="003B4362">
        <w:t>611.</w:t>
      </w:r>
      <w:r w:rsidRPr="003B4362">
        <w:rPr>
          <w:spacing w:val="-2"/>
        </w:rPr>
        <w:t xml:space="preserve">351, </w:t>
      </w:r>
      <w:r w:rsidRPr="003B4362">
        <w:t>611.</w:t>
      </w:r>
      <w:r w:rsidRPr="003B4362">
        <w:rPr>
          <w:spacing w:val="-2"/>
        </w:rPr>
        <w:t xml:space="preserve">352, </w:t>
      </w:r>
      <w:r w:rsidRPr="003B4362">
        <w:t>611.</w:t>
      </w:r>
      <w:r w:rsidRPr="003B4362">
        <w:rPr>
          <w:spacing w:val="-2"/>
        </w:rPr>
        <w:t>353</w:t>
      </w:r>
      <w:r w:rsidRPr="003B4362">
        <w:t>, or</w:t>
      </w:r>
      <w:r w:rsidRPr="003B4362">
        <w:rPr>
          <w:spacing w:val="-2"/>
        </w:rPr>
        <w:t xml:space="preserve"> </w:t>
      </w:r>
      <w:r w:rsidRPr="003B4362">
        <w:t>611.</w:t>
      </w:r>
      <w:r w:rsidRPr="003B4362">
        <w:rPr>
          <w:spacing w:val="-2"/>
        </w:rPr>
        <w:t xml:space="preserve">354, the report must include the </w:t>
      </w:r>
      <w:bookmarkStart w:id="4327" w:name="_Hlk132127935"/>
      <w:r w:rsidRPr="003B4362">
        <w:rPr>
          <w:spacing w:val="-2"/>
        </w:rPr>
        <w:t xml:space="preserve">applicable language </w:t>
      </w:r>
      <w:r w:rsidR="00764265" w:rsidRPr="003B4362">
        <w:rPr>
          <w:spacing w:val="-2"/>
        </w:rPr>
        <w:t xml:space="preserve">from </w:t>
      </w:r>
      <w:r w:rsidRPr="003B4362">
        <w:t>Appendix A</w:t>
      </w:r>
      <w:bookmarkEnd w:id="4327"/>
      <w:r w:rsidRPr="003B4362">
        <w:rPr>
          <w:spacing w:val="-2"/>
        </w:rPr>
        <w:t xml:space="preserve"> for lead, copper</w:t>
      </w:r>
      <w:r w:rsidRPr="003B4362">
        <w:t>, or</w:t>
      </w:r>
      <w:r w:rsidRPr="003B4362">
        <w:rPr>
          <w:spacing w:val="-2"/>
        </w:rPr>
        <w:t xml:space="preserve"> both.</w:t>
      </w:r>
    </w:p>
    <w:p w14:paraId="4646199A" w14:textId="77777777" w:rsidR="008D1FEE" w:rsidRDefault="008D1FEE" w:rsidP="008D1FEE">
      <w:pPr>
        <w:widowControl w:val="0"/>
        <w:suppressAutoHyphens/>
        <w:ind w:left="2160" w:hanging="720"/>
        <w:rPr>
          <w:spacing w:val="-2"/>
        </w:rPr>
      </w:pPr>
    </w:p>
    <w:p w14:paraId="59F0F4F6" w14:textId="5BC59731" w:rsidR="00F437D9" w:rsidRPr="003B4362" w:rsidRDefault="00F437D9" w:rsidP="008D1FEE">
      <w:pPr>
        <w:widowControl w:val="0"/>
        <w:suppressAutoHyphens/>
        <w:ind w:left="2160" w:hanging="720"/>
        <w:rPr>
          <w:spacing w:val="-2"/>
        </w:rPr>
      </w:pPr>
      <w:r w:rsidRPr="003B4362">
        <w:rPr>
          <w:spacing w:val="-2"/>
        </w:rPr>
        <w:t>4)</w:t>
      </w:r>
      <w:r w:rsidRPr="003B4362">
        <w:rPr>
          <w:spacing w:val="-2"/>
        </w:rPr>
        <w:tab/>
        <w:t xml:space="preserve">Treatment Techniques for Acrylamide and Epichlorohydrin </w:t>
      </w:r>
      <w:r w:rsidR="0010686C" w:rsidRPr="003B4362">
        <w:rPr>
          <w:spacing w:val="-2"/>
        </w:rPr>
        <w:t xml:space="preserve">Under </w:t>
      </w:r>
      <w:bookmarkStart w:id="4328" w:name="_Hlk132130075"/>
      <w:r w:rsidRPr="003B4362">
        <w:rPr>
          <w:spacing w:val="-2"/>
        </w:rPr>
        <w:t>Section 611.296</w:t>
      </w:r>
      <w:bookmarkEnd w:id="4328"/>
      <w:r w:rsidRPr="003B4362">
        <w:rPr>
          <w:spacing w:val="-2"/>
        </w:rPr>
        <w:t>.  F</w:t>
      </w:r>
      <w:bookmarkStart w:id="4329" w:name="_Hlk132130112"/>
      <w:r w:rsidRPr="003B4362">
        <w:rPr>
          <w:spacing w:val="-2"/>
        </w:rPr>
        <w:t xml:space="preserve">or </w:t>
      </w:r>
      <w:r w:rsidR="0010686C" w:rsidRPr="003B4362">
        <w:rPr>
          <w:spacing w:val="-2"/>
        </w:rPr>
        <w:t xml:space="preserve">a supplier violating </w:t>
      </w:r>
      <w:r w:rsidRPr="003B4362">
        <w:rPr>
          <w:spacing w:val="-2"/>
        </w:rPr>
        <w:t>Section 611.296</w:t>
      </w:r>
      <w:bookmarkEnd w:id="4329"/>
      <w:r w:rsidRPr="003B4362">
        <w:rPr>
          <w:spacing w:val="-2"/>
        </w:rPr>
        <w:t xml:space="preserve">, the report must include the </w:t>
      </w:r>
      <w:bookmarkStart w:id="4330" w:name="_Hlk132130174"/>
      <w:r w:rsidR="0010686C" w:rsidRPr="003B4362">
        <w:rPr>
          <w:spacing w:val="-2"/>
        </w:rPr>
        <w:t xml:space="preserve">applicable </w:t>
      </w:r>
      <w:r w:rsidRPr="003B4362">
        <w:rPr>
          <w:spacing w:val="-2"/>
        </w:rPr>
        <w:t>language from Appendix A</w:t>
      </w:r>
      <w:bookmarkEnd w:id="4330"/>
      <w:r w:rsidRPr="003B4362">
        <w:rPr>
          <w:spacing w:val="-2"/>
        </w:rPr>
        <w:t>.</w:t>
      </w:r>
    </w:p>
    <w:p w14:paraId="621B1CB9" w14:textId="77777777" w:rsidR="008D1FEE" w:rsidRDefault="008D1FEE" w:rsidP="008D1FEE">
      <w:pPr>
        <w:widowControl w:val="0"/>
        <w:suppressAutoHyphens/>
        <w:ind w:left="2160" w:hanging="720"/>
        <w:rPr>
          <w:spacing w:val="-2"/>
        </w:rPr>
      </w:pPr>
    </w:p>
    <w:p w14:paraId="0BF2549E" w14:textId="0A510AE1" w:rsidR="00F437D9" w:rsidRPr="003B4362" w:rsidRDefault="00F437D9" w:rsidP="008D1FEE">
      <w:pPr>
        <w:widowControl w:val="0"/>
        <w:suppressAutoHyphens/>
        <w:ind w:left="2160" w:hanging="720"/>
        <w:rPr>
          <w:spacing w:val="-2"/>
        </w:rPr>
      </w:pPr>
      <w:r w:rsidRPr="003B4362">
        <w:rPr>
          <w:spacing w:val="-2"/>
        </w:rPr>
        <w:t>5)</w:t>
      </w:r>
      <w:r w:rsidRPr="003B4362">
        <w:rPr>
          <w:spacing w:val="-2"/>
        </w:rPr>
        <w:tab/>
      </w:r>
      <w:bookmarkStart w:id="4331" w:name="_Hlk132130352"/>
      <w:r w:rsidR="004B37F5" w:rsidRPr="003B4362">
        <w:rPr>
          <w:spacing w:val="-2"/>
        </w:rPr>
        <w:t>A</w:t>
      </w:r>
      <w:bookmarkStart w:id="4332" w:name="_Hlk132130495"/>
      <w:r w:rsidR="004B37F5" w:rsidRPr="003B4362">
        <w:rPr>
          <w:spacing w:val="-2"/>
        </w:rPr>
        <w:t xml:space="preserve"> supplier failing to maintain </w:t>
      </w:r>
      <w:bookmarkEnd w:id="4332"/>
      <w:r w:rsidR="004B37F5" w:rsidRPr="003B4362">
        <w:rPr>
          <w:spacing w:val="-2"/>
        </w:rPr>
        <w:t xml:space="preserve">required </w:t>
      </w:r>
      <w:r w:rsidRPr="003B4362">
        <w:rPr>
          <w:spacing w:val="-2"/>
        </w:rPr>
        <w:t>compliance data</w:t>
      </w:r>
      <w:r w:rsidR="004B37F5" w:rsidRPr="003B4362">
        <w:rPr>
          <w:spacing w:val="-2"/>
        </w:rPr>
        <w:t xml:space="preserve"> records</w:t>
      </w:r>
      <w:bookmarkEnd w:id="4331"/>
      <w:r w:rsidRPr="003B4362">
        <w:rPr>
          <w:spacing w:val="-2"/>
        </w:rPr>
        <w:t>.</w:t>
      </w:r>
    </w:p>
    <w:p w14:paraId="6FCC276C" w14:textId="77777777" w:rsidR="008D1FEE" w:rsidRDefault="008D1FEE" w:rsidP="008D1FEE">
      <w:pPr>
        <w:widowControl w:val="0"/>
        <w:suppressAutoHyphens/>
        <w:ind w:left="2160" w:hanging="720"/>
        <w:rPr>
          <w:spacing w:val="-2"/>
        </w:rPr>
      </w:pPr>
    </w:p>
    <w:p w14:paraId="6AA4DD4E" w14:textId="4529CDE2" w:rsidR="00F437D9" w:rsidRPr="003B4362" w:rsidRDefault="00F437D9" w:rsidP="008D1FEE">
      <w:pPr>
        <w:widowControl w:val="0"/>
        <w:suppressAutoHyphens/>
        <w:ind w:left="2160" w:hanging="720"/>
        <w:rPr>
          <w:spacing w:val="-2"/>
        </w:rPr>
      </w:pPr>
      <w:r w:rsidRPr="003B4362">
        <w:rPr>
          <w:spacing w:val="-2"/>
        </w:rPr>
        <w:t>6)</w:t>
      </w:r>
      <w:r w:rsidRPr="003B4362">
        <w:rPr>
          <w:spacing w:val="-2"/>
        </w:rPr>
        <w:tab/>
      </w:r>
      <w:r w:rsidR="004B37F5" w:rsidRPr="003B4362">
        <w:rPr>
          <w:spacing w:val="-2"/>
        </w:rPr>
        <w:t>A</w:t>
      </w:r>
      <w:bookmarkStart w:id="4333" w:name="_Hlk132130695"/>
      <w:r w:rsidR="004B37F5" w:rsidRPr="003B4362">
        <w:rPr>
          <w:spacing w:val="-2"/>
        </w:rPr>
        <w:t xml:space="preserve"> supplier not complying with special </w:t>
      </w:r>
      <w:r w:rsidRPr="003B4362">
        <w:rPr>
          <w:spacing w:val="-2"/>
        </w:rPr>
        <w:t xml:space="preserve">monitoring requirements </w:t>
      </w:r>
      <w:r w:rsidR="004B37F5" w:rsidRPr="003B4362">
        <w:rPr>
          <w:spacing w:val="-2"/>
        </w:rPr>
        <w:t xml:space="preserve">under </w:t>
      </w:r>
      <w:r w:rsidRPr="003B4362">
        <w:t xml:space="preserve">Section </w:t>
      </w:r>
      <w:r w:rsidRPr="003B4362">
        <w:rPr>
          <w:spacing w:val="-2"/>
        </w:rPr>
        <w:t>611.630</w:t>
      </w:r>
      <w:bookmarkEnd w:id="4333"/>
      <w:r w:rsidRPr="003B4362">
        <w:rPr>
          <w:spacing w:val="-2"/>
        </w:rPr>
        <w:t>.</w:t>
      </w:r>
    </w:p>
    <w:p w14:paraId="61295F0E" w14:textId="77777777" w:rsidR="008D1FEE" w:rsidRDefault="008D1FEE" w:rsidP="008D1FEE">
      <w:pPr>
        <w:widowControl w:val="0"/>
        <w:suppressAutoHyphens/>
        <w:ind w:left="2160" w:hanging="720"/>
        <w:rPr>
          <w:spacing w:val="-2"/>
        </w:rPr>
      </w:pPr>
    </w:p>
    <w:p w14:paraId="51CAE41C" w14:textId="06114FA7" w:rsidR="00F437D9" w:rsidRPr="003B4362" w:rsidRDefault="00F437D9" w:rsidP="008D1FEE">
      <w:pPr>
        <w:widowControl w:val="0"/>
        <w:suppressAutoHyphens/>
        <w:ind w:left="2160" w:hanging="720"/>
        <w:rPr>
          <w:spacing w:val="-2"/>
        </w:rPr>
      </w:pPr>
      <w:r w:rsidRPr="003B4362">
        <w:rPr>
          <w:spacing w:val="-2"/>
        </w:rPr>
        <w:lastRenderedPageBreak/>
        <w:t>7)</w:t>
      </w:r>
      <w:r w:rsidRPr="003B4362">
        <w:rPr>
          <w:spacing w:val="-2"/>
        </w:rPr>
        <w:tab/>
      </w:r>
      <w:r w:rsidR="004B37F5" w:rsidRPr="003B4362">
        <w:rPr>
          <w:spacing w:val="-2"/>
        </w:rPr>
        <w:t>A</w:t>
      </w:r>
      <w:bookmarkStart w:id="4334" w:name="_Hlk132130848"/>
      <w:r w:rsidR="004B37F5" w:rsidRPr="003B4362">
        <w:rPr>
          <w:spacing w:val="-2"/>
        </w:rPr>
        <w:t xml:space="preserve"> supplier violating </w:t>
      </w:r>
      <w:r w:rsidRPr="003B4362">
        <w:rPr>
          <w:spacing w:val="-2"/>
        </w:rPr>
        <w:t>the terms</w:t>
      </w:r>
      <w:bookmarkEnd w:id="4334"/>
      <w:r w:rsidRPr="003B4362">
        <w:rPr>
          <w:spacing w:val="-2"/>
        </w:rPr>
        <w:t xml:space="preserve"> of a variance, adjusted standard, site-specific rule</w:t>
      </w:r>
      <w:r w:rsidRPr="003B4362">
        <w:t>, or</w:t>
      </w:r>
      <w:r w:rsidRPr="003B4362">
        <w:rPr>
          <w:spacing w:val="-2"/>
        </w:rPr>
        <w:t xml:space="preserve"> administrative or judicial order.</w:t>
      </w:r>
    </w:p>
    <w:p w14:paraId="60D4CC7A" w14:textId="77777777" w:rsidR="008D1FEE" w:rsidRDefault="008D1FEE" w:rsidP="008D1FEE">
      <w:pPr>
        <w:widowControl w:val="0"/>
        <w:suppressAutoHyphens/>
        <w:ind w:left="1440" w:hanging="720"/>
        <w:rPr>
          <w:spacing w:val="-2"/>
        </w:rPr>
      </w:pPr>
    </w:p>
    <w:p w14:paraId="6F9DD9CA" w14:textId="0B308E6E" w:rsidR="00F437D9" w:rsidRPr="003B4362" w:rsidRDefault="00F437D9" w:rsidP="008D1FEE">
      <w:pPr>
        <w:widowControl w:val="0"/>
        <w:suppressAutoHyphens/>
        <w:ind w:left="1440" w:hanging="720"/>
        <w:rPr>
          <w:spacing w:val="-2"/>
        </w:rPr>
      </w:pPr>
      <w:r w:rsidRPr="003B4362">
        <w:rPr>
          <w:spacing w:val="-2"/>
        </w:rPr>
        <w:t>g)</w:t>
      </w:r>
      <w:r w:rsidRPr="003B4362">
        <w:rPr>
          <w:spacing w:val="-2"/>
        </w:rPr>
        <w:tab/>
        <w:t>Variances, Adjusted Standards, and Site-Specific Rules.  I</w:t>
      </w:r>
      <w:bookmarkStart w:id="4335" w:name="_Hlk132131101"/>
      <w:r w:rsidRPr="003B4362">
        <w:rPr>
          <w:spacing w:val="-2"/>
        </w:rPr>
        <w:t xml:space="preserve">f a </w:t>
      </w:r>
      <w:r w:rsidR="004B37F5" w:rsidRPr="003B4362">
        <w:rPr>
          <w:spacing w:val="-2"/>
        </w:rPr>
        <w:t xml:space="preserve">supplier operates </w:t>
      </w:r>
      <w:r w:rsidRPr="003B4362">
        <w:rPr>
          <w:spacing w:val="-2"/>
        </w:rPr>
        <w:t>under the terms</w:t>
      </w:r>
      <w:bookmarkEnd w:id="4335"/>
      <w:r w:rsidRPr="003B4362">
        <w:rPr>
          <w:spacing w:val="-2"/>
        </w:rPr>
        <w:t xml:space="preserve"> of a variance, adjusted standard</w:t>
      </w:r>
      <w:r w:rsidRPr="003B4362">
        <w:t>, or</w:t>
      </w:r>
      <w:r w:rsidRPr="003B4362">
        <w:rPr>
          <w:spacing w:val="-2"/>
        </w:rPr>
        <w:t xml:space="preserve"> </w:t>
      </w:r>
      <w:bookmarkStart w:id="4336" w:name="_Hlk132131171"/>
      <w:r w:rsidRPr="003B4362">
        <w:rPr>
          <w:spacing w:val="-2"/>
        </w:rPr>
        <w:t xml:space="preserve">site-specific rule </w:t>
      </w:r>
      <w:r w:rsidR="004B37F5" w:rsidRPr="003B4362">
        <w:rPr>
          <w:spacing w:val="-2"/>
        </w:rPr>
        <w:t xml:space="preserve">the Board </w:t>
      </w:r>
      <w:r w:rsidRPr="003B4362">
        <w:rPr>
          <w:spacing w:val="-2"/>
        </w:rPr>
        <w:t xml:space="preserve">issued under </w:t>
      </w:r>
      <w:r w:rsidRPr="003B4362">
        <w:t>Section 611.111</w:t>
      </w:r>
      <w:bookmarkEnd w:id="4336"/>
      <w:r w:rsidRPr="003B4362">
        <w:t>, 611.112, or 611.131</w:t>
      </w:r>
      <w:r w:rsidRPr="003B4362">
        <w:rPr>
          <w:spacing w:val="-2"/>
        </w:rPr>
        <w:t xml:space="preserve">, the report must </w:t>
      </w:r>
      <w:bookmarkStart w:id="4337" w:name="_Hlk132131223"/>
      <w:r w:rsidRPr="003B4362">
        <w:rPr>
          <w:spacing w:val="-2"/>
        </w:rPr>
        <w:t>contain</w:t>
      </w:r>
      <w:r w:rsidR="004B37F5" w:rsidRPr="003B4362">
        <w:rPr>
          <w:spacing w:val="-2"/>
        </w:rPr>
        <w:t xml:space="preserve"> certain information</w:t>
      </w:r>
      <w:bookmarkEnd w:id="4337"/>
      <w:r w:rsidRPr="003B4362">
        <w:rPr>
          <w:spacing w:val="-2"/>
        </w:rPr>
        <w:t>:</w:t>
      </w:r>
    </w:p>
    <w:p w14:paraId="6F122388" w14:textId="77777777" w:rsidR="008D1FEE" w:rsidRDefault="008D1FEE" w:rsidP="008D1FEE">
      <w:pPr>
        <w:widowControl w:val="0"/>
        <w:suppressAutoHyphens/>
        <w:ind w:left="2160" w:hanging="720"/>
        <w:rPr>
          <w:spacing w:val="-2"/>
        </w:rPr>
      </w:pPr>
    </w:p>
    <w:p w14:paraId="15B90F80" w14:textId="5EB55F33" w:rsidR="00F437D9" w:rsidRPr="003B4362" w:rsidRDefault="00F437D9" w:rsidP="008D1FEE">
      <w:pPr>
        <w:widowControl w:val="0"/>
        <w:suppressAutoHyphens/>
        <w:ind w:left="2160" w:hanging="720"/>
        <w:rPr>
          <w:spacing w:val="-2"/>
        </w:rPr>
      </w:pPr>
      <w:r w:rsidRPr="003B4362">
        <w:rPr>
          <w:spacing w:val="-2"/>
        </w:rPr>
        <w:t>1)</w:t>
      </w:r>
      <w:r w:rsidRPr="003B4362">
        <w:rPr>
          <w:spacing w:val="-2"/>
        </w:rPr>
        <w:tab/>
      </w:r>
      <w:r w:rsidR="00985E77" w:rsidRPr="003B4362">
        <w:rPr>
          <w:spacing w:val="-2"/>
        </w:rPr>
        <w:t>I</w:t>
      </w:r>
      <w:bookmarkStart w:id="4338" w:name="_Hlk132131686"/>
      <w:r w:rsidR="00985E77" w:rsidRPr="003B4362">
        <w:rPr>
          <w:spacing w:val="-2"/>
        </w:rPr>
        <w:t xml:space="preserve">t must explain </w:t>
      </w:r>
      <w:r w:rsidRPr="003B4362">
        <w:rPr>
          <w:spacing w:val="-2"/>
        </w:rPr>
        <w:t>the reasons</w:t>
      </w:r>
      <w:bookmarkEnd w:id="4338"/>
      <w:r w:rsidRPr="003B4362">
        <w:rPr>
          <w:spacing w:val="-2"/>
        </w:rPr>
        <w:t xml:space="preserve"> for the variance, adjusted standard</w:t>
      </w:r>
      <w:r w:rsidRPr="003B4362">
        <w:t>, or</w:t>
      </w:r>
      <w:r w:rsidRPr="003B4362">
        <w:rPr>
          <w:spacing w:val="-2"/>
        </w:rPr>
        <w:t xml:space="preserve"> site-specific rule;</w:t>
      </w:r>
    </w:p>
    <w:p w14:paraId="1E88A3F9" w14:textId="77777777" w:rsidR="008D1FEE" w:rsidRDefault="008D1FEE" w:rsidP="008D1FEE">
      <w:pPr>
        <w:widowControl w:val="0"/>
        <w:suppressAutoHyphens/>
        <w:ind w:left="2160" w:hanging="720"/>
        <w:rPr>
          <w:spacing w:val="-2"/>
        </w:rPr>
      </w:pPr>
    </w:p>
    <w:p w14:paraId="77945160" w14:textId="25EA09DA" w:rsidR="00F437D9" w:rsidRPr="003B4362" w:rsidRDefault="00F437D9" w:rsidP="008D1FEE">
      <w:pPr>
        <w:widowControl w:val="0"/>
        <w:suppressAutoHyphens/>
        <w:ind w:left="2160" w:hanging="720"/>
        <w:rPr>
          <w:spacing w:val="-2"/>
        </w:rPr>
      </w:pPr>
      <w:r w:rsidRPr="003B4362">
        <w:rPr>
          <w:spacing w:val="-2"/>
        </w:rPr>
        <w:t>2)</w:t>
      </w:r>
      <w:r w:rsidRPr="003B4362">
        <w:rPr>
          <w:spacing w:val="-2"/>
        </w:rPr>
        <w:tab/>
      </w:r>
      <w:r w:rsidR="00985E77" w:rsidRPr="003B4362">
        <w:rPr>
          <w:spacing w:val="-2"/>
        </w:rPr>
        <w:t>I</w:t>
      </w:r>
      <w:bookmarkStart w:id="4339" w:name="_Hlk132131747"/>
      <w:r w:rsidR="00985E77" w:rsidRPr="003B4362">
        <w:rPr>
          <w:spacing w:val="-2"/>
        </w:rPr>
        <w:t xml:space="preserve">t must state when the Board issued </w:t>
      </w:r>
      <w:r w:rsidRPr="003B4362">
        <w:rPr>
          <w:spacing w:val="-2"/>
        </w:rPr>
        <w:t>the variance, adjusted standard</w:t>
      </w:r>
      <w:r w:rsidRPr="003B4362">
        <w:t>, or</w:t>
      </w:r>
      <w:r w:rsidRPr="003B4362">
        <w:rPr>
          <w:spacing w:val="-2"/>
        </w:rPr>
        <w:t xml:space="preserve"> site-specific rule</w:t>
      </w:r>
      <w:bookmarkEnd w:id="4339"/>
      <w:r w:rsidRPr="003B4362">
        <w:rPr>
          <w:spacing w:val="-2"/>
        </w:rPr>
        <w:t>;</w:t>
      </w:r>
    </w:p>
    <w:p w14:paraId="6260B27B" w14:textId="77777777" w:rsidR="008D1FEE" w:rsidRDefault="008D1FEE" w:rsidP="008D1FEE">
      <w:pPr>
        <w:widowControl w:val="0"/>
        <w:suppressAutoHyphens/>
        <w:ind w:left="2160" w:hanging="720"/>
        <w:rPr>
          <w:spacing w:val="-2"/>
        </w:rPr>
      </w:pPr>
    </w:p>
    <w:p w14:paraId="1002D2B4" w14:textId="7B074EA3" w:rsidR="00F437D9" w:rsidRPr="003B4362" w:rsidRDefault="00F437D9" w:rsidP="008D1FEE">
      <w:pPr>
        <w:widowControl w:val="0"/>
        <w:suppressAutoHyphens/>
        <w:ind w:left="2160" w:hanging="720"/>
        <w:rPr>
          <w:spacing w:val="-2"/>
        </w:rPr>
      </w:pPr>
      <w:r w:rsidRPr="003B4362">
        <w:rPr>
          <w:spacing w:val="-2"/>
        </w:rPr>
        <w:t>3)</w:t>
      </w:r>
      <w:r w:rsidRPr="003B4362">
        <w:rPr>
          <w:spacing w:val="-2"/>
        </w:rPr>
        <w:tab/>
      </w:r>
      <w:r w:rsidR="00985E77" w:rsidRPr="003B4362">
        <w:rPr>
          <w:spacing w:val="-2"/>
        </w:rPr>
        <w:t>I</w:t>
      </w:r>
      <w:bookmarkStart w:id="4340" w:name="_Hlk132131820"/>
      <w:r w:rsidR="00985E77" w:rsidRPr="003B4362">
        <w:rPr>
          <w:spacing w:val="-2"/>
        </w:rPr>
        <w:t xml:space="preserve">t must include a </w:t>
      </w:r>
      <w:r w:rsidRPr="003B4362">
        <w:rPr>
          <w:spacing w:val="-2"/>
        </w:rPr>
        <w:t>brief status report</w:t>
      </w:r>
      <w:bookmarkEnd w:id="4340"/>
      <w:r w:rsidRPr="003B4362">
        <w:rPr>
          <w:spacing w:val="-2"/>
        </w:rPr>
        <w:t xml:space="preserve"> on the steps the CWS is taking to install treatment, find alternative sources of water</w:t>
      </w:r>
      <w:r w:rsidRPr="003B4362">
        <w:t>, or</w:t>
      </w:r>
      <w:r w:rsidRPr="003B4362">
        <w:rPr>
          <w:spacing w:val="-2"/>
        </w:rPr>
        <w:t xml:space="preserve"> otherwise comply with the terms and schedules of the variance, adjusted standard</w:t>
      </w:r>
      <w:r w:rsidRPr="003B4362">
        <w:t>, or</w:t>
      </w:r>
      <w:r w:rsidRPr="003B4362">
        <w:rPr>
          <w:spacing w:val="-2"/>
        </w:rPr>
        <w:t xml:space="preserve"> site-specific rule; and</w:t>
      </w:r>
    </w:p>
    <w:p w14:paraId="0DC25F78" w14:textId="77777777" w:rsidR="008D1FEE" w:rsidRDefault="008D1FEE" w:rsidP="008D1FEE">
      <w:pPr>
        <w:widowControl w:val="0"/>
        <w:suppressAutoHyphens/>
        <w:ind w:left="2160" w:hanging="720"/>
        <w:rPr>
          <w:spacing w:val="-2"/>
        </w:rPr>
      </w:pPr>
    </w:p>
    <w:p w14:paraId="5759FC8F" w14:textId="32AC0ED9" w:rsidR="00F437D9" w:rsidRPr="003B4362" w:rsidRDefault="00F437D9" w:rsidP="008D1FEE">
      <w:pPr>
        <w:widowControl w:val="0"/>
        <w:suppressAutoHyphens/>
        <w:ind w:left="2160" w:hanging="720"/>
        <w:rPr>
          <w:spacing w:val="-2"/>
        </w:rPr>
      </w:pPr>
      <w:r w:rsidRPr="003B4362">
        <w:rPr>
          <w:spacing w:val="-2"/>
        </w:rPr>
        <w:t>4)</w:t>
      </w:r>
      <w:r w:rsidRPr="003B4362">
        <w:rPr>
          <w:spacing w:val="-2"/>
        </w:rPr>
        <w:tab/>
      </w:r>
      <w:r w:rsidR="00985E77" w:rsidRPr="003B4362">
        <w:rPr>
          <w:spacing w:val="-2"/>
        </w:rPr>
        <w:t>I</w:t>
      </w:r>
      <w:bookmarkStart w:id="4341" w:name="_Hlk132132037"/>
      <w:r w:rsidR="00985E77" w:rsidRPr="003B4362">
        <w:rPr>
          <w:spacing w:val="-2"/>
        </w:rPr>
        <w:t xml:space="preserve">t must include a </w:t>
      </w:r>
      <w:r w:rsidRPr="003B4362">
        <w:rPr>
          <w:spacing w:val="-2"/>
        </w:rPr>
        <w:t>notice of any opportunity</w:t>
      </w:r>
      <w:bookmarkEnd w:id="4341"/>
      <w:r w:rsidRPr="003B4362">
        <w:rPr>
          <w:spacing w:val="-2"/>
        </w:rPr>
        <w:t xml:space="preserve"> for public input </w:t>
      </w:r>
      <w:bookmarkStart w:id="4342" w:name="_Hlk132132182"/>
      <w:r w:rsidRPr="003B4362">
        <w:rPr>
          <w:spacing w:val="-2"/>
        </w:rPr>
        <w:t xml:space="preserve">in </w:t>
      </w:r>
      <w:r w:rsidR="00985E77" w:rsidRPr="003B4362">
        <w:rPr>
          <w:spacing w:val="-2"/>
        </w:rPr>
        <w:t xml:space="preserve">any </w:t>
      </w:r>
      <w:r w:rsidRPr="003B4362">
        <w:rPr>
          <w:spacing w:val="-2"/>
        </w:rPr>
        <w:t>review</w:t>
      </w:r>
      <w:r w:rsidRPr="003B4362">
        <w:t xml:space="preserve"> or</w:t>
      </w:r>
      <w:r w:rsidRPr="003B4362">
        <w:rPr>
          <w:spacing w:val="-2"/>
        </w:rPr>
        <w:t xml:space="preserve"> renewal of the variance</w:t>
      </w:r>
      <w:bookmarkEnd w:id="4342"/>
      <w:r w:rsidRPr="003B4362">
        <w:rPr>
          <w:spacing w:val="-2"/>
        </w:rPr>
        <w:t>, adjusted standard</w:t>
      </w:r>
      <w:r w:rsidRPr="003B4362">
        <w:t>, or</w:t>
      </w:r>
      <w:r w:rsidRPr="003B4362">
        <w:rPr>
          <w:spacing w:val="-2"/>
        </w:rPr>
        <w:t xml:space="preserve"> site-specific rule.</w:t>
      </w:r>
    </w:p>
    <w:p w14:paraId="342214DD" w14:textId="77777777" w:rsidR="008D1FEE" w:rsidRDefault="008D1FEE" w:rsidP="008D1FEE">
      <w:pPr>
        <w:ind w:left="720"/>
      </w:pPr>
    </w:p>
    <w:p w14:paraId="323AEA7E" w14:textId="74D540C1" w:rsidR="00F437D9" w:rsidRPr="003B4362" w:rsidRDefault="00F437D9" w:rsidP="008D1FEE">
      <w:pPr>
        <w:ind w:left="720"/>
      </w:pPr>
      <w:r w:rsidRPr="003B4362">
        <w:t>h)</w:t>
      </w:r>
      <w:r w:rsidRPr="003B4362">
        <w:tab/>
        <w:t>Additional Information</w:t>
      </w:r>
    </w:p>
    <w:p w14:paraId="50BE6D6F" w14:textId="77777777" w:rsidR="008D1FEE" w:rsidRDefault="008D1FEE" w:rsidP="008D1FEE">
      <w:pPr>
        <w:widowControl w:val="0"/>
        <w:suppressAutoHyphens/>
        <w:ind w:left="2160" w:hanging="720"/>
        <w:rPr>
          <w:spacing w:val="-2"/>
        </w:rPr>
      </w:pPr>
    </w:p>
    <w:p w14:paraId="1942B6DF" w14:textId="1A8739BB" w:rsidR="00F437D9" w:rsidRPr="003B4362" w:rsidRDefault="00F437D9" w:rsidP="008D1FEE">
      <w:pPr>
        <w:widowControl w:val="0"/>
        <w:suppressAutoHyphens/>
        <w:ind w:left="2160" w:hanging="720"/>
        <w:rPr>
          <w:spacing w:val="-2"/>
        </w:rPr>
      </w:pPr>
      <w:r w:rsidRPr="003B4362">
        <w:rPr>
          <w:spacing w:val="-2"/>
        </w:rPr>
        <w:t>1)</w:t>
      </w:r>
      <w:r w:rsidRPr="003B4362">
        <w:rPr>
          <w:spacing w:val="-2"/>
        </w:rPr>
        <w:tab/>
        <w:t>T</w:t>
      </w:r>
      <w:bookmarkStart w:id="4343" w:name="_Hlk132134304"/>
      <w:r w:rsidRPr="003B4362">
        <w:rPr>
          <w:spacing w:val="-2"/>
        </w:rPr>
        <w:t xml:space="preserve">he report must </w:t>
      </w:r>
      <w:r w:rsidR="001127F8" w:rsidRPr="003B4362">
        <w:rPr>
          <w:spacing w:val="-2"/>
        </w:rPr>
        <w:t xml:space="preserve">briefly explain about </w:t>
      </w:r>
      <w:r w:rsidRPr="003B4362">
        <w:rPr>
          <w:spacing w:val="-2"/>
        </w:rPr>
        <w:t>contaminants</w:t>
      </w:r>
      <w:bookmarkEnd w:id="4343"/>
      <w:r w:rsidRPr="003B4362">
        <w:rPr>
          <w:spacing w:val="-2"/>
        </w:rPr>
        <w:t xml:space="preserve"> </w:t>
      </w:r>
      <w:bookmarkStart w:id="4344" w:name="_Hlk132134343"/>
      <w:r w:rsidRPr="003B4362">
        <w:rPr>
          <w:spacing w:val="-2"/>
        </w:rPr>
        <w:t xml:space="preserve">that </w:t>
      </w:r>
      <w:r w:rsidR="001127F8" w:rsidRPr="003B4362">
        <w:rPr>
          <w:spacing w:val="-2"/>
        </w:rPr>
        <w:t xml:space="preserve">one </w:t>
      </w:r>
      <w:r w:rsidRPr="003B4362">
        <w:rPr>
          <w:spacing w:val="-2"/>
        </w:rPr>
        <w:t xml:space="preserve">may reasonably </w:t>
      </w:r>
      <w:r w:rsidR="001127F8" w:rsidRPr="003B4362">
        <w:rPr>
          <w:spacing w:val="-2"/>
        </w:rPr>
        <w:t xml:space="preserve">expect </w:t>
      </w:r>
      <w:r w:rsidRPr="003B4362">
        <w:rPr>
          <w:spacing w:val="-2"/>
        </w:rPr>
        <w:t xml:space="preserve">to </w:t>
      </w:r>
      <w:r w:rsidR="001127F8" w:rsidRPr="003B4362">
        <w:rPr>
          <w:spacing w:val="-2"/>
        </w:rPr>
        <w:t xml:space="preserve">find </w:t>
      </w:r>
      <w:r w:rsidRPr="003B4362">
        <w:rPr>
          <w:spacing w:val="-2"/>
        </w:rPr>
        <w:t>in drinking water</w:t>
      </w:r>
      <w:bookmarkEnd w:id="4344"/>
      <w:r w:rsidRPr="003B4362">
        <w:t>,</w:t>
      </w:r>
      <w:r w:rsidRPr="003B4362">
        <w:rPr>
          <w:spacing w:val="-2"/>
        </w:rPr>
        <w:t xml:space="preserve"> including bottled water.  T</w:t>
      </w:r>
      <w:bookmarkStart w:id="4345" w:name="_Hlk132134402"/>
      <w:r w:rsidRPr="003B4362">
        <w:rPr>
          <w:spacing w:val="-2"/>
        </w:rPr>
        <w:t>his may include</w:t>
      </w:r>
      <w:bookmarkEnd w:id="4345"/>
      <w:r w:rsidRPr="003B4362">
        <w:rPr>
          <w:spacing w:val="-2"/>
        </w:rPr>
        <w:t xml:space="preserve"> the </w:t>
      </w:r>
      <w:bookmarkStart w:id="4346" w:name="_Hlk132134450"/>
      <w:r w:rsidRPr="003B4362">
        <w:rPr>
          <w:spacing w:val="-2"/>
        </w:rPr>
        <w:t xml:space="preserve">language </w:t>
      </w:r>
      <w:r w:rsidR="001127F8" w:rsidRPr="003B4362">
        <w:rPr>
          <w:spacing w:val="-2"/>
        </w:rPr>
        <w:t xml:space="preserve">from </w:t>
      </w:r>
      <w:r w:rsidRPr="003B4362">
        <w:rPr>
          <w:spacing w:val="-2"/>
        </w:rPr>
        <w:t>subsections (h)(1)(A) through (h)(1)(C)</w:t>
      </w:r>
      <w:bookmarkEnd w:id="4346"/>
      <w:r w:rsidR="001127F8" w:rsidRPr="003B4362">
        <w:rPr>
          <w:spacing w:val="-2"/>
        </w:rPr>
        <w:t>,</w:t>
      </w:r>
      <w:r w:rsidRPr="003B4362">
        <w:rPr>
          <w:spacing w:val="-2"/>
        </w:rPr>
        <w:t xml:space="preserve"> </w:t>
      </w:r>
      <w:bookmarkStart w:id="4347" w:name="_Hlk132134524"/>
      <w:r w:rsidRPr="003B4362">
        <w:rPr>
          <w:spacing w:val="-2"/>
        </w:rPr>
        <w:t xml:space="preserve">or </w:t>
      </w:r>
      <w:r w:rsidR="001127F8" w:rsidRPr="003B4362">
        <w:rPr>
          <w:spacing w:val="-2"/>
        </w:rPr>
        <w:t xml:space="preserve">the CWS </w:t>
      </w:r>
      <w:r w:rsidRPr="003B4362">
        <w:rPr>
          <w:spacing w:val="-2"/>
        </w:rPr>
        <w:t xml:space="preserve">may use </w:t>
      </w:r>
      <w:r w:rsidR="001127F8" w:rsidRPr="003B4362">
        <w:rPr>
          <w:spacing w:val="-2"/>
        </w:rPr>
        <w:t xml:space="preserve">its </w:t>
      </w:r>
      <w:r w:rsidRPr="003B4362">
        <w:rPr>
          <w:spacing w:val="-2"/>
        </w:rPr>
        <w:t>own</w:t>
      </w:r>
      <w:bookmarkEnd w:id="4347"/>
      <w:r w:rsidRPr="003B4362">
        <w:rPr>
          <w:spacing w:val="-2"/>
        </w:rPr>
        <w:t xml:space="preserve"> comparable language.  The report also must include </w:t>
      </w:r>
      <w:bookmarkStart w:id="4348" w:name="_Hlk132134595"/>
      <w:r w:rsidRPr="003B4362">
        <w:rPr>
          <w:spacing w:val="-2"/>
        </w:rPr>
        <w:t xml:space="preserve">the language </w:t>
      </w:r>
      <w:r w:rsidR="001127F8" w:rsidRPr="003B4362">
        <w:rPr>
          <w:spacing w:val="-2"/>
        </w:rPr>
        <w:t xml:space="preserve">from </w:t>
      </w:r>
      <w:r w:rsidRPr="003B4362">
        <w:t xml:space="preserve">subsection </w:t>
      </w:r>
      <w:r w:rsidRPr="003B4362">
        <w:rPr>
          <w:spacing w:val="-2"/>
        </w:rPr>
        <w:t>(h)(1)(D)</w:t>
      </w:r>
      <w:bookmarkEnd w:id="4348"/>
      <w:r w:rsidRPr="003B4362">
        <w:rPr>
          <w:spacing w:val="-2"/>
        </w:rPr>
        <w:t>.</w:t>
      </w:r>
    </w:p>
    <w:p w14:paraId="26A061BD" w14:textId="77777777" w:rsidR="008D1FEE" w:rsidRDefault="008D1FEE" w:rsidP="008D1FEE">
      <w:pPr>
        <w:widowControl w:val="0"/>
        <w:suppressAutoHyphens/>
        <w:ind w:left="2880" w:hanging="720"/>
        <w:rPr>
          <w:spacing w:val="-2"/>
        </w:rPr>
      </w:pPr>
    </w:p>
    <w:p w14:paraId="2F6E4D59" w14:textId="34792580" w:rsidR="00F437D9" w:rsidRPr="003B4362" w:rsidRDefault="00F437D9" w:rsidP="008D1FEE">
      <w:pPr>
        <w:widowControl w:val="0"/>
        <w:suppressAutoHyphens/>
        <w:ind w:left="2880" w:hanging="720"/>
        <w:rPr>
          <w:spacing w:val="-2"/>
        </w:rPr>
      </w:pPr>
      <w:r w:rsidRPr="003B4362">
        <w:rPr>
          <w:spacing w:val="-2"/>
        </w:rPr>
        <w:t>A)</w:t>
      </w:r>
      <w:r w:rsidRPr="003B4362">
        <w:rPr>
          <w:spacing w:val="-2"/>
        </w:rPr>
        <w:tab/>
        <w:t>The sources of drinking water (both tap water and bottled water) include rivers, lakes, streams, ponds, reservoirs, springs, and wells.  As water travels over the surface of the land or through the ground, it dissolves naturally-occurring minerals and, in some cases, radioactive material</w:t>
      </w:r>
      <w:r w:rsidR="001127F8" w:rsidRPr="003B4362">
        <w:rPr>
          <w:spacing w:val="-2"/>
        </w:rPr>
        <w:t>.  The water</w:t>
      </w:r>
      <w:r w:rsidRPr="003B4362">
        <w:rPr>
          <w:spacing w:val="-2"/>
        </w:rPr>
        <w:t xml:space="preserve"> can </w:t>
      </w:r>
      <w:r w:rsidR="001127F8" w:rsidRPr="003B4362">
        <w:rPr>
          <w:spacing w:val="-2"/>
        </w:rPr>
        <w:t xml:space="preserve">also </w:t>
      </w:r>
      <w:r w:rsidRPr="003B4362">
        <w:rPr>
          <w:spacing w:val="-2"/>
        </w:rPr>
        <w:t>pick up substances resulting from the presence of animals or from human activity.</w:t>
      </w:r>
    </w:p>
    <w:p w14:paraId="2DADC1A0" w14:textId="77777777" w:rsidR="008D1FEE" w:rsidRDefault="008D1FEE" w:rsidP="008D1FEE">
      <w:pPr>
        <w:widowControl w:val="0"/>
        <w:suppressAutoHyphens/>
        <w:ind w:left="2880" w:hanging="720"/>
        <w:rPr>
          <w:spacing w:val="-2"/>
        </w:rPr>
      </w:pPr>
    </w:p>
    <w:p w14:paraId="359A1BFC" w14:textId="71D25903" w:rsidR="00F437D9" w:rsidRPr="003B4362" w:rsidRDefault="00F437D9" w:rsidP="008D1FEE">
      <w:pPr>
        <w:widowControl w:val="0"/>
        <w:suppressAutoHyphens/>
        <w:ind w:left="2880" w:hanging="720"/>
        <w:rPr>
          <w:spacing w:val="-2"/>
        </w:rPr>
      </w:pPr>
      <w:r w:rsidRPr="003B4362">
        <w:rPr>
          <w:spacing w:val="-2"/>
        </w:rPr>
        <w:t>B)</w:t>
      </w:r>
      <w:r w:rsidRPr="003B4362">
        <w:rPr>
          <w:spacing w:val="-2"/>
        </w:rPr>
        <w:tab/>
      </w:r>
      <w:r w:rsidR="001127F8" w:rsidRPr="003B4362">
        <w:rPr>
          <w:spacing w:val="-2"/>
        </w:rPr>
        <w:t>S</w:t>
      </w:r>
      <w:bookmarkStart w:id="4349" w:name="_Hlk132135265"/>
      <w:r w:rsidR="001127F8" w:rsidRPr="003B4362">
        <w:rPr>
          <w:spacing w:val="-2"/>
        </w:rPr>
        <w:t xml:space="preserve">ource </w:t>
      </w:r>
      <w:r w:rsidRPr="003B4362">
        <w:rPr>
          <w:spacing w:val="-2"/>
        </w:rPr>
        <w:t xml:space="preserve">water </w:t>
      </w:r>
      <w:r w:rsidR="001127F8" w:rsidRPr="003B4362">
        <w:rPr>
          <w:spacing w:val="-2"/>
        </w:rPr>
        <w:t xml:space="preserve">may </w:t>
      </w:r>
      <w:r w:rsidRPr="003B4362">
        <w:rPr>
          <w:spacing w:val="-2"/>
        </w:rPr>
        <w:t>include</w:t>
      </w:r>
      <w:r w:rsidR="001127F8" w:rsidRPr="003B4362">
        <w:rPr>
          <w:spacing w:val="-2"/>
        </w:rPr>
        <w:t xml:space="preserve"> any of several contaminants</w:t>
      </w:r>
      <w:bookmarkEnd w:id="4349"/>
      <w:r w:rsidRPr="003B4362">
        <w:rPr>
          <w:spacing w:val="-2"/>
        </w:rPr>
        <w:t>:</w:t>
      </w:r>
    </w:p>
    <w:p w14:paraId="10A61E3C" w14:textId="77777777" w:rsidR="008D1FEE" w:rsidRDefault="008D1FEE" w:rsidP="008D1FEE">
      <w:pPr>
        <w:widowControl w:val="0"/>
        <w:suppressAutoHyphens/>
        <w:ind w:left="3600" w:hanging="720"/>
        <w:rPr>
          <w:spacing w:val="-2"/>
        </w:rPr>
      </w:pPr>
    </w:p>
    <w:p w14:paraId="7430656A" w14:textId="7DE9E293" w:rsidR="00F437D9" w:rsidRPr="003B4362" w:rsidRDefault="00F437D9" w:rsidP="008D1FEE">
      <w:pPr>
        <w:widowControl w:val="0"/>
        <w:suppressAutoHyphens/>
        <w:ind w:left="3600" w:hanging="720"/>
        <w:rPr>
          <w:spacing w:val="-2"/>
        </w:rPr>
      </w:pPr>
      <w:r w:rsidRPr="003B4362">
        <w:rPr>
          <w:spacing w:val="-2"/>
        </w:rPr>
        <w:t>i)</w:t>
      </w:r>
      <w:r w:rsidRPr="003B4362">
        <w:rPr>
          <w:spacing w:val="-2"/>
        </w:rPr>
        <w:tab/>
        <w:t>Microbial contaminants, such as viruses and bacteria, which may come from sewage treatment plants, septic systems, agricultural livestock operations, and wildlife;</w:t>
      </w:r>
    </w:p>
    <w:p w14:paraId="465E813C" w14:textId="77777777" w:rsidR="008D1FEE" w:rsidRDefault="008D1FEE" w:rsidP="008D1FEE">
      <w:pPr>
        <w:widowControl w:val="0"/>
        <w:suppressAutoHyphens/>
        <w:ind w:left="3600" w:hanging="720"/>
        <w:rPr>
          <w:spacing w:val="-2"/>
        </w:rPr>
      </w:pPr>
    </w:p>
    <w:p w14:paraId="7FAF8FA9" w14:textId="4FE2AEF3" w:rsidR="00F437D9" w:rsidRPr="003B4362" w:rsidRDefault="00F437D9" w:rsidP="008D1FEE">
      <w:pPr>
        <w:widowControl w:val="0"/>
        <w:suppressAutoHyphens/>
        <w:ind w:left="3600" w:hanging="720"/>
        <w:rPr>
          <w:spacing w:val="-2"/>
        </w:rPr>
      </w:pPr>
      <w:r w:rsidRPr="003B4362">
        <w:rPr>
          <w:spacing w:val="-2"/>
        </w:rPr>
        <w:t>ii)</w:t>
      </w:r>
      <w:r w:rsidRPr="003B4362">
        <w:rPr>
          <w:spacing w:val="-2"/>
        </w:rPr>
        <w:tab/>
        <w:t xml:space="preserve">Inorganic contaminants, such as salts and metals, which can be naturally-occurring or result from urban stormwater </w:t>
      </w:r>
      <w:r w:rsidRPr="003B4362">
        <w:rPr>
          <w:spacing w:val="-2"/>
        </w:rPr>
        <w:lastRenderedPageBreak/>
        <w:t>runoff, industrial or domestic wastewater discharges, oil and gas production, mining</w:t>
      </w:r>
      <w:r w:rsidRPr="003B4362">
        <w:t>, or</w:t>
      </w:r>
      <w:r w:rsidRPr="003B4362">
        <w:rPr>
          <w:spacing w:val="-2"/>
        </w:rPr>
        <w:t xml:space="preserve"> farming;</w:t>
      </w:r>
    </w:p>
    <w:p w14:paraId="74ADE00A" w14:textId="77777777" w:rsidR="008D1FEE" w:rsidRDefault="008D1FEE" w:rsidP="008D1FEE">
      <w:pPr>
        <w:widowControl w:val="0"/>
        <w:suppressAutoHyphens/>
        <w:ind w:left="3600" w:hanging="720"/>
        <w:rPr>
          <w:spacing w:val="-2"/>
        </w:rPr>
      </w:pPr>
    </w:p>
    <w:p w14:paraId="0D2745DA" w14:textId="3290B649" w:rsidR="00F437D9" w:rsidRPr="003B4362" w:rsidRDefault="00F437D9" w:rsidP="008D1FEE">
      <w:pPr>
        <w:widowControl w:val="0"/>
        <w:suppressAutoHyphens/>
        <w:ind w:left="3600" w:hanging="720"/>
        <w:rPr>
          <w:spacing w:val="-2"/>
        </w:rPr>
      </w:pPr>
      <w:r w:rsidRPr="003B4362">
        <w:rPr>
          <w:spacing w:val="-2"/>
        </w:rPr>
        <w:t>iii)</w:t>
      </w:r>
      <w:r w:rsidRPr="003B4362">
        <w:rPr>
          <w:spacing w:val="-2"/>
        </w:rPr>
        <w:tab/>
        <w:t>Pesticides and herbicides, which may come from a variety of sources</w:t>
      </w:r>
      <w:bookmarkStart w:id="4350" w:name="_Hlk132135475"/>
      <w:r w:rsidR="00C9647D" w:rsidRPr="003B4362">
        <w:rPr>
          <w:spacing w:val="-2"/>
        </w:rPr>
        <w:t xml:space="preserve"> </w:t>
      </w:r>
      <w:r w:rsidRPr="003B4362">
        <w:rPr>
          <w:spacing w:val="-2"/>
        </w:rPr>
        <w:t xml:space="preserve">such as agriculture, urban stormwater runoff, </w:t>
      </w:r>
      <w:r w:rsidR="00C9647D" w:rsidRPr="003B4362">
        <w:rPr>
          <w:spacing w:val="-2"/>
        </w:rPr>
        <w:t xml:space="preserve">or </w:t>
      </w:r>
      <w:r w:rsidRPr="003B4362">
        <w:rPr>
          <w:spacing w:val="-2"/>
        </w:rPr>
        <w:t>residential uses</w:t>
      </w:r>
      <w:bookmarkEnd w:id="4350"/>
      <w:r w:rsidRPr="003B4362">
        <w:rPr>
          <w:spacing w:val="-2"/>
        </w:rPr>
        <w:t>;</w:t>
      </w:r>
    </w:p>
    <w:p w14:paraId="2F07FF52" w14:textId="77777777" w:rsidR="008D1FEE" w:rsidRDefault="008D1FEE" w:rsidP="008D1FEE">
      <w:pPr>
        <w:widowControl w:val="0"/>
        <w:suppressAutoHyphens/>
        <w:ind w:left="3600" w:hanging="720"/>
        <w:rPr>
          <w:spacing w:val="-2"/>
        </w:rPr>
      </w:pPr>
    </w:p>
    <w:p w14:paraId="36AF6E9F" w14:textId="4D78D173" w:rsidR="00F437D9" w:rsidRPr="003B4362" w:rsidRDefault="00F437D9" w:rsidP="008D1FEE">
      <w:pPr>
        <w:widowControl w:val="0"/>
        <w:suppressAutoHyphens/>
        <w:ind w:left="3600" w:hanging="720"/>
        <w:rPr>
          <w:spacing w:val="-2"/>
        </w:rPr>
      </w:pPr>
      <w:r w:rsidRPr="003B4362">
        <w:rPr>
          <w:spacing w:val="-2"/>
        </w:rPr>
        <w:t>iv)</w:t>
      </w:r>
      <w:r w:rsidRPr="003B4362">
        <w:rPr>
          <w:spacing w:val="-2"/>
        </w:rPr>
        <w:tab/>
        <w:t xml:space="preserve">Organic chemical contaminants, including synthetic and volatile organic chemicals, </w:t>
      </w:r>
      <w:bookmarkStart w:id="4351" w:name="_Hlk132135738"/>
      <w:r w:rsidRPr="003B4362">
        <w:rPr>
          <w:spacing w:val="-2"/>
        </w:rPr>
        <w:t xml:space="preserve">which are </w:t>
      </w:r>
      <w:r w:rsidR="00C9647D" w:rsidRPr="003B4362">
        <w:rPr>
          <w:spacing w:val="-2"/>
        </w:rPr>
        <w:t xml:space="preserve">products and </w:t>
      </w:r>
      <w:r w:rsidRPr="003B4362">
        <w:rPr>
          <w:spacing w:val="-2"/>
        </w:rPr>
        <w:t>byproducts of industrial processes</w:t>
      </w:r>
      <w:bookmarkEnd w:id="4351"/>
      <w:r w:rsidRPr="003B4362">
        <w:rPr>
          <w:spacing w:val="-2"/>
        </w:rPr>
        <w:t xml:space="preserve"> and petroleum production and </w:t>
      </w:r>
      <w:r w:rsidR="00C9647D" w:rsidRPr="003B4362">
        <w:rPr>
          <w:spacing w:val="-2"/>
        </w:rPr>
        <w:t xml:space="preserve">which </w:t>
      </w:r>
      <w:r w:rsidRPr="003B4362">
        <w:rPr>
          <w:spacing w:val="-2"/>
        </w:rPr>
        <w:t xml:space="preserve">can also come from gas stations, urban stormwater runoff, </w:t>
      </w:r>
      <w:bookmarkStart w:id="4352" w:name="_Hlk132135916"/>
      <w:r w:rsidR="00C9647D" w:rsidRPr="003B4362">
        <w:rPr>
          <w:spacing w:val="-2"/>
        </w:rPr>
        <w:t xml:space="preserve">or </w:t>
      </w:r>
      <w:r w:rsidRPr="003B4362">
        <w:rPr>
          <w:spacing w:val="-2"/>
        </w:rPr>
        <w:t>septic systems</w:t>
      </w:r>
      <w:bookmarkEnd w:id="4352"/>
      <w:r w:rsidRPr="003B4362">
        <w:rPr>
          <w:spacing w:val="-2"/>
        </w:rPr>
        <w:t>; and</w:t>
      </w:r>
    </w:p>
    <w:p w14:paraId="42D50DBD" w14:textId="77777777" w:rsidR="008D1FEE" w:rsidRDefault="008D1FEE" w:rsidP="008D1FEE">
      <w:pPr>
        <w:widowControl w:val="0"/>
        <w:suppressAutoHyphens/>
        <w:ind w:left="3600" w:hanging="720"/>
        <w:rPr>
          <w:spacing w:val="-2"/>
        </w:rPr>
      </w:pPr>
    </w:p>
    <w:p w14:paraId="0333ACF9" w14:textId="60DABEC2" w:rsidR="00F437D9" w:rsidRPr="003B4362" w:rsidRDefault="00F437D9" w:rsidP="008D1FEE">
      <w:pPr>
        <w:widowControl w:val="0"/>
        <w:suppressAutoHyphens/>
        <w:ind w:left="3600" w:hanging="720"/>
        <w:rPr>
          <w:spacing w:val="-2"/>
        </w:rPr>
      </w:pPr>
      <w:r w:rsidRPr="003B4362">
        <w:rPr>
          <w:spacing w:val="-2"/>
        </w:rPr>
        <w:t>v)</w:t>
      </w:r>
      <w:r w:rsidRPr="003B4362">
        <w:rPr>
          <w:spacing w:val="-2"/>
        </w:rPr>
        <w:tab/>
        <w:t xml:space="preserve">Radioactive contaminants, </w:t>
      </w:r>
      <w:bookmarkStart w:id="4353" w:name="_Hlk132136019"/>
      <w:r w:rsidRPr="003B4362">
        <w:rPr>
          <w:spacing w:val="-2"/>
        </w:rPr>
        <w:t>which can be naturally-occurring or the result</w:t>
      </w:r>
      <w:bookmarkEnd w:id="4353"/>
      <w:r w:rsidRPr="003B4362">
        <w:rPr>
          <w:spacing w:val="-2"/>
        </w:rPr>
        <w:t xml:space="preserve"> of oil and gas production and mining activities.</w:t>
      </w:r>
    </w:p>
    <w:p w14:paraId="0E06FF75" w14:textId="77777777" w:rsidR="008D1FEE" w:rsidRDefault="008D1FEE" w:rsidP="008D1FEE">
      <w:pPr>
        <w:widowControl w:val="0"/>
        <w:suppressAutoHyphens/>
        <w:ind w:left="2880" w:hanging="720"/>
        <w:rPr>
          <w:spacing w:val="-2"/>
        </w:rPr>
      </w:pPr>
    </w:p>
    <w:p w14:paraId="707F6C73" w14:textId="027CEFC5" w:rsidR="00F437D9" w:rsidRPr="003B4362" w:rsidRDefault="00F437D9" w:rsidP="008D1FEE">
      <w:pPr>
        <w:widowControl w:val="0"/>
        <w:suppressAutoHyphens/>
        <w:ind w:left="2880" w:hanging="720"/>
        <w:rPr>
          <w:spacing w:val="-2"/>
        </w:rPr>
      </w:pPr>
      <w:r w:rsidRPr="003B4362">
        <w:rPr>
          <w:spacing w:val="-2"/>
        </w:rPr>
        <w:t>C)</w:t>
      </w:r>
      <w:r w:rsidRPr="003B4362">
        <w:rPr>
          <w:spacing w:val="-2"/>
        </w:rPr>
        <w:tab/>
        <w:t xml:space="preserve">In order to ensure that tap water is safe to drink, USEPA prescribes regulations that limit the amount of certain contaminants in </w:t>
      </w:r>
      <w:bookmarkStart w:id="4354" w:name="_Hlk132136132"/>
      <w:r w:rsidRPr="003B4362">
        <w:rPr>
          <w:spacing w:val="-2"/>
        </w:rPr>
        <w:t>water</w:t>
      </w:r>
      <w:r w:rsidR="002521CA" w:rsidRPr="003B4362">
        <w:rPr>
          <w:spacing w:val="-2"/>
        </w:rPr>
        <w:t xml:space="preserve"> PWSs</w:t>
      </w:r>
      <w:r w:rsidR="00F82F96" w:rsidRPr="003B4362">
        <w:rPr>
          <w:spacing w:val="-2"/>
        </w:rPr>
        <w:t xml:space="preserve"> provide</w:t>
      </w:r>
      <w:bookmarkEnd w:id="4354"/>
      <w:r w:rsidRPr="003B4362">
        <w:rPr>
          <w:spacing w:val="-2"/>
        </w:rPr>
        <w:t>.  United States Food and Drug Administration (USFDA) regulations establish limits for contaminants in bottled water that must provide the same protection for public health.</w:t>
      </w:r>
    </w:p>
    <w:p w14:paraId="6240B9E1" w14:textId="77777777" w:rsidR="008D1FEE" w:rsidRDefault="008D1FEE" w:rsidP="008D1FEE">
      <w:pPr>
        <w:widowControl w:val="0"/>
        <w:suppressAutoHyphens/>
        <w:ind w:left="2880" w:hanging="720"/>
        <w:rPr>
          <w:spacing w:val="-2"/>
        </w:rPr>
      </w:pPr>
    </w:p>
    <w:p w14:paraId="6370671F" w14:textId="3D82E966" w:rsidR="00F437D9" w:rsidRPr="003B4362" w:rsidRDefault="00F437D9" w:rsidP="008D1FEE">
      <w:pPr>
        <w:widowControl w:val="0"/>
        <w:suppressAutoHyphens/>
        <w:ind w:left="2880" w:hanging="720"/>
        <w:rPr>
          <w:spacing w:val="-2"/>
        </w:rPr>
      </w:pPr>
      <w:r w:rsidRPr="003B4362">
        <w:rPr>
          <w:spacing w:val="-2"/>
        </w:rPr>
        <w:t>D)</w:t>
      </w:r>
      <w:r w:rsidRPr="003B4362">
        <w:rPr>
          <w:spacing w:val="-2"/>
        </w:rPr>
        <w:tab/>
      </w:r>
      <w:r w:rsidR="00F82F96" w:rsidRPr="003B4362">
        <w:rPr>
          <w:spacing w:val="-2"/>
        </w:rPr>
        <w:t>O</w:t>
      </w:r>
      <w:bookmarkStart w:id="4355" w:name="_Hlk132136491"/>
      <w:r w:rsidR="00F82F96" w:rsidRPr="003B4362">
        <w:rPr>
          <w:spacing w:val="-2"/>
        </w:rPr>
        <w:t xml:space="preserve">ne may reasonably expect drinking </w:t>
      </w:r>
      <w:r w:rsidRPr="003B4362">
        <w:rPr>
          <w:spacing w:val="-2"/>
        </w:rPr>
        <w:t>water, including bottled water, to contain</w:t>
      </w:r>
      <w:bookmarkEnd w:id="4355"/>
      <w:r w:rsidRPr="003B4362">
        <w:rPr>
          <w:spacing w:val="-2"/>
        </w:rPr>
        <w:t xml:space="preserve"> at least small amounts of some contaminants.  The presence of contaminants does not necessarily indicate that water poses a health risk.  More </w:t>
      </w:r>
      <w:bookmarkStart w:id="4356" w:name="_Hlk132136590"/>
      <w:r w:rsidRPr="003B4362">
        <w:rPr>
          <w:spacing w:val="-2"/>
        </w:rPr>
        <w:t xml:space="preserve">information about contaminants and potential health </w:t>
      </w:r>
      <w:r w:rsidR="00D40C30" w:rsidRPr="003B4362">
        <w:t xml:space="preserve">effects </w:t>
      </w:r>
      <w:r w:rsidR="00F82F96" w:rsidRPr="003B4362">
        <w:rPr>
          <w:spacing w:val="-2"/>
        </w:rPr>
        <w:t xml:space="preserve">is available from </w:t>
      </w:r>
      <w:r w:rsidRPr="003B4362">
        <w:rPr>
          <w:spacing w:val="-2"/>
        </w:rPr>
        <w:t>the USEPA Safe Drinking Water Hotline (800-426-4791)</w:t>
      </w:r>
      <w:bookmarkEnd w:id="4356"/>
      <w:r w:rsidR="00F82F96" w:rsidRPr="003B4362">
        <w:rPr>
          <w:spacing w:val="-2"/>
        </w:rPr>
        <w:t xml:space="preserve"> </w:t>
      </w:r>
      <w:bookmarkStart w:id="4357" w:name="_Hlk132136679"/>
      <w:r w:rsidR="00F82F96" w:rsidRPr="003B4362">
        <w:rPr>
          <w:spacing w:val="-2"/>
        </w:rPr>
        <w:t>or USEPA’s Safe Drinking Water Information webpage (www.epa.gov/ground-water-and-drinking-water/safe-drinking-water-information</w:t>
      </w:r>
      <w:r w:rsidR="00D40C30" w:rsidRPr="003B4362">
        <w:rPr>
          <w:spacing w:val="-2"/>
        </w:rPr>
        <w:t>)</w:t>
      </w:r>
      <w:bookmarkEnd w:id="4357"/>
      <w:r w:rsidRPr="003B4362">
        <w:rPr>
          <w:spacing w:val="-2"/>
        </w:rPr>
        <w:t>.</w:t>
      </w:r>
    </w:p>
    <w:p w14:paraId="5DB1371E" w14:textId="77777777" w:rsidR="008D1FEE" w:rsidRDefault="008D1FEE" w:rsidP="008D1FEE">
      <w:pPr>
        <w:widowControl w:val="0"/>
        <w:suppressAutoHyphens/>
        <w:ind w:left="2160" w:hanging="720"/>
        <w:rPr>
          <w:spacing w:val="-2"/>
        </w:rPr>
      </w:pPr>
    </w:p>
    <w:p w14:paraId="6A30FE08" w14:textId="6827E60C" w:rsidR="00F437D9" w:rsidRPr="003B4362" w:rsidRDefault="00F437D9" w:rsidP="008D1FEE">
      <w:pPr>
        <w:widowControl w:val="0"/>
        <w:suppressAutoHyphens/>
        <w:ind w:left="2160" w:hanging="720"/>
        <w:rPr>
          <w:spacing w:val="-2"/>
        </w:rPr>
      </w:pPr>
      <w:r w:rsidRPr="003B4362">
        <w:rPr>
          <w:spacing w:val="-2"/>
        </w:rPr>
        <w:t>2)</w:t>
      </w:r>
      <w:r w:rsidRPr="003B4362">
        <w:rPr>
          <w:spacing w:val="-2"/>
        </w:rPr>
        <w:tab/>
        <w:t xml:space="preserve">The report must </w:t>
      </w:r>
      <w:bookmarkStart w:id="4358" w:name="_Hlk132137267"/>
      <w:r w:rsidRPr="003B4362">
        <w:rPr>
          <w:spacing w:val="-2"/>
        </w:rPr>
        <w:t xml:space="preserve">include </w:t>
      </w:r>
      <w:r w:rsidR="00327037" w:rsidRPr="003B4362">
        <w:rPr>
          <w:spacing w:val="-2"/>
        </w:rPr>
        <w:t xml:space="preserve">a </w:t>
      </w:r>
      <w:r w:rsidRPr="003B4362">
        <w:rPr>
          <w:spacing w:val="-2"/>
        </w:rPr>
        <w:t xml:space="preserve">telephone number </w:t>
      </w:r>
      <w:r w:rsidR="00327037" w:rsidRPr="003B4362">
        <w:rPr>
          <w:spacing w:val="-2"/>
        </w:rPr>
        <w:t xml:space="preserve">for </w:t>
      </w:r>
      <w:r w:rsidRPr="003B4362">
        <w:rPr>
          <w:spacing w:val="-2"/>
        </w:rPr>
        <w:t xml:space="preserve">the </w:t>
      </w:r>
      <w:r w:rsidR="00327037" w:rsidRPr="003B4362">
        <w:rPr>
          <w:spacing w:val="-2"/>
        </w:rPr>
        <w:t xml:space="preserve">CWS’s </w:t>
      </w:r>
      <w:r w:rsidRPr="003B4362">
        <w:rPr>
          <w:spacing w:val="-2"/>
        </w:rPr>
        <w:t>owner, operator</w:t>
      </w:r>
      <w:r w:rsidRPr="003B4362">
        <w:t>, or</w:t>
      </w:r>
      <w:r w:rsidRPr="003B4362">
        <w:rPr>
          <w:spacing w:val="-2"/>
        </w:rPr>
        <w:t xml:space="preserve"> designee </w:t>
      </w:r>
      <w:bookmarkEnd w:id="4358"/>
      <w:r w:rsidRPr="003B4362">
        <w:rPr>
          <w:spacing w:val="-2"/>
        </w:rPr>
        <w:t xml:space="preserve">as a source of additional </w:t>
      </w:r>
      <w:bookmarkStart w:id="4359" w:name="_Hlk132137364"/>
      <w:r w:rsidRPr="003B4362">
        <w:rPr>
          <w:spacing w:val="-2"/>
        </w:rPr>
        <w:t xml:space="preserve">information </w:t>
      </w:r>
      <w:r w:rsidR="00327037" w:rsidRPr="003B4362">
        <w:rPr>
          <w:spacing w:val="-2"/>
        </w:rPr>
        <w:t xml:space="preserve">about </w:t>
      </w:r>
      <w:r w:rsidRPr="003B4362">
        <w:rPr>
          <w:spacing w:val="-2"/>
        </w:rPr>
        <w:t>the report</w:t>
      </w:r>
      <w:bookmarkEnd w:id="4359"/>
      <w:r w:rsidRPr="003B4362">
        <w:rPr>
          <w:spacing w:val="-2"/>
        </w:rPr>
        <w:t>.</w:t>
      </w:r>
    </w:p>
    <w:p w14:paraId="774751A6" w14:textId="77777777" w:rsidR="008D1FEE" w:rsidRDefault="008D1FEE" w:rsidP="008D1FEE">
      <w:pPr>
        <w:widowControl w:val="0"/>
        <w:suppressAutoHyphens/>
        <w:ind w:left="2160" w:hanging="720"/>
        <w:rPr>
          <w:spacing w:val="-2"/>
        </w:rPr>
      </w:pPr>
    </w:p>
    <w:p w14:paraId="748E56B7" w14:textId="729C7527" w:rsidR="00F437D9" w:rsidRPr="003B4362" w:rsidRDefault="00F437D9" w:rsidP="008D1FEE">
      <w:pPr>
        <w:widowControl w:val="0"/>
        <w:suppressAutoHyphens/>
        <w:ind w:left="2160" w:hanging="720"/>
        <w:rPr>
          <w:spacing w:val="-2"/>
        </w:rPr>
      </w:pPr>
      <w:r w:rsidRPr="003B4362">
        <w:rPr>
          <w:spacing w:val="-2"/>
        </w:rPr>
        <w:t>3)</w:t>
      </w:r>
      <w:r w:rsidRPr="003B4362">
        <w:rPr>
          <w:spacing w:val="-2"/>
        </w:rPr>
        <w:tab/>
        <w:t xml:space="preserve">In communities with a large proportion of non-English speaking residents, </w:t>
      </w:r>
      <w:bookmarkStart w:id="4360" w:name="_Hlk132137623"/>
      <w:r w:rsidRPr="003B4362">
        <w:rPr>
          <w:spacing w:val="-2"/>
        </w:rPr>
        <w:t>as the Agency</w:t>
      </w:r>
      <w:r w:rsidR="00327037" w:rsidRPr="003B4362">
        <w:rPr>
          <w:spacing w:val="-2"/>
        </w:rPr>
        <w:t xml:space="preserve"> determines</w:t>
      </w:r>
      <w:bookmarkEnd w:id="4360"/>
      <w:r w:rsidRPr="003B4362">
        <w:rPr>
          <w:spacing w:val="-2"/>
        </w:rPr>
        <w:t xml:space="preserve">, the report must contain information in the appropriate languages regarding the importance of the report or contain a telephone number or address </w:t>
      </w:r>
      <w:bookmarkStart w:id="4361" w:name="_Hlk132137672"/>
      <w:r w:rsidRPr="003B4362">
        <w:rPr>
          <w:spacing w:val="-2"/>
        </w:rPr>
        <w:t xml:space="preserve">where residents may contact the </w:t>
      </w:r>
      <w:r w:rsidR="00327037" w:rsidRPr="003B4362">
        <w:rPr>
          <w:spacing w:val="-2"/>
        </w:rPr>
        <w:t xml:space="preserve">supplier for </w:t>
      </w:r>
      <w:r w:rsidRPr="003B4362">
        <w:rPr>
          <w:spacing w:val="-2"/>
        </w:rPr>
        <w:t>a translated copy</w:t>
      </w:r>
      <w:bookmarkEnd w:id="4361"/>
      <w:r w:rsidRPr="003B4362">
        <w:rPr>
          <w:spacing w:val="-2"/>
        </w:rPr>
        <w:t xml:space="preserve"> of the report or assistance in the appropriate language.</w:t>
      </w:r>
    </w:p>
    <w:p w14:paraId="546140CD" w14:textId="77777777" w:rsidR="008D1FEE" w:rsidRDefault="008D1FEE" w:rsidP="008D1FEE">
      <w:pPr>
        <w:widowControl w:val="0"/>
        <w:suppressAutoHyphens/>
        <w:ind w:left="2160" w:hanging="720"/>
        <w:rPr>
          <w:spacing w:val="-2"/>
        </w:rPr>
      </w:pPr>
    </w:p>
    <w:p w14:paraId="13A19435" w14:textId="06145082" w:rsidR="00F437D9" w:rsidRPr="003B4362" w:rsidRDefault="00F437D9" w:rsidP="008D1FEE">
      <w:pPr>
        <w:widowControl w:val="0"/>
        <w:suppressAutoHyphens/>
        <w:ind w:left="2160" w:hanging="720"/>
        <w:rPr>
          <w:spacing w:val="-2"/>
        </w:rPr>
      </w:pPr>
      <w:r w:rsidRPr="003B4362">
        <w:rPr>
          <w:spacing w:val="-2"/>
        </w:rPr>
        <w:t>4)</w:t>
      </w:r>
      <w:r w:rsidRPr="003B4362">
        <w:rPr>
          <w:spacing w:val="-2"/>
        </w:rPr>
        <w:tab/>
        <w:t>T</w:t>
      </w:r>
      <w:bookmarkStart w:id="4362" w:name="_Hlk132138032"/>
      <w:r w:rsidRPr="003B4362">
        <w:rPr>
          <w:spacing w:val="-2"/>
        </w:rPr>
        <w:t xml:space="preserve">he report must </w:t>
      </w:r>
      <w:r w:rsidR="00453551" w:rsidRPr="003B4362">
        <w:rPr>
          <w:spacing w:val="-2"/>
        </w:rPr>
        <w:t xml:space="preserve">inform </w:t>
      </w:r>
      <w:r w:rsidRPr="003B4362">
        <w:rPr>
          <w:spacing w:val="-2"/>
        </w:rPr>
        <w:t>about opportunities</w:t>
      </w:r>
      <w:bookmarkEnd w:id="4362"/>
      <w:r w:rsidRPr="003B4362">
        <w:rPr>
          <w:spacing w:val="-2"/>
        </w:rPr>
        <w:t xml:space="preserve"> for public participation in </w:t>
      </w:r>
      <w:bookmarkStart w:id="4363" w:name="_Hlk132138069"/>
      <w:r w:rsidRPr="003B4362">
        <w:rPr>
          <w:spacing w:val="-2"/>
        </w:rPr>
        <w:t xml:space="preserve">decisions </w:t>
      </w:r>
      <w:r w:rsidR="00453551" w:rsidRPr="003B4362">
        <w:rPr>
          <w:spacing w:val="-2"/>
        </w:rPr>
        <w:t xml:space="preserve">potentially affecting water </w:t>
      </w:r>
      <w:r w:rsidRPr="003B4362">
        <w:rPr>
          <w:spacing w:val="-2"/>
        </w:rPr>
        <w:t>quality</w:t>
      </w:r>
      <w:bookmarkEnd w:id="4363"/>
      <w:r w:rsidRPr="003B4362">
        <w:rPr>
          <w:spacing w:val="-2"/>
        </w:rPr>
        <w:t>.</w:t>
      </w:r>
    </w:p>
    <w:p w14:paraId="3D794124" w14:textId="77777777" w:rsidR="008D1FEE" w:rsidRDefault="008D1FEE" w:rsidP="008D1FEE">
      <w:pPr>
        <w:widowControl w:val="0"/>
        <w:suppressAutoHyphens/>
        <w:ind w:left="2160" w:hanging="720"/>
        <w:rPr>
          <w:spacing w:val="-2"/>
        </w:rPr>
      </w:pPr>
    </w:p>
    <w:p w14:paraId="38BF741F" w14:textId="31FFCD71" w:rsidR="00F437D9" w:rsidRPr="003B4362" w:rsidRDefault="00F437D9" w:rsidP="008D1FEE">
      <w:pPr>
        <w:widowControl w:val="0"/>
        <w:suppressAutoHyphens/>
        <w:ind w:left="2160" w:hanging="720"/>
        <w:rPr>
          <w:spacing w:val="-2"/>
        </w:rPr>
      </w:pPr>
      <w:r w:rsidRPr="003B4362">
        <w:rPr>
          <w:spacing w:val="-2"/>
        </w:rPr>
        <w:t>5)</w:t>
      </w:r>
      <w:r w:rsidRPr="003B4362">
        <w:rPr>
          <w:spacing w:val="-2"/>
        </w:rPr>
        <w:tab/>
        <w:t xml:space="preserve">The CWS may </w:t>
      </w:r>
      <w:bookmarkStart w:id="4364" w:name="_Hlk132138123"/>
      <w:r w:rsidRPr="003B4362">
        <w:rPr>
          <w:spacing w:val="-2"/>
        </w:rPr>
        <w:t xml:space="preserve">include </w:t>
      </w:r>
      <w:r w:rsidR="00453551" w:rsidRPr="003B4362">
        <w:rPr>
          <w:spacing w:val="-2"/>
        </w:rPr>
        <w:t xml:space="preserve">any </w:t>
      </w:r>
      <w:r w:rsidRPr="003B4362">
        <w:rPr>
          <w:spacing w:val="-2"/>
        </w:rPr>
        <w:t>additional information it deems necessary</w:t>
      </w:r>
      <w:bookmarkEnd w:id="4364"/>
      <w:r w:rsidRPr="003B4362">
        <w:rPr>
          <w:spacing w:val="-2"/>
        </w:rPr>
        <w:t xml:space="preserve"> for public </w:t>
      </w:r>
      <w:bookmarkStart w:id="4365" w:name="_Hlk132138168"/>
      <w:r w:rsidRPr="003B4362">
        <w:rPr>
          <w:spacing w:val="-2"/>
        </w:rPr>
        <w:t xml:space="preserve">education </w:t>
      </w:r>
      <w:r w:rsidR="00453551" w:rsidRPr="003B4362">
        <w:rPr>
          <w:spacing w:val="-2"/>
        </w:rPr>
        <w:t xml:space="preserve">that is </w:t>
      </w:r>
      <w:r w:rsidRPr="003B4362">
        <w:rPr>
          <w:spacing w:val="-2"/>
        </w:rPr>
        <w:t xml:space="preserve">consistent with and </w:t>
      </w:r>
      <w:r w:rsidR="00453551" w:rsidRPr="003B4362">
        <w:rPr>
          <w:spacing w:val="-2"/>
        </w:rPr>
        <w:t xml:space="preserve">does </w:t>
      </w:r>
      <w:r w:rsidRPr="003B4362">
        <w:rPr>
          <w:spacing w:val="-2"/>
        </w:rPr>
        <w:t xml:space="preserve">not </w:t>
      </w:r>
      <w:r w:rsidR="00453551" w:rsidRPr="003B4362">
        <w:rPr>
          <w:spacing w:val="-2"/>
        </w:rPr>
        <w:t xml:space="preserve">detract </w:t>
      </w:r>
      <w:r w:rsidRPr="003B4362">
        <w:rPr>
          <w:spacing w:val="-2"/>
        </w:rPr>
        <w:t xml:space="preserve">from the </w:t>
      </w:r>
      <w:r w:rsidRPr="003B4362">
        <w:rPr>
          <w:spacing w:val="-2"/>
        </w:rPr>
        <w:lastRenderedPageBreak/>
        <w:t>purpose</w:t>
      </w:r>
      <w:bookmarkEnd w:id="4365"/>
      <w:r w:rsidRPr="003B4362">
        <w:rPr>
          <w:spacing w:val="-2"/>
        </w:rPr>
        <w:t xml:space="preserve"> of the report.</w:t>
      </w:r>
    </w:p>
    <w:p w14:paraId="6E0A79FB" w14:textId="77777777" w:rsidR="008D1FEE" w:rsidRDefault="008D1FEE" w:rsidP="008D1FEE">
      <w:pPr>
        <w:widowControl w:val="0"/>
        <w:ind w:left="2160" w:hanging="720"/>
      </w:pPr>
    </w:p>
    <w:p w14:paraId="23D68BF3" w14:textId="6FC4DACA" w:rsidR="00F437D9" w:rsidRPr="003B4362" w:rsidRDefault="00F437D9" w:rsidP="008D1FEE">
      <w:pPr>
        <w:widowControl w:val="0"/>
        <w:ind w:left="2160" w:hanging="720"/>
      </w:pPr>
      <w:r w:rsidRPr="003B4362">
        <w:t>6)</w:t>
      </w:r>
      <w:r w:rsidRPr="003B4362">
        <w:tab/>
        <w:t xml:space="preserve">Suppliers </w:t>
      </w:r>
      <w:bookmarkStart w:id="4366" w:name="_Hlk132138298"/>
      <w:r w:rsidR="00453551" w:rsidRPr="003B4362">
        <w:t xml:space="preserve">That Must </w:t>
      </w:r>
      <w:r w:rsidRPr="003B4362">
        <w:t>Comply</w:t>
      </w:r>
      <w:bookmarkEnd w:id="4366"/>
      <w:r w:rsidRPr="003B4362">
        <w:t xml:space="preserve"> with Subpart S</w:t>
      </w:r>
    </w:p>
    <w:p w14:paraId="66104C18" w14:textId="77777777" w:rsidR="008D1FEE" w:rsidRDefault="008D1FEE" w:rsidP="008D1FEE">
      <w:pPr>
        <w:widowControl w:val="0"/>
        <w:ind w:left="2880" w:hanging="720"/>
      </w:pPr>
    </w:p>
    <w:p w14:paraId="78C3B613" w14:textId="22F6831A" w:rsidR="00F437D9" w:rsidRPr="003B4362" w:rsidRDefault="00F437D9" w:rsidP="008D1FEE">
      <w:pPr>
        <w:widowControl w:val="0"/>
        <w:ind w:left="2880" w:hanging="720"/>
      </w:pPr>
      <w:r w:rsidRPr="003B4362">
        <w:t>A)</w:t>
      </w:r>
      <w:r w:rsidRPr="003B4362">
        <w:tab/>
        <w:t xml:space="preserve">Any GWS supplier </w:t>
      </w:r>
      <w:r w:rsidR="00221320" w:rsidRPr="003B4362">
        <w:t xml:space="preserve">receiving </w:t>
      </w:r>
      <w:r w:rsidRPr="003B4362">
        <w:t xml:space="preserve">written notice from the Agency of a significant deficiency </w:t>
      </w:r>
      <w:bookmarkStart w:id="4367" w:name="_Hlk132143215"/>
      <w:r w:rsidR="00C8404B" w:rsidRPr="003B4362">
        <w:t xml:space="preserve">must inform its customers of any significant </w:t>
      </w:r>
      <w:bookmarkStart w:id="4368" w:name="_Hlk132142927"/>
      <w:r w:rsidR="00C8404B" w:rsidRPr="003B4362">
        <w:t>deficiency still uncorrected</w:t>
      </w:r>
      <w:bookmarkEnd w:id="4368"/>
      <w:r w:rsidR="00C8404B" w:rsidRPr="003B4362">
        <w:t xml:space="preserve"> at the time of the next report</w:t>
      </w:r>
      <w:bookmarkEnd w:id="4367"/>
      <w:r w:rsidR="00C8404B" w:rsidRPr="003B4362">
        <w:t xml:space="preserve">.  Any GWS supplier </w:t>
      </w:r>
      <w:r w:rsidR="00221320" w:rsidRPr="003B4362">
        <w:t xml:space="preserve">receiving </w:t>
      </w:r>
      <w:r w:rsidRPr="003B4362">
        <w:t xml:space="preserve">notice from a laboratory of a fecal indicator-positive groundwater source sample that </w:t>
      </w:r>
      <w:r w:rsidR="00221320" w:rsidRPr="003B4362">
        <w:t xml:space="preserve">the Agency does </w:t>
      </w:r>
      <w:r w:rsidRPr="003B4362">
        <w:t xml:space="preserve">not </w:t>
      </w:r>
      <w:r w:rsidR="00221320" w:rsidRPr="003B4362">
        <w:t xml:space="preserve">invalidate </w:t>
      </w:r>
      <w:r w:rsidRPr="003B4362">
        <w:t xml:space="preserve">under Section 611.802(d) </w:t>
      </w:r>
      <w:bookmarkStart w:id="4369" w:name="_Hlk132143276"/>
      <w:bookmarkStart w:id="4370" w:name="_Hlk132143616"/>
      <w:r w:rsidRPr="003B4362">
        <w:t xml:space="preserve">must inform its customers of </w:t>
      </w:r>
      <w:bookmarkEnd w:id="4369"/>
      <w:r w:rsidR="00C8404B" w:rsidRPr="003B4362">
        <w:t xml:space="preserve">the </w:t>
      </w:r>
      <w:bookmarkEnd w:id="4370"/>
      <w:r w:rsidRPr="003B4362">
        <w:t xml:space="preserve">fecal indicator-positive groundwater source sample in the next report.  The supplier must </w:t>
      </w:r>
      <w:bookmarkStart w:id="4371" w:name="_Hlk132144261"/>
      <w:r w:rsidRPr="003B4362">
        <w:t xml:space="preserve">continue to </w:t>
      </w:r>
      <w:r w:rsidR="00C8404B" w:rsidRPr="003B4362">
        <w:t xml:space="preserve">annually </w:t>
      </w:r>
      <w:r w:rsidRPr="003B4362">
        <w:t xml:space="preserve">inform the public </w:t>
      </w:r>
      <w:bookmarkEnd w:id="4371"/>
      <w:r w:rsidRPr="003B4362">
        <w:t xml:space="preserve">until </w:t>
      </w:r>
      <w:bookmarkStart w:id="4372" w:name="_Hlk132144369"/>
      <w:r w:rsidRPr="003B4362">
        <w:t>the Agency</w:t>
      </w:r>
      <w:r w:rsidR="006C07DD" w:rsidRPr="003B4362">
        <w:t xml:space="preserve"> issues a SEP determining</w:t>
      </w:r>
      <w:r w:rsidR="00C8404B" w:rsidRPr="003B4362">
        <w:t xml:space="preserve"> </w:t>
      </w:r>
      <w:bookmarkStart w:id="4373" w:name="_Hlk132144447"/>
      <w:r w:rsidR="00C8404B" w:rsidRPr="003B4362">
        <w:t xml:space="preserve">the </w:t>
      </w:r>
      <w:r w:rsidR="0081797A" w:rsidRPr="003B4362">
        <w:t xml:space="preserve">supplier </w:t>
      </w:r>
      <w:r w:rsidR="00C8404B" w:rsidRPr="003B4362">
        <w:t>corrected the</w:t>
      </w:r>
      <w:bookmarkEnd w:id="4372"/>
      <w:r w:rsidRPr="003B4362">
        <w:t xml:space="preserve"> particular significant deficiency or </w:t>
      </w:r>
      <w:r w:rsidR="00C8404B" w:rsidRPr="003B4362">
        <w:t xml:space="preserve">addressed </w:t>
      </w:r>
      <w:r w:rsidRPr="003B4362">
        <w:t xml:space="preserve">the fecal contamination in the groundwater source </w:t>
      </w:r>
      <w:bookmarkEnd w:id="4373"/>
      <w:r w:rsidRPr="003B4362">
        <w:t xml:space="preserve">under Section 611.803(a).  Each report must </w:t>
      </w:r>
      <w:bookmarkStart w:id="4374" w:name="_Hlk132144552"/>
      <w:r w:rsidRPr="003B4362">
        <w:t xml:space="preserve">include </w:t>
      </w:r>
      <w:r w:rsidR="00C8404B" w:rsidRPr="003B4362">
        <w:t xml:space="preserve">specific </w:t>
      </w:r>
      <w:r w:rsidRPr="003B4362">
        <w:t>information</w:t>
      </w:r>
      <w:bookmarkEnd w:id="4374"/>
      <w:r w:rsidRPr="003B4362">
        <w:t>:</w:t>
      </w:r>
    </w:p>
    <w:p w14:paraId="406AF00F" w14:textId="77777777" w:rsidR="008D1FEE" w:rsidRDefault="008D1FEE" w:rsidP="008D1FEE">
      <w:pPr>
        <w:widowControl w:val="0"/>
        <w:ind w:left="3600" w:hanging="720"/>
      </w:pPr>
    </w:p>
    <w:p w14:paraId="072CFE14" w14:textId="1A4411C8" w:rsidR="00F437D9" w:rsidRPr="003B4362" w:rsidRDefault="00F437D9" w:rsidP="008D1FEE">
      <w:pPr>
        <w:widowControl w:val="0"/>
        <w:ind w:left="3600" w:hanging="720"/>
      </w:pPr>
      <w:r w:rsidRPr="003B4362">
        <w:t>i)</w:t>
      </w:r>
      <w:r w:rsidRPr="003B4362">
        <w:tab/>
        <w:t xml:space="preserve">The nature of the particular significant deficiency or the source of the fecal contamination </w:t>
      </w:r>
      <w:bookmarkStart w:id="4375" w:name="_Hlk132145330"/>
      <w:r w:rsidRPr="003B4362">
        <w:t xml:space="preserve">(if </w:t>
      </w:r>
      <w:r w:rsidR="00A238B5" w:rsidRPr="003B4362">
        <w:t xml:space="preserve">the supplier knows </w:t>
      </w:r>
      <w:r w:rsidRPr="003B4362">
        <w:t>the source)</w:t>
      </w:r>
      <w:bookmarkEnd w:id="4375"/>
      <w:r w:rsidRPr="003B4362">
        <w:t xml:space="preserve"> and </w:t>
      </w:r>
      <w:bookmarkStart w:id="4376" w:name="_Hlk132145405"/>
      <w:r w:rsidRPr="003B4362">
        <w:t xml:space="preserve">the date </w:t>
      </w:r>
      <w:r w:rsidR="009D6C62" w:rsidRPr="003B4362">
        <w:t xml:space="preserve">the Agency identified </w:t>
      </w:r>
      <w:r w:rsidRPr="003B4362">
        <w:t xml:space="preserve">the significant deficiency </w:t>
      </w:r>
      <w:bookmarkEnd w:id="4376"/>
      <w:r w:rsidRPr="003B4362">
        <w:t>or the dates of the fecal indicator-positive groundwater source samples;</w:t>
      </w:r>
    </w:p>
    <w:p w14:paraId="468FB51D" w14:textId="77777777" w:rsidR="008D1FEE" w:rsidRDefault="008D1FEE" w:rsidP="008D1FEE">
      <w:pPr>
        <w:widowControl w:val="0"/>
        <w:ind w:left="3600" w:hanging="720"/>
      </w:pPr>
    </w:p>
    <w:p w14:paraId="641BEC74" w14:textId="61885773" w:rsidR="00F437D9" w:rsidRPr="003B4362" w:rsidRDefault="00F437D9" w:rsidP="008D1FEE">
      <w:pPr>
        <w:widowControl w:val="0"/>
        <w:ind w:left="3600" w:hanging="720"/>
      </w:pPr>
      <w:r w:rsidRPr="003B4362">
        <w:t>ii)</w:t>
      </w:r>
      <w:r w:rsidRPr="003B4362">
        <w:tab/>
        <w:t xml:space="preserve">Whether or not </w:t>
      </w:r>
      <w:bookmarkStart w:id="4377" w:name="_Hlk132145594"/>
      <w:r w:rsidR="009D6C62" w:rsidRPr="003B4362">
        <w:t xml:space="preserve">the supplier has addressed </w:t>
      </w:r>
      <w:r w:rsidRPr="003B4362">
        <w:t xml:space="preserve">the fecal contamination in the groundwater source </w:t>
      </w:r>
      <w:bookmarkEnd w:id="4377"/>
      <w:r w:rsidRPr="003B4362">
        <w:t xml:space="preserve">under Section 611.803(a) and </w:t>
      </w:r>
      <w:bookmarkStart w:id="4378" w:name="_Hlk132145626"/>
      <w:r w:rsidRPr="003B4362">
        <w:t>the date</w:t>
      </w:r>
      <w:r w:rsidR="009D6C62" w:rsidRPr="003B4362">
        <w:t xml:space="preserve"> the supplier did so</w:t>
      </w:r>
      <w:bookmarkEnd w:id="4378"/>
      <w:r w:rsidRPr="003B4362">
        <w:t>;</w:t>
      </w:r>
    </w:p>
    <w:p w14:paraId="066DB05F" w14:textId="77777777" w:rsidR="008D1FEE" w:rsidRDefault="008D1FEE" w:rsidP="008D1FEE">
      <w:pPr>
        <w:widowControl w:val="0"/>
        <w:ind w:left="3600" w:hanging="720"/>
      </w:pPr>
    </w:p>
    <w:p w14:paraId="1E4AF7E8" w14:textId="1223E750" w:rsidR="00F437D9" w:rsidRPr="003B4362" w:rsidRDefault="00F437D9" w:rsidP="008D1FEE">
      <w:pPr>
        <w:widowControl w:val="0"/>
        <w:ind w:left="3600" w:hanging="720"/>
      </w:pPr>
      <w:r w:rsidRPr="003B4362">
        <w:t>iii)</w:t>
      </w:r>
      <w:r w:rsidRPr="003B4362">
        <w:tab/>
        <w:t xml:space="preserve">For each significant deficiency or fecal contamination in the groundwater source </w:t>
      </w:r>
      <w:bookmarkStart w:id="4379" w:name="_Hlk132145729"/>
      <w:r w:rsidRPr="003B4362">
        <w:t xml:space="preserve">that </w:t>
      </w:r>
      <w:r w:rsidR="009D6C62" w:rsidRPr="003B4362">
        <w:t xml:space="preserve">the supplier </w:t>
      </w:r>
      <w:r w:rsidR="00A854C7" w:rsidRPr="003B4362">
        <w:t>has</w:t>
      </w:r>
      <w:r w:rsidRPr="003B4362">
        <w:t xml:space="preserve"> not addressed</w:t>
      </w:r>
      <w:bookmarkEnd w:id="4379"/>
      <w:r w:rsidRPr="003B4362">
        <w:t xml:space="preserve"> under Section 611.803(a), the Agency-approved plan and schedule for correction, including interim measures, progress to date, and </w:t>
      </w:r>
      <w:bookmarkStart w:id="4380" w:name="_Hlk132145824"/>
      <w:r w:rsidRPr="003B4362">
        <w:t xml:space="preserve">any interim measures </w:t>
      </w:r>
      <w:r w:rsidR="009D6C62" w:rsidRPr="003B4362">
        <w:t xml:space="preserve">the supplier </w:t>
      </w:r>
      <w:r w:rsidRPr="003B4362">
        <w:t>completed</w:t>
      </w:r>
      <w:bookmarkEnd w:id="4380"/>
      <w:r w:rsidRPr="003B4362">
        <w:t>; and</w:t>
      </w:r>
    </w:p>
    <w:p w14:paraId="4C258BD4" w14:textId="77777777" w:rsidR="008D1FEE" w:rsidRDefault="008D1FEE" w:rsidP="008D1FEE">
      <w:pPr>
        <w:widowControl w:val="0"/>
        <w:ind w:left="3600" w:hanging="720"/>
      </w:pPr>
    </w:p>
    <w:p w14:paraId="3D1549FC" w14:textId="3913EADA" w:rsidR="00F437D9" w:rsidRPr="003B4362" w:rsidRDefault="00F437D9" w:rsidP="008D1FEE">
      <w:pPr>
        <w:widowControl w:val="0"/>
        <w:ind w:left="3600" w:hanging="720"/>
      </w:pPr>
      <w:r w:rsidRPr="003B4362">
        <w:t>iv)</w:t>
      </w:r>
      <w:r w:rsidRPr="003B4362">
        <w:tab/>
        <w:t xml:space="preserve">If </w:t>
      </w:r>
      <w:bookmarkStart w:id="4381" w:name="_Hlk132146061"/>
      <w:r w:rsidRPr="003B4362">
        <w:t xml:space="preserve">the </w:t>
      </w:r>
      <w:r w:rsidR="00236857" w:rsidRPr="003B4362">
        <w:t xml:space="preserve">supplier </w:t>
      </w:r>
      <w:r w:rsidRPr="003B4362">
        <w:t>receives notice</w:t>
      </w:r>
      <w:bookmarkEnd w:id="4381"/>
      <w:r w:rsidRPr="003B4362">
        <w:t xml:space="preserve"> of a fecal indicator-positive groundwater source sample </w:t>
      </w:r>
      <w:bookmarkStart w:id="4382" w:name="_Hlk132146107"/>
      <w:r w:rsidRPr="003B4362">
        <w:t xml:space="preserve">that </w:t>
      </w:r>
      <w:r w:rsidR="00236857" w:rsidRPr="003B4362">
        <w:t xml:space="preserve">the Agency does </w:t>
      </w:r>
      <w:r w:rsidRPr="003B4362">
        <w:t xml:space="preserve">not </w:t>
      </w:r>
      <w:r w:rsidR="00236857" w:rsidRPr="003B4362">
        <w:t xml:space="preserve">invalidate </w:t>
      </w:r>
      <w:bookmarkEnd w:id="4382"/>
      <w:r w:rsidRPr="003B4362">
        <w:t xml:space="preserve">under Section 611.802(d), the potential health effects using </w:t>
      </w:r>
      <w:bookmarkStart w:id="4383" w:name="_Hlk132146156"/>
      <w:r w:rsidRPr="003B4362">
        <w:t xml:space="preserve">the </w:t>
      </w:r>
      <w:r w:rsidR="00236857" w:rsidRPr="003B4362">
        <w:t xml:space="preserve">pertinent </w:t>
      </w:r>
      <w:r w:rsidRPr="003B4362">
        <w:t xml:space="preserve">health effects language </w:t>
      </w:r>
      <w:r w:rsidR="00236857" w:rsidRPr="003B4362">
        <w:t xml:space="preserve">from </w:t>
      </w:r>
      <w:r w:rsidRPr="003B4362">
        <w:t>Appendix A</w:t>
      </w:r>
      <w:bookmarkEnd w:id="4383"/>
      <w:r w:rsidRPr="003B4362">
        <w:t>.</w:t>
      </w:r>
    </w:p>
    <w:p w14:paraId="524EB0F1" w14:textId="77777777" w:rsidR="008D1FEE" w:rsidRDefault="008D1FEE" w:rsidP="008D1FEE">
      <w:pPr>
        <w:widowControl w:val="0"/>
        <w:ind w:left="2880" w:hanging="720"/>
      </w:pPr>
    </w:p>
    <w:p w14:paraId="74C4260E" w14:textId="57722DAA" w:rsidR="00F437D9" w:rsidRPr="003B4362" w:rsidRDefault="00F437D9" w:rsidP="008D1FEE">
      <w:pPr>
        <w:widowControl w:val="0"/>
        <w:ind w:left="2880" w:hanging="720"/>
      </w:pPr>
      <w:r w:rsidRPr="003B4362">
        <w:t>B)</w:t>
      </w:r>
      <w:r w:rsidRPr="003B4362">
        <w:tab/>
        <w:t>I</w:t>
      </w:r>
      <w:bookmarkStart w:id="4384" w:name="_Hlk132148938"/>
      <w:r w:rsidRPr="003B4362">
        <w:t xml:space="preserve">f the Agency </w:t>
      </w:r>
      <w:r w:rsidR="006C07DD" w:rsidRPr="003B4362">
        <w:t xml:space="preserve">issues </w:t>
      </w:r>
      <w:r w:rsidRPr="003B4362">
        <w:t>a SEP</w:t>
      </w:r>
      <w:r w:rsidR="006C07DD" w:rsidRPr="003B4362">
        <w:t xml:space="preserve"> directing</w:t>
      </w:r>
      <w:r w:rsidR="0012433E" w:rsidRPr="003B4362">
        <w:t xml:space="preserve"> a supplier to do so</w:t>
      </w:r>
      <w:bookmarkEnd w:id="4384"/>
      <w:r w:rsidRPr="003B4362">
        <w:t xml:space="preserve">, a supplier with </w:t>
      </w:r>
      <w:bookmarkStart w:id="4385" w:name="_Hlk132149011"/>
      <w:r w:rsidRPr="003B4362">
        <w:t xml:space="preserve">significant deficiencies that </w:t>
      </w:r>
      <w:r w:rsidR="006C07DD" w:rsidRPr="003B4362">
        <w:t xml:space="preserve">the supplier </w:t>
      </w:r>
      <w:r w:rsidRPr="003B4362">
        <w:t xml:space="preserve">corrected before </w:t>
      </w:r>
      <w:r w:rsidR="006C07DD" w:rsidRPr="003B4362">
        <w:t xml:space="preserve">issuing </w:t>
      </w:r>
      <w:r w:rsidRPr="003B4362">
        <w:t>the next report</w:t>
      </w:r>
      <w:bookmarkEnd w:id="4385"/>
      <w:r w:rsidRPr="003B4362">
        <w:t xml:space="preserve"> must inform its customers</w:t>
      </w:r>
      <w:r w:rsidR="0012433E" w:rsidRPr="003B4362">
        <w:t xml:space="preserve"> </w:t>
      </w:r>
      <w:bookmarkStart w:id="4386" w:name="_Hlk132149249"/>
      <w:r w:rsidR="0012433E" w:rsidRPr="003B4362">
        <w:t>under subsection (h)(7)(A)(iv)</w:t>
      </w:r>
      <w:bookmarkEnd w:id="4386"/>
      <w:r w:rsidRPr="003B4362">
        <w:t xml:space="preserve"> of the significant deficiency, </w:t>
      </w:r>
      <w:bookmarkStart w:id="4387" w:name="_Hlk132149272"/>
      <w:r w:rsidRPr="003B4362">
        <w:t xml:space="preserve">how </w:t>
      </w:r>
      <w:r w:rsidR="006C07DD" w:rsidRPr="003B4362">
        <w:t xml:space="preserve">the supplier corrected </w:t>
      </w:r>
      <w:r w:rsidRPr="003B4362">
        <w:t>the deficiency</w:t>
      </w:r>
      <w:bookmarkEnd w:id="4387"/>
      <w:r w:rsidRPr="003B4362">
        <w:t xml:space="preserve">, and </w:t>
      </w:r>
      <w:bookmarkStart w:id="4388" w:name="_Hlk132149333"/>
      <w:r w:rsidRPr="003B4362">
        <w:t xml:space="preserve">the date </w:t>
      </w:r>
      <w:r w:rsidR="006C07DD" w:rsidRPr="003B4362">
        <w:t xml:space="preserve">the supplier corrected the </w:t>
      </w:r>
      <w:r w:rsidR="006C07DD" w:rsidRPr="003B4362">
        <w:lastRenderedPageBreak/>
        <w:t>deficiency</w:t>
      </w:r>
      <w:bookmarkEnd w:id="4388"/>
      <w:r w:rsidRPr="003B4362">
        <w:t>.</w:t>
      </w:r>
    </w:p>
    <w:p w14:paraId="4A2203A9" w14:textId="77777777" w:rsidR="008D1FEE" w:rsidRDefault="008D1FEE" w:rsidP="008D1FEE">
      <w:pPr>
        <w:ind w:left="2160" w:hanging="720"/>
      </w:pPr>
    </w:p>
    <w:p w14:paraId="23F4DB4D" w14:textId="2FE6F3C1" w:rsidR="00F437D9" w:rsidRPr="003B4362" w:rsidRDefault="00F437D9" w:rsidP="008D1FEE">
      <w:pPr>
        <w:ind w:left="2160" w:hanging="720"/>
      </w:pPr>
      <w:r w:rsidRPr="003B4362">
        <w:t>7)</w:t>
      </w:r>
      <w:r w:rsidRPr="003B4362">
        <w:tab/>
        <w:t xml:space="preserve">Suppliers </w:t>
      </w:r>
      <w:r w:rsidR="00DB438D" w:rsidRPr="003B4362">
        <w:t xml:space="preserve">That Must </w:t>
      </w:r>
      <w:r w:rsidRPr="003B4362">
        <w:t>Comply with Subpart AA</w:t>
      </w:r>
    </w:p>
    <w:p w14:paraId="32119203" w14:textId="77777777" w:rsidR="008D1FEE" w:rsidRDefault="008D1FEE" w:rsidP="008D1FEE">
      <w:pPr>
        <w:widowControl w:val="0"/>
        <w:ind w:left="2880" w:hanging="720"/>
        <w:rPr>
          <w:szCs w:val="24"/>
        </w:rPr>
      </w:pPr>
    </w:p>
    <w:p w14:paraId="038DE853" w14:textId="15F34E5A" w:rsidR="00F437D9" w:rsidRPr="003B4362" w:rsidRDefault="00F437D9" w:rsidP="008D1FEE">
      <w:pPr>
        <w:widowControl w:val="0"/>
        <w:ind w:left="2880" w:hanging="720"/>
        <w:rPr>
          <w:szCs w:val="24"/>
        </w:rPr>
      </w:pPr>
      <w:r w:rsidRPr="003B4362">
        <w:rPr>
          <w:szCs w:val="24"/>
        </w:rPr>
        <w:t>A)</w:t>
      </w:r>
      <w:r w:rsidRPr="003B4362">
        <w:rPr>
          <w:szCs w:val="24"/>
        </w:rPr>
        <w:tab/>
        <w:t>A</w:t>
      </w:r>
      <w:bookmarkStart w:id="4389" w:name="_Hlk132194736"/>
      <w:r w:rsidRPr="003B4362">
        <w:rPr>
          <w:szCs w:val="24"/>
        </w:rPr>
        <w:t xml:space="preserve">ny supplier </w:t>
      </w:r>
      <w:r w:rsidR="00DB2A74" w:rsidRPr="003B4362">
        <w:rPr>
          <w:szCs w:val="24"/>
        </w:rPr>
        <w:t xml:space="preserve">that must </w:t>
      </w:r>
      <w:r w:rsidRPr="003B4362">
        <w:rPr>
          <w:szCs w:val="24"/>
        </w:rPr>
        <w:t>comply</w:t>
      </w:r>
      <w:bookmarkEnd w:id="4389"/>
      <w:r w:rsidRPr="003B4362">
        <w:rPr>
          <w:szCs w:val="24"/>
        </w:rPr>
        <w:t xml:space="preserve"> with the Level 1 assessment requirement or a Level 2 assessment requirement that is not due to an </w:t>
      </w:r>
      <w:r w:rsidRPr="003B4362">
        <w:rPr>
          <w:iCs/>
          <w:szCs w:val="24"/>
        </w:rPr>
        <w:t xml:space="preserve">E. coli </w:t>
      </w:r>
      <w:r w:rsidRPr="003B4362">
        <w:rPr>
          <w:szCs w:val="24"/>
        </w:rPr>
        <w:t>MCL violation must include in the report the text found in subsections (h)(7)(A)(i) and (h)(7)(A)(ii) or (h)(7)(A)(i) and (h)(7)(A)(iii), as appropriate, filling in the blanks accordingly and the text found in subsection (h)(7)(A)(iv), if appropriate.</w:t>
      </w:r>
    </w:p>
    <w:p w14:paraId="1BEEBC26" w14:textId="77777777" w:rsidR="008D1FEE" w:rsidRDefault="008D1FEE" w:rsidP="008D1FEE">
      <w:pPr>
        <w:widowControl w:val="0"/>
        <w:ind w:left="3600" w:hanging="720"/>
        <w:rPr>
          <w:szCs w:val="24"/>
        </w:rPr>
      </w:pPr>
    </w:p>
    <w:p w14:paraId="76167956" w14:textId="671B4338" w:rsidR="00F437D9" w:rsidRPr="003B4362" w:rsidRDefault="00F437D9" w:rsidP="008D1FEE">
      <w:pPr>
        <w:widowControl w:val="0"/>
        <w:ind w:left="3600" w:hanging="720"/>
        <w:rPr>
          <w:szCs w:val="24"/>
        </w:rPr>
      </w:pPr>
      <w:r w:rsidRPr="003B4362">
        <w:rPr>
          <w:szCs w:val="24"/>
        </w:rPr>
        <w:t>i)</w:t>
      </w:r>
      <w:r w:rsidRPr="003B4362">
        <w:rPr>
          <w:szCs w:val="24"/>
        </w:rPr>
        <w:tab/>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06378EC" w14:textId="77777777" w:rsidR="008D1FEE" w:rsidRDefault="008D1FEE" w:rsidP="008D1FEE">
      <w:pPr>
        <w:widowControl w:val="0"/>
        <w:ind w:left="3600" w:hanging="720"/>
        <w:rPr>
          <w:szCs w:val="24"/>
        </w:rPr>
      </w:pPr>
    </w:p>
    <w:p w14:paraId="5739D97E" w14:textId="30B4BA7F" w:rsidR="00F437D9" w:rsidRPr="003B4362" w:rsidRDefault="00F437D9" w:rsidP="008D1FEE">
      <w:pPr>
        <w:widowControl w:val="0"/>
        <w:ind w:left="3600" w:hanging="720"/>
        <w:rPr>
          <w:szCs w:val="24"/>
        </w:rPr>
      </w:pPr>
      <w:r w:rsidRPr="003B4362">
        <w:rPr>
          <w:szCs w:val="24"/>
        </w:rPr>
        <w:t>ii)</w:t>
      </w:r>
      <w:r w:rsidRPr="003B4362">
        <w:rPr>
          <w:szCs w:val="24"/>
        </w:rPr>
        <w:tab/>
        <w:t>“During the past year we were required to conduct [insert number of Level 1 assessments] Level 1 assessment(s). [insert number of Level 1 assessments] Level 1 assessment(s) were completed.  In addition, we were required to take [insert number of corrective actions] corrective actions and we completed [insert number of corrective actions] of these actions.”</w:t>
      </w:r>
    </w:p>
    <w:p w14:paraId="08377AF3" w14:textId="77777777" w:rsidR="008D1FEE" w:rsidRDefault="008D1FEE" w:rsidP="008D1FEE">
      <w:pPr>
        <w:widowControl w:val="0"/>
        <w:ind w:left="3600" w:hanging="720"/>
        <w:rPr>
          <w:szCs w:val="24"/>
        </w:rPr>
      </w:pPr>
    </w:p>
    <w:p w14:paraId="61599D59" w14:textId="2322C6F5" w:rsidR="00F437D9" w:rsidRPr="003B4362" w:rsidRDefault="00F437D9" w:rsidP="008D1FEE">
      <w:pPr>
        <w:widowControl w:val="0"/>
        <w:ind w:left="3600" w:hanging="720"/>
        <w:rPr>
          <w:szCs w:val="24"/>
        </w:rPr>
      </w:pPr>
      <w:r w:rsidRPr="003B4362">
        <w:rPr>
          <w:szCs w:val="24"/>
        </w:rPr>
        <w:t>iii)</w:t>
      </w:r>
      <w:r w:rsidRPr="003B4362">
        <w:rPr>
          <w:szCs w:val="24"/>
        </w:rPr>
        <w:tab/>
        <w:t>“During the past year [insert number of Level 2 assessments] Level 2 assessments were required to be completed for our water system.  [insert number of Level 2 assessments] Level 2 assessments were completed. In addition, we were required to take [insert number of corrective actions] corrective actions and we completed [insert number of corrective actions] of these actions.”</w:t>
      </w:r>
    </w:p>
    <w:p w14:paraId="36E71A27" w14:textId="77777777" w:rsidR="008D1FEE" w:rsidRDefault="008D1FEE" w:rsidP="008D1FEE">
      <w:pPr>
        <w:widowControl w:val="0"/>
        <w:ind w:left="3600" w:hanging="720"/>
        <w:rPr>
          <w:szCs w:val="24"/>
        </w:rPr>
      </w:pPr>
    </w:p>
    <w:p w14:paraId="45F652B9" w14:textId="53747CDD" w:rsidR="00F437D9" w:rsidRPr="003B4362" w:rsidRDefault="00F437D9" w:rsidP="008D1FEE">
      <w:pPr>
        <w:widowControl w:val="0"/>
        <w:ind w:left="3600" w:hanging="720"/>
        <w:rPr>
          <w:szCs w:val="24"/>
        </w:rPr>
      </w:pPr>
      <w:r w:rsidRPr="003B4362">
        <w:rPr>
          <w:szCs w:val="24"/>
        </w:rPr>
        <w:t>iv)</w:t>
      </w:r>
      <w:r w:rsidRPr="003B4362">
        <w:rPr>
          <w:szCs w:val="24"/>
        </w:rPr>
        <w:tab/>
        <w:t xml:space="preserve">Any supplier that </w:t>
      </w:r>
      <w:r w:rsidR="00A854C7" w:rsidRPr="003B4362">
        <w:rPr>
          <w:szCs w:val="24"/>
        </w:rPr>
        <w:t>has</w:t>
      </w:r>
      <w:r w:rsidRPr="003B4362">
        <w:rPr>
          <w:szCs w:val="24"/>
        </w:rPr>
        <w:t xml:space="preserve"> failed to complete all the required assessments or correct all identified sanitary defects, is in violation of the treatment technique requirement and must also include one or both of the following statements, as appropriate:  “During the past year we failed to conduct all of the required assessment(s).” or “During the past year we failed to correct all identified defects that were found </w:t>
      </w:r>
      <w:r w:rsidRPr="003B4362">
        <w:rPr>
          <w:szCs w:val="24"/>
        </w:rPr>
        <w:lastRenderedPageBreak/>
        <w:t>during the assessment.”</w:t>
      </w:r>
    </w:p>
    <w:p w14:paraId="580005DA" w14:textId="77777777" w:rsidR="008D1FEE" w:rsidRDefault="008D1FEE" w:rsidP="008D1FEE">
      <w:pPr>
        <w:widowControl w:val="0"/>
        <w:ind w:left="2880" w:hanging="720"/>
        <w:rPr>
          <w:szCs w:val="24"/>
        </w:rPr>
      </w:pPr>
    </w:p>
    <w:p w14:paraId="15D0528F" w14:textId="5AE32B46" w:rsidR="00F437D9" w:rsidRPr="003B4362" w:rsidRDefault="00F437D9" w:rsidP="008D1FEE">
      <w:pPr>
        <w:widowControl w:val="0"/>
        <w:ind w:left="2880" w:hanging="720"/>
        <w:rPr>
          <w:szCs w:val="24"/>
        </w:rPr>
      </w:pPr>
      <w:r w:rsidRPr="003B4362">
        <w:rPr>
          <w:szCs w:val="24"/>
        </w:rPr>
        <w:t>B)</w:t>
      </w:r>
      <w:r w:rsidRPr="003B4362">
        <w:rPr>
          <w:szCs w:val="24"/>
        </w:rPr>
        <w:tab/>
        <w:t xml:space="preserve">Any supplier </w:t>
      </w:r>
      <w:r w:rsidR="00DB2A74" w:rsidRPr="003B4362">
        <w:rPr>
          <w:szCs w:val="24"/>
        </w:rPr>
        <w:t xml:space="preserve">that must </w:t>
      </w:r>
      <w:r w:rsidRPr="003B4362">
        <w:rPr>
          <w:szCs w:val="24"/>
        </w:rPr>
        <w:t xml:space="preserve">conduct a Level 2 assessment due to an </w:t>
      </w:r>
      <w:r w:rsidRPr="003B4362">
        <w:rPr>
          <w:iCs/>
          <w:szCs w:val="24"/>
        </w:rPr>
        <w:t xml:space="preserve">E. coli </w:t>
      </w:r>
      <w:r w:rsidRPr="003B4362">
        <w:rPr>
          <w:szCs w:val="24"/>
        </w:rPr>
        <w:t>MCL violation must include in the report the text found in subsections (h)(7)(B)(i) and (h)(7)(B)(ii), filling in the blanks accordingly and the appropriate alternative text found in subsection (h)(7)(B)(ii), if appropriate.</w:t>
      </w:r>
    </w:p>
    <w:p w14:paraId="164EE34F" w14:textId="77777777" w:rsidR="008D1FEE" w:rsidRDefault="008D1FEE" w:rsidP="008D1FEE">
      <w:pPr>
        <w:widowControl w:val="0"/>
        <w:ind w:left="3600" w:hanging="720"/>
        <w:rPr>
          <w:szCs w:val="24"/>
        </w:rPr>
      </w:pPr>
    </w:p>
    <w:p w14:paraId="73FBF922" w14:textId="13ED6BD7" w:rsidR="00F437D9" w:rsidRPr="003B4362" w:rsidRDefault="00F437D9" w:rsidP="008D1FEE">
      <w:pPr>
        <w:widowControl w:val="0"/>
        <w:ind w:left="3600" w:hanging="720"/>
        <w:rPr>
          <w:szCs w:val="24"/>
        </w:rPr>
      </w:pPr>
      <w:r w:rsidRPr="003B4362">
        <w:rPr>
          <w:szCs w:val="24"/>
        </w:rPr>
        <w:t>i)</w:t>
      </w:r>
      <w:r w:rsidRPr="003B4362">
        <w:rPr>
          <w:szCs w:val="24"/>
        </w:rPr>
        <w:tab/>
        <w:t>“</w:t>
      </w:r>
      <w:r w:rsidRPr="003B4362">
        <w:rPr>
          <w:iCs/>
          <w:szCs w:val="24"/>
        </w:rPr>
        <w:t xml:space="preserve">E. coli </w:t>
      </w:r>
      <w:r w:rsidRPr="003B4362">
        <w:rPr>
          <w:szCs w:val="24"/>
        </w:rPr>
        <w:t xml:space="preserve">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sidRPr="003B4362">
        <w:rPr>
          <w:i/>
          <w:iCs/>
          <w:szCs w:val="24"/>
        </w:rPr>
        <w:t xml:space="preserve">E. coli </w:t>
      </w:r>
      <w:r w:rsidRPr="003B4362">
        <w:rPr>
          <w:szCs w:val="24"/>
        </w:rPr>
        <w:t>bacteria, indicating the need to look for potential problems in water treatment or distribution. When this occurs, we are required to conduct assessment(s) to identify problems and to correct any problems that were found during these assessments.”</w:t>
      </w:r>
    </w:p>
    <w:p w14:paraId="3A311CC8" w14:textId="77777777" w:rsidR="008D1FEE" w:rsidRDefault="008D1FEE" w:rsidP="008D1FEE">
      <w:pPr>
        <w:widowControl w:val="0"/>
        <w:ind w:left="3600" w:hanging="720"/>
        <w:rPr>
          <w:szCs w:val="24"/>
        </w:rPr>
      </w:pPr>
    </w:p>
    <w:p w14:paraId="24918E9B" w14:textId="6B731D1F" w:rsidR="00F437D9" w:rsidRPr="003B4362" w:rsidRDefault="00F437D9" w:rsidP="008D1FEE">
      <w:pPr>
        <w:widowControl w:val="0"/>
        <w:ind w:left="3600" w:hanging="720"/>
        <w:rPr>
          <w:szCs w:val="24"/>
        </w:rPr>
      </w:pPr>
      <w:r w:rsidRPr="003B4362">
        <w:rPr>
          <w:szCs w:val="24"/>
        </w:rPr>
        <w:t>ii)</w:t>
      </w:r>
      <w:r w:rsidRPr="003B4362">
        <w:rPr>
          <w:szCs w:val="24"/>
        </w:rPr>
        <w:tab/>
        <w:t xml:space="preserve">“We were required to complete a Level 2 assessment because we found </w:t>
      </w:r>
      <w:r w:rsidRPr="003B4362">
        <w:rPr>
          <w:iCs/>
          <w:szCs w:val="24"/>
        </w:rPr>
        <w:t xml:space="preserve">E. coli </w:t>
      </w:r>
      <w:r w:rsidRPr="003B4362">
        <w:rPr>
          <w:szCs w:val="24"/>
        </w:rPr>
        <w:t>in our water system. In addition, we were required to take [insert number of corrective actions] corrective actions and we completed [insert number of corrective actions] of these actions.”</w:t>
      </w:r>
    </w:p>
    <w:p w14:paraId="2AA224FC" w14:textId="77777777" w:rsidR="008D1FEE" w:rsidRDefault="008D1FEE" w:rsidP="008D1FEE">
      <w:pPr>
        <w:widowControl w:val="0"/>
        <w:ind w:left="3600" w:hanging="720"/>
        <w:rPr>
          <w:szCs w:val="24"/>
        </w:rPr>
      </w:pPr>
    </w:p>
    <w:p w14:paraId="7F189085" w14:textId="0929FB80" w:rsidR="00F437D9" w:rsidRPr="003B4362" w:rsidRDefault="00F437D9" w:rsidP="008D1FEE">
      <w:pPr>
        <w:widowControl w:val="0"/>
        <w:ind w:left="3600" w:hanging="720"/>
        <w:rPr>
          <w:szCs w:val="24"/>
        </w:rPr>
      </w:pPr>
      <w:r w:rsidRPr="003B4362">
        <w:rPr>
          <w:szCs w:val="24"/>
        </w:rPr>
        <w:t>iii)</w:t>
      </w:r>
      <w:r w:rsidRPr="003B4362">
        <w:rPr>
          <w:szCs w:val="24"/>
        </w:rPr>
        <w:tab/>
        <w:t xml:space="preserve">Any supplier that </w:t>
      </w:r>
      <w:r w:rsidR="00A854C7" w:rsidRPr="003B4362">
        <w:rPr>
          <w:szCs w:val="24"/>
        </w:rPr>
        <w:t>has</w:t>
      </w:r>
      <w:r w:rsidRPr="003B4362">
        <w:rPr>
          <w:szCs w:val="24"/>
        </w:rPr>
        <w:t xml:space="preserve"> failed to complete the required assessment or correct all identified sanitary defects, is in violation of the treatment technique requirement and must also include one or both of the following statements, as appropriate:  “We failed to conduct the required assessment.” or “We failed to correct all sanitary defects that were identified during the assessment that we conducted.”</w:t>
      </w:r>
    </w:p>
    <w:p w14:paraId="0592E3F9" w14:textId="77777777" w:rsidR="008D1FEE" w:rsidRDefault="008D1FEE" w:rsidP="008D1FEE">
      <w:pPr>
        <w:widowControl w:val="0"/>
        <w:ind w:left="2880" w:hanging="720"/>
        <w:rPr>
          <w:szCs w:val="24"/>
        </w:rPr>
      </w:pPr>
    </w:p>
    <w:p w14:paraId="6C6D31B4" w14:textId="297195F7" w:rsidR="00F437D9" w:rsidRPr="003B4362" w:rsidRDefault="00F437D9" w:rsidP="008D1FEE">
      <w:pPr>
        <w:widowControl w:val="0"/>
        <w:ind w:left="2880" w:hanging="720"/>
        <w:rPr>
          <w:szCs w:val="24"/>
        </w:rPr>
      </w:pPr>
      <w:r w:rsidRPr="003B4362">
        <w:rPr>
          <w:szCs w:val="24"/>
        </w:rPr>
        <w:t>C)</w:t>
      </w:r>
      <w:r w:rsidRPr="003B4362">
        <w:rPr>
          <w:szCs w:val="24"/>
        </w:rPr>
        <w:tab/>
        <w:t xml:space="preserve">If a supplier detects </w:t>
      </w:r>
      <w:r w:rsidRPr="003B4362">
        <w:rPr>
          <w:iCs/>
          <w:szCs w:val="24"/>
        </w:rPr>
        <w:t xml:space="preserve">E. coli </w:t>
      </w:r>
      <w:r w:rsidRPr="003B4362">
        <w:rPr>
          <w:szCs w:val="24"/>
        </w:rPr>
        <w:t xml:space="preserve">and </w:t>
      </w:r>
      <w:r w:rsidR="00A854C7" w:rsidRPr="003B4362">
        <w:rPr>
          <w:szCs w:val="24"/>
        </w:rPr>
        <w:t>has</w:t>
      </w:r>
      <w:r w:rsidRPr="003B4362">
        <w:rPr>
          <w:szCs w:val="24"/>
        </w:rPr>
        <w:t xml:space="preserve"> violated the </w:t>
      </w:r>
      <w:r w:rsidRPr="003B4362">
        <w:rPr>
          <w:iCs/>
          <w:szCs w:val="24"/>
        </w:rPr>
        <w:t>E. coli MCL</w:t>
      </w:r>
      <w:r w:rsidRPr="003B4362">
        <w:rPr>
          <w:i/>
          <w:iCs/>
          <w:szCs w:val="24"/>
        </w:rPr>
        <w:t xml:space="preserve">, </w:t>
      </w:r>
      <w:r w:rsidRPr="003B4362">
        <w:rPr>
          <w:szCs w:val="24"/>
        </w:rPr>
        <w:t xml:space="preserve">in addition to completing the table, </w:t>
      </w:r>
      <w:bookmarkStart w:id="4390" w:name="_Hlk132195086"/>
      <w:r w:rsidRPr="003B4362">
        <w:rPr>
          <w:szCs w:val="24"/>
        </w:rPr>
        <w:t>as subsection (d)(4)</w:t>
      </w:r>
      <w:r w:rsidR="00DB2A74" w:rsidRPr="003B4362">
        <w:rPr>
          <w:szCs w:val="24"/>
        </w:rPr>
        <w:t xml:space="preserve"> requires</w:t>
      </w:r>
      <w:bookmarkEnd w:id="4390"/>
      <w:r w:rsidRPr="003B4362">
        <w:rPr>
          <w:szCs w:val="24"/>
        </w:rPr>
        <w:t xml:space="preserve">, the supplier must include </w:t>
      </w:r>
      <w:bookmarkStart w:id="4391" w:name="_Hlk132195156"/>
      <w:r w:rsidRPr="003B4362">
        <w:rPr>
          <w:szCs w:val="24"/>
        </w:rPr>
        <w:t xml:space="preserve">one or more of </w:t>
      </w:r>
      <w:r w:rsidR="00DB2A74" w:rsidRPr="003B4362">
        <w:rPr>
          <w:szCs w:val="24"/>
        </w:rPr>
        <w:t xml:space="preserve">specific </w:t>
      </w:r>
      <w:r w:rsidRPr="003B4362">
        <w:rPr>
          <w:szCs w:val="24"/>
        </w:rPr>
        <w:t xml:space="preserve">statements </w:t>
      </w:r>
      <w:r w:rsidR="00DB2A74" w:rsidRPr="003B4362">
        <w:rPr>
          <w:szCs w:val="24"/>
        </w:rPr>
        <w:t xml:space="preserve">best describing the </w:t>
      </w:r>
      <w:r w:rsidRPr="003B4362">
        <w:rPr>
          <w:szCs w:val="24"/>
        </w:rPr>
        <w:t>noncompliance</w:t>
      </w:r>
      <w:bookmarkEnd w:id="4391"/>
      <w:r w:rsidRPr="003B4362">
        <w:rPr>
          <w:szCs w:val="24"/>
        </w:rPr>
        <w:t>:</w:t>
      </w:r>
    </w:p>
    <w:p w14:paraId="19796053" w14:textId="77777777" w:rsidR="008D1FEE" w:rsidRDefault="008D1FEE" w:rsidP="008D1FEE">
      <w:pPr>
        <w:widowControl w:val="0"/>
        <w:ind w:left="3600" w:hanging="720"/>
        <w:rPr>
          <w:szCs w:val="24"/>
        </w:rPr>
      </w:pPr>
    </w:p>
    <w:p w14:paraId="3418BC1B" w14:textId="6F40869E" w:rsidR="00F437D9" w:rsidRPr="003B4362" w:rsidRDefault="00F437D9" w:rsidP="008D1FEE">
      <w:pPr>
        <w:widowControl w:val="0"/>
        <w:ind w:left="3600" w:hanging="720"/>
        <w:rPr>
          <w:szCs w:val="24"/>
        </w:rPr>
      </w:pPr>
      <w:r w:rsidRPr="003B4362">
        <w:rPr>
          <w:szCs w:val="24"/>
        </w:rPr>
        <w:t>i)</w:t>
      </w:r>
      <w:r w:rsidRPr="003B4362">
        <w:rPr>
          <w:szCs w:val="24"/>
        </w:rPr>
        <w:tab/>
        <w:t xml:space="preserve">“We had an </w:t>
      </w:r>
      <w:r w:rsidRPr="003B4362">
        <w:rPr>
          <w:iCs/>
          <w:szCs w:val="24"/>
        </w:rPr>
        <w:t>E. coli</w:t>
      </w:r>
      <w:r w:rsidRPr="003B4362">
        <w:rPr>
          <w:szCs w:val="24"/>
        </w:rPr>
        <w:t>-positive repeat sample following a total coliform-positive routine sample.”</w:t>
      </w:r>
    </w:p>
    <w:p w14:paraId="6BFDF9A3" w14:textId="77777777" w:rsidR="008D1FEE" w:rsidRDefault="008D1FEE" w:rsidP="008D1FEE">
      <w:pPr>
        <w:widowControl w:val="0"/>
        <w:ind w:left="3600" w:hanging="720"/>
        <w:rPr>
          <w:szCs w:val="24"/>
        </w:rPr>
      </w:pPr>
    </w:p>
    <w:p w14:paraId="33F51912" w14:textId="60710C9E" w:rsidR="00F437D9" w:rsidRPr="003B4362" w:rsidRDefault="00F437D9" w:rsidP="008D1FEE">
      <w:pPr>
        <w:widowControl w:val="0"/>
        <w:ind w:left="3600" w:hanging="720"/>
        <w:rPr>
          <w:szCs w:val="24"/>
        </w:rPr>
      </w:pPr>
      <w:r w:rsidRPr="003B4362">
        <w:rPr>
          <w:szCs w:val="24"/>
        </w:rPr>
        <w:t>ii)</w:t>
      </w:r>
      <w:r w:rsidRPr="003B4362">
        <w:rPr>
          <w:szCs w:val="24"/>
        </w:rPr>
        <w:tab/>
        <w:t xml:space="preserve">“We had a total coliform-positive repeat sample following </w:t>
      </w:r>
      <w:r w:rsidRPr="003B4362">
        <w:rPr>
          <w:szCs w:val="24"/>
        </w:rPr>
        <w:lastRenderedPageBreak/>
        <w:t xml:space="preserve">an </w:t>
      </w:r>
      <w:r w:rsidRPr="003B4362">
        <w:rPr>
          <w:iCs/>
          <w:szCs w:val="24"/>
        </w:rPr>
        <w:t>E. coli</w:t>
      </w:r>
      <w:r w:rsidRPr="003B4362">
        <w:rPr>
          <w:szCs w:val="24"/>
        </w:rPr>
        <w:t>-positive routine sample.”</w:t>
      </w:r>
    </w:p>
    <w:p w14:paraId="18B0AE27" w14:textId="77777777" w:rsidR="008D1FEE" w:rsidRDefault="008D1FEE" w:rsidP="008D1FEE">
      <w:pPr>
        <w:widowControl w:val="0"/>
        <w:ind w:left="3600" w:hanging="720"/>
        <w:rPr>
          <w:szCs w:val="24"/>
        </w:rPr>
      </w:pPr>
    </w:p>
    <w:p w14:paraId="5CCFA965" w14:textId="095EE62B" w:rsidR="00F437D9" w:rsidRPr="003B4362" w:rsidRDefault="00F437D9" w:rsidP="008D1FEE">
      <w:pPr>
        <w:widowControl w:val="0"/>
        <w:ind w:left="3600" w:hanging="720"/>
        <w:rPr>
          <w:szCs w:val="24"/>
        </w:rPr>
      </w:pPr>
      <w:r w:rsidRPr="003B4362">
        <w:rPr>
          <w:szCs w:val="24"/>
        </w:rPr>
        <w:t>iii)</w:t>
      </w:r>
      <w:r w:rsidRPr="003B4362">
        <w:rPr>
          <w:szCs w:val="24"/>
        </w:rPr>
        <w:tab/>
        <w:t xml:space="preserve">“We failed to take all required repeat samples following an </w:t>
      </w:r>
      <w:r w:rsidRPr="003B4362">
        <w:rPr>
          <w:iCs/>
          <w:szCs w:val="24"/>
        </w:rPr>
        <w:t>E. coli</w:t>
      </w:r>
      <w:r w:rsidRPr="003B4362">
        <w:rPr>
          <w:szCs w:val="24"/>
        </w:rPr>
        <w:t>-positive routine sample.”</w:t>
      </w:r>
    </w:p>
    <w:p w14:paraId="5B4A53B8" w14:textId="77777777" w:rsidR="008D1FEE" w:rsidRDefault="008D1FEE" w:rsidP="008D1FEE">
      <w:pPr>
        <w:widowControl w:val="0"/>
        <w:ind w:left="3600" w:hanging="720"/>
        <w:rPr>
          <w:szCs w:val="24"/>
        </w:rPr>
      </w:pPr>
    </w:p>
    <w:p w14:paraId="25A26A13" w14:textId="4D15E04A" w:rsidR="00F437D9" w:rsidRPr="003B4362" w:rsidRDefault="00F437D9" w:rsidP="008D1FEE">
      <w:pPr>
        <w:widowControl w:val="0"/>
        <w:ind w:left="3600" w:hanging="720"/>
        <w:rPr>
          <w:szCs w:val="24"/>
        </w:rPr>
      </w:pPr>
      <w:r w:rsidRPr="003B4362">
        <w:rPr>
          <w:szCs w:val="24"/>
        </w:rPr>
        <w:t>iv)</w:t>
      </w:r>
      <w:r w:rsidRPr="003B4362">
        <w:rPr>
          <w:szCs w:val="24"/>
        </w:rPr>
        <w:tab/>
        <w:t xml:space="preserve">“We failed to test for </w:t>
      </w:r>
      <w:r w:rsidRPr="003B4362">
        <w:rPr>
          <w:iCs/>
          <w:szCs w:val="24"/>
        </w:rPr>
        <w:t xml:space="preserve">E. coli </w:t>
      </w:r>
      <w:r w:rsidRPr="003B4362">
        <w:rPr>
          <w:szCs w:val="24"/>
        </w:rPr>
        <w:t>when any repeat sample tested positive for total coliform.”</w:t>
      </w:r>
    </w:p>
    <w:p w14:paraId="72CE0EC0" w14:textId="77777777" w:rsidR="008D1FEE" w:rsidRDefault="008D1FEE" w:rsidP="008D1FEE">
      <w:pPr>
        <w:widowControl w:val="0"/>
        <w:ind w:left="2880" w:hanging="720"/>
        <w:rPr>
          <w:szCs w:val="24"/>
        </w:rPr>
      </w:pPr>
    </w:p>
    <w:p w14:paraId="62CC2155" w14:textId="4D7A95B5" w:rsidR="00F437D9" w:rsidRPr="003B4362" w:rsidRDefault="00F437D9" w:rsidP="008D1FEE">
      <w:pPr>
        <w:widowControl w:val="0"/>
        <w:ind w:left="2880" w:hanging="720"/>
        <w:rPr>
          <w:szCs w:val="24"/>
        </w:rPr>
      </w:pPr>
      <w:r w:rsidRPr="003B4362">
        <w:rPr>
          <w:szCs w:val="24"/>
        </w:rPr>
        <w:t>D)</w:t>
      </w:r>
      <w:r w:rsidRPr="003B4362">
        <w:rPr>
          <w:szCs w:val="24"/>
        </w:rPr>
        <w:tab/>
        <w:t xml:space="preserve">If a supplier </w:t>
      </w:r>
      <w:bookmarkStart w:id="4392" w:name="_Hlk132197920"/>
      <w:r w:rsidRPr="003B4362">
        <w:rPr>
          <w:szCs w:val="24"/>
        </w:rPr>
        <w:t xml:space="preserve">detects </w:t>
      </w:r>
      <w:r w:rsidRPr="003B4362">
        <w:rPr>
          <w:iCs/>
          <w:szCs w:val="24"/>
        </w:rPr>
        <w:t xml:space="preserve">E. coli </w:t>
      </w:r>
      <w:r w:rsidR="000D0D0B" w:rsidRPr="003B4362">
        <w:rPr>
          <w:iCs/>
          <w:szCs w:val="24"/>
        </w:rPr>
        <w:t>but d</w:t>
      </w:r>
      <w:r w:rsidR="00A07EC0" w:rsidRPr="003B4362">
        <w:rPr>
          <w:iCs/>
          <w:szCs w:val="24"/>
        </w:rPr>
        <w:t>oes</w:t>
      </w:r>
      <w:r w:rsidR="000D0D0B" w:rsidRPr="003B4362">
        <w:rPr>
          <w:iCs/>
          <w:szCs w:val="24"/>
        </w:rPr>
        <w:t xml:space="preserve"> </w:t>
      </w:r>
      <w:r w:rsidRPr="003B4362">
        <w:rPr>
          <w:szCs w:val="24"/>
        </w:rPr>
        <w:t xml:space="preserve">not violated the </w:t>
      </w:r>
      <w:r w:rsidRPr="003B4362">
        <w:rPr>
          <w:iCs/>
          <w:szCs w:val="24"/>
        </w:rPr>
        <w:t>E. coli MCL</w:t>
      </w:r>
      <w:bookmarkEnd w:id="4392"/>
      <w:r w:rsidRPr="003B4362">
        <w:rPr>
          <w:i/>
          <w:iCs/>
          <w:szCs w:val="24"/>
        </w:rPr>
        <w:t xml:space="preserve">, </w:t>
      </w:r>
      <w:r w:rsidRPr="003B4362">
        <w:rPr>
          <w:szCs w:val="24"/>
        </w:rPr>
        <w:t>in addition to completing the table as subsection (d)(4)</w:t>
      </w:r>
      <w:r w:rsidR="00A07EC0" w:rsidRPr="003B4362">
        <w:rPr>
          <w:szCs w:val="24"/>
        </w:rPr>
        <w:t xml:space="preserve"> requires</w:t>
      </w:r>
      <w:r w:rsidRPr="003B4362">
        <w:rPr>
          <w:szCs w:val="24"/>
        </w:rPr>
        <w:t xml:space="preserve">, the supplier may include </w:t>
      </w:r>
      <w:bookmarkStart w:id="4393" w:name="_Hlk132197979"/>
      <w:r w:rsidRPr="003B4362">
        <w:rPr>
          <w:szCs w:val="24"/>
        </w:rPr>
        <w:t xml:space="preserve">a statement </w:t>
      </w:r>
      <w:r w:rsidR="00B15ADC" w:rsidRPr="003B4362">
        <w:rPr>
          <w:szCs w:val="24"/>
        </w:rPr>
        <w:t xml:space="preserve">explaining </w:t>
      </w:r>
      <w:bookmarkEnd w:id="4393"/>
      <w:r w:rsidRPr="003B4362">
        <w:rPr>
          <w:szCs w:val="24"/>
        </w:rPr>
        <w:t xml:space="preserve">that </w:t>
      </w:r>
      <w:bookmarkStart w:id="4394" w:name="_Hlk132198032"/>
      <w:r w:rsidRPr="003B4362">
        <w:rPr>
          <w:szCs w:val="24"/>
        </w:rPr>
        <w:t xml:space="preserve">although </w:t>
      </w:r>
      <w:r w:rsidR="00B15ADC" w:rsidRPr="003B4362">
        <w:rPr>
          <w:szCs w:val="24"/>
        </w:rPr>
        <w:t xml:space="preserve">the supplier </w:t>
      </w:r>
      <w:r w:rsidRPr="003B4362">
        <w:rPr>
          <w:szCs w:val="24"/>
        </w:rPr>
        <w:t xml:space="preserve">detected </w:t>
      </w:r>
      <w:r w:rsidRPr="003B4362">
        <w:rPr>
          <w:iCs/>
          <w:szCs w:val="24"/>
        </w:rPr>
        <w:t>E. coli</w:t>
      </w:r>
      <w:r w:rsidRPr="003B4362">
        <w:rPr>
          <w:szCs w:val="24"/>
        </w:rPr>
        <w:t xml:space="preserve">, </w:t>
      </w:r>
      <w:r w:rsidR="00B15ADC" w:rsidRPr="003B4362">
        <w:rPr>
          <w:szCs w:val="24"/>
        </w:rPr>
        <w:t xml:space="preserve">it did </w:t>
      </w:r>
      <w:r w:rsidRPr="003B4362">
        <w:rPr>
          <w:szCs w:val="24"/>
        </w:rPr>
        <w:t xml:space="preserve">not </w:t>
      </w:r>
      <w:r w:rsidR="00B15ADC" w:rsidRPr="003B4362">
        <w:rPr>
          <w:szCs w:val="24"/>
        </w:rPr>
        <w:t xml:space="preserve">violate </w:t>
      </w:r>
      <w:r w:rsidRPr="003B4362">
        <w:rPr>
          <w:szCs w:val="24"/>
        </w:rPr>
        <w:t xml:space="preserve">the </w:t>
      </w:r>
      <w:r w:rsidRPr="003B4362">
        <w:rPr>
          <w:iCs/>
          <w:szCs w:val="24"/>
        </w:rPr>
        <w:t xml:space="preserve">E. coli </w:t>
      </w:r>
      <w:r w:rsidRPr="003B4362">
        <w:rPr>
          <w:szCs w:val="24"/>
        </w:rPr>
        <w:t>MCL</w:t>
      </w:r>
      <w:bookmarkEnd w:id="4394"/>
      <w:r w:rsidRPr="003B4362">
        <w:rPr>
          <w:szCs w:val="24"/>
        </w:rPr>
        <w:t>.</w:t>
      </w:r>
    </w:p>
    <w:p w14:paraId="633C4B7E" w14:textId="77777777" w:rsidR="008D1FEE" w:rsidRDefault="008D1FEE" w:rsidP="008D1FEE">
      <w:pPr>
        <w:widowControl w:val="0"/>
      </w:pPr>
    </w:p>
    <w:p w14:paraId="4C27B031" w14:textId="6618DF52" w:rsidR="00F437D9" w:rsidRPr="003B4362" w:rsidRDefault="00F437D9" w:rsidP="008D1FEE">
      <w:pPr>
        <w:widowControl w:val="0"/>
      </w:pPr>
      <w:r w:rsidRPr="003B4362">
        <w:t xml:space="preserve">BOARD NOTE:  </w:t>
      </w:r>
      <w:r w:rsidR="00260D73" w:rsidRPr="003B4362">
        <w:rPr>
          <w:spacing w:val="-3"/>
        </w:rPr>
        <w:t xml:space="preserve">This Section derives </w:t>
      </w:r>
      <w:r w:rsidRPr="003B4362">
        <w:t>from 40 CFR 141.153.</w:t>
      </w:r>
    </w:p>
    <w:p w14:paraId="0F06407E" w14:textId="77777777" w:rsidR="008D1FEE" w:rsidRDefault="008D1FEE" w:rsidP="008D1FEE">
      <w:pPr>
        <w:suppressAutoHyphens/>
        <w:ind w:left="720"/>
      </w:pPr>
    </w:p>
    <w:p w14:paraId="299F1A60" w14:textId="1B290089" w:rsidR="00F437D9" w:rsidRPr="003B4362" w:rsidRDefault="00EB353D" w:rsidP="008D1FEE">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31C73D91" w14:textId="77777777" w:rsidR="00700487" w:rsidRPr="003B4362" w:rsidRDefault="00700487" w:rsidP="008D1FEE">
      <w:pPr>
        <w:suppressAutoHyphens/>
        <w:ind w:left="720"/>
      </w:pPr>
    </w:p>
    <w:p w14:paraId="6303ADED" w14:textId="77777777" w:rsidR="005614AB" w:rsidRPr="003B4362" w:rsidRDefault="005614AB" w:rsidP="008D1FEE">
      <w:pPr>
        <w:rPr>
          <w:b/>
          <w:bCs/>
        </w:rPr>
      </w:pPr>
      <w:r w:rsidRPr="003B4362">
        <w:rPr>
          <w:b/>
          <w:bCs/>
        </w:rPr>
        <w:t>Section 611.884  Required Additional Health Information</w:t>
      </w:r>
    </w:p>
    <w:p w14:paraId="6A4167EF" w14:textId="77777777" w:rsidR="008D1FEE" w:rsidRDefault="008D1FEE" w:rsidP="008D1FEE">
      <w:pPr>
        <w:widowControl w:val="0"/>
        <w:suppressAutoHyphens/>
        <w:ind w:left="1440" w:hanging="720"/>
        <w:rPr>
          <w:spacing w:val="-2"/>
        </w:rPr>
      </w:pPr>
    </w:p>
    <w:p w14:paraId="1F3443D4" w14:textId="28AF5AF6" w:rsidR="005614AB" w:rsidRPr="003B4362" w:rsidRDefault="005614AB" w:rsidP="008D1FEE">
      <w:pPr>
        <w:widowControl w:val="0"/>
        <w:suppressAutoHyphens/>
        <w:ind w:left="1440" w:hanging="720"/>
        <w:rPr>
          <w:spacing w:val="-2"/>
        </w:rPr>
      </w:pPr>
      <w:r w:rsidRPr="003B4362">
        <w:rPr>
          <w:spacing w:val="-2"/>
        </w:rPr>
        <w:t>a)</w:t>
      </w:r>
      <w:r w:rsidRPr="003B4362">
        <w:rPr>
          <w:spacing w:val="-2"/>
        </w:rPr>
        <w:tab/>
        <w:t>All reports must prominently display the following language:  “Some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 or Centers for Disease Control and Prevention guidelines on appropriate means to lessen the risk of infection by Cryptosporidium and other microbial contaminants are available from the USEPA Safe Drinking Water Hotline (800-426-4791).”</w:t>
      </w:r>
    </w:p>
    <w:p w14:paraId="462CB8A5" w14:textId="77777777" w:rsidR="008D1FEE" w:rsidRDefault="008D1FEE" w:rsidP="008D1FEE">
      <w:pPr>
        <w:widowControl w:val="0"/>
        <w:suppressAutoHyphens/>
        <w:ind w:left="1440" w:hanging="720"/>
        <w:rPr>
          <w:spacing w:val="-2"/>
        </w:rPr>
      </w:pPr>
    </w:p>
    <w:p w14:paraId="331AD09E" w14:textId="6A3D2120" w:rsidR="005614AB" w:rsidRPr="003B4362" w:rsidRDefault="005614AB" w:rsidP="008D1FEE">
      <w:pPr>
        <w:widowControl w:val="0"/>
        <w:suppressAutoHyphens/>
        <w:ind w:left="1440" w:hanging="720"/>
        <w:rPr>
          <w:spacing w:val="-2"/>
        </w:rPr>
      </w:pPr>
      <w:r w:rsidRPr="003B4362">
        <w:rPr>
          <w:spacing w:val="-2"/>
        </w:rPr>
        <w:t>b)</w:t>
      </w:r>
      <w:r w:rsidRPr="003B4362">
        <w:rPr>
          <w:spacing w:val="-2"/>
        </w:rPr>
        <w:tab/>
      </w:r>
      <w:r w:rsidRPr="003B4362">
        <w:t>A supplier</w:t>
      </w:r>
      <w:r w:rsidRPr="003B4362">
        <w:rPr>
          <w:spacing w:val="-2"/>
        </w:rPr>
        <w:t xml:space="preserve"> that detects arsenic above 0.005 mg/</w:t>
      </w:r>
      <w:r w:rsidR="00E411A9" w:rsidRPr="003B4362">
        <w:t xml:space="preserve"> L</w:t>
      </w:r>
      <w:r w:rsidRPr="003B4362">
        <w:rPr>
          <w:spacing w:val="-2"/>
        </w:rPr>
        <w:t xml:space="preserve"> and up to and including </w:t>
      </w:r>
      <w:r w:rsidRPr="003B4362">
        <w:t xml:space="preserve">0.010 </w:t>
      </w:r>
      <w:r w:rsidRPr="003B4362">
        <w:rPr>
          <w:spacing w:val="-2"/>
        </w:rPr>
        <w:t>mg/</w:t>
      </w:r>
      <w:r w:rsidR="00E411A9" w:rsidRPr="003B4362">
        <w:t xml:space="preserve"> L</w:t>
      </w:r>
      <w:r w:rsidRPr="003B4362">
        <w:rPr>
          <w:spacing w:val="-2"/>
        </w:rPr>
        <w:t xml:space="preserve"> must do the following:</w:t>
      </w:r>
    </w:p>
    <w:p w14:paraId="6E0566F1" w14:textId="77777777" w:rsidR="008D1FEE" w:rsidRDefault="008D1FEE" w:rsidP="008D1FEE">
      <w:pPr>
        <w:widowControl w:val="0"/>
        <w:suppressAutoHyphens/>
        <w:ind w:left="2160" w:hanging="720"/>
        <w:rPr>
          <w:spacing w:val="-2"/>
        </w:rPr>
      </w:pPr>
    </w:p>
    <w:p w14:paraId="26C20482" w14:textId="3CB45A9F" w:rsidR="005614AB" w:rsidRPr="003B4362" w:rsidRDefault="005614AB" w:rsidP="008D1FEE">
      <w:pPr>
        <w:widowControl w:val="0"/>
        <w:suppressAutoHyphens/>
        <w:ind w:left="2160" w:hanging="720"/>
        <w:rPr>
          <w:spacing w:val="-2"/>
        </w:rPr>
      </w:pPr>
      <w:r w:rsidRPr="003B4362">
        <w:rPr>
          <w:spacing w:val="-2"/>
        </w:rPr>
        <w:t>1)</w:t>
      </w:r>
      <w:r w:rsidRPr="003B4362">
        <w:rPr>
          <w:spacing w:val="-2"/>
        </w:rPr>
        <w:tab/>
      </w:r>
      <w:r w:rsidRPr="003B4362">
        <w:t xml:space="preserve">The supplier must </w:t>
      </w:r>
      <w:r w:rsidRPr="003B4362">
        <w:rPr>
          <w:spacing w:val="-2"/>
        </w:rPr>
        <w:t xml:space="preserve">include in its report a short informational statement about arsenic, using </w:t>
      </w:r>
      <w:r w:rsidRPr="003B4362">
        <w:t xml:space="preserve">the following </w:t>
      </w:r>
      <w:r w:rsidRPr="003B4362">
        <w:rPr>
          <w:spacing w:val="-2"/>
        </w:rPr>
        <w:t>language:  “</w:t>
      </w:r>
      <w:r w:rsidRPr="003B4362">
        <w:t xml:space="preserve">While your drinking water meets USEPA’s standard for arsenic, it does contain low levels of arsenic.  USEPA’s standard balances the current understanding of arsenic’s possible health effects against the costs of removing arsenic from drinking water.  USEPA continues to research the health effects of low levels of arsenic, which </w:t>
      </w:r>
      <w:r w:rsidRPr="003B4362">
        <w:rPr>
          <w:spacing w:val="-2"/>
        </w:rPr>
        <w:t>is a naturally-occurring mineral known to cause cancer in humans at high concentrations</w:t>
      </w:r>
      <w:r w:rsidRPr="003B4362">
        <w:t xml:space="preserve"> and is linked to other health effects such as skin damage and circulatory problems.”</w:t>
      </w:r>
      <w:r w:rsidRPr="003B4362">
        <w:rPr>
          <w:spacing w:val="-2"/>
        </w:rPr>
        <w:t>; or</w:t>
      </w:r>
    </w:p>
    <w:p w14:paraId="3C7BD813" w14:textId="77777777" w:rsidR="008D1FEE" w:rsidRDefault="008D1FEE" w:rsidP="008D1FEE">
      <w:pPr>
        <w:widowControl w:val="0"/>
        <w:suppressAutoHyphens/>
        <w:ind w:left="2160" w:hanging="720"/>
        <w:rPr>
          <w:spacing w:val="-2"/>
        </w:rPr>
      </w:pPr>
    </w:p>
    <w:p w14:paraId="7C33B129" w14:textId="604B1BF1" w:rsidR="005614AB" w:rsidRPr="003B4362" w:rsidRDefault="005614AB" w:rsidP="008D1FEE">
      <w:pPr>
        <w:widowControl w:val="0"/>
        <w:suppressAutoHyphens/>
        <w:ind w:left="2160" w:hanging="720"/>
        <w:rPr>
          <w:spacing w:val="-2"/>
        </w:rPr>
      </w:pPr>
      <w:r w:rsidRPr="003B4362">
        <w:rPr>
          <w:spacing w:val="-2"/>
        </w:rPr>
        <w:t>2)</w:t>
      </w:r>
      <w:r w:rsidRPr="003B4362">
        <w:rPr>
          <w:spacing w:val="-2"/>
        </w:rPr>
        <w:tab/>
        <w:t xml:space="preserve">The </w:t>
      </w:r>
      <w:r w:rsidRPr="003B4362">
        <w:t xml:space="preserve">supplier </w:t>
      </w:r>
      <w:r w:rsidRPr="003B4362">
        <w:rPr>
          <w:spacing w:val="-2"/>
        </w:rPr>
        <w:t>may write its own educational statement, but only in consultation with the Agency.</w:t>
      </w:r>
    </w:p>
    <w:p w14:paraId="5600C396" w14:textId="77777777" w:rsidR="008D1FEE" w:rsidRDefault="008D1FEE" w:rsidP="008D1FEE">
      <w:pPr>
        <w:widowControl w:val="0"/>
        <w:suppressAutoHyphens/>
        <w:ind w:left="1440" w:hanging="720"/>
        <w:rPr>
          <w:spacing w:val="-2"/>
        </w:rPr>
      </w:pPr>
    </w:p>
    <w:p w14:paraId="66206C1A" w14:textId="761D1D7A" w:rsidR="005614AB" w:rsidRPr="003B4362" w:rsidRDefault="005614AB" w:rsidP="008D1FEE">
      <w:pPr>
        <w:widowControl w:val="0"/>
        <w:suppressAutoHyphens/>
        <w:ind w:left="1440" w:hanging="720"/>
        <w:rPr>
          <w:spacing w:val="-2"/>
        </w:rPr>
      </w:pPr>
      <w:r w:rsidRPr="003B4362">
        <w:rPr>
          <w:spacing w:val="-2"/>
        </w:rPr>
        <w:t>c)</w:t>
      </w:r>
      <w:r w:rsidRPr="003B4362">
        <w:rPr>
          <w:spacing w:val="-2"/>
        </w:rPr>
        <w:tab/>
        <w:t xml:space="preserve">A </w:t>
      </w:r>
      <w:r w:rsidRPr="003B4362">
        <w:t xml:space="preserve">supplier </w:t>
      </w:r>
      <w:r w:rsidRPr="003B4362">
        <w:rPr>
          <w:spacing w:val="-2"/>
        </w:rPr>
        <w:t>that detects nitrate at levels above 5 mg/</w:t>
      </w:r>
      <w:r w:rsidR="00E411A9" w:rsidRPr="003B4362">
        <w:t xml:space="preserve"> L</w:t>
      </w:r>
      <w:r w:rsidRPr="003B4362">
        <w:rPr>
          <w:spacing w:val="-2"/>
        </w:rPr>
        <w:t>, but below the MCL, must do the following:</w:t>
      </w:r>
    </w:p>
    <w:p w14:paraId="48FCED4B" w14:textId="77777777" w:rsidR="008D1FEE" w:rsidRDefault="008D1FEE" w:rsidP="008D1FEE">
      <w:pPr>
        <w:widowControl w:val="0"/>
        <w:suppressAutoHyphens/>
        <w:ind w:left="2160" w:hanging="720"/>
        <w:rPr>
          <w:spacing w:val="-2"/>
        </w:rPr>
      </w:pPr>
    </w:p>
    <w:p w14:paraId="04E0052E" w14:textId="765C2B7A" w:rsidR="005614AB" w:rsidRPr="003B4362" w:rsidRDefault="005614AB" w:rsidP="008D1FEE">
      <w:pPr>
        <w:widowControl w:val="0"/>
        <w:suppressAutoHyphens/>
        <w:ind w:left="2160" w:hanging="720"/>
        <w:rPr>
          <w:spacing w:val="-2"/>
        </w:rPr>
      </w:pPr>
      <w:r w:rsidRPr="003B4362">
        <w:rPr>
          <w:spacing w:val="-2"/>
        </w:rPr>
        <w:t>1)</w:t>
      </w:r>
      <w:r w:rsidRPr="003B4362">
        <w:rPr>
          <w:spacing w:val="-2"/>
        </w:rPr>
        <w:tab/>
      </w:r>
      <w:r w:rsidRPr="003B4362">
        <w:t xml:space="preserve">The supplier must </w:t>
      </w:r>
      <w:r w:rsidRPr="003B4362">
        <w:rPr>
          <w:spacing w:val="-2"/>
        </w:rPr>
        <w:t xml:space="preserve">include a short informational statement about the impacts of nitrate on children, using </w:t>
      </w:r>
      <w:r w:rsidRPr="003B4362">
        <w:t xml:space="preserve">the following </w:t>
      </w:r>
      <w:r w:rsidRPr="003B4362">
        <w:rPr>
          <w:spacing w:val="-2"/>
        </w:rPr>
        <w:t>language:  “Nitrate in drinking water at levels above 10 ppm is a health risk for infants of less than six months of age.  High nitrate levels in drinking water can cause blue baby syndrome.  Nitrate levels may rise quickly for short periods of time because of rainfall or agricultural activity.  If you are caring for an infant you should ask advice from your health care provider”; or</w:t>
      </w:r>
    </w:p>
    <w:p w14:paraId="617C1CAA" w14:textId="77777777" w:rsidR="008D1FEE" w:rsidRDefault="008D1FEE" w:rsidP="008D1FEE">
      <w:pPr>
        <w:widowControl w:val="0"/>
        <w:suppressAutoHyphens/>
        <w:ind w:left="2160" w:hanging="720"/>
        <w:rPr>
          <w:spacing w:val="-2"/>
        </w:rPr>
      </w:pPr>
    </w:p>
    <w:p w14:paraId="2133601F" w14:textId="2A282765" w:rsidR="005614AB" w:rsidRPr="003B4362" w:rsidRDefault="005614AB" w:rsidP="008D1FEE">
      <w:pPr>
        <w:widowControl w:val="0"/>
        <w:suppressAutoHyphens/>
        <w:ind w:left="2160" w:hanging="720"/>
        <w:rPr>
          <w:spacing w:val="-2"/>
        </w:rPr>
      </w:pPr>
      <w:r w:rsidRPr="003B4362">
        <w:rPr>
          <w:spacing w:val="-2"/>
        </w:rPr>
        <w:t>2)</w:t>
      </w:r>
      <w:r w:rsidRPr="003B4362">
        <w:rPr>
          <w:spacing w:val="-2"/>
        </w:rPr>
        <w:tab/>
        <w:t xml:space="preserve">The CWS </w:t>
      </w:r>
      <w:r w:rsidRPr="003B4362">
        <w:t xml:space="preserve">supplier </w:t>
      </w:r>
      <w:r w:rsidRPr="003B4362">
        <w:rPr>
          <w:spacing w:val="-2"/>
        </w:rPr>
        <w:t>may write its own educational statement, but only in consultation with the Agency.</w:t>
      </w:r>
    </w:p>
    <w:p w14:paraId="3A150482" w14:textId="77777777" w:rsidR="008D1FEE" w:rsidRDefault="008D1FEE" w:rsidP="008D1FEE">
      <w:pPr>
        <w:widowControl w:val="0"/>
        <w:ind w:left="1440" w:hanging="720"/>
      </w:pPr>
    </w:p>
    <w:p w14:paraId="4AFB57C2" w14:textId="716490D4" w:rsidR="005614AB" w:rsidRPr="003B4362" w:rsidRDefault="005614AB" w:rsidP="008D1FEE">
      <w:pPr>
        <w:widowControl w:val="0"/>
        <w:ind w:left="1440" w:hanging="720"/>
      </w:pPr>
      <w:r w:rsidRPr="003B4362">
        <w:t>d)</w:t>
      </w:r>
      <w:r w:rsidRPr="003B4362">
        <w:tab/>
        <w:t>Every report must include the following lead-specific information:</w:t>
      </w:r>
    </w:p>
    <w:p w14:paraId="5E7E5039" w14:textId="77777777" w:rsidR="008D1FEE" w:rsidRDefault="008D1FEE" w:rsidP="008D1FEE">
      <w:pPr>
        <w:widowControl w:val="0"/>
        <w:ind w:left="2160" w:hanging="720"/>
      </w:pPr>
    </w:p>
    <w:p w14:paraId="276286CB" w14:textId="317171B7" w:rsidR="005614AB" w:rsidRDefault="005614AB" w:rsidP="008D1FEE">
      <w:pPr>
        <w:widowControl w:val="0"/>
        <w:ind w:left="2160" w:hanging="720"/>
      </w:pPr>
      <w:r w:rsidRPr="003B4362">
        <w:t>1)</w:t>
      </w:r>
      <w:r w:rsidRPr="003B4362">
        <w:tab/>
        <w:t>A short informational statement about lead in drinking water and its effects on children.  The statement must include the following information:</w:t>
      </w:r>
    </w:p>
    <w:p w14:paraId="68243845" w14:textId="77777777" w:rsidR="008D1FEE" w:rsidRPr="003B4362" w:rsidRDefault="008D1FEE" w:rsidP="008D1FEE">
      <w:pPr>
        <w:widowControl w:val="0"/>
        <w:ind w:left="2160" w:hanging="720"/>
      </w:pPr>
    </w:p>
    <w:p w14:paraId="09D9E102" w14:textId="77D36FBB" w:rsidR="005614AB" w:rsidRPr="003B4362" w:rsidRDefault="00115DA5" w:rsidP="008D1FEE">
      <w:pPr>
        <w:widowControl w:val="0"/>
        <w:ind w:left="2160"/>
        <w:rPr>
          <w:i/>
          <w:iCs/>
        </w:rPr>
      </w:pPr>
      <w:r w:rsidRPr="003B4362">
        <w:rPr>
          <w:szCs w:val="24"/>
        </w:rPr>
        <w:t xml:space="preserve">Lead </w:t>
      </w:r>
      <w:r w:rsidR="005614AB" w:rsidRPr="003B4362">
        <w:t>can cause serious health problems, especially for pregnant women and young children.  Lead in drinking water is primarily from materials and components associated with service lines and home plumbing. [NAME OF SUPPLIER] is responsible for providing high quality drinking water</w:t>
      </w:r>
      <w:r w:rsidRPr="003B4362">
        <w:rPr>
          <w:szCs w:val="24"/>
        </w:rPr>
        <w:t xml:space="preserve"> and removing lead pipes</w:t>
      </w:r>
      <w:r w:rsidR="005614AB" w:rsidRPr="003B4362">
        <w:t>, but cannot control the variety of materials used in plumbing components</w:t>
      </w:r>
      <w:r w:rsidRPr="003B4362">
        <w:rPr>
          <w:szCs w:val="24"/>
        </w:rPr>
        <w:t xml:space="preserve"> in your home</w:t>
      </w:r>
      <w:r w:rsidR="005614AB" w:rsidRPr="003B4362">
        <w:t xml:space="preserve">.  </w:t>
      </w:r>
      <w:r w:rsidRPr="003B4362">
        <w:rPr>
          <w:szCs w:val="24"/>
        </w:rPr>
        <w:t xml:space="preserve">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w:t>
      </w:r>
      <w:r w:rsidR="005614AB" w:rsidRPr="003B4362">
        <w:t>If you are concerned about lead in your water, you may wish to have your water tested</w:t>
      </w:r>
      <w:r w:rsidRPr="003B4362">
        <w:rPr>
          <w:szCs w:val="24"/>
        </w:rPr>
        <w:t>, contact [NAME OF UTILITY and CONTACT INFORMATION]</w:t>
      </w:r>
      <w:r w:rsidR="005614AB" w:rsidRPr="003B4362">
        <w:t xml:space="preserve">. Information on lead in drinking water, testing methods, and steps you can take to minimize exposure is available at </w:t>
      </w:r>
      <w:hyperlink r:id="rId30" w:history="1">
        <w:r w:rsidR="00984F85" w:rsidRPr="003B4362">
          <w:rPr>
            <w:rStyle w:val="Hyperlink"/>
            <w:color w:val="auto"/>
            <w:u w:val="none"/>
          </w:rPr>
          <w:t>http://www.epa.gov/safewater/lead</w:t>
        </w:r>
      </w:hyperlink>
      <w:r w:rsidR="005614AB" w:rsidRPr="003B4362">
        <w:rPr>
          <w:i/>
          <w:iCs/>
        </w:rPr>
        <w:t>.</w:t>
      </w:r>
    </w:p>
    <w:p w14:paraId="43F88E21" w14:textId="77777777" w:rsidR="008D1FEE" w:rsidRDefault="008D1FEE" w:rsidP="008D1FEE">
      <w:pPr>
        <w:widowControl w:val="0"/>
        <w:ind w:left="2160" w:hanging="720"/>
      </w:pPr>
    </w:p>
    <w:p w14:paraId="0699B33E" w14:textId="508F9126" w:rsidR="005614AB" w:rsidRDefault="005614AB" w:rsidP="008D1FEE">
      <w:pPr>
        <w:widowControl w:val="0"/>
        <w:ind w:left="2160" w:hanging="720"/>
      </w:pPr>
      <w:r w:rsidRPr="003B4362">
        <w:t>2)</w:t>
      </w:r>
      <w:r w:rsidRPr="003B4362">
        <w:tab/>
        <w:t>A supplier may write its own educational statement, but only in consultation with the Agency.</w:t>
      </w:r>
    </w:p>
    <w:p w14:paraId="2EC02FBB" w14:textId="77777777" w:rsidR="008D1FEE" w:rsidRPr="003B4362" w:rsidRDefault="008D1FEE" w:rsidP="008D1FEE">
      <w:pPr>
        <w:widowControl w:val="0"/>
        <w:ind w:left="2160" w:hanging="720"/>
      </w:pPr>
    </w:p>
    <w:p w14:paraId="517DF6C3" w14:textId="1DF3D301" w:rsidR="005614AB" w:rsidRDefault="005614AB" w:rsidP="008D1FEE">
      <w:pPr>
        <w:widowControl w:val="0"/>
        <w:ind w:left="1440" w:hanging="720"/>
        <w:rPr>
          <w:spacing w:val="-2"/>
        </w:rPr>
      </w:pPr>
      <w:r w:rsidRPr="003B4362">
        <w:rPr>
          <w:spacing w:val="-2"/>
        </w:rPr>
        <w:t>e)</w:t>
      </w:r>
      <w:r w:rsidRPr="003B4362">
        <w:rPr>
          <w:spacing w:val="-2"/>
        </w:rPr>
        <w:tab/>
        <w:t xml:space="preserve">A CWS </w:t>
      </w:r>
      <w:r w:rsidRPr="003B4362">
        <w:t xml:space="preserve">supplier </w:t>
      </w:r>
      <w:r w:rsidRPr="003B4362">
        <w:rPr>
          <w:spacing w:val="-2"/>
        </w:rPr>
        <w:t>that detects TTHM above 0.080 mg/</w:t>
      </w:r>
      <w:r w:rsidR="000076B3" w:rsidRPr="003B4362">
        <w:rPr>
          <w:spacing w:val="-2"/>
        </w:rPr>
        <w:t>L</w:t>
      </w:r>
      <w:r w:rsidRPr="003B4362">
        <w:rPr>
          <w:spacing w:val="-2"/>
        </w:rPr>
        <w:t xml:space="preserve">, but below the MCL in Section 611.312, as an annual average, monitored and calculated under the </w:t>
      </w:r>
      <w:r w:rsidRPr="003B4362">
        <w:rPr>
          <w:spacing w:val="-2"/>
        </w:rPr>
        <w:lastRenderedPageBreak/>
        <w:t xml:space="preserve">provisions of </w:t>
      </w:r>
      <w:r w:rsidRPr="003B4362">
        <w:t xml:space="preserve">former </w:t>
      </w:r>
      <w:r w:rsidRPr="003B4362">
        <w:rPr>
          <w:spacing w:val="-2"/>
        </w:rPr>
        <w:t xml:space="preserve">Section 611.680, </w:t>
      </w:r>
      <w:r w:rsidRPr="003B4362">
        <w:t xml:space="preserve">must </w:t>
      </w:r>
      <w:r w:rsidRPr="003B4362">
        <w:rPr>
          <w:spacing w:val="-2"/>
        </w:rPr>
        <w:t xml:space="preserve">include </w:t>
      </w:r>
      <w:r w:rsidRPr="003B4362">
        <w:t xml:space="preserve">the </w:t>
      </w:r>
      <w:r w:rsidRPr="003B4362">
        <w:rPr>
          <w:spacing w:val="-2"/>
        </w:rPr>
        <w:t xml:space="preserve">health effects language prescribed by </w:t>
      </w:r>
      <w:r w:rsidRPr="003B4362">
        <w:t>Appendix A of this Part</w:t>
      </w:r>
      <w:r w:rsidRPr="003B4362">
        <w:rPr>
          <w:spacing w:val="-2"/>
        </w:rPr>
        <w:t>.</w:t>
      </w:r>
    </w:p>
    <w:p w14:paraId="2DF29E70" w14:textId="77777777" w:rsidR="008D1FEE" w:rsidRPr="003B4362" w:rsidRDefault="008D1FEE" w:rsidP="008D1FEE">
      <w:pPr>
        <w:widowControl w:val="0"/>
        <w:ind w:left="1440" w:hanging="720"/>
        <w:rPr>
          <w:spacing w:val="-2"/>
        </w:rPr>
      </w:pPr>
    </w:p>
    <w:p w14:paraId="68707B3E" w14:textId="4FB4F6B1" w:rsidR="005614AB" w:rsidRDefault="005614AB" w:rsidP="008D1FEE">
      <w:pPr>
        <w:widowControl w:val="0"/>
        <w:suppressAutoHyphens/>
        <w:ind w:left="1440"/>
      </w:pPr>
      <w:r w:rsidRPr="003B4362">
        <w:t>BOARD NOTE:  Former Section 611.680 originally derived from 40 CFR 141.30(a) and (b).  USEPA removed 40 CFR 141.30 in its entirety in 2006.  The Board repealed former Section 611.680 in 2012.  The references to former Section 611.680 in this subsection (e) relate to use of existing monitoring data collected under those provisions as they existed before their repeal.</w:t>
      </w:r>
    </w:p>
    <w:p w14:paraId="6C68D37E" w14:textId="77777777" w:rsidR="008D1FEE" w:rsidRPr="003B4362" w:rsidRDefault="008D1FEE" w:rsidP="008D1FEE">
      <w:pPr>
        <w:widowControl w:val="0"/>
        <w:suppressAutoHyphens/>
        <w:ind w:left="1440"/>
      </w:pPr>
    </w:p>
    <w:p w14:paraId="3E34E2A6" w14:textId="0C8677E5" w:rsidR="005614AB" w:rsidRDefault="005614AB" w:rsidP="008D1FEE">
      <w:pPr>
        <w:widowControl w:val="0"/>
      </w:pPr>
      <w:r w:rsidRPr="003B4362">
        <w:t xml:space="preserve">BOARD NOTE:  </w:t>
      </w:r>
      <w:r w:rsidR="00260D73" w:rsidRPr="003B4362">
        <w:rPr>
          <w:spacing w:val="-3"/>
        </w:rPr>
        <w:t xml:space="preserve">This Section derives </w:t>
      </w:r>
      <w:r w:rsidRPr="003B4362">
        <w:t>from 40 CFR 141.154.</w:t>
      </w:r>
    </w:p>
    <w:p w14:paraId="1DB24E0E" w14:textId="77777777" w:rsidR="008D1FEE" w:rsidRPr="003B4362" w:rsidRDefault="008D1FEE" w:rsidP="008D1FEE">
      <w:pPr>
        <w:widowControl w:val="0"/>
      </w:pPr>
    </w:p>
    <w:p w14:paraId="0DE7CE14" w14:textId="5C693BF6" w:rsidR="005614AB" w:rsidRDefault="005614AB" w:rsidP="008D1FEE">
      <w:pPr>
        <w:widowControl w:val="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6702AAE1" w14:textId="77777777" w:rsidR="008D1FEE" w:rsidRDefault="008D1FEE" w:rsidP="008D1FEE">
      <w:pPr>
        <w:rPr>
          <w:b/>
          <w:bCs/>
        </w:rPr>
      </w:pPr>
      <w:bookmarkStart w:id="4395" w:name="_Hlk26282861"/>
    </w:p>
    <w:p w14:paraId="57F237A6" w14:textId="3AACB2D3" w:rsidR="008D1FEE" w:rsidRDefault="008D1FEE" w:rsidP="008D1FEE">
      <w:pPr>
        <w:rPr>
          <w:b/>
          <w:bCs/>
        </w:rPr>
      </w:pPr>
      <w:r w:rsidRPr="008D1FEE">
        <w:rPr>
          <w:b/>
          <w:bCs/>
        </w:rPr>
        <w:t>Section 611.885  Report Delivery and Recordkeeping</w:t>
      </w:r>
    </w:p>
    <w:p w14:paraId="0E552245" w14:textId="77777777" w:rsidR="008D1FEE" w:rsidRPr="008D1FEE" w:rsidRDefault="008D1FEE" w:rsidP="008D1FEE">
      <w:pPr>
        <w:rPr>
          <w:b/>
          <w:bCs/>
        </w:rPr>
      </w:pPr>
    </w:p>
    <w:p w14:paraId="024DB8AB" w14:textId="77777777" w:rsidR="008D1FEE" w:rsidRPr="001A7517" w:rsidRDefault="008D1FEE" w:rsidP="008D1FEE">
      <w:pPr>
        <w:suppressAutoHyphens/>
        <w:ind w:left="1440" w:hanging="720"/>
        <w:rPr>
          <w:spacing w:val="-2"/>
        </w:rPr>
      </w:pPr>
      <w:r w:rsidRPr="001A7517">
        <w:rPr>
          <w:spacing w:val="-2"/>
        </w:rPr>
        <w:t>a)</w:t>
      </w:r>
      <w:r w:rsidRPr="001A7517">
        <w:rPr>
          <w:spacing w:val="-2"/>
        </w:rPr>
        <w:tab/>
        <w:t xml:space="preserve">Except as provided in subsection (g), each CWS </w:t>
      </w:r>
      <w:r w:rsidRPr="001A7517">
        <w:t xml:space="preserve">must </w:t>
      </w:r>
      <w:r w:rsidRPr="001A7517">
        <w:rPr>
          <w:spacing w:val="-2"/>
        </w:rPr>
        <w:t>mail or otherwise directly deliver one copy of the report to each customer.</w:t>
      </w:r>
    </w:p>
    <w:p w14:paraId="58526A21" w14:textId="77777777" w:rsidR="008D1FEE" w:rsidRDefault="008D1FEE" w:rsidP="008D1FEE">
      <w:pPr>
        <w:suppressAutoHyphens/>
        <w:ind w:left="1440" w:hanging="720"/>
        <w:rPr>
          <w:spacing w:val="-2"/>
        </w:rPr>
      </w:pPr>
    </w:p>
    <w:p w14:paraId="7AB23808" w14:textId="73106DD5" w:rsidR="008D1FEE" w:rsidRPr="001A7517" w:rsidRDefault="008D1FEE" w:rsidP="008D1FEE">
      <w:pPr>
        <w:suppressAutoHyphens/>
        <w:ind w:left="1440" w:hanging="720"/>
        <w:rPr>
          <w:spacing w:val="-2"/>
        </w:rPr>
      </w:pPr>
      <w:r w:rsidRPr="001A7517">
        <w:rPr>
          <w:spacing w:val="-2"/>
        </w:rPr>
        <w:t>b)</w:t>
      </w:r>
      <w:r w:rsidRPr="001A7517">
        <w:rPr>
          <w:spacing w:val="-2"/>
        </w:rPr>
        <w:tab/>
        <w:t xml:space="preserve">The CWS </w:t>
      </w:r>
      <w:r w:rsidRPr="001A7517">
        <w:t xml:space="preserve">must </w:t>
      </w:r>
      <w:r w:rsidRPr="001A7517">
        <w:rPr>
          <w:spacing w:val="-2"/>
        </w:rPr>
        <w:t xml:space="preserve">make a good faith effort to reach consumers who do not get water bills, using a means approved by the Agency by a SEP.  A good faith effort to reach consumers includes methods such as the following:  </w:t>
      </w:r>
      <w:r w:rsidRPr="001A7517">
        <w:t>p</w:t>
      </w:r>
      <w:r w:rsidRPr="001A7517">
        <w:rPr>
          <w:spacing w:val="-2"/>
        </w:rPr>
        <w:t>osting the reports on the Internet</w:t>
      </w:r>
      <w:r w:rsidRPr="001A7517">
        <w:t>,</w:t>
      </w:r>
      <w:r w:rsidRPr="001A7517">
        <w:rPr>
          <w:spacing w:val="-2"/>
        </w:rPr>
        <w:t xml:space="preserve"> advertising the availability of the report in the news media, publication in a local newspaper</w:t>
      </w:r>
      <w:r w:rsidRPr="001A7517">
        <w:t>, or</w:t>
      </w:r>
      <w:r w:rsidRPr="001A7517">
        <w:rPr>
          <w:spacing w:val="-2"/>
        </w:rPr>
        <w:t xml:space="preserve"> delivery to community organizations.</w:t>
      </w:r>
    </w:p>
    <w:p w14:paraId="5F996333" w14:textId="77777777" w:rsidR="008D1FEE" w:rsidRDefault="008D1FEE" w:rsidP="008D1FEE">
      <w:pPr>
        <w:suppressAutoHyphens/>
        <w:ind w:left="1440" w:hanging="720"/>
        <w:rPr>
          <w:spacing w:val="-2"/>
        </w:rPr>
      </w:pPr>
    </w:p>
    <w:p w14:paraId="221C88CA" w14:textId="6CBE679A" w:rsidR="008D1FEE" w:rsidRPr="001A7517" w:rsidRDefault="008D1FEE" w:rsidP="008D1FEE">
      <w:pPr>
        <w:suppressAutoHyphens/>
        <w:ind w:left="1440" w:hanging="720"/>
        <w:rPr>
          <w:spacing w:val="-2"/>
        </w:rPr>
      </w:pPr>
      <w:r w:rsidRPr="001A7517">
        <w:rPr>
          <w:spacing w:val="-2"/>
        </w:rPr>
        <w:t>c)</w:t>
      </w:r>
      <w:r w:rsidRPr="001A7517">
        <w:rPr>
          <w:spacing w:val="-2"/>
        </w:rPr>
        <w:tab/>
        <w:t xml:space="preserve">No later than the date the CWS is required to distribute the report to its customers, each CWS </w:t>
      </w:r>
      <w:r w:rsidRPr="001A7517">
        <w:t xml:space="preserve">must </w:t>
      </w:r>
      <w:r w:rsidRPr="001A7517">
        <w:rPr>
          <w:spacing w:val="-2"/>
        </w:rPr>
        <w:t xml:space="preserve">mail a copy of the report to the Agency, followed within </w:t>
      </w:r>
      <w:r w:rsidRPr="001A7517">
        <w:t>three</w:t>
      </w:r>
      <w:r w:rsidRPr="001A7517">
        <w:rPr>
          <w:spacing w:val="-2"/>
        </w:rPr>
        <w:t xml:space="preserve"> months by a certification that the report has been distributed to customers, and that the information is correct and consistent with the compliance monitoring data previously submitted to the Agency.</w:t>
      </w:r>
    </w:p>
    <w:p w14:paraId="26FFE63C" w14:textId="77777777" w:rsidR="008D1FEE" w:rsidRDefault="008D1FEE" w:rsidP="008D1FEE">
      <w:pPr>
        <w:suppressAutoHyphens/>
        <w:ind w:left="1440" w:hanging="720"/>
        <w:rPr>
          <w:spacing w:val="-2"/>
        </w:rPr>
      </w:pPr>
    </w:p>
    <w:p w14:paraId="3BB87DEE" w14:textId="1A7F76DE" w:rsidR="008D1FEE" w:rsidRPr="001A7517" w:rsidRDefault="008D1FEE" w:rsidP="008D1FEE">
      <w:pPr>
        <w:suppressAutoHyphens/>
        <w:ind w:left="1440" w:hanging="720"/>
        <w:rPr>
          <w:spacing w:val="-2"/>
        </w:rPr>
      </w:pPr>
      <w:r w:rsidRPr="001A7517">
        <w:rPr>
          <w:spacing w:val="-2"/>
        </w:rPr>
        <w:t>d)</w:t>
      </w:r>
      <w:r w:rsidRPr="001A7517">
        <w:rPr>
          <w:spacing w:val="-2"/>
        </w:rPr>
        <w:tab/>
        <w:t xml:space="preserve">No later than the date the CWS is required to distribute the report to its customers, each CWS </w:t>
      </w:r>
      <w:r w:rsidRPr="001A7517">
        <w:t xml:space="preserve">must </w:t>
      </w:r>
      <w:r w:rsidRPr="001A7517">
        <w:rPr>
          <w:spacing w:val="-2"/>
        </w:rPr>
        <w:t>deliver the report to any other agency or clearinghouse identified by the Agency.</w:t>
      </w:r>
    </w:p>
    <w:p w14:paraId="54CC3A7E" w14:textId="77777777" w:rsidR="008D1FEE" w:rsidRDefault="008D1FEE" w:rsidP="008D1FEE">
      <w:pPr>
        <w:suppressAutoHyphens/>
        <w:ind w:left="1440" w:hanging="720"/>
        <w:rPr>
          <w:spacing w:val="-2"/>
        </w:rPr>
      </w:pPr>
    </w:p>
    <w:p w14:paraId="2FC3F76B" w14:textId="42305F7E" w:rsidR="008D1FEE" w:rsidRPr="001A7517" w:rsidRDefault="008D1FEE" w:rsidP="008D1FEE">
      <w:pPr>
        <w:suppressAutoHyphens/>
        <w:ind w:left="1440" w:hanging="720"/>
        <w:rPr>
          <w:spacing w:val="-2"/>
        </w:rPr>
      </w:pPr>
      <w:r w:rsidRPr="001A7517">
        <w:rPr>
          <w:spacing w:val="-2"/>
        </w:rPr>
        <w:t>e)</w:t>
      </w:r>
      <w:r w:rsidRPr="001A7517">
        <w:rPr>
          <w:spacing w:val="-2"/>
        </w:rPr>
        <w:tab/>
        <w:t xml:space="preserve">Each CWS </w:t>
      </w:r>
      <w:r w:rsidRPr="001A7517">
        <w:t xml:space="preserve">must </w:t>
      </w:r>
      <w:r w:rsidRPr="001A7517">
        <w:rPr>
          <w:spacing w:val="-2"/>
        </w:rPr>
        <w:t>make its reports available to the public upon request.</w:t>
      </w:r>
    </w:p>
    <w:p w14:paraId="4B6DDF28" w14:textId="77777777" w:rsidR="008D1FEE" w:rsidRDefault="008D1FEE" w:rsidP="008D1FEE">
      <w:pPr>
        <w:suppressAutoHyphens/>
        <w:ind w:left="1440" w:hanging="720"/>
        <w:rPr>
          <w:spacing w:val="-2"/>
        </w:rPr>
      </w:pPr>
    </w:p>
    <w:p w14:paraId="0BF78330" w14:textId="39ECC5D2" w:rsidR="008D1FEE" w:rsidRPr="001A7517" w:rsidRDefault="008D1FEE" w:rsidP="008D1FEE">
      <w:pPr>
        <w:suppressAutoHyphens/>
        <w:ind w:left="1440" w:hanging="720"/>
        <w:rPr>
          <w:spacing w:val="-2"/>
        </w:rPr>
      </w:pPr>
      <w:r w:rsidRPr="001A7517">
        <w:rPr>
          <w:spacing w:val="-2"/>
        </w:rPr>
        <w:t>f)</w:t>
      </w:r>
      <w:r w:rsidRPr="001A7517">
        <w:rPr>
          <w:spacing w:val="-2"/>
        </w:rPr>
        <w:tab/>
        <w:t xml:space="preserve">Each CWS serving 100,000 or more persons </w:t>
      </w:r>
      <w:r w:rsidRPr="001A7517">
        <w:t xml:space="preserve">must </w:t>
      </w:r>
      <w:r w:rsidRPr="001A7517">
        <w:rPr>
          <w:spacing w:val="-2"/>
        </w:rPr>
        <w:t>post its current year’s report to a publicly-accessible site on the Internet.</w:t>
      </w:r>
    </w:p>
    <w:p w14:paraId="75D65293" w14:textId="77777777" w:rsidR="008D1FEE" w:rsidRDefault="008D1FEE" w:rsidP="008D1FEE">
      <w:pPr>
        <w:ind w:left="1440" w:hanging="720"/>
      </w:pPr>
    </w:p>
    <w:p w14:paraId="31708E92" w14:textId="5116E184" w:rsidR="008D1FEE" w:rsidRPr="001A7517" w:rsidRDefault="008D1FEE" w:rsidP="008D1FEE">
      <w:pPr>
        <w:ind w:left="1440" w:hanging="720"/>
      </w:pPr>
      <w:r w:rsidRPr="001A7517">
        <w:t>g)</w:t>
      </w:r>
      <w:r w:rsidRPr="001A7517">
        <w:tab/>
        <w:t>The Governor or his designee may waive the requirement of subsection (a) for a CWS serving fewer than 10,000 persons.</w:t>
      </w:r>
    </w:p>
    <w:p w14:paraId="18C06D29" w14:textId="77777777" w:rsidR="008D1FEE" w:rsidRDefault="008D1FEE" w:rsidP="008D1FEE">
      <w:pPr>
        <w:ind w:left="2160" w:hanging="720"/>
      </w:pPr>
    </w:p>
    <w:p w14:paraId="461A517A" w14:textId="3A2AD880" w:rsidR="008D1FEE" w:rsidRPr="001A7517" w:rsidRDefault="008D1FEE" w:rsidP="008D1FEE">
      <w:pPr>
        <w:ind w:left="2160" w:hanging="720"/>
      </w:pPr>
      <w:r w:rsidRPr="001A7517">
        <w:t>1)</w:t>
      </w:r>
      <w:r w:rsidRPr="001A7517">
        <w:tab/>
        <w:t>Such a CWS must do the following:</w:t>
      </w:r>
    </w:p>
    <w:p w14:paraId="1138A82D" w14:textId="77777777" w:rsidR="008D1FEE" w:rsidRDefault="008D1FEE" w:rsidP="008D1FEE">
      <w:pPr>
        <w:ind w:left="2880" w:hanging="720"/>
      </w:pPr>
    </w:p>
    <w:p w14:paraId="7AB4985F" w14:textId="29287C63" w:rsidR="008D1FEE" w:rsidRPr="001A7517" w:rsidRDefault="008D1FEE" w:rsidP="008D1FEE">
      <w:pPr>
        <w:ind w:left="2880" w:hanging="720"/>
      </w:pPr>
      <w:r w:rsidRPr="001A7517">
        <w:lastRenderedPageBreak/>
        <w:t>A)</w:t>
      </w:r>
      <w:r w:rsidRPr="001A7517">
        <w:tab/>
        <w:t>The CWS must publish the report in one or more local newspapers serving the county in which the CWS is located;</w:t>
      </w:r>
    </w:p>
    <w:p w14:paraId="06A8B844" w14:textId="77777777" w:rsidR="008D1FEE" w:rsidRDefault="008D1FEE" w:rsidP="008D1FEE">
      <w:pPr>
        <w:ind w:left="2880" w:hanging="720"/>
      </w:pPr>
    </w:p>
    <w:p w14:paraId="7D4679A8" w14:textId="45988164" w:rsidR="008D1FEE" w:rsidRPr="001A7517" w:rsidRDefault="008D1FEE" w:rsidP="008D1FEE">
      <w:pPr>
        <w:ind w:left="2880" w:hanging="720"/>
      </w:pPr>
      <w:r w:rsidRPr="001A7517">
        <w:t>B)</w:t>
      </w:r>
      <w:r w:rsidRPr="001A7517">
        <w:tab/>
        <w:t>The CWS must inform the customers that the report will not be mailed, either in the newspapers in which the report is published or by other means approved by the Agency; and</w:t>
      </w:r>
    </w:p>
    <w:p w14:paraId="6B591933" w14:textId="77777777" w:rsidR="008D1FEE" w:rsidRDefault="008D1FEE" w:rsidP="008D1FEE">
      <w:pPr>
        <w:ind w:left="2880" w:hanging="720"/>
      </w:pPr>
    </w:p>
    <w:p w14:paraId="13B619B2" w14:textId="11B1C180" w:rsidR="008D1FEE" w:rsidRPr="001A7517" w:rsidRDefault="008D1FEE" w:rsidP="008D1FEE">
      <w:pPr>
        <w:ind w:left="2880" w:hanging="720"/>
      </w:pPr>
      <w:r w:rsidRPr="001A7517">
        <w:t>C)</w:t>
      </w:r>
      <w:r w:rsidRPr="001A7517">
        <w:tab/>
        <w:t>The CWS must make the report available to the public upon request.</w:t>
      </w:r>
    </w:p>
    <w:p w14:paraId="35BE16E5" w14:textId="77777777" w:rsidR="008D1FEE" w:rsidRDefault="008D1FEE" w:rsidP="008D1FEE">
      <w:pPr>
        <w:ind w:left="2160" w:hanging="720"/>
      </w:pPr>
    </w:p>
    <w:p w14:paraId="4C047849" w14:textId="5428A13A" w:rsidR="008D1FEE" w:rsidRPr="001A7517" w:rsidRDefault="008D1FEE" w:rsidP="008D1FEE">
      <w:pPr>
        <w:ind w:left="2160" w:hanging="720"/>
      </w:pPr>
      <w:r w:rsidRPr="001A7517">
        <w:t>2)</w:t>
      </w:r>
      <w:r w:rsidRPr="001A7517">
        <w:tab/>
        <w:t>Systems serving fewer than 500 persons may forgo the requirements of subsections (g)(1)(A) and (g)(1)(B) if they provide notice at least once per year to their customers by mail, by door-to-door delivery, or by posting in a location approved by the Agency that the report is available upon request.</w:t>
      </w:r>
    </w:p>
    <w:p w14:paraId="6EB981F2" w14:textId="77777777" w:rsidR="008D1FEE" w:rsidRDefault="008D1FEE" w:rsidP="008D1FEE">
      <w:pPr>
        <w:ind w:left="1440" w:hanging="720"/>
        <w:rPr>
          <w:spacing w:val="-2"/>
        </w:rPr>
      </w:pPr>
    </w:p>
    <w:p w14:paraId="62877251" w14:textId="58812D73" w:rsidR="008D1FEE" w:rsidRPr="001A7517" w:rsidRDefault="008D1FEE" w:rsidP="008D1FEE">
      <w:pPr>
        <w:ind w:left="1440" w:hanging="720"/>
        <w:rPr>
          <w:spacing w:val="-2"/>
        </w:rPr>
      </w:pPr>
      <w:r w:rsidRPr="001A7517">
        <w:rPr>
          <w:spacing w:val="-2"/>
        </w:rPr>
        <w:t>h)</w:t>
      </w:r>
      <w:r w:rsidRPr="001A7517">
        <w:rPr>
          <w:spacing w:val="-2"/>
        </w:rPr>
        <w:tab/>
        <w:t>Any system subject to this Subpart</w:t>
      </w:r>
      <w:r w:rsidRPr="001A7517">
        <w:t xml:space="preserve"> U</w:t>
      </w:r>
      <w:r w:rsidRPr="001A7517">
        <w:rPr>
          <w:spacing w:val="-2"/>
        </w:rPr>
        <w:t xml:space="preserve"> </w:t>
      </w:r>
      <w:r w:rsidRPr="001A7517">
        <w:t xml:space="preserve">must </w:t>
      </w:r>
      <w:r w:rsidRPr="001A7517">
        <w:rPr>
          <w:spacing w:val="-2"/>
        </w:rPr>
        <w:t>retain copies of its consumer confidence report for no less than three years.</w:t>
      </w:r>
    </w:p>
    <w:p w14:paraId="6CEFC4B8" w14:textId="77777777" w:rsidR="008D1FEE" w:rsidRDefault="008D1FEE" w:rsidP="008D1FEE"/>
    <w:p w14:paraId="0139798D" w14:textId="5DBB13B4" w:rsidR="008D1FEE" w:rsidRPr="001A7517" w:rsidRDefault="008D1FEE" w:rsidP="008D1FEE">
      <w:r w:rsidRPr="001A7517">
        <w:t>BOARD NOTE:  Derived from 40 CFR 141.155.</w:t>
      </w:r>
    </w:p>
    <w:p w14:paraId="42123D0A" w14:textId="77777777" w:rsidR="008D1FEE" w:rsidRDefault="008D1FEE" w:rsidP="008D1FEE">
      <w:pPr>
        <w:suppressAutoHyphens/>
        <w:ind w:left="720"/>
      </w:pPr>
    </w:p>
    <w:p w14:paraId="14F8CDD3" w14:textId="455AA900" w:rsidR="008D1FEE" w:rsidRPr="001A7517" w:rsidRDefault="008D1FEE" w:rsidP="008D1FEE">
      <w:pPr>
        <w:suppressAutoHyphens/>
        <w:ind w:left="720"/>
      </w:pPr>
      <w:r w:rsidRPr="001A7517">
        <w:t>(Source:  A</w:t>
      </w:r>
      <w:r w:rsidRPr="001A7517">
        <w:rPr>
          <w:szCs w:val="17"/>
        </w:rPr>
        <w:t xml:space="preserve">mended at </w:t>
      </w:r>
      <w:r w:rsidRPr="001A7517">
        <w:t>42 Ill. Reg. 1140, effective January 4, 2018)</w:t>
      </w:r>
    </w:p>
    <w:bookmarkEnd w:id="4395"/>
    <w:p w14:paraId="4C2E3424" w14:textId="77777777" w:rsidR="008D1FEE" w:rsidRPr="003B4362" w:rsidRDefault="008D1FEE" w:rsidP="008D1FEE">
      <w:pPr>
        <w:widowControl w:val="0"/>
        <w:ind w:left="720"/>
      </w:pPr>
    </w:p>
    <w:p w14:paraId="540D5735" w14:textId="5EB03D81" w:rsidR="00F437D9" w:rsidRPr="003B4362" w:rsidRDefault="00F437D9" w:rsidP="00700487">
      <w:pPr>
        <w:jc w:val="center"/>
      </w:pPr>
      <w:r w:rsidRPr="003B4362">
        <w:t>SUBPART V:  PUBLIC NOTIFICATION OF DRINKING WATER VIOLATIONS</w:t>
      </w:r>
    </w:p>
    <w:p w14:paraId="2A345E5F" w14:textId="77777777" w:rsidR="00700487" w:rsidRPr="003B4362" w:rsidRDefault="00700487" w:rsidP="00700487">
      <w:pPr>
        <w:jc w:val="center"/>
      </w:pPr>
    </w:p>
    <w:p w14:paraId="1ED76E43" w14:textId="77777777" w:rsidR="00F437D9" w:rsidRPr="003B4362" w:rsidRDefault="00F437D9" w:rsidP="00700487">
      <w:pPr>
        <w:rPr>
          <w:b/>
          <w:bCs/>
        </w:rPr>
      </w:pPr>
      <w:r w:rsidRPr="003B4362">
        <w:rPr>
          <w:b/>
          <w:bCs/>
        </w:rPr>
        <w:t>Section 611.901  General Public Notification Requirements</w:t>
      </w:r>
    </w:p>
    <w:p w14:paraId="49ADCA4B" w14:textId="2F2D1896" w:rsidR="00F437D9" w:rsidRPr="003B4362" w:rsidRDefault="00F437D9" w:rsidP="00F437D9">
      <w:pPr>
        <w:widowControl w:val="0"/>
        <w:spacing w:before="240" w:after="240"/>
      </w:pPr>
      <w:r w:rsidRPr="003B4362">
        <w:t>The requirements of this Subpart V replace former notice requirements.</w:t>
      </w:r>
    </w:p>
    <w:p w14:paraId="2B3683CD" w14:textId="321CB10D" w:rsidR="00F437D9" w:rsidRPr="003B4362" w:rsidRDefault="00F437D9" w:rsidP="00F437D9">
      <w:pPr>
        <w:widowControl w:val="0"/>
        <w:spacing w:before="240" w:after="240"/>
        <w:ind w:left="1440" w:hanging="720"/>
      </w:pPr>
      <w:r w:rsidRPr="003B4362">
        <w:t>a)</w:t>
      </w:r>
      <w:r w:rsidRPr="003B4362">
        <w:tab/>
        <w:t xml:space="preserve">Who Must Give Public Notice.  Each owner or operator of a </w:t>
      </w:r>
      <w:r w:rsidR="002521CA" w:rsidRPr="003B4362">
        <w:t xml:space="preserve">PWS </w:t>
      </w:r>
      <w:r w:rsidRPr="003B4362">
        <w:t>(a CWS, an NTNCWS, or a transient non-CWS) must give notice for all violations of an NPDWR and for other situations, as listed in this subsection (a).  The term “NPDWR violation” is used in this Subpart V to include violations of an MCL, an MRDL, a treatment technique, monitoring requirements, or a testing procedure set forth in this Part.  Appendix G identifies the tier assignment for each specific violation or situation requiring a public notice.</w:t>
      </w:r>
    </w:p>
    <w:p w14:paraId="656B202B" w14:textId="77777777" w:rsidR="00F437D9" w:rsidRPr="003B4362" w:rsidRDefault="00F437D9" w:rsidP="00F437D9">
      <w:pPr>
        <w:widowControl w:val="0"/>
        <w:spacing w:before="240" w:after="240"/>
        <w:ind w:left="2160" w:hanging="720"/>
      </w:pPr>
      <w:r w:rsidRPr="003B4362">
        <w:t>1)</w:t>
      </w:r>
      <w:r w:rsidRPr="003B4362">
        <w:tab/>
        <w:t>NPDWR Violations</w:t>
      </w:r>
    </w:p>
    <w:p w14:paraId="59BE0383" w14:textId="77777777" w:rsidR="00F437D9" w:rsidRPr="003B4362" w:rsidRDefault="00F437D9" w:rsidP="00F437D9">
      <w:pPr>
        <w:widowControl w:val="0"/>
        <w:spacing w:before="240" w:after="240"/>
        <w:ind w:left="2880" w:hanging="720"/>
      </w:pPr>
      <w:r w:rsidRPr="003B4362">
        <w:t>A)</w:t>
      </w:r>
      <w:r w:rsidRPr="003B4362">
        <w:tab/>
        <w:t>A failure to comply with an applicable MCL or MRDL.</w:t>
      </w:r>
    </w:p>
    <w:p w14:paraId="69999606" w14:textId="77777777" w:rsidR="00F437D9" w:rsidRPr="003B4362" w:rsidRDefault="00F437D9" w:rsidP="00F437D9">
      <w:pPr>
        <w:widowControl w:val="0"/>
        <w:spacing w:before="240" w:after="240"/>
        <w:ind w:left="2880" w:hanging="720"/>
      </w:pPr>
      <w:r w:rsidRPr="003B4362">
        <w:t>B)</w:t>
      </w:r>
      <w:r w:rsidRPr="003B4362">
        <w:tab/>
        <w:t>A failure to comply with a prescribed treatment technique.</w:t>
      </w:r>
    </w:p>
    <w:p w14:paraId="441D516D" w14:textId="77777777" w:rsidR="00F437D9" w:rsidRPr="003B4362" w:rsidRDefault="00F437D9" w:rsidP="00F437D9">
      <w:pPr>
        <w:widowControl w:val="0"/>
        <w:spacing w:before="240" w:after="240"/>
        <w:ind w:left="2880" w:hanging="720"/>
      </w:pPr>
      <w:r w:rsidRPr="003B4362">
        <w:t>C)</w:t>
      </w:r>
      <w:r w:rsidRPr="003B4362">
        <w:tab/>
        <w:t>A failure to perform water quality monitoring, as required by this Part.</w:t>
      </w:r>
    </w:p>
    <w:p w14:paraId="33C995FE" w14:textId="77777777" w:rsidR="00F437D9" w:rsidRPr="003B4362" w:rsidRDefault="00F437D9" w:rsidP="00F437D9">
      <w:pPr>
        <w:widowControl w:val="0"/>
        <w:spacing w:before="240" w:after="240"/>
        <w:ind w:left="2880" w:hanging="720"/>
      </w:pPr>
      <w:r w:rsidRPr="003B4362">
        <w:lastRenderedPageBreak/>
        <w:t>D)</w:t>
      </w:r>
      <w:r w:rsidRPr="003B4362">
        <w:tab/>
        <w:t>A failure to comply with testing procedures as prescribed by this Part.</w:t>
      </w:r>
    </w:p>
    <w:p w14:paraId="578C117B" w14:textId="77777777" w:rsidR="00F437D9" w:rsidRPr="003B4362" w:rsidRDefault="00F437D9" w:rsidP="00F437D9">
      <w:pPr>
        <w:widowControl w:val="0"/>
        <w:spacing w:before="240" w:after="240"/>
        <w:ind w:left="2160" w:hanging="720"/>
      </w:pPr>
      <w:r w:rsidRPr="003B4362">
        <w:t>2)</w:t>
      </w:r>
      <w:r w:rsidRPr="003B4362">
        <w:tab/>
        <w:t>Relief Equivalent to a Variance and Exemptions under Sections 1415 and 1416 of SDWA.</w:t>
      </w:r>
    </w:p>
    <w:p w14:paraId="33877E37" w14:textId="77777777" w:rsidR="00F437D9" w:rsidRPr="003B4362" w:rsidRDefault="00F437D9" w:rsidP="00F437D9">
      <w:pPr>
        <w:widowControl w:val="0"/>
        <w:spacing w:before="240" w:after="240"/>
        <w:ind w:left="2880" w:hanging="720"/>
      </w:pPr>
      <w:r w:rsidRPr="003B4362">
        <w:t>A)</w:t>
      </w:r>
      <w:r w:rsidRPr="003B4362">
        <w:tab/>
        <w:t>Operation under relief equivalent to a SDWA section 1415 variance, under Section 611.111, or a SDWA section 1416 exemption, under Section 611.112.</w:t>
      </w:r>
    </w:p>
    <w:p w14:paraId="7001D859" w14:textId="75EECD82" w:rsidR="00F437D9" w:rsidRPr="003B4362" w:rsidRDefault="00F437D9" w:rsidP="00F437D9">
      <w:pPr>
        <w:widowControl w:val="0"/>
        <w:spacing w:before="240" w:after="240"/>
        <w:ind w:left="2880" w:hanging="720"/>
      </w:pPr>
      <w:r w:rsidRPr="003B4362">
        <w:t>B)</w:t>
      </w:r>
      <w:r w:rsidRPr="003B4362">
        <w:tab/>
        <w:t xml:space="preserve">A failure to comply with the requirements of any schedule that </w:t>
      </w:r>
      <w:r w:rsidR="00A854C7" w:rsidRPr="003B4362">
        <w:t>has</w:t>
      </w:r>
      <w:r w:rsidRPr="003B4362">
        <w:t xml:space="preserve"> been set under relief equivalent to a SDWA section 1415 variance, under Section 611.111, or a SDWA section 1415 exemption, under Section 611.112.</w:t>
      </w:r>
    </w:p>
    <w:p w14:paraId="11D5BC68" w14:textId="77777777" w:rsidR="00F437D9" w:rsidRPr="003B4362" w:rsidRDefault="00F437D9" w:rsidP="00F437D9">
      <w:pPr>
        <w:widowControl w:val="0"/>
        <w:spacing w:before="240" w:after="240"/>
        <w:ind w:left="2160" w:hanging="720"/>
      </w:pPr>
      <w:r w:rsidRPr="003B4362">
        <w:t>3)</w:t>
      </w:r>
      <w:r w:rsidRPr="003B4362">
        <w:tab/>
        <w:t>Special Public Notices</w:t>
      </w:r>
    </w:p>
    <w:p w14:paraId="4FA98ED0" w14:textId="77777777" w:rsidR="00F437D9" w:rsidRPr="003B4362" w:rsidRDefault="00F437D9" w:rsidP="00F437D9">
      <w:pPr>
        <w:widowControl w:val="0"/>
        <w:spacing w:before="240" w:after="240"/>
        <w:ind w:left="2880" w:hanging="720"/>
      </w:pPr>
      <w:r w:rsidRPr="003B4362">
        <w:t>A)</w:t>
      </w:r>
      <w:r w:rsidRPr="003B4362">
        <w:tab/>
        <w:t>The occurrence of a waterborne disease outbreak or other waterborne emergency.</w:t>
      </w:r>
    </w:p>
    <w:p w14:paraId="36D8A1C5" w14:textId="11C10423" w:rsidR="00F437D9" w:rsidRPr="003B4362" w:rsidRDefault="00F437D9" w:rsidP="00F437D9">
      <w:pPr>
        <w:widowControl w:val="0"/>
        <w:spacing w:before="240" w:after="240"/>
        <w:ind w:left="2880" w:hanging="720"/>
      </w:pPr>
      <w:r w:rsidRPr="003B4362">
        <w:t>B)</w:t>
      </w:r>
      <w:r w:rsidRPr="003B4362">
        <w:tab/>
        <w:t xml:space="preserve">An exceedance of the nitrate MCL by a non-CWS, </w:t>
      </w:r>
      <w:r w:rsidR="005B7BD2" w:rsidRPr="003B4362">
        <w:rPr>
          <w:spacing w:val="-3"/>
        </w:rPr>
        <w:t xml:space="preserve">if </w:t>
      </w:r>
      <w:r w:rsidRPr="003B4362">
        <w:t>granted permission by the Agency under Section 611.300(d).</w:t>
      </w:r>
    </w:p>
    <w:p w14:paraId="2FC2E519" w14:textId="34C85FF9" w:rsidR="00F437D9" w:rsidRPr="003B4362" w:rsidRDefault="00F437D9" w:rsidP="00F437D9">
      <w:pPr>
        <w:widowControl w:val="0"/>
        <w:spacing w:before="240" w:after="240"/>
        <w:ind w:left="2880" w:hanging="720"/>
      </w:pPr>
      <w:r w:rsidRPr="003B4362">
        <w:t>C)</w:t>
      </w:r>
      <w:r w:rsidRPr="003B4362">
        <w:tab/>
        <w:t>The notice required by Section 611.908 for an exceedance of 2 mg/</w:t>
      </w:r>
      <w:r w:rsidR="00E411A9" w:rsidRPr="003B4362">
        <w:t xml:space="preserve"> L</w:t>
      </w:r>
      <w:r w:rsidRPr="003B4362">
        <w:t xml:space="preserve"> fluoride (the federal secondary MCL for fluoride (see 40 CFR 143.3)).</w:t>
      </w:r>
    </w:p>
    <w:p w14:paraId="62DBC473" w14:textId="77777777" w:rsidR="00F437D9" w:rsidRPr="003B4362" w:rsidRDefault="00F437D9" w:rsidP="00F437D9">
      <w:pPr>
        <w:spacing w:before="240"/>
        <w:ind w:left="2880"/>
      </w:pPr>
      <w:r w:rsidRPr="003B4362">
        <w:t>BOARD NOTE:  See the Board Note appended to Section 611.908 for explanation.</w:t>
      </w:r>
    </w:p>
    <w:p w14:paraId="240C5DD9" w14:textId="77777777" w:rsidR="00F437D9" w:rsidRPr="003B4362" w:rsidRDefault="00F437D9" w:rsidP="00F437D9">
      <w:pPr>
        <w:widowControl w:val="0"/>
        <w:spacing w:before="240" w:after="240"/>
        <w:ind w:left="2880" w:hanging="720"/>
      </w:pPr>
      <w:r w:rsidRPr="003B4362">
        <w:t>D)</w:t>
      </w:r>
      <w:r w:rsidRPr="003B4362">
        <w:tab/>
        <w:t xml:space="preserve">The availability of unregulated contaminant monitoring data collected as required by </w:t>
      </w:r>
      <w:r w:rsidRPr="003B4362">
        <w:rPr>
          <w:spacing w:val="-2"/>
        </w:rPr>
        <w:t>USEPA under 40 CFR 141.40</w:t>
      </w:r>
      <w:r w:rsidRPr="003B4362">
        <w:t>.</w:t>
      </w:r>
    </w:p>
    <w:p w14:paraId="09792128" w14:textId="0616A236" w:rsidR="00F437D9" w:rsidRPr="003B4362" w:rsidRDefault="00F437D9" w:rsidP="00F437D9">
      <w:pPr>
        <w:widowControl w:val="0"/>
        <w:spacing w:before="240" w:after="240"/>
        <w:ind w:left="2880" w:hanging="720"/>
      </w:pPr>
      <w:r w:rsidRPr="003B4362">
        <w:t>E)</w:t>
      </w:r>
      <w:r w:rsidRPr="003B4362">
        <w:tab/>
        <w:t xml:space="preserve">Other violations and situations determined by the Agency </w:t>
      </w:r>
      <w:r w:rsidR="00600B3F" w:rsidRPr="003B4362">
        <w:t xml:space="preserve">in </w:t>
      </w:r>
      <w:r w:rsidRPr="003B4362">
        <w:t>a SEP to require a public notice under this Subpart V, not already listed in Appendix G.</w:t>
      </w:r>
    </w:p>
    <w:p w14:paraId="31505540" w14:textId="03563C06" w:rsidR="007948A3" w:rsidRPr="003B4362" w:rsidRDefault="007948A3" w:rsidP="007948A3">
      <w:pPr>
        <w:autoSpaceDE w:val="0"/>
        <w:autoSpaceDN w:val="0"/>
        <w:adjustRightInd w:val="0"/>
        <w:ind w:left="2880" w:hanging="720"/>
        <w:rPr>
          <w:szCs w:val="24"/>
        </w:rPr>
      </w:pPr>
      <w:r w:rsidRPr="003B4362">
        <w:rPr>
          <w:szCs w:val="24"/>
        </w:rPr>
        <w:t>F)</w:t>
      </w:r>
      <w:r w:rsidRPr="003B4362">
        <w:rPr>
          <w:szCs w:val="24"/>
        </w:rPr>
        <w:tab/>
        <w:t>E</w:t>
      </w:r>
      <w:bookmarkStart w:id="4396" w:name="_Hlk126757906"/>
      <w:r w:rsidRPr="003B4362">
        <w:rPr>
          <w:szCs w:val="24"/>
        </w:rPr>
        <w:t>xceeding the lead action level</w:t>
      </w:r>
      <w:bookmarkEnd w:id="4396"/>
      <w:r w:rsidRPr="003B4362">
        <w:rPr>
          <w:szCs w:val="24"/>
        </w:rPr>
        <w:t>.</w:t>
      </w:r>
    </w:p>
    <w:p w14:paraId="06F9AE69" w14:textId="77777777" w:rsidR="00F437D9" w:rsidRPr="003B4362" w:rsidRDefault="00F437D9" w:rsidP="00F437D9">
      <w:pPr>
        <w:widowControl w:val="0"/>
        <w:spacing w:before="240" w:after="240"/>
        <w:ind w:left="1440" w:hanging="720"/>
      </w:pPr>
      <w:r w:rsidRPr="003B4362">
        <w:t>b)</w:t>
      </w:r>
      <w:r w:rsidRPr="003B4362">
        <w:tab/>
        <w:t>The Type of Public Notice Required for Each Violation or Situation.  The public notice requirements of this Subpart V are divided into three tiers, to take into account the seriousness of the violation or situation and of any potential adverse health effects that may be involved.  The public notice requirements for each violation or situation listed in subsection (a) are determined by the tier to which it is assigned.  This subsection (b) provides the definition of each tier.  Appendix G identifies the tier assignment for each specific violation or situation.</w:t>
      </w:r>
    </w:p>
    <w:p w14:paraId="33A4B26F" w14:textId="77777777" w:rsidR="00F437D9" w:rsidRPr="003B4362" w:rsidRDefault="00F437D9" w:rsidP="00F437D9">
      <w:pPr>
        <w:widowControl w:val="0"/>
        <w:spacing w:before="240" w:after="240"/>
        <w:ind w:left="2160" w:hanging="720"/>
      </w:pPr>
      <w:r w:rsidRPr="003B4362">
        <w:lastRenderedPageBreak/>
        <w:t>1)</w:t>
      </w:r>
      <w:r w:rsidRPr="003B4362">
        <w:tab/>
        <w:t>Tier 1 public notice:  required for NPDWR violations and situations with significant potential to have serious adverse effects on human health as a result of short-term exposure.</w:t>
      </w:r>
    </w:p>
    <w:p w14:paraId="505E2051" w14:textId="77777777" w:rsidR="00F437D9" w:rsidRPr="003B4362" w:rsidRDefault="00F437D9" w:rsidP="00F437D9">
      <w:pPr>
        <w:widowControl w:val="0"/>
        <w:spacing w:before="240" w:after="240"/>
        <w:ind w:left="2160" w:hanging="720"/>
      </w:pPr>
      <w:r w:rsidRPr="003B4362">
        <w:t>2)</w:t>
      </w:r>
      <w:r w:rsidRPr="003B4362">
        <w:tab/>
        <w:t>Tier 2 public notice:  required for all other NPDWR violations and situations with potential to have serious adverse effects on human health.</w:t>
      </w:r>
    </w:p>
    <w:p w14:paraId="460AB504" w14:textId="77777777" w:rsidR="00F437D9" w:rsidRPr="003B4362" w:rsidRDefault="00F437D9" w:rsidP="00F437D9">
      <w:pPr>
        <w:widowControl w:val="0"/>
        <w:spacing w:before="240" w:after="240"/>
        <w:ind w:left="2160" w:hanging="720"/>
      </w:pPr>
      <w:r w:rsidRPr="003B4362">
        <w:t>3)</w:t>
      </w:r>
      <w:r w:rsidRPr="003B4362">
        <w:tab/>
        <w:t>Tier 3 public notice:  required for all other NPDWR violations and situations not included in Tier 1 and Tier 2.</w:t>
      </w:r>
    </w:p>
    <w:p w14:paraId="23CF4261" w14:textId="77777777" w:rsidR="00F437D9" w:rsidRPr="003B4362" w:rsidRDefault="00F437D9" w:rsidP="00F437D9">
      <w:pPr>
        <w:widowControl w:val="0"/>
        <w:spacing w:before="240" w:after="240"/>
        <w:ind w:left="1440" w:hanging="720"/>
      </w:pPr>
      <w:r w:rsidRPr="003B4362">
        <w:t>c)</w:t>
      </w:r>
      <w:r w:rsidRPr="003B4362">
        <w:tab/>
        <w:t>Who Must Receive Notice</w:t>
      </w:r>
    </w:p>
    <w:p w14:paraId="61325A9A" w14:textId="2D59A16C" w:rsidR="00F437D9" w:rsidRPr="003B4362" w:rsidRDefault="00F437D9" w:rsidP="00F437D9">
      <w:pPr>
        <w:widowControl w:val="0"/>
        <w:spacing w:before="240" w:after="240"/>
        <w:ind w:left="2160" w:hanging="720"/>
      </w:pPr>
      <w:r w:rsidRPr="003B4362">
        <w:t>1)</w:t>
      </w:r>
      <w:r w:rsidRPr="003B4362">
        <w:tab/>
        <w:t>Each PWS supplier must provide public notice to persons served by the water supplier</w:t>
      </w:r>
      <w:r w:rsidR="00367647" w:rsidRPr="003B4362">
        <w:t xml:space="preserve"> under</w:t>
      </w:r>
      <w:r w:rsidRPr="003B4362">
        <w:t xml:space="preserve"> this Subpart V.  A PWS supplier that sells or otherwise provides drinking water to another PWS supplier (i.e., to a consecutive system) is required to give public notice to the owner or operator of the consecutive system; the consecutive system supplier is responsible for providing public notice to the persons it serves.</w:t>
      </w:r>
    </w:p>
    <w:p w14:paraId="63CABE34" w14:textId="2987A014" w:rsidR="00F437D9" w:rsidRPr="003B4362" w:rsidRDefault="00F437D9" w:rsidP="00F437D9">
      <w:pPr>
        <w:widowControl w:val="0"/>
        <w:spacing w:before="240" w:after="240"/>
        <w:ind w:left="2160" w:hanging="720"/>
      </w:pPr>
      <w:r w:rsidRPr="003B4362">
        <w:t>2)</w:t>
      </w:r>
      <w:r w:rsidRPr="003B4362">
        <w:tab/>
        <w:t xml:space="preserve">If a PWS supplier </w:t>
      </w:r>
      <w:r w:rsidR="00A854C7" w:rsidRPr="003B4362">
        <w:t>has</w:t>
      </w:r>
      <w:r w:rsidRPr="003B4362">
        <w:t xml:space="preserve"> a violation in a portion of the distribution system that is physically or hydraulically isolated from other parts of the distribution system, the Agency may allow the system to limit distribution of the public notice to only persons served by that portion of the system that is out of compliance.  </w:t>
      </w:r>
      <w:r w:rsidR="00600B3F" w:rsidRPr="003B4362">
        <w:t xml:space="preserve">The </w:t>
      </w:r>
      <w:r w:rsidRPr="003B4362">
        <w:t xml:space="preserve">Agency </w:t>
      </w:r>
      <w:r w:rsidR="00600B3F" w:rsidRPr="003B4362">
        <w:t>must issue a SEP when allowing the supplier to limit distributing notice</w:t>
      </w:r>
      <w:r w:rsidRPr="003B4362">
        <w:t>.</w:t>
      </w:r>
    </w:p>
    <w:p w14:paraId="73EFBF2F" w14:textId="373D80B2" w:rsidR="00F437D9" w:rsidRPr="003B4362" w:rsidRDefault="00F437D9" w:rsidP="00F437D9">
      <w:pPr>
        <w:widowControl w:val="0"/>
        <w:spacing w:before="240" w:after="240"/>
        <w:ind w:left="2160" w:hanging="720"/>
      </w:pPr>
      <w:r w:rsidRPr="003B4362">
        <w:t>3)</w:t>
      </w:r>
      <w:r w:rsidRPr="003B4362">
        <w:tab/>
      </w:r>
      <w:r w:rsidR="00DF075F" w:rsidRPr="003B4362">
        <w:t>T</w:t>
      </w:r>
      <w:bookmarkStart w:id="4397" w:name="_Hlk126759801"/>
      <w:bookmarkStart w:id="4398" w:name="_Hlk126759742"/>
      <w:r w:rsidR="00DF075F" w:rsidRPr="003B4362">
        <w:t xml:space="preserve">he supplier must also submit a </w:t>
      </w:r>
      <w:r w:rsidRPr="003B4362">
        <w:t>copy of the notice</w:t>
      </w:r>
      <w:bookmarkEnd w:id="4397"/>
      <w:r w:rsidRPr="003B4362">
        <w:t xml:space="preserve"> </w:t>
      </w:r>
      <w:bookmarkEnd w:id="4398"/>
      <w:r w:rsidRPr="003B4362">
        <w:t>to the Agency</w:t>
      </w:r>
      <w:r w:rsidR="00741855" w:rsidRPr="003B4362">
        <w:rPr>
          <w:szCs w:val="24"/>
        </w:rPr>
        <w:t xml:space="preserve"> and the Administrator </w:t>
      </w:r>
      <w:bookmarkStart w:id="4399" w:name="_Hlk126760041"/>
      <w:r w:rsidR="00741855" w:rsidRPr="003B4362">
        <w:rPr>
          <w:szCs w:val="24"/>
        </w:rPr>
        <w:t>(</w:t>
      </w:r>
      <w:r w:rsidR="0011695C" w:rsidRPr="003B4362">
        <w:rPr>
          <w:szCs w:val="24"/>
        </w:rPr>
        <w:t>for exceeding the lead action level</w:t>
      </w:r>
      <w:r w:rsidR="00741855" w:rsidRPr="003B4362">
        <w:rPr>
          <w:szCs w:val="24"/>
        </w:rPr>
        <w:t>)</w:t>
      </w:r>
      <w:bookmarkEnd w:id="4399"/>
      <w:r w:rsidRPr="003B4362">
        <w:t xml:space="preserve"> </w:t>
      </w:r>
      <w:bookmarkStart w:id="4400" w:name="_Hlk126759866"/>
      <w:r w:rsidRPr="003B4362">
        <w:t>under Section 611.840(d)</w:t>
      </w:r>
      <w:bookmarkEnd w:id="4400"/>
      <w:r w:rsidRPr="003B4362">
        <w:t>.</w:t>
      </w:r>
    </w:p>
    <w:p w14:paraId="4F86564D" w14:textId="6465F8AE" w:rsidR="00F437D9" w:rsidRPr="003B4362" w:rsidRDefault="00F437D9" w:rsidP="00F437D9">
      <w:pPr>
        <w:widowControl w:val="0"/>
        <w:spacing w:before="240" w:after="240"/>
        <w:rPr>
          <w:spacing w:val="-3"/>
        </w:rPr>
      </w:pPr>
      <w:r w:rsidRPr="003B4362">
        <w:rPr>
          <w:spacing w:val="-3"/>
        </w:rPr>
        <w:t xml:space="preserve">BOARD NOTE:  </w:t>
      </w:r>
      <w:r w:rsidR="00260D73" w:rsidRPr="003B4362">
        <w:rPr>
          <w:spacing w:val="-3"/>
        </w:rPr>
        <w:t xml:space="preserve">This Section derives </w:t>
      </w:r>
      <w:r w:rsidRPr="003B4362">
        <w:rPr>
          <w:spacing w:val="-3"/>
        </w:rPr>
        <w:t>from 40 CFR 141.201.</w:t>
      </w:r>
    </w:p>
    <w:p w14:paraId="6FA994EC" w14:textId="2B761FE3" w:rsidR="00F437D9" w:rsidRPr="003B4362" w:rsidRDefault="00EB353D" w:rsidP="00F437D9">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p>
    <w:p w14:paraId="22BDD6ED" w14:textId="77777777" w:rsidR="00700487" w:rsidRPr="003B4362" w:rsidRDefault="00700487" w:rsidP="00700487">
      <w:pPr>
        <w:suppressAutoHyphens/>
        <w:ind w:left="720"/>
      </w:pPr>
    </w:p>
    <w:p w14:paraId="57C3107A" w14:textId="77777777" w:rsidR="00F437D9" w:rsidRPr="003B4362" w:rsidRDefault="00F437D9" w:rsidP="00700487">
      <w:pPr>
        <w:rPr>
          <w:b/>
          <w:bCs/>
        </w:rPr>
      </w:pPr>
      <w:r w:rsidRPr="003B4362">
        <w:rPr>
          <w:b/>
          <w:bCs/>
        </w:rPr>
        <w:t>Section 611.902  Tier 1 Public Notice:  Form, Manner, and Frequency of Notice</w:t>
      </w:r>
    </w:p>
    <w:p w14:paraId="715C0424" w14:textId="77777777" w:rsidR="00F437D9" w:rsidRPr="003B4362" w:rsidRDefault="00F437D9" w:rsidP="00F437D9">
      <w:pPr>
        <w:spacing w:before="240" w:after="240"/>
        <w:ind w:left="1440" w:hanging="720"/>
      </w:pPr>
      <w:r w:rsidRPr="003B4362">
        <w:t>a)</w:t>
      </w:r>
      <w:r w:rsidRPr="003B4362">
        <w:tab/>
        <w:t>Violations or Situations That Require a Tier 1 Public Notice.  This subsection (a) lists the violation categories and other situations requiring a Tier 1 public notice.  Appendix G identifies the tier assignment for each specific violation or situation.  The violation categories include:</w:t>
      </w:r>
    </w:p>
    <w:p w14:paraId="7217C187" w14:textId="77777777" w:rsidR="00F437D9" w:rsidRPr="003B4362" w:rsidRDefault="00F437D9" w:rsidP="00F437D9">
      <w:pPr>
        <w:spacing w:before="240" w:after="240"/>
        <w:ind w:left="2160" w:hanging="720"/>
      </w:pPr>
      <w:r w:rsidRPr="003B4362">
        <w:t>1)</w:t>
      </w:r>
      <w:r w:rsidRPr="003B4362">
        <w:tab/>
        <w:t xml:space="preserve">Violation </w:t>
      </w:r>
      <w:r w:rsidRPr="003B4362">
        <w:rPr>
          <w:szCs w:val="24"/>
        </w:rPr>
        <w:t xml:space="preserve">of the MCL for </w:t>
      </w:r>
      <w:r w:rsidRPr="003B4362">
        <w:rPr>
          <w:iCs/>
          <w:szCs w:val="24"/>
        </w:rPr>
        <w:t xml:space="preserve">E. coli </w:t>
      </w:r>
      <w:r w:rsidRPr="003B4362">
        <w:rPr>
          <w:szCs w:val="24"/>
        </w:rPr>
        <w:t>(as specified in Section 611.325(c)).</w:t>
      </w:r>
    </w:p>
    <w:p w14:paraId="146839FA" w14:textId="77777777" w:rsidR="00F437D9" w:rsidRPr="003B4362" w:rsidRDefault="00F437D9" w:rsidP="00F437D9">
      <w:pPr>
        <w:spacing w:before="240" w:after="240"/>
        <w:ind w:left="2160" w:hanging="720"/>
      </w:pPr>
      <w:r w:rsidRPr="003B4362">
        <w:t>2)</w:t>
      </w:r>
      <w:r w:rsidRPr="003B4362">
        <w:tab/>
        <w:t xml:space="preserve">Violation of the MCL for nitrate, nitrite, or total nitrate and nitrite, as defined in Section 611.301, or when the water supplier fails to take a confirmation sample within 24 hours after the supplier’s receipt of the </w:t>
      </w:r>
      <w:r w:rsidRPr="003B4362">
        <w:lastRenderedPageBreak/>
        <w:t>results from the first sample showing an exceedance of the nitrate or nitrite MCL, as specified in Section 611.606(b).</w:t>
      </w:r>
    </w:p>
    <w:p w14:paraId="7D84EEE1" w14:textId="37021011" w:rsidR="00F437D9" w:rsidRPr="003B4362" w:rsidRDefault="00F437D9" w:rsidP="00F437D9">
      <w:pPr>
        <w:spacing w:before="240" w:after="240"/>
        <w:ind w:left="2160" w:hanging="720"/>
      </w:pPr>
      <w:r w:rsidRPr="003B4362">
        <w:t>3)</w:t>
      </w:r>
      <w:r w:rsidRPr="003B4362">
        <w:tab/>
        <w:t xml:space="preserve">Exceedance of the nitrate MCL by a non-CWS supplier, </w:t>
      </w:r>
      <w:r w:rsidR="005B7BD2" w:rsidRPr="003B4362">
        <w:rPr>
          <w:spacing w:val="-3"/>
        </w:rPr>
        <w:t xml:space="preserve">if </w:t>
      </w:r>
      <w:r w:rsidRPr="003B4362">
        <w:t>permitted to exceed the MCL by the Agency under Section 611.300(d), as required under Section 611.909.</w:t>
      </w:r>
    </w:p>
    <w:p w14:paraId="6FCD1D61" w14:textId="77777777" w:rsidR="00F437D9" w:rsidRPr="003B4362" w:rsidRDefault="00F437D9" w:rsidP="00F437D9">
      <w:pPr>
        <w:spacing w:before="240" w:after="240"/>
        <w:ind w:left="2160" w:hanging="720"/>
      </w:pPr>
      <w:r w:rsidRPr="003B4362">
        <w:t>4)</w:t>
      </w:r>
      <w:r w:rsidRPr="003B4362">
        <w:tab/>
        <w:t>Violation of the MRDL for chlorine dioxide, as defined in Section 611.313(a), when one or more samples taken in the distribution system the day following an exceedance of the MRDL at the entrance of the distribution system exceed the MRDL, or when the water supplier does not take the required samples in the distribution system, as specified in Section 611.383(c)(2)(A).</w:t>
      </w:r>
    </w:p>
    <w:p w14:paraId="2AED04F5" w14:textId="77777777" w:rsidR="00F437D9" w:rsidRPr="003B4362" w:rsidRDefault="00F437D9" w:rsidP="00F437D9">
      <w:pPr>
        <w:spacing w:before="240" w:after="240"/>
        <w:ind w:left="2160" w:hanging="720"/>
      </w:pPr>
      <w:r w:rsidRPr="003B4362">
        <w:t>5)</w:t>
      </w:r>
      <w:r w:rsidRPr="003B4362">
        <w:tab/>
        <w:t>This subsection (a)(5) refers to a violation of the former turbidity standard of Section 611.320, which the Board repealed because it applied to no suppliers in Illinois.  This statement maintains structural consistency with the federal regulations.</w:t>
      </w:r>
    </w:p>
    <w:p w14:paraId="61E3E213" w14:textId="5C46EB02" w:rsidR="00F437D9" w:rsidRPr="003B4362" w:rsidRDefault="00F437D9" w:rsidP="00F437D9">
      <w:pPr>
        <w:spacing w:before="240" w:after="240"/>
        <w:ind w:left="2160" w:hanging="720"/>
      </w:pPr>
      <w:r w:rsidRPr="003B4362">
        <w:t>6)</w:t>
      </w:r>
      <w:r w:rsidRPr="003B4362">
        <w:tab/>
        <w:t xml:space="preserve">Violation of the Surface Water Treatment Rule (SWTR), Interim Enhanced Surface Water Treatment Rule (IESWTR), or Long Term 1 Enhanced Surface Water Treatment Rule (LT1ESWTR) treatment technique requirement resulting from a single exceedance of the maximum allowable turbidity limit (as identified in Appendix G), </w:t>
      </w:r>
      <w:r w:rsidR="005B7BD2" w:rsidRPr="003B4362">
        <w:rPr>
          <w:spacing w:val="-3"/>
        </w:rPr>
        <w:t xml:space="preserve">if </w:t>
      </w:r>
      <w:r w:rsidRPr="003B4362">
        <w:t xml:space="preserve">the Agency determines after consultation that a Tier 1 </w:t>
      </w:r>
      <w:r w:rsidR="00CA4B4F" w:rsidRPr="003B4362">
        <w:t xml:space="preserve">public </w:t>
      </w:r>
      <w:r w:rsidRPr="003B4362">
        <w:t xml:space="preserve">notice is required or </w:t>
      </w:r>
      <w:r w:rsidR="005B7BD2" w:rsidRPr="003B4362">
        <w:rPr>
          <w:spacing w:val="-3"/>
        </w:rPr>
        <w:t xml:space="preserve">if </w:t>
      </w:r>
      <w:r w:rsidRPr="003B4362">
        <w:t>consultation does not take place within 24 hours after the supplier learns of the violation.</w:t>
      </w:r>
    </w:p>
    <w:p w14:paraId="7E64E025" w14:textId="77777777" w:rsidR="00F437D9" w:rsidRPr="003B4362" w:rsidRDefault="00F437D9" w:rsidP="00F437D9">
      <w:pPr>
        <w:spacing w:before="240" w:after="240"/>
        <w:ind w:left="2160" w:hanging="720"/>
      </w:pPr>
      <w:r w:rsidRPr="003B4362">
        <w:t>7)</w:t>
      </w:r>
      <w:r w:rsidRPr="003B4362">
        <w:tab/>
        <w:t>Occurrence of a waterborne disease outbreak, as defined in Section 611.101, or other waterborne emergency (such as a failure or significant interruption in key water treatment processes, a natural disaster that disrupts the water supply or distribution system, or a chemical spill or unexpected loading of possible pathogens into the source water that significantly increases the potential for drinking water contamination).</w:t>
      </w:r>
    </w:p>
    <w:p w14:paraId="7EF7E532" w14:textId="77777777" w:rsidR="00F437D9" w:rsidRPr="003B4362" w:rsidRDefault="00F437D9" w:rsidP="00F437D9">
      <w:pPr>
        <w:spacing w:before="240" w:after="240"/>
        <w:ind w:left="2160" w:hanging="720"/>
      </w:pPr>
      <w:r w:rsidRPr="003B4362">
        <w:t>8)</w:t>
      </w:r>
      <w:r w:rsidRPr="003B4362">
        <w:tab/>
        <w:t>Detection of E. coli, enterococci, or coliphage in source water samples, as specified in Section 611.802(a) and (b).</w:t>
      </w:r>
    </w:p>
    <w:p w14:paraId="0720B5D0" w14:textId="27B28AAA" w:rsidR="00F437D9" w:rsidRPr="003B4362" w:rsidRDefault="00F437D9" w:rsidP="00F437D9">
      <w:pPr>
        <w:spacing w:before="240" w:after="240"/>
        <w:ind w:left="2160" w:hanging="720"/>
      </w:pPr>
      <w:r w:rsidRPr="003B4362">
        <w:t>9)</w:t>
      </w:r>
      <w:r w:rsidRPr="003B4362">
        <w:tab/>
        <w:t xml:space="preserve">Other violations or situations with significant potential to have serious adverse effects on human health as a result of short-term exposure, as determined by the Agency </w:t>
      </w:r>
      <w:r w:rsidR="00DF075F" w:rsidRPr="003B4362">
        <w:t xml:space="preserve">in </w:t>
      </w:r>
      <w:r w:rsidRPr="003B4362">
        <w:t>a SEP.</w:t>
      </w:r>
    </w:p>
    <w:p w14:paraId="75EB0809" w14:textId="433D5AB2" w:rsidR="0011695C" w:rsidRPr="003B4362" w:rsidRDefault="0011695C" w:rsidP="0011695C">
      <w:pPr>
        <w:autoSpaceDE w:val="0"/>
        <w:autoSpaceDN w:val="0"/>
        <w:adjustRightInd w:val="0"/>
        <w:ind w:left="2160" w:hanging="720"/>
        <w:rPr>
          <w:szCs w:val="24"/>
        </w:rPr>
      </w:pPr>
      <w:r w:rsidRPr="003B4362">
        <w:rPr>
          <w:szCs w:val="24"/>
        </w:rPr>
        <w:t>10)</w:t>
      </w:r>
      <w:r w:rsidRPr="003B4362">
        <w:rPr>
          <w:szCs w:val="24"/>
        </w:rPr>
        <w:tab/>
        <w:t>Exceed</w:t>
      </w:r>
      <w:r w:rsidR="006C501E" w:rsidRPr="003B4362">
        <w:rPr>
          <w:szCs w:val="24"/>
        </w:rPr>
        <w:t>ing</w:t>
      </w:r>
      <w:r w:rsidRPr="003B4362">
        <w:rPr>
          <w:szCs w:val="24"/>
        </w:rPr>
        <w:t xml:space="preserve"> the</w:t>
      </w:r>
      <w:r w:rsidR="006C501E" w:rsidRPr="003B4362">
        <w:rPr>
          <w:szCs w:val="24"/>
        </w:rPr>
        <w:t xml:space="preserve"> </w:t>
      </w:r>
      <w:r w:rsidRPr="003B4362">
        <w:rPr>
          <w:szCs w:val="24"/>
        </w:rPr>
        <w:t xml:space="preserve">lead </w:t>
      </w:r>
      <w:r w:rsidR="006C501E" w:rsidRPr="003B4362">
        <w:rPr>
          <w:szCs w:val="24"/>
        </w:rPr>
        <w:t xml:space="preserve">action level, </w:t>
      </w:r>
      <w:bookmarkStart w:id="4401" w:name="_Hlk126761699"/>
      <w:r w:rsidRPr="003B4362">
        <w:rPr>
          <w:szCs w:val="24"/>
        </w:rPr>
        <w:t>as</w:t>
      </w:r>
      <w:r w:rsidR="006C501E" w:rsidRPr="003B4362">
        <w:rPr>
          <w:szCs w:val="24"/>
        </w:rPr>
        <w:t xml:space="preserve"> </w:t>
      </w:r>
      <w:r w:rsidRPr="003B4362">
        <w:rPr>
          <w:szCs w:val="24"/>
        </w:rPr>
        <w:t>Section 141.80(c)</w:t>
      </w:r>
      <w:r w:rsidR="006C501E" w:rsidRPr="003B4362">
        <w:rPr>
          <w:szCs w:val="24"/>
        </w:rPr>
        <w:t xml:space="preserve"> specifies</w:t>
      </w:r>
      <w:bookmarkEnd w:id="4401"/>
      <w:r w:rsidRPr="003B4362">
        <w:rPr>
          <w:szCs w:val="24"/>
        </w:rPr>
        <w:t>.</w:t>
      </w:r>
    </w:p>
    <w:p w14:paraId="0CEBAFC7" w14:textId="077E548F" w:rsidR="00F437D9" w:rsidRPr="003B4362" w:rsidRDefault="00F437D9" w:rsidP="00F437D9">
      <w:pPr>
        <w:spacing w:before="240" w:after="240"/>
        <w:ind w:left="1440" w:hanging="720"/>
      </w:pPr>
      <w:r w:rsidRPr="003B4362">
        <w:t>b)</w:t>
      </w:r>
      <w:r w:rsidRPr="003B4362">
        <w:tab/>
        <w:t>When the Tier 1 Public Notice Is to Be Provided.  Additional Steps Required.  A PWS supplier must do the following:</w:t>
      </w:r>
    </w:p>
    <w:p w14:paraId="48C31625" w14:textId="77777777" w:rsidR="00F437D9" w:rsidRPr="003B4362" w:rsidRDefault="00F437D9" w:rsidP="00F437D9">
      <w:pPr>
        <w:spacing w:before="240" w:after="240"/>
        <w:ind w:left="2160" w:hanging="720"/>
      </w:pPr>
      <w:r w:rsidRPr="003B4362">
        <w:lastRenderedPageBreak/>
        <w:t>1)</w:t>
      </w:r>
      <w:r w:rsidRPr="003B4362">
        <w:tab/>
        <w:t>It must provide a public notice as soon as practical but no later than 24 hours after the supplier learns of the violation;</w:t>
      </w:r>
    </w:p>
    <w:p w14:paraId="7F3573C3" w14:textId="77777777" w:rsidR="00F437D9" w:rsidRPr="003B4362" w:rsidRDefault="00F437D9" w:rsidP="00F437D9">
      <w:pPr>
        <w:spacing w:before="240" w:after="240"/>
        <w:ind w:left="2160" w:hanging="720"/>
      </w:pPr>
      <w:r w:rsidRPr="003B4362">
        <w:t>2)</w:t>
      </w:r>
      <w:r w:rsidRPr="003B4362">
        <w:tab/>
        <w:t>It must initiate consultation with the Agency as soon as practical, but no later than 24 hours after the PWS supplier learns of the violation or situation, to determine additional public notice requirements; and</w:t>
      </w:r>
    </w:p>
    <w:p w14:paraId="40A6F660" w14:textId="77777777" w:rsidR="00F437D9" w:rsidRPr="003B4362" w:rsidRDefault="00F437D9" w:rsidP="00F437D9">
      <w:pPr>
        <w:spacing w:before="240" w:after="240"/>
        <w:ind w:left="2160" w:hanging="720"/>
      </w:pPr>
      <w:r w:rsidRPr="003B4362">
        <w:t>3)</w:t>
      </w:r>
      <w:r w:rsidRPr="003B4362">
        <w:tab/>
        <w:t>It must comply with any additional public notification requirements (including any repeat notices or direction on the duration of the posted notices) that are established as a result of the consultation with the Agency.  Such requirements may include the timing, form, manner, frequency, and content of repeat notices (if any) and other actions designed to reach all persons served.</w:t>
      </w:r>
    </w:p>
    <w:p w14:paraId="6046A880" w14:textId="77777777" w:rsidR="00F437D9" w:rsidRPr="003B4362" w:rsidRDefault="00F437D9" w:rsidP="00F437D9">
      <w:pPr>
        <w:spacing w:before="240" w:after="240"/>
        <w:ind w:left="1440" w:hanging="720"/>
      </w:pPr>
      <w:r w:rsidRPr="003B4362">
        <w:t>c)</w:t>
      </w:r>
      <w:r w:rsidRPr="003B4362">
        <w:tab/>
        <w:t>The Form and Manner of the Public Notice.  A PWS supplier must provide the notice within 24 hours in a form and manner reasonably calculated to reach all persons served.  The form and manner used by the PWS supplier are to fit the specific situation, but must be designed to reach residential, transient, and non-transient users of the water system.  In order to reach all persons served, a water supplier is to use, at a minimum, one or more of the following forms of delivery:</w:t>
      </w:r>
    </w:p>
    <w:p w14:paraId="11BB185C" w14:textId="77777777" w:rsidR="00F437D9" w:rsidRPr="003B4362" w:rsidRDefault="00F437D9" w:rsidP="00F437D9">
      <w:pPr>
        <w:spacing w:before="240" w:after="240"/>
        <w:ind w:left="2160" w:hanging="720"/>
      </w:pPr>
      <w:r w:rsidRPr="003B4362">
        <w:t>1)</w:t>
      </w:r>
      <w:r w:rsidRPr="003B4362">
        <w:tab/>
        <w:t>Appropriate broadcast media (such as radio and television);</w:t>
      </w:r>
    </w:p>
    <w:p w14:paraId="51A23D70" w14:textId="77777777" w:rsidR="00F437D9" w:rsidRPr="003B4362" w:rsidRDefault="00F437D9" w:rsidP="00F437D9">
      <w:pPr>
        <w:spacing w:before="240" w:after="240"/>
        <w:ind w:left="2160" w:hanging="720"/>
      </w:pPr>
      <w:r w:rsidRPr="003B4362">
        <w:t>2)</w:t>
      </w:r>
      <w:r w:rsidRPr="003B4362">
        <w:tab/>
        <w:t>Posting of the notice in conspicuous locations throughout the area served by the water supplier;</w:t>
      </w:r>
    </w:p>
    <w:p w14:paraId="581BDE7B" w14:textId="77777777" w:rsidR="00F437D9" w:rsidRPr="003B4362" w:rsidRDefault="00F437D9" w:rsidP="00F437D9">
      <w:pPr>
        <w:spacing w:before="240" w:after="240"/>
        <w:ind w:left="2160" w:hanging="720"/>
      </w:pPr>
      <w:r w:rsidRPr="003B4362">
        <w:t>3)</w:t>
      </w:r>
      <w:r w:rsidRPr="003B4362">
        <w:tab/>
        <w:t>Hand delivery of the notice to persons served by the water supplier; or</w:t>
      </w:r>
    </w:p>
    <w:p w14:paraId="40330AFF" w14:textId="147E994A" w:rsidR="00F437D9" w:rsidRPr="003B4362" w:rsidRDefault="00F437D9" w:rsidP="00F437D9">
      <w:pPr>
        <w:spacing w:before="240" w:after="240"/>
        <w:ind w:left="2160" w:hanging="720"/>
      </w:pPr>
      <w:r w:rsidRPr="003B4362">
        <w:t>4)</w:t>
      </w:r>
      <w:r w:rsidRPr="003B4362">
        <w:tab/>
        <w:t xml:space="preserve">Another delivery method approved in writing by the Agency </w:t>
      </w:r>
      <w:r w:rsidR="00DF075F" w:rsidRPr="003B4362">
        <w:t xml:space="preserve">in </w:t>
      </w:r>
      <w:r w:rsidRPr="003B4362">
        <w:t>a SEP.</w:t>
      </w:r>
    </w:p>
    <w:p w14:paraId="0139AB36" w14:textId="57CB6D38" w:rsidR="00F437D9" w:rsidRPr="003B4362" w:rsidRDefault="00F437D9" w:rsidP="00F437D9">
      <w:pPr>
        <w:spacing w:before="240" w:after="240"/>
        <w:rPr>
          <w:spacing w:val="-3"/>
        </w:rPr>
      </w:pPr>
      <w:r w:rsidRPr="003B4362">
        <w:rPr>
          <w:spacing w:val="-3"/>
        </w:rPr>
        <w:t xml:space="preserve">BOARD NOTE:  </w:t>
      </w:r>
      <w:r w:rsidR="00260D73" w:rsidRPr="003B4362">
        <w:rPr>
          <w:spacing w:val="-3"/>
        </w:rPr>
        <w:t xml:space="preserve">This Section derives </w:t>
      </w:r>
      <w:r w:rsidRPr="003B4362">
        <w:rPr>
          <w:spacing w:val="-3"/>
        </w:rPr>
        <w:t>from 40 CFR 141.202.</w:t>
      </w:r>
    </w:p>
    <w:p w14:paraId="1C69F08A" w14:textId="659AA02B" w:rsidR="00F437D9" w:rsidRPr="003B4362" w:rsidRDefault="00EB353D" w:rsidP="00F437D9">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3D7BD30B" w14:textId="77777777" w:rsidR="00F0626C" w:rsidRPr="001A7517" w:rsidRDefault="00F0626C" w:rsidP="00F0626C">
      <w:pPr>
        <w:keepNext/>
        <w:keepLines/>
        <w:suppressAutoHyphens/>
        <w:spacing w:before="240" w:after="240"/>
        <w:rPr>
          <w:b/>
        </w:rPr>
      </w:pPr>
      <w:r w:rsidRPr="001A7517">
        <w:rPr>
          <w:b/>
        </w:rPr>
        <w:t>Section 611.903  Tier 2 Public Notice:  Form, Manner, and Frequency of Notice</w:t>
      </w:r>
    </w:p>
    <w:p w14:paraId="525C33B9" w14:textId="77777777" w:rsidR="00F0626C" w:rsidRPr="001A7517" w:rsidRDefault="00F0626C" w:rsidP="00F0626C">
      <w:pPr>
        <w:spacing w:before="240" w:after="240"/>
        <w:ind w:left="1440" w:hanging="720"/>
      </w:pPr>
      <w:r w:rsidRPr="001A7517">
        <w:t>a)</w:t>
      </w:r>
      <w:r w:rsidRPr="001A7517">
        <w:tab/>
        <w:t>Violations or Situations That Require a Tier 2 Public Notice.  This subsection (a) lists the violation categories and other situations requiring a Tier 2 public notice.  Appendix G identifies the tier assignment for each specific violation or situation.</w:t>
      </w:r>
    </w:p>
    <w:p w14:paraId="36391B2C" w14:textId="77777777" w:rsidR="00F0626C" w:rsidRPr="001A7517" w:rsidRDefault="00F0626C" w:rsidP="00F0626C">
      <w:pPr>
        <w:spacing w:before="240" w:after="240"/>
        <w:ind w:left="2160" w:hanging="720"/>
      </w:pPr>
      <w:r w:rsidRPr="001A7517">
        <w:t>1)</w:t>
      </w:r>
      <w:r w:rsidRPr="001A7517">
        <w:tab/>
        <w:t xml:space="preserve">All violations of the MCL, MRDL, and treatment technique requirements, except </w:t>
      </w:r>
      <w:r w:rsidRPr="001A7517">
        <w:rPr>
          <w:spacing w:val="-3"/>
        </w:rPr>
        <w:t xml:space="preserve">if </w:t>
      </w:r>
      <w:r w:rsidRPr="001A7517">
        <w:t xml:space="preserve">a Tier 1 notice is required under Section 611.902(a) or </w:t>
      </w:r>
      <w:r w:rsidRPr="001A7517">
        <w:rPr>
          <w:spacing w:val="-3"/>
        </w:rPr>
        <w:t xml:space="preserve">if </w:t>
      </w:r>
      <w:r w:rsidRPr="001A7517">
        <w:t>the Agency determines by a SEP that a Tier 1 notice is required.</w:t>
      </w:r>
    </w:p>
    <w:p w14:paraId="47D42E17" w14:textId="77777777" w:rsidR="00F0626C" w:rsidRPr="001A7517" w:rsidRDefault="00F0626C" w:rsidP="00F0626C">
      <w:pPr>
        <w:spacing w:before="240" w:after="240"/>
        <w:ind w:left="2160" w:hanging="720"/>
      </w:pPr>
      <w:r w:rsidRPr="001A7517">
        <w:t>2)</w:t>
      </w:r>
      <w:r w:rsidRPr="001A7517">
        <w:tab/>
        <w:t xml:space="preserve">Violations of the monitoring and testing procedure requirements, </w:t>
      </w:r>
      <w:r w:rsidRPr="001A7517">
        <w:rPr>
          <w:spacing w:val="-3"/>
        </w:rPr>
        <w:t xml:space="preserve">if </w:t>
      </w:r>
      <w:r w:rsidRPr="001A7517">
        <w:t xml:space="preserve">the Agency determines by a SEP that a Tier 2 rather than a Tier 3 public </w:t>
      </w:r>
      <w:r w:rsidRPr="001A7517">
        <w:lastRenderedPageBreak/>
        <w:t>notice is required, taking into account potential health impacts and persistence of the violation.</w:t>
      </w:r>
    </w:p>
    <w:p w14:paraId="31F910A8" w14:textId="77777777" w:rsidR="00F0626C" w:rsidRPr="001A7517" w:rsidRDefault="00F0626C" w:rsidP="00F0626C">
      <w:pPr>
        <w:spacing w:before="240" w:after="240"/>
        <w:ind w:left="2160" w:hanging="720"/>
      </w:pPr>
      <w:r w:rsidRPr="001A7517">
        <w:t>3)</w:t>
      </w:r>
      <w:r w:rsidRPr="001A7517">
        <w:tab/>
        <w:t>Failure to comply with the terms and conditions of any relief equivalent to a SDWA section 1415 variance or a SDWA section 1416 exemption in place.</w:t>
      </w:r>
    </w:p>
    <w:p w14:paraId="3B00D0E0" w14:textId="77777777" w:rsidR="00F0626C" w:rsidRPr="001A7517" w:rsidRDefault="00F0626C" w:rsidP="00F0626C">
      <w:pPr>
        <w:spacing w:before="240" w:after="240"/>
        <w:ind w:left="2160" w:hanging="720"/>
      </w:pPr>
      <w:r w:rsidRPr="001A7517">
        <w:t>4)</w:t>
      </w:r>
      <w:r w:rsidRPr="001A7517">
        <w:tab/>
        <w:t>Failure to take corrective action or failure to maintain at least 4-log treatment of viruses (using inactivation, removal, or an Agency-approved combination of 4-log virus inactivation and removal) before or at the first customer under Section 611.803(a).</w:t>
      </w:r>
    </w:p>
    <w:p w14:paraId="295A0508" w14:textId="77777777" w:rsidR="00F0626C" w:rsidRPr="001A7517" w:rsidRDefault="00F0626C" w:rsidP="00F0626C">
      <w:pPr>
        <w:spacing w:before="240" w:after="240"/>
        <w:ind w:left="1440" w:hanging="720"/>
      </w:pPr>
      <w:r w:rsidRPr="001A7517">
        <w:t>b)</w:t>
      </w:r>
      <w:r w:rsidRPr="001A7517">
        <w:tab/>
        <w:t>When Tier 2 Public Notice Is to Be Provided</w:t>
      </w:r>
    </w:p>
    <w:p w14:paraId="7D7FCDB5" w14:textId="77777777" w:rsidR="00F0626C" w:rsidRPr="001A7517" w:rsidRDefault="00F0626C" w:rsidP="00F0626C">
      <w:pPr>
        <w:spacing w:before="240" w:after="240"/>
        <w:ind w:left="2160" w:hanging="720"/>
      </w:pPr>
      <w:r w:rsidRPr="001A7517">
        <w:t>1)</w:t>
      </w:r>
      <w:r w:rsidRPr="001A7517">
        <w:tab/>
        <w:t>A PWS supplier must provide the public notice as soon as practical, but no later than 30 days after the supplier learns of the violation.  If the public notice is posted, the notice must remain in place for as long as the violation or situation persists, but in no case for less than seven days, even if the violation or situation is resolved.  The Agency may, in appropriate circumstances, by a SEP, allow additional time for the initial notice of up to three months from the date the supplier learns of the violation. It is not appropriate for the Agency to grant an extension to the 30-day deadline for any unresolved violation or to allow across-the-board extensions by rule or policy for other violations or situations requiring a Tier 2 public notice.  Extensions granted by the Agency must be in writing.</w:t>
      </w:r>
    </w:p>
    <w:p w14:paraId="2B0395BC" w14:textId="77777777" w:rsidR="00F0626C" w:rsidRPr="001A7517" w:rsidRDefault="00F0626C" w:rsidP="00F0626C">
      <w:pPr>
        <w:spacing w:before="240" w:after="240"/>
        <w:ind w:left="2160" w:hanging="720"/>
      </w:pPr>
      <w:r w:rsidRPr="001A7517">
        <w:t>2)</w:t>
      </w:r>
      <w:r w:rsidRPr="001A7517">
        <w:tab/>
        <w:t xml:space="preserve">The PWS supplier must repeat the notice every three months as long as the violation or situation persists, unless the Agency determines that appropriate circumstances warrant a different repeat notice frequency.  In no circumstance may the repeat notice be given less frequently than once per year.  It is not appropriate for the Agency to allow less frequent repeat notice for an MCL </w:t>
      </w:r>
      <w:r w:rsidRPr="001A7517">
        <w:rPr>
          <w:szCs w:val="24"/>
        </w:rPr>
        <w:t xml:space="preserve">or treatment technique </w:t>
      </w:r>
      <w:r w:rsidRPr="001A7517">
        <w:t xml:space="preserve">violation under the Total Coliform Rule </w:t>
      </w:r>
      <w:r w:rsidRPr="001A7517">
        <w:rPr>
          <w:szCs w:val="24"/>
        </w:rPr>
        <w:t xml:space="preserve">or Subpart AA </w:t>
      </w:r>
      <w:r w:rsidRPr="001A7517">
        <w:t>or a treatment technique violation under the Surface Water Treatment Rule or Interim Enhanced Surface Water Treatment Rule.  It is also not appropriate for the Agency to allow across-the-board reductions in the repeat notice frequency for other ongoing violations requiring a Tier 2 repeat notice.  An Agency determination allowing repeat notices to be given less frequently than once every three months must be in writing.</w:t>
      </w:r>
    </w:p>
    <w:p w14:paraId="4394263D" w14:textId="77777777" w:rsidR="00F0626C" w:rsidRPr="001A7517" w:rsidRDefault="00F0626C" w:rsidP="00F0626C">
      <w:pPr>
        <w:spacing w:before="240" w:after="240"/>
        <w:ind w:left="2160" w:hanging="720"/>
      </w:pPr>
      <w:r w:rsidRPr="001A7517">
        <w:t>3)</w:t>
      </w:r>
      <w:r w:rsidRPr="001A7517">
        <w:tab/>
        <w:t xml:space="preserve">For the turbidity violations specified in this subsection (b)(3), a PWS supplier must consult with the Agency as soon as practical but no later than 24 hours after the supplier learns of the violation, to determine whether a Tier 1 public notice under Section 611.902(a) is required to protect public health.  When consultation does not take place within the </w:t>
      </w:r>
      <w:r w:rsidRPr="001A7517">
        <w:lastRenderedPageBreak/>
        <w:t>24-hour period, the water system must distribute a Tier 1 notice of the violation within the next 24 hours (i.e., no later than 48 hours after the supplier learns of the violation), following the requirements under Section 611.902(b) and (c).  Consultation with the Agency is required for the following:</w:t>
      </w:r>
    </w:p>
    <w:p w14:paraId="258BBCF1" w14:textId="77777777" w:rsidR="00F0626C" w:rsidRPr="001A7517" w:rsidRDefault="00F0626C" w:rsidP="00F0626C">
      <w:pPr>
        <w:spacing w:before="240" w:after="240"/>
        <w:ind w:left="2880" w:hanging="720"/>
      </w:pPr>
      <w:r w:rsidRPr="001A7517">
        <w:t>A)</w:t>
      </w:r>
      <w:r w:rsidRPr="001A7517">
        <w:tab/>
        <w:t>Violation of the turbidity MCL under Section 611.320(b); or</w:t>
      </w:r>
    </w:p>
    <w:p w14:paraId="7CDC27AA" w14:textId="77777777" w:rsidR="00F0626C" w:rsidRPr="001A7517" w:rsidRDefault="00F0626C" w:rsidP="00F0626C">
      <w:pPr>
        <w:spacing w:before="240" w:after="240"/>
        <w:ind w:left="2880" w:hanging="720"/>
      </w:pPr>
      <w:r w:rsidRPr="001A7517">
        <w:t>B)</w:t>
      </w:r>
      <w:r w:rsidRPr="001A7517">
        <w:tab/>
        <w:t>Violation of the SWTR, IESWTR, or treatment technique requirement resulting from a single exceedance of the maximum allowable turbidity limit.</w:t>
      </w:r>
    </w:p>
    <w:p w14:paraId="24EA94DA" w14:textId="77777777" w:rsidR="00F0626C" w:rsidRPr="001A7517" w:rsidRDefault="00F0626C" w:rsidP="00F0626C">
      <w:pPr>
        <w:widowControl w:val="0"/>
        <w:spacing w:before="240" w:after="240"/>
        <w:ind w:left="1440" w:hanging="720"/>
      </w:pPr>
      <w:r w:rsidRPr="001A7517">
        <w:t>c)</w:t>
      </w:r>
      <w:r w:rsidRPr="001A7517">
        <w:tab/>
        <w:t>The Form and Manner of Tier 2 Public Notice.  A PWS supplier must provide the initial public notice and any repeat notices in a form and manner that is reasonably calculated to reach persons served in the required time period.  The form and manner of the public notice may vary based on the specific situation and type of water system, but it must at a minimum meet the following requirements:</w:t>
      </w:r>
    </w:p>
    <w:p w14:paraId="565D3ED8" w14:textId="77777777" w:rsidR="00F0626C" w:rsidRPr="001A7517" w:rsidRDefault="00F0626C" w:rsidP="00F0626C">
      <w:pPr>
        <w:spacing w:before="240" w:after="240"/>
        <w:ind w:left="2160" w:hanging="720"/>
      </w:pPr>
      <w:r w:rsidRPr="001A7517">
        <w:t>1)</w:t>
      </w:r>
      <w:r w:rsidRPr="001A7517">
        <w:tab/>
        <w:t>Unless directed otherwise by the Agency in writing, by a SEP, a CWS supplier must provide notice by the following:</w:t>
      </w:r>
    </w:p>
    <w:p w14:paraId="5240C187" w14:textId="77777777" w:rsidR="00F0626C" w:rsidRPr="001A7517" w:rsidRDefault="00F0626C" w:rsidP="00F0626C">
      <w:pPr>
        <w:spacing w:before="240" w:after="240"/>
        <w:ind w:left="2880" w:hanging="720"/>
      </w:pPr>
      <w:r w:rsidRPr="001A7517">
        <w:t>A)</w:t>
      </w:r>
      <w:r w:rsidRPr="001A7517">
        <w:tab/>
        <w:t>Mail or other direct delivery to each customer receiving a bill and to other service connections to which water is delivered by the PWS supplier; and</w:t>
      </w:r>
    </w:p>
    <w:p w14:paraId="194D48D0" w14:textId="77777777" w:rsidR="00F0626C" w:rsidRPr="001A7517" w:rsidRDefault="00F0626C" w:rsidP="00F0626C">
      <w:pPr>
        <w:spacing w:before="240" w:after="240"/>
        <w:ind w:left="2880" w:hanging="720"/>
      </w:pPr>
      <w:r w:rsidRPr="001A7517">
        <w:t>B)</w:t>
      </w:r>
      <w:r w:rsidRPr="001A7517">
        <w:tab/>
        <w:t>Any other method reasonably calculated to reach other persons regularly served by the supplier, if they would not normally be reached by the notice required in subsection (c)(1)(A).  Such persons may include those who do not pay water bills or do not have service connection addresses (e.g., house renters, apartment dwellers, university students, nursing home patients, prison inmates, etc.). Other methods may include: Publication in a local newspaper; delivery of multiple copies for distribution by customers that provide their drinking water to others (e.g., apartment building owners or large private employers); posting in public places served by the supplier or on the Internet; or delivery to community organizations.</w:t>
      </w:r>
    </w:p>
    <w:p w14:paraId="44EF1533" w14:textId="77777777" w:rsidR="00F0626C" w:rsidRPr="001A7517" w:rsidRDefault="00F0626C" w:rsidP="00F0626C">
      <w:pPr>
        <w:spacing w:before="240" w:after="240"/>
        <w:ind w:left="2160" w:hanging="720"/>
      </w:pPr>
      <w:r w:rsidRPr="001A7517">
        <w:t>2)</w:t>
      </w:r>
      <w:r w:rsidRPr="001A7517">
        <w:tab/>
        <w:t>Unless directed otherwise by the Agency in writing, by a SEP, a non-CWS supplier must provide notice by the following means:</w:t>
      </w:r>
    </w:p>
    <w:p w14:paraId="230D23DD" w14:textId="77777777" w:rsidR="00F0626C" w:rsidRPr="001A7517" w:rsidRDefault="00F0626C" w:rsidP="00F0626C">
      <w:pPr>
        <w:spacing w:before="240" w:after="240"/>
        <w:ind w:left="2880" w:hanging="720"/>
      </w:pPr>
      <w:r w:rsidRPr="001A7517">
        <w:t>A)</w:t>
      </w:r>
      <w:r w:rsidRPr="001A7517">
        <w:tab/>
        <w:t>Posting the notice in conspicuous locations throughout the distribution system frequented by persons served by the supplier, or by mail or direct delivery to each customer and service connection (</w:t>
      </w:r>
      <w:r w:rsidRPr="001A7517">
        <w:rPr>
          <w:spacing w:val="-3"/>
        </w:rPr>
        <w:t xml:space="preserve">if </w:t>
      </w:r>
      <w:r w:rsidRPr="001A7517">
        <w:t>known); and</w:t>
      </w:r>
    </w:p>
    <w:p w14:paraId="4A25A30F" w14:textId="77777777" w:rsidR="00F0626C" w:rsidRPr="001A7517" w:rsidRDefault="00F0626C" w:rsidP="00F0626C">
      <w:pPr>
        <w:spacing w:before="240" w:after="240"/>
        <w:ind w:left="2880" w:hanging="720"/>
      </w:pPr>
      <w:r w:rsidRPr="001A7517">
        <w:lastRenderedPageBreak/>
        <w:t>B)</w:t>
      </w:r>
      <w:r w:rsidRPr="001A7517">
        <w:tab/>
        <w:t>Any other method reasonably calculated to reach other persons served by the system if they would not normally be reached by the notice required in subsection (c)(2)(A).  Such persons may include those served who may not see a posted notice because the posted notice is not in a location they routinely pass by.  Other methods may include the following:  Publication in a local newspaper or newsletter distributed to customers; use of E-mail to notify employees or students; or delivery of multiple copies in central locations (e.g., community centers).</w:t>
      </w:r>
    </w:p>
    <w:p w14:paraId="20ED651F" w14:textId="77777777" w:rsidR="00F0626C" w:rsidRPr="001A7517" w:rsidRDefault="00F0626C" w:rsidP="00F0626C">
      <w:pPr>
        <w:spacing w:before="240" w:after="240"/>
        <w:rPr>
          <w:spacing w:val="-3"/>
        </w:rPr>
      </w:pPr>
      <w:r w:rsidRPr="001A7517">
        <w:rPr>
          <w:spacing w:val="-3"/>
        </w:rPr>
        <w:t>BOARD NOTE:  Derived from 40 CFR 141.203.</w:t>
      </w:r>
    </w:p>
    <w:p w14:paraId="4E4D149A"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7E1C3694" w14:textId="77777777" w:rsidR="00F0626C" w:rsidRPr="001A7517" w:rsidRDefault="00F0626C" w:rsidP="00F0626C">
      <w:pPr>
        <w:keepNext/>
        <w:keepLines/>
        <w:suppressAutoHyphens/>
        <w:spacing w:before="240" w:after="240"/>
        <w:rPr>
          <w:b/>
        </w:rPr>
      </w:pPr>
      <w:r w:rsidRPr="001A7517">
        <w:rPr>
          <w:b/>
        </w:rPr>
        <w:t>Section 611.904  Tier 3 Public Notice:  Form, Manner, and Frequency of Notice</w:t>
      </w:r>
    </w:p>
    <w:p w14:paraId="1B66B56B" w14:textId="77777777" w:rsidR="00F0626C" w:rsidRPr="001A7517" w:rsidRDefault="00F0626C" w:rsidP="00F0626C">
      <w:pPr>
        <w:spacing w:before="240" w:after="240"/>
        <w:ind w:left="1440" w:hanging="720"/>
      </w:pPr>
      <w:r w:rsidRPr="001A7517">
        <w:t>a)</w:t>
      </w:r>
      <w:r w:rsidRPr="001A7517">
        <w:tab/>
        <w:t>Violations or Situations That Require a Tier 3 Public Notice.  This subsection (a) lists the violation categories and other situations requiring a Tier 3 public notice.  Appendix G identifies the tier assignment for each specific violation or situation.</w:t>
      </w:r>
    </w:p>
    <w:p w14:paraId="4E4A81D8" w14:textId="77777777" w:rsidR="00F0626C" w:rsidRPr="001A7517" w:rsidRDefault="00F0626C" w:rsidP="00F0626C">
      <w:pPr>
        <w:spacing w:before="240" w:after="240"/>
        <w:ind w:left="2160" w:hanging="720"/>
      </w:pPr>
      <w:r w:rsidRPr="001A7517">
        <w:t>1)</w:t>
      </w:r>
      <w:r w:rsidRPr="001A7517">
        <w:tab/>
        <w:t xml:space="preserve">Monitoring violations under this Part, except </w:t>
      </w:r>
      <w:r w:rsidRPr="001A7517">
        <w:rPr>
          <w:spacing w:val="-3"/>
        </w:rPr>
        <w:t xml:space="preserve">if </w:t>
      </w:r>
      <w:r w:rsidRPr="001A7517">
        <w:t xml:space="preserve">a Tier 1 notice is required under Section 611.902(a) or </w:t>
      </w:r>
      <w:r w:rsidRPr="001A7517">
        <w:rPr>
          <w:spacing w:val="-3"/>
        </w:rPr>
        <w:t xml:space="preserve">if </w:t>
      </w:r>
      <w:r w:rsidRPr="001A7517">
        <w:t>the Agency determines by a SEP that a Tier 2 notice is required;</w:t>
      </w:r>
    </w:p>
    <w:p w14:paraId="1B64093F" w14:textId="77777777" w:rsidR="00F0626C" w:rsidRPr="001A7517" w:rsidRDefault="00F0626C" w:rsidP="00F0626C">
      <w:pPr>
        <w:spacing w:before="240" w:after="240"/>
        <w:ind w:left="2160" w:hanging="720"/>
      </w:pPr>
      <w:r w:rsidRPr="001A7517">
        <w:t>2)</w:t>
      </w:r>
      <w:r w:rsidRPr="001A7517">
        <w:tab/>
        <w:t xml:space="preserve">Failure to comply with a testing procedure established in this Part, except </w:t>
      </w:r>
      <w:r w:rsidRPr="001A7517">
        <w:rPr>
          <w:spacing w:val="-3"/>
        </w:rPr>
        <w:t xml:space="preserve">if </w:t>
      </w:r>
      <w:r w:rsidRPr="001A7517">
        <w:t xml:space="preserve">a Tier 1 notice is required under Section 611.902(a) or </w:t>
      </w:r>
      <w:r w:rsidRPr="001A7517">
        <w:rPr>
          <w:spacing w:val="-3"/>
        </w:rPr>
        <w:t xml:space="preserve">if </w:t>
      </w:r>
      <w:r w:rsidRPr="001A7517">
        <w:t>the Agency determines by a SEP that a Tier 2 notice is required;</w:t>
      </w:r>
    </w:p>
    <w:p w14:paraId="67C37E31" w14:textId="77777777" w:rsidR="00F0626C" w:rsidRPr="001A7517" w:rsidRDefault="00F0626C" w:rsidP="00F0626C">
      <w:pPr>
        <w:spacing w:before="240" w:after="240"/>
        <w:ind w:left="2160" w:hanging="720"/>
      </w:pPr>
      <w:r w:rsidRPr="001A7517">
        <w:t>3)</w:t>
      </w:r>
      <w:r w:rsidRPr="001A7517">
        <w:tab/>
        <w:t>Operation under relief equivalent to a SDWA section 1415 variance granted under Section 611.111 or relief equivalent to a SDWA section 1416 exemption granted under Section 611.112;</w:t>
      </w:r>
    </w:p>
    <w:p w14:paraId="51CD0281" w14:textId="77777777" w:rsidR="00F0626C" w:rsidRPr="001A7517" w:rsidRDefault="00F0626C" w:rsidP="00F0626C">
      <w:pPr>
        <w:spacing w:before="240" w:after="240"/>
        <w:ind w:left="2160" w:hanging="720"/>
      </w:pPr>
      <w:r w:rsidRPr="001A7517">
        <w:t>4)</w:t>
      </w:r>
      <w:r w:rsidRPr="001A7517">
        <w:tab/>
        <w:t>Availability of unregulated contaminant monitoring results, as required under Section 611.907;</w:t>
      </w:r>
    </w:p>
    <w:p w14:paraId="40E5ED7F" w14:textId="77777777" w:rsidR="00F0626C" w:rsidRPr="001A7517" w:rsidRDefault="00F0626C" w:rsidP="00F0626C">
      <w:pPr>
        <w:spacing w:before="240" w:after="240"/>
        <w:ind w:left="2160" w:hanging="720"/>
      </w:pPr>
      <w:r w:rsidRPr="001A7517">
        <w:t>5)</w:t>
      </w:r>
      <w:r w:rsidRPr="001A7517">
        <w:tab/>
        <w:t>The notice for an exceedance of 2 mg/ℓ fluoride (the federal secondary MCL for fluoride (see 40 CFR 143.3)), as required under Section 611.908</w:t>
      </w:r>
      <w:r w:rsidRPr="001A7517">
        <w:rPr>
          <w:szCs w:val="24"/>
        </w:rPr>
        <w:t>; and</w:t>
      </w:r>
    </w:p>
    <w:p w14:paraId="4FD50AC9" w14:textId="77777777" w:rsidR="00F0626C" w:rsidRPr="001A7517" w:rsidRDefault="00F0626C" w:rsidP="00F0626C">
      <w:pPr>
        <w:spacing w:before="240"/>
        <w:ind w:left="2160"/>
      </w:pPr>
      <w:r w:rsidRPr="001A7517">
        <w:t>BOARD NOTE:  See the Board Note appended to Section 611.908 for explanation.</w:t>
      </w:r>
    </w:p>
    <w:p w14:paraId="3B0B9F34" w14:textId="77777777" w:rsidR="00F0626C" w:rsidRPr="001A7517" w:rsidRDefault="00F0626C" w:rsidP="00F0626C">
      <w:pPr>
        <w:spacing w:before="240" w:after="240"/>
        <w:ind w:left="2160" w:hanging="720"/>
        <w:rPr>
          <w:szCs w:val="24"/>
        </w:rPr>
      </w:pPr>
      <w:r w:rsidRPr="001A7517">
        <w:rPr>
          <w:szCs w:val="24"/>
        </w:rPr>
        <w:t>6)</w:t>
      </w:r>
      <w:r w:rsidRPr="001A7517">
        <w:rPr>
          <w:szCs w:val="24"/>
        </w:rPr>
        <w:tab/>
        <w:t>Reporting and recordkeeping violations under Subpart AA.</w:t>
      </w:r>
    </w:p>
    <w:p w14:paraId="47E77418" w14:textId="77777777" w:rsidR="00F0626C" w:rsidRPr="001A7517" w:rsidRDefault="00F0626C" w:rsidP="00F0626C">
      <w:pPr>
        <w:spacing w:before="240" w:after="240"/>
        <w:ind w:left="1440" w:hanging="720"/>
      </w:pPr>
      <w:r w:rsidRPr="001A7517">
        <w:t>b)</w:t>
      </w:r>
      <w:r w:rsidRPr="001A7517">
        <w:tab/>
        <w:t>When the Tier 3 Public Notice Is To Be Provided</w:t>
      </w:r>
    </w:p>
    <w:p w14:paraId="155D8D45" w14:textId="77777777" w:rsidR="00F0626C" w:rsidRPr="001A7517" w:rsidRDefault="00F0626C" w:rsidP="00F0626C">
      <w:pPr>
        <w:spacing w:before="240" w:after="240"/>
        <w:ind w:left="2160" w:hanging="720"/>
      </w:pPr>
      <w:r w:rsidRPr="001A7517">
        <w:lastRenderedPageBreak/>
        <w:t>1)</w:t>
      </w:r>
      <w:r w:rsidRPr="001A7517">
        <w:tab/>
        <w:t>A PWS supplier must provide the public notice not later than one year after the supplier learns of the violation or situation or begins operating under relief equivalent to a SDWA section 1415 variance or section 1416 exemption.  Following the initial notice, the supplier must repeat the notice annually for as long as the violation, relief equivalent to a SDWA section 1415 variance or section 1416 exemption, or other situation persists.  If the public notice is posted, the notice must remain in place for as long as the violation, relief equivalent to a SDWA section 1415 variance or section 1416 exemption, or other situation persists, but in no case less than seven days (even if the violation or situation is resolved).</w:t>
      </w:r>
    </w:p>
    <w:p w14:paraId="41014DA8" w14:textId="77777777" w:rsidR="00F0626C" w:rsidRPr="001A7517" w:rsidRDefault="00F0626C" w:rsidP="00F0626C">
      <w:pPr>
        <w:spacing w:before="240" w:after="240"/>
        <w:ind w:left="2160" w:hanging="720"/>
      </w:pPr>
      <w:r w:rsidRPr="001A7517">
        <w:t>2)</w:t>
      </w:r>
      <w:r w:rsidRPr="001A7517">
        <w:tab/>
        <w:t>Instead of individual Tier 3 public notices, a PWS supplier may use an annual report detailing all violations and situations that occurred during the previous twelve months, as long as the timing requirements of subsection (b)(1) are met.</w:t>
      </w:r>
    </w:p>
    <w:p w14:paraId="6A0D0BB5" w14:textId="77777777" w:rsidR="00F0626C" w:rsidRPr="001A7517" w:rsidRDefault="00F0626C" w:rsidP="00F0626C">
      <w:pPr>
        <w:spacing w:before="240" w:after="240"/>
        <w:ind w:left="1440" w:hanging="720"/>
      </w:pPr>
      <w:r w:rsidRPr="001A7517">
        <w:t>c)</w:t>
      </w:r>
      <w:r w:rsidRPr="001A7517">
        <w:tab/>
        <w:t>The Form and Manner of the Tier 3 Public Notice.  A PWS supplier must provide the initial notice and any repeat notices in a form and manner that is reasonably calculated to reach persons served in the required time period.  The form and manner of the public notice may vary based on the specific situation and type of water system, but it must at a minimum meet the following requirements:</w:t>
      </w:r>
    </w:p>
    <w:p w14:paraId="11870B41" w14:textId="77777777" w:rsidR="00F0626C" w:rsidRPr="001A7517" w:rsidRDefault="00F0626C" w:rsidP="00F0626C">
      <w:pPr>
        <w:spacing w:before="240" w:after="240"/>
        <w:ind w:left="2160" w:hanging="720"/>
      </w:pPr>
      <w:r w:rsidRPr="001A7517">
        <w:t>1)</w:t>
      </w:r>
      <w:r w:rsidRPr="001A7517">
        <w:tab/>
        <w:t>Unless directed otherwise by the Agency by a SEP in writing, a CWS supplier must provide notice by the following:</w:t>
      </w:r>
    </w:p>
    <w:p w14:paraId="04C770B1" w14:textId="77777777" w:rsidR="00F0626C" w:rsidRPr="001A7517" w:rsidRDefault="00F0626C" w:rsidP="00F0626C">
      <w:pPr>
        <w:spacing w:before="240" w:after="240"/>
        <w:ind w:left="2880" w:hanging="720"/>
      </w:pPr>
      <w:r w:rsidRPr="001A7517">
        <w:t>A)</w:t>
      </w:r>
      <w:r w:rsidRPr="001A7517">
        <w:tab/>
        <w:t>Mail or other direct delivery to each customer receiving a bill and to other service connections to which water is delivered by the supplier; and</w:t>
      </w:r>
    </w:p>
    <w:p w14:paraId="723AF2FD" w14:textId="77777777" w:rsidR="00F0626C" w:rsidRPr="001A7517" w:rsidRDefault="00F0626C" w:rsidP="00F0626C">
      <w:pPr>
        <w:spacing w:before="240" w:after="240"/>
        <w:ind w:left="2880" w:hanging="720"/>
      </w:pPr>
      <w:r w:rsidRPr="001A7517">
        <w:t>B)</w:t>
      </w:r>
      <w:r w:rsidRPr="001A7517">
        <w:tab/>
        <w:t>Any other method reasonably calculated to reach other persons regularly served by the supplier, if they would not normally be reached by the notice required in subsection (c)(1)(A).  Such persons may include those who do not pay water bills or do not have service connection addresses (e.g., house renters, apartment dwellers, university students, nursing home patients, prison inmates, etc.).  Other methods may include the following:  publication in a local newspaper; delivery of multiple copies for distribution by customers that provide their drinking water to others (e.g., apartment building owners or large private employers); posting in public places or on the Internet; or delivery to community organizations.</w:t>
      </w:r>
    </w:p>
    <w:p w14:paraId="5A88D90E" w14:textId="77777777" w:rsidR="00F0626C" w:rsidRPr="001A7517" w:rsidRDefault="00F0626C" w:rsidP="00F0626C">
      <w:pPr>
        <w:spacing w:before="240" w:after="240"/>
        <w:ind w:left="2160" w:hanging="720"/>
      </w:pPr>
      <w:r w:rsidRPr="001A7517">
        <w:t>2)</w:t>
      </w:r>
      <w:r w:rsidRPr="001A7517">
        <w:tab/>
        <w:t>Unless directed otherwise by the Agency by a SEP in writing, a non-CWS supplier must provide notice by the following:</w:t>
      </w:r>
    </w:p>
    <w:p w14:paraId="4EFBE5BF" w14:textId="77777777" w:rsidR="00F0626C" w:rsidRPr="001A7517" w:rsidRDefault="00F0626C" w:rsidP="00F0626C">
      <w:pPr>
        <w:spacing w:before="240" w:after="240"/>
        <w:ind w:left="2880" w:hanging="720"/>
      </w:pPr>
      <w:r w:rsidRPr="001A7517">
        <w:lastRenderedPageBreak/>
        <w:t>A)</w:t>
      </w:r>
      <w:r w:rsidRPr="001A7517">
        <w:tab/>
        <w:t>Posting the notice in conspicuous locations throughout the distribution system frequented by persons served by the supplier, or by mail or direct delivery to each customer and service connection (</w:t>
      </w:r>
      <w:r w:rsidRPr="001A7517">
        <w:rPr>
          <w:spacing w:val="-3"/>
        </w:rPr>
        <w:t xml:space="preserve">if </w:t>
      </w:r>
      <w:r w:rsidRPr="001A7517">
        <w:t>known); and</w:t>
      </w:r>
    </w:p>
    <w:p w14:paraId="30A9AD4D" w14:textId="77777777" w:rsidR="00F0626C" w:rsidRPr="001A7517" w:rsidRDefault="00F0626C" w:rsidP="00F0626C">
      <w:pPr>
        <w:spacing w:before="240" w:after="240"/>
        <w:ind w:left="2880" w:hanging="720"/>
      </w:pPr>
      <w:r w:rsidRPr="001A7517">
        <w:t>B)</w:t>
      </w:r>
      <w:r w:rsidRPr="001A7517">
        <w:tab/>
        <w:t>Any other method reasonably calculated to reach other persons served by the supplier, if they would not normally be reached by the notice required in subsection (c)(2)(A).  Such persons may include those who may not see a posted notice because the notice is not in a location they routinely pass by.  Other methods may include the following:  publication in a local newspaper or newsletter distributed to customers; use of E-mail to notify employees or students; or delivery of multiple copies in central locations (e.g., community centers).</w:t>
      </w:r>
    </w:p>
    <w:p w14:paraId="786A1F70" w14:textId="77777777" w:rsidR="00F0626C" w:rsidRPr="001A7517" w:rsidRDefault="00F0626C" w:rsidP="00F0626C">
      <w:pPr>
        <w:spacing w:before="240" w:after="240"/>
        <w:ind w:left="2160" w:hanging="720"/>
      </w:pPr>
      <w:r w:rsidRPr="001A7517">
        <w:t>d)</w:t>
      </w:r>
      <w:r w:rsidRPr="001A7517">
        <w:tab/>
        <w:t>When the Consumer Confidence Report May Be Used to Meet the Tier 3 Public Notice Requirements.  For a CWS supplier, the Consumer Confidence Report (CCR) required under Subpart U may be used as a vehicle for the initial Tier 3 public notice and all required repeat notices, as long as the following is true:</w:t>
      </w:r>
    </w:p>
    <w:p w14:paraId="1A44FBEF" w14:textId="77777777" w:rsidR="00F0626C" w:rsidRPr="001A7517" w:rsidRDefault="00F0626C" w:rsidP="00F0626C">
      <w:pPr>
        <w:spacing w:before="240" w:after="240"/>
        <w:ind w:left="2880" w:hanging="720"/>
      </w:pPr>
      <w:r w:rsidRPr="001A7517">
        <w:t>1)</w:t>
      </w:r>
      <w:r w:rsidRPr="001A7517">
        <w:tab/>
        <w:t>The CCR is provided to persons served no later than 12 months after the supplier learns of the violation or situation as required under Section 611.904(b);</w:t>
      </w:r>
    </w:p>
    <w:p w14:paraId="6381B732" w14:textId="77777777" w:rsidR="00F0626C" w:rsidRPr="001A7517" w:rsidRDefault="00F0626C" w:rsidP="00F0626C">
      <w:pPr>
        <w:spacing w:before="240" w:after="240"/>
        <w:ind w:left="2880" w:hanging="720"/>
      </w:pPr>
      <w:r w:rsidRPr="001A7517">
        <w:t>2)</w:t>
      </w:r>
      <w:r w:rsidRPr="001A7517">
        <w:tab/>
        <w:t>The Tier 3 notice contained in the CCR follows the content requirements under Section 611.905; and</w:t>
      </w:r>
    </w:p>
    <w:p w14:paraId="025DDBEC" w14:textId="77777777" w:rsidR="00F0626C" w:rsidRPr="001A7517" w:rsidRDefault="00F0626C" w:rsidP="00F0626C">
      <w:pPr>
        <w:spacing w:before="240" w:after="240"/>
        <w:ind w:left="2880" w:hanging="720"/>
      </w:pPr>
      <w:r w:rsidRPr="001A7517">
        <w:t>3)</w:t>
      </w:r>
      <w:r w:rsidRPr="001A7517">
        <w:tab/>
        <w:t>The CCR is distributed following the delivery requirements under Section 611.904(c).</w:t>
      </w:r>
    </w:p>
    <w:p w14:paraId="65CAAFA5" w14:textId="77777777" w:rsidR="00F0626C" w:rsidRPr="001A7517" w:rsidRDefault="00F0626C" w:rsidP="00F0626C">
      <w:pPr>
        <w:spacing w:before="240" w:after="240"/>
        <w:rPr>
          <w:spacing w:val="-3"/>
        </w:rPr>
      </w:pPr>
      <w:r w:rsidRPr="001A7517">
        <w:rPr>
          <w:spacing w:val="-3"/>
        </w:rPr>
        <w:t>BOARD NOTE:  Derived from 40 CFR 141.204.</w:t>
      </w:r>
    </w:p>
    <w:p w14:paraId="2BC12EA7"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2D2781C1" w14:textId="77777777" w:rsidR="00F0626C" w:rsidRPr="001A7517" w:rsidRDefault="00F0626C" w:rsidP="00F0626C">
      <w:pPr>
        <w:keepNext/>
        <w:keepLines/>
        <w:suppressAutoHyphens/>
        <w:spacing w:before="240"/>
        <w:rPr>
          <w:b/>
        </w:rPr>
      </w:pPr>
      <w:r w:rsidRPr="001A7517">
        <w:rPr>
          <w:b/>
        </w:rPr>
        <w:t>Section 611.905  Content of the Public Notice</w:t>
      </w:r>
    </w:p>
    <w:p w14:paraId="5FA98EB8" w14:textId="77777777" w:rsidR="00F0626C" w:rsidRPr="001A7517" w:rsidRDefault="00F0626C" w:rsidP="00F0626C">
      <w:pPr>
        <w:spacing w:before="240"/>
        <w:ind w:left="1440" w:hanging="720"/>
      </w:pPr>
      <w:r w:rsidRPr="001A7517">
        <w:t>a)</w:t>
      </w:r>
      <w:r w:rsidRPr="001A7517">
        <w:tab/>
        <w:t>Elements Included in Public Notice for Violation of an NPDWR or Other Situations.  When a PWS supplier violates an NPDWR or has a situation requiring public notification, each public notice must include the following elements:</w:t>
      </w:r>
    </w:p>
    <w:p w14:paraId="06D51F3C" w14:textId="77777777" w:rsidR="00F0626C" w:rsidRPr="001A7517" w:rsidRDefault="00F0626C" w:rsidP="00F0626C">
      <w:pPr>
        <w:spacing w:before="240"/>
        <w:ind w:left="2160" w:hanging="720"/>
      </w:pPr>
      <w:r w:rsidRPr="001A7517">
        <w:t>1)</w:t>
      </w:r>
      <w:r w:rsidRPr="001A7517">
        <w:tab/>
        <w:t>A description of the violation or situation, including the contaminants of concern, and (as applicable) the contaminant levels;</w:t>
      </w:r>
    </w:p>
    <w:p w14:paraId="391BF3F9" w14:textId="77777777" w:rsidR="00F0626C" w:rsidRPr="001A7517" w:rsidRDefault="00F0626C" w:rsidP="00F0626C">
      <w:pPr>
        <w:spacing w:before="240"/>
        <w:ind w:left="2160" w:hanging="720"/>
      </w:pPr>
      <w:r w:rsidRPr="001A7517">
        <w:t>2)</w:t>
      </w:r>
      <w:r w:rsidRPr="001A7517">
        <w:tab/>
        <w:t>When the violation or situation occurred;</w:t>
      </w:r>
    </w:p>
    <w:p w14:paraId="006B739F" w14:textId="77777777" w:rsidR="00F0626C" w:rsidRPr="001A7517" w:rsidRDefault="00F0626C" w:rsidP="00F0626C">
      <w:pPr>
        <w:spacing w:before="240"/>
        <w:ind w:left="2160" w:hanging="720"/>
      </w:pPr>
      <w:r w:rsidRPr="001A7517">
        <w:lastRenderedPageBreak/>
        <w:t>3)</w:t>
      </w:r>
      <w:r w:rsidRPr="001A7517">
        <w:tab/>
        <w:t>Any potential adverse health effects from the violation or situation, including the standard language under subsection (d)(1) or (d)(2), whichever is applicable;</w:t>
      </w:r>
    </w:p>
    <w:p w14:paraId="353F5E46" w14:textId="77777777" w:rsidR="00F0626C" w:rsidRPr="001A7517" w:rsidRDefault="00F0626C" w:rsidP="00F0626C">
      <w:pPr>
        <w:spacing w:before="240"/>
        <w:ind w:left="2160" w:hanging="720"/>
      </w:pPr>
      <w:r w:rsidRPr="001A7517">
        <w:t>4)</w:t>
      </w:r>
      <w:r w:rsidRPr="001A7517">
        <w:tab/>
        <w:t>The population at risk, including subpopulations particularly vulnerable if exposed to the contaminant in their drinking water;</w:t>
      </w:r>
    </w:p>
    <w:p w14:paraId="5B107028" w14:textId="77777777" w:rsidR="00F0626C" w:rsidRPr="001A7517" w:rsidRDefault="00F0626C" w:rsidP="00F0626C">
      <w:pPr>
        <w:spacing w:before="240"/>
        <w:ind w:left="2160" w:hanging="720"/>
      </w:pPr>
      <w:r w:rsidRPr="001A7517">
        <w:t>5)</w:t>
      </w:r>
      <w:r w:rsidRPr="001A7517">
        <w:tab/>
        <w:t>Whether alternative water supplies should be used;</w:t>
      </w:r>
    </w:p>
    <w:p w14:paraId="20AB93E0" w14:textId="77777777" w:rsidR="00F0626C" w:rsidRPr="001A7517" w:rsidRDefault="00F0626C" w:rsidP="00F0626C">
      <w:pPr>
        <w:spacing w:before="240"/>
        <w:ind w:left="2160" w:hanging="720"/>
      </w:pPr>
      <w:r w:rsidRPr="001A7517">
        <w:t>6)</w:t>
      </w:r>
      <w:r w:rsidRPr="001A7517">
        <w:tab/>
        <w:t>What actions consumers should take, including when they should seek medical help, if known;</w:t>
      </w:r>
    </w:p>
    <w:p w14:paraId="7154B25E" w14:textId="77777777" w:rsidR="00F0626C" w:rsidRPr="001A7517" w:rsidRDefault="00F0626C" w:rsidP="00F0626C">
      <w:pPr>
        <w:spacing w:before="240"/>
        <w:ind w:left="2160" w:hanging="720"/>
      </w:pPr>
      <w:r w:rsidRPr="001A7517">
        <w:t>7)</w:t>
      </w:r>
      <w:r w:rsidRPr="001A7517">
        <w:tab/>
        <w:t>What the supplier is doing to correct the violation or situation;</w:t>
      </w:r>
    </w:p>
    <w:p w14:paraId="594BB09D" w14:textId="77777777" w:rsidR="00F0626C" w:rsidRPr="001A7517" w:rsidRDefault="00F0626C" w:rsidP="00F0626C">
      <w:pPr>
        <w:spacing w:before="240"/>
        <w:ind w:left="2160" w:hanging="720"/>
      </w:pPr>
      <w:r w:rsidRPr="001A7517">
        <w:t>8)</w:t>
      </w:r>
      <w:r w:rsidRPr="001A7517">
        <w:tab/>
        <w:t>When the water supplier expects to return to compliance or resolve the situation;</w:t>
      </w:r>
    </w:p>
    <w:p w14:paraId="47C3699A" w14:textId="77777777" w:rsidR="00F0626C" w:rsidRPr="001A7517" w:rsidRDefault="00F0626C" w:rsidP="00F0626C">
      <w:pPr>
        <w:spacing w:before="240"/>
        <w:ind w:left="2160" w:hanging="720"/>
      </w:pPr>
      <w:r w:rsidRPr="001A7517">
        <w:t>9)</w:t>
      </w:r>
      <w:r w:rsidRPr="001A7517">
        <w:tab/>
        <w:t>The name, business address, and phone number of the water system owner, operator, or designee of the public water system as a source of additional information concerning the notice; and</w:t>
      </w:r>
    </w:p>
    <w:p w14:paraId="2EB7085F" w14:textId="77777777" w:rsidR="00F0626C" w:rsidRPr="001A7517" w:rsidRDefault="00F0626C" w:rsidP="00F0626C">
      <w:pPr>
        <w:spacing w:before="240"/>
        <w:ind w:left="2160" w:hanging="720"/>
      </w:pPr>
      <w:r w:rsidRPr="001A7517">
        <w:t>10)</w:t>
      </w:r>
      <w:r w:rsidRPr="001A7517">
        <w:tab/>
        <w:t xml:space="preserve">A statement to encourage the notice recipient to distribute the public notice to other persons served, using the standard language under subsection (d)(3), </w:t>
      </w:r>
      <w:r w:rsidRPr="001A7517">
        <w:rPr>
          <w:spacing w:val="-3"/>
        </w:rPr>
        <w:t xml:space="preserve">if </w:t>
      </w:r>
      <w:r w:rsidRPr="001A7517">
        <w:t>applicable.</w:t>
      </w:r>
    </w:p>
    <w:p w14:paraId="3EC8ECAB" w14:textId="77777777" w:rsidR="00F0626C" w:rsidRPr="001A7517" w:rsidRDefault="00F0626C" w:rsidP="00F0626C">
      <w:pPr>
        <w:spacing w:before="240"/>
        <w:ind w:left="1440" w:hanging="720"/>
      </w:pPr>
      <w:r w:rsidRPr="001A7517">
        <w:t>b)</w:t>
      </w:r>
      <w:r w:rsidRPr="001A7517">
        <w:tab/>
        <w:t>The Elements That Must Be Included in the Public Notice for Public Water Systems Operating under Relief Equivalent to a SDWA Section 1415 Variance or a Section 1416 Exemption</w:t>
      </w:r>
    </w:p>
    <w:p w14:paraId="3D2C32E3" w14:textId="77777777" w:rsidR="00F0626C" w:rsidRPr="001A7517" w:rsidRDefault="00F0626C" w:rsidP="00F0626C">
      <w:pPr>
        <w:spacing w:before="240"/>
        <w:ind w:left="2160" w:hanging="720"/>
      </w:pPr>
      <w:r w:rsidRPr="001A7517">
        <w:t>1)</w:t>
      </w:r>
      <w:r w:rsidRPr="001A7517">
        <w:tab/>
        <w:t>If a PWS supplier has been granted a relief equivalent to a SDWA section 1415 variance, under Section 611.111, or a section 1416 exemption, under Section 611.112, the public notice must contain the following:</w:t>
      </w:r>
    </w:p>
    <w:p w14:paraId="63A91557" w14:textId="77777777" w:rsidR="00F0626C" w:rsidRPr="001A7517" w:rsidRDefault="00F0626C" w:rsidP="00F0626C">
      <w:pPr>
        <w:spacing w:before="240"/>
        <w:ind w:left="2880" w:hanging="720"/>
      </w:pPr>
      <w:r w:rsidRPr="001A7517">
        <w:t>A)</w:t>
      </w:r>
      <w:r w:rsidRPr="001A7517">
        <w:tab/>
        <w:t>An explanation of the reasons for the relief equivalent to a SDWA section 1415 variance or a section 1416 exemption;</w:t>
      </w:r>
    </w:p>
    <w:p w14:paraId="68A49381" w14:textId="77777777" w:rsidR="00F0626C" w:rsidRPr="001A7517" w:rsidRDefault="00F0626C" w:rsidP="00F0626C">
      <w:pPr>
        <w:spacing w:before="240"/>
        <w:ind w:left="2880" w:hanging="720"/>
      </w:pPr>
      <w:r w:rsidRPr="001A7517">
        <w:t>B)</w:t>
      </w:r>
      <w:r w:rsidRPr="001A7517">
        <w:tab/>
        <w:t>The date on which the relief equivalent to a SDWA section 1415 variance or a section 1416 exemption was issued;</w:t>
      </w:r>
    </w:p>
    <w:p w14:paraId="0CBBA118" w14:textId="77777777" w:rsidR="00F0626C" w:rsidRPr="001A7517" w:rsidRDefault="00F0626C" w:rsidP="00F0626C">
      <w:pPr>
        <w:spacing w:before="240"/>
        <w:ind w:left="2880" w:hanging="720"/>
      </w:pPr>
      <w:r w:rsidRPr="001A7517">
        <w:t>C)</w:t>
      </w:r>
      <w:r w:rsidRPr="001A7517">
        <w:tab/>
        <w:t>A brief status report on the steps that the supplier is taking to install treatment, find alternative sources of water, or otherwise comply with the terms and schedules of the relief equivalent to a SDWA section 1415 variance or a section 1416 exemption; and</w:t>
      </w:r>
    </w:p>
    <w:p w14:paraId="151FD868" w14:textId="77777777" w:rsidR="00F0626C" w:rsidRPr="001A7517" w:rsidRDefault="00F0626C" w:rsidP="00F0626C">
      <w:pPr>
        <w:spacing w:before="240"/>
        <w:ind w:left="2880" w:hanging="720"/>
      </w:pPr>
      <w:r w:rsidRPr="001A7517">
        <w:lastRenderedPageBreak/>
        <w:t>D)</w:t>
      </w:r>
      <w:r w:rsidRPr="001A7517">
        <w:tab/>
        <w:t>A notice of any opportunity for public input in the review of the relief equivalent to a SDWA section 1415 variance or a section 1416 exemption.</w:t>
      </w:r>
    </w:p>
    <w:p w14:paraId="01BDDA96" w14:textId="77777777" w:rsidR="00F0626C" w:rsidRPr="001A7517" w:rsidRDefault="00F0626C" w:rsidP="00F0626C">
      <w:pPr>
        <w:spacing w:before="240"/>
        <w:ind w:left="2160" w:hanging="720"/>
      </w:pPr>
      <w:r w:rsidRPr="001A7517">
        <w:t>2)</w:t>
      </w:r>
      <w:r w:rsidRPr="001A7517">
        <w:tab/>
        <w:t>If a PWS supplier violates the conditions of relief equivalent to a SDWA section 1415 variance or a section 1416 exemption, the public notice must contain the ten elements listed in subsection (a).</w:t>
      </w:r>
    </w:p>
    <w:p w14:paraId="6B7766EF" w14:textId="77777777" w:rsidR="00F0626C" w:rsidRPr="001A7517" w:rsidRDefault="00F0626C" w:rsidP="00F0626C">
      <w:pPr>
        <w:spacing w:before="240"/>
        <w:ind w:left="1440" w:hanging="720"/>
      </w:pPr>
      <w:r w:rsidRPr="001A7517">
        <w:t>c)</w:t>
      </w:r>
      <w:r w:rsidRPr="001A7517">
        <w:tab/>
        <w:t>How the Public Notice Is to Be Presented</w:t>
      </w:r>
    </w:p>
    <w:p w14:paraId="5EB4D2BD" w14:textId="77777777" w:rsidR="00F0626C" w:rsidRPr="001A7517" w:rsidRDefault="00F0626C" w:rsidP="00F0626C">
      <w:pPr>
        <w:spacing w:before="240"/>
        <w:ind w:left="2160" w:hanging="720"/>
      </w:pPr>
      <w:r w:rsidRPr="001A7517">
        <w:t>1)</w:t>
      </w:r>
      <w:r w:rsidRPr="001A7517">
        <w:tab/>
        <w:t>Each public notice required by this Section must comply with the following:</w:t>
      </w:r>
    </w:p>
    <w:p w14:paraId="5A058D6D" w14:textId="77777777" w:rsidR="00F0626C" w:rsidRPr="001A7517" w:rsidRDefault="00F0626C" w:rsidP="00F0626C">
      <w:pPr>
        <w:spacing w:before="240"/>
        <w:ind w:left="2880" w:hanging="720"/>
      </w:pPr>
      <w:r w:rsidRPr="001A7517">
        <w:t>A)</w:t>
      </w:r>
      <w:r w:rsidRPr="001A7517">
        <w:tab/>
        <w:t>It must be displayed in a conspicuous way when printed or posted;</w:t>
      </w:r>
    </w:p>
    <w:p w14:paraId="220F769A" w14:textId="77777777" w:rsidR="00F0626C" w:rsidRPr="001A7517" w:rsidRDefault="00F0626C" w:rsidP="00F0626C">
      <w:pPr>
        <w:spacing w:before="240"/>
        <w:ind w:left="2880" w:hanging="720"/>
      </w:pPr>
      <w:r w:rsidRPr="001A7517">
        <w:t>B)</w:t>
      </w:r>
      <w:r w:rsidRPr="001A7517">
        <w:tab/>
        <w:t>It must not contain overly technical language or very small print;</w:t>
      </w:r>
    </w:p>
    <w:p w14:paraId="4645A9EB" w14:textId="77777777" w:rsidR="00F0626C" w:rsidRPr="001A7517" w:rsidRDefault="00F0626C" w:rsidP="00F0626C">
      <w:pPr>
        <w:spacing w:before="240"/>
        <w:ind w:left="2880" w:hanging="720"/>
      </w:pPr>
      <w:r w:rsidRPr="001A7517">
        <w:t>C)</w:t>
      </w:r>
      <w:r w:rsidRPr="001A7517">
        <w:tab/>
        <w:t>It must not be formatted in a way that defeats the purpose of the notice;</w:t>
      </w:r>
    </w:p>
    <w:p w14:paraId="79946A25" w14:textId="77777777" w:rsidR="00F0626C" w:rsidRPr="001A7517" w:rsidRDefault="00F0626C" w:rsidP="00F0626C">
      <w:pPr>
        <w:spacing w:before="240"/>
        <w:ind w:left="2880" w:hanging="720"/>
      </w:pPr>
      <w:r w:rsidRPr="001A7517">
        <w:t>D)</w:t>
      </w:r>
      <w:r w:rsidRPr="001A7517">
        <w:tab/>
        <w:t>It must not contain language that nullifies the purpose of the notice.</w:t>
      </w:r>
    </w:p>
    <w:p w14:paraId="4DB8FC1C" w14:textId="77777777" w:rsidR="00F0626C" w:rsidRPr="001A7517" w:rsidRDefault="00F0626C" w:rsidP="00F0626C">
      <w:pPr>
        <w:spacing w:before="240"/>
        <w:ind w:left="2160" w:hanging="720"/>
      </w:pPr>
      <w:r w:rsidRPr="001A7517">
        <w:t>2)</w:t>
      </w:r>
      <w:r w:rsidRPr="001A7517">
        <w:tab/>
        <w:t>Each public notice required by this Section must comply with multilingual requirements, as follows:</w:t>
      </w:r>
    </w:p>
    <w:p w14:paraId="4CACA2F3" w14:textId="77777777" w:rsidR="00F0626C" w:rsidRPr="001A7517" w:rsidRDefault="00F0626C" w:rsidP="00F0626C">
      <w:pPr>
        <w:spacing w:before="240"/>
        <w:ind w:left="2880" w:hanging="720"/>
      </w:pPr>
      <w:r w:rsidRPr="001A7517">
        <w:t>A)</w:t>
      </w:r>
      <w:r w:rsidRPr="001A7517">
        <w:tab/>
        <w:t>For a PWS supplier serving a large proportion of non-English speaking consumers, the public notice must contain information in the appropriate languages regarding the importance of the notice or contain a telephone number or address where persons served may contact the water supplier to obtain a translated copy of the notice or to request assistance in the appropriate language.</w:t>
      </w:r>
    </w:p>
    <w:p w14:paraId="15F429E2" w14:textId="77777777" w:rsidR="00F0626C" w:rsidRPr="001A7517" w:rsidRDefault="00F0626C" w:rsidP="00F0626C">
      <w:pPr>
        <w:spacing w:before="240"/>
        <w:ind w:left="2880" w:hanging="720"/>
      </w:pPr>
      <w:r w:rsidRPr="001A7517">
        <w:t>B)</w:t>
      </w:r>
      <w:r w:rsidRPr="001A7517">
        <w:tab/>
      </w:r>
      <w:r w:rsidRPr="001A7517">
        <w:rPr>
          <w:spacing w:val="-3"/>
        </w:rPr>
        <w:t xml:space="preserve">If </w:t>
      </w:r>
      <w:r w:rsidRPr="001A7517">
        <w:t xml:space="preserve">the Agency has not determined what constitutes a large proportion of non-English speaking consumers, the PWS supplier must include in the public notice the same information as in subsection (c)(2)(A), </w:t>
      </w:r>
      <w:r w:rsidRPr="001A7517">
        <w:rPr>
          <w:spacing w:val="-3"/>
        </w:rPr>
        <w:t xml:space="preserve">if </w:t>
      </w:r>
      <w:r w:rsidRPr="001A7517">
        <w:t>appropriate to reach a large proportion of non-English speaking persons served by the water supplier.</w:t>
      </w:r>
    </w:p>
    <w:p w14:paraId="52F78244" w14:textId="77777777" w:rsidR="00F0626C" w:rsidRPr="001A7517" w:rsidRDefault="00F0626C" w:rsidP="00F0626C">
      <w:pPr>
        <w:spacing w:before="240"/>
        <w:ind w:left="1440" w:hanging="720"/>
      </w:pPr>
      <w:r w:rsidRPr="001A7517">
        <w:t>d)</w:t>
      </w:r>
      <w:r w:rsidRPr="001A7517">
        <w:tab/>
        <w:t>Standard Language That a PWS Supplier Must Include in Its Public Notice.  A PWS supplier is required to include the following standard language in its public notice:</w:t>
      </w:r>
    </w:p>
    <w:p w14:paraId="7C4D4942" w14:textId="77777777" w:rsidR="00F0626C" w:rsidRPr="001A7517" w:rsidRDefault="00F0626C" w:rsidP="00F0626C">
      <w:pPr>
        <w:spacing w:before="240"/>
        <w:ind w:left="2160" w:hanging="720"/>
      </w:pPr>
      <w:r w:rsidRPr="001A7517">
        <w:t>1)</w:t>
      </w:r>
      <w:r w:rsidRPr="001A7517">
        <w:tab/>
        <w:t xml:space="preserve">Standard Health Effects Language for MCL or MRDL Violations, Treatment Technique Violations, and Violations of the Condition of Relief Equivalent to a SDWA Section 1415 Variance or a Section 1416 </w:t>
      </w:r>
      <w:r w:rsidRPr="001A7517">
        <w:lastRenderedPageBreak/>
        <w:t>Exemption.  A PWS supplier must include in each public notice the health effects language specified in Appendix H corresponding to each MCL, MRDL, and treatment technique violation listed in Appendix G, and for each violation of a condition of relief equivalent to a SDWA section 1415 variance or a section 1416 exemption.</w:t>
      </w:r>
    </w:p>
    <w:p w14:paraId="3C007205" w14:textId="77777777" w:rsidR="00F0626C" w:rsidRPr="001A7517" w:rsidRDefault="00F0626C" w:rsidP="00F0626C">
      <w:pPr>
        <w:spacing w:before="240"/>
        <w:ind w:left="2160" w:hanging="720"/>
      </w:pPr>
      <w:r w:rsidRPr="001A7517">
        <w:t>2)</w:t>
      </w:r>
      <w:r w:rsidRPr="001A7517">
        <w:tab/>
        <w:t>Standard Language for Monitoring and Testing Procedure Violations.  A PWS supplier must include the following language in its notice, including the language necessary to fill in the blanks, for all monitoring and testing procedure violations listed in Appendix G:</w:t>
      </w:r>
    </w:p>
    <w:p w14:paraId="78230C32" w14:textId="77777777" w:rsidR="00F0626C" w:rsidRPr="001A7517" w:rsidRDefault="00F0626C" w:rsidP="00F0626C">
      <w:pPr>
        <w:suppressAutoHyphens/>
        <w:spacing w:before="240" w:after="240"/>
        <w:ind w:left="2880"/>
      </w:pPr>
      <w:r w:rsidRPr="001A7517">
        <w:t>We are required to monitor your drinking water for specific contaminants on a regular basis.  Results of regular monitoring are an indicator of whether or not your drinking water meets health standards.  During (compliance period), we “did not monitor or test” or “did not complete all monitoring or testing” for (contaminants), and therefore cannot be sure of the quality of your drinking water during that time.</w:t>
      </w:r>
    </w:p>
    <w:p w14:paraId="7397C6F5" w14:textId="77777777" w:rsidR="00F0626C" w:rsidRPr="001A7517" w:rsidRDefault="00F0626C" w:rsidP="00F0626C">
      <w:pPr>
        <w:spacing w:before="240"/>
        <w:ind w:left="2160" w:hanging="720"/>
      </w:pPr>
      <w:r w:rsidRPr="001A7517">
        <w:t>3)</w:t>
      </w:r>
      <w:r w:rsidRPr="001A7517">
        <w:tab/>
        <w:t>Standard Language to Encourage the Distribution of the Public Notice to All Persons Served.  A PWS supplier must include the following language in its notice (</w:t>
      </w:r>
      <w:r w:rsidRPr="001A7517">
        <w:rPr>
          <w:spacing w:val="-3"/>
        </w:rPr>
        <w:t xml:space="preserve">if </w:t>
      </w:r>
      <w:r w:rsidRPr="001A7517">
        <w:t>applicable):</w:t>
      </w:r>
    </w:p>
    <w:p w14:paraId="20B89B51" w14:textId="77777777" w:rsidR="00F0626C" w:rsidRPr="001A7517" w:rsidRDefault="00F0626C" w:rsidP="00F0626C">
      <w:pPr>
        <w:suppressAutoHyphens/>
        <w:spacing w:before="240" w:after="240"/>
        <w:ind w:left="2880"/>
      </w:pPr>
      <w:r w:rsidRPr="001A7517">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652B4512" w14:textId="77777777" w:rsidR="00F0626C" w:rsidRPr="001A7517" w:rsidRDefault="00F0626C" w:rsidP="00F0626C">
      <w:pPr>
        <w:spacing w:before="240"/>
        <w:rPr>
          <w:spacing w:val="-3"/>
        </w:rPr>
      </w:pPr>
      <w:r w:rsidRPr="001A7517">
        <w:rPr>
          <w:spacing w:val="-3"/>
        </w:rPr>
        <w:t>BOARD NOTE:  Derived from 40 CFR 141.205.</w:t>
      </w:r>
    </w:p>
    <w:p w14:paraId="4805AACA"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1C75ECC3" w14:textId="77777777" w:rsidR="00F0626C" w:rsidRPr="001A7517" w:rsidRDefault="00F0626C" w:rsidP="00F0626C">
      <w:pPr>
        <w:keepNext/>
        <w:keepLines/>
        <w:suppressAutoHyphens/>
        <w:spacing w:before="240"/>
        <w:rPr>
          <w:b/>
        </w:rPr>
      </w:pPr>
      <w:r w:rsidRPr="001A7517">
        <w:rPr>
          <w:b/>
        </w:rPr>
        <w:t>Section 611.906  Notice to New Billing Units or New Customers</w:t>
      </w:r>
    </w:p>
    <w:p w14:paraId="7308C576" w14:textId="77777777" w:rsidR="00F0626C" w:rsidRPr="001A7517" w:rsidRDefault="00F0626C" w:rsidP="00F0626C">
      <w:pPr>
        <w:spacing w:before="240"/>
        <w:ind w:left="1440" w:hanging="720"/>
      </w:pPr>
      <w:r w:rsidRPr="001A7517">
        <w:t>a)</w:t>
      </w:r>
      <w:r w:rsidRPr="001A7517">
        <w:tab/>
        <w:t>The Requirement for a CWS.  A CWS supplier must give a copy of the most recent public notice for any continuing violation, the existence of relief equivalent to a SDWA section 1415 variance or a section 1416 exemption, or other ongoing situations requiring a public notice to all new billing units or new customers prior to or at the time service begins.</w:t>
      </w:r>
    </w:p>
    <w:p w14:paraId="328C2ACA" w14:textId="77777777" w:rsidR="00F0626C" w:rsidRPr="001A7517" w:rsidRDefault="00F0626C" w:rsidP="00F0626C">
      <w:pPr>
        <w:spacing w:before="240"/>
        <w:ind w:left="1440" w:hanging="720"/>
      </w:pPr>
      <w:r w:rsidRPr="001A7517">
        <w:t>b)</w:t>
      </w:r>
      <w:r w:rsidRPr="001A7517">
        <w:tab/>
        <w:t xml:space="preserve">The Requirement for non-CWS.  A non-CWS supplier must continuously post the public notice in conspicuous locations in order to inform new consumers of any continuing violation, relief equivalent to a SDWA section 1415 variance or a section 1416 exemption, or other situation requiring a public notice for as long as </w:t>
      </w:r>
      <w:r w:rsidRPr="001A7517">
        <w:lastRenderedPageBreak/>
        <w:t>the violation, the relief equivalent to a SDWA section 1415 variance or a section 1416 exemption, or other situation persists.</w:t>
      </w:r>
    </w:p>
    <w:p w14:paraId="46526904" w14:textId="77777777" w:rsidR="00F0626C" w:rsidRPr="001A7517" w:rsidRDefault="00F0626C" w:rsidP="00F0626C">
      <w:pPr>
        <w:spacing w:before="240"/>
        <w:rPr>
          <w:spacing w:val="-3"/>
        </w:rPr>
      </w:pPr>
      <w:r w:rsidRPr="001A7517">
        <w:rPr>
          <w:spacing w:val="-3"/>
        </w:rPr>
        <w:t>BOARD NOTE:  Derived from 40 CFR 141.206.</w:t>
      </w:r>
    </w:p>
    <w:p w14:paraId="62938BED"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516BFC42" w14:textId="77777777" w:rsidR="00F0626C" w:rsidRPr="001A7517" w:rsidRDefault="00F0626C" w:rsidP="00F0626C">
      <w:pPr>
        <w:keepNext/>
        <w:keepLines/>
        <w:widowControl w:val="0"/>
        <w:suppressAutoHyphens/>
        <w:spacing w:before="240"/>
        <w:rPr>
          <w:b/>
        </w:rPr>
      </w:pPr>
      <w:r w:rsidRPr="001A7517">
        <w:rPr>
          <w:b/>
        </w:rPr>
        <w:t>Section 611.907  Special Notice of the Availability of Unregulated Contaminant Monitoring Results</w:t>
      </w:r>
    </w:p>
    <w:p w14:paraId="36B93ECD" w14:textId="77777777" w:rsidR="00F0626C" w:rsidRPr="001A7517" w:rsidRDefault="00F0626C" w:rsidP="00F0626C">
      <w:pPr>
        <w:widowControl w:val="0"/>
        <w:spacing w:before="240"/>
        <w:ind w:left="1440" w:hanging="720"/>
      </w:pPr>
      <w:r w:rsidRPr="001A7517">
        <w:t>a)</w:t>
      </w:r>
      <w:r w:rsidRPr="001A7517">
        <w:tab/>
        <w:t xml:space="preserve">When to Give Special Notice.  The owner or operator of a CWS supplier or an NTNCWS supplier required to monitor for unregulated contaminants by </w:t>
      </w:r>
      <w:r w:rsidRPr="001A7517">
        <w:rPr>
          <w:spacing w:val="-2"/>
        </w:rPr>
        <w:t xml:space="preserve">USEPA </w:t>
      </w:r>
      <w:r w:rsidRPr="001A7517">
        <w:t xml:space="preserve">under </w:t>
      </w:r>
      <w:r w:rsidRPr="001A7517">
        <w:rPr>
          <w:spacing w:val="-2"/>
        </w:rPr>
        <w:t xml:space="preserve">40 CFR 141.40 </w:t>
      </w:r>
      <w:r w:rsidRPr="001A7517">
        <w:t>must notify persons served by the supplier of the availability of the results of such sampling no later than 12 months after the monitoring results are known.</w:t>
      </w:r>
    </w:p>
    <w:p w14:paraId="7BAB1B9B" w14:textId="77777777" w:rsidR="00F0626C" w:rsidRPr="001A7517" w:rsidRDefault="00F0626C" w:rsidP="00F0626C">
      <w:pPr>
        <w:widowControl w:val="0"/>
        <w:spacing w:before="240"/>
        <w:ind w:left="1440" w:hanging="720"/>
      </w:pPr>
      <w:r w:rsidRPr="001A7517">
        <w:t>b)</w:t>
      </w:r>
      <w:r w:rsidRPr="001A7517">
        <w:tab/>
        <w:t>The Form and Manner of a Special Notice.  The form and manner of the public notice must follow the requirements for a Tier 3 public notice prescribed in Sections 611.904(c), (d)(1), and (d)(3).  The notice must also identify a person and provide the telephone number to contact for information on the monitoring results.</w:t>
      </w:r>
    </w:p>
    <w:p w14:paraId="6E4F010B" w14:textId="77777777" w:rsidR="00F0626C" w:rsidRPr="001A7517" w:rsidRDefault="00F0626C" w:rsidP="00F0626C">
      <w:pPr>
        <w:widowControl w:val="0"/>
        <w:spacing w:before="240"/>
        <w:rPr>
          <w:spacing w:val="-3"/>
        </w:rPr>
      </w:pPr>
      <w:r w:rsidRPr="001A7517">
        <w:rPr>
          <w:spacing w:val="-3"/>
        </w:rPr>
        <w:t>BOARD NOTE:  Derived from 40 CFR 141.207.</w:t>
      </w:r>
    </w:p>
    <w:p w14:paraId="67E7E706"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4696BDE7" w14:textId="77777777" w:rsidR="00F0626C" w:rsidRPr="001A7517" w:rsidRDefault="00F0626C" w:rsidP="00F0626C">
      <w:pPr>
        <w:keepNext/>
        <w:keepLines/>
        <w:suppressAutoHyphens/>
        <w:spacing w:before="240"/>
        <w:rPr>
          <w:b/>
          <w:bCs/>
        </w:rPr>
      </w:pPr>
      <w:r w:rsidRPr="001A7517">
        <w:rPr>
          <w:b/>
          <w:bCs/>
        </w:rPr>
        <w:t xml:space="preserve">Section 611.908  Special Notice for </w:t>
      </w:r>
      <w:r w:rsidRPr="001A7517">
        <w:rPr>
          <w:b/>
        </w:rPr>
        <w:t xml:space="preserve">Exceedance </w:t>
      </w:r>
      <w:r w:rsidRPr="001A7517">
        <w:rPr>
          <w:b/>
          <w:bCs/>
        </w:rPr>
        <w:t>of the Fluoride Secondary Standard</w:t>
      </w:r>
    </w:p>
    <w:p w14:paraId="20000FE7" w14:textId="77777777" w:rsidR="00F0626C" w:rsidRPr="001A7517" w:rsidRDefault="00F0626C" w:rsidP="00F0626C">
      <w:pPr>
        <w:spacing w:before="240"/>
        <w:ind w:left="1440" w:hanging="720"/>
      </w:pPr>
      <w:r w:rsidRPr="001A7517">
        <w:t>a)</w:t>
      </w:r>
      <w:r w:rsidRPr="001A7517">
        <w:tab/>
        <w:t>When to Give Special Notice.  A CWS supplier that exceeds the federal fluoride secondary MCL of 2 mg/ℓ (see 40 CFR 143.3)) (determined by the last single sample taken in accordance with Section 611.603), but does not exceed the maximum contaminant level (MCL) of 4 mg/ℓ for fluoride (as specified in Section 611.301), must provide the public notice in subsection (c) to persons served.  Public notice must be provided as soon as practical but no later than 12 months from the day the supplier learns of the exceedance.  A copy of the notice must also be sent to all new billing units and new customers at the time service begins and to the Department of Public Health.  The PWS supplier must repeat the notice at least annually for as long as the SMCL is exceeded.  If the public notice is posted, the notice must remain in place for as long as the fluoride SMCL is exceeded, but in no case less than seven days (even if the exceedance is eliminated).  On a case-by-case basis, the Agency may require an initial notice sooner than 12 months and repeat notices more frequently than annually.</w:t>
      </w:r>
    </w:p>
    <w:p w14:paraId="3D6EC13F" w14:textId="77777777" w:rsidR="00F0626C" w:rsidRPr="001A7517" w:rsidRDefault="00F0626C" w:rsidP="00F0626C">
      <w:pPr>
        <w:spacing w:before="240"/>
        <w:ind w:left="1440"/>
      </w:pPr>
      <w:r w:rsidRPr="001A7517">
        <w:t xml:space="preserve">BOARD NOTE:  The federal regulations provide at 40 CFR 143.1 that secondary MCLs relate to the aesthetic qualities of water; they are not enforceable standards.  The National Primary Drinking Water Regulations, however, include an </w:t>
      </w:r>
      <w:r w:rsidRPr="001A7517">
        <w:lastRenderedPageBreak/>
        <w:t>enforceable requirement, at corresponding 40 CFR 141.208, that requires public notice upon exceedance of the secondary MCL for fluoride.</w:t>
      </w:r>
    </w:p>
    <w:p w14:paraId="5CF86DCB" w14:textId="77777777" w:rsidR="00F0626C" w:rsidRPr="001A7517" w:rsidRDefault="00F0626C" w:rsidP="00F0626C">
      <w:pPr>
        <w:spacing w:before="240"/>
        <w:ind w:left="1440" w:hanging="720"/>
      </w:pPr>
      <w:r w:rsidRPr="001A7517">
        <w:t>b)</w:t>
      </w:r>
      <w:r w:rsidRPr="001A7517">
        <w:tab/>
        <w:t>The Form and Manner of a Special Notice.  The form and manner of the public notice (including repeat notices) must follow the requirements for a Tier 3 public notice in Section 611.904(c), (d)(1), and (d)(3).</w:t>
      </w:r>
    </w:p>
    <w:p w14:paraId="4198F1C4" w14:textId="77777777" w:rsidR="00F0626C" w:rsidRPr="001A7517" w:rsidRDefault="00F0626C" w:rsidP="00F0626C">
      <w:pPr>
        <w:spacing w:before="240"/>
        <w:ind w:left="1440" w:hanging="720"/>
      </w:pPr>
      <w:r w:rsidRPr="001A7517">
        <w:t>c)</w:t>
      </w:r>
      <w:r w:rsidRPr="001A7517">
        <w:tab/>
        <w:t>Mandatory Language in a Special Notice. The notice must contain the following language, including the language necessary to fill in the blanks:</w:t>
      </w:r>
    </w:p>
    <w:p w14:paraId="237FD10F" w14:textId="77777777" w:rsidR="00F0626C" w:rsidRPr="001A7517" w:rsidRDefault="00F0626C" w:rsidP="00F0626C">
      <w:pPr>
        <w:spacing w:before="240"/>
        <w:ind w:left="2160"/>
      </w:pPr>
      <w:r w:rsidRPr="001A7517">
        <w:t>This is an alert about your drinking water and a cosmetic dental problem that might affect children under nine years of age.  At low levels, fluoride can help prevent cavities, but children drinking water containing more than 2 milligrams per liter (mg/ℓ) of fluoride may develop cosmetic discoloration of their permanent teeth (dental fluorosis).  The drinking water provided by your community water system (name) has a fluoride concentration of (insert value) mg/ℓ.  Dental fluorosis, in its moderate or severe forms, may result in a brown staining or pitting of the permanent teeth.  This problem occurs only in developing teeth, before they erupt from the gums.  Children under nine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w:t>
      </w:r>
    </w:p>
    <w:p w14:paraId="7983F2A7" w14:textId="77777777" w:rsidR="00F0626C" w:rsidRPr="001A7517" w:rsidRDefault="00F0626C" w:rsidP="00F0626C">
      <w:pPr>
        <w:spacing w:before="240"/>
        <w:ind w:left="2160"/>
      </w:pPr>
      <w:r w:rsidRPr="001A7517">
        <w:t>Drinking water containing more than 4 mg/ℓ of fluoride (the USEPA’s drinking water standard) can increase your risk of developing bone disease.  Your drinking water does not contain more than 4 mg/ℓ of fluoride, but we’re required to notify you when we discover that the fluoride levels in your drinking water exceed 2 mg/ℓ because of this cosmetic dental problem.</w:t>
      </w:r>
    </w:p>
    <w:p w14:paraId="5600F870" w14:textId="77777777" w:rsidR="00F0626C" w:rsidRPr="001A7517" w:rsidRDefault="00F0626C" w:rsidP="00F0626C">
      <w:pPr>
        <w:spacing w:before="240"/>
        <w:ind w:left="2160"/>
      </w:pPr>
      <w:r w:rsidRPr="001A7517">
        <w:t>For more information, please call (name of water system contact) of (name of community water system) at (phone number). Some home water treatment units are also available to remove fluoride from drinking water. To learn more about available home water treatment units, you may call NSF International at 1-877-8-NSF-HELP.</w:t>
      </w:r>
    </w:p>
    <w:p w14:paraId="7E47BF9E" w14:textId="77777777" w:rsidR="00F0626C" w:rsidRPr="001A7517" w:rsidRDefault="00F0626C" w:rsidP="00F0626C">
      <w:pPr>
        <w:spacing w:before="240"/>
        <w:rPr>
          <w:spacing w:val="-3"/>
        </w:rPr>
      </w:pPr>
      <w:r w:rsidRPr="001A7517">
        <w:rPr>
          <w:spacing w:val="-3"/>
        </w:rPr>
        <w:t>BOARD NOTE:  Derived from 40 CFR 141.208.</w:t>
      </w:r>
    </w:p>
    <w:p w14:paraId="218F15EC"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0948CC97" w14:textId="77777777" w:rsidR="00F0626C" w:rsidRPr="001A7517" w:rsidRDefault="00F0626C" w:rsidP="00F0626C">
      <w:pPr>
        <w:keepNext/>
        <w:keepLines/>
        <w:suppressAutoHyphens/>
        <w:spacing w:before="240"/>
        <w:rPr>
          <w:b/>
          <w:bCs/>
        </w:rPr>
      </w:pPr>
      <w:r w:rsidRPr="001A7517">
        <w:rPr>
          <w:b/>
        </w:rPr>
        <w:lastRenderedPageBreak/>
        <w:t>Section 611.909  Special Notice for Nitrate Exceedances above the MCL by a Non-</w:t>
      </w:r>
      <w:r w:rsidRPr="001A7517">
        <w:rPr>
          <w:b/>
          <w:bCs/>
        </w:rPr>
        <w:t>Community Water System</w:t>
      </w:r>
    </w:p>
    <w:p w14:paraId="48DD65C4" w14:textId="77777777" w:rsidR="00F0626C" w:rsidRPr="001A7517" w:rsidRDefault="00F0626C" w:rsidP="00F0626C">
      <w:pPr>
        <w:spacing w:before="240"/>
        <w:ind w:left="1440" w:hanging="720"/>
      </w:pPr>
      <w:r w:rsidRPr="001A7517">
        <w:t>a)</w:t>
      </w:r>
      <w:r w:rsidRPr="001A7517">
        <w:tab/>
        <w:t>When the Special Notice Is to Be Given.  The owner or operator of a non-CWS supplier granted permission by the Agency under Section 611.300(d) to exceed the nitrate MCL must provide notice to persons served according to the requirements for a Tier 1 notice under Section 611.902(a) and (b).</w:t>
      </w:r>
    </w:p>
    <w:p w14:paraId="7095F0C8" w14:textId="77777777" w:rsidR="00F0626C" w:rsidRPr="001A7517" w:rsidRDefault="00F0626C" w:rsidP="00F0626C">
      <w:pPr>
        <w:spacing w:before="240"/>
        <w:ind w:left="1440" w:hanging="720"/>
      </w:pPr>
      <w:r w:rsidRPr="001A7517">
        <w:t>b)</w:t>
      </w:r>
      <w:r w:rsidRPr="001A7517">
        <w:tab/>
        <w:t>The Form and Manner of a Special Notice.  A non-CWS supplier granted permission by the Agency to exceed the nitrate MCL under Section 611.300(d) must provide continuous posting of the fact that nitrate levels exceed 10 mg/ℓ and the potential health effects of exposure, according to the requirements for Tier 1 notice delivery under Section 611.902(c) and the content requirements under Section 611.905.</w:t>
      </w:r>
    </w:p>
    <w:p w14:paraId="43432E07" w14:textId="77777777" w:rsidR="00F0626C" w:rsidRPr="001A7517" w:rsidRDefault="00F0626C" w:rsidP="00F0626C">
      <w:pPr>
        <w:spacing w:before="240"/>
        <w:rPr>
          <w:spacing w:val="-3"/>
        </w:rPr>
      </w:pPr>
      <w:r w:rsidRPr="001A7517">
        <w:rPr>
          <w:spacing w:val="-3"/>
        </w:rPr>
        <w:t>BOARD NOTE:  Derived from 40 CFR 141.209.</w:t>
      </w:r>
    </w:p>
    <w:p w14:paraId="0349A8AD"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3BD89811" w14:textId="77777777" w:rsidR="00F0626C" w:rsidRPr="001A7517" w:rsidRDefault="00F0626C" w:rsidP="00F0626C">
      <w:pPr>
        <w:keepNext/>
        <w:keepLines/>
        <w:suppressAutoHyphens/>
        <w:spacing w:before="240"/>
        <w:rPr>
          <w:b/>
        </w:rPr>
      </w:pPr>
      <w:r w:rsidRPr="001A7517">
        <w:rPr>
          <w:b/>
        </w:rPr>
        <w:t>Section 611.910  Notice by the Agency on Behalf of a PWS</w:t>
      </w:r>
    </w:p>
    <w:p w14:paraId="7F4E85E3" w14:textId="77777777" w:rsidR="00F0626C" w:rsidRPr="001A7517" w:rsidRDefault="00F0626C" w:rsidP="00F0626C">
      <w:pPr>
        <w:spacing w:before="240"/>
        <w:ind w:left="1440" w:hanging="720"/>
      </w:pPr>
      <w:r w:rsidRPr="001A7517">
        <w:t>a)</w:t>
      </w:r>
      <w:r w:rsidRPr="001A7517">
        <w:tab/>
        <w:t>The Agency may issue the notice required by this Subpart V on behalf of the owner and operator of the PWS supplier if the Agency complies with the requirements of this Subpart V.</w:t>
      </w:r>
    </w:p>
    <w:p w14:paraId="027351C6" w14:textId="77777777" w:rsidR="00F0626C" w:rsidRPr="001A7517" w:rsidRDefault="00F0626C" w:rsidP="00F0626C">
      <w:pPr>
        <w:spacing w:before="240"/>
        <w:ind w:left="1440" w:hanging="720"/>
      </w:pPr>
      <w:r w:rsidRPr="001A7517">
        <w:t>b)</w:t>
      </w:r>
      <w:r w:rsidRPr="001A7517">
        <w:tab/>
        <w:t>The responsibility of the PWS supplier when notice is given by the Agency.  The owner or operator of the PWS supplier remains responsible for ensuring that the requirements of this Subpart V are met.</w:t>
      </w:r>
    </w:p>
    <w:p w14:paraId="1D14D998" w14:textId="77777777" w:rsidR="00F0626C" w:rsidRPr="001A7517" w:rsidRDefault="00F0626C" w:rsidP="00F0626C">
      <w:pPr>
        <w:spacing w:before="240"/>
        <w:rPr>
          <w:spacing w:val="-3"/>
        </w:rPr>
      </w:pPr>
      <w:r w:rsidRPr="001A7517">
        <w:rPr>
          <w:spacing w:val="-3"/>
        </w:rPr>
        <w:t>BOARD NOTE:  Derived from 40 CFR 141.210.</w:t>
      </w:r>
    </w:p>
    <w:p w14:paraId="43EC6CB2" w14:textId="77777777" w:rsidR="00F0626C" w:rsidRPr="001A7517" w:rsidRDefault="00F0626C" w:rsidP="00F0626C">
      <w:pPr>
        <w:suppressAutoHyphens/>
        <w:spacing w:before="240"/>
        <w:ind w:left="720"/>
      </w:pPr>
      <w:r w:rsidRPr="001A7517">
        <w:t>(Source:  Amended at 27 Ill. Reg. 16447, effective October 10, 2003)</w:t>
      </w:r>
    </w:p>
    <w:p w14:paraId="6012B64A" w14:textId="77777777" w:rsidR="00F0626C" w:rsidRPr="001A7517" w:rsidRDefault="00F0626C" w:rsidP="00F0626C">
      <w:pPr>
        <w:keepNext/>
        <w:keepLines/>
        <w:suppressAutoHyphens/>
        <w:spacing w:before="240"/>
        <w:rPr>
          <w:b/>
          <w:szCs w:val="16"/>
        </w:rPr>
      </w:pPr>
      <w:bookmarkStart w:id="4402" w:name="_Hlk531012792"/>
      <w:r w:rsidRPr="001A7517">
        <w:rPr>
          <w:b/>
          <w:szCs w:val="16"/>
        </w:rPr>
        <w:t>Section 611.911  Special Notice for Cryptosporidium</w:t>
      </w:r>
    </w:p>
    <w:p w14:paraId="48E8159D" w14:textId="77777777" w:rsidR="00F0626C" w:rsidRPr="001A7517" w:rsidRDefault="00F0626C" w:rsidP="00F0626C">
      <w:pPr>
        <w:spacing w:before="240"/>
        <w:ind w:left="1440" w:hanging="720"/>
      </w:pPr>
      <w:r w:rsidRPr="001A7517">
        <w:rPr>
          <w:szCs w:val="16"/>
        </w:rPr>
        <w:t>a)</w:t>
      </w:r>
      <w:r w:rsidRPr="001A7517">
        <w:rPr>
          <w:szCs w:val="16"/>
        </w:rPr>
        <w:tab/>
      </w:r>
      <w:r w:rsidRPr="001A7517">
        <w:t>When the Special Notice for Repeated Failure to Monitor Must Be Given.  The owner or operator of a CWS or non-CWS that is required to monitor source water under Section 611.1001 must notify persons served by its water system that monitoring has not been completed as specified no later than 30 days after the system has failed to collect any three months of monitoring, as specified in Section 611.1001(c).  The notice must be repeated as specified in Section 611.903(b).</w:t>
      </w:r>
    </w:p>
    <w:p w14:paraId="0A9214FC" w14:textId="77777777" w:rsidR="00F0626C" w:rsidRPr="001A7517" w:rsidRDefault="00F0626C" w:rsidP="00F0626C">
      <w:pPr>
        <w:spacing w:before="240"/>
        <w:ind w:left="1440" w:hanging="720"/>
      </w:pPr>
      <w:r w:rsidRPr="001A7517">
        <w:t>b)</w:t>
      </w:r>
      <w:r w:rsidRPr="001A7517">
        <w:tab/>
        <w:t xml:space="preserve">When the Special Notice for Failure to Determine Bin Classification or Mean Cryptosporidium Level Must Be Given.  The owner or operator of a CWS or non-CWS that is required to determine a bin classification under Section 611.1010, or </w:t>
      </w:r>
      <w:r w:rsidRPr="001A7517">
        <w:lastRenderedPageBreak/>
        <w:t>one that is required to determine mean Cryptosporidium level under Section 611.1012, must notify persons served by its water system that the determination has not been made as required no later than 30 days after the system has failed report the determination as specified in Section 611.1010(e) or Section 611.1012(a), respectively.  The supplier must repeat the notice as specified in Section 611.903(b).  The notice is not required if the system is complying with an Agency-approved schedule to address the violation.</w:t>
      </w:r>
    </w:p>
    <w:p w14:paraId="213BBF12" w14:textId="77777777" w:rsidR="00F0626C" w:rsidRPr="001A7517" w:rsidRDefault="00F0626C" w:rsidP="00F0626C">
      <w:pPr>
        <w:spacing w:before="240"/>
        <w:ind w:left="1440" w:hanging="720"/>
      </w:pPr>
      <w:r w:rsidRPr="001A7517">
        <w:t>c)</w:t>
      </w:r>
      <w:r w:rsidRPr="001A7517">
        <w:tab/>
        <w:t>The Form and Manner of a Special Notice.  The form and manner of the public notice must follow the requirements for a Tier 2 public notice prescribed in Section 611.903(c).  The public notice must be presented as required in Section 611.905(c).</w:t>
      </w:r>
    </w:p>
    <w:p w14:paraId="0C1DDFDF" w14:textId="77777777" w:rsidR="00F0626C" w:rsidRPr="001A7517" w:rsidRDefault="00F0626C" w:rsidP="00F0626C">
      <w:pPr>
        <w:spacing w:before="240"/>
        <w:ind w:left="1440" w:hanging="720"/>
      </w:pPr>
      <w:r w:rsidRPr="001A7517">
        <w:t>d)</w:t>
      </w:r>
      <w:r w:rsidRPr="001A7517">
        <w:tab/>
        <w:t>Mandatory Language That Must Be Contained in the Special Notice.  The notice must contain all of the following language, including the language necessary to fill in the blanks:</w:t>
      </w:r>
    </w:p>
    <w:p w14:paraId="712228AE" w14:textId="77777777" w:rsidR="00F0626C" w:rsidRPr="001A7517" w:rsidRDefault="00F0626C" w:rsidP="00F0626C">
      <w:pPr>
        <w:spacing w:before="240"/>
        <w:ind w:left="2160" w:hanging="720"/>
      </w:pPr>
      <w:r w:rsidRPr="001A7517">
        <w:t>1)</w:t>
      </w:r>
      <w:r w:rsidRPr="001A7517">
        <w:tab/>
        <w:t>The special notice for repeated failure to conduct monitoring must contain the following mandatory language:</w:t>
      </w:r>
    </w:p>
    <w:p w14:paraId="467F7DAB" w14:textId="77777777" w:rsidR="00F0626C" w:rsidRPr="001A7517" w:rsidRDefault="00F0626C" w:rsidP="00F0626C">
      <w:pPr>
        <w:spacing w:before="240"/>
        <w:ind w:left="2880"/>
        <w:rPr>
          <w:szCs w:val="16"/>
        </w:rPr>
      </w:pPr>
      <w:r w:rsidRPr="001A7517">
        <w:rPr>
          <w:szCs w:val="16"/>
        </w:rPr>
        <w:t xml:space="preserve">We are required to monitor the source of your drinking water for Cryptosporidium.  Results of the monitoring are to be used to determine whether water treatment at the [treatment plant name] is sufficient to adequately remove Cryptosporidium from your drinking water.  We are required to complete this monitoring and make this determination </w:t>
      </w:r>
      <w:r w:rsidRPr="001A7517">
        <w:t>before</w:t>
      </w:r>
      <w:r w:rsidRPr="001A7517">
        <w:rPr>
          <w:szCs w:val="16"/>
        </w:rPr>
        <w:t xml:space="preserve"> [required bin determination date].  We [insert the applicable of the following at this point:  “did not monitor or test” or “did not complete all monitoring or testing”] on schedule and, therefore, we may not be able to determine </w:t>
      </w:r>
      <w:r w:rsidRPr="001A7517">
        <w:t>before</w:t>
      </w:r>
      <w:r w:rsidRPr="001A7517">
        <w:rPr>
          <w:szCs w:val="16"/>
        </w:rPr>
        <w:t xml:space="preserve"> the required date what treatment modifications, if any, must be made to ensure adequate Cryptosporidium removal.  Missing this deadline may, in turn, jeopardize our ability to have the required treatment modifications, if any, completed </w:t>
      </w:r>
      <w:r w:rsidRPr="001A7517">
        <w:t>before</w:t>
      </w:r>
      <w:r w:rsidRPr="001A7517">
        <w:rPr>
          <w:szCs w:val="16"/>
        </w:rPr>
        <w:t xml:space="preserve"> the deadline required, [date].  For more information, please call [name of water system contact] of [name of water system] at [phone number].</w:t>
      </w:r>
    </w:p>
    <w:p w14:paraId="2404D6AD" w14:textId="77777777" w:rsidR="00F0626C" w:rsidRPr="001A7517" w:rsidRDefault="00F0626C" w:rsidP="00F0626C">
      <w:pPr>
        <w:spacing w:before="240"/>
        <w:ind w:left="2160" w:hanging="720"/>
      </w:pPr>
      <w:r w:rsidRPr="001A7517">
        <w:rPr>
          <w:szCs w:val="16"/>
        </w:rPr>
        <w:t>2)</w:t>
      </w:r>
      <w:r w:rsidRPr="001A7517">
        <w:rPr>
          <w:szCs w:val="16"/>
        </w:rPr>
        <w:tab/>
      </w:r>
      <w:r w:rsidRPr="001A7517">
        <w:t>The special notice for failure to determine bin classification or mean Cryptosporidium level must contain the following mandatory language:</w:t>
      </w:r>
    </w:p>
    <w:p w14:paraId="68AC5E3F" w14:textId="77777777" w:rsidR="00F0626C" w:rsidRPr="001A7517" w:rsidRDefault="00F0626C" w:rsidP="00F0626C">
      <w:pPr>
        <w:spacing w:before="240"/>
        <w:ind w:left="2880"/>
        <w:rPr>
          <w:szCs w:val="16"/>
        </w:rPr>
      </w:pPr>
      <w:r w:rsidRPr="001A7517">
        <w:rPr>
          <w:szCs w:val="16"/>
        </w:rPr>
        <w:t xml:space="preserve">We are required to monitor the source of your drinking water for Cryptosporidium in order to determine </w:t>
      </w:r>
      <w:r w:rsidRPr="001A7517">
        <w:t>before</w:t>
      </w:r>
      <w:r w:rsidRPr="001A7517">
        <w:rPr>
          <w:szCs w:val="16"/>
        </w:rPr>
        <w:t xml:space="preserve"> [date] whether water treatment at the [treatment plant name] is sufficient to adequately remove Cryptosporidium from your drinking water.  We have not made this determination </w:t>
      </w:r>
      <w:r w:rsidRPr="001A7517">
        <w:t>before</w:t>
      </w:r>
      <w:r w:rsidRPr="001A7517">
        <w:rPr>
          <w:szCs w:val="16"/>
        </w:rPr>
        <w:t xml:space="preserve"> the required date.  Our failure to do this may jeopardize our ability to have the required treatment </w:t>
      </w:r>
      <w:r w:rsidRPr="001A7517">
        <w:rPr>
          <w:szCs w:val="16"/>
        </w:rPr>
        <w:lastRenderedPageBreak/>
        <w:t xml:space="preserve">modifications, if any, completed </w:t>
      </w:r>
      <w:r w:rsidRPr="001A7517">
        <w:t>before</w:t>
      </w:r>
      <w:r w:rsidRPr="001A7517">
        <w:rPr>
          <w:szCs w:val="16"/>
        </w:rPr>
        <w:t xml:space="preserve"> the required deadline of [date].  For more information, please call [name of water system contact] of [name of water system] at [phone number].</w:t>
      </w:r>
    </w:p>
    <w:p w14:paraId="37A887F4" w14:textId="77777777" w:rsidR="00F0626C" w:rsidRPr="001A7517" w:rsidRDefault="00F0626C" w:rsidP="00F0626C">
      <w:pPr>
        <w:spacing w:before="240"/>
        <w:ind w:left="2160" w:hanging="720"/>
      </w:pPr>
      <w:r w:rsidRPr="001A7517">
        <w:rPr>
          <w:szCs w:val="16"/>
        </w:rPr>
        <w:t>3)</w:t>
      </w:r>
      <w:r w:rsidRPr="001A7517">
        <w:rPr>
          <w:szCs w:val="16"/>
        </w:rPr>
        <w:tab/>
      </w:r>
      <w:r w:rsidRPr="001A7517">
        <w:t>Each special notice must also include a description of what the supplier is doing to correct the violation and when the supplier expects to return to compliance or resolve the situation.</w:t>
      </w:r>
    </w:p>
    <w:p w14:paraId="57747926" w14:textId="77777777" w:rsidR="00F0626C" w:rsidRPr="001A7517" w:rsidRDefault="00F0626C" w:rsidP="00F0626C">
      <w:pPr>
        <w:spacing w:before="240"/>
      </w:pPr>
      <w:r w:rsidRPr="001A7517">
        <w:t>BOARD NOTE:  Derived from 40 CFR 141.211.</w:t>
      </w:r>
    </w:p>
    <w:p w14:paraId="2A589B05"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243FDE18" w14:textId="77777777" w:rsidR="00F0626C" w:rsidRPr="001A7517" w:rsidRDefault="00F0626C" w:rsidP="00F0626C">
      <w:pPr>
        <w:keepNext/>
        <w:keepLines/>
        <w:suppressAutoHyphens/>
        <w:spacing w:before="240" w:after="240"/>
        <w:ind w:left="720" w:right="720"/>
        <w:jc w:val="center"/>
        <w:rPr>
          <w:szCs w:val="18"/>
        </w:rPr>
      </w:pPr>
      <w:r w:rsidRPr="001A7517">
        <w:t>SUBPART W</w:t>
      </w:r>
      <w:r w:rsidRPr="001A7517">
        <w:rPr>
          <w:szCs w:val="18"/>
        </w:rPr>
        <w:t>:  INITIAL DISTRIBUTION SYSTEM EVALUATIONS</w:t>
      </w:r>
    </w:p>
    <w:p w14:paraId="4137F8F0" w14:textId="77777777" w:rsidR="00F0626C" w:rsidRPr="001A7517" w:rsidRDefault="00F0626C" w:rsidP="00F0626C">
      <w:pPr>
        <w:keepNext/>
        <w:keepLines/>
        <w:suppressAutoHyphens/>
        <w:spacing w:before="240"/>
        <w:rPr>
          <w:b/>
          <w:bCs/>
        </w:rPr>
      </w:pPr>
      <w:bookmarkStart w:id="4403" w:name="_Hlk26283425"/>
      <w:bookmarkEnd w:id="4402"/>
      <w:r w:rsidRPr="001A7517">
        <w:rPr>
          <w:b/>
          <w:bCs/>
        </w:rPr>
        <w:t>Section 611.920  General Requirements</w:t>
      </w:r>
    </w:p>
    <w:p w14:paraId="1B55EE33"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USEPA has designated that the requirements of this </w:t>
      </w:r>
      <w:r w:rsidRPr="001A7517">
        <w:t>Subpart W</w:t>
      </w:r>
      <w:r w:rsidRPr="001A7517">
        <w:rPr>
          <w:szCs w:val="18"/>
        </w:rPr>
        <w:t xml:space="preserve"> constitute National Primary Drinking Water Regulations.  The regulations in this Subpart W establish monitoring and other requirements for identifying </w:t>
      </w:r>
      <w:r w:rsidRPr="001A7517">
        <w:t>Subpart Y</w:t>
      </w:r>
      <w:r w:rsidRPr="001A7517">
        <w:rPr>
          <w:szCs w:val="18"/>
        </w:rPr>
        <w:t xml:space="preserve"> compliance monitoring locations for determining compliance with maximum contaminant levels for TTHMs and HAA5.  The supplier must use an initial distribution system evaluation (IDSE) to determine </w:t>
      </w:r>
      <w:r w:rsidRPr="001A7517">
        <w:t xml:space="preserve">the </w:t>
      </w:r>
      <w:r w:rsidRPr="001A7517">
        <w:rPr>
          <w:szCs w:val="18"/>
        </w:rPr>
        <w:t xml:space="preserve">locations </w:t>
      </w:r>
      <w:r w:rsidRPr="001A7517">
        <w:t xml:space="preserve">in its distribution system that are </w:t>
      </w:r>
      <w:r w:rsidRPr="001A7517">
        <w:rPr>
          <w:szCs w:val="18"/>
        </w:rPr>
        <w:t xml:space="preserve">representative </w:t>
      </w:r>
      <w:r w:rsidRPr="001A7517">
        <w:t xml:space="preserve">of </w:t>
      </w:r>
      <w:r w:rsidRPr="001A7517">
        <w:rPr>
          <w:szCs w:val="18"/>
        </w:rPr>
        <w:t xml:space="preserve">high TTHM and HAA5 concentrations throughout the supplier’s distribution system.  An IDSE is used in conjunction with, but separate from, Subpart I compliance monitoring, to identify and select </w:t>
      </w:r>
      <w:r w:rsidRPr="001A7517">
        <w:t>Subpart Y</w:t>
      </w:r>
      <w:r w:rsidRPr="001A7517">
        <w:rPr>
          <w:szCs w:val="18"/>
        </w:rPr>
        <w:t xml:space="preserve"> compliance monitoring locations.</w:t>
      </w:r>
    </w:p>
    <w:p w14:paraId="4A9FDA4A" w14:textId="77777777" w:rsidR="00F0626C" w:rsidRPr="001A7517" w:rsidRDefault="00F0626C" w:rsidP="00F0626C">
      <w:pPr>
        <w:spacing w:before="240"/>
        <w:ind w:left="1440" w:hanging="720"/>
        <w:rPr>
          <w:szCs w:val="18"/>
        </w:rPr>
      </w:pPr>
      <w:r w:rsidRPr="001A7517">
        <w:rPr>
          <w:szCs w:val="18"/>
        </w:rPr>
        <w:t>b)</w:t>
      </w:r>
      <w:r w:rsidRPr="001A7517">
        <w:rPr>
          <w:szCs w:val="18"/>
        </w:rPr>
        <w:tab/>
        <w:t>Applicability.  A supplier is subject to the requirements of this Subpart W if it fulfills any of the following conditions:</w:t>
      </w:r>
    </w:p>
    <w:p w14:paraId="718638D3" w14:textId="77777777" w:rsidR="00F0626C" w:rsidRPr="001A7517" w:rsidRDefault="00F0626C" w:rsidP="00F0626C">
      <w:pPr>
        <w:spacing w:before="240"/>
        <w:ind w:left="2160" w:hanging="720"/>
        <w:rPr>
          <w:szCs w:val="18"/>
        </w:rPr>
      </w:pPr>
      <w:r w:rsidRPr="001A7517">
        <w:rPr>
          <w:szCs w:val="18"/>
        </w:rPr>
        <w:t>1)</w:t>
      </w:r>
      <w:r w:rsidRPr="001A7517">
        <w:rPr>
          <w:szCs w:val="18"/>
        </w:rPr>
        <w:tab/>
        <w:t>The supplier owns or operates a community water system that uses a primary or residual disinfectant other than ultraviolet light;</w:t>
      </w:r>
    </w:p>
    <w:p w14:paraId="453EDEBA" w14:textId="77777777" w:rsidR="00F0626C" w:rsidRPr="001A7517" w:rsidRDefault="00F0626C" w:rsidP="00F0626C">
      <w:pPr>
        <w:spacing w:before="240"/>
        <w:ind w:left="2160" w:hanging="720"/>
        <w:rPr>
          <w:szCs w:val="18"/>
        </w:rPr>
      </w:pPr>
      <w:r w:rsidRPr="001A7517">
        <w:rPr>
          <w:szCs w:val="18"/>
        </w:rPr>
        <w:t>2)</w:t>
      </w:r>
      <w:r w:rsidRPr="001A7517">
        <w:rPr>
          <w:szCs w:val="18"/>
        </w:rPr>
        <w:tab/>
        <w:t>The supplier delivers water that has been treated with a primary or residual disinfectant other than ultraviolet light; or</w:t>
      </w:r>
    </w:p>
    <w:p w14:paraId="17F36AF3" w14:textId="77777777" w:rsidR="00F0626C" w:rsidRPr="001A7517" w:rsidRDefault="00F0626C" w:rsidP="00F0626C">
      <w:pPr>
        <w:spacing w:before="240"/>
        <w:ind w:left="2160" w:hanging="720"/>
        <w:rPr>
          <w:szCs w:val="18"/>
        </w:rPr>
      </w:pPr>
      <w:r w:rsidRPr="001A7517">
        <w:rPr>
          <w:szCs w:val="18"/>
        </w:rPr>
        <w:t>3)</w:t>
      </w:r>
      <w:r w:rsidRPr="001A7517">
        <w:rPr>
          <w:szCs w:val="18"/>
        </w:rPr>
        <w:tab/>
        <w:t>The supplier owns or operates a non-transient non-community water system that serves at least 10,000 people, and it either uses a primary or residual disinfectant other than ultraviolet light, or it delivers water that has been treated with a primary or residual disinfectant other than ultraviolet light.</w:t>
      </w:r>
    </w:p>
    <w:p w14:paraId="705ABCE6" w14:textId="77777777" w:rsidR="00F0626C" w:rsidRPr="001A7517" w:rsidRDefault="00F0626C" w:rsidP="00F0626C">
      <w:pPr>
        <w:spacing w:before="240"/>
        <w:ind w:left="1440" w:hanging="720"/>
        <w:rPr>
          <w:szCs w:val="18"/>
        </w:rPr>
      </w:pPr>
      <w:r w:rsidRPr="001A7517">
        <w:rPr>
          <w:szCs w:val="18"/>
        </w:rPr>
        <w:t>c)</w:t>
      </w:r>
      <w:r w:rsidRPr="001A7517">
        <w:rPr>
          <w:szCs w:val="18"/>
        </w:rPr>
        <w:tab/>
        <w:t xml:space="preserve">The Agency may determine, by a SEP, that a combined distribution system does not include certain consecutive systems based on such factors as the delivery of water to a consecutive system only on an emergency basis or the receiving only a small percentage and small volume of water from a wholesale system.  The </w:t>
      </w:r>
      <w:r w:rsidRPr="001A7517">
        <w:rPr>
          <w:szCs w:val="18"/>
        </w:rPr>
        <w:lastRenderedPageBreak/>
        <w:t xml:space="preserve">Agency may also determine, by a SEP issued </w:t>
      </w:r>
      <w:r w:rsidRPr="001A7517">
        <w:t xml:space="preserve">under </w:t>
      </w:r>
      <w:r w:rsidRPr="001A7517">
        <w:rPr>
          <w:szCs w:val="18"/>
        </w:rPr>
        <w:t>Section 611.110, that a combined distribution system does not include certain wholesale systems based on such factors as the delivery of water to a consecutive system only on an emergency basis or the delivery of only a small percentage and small volume of water to a consecutive system.</w:t>
      </w:r>
    </w:p>
    <w:p w14:paraId="640DAE7A" w14:textId="77777777" w:rsidR="00F0626C" w:rsidRPr="001A7517" w:rsidRDefault="00F0626C" w:rsidP="00F0626C">
      <w:pPr>
        <w:spacing w:before="240"/>
        <w:ind w:left="1440"/>
        <w:rPr>
          <w:szCs w:val="10"/>
        </w:rPr>
      </w:pPr>
      <w:r w:rsidRPr="001A7517">
        <w:rPr>
          <w:szCs w:val="10"/>
        </w:rPr>
        <w:t>BOARD NOTE:  Implementation of this Subpart W occurred in stages during October 1, 2006 through October 1, 2014, depending on population served and other factors.  See 40 CFR 141.600(c).  The Board removed the now-obsolete implementation dates.</w:t>
      </w:r>
    </w:p>
    <w:p w14:paraId="7BEB5FF3" w14:textId="77777777" w:rsidR="00F0626C" w:rsidRPr="001A7517" w:rsidRDefault="00F0626C" w:rsidP="00F0626C">
      <w:pPr>
        <w:spacing w:before="240"/>
        <w:ind w:left="1440" w:hanging="720"/>
        <w:rPr>
          <w:szCs w:val="18"/>
        </w:rPr>
      </w:pPr>
      <w:r w:rsidRPr="001A7517">
        <w:rPr>
          <w:szCs w:val="18"/>
        </w:rPr>
        <w:t>d)</w:t>
      </w:r>
      <w:r w:rsidRPr="001A7517">
        <w:rPr>
          <w:szCs w:val="18"/>
        </w:rPr>
        <w:tab/>
        <w:t>A supplier must do one of the following:  it must conduct standard monitoring that meets the requirements in Section 611.921; it must conduct a system-specific study that meets the requirements in Section 611.922; it must certify to the Agency that it meets the 40/30 certification criteria under Section 611.923; or it must qualify for a very small system waiver under Section 611.924.</w:t>
      </w:r>
    </w:p>
    <w:p w14:paraId="0FCCE11F" w14:textId="77777777" w:rsidR="00F0626C" w:rsidRPr="001A7517" w:rsidRDefault="00F0626C" w:rsidP="00F0626C">
      <w:pPr>
        <w:spacing w:before="240"/>
        <w:ind w:left="2160" w:hanging="720"/>
        <w:rPr>
          <w:szCs w:val="18"/>
        </w:rPr>
      </w:pPr>
      <w:r w:rsidRPr="001A7517">
        <w:rPr>
          <w:szCs w:val="18"/>
        </w:rPr>
        <w:t>1)</w:t>
      </w:r>
      <w:r w:rsidRPr="001A7517">
        <w:rPr>
          <w:szCs w:val="18"/>
        </w:rPr>
        <w:tab/>
        <w:t xml:space="preserve">The supplier must have taken the full complement of routine TTHM and HAA5 compliance samples required of a system that serves the appropriate population and </w:t>
      </w:r>
      <w:r w:rsidRPr="001A7517">
        <w:t xml:space="preserve">that </w:t>
      </w:r>
      <w:r w:rsidRPr="001A7517">
        <w:rPr>
          <w:szCs w:val="18"/>
        </w:rPr>
        <w:t>uses the appropriate source water under Subpart I (or the supplier must have taken the full complement of reduced TTHM and HAA5 compliance samples required of a system with the supplier’s population and source water under Subpart I if the supplier meets reduced monitoring criteria under Subpart I) during the period specified in Section 611.923(a) to meet the 40/ 30 certification criteria in Section 611.923.  The supplier must have taken TTHM and HAA5 samples under Sections 611.381 and 611.382 to be eligible for the very small system waiver in Section 611.924.</w:t>
      </w:r>
    </w:p>
    <w:p w14:paraId="41E50ED8" w14:textId="77777777" w:rsidR="00F0626C" w:rsidRPr="001A7517" w:rsidRDefault="00F0626C" w:rsidP="00F0626C">
      <w:pPr>
        <w:spacing w:before="240"/>
        <w:ind w:left="2160" w:hanging="720"/>
        <w:rPr>
          <w:szCs w:val="18"/>
        </w:rPr>
      </w:pPr>
      <w:r w:rsidRPr="001A7517">
        <w:rPr>
          <w:szCs w:val="18"/>
        </w:rPr>
        <w:t>2)</w:t>
      </w:r>
      <w:r w:rsidRPr="001A7517">
        <w:rPr>
          <w:szCs w:val="18"/>
        </w:rPr>
        <w:tab/>
        <w:t>If the supplier has not taken the required samples, the supplier must conduct standard monitoring that meets the requirements in Section 611.921, or a system-specific study that meets the requirements in Section 611.922.</w:t>
      </w:r>
    </w:p>
    <w:p w14:paraId="0B77513C" w14:textId="77777777" w:rsidR="00F0626C" w:rsidRPr="001A7517" w:rsidRDefault="00F0626C" w:rsidP="00F0626C">
      <w:pPr>
        <w:spacing w:before="240"/>
        <w:ind w:left="1440" w:hanging="720"/>
        <w:rPr>
          <w:szCs w:val="18"/>
        </w:rPr>
      </w:pPr>
      <w:r w:rsidRPr="001A7517">
        <w:rPr>
          <w:szCs w:val="18"/>
        </w:rPr>
        <w:t>e)</w:t>
      </w:r>
      <w:r w:rsidRPr="001A7517">
        <w:rPr>
          <w:szCs w:val="18"/>
        </w:rPr>
        <w:tab/>
        <w:t>The supplier must use only the analytical methods specified in Section 611.381, or otherwise approved by the Agency for monitoring under this Subpart W, to demonstrate compliance with the requirements of this Subpart W.</w:t>
      </w:r>
    </w:p>
    <w:p w14:paraId="7B741953" w14:textId="77777777" w:rsidR="00F0626C" w:rsidRPr="001A7517" w:rsidRDefault="00F0626C" w:rsidP="00F0626C">
      <w:pPr>
        <w:spacing w:before="240"/>
        <w:ind w:left="1440" w:hanging="720"/>
        <w:rPr>
          <w:szCs w:val="18"/>
        </w:rPr>
      </w:pPr>
      <w:r w:rsidRPr="001A7517">
        <w:rPr>
          <w:szCs w:val="18"/>
        </w:rPr>
        <w:t>f)</w:t>
      </w:r>
      <w:r w:rsidRPr="001A7517">
        <w:rPr>
          <w:szCs w:val="18"/>
        </w:rPr>
        <w:tab/>
        <w:t>IDSE results will not be used for the purpose of determining compliance with MCLs in Section 611.312.</w:t>
      </w:r>
    </w:p>
    <w:p w14:paraId="2FFC7DA3" w14:textId="77777777" w:rsidR="00F0626C" w:rsidRPr="001A7517" w:rsidRDefault="00F0626C" w:rsidP="00F0626C">
      <w:pPr>
        <w:spacing w:before="240"/>
      </w:pPr>
      <w:r w:rsidRPr="001A7517">
        <w:t>BOARD NOTE:  Derived from 40 CFR 141.600.</w:t>
      </w:r>
    </w:p>
    <w:p w14:paraId="046CB30E"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bookmarkEnd w:id="4403"/>
    <w:p w14:paraId="591DD595" w14:textId="77777777" w:rsidR="00F0626C" w:rsidRPr="001A7517" w:rsidRDefault="00F0626C" w:rsidP="00F0626C">
      <w:pPr>
        <w:keepNext/>
        <w:keepLines/>
        <w:suppressAutoHyphens/>
        <w:spacing w:before="240"/>
        <w:rPr>
          <w:b/>
        </w:rPr>
      </w:pPr>
      <w:r w:rsidRPr="001A7517">
        <w:rPr>
          <w:b/>
        </w:rPr>
        <w:lastRenderedPageBreak/>
        <w:t>Section 611.921  Standard Monitoring</w:t>
      </w:r>
    </w:p>
    <w:p w14:paraId="6897A97E"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Standard Monitoring Plan. </w:t>
      </w:r>
      <w:r w:rsidRPr="001A7517">
        <w:rPr>
          <w:iCs/>
          <w:szCs w:val="18"/>
        </w:rPr>
        <w:t xml:space="preserve"> </w:t>
      </w:r>
      <w:r w:rsidRPr="001A7517">
        <w:rPr>
          <w:szCs w:val="18"/>
        </w:rPr>
        <w:t>A supplier’s standard monitoring plan must comply with subsections (a)(1) through (a)(4).  The supplier must prepare and submit its standard monitoring plan to the Agency according to the appropriate of the schedules provided in Section 611.920(c).</w:t>
      </w:r>
    </w:p>
    <w:p w14:paraId="1D4E23FD" w14:textId="77777777" w:rsidR="00F0626C" w:rsidRPr="001A7517" w:rsidRDefault="00F0626C" w:rsidP="00F0626C">
      <w:pPr>
        <w:spacing w:before="240"/>
        <w:ind w:left="2160" w:hanging="720"/>
        <w:rPr>
          <w:szCs w:val="18"/>
        </w:rPr>
      </w:pPr>
      <w:r w:rsidRPr="001A7517">
        <w:rPr>
          <w:szCs w:val="18"/>
        </w:rPr>
        <w:t>1)</w:t>
      </w:r>
      <w:r w:rsidRPr="001A7517">
        <w:rPr>
          <w:szCs w:val="18"/>
        </w:rPr>
        <w:tab/>
        <w:t>The supplier’s standard monitoring plan must include a schematic of its distribution system (including distribution system entry points and their sources, and storage facilities), with notes indicating locations and dates of all projected standard monitoring, and all projected Subpart I compliance monitoring.</w:t>
      </w:r>
    </w:p>
    <w:p w14:paraId="59C752E3" w14:textId="77777777" w:rsidR="00F0626C" w:rsidRPr="001A7517" w:rsidRDefault="00F0626C" w:rsidP="00F0626C">
      <w:pPr>
        <w:spacing w:before="240"/>
        <w:ind w:left="2160" w:hanging="720"/>
        <w:rPr>
          <w:szCs w:val="18"/>
        </w:rPr>
      </w:pPr>
      <w:r w:rsidRPr="001A7517">
        <w:rPr>
          <w:szCs w:val="18"/>
        </w:rPr>
        <w:t>2)</w:t>
      </w:r>
      <w:r w:rsidRPr="001A7517">
        <w:rPr>
          <w:szCs w:val="18"/>
        </w:rPr>
        <w:tab/>
        <w:t>The supplier’s standard monitoring plan must include justification of standard monitoring location selection and a summary of data the supplier relied on to justify standard monitoring location selection.</w:t>
      </w:r>
    </w:p>
    <w:p w14:paraId="4EC3AE39" w14:textId="77777777" w:rsidR="00F0626C" w:rsidRPr="001A7517" w:rsidRDefault="00F0626C" w:rsidP="00F0626C">
      <w:pPr>
        <w:spacing w:before="240"/>
        <w:ind w:left="2160" w:hanging="720"/>
        <w:rPr>
          <w:szCs w:val="18"/>
        </w:rPr>
      </w:pPr>
      <w:r w:rsidRPr="001A7517">
        <w:rPr>
          <w:szCs w:val="18"/>
        </w:rPr>
        <w:t>3)</w:t>
      </w:r>
      <w:r w:rsidRPr="001A7517">
        <w:rPr>
          <w:szCs w:val="18"/>
        </w:rPr>
        <w:tab/>
        <w:t>The supplier’s standard monitoring plan must specify the population served and its system type (i.e., that it is a Subpart B or groundwater system).</w:t>
      </w:r>
    </w:p>
    <w:p w14:paraId="43FF9FCB" w14:textId="77777777" w:rsidR="00F0626C" w:rsidRPr="001A7517" w:rsidRDefault="00F0626C" w:rsidP="00F0626C">
      <w:pPr>
        <w:spacing w:before="240"/>
        <w:ind w:left="2160" w:hanging="720"/>
        <w:rPr>
          <w:szCs w:val="18"/>
        </w:rPr>
      </w:pPr>
      <w:r w:rsidRPr="001A7517">
        <w:rPr>
          <w:szCs w:val="18"/>
        </w:rPr>
        <w:t>4)</w:t>
      </w:r>
      <w:r w:rsidRPr="001A7517">
        <w:rPr>
          <w:szCs w:val="18"/>
        </w:rPr>
        <w:tab/>
        <w:t>The supplier must retain a complete copy of its standard monitoring plan submitted under this subsection (a), including any Agency modification of the plan, for as long as the supplier is required to retain its IDSE report under subsection (c)(4).</w:t>
      </w:r>
    </w:p>
    <w:p w14:paraId="40A1F57B" w14:textId="77777777" w:rsidR="00F0626C" w:rsidRPr="001A7517" w:rsidRDefault="00F0626C" w:rsidP="00F0626C">
      <w:pPr>
        <w:spacing w:before="240"/>
        <w:ind w:left="1440" w:hanging="720"/>
        <w:rPr>
          <w:szCs w:val="18"/>
        </w:rPr>
      </w:pPr>
      <w:r w:rsidRPr="001A7517">
        <w:rPr>
          <w:szCs w:val="18"/>
        </w:rPr>
        <w:t>b)</w:t>
      </w:r>
      <w:r w:rsidRPr="001A7517">
        <w:rPr>
          <w:szCs w:val="18"/>
        </w:rPr>
        <w:tab/>
      </w:r>
      <w:r w:rsidRPr="001A7517">
        <w:rPr>
          <w:iCs/>
          <w:szCs w:val="18"/>
        </w:rPr>
        <w:t>Standard Monitoring</w:t>
      </w:r>
    </w:p>
    <w:p w14:paraId="20533525" w14:textId="77777777" w:rsidR="00F0626C" w:rsidRPr="001A7517" w:rsidRDefault="00F0626C" w:rsidP="00F0626C">
      <w:pPr>
        <w:spacing w:before="240"/>
        <w:ind w:left="2160" w:hanging="720"/>
      </w:pPr>
      <w:r w:rsidRPr="001A7517">
        <w:rPr>
          <w:szCs w:val="18"/>
        </w:rPr>
        <w:t>1)</w:t>
      </w:r>
      <w:r w:rsidRPr="001A7517">
        <w:rPr>
          <w:szCs w:val="18"/>
        </w:rPr>
        <w:tab/>
        <w:t>The supplier must monitor as indicated in the applicable of subsections (b)(1)(A) through (b)(1)(P), subject to the limitations of subsections (b)(1)(Q) and (b)(1)(R).  The supplier must collect dual sample sets at each monitoring location.  One sample in the dual sample set must be analyzed for TTHM.  The other sample in the dual sample set must be analyzed for HAA5.  The supplier must conduct one monitoring period during the peak historical month for TTHM levels or HAA5 levels or the month of warmest water temperature.  The supplier must review available compliance, study, or operational data to determine the peak historical month for TTHM or HAA5 levels or warmest water temperature.</w:t>
      </w:r>
    </w:p>
    <w:p w14:paraId="332A8E87" w14:textId="77777777" w:rsidR="00F0626C" w:rsidRPr="001A7517" w:rsidRDefault="00F0626C" w:rsidP="00F0626C">
      <w:pPr>
        <w:spacing w:before="240"/>
        <w:ind w:left="2880" w:hanging="720"/>
      </w:pPr>
      <w:r w:rsidRPr="001A7517">
        <w:t>A)</w:t>
      </w:r>
      <w:r w:rsidRPr="001A7517">
        <w:tab/>
        <w:t>A Subpart B system supplier that serves fewer than 500 persons and that operates a consecutive system must collect samples once each calendar year during the peak historical month:  one near an entry point to the distribution system and one at a high TTHM location, for a total of two samples during each monitoring period.</w:t>
      </w:r>
    </w:p>
    <w:p w14:paraId="02AAB2D4" w14:textId="77777777" w:rsidR="00F0626C" w:rsidRPr="001A7517" w:rsidRDefault="00F0626C" w:rsidP="00F0626C">
      <w:pPr>
        <w:spacing w:before="240"/>
        <w:ind w:left="2880" w:hanging="720"/>
      </w:pPr>
      <w:r w:rsidRPr="001A7517">
        <w:lastRenderedPageBreak/>
        <w:t>B)</w:t>
      </w:r>
      <w:r w:rsidRPr="001A7517">
        <w:tab/>
        <w:t>A Subpart B system supplier that serves fewer than 500 persons and that does not operate a consecutive system must collect samples once each calendar year during the peak historical month:  one at a high TTHM location and one at a high HAA5 location, for a total of two samples during each monitoring period.</w:t>
      </w:r>
    </w:p>
    <w:p w14:paraId="699B2410" w14:textId="77777777" w:rsidR="00F0626C" w:rsidRPr="001A7517" w:rsidRDefault="00F0626C" w:rsidP="00F0626C">
      <w:pPr>
        <w:spacing w:before="240"/>
        <w:ind w:left="2880" w:hanging="720"/>
      </w:pPr>
      <w:r w:rsidRPr="001A7517">
        <w:t>C)</w:t>
      </w:r>
      <w:r w:rsidRPr="001A7517">
        <w:tab/>
        <w:t>A Subpart B system supplier that serves 500 to 3,300 persons and that operates a consecutive system must collect samples four times each calendar year (once every 90 days):  one near an entry point to the distribution system and one at a high TTHM location, for a total of two samples during each monitoring period.</w:t>
      </w:r>
    </w:p>
    <w:p w14:paraId="7FC36ABA" w14:textId="77777777" w:rsidR="00F0626C" w:rsidRPr="001A7517" w:rsidRDefault="00F0626C" w:rsidP="00F0626C">
      <w:pPr>
        <w:spacing w:before="240"/>
        <w:ind w:left="2880" w:hanging="720"/>
      </w:pPr>
      <w:r w:rsidRPr="001A7517">
        <w:t>D)</w:t>
      </w:r>
      <w:r w:rsidRPr="001A7517">
        <w:tab/>
        <w:t>A Subpart B system supplier that serves 500 to 3,300 persons and that does not operate a consecutive system must collect samples four times each calendar year (once every 90 days):  one at a high TTHM location and one at a high HAA5 location, for a total of two samples during each monitoring period.</w:t>
      </w:r>
    </w:p>
    <w:p w14:paraId="06E26E84" w14:textId="77777777" w:rsidR="00F0626C" w:rsidRPr="001A7517" w:rsidRDefault="00F0626C" w:rsidP="00F0626C">
      <w:pPr>
        <w:spacing w:before="240"/>
        <w:ind w:left="2880" w:hanging="720"/>
      </w:pPr>
      <w:r w:rsidRPr="001A7517">
        <w:t>E)</w:t>
      </w:r>
      <w:r w:rsidRPr="001A7517">
        <w:tab/>
        <w:t>A Subpart B system supplier that serves 3,301 to 9,999 persons must collect samples four times each calendar year (once every 90 days):  one at a location in the distribution system that represents the average residence time, two at high TTHM locations, and one at a high HAA5 location, for a total of four samples during each monitoring period.</w:t>
      </w:r>
    </w:p>
    <w:p w14:paraId="37B664B1" w14:textId="77777777" w:rsidR="00F0626C" w:rsidRPr="001A7517" w:rsidRDefault="00F0626C" w:rsidP="00F0626C">
      <w:pPr>
        <w:spacing w:before="240"/>
        <w:ind w:left="2880" w:hanging="720"/>
      </w:pPr>
      <w:r w:rsidRPr="001A7517">
        <w:t>F)</w:t>
      </w:r>
      <w:r w:rsidRPr="001A7517">
        <w:tab/>
        <w:t>A Subpart B system supplier that serves 10,000 to 49,999 persons must collect samples six times each calendar year (once every 60 days):  one near an entry point to the distribution system, two at locations in the distribution system that represent the average residence time, three at each TTHM location, and two at high HAA5 locations, for a total of eight samples during each monitoring period.</w:t>
      </w:r>
    </w:p>
    <w:p w14:paraId="6B41B09E" w14:textId="77777777" w:rsidR="00F0626C" w:rsidRPr="001A7517" w:rsidRDefault="00F0626C" w:rsidP="00F0626C">
      <w:pPr>
        <w:spacing w:before="240"/>
        <w:ind w:left="2880" w:hanging="720"/>
      </w:pPr>
      <w:r w:rsidRPr="001A7517">
        <w:t>G)</w:t>
      </w:r>
      <w:r w:rsidRPr="001A7517">
        <w:tab/>
        <w:t>A Subpart B system supplier that serves 50,000 to 249,999 persons must collect samples six times each calendar year (once every 60 days):  three near entry points to the distribution system, four at locations in the distribution system that represent the average residence time, five at high TTHM locations, and four at high HAA5 locations, for a total of 16 samples during each monitoring period.</w:t>
      </w:r>
    </w:p>
    <w:p w14:paraId="522180D4" w14:textId="77777777" w:rsidR="00F0626C" w:rsidRPr="001A7517" w:rsidRDefault="00F0626C" w:rsidP="00F0626C">
      <w:pPr>
        <w:spacing w:before="240"/>
        <w:ind w:left="2880" w:hanging="720"/>
      </w:pPr>
      <w:r w:rsidRPr="001A7517">
        <w:t>H)</w:t>
      </w:r>
      <w:r w:rsidRPr="001A7517">
        <w:tab/>
        <w:t xml:space="preserve">A Subpart B system supplier that serves 250,000 to 999,999 persons must collect samples six times each calendar year (once every 60 days):  four near entry points to the distribution system, six at locations in the distribution system that represent the average </w:t>
      </w:r>
      <w:r w:rsidRPr="001A7517">
        <w:lastRenderedPageBreak/>
        <w:t>residence time, eight at high TTHM locations, and six at high HAA5 locations, for a total of 24 samples during each monitoring period.</w:t>
      </w:r>
    </w:p>
    <w:p w14:paraId="6A58205A" w14:textId="77777777" w:rsidR="00F0626C" w:rsidRPr="001A7517" w:rsidRDefault="00F0626C" w:rsidP="00F0626C">
      <w:pPr>
        <w:spacing w:before="240"/>
        <w:ind w:left="2880" w:hanging="720"/>
      </w:pPr>
      <w:r w:rsidRPr="001A7517">
        <w:t>I)</w:t>
      </w:r>
      <w:r w:rsidRPr="001A7517">
        <w:tab/>
        <w:t>A Subpart B system supplier that serves 1,000,000 to 4,999,999 persons must collect samples six times each calendar year (once every 60 days):  six near entry points to the distribution system, eight at locations in the distribution system that represent the average residence time, ten at high TTHM locations, and eight at high HAA5 locations, for a total of 32 samples during each monitoring period.</w:t>
      </w:r>
    </w:p>
    <w:p w14:paraId="51DE06A5" w14:textId="77777777" w:rsidR="00F0626C" w:rsidRPr="001A7517" w:rsidRDefault="00F0626C" w:rsidP="00F0626C">
      <w:pPr>
        <w:spacing w:before="240"/>
        <w:ind w:left="2880" w:hanging="720"/>
      </w:pPr>
      <w:r w:rsidRPr="001A7517">
        <w:t>J)</w:t>
      </w:r>
      <w:r w:rsidRPr="001A7517">
        <w:tab/>
        <w:t>A Subpart B system supplier that serves 5,000,000 or more persons must collect samples six times each calendar year (once every 60 days):  eight near entry points to the distribution system, ten at locations in the distribution system that represent the average residence time, 12 at high TTHM locations, and ten at high HAA5 locations, for a total of 40 samples during each monitoring period.</w:t>
      </w:r>
    </w:p>
    <w:p w14:paraId="4DB1BBA3" w14:textId="77777777" w:rsidR="00F0626C" w:rsidRPr="001A7517" w:rsidRDefault="00F0626C" w:rsidP="00F0626C">
      <w:pPr>
        <w:spacing w:before="240"/>
        <w:ind w:left="2880" w:hanging="720"/>
      </w:pPr>
      <w:r w:rsidRPr="001A7517">
        <w:t>K)</w:t>
      </w:r>
      <w:r w:rsidRPr="001A7517">
        <w:tab/>
        <w:t>A groundwater system supplier that serves fewer than 500 persons and that operates a consecutive system must collect samples once each calendar year during the peak historical month:  one near an entry point to the distribution system and one at a high TTHM location, for a total of two samples during each monitoring period.</w:t>
      </w:r>
    </w:p>
    <w:p w14:paraId="367831EF" w14:textId="77777777" w:rsidR="00F0626C" w:rsidRPr="001A7517" w:rsidRDefault="00F0626C" w:rsidP="00F0626C">
      <w:pPr>
        <w:spacing w:before="240"/>
        <w:ind w:left="2880" w:hanging="720"/>
      </w:pPr>
      <w:r w:rsidRPr="001A7517">
        <w:t>L)</w:t>
      </w:r>
      <w:r w:rsidRPr="001A7517">
        <w:tab/>
        <w:t>A groundwater system supplier that serves fewer than 500 persons and that does not operate a consecutive system must collect samples once each calendar year during the peak historical month:  one at a high TTHM location and one at a high HAA5 location, for a total of two samples during each monitoring period.</w:t>
      </w:r>
    </w:p>
    <w:p w14:paraId="3C206FDF" w14:textId="77777777" w:rsidR="00F0626C" w:rsidRPr="001A7517" w:rsidRDefault="00F0626C" w:rsidP="00F0626C">
      <w:pPr>
        <w:spacing w:before="240"/>
        <w:ind w:left="2880" w:hanging="720"/>
      </w:pPr>
      <w:r w:rsidRPr="001A7517">
        <w:t>M)</w:t>
      </w:r>
      <w:r w:rsidRPr="001A7517">
        <w:tab/>
        <w:t>A groundwater system supplier that serves 500 to 9,999 persons must collect samples four times each calendar year (once every 90 days):  one at a high TTHM location and one at a high HAA5 location, for a total of two samples during each monitoring period.</w:t>
      </w:r>
    </w:p>
    <w:p w14:paraId="437093E1" w14:textId="77777777" w:rsidR="00F0626C" w:rsidRPr="001A7517" w:rsidRDefault="00F0626C" w:rsidP="00F0626C">
      <w:pPr>
        <w:spacing w:before="240"/>
        <w:ind w:left="2880" w:hanging="720"/>
      </w:pPr>
      <w:r w:rsidRPr="001A7517">
        <w:t>N)</w:t>
      </w:r>
      <w:r w:rsidRPr="001A7517">
        <w:tab/>
        <w:t>A groundwater system supplier that serves 10,000 to 99,999 persons must collect samples four times each calendar year (once every 90 days):  one near an entry point to the distribution system, one at a location in the distribution system that represents the average residence time, two at high TTHM locations, and two at high HAA5 locations, for a total of six samples during each monitoring period.</w:t>
      </w:r>
    </w:p>
    <w:p w14:paraId="50E5FEB9" w14:textId="77777777" w:rsidR="00F0626C" w:rsidRPr="001A7517" w:rsidRDefault="00F0626C" w:rsidP="00F0626C">
      <w:pPr>
        <w:spacing w:before="240"/>
        <w:ind w:left="2880" w:hanging="720"/>
      </w:pPr>
      <w:r w:rsidRPr="001A7517">
        <w:t>O)</w:t>
      </w:r>
      <w:r w:rsidRPr="001A7517">
        <w:tab/>
        <w:t xml:space="preserve">A groundwater system supplier that serves 100,000 to 499,999 persons must collect samples four times each calendar year (once </w:t>
      </w:r>
      <w:r w:rsidRPr="001A7517">
        <w:lastRenderedPageBreak/>
        <w:t>every 90 days):  one near an entry point to the distribution system, one at a location in the distribution system that represents the average residence time, three at high TTHM locations, and three at high HAA5 locations, for a total of eight samples during each monitoring period.</w:t>
      </w:r>
    </w:p>
    <w:p w14:paraId="2269CCD6" w14:textId="77777777" w:rsidR="00F0626C" w:rsidRPr="001A7517" w:rsidRDefault="00F0626C" w:rsidP="00F0626C">
      <w:pPr>
        <w:spacing w:before="240"/>
        <w:ind w:left="2880" w:hanging="720"/>
      </w:pPr>
      <w:r w:rsidRPr="001A7517">
        <w:t>P)</w:t>
      </w:r>
      <w:r w:rsidRPr="001A7517">
        <w:tab/>
        <w:t>A groundwater system supplier that serves 500,000 or more persons must collect samples four times each calendar year (once every 90 days):  two near an entry point to the distribution system, two at locations in the distribution system that represent the average residence time, four at high TTHM locations, and four at high HAA5 locations, for a total of 12 samples during each monitoring period.</w:t>
      </w:r>
    </w:p>
    <w:p w14:paraId="4FE3E81C" w14:textId="77777777" w:rsidR="00F0626C" w:rsidRPr="001A7517" w:rsidRDefault="00F0626C" w:rsidP="00F0626C">
      <w:pPr>
        <w:spacing w:before="240"/>
        <w:ind w:left="2880" w:hanging="720"/>
      </w:pPr>
      <w:r w:rsidRPr="001A7517">
        <w:t>Q)</w:t>
      </w:r>
      <w:r w:rsidRPr="001A7517">
        <w:tab/>
        <w:t>A dual sample set (i.e., a TTHM and an HAA5 sample) must be taken at each monitoring location during each monitoring period.</w:t>
      </w:r>
    </w:p>
    <w:p w14:paraId="754C671D" w14:textId="77777777" w:rsidR="00F0626C" w:rsidRPr="001A7517" w:rsidRDefault="00F0626C" w:rsidP="00F0626C">
      <w:pPr>
        <w:spacing w:before="240"/>
        <w:ind w:left="2880" w:hanging="720"/>
      </w:pPr>
      <w:r w:rsidRPr="001A7517">
        <w:t>R)</w:t>
      </w:r>
      <w:r w:rsidRPr="001A7517">
        <w:tab/>
        <w:t>The “peak historical month</w:t>
      </w:r>
      <w:r w:rsidRPr="001A7517">
        <w:rPr>
          <w:szCs w:val="16"/>
        </w:rPr>
        <w:t>”,</w:t>
      </w:r>
      <w:r w:rsidRPr="001A7517">
        <w:t xml:space="preserve"> for the purposes of subsections (b)(1)(A), (b)(1)(B), (b)(1)(K), and (b)(1)(L), means the month with the highest TTHM or HAA5 levels or the warmest water temperature.</w:t>
      </w:r>
    </w:p>
    <w:p w14:paraId="0F1CC7C9" w14:textId="77777777" w:rsidR="00F0626C" w:rsidRPr="001A7517" w:rsidRDefault="00F0626C" w:rsidP="00F0626C">
      <w:pPr>
        <w:spacing w:before="240"/>
        <w:ind w:left="2160" w:hanging="720"/>
        <w:rPr>
          <w:szCs w:val="18"/>
        </w:rPr>
      </w:pPr>
      <w:r w:rsidRPr="001A7517">
        <w:t>2)</w:t>
      </w:r>
      <w:r w:rsidRPr="001A7517">
        <w:tab/>
      </w:r>
      <w:r w:rsidRPr="001A7517">
        <w:rPr>
          <w:szCs w:val="18"/>
        </w:rPr>
        <w:t>The supplier must take samples at locations other than the existing Subpart I monitoring locations.  Monitoring locations must be distributed throughout the distribution system.</w:t>
      </w:r>
    </w:p>
    <w:p w14:paraId="5E29346C" w14:textId="77777777" w:rsidR="00F0626C" w:rsidRPr="001A7517" w:rsidRDefault="00F0626C" w:rsidP="00F0626C">
      <w:pPr>
        <w:spacing w:before="240"/>
        <w:ind w:left="2160" w:hanging="720"/>
        <w:rPr>
          <w:szCs w:val="18"/>
        </w:rPr>
      </w:pPr>
      <w:r w:rsidRPr="001A7517">
        <w:rPr>
          <w:szCs w:val="18"/>
        </w:rPr>
        <w:t>3)</w:t>
      </w:r>
      <w:r w:rsidRPr="001A7517">
        <w:rPr>
          <w:szCs w:val="18"/>
        </w:rPr>
        <w:tab/>
        <w:t>If the number of entry points to the distribution system is fewer than the specified number of entry point monitoring locations, excess entry point samples must be equally replaced at high TTHM and HAA5 locations.  If there is an odd extra location number, the supplier must take a sample at a high TTHM location.  If the number of entry points to the distribution system is more than the specified number of entry point monitoring locations, the supplier must take samples at the entry points to the distribution system that have the highest annual water flows.</w:t>
      </w:r>
    </w:p>
    <w:p w14:paraId="6DCCFB3B" w14:textId="77777777" w:rsidR="00F0626C" w:rsidRPr="001A7517" w:rsidRDefault="00F0626C" w:rsidP="00F0626C">
      <w:pPr>
        <w:spacing w:before="240"/>
        <w:ind w:left="2160" w:hanging="720"/>
        <w:rPr>
          <w:szCs w:val="18"/>
        </w:rPr>
      </w:pPr>
      <w:r w:rsidRPr="001A7517">
        <w:rPr>
          <w:szCs w:val="18"/>
        </w:rPr>
        <w:t>4)</w:t>
      </w:r>
      <w:r w:rsidRPr="001A7517">
        <w:rPr>
          <w:szCs w:val="18"/>
        </w:rPr>
        <w:tab/>
        <w:t>The supplier’s monitoring under this subsection (b) may not be reduced under the provisions of Section 611.500, and the Agency may not reduce the supplier’s monitoring using the provisions of Section 611.161.</w:t>
      </w:r>
    </w:p>
    <w:p w14:paraId="6BCF0B21" w14:textId="77777777" w:rsidR="00F0626C" w:rsidRPr="001A7517" w:rsidRDefault="00F0626C" w:rsidP="00F0626C">
      <w:pPr>
        <w:spacing w:before="240"/>
        <w:ind w:left="1440" w:hanging="720"/>
        <w:rPr>
          <w:szCs w:val="18"/>
        </w:rPr>
      </w:pPr>
      <w:r w:rsidRPr="001A7517">
        <w:rPr>
          <w:szCs w:val="18"/>
        </w:rPr>
        <w:t>c)</w:t>
      </w:r>
      <w:r w:rsidRPr="001A7517">
        <w:rPr>
          <w:szCs w:val="18"/>
        </w:rPr>
        <w:tab/>
      </w:r>
      <w:r w:rsidRPr="001A7517">
        <w:rPr>
          <w:iCs/>
          <w:szCs w:val="18"/>
        </w:rPr>
        <w:t xml:space="preserve">IDSE Report.  </w:t>
      </w:r>
      <w:r w:rsidRPr="001A7517">
        <w:rPr>
          <w:szCs w:val="18"/>
        </w:rPr>
        <w:t>A supplier’s IDSE report must include the elements required in subsections (c)(1) through (c)(4).  The supplier must submit its IDSE report to the Agency according to the applicable of the schedules set forth in Section 611.920(c).</w:t>
      </w:r>
    </w:p>
    <w:p w14:paraId="00EAE535" w14:textId="77777777" w:rsidR="00F0626C" w:rsidRPr="001A7517" w:rsidRDefault="00F0626C" w:rsidP="00F0626C">
      <w:pPr>
        <w:spacing w:before="240"/>
        <w:ind w:left="2160" w:hanging="720"/>
        <w:rPr>
          <w:szCs w:val="18"/>
        </w:rPr>
      </w:pPr>
      <w:r w:rsidRPr="001A7517">
        <w:rPr>
          <w:szCs w:val="18"/>
        </w:rPr>
        <w:t>1)</w:t>
      </w:r>
      <w:r w:rsidRPr="001A7517">
        <w:rPr>
          <w:szCs w:val="18"/>
        </w:rPr>
        <w:tab/>
        <w:t xml:space="preserve">The supplier’s IDSE report must include all TTHM and HAA5 analytical results from Subpart I compliance monitoring and all standard monitoring </w:t>
      </w:r>
      <w:r w:rsidRPr="001A7517">
        <w:rPr>
          <w:szCs w:val="18"/>
        </w:rPr>
        <w:lastRenderedPageBreak/>
        <w:t xml:space="preserve">conducted during the period of the IDSE as individual analytical results and LRAAs presented in a tabular or spreadsheet format acceptable to the Agency.  If changed from the supplier’s standard monitoring plan submitted </w:t>
      </w:r>
      <w:r w:rsidRPr="001A7517">
        <w:t xml:space="preserve">under </w:t>
      </w:r>
      <w:r w:rsidRPr="001A7517">
        <w:rPr>
          <w:szCs w:val="18"/>
        </w:rPr>
        <w:t>subsection (a), the supplier’s report must also include a schematic of the supplier’s distribution system, the population served, and system type (Subpart B system or groundwater system).</w:t>
      </w:r>
    </w:p>
    <w:p w14:paraId="4E67CB3D" w14:textId="77777777" w:rsidR="00F0626C" w:rsidRPr="001A7517" w:rsidRDefault="00F0626C" w:rsidP="00F0626C">
      <w:pPr>
        <w:spacing w:before="240"/>
        <w:ind w:left="2160" w:hanging="720"/>
        <w:rPr>
          <w:szCs w:val="18"/>
        </w:rPr>
      </w:pPr>
      <w:r w:rsidRPr="001A7517">
        <w:rPr>
          <w:szCs w:val="18"/>
        </w:rPr>
        <w:t>2)</w:t>
      </w:r>
      <w:r w:rsidRPr="001A7517">
        <w:rPr>
          <w:szCs w:val="18"/>
        </w:rPr>
        <w:tab/>
        <w:t>The supplier’s IDSE report must include an explanation of any deviations from the supplier’s approved standard monitoring plan.</w:t>
      </w:r>
    </w:p>
    <w:p w14:paraId="7EECCAB5" w14:textId="77777777" w:rsidR="00F0626C" w:rsidRPr="001A7517" w:rsidRDefault="00F0626C" w:rsidP="00F0626C">
      <w:pPr>
        <w:spacing w:before="240"/>
        <w:ind w:left="2160" w:hanging="720"/>
        <w:rPr>
          <w:szCs w:val="18"/>
        </w:rPr>
      </w:pPr>
      <w:r w:rsidRPr="001A7517">
        <w:rPr>
          <w:szCs w:val="18"/>
        </w:rPr>
        <w:t>3)</w:t>
      </w:r>
      <w:r w:rsidRPr="001A7517">
        <w:rPr>
          <w:szCs w:val="18"/>
        </w:rPr>
        <w:tab/>
        <w:t xml:space="preserve">The supplier must recommend and justify </w:t>
      </w:r>
      <w:r w:rsidRPr="001A7517">
        <w:t>Subpart Y</w:t>
      </w:r>
      <w:r w:rsidRPr="001A7517">
        <w:rPr>
          <w:szCs w:val="18"/>
        </w:rPr>
        <w:t xml:space="preserve"> compliance monitoring locations and timing based on the protocol in Section 611.925.</w:t>
      </w:r>
    </w:p>
    <w:p w14:paraId="5D298E78" w14:textId="77777777" w:rsidR="00F0626C" w:rsidRPr="001A7517" w:rsidRDefault="00F0626C" w:rsidP="00F0626C">
      <w:pPr>
        <w:spacing w:before="240"/>
        <w:ind w:left="2160" w:hanging="720"/>
        <w:rPr>
          <w:szCs w:val="18"/>
        </w:rPr>
      </w:pPr>
      <w:r w:rsidRPr="001A7517">
        <w:rPr>
          <w:szCs w:val="18"/>
        </w:rPr>
        <w:t>4)</w:t>
      </w:r>
      <w:r w:rsidRPr="001A7517">
        <w:rPr>
          <w:szCs w:val="18"/>
        </w:rPr>
        <w:tab/>
        <w:t xml:space="preserve">The supplier must retain a complete copy of its IDSE report submitted under this Section for </w:t>
      </w:r>
      <w:r w:rsidRPr="001A7517">
        <w:t xml:space="preserve">ten </w:t>
      </w:r>
      <w:r w:rsidRPr="001A7517">
        <w:rPr>
          <w:szCs w:val="18"/>
        </w:rPr>
        <w:t xml:space="preserve">years after the date on which the supplier submitted the supplier’s report.  If the Agency modifies the </w:t>
      </w:r>
      <w:r w:rsidRPr="001A7517">
        <w:t>Subpart Y</w:t>
      </w:r>
      <w:r w:rsidRPr="001A7517">
        <w:rPr>
          <w:szCs w:val="18"/>
        </w:rPr>
        <w:t xml:space="preserve"> monitoring requirements that the supplier recommended in its IDSE report or if the Agency approves alternative monitoring locations </w:t>
      </w:r>
      <w:r w:rsidRPr="001A7517">
        <w:t xml:space="preserve">under </w:t>
      </w:r>
      <w:r w:rsidRPr="001A7517">
        <w:rPr>
          <w:szCs w:val="18"/>
        </w:rPr>
        <w:t xml:space="preserve">Section 611.161, the supplier must keep a copy of the Agency’s notification on file for </w:t>
      </w:r>
      <w:r w:rsidRPr="001A7517">
        <w:t xml:space="preserve">ten </w:t>
      </w:r>
      <w:r w:rsidRPr="001A7517">
        <w:rPr>
          <w:szCs w:val="18"/>
        </w:rPr>
        <w:t>years after the date of the Agency’s notification.  The supplier must make the IDSE report and any Agency notification available for review by the Agency or the public.</w:t>
      </w:r>
    </w:p>
    <w:p w14:paraId="1E4B703B" w14:textId="77777777" w:rsidR="00F0626C" w:rsidRPr="001A7517" w:rsidRDefault="00F0626C" w:rsidP="00F0626C">
      <w:pPr>
        <w:spacing w:before="240"/>
      </w:pPr>
      <w:r w:rsidRPr="001A7517">
        <w:t>BOARD NOTE:  Derived from 40 CFR 141.601.</w:t>
      </w:r>
    </w:p>
    <w:p w14:paraId="4F1D4AB8"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31C85308" w14:textId="77777777" w:rsidR="00F0626C" w:rsidRPr="001A7517" w:rsidRDefault="00F0626C" w:rsidP="00F0626C">
      <w:pPr>
        <w:keepNext/>
        <w:keepLines/>
        <w:suppressAutoHyphens/>
        <w:spacing w:before="240"/>
        <w:rPr>
          <w:b/>
        </w:rPr>
      </w:pPr>
      <w:r w:rsidRPr="001A7517">
        <w:rPr>
          <w:b/>
        </w:rPr>
        <w:t xml:space="preserve">Section 611.922  </w:t>
      </w:r>
      <w:r w:rsidRPr="001A7517">
        <w:rPr>
          <w:b/>
          <w:szCs w:val="18"/>
        </w:rPr>
        <w:t>System-Specific</w:t>
      </w:r>
      <w:r w:rsidRPr="001A7517">
        <w:rPr>
          <w:b/>
        </w:rPr>
        <w:t xml:space="preserve"> Studies</w:t>
      </w:r>
    </w:p>
    <w:p w14:paraId="6D2619BE" w14:textId="77777777" w:rsidR="00F0626C" w:rsidRPr="001A7517" w:rsidRDefault="00F0626C" w:rsidP="00F0626C">
      <w:pPr>
        <w:spacing w:before="240"/>
        <w:ind w:left="1440" w:hanging="720"/>
        <w:rPr>
          <w:szCs w:val="18"/>
        </w:rPr>
      </w:pPr>
      <w:r w:rsidRPr="001A7517">
        <w:t>a)</w:t>
      </w:r>
      <w:r w:rsidRPr="001A7517">
        <w:tab/>
      </w:r>
      <w:r w:rsidRPr="001A7517">
        <w:rPr>
          <w:szCs w:val="18"/>
        </w:rPr>
        <w:t>System-Specific</w:t>
      </w:r>
      <w:r w:rsidRPr="001A7517">
        <w:rPr>
          <w:iCs/>
          <w:szCs w:val="18"/>
        </w:rPr>
        <w:t xml:space="preserve"> Study Plan.  </w:t>
      </w:r>
      <w:r w:rsidRPr="001A7517">
        <w:rPr>
          <w:szCs w:val="18"/>
        </w:rPr>
        <w:t>A supplier’s system-specific study plan must be based on either existing monitoring results, as required under subsection (a)(1), or modeling, as required under subsection (a)(2).  The supplier must prepare and submit the supplier’s system-specific study plan to the Agency according to the schedule in Section 611.920(c).</w:t>
      </w:r>
    </w:p>
    <w:p w14:paraId="69B684EF" w14:textId="77777777" w:rsidR="00F0626C" w:rsidRPr="001A7517" w:rsidRDefault="00F0626C" w:rsidP="00F0626C">
      <w:pPr>
        <w:spacing w:before="240"/>
        <w:ind w:left="2160" w:hanging="720"/>
        <w:rPr>
          <w:szCs w:val="18"/>
        </w:rPr>
      </w:pPr>
      <w:r w:rsidRPr="001A7517">
        <w:rPr>
          <w:szCs w:val="18"/>
        </w:rPr>
        <w:t>1)</w:t>
      </w:r>
      <w:r w:rsidRPr="001A7517">
        <w:rPr>
          <w:szCs w:val="18"/>
        </w:rPr>
        <w:tab/>
      </w:r>
      <w:r w:rsidRPr="001A7517">
        <w:rPr>
          <w:iCs/>
          <w:szCs w:val="18"/>
        </w:rPr>
        <w:t xml:space="preserve">Existing Monitoring Results.  </w:t>
      </w:r>
      <w:r w:rsidRPr="001A7517">
        <w:rPr>
          <w:szCs w:val="18"/>
        </w:rPr>
        <w:t>A supplier may comply by submitting monitoring results collected before it is required to begin monitoring under Section 611.920(c).  The monitoring results and analysis must meet the criteria in subsections (a)(1)(A) and (a)(1)(B).</w:t>
      </w:r>
    </w:p>
    <w:p w14:paraId="1A16A8DB" w14:textId="77777777" w:rsidR="00F0626C" w:rsidRPr="001A7517" w:rsidRDefault="00F0626C" w:rsidP="00F0626C">
      <w:pPr>
        <w:spacing w:before="240"/>
        <w:ind w:left="2880" w:hanging="720"/>
        <w:rPr>
          <w:szCs w:val="18"/>
        </w:rPr>
      </w:pPr>
      <w:r w:rsidRPr="001A7517">
        <w:rPr>
          <w:szCs w:val="18"/>
        </w:rPr>
        <w:t>A)</w:t>
      </w:r>
      <w:r w:rsidRPr="001A7517">
        <w:rPr>
          <w:szCs w:val="18"/>
        </w:rPr>
        <w:tab/>
      </w:r>
      <w:r w:rsidRPr="001A7517">
        <w:rPr>
          <w:iCs/>
          <w:szCs w:val="18"/>
        </w:rPr>
        <w:t>Minimum Requirements</w:t>
      </w:r>
    </w:p>
    <w:p w14:paraId="72589FD7" w14:textId="77777777" w:rsidR="00F0626C" w:rsidRPr="001A7517" w:rsidRDefault="00F0626C" w:rsidP="00F0626C">
      <w:pPr>
        <w:spacing w:before="240"/>
        <w:ind w:left="3600" w:hanging="720"/>
        <w:rPr>
          <w:szCs w:val="18"/>
        </w:rPr>
      </w:pPr>
      <w:r w:rsidRPr="001A7517">
        <w:rPr>
          <w:szCs w:val="18"/>
        </w:rPr>
        <w:t>i)</w:t>
      </w:r>
      <w:r w:rsidRPr="001A7517">
        <w:rPr>
          <w:szCs w:val="18"/>
        </w:rPr>
        <w:tab/>
        <w:t>TTHM and HAA5 results must be based on samples collected and analyzed in accordance with Section 611.381.  Samples must be collected no earlier than five years prior to the study plan submission date.</w:t>
      </w:r>
    </w:p>
    <w:p w14:paraId="4CF8E37B" w14:textId="77777777" w:rsidR="00F0626C" w:rsidRPr="001A7517" w:rsidRDefault="00F0626C" w:rsidP="00F0626C">
      <w:pPr>
        <w:spacing w:before="240"/>
        <w:ind w:left="3600" w:hanging="720"/>
        <w:rPr>
          <w:szCs w:val="18"/>
        </w:rPr>
      </w:pPr>
      <w:r w:rsidRPr="001A7517">
        <w:rPr>
          <w:szCs w:val="18"/>
        </w:rPr>
        <w:lastRenderedPageBreak/>
        <w:t>ii)</w:t>
      </w:r>
      <w:r w:rsidRPr="001A7517">
        <w:rPr>
          <w:szCs w:val="18"/>
        </w:rPr>
        <w:tab/>
        <w:t>The monitoring locations and frequency must meet the conditions identified in the applicable of subsections (a)(1)(A)(iii) through (a)(1)(A)(xv).  Each location must be sampled once during the peak historical month for TTHM levels or HAA5 levels or the month of warmest water temperature for every 12 months of data submitted for that location.  Monitoring results must include all Subpart I compliance monitoring results, plus additional monitoring results as necessary to meet minimum sample requirements.</w:t>
      </w:r>
    </w:p>
    <w:p w14:paraId="033BC093" w14:textId="77777777" w:rsidR="00F0626C" w:rsidRPr="001A7517" w:rsidRDefault="00F0626C" w:rsidP="00F0626C">
      <w:pPr>
        <w:spacing w:before="240"/>
        <w:ind w:left="3600" w:hanging="720"/>
        <w:rPr>
          <w:szCs w:val="18"/>
        </w:rPr>
      </w:pPr>
      <w:r w:rsidRPr="001A7517">
        <w:rPr>
          <w:szCs w:val="18"/>
        </w:rPr>
        <w:t>iii)</w:t>
      </w:r>
      <w:r w:rsidRPr="001A7517">
        <w:rPr>
          <w:szCs w:val="18"/>
        </w:rPr>
        <w:tab/>
      </w:r>
      <w:r w:rsidRPr="001A7517">
        <w:t>A Subpart B system supplier that serves fewer than 500 persons must collect samples from three monitoring locations:  three samples for TTHM and three samples for HAA5</w:t>
      </w:r>
      <w:r w:rsidRPr="001A7517">
        <w:rPr>
          <w:szCs w:val="18"/>
        </w:rPr>
        <w:t>.</w:t>
      </w:r>
    </w:p>
    <w:p w14:paraId="2657878B" w14:textId="77777777" w:rsidR="00F0626C" w:rsidRPr="001A7517" w:rsidRDefault="00F0626C" w:rsidP="00F0626C">
      <w:pPr>
        <w:spacing w:before="240"/>
        <w:ind w:left="3600" w:hanging="720"/>
      </w:pPr>
      <w:r w:rsidRPr="001A7517">
        <w:t>iv)</w:t>
      </w:r>
      <w:r w:rsidRPr="001A7517">
        <w:tab/>
        <w:t>A Subpart B system supplier that serves 500 to 3,300 persons must collect samples from three monitoring locations:  nine samples for TTHM and nine samples for HAA5.</w:t>
      </w:r>
    </w:p>
    <w:p w14:paraId="06F7A58F" w14:textId="77777777" w:rsidR="00F0626C" w:rsidRPr="001A7517" w:rsidRDefault="00F0626C" w:rsidP="00F0626C">
      <w:pPr>
        <w:spacing w:before="240"/>
        <w:ind w:left="3600" w:hanging="720"/>
      </w:pPr>
      <w:r w:rsidRPr="001A7517">
        <w:t>v)</w:t>
      </w:r>
      <w:r w:rsidRPr="001A7517">
        <w:tab/>
        <w:t>A Subpart B system supplier that serves 3,301 to 9,999 persons must collect samples from six monitoring locations:  36 samples for TTHM and 36 samples for HAA5.</w:t>
      </w:r>
    </w:p>
    <w:p w14:paraId="6597230F" w14:textId="77777777" w:rsidR="00F0626C" w:rsidRPr="001A7517" w:rsidRDefault="00F0626C" w:rsidP="00F0626C">
      <w:pPr>
        <w:spacing w:before="240"/>
        <w:ind w:left="3600" w:hanging="720"/>
      </w:pPr>
      <w:r w:rsidRPr="001A7517">
        <w:t>vi)</w:t>
      </w:r>
      <w:r w:rsidRPr="001A7517">
        <w:tab/>
        <w:t>A Subpart B system supplier that serves 10,000 to 49,999 persons must collect samples from each of 12 monitoring locations:  72 samples for TTHM and 72 samples for HAA5.</w:t>
      </w:r>
    </w:p>
    <w:p w14:paraId="7228D48E" w14:textId="77777777" w:rsidR="00F0626C" w:rsidRPr="001A7517" w:rsidRDefault="00F0626C" w:rsidP="00F0626C">
      <w:pPr>
        <w:spacing w:before="240"/>
        <w:ind w:left="3600" w:hanging="720"/>
      </w:pPr>
      <w:r w:rsidRPr="001A7517">
        <w:t>vii)</w:t>
      </w:r>
      <w:r w:rsidRPr="001A7517">
        <w:tab/>
        <w:t>A Subpart B system supplier that serves 50,000 to 249,999 persons must collect samples from 24 monitoring locations:  144 samples for TTHM and 144 samples for HAA5.</w:t>
      </w:r>
    </w:p>
    <w:p w14:paraId="236F512F" w14:textId="77777777" w:rsidR="00F0626C" w:rsidRPr="001A7517" w:rsidRDefault="00F0626C" w:rsidP="00F0626C">
      <w:pPr>
        <w:spacing w:before="240"/>
        <w:ind w:left="3600" w:hanging="720"/>
      </w:pPr>
      <w:r w:rsidRPr="001A7517">
        <w:t>viii)</w:t>
      </w:r>
      <w:r w:rsidRPr="001A7517">
        <w:tab/>
        <w:t>A Subpart B system supplier that serves 250,000 to 999,999 persons must collect samples from 36 monitoring locations:  216 samples for TTHM and 216 samples for HAA5.</w:t>
      </w:r>
    </w:p>
    <w:p w14:paraId="008A4CD3" w14:textId="77777777" w:rsidR="00F0626C" w:rsidRPr="001A7517" w:rsidRDefault="00F0626C" w:rsidP="00F0626C">
      <w:pPr>
        <w:spacing w:before="240"/>
        <w:ind w:left="3600" w:hanging="720"/>
      </w:pPr>
      <w:r w:rsidRPr="001A7517">
        <w:t>ix)</w:t>
      </w:r>
      <w:r w:rsidRPr="001A7517">
        <w:tab/>
        <w:t>A Subpart B system supplier that serves 1,000,000 to 4,999,999 persons must collect samples from 48 monitoring locations:  288 samples for TTHM and 288 samples for HAA5.</w:t>
      </w:r>
    </w:p>
    <w:p w14:paraId="54B1D879" w14:textId="77777777" w:rsidR="00F0626C" w:rsidRPr="001A7517" w:rsidRDefault="00F0626C" w:rsidP="00F0626C">
      <w:pPr>
        <w:spacing w:before="240"/>
        <w:ind w:left="3600" w:hanging="720"/>
      </w:pPr>
      <w:r w:rsidRPr="001A7517">
        <w:lastRenderedPageBreak/>
        <w:t>x)</w:t>
      </w:r>
      <w:r w:rsidRPr="001A7517">
        <w:tab/>
        <w:t>A Subpart B system supplier that serves 5,000,000 or more persons must collect samples from 60 monitoring locations:  360 samples for TTHM and 360 samples for HAA5.</w:t>
      </w:r>
    </w:p>
    <w:p w14:paraId="45CA7F09" w14:textId="77777777" w:rsidR="00F0626C" w:rsidRPr="001A7517" w:rsidRDefault="00F0626C" w:rsidP="00F0626C">
      <w:pPr>
        <w:spacing w:before="240"/>
        <w:ind w:left="3600" w:hanging="720"/>
      </w:pPr>
      <w:r w:rsidRPr="001A7517">
        <w:t>xi)</w:t>
      </w:r>
      <w:r w:rsidRPr="001A7517">
        <w:tab/>
        <w:t>A groundwater system supplier that serves fewer than 500 persons must collect samples from three monitoring locations:  three samples for TTHM and three samples for HAA5.</w:t>
      </w:r>
    </w:p>
    <w:p w14:paraId="047862DA" w14:textId="77777777" w:rsidR="00F0626C" w:rsidRPr="001A7517" w:rsidRDefault="00F0626C" w:rsidP="00F0626C">
      <w:pPr>
        <w:spacing w:before="240"/>
        <w:ind w:left="3600" w:hanging="720"/>
      </w:pPr>
      <w:r w:rsidRPr="001A7517">
        <w:t>xii)</w:t>
      </w:r>
      <w:r w:rsidRPr="001A7517">
        <w:tab/>
        <w:t>A groundwater system supplier that serves 500 to 9,999 persons must collect samples from three monitoring locations:  nine samples for TTHM and nine samples for HAA5.</w:t>
      </w:r>
    </w:p>
    <w:p w14:paraId="1974EBDC" w14:textId="77777777" w:rsidR="00F0626C" w:rsidRPr="001A7517" w:rsidRDefault="00F0626C" w:rsidP="00F0626C">
      <w:pPr>
        <w:spacing w:before="240"/>
        <w:ind w:left="3600" w:hanging="720"/>
      </w:pPr>
      <w:r w:rsidRPr="001A7517">
        <w:t>xiii)</w:t>
      </w:r>
      <w:r w:rsidRPr="001A7517">
        <w:tab/>
        <w:t>A groundwater system supplier that serves 10,000 to 99,999 persons must collect samples from 12 monitoring locations:  48 samples for TTHM and 48 samples for HAA5.</w:t>
      </w:r>
    </w:p>
    <w:p w14:paraId="35892646" w14:textId="77777777" w:rsidR="00F0626C" w:rsidRPr="001A7517" w:rsidRDefault="00F0626C" w:rsidP="00F0626C">
      <w:pPr>
        <w:spacing w:before="240"/>
        <w:ind w:left="3600" w:hanging="720"/>
      </w:pPr>
      <w:r w:rsidRPr="001A7517">
        <w:t>xiv)</w:t>
      </w:r>
      <w:r w:rsidRPr="001A7517">
        <w:tab/>
        <w:t>A groundwater system supplier that serves 100,000 to 499,999 persons must collect samples from 18 monitoring locations:  72 samples for TTHM and 72 samples for HAA5.</w:t>
      </w:r>
    </w:p>
    <w:p w14:paraId="698E0C9D" w14:textId="77777777" w:rsidR="00F0626C" w:rsidRPr="001A7517" w:rsidRDefault="00F0626C" w:rsidP="00F0626C">
      <w:pPr>
        <w:spacing w:before="240"/>
        <w:ind w:left="3600" w:hanging="720"/>
      </w:pPr>
      <w:r w:rsidRPr="001A7517">
        <w:t>xv)</w:t>
      </w:r>
      <w:r w:rsidRPr="001A7517">
        <w:tab/>
        <w:t>A groundwater system supplier that serves 500,000 or more persons must collect samples from 24 monitoring locations:  96 samples for TTHM and 96 samples for HAA5.</w:t>
      </w:r>
    </w:p>
    <w:p w14:paraId="0986E44A" w14:textId="77777777" w:rsidR="00F0626C" w:rsidRPr="001A7517" w:rsidRDefault="00F0626C" w:rsidP="00F0626C">
      <w:pPr>
        <w:spacing w:before="240"/>
        <w:ind w:left="2880" w:hanging="720"/>
        <w:rPr>
          <w:szCs w:val="18"/>
        </w:rPr>
      </w:pPr>
      <w:r w:rsidRPr="001A7517">
        <w:t>B)</w:t>
      </w:r>
      <w:r w:rsidRPr="001A7517">
        <w:tab/>
      </w:r>
      <w:r w:rsidRPr="001A7517">
        <w:rPr>
          <w:iCs/>
          <w:szCs w:val="18"/>
        </w:rPr>
        <w:t xml:space="preserve">Reporting Monitoring Results.  </w:t>
      </w:r>
      <w:r w:rsidRPr="001A7517">
        <w:rPr>
          <w:szCs w:val="18"/>
        </w:rPr>
        <w:t>A supplier must report the following information:</w:t>
      </w:r>
    </w:p>
    <w:p w14:paraId="16F0AB06" w14:textId="77777777" w:rsidR="00F0626C" w:rsidRPr="001A7517" w:rsidRDefault="00F0626C" w:rsidP="00F0626C">
      <w:pPr>
        <w:spacing w:before="240"/>
        <w:ind w:left="3600" w:hanging="720"/>
        <w:rPr>
          <w:szCs w:val="18"/>
        </w:rPr>
      </w:pPr>
      <w:r w:rsidRPr="001A7517">
        <w:rPr>
          <w:szCs w:val="18"/>
        </w:rPr>
        <w:t>i)</w:t>
      </w:r>
      <w:r w:rsidRPr="001A7517">
        <w:rPr>
          <w:szCs w:val="18"/>
        </w:rPr>
        <w:tab/>
        <w:t xml:space="preserve">The supplier must report previously collected monitoring results and certify that the reported monitoring results include all compliance and noncompliance results generated during the time period that began with the first reported result and </w:t>
      </w:r>
      <w:r w:rsidRPr="001A7517">
        <w:t xml:space="preserve">that </w:t>
      </w:r>
      <w:r w:rsidRPr="001A7517">
        <w:rPr>
          <w:szCs w:val="18"/>
        </w:rPr>
        <w:t>ended with the most recent Subpart I results;</w:t>
      </w:r>
    </w:p>
    <w:p w14:paraId="29DDCB3D" w14:textId="77777777" w:rsidR="00F0626C" w:rsidRPr="001A7517" w:rsidRDefault="00F0626C" w:rsidP="00F0626C">
      <w:pPr>
        <w:spacing w:before="240"/>
        <w:ind w:left="3600" w:hanging="720"/>
        <w:rPr>
          <w:szCs w:val="18"/>
        </w:rPr>
      </w:pPr>
      <w:r w:rsidRPr="001A7517">
        <w:rPr>
          <w:szCs w:val="18"/>
        </w:rPr>
        <w:t>ii)</w:t>
      </w:r>
      <w:r w:rsidRPr="001A7517">
        <w:rPr>
          <w:szCs w:val="18"/>
        </w:rPr>
        <w:tab/>
        <w:t>The supplier must certify that the samples were representative of the entire distribution system and treatment and that the distribution system and treatment have not changed significantly since the samples were collected;</w:t>
      </w:r>
    </w:p>
    <w:p w14:paraId="3CCAB6A1" w14:textId="77777777" w:rsidR="00F0626C" w:rsidRPr="001A7517" w:rsidRDefault="00F0626C" w:rsidP="00F0626C">
      <w:pPr>
        <w:spacing w:before="240"/>
        <w:ind w:left="3600" w:hanging="720"/>
        <w:rPr>
          <w:szCs w:val="18"/>
        </w:rPr>
      </w:pPr>
      <w:r w:rsidRPr="001A7517">
        <w:rPr>
          <w:szCs w:val="18"/>
        </w:rPr>
        <w:t>iii)</w:t>
      </w:r>
      <w:r w:rsidRPr="001A7517">
        <w:rPr>
          <w:szCs w:val="18"/>
        </w:rPr>
        <w:tab/>
        <w:t xml:space="preserve">The supplier’s study monitoring plan must include a schematic of its distribution system (including distribution </w:t>
      </w:r>
      <w:r w:rsidRPr="001A7517">
        <w:rPr>
          <w:szCs w:val="18"/>
        </w:rPr>
        <w:lastRenderedPageBreak/>
        <w:t>system entry points and their sources and storage facilities in the system), with notes indicating the locations and dates of all completed or planned system-specific study monitoring;</w:t>
      </w:r>
    </w:p>
    <w:p w14:paraId="47CD25AA" w14:textId="77777777" w:rsidR="00F0626C" w:rsidRPr="001A7517" w:rsidRDefault="00F0626C" w:rsidP="00F0626C">
      <w:pPr>
        <w:spacing w:before="240"/>
        <w:ind w:left="3600" w:hanging="720"/>
        <w:rPr>
          <w:szCs w:val="18"/>
        </w:rPr>
      </w:pPr>
      <w:r w:rsidRPr="001A7517">
        <w:rPr>
          <w:szCs w:val="18"/>
        </w:rPr>
        <w:t>iv)</w:t>
      </w:r>
      <w:r w:rsidRPr="001A7517">
        <w:rPr>
          <w:szCs w:val="18"/>
        </w:rPr>
        <w:tab/>
        <w:t>The supplier’s system-specific study plan must specify the population served and its system type (i.e., that it is a Subpart B or groundwater system);</w:t>
      </w:r>
    </w:p>
    <w:p w14:paraId="242AC92B" w14:textId="77777777" w:rsidR="00F0626C" w:rsidRPr="001A7517" w:rsidRDefault="00F0626C" w:rsidP="00F0626C">
      <w:pPr>
        <w:spacing w:before="240"/>
        <w:ind w:left="3600" w:hanging="720"/>
        <w:rPr>
          <w:szCs w:val="18"/>
        </w:rPr>
      </w:pPr>
      <w:r w:rsidRPr="001A7517">
        <w:rPr>
          <w:szCs w:val="18"/>
        </w:rPr>
        <w:t>v)</w:t>
      </w:r>
      <w:r w:rsidRPr="001A7517">
        <w:rPr>
          <w:szCs w:val="18"/>
        </w:rPr>
        <w:tab/>
        <w:t>The supplier must retain a complete copy of its system-specific study plan submitted under this subsection (a)(1), including any Agency modification of the supplier’s system-specific study plan, for as long as the supplier is required to retain its IDSE report under subsection (b)(5); and</w:t>
      </w:r>
    </w:p>
    <w:p w14:paraId="18744B5E" w14:textId="77777777" w:rsidR="00F0626C" w:rsidRPr="001A7517" w:rsidRDefault="00F0626C" w:rsidP="00F0626C">
      <w:pPr>
        <w:spacing w:before="240"/>
        <w:ind w:left="3600" w:hanging="720"/>
        <w:rPr>
          <w:szCs w:val="18"/>
        </w:rPr>
      </w:pPr>
      <w:r w:rsidRPr="001A7517">
        <w:rPr>
          <w:szCs w:val="18"/>
        </w:rPr>
        <w:t>vi)</w:t>
      </w:r>
      <w:r w:rsidRPr="001A7517">
        <w:rPr>
          <w:szCs w:val="18"/>
        </w:rPr>
        <w:tab/>
        <w:t>If the supplier submits previously collected data that fully meet the number of samples required under subsection (a)(1)(A)(ii), and the Agency rejects some of the data in writing, by a SEP, the supplier must either conduct additional monitoring to replace rejected data on a schedule approved by the Agency in the SEP, or it must conduct standard monitoring under Section 611.921.</w:t>
      </w:r>
    </w:p>
    <w:p w14:paraId="407C1955" w14:textId="77777777" w:rsidR="00F0626C" w:rsidRPr="001A7517" w:rsidRDefault="00F0626C" w:rsidP="00F0626C">
      <w:pPr>
        <w:spacing w:before="240"/>
        <w:ind w:left="1440" w:hanging="720"/>
        <w:rPr>
          <w:szCs w:val="18"/>
        </w:rPr>
      </w:pPr>
      <w:r w:rsidRPr="001A7517">
        <w:rPr>
          <w:szCs w:val="18"/>
        </w:rPr>
        <w:t>2)</w:t>
      </w:r>
      <w:r w:rsidRPr="001A7517">
        <w:rPr>
          <w:szCs w:val="18"/>
        </w:rPr>
        <w:tab/>
      </w:r>
      <w:r w:rsidRPr="001A7517">
        <w:rPr>
          <w:iCs/>
          <w:szCs w:val="18"/>
        </w:rPr>
        <w:t xml:space="preserve">Modeling.  </w:t>
      </w:r>
      <w:r w:rsidRPr="001A7517">
        <w:rPr>
          <w:szCs w:val="18"/>
        </w:rPr>
        <w:t>A supplier may comply through analysis of an extended-period simulation hydraulic model.  The extended-period simulation hydraulic model and analysis must meet the following criteria:</w:t>
      </w:r>
    </w:p>
    <w:p w14:paraId="73E4B6F4" w14:textId="77777777" w:rsidR="00F0626C" w:rsidRPr="001A7517" w:rsidRDefault="00F0626C" w:rsidP="00F0626C">
      <w:pPr>
        <w:spacing w:before="240"/>
        <w:ind w:left="2160" w:hanging="720"/>
        <w:rPr>
          <w:szCs w:val="18"/>
        </w:rPr>
      </w:pPr>
      <w:r w:rsidRPr="001A7517">
        <w:rPr>
          <w:szCs w:val="18"/>
        </w:rPr>
        <w:t>A)</w:t>
      </w:r>
      <w:r w:rsidRPr="001A7517">
        <w:rPr>
          <w:szCs w:val="18"/>
        </w:rPr>
        <w:tab/>
      </w:r>
      <w:r w:rsidRPr="001A7517">
        <w:rPr>
          <w:iCs/>
          <w:szCs w:val="18"/>
        </w:rPr>
        <w:t>Minimum Extended-Period Hydraulic Model Requirements</w:t>
      </w:r>
    </w:p>
    <w:p w14:paraId="284BB01E" w14:textId="77777777" w:rsidR="00F0626C" w:rsidRPr="001A7517" w:rsidRDefault="00F0626C" w:rsidP="00F0626C">
      <w:pPr>
        <w:spacing w:before="240"/>
        <w:ind w:left="2880" w:hanging="720"/>
        <w:rPr>
          <w:szCs w:val="18"/>
        </w:rPr>
      </w:pPr>
      <w:r w:rsidRPr="001A7517">
        <w:rPr>
          <w:szCs w:val="18"/>
        </w:rPr>
        <w:t>i)</w:t>
      </w:r>
      <w:r w:rsidRPr="001A7517">
        <w:rPr>
          <w:szCs w:val="18"/>
        </w:rPr>
        <w:tab/>
        <w:t xml:space="preserve">The </w:t>
      </w:r>
      <w:r w:rsidRPr="001A7517">
        <w:rPr>
          <w:iCs/>
          <w:szCs w:val="18"/>
        </w:rPr>
        <w:t xml:space="preserve">extended-period hydraulic </w:t>
      </w:r>
      <w:r w:rsidRPr="001A7517">
        <w:rPr>
          <w:szCs w:val="18"/>
        </w:rPr>
        <w:t>model must simulate 24-hour variation in demand and show a consistently repeating 24-hour pattern of residence time.</w:t>
      </w:r>
    </w:p>
    <w:p w14:paraId="7AB043F0" w14:textId="77777777" w:rsidR="00F0626C" w:rsidRPr="001A7517" w:rsidRDefault="00F0626C" w:rsidP="00F0626C">
      <w:pPr>
        <w:spacing w:before="240"/>
        <w:ind w:left="2880" w:hanging="720"/>
        <w:rPr>
          <w:szCs w:val="18"/>
        </w:rPr>
      </w:pPr>
      <w:r w:rsidRPr="001A7517">
        <w:rPr>
          <w:szCs w:val="18"/>
        </w:rPr>
        <w:t>ii)</w:t>
      </w:r>
      <w:r w:rsidRPr="001A7517">
        <w:rPr>
          <w:szCs w:val="18"/>
        </w:rPr>
        <w:tab/>
        <w:t xml:space="preserve">The </w:t>
      </w:r>
      <w:r w:rsidRPr="001A7517">
        <w:rPr>
          <w:iCs/>
          <w:szCs w:val="18"/>
        </w:rPr>
        <w:t xml:space="preserve">extended-period hydraulic </w:t>
      </w:r>
      <w:r w:rsidRPr="001A7517">
        <w:rPr>
          <w:szCs w:val="18"/>
        </w:rPr>
        <w:t>model must represent the criteria listed in subsection (a)(2)(D).</w:t>
      </w:r>
    </w:p>
    <w:p w14:paraId="572B549C" w14:textId="77777777" w:rsidR="00F0626C" w:rsidRPr="001A7517" w:rsidRDefault="00F0626C" w:rsidP="00F0626C">
      <w:pPr>
        <w:suppressAutoHyphens/>
        <w:spacing w:before="240" w:after="240"/>
        <w:ind w:left="2880"/>
        <w:rPr>
          <w:szCs w:val="18"/>
        </w:rPr>
      </w:pPr>
      <w:r w:rsidRPr="001A7517">
        <w:rPr>
          <w:szCs w:val="18"/>
        </w:rPr>
        <w:t>BOARD NOTE:  This subsection (a)(2)(A)(ii) is derived from 40 CFR 141.602(a)(2)(i)(B).  The Board has codified 40 CFR 141.602(a)(2)(i)(B)(</w:t>
      </w:r>
      <w:r w:rsidRPr="001A7517">
        <w:rPr>
          <w:i/>
          <w:iCs/>
          <w:szCs w:val="18"/>
        </w:rPr>
        <w:t>1</w:t>
      </w:r>
      <w:r w:rsidRPr="001A7517">
        <w:rPr>
          <w:szCs w:val="18"/>
        </w:rPr>
        <w:t>) through (a)(2)(i)(B)(</w:t>
      </w:r>
      <w:r w:rsidRPr="001A7517">
        <w:rPr>
          <w:i/>
          <w:iCs/>
          <w:szCs w:val="18"/>
        </w:rPr>
        <w:t>9</w:t>
      </w:r>
      <w:r w:rsidRPr="001A7517">
        <w:rPr>
          <w:szCs w:val="18"/>
        </w:rPr>
        <w:t>) as subsections (a)(2)(D)(i) through (a)(2)(D)(ix) to comport with Illinois Administrative Code codification requirements.</w:t>
      </w:r>
    </w:p>
    <w:p w14:paraId="3459B96B" w14:textId="77777777" w:rsidR="00F0626C" w:rsidRPr="001A7517" w:rsidRDefault="00F0626C" w:rsidP="00F0626C">
      <w:pPr>
        <w:spacing w:before="240"/>
        <w:ind w:left="2880" w:hanging="720"/>
        <w:rPr>
          <w:szCs w:val="18"/>
        </w:rPr>
      </w:pPr>
      <w:r w:rsidRPr="001A7517">
        <w:rPr>
          <w:szCs w:val="18"/>
        </w:rPr>
        <w:t>iii)</w:t>
      </w:r>
      <w:r w:rsidRPr="001A7517">
        <w:rPr>
          <w:szCs w:val="18"/>
        </w:rPr>
        <w:tab/>
        <w:t xml:space="preserve">The </w:t>
      </w:r>
      <w:r w:rsidRPr="001A7517">
        <w:rPr>
          <w:iCs/>
          <w:szCs w:val="18"/>
        </w:rPr>
        <w:t xml:space="preserve">extended-period hydraulic </w:t>
      </w:r>
      <w:r w:rsidRPr="001A7517">
        <w:rPr>
          <w:szCs w:val="18"/>
        </w:rPr>
        <w:t xml:space="preserve">model must be calibrated or have calibration plans for the current configuration of the distribution system during the period of high TTHM formation potential.  All </w:t>
      </w:r>
      <w:r w:rsidRPr="001A7517">
        <w:rPr>
          <w:szCs w:val="18"/>
        </w:rPr>
        <w:lastRenderedPageBreak/>
        <w:t>storage facilities in the system must be evaluated as part of the calibration process.  All required calibration must be completed no later than 12 months after the supplier has submitted the plan.</w:t>
      </w:r>
    </w:p>
    <w:p w14:paraId="712B020E" w14:textId="77777777" w:rsidR="00F0626C" w:rsidRPr="001A7517" w:rsidRDefault="00F0626C" w:rsidP="00F0626C">
      <w:pPr>
        <w:spacing w:before="240"/>
        <w:ind w:left="2160" w:hanging="720"/>
        <w:rPr>
          <w:szCs w:val="18"/>
        </w:rPr>
      </w:pPr>
      <w:r w:rsidRPr="001A7517">
        <w:rPr>
          <w:szCs w:val="18"/>
        </w:rPr>
        <w:t>B)</w:t>
      </w:r>
      <w:r w:rsidRPr="001A7517">
        <w:rPr>
          <w:szCs w:val="18"/>
        </w:rPr>
        <w:tab/>
      </w:r>
      <w:r w:rsidRPr="001A7517">
        <w:rPr>
          <w:iCs/>
          <w:szCs w:val="18"/>
        </w:rPr>
        <w:t xml:space="preserve">Reporting Modeling.  </w:t>
      </w:r>
      <w:r w:rsidRPr="001A7517">
        <w:rPr>
          <w:szCs w:val="18"/>
        </w:rPr>
        <w:t>The supplier’s system-specific study plan must include the information described in subsections (a)(2)(B)(i) through (a)(2)(B)(vii), subject to the requirements of subsection (a)(2)(B)(vii).</w:t>
      </w:r>
    </w:p>
    <w:p w14:paraId="19FAB82B" w14:textId="77777777" w:rsidR="00F0626C" w:rsidRPr="001A7517" w:rsidRDefault="00F0626C" w:rsidP="00F0626C">
      <w:pPr>
        <w:spacing w:before="240"/>
        <w:ind w:left="2880" w:hanging="720"/>
        <w:rPr>
          <w:szCs w:val="18"/>
        </w:rPr>
      </w:pPr>
      <w:r w:rsidRPr="001A7517">
        <w:rPr>
          <w:szCs w:val="18"/>
        </w:rPr>
        <w:t>i)</w:t>
      </w:r>
      <w:r w:rsidRPr="001A7517">
        <w:rPr>
          <w:szCs w:val="18"/>
        </w:rPr>
        <w:tab/>
        <w:t>Tabular or spreadsheet data demonstrating that the model meets requirements in subsections (a)(2)(A)(ii) and (a)(2)(D).</w:t>
      </w:r>
    </w:p>
    <w:p w14:paraId="4277FE72" w14:textId="77777777" w:rsidR="00F0626C" w:rsidRPr="001A7517" w:rsidRDefault="00F0626C" w:rsidP="00F0626C">
      <w:pPr>
        <w:spacing w:before="240"/>
        <w:ind w:left="2880" w:hanging="720"/>
        <w:rPr>
          <w:szCs w:val="18"/>
        </w:rPr>
      </w:pPr>
      <w:r w:rsidRPr="001A7517">
        <w:rPr>
          <w:szCs w:val="18"/>
        </w:rPr>
        <w:t>ii)</w:t>
      </w:r>
      <w:r w:rsidRPr="001A7517">
        <w:rPr>
          <w:szCs w:val="18"/>
        </w:rPr>
        <w:tab/>
        <w:t>A description of all calibration activities undertaken and, if calibration is complete, a graph of predicted tank levels versus measured tank levels for the system storage facility with the highest residence time in each pressure zone, and a time-series graph of the residence time at the longest residence time storage facility in the distribution system showing the predictions for the entire simulation period (</w:t>
      </w:r>
      <w:r w:rsidRPr="001A7517">
        <w:rPr>
          <w:iCs/>
          <w:szCs w:val="18"/>
        </w:rPr>
        <w:t>i.e.</w:t>
      </w:r>
      <w:r w:rsidRPr="001A7517">
        <w:rPr>
          <w:szCs w:val="18"/>
        </w:rPr>
        <w:t>, from time zero until the time it takes for the model to reach a consistently repeating pattern of residence time).</w:t>
      </w:r>
    </w:p>
    <w:p w14:paraId="1069376E" w14:textId="77777777" w:rsidR="00F0626C" w:rsidRPr="001A7517" w:rsidRDefault="00F0626C" w:rsidP="00F0626C">
      <w:pPr>
        <w:spacing w:before="240"/>
        <w:ind w:left="2880" w:hanging="720"/>
        <w:rPr>
          <w:szCs w:val="18"/>
        </w:rPr>
      </w:pPr>
      <w:r w:rsidRPr="001A7517">
        <w:rPr>
          <w:szCs w:val="18"/>
        </w:rPr>
        <w:t>iii)</w:t>
      </w:r>
      <w:r w:rsidRPr="001A7517">
        <w:rPr>
          <w:szCs w:val="18"/>
        </w:rPr>
        <w:tab/>
        <w:t>Model output showing preliminary 24-hour average residence time predictions throughout the distribution system.</w:t>
      </w:r>
    </w:p>
    <w:p w14:paraId="2F802C89" w14:textId="77777777" w:rsidR="00F0626C" w:rsidRPr="001A7517" w:rsidRDefault="00F0626C" w:rsidP="00F0626C">
      <w:pPr>
        <w:spacing w:before="240"/>
        <w:ind w:left="2880" w:hanging="720"/>
        <w:rPr>
          <w:szCs w:val="18"/>
        </w:rPr>
      </w:pPr>
      <w:r w:rsidRPr="001A7517">
        <w:rPr>
          <w:szCs w:val="18"/>
        </w:rPr>
        <w:t>iv)</w:t>
      </w:r>
      <w:r w:rsidRPr="001A7517">
        <w:rPr>
          <w:szCs w:val="18"/>
        </w:rPr>
        <w:tab/>
        <w:t>The timing and the number of samples representative of the distribution system planned for at least one monitoring period of TTHM and HAA5 dual-sample monitoring at a number of locations no fewer than would be required for the system under standard monitoring in Section 611.921 during the historical month of high TTHM.  These samples must be taken at locations other than existing Subpart I compliance monitoring locations.</w:t>
      </w:r>
    </w:p>
    <w:p w14:paraId="633958BD" w14:textId="77777777" w:rsidR="00F0626C" w:rsidRPr="001A7517" w:rsidRDefault="00F0626C" w:rsidP="00F0626C">
      <w:pPr>
        <w:spacing w:before="240"/>
        <w:ind w:left="2880" w:hanging="720"/>
        <w:rPr>
          <w:szCs w:val="18"/>
        </w:rPr>
      </w:pPr>
      <w:r w:rsidRPr="001A7517">
        <w:rPr>
          <w:szCs w:val="18"/>
        </w:rPr>
        <w:t>v)</w:t>
      </w:r>
      <w:r w:rsidRPr="001A7517">
        <w:rPr>
          <w:szCs w:val="18"/>
        </w:rPr>
        <w:tab/>
        <w:t>A description of how all requirements will be completed no later than 12 months after the supplier submits the supplier’s system-specific study plan.</w:t>
      </w:r>
    </w:p>
    <w:p w14:paraId="2A0E23C0" w14:textId="77777777" w:rsidR="00F0626C" w:rsidRPr="001A7517" w:rsidRDefault="00F0626C" w:rsidP="00F0626C">
      <w:pPr>
        <w:spacing w:before="240"/>
        <w:ind w:left="2880" w:hanging="720"/>
        <w:rPr>
          <w:szCs w:val="18"/>
        </w:rPr>
      </w:pPr>
      <w:r w:rsidRPr="001A7517">
        <w:rPr>
          <w:szCs w:val="18"/>
        </w:rPr>
        <w:t>vi)</w:t>
      </w:r>
      <w:r w:rsidRPr="001A7517">
        <w:rPr>
          <w:szCs w:val="18"/>
        </w:rPr>
        <w:tab/>
        <w:t>A schematic of the supplier’s distribution system (including distribution system entry points and their sources and system storage facilities), with notes indicating the locations and dates of all completed system-specific study monitoring (if calibration is complete) and all Subpart I compliance monitoring.</w:t>
      </w:r>
    </w:p>
    <w:p w14:paraId="7B7E5576" w14:textId="77777777" w:rsidR="00F0626C" w:rsidRPr="001A7517" w:rsidRDefault="00F0626C" w:rsidP="00F0626C">
      <w:pPr>
        <w:spacing w:before="240"/>
        <w:ind w:left="2880" w:hanging="720"/>
        <w:rPr>
          <w:szCs w:val="18"/>
        </w:rPr>
      </w:pPr>
      <w:r w:rsidRPr="001A7517">
        <w:rPr>
          <w:szCs w:val="18"/>
        </w:rPr>
        <w:t>vii)</w:t>
      </w:r>
      <w:r w:rsidRPr="001A7517">
        <w:rPr>
          <w:szCs w:val="18"/>
        </w:rPr>
        <w:tab/>
        <w:t>The population served and system type (i.e., that it is a Subpart B or groundwater system).</w:t>
      </w:r>
    </w:p>
    <w:p w14:paraId="38A19278" w14:textId="77777777" w:rsidR="00F0626C" w:rsidRPr="001A7517" w:rsidRDefault="00F0626C" w:rsidP="00F0626C">
      <w:pPr>
        <w:spacing w:before="240"/>
        <w:ind w:left="2880" w:hanging="720"/>
        <w:rPr>
          <w:szCs w:val="18"/>
        </w:rPr>
      </w:pPr>
      <w:r w:rsidRPr="001A7517">
        <w:rPr>
          <w:szCs w:val="18"/>
        </w:rPr>
        <w:lastRenderedPageBreak/>
        <w:t>viii)</w:t>
      </w:r>
      <w:r w:rsidRPr="001A7517">
        <w:rPr>
          <w:szCs w:val="18"/>
        </w:rPr>
        <w:tab/>
        <w:t>The supplier must retain a complete copy of the supplier’s system-specific study plan submitted under this subsection (a)(2), including any Agency modification of the supplier’s system-specific study plan, for as long as the supplier is required to retain the supplier’s IDSE report under subsection (b)(7).</w:t>
      </w:r>
    </w:p>
    <w:p w14:paraId="297CD026" w14:textId="77777777" w:rsidR="00F0626C" w:rsidRPr="001A7517" w:rsidRDefault="00F0626C" w:rsidP="00F0626C">
      <w:pPr>
        <w:spacing w:before="240"/>
        <w:ind w:left="2160" w:hanging="720"/>
        <w:rPr>
          <w:szCs w:val="18"/>
        </w:rPr>
      </w:pPr>
      <w:r w:rsidRPr="001A7517">
        <w:rPr>
          <w:szCs w:val="18"/>
        </w:rPr>
        <w:t>C)</w:t>
      </w:r>
      <w:r w:rsidRPr="001A7517">
        <w:rPr>
          <w:szCs w:val="18"/>
        </w:rPr>
        <w:tab/>
        <w:t>If the supplier submits a model that does not fully meet the requirements under subsection (a)(2), the supplier must correct the Agency-cited deficiencies and respond to Agency inquiries concerning the model.  If the supplier fails to correct deficiencies or respond to inquiries to the Agency’s satisfaction, the supplier must conduct standard monitoring under Section 611.921.</w:t>
      </w:r>
    </w:p>
    <w:p w14:paraId="344A1161" w14:textId="77777777" w:rsidR="00F0626C" w:rsidRPr="001A7517" w:rsidRDefault="00F0626C" w:rsidP="00F0626C">
      <w:pPr>
        <w:spacing w:before="240"/>
        <w:ind w:left="2160" w:hanging="720"/>
        <w:rPr>
          <w:szCs w:val="18"/>
        </w:rPr>
      </w:pPr>
      <w:r w:rsidRPr="001A7517">
        <w:rPr>
          <w:szCs w:val="18"/>
        </w:rPr>
        <w:t>D)</w:t>
      </w:r>
      <w:r w:rsidRPr="001A7517">
        <w:rPr>
          <w:szCs w:val="18"/>
        </w:rPr>
        <w:tab/>
        <w:t xml:space="preserve">The </w:t>
      </w:r>
      <w:r w:rsidRPr="001A7517">
        <w:rPr>
          <w:iCs/>
          <w:szCs w:val="18"/>
        </w:rPr>
        <w:t xml:space="preserve">extended-period hydraulic </w:t>
      </w:r>
      <w:r w:rsidRPr="001A7517">
        <w:rPr>
          <w:szCs w:val="18"/>
        </w:rPr>
        <w:t>model must represent the following criteria:</w:t>
      </w:r>
    </w:p>
    <w:p w14:paraId="18898C55" w14:textId="77777777" w:rsidR="00F0626C" w:rsidRPr="001A7517" w:rsidRDefault="00F0626C" w:rsidP="00F0626C">
      <w:pPr>
        <w:spacing w:before="240"/>
        <w:ind w:left="2880" w:hanging="720"/>
        <w:rPr>
          <w:szCs w:val="18"/>
        </w:rPr>
      </w:pPr>
      <w:r w:rsidRPr="001A7517">
        <w:rPr>
          <w:szCs w:val="18"/>
        </w:rPr>
        <w:t>i)</w:t>
      </w:r>
      <w:r w:rsidRPr="001A7517">
        <w:rPr>
          <w:szCs w:val="18"/>
        </w:rPr>
        <w:tab/>
        <w:t>75 percent of pipe volume;</w:t>
      </w:r>
    </w:p>
    <w:p w14:paraId="6FD96767" w14:textId="77777777" w:rsidR="00F0626C" w:rsidRPr="001A7517" w:rsidRDefault="00F0626C" w:rsidP="00F0626C">
      <w:pPr>
        <w:spacing w:before="240"/>
        <w:ind w:left="2880" w:hanging="720"/>
        <w:rPr>
          <w:szCs w:val="18"/>
        </w:rPr>
      </w:pPr>
      <w:r w:rsidRPr="001A7517">
        <w:rPr>
          <w:szCs w:val="18"/>
        </w:rPr>
        <w:t>ii)</w:t>
      </w:r>
      <w:r w:rsidRPr="001A7517">
        <w:rPr>
          <w:szCs w:val="18"/>
        </w:rPr>
        <w:tab/>
        <w:t>50 percent of pipe length;</w:t>
      </w:r>
    </w:p>
    <w:p w14:paraId="0260C20C" w14:textId="77777777" w:rsidR="00F0626C" w:rsidRPr="001A7517" w:rsidRDefault="00F0626C" w:rsidP="00F0626C">
      <w:pPr>
        <w:spacing w:before="240"/>
        <w:ind w:left="2880" w:hanging="720"/>
        <w:rPr>
          <w:szCs w:val="18"/>
        </w:rPr>
      </w:pPr>
      <w:r w:rsidRPr="001A7517">
        <w:rPr>
          <w:szCs w:val="18"/>
        </w:rPr>
        <w:t>iii)</w:t>
      </w:r>
      <w:r w:rsidRPr="001A7517">
        <w:rPr>
          <w:szCs w:val="18"/>
        </w:rPr>
        <w:tab/>
        <w:t>All pressure zones;</w:t>
      </w:r>
    </w:p>
    <w:p w14:paraId="550101ED" w14:textId="77777777" w:rsidR="00F0626C" w:rsidRPr="001A7517" w:rsidRDefault="00F0626C" w:rsidP="00F0626C">
      <w:pPr>
        <w:spacing w:before="240"/>
        <w:ind w:left="2880" w:hanging="720"/>
        <w:rPr>
          <w:szCs w:val="18"/>
        </w:rPr>
      </w:pPr>
      <w:r w:rsidRPr="001A7517">
        <w:rPr>
          <w:szCs w:val="18"/>
        </w:rPr>
        <w:t>iv)</w:t>
      </w:r>
      <w:r w:rsidRPr="001A7517">
        <w:rPr>
          <w:szCs w:val="18"/>
        </w:rPr>
        <w:tab/>
        <w:t>All 12-inch diameter and larger pipes;</w:t>
      </w:r>
    </w:p>
    <w:p w14:paraId="22B3CA74" w14:textId="77777777" w:rsidR="00F0626C" w:rsidRPr="001A7517" w:rsidRDefault="00F0626C" w:rsidP="00F0626C">
      <w:pPr>
        <w:spacing w:before="240"/>
        <w:ind w:left="2880" w:hanging="720"/>
        <w:rPr>
          <w:szCs w:val="18"/>
        </w:rPr>
      </w:pPr>
      <w:r w:rsidRPr="001A7517">
        <w:rPr>
          <w:szCs w:val="18"/>
        </w:rPr>
        <w:t>v)</w:t>
      </w:r>
      <w:r w:rsidRPr="001A7517">
        <w:rPr>
          <w:szCs w:val="18"/>
        </w:rPr>
        <w:tab/>
        <w:t xml:space="preserve">All eight-inch and larger pipes that connect pressure zones, influence zones from different sources, storage facilities, major demand areas, pumps, and control valves or </w:t>
      </w:r>
      <w:r w:rsidRPr="001A7517">
        <w:t xml:space="preserve">that </w:t>
      </w:r>
      <w:r w:rsidRPr="001A7517">
        <w:rPr>
          <w:szCs w:val="18"/>
        </w:rPr>
        <w:t>are known or expected to be significant conveyors of water;</w:t>
      </w:r>
    </w:p>
    <w:p w14:paraId="666A7717" w14:textId="77777777" w:rsidR="00F0626C" w:rsidRPr="001A7517" w:rsidRDefault="00F0626C" w:rsidP="00F0626C">
      <w:pPr>
        <w:spacing w:before="240"/>
        <w:ind w:left="2880" w:hanging="720"/>
        <w:rPr>
          <w:szCs w:val="18"/>
        </w:rPr>
      </w:pPr>
      <w:r w:rsidRPr="001A7517">
        <w:rPr>
          <w:szCs w:val="18"/>
        </w:rPr>
        <w:t>vi)</w:t>
      </w:r>
      <w:r w:rsidRPr="001A7517">
        <w:rPr>
          <w:szCs w:val="18"/>
        </w:rPr>
        <w:tab/>
        <w:t>All six-inch and larger pipes that connect remote areas of a distribution system to the main portion of the system;</w:t>
      </w:r>
    </w:p>
    <w:p w14:paraId="1D679AFA" w14:textId="77777777" w:rsidR="00F0626C" w:rsidRPr="001A7517" w:rsidRDefault="00F0626C" w:rsidP="00F0626C">
      <w:pPr>
        <w:spacing w:before="240"/>
        <w:ind w:left="2880" w:hanging="720"/>
        <w:rPr>
          <w:szCs w:val="18"/>
        </w:rPr>
      </w:pPr>
      <w:r w:rsidRPr="001A7517">
        <w:rPr>
          <w:szCs w:val="18"/>
        </w:rPr>
        <w:t>vii)</w:t>
      </w:r>
      <w:r w:rsidRPr="001A7517">
        <w:rPr>
          <w:szCs w:val="18"/>
        </w:rPr>
        <w:tab/>
        <w:t>All storage facilities with standard operations represented in the model;</w:t>
      </w:r>
    </w:p>
    <w:p w14:paraId="2AB138B2" w14:textId="77777777" w:rsidR="00F0626C" w:rsidRPr="001A7517" w:rsidRDefault="00F0626C" w:rsidP="00F0626C">
      <w:pPr>
        <w:spacing w:before="240"/>
        <w:ind w:left="2880" w:hanging="720"/>
        <w:rPr>
          <w:szCs w:val="18"/>
        </w:rPr>
      </w:pPr>
      <w:r w:rsidRPr="001A7517">
        <w:rPr>
          <w:szCs w:val="18"/>
        </w:rPr>
        <w:t>viii)</w:t>
      </w:r>
      <w:r w:rsidRPr="001A7517">
        <w:rPr>
          <w:szCs w:val="18"/>
        </w:rPr>
        <w:tab/>
        <w:t>All active pump stations with controls represented in the model; and</w:t>
      </w:r>
    </w:p>
    <w:p w14:paraId="6BD8D044" w14:textId="77777777" w:rsidR="00F0626C" w:rsidRPr="001A7517" w:rsidRDefault="00F0626C" w:rsidP="00F0626C">
      <w:pPr>
        <w:spacing w:before="240"/>
        <w:ind w:left="2880" w:hanging="720"/>
        <w:rPr>
          <w:szCs w:val="18"/>
        </w:rPr>
      </w:pPr>
      <w:r w:rsidRPr="001A7517">
        <w:rPr>
          <w:szCs w:val="18"/>
        </w:rPr>
        <w:t>ix)</w:t>
      </w:r>
      <w:r w:rsidRPr="001A7517">
        <w:rPr>
          <w:szCs w:val="18"/>
        </w:rPr>
        <w:tab/>
        <w:t>All active control valves.</w:t>
      </w:r>
    </w:p>
    <w:p w14:paraId="77BAA51B" w14:textId="77777777" w:rsidR="00F0626C" w:rsidRPr="001A7517" w:rsidRDefault="00F0626C" w:rsidP="00F0626C">
      <w:pPr>
        <w:spacing w:before="240"/>
        <w:ind w:left="2160"/>
        <w:rPr>
          <w:szCs w:val="18"/>
        </w:rPr>
      </w:pPr>
      <w:r w:rsidRPr="001A7517">
        <w:rPr>
          <w:szCs w:val="18"/>
        </w:rPr>
        <w:t>BOARD NOTE:  This subsection (a)(2)(D) is derived from 40 CFR 141.602(a)(2)(i)(B).  The Board has codified 40 CFR 141.602(a)(2)(i)(B)(</w:t>
      </w:r>
      <w:r w:rsidRPr="001A7517">
        <w:rPr>
          <w:i/>
          <w:iCs/>
          <w:szCs w:val="18"/>
        </w:rPr>
        <w:t>1</w:t>
      </w:r>
      <w:r w:rsidRPr="001A7517">
        <w:rPr>
          <w:szCs w:val="18"/>
        </w:rPr>
        <w:t>) through (a)(2)(i)(B)(</w:t>
      </w:r>
      <w:r w:rsidRPr="001A7517">
        <w:rPr>
          <w:i/>
          <w:iCs/>
          <w:szCs w:val="18"/>
        </w:rPr>
        <w:t>9</w:t>
      </w:r>
      <w:r w:rsidRPr="001A7517">
        <w:rPr>
          <w:szCs w:val="18"/>
        </w:rPr>
        <w:t>) as subsections (a)(2)(D)(i) through (a)(2)(D)(ix) to comport with Illinois Administrative Code codification requirements.</w:t>
      </w:r>
    </w:p>
    <w:p w14:paraId="4E5CE5EF" w14:textId="77777777" w:rsidR="00F0626C" w:rsidRPr="001A7517" w:rsidRDefault="00F0626C" w:rsidP="00F0626C">
      <w:pPr>
        <w:spacing w:before="240"/>
        <w:ind w:left="1440" w:hanging="720"/>
        <w:rPr>
          <w:szCs w:val="18"/>
        </w:rPr>
      </w:pPr>
      <w:r w:rsidRPr="001A7517">
        <w:rPr>
          <w:szCs w:val="18"/>
        </w:rPr>
        <w:lastRenderedPageBreak/>
        <w:t>b)</w:t>
      </w:r>
      <w:r w:rsidRPr="001A7517">
        <w:rPr>
          <w:szCs w:val="18"/>
        </w:rPr>
        <w:tab/>
      </w:r>
      <w:r w:rsidRPr="001A7517">
        <w:rPr>
          <w:iCs/>
          <w:szCs w:val="18"/>
        </w:rPr>
        <w:t xml:space="preserve">IDSE Report.  </w:t>
      </w:r>
      <w:r w:rsidRPr="001A7517">
        <w:rPr>
          <w:szCs w:val="18"/>
        </w:rPr>
        <w:t>The supplier’s IDSE report must include the elements required in subsections (b)(1) through (b)(6).  The supplier must submit its IDSE report according to the applicable of the schedules in Section 611.920(c).</w:t>
      </w:r>
    </w:p>
    <w:p w14:paraId="5CEDD5AB" w14:textId="77777777" w:rsidR="00F0626C" w:rsidRPr="001A7517" w:rsidRDefault="00F0626C" w:rsidP="00F0626C">
      <w:pPr>
        <w:spacing w:before="240"/>
        <w:ind w:left="2160" w:hanging="720"/>
        <w:rPr>
          <w:szCs w:val="18"/>
        </w:rPr>
      </w:pPr>
      <w:r w:rsidRPr="001A7517">
        <w:rPr>
          <w:szCs w:val="18"/>
        </w:rPr>
        <w:t>1)</w:t>
      </w:r>
      <w:r w:rsidRPr="001A7517">
        <w:rPr>
          <w:szCs w:val="18"/>
        </w:rPr>
        <w:tab/>
        <w:t>The supplier’s IDSE report must include all TTHM and HAA5 analytical results from Subpart I compliance monitoring and all system-specific study monitoring conducted during the period of the system-specific study presented in a tabular or spreadsheet format acceptable to the Agency.  If changed from the supplier’s system-specific study plan submitted under subsection (a), the supplier’s IDSE report must also include a schematic of its distribution system, the population served, and system type (i.e., that it is a Subpart B or groundwater system).</w:t>
      </w:r>
    </w:p>
    <w:p w14:paraId="2B2AE4C7" w14:textId="77777777" w:rsidR="00F0626C" w:rsidRPr="001A7517" w:rsidRDefault="00F0626C" w:rsidP="00F0626C">
      <w:pPr>
        <w:spacing w:before="240"/>
        <w:ind w:left="2160" w:hanging="720"/>
        <w:rPr>
          <w:szCs w:val="18"/>
        </w:rPr>
      </w:pPr>
      <w:r w:rsidRPr="001A7517">
        <w:rPr>
          <w:szCs w:val="18"/>
        </w:rPr>
        <w:t>2)</w:t>
      </w:r>
      <w:r w:rsidRPr="001A7517">
        <w:rPr>
          <w:szCs w:val="18"/>
        </w:rPr>
        <w:tab/>
        <w:t xml:space="preserve">If the supplier used the modeling provision under subsection (a)(2), it must include final information for the elements described in subsection (a)(2)(B), and a 24-hour time-series graph of residence time for each </w:t>
      </w:r>
      <w:r w:rsidRPr="001A7517">
        <w:t>Subpart Y</w:t>
      </w:r>
      <w:r w:rsidRPr="001A7517">
        <w:rPr>
          <w:szCs w:val="18"/>
        </w:rPr>
        <w:t xml:space="preserve"> compliance monitoring location selected.</w:t>
      </w:r>
    </w:p>
    <w:p w14:paraId="27977019" w14:textId="77777777" w:rsidR="00F0626C" w:rsidRPr="001A7517" w:rsidRDefault="00F0626C" w:rsidP="00F0626C">
      <w:pPr>
        <w:spacing w:before="240"/>
        <w:ind w:left="2160" w:hanging="720"/>
        <w:rPr>
          <w:szCs w:val="18"/>
        </w:rPr>
      </w:pPr>
      <w:r w:rsidRPr="001A7517">
        <w:rPr>
          <w:szCs w:val="18"/>
        </w:rPr>
        <w:t>3)</w:t>
      </w:r>
      <w:r w:rsidRPr="001A7517">
        <w:rPr>
          <w:szCs w:val="18"/>
        </w:rPr>
        <w:tab/>
        <w:t xml:space="preserve">The supplier must recommend and justify </w:t>
      </w:r>
      <w:r w:rsidRPr="001A7517">
        <w:t>Subpart Y</w:t>
      </w:r>
      <w:r w:rsidRPr="001A7517">
        <w:rPr>
          <w:szCs w:val="18"/>
        </w:rPr>
        <w:t xml:space="preserve"> compliance monitoring locations and timing based on the protocol in Section 611.925.</w:t>
      </w:r>
    </w:p>
    <w:p w14:paraId="77B445B2" w14:textId="77777777" w:rsidR="00F0626C" w:rsidRPr="001A7517" w:rsidRDefault="00F0626C" w:rsidP="00F0626C">
      <w:pPr>
        <w:spacing w:before="240"/>
        <w:ind w:left="2160" w:hanging="720"/>
        <w:rPr>
          <w:szCs w:val="18"/>
        </w:rPr>
      </w:pPr>
      <w:r w:rsidRPr="001A7517">
        <w:rPr>
          <w:szCs w:val="18"/>
        </w:rPr>
        <w:t>4)</w:t>
      </w:r>
      <w:r w:rsidRPr="001A7517">
        <w:rPr>
          <w:szCs w:val="18"/>
        </w:rPr>
        <w:tab/>
        <w:t>The supplier’s IDSE report must include an explanation of any deviations from its approved system-specific study plan.</w:t>
      </w:r>
    </w:p>
    <w:p w14:paraId="59E2BCF7" w14:textId="77777777" w:rsidR="00F0626C" w:rsidRPr="001A7517" w:rsidRDefault="00F0626C" w:rsidP="00F0626C">
      <w:pPr>
        <w:spacing w:before="240"/>
        <w:ind w:left="2160" w:hanging="720"/>
        <w:rPr>
          <w:szCs w:val="18"/>
        </w:rPr>
      </w:pPr>
      <w:r w:rsidRPr="001A7517">
        <w:rPr>
          <w:szCs w:val="18"/>
        </w:rPr>
        <w:t>5)</w:t>
      </w:r>
      <w:r w:rsidRPr="001A7517">
        <w:rPr>
          <w:szCs w:val="18"/>
        </w:rPr>
        <w:tab/>
        <w:t xml:space="preserve">The supplier’s IDSE report must include the basis (analytical and modeling results) and justification that it used to select the recommended </w:t>
      </w:r>
      <w:r w:rsidRPr="001A7517">
        <w:t>Subpart Y</w:t>
      </w:r>
      <w:r w:rsidRPr="001A7517">
        <w:rPr>
          <w:szCs w:val="18"/>
        </w:rPr>
        <w:t xml:space="preserve"> monitoring locations.</w:t>
      </w:r>
    </w:p>
    <w:p w14:paraId="6A7840F2" w14:textId="77777777" w:rsidR="00F0626C" w:rsidRPr="001A7517" w:rsidRDefault="00F0626C" w:rsidP="00F0626C">
      <w:pPr>
        <w:spacing w:before="240"/>
        <w:ind w:left="2160" w:hanging="720"/>
        <w:rPr>
          <w:szCs w:val="18"/>
        </w:rPr>
      </w:pPr>
      <w:r w:rsidRPr="001A7517">
        <w:rPr>
          <w:szCs w:val="18"/>
        </w:rPr>
        <w:t>6)</w:t>
      </w:r>
      <w:r w:rsidRPr="001A7517">
        <w:rPr>
          <w:szCs w:val="18"/>
        </w:rPr>
        <w:tab/>
        <w:t xml:space="preserve">The supplier may submit its IDSE report in lieu of its system-specific study plan on the schedule identified in Section 611.920(c) for submission of the system-specific study plan if the supplier believes that it has the necessary information </w:t>
      </w:r>
      <w:r w:rsidRPr="001A7517">
        <w:t>before</w:t>
      </w:r>
      <w:r w:rsidRPr="001A7517">
        <w:rPr>
          <w:szCs w:val="18"/>
        </w:rPr>
        <w:t xml:space="preserve"> the time that the system-specific study plan is due.  If the supplier elects this approach, its IDSE report must also include all information required under subsection (a).</w:t>
      </w:r>
    </w:p>
    <w:p w14:paraId="22606F5D" w14:textId="77777777" w:rsidR="00F0626C" w:rsidRPr="001A7517" w:rsidRDefault="00F0626C" w:rsidP="00F0626C">
      <w:pPr>
        <w:spacing w:before="240"/>
        <w:ind w:left="2160" w:hanging="720"/>
        <w:rPr>
          <w:szCs w:val="18"/>
        </w:rPr>
      </w:pPr>
      <w:r w:rsidRPr="001A7517">
        <w:rPr>
          <w:szCs w:val="18"/>
        </w:rPr>
        <w:t>7)</w:t>
      </w:r>
      <w:r w:rsidRPr="001A7517">
        <w:rPr>
          <w:szCs w:val="18"/>
        </w:rPr>
        <w:tab/>
        <w:t xml:space="preserve">The supplier must retain a complete copy of its IDSE report submitted under this Section for </w:t>
      </w:r>
      <w:r w:rsidRPr="001A7517">
        <w:t xml:space="preserve">ten </w:t>
      </w:r>
      <w:r w:rsidRPr="001A7517">
        <w:rPr>
          <w:szCs w:val="18"/>
        </w:rPr>
        <w:t xml:space="preserve">years after the date that the supplier submitted its IDSE report.  If the Agency modifies the </w:t>
      </w:r>
      <w:r w:rsidRPr="001A7517">
        <w:t>Subpart Y</w:t>
      </w:r>
      <w:r w:rsidRPr="001A7517">
        <w:rPr>
          <w:szCs w:val="18"/>
        </w:rPr>
        <w:t xml:space="preserve"> monitoring requirements that the supplier recommended in the supplier’s IDSE report or if the Agency approves alternative monitoring locations, the supplier must keep a copy of the Agency’s notification on file for </w:t>
      </w:r>
      <w:r w:rsidRPr="001A7517">
        <w:t xml:space="preserve">ten </w:t>
      </w:r>
      <w:r w:rsidRPr="001A7517">
        <w:rPr>
          <w:szCs w:val="18"/>
        </w:rPr>
        <w:t>years after the date of the Agency’s notification.  The supplier must make the IDSE report and any Agency notification available for review by the Agency or the public.</w:t>
      </w:r>
    </w:p>
    <w:p w14:paraId="689D0864" w14:textId="77777777" w:rsidR="00F0626C" w:rsidRPr="001A7517" w:rsidRDefault="00F0626C" w:rsidP="00F0626C">
      <w:pPr>
        <w:spacing w:before="240"/>
      </w:pPr>
      <w:r w:rsidRPr="001A7517">
        <w:t>BOARD NOTE:  Derived from 40 CFR 141.602.</w:t>
      </w:r>
    </w:p>
    <w:p w14:paraId="6B57DAB6" w14:textId="656AFA72" w:rsidR="00F0626C" w:rsidRDefault="00F0626C" w:rsidP="00E021AB">
      <w:pPr>
        <w:suppressAutoHyphens/>
        <w:ind w:left="720"/>
      </w:pPr>
      <w:r w:rsidRPr="001A7517">
        <w:lastRenderedPageBreak/>
        <w:t>(Source:  A</w:t>
      </w:r>
      <w:r w:rsidRPr="001A7517">
        <w:rPr>
          <w:szCs w:val="17"/>
        </w:rPr>
        <w:t xml:space="preserve">mended at </w:t>
      </w:r>
      <w:r w:rsidRPr="001A7517">
        <w:t>44 Ill. Reg. 6996, effective April 17, 2020)</w:t>
      </w:r>
    </w:p>
    <w:p w14:paraId="5416D256" w14:textId="77777777" w:rsidR="00E021AB" w:rsidRPr="001A7517" w:rsidRDefault="00E021AB" w:rsidP="00E021AB">
      <w:pPr>
        <w:suppressAutoHyphens/>
        <w:ind w:left="720"/>
      </w:pPr>
    </w:p>
    <w:p w14:paraId="7F42750B" w14:textId="77777777" w:rsidR="00F0626C" w:rsidRPr="003B4362" w:rsidRDefault="00F0626C" w:rsidP="00E021AB">
      <w:pPr>
        <w:rPr>
          <w:b/>
          <w:bCs/>
        </w:rPr>
      </w:pPr>
      <w:r w:rsidRPr="003B4362">
        <w:rPr>
          <w:b/>
          <w:bCs/>
        </w:rPr>
        <w:t>Section 611.923  40/30 Certification</w:t>
      </w:r>
    </w:p>
    <w:p w14:paraId="33911A03" w14:textId="77777777" w:rsidR="00F0626C" w:rsidRPr="003B4362" w:rsidRDefault="00F0626C" w:rsidP="00F0626C">
      <w:pPr>
        <w:spacing w:before="240"/>
        <w:ind w:left="1440" w:hanging="720"/>
        <w:rPr>
          <w:szCs w:val="18"/>
        </w:rPr>
      </w:pPr>
      <w:r w:rsidRPr="003B4362">
        <w:t>a)</w:t>
      </w:r>
      <w:r w:rsidRPr="003B4362">
        <w:tab/>
      </w:r>
      <w:r w:rsidRPr="003B4362">
        <w:rPr>
          <w:iCs/>
          <w:szCs w:val="18"/>
        </w:rPr>
        <w:t xml:space="preserve">Eligibility.  </w:t>
      </w:r>
      <w:r w:rsidRPr="003B4362">
        <w:rPr>
          <w:szCs w:val="18"/>
        </w:rPr>
        <w:t>A</w:t>
      </w:r>
      <w:bookmarkStart w:id="4404" w:name="_Hlk134017006"/>
      <w:r w:rsidRPr="003B4362">
        <w:rPr>
          <w:szCs w:val="18"/>
        </w:rPr>
        <w:t xml:space="preserve"> supplier was eligible</w:t>
      </w:r>
      <w:bookmarkEnd w:id="4404"/>
      <w:r w:rsidRPr="003B4362">
        <w:rPr>
          <w:szCs w:val="18"/>
        </w:rPr>
        <w:t xml:space="preserve"> for 40/30 certification if it had no TTHM or HAA5 monitoring violations under Subpart I and no individual sample exceeded 0.040 mg/</w:t>
      </w:r>
      <w:r w:rsidRPr="003B4362">
        <w:t xml:space="preserve"> L</w:t>
      </w:r>
      <w:r w:rsidRPr="003B4362">
        <w:rPr>
          <w:szCs w:val="18"/>
        </w:rPr>
        <w:t xml:space="preserve"> for TTHM or 0.030 mg/</w:t>
      </w:r>
      <w:r w:rsidRPr="003B4362">
        <w:t xml:space="preserve"> L</w:t>
      </w:r>
      <w:r w:rsidRPr="003B4362">
        <w:rPr>
          <w:szCs w:val="18"/>
        </w:rPr>
        <w:t xml:space="preserve"> for HAA5 during an eight consecutive calendar quarter </w:t>
      </w:r>
      <w:bookmarkStart w:id="4405" w:name="_Hlk134017044"/>
      <w:r w:rsidRPr="003B4362">
        <w:rPr>
          <w:szCs w:val="18"/>
        </w:rPr>
        <w:t>period implementing this Subpart W</w:t>
      </w:r>
      <w:bookmarkEnd w:id="4405"/>
      <w:r w:rsidRPr="003B4362">
        <w:rPr>
          <w:szCs w:val="18"/>
        </w:rPr>
        <w:t>.</w:t>
      </w:r>
      <w:r w:rsidRPr="003B4362">
        <w:t xml:space="preserve">  Eligibility for 40/30 </w:t>
      </w:r>
      <w:bookmarkStart w:id="4406" w:name="_Hlk134017126"/>
      <w:r w:rsidRPr="003B4362">
        <w:t>certification required eight</w:t>
      </w:r>
      <w:bookmarkEnd w:id="4406"/>
      <w:r w:rsidRPr="003B4362">
        <w:t xml:space="preserve"> consecutive calendar quarters of </w:t>
      </w:r>
      <w:r w:rsidRPr="003B4362">
        <w:rPr>
          <w:szCs w:val="18"/>
        </w:rPr>
        <w:t>Subpart I</w:t>
      </w:r>
      <w:r w:rsidRPr="003B4362">
        <w:t xml:space="preserve"> compliance monitoring results, unless </w:t>
      </w:r>
      <w:bookmarkStart w:id="4407" w:name="_Hlk134017158"/>
      <w:r w:rsidRPr="003B4362">
        <w:rPr>
          <w:szCs w:val="18"/>
        </w:rPr>
        <w:t>the supplier</w:t>
      </w:r>
      <w:r w:rsidRPr="003B4362">
        <w:t xml:space="preserve"> </w:t>
      </w:r>
      <w:r w:rsidRPr="003B4362">
        <w:rPr>
          <w:szCs w:val="18"/>
        </w:rPr>
        <w:t xml:space="preserve">was </w:t>
      </w:r>
      <w:r w:rsidRPr="003B4362">
        <w:t xml:space="preserve">on reduced monitoring under </w:t>
      </w:r>
      <w:r w:rsidRPr="003B4362">
        <w:rPr>
          <w:szCs w:val="18"/>
        </w:rPr>
        <w:t xml:space="preserve">Subpart I </w:t>
      </w:r>
      <w:r w:rsidRPr="003B4362">
        <w:t>and needed not monitor</w:t>
      </w:r>
      <w:bookmarkEnd w:id="4407"/>
      <w:r w:rsidRPr="003B4362">
        <w:t xml:space="preserve">.  If </w:t>
      </w:r>
      <w:r w:rsidRPr="003B4362">
        <w:rPr>
          <w:szCs w:val="18"/>
        </w:rPr>
        <w:t>the supplier</w:t>
      </w:r>
      <w:r w:rsidRPr="003B4362">
        <w:t xml:space="preserve"> did not monitor, </w:t>
      </w:r>
      <w:bookmarkStart w:id="4408" w:name="_Hlk134017200"/>
      <w:r w:rsidRPr="003B4362">
        <w:rPr>
          <w:szCs w:val="18"/>
        </w:rPr>
        <w:t>the supplier</w:t>
      </w:r>
      <w:r w:rsidRPr="003B4362">
        <w:t xml:space="preserve"> was to base </w:t>
      </w:r>
      <w:r w:rsidRPr="003B4362">
        <w:rPr>
          <w:szCs w:val="18"/>
        </w:rPr>
        <w:t>its</w:t>
      </w:r>
      <w:r w:rsidRPr="003B4362">
        <w:t xml:space="preserve"> eligibility</w:t>
      </w:r>
      <w:bookmarkEnd w:id="4408"/>
      <w:r w:rsidRPr="003B4362">
        <w:t xml:space="preserve"> on compliance </w:t>
      </w:r>
      <w:bookmarkStart w:id="4409" w:name="_Hlk134017277"/>
      <w:r w:rsidRPr="003B4362">
        <w:t>samples during the preceding 12 months</w:t>
      </w:r>
      <w:bookmarkEnd w:id="4409"/>
      <w:r w:rsidRPr="003B4362">
        <w:t>.</w:t>
      </w:r>
    </w:p>
    <w:p w14:paraId="609FB809" w14:textId="77777777" w:rsidR="00F0626C" w:rsidRPr="003B4362" w:rsidRDefault="00F0626C" w:rsidP="00F0626C">
      <w:pPr>
        <w:spacing w:before="240"/>
        <w:ind w:left="1440"/>
        <w:rPr>
          <w:szCs w:val="10"/>
        </w:rPr>
      </w:pPr>
      <w:r w:rsidRPr="003B4362">
        <w:rPr>
          <w:szCs w:val="10"/>
        </w:rPr>
        <w:t>BOARD NOTE:  I</w:t>
      </w:r>
      <w:bookmarkStart w:id="4410" w:name="_Hlk134017343"/>
      <w:r w:rsidRPr="003B4362">
        <w:rPr>
          <w:szCs w:val="10"/>
        </w:rPr>
        <w:t>mplementing this Subpart W</w:t>
      </w:r>
      <w:bookmarkEnd w:id="4410"/>
      <w:r w:rsidRPr="003B4362">
        <w:rPr>
          <w:szCs w:val="10"/>
        </w:rPr>
        <w:t xml:space="preserve"> occurred in stages </w:t>
      </w:r>
      <w:bookmarkStart w:id="4411" w:name="_Hlk134017386"/>
      <w:r w:rsidRPr="003B4362">
        <w:rPr>
          <w:szCs w:val="10"/>
        </w:rPr>
        <w:t>from October 1, 2006 through October 1, 2014</w:t>
      </w:r>
      <w:bookmarkEnd w:id="4411"/>
      <w:r w:rsidRPr="003B4362">
        <w:rPr>
          <w:szCs w:val="10"/>
        </w:rPr>
        <w:t xml:space="preserve">.  The </w:t>
      </w:r>
      <w:bookmarkStart w:id="4412" w:name="_Hlk134017435"/>
      <w:r w:rsidRPr="003B4362">
        <w:rPr>
          <w:szCs w:val="10"/>
        </w:rPr>
        <w:t>monitoring for 40/30 certification began</w:t>
      </w:r>
      <w:bookmarkEnd w:id="4412"/>
      <w:r w:rsidRPr="003B4362">
        <w:rPr>
          <w:szCs w:val="10"/>
        </w:rPr>
        <w:t xml:space="preserve"> either January 2004 or January 2005, depending on population served and other factors.  See 40 CFR 141.600(c) and 141.603(a).  The Board removed the now-obsolete implementation dates.</w:t>
      </w:r>
    </w:p>
    <w:p w14:paraId="6A640E07" w14:textId="77777777" w:rsidR="00F0626C" w:rsidRPr="003B4362" w:rsidRDefault="00F0626C" w:rsidP="00F0626C">
      <w:pPr>
        <w:spacing w:before="240"/>
        <w:ind w:left="1440" w:hanging="720"/>
        <w:rPr>
          <w:szCs w:val="18"/>
        </w:rPr>
      </w:pPr>
      <w:r w:rsidRPr="003B4362">
        <w:t>b)</w:t>
      </w:r>
      <w:r w:rsidRPr="003B4362">
        <w:tab/>
      </w:r>
      <w:r w:rsidRPr="003B4362">
        <w:rPr>
          <w:iCs/>
          <w:szCs w:val="18"/>
        </w:rPr>
        <w:t>40/30 Certification</w:t>
      </w:r>
    </w:p>
    <w:p w14:paraId="1B7B1DCD" w14:textId="77777777" w:rsidR="00F0626C" w:rsidRPr="003B4362" w:rsidRDefault="00F0626C" w:rsidP="00F0626C">
      <w:pPr>
        <w:spacing w:before="240"/>
        <w:ind w:left="2160" w:hanging="720"/>
        <w:rPr>
          <w:szCs w:val="18"/>
        </w:rPr>
      </w:pPr>
      <w:r w:rsidRPr="003B4362">
        <w:rPr>
          <w:szCs w:val="18"/>
        </w:rPr>
        <w:t>1)</w:t>
      </w:r>
      <w:r w:rsidRPr="003B4362">
        <w:rPr>
          <w:szCs w:val="18"/>
        </w:rPr>
        <w:tab/>
        <w:t>A</w:t>
      </w:r>
      <w:bookmarkStart w:id="4413" w:name="_Hlk134017718"/>
      <w:r w:rsidRPr="003B4362">
        <w:rPr>
          <w:szCs w:val="18"/>
        </w:rPr>
        <w:t xml:space="preserve"> supplier was to certify</w:t>
      </w:r>
      <w:bookmarkEnd w:id="4413"/>
      <w:r w:rsidRPr="003B4362">
        <w:rPr>
          <w:szCs w:val="18"/>
        </w:rPr>
        <w:t xml:space="preserve"> to the Agency </w:t>
      </w:r>
      <w:bookmarkStart w:id="4414" w:name="_Hlk134017766"/>
      <w:r w:rsidRPr="003B4362">
        <w:rPr>
          <w:szCs w:val="18"/>
        </w:rPr>
        <w:t>that no compliance sample under Subpart I during the applicable period under subsection (a) exceeded 0.040 mg/</w:t>
      </w:r>
      <w:r w:rsidRPr="003B4362">
        <w:t xml:space="preserve"> L</w:t>
      </w:r>
      <w:r w:rsidRPr="003B4362">
        <w:rPr>
          <w:szCs w:val="18"/>
        </w:rPr>
        <w:t xml:space="preserve"> for TTHM or 0.030 mg/</w:t>
      </w:r>
      <w:r w:rsidRPr="003B4362">
        <w:t xml:space="preserve"> L</w:t>
      </w:r>
      <w:r w:rsidRPr="003B4362">
        <w:rPr>
          <w:szCs w:val="18"/>
        </w:rPr>
        <w:t xml:space="preserve"> for HAA5</w:t>
      </w:r>
      <w:bookmarkEnd w:id="4414"/>
      <w:r w:rsidRPr="003B4362">
        <w:rPr>
          <w:szCs w:val="18"/>
        </w:rPr>
        <w:t xml:space="preserve">, </w:t>
      </w:r>
      <w:bookmarkStart w:id="4415" w:name="_Hlk134018209"/>
      <w:r w:rsidRPr="003B4362">
        <w:rPr>
          <w:szCs w:val="18"/>
        </w:rPr>
        <w:t>and the supplier had no TTHM</w:t>
      </w:r>
      <w:bookmarkEnd w:id="4415"/>
      <w:r w:rsidRPr="003B4362">
        <w:rPr>
          <w:szCs w:val="18"/>
        </w:rPr>
        <w:t xml:space="preserve"> or HAA5 monitoring violations during </w:t>
      </w:r>
      <w:bookmarkStart w:id="4416" w:name="_Hlk134018297"/>
      <w:r w:rsidRPr="003B4362">
        <w:rPr>
          <w:szCs w:val="18"/>
        </w:rPr>
        <w:t>the period under subsection (a)</w:t>
      </w:r>
      <w:bookmarkEnd w:id="4416"/>
      <w:r w:rsidRPr="003B4362">
        <w:rPr>
          <w:szCs w:val="18"/>
        </w:rPr>
        <w:t>.</w:t>
      </w:r>
    </w:p>
    <w:p w14:paraId="5D331398" w14:textId="0BAFBC4E" w:rsidR="00F0626C" w:rsidRDefault="00F0626C" w:rsidP="00F0626C">
      <w:pPr>
        <w:spacing w:before="240"/>
        <w:ind w:left="2160" w:hanging="720"/>
        <w:rPr>
          <w:szCs w:val="18"/>
        </w:rPr>
      </w:pPr>
      <w:r w:rsidRPr="003B4362">
        <w:rPr>
          <w:szCs w:val="18"/>
        </w:rPr>
        <w:t>2)</w:t>
      </w:r>
      <w:r w:rsidRPr="003B4362">
        <w:rPr>
          <w:szCs w:val="18"/>
        </w:rPr>
        <w:tab/>
        <w:t>T</w:t>
      </w:r>
      <w:bookmarkStart w:id="4417" w:name="_Hlk134018349"/>
      <w:r w:rsidRPr="003B4362">
        <w:rPr>
          <w:szCs w:val="18"/>
        </w:rPr>
        <w:t>he Agency could require</w:t>
      </w:r>
      <w:bookmarkEnd w:id="4417"/>
      <w:r w:rsidRPr="003B4362">
        <w:rPr>
          <w:szCs w:val="18"/>
        </w:rPr>
        <w:t xml:space="preserve"> the supplier to submit compliance monitoring results, distribution system schematics, or recommended </w:t>
      </w:r>
      <w:r w:rsidRPr="003B4362">
        <w:t>Subpart Y</w:t>
      </w:r>
      <w:r w:rsidRPr="003B4362">
        <w:rPr>
          <w:szCs w:val="18"/>
        </w:rPr>
        <w:t xml:space="preserve"> compliance monitoring locations in addition to the supplier’s certification.  If </w:t>
      </w:r>
      <w:bookmarkStart w:id="4418" w:name="_Hlk134018401"/>
      <w:r w:rsidRPr="003B4362">
        <w:rPr>
          <w:szCs w:val="18"/>
        </w:rPr>
        <w:t>the supplier failed to submit the Agency-requested information</w:t>
      </w:r>
      <w:bookmarkEnd w:id="4418"/>
      <w:r w:rsidRPr="003B4362">
        <w:rPr>
          <w:szCs w:val="18"/>
        </w:rPr>
        <w:t>, the Agency could require standard monitoring under Section 611.921 or a system-specific study under Section 611.922.</w:t>
      </w:r>
    </w:p>
    <w:p w14:paraId="6FD7B98D" w14:textId="77777777" w:rsidR="00F0626C" w:rsidRPr="003B4362" w:rsidRDefault="00F0626C" w:rsidP="00F0626C">
      <w:pPr>
        <w:spacing w:before="240"/>
        <w:ind w:left="2160" w:hanging="720"/>
        <w:rPr>
          <w:szCs w:val="18"/>
        </w:rPr>
      </w:pPr>
    </w:p>
    <w:p w14:paraId="507A73F3" w14:textId="77777777" w:rsidR="00F0626C" w:rsidRPr="003B4362" w:rsidRDefault="00F0626C" w:rsidP="00F0626C">
      <w:pPr>
        <w:ind w:left="2160" w:hanging="720"/>
        <w:rPr>
          <w:szCs w:val="18"/>
        </w:rPr>
      </w:pPr>
      <w:r w:rsidRPr="003B4362">
        <w:rPr>
          <w:szCs w:val="18"/>
        </w:rPr>
        <w:t>3)</w:t>
      </w:r>
      <w:r w:rsidRPr="003B4362">
        <w:rPr>
          <w:szCs w:val="18"/>
        </w:rPr>
        <w:tab/>
        <w:t xml:space="preserve">The Agency could </w:t>
      </w:r>
      <w:bookmarkStart w:id="4419" w:name="_Hlk134018518"/>
      <w:r w:rsidRPr="003B4362">
        <w:rPr>
          <w:szCs w:val="18"/>
        </w:rPr>
        <w:t xml:space="preserve">still </w:t>
      </w:r>
      <w:bookmarkEnd w:id="4419"/>
      <w:r w:rsidRPr="003B4362">
        <w:rPr>
          <w:szCs w:val="18"/>
        </w:rPr>
        <w:t xml:space="preserve">require standard monitoring under Section 611.921 or a system-specific study under Section 611.922 even if </w:t>
      </w:r>
      <w:bookmarkStart w:id="4420" w:name="_Hlk134018564"/>
      <w:r w:rsidRPr="003B4362">
        <w:rPr>
          <w:szCs w:val="18"/>
        </w:rPr>
        <w:t>the supplier met the criteria</w:t>
      </w:r>
      <w:bookmarkEnd w:id="4420"/>
      <w:r w:rsidRPr="003B4362">
        <w:rPr>
          <w:szCs w:val="18"/>
        </w:rPr>
        <w:t xml:space="preserve"> in subsection (a).</w:t>
      </w:r>
    </w:p>
    <w:p w14:paraId="04BEFF48" w14:textId="77777777" w:rsidR="00F0626C" w:rsidRPr="003B4362" w:rsidRDefault="00F0626C" w:rsidP="00F0626C">
      <w:pPr>
        <w:ind w:left="2160" w:hanging="720"/>
        <w:rPr>
          <w:szCs w:val="18"/>
        </w:rPr>
      </w:pPr>
    </w:p>
    <w:p w14:paraId="2E542401" w14:textId="77777777" w:rsidR="00F0626C" w:rsidRPr="003B4362" w:rsidRDefault="00F0626C" w:rsidP="00F0626C">
      <w:pPr>
        <w:ind w:left="2160" w:hanging="720"/>
        <w:rPr>
          <w:szCs w:val="18"/>
        </w:rPr>
      </w:pPr>
      <w:r w:rsidRPr="003B4362">
        <w:rPr>
          <w:szCs w:val="18"/>
        </w:rPr>
        <w:t>4)</w:t>
      </w:r>
      <w:r w:rsidRPr="003B4362">
        <w:rPr>
          <w:szCs w:val="18"/>
        </w:rPr>
        <w:tab/>
        <w:t>T</w:t>
      </w:r>
      <w:bookmarkStart w:id="4421" w:name="_Hlk134018652"/>
      <w:r w:rsidRPr="003B4362">
        <w:rPr>
          <w:szCs w:val="18"/>
        </w:rPr>
        <w:t>he supplier was to retain</w:t>
      </w:r>
      <w:bookmarkEnd w:id="4421"/>
      <w:r w:rsidRPr="003B4362">
        <w:rPr>
          <w:szCs w:val="18"/>
        </w:rPr>
        <w:t xml:space="preserve"> a complete </w:t>
      </w:r>
      <w:bookmarkStart w:id="4422" w:name="_Hlk134018707"/>
      <w:r w:rsidRPr="003B4362">
        <w:rPr>
          <w:szCs w:val="18"/>
        </w:rPr>
        <w:t>copy of its certification under this Section</w:t>
      </w:r>
      <w:bookmarkEnd w:id="4422"/>
      <w:r w:rsidRPr="003B4362">
        <w:rPr>
          <w:szCs w:val="18"/>
        </w:rPr>
        <w:t xml:space="preserve"> for </w:t>
      </w:r>
      <w:r w:rsidRPr="003B4362">
        <w:t xml:space="preserve">ten </w:t>
      </w:r>
      <w:r w:rsidRPr="003B4362">
        <w:rPr>
          <w:szCs w:val="18"/>
        </w:rPr>
        <w:t xml:space="preserve">years </w:t>
      </w:r>
      <w:bookmarkStart w:id="4423" w:name="_Hlk134018743"/>
      <w:r w:rsidRPr="003B4362">
        <w:rPr>
          <w:szCs w:val="18"/>
        </w:rPr>
        <w:t>after submitting it to the Agency</w:t>
      </w:r>
      <w:bookmarkEnd w:id="4423"/>
      <w:r w:rsidRPr="003B4362">
        <w:rPr>
          <w:szCs w:val="18"/>
        </w:rPr>
        <w:t>.  T</w:t>
      </w:r>
      <w:bookmarkStart w:id="4424" w:name="_Hlk134018815"/>
      <w:r w:rsidRPr="003B4362">
        <w:rPr>
          <w:szCs w:val="18"/>
        </w:rPr>
        <w:t>he supplier was to make the certification</w:t>
      </w:r>
      <w:bookmarkEnd w:id="4424"/>
      <w:r w:rsidRPr="003B4362">
        <w:rPr>
          <w:szCs w:val="18"/>
        </w:rPr>
        <w:t xml:space="preserve">, all data </w:t>
      </w:r>
      <w:bookmarkStart w:id="4425" w:name="_Hlk134018860"/>
      <w:r w:rsidRPr="003B4362">
        <w:rPr>
          <w:szCs w:val="18"/>
        </w:rPr>
        <w:t>upon which it based the certification</w:t>
      </w:r>
      <w:bookmarkEnd w:id="4425"/>
      <w:r w:rsidRPr="003B4362">
        <w:rPr>
          <w:szCs w:val="18"/>
        </w:rPr>
        <w:t xml:space="preserve">, and any Agency notification </w:t>
      </w:r>
      <w:bookmarkStart w:id="4426" w:name="_Hlk134018936"/>
      <w:r w:rsidRPr="003B4362">
        <w:rPr>
          <w:szCs w:val="18"/>
        </w:rPr>
        <w:t>available for Agency or public review</w:t>
      </w:r>
      <w:bookmarkEnd w:id="4426"/>
      <w:r w:rsidRPr="003B4362">
        <w:rPr>
          <w:szCs w:val="18"/>
        </w:rPr>
        <w:t>.</w:t>
      </w:r>
    </w:p>
    <w:p w14:paraId="6CF612B4" w14:textId="77777777" w:rsidR="00F0626C" w:rsidRPr="003B4362" w:rsidRDefault="00F0626C" w:rsidP="00F0626C">
      <w:pPr>
        <w:spacing w:before="240"/>
      </w:pPr>
      <w:r w:rsidRPr="003B4362">
        <w:lastRenderedPageBreak/>
        <w:t xml:space="preserve">BOARD NOTE:  </w:t>
      </w:r>
      <w:r w:rsidRPr="003B4362">
        <w:rPr>
          <w:spacing w:val="-3"/>
        </w:rPr>
        <w:t xml:space="preserve">This Section derives </w:t>
      </w:r>
      <w:r w:rsidRPr="003B4362">
        <w:t>from 40 CFR 141.603.  Although this Section is an implementing provision with compliance deadlines long past, the Board removed the obsolete compliance dates but retained the rule in past-tense to avoid a gap in the Illinois rules.</w:t>
      </w:r>
    </w:p>
    <w:p w14:paraId="37386326" w14:textId="77777777" w:rsidR="00F0626C" w:rsidRPr="003B4362" w:rsidRDefault="00F0626C" w:rsidP="00F0626C">
      <w:pPr>
        <w:suppressAutoHyphens/>
        <w:spacing w:before="240"/>
        <w:ind w:left="720"/>
      </w:pPr>
      <w:r w:rsidRPr="003B4362">
        <w:t xml:space="preserve">(Source:  Amended at 47 Ill. Reg. </w:t>
      </w:r>
      <w:r>
        <w:t>16486</w:t>
      </w:r>
      <w:r w:rsidRPr="003B4362">
        <w:t xml:space="preserve">, effective </w:t>
      </w:r>
      <w:r>
        <w:t>November 2, 2023</w:t>
      </w:r>
      <w:r w:rsidRPr="003B4362">
        <w:t>)</w:t>
      </w:r>
    </w:p>
    <w:p w14:paraId="3FE6E2EC" w14:textId="77777777" w:rsidR="00F0626C" w:rsidRPr="001A7517" w:rsidRDefault="00F0626C" w:rsidP="00F0626C">
      <w:pPr>
        <w:keepNext/>
        <w:keepLines/>
        <w:spacing w:before="240" w:after="240"/>
        <w:ind w:left="2160" w:hanging="2160"/>
        <w:rPr>
          <w:b/>
        </w:rPr>
      </w:pPr>
      <w:r w:rsidRPr="001A7517">
        <w:rPr>
          <w:b/>
        </w:rPr>
        <w:t>Section 611.924  Very Small System Waivers</w:t>
      </w:r>
    </w:p>
    <w:p w14:paraId="179C40F1" w14:textId="77777777" w:rsidR="00F0626C" w:rsidRPr="001A7517" w:rsidRDefault="00F0626C" w:rsidP="00F0626C">
      <w:pPr>
        <w:spacing w:before="240" w:after="240"/>
        <w:ind w:left="1440" w:hanging="720"/>
        <w:rPr>
          <w:szCs w:val="18"/>
        </w:rPr>
      </w:pPr>
      <w:r w:rsidRPr="001A7517">
        <w:t>a)</w:t>
      </w:r>
      <w:r w:rsidRPr="001A7517">
        <w:tab/>
      </w:r>
      <w:r w:rsidRPr="001A7517">
        <w:rPr>
          <w:szCs w:val="18"/>
        </w:rPr>
        <w:t>If the supplier serves fewer than 500 people and it has taken TTHM and HAA5 samples under Subpart I, the supplier is not required to comply with this Subpart W unless the Agency notifies the supplier, by a SEP, that it must conduct standard monitoring under Section 611.921 or a system-specific study under Section 611.922.</w:t>
      </w:r>
    </w:p>
    <w:p w14:paraId="607422C8" w14:textId="77777777" w:rsidR="00F0626C" w:rsidRPr="001A7517" w:rsidRDefault="00F0626C" w:rsidP="00F0626C">
      <w:pPr>
        <w:spacing w:before="240" w:after="240"/>
        <w:ind w:left="1440" w:hanging="720"/>
        <w:rPr>
          <w:szCs w:val="18"/>
        </w:rPr>
      </w:pPr>
      <w:r w:rsidRPr="001A7517">
        <w:rPr>
          <w:szCs w:val="18"/>
        </w:rPr>
        <w:t>b)</w:t>
      </w:r>
      <w:r w:rsidRPr="001A7517">
        <w:rPr>
          <w:szCs w:val="18"/>
        </w:rPr>
        <w:tab/>
        <w:t xml:space="preserve">If the supplier has not taken TTHM and HAA5 samples under Subpart I or if the Agency notifies the supplier, by a SEP, that it must comply with this Subpart W, the supplier must conduct standard monitoring </w:t>
      </w:r>
      <w:bookmarkStart w:id="4427" w:name="_Hlk26283950"/>
      <w:r w:rsidRPr="001A7517">
        <w:rPr>
          <w:szCs w:val="18"/>
        </w:rPr>
        <w:t>under</w:t>
      </w:r>
      <w:bookmarkEnd w:id="4427"/>
      <w:r w:rsidRPr="001A7517">
        <w:rPr>
          <w:szCs w:val="18"/>
        </w:rPr>
        <w:t xml:space="preserve"> Section 611.921 or a system-specific study under Section 611.922.</w:t>
      </w:r>
    </w:p>
    <w:p w14:paraId="62674C90" w14:textId="77777777" w:rsidR="00F0626C" w:rsidRPr="001A7517" w:rsidRDefault="00F0626C" w:rsidP="00F0626C">
      <w:pPr>
        <w:spacing w:before="240" w:after="240"/>
      </w:pPr>
      <w:r w:rsidRPr="001A7517">
        <w:t>BOARD NOTE:  Derived from 40 CFR 141.604.</w:t>
      </w:r>
    </w:p>
    <w:p w14:paraId="2FF11E75"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502A48CB" w14:textId="77777777" w:rsidR="00F0626C" w:rsidRPr="001A7517" w:rsidRDefault="00F0626C" w:rsidP="00F0626C">
      <w:pPr>
        <w:keepNext/>
        <w:keepLines/>
        <w:suppressAutoHyphens/>
        <w:spacing w:before="240"/>
        <w:outlineLvl w:val="3"/>
        <w:rPr>
          <w:b/>
        </w:rPr>
      </w:pPr>
      <w:r w:rsidRPr="001A7517">
        <w:rPr>
          <w:b/>
        </w:rPr>
        <w:t>Section 611.925  Subpart Y Compliance Monitoring Location Recommendations</w:t>
      </w:r>
    </w:p>
    <w:p w14:paraId="013768DE" w14:textId="77777777" w:rsidR="00F0626C" w:rsidRPr="001A7517" w:rsidRDefault="00F0626C" w:rsidP="00F0626C">
      <w:pPr>
        <w:suppressAutoHyphens/>
        <w:spacing w:before="240"/>
        <w:ind w:left="1440" w:hanging="720"/>
        <w:rPr>
          <w:szCs w:val="18"/>
        </w:rPr>
      </w:pPr>
      <w:r w:rsidRPr="001A7517">
        <w:t>a)</w:t>
      </w:r>
      <w:r w:rsidRPr="001A7517">
        <w:tab/>
      </w:r>
      <w:r w:rsidRPr="001A7517">
        <w:rPr>
          <w:szCs w:val="18"/>
        </w:rPr>
        <w:t xml:space="preserve">A supplier’s IDSE report must include its recommendations and justification for where and during what months it will conduct TTHM and HAA5 monitoring for </w:t>
      </w:r>
      <w:r w:rsidRPr="001A7517">
        <w:t>Subpart Y</w:t>
      </w:r>
      <w:r w:rsidRPr="001A7517">
        <w:rPr>
          <w:szCs w:val="18"/>
        </w:rPr>
        <w:t>.  The supplier must base its recommendations on the criteria set forth in subsections (b) through (e).</w:t>
      </w:r>
    </w:p>
    <w:p w14:paraId="45BECD50" w14:textId="77777777" w:rsidR="00F0626C" w:rsidRPr="001A7517" w:rsidRDefault="00F0626C" w:rsidP="00F0626C">
      <w:pPr>
        <w:spacing w:before="240"/>
        <w:ind w:left="1440" w:hanging="720"/>
        <w:rPr>
          <w:szCs w:val="18"/>
        </w:rPr>
      </w:pPr>
      <w:r w:rsidRPr="001A7517">
        <w:rPr>
          <w:szCs w:val="18"/>
        </w:rPr>
        <w:t>b)</w:t>
      </w:r>
      <w:r w:rsidRPr="001A7517">
        <w:rPr>
          <w:szCs w:val="18"/>
        </w:rPr>
        <w:tab/>
        <w:t xml:space="preserve">The supplier must select the number of monitoring locations specified in the applicable of subsections (b)(1) through (b)(13), subject to the limitations of subsections (b)(14) and (b)(15).  The supplier will use these recommended locations as </w:t>
      </w:r>
      <w:r w:rsidRPr="001A7517">
        <w:t>Subpart Y</w:t>
      </w:r>
      <w:r w:rsidRPr="001A7517">
        <w:rPr>
          <w:szCs w:val="18"/>
        </w:rPr>
        <w:t xml:space="preserve"> routine compliance monitoring locations, unless the Agency requires different or additional locations.  The supplier should distribute locations throughout the distribution system to the extent possible.</w:t>
      </w:r>
    </w:p>
    <w:p w14:paraId="43D74689" w14:textId="77777777" w:rsidR="00F0626C" w:rsidRPr="001A7517" w:rsidRDefault="00F0626C" w:rsidP="00F0626C">
      <w:pPr>
        <w:spacing w:before="240"/>
        <w:ind w:left="2160" w:hanging="720"/>
        <w:rPr>
          <w:szCs w:val="18"/>
        </w:rPr>
      </w:pPr>
      <w:r w:rsidRPr="001A7517">
        <w:rPr>
          <w:szCs w:val="18"/>
        </w:rPr>
        <w:t>1)</w:t>
      </w:r>
      <w:r w:rsidRPr="001A7517">
        <w:rPr>
          <w:szCs w:val="18"/>
        </w:rPr>
        <w:tab/>
      </w:r>
      <w:r w:rsidRPr="001A7517">
        <w:t>A Subpart B system supplier that serves fewer than 500 persons must annually collect samples from two monitoring locations:  one sample from the highest TTHM location and one sample from the highest HAA5 location</w:t>
      </w:r>
      <w:r w:rsidRPr="001A7517">
        <w:rPr>
          <w:szCs w:val="18"/>
        </w:rPr>
        <w:t>.</w:t>
      </w:r>
    </w:p>
    <w:p w14:paraId="34B9DE38" w14:textId="77777777" w:rsidR="00F0626C" w:rsidRPr="001A7517" w:rsidRDefault="00F0626C" w:rsidP="00F0626C">
      <w:pPr>
        <w:spacing w:before="240"/>
        <w:ind w:left="2160" w:hanging="720"/>
        <w:rPr>
          <w:szCs w:val="18"/>
        </w:rPr>
      </w:pPr>
      <w:r w:rsidRPr="001A7517">
        <w:rPr>
          <w:szCs w:val="18"/>
        </w:rPr>
        <w:t>2)</w:t>
      </w:r>
      <w:r w:rsidRPr="001A7517">
        <w:rPr>
          <w:szCs w:val="18"/>
        </w:rPr>
        <w:tab/>
      </w:r>
      <w:r w:rsidRPr="001A7517">
        <w:t>A Subpart B system supplier that serves 500 to 3,300 persons must quarterly collect samples from two monitoring locations:  one sample from the highest TTHM location and one sample from the highest HAA5 location</w:t>
      </w:r>
      <w:r w:rsidRPr="001A7517">
        <w:rPr>
          <w:szCs w:val="18"/>
        </w:rPr>
        <w:t>.</w:t>
      </w:r>
    </w:p>
    <w:p w14:paraId="598EEC20" w14:textId="77777777" w:rsidR="00F0626C" w:rsidRPr="001A7517" w:rsidRDefault="00F0626C" w:rsidP="00F0626C">
      <w:pPr>
        <w:spacing w:before="240"/>
        <w:ind w:left="2160" w:hanging="720"/>
        <w:rPr>
          <w:szCs w:val="18"/>
        </w:rPr>
      </w:pPr>
      <w:r w:rsidRPr="001A7517">
        <w:rPr>
          <w:szCs w:val="18"/>
        </w:rPr>
        <w:lastRenderedPageBreak/>
        <w:t>3)</w:t>
      </w:r>
      <w:r w:rsidRPr="001A7517">
        <w:rPr>
          <w:szCs w:val="18"/>
        </w:rPr>
        <w:tab/>
      </w:r>
      <w:r w:rsidRPr="001A7517">
        <w:t>A Subpart B system supplier that serves 3,301 to 9,999 persons must quarterly collect samples from two monitoring locations:  one sample from the highest TTHM location and one sample from the highest HAA5 location</w:t>
      </w:r>
      <w:r w:rsidRPr="001A7517">
        <w:rPr>
          <w:szCs w:val="18"/>
        </w:rPr>
        <w:t>.</w:t>
      </w:r>
    </w:p>
    <w:p w14:paraId="5B056309" w14:textId="77777777" w:rsidR="00F0626C" w:rsidRPr="001A7517" w:rsidRDefault="00F0626C" w:rsidP="00F0626C">
      <w:pPr>
        <w:spacing w:before="240"/>
        <w:ind w:left="2160" w:hanging="720"/>
        <w:rPr>
          <w:szCs w:val="18"/>
        </w:rPr>
      </w:pPr>
      <w:r w:rsidRPr="001A7517">
        <w:rPr>
          <w:szCs w:val="18"/>
        </w:rPr>
        <w:t>4)</w:t>
      </w:r>
      <w:r w:rsidRPr="001A7517">
        <w:rPr>
          <w:szCs w:val="18"/>
        </w:rPr>
        <w:tab/>
      </w:r>
      <w:r w:rsidRPr="001A7517">
        <w:t>A Subpart B system supplier that serves 10,000 to 49,999 persons must quarterly collect samples from four monitoring locations:  two samples from the highest TTHM locations, one sample from the highest HAA5 location, and one sample from an existing Subpart I compliance location</w:t>
      </w:r>
      <w:r w:rsidRPr="001A7517">
        <w:rPr>
          <w:szCs w:val="18"/>
        </w:rPr>
        <w:t>.</w:t>
      </w:r>
    </w:p>
    <w:p w14:paraId="78B5412F" w14:textId="77777777" w:rsidR="00F0626C" w:rsidRPr="001A7517" w:rsidRDefault="00F0626C" w:rsidP="00F0626C">
      <w:pPr>
        <w:spacing w:before="240"/>
        <w:ind w:left="2160" w:hanging="720"/>
        <w:rPr>
          <w:szCs w:val="18"/>
        </w:rPr>
      </w:pPr>
      <w:r w:rsidRPr="001A7517">
        <w:rPr>
          <w:szCs w:val="18"/>
        </w:rPr>
        <w:t>5)</w:t>
      </w:r>
      <w:r w:rsidRPr="001A7517">
        <w:rPr>
          <w:szCs w:val="18"/>
        </w:rPr>
        <w:tab/>
      </w:r>
      <w:r w:rsidRPr="001A7517">
        <w:t>A Subpart B system supplier that serves 50,000 to 249,999 persons must quarterly collect samples from eight monitoring locations:  three samples from the highest TTHM location, three samples from the highest HAA5 locations, and two samples from existing Subpart I compliance locations</w:t>
      </w:r>
      <w:r w:rsidRPr="001A7517">
        <w:rPr>
          <w:szCs w:val="18"/>
        </w:rPr>
        <w:t>.</w:t>
      </w:r>
    </w:p>
    <w:p w14:paraId="5C929E03" w14:textId="77777777" w:rsidR="00F0626C" w:rsidRPr="001A7517" w:rsidRDefault="00F0626C" w:rsidP="00F0626C">
      <w:pPr>
        <w:spacing w:before="240"/>
        <w:ind w:left="2160" w:hanging="720"/>
        <w:rPr>
          <w:szCs w:val="18"/>
        </w:rPr>
      </w:pPr>
      <w:r w:rsidRPr="001A7517">
        <w:rPr>
          <w:szCs w:val="18"/>
        </w:rPr>
        <w:t>6)</w:t>
      </w:r>
      <w:r w:rsidRPr="001A7517">
        <w:rPr>
          <w:szCs w:val="18"/>
        </w:rPr>
        <w:tab/>
      </w:r>
      <w:r w:rsidRPr="001A7517">
        <w:t>A Subpart B system supplier that serves 250,000 to 999,999 persons must quarterly collect samples from 12 monitoring locations:  five samples from the highest TTHM location, four samples from the highest HAA5 locations, and three samples from existing Subpart I compliance locations</w:t>
      </w:r>
      <w:r w:rsidRPr="001A7517">
        <w:rPr>
          <w:szCs w:val="18"/>
        </w:rPr>
        <w:t>.</w:t>
      </w:r>
    </w:p>
    <w:p w14:paraId="7FC4AF54" w14:textId="77777777" w:rsidR="00F0626C" w:rsidRPr="001A7517" w:rsidRDefault="00F0626C" w:rsidP="00F0626C">
      <w:pPr>
        <w:spacing w:before="240"/>
        <w:ind w:left="2160" w:hanging="720"/>
        <w:rPr>
          <w:szCs w:val="18"/>
        </w:rPr>
      </w:pPr>
      <w:r w:rsidRPr="001A7517">
        <w:rPr>
          <w:szCs w:val="18"/>
        </w:rPr>
        <w:t>7)</w:t>
      </w:r>
      <w:r w:rsidRPr="001A7517">
        <w:rPr>
          <w:szCs w:val="18"/>
        </w:rPr>
        <w:tab/>
      </w:r>
      <w:r w:rsidRPr="001A7517">
        <w:t>A Subpart B system supplier that serves 1,000,000 to 4,999,999 persons must quarterly collect samples from 16 monitoring locations:  six samples from the highest TTHM location, six samples from the highest HAA5 locations, and four samples from existing Subpart I compliance locations</w:t>
      </w:r>
      <w:r w:rsidRPr="001A7517">
        <w:rPr>
          <w:szCs w:val="18"/>
        </w:rPr>
        <w:t>.</w:t>
      </w:r>
    </w:p>
    <w:p w14:paraId="37872C57" w14:textId="77777777" w:rsidR="00F0626C" w:rsidRPr="001A7517" w:rsidRDefault="00F0626C" w:rsidP="00F0626C">
      <w:pPr>
        <w:spacing w:before="240"/>
        <w:ind w:left="2160" w:hanging="720"/>
        <w:rPr>
          <w:szCs w:val="18"/>
        </w:rPr>
      </w:pPr>
      <w:r w:rsidRPr="001A7517">
        <w:rPr>
          <w:szCs w:val="18"/>
        </w:rPr>
        <w:t>8)</w:t>
      </w:r>
      <w:r w:rsidRPr="001A7517">
        <w:rPr>
          <w:szCs w:val="18"/>
        </w:rPr>
        <w:tab/>
      </w:r>
      <w:r w:rsidRPr="001A7517">
        <w:t>A Subpart B system supplier that serves more than 5,000,000 persons must quarterly collect samples from 20 monitoring locations:  eight samples from the highest TTHM location, seven samples from the highest HAA5 locations, and five samples from existing Subpart I compliance locations</w:t>
      </w:r>
      <w:r w:rsidRPr="001A7517">
        <w:rPr>
          <w:szCs w:val="18"/>
        </w:rPr>
        <w:t>.</w:t>
      </w:r>
    </w:p>
    <w:p w14:paraId="57BCE523" w14:textId="77777777" w:rsidR="00F0626C" w:rsidRPr="001A7517" w:rsidRDefault="00F0626C" w:rsidP="00F0626C">
      <w:pPr>
        <w:spacing w:before="240"/>
        <w:ind w:left="2160" w:hanging="720"/>
        <w:rPr>
          <w:szCs w:val="18"/>
        </w:rPr>
      </w:pPr>
      <w:r w:rsidRPr="001A7517">
        <w:rPr>
          <w:szCs w:val="18"/>
        </w:rPr>
        <w:t>9)</w:t>
      </w:r>
      <w:r w:rsidRPr="001A7517">
        <w:rPr>
          <w:szCs w:val="18"/>
        </w:rPr>
        <w:tab/>
      </w:r>
      <w:r w:rsidRPr="001A7517">
        <w:t>A groundwater system supplier that serves fewer than 500 persons must annually collect samples from two monitoring locations:  one sample from the highest TTHM location and one sample from the highest HAA5 location</w:t>
      </w:r>
      <w:r w:rsidRPr="001A7517">
        <w:rPr>
          <w:szCs w:val="18"/>
        </w:rPr>
        <w:t>.</w:t>
      </w:r>
    </w:p>
    <w:p w14:paraId="04AF6043" w14:textId="77777777" w:rsidR="00F0626C" w:rsidRPr="001A7517" w:rsidRDefault="00F0626C" w:rsidP="00F0626C">
      <w:pPr>
        <w:spacing w:before="240"/>
        <w:ind w:left="2160" w:hanging="720"/>
        <w:rPr>
          <w:szCs w:val="18"/>
        </w:rPr>
      </w:pPr>
      <w:r w:rsidRPr="001A7517">
        <w:rPr>
          <w:szCs w:val="18"/>
        </w:rPr>
        <w:t>10)</w:t>
      </w:r>
      <w:r w:rsidRPr="001A7517">
        <w:rPr>
          <w:szCs w:val="18"/>
        </w:rPr>
        <w:tab/>
      </w:r>
      <w:r w:rsidRPr="001A7517">
        <w:t>A groundwater system supplier that serves 500 to 9,999 persons must annually collect samples from two monitoring locations:  one sample from the highest TTHM location and one sample from the highest HAA5 location</w:t>
      </w:r>
      <w:r w:rsidRPr="001A7517">
        <w:rPr>
          <w:szCs w:val="18"/>
        </w:rPr>
        <w:t>.</w:t>
      </w:r>
    </w:p>
    <w:p w14:paraId="570C9712" w14:textId="77777777" w:rsidR="00F0626C" w:rsidRPr="001A7517" w:rsidRDefault="00F0626C" w:rsidP="00F0626C">
      <w:pPr>
        <w:spacing w:before="240"/>
        <w:ind w:left="2160" w:hanging="720"/>
        <w:rPr>
          <w:szCs w:val="18"/>
        </w:rPr>
      </w:pPr>
      <w:r w:rsidRPr="001A7517">
        <w:rPr>
          <w:szCs w:val="18"/>
        </w:rPr>
        <w:t>11)</w:t>
      </w:r>
      <w:r w:rsidRPr="001A7517">
        <w:rPr>
          <w:szCs w:val="18"/>
        </w:rPr>
        <w:tab/>
      </w:r>
      <w:r w:rsidRPr="001A7517">
        <w:t>A groundwater system supplier that serves 10,000 to 99,999 persons must quarterly collect samples from four monitoring locations:  two samples from the highest TTHM locations, one sample from the highest HAA5 location, and one sample from an existing Subpart I compliance location</w:t>
      </w:r>
      <w:r w:rsidRPr="001A7517">
        <w:rPr>
          <w:szCs w:val="18"/>
        </w:rPr>
        <w:t>.</w:t>
      </w:r>
    </w:p>
    <w:p w14:paraId="190C783D" w14:textId="77777777" w:rsidR="00F0626C" w:rsidRPr="001A7517" w:rsidRDefault="00F0626C" w:rsidP="00F0626C">
      <w:pPr>
        <w:spacing w:before="240"/>
        <w:ind w:left="2160" w:hanging="720"/>
        <w:rPr>
          <w:szCs w:val="18"/>
        </w:rPr>
      </w:pPr>
      <w:r w:rsidRPr="001A7517">
        <w:rPr>
          <w:szCs w:val="18"/>
        </w:rPr>
        <w:lastRenderedPageBreak/>
        <w:t>12)</w:t>
      </w:r>
      <w:r w:rsidRPr="001A7517">
        <w:rPr>
          <w:szCs w:val="18"/>
        </w:rPr>
        <w:tab/>
      </w:r>
      <w:r w:rsidRPr="001A7517">
        <w:t>A groundwater system supplier that serves 100,000 to 499,999 persons must quarterly collect samples from six monitoring locations:  three samples from the highest TTHM locations, two samples from the highest HAA5 locations, and one sample from an existing Subpart I compliance location</w:t>
      </w:r>
      <w:r w:rsidRPr="001A7517">
        <w:rPr>
          <w:szCs w:val="18"/>
        </w:rPr>
        <w:t>.</w:t>
      </w:r>
    </w:p>
    <w:p w14:paraId="0E6D88D1" w14:textId="77777777" w:rsidR="00F0626C" w:rsidRPr="001A7517" w:rsidRDefault="00F0626C" w:rsidP="00F0626C">
      <w:pPr>
        <w:spacing w:before="240"/>
        <w:ind w:left="2160" w:hanging="720"/>
        <w:rPr>
          <w:szCs w:val="18"/>
        </w:rPr>
      </w:pPr>
      <w:r w:rsidRPr="001A7517">
        <w:rPr>
          <w:szCs w:val="18"/>
        </w:rPr>
        <w:t>13)</w:t>
      </w:r>
      <w:r w:rsidRPr="001A7517">
        <w:rPr>
          <w:szCs w:val="18"/>
        </w:rPr>
        <w:tab/>
      </w:r>
      <w:r w:rsidRPr="001A7517">
        <w:t>A groundwater system supplier that serves more than 500,000 persons must quarterly collect samples from eight monitoring locations:  three samples from the highest TTHM locations, three samples from the highest HAA5 locations, and two samples from existing Subpart I compliance locations</w:t>
      </w:r>
      <w:r w:rsidRPr="001A7517">
        <w:rPr>
          <w:szCs w:val="18"/>
        </w:rPr>
        <w:t>.</w:t>
      </w:r>
    </w:p>
    <w:p w14:paraId="1B266670" w14:textId="77777777" w:rsidR="00F0626C" w:rsidRPr="001A7517" w:rsidRDefault="00F0626C" w:rsidP="00F0626C">
      <w:pPr>
        <w:spacing w:before="240"/>
        <w:ind w:left="2160" w:hanging="720"/>
        <w:rPr>
          <w:szCs w:val="18"/>
        </w:rPr>
      </w:pPr>
      <w:r w:rsidRPr="001A7517">
        <w:rPr>
          <w:szCs w:val="18"/>
        </w:rPr>
        <w:t>14)</w:t>
      </w:r>
      <w:r w:rsidRPr="001A7517">
        <w:rPr>
          <w:szCs w:val="18"/>
        </w:rPr>
        <w:tab/>
      </w:r>
      <w:r w:rsidRPr="001A7517">
        <w:t>The supplier must monitor during the month of highest DBP concentrations.</w:t>
      </w:r>
    </w:p>
    <w:p w14:paraId="2B34861E" w14:textId="77777777" w:rsidR="00F0626C" w:rsidRPr="001A7517" w:rsidRDefault="00F0626C" w:rsidP="00F0626C">
      <w:pPr>
        <w:spacing w:before="240"/>
        <w:ind w:left="2160" w:hanging="720"/>
        <w:rPr>
          <w:szCs w:val="18"/>
        </w:rPr>
      </w:pPr>
      <w:r w:rsidRPr="001A7517">
        <w:rPr>
          <w:szCs w:val="18"/>
        </w:rPr>
        <w:t>15)</w:t>
      </w:r>
      <w:r w:rsidRPr="001A7517">
        <w:rPr>
          <w:szCs w:val="18"/>
        </w:rPr>
        <w:tab/>
      </w:r>
      <w:r w:rsidRPr="001A7517">
        <w:t>A supplier on quarterly monitoring must take dual sample sets every 90 days at each monitoring location, except for a Subpart B system supplier that serves 500 to 3,300 persons.  A groundwater system supplier that serves 500 to 9,999 persons that is on annual monitoring must take dual sample sets at each monitoring location.  Any other supplier that is on annual monitoring or that is a Subpart B system supplier that serves 500 to 3,300 persons is required to take individual TTHM and HAA5 samples (instead of a dual sample set) at the locations with the highest TTHM and HAA5 concentrations, respectively.  For a supplier that serves fewer than 500 people, only one location with a dual sample set per monitoring period is needed if the highest TTHM and HAA5 concentrations occur at the same location and month.</w:t>
      </w:r>
    </w:p>
    <w:p w14:paraId="190A05EA" w14:textId="77777777" w:rsidR="00F0626C" w:rsidRPr="001A7517" w:rsidRDefault="00F0626C" w:rsidP="00F0626C">
      <w:pPr>
        <w:spacing w:before="240"/>
        <w:ind w:left="1440" w:hanging="720"/>
        <w:rPr>
          <w:szCs w:val="18"/>
        </w:rPr>
      </w:pPr>
      <w:r w:rsidRPr="001A7517">
        <w:t>c)</w:t>
      </w:r>
      <w:r w:rsidRPr="001A7517">
        <w:tab/>
      </w:r>
      <w:r w:rsidRPr="001A7517">
        <w:rPr>
          <w:szCs w:val="18"/>
        </w:rPr>
        <w:t xml:space="preserve">The supplier must recommend </w:t>
      </w:r>
      <w:r w:rsidRPr="001A7517">
        <w:t>Subpart Y</w:t>
      </w:r>
      <w:r w:rsidRPr="001A7517">
        <w:rPr>
          <w:szCs w:val="18"/>
        </w:rPr>
        <w:t xml:space="preserve"> compliance monitoring locations based on standard monitoring results, system-specific study results, and Subpart I compliance monitoring results.  The supplier must follow the protocol in subsections (c)(1) through (c)(8).  If required to monitor at more than eight locations, the supplier must repeat the protocol as necessary.  If the supplier does not have existing Subpart I compliance monitoring results or if the supplier does not have enough existing Subpart I compliance monitoring results, the supplier must repeat the protocol, skipping the provisions of subsections (c)(3) and (c)(7) as necessary, until the supplier has identified the required total number of monitoring locations.</w:t>
      </w:r>
    </w:p>
    <w:p w14:paraId="3091B3C1" w14:textId="77777777" w:rsidR="00F0626C" w:rsidRPr="001A7517" w:rsidRDefault="00F0626C" w:rsidP="00F0626C">
      <w:pPr>
        <w:spacing w:before="240"/>
        <w:ind w:left="2160" w:hanging="720"/>
        <w:rPr>
          <w:szCs w:val="18"/>
        </w:rPr>
      </w:pPr>
      <w:r w:rsidRPr="001A7517">
        <w:rPr>
          <w:szCs w:val="18"/>
        </w:rPr>
        <w:t>1)</w:t>
      </w:r>
      <w:r w:rsidRPr="001A7517">
        <w:rPr>
          <w:szCs w:val="18"/>
        </w:rPr>
        <w:tab/>
        <w:t xml:space="preserve">The location with the highest TTHM LRAA not previously selected as a </w:t>
      </w:r>
      <w:r w:rsidRPr="001A7517">
        <w:t>Subpart Y</w:t>
      </w:r>
      <w:r w:rsidRPr="001A7517">
        <w:rPr>
          <w:szCs w:val="18"/>
        </w:rPr>
        <w:t xml:space="preserve"> monitoring location.</w:t>
      </w:r>
    </w:p>
    <w:p w14:paraId="60A9D378" w14:textId="77777777" w:rsidR="00F0626C" w:rsidRPr="001A7517" w:rsidRDefault="00F0626C" w:rsidP="00F0626C">
      <w:pPr>
        <w:spacing w:before="240"/>
        <w:ind w:left="2160" w:hanging="720"/>
        <w:rPr>
          <w:szCs w:val="18"/>
        </w:rPr>
      </w:pPr>
      <w:r w:rsidRPr="001A7517">
        <w:rPr>
          <w:szCs w:val="18"/>
        </w:rPr>
        <w:t>2)</w:t>
      </w:r>
      <w:r w:rsidRPr="001A7517">
        <w:rPr>
          <w:szCs w:val="18"/>
        </w:rPr>
        <w:tab/>
        <w:t xml:space="preserve">The location with the highest HAA5 LRAA not previously selected as a </w:t>
      </w:r>
      <w:r w:rsidRPr="001A7517">
        <w:t>Subpart Y</w:t>
      </w:r>
      <w:r w:rsidRPr="001A7517">
        <w:rPr>
          <w:szCs w:val="18"/>
        </w:rPr>
        <w:t xml:space="preserve"> monitoring location.</w:t>
      </w:r>
    </w:p>
    <w:p w14:paraId="6E22930F" w14:textId="77777777" w:rsidR="00F0626C" w:rsidRPr="001A7517" w:rsidRDefault="00F0626C" w:rsidP="00F0626C">
      <w:pPr>
        <w:spacing w:before="240"/>
        <w:ind w:left="2160" w:hanging="720"/>
        <w:rPr>
          <w:szCs w:val="18"/>
        </w:rPr>
      </w:pPr>
      <w:r w:rsidRPr="001A7517">
        <w:rPr>
          <w:szCs w:val="18"/>
        </w:rPr>
        <w:lastRenderedPageBreak/>
        <w:t>3)</w:t>
      </w:r>
      <w:r w:rsidRPr="001A7517">
        <w:rPr>
          <w:szCs w:val="18"/>
        </w:rPr>
        <w:tab/>
        <w:t xml:space="preserve">The existing Subpart I average residence time compliance monitoring location (maximum residence time compliance monitoring location for a groundwater system) with the highest HAA5 LRAA not previously selected as a </w:t>
      </w:r>
      <w:r w:rsidRPr="001A7517">
        <w:t>Subpart Y</w:t>
      </w:r>
      <w:r w:rsidRPr="001A7517">
        <w:rPr>
          <w:szCs w:val="18"/>
        </w:rPr>
        <w:t xml:space="preserve"> monitoring location.</w:t>
      </w:r>
    </w:p>
    <w:p w14:paraId="3F7098F1" w14:textId="77777777" w:rsidR="00F0626C" w:rsidRPr="001A7517" w:rsidRDefault="00F0626C" w:rsidP="00F0626C">
      <w:pPr>
        <w:spacing w:before="240"/>
        <w:ind w:left="2160" w:hanging="720"/>
        <w:rPr>
          <w:szCs w:val="18"/>
        </w:rPr>
      </w:pPr>
      <w:r w:rsidRPr="001A7517">
        <w:rPr>
          <w:szCs w:val="18"/>
        </w:rPr>
        <w:t>4)</w:t>
      </w:r>
      <w:r w:rsidRPr="001A7517">
        <w:rPr>
          <w:szCs w:val="18"/>
        </w:rPr>
        <w:tab/>
        <w:t xml:space="preserve">The location with the highest TTHM LRAA not previously selected as a </w:t>
      </w:r>
      <w:r w:rsidRPr="001A7517">
        <w:t>Subpart Y</w:t>
      </w:r>
      <w:r w:rsidRPr="001A7517">
        <w:rPr>
          <w:szCs w:val="18"/>
        </w:rPr>
        <w:t xml:space="preserve"> monitoring location.</w:t>
      </w:r>
    </w:p>
    <w:p w14:paraId="5DA81E01" w14:textId="77777777" w:rsidR="00F0626C" w:rsidRPr="001A7517" w:rsidRDefault="00F0626C" w:rsidP="00F0626C">
      <w:pPr>
        <w:spacing w:before="240"/>
        <w:ind w:left="2160" w:hanging="720"/>
        <w:rPr>
          <w:szCs w:val="18"/>
        </w:rPr>
      </w:pPr>
      <w:r w:rsidRPr="001A7517">
        <w:rPr>
          <w:szCs w:val="18"/>
        </w:rPr>
        <w:t>5)</w:t>
      </w:r>
      <w:r w:rsidRPr="001A7517">
        <w:rPr>
          <w:szCs w:val="18"/>
        </w:rPr>
        <w:tab/>
        <w:t xml:space="preserve">The location with the highest TTHM LRAA not previously selected as a </w:t>
      </w:r>
      <w:r w:rsidRPr="001A7517">
        <w:t>Subpart Y</w:t>
      </w:r>
      <w:r w:rsidRPr="001A7517">
        <w:rPr>
          <w:szCs w:val="18"/>
        </w:rPr>
        <w:t xml:space="preserve"> monitoring location.</w:t>
      </w:r>
    </w:p>
    <w:p w14:paraId="1593FF02" w14:textId="77777777" w:rsidR="00F0626C" w:rsidRPr="001A7517" w:rsidRDefault="00F0626C" w:rsidP="00F0626C">
      <w:pPr>
        <w:spacing w:before="240"/>
        <w:ind w:left="2160" w:hanging="720"/>
        <w:rPr>
          <w:szCs w:val="18"/>
        </w:rPr>
      </w:pPr>
      <w:r w:rsidRPr="001A7517">
        <w:rPr>
          <w:szCs w:val="18"/>
        </w:rPr>
        <w:t>6)</w:t>
      </w:r>
      <w:r w:rsidRPr="001A7517">
        <w:rPr>
          <w:szCs w:val="18"/>
        </w:rPr>
        <w:tab/>
        <w:t xml:space="preserve">The location with the highest HAA5 LRAA not previously selected as a </w:t>
      </w:r>
      <w:r w:rsidRPr="001A7517">
        <w:t>Subpart Y</w:t>
      </w:r>
      <w:r w:rsidRPr="001A7517">
        <w:rPr>
          <w:szCs w:val="18"/>
        </w:rPr>
        <w:t xml:space="preserve"> monitoring location.</w:t>
      </w:r>
    </w:p>
    <w:p w14:paraId="69AA9FC1" w14:textId="77777777" w:rsidR="00F0626C" w:rsidRPr="001A7517" w:rsidRDefault="00F0626C" w:rsidP="00F0626C">
      <w:pPr>
        <w:spacing w:before="240"/>
        <w:ind w:left="2160" w:hanging="720"/>
        <w:rPr>
          <w:szCs w:val="18"/>
        </w:rPr>
      </w:pPr>
      <w:r w:rsidRPr="001A7517">
        <w:rPr>
          <w:szCs w:val="18"/>
        </w:rPr>
        <w:t>7)</w:t>
      </w:r>
      <w:r w:rsidRPr="001A7517">
        <w:rPr>
          <w:szCs w:val="18"/>
        </w:rPr>
        <w:tab/>
        <w:t xml:space="preserve">The existing Subpart I average residence time compliance monitoring location (maximum residence time compliance monitoring location for a groundwater system) with the highest TTHM LRAA not previously selected as a </w:t>
      </w:r>
      <w:r w:rsidRPr="001A7517">
        <w:t>Subpart Y</w:t>
      </w:r>
      <w:r w:rsidRPr="001A7517">
        <w:rPr>
          <w:szCs w:val="18"/>
        </w:rPr>
        <w:t xml:space="preserve"> monitoring location.</w:t>
      </w:r>
    </w:p>
    <w:p w14:paraId="51BF9983" w14:textId="77777777" w:rsidR="00F0626C" w:rsidRPr="001A7517" w:rsidRDefault="00F0626C" w:rsidP="00F0626C">
      <w:pPr>
        <w:spacing w:before="240"/>
        <w:ind w:left="2160" w:hanging="720"/>
        <w:rPr>
          <w:szCs w:val="18"/>
        </w:rPr>
      </w:pPr>
      <w:r w:rsidRPr="001A7517">
        <w:rPr>
          <w:szCs w:val="18"/>
        </w:rPr>
        <w:t>8)</w:t>
      </w:r>
      <w:r w:rsidRPr="001A7517">
        <w:rPr>
          <w:szCs w:val="18"/>
        </w:rPr>
        <w:tab/>
        <w:t xml:space="preserve">The location with the highest HAA5 LRAA not previously selected as a </w:t>
      </w:r>
      <w:r w:rsidRPr="001A7517">
        <w:t>Subpart Y</w:t>
      </w:r>
      <w:r w:rsidRPr="001A7517">
        <w:rPr>
          <w:szCs w:val="18"/>
        </w:rPr>
        <w:t xml:space="preserve"> monitoring location.</w:t>
      </w:r>
    </w:p>
    <w:p w14:paraId="3E710DBB" w14:textId="77777777" w:rsidR="00F0626C" w:rsidRPr="001A7517" w:rsidRDefault="00F0626C" w:rsidP="00F0626C">
      <w:pPr>
        <w:spacing w:before="240"/>
        <w:ind w:left="1440" w:hanging="720"/>
        <w:rPr>
          <w:szCs w:val="18"/>
        </w:rPr>
      </w:pPr>
      <w:r w:rsidRPr="001A7517">
        <w:rPr>
          <w:szCs w:val="18"/>
        </w:rPr>
        <w:t>d)</w:t>
      </w:r>
      <w:r w:rsidRPr="001A7517">
        <w:rPr>
          <w:szCs w:val="18"/>
        </w:rPr>
        <w:tab/>
        <w:t xml:space="preserve">The supplier may recommend locations other than those specified in subsection (c) if the supplier includes a rationale for selecting other locations.  If the Agency approves the alternative locations, the supplier must monitor at these locations to determine compliance under </w:t>
      </w:r>
      <w:r w:rsidRPr="001A7517">
        <w:t>Subpart Y</w:t>
      </w:r>
      <w:r w:rsidRPr="001A7517">
        <w:rPr>
          <w:szCs w:val="18"/>
        </w:rPr>
        <w:t>.</w:t>
      </w:r>
    </w:p>
    <w:p w14:paraId="1228A24B" w14:textId="77777777" w:rsidR="00F0626C" w:rsidRPr="001A7517" w:rsidRDefault="00F0626C" w:rsidP="00F0626C">
      <w:pPr>
        <w:spacing w:before="240"/>
        <w:ind w:left="1440" w:hanging="720"/>
        <w:rPr>
          <w:szCs w:val="18"/>
        </w:rPr>
      </w:pPr>
      <w:r w:rsidRPr="001A7517">
        <w:rPr>
          <w:szCs w:val="18"/>
        </w:rPr>
        <w:t>e)</w:t>
      </w:r>
      <w:r w:rsidRPr="001A7517">
        <w:rPr>
          <w:szCs w:val="18"/>
        </w:rPr>
        <w:tab/>
        <w:t xml:space="preserve">The supplier’s recommended schedule must include </w:t>
      </w:r>
      <w:r w:rsidRPr="001A7517">
        <w:t>Subpart Y</w:t>
      </w:r>
      <w:r w:rsidRPr="001A7517">
        <w:rPr>
          <w:szCs w:val="18"/>
        </w:rPr>
        <w:t xml:space="preserve"> monitoring during the peak historical month for TTHM and HAA5 concentration, unless the Agency approves another month.  Once the supplier has identified the peak historical month, and if the supplier is required to conduct routine monitoring at least quarterly, the supplier must schedule </w:t>
      </w:r>
      <w:r w:rsidRPr="001A7517">
        <w:t>Subpart Y</w:t>
      </w:r>
      <w:r w:rsidRPr="001A7517">
        <w:rPr>
          <w:szCs w:val="18"/>
        </w:rPr>
        <w:t xml:space="preserve"> compliance monitoring at a regular frequency of every 90 or fewer days.</w:t>
      </w:r>
    </w:p>
    <w:p w14:paraId="3BE6C52D" w14:textId="77777777" w:rsidR="00F0626C" w:rsidRPr="001A7517" w:rsidRDefault="00F0626C" w:rsidP="00F0626C">
      <w:pPr>
        <w:spacing w:before="240"/>
      </w:pPr>
      <w:r w:rsidRPr="001A7517">
        <w:t>BOARD NOTE:  Derived from 40 CFR 141.605.</w:t>
      </w:r>
    </w:p>
    <w:p w14:paraId="1F273674" w14:textId="77777777" w:rsidR="00F0626C" w:rsidRPr="001A7517" w:rsidRDefault="00F0626C" w:rsidP="00F0626C">
      <w:pPr>
        <w:suppressAutoHyphens/>
        <w:spacing w:before="240" w:after="240"/>
        <w:ind w:left="720"/>
      </w:pPr>
      <w:r w:rsidRPr="001A7517">
        <w:t>(Source:  A</w:t>
      </w:r>
      <w:r w:rsidRPr="001A7517">
        <w:rPr>
          <w:szCs w:val="17"/>
        </w:rPr>
        <w:t xml:space="preserve">mended at </w:t>
      </w:r>
      <w:r w:rsidRPr="001A7517">
        <w:t>42 Ill. Reg. 1140, effective January 4, 2018)</w:t>
      </w:r>
    </w:p>
    <w:p w14:paraId="3E60B138" w14:textId="77777777" w:rsidR="00F0626C" w:rsidRPr="001A7517" w:rsidRDefault="00F0626C" w:rsidP="00F0626C">
      <w:pPr>
        <w:keepNext/>
        <w:keepLines/>
        <w:suppressAutoHyphens/>
        <w:spacing w:before="240"/>
        <w:ind w:left="720" w:right="720"/>
        <w:jc w:val="center"/>
      </w:pPr>
      <w:r w:rsidRPr="001A7517">
        <w:t xml:space="preserve">SUBPART X:  </w:t>
      </w:r>
      <w:bookmarkStart w:id="4428" w:name="_Hlk37100071"/>
      <w:r w:rsidRPr="001A7517">
        <w:t>ENHANCED FILTRATION AND DISINFECTION—</w:t>
      </w:r>
    </w:p>
    <w:p w14:paraId="1E7B8A36" w14:textId="77777777" w:rsidR="00F0626C" w:rsidRPr="001A7517" w:rsidRDefault="00F0626C" w:rsidP="00F0626C">
      <w:pPr>
        <w:keepNext/>
        <w:keepLines/>
        <w:suppressAutoHyphens/>
        <w:ind w:left="720" w:right="720"/>
        <w:jc w:val="center"/>
      </w:pPr>
      <w:r w:rsidRPr="001A7517">
        <w:t>SYSTEMS SERVING FEWER THAN 10,000 PEOPLE</w:t>
      </w:r>
      <w:bookmarkEnd w:id="4428"/>
    </w:p>
    <w:p w14:paraId="0471FD6E" w14:textId="77777777" w:rsidR="00F0626C" w:rsidRPr="001A7517" w:rsidRDefault="00F0626C" w:rsidP="00F0626C">
      <w:pPr>
        <w:keepNext/>
        <w:keepLines/>
        <w:suppressAutoHyphens/>
        <w:spacing w:before="240"/>
        <w:rPr>
          <w:b/>
        </w:rPr>
      </w:pPr>
      <w:r w:rsidRPr="001A7517">
        <w:rPr>
          <w:b/>
        </w:rPr>
        <w:t xml:space="preserve">Section </w:t>
      </w:r>
      <w:bookmarkStart w:id="4429" w:name="_Hlk27062879"/>
      <w:r w:rsidRPr="001A7517">
        <w:rPr>
          <w:b/>
        </w:rPr>
        <w:t>611.950</w:t>
      </w:r>
      <w:bookmarkEnd w:id="4429"/>
      <w:r w:rsidRPr="001A7517">
        <w:rPr>
          <w:b/>
        </w:rPr>
        <w:t xml:space="preserve">  General Requirements</w:t>
      </w:r>
    </w:p>
    <w:p w14:paraId="24142733" w14:textId="77777777" w:rsidR="00F0626C" w:rsidRPr="001A7517" w:rsidRDefault="00F0626C" w:rsidP="00F0626C">
      <w:pPr>
        <w:spacing w:before="240"/>
        <w:ind w:left="1440" w:hanging="720"/>
      </w:pPr>
      <w:r w:rsidRPr="001A7517">
        <w:t>a)</w:t>
      </w:r>
      <w:r w:rsidRPr="001A7517">
        <w:tab/>
        <w:t xml:space="preserve">The requirements of this Subpart X constitute national primary drinking water regulations.  These regulations establish requirements for filtration and disinfection that are in addition to criteria under which filtration and disinfection </w:t>
      </w:r>
      <w:r w:rsidRPr="001A7517">
        <w:lastRenderedPageBreak/>
        <w:t>are required under Subpart B.  The regulations in this Subpart X establish or extend treatment technique requirements in lieu of maximum contaminant levels for the following contaminants:  Giardia lamblia, viruses, heterotrophic plate count bacteria, Legionella, Cryptosporidium, and turbidity.  The treatment technique requirements consist of installing and properly operating water treatment processes that reliably achieve the following:</w:t>
      </w:r>
    </w:p>
    <w:p w14:paraId="343098E2" w14:textId="77777777" w:rsidR="00F0626C" w:rsidRPr="001A7517" w:rsidRDefault="00F0626C" w:rsidP="00F0626C">
      <w:pPr>
        <w:spacing w:before="240"/>
        <w:ind w:left="2160" w:hanging="720"/>
      </w:pPr>
      <w:r w:rsidRPr="001A7517">
        <w:t>1)</w:t>
      </w:r>
      <w:r w:rsidRPr="001A7517">
        <w:tab/>
        <w:t>At least 99 percent (2-log) removal of Cryptosporidium between a point where the raw water is not subject to recontamination by surface water runoff and a point downstream before or at the first customer for filtered systems, or Cryptosporidium control under the watershed control plan for unfiltered systems; and</w:t>
      </w:r>
    </w:p>
    <w:p w14:paraId="4765E946" w14:textId="77777777" w:rsidR="00F0626C" w:rsidRPr="001A7517" w:rsidRDefault="00F0626C" w:rsidP="00F0626C">
      <w:pPr>
        <w:spacing w:before="240"/>
        <w:ind w:left="2160" w:hanging="720"/>
      </w:pPr>
      <w:r w:rsidRPr="001A7517">
        <w:t>2)</w:t>
      </w:r>
      <w:r w:rsidRPr="001A7517">
        <w:tab/>
        <w:t>Compliance with the profiling and benchmark requirements in Sections 611.953 and 611.954.</w:t>
      </w:r>
    </w:p>
    <w:p w14:paraId="2BB2EDBC" w14:textId="77777777" w:rsidR="00F0626C" w:rsidRPr="001A7517" w:rsidRDefault="00F0626C" w:rsidP="00F0626C">
      <w:pPr>
        <w:spacing w:before="240"/>
        <w:ind w:left="1440" w:hanging="720"/>
      </w:pPr>
      <w:r w:rsidRPr="001A7517">
        <w:t>b)</w:t>
      </w:r>
      <w:r w:rsidRPr="001A7517">
        <w:tab/>
        <w:t>Applicability of the Subpart X Requirements.  A supplier is subject to these requirements if the following is true of its system:</w:t>
      </w:r>
    </w:p>
    <w:p w14:paraId="0A570DD5" w14:textId="77777777" w:rsidR="00F0626C" w:rsidRPr="001A7517" w:rsidRDefault="00F0626C" w:rsidP="00F0626C">
      <w:pPr>
        <w:spacing w:before="240"/>
        <w:ind w:left="2160" w:hanging="720"/>
      </w:pPr>
      <w:r w:rsidRPr="001A7517">
        <w:t>1)</w:t>
      </w:r>
      <w:r w:rsidRPr="001A7517">
        <w:tab/>
        <w:t>Is a public water system;</w:t>
      </w:r>
    </w:p>
    <w:p w14:paraId="48BA5143" w14:textId="77777777" w:rsidR="00F0626C" w:rsidRPr="001A7517" w:rsidRDefault="00F0626C" w:rsidP="00F0626C">
      <w:pPr>
        <w:spacing w:before="240"/>
        <w:ind w:left="2160" w:hanging="720"/>
      </w:pPr>
      <w:r w:rsidRPr="001A7517">
        <w:t>2)</w:t>
      </w:r>
      <w:r w:rsidRPr="001A7517">
        <w:tab/>
        <w:t>Uses surface water or groundwater under the direct influence of surface water as a source; and</w:t>
      </w:r>
    </w:p>
    <w:p w14:paraId="2ECC499D" w14:textId="77777777" w:rsidR="00F0626C" w:rsidRPr="001A7517" w:rsidRDefault="00F0626C" w:rsidP="00F0626C">
      <w:pPr>
        <w:spacing w:before="240"/>
        <w:ind w:left="2160" w:hanging="720"/>
      </w:pPr>
      <w:r w:rsidRPr="001A7517">
        <w:t>3)</w:t>
      </w:r>
      <w:r w:rsidRPr="001A7517">
        <w:tab/>
        <w:t>Serves fewer than 10,000 persons.</w:t>
      </w:r>
    </w:p>
    <w:p w14:paraId="6E30D071" w14:textId="77777777" w:rsidR="00F0626C" w:rsidRPr="001A7517" w:rsidRDefault="00F0626C" w:rsidP="00F0626C">
      <w:pPr>
        <w:spacing w:before="240"/>
        <w:ind w:left="1440" w:hanging="720"/>
      </w:pPr>
      <w:r w:rsidRPr="001A7517">
        <w:t>c)</w:t>
      </w:r>
      <w:r w:rsidRPr="001A7517">
        <w:tab/>
        <w:t>This subsection (c) corresponds with 40 CFR 141.502, which includes a past implementation date.  This statement maintains structural consistency with the corresponding federal provision.</w:t>
      </w:r>
    </w:p>
    <w:p w14:paraId="61B97908" w14:textId="77777777" w:rsidR="00F0626C" w:rsidRPr="001A7517" w:rsidRDefault="00F0626C" w:rsidP="00F0626C">
      <w:pPr>
        <w:spacing w:before="240"/>
        <w:ind w:left="1440" w:hanging="720"/>
      </w:pPr>
      <w:r w:rsidRPr="001A7517">
        <w:t>d)</w:t>
      </w:r>
      <w:r w:rsidRPr="001A7517">
        <w:tab/>
        <w:t>Subpart X Requirements.  There are seven requirements of this Subpart X, and a supplier must comply with all requirements that are applicable to its system.  These requirements are the following:</w:t>
      </w:r>
    </w:p>
    <w:p w14:paraId="23651D05" w14:textId="77777777" w:rsidR="00F0626C" w:rsidRPr="001A7517" w:rsidRDefault="00F0626C" w:rsidP="00F0626C">
      <w:pPr>
        <w:spacing w:before="240"/>
        <w:ind w:left="2160" w:hanging="720"/>
      </w:pPr>
      <w:r w:rsidRPr="001A7517">
        <w:t>1)</w:t>
      </w:r>
      <w:r w:rsidRPr="001A7517">
        <w:tab/>
        <w:t>The supplier must cover any finished water reservoir that the supplier began to construct on or after March 15, 2002, as described in Section 611.951;</w:t>
      </w:r>
    </w:p>
    <w:p w14:paraId="79171EFB" w14:textId="77777777" w:rsidR="00F0626C" w:rsidRPr="001A7517" w:rsidRDefault="00F0626C" w:rsidP="00F0626C">
      <w:pPr>
        <w:spacing w:before="240"/>
        <w:ind w:left="2160" w:hanging="720"/>
      </w:pPr>
      <w:r w:rsidRPr="001A7517">
        <w:t>2)</w:t>
      </w:r>
      <w:r w:rsidRPr="001A7517">
        <w:tab/>
        <w:t>If the supplier’s system is an unfiltered system, the supplier must comply with the updated watershed control requirements described in Section 611.952;</w:t>
      </w:r>
    </w:p>
    <w:p w14:paraId="070C7F0B" w14:textId="77777777" w:rsidR="00F0626C" w:rsidRPr="001A7517" w:rsidRDefault="00F0626C" w:rsidP="00F0626C">
      <w:pPr>
        <w:spacing w:before="240"/>
        <w:ind w:left="2160" w:hanging="720"/>
      </w:pPr>
      <w:r w:rsidRPr="001A7517">
        <w:t>3)</w:t>
      </w:r>
      <w:r w:rsidRPr="001A7517">
        <w:tab/>
        <w:t>If the supplier’s system is a community or non-transient non-community water system the supplier must develop a disinfection profile, as described in Section 611.953;</w:t>
      </w:r>
    </w:p>
    <w:p w14:paraId="05728637" w14:textId="77777777" w:rsidR="00F0626C" w:rsidRPr="001A7517" w:rsidRDefault="00F0626C" w:rsidP="00F0626C">
      <w:pPr>
        <w:spacing w:before="240"/>
        <w:ind w:left="2160" w:hanging="720"/>
      </w:pPr>
      <w:r w:rsidRPr="001A7517">
        <w:lastRenderedPageBreak/>
        <w:t>4)</w:t>
      </w:r>
      <w:r w:rsidRPr="001A7517">
        <w:tab/>
        <w:t>If the supplier’s system is considering making a significant change to its disinfection practices, the supplier must develop a disinfection benchmark and consult with the Agency for approval of the change, as described in Section 611.954;</w:t>
      </w:r>
    </w:p>
    <w:p w14:paraId="1593AED2" w14:textId="77777777" w:rsidR="00F0626C" w:rsidRPr="001A7517" w:rsidRDefault="00F0626C" w:rsidP="00F0626C">
      <w:pPr>
        <w:spacing w:before="240"/>
        <w:ind w:left="2160" w:hanging="720"/>
      </w:pPr>
      <w:r w:rsidRPr="001A7517">
        <w:t>5)</w:t>
      </w:r>
      <w:r w:rsidRPr="001A7517">
        <w:tab/>
        <w:t>If the supplier’s system is a filtered system, the supplier must comply with the combined filter effluent requirements, as described in Section 611.955;</w:t>
      </w:r>
    </w:p>
    <w:p w14:paraId="5DA662AA" w14:textId="77777777" w:rsidR="00F0626C" w:rsidRPr="001A7517" w:rsidRDefault="00F0626C" w:rsidP="00F0626C">
      <w:pPr>
        <w:spacing w:before="240"/>
        <w:ind w:left="2160" w:hanging="720"/>
      </w:pPr>
      <w:r w:rsidRPr="001A7517">
        <w:t>6)</w:t>
      </w:r>
      <w:r w:rsidRPr="001A7517">
        <w:tab/>
        <w:t>If the supplier’s system is a filtered system that uses conventional or direct filtration, the supplier must comply with the individual filter turbidity requirements, as described in Section 611.956; and</w:t>
      </w:r>
    </w:p>
    <w:p w14:paraId="5323EC52" w14:textId="77777777" w:rsidR="00F0626C" w:rsidRPr="001A7517" w:rsidRDefault="00F0626C" w:rsidP="00F0626C">
      <w:pPr>
        <w:spacing w:before="240"/>
        <w:ind w:left="2160" w:hanging="720"/>
      </w:pPr>
      <w:r w:rsidRPr="001A7517">
        <w:t>7)</w:t>
      </w:r>
      <w:r w:rsidRPr="001A7517">
        <w:tab/>
        <w:t>The supplier must comply with the applicable reporting and recordkeeping requirements, as described in Section 611.957.</w:t>
      </w:r>
    </w:p>
    <w:p w14:paraId="242DFA74" w14:textId="77777777" w:rsidR="00F0626C" w:rsidRPr="001A7517" w:rsidRDefault="00F0626C" w:rsidP="00F0626C">
      <w:pPr>
        <w:spacing w:before="240"/>
      </w:pPr>
      <w:r w:rsidRPr="001A7517">
        <w:t>BOARD NOTE:  Derived from 40 CFR 141.500 through 141.503.</w:t>
      </w:r>
    </w:p>
    <w:p w14:paraId="12EE06DD"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508A1424" w14:textId="77777777" w:rsidR="00F0626C" w:rsidRPr="001A7517" w:rsidRDefault="00F0626C" w:rsidP="00F0626C">
      <w:pPr>
        <w:keepNext/>
        <w:keepLines/>
        <w:suppressAutoHyphens/>
        <w:spacing w:before="240"/>
        <w:rPr>
          <w:b/>
        </w:rPr>
      </w:pPr>
      <w:r w:rsidRPr="001A7517">
        <w:rPr>
          <w:b/>
        </w:rPr>
        <w:t>Section 611.951  Finished Water Reservoirs</w:t>
      </w:r>
    </w:p>
    <w:p w14:paraId="5C338A55" w14:textId="77777777" w:rsidR="00F0626C" w:rsidRPr="001A7517" w:rsidRDefault="00F0626C" w:rsidP="00F0626C">
      <w:pPr>
        <w:spacing w:before="240"/>
        <w:ind w:left="1440" w:hanging="720"/>
      </w:pPr>
      <w:r w:rsidRPr="001A7517">
        <w:t>a)</w:t>
      </w:r>
      <w:r w:rsidRPr="001A7517">
        <w:tab/>
        <w:t>Applicability.  A Subpart B system supplier that serves fewer than 10,000 persons is subject to this requirement.</w:t>
      </w:r>
    </w:p>
    <w:p w14:paraId="404ED63D" w14:textId="77777777" w:rsidR="00F0626C" w:rsidRPr="001A7517" w:rsidRDefault="00F0626C" w:rsidP="00F0626C">
      <w:pPr>
        <w:spacing w:before="240"/>
        <w:ind w:left="1440" w:hanging="720"/>
      </w:pPr>
      <w:r w:rsidRPr="001A7517">
        <w:t>b)</w:t>
      </w:r>
      <w:r w:rsidRPr="001A7517">
        <w:tab/>
        <w:t>Requirements.  If a supplier begins construction of a finished water reservoir on or after March 15, 2002, the reservoir must be covered.  A finished water reservoir for which a supplier began construction prior to March 15, 2002 is not subject to this requirement.</w:t>
      </w:r>
    </w:p>
    <w:p w14:paraId="2B7DC990" w14:textId="77777777" w:rsidR="00F0626C" w:rsidRPr="001A7517" w:rsidRDefault="00F0626C" w:rsidP="00F0626C">
      <w:pPr>
        <w:spacing w:before="240"/>
      </w:pPr>
      <w:r w:rsidRPr="001A7517">
        <w:t>BOARD NOTE:  Derived from 40 CFR 141.510 and 141.511.</w:t>
      </w:r>
    </w:p>
    <w:p w14:paraId="13AA6644" w14:textId="77777777" w:rsidR="00F0626C" w:rsidRPr="001A7517" w:rsidRDefault="00F0626C" w:rsidP="00F0626C">
      <w:pPr>
        <w:suppressAutoHyphens/>
        <w:spacing w:before="240"/>
        <w:ind w:left="720"/>
      </w:pPr>
      <w:r w:rsidRPr="001A7517">
        <w:t>(Source:  A</w:t>
      </w:r>
      <w:r w:rsidRPr="001A7517">
        <w:rPr>
          <w:szCs w:val="17"/>
        </w:rPr>
        <w:t xml:space="preserve">dded at </w:t>
      </w:r>
      <w:r w:rsidRPr="001A7517">
        <w:t>27 Ill. Reg. 1183, effective January 10, 2003)</w:t>
      </w:r>
    </w:p>
    <w:p w14:paraId="0B220716" w14:textId="77777777" w:rsidR="00F0626C" w:rsidRPr="001A7517" w:rsidRDefault="00F0626C" w:rsidP="00F0626C">
      <w:pPr>
        <w:keepNext/>
        <w:keepLines/>
        <w:suppressAutoHyphens/>
        <w:spacing w:before="240"/>
        <w:rPr>
          <w:b/>
        </w:rPr>
      </w:pPr>
      <w:r w:rsidRPr="001A7517">
        <w:rPr>
          <w:b/>
        </w:rPr>
        <w:t xml:space="preserve">Section </w:t>
      </w:r>
      <w:bookmarkStart w:id="4430" w:name="_Hlk27062889"/>
      <w:r w:rsidRPr="001A7517">
        <w:rPr>
          <w:b/>
        </w:rPr>
        <w:t>611.952</w:t>
      </w:r>
      <w:bookmarkEnd w:id="4430"/>
      <w:r w:rsidRPr="001A7517">
        <w:rPr>
          <w:b/>
        </w:rPr>
        <w:t xml:space="preserve">  Additional Watershed Control Requirements for Unfiltered Systems</w:t>
      </w:r>
    </w:p>
    <w:p w14:paraId="33769C4D" w14:textId="77777777" w:rsidR="00F0626C" w:rsidRPr="001A7517" w:rsidRDefault="00F0626C" w:rsidP="00F0626C">
      <w:pPr>
        <w:spacing w:before="240"/>
        <w:ind w:left="1440" w:hanging="720"/>
      </w:pPr>
      <w:r w:rsidRPr="001A7517">
        <w:t>a)</w:t>
      </w:r>
      <w:r w:rsidRPr="001A7517">
        <w:tab/>
        <w:t>Applicability.  A Subpart B system supplier that serves fewer than 10,000 persons that does not provide filtration must continue to comply with all of the filtration avoidance criteria in Sections 611.211 and 611.230 through 611.233, as well as the additional watershed control requirements in subsection (b).</w:t>
      </w:r>
    </w:p>
    <w:p w14:paraId="6857107C" w14:textId="77777777" w:rsidR="00F0626C" w:rsidRPr="001A7517" w:rsidRDefault="00F0626C" w:rsidP="00F0626C">
      <w:pPr>
        <w:spacing w:before="240"/>
        <w:ind w:left="1440" w:hanging="720"/>
      </w:pPr>
      <w:r w:rsidRPr="001A7517">
        <w:t>b)</w:t>
      </w:r>
      <w:r w:rsidRPr="001A7517">
        <w:tab/>
        <w:t>Requirements to Avoid Filtration.  A supplier must take any additional steps necessary to minimize the potential for contamination by Cryptosporidium oocysts in the source water.  A watershed control program must fulfill the following for Cryptosporidium:</w:t>
      </w:r>
    </w:p>
    <w:p w14:paraId="6F204F11" w14:textId="77777777" w:rsidR="00F0626C" w:rsidRPr="001A7517" w:rsidRDefault="00F0626C" w:rsidP="00F0626C">
      <w:pPr>
        <w:spacing w:before="240"/>
        <w:ind w:left="2160" w:hanging="720"/>
      </w:pPr>
      <w:r w:rsidRPr="001A7517">
        <w:lastRenderedPageBreak/>
        <w:t>1)</w:t>
      </w:r>
      <w:r w:rsidRPr="001A7517">
        <w:tab/>
        <w:t>The program must identify watershed characteristics and activities that may have an adverse effect on source water quality; and</w:t>
      </w:r>
    </w:p>
    <w:p w14:paraId="45864034" w14:textId="77777777" w:rsidR="00F0626C" w:rsidRPr="001A7517" w:rsidRDefault="00F0626C" w:rsidP="00F0626C">
      <w:pPr>
        <w:spacing w:before="240"/>
        <w:ind w:left="2160" w:hanging="720"/>
      </w:pPr>
      <w:r w:rsidRPr="001A7517">
        <w:t>2)</w:t>
      </w:r>
      <w:r w:rsidRPr="001A7517">
        <w:tab/>
        <w:t>The program must monitor the occurrence of activities that may have an adverse effect on source water quality.</w:t>
      </w:r>
    </w:p>
    <w:p w14:paraId="4A59DCA3" w14:textId="77777777" w:rsidR="00F0626C" w:rsidRPr="001A7517" w:rsidRDefault="00F0626C" w:rsidP="00F0626C">
      <w:pPr>
        <w:spacing w:before="240"/>
        <w:ind w:left="1440" w:hanging="720"/>
      </w:pPr>
      <w:r w:rsidRPr="001A7517">
        <w:t>c)</w:t>
      </w:r>
      <w:r w:rsidRPr="001A7517">
        <w:tab/>
        <w:t>Determination of Adequacy of Control Requirements.  During an onsite inspection conducted under the provisions of Section 611.232(c), the Agency must determine whether a watershed control program is adequate to limit potential contamination by Cryptosporidium oocysts.  The adequacy of the program must be based on the comprehensiveness of the watershed review; the effectiveness of the program to monitor and control detrimental activities occurring in the watershed; and the extent to which the supplier has maximized land ownership or controlled land use within the watershed.</w:t>
      </w:r>
    </w:p>
    <w:p w14:paraId="74723992" w14:textId="77777777" w:rsidR="00F0626C" w:rsidRPr="001A7517" w:rsidRDefault="00F0626C" w:rsidP="00F0626C">
      <w:pPr>
        <w:spacing w:before="240"/>
      </w:pPr>
      <w:r w:rsidRPr="001A7517">
        <w:t>BOARD NOTE:  Derived from 40 CFR 141.520 through 141.522.</w:t>
      </w:r>
    </w:p>
    <w:p w14:paraId="5D178681" w14:textId="77777777" w:rsidR="00F0626C" w:rsidRPr="001A7517" w:rsidRDefault="00F0626C" w:rsidP="00F0626C">
      <w:pPr>
        <w:suppressAutoHyphens/>
        <w:spacing w:before="240"/>
        <w:ind w:left="720"/>
      </w:pPr>
      <w:bookmarkStart w:id="4431" w:name="_Hlk38881868"/>
      <w:r w:rsidRPr="001A7517">
        <w:t>(Source:  A</w:t>
      </w:r>
      <w:r w:rsidRPr="001A7517">
        <w:rPr>
          <w:szCs w:val="17"/>
        </w:rPr>
        <w:t xml:space="preserve">mended at </w:t>
      </w:r>
      <w:r w:rsidRPr="001A7517">
        <w:t>44 Ill. Reg. 6996, effective April 17, 2020)</w:t>
      </w:r>
    </w:p>
    <w:bookmarkEnd w:id="4431"/>
    <w:p w14:paraId="6A8FF56D" w14:textId="77777777" w:rsidR="00F0626C" w:rsidRPr="001A7517" w:rsidRDefault="00F0626C" w:rsidP="00F0626C">
      <w:pPr>
        <w:keepNext/>
        <w:keepLines/>
        <w:widowControl w:val="0"/>
        <w:suppressAutoHyphens/>
        <w:spacing w:before="240"/>
        <w:rPr>
          <w:b/>
        </w:rPr>
      </w:pPr>
      <w:r w:rsidRPr="001A7517">
        <w:rPr>
          <w:b/>
        </w:rPr>
        <w:t xml:space="preserve">Section </w:t>
      </w:r>
      <w:bookmarkStart w:id="4432" w:name="_Hlk27062900"/>
      <w:r w:rsidRPr="001A7517">
        <w:rPr>
          <w:b/>
        </w:rPr>
        <w:t>611.953</w:t>
      </w:r>
      <w:bookmarkEnd w:id="4432"/>
      <w:r w:rsidRPr="001A7517">
        <w:rPr>
          <w:b/>
        </w:rPr>
        <w:t xml:space="preserve">  Disinfection Profile</w:t>
      </w:r>
    </w:p>
    <w:p w14:paraId="2FC74C63" w14:textId="77777777" w:rsidR="00F0626C" w:rsidRPr="001A7517" w:rsidRDefault="00F0626C" w:rsidP="00F0626C">
      <w:pPr>
        <w:widowControl w:val="0"/>
        <w:spacing w:before="240"/>
        <w:ind w:left="1440" w:hanging="720"/>
      </w:pPr>
      <w:r w:rsidRPr="001A7517">
        <w:t>a)</w:t>
      </w:r>
      <w:r w:rsidRPr="001A7517">
        <w:tab/>
        <w:t>Applicability.  A disinfection profile is a graphical representation of a system’s level of Giardia lamblia or virus inactivation measured during the course of a year.  A Subpart B community or non-transient non-community water system that serves fewer than 10,000 persons must develop a disinfection profile unless the Agency, by a SEP, determines that a profile is unnecessary.  The Agency may approve the use of a more representative data set for disinfection profiling than the data set required under subsections (c) through (g).</w:t>
      </w:r>
    </w:p>
    <w:p w14:paraId="0BCA3A20" w14:textId="77777777" w:rsidR="00F0626C" w:rsidRPr="001A7517" w:rsidRDefault="00F0626C" w:rsidP="00F0626C">
      <w:pPr>
        <w:widowControl w:val="0"/>
        <w:spacing w:before="240"/>
        <w:ind w:left="1440" w:hanging="720"/>
      </w:pPr>
      <w:r w:rsidRPr="001A7517">
        <w:t>b)</w:t>
      </w:r>
      <w:r w:rsidRPr="001A7517">
        <w:tab/>
        <w:t>Determination That a Disinfection Profile Is Not Necessary.  The Agency may only determine that a disinfection profile is not necessary if the system’s TTHM and HAA5 levels are below 0.064 mg/ℓ and 0.048 mg/ℓ, respectively.  To determine these levels, TTHM and HAA5 samples must have been collected during the month with the warmest water temperature, and at the point of maximum residence time in the distribution system.</w:t>
      </w:r>
      <w:r w:rsidRPr="001A7517">
        <w:rPr>
          <w:szCs w:val="18"/>
        </w:rPr>
        <w:t xml:space="preserve">  The Agency may, by a SEP, approve the use of a different data set to determine these levels if it determines that the data set is representative TTHM and HAA5 data.</w:t>
      </w:r>
    </w:p>
    <w:p w14:paraId="68248E07" w14:textId="77777777" w:rsidR="00F0626C" w:rsidRPr="001A7517" w:rsidRDefault="00F0626C" w:rsidP="00F0626C">
      <w:pPr>
        <w:widowControl w:val="0"/>
        <w:spacing w:before="240"/>
        <w:ind w:left="1440" w:hanging="720"/>
      </w:pPr>
      <w:r w:rsidRPr="001A7517">
        <w:t>c)</w:t>
      </w:r>
      <w:r w:rsidRPr="001A7517">
        <w:tab/>
        <w:t>Development of a Disinfection Profile.  A disinfection profile consists of the following three steps:</w:t>
      </w:r>
    </w:p>
    <w:p w14:paraId="5D69896B" w14:textId="77777777" w:rsidR="00F0626C" w:rsidRPr="001A7517" w:rsidRDefault="00F0626C" w:rsidP="00F0626C">
      <w:pPr>
        <w:widowControl w:val="0"/>
        <w:spacing w:before="240"/>
        <w:ind w:left="2160" w:hanging="720"/>
      </w:pPr>
      <w:r w:rsidRPr="001A7517">
        <w:t>1)</w:t>
      </w:r>
      <w:r w:rsidRPr="001A7517">
        <w:tab/>
        <w:t>First, the supplier must collect data for several parameters from the plant, as discussed in subsection (d), over the course of 12 months;</w:t>
      </w:r>
    </w:p>
    <w:p w14:paraId="34C9B6C6" w14:textId="77777777" w:rsidR="00F0626C" w:rsidRPr="001A7517" w:rsidRDefault="00F0626C" w:rsidP="00F0626C">
      <w:pPr>
        <w:widowControl w:val="0"/>
        <w:spacing w:before="240"/>
        <w:ind w:left="2160" w:hanging="720"/>
      </w:pPr>
      <w:r w:rsidRPr="001A7517">
        <w:t>2)</w:t>
      </w:r>
      <w:r w:rsidRPr="001A7517">
        <w:tab/>
        <w:t>Second, the supplier must use this data to calculate weekly log inactivation as discussed in subsections (e) and (f); and</w:t>
      </w:r>
    </w:p>
    <w:p w14:paraId="397588CC" w14:textId="77777777" w:rsidR="00F0626C" w:rsidRPr="001A7517" w:rsidRDefault="00F0626C" w:rsidP="00F0626C">
      <w:pPr>
        <w:widowControl w:val="0"/>
        <w:spacing w:before="240"/>
        <w:ind w:left="2160" w:hanging="720"/>
      </w:pPr>
      <w:r w:rsidRPr="001A7517">
        <w:lastRenderedPageBreak/>
        <w:t>3)</w:t>
      </w:r>
      <w:r w:rsidRPr="001A7517">
        <w:tab/>
        <w:t>Third, the supplier must use these weekly log inactivations to develop a disinfection profile as specified in subsection (g).</w:t>
      </w:r>
    </w:p>
    <w:p w14:paraId="6D0DBCCB" w14:textId="77777777" w:rsidR="00F0626C" w:rsidRPr="001A7517" w:rsidRDefault="00F0626C" w:rsidP="00F0626C">
      <w:pPr>
        <w:widowControl w:val="0"/>
        <w:spacing w:before="240"/>
        <w:ind w:left="1440" w:hanging="720"/>
      </w:pPr>
      <w:r w:rsidRPr="001A7517">
        <w:t>d)</w:t>
      </w:r>
      <w:r w:rsidRPr="001A7517">
        <w:tab/>
        <w:t>Data Required for a Disinfection Profile.  A supplier must monitor the following parameters to determine the total log inactivation using the analytical methods in Section 611.531, once per week on the same calendar day, over 12 consecutive months:</w:t>
      </w:r>
    </w:p>
    <w:p w14:paraId="4310AAE9" w14:textId="77777777" w:rsidR="00F0626C" w:rsidRPr="001A7517" w:rsidRDefault="00F0626C" w:rsidP="00F0626C">
      <w:pPr>
        <w:widowControl w:val="0"/>
        <w:spacing w:before="240"/>
        <w:ind w:left="2160" w:hanging="720"/>
      </w:pPr>
      <w:r w:rsidRPr="001A7517">
        <w:t>1)</w:t>
      </w:r>
      <w:r w:rsidRPr="001A7517">
        <w:tab/>
        <w:t>The temperature of the disinfected water at each residual disinfectant concentration sampling point during peak hourly flow;</w:t>
      </w:r>
    </w:p>
    <w:p w14:paraId="71798D86" w14:textId="77777777" w:rsidR="00F0626C" w:rsidRPr="001A7517" w:rsidRDefault="00F0626C" w:rsidP="00F0626C">
      <w:pPr>
        <w:widowControl w:val="0"/>
        <w:spacing w:before="240"/>
        <w:ind w:left="2160" w:hanging="720"/>
      </w:pPr>
      <w:r w:rsidRPr="001A7517">
        <w:t>2)</w:t>
      </w:r>
      <w:r w:rsidRPr="001A7517">
        <w:tab/>
        <w:t>If a supplier uses chlorine, the pH of the disinfected water at each residual disinfectant concentration sampling point during peak hourly flow;</w:t>
      </w:r>
    </w:p>
    <w:p w14:paraId="5F37488F" w14:textId="77777777" w:rsidR="00F0626C" w:rsidRPr="001A7517" w:rsidRDefault="00F0626C" w:rsidP="00F0626C">
      <w:pPr>
        <w:widowControl w:val="0"/>
        <w:spacing w:before="240"/>
        <w:ind w:left="2160" w:hanging="720"/>
      </w:pPr>
      <w:r w:rsidRPr="001A7517">
        <w:t>3)</w:t>
      </w:r>
      <w:r w:rsidRPr="001A7517">
        <w:tab/>
        <w:t>The disinfectant contact times (“T”) during peak hourly flow; and</w:t>
      </w:r>
    </w:p>
    <w:p w14:paraId="66E791F4" w14:textId="77777777" w:rsidR="00F0626C" w:rsidRPr="001A7517" w:rsidRDefault="00F0626C" w:rsidP="00F0626C">
      <w:pPr>
        <w:widowControl w:val="0"/>
        <w:spacing w:before="240"/>
        <w:ind w:left="2160" w:hanging="720"/>
      </w:pPr>
      <w:r w:rsidRPr="001A7517">
        <w:t>4)</w:t>
      </w:r>
      <w:r w:rsidRPr="001A7517">
        <w:tab/>
        <w:t>The residual disinfectant concentrations (“C”) of the water before or at the first customer and prior to each additional point of disinfection during peak hourly flow.</w:t>
      </w:r>
    </w:p>
    <w:p w14:paraId="5CD72F15" w14:textId="77777777" w:rsidR="00F0626C" w:rsidRPr="001A7517" w:rsidRDefault="00F0626C" w:rsidP="00F0626C">
      <w:pPr>
        <w:widowControl w:val="0"/>
        <w:spacing w:before="240"/>
        <w:ind w:left="1440" w:hanging="720"/>
      </w:pPr>
      <w:r w:rsidRPr="001A7517">
        <w:t>e)</w:t>
      </w:r>
      <w:r w:rsidRPr="001A7517">
        <w:tab/>
        <w:t>Calculations Based on the Data Collected.  The tables in Appendix B must be used to determine the appropriate CT</w:t>
      </w:r>
      <w:r w:rsidRPr="001A7517">
        <w:rPr>
          <w:vertAlign w:val="subscript"/>
        </w:rPr>
        <w:t>99.9</w:t>
      </w:r>
      <w:r w:rsidRPr="001A7517">
        <w:t xml:space="preserve"> value.  The supplier must calculate the total inactivation ratio as follows, and multiply the value by 3.0 to determine log inactivation of Giardia lamblia:</w:t>
      </w:r>
    </w:p>
    <w:p w14:paraId="4636129E" w14:textId="77777777" w:rsidR="00F0626C" w:rsidRPr="001A7517" w:rsidRDefault="00F0626C" w:rsidP="00F0626C">
      <w:pPr>
        <w:widowControl w:val="0"/>
        <w:spacing w:before="240"/>
        <w:ind w:left="2160" w:hanging="720"/>
      </w:pPr>
      <w:r w:rsidRPr="001A7517">
        <w:t>1)</w:t>
      </w:r>
      <w:r w:rsidRPr="001A7517">
        <w:tab/>
        <w:t>If the supplier uses only one point of disinfectant application, it must determine either of the following:</w:t>
      </w:r>
    </w:p>
    <w:p w14:paraId="23751702" w14:textId="77777777" w:rsidR="00F0626C" w:rsidRPr="001A7517" w:rsidRDefault="00F0626C" w:rsidP="00F0626C">
      <w:pPr>
        <w:widowControl w:val="0"/>
        <w:spacing w:before="240"/>
        <w:ind w:left="2880" w:hanging="720"/>
      </w:pPr>
      <w:r w:rsidRPr="001A7517">
        <w:t>A)</w:t>
      </w:r>
      <w:r w:rsidRPr="001A7517">
        <w:tab/>
        <w:t>One inactivation ratio (CT</w:t>
      </w:r>
      <w:r w:rsidRPr="001A7517">
        <w:rPr>
          <w:vertAlign w:val="subscript"/>
        </w:rPr>
        <w:t>calc</w:t>
      </w:r>
      <w:r w:rsidRPr="001A7517">
        <w:t>/CT</w:t>
      </w:r>
      <w:r w:rsidRPr="001A7517">
        <w:rPr>
          <w:vertAlign w:val="subscript"/>
        </w:rPr>
        <w:t>99.9</w:t>
      </w:r>
      <w:r w:rsidRPr="001A7517">
        <w:t>) before or at the first customer during peak hourly flow; or</w:t>
      </w:r>
    </w:p>
    <w:p w14:paraId="5E0078DF" w14:textId="77777777" w:rsidR="00F0626C" w:rsidRPr="001A7517" w:rsidRDefault="00F0626C" w:rsidP="00F0626C">
      <w:pPr>
        <w:widowControl w:val="0"/>
        <w:spacing w:before="240"/>
        <w:ind w:left="2880" w:hanging="720"/>
      </w:pPr>
      <w:r w:rsidRPr="001A7517">
        <w:t>B)</w:t>
      </w:r>
      <w:r w:rsidRPr="001A7517">
        <w:tab/>
        <w:t>Successive CT</w:t>
      </w:r>
      <w:r w:rsidRPr="001A7517">
        <w:rPr>
          <w:vertAlign w:val="subscript"/>
        </w:rPr>
        <w:t>calc</w:t>
      </w:r>
      <w:r w:rsidRPr="001A7517">
        <w:t>/CT</w:t>
      </w:r>
      <w:r w:rsidRPr="001A7517">
        <w:rPr>
          <w:vertAlign w:val="subscript"/>
        </w:rPr>
        <w:t>99.9</w:t>
      </w:r>
      <w:r w:rsidRPr="001A7517">
        <w:t xml:space="preserve"> values, representing sequential inactivation ratios, between the point of disinfectant application and a point before or at the first customer during peak hourly flow.  Under this alternative, the supplier must calculate the total inactivation ratio by determining CT</w:t>
      </w:r>
      <w:r w:rsidRPr="001A7517">
        <w:rPr>
          <w:vertAlign w:val="subscript"/>
        </w:rPr>
        <w:t>calc</w:t>
      </w:r>
      <w:r w:rsidRPr="001A7517">
        <w:t>/CT</w:t>
      </w:r>
      <w:r w:rsidRPr="001A7517">
        <w:rPr>
          <w:vertAlign w:val="subscript"/>
        </w:rPr>
        <w:t>99.9</w:t>
      </w:r>
      <w:r w:rsidRPr="001A7517">
        <w:t xml:space="preserve"> for each sequence and then adding the CT</w:t>
      </w:r>
      <w:r w:rsidRPr="001A7517">
        <w:rPr>
          <w:vertAlign w:val="subscript"/>
        </w:rPr>
        <w:t>calc</w:t>
      </w:r>
      <w:r w:rsidRPr="001A7517">
        <w:t>/CT</w:t>
      </w:r>
      <w:r w:rsidRPr="001A7517">
        <w:rPr>
          <w:vertAlign w:val="subscript"/>
        </w:rPr>
        <w:t>99.9</w:t>
      </w:r>
      <w:r w:rsidRPr="001A7517">
        <w:t xml:space="preserve"> values together to determine ∑CT</w:t>
      </w:r>
      <w:r w:rsidRPr="001A7517">
        <w:rPr>
          <w:vertAlign w:val="subscript"/>
        </w:rPr>
        <w:t>calc</w:t>
      </w:r>
      <w:r w:rsidRPr="001A7517">
        <w:t>/CT</w:t>
      </w:r>
      <w:r w:rsidRPr="001A7517">
        <w:rPr>
          <w:vertAlign w:val="subscript"/>
        </w:rPr>
        <w:t>99.9</w:t>
      </w:r>
      <w:r w:rsidRPr="001A7517">
        <w:t>.</w:t>
      </w:r>
    </w:p>
    <w:p w14:paraId="5329F859" w14:textId="77777777" w:rsidR="00F0626C" w:rsidRPr="001A7517" w:rsidRDefault="00F0626C" w:rsidP="00F0626C">
      <w:pPr>
        <w:widowControl w:val="0"/>
        <w:spacing w:before="240"/>
        <w:ind w:left="2160" w:hanging="720"/>
      </w:pPr>
      <w:r w:rsidRPr="001A7517">
        <w:t>2)</w:t>
      </w:r>
      <w:r w:rsidRPr="001A7517">
        <w:tab/>
        <w:t>If the supplier uses more than one point of disinfectant application before the first customer, it must determine the CT</w:t>
      </w:r>
      <w:r w:rsidRPr="001A7517">
        <w:rPr>
          <w:vertAlign w:val="subscript"/>
        </w:rPr>
        <w:t>calc</w:t>
      </w:r>
      <w:r w:rsidRPr="001A7517">
        <w:t>/CT</w:t>
      </w:r>
      <w:r w:rsidRPr="001A7517">
        <w:rPr>
          <w:vertAlign w:val="subscript"/>
        </w:rPr>
        <w:t>99.9</w:t>
      </w:r>
      <w:r w:rsidRPr="001A7517">
        <w:t xml:space="preserve"> value of each disinfection segment immediately prior to the next point of disinfectant application, or for the final segment, before or at the first customer, during peak hourly flow using the procedure specified in subsection (e)(1)(B).</w:t>
      </w:r>
    </w:p>
    <w:p w14:paraId="0C295968" w14:textId="77777777" w:rsidR="00F0626C" w:rsidRPr="001A7517" w:rsidRDefault="00F0626C" w:rsidP="00F0626C">
      <w:pPr>
        <w:widowControl w:val="0"/>
        <w:spacing w:before="240"/>
        <w:ind w:left="1440" w:hanging="720"/>
      </w:pPr>
      <w:r w:rsidRPr="001A7517">
        <w:t>f)</w:t>
      </w:r>
      <w:r w:rsidRPr="001A7517">
        <w:tab/>
        <w:t xml:space="preserve">Use of Chloramines, Ozone, or Chlorine Dioxide as a Primary Disinfectant.  If a </w:t>
      </w:r>
      <w:r w:rsidRPr="001A7517">
        <w:lastRenderedPageBreak/>
        <w:t>supplier uses chloramines, ozone, or chlorine dioxide for primary disinfection, the supplier must also calculate the logs of inactivation for viruses and develop an additional disinfection profile for viruses using methods approved by the Agency.</w:t>
      </w:r>
    </w:p>
    <w:p w14:paraId="2957B3EA" w14:textId="77777777" w:rsidR="00F0626C" w:rsidRPr="001A7517" w:rsidRDefault="00F0626C" w:rsidP="00F0626C">
      <w:pPr>
        <w:widowControl w:val="0"/>
        <w:spacing w:before="240"/>
        <w:ind w:left="1440" w:hanging="720"/>
      </w:pPr>
      <w:r w:rsidRPr="001A7517">
        <w:t>g)</w:t>
      </w:r>
      <w:r w:rsidRPr="001A7517">
        <w:tab/>
        <w:t>Development and Maintenance of the Disinfection Profile in Graphic Form.  Each log inactivation serves as a data point in the supplier’s disinfection profile.  A supplier will have obtained 52 measurements (one for every week of the year).  This will allow the supplier and the Agency the opportunity to evaluate how microbial inactivation varied over the course of the year by looking at all 52 measurements (the supplier’s disinfection profile).  The supplier must retain the disinfection profile data in graphic form, such as a spreadsheet, which must be available for review by the Agency as part of a sanitary survey.  The supplier must use this data to calculate a benchmark if the supplier is considering changes to disinfection practices.</w:t>
      </w:r>
    </w:p>
    <w:p w14:paraId="249DD646" w14:textId="77777777" w:rsidR="00F0626C" w:rsidRPr="001A7517" w:rsidRDefault="00F0626C" w:rsidP="00F0626C">
      <w:pPr>
        <w:widowControl w:val="0"/>
        <w:spacing w:before="240"/>
      </w:pPr>
      <w:r w:rsidRPr="001A7517">
        <w:t>BOARD NOTE:  Derived from 40 CFR 141.530 through 141.536.</w:t>
      </w:r>
    </w:p>
    <w:p w14:paraId="56321318" w14:textId="313CB2A0" w:rsidR="00F0626C"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22132E5E" w14:textId="77777777" w:rsidR="00E021AB" w:rsidRDefault="00E021AB" w:rsidP="00E021AB">
      <w:pPr>
        <w:rPr>
          <w:b/>
          <w:bCs/>
        </w:rPr>
      </w:pPr>
    </w:p>
    <w:p w14:paraId="22298E4B" w14:textId="58006442" w:rsidR="00E021AB" w:rsidRPr="003B4362" w:rsidRDefault="00E021AB" w:rsidP="00E021AB">
      <w:pPr>
        <w:rPr>
          <w:b/>
          <w:bCs/>
        </w:rPr>
      </w:pPr>
      <w:r w:rsidRPr="003B4362">
        <w:rPr>
          <w:b/>
          <w:bCs/>
        </w:rPr>
        <w:t xml:space="preserve">Section </w:t>
      </w:r>
      <w:bookmarkStart w:id="4433" w:name="_Hlk27062912"/>
      <w:r w:rsidRPr="003B4362">
        <w:rPr>
          <w:b/>
          <w:bCs/>
        </w:rPr>
        <w:t>611.954</w:t>
      </w:r>
      <w:bookmarkEnd w:id="4433"/>
      <w:r w:rsidRPr="003B4362">
        <w:rPr>
          <w:b/>
          <w:bCs/>
        </w:rPr>
        <w:t xml:space="preserve">  Disinfection Benchmark</w:t>
      </w:r>
    </w:p>
    <w:p w14:paraId="2F448A9F" w14:textId="77777777" w:rsidR="00E021AB" w:rsidRPr="003B4362" w:rsidRDefault="00E021AB" w:rsidP="00E021AB">
      <w:pPr>
        <w:spacing w:before="240"/>
        <w:ind w:left="1440" w:hanging="720"/>
      </w:pPr>
      <w:r w:rsidRPr="003B4362">
        <w:t>a)</w:t>
      </w:r>
      <w:r w:rsidRPr="003B4362">
        <w:tab/>
        <w:t>Applicability.  A Subpart B system supplier that must develop a disinfection profile under Section 611.953 must develop a disinfection benchmark if it decides to significantly change its disinfection practice.  The supplier must receive a SEP from the Agency approving a significant change before implementing the change in its disinfection practice.</w:t>
      </w:r>
    </w:p>
    <w:p w14:paraId="7386B227" w14:textId="77777777" w:rsidR="00E021AB" w:rsidRPr="003B4362" w:rsidRDefault="00E021AB" w:rsidP="00E021AB">
      <w:pPr>
        <w:spacing w:before="240"/>
        <w:ind w:left="1440" w:hanging="720"/>
      </w:pPr>
      <w:r w:rsidRPr="003B4362">
        <w:t>b)</w:t>
      </w:r>
      <w:r w:rsidRPr="003B4362">
        <w:tab/>
        <w:t>Significant Changes to Disinfection Practice.  Certain changes are significant changes to disinfection practice:</w:t>
      </w:r>
    </w:p>
    <w:p w14:paraId="116D6B72" w14:textId="77777777" w:rsidR="00E021AB" w:rsidRPr="003B4362" w:rsidRDefault="00E021AB" w:rsidP="00E021AB">
      <w:pPr>
        <w:spacing w:before="240"/>
        <w:ind w:left="2160" w:hanging="720"/>
      </w:pPr>
      <w:r w:rsidRPr="003B4362">
        <w:t>1)</w:t>
      </w:r>
      <w:r w:rsidRPr="003B4362">
        <w:tab/>
        <w:t>Changing the point for applying disinfectant;</w:t>
      </w:r>
    </w:p>
    <w:p w14:paraId="2DBFAFD5" w14:textId="77777777" w:rsidR="00E021AB" w:rsidRPr="003B4362" w:rsidRDefault="00E021AB" w:rsidP="00E021AB">
      <w:pPr>
        <w:spacing w:before="240"/>
        <w:ind w:left="2160" w:hanging="720"/>
      </w:pPr>
      <w:r w:rsidRPr="003B4362">
        <w:t>2)</w:t>
      </w:r>
      <w:r w:rsidRPr="003B4362">
        <w:tab/>
        <w:t>Changing the applied disinfectant;</w:t>
      </w:r>
    </w:p>
    <w:p w14:paraId="2DC959CB" w14:textId="77777777" w:rsidR="00E021AB" w:rsidRPr="003B4362" w:rsidRDefault="00E021AB" w:rsidP="00E021AB">
      <w:pPr>
        <w:spacing w:before="240"/>
        <w:ind w:left="2160" w:hanging="720"/>
      </w:pPr>
      <w:r w:rsidRPr="003B4362">
        <w:t>3)</w:t>
      </w:r>
      <w:r w:rsidRPr="003B4362">
        <w:tab/>
        <w:t>Changing the disinfection process; or</w:t>
      </w:r>
    </w:p>
    <w:p w14:paraId="20868B4D" w14:textId="77777777" w:rsidR="00E021AB" w:rsidRPr="003B4362" w:rsidRDefault="00E021AB" w:rsidP="00E021AB">
      <w:pPr>
        <w:spacing w:before="240"/>
        <w:ind w:left="2160" w:hanging="720"/>
      </w:pPr>
      <w:r w:rsidRPr="003B4362">
        <w:t>4)</w:t>
      </w:r>
      <w:r w:rsidRPr="003B4362">
        <w:tab/>
        <w:t>Any other modification the Agency identifies.</w:t>
      </w:r>
    </w:p>
    <w:p w14:paraId="649AD88B" w14:textId="77777777" w:rsidR="00E021AB" w:rsidRPr="003B4362" w:rsidRDefault="00E021AB" w:rsidP="00E021AB">
      <w:pPr>
        <w:spacing w:before="240"/>
        <w:ind w:left="1440" w:hanging="720"/>
      </w:pPr>
      <w:r w:rsidRPr="003B4362">
        <w:t>c)</w:t>
      </w:r>
      <w:r w:rsidRPr="003B4362">
        <w:tab/>
        <w:t>Considering a Significant Change.  A supplier considering a significant change to its disinfection practice must calculate a disinfection benchmark, as subsections (d) and (e) describe, and provide the benchmarks to the Agency.  A supplier may only significantly change its disinfection practice after receiving a SEP from the Agency approving the change.  A supplier must submit certain information to the Agency to gain approval of a significant change:</w:t>
      </w:r>
    </w:p>
    <w:p w14:paraId="237248F4" w14:textId="77777777" w:rsidR="00E021AB" w:rsidRPr="003B4362" w:rsidRDefault="00E021AB" w:rsidP="00E021AB">
      <w:pPr>
        <w:spacing w:before="240"/>
        <w:ind w:left="2160" w:hanging="720"/>
      </w:pPr>
      <w:r w:rsidRPr="003B4362">
        <w:t>1)</w:t>
      </w:r>
      <w:r w:rsidRPr="003B4362">
        <w:tab/>
        <w:t>A description of the proposed change;</w:t>
      </w:r>
    </w:p>
    <w:p w14:paraId="7265872A" w14:textId="77777777" w:rsidR="00E021AB" w:rsidRPr="003B4362" w:rsidRDefault="00E021AB" w:rsidP="00E021AB">
      <w:pPr>
        <w:spacing w:before="240"/>
        <w:ind w:left="2160" w:hanging="720"/>
      </w:pPr>
      <w:r w:rsidRPr="003B4362">
        <w:lastRenderedPageBreak/>
        <w:t>2)</w:t>
      </w:r>
      <w:r w:rsidRPr="003B4362">
        <w:tab/>
        <w:t>The disinfection profile for Giardia lamblia (and, if necessary, viruses) and disinfection benchmark;</w:t>
      </w:r>
    </w:p>
    <w:p w14:paraId="3BFF3DE2" w14:textId="77777777" w:rsidR="00E021AB" w:rsidRPr="003B4362" w:rsidRDefault="00E021AB" w:rsidP="00E021AB">
      <w:pPr>
        <w:spacing w:before="240"/>
        <w:ind w:left="2160" w:hanging="720"/>
      </w:pPr>
      <w:r w:rsidRPr="003B4362">
        <w:t>3)</w:t>
      </w:r>
      <w:r w:rsidRPr="003B4362">
        <w:tab/>
        <w:t>An analysis of how the proposed change will affect the current levels of disinfection; and</w:t>
      </w:r>
    </w:p>
    <w:p w14:paraId="49F5E908" w14:textId="77777777" w:rsidR="00E021AB" w:rsidRPr="003B4362" w:rsidRDefault="00E021AB" w:rsidP="00E021AB">
      <w:pPr>
        <w:spacing w:before="240"/>
        <w:ind w:left="2160" w:hanging="720"/>
      </w:pPr>
      <w:r w:rsidRPr="003B4362">
        <w:t>4)</w:t>
      </w:r>
      <w:r w:rsidRPr="003B4362">
        <w:tab/>
        <w:t>Any additional information the Agency requests.</w:t>
      </w:r>
    </w:p>
    <w:p w14:paraId="79F9C141" w14:textId="77777777" w:rsidR="00E021AB" w:rsidRPr="003B4362" w:rsidRDefault="00E021AB" w:rsidP="00E021AB">
      <w:pPr>
        <w:spacing w:before="240"/>
        <w:ind w:left="1440" w:hanging="720"/>
      </w:pPr>
      <w:r w:rsidRPr="003B4362">
        <w:t>d)</w:t>
      </w:r>
      <w:r w:rsidRPr="003B4362">
        <w:tab/>
        <w:t>Calculation of a Disinfection Benchmark.  A supplier significantly changing its disinfection practice must calculate a disinfection benchmark using the specified procedure:</w:t>
      </w:r>
    </w:p>
    <w:p w14:paraId="7D77C349" w14:textId="77777777" w:rsidR="00E021AB" w:rsidRPr="003B4362" w:rsidRDefault="00E021AB" w:rsidP="00E021AB">
      <w:pPr>
        <w:spacing w:before="240"/>
        <w:ind w:left="2160" w:hanging="720"/>
      </w:pPr>
      <w:r w:rsidRPr="003B4362">
        <w:t>1)</w:t>
      </w:r>
      <w:r w:rsidRPr="003B4362">
        <w:tab/>
        <w:t>Step 1:  Using the data that the supplier collected to develop the disinfection profile, determine the average Giardia lamblia inactivation for each calendar month by dividing the sum of all Giardia lamblia inactivations for that month by the number of values calculated for that month; and</w:t>
      </w:r>
    </w:p>
    <w:p w14:paraId="768BBE47" w14:textId="77777777" w:rsidR="00E021AB" w:rsidRPr="003B4362" w:rsidRDefault="00E021AB" w:rsidP="00E021AB">
      <w:pPr>
        <w:spacing w:before="240"/>
        <w:ind w:left="2160" w:hanging="720"/>
      </w:pPr>
      <w:r w:rsidRPr="003B4362">
        <w:t>2)</w:t>
      </w:r>
      <w:r w:rsidRPr="003B4362">
        <w:tab/>
        <w:t>Step 2:  Determine the lowest monthly average value out of the 12 values.  This value becomes the disinfection benchmark.</w:t>
      </w:r>
    </w:p>
    <w:p w14:paraId="6A0FA63F" w14:textId="77777777" w:rsidR="00E021AB" w:rsidRPr="003B4362" w:rsidRDefault="00E021AB" w:rsidP="00E021AB">
      <w:pPr>
        <w:spacing w:before="240"/>
        <w:ind w:left="1440" w:hanging="720"/>
      </w:pPr>
      <w:r w:rsidRPr="003B4362">
        <w:t>e)</w:t>
      </w:r>
      <w:r w:rsidRPr="003B4362">
        <w:tab/>
        <w:t>If a supplier uses chloramines, ozone, or chlorine dioxide for primary disinfection the supplier must calculate the disinfection benchmark from the data that the supplier collected for viruses to develop the disinfection profile under subsection (d).  The supplier must calculate this viral benchmark in the same manner as calculating the Giardia lamblia disinfection benchmark under subsection (d).</w:t>
      </w:r>
    </w:p>
    <w:p w14:paraId="7569B3D9" w14:textId="77777777" w:rsidR="00E021AB" w:rsidRPr="003B4362" w:rsidRDefault="00E021AB" w:rsidP="00E021AB">
      <w:pPr>
        <w:spacing w:before="240"/>
      </w:pPr>
      <w:r w:rsidRPr="003B4362">
        <w:t xml:space="preserve">BOARD NOTE:  </w:t>
      </w:r>
      <w:r w:rsidRPr="003B4362">
        <w:rPr>
          <w:spacing w:val="-3"/>
        </w:rPr>
        <w:t xml:space="preserve">This Section derives </w:t>
      </w:r>
      <w:r w:rsidRPr="003B4362">
        <w:t>from 40 CFR 141.540 through 141.544.</w:t>
      </w:r>
    </w:p>
    <w:p w14:paraId="73257A6C" w14:textId="77777777" w:rsidR="00E021AB" w:rsidRPr="003B4362" w:rsidRDefault="00E021AB" w:rsidP="00E021AB">
      <w:pPr>
        <w:suppressAutoHyphens/>
        <w:spacing w:before="240"/>
        <w:ind w:left="720"/>
      </w:pPr>
      <w:r w:rsidRPr="003B4362">
        <w:t xml:space="preserve">(Source:  Amended at 47 Ill. Reg. </w:t>
      </w:r>
      <w:r>
        <w:t>16486</w:t>
      </w:r>
      <w:r w:rsidRPr="003B4362">
        <w:t xml:space="preserve">, effective </w:t>
      </w:r>
      <w:r>
        <w:t>November 2, 2023</w:t>
      </w:r>
      <w:r w:rsidRPr="003B4362">
        <w:t>)</w:t>
      </w:r>
    </w:p>
    <w:p w14:paraId="08498332" w14:textId="77777777" w:rsidR="00F0626C" w:rsidRPr="001A7517" w:rsidRDefault="00F0626C" w:rsidP="00F0626C">
      <w:pPr>
        <w:keepNext/>
        <w:keepLines/>
        <w:widowControl w:val="0"/>
        <w:suppressAutoHyphens/>
        <w:spacing w:before="240"/>
        <w:rPr>
          <w:b/>
        </w:rPr>
      </w:pPr>
      <w:r w:rsidRPr="001A7517">
        <w:rPr>
          <w:b/>
        </w:rPr>
        <w:t xml:space="preserve">Section </w:t>
      </w:r>
      <w:bookmarkStart w:id="4434" w:name="_Hlk27062925"/>
      <w:r w:rsidRPr="001A7517">
        <w:rPr>
          <w:b/>
        </w:rPr>
        <w:t>611.955</w:t>
      </w:r>
      <w:bookmarkEnd w:id="4434"/>
      <w:r w:rsidRPr="001A7517">
        <w:rPr>
          <w:b/>
        </w:rPr>
        <w:t xml:space="preserve">  Combined Filter Effluent Turbidity Limits</w:t>
      </w:r>
    </w:p>
    <w:p w14:paraId="073AC892" w14:textId="77777777" w:rsidR="00F0626C" w:rsidRPr="001A7517" w:rsidRDefault="00F0626C" w:rsidP="00F0626C">
      <w:pPr>
        <w:widowControl w:val="0"/>
        <w:spacing w:before="240"/>
        <w:ind w:left="1440" w:hanging="720"/>
      </w:pPr>
      <w:r w:rsidRPr="001A7517">
        <w:t>a)</w:t>
      </w:r>
      <w:r w:rsidRPr="001A7517">
        <w:tab/>
        <w:t>Applicability.  A Subpart B system supplier that serves fewer than 10,000 persons, that is required to filter, and that utilizes filtration other than slow sand filtration or diatomaceous earth filtration must meet the combined filter effluent turbidity requirements of subsections (b) through (d).  If the supplier uses slow sand or diatomaceous earth filtration the supplier is not required to meet the combined filter effluent turbidity limits of this Subpart X, but the supplier must continue to meet the combined filter effluent turbidity limits in Section 611.250.</w:t>
      </w:r>
    </w:p>
    <w:p w14:paraId="752D2D60" w14:textId="77777777" w:rsidR="00F0626C" w:rsidRPr="001A7517" w:rsidRDefault="00F0626C" w:rsidP="00F0626C">
      <w:pPr>
        <w:widowControl w:val="0"/>
        <w:spacing w:before="240"/>
        <w:ind w:left="1440" w:hanging="720"/>
      </w:pPr>
      <w:r w:rsidRPr="001A7517">
        <w:t>b)</w:t>
      </w:r>
      <w:r w:rsidRPr="001A7517">
        <w:tab/>
        <w:t>Combined Filter Effluent Turbidity Limits.  A supplier must meet two strengthened combined filter effluent turbidity limits.</w:t>
      </w:r>
    </w:p>
    <w:p w14:paraId="6132BFBF" w14:textId="77777777" w:rsidR="00F0626C" w:rsidRPr="001A7517" w:rsidRDefault="00F0626C" w:rsidP="00F0626C">
      <w:pPr>
        <w:widowControl w:val="0"/>
        <w:spacing w:before="240"/>
        <w:ind w:left="2160" w:hanging="720"/>
      </w:pPr>
      <w:r w:rsidRPr="001A7517">
        <w:t>1)</w:t>
      </w:r>
      <w:r w:rsidRPr="001A7517">
        <w:tab/>
        <w:t xml:space="preserve">The first combined filter effluent turbidity limit is a “95th percentile” turbidity limit that a supplier must meet in at least 95 percent of the </w:t>
      </w:r>
      <w:r w:rsidRPr="001A7517">
        <w:lastRenderedPageBreak/>
        <w:t>turbidity measurements taken each month.  Measurements must continue to be taken as described in Sections 611.531 and 611.533.  Monthly reporting must be completed according to Section 611.957(a).  The following are the required limits for specific filtration technologies:</w:t>
      </w:r>
    </w:p>
    <w:p w14:paraId="72F2F699" w14:textId="77777777" w:rsidR="00F0626C" w:rsidRPr="001A7517" w:rsidRDefault="00F0626C" w:rsidP="00F0626C">
      <w:pPr>
        <w:widowControl w:val="0"/>
        <w:spacing w:before="240"/>
        <w:ind w:left="2880" w:hanging="720"/>
      </w:pPr>
      <w:r w:rsidRPr="001A7517">
        <w:t>A)</w:t>
      </w:r>
      <w:r w:rsidRPr="001A7517">
        <w:tab/>
        <w:t>For a system with conventional filtration or direct filtration, the 95th percentile turbidity value is 0.3 NTU.</w:t>
      </w:r>
    </w:p>
    <w:p w14:paraId="6DEB4138" w14:textId="77777777" w:rsidR="00F0626C" w:rsidRPr="001A7517" w:rsidRDefault="00F0626C" w:rsidP="00F0626C">
      <w:pPr>
        <w:widowControl w:val="0"/>
        <w:spacing w:before="240"/>
        <w:ind w:left="2880" w:hanging="720"/>
      </w:pPr>
      <w:r w:rsidRPr="001A7517">
        <w:t>B)</w:t>
      </w:r>
      <w:r w:rsidRPr="001A7517">
        <w:tab/>
        <w:t>For a system with any other alternative filter technology, the 95th percentile turbidity value is a value (not to exceed 1 NTU) to be determined by the Agency, by a SEP, based on the demonstration described in subsection (c).</w:t>
      </w:r>
    </w:p>
    <w:p w14:paraId="7531E213" w14:textId="77777777" w:rsidR="00F0626C" w:rsidRPr="001A7517" w:rsidRDefault="00F0626C" w:rsidP="00F0626C">
      <w:pPr>
        <w:widowControl w:val="0"/>
        <w:spacing w:before="240"/>
        <w:ind w:left="2160" w:hanging="720"/>
      </w:pPr>
      <w:r w:rsidRPr="001A7517">
        <w:t>2)</w:t>
      </w:r>
      <w:r w:rsidRPr="001A7517">
        <w:tab/>
        <w:t>The second combined filter effluent turbidity limit is a “maximum” turbidity limit that a supplier may at no time exceed during the month.  Measurements must continue to be taken as described in Sections 611.531 and 611.533.  Monthly reporting must be completed according to Section 611.957(a).  The following are the required limits for specific filtration technologies:</w:t>
      </w:r>
    </w:p>
    <w:p w14:paraId="15BADFED" w14:textId="77777777" w:rsidR="00F0626C" w:rsidRPr="001A7517" w:rsidRDefault="00F0626C" w:rsidP="00F0626C">
      <w:pPr>
        <w:widowControl w:val="0"/>
        <w:spacing w:before="240"/>
        <w:ind w:left="2880" w:hanging="720"/>
      </w:pPr>
      <w:r w:rsidRPr="001A7517">
        <w:t>A)</w:t>
      </w:r>
      <w:r w:rsidRPr="001A7517">
        <w:tab/>
        <w:t>For a system with conventional filtration or direct filtration, the maximum turbidity value is 1 NTU.</w:t>
      </w:r>
    </w:p>
    <w:p w14:paraId="3D2D45AA" w14:textId="77777777" w:rsidR="00F0626C" w:rsidRPr="001A7517" w:rsidRDefault="00F0626C" w:rsidP="00F0626C">
      <w:pPr>
        <w:widowControl w:val="0"/>
        <w:spacing w:before="240"/>
        <w:ind w:left="2880" w:hanging="720"/>
      </w:pPr>
      <w:r w:rsidRPr="001A7517">
        <w:t>B)</w:t>
      </w:r>
      <w:r w:rsidRPr="001A7517">
        <w:tab/>
        <w:t>For a system with any other alternative filter technology, the maximum turbidity value is a value (not to exceed 5 NTU) to be determined by the Agency, by a SEP, based on the demonstration described in subsection (c).</w:t>
      </w:r>
    </w:p>
    <w:p w14:paraId="0CD657F0" w14:textId="77777777" w:rsidR="00F0626C" w:rsidRPr="001A7517" w:rsidRDefault="00F0626C" w:rsidP="00F0626C">
      <w:pPr>
        <w:widowControl w:val="0"/>
        <w:spacing w:before="240"/>
        <w:ind w:left="1440" w:hanging="720"/>
      </w:pPr>
      <w:r w:rsidRPr="001A7517">
        <w:t>c)</w:t>
      </w:r>
      <w:r w:rsidRPr="001A7517">
        <w:tab/>
        <w:t>Requirements for an Alternative Filtration System</w:t>
      </w:r>
    </w:p>
    <w:p w14:paraId="15F8491D" w14:textId="77777777" w:rsidR="00F0626C" w:rsidRPr="001A7517" w:rsidRDefault="00F0626C" w:rsidP="00F0626C">
      <w:pPr>
        <w:widowControl w:val="0"/>
        <w:spacing w:before="240"/>
        <w:ind w:left="2160" w:hanging="720"/>
      </w:pPr>
      <w:r w:rsidRPr="001A7517">
        <w:t>1)</w:t>
      </w:r>
      <w:r w:rsidRPr="001A7517">
        <w:tab/>
        <w:t>If a supplier’s system consists of alternative filtration (filtration other than slow sand filtration, diatomaceous earth filtration, conventional filtration, or direct filtration) the supplier is required to conduct a demonstration (see tables in subsection (b)).  The supplier must demonstrate to the Agency, using pilot plant studies or other means, that its system’s filtration, in combination with disinfection treatment, consistently achieves the following:</w:t>
      </w:r>
    </w:p>
    <w:p w14:paraId="7119967A" w14:textId="77777777" w:rsidR="00F0626C" w:rsidRPr="001A7517" w:rsidRDefault="00F0626C" w:rsidP="00F0626C">
      <w:pPr>
        <w:widowControl w:val="0"/>
        <w:spacing w:before="240"/>
        <w:ind w:left="2880" w:hanging="720"/>
      </w:pPr>
      <w:r w:rsidRPr="001A7517">
        <w:t>A)</w:t>
      </w:r>
      <w:r w:rsidRPr="001A7517">
        <w:tab/>
        <w:t>99 percent removal of Cryptosporidium oocysts;</w:t>
      </w:r>
    </w:p>
    <w:p w14:paraId="7DAEC851" w14:textId="77777777" w:rsidR="00F0626C" w:rsidRPr="001A7517" w:rsidRDefault="00F0626C" w:rsidP="00F0626C">
      <w:pPr>
        <w:widowControl w:val="0"/>
        <w:spacing w:before="240"/>
        <w:ind w:left="2880" w:hanging="720"/>
      </w:pPr>
      <w:r w:rsidRPr="001A7517">
        <w:t>B)</w:t>
      </w:r>
      <w:r w:rsidRPr="001A7517">
        <w:tab/>
        <w:t>99.9 percent removal or inactivation of Giardia lamblia cysts; and</w:t>
      </w:r>
    </w:p>
    <w:p w14:paraId="3547D153" w14:textId="77777777" w:rsidR="00F0626C" w:rsidRPr="001A7517" w:rsidRDefault="00F0626C" w:rsidP="00F0626C">
      <w:pPr>
        <w:widowControl w:val="0"/>
        <w:spacing w:before="240"/>
        <w:ind w:left="2880" w:hanging="720"/>
      </w:pPr>
      <w:r w:rsidRPr="001A7517">
        <w:t>C)</w:t>
      </w:r>
      <w:r w:rsidRPr="001A7517">
        <w:tab/>
        <w:t>99.99 percent removal or inactivation of viruses.</w:t>
      </w:r>
    </w:p>
    <w:p w14:paraId="1F362769" w14:textId="77777777" w:rsidR="00F0626C" w:rsidRPr="001A7517" w:rsidRDefault="00F0626C" w:rsidP="00F0626C">
      <w:pPr>
        <w:widowControl w:val="0"/>
        <w:spacing w:before="240"/>
        <w:ind w:left="2160" w:hanging="720"/>
      </w:pPr>
      <w:r w:rsidRPr="001A7517">
        <w:t>2)</w:t>
      </w:r>
      <w:r w:rsidRPr="001A7517">
        <w:tab/>
        <w:t xml:space="preserve">This subsection (c)(2) corresponds with 40 CFR 141.552(b), which USEPA has designated as “reserved”.  This statement maintains structural </w:t>
      </w:r>
      <w:r w:rsidRPr="001A7517">
        <w:lastRenderedPageBreak/>
        <w:t>correspondence with the corresponding federal regulation.</w:t>
      </w:r>
    </w:p>
    <w:p w14:paraId="7B929AD7" w14:textId="77777777" w:rsidR="00F0626C" w:rsidRPr="001A7517" w:rsidRDefault="00F0626C" w:rsidP="00F0626C">
      <w:pPr>
        <w:widowControl w:val="0"/>
        <w:spacing w:before="240"/>
        <w:ind w:left="1440" w:hanging="720"/>
      </w:pPr>
      <w:r w:rsidRPr="001A7517">
        <w:t>d)</w:t>
      </w:r>
      <w:r w:rsidRPr="001A7517">
        <w:tab/>
        <w:t>Requirements for a Lime-Softening System.  If a supplier practices lime softening, the supplier may acidify representative combined filter effluent turbidity samples prior to analysis using a protocol approved by the Agency.</w:t>
      </w:r>
    </w:p>
    <w:p w14:paraId="424B370C" w14:textId="77777777" w:rsidR="00F0626C" w:rsidRPr="001A7517" w:rsidRDefault="00F0626C" w:rsidP="00F0626C">
      <w:pPr>
        <w:widowControl w:val="0"/>
        <w:spacing w:before="240"/>
      </w:pPr>
      <w:r w:rsidRPr="001A7517">
        <w:t>BOARD NOTE:  Derived from 40 CFR 141.550 through 141.553.</w:t>
      </w:r>
    </w:p>
    <w:p w14:paraId="5A8B9476"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37CB492F" w14:textId="77777777" w:rsidR="00F0626C" w:rsidRPr="001A7517" w:rsidRDefault="00F0626C" w:rsidP="00F0626C">
      <w:pPr>
        <w:keepNext/>
        <w:keepLines/>
        <w:widowControl w:val="0"/>
        <w:suppressAutoHyphens/>
        <w:spacing w:before="240"/>
        <w:rPr>
          <w:b/>
        </w:rPr>
      </w:pPr>
      <w:r w:rsidRPr="001A7517">
        <w:rPr>
          <w:b/>
        </w:rPr>
        <w:t xml:space="preserve">Section </w:t>
      </w:r>
      <w:bookmarkStart w:id="4435" w:name="_Hlk27062937"/>
      <w:r w:rsidRPr="001A7517">
        <w:rPr>
          <w:b/>
        </w:rPr>
        <w:t>611.956</w:t>
      </w:r>
      <w:bookmarkEnd w:id="4435"/>
      <w:r w:rsidRPr="001A7517">
        <w:rPr>
          <w:b/>
        </w:rPr>
        <w:t xml:space="preserve">  Individual Filter Turbidity Requirements</w:t>
      </w:r>
    </w:p>
    <w:p w14:paraId="0CC37382" w14:textId="77777777" w:rsidR="00F0626C" w:rsidRPr="001A7517" w:rsidRDefault="00F0626C" w:rsidP="00F0626C">
      <w:pPr>
        <w:widowControl w:val="0"/>
        <w:spacing w:before="240"/>
        <w:ind w:left="1440" w:hanging="720"/>
      </w:pPr>
      <w:r w:rsidRPr="001A7517">
        <w:t>a)</w:t>
      </w:r>
      <w:r w:rsidRPr="001A7517">
        <w:tab/>
        <w:t>Applicability.  A Subpart B system supplier that serves fewer than 10,000 persons and utilizing conventional filtration or direct filtration must conduct continuous monitoring of turbidity for each individual filter in a supplier’s system.  The following requirements apply to continuous turbidity monitoring:</w:t>
      </w:r>
    </w:p>
    <w:p w14:paraId="4132F720" w14:textId="77777777" w:rsidR="00F0626C" w:rsidRPr="001A7517" w:rsidRDefault="00F0626C" w:rsidP="00F0626C">
      <w:pPr>
        <w:widowControl w:val="0"/>
        <w:spacing w:before="240"/>
        <w:ind w:left="2160" w:hanging="720"/>
      </w:pPr>
      <w:r w:rsidRPr="001A7517">
        <w:t>1)</w:t>
      </w:r>
      <w:r w:rsidRPr="001A7517">
        <w:tab/>
        <w:t>Monitoring must be conducted using an approved method in Section 611.531;</w:t>
      </w:r>
    </w:p>
    <w:p w14:paraId="5B3F699B" w14:textId="77777777" w:rsidR="00F0626C" w:rsidRPr="001A7517" w:rsidRDefault="00F0626C" w:rsidP="00F0626C">
      <w:pPr>
        <w:widowControl w:val="0"/>
        <w:spacing w:before="240"/>
        <w:ind w:left="2160" w:hanging="720"/>
      </w:pPr>
      <w:r w:rsidRPr="001A7517">
        <w:t>2)</w:t>
      </w:r>
      <w:r w:rsidRPr="001A7517">
        <w:tab/>
        <w:t>Calibration of turbidimeters must be conducted using procedures specified by the manufacturer;</w:t>
      </w:r>
    </w:p>
    <w:p w14:paraId="2AC33720" w14:textId="77777777" w:rsidR="00F0626C" w:rsidRPr="001A7517" w:rsidRDefault="00F0626C" w:rsidP="00F0626C">
      <w:pPr>
        <w:widowControl w:val="0"/>
        <w:spacing w:before="240"/>
        <w:ind w:left="2160" w:hanging="720"/>
      </w:pPr>
      <w:r w:rsidRPr="001A7517">
        <w:t>3)</w:t>
      </w:r>
      <w:r w:rsidRPr="001A7517">
        <w:tab/>
        <w:t>Results of turbidity monitoring must be recorded at least every 15 minutes;</w:t>
      </w:r>
    </w:p>
    <w:p w14:paraId="1E269BF9" w14:textId="77777777" w:rsidR="00F0626C" w:rsidRPr="001A7517" w:rsidRDefault="00F0626C" w:rsidP="00F0626C">
      <w:pPr>
        <w:widowControl w:val="0"/>
        <w:spacing w:before="240"/>
        <w:ind w:left="2160" w:hanging="720"/>
      </w:pPr>
      <w:r w:rsidRPr="001A7517">
        <w:t>4)</w:t>
      </w:r>
      <w:r w:rsidRPr="001A7517">
        <w:tab/>
        <w:t>Monthly reporting must be completed according to Section 611.957(a); and</w:t>
      </w:r>
    </w:p>
    <w:p w14:paraId="4A3A4EA9" w14:textId="77777777" w:rsidR="00F0626C" w:rsidRPr="001A7517" w:rsidRDefault="00F0626C" w:rsidP="00F0626C">
      <w:pPr>
        <w:widowControl w:val="0"/>
        <w:spacing w:before="240"/>
        <w:ind w:left="2160" w:hanging="720"/>
      </w:pPr>
      <w:r w:rsidRPr="001A7517">
        <w:t>5)</w:t>
      </w:r>
      <w:r w:rsidRPr="001A7517">
        <w:tab/>
        <w:t>Records must be maintained according to Section 611.957(b).</w:t>
      </w:r>
    </w:p>
    <w:p w14:paraId="39E893DE" w14:textId="77777777" w:rsidR="00F0626C" w:rsidRPr="001A7517" w:rsidRDefault="00F0626C" w:rsidP="00F0626C">
      <w:pPr>
        <w:widowControl w:val="0"/>
        <w:spacing w:before="240"/>
        <w:ind w:left="1440" w:hanging="720"/>
      </w:pPr>
      <w:r w:rsidRPr="001A7517">
        <w:t>b)</w:t>
      </w:r>
      <w:r w:rsidRPr="001A7517">
        <w:tab/>
        <w:t>Failure of Turbidity Monitoring Equipment.  If there is a failure in the continuous turbidity monitoring equipment, the supplier must conduct grab sampling every four hours in lieu of continuous monitoring until the turbidimeter is back on-line.  The supplier has 14 days to resume continuous monitoring before a violation is incurred.</w:t>
      </w:r>
    </w:p>
    <w:p w14:paraId="2A7D89C3" w14:textId="77777777" w:rsidR="00F0626C" w:rsidRPr="001A7517" w:rsidRDefault="00F0626C" w:rsidP="00F0626C">
      <w:pPr>
        <w:widowControl w:val="0"/>
        <w:spacing w:before="240"/>
        <w:ind w:left="1440" w:hanging="720"/>
      </w:pPr>
      <w:r w:rsidRPr="001A7517">
        <w:t>c)</w:t>
      </w:r>
      <w:r w:rsidRPr="001A7517">
        <w:tab/>
        <w:t>Special Requirements for Systems with Two or Fewer Filters.  If a supplier’s system only consists of two or fewer filters, the supplier may conduct continuous monitoring of combined filter effluent turbidity in lieu of individual filter effluent turbidity monitoring.  Continuous monitoring must meet the same requirements set forth in subsections (a)(1) through (a)(4) and (b).</w:t>
      </w:r>
    </w:p>
    <w:p w14:paraId="2D1AB6B6" w14:textId="77777777" w:rsidR="00F0626C" w:rsidRPr="001A7517" w:rsidRDefault="00F0626C" w:rsidP="00F0626C">
      <w:pPr>
        <w:widowControl w:val="0"/>
        <w:spacing w:before="240"/>
        <w:ind w:left="1440" w:hanging="720"/>
      </w:pPr>
      <w:r w:rsidRPr="001A7517">
        <w:t>d)</w:t>
      </w:r>
      <w:r w:rsidRPr="001A7517">
        <w:tab/>
        <w:t>Follow-Up Action.  Follow-up action is required according to the following requirements:</w:t>
      </w:r>
    </w:p>
    <w:p w14:paraId="74E038C9" w14:textId="77777777" w:rsidR="00F0626C" w:rsidRPr="001A7517" w:rsidRDefault="00F0626C" w:rsidP="00F0626C">
      <w:pPr>
        <w:widowControl w:val="0"/>
        <w:spacing w:before="240"/>
        <w:ind w:left="2160" w:hanging="720"/>
      </w:pPr>
      <w:r w:rsidRPr="001A7517">
        <w:lastRenderedPageBreak/>
        <w:t>1)</w:t>
      </w:r>
      <w:r w:rsidRPr="001A7517">
        <w:tab/>
        <w:t>If the turbidity of an individual filter (or the turbidity of combined filter effluent (CFE) for a system with two filters that monitor CFE in lieu of individual filters) exceeds 1.0 NTU in two consecutive recordings 15 minutes apart, the supplier must report to the Agency by the 10th of the following month and include the filter numbers, corresponding dates, turbidity values that exceeded 1.0 NTU, and the cause (if known) for the exceedances.</w:t>
      </w:r>
    </w:p>
    <w:p w14:paraId="58EF5A99" w14:textId="77777777" w:rsidR="00F0626C" w:rsidRPr="001A7517" w:rsidRDefault="00F0626C" w:rsidP="00F0626C">
      <w:pPr>
        <w:widowControl w:val="0"/>
        <w:spacing w:before="240"/>
        <w:ind w:left="2160" w:hanging="720"/>
      </w:pPr>
      <w:r w:rsidRPr="001A7517">
        <w:t>2)</w:t>
      </w:r>
      <w:r w:rsidRPr="001A7517">
        <w:tab/>
        <w:t>If a supplier was required to report to the Agency for three months in a row and turbidity exceeded 1.0 NTU in two consecutive recordings 15 minutes apart at the same filter (or CFE for systems with two filters that monitor CFE in lieu of individual filters), the supplier must conduct a self-assessment of the filters within 14 days after the day on which the filter exceeded 1.0 NTU in two consecutive measurements for the third straight month, unless a CPE, as specified in subsection (d)(3), was required.  A supplier that has a system with two filters that monitor CFE in lieu of individual filters must conduct a self-assessment on both filters.  The self-assessment must consist of at least the following components:  assessment of filter performance, development of a filter profile, identification and prioritization of factors limiting filter performance, assessment of the applicability of corrections, and preparation of a filter self-assessment report.</w:t>
      </w:r>
    </w:p>
    <w:p w14:paraId="717388DB" w14:textId="77777777" w:rsidR="00F0626C" w:rsidRPr="001A7517" w:rsidRDefault="00F0626C" w:rsidP="00F0626C">
      <w:pPr>
        <w:widowControl w:val="0"/>
        <w:spacing w:before="240"/>
        <w:ind w:left="2160" w:hanging="720"/>
      </w:pPr>
      <w:r w:rsidRPr="001A7517">
        <w:t>3)</w:t>
      </w:r>
      <w:r w:rsidRPr="001A7517">
        <w:tab/>
        <w:t>If a supplier was required to report to the Agency for two months in a row and turbidity exceeded 2.0 NTU in two consecutive recordings 15 minutes apart at the same filter (or CFE for systems with two filters that monitor CFE in lieu of individual filters), the supplier must arrange to have a comprehensive performance evaluation (CPE) conducted by the Agency or a third party approved by the Agency not later than 60 days following the day the filter exceeded 2.0 NTU in two consecutive measurements for the second straight month.  If a CPE has been completed by the Agency or a third party approved by the Agency within the 12 prior months or the system and Agency are jointly participating in an ongoing comprehensive technical assistance (CTA) project at the system, a new CPE is not required.  If conducted, a CPE must be completed and submitted to the Agency no later than 120 days following the day the filter exceeded 2.0 NTU in two consecutive measurements for the second straight month.</w:t>
      </w:r>
    </w:p>
    <w:p w14:paraId="78561B43" w14:textId="77777777" w:rsidR="00F0626C" w:rsidRPr="001A7517" w:rsidRDefault="00F0626C" w:rsidP="00F0626C">
      <w:pPr>
        <w:widowControl w:val="0"/>
        <w:spacing w:before="240"/>
        <w:ind w:left="1440" w:hanging="720"/>
      </w:pPr>
      <w:r w:rsidRPr="001A7517">
        <w:t>e)</w:t>
      </w:r>
      <w:r w:rsidRPr="001A7517">
        <w:tab/>
        <w:t>Special Individual Filter Monitoring for a Lime-Softening System.  If a supplier’s system utilizes lime softening, the supplier may apply to the Agency for alternative turbidity exceedance levels for the levels specified in subsection (d).  The supplier must be able to demonstrate to the Agency that higher turbidity levels are due to lime carryover only, and not due to degraded filter performance.</w:t>
      </w:r>
    </w:p>
    <w:p w14:paraId="1A60D426" w14:textId="77777777" w:rsidR="00F0626C" w:rsidRPr="001A7517" w:rsidRDefault="00F0626C" w:rsidP="00F0626C">
      <w:pPr>
        <w:widowControl w:val="0"/>
        <w:spacing w:before="240"/>
      </w:pPr>
      <w:r w:rsidRPr="001A7517">
        <w:t>BOARD NOTE:  Derived from 40 CFR 141.560 through 141.564.</w:t>
      </w:r>
    </w:p>
    <w:p w14:paraId="0FB7848F" w14:textId="77777777" w:rsidR="00F0626C" w:rsidRPr="001A7517" w:rsidRDefault="00F0626C" w:rsidP="00F0626C">
      <w:pPr>
        <w:suppressAutoHyphens/>
        <w:spacing w:before="240"/>
        <w:ind w:left="720"/>
      </w:pPr>
      <w:r w:rsidRPr="001A7517">
        <w:lastRenderedPageBreak/>
        <w:t>(Source:  A</w:t>
      </w:r>
      <w:r w:rsidRPr="001A7517">
        <w:rPr>
          <w:szCs w:val="17"/>
        </w:rPr>
        <w:t xml:space="preserve">mended at </w:t>
      </w:r>
      <w:r w:rsidRPr="001A7517">
        <w:t>44 Ill. Reg. 6996, effective April 17, 2020)</w:t>
      </w:r>
    </w:p>
    <w:p w14:paraId="0E6511C2" w14:textId="77777777" w:rsidR="00F0626C" w:rsidRPr="001A7517" w:rsidRDefault="00F0626C" w:rsidP="00F0626C">
      <w:pPr>
        <w:keepNext/>
        <w:keepLines/>
        <w:suppressAutoHyphens/>
        <w:spacing w:before="240"/>
        <w:rPr>
          <w:b/>
        </w:rPr>
      </w:pPr>
      <w:r w:rsidRPr="001A7517">
        <w:rPr>
          <w:b/>
        </w:rPr>
        <w:t>Section 611.957  Reporting and Recordkeeping Requirements</w:t>
      </w:r>
    </w:p>
    <w:p w14:paraId="5666EE9B" w14:textId="77777777" w:rsidR="00F0626C" w:rsidRPr="001A7517" w:rsidRDefault="00F0626C" w:rsidP="00F0626C">
      <w:pPr>
        <w:spacing w:before="240"/>
        <w:ind w:left="1440" w:hanging="720"/>
      </w:pPr>
      <w:r w:rsidRPr="001A7517">
        <w:t>a)</w:t>
      </w:r>
      <w:r w:rsidRPr="001A7517">
        <w:tab/>
        <w:t>Reporting.  This Subpart X requires a supplier to report several items to the Agency.  Subsections (a)(1) through (a)(4) describe the items that must be reported and the frequency of reporting.  (The supplier is required to report the information described in subsections (a)(1) through (a)(4), if it is subject to the specific requirement indicated.)</w:t>
      </w:r>
    </w:p>
    <w:p w14:paraId="45DC93D0" w14:textId="77777777" w:rsidR="00F0626C" w:rsidRPr="001A7517" w:rsidRDefault="00F0626C" w:rsidP="00F0626C">
      <w:pPr>
        <w:spacing w:before="240"/>
        <w:ind w:left="2160" w:hanging="720"/>
      </w:pPr>
      <w:r w:rsidRPr="001A7517">
        <w:t>1)</w:t>
      </w:r>
      <w:r w:rsidRPr="001A7517">
        <w:tab/>
        <w:t>If a supplier is subject to the combined filter effluent requirements (Section 611.955), it must report as follows:</w:t>
      </w:r>
    </w:p>
    <w:p w14:paraId="3A1F74CB" w14:textId="77777777" w:rsidR="00F0626C" w:rsidRPr="001A7517" w:rsidRDefault="00F0626C" w:rsidP="00F0626C">
      <w:pPr>
        <w:spacing w:before="240"/>
        <w:ind w:left="2880" w:hanging="720"/>
      </w:pPr>
      <w:r w:rsidRPr="001A7517">
        <w:t>A)</w:t>
      </w:r>
      <w:r w:rsidRPr="001A7517">
        <w:tab/>
        <w:t>The total number of filtered water turbidity measurements taken during the month, by the 10th of the following month.</w:t>
      </w:r>
    </w:p>
    <w:p w14:paraId="63D06E9A" w14:textId="77777777" w:rsidR="00F0626C" w:rsidRPr="001A7517" w:rsidRDefault="00F0626C" w:rsidP="00F0626C">
      <w:pPr>
        <w:spacing w:before="240"/>
        <w:ind w:left="2880" w:hanging="720"/>
      </w:pPr>
      <w:r w:rsidRPr="001A7517">
        <w:t>B)</w:t>
      </w:r>
      <w:r w:rsidRPr="001A7517">
        <w:tab/>
        <w:t>The number and percentage of filtered water turbidity measurements taken during the month that are less than or equal to the supplier’s required 95th percentile limit, by the 10th of the following month.</w:t>
      </w:r>
    </w:p>
    <w:p w14:paraId="4E300880" w14:textId="77777777" w:rsidR="00F0626C" w:rsidRPr="001A7517" w:rsidRDefault="00F0626C" w:rsidP="00F0626C">
      <w:pPr>
        <w:suppressAutoHyphens/>
        <w:spacing w:before="240"/>
        <w:ind w:left="2880" w:hanging="720"/>
      </w:pPr>
      <w:r w:rsidRPr="001A7517">
        <w:t>C)</w:t>
      </w:r>
      <w:r w:rsidRPr="001A7517">
        <w:tab/>
        <w:t>The date and value of any turbidity measurements taken during the month that exceed the maximum turbidity value for the supplier’s filtration system, by the 10th of the following month.</w:t>
      </w:r>
    </w:p>
    <w:p w14:paraId="23C2E853" w14:textId="77777777" w:rsidR="00F0626C" w:rsidRPr="001A7517" w:rsidRDefault="00F0626C" w:rsidP="00F0626C">
      <w:pPr>
        <w:spacing w:before="240"/>
        <w:ind w:left="2160" w:hanging="720"/>
      </w:pPr>
      <w:r w:rsidRPr="001A7517">
        <w:t>2)</w:t>
      </w:r>
      <w:r w:rsidRPr="001A7517">
        <w:tab/>
        <w:t>If the supplier is subject to the individual filter turbidity requirements (Section 611.956), it must report as follows:</w:t>
      </w:r>
    </w:p>
    <w:p w14:paraId="0757791E" w14:textId="77777777" w:rsidR="00F0626C" w:rsidRPr="001A7517" w:rsidRDefault="00F0626C" w:rsidP="00F0626C">
      <w:pPr>
        <w:spacing w:before="240"/>
        <w:ind w:left="2880" w:hanging="720"/>
      </w:pPr>
      <w:r w:rsidRPr="001A7517">
        <w:t>A)</w:t>
      </w:r>
      <w:r w:rsidRPr="001A7517">
        <w:tab/>
        <w:t>The fact that the supplier’s system conducted individual filter turbidity monitoring during the month, by the 10th of the following month.</w:t>
      </w:r>
    </w:p>
    <w:p w14:paraId="41CE39E2" w14:textId="77777777" w:rsidR="00F0626C" w:rsidRPr="001A7517" w:rsidRDefault="00F0626C" w:rsidP="00F0626C">
      <w:pPr>
        <w:spacing w:before="240"/>
        <w:ind w:left="2880" w:hanging="720"/>
      </w:pPr>
      <w:r w:rsidRPr="001A7517">
        <w:t>B)</w:t>
      </w:r>
      <w:r w:rsidRPr="001A7517">
        <w:tab/>
        <w:t>The filter numbers, corresponding dates, and the turbidity values that exceeded 1.0 NTU during the month, by the 10th of the following month, but only if two consecutive measurements exceeded 1.0 NTU.</w:t>
      </w:r>
    </w:p>
    <w:p w14:paraId="1F8F5F9B" w14:textId="77777777" w:rsidR="00F0626C" w:rsidRPr="001A7517" w:rsidRDefault="00F0626C" w:rsidP="00F0626C">
      <w:pPr>
        <w:spacing w:before="240"/>
        <w:ind w:left="2880" w:hanging="720"/>
      </w:pPr>
      <w:r w:rsidRPr="001A7517">
        <w:t>C)</w:t>
      </w:r>
      <w:r w:rsidRPr="001A7517">
        <w:tab/>
        <w:t>If a self-assessment is required, the date that it was triggered and the date that it was completed, by the 10th of the following month (or 14 days after the self-assessment was triggered only if the self-assessment was triggered during the last four days of the month).</w:t>
      </w:r>
    </w:p>
    <w:p w14:paraId="5A53823E" w14:textId="77777777" w:rsidR="00F0626C" w:rsidRPr="001A7517" w:rsidRDefault="00F0626C" w:rsidP="00F0626C">
      <w:pPr>
        <w:spacing w:before="240"/>
        <w:ind w:left="2880" w:hanging="720"/>
      </w:pPr>
      <w:r w:rsidRPr="001A7517">
        <w:t>D)</w:t>
      </w:r>
      <w:r w:rsidRPr="001A7517">
        <w:tab/>
        <w:t>If a CPE is required, the fact that the CPE is required and the date that it was triggered, by the 10th of the following month.</w:t>
      </w:r>
    </w:p>
    <w:p w14:paraId="50B8628F" w14:textId="77777777" w:rsidR="00F0626C" w:rsidRPr="001A7517" w:rsidRDefault="00F0626C" w:rsidP="00F0626C">
      <w:pPr>
        <w:spacing w:before="240"/>
        <w:ind w:left="2880" w:hanging="720"/>
      </w:pPr>
      <w:r w:rsidRPr="001A7517">
        <w:lastRenderedPageBreak/>
        <w:t>E)</w:t>
      </w:r>
      <w:r w:rsidRPr="001A7517">
        <w:tab/>
        <w:t>A copy of completed CPE report, within 120 days after the CPE was triggered.</w:t>
      </w:r>
    </w:p>
    <w:p w14:paraId="4CA9E037" w14:textId="77777777" w:rsidR="00F0626C" w:rsidRPr="001A7517" w:rsidRDefault="00F0626C" w:rsidP="00F0626C">
      <w:pPr>
        <w:spacing w:before="240"/>
        <w:ind w:left="2160" w:hanging="720"/>
      </w:pPr>
      <w:r w:rsidRPr="001A7517">
        <w:t>3)</w:t>
      </w:r>
      <w:r w:rsidRPr="001A7517">
        <w:tab/>
        <w:t>If the supplier is subject to the disinfection profiling (Section 611.953), it must report results of optional monitoring that show TTHM levels 0.064 mg/ℓ and HAA5 levels 0.048 mg/ℓ (only if the supplier wishes to forgo profiling) or that the supplier has begun disinfection profiling.</w:t>
      </w:r>
    </w:p>
    <w:p w14:paraId="2C0B76C6" w14:textId="77777777" w:rsidR="00F0626C" w:rsidRPr="001A7517" w:rsidRDefault="00F0626C" w:rsidP="00F0626C">
      <w:pPr>
        <w:spacing w:before="240"/>
        <w:ind w:left="2160" w:hanging="720"/>
      </w:pPr>
      <w:r w:rsidRPr="001A7517">
        <w:t>4)</w:t>
      </w:r>
      <w:r w:rsidRPr="001A7517">
        <w:tab/>
        <w:t>If the supplier is subject to the disinfection benchmarking (Section 611.954), it must report a description of the proposed change in disinfection, its system’s disinfection profile for Giardia lamblia (and, if necessary, viruses) and disinfection benchmark, and an analysis of how the proposed change will affect the current levels of disinfection, anytime the supplier is considering a significant change to its disinfection practice.</w:t>
      </w:r>
    </w:p>
    <w:p w14:paraId="4ED846C5" w14:textId="77777777" w:rsidR="00F0626C" w:rsidRPr="001A7517" w:rsidRDefault="00F0626C" w:rsidP="00F0626C">
      <w:pPr>
        <w:spacing w:before="240"/>
        <w:ind w:left="1440" w:hanging="720"/>
      </w:pPr>
      <w:r w:rsidRPr="001A7517">
        <w:t>b)</w:t>
      </w:r>
      <w:r w:rsidRPr="001A7517">
        <w:tab/>
        <w:t>Recordkeeping.  A supplier must keep several types of records based on the requirements of this Subpart X, in addition to recordkeeping requirements under Sections 611.261 and 611.262.  Subsections (b)(1) through (b)(3) describe the necessary records, the length of time these records must be kept, and for which requirement the records pertain.  (The supplier is required to maintain records described in subsections (b)(1) through (b)(3), if it is subject to the specific requirement indicated.)</w:t>
      </w:r>
    </w:p>
    <w:p w14:paraId="5A1FE049" w14:textId="77777777" w:rsidR="00F0626C" w:rsidRPr="001A7517" w:rsidRDefault="00F0626C" w:rsidP="00F0626C">
      <w:pPr>
        <w:spacing w:before="240"/>
        <w:ind w:left="2160" w:hanging="720"/>
      </w:pPr>
      <w:r w:rsidRPr="001A7517">
        <w:t>1)</w:t>
      </w:r>
      <w:r w:rsidRPr="001A7517">
        <w:tab/>
        <w:t>If the supplier is subject to the individual filter turbidity requirements (Section 611.956), it must retain the results of individual filter monitoring as necessary records for at least three years.</w:t>
      </w:r>
    </w:p>
    <w:p w14:paraId="13EC3FDE" w14:textId="77777777" w:rsidR="00F0626C" w:rsidRPr="001A7517" w:rsidRDefault="00F0626C" w:rsidP="00F0626C">
      <w:pPr>
        <w:spacing w:before="240"/>
        <w:ind w:left="2160" w:hanging="720"/>
      </w:pPr>
      <w:r w:rsidRPr="001A7517">
        <w:t>2)</w:t>
      </w:r>
      <w:r w:rsidRPr="001A7517">
        <w:tab/>
        <w:t>If the supplier is subject to disinfection profiling (Section 611.953), it must retain the results of its disinfection profile (including raw data and analysis) as necessary records indefinitely.</w:t>
      </w:r>
    </w:p>
    <w:p w14:paraId="695AD7FA" w14:textId="77777777" w:rsidR="00F0626C" w:rsidRPr="001A7517" w:rsidRDefault="00F0626C" w:rsidP="00F0626C">
      <w:pPr>
        <w:spacing w:before="240"/>
        <w:ind w:left="2160" w:hanging="720"/>
      </w:pPr>
      <w:r w:rsidRPr="001A7517">
        <w:t>3)</w:t>
      </w:r>
      <w:r w:rsidRPr="001A7517">
        <w:tab/>
        <w:t>If the supplier is subject to disinfection benchmarking (Section 611.954), it must retain its disinfection benchmark (including raw data and analysis) as necessary records indefinitely.</w:t>
      </w:r>
    </w:p>
    <w:p w14:paraId="5D1C71BA" w14:textId="77777777" w:rsidR="00F0626C" w:rsidRPr="001A7517" w:rsidRDefault="00F0626C" w:rsidP="00F0626C">
      <w:pPr>
        <w:spacing w:before="240"/>
      </w:pPr>
      <w:r w:rsidRPr="001A7517">
        <w:t>BOARD NOTE:  Derived from 40 CFR 141.570 and 141.571.</w:t>
      </w:r>
    </w:p>
    <w:p w14:paraId="2743D998"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p w14:paraId="70FF5AB5" w14:textId="77777777" w:rsidR="00F0626C" w:rsidRPr="001A7517" w:rsidRDefault="00F0626C" w:rsidP="00F0626C">
      <w:pPr>
        <w:keepNext/>
        <w:keepLines/>
        <w:suppressAutoHyphens/>
        <w:spacing w:before="240" w:after="240"/>
        <w:ind w:left="720" w:right="720"/>
        <w:jc w:val="center"/>
        <w:rPr>
          <w:szCs w:val="18"/>
        </w:rPr>
      </w:pPr>
      <w:bookmarkStart w:id="4436" w:name="_Hlk26286877"/>
      <w:r w:rsidRPr="001A7517">
        <w:t>SUBPART Y</w:t>
      </w:r>
      <w:r w:rsidRPr="001A7517">
        <w:rPr>
          <w:szCs w:val="18"/>
        </w:rPr>
        <w:t>:  STAGE 2 DISINFECTION BYPRODUCTS REQUIREMENTS</w:t>
      </w:r>
    </w:p>
    <w:p w14:paraId="0F47BE54" w14:textId="77777777" w:rsidR="00F0626C" w:rsidRPr="001A7517" w:rsidRDefault="00F0626C" w:rsidP="00F0626C">
      <w:pPr>
        <w:keepNext/>
        <w:keepLines/>
        <w:suppressAutoHyphens/>
        <w:spacing w:before="240"/>
        <w:rPr>
          <w:b/>
        </w:rPr>
      </w:pPr>
      <w:r w:rsidRPr="001A7517">
        <w:rPr>
          <w:b/>
        </w:rPr>
        <w:t xml:space="preserve">Section </w:t>
      </w:r>
      <w:bookmarkStart w:id="4437" w:name="_Hlk27062951"/>
      <w:r w:rsidRPr="001A7517">
        <w:rPr>
          <w:b/>
        </w:rPr>
        <w:t>611.970</w:t>
      </w:r>
      <w:bookmarkEnd w:id="4437"/>
      <w:r w:rsidRPr="001A7517">
        <w:rPr>
          <w:b/>
        </w:rPr>
        <w:t xml:space="preserve">  General Requirements</w:t>
      </w:r>
    </w:p>
    <w:p w14:paraId="4E5D57A2" w14:textId="77777777" w:rsidR="00F0626C" w:rsidRPr="001A7517" w:rsidRDefault="00F0626C" w:rsidP="00F0626C">
      <w:pPr>
        <w:spacing w:before="240"/>
        <w:ind w:left="1440" w:hanging="720"/>
        <w:rPr>
          <w:szCs w:val="18"/>
        </w:rPr>
      </w:pPr>
      <w:r w:rsidRPr="001A7517">
        <w:t>a)</w:t>
      </w:r>
      <w:r w:rsidRPr="001A7517">
        <w:tab/>
      </w:r>
      <w:r w:rsidRPr="001A7517">
        <w:rPr>
          <w:iCs/>
          <w:szCs w:val="18"/>
        </w:rPr>
        <w:t xml:space="preserve">General.  </w:t>
      </w:r>
      <w:r w:rsidRPr="001A7517">
        <w:rPr>
          <w:szCs w:val="18"/>
        </w:rPr>
        <w:t xml:space="preserve">The requirements of this Subpart Y constitute NPDWRs.  The regulations in this Subpart Y establish monitoring and other requirements for achieving compliance with MCLs based on LRAAs for TTHM and HAA5, and </w:t>
      </w:r>
      <w:r w:rsidRPr="001A7517">
        <w:rPr>
          <w:szCs w:val="18"/>
        </w:rPr>
        <w:lastRenderedPageBreak/>
        <w:t>for achieving compliance with MRDLs for chlorine and chloramine for certain consecutive systems.</w:t>
      </w:r>
    </w:p>
    <w:p w14:paraId="6DF7C7C0" w14:textId="77777777" w:rsidR="00F0626C" w:rsidRPr="001A7517" w:rsidRDefault="00F0626C" w:rsidP="00F0626C">
      <w:pPr>
        <w:spacing w:before="240"/>
        <w:ind w:left="1440" w:hanging="720"/>
        <w:rPr>
          <w:szCs w:val="18"/>
        </w:rPr>
      </w:pPr>
      <w:r w:rsidRPr="001A7517">
        <w:rPr>
          <w:szCs w:val="18"/>
        </w:rPr>
        <w:t>b)</w:t>
      </w:r>
      <w:r w:rsidRPr="001A7517">
        <w:rPr>
          <w:szCs w:val="18"/>
        </w:rPr>
        <w:tab/>
      </w:r>
      <w:r w:rsidRPr="001A7517">
        <w:rPr>
          <w:iCs/>
          <w:szCs w:val="18"/>
        </w:rPr>
        <w:t xml:space="preserve">Applicability.  </w:t>
      </w:r>
      <w:r w:rsidRPr="001A7517">
        <w:rPr>
          <w:szCs w:val="18"/>
        </w:rPr>
        <w:t xml:space="preserve">A supplier is subject to these requirements if its system is a CWS or a NTNCWS that uses a primary or residual disinfectant other than ultraviolet light or </w:t>
      </w:r>
      <w:r w:rsidRPr="001A7517">
        <w:t xml:space="preserve">that </w:t>
      </w:r>
      <w:r w:rsidRPr="001A7517">
        <w:rPr>
          <w:szCs w:val="18"/>
        </w:rPr>
        <w:t>delivers water that has been treated with a primary or residual disinfectant other than ultraviolet light.</w:t>
      </w:r>
    </w:p>
    <w:p w14:paraId="55B71226" w14:textId="77777777" w:rsidR="00F0626C" w:rsidRPr="001A7517" w:rsidRDefault="00F0626C" w:rsidP="00F0626C">
      <w:pPr>
        <w:spacing w:before="240"/>
        <w:ind w:left="1440" w:hanging="720"/>
        <w:rPr>
          <w:szCs w:val="18"/>
        </w:rPr>
      </w:pPr>
      <w:r w:rsidRPr="001A7517">
        <w:rPr>
          <w:szCs w:val="18"/>
        </w:rPr>
        <w:t>c)</w:t>
      </w:r>
      <w:r w:rsidRPr="001A7517">
        <w:rPr>
          <w:szCs w:val="18"/>
        </w:rPr>
        <w:tab/>
        <w:t>A supplier must comply with the requirements in this Subpart Y as follows:</w:t>
      </w:r>
    </w:p>
    <w:p w14:paraId="6B403051" w14:textId="77777777" w:rsidR="00F0626C" w:rsidRPr="001A7517" w:rsidRDefault="00F0626C" w:rsidP="00F0626C">
      <w:pPr>
        <w:spacing w:before="240"/>
        <w:ind w:left="2160" w:hanging="720"/>
        <w:rPr>
          <w:szCs w:val="18"/>
        </w:rPr>
      </w:pPr>
      <w:r w:rsidRPr="001A7517">
        <w:t>1)</w:t>
      </w:r>
      <w:r w:rsidRPr="001A7517">
        <w:tab/>
      </w:r>
      <w:r w:rsidRPr="001A7517">
        <w:rPr>
          <w:szCs w:val="18"/>
        </w:rPr>
        <w:t>The supplier’s monitoring frequency is specified in Section 611.971(a)(2).</w:t>
      </w:r>
    </w:p>
    <w:p w14:paraId="188A7E93" w14:textId="77777777" w:rsidR="00F0626C" w:rsidRPr="001A7517" w:rsidRDefault="00F0626C" w:rsidP="00F0626C">
      <w:pPr>
        <w:spacing w:before="240"/>
        <w:ind w:left="2880" w:hanging="720"/>
        <w:rPr>
          <w:szCs w:val="18"/>
        </w:rPr>
      </w:pPr>
      <w:r w:rsidRPr="001A7517">
        <w:rPr>
          <w:szCs w:val="18"/>
        </w:rPr>
        <w:t>A)</w:t>
      </w:r>
      <w:r w:rsidRPr="001A7517">
        <w:rPr>
          <w:szCs w:val="18"/>
        </w:rPr>
        <w:tab/>
        <w:t>If a supplier is required to conduct quarterly monitoring, it must begin monitoring in the first full calendar quarter that includes the applicable compliance date set forth in this subsection (c).</w:t>
      </w:r>
    </w:p>
    <w:p w14:paraId="14269DA7" w14:textId="77777777" w:rsidR="00F0626C" w:rsidRPr="001A7517" w:rsidRDefault="00F0626C" w:rsidP="00F0626C">
      <w:pPr>
        <w:spacing w:before="240"/>
        <w:ind w:left="2880" w:hanging="720"/>
        <w:rPr>
          <w:szCs w:val="18"/>
        </w:rPr>
      </w:pPr>
      <w:r w:rsidRPr="001A7517">
        <w:rPr>
          <w:szCs w:val="18"/>
        </w:rPr>
        <w:t>B)</w:t>
      </w:r>
      <w:r w:rsidRPr="001A7517">
        <w:rPr>
          <w:szCs w:val="18"/>
        </w:rPr>
        <w:tab/>
        <w:t xml:space="preserve">If a supplier is required to conduct monitoring less frequently than quarterly, it must begin monitoring in the calendar month recommended in the IDSE report prepared </w:t>
      </w:r>
      <w:r w:rsidRPr="001A7517">
        <w:t xml:space="preserve">under </w:t>
      </w:r>
      <w:r w:rsidRPr="001A7517">
        <w:rPr>
          <w:szCs w:val="18"/>
        </w:rPr>
        <w:t xml:space="preserve">Section 611.921 or Section 611.922 or in the calendar month identified in the </w:t>
      </w:r>
      <w:r w:rsidRPr="001A7517">
        <w:t>Subpart Y</w:t>
      </w:r>
      <w:r w:rsidRPr="001A7517">
        <w:rPr>
          <w:szCs w:val="18"/>
        </w:rPr>
        <w:t xml:space="preserve"> monitoring plan developed </w:t>
      </w:r>
      <w:r w:rsidRPr="001A7517">
        <w:t xml:space="preserve">under </w:t>
      </w:r>
      <w:r w:rsidRPr="001A7517">
        <w:rPr>
          <w:szCs w:val="18"/>
        </w:rPr>
        <w:t>Section 611.972, but in no instance later than 12 months after the applicable compliance date set forth in this subsection (c).</w:t>
      </w:r>
    </w:p>
    <w:p w14:paraId="287AD7C0" w14:textId="77777777" w:rsidR="00F0626C" w:rsidRPr="001A7517" w:rsidRDefault="00F0626C" w:rsidP="00F0626C">
      <w:pPr>
        <w:spacing w:before="240"/>
        <w:ind w:left="2160" w:hanging="720"/>
        <w:rPr>
          <w:szCs w:val="18"/>
        </w:rPr>
      </w:pPr>
      <w:r w:rsidRPr="001A7517">
        <w:rPr>
          <w:szCs w:val="18"/>
        </w:rPr>
        <w:t>2)</w:t>
      </w:r>
      <w:r w:rsidRPr="001A7517">
        <w:rPr>
          <w:szCs w:val="18"/>
        </w:rPr>
        <w:tab/>
        <w:t>If a supplier is required to conduct quarterly monitoring, it must make compliance calculations at the end of the fourth calendar quarter that follows the compliance date and at the end of each subsequent quarter (or earlier if the LRAA calculated based on fewer than four quarters of data would cause the MCL to be exceeded regardless of the monitoring results of subsequent quarters).  If a supplier is required to conduct monitoring less frequently than quarterly, it must make compliance calculations beginning with the first compliance sample taken after the compliance date.</w:t>
      </w:r>
    </w:p>
    <w:p w14:paraId="0BB3B08D" w14:textId="77777777" w:rsidR="00F0626C" w:rsidRPr="001A7517" w:rsidRDefault="00F0626C" w:rsidP="00F0626C">
      <w:pPr>
        <w:spacing w:before="240"/>
        <w:ind w:left="2160" w:hanging="720"/>
        <w:rPr>
          <w:szCs w:val="18"/>
        </w:rPr>
      </w:pPr>
      <w:r w:rsidRPr="001A7517">
        <w:rPr>
          <w:szCs w:val="18"/>
        </w:rPr>
        <w:t>3)</w:t>
      </w:r>
      <w:r w:rsidRPr="001A7517">
        <w:rPr>
          <w:szCs w:val="18"/>
        </w:rPr>
        <w:tab/>
        <w:t>The Agency may, by a SEP, determine that the combined distribution system does not include certain consecutive systems based on factors such as receipt of water from a wholesale system only on an emergency basis or receipt of only a small percentage and small volume of water from a wholesale system.  The Agency may also determine that the combined distribution system does not include certain wholesale systems based on factors such as delivery of water to a consecutive system only on an emergency basis or delivery of only a small percentage and small volume of water to a consecutive system.</w:t>
      </w:r>
    </w:p>
    <w:p w14:paraId="0788D5DC" w14:textId="77777777" w:rsidR="00F0626C" w:rsidRPr="001A7517" w:rsidRDefault="00F0626C" w:rsidP="00F0626C">
      <w:pPr>
        <w:spacing w:before="240"/>
        <w:ind w:left="1440"/>
        <w:rPr>
          <w:szCs w:val="18"/>
        </w:rPr>
      </w:pPr>
      <w:r w:rsidRPr="001A7517">
        <w:rPr>
          <w:szCs w:val="18"/>
        </w:rPr>
        <w:t>BOARD NOTE:</w:t>
      </w:r>
      <w:r w:rsidRPr="001A7517">
        <w:rPr>
          <w:szCs w:val="10"/>
        </w:rPr>
        <w:t xml:space="preserve">  Implementation of this Subpart Y occurred in stages during October 1, 2012 through October 1, 2014, depending on population served.  See </w:t>
      </w:r>
      <w:r w:rsidRPr="001A7517">
        <w:rPr>
          <w:szCs w:val="10"/>
        </w:rPr>
        <w:lastRenderedPageBreak/>
        <w:t>40 CFR 141.620(c)(1) through (c)(5).  The Board removed the now-obsolete implementation dates.</w:t>
      </w:r>
    </w:p>
    <w:p w14:paraId="27811B16" w14:textId="77777777" w:rsidR="00F0626C" w:rsidRPr="001A7517" w:rsidRDefault="00F0626C" w:rsidP="00F0626C">
      <w:pPr>
        <w:spacing w:before="240"/>
        <w:ind w:left="1440" w:hanging="720"/>
        <w:rPr>
          <w:szCs w:val="18"/>
        </w:rPr>
      </w:pPr>
      <w:r w:rsidRPr="001A7517">
        <w:rPr>
          <w:szCs w:val="18"/>
        </w:rPr>
        <w:t>d)</w:t>
      </w:r>
      <w:r w:rsidRPr="001A7517">
        <w:rPr>
          <w:szCs w:val="18"/>
        </w:rPr>
        <w:tab/>
        <w:t>Monitoring and Compliance</w:t>
      </w:r>
    </w:p>
    <w:p w14:paraId="1EF8DD62" w14:textId="77777777" w:rsidR="00F0626C" w:rsidRPr="001A7517" w:rsidRDefault="00F0626C" w:rsidP="00F0626C">
      <w:pPr>
        <w:spacing w:before="240"/>
        <w:ind w:left="2160" w:hanging="720"/>
        <w:rPr>
          <w:szCs w:val="18"/>
        </w:rPr>
      </w:pPr>
      <w:r w:rsidRPr="001A7517">
        <w:rPr>
          <w:szCs w:val="18"/>
        </w:rPr>
        <w:t>1)</w:t>
      </w:r>
      <w:r w:rsidRPr="001A7517">
        <w:rPr>
          <w:szCs w:val="18"/>
        </w:rPr>
        <w:tab/>
        <w:t xml:space="preserve">Suppliers Required to Monitor Quarterly.  To comply with </w:t>
      </w:r>
      <w:r w:rsidRPr="001A7517">
        <w:t>Subpart Y</w:t>
      </w:r>
      <w:r w:rsidRPr="001A7517">
        <w:rPr>
          <w:szCs w:val="18"/>
        </w:rPr>
        <w:t xml:space="preserve"> MCLs in Section 611.312(b)(2), the supplier must calculate LRAAs for TTHM and HAA5 using monitoring results collected under this Subpart Y, and it must determine that each LRAA does not exceed the MCL.  If the supplier fails to complete four consecutive quarters of monitoring, it must calculate compliance with the MCL based on the average of the available data from the most recent four quarters.  If the supplier takes more than one sample per quarter at a monitoring location, it must average all samples taken in the quarter at that location to determine a quarterly average to be used in the LRAA calculation.</w:t>
      </w:r>
    </w:p>
    <w:p w14:paraId="4C51A988" w14:textId="77777777" w:rsidR="00F0626C" w:rsidRPr="001A7517" w:rsidRDefault="00F0626C" w:rsidP="00F0626C">
      <w:pPr>
        <w:spacing w:before="240"/>
        <w:ind w:left="2160" w:hanging="720"/>
        <w:rPr>
          <w:szCs w:val="18"/>
        </w:rPr>
      </w:pPr>
      <w:r w:rsidRPr="001A7517">
        <w:rPr>
          <w:szCs w:val="18"/>
        </w:rPr>
        <w:t>2)</w:t>
      </w:r>
      <w:r w:rsidRPr="001A7517">
        <w:rPr>
          <w:szCs w:val="18"/>
        </w:rPr>
        <w:tab/>
        <w:t xml:space="preserve">Suppliers Required to Monitor Yearly or Less Frequently.  To determine compliance with </w:t>
      </w:r>
      <w:r w:rsidRPr="001A7517">
        <w:t>Subpart Y</w:t>
      </w:r>
      <w:r w:rsidRPr="001A7517">
        <w:rPr>
          <w:szCs w:val="18"/>
        </w:rPr>
        <w:t xml:space="preserve"> MCLs in Section 611.312(b)(2), the supplier must determine that each sample taken is less than the MCL.  If any sample exceeds the MCL, the supplier must comply with the requirements of Section 611.975.  If no sample exceeds the MCL, the sample result for each monitoring location is considered the LRAA for that monitoring location.</w:t>
      </w:r>
    </w:p>
    <w:p w14:paraId="73E19155" w14:textId="77777777" w:rsidR="00F0626C" w:rsidRPr="001A7517" w:rsidRDefault="00F0626C" w:rsidP="00F0626C">
      <w:pPr>
        <w:spacing w:before="240"/>
        <w:ind w:left="1440" w:hanging="720"/>
        <w:rPr>
          <w:szCs w:val="18"/>
        </w:rPr>
      </w:pPr>
      <w:r w:rsidRPr="001A7517">
        <w:rPr>
          <w:szCs w:val="18"/>
        </w:rPr>
        <w:t>e)</w:t>
      </w:r>
      <w:r w:rsidRPr="001A7517">
        <w:rPr>
          <w:szCs w:val="18"/>
        </w:rPr>
        <w:tab/>
      </w:r>
      <w:r w:rsidRPr="001A7517">
        <w:rPr>
          <w:iCs/>
          <w:szCs w:val="18"/>
        </w:rPr>
        <w:t xml:space="preserve">Violation for Failure to Monitor.  </w:t>
      </w:r>
      <w:r w:rsidRPr="001A7517">
        <w:rPr>
          <w:szCs w:val="18"/>
        </w:rPr>
        <w:t>A supplier is in violation of the monitoring requirements for each quarter that a monitoring result would be used in calculating an LRAA if the supplier fails to monitor.</w:t>
      </w:r>
    </w:p>
    <w:p w14:paraId="2F915C4C" w14:textId="77777777" w:rsidR="00F0626C" w:rsidRPr="001A7517" w:rsidRDefault="00F0626C" w:rsidP="00F0626C">
      <w:pPr>
        <w:spacing w:before="240"/>
      </w:pPr>
      <w:r w:rsidRPr="001A7517">
        <w:t>BOARD NOTE:  Derived from 40 CFR 141.620.</w:t>
      </w:r>
    </w:p>
    <w:p w14:paraId="768E912B"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56641C5A" w14:textId="77777777" w:rsidR="00F0626C" w:rsidRPr="001A7517" w:rsidRDefault="00F0626C" w:rsidP="00F0626C">
      <w:pPr>
        <w:keepNext/>
        <w:keepLines/>
        <w:suppressAutoHyphens/>
        <w:spacing w:before="240" w:after="240"/>
        <w:outlineLvl w:val="3"/>
        <w:rPr>
          <w:b/>
        </w:rPr>
      </w:pPr>
      <w:r w:rsidRPr="001A7517">
        <w:rPr>
          <w:b/>
        </w:rPr>
        <w:t xml:space="preserve">Section </w:t>
      </w:r>
      <w:bookmarkStart w:id="4438" w:name="_Hlk27062962"/>
      <w:r w:rsidRPr="001A7517">
        <w:rPr>
          <w:b/>
        </w:rPr>
        <w:t>611.971</w:t>
      </w:r>
      <w:bookmarkEnd w:id="4438"/>
      <w:r w:rsidRPr="001A7517">
        <w:rPr>
          <w:b/>
        </w:rPr>
        <w:t xml:space="preserve">  Routine Monitoring</w:t>
      </w:r>
    </w:p>
    <w:p w14:paraId="59A07ABE" w14:textId="77777777" w:rsidR="00F0626C" w:rsidRPr="001A7517" w:rsidRDefault="00F0626C" w:rsidP="00F0626C">
      <w:pPr>
        <w:suppressAutoHyphens/>
        <w:spacing w:before="240" w:after="240"/>
        <w:ind w:left="1440" w:hanging="720"/>
        <w:rPr>
          <w:szCs w:val="18"/>
        </w:rPr>
      </w:pPr>
      <w:r w:rsidRPr="001A7517">
        <w:t>a)</w:t>
      </w:r>
      <w:r w:rsidRPr="001A7517">
        <w:tab/>
        <w:t>Monitoring</w:t>
      </w:r>
    </w:p>
    <w:p w14:paraId="7C91A0E3" w14:textId="77777777" w:rsidR="00F0626C" w:rsidRPr="001A7517" w:rsidRDefault="00F0626C" w:rsidP="00F0626C">
      <w:pPr>
        <w:spacing w:before="240" w:after="240"/>
        <w:ind w:left="2160" w:hanging="720"/>
        <w:rPr>
          <w:szCs w:val="18"/>
        </w:rPr>
      </w:pPr>
      <w:r w:rsidRPr="001A7517">
        <w:rPr>
          <w:szCs w:val="18"/>
        </w:rPr>
        <w:t>1)</w:t>
      </w:r>
      <w:r w:rsidRPr="001A7517">
        <w:rPr>
          <w:szCs w:val="18"/>
        </w:rPr>
        <w:tab/>
        <w:t>If a supplier submitted an IDSE report, it must begin monitoring at the locations and during the months that the supplier has recommended in its IDSE report submitted under Section 611.925, following the schedule set forth in Section 611.970(c), unless the Agency, by a SEP, requires other locations or additional locations after its review.  If the supplier submitted a 40/30 certification under Section 611.923, it qualified for a very small system waiver under Section 611.924, or it is a NTNCWS that serves fewer than 10,000 persons, the supplier must monitor at the locations and on the dates identified in its monitoring plan as described in Section 611.382(f), updated as required by Section 611.972.</w:t>
      </w:r>
    </w:p>
    <w:p w14:paraId="79D62ACF" w14:textId="77777777" w:rsidR="00F0626C" w:rsidRPr="001A7517" w:rsidRDefault="00F0626C" w:rsidP="00F0626C">
      <w:pPr>
        <w:spacing w:before="240" w:after="240"/>
        <w:ind w:left="2160" w:hanging="720"/>
        <w:rPr>
          <w:szCs w:val="18"/>
        </w:rPr>
      </w:pPr>
      <w:r w:rsidRPr="001A7517">
        <w:rPr>
          <w:szCs w:val="18"/>
        </w:rPr>
        <w:lastRenderedPageBreak/>
        <w:t>2)</w:t>
      </w:r>
      <w:r w:rsidRPr="001A7517">
        <w:rPr>
          <w:szCs w:val="18"/>
        </w:rPr>
        <w:tab/>
        <w:t>The supplier must monitor at no fewer than the number of locations identified in the applicable of subsections (a)(2)(A) through (a)(2)(M), subject to the limitations of subsections (a)(2)(N) and (a)(2)(O).</w:t>
      </w:r>
    </w:p>
    <w:p w14:paraId="28353B44" w14:textId="77777777" w:rsidR="00F0626C" w:rsidRPr="001A7517" w:rsidRDefault="00F0626C" w:rsidP="00F0626C">
      <w:pPr>
        <w:spacing w:before="240" w:after="240"/>
        <w:ind w:left="2880" w:hanging="720"/>
        <w:rPr>
          <w:szCs w:val="18"/>
        </w:rPr>
      </w:pPr>
      <w:r w:rsidRPr="001A7517">
        <w:rPr>
          <w:szCs w:val="18"/>
        </w:rPr>
        <w:t>A)</w:t>
      </w:r>
      <w:r w:rsidRPr="001A7517">
        <w:rPr>
          <w:szCs w:val="18"/>
        </w:rPr>
        <w:tab/>
        <w:t>A Subpart B system supplier that serves fewer than 500 persons must monitor annually at two distribution system monitoring locations during each monitoring period.</w:t>
      </w:r>
    </w:p>
    <w:p w14:paraId="1D2F611E" w14:textId="77777777" w:rsidR="00F0626C" w:rsidRPr="001A7517" w:rsidRDefault="00F0626C" w:rsidP="00F0626C">
      <w:pPr>
        <w:spacing w:before="240" w:after="240"/>
        <w:ind w:left="2880" w:hanging="720"/>
        <w:rPr>
          <w:szCs w:val="18"/>
        </w:rPr>
      </w:pPr>
      <w:r w:rsidRPr="001A7517">
        <w:rPr>
          <w:szCs w:val="18"/>
        </w:rPr>
        <w:t>B)</w:t>
      </w:r>
      <w:r w:rsidRPr="001A7517">
        <w:rPr>
          <w:szCs w:val="18"/>
        </w:rPr>
        <w:tab/>
        <w:t>A Subpart B system supplier that serves 500 to 3,300 persons must monitor quarterly at two distribution system monitoring locations during each monitoring period.</w:t>
      </w:r>
    </w:p>
    <w:p w14:paraId="3DAD8554" w14:textId="77777777" w:rsidR="00F0626C" w:rsidRPr="001A7517" w:rsidRDefault="00F0626C" w:rsidP="00F0626C">
      <w:pPr>
        <w:spacing w:before="240" w:after="240"/>
        <w:ind w:left="2880" w:hanging="720"/>
        <w:rPr>
          <w:szCs w:val="18"/>
        </w:rPr>
      </w:pPr>
      <w:r w:rsidRPr="001A7517">
        <w:rPr>
          <w:szCs w:val="18"/>
        </w:rPr>
        <w:t>C)</w:t>
      </w:r>
      <w:r w:rsidRPr="001A7517">
        <w:rPr>
          <w:szCs w:val="18"/>
        </w:rPr>
        <w:tab/>
        <w:t>A Subpart B system supplier that serves 3,301 to 9,999 persons must monitor quarterly at two distribution system monitoring locations during each monitoring period.</w:t>
      </w:r>
    </w:p>
    <w:p w14:paraId="44E0C1A8" w14:textId="77777777" w:rsidR="00F0626C" w:rsidRPr="001A7517" w:rsidRDefault="00F0626C" w:rsidP="00F0626C">
      <w:pPr>
        <w:spacing w:before="240" w:after="240"/>
        <w:ind w:left="2880" w:hanging="720"/>
        <w:rPr>
          <w:szCs w:val="18"/>
        </w:rPr>
      </w:pPr>
      <w:r w:rsidRPr="001A7517">
        <w:rPr>
          <w:szCs w:val="18"/>
        </w:rPr>
        <w:t>D)</w:t>
      </w:r>
      <w:r w:rsidRPr="001A7517">
        <w:rPr>
          <w:szCs w:val="18"/>
        </w:rPr>
        <w:tab/>
        <w:t>A Subpart B system supplier that serves 10,000 to 49,999 persons must monitor quarterly at four distribution system monitoring locations during each monitoring period.</w:t>
      </w:r>
    </w:p>
    <w:p w14:paraId="7D721136" w14:textId="77777777" w:rsidR="00F0626C" w:rsidRPr="001A7517" w:rsidRDefault="00F0626C" w:rsidP="00F0626C">
      <w:pPr>
        <w:spacing w:before="240" w:after="240"/>
        <w:ind w:left="2880" w:hanging="720"/>
        <w:rPr>
          <w:szCs w:val="18"/>
        </w:rPr>
      </w:pPr>
      <w:r w:rsidRPr="001A7517">
        <w:rPr>
          <w:szCs w:val="18"/>
        </w:rPr>
        <w:t>E)</w:t>
      </w:r>
      <w:r w:rsidRPr="001A7517">
        <w:rPr>
          <w:szCs w:val="18"/>
        </w:rPr>
        <w:tab/>
        <w:t>A Subpart B system supplier that serves 50,000 to 249,999 persons must monitor quarterly at eight distribution system monitoring locations during each monitoring period.</w:t>
      </w:r>
    </w:p>
    <w:p w14:paraId="1C0B33E3" w14:textId="77777777" w:rsidR="00F0626C" w:rsidRPr="001A7517" w:rsidRDefault="00F0626C" w:rsidP="00F0626C">
      <w:pPr>
        <w:spacing w:before="240" w:after="240"/>
        <w:ind w:left="2880" w:hanging="720"/>
        <w:rPr>
          <w:szCs w:val="18"/>
        </w:rPr>
      </w:pPr>
      <w:r w:rsidRPr="001A7517">
        <w:rPr>
          <w:szCs w:val="18"/>
        </w:rPr>
        <w:t>F)</w:t>
      </w:r>
      <w:r w:rsidRPr="001A7517">
        <w:rPr>
          <w:szCs w:val="18"/>
        </w:rPr>
        <w:tab/>
        <w:t>A Subpart B system supplier that serves 250,000 to 999,999 persons must monitor quarterly at 12 distribution system monitoring locations during each monitoring period.</w:t>
      </w:r>
    </w:p>
    <w:p w14:paraId="74D25B43" w14:textId="77777777" w:rsidR="00F0626C" w:rsidRPr="001A7517" w:rsidRDefault="00F0626C" w:rsidP="00F0626C">
      <w:pPr>
        <w:spacing w:before="240" w:after="240"/>
        <w:ind w:left="2880" w:hanging="720"/>
        <w:rPr>
          <w:szCs w:val="18"/>
        </w:rPr>
      </w:pPr>
      <w:r w:rsidRPr="001A7517">
        <w:rPr>
          <w:szCs w:val="18"/>
        </w:rPr>
        <w:t>G)</w:t>
      </w:r>
      <w:r w:rsidRPr="001A7517">
        <w:rPr>
          <w:szCs w:val="18"/>
        </w:rPr>
        <w:tab/>
        <w:t>A Subpart B system supplier that serves 1,000,000 to 4,999,999 persons must monitor quarterly at 16 distribution system monitoring locations during each monitoring period.</w:t>
      </w:r>
    </w:p>
    <w:p w14:paraId="45040456" w14:textId="77777777" w:rsidR="00F0626C" w:rsidRPr="001A7517" w:rsidRDefault="00F0626C" w:rsidP="00F0626C">
      <w:pPr>
        <w:spacing w:before="240" w:after="240"/>
        <w:ind w:left="2880" w:hanging="720"/>
        <w:rPr>
          <w:szCs w:val="18"/>
        </w:rPr>
      </w:pPr>
      <w:r w:rsidRPr="001A7517">
        <w:rPr>
          <w:szCs w:val="18"/>
        </w:rPr>
        <w:t>H)</w:t>
      </w:r>
      <w:r w:rsidRPr="001A7517">
        <w:rPr>
          <w:szCs w:val="18"/>
        </w:rPr>
        <w:tab/>
        <w:t>A Subpart B system supplier that serves 5,000,000 or more persons must monitor quarterly at 20 distribution system monitoring locations during each monitoring period.</w:t>
      </w:r>
    </w:p>
    <w:p w14:paraId="46273FC4" w14:textId="77777777" w:rsidR="00F0626C" w:rsidRPr="001A7517" w:rsidRDefault="00F0626C" w:rsidP="00F0626C">
      <w:pPr>
        <w:spacing w:before="240" w:after="240"/>
        <w:ind w:left="2880" w:hanging="720"/>
        <w:rPr>
          <w:szCs w:val="18"/>
        </w:rPr>
      </w:pPr>
      <w:r w:rsidRPr="001A7517">
        <w:rPr>
          <w:szCs w:val="18"/>
        </w:rPr>
        <w:t>I)</w:t>
      </w:r>
      <w:r w:rsidRPr="001A7517">
        <w:rPr>
          <w:szCs w:val="18"/>
        </w:rPr>
        <w:tab/>
        <w:t>A groundwater system supplier that serves fewer than 500 persons must monitor annually at two distribution system monitoring locations during each monitoring period.</w:t>
      </w:r>
    </w:p>
    <w:p w14:paraId="6AC62AF3" w14:textId="77777777" w:rsidR="00F0626C" w:rsidRPr="001A7517" w:rsidRDefault="00F0626C" w:rsidP="00F0626C">
      <w:pPr>
        <w:spacing w:before="240" w:after="240"/>
        <w:ind w:left="2880" w:hanging="720"/>
        <w:rPr>
          <w:szCs w:val="18"/>
        </w:rPr>
      </w:pPr>
      <w:r w:rsidRPr="001A7517">
        <w:rPr>
          <w:szCs w:val="18"/>
        </w:rPr>
        <w:t>J)</w:t>
      </w:r>
      <w:r w:rsidRPr="001A7517">
        <w:rPr>
          <w:szCs w:val="18"/>
        </w:rPr>
        <w:tab/>
        <w:t>A groundwater system supplier that serves 500 to 9,999 persons must monitor annually at two distribution system monitoring locations during each monitoring period.</w:t>
      </w:r>
    </w:p>
    <w:p w14:paraId="4F6AA9EE" w14:textId="77777777" w:rsidR="00F0626C" w:rsidRPr="001A7517" w:rsidRDefault="00F0626C" w:rsidP="00F0626C">
      <w:pPr>
        <w:spacing w:before="240" w:after="240"/>
        <w:ind w:left="2880" w:hanging="720"/>
        <w:rPr>
          <w:szCs w:val="18"/>
        </w:rPr>
      </w:pPr>
      <w:r w:rsidRPr="001A7517">
        <w:rPr>
          <w:szCs w:val="18"/>
        </w:rPr>
        <w:lastRenderedPageBreak/>
        <w:t>K)</w:t>
      </w:r>
      <w:r w:rsidRPr="001A7517">
        <w:rPr>
          <w:szCs w:val="18"/>
        </w:rPr>
        <w:tab/>
        <w:t>A groundwater system supplier that serves 10,000 to 99,999 persons must monitor quarterly at four distribution system monitoring locations during each monitoring period.</w:t>
      </w:r>
    </w:p>
    <w:p w14:paraId="4A0600D4" w14:textId="77777777" w:rsidR="00F0626C" w:rsidRPr="001A7517" w:rsidRDefault="00F0626C" w:rsidP="00F0626C">
      <w:pPr>
        <w:spacing w:before="240" w:after="240"/>
        <w:ind w:left="2880" w:hanging="720"/>
        <w:rPr>
          <w:szCs w:val="18"/>
        </w:rPr>
      </w:pPr>
      <w:r w:rsidRPr="001A7517">
        <w:rPr>
          <w:szCs w:val="18"/>
        </w:rPr>
        <w:t>L)</w:t>
      </w:r>
      <w:r w:rsidRPr="001A7517">
        <w:rPr>
          <w:szCs w:val="18"/>
        </w:rPr>
        <w:tab/>
        <w:t>A groundwater system supplier that serves 100,000 to 499,999 persons must monitor quarterly at six distribution system monitoring locations during each monitoring period.</w:t>
      </w:r>
    </w:p>
    <w:p w14:paraId="635A9809" w14:textId="77777777" w:rsidR="00F0626C" w:rsidRPr="001A7517" w:rsidRDefault="00F0626C" w:rsidP="00F0626C">
      <w:pPr>
        <w:spacing w:before="240" w:after="240"/>
        <w:ind w:left="2880" w:hanging="720"/>
        <w:rPr>
          <w:szCs w:val="18"/>
        </w:rPr>
      </w:pPr>
      <w:r w:rsidRPr="001A7517">
        <w:rPr>
          <w:szCs w:val="18"/>
        </w:rPr>
        <w:t>M)</w:t>
      </w:r>
      <w:r w:rsidRPr="001A7517">
        <w:rPr>
          <w:szCs w:val="18"/>
        </w:rPr>
        <w:tab/>
        <w:t>A groundwater system supplier that serves 500,000 or more persons must monitor quarterly at eight distribution system monitoring locations during each monitoring period.</w:t>
      </w:r>
    </w:p>
    <w:p w14:paraId="25877500" w14:textId="77777777" w:rsidR="00F0626C" w:rsidRPr="001A7517" w:rsidRDefault="00F0626C" w:rsidP="00F0626C">
      <w:pPr>
        <w:spacing w:before="240" w:after="240"/>
        <w:ind w:left="2880" w:hanging="720"/>
        <w:rPr>
          <w:szCs w:val="18"/>
        </w:rPr>
      </w:pPr>
      <w:r w:rsidRPr="001A7517">
        <w:rPr>
          <w:szCs w:val="18"/>
        </w:rPr>
        <w:t>N)</w:t>
      </w:r>
      <w:r w:rsidRPr="001A7517">
        <w:rPr>
          <w:szCs w:val="18"/>
        </w:rPr>
        <w:tab/>
      </w:r>
      <w:r w:rsidRPr="001A7517">
        <w:t>The supplier must monitor during month of highest DBP concentrations.</w:t>
      </w:r>
    </w:p>
    <w:p w14:paraId="58A051C6" w14:textId="77777777" w:rsidR="00F0626C" w:rsidRPr="001A7517" w:rsidRDefault="00F0626C" w:rsidP="00F0626C">
      <w:pPr>
        <w:spacing w:before="240" w:after="240"/>
        <w:ind w:left="2880" w:hanging="720"/>
        <w:rPr>
          <w:szCs w:val="18"/>
        </w:rPr>
      </w:pPr>
      <w:r w:rsidRPr="001A7517">
        <w:rPr>
          <w:szCs w:val="18"/>
        </w:rPr>
        <w:t>O)</w:t>
      </w:r>
      <w:r w:rsidRPr="001A7517">
        <w:rPr>
          <w:szCs w:val="18"/>
        </w:rPr>
        <w:tab/>
      </w:r>
      <w:r w:rsidRPr="001A7517">
        <w:t>A supplier on quarterly monitoring must take dual sample sets every 90 days at each monitoring location, except for a Subpart B system supplier that serves 500 to 3,300.  A groundwater system supplier that serves 500 to 9,999 persons that is on annual monitoring must take dual sample sets at each monitoring location.  Any other supplier that is on annual monitoring or that is a Subpart B system supplier that serves 500 to 3,300 is required to take individual TTHM and HAA5 samples (instead of a dual sample set) at the locations with the highest TTHM and HAA5 concentrations, respectively.  For a supplier that serves fewer than 500 people, only one location with a dual sample set per monitoring period is needed if the highest TTHM and HAA5 concentrations occur at the same location and month.</w:t>
      </w:r>
    </w:p>
    <w:p w14:paraId="196DEB6E" w14:textId="77777777" w:rsidR="00F0626C" w:rsidRPr="001A7517" w:rsidRDefault="00F0626C" w:rsidP="00F0626C">
      <w:pPr>
        <w:spacing w:before="240" w:after="240"/>
        <w:ind w:left="2160" w:hanging="720"/>
        <w:rPr>
          <w:szCs w:val="18"/>
        </w:rPr>
      </w:pPr>
      <w:r w:rsidRPr="001A7517">
        <w:t>3)</w:t>
      </w:r>
      <w:r w:rsidRPr="001A7517">
        <w:tab/>
      </w:r>
      <w:r w:rsidRPr="001A7517">
        <w:rPr>
          <w:szCs w:val="18"/>
        </w:rPr>
        <w:t xml:space="preserve">If a supplier is an undisinfected system that begins using a disinfectant other than UV light after the dates set forth in </w:t>
      </w:r>
      <w:r w:rsidRPr="001A7517">
        <w:t>Subpart W</w:t>
      </w:r>
      <w:r w:rsidRPr="001A7517">
        <w:rPr>
          <w:szCs w:val="18"/>
        </w:rPr>
        <w:t xml:space="preserve"> for complying with the IDSE requirements, the supplier must consult with the Agency to identify compliance monitoring locations for this Subpart Y.  The supplier must then develop a monitoring plan under Section 611.972 that includes those monitoring locations.</w:t>
      </w:r>
    </w:p>
    <w:p w14:paraId="28ED8DEA" w14:textId="77777777" w:rsidR="00F0626C" w:rsidRPr="001A7517" w:rsidRDefault="00F0626C" w:rsidP="00F0626C">
      <w:pPr>
        <w:spacing w:before="240" w:after="240"/>
        <w:ind w:left="1440" w:hanging="720"/>
        <w:rPr>
          <w:szCs w:val="18"/>
        </w:rPr>
      </w:pPr>
      <w:r w:rsidRPr="001A7517">
        <w:rPr>
          <w:szCs w:val="18"/>
        </w:rPr>
        <w:t>b)</w:t>
      </w:r>
      <w:r w:rsidRPr="001A7517">
        <w:rPr>
          <w:szCs w:val="18"/>
        </w:rPr>
        <w:tab/>
        <w:t>Analytical Methods.  A supplier must use an approved method listed in Section 611.381 for TTHM and HAA5 analyses in this Subpart Y.  Analyses must be conducted by laboratories that have received certification as specified in Section 611.381.</w:t>
      </w:r>
    </w:p>
    <w:p w14:paraId="3C6A1144" w14:textId="77777777" w:rsidR="00F0626C" w:rsidRPr="001A7517" w:rsidRDefault="00F0626C" w:rsidP="00F0626C">
      <w:pPr>
        <w:spacing w:before="240" w:after="240"/>
      </w:pPr>
      <w:r w:rsidRPr="001A7517">
        <w:t>BOARD NOTE:  Derived from 40 CFR 141.621.</w:t>
      </w:r>
    </w:p>
    <w:p w14:paraId="4C252D94"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4952525E" w14:textId="77777777" w:rsidR="00F0626C" w:rsidRPr="001A7517" w:rsidRDefault="00F0626C" w:rsidP="00F0626C">
      <w:pPr>
        <w:keepNext/>
        <w:keepLines/>
        <w:spacing w:before="240" w:after="240"/>
        <w:ind w:left="2160" w:hanging="2160"/>
        <w:rPr>
          <w:b/>
        </w:rPr>
      </w:pPr>
      <w:r w:rsidRPr="001A7517">
        <w:rPr>
          <w:b/>
        </w:rPr>
        <w:lastRenderedPageBreak/>
        <w:t xml:space="preserve">Section </w:t>
      </w:r>
      <w:bookmarkStart w:id="4439" w:name="_Hlk27062974"/>
      <w:r w:rsidRPr="001A7517">
        <w:rPr>
          <w:b/>
        </w:rPr>
        <w:t>611.972</w:t>
      </w:r>
      <w:bookmarkEnd w:id="4439"/>
      <w:r w:rsidRPr="001A7517">
        <w:rPr>
          <w:b/>
        </w:rPr>
        <w:t xml:space="preserve">  Subpart Y Monitoring Plan</w:t>
      </w:r>
    </w:p>
    <w:p w14:paraId="762EC48D" w14:textId="77777777" w:rsidR="00F0626C" w:rsidRPr="001A7517" w:rsidRDefault="00F0626C" w:rsidP="00F0626C">
      <w:pPr>
        <w:spacing w:before="240" w:after="240"/>
        <w:ind w:left="1440" w:hanging="720"/>
        <w:rPr>
          <w:szCs w:val="18"/>
        </w:rPr>
      </w:pPr>
      <w:r w:rsidRPr="001A7517">
        <w:rPr>
          <w:szCs w:val="18"/>
        </w:rPr>
        <w:t>a)</w:t>
      </w:r>
      <w:r w:rsidRPr="001A7517">
        <w:rPr>
          <w:szCs w:val="18"/>
        </w:rPr>
        <w:tab/>
        <w:t>Development of a Monitoring Plan</w:t>
      </w:r>
    </w:p>
    <w:p w14:paraId="7B373E58" w14:textId="77777777" w:rsidR="00F0626C" w:rsidRPr="001A7517" w:rsidRDefault="00F0626C" w:rsidP="00F0626C">
      <w:pPr>
        <w:spacing w:before="240" w:after="240"/>
        <w:ind w:left="2160" w:hanging="720"/>
        <w:rPr>
          <w:szCs w:val="18"/>
        </w:rPr>
      </w:pPr>
      <w:r w:rsidRPr="001A7517">
        <w:rPr>
          <w:szCs w:val="18"/>
        </w:rPr>
        <w:t>1)</w:t>
      </w:r>
      <w:r w:rsidRPr="001A7517">
        <w:rPr>
          <w:szCs w:val="18"/>
        </w:rPr>
        <w:tab/>
        <w:t>A supplier must develop and implement a monitoring plan that it must keep on file for Agency and public review.  The monitoring plan must contain the following elements, and it must be complete no later than the date when the supplier conducts its initial monitoring under this Subpart Y:</w:t>
      </w:r>
    </w:p>
    <w:p w14:paraId="115FB02E" w14:textId="77777777" w:rsidR="00F0626C" w:rsidRPr="001A7517" w:rsidRDefault="00F0626C" w:rsidP="00F0626C">
      <w:pPr>
        <w:spacing w:before="240" w:after="240"/>
        <w:ind w:left="2880" w:hanging="720"/>
        <w:rPr>
          <w:szCs w:val="18"/>
        </w:rPr>
      </w:pPr>
      <w:r w:rsidRPr="001A7517">
        <w:rPr>
          <w:szCs w:val="18"/>
        </w:rPr>
        <w:t>A)</w:t>
      </w:r>
      <w:r w:rsidRPr="001A7517">
        <w:rPr>
          <w:szCs w:val="18"/>
        </w:rPr>
        <w:tab/>
        <w:t>The monitoring locations;</w:t>
      </w:r>
    </w:p>
    <w:p w14:paraId="1EF69214" w14:textId="77777777" w:rsidR="00F0626C" w:rsidRPr="001A7517" w:rsidRDefault="00F0626C" w:rsidP="00F0626C">
      <w:pPr>
        <w:spacing w:before="240" w:after="240"/>
        <w:ind w:left="2880" w:hanging="720"/>
        <w:rPr>
          <w:szCs w:val="18"/>
        </w:rPr>
      </w:pPr>
      <w:r w:rsidRPr="001A7517">
        <w:rPr>
          <w:szCs w:val="18"/>
        </w:rPr>
        <w:t>B)</w:t>
      </w:r>
      <w:r w:rsidRPr="001A7517">
        <w:rPr>
          <w:szCs w:val="18"/>
        </w:rPr>
        <w:tab/>
        <w:t>The monitoring dates;</w:t>
      </w:r>
    </w:p>
    <w:p w14:paraId="744EDA09" w14:textId="77777777" w:rsidR="00F0626C" w:rsidRPr="001A7517" w:rsidRDefault="00F0626C" w:rsidP="00F0626C">
      <w:pPr>
        <w:spacing w:before="240" w:after="240"/>
        <w:ind w:left="2880" w:hanging="720"/>
        <w:rPr>
          <w:szCs w:val="18"/>
        </w:rPr>
      </w:pPr>
      <w:r w:rsidRPr="001A7517">
        <w:rPr>
          <w:szCs w:val="18"/>
        </w:rPr>
        <w:t>C)</w:t>
      </w:r>
      <w:r w:rsidRPr="001A7517">
        <w:rPr>
          <w:szCs w:val="18"/>
        </w:rPr>
        <w:tab/>
        <w:t>The compliance calculation procedures; and</w:t>
      </w:r>
    </w:p>
    <w:p w14:paraId="100F8422" w14:textId="77777777" w:rsidR="00F0626C" w:rsidRPr="001A7517" w:rsidRDefault="00F0626C" w:rsidP="00F0626C">
      <w:pPr>
        <w:spacing w:before="240" w:after="240"/>
        <w:ind w:left="2880" w:hanging="720"/>
        <w:rPr>
          <w:szCs w:val="18"/>
        </w:rPr>
      </w:pPr>
      <w:r w:rsidRPr="001A7517">
        <w:rPr>
          <w:szCs w:val="18"/>
        </w:rPr>
        <w:t>D)</w:t>
      </w:r>
      <w:r w:rsidRPr="001A7517">
        <w:rPr>
          <w:szCs w:val="18"/>
        </w:rPr>
        <w:tab/>
        <w:t>The monitoring plans for any other systems in the combined distribution system if the Agency has reduced monitoring requirements under Section 611.161.</w:t>
      </w:r>
    </w:p>
    <w:p w14:paraId="3E4CBF61" w14:textId="77777777" w:rsidR="00F0626C" w:rsidRPr="001A7517" w:rsidRDefault="00F0626C" w:rsidP="00F0626C">
      <w:pPr>
        <w:spacing w:before="240" w:after="240"/>
        <w:ind w:left="2160" w:hanging="720"/>
        <w:rPr>
          <w:szCs w:val="18"/>
        </w:rPr>
      </w:pPr>
      <w:r w:rsidRPr="001A7517">
        <w:rPr>
          <w:szCs w:val="18"/>
        </w:rPr>
        <w:t>2)</w:t>
      </w:r>
      <w:r w:rsidRPr="001A7517">
        <w:rPr>
          <w:szCs w:val="18"/>
        </w:rPr>
        <w:tab/>
        <w:t xml:space="preserve">If the supplier was not required to submit an IDSE report under either Section 611.921 or Section 611.922, and it does not have sufficient Subpart I monitoring locations to identify the required number of </w:t>
      </w:r>
      <w:r w:rsidRPr="001A7517">
        <w:t>Subpart Y</w:t>
      </w:r>
      <w:r w:rsidRPr="001A7517">
        <w:rPr>
          <w:szCs w:val="18"/>
        </w:rPr>
        <w:t xml:space="preserve"> compliance monitoring locations indicated in Section 611.925(b), the supplier must identify additional locations by alternating selection of locations representing high TTHM levels and high HAA5 levels until the required number of compliance monitoring locations have been identified.  The supplier must also provide the rationale for identifying the locations as having high levels of TTHM or HAA5.  If the supplier has more Subpart I monitoring locations than required for </w:t>
      </w:r>
      <w:r w:rsidRPr="001A7517">
        <w:t>Subpart Y</w:t>
      </w:r>
      <w:r w:rsidRPr="001A7517">
        <w:rPr>
          <w:szCs w:val="18"/>
        </w:rPr>
        <w:t xml:space="preserve"> compliance monitoring in Section 611.925(b), it must identify which locations it will use for </w:t>
      </w:r>
      <w:r w:rsidRPr="001A7517">
        <w:t>Subpart Y</w:t>
      </w:r>
      <w:r w:rsidRPr="001A7517">
        <w:rPr>
          <w:szCs w:val="18"/>
        </w:rPr>
        <w:t xml:space="preserve"> compliance monitoring by alternating selection of locations representing high TTHM levels and high HAA5 levels until the required number of </w:t>
      </w:r>
      <w:r w:rsidRPr="001A7517">
        <w:t>Subpart Y</w:t>
      </w:r>
      <w:r w:rsidRPr="001A7517">
        <w:rPr>
          <w:szCs w:val="18"/>
        </w:rPr>
        <w:t xml:space="preserve"> compliance monitoring locations have been identified.</w:t>
      </w:r>
    </w:p>
    <w:p w14:paraId="2156BA77" w14:textId="77777777" w:rsidR="00F0626C" w:rsidRPr="001A7517" w:rsidRDefault="00F0626C" w:rsidP="00F0626C">
      <w:pPr>
        <w:spacing w:before="240" w:after="240"/>
        <w:ind w:left="1440" w:hanging="720"/>
        <w:rPr>
          <w:szCs w:val="18"/>
        </w:rPr>
      </w:pPr>
      <w:r w:rsidRPr="001A7517">
        <w:rPr>
          <w:szCs w:val="18"/>
        </w:rPr>
        <w:t>b)</w:t>
      </w:r>
      <w:r w:rsidRPr="001A7517">
        <w:rPr>
          <w:szCs w:val="18"/>
        </w:rPr>
        <w:tab/>
        <w:t xml:space="preserve">A Subpart B system supplier that serves more than 3,300 people must submit a copy of its monitoring plan to the Agency prior to the date it conducts its initial monitoring under this Subpart Y, unless the supplier’s IDSE report submitted under </w:t>
      </w:r>
      <w:r w:rsidRPr="001A7517">
        <w:t>Subpart W</w:t>
      </w:r>
      <w:r w:rsidRPr="001A7517">
        <w:rPr>
          <w:szCs w:val="18"/>
        </w:rPr>
        <w:t xml:space="preserve"> contains all the information required by this Section.</w:t>
      </w:r>
    </w:p>
    <w:p w14:paraId="173C32FC" w14:textId="77777777" w:rsidR="00F0626C" w:rsidRPr="001A7517" w:rsidRDefault="00F0626C" w:rsidP="00F0626C">
      <w:pPr>
        <w:spacing w:before="240" w:after="240"/>
        <w:ind w:left="1440" w:hanging="720"/>
        <w:rPr>
          <w:szCs w:val="18"/>
        </w:rPr>
      </w:pPr>
      <w:r w:rsidRPr="001A7517">
        <w:rPr>
          <w:szCs w:val="18"/>
        </w:rPr>
        <w:t>c)</w:t>
      </w:r>
      <w:r w:rsidRPr="001A7517">
        <w:rPr>
          <w:szCs w:val="18"/>
        </w:rPr>
        <w:tab/>
        <w:t xml:space="preserve">After consultation with the Agency regarding the need for and appropriateness of changes and issuance of a SEP that provides for the changes, a supplier may revise its monitoring plan to reflect changes in treatment, distribution system operations and layout (including new service areas), or other factors that may affect TTHM or HAA5 formation, or for Agency-approved reasons.  If the </w:t>
      </w:r>
      <w:r w:rsidRPr="001A7517">
        <w:rPr>
          <w:szCs w:val="18"/>
        </w:rPr>
        <w:lastRenderedPageBreak/>
        <w:t>supplier changes monitoring locations, the supplier must replace existing compliance monitoring locations with the lowest LRAA with new locations that reflect the current distribution system locations with expected high TTHM or HAA5 levels.  The Agency may, by a SEP, also require modifications in the supplier’s monitoring plan.  If a supplier is a Subpart B system supplier that serves more than 3,300 people, it must submit a copy of its modified monitoring plan to the Agency prior to the date when it is required to comply with the revised monitoring plan.</w:t>
      </w:r>
    </w:p>
    <w:p w14:paraId="7B7CB985" w14:textId="77777777" w:rsidR="00F0626C" w:rsidRPr="001A7517" w:rsidRDefault="00F0626C" w:rsidP="00F0626C">
      <w:pPr>
        <w:spacing w:before="240" w:after="240"/>
      </w:pPr>
      <w:r w:rsidRPr="001A7517">
        <w:t>BOARD NOTE:  Derived from 40 CFR 141.622.</w:t>
      </w:r>
    </w:p>
    <w:p w14:paraId="7AE62A8F"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6AFBAAE7" w14:textId="77777777" w:rsidR="00F0626C" w:rsidRPr="001A7517" w:rsidRDefault="00F0626C" w:rsidP="00F0626C">
      <w:pPr>
        <w:keepNext/>
        <w:keepLines/>
        <w:suppressAutoHyphens/>
        <w:spacing w:before="240"/>
        <w:rPr>
          <w:b/>
        </w:rPr>
      </w:pPr>
      <w:r w:rsidRPr="001A7517">
        <w:rPr>
          <w:b/>
        </w:rPr>
        <w:t>Section 611.973  Reduced Monitoring</w:t>
      </w:r>
    </w:p>
    <w:p w14:paraId="53D862F7"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A supplier may reduce monitoring to the level specified in the applicable of subsections (a)(1) through (a)(13), subject to the limitation of subsection (a)(14), any time the LRAA is 0.040 mg/ℓ or less for TTHM and 0.030 mg/ℓ or less for HAA5 at all monitoring locations.  The supplier may only use data collected under the provisions of this Subpart Y or under Subpart I to qualify for reduced monitoring.  In addition, the source water annual average TOC level, before any treatment, must be 4.0 mg/ℓ or less at each treatment plant treating surface water or </w:t>
      </w:r>
      <w:r w:rsidRPr="001A7517">
        <w:t>groundwater</w:t>
      </w:r>
      <w:r w:rsidRPr="001A7517">
        <w:rPr>
          <w:szCs w:val="18"/>
        </w:rPr>
        <w:t xml:space="preserve"> under the direct influence of surface water, based on monitoring conducted under either Section 611.382(b)(1)(C) or Section 611.382(d).</w:t>
      </w:r>
    </w:p>
    <w:p w14:paraId="2F599218" w14:textId="77777777" w:rsidR="00F0626C" w:rsidRPr="001A7517" w:rsidRDefault="00F0626C" w:rsidP="00F0626C">
      <w:pPr>
        <w:spacing w:before="240"/>
        <w:ind w:left="2160" w:hanging="720"/>
        <w:rPr>
          <w:szCs w:val="18"/>
        </w:rPr>
      </w:pPr>
      <w:r w:rsidRPr="001A7517">
        <w:rPr>
          <w:szCs w:val="18"/>
        </w:rPr>
        <w:t>1)</w:t>
      </w:r>
      <w:r w:rsidRPr="001A7517">
        <w:rPr>
          <w:szCs w:val="18"/>
        </w:rPr>
        <w:tab/>
        <w:t>A Subpart B system supplier that serves fewer than 500 persons may not qualify for reduced monitoring.</w:t>
      </w:r>
    </w:p>
    <w:p w14:paraId="1A467FEF" w14:textId="77777777" w:rsidR="00F0626C" w:rsidRPr="001A7517" w:rsidRDefault="00F0626C" w:rsidP="00F0626C">
      <w:pPr>
        <w:spacing w:before="240"/>
        <w:ind w:left="2160" w:hanging="720"/>
        <w:rPr>
          <w:szCs w:val="18"/>
        </w:rPr>
      </w:pPr>
      <w:r w:rsidRPr="001A7517">
        <w:rPr>
          <w:szCs w:val="18"/>
        </w:rPr>
        <w:t>2)</w:t>
      </w:r>
      <w:r w:rsidRPr="001A7517">
        <w:rPr>
          <w:szCs w:val="18"/>
        </w:rPr>
        <w:tab/>
        <w:t>A Subpart B system supplier that serves 500 to 3,300 persons qualifies for reduced monitoring to a minimum of one TTHM sample collected annually 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14:paraId="1DA6A5CE" w14:textId="77777777" w:rsidR="00F0626C" w:rsidRPr="001A7517" w:rsidRDefault="00F0626C" w:rsidP="00F0626C">
      <w:pPr>
        <w:spacing w:before="240"/>
        <w:ind w:left="2160" w:hanging="720"/>
        <w:rPr>
          <w:szCs w:val="18"/>
        </w:rPr>
      </w:pPr>
      <w:r w:rsidRPr="001A7517">
        <w:rPr>
          <w:szCs w:val="18"/>
        </w:rPr>
        <w:t>3)</w:t>
      </w:r>
      <w:r w:rsidRPr="001A7517">
        <w:rPr>
          <w:szCs w:val="18"/>
        </w:rPr>
        <w:tab/>
        <w:t>A Subpart B system supplier that serves 3,301 to 9,999 persons qualifies for reduced monitoring to a minimum of one dual sample set collected annually for TTHM from the location and during the quarter with the highest single TTHM measurement and one dual sample set collected annually for HAA5 from the location and during the quarter with the highest single HAA5 measurement.</w:t>
      </w:r>
    </w:p>
    <w:p w14:paraId="1D33893C" w14:textId="77777777" w:rsidR="00F0626C" w:rsidRPr="001A7517" w:rsidRDefault="00F0626C" w:rsidP="00F0626C">
      <w:pPr>
        <w:spacing w:before="240"/>
        <w:ind w:left="2160" w:hanging="720"/>
        <w:rPr>
          <w:szCs w:val="18"/>
        </w:rPr>
      </w:pPr>
      <w:r w:rsidRPr="001A7517">
        <w:rPr>
          <w:szCs w:val="18"/>
        </w:rPr>
        <w:t>4)</w:t>
      </w:r>
      <w:r w:rsidRPr="001A7517">
        <w:rPr>
          <w:szCs w:val="18"/>
        </w:rPr>
        <w:tab/>
        <w:t xml:space="preserve">A Subpart B system supplier that serves 10,000 to 49,999 persons qualifies for reduced monitoring to a minimum of two dual sample sets </w:t>
      </w:r>
      <w:r w:rsidRPr="001A7517">
        <w:rPr>
          <w:szCs w:val="18"/>
        </w:rPr>
        <w:lastRenderedPageBreak/>
        <w:t>collected quarterly from the locations with the highest TTHM and HAA5 LRAAs.</w:t>
      </w:r>
    </w:p>
    <w:p w14:paraId="5D247B84" w14:textId="77777777" w:rsidR="00F0626C" w:rsidRPr="001A7517" w:rsidRDefault="00F0626C" w:rsidP="00F0626C">
      <w:pPr>
        <w:spacing w:before="240"/>
        <w:ind w:left="2160" w:hanging="720"/>
        <w:rPr>
          <w:szCs w:val="18"/>
        </w:rPr>
      </w:pPr>
      <w:r w:rsidRPr="001A7517">
        <w:rPr>
          <w:szCs w:val="18"/>
        </w:rPr>
        <w:t>5)</w:t>
      </w:r>
      <w:r w:rsidRPr="001A7517">
        <w:rPr>
          <w:szCs w:val="18"/>
        </w:rPr>
        <w:tab/>
        <w:t>A Subpart B system supplier that serves 50,000 to 249,999 persons qualifies for reduced monitoring to a minimum of four dual sample sets collected quarterly from the locations with the two highest TTHM and two HAA5 LRAAs.</w:t>
      </w:r>
    </w:p>
    <w:p w14:paraId="5BA3640C" w14:textId="77777777" w:rsidR="00F0626C" w:rsidRPr="001A7517" w:rsidRDefault="00F0626C" w:rsidP="00F0626C">
      <w:pPr>
        <w:spacing w:before="240"/>
        <w:ind w:left="2160" w:hanging="720"/>
        <w:rPr>
          <w:szCs w:val="18"/>
        </w:rPr>
      </w:pPr>
      <w:r w:rsidRPr="001A7517">
        <w:rPr>
          <w:szCs w:val="18"/>
        </w:rPr>
        <w:t>6)</w:t>
      </w:r>
      <w:r w:rsidRPr="001A7517">
        <w:rPr>
          <w:szCs w:val="18"/>
        </w:rPr>
        <w:tab/>
        <w:t>A Subpart B system supplier that serves 250,000 to 999,999 persons qualifies for reduced monitoring to a minimum of six dual sample sets collected quarterly from the locations with the three highest TTHM and three HAA5 LRAAs.</w:t>
      </w:r>
    </w:p>
    <w:p w14:paraId="26420C2F" w14:textId="77777777" w:rsidR="00F0626C" w:rsidRPr="001A7517" w:rsidRDefault="00F0626C" w:rsidP="00F0626C">
      <w:pPr>
        <w:spacing w:before="240"/>
        <w:ind w:left="2160" w:hanging="720"/>
        <w:rPr>
          <w:szCs w:val="18"/>
        </w:rPr>
      </w:pPr>
      <w:r w:rsidRPr="001A7517">
        <w:rPr>
          <w:szCs w:val="18"/>
        </w:rPr>
        <w:t>7)</w:t>
      </w:r>
      <w:r w:rsidRPr="001A7517">
        <w:rPr>
          <w:szCs w:val="18"/>
        </w:rPr>
        <w:tab/>
        <w:t>A Subpart B system supplier that serves 1,000,000 to 4,999,999 persons qualifies for reduced monitoring to a minimum of eight dual sample sets collected quarterly from the locations with the four highest TTHM and four HAA5 LRAAs.</w:t>
      </w:r>
    </w:p>
    <w:p w14:paraId="4EDA2929" w14:textId="77777777" w:rsidR="00F0626C" w:rsidRPr="001A7517" w:rsidRDefault="00F0626C" w:rsidP="00F0626C">
      <w:pPr>
        <w:spacing w:before="240"/>
        <w:ind w:left="2160" w:hanging="720"/>
        <w:rPr>
          <w:szCs w:val="18"/>
        </w:rPr>
      </w:pPr>
      <w:r w:rsidRPr="001A7517">
        <w:rPr>
          <w:szCs w:val="18"/>
        </w:rPr>
        <w:t>8)</w:t>
      </w:r>
      <w:r w:rsidRPr="001A7517">
        <w:rPr>
          <w:szCs w:val="18"/>
        </w:rPr>
        <w:tab/>
        <w:t>A Subpart B system supplier that serves more than 5,000,000 persons qualifies for reduced monitoring to a minimum of 10 dual sample sets collected quarterly from the locations with the five highest TTHM and five HAA5 LRAAs.</w:t>
      </w:r>
    </w:p>
    <w:p w14:paraId="2269EBAE" w14:textId="77777777" w:rsidR="00F0626C" w:rsidRPr="001A7517" w:rsidRDefault="00F0626C" w:rsidP="00F0626C">
      <w:pPr>
        <w:spacing w:before="240"/>
        <w:ind w:left="2160" w:hanging="720"/>
        <w:rPr>
          <w:szCs w:val="18"/>
        </w:rPr>
      </w:pPr>
      <w:r w:rsidRPr="001A7517">
        <w:rPr>
          <w:szCs w:val="18"/>
        </w:rPr>
        <w:t>9)</w:t>
      </w:r>
      <w:r w:rsidRPr="001A7517">
        <w:rPr>
          <w:szCs w:val="18"/>
        </w:rPr>
        <w:tab/>
        <w:t>A groundwater system supplier that serves fewer than 500 persons qualifies for reduced monitoring to a minimum of one TTHM sample collected triennially 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14:paraId="54832742" w14:textId="77777777" w:rsidR="00F0626C" w:rsidRPr="001A7517" w:rsidRDefault="00F0626C" w:rsidP="00F0626C">
      <w:pPr>
        <w:spacing w:before="240"/>
        <w:ind w:left="2160" w:hanging="720"/>
        <w:rPr>
          <w:szCs w:val="18"/>
        </w:rPr>
      </w:pPr>
      <w:r w:rsidRPr="001A7517">
        <w:rPr>
          <w:szCs w:val="18"/>
        </w:rPr>
        <w:t>10)</w:t>
      </w:r>
      <w:r w:rsidRPr="001A7517">
        <w:rPr>
          <w:szCs w:val="18"/>
        </w:rPr>
        <w:tab/>
        <w:t>A groundwater system supplier that serves 500 to 9,999 persons qualifies for reduced monitoring to a minimum of one TTHM sample collected annually 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14:paraId="4685FFE5" w14:textId="77777777" w:rsidR="00F0626C" w:rsidRPr="001A7517" w:rsidRDefault="00F0626C" w:rsidP="00F0626C">
      <w:pPr>
        <w:spacing w:before="240"/>
        <w:ind w:left="2160" w:hanging="720"/>
        <w:rPr>
          <w:szCs w:val="18"/>
        </w:rPr>
      </w:pPr>
      <w:r w:rsidRPr="001A7517">
        <w:rPr>
          <w:szCs w:val="18"/>
        </w:rPr>
        <w:t>11)</w:t>
      </w:r>
      <w:r w:rsidRPr="001A7517">
        <w:rPr>
          <w:szCs w:val="18"/>
        </w:rPr>
        <w:tab/>
        <w:t xml:space="preserve">A groundwater system supplier that serves 10,000 to 99,999 persons qualifies for reduced monitoring to a minimum of one TTHM dual sample set collected annually from the location and during the quarter with the highest single TTHM measurement and one HAA5 dual sample set </w:t>
      </w:r>
      <w:r w:rsidRPr="001A7517">
        <w:rPr>
          <w:szCs w:val="18"/>
        </w:rPr>
        <w:lastRenderedPageBreak/>
        <w:t>collected annually from the location and during the quarter with the highest single HAA5 measurement.</w:t>
      </w:r>
    </w:p>
    <w:p w14:paraId="1DB6C3C5" w14:textId="77777777" w:rsidR="00F0626C" w:rsidRPr="001A7517" w:rsidRDefault="00F0626C" w:rsidP="00F0626C">
      <w:pPr>
        <w:spacing w:before="240"/>
        <w:ind w:left="2160" w:hanging="720"/>
        <w:rPr>
          <w:szCs w:val="18"/>
        </w:rPr>
      </w:pPr>
      <w:r w:rsidRPr="001A7517">
        <w:rPr>
          <w:szCs w:val="18"/>
        </w:rPr>
        <w:t>12)</w:t>
      </w:r>
      <w:r w:rsidRPr="001A7517">
        <w:rPr>
          <w:szCs w:val="18"/>
        </w:rPr>
        <w:tab/>
        <w:t>A groundwater system supplier that serves 100,000 to 499,999 persons qualifies for reduced monitoring to a minimum of two dual sample sets collected quarterly from the locations with the highest TTHM and highest HAA5 LRAAs.</w:t>
      </w:r>
    </w:p>
    <w:p w14:paraId="07810C4D" w14:textId="77777777" w:rsidR="00F0626C" w:rsidRPr="001A7517" w:rsidRDefault="00F0626C" w:rsidP="00F0626C">
      <w:pPr>
        <w:spacing w:before="240"/>
        <w:ind w:left="2160" w:hanging="720"/>
        <w:rPr>
          <w:szCs w:val="18"/>
        </w:rPr>
      </w:pPr>
      <w:r w:rsidRPr="001A7517">
        <w:rPr>
          <w:szCs w:val="18"/>
        </w:rPr>
        <w:t>13)</w:t>
      </w:r>
      <w:r w:rsidRPr="001A7517">
        <w:rPr>
          <w:szCs w:val="18"/>
        </w:rPr>
        <w:tab/>
        <w:t>A groundwater system supplier that serves more than 500,000 persons qualifies for reduced monitoring to a minimum of four dual sample sets collected quarterly from the two locations with the highest TTHM and two highest HAA5 LRAAs.</w:t>
      </w:r>
    </w:p>
    <w:p w14:paraId="7CC18E21" w14:textId="77777777" w:rsidR="00F0626C" w:rsidRPr="001A7517" w:rsidRDefault="00F0626C" w:rsidP="00F0626C">
      <w:pPr>
        <w:spacing w:before="240"/>
        <w:ind w:left="2160" w:hanging="720"/>
        <w:rPr>
          <w:szCs w:val="18"/>
        </w:rPr>
      </w:pPr>
      <w:r w:rsidRPr="001A7517">
        <w:rPr>
          <w:szCs w:val="18"/>
        </w:rPr>
        <w:t>14)</w:t>
      </w:r>
      <w:r w:rsidRPr="001A7517">
        <w:rPr>
          <w:szCs w:val="18"/>
        </w:rPr>
        <w:tab/>
      </w:r>
      <w:r w:rsidRPr="001A7517">
        <w:t>A supplier on quarterly monitoring must take dual sample sets every 90 days.</w:t>
      </w:r>
    </w:p>
    <w:p w14:paraId="287695FB" w14:textId="77777777" w:rsidR="00F0626C" w:rsidRPr="001A7517" w:rsidRDefault="00F0626C" w:rsidP="00F0626C">
      <w:pPr>
        <w:spacing w:before="240"/>
        <w:ind w:left="1440" w:hanging="720"/>
        <w:rPr>
          <w:szCs w:val="18"/>
        </w:rPr>
      </w:pPr>
      <w:r w:rsidRPr="001A7517">
        <w:t>b)</w:t>
      </w:r>
      <w:r w:rsidRPr="001A7517">
        <w:tab/>
      </w:r>
      <w:r w:rsidRPr="001A7517">
        <w:rPr>
          <w:szCs w:val="18"/>
        </w:rPr>
        <w:t>The supplier may remain on reduced monitoring as long as the TTHM LRAA does not exceed 0.040 mg/ℓ and the HAA5 LRAA does not exceed 0.030 mg/ℓ at each monitoring location (for a supplier with quarterly reduced monitoring) or each TTHM sample does not exceed 0.060 mg/ℓ and each HAA5 sample does not exceed 0.045 mg/ℓ (for a supplier with annual or less frequent monitoring).  In addition, the source water annual average TOC level, before any treatment, must not exceed 4.0 mg/ℓ at each treatment plant treating surface water or groundwater under the direct influence of surface water, based on monitoring conducted under either Section 611.382(b)(1)(C) or (d).</w:t>
      </w:r>
    </w:p>
    <w:p w14:paraId="686479C0" w14:textId="77777777" w:rsidR="00F0626C" w:rsidRPr="001A7517" w:rsidRDefault="00F0626C" w:rsidP="00F0626C">
      <w:pPr>
        <w:spacing w:before="240"/>
        <w:ind w:left="1440" w:hanging="720"/>
        <w:rPr>
          <w:szCs w:val="18"/>
        </w:rPr>
      </w:pPr>
      <w:r w:rsidRPr="001A7517">
        <w:rPr>
          <w:szCs w:val="18"/>
        </w:rPr>
        <w:t>c)</w:t>
      </w:r>
      <w:r w:rsidRPr="001A7517">
        <w:rPr>
          <w:szCs w:val="18"/>
        </w:rPr>
        <w:tab/>
        <w:t>If the LRAA based on quarterly monitoring at any monitoring location exceeds either 0.040 mg/ℓ for TTHM or 0.030 mg/ℓ for HAA5, if the annual (or less frequent) sample at any location exceeds either 0.060 mg/ℓ for TTHM or 0.045 mg/ℓ for HAA5, or if the source water annual average TOC level, before any treatment, exceeds 4.0 mg/ℓ at any treatment plant treating surface water or groundwater under the direct influence of surface water, the supplier must resume routine monitoring under Section 611.971 or begin increased monitoring if Section 611.975 applies.</w:t>
      </w:r>
    </w:p>
    <w:p w14:paraId="719FA419" w14:textId="77777777" w:rsidR="00F0626C" w:rsidRPr="001A7517" w:rsidRDefault="00F0626C" w:rsidP="00F0626C">
      <w:pPr>
        <w:spacing w:before="240"/>
        <w:ind w:left="1440" w:hanging="720"/>
        <w:rPr>
          <w:szCs w:val="18"/>
        </w:rPr>
      </w:pPr>
      <w:r w:rsidRPr="001A7517">
        <w:rPr>
          <w:szCs w:val="18"/>
        </w:rPr>
        <w:t>d)</w:t>
      </w:r>
      <w:r w:rsidRPr="001A7517">
        <w:rPr>
          <w:szCs w:val="18"/>
        </w:rPr>
        <w:tab/>
        <w:t>The Agency may return a supplier to routine monitoring by a SEP.</w:t>
      </w:r>
    </w:p>
    <w:p w14:paraId="14673BC3" w14:textId="77777777" w:rsidR="00F0626C" w:rsidRPr="001A7517" w:rsidRDefault="00F0626C" w:rsidP="00F0626C">
      <w:pPr>
        <w:spacing w:before="240"/>
      </w:pPr>
      <w:r w:rsidRPr="001A7517">
        <w:t>BOARD NOTE:  Derived from 40 CFR 141.623.</w:t>
      </w:r>
    </w:p>
    <w:p w14:paraId="576C51E0"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bookmarkEnd w:id="4436"/>
    <w:p w14:paraId="718DD464" w14:textId="77777777" w:rsidR="00F0626C" w:rsidRPr="001A7517" w:rsidRDefault="00F0626C" w:rsidP="00F0626C">
      <w:pPr>
        <w:keepNext/>
        <w:keepLines/>
        <w:suppressAutoHyphens/>
        <w:spacing w:before="240"/>
        <w:rPr>
          <w:b/>
        </w:rPr>
      </w:pPr>
      <w:r w:rsidRPr="001A7517">
        <w:rPr>
          <w:b/>
        </w:rPr>
        <w:t>Section 611.974  Additional Requirements for Consecutive Systems</w:t>
      </w:r>
    </w:p>
    <w:p w14:paraId="6919EE3F" w14:textId="77777777" w:rsidR="00F0626C" w:rsidRPr="001A7517" w:rsidRDefault="00F0626C" w:rsidP="00F0626C">
      <w:pPr>
        <w:spacing w:before="240"/>
        <w:rPr>
          <w:szCs w:val="18"/>
        </w:rPr>
      </w:pPr>
      <w:r w:rsidRPr="001A7517">
        <w:rPr>
          <w:szCs w:val="18"/>
        </w:rPr>
        <w:t xml:space="preserve">If a supplier has a consecutive system that does not add a disinfectant but </w:t>
      </w:r>
      <w:r w:rsidRPr="001A7517">
        <w:t xml:space="preserve">that </w:t>
      </w:r>
      <w:r w:rsidRPr="001A7517">
        <w:rPr>
          <w:szCs w:val="18"/>
        </w:rPr>
        <w:t xml:space="preserve">delivers water that has been treated with a primary or residual disinfectant other than ultraviolet light, it must comply with the analytical and monitoring requirements for chlorine and chloramines in Sections </w:t>
      </w:r>
      <w:r w:rsidRPr="001A7517">
        <w:rPr>
          <w:szCs w:val="18"/>
        </w:rPr>
        <w:lastRenderedPageBreak/>
        <w:t xml:space="preserve">611.381(c) and 611.382(c)(1) and with the compliance requirements in Section 611.383(c)(1), and the supplier must report monitoring results </w:t>
      </w:r>
      <w:r w:rsidRPr="001A7517">
        <w:t xml:space="preserve">under </w:t>
      </w:r>
      <w:r w:rsidRPr="001A7517">
        <w:rPr>
          <w:szCs w:val="18"/>
        </w:rPr>
        <w:t>Section 611.384(c).</w:t>
      </w:r>
    </w:p>
    <w:p w14:paraId="22D5D2B6" w14:textId="77777777" w:rsidR="00F0626C" w:rsidRPr="001A7517" w:rsidRDefault="00F0626C" w:rsidP="00F0626C">
      <w:pPr>
        <w:spacing w:before="240"/>
      </w:pPr>
      <w:r w:rsidRPr="001A7517">
        <w:t>BOARD NOTE:  Derived from 40 CFR 141.624.</w:t>
      </w:r>
    </w:p>
    <w:p w14:paraId="00015235" w14:textId="77777777" w:rsidR="00F0626C" w:rsidRPr="001A7517" w:rsidRDefault="00F0626C" w:rsidP="00F0626C">
      <w:pPr>
        <w:suppressAutoHyphens/>
        <w:spacing w:before="240"/>
        <w:ind w:left="720"/>
      </w:pPr>
      <w:r w:rsidRPr="001A7517">
        <w:t>(Source:  Amended at 37 Ill. Reg. 1978, effective February 4, 2013)</w:t>
      </w:r>
    </w:p>
    <w:p w14:paraId="4DBB76AC" w14:textId="77777777" w:rsidR="00F0626C" w:rsidRPr="001A7517" w:rsidRDefault="00F0626C" w:rsidP="00F0626C">
      <w:pPr>
        <w:keepNext/>
        <w:keepLines/>
        <w:suppressAutoHyphens/>
        <w:spacing w:before="240"/>
        <w:rPr>
          <w:b/>
        </w:rPr>
      </w:pPr>
      <w:r w:rsidRPr="001A7517">
        <w:rPr>
          <w:b/>
        </w:rPr>
        <w:t>Section 611.975  Conditions Requiring Increased Monitoring</w:t>
      </w:r>
    </w:p>
    <w:p w14:paraId="2BC47FE6"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If a supplier is required to monitor at a particular location annually or less frequently than annually </w:t>
      </w:r>
      <w:r w:rsidRPr="001A7517">
        <w:t xml:space="preserve">under </w:t>
      </w:r>
      <w:r w:rsidRPr="001A7517">
        <w:rPr>
          <w:szCs w:val="18"/>
        </w:rPr>
        <w:t>Section 611.971 or Section 611.973, it must increase monitoring to dual sample sets once per quarter (taken every 90 days) at all locations if a TTHM sample exceeds 0.080 mg/ℓ or an HAA5 sample exceeds 0.060 mg/ℓ at any location.</w:t>
      </w:r>
    </w:p>
    <w:p w14:paraId="2C6B72F9" w14:textId="77777777" w:rsidR="00F0626C" w:rsidRPr="001A7517" w:rsidRDefault="00F0626C" w:rsidP="00F0626C">
      <w:pPr>
        <w:spacing w:before="240"/>
        <w:ind w:left="1440" w:hanging="720"/>
        <w:rPr>
          <w:szCs w:val="18"/>
        </w:rPr>
      </w:pPr>
      <w:r w:rsidRPr="001A7517">
        <w:rPr>
          <w:szCs w:val="18"/>
        </w:rPr>
        <w:t>b)</w:t>
      </w:r>
      <w:r w:rsidRPr="001A7517">
        <w:rPr>
          <w:szCs w:val="18"/>
        </w:rPr>
        <w:tab/>
        <w:t xml:space="preserve">A supplier is in violation of the MCL when the LRAA exceeds the </w:t>
      </w:r>
      <w:r w:rsidRPr="001A7517">
        <w:t>Subpart Y</w:t>
      </w:r>
      <w:r w:rsidRPr="001A7517">
        <w:rPr>
          <w:szCs w:val="18"/>
        </w:rPr>
        <w:t xml:space="preserve"> MCLs in Section 611.312(b)(2), calculated based on four consecutive quarters of monitoring (or the LRAA calculated based on fewer than four quarters of data if the MCL would be exceeded regardless of the monitoring results of subsequent quarters).  The supplier is in violation of the monitoring requirements for each quarter that a monitoring result would be used in calculating an LRAA if it fails to monitor.</w:t>
      </w:r>
    </w:p>
    <w:p w14:paraId="31267AD2" w14:textId="77777777" w:rsidR="00F0626C" w:rsidRPr="001A7517" w:rsidRDefault="00F0626C" w:rsidP="00F0626C">
      <w:pPr>
        <w:spacing w:before="240"/>
        <w:ind w:left="1440" w:hanging="720"/>
        <w:rPr>
          <w:szCs w:val="18"/>
        </w:rPr>
      </w:pPr>
      <w:r w:rsidRPr="001A7517">
        <w:rPr>
          <w:szCs w:val="18"/>
        </w:rPr>
        <w:t>c)</w:t>
      </w:r>
      <w:r w:rsidRPr="001A7517">
        <w:rPr>
          <w:szCs w:val="18"/>
        </w:rPr>
        <w:tab/>
        <w:t>A supplier may return to routine monitoring once it has conducted increased monitoring for at least four consecutive quarters, and the LRAA for every monitoring location does not exceed 0.060 mg/ℓ for TTHM and 0.045 mg/ℓ for HAA5.</w:t>
      </w:r>
    </w:p>
    <w:p w14:paraId="2C42A541" w14:textId="77777777" w:rsidR="00F0626C" w:rsidRPr="001A7517" w:rsidRDefault="00F0626C" w:rsidP="00F0626C">
      <w:pPr>
        <w:spacing w:before="240"/>
      </w:pPr>
      <w:r w:rsidRPr="001A7517">
        <w:t>BOARD NOTE:  Derived from 40 CFR 141.625.</w:t>
      </w:r>
    </w:p>
    <w:p w14:paraId="13CA75B9" w14:textId="77777777" w:rsidR="00F0626C" w:rsidRPr="001A7517" w:rsidRDefault="00F0626C" w:rsidP="00F0626C">
      <w:pPr>
        <w:suppressAutoHyphens/>
        <w:spacing w:before="240"/>
        <w:ind w:left="720"/>
      </w:pPr>
      <w:r w:rsidRPr="001A7517">
        <w:t xml:space="preserve">(Source:  Added at </w:t>
      </w:r>
      <w:r w:rsidRPr="001A7517">
        <w:rPr>
          <w:szCs w:val="17"/>
        </w:rPr>
        <w:t>31 Ill. Reg. 11757, effective July 27, 2007</w:t>
      </w:r>
      <w:r w:rsidRPr="001A7517">
        <w:t>)</w:t>
      </w:r>
    </w:p>
    <w:p w14:paraId="5912FC25" w14:textId="77777777" w:rsidR="00F0626C" w:rsidRPr="001A7517" w:rsidRDefault="00F0626C" w:rsidP="00F0626C">
      <w:pPr>
        <w:keepNext/>
        <w:keepLines/>
        <w:suppressAutoHyphens/>
        <w:spacing w:before="240"/>
        <w:rPr>
          <w:b/>
        </w:rPr>
      </w:pPr>
      <w:r w:rsidRPr="001A7517">
        <w:rPr>
          <w:b/>
        </w:rPr>
        <w:t xml:space="preserve">Section </w:t>
      </w:r>
      <w:bookmarkStart w:id="4440" w:name="_Hlk27062985"/>
      <w:r w:rsidRPr="001A7517">
        <w:rPr>
          <w:b/>
        </w:rPr>
        <w:t>611.976</w:t>
      </w:r>
      <w:bookmarkEnd w:id="4440"/>
      <w:r w:rsidRPr="001A7517">
        <w:rPr>
          <w:b/>
        </w:rPr>
        <w:t xml:space="preserve">  Operational Evaluation Levels</w:t>
      </w:r>
    </w:p>
    <w:p w14:paraId="485FEB49"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A supplier has exceeded the operational evaluation level at any monitoring location where the sum of the two previous quarters’ TTHM results plus twice the current quarter’s TTHM result, divided by four to determine an average, exceeds 0.080 mg/ℓ, or </w:t>
      </w:r>
      <w:r w:rsidRPr="001A7517">
        <w:rPr>
          <w:spacing w:val="-3"/>
        </w:rPr>
        <w:t xml:space="preserve">if </w:t>
      </w:r>
      <w:r w:rsidRPr="001A7517">
        <w:rPr>
          <w:szCs w:val="18"/>
        </w:rPr>
        <w:t>the sum of the two previous quarters’ HAA5 results plus twice the current quarter’s HAA5 result, divided by four to determine an average, exceeds 0.060 mg/ℓ.</w:t>
      </w:r>
    </w:p>
    <w:p w14:paraId="22D2332D" w14:textId="77777777" w:rsidR="00F0626C" w:rsidRPr="001A7517" w:rsidRDefault="00F0626C" w:rsidP="00F0626C">
      <w:pPr>
        <w:spacing w:before="240"/>
        <w:ind w:left="1440" w:hanging="720"/>
        <w:rPr>
          <w:szCs w:val="18"/>
        </w:rPr>
      </w:pPr>
      <w:r w:rsidRPr="001A7517">
        <w:rPr>
          <w:szCs w:val="18"/>
        </w:rPr>
        <w:t>b)</w:t>
      </w:r>
      <w:r w:rsidRPr="001A7517">
        <w:rPr>
          <w:szCs w:val="18"/>
        </w:rPr>
        <w:tab/>
        <w:t>Effects of Exceeding the Operational Evaluation Level</w:t>
      </w:r>
    </w:p>
    <w:p w14:paraId="75020F26" w14:textId="77777777" w:rsidR="00F0626C" w:rsidRPr="001A7517" w:rsidRDefault="00F0626C" w:rsidP="00F0626C">
      <w:pPr>
        <w:spacing w:before="240"/>
        <w:ind w:left="2160" w:hanging="720"/>
        <w:rPr>
          <w:szCs w:val="18"/>
        </w:rPr>
      </w:pPr>
      <w:r w:rsidRPr="001A7517">
        <w:rPr>
          <w:szCs w:val="18"/>
        </w:rPr>
        <w:t>1)</w:t>
      </w:r>
      <w:r w:rsidRPr="001A7517">
        <w:rPr>
          <w:szCs w:val="18"/>
        </w:rPr>
        <w:tab/>
        <w:t xml:space="preserve">If a supplier exceeds the operational evaluation level, the supplier must conduct an operational evaluation and submit a written report of the evaluation to the Agency no later than 90 days after being notified of the </w:t>
      </w:r>
      <w:r w:rsidRPr="001A7517">
        <w:rPr>
          <w:szCs w:val="18"/>
        </w:rPr>
        <w:lastRenderedPageBreak/>
        <w:t>analytical result that causes it to exceed the operational evaluation level.  The written report must be made available to the public upon request.</w:t>
      </w:r>
    </w:p>
    <w:p w14:paraId="6B0C21C8" w14:textId="77777777" w:rsidR="00F0626C" w:rsidRPr="001A7517" w:rsidRDefault="00F0626C" w:rsidP="00F0626C">
      <w:pPr>
        <w:spacing w:before="240"/>
        <w:ind w:left="2160" w:hanging="720"/>
        <w:rPr>
          <w:szCs w:val="18"/>
        </w:rPr>
      </w:pPr>
      <w:r w:rsidRPr="001A7517">
        <w:rPr>
          <w:szCs w:val="18"/>
        </w:rPr>
        <w:t>2)</w:t>
      </w:r>
      <w:r w:rsidRPr="001A7517">
        <w:rPr>
          <w:szCs w:val="18"/>
        </w:rPr>
        <w:tab/>
        <w:t>The supplier’s operational evaluation must include an examination of system treatment and distribution operational practices, including storage tank operations, excess storage capacity, distribution system flushing, changes in sources or source water quality, and treatment changes or problems that may contribute to TTHM and HAA5 formation and what steps could be considered to minimize future exceedances.</w:t>
      </w:r>
    </w:p>
    <w:p w14:paraId="4B78F4F6" w14:textId="77777777" w:rsidR="00F0626C" w:rsidRPr="001A7517" w:rsidRDefault="00F0626C" w:rsidP="00F0626C">
      <w:pPr>
        <w:spacing w:before="240"/>
        <w:ind w:left="2880" w:hanging="720"/>
        <w:rPr>
          <w:szCs w:val="18"/>
        </w:rPr>
      </w:pPr>
      <w:r w:rsidRPr="001A7517">
        <w:rPr>
          <w:szCs w:val="18"/>
        </w:rPr>
        <w:t>A)</w:t>
      </w:r>
      <w:r w:rsidRPr="001A7517">
        <w:rPr>
          <w:szCs w:val="18"/>
        </w:rPr>
        <w:tab/>
        <w:t>A supplier may request and the Agency may allow the supplier to limit the scope of its evaluation if the supplier is able to identify the cause of the operational evaluation level exceedance.</w:t>
      </w:r>
    </w:p>
    <w:p w14:paraId="7A5A4C38" w14:textId="77777777" w:rsidR="00F0626C" w:rsidRPr="001A7517" w:rsidRDefault="00F0626C" w:rsidP="00F0626C">
      <w:pPr>
        <w:spacing w:before="240"/>
        <w:ind w:left="2880" w:hanging="720"/>
        <w:rPr>
          <w:szCs w:val="18"/>
        </w:rPr>
      </w:pPr>
      <w:r w:rsidRPr="001A7517">
        <w:rPr>
          <w:szCs w:val="18"/>
        </w:rPr>
        <w:t>B)</w:t>
      </w:r>
      <w:r w:rsidRPr="001A7517">
        <w:rPr>
          <w:szCs w:val="18"/>
        </w:rPr>
        <w:tab/>
        <w:t>A supplier’s request to limit the scope of the evaluation does not extend the schedule in subsection (b)(1) for submitting the written report.  The Agency must approve this limited scope of evaluation in writing, and the supplier must keep that approval with the completed report.</w:t>
      </w:r>
    </w:p>
    <w:p w14:paraId="752AEBCA" w14:textId="77777777" w:rsidR="00F0626C" w:rsidRPr="001A7517" w:rsidRDefault="00F0626C" w:rsidP="00F0626C">
      <w:pPr>
        <w:spacing w:before="240"/>
      </w:pPr>
      <w:r w:rsidRPr="001A7517">
        <w:t>BOARD NOTE:  Derived from 40 CFR 141.626.</w:t>
      </w:r>
    </w:p>
    <w:p w14:paraId="0AA49082"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664882E5" w14:textId="77777777" w:rsidR="00F0626C" w:rsidRPr="001A7517" w:rsidRDefault="00F0626C" w:rsidP="00F0626C">
      <w:pPr>
        <w:keepNext/>
        <w:keepLines/>
        <w:suppressAutoHyphens/>
        <w:spacing w:before="240"/>
        <w:rPr>
          <w:b/>
        </w:rPr>
      </w:pPr>
      <w:r w:rsidRPr="001A7517">
        <w:rPr>
          <w:b/>
        </w:rPr>
        <w:t xml:space="preserve">Section 611.977  Requirements for Remaining on Reduced TTHM and HAA5 Monitoring Based on </w:t>
      </w:r>
      <w:r w:rsidRPr="001A7517">
        <w:rPr>
          <w:b/>
          <w:szCs w:val="18"/>
        </w:rPr>
        <w:t>Subpart I</w:t>
      </w:r>
      <w:r w:rsidRPr="001A7517">
        <w:rPr>
          <w:b/>
        </w:rPr>
        <w:t xml:space="preserve"> Results</w:t>
      </w:r>
    </w:p>
    <w:p w14:paraId="06D289D3" w14:textId="77777777" w:rsidR="00F0626C" w:rsidRPr="001A7517" w:rsidRDefault="00F0626C" w:rsidP="00F0626C">
      <w:pPr>
        <w:spacing w:before="240"/>
        <w:rPr>
          <w:szCs w:val="18"/>
        </w:rPr>
      </w:pPr>
      <w:r w:rsidRPr="001A7517">
        <w:rPr>
          <w:szCs w:val="18"/>
        </w:rPr>
        <w:t>A supplier may remain on reduced monitoring after the applicable dates identified in Section 611.970(c) for compliance with this Subpart Y only if the supplier fulfills each of the requirements set forth in subsections (a) through (c), subject to the limitations of subsection (d):</w:t>
      </w:r>
    </w:p>
    <w:p w14:paraId="55FE1614" w14:textId="77777777" w:rsidR="00F0626C" w:rsidRPr="001A7517" w:rsidRDefault="00F0626C" w:rsidP="00F0626C">
      <w:pPr>
        <w:spacing w:before="240"/>
        <w:ind w:left="1440" w:hanging="720"/>
        <w:rPr>
          <w:szCs w:val="18"/>
        </w:rPr>
      </w:pPr>
      <w:r w:rsidRPr="001A7517">
        <w:rPr>
          <w:szCs w:val="18"/>
        </w:rPr>
        <w:t>a)</w:t>
      </w:r>
      <w:r w:rsidRPr="001A7517">
        <w:rPr>
          <w:szCs w:val="18"/>
        </w:rPr>
        <w:tab/>
        <w:t xml:space="preserve">The supplier qualifies for a 40/30 certification </w:t>
      </w:r>
      <w:r w:rsidRPr="001A7517">
        <w:t xml:space="preserve">under </w:t>
      </w:r>
      <w:r w:rsidRPr="001A7517">
        <w:rPr>
          <w:szCs w:val="18"/>
        </w:rPr>
        <w:t xml:space="preserve">Section 611.923 or it has received a very small system waiver </w:t>
      </w:r>
      <w:r w:rsidRPr="001A7517">
        <w:t xml:space="preserve">under </w:t>
      </w:r>
      <w:r w:rsidRPr="001A7517">
        <w:rPr>
          <w:szCs w:val="18"/>
        </w:rPr>
        <w:t>Section 611.924;</w:t>
      </w:r>
    </w:p>
    <w:p w14:paraId="0FA1E079" w14:textId="77777777" w:rsidR="00F0626C" w:rsidRPr="001A7517" w:rsidRDefault="00F0626C" w:rsidP="00F0626C">
      <w:pPr>
        <w:spacing w:before="240"/>
        <w:ind w:left="1440" w:hanging="720"/>
        <w:rPr>
          <w:szCs w:val="18"/>
        </w:rPr>
      </w:pPr>
      <w:r w:rsidRPr="001A7517">
        <w:rPr>
          <w:szCs w:val="18"/>
        </w:rPr>
        <w:t>b)</w:t>
      </w:r>
      <w:r w:rsidRPr="001A7517">
        <w:rPr>
          <w:szCs w:val="18"/>
        </w:rPr>
        <w:tab/>
        <w:t xml:space="preserve">The supplier meets the reduced monitoring criteria set forth in Section 611.973(a); </w:t>
      </w:r>
    </w:p>
    <w:p w14:paraId="502D4850" w14:textId="77777777" w:rsidR="00F0626C" w:rsidRPr="001A7517" w:rsidRDefault="00F0626C" w:rsidP="00F0626C">
      <w:pPr>
        <w:spacing w:before="240"/>
        <w:ind w:left="1440" w:hanging="720"/>
        <w:rPr>
          <w:szCs w:val="18"/>
        </w:rPr>
      </w:pPr>
      <w:r w:rsidRPr="001A7517">
        <w:rPr>
          <w:szCs w:val="18"/>
        </w:rPr>
        <w:t>c)</w:t>
      </w:r>
      <w:r w:rsidRPr="001A7517">
        <w:rPr>
          <w:szCs w:val="18"/>
        </w:rPr>
        <w:tab/>
        <w:t>The supplier does not change or add monitoring locations from those used for compliance monitoring under Subpart I; and</w:t>
      </w:r>
    </w:p>
    <w:p w14:paraId="743C1467" w14:textId="77777777" w:rsidR="00F0626C" w:rsidRPr="001A7517" w:rsidRDefault="00F0626C" w:rsidP="00F0626C">
      <w:pPr>
        <w:spacing w:before="240"/>
        <w:ind w:left="1440" w:hanging="720"/>
        <w:rPr>
          <w:szCs w:val="18"/>
        </w:rPr>
      </w:pPr>
      <w:r w:rsidRPr="001A7517">
        <w:rPr>
          <w:szCs w:val="18"/>
        </w:rPr>
        <w:t>d)</w:t>
      </w:r>
      <w:r w:rsidRPr="001A7517">
        <w:rPr>
          <w:szCs w:val="18"/>
        </w:rPr>
        <w:tab/>
        <w:t xml:space="preserve">If the supplier’s monitoring locations </w:t>
      </w:r>
      <w:r w:rsidRPr="001A7517">
        <w:t xml:space="preserve">under </w:t>
      </w:r>
      <w:r w:rsidRPr="001A7517">
        <w:rPr>
          <w:szCs w:val="18"/>
        </w:rPr>
        <w:t xml:space="preserve">this Subpart Y differ from its monitoring locations </w:t>
      </w:r>
      <w:r w:rsidRPr="001A7517">
        <w:t xml:space="preserve">under </w:t>
      </w:r>
      <w:r w:rsidRPr="001A7517">
        <w:rPr>
          <w:szCs w:val="18"/>
        </w:rPr>
        <w:t>Subpart I, the supplier may not remain on reduced monitoring after the dates identified in Section 611.970(c) for the purposes of compliance with this Subpart Y.</w:t>
      </w:r>
    </w:p>
    <w:p w14:paraId="3FE7B079" w14:textId="77777777" w:rsidR="00F0626C" w:rsidRPr="001A7517" w:rsidRDefault="00F0626C" w:rsidP="00F0626C">
      <w:pPr>
        <w:spacing w:before="240"/>
      </w:pPr>
      <w:r w:rsidRPr="001A7517">
        <w:t>BOARD NOTE:  Derived from 40 CFR 141.627.</w:t>
      </w:r>
    </w:p>
    <w:p w14:paraId="3669F1F1" w14:textId="77777777" w:rsidR="00F0626C" w:rsidRPr="001A7517" w:rsidRDefault="00F0626C" w:rsidP="00F0626C">
      <w:pPr>
        <w:suppressAutoHyphens/>
        <w:spacing w:before="240"/>
        <w:ind w:left="720"/>
      </w:pPr>
      <w:r w:rsidRPr="001A7517">
        <w:lastRenderedPageBreak/>
        <w:t>(Source:  A</w:t>
      </w:r>
      <w:r w:rsidRPr="001A7517">
        <w:rPr>
          <w:szCs w:val="17"/>
        </w:rPr>
        <w:t xml:space="preserve">mended at </w:t>
      </w:r>
      <w:r w:rsidRPr="001A7517">
        <w:t>42 Ill. Reg. 1140, effective January 4, 2018)</w:t>
      </w:r>
    </w:p>
    <w:p w14:paraId="1973782E" w14:textId="77777777" w:rsidR="00F0626C" w:rsidRPr="001A7517" w:rsidRDefault="00F0626C" w:rsidP="00F0626C">
      <w:pPr>
        <w:keepNext/>
        <w:keepLines/>
        <w:suppressAutoHyphens/>
        <w:spacing w:before="240"/>
        <w:rPr>
          <w:b/>
        </w:rPr>
      </w:pPr>
      <w:r w:rsidRPr="001A7517">
        <w:rPr>
          <w:b/>
        </w:rPr>
        <w:t xml:space="preserve">Section 611.978  Requirements for Remaining on Increased TTHM and HAA5 Monitoring Based on </w:t>
      </w:r>
      <w:r w:rsidRPr="001A7517">
        <w:rPr>
          <w:b/>
          <w:szCs w:val="18"/>
        </w:rPr>
        <w:t>Subpart I</w:t>
      </w:r>
      <w:r w:rsidRPr="001A7517">
        <w:rPr>
          <w:b/>
        </w:rPr>
        <w:t xml:space="preserve"> Results</w:t>
      </w:r>
    </w:p>
    <w:p w14:paraId="7DD63714" w14:textId="77777777" w:rsidR="00F0626C" w:rsidRPr="001A7517" w:rsidRDefault="00F0626C" w:rsidP="00F0626C">
      <w:pPr>
        <w:spacing w:before="240"/>
        <w:rPr>
          <w:szCs w:val="18"/>
        </w:rPr>
      </w:pPr>
      <w:r w:rsidRPr="001A7517">
        <w:rPr>
          <w:szCs w:val="18"/>
        </w:rPr>
        <w:t xml:space="preserve">If a supplier was on increased monitoring </w:t>
      </w:r>
      <w:r w:rsidRPr="001A7517">
        <w:t xml:space="preserve">under </w:t>
      </w:r>
      <w:r w:rsidRPr="001A7517">
        <w:rPr>
          <w:szCs w:val="18"/>
        </w:rPr>
        <w:t xml:space="preserve">Section 611.382(b)(1), it must remain on increased monitoring until it qualifies for a return to routine monitoring </w:t>
      </w:r>
      <w:r w:rsidRPr="001A7517">
        <w:t xml:space="preserve">under </w:t>
      </w:r>
      <w:r w:rsidRPr="001A7517">
        <w:rPr>
          <w:szCs w:val="18"/>
        </w:rPr>
        <w:t xml:space="preserve">Section 611.975(c).  The supplier must conduct increased monitoring </w:t>
      </w:r>
      <w:r w:rsidRPr="001A7517">
        <w:t xml:space="preserve">under </w:t>
      </w:r>
      <w:r w:rsidRPr="001A7517">
        <w:rPr>
          <w:szCs w:val="18"/>
        </w:rPr>
        <w:t xml:space="preserve">Section 611.975 at the monitoring locations in the monitoring plan developed </w:t>
      </w:r>
      <w:r w:rsidRPr="001A7517">
        <w:t xml:space="preserve">under </w:t>
      </w:r>
      <w:r w:rsidRPr="001A7517">
        <w:rPr>
          <w:szCs w:val="18"/>
        </w:rPr>
        <w:t xml:space="preserve">Section 611.972 beginning at the applicable date identified in Section 611.970(c) for compliance with this Subpart Y, and it must remain on increased monitoring until the supplier qualifies for a return to routine monitoring </w:t>
      </w:r>
      <w:r w:rsidRPr="001A7517">
        <w:t xml:space="preserve">under </w:t>
      </w:r>
      <w:r w:rsidRPr="001A7517">
        <w:rPr>
          <w:szCs w:val="18"/>
        </w:rPr>
        <w:t>Section 611.975(c).</w:t>
      </w:r>
    </w:p>
    <w:p w14:paraId="1E0BE737" w14:textId="77777777" w:rsidR="00F0626C" w:rsidRPr="001A7517" w:rsidRDefault="00F0626C" w:rsidP="00F0626C">
      <w:pPr>
        <w:spacing w:before="240"/>
      </w:pPr>
      <w:r w:rsidRPr="001A7517">
        <w:t>BOARD NOTE:  Derived from 40 CFR 141.628.</w:t>
      </w:r>
    </w:p>
    <w:p w14:paraId="49B1E0A7" w14:textId="77777777" w:rsidR="00F0626C" w:rsidRPr="001A7517" w:rsidRDefault="00F0626C" w:rsidP="00F0626C">
      <w:pPr>
        <w:suppressAutoHyphens/>
        <w:spacing w:before="240"/>
        <w:ind w:left="720"/>
      </w:pPr>
      <w:r w:rsidRPr="001A7517">
        <w:t xml:space="preserve">(Source:  Added at </w:t>
      </w:r>
      <w:r w:rsidRPr="001A7517">
        <w:rPr>
          <w:szCs w:val="17"/>
        </w:rPr>
        <w:t>31 Ill. Reg. 11757, effective July 27, 2007</w:t>
      </w:r>
      <w:r w:rsidRPr="001A7517">
        <w:t>)</w:t>
      </w:r>
    </w:p>
    <w:p w14:paraId="48043EEF" w14:textId="77777777" w:rsidR="00F0626C" w:rsidRPr="001A7517" w:rsidRDefault="00F0626C" w:rsidP="00F0626C">
      <w:pPr>
        <w:keepNext/>
        <w:keepLines/>
        <w:suppressAutoHyphens/>
        <w:spacing w:before="240"/>
        <w:rPr>
          <w:b/>
        </w:rPr>
      </w:pPr>
      <w:bookmarkStart w:id="4441" w:name="_Hlk531014788"/>
      <w:r w:rsidRPr="001A7517">
        <w:rPr>
          <w:b/>
        </w:rPr>
        <w:t xml:space="preserve">Section </w:t>
      </w:r>
      <w:bookmarkStart w:id="4442" w:name="_Hlk27062999"/>
      <w:r w:rsidRPr="001A7517">
        <w:rPr>
          <w:b/>
        </w:rPr>
        <w:t>611.979</w:t>
      </w:r>
      <w:bookmarkEnd w:id="4442"/>
      <w:r w:rsidRPr="001A7517">
        <w:rPr>
          <w:b/>
        </w:rPr>
        <w:t xml:space="preserve">  Reporting and Recordkeeping Requirements</w:t>
      </w:r>
    </w:p>
    <w:p w14:paraId="65EF2F9D" w14:textId="77777777" w:rsidR="00F0626C" w:rsidRPr="001A7517" w:rsidRDefault="00F0626C" w:rsidP="00F0626C">
      <w:pPr>
        <w:spacing w:before="240"/>
        <w:ind w:left="1440" w:hanging="720"/>
        <w:rPr>
          <w:szCs w:val="18"/>
        </w:rPr>
      </w:pPr>
      <w:r w:rsidRPr="001A7517">
        <w:t>a)</w:t>
      </w:r>
      <w:r w:rsidRPr="001A7517">
        <w:tab/>
      </w:r>
      <w:r w:rsidRPr="001A7517">
        <w:rPr>
          <w:iCs/>
          <w:szCs w:val="18"/>
        </w:rPr>
        <w:t>Reporting</w:t>
      </w:r>
    </w:p>
    <w:p w14:paraId="24027D3E" w14:textId="77777777" w:rsidR="00F0626C" w:rsidRPr="001A7517" w:rsidRDefault="00F0626C" w:rsidP="00F0626C">
      <w:pPr>
        <w:spacing w:before="240"/>
        <w:ind w:left="2160" w:hanging="720"/>
        <w:rPr>
          <w:szCs w:val="18"/>
        </w:rPr>
      </w:pPr>
      <w:r w:rsidRPr="001A7517">
        <w:rPr>
          <w:szCs w:val="18"/>
        </w:rPr>
        <w:t>1)</w:t>
      </w:r>
      <w:r w:rsidRPr="001A7517">
        <w:rPr>
          <w:szCs w:val="18"/>
        </w:rPr>
        <w:tab/>
        <w:t xml:space="preserve">A supplier must report the following information to the Agency within </w:t>
      </w:r>
      <w:r w:rsidRPr="001A7517">
        <w:t xml:space="preserve">ten </w:t>
      </w:r>
      <w:r w:rsidRPr="001A7517">
        <w:rPr>
          <w:szCs w:val="18"/>
        </w:rPr>
        <w:t>days after the end of any quarter in which monitoring is required for each monitoring location:</w:t>
      </w:r>
    </w:p>
    <w:p w14:paraId="0E8B79E2" w14:textId="77777777" w:rsidR="00F0626C" w:rsidRPr="001A7517" w:rsidRDefault="00F0626C" w:rsidP="00F0626C">
      <w:pPr>
        <w:spacing w:before="240"/>
        <w:ind w:left="2880" w:hanging="720"/>
        <w:rPr>
          <w:szCs w:val="18"/>
        </w:rPr>
      </w:pPr>
      <w:r w:rsidRPr="001A7517">
        <w:rPr>
          <w:szCs w:val="18"/>
        </w:rPr>
        <w:t>A)</w:t>
      </w:r>
      <w:r w:rsidRPr="001A7517">
        <w:rPr>
          <w:szCs w:val="18"/>
        </w:rPr>
        <w:tab/>
        <w:t>The number of samples taken during the last quarter;</w:t>
      </w:r>
    </w:p>
    <w:p w14:paraId="17CF9C16" w14:textId="77777777" w:rsidR="00F0626C" w:rsidRPr="001A7517" w:rsidRDefault="00F0626C" w:rsidP="00F0626C">
      <w:pPr>
        <w:spacing w:before="240"/>
        <w:ind w:left="2880" w:hanging="720"/>
        <w:rPr>
          <w:szCs w:val="18"/>
        </w:rPr>
      </w:pPr>
      <w:r w:rsidRPr="001A7517">
        <w:rPr>
          <w:szCs w:val="18"/>
        </w:rPr>
        <w:t>B)</w:t>
      </w:r>
      <w:r w:rsidRPr="001A7517">
        <w:rPr>
          <w:szCs w:val="18"/>
        </w:rPr>
        <w:tab/>
        <w:t>The date and results of each sample taken during the last quarter;</w:t>
      </w:r>
    </w:p>
    <w:p w14:paraId="12A3A853" w14:textId="77777777" w:rsidR="00F0626C" w:rsidRPr="001A7517" w:rsidRDefault="00F0626C" w:rsidP="00F0626C">
      <w:pPr>
        <w:spacing w:before="240"/>
        <w:ind w:left="2880" w:hanging="720"/>
        <w:rPr>
          <w:szCs w:val="18"/>
        </w:rPr>
      </w:pPr>
      <w:r w:rsidRPr="001A7517">
        <w:rPr>
          <w:szCs w:val="18"/>
        </w:rPr>
        <w:t>C)</w:t>
      </w:r>
      <w:r w:rsidRPr="001A7517">
        <w:rPr>
          <w:szCs w:val="18"/>
        </w:rPr>
        <w:tab/>
        <w:t xml:space="preserve">The arithmetic average of quarterly results for the last four quarters for each monitoring location (LRAA), beginning at the end of the fourth calendar quarter that follows the compliance date and at the end of each subsequent quarter.  If the LRAA calculated based on fewer than four quarters of data would cause the MCL to be exceeded regardless of the monitoring results of subsequent quarters, the supplier must report this information to the Agency as part of the first report due following the compliance date or anytime thereafter that this determination is made.  If the supplier is required to conduct monitoring at a frequency that is less than quarterly, it must make compliance calculations beginning with the first compliance sample taken after the compliance date, unless the supplier is required to conduct increased monitoring </w:t>
      </w:r>
      <w:r w:rsidRPr="001A7517">
        <w:t xml:space="preserve">under </w:t>
      </w:r>
      <w:r w:rsidRPr="001A7517">
        <w:rPr>
          <w:szCs w:val="18"/>
        </w:rPr>
        <w:t>Section 611.975;</w:t>
      </w:r>
    </w:p>
    <w:p w14:paraId="2B7D31B3" w14:textId="77777777" w:rsidR="00F0626C" w:rsidRPr="001A7517" w:rsidRDefault="00F0626C" w:rsidP="00F0626C">
      <w:pPr>
        <w:spacing w:before="240"/>
        <w:ind w:left="2880" w:hanging="720"/>
        <w:rPr>
          <w:szCs w:val="18"/>
        </w:rPr>
      </w:pPr>
      <w:r w:rsidRPr="001A7517">
        <w:rPr>
          <w:szCs w:val="18"/>
        </w:rPr>
        <w:t>D)</w:t>
      </w:r>
      <w:r w:rsidRPr="001A7517">
        <w:rPr>
          <w:szCs w:val="18"/>
        </w:rPr>
        <w:tab/>
        <w:t>A statement whether, based on Section 611.312(b)(2) and this Subpart Y, the MCL was violated at any monitoring location; and</w:t>
      </w:r>
    </w:p>
    <w:p w14:paraId="7CE866AE" w14:textId="77777777" w:rsidR="00F0626C" w:rsidRPr="001A7517" w:rsidRDefault="00F0626C" w:rsidP="00F0626C">
      <w:pPr>
        <w:spacing w:before="240"/>
        <w:ind w:left="2880" w:hanging="720"/>
        <w:rPr>
          <w:szCs w:val="18"/>
        </w:rPr>
      </w:pPr>
      <w:r w:rsidRPr="001A7517">
        <w:rPr>
          <w:szCs w:val="18"/>
        </w:rPr>
        <w:lastRenderedPageBreak/>
        <w:t>E)</w:t>
      </w:r>
      <w:r w:rsidRPr="001A7517">
        <w:rPr>
          <w:szCs w:val="18"/>
        </w:rPr>
        <w:tab/>
        <w:t>Any operational evaluation levels that were exceeded during the quarter and, if so, the location and date, and the calculated TTHM and HAA5 levels.</w:t>
      </w:r>
    </w:p>
    <w:p w14:paraId="7AB82C6D" w14:textId="77777777" w:rsidR="00F0626C" w:rsidRPr="001A7517" w:rsidRDefault="00F0626C" w:rsidP="00F0626C">
      <w:pPr>
        <w:spacing w:before="240"/>
        <w:ind w:left="2160" w:hanging="720"/>
        <w:rPr>
          <w:szCs w:val="18"/>
        </w:rPr>
      </w:pPr>
      <w:r w:rsidRPr="001A7517">
        <w:rPr>
          <w:szCs w:val="18"/>
        </w:rPr>
        <w:t>2)</w:t>
      </w:r>
      <w:r w:rsidRPr="001A7517">
        <w:rPr>
          <w:szCs w:val="18"/>
        </w:rPr>
        <w:tab/>
        <w:t xml:space="preserve">If a supplier is a Subpart B system supplier that seeks to qualify for or remain on reduced TTHM and HAA5 monitoring, it must report the following source water TOC information for each treatment plant that treats surface water or </w:t>
      </w:r>
      <w:r w:rsidRPr="001A7517">
        <w:t>groundwater</w:t>
      </w:r>
      <w:r w:rsidRPr="001A7517">
        <w:rPr>
          <w:szCs w:val="18"/>
        </w:rPr>
        <w:t xml:space="preserve"> under the direct influence of surface water to the Agency within </w:t>
      </w:r>
      <w:r w:rsidRPr="001A7517">
        <w:t xml:space="preserve">ten </w:t>
      </w:r>
      <w:r w:rsidRPr="001A7517">
        <w:rPr>
          <w:szCs w:val="18"/>
        </w:rPr>
        <w:t>days after the end of any quarter in which monitoring is required:</w:t>
      </w:r>
    </w:p>
    <w:p w14:paraId="068D3E53" w14:textId="77777777" w:rsidR="00F0626C" w:rsidRPr="001A7517" w:rsidRDefault="00F0626C" w:rsidP="00F0626C">
      <w:pPr>
        <w:spacing w:before="240"/>
        <w:ind w:left="2880" w:hanging="720"/>
        <w:rPr>
          <w:szCs w:val="18"/>
        </w:rPr>
      </w:pPr>
      <w:r w:rsidRPr="001A7517">
        <w:rPr>
          <w:szCs w:val="18"/>
        </w:rPr>
        <w:t>A)</w:t>
      </w:r>
      <w:r w:rsidRPr="001A7517">
        <w:rPr>
          <w:szCs w:val="18"/>
        </w:rPr>
        <w:tab/>
        <w:t>The number of source water TOC samples taken each month during last quarter;</w:t>
      </w:r>
    </w:p>
    <w:p w14:paraId="739C98D7" w14:textId="77777777" w:rsidR="00F0626C" w:rsidRPr="001A7517" w:rsidRDefault="00F0626C" w:rsidP="00F0626C">
      <w:pPr>
        <w:spacing w:before="240"/>
        <w:ind w:left="2880" w:hanging="720"/>
        <w:rPr>
          <w:szCs w:val="18"/>
        </w:rPr>
      </w:pPr>
      <w:r w:rsidRPr="001A7517">
        <w:rPr>
          <w:szCs w:val="18"/>
        </w:rPr>
        <w:t>B)</w:t>
      </w:r>
      <w:r w:rsidRPr="001A7517">
        <w:rPr>
          <w:szCs w:val="18"/>
        </w:rPr>
        <w:tab/>
        <w:t>The date and result of each sample taken during last quarter;</w:t>
      </w:r>
    </w:p>
    <w:p w14:paraId="59A07421" w14:textId="77777777" w:rsidR="00F0626C" w:rsidRPr="001A7517" w:rsidRDefault="00F0626C" w:rsidP="00F0626C">
      <w:pPr>
        <w:spacing w:before="240"/>
        <w:ind w:left="2880" w:hanging="720"/>
        <w:rPr>
          <w:szCs w:val="18"/>
        </w:rPr>
      </w:pPr>
      <w:r w:rsidRPr="001A7517">
        <w:rPr>
          <w:szCs w:val="18"/>
        </w:rPr>
        <w:t>C)</w:t>
      </w:r>
      <w:r w:rsidRPr="001A7517">
        <w:rPr>
          <w:szCs w:val="18"/>
        </w:rPr>
        <w:tab/>
        <w:t>The arithmetic average of monthly samples taken during the last quarter or the result of the quarterly sample;</w:t>
      </w:r>
    </w:p>
    <w:p w14:paraId="7B93F1EC" w14:textId="77777777" w:rsidR="00F0626C" w:rsidRPr="001A7517" w:rsidRDefault="00F0626C" w:rsidP="00F0626C">
      <w:pPr>
        <w:spacing w:before="240"/>
        <w:ind w:left="2880" w:hanging="720"/>
        <w:rPr>
          <w:szCs w:val="18"/>
        </w:rPr>
      </w:pPr>
      <w:r w:rsidRPr="001A7517">
        <w:rPr>
          <w:szCs w:val="18"/>
        </w:rPr>
        <w:t>D)</w:t>
      </w:r>
      <w:r w:rsidRPr="001A7517">
        <w:rPr>
          <w:szCs w:val="18"/>
        </w:rPr>
        <w:tab/>
        <w:t>The running annual average (RAA) of quarterly averages from the past four quarters; and</w:t>
      </w:r>
    </w:p>
    <w:p w14:paraId="75B4E610" w14:textId="77777777" w:rsidR="00F0626C" w:rsidRPr="001A7517" w:rsidRDefault="00F0626C" w:rsidP="00F0626C">
      <w:pPr>
        <w:spacing w:before="240"/>
        <w:ind w:left="2880" w:hanging="720"/>
        <w:rPr>
          <w:szCs w:val="18"/>
        </w:rPr>
      </w:pPr>
      <w:r w:rsidRPr="001A7517">
        <w:rPr>
          <w:szCs w:val="18"/>
        </w:rPr>
        <w:t>E)</w:t>
      </w:r>
      <w:r w:rsidRPr="001A7517">
        <w:rPr>
          <w:szCs w:val="18"/>
        </w:rPr>
        <w:tab/>
        <w:t>Whether the RAA exceeded 4.0 mg/ℓ.</w:t>
      </w:r>
    </w:p>
    <w:p w14:paraId="37EAF36B" w14:textId="77777777" w:rsidR="00F0626C" w:rsidRPr="001A7517" w:rsidRDefault="00F0626C" w:rsidP="00F0626C">
      <w:pPr>
        <w:spacing w:before="240"/>
        <w:ind w:left="2160" w:hanging="720"/>
        <w:rPr>
          <w:szCs w:val="18"/>
        </w:rPr>
      </w:pPr>
      <w:r w:rsidRPr="001A7517">
        <w:rPr>
          <w:szCs w:val="18"/>
        </w:rPr>
        <w:t>3)</w:t>
      </w:r>
      <w:r w:rsidRPr="001A7517">
        <w:rPr>
          <w:szCs w:val="18"/>
        </w:rPr>
        <w:tab/>
        <w:t>The Agency may, by a SEP, choose to perform calculations and determine whether the MCL was exceeded or the system is eligible for reduced monitoring in lieu of having the system report that information under this Section.</w:t>
      </w:r>
    </w:p>
    <w:p w14:paraId="4B89103C" w14:textId="77777777" w:rsidR="00F0626C" w:rsidRPr="001A7517" w:rsidRDefault="00F0626C" w:rsidP="00F0626C">
      <w:pPr>
        <w:spacing w:before="240"/>
        <w:ind w:left="1440" w:hanging="720"/>
      </w:pPr>
      <w:r w:rsidRPr="001A7517">
        <w:rPr>
          <w:szCs w:val="18"/>
        </w:rPr>
        <w:t>b)</w:t>
      </w:r>
      <w:r w:rsidRPr="001A7517">
        <w:rPr>
          <w:szCs w:val="18"/>
        </w:rPr>
        <w:tab/>
      </w:r>
      <w:r w:rsidRPr="001A7517">
        <w:rPr>
          <w:iCs/>
          <w:szCs w:val="18"/>
        </w:rPr>
        <w:t xml:space="preserve">Recordkeeping.  </w:t>
      </w:r>
      <w:r w:rsidRPr="001A7517">
        <w:rPr>
          <w:szCs w:val="18"/>
        </w:rPr>
        <w:t xml:space="preserve">A supplier must retain any </w:t>
      </w:r>
      <w:r w:rsidRPr="001A7517">
        <w:t>Subpart Y</w:t>
      </w:r>
      <w:r w:rsidRPr="001A7517">
        <w:rPr>
          <w:szCs w:val="18"/>
        </w:rPr>
        <w:t xml:space="preserve"> monitoring plans and the supplier’s </w:t>
      </w:r>
      <w:r w:rsidRPr="001A7517">
        <w:t>Subpart Y</w:t>
      </w:r>
      <w:r w:rsidRPr="001A7517">
        <w:rPr>
          <w:szCs w:val="18"/>
        </w:rPr>
        <w:t xml:space="preserve"> monitoring results as required by Section 611.860.</w:t>
      </w:r>
    </w:p>
    <w:p w14:paraId="6440A8C2" w14:textId="77777777" w:rsidR="00F0626C" w:rsidRPr="001A7517" w:rsidRDefault="00F0626C" w:rsidP="00F0626C">
      <w:pPr>
        <w:spacing w:before="240"/>
      </w:pPr>
      <w:r w:rsidRPr="001A7517">
        <w:t>BOARD NOTE:  Derived from 40 CFR 141.629.</w:t>
      </w:r>
    </w:p>
    <w:p w14:paraId="1F9707F3"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0018B738" w14:textId="77777777" w:rsidR="00F0626C" w:rsidRPr="001A7517" w:rsidRDefault="00F0626C" w:rsidP="00F0626C">
      <w:pPr>
        <w:keepNext/>
        <w:keepLines/>
        <w:suppressAutoHyphens/>
        <w:spacing w:before="240" w:after="240"/>
        <w:ind w:left="720" w:right="720"/>
        <w:jc w:val="center"/>
        <w:rPr>
          <w:szCs w:val="16"/>
        </w:rPr>
      </w:pPr>
      <w:r w:rsidRPr="001A7517">
        <w:rPr>
          <w:szCs w:val="16"/>
        </w:rPr>
        <w:t>SUBPART Z:  ENHANCED TREATMENT FOR CRYPTOSPORIDIUM</w:t>
      </w:r>
    </w:p>
    <w:bookmarkEnd w:id="4441"/>
    <w:p w14:paraId="4F398CD3" w14:textId="77777777" w:rsidR="00F0626C" w:rsidRPr="001A7517" w:rsidRDefault="00F0626C" w:rsidP="00F0626C">
      <w:pPr>
        <w:keepNext/>
        <w:keepLines/>
        <w:suppressAutoHyphens/>
        <w:spacing w:before="240"/>
        <w:rPr>
          <w:b/>
          <w:szCs w:val="16"/>
        </w:rPr>
      </w:pPr>
      <w:r w:rsidRPr="001A7517">
        <w:rPr>
          <w:b/>
          <w:szCs w:val="16"/>
        </w:rPr>
        <w:t>Section 611.1000  General Requirements</w:t>
      </w:r>
    </w:p>
    <w:p w14:paraId="6DDC5E4E" w14:textId="77777777" w:rsidR="00F0626C" w:rsidRPr="001A7517" w:rsidRDefault="00F0626C" w:rsidP="00F0626C">
      <w:pPr>
        <w:spacing w:before="240"/>
        <w:ind w:left="1440" w:hanging="720"/>
      </w:pPr>
      <w:r w:rsidRPr="001A7517">
        <w:rPr>
          <w:szCs w:val="16"/>
        </w:rPr>
        <w:t>a)</w:t>
      </w:r>
      <w:r w:rsidRPr="001A7517">
        <w:rPr>
          <w:szCs w:val="16"/>
        </w:rPr>
        <w:tab/>
      </w:r>
      <w:r w:rsidRPr="001A7517">
        <w:t>The requirements of this Subpart Z are NPDWRs.  The regulations in this Subpart Z establish or extend treatment technique requirements in lieu of maximum contaminant levels for Cryptosporidium.  These requirements are in addition to requirements for filtration and disinfection in Subparts B, R, and X of this Part.</w:t>
      </w:r>
    </w:p>
    <w:p w14:paraId="3A1AD424" w14:textId="77777777" w:rsidR="00F0626C" w:rsidRPr="001A7517" w:rsidRDefault="00F0626C" w:rsidP="00F0626C">
      <w:pPr>
        <w:spacing w:before="240"/>
        <w:ind w:left="1440" w:hanging="720"/>
      </w:pPr>
      <w:r w:rsidRPr="001A7517">
        <w:lastRenderedPageBreak/>
        <w:t>b)</w:t>
      </w:r>
      <w:r w:rsidRPr="001A7517">
        <w:tab/>
        <w:t>Applicability.  The requirements of this Subpart Z apply to all Subpart B systems, which are PWSs supplied by a surface water source and PWSs supplied by a groundwater source under the direct influence of surface water.</w:t>
      </w:r>
    </w:p>
    <w:p w14:paraId="32494205" w14:textId="77777777" w:rsidR="00F0626C" w:rsidRPr="001A7517" w:rsidRDefault="00F0626C" w:rsidP="00F0626C">
      <w:pPr>
        <w:spacing w:before="240"/>
        <w:ind w:left="2160" w:hanging="720"/>
      </w:pPr>
      <w:r w:rsidRPr="001A7517">
        <w:t>1)</w:t>
      </w:r>
      <w:r w:rsidRPr="001A7517">
        <w:tab/>
        <w:t>A wholesale system supplier, as defined in Section 611.102, must comply with the requirements of this Subpart Z based on the population of the largest system in the combined distribution system.</w:t>
      </w:r>
    </w:p>
    <w:p w14:paraId="3F768498" w14:textId="77777777" w:rsidR="00F0626C" w:rsidRPr="001A7517" w:rsidRDefault="00F0626C" w:rsidP="00F0626C">
      <w:pPr>
        <w:spacing w:before="240"/>
        <w:ind w:left="2160" w:hanging="720"/>
      </w:pPr>
      <w:r w:rsidRPr="001A7517">
        <w:t>2)</w:t>
      </w:r>
      <w:r w:rsidRPr="001A7517">
        <w:tab/>
        <w:t>The requirements of this Subpart Z for filtered system suppliers apply to a supplier required by NPDWRs to provide filtration treatment, whether or not the supplier is currently operating a filtration system.</w:t>
      </w:r>
    </w:p>
    <w:p w14:paraId="40C99FB3" w14:textId="77777777" w:rsidR="00F0626C" w:rsidRPr="001A7517" w:rsidRDefault="00F0626C" w:rsidP="00F0626C">
      <w:pPr>
        <w:spacing w:before="240"/>
        <w:ind w:left="2160" w:hanging="720"/>
      </w:pPr>
      <w:r w:rsidRPr="001A7517">
        <w:t>3)</w:t>
      </w:r>
      <w:r w:rsidRPr="001A7517">
        <w:tab/>
        <w:t>The requirements of this Subpart Z for an unfiltered system supplier apply only to an unfiltered system supplier that timely met and has continued to meet the filtration avoidance criteria in Subparts B, R, and X of this Part, as applicable.</w:t>
      </w:r>
    </w:p>
    <w:p w14:paraId="12005FC3" w14:textId="77777777" w:rsidR="00F0626C" w:rsidRPr="001A7517" w:rsidRDefault="00F0626C" w:rsidP="00F0626C">
      <w:pPr>
        <w:spacing w:before="240"/>
        <w:ind w:left="1440" w:hanging="720"/>
      </w:pPr>
      <w:r w:rsidRPr="001A7517">
        <w:t>c)</w:t>
      </w:r>
      <w:r w:rsidRPr="001A7517">
        <w:tab/>
        <w:t>Requirements.  A supplier subject to this Subpart Z must comply with the following requirements:</w:t>
      </w:r>
    </w:p>
    <w:p w14:paraId="33666520" w14:textId="77777777" w:rsidR="00F0626C" w:rsidRPr="001A7517" w:rsidRDefault="00F0626C" w:rsidP="00F0626C">
      <w:pPr>
        <w:spacing w:before="240"/>
        <w:ind w:left="2160" w:hanging="720"/>
      </w:pPr>
      <w:r w:rsidRPr="001A7517">
        <w:t>1)</w:t>
      </w:r>
      <w:r w:rsidRPr="001A7517">
        <w:tab/>
        <w:t>The supplier must conduct an initial and a second round of source water monitoring for each plant that treats a surface water or groundwater under the direct influence of surface water source.  This monitoring may include sampling for Cryptosporidium, E. coli, and turbidity as described in Sections 611.1001 through 611.1006, to determine what level, if any, of additional Cryptosporidium treatment the supplier must provide.</w:t>
      </w:r>
    </w:p>
    <w:p w14:paraId="7A4259AF" w14:textId="77777777" w:rsidR="00F0626C" w:rsidRPr="001A7517" w:rsidRDefault="00F0626C" w:rsidP="00F0626C">
      <w:pPr>
        <w:spacing w:before="240"/>
        <w:ind w:left="2160" w:hanging="720"/>
      </w:pPr>
      <w:r w:rsidRPr="001A7517">
        <w:t>2)</w:t>
      </w:r>
      <w:r w:rsidRPr="001A7517">
        <w:tab/>
        <w:t>The supplier that plans to make a significant change to its disinfection practice must develop disinfection profiles and calculate disinfection benchmarks, as described in Sections 611.1008 through 611.1009.</w:t>
      </w:r>
    </w:p>
    <w:p w14:paraId="5E777F57" w14:textId="77777777" w:rsidR="00F0626C" w:rsidRPr="001A7517" w:rsidRDefault="00F0626C" w:rsidP="00F0626C">
      <w:pPr>
        <w:spacing w:before="240"/>
        <w:ind w:left="2160" w:hanging="720"/>
      </w:pPr>
      <w:r w:rsidRPr="001A7517">
        <w:t>3)</w:t>
      </w:r>
      <w:r w:rsidRPr="001A7517">
        <w:tab/>
        <w:t>A filtered system supplier must determine its Cryptosporidium treatment bin classification as described in Section 611.1010, and provide additional treatment for Cryptosporidium, if required, as described in Section 611.1011.  An unfiltered system supplier must provide treatment for Cryptosporidium as described in Section 611.1012.  A filtered or unfiltered system supplier must implement Cryptosporidium treatment according to the schedule in Section 611.1013.</w:t>
      </w:r>
    </w:p>
    <w:p w14:paraId="295D14AF" w14:textId="77777777" w:rsidR="00F0626C" w:rsidRPr="001A7517" w:rsidRDefault="00F0626C" w:rsidP="00F0626C">
      <w:pPr>
        <w:spacing w:before="240"/>
        <w:ind w:left="2160" w:hanging="720"/>
      </w:pPr>
      <w:r w:rsidRPr="001A7517">
        <w:t>4)</w:t>
      </w:r>
      <w:r w:rsidRPr="001A7517">
        <w:tab/>
        <w:t>A supplier whose system has uncovered finished water storage facilities must comply with the requirements to cover the facility or treat the discharge from the facility as described in Section 611.1014.</w:t>
      </w:r>
    </w:p>
    <w:p w14:paraId="72EF3C83" w14:textId="77777777" w:rsidR="00F0626C" w:rsidRPr="001A7517" w:rsidRDefault="00F0626C" w:rsidP="00F0626C">
      <w:pPr>
        <w:spacing w:before="240"/>
        <w:ind w:left="2160" w:hanging="720"/>
      </w:pPr>
      <w:r w:rsidRPr="001A7517">
        <w:t>5)</w:t>
      </w:r>
      <w:r w:rsidRPr="001A7517">
        <w:tab/>
        <w:t>A supplier required to provide additional treatment for Cryptosporidium must implement microbial toolbox options that are designed and operated as described in Sections 611.1015 through 611.1020.</w:t>
      </w:r>
    </w:p>
    <w:p w14:paraId="5EF15D9B" w14:textId="77777777" w:rsidR="00F0626C" w:rsidRPr="001A7517" w:rsidRDefault="00F0626C" w:rsidP="00F0626C">
      <w:pPr>
        <w:spacing w:before="240"/>
        <w:ind w:left="2160" w:hanging="720"/>
      </w:pPr>
      <w:r w:rsidRPr="001A7517">
        <w:lastRenderedPageBreak/>
        <w:t>6)</w:t>
      </w:r>
      <w:r w:rsidRPr="001A7517">
        <w:tab/>
        <w:t>The supplier must comply with the applicable recordkeeping and reporting requirements described in Sections 611.1021 and 611.1022.</w:t>
      </w:r>
    </w:p>
    <w:p w14:paraId="6CA0F26D" w14:textId="77777777" w:rsidR="00F0626C" w:rsidRPr="001A7517" w:rsidRDefault="00F0626C" w:rsidP="00F0626C">
      <w:pPr>
        <w:spacing w:before="240"/>
        <w:ind w:left="2160" w:hanging="720"/>
      </w:pPr>
      <w:r w:rsidRPr="001A7517">
        <w:t>7)</w:t>
      </w:r>
      <w:r w:rsidRPr="001A7517">
        <w:tab/>
        <w:t>The supplier must address significant deficiencies identified in sanitary surveys performed by USEPA or the Agency, as described in Section 611.1023.</w:t>
      </w:r>
    </w:p>
    <w:p w14:paraId="758127BF" w14:textId="77777777" w:rsidR="00F0626C" w:rsidRPr="001A7517" w:rsidRDefault="00F0626C" w:rsidP="00F0626C">
      <w:pPr>
        <w:spacing w:before="240"/>
      </w:pPr>
      <w:r w:rsidRPr="001A7517">
        <w:t>BOARD NOTE:  Derived from 40 CFR 141.700.</w:t>
      </w:r>
    </w:p>
    <w:p w14:paraId="76DEB6CE" w14:textId="1AB2974A" w:rsidR="00F0626C" w:rsidRDefault="00F0626C" w:rsidP="00F0626C">
      <w:pPr>
        <w:suppressAutoHyphens/>
        <w:spacing w:before="240"/>
        <w:ind w:left="720"/>
      </w:pPr>
      <w:r w:rsidRPr="001A7517">
        <w:t xml:space="preserve">(Source:  Added at </w:t>
      </w:r>
      <w:r w:rsidRPr="001A7517">
        <w:rPr>
          <w:szCs w:val="17"/>
        </w:rPr>
        <w:t>31 Ill. Reg. 11757, effective July 27, 2007</w:t>
      </w:r>
      <w:r w:rsidRPr="001A7517">
        <w:t>)</w:t>
      </w:r>
    </w:p>
    <w:p w14:paraId="5062C0A2" w14:textId="77777777" w:rsidR="00E021AB" w:rsidRDefault="00E021AB" w:rsidP="00F0626C">
      <w:pPr>
        <w:suppressAutoHyphens/>
        <w:spacing w:before="240"/>
        <w:ind w:left="720"/>
      </w:pPr>
    </w:p>
    <w:p w14:paraId="63F6F949" w14:textId="77777777" w:rsidR="00E021AB" w:rsidRPr="003B4362" w:rsidRDefault="00E021AB" w:rsidP="00E021AB">
      <w:pPr>
        <w:jc w:val="center"/>
        <w:rPr>
          <w:b/>
          <w:bCs/>
        </w:rPr>
      </w:pPr>
      <w:r w:rsidRPr="003B4362">
        <w:rPr>
          <w:b/>
          <w:bCs/>
        </w:rPr>
        <w:t xml:space="preserve">Section </w:t>
      </w:r>
      <w:bookmarkStart w:id="4443" w:name="_Hlk27063013"/>
      <w:r w:rsidRPr="003B4362">
        <w:rPr>
          <w:b/>
          <w:bCs/>
        </w:rPr>
        <w:t>611.1001</w:t>
      </w:r>
      <w:bookmarkEnd w:id="4443"/>
      <w:r w:rsidRPr="003B4362">
        <w:rPr>
          <w:b/>
          <w:bCs/>
        </w:rPr>
        <w:t xml:space="preserve">  Source Water Monitoring Requirements:  Source Water Monitoring</w:t>
      </w:r>
    </w:p>
    <w:p w14:paraId="14C65B3C" w14:textId="77777777" w:rsidR="00E021AB" w:rsidRPr="003B4362" w:rsidRDefault="00E021AB" w:rsidP="00E021AB">
      <w:pPr>
        <w:spacing w:before="240"/>
        <w:ind w:left="1440" w:hanging="720"/>
      </w:pPr>
      <w:r w:rsidRPr="003B4362">
        <w:rPr>
          <w:szCs w:val="16"/>
        </w:rPr>
        <w:t>a)</w:t>
      </w:r>
      <w:r w:rsidRPr="003B4362">
        <w:rPr>
          <w:szCs w:val="16"/>
        </w:rPr>
        <w:tab/>
      </w:r>
      <w:r w:rsidRPr="003B4362">
        <w:t>Initial Round of Source Water Monitoring.  A supplier must conduct the following monitoring on the schedule in subsection (c), unless it meets the monitoring exemption criteria in subsection (d).</w:t>
      </w:r>
    </w:p>
    <w:p w14:paraId="18A6CDFD" w14:textId="77777777" w:rsidR="00E021AB" w:rsidRPr="003B4362" w:rsidRDefault="00E021AB" w:rsidP="00E021AB">
      <w:pPr>
        <w:spacing w:before="240"/>
        <w:ind w:left="2160" w:hanging="720"/>
      </w:pPr>
      <w:r w:rsidRPr="003B4362">
        <w:t>1)</w:t>
      </w:r>
      <w:r w:rsidRPr="003B4362">
        <w:tab/>
        <w:t>A filtered system supplier serving 10,000 or more people must sample its source water for Cryptosporidium, E. coli, and turbidity at least monthly for 24 months.</w:t>
      </w:r>
    </w:p>
    <w:p w14:paraId="5239176F" w14:textId="77777777" w:rsidR="00E021AB" w:rsidRPr="003B4362" w:rsidRDefault="00E021AB" w:rsidP="00E021AB">
      <w:pPr>
        <w:spacing w:before="240"/>
        <w:ind w:left="2160" w:hanging="720"/>
      </w:pPr>
      <w:r w:rsidRPr="003B4362">
        <w:t>2)</w:t>
      </w:r>
      <w:r w:rsidRPr="003B4362">
        <w:tab/>
        <w:t>An unfiltered system supplier serving 10,000 or more people must sample its source water for Cryptosporidium at least monthly for 24 months.</w:t>
      </w:r>
    </w:p>
    <w:p w14:paraId="7344E3D3" w14:textId="77777777" w:rsidR="00E021AB" w:rsidRPr="003B4362" w:rsidRDefault="00E021AB" w:rsidP="00E021AB">
      <w:pPr>
        <w:spacing w:before="240"/>
        <w:ind w:left="2160" w:hanging="720"/>
      </w:pPr>
      <w:r w:rsidRPr="003B4362">
        <w:t>3)</w:t>
      </w:r>
      <w:r w:rsidRPr="003B4362">
        <w:tab/>
        <w:t>Smaller System Suppliers Monitoring for E. coli</w:t>
      </w:r>
    </w:p>
    <w:p w14:paraId="34E50213" w14:textId="77777777" w:rsidR="00E021AB" w:rsidRPr="003B4362" w:rsidRDefault="00E021AB" w:rsidP="00E021AB">
      <w:pPr>
        <w:spacing w:before="240"/>
        <w:ind w:left="2880" w:hanging="720"/>
      </w:pPr>
      <w:r w:rsidRPr="003B4362">
        <w:t>A)</w:t>
      </w:r>
      <w:r w:rsidRPr="003B4362">
        <w:tab/>
        <w:t>A filtered system supplier serving fewer than 10,000 people must sample its source water for E. coli at least once every two weeks for 12 months.</w:t>
      </w:r>
    </w:p>
    <w:p w14:paraId="508D6672" w14:textId="77777777" w:rsidR="00E021AB" w:rsidRPr="003B4362" w:rsidRDefault="00E021AB" w:rsidP="00E021AB">
      <w:pPr>
        <w:spacing w:before="240"/>
        <w:ind w:left="2880" w:hanging="720"/>
      </w:pPr>
      <w:r w:rsidRPr="003B4362">
        <w:t>B)</w:t>
      </w:r>
      <w:r w:rsidRPr="003B4362">
        <w:tab/>
        <w:t xml:space="preserve">A filtered system supplier serving fewer than 10,000 people may avoid E. coli monitoring if the system notifies the Agency that it will monitor for Cryptosporidium as described in subsection (a)(4).  The system must notify the Agency no later than three months prior to the date before which the system is otherwise required to start E. coli monitoring under </w:t>
      </w:r>
      <w:bookmarkStart w:id="4444" w:name="_Hlk14877719"/>
      <w:r w:rsidRPr="003B4362">
        <w:t>subsection (c)</w:t>
      </w:r>
      <w:bookmarkEnd w:id="4444"/>
      <w:r w:rsidRPr="003B4362">
        <w:t>.</w:t>
      </w:r>
    </w:p>
    <w:p w14:paraId="5BA0118F" w14:textId="77777777" w:rsidR="00E021AB" w:rsidRPr="003B4362" w:rsidRDefault="00E021AB" w:rsidP="00E021AB">
      <w:pPr>
        <w:spacing w:before="240"/>
        <w:ind w:left="2160" w:hanging="720"/>
      </w:pPr>
      <w:r w:rsidRPr="003B4362">
        <w:t>4)</w:t>
      </w:r>
      <w:r w:rsidRPr="003B4362">
        <w:tab/>
        <w:t>Smaller System Suppliers Monitoring for Cryptosporidium.  A filtered system supplier serving fewer than 10,000 people must sample its source water for Cryptosporidium at least twice per month for 12 months or at least monthly for 24 months if it meets any of the conditions set forth in subsections (a)(4)(A) through (a)(4)(C), subject to the limitations of subsection (a)(4)(D), based on monitoring conducted under subsection (a)(3).</w:t>
      </w:r>
    </w:p>
    <w:p w14:paraId="26CE753D" w14:textId="77777777" w:rsidR="00E021AB" w:rsidRPr="003B4362" w:rsidRDefault="00E021AB" w:rsidP="00E021AB">
      <w:pPr>
        <w:spacing w:before="240"/>
        <w:ind w:left="2880" w:hanging="720"/>
      </w:pPr>
      <w:r w:rsidRPr="003B4362">
        <w:lastRenderedPageBreak/>
        <w:t>A)</w:t>
      </w:r>
      <w:r w:rsidRPr="003B4362">
        <w:tab/>
        <w:t>For a supplier using a lake or reservoir source, the annual mean E. coli concentration is greater than 10 E. coli/100 mL.</w:t>
      </w:r>
    </w:p>
    <w:p w14:paraId="59747A47" w14:textId="77777777" w:rsidR="00E021AB" w:rsidRPr="003B4362" w:rsidRDefault="00E021AB" w:rsidP="00E021AB">
      <w:pPr>
        <w:spacing w:before="240"/>
        <w:ind w:left="2880" w:hanging="720"/>
      </w:pPr>
      <w:r w:rsidRPr="003B4362">
        <w:t>B)</w:t>
      </w:r>
      <w:r w:rsidRPr="003B4362">
        <w:tab/>
        <w:t xml:space="preserve">For a supplier using a flowing stream source, the annual mean E. coli concentration is greater than 50 </w:t>
      </w:r>
      <w:bookmarkStart w:id="4445" w:name="_Hlk14890528"/>
      <w:r w:rsidRPr="003B4362">
        <w:t>E. coli/100 m</w:t>
      </w:r>
      <w:bookmarkEnd w:id="4445"/>
      <w:r w:rsidRPr="003B4362">
        <w:t>L.</w:t>
      </w:r>
    </w:p>
    <w:p w14:paraId="6483DCD1" w14:textId="77777777" w:rsidR="00E021AB" w:rsidRPr="003B4362" w:rsidRDefault="00E021AB" w:rsidP="00E021AB">
      <w:pPr>
        <w:spacing w:before="240"/>
        <w:ind w:left="2880" w:hanging="720"/>
      </w:pPr>
      <w:r w:rsidRPr="003B4362">
        <w:t>C)</w:t>
      </w:r>
      <w:r w:rsidRPr="003B4362">
        <w:tab/>
        <w:t>The supplier does not conduct E. coli monitoring as described in subsection (a)(3).</w:t>
      </w:r>
    </w:p>
    <w:p w14:paraId="31BB34C3" w14:textId="77777777" w:rsidR="00E021AB" w:rsidRPr="003B4362" w:rsidRDefault="00E021AB" w:rsidP="00E021AB">
      <w:pPr>
        <w:spacing w:before="240"/>
        <w:ind w:left="2880" w:hanging="720"/>
      </w:pPr>
      <w:r w:rsidRPr="003B4362">
        <w:t>D)</w:t>
      </w:r>
      <w:r w:rsidRPr="003B4362">
        <w:tab/>
        <w:t>A supplier using groundwater under the direct influence of surface water must comply with the requirements of subsection (a)(4) based on the E. coli level that applies to the nearest surface water body.  If no surface water body is nearby, the system must comply based on the requirements that apply to a supplier using a lake or reservoir source.</w:t>
      </w:r>
    </w:p>
    <w:p w14:paraId="75E3F9D3" w14:textId="77777777" w:rsidR="00E021AB" w:rsidRPr="003B4362" w:rsidRDefault="00E021AB" w:rsidP="00E021AB">
      <w:pPr>
        <w:spacing w:before="240"/>
        <w:ind w:left="2160" w:hanging="720"/>
      </w:pPr>
      <w:r w:rsidRPr="003B4362">
        <w:t>5)</w:t>
      </w:r>
      <w:r w:rsidRPr="003B4362">
        <w:tab/>
        <w:t>For a filtered system supplier serving fewer than 10,000 people, the Agency may issue a SEP approving monitoring for an indicator other than E. coli under subsection (a)(3).  The Agency may also issue a SEP approving an alternative to the E. coli concentration in subsection (a)(4)(A), (a)(4)(B), or (a)(4)(D) to trigger Cryptosporidium monitoring.  This approval by the Agency must be provided to the supplier in writing, and it must include the basis for the Agency’s determination that the alternative indicator or trigger level will provide a more accurate identification of whether a system will exceed the Bin 1 Cryptosporidium level set forth in Section 611.1010.</w:t>
      </w:r>
    </w:p>
    <w:p w14:paraId="45F3FD73" w14:textId="77777777" w:rsidR="00E021AB" w:rsidRPr="003B4362" w:rsidRDefault="00E021AB" w:rsidP="00E021AB">
      <w:pPr>
        <w:spacing w:before="240"/>
        <w:ind w:left="2160" w:hanging="720"/>
      </w:pPr>
      <w:r w:rsidRPr="003B4362">
        <w:t>6)</w:t>
      </w:r>
      <w:r w:rsidRPr="003B4362">
        <w:tab/>
        <w:t>An unfiltered system supplier serving fewer than 10,000 people must sample its source water for Cryptosporidium at least twice per month for 12 months or at least monthly for 24 months.</w:t>
      </w:r>
    </w:p>
    <w:p w14:paraId="3C4F10E6" w14:textId="77777777" w:rsidR="00E021AB" w:rsidRPr="003B4362" w:rsidRDefault="00E021AB" w:rsidP="00E021AB">
      <w:pPr>
        <w:spacing w:before="240"/>
        <w:ind w:left="2160" w:hanging="720"/>
      </w:pPr>
      <w:r w:rsidRPr="003B4362">
        <w:t>7)</w:t>
      </w:r>
      <w:r w:rsidRPr="003B4362">
        <w:tab/>
        <w:t>A supplier may sample more frequently than required by this Section if the sampling frequency is evenly spaced throughout the monitoring period.</w:t>
      </w:r>
    </w:p>
    <w:p w14:paraId="40482584" w14:textId="77777777" w:rsidR="00E021AB" w:rsidRPr="003B4362" w:rsidRDefault="00E021AB" w:rsidP="00E021AB">
      <w:pPr>
        <w:spacing w:before="240"/>
        <w:ind w:left="1440" w:hanging="720"/>
      </w:pPr>
      <w:r w:rsidRPr="003B4362">
        <w:t>b)</w:t>
      </w:r>
      <w:r w:rsidRPr="003B4362">
        <w:tab/>
        <w:t>Second Round of Source Water Monitoring.  A supplier must conduct a second round of source water monitoring that meets the requirements for monitoring parameters, frequency, and duration described in subsection (a), unless it meets the monitoring exemption criteria in subsection (d).  The supplier must conduct this monitoring on the schedule set forth in subsection (c).</w:t>
      </w:r>
    </w:p>
    <w:p w14:paraId="2AD40A40" w14:textId="77777777" w:rsidR="00E021AB" w:rsidRPr="003B4362" w:rsidRDefault="00E021AB" w:rsidP="00E021AB">
      <w:pPr>
        <w:spacing w:before="240"/>
        <w:ind w:left="1440" w:hanging="720"/>
      </w:pPr>
      <w:r w:rsidRPr="003B4362">
        <w:t>c)</w:t>
      </w:r>
      <w:r w:rsidRPr="003B4362">
        <w:tab/>
        <w:t xml:space="preserve">Monitoring Schedule.  A supplier must perform the two rounds of monitoring subsections (a) and (b) </w:t>
      </w:r>
      <w:bookmarkStart w:id="4446" w:name="_Hlk14944043"/>
      <w:r w:rsidRPr="003B4362">
        <w:t>require on the schedule in this subsection (c)</w:t>
      </w:r>
      <w:bookmarkEnd w:id="4446"/>
      <w:r w:rsidRPr="003B4362">
        <w:t>, unless the supplier meets</w:t>
      </w:r>
      <w:bookmarkStart w:id="4447" w:name="_Hlk14943871"/>
      <w:r w:rsidRPr="003B4362">
        <w:t xml:space="preserve"> the monitoring exemption criteria in subsection (d)</w:t>
      </w:r>
      <w:bookmarkEnd w:id="4447"/>
      <w:r w:rsidRPr="003B4362">
        <w:t>.</w:t>
      </w:r>
    </w:p>
    <w:p w14:paraId="239A162A" w14:textId="77777777" w:rsidR="00E021AB" w:rsidRPr="003B4362" w:rsidRDefault="00E021AB" w:rsidP="00E021AB">
      <w:pPr>
        <w:spacing w:before="240"/>
        <w:ind w:left="2160" w:hanging="720"/>
      </w:pPr>
      <w:r w:rsidRPr="003B4362">
        <w:t>1)</w:t>
      </w:r>
      <w:r w:rsidRPr="003B4362">
        <w:tab/>
        <w:t>Suppliers That Serve at Least 100,000 People</w:t>
      </w:r>
    </w:p>
    <w:p w14:paraId="695105B9" w14:textId="77777777" w:rsidR="00E021AB" w:rsidRPr="003B4362" w:rsidRDefault="00E021AB" w:rsidP="00E021AB">
      <w:pPr>
        <w:spacing w:before="240"/>
        <w:ind w:left="2880" w:hanging="720"/>
      </w:pPr>
      <w:r w:rsidRPr="003B4362">
        <w:lastRenderedPageBreak/>
        <w:t>A)</w:t>
      </w:r>
      <w:r w:rsidRPr="003B4362">
        <w:tab/>
        <w:t>The suppliers must have begun the first round of source water monitoring no later than the end of October 2006.</w:t>
      </w:r>
    </w:p>
    <w:p w14:paraId="64557A73" w14:textId="77777777" w:rsidR="00E021AB" w:rsidRPr="003B4362" w:rsidRDefault="00E021AB" w:rsidP="00E021AB">
      <w:pPr>
        <w:spacing w:before="240"/>
        <w:ind w:left="2880" w:hanging="720"/>
      </w:pPr>
      <w:r w:rsidRPr="003B4362">
        <w:t>B)</w:t>
      </w:r>
      <w:r w:rsidRPr="003B4362">
        <w:tab/>
        <w:t>The suppliers must have begun the second round of source water monitoring no later than the end of April 2015.</w:t>
      </w:r>
    </w:p>
    <w:p w14:paraId="3E476B5D" w14:textId="77777777" w:rsidR="00E021AB" w:rsidRPr="003B4362" w:rsidRDefault="00E021AB" w:rsidP="00E021AB">
      <w:pPr>
        <w:spacing w:before="240"/>
        <w:ind w:left="2160" w:hanging="720"/>
      </w:pPr>
      <w:r w:rsidRPr="003B4362">
        <w:t>2)</w:t>
      </w:r>
      <w:r w:rsidRPr="003B4362">
        <w:tab/>
        <w:t xml:space="preserve">Suppliers That Serve </w:t>
      </w:r>
      <w:bookmarkStart w:id="4448" w:name="_Hlk14946226"/>
      <w:r w:rsidRPr="003B4362">
        <w:t>from 50,000 to 99,999 People</w:t>
      </w:r>
      <w:bookmarkEnd w:id="4448"/>
    </w:p>
    <w:p w14:paraId="54EEA39A" w14:textId="77777777" w:rsidR="00E021AB" w:rsidRPr="003B4362" w:rsidRDefault="00E021AB" w:rsidP="00E021AB">
      <w:pPr>
        <w:spacing w:before="240"/>
        <w:ind w:left="2880" w:hanging="720"/>
      </w:pPr>
      <w:r w:rsidRPr="003B4362">
        <w:t>A)</w:t>
      </w:r>
      <w:r w:rsidRPr="003B4362">
        <w:tab/>
        <w:t>The suppliers must have begun the first round of source water monitoring no later than the end of April 2007.</w:t>
      </w:r>
    </w:p>
    <w:p w14:paraId="62073C76" w14:textId="77777777" w:rsidR="00E021AB" w:rsidRPr="003B4362" w:rsidRDefault="00E021AB" w:rsidP="00E021AB">
      <w:pPr>
        <w:spacing w:before="240"/>
        <w:ind w:left="2880" w:hanging="720"/>
      </w:pPr>
      <w:r w:rsidRPr="003B4362">
        <w:t>B)</w:t>
      </w:r>
      <w:r w:rsidRPr="003B4362">
        <w:tab/>
        <w:t>The suppliers must have begun the second round of source water monitoring no later than the end of October 2015.</w:t>
      </w:r>
    </w:p>
    <w:p w14:paraId="4AA75BD3" w14:textId="77777777" w:rsidR="00E021AB" w:rsidRPr="003B4362" w:rsidRDefault="00E021AB" w:rsidP="00E021AB">
      <w:pPr>
        <w:spacing w:before="240"/>
        <w:ind w:left="2160" w:hanging="720"/>
      </w:pPr>
      <w:r w:rsidRPr="003B4362">
        <w:t>3)</w:t>
      </w:r>
      <w:r w:rsidRPr="003B4362">
        <w:tab/>
        <w:t>Suppliers That Serve from 10,000 to 49,999 People</w:t>
      </w:r>
    </w:p>
    <w:p w14:paraId="117A8925" w14:textId="77777777" w:rsidR="00E021AB" w:rsidRPr="003B4362" w:rsidRDefault="00E021AB" w:rsidP="00E021AB">
      <w:pPr>
        <w:spacing w:before="240"/>
        <w:ind w:left="2880" w:hanging="720"/>
      </w:pPr>
      <w:r w:rsidRPr="003B4362">
        <w:t>A)</w:t>
      </w:r>
      <w:r w:rsidRPr="003B4362">
        <w:tab/>
        <w:t>The suppliers must have begun the first round of source water monitoring no later than the end of April 2008.</w:t>
      </w:r>
    </w:p>
    <w:p w14:paraId="24EBFB9A" w14:textId="77777777" w:rsidR="00E021AB" w:rsidRPr="003B4362" w:rsidRDefault="00E021AB" w:rsidP="00E021AB">
      <w:pPr>
        <w:spacing w:before="240"/>
        <w:ind w:left="2880" w:hanging="720"/>
      </w:pPr>
      <w:r w:rsidRPr="003B4362">
        <w:t>B)</w:t>
      </w:r>
      <w:r w:rsidRPr="003B4362">
        <w:tab/>
        <w:t>The suppliers must have begun the second round of source water monitoring no later than the end of October 2016.</w:t>
      </w:r>
    </w:p>
    <w:p w14:paraId="0C200E67" w14:textId="77777777" w:rsidR="00E021AB" w:rsidRPr="003B4362" w:rsidRDefault="00E021AB" w:rsidP="00E021AB">
      <w:pPr>
        <w:spacing w:before="240"/>
        <w:ind w:left="2160" w:hanging="720"/>
      </w:pPr>
      <w:r w:rsidRPr="003B4362">
        <w:t>4)</w:t>
      </w:r>
      <w:r w:rsidRPr="003B4362">
        <w:tab/>
        <w:t>Suppliers That Serve Fewer Than 10,000 People and That Monitor for E. coli</w:t>
      </w:r>
    </w:p>
    <w:p w14:paraId="44D53586" w14:textId="77777777" w:rsidR="00E021AB" w:rsidRPr="003B4362" w:rsidRDefault="00E021AB" w:rsidP="00E021AB">
      <w:pPr>
        <w:spacing w:before="240"/>
        <w:ind w:left="2880" w:hanging="720"/>
      </w:pPr>
      <w:r w:rsidRPr="003B4362">
        <w:t>A)</w:t>
      </w:r>
      <w:r w:rsidRPr="003B4362">
        <w:tab/>
        <w:t>The suppliers must have begun the first round of source water monitoring no later than the end of October 2008.</w:t>
      </w:r>
    </w:p>
    <w:p w14:paraId="427320AF" w14:textId="77777777" w:rsidR="00E021AB" w:rsidRPr="003B4362" w:rsidRDefault="00E021AB" w:rsidP="00E021AB">
      <w:pPr>
        <w:spacing w:before="240"/>
        <w:ind w:left="2880" w:hanging="720"/>
      </w:pPr>
      <w:r w:rsidRPr="003B4362">
        <w:t>B)</w:t>
      </w:r>
      <w:r w:rsidRPr="003B4362">
        <w:tab/>
        <w:t>The suppliers must have begun the second round of source water monitoring no later than the end of October 2017.</w:t>
      </w:r>
    </w:p>
    <w:p w14:paraId="55B9AC98" w14:textId="77777777" w:rsidR="00E021AB" w:rsidRPr="003B4362" w:rsidRDefault="00E021AB" w:rsidP="00E021AB">
      <w:pPr>
        <w:spacing w:before="240"/>
        <w:ind w:left="2160" w:hanging="720"/>
      </w:pPr>
      <w:r w:rsidRPr="003B4362">
        <w:t>5)</w:t>
      </w:r>
      <w:r w:rsidRPr="003B4362">
        <w:tab/>
        <w:t>Suppliers That Serve Fewer Than 10,000 People and That Monitor for Cryptosporidium</w:t>
      </w:r>
    </w:p>
    <w:p w14:paraId="4F1F26F3" w14:textId="77777777" w:rsidR="00E021AB" w:rsidRPr="003B4362" w:rsidRDefault="00E021AB" w:rsidP="00E021AB">
      <w:pPr>
        <w:spacing w:before="240"/>
        <w:ind w:left="2880" w:hanging="720"/>
      </w:pPr>
      <w:r w:rsidRPr="003B4362">
        <w:t>A)</w:t>
      </w:r>
      <w:r w:rsidRPr="003B4362">
        <w:tab/>
        <w:t>The suppliers must have begun the first round of source water monitoring no later than the end of April 2010.</w:t>
      </w:r>
    </w:p>
    <w:p w14:paraId="7926090C" w14:textId="77777777" w:rsidR="00E021AB" w:rsidRPr="003B4362" w:rsidRDefault="00E021AB" w:rsidP="00E021AB">
      <w:pPr>
        <w:spacing w:before="240"/>
        <w:ind w:left="2880" w:hanging="720"/>
      </w:pPr>
      <w:r w:rsidRPr="003B4362">
        <w:t>B)</w:t>
      </w:r>
      <w:r w:rsidRPr="003B4362">
        <w:tab/>
        <w:t>The suppliers must have begun the second round of source water monitoring no later than the end of April 2019.</w:t>
      </w:r>
    </w:p>
    <w:p w14:paraId="43360A38" w14:textId="77777777" w:rsidR="00E021AB" w:rsidRPr="003B4362" w:rsidRDefault="00E021AB" w:rsidP="00E021AB">
      <w:pPr>
        <w:spacing w:before="240"/>
        <w:ind w:left="1440"/>
        <w:rPr>
          <w:szCs w:val="10"/>
        </w:rPr>
      </w:pPr>
      <w:r w:rsidRPr="003B4362">
        <w:rPr>
          <w:szCs w:val="10"/>
        </w:rPr>
        <w:t>BOARD NOTE:  The Board retained the past implementation dates until implementation of the Long Term 2 Enhanced Surface Water Treatment Rule in this Subpart Z is complete.</w:t>
      </w:r>
    </w:p>
    <w:p w14:paraId="0B32DFBD" w14:textId="77777777" w:rsidR="00E021AB" w:rsidRPr="003B4362" w:rsidRDefault="00E021AB" w:rsidP="00E021AB">
      <w:pPr>
        <w:spacing w:before="240"/>
        <w:ind w:left="1440" w:hanging="720"/>
      </w:pPr>
      <w:r w:rsidRPr="003B4362">
        <w:rPr>
          <w:szCs w:val="16"/>
        </w:rPr>
        <w:t>d)</w:t>
      </w:r>
      <w:r w:rsidRPr="003B4362">
        <w:rPr>
          <w:szCs w:val="16"/>
        </w:rPr>
        <w:tab/>
      </w:r>
      <w:r w:rsidRPr="003B4362">
        <w:t>Monitoring Avoidance</w:t>
      </w:r>
    </w:p>
    <w:p w14:paraId="39BDFD86" w14:textId="77777777" w:rsidR="00E021AB" w:rsidRPr="003B4362" w:rsidRDefault="00E021AB" w:rsidP="00E021AB">
      <w:pPr>
        <w:spacing w:before="240"/>
        <w:ind w:left="2160" w:hanging="720"/>
      </w:pPr>
      <w:r w:rsidRPr="003B4362">
        <w:lastRenderedPageBreak/>
        <w:t>1)</w:t>
      </w:r>
      <w:r w:rsidRPr="003B4362">
        <w:tab/>
        <w:t>A filtered system supplier is not required to conduct source water monitoring under this Subpart Z if the system will provide a total of at least 5.5-log of treatment for Cryptosporidium, equivalent to meeting the treatment requirements of Bin 4 in Section 611.1011.</w:t>
      </w:r>
    </w:p>
    <w:p w14:paraId="48B3C96F" w14:textId="77777777" w:rsidR="00E021AB" w:rsidRPr="003B4362" w:rsidRDefault="00E021AB" w:rsidP="00E021AB">
      <w:pPr>
        <w:spacing w:before="240"/>
        <w:ind w:left="2160" w:hanging="720"/>
      </w:pPr>
      <w:r w:rsidRPr="003B4362">
        <w:t>2)</w:t>
      </w:r>
      <w:r w:rsidRPr="003B4362">
        <w:tab/>
        <w:t>An unfiltered system supplier is not required to conduct source water monitoring under this Subpart Z if the system will provide a total of at least 3-log Cryptosporidium inactivation, equivalent to meeting the treatment requirements for an unfiltered system supplier with a mean Cryptosporidium concentration of greater than 0.01 oocysts/L in Section 611.1012.</w:t>
      </w:r>
    </w:p>
    <w:p w14:paraId="3443734D" w14:textId="77777777" w:rsidR="00E021AB" w:rsidRPr="003B4362" w:rsidRDefault="00E021AB" w:rsidP="00E021AB">
      <w:pPr>
        <w:spacing w:before="240"/>
        <w:ind w:left="2160" w:hanging="720"/>
      </w:pPr>
      <w:r w:rsidRPr="003B4362">
        <w:t>3)</w:t>
      </w:r>
      <w:r w:rsidRPr="003B4362">
        <w:tab/>
        <w:t>If a supplier chooses to provide the level of treatment set forth in subsection (d)(1) or (d)(2), as applicable, rather than start source water monitoring, it must notify the Agency in writing no later than the date on which the system is otherwise required to submit a sampling schedule for monitoring under Section 611.1002.  Alternatively, a supplier may choose to stop sampling at any point after it has initiated monitoring if it notifies the Agency in writing that it will provide this level of treatment.  The supplier must install and operate technologies to provide this level of treatment before the applicable treatment compliance date set forth in Section 611.1013.</w:t>
      </w:r>
    </w:p>
    <w:p w14:paraId="1AAB31DC" w14:textId="77777777" w:rsidR="00E021AB" w:rsidRPr="003B4362" w:rsidRDefault="00E021AB" w:rsidP="00E021AB">
      <w:pPr>
        <w:suppressAutoHyphens/>
        <w:spacing w:before="240"/>
        <w:ind w:left="1440" w:hanging="720"/>
      </w:pPr>
      <w:r w:rsidRPr="003B4362">
        <w:t>e)</w:t>
      </w:r>
      <w:r w:rsidRPr="003B4362">
        <w:tab/>
        <w:t>Plants Operating Only Part of the Year.  A supplier that has a Subpart B plant that operates for only part of the year must conduct source water monitoring in accordance with this Subpart Z, but with the following modifications:</w:t>
      </w:r>
    </w:p>
    <w:p w14:paraId="34A47314" w14:textId="77777777" w:rsidR="00E021AB" w:rsidRPr="003B4362" w:rsidRDefault="00E021AB" w:rsidP="00E021AB">
      <w:pPr>
        <w:spacing w:before="240"/>
        <w:ind w:left="2160" w:hanging="720"/>
      </w:pPr>
      <w:r w:rsidRPr="003B4362">
        <w:t>1)</w:t>
      </w:r>
      <w:r w:rsidRPr="003B4362">
        <w:tab/>
        <w:t>The supplier must sample its source water only during the months that the plant operates, unless the Agency issue a SEP specifying another monitoring period based on plant operating practices.</w:t>
      </w:r>
    </w:p>
    <w:p w14:paraId="23DF9BE9" w14:textId="77777777" w:rsidR="00E021AB" w:rsidRPr="003B4362" w:rsidRDefault="00E021AB" w:rsidP="00E021AB">
      <w:pPr>
        <w:spacing w:before="240"/>
        <w:ind w:left="2160" w:hanging="720"/>
      </w:pPr>
      <w:r w:rsidRPr="003B4362">
        <w:t>2)</w:t>
      </w:r>
      <w:r w:rsidRPr="003B4362">
        <w:tab/>
        <w:t>A supplier with plants that operate less than six months per year and that monitors for Cryptosporidium must collect at least six Cryptosporidium samples per year during each of two years of monitoring.  Samples must be evenly spaced throughout the period during which the plant operates.</w:t>
      </w:r>
    </w:p>
    <w:p w14:paraId="546D04B9" w14:textId="77777777" w:rsidR="00E021AB" w:rsidRPr="003B4362" w:rsidRDefault="00E021AB" w:rsidP="00E021AB">
      <w:pPr>
        <w:spacing w:before="240"/>
        <w:ind w:left="1440" w:hanging="720"/>
      </w:pPr>
      <w:r w:rsidRPr="003B4362">
        <w:t>f)</w:t>
      </w:r>
      <w:r w:rsidRPr="003B4362">
        <w:tab/>
        <w:t>New Sources and New Systems</w:t>
      </w:r>
    </w:p>
    <w:p w14:paraId="755B0731" w14:textId="77777777" w:rsidR="00E021AB" w:rsidRPr="003B4362" w:rsidRDefault="00E021AB" w:rsidP="00E021AB">
      <w:pPr>
        <w:spacing w:before="240"/>
        <w:ind w:left="2160" w:hanging="720"/>
      </w:pPr>
      <w:r w:rsidRPr="003B4362">
        <w:t>1)</w:t>
      </w:r>
      <w:r w:rsidRPr="003B4362">
        <w:tab/>
        <w:t xml:space="preserve">New sources.  A supplier that begins using a new source of surface water or groundwater under the direct influence of surface water after the supplier was required to begin monitoring under subsection (c) must monitor the new source on a schedule that the Agency has approved in a SEP.  Source water monitoring must meet the requirements of this Subpart Z.  The supplier must also meet the bin classification and Cryptosporidium treatment requirements of Sections 611.1010 and 611.1011 or Section </w:t>
      </w:r>
      <w:r w:rsidRPr="003B4362">
        <w:lastRenderedPageBreak/>
        <w:t>611.1012, as applicable, for the new source on a schedule that the Agency has approved in a SEP.</w:t>
      </w:r>
    </w:p>
    <w:p w14:paraId="402FE8C6" w14:textId="77777777" w:rsidR="00E021AB" w:rsidRPr="003B4362" w:rsidRDefault="00E021AB" w:rsidP="00E021AB">
      <w:pPr>
        <w:spacing w:before="240"/>
        <w:ind w:left="2160" w:hanging="720"/>
      </w:pPr>
      <w:r w:rsidRPr="003B4362">
        <w:t>2)</w:t>
      </w:r>
      <w:r w:rsidRPr="003B4362">
        <w:tab/>
        <w:t>The requirements of Section 611.1001(f) apply to a Subpart B system supplier that begins operation after the applicable monitoring start date set forth in subsection (c).</w:t>
      </w:r>
    </w:p>
    <w:p w14:paraId="0901C515" w14:textId="77777777" w:rsidR="00E021AB" w:rsidRPr="003B4362" w:rsidRDefault="00E021AB" w:rsidP="00E021AB">
      <w:pPr>
        <w:spacing w:before="240"/>
        <w:ind w:left="2160" w:hanging="720"/>
      </w:pPr>
      <w:r w:rsidRPr="003B4362">
        <w:t>3)</w:t>
      </w:r>
      <w:r w:rsidRPr="003B4362">
        <w:tab/>
        <w:t>The supplier must begin a second round of source water monitoring no later than six years following initial bin classification under Section 611.1010 or determination of the mean Cryptosporidium level under Section 611.1012.</w:t>
      </w:r>
    </w:p>
    <w:p w14:paraId="23F25F3E" w14:textId="77777777" w:rsidR="00E021AB" w:rsidRPr="003B4362" w:rsidRDefault="00E021AB" w:rsidP="00E021AB">
      <w:pPr>
        <w:spacing w:before="240"/>
        <w:ind w:left="1440" w:hanging="720"/>
      </w:pPr>
      <w:r w:rsidRPr="003B4362">
        <w:t>g)</w:t>
      </w:r>
      <w:r w:rsidRPr="003B4362">
        <w:tab/>
        <w:t>Failure to collect any source water sample required under this Section in accordance with the sampling schedule, sampling location, analytical method, approved laboratory, and reporting requirements of Sections 611.1002 through 611.1006 is a monitoring violation.</w:t>
      </w:r>
    </w:p>
    <w:p w14:paraId="243C923C" w14:textId="77777777" w:rsidR="00E021AB" w:rsidRPr="003B4362" w:rsidRDefault="00E021AB" w:rsidP="00E021AB">
      <w:pPr>
        <w:spacing w:before="240"/>
        <w:ind w:left="1440" w:hanging="720"/>
      </w:pPr>
      <w:r w:rsidRPr="003B4362">
        <w:t>h)</w:t>
      </w:r>
      <w:r w:rsidRPr="003B4362">
        <w:tab/>
        <w:t>Grandfathering Monitoring Data.  A supplier may use (grandfather) monitoring data collected prior to the applicable monitoring start date in subsection (c) to meet the initial source water monitoring requirements in subsection (a).  Grandfathered data may substitute for an equivalent number of months at the end of the monitoring period.  All data submitted under this subsection must meet the requirements set forth in Section 611.1007.</w:t>
      </w:r>
    </w:p>
    <w:p w14:paraId="42C2D0ED" w14:textId="77777777" w:rsidR="00E021AB" w:rsidRPr="003B4362" w:rsidRDefault="00E021AB" w:rsidP="00E021AB">
      <w:pPr>
        <w:spacing w:before="240"/>
      </w:pPr>
      <w:r w:rsidRPr="003B4362">
        <w:t xml:space="preserve">BOARD NOTE:  </w:t>
      </w:r>
      <w:r w:rsidRPr="003B4362">
        <w:rPr>
          <w:spacing w:val="-3"/>
        </w:rPr>
        <w:t xml:space="preserve">This Section derives </w:t>
      </w:r>
      <w:r w:rsidRPr="003B4362">
        <w:t>from 40 CFR 141.701.</w:t>
      </w:r>
    </w:p>
    <w:p w14:paraId="46D5F8BA" w14:textId="77777777" w:rsidR="00E021AB" w:rsidRPr="003B4362" w:rsidRDefault="00E021AB" w:rsidP="00E021AB">
      <w:pPr>
        <w:suppressAutoHyphens/>
        <w:spacing w:before="240"/>
        <w:ind w:left="720"/>
      </w:pPr>
      <w:r w:rsidRPr="003B4362">
        <w:t xml:space="preserve">(Source:  Amended at 47 Ill. Reg. </w:t>
      </w:r>
      <w:r>
        <w:t>16486</w:t>
      </w:r>
      <w:r w:rsidRPr="003B4362">
        <w:t xml:space="preserve">, effective </w:t>
      </w:r>
      <w:r>
        <w:t>November 2, 2023</w:t>
      </w:r>
      <w:r w:rsidRPr="003B4362">
        <w:t>)</w:t>
      </w:r>
    </w:p>
    <w:p w14:paraId="19B3CF3D" w14:textId="77777777" w:rsidR="00E021AB" w:rsidRPr="003B4362" w:rsidRDefault="00E021AB" w:rsidP="00E021AB">
      <w:pPr>
        <w:suppressAutoHyphens/>
        <w:ind w:left="720"/>
      </w:pPr>
    </w:p>
    <w:p w14:paraId="22221E92" w14:textId="77777777" w:rsidR="00E021AB" w:rsidRPr="003B4362" w:rsidRDefault="00E021AB" w:rsidP="00E021AB">
      <w:pPr>
        <w:rPr>
          <w:b/>
          <w:bCs/>
        </w:rPr>
      </w:pPr>
      <w:r w:rsidRPr="003B4362">
        <w:rPr>
          <w:b/>
          <w:bCs/>
        </w:rPr>
        <w:t xml:space="preserve">Section </w:t>
      </w:r>
      <w:bookmarkStart w:id="4449" w:name="_Hlk27063033"/>
      <w:r w:rsidRPr="003B4362">
        <w:rPr>
          <w:b/>
          <w:bCs/>
        </w:rPr>
        <w:t>611.1002</w:t>
      </w:r>
      <w:bookmarkEnd w:id="4449"/>
      <w:r w:rsidRPr="003B4362">
        <w:rPr>
          <w:b/>
          <w:bCs/>
        </w:rPr>
        <w:t xml:space="preserve">  Source Water Monitoring Requirements:  Sampling Schedules</w:t>
      </w:r>
    </w:p>
    <w:p w14:paraId="11FB7E7D" w14:textId="77777777" w:rsidR="00E021AB" w:rsidRPr="003B4362" w:rsidRDefault="00E021AB" w:rsidP="00E021AB">
      <w:pPr>
        <w:spacing w:before="240"/>
        <w:ind w:left="1440" w:hanging="720"/>
      </w:pPr>
      <w:r w:rsidRPr="003B4362">
        <w:rPr>
          <w:szCs w:val="16"/>
        </w:rPr>
        <w:t>a)</w:t>
      </w:r>
      <w:r w:rsidRPr="003B4362">
        <w:rPr>
          <w:szCs w:val="16"/>
        </w:rPr>
        <w:tab/>
      </w:r>
      <w:r w:rsidRPr="003B4362">
        <w:t>A supplier required to conduct source water monitoring under Section 611.1001 must submit a sampling schedule that specifies the calendar dates on which it will collect each required sample.</w:t>
      </w:r>
    </w:p>
    <w:p w14:paraId="783044C5" w14:textId="77777777" w:rsidR="00E021AB" w:rsidRPr="003B4362" w:rsidRDefault="00E021AB" w:rsidP="00E021AB">
      <w:pPr>
        <w:spacing w:before="240"/>
        <w:ind w:left="2160" w:hanging="720"/>
      </w:pPr>
      <w:r w:rsidRPr="003B4362">
        <w:t>1)</w:t>
      </w:r>
      <w:r w:rsidRPr="003B4362">
        <w:tab/>
        <w:t>The supplier must submit sampling schedules no later than three months prior to the applicable date listed in Section 611.1001(c) for each round of required monitoring.</w:t>
      </w:r>
    </w:p>
    <w:p w14:paraId="6ECB1EB8" w14:textId="77777777" w:rsidR="00E021AB" w:rsidRPr="003B4362" w:rsidRDefault="00E021AB" w:rsidP="00E021AB">
      <w:pPr>
        <w:spacing w:before="240"/>
        <w:ind w:left="2160" w:hanging="720"/>
      </w:pPr>
      <w:r w:rsidRPr="003B4362">
        <w:t>2)</w:t>
      </w:r>
      <w:r w:rsidRPr="003B4362">
        <w:tab/>
        <w:t>Submission of the Sampling Schedule to USEPA</w:t>
      </w:r>
    </w:p>
    <w:p w14:paraId="01665B14" w14:textId="77777777" w:rsidR="00E021AB" w:rsidRPr="003B4362" w:rsidRDefault="00E021AB" w:rsidP="00E021AB">
      <w:pPr>
        <w:spacing w:before="240"/>
        <w:ind w:left="2880" w:hanging="720"/>
      </w:pPr>
      <w:bookmarkStart w:id="4450" w:name="_Hlk11939037"/>
      <w:r w:rsidRPr="003B4362">
        <w:t>A)</w:t>
      </w:r>
      <w:r w:rsidRPr="003B4362">
        <w:tab/>
        <w:t xml:space="preserve">A supplier serving 10,000 or more people must </w:t>
      </w:r>
      <w:bookmarkStart w:id="4451" w:name="_Hlk14949901"/>
      <w:r w:rsidRPr="003B4362">
        <w:t>submit its sampling schedule for the initial round of source water monitoring under Section 611.1001(a) to USEPA electronically</w:t>
      </w:r>
      <w:bookmarkStart w:id="4452" w:name="_Hlk26381163"/>
      <w:r w:rsidRPr="003B4362">
        <w:t xml:space="preserve"> into the Data Collection and Tracking System (DCTS) through USEPA’s Central Data Exchange (CDX)</w:t>
      </w:r>
      <w:bookmarkEnd w:id="4451"/>
      <w:bookmarkEnd w:id="4452"/>
      <w:r w:rsidRPr="003B4362">
        <w:t>.</w:t>
      </w:r>
    </w:p>
    <w:p w14:paraId="4EC0C6D6" w14:textId="77777777" w:rsidR="00E021AB" w:rsidRPr="003B4362" w:rsidRDefault="00E021AB" w:rsidP="00E021AB">
      <w:pPr>
        <w:spacing w:before="240"/>
        <w:ind w:left="2880"/>
      </w:pPr>
      <w:r w:rsidRPr="003B4362">
        <w:lastRenderedPageBreak/>
        <w:t xml:space="preserve">BOARD NOTE:  The supplier must register with the CDX to use the DCTS.  For information see “Step-by-Step Guide to the Data Collection and Tracking System (DCTS)”, USEPA, Office of Water (4606) (document number EPA 815/B-08-001), available from USEPA, National Center for Environmental Publications, www.epa.gov/nscep (search “815B08001”); telephone 888-890-1995; or e-mail </w:t>
      </w:r>
      <w:hyperlink r:id="rId31" w:history="1">
        <w:r w:rsidRPr="003B4362">
          <w:rPr>
            <w:rStyle w:val="Hyperlink"/>
            <w:color w:val="auto"/>
            <w:u w:val="none"/>
          </w:rPr>
          <w:t>helpdesk@epacdx.net</w:t>
        </w:r>
      </w:hyperlink>
      <w:r w:rsidRPr="003B4362">
        <w:t xml:space="preserve"> .</w:t>
      </w:r>
    </w:p>
    <w:p w14:paraId="5498DEE7" w14:textId="77777777" w:rsidR="00E021AB" w:rsidRPr="003B4362" w:rsidRDefault="00E021AB" w:rsidP="00E021AB">
      <w:pPr>
        <w:spacing w:before="240"/>
        <w:ind w:left="2880" w:hanging="720"/>
      </w:pPr>
      <w:r w:rsidRPr="003B4362">
        <w:t>B)</w:t>
      </w:r>
      <w:r w:rsidRPr="003B4362">
        <w:tab/>
        <w:t xml:space="preserve">If a supplier is unable to </w:t>
      </w:r>
      <w:bookmarkStart w:id="4453" w:name="_Hlk14950235"/>
      <w:r w:rsidRPr="003B4362">
        <w:t>submit the sampling schedule into the DCTS</w:t>
      </w:r>
      <w:bookmarkEnd w:id="4453"/>
      <w:r w:rsidRPr="003B4362">
        <w:t xml:space="preserve">, the supplier may use an alternative approach for submitting the </w:t>
      </w:r>
      <w:bookmarkStart w:id="4454" w:name="_Hlk14950281"/>
      <w:r w:rsidRPr="003B4362">
        <w:t>sampling schedule that USEPA has approved in writing</w:t>
      </w:r>
      <w:bookmarkEnd w:id="4454"/>
      <w:r w:rsidRPr="003B4362">
        <w:t>.</w:t>
      </w:r>
    </w:p>
    <w:bookmarkEnd w:id="4450"/>
    <w:p w14:paraId="07AC1D16" w14:textId="77777777" w:rsidR="00E021AB" w:rsidRPr="003B4362" w:rsidRDefault="00E021AB" w:rsidP="00E021AB">
      <w:pPr>
        <w:spacing w:before="240"/>
        <w:ind w:left="2160" w:hanging="720"/>
      </w:pPr>
      <w:r w:rsidRPr="003B4362">
        <w:t>3)</w:t>
      </w:r>
      <w:r w:rsidRPr="003B4362">
        <w:tab/>
        <w:t>A supplier serving fewer than 10,000 people must submit to the Agency its sampling schedules for the initial round of source water monitoring Section 611.1001(a).</w:t>
      </w:r>
    </w:p>
    <w:p w14:paraId="70E48E4F" w14:textId="77777777" w:rsidR="00E021AB" w:rsidRPr="003B4362" w:rsidRDefault="00E021AB" w:rsidP="00E021AB">
      <w:pPr>
        <w:spacing w:before="240"/>
        <w:ind w:left="2160" w:hanging="720"/>
      </w:pPr>
      <w:r w:rsidRPr="003B4362">
        <w:t>4)</w:t>
      </w:r>
      <w:r w:rsidRPr="003B4362">
        <w:tab/>
        <w:t>A supplier must submit to the Agency sampling schedules for the second round of source water monitoring required by Section 611.1001(b).</w:t>
      </w:r>
    </w:p>
    <w:p w14:paraId="0B346B2F" w14:textId="77777777" w:rsidR="00E021AB" w:rsidRPr="003B4362" w:rsidRDefault="00E021AB" w:rsidP="00E021AB">
      <w:pPr>
        <w:spacing w:before="240"/>
        <w:ind w:left="2160" w:hanging="720"/>
      </w:pPr>
      <w:r w:rsidRPr="003B4362">
        <w:t>5)</w:t>
      </w:r>
      <w:r w:rsidRPr="003B4362">
        <w:tab/>
        <w:t>If USEPA or the Agency does not respond to a supplier regarding its sampling schedule, the supplier must sample at the reported schedule.</w:t>
      </w:r>
    </w:p>
    <w:p w14:paraId="75008E90" w14:textId="77777777" w:rsidR="00E021AB" w:rsidRPr="003B4362" w:rsidRDefault="00E021AB" w:rsidP="00E021AB">
      <w:pPr>
        <w:spacing w:before="240"/>
        <w:ind w:left="1440" w:hanging="720"/>
      </w:pPr>
      <w:r w:rsidRPr="003B4362">
        <w:t>b)</w:t>
      </w:r>
      <w:r w:rsidRPr="003B4362">
        <w:tab/>
        <w:t>A supplier must collect samples within two days before or two days after the dates indicated in its sampling schedule (i.e., within a five-day period around the schedule date) unless one of the conditions of subsection (b)(1) or (b)(2) applies.</w:t>
      </w:r>
    </w:p>
    <w:p w14:paraId="316A15C3" w14:textId="77777777" w:rsidR="00E021AB" w:rsidRPr="003B4362" w:rsidRDefault="00E021AB" w:rsidP="00E021AB">
      <w:pPr>
        <w:spacing w:before="240"/>
        <w:ind w:left="2160" w:hanging="720"/>
      </w:pPr>
      <w:r w:rsidRPr="003B4362">
        <w:t>1)</w:t>
      </w:r>
      <w:r w:rsidRPr="003B4362">
        <w:tab/>
        <w:t>If an extreme condition or situation exists that may pose danger to the sample collector, or one that cannot be avoided and that causes the supplier to be unable to sample in the scheduled five-day period, the supplier must sample as close to the scheduled date as is feasible, unless the Agency approves an alternative sampling date in a SEP.  The supplier must submit an explanation for the delayed sampling date to the Agency concurrent with the shipment of the sample to the laboratory.</w:t>
      </w:r>
    </w:p>
    <w:p w14:paraId="4DD19F99" w14:textId="77777777" w:rsidR="00E021AB" w:rsidRPr="003B4362" w:rsidRDefault="00E021AB" w:rsidP="00E021AB">
      <w:pPr>
        <w:spacing w:before="240"/>
        <w:ind w:left="2160" w:hanging="720"/>
      </w:pPr>
      <w:r w:rsidRPr="003B4362">
        <w:t>2)</w:t>
      </w:r>
      <w:r w:rsidRPr="003B4362">
        <w:tab/>
        <w:t>Replacement Samples</w:t>
      </w:r>
    </w:p>
    <w:p w14:paraId="7DE48E8A" w14:textId="77777777" w:rsidR="00E021AB" w:rsidRPr="003B4362" w:rsidRDefault="00E021AB" w:rsidP="00E021AB">
      <w:pPr>
        <w:spacing w:before="240"/>
        <w:ind w:left="2880" w:hanging="720"/>
      </w:pPr>
      <w:r w:rsidRPr="003B4362">
        <w:t>A)</w:t>
      </w:r>
      <w:r w:rsidRPr="003B4362">
        <w:tab/>
        <w:t>If a supplier is unable to report a valid analytical result for a scheduled sampling date due to equipment failure; loss of or damage to the sample; failure to comply with the analytical method requirements, including the quality control requirements in Section 611.1004; or the failure of an approved laboratory to analyze the sample, then the supplier must collect a replacement sample.</w:t>
      </w:r>
    </w:p>
    <w:p w14:paraId="443D3BCB" w14:textId="77777777" w:rsidR="00E021AB" w:rsidRPr="003B4362" w:rsidRDefault="00E021AB" w:rsidP="00E021AB">
      <w:pPr>
        <w:spacing w:before="240"/>
        <w:ind w:left="2880" w:hanging="720"/>
      </w:pPr>
      <w:r w:rsidRPr="003B4362">
        <w:t>B)</w:t>
      </w:r>
      <w:r w:rsidRPr="003B4362">
        <w:tab/>
        <w:t xml:space="preserve">The supplier must collect the replacement sample not later than 21 days after receiving information that an analytical result cannot be reported for the scheduled date, unless the supplier demonstrates </w:t>
      </w:r>
      <w:r w:rsidRPr="003B4362">
        <w:lastRenderedPageBreak/>
        <w:t>that collecting a replacement sample within this time frame is not feasible or the Agency approves an alternative resampling date in a SEP.  The supplier must submit an explanation for the delayed sampling date to the Agency concurrent with the shipment of the sample to the laboratory.</w:t>
      </w:r>
    </w:p>
    <w:p w14:paraId="7C2BB7BB" w14:textId="77777777" w:rsidR="00E021AB" w:rsidRPr="003B4362" w:rsidRDefault="00E021AB" w:rsidP="00E021AB">
      <w:pPr>
        <w:spacing w:before="240"/>
        <w:ind w:left="1440" w:hanging="720"/>
      </w:pPr>
      <w:r w:rsidRPr="003B4362">
        <w:t>c)</w:t>
      </w:r>
      <w:r w:rsidRPr="003B4362">
        <w:tab/>
        <w:t>A supplier that fails to meet the criteria of subsection (b) for any source water sample required under Section 611.1001 must revise its sampling schedule to add dates for collecting all missed samples.  A supplier must submit the revised schedule to the Agency for approval prior to collecting the missed samples.</w:t>
      </w:r>
    </w:p>
    <w:p w14:paraId="34346ABC" w14:textId="77777777" w:rsidR="00E021AB" w:rsidRPr="003B4362" w:rsidRDefault="00E021AB" w:rsidP="00E021AB">
      <w:pPr>
        <w:spacing w:before="240"/>
      </w:pPr>
      <w:r w:rsidRPr="003B4362">
        <w:t xml:space="preserve">BOARD NOTE:  </w:t>
      </w:r>
      <w:r w:rsidRPr="003B4362">
        <w:rPr>
          <w:spacing w:val="-3"/>
        </w:rPr>
        <w:t xml:space="preserve">This Section derives </w:t>
      </w:r>
      <w:r w:rsidRPr="003B4362">
        <w:t>from 40 CFR 141.702.</w:t>
      </w:r>
    </w:p>
    <w:p w14:paraId="59EF740E" w14:textId="77777777" w:rsidR="00E021AB" w:rsidRPr="003B4362" w:rsidRDefault="00E021AB" w:rsidP="00E021AB">
      <w:pPr>
        <w:suppressAutoHyphens/>
        <w:spacing w:before="240"/>
        <w:ind w:left="720"/>
      </w:pPr>
      <w:r w:rsidRPr="003B4362">
        <w:t xml:space="preserve">(Source:  Amended at 47 Ill. Reg. </w:t>
      </w:r>
      <w:r>
        <w:t>16486</w:t>
      </w:r>
      <w:r w:rsidRPr="003B4362">
        <w:t xml:space="preserve">, effective </w:t>
      </w:r>
      <w:r>
        <w:t>November 2, 2023</w:t>
      </w:r>
      <w:r w:rsidRPr="003B4362">
        <w:t>)</w:t>
      </w:r>
    </w:p>
    <w:p w14:paraId="1DFE6EB0" w14:textId="77777777" w:rsidR="00F0626C" w:rsidRPr="001A7517" w:rsidRDefault="00F0626C" w:rsidP="00F0626C">
      <w:pPr>
        <w:keepNext/>
        <w:keepLines/>
        <w:suppressAutoHyphens/>
        <w:spacing w:before="240"/>
        <w:rPr>
          <w:b/>
          <w:szCs w:val="16"/>
        </w:rPr>
      </w:pPr>
      <w:r w:rsidRPr="001A7517">
        <w:rPr>
          <w:b/>
          <w:szCs w:val="16"/>
        </w:rPr>
        <w:t xml:space="preserve">Section </w:t>
      </w:r>
      <w:bookmarkStart w:id="4455" w:name="_Hlk27063045"/>
      <w:r w:rsidRPr="001A7517">
        <w:rPr>
          <w:b/>
          <w:szCs w:val="16"/>
        </w:rPr>
        <w:t>611.1003</w:t>
      </w:r>
      <w:bookmarkEnd w:id="4455"/>
      <w:r w:rsidRPr="001A7517">
        <w:rPr>
          <w:b/>
          <w:szCs w:val="16"/>
        </w:rPr>
        <w:t xml:space="preserve">  Source Water Monitoring Requirements:  Sampling Locations</w:t>
      </w:r>
    </w:p>
    <w:p w14:paraId="44E925E3" w14:textId="77777777" w:rsidR="00F0626C" w:rsidRPr="001A7517" w:rsidRDefault="00F0626C" w:rsidP="00F0626C">
      <w:pPr>
        <w:spacing w:before="240"/>
        <w:ind w:left="1440" w:hanging="720"/>
      </w:pPr>
      <w:r w:rsidRPr="001A7517">
        <w:rPr>
          <w:szCs w:val="16"/>
        </w:rPr>
        <w:t>a)</w:t>
      </w:r>
      <w:r w:rsidRPr="001A7517">
        <w:rPr>
          <w:szCs w:val="16"/>
        </w:rPr>
        <w:tab/>
      </w:r>
      <w:r w:rsidRPr="001A7517">
        <w:t xml:space="preserve">A supplier required to conduct source water monitoring under Section 611.1001 must collect samples for each plant that treats a surface water or groundwater under the direct influence of surface water source.  </w:t>
      </w:r>
      <w:r w:rsidRPr="001A7517">
        <w:rPr>
          <w:spacing w:val="-3"/>
        </w:rPr>
        <w:t xml:space="preserve">If </w:t>
      </w:r>
      <w:r w:rsidRPr="001A7517">
        <w:t>multiple plants draw water from the same influent, such as the same pipe or intake, the Agency may, by a SEP issued under Section 611.110, approve one set of monitoring results to be used to satisfy the requirements of Section 611.1001 for all of the plants.</w:t>
      </w:r>
    </w:p>
    <w:p w14:paraId="3F5F4809" w14:textId="77777777" w:rsidR="00F0626C" w:rsidRPr="001A7517" w:rsidRDefault="00F0626C" w:rsidP="00F0626C">
      <w:pPr>
        <w:spacing w:before="240"/>
        <w:ind w:left="1440" w:hanging="720"/>
      </w:pPr>
      <w:r w:rsidRPr="001A7517">
        <w:t>b)</w:t>
      </w:r>
      <w:r w:rsidRPr="001A7517">
        <w:tab/>
        <w:t>Source Water Sampling</w:t>
      </w:r>
    </w:p>
    <w:p w14:paraId="455B618D" w14:textId="77777777" w:rsidR="00F0626C" w:rsidRPr="001A7517" w:rsidRDefault="00F0626C" w:rsidP="00F0626C">
      <w:pPr>
        <w:spacing w:before="240"/>
        <w:ind w:left="2160" w:hanging="720"/>
      </w:pPr>
      <w:r w:rsidRPr="001A7517">
        <w:t>1)</w:t>
      </w:r>
      <w:r w:rsidRPr="001A7517">
        <w:tab/>
        <w:t>A supplier must collect source water samples prior to chemical treatment, such as coagulants, oxidants, and disinfectants, unless the supplier meets the condition of subsection (b)(2).</w:t>
      </w:r>
    </w:p>
    <w:p w14:paraId="5DBA47B8" w14:textId="77777777" w:rsidR="00F0626C" w:rsidRPr="001A7517" w:rsidRDefault="00F0626C" w:rsidP="00F0626C">
      <w:pPr>
        <w:spacing w:before="240"/>
        <w:ind w:left="2160" w:hanging="720"/>
      </w:pPr>
      <w:r w:rsidRPr="001A7517">
        <w:t>2)</w:t>
      </w:r>
      <w:r w:rsidRPr="001A7517">
        <w:tab/>
        <w:t>The Agency may, by a SEP, approve a supplier to collect a source water sample after chemical treatment.  To grant this approval, the Agency must determine that collecting a sample prior to chemical treatment is not feasible for the supplier and that the chemical treatment is unlikely to have a significant adverse effect on the analysis of the sample.</w:t>
      </w:r>
    </w:p>
    <w:p w14:paraId="4E5E5474" w14:textId="77777777" w:rsidR="00F0626C" w:rsidRPr="001A7517" w:rsidRDefault="00F0626C" w:rsidP="00F0626C">
      <w:pPr>
        <w:spacing w:before="240"/>
        <w:ind w:left="1440" w:hanging="720"/>
      </w:pPr>
      <w:r w:rsidRPr="001A7517">
        <w:t>c)</w:t>
      </w:r>
      <w:r w:rsidRPr="001A7517">
        <w:tab/>
        <w:t>A supplier that recycles filter backwash water must collect source water samples prior to the point of filter backwash water addition.</w:t>
      </w:r>
    </w:p>
    <w:p w14:paraId="13DAD497" w14:textId="77777777" w:rsidR="00F0626C" w:rsidRPr="001A7517" w:rsidRDefault="00F0626C" w:rsidP="00F0626C">
      <w:pPr>
        <w:spacing w:before="240"/>
        <w:ind w:left="1440" w:hanging="720"/>
      </w:pPr>
      <w:r w:rsidRPr="001A7517">
        <w:t>d)</w:t>
      </w:r>
      <w:r w:rsidRPr="001A7517">
        <w:tab/>
        <w:t>Bank Filtration</w:t>
      </w:r>
    </w:p>
    <w:p w14:paraId="4D1A4E4A" w14:textId="77777777" w:rsidR="00F0626C" w:rsidRPr="001A7517" w:rsidRDefault="00F0626C" w:rsidP="00F0626C">
      <w:pPr>
        <w:spacing w:before="240"/>
        <w:ind w:left="2160" w:hanging="720"/>
      </w:pPr>
      <w:r w:rsidRPr="001A7517">
        <w:t>1)</w:t>
      </w:r>
      <w:r w:rsidRPr="001A7517">
        <w:tab/>
        <w:t>A supplier that receives Cryptosporidium treatment credit for bank filtration under Section 611.743(b) or Section 611.955(c)(1), as applicable, must collect source water samples in the surface water prior to bank filtration.</w:t>
      </w:r>
    </w:p>
    <w:p w14:paraId="053A57E2" w14:textId="77777777" w:rsidR="00F0626C" w:rsidRPr="001A7517" w:rsidRDefault="00F0626C" w:rsidP="00F0626C">
      <w:pPr>
        <w:spacing w:before="240"/>
        <w:ind w:left="2160" w:hanging="720"/>
      </w:pPr>
      <w:r w:rsidRPr="001A7517">
        <w:lastRenderedPageBreak/>
        <w:t>2)</w:t>
      </w:r>
      <w:r w:rsidRPr="001A7517">
        <w:tab/>
        <w:t>A supplier that uses bank filtration as pretreatment to a filtration plant must collect source water samples from the well (i.e., after bank filtration).  The use of bank filtration during monitoring must be consistent with routine operational practice.  A supplier collecting samples after a bank filtration process may not receive treatment credit for the bank filtration under Section 611.1017(c).</w:t>
      </w:r>
    </w:p>
    <w:p w14:paraId="2A4A3B44" w14:textId="77777777" w:rsidR="00F0626C" w:rsidRPr="001A7517" w:rsidRDefault="00F0626C" w:rsidP="00F0626C">
      <w:pPr>
        <w:spacing w:before="240"/>
        <w:ind w:left="1440" w:hanging="720"/>
      </w:pPr>
      <w:r w:rsidRPr="001A7517">
        <w:t>e)</w:t>
      </w:r>
      <w:r w:rsidRPr="001A7517">
        <w:tab/>
        <w:t>Multiple Sources.  A supplier with plants that use multiple water sources, including multiple surface water sources and blended surface water and groundwater sources, must collect samples as specified in subsection (e)(1) or (e)(2).  The use of multiple sources during monitoring must be consistent with routine operational practice.</w:t>
      </w:r>
    </w:p>
    <w:p w14:paraId="7CD06216" w14:textId="77777777" w:rsidR="00F0626C" w:rsidRPr="001A7517" w:rsidRDefault="00F0626C" w:rsidP="00F0626C">
      <w:pPr>
        <w:spacing w:before="240"/>
        <w:ind w:left="2160" w:hanging="720"/>
      </w:pPr>
      <w:r w:rsidRPr="001A7517">
        <w:t>1)</w:t>
      </w:r>
      <w:r w:rsidRPr="001A7517">
        <w:tab/>
        <w:t xml:space="preserve">If a sampling tap is available </w:t>
      </w:r>
      <w:r w:rsidRPr="001A7517">
        <w:rPr>
          <w:spacing w:val="-3"/>
        </w:rPr>
        <w:t xml:space="preserve">if </w:t>
      </w:r>
      <w:r w:rsidRPr="001A7517">
        <w:t>the sources are combined prior to treatment, the supplier must collect samples from the tap.</w:t>
      </w:r>
    </w:p>
    <w:p w14:paraId="614FE3A5" w14:textId="77777777" w:rsidR="00F0626C" w:rsidRPr="001A7517" w:rsidRDefault="00F0626C" w:rsidP="00F0626C">
      <w:pPr>
        <w:spacing w:before="240"/>
        <w:ind w:left="2160" w:hanging="720"/>
      </w:pPr>
      <w:r w:rsidRPr="001A7517">
        <w:t>2)</w:t>
      </w:r>
      <w:r w:rsidRPr="001A7517">
        <w:tab/>
        <w:t xml:space="preserve">If a sampling tap </w:t>
      </w:r>
      <w:r w:rsidRPr="001A7517">
        <w:rPr>
          <w:spacing w:val="-3"/>
        </w:rPr>
        <w:t xml:space="preserve">if </w:t>
      </w:r>
      <w:r w:rsidRPr="001A7517">
        <w:t>the sources are combined prior to treatment is not available, the supplier must collect samples at each source near the intake on the same day, and it must follow either of the following procedures for sample analysis:</w:t>
      </w:r>
    </w:p>
    <w:p w14:paraId="50DD224F" w14:textId="77777777" w:rsidR="00F0626C" w:rsidRPr="001A7517" w:rsidRDefault="00F0626C" w:rsidP="00F0626C">
      <w:pPr>
        <w:spacing w:before="240"/>
        <w:ind w:left="2880" w:hanging="720"/>
      </w:pPr>
      <w:r w:rsidRPr="001A7517">
        <w:t>A)</w:t>
      </w:r>
      <w:r w:rsidRPr="001A7517">
        <w:tab/>
        <w:t>The supplier may composite samples from each source into one sample prior to analysis.  The volume of sample from each source must be weighted according to the proportion of the source in the total plant flow at the time the sample is collected; or</w:t>
      </w:r>
    </w:p>
    <w:p w14:paraId="4E7A03B8" w14:textId="77777777" w:rsidR="00F0626C" w:rsidRPr="001A7517" w:rsidRDefault="00F0626C" w:rsidP="00F0626C">
      <w:pPr>
        <w:spacing w:before="240"/>
        <w:ind w:left="2880" w:hanging="720"/>
      </w:pPr>
      <w:r w:rsidRPr="001A7517">
        <w:t>B)</w:t>
      </w:r>
      <w:r w:rsidRPr="001A7517">
        <w:tab/>
        <w:t>The supplier may analyze samples from each source separately and calculate a weighted average of the analysis results for each sampling date.  The weighted average must be calculated by multiplying the analysis result for each source by the fraction the source contributed to total plant flow at the time the sample was collected and then summing these values.</w:t>
      </w:r>
    </w:p>
    <w:p w14:paraId="39ED8D93" w14:textId="77777777" w:rsidR="00F0626C" w:rsidRPr="001A7517" w:rsidRDefault="00F0626C" w:rsidP="00F0626C">
      <w:pPr>
        <w:spacing w:before="240"/>
        <w:ind w:left="1440" w:hanging="720"/>
      </w:pPr>
      <w:r w:rsidRPr="001A7517">
        <w:t>f)</w:t>
      </w:r>
      <w:r w:rsidRPr="001A7517">
        <w:tab/>
        <w:t>Additional Requirements.  A supplier must submit a description of its sampling locations to the Agency at the same time as the sampling schedule required under Section 611.1002.  This description must address the position of the sampling location in relation to the supplier’s water sources and treatment processes, including pretreatment, points of chemical treatment, and filter backwash recycle.  If the Agency does not respond to a supplier regarding sampling locations, the supplier must sample at the reported locations.</w:t>
      </w:r>
    </w:p>
    <w:p w14:paraId="695D112C" w14:textId="77777777" w:rsidR="00F0626C" w:rsidRPr="001A7517" w:rsidRDefault="00F0626C" w:rsidP="00F0626C">
      <w:pPr>
        <w:spacing w:before="240"/>
      </w:pPr>
      <w:r w:rsidRPr="001A7517">
        <w:t>BOARD NOTE:  Derived from 40 CFR 141.703.</w:t>
      </w:r>
    </w:p>
    <w:p w14:paraId="3268BDD8"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7747E0C8" w14:textId="77777777" w:rsidR="00F0626C" w:rsidRPr="001A7517" w:rsidRDefault="00F0626C" w:rsidP="00F0626C">
      <w:pPr>
        <w:keepNext/>
        <w:keepLines/>
        <w:widowControl w:val="0"/>
        <w:suppressAutoHyphens/>
        <w:spacing w:before="240"/>
        <w:outlineLvl w:val="3"/>
        <w:rPr>
          <w:b/>
          <w:bCs/>
          <w:szCs w:val="16"/>
        </w:rPr>
      </w:pPr>
      <w:bookmarkStart w:id="4456" w:name="_Hlk9270456"/>
      <w:r w:rsidRPr="001A7517">
        <w:rPr>
          <w:b/>
          <w:bCs/>
          <w:szCs w:val="16"/>
        </w:rPr>
        <w:lastRenderedPageBreak/>
        <w:t xml:space="preserve">Section </w:t>
      </w:r>
      <w:bookmarkStart w:id="4457" w:name="_Hlk27063056"/>
      <w:r w:rsidRPr="001A7517">
        <w:rPr>
          <w:b/>
          <w:bCs/>
          <w:szCs w:val="16"/>
        </w:rPr>
        <w:t>611.1004</w:t>
      </w:r>
      <w:bookmarkEnd w:id="4457"/>
      <w:r w:rsidRPr="001A7517">
        <w:rPr>
          <w:b/>
          <w:bCs/>
          <w:szCs w:val="16"/>
        </w:rPr>
        <w:t xml:space="preserve">  Source Water Monitoring Requirements:  Analytical Methods</w:t>
      </w:r>
    </w:p>
    <w:p w14:paraId="1B874647" w14:textId="77777777" w:rsidR="00F0626C" w:rsidRPr="001A7517" w:rsidRDefault="00F0626C" w:rsidP="00F0626C">
      <w:pPr>
        <w:widowControl w:val="0"/>
        <w:suppressAutoHyphens/>
        <w:spacing w:before="240"/>
        <w:ind w:left="1440" w:hanging="720"/>
      </w:pPr>
      <w:r w:rsidRPr="001A7517">
        <w:rPr>
          <w:szCs w:val="16"/>
        </w:rPr>
        <w:t>a)</w:t>
      </w:r>
      <w:r w:rsidRPr="001A7517">
        <w:rPr>
          <w:szCs w:val="16"/>
        </w:rPr>
        <w:tab/>
      </w:r>
      <w:r w:rsidRPr="001A7517">
        <w:t xml:space="preserve">Cryptosporidium.  A supplier must analyze for Cryptosporidium using </w:t>
      </w:r>
      <w:bookmarkStart w:id="4458" w:name="_Hlk17737155"/>
      <w:r w:rsidRPr="001A7517">
        <w:t>USEPA 1623 (05), USEPA 1623.1 (12), or USEPA 1622 (05)</w:t>
      </w:r>
      <w:bookmarkEnd w:id="4458"/>
      <w:r w:rsidRPr="001A7517">
        <w:t>, each incorporated by reference in Section 611.102, or alternative methods approved by the Agency under Section 611.480.</w:t>
      </w:r>
    </w:p>
    <w:p w14:paraId="2F9FE1BE" w14:textId="77777777" w:rsidR="00F0626C" w:rsidRPr="001A7517" w:rsidRDefault="00F0626C" w:rsidP="00F0626C">
      <w:pPr>
        <w:widowControl w:val="0"/>
        <w:spacing w:before="240"/>
        <w:ind w:left="2160" w:hanging="720"/>
      </w:pPr>
      <w:r w:rsidRPr="001A7517">
        <w:t>1)</w:t>
      </w:r>
      <w:r w:rsidRPr="001A7517">
        <w:tab/>
        <w:t>The supplier must analyze at least a 10 ℓ sample or a packed pellet volume of at least 2 mℓ as generated by the methods listed in subsection (a).  A supplier unable to process a 10 ℓ sample must analyze as much sample volume as can be filtered by two filters approved by USEPA for the methods listed in subsection (a), up to a packed pellet volume of at least 2 mℓ.</w:t>
      </w:r>
    </w:p>
    <w:p w14:paraId="23A40899" w14:textId="77777777" w:rsidR="00F0626C" w:rsidRPr="001A7517" w:rsidRDefault="00F0626C" w:rsidP="00F0626C">
      <w:pPr>
        <w:widowControl w:val="0"/>
        <w:spacing w:before="240"/>
        <w:ind w:left="2160" w:hanging="720"/>
      </w:pPr>
      <w:r w:rsidRPr="001A7517">
        <w:t>2)</w:t>
      </w:r>
      <w:r w:rsidRPr="001A7517">
        <w:tab/>
        <w:t>Matrix Spike (MS) Samples</w:t>
      </w:r>
    </w:p>
    <w:p w14:paraId="66EA8F80" w14:textId="77777777" w:rsidR="00F0626C" w:rsidRPr="001A7517" w:rsidRDefault="00F0626C" w:rsidP="00F0626C">
      <w:pPr>
        <w:widowControl w:val="0"/>
        <w:spacing w:before="240"/>
        <w:ind w:left="2880" w:hanging="720"/>
      </w:pPr>
      <w:r w:rsidRPr="001A7517">
        <w:t>A)</w:t>
      </w:r>
      <w:r w:rsidRPr="001A7517">
        <w:tab/>
        <w:t>MS samples, as required by the methods in subsection (a), must be spiked and filtered by a laboratory approved for Cryptosporidium analysis under Section 611.1005.</w:t>
      </w:r>
    </w:p>
    <w:p w14:paraId="4F900B00" w14:textId="77777777" w:rsidR="00F0626C" w:rsidRPr="001A7517" w:rsidRDefault="00F0626C" w:rsidP="00F0626C">
      <w:pPr>
        <w:widowControl w:val="0"/>
        <w:spacing w:before="240"/>
        <w:ind w:left="2880" w:hanging="720"/>
      </w:pPr>
      <w:r w:rsidRPr="001A7517">
        <w:t>B)</w:t>
      </w:r>
      <w:r w:rsidRPr="001A7517">
        <w:tab/>
        <w:t>If the volume of the MS sample is greater than 10 ℓ, the supplier may filter all but 10 ℓ of the MS sample in the field, and ship the filtered sample and the remaining 10 ℓ of source water to the laboratory.  In this case, the laboratory must spike the remaining 10 ℓ of water and filter it through the filter used to collect the balance of the sample in the field.</w:t>
      </w:r>
    </w:p>
    <w:p w14:paraId="6402CF3F" w14:textId="77777777" w:rsidR="00F0626C" w:rsidRPr="001A7517" w:rsidRDefault="00F0626C" w:rsidP="00F0626C">
      <w:pPr>
        <w:widowControl w:val="0"/>
        <w:spacing w:before="240"/>
        <w:ind w:left="2160" w:hanging="720"/>
      </w:pPr>
      <w:r w:rsidRPr="001A7517">
        <w:t>3)</w:t>
      </w:r>
      <w:r w:rsidRPr="001A7517">
        <w:tab/>
        <w:t>Flow cytometer-counted spiking suspensions must be used for MS samples and ongoing precision and recovery samples.</w:t>
      </w:r>
    </w:p>
    <w:p w14:paraId="5AD59254" w14:textId="77777777" w:rsidR="00F0626C" w:rsidRPr="001A7517" w:rsidRDefault="00F0626C" w:rsidP="00F0626C">
      <w:pPr>
        <w:widowControl w:val="0"/>
        <w:spacing w:before="240"/>
        <w:ind w:left="1440" w:hanging="720"/>
      </w:pPr>
      <w:r w:rsidRPr="001A7517">
        <w:t>b)</w:t>
      </w:r>
      <w:r w:rsidRPr="001A7517">
        <w:tab/>
        <w:t>E. coli.  A supplier must use methods for enumeration of E. coli in source water approved in 40 CFR 136.3(a), incorporated by reference in Section 611.102, or alternative methods approved by the Agency under Section 611.480.</w:t>
      </w:r>
    </w:p>
    <w:p w14:paraId="4E5B96AD" w14:textId="77777777" w:rsidR="00F0626C" w:rsidRPr="001A7517" w:rsidRDefault="00F0626C" w:rsidP="00F0626C">
      <w:pPr>
        <w:widowControl w:val="0"/>
        <w:spacing w:before="240"/>
        <w:ind w:left="2160" w:hanging="720"/>
      </w:pPr>
      <w:r w:rsidRPr="001A7517">
        <w:t>1)</w:t>
      </w:r>
      <w:r w:rsidRPr="001A7517">
        <w:tab/>
        <w:t>The time from sample collection to initiation of analysis may not exceed 30 hours, unless the supplier meets the condition of subsection (b)(2).</w:t>
      </w:r>
    </w:p>
    <w:p w14:paraId="2AB055D9" w14:textId="77777777" w:rsidR="00F0626C" w:rsidRPr="001A7517" w:rsidRDefault="00F0626C" w:rsidP="00F0626C">
      <w:pPr>
        <w:widowControl w:val="0"/>
        <w:spacing w:before="240"/>
        <w:ind w:left="2160" w:hanging="720"/>
      </w:pPr>
      <w:r w:rsidRPr="001A7517">
        <w:t>2)</w:t>
      </w:r>
      <w:r w:rsidRPr="001A7517">
        <w:tab/>
        <w:t xml:space="preserve">The Agency may, by a SEP, approve on a case-by-case basis the holding of an E. coli sample for up to 48 hours between sample collection and initiation of analysis if it determines that analyzing an E. coli sample within 30 hours is not feasible.  E. coli samples held between 30 to 48 hours must be analyzed by the Colilert® Test reagent </w:t>
      </w:r>
      <w:bookmarkStart w:id="4459" w:name="_Hlk3811779"/>
      <w:r w:rsidRPr="001A7517">
        <w:t xml:space="preserve">version of </w:t>
      </w:r>
      <w:bookmarkStart w:id="4460" w:name="_Hlk3811753"/>
      <w:bookmarkEnd w:id="4459"/>
      <w:r w:rsidRPr="001A7517">
        <w:t>SM 9223 B listed in 40 CFR 136.3(a)</w:t>
      </w:r>
      <w:bookmarkEnd w:id="4460"/>
      <w:r w:rsidRPr="001A7517">
        <w:t>, incorporated by reference in Section 611.102.</w:t>
      </w:r>
    </w:p>
    <w:p w14:paraId="49DA27FE" w14:textId="77777777" w:rsidR="00F0626C" w:rsidRPr="001A7517" w:rsidRDefault="00F0626C" w:rsidP="00F0626C">
      <w:pPr>
        <w:widowControl w:val="0"/>
        <w:spacing w:before="240"/>
        <w:ind w:left="2160" w:hanging="720"/>
      </w:pPr>
      <w:r w:rsidRPr="001A7517">
        <w:t>3)</w:t>
      </w:r>
      <w:r w:rsidRPr="001A7517">
        <w:tab/>
        <w:t xml:space="preserve">A supplier must maintain the temperature of its samples between </w:t>
      </w:r>
      <w:bookmarkStart w:id="4461" w:name="_Hlk14950758"/>
      <w:r w:rsidRPr="001A7517">
        <w:t>0 ºC</w:t>
      </w:r>
      <w:bookmarkEnd w:id="4461"/>
      <w:r w:rsidRPr="001A7517">
        <w:t xml:space="preserve"> and 10 ºC during storage and transit to the laboratory.</w:t>
      </w:r>
    </w:p>
    <w:p w14:paraId="513D2406" w14:textId="77777777" w:rsidR="00F0626C" w:rsidRPr="001A7517" w:rsidRDefault="00F0626C" w:rsidP="00F0626C">
      <w:pPr>
        <w:widowControl w:val="0"/>
        <w:spacing w:before="240"/>
        <w:ind w:left="2160" w:hanging="720"/>
      </w:pPr>
      <w:r w:rsidRPr="001A7517">
        <w:lastRenderedPageBreak/>
        <w:t>4)</w:t>
      </w:r>
      <w:r w:rsidRPr="001A7517">
        <w:tab/>
        <w:t>The supplier may use the membrane filtration, two-step procedure described in</w:t>
      </w:r>
      <w:bookmarkStart w:id="4462" w:name="_Hlk14950827"/>
      <w:r w:rsidRPr="001A7517">
        <w:t xml:space="preserve"> SM 9222 D (97) (20th ed. only) and SM 9222 G (97) (20th ed. only)</w:t>
      </w:r>
      <w:bookmarkEnd w:id="4462"/>
      <w:r w:rsidRPr="001A7517">
        <w:t>, incorporated by reference in Section 611.102.</w:t>
      </w:r>
    </w:p>
    <w:p w14:paraId="319BD179" w14:textId="77777777" w:rsidR="00F0626C" w:rsidRPr="001A7517" w:rsidRDefault="00F0626C" w:rsidP="00F0626C">
      <w:pPr>
        <w:widowControl w:val="0"/>
        <w:spacing w:before="240"/>
        <w:ind w:left="1440" w:hanging="720"/>
      </w:pPr>
      <w:r w:rsidRPr="001A7517">
        <w:t>c)</w:t>
      </w:r>
      <w:r w:rsidRPr="001A7517">
        <w:tab/>
        <w:t>Turbidity.  A supplier must use methods for turbidity measurement approved in Section 611.531(a).</w:t>
      </w:r>
    </w:p>
    <w:p w14:paraId="41BFD9E3" w14:textId="77777777" w:rsidR="00F0626C" w:rsidRPr="001A7517" w:rsidRDefault="00F0626C" w:rsidP="00F0626C">
      <w:pPr>
        <w:widowControl w:val="0"/>
        <w:spacing w:before="240" w:after="240"/>
      </w:pPr>
      <w:r w:rsidRPr="001A7517">
        <w:t>BOARD NOTE:  Derived from 40 CFR 141.704 and appendix A to subpart C of 40 CFR 141.  The Board has not separately listed the following approved alternative methods from Standard Methods Online that are the same version as a method that appears in a printed edition of Standard Methods.  Use of the Standard Methods Online copy is acceptable.</w:t>
      </w:r>
    </w:p>
    <w:p w14:paraId="7816A584" w14:textId="77777777" w:rsidR="00F0626C" w:rsidRPr="001A7517" w:rsidRDefault="00F0626C" w:rsidP="00F0626C">
      <w:pPr>
        <w:widowControl w:val="0"/>
        <w:spacing w:before="240" w:after="240"/>
        <w:ind w:left="720"/>
      </w:pPr>
      <w:r w:rsidRPr="001A7517">
        <w:t xml:space="preserve">Standard Methods Online, Methods </w:t>
      </w:r>
      <w:bookmarkStart w:id="4463" w:name="_Hlk3993010"/>
      <w:r w:rsidRPr="001A7517">
        <w:t>9222 D-97 and 9222 G-97</w:t>
      </w:r>
      <w:bookmarkEnd w:id="4463"/>
      <w:r w:rsidRPr="001A7517">
        <w:t xml:space="preserve"> appear in the 20th and 21st editions as Methods 9222 D and 9222 G, but USEPA approved the method in the 20th edition only.  In this Section, these appear as SM 9222 D (97) and SM 9222 G (97).</w:t>
      </w:r>
    </w:p>
    <w:p w14:paraId="17D8A0CE"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bookmarkEnd w:id="4456"/>
    <w:p w14:paraId="6C9DCF62" w14:textId="77777777" w:rsidR="00F0626C" w:rsidRPr="001A7517" w:rsidRDefault="00F0626C" w:rsidP="00F0626C">
      <w:pPr>
        <w:keepNext/>
        <w:keepLines/>
        <w:suppressAutoHyphens/>
        <w:spacing w:before="240" w:after="240"/>
        <w:rPr>
          <w:b/>
          <w:szCs w:val="16"/>
        </w:rPr>
      </w:pPr>
      <w:r w:rsidRPr="001A7517">
        <w:rPr>
          <w:b/>
          <w:szCs w:val="16"/>
        </w:rPr>
        <w:t>Section 611.1005  Source Water Monitoring Requirements:  Approved Laboratories</w:t>
      </w:r>
    </w:p>
    <w:p w14:paraId="7D29C68D" w14:textId="77777777" w:rsidR="00F0626C" w:rsidRPr="001A7517" w:rsidRDefault="00F0626C" w:rsidP="00F0626C">
      <w:pPr>
        <w:spacing w:before="240" w:after="240"/>
        <w:ind w:left="1440" w:hanging="720"/>
      </w:pPr>
      <w:r w:rsidRPr="001A7517">
        <w:rPr>
          <w:szCs w:val="16"/>
        </w:rPr>
        <w:t>a)</w:t>
      </w:r>
      <w:r w:rsidRPr="001A7517">
        <w:rPr>
          <w:szCs w:val="16"/>
        </w:rPr>
        <w:tab/>
      </w:r>
      <w:r w:rsidRPr="001A7517">
        <w:t>Cryptosporidium.  A supplier must have Cryptosporidium samples analyzed by a laboratory that is approved under USEPA’s Laboratory Quality Assurance Evaluation Program for Analysis of Cryptosporidium in Water or a certified laboratory in one of the categories listed in Section 611.490(a) that has been certified for Cryptosporidium analysis.</w:t>
      </w:r>
    </w:p>
    <w:p w14:paraId="46B31B6A" w14:textId="77777777" w:rsidR="00F0626C" w:rsidRPr="001A7517" w:rsidRDefault="00F0626C" w:rsidP="00F0626C">
      <w:pPr>
        <w:spacing w:before="240" w:after="240"/>
        <w:ind w:left="1440" w:hanging="720"/>
      </w:pPr>
      <w:r w:rsidRPr="001A7517">
        <w:t>b)</w:t>
      </w:r>
      <w:r w:rsidRPr="001A7517">
        <w:tab/>
        <w:t>E. coli.  Any laboratory certified, by the National Environmental Laboratory Accreditation Conference, or by a certified laboratory in one of the categories listed in Section 611.490(a) that has been certified for total coliform or fecal coliform analysis under Section 611.531 is approved for E. coli analysis under this Subpart Z when the laboratory uses the same technique for E. coli that the laboratory uses for the purposes of Section 611.531.</w:t>
      </w:r>
    </w:p>
    <w:p w14:paraId="602F85A7" w14:textId="77777777" w:rsidR="00F0626C" w:rsidRPr="001A7517" w:rsidRDefault="00F0626C" w:rsidP="00F0626C">
      <w:pPr>
        <w:spacing w:before="240" w:after="240"/>
        <w:ind w:left="1440" w:hanging="720"/>
      </w:pPr>
      <w:r w:rsidRPr="001A7517">
        <w:t>c)</w:t>
      </w:r>
      <w:r w:rsidRPr="001A7517">
        <w:tab/>
        <w:t>Turbidity.  Measurements of turbidity must be made by a party approved by the Agency.</w:t>
      </w:r>
    </w:p>
    <w:p w14:paraId="1A2730D6" w14:textId="77777777" w:rsidR="00F0626C" w:rsidRPr="001A7517" w:rsidRDefault="00F0626C" w:rsidP="00F0626C">
      <w:pPr>
        <w:spacing w:before="240" w:after="240"/>
      </w:pPr>
      <w:r w:rsidRPr="001A7517">
        <w:t>BOARD NOTE:  Derived from 40 CFR 141.705.</w:t>
      </w:r>
    </w:p>
    <w:p w14:paraId="6C893B0F" w14:textId="77777777" w:rsidR="00F0626C" w:rsidRPr="001A7517" w:rsidRDefault="00F0626C" w:rsidP="00F0626C">
      <w:pPr>
        <w:suppressAutoHyphens/>
        <w:spacing w:before="240" w:after="240"/>
        <w:ind w:left="720"/>
      </w:pPr>
      <w:r w:rsidRPr="001A7517">
        <w:t>(Source:  Amended at 38 Ill. Reg. 9792, effective April 21, 2014)</w:t>
      </w:r>
    </w:p>
    <w:p w14:paraId="33F65E39" w14:textId="77777777" w:rsidR="00025398" w:rsidRPr="003B4362" w:rsidRDefault="00025398" w:rsidP="00025398">
      <w:pPr>
        <w:rPr>
          <w:b/>
          <w:bCs/>
        </w:rPr>
      </w:pPr>
      <w:bookmarkStart w:id="4464" w:name="_Hlk9270521"/>
      <w:r w:rsidRPr="003B4362">
        <w:rPr>
          <w:b/>
          <w:bCs/>
        </w:rPr>
        <w:t xml:space="preserve">Section </w:t>
      </w:r>
      <w:bookmarkStart w:id="4465" w:name="_Hlk27063068"/>
      <w:r w:rsidRPr="003B4362">
        <w:rPr>
          <w:b/>
          <w:bCs/>
        </w:rPr>
        <w:t>611.1006</w:t>
      </w:r>
      <w:bookmarkEnd w:id="4465"/>
      <w:r w:rsidRPr="003B4362">
        <w:rPr>
          <w:b/>
          <w:bCs/>
        </w:rPr>
        <w:t xml:space="preserve">  Source Water Monitoring Requirements:  Reporting Source Water Monitoring Results</w:t>
      </w:r>
    </w:p>
    <w:p w14:paraId="0D89932B" w14:textId="77777777" w:rsidR="00025398" w:rsidRPr="003B4362" w:rsidRDefault="00025398" w:rsidP="00025398">
      <w:pPr>
        <w:spacing w:before="240"/>
        <w:ind w:left="1440" w:hanging="720"/>
      </w:pPr>
      <w:r w:rsidRPr="003B4362">
        <w:rPr>
          <w:szCs w:val="16"/>
        </w:rPr>
        <w:t>a)</w:t>
      </w:r>
      <w:r w:rsidRPr="003B4362">
        <w:rPr>
          <w:szCs w:val="16"/>
        </w:rPr>
        <w:tab/>
      </w:r>
      <w:r w:rsidRPr="003B4362">
        <w:t>A supplier must report results from the source water monitoring required under Section 611.1001 no later than ten days after the end of the first month following the month when the sample is collected.</w:t>
      </w:r>
    </w:p>
    <w:p w14:paraId="71DF7FA8" w14:textId="77777777" w:rsidR="00025398" w:rsidRPr="003B4362" w:rsidRDefault="00025398" w:rsidP="00025398">
      <w:pPr>
        <w:spacing w:before="240"/>
        <w:ind w:left="1440" w:hanging="720"/>
      </w:pPr>
      <w:r w:rsidRPr="003B4362">
        <w:lastRenderedPageBreak/>
        <w:t>b)</w:t>
      </w:r>
      <w:r w:rsidRPr="003B4362">
        <w:tab/>
        <w:t>Submission of Analytical Results to USEPA</w:t>
      </w:r>
    </w:p>
    <w:p w14:paraId="26314239" w14:textId="77777777" w:rsidR="00025398" w:rsidRPr="003B4362" w:rsidRDefault="00025398" w:rsidP="00025398">
      <w:pPr>
        <w:spacing w:before="240"/>
        <w:ind w:left="2160" w:hanging="720"/>
      </w:pPr>
      <w:r w:rsidRPr="003B4362">
        <w:t>1)</w:t>
      </w:r>
      <w:r w:rsidRPr="003B4362">
        <w:tab/>
        <w:t>A supplier serving at least 10,000 people must report the results from the initial source water monitoring required under Section 611.1001(a) to the Data Collection and Tracking System (DCTS) through USEPA’s Central Data Exchange (CDX).</w:t>
      </w:r>
    </w:p>
    <w:p w14:paraId="4AC657A7" w14:textId="77777777" w:rsidR="00025398" w:rsidRPr="003B4362" w:rsidRDefault="00025398" w:rsidP="00025398">
      <w:pPr>
        <w:spacing w:before="240"/>
        <w:ind w:left="2160"/>
      </w:pPr>
      <w:r w:rsidRPr="003B4362">
        <w:t>BOARD NOTE:  The supplier must register with the CDX to use the DCTS.  For information see “Step-by-Step Guide to the Data Collection and Tracking System (DCTS)”, USEPA, Office of Water (4606) (document number EPA 815/B-08-001), available from USEPA, National Center for Environmental Publications, www.epa.gov/nscep (search “815B08001”); telephone 888-890-1995; e-mail epacdx@csc.com (“Technical Support” in the subject line); or fax 301-429-3905.</w:t>
      </w:r>
    </w:p>
    <w:p w14:paraId="361D7E6E" w14:textId="77777777" w:rsidR="00025398" w:rsidRPr="003B4362" w:rsidRDefault="00025398" w:rsidP="00025398">
      <w:pPr>
        <w:spacing w:before="240"/>
        <w:ind w:left="2160" w:hanging="720"/>
      </w:pPr>
      <w:r w:rsidRPr="003B4362">
        <w:t>2)</w:t>
      </w:r>
      <w:r w:rsidRPr="003B4362">
        <w:tab/>
        <w:t>If a supplier is unable to report monitoring results into the DCTS, the supplier may use an alternative approach for reporting monitoring results that USEPA has approved in writing.</w:t>
      </w:r>
    </w:p>
    <w:p w14:paraId="248816DB" w14:textId="77777777" w:rsidR="00025398" w:rsidRPr="003B4362" w:rsidRDefault="00025398" w:rsidP="00025398">
      <w:pPr>
        <w:spacing w:before="240"/>
        <w:ind w:left="1440" w:hanging="720"/>
      </w:pPr>
      <w:r w:rsidRPr="003B4362">
        <w:t>c)</w:t>
      </w:r>
      <w:r w:rsidRPr="003B4362">
        <w:tab/>
        <w:t>A supplier serving fewer than 10,000 people must report results from the initial source water monitoring required under Section 611.1001(a) to the Agency.</w:t>
      </w:r>
    </w:p>
    <w:p w14:paraId="13E1A1AF" w14:textId="77777777" w:rsidR="00025398" w:rsidRPr="003B4362" w:rsidRDefault="00025398" w:rsidP="00025398">
      <w:pPr>
        <w:spacing w:before="240"/>
        <w:ind w:left="1440" w:hanging="720"/>
      </w:pPr>
      <w:r w:rsidRPr="003B4362">
        <w:t>d)</w:t>
      </w:r>
      <w:r w:rsidRPr="003B4362">
        <w:tab/>
        <w:t>A supplier must report results from the second round of source water monitoring required under Section 611.1001(b) to the Agency.</w:t>
      </w:r>
    </w:p>
    <w:p w14:paraId="52046D0C" w14:textId="77777777" w:rsidR="00025398" w:rsidRPr="003B4362" w:rsidRDefault="00025398" w:rsidP="00025398">
      <w:pPr>
        <w:spacing w:before="240"/>
        <w:ind w:left="1440" w:hanging="720"/>
      </w:pPr>
      <w:r w:rsidRPr="003B4362">
        <w:t>e)</w:t>
      </w:r>
      <w:r w:rsidRPr="003B4362">
        <w:tab/>
        <w:t>A supplier must report the applicable information in subsections (e)(1) and (e)(2) for the source water monitoring required under Section 611.1001.</w:t>
      </w:r>
    </w:p>
    <w:p w14:paraId="0ED8413A" w14:textId="77777777" w:rsidR="00025398" w:rsidRPr="003B4362" w:rsidRDefault="00025398" w:rsidP="00025398">
      <w:pPr>
        <w:spacing w:before="240"/>
        <w:ind w:left="2160" w:hanging="720"/>
      </w:pPr>
      <w:r w:rsidRPr="003B4362">
        <w:t>1)</w:t>
      </w:r>
      <w:r w:rsidRPr="003B4362">
        <w:tab/>
        <w:t>A supplier must report the data elements set forth in subsection (e)(1)(D) for each Cryptosporidium analysis.</w:t>
      </w:r>
    </w:p>
    <w:p w14:paraId="194AF5B6" w14:textId="77777777" w:rsidR="00025398" w:rsidRPr="003B4362" w:rsidRDefault="00025398" w:rsidP="00025398">
      <w:pPr>
        <w:spacing w:before="240"/>
        <w:ind w:left="2880" w:hanging="720"/>
      </w:pPr>
      <w:r w:rsidRPr="003B4362">
        <w:rPr>
          <w:szCs w:val="16"/>
        </w:rPr>
        <w:t>A)</w:t>
      </w:r>
      <w:r w:rsidRPr="003B4362">
        <w:rPr>
          <w:szCs w:val="16"/>
        </w:rPr>
        <w:tab/>
      </w:r>
      <w:r w:rsidRPr="003B4362">
        <w:t>For matrix spike samples, a supplier must also report the sample volume spiked and estimated number of oocysts spiked.  These data are not required for field samples.</w:t>
      </w:r>
    </w:p>
    <w:p w14:paraId="6BC0FDF6" w14:textId="77777777" w:rsidR="00025398" w:rsidRPr="003B4362" w:rsidRDefault="00025398" w:rsidP="00025398">
      <w:pPr>
        <w:spacing w:before="240"/>
        <w:ind w:left="2880" w:hanging="720"/>
      </w:pPr>
      <w:r w:rsidRPr="003B4362">
        <w:t>B)</w:t>
      </w:r>
      <w:r w:rsidRPr="003B4362">
        <w:tab/>
        <w:t>For samples in which less than 10 L is filtered or less than 100% of the sample volume is examined, the supplier must also report the number of filters used and the packed pellet volume.</w:t>
      </w:r>
    </w:p>
    <w:p w14:paraId="65DBC512" w14:textId="77777777" w:rsidR="00025398" w:rsidRPr="003B4362" w:rsidRDefault="00025398" w:rsidP="00025398">
      <w:pPr>
        <w:spacing w:before="240"/>
        <w:ind w:left="2880" w:hanging="720"/>
      </w:pPr>
      <w:r w:rsidRPr="003B4362">
        <w:t>C)</w:t>
      </w:r>
      <w:r w:rsidRPr="003B4362">
        <w:tab/>
        <w:t>For samples in which less than 100% of sample volume is examined, the supplier must also report the volume of resuspended concentrate and volume of this resuspension processed through immunomagnetic separation.</w:t>
      </w:r>
    </w:p>
    <w:p w14:paraId="3B24235F" w14:textId="77777777" w:rsidR="00025398" w:rsidRPr="003B4362" w:rsidRDefault="00025398" w:rsidP="00025398">
      <w:pPr>
        <w:spacing w:before="240"/>
        <w:ind w:left="2880" w:hanging="720"/>
        <w:rPr>
          <w:szCs w:val="16"/>
        </w:rPr>
      </w:pPr>
      <w:r w:rsidRPr="003B4362">
        <w:rPr>
          <w:szCs w:val="16"/>
        </w:rPr>
        <w:t>D)</w:t>
      </w:r>
      <w:r w:rsidRPr="003B4362">
        <w:rPr>
          <w:szCs w:val="16"/>
        </w:rPr>
        <w:tab/>
        <w:t>Data Elements</w:t>
      </w:r>
    </w:p>
    <w:p w14:paraId="746DD990" w14:textId="77777777" w:rsidR="00025398" w:rsidRPr="003B4362" w:rsidRDefault="00025398" w:rsidP="00025398">
      <w:pPr>
        <w:spacing w:before="240"/>
        <w:ind w:left="3600" w:hanging="720"/>
        <w:rPr>
          <w:szCs w:val="16"/>
        </w:rPr>
      </w:pPr>
      <w:r w:rsidRPr="003B4362">
        <w:rPr>
          <w:szCs w:val="16"/>
        </w:rPr>
        <w:lastRenderedPageBreak/>
        <w:t>i)</w:t>
      </w:r>
      <w:r w:rsidRPr="003B4362">
        <w:rPr>
          <w:szCs w:val="16"/>
        </w:rPr>
        <w:tab/>
        <w:t>The PWS ID</w:t>
      </w:r>
      <w:r w:rsidRPr="003B4362">
        <w:rPr>
          <w:szCs w:val="14"/>
        </w:rPr>
        <w:t>;</w:t>
      </w:r>
    </w:p>
    <w:p w14:paraId="3540524A" w14:textId="77777777" w:rsidR="00025398" w:rsidRPr="003B4362" w:rsidRDefault="00025398" w:rsidP="00025398">
      <w:pPr>
        <w:spacing w:before="240"/>
        <w:ind w:left="3600" w:hanging="720"/>
        <w:rPr>
          <w:szCs w:val="16"/>
        </w:rPr>
      </w:pPr>
      <w:r w:rsidRPr="003B4362">
        <w:rPr>
          <w:szCs w:val="16"/>
        </w:rPr>
        <w:t>ii)</w:t>
      </w:r>
      <w:r w:rsidRPr="003B4362">
        <w:rPr>
          <w:szCs w:val="16"/>
        </w:rPr>
        <w:tab/>
        <w:t>The Facility ID</w:t>
      </w:r>
      <w:r w:rsidRPr="003B4362">
        <w:rPr>
          <w:szCs w:val="14"/>
        </w:rPr>
        <w:t>;</w:t>
      </w:r>
    </w:p>
    <w:p w14:paraId="7FA1A6CA" w14:textId="77777777" w:rsidR="00025398" w:rsidRPr="003B4362" w:rsidRDefault="00025398" w:rsidP="00025398">
      <w:pPr>
        <w:spacing w:before="240"/>
        <w:ind w:left="3600" w:hanging="720"/>
        <w:rPr>
          <w:szCs w:val="16"/>
        </w:rPr>
      </w:pPr>
      <w:r w:rsidRPr="003B4362">
        <w:rPr>
          <w:szCs w:val="16"/>
        </w:rPr>
        <w:t>iii)</w:t>
      </w:r>
      <w:r w:rsidRPr="003B4362">
        <w:rPr>
          <w:szCs w:val="16"/>
        </w:rPr>
        <w:tab/>
        <w:t>The sample collection date</w:t>
      </w:r>
      <w:r w:rsidRPr="003B4362">
        <w:rPr>
          <w:szCs w:val="14"/>
        </w:rPr>
        <w:t>;</w:t>
      </w:r>
    </w:p>
    <w:p w14:paraId="77887F47" w14:textId="77777777" w:rsidR="00025398" w:rsidRPr="003B4362" w:rsidRDefault="00025398" w:rsidP="00025398">
      <w:pPr>
        <w:spacing w:before="240"/>
        <w:ind w:left="3600" w:hanging="720"/>
        <w:rPr>
          <w:szCs w:val="16"/>
        </w:rPr>
      </w:pPr>
      <w:r w:rsidRPr="003B4362">
        <w:rPr>
          <w:szCs w:val="16"/>
        </w:rPr>
        <w:t>iv)</w:t>
      </w:r>
      <w:r w:rsidRPr="003B4362">
        <w:rPr>
          <w:szCs w:val="16"/>
        </w:rPr>
        <w:tab/>
        <w:t>The sample type (field or matrix spike)</w:t>
      </w:r>
      <w:r w:rsidRPr="003B4362">
        <w:rPr>
          <w:szCs w:val="14"/>
        </w:rPr>
        <w:t>;</w:t>
      </w:r>
    </w:p>
    <w:p w14:paraId="4A87B636" w14:textId="77777777" w:rsidR="00025398" w:rsidRPr="003B4362" w:rsidRDefault="00025398" w:rsidP="00025398">
      <w:pPr>
        <w:spacing w:before="240"/>
        <w:ind w:left="3600" w:hanging="720"/>
        <w:rPr>
          <w:szCs w:val="16"/>
        </w:rPr>
      </w:pPr>
      <w:r w:rsidRPr="003B4362">
        <w:rPr>
          <w:szCs w:val="16"/>
        </w:rPr>
        <w:t>v)</w:t>
      </w:r>
      <w:r w:rsidRPr="003B4362">
        <w:rPr>
          <w:szCs w:val="16"/>
        </w:rPr>
        <w:tab/>
        <w:t xml:space="preserve">The sample volume filtered (L), to nearest </w:t>
      </w:r>
      <w:r w:rsidRPr="003B4362">
        <w:rPr>
          <w:szCs w:val="10"/>
        </w:rPr>
        <w:t>1</w:t>
      </w:r>
      <w:r w:rsidRPr="003B4362">
        <w:rPr>
          <w:szCs w:val="16"/>
        </w:rPr>
        <w:t>⁄</w:t>
      </w:r>
      <w:r w:rsidRPr="003B4362">
        <w:rPr>
          <w:szCs w:val="10"/>
        </w:rPr>
        <w:t xml:space="preserve">4 </w:t>
      </w:r>
      <w:r w:rsidRPr="003B4362">
        <w:t>L</w:t>
      </w:r>
      <w:r w:rsidRPr="003B4362">
        <w:rPr>
          <w:szCs w:val="14"/>
        </w:rPr>
        <w:t>;</w:t>
      </w:r>
    </w:p>
    <w:p w14:paraId="5366135A" w14:textId="77777777" w:rsidR="00025398" w:rsidRPr="003B4362" w:rsidRDefault="00025398" w:rsidP="00025398">
      <w:pPr>
        <w:spacing w:before="240"/>
        <w:ind w:left="3600" w:hanging="720"/>
        <w:rPr>
          <w:szCs w:val="16"/>
        </w:rPr>
      </w:pPr>
      <w:r w:rsidRPr="003B4362">
        <w:rPr>
          <w:szCs w:val="16"/>
        </w:rPr>
        <w:t>vi)</w:t>
      </w:r>
      <w:r w:rsidRPr="003B4362">
        <w:rPr>
          <w:szCs w:val="16"/>
        </w:rPr>
        <w:tab/>
        <w:t>Whether 100 percent of the filtered volume was examined</w:t>
      </w:r>
      <w:r w:rsidRPr="003B4362">
        <w:rPr>
          <w:szCs w:val="14"/>
        </w:rPr>
        <w:t>; and</w:t>
      </w:r>
    </w:p>
    <w:p w14:paraId="0E014674" w14:textId="77777777" w:rsidR="00025398" w:rsidRPr="003B4362" w:rsidRDefault="00025398" w:rsidP="00025398">
      <w:pPr>
        <w:spacing w:before="240"/>
        <w:ind w:left="3600" w:hanging="720"/>
        <w:rPr>
          <w:szCs w:val="16"/>
        </w:rPr>
      </w:pPr>
      <w:r w:rsidRPr="003B4362">
        <w:rPr>
          <w:szCs w:val="16"/>
        </w:rPr>
        <w:t>vii)</w:t>
      </w:r>
      <w:r w:rsidRPr="003B4362">
        <w:rPr>
          <w:szCs w:val="16"/>
        </w:rPr>
        <w:tab/>
        <w:t>The number of oocysts counted.</w:t>
      </w:r>
    </w:p>
    <w:p w14:paraId="61F8930D" w14:textId="77777777" w:rsidR="00025398" w:rsidRPr="003B4362" w:rsidRDefault="00025398" w:rsidP="00025398">
      <w:pPr>
        <w:spacing w:before="240"/>
        <w:ind w:left="2160"/>
        <w:rPr>
          <w:szCs w:val="16"/>
        </w:rPr>
      </w:pPr>
      <w:r w:rsidRPr="003B4362">
        <w:rPr>
          <w:szCs w:val="16"/>
        </w:rPr>
        <w:t xml:space="preserve">BOARD NOTE:  Subsection (e)(1)(D) </w:t>
      </w:r>
      <w:r w:rsidRPr="003B4362">
        <w:t xml:space="preserve">derives </w:t>
      </w:r>
      <w:r w:rsidRPr="003B4362">
        <w:rPr>
          <w:szCs w:val="16"/>
        </w:rPr>
        <w:t>from unnumbered tabulated text in 40 CFR 141.706(e)(1).</w:t>
      </w:r>
    </w:p>
    <w:p w14:paraId="182E3B6F" w14:textId="77777777" w:rsidR="00025398" w:rsidRPr="003B4362" w:rsidRDefault="00025398" w:rsidP="00025398">
      <w:pPr>
        <w:spacing w:before="240"/>
        <w:ind w:left="2160" w:hanging="720"/>
      </w:pPr>
      <w:r w:rsidRPr="003B4362">
        <w:t>2)</w:t>
      </w:r>
      <w:r w:rsidRPr="003B4362">
        <w:tab/>
        <w:t>A supplier must report the following data elements for each E. coli analysis:</w:t>
      </w:r>
    </w:p>
    <w:p w14:paraId="40AABF68" w14:textId="77777777" w:rsidR="00025398" w:rsidRPr="003B4362" w:rsidRDefault="00025398" w:rsidP="00025398">
      <w:pPr>
        <w:spacing w:before="240"/>
        <w:ind w:left="2880" w:hanging="720"/>
        <w:rPr>
          <w:szCs w:val="14"/>
        </w:rPr>
      </w:pPr>
      <w:r w:rsidRPr="003B4362">
        <w:rPr>
          <w:szCs w:val="14"/>
        </w:rPr>
        <w:t>A)</w:t>
      </w:r>
      <w:r w:rsidRPr="003B4362">
        <w:rPr>
          <w:szCs w:val="14"/>
        </w:rPr>
        <w:tab/>
      </w:r>
      <w:r w:rsidRPr="003B4362">
        <w:rPr>
          <w:szCs w:val="16"/>
        </w:rPr>
        <w:t xml:space="preserve">The </w:t>
      </w:r>
      <w:r w:rsidRPr="003B4362">
        <w:rPr>
          <w:szCs w:val="14"/>
        </w:rPr>
        <w:t>PWS ID;</w:t>
      </w:r>
    </w:p>
    <w:p w14:paraId="717DC774" w14:textId="77777777" w:rsidR="00025398" w:rsidRPr="003B4362" w:rsidRDefault="00025398" w:rsidP="00025398">
      <w:pPr>
        <w:spacing w:before="240"/>
        <w:ind w:left="2880" w:hanging="720"/>
        <w:rPr>
          <w:szCs w:val="14"/>
        </w:rPr>
      </w:pPr>
      <w:r w:rsidRPr="003B4362">
        <w:rPr>
          <w:szCs w:val="14"/>
        </w:rPr>
        <w:t>B)</w:t>
      </w:r>
      <w:r w:rsidRPr="003B4362">
        <w:rPr>
          <w:szCs w:val="14"/>
        </w:rPr>
        <w:tab/>
      </w:r>
      <w:r w:rsidRPr="003B4362">
        <w:rPr>
          <w:szCs w:val="16"/>
        </w:rPr>
        <w:t xml:space="preserve">The </w:t>
      </w:r>
      <w:r w:rsidRPr="003B4362">
        <w:rPr>
          <w:szCs w:val="14"/>
        </w:rPr>
        <w:t>Facility ID;</w:t>
      </w:r>
    </w:p>
    <w:p w14:paraId="0159A2B5" w14:textId="77777777" w:rsidR="00025398" w:rsidRPr="003B4362" w:rsidRDefault="00025398" w:rsidP="00025398">
      <w:pPr>
        <w:spacing w:before="240"/>
        <w:ind w:left="2880" w:hanging="720"/>
        <w:rPr>
          <w:szCs w:val="14"/>
        </w:rPr>
      </w:pPr>
      <w:r w:rsidRPr="003B4362">
        <w:rPr>
          <w:szCs w:val="14"/>
        </w:rPr>
        <w:t>C)</w:t>
      </w:r>
      <w:r w:rsidRPr="003B4362">
        <w:rPr>
          <w:szCs w:val="14"/>
        </w:rPr>
        <w:tab/>
      </w:r>
      <w:r w:rsidRPr="003B4362">
        <w:rPr>
          <w:szCs w:val="16"/>
        </w:rPr>
        <w:t>The s</w:t>
      </w:r>
      <w:r w:rsidRPr="003B4362">
        <w:rPr>
          <w:szCs w:val="14"/>
        </w:rPr>
        <w:t>ample collection date;</w:t>
      </w:r>
    </w:p>
    <w:p w14:paraId="66C3AD14" w14:textId="77777777" w:rsidR="00025398" w:rsidRPr="003B4362" w:rsidRDefault="00025398" w:rsidP="00025398">
      <w:pPr>
        <w:spacing w:before="240"/>
        <w:ind w:left="2880" w:hanging="720"/>
        <w:rPr>
          <w:szCs w:val="14"/>
        </w:rPr>
      </w:pPr>
      <w:r w:rsidRPr="003B4362">
        <w:rPr>
          <w:szCs w:val="14"/>
        </w:rPr>
        <w:t>D)</w:t>
      </w:r>
      <w:r w:rsidRPr="003B4362">
        <w:rPr>
          <w:szCs w:val="14"/>
        </w:rPr>
        <w:tab/>
      </w:r>
      <w:r w:rsidRPr="003B4362">
        <w:rPr>
          <w:szCs w:val="16"/>
        </w:rPr>
        <w:t>The a</w:t>
      </w:r>
      <w:r w:rsidRPr="003B4362">
        <w:rPr>
          <w:szCs w:val="14"/>
        </w:rPr>
        <w:t>nalytical method number;</w:t>
      </w:r>
    </w:p>
    <w:p w14:paraId="7BD3C25D" w14:textId="77777777" w:rsidR="00025398" w:rsidRPr="003B4362" w:rsidRDefault="00025398" w:rsidP="00025398">
      <w:pPr>
        <w:spacing w:before="240"/>
        <w:ind w:left="2880" w:hanging="720"/>
        <w:rPr>
          <w:szCs w:val="14"/>
        </w:rPr>
      </w:pPr>
      <w:r w:rsidRPr="003B4362">
        <w:rPr>
          <w:szCs w:val="14"/>
        </w:rPr>
        <w:t>E)</w:t>
      </w:r>
      <w:r w:rsidRPr="003B4362">
        <w:rPr>
          <w:szCs w:val="14"/>
        </w:rPr>
        <w:tab/>
      </w:r>
      <w:r w:rsidRPr="003B4362">
        <w:rPr>
          <w:szCs w:val="16"/>
        </w:rPr>
        <w:t>The m</w:t>
      </w:r>
      <w:r w:rsidRPr="003B4362">
        <w:rPr>
          <w:szCs w:val="14"/>
        </w:rPr>
        <w:t>ethod type;</w:t>
      </w:r>
    </w:p>
    <w:p w14:paraId="05D456E2" w14:textId="77777777" w:rsidR="00025398" w:rsidRPr="003B4362" w:rsidRDefault="00025398" w:rsidP="00025398">
      <w:pPr>
        <w:spacing w:before="240"/>
        <w:ind w:left="2880" w:hanging="720"/>
        <w:rPr>
          <w:szCs w:val="14"/>
        </w:rPr>
      </w:pPr>
      <w:r w:rsidRPr="003B4362">
        <w:rPr>
          <w:szCs w:val="14"/>
        </w:rPr>
        <w:t>F)</w:t>
      </w:r>
      <w:r w:rsidRPr="003B4362">
        <w:rPr>
          <w:szCs w:val="14"/>
        </w:rPr>
        <w:tab/>
      </w:r>
      <w:r w:rsidRPr="003B4362">
        <w:rPr>
          <w:szCs w:val="16"/>
        </w:rPr>
        <w:t>The s</w:t>
      </w:r>
      <w:r w:rsidRPr="003B4362">
        <w:rPr>
          <w:szCs w:val="14"/>
        </w:rPr>
        <w:t>ource type (flowing stream, lake or reservoir, groundwater under the direct influence of surface water);</w:t>
      </w:r>
    </w:p>
    <w:p w14:paraId="3E15E18F" w14:textId="77777777" w:rsidR="00025398" w:rsidRPr="003B4362" w:rsidRDefault="00025398" w:rsidP="00025398">
      <w:pPr>
        <w:spacing w:before="240"/>
        <w:ind w:left="2880" w:hanging="720"/>
        <w:rPr>
          <w:szCs w:val="14"/>
        </w:rPr>
      </w:pPr>
      <w:r w:rsidRPr="003B4362">
        <w:rPr>
          <w:szCs w:val="14"/>
        </w:rPr>
        <w:t>G)</w:t>
      </w:r>
      <w:r w:rsidRPr="003B4362">
        <w:rPr>
          <w:szCs w:val="14"/>
        </w:rPr>
        <w:tab/>
      </w:r>
      <w:r w:rsidRPr="003B4362">
        <w:rPr>
          <w:szCs w:val="16"/>
        </w:rPr>
        <w:t xml:space="preserve">The </w:t>
      </w:r>
      <w:r w:rsidRPr="003B4362">
        <w:rPr>
          <w:szCs w:val="14"/>
        </w:rPr>
        <w:t xml:space="preserve">E. coli count per 100 </w:t>
      </w:r>
      <w:r w:rsidRPr="003B4362">
        <w:t>mL</w:t>
      </w:r>
      <w:r w:rsidRPr="003B4362">
        <w:rPr>
          <w:szCs w:val="14"/>
        </w:rPr>
        <w:t>.</w:t>
      </w:r>
    </w:p>
    <w:p w14:paraId="687B1366" w14:textId="77777777" w:rsidR="00025398" w:rsidRPr="003B4362" w:rsidRDefault="00025398" w:rsidP="00025398">
      <w:pPr>
        <w:spacing w:before="240"/>
        <w:ind w:left="2880" w:hanging="720"/>
        <w:rPr>
          <w:szCs w:val="9"/>
        </w:rPr>
      </w:pPr>
      <w:r w:rsidRPr="003B4362">
        <w:rPr>
          <w:szCs w:val="14"/>
        </w:rPr>
        <w:t>H)</w:t>
      </w:r>
      <w:r w:rsidRPr="003B4362">
        <w:rPr>
          <w:szCs w:val="14"/>
        </w:rPr>
        <w:tab/>
      </w:r>
      <w:r w:rsidRPr="003B4362">
        <w:rPr>
          <w:szCs w:val="16"/>
        </w:rPr>
        <w:t>The t</w:t>
      </w:r>
      <w:r w:rsidRPr="003B4362">
        <w:rPr>
          <w:szCs w:val="14"/>
        </w:rPr>
        <w:t>urbidity, except that a</w:t>
      </w:r>
      <w:r w:rsidRPr="003B4362">
        <w:rPr>
          <w:szCs w:val="16"/>
        </w:rPr>
        <w:t xml:space="preserve"> supplier </w:t>
      </w:r>
      <w:r w:rsidRPr="003B4362">
        <w:t>that serves</w:t>
      </w:r>
      <w:r w:rsidRPr="003B4362">
        <w:rPr>
          <w:szCs w:val="16"/>
        </w:rPr>
        <w:t xml:space="preserve"> fewer than 10,000 people that is not required to monitor for turbidity </w:t>
      </w:r>
      <w:r w:rsidRPr="003B4362">
        <w:t xml:space="preserve">under </w:t>
      </w:r>
      <w:r w:rsidRPr="003B4362">
        <w:rPr>
          <w:szCs w:val="16"/>
        </w:rPr>
        <w:t>Section 611.1001 is not required to report turbidity with its E. coli results</w:t>
      </w:r>
      <w:r w:rsidRPr="003B4362">
        <w:rPr>
          <w:szCs w:val="14"/>
        </w:rPr>
        <w:t>.</w:t>
      </w:r>
    </w:p>
    <w:p w14:paraId="54A411D6" w14:textId="77777777" w:rsidR="00025398" w:rsidRPr="003B4362" w:rsidRDefault="00025398" w:rsidP="00025398">
      <w:pPr>
        <w:spacing w:before="240"/>
      </w:pPr>
      <w:r w:rsidRPr="003B4362">
        <w:t xml:space="preserve">BOARD NOTE:  </w:t>
      </w:r>
      <w:r w:rsidRPr="003B4362">
        <w:rPr>
          <w:spacing w:val="-3"/>
        </w:rPr>
        <w:t xml:space="preserve">This Section derives </w:t>
      </w:r>
      <w:r w:rsidRPr="003B4362">
        <w:t>from 40 CFR 141.706.</w:t>
      </w:r>
    </w:p>
    <w:p w14:paraId="354D1A28" w14:textId="77777777" w:rsidR="00025398" w:rsidRPr="003B4362" w:rsidRDefault="00025398" w:rsidP="00025398">
      <w:pPr>
        <w:suppressAutoHyphens/>
        <w:spacing w:before="240"/>
        <w:ind w:left="720"/>
      </w:pPr>
      <w:r w:rsidRPr="003B4362">
        <w:t xml:space="preserve">(Source:  Amended at 47 Ill. Reg. </w:t>
      </w:r>
      <w:r>
        <w:t>16486</w:t>
      </w:r>
      <w:r w:rsidRPr="003B4362">
        <w:t xml:space="preserve">, effective </w:t>
      </w:r>
      <w:r>
        <w:t>November 2, 2023</w:t>
      </w:r>
      <w:r w:rsidRPr="003B4362">
        <w:t>)</w:t>
      </w:r>
    </w:p>
    <w:p w14:paraId="70E63185" w14:textId="047D03F6" w:rsidR="00F0626C" w:rsidRPr="001A7517" w:rsidRDefault="00F0626C" w:rsidP="00F0626C">
      <w:pPr>
        <w:keepNext/>
        <w:keepLines/>
        <w:suppressAutoHyphens/>
        <w:spacing w:before="240" w:after="240"/>
        <w:rPr>
          <w:b/>
          <w:bCs/>
          <w:szCs w:val="16"/>
        </w:rPr>
      </w:pPr>
      <w:r w:rsidRPr="001A7517">
        <w:rPr>
          <w:b/>
          <w:bCs/>
          <w:szCs w:val="16"/>
        </w:rPr>
        <w:lastRenderedPageBreak/>
        <w:t xml:space="preserve">Section </w:t>
      </w:r>
      <w:bookmarkStart w:id="4466" w:name="_Hlk27063080"/>
      <w:r w:rsidRPr="001A7517">
        <w:rPr>
          <w:b/>
          <w:bCs/>
          <w:szCs w:val="16"/>
        </w:rPr>
        <w:t>611.1007</w:t>
      </w:r>
      <w:bookmarkEnd w:id="4466"/>
      <w:r w:rsidRPr="001A7517">
        <w:rPr>
          <w:b/>
          <w:bCs/>
          <w:szCs w:val="16"/>
        </w:rPr>
        <w:t xml:space="preserve">  Source Water Monitoring Requirements:  Grandfathering Previously Collected Data</w:t>
      </w:r>
    </w:p>
    <w:p w14:paraId="4A06B60C" w14:textId="77777777" w:rsidR="00F0626C" w:rsidRPr="001A7517" w:rsidRDefault="00F0626C" w:rsidP="00F0626C">
      <w:pPr>
        <w:spacing w:before="240" w:after="240"/>
        <w:ind w:left="1440" w:hanging="720"/>
      </w:pPr>
      <w:r w:rsidRPr="001A7517">
        <w:t>a)</w:t>
      </w:r>
      <w:r w:rsidRPr="001A7517">
        <w:tab/>
        <w:t>Initial Source Monitoring and Cryptosporidium Samples</w:t>
      </w:r>
    </w:p>
    <w:p w14:paraId="7E82D893" w14:textId="77777777" w:rsidR="00F0626C" w:rsidRPr="001A7517" w:rsidRDefault="00F0626C" w:rsidP="00F0626C">
      <w:pPr>
        <w:spacing w:before="240" w:after="240"/>
        <w:ind w:left="2160" w:hanging="720"/>
      </w:pPr>
      <w:r w:rsidRPr="001A7517">
        <w:t>1)</w:t>
      </w:r>
      <w:r w:rsidRPr="001A7517">
        <w:tab/>
        <w:t>A supplier may comply with the initial source water monitoring requirements of Section 611.1001(a) by grandfathering sample results collected before the supplier is required to begin monitoring (i.e., previously collected data).  To be grandfathered, the sample results and analysis must meet the criteria in this Section and the Agency must approve the use of the data by a SEP.</w:t>
      </w:r>
    </w:p>
    <w:p w14:paraId="7CBB8705" w14:textId="77777777" w:rsidR="00F0626C" w:rsidRPr="001A7517" w:rsidRDefault="00F0626C" w:rsidP="00F0626C">
      <w:pPr>
        <w:spacing w:before="240" w:after="240"/>
        <w:ind w:left="2160" w:hanging="720"/>
      </w:pPr>
      <w:r w:rsidRPr="001A7517">
        <w:t>2)</w:t>
      </w:r>
      <w:r w:rsidRPr="001A7517">
        <w:tab/>
        <w:t>A filtered system supplier may grandfather Cryptosporidium samples to meet the requirements of Section 611.1001(a) when the supplier does not have corresponding E. coli and turbidity samples.  A supplier that grandfathers Cryptosporidium samples without E. coli and turbidity samples is not required to collect E. coli and turbidity samples when it completes the requirements for Cryptosporidium monitoring under Section 611.1001(a).</w:t>
      </w:r>
    </w:p>
    <w:p w14:paraId="4137C254" w14:textId="77777777" w:rsidR="00F0626C" w:rsidRPr="001A7517" w:rsidRDefault="00F0626C" w:rsidP="00F0626C">
      <w:pPr>
        <w:spacing w:before="240" w:after="240"/>
        <w:ind w:left="1440" w:hanging="720"/>
      </w:pPr>
      <w:r w:rsidRPr="001A7517">
        <w:t>b)</w:t>
      </w:r>
      <w:r w:rsidRPr="001A7517">
        <w:tab/>
        <w:t>E. coli Sample Analysis.  The analysis of E. coli samples must meet the analytical method and approved laboratory requirements of Sections 611.1004 and 611.1005.</w:t>
      </w:r>
    </w:p>
    <w:p w14:paraId="1326DF91" w14:textId="77777777" w:rsidR="00F0626C" w:rsidRPr="001A7517" w:rsidRDefault="00F0626C" w:rsidP="00F0626C">
      <w:pPr>
        <w:spacing w:before="240" w:after="240"/>
        <w:ind w:left="1440" w:hanging="720"/>
      </w:pPr>
      <w:r w:rsidRPr="001A7517">
        <w:t>c)</w:t>
      </w:r>
      <w:r w:rsidRPr="001A7517">
        <w:tab/>
        <w:t>Cryptosporidium Sample Analysis.  The analysis of Cryptosporidium samples must meet the criteria in this subsection (c).</w:t>
      </w:r>
    </w:p>
    <w:p w14:paraId="555B895A" w14:textId="77777777" w:rsidR="00F0626C" w:rsidRPr="001A7517" w:rsidRDefault="00F0626C" w:rsidP="00F0626C">
      <w:pPr>
        <w:spacing w:before="240" w:after="240"/>
        <w:ind w:left="2160" w:hanging="720"/>
      </w:pPr>
      <w:r w:rsidRPr="001A7517">
        <w:t>1)</w:t>
      </w:r>
      <w:r w:rsidRPr="001A7517">
        <w:tab/>
        <w:t xml:space="preserve">Laboratories must analyze Cryptosporidium samples using one of the following </w:t>
      </w:r>
      <w:bookmarkStart w:id="4467" w:name="_Hlk14960482"/>
      <w:r w:rsidRPr="001A7517">
        <w:t>filtration, immunomagnetic separation, and immunofluorescence assay</w:t>
      </w:r>
      <w:bookmarkEnd w:id="4467"/>
      <w:r w:rsidRPr="001A7517">
        <w:t xml:space="preserve"> </w:t>
      </w:r>
      <w:bookmarkStart w:id="4468" w:name="_Hlk14960515"/>
      <w:r w:rsidRPr="001A7517">
        <w:t>analytical methods</w:t>
      </w:r>
      <w:bookmarkEnd w:id="4468"/>
      <w:r w:rsidRPr="001A7517">
        <w:t>, incorporated by reference in Section 611.102, or alternative methods approved by the Agency under Section 611.480:</w:t>
      </w:r>
    </w:p>
    <w:p w14:paraId="33B12D12" w14:textId="77777777" w:rsidR="00F0626C" w:rsidRPr="001A7517" w:rsidRDefault="00F0626C" w:rsidP="00F0626C">
      <w:pPr>
        <w:spacing w:before="240" w:after="240"/>
        <w:ind w:left="2880" w:hanging="720"/>
      </w:pPr>
      <w:r w:rsidRPr="001A7517">
        <w:t>A)</w:t>
      </w:r>
      <w:r w:rsidRPr="001A7517">
        <w:tab/>
      </w:r>
      <w:bookmarkStart w:id="4469" w:name="_Hlk14954719"/>
      <w:r w:rsidRPr="001A7517">
        <w:t>USEPA 1623 (05)</w:t>
      </w:r>
      <w:bookmarkEnd w:id="4469"/>
      <w:r w:rsidRPr="001A7517">
        <w:t>;</w:t>
      </w:r>
    </w:p>
    <w:p w14:paraId="2F1ACA2E" w14:textId="77777777" w:rsidR="00F0626C" w:rsidRPr="001A7517" w:rsidRDefault="00F0626C" w:rsidP="00F0626C">
      <w:pPr>
        <w:spacing w:before="240" w:after="240"/>
        <w:ind w:left="2880" w:hanging="720"/>
      </w:pPr>
      <w:r w:rsidRPr="001A7517">
        <w:t>B)</w:t>
      </w:r>
      <w:r w:rsidRPr="001A7517">
        <w:tab/>
        <w:t>USEPA 1622 (05);</w:t>
      </w:r>
    </w:p>
    <w:p w14:paraId="31CB1ADB" w14:textId="77777777" w:rsidR="00F0626C" w:rsidRPr="001A7517" w:rsidRDefault="00F0626C" w:rsidP="00F0626C">
      <w:pPr>
        <w:spacing w:before="240" w:after="240"/>
        <w:ind w:left="2880" w:hanging="720"/>
      </w:pPr>
      <w:r w:rsidRPr="001A7517">
        <w:t>C)</w:t>
      </w:r>
      <w:r w:rsidRPr="001A7517">
        <w:tab/>
        <w:t>USEPA 1623 (01);</w:t>
      </w:r>
    </w:p>
    <w:p w14:paraId="57D21CB9" w14:textId="77777777" w:rsidR="00F0626C" w:rsidRPr="001A7517" w:rsidRDefault="00F0626C" w:rsidP="00F0626C">
      <w:pPr>
        <w:spacing w:before="240" w:after="240"/>
        <w:ind w:left="2880" w:hanging="720"/>
      </w:pPr>
      <w:r w:rsidRPr="001A7517">
        <w:t>D)</w:t>
      </w:r>
      <w:r w:rsidRPr="001A7517">
        <w:tab/>
        <w:t>USEPA 1622 (01); or</w:t>
      </w:r>
    </w:p>
    <w:p w14:paraId="32A4C4E4" w14:textId="77777777" w:rsidR="00F0626C" w:rsidRPr="001A7517" w:rsidRDefault="00F0626C" w:rsidP="00F0626C">
      <w:pPr>
        <w:spacing w:before="240" w:after="240"/>
        <w:ind w:left="2880" w:hanging="720"/>
      </w:pPr>
      <w:r w:rsidRPr="001A7517">
        <w:t>E)</w:t>
      </w:r>
      <w:r w:rsidRPr="001A7517">
        <w:tab/>
        <w:t>USEPA 1623 (99).</w:t>
      </w:r>
    </w:p>
    <w:p w14:paraId="762236F1" w14:textId="77777777" w:rsidR="00F0626C" w:rsidRPr="001A7517" w:rsidRDefault="00F0626C" w:rsidP="00F0626C">
      <w:pPr>
        <w:spacing w:before="240" w:after="240"/>
        <w:ind w:left="2160" w:hanging="720"/>
      </w:pPr>
      <w:r w:rsidRPr="001A7517">
        <w:t>2)</w:t>
      </w:r>
      <w:r w:rsidRPr="001A7517">
        <w:tab/>
        <w:t xml:space="preserve">For each Cryptosporidium sample, the laboratory analyzed at least 10 ℓ of sample or at least 2 mℓ of packed pellet or as much volume as could be </w:t>
      </w:r>
      <w:r w:rsidRPr="001A7517">
        <w:lastRenderedPageBreak/>
        <w:t>filtered by two filters that USEPA approved for the methods listed in subsection (c)(1).</w:t>
      </w:r>
    </w:p>
    <w:p w14:paraId="19A2ACC5" w14:textId="77777777" w:rsidR="00F0626C" w:rsidRPr="001A7517" w:rsidRDefault="00F0626C" w:rsidP="00F0626C">
      <w:pPr>
        <w:spacing w:before="240" w:after="240"/>
        <w:ind w:left="1440" w:hanging="720"/>
      </w:pPr>
      <w:r w:rsidRPr="001A7517">
        <w:t>d)</w:t>
      </w:r>
      <w:r w:rsidRPr="001A7517">
        <w:tab/>
        <w:t>Sampling Location.  The sampling location must meet the conditions in Section 611.1003.</w:t>
      </w:r>
    </w:p>
    <w:p w14:paraId="10CAC6BA" w14:textId="77777777" w:rsidR="00F0626C" w:rsidRPr="001A7517" w:rsidRDefault="00F0626C" w:rsidP="00F0626C">
      <w:pPr>
        <w:spacing w:before="240" w:after="240"/>
        <w:ind w:left="1440" w:hanging="720"/>
      </w:pPr>
      <w:r w:rsidRPr="001A7517">
        <w:t>e)</w:t>
      </w:r>
      <w:r w:rsidRPr="001A7517">
        <w:tab/>
        <w:t>Sampling Frequency.  Cryptosporidium samples were collected no less frequently than each calendar month on a regular schedule, beginning no earlier than January 1999.  Sample collection intervals may vary for the conditions specified in Section 611.1002(b)(1) and (b)(2) if the supplier provides documentation of the condition when reporting monitoring results.</w:t>
      </w:r>
    </w:p>
    <w:p w14:paraId="4E369A26" w14:textId="77777777" w:rsidR="00F0626C" w:rsidRPr="001A7517" w:rsidRDefault="00F0626C" w:rsidP="00F0626C">
      <w:pPr>
        <w:spacing w:before="240" w:after="240"/>
        <w:ind w:left="2160" w:hanging="720"/>
      </w:pPr>
      <w:r w:rsidRPr="001A7517">
        <w:t>1)</w:t>
      </w:r>
      <w:r w:rsidRPr="001A7517">
        <w:tab/>
        <w:t xml:space="preserve">The Agency may, by a SEP, approve grandfathering of previously collected data </w:t>
      </w:r>
      <w:r w:rsidRPr="001A7517">
        <w:rPr>
          <w:spacing w:val="-3"/>
        </w:rPr>
        <w:t xml:space="preserve">if </w:t>
      </w:r>
      <w:r w:rsidRPr="001A7517">
        <w:t>there are time gaps in the sampling frequency if the supplier conducts additional monitoring that the Agency has specified by a SEP to ensure that the data used to comply with the initial source water monitoring requirements of Section 611.1001(a) are seasonally representative and unbiased.</w:t>
      </w:r>
    </w:p>
    <w:p w14:paraId="1FC46FB6" w14:textId="77777777" w:rsidR="00F0626C" w:rsidRPr="001A7517" w:rsidRDefault="00F0626C" w:rsidP="00F0626C">
      <w:pPr>
        <w:spacing w:before="240" w:after="240"/>
        <w:ind w:left="2160" w:hanging="720"/>
      </w:pPr>
      <w:r w:rsidRPr="001A7517">
        <w:t>2)</w:t>
      </w:r>
      <w:r w:rsidRPr="001A7517">
        <w:tab/>
        <w:t xml:space="preserve">A supplier may grandfather previously collected data </w:t>
      </w:r>
      <w:r w:rsidRPr="001A7517">
        <w:rPr>
          <w:spacing w:val="-3"/>
        </w:rPr>
        <w:t xml:space="preserve">if </w:t>
      </w:r>
      <w:r w:rsidRPr="001A7517">
        <w:t>the sampling frequency within each month varied.  If the Cryptosporidium sampling frequency varied, the supplier must follow the monthly averaging procedure in Section 611.1010(b)(5) or Section 611.1012(a)(3), as applicable, when calculating the bin classification for a filtered system supplier or the mean Cryptosporidium concentration for an unfiltered system supplier.</w:t>
      </w:r>
    </w:p>
    <w:p w14:paraId="4DFE4CAB" w14:textId="77777777" w:rsidR="00F0626C" w:rsidRPr="001A7517" w:rsidRDefault="00F0626C" w:rsidP="00F0626C">
      <w:pPr>
        <w:spacing w:before="240" w:after="240"/>
        <w:ind w:left="1440" w:hanging="720"/>
      </w:pPr>
      <w:r w:rsidRPr="001A7517">
        <w:t>f)</w:t>
      </w:r>
      <w:r w:rsidRPr="001A7517">
        <w:tab/>
        <w:t>Reporting Monitoring Results for Grandfathering.  A supplier that requests to grandfather previously collected monitoring results must report the following information by the applicable dates listed in this subsection.  A supplier must report this information to the Agency.</w:t>
      </w:r>
    </w:p>
    <w:p w14:paraId="2FD014C3" w14:textId="77777777" w:rsidR="00F0626C" w:rsidRPr="001A7517" w:rsidRDefault="00F0626C" w:rsidP="00F0626C">
      <w:pPr>
        <w:spacing w:before="240" w:after="240"/>
        <w:ind w:left="2160" w:hanging="720"/>
      </w:pPr>
      <w:r w:rsidRPr="001A7517">
        <w:t>1)</w:t>
      </w:r>
      <w:r w:rsidRPr="001A7517">
        <w:tab/>
        <w:t>A supplier must report that it intends to submit previously collected monitoring results for grandfathering.  This report must specify the number of previously collected results the supplier will submit, the dates of the first and last sample, and whether a supplier will conduct additional source water monitoring to meet the requirements of Section 611.1001(a).  The supplier must report this information no later than the applicable date set forth in Section 611.1002.</w:t>
      </w:r>
    </w:p>
    <w:p w14:paraId="5CB9521B" w14:textId="77777777" w:rsidR="00F0626C" w:rsidRPr="001A7517" w:rsidRDefault="00F0626C" w:rsidP="00F0626C">
      <w:pPr>
        <w:spacing w:before="240" w:after="240"/>
        <w:ind w:left="2160" w:hanging="720"/>
      </w:pPr>
      <w:r w:rsidRPr="001A7517">
        <w:t>2)</w:t>
      </w:r>
      <w:r w:rsidRPr="001A7517">
        <w:tab/>
        <w:t>A supplier must report previously collected monitoring results for grandfathering, along with the associated documentation listed in subsections (f)(2)(A) through (f)(2)(D), no later than two months after the applicable date listed in Section 611.1001(c).</w:t>
      </w:r>
    </w:p>
    <w:p w14:paraId="4C8FCAC5" w14:textId="77777777" w:rsidR="00F0626C" w:rsidRPr="001A7517" w:rsidRDefault="00F0626C" w:rsidP="00F0626C">
      <w:pPr>
        <w:spacing w:before="240" w:after="240"/>
        <w:ind w:left="2880" w:hanging="720"/>
      </w:pPr>
      <w:r w:rsidRPr="001A7517">
        <w:lastRenderedPageBreak/>
        <w:t>A)</w:t>
      </w:r>
      <w:r w:rsidRPr="001A7517">
        <w:tab/>
        <w:t>For each sample result, a supplier must report the applicable data elements in Section 611.1006.</w:t>
      </w:r>
    </w:p>
    <w:p w14:paraId="4362D629" w14:textId="77777777" w:rsidR="00F0626C" w:rsidRPr="001A7517" w:rsidRDefault="00F0626C" w:rsidP="00F0626C">
      <w:pPr>
        <w:spacing w:before="240" w:after="240"/>
        <w:ind w:left="2880" w:hanging="720"/>
      </w:pPr>
      <w:r w:rsidRPr="001A7517">
        <w:t>B)</w:t>
      </w:r>
      <w:r w:rsidRPr="001A7517">
        <w:tab/>
        <w:t>A supplier must certify that the reported monitoring results include all results that it generated during the time period beginning with the first reported result and ending with the final reported result.  This applies to samples that were collected from the sampling location specified for source water monitoring under this Subpart Z, that were not spiked, and that were analyzed using the laboratory’s routine process for the analytical methods listed in this Section.</w:t>
      </w:r>
    </w:p>
    <w:p w14:paraId="41BEC0A1" w14:textId="77777777" w:rsidR="00F0626C" w:rsidRPr="001A7517" w:rsidRDefault="00F0626C" w:rsidP="00F0626C">
      <w:pPr>
        <w:spacing w:before="240" w:after="240"/>
        <w:ind w:left="2880" w:hanging="720"/>
      </w:pPr>
      <w:r w:rsidRPr="001A7517">
        <w:t>C)</w:t>
      </w:r>
      <w:r w:rsidRPr="001A7517">
        <w:tab/>
        <w:t>The supplier must certify that the samples were representative of a plant’s source waters and the source waters have not changed.  It must report a description of the sampling locations, which must address the position of the sampling location in relation to its water sources and treatment processes, including points of chemical addition and filter backwash recycle.</w:t>
      </w:r>
    </w:p>
    <w:p w14:paraId="4DF0C33E" w14:textId="77777777" w:rsidR="00F0626C" w:rsidRPr="001A7517" w:rsidRDefault="00F0626C" w:rsidP="00F0626C">
      <w:pPr>
        <w:spacing w:before="240" w:after="240"/>
        <w:ind w:left="2880" w:hanging="720"/>
      </w:pPr>
      <w:r w:rsidRPr="001A7517">
        <w:t>D)</w:t>
      </w:r>
      <w:r w:rsidRPr="001A7517">
        <w:tab/>
        <w:t>For Cryptosporidium samples, the laboratory or laboratories that analyzed the samples must provide a letter certifying that the quality control criteria specified in the methods listed in subsection (c)(1) were met for each sample batch associated with the reported results.  Alternatively, the laboratory may provide bench sheets and sample examination report forms for each field, matrix spike, initial precision and recovery, ongoing precision and recovery, and method blank sample associated with the reported results.</w:t>
      </w:r>
    </w:p>
    <w:p w14:paraId="287F0ACD" w14:textId="77777777" w:rsidR="00F0626C" w:rsidRPr="001A7517" w:rsidRDefault="00F0626C" w:rsidP="00F0626C">
      <w:pPr>
        <w:spacing w:before="240" w:after="240"/>
        <w:ind w:left="1440" w:hanging="720"/>
      </w:pPr>
      <w:r w:rsidRPr="001A7517">
        <w:t>g)</w:t>
      </w:r>
      <w:r w:rsidRPr="001A7517">
        <w:tab/>
        <w:t>If the Agency determines that a previously collected data set submitted for grandfathering was generated during source water conditions that were not normal for the supplier, such as a drought, the Agency may, by a SEP, disapprove the data.  Alternatively, the Agency may, by a SEP, approve the previously collected data if the supplier reports additional source water monitoring data, as determined by the Agency, to ensure that the data set used under Section 611.1010 or Section 611.1012 represents average source water conditions for the supplier.</w:t>
      </w:r>
    </w:p>
    <w:p w14:paraId="2CCE15D1" w14:textId="77777777" w:rsidR="00F0626C" w:rsidRPr="001A7517" w:rsidRDefault="00F0626C" w:rsidP="00F0626C">
      <w:pPr>
        <w:spacing w:before="240" w:after="240"/>
        <w:ind w:left="1440" w:hanging="720"/>
      </w:pPr>
      <w:r w:rsidRPr="001A7517">
        <w:t>h)</w:t>
      </w:r>
      <w:r w:rsidRPr="001A7517">
        <w:tab/>
        <w:t>If a supplier submits previously collected data that fully meet the number of samples required for initial source water monitoring under Section 611.1001(a), and some of the data are rejected due to not meeting the requirements of this Section, the supplier must conduct additional monitoring to replace rejected data on a schedule that the Agency has approved by a SEP.  A supplier is not required to begin this additional monitoring until two months after notification that data have been rejected and additional monitoring is necessary.</w:t>
      </w:r>
    </w:p>
    <w:p w14:paraId="7927C75E" w14:textId="77777777" w:rsidR="00F0626C" w:rsidRPr="001A7517" w:rsidRDefault="00F0626C" w:rsidP="00F0626C">
      <w:pPr>
        <w:spacing w:before="240" w:after="240"/>
      </w:pPr>
      <w:r w:rsidRPr="001A7517">
        <w:t>BOARD NOTE:  Derived from 40 CFR 141.707.</w:t>
      </w:r>
    </w:p>
    <w:p w14:paraId="06185631" w14:textId="77777777" w:rsidR="00F0626C" w:rsidRPr="001A7517" w:rsidRDefault="00F0626C" w:rsidP="00F0626C">
      <w:pPr>
        <w:suppressAutoHyphens/>
        <w:spacing w:before="240"/>
        <w:ind w:left="720"/>
      </w:pPr>
      <w:r w:rsidRPr="001A7517">
        <w:lastRenderedPageBreak/>
        <w:t>(Source:  A</w:t>
      </w:r>
      <w:r w:rsidRPr="001A7517">
        <w:rPr>
          <w:szCs w:val="17"/>
        </w:rPr>
        <w:t xml:space="preserve">mended at </w:t>
      </w:r>
      <w:r w:rsidRPr="001A7517">
        <w:t>44 Ill. Reg. 6996, effective April 17, 2020)</w:t>
      </w:r>
    </w:p>
    <w:bookmarkEnd w:id="4464"/>
    <w:p w14:paraId="6EAF3EC9" w14:textId="77777777" w:rsidR="00F0626C" w:rsidRPr="001A7517" w:rsidRDefault="00F0626C" w:rsidP="00F0626C">
      <w:pPr>
        <w:keepNext/>
        <w:keepLines/>
        <w:suppressAutoHyphens/>
        <w:spacing w:before="240"/>
        <w:rPr>
          <w:b/>
          <w:szCs w:val="16"/>
        </w:rPr>
      </w:pPr>
      <w:r w:rsidRPr="001A7517">
        <w:rPr>
          <w:b/>
          <w:szCs w:val="16"/>
        </w:rPr>
        <w:t>Section 611.1008  Disinfection Profiling and Benchmarking Requirements:  Requirements When Making a Significant Change in Disinfection Practice</w:t>
      </w:r>
    </w:p>
    <w:p w14:paraId="54088C92" w14:textId="77777777" w:rsidR="00F0626C" w:rsidRPr="001A7517" w:rsidRDefault="00F0626C" w:rsidP="00F0626C">
      <w:pPr>
        <w:spacing w:before="240"/>
        <w:ind w:left="1440" w:hanging="720"/>
      </w:pPr>
      <w:r w:rsidRPr="001A7517">
        <w:rPr>
          <w:szCs w:val="16"/>
        </w:rPr>
        <w:t>a)</w:t>
      </w:r>
      <w:r w:rsidRPr="001A7517">
        <w:rPr>
          <w:szCs w:val="16"/>
        </w:rPr>
        <w:tab/>
      </w:r>
      <w:r w:rsidRPr="001A7517">
        <w:t>Following the completion of initial source water monitoring under Section 611.1001(a), a supplier that plans to make a significant change to its disinfection practice, as defined in subsection (b), must develop disinfection profiles and calculate disinfection benchmarks for Giardia lamblia and viruses, as described in Section 611.1009.  Prior to changing the disinfection practice, the supplier must notify the Agency, and it must include in this notice the following information:</w:t>
      </w:r>
    </w:p>
    <w:p w14:paraId="67059813" w14:textId="77777777" w:rsidR="00F0626C" w:rsidRPr="001A7517" w:rsidRDefault="00F0626C" w:rsidP="00F0626C">
      <w:pPr>
        <w:spacing w:before="240"/>
        <w:ind w:left="2160" w:hanging="720"/>
      </w:pPr>
      <w:r w:rsidRPr="001A7517">
        <w:t>1)</w:t>
      </w:r>
      <w:r w:rsidRPr="001A7517">
        <w:tab/>
        <w:t>A completed disinfection profile and disinfection benchmark for Giardia lamblia and viruses, as described in Section 611.1009;</w:t>
      </w:r>
    </w:p>
    <w:p w14:paraId="5CA80557" w14:textId="77777777" w:rsidR="00F0626C" w:rsidRPr="001A7517" w:rsidRDefault="00F0626C" w:rsidP="00F0626C">
      <w:pPr>
        <w:spacing w:before="240"/>
        <w:ind w:left="2160" w:hanging="720"/>
      </w:pPr>
      <w:r w:rsidRPr="001A7517">
        <w:t>2)</w:t>
      </w:r>
      <w:r w:rsidRPr="001A7517">
        <w:tab/>
        <w:t>A description of the proposed change in disinfection practice; and</w:t>
      </w:r>
    </w:p>
    <w:p w14:paraId="34E1BEC9" w14:textId="77777777" w:rsidR="00F0626C" w:rsidRPr="001A7517" w:rsidRDefault="00F0626C" w:rsidP="00F0626C">
      <w:pPr>
        <w:spacing w:before="240"/>
        <w:ind w:left="2160" w:hanging="720"/>
      </w:pPr>
      <w:r w:rsidRPr="001A7517">
        <w:t>3)</w:t>
      </w:r>
      <w:r w:rsidRPr="001A7517">
        <w:tab/>
        <w:t>An analysis of how the proposed change will affect the current level of disinfection.</w:t>
      </w:r>
    </w:p>
    <w:p w14:paraId="5360F93D" w14:textId="77777777" w:rsidR="00F0626C" w:rsidRPr="001A7517" w:rsidRDefault="00F0626C" w:rsidP="00F0626C">
      <w:pPr>
        <w:spacing w:before="240"/>
        <w:ind w:left="1440" w:hanging="720"/>
      </w:pPr>
      <w:r w:rsidRPr="001A7517">
        <w:t>b)</w:t>
      </w:r>
      <w:r w:rsidRPr="001A7517">
        <w:tab/>
        <w:t>Significant changes to disinfection practice are defined as any of the following:</w:t>
      </w:r>
    </w:p>
    <w:p w14:paraId="4A46794B" w14:textId="77777777" w:rsidR="00F0626C" w:rsidRPr="001A7517" w:rsidRDefault="00F0626C" w:rsidP="00F0626C">
      <w:pPr>
        <w:spacing w:before="240"/>
        <w:ind w:left="2160" w:hanging="720"/>
      </w:pPr>
      <w:r w:rsidRPr="001A7517">
        <w:t>1)</w:t>
      </w:r>
      <w:r w:rsidRPr="001A7517">
        <w:tab/>
        <w:t>Changes to the point of disinfection;</w:t>
      </w:r>
    </w:p>
    <w:p w14:paraId="0CA80DD0" w14:textId="77777777" w:rsidR="00F0626C" w:rsidRPr="001A7517" w:rsidRDefault="00F0626C" w:rsidP="00F0626C">
      <w:pPr>
        <w:spacing w:before="240"/>
        <w:ind w:left="2160" w:hanging="720"/>
      </w:pPr>
      <w:r w:rsidRPr="001A7517">
        <w:t>2)</w:t>
      </w:r>
      <w:r w:rsidRPr="001A7517">
        <w:tab/>
        <w:t>Changes to the disinfectants used in the treatment plant;</w:t>
      </w:r>
    </w:p>
    <w:p w14:paraId="262696B1" w14:textId="77777777" w:rsidR="00F0626C" w:rsidRPr="001A7517" w:rsidRDefault="00F0626C" w:rsidP="00F0626C">
      <w:pPr>
        <w:spacing w:before="240"/>
        <w:ind w:left="2160" w:hanging="720"/>
      </w:pPr>
      <w:r w:rsidRPr="001A7517">
        <w:t>3)</w:t>
      </w:r>
      <w:r w:rsidRPr="001A7517">
        <w:tab/>
        <w:t>Changes to the disinfection process; or</w:t>
      </w:r>
    </w:p>
    <w:p w14:paraId="316FCBA2" w14:textId="77777777" w:rsidR="00F0626C" w:rsidRPr="001A7517" w:rsidRDefault="00F0626C" w:rsidP="00F0626C">
      <w:pPr>
        <w:spacing w:before="240"/>
        <w:ind w:left="2160" w:hanging="720"/>
      </w:pPr>
      <w:r w:rsidRPr="001A7517">
        <w:t>4)</w:t>
      </w:r>
      <w:r w:rsidRPr="001A7517">
        <w:tab/>
        <w:t>Any other modification identified by the Agency, by a SEP, as a significant change to disinfection practice.</w:t>
      </w:r>
    </w:p>
    <w:p w14:paraId="28E3DCB2" w14:textId="77777777" w:rsidR="00F0626C" w:rsidRPr="001A7517" w:rsidRDefault="00F0626C" w:rsidP="00F0626C">
      <w:pPr>
        <w:spacing w:before="240"/>
      </w:pPr>
      <w:r w:rsidRPr="001A7517">
        <w:t>BOARD NOTE:  Derived from 40 CFR 141.708.</w:t>
      </w:r>
    </w:p>
    <w:p w14:paraId="48966025"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p w14:paraId="4BF35038" w14:textId="77777777" w:rsidR="00F0626C" w:rsidRPr="001A7517" w:rsidRDefault="00F0626C" w:rsidP="00F0626C">
      <w:pPr>
        <w:keepNext/>
        <w:keepLines/>
        <w:suppressAutoHyphens/>
        <w:spacing w:before="240"/>
        <w:rPr>
          <w:b/>
          <w:szCs w:val="16"/>
        </w:rPr>
      </w:pPr>
      <w:bookmarkStart w:id="4470" w:name="_Hlk26289713"/>
      <w:r w:rsidRPr="001A7517">
        <w:rPr>
          <w:b/>
          <w:szCs w:val="16"/>
        </w:rPr>
        <w:t>Section 611.1009  Disinfection Profiling and Benchmarking Requirements:  Developing the Disinfection Profile and Benchmark</w:t>
      </w:r>
    </w:p>
    <w:p w14:paraId="505959F2" w14:textId="77777777" w:rsidR="00F0626C" w:rsidRPr="001A7517" w:rsidRDefault="00F0626C" w:rsidP="00F0626C">
      <w:pPr>
        <w:spacing w:before="240"/>
        <w:ind w:left="1440" w:hanging="720"/>
      </w:pPr>
      <w:r w:rsidRPr="001A7517">
        <w:rPr>
          <w:szCs w:val="16"/>
        </w:rPr>
        <w:t>a)</w:t>
      </w:r>
      <w:r w:rsidRPr="001A7517">
        <w:rPr>
          <w:szCs w:val="16"/>
        </w:rPr>
        <w:tab/>
      </w:r>
      <w:r w:rsidRPr="001A7517">
        <w:t>A supplier required to develop disinfection profiles under Section 611.1008 must follow the requirements of this Section.  The supplier must monitor at least weekly for a period of 12 consecutive months to determine the total log inactivation for Giardia lamblia and viruses.  If the supplier monitors more frequently than weekly, the monitoring frequency must be evenly spaced.  A supplier that operates for fewer than 12 months per year must monitor weekly during the period of operation.  A supplier must determine log inactivation for Giardia lamblia through the entire plant, based on the applicable CT</w:t>
      </w:r>
      <w:r w:rsidRPr="001A7517">
        <w:rPr>
          <w:szCs w:val="12"/>
          <w:vertAlign w:val="subscript"/>
        </w:rPr>
        <w:t>99.9</w:t>
      </w:r>
      <w:r w:rsidRPr="001A7517">
        <w:rPr>
          <w:szCs w:val="12"/>
        </w:rPr>
        <w:t xml:space="preserve"> </w:t>
      </w:r>
      <w:r w:rsidRPr="001A7517">
        <w:t xml:space="preserve">values in </w:t>
      </w:r>
      <w:r w:rsidRPr="001A7517">
        <w:lastRenderedPageBreak/>
        <w:t>Appendix B.  A supplier must determine log inactivation for viruses through the entire treatment plant based on a protocol approved by the Agency by a SEP.</w:t>
      </w:r>
    </w:p>
    <w:p w14:paraId="0EDC7E72" w14:textId="77777777" w:rsidR="00F0626C" w:rsidRPr="001A7517" w:rsidRDefault="00F0626C" w:rsidP="00F0626C">
      <w:pPr>
        <w:spacing w:before="240"/>
        <w:ind w:left="1440" w:hanging="720"/>
      </w:pPr>
      <w:r w:rsidRPr="001A7517">
        <w:t>b)</w:t>
      </w:r>
      <w:r w:rsidRPr="001A7517">
        <w:tab/>
        <w:t>A supplier with a single point of disinfectant application prior to the entrance to the distribution system must conduct the monitoring in subsections (b)(1) through (b)(4).  A supplier with more than one point of disinfectant application must conduct the monitoring in subsections (b)(1) through (b)(4) for each disinfection segment.  A supplier must monitor the parameters necessary to determine the total inactivation ratio, using analytical methods in Section 611.531.</w:t>
      </w:r>
    </w:p>
    <w:p w14:paraId="3BEB939C" w14:textId="77777777" w:rsidR="00F0626C" w:rsidRPr="001A7517" w:rsidRDefault="00F0626C" w:rsidP="00F0626C">
      <w:pPr>
        <w:spacing w:before="240"/>
        <w:ind w:left="2160" w:hanging="720"/>
      </w:pPr>
      <w:r w:rsidRPr="001A7517">
        <w:t>1)</w:t>
      </w:r>
      <w:r w:rsidRPr="001A7517">
        <w:tab/>
        <w:t>For a supplier using a disinfectant other than UV, the temperature of the disinfected water must be measured at each residual disinfectant concentration sampling point during peak hourly flow or at an alternative location approved by the Agency by a SEP.</w:t>
      </w:r>
    </w:p>
    <w:p w14:paraId="578AAA5A" w14:textId="77777777" w:rsidR="00F0626C" w:rsidRPr="001A7517" w:rsidRDefault="00F0626C" w:rsidP="00F0626C">
      <w:pPr>
        <w:spacing w:before="240"/>
        <w:ind w:left="2160" w:hanging="720"/>
      </w:pPr>
      <w:r w:rsidRPr="001A7517">
        <w:t>2)</w:t>
      </w:r>
      <w:r w:rsidRPr="001A7517">
        <w:tab/>
        <w:t>For a supplier using chlorine, the pH of the disinfected water must be measured at each chlorine residual disinfectant concentration sampling point during peak hourly flow or at an alternative location approved by the Agency by a SEP.</w:t>
      </w:r>
    </w:p>
    <w:p w14:paraId="7DB620FF" w14:textId="77777777" w:rsidR="00F0626C" w:rsidRPr="001A7517" w:rsidRDefault="00F0626C" w:rsidP="00F0626C">
      <w:pPr>
        <w:spacing w:before="240"/>
        <w:ind w:left="2160" w:hanging="720"/>
      </w:pPr>
      <w:r w:rsidRPr="001A7517">
        <w:t>3)</w:t>
      </w:r>
      <w:r w:rsidRPr="001A7517">
        <w:tab/>
        <w:t>The disinfectant contact times (t) must be determined during peak hourly flow.</w:t>
      </w:r>
    </w:p>
    <w:p w14:paraId="4F1CE2D4" w14:textId="77777777" w:rsidR="00F0626C" w:rsidRPr="001A7517" w:rsidRDefault="00F0626C" w:rsidP="00F0626C">
      <w:pPr>
        <w:spacing w:before="240"/>
        <w:ind w:left="2160" w:hanging="720"/>
      </w:pPr>
      <w:r w:rsidRPr="001A7517">
        <w:t>4)</w:t>
      </w:r>
      <w:r w:rsidRPr="001A7517">
        <w:tab/>
        <w:t>The residual disinfectant concentrations (C) of the water before or at the first customer and prior to each additional point of disinfectant application must be measured during peak hourly flow.</w:t>
      </w:r>
    </w:p>
    <w:p w14:paraId="2236B32A" w14:textId="77777777" w:rsidR="00F0626C" w:rsidRPr="001A7517" w:rsidRDefault="00F0626C" w:rsidP="00F0626C">
      <w:pPr>
        <w:spacing w:before="240"/>
        <w:ind w:left="1440" w:hanging="720"/>
      </w:pPr>
      <w:r w:rsidRPr="001A7517">
        <w:t>c)</w:t>
      </w:r>
      <w:r w:rsidRPr="001A7517">
        <w:tab/>
        <w:t>In lieu of conducting new monitoring under subsection (b), a supplier may elect to meet the following requirements:</w:t>
      </w:r>
    </w:p>
    <w:p w14:paraId="27840510" w14:textId="77777777" w:rsidR="00F0626C" w:rsidRPr="001A7517" w:rsidRDefault="00F0626C" w:rsidP="00F0626C">
      <w:pPr>
        <w:spacing w:before="240"/>
        <w:ind w:left="2160" w:hanging="720"/>
      </w:pPr>
      <w:r w:rsidRPr="001A7517">
        <w:t>1)</w:t>
      </w:r>
      <w:r w:rsidRPr="001A7517">
        <w:tab/>
        <w:t>A supplier that has at least one year of existing data that are substantially equivalent to data collected under the provisions of subsection (b) may use these data to develop disinfection profiles as specified in this Section if the supplier has neither made a significant change to its treatment practice nor changed sources since the data were collected.  The supplier may develop disinfection profiles using up to three years of existing data.</w:t>
      </w:r>
    </w:p>
    <w:p w14:paraId="0EC2F023" w14:textId="77777777" w:rsidR="00F0626C" w:rsidRPr="001A7517" w:rsidRDefault="00F0626C" w:rsidP="00F0626C">
      <w:pPr>
        <w:spacing w:before="240"/>
        <w:ind w:left="2160" w:hanging="720"/>
      </w:pPr>
      <w:r w:rsidRPr="001A7517">
        <w:t>2)</w:t>
      </w:r>
      <w:r w:rsidRPr="001A7517">
        <w:tab/>
        <w:t>A supplier may use disinfection profiles developed under Section 611.742 or Section 611.953 in lieu of developing a new profile if the supplier has neither made a significant change to its treatment practice nor changed sources since the profile was developed.  A supplier that has not developed a virus profile under Section 611.742 or Section 611.953 must develop a virus profile using the same monitoring data on which the Giardia lamblia profile is based.</w:t>
      </w:r>
    </w:p>
    <w:p w14:paraId="67832077" w14:textId="77777777" w:rsidR="00F0626C" w:rsidRPr="001A7517" w:rsidRDefault="00F0626C" w:rsidP="00F0626C">
      <w:pPr>
        <w:spacing w:before="240"/>
        <w:ind w:left="1440" w:hanging="720"/>
      </w:pPr>
      <w:r w:rsidRPr="001A7517">
        <w:lastRenderedPageBreak/>
        <w:t>d)</w:t>
      </w:r>
      <w:r w:rsidRPr="001A7517">
        <w:tab/>
        <w:t>A supplier must calculate the total inactivation ratio for Giardia lamblia, as specified in subsections (d)(1) through (d)(3).</w:t>
      </w:r>
    </w:p>
    <w:p w14:paraId="2C816673" w14:textId="77777777" w:rsidR="00F0626C" w:rsidRPr="001A7517" w:rsidRDefault="00F0626C" w:rsidP="00F0626C">
      <w:pPr>
        <w:spacing w:before="240"/>
        <w:ind w:left="2160" w:hanging="720"/>
      </w:pPr>
      <w:r w:rsidRPr="001A7517">
        <w:t>1)</w:t>
      </w:r>
      <w:r w:rsidRPr="001A7517">
        <w:tab/>
        <w:t>A supplier using only one point of disinfectant application may determine the total inactivation ratio for the disinfection segment based on either of the following methods:</w:t>
      </w:r>
    </w:p>
    <w:p w14:paraId="7B440EDC" w14:textId="77777777" w:rsidR="00F0626C" w:rsidRPr="001A7517" w:rsidRDefault="00F0626C" w:rsidP="00F0626C">
      <w:pPr>
        <w:spacing w:before="240"/>
        <w:ind w:left="2880" w:hanging="720"/>
      </w:pPr>
      <w:r w:rsidRPr="001A7517">
        <w:t>A)</w:t>
      </w:r>
      <w:r w:rsidRPr="001A7517">
        <w:tab/>
        <w:t>It may determine one inactivation ratio (Ai) before or at the first customer during peak hourly flow; or</w:t>
      </w:r>
    </w:p>
    <w:p w14:paraId="7CFAF9E4" w14:textId="77777777" w:rsidR="00F0626C" w:rsidRPr="001A7517" w:rsidRDefault="00F0626C" w:rsidP="00F0626C">
      <w:pPr>
        <w:spacing w:before="240"/>
        <w:ind w:left="2880" w:hanging="720"/>
      </w:pPr>
      <w:r w:rsidRPr="001A7517">
        <w:t>B)</w:t>
      </w:r>
      <w:r w:rsidRPr="001A7517">
        <w:tab/>
        <w:t>It may determine successive Ai</w:t>
      </w:r>
      <w:r w:rsidRPr="001A7517">
        <w:rPr>
          <w:szCs w:val="12"/>
        </w:rPr>
        <w:t xml:space="preserve"> </w:t>
      </w:r>
      <w:r w:rsidRPr="001A7517">
        <w:t>values, representing sequential inactivation ratios, between the point of disinfectant application and a point before or at the first customer during peak hourly flow.  The supplier must calculate the total inactivation ratio by determining Ai for each sequence and then adding the Ai values together to determine the total inactivation ratio (Σ Ai).</w:t>
      </w:r>
    </w:p>
    <w:p w14:paraId="4351964A" w14:textId="77777777" w:rsidR="00F0626C" w:rsidRPr="001A7517" w:rsidRDefault="00F0626C" w:rsidP="00F0626C">
      <w:pPr>
        <w:spacing w:before="240"/>
        <w:ind w:left="2160" w:hanging="720"/>
      </w:pPr>
      <w:r w:rsidRPr="001A7517">
        <w:t>2)</w:t>
      </w:r>
      <w:r w:rsidRPr="001A7517">
        <w:tab/>
        <w:t>A supplier using more than one point of disinfectant application before the first customer must determine the CT value of each disinfection segment immediately prior to the next point of disinfectant application, or for the final segment, before or at the first customer, during peak hourly flow.  The Ai value of each segment and Σ Ai must be calculated using the method in subsection (d)(1)(B).</w:t>
      </w:r>
    </w:p>
    <w:p w14:paraId="2BFF7578" w14:textId="77777777" w:rsidR="00F0626C" w:rsidRPr="001A7517" w:rsidRDefault="00F0626C" w:rsidP="00F0626C">
      <w:pPr>
        <w:spacing w:before="240"/>
        <w:ind w:left="2160" w:hanging="720"/>
      </w:pPr>
      <w:r w:rsidRPr="001A7517">
        <w:t>3)</w:t>
      </w:r>
      <w:r w:rsidRPr="001A7517">
        <w:tab/>
        <w:t>The supplier must determine the total logs of inactivation by multiplying the value calculated in subsection (d)(1) or (d)(2) by 3.0.</w:t>
      </w:r>
    </w:p>
    <w:p w14:paraId="024A353E" w14:textId="77777777" w:rsidR="00F0626C" w:rsidRPr="001A7517" w:rsidRDefault="00F0626C" w:rsidP="00F0626C">
      <w:pPr>
        <w:spacing w:before="240"/>
        <w:ind w:left="2160" w:hanging="720"/>
      </w:pPr>
      <w:r w:rsidRPr="001A7517">
        <w:t>4)</w:t>
      </w:r>
      <w:r w:rsidRPr="001A7517">
        <w:tab/>
        <w:t>The supplier must calculate the log of inactivation for viruses using a protocol approved by the Agency by regulation or by a SEP.</w:t>
      </w:r>
    </w:p>
    <w:p w14:paraId="73E94B49" w14:textId="77777777" w:rsidR="00F0626C" w:rsidRPr="001A7517" w:rsidRDefault="00F0626C" w:rsidP="00F0626C">
      <w:pPr>
        <w:spacing w:before="240"/>
        <w:ind w:left="1440" w:hanging="720"/>
      </w:pPr>
      <w:r w:rsidRPr="001A7517">
        <w:t>e)</w:t>
      </w:r>
      <w:r w:rsidRPr="001A7517">
        <w:tab/>
        <w:t>A supplier must use the following procedures to calculate a disinfection benchmark:</w:t>
      </w:r>
    </w:p>
    <w:p w14:paraId="57FA1F77" w14:textId="77777777" w:rsidR="00F0626C" w:rsidRPr="001A7517" w:rsidRDefault="00F0626C" w:rsidP="00F0626C">
      <w:pPr>
        <w:spacing w:before="240"/>
        <w:ind w:left="2160" w:hanging="720"/>
      </w:pPr>
      <w:r w:rsidRPr="001A7517">
        <w:t>1)</w:t>
      </w:r>
      <w:r w:rsidRPr="001A7517">
        <w:tab/>
        <w:t>For each year of profiling data collected and calculated under subsections (a) through (d), the supplier must determine the lowest mean monthly level of both Giardia lamblia and virus inactivation.  A supplier must determine the mean Giardia lamblia and virus inactivation for each calendar month for each year of profiling data by dividing the sum of daily or weekly Giardia lamblia and virus log inactivation by the number of values calculated for that month.</w:t>
      </w:r>
    </w:p>
    <w:p w14:paraId="3195F106" w14:textId="77777777" w:rsidR="00F0626C" w:rsidRPr="001A7517" w:rsidRDefault="00F0626C" w:rsidP="00F0626C">
      <w:pPr>
        <w:spacing w:before="240"/>
        <w:ind w:left="2160" w:hanging="720"/>
      </w:pPr>
      <w:r w:rsidRPr="001A7517">
        <w:t>2)</w:t>
      </w:r>
      <w:r w:rsidRPr="001A7517">
        <w:tab/>
        <w:t>The disinfection benchmark is the lowest monthly mean value (for a supplier with one year of profiling data) or the mean of the lowest monthly mean values (for a supplier with more than one year of profiling data) of Giardia lamblia and virus log inactivation in each year of profiling data.</w:t>
      </w:r>
    </w:p>
    <w:p w14:paraId="604C3005" w14:textId="77777777" w:rsidR="00F0626C" w:rsidRPr="001A7517" w:rsidRDefault="00F0626C" w:rsidP="00F0626C">
      <w:pPr>
        <w:spacing w:before="240"/>
      </w:pPr>
      <w:r w:rsidRPr="001A7517">
        <w:lastRenderedPageBreak/>
        <w:t>BOARD NOTE:  Derived from 40 CFR 141.709.</w:t>
      </w:r>
    </w:p>
    <w:p w14:paraId="65DB1C89"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bookmarkEnd w:id="4470"/>
    <w:p w14:paraId="21E2A31D" w14:textId="77777777" w:rsidR="00F0626C" w:rsidRPr="001A7517" w:rsidRDefault="00F0626C" w:rsidP="00F0626C">
      <w:pPr>
        <w:keepNext/>
        <w:keepLines/>
        <w:suppressAutoHyphens/>
        <w:spacing w:before="240"/>
        <w:rPr>
          <w:b/>
          <w:bCs/>
          <w:szCs w:val="16"/>
        </w:rPr>
      </w:pPr>
      <w:r w:rsidRPr="001A7517">
        <w:rPr>
          <w:b/>
          <w:szCs w:val="16"/>
        </w:rPr>
        <w:t xml:space="preserve">Section </w:t>
      </w:r>
      <w:bookmarkStart w:id="4471" w:name="_Hlk27063090"/>
      <w:r w:rsidRPr="001A7517">
        <w:rPr>
          <w:b/>
          <w:szCs w:val="16"/>
        </w:rPr>
        <w:t>611.1010</w:t>
      </w:r>
      <w:bookmarkEnd w:id="4471"/>
      <w:r w:rsidRPr="001A7517">
        <w:rPr>
          <w:b/>
          <w:szCs w:val="16"/>
        </w:rPr>
        <w:t xml:space="preserve">  Treatment Technique Requirements:  Bin Classification for Filtered System </w:t>
      </w:r>
      <w:r w:rsidRPr="001A7517">
        <w:rPr>
          <w:b/>
          <w:bCs/>
          <w:szCs w:val="16"/>
        </w:rPr>
        <w:t>Suppliers</w:t>
      </w:r>
    </w:p>
    <w:p w14:paraId="0E98663B" w14:textId="77777777" w:rsidR="00F0626C" w:rsidRPr="001A7517" w:rsidRDefault="00F0626C" w:rsidP="00F0626C">
      <w:pPr>
        <w:spacing w:before="240"/>
        <w:ind w:left="1440" w:hanging="720"/>
      </w:pPr>
      <w:r w:rsidRPr="001A7517">
        <w:rPr>
          <w:szCs w:val="16"/>
        </w:rPr>
        <w:t>a)</w:t>
      </w:r>
      <w:r w:rsidRPr="001A7517">
        <w:rPr>
          <w:szCs w:val="16"/>
        </w:rPr>
        <w:tab/>
      </w:r>
      <w:r w:rsidRPr="001A7517">
        <w:t>Following completion of the initial round of source water monitoring required under Section 611.1001(a), a filtered system supplier must calculate an initial Cryptosporidium bin concentration for each plant for which monitoring was required.  Calculation of the bin concentration must use the Cryptosporidium results reported under Section 611.1001(a) and must follow the appropriate of the procedures set forth in subsection (b).</w:t>
      </w:r>
    </w:p>
    <w:p w14:paraId="07969EFB" w14:textId="77777777" w:rsidR="00F0626C" w:rsidRPr="001A7517" w:rsidRDefault="00F0626C" w:rsidP="00F0626C">
      <w:pPr>
        <w:spacing w:before="240"/>
        <w:ind w:left="1440" w:hanging="720"/>
      </w:pPr>
      <w:r w:rsidRPr="001A7517">
        <w:t>b)</w:t>
      </w:r>
      <w:r w:rsidRPr="001A7517">
        <w:tab/>
        <w:t>Bin Concentration Calculation Procedures</w:t>
      </w:r>
    </w:p>
    <w:p w14:paraId="385DC9D7" w14:textId="77777777" w:rsidR="00F0626C" w:rsidRPr="001A7517" w:rsidRDefault="00F0626C" w:rsidP="00F0626C">
      <w:pPr>
        <w:spacing w:before="240"/>
        <w:ind w:left="2160" w:hanging="720"/>
      </w:pPr>
      <w:r w:rsidRPr="001A7517">
        <w:t>1)</w:t>
      </w:r>
      <w:r w:rsidRPr="001A7517">
        <w:tab/>
        <w:t>For a supplier that collects a total of at least 48 samples, the bin concentration is equal to the arithmetic mean of all sample concentrations.</w:t>
      </w:r>
    </w:p>
    <w:p w14:paraId="011521F7" w14:textId="77777777" w:rsidR="00F0626C" w:rsidRPr="001A7517" w:rsidRDefault="00F0626C" w:rsidP="00F0626C">
      <w:pPr>
        <w:spacing w:before="240"/>
        <w:ind w:left="2160" w:hanging="720"/>
      </w:pPr>
      <w:r w:rsidRPr="001A7517">
        <w:t>2)</w:t>
      </w:r>
      <w:r w:rsidRPr="001A7517">
        <w:tab/>
        <w:t>For a supplier that collects a total of at least 24 samples, but not more than 47 samples, the bin concentration is equal to the highest arithmetic mean of all sample concentrations in any 12 consecutive months during which Cryptosporidium samples were collected.</w:t>
      </w:r>
    </w:p>
    <w:p w14:paraId="22C4A094" w14:textId="77777777" w:rsidR="00F0626C" w:rsidRPr="001A7517" w:rsidRDefault="00F0626C" w:rsidP="00F0626C">
      <w:pPr>
        <w:spacing w:before="240"/>
        <w:ind w:left="2160" w:hanging="720"/>
      </w:pPr>
      <w:r w:rsidRPr="001A7517">
        <w:t>3)</w:t>
      </w:r>
      <w:r w:rsidRPr="001A7517">
        <w:tab/>
        <w:t>For a supplier that serves fewer than 10,000 people and that monitors for Cryptosporidium for only one year (i.e., collect 24 samples in 12 months), the bin concentration is equal to the arithmetic mean of all sample concentrations.</w:t>
      </w:r>
    </w:p>
    <w:p w14:paraId="6C5108CF" w14:textId="77777777" w:rsidR="00F0626C" w:rsidRPr="001A7517" w:rsidRDefault="00F0626C" w:rsidP="00F0626C">
      <w:pPr>
        <w:spacing w:before="240"/>
        <w:ind w:left="2160" w:hanging="720"/>
      </w:pPr>
      <w:r w:rsidRPr="001A7517">
        <w:t>4)</w:t>
      </w:r>
      <w:r w:rsidRPr="001A7517">
        <w:tab/>
        <w:t>For a supplier with plants operating only part of the year that monitors fewer than 12 months per year under Section 611.1001(e), the bin concentration is equal to the highest arithmetic mean of all sample concentrations during any year of Cryptosporidium monitoring.</w:t>
      </w:r>
    </w:p>
    <w:p w14:paraId="7BCBD7A2" w14:textId="77777777" w:rsidR="00F0626C" w:rsidRPr="001A7517" w:rsidRDefault="00F0626C" w:rsidP="00F0626C">
      <w:pPr>
        <w:spacing w:before="240"/>
        <w:ind w:left="2160" w:hanging="720"/>
      </w:pPr>
      <w:r w:rsidRPr="001A7517">
        <w:t>5)</w:t>
      </w:r>
      <w:r w:rsidRPr="001A7517">
        <w:tab/>
        <w:t>If the monthly Cryptosporidium sampling frequency varies, a supplier must first calculate a monthly average for each month of monitoring. A supplier must then use these monthly average concentrations, rather than individual sample concentrations, in the applicable calculation for bin classification in subsections (b)(1) through (b)(4).</w:t>
      </w:r>
    </w:p>
    <w:p w14:paraId="561C4FC5" w14:textId="77777777" w:rsidR="00F0626C" w:rsidRPr="001A7517" w:rsidRDefault="00F0626C" w:rsidP="00F0626C">
      <w:pPr>
        <w:spacing w:before="240"/>
        <w:ind w:left="1440" w:hanging="720"/>
      </w:pPr>
      <w:r w:rsidRPr="001A7517">
        <w:t>c)</w:t>
      </w:r>
      <w:r w:rsidRPr="001A7517">
        <w:tab/>
        <w:t>A filtered system supplier must determine its initial bin classification according to subsections (c)(1) through (c)(5), subject to the limitations of subsection (c)(6), and using the Cryptosporidium bin concentration calculated under subsections (a) and (b).</w:t>
      </w:r>
    </w:p>
    <w:p w14:paraId="172D2464" w14:textId="77777777" w:rsidR="00F0626C" w:rsidRPr="001A7517" w:rsidRDefault="00F0626C" w:rsidP="00F0626C">
      <w:pPr>
        <w:spacing w:before="240"/>
        <w:ind w:left="2160" w:hanging="720"/>
      </w:pPr>
      <w:r w:rsidRPr="001A7517">
        <w:lastRenderedPageBreak/>
        <w:t>1)</w:t>
      </w:r>
      <w:r w:rsidRPr="001A7517">
        <w:tab/>
      </w:r>
      <w:r w:rsidRPr="001A7517">
        <w:rPr>
          <w:szCs w:val="16"/>
        </w:rPr>
        <w:t xml:space="preserve">For a supplier that is required to monitor for Cryptosporidium </w:t>
      </w:r>
      <w:r w:rsidRPr="001A7517">
        <w:t xml:space="preserve">under </w:t>
      </w:r>
      <w:r w:rsidRPr="001A7517">
        <w:rPr>
          <w:szCs w:val="16"/>
        </w:rPr>
        <w:t xml:space="preserve">Section 611.1001 and </w:t>
      </w:r>
      <w:r w:rsidRPr="001A7517">
        <w:t xml:space="preserve">that </w:t>
      </w:r>
      <w:r w:rsidRPr="001A7517">
        <w:rPr>
          <w:szCs w:val="16"/>
        </w:rPr>
        <w:t>has a Cryptosporidium bin concentration of less than 0.075 oocysts/ℓ, the bin classification is Bin 1</w:t>
      </w:r>
      <w:r w:rsidRPr="001A7517">
        <w:t>.</w:t>
      </w:r>
    </w:p>
    <w:p w14:paraId="39D9D26A" w14:textId="77777777" w:rsidR="00F0626C" w:rsidRPr="001A7517" w:rsidRDefault="00F0626C" w:rsidP="00F0626C">
      <w:pPr>
        <w:spacing w:before="240"/>
        <w:ind w:left="2160" w:hanging="720"/>
      </w:pPr>
      <w:r w:rsidRPr="001A7517">
        <w:t>2)</w:t>
      </w:r>
      <w:r w:rsidRPr="001A7517">
        <w:tab/>
      </w:r>
      <w:r w:rsidRPr="001A7517">
        <w:rPr>
          <w:szCs w:val="16"/>
        </w:rPr>
        <w:t xml:space="preserve">For a supplier that is required to monitor for Cryptosporidium </w:t>
      </w:r>
      <w:r w:rsidRPr="001A7517">
        <w:t xml:space="preserve">under </w:t>
      </w:r>
      <w:r w:rsidRPr="001A7517">
        <w:rPr>
          <w:szCs w:val="16"/>
        </w:rPr>
        <w:t xml:space="preserve">Section 611.1001 and </w:t>
      </w:r>
      <w:r w:rsidRPr="001A7517">
        <w:t xml:space="preserve">that </w:t>
      </w:r>
      <w:r w:rsidRPr="001A7517">
        <w:rPr>
          <w:szCs w:val="16"/>
        </w:rPr>
        <w:t>has a Cryptosporidium bin concentration of 0.075 oocysts/ℓ or more, but less than 1.0 oocysts/ℓ, the bin classification is Bin 2</w:t>
      </w:r>
      <w:r w:rsidRPr="001A7517">
        <w:t>.</w:t>
      </w:r>
    </w:p>
    <w:p w14:paraId="746A0E49" w14:textId="77777777" w:rsidR="00F0626C" w:rsidRPr="001A7517" w:rsidRDefault="00F0626C" w:rsidP="00F0626C">
      <w:pPr>
        <w:spacing w:before="240"/>
        <w:ind w:left="2160" w:hanging="720"/>
      </w:pPr>
      <w:r w:rsidRPr="001A7517">
        <w:t>3)</w:t>
      </w:r>
      <w:r w:rsidRPr="001A7517">
        <w:tab/>
      </w:r>
      <w:r w:rsidRPr="001A7517">
        <w:rPr>
          <w:szCs w:val="16"/>
        </w:rPr>
        <w:t xml:space="preserve">For a supplier that is required to monitor for Cryptosporidium </w:t>
      </w:r>
      <w:r w:rsidRPr="001A7517">
        <w:t xml:space="preserve">under </w:t>
      </w:r>
      <w:r w:rsidRPr="001A7517">
        <w:rPr>
          <w:szCs w:val="16"/>
        </w:rPr>
        <w:t xml:space="preserve">Section 611.1001 and </w:t>
      </w:r>
      <w:r w:rsidRPr="001A7517">
        <w:t xml:space="preserve">that </w:t>
      </w:r>
      <w:r w:rsidRPr="001A7517">
        <w:rPr>
          <w:szCs w:val="16"/>
        </w:rPr>
        <w:t>has a Cryptosporidium bin concentration of 1.0 oocysts/ℓ or more, but less than 3.0 oocysts/ℓ, the bin classification is Bin 3</w:t>
      </w:r>
      <w:r w:rsidRPr="001A7517">
        <w:t>.</w:t>
      </w:r>
    </w:p>
    <w:p w14:paraId="23B3084C" w14:textId="77777777" w:rsidR="00F0626C" w:rsidRPr="001A7517" w:rsidRDefault="00F0626C" w:rsidP="00F0626C">
      <w:pPr>
        <w:spacing w:before="240"/>
        <w:ind w:left="2160" w:hanging="720"/>
      </w:pPr>
      <w:r w:rsidRPr="001A7517">
        <w:t>4)</w:t>
      </w:r>
      <w:r w:rsidRPr="001A7517">
        <w:tab/>
      </w:r>
      <w:r w:rsidRPr="001A7517">
        <w:rPr>
          <w:szCs w:val="16"/>
        </w:rPr>
        <w:t xml:space="preserve">For a supplier that is required to monitor for Cryptosporidium </w:t>
      </w:r>
      <w:r w:rsidRPr="001A7517">
        <w:t xml:space="preserve">under </w:t>
      </w:r>
      <w:r w:rsidRPr="001A7517">
        <w:rPr>
          <w:szCs w:val="16"/>
        </w:rPr>
        <w:t xml:space="preserve">Section 611.1001 and </w:t>
      </w:r>
      <w:r w:rsidRPr="001A7517">
        <w:t xml:space="preserve">that </w:t>
      </w:r>
      <w:r w:rsidRPr="001A7517">
        <w:rPr>
          <w:szCs w:val="16"/>
        </w:rPr>
        <w:t>has a Cryptosporidium bin concentration of 3.0 oocysts/ℓ or more, the bin classification is Bin 4</w:t>
      </w:r>
      <w:r w:rsidRPr="001A7517">
        <w:t>.</w:t>
      </w:r>
    </w:p>
    <w:p w14:paraId="2652162A" w14:textId="77777777" w:rsidR="00F0626C" w:rsidRPr="001A7517" w:rsidRDefault="00F0626C" w:rsidP="00F0626C">
      <w:pPr>
        <w:spacing w:before="240"/>
        <w:ind w:left="2160" w:hanging="720"/>
      </w:pPr>
      <w:r w:rsidRPr="001A7517">
        <w:t>5)</w:t>
      </w:r>
      <w:r w:rsidRPr="001A7517">
        <w:tab/>
      </w:r>
      <w:r w:rsidRPr="001A7517">
        <w:rPr>
          <w:szCs w:val="16"/>
        </w:rPr>
        <w:t xml:space="preserve">For a supplier that </w:t>
      </w:r>
      <w:r w:rsidRPr="001A7517">
        <w:t>that serves</w:t>
      </w:r>
      <w:r w:rsidRPr="001A7517">
        <w:rPr>
          <w:szCs w:val="16"/>
        </w:rPr>
        <w:t xml:space="preserve"> fewer than 10,000 people and </w:t>
      </w:r>
      <w:r w:rsidRPr="001A7517">
        <w:t xml:space="preserve">that </w:t>
      </w:r>
      <w:r w:rsidRPr="001A7517">
        <w:rPr>
          <w:szCs w:val="16"/>
        </w:rPr>
        <w:t xml:space="preserve">is not required to monitor for Cryptosporidium </w:t>
      </w:r>
      <w:r w:rsidRPr="001A7517">
        <w:t xml:space="preserve">under </w:t>
      </w:r>
      <w:r w:rsidRPr="001A7517">
        <w:rPr>
          <w:szCs w:val="16"/>
        </w:rPr>
        <w:t>Section 611.1001(a)(4), the bin classification is Bin 1</w:t>
      </w:r>
      <w:r w:rsidRPr="001A7517">
        <w:t>.</w:t>
      </w:r>
    </w:p>
    <w:p w14:paraId="362918D5" w14:textId="77777777" w:rsidR="00F0626C" w:rsidRPr="001A7517" w:rsidRDefault="00F0626C" w:rsidP="00F0626C">
      <w:pPr>
        <w:spacing w:before="240"/>
        <w:ind w:left="2160" w:hanging="720"/>
      </w:pPr>
      <w:r w:rsidRPr="001A7517">
        <w:t>6)</w:t>
      </w:r>
      <w:r w:rsidRPr="001A7517">
        <w:tab/>
      </w:r>
      <w:r w:rsidRPr="001A7517">
        <w:rPr>
          <w:szCs w:val="16"/>
        </w:rPr>
        <w:t>The Cryptosporidium concentration is based on the applicable of the calculations set forth in subsection (a) or (d)</w:t>
      </w:r>
      <w:r w:rsidRPr="001A7517">
        <w:t>.</w:t>
      </w:r>
    </w:p>
    <w:p w14:paraId="61AA7978" w14:textId="77777777" w:rsidR="00F0626C" w:rsidRPr="001A7517" w:rsidRDefault="00F0626C" w:rsidP="00F0626C">
      <w:pPr>
        <w:spacing w:before="240"/>
        <w:ind w:left="1440" w:hanging="720"/>
      </w:pPr>
      <w:r w:rsidRPr="001A7517">
        <w:rPr>
          <w:szCs w:val="16"/>
        </w:rPr>
        <w:t>d)</w:t>
      </w:r>
      <w:r w:rsidRPr="001A7517">
        <w:rPr>
          <w:szCs w:val="16"/>
        </w:rPr>
        <w:tab/>
      </w:r>
      <w:r w:rsidRPr="001A7517">
        <w:t>Following completion of the second round of source water monitoring required under Section 611.1001(b), a filtered system supplier must recalculate its Cryptosporidium bin concentration using the Cryptosporidium results reported under Section 611.1001(b) and following the applicable of the procedures set forth in subsections (b)(1) through (b)(4).  A supplier must then redetermine its bin classification using this bin concentration and subsection (c).</w:t>
      </w:r>
    </w:p>
    <w:p w14:paraId="6402E57B" w14:textId="77777777" w:rsidR="00F0626C" w:rsidRPr="001A7517" w:rsidRDefault="00F0626C" w:rsidP="00F0626C">
      <w:pPr>
        <w:spacing w:before="240"/>
        <w:ind w:left="1440" w:hanging="720"/>
      </w:pPr>
      <w:r w:rsidRPr="001A7517">
        <w:t>e)</w:t>
      </w:r>
      <w:r w:rsidRPr="001A7517">
        <w:tab/>
        <w:t>Reporting the Bin Classification</w:t>
      </w:r>
    </w:p>
    <w:p w14:paraId="5E2A874F" w14:textId="77777777" w:rsidR="00F0626C" w:rsidRPr="001A7517" w:rsidRDefault="00F0626C" w:rsidP="00F0626C">
      <w:pPr>
        <w:spacing w:before="240"/>
        <w:ind w:left="2160" w:hanging="720"/>
      </w:pPr>
      <w:r w:rsidRPr="001A7517">
        <w:t>1)</w:t>
      </w:r>
      <w:r w:rsidRPr="001A7517">
        <w:tab/>
        <w:t>A filtered system supplier must report its initial bin classification under subsection (c) to the Agency for approval no later than six months after the supplier is required to complete initial source water monitoring based on the applicable schedule set forth in Section 611.1001(c).</w:t>
      </w:r>
    </w:p>
    <w:p w14:paraId="2095C38F" w14:textId="77777777" w:rsidR="00F0626C" w:rsidRPr="001A7517" w:rsidRDefault="00F0626C" w:rsidP="00F0626C">
      <w:pPr>
        <w:spacing w:before="240"/>
        <w:ind w:left="2160" w:hanging="720"/>
      </w:pPr>
      <w:r w:rsidRPr="001A7517">
        <w:t>2)</w:t>
      </w:r>
      <w:r w:rsidRPr="001A7517">
        <w:tab/>
        <w:t>A supplier must report its bin classification under subsection (d) to the Agency for approval no later than six months after the supplier is required to complete the second round of source water monitoring based on the applicable schedule set forth in Section 611.1001(c).</w:t>
      </w:r>
    </w:p>
    <w:p w14:paraId="2C7C00F8" w14:textId="77777777" w:rsidR="00F0626C" w:rsidRPr="001A7517" w:rsidRDefault="00F0626C" w:rsidP="00F0626C">
      <w:pPr>
        <w:spacing w:before="240"/>
        <w:ind w:left="2160" w:hanging="720"/>
      </w:pPr>
      <w:r w:rsidRPr="001A7517">
        <w:lastRenderedPageBreak/>
        <w:t>3)</w:t>
      </w:r>
      <w:r w:rsidRPr="001A7517">
        <w:tab/>
        <w:t>The bin classification report to the Agency must include a summary of source water monitoring data and the calculation procedure used to determine bin classification.</w:t>
      </w:r>
    </w:p>
    <w:p w14:paraId="2C3DF087" w14:textId="77777777" w:rsidR="00F0626C" w:rsidRPr="001A7517" w:rsidRDefault="00F0626C" w:rsidP="00F0626C">
      <w:pPr>
        <w:spacing w:before="240"/>
        <w:ind w:left="1440" w:hanging="720"/>
      </w:pPr>
      <w:r w:rsidRPr="001A7517">
        <w:t>f)</w:t>
      </w:r>
      <w:r w:rsidRPr="001A7517">
        <w:tab/>
        <w:t>A failure to comply with the conditions of subsection (e) is a violation of the treatment technique requirement.</w:t>
      </w:r>
    </w:p>
    <w:p w14:paraId="5F413AFD" w14:textId="77777777" w:rsidR="00F0626C" w:rsidRPr="001A7517" w:rsidRDefault="00F0626C" w:rsidP="00F0626C">
      <w:pPr>
        <w:spacing w:before="240"/>
      </w:pPr>
      <w:r w:rsidRPr="001A7517">
        <w:t>BOARD NOTE:  Derived from 40 CFR 141.710.</w:t>
      </w:r>
    </w:p>
    <w:p w14:paraId="6480F4D8"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423DE2C0" w14:textId="77777777" w:rsidR="00F0626C" w:rsidRPr="001A7517" w:rsidRDefault="00F0626C" w:rsidP="00F0626C">
      <w:pPr>
        <w:keepNext/>
        <w:keepLines/>
        <w:suppressAutoHyphens/>
        <w:spacing w:before="240"/>
        <w:rPr>
          <w:b/>
          <w:bCs/>
          <w:szCs w:val="16"/>
        </w:rPr>
      </w:pPr>
      <w:r w:rsidRPr="001A7517">
        <w:rPr>
          <w:b/>
          <w:szCs w:val="16"/>
        </w:rPr>
        <w:t xml:space="preserve">Section </w:t>
      </w:r>
      <w:bookmarkStart w:id="4472" w:name="_Hlk27063102"/>
      <w:r w:rsidRPr="001A7517">
        <w:rPr>
          <w:b/>
          <w:szCs w:val="16"/>
        </w:rPr>
        <w:t>611.1011</w:t>
      </w:r>
      <w:bookmarkEnd w:id="4472"/>
      <w:r w:rsidRPr="001A7517">
        <w:rPr>
          <w:b/>
          <w:szCs w:val="16"/>
        </w:rPr>
        <w:t xml:space="preserve">  Treatment Technique Requirements:  Filtered System Additional </w:t>
      </w:r>
      <w:r w:rsidRPr="001A7517">
        <w:rPr>
          <w:b/>
          <w:bCs/>
          <w:szCs w:val="16"/>
        </w:rPr>
        <w:t>Cryptosporidium Treatment Requirements</w:t>
      </w:r>
    </w:p>
    <w:p w14:paraId="5B30C93F" w14:textId="77777777" w:rsidR="00F0626C" w:rsidRPr="001A7517" w:rsidRDefault="00F0626C" w:rsidP="00F0626C">
      <w:pPr>
        <w:spacing w:before="240"/>
        <w:ind w:left="1440" w:hanging="720"/>
      </w:pPr>
      <w:r w:rsidRPr="001A7517">
        <w:rPr>
          <w:szCs w:val="16"/>
        </w:rPr>
        <w:t>a)</w:t>
      </w:r>
      <w:r w:rsidRPr="001A7517">
        <w:rPr>
          <w:szCs w:val="16"/>
        </w:rPr>
        <w:tab/>
      </w:r>
      <w:r w:rsidRPr="001A7517">
        <w:t>A filtered system supplier must provide the level of additional treatment for Cryptosporidium specified in subsections (a)(1) through (a)(4) based on its bin classification, as determined under Section 611.1010, and according to the applicable schedule set forth in Section 611.1013.</w:t>
      </w:r>
    </w:p>
    <w:p w14:paraId="79A56C7F" w14:textId="77777777" w:rsidR="00F0626C" w:rsidRPr="001A7517" w:rsidRDefault="00F0626C" w:rsidP="00F0626C">
      <w:pPr>
        <w:spacing w:before="240"/>
        <w:ind w:left="2160" w:hanging="720"/>
      </w:pPr>
      <w:r w:rsidRPr="001A7517">
        <w:t>1)</w:t>
      </w:r>
      <w:r w:rsidRPr="001A7517">
        <w:tab/>
      </w:r>
      <w:r w:rsidRPr="001A7517">
        <w:rPr>
          <w:szCs w:val="16"/>
        </w:rPr>
        <w:t xml:space="preserve">If the supplier’s bin classification is Bin 1, and the supplier uses conventional filtration treatment (including softening) in full compliance with the applicable provisions of </w:t>
      </w:r>
      <w:bookmarkStart w:id="4473" w:name="_Hlk14961009"/>
      <w:r w:rsidRPr="001A7517">
        <w:rPr>
          <w:szCs w:val="16"/>
        </w:rPr>
        <w:t>Subparts B, R, and X</w:t>
      </w:r>
      <w:bookmarkEnd w:id="4473"/>
      <w:r w:rsidRPr="001A7517">
        <w:rPr>
          <w:szCs w:val="16"/>
        </w:rPr>
        <w:t>, no additional treatment is required.</w:t>
      </w:r>
    </w:p>
    <w:p w14:paraId="5A403294" w14:textId="77777777" w:rsidR="00F0626C" w:rsidRPr="001A7517" w:rsidRDefault="00F0626C" w:rsidP="00F0626C">
      <w:pPr>
        <w:spacing w:before="240"/>
        <w:ind w:left="2160" w:hanging="720"/>
      </w:pPr>
      <w:r w:rsidRPr="001A7517">
        <w:t>2)</w:t>
      </w:r>
      <w:r w:rsidRPr="001A7517">
        <w:tab/>
      </w:r>
      <w:r w:rsidRPr="001A7517">
        <w:rPr>
          <w:szCs w:val="16"/>
        </w:rPr>
        <w:t>If the supplier’s bin classification is Bin 2, and the supplier uses conventional filtration treatment (including softening) in full compliance with the applicable provisions of Subparts B, R, and X, then the additional Cryptosporidium treatment requirements are a 1-log treatment.</w:t>
      </w:r>
    </w:p>
    <w:p w14:paraId="6BE14E13" w14:textId="77777777" w:rsidR="00F0626C" w:rsidRPr="001A7517" w:rsidRDefault="00F0626C" w:rsidP="00F0626C">
      <w:pPr>
        <w:spacing w:before="240"/>
        <w:ind w:left="2160" w:hanging="720"/>
      </w:pPr>
      <w:r w:rsidRPr="001A7517">
        <w:t>3)</w:t>
      </w:r>
      <w:r w:rsidRPr="001A7517">
        <w:tab/>
      </w:r>
      <w:r w:rsidRPr="001A7517">
        <w:rPr>
          <w:szCs w:val="16"/>
        </w:rPr>
        <w:t>If the supplier’s bin classification is Bin 2, and the supplier uses direct filtration in full compliance with the applicable provisions of Subparts B, R, and X, then the additional Cryptosporidium treatment requirements are a 1.5-log treatment.</w:t>
      </w:r>
    </w:p>
    <w:p w14:paraId="3D7D27D6" w14:textId="77777777" w:rsidR="00F0626C" w:rsidRPr="001A7517" w:rsidRDefault="00F0626C" w:rsidP="00F0626C">
      <w:pPr>
        <w:spacing w:before="240"/>
        <w:ind w:left="2160" w:hanging="720"/>
      </w:pPr>
      <w:r w:rsidRPr="001A7517">
        <w:t>4)</w:t>
      </w:r>
      <w:r w:rsidRPr="001A7517">
        <w:tab/>
      </w:r>
      <w:r w:rsidRPr="001A7517">
        <w:rPr>
          <w:szCs w:val="16"/>
        </w:rPr>
        <w:t>If the supplier’s bin classification is Bin 2, and the supplier uses slow sand or diatomaceous earth filtration in full compliance with the applicable provisions of Subparts B, R, and X, then the additional Cryptosporidium treatment requirements are a 1-log treatment.</w:t>
      </w:r>
    </w:p>
    <w:p w14:paraId="056E1D2E" w14:textId="77777777" w:rsidR="00F0626C" w:rsidRPr="001A7517" w:rsidRDefault="00F0626C" w:rsidP="00F0626C">
      <w:pPr>
        <w:spacing w:before="240"/>
        <w:ind w:left="2160" w:hanging="720"/>
      </w:pPr>
      <w:r w:rsidRPr="001A7517">
        <w:t>5)</w:t>
      </w:r>
      <w:r w:rsidRPr="001A7517">
        <w:tab/>
      </w:r>
      <w:r w:rsidRPr="001A7517">
        <w:rPr>
          <w:szCs w:val="16"/>
        </w:rPr>
        <w:t>If the supplier’s bin classification is Bin 2, and the supplier uses alternative filtration technologies in full compliance with the applicable provisions of Subparts B, R, and X, then the additional Cryptosporidium treatment requirements are as determined by the Agency, by a SEP issued under Section 611.110, such that the total Cryptosporidium removal and inactivation is at least 4.0-log.</w:t>
      </w:r>
    </w:p>
    <w:p w14:paraId="6C62186B" w14:textId="77777777" w:rsidR="00F0626C" w:rsidRPr="001A7517" w:rsidRDefault="00F0626C" w:rsidP="00F0626C">
      <w:pPr>
        <w:spacing w:before="240"/>
        <w:ind w:left="2160" w:hanging="720"/>
      </w:pPr>
      <w:r w:rsidRPr="001A7517">
        <w:lastRenderedPageBreak/>
        <w:t>6)</w:t>
      </w:r>
      <w:r w:rsidRPr="001A7517">
        <w:tab/>
      </w:r>
      <w:r w:rsidRPr="001A7517">
        <w:rPr>
          <w:szCs w:val="16"/>
        </w:rPr>
        <w:t>If the supplier’s bin classification is Bin 3, and the supplier uses conventional filtration treatment (including softening) in full compliance with the applicable provisions of Subparts B, R, and X, then the additional Cryptosporidium treatment requirements are a 2-log treatment.</w:t>
      </w:r>
    </w:p>
    <w:p w14:paraId="0A4FAF3E" w14:textId="77777777" w:rsidR="00F0626C" w:rsidRPr="001A7517" w:rsidRDefault="00F0626C" w:rsidP="00F0626C">
      <w:pPr>
        <w:spacing w:before="240"/>
        <w:ind w:left="2160" w:hanging="720"/>
      </w:pPr>
      <w:r w:rsidRPr="001A7517">
        <w:t>7)</w:t>
      </w:r>
      <w:r w:rsidRPr="001A7517">
        <w:tab/>
      </w:r>
      <w:r w:rsidRPr="001A7517">
        <w:rPr>
          <w:szCs w:val="16"/>
        </w:rPr>
        <w:t>If the supplier’s bin classification is Bin 3, and the supplier uses direct filtration in full compliance with the applicable provisions of Subparts B, R, and X, then the additional Cryptosporidium treatment requirements are a 2.5-log treatment.</w:t>
      </w:r>
    </w:p>
    <w:p w14:paraId="2E02A66E" w14:textId="77777777" w:rsidR="00F0626C" w:rsidRPr="001A7517" w:rsidRDefault="00F0626C" w:rsidP="00F0626C">
      <w:pPr>
        <w:spacing w:before="240"/>
        <w:ind w:left="2160" w:hanging="720"/>
      </w:pPr>
      <w:r w:rsidRPr="001A7517">
        <w:t>8)</w:t>
      </w:r>
      <w:r w:rsidRPr="001A7517">
        <w:tab/>
      </w:r>
      <w:r w:rsidRPr="001A7517">
        <w:rPr>
          <w:szCs w:val="16"/>
        </w:rPr>
        <w:t>If the supplier’s bin classification is Bin 3, and the supplier uses slow sand or diatomaceous earth filtration in full compliance with the applicable provisions of Subparts B, R, and X, then the additional Cryptosporidium treatment requirements are a 2-log treatment.</w:t>
      </w:r>
    </w:p>
    <w:p w14:paraId="36B799AF" w14:textId="77777777" w:rsidR="00F0626C" w:rsidRPr="001A7517" w:rsidRDefault="00F0626C" w:rsidP="00F0626C">
      <w:pPr>
        <w:spacing w:before="240"/>
        <w:ind w:left="2160" w:hanging="720"/>
      </w:pPr>
      <w:r w:rsidRPr="001A7517">
        <w:t>9)</w:t>
      </w:r>
      <w:r w:rsidRPr="001A7517">
        <w:tab/>
      </w:r>
      <w:r w:rsidRPr="001A7517">
        <w:rPr>
          <w:szCs w:val="16"/>
        </w:rPr>
        <w:t>If the supplier’s bin classification is Bin 3, and the supplier uses alternative filtration technologies in full compliance with the applicable provisions of Subparts B, R, and X, then the additional Cryptosporidium treatment requirements are as determined by the Agency, by a SEP, such that the total Cryptosporidium removal and inactivation is at least 5.0-log.</w:t>
      </w:r>
    </w:p>
    <w:p w14:paraId="3C8FB29B" w14:textId="77777777" w:rsidR="00F0626C" w:rsidRPr="001A7517" w:rsidRDefault="00F0626C" w:rsidP="00F0626C">
      <w:pPr>
        <w:spacing w:before="240"/>
        <w:ind w:left="2160" w:hanging="720"/>
      </w:pPr>
      <w:r w:rsidRPr="001A7517">
        <w:t>10)</w:t>
      </w:r>
      <w:r w:rsidRPr="001A7517">
        <w:tab/>
      </w:r>
      <w:r w:rsidRPr="001A7517">
        <w:rPr>
          <w:szCs w:val="16"/>
        </w:rPr>
        <w:t>If the supplier’s bin classification is Bin 4, and the supplier uses conventional filtration treatment (including softening) in full compliance with the applicable provisions of Subparts B, R, and X, then the additional Cryptosporidium treatment requirements are a 2.5-log treatment.</w:t>
      </w:r>
    </w:p>
    <w:p w14:paraId="6FC3AA97" w14:textId="77777777" w:rsidR="00F0626C" w:rsidRPr="001A7517" w:rsidRDefault="00F0626C" w:rsidP="00F0626C">
      <w:pPr>
        <w:spacing w:before="240"/>
        <w:ind w:left="2160" w:hanging="720"/>
      </w:pPr>
      <w:r w:rsidRPr="001A7517">
        <w:t>11)</w:t>
      </w:r>
      <w:r w:rsidRPr="001A7517">
        <w:tab/>
      </w:r>
      <w:r w:rsidRPr="001A7517">
        <w:rPr>
          <w:szCs w:val="16"/>
        </w:rPr>
        <w:t>If the supplier’s bin classification is Bin 4, and the supplier uses direct filtration in full compliance with the applicable provisions of Subparts B, R, and X, then the additional Cryptosporidium treatment requirements are a 3-log treatment.</w:t>
      </w:r>
    </w:p>
    <w:p w14:paraId="40744B3B" w14:textId="77777777" w:rsidR="00F0626C" w:rsidRPr="001A7517" w:rsidRDefault="00F0626C" w:rsidP="00F0626C">
      <w:pPr>
        <w:spacing w:before="240"/>
        <w:ind w:left="2160" w:hanging="720"/>
      </w:pPr>
      <w:r w:rsidRPr="001A7517">
        <w:t>12)</w:t>
      </w:r>
      <w:r w:rsidRPr="001A7517">
        <w:tab/>
      </w:r>
      <w:r w:rsidRPr="001A7517">
        <w:rPr>
          <w:szCs w:val="16"/>
        </w:rPr>
        <w:t>If the supplier’s bin classification is Bin 4, and the supplier uses slow sand or diatomaceous earth filtration in full compliance with the applicable provisions of Subparts B, R, and X, then the additional Cryptosporidium treatment requirements are a 2.5-log treatment.</w:t>
      </w:r>
    </w:p>
    <w:p w14:paraId="4876F152" w14:textId="77777777" w:rsidR="00F0626C" w:rsidRPr="001A7517" w:rsidRDefault="00F0626C" w:rsidP="00F0626C">
      <w:pPr>
        <w:spacing w:before="240"/>
        <w:ind w:left="2160" w:hanging="720"/>
      </w:pPr>
      <w:r w:rsidRPr="001A7517">
        <w:t>13)</w:t>
      </w:r>
      <w:r w:rsidRPr="001A7517">
        <w:tab/>
      </w:r>
      <w:r w:rsidRPr="001A7517">
        <w:rPr>
          <w:szCs w:val="16"/>
        </w:rPr>
        <w:t>If the supplier’s bin classification is Bin 4, and the supplier uses alternative filtration technologies in full compliance with the applicable provisions of Subparts B, R, and X, then the additional Cryptosporidium treatment requirements are as determined by the Agency, by a SEP, such that the total Cryptosporidium removal and inactivation is at least 5.5-log.</w:t>
      </w:r>
    </w:p>
    <w:p w14:paraId="1614BD4B" w14:textId="77777777" w:rsidR="00F0626C" w:rsidRPr="001A7517" w:rsidRDefault="00F0626C" w:rsidP="00F0626C">
      <w:pPr>
        <w:spacing w:before="240"/>
        <w:ind w:left="1440" w:hanging="720"/>
      </w:pPr>
      <w:r w:rsidRPr="001A7517">
        <w:t>b)</w:t>
      </w:r>
      <w:r w:rsidRPr="001A7517">
        <w:tab/>
        <w:t>Required Treatment</w:t>
      </w:r>
    </w:p>
    <w:p w14:paraId="34AEAC4E" w14:textId="77777777" w:rsidR="00F0626C" w:rsidRPr="001A7517" w:rsidRDefault="00F0626C" w:rsidP="00F0626C">
      <w:pPr>
        <w:spacing w:before="240"/>
        <w:ind w:left="2160" w:hanging="720"/>
      </w:pPr>
      <w:r w:rsidRPr="001A7517">
        <w:t>1)</w:t>
      </w:r>
      <w:r w:rsidRPr="001A7517">
        <w:tab/>
        <w:t xml:space="preserve">A filtered system supplier must use one or more of the treatment and management options listed in Section 611.1015, termed the microbial </w:t>
      </w:r>
      <w:r w:rsidRPr="001A7517">
        <w:lastRenderedPageBreak/>
        <w:t>toolbox, to comply with the additional Cryptosporidium treatment required in subsection (a).</w:t>
      </w:r>
    </w:p>
    <w:p w14:paraId="2C14FFCF" w14:textId="77777777" w:rsidR="00F0626C" w:rsidRPr="001A7517" w:rsidRDefault="00F0626C" w:rsidP="00F0626C">
      <w:pPr>
        <w:spacing w:before="240"/>
        <w:ind w:left="2160" w:hanging="720"/>
      </w:pPr>
      <w:r w:rsidRPr="001A7517">
        <w:t>2)</w:t>
      </w:r>
      <w:r w:rsidRPr="001A7517">
        <w:tab/>
        <w:t>A supplier classified in Bin 3 or Bin 4 must achieve at least 1-log of the additional Cryptosporidium treatment required under subsection (a) using either one or a combination of the following: bag filters, bank filtration, cartridge filters, chlorine dioxide, membranes, ozone, or UV, as described in Sections 611.1016 through 611.1020.</w:t>
      </w:r>
    </w:p>
    <w:p w14:paraId="3CA66903" w14:textId="77777777" w:rsidR="00F0626C" w:rsidRPr="001A7517" w:rsidRDefault="00F0626C" w:rsidP="00F0626C">
      <w:pPr>
        <w:spacing w:before="240"/>
        <w:ind w:left="1440" w:hanging="720"/>
      </w:pPr>
      <w:r w:rsidRPr="001A7517">
        <w:t>c)</w:t>
      </w:r>
      <w:r w:rsidRPr="001A7517">
        <w:tab/>
        <w:t>A failure by a supplier in any month to achieve treatment credit by meeting criteria in Sections 611.1016 through 611.1020 for microbial toolbox options that is at least equal to the level of treatment required in subsection (a) is a violation of the treatment technique requirement.</w:t>
      </w:r>
    </w:p>
    <w:p w14:paraId="57177680" w14:textId="77777777" w:rsidR="00F0626C" w:rsidRPr="001A7517" w:rsidRDefault="00F0626C" w:rsidP="00F0626C">
      <w:pPr>
        <w:spacing w:before="240"/>
        <w:ind w:left="1440" w:hanging="720"/>
      </w:pPr>
      <w:r w:rsidRPr="001A7517">
        <w:t>d)</w:t>
      </w:r>
      <w:r w:rsidRPr="001A7517">
        <w:tab/>
        <w:t>If the Agency determines, by a SEP, during a sanitary survey or an equivalent source water assessment that after a supplier completed the monitoring conducted under Section 611.1001(a) or 611.1001(b), significant changes occurred in the supplier’s watershed that could lead to increased contamination of the source water by Cryptosporidium, the supplier must take actions specified by the Agency in the SEP to address the contamination.  These actions may include additional source water monitoring or implementing microbial toolbox options listed in Section 611.1015.</w:t>
      </w:r>
    </w:p>
    <w:p w14:paraId="3A29E13F" w14:textId="77777777" w:rsidR="00F0626C" w:rsidRPr="001A7517" w:rsidRDefault="00F0626C" w:rsidP="00F0626C">
      <w:pPr>
        <w:spacing w:before="240"/>
      </w:pPr>
      <w:r w:rsidRPr="001A7517">
        <w:t>BOARD NOTE:  Derived from 40 CFR 141.711.</w:t>
      </w:r>
    </w:p>
    <w:p w14:paraId="73B2F212"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32FD819E" w14:textId="77777777" w:rsidR="00F0626C" w:rsidRPr="001A7517" w:rsidRDefault="00F0626C" w:rsidP="00F0626C">
      <w:pPr>
        <w:keepNext/>
        <w:keepLines/>
        <w:suppressAutoHyphens/>
        <w:spacing w:before="240"/>
        <w:rPr>
          <w:b/>
          <w:szCs w:val="16"/>
        </w:rPr>
      </w:pPr>
      <w:r w:rsidRPr="001A7517">
        <w:rPr>
          <w:b/>
          <w:szCs w:val="16"/>
        </w:rPr>
        <w:t xml:space="preserve">Section </w:t>
      </w:r>
      <w:bookmarkStart w:id="4474" w:name="_Hlk27063113"/>
      <w:r w:rsidRPr="001A7517">
        <w:rPr>
          <w:b/>
          <w:szCs w:val="16"/>
        </w:rPr>
        <w:t>611.1012</w:t>
      </w:r>
      <w:bookmarkEnd w:id="4474"/>
      <w:r w:rsidRPr="001A7517">
        <w:rPr>
          <w:b/>
          <w:szCs w:val="16"/>
        </w:rPr>
        <w:t xml:space="preserve">  Treatment Technique Requirements:  Unfiltered System Cryptosporidium Treatment Requirements</w:t>
      </w:r>
    </w:p>
    <w:p w14:paraId="42626596" w14:textId="77777777" w:rsidR="00F0626C" w:rsidRPr="001A7517" w:rsidRDefault="00F0626C" w:rsidP="00F0626C">
      <w:pPr>
        <w:spacing w:before="240"/>
        <w:ind w:left="1440" w:hanging="720"/>
      </w:pPr>
      <w:r w:rsidRPr="001A7517">
        <w:rPr>
          <w:szCs w:val="16"/>
        </w:rPr>
        <w:t>a)</w:t>
      </w:r>
      <w:r w:rsidRPr="001A7517">
        <w:rPr>
          <w:szCs w:val="16"/>
        </w:rPr>
        <w:tab/>
      </w:r>
      <w:r w:rsidRPr="001A7517">
        <w:t>Determination of the Mean Cryptosporidium Level</w:t>
      </w:r>
    </w:p>
    <w:p w14:paraId="53E00781" w14:textId="77777777" w:rsidR="00F0626C" w:rsidRPr="001A7517" w:rsidRDefault="00F0626C" w:rsidP="00F0626C">
      <w:pPr>
        <w:spacing w:before="240"/>
        <w:ind w:left="2160" w:hanging="720"/>
      </w:pPr>
      <w:r w:rsidRPr="001A7517">
        <w:t>1)</w:t>
      </w:r>
      <w:r w:rsidRPr="001A7517">
        <w:tab/>
        <w:t>Following completion of the initial source water monitoring required by Section 611.1001(a), an unfiltered system supplier is required to have calculated the arithmetic mean of all Cryptosporidium sample concentrations reported under Section 611.1001(a).  The supplier is required to have reported this value to the Agency for approval no later than six months after the month the supplier is required to have completed initial source water monitoring based on the applicable schedule set forth in Section 611.1001(c).</w:t>
      </w:r>
    </w:p>
    <w:p w14:paraId="548CBBCD" w14:textId="77777777" w:rsidR="00F0626C" w:rsidRPr="001A7517" w:rsidRDefault="00F0626C" w:rsidP="00F0626C">
      <w:pPr>
        <w:spacing w:before="240"/>
        <w:ind w:left="2160" w:hanging="720"/>
      </w:pPr>
      <w:r w:rsidRPr="001A7517">
        <w:t>2)</w:t>
      </w:r>
      <w:r w:rsidRPr="001A7517">
        <w:tab/>
        <w:t xml:space="preserve">Following completion of the second round of source water monitoring required by Section 611.1001(b), an unfiltered system supplier must calculate the arithmetic mean of all Cryptosporidium sample concentrations reported under Section 611.1001(b).  The supplier must report this value to the Agency for approval no later than six months after </w:t>
      </w:r>
      <w:r w:rsidRPr="001A7517">
        <w:lastRenderedPageBreak/>
        <w:t>the month the supplier is required to complete the second round of source water monitoring based on the applicable schedule set forth in Section 611.1001(c).</w:t>
      </w:r>
    </w:p>
    <w:p w14:paraId="360D7C71" w14:textId="77777777" w:rsidR="00F0626C" w:rsidRPr="001A7517" w:rsidRDefault="00F0626C" w:rsidP="00F0626C">
      <w:pPr>
        <w:spacing w:before="240"/>
        <w:ind w:left="2160" w:hanging="720"/>
      </w:pPr>
      <w:r w:rsidRPr="001A7517">
        <w:t>3)</w:t>
      </w:r>
      <w:r w:rsidRPr="001A7517">
        <w:tab/>
        <w:t>If the monthly Cryptosporidium sampling frequency varies, a supplier must first calculate a monthly average for each month of monitoring.  The supplier must then use these monthly average concentrations, rather than individual sample concentrations, in the calculation of the mean Cryptosporidium level in subsection (a)(1) or (a)(2).</w:t>
      </w:r>
    </w:p>
    <w:p w14:paraId="3E6BD424" w14:textId="77777777" w:rsidR="00F0626C" w:rsidRPr="001A7517" w:rsidRDefault="00F0626C" w:rsidP="00F0626C">
      <w:pPr>
        <w:spacing w:before="240"/>
        <w:ind w:left="2160" w:hanging="720"/>
      </w:pPr>
      <w:r w:rsidRPr="001A7517">
        <w:t>4)</w:t>
      </w:r>
      <w:r w:rsidRPr="001A7517">
        <w:tab/>
        <w:t>The report to the Agency of the mean Cryptosporidium levels calculated under subsections (a)(1) and (a)(2) must include a summary of the source water monitoring data used for the calculation.</w:t>
      </w:r>
    </w:p>
    <w:p w14:paraId="49B641CB" w14:textId="77777777" w:rsidR="00F0626C" w:rsidRPr="001A7517" w:rsidRDefault="00F0626C" w:rsidP="00F0626C">
      <w:pPr>
        <w:spacing w:before="240"/>
        <w:ind w:left="2160" w:hanging="720"/>
      </w:pPr>
      <w:r w:rsidRPr="001A7517">
        <w:t>5)</w:t>
      </w:r>
      <w:r w:rsidRPr="001A7517">
        <w:tab/>
        <w:t>A failure to comply with the conditions of subsection (a) is a violation of the treatment technique requirement.</w:t>
      </w:r>
    </w:p>
    <w:p w14:paraId="7006E4FB" w14:textId="77777777" w:rsidR="00F0626C" w:rsidRPr="001A7517" w:rsidRDefault="00F0626C" w:rsidP="00F0626C">
      <w:pPr>
        <w:spacing w:before="240"/>
        <w:ind w:left="1440" w:hanging="720"/>
      </w:pPr>
      <w:r w:rsidRPr="001A7517">
        <w:t>b)</w:t>
      </w:r>
      <w:r w:rsidRPr="001A7517">
        <w:tab/>
        <w:t>Cryptosporidium Inactivation Requirements.  An unfiltered system supplier must provide the level of inactivation for Cryptosporidium specified in this subsection, based on its mean Cryptosporidium levels, as determined under subsection (a) and according to the applicable schedule set forth in Section 611.1013.</w:t>
      </w:r>
    </w:p>
    <w:p w14:paraId="538B6206" w14:textId="77777777" w:rsidR="00F0626C" w:rsidRPr="001A7517" w:rsidRDefault="00F0626C" w:rsidP="00F0626C">
      <w:pPr>
        <w:spacing w:before="240"/>
        <w:ind w:left="2160" w:hanging="720"/>
      </w:pPr>
      <w:r w:rsidRPr="001A7517">
        <w:t>1)</w:t>
      </w:r>
      <w:r w:rsidRPr="001A7517">
        <w:tab/>
        <w:t>An unfiltered system supplier with a mean Cryptosporidium level of 0.01 oocysts/ℓ or less must provide at least 2-log Cryptosporidium inactivation.</w:t>
      </w:r>
    </w:p>
    <w:p w14:paraId="253C6F4D" w14:textId="77777777" w:rsidR="00F0626C" w:rsidRPr="001A7517" w:rsidRDefault="00F0626C" w:rsidP="00F0626C">
      <w:pPr>
        <w:spacing w:before="240"/>
        <w:ind w:left="2160" w:hanging="720"/>
      </w:pPr>
      <w:r w:rsidRPr="001A7517">
        <w:t>2)</w:t>
      </w:r>
      <w:r w:rsidRPr="001A7517">
        <w:tab/>
        <w:t>An unfiltered system supplier with a mean Cryptosporidium level of greater than 0.01 oocysts/ℓ must provide at least 3-log Cryptosporidium inactivation.</w:t>
      </w:r>
    </w:p>
    <w:p w14:paraId="1A869EC3" w14:textId="77777777" w:rsidR="00F0626C" w:rsidRPr="001A7517" w:rsidRDefault="00F0626C" w:rsidP="00F0626C">
      <w:pPr>
        <w:spacing w:before="240"/>
        <w:ind w:left="1440" w:hanging="720"/>
      </w:pPr>
      <w:r w:rsidRPr="001A7517">
        <w:t>c)</w:t>
      </w:r>
      <w:r w:rsidRPr="001A7517">
        <w:tab/>
        <w:t>Inactivation Treatment Technology Requirements.  An unfiltered system supplier must use chlorine dioxide, ozone, or UV, as described in Section 611.1020, to meet the Cryptosporidium inactivation requirements</w:t>
      </w:r>
      <w:r w:rsidRPr="001A7517">
        <w:rPr>
          <w:szCs w:val="18"/>
        </w:rPr>
        <w:t xml:space="preserve"> of this Section</w:t>
      </w:r>
      <w:r w:rsidRPr="001A7517">
        <w:t>.</w:t>
      </w:r>
    </w:p>
    <w:p w14:paraId="398564C0" w14:textId="77777777" w:rsidR="00F0626C" w:rsidRPr="001A7517" w:rsidRDefault="00F0626C" w:rsidP="00F0626C">
      <w:pPr>
        <w:spacing w:before="240"/>
        <w:ind w:left="2160" w:hanging="720"/>
      </w:pPr>
      <w:r w:rsidRPr="001A7517">
        <w:t>1)</w:t>
      </w:r>
      <w:r w:rsidRPr="001A7517">
        <w:tab/>
        <w:t>A supplier that uses chlorine dioxide or ozone and fails to achieve the Cryptosporidium inactivation required in subsection (b) on more than one day in the calendar month is in violation of the treatment technique requirement.</w:t>
      </w:r>
    </w:p>
    <w:p w14:paraId="4D76DF48" w14:textId="77777777" w:rsidR="00F0626C" w:rsidRPr="001A7517" w:rsidRDefault="00F0626C" w:rsidP="00F0626C">
      <w:pPr>
        <w:spacing w:before="240"/>
        <w:ind w:left="2160" w:hanging="720"/>
      </w:pPr>
      <w:r w:rsidRPr="001A7517">
        <w:t>2)</w:t>
      </w:r>
      <w:r w:rsidRPr="001A7517">
        <w:tab/>
        <w:t>A supplier that uses UV light and fails to achieve the Cryptosporidium inactivation required in subsection (b) by meeting the criteria in Section 611.1020(d)(3)(B) is in violation of the treatment technique requirement.</w:t>
      </w:r>
    </w:p>
    <w:p w14:paraId="6460BC93" w14:textId="77777777" w:rsidR="00F0626C" w:rsidRPr="001A7517" w:rsidRDefault="00F0626C" w:rsidP="00F0626C">
      <w:pPr>
        <w:spacing w:before="240"/>
        <w:ind w:left="1440" w:hanging="720"/>
      </w:pPr>
      <w:r w:rsidRPr="001A7517">
        <w:t>d)</w:t>
      </w:r>
      <w:r w:rsidRPr="001A7517">
        <w:tab/>
        <w:t>Use of Two Disinfectants.  An unfiltered system supplier must meet the combined Cryptosporidium inactivation requirements</w:t>
      </w:r>
      <w:r w:rsidRPr="001A7517">
        <w:rPr>
          <w:szCs w:val="18"/>
        </w:rPr>
        <w:t xml:space="preserve"> of this Section</w:t>
      </w:r>
      <w:r w:rsidRPr="001A7517">
        <w:t xml:space="preserve"> and Giardia lamblia and virus inactivation requirements of Section 611.241 using a minimum of two </w:t>
      </w:r>
      <w:r w:rsidRPr="001A7517">
        <w:lastRenderedPageBreak/>
        <w:t>disinfectants, and each of two disinfectants must separately achieve the total inactivation required for any of Cryptosporidium, Giardia lamblia, or viruses.</w:t>
      </w:r>
    </w:p>
    <w:p w14:paraId="6E2F310F" w14:textId="77777777" w:rsidR="00F0626C" w:rsidRPr="001A7517" w:rsidRDefault="00F0626C" w:rsidP="00F0626C">
      <w:pPr>
        <w:spacing w:before="240"/>
      </w:pPr>
      <w:r w:rsidRPr="001A7517">
        <w:t>BOARD NOTE:  Derived from 40 CFR 141.712.</w:t>
      </w:r>
    </w:p>
    <w:p w14:paraId="237A0E9A" w14:textId="07141ED0" w:rsidR="00F0626C"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4626F808" w14:textId="77777777" w:rsidR="00057FFC" w:rsidRPr="003B4362" w:rsidRDefault="00057FFC" w:rsidP="00057FFC">
      <w:pPr>
        <w:rPr>
          <w:b/>
          <w:bCs/>
        </w:rPr>
      </w:pPr>
      <w:r w:rsidRPr="003B4362">
        <w:rPr>
          <w:b/>
          <w:bCs/>
        </w:rPr>
        <w:t xml:space="preserve">Section </w:t>
      </w:r>
      <w:bookmarkStart w:id="4475" w:name="_Hlk27063127"/>
      <w:r w:rsidRPr="003B4362">
        <w:rPr>
          <w:b/>
          <w:bCs/>
        </w:rPr>
        <w:t>611.1013</w:t>
      </w:r>
      <w:bookmarkEnd w:id="4475"/>
      <w:r w:rsidRPr="003B4362">
        <w:rPr>
          <w:b/>
          <w:bCs/>
        </w:rPr>
        <w:t xml:space="preserve">  Treatment Technique Requirements:  Schedule for Compliance with Cryptosporidium Treatment Requirements</w:t>
      </w:r>
    </w:p>
    <w:p w14:paraId="60062618" w14:textId="77777777" w:rsidR="00057FFC" w:rsidRPr="003B4362" w:rsidRDefault="00057FFC" w:rsidP="00057FFC">
      <w:pPr>
        <w:spacing w:before="240"/>
        <w:ind w:left="1440" w:hanging="720"/>
      </w:pPr>
      <w:r w:rsidRPr="003B4362">
        <w:rPr>
          <w:szCs w:val="16"/>
        </w:rPr>
        <w:t>a)</w:t>
      </w:r>
      <w:r w:rsidRPr="003B4362">
        <w:rPr>
          <w:szCs w:val="16"/>
        </w:rPr>
        <w:tab/>
      </w:r>
      <w:r w:rsidRPr="003B4362">
        <w:t>Following initial bin classification under Section 611.1010(c), a filtered system supplier must provide the level of treatment for Cryptosporidium required by Section 611.1011 according to the applicable schedule set forth in subsection (c).</w:t>
      </w:r>
    </w:p>
    <w:p w14:paraId="66F042BB" w14:textId="77777777" w:rsidR="00057FFC" w:rsidRPr="003B4362" w:rsidRDefault="00057FFC" w:rsidP="00057FFC">
      <w:pPr>
        <w:spacing w:before="240"/>
        <w:ind w:left="1440" w:hanging="720"/>
      </w:pPr>
      <w:r w:rsidRPr="003B4362">
        <w:t>b)</w:t>
      </w:r>
      <w:r w:rsidRPr="003B4362">
        <w:tab/>
        <w:t>Following initial determination of the mean Cryptosporidium level under Section 611.1012(a)(1), an unfiltered system supplier must provide the level of treatment for Cryptosporidium required by Section 611.1012 according to the applicable schedule set forth in subsection (c).</w:t>
      </w:r>
    </w:p>
    <w:p w14:paraId="2A3CDBDF" w14:textId="77777777" w:rsidR="00057FFC" w:rsidRPr="003B4362" w:rsidRDefault="00057FFC" w:rsidP="00057FFC">
      <w:pPr>
        <w:spacing w:before="240"/>
        <w:ind w:left="1440" w:hanging="720"/>
      </w:pPr>
      <w:r w:rsidRPr="003B4362">
        <w:t>c)</w:t>
      </w:r>
      <w:r w:rsidRPr="003B4362">
        <w:tab/>
        <w:t>Cryptosporidium Treatment Compliance Dates</w:t>
      </w:r>
    </w:p>
    <w:p w14:paraId="7BCBCEFA" w14:textId="77777777" w:rsidR="00057FFC" w:rsidRPr="003B4362" w:rsidRDefault="00057FFC" w:rsidP="00057FFC">
      <w:pPr>
        <w:spacing w:before="240"/>
        <w:ind w:left="1440"/>
      </w:pPr>
      <w:r w:rsidRPr="003B4362">
        <w:t xml:space="preserve">BOARD NOTE:  The federal compliance dates and possible two-year extension corresponding </w:t>
      </w:r>
      <w:bookmarkStart w:id="4476" w:name="_Hlk37109079"/>
      <w:r w:rsidRPr="003B4362">
        <w:t>40 CFR 141.713(c)</w:t>
      </w:r>
      <w:bookmarkEnd w:id="4476"/>
      <w:r w:rsidRPr="003B4362">
        <w:t xml:space="preserve"> provides are all past dates.  The Board retains the text of subsections (c)(1) through (c)(5) as amended for guidance implementing </w:t>
      </w:r>
      <w:bookmarkStart w:id="4477" w:name="_Hlk37265975"/>
      <w:r w:rsidRPr="003B4362">
        <w:t>the rules under Sections 611.1001(f) and 611.1013(d) and (e)</w:t>
      </w:r>
      <w:bookmarkEnd w:id="4477"/>
      <w:r w:rsidRPr="003B4362">
        <w:t>.</w:t>
      </w:r>
    </w:p>
    <w:p w14:paraId="54D04C46" w14:textId="77777777" w:rsidR="00057FFC" w:rsidRPr="003B4362" w:rsidRDefault="00057FFC" w:rsidP="00057FFC">
      <w:pPr>
        <w:spacing w:before="240"/>
        <w:ind w:left="2160" w:hanging="720"/>
      </w:pPr>
      <w:r w:rsidRPr="003B4362">
        <w:t>1)</w:t>
      </w:r>
      <w:r w:rsidRPr="003B4362">
        <w:tab/>
        <w:t>A supplier serving 100,000 or more persons was required to comply with Cryptosporidium treatment requirements before April 1, 2012.</w:t>
      </w:r>
    </w:p>
    <w:p w14:paraId="560AF238" w14:textId="77777777" w:rsidR="00057FFC" w:rsidRPr="003B4362" w:rsidRDefault="00057FFC" w:rsidP="00057FFC">
      <w:pPr>
        <w:spacing w:before="240"/>
        <w:ind w:left="2160" w:hanging="720"/>
      </w:pPr>
      <w:r w:rsidRPr="003B4362">
        <w:t>2)</w:t>
      </w:r>
      <w:r w:rsidRPr="003B4362">
        <w:tab/>
        <w:t>A supplier serving 50,000 to 99,999 persons was required to comply with Cryptosporidium treatment requirements before October 1, 2012.</w:t>
      </w:r>
    </w:p>
    <w:p w14:paraId="7CFB318C" w14:textId="77777777" w:rsidR="00057FFC" w:rsidRPr="003B4362" w:rsidRDefault="00057FFC" w:rsidP="00057FFC">
      <w:pPr>
        <w:spacing w:before="240"/>
        <w:ind w:left="2160" w:hanging="720"/>
      </w:pPr>
      <w:r w:rsidRPr="003B4362">
        <w:t>3)</w:t>
      </w:r>
      <w:r w:rsidRPr="003B4362">
        <w:tab/>
        <w:t>A supplier serving 10,000 to 49,999 persons was required to comply with Cryptosporidium treatment requirements before October 1, 2013.</w:t>
      </w:r>
    </w:p>
    <w:p w14:paraId="4BA8B494" w14:textId="77777777" w:rsidR="00057FFC" w:rsidRPr="003B4362" w:rsidRDefault="00057FFC" w:rsidP="00057FFC">
      <w:pPr>
        <w:spacing w:before="240"/>
        <w:ind w:left="2160" w:hanging="720"/>
      </w:pPr>
      <w:r w:rsidRPr="003B4362">
        <w:t>4)</w:t>
      </w:r>
      <w:r w:rsidRPr="003B4362">
        <w:tab/>
        <w:t>A supplier serving fewer than 10,000 persons was required to comply with Cryptosporidium treatment requirements before October 1, 2014.</w:t>
      </w:r>
    </w:p>
    <w:p w14:paraId="22248130" w14:textId="77777777" w:rsidR="00057FFC" w:rsidRPr="003B4362" w:rsidRDefault="00057FFC" w:rsidP="00057FFC">
      <w:pPr>
        <w:spacing w:before="240"/>
        <w:ind w:left="2160" w:hanging="720"/>
      </w:pPr>
      <w:r w:rsidRPr="003B4362">
        <w:t>5)</w:t>
      </w:r>
      <w:r w:rsidRPr="003B4362">
        <w:tab/>
        <w:t>The Agency may allow no more than an additional two years for complying with the treatment requirement if it determines that additional time is necessary for the supplier to make capital improvements to implement the treatment.</w:t>
      </w:r>
    </w:p>
    <w:p w14:paraId="6D7CC5BB" w14:textId="77777777" w:rsidR="00057FFC" w:rsidRPr="003B4362" w:rsidRDefault="00057FFC" w:rsidP="00057FFC">
      <w:pPr>
        <w:spacing w:before="240"/>
        <w:ind w:left="1440" w:hanging="720"/>
      </w:pPr>
      <w:r w:rsidRPr="003B4362">
        <w:rPr>
          <w:szCs w:val="16"/>
        </w:rPr>
        <w:t>d)</w:t>
      </w:r>
      <w:r w:rsidRPr="003B4362">
        <w:rPr>
          <w:szCs w:val="16"/>
        </w:rPr>
        <w:tab/>
      </w:r>
      <w:r w:rsidRPr="003B4362">
        <w:t>If the bin classification for a filtered system supplier changes following the second round of source water monitoring, as determined under Section 611.1010(d), the supplier must provide the level of treatment for Cryptosporidium required by Section 611.1011 on a schedule approved by the Agency in a SEP.</w:t>
      </w:r>
    </w:p>
    <w:p w14:paraId="66BA9915" w14:textId="77777777" w:rsidR="00057FFC" w:rsidRPr="003B4362" w:rsidRDefault="00057FFC" w:rsidP="00057FFC">
      <w:pPr>
        <w:spacing w:before="240"/>
        <w:ind w:left="1440" w:hanging="720"/>
      </w:pPr>
      <w:r w:rsidRPr="003B4362">
        <w:lastRenderedPageBreak/>
        <w:t>e)</w:t>
      </w:r>
      <w:r w:rsidRPr="003B4362">
        <w:tab/>
        <w:t>If the mean Cryptosporidium level for an unfiltered system supplier changes following the second round of monitoring, as determined under Section 611.1012(a)(2), and if the supplier must provide a different level of Cryptosporidium treatment under Section 611.1012 due to this change, the supplier must meet this treatment requirement on a schedule approved by the Agency in a SEP.</w:t>
      </w:r>
    </w:p>
    <w:p w14:paraId="1F8FA81A" w14:textId="77777777" w:rsidR="00057FFC" w:rsidRPr="003B4362" w:rsidRDefault="00057FFC" w:rsidP="00057FFC">
      <w:pPr>
        <w:spacing w:before="240"/>
      </w:pPr>
      <w:r w:rsidRPr="003B4362">
        <w:t xml:space="preserve">BOARD NOTE:  </w:t>
      </w:r>
      <w:r w:rsidRPr="003B4362">
        <w:rPr>
          <w:spacing w:val="-3"/>
        </w:rPr>
        <w:t xml:space="preserve">This Section derives </w:t>
      </w:r>
      <w:r w:rsidRPr="003B4362">
        <w:t>from 40 CFR 141.713.</w:t>
      </w:r>
    </w:p>
    <w:p w14:paraId="6530AF61" w14:textId="77777777" w:rsidR="00057FFC" w:rsidRPr="003B4362" w:rsidRDefault="00057FFC" w:rsidP="00057FFC">
      <w:pPr>
        <w:suppressAutoHyphens/>
        <w:spacing w:before="240"/>
        <w:ind w:left="720"/>
      </w:pPr>
      <w:r w:rsidRPr="003B4362">
        <w:t xml:space="preserve">(Source:  Amended at 47 Ill. Reg. </w:t>
      </w:r>
      <w:r>
        <w:t>16486</w:t>
      </w:r>
      <w:r w:rsidRPr="003B4362">
        <w:t xml:space="preserve">, effective </w:t>
      </w:r>
      <w:r>
        <w:t>November 2, 2023</w:t>
      </w:r>
      <w:r w:rsidRPr="003B4362">
        <w:t>)</w:t>
      </w:r>
    </w:p>
    <w:p w14:paraId="375A05A1" w14:textId="77777777" w:rsidR="00F0626C" w:rsidRPr="001A7517" w:rsidRDefault="00F0626C" w:rsidP="00F0626C">
      <w:pPr>
        <w:keepNext/>
        <w:keepLines/>
        <w:suppressAutoHyphens/>
        <w:spacing w:before="240"/>
        <w:rPr>
          <w:b/>
          <w:bCs/>
          <w:szCs w:val="16"/>
        </w:rPr>
      </w:pPr>
      <w:r w:rsidRPr="001A7517">
        <w:rPr>
          <w:b/>
          <w:szCs w:val="16"/>
        </w:rPr>
        <w:t xml:space="preserve">Section 611.1014  Treatment Technique Requirements:  Requirements for Uncovered </w:t>
      </w:r>
      <w:r w:rsidRPr="001A7517">
        <w:rPr>
          <w:b/>
          <w:bCs/>
          <w:szCs w:val="16"/>
        </w:rPr>
        <w:t>Finished Water Storage Facilities</w:t>
      </w:r>
    </w:p>
    <w:p w14:paraId="1396D3A6" w14:textId="77777777" w:rsidR="00F0626C" w:rsidRPr="001A7517" w:rsidRDefault="00F0626C" w:rsidP="00F0626C">
      <w:pPr>
        <w:spacing w:before="240"/>
        <w:ind w:left="1440" w:hanging="720"/>
      </w:pPr>
      <w:r w:rsidRPr="001A7517">
        <w:rPr>
          <w:szCs w:val="16"/>
        </w:rPr>
        <w:t>a)</w:t>
      </w:r>
      <w:r w:rsidRPr="001A7517">
        <w:rPr>
          <w:szCs w:val="16"/>
        </w:rPr>
        <w:tab/>
      </w:r>
      <w:r w:rsidRPr="001A7517">
        <w:t>A supplier that uses uncovered finished water storage facilities must comply with the conditions of this Section.</w:t>
      </w:r>
    </w:p>
    <w:p w14:paraId="1C4238D6" w14:textId="77777777" w:rsidR="00F0626C" w:rsidRPr="001A7517" w:rsidRDefault="00F0626C" w:rsidP="00F0626C">
      <w:pPr>
        <w:spacing w:before="240"/>
        <w:ind w:left="1440" w:hanging="720"/>
      </w:pPr>
      <w:r w:rsidRPr="001A7517">
        <w:t>b)</w:t>
      </w:r>
      <w:r w:rsidRPr="001A7517">
        <w:tab/>
        <w:t>A supplier must notify the Agency in writing of the use of each uncovered finished water storage facility.</w:t>
      </w:r>
    </w:p>
    <w:p w14:paraId="338B1FB1" w14:textId="77777777" w:rsidR="00F0626C" w:rsidRPr="001A7517" w:rsidRDefault="00F0626C" w:rsidP="00F0626C">
      <w:pPr>
        <w:spacing w:before="240"/>
        <w:ind w:left="1440" w:hanging="720"/>
      </w:pPr>
      <w:r w:rsidRPr="001A7517">
        <w:t>c)</w:t>
      </w:r>
      <w:r w:rsidRPr="001A7517">
        <w:tab/>
        <w:t>A supplier must meet either of the following conditions for each uncovered finished water storage facility, or the supplier must comply with an Agency-approved schedule to meet these conditions:</w:t>
      </w:r>
    </w:p>
    <w:p w14:paraId="7B4B9ABF" w14:textId="77777777" w:rsidR="00F0626C" w:rsidRPr="001A7517" w:rsidRDefault="00F0626C" w:rsidP="00F0626C">
      <w:pPr>
        <w:spacing w:before="240"/>
        <w:ind w:left="2160" w:hanging="720"/>
      </w:pPr>
      <w:r w:rsidRPr="001A7517">
        <w:t>1)</w:t>
      </w:r>
      <w:r w:rsidRPr="001A7517">
        <w:tab/>
        <w:t>The supplier must cover any uncovered finished water storage facility; or</w:t>
      </w:r>
    </w:p>
    <w:p w14:paraId="1E7C7C3D" w14:textId="77777777" w:rsidR="00F0626C" w:rsidRPr="001A7517" w:rsidRDefault="00F0626C" w:rsidP="00F0626C">
      <w:pPr>
        <w:spacing w:before="240"/>
        <w:ind w:left="2160" w:hanging="720"/>
      </w:pPr>
      <w:r w:rsidRPr="001A7517">
        <w:t>2)</w:t>
      </w:r>
      <w:r w:rsidRPr="001A7517">
        <w:tab/>
        <w:t>The supplier must treat the discharge from the uncovered finished water storage facility to the distribution system to achieve inactivation or removal of at least 4-log virus, 3-log Giardia lamblia, and 2-log Cryptosporidium using a protocol approved by the Agency.</w:t>
      </w:r>
    </w:p>
    <w:p w14:paraId="28B6E489" w14:textId="77777777" w:rsidR="00F0626C" w:rsidRPr="001A7517" w:rsidRDefault="00F0626C" w:rsidP="00F0626C">
      <w:pPr>
        <w:spacing w:before="240"/>
        <w:ind w:left="1440" w:hanging="720"/>
      </w:pPr>
      <w:r w:rsidRPr="001A7517">
        <w:t>d)</w:t>
      </w:r>
      <w:r w:rsidRPr="001A7517">
        <w:tab/>
        <w:t>A failure to comply with the requirements of this Section is a violation of the treatment technique requirement.</w:t>
      </w:r>
    </w:p>
    <w:p w14:paraId="0B6A3457" w14:textId="77777777" w:rsidR="00F0626C" w:rsidRPr="001A7517" w:rsidRDefault="00F0626C" w:rsidP="00F0626C">
      <w:pPr>
        <w:spacing w:before="240"/>
      </w:pPr>
      <w:r w:rsidRPr="001A7517">
        <w:t>BOARD NOTE:  Derived from 40 CFR 141.714.</w:t>
      </w:r>
    </w:p>
    <w:p w14:paraId="0466958C" w14:textId="3B3E5B6F" w:rsidR="00F0626C"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p w14:paraId="62467C2D" w14:textId="77777777" w:rsidR="00057FFC" w:rsidRDefault="00057FFC" w:rsidP="00F0626C">
      <w:pPr>
        <w:suppressAutoHyphens/>
        <w:spacing w:before="240"/>
        <w:ind w:left="720"/>
      </w:pPr>
    </w:p>
    <w:p w14:paraId="0FB4A90E" w14:textId="77777777" w:rsidR="00057FFC" w:rsidRPr="003B4362" w:rsidRDefault="00057FFC" w:rsidP="00057FFC">
      <w:pPr>
        <w:rPr>
          <w:b/>
          <w:bCs/>
        </w:rPr>
      </w:pPr>
      <w:bookmarkStart w:id="4478" w:name="_Hlk26291688"/>
      <w:r w:rsidRPr="003B4362">
        <w:rPr>
          <w:b/>
          <w:bCs/>
        </w:rPr>
        <w:t xml:space="preserve">Section </w:t>
      </w:r>
      <w:bookmarkStart w:id="4479" w:name="_Hlk27063146"/>
      <w:r w:rsidRPr="003B4362">
        <w:rPr>
          <w:b/>
          <w:bCs/>
        </w:rPr>
        <w:t>611.1015</w:t>
      </w:r>
      <w:bookmarkEnd w:id="4479"/>
      <w:r w:rsidRPr="003B4362">
        <w:rPr>
          <w:b/>
          <w:bCs/>
        </w:rPr>
        <w:t xml:space="preserve">  Requirements for Microbial Toolbox Components:  Microbial Toolbox Options for Meeting Cryptosporidium Treatment Requirements</w:t>
      </w:r>
    </w:p>
    <w:p w14:paraId="20C624D3" w14:textId="77777777" w:rsidR="00057FFC" w:rsidRPr="003B4362" w:rsidRDefault="00057FFC" w:rsidP="00057FFC">
      <w:pPr>
        <w:spacing w:before="240"/>
        <w:ind w:left="1440" w:hanging="720"/>
      </w:pPr>
      <w:r w:rsidRPr="003B4362">
        <w:t>a)</w:t>
      </w:r>
      <w:r w:rsidRPr="003B4362">
        <w:tab/>
        <w:t>Treatment Credits</w:t>
      </w:r>
    </w:p>
    <w:p w14:paraId="6C7F88F8" w14:textId="77777777" w:rsidR="00057FFC" w:rsidRPr="003B4362" w:rsidRDefault="00057FFC" w:rsidP="00057FFC">
      <w:pPr>
        <w:spacing w:before="240"/>
        <w:ind w:left="2160" w:hanging="720"/>
      </w:pPr>
      <w:r w:rsidRPr="003B4362">
        <w:t>1)</w:t>
      </w:r>
      <w:r w:rsidRPr="003B4362">
        <w:tab/>
        <w:t xml:space="preserve">A supplier receives the applicable of the treatment credits set forth in subsection (b) by meeting the conditions for microbial toolbox options </w:t>
      </w:r>
      <w:r w:rsidRPr="003B4362">
        <w:lastRenderedPageBreak/>
        <w:t>described in Sections 611.1016 through 611.1020.  The supplier applies these treatment credits to meet the applicable treatment requirements set forth in Section 611.1011 or Section 611.1012.</w:t>
      </w:r>
    </w:p>
    <w:p w14:paraId="73B67585" w14:textId="77777777" w:rsidR="00057FFC" w:rsidRPr="003B4362" w:rsidRDefault="00057FFC" w:rsidP="00057FFC">
      <w:pPr>
        <w:spacing w:before="240"/>
        <w:ind w:left="2160" w:hanging="720"/>
      </w:pPr>
      <w:r w:rsidRPr="003B4362">
        <w:t>2)</w:t>
      </w:r>
      <w:r w:rsidRPr="003B4362">
        <w:tab/>
        <w:t>An unfiltered system supplier is eligible for treatment credits for the microbial toolbox options described in Section 611.1020 only.</w:t>
      </w:r>
    </w:p>
    <w:p w14:paraId="39C77105" w14:textId="77777777" w:rsidR="00057FFC" w:rsidRPr="003B4362" w:rsidRDefault="00057FFC" w:rsidP="00057FFC">
      <w:pPr>
        <w:spacing w:before="240"/>
        <w:ind w:left="1440" w:hanging="720"/>
      </w:pPr>
      <w:r w:rsidRPr="003B4362">
        <w:t>b)</w:t>
      </w:r>
      <w:r w:rsidRPr="003B4362">
        <w:tab/>
        <w:t>Subsections (b)(1) through (b)(5) summarize options in the microbial toolbox.</w:t>
      </w:r>
    </w:p>
    <w:p w14:paraId="3347907A" w14:textId="77777777" w:rsidR="00057FFC" w:rsidRPr="003B4362" w:rsidRDefault="00057FFC" w:rsidP="00057FFC">
      <w:pPr>
        <w:spacing w:before="240"/>
        <w:ind w:left="2160" w:hanging="720"/>
        <w:rPr>
          <w:szCs w:val="16"/>
        </w:rPr>
      </w:pPr>
      <w:r w:rsidRPr="003B4362">
        <w:rPr>
          <w:szCs w:val="16"/>
        </w:rPr>
        <w:t>1)</w:t>
      </w:r>
      <w:r w:rsidRPr="003B4362">
        <w:rPr>
          <w:szCs w:val="16"/>
        </w:rPr>
        <w:tab/>
        <w:t>Source Protection and Management Toolbox Options</w:t>
      </w:r>
    </w:p>
    <w:p w14:paraId="5B7E72FB" w14:textId="77777777" w:rsidR="00057FFC" w:rsidRPr="003B4362" w:rsidRDefault="00057FFC" w:rsidP="00057FFC">
      <w:pPr>
        <w:spacing w:before="240"/>
        <w:ind w:left="2880" w:hanging="720"/>
        <w:rPr>
          <w:szCs w:val="16"/>
        </w:rPr>
      </w:pPr>
      <w:r w:rsidRPr="003B4362">
        <w:rPr>
          <w:szCs w:val="16"/>
        </w:rPr>
        <w:t>A)</w:t>
      </w:r>
      <w:r w:rsidRPr="003B4362">
        <w:rPr>
          <w:szCs w:val="16"/>
        </w:rPr>
        <w:tab/>
        <w:t xml:space="preserve">Watershed Control Program.  0.5-log credit for </w:t>
      </w:r>
      <w:r w:rsidRPr="003B4362">
        <w:t>Agency</w:t>
      </w:r>
      <w:r w:rsidRPr="003B4362">
        <w:rPr>
          <w:szCs w:val="16"/>
        </w:rPr>
        <w:t xml:space="preserve">-approved program comprising required elements, annual program status report to </w:t>
      </w:r>
      <w:r w:rsidRPr="003B4362">
        <w:t>Agency</w:t>
      </w:r>
      <w:r w:rsidRPr="003B4362">
        <w:rPr>
          <w:szCs w:val="16"/>
        </w:rPr>
        <w:t xml:space="preserve">, and regular watershed survey.  </w:t>
      </w:r>
      <w:r w:rsidRPr="003B4362">
        <w:t>An unfiltered system supplier</w:t>
      </w:r>
      <w:r w:rsidRPr="003B4362">
        <w:rPr>
          <w:szCs w:val="16"/>
        </w:rPr>
        <w:t xml:space="preserve"> </w:t>
      </w:r>
      <w:r w:rsidRPr="003B4362">
        <w:t>is</w:t>
      </w:r>
      <w:r w:rsidRPr="003B4362">
        <w:rPr>
          <w:szCs w:val="16"/>
        </w:rPr>
        <w:t xml:space="preserve"> not eligible for credit.  Specific criteria are set forth in Section 611.1016(a).</w:t>
      </w:r>
    </w:p>
    <w:p w14:paraId="1D0DFF25" w14:textId="77777777" w:rsidR="00057FFC" w:rsidRPr="003B4362" w:rsidRDefault="00057FFC" w:rsidP="00057FFC">
      <w:pPr>
        <w:spacing w:before="240"/>
        <w:ind w:left="2880" w:hanging="720"/>
        <w:rPr>
          <w:szCs w:val="16"/>
        </w:rPr>
      </w:pPr>
      <w:r w:rsidRPr="003B4362">
        <w:rPr>
          <w:szCs w:val="16"/>
        </w:rPr>
        <w:t>B)</w:t>
      </w:r>
      <w:r w:rsidRPr="003B4362">
        <w:rPr>
          <w:szCs w:val="16"/>
        </w:rPr>
        <w:tab/>
        <w:t>Alternative source or intake management:  No prescribed credit.  A supplier may conduct simultaneous monitoring for treatment bin classification at alternative intake locations or under alternative intake management strategies.  Specific criteria are set forth in Section 611.1016(b).</w:t>
      </w:r>
    </w:p>
    <w:p w14:paraId="3D0200DD" w14:textId="77777777" w:rsidR="00057FFC" w:rsidRPr="003B4362" w:rsidRDefault="00057FFC" w:rsidP="00057FFC">
      <w:pPr>
        <w:spacing w:before="240"/>
        <w:ind w:left="2160" w:hanging="720"/>
        <w:rPr>
          <w:szCs w:val="16"/>
        </w:rPr>
      </w:pPr>
      <w:r w:rsidRPr="003B4362">
        <w:rPr>
          <w:szCs w:val="16"/>
        </w:rPr>
        <w:t>2)</w:t>
      </w:r>
      <w:r w:rsidRPr="003B4362">
        <w:rPr>
          <w:szCs w:val="16"/>
        </w:rPr>
        <w:tab/>
        <w:t>Pre-Filtration Toolbox Options</w:t>
      </w:r>
    </w:p>
    <w:p w14:paraId="10E7F0A2" w14:textId="77777777" w:rsidR="00057FFC" w:rsidRPr="003B4362" w:rsidRDefault="00057FFC" w:rsidP="00057FFC">
      <w:pPr>
        <w:spacing w:before="240"/>
        <w:ind w:left="2880" w:hanging="720"/>
        <w:rPr>
          <w:szCs w:val="16"/>
        </w:rPr>
      </w:pPr>
      <w:r w:rsidRPr="003B4362">
        <w:rPr>
          <w:szCs w:val="16"/>
        </w:rPr>
        <w:t>A)</w:t>
      </w:r>
      <w:r w:rsidRPr="003B4362">
        <w:rPr>
          <w:szCs w:val="16"/>
        </w:rPr>
        <w:tab/>
        <w:t>Presedimentation Basin with Coagulation.  0.5-log credit during any month that presedimentation basins achieve a monthly mean reduction of 0.5-log or greater in turbidity or alternative Agency-approved performance criteria.  To be eligible, basins must be operated continuously with coagulant addition and all plant flow must pass through basins.  Specific criteria are set forth in Section 611.1017(a).</w:t>
      </w:r>
    </w:p>
    <w:p w14:paraId="2D07423B" w14:textId="77777777" w:rsidR="00057FFC" w:rsidRPr="003B4362" w:rsidRDefault="00057FFC" w:rsidP="00057FFC">
      <w:pPr>
        <w:spacing w:before="240"/>
        <w:ind w:left="2880" w:hanging="720"/>
        <w:rPr>
          <w:szCs w:val="16"/>
        </w:rPr>
      </w:pPr>
      <w:r w:rsidRPr="003B4362">
        <w:rPr>
          <w:szCs w:val="16"/>
        </w:rPr>
        <w:t>B)</w:t>
      </w:r>
      <w:r w:rsidRPr="003B4362">
        <w:rPr>
          <w:szCs w:val="16"/>
        </w:rPr>
        <w:tab/>
        <w:t xml:space="preserve">Two-stage Lime Softening.  0.5-log credit for two-stage softening </w:t>
      </w:r>
      <w:r w:rsidRPr="003B4362">
        <w:rPr>
          <w:spacing w:val="-3"/>
        </w:rPr>
        <w:t xml:space="preserve">if </w:t>
      </w:r>
      <w:r w:rsidRPr="003B4362">
        <w:rPr>
          <w:szCs w:val="16"/>
        </w:rPr>
        <w:t>chemical addition and hardness precipitation occur in both stages.  All plant flow must pass through both stages.  Single-stage softening is credited as equivalent to conventional treatment.  Specific criteria are set forth in Section 611.1017(b).</w:t>
      </w:r>
    </w:p>
    <w:p w14:paraId="0A84A0F0" w14:textId="77777777" w:rsidR="00057FFC" w:rsidRPr="003B4362" w:rsidRDefault="00057FFC" w:rsidP="00057FFC">
      <w:pPr>
        <w:spacing w:before="240"/>
        <w:ind w:left="2880" w:hanging="720"/>
        <w:rPr>
          <w:szCs w:val="16"/>
        </w:rPr>
      </w:pPr>
      <w:r w:rsidRPr="003B4362">
        <w:rPr>
          <w:szCs w:val="16"/>
        </w:rPr>
        <w:t>C)</w:t>
      </w:r>
      <w:r w:rsidRPr="003B4362">
        <w:rPr>
          <w:szCs w:val="16"/>
        </w:rPr>
        <w:tab/>
        <w:t xml:space="preserve">Bank Filtration.  0.5-log credit for 25-foot setback or 1.0-log credit for 50-foot setback; the aquifer must be unconsolidated sand containing at least </w:t>
      </w:r>
      <w:r w:rsidRPr="003B4362">
        <w:t xml:space="preserve">ten </w:t>
      </w:r>
      <w:r w:rsidRPr="003B4362">
        <w:rPr>
          <w:szCs w:val="16"/>
        </w:rPr>
        <w:t xml:space="preserve">percent fines and average turbidity in the wells must be less than 1 NTU.  A supplier using wells followed by filtration when conducting source water monitoring must sample the well to determine bin classification and </w:t>
      </w:r>
      <w:r w:rsidRPr="003B4362">
        <w:t>is</w:t>
      </w:r>
      <w:r w:rsidRPr="003B4362">
        <w:rPr>
          <w:szCs w:val="16"/>
        </w:rPr>
        <w:t xml:space="preserve"> not eligible </w:t>
      </w:r>
      <w:r w:rsidRPr="003B4362">
        <w:rPr>
          <w:szCs w:val="16"/>
        </w:rPr>
        <w:lastRenderedPageBreak/>
        <w:t>for additional credit.  Specific criteria are set forth in Section 611.1017(c).</w:t>
      </w:r>
    </w:p>
    <w:p w14:paraId="1D1EBFF3" w14:textId="77777777" w:rsidR="00057FFC" w:rsidRPr="003B4362" w:rsidRDefault="00057FFC" w:rsidP="00057FFC">
      <w:pPr>
        <w:spacing w:before="240"/>
        <w:ind w:left="2160" w:hanging="720"/>
        <w:rPr>
          <w:szCs w:val="16"/>
        </w:rPr>
      </w:pPr>
      <w:r w:rsidRPr="003B4362">
        <w:rPr>
          <w:szCs w:val="16"/>
        </w:rPr>
        <w:t>3)</w:t>
      </w:r>
      <w:r w:rsidRPr="003B4362">
        <w:rPr>
          <w:szCs w:val="16"/>
        </w:rPr>
        <w:tab/>
        <w:t>Treatment Performance Toolbox Options</w:t>
      </w:r>
    </w:p>
    <w:p w14:paraId="3FB69FEC" w14:textId="77777777" w:rsidR="00057FFC" w:rsidRPr="003B4362" w:rsidRDefault="00057FFC" w:rsidP="00057FFC">
      <w:pPr>
        <w:spacing w:before="240"/>
        <w:ind w:left="2880" w:hanging="720"/>
        <w:rPr>
          <w:szCs w:val="16"/>
        </w:rPr>
      </w:pPr>
      <w:r w:rsidRPr="003B4362">
        <w:rPr>
          <w:szCs w:val="16"/>
        </w:rPr>
        <w:t>A)</w:t>
      </w:r>
      <w:r w:rsidRPr="003B4362">
        <w:rPr>
          <w:szCs w:val="16"/>
        </w:rPr>
        <w:tab/>
        <w:t>Combined Filter Performance.  0.5-log credit for combined filter effluent turbidity less than or equal to 0.15 NTU in at least 95 percent of measurements each month.  Specific criteria are set forth in Section 611.1018(a).</w:t>
      </w:r>
    </w:p>
    <w:p w14:paraId="5C2207FC" w14:textId="77777777" w:rsidR="00057FFC" w:rsidRPr="003B4362" w:rsidRDefault="00057FFC" w:rsidP="00057FFC">
      <w:pPr>
        <w:spacing w:before="240"/>
        <w:ind w:left="2880" w:hanging="720"/>
        <w:rPr>
          <w:szCs w:val="16"/>
        </w:rPr>
      </w:pPr>
      <w:r w:rsidRPr="003B4362">
        <w:rPr>
          <w:szCs w:val="16"/>
        </w:rPr>
        <w:t>B)</w:t>
      </w:r>
      <w:r w:rsidRPr="003B4362">
        <w:rPr>
          <w:szCs w:val="16"/>
        </w:rPr>
        <w:tab/>
        <w:t>Individual Filter Performance.  0.5-log credit (in addition to 0.5-log combined filter performance credit) if individual filter effluent turbidity is less than or equal to 0.15 NTU in at least 95 percent of samples each month in each filter and is never greater than 0.3 NTU in two consecutive measurements in any filter.  Specific criteria are set forth in Section 611.1018(b).</w:t>
      </w:r>
    </w:p>
    <w:p w14:paraId="209933ED" w14:textId="77777777" w:rsidR="00057FFC" w:rsidRPr="003B4362" w:rsidRDefault="00057FFC" w:rsidP="00057FFC">
      <w:pPr>
        <w:spacing w:before="240"/>
        <w:ind w:left="2880" w:hanging="720"/>
        <w:rPr>
          <w:szCs w:val="16"/>
        </w:rPr>
      </w:pPr>
      <w:r w:rsidRPr="003B4362">
        <w:rPr>
          <w:szCs w:val="16"/>
        </w:rPr>
        <w:t>C)</w:t>
      </w:r>
      <w:r w:rsidRPr="003B4362">
        <w:rPr>
          <w:szCs w:val="16"/>
        </w:rPr>
        <w:tab/>
        <w:t xml:space="preserve">Demonstration of Performance.  Credit awarded to unit process or treatment train based on a demonstration to the Agency with an </w:t>
      </w:r>
      <w:r w:rsidRPr="003B4362">
        <w:t>Agency</w:t>
      </w:r>
      <w:r w:rsidRPr="003B4362">
        <w:rPr>
          <w:szCs w:val="16"/>
        </w:rPr>
        <w:t>-approved protocol.  Specific criteria are set forth in Section 611.1018(c).</w:t>
      </w:r>
    </w:p>
    <w:p w14:paraId="3069DBB9" w14:textId="77777777" w:rsidR="00057FFC" w:rsidRPr="003B4362" w:rsidRDefault="00057FFC" w:rsidP="00057FFC">
      <w:pPr>
        <w:spacing w:before="240"/>
        <w:ind w:left="2160" w:hanging="720"/>
        <w:rPr>
          <w:szCs w:val="16"/>
        </w:rPr>
      </w:pPr>
      <w:r w:rsidRPr="003B4362">
        <w:rPr>
          <w:szCs w:val="16"/>
        </w:rPr>
        <w:t>4)</w:t>
      </w:r>
      <w:r w:rsidRPr="003B4362">
        <w:rPr>
          <w:szCs w:val="16"/>
        </w:rPr>
        <w:tab/>
        <w:t>Additional Filtration Toolbox Options</w:t>
      </w:r>
    </w:p>
    <w:p w14:paraId="681F0CC4" w14:textId="77777777" w:rsidR="00057FFC" w:rsidRPr="003B4362" w:rsidRDefault="00057FFC" w:rsidP="00057FFC">
      <w:pPr>
        <w:spacing w:before="240"/>
        <w:ind w:left="2880" w:hanging="720"/>
        <w:rPr>
          <w:szCs w:val="16"/>
        </w:rPr>
      </w:pPr>
      <w:r w:rsidRPr="003B4362">
        <w:rPr>
          <w:szCs w:val="16"/>
        </w:rPr>
        <w:t>A)</w:t>
      </w:r>
      <w:r w:rsidRPr="003B4362">
        <w:rPr>
          <w:szCs w:val="16"/>
        </w:rPr>
        <w:tab/>
      </w:r>
      <w:bookmarkStart w:id="4480" w:name="_Hlk37150916"/>
      <w:r w:rsidRPr="003B4362">
        <w:rPr>
          <w:szCs w:val="16"/>
        </w:rPr>
        <w:t>Bag or Cartridge Filters (individual filters).</w:t>
      </w:r>
      <w:bookmarkEnd w:id="4480"/>
      <w:r w:rsidRPr="003B4362">
        <w:rPr>
          <w:szCs w:val="16"/>
        </w:rPr>
        <w:t xml:space="preserve">  Up to 2-log credit based on the removal efficiency demonstrated during challenge testing with a 1.0-log factor of safety.  Specific criteria are set forth in Section 611.1019(a).</w:t>
      </w:r>
    </w:p>
    <w:p w14:paraId="0A399CC3" w14:textId="77777777" w:rsidR="00057FFC" w:rsidRPr="003B4362" w:rsidRDefault="00057FFC" w:rsidP="00057FFC">
      <w:pPr>
        <w:spacing w:before="240"/>
        <w:ind w:left="2880" w:hanging="720"/>
        <w:rPr>
          <w:szCs w:val="16"/>
        </w:rPr>
      </w:pPr>
      <w:r w:rsidRPr="003B4362">
        <w:rPr>
          <w:szCs w:val="16"/>
        </w:rPr>
        <w:t>B)</w:t>
      </w:r>
      <w:r w:rsidRPr="003B4362">
        <w:rPr>
          <w:szCs w:val="16"/>
        </w:rPr>
        <w:tab/>
        <w:t>Bag or Cartridge Filters (in series).  Up to 2.5-log credit based on the removal efficiency demonstrated during challenge testing with a 0.5-log factor of safety.  Specific criteria are set forth in Section 611.1019(a).</w:t>
      </w:r>
    </w:p>
    <w:p w14:paraId="5F3FAB59" w14:textId="77777777" w:rsidR="00057FFC" w:rsidRPr="003B4362" w:rsidRDefault="00057FFC" w:rsidP="00057FFC">
      <w:pPr>
        <w:spacing w:before="240"/>
        <w:ind w:left="2880" w:hanging="720"/>
        <w:rPr>
          <w:szCs w:val="16"/>
        </w:rPr>
      </w:pPr>
      <w:r w:rsidRPr="003B4362">
        <w:rPr>
          <w:szCs w:val="16"/>
        </w:rPr>
        <w:t>C)</w:t>
      </w:r>
      <w:r w:rsidRPr="003B4362">
        <w:rPr>
          <w:szCs w:val="16"/>
        </w:rPr>
        <w:tab/>
        <w:t>Membrane Filtration.  Log credit equivalent to removal efficiency demonstrated in challenge test for device if supported by direct integrity testing.  Specific criteria are set forth in Section 611.1019(b).</w:t>
      </w:r>
    </w:p>
    <w:p w14:paraId="289D4C40" w14:textId="77777777" w:rsidR="00057FFC" w:rsidRPr="003B4362" w:rsidRDefault="00057FFC" w:rsidP="00057FFC">
      <w:pPr>
        <w:spacing w:before="240"/>
        <w:ind w:left="2880" w:hanging="720"/>
        <w:rPr>
          <w:szCs w:val="16"/>
        </w:rPr>
      </w:pPr>
      <w:r w:rsidRPr="003B4362">
        <w:rPr>
          <w:szCs w:val="16"/>
        </w:rPr>
        <w:t>D)</w:t>
      </w:r>
      <w:r w:rsidRPr="003B4362">
        <w:rPr>
          <w:szCs w:val="16"/>
        </w:rPr>
        <w:tab/>
        <w:t>Second Stage Filtration.  0.5-log credit for second separate granular media filtration stage if treatment train includes coagulation prior to first filter.  Specific criteria are set forth in Section 611.1019(c).</w:t>
      </w:r>
    </w:p>
    <w:p w14:paraId="358301B3" w14:textId="77777777" w:rsidR="00057FFC" w:rsidRPr="003B4362" w:rsidRDefault="00057FFC" w:rsidP="00057FFC">
      <w:pPr>
        <w:spacing w:before="240"/>
        <w:ind w:left="2880" w:hanging="720"/>
        <w:rPr>
          <w:szCs w:val="16"/>
        </w:rPr>
      </w:pPr>
      <w:r w:rsidRPr="003B4362">
        <w:rPr>
          <w:szCs w:val="16"/>
        </w:rPr>
        <w:t>E)</w:t>
      </w:r>
      <w:r w:rsidRPr="003B4362">
        <w:rPr>
          <w:szCs w:val="16"/>
        </w:rPr>
        <w:tab/>
        <w:t xml:space="preserve">Slow Sand Filters.  2.5-log credit as a secondary filtration step or 3.0-log credit as a primary filtration process.  No prior chlorination </w:t>
      </w:r>
      <w:r w:rsidRPr="003B4362">
        <w:rPr>
          <w:szCs w:val="16"/>
        </w:rPr>
        <w:lastRenderedPageBreak/>
        <w:t>for either option.  Specific criteria are set forth in Section 611.1019(d).</w:t>
      </w:r>
    </w:p>
    <w:p w14:paraId="7DE510AE" w14:textId="77777777" w:rsidR="00057FFC" w:rsidRPr="003B4362" w:rsidRDefault="00057FFC" w:rsidP="00057FFC">
      <w:pPr>
        <w:spacing w:before="240"/>
        <w:ind w:left="2160" w:hanging="720"/>
        <w:rPr>
          <w:szCs w:val="16"/>
        </w:rPr>
      </w:pPr>
      <w:r w:rsidRPr="003B4362">
        <w:rPr>
          <w:szCs w:val="16"/>
        </w:rPr>
        <w:t>5)</w:t>
      </w:r>
      <w:r w:rsidRPr="003B4362">
        <w:rPr>
          <w:szCs w:val="16"/>
        </w:rPr>
        <w:tab/>
        <w:t>Inactivation Toolbox Options</w:t>
      </w:r>
    </w:p>
    <w:p w14:paraId="57BDEF8D" w14:textId="77777777" w:rsidR="00057FFC" w:rsidRPr="003B4362" w:rsidRDefault="00057FFC" w:rsidP="00057FFC">
      <w:pPr>
        <w:spacing w:before="240"/>
        <w:ind w:left="2880" w:hanging="720"/>
        <w:rPr>
          <w:szCs w:val="16"/>
        </w:rPr>
      </w:pPr>
      <w:r w:rsidRPr="003B4362">
        <w:rPr>
          <w:szCs w:val="16"/>
        </w:rPr>
        <w:t>A)</w:t>
      </w:r>
      <w:r w:rsidRPr="003B4362">
        <w:rPr>
          <w:szCs w:val="16"/>
        </w:rPr>
        <w:tab/>
        <w:t>Chlorine Dioxide.  Log credit based on measured CT in relation to CT table.  Specific criteria are set forth in Section 611.1020(b).</w:t>
      </w:r>
    </w:p>
    <w:p w14:paraId="2C9BD64E" w14:textId="77777777" w:rsidR="00057FFC" w:rsidRPr="003B4362" w:rsidRDefault="00057FFC" w:rsidP="00057FFC">
      <w:pPr>
        <w:spacing w:before="240"/>
        <w:ind w:left="2880" w:hanging="720"/>
        <w:rPr>
          <w:szCs w:val="16"/>
        </w:rPr>
      </w:pPr>
      <w:r w:rsidRPr="003B4362">
        <w:rPr>
          <w:szCs w:val="16"/>
        </w:rPr>
        <w:t>B)</w:t>
      </w:r>
      <w:r w:rsidRPr="003B4362">
        <w:rPr>
          <w:szCs w:val="16"/>
        </w:rPr>
        <w:tab/>
        <w:t>Ozone.  Log credit based on measured CT in relation to CT table.  Specific criteria are set forth in Section 611.1020(b).</w:t>
      </w:r>
    </w:p>
    <w:p w14:paraId="71793F41" w14:textId="77777777" w:rsidR="00057FFC" w:rsidRPr="003B4362" w:rsidRDefault="00057FFC" w:rsidP="00057FFC">
      <w:pPr>
        <w:spacing w:before="240"/>
        <w:ind w:left="2880" w:hanging="720"/>
        <w:rPr>
          <w:szCs w:val="16"/>
        </w:rPr>
      </w:pPr>
      <w:r w:rsidRPr="003B4362">
        <w:rPr>
          <w:szCs w:val="16"/>
        </w:rPr>
        <w:t>C)</w:t>
      </w:r>
      <w:r w:rsidRPr="003B4362">
        <w:rPr>
          <w:szCs w:val="16"/>
        </w:rPr>
        <w:tab/>
        <w:t>UV.  Log credit based on validated UV dose in relation to UV dose table; reactor validation testing required to establish UV dose and associated operating conditions.  Specific criteria are set forth in Section 611.1020(d).</w:t>
      </w:r>
    </w:p>
    <w:p w14:paraId="537CA769" w14:textId="77777777" w:rsidR="00057FFC" w:rsidRPr="003B4362" w:rsidRDefault="00057FFC" w:rsidP="00057FFC">
      <w:pPr>
        <w:spacing w:before="240"/>
      </w:pPr>
      <w:r w:rsidRPr="003B4362">
        <w:t xml:space="preserve">BOARD NOTE:  </w:t>
      </w:r>
      <w:r w:rsidRPr="003B4362">
        <w:rPr>
          <w:spacing w:val="-3"/>
        </w:rPr>
        <w:t xml:space="preserve">This Section derives </w:t>
      </w:r>
      <w:r w:rsidRPr="003B4362">
        <w:t>from 40 CFR 141.715.</w:t>
      </w:r>
    </w:p>
    <w:p w14:paraId="702F384A" w14:textId="77777777" w:rsidR="00057FFC" w:rsidRPr="003B4362" w:rsidRDefault="00057FFC" w:rsidP="00057FFC">
      <w:pPr>
        <w:suppressAutoHyphens/>
        <w:spacing w:before="240"/>
        <w:ind w:left="720"/>
      </w:pPr>
      <w:r w:rsidRPr="003B4362">
        <w:t xml:space="preserve">(Source:  Amended at 47 Ill. Reg. </w:t>
      </w:r>
      <w:r>
        <w:t>16486</w:t>
      </w:r>
      <w:r w:rsidRPr="003B4362">
        <w:t xml:space="preserve">, effective </w:t>
      </w:r>
      <w:r>
        <w:t>November 2, 2023</w:t>
      </w:r>
      <w:r w:rsidRPr="003B4362">
        <w:t>)</w:t>
      </w:r>
    </w:p>
    <w:p w14:paraId="5E8F6438" w14:textId="77777777" w:rsidR="00057FFC" w:rsidRPr="003B4362" w:rsidRDefault="00057FFC" w:rsidP="00057FFC">
      <w:pPr>
        <w:suppressAutoHyphens/>
        <w:ind w:left="720"/>
      </w:pPr>
    </w:p>
    <w:bookmarkEnd w:id="4478"/>
    <w:p w14:paraId="756D1BB6" w14:textId="77777777" w:rsidR="00F0626C" w:rsidRPr="001A7517" w:rsidRDefault="00F0626C" w:rsidP="00F0626C">
      <w:pPr>
        <w:keepNext/>
        <w:keepLines/>
        <w:suppressAutoHyphens/>
        <w:spacing w:before="240"/>
        <w:rPr>
          <w:b/>
          <w:bCs/>
          <w:szCs w:val="16"/>
        </w:rPr>
      </w:pPr>
      <w:r w:rsidRPr="001A7517">
        <w:rPr>
          <w:b/>
          <w:szCs w:val="16"/>
        </w:rPr>
        <w:t xml:space="preserve">Section </w:t>
      </w:r>
      <w:bookmarkStart w:id="4481" w:name="_Hlk27063156"/>
      <w:r w:rsidRPr="001A7517">
        <w:rPr>
          <w:b/>
          <w:szCs w:val="16"/>
        </w:rPr>
        <w:t>611.1016</w:t>
      </w:r>
      <w:bookmarkEnd w:id="4481"/>
      <w:r w:rsidRPr="001A7517">
        <w:rPr>
          <w:b/>
          <w:szCs w:val="16"/>
        </w:rPr>
        <w:t xml:space="preserve">  Requirements for Microbial Toolbox Components:  Source Toolbox </w:t>
      </w:r>
      <w:r w:rsidRPr="001A7517">
        <w:rPr>
          <w:b/>
          <w:bCs/>
          <w:szCs w:val="16"/>
        </w:rPr>
        <w:t>Components</w:t>
      </w:r>
    </w:p>
    <w:p w14:paraId="75CD0DAD" w14:textId="77777777" w:rsidR="00F0626C" w:rsidRPr="001A7517" w:rsidRDefault="00F0626C" w:rsidP="00F0626C">
      <w:pPr>
        <w:spacing w:before="240"/>
        <w:ind w:left="1440" w:hanging="720"/>
      </w:pPr>
      <w:r w:rsidRPr="001A7517">
        <w:rPr>
          <w:szCs w:val="16"/>
        </w:rPr>
        <w:t>a)</w:t>
      </w:r>
      <w:r w:rsidRPr="001A7517">
        <w:rPr>
          <w:szCs w:val="16"/>
        </w:rPr>
        <w:tab/>
      </w:r>
      <w:r w:rsidRPr="001A7517">
        <w:t>Watershed Control Program.  A supplier receives 0.5-log Cryptosporidium treatment credit for implementing a watershed control program that meets the requirements of this Section.</w:t>
      </w:r>
    </w:p>
    <w:p w14:paraId="569289BA" w14:textId="77777777" w:rsidR="00F0626C" w:rsidRPr="001A7517" w:rsidRDefault="00F0626C" w:rsidP="00F0626C">
      <w:pPr>
        <w:spacing w:before="240"/>
        <w:ind w:left="2160" w:hanging="720"/>
      </w:pPr>
      <w:r w:rsidRPr="001A7517">
        <w:t>1)</w:t>
      </w:r>
      <w:r w:rsidRPr="001A7517">
        <w:tab/>
        <w:t>A supplier that intends to apply for the watershed control program credit must notify the Agency of its intent no later than two years prior to the treatment compliance date applicable to the supplier in Section 611.1013.</w:t>
      </w:r>
    </w:p>
    <w:p w14:paraId="4EBA835B" w14:textId="77777777" w:rsidR="00F0626C" w:rsidRPr="001A7517" w:rsidRDefault="00F0626C" w:rsidP="00F0626C">
      <w:pPr>
        <w:spacing w:before="240"/>
        <w:ind w:left="2160" w:hanging="720"/>
      </w:pPr>
      <w:r w:rsidRPr="001A7517">
        <w:t>2)</w:t>
      </w:r>
      <w:r w:rsidRPr="001A7517">
        <w:tab/>
        <w:t>A supplier must submit to the Agency a proposed watershed control plan no later than one year before the applicable treatment compliance date in Section 611.1013.  The Agency must approve the watershed control plan for the supplier to receive watershed control program treatment credit.  The watershed control plan must include the following elements:</w:t>
      </w:r>
    </w:p>
    <w:p w14:paraId="644E0B47" w14:textId="77777777" w:rsidR="00F0626C" w:rsidRPr="001A7517" w:rsidRDefault="00F0626C" w:rsidP="00F0626C">
      <w:pPr>
        <w:spacing w:before="240"/>
        <w:ind w:left="2880" w:hanging="720"/>
      </w:pPr>
      <w:r w:rsidRPr="001A7517">
        <w:t>A)</w:t>
      </w:r>
      <w:r w:rsidRPr="001A7517">
        <w:tab/>
        <w:t>Identification of an “area of influence” outside of which the likelihood of Cryptosporidium or fecal contamination affecting the treatment plant intake is not significant.  This is the area to be evaluated in future watershed surveys under subsection (a)(5)(B);</w:t>
      </w:r>
    </w:p>
    <w:p w14:paraId="21139F1A" w14:textId="77777777" w:rsidR="00F0626C" w:rsidRPr="001A7517" w:rsidRDefault="00F0626C" w:rsidP="00F0626C">
      <w:pPr>
        <w:spacing w:before="240"/>
        <w:ind w:left="2880" w:hanging="720"/>
      </w:pPr>
      <w:r w:rsidRPr="001A7517">
        <w:t>B)</w:t>
      </w:r>
      <w:r w:rsidRPr="001A7517">
        <w:tab/>
        <w:t>Identification of both potential and actual sources of Cryptosporidium contamination and an assessment of the relative impact of these sources on the supplier’s source water quality;</w:t>
      </w:r>
    </w:p>
    <w:p w14:paraId="08CB690A" w14:textId="77777777" w:rsidR="00F0626C" w:rsidRPr="001A7517" w:rsidRDefault="00F0626C" w:rsidP="00F0626C">
      <w:pPr>
        <w:spacing w:before="240"/>
        <w:ind w:left="2880" w:hanging="720"/>
      </w:pPr>
      <w:r w:rsidRPr="001A7517">
        <w:lastRenderedPageBreak/>
        <w:t>C)</w:t>
      </w:r>
      <w:r w:rsidRPr="001A7517">
        <w:tab/>
        <w:t>An analysis of the effectiveness and feasibility of control measures that could reduce Cryptosporidium loading from sources of contamination to the supplier’s source water; and</w:t>
      </w:r>
    </w:p>
    <w:p w14:paraId="7E8947C5" w14:textId="77777777" w:rsidR="00F0626C" w:rsidRPr="001A7517" w:rsidRDefault="00F0626C" w:rsidP="00F0626C">
      <w:pPr>
        <w:spacing w:before="240"/>
        <w:ind w:left="2880" w:hanging="720"/>
      </w:pPr>
      <w:r w:rsidRPr="001A7517">
        <w:t>D)</w:t>
      </w:r>
      <w:r w:rsidRPr="001A7517">
        <w:tab/>
        <w:t>A statement of goals and specific actions the supplier will undertake to reduce source water Cryptosporidium levels.  The plan must explain how the actions are expected to contribute to specific goals, identify watershed partners and their roles, identify resource requirements and commitments, and include a schedule for plan implementation with deadlines for completing specific actions identified in the plan.</w:t>
      </w:r>
    </w:p>
    <w:p w14:paraId="73935809" w14:textId="77777777" w:rsidR="00F0626C" w:rsidRPr="001A7517" w:rsidRDefault="00F0626C" w:rsidP="00F0626C">
      <w:pPr>
        <w:spacing w:before="240"/>
        <w:ind w:left="2160" w:hanging="720"/>
      </w:pPr>
      <w:r w:rsidRPr="001A7517">
        <w:t>3)</w:t>
      </w:r>
      <w:r w:rsidRPr="001A7517">
        <w:tab/>
        <w:t>A supplier with an existing watershed control program (i.e., a program in place on January 5, 2006) is eligible to seek this credit.  Its watershed control plans must meet the criteria in subsection (a)(2) and must specify ongoing and future actions that will reduce source water Cryptosporidium levels.</w:t>
      </w:r>
    </w:p>
    <w:p w14:paraId="76A53AB1" w14:textId="77777777" w:rsidR="00F0626C" w:rsidRPr="001A7517" w:rsidRDefault="00F0626C" w:rsidP="00F0626C">
      <w:pPr>
        <w:spacing w:before="240"/>
        <w:ind w:left="2160" w:hanging="720"/>
      </w:pPr>
      <w:r w:rsidRPr="001A7517">
        <w:t>4)</w:t>
      </w:r>
      <w:r w:rsidRPr="001A7517">
        <w:tab/>
        <w:t>If the Agency does not respond to a supplier regarding approval of a watershed control plan submitted under this Section and the supplier meets the other requirements of this Section, the watershed control program will be considered approved and 0.5 log Cryptosporidium treatment credit will be awarded, unless and until the Agency subsequently withdraws such approval by a SEP.</w:t>
      </w:r>
    </w:p>
    <w:p w14:paraId="3BC98805" w14:textId="77777777" w:rsidR="00F0626C" w:rsidRPr="001A7517" w:rsidRDefault="00F0626C" w:rsidP="00F0626C">
      <w:pPr>
        <w:spacing w:before="240"/>
        <w:ind w:left="2160" w:hanging="720"/>
      </w:pPr>
      <w:r w:rsidRPr="001A7517">
        <w:t>5)</w:t>
      </w:r>
      <w:r w:rsidRPr="001A7517">
        <w:tab/>
        <w:t>A supplier must complete each of the following actions to maintain the 0.5-log credit.</w:t>
      </w:r>
    </w:p>
    <w:p w14:paraId="3D73FB10" w14:textId="77777777" w:rsidR="00F0626C" w:rsidRPr="001A7517" w:rsidRDefault="00F0626C" w:rsidP="00F0626C">
      <w:pPr>
        <w:spacing w:before="240"/>
        <w:ind w:left="2880" w:hanging="720"/>
      </w:pPr>
      <w:r w:rsidRPr="001A7517">
        <w:t>A)</w:t>
      </w:r>
      <w:r w:rsidRPr="001A7517">
        <w:tab/>
        <w:t>It must submit an annual watershed control program status report to the Agency.  The annual watershed control program status report must describe the supplier’s implementation of the approved plan and assess the adequacy of the plan to meet its goals.  The report must explain how the supplier is addressing any shortcomings in plan implementation, including those previously identified by the Agency or as the result of the watershed survey conducted under subsection (a)(5)(B).  The report must also describe any significant changes that have occurred in the watershed since the last watershed sanitary survey.  If a supplier determines during implementation that making a significant change to its approved watershed control program is necessary, the supplier must notify the Agency prior to making any such changes.  If any change is likely to reduce the level of source water protection, the supplier must also list in its notification the actions the supplier will take to mitigate this effect;</w:t>
      </w:r>
    </w:p>
    <w:p w14:paraId="25736716" w14:textId="77777777" w:rsidR="00F0626C" w:rsidRPr="001A7517" w:rsidRDefault="00F0626C" w:rsidP="00F0626C">
      <w:pPr>
        <w:spacing w:before="240"/>
        <w:ind w:left="2880" w:hanging="720"/>
      </w:pPr>
      <w:r w:rsidRPr="001A7517">
        <w:lastRenderedPageBreak/>
        <w:t>B)</w:t>
      </w:r>
      <w:r w:rsidRPr="001A7517">
        <w:tab/>
        <w:t>The supplier must undergo a watershed sanitary survey every three years for a CWS supplier and every five years for a non-CWS supplier and submit the survey report to the Agency.  The survey must be conducted according to Agency guidelines and by persons that the Agency approves.</w:t>
      </w:r>
    </w:p>
    <w:p w14:paraId="57467B67" w14:textId="77777777" w:rsidR="00F0626C" w:rsidRPr="001A7517" w:rsidRDefault="00F0626C" w:rsidP="00F0626C">
      <w:pPr>
        <w:spacing w:before="240"/>
        <w:ind w:left="3600" w:hanging="720"/>
      </w:pPr>
      <w:r w:rsidRPr="001A7517">
        <w:t>i)</w:t>
      </w:r>
      <w:r w:rsidRPr="001A7517">
        <w:tab/>
        <w:t>The watershed sanitary survey must meet the following criteria:  it must encompass the region identified in the Agency-approved watershed control plan as the area of influence; assess the implementation of actions to reduce source water Cryptosporidium levels; and identify any significant new sources of Cryptosporidium.</w:t>
      </w:r>
    </w:p>
    <w:p w14:paraId="45F8F20A" w14:textId="77777777" w:rsidR="00F0626C" w:rsidRPr="001A7517" w:rsidRDefault="00F0626C" w:rsidP="00F0626C">
      <w:pPr>
        <w:spacing w:before="240"/>
        <w:ind w:left="3600" w:hanging="720"/>
      </w:pPr>
      <w:r w:rsidRPr="001A7517">
        <w:t>ii)</w:t>
      </w:r>
      <w:r w:rsidRPr="001A7517">
        <w:tab/>
        <w:t>If the Agency determines that significant changes may have occurred in the watershed since the previous watershed sanitary survey, the supplier must undergo another watershed sanitary survey before a date the Agency requires by a SEP, which may be earlier than the regular date in subsection (a)(5)(B); and</w:t>
      </w:r>
    </w:p>
    <w:p w14:paraId="7A6A3861" w14:textId="77777777" w:rsidR="00F0626C" w:rsidRPr="001A7517" w:rsidRDefault="00F0626C" w:rsidP="00F0626C">
      <w:pPr>
        <w:spacing w:before="240"/>
        <w:ind w:left="2880" w:hanging="720"/>
      </w:pPr>
      <w:r w:rsidRPr="001A7517">
        <w:t>C)</w:t>
      </w:r>
      <w:r w:rsidRPr="001A7517">
        <w:tab/>
        <w:t>The supplier must make the watershed control plan, annual status reports, and watershed sanitary survey reports available to the public upon request.  These documents must be in a plain language style and include criteria by which to evaluate the success of the program in achieving plan goals.  The Agency may, by a SEP, approve that a supplier withhold from the public portions of the annual status report, watershed control plan, and watershed sanitary survey based on water supply security considerations.</w:t>
      </w:r>
    </w:p>
    <w:p w14:paraId="5801DDC5" w14:textId="77777777" w:rsidR="00F0626C" w:rsidRPr="001A7517" w:rsidRDefault="00F0626C" w:rsidP="00F0626C">
      <w:pPr>
        <w:spacing w:before="240"/>
        <w:ind w:left="2160" w:hanging="720"/>
      </w:pPr>
      <w:r w:rsidRPr="001A7517">
        <w:t>6)</w:t>
      </w:r>
      <w:r w:rsidRPr="001A7517">
        <w:tab/>
        <w:t>If the Agency determines that a supplier is not carrying out the approved watershed control plan, the Agency may, by a SEP, withdraw the watershed control program treatment credit.</w:t>
      </w:r>
    </w:p>
    <w:p w14:paraId="5AA5A435" w14:textId="77777777" w:rsidR="00F0626C" w:rsidRPr="001A7517" w:rsidRDefault="00F0626C" w:rsidP="00F0626C">
      <w:pPr>
        <w:spacing w:before="240"/>
        <w:ind w:left="1440" w:hanging="720"/>
      </w:pPr>
      <w:r w:rsidRPr="001A7517">
        <w:t>b)</w:t>
      </w:r>
      <w:r w:rsidRPr="001A7517">
        <w:tab/>
        <w:t>Alternative Source</w:t>
      </w:r>
    </w:p>
    <w:p w14:paraId="1F9976B3" w14:textId="77777777" w:rsidR="00F0626C" w:rsidRPr="001A7517" w:rsidRDefault="00F0626C" w:rsidP="00F0626C">
      <w:pPr>
        <w:spacing w:before="240"/>
        <w:ind w:left="2160" w:hanging="720"/>
      </w:pPr>
      <w:r w:rsidRPr="001A7517">
        <w:t>1)</w:t>
      </w:r>
      <w:r w:rsidRPr="001A7517">
        <w:tab/>
        <w:t>A supplier may conduct source water monitoring that reflects a different intake location (either in the same source or for an alternate source) or a different procedure for the timing or level of withdrawal from the source (alternative source monitoring).  If the Agency approves by a SEP, a supplier may determine its bin classification under Section 611.1010 based on the alternative source monitoring results.</w:t>
      </w:r>
    </w:p>
    <w:p w14:paraId="5D6B64A7" w14:textId="77777777" w:rsidR="00F0626C" w:rsidRPr="001A7517" w:rsidRDefault="00F0626C" w:rsidP="00F0626C">
      <w:pPr>
        <w:spacing w:before="240"/>
        <w:ind w:left="2160" w:hanging="720"/>
      </w:pPr>
      <w:r w:rsidRPr="001A7517">
        <w:t>2)</w:t>
      </w:r>
      <w:r w:rsidRPr="001A7517">
        <w:tab/>
        <w:t>If a supplier conducts alternative source monitoring under subsection (b)(1), it must also monitor their current plant intake concurrently as described in Section 611.1001.</w:t>
      </w:r>
    </w:p>
    <w:p w14:paraId="7C013A46" w14:textId="77777777" w:rsidR="00F0626C" w:rsidRPr="001A7517" w:rsidRDefault="00F0626C" w:rsidP="00F0626C">
      <w:pPr>
        <w:spacing w:before="240"/>
        <w:ind w:left="2160" w:hanging="720"/>
      </w:pPr>
      <w:r w:rsidRPr="001A7517">
        <w:lastRenderedPageBreak/>
        <w:t>3)</w:t>
      </w:r>
      <w:r w:rsidRPr="001A7517">
        <w:tab/>
        <w:t>Alternative source monitoring under subsection (b)(1) must meet the requirements for source monitoring to determine bin classification, as described in Sections 611.1001 through 611.1006.  A supplier must report the alternative source monitoring results to the Agency, along with supporting information documenting the operating conditions under which the samples were collected.</w:t>
      </w:r>
    </w:p>
    <w:p w14:paraId="562586F0" w14:textId="77777777" w:rsidR="00F0626C" w:rsidRPr="001A7517" w:rsidRDefault="00F0626C" w:rsidP="00F0626C">
      <w:pPr>
        <w:spacing w:before="240"/>
        <w:ind w:left="2160" w:hanging="720"/>
      </w:pPr>
      <w:r w:rsidRPr="001A7517">
        <w:t>4)</w:t>
      </w:r>
      <w:r w:rsidRPr="001A7517">
        <w:tab/>
        <w:t>If a supplier determines its bin classification under Section 611.1010 using alternative source monitoring results that reflect a different intake location or a different procedure for managing the timing or level of withdrawal from the source, the supplier must relocate the intake or permanently adopt the withdrawal procedure, as applicable, no later than the applicable treatment compliance date in Section 611.1013.</w:t>
      </w:r>
    </w:p>
    <w:p w14:paraId="78B69A99" w14:textId="77777777" w:rsidR="00F0626C" w:rsidRPr="001A7517" w:rsidRDefault="00F0626C" w:rsidP="00F0626C">
      <w:pPr>
        <w:spacing w:before="240"/>
      </w:pPr>
      <w:r w:rsidRPr="001A7517">
        <w:t>BOARD NOTE:  Derived from 40 CFR 141.716.</w:t>
      </w:r>
    </w:p>
    <w:p w14:paraId="1055D1A0"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4757AC49" w14:textId="77777777" w:rsidR="00F0626C" w:rsidRPr="001A7517" w:rsidRDefault="00F0626C" w:rsidP="00F0626C">
      <w:pPr>
        <w:keepNext/>
        <w:keepLines/>
        <w:suppressAutoHyphens/>
        <w:spacing w:before="240"/>
        <w:rPr>
          <w:b/>
          <w:bCs/>
          <w:szCs w:val="16"/>
        </w:rPr>
      </w:pPr>
      <w:r w:rsidRPr="001A7517">
        <w:rPr>
          <w:b/>
          <w:szCs w:val="16"/>
        </w:rPr>
        <w:t xml:space="preserve">Section </w:t>
      </w:r>
      <w:bookmarkStart w:id="4482" w:name="_Hlk27063166"/>
      <w:r w:rsidRPr="001A7517">
        <w:rPr>
          <w:b/>
          <w:szCs w:val="16"/>
        </w:rPr>
        <w:t>611.1017</w:t>
      </w:r>
      <w:bookmarkEnd w:id="4482"/>
      <w:r w:rsidRPr="001A7517">
        <w:rPr>
          <w:b/>
          <w:szCs w:val="16"/>
        </w:rPr>
        <w:t xml:space="preserve">  Requirements for Microbial Toolbox Components:  Pre-Filtration </w:t>
      </w:r>
      <w:r w:rsidRPr="001A7517">
        <w:rPr>
          <w:b/>
          <w:bCs/>
          <w:szCs w:val="16"/>
        </w:rPr>
        <w:t>Treatment Toolbox Components</w:t>
      </w:r>
    </w:p>
    <w:p w14:paraId="0979391A" w14:textId="77777777" w:rsidR="00F0626C" w:rsidRPr="001A7517" w:rsidRDefault="00F0626C" w:rsidP="00F0626C">
      <w:pPr>
        <w:spacing w:before="240"/>
        <w:ind w:left="1440" w:hanging="720"/>
      </w:pPr>
      <w:r w:rsidRPr="001A7517">
        <w:rPr>
          <w:szCs w:val="16"/>
        </w:rPr>
        <w:t>a)</w:t>
      </w:r>
      <w:r w:rsidRPr="001A7517">
        <w:rPr>
          <w:szCs w:val="16"/>
        </w:rPr>
        <w:tab/>
      </w:r>
      <w:r w:rsidRPr="001A7517">
        <w:t>Presedimentation.  A supplier receives 0.5-log Cryptosporidium treatment credit for a presedimentation basin during any month the process meets the criteria in this subsection (a).</w:t>
      </w:r>
    </w:p>
    <w:p w14:paraId="0A903FFD" w14:textId="77777777" w:rsidR="00F0626C" w:rsidRPr="001A7517" w:rsidRDefault="00F0626C" w:rsidP="00F0626C">
      <w:pPr>
        <w:spacing w:before="240"/>
        <w:ind w:left="2160" w:hanging="720"/>
      </w:pPr>
      <w:r w:rsidRPr="001A7517">
        <w:t>1)</w:t>
      </w:r>
      <w:r w:rsidRPr="001A7517">
        <w:tab/>
        <w:t>The presedimentation basin must be in continuous operation and must treat the entire plant flow taken from a surface water or groundwater under the direct influent of surface water source.</w:t>
      </w:r>
    </w:p>
    <w:p w14:paraId="5AF38076" w14:textId="77777777" w:rsidR="00F0626C" w:rsidRPr="001A7517" w:rsidRDefault="00F0626C" w:rsidP="00F0626C">
      <w:pPr>
        <w:spacing w:before="240"/>
        <w:ind w:left="2160" w:hanging="720"/>
      </w:pPr>
      <w:r w:rsidRPr="001A7517">
        <w:t>2)</w:t>
      </w:r>
      <w:r w:rsidRPr="001A7517">
        <w:tab/>
        <w:t>The supplier must continuously add a coagulant to the presedimentation basin.</w:t>
      </w:r>
    </w:p>
    <w:p w14:paraId="4A940782" w14:textId="77777777" w:rsidR="00F0626C" w:rsidRPr="001A7517" w:rsidRDefault="00F0626C" w:rsidP="00F0626C">
      <w:pPr>
        <w:spacing w:before="240"/>
        <w:ind w:left="2160" w:hanging="720"/>
      </w:pPr>
      <w:r w:rsidRPr="001A7517">
        <w:t>3)</w:t>
      </w:r>
      <w:r w:rsidRPr="001A7517">
        <w:tab/>
        <w:t>The presedimentation basin must achieve both of the following performance criteria:</w:t>
      </w:r>
    </w:p>
    <w:p w14:paraId="2BF0DB7F" w14:textId="77777777" w:rsidR="00F0626C" w:rsidRPr="001A7517" w:rsidRDefault="00F0626C" w:rsidP="00F0626C">
      <w:pPr>
        <w:spacing w:before="240"/>
        <w:ind w:left="2880" w:hanging="720"/>
      </w:pPr>
      <w:r w:rsidRPr="001A7517">
        <w:t>A)</w:t>
      </w:r>
      <w:r w:rsidRPr="001A7517">
        <w:tab/>
        <w:t xml:space="preserve">It demonstrates at least 0.5-log mean reduction of influent turbidity.  This reduction must be determined using daily turbidity measurements in the presedimentation process influent and effluent, and it must be calculated as follows:  </w:t>
      </w:r>
      <w:bookmarkStart w:id="4483" w:name="_Hlk37151287"/>
      <w:r w:rsidRPr="001A7517">
        <w:t>log</w:t>
      </w:r>
      <w:r w:rsidRPr="001A7517">
        <w:rPr>
          <w:szCs w:val="12"/>
          <w:vertAlign w:val="subscript"/>
        </w:rPr>
        <w:t>10</w:t>
      </w:r>
      <w:r w:rsidRPr="001A7517">
        <w:t>(monthly mean of daily influent turbidity) - log</w:t>
      </w:r>
      <w:r w:rsidRPr="001A7517">
        <w:rPr>
          <w:szCs w:val="12"/>
          <w:vertAlign w:val="subscript"/>
        </w:rPr>
        <w:t>10</w:t>
      </w:r>
      <w:r w:rsidRPr="001A7517">
        <w:t>(monthly mean of daily effluent turbidity)</w:t>
      </w:r>
      <w:bookmarkEnd w:id="4483"/>
      <w:r w:rsidRPr="001A7517">
        <w:t>; and</w:t>
      </w:r>
    </w:p>
    <w:p w14:paraId="522165BC" w14:textId="77777777" w:rsidR="00F0626C" w:rsidRPr="001A7517" w:rsidRDefault="00F0626C" w:rsidP="00F0626C">
      <w:pPr>
        <w:spacing w:before="240"/>
        <w:ind w:left="2880" w:hanging="720"/>
      </w:pPr>
      <w:r w:rsidRPr="001A7517">
        <w:t>B)</w:t>
      </w:r>
      <w:r w:rsidRPr="001A7517">
        <w:tab/>
        <w:t>It complies with Agency-approved performance criteria that demonstrate at least 0.5-log mean removal of micronsized particulate material through the presedimentation process.</w:t>
      </w:r>
    </w:p>
    <w:p w14:paraId="6648CBE4" w14:textId="77777777" w:rsidR="00F0626C" w:rsidRPr="001A7517" w:rsidRDefault="00F0626C" w:rsidP="00F0626C">
      <w:pPr>
        <w:spacing w:before="240"/>
        <w:ind w:left="1440" w:hanging="720"/>
      </w:pPr>
      <w:r w:rsidRPr="001A7517">
        <w:lastRenderedPageBreak/>
        <w:t>b)</w:t>
      </w:r>
      <w:r w:rsidRPr="001A7517">
        <w:tab/>
        <w:t>Two-Stage Lime Softening.  A supplier receives an additional 0.5-log Cryptosporidium treatment credit for a two-stage lime softening plant if chemical addition and hardness precipitation occur in two separate and sequential softening stages prior to filtration.  Both softening stages must treat the entire plant flow taken from a surface water or groundwater under the direct influent of surface water source.</w:t>
      </w:r>
    </w:p>
    <w:p w14:paraId="11C2C791" w14:textId="77777777" w:rsidR="00F0626C" w:rsidRPr="001A7517" w:rsidRDefault="00F0626C" w:rsidP="00F0626C">
      <w:pPr>
        <w:spacing w:before="240"/>
        <w:ind w:left="1440" w:hanging="720"/>
      </w:pPr>
      <w:r w:rsidRPr="001A7517">
        <w:t>c)</w:t>
      </w:r>
      <w:r w:rsidRPr="001A7517">
        <w:tab/>
        <w:t>Bank Filtration.  A supplier receives Cryptosporidium treatment credit for bank filtration that serves as pretreatment to a filtration plant by meeting the criteria in this subsection (c).  A supplier using bank filtration when it begins source water monitoring under Section 611.1001(a) must collect samples as described in Section 611.1003(d), and it is not eligible for this credit.</w:t>
      </w:r>
    </w:p>
    <w:p w14:paraId="786EC211" w14:textId="77777777" w:rsidR="00F0626C" w:rsidRPr="001A7517" w:rsidRDefault="00F0626C" w:rsidP="00F0626C">
      <w:pPr>
        <w:spacing w:before="240"/>
        <w:ind w:left="2160" w:hanging="720"/>
      </w:pPr>
      <w:r w:rsidRPr="001A7517">
        <w:t>1)</w:t>
      </w:r>
      <w:r w:rsidRPr="001A7517">
        <w:tab/>
        <w:t>A well with a groundwater flow path of at least 25 feet receives 0.5-log treatment credit, or a well with a groundwater flow path of at least 50 feet receives 1.0-log treatment credit.  The groundwater flow path must be determined as specified in subsection (c)(4).</w:t>
      </w:r>
    </w:p>
    <w:p w14:paraId="4C17EF73" w14:textId="77777777" w:rsidR="00F0626C" w:rsidRPr="001A7517" w:rsidRDefault="00F0626C" w:rsidP="00F0626C">
      <w:pPr>
        <w:spacing w:before="240"/>
        <w:ind w:left="2160" w:hanging="720"/>
      </w:pPr>
      <w:r w:rsidRPr="001A7517">
        <w:t>2)</w:t>
      </w:r>
      <w:r w:rsidRPr="001A7517">
        <w:tab/>
        <w:t>Only a well in granular aquifers is eligible for treatment credit.  A granular aquifer is one comprised of sand, clay, silt, rock fragments, pebbles or larger particles, and minor cement.  A supplier must characterize the aquifer at the well site to determine aquifer properties.  A supplier must extract a core from the aquifer and demonstrate that in at least 90 percent of the core length, grains less than 1.0 mm in diameter constitute at least ten percent of the core material.</w:t>
      </w:r>
    </w:p>
    <w:p w14:paraId="4D49F08F" w14:textId="77777777" w:rsidR="00F0626C" w:rsidRPr="001A7517" w:rsidRDefault="00F0626C" w:rsidP="00F0626C">
      <w:pPr>
        <w:spacing w:before="240"/>
        <w:ind w:left="2160" w:hanging="720"/>
      </w:pPr>
      <w:r w:rsidRPr="001A7517">
        <w:t>3)</w:t>
      </w:r>
      <w:r w:rsidRPr="001A7517">
        <w:tab/>
        <w:t>Only a horizontal or vertical well is eligible for treatment credit.</w:t>
      </w:r>
    </w:p>
    <w:p w14:paraId="289E795D" w14:textId="77777777" w:rsidR="00F0626C" w:rsidRPr="001A7517" w:rsidRDefault="00F0626C" w:rsidP="00F0626C">
      <w:pPr>
        <w:spacing w:before="240"/>
        <w:ind w:left="2160" w:hanging="720"/>
      </w:pPr>
      <w:r w:rsidRPr="001A7517">
        <w:t>4)</w:t>
      </w:r>
      <w:r w:rsidRPr="001A7517">
        <w:tab/>
        <w:t>For a vertical well, the groundwater flow path is the measured distance from the edge of the surface water body under high flow conditions (determined by the 100 year floodplain elevation boundary or by the floodway, as defined in Federal Emergency Management Agency flood hazard maps) to the well screen.  For a horizontal well, the groundwater flow path is the measured distance from the bed of the river under normal flow conditions to the closest horizontal well lateral screen.</w:t>
      </w:r>
    </w:p>
    <w:p w14:paraId="62A2AF56" w14:textId="77777777" w:rsidR="00F0626C" w:rsidRPr="001A7517" w:rsidRDefault="00F0626C" w:rsidP="00F0626C">
      <w:pPr>
        <w:spacing w:before="240"/>
        <w:ind w:left="2160" w:hanging="720"/>
      </w:pPr>
      <w:r w:rsidRPr="001A7517">
        <w:t>5)</w:t>
      </w:r>
      <w:r w:rsidRPr="001A7517">
        <w:tab/>
        <w:t>The supplier must monitor each wellhead for turbidity at least once every four hours while the bank filtration process is in operation.  If monthly average turbidity levels, based on daily maximum values in the well, exceed 1 NTU, the supplier must report this result to the Agency and conduct an assessment within 30 days to determine the cause of the high turbidity levels in the well.  If the Agency determines that microbial removal has been compromised, it may, by a SEP, revoke treatment credit until the supplier implements corrective actions approved by the Agency to remediate the problem.</w:t>
      </w:r>
    </w:p>
    <w:p w14:paraId="162D6C2F" w14:textId="77777777" w:rsidR="00F0626C" w:rsidRPr="001A7517" w:rsidRDefault="00F0626C" w:rsidP="00F0626C">
      <w:pPr>
        <w:spacing w:before="240"/>
        <w:ind w:left="2160" w:hanging="720"/>
      </w:pPr>
      <w:r w:rsidRPr="001A7517">
        <w:lastRenderedPageBreak/>
        <w:t>6)</w:t>
      </w:r>
      <w:r w:rsidRPr="001A7517">
        <w:tab/>
        <w:t>Springs and infiltration galleries are not eligible for treatment credit under this Section, but are eligible for credit under Section 611.1018(c).</w:t>
      </w:r>
    </w:p>
    <w:p w14:paraId="679BF6CD" w14:textId="77777777" w:rsidR="00F0626C" w:rsidRPr="001A7517" w:rsidRDefault="00F0626C" w:rsidP="00F0626C">
      <w:pPr>
        <w:spacing w:before="240"/>
        <w:ind w:left="2160" w:hanging="720"/>
      </w:pPr>
      <w:r w:rsidRPr="001A7517">
        <w:t>7)</w:t>
      </w:r>
      <w:r w:rsidRPr="001A7517">
        <w:tab/>
        <w:t>Bank Filtration Demonstration of Performance.  The Agency may, by a SEP, approve Cryptosporidium treatment credit for bank filtration based on a demonstration of performance study that meets the criteria in this subsection.  This treatment credit may be greater than 1.0-log and may be awarded to bank filtration that does not meet the criteria in subsections (c)(1) through (c)(5).</w:t>
      </w:r>
    </w:p>
    <w:p w14:paraId="65580B5C" w14:textId="77777777" w:rsidR="00F0626C" w:rsidRPr="001A7517" w:rsidRDefault="00F0626C" w:rsidP="00F0626C">
      <w:pPr>
        <w:spacing w:before="240"/>
        <w:ind w:left="2880" w:hanging="720"/>
      </w:pPr>
      <w:r w:rsidRPr="001A7517">
        <w:t>A)</w:t>
      </w:r>
      <w:r w:rsidRPr="001A7517">
        <w:tab/>
        <w:t>The study must follow an Agency-approved protocol and must involve the collection of data on the removal of Cryptosporidium or a surrogate for Cryptosporidium and related hydrogeologic and water quality parameters during the full range of operating conditions.</w:t>
      </w:r>
    </w:p>
    <w:p w14:paraId="7DB8B00B" w14:textId="77777777" w:rsidR="00F0626C" w:rsidRPr="001A7517" w:rsidRDefault="00F0626C" w:rsidP="00F0626C">
      <w:pPr>
        <w:spacing w:before="240"/>
        <w:ind w:left="2880" w:hanging="720"/>
      </w:pPr>
      <w:r w:rsidRPr="001A7517">
        <w:t>B)</w:t>
      </w:r>
      <w:r w:rsidRPr="001A7517">
        <w:tab/>
        <w:t>The study must include sampling both from the production wells and from monitoring wells that are screened and located along the shortest flow path between the surface water source and the production wells.</w:t>
      </w:r>
    </w:p>
    <w:p w14:paraId="31469E38" w14:textId="77777777" w:rsidR="00F0626C" w:rsidRPr="001A7517" w:rsidRDefault="00F0626C" w:rsidP="00F0626C">
      <w:pPr>
        <w:spacing w:before="240"/>
      </w:pPr>
      <w:r w:rsidRPr="001A7517">
        <w:t>BOARD NOTE:  Derived from 40 CFR 141.717.</w:t>
      </w:r>
    </w:p>
    <w:p w14:paraId="7D308682"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49A523F5" w14:textId="77777777" w:rsidR="00F0626C" w:rsidRPr="001A7517" w:rsidRDefault="00F0626C" w:rsidP="00F0626C">
      <w:pPr>
        <w:keepNext/>
        <w:keepLines/>
        <w:suppressAutoHyphens/>
        <w:spacing w:before="240"/>
        <w:rPr>
          <w:b/>
          <w:bCs/>
          <w:szCs w:val="16"/>
        </w:rPr>
      </w:pPr>
      <w:r w:rsidRPr="001A7517">
        <w:rPr>
          <w:b/>
          <w:szCs w:val="16"/>
        </w:rPr>
        <w:t xml:space="preserve">Section </w:t>
      </w:r>
      <w:bookmarkStart w:id="4484" w:name="_Hlk27063188"/>
      <w:r w:rsidRPr="001A7517">
        <w:rPr>
          <w:b/>
          <w:szCs w:val="16"/>
        </w:rPr>
        <w:t>611.101</w:t>
      </w:r>
      <w:bookmarkEnd w:id="4484"/>
      <w:r w:rsidRPr="001A7517">
        <w:rPr>
          <w:b/>
          <w:szCs w:val="16"/>
        </w:rPr>
        <w:t xml:space="preserve">8  Requirements for Microbial Toolbox Components:  Treatment </w:t>
      </w:r>
      <w:r w:rsidRPr="001A7517">
        <w:rPr>
          <w:b/>
          <w:bCs/>
          <w:szCs w:val="16"/>
        </w:rPr>
        <w:t>Performance Toolbox Components</w:t>
      </w:r>
    </w:p>
    <w:p w14:paraId="5F615C39" w14:textId="77777777" w:rsidR="00F0626C" w:rsidRPr="001A7517" w:rsidRDefault="00F0626C" w:rsidP="00F0626C">
      <w:pPr>
        <w:spacing w:before="240"/>
        <w:ind w:left="1440" w:hanging="720"/>
      </w:pPr>
      <w:r w:rsidRPr="001A7517">
        <w:rPr>
          <w:szCs w:val="16"/>
        </w:rPr>
        <w:t>a)</w:t>
      </w:r>
      <w:r w:rsidRPr="001A7517">
        <w:rPr>
          <w:szCs w:val="16"/>
        </w:rPr>
        <w:tab/>
      </w:r>
      <w:r w:rsidRPr="001A7517">
        <w:t>Combined Filter Performance.  A supplier that uses conventional filtration treatment or direct filtration treatment receives an additional 0.5-log Cryptosporidium treatment credit during any month it meets the criteria in this subsection (a).  Its combined filter effluent (CFE) turbidity must be less than or equal to 0.15 NTU in at least 95 percent of the measurements.  Turbidity must be measured as described in Sections 611.531 and 611.533.</w:t>
      </w:r>
    </w:p>
    <w:p w14:paraId="351BD7F7" w14:textId="77777777" w:rsidR="00F0626C" w:rsidRPr="001A7517" w:rsidRDefault="00F0626C" w:rsidP="00F0626C">
      <w:pPr>
        <w:spacing w:before="240"/>
        <w:ind w:left="1440" w:hanging="720"/>
      </w:pPr>
      <w:r w:rsidRPr="001A7517">
        <w:t>b)</w:t>
      </w:r>
      <w:r w:rsidRPr="001A7517">
        <w:tab/>
        <w:t>Individual Filter Performance.  A supplier that uses conventional filtration treatment or direct filtration treatment receives 0.5-log Cryptosporidium treatment credit, which can be in addition to the 0.5-log credit under subsection (a), during any month it meets the criteria in this subsection (b).  Compliance with these criteria must be based on individual filter turbidity monitoring as described in Section 611.744 or 611.956(a), as applicable.</w:t>
      </w:r>
    </w:p>
    <w:p w14:paraId="0838EFBB" w14:textId="77777777" w:rsidR="00F0626C" w:rsidRPr="001A7517" w:rsidRDefault="00F0626C" w:rsidP="00F0626C">
      <w:pPr>
        <w:spacing w:before="240"/>
        <w:ind w:left="2160" w:hanging="720"/>
      </w:pPr>
      <w:r w:rsidRPr="001A7517">
        <w:t>1)</w:t>
      </w:r>
      <w:r w:rsidRPr="001A7517">
        <w:tab/>
        <w:t>The filtered water turbidity for each individual filter must be less than or equal to 0.15 NTU in at least 95 percent of the measurements recorded each month.</w:t>
      </w:r>
    </w:p>
    <w:p w14:paraId="0B5199FA" w14:textId="77777777" w:rsidR="00F0626C" w:rsidRPr="001A7517" w:rsidRDefault="00F0626C" w:rsidP="00F0626C">
      <w:pPr>
        <w:spacing w:before="240"/>
        <w:ind w:left="2160" w:hanging="720"/>
      </w:pPr>
      <w:r w:rsidRPr="001A7517">
        <w:lastRenderedPageBreak/>
        <w:t>2)</w:t>
      </w:r>
      <w:r w:rsidRPr="001A7517">
        <w:tab/>
        <w:t>No individual filter may have a measured turbidity greater than 0.3 NTU in two consecutive measurements taken 15 minutes apart.</w:t>
      </w:r>
    </w:p>
    <w:p w14:paraId="548CB268" w14:textId="77777777" w:rsidR="00F0626C" w:rsidRPr="001A7517" w:rsidRDefault="00F0626C" w:rsidP="00F0626C">
      <w:pPr>
        <w:spacing w:before="240"/>
        <w:ind w:left="2160" w:hanging="720"/>
      </w:pPr>
      <w:r w:rsidRPr="001A7517">
        <w:t>3)</w:t>
      </w:r>
      <w:r w:rsidRPr="001A7517">
        <w:tab/>
        <w:t>Any supplier that has received treatment credit for individual filter performance and fails to meet the requirements of subsection (b)(1) or (b)(2) during any month does not receive a treatment technique violation under Section 611.1011(c) if the Agency determines the following:</w:t>
      </w:r>
    </w:p>
    <w:p w14:paraId="34A52E87" w14:textId="77777777" w:rsidR="00F0626C" w:rsidRPr="001A7517" w:rsidRDefault="00F0626C" w:rsidP="00F0626C">
      <w:pPr>
        <w:spacing w:before="240"/>
        <w:ind w:left="2880" w:hanging="720"/>
      </w:pPr>
      <w:r w:rsidRPr="001A7517">
        <w:t>A)</w:t>
      </w:r>
      <w:r w:rsidRPr="001A7517">
        <w:tab/>
        <w:t>The failure was due to unusual and short-term circumstances that could not reasonably be prevented through optimizing treatment plant design, operation, and maintenance; and</w:t>
      </w:r>
    </w:p>
    <w:p w14:paraId="3FF6B65A" w14:textId="77777777" w:rsidR="00F0626C" w:rsidRPr="001A7517" w:rsidRDefault="00F0626C" w:rsidP="00F0626C">
      <w:pPr>
        <w:spacing w:before="240"/>
        <w:ind w:left="2880" w:hanging="720"/>
      </w:pPr>
      <w:r w:rsidRPr="001A7517">
        <w:t>B)</w:t>
      </w:r>
      <w:r w:rsidRPr="001A7517">
        <w:tab/>
        <w:t>The supplier has experienced no more than two such failures in any calendar year.</w:t>
      </w:r>
    </w:p>
    <w:p w14:paraId="76BE7535" w14:textId="77777777" w:rsidR="00F0626C" w:rsidRPr="001A7517" w:rsidRDefault="00F0626C" w:rsidP="00F0626C">
      <w:pPr>
        <w:spacing w:before="240"/>
        <w:ind w:left="1440" w:hanging="720"/>
      </w:pPr>
      <w:r w:rsidRPr="001A7517">
        <w:t>c)</w:t>
      </w:r>
      <w:r w:rsidRPr="001A7517">
        <w:tab/>
        <w:t>Demonstration of Performance.  The Agency may, by a SEP, approve Cryptosporidium treatment credit for drinking water treatment processes based on a demonstration of performance study that meets the criteria in this subsection (c).  This treatment credit may be greater than or less than the prescribed treatment credits in Section 611.1011 or Sections 611.1017 through 611.1020 and may be awarded to treatment processes that do not meet the criteria for the prescribed credits.</w:t>
      </w:r>
    </w:p>
    <w:p w14:paraId="03A35C48" w14:textId="77777777" w:rsidR="00F0626C" w:rsidRPr="001A7517" w:rsidRDefault="00F0626C" w:rsidP="00F0626C">
      <w:pPr>
        <w:spacing w:before="240"/>
        <w:ind w:left="2160" w:hanging="720"/>
      </w:pPr>
      <w:r w:rsidRPr="001A7517">
        <w:t>1)</w:t>
      </w:r>
      <w:r w:rsidRPr="001A7517">
        <w:tab/>
        <w:t>The supplier cannot receive the prescribed treatment credit for any toolbox option in Sections 611.1017 through 611.1020 if that toolbox option is included in a demonstration of performance study for which treatment credit is awarded under this subsection (b).</w:t>
      </w:r>
    </w:p>
    <w:p w14:paraId="2D17EA88" w14:textId="77777777" w:rsidR="00F0626C" w:rsidRPr="001A7517" w:rsidRDefault="00F0626C" w:rsidP="00F0626C">
      <w:pPr>
        <w:spacing w:before="240"/>
        <w:ind w:left="2160" w:hanging="720"/>
      </w:pPr>
      <w:r w:rsidRPr="001A7517">
        <w:t>2)</w:t>
      </w:r>
      <w:r w:rsidRPr="001A7517">
        <w:tab/>
        <w:t>The demonstration of performance study must follow an Agency-approved protocol and must demonstrate the level of Cryptosporidium reduction the treatment process will achieve under the full range of expected operating conditions for the supplier.</w:t>
      </w:r>
    </w:p>
    <w:p w14:paraId="098D3BFA" w14:textId="77777777" w:rsidR="00F0626C" w:rsidRPr="001A7517" w:rsidRDefault="00F0626C" w:rsidP="00F0626C">
      <w:pPr>
        <w:spacing w:before="240"/>
        <w:ind w:left="2160" w:hanging="720"/>
      </w:pPr>
      <w:r w:rsidRPr="001A7517">
        <w:t>3)</w:t>
      </w:r>
      <w:r w:rsidRPr="001A7517">
        <w:tab/>
        <w:t xml:space="preserve">Approval by the Agency must be in writing and may include monitoring and treatment performance criteria that the supplier must demonstrate and report on an ongoing basis to remain eligible for the treatment credit.  The Agency may, by a SEP, designate such criteria </w:t>
      </w:r>
      <w:r w:rsidRPr="001A7517">
        <w:rPr>
          <w:spacing w:val="-3"/>
        </w:rPr>
        <w:t xml:space="preserve">if </w:t>
      </w:r>
      <w:r w:rsidRPr="001A7517">
        <w:t>necessary to verify that the conditions under which the demonstration of performance credit was approved are maintained during routine operation.</w:t>
      </w:r>
    </w:p>
    <w:p w14:paraId="0A428DC3" w14:textId="77777777" w:rsidR="00F0626C" w:rsidRPr="001A7517" w:rsidRDefault="00F0626C" w:rsidP="00F0626C">
      <w:pPr>
        <w:spacing w:before="240"/>
      </w:pPr>
      <w:r w:rsidRPr="001A7517">
        <w:t>BOARD NOTE:  Derived from 40 CFR 141.718.</w:t>
      </w:r>
    </w:p>
    <w:p w14:paraId="36451E33"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14A45263" w14:textId="77777777" w:rsidR="00F0626C" w:rsidRPr="001A7517" w:rsidRDefault="00F0626C" w:rsidP="00F0626C">
      <w:pPr>
        <w:keepNext/>
        <w:keepLines/>
        <w:suppressAutoHyphens/>
        <w:spacing w:before="240"/>
        <w:rPr>
          <w:b/>
          <w:szCs w:val="16"/>
        </w:rPr>
      </w:pPr>
      <w:r w:rsidRPr="001A7517">
        <w:rPr>
          <w:b/>
          <w:szCs w:val="16"/>
        </w:rPr>
        <w:lastRenderedPageBreak/>
        <w:t xml:space="preserve">Section </w:t>
      </w:r>
      <w:bookmarkStart w:id="4485" w:name="_Hlk27063209"/>
      <w:r w:rsidRPr="001A7517">
        <w:rPr>
          <w:b/>
          <w:szCs w:val="16"/>
        </w:rPr>
        <w:t>611.1019</w:t>
      </w:r>
      <w:bookmarkEnd w:id="4485"/>
      <w:r w:rsidRPr="001A7517">
        <w:rPr>
          <w:b/>
          <w:szCs w:val="16"/>
        </w:rPr>
        <w:t xml:space="preserve">  Requirements for Microbial Toolbox Components:  Additional Filtration Toolbox Components</w:t>
      </w:r>
    </w:p>
    <w:p w14:paraId="7EF95ADB" w14:textId="77777777" w:rsidR="00F0626C" w:rsidRPr="001A7517" w:rsidRDefault="00F0626C" w:rsidP="00F0626C">
      <w:pPr>
        <w:spacing w:before="240"/>
        <w:ind w:left="1440" w:hanging="720"/>
      </w:pPr>
      <w:r w:rsidRPr="001A7517">
        <w:rPr>
          <w:szCs w:val="16"/>
        </w:rPr>
        <w:t>a)</w:t>
      </w:r>
      <w:r w:rsidRPr="001A7517">
        <w:rPr>
          <w:szCs w:val="16"/>
        </w:rPr>
        <w:tab/>
      </w:r>
      <w:r w:rsidRPr="001A7517">
        <w:t>Bag and Cartridge Filters.  A supplier receives Cryptosporidium treatment credit of up to 2.0-log for individual bag or cartridge filters and up to 2.5-log for bag or cartridge filters operated in series by meeting the criteria set forth in subsections (a)(1) through (a)(10).  To be eligible for this credit, the supplier must report the results of challenge testing that meets the requirements of subsections (a)(2) through (a)(9) to the Agency.  The filters must treat the entire plant flow taken from a Subpart B source.</w:t>
      </w:r>
    </w:p>
    <w:p w14:paraId="3F1F7AEB" w14:textId="77777777" w:rsidR="00F0626C" w:rsidRPr="001A7517" w:rsidRDefault="00F0626C" w:rsidP="00F0626C">
      <w:pPr>
        <w:spacing w:before="240"/>
        <w:ind w:left="2160" w:hanging="720"/>
      </w:pPr>
      <w:r w:rsidRPr="001A7517">
        <w:t>1)</w:t>
      </w:r>
      <w:r w:rsidRPr="001A7517">
        <w:tab/>
        <w:t>The Cryptosporidium treatment credit awarded to bag or cartridge filters must be based on the removal efficiency demonstrated during challenge testing that is conducted according to the criteria set forth in subsections (a)(2) through (a)(9).  A factor of safety equal to 1-log for individual bag or cartridge filters and 0.5-log for bag or cartridge filters in series must be applied to challenge testing results to determine removal credit.  A supplier may use results from challenge testing conducted prior to January 5, 2006 if the prior testing was consistent with the criteria specified in subsections (a)(2) through (a)(9).</w:t>
      </w:r>
    </w:p>
    <w:p w14:paraId="35BB70D9" w14:textId="77777777" w:rsidR="00F0626C" w:rsidRPr="001A7517" w:rsidRDefault="00F0626C" w:rsidP="00F0626C">
      <w:pPr>
        <w:spacing w:before="240"/>
        <w:ind w:left="2160" w:hanging="720"/>
      </w:pPr>
      <w:r w:rsidRPr="001A7517">
        <w:t>2)</w:t>
      </w:r>
      <w:r w:rsidRPr="001A7517">
        <w:tab/>
        <w:t>Challenge testing must be performed on full-scale bag or cartridge filters, and the associated filter housing or pressure vessel, that are identical in material and construction to the filters and housings the supplier will use for removal of Cryptosporidium.  Bag or cartridge filters must be challenge tested in the same configuration that the supplier will use, either as individual filters or as a series configuration of filters.</w:t>
      </w:r>
    </w:p>
    <w:p w14:paraId="72E508C0" w14:textId="77777777" w:rsidR="00F0626C" w:rsidRPr="001A7517" w:rsidRDefault="00F0626C" w:rsidP="00F0626C">
      <w:pPr>
        <w:spacing w:before="240"/>
        <w:ind w:left="2160" w:hanging="720"/>
      </w:pPr>
      <w:r w:rsidRPr="001A7517">
        <w:t>3)</w:t>
      </w:r>
      <w:r w:rsidRPr="001A7517">
        <w:tab/>
        <w:t>Challenge testing must be conducted using Cryptosporidium or a surrogate that is removed no more efficiently than Cryptosporidium.  The microorganism or surrogate used during challenge testing is referred to as the challenge particulate.  The concentration of the challenge particulate must be determined using a method capable of discreetly quantifying the specific microorganism or surrogate used in the test; gross measurements such as turbidity may not be used.</w:t>
      </w:r>
    </w:p>
    <w:p w14:paraId="578D985F" w14:textId="77777777" w:rsidR="00F0626C" w:rsidRPr="001A7517" w:rsidRDefault="00F0626C" w:rsidP="00F0626C">
      <w:pPr>
        <w:spacing w:before="240"/>
        <w:ind w:left="2160" w:hanging="720"/>
      </w:pPr>
      <w:r w:rsidRPr="001A7517">
        <w:t>4)</w:t>
      </w:r>
      <w:r w:rsidRPr="001A7517">
        <w:tab/>
        <w:t>The maximum feed water concentration that can be used during a challenge test must be based on the detection limit of the challenge particulate in the filtrate (i.e., filtrate detection limit) and must be calculated using the following equation:</w:t>
      </w:r>
    </w:p>
    <w:p w14:paraId="6E1B60A1" w14:textId="77777777" w:rsidR="00F0626C" w:rsidRPr="001A7517" w:rsidRDefault="00F0626C" w:rsidP="00F0626C">
      <w:pPr>
        <w:spacing w:before="240"/>
        <w:ind w:left="2880"/>
      </w:pPr>
      <w:r w:rsidRPr="001A7517">
        <w:t xml:space="preserve">Maximum Feed Concentration = 1 </w:t>
      </w:r>
      <w:r w:rsidRPr="001A7517">
        <w:sym w:font="Symbol" w:char="F0B4"/>
      </w:r>
      <w:r w:rsidRPr="001A7517">
        <w:t xml:space="preserve"> 10</w:t>
      </w:r>
      <w:r w:rsidRPr="001A7517">
        <w:rPr>
          <w:szCs w:val="12"/>
          <w:vertAlign w:val="superscript"/>
        </w:rPr>
        <w:t>4</w:t>
      </w:r>
      <w:r w:rsidRPr="001A7517">
        <w:rPr>
          <w:szCs w:val="12"/>
        </w:rPr>
        <w:t xml:space="preserve"> </w:t>
      </w:r>
      <w:r w:rsidRPr="001A7517">
        <w:sym w:font="Symbol" w:char="F0B4"/>
      </w:r>
      <w:r w:rsidRPr="001A7517">
        <w:t xml:space="preserve"> (Filtrate Detection Limit)</w:t>
      </w:r>
    </w:p>
    <w:p w14:paraId="2B5704D0" w14:textId="77777777" w:rsidR="00F0626C" w:rsidRPr="001A7517" w:rsidRDefault="00F0626C" w:rsidP="00F0626C">
      <w:pPr>
        <w:spacing w:before="240"/>
        <w:ind w:left="2160" w:hanging="720"/>
      </w:pPr>
      <w:r w:rsidRPr="001A7517">
        <w:lastRenderedPageBreak/>
        <w:t>5)</w:t>
      </w:r>
      <w:r w:rsidRPr="001A7517">
        <w:tab/>
        <w:t>Challenge testing must be conducted at the maximum design flow rate for the filter as specified by the manufacturer.</w:t>
      </w:r>
    </w:p>
    <w:p w14:paraId="44607102" w14:textId="77777777" w:rsidR="00F0626C" w:rsidRPr="001A7517" w:rsidRDefault="00F0626C" w:rsidP="00F0626C">
      <w:pPr>
        <w:spacing w:before="240"/>
        <w:ind w:left="2160" w:hanging="720"/>
      </w:pPr>
      <w:r w:rsidRPr="001A7517">
        <w:t>6)</w:t>
      </w:r>
      <w:r w:rsidRPr="001A7517">
        <w:tab/>
        <w:t>Each filter evaluated must be tested for a duration sufficient to reach 100 percent of the terminal pressure drop, which establishes the maximum pressure drop under which the filter may be used to comply with the requirements of this Subpart Z.</w:t>
      </w:r>
    </w:p>
    <w:p w14:paraId="42DC4493" w14:textId="77777777" w:rsidR="00F0626C" w:rsidRPr="001A7517" w:rsidRDefault="00F0626C" w:rsidP="00F0626C">
      <w:pPr>
        <w:spacing w:before="240"/>
        <w:ind w:left="2160" w:hanging="720"/>
      </w:pPr>
      <w:r w:rsidRPr="001A7517">
        <w:t>7)</w:t>
      </w:r>
      <w:r w:rsidRPr="001A7517">
        <w:tab/>
        <w:t>Removal efficiency of a filter must be determined from the results of the challenge test and expressed in terms of log removal values using the following equation:</w:t>
      </w:r>
    </w:p>
    <w:p w14:paraId="173F95FE" w14:textId="77777777" w:rsidR="00F0626C" w:rsidRPr="001A7517" w:rsidRDefault="00F0626C" w:rsidP="00F0626C">
      <w:pPr>
        <w:spacing w:before="240"/>
        <w:ind w:left="2880"/>
      </w:pPr>
      <w:r w:rsidRPr="001A7517">
        <w:rPr>
          <w:position w:val="-14"/>
        </w:rPr>
        <w:object w:dxaOrig="2900" w:dyaOrig="380" w14:anchorId="58486C2D">
          <v:shape id="_x0000_i1030" type="#_x0000_t75" style="width:2in;height:19.5pt" o:ole="">
            <v:imagedata r:id="rId32" o:title=""/>
          </v:shape>
          <o:OLEObject Type="Embed" ProgID="Equation.3" ShapeID="_x0000_i1030" DrawAspect="Content" ObjectID="_1801494025" r:id="rId33"/>
        </w:object>
      </w:r>
    </w:p>
    <w:p w14:paraId="7D69FBE6" w14:textId="77777777" w:rsidR="00F0626C" w:rsidRPr="001A7517" w:rsidRDefault="00F0626C" w:rsidP="00F0626C">
      <w:pPr>
        <w:spacing w:before="240" w:after="240"/>
        <w:ind w:left="2880"/>
      </w:pPr>
      <w:r w:rsidRPr="001A7517">
        <w:t>Where:</w:t>
      </w:r>
    </w:p>
    <w:p w14:paraId="65F1A375" w14:textId="77777777" w:rsidR="00F0626C" w:rsidRPr="001A7517" w:rsidRDefault="00F0626C" w:rsidP="00F0626C">
      <w:pPr>
        <w:spacing w:before="240"/>
        <w:ind w:left="3600" w:hanging="720"/>
      </w:pPr>
      <w:r w:rsidRPr="001A7517">
        <w:t>LRV =</w:t>
      </w:r>
      <w:r w:rsidRPr="001A7517">
        <w:tab/>
        <w:t>log removal value demonstrated during challenge testing</w:t>
      </w:r>
    </w:p>
    <w:p w14:paraId="0218B7EB" w14:textId="77777777" w:rsidR="00F0626C" w:rsidRPr="001A7517" w:rsidRDefault="00F0626C" w:rsidP="00F0626C">
      <w:pPr>
        <w:ind w:left="3600" w:hanging="720"/>
      </w:pPr>
      <w:r w:rsidRPr="001A7517">
        <w:t>C</w:t>
      </w:r>
      <w:r w:rsidRPr="001A7517">
        <w:rPr>
          <w:szCs w:val="12"/>
          <w:vertAlign w:val="subscript"/>
        </w:rPr>
        <w:t>f</w:t>
      </w:r>
      <w:r w:rsidRPr="001A7517">
        <w:rPr>
          <w:szCs w:val="12"/>
        </w:rPr>
        <w:t xml:space="preserve"> </w:t>
      </w:r>
      <w:r w:rsidRPr="001A7517">
        <w:t>=</w:t>
      </w:r>
      <w:r w:rsidRPr="001A7517">
        <w:tab/>
        <w:t>the feed concentration measured during the challenge test</w:t>
      </w:r>
    </w:p>
    <w:p w14:paraId="095461E1" w14:textId="77777777" w:rsidR="00F0626C" w:rsidRPr="001A7517" w:rsidRDefault="00F0626C" w:rsidP="00F0626C">
      <w:pPr>
        <w:spacing w:after="240"/>
        <w:ind w:left="3600" w:hanging="720"/>
      </w:pPr>
      <w:r w:rsidRPr="001A7517">
        <w:t>C</w:t>
      </w:r>
      <w:r w:rsidRPr="001A7517">
        <w:rPr>
          <w:szCs w:val="12"/>
          <w:vertAlign w:val="subscript"/>
        </w:rPr>
        <w:t>p</w:t>
      </w:r>
      <w:r w:rsidRPr="001A7517">
        <w:rPr>
          <w:szCs w:val="12"/>
        </w:rPr>
        <w:t xml:space="preserve"> </w:t>
      </w:r>
      <w:r w:rsidRPr="001A7517">
        <w:t>=</w:t>
      </w:r>
      <w:r w:rsidRPr="001A7517">
        <w:tab/>
        <w:t>the filtrate concentration measured during the challenge test.  In applying this equation, the same units must be used for the feed and filtrate concentrations. If the challenge particulate is not detected in the filtrate, then the term C</w:t>
      </w:r>
      <w:r w:rsidRPr="001A7517">
        <w:rPr>
          <w:szCs w:val="12"/>
        </w:rPr>
        <w:t xml:space="preserve">p </w:t>
      </w:r>
      <w:r w:rsidRPr="001A7517">
        <w:t>must be set equal to the detection limit.</w:t>
      </w:r>
    </w:p>
    <w:p w14:paraId="053BAE5D" w14:textId="77777777" w:rsidR="00F0626C" w:rsidRPr="001A7517" w:rsidRDefault="00F0626C" w:rsidP="00F0626C">
      <w:pPr>
        <w:spacing w:before="240"/>
        <w:ind w:left="2160" w:hanging="720"/>
      </w:pPr>
      <w:r w:rsidRPr="001A7517">
        <w:t>8)</w:t>
      </w:r>
      <w:r w:rsidRPr="001A7517">
        <w:tab/>
        <w:t>Each filter tested must be challenged with the challenge particulate during three periods over the filtration cycle: within two hours after start-up of a new filter; when the pressure drop is between 45 and 55 percent of the terminal pressure drop; and at the end of the cycle after the pressure drop has reached 100 percent of the terminal pressure drop.  An LRV must be calculated for each of these challenge periods for each filter tested.  The LRV for the filter (LRV</w:t>
      </w:r>
      <w:r w:rsidRPr="001A7517">
        <w:rPr>
          <w:szCs w:val="12"/>
          <w:vertAlign w:val="subscript"/>
        </w:rPr>
        <w:t>filter</w:t>
      </w:r>
      <w:r w:rsidRPr="001A7517">
        <w:t>) must be assigned the value of the minimum LRV observed during the three challenge periods for that filter.</w:t>
      </w:r>
    </w:p>
    <w:p w14:paraId="5D9CE40A" w14:textId="77777777" w:rsidR="00F0626C" w:rsidRPr="001A7517" w:rsidRDefault="00F0626C" w:rsidP="00F0626C">
      <w:pPr>
        <w:spacing w:before="240"/>
        <w:ind w:left="2160" w:hanging="720"/>
      </w:pPr>
      <w:r w:rsidRPr="001A7517">
        <w:t>9)</w:t>
      </w:r>
      <w:r w:rsidRPr="001A7517">
        <w:tab/>
        <w:t>If fewer than 20 filters are tested, the overall removal efficiency for the filter product line must be set equal to the lowest LRV</w:t>
      </w:r>
      <w:r w:rsidRPr="001A7517">
        <w:rPr>
          <w:szCs w:val="12"/>
          <w:vertAlign w:val="subscript"/>
        </w:rPr>
        <w:t>filter</w:t>
      </w:r>
      <w:r w:rsidRPr="001A7517">
        <w:rPr>
          <w:szCs w:val="12"/>
        </w:rPr>
        <w:t xml:space="preserve"> </w:t>
      </w:r>
      <w:r w:rsidRPr="001A7517">
        <w:t>among the filters tested.  If 20 or more filters are tested, the overall removal efficiency for the filter product line must be set equal to the 10th percentile of the set of LRV</w:t>
      </w:r>
      <w:r w:rsidRPr="001A7517">
        <w:rPr>
          <w:szCs w:val="12"/>
          <w:vertAlign w:val="subscript"/>
        </w:rPr>
        <w:t>filter</w:t>
      </w:r>
      <w:r w:rsidRPr="001A7517">
        <w:rPr>
          <w:szCs w:val="12"/>
        </w:rPr>
        <w:t xml:space="preserve"> </w:t>
      </w:r>
      <w:r w:rsidRPr="001A7517">
        <w:t>values for the various filters tested.  The percentile is defined by (i/(n+1)) where i is the rank of n individual data points ordered lowest to highest.  If necessary, the 10th percentile may be calculated using linear interpolation.</w:t>
      </w:r>
    </w:p>
    <w:p w14:paraId="66E54267" w14:textId="77777777" w:rsidR="00F0626C" w:rsidRPr="001A7517" w:rsidRDefault="00F0626C" w:rsidP="00F0626C">
      <w:pPr>
        <w:spacing w:before="240"/>
        <w:ind w:left="2160" w:hanging="720"/>
      </w:pPr>
      <w:r w:rsidRPr="001A7517">
        <w:t>10)</w:t>
      </w:r>
      <w:r w:rsidRPr="001A7517">
        <w:tab/>
        <w:t xml:space="preserve">If a previously tested filter is modified in a manner that could change the removal efficiency of the filter product line, challenge testing to </w:t>
      </w:r>
      <w:r w:rsidRPr="001A7517">
        <w:lastRenderedPageBreak/>
        <w:t>demonstrate the removal efficiency of the modified filter must be conducted and submitted in writing to the Agency.</w:t>
      </w:r>
    </w:p>
    <w:p w14:paraId="04315C83" w14:textId="77777777" w:rsidR="00F0626C" w:rsidRPr="001A7517" w:rsidRDefault="00F0626C" w:rsidP="00F0626C">
      <w:pPr>
        <w:spacing w:before="240"/>
        <w:ind w:left="1440" w:hanging="720"/>
      </w:pPr>
      <w:r w:rsidRPr="001A7517">
        <w:t>b)</w:t>
      </w:r>
      <w:r w:rsidRPr="001A7517">
        <w:tab/>
        <w:t>Membrane Filtration</w:t>
      </w:r>
    </w:p>
    <w:p w14:paraId="74B6C110" w14:textId="77777777" w:rsidR="00F0626C" w:rsidRPr="001A7517" w:rsidRDefault="00F0626C" w:rsidP="00F0626C">
      <w:pPr>
        <w:spacing w:before="240"/>
        <w:ind w:left="2160" w:hanging="720"/>
      </w:pPr>
      <w:r w:rsidRPr="001A7517">
        <w:t>1)</w:t>
      </w:r>
      <w:r w:rsidRPr="001A7517">
        <w:tab/>
        <w:t>A supplier receives Cryptosporidium treatment credit for membrane filtration that meets the criteria of this subsection (b).  Membrane cartridge filters that meet the definition of membrane filtration in Section 611.102 are eligible for this credit.  The level of treatment credit a supplier receives is equal to the lower of the following values:</w:t>
      </w:r>
    </w:p>
    <w:p w14:paraId="22197ADA" w14:textId="77777777" w:rsidR="00F0626C" w:rsidRPr="001A7517" w:rsidRDefault="00F0626C" w:rsidP="00F0626C">
      <w:pPr>
        <w:spacing w:before="240"/>
        <w:ind w:left="2880" w:hanging="720"/>
      </w:pPr>
      <w:r w:rsidRPr="001A7517">
        <w:t>A)</w:t>
      </w:r>
      <w:r w:rsidRPr="001A7517">
        <w:tab/>
        <w:t>The removal efficiency demonstrated during challenge testing conducted under the conditions in subsection (b)(2); or</w:t>
      </w:r>
    </w:p>
    <w:p w14:paraId="468AB05F" w14:textId="77777777" w:rsidR="00F0626C" w:rsidRPr="001A7517" w:rsidRDefault="00F0626C" w:rsidP="00F0626C">
      <w:pPr>
        <w:spacing w:before="240"/>
        <w:ind w:left="2880" w:hanging="720"/>
      </w:pPr>
      <w:r w:rsidRPr="001A7517">
        <w:t>B)</w:t>
      </w:r>
      <w:r w:rsidRPr="001A7517">
        <w:tab/>
        <w:t>The maximum removal efficiency that can be verified through direct integrity testing used with the membrane filtration process under the conditions in subsection (b)(3).</w:t>
      </w:r>
    </w:p>
    <w:p w14:paraId="519D08AC" w14:textId="77777777" w:rsidR="00F0626C" w:rsidRPr="001A7517" w:rsidRDefault="00F0626C" w:rsidP="00F0626C">
      <w:pPr>
        <w:spacing w:before="240"/>
        <w:ind w:left="2160" w:hanging="720"/>
      </w:pPr>
      <w:r w:rsidRPr="001A7517">
        <w:t>2)</w:t>
      </w:r>
      <w:r w:rsidRPr="001A7517">
        <w:tab/>
        <w:t>Challenge Testing.  The membrane used by the supplier must undergo challenge testing to evaluate removal efficiency, and the supplier must report the results of challenge testing to the Agency.  Challenge testing must be conducted according to the criteria set forth in subsections (b)(2)(A) through (b)(2)(G).  A supplier may use data from challenge testing conducted prior to January 5, 2006 if the prior testing was consistent with the criteria set forth in subsections (b)(2)(A) through (b)(2)(G).</w:t>
      </w:r>
    </w:p>
    <w:p w14:paraId="1062985C" w14:textId="77777777" w:rsidR="00F0626C" w:rsidRPr="001A7517" w:rsidRDefault="00F0626C" w:rsidP="00F0626C">
      <w:pPr>
        <w:spacing w:before="240"/>
        <w:ind w:left="2880" w:hanging="720"/>
      </w:pPr>
      <w:r w:rsidRPr="001A7517">
        <w:t>A)</w:t>
      </w:r>
      <w:r w:rsidRPr="001A7517">
        <w:tab/>
        <w:t>Challenge testing must be conducted on either a full-scale membrane module, identical in material and construction to the membrane modules used in the supplier’s treatment facility, or a smaller-scale membrane module, identical in material and similar in construction to the full-scale module.  A module is defined as the smallest component of a membrane unit in which a specific membrane surface area is housed in a device with a filtrate outlet structure.</w:t>
      </w:r>
    </w:p>
    <w:p w14:paraId="317BCE26" w14:textId="77777777" w:rsidR="00F0626C" w:rsidRPr="001A7517" w:rsidRDefault="00F0626C" w:rsidP="00F0626C">
      <w:pPr>
        <w:spacing w:before="240"/>
        <w:ind w:left="2880" w:hanging="720"/>
      </w:pPr>
      <w:r w:rsidRPr="001A7517">
        <w:t>B)</w:t>
      </w:r>
      <w:r w:rsidRPr="001A7517">
        <w:tab/>
        <w:t>Challenge testing must be conducted using Cryptosporidium oocysts or a surrogate that is removed no more efficiently than Cryptosporidium oocysts.  The organism or surrogate used during challenge testing is referred to as the challenge particulate.  The concentration of the challenge particulate, in both the feed and filtrate water, must be determined using a method capable of discretely quantifying the specific challenge particulate used in the test; gross measurements such as turbidity may not be used.</w:t>
      </w:r>
    </w:p>
    <w:p w14:paraId="75A061A4" w14:textId="77777777" w:rsidR="00F0626C" w:rsidRPr="001A7517" w:rsidRDefault="00F0626C" w:rsidP="00F0626C">
      <w:pPr>
        <w:spacing w:before="240"/>
        <w:ind w:left="2880" w:hanging="720"/>
      </w:pPr>
      <w:r w:rsidRPr="001A7517">
        <w:lastRenderedPageBreak/>
        <w:t>C)</w:t>
      </w:r>
      <w:r w:rsidRPr="001A7517">
        <w:tab/>
        <w:t>The maximum feed water concentration that can be used during a challenge test is based on the detection limit of the challenge particulate in the filtrate and must be determined according to the following equation:</w:t>
      </w:r>
    </w:p>
    <w:p w14:paraId="24CEC89E" w14:textId="77777777" w:rsidR="00F0626C" w:rsidRPr="001A7517" w:rsidRDefault="00F0626C" w:rsidP="00F0626C">
      <w:pPr>
        <w:spacing w:before="240"/>
        <w:ind w:left="3600"/>
      </w:pPr>
      <w:r w:rsidRPr="001A7517">
        <w:t xml:space="preserve">Maximum Feed = 3.16 </w:t>
      </w:r>
      <w:r w:rsidRPr="001A7517">
        <w:sym w:font="Symbol" w:char="F0B4"/>
      </w:r>
      <w:r w:rsidRPr="001A7517">
        <w:t xml:space="preserve"> 10</w:t>
      </w:r>
      <w:r w:rsidRPr="001A7517">
        <w:rPr>
          <w:szCs w:val="12"/>
          <w:vertAlign w:val="superscript"/>
        </w:rPr>
        <w:t>6</w:t>
      </w:r>
      <w:r w:rsidRPr="001A7517">
        <w:rPr>
          <w:szCs w:val="12"/>
        </w:rPr>
        <w:t xml:space="preserve"> </w:t>
      </w:r>
      <w:r w:rsidRPr="001A7517">
        <w:sym w:font="Symbol" w:char="F0B4"/>
      </w:r>
      <w:r w:rsidRPr="001A7517">
        <w:t xml:space="preserve"> (Filtrate Detection Limit)</w:t>
      </w:r>
    </w:p>
    <w:p w14:paraId="2BF30893" w14:textId="77777777" w:rsidR="00F0626C" w:rsidRPr="001A7517" w:rsidRDefault="00F0626C" w:rsidP="00F0626C">
      <w:pPr>
        <w:ind w:left="3600"/>
      </w:pPr>
      <w:r w:rsidRPr="001A7517">
        <w:t>Concentration</w:t>
      </w:r>
    </w:p>
    <w:p w14:paraId="259CCB91" w14:textId="77777777" w:rsidR="00F0626C" w:rsidRPr="001A7517" w:rsidRDefault="00F0626C" w:rsidP="00F0626C">
      <w:pPr>
        <w:spacing w:before="240"/>
        <w:ind w:left="2880" w:hanging="720"/>
      </w:pPr>
      <w:r w:rsidRPr="001A7517">
        <w:t>D)</w:t>
      </w:r>
      <w:r w:rsidRPr="001A7517">
        <w:tab/>
        <w:t>Challenge testing must be conducted under representative hydraulic conditions at the maximum design flux and maximum design process recovery specified by the manufacturer for the membrane module.  Flux is defined as the throughput of a pressure driven membrane process expressed as flow per unit of membrane area.  Recovery is defined as the volumetric percent of feed water that is converted to filtrate over the course of an operating cycle uninterrupted by events such as chemical cleaning or a solids removal process (i.e., backwashing).</w:t>
      </w:r>
    </w:p>
    <w:p w14:paraId="0B3A3D31" w14:textId="77777777" w:rsidR="00F0626C" w:rsidRPr="001A7517" w:rsidRDefault="00F0626C" w:rsidP="00F0626C">
      <w:pPr>
        <w:spacing w:before="240"/>
        <w:ind w:left="2880" w:hanging="720"/>
      </w:pPr>
      <w:r w:rsidRPr="001A7517">
        <w:t>E)</w:t>
      </w:r>
      <w:r w:rsidRPr="001A7517">
        <w:tab/>
        <w:t>Removal efficiency of a membrane module must be calculated from the challenge test results and expressed as a log removal value according to the following equation:</w:t>
      </w:r>
    </w:p>
    <w:p w14:paraId="544A272A" w14:textId="77777777" w:rsidR="00F0626C" w:rsidRPr="001A7517" w:rsidRDefault="00F0626C" w:rsidP="00F0626C">
      <w:pPr>
        <w:spacing w:before="240"/>
        <w:ind w:left="2880"/>
      </w:pPr>
      <w:r w:rsidRPr="001A7517">
        <w:rPr>
          <w:position w:val="-14"/>
        </w:rPr>
        <w:object w:dxaOrig="2900" w:dyaOrig="380" w14:anchorId="6D6AD529">
          <v:shape id="_x0000_i1031" type="#_x0000_t75" style="width:2in;height:19.5pt" o:ole="">
            <v:imagedata r:id="rId32" o:title=""/>
          </v:shape>
          <o:OLEObject Type="Embed" ProgID="Equation.3" ShapeID="_x0000_i1031" DrawAspect="Content" ObjectID="_1801494026" r:id="rId34"/>
        </w:object>
      </w:r>
    </w:p>
    <w:p w14:paraId="3BCD5019" w14:textId="77777777" w:rsidR="00F0626C" w:rsidRPr="001A7517" w:rsidRDefault="00F0626C" w:rsidP="00F0626C">
      <w:pPr>
        <w:spacing w:before="240"/>
        <w:ind w:left="2880"/>
      </w:pPr>
      <w:r w:rsidRPr="001A7517">
        <w:t>Where:</w:t>
      </w:r>
    </w:p>
    <w:p w14:paraId="4E86A0C1" w14:textId="77777777" w:rsidR="00F0626C" w:rsidRPr="001A7517" w:rsidRDefault="00F0626C" w:rsidP="00F0626C">
      <w:pPr>
        <w:spacing w:before="240"/>
        <w:ind w:left="2880"/>
      </w:pPr>
      <w:r w:rsidRPr="001A7517">
        <w:t>LRV =</w:t>
      </w:r>
      <w:r w:rsidRPr="001A7517">
        <w:tab/>
        <w:t>log removal value demonstrated during the challenge test</w:t>
      </w:r>
    </w:p>
    <w:p w14:paraId="1DD1E581" w14:textId="77777777" w:rsidR="00F0626C" w:rsidRPr="001A7517" w:rsidRDefault="00F0626C" w:rsidP="00F0626C">
      <w:pPr>
        <w:ind w:left="3600" w:hanging="720"/>
      </w:pPr>
      <w:r w:rsidRPr="001A7517">
        <w:t>C</w:t>
      </w:r>
      <w:r w:rsidRPr="001A7517">
        <w:rPr>
          <w:szCs w:val="12"/>
          <w:vertAlign w:val="subscript"/>
        </w:rPr>
        <w:t>f</w:t>
      </w:r>
      <w:r w:rsidRPr="001A7517">
        <w:rPr>
          <w:szCs w:val="12"/>
        </w:rPr>
        <w:t xml:space="preserve"> </w:t>
      </w:r>
      <w:r w:rsidRPr="001A7517">
        <w:t>=</w:t>
      </w:r>
      <w:r w:rsidRPr="001A7517">
        <w:tab/>
        <w:t>the feed concentration measured during the challenge test</w:t>
      </w:r>
    </w:p>
    <w:p w14:paraId="185E5417" w14:textId="77777777" w:rsidR="00F0626C" w:rsidRPr="001A7517" w:rsidRDefault="00F0626C" w:rsidP="00F0626C">
      <w:pPr>
        <w:spacing w:after="240"/>
        <w:ind w:left="3600" w:hanging="720"/>
      </w:pPr>
      <w:r w:rsidRPr="001A7517">
        <w:t>C</w:t>
      </w:r>
      <w:r w:rsidRPr="001A7517">
        <w:rPr>
          <w:szCs w:val="12"/>
          <w:vertAlign w:val="subscript"/>
        </w:rPr>
        <w:t>p</w:t>
      </w:r>
      <w:r w:rsidRPr="001A7517">
        <w:rPr>
          <w:szCs w:val="12"/>
        </w:rPr>
        <w:t xml:space="preserve"> </w:t>
      </w:r>
      <w:r w:rsidRPr="001A7517">
        <w:t>=</w:t>
      </w:r>
      <w:r w:rsidRPr="001A7517">
        <w:tab/>
        <w:t>the filtrate concentration measured during the challenge test.  Equivalent units must be used for the feed and filtrate concentrations. If the challenge particulate is not detected in the filtrate, the term C</w:t>
      </w:r>
      <w:r w:rsidRPr="001A7517">
        <w:rPr>
          <w:szCs w:val="12"/>
          <w:vertAlign w:val="subscript"/>
        </w:rPr>
        <w:t>p</w:t>
      </w:r>
      <w:r w:rsidRPr="001A7517">
        <w:rPr>
          <w:szCs w:val="12"/>
        </w:rPr>
        <w:t xml:space="preserve"> </w:t>
      </w:r>
      <w:r w:rsidRPr="001A7517">
        <w:t>is set equal to the detection limit for the purpose of calculating the LRV.  An LRV must be calculated for each membrane module evaluated during the challenge test.</w:t>
      </w:r>
    </w:p>
    <w:p w14:paraId="75CCC21B" w14:textId="77777777" w:rsidR="00F0626C" w:rsidRPr="001A7517" w:rsidRDefault="00F0626C" w:rsidP="00F0626C">
      <w:pPr>
        <w:spacing w:before="240"/>
        <w:ind w:left="2880" w:hanging="720"/>
      </w:pPr>
      <w:r w:rsidRPr="001A7517">
        <w:t>F)</w:t>
      </w:r>
      <w:r w:rsidRPr="001A7517">
        <w:tab/>
        <w:t>The removal efficiency of a membrane filtration process demonstrated during challenge testing must be expressed as a log removal value (LRV</w:t>
      </w:r>
      <w:r w:rsidRPr="001A7517">
        <w:rPr>
          <w:szCs w:val="12"/>
          <w:vertAlign w:val="subscript"/>
        </w:rPr>
        <w:t>C-Test</w:t>
      </w:r>
      <w:r w:rsidRPr="001A7517">
        <w:t>).  If fewer than 20 modules are tested, then LRV</w:t>
      </w:r>
      <w:r w:rsidRPr="001A7517">
        <w:rPr>
          <w:szCs w:val="12"/>
          <w:vertAlign w:val="subscript"/>
        </w:rPr>
        <w:t>C-Test</w:t>
      </w:r>
      <w:r w:rsidRPr="001A7517">
        <w:rPr>
          <w:szCs w:val="12"/>
        </w:rPr>
        <w:t xml:space="preserve"> </w:t>
      </w:r>
      <w:r w:rsidRPr="001A7517">
        <w:t>is equal to the lowest of the representative LRVs among the modules tested. If 20 or more modules are tested, then LRV</w:t>
      </w:r>
      <w:r w:rsidRPr="001A7517">
        <w:rPr>
          <w:szCs w:val="12"/>
        </w:rPr>
        <w:t xml:space="preserve">C-Test </w:t>
      </w:r>
      <w:r w:rsidRPr="001A7517">
        <w:t xml:space="preserve">is equal to the 10th percentile of the representative LRVs among the modules tested.  The percentile is defined by (i/(n+1)) where i is the rank of n individual data points ordered </w:t>
      </w:r>
      <w:r w:rsidRPr="001A7517">
        <w:lastRenderedPageBreak/>
        <w:t>lowest to highest.  If necessary, the 10th percentile may be calculated using linear interpolation.</w:t>
      </w:r>
    </w:p>
    <w:p w14:paraId="4B3F7826" w14:textId="77777777" w:rsidR="00F0626C" w:rsidRPr="001A7517" w:rsidRDefault="00F0626C" w:rsidP="00F0626C">
      <w:pPr>
        <w:spacing w:before="240"/>
        <w:ind w:left="2880" w:hanging="720"/>
      </w:pPr>
      <w:r w:rsidRPr="001A7517">
        <w:t>G)</w:t>
      </w:r>
      <w:r w:rsidRPr="001A7517">
        <w:tab/>
        <w:t>The challenge test must establish a quality control release value (QCRV) for a non-destructive performance test that demonstrates the Cryptosporidium removal capability of the membrane filtration module.  This performance test must be applied to each production membrane module used by the supplier that was not directly challenge tested in order to verify Cryptosporidium removal capability. Production modules that do not meet the established QCRV are not eligible for the treatment credit demonstrated during the challenge test.</w:t>
      </w:r>
    </w:p>
    <w:p w14:paraId="5CF12AD6" w14:textId="77777777" w:rsidR="00F0626C" w:rsidRPr="001A7517" w:rsidRDefault="00F0626C" w:rsidP="00F0626C">
      <w:pPr>
        <w:spacing w:before="240"/>
        <w:ind w:left="2880" w:hanging="720"/>
      </w:pPr>
      <w:r w:rsidRPr="001A7517">
        <w:t>H)</w:t>
      </w:r>
      <w:r w:rsidRPr="001A7517">
        <w:tab/>
        <w:t>If a previously tested membrane is modified in a manner that could change the removal efficiency of the membrane or the applicability of the non-destructive performance test and associated QCRV, additional challenge testing to demonstrate the removal efficiency of, and determine a new QCRV for, the modified membrane must be conducted and submitted to the Agency.</w:t>
      </w:r>
    </w:p>
    <w:p w14:paraId="2B053633" w14:textId="77777777" w:rsidR="00F0626C" w:rsidRPr="001A7517" w:rsidRDefault="00F0626C" w:rsidP="00F0626C">
      <w:pPr>
        <w:spacing w:before="240"/>
        <w:ind w:left="2160" w:hanging="720"/>
      </w:pPr>
      <w:r w:rsidRPr="001A7517">
        <w:t>3)</w:t>
      </w:r>
      <w:r w:rsidRPr="001A7517">
        <w:tab/>
        <w:t>Direct Integrity Testing.  A supplier must conduct direct integrity testing in a manner that demonstrates a removal efficiency equal to or greater than the removal credit awarded to the membrane filtration process and meets the requirements described in subsections (b)(3)(A) through (b)(3)(F).  A “direct integrity test” is defined as a physical test applied to a membrane unit in order to identify and isolate integrity breaches (i.e., one or more leaks that could result in contamination of the filtrate).</w:t>
      </w:r>
    </w:p>
    <w:p w14:paraId="01FD0FEF" w14:textId="77777777" w:rsidR="00F0626C" w:rsidRPr="001A7517" w:rsidRDefault="00F0626C" w:rsidP="00F0626C">
      <w:pPr>
        <w:spacing w:before="240"/>
        <w:ind w:left="2880" w:hanging="720"/>
      </w:pPr>
      <w:r w:rsidRPr="001A7517">
        <w:t>A)</w:t>
      </w:r>
      <w:r w:rsidRPr="001A7517">
        <w:tab/>
        <w:t>The direct integrity test must be independently applied to each membrane unit in service.  A membrane unit is defined as a group of membrane modules that share common valving that allows the unit to be isolated from the rest of the treatment system for the purpose of integrity testing or other maintenance.</w:t>
      </w:r>
    </w:p>
    <w:p w14:paraId="6458E949" w14:textId="77777777" w:rsidR="00F0626C" w:rsidRPr="001A7517" w:rsidRDefault="00F0626C" w:rsidP="00F0626C">
      <w:pPr>
        <w:spacing w:before="240"/>
        <w:ind w:left="2880" w:hanging="720"/>
      </w:pPr>
      <w:r w:rsidRPr="001A7517">
        <w:t>B)</w:t>
      </w:r>
      <w:r w:rsidRPr="001A7517">
        <w:tab/>
        <w:t xml:space="preserve">The direct integrity method must have a resolution of three micrometers or less, </w:t>
      </w:r>
      <w:r w:rsidRPr="001A7517">
        <w:rPr>
          <w:spacing w:val="-3"/>
        </w:rPr>
        <w:t xml:space="preserve">if </w:t>
      </w:r>
      <w:r w:rsidRPr="001A7517">
        <w:t>resolution is defined as the size of the smallest integrity breach that contributes to a response from the direct integrity test.</w:t>
      </w:r>
    </w:p>
    <w:p w14:paraId="41FA8ED5" w14:textId="77777777" w:rsidR="00F0626C" w:rsidRPr="001A7517" w:rsidRDefault="00F0626C" w:rsidP="00F0626C">
      <w:pPr>
        <w:spacing w:before="240"/>
        <w:ind w:left="2880" w:hanging="720"/>
      </w:pPr>
      <w:r w:rsidRPr="001A7517">
        <w:t>C)</w:t>
      </w:r>
      <w:r w:rsidRPr="001A7517">
        <w:tab/>
        <w:t xml:space="preserve">The direct integrity test must have a sensitivity sufficient to verify the log treatment credit awarded to the membrane filtration process by the Agency, </w:t>
      </w:r>
      <w:r w:rsidRPr="001A7517">
        <w:rPr>
          <w:spacing w:val="-3"/>
        </w:rPr>
        <w:t xml:space="preserve">if </w:t>
      </w:r>
      <w:r w:rsidRPr="001A7517">
        <w:t xml:space="preserve">sensitivity is defined as the maximum log removal value that can be reliably verified by a direct integrity test.  Sensitivity must be determined using the appropriate of the </w:t>
      </w:r>
      <w:r w:rsidRPr="001A7517">
        <w:lastRenderedPageBreak/>
        <w:t>following approaches, considering the type of direct integrity test the supplier uses:</w:t>
      </w:r>
    </w:p>
    <w:p w14:paraId="44464EC8" w14:textId="77777777" w:rsidR="00F0626C" w:rsidRPr="001A7517" w:rsidRDefault="00F0626C" w:rsidP="00F0626C">
      <w:pPr>
        <w:spacing w:before="240"/>
        <w:ind w:left="3600" w:hanging="720"/>
      </w:pPr>
      <w:r w:rsidRPr="001A7517">
        <w:t>i)</w:t>
      </w:r>
      <w:r w:rsidRPr="001A7517">
        <w:tab/>
        <w:t>For a direct integrity test that uses an applied pressure or vacuum, the direct integrity test sensitivity must be calculated according to the following equation:</w:t>
      </w:r>
    </w:p>
    <w:p w14:paraId="58491A7C" w14:textId="77777777" w:rsidR="00F0626C" w:rsidRPr="001A7517" w:rsidRDefault="00F0626C" w:rsidP="00F0626C">
      <w:pPr>
        <w:spacing w:before="240"/>
        <w:ind w:left="4320"/>
      </w:pPr>
      <w:r w:rsidRPr="001A7517">
        <w:rPr>
          <w:position w:val="-32"/>
        </w:rPr>
        <w:object w:dxaOrig="3100" w:dyaOrig="760" w14:anchorId="3680656E">
          <v:shape id="_x0000_i1032" type="#_x0000_t75" style="width:150pt;height:35.5pt" o:ole="">
            <v:imagedata r:id="rId35" o:title=""/>
          </v:shape>
          <o:OLEObject Type="Embed" ProgID="Equation.3" ShapeID="_x0000_i1032" DrawAspect="Content" ObjectID="_1801494027" r:id="rId36"/>
        </w:object>
      </w:r>
    </w:p>
    <w:p w14:paraId="0789D9FF" w14:textId="77777777" w:rsidR="00F0626C" w:rsidRPr="001A7517" w:rsidRDefault="00F0626C" w:rsidP="00F0626C">
      <w:pPr>
        <w:spacing w:before="240"/>
        <w:ind w:left="4320"/>
      </w:pPr>
      <w:r w:rsidRPr="001A7517">
        <w:t>Where:</w:t>
      </w:r>
    </w:p>
    <w:p w14:paraId="4E7CC209" w14:textId="77777777" w:rsidR="00F0626C" w:rsidRPr="001A7517" w:rsidRDefault="00F0626C" w:rsidP="00F0626C">
      <w:pPr>
        <w:spacing w:before="240"/>
        <w:ind w:left="5040" w:hanging="720"/>
      </w:pPr>
      <w:r w:rsidRPr="001A7517">
        <w:t>LRV</w:t>
      </w:r>
      <w:r w:rsidRPr="001A7517">
        <w:rPr>
          <w:szCs w:val="12"/>
          <w:vertAlign w:val="subscript"/>
        </w:rPr>
        <w:t>DIT</w:t>
      </w:r>
      <w:r w:rsidRPr="001A7517">
        <w:rPr>
          <w:szCs w:val="12"/>
        </w:rPr>
        <w:t xml:space="preserve"> </w:t>
      </w:r>
      <w:r w:rsidRPr="001A7517">
        <w:t>= the sensitivity of the direct integrity test</w:t>
      </w:r>
    </w:p>
    <w:p w14:paraId="232CA82A" w14:textId="77777777" w:rsidR="00F0626C" w:rsidRPr="001A7517" w:rsidRDefault="00F0626C" w:rsidP="00F0626C">
      <w:pPr>
        <w:ind w:left="5040" w:hanging="720"/>
      </w:pPr>
      <w:r w:rsidRPr="001A7517">
        <w:t>Q</w:t>
      </w:r>
      <w:r w:rsidRPr="001A7517">
        <w:rPr>
          <w:szCs w:val="12"/>
          <w:vertAlign w:val="subscript"/>
        </w:rPr>
        <w:t>p</w:t>
      </w:r>
      <w:r w:rsidRPr="001A7517">
        <w:rPr>
          <w:szCs w:val="12"/>
        </w:rPr>
        <w:t xml:space="preserve"> </w:t>
      </w:r>
      <w:r w:rsidRPr="001A7517">
        <w:t>=</w:t>
      </w:r>
      <w:r w:rsidRPr="001A7517">
        <w:tab/>
        <w:t>total design filtrate flow from the membrane unit</w:t>
      </w:r>
    </w:p>
    <w:p w14:paraId="033C2562" w14:textId="77777777" w:rsidR="00F0626C" w:rsidRPr="001A7517" w:rsidRDefault="00F0626C" w:rsidP="00F0626C">
      <w:pPr>
        <w:ind w:left="5040" w:hanging="720"/>
      </w:pPr>
      <w:r w:rsidRPr="001A7517">
        <w:t>Q</w:t>
      </w:r>
      <w:r w:rsidRPr="001A7517">
        <w:rPr>
          <w:szCs w:val="12"/>
          <w:vertAlign w:val="subscript"/>
        </w:rPr>
        <w:t>breach</w:t>
      </w:r>
      <w:r w:rsidRPr="001A7517">
        <w:rPr>
          <w:szCs w:val="12"/>
        </w:rPr>
        <w:t xml:space="preserve"> </w:t>
      </w:r>
      <w:r w:rsidRPr="001A7517">
        <w:t>= flow of water from an integrity breach associated with the smallest integrity test response that can be reliably measured</w:t>
      </w:r>
    </w:p>
    <w:p w14:paraId="3572D713" w14:textId="77777777" w:rsidR="00F0626C" w:rsidRPr="001A7517" w:rsidRDefault="00F0626C" w:rsidP="00F0626C">
      <w:pPr>
        <w:spacing w:after="240"/>
        <w:ind w:left="5040" w:hanging="720"/>
      </w:pPr>
      <w:r w:rsidRPr="001A7517">
        <w:t>VCF =</w:t>
      </w:r>
      <w:r w:rsidRPr="001A7517">
        <w:tab/>
        <w:t>volumetric concentration factor.  The volumetric concentration factor is the ratio of the suspended solids concentration on the high pressure side of the membrane relative to that in the feed water; or</w:t>
      </w:r>
    </w:p>
    <w:p w14:paraId="11B1CFC5" w14:textId="77777777" w:rsidR="00F0626C" w:rsidRPr="001A7517" w:rsidRDefault="00F0626C" w:rsidP="00F0626C">
      <w:pPr>
        <w:spacing w:before="240"/>
        <w:ind w:left="3600" w:hanging="720"/>
      </w:pPr>
      <w:r w:rsidRPr="001A7517">
        <w:t>ii)</w:t>
      </w:r>
      <w:r w:rsidRPr="001A7517">
        <w:tab/>
        <w:t>For a direct integrity test that uses a particulate or molecular marker, the direct integrity test sensitivity must be calculated according to the following equation:</w:t>
      </w:r>
    </w:p>
    <w:p w14:paraId="6D7C7734" w14:textId="77777777" w:rsidR="00F0626C" w:rsidRPr="001A7517" w:rsidRDefault="00F0626C" w:rsidP="00F0626C">
      <w:pPr>
        <w:spacing w:before="240"/>
        <w:ind w:left="4320"/>
      </w:pPr>
      <w:r w:rsidRPr="001A7517">
        <w:rPr>
          <w:position w:val="-14"/>
        </w:rPr>
        <w:object w:dxaOrig="3140" w:dyaOrig="380" w14:anchorId="76BFF736">
          <v:shape id="_x0000_i1033" type="#_x0000_t75" style="width:158.5pt;height:19.5pt" o:ole="">
            <v:imagedata r:id="rId37" o:title=""/>
          </v:shape>
          <o:OLEObject Type="Embed" ProgID="Equation.3" ShapeID="_x0000_i1033" DrawAspect="Content" ObjectID="_1801494028" r:id="rId38"/>
        </w:object>
      </w:r>
    </w:p>
    <w:p w14:paraId="5AF60066" w14:textId="77777777" w:rsidR="00F0626C" w:rsidRPr="001A7517" w:rsidRDefault="00F0626C" w:rsidP="00F0626C">
      <w:pPr>
        <w:spacing w:before="240"/>
        <w:ind w:left="5040" w:hanging="720"/>
      </w:pPr>
      <w:r w:rsidRPr="001A7517">
        <w:t>Where:</w:t>
      </w:r>
    </w:p>
    <w:p w14:paraId="2A7A224C" w14:textId="77777777" w:rsidR="00F0626C" w:rsidRPr="001A7517" w:rsidRDefault="00F0626C" w:rsidP="00F0626C">
      <w:pPr>
        <w:ind w:left="5040" w:hanging="720"/>
      </w:pPr>
      <w:r w:rsidRPr="001A7517">
        <w:t>LRV</w:t>
      </w:r>
      <w:r w:rsidRPr="001A7517">
        <w:rPr>
          <w:szCs w:val="12"/>
          <w:vertAlign w:val="subscript"/>
        </w:rPr>
        <w:t>DIT</w:t>
      </w:r>
      <w:r w:rsidRPr="001A7517">
        <w:rPr>
          <w:szCs w:val="12"/>
        </w:rPr>
        <w:t xml:space="preserve"> </w:t>
      </w:r>
      <w:r w:rsidRPr="001A7517">
        <w:t>= the sensitivity of the direct integrity test</w:t>
      </w:r>
    </w:p>
    <w:p w14:paraId="2A827DE6" w14:textId="77777777" w:rsidR="00F0626C" w:rsidRPr="001A7517" w:rsidRDefault="00F0626C" w:rsidP="00F0626C">
      <w:pPr>
        <w:ind w:left="5040" w:hanging="720"/>
      </w:pPr>
      <w:r w:rsidRPr="001A7517">
        <w:t>C</w:t>
      </w:r>
      <w:r w:rsidRPr="001A7517">
        <w:rPr>
          <w:szCs w:val="12"/>
          <w:vertAlign w:val="subscript"/>
        </w:rPr>
        <w:t>f</w:t>
      </w:r>
      <w:r w:rsidRPr="001A7517">
        <w:rPr>
          <w:szCs w:val="12"/>
        </w:rPr>
        <w:t xml:space="preserve"> </w:t>
      </w:r>
      <w:r w:rsidRPr="001A7517">
        <w:t>=</w:t>
      </w:r>
      <w:r w:rsidRPr="001A7517">
        <w:tab/>
        <w:t>the typical feed concentration of the marker used in the test</w:t>
      </w:r>
    </w:p>
    <w:p w14:paraId="6B24B48C" w14:textId="77777777" w:rsidR="00F0626C" w:rsidRPr="001A7517" w:rsidRDefault="00F0626C" w:rsidP="00F0626C">
      <w:pPr>
        <w:spacing w:after="240"/>
        <w:ind w:left="5040" w:hanging="720"/>
      </w:pPr>
      <w:r w:rsidRPr="001A7517">
        <w:t>C</w:t>
      </w:r>
      <w:r w:rsidRPr="001A7517">
        <w:rPr>
          <w:szCs w:val="12"/>
          <w:vertAlign w:val="subscript"/>
        </w:rPr>
        <w:t>p</w:t>
      </w:r>
      <w:r w:rsidRPr="001A7517">
        <w:rPr>
          <w:szCs w:val="12"/>
        </w:rPr>
        <w:t xml:space="preserve"> </w:t>
      </w:r>
      <w:r w:rsidRPr="001A7517">
        <w:t>=</w:t>
      </w:r>
      <w:r w:rsidRPr="001A7517">
        <w:tab/>
        <w:t>the filtrate concentration of the marker from an integral membrane unit</w:t>
      </w:r>
    </w:p>
    <w:p w14:paraId="7A2F5073" w14:textId="77777777" w:rsidR="00F0626C" w:rsidRPr="001A7517" w:rsidRDefault="00F0626C" w:rsidP="00F0626C">
      <w:pPr>
        <w:spacing w:before="240"/>
        <w:ind w:left="2880" w:hanging="720"/>
      </w:pPr>
      <w:r w:rsidRPr="001A7517">
        <w:t>D)</w:t>
      </w:r>
      <w:r w:rsidRPr="001A7517">
        <w:tab/>
        <w:t>A supplier must establish a control limit within the sensitivity limits of the direct integrity test that is indicative of an integral membrane unit capable of meeting the removal credit awarded by the Agency.</w:t>
      </w:r>
    </w:p>
    <w:p w14:paraId="042E33B5" w14:textId="77777777" w:rsidR="00F0626C" w:rsidRPr="001A7517" w:rsidRDefault="00F0626C" w:rsidP="00F0626C">
      <w:pPr>
        <w:spacing w:before="240"/>
        <w:ind w:left="2880" w:hanging="720"/>
      </w:pPr>
      <w:r w:rsidRPr="001A7517">
        <w:t>E)</w:t>
      </w:r>
      <w:r w:rsidRPr="001A7517">
        <w:tab/>
        <w:t xml:space="preserve">If the result of a direct integrity test exceeds the control limit established under subsection (b)(3)(D), the supplier must remove the membrane unit from service.  The supplier must conduct a </w:t>
      </w:r>
      <w:r w:rsidRPr="001A7517">
        <w:lastRenderedPageBreak/>
        <w:t>direct integrity test to verify any repairs, and it may return the membrane unit to service only if the direct integrity test is within the established control limit.</w:t>
      </w:r>
    </w:p>
    <w:p w14:paraId="7B8257D4" w14:textId="77777777" w:rsidR="00F0626C" w:rsidRPr="001A7517" w:rsidRDefault="00F0626C" w:rsidP="00F0626C">
      <w:pPr>
        <w:spacing w:before="240"/>
        <w:ind w:left="2880" w:hanging="720"/>
      </w:pPr>
      <w:r w:rsidRPr="001A7517">
        <w:t>F)</w:t>
      </w:r>
      <w:r w:rsidRPr="001A7517">
        <w:tab/>
        <w:t>A supplier must conduct direct integrity testing on each membrane unit at a frequency of not less than once each day that the membrane unit is in operation.  The Agency may, by a SEP, approve less frequent testing, based on demonstrated process reliability, the use of multiple barriers effective for Cryptosporidium, or reliable process safeguards.</w:t>
      </w:r>
    </w:p>
    <w:p w14:paraId="52705F3E" w14:textId="77777777" w:rsidR="00F0626C" w:rsidRPr="001A7517" w:rsidRDefault="00F0626C" w:rsidP="00F0626C">
      <w:pPr>
        <w:spacing w:before="240"/>
        <w:ind w:left="2160" w:hanging="720"/>
      </w:pPr>
      <w:r w:rsidRPr="001A7517">
        <w:t>4)</w:t>
      </w:r>
      <w:r w:rsidRPr="001A7517">
        <w:tab/>
        <w:t>Indirect Integrity Monitoring.  A supplier must conduct continuous indirect integrity monitoring on each membrane unit according to the criteria in subsections (b)(4)(A) through (b)(4)(E).  “Indirect integrity monitoring” is defined as monitoring some aspect of filtrate water quality that is indicative of the removal of particulate matter.  A supplier that implements continuous direct integrity testing of membrane units in accordance with the criteria in subsections (b)(3)(A) through (b)(3)(E) is not subject to the requirements for continuous indirect integrity monitoring.  The supplier must submit a monthly report to the Agency summarizing all continuous indirect integrity monitoring results triggering direct integrity testing and the corrective action that was taken in each case.</w:t>
      </w:r>
    </w:p>
    <w:p w14:paraId="3C02B7D9" w14:textId="77777777" w:rsidR="00F0626C" w:rsidRPr="001A7517" w:rsidRDefault="00F0626C" w:rsidP="00F0626C">
      <w:pPr>
        <w:spacing w:before="240"/>
        <w:ind w:left="2880" w:hanging="720"/>
      </w:pPr>
      <w:r w:rsidRPr="001A7517">
        <w:t>A)</w:t>
      </w:r>
      <w:r w:rsidRPr="001A7517">
        <w:tab/>
        <w:t>Unless the Agency approves an alternative parameter by a SEP, continuous indirect integrity monitoring must include continuous filtrate turbidity monitoring.</w:t>
      </w:r>
    </w:p>
    <w:p w14:paraId="4F53D001" w14:textId="77777777" w:rsidR="00F0626C" w:rsidRPr="001A7517" w:rsidRDefault="00F0626C" w:rsidP="00F0626C">
      <w:pPr>
        <w:spacing w:before="240"/>
        <w:ind w:left="2880" w:hanging="720"/>
      </w:pPr>
      <w:r w:rsidRPr="001A7517">
        <w:t>B)</w:t>
      </w:r>
      <w:r w:rsidRPr="001A7517">
        <w:tab/>
        <w:t>Continuous indirect integrity monitoring must be conducted at a frequency of no less than once every 15 minutes.</w:t>
      </w:r>
    </w:p>
    <w:p w14:paraId="5D5F9DD6" w14:textId="77777777" w:rsidR="00F0626C" w:rsidRPr="001A7517" w:rsidRDefault="00F0626C" w:rsidP="00F0626C">
      <w:pPr>
        <w:spacing w:before="240"/>
        <w:ind w:left="2880" w:hanging="720"/>
      </w:pPr>
      <w:r w:rsidRPr="001A7517">
        <w:t>C)</w:t>
      </w:r>
      <w:r w:rsidRPr="001A7517">
        <w:tab/>
        <w:t>Continuous indirect integrity monitoring must be separately conducted on each membrane unit.</w:t>
      </w:r>
    </w:p>
    <w:p w14:paraId="38371507" w14:textId="77777777" w:rsidR="00F0626C" w:rsidRPr="001A7517" w:rsidRDefault="00F0626C" w:rsidP="00F0626C">
      <w:pPr>
        <w:spacing w:before="240"/>
        <w:ind w:left="2880" w:hanging="720"/>
      </w:pPr>
      <w:r w:rsidRPr="001A7517">
        <w:t>D)</w:t>
      </w:r>
      <w:r w:rsidRPr="001A7517">
        <w:tab/>
        <w:t>If continuous indirect integrity monitoring includes turbidity and if the filtrate turbidity readings are above 0.15 NTU for a period greater than 15 minutes (i.e., two consecutive 15-minute readings above 0.15 NTU), direct integrity testing must immediately be performed on the associated membrane unit, as specified in subsections (b)(3)(A) through (b)(3)(E).</w:t>
      </w:r>
    </w:p>
    <w:p w14:paraId="342E71CE" w14:textId="77777777" w:rsidR="00F0626C" w:rsidRPr="001A7517" w:rsidRDefault="00F0626C" w:rsidP="00F0626C">
      <w:pPr>
        <w:spacing w:before="240"/>
        <w:ind w:left="2880" w:hanging="720"/>
      </w:pPr>
      <w:r w:rsidRPr="001A7517">
        <w:t>E)</w:t>
      </w:r>
      <w:r w:rsidRPr="001A7517">
        <w:tab/>
        <w:t xml:space="preserve">If indirect integrity monitoring includes an Agency-approved alternative parameter and if the alternative parameter exceeds an Agency-approved control limit for a period greater than 15 minutes, direct integrity testing must immediately be performed on </w:t>
      </w:r>
      <w:r w:rsidRPr="001A7517">
        <w:lastRenderedPageBreak/>
        <w:t>the associated membrane units, as specified in subsections (b)(3)(A) through (b)(3)(E).</w:t>
      </w:r>
    </w:p>
    <w:p w14:paraId="74D0B184" w14:textId="77777777" w:rsidR="00F0626C" w:rsidRPr="001A7517" w:rsidRDefault="00F0626C" w:rsidP="00F0626C">
      <w:pPr>
        <w:spacing w:before="240"/>
        <w:ind w:left="1440" w:hanging="720"/>
      </w:pPr>
      <w:r w:rsidRPr="001A7517">
        <w:t>c)</w:t>
      </w:r>
      <w:r w:rsidRPr="001A7517">
        <w:tab/>
        <w:t>Second Stage Filtration.  A supplier receives 0.5-log Cryptosporidium treatment credit for a separate second stage of filtration that consists of sand, dual media, GAC, or other fine grain media following granular media filtration if the Agency approves by a SEP.  To be eligible for this credit, the first stage of filtration must be preceded by a coagulation step and both filtration stages must treat the entire plant flow taken from a surface water or groundwater under the direct influence of surface water source.  A cap, such as GAC, on a single stage of filtration is not eligible for this credit.  The Agency must approve the treatment credit based on an assessment of the design characteristics of the filtration process.</w:t>
      </w:r>
    </w:p>
    <w:p w14:paraId="05371250" w14:textId="77777777" w:rsidR="00F0626C" w:rsidRPr="001A7517" w:rsidRDefault="00F0626C" w:rsidP="00F0626C">
      <w:pPr>
        <w:spacing w:before="240"/>
        <w:ind w:left="1440" w:hanging="720"/>
      </w:pPr>
      <w:r w:rsidRPr="001A7517">
        <w:t>d)</w:t>
      </w:r>
      <w:r w:rsidRPr="001A7517">
        <w:tab/>
        <w:t>Slow Sand Filtration (as secondary filter).  A supplier is eligible to receive 2.5-log Cryptosporidium treatment credit by a SEP for a slow sand filtration process that follows a separate stage of filtration if both filtration stages treat entire plant flow taken from a surface water or groundwater under the direct influence of surface water source and no disinfectant residual is present in the influent water to the slow sand filtration process.  The Agency must approve the treatment credit based on an assessment of the design characteristics of the filtration process.  This subsection (d) does not apply to treatment credit awarded to slow sand filtration used as a primary filtration process.</w:t>
      </w:r>
    </w:p>
    <w:p w14:paraId="2CC63632" w14:textId="77777777" w:rsidR="00F0626C" w:rsidRPr="001A7517" w:rsidRDefault="00F0626C" w:rsidP="00F0626C">
      <w:pPr>
        <w:spacing w:before="240"/>
      </w:pPr>
      <w:r w:rsidRPr="001A7517">
        <w:t>BOARD NOTE:  Derived from 40 CFR 141.719.</w:t>
      </w:r>
    </w:p>
    <w:p w14:paraId="4B19D94E"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39B26791" w14:textId="77777777" w:rsidR="00F0626C" w:rsidRPr="001A7517" w:rsidRDefault="00F0626C" w:rsidP="00F0626C">
      <w:pPr>
        <w:keepNext/>
        <w:keepLines/>
        <w:suppressAutoHyphens/>
        <w:spacing w:before="240"/>
        <w:rPr>
          <w:b/>
          <w:szCs w:val="16"/>
        </w:rPr>
      </w:pPr>
      <w:r w:rsidRPr="001A7517">
        <w:rPr>
          <w:b/>
          <w:szCs w:val="16"/>
        </w:rPr>
        <w:t>Section 611.1020  Requirements for Microbial Toolbox Components:  Inactivation Toolbox Components</w:t>
      </w:r>
    </w:p>
    <w:p w14:paraId="0C3C048A" w14:textId="77777777" w:rsidR="00F0626C" w:rsidRPr="001A7517" w:rsidRDefault="00F0626C" w:rsidP="00F0626C">
      <w:pPr>
        <w:spacing w:before="240"/>
        <w:ind w:left="1440" w:hanging="720"/>
      </w:pPr>
      <w:r w:rsidRPr="001A7517">
        <w:rPr>
          <w:szCs w:val="16"/>
        </w:rPr>
        <w:t>a)</w:t>
      </w:r>
      <w:r w:rsidRPr="001A7517">
        <w:rPr>
          <w:szCs w:val="16"/>
        </w:rPr>
        <w:tab/>
      </w:r>
      <w:r w:rsidRPr="001A7517">
        <w:t>Calculation of CT Values</w:t>
      </w:r>
    </w:p>
    <w:p w14:paraId="7586D3F5" w14:textId="77777777" w:rsidR="00F0626C" w:rsidRPr="001A7517" w:rsidRDefault="00F0626C" w:rsidP="00F0626C">
      <w:pPr>
        <w:spacing w:before="240"/>
        <w:ind w:left="2160" w:hanging="720"/>
      </w:pPr>
      <w:r w:rsidRPr="001A7517">
        <w:t>1)</w:t>
      </w:r>
      <w:r w:rsidRPr="001A7517">
        <w:tab/>
        <w:t>CT is the product of the disinfectant contact time (T, in minutes) and disinfectant concentration (C, in milligrams per liter).  A supplier with treatment credit for chlorine dioxide or ozone under subsection (b) or (c) must calculate CT at least once each day, with both C and T measured during peak hourly flow, as specified in Sections 611.531 and 611.532.</w:t>
      </w:r>
    </w:p>
    <w:p w14:paraId="507E5630" w14:textId="77777777" w:rsidR="00F0626C" w:rsidRPr="001A7517" w:rsidRDefault="00F0626C" w:rsidP="00F0626C">
      <w:pPr>
        <w:spacing w:before="240"/>
        <w:ind w:left="2160" w:hanging="720"/>
      </w:pPr>
      <w:r w:rsidRPr="001A7517">
        <w:t>2)</w:t>
      </w:r>
      <w:r w:rsidRPr="001A7517">
        <w:tab/>
        <w:t xml:space="preserve">A supplier with several disinfection segments in sequence may calculate CT for each segment, </w:t>
      </w:r>
      <w:r w:rsidRPr="001A7517">
        <w:rPr>
          <w:spacing w:val="-3"/>
        </w:rPr>
        <w:t xml:space="preserve">if </w:t>
      </w:r>
      <w:r w:rsidRPr="001A7517">
        <w:t>a disinfection segment is defined as a treatment unit process with a measurable disinfectant residual level and a liquid volume.  Under this approach, the supplier must add the Cryptosporidium CT values in each segment to determine the total CT for the treatment plant.</w:t>
      </w:r>
    </w:p>
    <w:p w14:paraId="19BD56C4" w14:textId="77777777" w:rsidR="00F0626C" w:rsidRPr="001A7517" w:rsidRDefault="00F0626C" w:rsidP="00F0626C">
      <w:pPr>
        <w:spacing w:before="240"/>
        <w:ind w:left="1440" w:hanging="720"/>
      </w:pPr>
      <w:r w:rsidRPr="001A7517">
        <w:t>b)</w:t>
      </w:r>
      <w:r w:rsidRPr="001A7517">
        <w:tab/>
        <w:t>CT Values for Chlorine Dioxide and Ozone</w:t>
      </w:r>
    </w:p>
    <w:p w14:paraId="0FB66330" w14:textId="77777777" w:rsidR="00F0626C" w:rsidRPr="001A7517" w:rsidRDefault="00F0626C" w:rsidP="00F0626C">
      <w:pPr>
        <w:spacing w:before="240"/>
        <w:ind w:left="2160" w:hanging="720"/>
      </w:pPr>
      <w:r w:rsidRPr="001A7517">
        <w:lastRenderedPageBreak/>
        <w:t>1)</w:t>
      </w:r>
      <w:r w:rsidRPr="001A7517">
        <w:tab/>
        <w:t xml:space="preserve">A supplier receives the Cryptosporidium treatment credit listed in </w:t>
      </w:r>
      <w:bookmarkStart w:id="4486" w:name="_Hlk14964757"/>
      <w:r w:rsidRPr="001A7517">
        <w:t>Table H</w:t>
      </w:r>
      <w:bookmarkEnd w:id="4486"/>
      <w:r w:rsidRPr="001A7517">
        <w:t xml:space="preserve"> by meeting the corresponding chlorine dioxide CT value for the applicable water temperature, as described in subsection (a).</w:t>
      </w:r>
    </w:p>
    <w:p w14:paraId="6307F4F0" w14:textId="77777777" w:rsidR="00F0626C" w:rsidRPr="001A7517" w:rsidRDefault="00F0626C" w:rsidP="00F0626C">
      <w:pPr>
        <w:spacing w:before="240"/>
        <w:ind w:left="2160" w:hanging="720"/>
      </w:pPr>
      <w:r w:rsidRPr="001A7517">
        <w:rPr>
          <w:szCs w:val="16"/>
        </w:rPr>
        <w:t>2)</w:t>
      </w:r>
      <w:r w:rsidRPr="001A7517">
        <w:rPr>
          <w:szCs w:val="16"/>
        </w:rPr>
        <w:tab/>
      </w:r>
      <w:r w:rsidRPr="001A7517">
        <w:t>A supplier receives the Cryptosporidium treatment credit listed in Table I by meeting the corresponding ozone CT values for the applicable water temperature, as described in subsection (a).</w:t>
      </w:r>
    </w:p>
    <w:p w14:paraId="434C867C" w14:textId="77777777" w:rsidR="00F0626C" w:rsidRPr="001A7517" w:rsidRDefault="00F0626C" w:rsidP="00F0626C">
      <w:pPr>
        <w:spacing w:before="240"/>
        <w:ind w:left="1440" w:hanging="720"/>
      </w:pPr>
      <w:r w:rsidRPr="001A7517">
        <w:rPr>
          <w:szCs w:val="16"/>
        </w:rPr>
        <w:t>c)</w:t>
      </w:r>
      <w:r w:rsidRPr="001A7517">
        <w:rPr>
          <w:szCs w:val="16"/>
        </w:rPr>
        <w:tab/>
      </w:r>
      <w:r w:rsidRPr="001A7517">
        <w:t>Site-Specific Study.  The Agency may, by a SEP, approve alternative chlorine dioxide or ozone CT values to those listed in Tables H and I on a site-specific basis.  The Agency must base this approval on a site-specific study conducted by the supplier according to an Agency-approved protocol.</w:t>
      </w:r>
    </w:p>
    <w:p w14:paraId="69D02114" w14:textId="77777777" w:rsidR="00F0626C" w:rsidRPr="001A7517" w:rsidRDefault="00F0626C" w:rsidP="00F0626C">
      <w:pPr>
        <w:spacing w:before="240"/>
        <w:ind w:left="1440" w:hanging="720"/>
      </w:pPr>
      <w:r w:rsidRPr="001A7517">
        <w:t>d)</w:t>
      </w:r>
      <w:r w:rsidRPr="001A7517">
        <w:tab/>
        <w:t>Ultraviolet Light.  A supplier receives Cryptosporidium, Giardia lamblia, and virus treatment credits for ultraviolet (UV) light reactors by achieving the corresponding UV dose values shown in Table J.  The supplier must validate and monitor UV reactors, as described in subsections (d)(2) and (d)(3), to demonstrate that they are achieving a particular UV dose value for treatment credit.</w:t>
      </w:r>
    </w:p>
    <w:p w14:paraId="7091FAE4" w14:textId="77777777" w:rsidR="00F0626C" w:rsidRPr="001A7517" w:rsidRDefault="00F0626C" w:rsidP="00F0626C">
      <w:pPr>
        <w:spacing w:before="240"/>
        <w:ind w:left="2160" w:hanging="720"/>
      </w:pPr>
      <w:r w:rsidRPr="001A7517">
        <w:t>1)</w:t>
      </w:r>
      <w:r w:rsidRPr="001A7517">
        <w:tab/>
        <w:t>UV Dose Table.  The treatment credits listed in Table J are for UV light at a wavelength of 254 nm as produced by a low-pressure mercury vapor lamp.  To receive treatment credit for other lamp types, a supplier must demonstrate an equivalent germicidal dose through reactor validation testing, as described in subsection (d)(2).  The UV dose values in this table are applicable only to post-filter applications of UV in a filtered system supplier and to an unfiltered system supplier.</w:t>
      </w:r>
    </w:p>
    <w:p w14:paraId="2B52FBFC" w14:textId="77777777" w:rsidR="00F0626C" w:rsidRPr="001A7517" w:rsidRDefault="00F0626C" w:rsidP="00F0626C">
      <w:pPr>
        <w:spacing w:before="240"/>
        <w:ind w:left="2160" w:hanging="720"/>
      </w:pPr>
      <w:r w:rsidRPr="001A7517">
        <w:rPr>
          <w:szCs w:val="16"/>
        </w:rPr>
        <w:t>2)</w:t>
      </w:r>
      <w:r w:rsidRPr="001A7517">
        <w:rPr>
          <w:szCs w:val="16"/>
        </w:rPr>
        <w:tab/>
      </w:r>
      <w:r w:rsidRPr="001A7517">
        <w:t>Reactor Validation Testing.  A supplier must use UV reactors that have undergone validation testing to determine the operating conditions under which the reactor delivers the UV dose required in subsection (d)(1) (i.e., validated operating conditions).  These operating conditions must include flow rate; UV intensity, as measured by a UV sensor; and UV lamp status.</w:t>
      </w:r>
    </w:p>
    <w:p w14:paraId="2999AF77" w14:textId="77777777" w:rsidR="00F0626C" w:rsidRPr="001A7517" w:rsidRDefault="00F0626C" w:rsidP="00F0626C">
      <w:pPr>
        <w:spacing w:before="240"/>
        <w:ind w:left="2880" w:hanging="720"/>
      </w:pPr>
      <w:r w:rsidRPr="001A7517">
        <w:t>A)</w:t>
      </w:r>
      <w:r w:rsidRPr="001A7517">
        <w:tab/>
        <w:t>When determining validated operating conditions, a supplier must account for the following factors:  UV absorbance of the water; lamp fouling and aging; measurement uncertainty of on-line sensors; UV dose distributions arising from the velocity profiles through the reactor; failure of UV lamps or other critical treatment system components; and inlet and outlet piping or channel configurations of the UV reactor.</w:t>
      </w:r>
    </w:p>
    <w:p w14:paraId="07ED358F" w14:textId="77777777" w:rsidR="00F0626C" w:rsidRPr="001A7517" w:rsidRDefault="00F0626C" w:rsidP="00F0626C">
      <w:pPr>
        <w:spacing w:before="240"/>
        <w:ind w:left="2880" w:hanging="720"/>
      </w:pPr>
      <w:r w:rsidRPr="001A7517">
        <w:t>B)</w:t>
      </w:r>
      <w:r w:rsidRPr="001A7517">
        <w:tab/>
        <w:t>Validation testing must include the following:  Full scale testing of a reactor that conforms uniformly to the UV reactors used by the supplier and inactivation of a test microorganism whose dose response characteristics have been quantified with a low pressure mercury vapor lamp.</w:t>
      </w:r>
    </w:p>
    <w:p w14:paraId="322C73CF" w14:textId="77777777" w:rsidR="00F0626C" w:rsidRPr="001A7517" w:rsidRDefault="00F0626C" w:rsidP="00F0626C">
      <w:pPr>
        <w:spacing w:before="240"/>
        <w:ind w:left="2880" w:hanging="720"/>
      </w:pPr>
      <w:r w:rsidRPr="001A7517">
        <w:lastRenderedPageBreak/>
        <w:t>C)</w:t>
      </w:r>
      <w:r w:rsidRPr="001A7517">
        <w:tab/>
        <w:t>The Agency may, by a SEP, approve an alternative approach to validation testing.</w:t>
      </w:r>
    </w:p>
    <w:p w14:paraId="6E63A343" w14:textId="77777777" w:rsidR="00F0626C" w:rsidRPr="001A7517" w:rsidRDefault="00F0626C" w:rsidP="00F0626C">
      <w:pPr>
        <w:spacing w:before="240"/>
        <w:ind w:left="2160" w:hanging="720"/>
      </w:pPr>
      <w:r w:rsidRPr="001A7517">
        <w:t>3)</w:t>
      </w:r>
      <w:r w:rsidRPr="001A7517">
        <w:tab/>
        <w:t>Reactor Monitoring</w:t>
      </w:r>
    </w:p>
    <w:p w14:paraId="7F7B4416" w14:textId="77777777" w:rsidR="00F0626C" w:rsidRPr="001A7517" w:rsidRDefault="00F0626C" w:rsidP="00F0626C">
      <w:pPr>
        <w:spacing w:before="240"/>
        <w:ind w:left="2880" w:hanging="720"/>
      </w:pPr>
      <w:r w:rsidRPr="001A7517">
        <w:t>A)</w:t>
      </w:r>
      <w:r w:rsidRPr="001A7517">
        <w:tab/>
        <w:t>A supplier must monitor its UV reactors to determine if the reactors are operating within validated conditions, as determined under subsection (d)(2).  This monitoring must include UV intensity, as measured by a UV sensor; flow rate; lamp status; and other parameters that the Agency has designated by a SEP based on UV reactor operation.  A supplier must verify the calibration of UV sensors and must recalibrate sensors in accordance with a protocol that the Agency has approved by the SEP.</w:t>
      </w:r>
    </w:p>
    <w:p w14:paraId="36EFFED9" w14:textId="77777777" w:rsidR="00F0626C" w:rsidRPr="001A7517" w:rsidRDefault="00F0626C" w:rsidP="00F0626C">
      <w:pPr>
        <w:spacing w:before="240"/>
        <w:ind w:left="2880" w:hanging="720"/>
      </w:pPr>
      <w:r w:rsidRPr="001A7517">
        <w:t>B)</w:t>
      </w:r>
      <w:r w:rsidRPr="001A7517">
        <w:tab/>
        <w:t>To receive treatment credit for UV light, a supplier must treat at least 95 percent of the water delivered to the public during each month by UV reactors operating within validated conditions for the required UV dose, as described in subsections (d)(1) and (d)(2).  The supplier must demonstrate compliance with this condition by the monitoring required under subsection (d)(3)(A).</w:t>
      </w:r>
    </w:p>
    <w:p w14:paraId="3010923D" w14:textId="77777777" w:rsidR="00F0626C" w:rsidRPr="001A7517" w:rsidRDefault="00F0626C" w:rsidP="00F0626C">
      <w:pPr>
        <w:spacing w:before="240"/>
      </w:pPr>
      <w:r w:rsidRPr="001A7517">
        <w:t>BOARD NOTE:  Derived from 40 CFR 141.720.</w:t>
      </w:r>
    </w:p>
    <w:p w14:paraId="06C70BF9"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1D2312D2" w14:textId="77777777" w:rsidR="00F0626C" w:rsidRPr="001A7517" w:rsidRDefault="00F0626C" w:rsidP="00F0626C">
      <w:pPr>
        <w:keepNext/>
        <w:keepLines/>
        <w:suppressAutoHyphens/>
        <w:spacing w:before="240"/>
        <w:rPr>
          <w:b/>
          <w:szCs w:val="16"/>
        </w:rPr>
      </w:pPr>
      <w:r w:rsidRPr="001A7517">
        <w:rPr>
          <w:b/>
          <w:szCs w:val="16"/>
        </w:rPr>
        <w:t>Section 611.1021  Reporting and Recordkeeping Requirements:  Reporting Requirements</w:t>
      </w:r>
    </w:p>
    <w:p w14:paraId="6595C114" w14:textId="77777777" w:rsidR="00F0626C" w:rsidRPr="001A7517" w:rsidRDefault="00F0626C" w:rsidP="00F0626C">
      <w:pPr>
        <w:spacing w:before="240"/>
        <w:ind w:left="1440" w:hanging="720"/>
      </w:pPr>
      <w:r w:rsidRPr="001A7517">
        <w:rPr>
          <w:szCs w:val="16"/>
        </w:rPr>
        <w:t>a)</w:t>
      </w:r>
      <w:r w:rsidRPr="001A7517">
        <w:rPr>
          <w:szCs w:val="16"/>
        </w:rPr>
        <w:tab/>
      </w:r>
      <w:r w:rsidRPr="001A7517">
        <w:t>A supplier must report sampling schedules under Section 611.1002 and source water monitoring results under Section 611.1006 unless it notifies the Agency that it will not conduct source water monitoring because the supplier meets the criteria of Section 611.1001(d).</w:t>
      </w:r>
    </w:p>
    <w:p w14:paraId="3D1CFE59" w14:textId="77777777" w:rsidR="00F0626C" w:rsidRPr="001A7517" w:rsidRDefault="00F0626C" w:rsidP="00F0626C">
      <w:pPr>
        <w:spacing w:before="240"/>
        <w:ind w:left="1440" w:hanging="720"/>
      </w:pPr>
      <w:r w:rsidRPr="001A7517">
        <w:t>b)</w:t>
      </w:r>
      <w:r w:rsidRPr="001A7517">
        <w:tab/>
        <w:t>A supplier must report the use of uncovered finished water storage facilities to the Agency, as described in Section 611.1014.</w:t>
      </w:r>
    </w:p>
    <w:p w14:paraId="1C566D42" w14:textId="77777777" w:rsidR="00F0626C" w:rsidRPr="001A7517" w:rsidRDefault="00F0626C" w:rsidP="00F0626C">
      <w:pPr>
        <w:spacing w:before="240"/>
        <w:ind w:left="1440" w:hanging="720"/>
      </w:pPr>
      <w:r w:rsidRPr="001A7517">
        <w:t>c)</w:t>
      </w:r>
      <w:r w:rsidRPr="001A7517">
        <w:tab/>
        <w:t>A filtered system supplier must report its Cryptosporidium bin classification, as described in Section 611.1010.</w:t>
      </w:r>
    </w:p>
    <w:p w14:paraId="3AAA370C" w14:textId="77777777" w:rsidR="00F0626C" w:rsidRPr="001A7517" w:rsidRDefault="00F0626C" w:rsidP="00F0626C">
      <w:pPr>
        <w:spacing w:before="240"/>
        <w:ind w:left="1440" w:hanging="720"/>
      </w:pPr>
      <w:r w:rsidRPr="001A7517">
        <w:t>d)</w:t>
      </w:r>
      <w:r w:rsidRPr="001A7517">
        <w:tab/>
        <w:t>An unfiltered system supplier must report its mean source water Cryptosporidium level, as described in Section 611.1012.</w:t>
      </w:r>
    </w:p>
    <w:p w14:paraId="2F0E986F" w14:textId="77777777" w:rsidR="00F0626C" w:rsidRPr="001A7517" w:rsidRDefault="00F0626C" w:rsidP="00F0626C">
      <w:pPr>
        <w:spacing w:before="240"/>
        <w:ind w:left="1440" w:hanging="720"/>
      </w:pPr>
      <w:r w:rsidRPr="001A7517">
        <w:t>e)</w:t>
      </w:r>
      <w:r w:rsidRPr="001A7517">
        <w:tab/>
        <w:t>A supplier must report disinfection profiles and benchmarks to the Agency, as described in Sections 611.1008 and 611.1009, prior to making a significant change in disinfection practice.</w:t>
      </w:r>
    </w:p>
    <w:p w14:paraId="5DFAA254" w14:textId="77777777" w:rsidR="00F0626C" w:rsidRPr="001A7517" w:rsidRDefault="00F0626C" w:rsidP="00F0626C">
      <w:pPr>
        <w:spacing w:before="240"/>
        <w:ind w:left="1440" w:hanging="720"/>
      </w:pPr>
      <w:r w:rsidRPr="001A7517">
        <w:lastRenderedPageBreak/>
        <w:t>f)</w:t>
      </w:r>
      <w:r w:rsidRPr="001A7517">
        <w:tab/>
        <w:t>A supplier must report to the Agency in accordance with subsections (f)(1) through (f)(15) for any microbial toolbox options used to comply with treatment requirements under Section 611.1011 or Section 611.1012.  Alternatively, the Agency may, by a SEP, approve a supplier to certify operation within required parameters for treatment credit rather than reporting monthly operational data for toolbox options.</w:t>
      </w:r>
    </w:p>
    <w:p w14:paraId="73325FB5" w14:textId="77777777" w:rsidR="00F0626C" w:rsidRPr="001A7517" w:rsidRDefault="00F0626C" w:rsidP="00F0626C">
      <w:pPr>
        <w:spacing w:before="240"/>
        <w:ind w:left="2160" w:hanging="720"/>
      </w:pPr>
      <w:r w:rsidRPr="001A7517">
        <w:t>1)</w:t>
      </w:r>
      <w:r w:rsidRPr="001A7517">
        <w:tab/>
        <w:t xml:space="preserve">A supplier that uses the </w:t>
      </w:r>
      <w:r w:rsidRPr="001A7517">
        <w:rPr>
          <w:szCs w:val="16"/>
        </w:rPr>
        <w:t>watershed control program</w:t>
      </w:r>
      <w:r w:rsidRPr="001A7517">
        <w:t xml:space="preserve"> toolbox option must submit the following information on the indicated schedule:</w:t>
      </w:r>
    </w:p>
    <w:p w14:paraId="6E8E91DF" w14:textId="77777777" w:rsidR="00F0626C" w:rsidRPr="001A7517" w:rsidRDefault="00F0626C" w:rsidP="00F0626C">
      <w:pPr>
        <w:spacing w:before="240"/>
        <w:ind w:left="2880" w:hanging="720"/>
      </w:pPr>
      <w:r w:rsidRPr="001A7517">
        <w:t>A)</w:t>
      </w:r>
      <w:r w:rsidRPr="001A7517">
        <w:tab/>
      </w:r>
      <w:r w:rsidRPr="001A7517">
        <w:rPr>
          <w:szCs w:val="16"/>
        </w:rPr>
        <w:t>A notice of intention to develop a new or continue an existing watershed control program no later than two years before the applicable treatment compliance date in Section 611.1013;</w:t>
      </w:r>
    </w:p>
    <w:p w14:paraId="6E7F003C" w14:textId="77777777" w:rsidR="00F0626C" w:rsidRPr="001A7517" w:rsidRDefault="00F0626C" w:rsidP="00F0626C">
      <w:pPr>
        <w:spacing w:before="240"/>
        <w:ind w:left="2880" w:hanging="720"/>
      </w:pPr>
      <w:r w:rsidRPr="001A7517">
        <w:t>B)</w:t>
      </w:r>
      <w:r w:rsidRPr="001A7517">
        <w:tab/>
      </w:r>
      <w:r w:rsidRPr="001A7517">
        <w:rPr>
          <w:szCs w:val="16"/>
        </w:rPr>
        <w:t>A watershed control plan no later than one year before the applicable treatment compliance date in Section 611.1013;</w:t>
      </w:r>
    </w:p>
    <w:p w14:paraId="1938F11D" w14:textId="77777777" w:rsidR="00F0626C" w:rsidRPr="001A7517" w:rsidRDefault="00F0626C" w:rsidP="00F0626C">
      <w:pPr>
        <w:spacing w:before="240"/>
        <w:ind w:left="2880" w:hanging="720"/>
      </w:pPr>
      <w:r w:rsidRPr="001A7517">
        <w:t>C)</w:t>
      </w:r>
      <w:r w:rsidRPr="001A7517">
        <w:tab/>
      </w:r>
      <w:r w:rsidRPr="001A7517">
        <w:rPr>
          <w:szCs w:val="16"/>
        </w:rPr>
        <w:t>An annual watershed control program status report every 12 months, beginning one year after the applicable treatment compliance date in Section 611.1013; and</w:t>
      </w:r>
    </w:p>
    <w:p w14:paraId="3886ADFE" w14:textId="77777777" w:rsidR="00F0626C" w:rsidRPr="001A7517" w:rsidRDefault="00F0626C" w:rsidP="00F0626C">
      <w:pPr>
        <w:spacing w:before="240"/>
        <w:ind w:left="2880" w:hanging="720"/>
      </w:pPr>
      <w:r w:rsidRPr="001A7517">
        <w:t>D)</w:t>
      </w:r>
      <w:r w:rsidRPr="001A7517">
        <w:tab/>
      </w:r>
      <w:r w:rsidRPr="001A7517">
        <w:rPr>
          <w:szCs w:val="16"/>
        </w:rPr>
        <w:t>A watershed sanitary survey report:  for a CWS supplier, every three years beginning three years after the applicable treatment compliance date in Section 611.1013 or, for a non-CWS supplier, every five years beginning five years after the applicable treatment compliance date in Section 611.1013.</w:t>
      </w:r>
    </w:p>
    <w:p w14:paraId="21CDB58D" w14:textId="77777777" w:rsidR="00F0626C" w:rsidRPr="001A7517" w:rsidRDefault="00F0626C" w:rsidP="00F0626C">
      <w:pPr>
        <w:spacing w:before="240"/>
        <w:ind w:left="2160" w:hanging="720"/>
      </w:pPr>
      <w:r w:rsidRPr="001A7517">
        <w:t>2)</w:t>
      </w:r>
      <w:r w:rsidRPr="001A7517">
        <w:tab/>
        <w:t xml:space="preserve">A supplier that uses the </w:t>
      </w:r>
      <w:r w:rsidRPr="001A7517">
        <w:rPr>
          <w:szCs w:val="16"/>
        </w:rPr>
        <w:t>alternative source or intake management</w:t>
      </w:r>
      <w:r w:rsidRPr="001A7517">
        <w:t xml:space="preserve"> toolbox option must submit </w:t>
      </w:r>
      <w:r w:rsidRPr="001A7517">
        <w:rPr>
          <w:szCs w:val="16"/>
        </w:rPr>
        <w:t>verification that it has relocated the intake or adopted the intake withdrawal procedure reflected in monitoring results no later than the applicable treatment compliance date in Section 611.1013.</w:t>
      </w:r>
    </w:p>
    <w:p w14:paraId="6BBAB89D" w14:textId="77777777" w:rsidR="00F0626C" w:rsidRPr="001A7517" w:rsidRDefault="00F0626C" w:rsidP="00F0626C">
      <w:pPr>
        <w:spacing w:before="240"/>
        <w:ind w:left="2160" w:hanging="720"/>
      </w:pPr>
      <w:r w:rsidRPr="001A7517">
        <w:t>3)</w:t>
      </w:r>
      <w:r w:rsidRPr="001A7517">
        <w:tab/>
        <w:t xml:space="preserve">A supplier that uses the </w:t>
      </w:r>
      <w:r w:rsidRPr="001A7517">
        <w:rPr>
          <w:szCs w:val="16"/>
        </w:rPr>
        <w:t>presedimentation</w:t>
      </w:r>
      <w:r w:rsidRPr="001A7517">
        <w:t xml:space="preserve"> toolbox option must submit </w:t>
      </w:r>
      <w:r w:rsidRPr="001A7517">
        <w:rPr>
          <w:szCs w:val="16"/>
        </w:rPr>
        <w:t>monthly verification of the information set forth in each of subsections (f)(3)(A) through (f)(3)(D), subject to the limitations of subsection (f)(3)(E)</w:t>
      </w:r>
      <w:r w:rsidRPr="001A7517">
        <w:t>.</w:t>
      </w:r>
    </w:p>
    <w:p w14:paraId="7549496E" w14:textId="77777777" w:rsidR="00F0626C" w:rsidRPr="001A7517" w:rsidRDefault="00F0626C" w:rsidP="00F0626C">
      <w:pPr>
        <w:spacing w:before="240"/>
        <w:ind w:left="2880" w:hanging="720"/>
      </w:pPr>
      <w:r w:rsidRPr="001A7517">
        <w:t>A)</w:t>
      </w:r>
      <w:r w:rsidRPr="001A7517">
        <w:tab/>
      </w:r>
      <w:r w:rsidRPr="001A7517">
        <w:rPr>
          <w:szCs w:val="16"/>
        </w:rPr>
        <w:t>Continuous basin operation</w:t>
      </w:r>
      <w:r w:rsidRPr="001A7517">
        <w:t>;</w:t>
      </w:r>
    </w:p>
    <w:p w14:paraId="1792FE78" w14:textId="77777777" w:rsidR="00F0626C" w:rsidRPr="001A7517" w:rsidRDefault="00F0626C" w:rsidP="00F0626C">
      <w:pPr>
        <w:spacing w:before="240"/>
        <w:ind w:left="2880" w:hanging="720"/>
      </w:pPr>
      <w:r w:rsidRPr="001A7517">
        <w:t>B)</w:t>
      </w:r>
      <w:r w:rsidRPr="001A7517">
        <w:tab/>
      </w:r>
      <w:r w:rsidRPr="001A7517">
        <w:rPr>
          <w:szCs w:val="16"/>
        </w:rPr>
        <w:t>Treatment of 100% of the flow</w:t>
      </w:r>
      <w:r w:rsidRPr="001A7517">
        <w:t>;</w:t>
      </w:r>
    </w:p>
    <w:p w14:paraId="7D38FEA8" w14:textId="77777777" w:rsidR="00F0626C" w:rsidRPr="001A7517" w:rsidRDefault="00F0626C" w:rsidP="00F0626C">
      <w:pPr>
        <w:spacing w:before="240"/>
        <w:ind w:left="2880" w:hanging="720"/>
      </w:pPr>
      <w:r w:rsidRPr="001A7517">
        <w:t>C)</w:t>
      </w:r>
      <w:r w:rsidRPr="001A7517">
        <w:tab/>
      </w:r>
      <w:r w:rsidRPr="001A7517">
        <w:rPr>
          <w:szCs w:val="16"/>
        </w:rPr>
        <w:t>Continuous addition of a coagulant</w:t>
      </w:r>
      <w:r w:rsidRPr="001A7517">
        <w:t>; and</w:t>
      </w:r>
    </w:p>
    <w:p w14:paraId="0E8E74A9" w14:textId="77777777" w:rsidR="00F0626C" w:rsidRPr="001A7517" w:rsidRDefault="00F0626C" w:rsidP="00F0626C">
      <w:pPr>
        <w:spacing w:before="240"/>
        <w:ind w:left="2880" w:hanging="720"/>
      </w:pPr>
      <w:r w:rsidRPr="001A7517">
        <w:t>D)</w:t>
      </w:r>
      <w:r w:rsidRPr="001A7517">
        <w:tab/>
      </w:r>
      <w:r w:rsidRPr="001A7517">
        <w:rPr>
          <w:szCs w:val="16"/>
        </w:rPr>
        <w:t xml:space="preserve">At least 0.5-log mean reduction of influent turbidity or compliance with alternative </w:t>
      </w:r>
      <w:r w:rsidRPr="001A7517">
        <w:t>Agency</w:t>
      </w:r>
      <w:r w:rsidRPr="001A7517">
        <w:rPr>
          <w:szCs w:val="16"/>
        </w:rPr>
        <w:t>-approved performance criteria</w:t>
      </w:r>
      <w:r w:rsidRPr="001A7517">
        <w:t>.</w:t>
      </w:r>
    </w:p>
    <w:p w14:paraId="0A1E342A" w14:textId="77777777" w:rsidR="00F0626C" w:rsidRPr="001A7517" w:rsidRDefault="00F0626C" w:rsidP="00F0626C">
      <w:pPr>
        <w:spacing w:before="240"/>
        <w:ind w:left="2880" w:hanging="720"/>
      </w:pPr>
      <w:r w:rsidRPr="001A7517">
        <w:lastRenderedPageBreak/>
        <w:t>E)</w:t>
      </w:r>
      <w:r w:rsidRPr="001A7517">
        <w:tab/>
      </w:r>
      <w:r w:rsidRPr="001A7517">
        <w:rPr>
          <w:szCs w:val="16"/>
        </w:rPr>
        <w:t>Monthly reporting must occur within 10 days following the month in which the monitoring was conducted, beginning on the applicable treatment compliance date in Section 611.1013</w:t>
      </w:r>
      <w:r w:rsidRPr="001A7517">
        <w:t>.</w:t>
      </w:r>
    </w:p>
    <w:p w14:paraId="43C3EEA6" w14:textId="77777777" w:rsidR="00F0626C" w:rsidRPr="001A7517" w:rsidRDefault="00F0626C" w:rsidP="00F0626C">
      <w:pPr>
        <w:spacing w:before="240"/>
        <w:ind w:left="2160" w:hanging="720"/>
      </w:pPr>
      <w:r w:rsidRPr="001A7517">
        <w:t>4)</w:t>
      </w:r>
      <w:r w:rsidRPr="001A7517">
        <w:tab/>
        <w:t xml:space="preserve">A supplier that uses the </w:t>
      </w:r>
      <w:r w:rsidRPr="001A7517">
        <w:rPr>
          <w:szCs w:val="16"/>
        </w:rPr>
        <w:t>two-stage lime softening</w:t>
      </w:r>
      <w:r w:rsidRPr="001A7517">
        <w:t xml:space="preserve"> toolbox option must submit </w:t>
      </w:r>
      <w:r w:rsidRPr="001A7517">
        <w:rPr>
          <w:szCs w:val="16"/>
        </w:rPr>
        <w:t>monthly verification of the information set forth in each of subsections (f)(4)(A) and (f)(4)(B), subject to the limitations of subsection (f)(4)(C)</w:t>
      </w:r>
      <w:r w:rsidRPr="001A7517">
        <w:t>.</w:t>
      </w:r>
    </w:p>
    <w:p w14:paraId="4EA72368" w14:textId="77777777" w:rsidR="00F0626C" w:rsidRPr="001A7517" w:rsidRDefault="00F0626C" w:rsidP="00F0626C">
      <w:pPr>
        <w:spacing w:before="240"/>
        <w:ind w:left="2880" w:hanging="720"/>
      </w:pPr>
      <w:r w:rsidRPr="001A7517">
        <w:t>A)</w:t>
      </w:r>
      <w:r w:rsidRPr="001A7517">
        <w:tab/>
      </w:r>
      <w:r w:rsidRPr="001A7517">
        <w:rPr>
          <w:szCs w:val="16"/>
        </w:rPr>
        <w:t>That chemical addition and hardness precipitation occurred in two separate and sequential softening stages prior to filtration</w:t>
      </w:r>
      <w:r w:rsidRPr="001A7517">
        <w:t>; and</w:t>
      </w:r>
    </w:p>
    <w:p w14:paraId="7D062318" w14:textId="77777777" w:rsidR="00F0626C" w:rsidRPr="001A7517" w:rsidRDefault="00F0626C" w:rsidP="00F0626C">
      <w:pPr>
        <w:spacing w:before="240"/>
        <w:ind w:left="2880" w:hanging="720"/>
      </w:pPr>
      <w:r w:rsidRPr="001A7517">
        <w:t>B)</w:t>
      </w:r>
      <w:r w:rsidRPr="001A7517">
        <w:tab/>
      </w:r>
      <w:r w:rsidRPr="001A7517">
        <w:rPr>
          <w:szCs w:val="16"/>
        </w:rPr>
        <w:t>That both stages treated 100% of the plant flow.</w:t>
      </w:r>
    </w:p>
    <w:p w14:paraId="6F7D5982" w14:textId="77777777" w:rsidR="00F0626C" w:rsidRPr="001A7517" w:rsidRDefault="00F0626C" w:rsidP="00F0626C">
      <w:pPr>
        <w:spacing w:before="240"/>
        <w:ind w:left="2880" w:hanging="720"/>
      </w:pPr>
      <w:r w:rsidRPr="001A7517">
        <w:t>C)</w:t>
      </w:r>
      <w:r w:rsidRPr="001A7517">
        <w:tab/>
      </w:r>
      <w:r w:rsidRPr="001A7517">
        <w:rPr>
          <w:szCs w:val="16"/>
        </w:rPr>
        <w:t>Monthly reporting must occur within 10 days following the month in which the monitoring was conducted, beginning on the applicable treatment compliance date in Section 611.1013.</w:t>
      </w:r>
    </w:p>
    <w:p w14:paraId="36DFD1EE" w14:textId="77777777" w:rsidR="00F0626C" w:rsidRPr="001A7517" w:rsidRDefault="00F0626C" w:rsidP="00F0626C">
      <w:pPr>
        <w:spacing w:before="240"/>
        <w:ind w:left="2160" w:hanging="720"/>
      </w:pPr>
      <w:r w:rsidRPr="001A7517">
        <w:t>5)</w:t>
      </w:r>
      <w:r w:rsidRPr="001A7517">
        <w:tab/>
        <w:t xml:space="preserve">A supplier that uses the </w:t>
      </w:r>
      <w:r w:rsidRPr="001A7517">
        <w:rPr>
          <w:szCs w:val="16"/>
        </w:rPr>
        <w:t>bank filtration</w:t>
      </w:r>
      <w:r w:rsidRPr="001A7517">
        <w:t xml:space="preserve"> toolbox option must submit the following information on the indicated schedule:</w:t>
      </w:r>
    </w:p>
    <w:p w14:paraId="43855B1F" w14:textId="77777777" w:rsidR="00F0626C" w:rsidRPr="001A7517" w:rsidRDefault="00F0626C" w:rsidP="00F0626C">
      <w:pPr>
        <w:spacing w:before="240"/>
        <w:ind w:left="2880" w:hanging="720"/>
      </w:pPr>
      <w:r w:rsidRPr="001A7517">
        <w:t>A)</w:t>
      </w:r>
      <w:r w:rsidRPr="001A7517">
        <w:tab/>
        <w:t xml:space="preserve">An </w:t>
      </w:r>
      <w:r w:rsidRPr="001A7517">
        <w:rPr>
          <w:szCs w:val="16"/>
        </w:rPr>
        <w:t>initial demonstration of the following no later than the applicable treatment compliance date in Section 611.1013:</w:t>
      </w:r>
    </w:p>
    <w:p w14:paraId="6E058EEC" w14:textId="77777777" w:rsidR="00F0626C" w:rsidRPr="001A7517" w:rsidRDefault="00F0626C" w:rsidP="00F0626C">
      <w:pPr>
        <w:spacing w:before="240"/>
        <w:ind w:left="3600" w:hanging="720"/>
      </w:pPr>
      <w:r w:rsidRPr="001A7517">
        <w:t>i)</w:t>
      </w:r>
      <w:r w:rsidRPr="001A7517">
        <w:tab/>
      </w:r>
      <w:r w:rsidRPr="001A7517">
        <w:rPr>
          <w:szCs w:val="16"/>
        </w:rPr>
        <w:t>The existence of unconsolidated, predominantly sandy aquifer</w:t>
      </w:r>
      <w:r w:rsidRPr="001A7517">
        <w:t>; and</w:t>
      </w:r>
    </w:p>
    <w:p w14:paraId="6648EBB1" w14:textId="77777777" w:rsidR="00F0626C" w:rsidRPr="001A7517" w:rsidRDefault="00F0626C" w:rsidP="00F0626C">
      <w:pPr>
        <w:spacing w:before="240"/>
        <w:ind w:left="3600" w:hanging="720"/>
      </w:pPr>
      <w:r w:rsidRPr="001A7517">
        <w:t>ii)</w:t>
      </w:r>
      <w:r w:rsidRPr="001A7517">
        <w:tab/>
      </w:r>
      <w:r w:rsidRPr="001A7517">
        <w:rPr>
          <w:szCs w:val="16"/>
        </w:rPr>
        <w:t>A setback distance of at least 25 ft. (0.5-log credit) or 50 ft. (1.0-log credit).</w:t>
      </w:r>
    </w:p>
    <w:p w14:paraId="1686DE2A" w14:textId="77777777" w:rsidR="00F0626C" w:rsidRPr="001A7517" w:rsidRDefault="00F0626C" w:rsidP="00F0626C">
      <w:pPr>
        <w:spacing w:before="240"/>
        <w:ind w:left="2880" w:hanging="720"/>
      </w:pPr>
      <w:r w:rsidRPr="001A7517">
        <w:t>B)</w:t>
      </w:r>
      <w:r w:rsidRPr="001A7517">
        <w:tab/>
      </w:r>
      <w:r w:rsidRPr="001A7517">
        <w:rPr>
          <w:szCs w:val="16"/>
        </w:rPr>
        <w:t>If the monthly average of daily maximum turbidity is greater than 1 NTU, then the supplier must report that result and submit an assessment of the cause within 30 days following the month in which the monitoring was conducted, beginning on the applicable treatment compliance date in Section 611.1013.</w:t>
      </w:r>
    </w:p>
    <w:p w14:paraId="4F05A435" w14:textId="77777777" w:rsidR="00F0626C" w:rsidRPr="001A7517" w:rsidRDefault="00F0626C" w:rsidP="00F0626C">
      <w:pPr>
        <w:spacing w:before="240"/>
        <w:ind w:left="2160" w:hanging="720"/>
      </w:pPr>
      <w:r w:rsidRPr="001A7517">
        <w:t>6)</w:t>
      </w:r>
      <w:r w:rsidRPr="001A7517">
        <w:tab/>
        <w:t xml:space="preserve">A supplier that uses the </w:t>
      </w:r>
      <w:r w:rsidRPr="001A7517">
        <w:rPr>
          <w:szCs w:val="16"/>
        </w:rPr>
        <w:t>combined filter performance</w:t>
      </w:r>
      <w:r w:rsidRPr="001A7517">
        <w:t xml:space="preserve"> toolbox option must submit </w:t>
      </w:r>
      <w:r w:rsidRPr="001A7517">
        <w:rPr>
          <w:szCs w:val="16"/>
        </w:rPr>
        <w:t>monthly verification of combined filter effluent (CFE) turbidity levels less than or equal to 0.15 NTU in at least 95 percent of the four-hour CFE measurements taken each month.  Monthly reporting must occur within 10 days following the month in which the monitoring was conducted, beginning on the applicable treatment compliance date in Section 611.1013.</w:t>
      </w:r>
    </w:p>
    <w:p w14:paraId="267972E0" w14:textId="77777777" w:rsidR="00F0626C" w:rsidRPr="001A7517" w:rsidRDefault="00F0626C" w:rsidP="00F0626C">
      <w:pPr>
        <w:spacing w:before="240"/>
        <w:ind w:left="2160" w:hanging="720"/>
      </w:pPr>
      <w:r w:rsidRPr="001A7517">
        <w:t>7)</w:t>
      </w:r>
      <w:r w:rsidRPr="001A7517">
        <w:tab/>
        <w:t xml:space="preserve">A supplier that uses the </w:t>
      </w:r>
      <w:r w:rsidRPr="001A7517">
        <w:rPr>
          <w:szCs w:val="16"/>
        </w:rPr>
        <w:t>individual filter performance</w:t>
      </w:r>
      <w:r w:rsidRPr="001A7517">
        <w:t xml:space="preserve"> toolbox option must submit </w:t>
      </w:r>
      <w:r w:rsidRPr="001A7517">
        <w:rPr>
          <w:szCs w:val="16"/>
        </w:rPr>
        <w:t xml:space="preserve">monthly verification of </w:t>
      </w:r>
      <w:r w:rsidRPr="001A7517">
        <w:t>the information</w:t>
      </w:r>
      <w:r w:rsidRPr="001A7517">
        <w:rPr>
          <w:szCs w:val="16"/>
        </w:rPr>
        <w:t xml:space="preserve"> set forth in each of </w:t>
      </w:r>
      <w:r w:rsidRPr="001A7517">
        <w:rPr>
          <w:szCs w:val="16"/>
        </w:rPr>
        <w:lastRenderedPageBreak/>
        <w:t>subsections (f)(7)(A) and (f)(7)(B), subject to the limitations of subsection (f)(7)(C)</w:t>
      </w:r>
      <w:r w:rsidRPr="001A7517">
        <w:t>.</w:t>
      </w:r>
    </w:p>
    <w:p w14:paraId="1C38CB40" w14:textId="77777777" w:rsidR="00F0626C" w:rsidRPr="001A7517" w:rsidRDefault="00F0626C" w:rsidP="00F0626C">
      <w:pPr>
        <w:spacing w:before="240"/>
        <w:ind w:left="2880" w:hanging="720"/>
      </w:pPr>
      <w:r w:rsidRPr="001A7517">
        <w:t>A)</w:t>
      </w:r>
      <w:r w:rsidRPr="001A7517">
        <w:tab/>
      </w:r>
      <w:r w:rsidRPr="001A7517">
        <w:rPr>
          <w:szCs w:val="16"/>
        </w:rPr>
        <w:t>That individual filter effluent (IFE ) turbidity levels were less than or equal to 0.15 NTU in at least 95 percent of samples each month in each filter</w:t>
      </w:r>
      <w:r w:rsidRPr="001A7517">
        <w:t>; and</w:t>
      </w:r>
    </w:p>
    <w:p w14:paraId="49DA21DA" w14:textId="77777777" w:rsidR="00F0626C" w:rsidRPr="001A7517" w:rsidRDefault="00F0626C" w:rsidP="00F0626C">
      <w:pPr>
        <w:spacing w:before="240"/>
        <w:ind w:left="2880" w:hanging="720"/>
      </w:pPr>
      <w:r w:rsidRPr="001A7517">
        <w:t>B)</w:t>
      </w:r>
      <w:r w:rsidRPr="001A7517">
        <w:tab/>
      </w:r>
      <w:r w:rsidRPr="001A7517">
        <w:rPr>
          <w:szCs w:val="16"/>
        </w:rPr>
        <w:t>That no individual filter measured greater than 0.3 NTU in two consecutive readings 15 minutes apart</w:t>
      </w:r>
      <w:r w:rsidRPr="001A7517">
        <w:t>.</w:t>
      </w:r>
    </w:p>
    <w:p w14:paraId="50518C99" w14:textId="77777777" w:rsidR="00F0626C" w:rsidRPr="001A7517" w:rsidRDefault="00F0626C" w:rsidP="00F0626C">
      <w:pPr>
        <w:spacing w:before="240"/>
        <w:ind w:left="2880" w:hanging="720"/>
      </w:pPr>
      <w:r w:rsidRPr="001A7517">
        <w:t>C)</w:t>
      </w:r>
      <w:r w:rsidRPr="001A7517">
        <w:tab/>
      </w:r>
      <w:r w:rsidRPr="001A7517">
        <w:rPr>
          <w:szCs w:val="16"/>
        </w:rPr>
        <w:t>Monthly reporting must occur within 10 days following the month in which the monitoring was conducted, beginning on the applicable treatment compliance date in Section 611.1013.</w:t>
      </w:r>
    </w:p>
    <w:p w14:paraId="638BB2B4" w14:textId="77777777" w:rsidR="00F0626C" w:rsidRPr="001A7517" w:rsidRDefault="00F0626C" w:rsidP="00F0626C">
      <w:pPr>
        <w:spacing w:before="240"/>
        <w:ind w:left="2160" w:hanging="720"/>
      </w:pPr>
      <w:r w:rsidRPr="001A7517">
        <w:t>8)</w:t>
      </w:r>
      <w:r w:rsidRPr="001A7517">
        <w:tab/>
        <w:t xml:space="preserve">A supplier that uses the </w:t>
      </w:r>
      <w:r w:rsidRPr="001A7517">
        <w:rPr>
          <w:szCs w:val="16"/>
        </w:rPr>
        <w:t>demonstration of performance</w:t>
      </w:r>
      <w:r w:rsidRPr="001A7517">
        <w:t xml:space="preserve"> toolbox option must submit the information</w:t>
      </w:r>
      <w:r w:rsidRPr="001A7517">
        <w:rPr>
          <w:szCs w:val="16"/>
        </w:rPr>
        <w:t xml:space="preserve"> set forth in each of subsections (f)(8)(A) and (f)(8)(B)</w:t>
      </w:r>
      <w:r w:rsidRPr="001A7517">
        <w:t xml:space="preserve"> on the indicated schedule:</w:t>
      </w:r>
    </w:p>
    <w:p w14:paraId="01539D87" w14:textId="77777777" w:rsidR="00F0626C" w:rsidRPr="001A7517" w:rsidRDefault="00F0626C" w:rsidP="00F0626C">
      <w:pPr>
        <w:spacing w:before="240"/>
        <w:ind w:left="2880" w:hanging="720"/>
      </w:pPr>
      <w:r w:rsidRPr="001A7517">
        <w:t>A)</w:t>
      </w:r>
      <w:r w:rsidRPr="001A7517">
        <w:tab/>
      </w:r>
      <w:r w:rsidRPr="001A7517">
        <w:rPr>
          <w:szCs w:val="16"/>
        </w:rPr>
        <w:t xml:space="preserve">Results from testing following an </w:t>
      </w:r>
      <w:r w:rsidRPr="001A7517">
        <w:t>Agency-</w:t>
      </w:r>
      <w:r w:rsidRPr="001A7517">
        <w:rPr>
          <w:szCs w:val="16"/>
        </w:rPr>
        <w:t>approved protocol no later than the applicable treatment compliance date in Section 611.1013</w:t>
      </w:r>
      <w:r w:rsidRPr="001A7517">
        <w:t>; and</w:t>
      </w:r>
    </w:p>
    <w:p w14:paraId="7FCEFA5D" w14:textId="77777777" w:rsidR="00F0626C" w:rsidRPr="001A7517" w:rsidRDefault="00F0626C" w:rsidP="00F0626C">
      <w:pPr>
        <w:spacing w:before="240"/>
        <w:ind w:left="2880" w:hanging="720"/>
      </w:pPr>
      <w:r w:rsidRPr="001A7517">
        <w:t>B)</w:t>
      </w:r>
      <w:r w:rsidRPr="001A7517">
        <w:tab/>
      </w:r>
      <w:r w:rsidRPr="001A7517">
        <w:rPr>
          <w:szCs w:val="16"/>
        </w:rPr>
        <w:t xml:space="preserve">As required by the </w:t>
      </w:r>
      <w:r w:rsidRPr="001A7517">
        <w:t>Agency</w:t>
      </w:r>
      <w:r w:rsidRPr="001A7517">
        <w:rPr>
          <w:szCs w:val="16"/>
        </w:rPr>
        <w:t xml:space="preserve">, monthly verification of operation within conditions of </w:t>
      </w:r>
      <w:r w:rsidRPr="001A7517">
        <w:t xml:space="preserve">Agency </w:t>
      </w:r>
      <w:r w:rsidRPr="001A7517">
        <w:rPr>
          <w:szCs w:val="16"/>
        </w:rPr>
        <w:t>approval for demonstration of performance credit within 10 days following the month in which monitoring was conducted, beginning on the applicable treatment compliance date in Section 611.1013.</w:t>
      </w:r>
    </w:p>
    <w:p w14:paraId="4267B613" w14:textId="77777777" w:rsidR="00F0626C" w:rsidRPr="001A7517" w:rsidRDefault="00F0626C" w:rsidP="00F0626C">
      <w:pPr>
        <w:spacing w:before="240"/>
        <w:ind w:left="2160" w:hanging="720"/>
      </w:pPr>
      <w:r w:rsidRPr="001A7517">
        <w:t>9)</w:t>
      </w:r>
      <w:r w:rsidRPr="001A7517">
        <w:tab/>
        <w:t xml:space="preserve">A supplier that uses the </w:t>
      </w:r>
      <w:r w:rsidRPr="001A7517">
        <w:rPr>
          <w:szCs w:val="16"/>
        </w:rPr>
        <w:t>bag filters and cartridge filters</w:t>
      </w:r>
      <w:r w:rsidRPr="001A7517">
        <w:t xml:space="preserve"> toolbox option must submit the information</w:t>
      </w:r>
      <w:r w:rsidRPr="001A7517">
        <w:rPr>
          <w:szCs w:val="16"/>
        </w:rPr>
        <w:t xml:space="preserve"> set forth in each of subsections (f)(9)(A) and (f)(9)(B)</w:t>
      </w:r>
      <w:r w:rsidRPr="001A7517">
        <w:t xml:space="preserve"> on the indicated schedule:</w:t>
      </w:r>
    </w:p>
    <w:p w14:paraId="1FC0D8B0" w14:textId="77777777" w:rsidR="00F0626C" w:rsidRPr="001A7517" w:rsidRDefault="00F0626C" w:rsidP="00F0626C">
      <w:pPr>
        <w:spacing w:before="240"/>
        <w:ind w:left="2880" w:hanging="720"/>
      </w:pPr>
      <w:r w:rsidRPr="001A7517">
        <w:t>A)</w:t>
      </w:r>
      <w:r w:rsidRPr="001A7517">
        <w:tab/>
      </w:r>
      <w:r w:rsidRPr="001A7517">
        <w:rPr>
          <w:szCs w:val="16"/>
        </w:rPr>
        <w:t>A demonstration, no later than the applicable treatment compliance date in Section 611.1013, that the following criteria are met:</w:t>
      </w:r>
    </w:p>
    <w:p w14:paraId="44458CFD" w14:textId="77777777" w:rsidR="00F0626C" w:rsidRPr="001A7517" w:rsidRDefault="00F0626C" w:rsidP="00F0626C">
      <w:pPr>
        <w:spacing w:before="240"/>
        <w:ind w:left="3600" w:hanging="720"/>
      </w:pPr>
      <w:r w:rsidRPr="001A7517">
        <w:t>i)</w:t>
      </w:r>
      <w:r w:rsidRPr="001A7517">
        <w:tab/>
      </w:r>
      <w:r w:rsidRPr="001A7517">
        <w:rPr>
          <w:szCs w:val="16"/>
        </w:rPr>
        <w:t>It must demonstrate that the process meets the definition of bag or cartridge filtration; and</w:t>
      </w:r>
    </w:p>
    <w:p w14:paraId="3B3E9077" w14:textId="77777777" w:rsidR="00F0626C" w:rsidRPr="001A7517" w:rsidRDefault="00F0626C" w:rsidP="00F0626C">
      <w:pPr>
        <w:spacing w:before="240"/>
        <w:ind w:left="3600" w:hanging="720"/>
      </w:pPr>
      <w:r w:rsidRPr="001A7517">
        <w:t>ii)</w:t>
      </w:r>
      <w:r w:rsidRPr="001A7517">
        <w:tab/>
      </w:r>
      <w:r w:rsidRPr="001A7517">
        <w:rPr>
          <w:szCs w:val="16"/>
        </w:rPr>
        <w:t xml:space="preserve">It must demonstrate that the removal efficiency established through challenge testing that meets criteria in </w:t>
      </w:r>
      <w:r w:rsidRPr="001A7517">
        <w:t>this Subpart Z</w:t>
      </w:r>
      <w:r w:rsidRPr="001A7517">
        <w:rPr>
          <w:szCs w:val="16"/>
        </w:rPr>
        <w:t>; and</w:t>
      </w:r>
    </w:p>
    <w:p w14:paraId="6A38F4CD" w14:textId="77777777" w:rsidR="00F0626C" w:rsidRPr="001A7517" w:rsidRDefault="00F0626C" w:rsidP="00F0626C">
      <w:pPr>
        <w:spacing w:before="240"/>
        <w:ind w:left="2880" w:hanging="720"/>
      </w:pPr>
      <w:r w:rsidRPr="001A7517">
        <w:t>B)</w:t>
      </w:r>
      <w:r w:rsidRPr="001A7517">
        <w:tab/>
      </w:r>
      <w:r w:rsidRPr="001A7517">
        <w:rPr>
          <w:szCs w:val="16"/>
        </w:rPr>
        <w:t>Monthly verification, within 10 days following the month in which monitoring was conducted, beginning on the applicable treatment compliance date in Section 611.1013, that 100% of plant flow was filtered.</w:t>
      </w:r>
    </w:p>
    <w:p w14:paraId="261458EE" w14:textId="77777777" w:rsidR="00F0626C" w:rsidRPr="001A7517" w:rsidRDefault="00F0626C" w:rsidP="00F0626C">
      <w:pPr>
        <w:spacing w:before="240"/>
        <w:ind w:left="2160" w:hanging="720"/>
      </w:pPr>
      <w:r w:rsidRPr="001A7517">
        <w:lastRenderedPageBreak/>
        <w:t>10)</w:t>
      </w:r>
      <w:r w:rsidRPr="001A7517">
        <w:tab/>
        <w:t xml:space="preserve">A supplier that uses the </w:t>
      </w:r>
      <w:r w:rsidRPr="001A7517">
        <w:rPr>
          <w:szCs w:val="16"/>
        </w:rPr>
        <w:t>membrane filtration</w:t>
      </w:r>
      <w:r w:rsidRPr="001A7517">
        <w:t xml:space="preserve"> toolbox option must submit the following information on the indicated schedule:</w:t>
      </w:r>
    </w:p>
    <w:p w14:paraId="75A470FC" w14:textId="77777777" w:rsidR="00F0626C" w:rsidRPr="001A7517" w:rsidRDefault="00F0626C" w:rsidP="00F0626C">
      <w:pPr>
        <w:spacing w:before="240"/>
        <w:ind w:left="2880" w:hanging="720"/>
      </w:pPr>
      <w:r w:rsidRPr="001A7517">
        <w:t>A)</w:t>
      </w:r>
      <w:r w:rsidRPr="001A7517">
        <w:tab/>
      </w:r>
      <w:r w:rsidRPr="001A7517">
        <w:rPr>
          <w:szCs w:val="16"/>
        </w:rPr>
        <w:t>Results of verification testing no later than the applicable treatment compliance date in Section 611.1013 that demonstrate the following:</w:t>
      </w:r>
    </w:p>
    <w:p w14:paraId="408F5B2C" w14:textId="77777777" w:rsidR="00F0626C" w:rsidRPr="001A7517" w:rsidRDefault="00F0626C" w:rsidP="00F0626C">
      <w:pPr>
        <w:spacing w:before="240"/>
        <w:ind w:left="3600" w:hanging="720"/>
      </w:pPr>
      <w:r w:rsidRPr="001A7517">
        <w:t>i)</w:t>
      </w:r>
      <w:r w:rsidRPr="001A7517">
        <w:tab/>
      </w:r>
      <w:r w:rsidRPr="001A7517">
        <w:rPr>
          <w:szCs w:val="16"/>
        </w:rPr>
        <w:t xml:space="preserve">It must demonstrate that the removal efficiency established through challenge testing that meets criteria set forth in </w:t>
      </w:r>
      <w:r w:rsidRPr="001A7517">
        <w:t>this Subpart Z</w:t>
      </w:r>
      <w:r w:rsidRPr="001A7517">
        <w:rPr>
          <w:szCs w:val="16"/>
        </w:rPr>
        <w:t>; and</w:t>
      </w:r>
    </w:p>
    <w:p w14:paraId="56A988EA" w14:textId="77777777" w:rsidR="00F0626C" w:rsidRPr="001A7517" w:rsidRDefault="00F0626C" w:rsidP="00F0626C">
      <w:pPr>
        <w:spacing w:before="240"/>
        <w:ind w:left="3600" w:hanging="720"/>
      </w:pPr>
      <w:r w:rsidRPr="001A7517">
        <w:t>ii)</w:t>
      </w:r>
      <w:r w:rsidRPr="001A7517">
        <w:tab/>
      </w:r>
      <w:r w:rsidRPr="001A7517">
        <w:rPr>
          <w:szCs w:val="16"/>
        </w:rPr>
        <w:t>It must demonstrate the integrity test method and parameters, including resolution, sensitivity, test frequency, control limits, and associated baseline; and</w:t>
      </w:r>
    </w:p>
    <w:p w14:paraId="40F6625B" w14:textId="77777777" w:rsidR="00F0626C" w:rsidRPr="001A7517" w:rsidRDefault="00F0626C" w:rsidP="00F0626C">
      <w:pPr>
        <w:spacing w:before="240"/>
        <w:ind w:left="2880" w:hanging="720"/>
      </w:pPr>
      <w:r w:rsidRPr="001A7517">
        <w:t>B)</w:t>
      </w:r>
      <w:r w:rsidRPr="001A7517">
        <w:tab/>
      </w:r>
      <w:r w:rsidRPr="001A7517">
        <w:rPr>
          <w:szCs w:val="16"/>
        </w:rPr>
        <w:t>A monthly report within 10 days following the month in which monitoring was conducted, beginning on the applicable treatment compliance date in Section 611.1013, that summarizes the following:</w:t>
      </w:r>
    </w:p>
    <w:p w14:paraId="472825BC" w14:textId="77777777" w:rsidR="00F0626C" w:rsidRPr="001A7517" w:rsidRDefault="00F0626C" w:rsidP="00F0626C">
      <w:pPr>
        <w:spacing w:before="240"/>
        <w:ind w:left="3600" w:hanging="720"/>
      </w:pPr>
      <w:r w:rsidRPr="001A7517">
        <w:t>i)</w:t>
      </w:r>
      <w:r w:rsidRPr="001A7517">
        <w:tab/>
      </w:r>
      <w:r w:rsidRPr="001A7517">
        <w:rPr>
          <w:szCs w:val="16"/>
        </w:rPr>
        <w:t>It must summarize all direct integrity tests above the control limit; and</w:t>
      </w:r>
    </w:p>
    <w:p w14:paraId="6A3C6D9E" w14:textId="77777777" w:rsidR="00F0626C" w:rsidRPr="001A7517" w:rsidRDefault="00F0626C" w:rsidP="00F0626C">
      <w:pPr>
        <w:spacing w:before="240"/>
        <w:ind w:left="3600" w:hanging="720"/>
      </w:pPr>
      <w:r w:rsidRPr="001A7517">
        <w:t>ii)</w:t>
      </w:r>
      <w:r w:rsidRPr="001A7517">
        <w:tab/>
      </w:r>
      <w:r w:rsidRPr="001A7517">
        <w:rPr>
          <w:szCs w:val="16"/>
        </w:rPr>
        <w:t>If applicable, it must summarize any turbidity or alternative Agency-approved indirect integrity monitoring results triggering direct integrity testing and the corrective action that was taken.</w:t>
      </w:r>
    </w:p>
    <w:p w14:paraId="2B463BD0" w14:textId="77777777" w:rsidR="00F0626C" w:rsidRPr="001A7517" w:rsidRDefault="00F0626C" w:rsidP="00F0626C">
      <w:pPr>
        <w:spacing w:before="240"/>
        <w:ind w:left="2160" w:hanging="720"/>
      </w:pPr>
      <w:r w:rsidRPr="001A7517">
        <w:t>11)</w:t>
      </w:r>
      <w:r w:rsidRPr="001A7517">
        <w:tab/>
        <w:t xml:space="preserve">A supplier that uses the </w:t>
      </w:r>
      <w:r w:rsidRPr="001A7517">
        <w:rPr>
          <w:szCs w:val="16"/>
        </w:rPr>
        <w:t xml:space="preserve">second stage filtration </w:t>
      </w:r>
      <w:r w:rsidRPr="001A7517">
        <w:t xml:space="preserve"> toolbox option must submit</w:t>
      </w:r>
      <w:r w:rsidRPr="001A7517">
        <w:rPr>
          <w:szCs w:val="16"/>
        </w:rPr>
        <w:t xml:space="preserve"> monthly verification within 10 days following the month in which monitoring was conducted, beginning on the applicable treatment compliance date in Section 611.1013, that 100% of flow was filtered through both stages and that first stage was preceded by coagulation step.</w:t>
      </w:r>
    </w:p>
    <w:p w14:paraId="4071663E" w14:textId="77777777" w:rsidR="00F0626C" w:rsidRPr="001A7517" w:rsidRDefault="00F0626C" w:rsidP="00F0626C">
      <w:pPr>
        <w:spacing w:before="240"/>
        <w:ind w:left="2160" w:hanging="720"/>
      </w:pPr>
      <w:r w:rsidRPr="001A7517">
        <w:t>12)</w:t>
      </w:r>
      <w:r w:rsidRPr="001A7517">
        <w:tab/>
        <w:t xml:space="preserve">A supplier that uses the </w:t>
      </w:r>
      <w:r w:rsidRPr="001A7517">
        <w:rPr>
          <w:szCs w:val="16"/>
        </w:rPr>
        <w:t>slow sand filtration (as secondary filter)</w:t>
      </w:r>
      <w:r w:rsidRPr="001A7517">
        <w:t xml:space="preserve"> toolbox option must submit</w:t>
      </w:r>
      <w:r w:rsidRPr="001A7517">
        <w:rPr>
          <w:szCs w:val="16"/>
        </w:rPr>
        <w:t xml:space="preserve"> monthly verification within 10 days following the month in which monitoring was conducted, beginning on the applicable treatment compliance date in Section 611.1013, that both a slow sand filter and a preceding separate stage of filtration treated 100% of flow from </w:t>
      </w:r>
      <w:r w:rsidRPr="001A7517">
        <w:t>Subpart B</w:t>
      </w:r>
      <w:r w:rsidRPr="001A7517">
        <w:rPr>
          <w:szCs w:val="16"/>
        </w:rPr>
        <w:t xml:space="preserve"> sources.</w:t>
      </w:r>
    </w:p>
    <w:p w14:paraId="596C1D88" w14:textId="77777777" w:rsidR="00F0626C" w:rsidRPr="001A7517" w:rsidRDefault="00F0626C" w:rsidP="00F0626C">
      <w:pPr>
        <w:spacing w:before="240"/>
        <w:ind w:left="2160" w:hanging="720"/>
      </w:pPr>
      <w:r w:rsidRPr="001A7517">
        <w:t>13)</w:t>
      </w:r>
      <w:r w:rsidRPr="001A7517">
        <w:tab/>
        <w:t xml:space="preserve">A supplier that uses the </w:t>
      </w:r>
      <w:r w:rsidRPr="001A7517">
        <w:rPr>
          <w:szCs w:val="16"/>
        </w:rPr>
        <w:t>chlorine dioxide</w:t>
      </w:r>
      <w:r w:rsidRPr="001A7517">
        <w:t xml:space="preserve"> toolbox option must submit </w:t>
      </w:r>
      <w:r w:rsidRPr="001A7517">
        <w:rPr>
          <w:szCs w:val="16"/>
        </w:rPr>
        <w:t>a monthly summary of CT values for each day within 10 days following the month in which monitoring was conducted, beginning on the applicable treatment compliance date in Section 611.1013, as described in Section 611.1020.</w:t>
      </w:r>
    </w:p>
    <w:p w14:paraId="23B5CF69" w14:textId="77777777" w:rsidR="00F0626C" w:rsidRPr="001A7517" w:rsidRDefault="00F0626C" w:rsidP="00F0626C">
      <w:pPr>
        <w:spacing w:before="240"/>
        <w:ind w:left="2160" w:hanging="720"/>
      </w:pPr>
      <w:r w:rsidRPr="001A7517">
        <w:lastRenderedPageBreak/>
        <w:t>14)</w:t>
      </w:r>
      <w:r w:rsidRPr="001A7517">
        <w:tab/>
        <w:t xml:space="preserve">A supplier that uses the </w:t>
      </w:r>
      <w:r w:rsidRPr="001A7517">
        <w:rPr>
          <w:szCs w:val="16"/>
        </w:rPr>
        <w:t>ozone</w:t>
      </w:r>
      <w:r w:rsidRPr="001A7517">
        <w:t xml:space="preserve"> toolbox option must submit </w:t>
      </w:r>
      <w:r w:rsidRPr="001A7517">
        <w:rPr>
          <w:szCs w:val="16"/>
        </w:rPr>
        <w:t>a monthly summary of CT values for each day within 10 days following the month in which monitoring was conducted, beginning on the applicable treatment compliance date in Section 611.1013, as described in Section 611.1020.</w:t>
      </w:r>
    </w:p>
    <w:p w14:paraId="10E2C34B" w14:textId="77777777" w:rsidR="00F0626C" w:rsidRPr="001A7517" w:rsidRDefault="00F0626C" w:rsidP="00F0626C">
      <w:pPr>
        <w:spacing w:before="240"/>
        <w:ind w:left="2160" w:hanging="720"/>
      </w:pPr>
      <w:r w:rsidRPr="001A7517">
        <w:t>15)</w:t>
      </w:r>
      <w:r w:rsidRPr="001A7517">
        <w:tab/>
        <w:t xml:space="preserve">A supplier that uses the </w:t>
      </w:r>
      <w:r w:rsidRPr="001A7517">
        <w:rPr>
          <w:szCs w:val="16"/>
        </w:rPr>
        <w:t>UV</w:t>
      </w:r>
      <w:r w:rsidRPr="001A7517">
        <w:t xml:space="preserve"> toolbox option must submit the following information on the indicated schedule:</w:t>
      </w:r>
    </w:p>
    <w:p w14:paraId="666AC70C" w14:textId="77777777" w:rsidR="00F0626C" w:rsidRPr="001A7517" w:rsidRDefault="00F0626C" w:rsidP="00F0626C">
      <w:pPr>
        <w:spacing w:before="240"/>
        <w:ind w:left="2880" w:hanging="720"/>
      </w:pPr>
      <w:r w:rsidRPr="001A7517">
        <w:t>A)</w:t>
      </w:r>
      <w:r w:rsidRPr="001A7517">
        <w:tab/>
      </w:r>
      <w:r w:rsidRPr="001A7517">
        <w:rPr>
          <w:szCs w:val="16"/>
        </w:rPr>
        <w:t>Validation test results no later than the applicable treatment compliance date in Section 611.1013, that demonstrate operating conditions that achieve required UV dose.</w:t>
      </w:r>
    </w:p>
    <w:p w14:paraId="2962F70B" w14:textId="77777777" w:rsidR="00F0626C" w:rsidRPr="001A7517" w:rsidRDefault="00F0626C" w:rsidP="00F0626C">
      <w:pPr>
        <w:spacing w:before="240"/>
        <w:ind w:left="2880" w:hanging="720"/>
      </w:pPr>
      <w:r w:rsidRPr="001A7517">
        <w:t>B)</w:t>
      </w:r>
      <w:r w:rsidRPr="001A7517">
        <w:tab/>
      </w:r>
      <w:r w:rsidRPr="001A7517">
        <w:rPr>
          <w:szCs w:val="16"/>
        </w:rPr>
        <w:t>A monthly report summarizing the percentage of water entering the distribution system that was not treated by UV reactors operating within validated conditions for the required dose within 10 days following the month in which monitoring was conducted, beginning on the applicable treatment compliance date in Section 611.1013, as specified in Section 611.1020(d).</w:t>
      </w:r>
    </w:p>
    <w:p w14:paraId="54AC391C" w14:textId="77777777" w:rsidR="00F0626C" w:rsidRPr="001A7517" w:rsidRDefault="00F0626C" w:rsidP="00F0626C">
      <w:pPr>
        <w:spacing w:before="240"/>
      </w:pPr>
      <w:r w:rsidRPr="001A7517">
        <w:t>BOARD NOTE:  Derived from 40 CFR 141.721.</w:t>
      </w:r>
    </w:p>
    <w:p w14:paraId="6E17D863"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p w14:paraId="23D5396A" w14:textId="77777777" w:rsidR="00F0626C" w:rsidRPr="001A7517" w:rsidRDefault="00F0626C" w:rsidP="00F0626C">
      <w:pPr>
        <w:keepNext/>
        <w:keepLines/>
        <w:suppressAutoHyphens/>
        <w:spacing w:before="240"/>
        <w:rPr>
          <w:b/>
          <w:bCs/>
          <w:szCs w:val="16"/>
        </w:rPr>
      </w:pPr>
      <w:r w:rsidRPr="001A7517">
        <w:rPr>
          <w:b/>
          <w:szCs w:val="16"/>
        </w:rPr>
        <w:t xml:space="preserve">Section 611.1022  Reporting and Recordkeeping Requirements:  Recordkeeping </w:t>
      </w:r>
      <w:r w:rsidRPr="001A7517">
        <w:rPr>
          <w:b/>
          <w:bCs/>
          <w:szCs w:val="16"/>
        </w:rPr>
        <w:t>Requirements</w:t>
      </w:r>
    </w:p>
    <w:p w14:paraId="46085D44" w14:textId="77777777" w:rsidR="00F0626C" w:rsidRPr="001A7517" w:rsidRDefault="00F0626C" w:rsidP="00F0626C">
      <w:pPr>
        <w:spacing w:before="240"/>
        <w:ind w:left="1440" w:hanging="720"/>
      </w:pPr>
      <w:r w:rsidRPr="001A7517">
        <w:rPr>
          <w:szCs w:val="16"/>
        </w:rPr>
        <w:t>a)</w:t>
      </w:r>
      <w:r w:rsidRPr="001A7517">
        <w:rPr>
          <w:szCs w:val="16"/>
        </w:rPr>
        <w:tab/>
      </w:r>
      <w:r w:rsidRPr="001A7517">
        <w:t>A supplier must keep results from the initial round of source water monitoring under Section 611.1001(a) and the second round of source water monitoring under Section 611.1001(b) until three years after bin classification under Section 611.1010 for a filtered system supplier or determination of the mean Cryptosporidium level under Section 611.1010 for an unfiltered system supplier for the particular round of monitoring.</w:t>
      </w:r>
    </w:p>
    <w:p w14:paraId="49EED7AA" w14:textId="77777777" w:rsidR="00F0626C" w:rsidRPr="001A7517" w:rsidRDefault="00F0626C" w:rsidP="00F0626C">
      <w:pPr>
        <w:spacing w:before="240"/>
        <w:ind w:left="1440" w:hanging="720"/>
      </w:pPr>
      <w:r w:rsidRPr="001A7517">
        <w:t>b)</w:t>
      </w:r>
      <w:r w:rsidRPr="001A7517">
        <w:tab/>
        <w:t>A supplier must keep any notification to the Agency that it will not conduct source water monitoring due to meeting the criteria of Section 611.1001(d) for three years.</w:t>
      </w:r>
    </w:p>
    <w:p w14:paraId="6AD4660D" w14:textId="77777777" w:rsidR="00F0626C" w:rsidRPr="001A7517" w:rsidRDefault="00F0626C" w:rsidP="00F0626C">
      <w:pPr>
        <w:spacing w:before="240"/>
        <w:ind w:left="1440" w:hanging="720"/>
      </w:pPr>
      <w:r w:rsidRPr="001A7517">
        <w:t>c)</w:t>
      </w:r>
      <w:r w:rsidRPr="001A7517">
        <w:tab/>
        <w:t>A supplier must keep the results of treatment monitoring associated with microbial toolbox options under Sections 611.1016 through 611.1020 and with uncovered finished water reservoirs under Section 611.1014, as applicable, for three years.</w:t>
      </w:r>
    </w:p>
    <w:p w14:paraId="715C03FF" w14:textId="77777777" w:rsidR="00F0626C" w:rsidRPr="001A7517" w:rsidRDefault="00F0626C" w:rsidP="00F0626C">
      <w:pPr>
        <w:spacing w:before="240"/>
      </w:pPr>
      <w:r w:rsidRPr="001A7517">
        <w:t>BOARD NOTE:  Derived from 40 CFR 141.722.</w:t>
      </w:r>
    </w:p>
    <w:p w14:paraId="72123077" w14:textId="77777777" w:rsidR="00F0626C" w:rsidRPr="001A7517" w:rsidRDefault="00F0626C" w:rsidP="00F0626C">
      <w:pPr>
        <w:suppressAutoHyphens/>
        <w:spacing w:before="240"/>
        <w:ind w:left="720"/>
      </w:pPr>
      <w:r w:rsidRPr="001A7517">
        <w:t xml:space="preserve">(Source:  Added at </w:t>
      </w:r>
      <w:r w:rsidRPr="001A7517">
        <w:rPr>
          <w:szCs w:val="17"/>
        </w:rPr>
        <w:t>31 Ill. Reg. 11757, effective July 27, 2007</w:t>
      </w:r>
      <w:r w:rsidRPr="001A7517">
        <w:t>)</w:t>
      </w:r>
    </w:p>
    <w:p w14:paraId="3EDA358C" w14:textId="77777777" w:rsidR="00F0626C" w:rsidRPr="001A7517" w:rsidRDefault="00F0626C" w:rsidP="00F0626C">
      <w:pPr>
        <w:keepNext/>
        <w:keepLines/>
        <w:suppressAutoHyphens/>
        <w:spacing w:before="240"/>
        <w:rPr>
          <w:b/>
          <w:szCs w:val="16"/>
        </w:rPr>
      </w:pPr>
      <w:r w:rsidRPr="001A7517">
        <w:rPr>
          <w:b/>
          <w:szCs w:val="16"/>
        </w:rPr>
        <w:lastRenderedPageBreak/>
        <w:t>Section 611.1023  Requirements to Respond to Significant Deficiencies Identified in Sanitary Surveys Performed by USEPA or the Agency</w:t>
      </w:r>
    </w:p>
    <w:p w14:paraId="5445207D" w14:textId="77777777" w:rsidR="00F0626C" w:rsidRPr="001A7517" w:rsidRDefault="00F0626C" w:rsidP="00F0626C">
      <w:pPr>
        <w:spacing w:before="240"/>
        <w:ind w:left="1440" w:hanging="720"/>
      </w:pPr>
      <w:r w:rsidRPr="001A7517">
        <w:rPr>
          <w:szCs w:val="16"/>
        </w:rPr>
        <w:t>a)</w:t>
      </w:r>
      <w:r w:rsidRPr="001A7517">
        <w:rPr>
          <w:szCs w:val="16"/>
        </w:rPr>
        <w:tab/>
      </w:r>
      <w:r w:rsidRPr="001A7517">
        <w:t xml:space="preserve">A “sanitary survey” is an onsite review of the water source (identifying sources of contamination by using results of source water assessments </w:t>
      </w:r>
      <w:r w:rsidRPr="001A7517">
        <w:rPr>
          <w:spacing w:val="-3"/>
        </w:rPr>
        <w:t xml:space="preserve">if </w:t>
      </w:r>
      <w:r w:rsidRPr="001A7517">
        <w:t>available), facilities, equipment, operation, maintenance, and monitoring compliance of a PWS to evaluate the adequacy of the PWS, its sources and operations, and the distribution of safe drinking water.</w:t>
      </w:r>
    </w:p>
    <w:p w14:paraId="7AFC3313" w14:textId="77777777" w:rsidR="00F0626C" w:rsidRPr="001A7517" w:rsidRDefault="00F0626C" w:rsidP="00F0626C">
      <w:pPr>
        <w:spacing w:before="240"/>
        <w:ind w:left="1440" w:hanging="720"/>
      </w:pPr>
      <w:r w:rsidRPr="001A7517">
        <w:t>b)</w:t>
      </w:r>
      <w:r w:rsidRPr="001A7517">
        <w:tab/>
        <w:t xml:space="preserve">For the purposes of this Section, a “significant deficiency” includes a defect in design, operation, or maintenance, or a failure or malfunction of the sources, treatment, storage, or distribution supplier that </w:t>
      </w:r>
      <w:r w:rsidRPr="001A7517">
        <w:rPr>
          <w:szCs w:val="16"/>
        </w:rPr>
        <w:t>USEPA or the Agency</w:t>
      </w:r>
      <w:r w:rsidRPr="001A7517">
        <w:t xml:space="preserve"> determines to be causing, or has the potential for causing, the introduction of contamination into the water delivered to consumers.</w:t>
      </w:r>
    </w:p>
    <w:p w14:paraId="38404DAC" w14:textId="77777777" w:rsidR="00F0626C" w:rsidRPr="001A7517" w:rsidRDefault="00F0626C" w:rsidP="00F0626C">
      <w:pPr>
        <w:spacing w:before="240"/>
        <w:ind w:left="1440" w:hanging="720"/>
      </w:pPr>
      <w:r w:rsidRPr="001A7517">
        <w:t>c)</w:t>
      </w:r>
      <w:r w:rsidRPr="001A7517">
        <w:tab/>
        <w:t xml:space="preserve">For sanitary surveys performed by </w:t>
      </w:r>
      <w:r w:rsidRPr="001A7517">
        <w:rPr>
          <w:szCs w:val="16"/>
        </w:rPr>
        <w:t>USEPA or the Agency</w:t>
      </w:r>
      <w:r w:rsidRPr="001A7517">
        <w:t>, the supplier must respond in writing to significant deficiencies identified in sanitary survey reports no later than 45 days after receipt of the report, indicating how and on what schedule the supplier will address significant deficiencies noted in the survey.</w:t>
      </w:r>
    </w:p>
    <w:p w14:paraId="15F09D5F" w14:textId="77777777" w:rsidR="00F0626C" w:rsidRPr="001A7517" w:rsidRDefault="00F0626C" w:rsidP="00F0626C">
      <w:pPr>
        <w:spacing w:before="240"/>
        <w:ind w:left="1440" w:hanging="720"/>
      </w:pPr>
      <w:r w:rsidRPr="001A7517">
        <w:t>d)</w:t>
      </w:r>
      <w:r w:rsidRPr="001A7517">
        <w:tab/>
        <w:t xml:space="preserve">A supplier must correct significant deficiencies identified in sanitary survey reports according to the schedule approved by </w:t>
      </w:r>
      <w:r w:rsidRPr="001A7517">
        <w:rPr>
          <w:szCs w:val="16"/>
        </w:rPr>
        <w:t>USEPA or the Agency</w:t>
      </w:r>
      <w:r w:rsidRPr="001A7517">
        <w:t>, or if there is no approved schedule, according to the schedule reported under subsection (c) if such deficiencies are within the control of the supplier.</w:t>
      </w:r>
    </w:p>
    <w:p w14:paraId="4AD20FD7" w14:textId="77777777" w:rsidR="00F0626C" w:rsidRPr="001A7517" w:rsidRDefault="00F0626C" w:rsidP="00F0626C">
      <w:pPr>
        <w:spacing w:before="240"/>
      </w:pPr>
      <w:r w:rsidRPr="001A7517">
        <w:t>BOARD NOTE:  Derived from 40 CFR 141.723.</w:t>
      </w:r>
    </w:p>
    <w:p w14:paraId="77B68C22"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p w14:paraId="7784CE1B" w14:textId="77777777" w:rsidR="00057FFC" w:rsidRPr="001A7517" w:rsidRDefault="00057FFC" w:rsidP="00057FFC">
      <w:pPr>
        <w:keepNext/>
        <w:keepLines/>
        <w:suppressAutoHyphens/>
        <w:spacing w:before="240" w:after="240"/>
        <w:ind w:left="720" w:right="720"/>
        <w:jc w:val="center"/>
        <w:rPr>
          <w:szCs w:val="24"/>
        </w:rPr>
      </w:pPr>
      <w:r w:rsidRPr="001A7517">
        <w:rPr>
          <w:szCs w:val="24"/>
        </w:rPr>
        <w:t>SUBPART AA:  REVISED TOTAL COLIFORM RULE</w:t>
      </w:r>
    </w:p>
    <w:p w14:paraId="3CE3EA07" w14:textId="77777777" w:rsidR="00057FFC" w:rsidRPr="001A7517" w:rsidRDefault="00057FFC" w:rsidP="00057FFC">
      <w:pPr>
        <w:keepNext/>
        <w:keepLines/>
        <w:spacing w:before="240" w:after="240"/>
        <w:rPr>
          <w:b/>
          <w:szCs w:val="24"/>
        </w:rPr>
      </w:pPr>
      <w:r w:rsidRPr="001A7517">
        <w:rPr>
          <w:b/>
          <w:szCs w:val="24"/>
        </w:rPr>
        <w:t>Section 611.1051  General</w:t>
      </w:r>
    </w:p>
    <w:p w14:paraId="0E95F114"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 xml:space="preserve">General.  </w:t>
      </w:r>
      <w:r w:rsidRPr="001A7517">
        <w:rPr>
          <w:szCs w:val="24"/>
        </w:rPr>
        <w:t>The provisions of this Subpart AA include both MCL and treatment technique requirements.</w:t>
      </w:r>
    </w:p>
    <w:p w14:paraId="294E3A46"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 xml:space="preserve">Applicability.  </w:t>
      </w:r>
      <w:r w:rsidRPr="001A7517">
        <w:rPr>
          <w:szCs w:val="24"/>
        </w:rPr>
        <w:t>The provisions of this Subpart AA apply to all PWSs.</w:t>
      </w:r>
    </w:p>
    <w:p w14:paraId="391E5723" w14:textId="77777777" w:rsidR="00057FFC" w:rsidRPr="001A7517" w:rsidRDefault="00057FFC" w:rsidP="00057FFC">
      <w:pPr>
        <w:spacing w:before="240" w:after="240"/>
        <w:ind w:left="1440" w:hanging="720"/>
        <w:rPr>
          <w:szCs w:val="24"/>
        </w:rPr>
      </w:pPr>
      <w:r w:rsidRPr="001A7517">
        <w:rPr>
          <w:szCs w:val="24"/>
        </w:rPr>
        <w:t>c)</w:t>
      </w:r>
      <w:r w:rsidRPr="001A7517">
        <w:rPr>
          <w:szCs w:val="24"/>
        </w:rPr>
        <w:tab/>
        <w:t>This subsection (c) corresponds with 40 CFR 141.851(c), which includes a past compliance date.  This statement maintains structural consistency with the federal regulations.</w:t>
      </w:r>
    </w:p>
    <w:p w14:paraId="5C01AD09" w14:textId="77777777" w:rsidR="00057FFC" w:rsidRPr="001A7517" w:rsidRDefault="00057FFC" w:rsidP="00057FFC">
      <w:pPr>
        <w:spacing w:before="240" w:after="240"/>
        <w:ind w:left="1440" w:hanging="720"/>
        <w:rPr>
          <w:szCs w:val="24"/>
        </w:rPr>
      </w:pPr>
      <w:r w:rsidRPr="001A7517">
        <w:rPr>
          <w:szCs w:val="24"/>
        </w:rPr>
        <w:t>d)</w:t>
      </w:r>
      <w:r w:rsidRPr="001A7517">
        <w:rPr>
          <w:szCs w:val="24"/>
        </w:rPr>
        <w:tab/>
      </w:r>
      <w:r w:rsidRPr="001A7517">
        <w:rPr>
          <w:iCs/>
          <w:szCs w:val="24"/>
        </w:rPr>
        <w:t>This subsection (d) corresponds with 40 CFR 141.851(d), a provision that pertains to USEPA implementation, which is not necessary in the Illinois regulations.  This statement maintains structural consistency with the federal regulations.</w:t>
      </w:r>
    </w:p>
    <w:p w14:paraId="47580B82" w14:textId="77777777" w:rsidR="00057FFC" w:rsidRPr="001A7517" w:rsidRDefault="00057FFC" w:rsidP="00057FFC">
      <w:pPr>
        <w:spacing w:before="240" w:after="240"/>
        <w:ind w:left="1440" w:hanging="720"/>
        <w:rPr>
          <w:szCs w:val="24"/>
        </w:rPr>
      </w:pPr>
      <w:r w:rsidRPr="001A7517">
        <w:rPr>
          <w:szCs w:val="24"/>
        </w:rPr>
        <w:lastRenderedPageBreak/>
        <w:t>e)</w:t>
      </w:r>
      <w:r w:rsidRPr="001A7517">
        <w:rPr>
          <w:szCs w:val="24"/>
        </w:rPr>
        <w:tab/>
      </w:r>
      <w:r w:rsidRPr="001A7517">
        <w:rPr>
          <w:iCs/>
          <w:szCs w:val="24"/>
        </w:rPr>
        <w:t xml:space="preserve">Violations of NPDWRs.  </w:t>
      </w:r>
      <w:r w:rsidRPr="001A7517">
        <w:rPr>
          <w:szCs w:val="24"/>
        </w:rPr>
        <w:t xml:space="preserve">Failure to comply with the applicable requirements of Sections 611.1051 through 611.1061, including requirements established by the State </w:t>
      </w:r>
      <w:r w:rsidRPr="001A7517">
        <w:t xml:space="preserve">under </w:t>
      </w:r>
      <w:r w:rsidRPr="001A7517">
        <w:rPr>
          <w:szCs w:val="24"/>
        </w:rPr>
        <w:t>these provisions, is a violation of the NPDWRs in this Subpart AA.</w:t>
      </w:r>
    </w:p>
    <w:p w14:paraId="17BE60E2" w14:textId="77777777" w:rsidR="00057FFC" w:rsidRPr="001A7517" w:rsidRDefault="00057FFC" w:rsidP="00057FFC">
      <w:pPr>
        <w:spacing w:before="240" w:after="240"/>
      </w:pPr>
      <w:r w:rsidRPr="001A7517">
        <w:t>BOARD NOTE:  Derived from 40 CFR 141.851.</w:t>
      </w:r>
    </w:p>
    <w:p w14:paraId="7D976BBB"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42 Ill. Reg. 1140, effective January 4, 2018)</w:t>
      </w:r>
    </w:p>
    <w:p w14:paraId="206620F4" w14:textId="77777777" w:rsidR="00700487" w:rsidRPr="003B4362" w:rsidRDefault="00700487" w:rsidP="00700487">
      <w:pPr>
        <w:suppressAutoHyphens/>
        <w:ind w:left="720"/>
      </w:pPr>
    </w:p>
    <w:p w14:paraId="524170BF" w14:textId="1549F13D" w:rsidR="0069152A" w:rsidRPr="003B4362" w:rsidRDefault="0069152A" w:rsidP="00E46816">
      <w:pPr>
        <w:rPr>
          <w:b/>
          <w:bCs/>
        </w:rPr>
      </w:pPr>
      <w:bookmarkStart w:id="4487" w:name="_Hlk531020824"/>
      <w:r w:rsidRPr="003B4362">
        <w:rPr>
          <w:b/>
          <w:bCs/>
        </w:rPr>
        <w:t xml:space="preserve">Section </w:t>
      </w:r>
      <w:bookmarkStart w:id="4488" w:name="_Hlk27063248"/>
      <w:r w:rsidRPr="003B4362">
        <w:rPr>
          <w:b/>
          <w:bCs/>
        </w:rPr>
        <w:t>611.1052</w:t>
      </w:r>
      <w:bookmarkEnd w:id="4488"/>
      <w:r w:rsidRPr="003B4362">
        <w:rPr>
          <w:b/>
          <w:bCs/>
        </w:rPr>
        <w:t xml:space="preserve">  Analytical Methods and Laboratory Certification</w:t>
      </w:r>
    </w:p>
    <w:p w14:paraId="338F43D4" w14:textId="77777777" w:rsidR="0069152A" w:rsidRPr="003B4362" w:rsidRDefault="0069152A" w:rsidP="0069152A">
      <w:pPr>
        <w:widowControl w:val="0"/>
        <w:spacing w:before="240" w:after="240"/>
        <w:ind w:left="1440" w:hanging="720"/>
        <w:rPr>
          <w:iCs/>
          <w:szCs w:val="24"/>
        </w:rPr>
      </w:pPr>
      <w:r w:rsidRPr="003B4362">
        <w:rPr>
          <w:szCs w:val="24"/>
        </w:rPr>
        <w:t>a)</w:t>
      </w:r>
      <w:r w:rsidRPr="003B4362">
        <w:rPr>
          <w:szCs w:val="24"/>
        </w:rPr>
        <w:tab/>
      </w:r>
      <w:r w:rsidRPr="003B4362">
        <w:rPr>
          <w:iCs/>
          <w:szCs w:val="24"/>
        </w:rPr>
        <w:t>Analytical Methodology</w:t>
      </w:r>
    </w:p>
    <w:p w14:paraId="1A29D9D6" w14:textId="00713717" w:rsidR="0069152A" w:rsidRPr="003B4362" w:rsidRDefault="0069152A" w:rsidP="0069152A">
      <w:pPr>
        <w:widowControl w:val="0"/>
        <w:spacing w:before="240" w:after="240"/>
        <w:ind w:left="2160" w:hanging="720"/>
        <w:rPr>
          <w:szCs w:val="24"/>
        </w:rPr>
      </w:pPr>
      <w:r w:rsidRPr="003B4362">
        <w:rPr>
          <w:szCs w:val="24"/>
        </w:rPr>
        <w:t>1)</w:t>
      </w:r>
      <w:r w:rsidRPr="003B4362">
        <w:rPr>
          <w:szCs w:val="24"/>
        </w:rPr>
        <w:tab/>
        <w:t>The standard sample volume required for analysis is 100 m</w:t>
      </w:r>
      <w:r w:rsidR="00E411A9" w:rsidRPr="003B4362">
        <w:t>L</w:t>
      </w:r>
      <w:r w:rsidRPr="003B4362">
        <w:rPr>
          <w:szCs w:val="24"/>
        </w:rPr>
        <w:t>, regardless of analytical method the supplier uses.</w:t>
      </w:r>
    </w:p>
    <w:p w14:paraId="52969499" w14:textId="4B2A3285" w:rsidR="0069152A" w:rsidRPr="003B4362" w:rsidRDefault="0069152A" w:rsidP="0069152A">
      <w:pPr>
        <w:widowControl w:val="0"/>
        <w:spacing w:before="240" w:after="240"/>
        <w:ind w:left="2160" w:hanging="720"/>
        <w:rPr>
          <w:szCs w:val="24"/>
        </w:rPr>
      </w:pPr>
      <w:r w:rsidRPr="003B4362">
        <w:rPr>
          <w:szCs w:val="24"/>
        </w:rPr>
        <w:t>2)</w:t>
      </w:r>
      <w:r w:rsidRPr="003B4362">
        <w:rPr>
          <w:szCs w:val="24"/>
        </w:rPr>
        <w:tab/>
        <w:t xml:space="preserve">A supplier needs only determine the presence or absence of total coliforms and </w:t>
      </w:r>
      <w:r w:rsidRPr="003B4362">
        <w:rPr>
          <w:iCs/>
          <w:szCs w:val="24"/>
        </w:rPr>
        <w:t>E. coli; a supplier needs not determine</w:t>
      </w:r>
      <w:r w:rsidRPr="003B4362">
        <w:rPr>
          <w:szCs w:val="24"/>
        </w:rPr>
        <w:t xml:space="preserve"> density .</w:t>
      </w:r>
    </w:p>
    <w:p w14:paraId="75CF91B6" w14:textId="16FE167E" w:rsidR="0069152A" w:rsidRPr="003B4362" w:rsidRDefault="0069152A" w:rsidP="0069152A">
      <w:pPr>
        <w:widowControl w:val="0"/>
        <w:spacing w:before="240" w:after="240"/>
        <w:ind w:left="2160" w:hanging="720"/>
        <w:rPr>
          <w:szCs w:val="24"/>
        </w:rPr>
      </w:pPr>
      <w:r w:rsidRPr="003B4362">
        <w:rPr>
          <w:szCs w:val="24"/>
        </w:rPr>
        <w:t>3)</w:t>
      </w:r>
      <w:r w:rsidRPr="003B4362">
        <w:rPr>
          <w:szCs w:val="24"/>
        </w:rPr>
        <w:tab/>
        <w:t>The time from sample collection to initiating test medium incubation may not exceed 30 hours.  Suppliers should but need not hold samples below 10 ºC during transit.</w:t>
      </w:r>
    </w:p>
    <w:p w14:paraId="3715F50B" w14:textId="6FEA8081" w:rsidR="0069152A" w:rsidRPr="003B4362" w:rsidRDefault="0069152A" w:rsidP="0069152A">
      <w:pPr>
        <w:widowControl w:val="0"/>
        <w:spacing w:before="240" w:after="240"/>
        <w:ind w:left="2160" w:hanging="720"/>
        <w:rPr>
          <w:szCs w:val="24"/>
        </w:rPr>
      </w:pPr>
      <w:r w:rsidRPr="003B4362">
        <w:rPr>
          <w:szCs w:val="24"/>
        </w:rPr>
        <w:t>4)</w:t>
      </w:r>
      <w:r w:rsidRPr="003B4362">
        <w:rPr>
          <w:szCs w:val="24"/>
        </w:rPr>
        <w:tab/>
        <w:t>If the supplier is to analyze water having residual chlorine (measured as free, combined, or total chlorine), the supplier must add sufficient sodium thiosulfate (Na</w:t>
      </w:r>
      <w:r w:rsidRPr="003B4362">
        <w:rPr>
          <w:szCs w:val="24"/>
          <w:vertAlign w:val="subscript"/>
        </w:rPr>
        <w:t>2</w:t>
      </w:r>
      <w:r w:rsidRPr="003B4362">
        <w:rPr>
          <w:szCs w:val="24"/>
        </w:rPr>
        <w:t>S</w:t>
      </w:r>
      <w:r w:rsidRPr="003B4362">
        <w:rPr>
          <w:szCs w:val="24"/>
          <w:vertAlign w:val="subscript"/>
        </w:rPr>
        <w:t>2</w:t>
      </w:r>
      <w:r w:rsidRPr="003B4362">
        <w:rPr>
          <w:szCs w:val="24"/>
        </w:rPr>
        <w:t>O</w:t>
      </w:r>
      <w:r w:rsidRPr="003B4362">
        <w:rPr>
          <w:szCs w:val="24"/>
          <w:vertAlign w:val="subscript"/>
        </w:rPr>
        <w:t>3</w:t>
      </w:r>
      <w:r w:rsidRPr="003B4362">
        <w:rPr>
          <w:szCs w:val="24"/>
        </w:rPr>
        <w:t xml:space="preserve">) to the sample bottle before sterilization to neutralize any residual chlorine in the water sample.  Section 2 of </w:t>
      </w:r>
      <w:bookmarkStart w:id="4489" w:name="_Hlk16704223"/>
      <w:r w:rsidRPr="003B4362">
        <w:rPr>
          <w:szCs w:val="24"/>
        </w:rPr>
        <w:t>SM 9060 A (97)</w:t>
      </w:r>
      <w:bookmarkEnd w:id="4489"/>
      <w:r w:rsidRPr="003B4362">
        <w:rPr>
          <w:szCs w:val="24"/>
        </w:rPr>
        <w:t>, incorporated by reference in Section 611.102, addresses dichlorination procedures.</w:t>
      </w:r>
    </w:p>
    <w:p w14:paraId="60667FA2" w14:textId="3702791B" w:rsidR="0069152A" w:rsidRPr="003B4362" w:rsidRDefault="0069152A" w:rsidP="0069152A">
      <w:pPr>
        <w:widowControl w:val="0"/>
        <w:spacing w:before="240" w:after="240"/>
        <w:ind w:left="2160" w:hanging="720"/>
        <w:rPr>
          <w:szCs w:val="24"/>
        </w:rPr>
      </w:pPr>
      <w:r w:rsidRPr="003B4362">
        <w:rPr>
          <w:szCs w:val="24"/>
        </w:rPr>
        <w:t>5)</w:t>
      </w:r>
      <w:r w:rsidRPr="003B4362">
        <w:rPr>
          <w:szCs w:val="24"/>
        </w:rPr>
        <w:tab/>
        <w:t xml:space="preserve">The supplier must conduct total coliform and </w:t>
      </w:r>
      <w:r w:rsidRPr="003B4362">
        <w:rPr>
          <w:iCs/>
          <w:szCs w:val="24"/>
        </w:rPr>
        <w:t xml:space="preserve">E. coli </w:t>
      </w:r>
      <w:r w:rsidRPr="003B4362">
        <w:rPr>
          <w:szCs w:val="24"/>
        </w:rPr>
        <w:t>analyses in using certain analytical methods, each incorporated by reference in Section 611.102:</w:t>
      </w:r>
    </w:p>
    <w:p w14:paraId="573B657B" w14:textId="55729C00" w:rsidR="0069152A" w:rsidRPr="003B4362" w:rsidRDefault="0069152A" w:rsidP="0069152A">
      <w:pPr>
        <w:widowControl w:val="0"/>
        <w:spacing w:before="240" w:after="240"/>
        <w:ind w:left="2160"/>
        <w:rPr>
          <w:szCs w:val="24"/>
        </w:rPr>
      </w:pPr>
      <w:r w:rsidRPr="003B4362">
        <w:rPr>
          <w:szCs w:val="24"/>
        </w:rPr>
        <w:t xml:space="preserve">BOARD NOTE:  The supplier must monitor and analyze only using </w:t>
      </w:r>
      <w:r w:rsidRPr="003B4362">
        <w:t>the version of the approved method in this subsection (a) and incorporated by reference in Section 611.102.  The methods listed are the only versions the supplier may use for compliance with this Subpart AA.  Laboratories should carefully use only the approved versions of methods, as product package inserts may not be the same as the approved versions of the methods.</w:t>
      </w:r>
    </w:p>
    <w:p w14:paraId="1CB114A6" w14:textId="77777777" w:rsidR="0069152A" w:rsidRPr="003B4362" w:rsidRDefault="0069152A" w:rsidP="0069152A">
      <w:pPr>
        <w:widowControl w:val="0"/>
        <w:spacing w:before="240" w:after="240"/>
        <w:ind w:left="2880" w:hanging="720"/>
        <w:rPr>
          <w:szCs w:val="24"/>
        </w:rPr>
      </w:pPr>
      <w:r w:rsidRPr="003B4362">
        <w:rPr>
          <w:szCs w:val="24"/>
        </w:rPr>
        <w:t>A)</w:t>
      </w:r>
      <w:r w:rsidRPr="003B4362">
        <w:rPr>
          <w:szCs w:val="24"/>
        </w:rPr>
        <w:tab/>
        <w:t>Total Coliforms, Lactose Fermentation Methods</w:t>
      </w:r>
    </w:p>
    <w:p w14:paraId="5071EC89" w14:textId="77777777" w:rsidR="0069152A" w:rsidRPr="003B4362" w:rsidRDefault="0069152A" w:rsidP="0069152A">
      <w:pPr>
        <w:widowControl w:val="0"/>
        <w:spacing w:before="240" w:after="240"/>
        <w:ind w:left="3600" w:hanging="720"/>
        <w:rPr>
          <w:szCs w:val="24"/>
        </w:rPr>
      </w:pPr>
      <w:r w:rsidRPr="003B4362">
        <w:rPr>
          <w:szCs w:val="24"/>
        </w:rPr>
        <w:t>i)</w:t>
      </w:r>
      <w:r w:rsidRPr="003B4362">
        <w:rPr>
          <w:szCs w:val="24"/>
        </w:rPr>
        <w:tab/>
      </w:r>
      <w:bookmarkStart w:id="4490" w:name="_Hlk14965473"/>
      <w:r w:rsidRPr="003B4362">
        <w:rPr>
          <w:szCs w:val="24"/>
        </w:rPr>
        <w:t>Total Coliform Fermentation Technique</w:t>
      </w:r>
      <w:bookmarkEnd w:id="4490"/>
      <w:r w:rsidRPr="003B4362">
        <w:rPr>
          <w:szCs w:val="24"/>
        </w:rPr>
        <w:t xml:space="preserve">.  Sections </w:t>
      </w:r>
      <w:bookmarkStart w:id="4491" w:name="_Hlk14965796"/>
      <w:r w:rsidRPr="003B4362">
        <w:rPr>
          <w:szCs w:val="24"/>
        </w:rPr>
        <w:t>1 and 2 of SM 9221 B (94) (only the 20th ed.), SM 9221 B (99), SM 9221 B (06)</w:t>
      </w:r>
      <w:bookmarkEnd w:id="4491"/>
      <w:r w:rsidRPr="003B4362">
        <w:rPr>
          <w:szCs w:val="24"/>
        </w:rPr>
        <w:t xml:space="preserve">, or sections 1 through 4 of SM 9221 B </w:t>
      </w:r>
      <w:r w:rsidRPr="003B4362">
        <w:rPr>
          <w:szCs w:val="24"/>
        </w:rPr>
        <w:lastRenderedPageBreak/>
        <w:t>(14).</w:t>
      </w:r>
    </w:p>
    <w:p w14:paraId="3D8C2181" w14:textId="01EC965F" w:rsidR="0069152A" w:rsidRPr="003B4362" w:rsidRDefault="0069152A" w:rsidP="0069152A">
      <w:pPr>
        <w:widowControl w:val="0"/>
        <w:spacing w:before="240" w:after="240"/>
        <w:ind w:left="3600"/>
      </w:pPr>
      <w:r w:rsidRPr="003B4362">
        <w:t>BOARD NOTE:  The supplier may use commercially available lactose broth in lieu of lauryl tryptose broth if the supplier conducts at least 25 parallel tests between lactose broth and lauryl tryptose broth using the water normally tested and this comparison demonstrates false-positive and false-negative rates for total coliforms are less than ten percent using lactose broth.</w:t>
      </w:r>
    </w:p>
    <w:p w14:paraId="43EE349E" w14:textId="77777777" w:rsidR="0069152A" w:rsidRPr="003B4362" w:rsidRDefault="0069152A" w:rsidP="0069152A">
      <w:pPr>
        <w:widowControl w:val="0"/>
        <w:spacing w:before="240" w:after="240"/>
        <w:ind w:left="3600" w:hanging="720"/>
        <w:rPr>
          <w:szCs w:val="24"/>
        </w:rPr>
      </w:pPr>
      <w:r w:rsidRPr="003B4362">
        <w:rPr>
          <w:szCs w:val="24"/>
        </w:rPr>
        <w:t>ii)</w:t>
      </w:r>
      <w:r w:rsidRPr="003B4362">
        <w:rPr>
          <w:szCs w:val="24"/>
        </w:rPr>
        <w:tab/>
        <w:t>Presence-Absence (P–A) Coliform Test.  Sections 1 and 2 of SM 9221 D (94), SM 9221 D (99), or sections 1 through 3 of SM 9221 D (14).</w:t>
      </w:r>
    </w:p>
    <w:p w14:paraId="24657AAD" w14:textId="55107A83" w:rsidR="0069152A" w:rsidRPr="003B4362" w:rsidRDefault="0069152A" w:rsidP="0069152A">
      <w:pPr>
        <w:widowControl w:val="0"/>
        <w:spacing w:before="240" w:after="240"/>
        <w:ind w:left="3600"/>
      </w:pPr>
      <w:r w:rsidRPr="003B4362">
        <w:t xml:space="preserve">BOARD NOTE:  A supplier may use a multiple tube enumerative format, as </w:t>
      </w:r>
      <w:bookmarkStart w:id="4492" w:name="_Hlk14967351"/>
      <w:r w:rsidRPr="003B4362">
        <w:t>SM 9221 D (94), SM 9221 D (99)</w:t>
      </w:r>
      <w:bookmarkEnd w:id="4492"/>
      <w:r w:rsidRPr="003B4362">
        <w:t>, or SM 9221 D (14) describes, for presence-absence determination under this Subpart AA.</w:t>
      </w:r>
    </w:p>
    <w:p w14:paraId="641FFA30" w14:textId="77777777" w:rsidR="0069152A" w:rsidRPr="003B4362" w:rsidRDefault="0069152A" w:rsidP="0069152A">
      <w:pPr>
        <w:widowControl w:val="0"/>
        <w:spacing w:before="240" w:after="240"/>
        <w:ind w:left="2880" w:hanging="720"/>
        <w:rPr>
          <w:szCs w:val="24"/>
        </w:rPr>
      </w:pPr>
      <w:r w:rsidRPr="003B4362">
        <w:rPr>
          <w:szCs w:val="24"/>
        </w:rPr>
        <w:t>B)</w:t>
      </w:r>
      <w:r w:rsidRPr="003B4362">
        <w:rPr>
          <w:szCs w:val="24"/>
        </w:rPr>
        <w:tab/>
        <w:t>Total Coliforms, Membrane Filtration Methods</w:t>
      </w:r>
    </w:p>
    <w:p w14:paraId="39CDFE3F" w14:textId="77777777" w:rsidR="0069152A" w:rsidRPr="003B4362" w:rsidRDefault="0069152A" w:rsidP="0069152A">
      <w:pPr>
        <w:widowControl w:val="0"/>
        <w:spacing w:before="240" w:after="240"/>
        <w:ind w:left="3600" w:hanging="720"/>
        <w:rPr>
          <w:szCs w:val="24"/>
        </w:rPr>
      </w:pPr>
      <w:r w:rsidRPr="003B4362">
        <w:rPr>
          <w:szCs w:val="24"/>
        </w:rPr>
        <w:t>i)</w:t>
      </w:r>
      <w:r w:rsidRPr="003B4362">
        <w:rPr>
          <w:szCs w:val="24"/>
        </w:rPr>
        <w:tab/>
        <w:t xml:space="preserve">Standard Total Coliform Membrane Filter Procedure Using Endo Medium.  </w:t>
      </w:r>
      <w:bookmarkStart w:id="4493" w:name="_Hlk14967935"/>
      <w:r w:rsidRPr="003B4362">
        <w:rPr>
          <w:szCs w:val="24"/>
        </w:rPr>
        <w:t>SM 9222 B (97), SM 9222 B (15), SM 9222 C (97), or SM 9222 C (15)</w:t>
      </w:r>
      <w:bookmarkEnd w:id="4493"/>
      <w:r w:rsidRPr="003B4362">
        <w:rPr>
          <w:szCs w:val="24"/>
        </w:rPr>
        <w:t>.</w:t>
      </w:r>
    </w:p>
    <w:p w14:paraId="2E9F8590" w14:textId="77777777" w:rsidR="0069152A" w:rsidRPr="003B4362" w:rsidRDefault="0069152A" w:rsidP="0069152A">
      <w:pPr>
        <w:widowControl w:val="0"/>
        <w:spacing w:before="240" w:after="240"/>
        <w:ind w:left="3600" w:hanging="720"/>
        <w:rPr>
          <w:szCs w:val="24"/>
        </w:rPr>
      </w:pPr>
      <w:r w:rsidRPr="003B4362">
        <w:rPr>
          <w:szCs w:val="24"/>
        </w:rPr>
        <w:t>ii)</w:t>
      </w:r>
      <w:r w:rsidRPr="003B4362">
        <w:rPr>
          <w:szCs w:val="24"/>
        </w:rPr>
        <w:tab/>
        <w:t xml:space="preserve">Membrane Filtration Using MI Medium.  </w:t>
      </w:r>
      <w:bookmarkStart w:id="4494" w:name="_Hlk14968614"/>
      <w:r w:rsidRPr="003B4362">
        <w:rPr>
          <w:szCs w:val="24"/>
        </w:rPr>
        <w:t>USEPA 1604 (02)</w:t>
      </w:r>
      <w:bookmarkEnd w:id="4494"/>
      <w:r w:rsidRPr="003B4362">
        <w:rPr>
          <w:szCs w:val="24"/>
        </w:rPr>
        <w:t>.</w:t>
      </w:r>
    </w:p>
    <w:p w14:paraId="38D3B483" w14:textId="77777777" w:rsidR="0069152A" w:rsidRPr="003B4362" w:rsidRDefault="0069152A" w:rsidP="0069152A">
      <w:pPr>
        <w:widowControl w:val="0"/>
        <w:spacing w:before="240" w:after="240"/>
        <w:ind w:left="3600" w:hanging="720"/>
        <w:rPr>
          <w:szCs w:val="24"/>
        </w:rPr>
      </w:pPr>
      <w:r w:rsidRPr="003B4362">
        <w:rPr>
          <w:szCs w:val="24"/>
        </w:rPr>
        <w:t>iii)</w:t>
      </w:r>
      <w:r w:rsidRPr="003B4362">
        <w:rPr>
          <w:szCs w:val="24"/>
        </w:rPr>
        <w:tab/>
      </w:r>
      <w:bookmarkStart w:id="4495" w:name="_Hlk14970102"/>
      <w:r w:rsidRPr="003B4362">
        <w:rPr>
          <w:szCs w:val="24"/>
        </w:rPr>
        <w:t>Hach 10029 (99) (m-ColiBlue24</w:t>
      </w:r>
      <w:r w:rsidRPr="003B4362">
        <w:rPr>
          <w:vertAlign w:val="superscript"/>
        </w:rPr>
        <w:t>®</w:t>
      </w:r>
      <w:r w:rsidRPr="003B4362">
        <w:t>)</w:t>
      </w:r>
      <w:bookmarkEnd w:id="4495"/>
      <w:r w:rsidRPr="003B4362">
        <w:rPr>
          <w:szCs w:val="24"/>
        </w:rPr>
        <w:t>.</w:t>
      </w:r>
    </w:p>
    <w:p w14:paraId="2CC0DF35" w14:textId="442B0592" w:rsidR="0069152A" w:rsidRPr="003B4362" w:rsidRDefault="0069152A" w:rsidP="0069152A">
      <w:pPr>
        <w:widowControl w:val="0"/>
        <w:spacing w:before="240" w:after="240"/>
        <w:ind w:left="3600"/>
        <w:rPr>
          <w:szCs w:val="24"/>
        </w:rPr>
      </w:pPr>
      <w:r w:rsidRPr="003B4362">
        <w:t>BOARD NOTE:  A supplier must begin all filtration series with membrane filtration equipment the supplier sterilized by autoclaving.  Exposing filtration equipment to UV light is not adequate to ensure sterilization.  Subsequent to the initial autoclaving, the supplier may expose the filtration equipment to UV light to sanitize the funnels between filtrations within a filtration series.  Alternatively, the supplier may use manufacturer-pre-sterilized membrane filtration equipment (i.e., disposable funnel units).</w:t>
      </w:r>
    </w:p>
    <w:p w14:paraId="7E3FB104" w14:textId="77777777" w:rsidR="0069152A" w:rsidRPr="003B4362" w:rsidRDefault="0069152A" w:rsidP="0069152A">
      <w:pPr>
        <w:widowControl w:val="0"/>
        <w:spacing w:before="240" w:after="240"/>
        <w:ind w:left="3600" w:hanging="720"/>
        <w:rPr>
          <w:szCs w:val="24"/>
        </w:rPr>
      </w:pPr>
      <w:r w:rsidRPr="003B4362">
        <w:rPr>
          <w:szCs w:val="24"/>
        </w:rPr>
        <w:t>iv)</w:t>
      </w:r>
      <w:r w:rsidRPr="003B4362">
        <w:rPr>
          <w:szCs w:val="24"/>
        </w:rPr>
        <w:tab/>
      </w:r>
      <w:bookmarkStart w:id="4496" w:name="_Hlk14970188"/>
      <w:r w:rsidRPr="003B4362">
        <w:rPr>
          <w:szCs w:val="24"/>
        </w:rPr>
        <w:t>Chromocult</w:t>
      </w:r>
      <w:r w:rsidRPr="003B4362">
        <w:rPr>
          <w:vertAlign w:val="superscript"/>
        </w:rPr>
        <w:t>®</w:t>
      </w:r>
      <w:r w:rsidRPr="003B4362">
        <w:t xml:space="preserve"> (00)</w:t>
      </w:r>
      <w:bookmarkEnd w:id="4496"/>
      <w:r w:rsidRPr="003B4362">
        <w:rPr>
          <w:szCs w:val="24"/>
        </w:rPr>
        <w:t>.</w:t>
      </w:r>
    </w:p>
    <w:p w14:paraId="2C8AFD8C" w14:textId="6F2081CA" w:rsidR="006C36B1" w:rsidRPr="003B4362" w:rsidRDefault="006C36B1" w:rsidP="006C36B1">
      <w:pPr>
        <w:widowControl w:val="0"/>
        <w:spacing w:before="240" w:after="240"/>
        <w:ind w:left="3600" w:hanging="720"/>
        <w:rPr>
          <w:szCs w:val="24"/>
        </w:rPr>
      </w:pPr>
      <w:r w:rsidRPr="003B4362">
        <w:rPr>
          <w:szCs w:val="24"/>
        </w:rPr>
        <w:t>v)</w:t>
      </w:r>
      <w:r w:rsidRPr="003B4362">
        <w:rPr>
          <w:szCs w:val="24"/>
        </w:rPr>
        <w:tab/>
      </w:r>
      <w:r w:rsidRPr="003B4362">
        <w:rPr>
          <w:szCs w:val="16"/>
        </w:rPr>
        <w:t>RAPID’E. coli (20)</w:t>
      </w:r>
      <w:r w:rsidRPr="003B4362">
        <w:rPr>
          <w:szCs w:val="24"/>
        </w:rPr>
        <w:t>.</w:t>
      </w:r>
    </w:p>
    <w:p w14:paraId="6C76F291" w14:textId="694FDAC8" w:rsidR="0069152A" w:rsidRPr="003B4362" w:rsidRDefault="0069152A" w:rsidP="0069152A">
      <w:pPr>
        <w:widowControl w:val="0"/>
        <w:spacing w:before="240" w:after="240"/>
        <w:ind w:left="2880"/>
        <w:rPr>
          <w:szCs w:val="24"/>
        </w:rPr>
      </w:pPr>
      <w:r w:rsidRPr="003B4362">
        <w:t xml:space="preserve">BOARD NOTE:  A supplier must begin all filtration series with membrane filtration equipment the supplier sterilized by </w:t>
      </w:r>
      <w:r w:rsidRPr="003B4362">
        <w:lastRenderedPageBreak/>
        <w:t>autoclaving.  Exposing filtration equipment to UV light is not adequate to ensure sterilization.  Subsequent to the initial autoclaving, the supplier may expose the filtration equipment to UV light to sanitize the funnels between filtrations within a filtration series.  Alternatively, the supplier may use manufacturer-pre-sterilized membrane filtration equipment (i.e., disposable funnel units).</w:t>
      </w:r>
    </w:p>
    <w:p w14:paraId="2A44984B" w14:textId="77777777" w:rsidR="0069152A" w:rsidRPr="003B4362" w:rsidRDefault="0069152A" w:rsidP="0069152A">
      <w:pPr>
        <w:widowControl w:val="0"/>
        <w:spacing w:before="240" w:after="240"/>
        <w:ind w:left="2880" w:hanging="720"/>
        <w:rPr>
          <w:szCs w:val="24"/>
        </w:rPr>
      </w:pPr>
      <w:r w:rsidRPr="003B4362">
        <w:rPr>
          <w:szCs w:val="24"/>
        </w:rPr>
        <w:t>C)</w:t>
      </w:r>
      <w:r w:rsidRPr="003B4362">
        <w:rPr>
          <w:szCs w:val="24"/>
        </w:rPr>
        <w:tab/>
        <w:t>Total Coliforms, Enzyme Substrate Methods</w:t>
      </w:r>
    </w:p>
    <w:p w14:paraId="24933337" w14:textId="77777777" w:rsidR="0069152A" w:rsidRPr="003B4362" w:rsidRDefault="0069152A" w:rsidP="0069152A">
      <w:pPr>
        <w:widowControl w:val="0"/>
        <w:spacing w:before="240" w:after="240"/>
        <w:ind w:left="3600" w:hanging="720"/>
        <w:rPr>
          <w:szCs w:val="24"/>
        </w:rPr>
      </w:pPr>
      <w:r w:rsidRPr="003B4362">
        <w:rPr>
          <w:szCs w:val="24"/>
        </w:rPr>
        <w:t>i)</w:t>
      </w:r>
      <w:r w:rsidRPr="003B4362">
        <w:rPr>
          <w:szCs w:val="24"/>
        </w:rPr>
        <w:tab/>
      </w:r>
      <w:bookmarkStart w:id="4497" w:name="_Hlk14971545"/>
      <w:r w:rsidRPr="003B4362">
        <w:rPr>
          <w:szCs w:val="24"/>
        </w:rPr>
        <w:t>Colilert</w:t>
      </w:r>
      <w:r w:rsidRPr="003B4362">
        <w:rPr>
          <w:vertAlign w:val="superscript"/>
        </w:rPr>
        <w:t>®</w:t>
      </w:r>
      <w:r w:rsidRPr="003B4362">
        <w:t>.</w:t>
      </w:r>
      <w:bookmarkEnd w:id="4497"/>
      <w:r w:rsidRPr="003B4362">
        <w:rPr>
          <w:szCs w:val="24"/>
        </w:rPr>
        <w:t xml:space="preserve">  </w:t>
      </w:r>
      <w:bookmarkStart w:id="4498" w:name="_Hlk14971388"/>
      <w:r w:rsidRPr="003B4362">
        <w:rPr>
          <w:szCs w:val="24"/>
        </w:rPr>
        <w:t>SM 9223 B (97), SM 9223 B (04)</w:t>
      </w:r>
      <w:bookmarkEnd w:id="4498"/>
      <w:r w:rsidRPr="003B4362">
        <w:rPr>
          <w:szCs w:val="24"/>
        </w:rPr>
        <w:t>, or SM 9223 B (16).</w:t>
      </w:r>
    </w:p>
    <w:p w14:paraId="3E2080C6" w14:textId="22E51B1D" w:rsidR="0069152A" w:rsidRPr="003B4362" w:rsidRDefault="0069152A" w:rsidP="0069152A">
      <w:pPr>
        <w:widowControl w:val="0"/>
        <w:spacing w:before="240" w:after="240"/>
        <w:ind w:left="3600"/>
        <w:rPr>
          <w:szCs w:val="24"/>
        </w:rPr>
      </w:pPr>
      <w:r w:rsidRPr="003B4362">
        <w:t>BOARD NOTE:  A supplier may use multiple-tube and multi-well enumerative formats for this method in presence-absence determination under this Subpart AA.</w:t>
      </w:r>
    </w:p>
    <w:p w14:paraId="7FF903D1" w14:textId="77777777" w:rsidR="0069152A" w:rsidRPr="003B4362" w:rsidRDefault="0069152A" w:rsidP="0069152A">
      <w:pPr>
        <w:widowControl w:val="0"/>
        <w:spacing w:before="240" w:after="240"/>
        <w:ind w:left="3600" w:hanging="720"/>
        <w:rPr>
          <w:szCs w:val="24"/>
        </w:rPr>
      </w:pPr>
      <w:r w:rsidRPr="003B4362">
        <w:rPr>
          <w:szCs w:val="24"/>
        </w:rPr>
        <w:t>ii)</w:t>
      </w:r>
      <w:r w:rsidRPr="003B4362">
        <w:rPr>
          <w:szCs w:val="24"/>
        </w:rPr>
        <w:tab/>
        <w:t>Colilert</w:t>
      </w:r>
      <w:r w:rsidRPr="003B4362">
        <w:rPr>
          <w:szCs w:val="24"/>
          <w:vertAlign w:val="superscript"/>
        </w:rPr>
        <w:t>®</w:t>
      </w:r>
      <w:bookmarkStart w:id="4499" w:name="_Hlk14971661"/>
      <w:r w:rsidRPr="003B4362">
        <w:rPr>
          <w:szCs w:val="24"/>
        </w:rPr>
        <w:t>-18</w:t>
      </w:r>
      <w:bookmarkEnd w:id="4499"/>
      <w:r w:rsidRPr="003B4362">
        <w:t>.</w:t>
      </w:r>
      <w:r w:rsidRPr="003B4362">
        <w:rPr>
          <w:szCs w:val="24"/>
        </w:rPr>
        <w:t xml:space="preserve">  SM 9223 B (97), SM 9223 B (04), or SM 9223 B (16).</w:t>
      </w:r>
    </w:p>
    <w:p w14:paraId="0F146B9B" w14:textId="77777777" w:rsidR="0069152A" w:rsidRPr="003B4362" w:rsidRDefault="0069152A" w:rsidP="0069152A">
      <w:pPr>
        <w:widowControl w:val="0"/>
        <w:spacing w:before="240" w:after="240"/>
        <w:ind w:left="3600" w:hanging="720"/>
        <w:rPr>
          <w:szCs w:val="24"/>
        </w:rPr>
      </w:pPr>
      <w:r w:rsidRPr="003B4362">
        <w:rPr>
          <w:szCs w:val="24"/>
        </w:rPr>
        <w:t>iii)</w:t>
      </w:r>
      <w:r w:rsidRPr="003B4362">
        <w:rPr>
          <w:szCs w:val="24"/>
        </w:rPr>
        <w:tab/>
        <w:t>Colisure</w:t>
      </w:r>
      <w:r w:rsidRPr="003B4362">
        <w:rPr>
          <w:vertAlign w:val="superscript"/>
        </w:rPr>
        <w:t>®</w:t>
      </w:r>
      <w:r w:rsidRPr="003B4362">
        <w:t>.</w:t>
      </w:r>
      <w:r w:rsidRPr="003B4362">
        <w:rPr>
          <w:szCs w:val="24"/>
        </w:rPr>
        <w:t xml:space="preserve">  SM 9223 B (97), SM 9223 B (04), or SM 9223 B (16).</w:t>
      </w:r>
    </w:p>
    <w:p w14:paraId="1D70C465" w14:textId="75A9DC06" w:rsidR="0069152A" w:rsidRPr="003B4362" w:rsidRDefault="0069152A" w:rsidP="0069152A">
      <w:pPr>
        <w:widowControl w:val="0"/>
        <w:spacing w:before="240" w:after="240"/>
        <w:ind w:left="3600"/>
        <w:rPr>
          <w:szCs w:val="24"/>
        </w:rPr>
      </w:pPr>
      <w:r w:rsidRPr="003B4362">
        <w:t>BOARD NOTE:  A supplier may use multiple-tube and multi-well enumerative formats for this method in presence-absence determination under this Subpart AA.  A supplier may read Colisure™ Test results after an incubation time of 24 hours.</w:t>
      </w:r>
    </w:p>
    <w:p w14:paraId="0A2B1B2E" w14:textId="77777777" w:rsidR="0069152A" w:rsidRPr="003B4362" w:rsidRDefault="0069152A" w:rsidP="0069152A">
      <w:pPr>
        <w:widowControl w:val="0"/>
        <w:spacing w:before="240" w:after="240"/>
        <w:ind w:left="3600" w:hanging="720"/>
        <w:rPr>
          <w:szCs w:val="24"/>
        </w:rPr>
      </w:pPr>
      <w:r w:rsidRPr="003B4362">
        <w:rPr>
          <w:szCs w:val="24"/>
        </w:rPr>
        <w:t>iv)</w:t>
      </w:r>
      <w:r w:rsidRPr="003B4362">
        <w:rPr>
          <w:szCs w:val="24"/>
        </w:rPr>
        <w:tab/>
      </w:r>
      <w:bookmarkStart w:id="4500" w:name="_Hlk14971979"/>
      <w:r w:rsidRPr="003B4362">
        <w:rPr>
          <w:szCs w:val="24"/>
        </w:rPr>
        <w:t>E*Colite</w:t>
      </w:r>
      <w:r w:rsidRPr="003B4362">
        <w:rPr>
          <w:vertAlign w:val="superscript"/>
        </w:rPr>
        <w:t>®</w:t>
      </w:r>
      <w:r w:rsidRPr="003B4362">
        <w:t xml:space="preserve"> (98).</w:t>
      </w:r>
      <w:bookmarkEnd w:id="4500"/>
    </w:p>
    <w:p w14:paraId="32BE67F0" w14:textId="77777777" w:rsidR="0069152A" w:rsidRPr="003B4362" w:rsidRDefault="0069152A" w:rsidP="0069152A">
      <w:pPr>
        <w:widowControl w:val="0"/>
        <w:spacing w:before="240" w:after="240"/>
        <w:ind w:left="3600" w:hanging="720"/>
        <w:rPr>
          <w:szCs w:val="24"/>
        </w:rPr>
      </w:pPr>
      <w:r w:rsidRPr="003B4362">
        <w:rPr>
          <w:szCs w:val="24"/>
        </w:rPr>
        <w:t>v)</w:t>
      </w:r>
      <w:r w:rsidRPr="003B4362">
        <w:rPr>
          <w:szCs w:val="24"/>
        </w:rPr>
        <w:tab/>
      </w:r>
      <w:bookmarkStart w:id="4501" w:name="_Hlk14972059"/>
      <w:r w:rsidRPr="003B4362">
        <w:rPr>
          <w:szCs w:val="24"/>
        </w:rPr>
        <w:t>Readycult</w:t>
      </w:r>
      <w:r w:rsidRPr="003B4362">
        <w:rPr>
          <w:vertAlign w:val="superscript"/>
        </w:rPr>
        <w:t>®</w:t>
      </w:r>
      <w:r w:rsidRPr="003B4362">
        <w:t xml:space="preserve"> (07).</w:t>
      </w:r>
      <w:bookmarkEnd w:id="4501"/>
    </w:p>
    <w:p w14:paraId="4DA62CD1" w14:textId="5FF6CC90" w:rsidR="0069152A" w:rsidRPr="003B4362" w:rsidRDefault="0069152A" w:rsidP="0069152A">
      <w:pPr>
        <w:widowControl w:val="0"/>
        <w:spacing w:before="240" w:after="240"/>
        <w:ind w:left="3600" w:hanging="720"/>
        <w:rPr>
          <w:szCs w:val="24"/>
        </w:rPr>
      </w:pPr>
      <w:r w:rsidRPr="003B4362">
        <w:rPr>
          <w:szCs w:val="24"/>
        </w:rPr>
        <w:t>vi)</w:t>
      </w:r>
      <w:r w:rsidRPr="003B4362">
        <w:rPr>
          <w:szCs w:val="24"/>
        </w:rPr>
        <w:tab/>
      </w:r>
      <w:bookmarkStart w:id="4502" w:name="_Hlk14972791"/>
      <w:r w:rsidRPr="003B4362">
        <w:rPr>
          <w:szCs w:val="24"/>
        </w:rPr>
        <w:t>Modified Colitag™ (09)</w:t>
      </w:r>
      <w:r w:rsidR="006937CC" w:rsidRPr="003B4362">
        <w:rPr>
          <w:szCs w:val="24"/>
        </w:rPr>
        <w:t xml:space="preserve"> or </w:t>
      </w:r>
      <w:bookmarkStart w:id="4503" w:name="_Hlk131540760"/>
      <w:r w:rsidR="006937CC" w:rsidRPr="003B4362">
        <w:rPr>
          <w:szCs w:val="24"/>
        </w:rPr>
        <w:t>Modified Colitag™ (20)</w:t>
      </w:r>
      <w:bookmarkEnd w:id="4503"/>
      <w:r w:rsidRPr="003B4362">
        <w:rPr>
          <w:szCs w:val="24"/>
        </w:rPr>
        <w:t>.</w:t>
      </w:r>
      <w:bookmarkEnd w:id="4502"/>
    </w:p>
    <w:p w14:paraId="7B122477" w14:textId="77777777" w:rsidR="0069152A" w:rsidRPr="003B4362" w:rsidRDefault="0069152A" w:rsidP="0069152A">
      <w:pPr>
        <w:widowControl w:val="0"/>
        <w:spacing w:before="240" w:after="240"/>
        <w:ind w:left="3600" w:hanging="720"/>
        <w:rPr>
          <w:szCs w:val="24"/>
        </w:rPr>
      </w:pPr>
      <w:r w:rsidRPr="003B4362">
        <w:rPr>
          <w:szCs w:val="24"/>
        </w:rPr>
        <w:t>vii)</w:t>
      </w:r>
      <w:r w:rsidRPr="003B4362">
        <w:rPr>
          <w:szCs w:val="24"/>
        </w:rPr>
        <w:tab/>
      </w:r>
      <w:bookmarkStart w:id="4504" w:name="_Hlk14973142"/>
      <w:r w:rsidRPr="003B4362">
        <w:rPr>
          <w:szCs w:val="24"/>
        </w:rPr>
        <w:t>Tecta (14) or Tecta (17)</w:t>
      </w:r>
      <w:bookmarkEnd w:id="4504"/>
      <w:r w:rsidRPr="003B4362">
        <w:rPr>
          <w:szCs w:val="24"/>
        </w:rPr>
        <w:t>.</w:t>
      </w:r>
    </w:p>
    <w:p w14:paraId="020DE192" w14:textId="77777777" w:rsidR="0069152A" w:rsidRPr="003B4362" w:rsidRDefault="0069152A" w:rsidP="0069152A">
      <w:pPr>
        <w:widowControl w:val="0"/>
        <w:spacing w:before="240" w:after="240"/>
        <w:ind w:left="2880" w:hanging="720"/>
        <w:rPr>
          <w:szCs w:val="24"/>
        </w:rPr>
      </w:pPr>
      <w:r w:rsidRPr="003B4362">
        <w:rPr>
          <w:szCs w:val="24"/>
        </w:rPr>
        <w:t>D)</w:t>
      </w:r>
      <w:r w:rsidRPr="003B4362">
        <w:rPr>
          <w:szCs w:val="24"/>
        </w:rPr>
        <w:tab/>
        <w:t xml:space="preserve">E. coli (following lactose fermentation methods), EC-MUG Medium.  </w:t>
      </w:r>
      <w:bookmarkStart w:id="4505" w:name="_Hlk14973535"/>
      <w:r w:rsidRPr="003B4362">
        <w:rPr>
          <w:szCs w:val="24"/>
        </w:rPr>
        <w:t>Section 1 of SM 9221 F (94), section 1 of SM 9221 F (01), section 1 of SM 9221 F (06)</w:t>
      </w:r>
      <w:bookmarkEnd w:id="4505"/>
      <w:r w:rsidRPr="003B4362">
        <w:rPr>
          <w:szCs w:val="24"/>
        </w:rPr>
        <w:t>, or section 1 of SM 9221 F (14).</w:t>
      </w:r>
    </w:p>
    <w:p w14:paraId="699346B9" w14:textId="77777777" w:rsidR="0069152A" w:rsidRPr="003B4362" w:rsidRDefault="0069152A" w:rsidP="0069152A">
      <w:pPr>
        <w:widowControl w:val="0"/>
        <w:spacing w:before="240" w:after="240"/>
        <w:ind w:left="2880" w:hanging="720"/>
        <w:rPr>
          <w:szCs w:val="24"/>
        </w:rPr>
      </w:pPr>
      <w:r w:rsidRPr="003B4362">
        <w:rPr>
          <w:szCs w:val="24"/>
        </w:rPr>
        <w:t>E)</w:t>
      </w:r>
      <w:r w:rsidRPr="003B4362">
        <w:rPr>
          <w:szCs w:val="24"/>
        </w:rPr>
        <w:tab/>
        <w:t>E. coli, Partition Methods</w:t>
      </w:r>
      <w:r w:rsidRPr="003B4362">
        <w:t xml:space="preserve"> (following membrane filtration methods)</w:t>
      </w:r>
    </w:p>
    <w:p w14:paraId="520D1940" w14:textId="77777777" w:rsidR="0069152A" w:rsidRPr="003B4362" w:rsidRDefault="0069152A" w:rsidP="0069152A">
      <w:pPr>
        <w:widowControl w:val="0"/>
        <w:spacing w:before="240" w:after="240"/>
        <w:ind w:left="3600" w:hanging="720"/>
        <w:rPr>
          <w:szCs w:val="24"/>
        </w:rPr>
      </w:pPr>
      <w:r w:rsidRPr="003B4362">
        <w:rPr>
          <w:szCs w:val="24"/>
        </w:rPr>
        <w:t>i)</w:t>
      </w:r>
      <w:r w:rsidRPr="003B4362">
        <w:rPr>
          <w:szCs w:val="24"/>
        </w:rPr>
        <w:tab/>
        <w:t xml:space="preserve">EC Broth with MUG (EC-MUG).  Section </w:t>
      </w:r>
      <w:bookmarkStart w:id="4506" w:name="_Hlk14976213"/>
      <w:r w:rsidRPr="003B4362">
        <w:rPr>
          <w:szCs w:val="24"/>
        </w:rPr>
        <w:t>1.c(2) of SM 9222 G (97)</w:t>
      </w:r>
      <w:bookmarkEnd w:id="4506"/>
      <w:r w:rsidRPr="003B4362">
        <w:rPr>
          <w:szCs w:val="24"/>
        </w:rPr>
        <w:t xml:space="preserve"> or SM 9222 H (15).</w:t>
      </w:r>
    </w:p>
    <w:p w14:paraId="5B8E8843" w14:textId="12F574FA" w:rsidR="0069152A" w:rsidRPr="003B4362" w:rsidRDefault="0069152A" w:rsidP="0069152A">
      <w:pPr>
        <w:widowControl w:val="0"/>
        <w:spacing w:before="240" w:after="240"/>
        <w:ind w:left="3600"/>
        <w:rPr>
          <w:szCs w:val="24"/>
        </w:rPr>
      </w:pPr>
      <w:r w:rsidRPr="003B4362">
        <w:lastRenderedPageBreak/>
        <w:t>BOARD NOTE:  The supplier must make certain changes to the EC broth with MUG (EC-MUG) formulation:  1.5 g potassium dihydrogen phosphate (KH</w:t>
      </w:r>
      <w:r w:rsidRPr="003B4362">
        <w:rPr>
          <w:vertAlign w:val="subscript"/>
        </w:rPr>
        <w:t>2</w:t>
      </w:r>
      <w:r w:rsidRPr="003B4362">
        <w:t>PO</w:t>
      </w:r>
      <w:r w:rsidRPr="003B4362">
        <w:rPr>
          <w:vertAlign w:val="subscript"/>
        </w:rPr>
        <w:t>4</w:t>
      </w:r>
      <w:r w:rsidRPr="003B4362">
        <w:t>) and 0.05 g 4-methylumbelliferyl-β-D-glucuronide.</w:t>
      </w:r>
    </w:p>
    <w:p w14:paraId="060E4E48" w14:textId="77777777" w:rsidR="0069152A" w:rsidRPr="003B4362" w:rsidRDefault="0069152A" w:rsidP="0069152A">
      <w:pPr>
        <w:widowControl w:val="0"/>
        <w:spacing w:before="240" w:after="240"/>
        <w:ind w:left="3600" w:hanging="720"/>
        <w:rPr>
          <w:szCs w:val="24"/>
        </w:rPr>
      </w:pPr>
      <w:r w:rsidRPr="003B4362">
        <w:rPr>
          <w:szCs w:val="24"/>
        </w:rPr>
        <w:t>ii)</w:t>
      </w:r>
      <w:r w:rsidRPr="003B4362">
        <w:rPr>
          <w:szCs w:val="24"/>
        </w:rPr>
        <w:tab/>
        <w:t xml:space="preserve">NA-MUG Medium.  Section </w:t>
      </w:r>
      <w:bookmarkStart w:id="4507" w:name="_Hlk14976447"/>
      <w:r w:rsidRPr="003B4362">
        <w:rPr>
          <w:szCs w:val="24"/>
        </w:rPr>
        <w:t>1.c(1) of SM 9222 G (97)</w:t>
      </w:r>
      <w:bookmarkEnd w:id="4507"/>
      <w:r w:rsidRPr="003B4362">
        <w:rPr>
          <w:szCs w:val="24"/>
        </w:rPr>
        <w:t xml:space="preserve"> or SM 9222 I (15).</w:t>
      </w:r>
    </w:p>
    <w:p w14:paraId="6DDDCEC2" w14:textId="77777777" w:rsidR="0069152A" w:rsidRPr="003B4362" w:rsidRDefault="0069152A" w:rsidP="0069152A">
      <w:pPr>
        <w:widowControl w:val="0"/>
        <w:spacing w:before="240" w:after="240"/>
        <w:ind w:left="2880" w:hanging="720"/>
        <w:rPr>
          <w:szCs w:val="24"/>
        </w:rPr>
      </w:pPr>
      <w:r w:rsidRPr="003B4362">
        <w:rPr>
          <w:szCs w:val="24"/>
        </w:rPr>
        <w:t>F)</w:t>
      </w:r>
      <w:r w:rsidRPr="003B4362">
        <w:rPr>
          <w:szCs w:val="24"/>
        </w:rPr>
        <w:tab/>
        <w:t>E. coli, Membrane Filtration Methods</w:t>
      </w:r>
    </w:p>
    <w:p w14:paraId="7151E7ED" w14:textId="77777777" w:rsidR="0069152A" w:rsidRPr="003B4362" w:rsidRDefault="0069152A" w:rsidP="0069152A">
      <w:pPr>
        <w:widowControl w:val="0"/>
        <w:spacing w:before="240" w:after="240"/>
        <w:ind w:left="3600" w:hanging="720"/>
        <w:rPr>
          <w:szCs w:val="24"/>
        </w:rPr>
      </w:pPr>
      <w:r w:rsidRPr="003B4362">
        <w:rPr>
          <w:szCs w:val="24"/>
        </w:rPr>
        <w:t>i)</w:t>
      </w:r>
      <w:r w:rsidRPr="003B4362">
        <w:rPr>
          <w:szCs w:val="24"/>
        </w:rPr>
        <w:tab/>
        <w:t xml:space="preserve">Membrane Filtration Using MI Medium.  </w:t>
      </w:r>
      <w:bookmarkStart w:id="4508" w:name="_Hlk14976612"/>
      <w:r w:rsidRPr="003B4362">
        <w:rPr>
          <w:szCs w:val="24"/>
        </w:rPr>
        <w:t>USEPA 1604 (02)</w:t>
      </w:r>
      <w:bookmarkEnd w:id="4508"/>
      <w:r w:rsidRPr="003B4362">
        <w:rPr>
          <w:szCs w:val="24"/>
        </w:rPr>
        <w:t>.</w:t>
      </w:r>
    </w:p>
    <w:p w14:paraId="6E3B6E40" w14:textId="77777777" w:rsidR="0069152A" w:rsidRPr="003B4362" w:rsidRDefault="0069152A" w:rsidP="0069152A">
      <w:pPr>
        <w:widowControl w:val="0"/>
        <w:spacing w:before="240" w:after="240"/>
        <w:ind w:left="3600" w:hanging="720"/>
        <w:rPr>
          <w:szCs w:val="24"/>
        </w:rPr>
      </w:pPr>
      <w:r w:rsidRPr="003B4362">
        <w:rPr>
          <w:szCs w:val="24"/>
        </w:rPr>
        <w:t>ii)</w:t>
      </w:r>
      <w:r w:rsidRPr="003B4362">
        <w:rPr>
          <w:szCs w:val="24"/>
        </w:rPr>
        <w:tab/>
      </w:r>
      <w:bookmarkStart w:id="4509" w:name="_Hlk14976677"/>
      <w:r w:rsidRPr="003B4362">
        <w:t>Hach 10029 (99) (</w:t>
      </w:r>
      <w:r w:rsidRPr="003B4362">
        <w:rPr>
          <w:szCs w:val="24"/>
        </w:rPr>
        <w:t>m-ColiBlue24</w:t>
      </w:r>
      <w:r w:rsidRPr="003B4362">
        <w:rPr>
          <w:vertAlign w:val="superscript"/>
        </w:rPr>
        <w:t>®</w:t>
      </w:r>
      <w:r w:rsidRPr="003B4362">
        <w:t>)</w:t>
      </w:r>
      <w:bookmarkEnd w:id="4509"/>
      <w:r w:rsidRPr="003B4362">
        <w:rPr>
          <w:szCs w:val="24"/>
        </w:rPr>
        <w:t>.</w:t>
      </w:r>
    </w:p>
    <w:p w14:paraId="79017087" w14:textId="47C08FAF" w:rsidR="0069152A" w:rsidRPr="003B4362" w:rsidRDefault="0069152A" w:rsidP="0069152A">
      <w:pPr>
        <w:widowControl w:val="0"/>
        <w:spacing w:before="240" w:after="240"/>
        <w:ind w:left="3600"/>
        <w:rPr>
          <w:szCs w:val="24"/>
        </w:rPr>
      </w:pPr>
      <w:r w:rsidRPr="003B4362">
        <w:t>BOARD NOTE:  A supplier must begin all filtration series with membrane filtration equipment the supplier sterilized by autoclaving.  Exposing filtration equipment to UV light is not adequate to ensure sterilization.  Subsequent to the initial autoclaving, the supplier may expose the filtration equipment to UV light to sanitize the funnels between filtrations within a filtration series.  Exposure of filtration equipment to UV light is not adequate to ensure sterilization.  Alternatively, the supplier may use manufacturer-pre-sterilized membrane filtration equipment (i.e., disposable funnel units).</w:t>
      </w:r>
    </w:p>
    <w:p w14:paraId="4746DECF" w14:textId="77777777" w:rsidR="0069152A" w:rsidRPr="003B4362" w:rsidRDefault="0069152A" w:rsidP="0069152A">
      <w:pPr>
        <w:widowControl w:val="0"/>
        <w:spacing w:before="240" w:after="240"/>
        <w:ind w:left="3600" w:hanging="720"/>
        <w:rPr>
          <w:szCs w:val="24"/>
        </w:rPr>
      </w:pPr>
      <w:r w:rsidRPr="003B4362">
        <w:rPr>
          <w:szCs w:val="24"/>
        </w:rPr>
        <w:t>iii)</w:t>
      </w:r>
      <w:r w:rsidRPr="003B4362">
        <w:rPr>
          <w:szCs w:val="24"/>
        </w:rPr>
        <w:tab/>
      </w:r>
      <w:bookmarkStart w:id="4510" w:name="_Hlk14976768"/>
      <w:r w:rsidRPr="003B4362">
        <w:rPr>
          <w:szCs w:val="24"/>
        </w:rPr>
        <w:t>Chromocult</w:t>
      </w:r>
      <w:r w:rsidRPr="003B4362">
        <w:rPr>
          <w:vertAlign w:val="superscript"/>
        </w:rPr>
        <w:t>®</w:t>
      </w:r>
      <w:r w:rsidRPr="003B4362">
        <w:t xml:space="preserve"> (00)</w:t>
      </w:r>
      <w:bookmarkEnd w:id="4510"/>
      <w:r w:rsidRPr="003B4362">
        <w:rPr>
          <w:szCs w:val="24"/>
        </w:rPr>
        <w:t>.</w:t>
      </w:r>
    </w:p>
    <w:p w14:paraId="62631169" w14:textId="0D9FC263" w:rsidR="006937CC" w:rsidRPr="003B4362" w:rsidRDefault="006937CC" w:rsidP="006937CC">
      <w:pPr>
        <w:widowControl w:val="0"/>
        <w:spacing w:before="240" w:after="240"/>
        <w:ind w:left="3600" w:hanging="720"/>
        <w:rPr>
          <w:szCs w:val="24"/>
        </w:rPr>
      </w:pPr>
      <w:r w:rsidRPr="003B4362">
        <w:rPr>
          <w:szCs w:val="24"/>
        </w:rPr>
        <w:t>iv)</w:t>
      </w:r>
      <w:r w:rsidRPr="003B4362">
        <w:rPr>
          <w:szCs w:val="24"/>
        </w:rPr>
        <w:tab/>
      </w:r>
      <w:r w:rsidRPr="003B4362">
        <w:rPr>
          <w:szCs w:val="16"/>
        </w:rPr>
        <w:t>RAPID’E. coli (20)</w:t>
      </w:r>
      <w:r w:rsidRPr="003B4362">
        <w:rPr>
          <w:szCs w:val="24"/>
        </w:rPr>
        <w:t>.</w:t>
      </w:r>
    </w:p>
    <w:p w14:paraId="04DE771B" w14:textId="1DB792B8" w:rsidR="0069152A" w:rsidRPr="003B4362" w:rsidRDefault="0069152A" w:rsidP="0069152A">
      <w:pPr>
        <w:widowControl w:val="0"/>
        <w:spacing w:before="240" w:after="240"/>
        <w:ind w:left="2880"/>
        <w:rPr>
          <w:szCs w:val="24"/>
        </w:rPr>
      </w:pPr>
      <w:r w:rsidRPr="003B4362">
        <w:t>BOARD NOTE:  A supplier must begin all filtration series with membrane filtration equipment the supplier sterilized by autoclaving.  Exposing filtration equipment to UV light is not adequate to ensure sterilization.  Subsequent to the initial autoclaving, the supplier may expose the filtration equipment to UV light to sanitize the funnels between filtrations within a filtration series.  Exposure of filtration equipment to UV light is not adequate to ensure sterilization.  Alternatively, the supplier may use manufacturer-pre-sterilized membrane filtration equipment (i.e., disposable funnel units).</w:t>
      </w:r>
    </w:p>
    <w:p w14:paraId="658BFA5B" w14:textId="77777777" w:rsidR="0069152A" w:rsidRPr="003B4362" w:rsidRDefault="0069152A" w:rsidP="0069152A">
      <w:pPr>
        <w:widowControl w:val="0"/>
        <w:spacing w:before="240" w:after="240"/>
        <w:ind w:left="2880" w:hanging="720"/>
        <w:rPr>
          <w:szCs w:val="24"/>
        </w:rPr>
      </w:pPr>
      <w:r w:rsidRPr="003B4362">
        <w:rPr>
          <w:szCs w:val="24"/>
        </w:rPr>
        <w:t>G)</w:t>
      </w:r>
      <w:r w:rsidRPr="003B4362">
        <w:rPr>
          <w:szCs w:val="24"/>
        </w:rPr>
        <w:tab/>
        <w:t>E. coli, Enzyme Substrate Methods</w:t>
      </w:r>
    </w:p>
    <w:p w14:paraId="46107410" w14:textId="77777777" w:rsidR="0069152A" w:rsidRPr="003B4362" w:rsidRDefault="0069152A" w:rsidP="0069152A">
      <w:pPr>
        <w:widowControl w:val="0"/>
        <w:spacing w:before="240" w:after="240"/>
        <w:ind w:left="3600" w:hanging="720"/>
        <w:rPr>
          <w:szCs w:val="24"/>
        </w:rPr>
      </w:pPr>
      <w:r w:rsidRPr="003B4362">
        <w:rPr>
          <w:szCs w:val="24"/>
        </w:rPr>
        <w:t>i)</w:t>
      </w:r>
      <w:r w:rsidRPr="003B4362">
        <w:rPr>
          <w:szCs w:val="24"/>
        </w:rPr>
        <w:tab/>
        <w:t>Colilert</w:t>
      </w:r>
      <w:r w:rsidRPr="003B4362">
        <w:rPr>
          <w:vertAlign w:val="superscript"/>
        </w:rPr>
        <w:t>®</w:t>
      </w:r>
      <w:r w:rsidRPr="003B4362">
        <w:t>.</w:t>
      </w:r>
      <w:r w:rsidRPr="003B4362">
        <w:rPr>
          <w:szCs w:val="24"/>
        </w:rPr>
        <w:t xml:space="preserve">  </w:t>
      </w:r>
      <w:bookmarkStart w:id="4511" w:name="_Hlk14976969"/>
      <w:r w:rsidRPr="003B4362">
        <w:rPr>
          <w:szCs w:val="24"/>
        </w:rPr>
        <w:t xml:space="preserve">SM 9223 B (97), </w:t>
      </w:r>
      <w:bookmarkStart w:id="4512" w:name="_Hlk17293969"/>
      <w:r w:rsidRPr="003B4362">
        <w:rPr>
          <w:szCs w:val="24"/>
        </w:rPr>
        <w:t xml:space="preserve">SM 9223 B </w:t>
      </w:r>
      <w:bookmarkEnd w:id="4512"/>
      <w:r w:rsidRPr="003B4362">
        <w:rPr>
          <w:szCs w:val="24"/>
        </w:rPr>
        <w:t>(04)</w:t>
      </w:r>
      <w:bookmarkEnd w:id="4511"/>
      <w:r w:rsidRPr="003B4362">
        <w:rPr>
          <w:szCs w:val="24"/>
        </w:rPr>
        <w:t>, SM 9223 B (16).</w:t>
      </w:r>
    </w:p>
    <w:p w14:paraId="00415F16" w14:textId="77777777" w:rsidR="0069152A" w:rsidRPr="003B4362" w:rsidRDefault="0069152A" w:rsidP="0069152A">
      <w:pPr>
        <w:widowControl w:val="0"/>
        <w:spacing w:before="240" w:after="240"/>
        <w:ind w:left="3600"/>
        <w:rPr>
          <w:szCs w:val="24"/>
        </w:rPr>
      </w:pPr>
      <w:r w:rsidRPr="003B4362">
        <w:lastRenderedPageBreak/>
        <w:t>BOARD NOTE:  Multiple-tube and multi-well enumerative formats for this method are approved for use in presence-absence determination under this Subpart AA.</w:t>
      </w:r>
    </w:p>
    <w:p w14:paraId="66E9773A" w14:textId="77777777" w:rsidR="0069152A" w:rsidRPr="003B4362" w:rsidRDefault="0069152A" w:rsidP="0069152A">
      <w:pPr>
        <w:widowControl w:val="0"/>
        <w:spacing w:before="240" w:after="240"/>
        <w:ind w:left="3600" w:hanging="720"/>
        <w:rPr>
          <w:szCs w:val="24"/>
        </w:rPr>
      </w:pPr>
      <w:r w:rsidRPr="003B4362">
        <w:rPr>
          <w:szCs w:val="24"/>
        </w:rPr>
        <w:t>ii)</w:t>
      </w:r>
      <w:r w:rsidRPr="003B4362">
        <w:rPr>
          <w:szCs w:val="24"/>
        </w:rPr>
        <w:tab/>
      </w:r>
      <w:bookmarkStart w:id="4513" w:name="_Hlk15310063"/>
      <w:r w:rsidRPr="003B4362">
        <w:rPr>
          <w:szCs w:val="24"/>
        </w:rPr>
        <w:t>Colilert</w:t>
      </w:r>
      <w:r w:rsidRPr="003B4362">
        <w:rPr>
          <w:szCs w:val="24"/>
          <w:vertAlign w:val="superscript"/>
        </w:rPr>
        <w:t>®</w:t>
      </w:r>
      <w:r w:rsidRPr="003B4362">
        <w:rPr>
          <w:szCs w:val="24"/>
        </w:rPr>
        <w:t>-18</w:t>
      </w:r>
      <w:r w:rsidRPr="003B4362">
        <w:t>.</w:t>
      </w:r>
      <w:bookmarkEnd w:id="4513"/>
      <w:r w:rsidRPr="003B4362">
        <w:rPr>
          <w:szCs w:val="24"/>
        </w:rPr>
        <w:t xml:space="preserve">  SM 9223 B (97), SM 9223 B (04), SM 9223 B (16).</w:t>
      </w:r>
    </w:p>
    <w:p w14:paraId="258FDAAB" w14:textId="77777777" w:rsidR="0069152A" w:rsidRPr="003B4362" w:rsidRDefault="0069152A" w:rsidP="0069152A">
      <w:pPr>
        <w:widowControl w:val="0"/>
        <w:spacing w:before="240" w:after="240"/>
        <w:ind w:left="3600" w:hanging="720"/>
        <w:rPr>
          <w:szCs w:val="24"/>
        </w:rPr>
      </w:pPr>
      <w:r w:rsidRPr="003B4362">
        <w:rPr>
          <w:szCs w:val="24"/>
        </w:rPr>
        <w:t>iii)</w:t>
      </w:r>
      <w:r w:rsidRPr="003B4362">
        <w:rPr>
          <w:szCs w:val="24"/>
        </w:rPr>
        <w:tab/>
      </w:r>
      <w:bookmarkStart w:id="4514" w:name="_Hlk3202375"/>
      <w:r w:rsidRPr="003B4362">
        <w:rPr>
          <w:szCs w:val="24"/>
        </w:rPr>
        <w:t>Colisure</w:t>
      </w:r>
      <w:r w:rsidRPr="003B4362">
        <w:rPr>
          <w:vertAlign w:val="superscript"/>
        </w:rPr>
        <w:t>®</w:t>
      </w:r>
      <w:r w:rsidRPr="003B4362">
        <w:t>.</w:t>
      </w:r>
      <w:bookmarkEnd w:id="4514"/>
      <w:r w:rsidRPr="003B4362">
        <w:rPr>
          <w:szCs w:val="24"/>
        </w:rPr>
        <w:t xml:space="preserve">  SM 9223 B (97), SM 9223 B (04), SM 9223 B (16).</w:t>
      </w:r>
    </w:p>
    <w:p w14:paraId="1AC497E2" w14:textId="77851F1D" w:rsidR="0069152A" w:rsidRPr="003B4362" w:rsidRDefault="0069152A" w:rsidP="0069152A">
      <w:pPr>
        <w:widowControl w:val="0"/>
        <w:spacing w:before="240" w:after="240"/>
        <w:ind w:left="3600"/>
        <w:rPr>
          <w:szCs w:val="24"/>
        </w:rPr>
      </w:pPr>
      <w:r w:rsidRPr="003B4362">
        <w:t>BOARD NOTE:  A supplier may use multiple-tube and multi-well enumerative formats for this method in presence-absence determination under this Subpart AA.  A supplier may read Colisure™ Test results after an incubation time of 24 hours.</w:t>
      </w:r>
    </w:p>
    <w:p w14:paraId="030370B4" w14:textId="77777777" w:rsidR="0069152A" w:rsidRPr="003B4362" w:rsidRDefault="0069152A" w:rsidP="0069152A">
      <w:pPr>
        <w:widowControl w:val="0"/>
        <w:spacing w:before="240" w:after="240"/>
        <w:ind w:left="3600" w:hanging="720"/>
        <w:rPr>
          <w:szCs w:val="24"/>
        </w:rPr>
      </w:pPr>
      <w:r w:rsidRPr="003B4362">
        <w:rPr>
          <w:szCs w:val="24"/>
        </w:rPr>
        <w:t>iv)</w:t>
      </w:r>
      <w:r w:rsidRPr="003B4362">
        <w:rPr>
          <w:szCs w:val="24"/>
        </w:rPr>
        <w:tab/>
      </w:r>
      <w:bookmarkStart w:id="4515" w:name="_Hlk15310475"/>
      <w:r w:rsidRPr="003B4362">
        <w:rPr>
          <w:szCs w:val="24"/>
        </w:rPr>
        <w:t>E*Colite</w:t>
      </w:r>
      <w:r w:rsidRPr="003B4362">
        <w:rPr>
          <w:vertAlign w:val="superscript"/>
        </w:rPr>
        <w:t>®</w:t>
      </w:r>
      <w:r w:rsidRPr="003B4362">
        <w:t xml:space="preserve"> (98)</w:t>
      </w:r>
      <w:r w:rsidRPr="003B4362">
        <w:rPr>
          <w:szCs w:val="24"/>
        </w:rPr>
        <w:t>.</w:t>
      </w:r>
      <w:bookmarkEnd w:id="4515"/>
    </w:p>
    <w:p w14:paraId="36075453" w14:textId="77777777" w:rsidR="0069152A" w:rsidRPr="003B4362" w:rsidRDefault="0069152A" w:rsidP="0069152A">
      <w:pPr>
        <w:widowControl w:val="0"/>
        <w:spacing w:before="240" w:after="240"/>
        <w:ind w:left="3600" w:hanging="720"/>
        <w:rPr>
          <w:szCs w:val="24"/>
        </w:rPr>
      </w:pPr>
      <w:r w:rsidRPr="003B4362">
        <w:rPr>
          <w:szCs w:val="24"/>
        </w:rPr>
        <w:t>v)</w:t>
      </w:r>
      <w:r w:rsidRPr="003B4362">
        <w:rPr>
          <w:szCs w:val="24"/>
        </w:rPr>
        <w:tab/>
      </w:r>
      <w:bookmarkStart w:id="4516" w:name="_Hlk15310559"/>
      <w:r w:rsidRPr="003B4362">
        <w:rPr>
          <w:szCs w:val="24"/>
        </w:rPr>
        <w:t>Readycult</w:t>
      </w:r>
      <w:r w:rsidRPr="003B4362">
        <w:rPr>
          <w:vertAlign w:val="superscript"/>
        </w:rPr>
        <w:t>®</w:t>
      </w:r>
      <w:r w:rsidRPr="003B4362">
        <w:t xml:space="preserve"> (07)</w:t>
      </w:r>
      <w:r w:rsidRPr="003B4362">
        <w:rPr>
          <w:szCs w:val="24"/>
        </w:rPr>
        <w:t>.</w:t>
      </w:r>
      <w:bookmarkEnd w:id="4516"/>
    </w:p>
    <w:p w14:paraId="523AD111" w14:textId="5137E73F" w:rsidR="0069152A" w:rsidRPr="003B4362" w:rsidRDefault="0069152A" w:rsidP="0069152A">
      <w:pPr>
        <w:widowControl w:val="0"/>
        <w:spacing w:before="240" w:after="240"/>
        <w:ind w:left="3600" w:hanging="720"/>
        <w:rPr>
          <w:szCs w:val="24"/>
        </w:rPr>
      </w:pPr>
      <w:r w:rsidRPr="003B4362">
        <w:rPr>
          <w:szCs w:val="24"/>
        </w:rPr>
        <w:t>vi)</w:t>
      </w:r>
      <w:r w:rsidRPr="003B4362">
        <w:rPr>
          <w:szCs w:val="24"/>
        </w:rPr>
        <w:tab/>
      </w:r>
      <w:bookmarkStart w:id="4517" w:name="_Hlk15310595"/>
      <w:r w:rsidRPr="003B4362">
        <w:rPr>
          <w:szCs w:val="24"/>
        </w:rPr>
        <w:t>Modified Colitag™ (09)</w:t>
      </w:r>
      <w:r w:rsidR="00627CB1" w:rsidRPr="003B4362">
        <w:rPr>
          <w:szCs w:val="24"/>
        </w:rPr>
        <w:t xml:space="preserve"> or Modified Colitag™ (20)</w:t>
      </w:r>
      <w:r w:rsidRPr="003B4362">
        <w:rPr>
          <w:szCs w:val="24"/>
        </w:rPr>
        <w:t>.</w:t>
      </w:r>
      <w:bookmarkEnd w:id="4517"/>
    </w:p>
    <w:p w14:paraId="35734CA6" w14:textId="77777777" w:rsidR="0069152A" w:rsidRPr="003B4362" w:rsidRDefault="0069152A" w:rsidP="0069152A">
      <w:pPr>
        <w:widowControl w:val="0"/>
        <w:spacing w:before="240" w:after="240"/>
        <w:ind w:left="3600" w:hanging="720"/>
        <w:rPr>
          <w:szCs w:val="24"/>
        </w:rPr>
      </w:pPr>
      <w:r w:rsidRPr="003B4362">
        <w:rPr>
          <w:szCs w:val="24"/>
        </w:rPr>
        <w:t>vii)</w:t>
      </w:r>
      <w:r w:rsidRPr="003B4362">
        <w:rPr>
          <w:szCs w:val="24"/>
        </w:rPr>
        <w:tab/>
      </w:r>
      <w:bookmarkStart w:id="4518" w:name="_Hlk15310633"/>
      <w:r w:rsidRPr="003B4362">
        <w:rPr>
          <w:szCs w:val="24"/>
        </w:rPr>
        <w:t>Tecta (14) or Tecta (17)</w:t>
      </w:r>
      <w:bookmarkEnd w:id="4518"/>
      <w:r w:rsidRPr="003B4362">
        <w:rPr>
          <w:szCs w:val="24"/>
        </w:rPr>
        <w:t>.</w:t>
      </w:r>
    </w:p>
    <w:p w14:paraId="23503D1F" w14:textId="77777777" w:rsidR="0069152A" w:rsidRPr="003B4362" w:rsidRDefault="0069152A" w:rsidP="0069152A">
      <w:pPr>
        <w:widowControl w:val="0"/>
        <w:spacing w:before="240" w:after="240"/>
        <w:ind w:left="2880" w:hanging="720"/>
        <w:rPr>
          <w:szCs w:val="24"/>
        </w:rPr>
      </w:pPr>
      <w:r w:rsidRPr="003B4362">
        <w:rPr>
          <w:szCs w:val="24"/>
        </w:rPr>
        <w:t>H)</w:t>
      </w:r>
      <w:r w:rsidRPr="003B4362">
        <w:rPr>
          <w:szCs w:val="24"/>
        </w:rPr>
        <w:tab/>
        <w:t xml:space="preserve">Simultaneous Detection of Total Coliforms and E. coli by Dual Chromogen Membrane Filter Procedure (using </w:t>
      </w:r>
      <w:bookmarkStart w:id="4519" w:name="_Hlk15311068"/>
      <w:r w:rsidRPr="003B4362">
        <w:rPr>
          <w:szCs w:val="24"/>
        </w:rPr>
        <w:t>m-ColiBlue24</w:t>
      </w:r>
      <w:r w:rsidRPr="003B4362">
        <w:rPr>
          <w:szCs w:val="24"/>
          <w:vertAlign w:val="superscript"/>
        </w:rPr>
        <w:t>®</w:t>
      </w:r>
      <w:bookmarkEnd w:id="4519"/>
      <w:r w:rsidRPr="003B4362">
        <w:rPr>
          <w:szCs w:val="24"/>
        </w:rPr>
        <w:t xml:space="preserve"> medium).  SM 9222 J (15).</w:t>
      </w:r>
    </w:p>
    <w:p w14:paraId="5845864F" w14:textId="44812785" w:rsidR="0069152A" w:rsidRPr="003B4362" w:rsidRDefault="0069152A" w:rsidP="0069152A">
      <w:pPr>
        <w:widowControl w:val="0"/>
        <w:spacing w:before="240" w:after="240"/>
        <w:ind w:left="1440" w:hanging="720"/>
        <w:rPr>
          <w:szCs w:val="24"/>
        </w:rPr>
      </w:pPr>
      <w:r w:rsidRPr="003B4362">
        <w:rPr>
          <w:szCs w:val="24"/>
        </w:rPr>
        <w:t>b)</w:t>
      </w:r>
      <w:r w:rsidRPr="003B4362">
        <w:rPr>
          <w:szCs w:val="24"/>
        </w:rPr>
        <w:tab/>
      </w:r>
      <w:r w:rsidRPr="003B4362">
        <w:rPr>
          <w:iCs/>
          <w:szCs w:val="24"/>
        </w:rPr>
        <w:t xml:space="preserve">Laboratory Certification.  </w:t>
      </w:r>
      <w:r w:rsidRPr="003B4362">
        <w:rPr>
          <w:szCs w:val="24"/>
        </w:rPr>
        <w:t>A supplier must have a certified laboratory in one of the categories in Section 611.490(a) analyze all compliance samples this Subpart AA requires.  The laboratory the supplier uses for compliance monitoring under this Subpart AA must be certified for each method (and associated contaminants).</w:t>
      </w:r>
    </w:p>
    <w:p w14:paraId="7E3E5971" w14:textId="29D5E6A5" w:rsidR="0069152A" w:rsidRPr="003B4362" w:rsidRDefault="0069152A" w:rsidP="0069152A">
      <w:pPr>
        <w:widowControl w:val="0"/>
        <w:spacing w:before="240" w:after="240"/>
        <w:ind w:left="1440" w:hanging="720"/>
        <w:rPr>
          <w:iCs/>
          <w:szCs w:val="24"/>
        </w:rPr>
      </w:pPr>
      <w:r w:rsidRPr="003B4362">
        <w:rPr>
          <w:szCs w:val="24"/>
        </w:rPr>
        <w:t>c)</w:t>
      </w:r>
      <w:r w:rsidRPr="003B4362">
        <w:rPr>
          <w:szCs w:val="24"/>
        </w:rPr>
        <w:tab/>
        <w:t xml:space="preserve">This subsection (c) corresponds with 40 CFR 141.1052(c), a centralized listing of incorporations by reference for the purposes of subpart Y to 40 CFR 141.  The Board </w:t>
      </w:r>
      <w:r w:rsidR="00A854C7" w:rsidRPr="003B4362">
        <w:rPr>
          <w:szCs w:val="24"/>
        </w:rPr>
        <w:t>has</w:t>
      </w:r>
      <w:r w:rsidRPr="003B4362">
        <w:rPr>
          <w:szCs w:val="24"/>
        </w:rPr>
        <w:t xml:space="preserve"> centrally located all incorporations by reference in Section 611.102.  This statement maintains structural consistency with the federal rules.</w:t>
      </w:r>
    </w:p>
    <w:p w14:paraId="38FA2E99" w14:textId="6979CBA8" w:rsidR="0069152A" w:rsidRPr="003B4362" w:rsidRDefault="0069152A" w:rsidP="0069152A">
      <w:pPr>
        <w:widowControl w:val="0"/>
        <w:spacing w:before="240" w:after="240"/>
      </w:pPr>
      <w:r w:rsidRPr="003B4362">
        <w:t xml:space="preserve">BOARD NOTE:  </w:t>
      </w:r>
      <w:r w:rsidR="00260D73" w:rsidRPr="003B4362">
        <w:rPr>
          <w:spacing w:val="-3"/>
        </w:rPr>
        <w:t xml:space="preserve">This Section derives </w:t>
      </w:r>
      <w:r w:rsidRPr="003B4362">
        <w:t>from 40 CFR 141.852 and appendix A to subpart C of 40 CFR 141.  The Board did not separately list approved alternative methods from Standard Methods Online that are the same version as a method appearing in a printed edition of Standard Methods.  Using the Standard Methods Online copy is acceptable.</w:t>
      </w:r>
    </w:p>
    <w:p w14:paraId="70DA88CF" w14:textId="0086ED5D" w:rsidR="0069152A" w:rsidRPr="003B4362" w:rsidRDefault="0069152A" w:rsidP="0069152A">
      <w:pPr>
        <w:widowControl w:val="0"/>
        <w:spacing w:before="240" w:after="240"/>
        <w:ind w:left="720"/>
      </w:pPr>
      <w:r w:rsidRPr="003B4362">
        <w:t xml:space="preserve">Standard Methods Online, Methods 9221 B-99 and 9221 D-99 appear in the 21st edition as Methods 9221 B and D.  </w:t>
      </w:r>
      <w:r w:rsidR="00172EBB" w:rsidRPr="003B4362">
        <w:t xml:space="preserve">This appears in this Section </w:t>
      </w:r>
      <w:r w:rsidRPr="003B4362">
        <w:t>as Methods 9221 B and 9221 D.  In this Section, these appear as SM 9221 B (99) and SM 9221 D (99).</w:t>
      </w:r>
    </w:p>
    <w:p w14:paraId="0ABF5641" w14:textId="534CA987" w:rsidR="0069152A" w:rsidRPr="003B4362" w:rsidRDefault="0069152A" w:rsidP="0069152A">
      <w:pPr>
        <w:widowControl w:val="0"/>
        <w:spacing w:before="240" w:after="240"/>
        <w:ind w:left="720"/>
      </w:pPr>
      <w:r w:rsidRPr="003B4362">
        <w:lastRenderedPageBreak/>
        <w:t xml:space="preserve">Standard Methods Online, Methods 9221 B-06, 9221 D-06, and 9221 F-06 appear in the 22nd edition as Methods 9221 B, D, and F.  </w:t>
      </w:r>
      <w:r w:rsidR="00172EBB" w:rsidRPr="003B4362">
        <w:t xml:space="preserve">These appear in this Section </w:t>
      </w:r>
      <w:r w:rsidRPr="003B4362">
        <w:t>as SM 9221 B (06), 9221 D (06), and SM 9221 F (06).</w:t>
      </w:r>
    </w:p>
    <w:p w14:paraId="695CA233" w14:textId="3F108858" w:rsidR="0069152A" w:rsidRPr="003B4362" w:rsidRDefault="0069152A" w:rsidP="0069152A">
      <w:pPr>
        <w:widowControl w:val="0"/>
        <w:spacing w:before="240" w:after="240"/>
        <w:ind w:left="720"/>
      </w:pPr>
      <w:r w:rsidRPr="003B4362">
        <w:t xml:space="preserve">Standard Methods Online, Methods 9222 B-97, 9222 C-97, and 9222 G-97 appear in the 20th edition as Methods 9222 B, 9222 C, and 9222 G.  </w:t>
      </w:r>
      <w:r w:rsidR="00172EBB" w:rsidRPr="003B4362">
        <w:t xml:space="preserve">These appear in this Section </w:t>
      </w:r>
      <w:r w:rsidRPr="003B4362">
        <w:t>as SM 9222 B (97), 9222 C (97), and SM 9222 G (97).</w:t>
      </w:r>
    </w:p>
    <w:p w14:paraId="21C76D46" w14:textId="784B7746" w:rsidR="0069152A" w:rsidRPr="003B4362" w:rsidRDefault="0069152A" w:rsidP="0069152A">
      <w:pPr>
        <w:widowControl w:val="0"/>
        <w:spacing w:before="240" w:after="240"/>
        <w:ind w:left="720"/>
      </w:pPr>
      <w:r w:rsidRPr="003B4362">
        <w:t xml:space="preserve">Standard Methods Online, Method 9223 B-97 appears in the 20th and 21st editions as Method 9223 B.  </w:t>
      </w:r>
      <w:r w:rsidR="00172EBB" w:rsidRPr="003B4362">
        <w:t xml:space="preserve">This appears in this Section </w:t>
      </w:r>
      <w:r w:rsidRPr="003B4362">
        <w:t>as SM 9223 B (97).</w:t>
      </w:r>
    </w:p>
    <w:p w14:paraId="7AB7DBBC" w14:textId="022BBA6F" w:rsidR="0069152A" w:rsidRPr="003B4362" w:rsidRDefault="0069152A" w:rsidP="0069152A">
      <w:pPr>
        <w:widowControl w:val="0"/>
        <w:spacing w:before="240" w:after="240"/>
        <w:ind w:left="720"/>
      </w:pPr>
      <w:r w:rsidRPr="003B4362">
        <w:t xml:space="preserve">Standard Methods Online, Method 9223 B-04 appears in the 22nd edition as Method 9223 B.  </w:t>
      </w:r>
      <w:r w:rsidR="00172EBB" w:rsidRPr="003B4362">
        <w:t xml:space="preserve">This appears in this Section </w:t>
      </w:r>
      <w:r w:rsidRPr="003B4362">
        <w:t>as SM 9223 B (04).</w:t>
      </w:r>
    </w:p>
    <w:p w14:paraId="7A75BC2C" w14:textId="6EC69F6D" w:rsidR="0069152A" w:rsidRDefault="00EB353D" w:rsidP="0069152A">
      <w:pPr>
        <w:widowControl w:val="0"/>
        <w:spacing w:before="240" w:after="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62EA1DF5" w14:textId="77777777" w:rsidR="00057FFC" w:rsidRPr="001A7517" w:rsidRDefault="00057FFC" w:rsidP="00057FFC">
      <w:pPr>
        <w:keepNext/>
        <w:keepLines/>
        <w:spacing w:before="240" w:after="240"/>
        <w:rPr>
          <w:b/>
          <w:szCs w:val="24"/>
        </w:rPr>
      </w:pPr>
      <w:r w:rsidRPr="001A7517">
        <w:rPr>
          <w:b/>
          <w:szCs w:val="24"/>
        </w:rPr>
        <w:t xml:space="preserve">Section </w:t>
      </w:r>
      <w:bookmarkStart w:id="4520" w:name="_Hlk27063259"/>
      <w:r w:rsidRPr="001A7517">
        <w:rPr>
          <w:b/>
          <w:szCs w:val="24"/>
        </w:rPr>
        <w:t>611.1053</w:t>
      </w:r>
      <w:bookmarkEnd w:id="4520"/>
      <w:r w:rsidRPr="001A7517">
        <w:rPr>
          <w:b/>
          <w:szCs w:val="24"/>
        </w:rPr>
        <w:t xml:space="preserve">  General Monitoring Requirements for all PWSs</w:t>
      </w:r>
    </w:p>
    <w:p w14:paraId="4A8C2EF9"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Sample Siting Plans</w:t>
      </w:r>
    </w:p>
    <w:p w14:paraId="7EF2E0AB"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A supplier must develop a written sample siting plan that identifies sampling sites and a sample collection schedule that are representative of water throughout the distribution system.  These plans are subject to Agency review and revision.  The supplier must collect total coliform samples according to the written sample siting plan.  Monitoring required by Sections 611.1054 through 611.1058 may take place at a customer’s premises, a dedicated sampling station, or another designated compliance sampling location.  Routine and repeat sample sites and any sampling points necessary to meet the requirements of Subpart S must be reflected in the sampling plan.</w:t>
      </w:r>
    </w:p>
    <w:p w14:paraId="46A1F4A2"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A supplier must collect samples at regular time intervals throughout the month, except that systems that use only ground water and serve 4,900 or fewer people may collect all required samples on a single day if they are taken from different sites.</w:t>
      </w:r>
    </w:p>
    <w:p w14:paraId="4E32D613"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 xml:space="preserve">A supplier must take at least the minimum number of required samples even if the system has had an </w:t>
      </w:r>
      <w:r w:rsidRPr="001A7517">
        <w:rPr>
          <w:iCs/>
          <w:szCs w:val="24"/>
        </w:rPr>
        <w:t xml:space="preserve">E. coli </w:t>
      </w:r>
      <w:r w:rsidRPr="001A7517">
        <w:rPr>
          <w:szCs w:val="24"/>
        </w:rPr>
        <w:t>MCL violation or has exceeded the coliform treatment technique triggers in Section 611.1059(a).</w:t>
      </w:r>
    </w:p>
    <w:p w14:paraId="0F4B6DF9"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 xml:space="preserve">A supplier may conduct more compliance monitoring than is required by this Subpart AA to investigate potential problems in the distribution system and use monitoring as a tool to assist in uncovering problems.  A supplier may take more than the minimum number of required routine samples and must include the results in calculating whether the coliform treatment technique trigger in Section 611.1059(a)(1)(A) and (a)(1)(B) has </w:t>
      </w:r>
      <w:r w:rsidRPr="001A7517">
        <w:rPr>
          <w:szCs w:val="24"/>
        </w:rPr>
        <w:lastRenderedPageBreak/>
        <w:t>been exceeded only if the samples are taken in accordance with the existing sample siting plan and are representative of water throughout the distribution system.</w:t>
      </w:r>
    </w:p>
    <w:p w14:paraId="5BC69F7B" w14:textId="77777777" w:rsidR="00057FFC" w:rsidRPr="001A7517" w:rsidRDefault="00057FFC" w:rsidP="00057FFC">
      <w:pPr>
        <w:spacing w:before="240" w:after="240"/>
        <w:ind w:left="2160" w:hanging="720"/>
        <w:rPr>
          <w:szCs w:val="24"/>
        </w:rPr>
      </w:pPr>
      <w:r w:rsidRPr="001A7517">
        <w:rPr>
          <w:szCs w:val="24"/>
        </w:rPr>
        <w:t>5)</w:t>
      </w:r>
      <w:r w:rsidRPr="001A7517">
        <w:rPr>
          <w:szCs w:val="24"/>
        </w:rPr>
        <w:tab/>
        <w:t>A supplier must identify repeat monitoring locations in the sample siting plan.  Unless the provisions of subsection (a)(5)(A) or (a)(5)(B) are met, the supplier must collect at least one repeat sample from the sampling tap where the original total coliform-positive sample was taken, and at least one repeat sample at a tap within five service connections upstream and at least one repeat sample at a tap within five service connections downstream of the original sampling site.  If a total coliform-positive sample is at the end of the distribution system, or one service connection away from the end of the distribution system, the supplier must still take all required repeat samples.  However, the Agency may grant a SEP that allows an alternative sampling location in lieu of the requirement to collect at least one repeat sample upstream or downstream of the original sampling site.  Except as provided for in  subsection (a)(5)(B), a supplier required to conduct triggered source water monitoring under Section 611.802(a) must take ground water source samples in addition to repeat samples required under this Subpart AA.</w:t>
      </w:r>
    </w:p>
    <w:p w14:paraId="6DE10A19"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A supplier may propose repeat monitoring locations to the Agency that the supplier believes to be representative of a pathway for contamination of the distribution system.  A supplier may elect to specify either alternative fixed locations or criteria for selecting repeat sampling sites on a situational basis in a standard operating procedure (SOP) in its sample siting plan.  The supplier must design its SOP to focus the repeat samples at locations that best verify and determine the extent of potential contamination of the distribution system area based on specific situations.  The Agency may, by a SEP, modify the SOP or require alternative monitoring locations as the Agency determines is necessary.</w:t>
      </w:r>
    </w:p>
    <w:p w14:paraId="6D4D47CE"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 xml:space="preserve">A GWS supplier that serves 1,000 or fewer people may propose repeat sampling locations to the Agency that differentiate potential source water and distribution system contamination (e.g., by sampling at entry points to the distribution system).  A GWS supplier that has a single well and </w:t>
      </w:r>
      <w:r w:rsidRPr="001A7517">
        <w:t xml:space="preserve">that </w:t>
      </w:r>
      <w:r w:rsidRPr="001A7517">
        <w:rPr>
          <w:szCs w:val="24"/>
        </w:rPr>
        <w:t xml:space="preserve">is required to conduct triggered source water monitoring may, as allowed by a SEP, take one of its repeat samples at the monitoring location required for triggered source water monitoring under Section 611.802(a).  The supplier must justify an Agency determination that the sample siting plan remains representative of water quality in the distribution system.  If approved by a SEP, the supplier may use </w:t>
      </w:r>
      <w:r w:rsidRPr="001A7517">
        <w:rPr>
          <w:szCs w:val="24"/>
        </w:rPr>
        <w:lastRenderedPageBreak/>
        <w:t>that sample result to meet the monitoring requirements in both Section 611.802(a) and this Section.</w:t>
      </w:r>
    </w:p>
    <w:p w14:paraId="48C8AB3D" w14:textId="77777777" w:rsidR="00057FFC" w:rsidRPr="001A7517" w:rsidRDefault="00057FFC" w:rsidP="00057FFC">
      <w:pPr>
        <w:spacing w:before="240" w:after="240"/>
        <w:ind w:left="3600" w:hanging="720"/>
        <w:rPr>
          <w:szCs w:val="24"/>
        </w:rPr>
      </w:pPr>
      <w:r w:rsidRPr="001A7517">
        <w:rPr>
          <w:szCs w:val="24"/>
        </w:rPr>
        <w:t>i)</w:t>
      </w:r>
      <w:r w:rsidRPr="001A7517">
        <w:rPr>
          <w:szCs w:val="24"/>
        </w:rPr>
        <w:tab/>
        <w:t xml:space="preserve">If a repeat sample taken at the monitoring location required for triggered source water monitoring is </w:t>
      </w:r>
      <w:r w:rsidRPr="001A7517">
        <w:rPr>
          <w:iCs/>
          <w:szCs w:val="24"/>
        </w:rPr>
        <w:t>E. coli</w:t>
      </w:r>
      <w:r w:rsidRPr="001A7517">
        <w:rPr>
          <w:szCs w:val="24"/>
        </w:rPr>
        <w:t xml:space="preserve">-positive, the supplier has violated the </w:t>
      </w:r>
      <w:r w:rsidRPr="001A7517">
        <w:rPr>
          <w:iCs/>
          <w:szCs w:val="24"/>
        </w:rPr>
        <w:t xml:space="preserve">E. coli </w:t>
      </w:r>
      <w:r w:rsidRPr="001A7517">
        <w:rPr>
          <w:szCs w:val="24"/>
        </w:rPr>
        <w:t xml:space="preserve">MCL and must also comply with Section 611.802(a)(3).  If a supplier takes more than one repeat sample at the monitoring location required for triggered source water monitoring, the supplier may reduce the number of additional source water samples required under Section 611.802(a)(3) by the number of repeat samples taken at that location that were not </w:t>
      </w:r>
      <w:r w:rsidRPr="001A7517">
        <w:rPr>
          <w:iCs/>
          <w:szCs w:val="24"/>
        </w:rPr>
        <w:t>E. coli</w:t>
      </w:r>
      <w:r w:rsidRPr="001A7517">
        <w:rPr>
          <w:szCs w:val="24"/>
        </w:rPr>
        <w:t>-positive.</w:t>
      </w:r>
    </w:p>
    <w:p w14:paraId="555E114F" w14:textId="77777777" w:rsidR="00057FFC" w:rsidRPr="001A7517" w:rsidRDefault="00057FFC" w:rsidP="00057FFC">
      <w:pPr>
        <w:spacing w:before="240" w:after="240"/>
        <w:ind w:left="3600" w:hanging="720"/>
        <w:rPr>
          <w:szCs w:val="24"/>
        </w:rPr>
      </w:pPr>
      <w:r w:rsidRPr="001A7517">
        <w:rPr>
          <w:szCs w:val="24"/>
        </w:rPr>
        <w:t>ii)</w:t>
      </w:r>
      <w:r w:rsidRPr="001A7517">
        <w:rPr>
          <w:szCs w:val="24"/>
        </w:rPr>
        <w:tab/>
        <w:t xml:space="preserve">If a supplier takes more than one repeat sample at the monitoring location required for triggered source water monitoring under Section 611.802(a), and more than one repeat sample is </w:t>
      </w:r>
      <w:r w:rsidRPr="001A7517">
        <w:rPr>
          <w:iCs/>
          <w:szCs w:val="24"/>
        </w:rPr>
        <w:t>E. coli-</w:t>
      </w:r>
      <w:r w:rsidRPr="001A7517">
        <w:rPr>
          <w:szCs w:val="24"/>
        </w:rPr>
        <w:t xml:space="preserve">positive, the supplier has violated the </w:t>
      </w:r>
      <w:r w:rsidRPr="001A7517">
        <w:rPr>
          <w:iCs/>
          <w:szCs w:val="24"/>
        </w:rPr>
        <w:t xml:space="preserve">E. coli </w:t>
      </w:r>
      <w:r w:rsidRPr="001A7517">
        <w:rPr>
          <w:szCs w:val="24"/>
        </w:rPr>
        <w:t>MCL and must also comply with Section 611.803(a)(1).</w:t>
      </w:r>
    </w:p>
    <w:p w14:paraId="14CAEEDA" w14:textId="77777777" w:rsidR="00057FFC" w:rsidRPr="001A7517" w:rsidRDefault="00057FFC" w:rsidP="00057FFC">
      <w:pPr>
        <w:spacing w:before="240" w:after="240"/>
        <w:ind w:left="3600" w:hanging="720"/>
        <w:rPr>
          <w:szCs w:val="24"/>
        </w:rPr>
      </w:pPr>
      <w:r w:rsidRPr="001A7517">
        <w:rPr>
          <w:szCs w:val="24"/>
        </w:rPr>
        <w:t>iii)</w:t>
      </w:r>
      <w:r w:rsidRPr="001A7517">
        <w:rPr>
          <w:szCs w:val="24"/>
        </w:rPr>
        <w:tab/>
        <w:t xml:space="preserve">If all repeat samples taken at the monitoring location required for triggered source water monitoring are </w:t>
      </w:r>
      <w:r w:rsidRPr="001A7517">
        <w:rPr>
          <w:iCs/>
          <w:szCs w:val="24"/>
        </w:rPr>
        <w:t>E. coli</w:t>
      </w:r>
      <w:r w:rsidRPr="001A7517">
        <w:rPr>
          <w:szCs w:val="24"/>
        </w:rPr>
        <w:t xml:space="preserve">-negative and a repeat sample taken at a monitoring location other than the one required for triggered source water monitoring is </w:t>
      </w:r>
      <w:r w:rsidRPr="001A7517">
        <w:rPr>
          <w:iCs/>
          <w:szCs w:val="24"/>
        </w:rPr>
        <w:t>E. coli</w:t>
      </w:r>
      <w:r w:rsidRPr="001A7517">
        <w:rPr>
          <w:szCs w:val="24"/>
        </w:rPr>
        <w:t xml:space="preserve">-positive, the supplier has violated the </w:t>
      </w:r>
      <w:r w:rsidRPr="001A7517">
        <w:rPr>
          <w:iCs/>
          <w:szCs w:val="24"/>
        </w:rPr>
        <w:t xml:space="preserve">E. coli </w:t>
      </w:r>
      <w:r w:rsidRPr="001A7517">
        <w:rPr>
          <w:szCs w:val="24"/>
        </w:rPr>
        <w:t>MCL, but is not required to comply with Section 611.802(a)(3).</w:t>
      </w:r>
    </w:p>
    <w:p w14:paraId="4839CAEE" w14:textId="77777777" w:rsidR="00057FFC" w:rsidRPr="001A7517" w:rsidRDefault="00057FFC" w:rsidP="00057FFC">
      <w:pPr>
        <w:spacing w:before="240" w:after="240"/>
        <w:ind w:left="2160" w:hanging="720"/>
        <w:rPr>
          <w:szCs w:val="24"/>
        </w:rPr>
      </w:pPr>
      <w:r w:rsidRPr="001A7517">
        <w:rPr>
          <w:szCs w:val="24"/>
        </w:rPr>
        <w:t>6)</w:t>
      </w:r>
      <w:r w:rsidRPr="001A7517">
        <w:rPr>
          <w:szCs w:val="24"/>
        </w:rPr>
        <w:tab/>
        <w:t>The Agency may, by a SEP, review, revise, and approve, as appropriate, repeat sampling proposed by a supplier under subsections (a)(5)(A) and (a)(5)(B).  The supplier must justify an Agency determination that the sample siting plan remains representative of the water quality in the distribution system.  The Agency may determine that monitoring at the entry point to the distribution system (especially for undisinfected ground water systems) is effective to differentiate between potential source water and distribution system problems.</w:t>
      </w:r>
    </w:p>
    <w:p w14:paraId="6C2AECF7"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 xml:space="preserve">Special Purpose Samples.  </w:t>
      </w:r>
      <w:r w:rsidRPr="001A7517">
        <w:rPr>
          <w:szCs w:val="24"/>
        </w:rPr>
        <w:t>Special purpose samples, such as those taken to determine whether disinfection practices are sufficient following pipe placement, replacement, or repair, must not be used to determine whether the coliform treatment technique trigger has been exceeded.  Repeat samples taken under Section 611.1058 are not considered special purpose samples, and must be used to determine whether the coliform treatment technique trigger has been exceeded.</w:t>
      </w:r>
    </w:p>
    <w:p w14:paraId="45D1BE22" w14:textId="77777777" w:rsidR="00057FFC" w:rsidRPr="001A7517" w:rsidRDefault="00057FFC" w:rsidP="00057FFC">
      <w:pPr>
        <w:spacing w:before="240" w:after="240"/>
        <w:ind w:left="1440" w:hanging="720"/>
        <w:rPr>
          <w:szCs w:val="24"/>
        </w:rPr>
      </w:pPr>
      <w:r w:rsidRPr="001A7517">
        <w:rPr>
          <w:szCs w:val="24"/>
        </w:rPr>
        <w:lastRenderedPageBreak/>
        <w:t>c)</w:t>
      </w:r>
      <w:r w:rsidRPr="001A7517">
        <w:rPr>
          <w:szCs w:val="24"/>
        </w:rPr>
        <w:tab/>
      </w:r>
      <w:r w:rsidRPr="001A7517">
        <w:rPr>
          <w:iCs/>
          <w:szCs w:val="24"/>
        </w:rPr>
        <w:t xml:space="preserve">Invalidation of Total Coliform Samples.  </w:t>
      </w:r>
      <w:r w:rsidRPr="001A7517">
        <w:rPr>
          <w:szCs w:val="24"/>
        </w:rPr>
        <w:t>A total coliform-positive sample invalidated under this  subsection (c) does not count toward meeting the minimum monitoring requirements of this Subpart AA.</w:t>
      </w:r>
    </w:p>
    <w:p w14:paraId="1A7808AD"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The Agency may, by a SEP, invalidate a total coliform-positive sample only if the conditions of  subsection (c)(1)(A), (c)(1)(B), or (c)(1)(C) are met.</w:t>
      </w:r>
    </w:p>
    <w:p w14:paraId="09F1A506"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The laboratory establishes that improper sample analysis caused the total coliform-positive result.</w:t>
      </w:r>
    </w:p>
    <w:p w14:paraId="1654984C"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The Agency, on the basis of the results of repeat samples collected as required under Section 611.1058(a), determines that the total coliform-positive sample resulted from a domestic or other non-distribution system plumbing problem. The Agency cannot invalidate a sample on the basis of repeat sample results unless all repeat samples collected at the same tap as the original total coliform-positive sample are also total coliform-positive, and all repeat samples collected at a location other than the original tap are total coliform-negative (e.g., a Agency cannot invalidate a total coliform-positive sample on the basis of repeat samples if all the repeat samples are total coliform-negative, or if the system has only one service connection).</w:t>
      </w:r>
    </w:p>
    <w:p w14:paraId="4663492A" w14:textId="77777777" w:rsidR="00057FFC" w:rsidRPr="001A7517" w:rsidRDefault="00057FFC" w:rsidP="00057FFC">
      <w:pPr>
        <w:spacing w:before="240" w:after="240"/>
        <w:ind w:left="2880" w:hanging="720"/>
        <w:rPr>
          <w:szCs w:val="24"/>
        </w:rPr>
      </w:pPr>
      <w:r w:rsidRPr="001A7517">
        <w:rPr>
          <w:szCs w:val="24"/>
        </w:rPr>
        <w:t>C)</w:t>
      </w:r>
      <w:r w:rsidRPr="001A7517">
        <w:rPr>
          <w:szCs w:val="24"/>
        </w:rPr>
        <w:tab/>
        <w:t>The Agency has substantial grounds to believe that a total coliform-positive result is due to a circumstance or condition that does not reflect water quality in the distribution system.  In this case, the system must still collect all repeat samples required under Section 611.1058(a), and use them to determine whether a coliform treatment technique trigger in Section 611.1059 has been exceeded.  To invalidate a total coliform-positive sample under this  subsection (c)(1), the decision and supporting rationale must be documented in writing and approved and signed by the Agency, as a SEP.  The Agency must make this document available to USEPA and the public.  The written documentation must state the specific cause of the total coliform-positive sample, and what action the supplier has taken, or will take, to correct this problem.  The Agency may not invalidate a total coliform-positive sample solely on the grounds that all repeat samples are total coliform-negative.</w:t>
      </w:r>
    </w:p>
    <w:p w14:paraId="69FABAE1"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A laboratory must invalidate a total coliform sample (unless total coliforms are detected) if the sample produces a turbid culture in the absence of gas production using an analytical method </w:t>
      </w:r>
      <w:r w:rsidRPr="001A7517">
        <w:rPr>
          <w:spacing w:val="-3"/>
        </w:rPr>
        <w:t xml:space="preserve">if </w:t>
      </w:r>
      <w:r w:rsidRPr="001A7517">
        <w:rPr>
          <w:szCs w:val="24"/>
        </w:rPr>
        <w:t xml:space="preserve">gas formation is examined (e.g., the multiple-tube fermentation technique), produces a turbid culture in the absence of an acid reaction in the presence-absence </w:t>
      </w:r>
      <w:r w:rsidRPr="001A7517">
        <w:rPr>
          <w:szCs w:val="24"/>
        </w:rPr>
        <w:lastRenderedPageBreak/>
        <w:t xml:space="preserve">(P–A) coliform test, or exhibits confluent growth or produces colonies too numerous to count with an analytical method using a membrane filter (e.g., membrane filter technique).  If a laboratory invalidates a sample because of such interference, the supplier must collect another sample from the same location as the original sample within 24 hours </w:t>
      </w:r>
      <w:r w:rsidRPr="001A7517">
        <w:t xml:space="preserve">after </w:t>
      </w:r>
      <w:r w:rsidRPr="001A7517">
        <w:rPr>
          <w:szCs w:val="24"/>
        </w:rPr>
        <w:t>being notified of the interference problem, and have it analyzed for the presence of total coliforms.  The supplier must continue to re-sample within 24 hours and have the samples analyzed until it obtains a valid result.  The Agency may, by a SEP, waive the 24-hour time limit on a case-by-case basis.  Alternatively, the Agency or any interested person may file a petition for rulemaking, under Sections 27 and 28 of the Act, to establish criteria for waiving the 24-hour sampling time limit to use in lieu of case-by-case extensions.</w:t>
      </w:r>
    </w:p>
    <w:p w14:paraId="52E035C9" w14:textId="77777777" w:rsidR="00057FFC" w:rsidRPr="001A7517" w:rsidRDefault="00057FFC" w:rsidP="00057FFC">
      <w:pPr>
        <w:spacing w:before="240" w:after="240"/>
      </w:pPr>
      <w:r w:rsidRPr="001A7517">
        <w:t>BOARD NOTE:  Derived from 40 CFR 141.853.</w:t>
      </w:r>
    </w:p>
    <w:p w14:paraId="7E7C3702"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7E574381" w14:textId="77777777" w:rsidR="00057FFC" w:rsidRPr="001A7517" w:rsidRDefault="00057FFC" w:rsidP="00057FFC">
      <w:pPr>
        <w:keepNext/>
        <w:keepLines/>
        <w:spacing w:before="240" w:after="240"/>
        <w:rPr>
          <w:b/>
          <w:szCs w:val="24"/>
        </w:rPr>
      </w:pPr>
      <w:r w:rsidRPr="001A7517">
        <w:rPr>
          <w:b/>
          <w:szCs w:val="24"/>
        </w:rPr>
        <w:t xml:space="preserve">Section </w:t>
      </w:r>
      <w:bookmarkStart w:id="4521" w:name="_Hlk27063274"/>
      <w:r w:rsidRPr="001A7517">
        <w:rPr>
          <w:b/>
          <w:szCs w:val="24"/>
        </w:rPr>
        <w:t>611.1054</w:t>
      </w:r>
      <w:bookmarkEnd w:id="4521"/>
      <w:r w:rsidRPr="001A7517">
        <w:rPr>
          <w:b/>
          <w:szCs w:val="24"/>
        </w:rPr>
        <w:t xml:space="preserve">  Routine Monitoring Requirements for Non-CWSs That Serve 1,000 or Fewer People Using Only Groundwater</w:t>
      </w:r>
    </w:p>
    <w:p w14:paraId="74C5AEC3"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General</w:t>
      </w:r>
    </w:p>
    <w:p w14:paraId="5ECE5544"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This Section applies to non-CWS suppliers that use only groundwater (except groundwater under the direct influence of surface water, as defined in Section 611.102) and </w:t>
      </w:r>
      <w:r w:rsidRPr="001A7517">
        <w:t xml:space="preserve">that </w:t>
      </w:r>
      <w:r w:rsidRPr="001A7517">
        <w:rPr>
          <w:szCs w:val="24"/>
        </w:rPr>
        <w:t>serve 1,000 or fewer people.</w:t>
      </w:r>
    </w:p>
    <w:p w14:paraId="2CA9F73C"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Following any total coliform-positive sample taken under this Section, a supplier must comply with the repeat monitoring requirements and </w:t>
      </w:r>
      <w:r w:rsidRPr="001A7517">
        <w:rPr>
          <w:iCs/>
          <w:szCs w:val="24"/>
        </w:rPr>
        <w:t xml:space="preserve">E. coli </w:t>
      </w:r>
      <w:r w:rsidRPr="001A7517">
        <w:rPr>
          <w:szCs w:val="24"/>
        </w:rPr>
        <w:t>analytical requirements in Section 611.1058.</w:t>
      </w:r>
    </w:p>
    <w:p w14:paraId="0F7E70FF"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00C1A2F5"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 xml:space="preserve">For the purpose of determining eligibility for remaining on or qualifying for quarterly monitoring under the provisions of subsections (f)(4) and (g)(2), respectively, for transient non-CWS suppliers, the Agency may elect to not count monitoring violations under Section 611.1060(c)(1) if the missed sample is collected no later than the end of the monitoring period following the monitoring period in which the sample was missed.  The supplier must collect the make-up sample in a different week than the routine sample for that monitoring period and should collect the sample as soon as possible during the monitoring period.  The Agency may not use </w:t>
      </w:r>
      <w:r w:rsidRPr="001A7517">
        <w:rPr>
          <w:szCs w:val="24"/>
        </w:rPr>
        <w:lastRenderedPageBreak/>
        <w:t xml:space="preserve">this provision under subsection (h).  This authority does not affect the provisions of </w:t>
      </w:r>
      <w:bookmarkStart w:id="4522" w:name="_Hlk15311391"/>
      <w:r w:rsidRPr="001A7517">
        <w:rPr>
          <w:szCs w:val="24"/>
        </w:rPr>
        <w:t>Sections 611.1060(c)(1) and 611.1061(a)(4)</w:t>
      </w:r>
      <w:bookmarkEnd w:id="4522"/>
      <w:r w:rsidRPr="001A7517">
        <w:rPr>
          <w:szCs w:val="24"/>
        </w:rPr>
        <w:t>.</w:t>
      </w:r>
    </w:p>
    <w:p w14:paraId="1F954CF3"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 xml:space="preserve">Monitoring Frequency for Total Coliforms.  </w:t>
      </w:r>
      <w:r w:rsidRPr="001A7517">
        <w:rPr>
          <w:szCs w:val="24"/>
        </w:rPr>
        <w:t>A supplier must monitor each calendar quarter that the supplier provides water to the public, except for a seasonal system supplier or as provided under subsections (c) through (h) and (j). A seasonal system supplier must meet the monitoring requirements of subsection (i).</w:t>
      </w:r>
    </w:p>
    <w:p w14:paraId="3DB5C5BE" w14:textId="77777777" w:rsidR="00057FFC" w:rsidRPr="001A7517" w:rsidRDefault="00057FFC" w:rsidP="00057FFC">
      <w:pPr>
        <w:spacing w:before="240" w:after="240"/>
        <w:ind w:left="1440" w:hanging="720"/>
        <w:rPr>
          <w:szCs w:val="24"/>
        </w:rPr>
      </w:pPr>
      <w:r w:rsidRPr="001A7517">
        <w:rPr>
          <w:szCs w:val="24"/>
        </w:rPr>
        <w:t>c)</w:t>
      </w:r>
      <w:r w:rsidRPr="001A7517">
        <w:rPr>
          <w:szCs w:val="24"/>
        </w:rPr>
        <w:tab/>
      </w:r>
      <w:r w:rsidRPr="001A7517">
        <w:rPr>
          <w:iCs/>
          <w:szCs w:val="24"/>
        </w:rPr>
        <w:t xml:space="preserve">Transition to This Subpart AA.  </w:t>
      </w:r>
      <w:r w:rsidRPr="001A7517">
        <w:rPr>
          <w:szCs w:val="24"/>
        </w:rPr>
        <w:t>The Agency must perform a special monitoring evaluation during each sanitary survey to review the status of the supplier’s system, including the distribution system, to determine whether the supplier is on an appropriate monitoring schedule.  After the Agency has performed the special monitoring evaluation during each sanitary survey, the Agency may modify the supplier’s monitoring schedule, as the Agency determines is necessary, or the Agency may allow the supplier to stay on its existing monitoring schedule, consistent with the provisions of this Section.  The Agency may not allow a supplier to begin less frequent monitoring under the special monitoring evaluation unless the supplier has already met the applicable criteria for less frequent monitoring in this Section.  For a seasonal system supplier on quarterly or annual monitoring, this evaluation must include review of the approved sample siting plan, which must designate the time periods for monitoring based on site-specific considerations (e.g., during periods of highest demand or highest vulnerability to contamination).  The seasonal system supplier must collect compliance samples during these time periods.</w:t>
      </w:r>
    </w:p>
    <w:p w14:paraId="016FE999" w14:textId="77777777" w:rsidR="00057FFC" w:rsidRPr="001A7517" w:rsidRDefault="00057FFC" w:rsidP="00057FFC">
      <w:pPr>
        <w:spacing w:before="240" w:after="240"/>
        <w:ind w:left="1440" w:hanging="720"/>
        <w:rPr>
          <w:szCs w:val="24"/>
        </w:rPr>
      </w:pPr>
      <w:r w:rsidRPr="001A7517">
        <w:rPr>
          <w:szCs w:val="24"/>
        </w:rPr>
        <w:t>d)</w:t>
      </w:r>
      <w:r w:rsidRPr="001A7517">
        <w:rPr>
          <w:szCs w:val="24"/>
        </w:rPr>
        <w:tab/>
      </w:r>
      <w:r w:rsidRPr="001A7517">
        <w:rPr>
          <w:iCs/>
          <w:szCs w:val="24"/>
        </w:rPr>
        <w:t xml:space="preserve">Annual Site Visits.  A </w:t>
      </w:r>
      <w:r w:rsidRPr="001A7517">
        <w:rPr>
          <w:szCs w:val="24"/>
        </w:rPr>
        <w:t>supplier on annual monitoring, including a seasonal system supplier, must have an initial and recurring annual site visit by the Agency that is equivalent to a Level 2 assessment or an annual voluntary Level 2 assessment that meets the criteria in Section 611.1059(b) to remain on annual monitoring.  The periodic required sanitary survey may be used to meet the requirement for an annual site visit for the year in which the sanitary survey was completed.</w:t>
      </w:r>
    </w:p>
    <w:p w14:paraId="3D614D07" w14:textId="77777777" w:rsidR="00057FFC" w:rsidRPr="001A7517" w:rsidRDefault="00057FFC" w:rsidP="00057FFC">
      <w:pPr>
        <w:spacing w:before="240" w:after="240"/>
        <w:ind w:left="1440" w:hanging="720"/>
        <w:rPr>
          <w:szCs w:val="24"/>
        </w:rPr>
      </w:pPr>
      <w:r w:rsidRPr="001A7517">
        <w:rPr>
          <w:szCs w:val="24"/>
        </w:rPr>
        <w:t>e)</w:t>
      </w:r>
      <w:r w:rsidRPr="001A7517">
        <w:rPr>
          <w:szCs w:val="24"/>
        </w:rPr>
        <w:tab/>
      </w:r>
      <w:r w:rsidRPr="001A7517">
        <w:rPr>
          <w:iCs/>
          <w:szCs w:val="24"/>
        </w:rPr>
        <w:t xml:space="preserve">Criteria for Annual Monitoring.  </w:t>
      </w:r>
      <w:r w:rsidRPr="001A7517">
        <w:rPr>
          <w:szCs w:val="24"/>
        </w:rPr>
        <w:t>The Agency may, by a SEP, reduce the monitoring frequency for a well-operated GWS supplier from quarterly routine monitoring to no less than annual monitoring, if the supplier demonstrates that it meets the criteria for reduced monitoring in subsections (e)(1) through (e)(3), except for a supplier that has been on increased monitoring under the provisions of subsection (f).  A supplier on increased monitoring under subsection (f) must meet the provisions of subsection (g) to go to quarterly monitoring and must meet the provisions of subsection (h) to go to annual monitoring.</w:t>
      </w:r>
    </w:p>
    <w:p w14:paraId="58D4D318"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The supplier’s system has a clean compliance history for a minimum of 12 months;</w:t>
      </w:r>
    </w:p>
    <w:p w14:paraId="77B324F2" w14:textId="77777777" w:rsidR="00057FFC" w:rsidRPr="001A7517" w:rsidRDefault="00057FFC" w:rsidP="00057FFC">
      <w:pPr>
        <w:spacing w:before="240" w:after="240"/>
        <w:ind w:left="2160" w:hanging="720"/>
        <w:rPr>
          <w:szCs w:val="24"/>
        </w:rPr>
      </w:pPr>
      <w:r w:rsidRPr="001A7517">
        <w:rPr>
          <w:szCs w:val="24"/>
        </w:rPr>
        <w:lastRenderedPageBreak/>
        <w:t>2)</w:t>
      </w:r>
      <w:r w:rsidRPr="001A7517">
        <w:rPr>
          <w:szCs w:val="24"/>
        </w:rPr>
        <w:tab/>
        <w:t>The most recent sanitary survey shows that the supplier’s system is free of sanitary defects or has corrected all identified sanitary defects, has a protected water source, and meets Agency-approved construction standards; and</w:t>
      </w:r>
    </w:p>
    <w:p w14:paraId="2E9D40F7"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The Agency has conducted an annual site visit within the last 12 months, and the supplier has corrected all identified sanitary defects.  The supplier may substitute a Level 2 assessment that meets the criteria in Section 611.1059(b) for the Agency annual site visit.</w:t>
      </w:r>
    </w:p>
    <w:p w14:paraId="61D210AE" w14:textId="77777777" w:rsidR="00057FFC" w:rsidRPr="001A7517" w:rsidRDefault="00057FFC" w:rsidP="00057FFC">
      <w:pPr>
        <w:spacing w:before="240" w:after="240"/>
        <w:ind w:left="1440" w:hanging="720"/>
        <w:rPr>
          <w:szCs w:val="24"/>
        </w:rPr>
      </w:pPr>
      <w:r w:rsidRPr="001A7517">
        <w:rPr>
          <w:szCs w:val="24"/>
        </w:rPr>
        <w:t>f)</w:t>
      </w:r>
      <w:r w:rsidRPr="001A7517">
        <w:rPr>
          <w:szCs w:val="24"/>
        </w:rPr>
        <w:tab/>
      </w:r>
      <w:r w:rsidRPr="001A7517">
        <w:rPr>
          <w:iCs/>
          <w:szCs w:val="24"/>
        </w:rPr>
        <w:t xml:space="preserve">Increased Monitoring Requirements for </w:t>
      </w:r>
      <w:r w:rsidRPr="001A7517">
        <w:rPr>
          <w:szCs w:val="24"/>
        </w:rPr>
        <w:t>Supplier</w:t>
      </w:r>
      <w:r w:rsidRPr="001A7517">
        <w:rPr>
          <w:iCs/>
          <w:szCs w:val="24"/>
        </w:rPr>
        <w:t xml:space="preserve">s on Quarterly or Annual Monitoring.  </w:t>
      </w:r>
      <w:r w:rsidRPr="001A7517">
        <w:rPr>
          <w:szCs w:val="24"/>
        </w:rPr>
        <w:t>A supplier on quarterly or annual monitoring that experiences any of the events identified in subsections (f)(1) through (f)(4) must begin monthly monitoring the month following the event.  A supplier on annual monitoring that experiences the event identified in subsections (f)(5) must begin quarterly monitoring the quarter following the event.  The supplier must continue monthly or quarterly monitoring until the requirements in subsection (g) for quarterly monitoring or subsection (h) for annual monitoring are met.  A supplier on monthly monitoring for reasons other than those identified in subsections (f)(1) through (f)(4) is not considered to be on increased monitoring for the purposes of subsections (g) and (h).</w:t>
      </w:r>
    </w:p>
    <w:p w14:paraId="52D6D1F4"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The supplier’s system triggers a Level 2 assessment or two Level 1 assessments under the provisions of Section 611.1059 in a rolling 12-month period.</w:t>
      </w:r>
    </w:p>
    <w:p w14:paraId="16416951"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The supplier’s system has an </w:t>
      </w:r>
      <w:r w:rsidRPr="001A7517">
        <w:rPr>
          <w:iCs/>
          <w:szCs w:val="24"/>
        </w:rPr>
        <w:t xml:space="preserve">E. coli </w:t>
      </w:r>
      <w:r w:rsidRPr="001A7517">
        <w:rPr>
          <w:szCs w:val="24"/>
        </w:rPr>
        <w:t>MCL violation.</w:t>
      </w:r>
    </w:p>
    <w:p w14:paraId="6671FC93"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The supplier’s system has a coliform treatment technique violation.</w:t>
      </w:r>
    </w:p>
    <w:p w14:paraId="3DF37D6D"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The supplier’s system has two Subpart AA monitoring violations or one Subpart AA monitoring violation and one Level 1 assessment under the provisions of Section 611.1059 in a rolling 12-month period for a system on quarterly monitoring.</w:t>
      </w:r>
    </w:p>
    <w:p w14:paraId="411F9943" w14:textId="77777777" w:rsidR="00057FFC" w:rsidRPr="001A7517" w:rsidRDefault="00057FFC" w:rsidP="00057FFC">
      <w:pPr>
        <w:spacing w:before="240" w:after="240"/>
        <w:ind w:left="2160" w:hanging="720"/>
        <w:rPr>
          <w:szCs w:val="24"/>
        </w:rPr>
      </w:pPr>
      <w:r w:rsidRPr="001A7517">
        <w:rPr>
          <w:szCs w:val="24"/>
        </w:rPr>
        <w:t>5)</w:t>
      </w:r>
      <w:r w:rsidRPr="001A7517">
        <w:rPr>
          <w:szCs w:val="24"/>
        </w:rPr>
        <w:tab/>
        <w:t>The supplier’s system has one Subpart AA monitoring violation for a system on annual monitoring.</w:t>
      </w:r>
    </w:p>
    <w:p w14:paraId="744770EF" w14:textId="77777777" w:rsidR="00057FFC" w:rsidRPr="001A7517" w:rsidRDefault="00057FFC" w:rsidP="00057FFC">
      <w:pPr>
        <w:spacing w:before="240" w:after="240"/>
        <w:ind w:left="1440" w:hanging="720"/>
        <w:rPr>
          <w:szCs w:val="24"/>
        </w:rPr>
      </w:pPr>
      <w:r w:rsidRPr="001A7517">
        <w:rPr>
          <w:szCs w:val="24"/>
        </w:rPr>
        <w:t>g)</w:t>
      </w:r>
      <w:r w:rsidRPr="001A7517">
        <w:rPr>
          <w:szCs w:val="24"/>
        </w:rPr>
        <w:tab/>
      </w:r>
      <w:r w:rsidRPr="001A7517">
        <w:rPr>
          <w:iCs/>
          <w:szCs w:val="24"/>
        </w:rPr>
        <w:t xml:space="preserve">Requirements for Returning to Quarterly Monitoring.  </w:t>
      </w:r>
      <w:r w:rsidRPr="001A7517">
        <w:rPr>
          <w:szCs w:val="24"/>
        </w:rPr>
        <w:t>The Agency may, by a SEP, reduce the monitoring frequency for a supplier on monthly monitoring triggered under subsection (f) to quarterly monitoring if the supplier’s system meets the criteria in subsections (g)(1) and (g)(2).</w:t>
      </w:r>
    </w:p>
    <w:p w14:paraId="73C4799B"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Within the last 12 months, the supplier must have a completed sanitary survey or a site visit of its system by the Agency or a voluntary Level 2 assessment of its system by a party approved by the Agency, the supplier’s </w:t>
      </w:r>
      <w:r w:rsidRPr="001A7517">
        <w:rPr>
          <w:szCs w:val="24"/>
        </w:rPr>
        <w:lastRenderedPageBreak/>
        <w:t>system must be free of sanitary defects, and the supplier’s system must have a protected water source; and</w:t>
      </w:r>
    </w:p>
    <w:p w14:paraId="537A2804"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The supplier’s system must have a clean compliance history for a minimum of 12 months.</w:t>
      </w:r>
    </w:p>
    <w:p w14:paraId="105E1346" w14:textId="77777777" w:rsidR="00057FFC" w:rsidRPr="001A7517" w:rsidRDefault="00057FFC" w:rsidP="00057FFC">
      <w:pPr>
        <w:spacing w:before="240" w:after="240"/>
        <w:ind w:left="1440" w:hanging="720"/>
        <w:rPr>
          <w:szCs w:val="24"/>
        </w:rPr>
      </w:pPr>
      <w:r w:rsidRPr="001A7517">
        <w:rPr>
          <w:szCs w:val="24"/>
        </w:rPr>
        <w:t>h)</w:t>
      </w:r>
      <w:r w:rsidRPr="001A7517">
        <w:rPr>
          <w:szCs w:val="24"/>
        </w:rPr>
        <w:tab/>
      </w:r>
      <w:r w:rsidRPr="001A7517">
        <w:rPr>
          <w:iCs/>
          <w:szCs w:val="24"/>
        </w:rPr>
        <w:t xml:space="preserve">Requirements for a Supplier on Increased Monitoring to Qualify for Annual Monitoring.  </w:t>
      </w:r>
      <w:r w:rsidRPr="001A7517">
        <w:rPr>
          <w:szCs w:val="24"/>
        </w:rPr>
        <w:t>The Agency may, by a SEP, reduce the monitoring frequency for a supplier on increased monitoring under subsection (f) if the supplier’s system meets the criteria in subsection (g) and the criteria in subsections (h)(1) and (h)(2).</w:t>
      </w:r>
    </w:p>
    <w:p w14:paraId="0416148A"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An annual site visit by the Agency and correction of all identified sanitary defects.  The supplier may substitute a voluntary Level 2 assessment by a party approved by the Agency for the Agency annual site visit in any given year.</w:t>
      </w:r>
    </w:p>
    <w:p w14:paraId="5E1E96C5"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The supplier must have in place or adopt one or more of the following additional enhancements to the water system barriers to contamination:</w:t>
      </w:r>
    </w:p>
    <w:p w14:paraId="568AFCF3"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Cross connection control, as approved by the Agency.</w:t>
      </w:r>
    </w:p>
    <w:p w14:paraId="2D16DA02"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An operator certified by an appropriate Agency certification program or regular visits by a circuit rider certified by an appropriate Agency certification program.</w:t>
      </w:r>
    </w:p>
    <w:p w14:paraId="60B64F7F" w14:textId="77777777" w:rsidR="00057FFC" w:rsidRPr="001A7517" w:rsidRDefault="00057FFC" w:rsidP="00057FFC">
      <w:pPr>
        <w:spacing w:before="240" w:after="240"/>
        <w:ind w:left="2880" w:hanging="720"/>
        <w:rPr>
          <w:szCs w:val="24"/>
        </w:rPr>
      </w:pPr>
      <w:r w:rsidRPr="001A7517">
        <w:rPr>
          <w:szCs w:val="24"/>
        </w:rPr>
        <w:t>C)</w:t>
      </w:r>
      <w:r w:rsidRPr="001A7517">
        <w:rPr>
          <w:szCs w:val="24"/>
        </w:rPr>
        <w:tab/>
        <w:t>Continuous disinfection entering the distribution system and a residual in the distribution system in accordance with criteria specified by the Agency.</w:t>
      </w:r>
    </w:p>
    <w:p w14:paraId="4D14B3FF" w14:textId="77777777" w:rsidR="00057FFC" w:rsidRPr="001A7517" w:rsidRDefault="00057FFC" w:rsidP="00057FFC">
      <w:pPr>
        <w:spacing w:before="240" w:after="240"/>
        <w:ind w:left="2880" w:hanging="720"/>
        <w:rPr>
          <w:szCs w:val="24"/>
        </w:rPr>
      </w:pPr>
      <w:r w:rsidRPr="001A7517">
        <w:rPr>
          <w:szCs w:val="24"/>
        </w:rPr>
        <w:t>D)</w:t>
      </w:r>
      <w:r w:rsidRPr="001A7517">
        <w:rPr>
          <w:szCs w:val="24"/>
        </w:rPr>
        <w:tab/>
        <w:t>Demonstration of maintenance of at least a four-log removal or inactivation of viruses as provided for under Section 141.403(b)(3).</w:t>
      </w:r>
    </w:p>
    <w:p w14:paraId="2E4A16F4" w14:textId="77777777" w:rsidR="00057FFC" w:rsidRPr="001A7517" w:rsidRDefault="00057FFC" w:rsidP="00057FFC">
      <w:pPr>
        <w:spacing w:before="240" w:after="240"/>
        <w:ind w:left="2880" w:hanging="720"/>
        <w:rPr>
          <w:szCs w:val="24"/>
        </w:rPr>
      </w:pPr>
      <w:r w:rsidRPr="001A7517">
        <w:rPr>
          <w:szCs w:val="24"/>
        </w:rPr>
        <w:t>E)</w:t>
      </w:r>
      <w:r w:rsidRPr="001A7517">
        <w:rPr>
          <w:szCs w:val="24"/>
        </w:rPr>
        <w:tab/>
        <w:t>Other equivalent enhancements to water system barriers as approved by the State.</w:t>
      </w:r>
    </w:p>
    <w:p w14:paraId="6B5F55E5" w14:textId="77777777" w:rsidR="00057FFC" w:rsidRPr="001A7517" w:rsidRDefault="00057FFC" w:rsidP="00057FFC">
      <w:pPr>
        <w:spacing w:before="240" w:after="240"/>
        <w:ind w:left="1440" w:hanging="720"/>
        <w:rPr>
          <w:szCs w:val="24"/>
        </w:rPr>
      </w:pPr>
      <w:r w:rsidRPr="001A7517">
        <w:rPr>
          <w:szCs w:val="24"/>
        </w:rPr>
        <w:t>i)</w:t>
      </w:r>
      <w:r w:rsidRPr="001A7517">
        <w:rPr>
          <w:szCs w:val="24"/>
        </w:rPr>
        <w:tab/>
      </w:r>
      <w:r w:rsidRPr="001A7517">
        <w:rPr>
          <w:iCs/>
          <w:szCs w:val="24"/>
        </w:rPr>
        <w:t>Seasonal Systems</w:t>
      </w:r>
    </w:p>
    <w:p w14:paraId="436F286E"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All seasonal system suppliers must demonstrate completion of an Agency-approved start-up procedure, which may include a requirement for startup sampling prior to serving water to the public.</w:t>
      </w:r>
    </w:p>
    <w:p w14:paraId="1A6ECFB7"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A seasonal system supplier must monitor every month that it is in operation unless it meets the criteria in subsections (i)(2)(i) through (iii) to </w:t>
      </w:r>
      <w:r w:rsidRPr="001A7517">
        <w:rPr>
          <w:szCs w:val="24"/>
        </w:rPr>
        <w:lastRenderedPageBreak/>
        <w:t>be eligible for monitoring less frequently than monthly, except as provided under subsection (c).</w:t>
      </w:r>
    </w:p>
    <w:p w14:paraId="28236B76"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Seasonal a system supplier monitoring less frequently than monthly must have an approved sample siting plan that designates the time period for monitoring based on site-specific considerations (e.g., during periods of highest demand or highest vulnerability to contamination).  A seasonal system supplier must collect compliance samples during this time period.</w:t>
      </w:r>
    </w:p>
    <w:p w14:paraId="71DE4862"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To be eligible for quarterly monitoring, the supplier must meet the criteria in subsection (g).</w:t>
      </w:r>
    </w:p>
    <w:p w14:paraId="778BD27B" w14:textId="77777777" w:rsidR="00057FFC" w:rsidRPr="001A7517" w:rsidRDefault="00057FFC" w:rsidP="00057FFC">
      <w:pPr>
        <w:spacing w:before="240" w:after="240"/>
        <w:ind w:left="2880" w:hanging="720"/>
        <w:rPr>
          <w:szCs w:val="24"/>
        </w:rPr>
      </w:pPr>
      <w:r w:rsidRPr="001A7517">
        <w:rPr>
          <w:szCs w:val="24"/>
        </w:rPr>
        <w:t>C)</w:t>
      </w:r>
      <w:r w:rsidRPr="001A7517">
        <w:rPr>
          <w:szCs w:val="24"/>
        </w:rPr>
        <w:tab/>
        <w:t>To be eligible for annual monitoring, the supplier must meet the criteria under subsection (h).</w:t>
      </w:r>
    </w:p>
    <w:p w14:paraId="4A16B4B1"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The Agency may, by a SEP, exempt any seasonal system supplier from some or all of the requirements for seasonal system suppliers if the entire distribution system remains pressurized during the entire period that the supplier’s system is not operating, except that a supplier that monitors less frequently than monthly must still monitor during the vulnerable period designated by the Agency.</w:t>
      </w:r>
    </w:p>
    <w:p w14:paraId="641EB574" w14:textId="77777777" w:rsidR="00057FFC" w:rsidRPr="001A7517" w:rsidRDefault="00057FFC" w:rsidP="00057FFC">
      <w:pPr>
        <w:spacing w:before="240" w:after="240"/>
        <w:ind w:left="1440" w:hanging="720"/>
        <w:rPr>
          <w:szCs w:val="24"/>
        </w:rPr>
      </w:pPr>
      <w:r w:rsidRPr="001A7517">
        <w:rPr>
          <w:szCs w:val="24"/>
        </w:rPr>
        <w:t>j)</w:t>
      </w:r>
      <w:r w:rsidRPr="001A7517">
        <w:rPr>
          <w:szCs w:val="24"/>
        </w:rPr>
        <w:tab/>
      </w:r>
      <w:r w:rsidRPr="001A7517">
        <w:rPr>
          <w:iCs/>
          <w:szCs w:val="24"/>
        </w:rPr>
        <w:t xml:space="preserve">Additional Routine Monitoring the Month Following a Total Coliform-Positive Sample.  </w:t>
      </w:r>
      <w:r w:rsidRPr="001A7517">
        <w:rPr>
          <w:szCs w:val="24"/>
        </w:rPr>
        <w:t>A supplier that collects samples on a quarterly or annual frequency must conduct additional routine monitoring the month following one or more total coliform-positive samples (with or without a Level 1 treatment technique trigger).  The supplier must collect at least three routine samples during the next month, except that the Agency may, by a SEP, waive this requirement if the conditions of subsection (j)(1), (j)(2), or (j)(3) are met.  The supplier may either collect samples at regular time intervals throughout the month or may collect all required routine samples on a single day if samples are taken from different sites.  The supplier must use the results of additional routine samples in coliform treatment technique trigger calculations under Section 611.1059(a).</w:t>
      </w:r>
    </w:p>
    <w:p w14:paraId="0924041A"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The Agency may, by a SEP, waive the requirement to collect three routine samples the next month in which the supplier provides water to the public if the Agency, or an agent approved by the Agency, performs a site visit before the end of the next month in which the supplier’s system provides water to the public.  Although a sanitary survey need not be performed, the site visit must be sufficiently detailed to allow the Agency to determine whether additional monitoring or any corrective action is needed.  The Agency cannot approve an employee of the supplier to perform this site visit, even if the employee is an agent approved by the Agency to perform sanitary surveys.</w:t>
      </w:r>
    </w:p>
    <w:p w14:paraId="45BE0E92" w14:textId="77777777" w:rsidR="00057FFC" w:rsidRPr="001A7517" w:rsidRDefault="00057FFC" w:rsidP="00057FFC">
      <w:pPr>
        <w:spacing w:before="240" w:after="240"/>
        <w:ind w:left="2160" w:hanging="720"/>
        <w:rPr>
          <w:szCs w:val="24"/>
        </w:rPr>
      </w:pPr>
      <w:r w:rsidRPr="001A7517">
        <w:rPr>
          <w:szCs w:val="24"/>
        </w:rPr>
        <w:lastRenderedPageBreak/>
        <w:t>2)</w:t>
      </w:r>
      <w:r w:rsidRPr="001A7517">
        <w:rPr>
          <w:szCs w:val="24"/>
        </w:rPr>
        <w:tab/>
        <w:t>The Agency may, by a SEP, waive the requirement to collect three routine samples the next month in which the supplier provides water to the public if the Agency has determined why the sample was total coliform-positive and has established that the supplier has corrected the problem or will correct the problem before the end of the next month in which the supplier’s system serves water to the public.  In this case, the Agency must document this decision to waive the following month’s additional monitoring requirement in writing, have it approved and signed by the supervisor of the Agency official who recommends such a decision, and make this document available to USEPA and public.  The written documentation must describe the specific cause of the total coliform-positive sample and what action the supplier has taken or will take to correct this problem.</w:t>
      </w:r>
    </w:p>
    <w:p w14:paraId="2741C890"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The Agency may not waive the requirement to collect three additional routine samples the next month in which the supplier’s system provides water to the public solely on the grounds that all repeat samples are total coliform-negative.  If the Agency determines that the supplier has corrected the contamination problem before the supplier takes the set of repeat samples required in Section 611.1058, and all repeat samples were total coliform-negative, the Agency may, by a SEP, waive the requirement for additional routine monitoring the next month.</w:t>
      </w:r>
    </w:p>
    <w:p w14:paraId="21B807C4" w14:textId="77777777" w:rsidR="00057FFC" w:rsidRPr="001A7517" w:rsidRDefault="00057FFC" w:rsidP="00057FFC">
      <w:pPr>
        <w:spacing w:before="240" w:after="240"/>
      </w:pPr>
      <w:r w:rsidRPr="001A7517">
        <w:t>BOARD NOTE:  Derived from 40 CFR 141.854.</w:t>
      </w:r>
    </w:p>
    <w:p w14:paraId="2C0EC0AC"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4D02517D" w14:textId="77777777" w:rsidR="00057FFC" w:rsidRPr="001A7517" w:rsidRDefault="00057FFC" w:rsidP="00057FFC">
      <w:pPr>
        <w:keepNext/>
        <w:keepLines/>
        <w:widowControl w:val="0"/>
        <w:spacing w:before="240" w:after="240"/>
        <w:rPr>
          <w:b/>
          <w:szCs w:val="24"/>
        </w:rPr>
      </w:pPr>
      <w:r w:rsidRPr="001A7517">
        <w:rPr>
          <w:b/>
          <w:szCs w:val="24"/>
        </w:rPr>
        <w:t xml:space="preserve">Section </w:t>
      </w:r>
      <w:bookmarkStart w:id="4523" w:name="_Hlk27063285"/>
      <w:r w:rsidRPr="001A7517">
        <w:rPr>
          <w:b/>
          <w:szCs w:val="24"/>
        </w:rPr>
        <w:t>611.1055</w:t>
      </w:r>
      <w:bookmarkEnd w:id="4523"/>
      <w:r w:rsidRPr="001A7517">
        <w:rPr>
          <w:b/>
          <w:szCs w:val="24"/>
        </w:rPr>
        <w:t xml:space="preserve">  Routine Monitoring Requirements for CWSs That Serve 1,000 or Fewer People Using Only Groundwater</w:t>
      </w:r>
    </w:p>
    <w:p w14:paraId="6CFCFB6E" w14:textId="77777777" w:rsidR="00057FFC" w:rsidRPr="001A7517" w:rsidRDefault="00057FFC" w:rsidP="00057FFC">
      <w:pPr>
        <w:widowControl w:val="0"/>
        <w:spacing w:before="240" w:after="240"/>
        <w:ind w:left="1440" w:hanging="720"/>
        <w:rPr>
          <w:szCs w:val="24"/>
        </w:rPr>
      </w:pPr>
      <w:r w:rsidRPr="001A7517">
        <w:rPr>
          <w:szCs w:val="24"/>
        </w:rPr>
        <w:t>a)</w:t>
      </w:r>
      <w:r w:rsidRPr="001A7517">
        <w:rPr>
          <w:szCs w:val="24"/>
        </w:rPr>
        <w:tab/>
      </w:r>
      <w:r w:rsidRPr="001A7517">
        <w:rPr>
          <w:iCs/>
          <w:szCs w:val="24"/>
        </w:rPr>
        <w:t>General</w:t>
      </w:r>
    </w:p>
    <w:p w14:paraId="40468EB1" w14:textId="77777777" w:rsidR="00057FFC" w:rsidRPr="001A7517" w:rsidRDefault="00057FFC" w:rsidP="00057FFC">
      <w:pPr>
        <w:widowControl w:val="0"/>
        <w:spacing w:before="240" w:after="240"/>
        <w:ind w:left="2160" w:hanging="720"/>
        <w:rPr>
          <w:szCs w:val="24"/>
        </w:rPr>
      </w:pPr>
      <w:r w:rsidRPr="001A7517">
        <w:rPr>
          <w:szCs w:val="24"/>
        </w:rPr>
        <w:t>1)</w:t>
      </w:r>
      <w:r w:rsidRPr="001A7517">
        <w:rPr>
          <w:szCs w:val="24"/>
        </w:rPr>
        <w:tab/>
        <w:t xml:space="preserve">This Section applies to CWS suppliers that use only ground water (except ground water under the direct influence of surface water, as defined in Section 611.102) and </w:t>
      </w:r>
      <w:r w:rsidRPr="001A7517">
        <w:t xml:space="preserve">that </w:t>
      </w:r>
      <w:r w:rsidRPr="001A7517">
        <w:rPr>
          <w:szCs w:val="24"/>
        </w:rPr>
        <w:t>serve 1,000 or fewer people.</w:t>
      </w:r>
    </w:p>
    <w:p w14:paraId="6DDCED25" w14:textId="77777777" w:rsidR="00057FFC" w:rsidRPr="001A7517" w:rsidRDefault="00057FFC" w:rsidP="00057FFC">
      <w:pPr>
        <w:widowControl w:val="0"/>
        <w:spacing w:before="240" w:after="240"/>
        <w:ind w:left="2160" w:hanging="720"/>
        <w:rPr>
          <w:szCs w:val="24"/>
        </w:rPr>
      </w:pPr>
      <w:r w:rsidRPr="001A7517">
        <w:rPr>
          <w:szCs w:val="24"/>
        </w:rPr>
        <w:t>2)</w:t>
      </w:r>
      <w:r w:rsidRPr="001A7517">
        <w:rPr>
          <w:szCs w:val="24"/>
        </w:rPr>
        <w:tab/>
        <w:t xml:space="preserve">Following any total coliform-positive sample taken under the provisions of this Section, the supplier must comply with the repeat monitoring requirements and </w:t>
      </w:r>
      <w:r w:rsidRPr="001A7517">
        <w:rPr>
          <w:iCs/>
          <w:szCs w:val="24"/>
        </w:rPr>
        <w:t xml:space="preserve">E. coli </w:t>
      </w:r>
      <w:r w:rsidRPr="001A7517">
        <w:rPr>
          <w:szCs w:val="24"/>
        </w:rPr>
        <w:t>analytical requirements in Section 611.1058.</w:t>
      </w:r>
    </w:p>
    <w:p w14:paraId="4F82A445" w14:textId="77777777" w:rsidR="00057FFC" w:rsidRPr="001A7517" w:rsidRDefault="00057FFC" w:rsidP="00057FFC">
      <w:pPr>
        <w:widowControl w:val="0"/>
        <w:spacing w:before="240" w:after="240"/>
        <w:ind w:left="2160" w:hanging="720"/>
        <w:rPr>
          <w:szCs w:val="24"/>
        </w:rPr>
      </w:pPr>
      <w:r w:rsidRPr="001A7517">
        <w:rPr>
          <w:szCs w:val="24"/>
        </w:rPr>
        <w:t>3)</w:t>
      </w:r>
      <w:r w:rsidRPr="001A7517">
        <w:rPr>
          <w:szCs w:val="24"/>
        </w:rPr>
        <w:tab/>
        <w:t>Once all monitoring required by this Section and Section 611.1058 for a calendar month has been completed, the supplier must determine whether any coliform treatment technique triggers specified in Section 611.1059 have been exceeded.  If any trigger has been exceeded, the supplier must complete assessments as required by Section 611.1059.</w:t>
      </w:r>
    </w:p>
    <w:p w14:paraId="61E4C068" w14:textId="77777777" w:rsidR="00057FFC" w:rsidRPr="001A7517" w:rsidRDefault="00057FFC" w:rsidP="00057FFC">
      <w:pPr>
        <w:widowControl w:val="0"/>
        <w:spacing w:before="240" w:after="240"/>
        <w:ind w:left="1440" w:hanging="720"/>
        <w:rPr>
          <w:szCs w:val="24"/>
        </w:rPr>
      </w:pPr>
      <w:r w:rsidRPr="001A7517">
        <w:rPr>
          <w:szCs w:val="24"/>
        </w:rPr>
        <w:lastRenderedPageBreak/>
        <w:t>b)</w:t>
      </w:r>
      <w:r w:rsidRPr="001A7517">
        <w:rPr>
          <w:szCs w:val="24"/>
        </w:rPr>
        <w:tab/>
      </w:r>
      <w:r w:rsidRPr="001A7517">
        <w:rPr>
          <w:iCs/>
          <w:szCs w:val="24"/>
        </w:rPr>
        <w:t xml:space="preserve">Monitoring Frequency for Total Coliforms.  </w:t>
      </w:r>
      <w:r w:rsidRPr="001A7517">
        <w:rPr>
          <w:szCs w:val="24"/>
        </w:rPr>
        <w:t>The monitoring frequency for total coliforms is one sample per month, except as provided for under subsections (c) through (f).</w:t>
      </w:r>
    </w:p>
    <w:p w14:paraId="1FB651B7" w14:textId="77777777" w:rsidR="00057FFC" w:rsidRPr="001A7517" w:rsidRDefault="00057FFC" w:rsidP="00057FFC">
      <w:pPr>
        <w:widowControl w:val="0"/>
        <w:spacing w:before="240" w:after="240"/>
        <w:ind w:left="1440" w:hanging="720"/>
        <w:rPr>
          <w:szCs w:val="24"/>
        </w:rPr>
      </w:pPr>
      <w:r w:rsidRPr="001A7517">
        <w:rPr>
          <w:szCs w:val="24"/>
        </w:rPr>
        <w:t>c)</w:t>
      </w:r>
      <w:r w:rsidRPr="001A7517">
        <w:rPr>
          <w:szCs w:val="24"/>
        </w:rPr>
        <w:tab/>
      </w:r>
      <w:r w:rsidRPr="001A7517">
        <w:rPr>
          <w:iCs/>
          <w:szCs w:val="24"/>
        </w:rPr>
        <w:t xml:space="preserve">Transition to </w:t>
      </w:r>
      <w:r w:rsidRPr="001A7517">
        <w:rPr>
          <w:szCs w:val="24"/>
        </w:rPr>
        <w:t>S</w:t>
      </w:r>
      <w:r w:rsidRPr="001A7517">
        <w:rPr>
          <w:iCs/>
          <w:szCs w:val="24"/>
        </w:rPr>
        <w:t xml:space="preserve">ubpart AA.  </w:t>
      </w:r>
      <w:r w:rsidRPr="001A7517">
        <w:rPr>
          <w:szCs w:val="24"/>
        </w:rPr>
        <w:t xml:space="preserve">The Agency must perform a special monitoring evaluation during each sanitary survey to review the status of the supplier’s system, including the distribution system, to determine whether the system is on an appropriate monitoring schedule.  After the Agency has performed the special monitoring evaluation during each sanitary survey, the Agency may, by a SEP issued </w:t>
      </w:r>
      <w:r w:rsidRPr="001A7517">
        <w:t xml:space="preserve">under </w:t>
      </w:r>
      <w:r w:rsidRPr="001A7517">
        <w:rPr>
          <w:szCs w:val="24"/>
        </w:rPr>
        <w:t>Section 611.110, modify the supplier’s monitoring schedule, as necessary.  Alternatively, the Agency may allow the supplier to stay on its existing monitoring schedule, consistent with the provisions of this Section.  The Agency may not allow a supplier to begin less frequent monitoring under the special monitoring evaluation unless the supplier has already met the applicable criteria for less frequent monitoring in this Section.</w:t>
      </w:r>
    </w:p>
    <w:p w14:paraId="30699D97" w14:textId="77777777" w:rsidR="00057FFC" w:rsidRPr="001A7517" w:rsidRDefault="00057FFC" w:rsidP="00057FFC">
      <w:pPr>
        <w:widowControl w:val="0"/>
        <w:spacing w:before="240" w:after="240"/>
        <w:ind w:left="1440" w:hanging="720"/>
        <w:rPr>
          <w:iCs/>
          <w:szCs w:val="24"/>
        </w:rPr>
      </w:pPr>
      <w:r w:rsidRPr="001A7517">
        <w:rPr>
          <w:szCs w:val="24"/>
        </w:rPr>
        <w:t>d)</w:t>
      </w:r>
      <w:r w:rsidRPr="001A7517">
        <w:rPr>
          <w:szCs w:val="24"/>
        </w:rPr>
        <w:tab/>
      </w:r>
      <w:r w:rsidRPr="001A7517">
        <w:rPr>
          <w:iCs/>
          <w:szCs w:val="24"/>
        </w:rPr>
        <w:t>Criteria for Reduced Monitoring</w:t>
      </w:r>
    </w:p>
    <w:p w14:paraId="5ECF87F7" w14:textId="77777777" w:rsidR="00057FFC" w:rsidRPr="001A7517" w:rsidRDefault="00057FFC" w:rsidP="00057FFC">
      <w:pPr>
        <w:widowControl w:val="0"/>
        <w:spacing w:before="240" w:after="240"/>
        <w:ind w:left="2160" w:hanging="720"/>
        <w:rPr>
          <w:szCs w:val="24"/>
        </w:rPr>
      </w:pPr>
      <w:r w:rsidRPr="001A7517">
        <w:rPr>
          <w:szCs w:val="24"/>
        </w:rPr>
        <w:t>1)</w:t>
      </w:r>
      <w:r w:rsidRPr="001A7517">
        <w:rPr>
          <w:szCs w:val="24"/>
        </w:rPr>
        <w:tab/>
        <w:t>The Agency may, by a SEP, reduce the monitoring frequency from monthly monitoring to no less than quarterly monitoring if the supplier is in compliance with Agency-certified operator provisions and demonstrates that it meets the criteria in subsections (d)(1)(A) through (d)(1)(C).  A supplier that loses its certified operator must return to monthly monitoring the month following that loss.</w:t>
      </w:r>
    </w:p>
    <w:p w14:paraId="5A9FEDF7" w14:textId="77777777" w:rsidR="00057FFC" w:rsidRPr="001A7517" w:rsidRDefault="00057FFC" w:rsidP="00057FFC">
      <w:pPr>
        <w:widowControl w:val="0"/>
        <w:spacing w:before="240" w:after="240"/>
        <w:ind w:left="2880" w:hanging="720"/>
        <w:rPr>
          <w:szCs w:val="24"/>
        </w:rPr>
      </w:pPr>
      <w:r w:rsidRPr="001A7517">
        <w:rPr>
          <w:szCs w:val="24"/>
        </w:rPr>
        <w:t>A)</w:t>
      </w:r>
      <w:r w:rsidRPr="001A7517">
        <w:rPr>
          <w:szCs w:val="24"/>
        </w:rPr>
        <w:tab/>
        <w:t>The supplier has a clean compliance history for a minimum of 12 months.</w:t>
      </w:r>
    </w:p>
    <w:p w14:paraId="4478F166" w14:textId="77777777" w:rsidR="00057FFC" w:rsidRPr="001A7517" w:rsidRDefault="00057FFC" w:rsidP="00057FFC">
      <w:pPr>
        <w:widowControl w:val="0"/>
        <w:spacing w:before="240" w:after="240"/>
        <w:ind w:left="2880" w:hanging="720"/>
        <w:rPr>
          <w:szCs w:val="24"/>
        </w:rPr>
      </w:pPr>
      <w:r w:rsidRPr="001A7517">
        <w:rPr>
          <w:szCs w:val="24"/>
        </w:rPr>
        <w:t>B)</w:t>
      </w:r>
      <w:r w:rsidRPr="001A7517">
        <w:rPr>
          <w:szCs w:val="24"/>
        </w:rPr>
        <w:tab/>
        <w:t>The most recent sanitary survey shows the supplier is free of sanitary defects (or has an approved plan and schedule to correct them and is in compliance with the plan and the schedule), has a protected water source, and meets Agency-approved construction standards.</w:t>
      </w:r>
    </w:p>
    <w:p w14:paraId="6ED1B9A2" w14:textId="77777777" w:rsidR="00057FFC" w:rsidRPr="001A7517" w:rsidRDefault="00057FFC" w:rsidP="00057FFC">
      <w:pPr>
        <w:widowControl w:val="0"/>
        <w:spacing w:before="240" w:after="240"/>
        <w:ind w:left="2880" w:hanging="720"/>
        <w:rPr>
          <w:szCs w:val="24"/>
        </w:rPr>
      </w:pPr>
      <w:r w:rsidRPr="001A7517">
        <w:rPr>
          <w:szCs w:val="24"/>
        </w:rPr>
        <w:t>C)</w:t>
      </w:r>
      <w:r w:rsidRPr="001A7517">
        <w:rPr>
          <w:szCs w:val="24"/>
        </w:rPr>
        <w:tab/>
        <w:t>The supplier meets at least one of the following criteria:</w:t>
      </w:r>
    </w:p>
    <w:p w14:paraId="7ECB650C" w14:textId="77777777" w:rsidR="00057FFC" w:rsidRPr="001A7517" w:rsidRDefault="00057FFC" w:rsidP="00057FFC">
      <w:pPr>
        <w:widowControl w:val="0"/>
        <w:spacing w:before="240" w:after="240"/>
        <w:ind w:left="3600" w:hanging="720"/>
        <w:rPr>
          <w:szCs w:val="24"/>
        </w:rPr>
      </w:pPr>
      <w:r w:rsidRPr="001A7517">
        <w:rPr>
          <w:szCs w:val="24"/>
        </w:rPr>
        <w:t>i)</w:t>
      </w:r>
      <w:r w:rsidRPr="001A7517">
        <w:rPr>
          <w:szCs w:val="24"/>
        </w:rPr>
        <w:tab/>
        <w:t>An annual site visit by the Agency that is equivalent to a Level 2 assessment or an annual Level 2 assessment by a party approved by the Agency and correction of all identified sanitary defects (or an approved plan and schedule to correct them and is in compliance with the plan and schedule).</w:t>
      </w:r>
    </w:p>
    <w:p w14:paraId="5BF07E76" w14:textId="77777777" w:rsidR="00057FFC" w:rsidRPr="001A7517" w:rsidRDefault="00057FFC" w:rsidP="00057FFC">
      <w:pPr>
        <w:widowControl w:val="0"/>
        <w:spacing w:before="240" w:after="240"/>
        <w:ind w:left="3600" w:hanging="720"/>
        <w:rPr>
          <w:szCs w:val="24"/>
        </w:rPr>
      </w:pPr>
      <w:r w:rsidRPr="001A7517">
        <w:rPr>
          <w:szCs w:val="24"/>
        </w:rPr>
        <w:t>ii)</w:t>
      </w:r>
      <w:r w:rsidRPr="001A7517">
        <w:rPr>
          <w:szCs w:val="24"/>
        </w:rPr>
        <w:tab/>
        <w:t>Cross connection control, as approved by the Agency.</w:t>
      </w:r>
    </w:p>
    <w:p w14:paraId="34304D82" w14:textId="77777777" w:rsidR="00057FFC" w:rsidRPr="001A7517" w:rsidRDefault="00057FFC" w:rsidP="00057FFC">
      <w:pPr>
        <w:widowControl w:val="0"/>
        <w:spacing w:before="240" w:after="240"/>
        <w:ind w:left="3600" w:hanging="720"/>
        <w:rPr>
          <w:szCs w:val="24"/>
        </w:rPr>
      </w:pPr>
      <w:r w:rsidRPr="001A7517">
        <w:rPr>
          <w:szCs w:val="24"/>
        </w:rPr>
        <w:t>iii)</w:t>
      </w:r>
      <w:r w:rsidRPr="001A7517">
        <w:rPr>
          <w:szCs w:val="24"/>
        </w:rPr>
        <w:tab/>
        <w:t xml:space="preserve">Continuous disinfection entering the distribution system </w:t>
      </w:r>
      <w:r w:rsidRPr="001A7517">
        <w:rPr>
          <w:szCs w:val="24"/>
        </w:rPr>
        <w:lastRenderedPageBreak/>
        <w:t>and a residual in the distribution system in accordance with criteria specified by the Agency.</w:t>
      </w:r>
    </w:p>
    <w:p w14:paraId="3C1A497F" w14:textId="77777777" w:rsidR="00057FFC" w:rsidRPr="001A7517" w:rsidRDefault="00057FFC" w:rsidP="00057FFC">
      <w:pPr>
        <w:widowControl w:val="0"/>
        <w:spacing w:before="240" w:after="240"/>
        <w:ind w:left="3600" w:hanging="720"/>
        <w:rPr>
          <w:szCs w:val="24"/>
        </w:rPr>
      </w:pPr>
      <w:r w:rsidRPr="001A7517">
        <w:rPr>
          <w:szCs w:val="24"/>
        </w:rPr>
        <w:t>iv)</w:t>
      </w:r>
      <w:r w:rsidRPr="001A7517">
        <w:rPr>
          <w:szCs w:val="24"/>
        </w:rPr>
        <w:tab/>
        <w:t>Demonstration of maintenance of at least a 4-log removal or inactivation of viruses as provided for under Section 611.803(b)(3).</w:t>
      </w:r>
    </w:p>
    <w:p w14:paraId="57825BBC" w14:textId="77777777" w:rsidR="00057FFC" w:rsidRPr="001A7517" w:rsidRDefault="00057FFC" w:rsidP="00057FFC">
      <w:pPr>
        <w:widowControl w:val="0"/>
        <w:spacing w:before="240" w:after="240"/>
        <w:ind w:left="3600" w:hanging="720"/>
        <w:rPr>
          <w:szCs w:val="24"/>
        </w:rPr>
      </w:pPr>
      <w:r w:rsidRPr="001A7517">
        <w:rPr>
          <w:szCs w:val="24"/>
        </w:rPr>
        <w:t>v)</w:t>
      </w:r>
      <w:r w:rsidRPr="001A7517">
        <w:rPr>
          <w:szCs w:val="24"/>
        </w:rPr>
        <w:tab/>
        <w:t>Other equivalent enhancements to water system barriers as approved by the Agency.</w:t>
      </w:r>
    </w:p>
    <w:p w14:paraId="3F0629E4" w14:textId="77777777" w:rsidR="00057FFC" w:rsidRPr="001A7517" w:rsidRDefault="00057FFC" w:rsidP="00057FFC">
      <w:pPr>
        <w:widowControl w:val="0"/>
        <w:spacing w:before="240" w:after="240"/>
        <w:ind w:left="2160" w:hanging="720"/>
        <w:rPr>
          <w:szCs w:val="24"/>
        </w:rPr>
      </w:pPr>
      <w:r w:rsidRPr="001A7517">
        <w:rPr>
          <w:szCs w:val="24"/>
        </w:rPr>
        <w:t>2)</w:t>
      </w:r>
      <w:r w:rsidRPr="001A7517">
        <w:rPr>
          <w:szCs w:val="24"/>
        </w:rPr>
        <w:tab/>
        <w:t>This subsection (d)(2) corresponds with 40 CFR 141.855(d)(2), which USEPA has marked “reserved</w:t>
      </w:r>
      <w:r w:rsidRPr="001A7517">
        <w:t>”.</w:t>
      </w:r>
      <w:r w:rsidRPr="001A7517">
        <w:rPr>
          <w:szCs w:val="24"/>
        </w:rPr>
        <w:t xml:space="preserve">  This statement maintains structural consistency with the corresponding federal provision.</w:t>
      </w:r>
    </w:p>
    <w:p w14:paraId="6A81ED90" w14:textId="77777777" w:rsidR="00057FFC" w:rsidRPr="001A7517" w:rsidRDefault="00057FFC" w:rsidP="00057FFC">
      <w:pPr>
        <w:widowControl w:val="0"/>
        <w:spacing w:before="240" w:after="240"/>
        <w:ind w:left="1440" w:hanging="720"/>
        <w:rPr>
          <w:szCs w:val="24"/>
        </w:rPr>
      </w:pPr>
      <w:r w:rsidRPr="001A7517">
        <w:rPr>
          <w:szCs w:val="24"/>
        </w:rPr>
        <w:t>e)</w:t>
      </w:r>
      <w:r w:rsidRPr="001A7517">
        <w:rPr>
          <w:szCs w:val="24"/>
        </w:rPr>
        <w:tab/>
      </w:r>
      <w:r w:rsidRPr="001A7517">
        <w:rPr>
          <w:iCs/>
          <w:szCs w:val="24"/>
        </w:rPr>
        <w:t xml:space="preserve">Return to Routine Monthly Monitoring Requirements.  </w:t>
      </w:r>
      <w:r w:rsidRPr="001A7517">
        <w:rPr>
          <w:szCs w:val="24"/>
        </w:rPr>
        <w:t>A supplier on quarterly monitoring that experience any of the events in subsections (e)(1) through (e)(4) must begin monthly monitoring the month following the event.  The supplier must continue monthly monitoring until it meets the reduced monitoring requirements in subsection (d).</w:t>
      </w:r>
    </w:p>
    <w:p w14:paraId="15839012" w14:textId="77777777" w:rsidR="00057FFC" w:rsidRPr="001A7517" w:rsidRDefault="00057FFC" w:rsidP="00057FFC">
      <w:pPr>
        <w:widowControl w:val="0"/>
        <w:spacing w:before="240" w:after="240"/>
        <w:ind w:left="2160" w:hanging="720"/>
        <w:rPr>
          <w:szCs w:val="24"/>
        </w:rPr>
      </w:pPr>
      <w:r w:rsidRPr="001A7517">
        <w:rPr>
          <w:szCs w:val="24"/>
        </w:rPr>
        <w:t>1)</w:t>
      </w:r>
      <w:r w:rsidRPr="001A7517">
        <w:rPr>
          <w:szCs w:val="24"/>
        </w:rPr>
        <w:tab/>
        <w:t>The supplier triggers a Level 2 assessment or two Level 1 assessments in a rolling 12-month period.</w:t>
      </w:r>
    </w:p>
    <w:p w14:paraId="733AC572" w14:textId="77777777" w:rsidR="00057FFC" w:rsidRPr="001A7517" w:rsidRDefault="00057FFC" w:rsidP="00057FFC">
      <w:pPr>
        <w:widowControl w:val="0"/>
        <w:spacing w:before="240" w:after="240"/>
        <w:ind w:left="2160" w:hanging="720"/>
        <w:rPr>
          <w:szCs w:val="24"/>
        </w:rPr>
      </w:pPr>
      <w:r w:rsidRPr="001A7517">
        <w:rPr>
          <w:szCs w:val="24"/>
        </w:rPr>
        <w:t>2)</w:t>
      </w:r>
      <w:r w:rsidRPr="001A7517">
        <w:rPr>
          <w:szCs w:val="24"/>
        </w:rPr>
        <w:tab/>
        <w:t xml:space="preserve">The supplier has an </w:t>
      </w:r>
      <w:r w:rsidRPr="001A7517">
        <w:rPr>
          <w:iCs/>
          <w:szCs w:val="24"/>
        </w:rPr>
        <w:t xml:space="preserve">E. coli </w:t>
      </w:r>
      <w:r w:rsidRPr="001A7517">
        <w:rPr>
          <w:szCs w:val="24"/>
        </w:rPr>
        <w:t>MCL violation.</w:t>
      </w:r>
    </w:p>
    <w:p w14:paraId="30B5AE7C" w14:textId="77777777" w:rsidR="00057FFC" w:rsidRPr="001A7517" w:rsidRDefault="00057FFC" w:rsidP="00057FFC">
      <w:pPr>
        <w:widowControl w:val="0"/>
        <w:spacing w:before="240" w:after="240"/>
        <w:ind w:left="2160" w:hanging="720"/>
        <w:rPr>
          <w:szCs w:val="24"/>
        </w:rPr>
      </w:pPr>
      <w:r w:rsidRPr="001A7517">
        <w:rPr>
          <w:szCs w:val="24"/>
        </w:rPr>
        <w:t>3)</w:t>
      </w:r>
      <w:r w:rsidRPr="001A7517">
        <w:rPr>
          <w:szCs w:val="24"/>
        </w:rPr>
        <w:tab/>
        <w:t>The supplier has a coliform treatment technique violation.</w:t>
      </w:r>
    </w:p>
    <w:p w14:paraId="44F39F7E" w14:textId="77777777" w:rsidR="00057FFC" w:rsidRPr="001A7517" w:rsidRDefault="00057FFC" w:rsidP="00057FFC">
      <w:pPr>
        <w:widowControl w:val="0"/>
        <w:spacing w:before="240" w:after="240"/>
        <w:ind w:left="2160" w:hanging="720"/>
        <w:rPr>
          <w:szCs w:val="24"/>
        </w:rPr>
      </w:pPr>
      <w:r w:rsidRPr="001A7517">
        <w:rPr>
          <w:szCs w:val="24"/>
        </w:rPr>
        <w:t>4)</w:t>
      </w:r>
      <w:r w:rsidRPr="001A7517">
        <w:rPr>
          <w:szCs w:val="24"/>
        </w:rPr>
        <w:tab/>
        <w:t>The supplier has two Subpart AA monitoring violations in a rolling 12- month period.</w:t>
      </w:r>
    </w:p>
    <w:p w14:paraId="513A7373" w14:textId="77777777" w:rsidR="00057FFC" w:rsidRPr="001A7517" w:rsidRDefault="00057FFC" w:rsidP="00057FFC">
      <w:pPr>
        <w:widowControl w:val="0"/>
        <w:spacing w:before="240" w:after="240"/>
        <w:ind w:left="1440" w:hanging="720"/>
        <w:rPr>
          <w:szCs w:val="24"/>
        </w:rPr>
      </w:pPr>
      <w:r w:rsidRPr="001A7517">
        <w:rPr>
          <w:szCs w:val="24"/>
        </w:rPr>
        <w:t>f)</w:t>
      </w:r>
      <w:r w:rsidRPr="001A7517">
        <w:rPr>
          <w:szCs w:val="24"/>
        </w:rPr>
        <w:tab/>
      </w:r>
      <w:r w:rsidRPr="001A7517">
        <w:rPr>
          <w:iCs/>
          <w:szCs w:val="24"/>
        </w:rPr>
        <w:t xml:space="preserve">Additional Routine Monitoring the Month Following a Total Coliform-Positive Sample.  </w:t>
      </w:r>
      <w:r w:rsidRPr="001A7517">
        <w:rPr>
          <w:szCs w:val="24"/>
        </w:rPr>
        <w:t>A supplier collecting samples on a quarterly frequency must conduct additional routine monitoring the month following one or more total coliform-positive samples (with or without a Level 1 treatment technique trigger).  A supplier must collect at least three routine samples during the next month, except that the Agency may, by a SEP, waive this requirement if the conditions of subsection (f)(1), (f)(2), or (f)(3) are met.  A supplier may either collect samples at regular time intervals throughout the month or may collect all required routine samples on a single day if samples are taken from different sites.  A supplier must use the results of additional routine samples in coliform treatment technique trigger calculations.</w:t>
      </w:r>
    </w:p>
    <w:p w14:paraId="4A6BD1FA" w14:textId="77777777" w:rsidR="00057FFC" w:rsidRPr="001A7517" w:rsidRDefault="00057FFC" w:rsidP="00057FFC">
      <w:pPr>
        <w:widowControl w:val="0"/>
        <w:spacing w:before="240" w:after="240"/>
        <w:ind w:left="2160" w:hanging="720"/>
        <w:rPr>
          <w:szCs w:val="24"/>
        </w:rPr>
      </w:pPr>
      <w:r w:rsidRPr="001A7517">
        <w:rPr>
          <w:szCs w:val="24"/>
        </w:rPr>
        <w:t>1)</w:t>
      </w:r>
      <w:r w:rsidRPr="001A7517">
        <w:rPr>
          <w:szCs w:val="24"/>
        </w:rPr>
        <w:tab/>
        <w:t xml:space="preserve">The Agency may, by a SEP, waive the requirement to collect three routine samples the next month in which the supplier’s system provides water to the public if the Agency, or an agent approved by the Agency, performs a site visit before the end of the next month in which the supplier’s system </w:t>
      </w:r>
      <w:r w:rsidRPr="001A7517">
        <w:rPr>
          <w:szCs w:val="24"/>
        </w:rPr>
        <w:lastRenderedPageBreak/>
        <w:t>provides water to the public.  Although a sanitary survey need not be performed, the site visit must be sufficiently detailed to allow the Agency to determine whether additional monitoring or any corrective action is needed.  The Agency cannot approve an employee of the supplier to perform this site visit, even if the employee is an agent approved by the Agency to perform sanitary surveys.</w:t>
      </w:r>
    </w:p>
    <w:p w14:paraId="25633D70" w14:textId="77777777" w:rsidR="00057FFC" w:rsidRPr="001A7517" w:rsidRDefault="00057FFC" w:rsidP="00057FFC">
      <w:pPr>
        <w:widowControl w:val="0"/>
        <w:spacing w:before="240" w:after="240"/>
        <w:ind w:left="2160" w:hanging="720"/>
        <w:rPr>
          <w:szCs w:val="24"/>
        </w:rPr>
      </w:pPr>
      <w:r w:rsidRPr="001A7517">
        <w:rPr>
          <w:szCs w:val="24"/>
        </w:rPr>
        <w:t>2)</w:t>
      </w:r>
      <w:r w:rsidRPr="001A7517">
        <w:rPr>
          <w:szCs w:val="24"/>
        </w:rPr>
        <w:tab/>
        <w:t>The Agency may, by a SEP, waive the requirement to collect three routine samples the next month in which the supplier’s system provides water to the public if the Agency has determined why the sample was total coliform-positive and has established that the supplier has corrected the problem or will correct the problem before the end of the next month in which the supplier’s system serves water to the public.  In this case, the Agency must document this decision to waive the following month’s additional monitoring requirement in writing, have it approved and signed by the supervisor of the Agency official who recommends such a decision, and make this document available to USEPA and the public.  The written documentation must describe the specific cause of the total coliform-positive sample and what action the supplier has taken or will take to correct this problem.</w:t>
      </w:r>
    </w:p>
    <w:p w14:paraId="6B38AE74" w14:textId="77777777" w:rsidR="00057FFC" w:rsidRPr="001A7517" w:rsidRDefault="00057FFC" w:rsidP="00057FFC">
      <w:pPr>
        <w:widowControl w:val="0"/>
        <w:spacing w:before="240" w:after="240"/>
        <w:ind w:left="2160" w:hanging="720"/>
        <w:rPr>
          <w:szCs w:val="24"/>
        </w:rPr>
      </w:pPr>
      <w:r w:rsidRPr="001A7517">
        <w:rPr>
          <w:szCs w:val="24"/>
        </w:rPr>
        <w:t>3)</w:t>
      </w:r>
      <w:r w:rsidRPr="001A7517">
        <w:rPr>
          <w:szCs w:val="24"/>
        </w:rPr>
        <w:tab/>
        <w:t>The Agency may not waive the requirement to collect three additional routine samples the next month in which the supplier’s system provides water to the public solely on the grounds that all repeat samples are total coliform-negative.  If the Agency determines that the supplier has corrected the contamination problem before the supplier takes the set of repeat samples required in Section 611.1058, and all repeat samples were total coliform-negative, the Agency may, by a SEP, waive the requirement for additional routine monitoring the next month.</w:t>
      </w:r>
    </w:p>
    <w:p w14:paraId="78897DE4" w14:textId="77777777" w:rsidR="00057FFC" w:rsidRPr="001A7517" w:rsidRDefault="00057FFC" w:rsidP="00057FFC">
      <w:pPr>
        <w:widowControl w:val="0"/>
        <w:spacing w:before="240" w:after="240"/>
      </w:pPr>
      <w:r w:rsidRPr="001A7517">
        <w:t>BOARD NOTE:  Derived from 40 CFR 141.855.</w:t>
      </w:r>
    </w:p>
    <w:p w14:paraId="4DAF8771"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61EBDE61" w14:textId="77777777" w:rsidR="00057FFC" w:rsidRPr="001A7517" w:rsidRDefault="00057FFC" w:rsidP="00057FFC">
      <w:pPr>
        <w:keepNext/>
        <w:keepLines/>
        <w:spacing w:before="240" w:after="240"/>
        <w:rPr>
          <w:b/>
          <w:szCs w:val="24"/>
        </w:rPr>
      </w:pPr>
      <w:r w:rsidRPr="001A7517">
        <w:rPr>
          <w:b/>
          <w:szCs w:val="24"/>
        </w:rPr>
        <w:t xml:space="preserve">Section </w:t>
      </w:r>
      <w:bookmarkStart w:id="4524" w:name="_Hlk27063304"/>
      <w:r w:rsidRPr="001A7517">
        <w:rPr>
          <w:b/>
          <w:szCs w:val="24"/>
        </w:rPr>
        <w:t>611.1056</w:t>
      </w:r>
      <w:bookmarkEnd w:id="4524"/>
      <w:r w:rsidRPr="001A7517">
        <w:rPr>
          <w:b/>
          <w:szCs w:val="24"/>
        </w:rPr>
        <w:t xml:space="preserve">  Routine Monitoring Requirements for Subpart B Systems That Serve 1,000 or Fewer People</w:t>
      </w:r>
    </w:p>
    <w:p w14:paraId="30BF1165"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General</w:t>
      </w:r>
    </w:p>
    <w:p w14:paraId="2D0B2795"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The provisions of this Section apply to a Subpart B system supplier that serves 1,000 or fewer people.</w:t>
      </w:r>
    </w:p>
    <w:p w14:paraId="1FFA5B71"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Following any total coliform-positive sample taken under the provisions of this Section, a supplier must comply with the repeat monitoring requirements and </w:t>
      </w:r>
      <w:r w:rsidRPr="001A7517">
        <w:rPr>
          <w:iCs/>
          <w:szCs w:val="24"/>
        </w:rPr>
        <w:t xml:space="preserve">E. coli </w:t>
      </w:r>
      <w:r w:rsidRPr="001A7517">
        <w:rPr>
          <w:szCs w:val="24"/>
        </w:rPr>
        <w:t>analytical requirements in Section 611.1058.</w:t>
      </w:r>
    </w:p>
    <w:p w14:paraId="6292CF7F" w14:textId="77777777" w:rsidR="00057FFC" w:rsidRPr="001A7517" w:rsidRDefault="00057FFC" w:rsidP="00057FFC">
      <w:pPr>
        <w:spacing w:before="240" w:after="240"/>
        <w:ind w:left="2160" w:hanging="720"/>
        <w:rPr>
          <w:szCs w:val="24"/>
        </w:rPr>
      </w:pPr>
      <w:r w:rsidRPr="001A7517">
        <w:rPr>
          <w:szCs w:val="24"/>
        </w:rPr>
        <w:lastRenderedPageBreak/>
        <w:t>3)</w:t>
      </w:r>
      <w:r w:rsidRPr="001A7517">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352F25FC"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Seasonal System Suppliers</w:t>
      </w:r>
    </w:p>
    <w:p w14:paraId="6CD10F22"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All seasonal system suppliers must demonstrate completion of an Agency-approved start-up procedure, which may include a requirement for start-up sampling prior to serving water to the public.</w:t>
      </w:r>
    </w:p>
    <w:p w14:paraId="2B3E7C58"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The Agency may, by a SEP, exempt any seasonal system supplier from some or all of the requirements for seasonal system suppliers if the supplier’s entire distribution system remains pressurized during the entire period that the supplier’s system is not operating.</w:t>
      </w:r>
    </w:p>
    <w:p w14:paraId="17351284"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 xml:space="preserve">Routine Monitoring Frequency for Total Coliforms.  A </w:t>
      </w:r>
      <w:r w:rsidRPr="001A7517">
        <w:rPr>
          <w:szCs w:val="24"/>
        </w:rPr>
        <w:t>Subpart B system supplier (including a consecutive system supplier) must monitor monthly.  A supplier may not reduce monitoring.</w:t>
      </w:r>
    </w:p>
    <w:p w14:paraId="6A13FD8F" w14:textId="77777777" w:rsidR="00057FFC" w:rsidRPr="001A7517" w:rsidRDefault="00057FFC" w:rsidP="00057FFC">
      <w:pPr>
        <w:spacing w:before="240" w:after="240"/>
        <w:ind w:left="1440" w:hanging="720"/>
        <w:rPr>
          <w:szCs w:val="24"/>
        </w:rPr>
      </w:pPr>
      <w:r w:rsidRPr="001A7517">
        <w:rPr>
          <w:szCs w:val="24"/>
        </w:rPr>
        <w:t>c)</w:t>
      </w:r>
      <w:r w:rsidRPr="001A7517">
        <w:rPr>
          <w:szCs w:val="24"/>
        </w:rPr>
        <w:tab/>
      </w:r>
      <w:r w:rsidRPr="001A7517">
        <w:rPr>
          <w:iCs/>
          <w:szCs w:val="24"/>
        </w:rPr>
        <w:t>Unfiltered Subpart B System</w:t>
      </w:r>
      <w:r w:rsidRPr="001A7517">
        <w:rPr>
          <w:szCs w:val="24"/>
        </w:rPr>
        <w:t xml:space="preserve"> Supplier</w:t>
      </w:r>
      <w:r w:rsidRPr="001A7517">
        <w:rPr>
          <w:iCs/>
          <w:szCs w:val="24"/>
        </w:rPr>
        <w:t xml:space="preserve">s.  </w:t>
      </w:r>
      <w:r w:rsidRPr="001A7517">
        <w:rPr>
          <w:szCs w:val="24"/>
        </w:rPr>
        <w:t xml:space="preserve">A </w:t>
      </w:r>
      <w:r w:rsidRPr="001A7517">
        <w:rPr>
          <w:iCs/>
          <w:szCs w:val="24"/>
        </w:rPr>
        <w:t>Subpart B system</w:t>
      </w:r>
      <w:r w:rsidRPr="001A7517">
        <w:rPr>
          <w:szCs w:val="24"/>
        </w:rPr>
        <w:t xml:space="preserve"> supplier that does not practice filtration in compliance with </w:t>
      </w:r>
      <w:bookmarkStart w:id="4525" w:name="_Hlk15311706"/>
      <w:r w:rsidRPr="001A7517">
        <w:rPr>
          <w:szCs w:val="24"/>
        </w:rPr>
        <w:t>Subparts B, R, X, and Z</w:t>
      </w:r>
      <w:bookmarkEnd w:id="4525"/>
      <w:r w:rsidRPr="001A7517">
        <w:rPr>
          <w:szCs w:val="24"/>
        </w:rPr>
        <w:t xml:space="preserve"> must collect at least one total coliform sample near the first service connection each day that the turbidity level of the source water, measured as specified in Section 611.532(b), exceeds 1 NTU.  When one or more turbidity measurements in any day exceed 1 NTU, the supplier must collect this coliform sample within 24 hours </w:t>
      </w:r>
      <w:r w:rsidRPr="001A7517">
        <w:t xml:space="preserve">after </w:t>
      </w:r>
      <w:r w:rsidRPr="001A7517">
        <w:rPr>
          <w:szCs w:val="24"/>
        </w:rPr>
        <w:t xml:space="preserve">the first exceedance, unless the Agency determines that the supplier, for logistical reasons outside the supplier’s control, cannot have the sample analyzed within 30 hours </w:t>
      </w:r>
      <w:r w:rsidRPr="001A7517">
        <w:t xml:space="preserve">after </w:t>
      </w:r>
      <w:r w:rsidRPr="001A7517">
        <w:rPr>
          <w:szCs w:val="24"/>
        </w:rPr>
        <w:t>collection, and the Agency identifies an alternative sample collection schedule.  Sample results from the coliform monitoring required by this subsection (c) must be included in determining whether the coliform treatment technique trigger in Section 611.1059 has been exceeded.</w:t>
      </w:r>
    </w:p>
    <w:p w14:paraId="1BF34C37" w14:textId="77777777" w:rsidR="00057FFC" w:rsidRPr="001A7517" w:rsidRDefault="00057FFC" w:rsidP="00057FFC">
      <w:pPr>
        <w:spacing w:before="240" w:after="240"/>
      </w:pPr>
      <w:r w:rsidRPr="001A7517">
        <w:t>BOARD NOTE:  Derived from 40 CFR 141.856.</w:t>
      </w:r>
    </w:p>
    <w:p w14:paraId="5FBF97B8"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542C6175" w14:textId="77777777" w:rsidR="00057FFC" w:rsidRPr="001A7517" w:rsidRDefault="00057FFC" w:rsidP="00057FFC">
      <w:pPr>
        <w:keepNext/>
        <w:keepLines/>
        <w:spacing w:before="240" w:after="240"/>
        <w:rPr>
          <w:b/>
          <w:szCs w:val="24"/>
        </w:rPr>
      </w:pPr>
      <w:r w:rsidRPr="001A7517">
        <w:rPr>
          <w:b/>
          <w:szCs w:val="24"/>
        </w:rPr>
        <w:t xml:space="preserve">Section </w:t>
      </w:r>
      <w:bookmarkStart w:id="4526" w:name="_Hlk27063315"/>
      <w:r w:rsidRPr="001A7517">
        <w:rPr>
          <w:b/>
          <w:szCs w:val="24"/>
        </w:rPr>
        <w:t>611.1057</w:t>
      </w:r>
      <w:bookmarkEnd w:id="4526"/>
      <w:r w:rsidRPr="001A7517">
        <w:rPr>
          <w:b/>
          <w:szCs w:val="24"/>
        </w:rPr>
        <w:t xml:space="preserve">  Routine Monitoring Requirements for PWSs That Serve More Than 1,000 People</w:t>
      </w:r>
    </w:p>
    <w:p w14:paraId="45A3A9C2"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General</w:t>
      </w:r>
    </w:p>
    <w:p w14:paraId="32B452AA"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The provisions of this Section apply to public water systems serving more than 1,000 persons.</w:t>
      </w:r>
    </w:p>
    <w:p w14:paraId="4AD41FC5" w14:textId="77777777" w:rsidR="00057FFC" w:rsidRPr="001A7517" w:rsidRDefault="00057FFC" w:rsidP="00057FFC">
      <w:pPr>
        <w:spacing w:before="240" w:after="240"/>
        <w:ind w:left="2160" w:hanging="720"/>
        <w:rPr>
          <w:szCs w:val="24"/>
        </w:rPr>
      </w:pPr>
      <w:r w:rsidRPr="001A7517">
        <w:rPr>
          <w:szCs w:val="24"/>
        </w:rPr>
        <w:lastRenderedPageBreak/>
        <w:t>2)</w:t>
      </w:r>
      <w:r w:rsidRPr="001A7517">
        <w:rPr>
          <w:szCs w:val="24"/>
        </w:rPr>
        <w:tab/>
        <w:t xml:space="preserve">Following any total coliform-positive sample taken under the provisions of this Section, the supplier must comply with the repeat monitoring requirements and </w:t>
      </w:r>
      <w:r w:rsidRPr="001A7517">
        <w:rPr>
          <w:iCs/>
          <w:szCs w:val="24"/>
        </w:rPr>
        <w:t xml:space="preserve">E. coli </w:t>
      </w:r>
      <w:r w:rsidRPr="001A7517">
        <w:rPr>
          <w:szCs w:val="24"/>
        </w:rPr>
        <w:t>analytical requirements in Section 611.1058.</w:t>
      </w:r>
    </w:p>
    <w:p w14:paraId="46D3A481"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405ABDD5"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Seasonal Systems</w:t>
      </w:r>
    </w:p>
    <w:p w14:paraId="74316D77"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A seasonal system supplier must demonstrate completion of an Agency-approved start-up procedure, which may include a requirement for start-up sampling prior to serving water to the public.</w:t>
      </w:r>
    </w:p>
    <w:p w14:paraId="27416D50"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The Agency may, by a SEP, exempt any seasonal system supplier from some or all of the requirements for seasonal system suppliers if the supplier’s entire distribution system remains pressurized during the entire period that the supplier’s system is not operating.</w:t>
      </w:r>
    </w:p>
    <w:p w14:paraId="140B4BF0"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 xml:space="preserve">Monitoring Frequency for Total Coliforms.  </w:t>
      </w:r>
      <w:r w:rsidRPr="001A7517">
        <w:rPr>
          <w:szCs w:val="24"/>
        </w:rPr>
        <w:t>The monitoring frequency for total coliforms is based on the population served by the supplier’s system, as follows:</w:t>
      </w:r>
    </w:p>
    <w:p w14:paraId="106D00AB" w14:textId="77777777" w:rsidR="00057FFC" w:rsidRPr="001A7517" w:rsidRDefault="00057FFC" w:rsidP="00057FFC">
      <w:pPr>
        <w:spacing w:before="240" w:after="240"/>
        <w:ind w:left="2160" w:right="720"/>
        <w:jc w:val="center"/>
        <w:rPr>
          <w:szCs w:val="24"/>
        </w:rPr>
      </w:pPr>
      <w:r w:rsidRPr="001A7517">
        <w:rPr>
          <w:szCs w:val="24"/>
        </w:rPr>
        <w:t>Total Coliform Monitoring Frequency for Public Water Systems Serving More Than 1,000 People</w:t>
      </w:r>
    </w:p>
    <w:tbl>
      <w:tblPr>
        <w:tblStyle w:val="TableGrid"/>
        <w:tblW w:w="720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2674"/>
        <w:gridCol w:w="4526"/>
      </w:tblGrid>
      <w:tr w:rsidR="00057FFC" w:rsidRPr="001A7517" w14:paraId="427CCA2B" w14:textId="77777777" w:rsidTr="00623210">
        <w:tc>
          <w:tcPr>
            <w:tcW w:w="2674" w:type="dxa"/>
            <w:vAlign w:val="bottom"/>
          </w:tcPr>
          <w:p w14:paraId="40BF68BA" w14:textId="77777777" w:rsidR="00057FFC" w:rsidRPr="001A7517" w:rsidRDefault="00057FFC" w:rsidP="00623210">
            <w:pPr>
              <w:keepNext/>
              <w:keepLines/>
              <w:spacing w:after="240"/>
              <w:rPr>
                <w:szCs w:val="24"/>
              </w:rPr>
            </w:pPr>
            <w:r w:rsidRPr="001A7517">
              <w:rPr>
                <w:szCs w:val="24"/>
              </w:rPr>
              <w:t>Population served</w:t>
            </w:r>
          </w:p>
        </w:tc>
        <w:tc>
          <w:tcPr>
            <w:tcW w:w="4526" w:type="dxa"/>
            <w:vAlign w:val="bottom"/>
          </w:tcPr>
          <w:p w14:paraId="0A2181CA" w14:textId="77777777" w:rsidR="00057FFC" w:rsidRPr="001A7517" w:rsidRDefault="00057FFC" w:rsidP="00623210">
            <w:pPr>
              <w:keepNext/>
              <w:keepLines/>
              <w:spacing w:after="240"/>
              <w:ind w:right="310"/>
              <w:jc w:val="center"/>
              <w:rPr>
                <w:szCs w:val="24"/>
              </w:rPr>
            </w:pPr>
            <w:r w:rsidRPr="001A7517">
              <w:rPr>
                <w:szCs w:val="24"/>
              </w:rPr>
              <w:t>Minimum number of samples per month</w:t>
            </w:r>
          </w:p>
        </w:tc>
      </w:tr>
      <w:tr w:rsidR="00057FFC" w:rsidRPr="001A7517" w14:paraId="3B846944" w14:textId="77777777" w:rsidTr="00623210">
        <w:tc>
          <w:tcPr>
            <w:tcW w:w="2674" w:type="dxa"/>
          </w:tcPr>
          <w:p w14:paraId="4864BEC5" w14:textId="77777777" w:rsidR="00057FFC" w:rsidRPr="001A7517" w:rsidRDefault="00057FFC" w:rsidP="00623210">
            <w:pPr>
              <w:rPr>
                <w:szCs w:val="24"/>
              </w:rPr>
            </w:pPr>
            <w:r w:rsidRPr="001A7517">
              <w:rPr>
                <w:szCs w:val="24"/>
              </w:rPr>
              <w:t>1,001 to 2,500</w:t>
            </w:r>
          </w:p>
        </w:tc>
        <w:tc>
          <w:tcPr>
            <w:tcW w:w="4526" w:type="dxa"/>
          </w:tcPr>
          <w:p w14:paraId="5BF75BAA" w14:textId="77777777" w:rsidR="00057FFC" w:rsidRPr="001A7517" w:rsidRDefault="00057FFC" w:rsidP="00623210">
            <w:pPr>
              <w:jc w:val="center"/>
              <w:rPr>
                <w:szCs w:val="24"/>
              </w:rPr>
            </w:pPr>
            <w:r w:rsidRPr="001A7517">
              <w:rPr>
                <w:szCs w:val="24"/>
              </w:rPr>
              <w:t>2</w:t>
            </w:r>
          </w:p>
        </w:tc>
      </w:tr>
      <w:tr w:rsidR="00057FFC" w:rsidRPr="001A7517" w14:paraId="026D92A4" w14:textId="77777777" w:rsidTr="00623210">
        <w:tc>
          <w:tcPr>
            <w:tcW w:w="2674" w:type="dxa"/>
          </w:tcPr>
          <w:p w14:paraId="61C72DBE" w14:textId="77777777" w:rsidR="00057FFC" w:rsidRPr="001A7517" w:rsidRDefault="00057FFC" w:rsidP="00623210">
            <w:pPr>
              <w:rPr>
                <w:szCs w:val="24"/>
              </w:rPr>
            </w:pPr>
            <w:r w:rsidRPr="001A7517">
              <w:rPr>
                <w:szCs w:val="24"/>
              </w:rPr>
              <w:t>2,501 to 3,300</w:t>
            </w:r>
          </w:p>
        </w:tc>
        <w:tc>
          <w:tcPr>
            <w:tcW w:w="4526" w:type="dxa"/>
          </w:tcPr>
          <w:p w14:paraId="3132BC46" w14:textId="77777777" w:rsidR="00057FFC" w:rsidRPr="001A7517" w:rsidRDefault="00057FFC" w:rsidP="00623210">
            <w:pPr>
              <w:jc w:val="center"/>
              <w:rPr>
                <w:szCs w:val="24"/>
              </w:rPr>
            </w:pPr>
            <w:r w:rsidRPr="001A7517">
              <w:rPr>
                <w:szCs w:val="24"/>
              </w:rPr>
              <w:t>3</w:t>
            </w:r>
          </w:p>
        </w:tc>
      </w:tr>
      <w:tr w:rsidR="00057FFC" w:rsidRPr="001A7517" w14:paraId="7B90DDEF" w14:textId="77777777" w:rsidTr="00623210">
        <w:tc>
          <w:tcPr>
            <w:tcW w:w="2674" w:type="dxa"/>
          </w:tcPr>
          <w:p w14:paraId="409F3C73" w14:textId="77777777" w:rsidR="00057FFC" w:rsidRPr="001A7517" w:rsidRDefault="00057FFC" w:rsidP="00623210">
            <w:pPr>
              <w:rPr>
                <w:szCs w:val="24"/>
              </w:rPr>
            </w:pPr>
            <w:r w:rsidRPr="001A7517">
              <w:rPr>
                <w:szCs w:val="24"/>
              </w:rPr>
              <w:t>3,301 to 4,100</w:t>
            </w:r>
          </w:p>
        </w:tc>
        <w:tc>
          <w:tcPr>
            <w:tcW w:w="4526" w:type="dxa"/>
          </w:tcPr>
          <w:p w14:paraId="37DEDB53" w14:textId="77777777" w:rsidR="00057FFC" w:rsidRPr="001A7517" w:rsidRDefault="00057FFC" w:rsidP="00623210">
            <w:pPr>
              <w:jc w:val="center"/>
              <w:rPr>
                <w:szCs w:val="24"/>
              </w:rPr>
            </w:pPr>
            <w:r w:rsidRPr="001A7517">
              <w:rPr>
                <w:szCs w:val="24"/>
              </w:rPr>
              <w:t>4</w:t>
            </w:r>
          </w:p>
        </w:tc>
      </w:tr>
      <w:tr w:rsidR="00057FFC" w:rsidRPr="001A7517" w14:paraId="048E9606" w14:textId="77777777" w:rsidTr="00623210">
        <w:tc>
          <w:tcPr>
            <w:tcW w:w="2674" w:type="dxa"/>
          </w:tcPr>
          <w:p w14:paraId="7F9F1168" w14:textId="77777777" w:rsidR="00057FFC" w:rsidRPr="001A7517" w:rsidRDefault="00057FFC" w:rsidP="00623210">
            <w:pPr>
              <w:rPr>
                <w:szCs w:val="24"/>
              </w:rPr>
            </w:pPr>
            <w:r w:rsidRPr="001A7517">
              <w:rPr>
                <w:szCs w:val="24"/>
              </w:rPr>
              <w:t>4,101 to 4,900</w:t>
            </w:r>
          </w:p>
        </w:tc>
        <w:tc>
          <w:tcPr>
            <w:tcW w:w="4526" w:type="dxa"/>
          </w:tcPr>
          <w:p w14:paraId="146BBF17" w14:textId="77777777" w:rsidR="00057FFC" w:rsidRPr="001A7517" w:rsidRDefault="00057FFC" w:rsidP="00623210">
            <w:pPr>
              <w:jc w:val="center"/>
              <w:rPr>
                <w:szCs w:val="24"/>
              </w:rPr>
            </w:pPr>
            <w:r w:rsidRPr="001A7517">
              <w:rPr>
                <w:szCs w:val="24"/>
              </w:rPr>
              <w:t>5</w:t>
            </w:r>
          </w:p>
        </w:tc>
      </w:tr>
      <w:tr w:rsidR="00057FFC" w:rsidRPr="001A7517" w14:paraId="4FE27385" w14:textId="77777777" w:rsidTr="00623210">
        <w:tc>
          <w:tcPr>
            <w:tcW w:w="2674" w:type="dxa"/>
          </w:tcPr>
          <w:p w14:paraId="6D1E0E49" w14:textId="77777777" w:rsidR="00057FFC" w:rsidRPr="001A7517" w:rsidRDefault="00057FFC" w:rsidP="00623210">
            <w:pPr>
              <w:rPr>
                <w:szCs w:val="24"/>
              </w:rPr>
            </w:pPr>
            <w:r w:rsidRPr="001A7517">
              <w:rPr>
                <w:szCs w:val="24"/>
              </w:rPr>
              <w:t>4,901 to 5,800</w:t>
            </w:r>
          </w:p>
        </w:tc>
        <w:tc>
          <w:tcPr>
            <w:tcW w:w="4526" w:type="dxa"/>
          </w:tcPr>
          <w:p w14:paraId="351709DF" w14:textId="77777777" w:rsidR="00057FFC" w:rsidRPr="001A7517" w:rsidRDefault="00057FFC" w:rsidP="00623210">
            <w:pPr>
              <w:jc w:val="center"/>
              <w:rPr>
                <w:szCs w:val="24"/>
              </w:rPr>
            </w:pPr>
            <w:r w:rsidRPr="001A7517">
              <w:rPr>
                <w:szCs w:val="24"/>
              </w:rPr>
              <w:t>6</w:t>
            </w:r>
          </w:p>
        </w:tc>
      </w:tr>
      <w:tr w:rsidR="00057FFC" w:rsidRPr="001A7517" w14:paraId="6124E06F" w14:textId="77777777" w:rsidTr="00623210">
        <w:tc>
          <w:tcPr>
            <w:tcW w:w="2674" w:type="dxa"/>
          </w:tcPr>
          <w:p w14:paraId="3D76A868" w14:textId="77777777" w:rsidR="00057FFC" w:rsidRPr="001A7517" w:rsidRDefault="00057FFC" w:rsidP="00623210">
            <w:pPr>
              <w:rPr>
                <w:szCs w:val="24"/>
              </w:rPr>
            </w:pPr>
            <w:r w:rsidRPr="001A7517">
              <w:rPr>
                <w:szCs w:val="24"/>
              </w:rPr>
              <w:t>5,801 to 6,700</w:t>
            </w:r>
          </w:p>
        </w:tc>
        <w:tc>
          <w:tcPr>
            <w:tcW w:w="4526" w:type="dxa"/>
          </w:tcPr>
          <w:p w14:paraId="0C2777A0" w14:textId="77777777" w:rsidR="00057FFC" w:rsidRPr="001A7517" w:rsidRDefault="00057FFC" w:rsidP="00623210">
            <w:pPr>
              <w:jc w:val="center"/>
              <w:rPr>
                <w:szCs w:val="24"/>
              </w:rPr>
            </w:pPr>
            <w:r w:rsidRPr="001A7517">
              <w:rPr>
                <w:szCs w:val="24"/>
              </w:rPr>
              <w:t>7</w:t>
            </w:r>
          </w:p>
        </w:tc>
      </w:tr>
      <w:tr w:rsidR="00057FFC" w:rsidRPr="001A7517" w14:paraId="190DF082" w14:textId="77777777" w:rsidTr="00623210">
        <w:tc>
          <w:tcPr>
            <w:tcW w:w="2674" w:type="dxa"/>
          </w:tcPr>
          <w:p w14:paraId="5EC2DBB6" w14:textId="77777777" w:rsidR="00057FFC" w:rsidRPr="001A7517" w:rsidRDefault="00057FFC" w:rsidP="00623210">
            <w:pPr>
              <w:rPr>
                <w:szCs w:val="24"/>
              </w:rPr>
            </w:pPr>
            <w:r w:rsidRPr="001A7517">
              <w:rPr>
                <w:szCs w:val="24"/>
              </w:rPr>
              <w:t>6,701 to 7,600</w:t>
            </w:r>
          </w:p>
        </w:tc>
        <w:tc>
          <w:tcPr>
            <w:tcW w:w="4526" w:type="dxa"/>
          </w:tcPr>
          <w:p w14:paraId="7473C9B4" w14:textId="77777777" w:rsidR="00057FFC" w:rsidRPr="001A7517" w:rsidRDefault="00057FFC" w:rsidP="00623210">
            <w:pPr>
              <w:jc w:val="center"/>
              <w:rPr>
                <w:szCs w:val="24"/>
              </w:rPr>
            </w:pPr>
            <w:r w:rsidRPr="001A7517">
              <w:rPr>
                <w:szCs w:val="24"/>
              </w:rPr>
              <w:t>8</w:t>
            </w:r>
          </w:p>
        </w:tc>
      </w:tr>
      <w:tr w:rsidR="00057FFC" w:rsidRPr="001A7517" w14:paraId="3BDD7857" w14:textId="77777777" w:rsidTr="00623210">
        <w:tc>
          <w:tcPr>
            <w:tcW w:w="2674" w:type="dxa"/>
          </w:tcPr>
          <w:p w14:paraId="46D07747" w14:textId="77777777" w:rsidR="00057FFC" w:rsidRPr="001A7517" w:rsidRDefault="00057FFC" w:rsidP="00623210">
            <w:pPr>
              <w:rPr>
                <w:szCs w:val="24"/>
              </w:rPr>
            </w:pPr>
            <w:r w:rsidRPr="001A7517">
              <w:rPr>
                <w:szCs w:val="24"/>
              </w:rPr>
              <w:t>7,601 to 8,500</w:t>
            </w:r>
          </w:p>
        </w:tc>
        <w:tc>
          <w:tcPr>
            <w:tcW w:w="4526" w:type="dxa"/>
          </w:tcPr>
          <w:p w14:paraId="467CC6A5" w14:textId="77777777" w:rsidR="00057FFC" w:rsidRPr="001A7517" w:rsidRDefault="00057FFC" w:rsidP="00623210">
            <w:pPr>
              <w:jc w:val="center"/>
              <w:rPr>
                <w:szCs w:val="24"/>
              </w:rPr>
            </w:pPr>
            <w:r w:rsidRPr="001A7517">
              <w:rPr>
                <w:szCs w:val="24"/>
              </w:rPr>
              <w:t>9</w:t>
            </w:r>
          </w:p>
        </w:tc>
      </w:tr>
      <w:tr w:rsidR="00057FFC" w:rsidRPr="001A7517" w14:paraId="472D8AF5" w14:textId="77777777" w:rsidTr="00623210">
        <w:tc>
          <w:tcPr>
            <w:tcW w:w="2674" w:type="dxa"/>
          </w:tcPr>
          <w:p w14:paraId="3A5E77A0" w14:textId="77777777" w:rsidR="00057FFC" w:rsidRPr="001A7517" w:rsidRDefault="00057FFC" w:rsidP="00623210">
            <w:pPr>
              <w:rPr>
                <w:szCs w:val="24"/>
              </w:rPr>
            </w:pPr>
            <w:r w:rsidRPr="001A7517">
              <w:rPr>
                <w:szCs w:val="24"/>
              </w:rPr>
              <w:t>8,501 to 12,900</w:t>
            </w:r>
          </w:p>
        </w:tc>
        <w:tc>
          <w:tcPr>
            <w:tcW w:w="4526" w:type="dxa"/>
          </w:tcPr>
          <w:p w14:paraId="551FFCAE" w14:textId="77777777" w:rsidR="00057FFC" w:rsidRPr="001A7517" w:rsidRDefault="00057FFC" w:rsidP="00623210">
            <w:pPr>
              <w:jc w:val="center"/>
              <w:rPr>
                <w:szCs w:val="24"/>
              </w:rPr>
            </w:pPr>
            <w:r w:rsidRPr="001A7517">
              <w:rPr>
                <w:szCs w:val="24"/>
              </w:rPr>
              <w:t>10</w:t>
            </w:r>
          </w:p>
        </w:tc>
      </w:tr>
      <w:tr w:rsidR="00057FFC" w:rsidRPr="001A7517" w14:paraId="3698A151" w14:textId="77777777" w:rsidTr="00623210">
        <w:tc>
          <w:tcPr>
            <w:tcW w:w="2674" w:type="dxa"/>
          </w:tcPr>
          <w:p w14:paraId="3938BA7D" w14:textId="77777777" w:rsidR="00057FFC" w:rsidRPr="001A7517" w:rsidRDefault="00057FFC" w:rsidP="00623210">
            <w:pPr>
              <w:rPr>
                <w:szCs w:val="24"/>
              </w:rPr>
            </w:pPr>
            <w:r w:rsidRPr="001A7517">
              <w:rPr>
                <w:szCs w:val="24"/>
              </w:rPr>
              <w:t>12,901 to 17,200</w:t>
            </w:r>
          </w:p>
        </w:tc>
        <w:tc>
          <w:tcPr>
            <w:tcW w:w="4526" w:type="dxa"/>
          </w:tcPr>
          <w:p w14:paraId="50570CF3" w14:textId="77777777" w:rsidR="00057FFC" w:rsidRPr="001A7517" w:rsidRDefault="00057FFC" w:rsidP="00623210">
            <w:pPr>
              <w:jc w:val="center"/>
              <w:rPr>
                <w:szCs w:val="24"/>
              </w:rPr>
            </w:pPr>
            <w:r w:rsidRPr="001A7517">
              <w:rPr>
                <w:szCs w:val="24"/>
              </w:rPr>
              <w:t>15</w:t>
            </w:r>
          </w:p>
        </w:tc>
      </w:tr>
      <w:tr w:rsidR="00057FFC" w:rsidRPr="001A7517" w14:paraId="39BECF6E" w14:textId="77777777" w:rsidTr="00623210">
        <w:tc>
          <w:tcPr>
            <w:tcW w:w="2674" w:type="dxa"/>
          </w:tcPr>
          <w:p w14:paraId="18716E81" w14:textId="77777777" w:rsidR="00057FFC" w:rsidRPr="001A7517" w:rsidRDefault="00057FFC" w:rsidP="00623210">
            <w:pPr>
              <w:rPr>
                <w:szCs w:val="24"/>
              </w:rPr>
            </w:pPr>
            <w:r w:rsidRPr="001A7517">
              <w:rPr>
                <w:szCs w:val="24"/>
              </w:rPr>
              <w:t>17,201 to 21,500</w:t>
            </w:r>
          </w:p>
        </w:tc>
        <w:tc>
          <w:tcPr>
            <w:tcW w:w="4526" w:type="dxa"/>
          </w:tcPr>
          <w:p w14:paraId="52A908AE" w14:textId="77777777" w:rsidR="00057FFC" w:rsidRPr="001A7517" w:rsidRDefault="00057FFC" w:rsidP="00623210">
            <w:pPr>
              <w:jc w:val="center"/>
              <w:rPr>
                <w:szCs w:val="24"/>
              </w:rPr>
            </w:pPr>
            <w:r w:rsidRPr="001A7517">
              <w:rPr>
                <w:szCs w:val="24"/>
              </w:rPr>
              <w:t>20</w:t>
            </w:r>
          </w:p>
        </w:tc>
      </w:tr>
      <w:tr w:rsidR="00057FFC" w:rsidRPr="001A7517" w14:paraId="4BB50DA5" w14:textId="77777777" w:rsidTr="00623210">
        <w:tc>
          <w:tcPr>
            <w:tcW w:w="2674" w:type="dxa"/>
          </w:tcPr>
          <w:p w14:paraId="68288F18" w14:textId="77777777" w:rsidR="00057FFC" w:rsidRPr="001A7517" w:rsidRDefault="00057FFC" w:rsidP="00623210">
            <w:pPr>
              <w:rPr>
                <w:szCs w:val="24"/>
              </w:rPr>
            </w:pPr>
            <w:r w:rsidRPr="001A7517">
              <w:rPr>
                <w:szCs w:val="24"/>
              </w:rPr>
              <w:t>21,501 to 25,000</w:t>
            </w:r>
          </w:p>
        </w:tc>
        <w:tc>
          <w:tcPr>
            <w:tcW w:w="4526" w:type="dxa"/>
          </w:tcPr>
          <w:p w14:paraId="77066747" w14:textId="77777777" w:rsidR="00057FFC" w:rsidRPr="001A7517" w:rsidRDefault="00057FFC" w:rsidP="00623210">
            <w:pPr>
              <w:jc w:val="center"/>
              <w:rPr>
                <w:szCs w:val="24"/>
              </w:rPr>
            </w:pPr>
            <w:r w:rsidRPr="001A7517">
              <w:rPr>
                <w:szCs w:val="24"/>
              </w:rPr>
              <w:t>25</w:t>
            </w:r>
          </w:p>
        </w:tc>
      </w:tr>
      <w:tr w:rsidR="00057FFC" w:rsidRPr="001A7517" w14:paraId="478384D2" w14:textId="77777777" w:rsidTr="00623210">
        <w:tc>
          <w:tcPr>
            <w:tcW w:w="2674" w:type="dxa"/>
          </w:tcPr>
          <w:p w14:paraId="7BD960B5" w14:textId="77777777" w:rsidR="00057FFC" w:rsidRPr="001A7517" w:rsidRDefault="00057FFC" w:rsidP="00623210">
            <w:pPr>
              <w:rPr>
                <w:szCs w:val="24"/>
              </w:rPr>
            </w:pPr>
            <w:r w:rsidRPr="001A7517">
              <w:rPr>
                <w:szCs w:val="24"/>
              </w:rPr>
              <w:t>25,001 to 33,000</w:t>
            </w:r>
          </w:p>
        </w:tc>
        <w:tc>
          <w:tcPr>
            <w:tcW w:w="4526" w:type="dxa"/>
          </w:tcPr>
          <w:p w14:paraId="5D6003ED" w14:textId="77777777" w:rsidR="00057FFC" w:rsidRPr="001A7517" w:rsidRDefault="00057FFC" w:rsidP="00623210">
            <w:pPr>
              <w:jc w:val="center"/>
              <w:rPr>
                <w:szCs w:val="24"/>
              </w:rPr>
            </w:pPr>
            <w:r w:rsidRPr="001A7517">
              <w:rPr>
                <w:szCs w:val="24"/>
              </w:rPr>
              <w:t>30</w:t>
            </w:r>
          </w:p>
        </w:tc>
      </w:tr>
      <w:tr w:rsidR="00057FFC" w:rsidRPr="001A7517" w14:paraId="4C1C6F46" w14:textId="77777777" w:rsidTr="00623210">
        <w:tc>
          <w:tcPr>
            <w:tcW w:w="2674" w:type="dxa"/>
          </w:tcPr>
          <w:p w14:paraId="1B8B5172" w14:textId="77777777" w:rsidR="00057FFC" w:rsidRPr="001A7517" w:rsidRDefault="00057FFC" w:rsidP="00623210">
            <w:pPr>
              <w:rPr>
                <w:szCs w:val="24"/>
              </w:rPr>
            </w:pPr>
            <w:r w:rsidRPr="001A7517">
              <w:rPr>
                <w:szCs w:val="24"/>
              </w:rPr>
              <w:t>33,001 to 41,000</w:t>
            </w:r>
          </w:p>
        </w:tc>
        <w:tc>
          <w:tcPr>
            <w:tcW w:w="4526" w:type="dxa"/>
          </w:tcPr>
          <w:p w14:paraId="4AC03E22" w14:textId="77777777" w:rsidR="00057FFC" w:rsidRPr="001A7517" w:rsidRDefault="00057FFC" w:rsidP="00623210">
            <w:pPr>
              <w:jc w:val="center"/>
              <w:rPr>
                <w:szCs w:val="24"/>
              </w:rPr>
            </w:pPr>
            <w:r w:rsidRPr="001A7517">
              <w:rPr>
                <w:szCs w:val="24"/>
              </w:rPr>
              <w:t>40</w:t>
            </w:r>
          </w:p>
        </w:tc>
      </w:tr>
      <w:tr w:rsidR="00057FFC" w:rsidRPr="001A7517" w14:paraId="648B9493" w14:textId="77777777" w:rsidTr="00623210">
        <w:tc>
          <w:tcPr>
            <w:tcW w:w="2674" w:type="dxa"/>
          </w:tcPr>
          <w:p w14:paraId="79E5B0DC" w14:textId="77777777" w:rsidR="00057FFC" w:rsidRPr="001A7517" w:rsidRDefault="00057FFC" w:rsidP="00623210">
            <w:pPr>
              <w:rPr>
                <w:szCs w:val="24"/>
              </w:rPr>
            </w:pPr>
            <w:r w:rsidRPr="001A7517">
              <w:rPr>
                <w:szCs w:val="24"/>
              </w:rPr>
              <w:t>41,001 to 50,000</w:t>
            </w:r>
          </w:p>
        </w:tc>
        <w:tc>
          <w:tcPr>
            <w:tcW w:w="4526" w:type="dxa"/>
          </w:tcPr>
          <w:p w14:paraId="7BBEDF5B" w14:textId="77777777" w:rsidR="00057FFC" w:rsidRPr="001A7517" w:rsidRDefault="00057FFC" w:rsidP="00623210">
            <w:pPr>
              <w:jc w:val="center"/>
              <w:rPr>
                <w:szCs w:val="24"/>
              </w:rPr>
            </w:pPr>
            <w:r w:rsidRPr="001A7517">
              <w:rPr>
                <w:szCs w:val="24"/>
              </w:rPr>
              <w:t>50</w:t>
            </w:r>
          </w:p>
        </w:tc>
      </w:tr>
      <w:tr w:rsidR="00057FFC" w:rsidRPr="001A7517" w14:paraId="77F14CF2" w14:textId="77777777" w:rsidTr="00623210">
        <w:tc>
          <w:tcPr>
            <w:tcW w:w="2674" w:type="dxa"/>
          </w:tcPr>
          <w:p w14:paraId="59CFC89B" w14:textId="77777777" w:rsidR="00057FFC" w:rsidRPr="001A7517" w:rsidRDefault="00057FFC" w:rsidP="00623210">
            <w:pPr>
              <w:rPr>
                <w:szCs w:val="24"/>
              </w:rPr>
            </w:pPr>
            <w:r w:rsidRPr="001A7517">
              <w:rPr>
                <w:szCs w:val="24"/>
              </w:rPr>
              <w:t>50,001 to 59,000</w:t>
            </w:r>
          </w:p>
        </w:tc>
        <w:tc>
          <w:tcPr>
            <w:tcW w:w="4526" w:type="dxa"/>
          </w:tcPr>
          <w:p w14:paraId="134FD028" w14:textId="77777777" w:rsidR="00057FFC" w:rsidRPr="001A7517" w:rsidRDefault="00057FFC" w:rsidP="00623210">
            <w:pPr>
              <w:jc w:val="center"/>
              <w:rPr>
                <w:szCs w:val="24"/>
              </w:rPr>
            </w:pPr>
            <w:r w:rsidRPr="001A7517">
              <w:rPr>
                <w:szCs w:val="24"/>
              </w:rPr>
              <w:t>60</w:t>
            </w:r>
          </w:p>
        </w:tc>
      </w:tr>
      <w:tr w:rsidR="00057FFC" w:rsidRPr="001A7517" w14:paraId="0AA0D352" w14:textId="77777777" w:rsidTr="00623210">
        <w:tc>
          <w:tcPr>
            <w:tcW w:w="2674" w:type="dxa"/>
          </w:tcPr>
          <w:p w14:paraId="7F21C583" w14:textId="77777777" w:rsidR="00057FFC" w:rsidRPr="001A7517" w:rsidRDefault="00057FFC" w:rsidP="00623210">
            <w:pPr>
              <w:rPr>
                <w:szCs w:val="24"/>
              </w:rPr>
            </w:pPr>
            <w:r w:rsidRPr="001A7517">
              <w:rPr>
                <w:szCs w:val="24"/>
              </w:rPr>
              <w:lastRenderedPageBreak/>
              <w:t>59,001 to 70,000</w:t>
            </w:r>
          </w:p>
        </w:tc>
        <w:tc>
          <w:tcPr>
            <w:tcW w:w="4526" w:type="dxa"/>
          </w:tcPr>
          <w:p w14:paraId="4DA33E7B" w14:textId="77777777" w:rsidR="00057FFC" w:rsidRPr="001A7517" w:rsidRDefault="00057FFC" w:rsidP="00623210">
            <w:pPr>
              <w:jc w:val="center"/>
              <w:rPr>
                <w:szCs w:val="24"/>
              </w:rPr>
            </w:pPr>
            <w:r w:rsidRPr="001A7517">
              <w:rPr>
                <w:szCs w:val="24"/>
              </w:rPr>
              <w:t>70</w:t>
            </w:r>
          </w:p>
        </w:tc>
      </w:tr>
      <w:tr w:rsidR="00057FFC" w:rsidRPr="001A7517" w14:paraId="00300133" w14:textId="77777777" w:rsidTr="00623210">
        <w:tc>
          <w:tcPr>
            <w:tcW w:w="2674" w:type="dxa"/>
          </w:tcPr>
          <w:p w14:paraId="56D7B413" w14:textId="77777777" w:rsidR="00057FFC" w:rsidRPr="001A7517" w:rsidRDefault="00057FFC" w:rsidP="00623210">
            <w:pPr>
              <w:rPr>
                <w:szCs w:val="24"/>
              </w:rPr>
            </w:pPr>
            <w:r w:rsidRPr="001A7517">
              <w:rPr>
                <w:szCs w:val="24"/>
              </w:rPr>
              <w:t>70,001 to 83,000</w:t>
            </w:r>
          </w:p>
        </w:tc>
        <w:tc>
          <w:tcPr>
            <w:tcW w:w="4526" w:type="dxa"/>
          </w:tcPr>
          <w:p w14:paraId="2C241B17" w14:textId="77777777" w:rsidR="00057FFC" w:rsidRPr="001A7517" w:rsidRDefault="00057FFC" w:rsidP="00623210">
            <w:pPr>
              <w:jc w:val="center"/>
              <w:rPr>
                <w:szCs w:val="24"/>
              </w:rPr>
            </w:pPr>
            <w:r w:rsidRPr="001A7517">
              <w:rPr>
                <w:szCs w:val="24"/>
              </w:rPr>
              <w:t>80</w:t>
            </w:r>
          </w:p>
        </w:tc>
      </w:tr>
      <w:tr w:rsidR="00057FFC" w:rsidRPr="001A7517" w14:paraId="36222B9B" w14:textId="77777777" w:rsidTr="00623210">
        <w:tc>
          <w:tcPr>
            <w:tcW w:w="2674" w:type="dxa"/>
          </w:tcPr>
          <w:p w14:paraId="4CAAABB6" w14:textId="77777777" w:rsidR="00057FFC" w:rsidRPr="001A7517" w:rsidRDefault="00057FFC" w:rsidP="00623210">
            <w:pPr>
              <w:rPr>
                <w:szCs w:val="24"/>
              </w:rPr>
            </w:pPr>
            <w:r w:rsidRPr="001A7517">
              <w:rPr>
                <w:szCs w:val="24"/>
              </w:rPr>
              <w:t>83,001 to 96,000</w:t>
            </w:r>
          </w:p>
        </w:tc>
        <w:tc>
          <w:tcPr>
            <w:tcW w:w="4526" w:type="dxa"/>
          </w:tcPr>
          <w:p w14:paraId="4A8A4913" w14:textId="77777777" w:rsidR="00057FFC" w:rsidRPr="001A7517" w:rsidRDefault="00057FFC" w:rsidP="00623210">
            <w:pPr>
              <w:jc w:val="center"/>
              <w:rPr>
                <w:szCs w:val="24"/>
              </w:rPr>
            </w:pPr>
            <w:r w:rsidRPr="001A7517">
              <w:rPr>
                <w:szCs w:val="24"/>
              </w:rPr>
              <w:t>90</w:t>
            </w:r>
          </w:p>
        </w:tc>
      </w:tr>
      <w:tr w:rsidR="00057FFC" w:rsidRPr="001A7517" w14:paraId="63B40176" w14:textId="77777777" w:rsidTr="00623210">
        <w:tc>
          <w:tcPr>
            <w:tcW w:w="2674" w:type="dxa"/>
          </w:tcPr>
          <w:p w14:paraId="57EF9AA5" w14:textId="77777777" w:rsidR="00057FFC" w:rsidRPr="001A7517" w:rsidRDefault="00057FFC" w:rsidP="00623210">
            <w:pPr>
              <w:rPr>
                <w:szCs w:val="24"/>
              </w:rPr>
            </w:pPr>
            <w:r w:rsidRPr="001A7517">
              <w:rPr>
                <w:szCs w:val="24"/>
              </w:rPr>
              <w:t>96,001 to 130,000</w:t>
            </w:r>
          </w:p>
        </w:tc>
        <w:tc>
          <w:tcPr>
            <w:tcW w:w="4526" w:type="dxa"/>
          </w:tcPr>
          <w:p w14:paraId="1E0C94C5" w14:textId="77777777" w:rsidR="00057FFC" w:rsidRPr="001A7517" w:rsidRDefault="00057FFC" w:rsidP="00623210">
            <w:pPr>
              <w:jc w:val="center"/>
              <w:rPr>
                <w:szCs w:val="24"/>
              </w:rPr>
            </w:pPr>
            <w:r w:rsidRPr="001A7517">
              <w:rPr>
                <w:szCs w:val="24"/>
              </w:rPr>
              <w:t>100</w:t>
            </w:r>
          </w:p>
        </w:tc>
      </w:tr>
      <w:tr w:rsidR="00057FFC" w:rsidRPr="001A7517" w14:paraId="3D0940C7" w14:textId="77777777" w:rsidTr="00623210">
        <w:tc>
          <w:tcPr>
            <w:tcW w:w="2674" w:type="dxa"/>
          </w:tcPr>
          <w:p w14:paraId="0BA8F90B" w14:textId="77777777" w:rsidR="00057FFC" w:rsidRPr="001A7517" w:rsidRDefault="00057FFC" w:rsidP="00623210">
            <w:pPr>
              <w:rPr>
                <w:szCs w:val="24"/>
              </w:rPr>
            </w:pPr>
            <w:r w:rsidRPr="001A7517">
              <w:rPr>
                <w:szCs w:val="24"/>
              </w:rPr>
              <w:t>130,001 to 220,000</w:t>
            </w:r>
          </w:p>
        </w:tc>
        <w:tc>
          <w:tcPr>
            <w:tcW w:w="4526" w:type="dxa"/>
          </w:tcPr>
          <w:p w14:paraId="6C66C10F" w14:textId="77777777" w:rsidR="00057FFC" w:rsidRPr="001A7517" w:rsidRDefault="00057FFC" w:rsidP="00623210">
            <w:pPr>
              <w:jc w:val="center"/>
              <w:rPr>
                <w:szCs w:val="24"/>
              </w:rPr>
            </w:pPr>
            <w:r w:rsidRPr="001A7517">
              <w:rPr>
                <w:szCs w:val="24"/>
              </w:rPr>
              <w:t>120</w:t>
            </w:r>
          </w:p>
        </w:tc>
      </w:tr>
      <w:tr w:rsidR="00057FFC" w:rsidRPr="001A7517" w14:paraId="2CC56153" w14:textId="77777777" w:rsidTr="00623210">
        <w:tc>
          <w:tcPr>
            <w:tcW w:w="2674" w:type="dxa"/>
          </w:tcPr>
          <w:p w14:paraId="2706F487" w14:textId="77777777" w:rsidR="00057FFC" w:rsidRPr="001A7517" w:rsidRDefault="00057FFC" w:rsidP="00623210">
            <w:pPr>
              <w:rPr>
                <w:szCs w:val="24"/>
              </w:rPr>
            </w:pPr>
            <w:r w:rsidRPr="001A7517">
              <w:rPr>
                <w:szCs w:val="24"/>
              </w:rPr>
              <w:t>220,001 to 320,000</w:t>
            </w:r>
          </w:p>
        </w:tc>
        <w:tc>
          <w:tcPr>
            <w:tcW w:w="4526" w:type="dxa"/>
          </w:tcPr>
          <w:p w14:paraId="50DF978A" w14:textId="77777777" w:rsidR="00057FFC" w:rsidRPr="001A7517" w:rsidRDefault="00057FFC" w:rsidP="00623210">
            <w:pPr>
              <w:jc w:val="center"/>
              <w:rPr>
                <w:szCs w:val="24"/>
              </w:rPr>
            </w:pPr>
            <w:r w:rsidRPr="001A7517">
              <w:rPr>
                <w:szCs w:val="24"/>
              </w:rPr>
              <w:t>150</w:t>
            </w:r>
          </w:p>
        </w:tc>
      </w:tr>
      <w:tr w:rsidR="00057FFC" w:rsidRPr="001A7517" w14:paraId="6206CE00" w14:textId="77777777" w:rsidTr="00623210">
        <w:tc>
          <w:tcPr>
            <w:tcW w:w="2674" w:type="dxa"/>
          </w:tcPr>
          <w:p w14:paraId="2B337EFA" w14:textId="77777777" w:rsidR="00057FFC" w:rsidRPr="001A7517" w:rsidRDefault="00057FFC" w:rsidP="00623210">
            <w:pPr>
              <w:rPr>
                <w:szCs w:val="24"/>
              </w:rPr>
            </w:pPr>
            <w:r w:rsidRPr="001A7517">
              <w:rPr>
                <w:szCs w:val="24"/>
              </w:rPr>
              <w:t>320,001 to 450,000</w:t>
            </w:r>
          </w:p>
        </w:tc>
        <w:tc>
          <w:tcPr>
            <w:tcW w:w="4526" w:type="dxa"/>
          </w:tcPr>
          <w:p w14:paraId="719AFDC8" w14:textId="77777777" w:rsidR="00057FFC" w:rsidRPr="001A7517" w:rsidRDefault="00057FFC" w:rsidP="00623210">
            <w:pPr>
              <w:jc w:val="center"/>
              <w:rPr>
                <w:szCs w:val="24"/>
              </w:rPr>
            </w:pPr>
            <w:r w:rsidRPr="001A7517">
              <w:rPr>
                <w:szCs w:val="24"/>
              </w:rPr>
              <w:t>180</w:t>
            </w:r>
          </w:p>
        </w:tc>
      </w:tr>
      <w:tr w:rsidR="00057FFC" w:rsidRPr="001A7517" w14:paraId="0BA552F3" w14:textId="77777777" w:rsidTr="00623210">
        <w:tc>
          <w:tcPr>
            <w:tcW w:w="2674" w:type="dxa"/>
          </w:tcPr>
          <w:p w14:paraId="3A19C904" w14:textId="77777777" w:rsidR="00057FFC" w:rsidRPr="001A7517" w:rsidRDefault="00057FFC" w:rsidP="00623210">
            <w:pPr>
              <w:rPr>
                <w:szCs w:val="24"/>
              </w:rPr>
            </w:pPr>
            <w:r w:rsidRPr="001A7517">
              <w:rPr>
                <w:szCs w:val="24"/>
              </w:rPr>
              <w:t>450,001 to 600,000</w:t>
            </w:r>
          </w:p>
        </w:tc>
        <w:tc>
          <w:tcPr>
            <w:tcW w:w="4526" w:type="dxa"/>
          </w:tcPr>
          <w:p w14:paraId="0A417154" w14:textId="77777777" w:rsidR="00057FFC" w:rsidRPr="001A7517" w:rsidRDefault="00057FFC" w:rsidP="00623210">
            <w:pPr>
              <w:jc w:val="center"/>
              <w:rPr>
                <w:szCs w:val="24"/>
              </w:rPr>
            </w:pPr>
            <w:r w:rsidRPr="001A7517">
              <w:rPr>
                <w:szCs w:val="24"/>
              </w:rPr>
              <w:t>210</w:t>
            </w:r>
          </w:p>
        </w:tc>
      </w:tr>
      <w:tr w:rsidR="00057FFC" w:rsidRPr="001A7517" w14:paraId="259F739D" w14:textId="77777777" w:rsidTr="00623210">
        <w:tc>
          <w:tcPr>
            <w:tcW w:w="2674" w:type="dxa"/>
          </w:tcPr>
          <w:p w14:paraId="606BE6ED" w14:textId="77777777" w:rsidR="00057FFC" w:rsidRPr="001A7517" w:rsidRDefault="00057FFC" w:rsidP="00623210">
            <w:pPr>
              <w:rPr>
                <w:szCs w:val="24"/>
              </w:rPr>
            </w:pPr>
            <w:r w:rsidRPr="001A7517">
              <w:rPr>
                <w:szCs w:val="24"/>
              </w:rPr>
              <w:t>600,001 to 780,000</w:t>
            </w:r>
          </w:p>
        </w:tc>
        <w:tc>
          <w:tcPr>
            <w:tcW w:w="4526" w:type="dxa"/>
          </w:tcPr>
          <w:p w14:paraId="26870A36" w14:textId="77777777" w:rsidR="00057FFC" w:rsidRPr="001A7517" w:rsidRDefault="00057FFC" w:rsidP="00623210">
            <w:pPr>
              <w:jc w:val="center"/>
              <w:rPr>
                <w:szCs w:val="24"/>
              </w:rPr>
            </w:pPr>
            <w:r w:rsidRPr="001A7517">
              <w:rPr>
                <w:szCs w:val="24"/>
              </w:rPr>
              <w:t>240</w:t>
            </w:r>
          </w:p>
        </w:tc>
      </w:tr>
      <w:tr w:rsidR="00057FFC" w:rsidRPr="001A7517" w14:paraId="493C5EB6" w14:textId="77777777" w:rsidTr="00623210">
        <w:tc>
          <w:tcPr>
            <w:tcW w:w="2674" w:type="dxa"/>
          </w:tcPr>
          <w:p w14:paraId="71231823" w14:textId="77777777" w:rsidR="00057FFC" w:rsidRPr="001A7517" w:rsidRDefault="00057FFC" w:rsidP="00623210">
            <w:pPr>
              <w:rPr>
                <w:szCs w:val="24"/>
              </w:rPr>
            </w:pPr>
            <w:r w:rsidRPr="001A7517">
              <w:rPr>
                <w:szCs w:val="24"/>
              </w:rPr>
              <w:t>780,001 to 970,000</w:t>
            </w:r>
          </w:p>
        </w:tc>
        <w:tc>
          <w:tcPr>
            <w:tcW w:w="4526" w:type="dxa"/>
          </w:tcPr>
          <w:p w14:paraId="6A61E934" w14:textId="77777777" w:rsidR="00057FFC" w:rsidRPr="001A7517" w:rsidRDefault="00057FFC" w:rsidP="00623210">
            <w:pPr>
              <w:jc w:val="center"/>
              <w:rPr>
                <w:szCs w:val="24"/>
              </w:rPr>
            </w:pPr>
            <w:r w:rsidRPr="001A7517">
              <w:rPr>
                <w:szCs w:val="24"/>
              </w:rPr>
              <w:t>270</w:t>
            </w:r>
          </w:p>
        </w:tc>
      </w:tr>
      <w:tr w:rsidR="00057FFC" w:rsidRPr="001A7517" w14:paraId="028D7D08" w14:textId="77777777" w:rsidTr="00623210">
        <w:tc>
          <w:tcPr>
            <w:tcW w:w="2674" w:type="dxa"/>
          </w:tcPr>
          <w:p w14:paraId="2C0A3865" w14:textId="77777777" w:rsidR="00057FFC" w:rsidRPr="001A7517" w:rsidRDefault="00057FFC" w:rsidP="00623210">
            <w:pPr>
              <w:rPr>
                <w:szCs w:val="24"/>
              </w:rPr>
            </w:pPr>
            <w:r w:rsidRPr="001A7517">
              <w:rPr>
                <w:szCs w:val="24"/>
              </w:rPr>
              <w:t>970,001 to 1,230,000</w:t>
            </w:r>
          </w:p>
        </w:tc>
        <w:tc>
          <w:tcPr>
            <w:tcW w:w="4526" w:type="dxa"/>
          </w:tcPr>
          <w:p w14:paraId="1F225116" w14:textId="77777777" w:rsidR="00057FFC" w:rsidRPr="001A7517" w:rsidRDefault="00057FFC" w:rsidP="00623210">
            <w:pPr>
              <w:jc w:val="center"/>
              <w:rPr>
                <w:szCs w:val="24"/>
              </w:rPr>
            </w:pPr>
            <w:r w:rsidRPr="001A7517">
              <w:rPr>
                <w:szCs w:val="24"/>
              </w:rPr>
              <w:t>300</w:t>
            </w:r>
          </w:p>
        </w:tc>
      </w:tr>
      <w:tr w:rsidR="00057FFC" w:rsidRPr="001A7517" w14:paraId="3F776DC0" w14:textId="77777777" w:rsidTr="00623210">
        <w:tc>
          <w:tcPr>
            <w:tcW w:w="2674" w:type="dxa"/>
          </w:tcPr>
          <w:p w14:paraId="09024CB0" w14:textId="77777777" w:rsidR="00057FFC" w:rsidRPr="001A7517" w:rsidRDefault="00057FFC" w:rsidP="00623210">
            <w:pPr>
              <w:rPr>
                <w:szCs w:val="24"/>
              </w:rPr>
            </w:pPr>
            <w:r w:rsidRPr="001A7517">
              <w:rPr>
                <w:szCs w:val="24"/>
              </w:rPr>
              <w:t>1,230,001 to 1,520,000</w:t>
            </w:r>
          </w:p>
        </w:tc>
        <w:tc>
          <w:tcPr>
            <w:tcW w:w="4526" w:type="dxa"/>
          </w:tcPr>
          <w:p w14:paraId="3844B8EF" w14:textId="77777777" w:rsidR="00057FFC" w:rsidRPr="001A7517" w:rsidRDefault="00057FFC" w:rsidP="00623210">
            <w:pPr>
              <w:jc w:val="center"/>
              <w:rPr>
                <w:szCs w:val="24"/>
              </w:rPr>
            </w:pPr>
            <w:r w:rsidRPr="001A7517">
              <w:rPr>
                <w:szCs w:val="24"/>
              </w:rPr>
              <w:t>330</w:t>
            </w:r>
          </w:p>
        </w:tc>
      </w:tr>
      <w:tr w:rsidR="00057FFC" w:rsidRPr="001A7517" w14:paraId="09C63E9E" w14:textId="77777777" w:rsidTr="00623210">
        <w:tc>
          <w:tcPr>
            <w:tcW w:w="2674" w:type="dxa"/>
          </w:tcPr>
          <w:p w14:paraId="63BA2D7F" w14:textId="77777777" w:rsidR="00057FFC" w:rsidRPr="001A7517" w:rsidRDefault="00057FFC" w:rsidP="00623210">
            <w:pPr>
              <w:rPr>
                <w:szCs w:val="24"/>
              </w:rPr>
            </w:pPr>
            <w:r w:rsidRPr="001A7517">
              <w:rPr>
                <w:szCs w:val="24"/>
              </w:rPr>
              <w:t>1,520,001 to 1,850,000</w:t>
            </w:r>
          </w:p>
        </w:tc>
        <w:tc>
          <w:tcPr>
            <w:tcW w:w="4526" w:type="dxa"/>
          </w:tcPr>
          <w:p w14:paraId="78705DAA" w14:textId="77777777" w:rsidR="00057FFC" w:rsidRPr="001A7517" w:rsidRDefault="00057FFC" w:rsidP="00623210">
            <w:pPr>
              <w:jc w:val="center"/>
              <w:rPr>
                <w:szCs w:val="24"/>
              </w:rPr>
            </w:pPr>
            <w:r w:rsidRPr="001A7517">
              <w:rPr>
                <w:szCs w:val="24"/>
              </w:rPr>
              <w:t>360</w:t>
            </w:r>
          </w:p>
        </w:tc>
      </w:tr>
      <w:tr w:rsidR="00057FFC" w:rsidRPr="001A7517" w14:paraId="531AF889" w14:textId="77777777" w:rsidTr="00623210">
        <w:tc>
          <w:tcPr>
            <w:tcW w:w="2674" w:type="dxa"/>
          </w:tcPr>
          <w:p w14:paraId="155CF09E" w14:textId="77777777" w:rsidR="00057FFC" w:rsidRPr="001A7517" w:rsidRDefault="00057FFC" w:rsidP="00623210">
            <w:pPr>
              <w:rPr>
                <w:szCs w:val="24"/>
              </w:rPr>
            </w:pPr>
            <w:r w:rsidRPr="001A7517">
              <w:rPr>
                <w:szCs w:val="24"/>
              </w:rPr>
              <w:t>1,850,001 to 2,270,000</w:t>
            </w:r>
          </w:p>
        </w:tc>
        <w:tc>
          <w:tcPr>
            <w:tcW w:w="4526" w:type="dxa"/>
          </w:tcPr>
          <w:p w14:paraId="2987A03C" w14:textId="77777777" w:rsidR="00057FFC" w:rsidRPr="001A7517" w:rsidRDefault="00057FFC" w:rsidP="00623210">
            <w:pPr>
              <w:jc w:val="center"/>
              <w:rPr>
                <w:szCs w:val="24"/>
              </w:rPr>
            </w:pPr>
            <w:r w:rsidRPr="001A7517">
              <w:rPr>
                <w:szCs w:val="24"/>
              </w:rPr>
              <w:t>390</w:t>
            </w:r>
          </w:p>
        </w:tc>
      </w:tr>
      <w:tr w:rsidR="00057FFC" w:rsidRPr="001A7517" w14:paraId="6E182C37" w14:textId="77777777" w:rsidTr="00623210">
        <w:tc>
          <w:tcPr>
            <w:tcW w:w="2674" w:type="dxa"/>
          </w:tcPr>
          <w:p w14:paraId="4CBD7856" w14:textId="77777777" w:rsidR="00057FFC" w:rsidRPr="001A7517" w:rsidRDefault="00057FFC" w:rsidP="00623210">
            <w:pPr>
              <w:rPr>
                <w:szCs w:val="24"/>
              </w:rPr>
            </w:pPr>
            <w:r w:rsidRPr="001A7517">
              <w:rPr>
                <w:szCs w:val="24"/>
              </w:rPr>
              <w:t>2,270,001 to 3,020,000</w:t>
            </w:r>
          </w:p>
        </w:tc>
        <w:tc>
          <w:tcPr>
            <w:tcW w:w="4526" w:type="dxa"/>
          </w:tcPr>
          <w:p w14:paraId="1BBE498B" w14:textId="77777777" w:rsidR="00057FFC" w:rsidRPr="001A7517" w:rsidRDefault="00057FFC" w:rsidP="00623210">
            <w:pPr>
              <w:jc w:val="center"/>
              <w:rPr>
                <w:szCs w:val="24"/>
              </w:rPr>
            </w:pPr>
            <w:r w:rsidRPr="001A7517">
              <w:rPr>
                <w:szCs w:val="24"/>
              </w:rPr>
              <w:t>420</w:t>
            </w:r>
          </w:p>
        </w:tc>
      </w:tr>
      <w:tr w:rsidR="00057FFC" w:rsidRPr="001A7517" w14:paraId="035488E4" w14:textId="77777777" w:rsidTr="00623210">
        <w:tc>
          <w:tcPr>
            <w:tcW w:w="2674" w:type="dxa"/>
          </w:tcPr>
          <w:p w14:paraId="30652834" w14:textId="77777777" w:rsidR="00057FFC" w:rsidRPr="001A7517" w:rsidRDefault="00057FFC" w:rsidP="00623210">
            <w:pPr>
              <w:rPr>
                <w:szCs w:val="24"/>
              </w:rPr>
            </w:pPr>
            <w:r w:rsidRPr="001A7517">
              <w:rPr>
                <w:szCs w:val="24"/>
              </w:rPr>
              <w:t>3,020,001 to 3,960,000</w:t>
            </w:r>
          </w:p>
        </w:tc>
        <w:tc>
          <w:tcPr>
            <w:tcW w:w="4526" w:type="dxa"/>
          </w:tcPr>
          <w:p w14:paraId="33C40DDC" w14:textId="77777777" w:rsidR="00057FFC" w:rsidRPr="001A7517" w:rsidRDefault="00057FFC" w:rsidP="00623210">
            <w:pPr>
              <w:jc w:val="center"/>
              <w:rPr>
                <w:szCs w:val="24"/>
              </w:rPr>
            </w:pPr>
            <w:r w:rsidRPr="001A7517">
              <w:rPr>
                <w:szCs w:val="24"/>
              </w:rPr>
              <w:t>450</w:t>
            </w:r>
          </w:p>
        </w:tc>
      </w:tr>
      <w:tr w:rsidR="00057FFC" w:rsidRPr="001A7517" w14:paraId="23818B58" w14:textId="77777777" w:rsidTr="00623210">
        <w:tc>
          <w:tcPr>
            <w:tcW w:w="2674" w:type="dxa"/>
          </w:tcPr>
          <w:p w14:paraId="5D144FBE" w14:textId="77777777" w:rsidR="00057FFC" w:rsidRPr="001A7517" w:rsidRDefault="00057FFC" w:rsidP="00623210">
            <w:pPr>
              <w:rPr>
                <w:szCs w:val="24"/>
              </w:rPr>
            </w:pPr>
            <w:r w:rsidRPr="001A7517">
              <w:rPr>
                <w:szCs w:val="24"/>
              </w:rPr>
              <w:t>3,960,001 or more</w:t>
            </w:r>
          </w:p>
        </w:tc>
        <w:tc>
          <w:tcPr>
            <w:tcW w:w="4526" w:type="dxa"/>
          </w:tcPr>
          <w:p w14:paraId="6F441FB6" w14:textId="77777777" w:rsidR="00057FFC" w:rsidRPr="001A7517" w:rsidRDefault="00057FFC" w:rsidP="00623210">
            <w:pPr>
              <w:jc w:val="center"/>
              <w:rPr>
                <w:szCs w:val="24"/>
              </w:rPr>
            </w:pPr>
            <w:r w:rsidRPr="001A7517">
              <w:rPr>
                <w:szCs w:val="24"/>
              </w:rPr>
              <w:t>480</w:t>
            </w:r>
          </w:p>
        </w:tc>
      </w:tr>
    </w:tbl>
    <w:p w14:paraId="3BCB7D1F" w14:textId="77777777" w:rsidR="00057FFC" w:rsidRPr="001A7517" w:rsidRDefault="00057FFC" w:rsidP="00057FFC">
      <w:pPr>
        <w:spacing w:before="240" w:after="240"/>
        <w:ind w:left="1440" w:hanging="720"/>
        <w:rPr>
          <w:szCs w:val="24"/>
        </w:rPr>
      </w:pPr>
      <w:r w:rsidRPr="001A7517">
        <w:rPr>
          <w:szCs w:val="24"/>
        </w:rPr>
        <w:t>c)</w:t>
      </w:r>
      <w:r w:rsidRPr="001A7517">
        <w:rPr>
          <w:szCs w:val="24"/>
        </w:rPr>
        <w:tab/>
      </w:r>
      <w:r w:rsidRPr="001A7517">
        <w:rPr>
          <w:iCs/>
          <w:szCs w:val="24"/>
        </w:rPr>
        <w:t xml:space="preserve">Unfiltered </w:t>
      </w:r>
      <w:r w:rsidRPr="001A7517">
        <w:rPr>
          <w:szCs w:val="24"/>
        </w:rPr>
        <w:t>S</w:t>
      </w:r>
      <w:r w:rsidRPr="001A7517">
        <w:rPr>
          <w:iCs/>
          <w:szCs w:val="24"/>
        </w:rPr>
        <w:t xml:space="preserve">ubpart B Systems.  </w:t>
      </w:r>
      <w:r w:rsidRPr="001A7517">
        <w:rPr>
          <w:szCs w:val="24"/>
        </w:rPr>
        <w:t xml:space="preserve">A </w:t>
      </w:r>
      <w:r w:rsidRPr="001A7517">
        <w:rPr>
          <w:iCs/>
          <w:szCs w:val="24"/>
        </w:rPr>
        <w:t>Subpart B system</w:t>
      </w:r>
      <w:r w:rsidRPr="001A7517">
        <w:rPr>
          <w:szCs w:val="24"/>
        </w:rPr>
        <w:t xml:space="preserve"> supplier that does not practice filtration in compliance with Subparts B, R, X, and Z must collect at least one total coliform sample near the first service connection each day that the turbidity level of the source water, measured as specified in Section 611.532(b), exceeds 1 NTU.  When one or more turbidity measurements in any day exceed 1 NTU, the supplier must collect this coliform sample within 24 hours </w:t>
      </w:r>
      <w:r w:rsidRPr="001A7517">
        <w:t xml:space="preserve">after </w:t>
      </w:r>
      <w:r w:rsidRPr="001A7517">
        <w:rPr>
          <w:szCs w:val="24"/>
        </w:rPr>
        <w:t xml:space="preserve">the first exceedance, unless the Agency determines that the supplier, for logistical reasons outside the supplier’s control, cannot have the sample analyzed within 30 hours </w:t>
      </w:r>
      <w:r w:rsidRPr="001A7517">
        <w:t xml:space="preserve">after </w:t>
      </w:r>
      <w:r w:rsidRPr="001A7517">
        <w:rPr>
          <w:szCs w:val="24"/>
        </w:rPr>
        <w:t>collection, and the Agency identifies an alternative sample collection schedule.  Sample results from this coliform monitoring must be included in determining whether the coliform treatment technique trigger in Section 611.1059 has been exceeded.</w:t>
      </w:r>
    </w:p>
    <w:p w14:paraId="088BD30D" w14:textId="77777777" w:rsidR="00057FFC" w:rsidRPr="001A7517" w:rsidRDefault="00057FFC" w:rsidP="00057FFC">
      <w:pPr>
        <w:spacing w:before="240" w:after="240"/>
        <w:ind w:left="1440" w:hanging="720"/>
        <w:rPr>
          <w:szCs w:val="24"/>
        </w:rPr>
      </w:pPr>
      <w:r w:rsidRPr="001A7517">
        <w:rPr>
          <w:szCs w:val="24"/>
        </w:rPr>
        <w:t>d)</w:t>
      </w:r>
      <w:r w:rsidRPr="001A7517">
        <w:rPr>
          <w:szCs w:val="24"/>
        </w:rPr>
        <w:tab/>
      </w:r>
      <w:r w:rsidRPr="001A7517">
        <w:rPr>
          <w:iCs/>
          <w:szCs w:val="24"/>
        </w:rPr>
        <w:t xml:space="preserve">Reduced Monitoring.  </w:t>
      </w:r>
      <w:r w:rsidRPr="001A7517">
        <w:rPr>
          <w:szCs w:val="24"/>
        </w:rPr>
        <w:t xml:space="preserve">A supplier may not reduce monitoring, except for a non-CWS supplier that uses only ground water (and not ground water under the direct influence of surface water) and </w:t>
      </w:r>
      <w:r w:rsidRPr="001A7517">
        <w:t xml:space="preserve">that </w:t>
      </w:r>
      <w:r w:rsidRPr="001A7517">
        <w:rPr>
          <w:szCs w:val="24"/>
        </w:rPr>
        <w:t>serves 1,000 or fewer people in some months and more than 1,000 persons in other months.  In months when more than 1,000 persons are served, the supplier must monitor at the frequency specified in subsection (a).  In months when the supplier serves 1,000 or fewer people, the Agency may, by a SEP, reduce the monitoring frequency, in writing, to a frequency allowed under Section 611.1054 for a similarly situated supplier that always serves 1,000 or fewer people, taking into account the provisions in Section 611.1054(e) through (g).</w:t>
      </w:r>
    </w:p>
    <w:p w14:paraId="772C4374" w14:textId="77777777" w:rsidR="00057FFC" w:rsidRPr="001A7517" w:rsidRDefault="00057FFC" w:rsidP="00057FFC">
      <w:pPr>
        <w:spacing w:before="240" w:after="240"/>
      </w:pPr>
      <w:r w:rsidRPr="001A7517">
        <w:t>BOARD NOTE:  Derived from 40 CFR 141.857.</w:t>
      </w:r>
    </w:p>
    <w:p w14:paraId="7824C002"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34E70B22" w14:textId="77777777" w:rsidR="00057FFC" w:rsidRPr="001A7517" w:rsidRDefault="00057FFC" w:rsidP="00057FFC">
      <w:pPr>
        <w:keepNext/>
        <w:keepLines/>
        <w:spacing w:before="240" w:after="240"/>
        <w:rPr>
          <w:b/>
          <w:szCs w:val="24"/>
        </w:rPr>
      </w:pPr>
      <w:r w:rsidRPr="001A7517">
        <w:rPr>
          <w:b/>
          <w:szCs w:val="24"/>
        </w:rPr>
        <w:lastRenderedPageBreak/>
        <w:t xml:space="preserve">Section </w:t>
      </w:r>
      <w:bookmarkStart w:id="4527" w:name="_Hlk27063326"/>
      <w:r w:rsidRPr="001A7517">
        <w:rPr>
          <w:b/>
          <w:szCs w:val="24"/>
        </w:rPr>
        <w:t xml:space="preserve">611.1058 </w:t>
      </w:r>
      <w:bookmarkEnd w:id="4527"/>
      <w:r w:rsidRPr="001A7517">
        <w:rPr>
          <w:b/>
          <w:szCs w:val="24"/>
        </w:rPr>
        <w:t xml:space="preserve"> Repeat Monitoring and </w:t>
      </w:r>
      <w:r w:rsidRPr="001A7517">
        <w:rPr>
          <w:b/>
          <w:iCs/>
          <w:szCs w:val="24"/>
        </w:rPr>
        <w:t xml:space="preserve">E. coli </w:t>
      </w:r>
      <w:r w:rsidRPr="001A7517">
        <w:rPr>
          <w:b/>
          <w:szCs w:val="24"/>
        </w:rPr>
        <w:t>Requirements</w:t>
      </w:r>
    </w:p>
    <w:p w14:paraId="1EA2DB50"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Repeat Monitoring</w:t>
      </w:r>
    </w:p>
    <w:p w14:paraId="68C45C3C"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If a sample taken under Sections 611.1054 through 611.1057 is total coliform-positive, the supplier must collect a set of repeat samples within 24 hours </w:t>
      </w:r>
      <w:r w:rsidRPr="001A7517">
        <w:t xml:space="preserve">after </w:t>
      </w:r>
      <w:r w:rsidRPr="001A7517">
        <w:rPr>
          <w:szCs w:val="24"/>
        </w:rPr>
        <w:t>being notified of the positive result.  The supplier must collect no fewer than three repeat samples for each total coliform-positive sample found.  The Agency may, by a SEP, extend the 24- hour limit on a case-by-case basis if the supplier has a logistical problem in collecting the repeat samples within 24 hours that is beyond its control.  Alternatively, the Agency may implement criteria for the supplier to use in lieu of case-by-case extensions.  In the case of an extension, the Agency must specify how much time the supplier has to collect the repeat samples.  The Agency cannot waive the requirement for a supplier to collect repeat samples in subsections (a)(1) through (a)(3).</w:t>
      </w:r>
    </w:p>
    <w:p w14:paraId="50135146"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The supplier must collect all repeat samples on the same day, except that the Agency may, by a SEP, allow a supplier with a single service connection to collect the required set of repeat samples over a three-day period or to collect a larger volume repeat samples in one or more sample containers of any size, as long as the total volume collected is at least 300 mℓ.</w:t>
      </w:r>
    </w:p>
    <w:p w14:paraId="1021BE5A"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 xml:space="preserve">The supplier must collect an additional set of repeat samples in the manner specified in subsections (a)(1) through (a)(3) if one or more repeat samples in the current set of repeat samples is total coliform-positive. The supplier must collect the additional set of repeat samples within 24 hours </w:t>
      </w:r>
      <w:r w:rsidRPr="001A7517">
        <w:t xml:space="preserve">after </w:t>
      </w:r>
      <w:r w:rsidRPr="001A7517">
        <w:rPr>
          <w:szCs w:val="24"/>
        </w:rPr>
        <w:t>being notified of the positive result, unless the Agency extends the limit as provided in subsection (a)(1).  The supplier must continue to collect additional sets of repeat samples until either total coliforms are not detected in one complete set of repeat samples or the supplier determines that a coliform treatment technique trigger specified in Section 611.1059(a) has been exceeded as a result of a repeat sample being total coliform-positive and notifies the Agency.  If a trigger identified in Section 611.1059 is exceeded as a result of a routine sample being total coliform-positive, the supplier is required to conduct only one round of repeat monitoring for each total coliform-positive routine sample.</w:t>
      </w:r>
    </w:p>
    <w:p w14:paraId="799046F4"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After a supplier collects a routine sample and before it learns the results of the analysis of that sample, if the supplier collects another routine sample from within five adjacent service connections of the initial sample, and the initial sample, after analysis, is found to contain total coliforms, then the system may count the subsequent sample as a repeat sample instead of as a routine sample.</w:t>
      </w:r>
    </w:p>
    <w:p w14:paraId="2EFEEAB0" w14:textId="77777777" w:rsidR="00057FFC" w:rsidRPr="001A7517" w:rsidRDefault="00057FFC" w:rsidP="00057FFC">
      <w:pPr>
        <w:spacing w:before="240" w:after="240"/>
        <w:ind w:left="2160" w:hanging="720"/>
        <w:rPr>
          <w:szCs w:val="24"/>
        </w:rPr>
      </w:pPr>
      <w:r w:rsidRPr="001A7517">
        <w:rPr>
          <w:szCs w:val="24"/>
        </w:rPr>
        <w:lastRenderedPageBreak/>
        <w:t>5)</w:t>
      </w:r>
      <w:r w:rsidRPr="001A7517">
        <w:rPr>
          <w:szCs w:val="24"/>
        </w:rPr>
        <w:tab/>
        <w:t>Results of all routine and repeat samples taken under Sections 611.1054 through 611.1058 not invalidated by the Agency must be used to determine whether a coliform treatment technique trigger specified in Section 611.1059 has been exceeded.</w:t>
      </w:r>
    </w:p>
    <w:p w14:paraId="047E3915"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Escherichia coli (E. coli) Testing</w:t>
      </w:r>
    </w:p>
    <w:p w14:paraId="7960979E"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If any routine or repeat sample is total coliform-positive, the supplier must analyze that total coliform-positive culture medium to determine if </w:t>
      </w:r>
      <w:r w:rsidRPr="001A7517">
        <w:rPr>
          <w:iCs/>
          <w:szCs w:val="24"/>
        </w:rPr>
        <w:t xml:space="preserve">E. coli </w:t>
      </w:r>
      <w:r w:rsidRPr="001A7517">
        <w:rPr>
          <w:szCs w:val="24"/>
        </w:rPr>
        <w:t xml:space="preserve">are present.  If </w:t>
      </w:r>
      <w:r w:rsidRPr="001A7517">
        <w:rPr>
          <w:iCs/>
          <w:szCs w:val="24"/>
        </w:rPr>
        <w:t xml:space="preserve">E. coli </w:t>
      </w:r>
      <w:r w:rsidRPr="001A7517">
        <w:rPr>
          <w:szCs w:val="24"/>
        </w:rPr>
        <w:t>are present, the supplier must notify the Agency by the end of the day when the supplier is notified of the test result, unless the supplier is notified of the result after the Agency office is closed and the Agency does not have either an after-hours phone line or an alternative notification procedure, in which case the supplier must notify the Agency before the end of the next business day.</w:t>
      </w:r>
    </w:p>
    <w:p w14:paraId="09A5830F"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The Agency has the discretion to allow a supplier, on a case-by-case basis, to forego </w:t>
      </w:r>
      <w:r w:rsidRPr="001A7517">
        <w:rPr>
          <w:iCs/>
          <w:szCs w:val="24"/>
        </w:rPr>
        <w:t xml:space="preserve">E. coli </w:t>
      </w:r>
      <w:r w:rsidRPr="001A7517">
        <w:rPr>
          <w:szCs w:val="24"/>
        </w:rPr>
        <w:t xml:space="preserve">testing on a total coliform-positive sample if that supplier assumes that the total coliform-positive sample is </w:t>
      </w:r>
      <w:r w:rsidRPr="001A7517">
        <w:rPr>
          <w:iCs/>
          <w:szCs w:val="24"/>
        </w:rPr>
        <w:t>E. coli</w:t>
      </w:r>
      <w:r w:rsidRPr="001A7517">
        <w:rPr>
          <w:szCs w:val="24"/>
        </w:rPr>
        <w:t>-positive.  Accordingly, the supplier must notify the Agency as specified in subsection (b)(1) and the provisions of Section 141.63(c) apply.</w:t>
      </w:r>
    </w:p>
    <w:p w14:paraId="2DA19743" w14:textId="77777777" w:rsidR="00057FFC" w:rsidRPr="001A7517" w:rsidRDefault="00057FFC" w:rsidP="00057FFC">
      <w:pPr>
        <w:spacing w:before="240" w:after="240"/>
      </w:pPr>
      <w:r w:rsidRPr="001A7517">
        <w:t>BOARD NOTE:  Derived from 40 CFR 141.858.</w:t>
      </w:r>
    </w:p>
    <w:p w14:paraId="2B34C3C0"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2246717F" w14:textId="77777777" w:rsidR="00057FFC" w:rsidRPr="001A7517" w:rsidRDefault="00057FFC" w:rsidP="00057FFC">
      <w:pPr>
        <w:keepNext/>
        <w:keepLines/>
        <w:spacing w:before="240" w:after="240"/>
        <w:rPr>
          <w:b/>
          <w:szCs w:val="24"/>
        </w:rPr>
      </w:pPr>
      <w:r w:rsidRPr="001A7517">
        <w:rPr>
          <w:b/>
          <w:szCs w:val="24"/>
        </w:rPr>
        <w:t xml:space="preserve">Section </w:t>
      </w:r>
      <w:bookmarkStart w:id="4528" w:name="_Hlk27063345"/>
      <w:r w:rsidRPr="001A7517">
        <w:rPr>
          <w:b/>
          <w:szCs w:val="24"/>
        </w:rPr>
        <w:t>611.1059</w:t>
      </w:r>
      <w:bookmarkEnd w:id="4528"/>
      <w:r w:rsidRPr="001A7517">
        <w:rPr>
          <w:b/>
          <w:szCs w:val="24"/>
        </w:rPr>
        <w:t xml:space="preserve">  Coliform Treatment Technique Triggers and Assessment Requirements for Protection Against Potential Fecal Contamination</w:t>
      </w:r>
    </w:p>
    <w:p w14:paraId="037CD953"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 xml:space="preserve">Treatment Technique Triggers.  </w:t>
      </w:r>
      <w:r w:rsidRPr="001A7517">
        <w:rPr>
          <w:szCs w:val="24"/>
        </w:rPr>
        <w:t>A supplier must conduct assessments in accordance with subsection (b) after exceeding treatment technique triggers in subsections (a)(1) and (a)(2).</w:t>
      </w:r>
    </w:p>
    <w:p w14:paraId="67AA03DD"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Level 1 Treatment Technique Triggers</w:t>
      </w:r>
    </w:p>
    <w:p w14:paraId="006336C4"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For a supplier taking 40 or more samples per month, the supplier exceeds 5.0% total coliform-positive samples for the month.</w:t>
      </w:r>
    </w:p>
    <w:p w14:paraId="7938ABE1"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For a supplier taking fewer than 40 samples per month, the supplier has two or more total coliform-positive samples in the same month.</w:t>
      </w:r>
    </w:p>
    <w:p w14:paraId="0E26DD2A" w14:textId="77777777" w:rsidR="00057FFC" w:rsidRPr="001A7517" w:rsidRDefault="00057FFC" w:rsidP="00057FFC">
      <w:pPr>
        <w:spacing w:before="240" w:after="240"/>
        <w:ind w:left="2880" w:hanging="720"/>
        <w:rPr>
          <w:szCs w:val="24"/>
        </w:rPr>
      </w:pPr>
      <w:r w:rsidRPr="001A7517">
        <w:rPr>
          <w:szCs w:val="24"/>
        </w:rPr>
        <w:t>C)</w:t>
      </w:r>
      <w:r w:rsidRPr="001A7517">
        <w:rPr>
          <w:szCs w:val="24"/>
        </w:rPr>
        <w:tab/>
        <w:t>The supplier fails to take every required repeat sample after any single total coliform-positive sample.</w:t>
      </w:r>
    </w:p>
    <w:p w14:paraId="03FF50E1"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Level 2 Treatment Technique Triggers</w:t>
      </w:r>
    </w:p>
    <w:p w14:paraId="74CE7930" w14:textId="77777777" w:rsidR="00057FFC" w:rsidRPr="001A7517" w:rsidRDefault="00057FFC" w:rsidP="00057FFC">
      <w:pPr>
        <w:spacing w:before="240" w:after="240"/>
        <w:ind w:left="2880" w:hanging="720"/>
        <w:rPr>
          <w:szCs w:val="24"/>
        </w:rPr>
      </w:pPr>
      <w:r w:rsidRPr="001A7517">
        <w:rPr>
          <w:szCs w:val="24"/>
        </w:rPr>
        <w:lastRenderedPageBreak/>
        <w:t>A)</w:t>
      </w:r>
      <w:r w:rsidRPr="001A7517">
        <w:rPr>
          <w:szCs w:val="24"/>
        </w:rPr>
        <w:tab/>
        <w:t xml:space="preserve">An </w:t>
      </w:r>
      <w:r w:rsidRPr="001A7517">
        <w:rPr>
          <w:iCs/>
          <w:szCs w:val="24"/>
        </w:rPr>
        <w:t xml:space="preserve">E. coli </w:t>
      </w:r>
      <w:r w:rsidRPr="001A7517">
        <w:rPr>
          <w:szCs w:val="24"/>
        </w:rPr>
        <w:t>MCL violation, as specified in Section 611.1060(a).</w:t>
      </w:r>
    </w:p>
    <w:p w14:paraId="300C2225"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A second Level 1 trigger as defined in subsection (a)(1), within a rolling 12-month period, unless the Agency, by a SEP, has determined a likely reason that the samples that caused the first Level 1 treatment technique trigger were total coliform-positive and has established that the supplier has corrected the problem.</w:t>
      </w:r>
    </w:p>
    <w:p w14:paraId="5C86BB15" w14:textId="77777777" w:rsidR="00057FFC" w:rsidRPr="001A7517" w:rsidRDefault="00057FFC" w:rsidP="00057FFC">
      <w:pPr>
        <w:spacing w:before="240" w:after="240"/>
        <w:ind w:left="2880" w:hanging="720"/>
        <w:rPr>
          <w:szCs w:val="24"/>
        </w:rPr>
      </w:pPr>
      <w:r w:rsidRPr="001A7517">
        <w:rPr>
          <w:szCs w:val="24"/>
        </w:rPr>
        <w:t>C)</w:t>
      </w:r>
      <w:r w:rsidRPr="001A7517">
        <w:rPr>
          <w:szCs w:val="24"/>
        </w:rPr>
        <w:tab/>
        <w:t>For a supplier with approved annual monitoring, a Level 1 trigger in two consecutive years.</w:t>
      </w:r>
    </w:p>
    <w:p w14:paraId="37C40612"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Requirements for Assessments</w:t>
      </w:r>
    </w:p>
    <w:p w14:paraId="7629BA86"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A supplier must ensure that Level 1 and Level 2 assessments are conducted in order to identify the possible presence of sanitary defects and defects in distribution system coliform monitoring practices.  Level 2 assessments must be conducted by parties approved by the Agency.</w:t>
      </w:r>
    </w:p>
    <w:p w14:paraId="39E5ACA7"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When conducting assessments, the supplier must ensure that the assessor evaluates minimum elements that include review and identification of inadequacies in sample sites; sampling protocol; sample processing; atypical events that could affect distributed water quality or indicate that distributed water quality was impaired; changes in distribution system maintenance and operation that could affect distributed water quality (including water storage); source and treatment considerations that bear on distributed water quality, </w:t>
      </w:r>
      <w:r w:rsidRPr="001A7517">
        <w:rPr>
          <w:spacing w:val="-3"/>
        </w:rPr>
        <w:t xml:space="preserve">if </w:t>
      </w:r>
      <w:r w:rsidRPr="001A7517">
        <w:rPr>
          <w:szCs w:val="24"/>
        </w:rPr>
        <w:t>appropriate (e.g., small ground water systems); and existing water quality monitoring data.  The supplier must conduct the assessment consistent with any Agency directives that tailor specific assessment elements with respect to the size and type of the system and the size, type, and characteristics of the distribution system.</w:t>
      </w:r>
    </w:p>
    <w:p w14:paraId="3B1D53D1"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Level 1 Assessments.  A supplier must conduct a Level 1 assessment consistent with Agency requirements if the supplier exceeds one of the treatment technique triggers in subsection (a)(1).</w:t>
      </w:r>
    </w:p>
    <w:p w14:paraId="6F2547E6"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The supplier must complete a Level 1 assessment as soon as practical after any trigger in subsection (a)(1).  In the completed assessment form, the supplier must describe sanitary defects detected, corrective actions completed, and a proposed timetable for any corrective actions not already completed.  The assessment form may also note that no sanitary defects were identified.  The supplier must submit the completed Level 1 assessment form to the Agency within 30 days after the supplier learns that it has exceeded a trigger.</w:t>
      </w:r>
    </w:p>
    <w:p w14:paraId="04442DA2" w14:textId="77777777" w:rsidR="00057FFC" w:rsidRPr="001A7517" w:rsidRDefault="00057FFC" w:rsidP="00057FFC">
      <w:pPr>
        <w:spacing w:before="240" w:after="240"/>
        <w:ind w:left="2880" w:hanging="720"/>
        <w:rPr>
          <w:szCs w:val="24"/>
        </w:rPr>
      </w:pPr>
      <w:r w:rsidRPr="001A7517">
        <w:rPr>
          <w:szCs w:val="24"/>
        </w:rPr>
        <w:lastRenderedPageBreak/>
        <w:t>B)</w:t>
      </w:r>
      <w:r w:rsidRPr="001A7517">
        <w:rPr>
          <w:szCs w:val="24"/>
        </w:rPr>
        <w:tab/>
        <w:t>If the Agency reviews the completed Level 1 assessment and determines that the assessment is not sufficient (including any proposed timetable for any corrective actions not already completed), the Agency must consult with the supplier.  If the Agency, by a SEP, requires revisions after consultation, the supplier must submit a revised assessment form to the Agency on an agreed-upon schedule not to exceed 30 days from the date of the consultation.</w:t>
      </w:r>
    </w:p>
    <w:p w14:paraId="469742B1" w14:textId="77777777" w:rsidR="00057FFC" w:rsidRPr="001A7517" w:rsidRDefault="00057FFC" w:rsidP="00057FFC">
      <w:pPr>
        <w:spacing w:before="240" w:after="240"/>
        <w:ind w:left="2880" w:hanging="720"/>
        <w:rPr>
          <w:szCs w:val="24"/>
        </w:rPr>
      </w:pPr>
      <w:r w:rsidRPr="001A7517">
        <w:rPr>
          <w:szCs w:val="24"/>
        </w:rPr>
        <w:t>C)</w:t>
      </w:r>
      <w:r w:rsidRPr="001A7517">
        <w:rPr>
          <w:szCs w:val="24"/>
        </w:rPr>
        <w:tab/>
        <w:t>Upon completion and submission of the assessment form by the supplier, the Agency must determine if the supplier has identified a likely cause for the Level 1 trigger and, if so, establish that the supplier has corrected the problem, or has included a schedule acceptable to the Agency for correcting the problem.</w:t>
      </w:r>
    </w:p>
    <w:p w14:paraId="33E66BE6"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 xml:space="preserve">Level 2 Assessments.  A supplier must ensure that a Level 2 assessment consistent with Agency requirements is conducted if the supplier exceeds one of the treatment technique triggers in subsection (a)(2).  The supplier must comply with any expedited actions or additional actions required by the Agency, by a SEP, in the case of an </w:t>
      </w:r>
      <w:r w:rsidRPr="001A7517">
        <w:rPr>
          <w:iCs/>
          <w:szCs w:val="24"/>
        </w:rPr>
        <w:t xml:space="preserve">E. coli </w:t>
      </w:r>
      <w:r w:rsidRPr="001A7517">
        <w:rPr>
          <w:szCs w:val="24"/>
        </w:rPr>
        <w:t>MCL violation.</w:t>
      </w:r>
    </w:p>
    <w:p w14:paraId="29C62A1A"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The supplier must ensure that a Level 2 assessment is completed by the Agency or by a party approved by the Agency as soon as practical after any trigger in subsection (a)(2).  The supplier must submit a completed Level 2 assessment form to the Agency within 30 days after the supplier learns that it has exceeded a trigger.  The assessment form must describe sanitary defects detected, corrective actions completed, and a proposed timetable for any corrective actions not already completed.  The assessment form may also note that no sanitary defects were identified.</w:t>
      </w:r>
    </w:p>
    <w:p w14:paraId="3249EF3A"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The supplier may conduct Level 2 assessments if the supplier has staff or management with the certification or qualifications specified by the Agency unless otherwise directed by the Agency, by a SEP.</w:t>
      </w:r>
    </w:p>
    <w:p w14:paraId="596B5E5C" w14:textId="77777777" w:rsidR="00057FFC" w:rsidRPr="001A7517" w:rsidRDefault="00057FFC" w:rsidP="00057FFC">
      <w:pPr>
        <w:spacing w:before="240" w:after="240"/>
        <w:ind w:left="2880" w:hanging="720"/>
        <w:rPr>
          <w:szCs w:val="24"/>
        </w:rPr>
      </w:pPr>
      <w:r w:rsidRPr="001A7517">
        <w:rPr>
          <w:szCs w:val="24"/>
        </w:rPr>
        <w:t>C)</w:t>
      </w:r>
      <w:r w:rsidRPr="001A7517">
        <w:rPr>
          <w:szCs w:val="24"/>
        </w:rPr>
        <w:tab/>
        <w:t>If the Agency reviews the completed Level 2 assessment and determines that the assessment is not sufficient (including any proposed timetable for any corrective actions not already completed), the Agency must consult with the system.  If the Agency requires revisions after consultation, the supplier must submit a revised assessment form to the Agency on an agreed-upon schedule not to exceed 30 days.</w:t>
      </w:r>
    </w:p>
    <w:p w14:paraId="070FC48B" w14:textId="77777777" w:rsidR="00057FFC" w:rsidRPr="001A7517" w:rsidRDefault="00057FFC" w:rsidP="00057FFC">
      <w:pPr>
        <w:spacing w:before="240" w:after="240"/>
        <w:ind w:left="2880" w:hanging="720"/>
        <w:rPr>
          <w:szCs w:val="24"/>
        </w:rPr>
      </w:pPr>
      <w:r w:rsidRPr="001A7517">
        <w:rPr>
          <w:szCs w:val="24"/>
        </w:rPr>
        <w:lastRenderedPageBreak/>
        <w:t>D)</w:t>
      </w:r>
      <w:r w:rsidRPr="001A7517">
        <w:rPr>
          <w:szCs w:val="24"/>
        </w:rPr>
        <w:tab/>
        <w:t>Upon completion and submission of the assessment form by the supplier, the Agency must determine if the system has identified a likely cause for the Level 2 trigger and determine whether the supplier has corrected the problem, or has included a schedule acceptable to the Agency for correcting the problem.</w:t>
      </w:r>
    </w:p>
    <w:p w14:paraId="02F3C92A" w14:textId="77777777" w:rsidR="00057FFC" w:rsidRPr="001A7517" w:rsidRDefault="00057FFC" w:rsidP="00057FFC">
      <w:pPr>
        <w:spacing w:before="240" w:after="240"/>
        <w:ind w:left="1440" w:hanging="720"/>
        <w:rPr>
          <w:szCs w:val="24"/>
        </w:rPr>
      </w:pPr>
      <w:r w:rsidRPr="001A7517">
        <w:rPr>
          <w:szCs w:val="24"/>
        </w:rPr>
        <w:t>c)</w:t>
      </w:r>
      <w:r w:rsidRPr="001A7517">
        <w:rPr>
          <w:szCs w:val="24"/>
        </w:rPr>
        <w:tab/>
      </w:r>
      <w:r w:rsidRPr="001A7517">
        <w:rPr>
          <w:iCs/>
          <w:szCs w:val="24"/>
        </w:rPr>
        <w:t xml:space="preserve">Corrective Action.  </w:t>
      </w:r>
      <w:r w:rsidRPr="001A7517">
        <w:rPr>
          <w:szCs w:val="24"/>
        </w:rPr>
        <w:t>A supplier must correct sanitary defects found through either Level 1 or 2 assessments conducted under subsection (b).  For corrections not completed by the time of submission of the assessment form, the supplier must complete the corrective actions in compliance with a timetable approved by the Agency, by a SEP, in consultation with the supplier.  The supplier must notify the Agency when each scheduled corrective action is completed.</w:t>
      </w:r>
    </w:p>
    <w:p w14:paraId="5D78FA5E" w14:textId="77777777" w:rsidR="00057FFC" w:rsidRPr="001A7517" w:rsidRDefault="00057FFC" w:rsidP="00057FFC">
      <w:pPr>
        <w:spacing w:before="240" w:after="240"/>
        <w:ind w:left="1440" w:hanging="720"/>
        <w:rPr>
          <w:szCs w:val="24"/>
        </w:rPr>
      </w:pPr>
      <w:r w:rsidRPr="001A7517">
        <w:rPr>
          <w:szCs w:val="24"/>
        </w:rPr>
        <w:t>d)</w:t>
      </w:r>
      <w:r w:rsidRPr="001A7517">
        <w:rPr>
          <w:szCs w:val="24"/>
        </w:rPr>
        <w:tab/>
      </w:r>
      <w:r w:rsidRPr="001A7517">
        <w:rPr>
          <w:iCs/>
          <w:szCs w:val="24"/>
        </w:rPr>
        <w:t xml:space="preserve">Consultation.  </w:t>
      </w:r>
      <w:r w:rsidRPr="001A7517">
        <w:rPr>
          <w:szCs w:val="24"/>
        </w:rPr>
        <w:t>At any time during the assessment or corrective action phase, either the water supplier or the Agency may request a consultation with the other party to determine the appropriate actions to be taken.  The supplier may consult with the Agency on all relevant information that may impact on its ability to comply with a requirement of this Subpart AA, including the method of accomplishment, an appropriate timeframe, and other relevant information.</w:t>
      </w:r>
    </w:p>
    <w:p w14:paraId="0529C524" w14:textId="77777777" w:rsidR="00057FFC" w:rsidRPr="001A7517" w:rsidRDefault="00057FFC" w:rsidP="00057FFC">
      <w:pPr>
        <w:spacing w:before="240" w:after="240"/>
      </w:pPr>
      <w:r w:rsidRPr="001A7517">
        <w:t>BOARD NOTE:  Derived from 40 CFR 141.859.</w:t>
      </w:r>
    </w:p>
    <w:p w14:paraId="2E7CAA28"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7F987D38" w14:textId="77777777" w:rsidR="00057FFC" w:rsidRPr="001A7517" w:rsidRDefault="00057FFC" w:rsidP="00057FFC">
      <w:pPr>
        <w:keepNext/>
        <w:keepLines/>
        <w:spacing w:before="240" w:after="240"/>
        <w:rPr>
          <w:b/>
          <w:szCs w:val="24"/>
        </w:rPr>
      </w:pPr>
      <w:r w:rsidRPr="001A7517">
        <w:rPr>
          <w:b/>
          <w:szCs w:val="24"/>
        </w:rPr>
        <w:t xml:space="preserve">Section </w:t>
      </w:r>
      <w:bookmarkStart w:id="4529" w:name="_Hlk27063362"/>
      <w:r w:rsidRPr="001A7517">
        <w:rPr>
          <w:b/>
          <w:szCs w:val="24"/>
        </w:rPr>
        <w:t>611.106</w:t>
      </w:r>
      <w:bookmarkEnd w:id="4529"/>
      <w:r w:rsidRPr="001A7517">
        <w:rPr>
          <w:b/>
          <w:szCs w:val="24"/>
        </w:rPr>
        <w:t>0  Violations</w:t>
      </w:r>
    </w:p>
    <w:p w14:paraId="1808D27E"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 xml:space="preserve">E. coli MCL Violations.  </w:t>
      </w:r>
      <w:r w:rsidRPr="001A7517">
        <w:rPr>
          <w:szCs w:val="24"/>
        </w:rPr>
        <w:t xml:space="preserve">A supplier is in violation of the MCL for </w:t>
      </w:r>
      <w:r w:rsidRPr="001A7517">
        <w:rPr>
          <w:iCs/>
          <w:szCs w:val="24"/>
        </w:rPr>
        <w:t xml:space="preserve">E. coli </w:t>
      </w:r>
      <w:r w:rsidRPr="001A7517">
        <w:rPr>
          <w:szCs w:val="24"/>
        </w:rPr>
        <w:t>when any of the conditions identified in subsections (a)(1) through (a)(4) occur.</w:t>
      </w:r>
    </w:p>
    <w:p w14:paraId="257FFD13"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The supplier has an </w:t>
      </w:r>
      <w:r w:rsidRPr="001A7517">
        <w:rPr>
          <w:iCs/>
          <w:szCs w:val="24"/>
        </w:rPr>
        <w:t>E. coli</w:t>
      </w:r>
      <w:r w:rsidRPr="001A7517">
        <w:rPr>
          <w:szCs w:val="24"/>
        </w:rPr>
        <w:t>-positive repeat sample following a total coliform-positive routine sample.</w:t>
      </w:r>
    </w:p>
    <w:p w14:paraId="3A1C7873"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The supplier has a total coliform-positive repeat sample following an </w:t>
      </w:r>
      <w:r w:rsidRPr="001A7517">
        <w:rPr>
          <w:iCs/>
          <w:szCs w:val="24"/>
        </w:rPr>
        <w:t>E. coli</w:t>
      </w:r>
      <w:r w:rsidRPr="001A7517">
        <w:rPr>
          <w:szCs w:val="24"/>
        </w:rPr>
        <w:t>-positive routine sample.</w:t>
      </w:r>
    </w:p>
    <w:p w14:paraId="7145B69B"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 xml:space="preserve">The supplier fails to take all required repeat samples following an </w:t>
      </w:r>
      <w:r w:rsidRPr="001A7517">
        <w:rPr>
          <w:iCs/>
          <w:szCs w:val="24"/>
        </w:rPr>
        <w:t>E. coli</w:t>
      </w:r>
      <w:r w:rsidRPr="001A7517">
        <w:rPr>
          <w:szCs w:val="24"/>
        </w:rPr>
        <w:t>-positive routine sample.</w:t>
      </w:r>
    </w:p>
    <w:p w14:paraId="1A7B488E"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 xml:space="preserve">The supplier fails to test for </w:t>
      </w:r>
      <w:r w:rsidRPr="001A7517">
        <w:rPr>
          <w:iCs/>
          <w:szCs w:val="24"/>
        </w:rPr>
        <w:t xml:space="preserve">E. coli </w:t>
      </w:r>
      <w:r w:rsidRPr="001A7517">
        <w:rPr>
          <w:szCs w:val="24"/>
        </w:rPr>
        <w:t>when any repeat sample tests positive for total coliform.</w:t>
      </w:r>
    </w:p>
    <w:p w14:paraId="069B26F6"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Treatment Technique Violation</w:t>
      </w:r>
    </w:p>
    <w:p w14:paraId="093267C3"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A treatment technique violation occurs when a supplier exceeds a treatment technique trigger specified in Section 611.1059(a) and then fails </w:t>
      </w:r>
      <w:r w:rsidRPr="001A7517">
        <w:rPr>
          <w:szCs w:val="24"/>
        </w:rPr>
        <w:lastRenderedPageBreak/>
        <w:t>to conduct the required assessment or corrective actions within the timeframe specified in Section 611.1059(b) and (c).</w:t>
      </w:r>
    </w:p>
    <w:p w14:paraId="6DC366C0"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A treatment technique violation occurs when a seasonal system supplier fails to complete an Agency-approved start-up procedure prior to serving water to the public.</w:t>
      </w:r>
    </w:p>
    <w:p w14:paraId="7C49B574" w14:textId="77777777" w:rsidR="00057FFC" w:rsidRPr="001A7517" w:rsidRDefault="00057FFC" w:rsidP="00057FFC">
      <w:pPr>
        <w:spacing w:before="240" w:after="240"/>
        <w:ind w:left="1440" w:hanging="720"/>
        <w:rPr>
          <w:szCs w:val="24"/>
        </w:rPr>
      </w:pPr>
      <w:r w:rsidRPr="001A7517">
        <w:rPr>
          <w:szCs w:val="24"/>
        </w:rPr>
        <w:t>c)</w:t>
      </w:r>
      <w:r w:rsidRPr="001A7517">
        <w:rPr>
          <w:szCs w:val="24"/>
        </w:rPr>
        <w:tab/>
      </w:r>
      <w:r w:rsidRPr="001A7517">
        <w:rPr>
          <w:iCs/>
          <w:szCs w:val="24"/>
        </w:rPr>
        <w:t>Monitoring Violations</w:t>
      </w:r>
    </w:p>
    <w:p w14:paraId="32C31DF3"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Failure to take every required routine or additional routine sample in a compliance period is a monitoring violation.</w:t>
      </w:r>
    </w:p>
    <w:p w14:paraId="0260C208"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Failure to analyze for </w:t>
      </w:r>
      <w:r w:rsidRPr="001A7517">
        <w:rPr>
          <w:iCs/>
          <w:szCs w:val="24"/>
        </w:rPr>
        <w:t xml:space="preserve">E. coli </w:t>
      </w:r>
      <w:r w:rsidRPr="001A7517">
        <w:rPr>
          <w:szCs w:val="24"/>
        </w:rPr>
        <w:t>following a total coliform-positive routine sample is a monitoring violation.</w:t>
      </w:r>
    </w:p>
    <w:p w14:paraId="55005CB6" w14:textId="77777777" w:rsidR="00057FFC" w:rsidRPr="001A7517" w:rsidRDefault="00057FFC" w:rsidP="00057FFC">
      <w:pPr>
        <w:spacing w:before="240" w:after="240"/>
        <w:ind w:left="1440" w:hanging="720"/>
        <w:rPr>
          <w:szCs w:val="24"/>
        </w:rPr>
      </w:pPr>
      <w:r w:rsidRPr="001A7517">
        <w:rPr>
          <w:szCs w:val="24"/>
        </w:rPr>
        <w:t>d)</w:t>
      </w:r>
      <w:r w:rsidRPr="001A7517">
        <w:rPr>
          <w:szCs w:val="24"/>
        </w:rPr>
        <w:tab/>
      </w:r>
      <w:r w:rsidRPr="001A7517">
        <w:rPr>
          <w:iCs/>
          <w:szCs w:val="24"/>
        </w:rPr>
        <w:t>Reporting Violations</w:t>
      </w:r>
    </w:p>
    <w:p w14:paraId="09F1879E"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Failure to submit a monitoring report or completed assessment form after a supplier properly conducts monitoring or assessment in a timely manner is a reporting violation.</w:t>
      </w:r>
    </w:p>
    <w:p w14:paraId="11EC662F"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Failure to notify the Agency following an </w:t>
      </w:r>
      <w:r w:rsidRPr="001A7517">
        <w:rPr>
          <w:iCs/>
          <w:szCs w:val="24"/>
        </w:rPr>
        <w:t>E. coli</w:t>
      </w:r>
      <w:r w:rsidRPr="001A7517">
        <w:rPr>
          <w:szCs w:val="24"/>
        </w:rPr>
        <w:t>-positive sample as required by Section 611.1058(b)(1) in a timely manner is a reporting violation.</w:t>
      </w:r>
    </w:p>
    <w:p w14:paraId="3518CBE0"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Failure to submit certification of completion of Agency-approved start-up procedure by a seasonal system is a reporting violation.</w:t>
      </w:r>
    </w:p>
    <w:p w14:paraId="13523010" w14:textId="77777777" w:rsidR="00057FFC" w:rsidRPr="001A7517" w:rsidRDefault="00057FFC" w:rsidP="00057FFC">
      <w:pPr>
        <w:spacing w:before="240" w:after="240"/>
      </w:pPr>
      <w:r w:rsidRPr="001A7517">
        <w:t>BOARD NOTE:  Derived from 40 CFR 141.860.</w:t>
      </w:r>
    </w:p>
    <w:p w14:paraId="530A8790"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55FF9087" w14:textId="77777777" w:rsidR="00057FFC" w:rsidRPr="001A7517" w:rsidRDefault="00057FFC" w:rsidP="00057FFC">
      <w:pPr>
        <w:keepNext/>
        <w:keepLines/>
        <w:widowControl w:val="0"/>
        <w:spacing w:before="240" w:after="240"/>
        <w:rPr>
          <w:b/>
          <w:szCs w:val="24"/>
        </w:rPr>
      </w:pPr>
      <w:r w:rsidRPr="001A7517">
        <w:rPr>
          <w:b/>
          <w:szCs w:val="24"/>
        </w:rPr>
        <w:t xml:space="preserve">Section </w:t>
      </w:r>
      <w:bookmarkStart w:id="4530" w:name="_Hlk27063379"/>
      <w:r w:rsidRPr="001A7517">
        <w:rPr>
          <w:b/>
          <w:szCs w:val="24"/>
        </w:rPr>
        <w:t>611.1061</w:t>
      </w:r>
      <w:bookmarkEnd w:id="4530"/>
      <w:r w:rsidRPr="001A7517">
        <w:rPr>
          <w:b/>
          <w:szCs w:val="24"/>
        </w:rPr>
        <w:t xml:space="preserve">  Reporting and Recordkeeping</w:t>
      </w:r>
    </w:p>
    <w:p w14:paraId="4858767D" w14:textId="77777777" w:rsidR="00057FFC" w:rsidRPr="001A7517" w:rsidRDefault="00057FFC" w:rsidP="00057FFC">
      <w:pPr>
        <w:widowControl w:val="0"/>
        <w:spacing w:before="240" w:after="240"/>
        <w:ind w:left="1440" w:hanging="720"/>
        <w:rPr>
          <w:szCs w:val="24"/>
        </w:rPr>
      </w:pPr>
      <w:r w:rsidRPr="001A7517">
        <w:rPr>
          <w:szCs w:val="24"/>
        </w:rPr>
        <w:t>a)</w:t>
      </w:r>
      <w:r w:rsidRPr="001A7517">
        <w:rPr>
          <w:szCs w:val="24"/>
        </w:rPr>
        <w:tab/>
      </w:r>
      <w:r w:rsidRPr="001A7517">
        <w:rPr>
          <w:iCs/>
          <w:szCs w:val="24"/>
        </w:rPr>
        <w:t>Reporting</w:t>
      </w:r>
    </w:p>
    <w:p w14:paraId="04C68563" w14:textId="77777777" w:rsidR="00057FFC" w:rsidRPr="001A7517" w:rsidRDefault="00057FFC" w:rsidP="00057FFC">
      <w:pPr>
        <w:widowControl w:val="0"/>
        <w:spacing w:before="240" w:after="240"/>
        <w:ind w:left="2160" w:hanging="720"/>
        <w:rPr>
          <w:iCs/>
          <w:szCs w:val="24"/>
        </w:rPr>
      </w:pPr>
      <w:r w:rsidRPr="001A7517">
        <w:rPr>
          <w:szCs w:val="24"/>
        </w:rPr>
        <w:t>1)</w:t>
      </w:r>
      <w:r w:rsidRPr="001A7517">
        <w:rPr>
          <w:szCs w:val="24"/>
        </w:rPr>
        <w:tab/>
      </w:r>
      <w:r w:rsidRPr="001A7517">
        <w:rPr>
          <w:iCs/>
          <w:szCs w:val="24"/>
        </w:rPr>
        <w:t>E. coli</w:t>
      </w:r>
    </w:p>
    <w:p w14:paraId="4EF7D0A0" w14:textId="77777777" w:rsidR="00057FFC" w:rsidRPr="001A7517" w:rsidRDefault="00057FFC" w:rsidP="00057FFC">
      <w:pPr>
        <w:widowControl w:val="0"/>
        <w:spacing w:before="240" w:after="240"/>
        <w:ind w:left="2880" w:hanging="720"/>
        <w:rPr>
          <w:szCs w:val="24"/>
        </w:rPr>
      </w:pPr>
      <w:r w:rsidRPr="001A7517">
        <w:rPr>
          <w:szCs w:val="24"/>
        </w:rPr>
        <w:t>A)</w:t>
      </w:r>
      <w:r w:rsidRPr="001A7517">
        <w:rPr>
          <w:szCs w:val="24"/>
        </w:rPr>
        <w:tab/>
        <w:t xml:space="preserve">A supplier must notify the Agency by the end of the day when the system learns of an </w:t>
      </w:r>
      <w:r w:rsidRPr="001A7517">
        <w:rPr>
          <w:iCs/>
          <w:szCs w:val="24"/>
        </w:rPr>
        <w:t xml:space="preserve">E. coli </w:t>
      </w:r>
      <w:r w:rsidRPr="001A7517">
        <w:rPr>
          <w:szCs w:val="24"/>
        </w:rPr>
        <w:t xml:space="preserve">MCL violation, unless the supplier learns of the violation after the Agency office is closed and the Agency does not have either an after-hours phone line or an alternative notification procedure, in which case the supplier must notify the Agency before the end of the next business day, and the supplier notifies the public in accordance with </w:t>
      </w:r>
      <w:bookmarkStart w:id="4531" w:name="_Hlk15311991"/>
      <w:r w:rsidRPr="001A7517">
        <w:rPr>
          <w:szCs w:val="24"/>
        </w:rPr>
        <w:t>Subpart V</w:t>
      </w:r>
      <w:bookmarkEnd w:id="4531"/>
      <w:r w:rsidRPr="001A7517">
        <w:rPr>
          <w:szCs w:val="24"/>
        </w:rPr>
        <w:t>.</w:t>
      </w:r>
    </w:p>
    <w:p w14:paraId="140B63AB" w14:textId="77777777" w:rsidR="00057FFC" w:rsidRPr="001A7517" w:rsidRDefault="00057FFC" w:rsidP="00057FFC">
      <w:pPr>
        <w:widowControl w:val="0"/>
        <w:spacing w:before="240" w:after="240"/>
        <w:ind w:left="2880" w:hanging="720"/>
        <w:rPr>
          <w:szCs w:val="24"/>
        </w:rPr>
      </w:pPr>
      <w:r w:rsidRPr="001A7517">
        <w:rPr>
          <w:szCs w:val="24"/>
        </w:rPr>
        <w:t>B)</w:t>
      </w:r>
      <w:r w:rsidRPr="001A7517">
        <w:rPr>
          <w:szCs w:val="24"/>
        </w:rPr>
        <w:tab/>
        <w:t xml:space="preserve">A supplier must notify the Agency by the end of the day when the </w:t>
      </w:r>
      <w:r w:rsidRPr="001A7517">
        <w:rPr>
          <w:szCs w:val="24"/>
        </w:rPr>
        <w:lastRenderedPageBreak/>
        <w:t xml:space="preserve">supplier is notified of an </w:t>
      </w:r>
      <w:r w:rsidRPr="001A7517">
        <w:rPr>
          <w:iCs/>
          <w:szCs w:val="24"/>
        </w:rPr>
        <w:t>E. coli-</w:t>
      </w:r>
      <w:r w:rsidRPr="001A7517">
        <w:rPr>
          <w:szCs w:val="24"/>
        </w:rPr>
        <w:t>positive routine sample, unless the supplier is notified of the result after the Agency office is closed and the Agency does not have either an after-hours phone line or an alternative notification procedure, in which case the supplier must notify the Agency before the end of the next business day.</w:t>
      </w:r>
    </w:p>
    <w:p w14:paraId="13FB4CEC" w14:textId="77777777" w:rsidR="00057FFC" w:rsidRPr="001A7517" w:rsidRDefault="00057FFC" w:rsidP="00057FFC">
      <w:pPr>
        <w:widowControl w:val="0"/>
        <w:spacing w:before="240" w:after="240"/>
        <w:ind w:left="2160" w:hanging="720"/>
        <w:rPr>
          <w:szCs w:val="24"/>
        </w:rPr>
      </w:pPr>
      <w:r w:rsidRPr="001A7517">
        <w:rPr>
          <w:szCs w:val="24"/>
        </w:rPr>
        <w:t>2)</w:t>
      </w:r>
      <w:r w:rsidRPr="001A7517">
        <w:rPr>
          <w:szCs w:val="24"/>
        </w:rPr>
        <w:tab/>
        <w:t>A supplier that has violated the treatment technique for coliforms in Section 611.1059 must report the violation to the Agency no later than the end of the next business day after it learns of the violation, and notify the public in accordance with Subpart V.</w:t>
      </w:r>
    </w:p>
    <w:p w14:paraId="2AC2BD3F" w14:textId="77777777" w:rsidR="00057FFC" w:rsidRPr="001A7517" w:rsidRDefault="00057FFC" w:rsidP="00057FFC">
      <w:pPr>
        <w:widowControl w:val="0"/>
        <w:spacing w:before="240" w:after="240"/>
        <w:ind w:left="2160" w:hanging="720"/>
        <w:rPr>
          <w:szCs w:val="24"/>
        </w:rPr>
      </w:pPr>
      <w:r w:rsidRPr="001A7517">
        <w:rPr>
          <w:szCs w:val="24"/>
        </w:rPr>
        <w:t>3)</w:t>
      </w:r>
      <w:r w:rsidRPr="001A7517">
        <w:rPr>
          <w:szCs w:val="24"/>
        </w:rPr>
        <w:tab/>
        <w:t>A supplier required to conduct an assessment under the provisions of Section 611.1059 must submit the assessment report within 30 days.  The supplier must notify the Agency in accordance with Section 611.1059(c) when each scheduled corrective action is completed for corrections not completed by the time of submission of the assessment form.</w:t>
      </w:r>
    </w:p>
    <w:p w14:paraId="0BE2E69E" w14:textId="77777777" w:rsidR="00057FFC" w:rsidRPr="001A7517" w:rsidRDefault="00057FFC" w:rsidP="00057FFC">
      <w:pPr>
        <w:widowControl w:val="0"/>
        <w:spacing w:before="240" w:after="240"/>
        <w:ind w:left="2160" w:hanging="720"/>
        <w:rPr>
          <w:szCs w:val="24"/>
        </w:rPr>
      </w:pPr>
      <w:r w:rsidRPr="001A7517">
        <w:rPr>
          <w:szCs w:val="24"/>
        </w:rPr>
        <w:t>4)</w:t>
      </w:r>
      <w:r w:rsidRPr="001A7517">
        <w:rPr>
          <w:szCs w:val="24"/>
        </w:rPr>
        <w:tab/>
        <w:t xml:space="preserve">A supplier that has failed to comply with a coliform monitoring requirement must report the monitoring violation to the Agency within </w:t>
      </w:r>
      <w:r w:rsidRPr="001A7517">
        <w:t xml:space="preserve">ten </w:t>
      </w:r>
      <w:r w:rsidRPr="001A7517">
        <w:rPr>
          <w:szCs w:val="24"/>
        </w:rPr>
        <w:t>days after the supplier discovers the violation, and notify the public in accordance with Subpart V.</w:t>
      </w:r>
    </w:p>
    <w:p w14:paraId="1AB5EEE0" w14:textId="77777777" w:rsidR="00057FFC" w:rsidRPr="001A7517" w:rsidRDefault="00057FFC" w:rsidP="00057FFC">
      <w:pPr>
        <w:widowControl w:val="0"/>
        <w:spacing w:before="240" w:after="240"/>
        <w:ind w:left="2160" w:hanging="720"/>
        <w:rPr>
          <w:szCs w:val="24"/>
        </w:rPr>
      </w:pPr>
      <w:r w:rsidRPr="001A7517">
        <w:rPr>
          <w:szCs w:val="24"/>
        </w:rPr>
        <w:t>5)</w:t>
      </w:r>
      <w:r w:rsidRPr="001A7517">
        <w:rPr>
          <w:szCs w:val="24"/>
        </w:rPr>
        <w:tab/>
        <w:t>A seasonal system supplier must certify, prior to serving water to the public, that it has complied with the Agency-approved start-up procedure.</w:t>
      </w:r>
    </w:p>
    <w:p w14:paraId="5099D90C" w14:textId="77777777" w:rsidR="00057FFC" w:rsidRPr="001A7517" w:rsidRDefault="00057FFC" w:rsidP="00057FFC">
      <w:pPr>
        <w:widowControl w:val="0"/>
        <w:spacing w:before="240" w:after="240"/>
        <w:ind w:left="1440" w:hanging="720"/>
        <w:rPr>
          <w:szCs w:val="24"/>
        </w:rPr>
      </w:pPr>
      <w:r w:rsidRPr="001A7517">
        <w:rPr>
          <w:szCs w:val="24"/>
        </w:rPr>
        <w:t>b)</w:t>
      </w:r>
      <w:r w:rsidRPr="001A7517">
        <w:rPr>
          <w:szCs w:val="24"/>
        </w:rPr>
        <w:tab/>
      </w:r>
      <w:r w:rsidRPr="001A7517">
        <w:rPr>
          <w:iCs/>
          <w:szCs w:val="24"/>
        </w:rPr>
        <w:t>Recordkeeping</w:t>
      </w:r>
    </w:p>
    <w:p w14:paraId="39287AC0" w14:textId="77777777" w:rsidR="00057FFC" w:rsidRPr="001A7517" w:rsidRDefault="00057FFC" w:rsidP="00057FFC">
      <w:pPr>
        <w:widowControl w:val="0"/>
        <w:spacing w:before="240" w:after="240"/>
        <w:ind w:left="2160" w:hanging="720"/>
        <w:rPr>
          <w:szCs w:val="24"/>
        </w:rPr>
      </w:pPr>
      <w:r w:rsidRPr="001A7517">
        <w:rPr>
          <w:szCs w:val="24"/>
        </w:rPr>
        <w:t>1)</w:t>
      </w:r>
      <w:r w:rsidRPr="001A7517">
        <w:rPr>
          <w:szCs w:val="24"/>
        </w:rPr>
        <w:tab/>
        <w:t>The supplier must maintain any assessment form, regardless of who conducts the assessment, and documentation of corrective actions completed as a result of those assessments, or other available summary documentation of the sanitary defects and corrective actions taken under Section 611.1059 for Agency review.  This record must be maintained by the supplier for a period not less than five years after completion of the assessment or corrective action.</w:t>
      </w:r>
    </w:p>
    <w:p w14:paraId="60F9E5F9" w14:textId="77777777" w:rsidR="00057FFC" w:rsidRPr="001A7517" w:rsidRDefault="00057FFC" w:rsidP="00057FFC">
      <w:pPr>
        <w:widowControl w:val="0"/>
        <w:spacing w:before="240" w:after="240"/>
        <w:ind w:left="2160" w:hanging="720"/>
        <w:rPr>
          <w:szCs w:val="24"/>
        </w:rPr>
      </w:pPr>
      <w:r w:rsidRPr="001A7517">
        <w:rPr>
          <w:szCs w:val="24"/>
        </w:rPr>
        <w:t>2)</w:t>
      </w:r>
      <w:r w:rsidRPr="001A7517">
        <w:rPr>
          <w:szCs w:val="24"/>
        </w:rPr>
        <w:tab/>
        <w:t>The supplier must maintain a record of any repeat sample taken that meets Agency criteria for an extension of the 24-hour period for collecting repeat samples as provided for under Section 611.1058(a)(1).</w:t>
      </w:r>
    </w:p>
    <w:p w14:paraId="6DF87392" w14:textId="77777777" w:rsidR="00057FFC" w:rsidRPr="001A7517" w:rsidRDefault="00057FFC" w:rsidP="00057FFC">
      <w:pPr>
        <w:widowControl w:val="0"/>
        <w:spacing w:before="240" w:after="240"/>
      </w:pPr>
      <w:r w:rsidRPr="001A7517">
        <w:t>BOARD NOTE:  Derived from 40 CFR 141.861.</w:t>
      </w:r>
    </w:p>
    <w:p w14:paraId="6F769A61" w14:textId="6411FEB8" w:rsidR="00057FFC" w:rsidRDefault="00057FFC" w:rsidP="00057FFC">
      <w:pPr>
        <w:suppressAutoHyphens/>
        <w:ind w:left="720"/>
      </w:pPr>
      <w:r w:rsidRPr="001A7517">
        <w:t>(Source:  A</w:t>
      </w:r>
      <w:r w:rsidRPr="001A7517">
        <w:rPr>
          <w:szCs w:val="17"/>
        </w:rPr>
        <w:t xml:space="preserve">mended at </w:t>
      </w:r>
      <w:r w:rsidRPr="001A7517">
        <w:t>44 Ill. Reg. 6996, effective April 17, 2020)</w:t>
      </w:r>
    </w:p>
    <w:p w14:paraId="2165B7C8" w14:textId="77777777" w:rsidR="00057FFC" w:rsidRDefault="00057FFC" w:rsidP="00057FFC">
      <w:pPr>
        <w:suppressAutoHyphens/>
        <w:ind w:left="720"/>
      </w:pPr>
    </w:p>
    <w:p w14:paraId="6C4A913B" w14:textId="67C91F4E" w:rsidR="00057FFC" w:rsidRDefault="00057FFC" w:rsidP="00057FFC">
      <w:pPr>
        <w:suppressAutoHyphens/>
        <w:ind w:left="720"/>
        <w:jc w:val="center"/>
      </w:pPr>
      <w:r>
        <w:t>SUBPART AG:  INTERIM LEAD AND COPPER RULES</w:t>
      </w:r>
    </w:p>
    <w:p w14:paraId="29C2DDD0" w14:textId="77777777" w:rsidR="00057FFC" w:rsidRPr="001A7517" w:rsidRDefault="00057FFC" w:rsidP="00057FFC">
      <w:pPr>
        <w:suppressAutoHyphens/>
        <w:ind w:left="720"/>
        <w:jc w:val="center"/>
      </w:pPr>
    </w:p>
    <w:bookmarkEnd w:id="4487"/>
    <w:p w14:paraId="6D53659C" w14:textId="77777777" w:rsidR="00B50A91" w:rsidRPr="003B4362" w:rsidRDefault="00B50A91" w:rsidP="00057FFC">
      <w:pPr>
        <w:rPr>
          <w:rFonts w:eastAsia="Calibri"/>
          <w:b/>
          <w:bCs/>
        </w:rPr>
      </w:pPr>
      <w:r w:rsidRPr="003B4362">
        <w:rPr>
          <w:rFonts w:eastAsia="Calibri"/>
          <w:b/>
          <w:bCs/>
        </w:rPr>
        <w:t>Section 611.1350  General Requirements</w:t>
      </w:r>
    </w:p>
    <w:p w14:paraId="4EA9DF51" w14:textId="77777777" w:rsidR="00E46816" w:rsidRDefault="00E46816" w:rsidP="00E46816">
      <w:pPr>
        <w:ind w:left="720"/>
        <w:rPr>
          <w:rFonts w:eastAsia="Calibri"/>
        </w:rPr>
      </w:pPr>
    </w:p>
    <w:p w14:paraId="336DF5A1" w14:textId="13200699" w:rsidR="00B50A91" w:rsidRPr="003B4362" w:rsidRDefault="00B50A91" w:rsidP="00E46816">
      <w:pPr>
        <w:ind w:left="720"/>
        <w:rPr>
          <w:rFonts w:eastAsia="Calibri"/>
        </w:rPr>
      </w:pPr>
      <w:r w:rsidRPr="003B4362">
        <w:rPr>
          <w:rFonts w:eastAsia="Calibri"/>
        </w:rPr>
        <w:t>a)</w:t>
      </w:r>
      <w:r w:rsidRPr="003B4362">
        <w:rPr>
          <w:rFonts w:eastAsia="Calibri"/>
        </w:rPr>
        <w:tab/>
        <w:t>Applicability and Scope</w:t>
      </w:r>
    </w:p>
    <w:p w14:paraId="37E6F4ED" w14:textId="77777777" w:rsidR="00E46816" w:rsidRDefault="00E46816" w:rsidP="00E46816">
      <w:pPr>
        <w:ind w:left="2160" w:hanging="720"/>
        <w:rPr>
          <w:rFonts w:eastAsia="Calibri"/>
        </w:rPr>
      </w:pPr>
    </w:p>
    <w:p w14:paraId="1C74E0F4" w14:textId="65E9080E" w:rsidR="00B50A91" w:rsidRPr="003B4362" w:rsidRDefault="00B50A91" w:rsidP="00E46816">
      <w:pPr>
        <w:ind w:left="2160" w:hanging="720"/>
        <w:rPr>
          <w:rFonts w:eastAsia="Calibri"/>
        </w:rPr>
      </w:pPr>
      <w:r w:rsidRPr="003B4362">
        <w:rPr>
          <w:rFonts w:eastAsia="Calibri"/>
        </w:rPr>
        <w:t>1)</w:t>
      </w:r>
      <w:r w:rsidRPr="003B4362">
        <w:rPr>
          <w:rFonts w:eastAsia="Calibri"/>
        </w:rPr>
        <w:tab/>
        <w:t>Applicability</w:t>
      </w:r>
      <w:bookmarkStart w:id="4532" w:name="_Hlk115714030"/>
      <w:r w:rsidRPr="003B4362">
        <w:rPr>
          <w:rFonts w:eastAsia="Calibri"/>
        </w:rPr>
        <w:t xml:space="preserve"> and Complying with this Subpart AG</w:t>
      </w:r>
      <w:bookmarkEnd w:id="4532"/>
      <w:r w:rsidRPr="003B4362">
        <w:rPr>
          <w:rFonts w:eastAsia="Calibri"/>
        </w:rPr>
        <w:t>.  Subpart G and this Subpart AG constitute NPDWRs for lead and copper.  Subpart G and this Subpart AG apply to all community water systems (CWSs) and non-transient, non-community water systems (NTNCWSs).</w:t>
      </w:r>
    </w:p>
    <w:p w14:paraId="1AFBF205" w14:textId="77777777" w:rsidR="00E46816" w:rsidRDefault="00E46816" w:rsidP="00E46816">
      <w:pPr>
        <w:ind w:left="2880" w:hanging="720"/>
        <w:rPr>
          <w:rFonts w:eastAsia="Calibri"/>
        </w:rPr>
      </w:pPr>
      <w:bookmarkStart w:id="4533" w:name="_Hlk115704313"/>
    </w:p>
    <w:p w14:paraId="4AE6C4B6" w14:textId="324EFAE5" w:rsidR="00B50A91" w:rsidRPr="003B4362" w:rsidRDefault="00B50A91" w:rsidP="00E46816">
      <w:pPr>
        <w:ind w:left="2880" w:hanging="720"/>
        <w:rPr>
          <w:rFonts w:eastAsia="Calibri"/>
        </w:rPr>
      </w:pPr>
      <w:r w:rsidRPr="003B4362">
        <w:rPr>
          <w:rFonts w:eastAsia="Calibri"/>
        </w:rPr>
        <w:t>A)</w:t>
      </w:r>
      <w:r w:rsidRPr="003B4362">
        <w:rPr>
          <w:rFonts w:eastAsia="Calibri"/>
        </w:rPr>
        <w:tab/>
        <w:t xml:space="preserve">A supplier must comply with this Subpart AG </w:t>
      </w:r>
      <w:bookmarkStart w:id="4534" w:name="_Hlk115983657"/>
      <w:r w:rsidRPr="003B4362">
        <w:rPr>
          <w:rFonts w:eastAsia="Calibri"/>
        </w:rPr>
        <w:t xml:space="preserve">until the earlier of when </w:t>
      </w:r>
      <w:r w:rsidR="007465BE" w:rsidRPr="003B4362">
        <w:rPr>
          <w:rFonts w:eastAsia="Calibri"/>
        </w:rPr>
        <w:t>the</w:t>
      </w:r>
      <w:r w:rsidRPr="003B4362">
        <w:rPr>
          <w:rFonts w:eastAsia="Calibri"/>
        </w:rPr>
        <w:t xml:space="preserve"> supplier complies with Subpart </w:t>
      </w:r>
      <w:r w:rsidR="00A62B08" w:rsidRPr="003B4362">
        <w:rPr>
          <w:rFonts w:eastAsia="Calibri"/>
        </w:rPr>
        <w:t>A</w:t>
      </w:r>
      <w:r w:rsidRPr="003B4362">
        <w:rPr>
          <w:rFonts w:eastAsia="Calibri"/>
        </w:rPr>
        <w:t>G or October 16, 2024</w:t>
      </w:r>
      <w:bookmarkEnd w:id="4534"/>
      <w:r w:rsidRPr="003B4362">
        <w:rPr>
          <w:rFonts w:eastAsia="Calibri"/>
        </w:rPr>
        <w:t>.</w:t>
      </w:r>
    </w:p>
    <w:p w14:paraId="2E06523B" w14:textId="77777777" w:rsidR="00E46816" w:rsidRDefault="00E46816" w:rsidP="00E46816">
      <w:pPr>
        <w:ind w:left="2880" w:hanging="720"/>
        <w:rPr>
          <w:rFonts w:eastAsia="Calibri"/>
        </w:rPr>
      </w:pPr>
    </w:p>
    <w:p w14:paraId="12154C51" w14:textId="4E806097" w:rsidR="00B50A91" w:rsidRPr="003B4362" w:rsidRDefault="00B50A91" w:rsidP="00E46816">
      <w:pPr>
        <w:ind w:left="2880" w:hanging="720"/>
        <w:rPr>
          <w:rFonts w:eastAsia="Calibri"/>
        </w:rPr>
      </w:pPr>
      <w:r w:rsidRPr="003B4362">
        <w:rPr>
          <w:rFonts w:eastAsia="Calibri"/>
        </w:rPr>
        <w:t>B)</w:t>
      </w:r>
      <w:r w:rsidRPr="003B4362">
        <w:rPr>
          <w:rFonts w:eastAsia="Calibri"/>
        </w:rPr>
        <w:tab/>
        <w:t xml:space="preserve">If the Agency issued a SEP prior to December 16, 2021, exempting a supplier </w:t>
      </w:r>
      <w:r w:rsidR="00CD6C67" w:rsidRPr="003B4362">
        <w:rPr>
          <w:rFonts w:eastAsia="Calibri"/>
        </w:rPr>
        <w:t>under</w:t>
      </w:r>
      <w:r w:rsidRPr="003B4362">
        <w:rPr>
          <w:rFonts w:eastAsia="Calibri"/>
        </w:rPr>
        <w:t xml:space="preserve"> any rule in </w:t>
      </w:r>
      <w:r w:rsidR="00C47D54" w:rsidRPr="003B4362">
        <w:rPr>
          <w:rFonts w:eastAsia="Calibri"/>
        </w:rPr>
        <w:t xml:space="preserve">former </w:t>
      </w:r>
      <w:r w:rsidRPr="003B4362">
        <w:rPr>
          <w:rFonts w:eastAsia="Calibri"/>
        </w:rPr>
        <w:t>Subpart G (now this Subpart AG), the supplier must comply with this Subpart AG until that SEP expires.</w:t>
      </w:r>
    </w:p>
    <w:p w14:paraId="21806EFD" w14:textId="77777777" w:rsidR="00E46816" w:rsidRDefault="00E46816" w:rsidP="00E46816">
      <w:pPr>
        <w:ind w:left="2880" w:hanging="720"/>
        <w:rPr>
          <w:rFonts w:eastAsia="Calibri"/>
        </w:rPr>
      </w:pPr>
    </w:p>
    <w:p w14:paraId="444C2864" w14:textId="438D5EF3" w:rsidR="00B50A91" w:rsidRPr="003B4362" w:rsidRDefault="001C40D0" w:rsidP="00E46816">
      <w:pPr>
        <w:ind w:left="2880" w:hanging="720"/>
        <w:rPr>
          <w:rFonts w:eastAsia="Calibri"/>
        </w:rPr>
      </w:pPr>
      <w:r w:rsidRPr="003B4362">
        <w:rPr>
          <w:rFonts w:eastAsia="Calibri"/>
        </w:rPr>
        <w:t>C</w:t>
      </w:r>
      <w:r w:rsidR="00B50A91" w:rsidRPr="003B4362">
        <w:rPr>
          <w:rFonts w:eastAsia="Calibri"/>
        </w:rPr>
        <w:t>)</w:t>
      </w:r>
      <w:r w:rsidR="00B50A91" w:rsidRPr="003B4362">
        <w:rPr>
          <w:rFonts w:eastAsia="Calibri"/>
        </w:rPr>
        <w:tab/>
        <w:t>The Agency may issue a SEP requiring a supplier to comply with specifi</w:t>
      </w:r>
      <w:r w:rsidR="009E3B9E" w:rsidRPr="003B4362">
        <w:rPr>
          <w:rFonts w:eastAsia="Calibri"/>
        </w:rPr>
        <w:t>ed</w:t>
      </w:r>
      <w:r w:rsidR="00B50A91" w:rsidRPr="003B4362">
        <w:rPr>
          <w:rFonts w:eastAsia="Calibri"/>
        </w:rPr>
        <w:t xml:space="preserve"> rules in Subpart G </w:t>
      </w:r>
      <w:r w:rsidRPr="003B4362">
        <w:rPr>
          <w:szCs w:val="24"/>
        </w:rPr>
        <w:t xml:space="preserve">before </w:t>
      </w:r>
      <w:r w:rsidRPr="003B4362">
        <w:rPr>
          <w:rFonts w:eastAsia="Calibri"/>
        </w:rPr>
        <w:t>Section 611.350(a)(1)(A) or (a)(1)(B)</w:t>
      </w:r>
      <w:r w:rsidRPr="003B4362">
        <w:rPr>
          <w:szCs w:val="24"/>
        </w:rPr>
        <w:t xml:space="preserve"> otherwise requires or </w:t>
      </w:r>
      <w:r w:rsidR="00B50A91" w:rsidRPr="003B4362">
        <w:rPr>
          <w:rFonts w:eastAsia="Calibri"/>
        </w:rPr>
        <w:t xml:space="preserve">as necessary to address issues in a notice the Agency received from USEPA under 40 CFR 142.23 or 142.30.  </w:t>
      </w:r>
      <w:r w:rsidR="00246898" w:rsidRPr="003B4362">
        <w:rPr>
          <w:rFonts w:eastAsia="Calibri"/>
        </w:rPr>
        <w:t xml:space="preserve">The SEP must specify the rules in Subpart G with which the supplier must comply and their counterparts in this Subpart AG with which the supplier needs no longer comply.  The supplier must comply with the SEP-specified Subpart G rules in lieu of their counterparts in </w:t>
      </w:r>
      <w:r w:rsidR="005A68F0" w:rsidRPr="003B4362">
        <w:rPr>
          <w:rFonts w:eastAsia="Calibri"/>
        </w:rPr>
        <w:t xml:space="preserve">this </w:t>
      </w:r>
      <w:r w:rsidR="00246898" w:rsidRPr="003B4362">
        <w:rPr>
          <w:rFonts w:eastAsia="Calibri"/>
        </w:rPr>
        <w:t>Subpart AG.</w:t>
      </w:r>
    </w:p>
    <w:bookmarkEnd w:id="4533"/>
    <w:p w14:paraId="3442E753" w14:textId="77777777" w:rsidR="00E46816" w:rsidRDefault="00E46816" w:rsidP="00E46816">
      <w:pPr>
        <w:ind w:left="2880" w:hanging="720"/>
        <w:rPr>
          <w:rFonts w:eastAsia="Calibri"/>
        </w:rPr>
      </w:pPr>
    </w:p>
    <w:p w14:paraId="458F9D14" w14:textId="572EAA2A" w:rsidR="00B50A91" w:rsidRPr="003B4362" w:rsidRDefault="001C40D0" w:rsidP="00E46816">
      <w:pPr>
        <w:ind w:left="2880" w:hanging="720"/>
        <w:rPr>
          <w:rFonts w:eastAsia="Calibri"/>
        </w:rPr>
      </w:pPr>
      <w:r w:rsidRPr="003B4362">
        <w:rPr>
          <w:rFonts w:eastAsia="Calibri"/>
        </w:rPr>
        <w:t>D</w:t>
      </w:r>
      <w:r w:rsidR="00B50A91" w:rsidRPr="003B4362">
        <w:rPr>
          <w:rFonts w:eastAsia="Calibri"/>
        </w:rPr>
        <w:t>)</w:t>
      </w:r>
      <w:r w:rsidR="00B50A91" w:rsidRPr="003B4362">
        <w:rPr>
          <w:rFonts w:eastAsia="Calibri"/>
        </w:rPr>
        <w:tab/>
        <w:t>Relationship Between Subpart G and Subpart AG Rules</w:t>
      </w:r>
    </w:p>
    <w:p w14:paraId="7673B22C" w14:textId="77777777" w:rsidR="00E46816" w:rsidRDefault="00E46816" w:rsidP="00E46816">
      <w:pPr>
        <w:ind w:left="3600" w:hanging="720"/>
        <w:rPr>
          <w:rFonts w:eastAsia="Calibri"/>
        </w:rPr>
      </w:pPr>
    </w:p>
    <w:p w14:paraId="3189F25E" w14:textId="05B11B5F" w:rsidR="00B50A91" w:rsidRPr="003B4362" w:rsidRDefault="00B50A91" w:rsidP="00E46816">
      <w:pPr>
        <w:ind w:left="3600" w:hanging="720"/>
        <w:rPr>
          <w:rFonts w:eastAsia="Calibri"/>
        </w:rPr>
      </w:pPr>
      <w:r w:rsidRPr="003B4362">
        <w:rPr>
          <w:rFonts w:eastAsia="Calibri"/>
        </w:rPr>
        <w:t>i)</w:t>
      </w:r>
      <w:r w:rsidRPr="003B4362">
        <w:rPr>
          <w:rFonts w:eastAsia="Calibri"/>
        </w:rPr>
        <w:tab/>
        <w:t xml:space="preserve">The rules in this Subpart AG are based on Subpart G as it existed on December </w:t>
      </w:r>
      <w:r w:rsidR="002068F7" w:rsidRPr="003B4362">
        <w:rPr>
          <w:rFonts w:eastAsia="Calibri"/>
        </w:rPr>
        <w:t>16</w:t>
      </w:r>
      <w:r w:rsidRPr="003B4362">
        <w:rPr>
          <w:rFonts w:eastAsia="Calibri"/>
        </w:rPr>
        <w:t>, 2021, the effective date of USEPA’s Lead and Copper Rule Revisions.</w:t>
      </w:r>
    </w:p>
    <w:p w14:paraId="11708F4B" w14:textId="77777777" w:rsidR="00E46816" w:rsidRDefault="00E46816" w:rsidP="00E46816">
      <w:pPr>
        <w:ind w:left="3600" w:hanging="720"/>
        <w:rPr>
          <w:rFonts w:eastAsia="Calibri"/>
        </w:rPr>
      </w:pPr>
    </w:p>
    <w:p w14:paraId="1423BB6B" w14:textId="4F8737B2" w:rsidR="00B50A91" w:rsidRPr="003B4362" w:rsidRDefault="00B50A91" w:rsidP="00E46816">
      <w:pPr>
        <w:ind w:left="3600" w:hanging="720"/>
        <w:rPr>
          <w:rFonts w:eastAsia="Calibri"/>
        </w:rPr>
      </w:pPr>
      <w:r w:rsidRPr="003B4362">
        <w:rPr>
          <w:rFonts w:eastAsia="Calibri"/>
        </w:rPr>
        <w:t>ii)</w:t>
      </w:r>
      <w:r w:rsidRPr="003B4362">
        <w:rPr>
          <w:rFonts w:eastAsia="Calibri"/>
        </w:rPr>
        <w:tab/>
        <w:t>Each rule in this Subpart AG corresponds with a rule in Subpart G by adding the digit “1” immediately after “611.” in the Section number.  Removing that “1” from the Section number of a rule in this Subpart AG gives the corresponding rule in Subpart G.</w:t>
      </w:r>
    </w:p>
    <w:p w14:paraId="7DA1940A" w14:textId="77777777" w:rsidR="00E46816" w:rsidRDefault="00E46816" w:rsidP="00E46816">
      <w:pPr>
        <w:ind w:left="3600" w:hanging="720"/>
        <w:rPr>
          <w:rFonts w:eastAsia="Calibri"/>
        </w:rPr>
      </w:pPr>
    </w:p>
    <w:p w14:paraId="39D9C559" w14:textId="2635EBBE" w:rsidR="00B50A91" w:rsidRPr="003B4362" w:rsidRDefault="00B50A91" w:rsidP="00E46816">
      <w:pPr>
        <w:ind w:left="3600" w:hanging="720"/>
        <w:rPr>
          <w:rFonts w:eastAsia="Calibri"/>
        </w:rPr>
      </w:pPr>
      <w:r w:rsidRPr="003B4362">
        <w:rPr>
          <w:rFonts w:eastAsia="Calibri"/>
        </w:rPr>
        <w:t>iii)</w:t>
      </w:r>
      <w:r w:rsidRPr="003B4362">
        <w:rPr>
          <w:rFonts w:eastAsia="Calibri"/>
        </w:rPr>
        <w:tab/>
      </w:r>
      <w:r w:rsidR="001C40D0" w:rsidRPr="003B4362">
        <w:rPr>
          <w:rFonts w:eastAsia="Calibri"/>
        </w:rPr>
        <w:t xml:space="preserve">Any action under a rule that was in Subpart G before December 16, 2021, satisfies the corresponding rule in this Subpart AG. </w:t>
      </w:r>
    </w:p>
    <w:p w14:paraId="6D83BBE8" w14:textId="77777777" w:rsidR="00E46816" w:rsidRDefault="00E46816" w:rsidP="00E46816">
      <w:pPr>
        <w:ind w:left="2160"/>
        <w:rPr>
          <w:rFonts w:eastAsia="Calibri"/>
        </w:rPr>
      </w:pPr>
    </w:p>
    <w:p w14:paraId="7274BA20" w14:textId="3AB9306E" w:rsidR="00B50A91" w:rsidRPr="003B4362" w:rsidRDefault="00B50A91" w:rsidP="00E46816">
      <w:pPr>
        <w:ind w:left="2160"/>
        <w:rPr>
          <w:rFonts w:eastAsia="Calibri"/>
        </w:rPr>
      </w:pPr>
      <w:r w:rsidRPr="003B4362">
        <w:rPr>
          <w:rFonts w:eastAsia="Calibri"/>
        </w:rPr>
        <w:t xml:space="preserve">BOARD NOTE:  USEPA’s LCRR apply to all suppliers on December </w:t>
      </w:r>
      <w:r w:rsidR="002068F7" w:rsidRPr="003B4362">
        <w:rPr>
          <w:rFonts w:eastAsia="Calibri"/>
        </w:rPr>
        <w:t>16</w:t>
      </w:r>
      <w:r w:rsidRPr="003B4362">
        <w:rPr>
          <w:rFonts w:eastAsia="Calibri"/>
        </w:rPr>
        <w:t xml:space="preserve">, 2021.  However, USEPA delays </w:t>
      </w:r>
      <w:r w:rsidR="001C3BA3" w:rsidRPr="003B4362">
        <w:rPr>
          <w:rFonts w:eastAsia="Calibri"/>
        </w:rPr>
        <w:t>requiring compliance</w:t>
      </w:r>
      <w:r w:rsidRPr="003B4362">
        <w:rPr>
          <w:rFonts w:eastAsia="Calibri"/>
        </w:rPr>
        <w:t xml:space="preserve"> with LCRR until October 16, 2024, when any previously granted exemption expires, or as </w:t>
      </w:r>
      <w:r w:rsidRPr="003B4362">
        <w:rPr>
          <w:rFonts w:eastAsia="Calibri"/>
        </w:rPr>
        <w:lastRenderedPageBreak/>
        <w:t>provided otherwise by any of several specified rules for corrosion control treatment; lead service line replacement; public education, supplemental monitoring, and mitigation; monitoring; and reporting (corresponding with 35 Ill. Adm. Code 611.351, 611.354, 611.3</w:t>
      </w:r>
      <w:r w:rsidR="003D46C7" w:rsidRPr="003B4362">
        <w:rPr>
          <w:rFonts w:eastAsia="Calibri"/>
        </w:rPr>
        <w:t>5</w:t>
      </w:r>
      <w:r w:rsidRPr="003B4362">
        <w:rPr>
          <w:rFonts w:eastAsia="Calibri"/>
        </w:rPr>
        <w:t>5, 611.3</w:t>
      </w:r>
      <w:r w:rsidR="003D46C7" w:rsidRPr="003B4362">
        <w:rPr>
          <w:rFonts w:eastAsia="Calibri"/>
        </w:rPr>
        <w:t>5</w:t>
      </w:r>
      <w:r w:rsidRPr="003B4362">
        <w:rPr>
          <w:rFonts w:eastAsia="Calibri"/>
        </w:rPr>
        <w:t xml:space="preserve">6, or 611.360).  Until a supplier must comply with the LCRR, USEPA requires the supplier to comply with subpart I of 40 CFR 141 (2020).  </w:t>
      </w:r>
      <w:bookmarkStart w:id="4535" w:name="_Hlk115722763"/>
      <w:r w:rsidRPr="003B4362">
        <w:rPr>
          <w:rFonts w:eastAsia="Calibri"/>
        </w:rPr>
        <w:t>This requires the Board to codify two versions of the Lead and Copper Rule:  one in this Subpart AG, representing the Lead and Copper Rules prior to the LCRR (40 CFR 141 (2020)), and the other in Subpart G, representing 40 CFR 141 incorporating the LCRR.</w:t>
      </w:r>
      <w:bookmarkEnd w:id="4535"/>
    </w:p>
    <w:p w14:paraId="53F79A6A" w14:textId="77777777" w:rsidR="00E46816" w:rsidRDefault="00E46816" w:rsidP="00E46816">
      <w:pPr>
        <w:ind w:left="2160" w:hanging="720"/>
        <w:rPr>
          <w:rFonts w:eastAsia="Calibri"/>
        </w:rPr>
      </w:pPr>
    </w:p>
    <w:p w14:paraId="031552D1" w14:textId="71CCAC36" w:rsidR="00B50A91" w:rsidRPr="003B4362" w:rsidRDefault="00B50A91" w:rsidP="00E46816">
      <w:pPr>
        <w:ind w:left="2160" w:hanging="720"/>
        <w:rPr>
          <w:rFonts w:eastAsia="Calibri"/>
        </w:rPr>
      </w:pPr>
      <w:r w:rsidRPr="003B4362">
        <w:rPr>
          <w:rFonts w:eastAsia="Calibri"/>
        </w:rPr>
        <w:t>2)</w:t>
      </w:r>
      <w:r w:rsidRPr="003B4362">
        <w:rPr>
          <w:rFonts w:eastAsia="Calibri"/>
        </w:rPr>
        <w:tab/>
        <w:t>Scope.  This Subpart G establishes a treatment technique including corrosion control treatment, source water treatment, lead service line replacement, and public education.  Lead and copper action levels the supplier measures in samples collected at consumers’ taps trigger some of these requirements.</w:t>
      </w:r>
    </w:p>
    <w:p w14:paraId="573EED01" w14:textId="77777777" w:rsidR="00E46816" w:rsidRDefault="00E46816" w:rsidP="00E46816">
      <w:pPr>
        <w:ind w:left="1440" w:hanging="720"/>
        <w:rPr>
          <w:rFonts w:eastAsia="Calibri"/>
        </w:rPr>
      </w:pPr>
    </w:p>
    <w:p w14:paraId="6416D2B2" w14:textId="5CEBA5A7" w:rsidR="00B50A91" w:rsidRPr="003B4362" w:rsidRDefault="00B50A91" w:rsidP="00E46816">
      <w:pPr>
        <w:ind w:left="1440" w:hanging="720"/>
        <w:rPr>
          <w:rFonts w:eastAsia="Calibri"/>
        </w:rPr>
      </w:pPr>
      <w:r w:rsidRPr="003B4362">
        <w:rPr>
          <w:rFonts w:eastAsia="Calibri"/>
        </w:rPr>
        <w:t>b)</w:t>
      </w:r>
      <w:r w:rsidRPr="003B4362">
        <w:rPr>
          <w:rFonts w:eastAsia="Calibri"/>
        </w:rPr>
        <w:tab/>
        <w:t xml:space="preserve">Definitions.  For this Subpart </w:t>
      </w:r>
      <w:r w:rsidR="00A62B08" w:rsidRPr="003B4362">
        <w:rPr>
          <w:rFonts w:eastAsia="Calibri"/>
        </w:rPr>
        <w:t>A</w:t>
      </w:r>
      <w:r w:rsidRPr="003B4362">
        <w:rPr>
          <w:rFonts w:eastAsia="Calibri"/>
        </w:rPr>
        <w:t>G only, this subsection (b) defines certain terms:</w:t>
      </w:r>
    </w:p>
    <w:p w14:paraId="27C3D3D2" w14:textId="77777777" w:rsidR="00E46816" w:rsidRDefault="00E46816" w:rsidP="00E46816">
      <w:pPr>
        <w:ind w:left="2160"/>
        <w:rPr>
          <w:rFonts w:eastAsia="Calibri"/>
        </w:rPr>
      </w:pPr>
    </w:p>
    <w:p w14:paraId="5A9DEE67" w14:textId="24172A70" w:rsidR="00B50A91" w:rsidRPr="003B4362" w:rsidRDefault="00B50A91" w:rsidP="00E46816">
      <w:pPr>
        <w:ind w:left="2160"/>
        <w:rPr>
          <w:rFonts w:eastAsia="Calibri"/>
        </w:rPr>
      </w:pPr>
      <w:r w:rsidRPr="003B4362">
        <w:rPr>
          <w:rFonts w:eastAsia="Calibri"/>
        </w:rPr>
        <w:t xml:space="preserve">“Action level” means the computed concentration of lead or copper in water under subsection (c) determining applicability of some treatment requirements under this Subpart </w:t>
      </w:r>
      <w:r w:rsidR="00A62B08" w:rsidRPr="003B4362">
        <w:rPr>
          <w:rFonts w:eastAsia="Calibri"/>
        </w:rPr>
        <w:t>A</w:t>
      </w:r>
      <w:r w:rsidRPr="003B4362">
        <w:rPr>
          <w:rFonts w:eastAsia="Calibri"/>
        </w:rPr>
        <w:t>G.  The action level for lead is 0.015 mg/</w:t>
      </w:r>
      <w:r w:rsidR="00E411A9" w:rsidRPr="003B4362">
        <w:t>L</w:t>
      </w:r>
      <w:r w:rsidRPr="003B4362">
        <w:rPr>
          <w:rFonts w:eastAsia="Calibri"/>
        </w:rPr>
        <w:t>.  The action level for copper is 1.3 mg/</w:t>
      </w:r>
      <w:r w:rsidR="00E411A9" w:rsidRPr="003B4362">
        <w:t>L</w:t>
      </w:r>
      <w:r w:rsidRPr="003B4362">
        <w:rPr>
          <w:rFonts w:eastAsia="Calibri"/>
        </w:rPr>
        <w:t>.</w:t>
      </w:r>
    </w:p>
    <w:p w14:paraId="42BD6841" w14:textId="77777777" w:rsidR="00E46816" w:rsidRDefault="00E46816" w:rsidP="00E46816">
      <w:pPr>
        <w:ind w:left="2160"/>
        <w:rPr>
          <w:rFonts w:eastAsia="Calibri"/>
        </w:rPr>
      </w:pPr>
    </w:p>
    <w:p w14:paraId="77CFB9EF" w14:textId="1EA1DD8F" w:rsidR="00B50A91" w:rsidRPr="003B4362" w:rsidRDefault="00B50A91" w:rsidP="00E46816">
      <w:pPr>
        <w:ind w:left="2160"/>
        <w:rPr>
          <w:rFonts w:eastAsia="Calibri"/>
        </w:rPr>
      </w:pPr>
      <w:r w:rsidRPr="003B4362">
        <w:rPr>
          <w:rFonts w:eastAsia="Calibri"/>
        </w:rPr>
        <w:t>“Corrosion inhibitor” means a substance that can reduce corrosivity of water toward metal plumbing materials, especially lead and copper, by forming a protective film on the interior surface of those materials.</w:t>
      </w:r>
    </w:p>
    <w:p w14:paraId="1E7896A1" w14:textId="77777777" w:rsidR="00E46816" w:rsidRDefault="00E46816" w:rsidP="00E46816">
      <w:pPr>
        <w:ind w:left="2160"/>
        <w:rPr>
          <w:rFonts w:eastAsia="Calibri"/>
        </w:rPr>
      </w:pPr>
    </w:p>
    <w:p w14:paraId="771D01D4" w14:textId="77554D04" w:rsidR="00B50A91" w:rsidRPr="003B4362" w:rsidRDefault="00B50A91" w:rsidP="00E46816">
      <w:pPr>
        <w:ind w:left="2160"/>
        <w:rPr>
          <w:rFonts w:eastAsia="Calibri"/>
        </w:rPr>
      </w:pPr>
      <w:r w:rsidRPr="003B4362">
        <w:rPr>
          <w:rFonts w:eastAsia="Calibri"/>
        </w:rPr>
        <w:t>“Effective corrosion inhibitor residual” means a concentration of corrosion inhibitor in the drinking water sufficient to form a passivating film on the interior walls of pipe.</w:t>
      </w:r>
    </w:p>
    <w:p w14:paraId="4EB1A6FC" w14:textId="77777777" w:rsidR="00E46816" w:rsidRDefault="00E46816" w:rsidP="00E46816">
      <w:pPr>
        <w:ind w:left="2160"/>
        <w:rPr>
          <w:rFonts w:eastAsia="Calibri"/>
        </w:rPr>
      </w:pPr>
    </w:p>
    <w:p w14:paraId="2EDC1389" w14:textId="133761DA" w:rsidR="00B50A91" w:rsidRPr="003B4362" w:rsidRDefault="00B50A91" w:rsidP="00E46816">
      <w:pPr>
        <w:ind w:left="2160"/>
        <w:rPr>
          <w:rFonts w:eastAsia="Calibri"/>
        </w:rPr>
      </w:pPr>
      <w:r w:rsidRPr="003B4362">
        <w:rPr>
          <w:rFonts w:eastAsia="Calibri"/>
        </w:rPr>
        <w:t>“Exceed</w:t>
      </w:r>
      <w:r w:rsidRPr="003B4362">
        <w:rPr>
          <w:rFonts w:eastAsia="Calibri"/>
          <w:szCs w:val="16"/>
        </w:rPr>
        <w:t>” or “exceedance”,</w:t>
      </w:r>
      <w:r w:rsidRPr="003B4362">
        <w:rPr>
          <w:rFonts w:eastAsia="Calibri"/>
        </w:rPr>
        <w:t xml:space="preserve"> relative to either the lead or the copper action level, means that the 90th percentile level of the samples the supplier collected during a six-month monitoring period is greater than the lead or copper action level.</w:t>
      </w:r>
    </w:p>
    <w:p w14:paraId="4C123869" w14:textId="77777777" w:rsidR="00E46816" w:rsidRDefault="00E46816" w:rsidP="00E46816">
      <w:pPr>
        <w:ind w:left="2160"/>
      </w:pPr>
    </w:p>
    <w:p w14:paraId="4BE62970" w14:textId="105FF3A2" w:rsidR="00B50A91" w:rsidRPr="003B4362" w:rsidRDefault="00B50A91" w:rsidP="00E46816">
      <w:pPr>
        <w:ind w:left="2160"/>
      </w:pPr>
      <w:r w:rsidRPr="003B4362">
        <w:t>“First</w:t>
      </w:r>
      <w:r w:rsidR="00C75F10" w:rsidRPr="003B4362">
        <w:t>-</w:t>
      </w:r>
      <w:r w:rsidRPr="003B4362">
        <w:t xml:space="preserve">draw </w:t>
      </w:r>
      <w:r w:rsidR="00C75F10" w:rsidRPr="003B4362">
        <w:t xml:space="preserve">tap </w:t>
      </w:r>
      <w:r w:rsidRPr="003B4362">
        <w:t xml:space="preserve">sample” means a one-liter sample of tap water, a supplier collects under Section 611.1356(b)(2), </w:t>
      </w:r>
      <w:bookmarkStart w:id="4536" w:name="_Hlk115728193"/>
      <w:r w:rsidRPr="003B4362">
        <w:t xml:space="preserve">that stood in plumbing pipes for at least six hours and the supplier collects </w:t>
      </w:r>
      <w:bookmarkEnd w:id="4536"/>
      <w:r w:rsidRPr="003B4362">
        <w:t>without flushing the tap.</w:t>
      </w:r>
    </w:p>
    <w:p w14:paraId="2955A2D7" w14:textId="77777777" w:rsidR="00E46816" w:rsidRDefault="00E46816" w:rsidP="00E46816">
      <w:pPr>
        <w:ind w:left="2160"/>
        <w:rPr>
          <w:rFonts w:eastAsia="Calibri"/>
        </w:rPr>
      </w:pPr>
    </w:p>
    <w:p w14:paraId="57D09024" w14:textId="720AF493" w:rsidR="00B50A91" w:rsidRPr="003B4362" w:rsidRDefault="00B50A91" w:rsidP="00E46816">
      <w:pPr>
        <w:ind w:left="2160"/>
        <w:rPr>
          <w:rFonts w:eastAsia="Calibri"/>
        </w:rPr>
      </w:pPr>
      <w:r w:rsidRPr="003B4362">
        <w:rPr>
          <w:rFonts w:eastAsia="Calibri"/>
        </w:rPr>
        <w:t>“Large system” means a water system regularly serving water to more than 50,000 persons.</w:t>
      </w:r>
    </w:p>
    <w:p w14:paraId="3346131C" w14:textId="77777777" w:rsidR="00E46816" w:rsidRDefault="00E46816" w:rsidP="00E46816">
      <w:pPr>
        <w:ind w:left="2160"/>
        <w:rPr>
          <w:rFonts w:eastAsia="Calibri"/>
        </w:rPr>
      </w:pPr>
    </w:p>
    <w:p w14:paraId="7736A8D7" w14:textId="5554DA43" w:rsidR="00B50A91" w:rsidRPr="003B4362" w:rsidRDefault="00B50A91" w:rsidP="00E46816">
      <w:pPr>
        <w:ind w:left="2160"/>
        <w:rPr>
          <w:rFonts w:eastAsia="Calibri"/>
          <w:szCs w:val="24"/>
        </w:rPr>
      </w:pPr>
      <w:r w:rsidRPr="003B4362">
        <w:rPr>
          <w:rFonts w:eastAsia="Calibri"/>
        </w:rPr>
        <w:lastRenderedPageBreak/>
        <w:t xml:space="preserve">“Lead service line” means a </w:t>
      </w:r>
      <w:r w:rsidRPr="003B4362">
        <w:rPr>
          <w:rFonts w:eastAsia="Calibri"/>
          <w:szCs w:val="24"/>
        </w:rPr>
        <w:t xml:space="preserve">service line </w:t>
      </w:r>
      <w:r w:rsidRPr="003B4362">
        <w:rPr>
          <w:rFonts w:eastAsia="Calibri"/>
        </w:rPr>
        <w:t>made of lead connecting the water main to the building inlet, including any lead pigtail, gooseneck, or other fitting that is connected to such lead line.</w:t>
      </w:r>
    </w:p>
    <w:p w14:paraId="1F46F77A" w14:textId="77777777" w:rsidR="00E46816" w:rsidRDefault="00E46816" w:rsidP="00E46816">
      <w:pPr>
        <w:ind w:left="2160"/>
        <w:rPr>
          <w:rFonts w:eastAsia="Calibri"/>
        </w:rPr>
      </w:pPr>
    </w:p>
    <w:p w14:paraId="06F8324D" w14:textId="2257D9B0" w:rsidR="00B50A91" w:rsidRPr="003B4362" w:rsidRDefault="00B50A91" w:rsidP="00E46816">
      <w:pPr>
        <w:ind w:left="2160"/>
        <w:rPr>
          <w:rFonts w:eastAsia="Calibri"/>
        </w:rPr>
      </w:pPr>
      <w:r w:rsidRPr="003B4362">
        <w:rPr>
          <w:rFonts w:eastAsia="Calibri"/>
        </w:rPr>
        <w:t>“Maximum permissible concentration” or “MPC” means the concentration of lead or copper in finished water entering the supplier’s distribution system, which the Agency designates in a SEP based on the contaminant removal ability of the treatment properly operated and maintained.</w:t>
      </w:r>
    </w:p>
    <w:p w14:paraId="7AAE608D" w14:textId="262A7040" w:rsidR="00B50A91" w:rsidRPr="003B4362" w:rsidRDefault="00B50A91" w:rsidP="00E46816">
      <w:pPr>
        <w:ind w:left="2160"/>
        <w:rPr>
          <w:rFonts w:eastAsia="Calibri"/>
        </w:rPr>
      </w:pPr>
      <w:r w:rsidRPr="003B4362">
        <w:rPr>
          <w:rFonts w:eastAsia="Calibri"/>
        </w:rPr>
        <w:t xml:space="preserve">BOARD NOTE:  </w:t>
      </w:r>
      <w:bookmarkStart w:id="4537" w:name="_Hlk115731167"/>
      <w:r w:rsidRPr="003B4362">
        <w:rPr>
          <w:rFonts w:eastAsia="Calibri"/>
        </w:rPr>
        <w:t>This definition derives from</w:t>
      </w:r>
      <w:bookmarkEnd w:id="4537"/>
      <w:r w:rsidRPr="003B4362">
        <w:rPr>
          <w:rFonts w:eastAsia="Calibri"/>
        </w:rPr>
        <w:t xml:space="preserve"> 40 CFR 141.83(b)(4)</w:t>
      </w:r>
      <w:r w:rsidR="00D15B76" w:rsidRPr="003B4362">
        <w:rPr>
          <w:rFonts w:eastAsia="Calibri"/>
        </w:rPr>
        <w:t xml:space="preserve"> (2020)</w:t>
      </w:r>
      <w:r w:rsidRPr="003B4362">
        <w:rPr>
          <w:rFonts w:eastAsia="Calibri"/>
        </w:rPr>
        <w:t>.  (See Section 611.1353(b)(4)(B).)</w:t>
      </w:r>
    </w:p>
    <w:p w14:paraId="4C766E20" w14:textId="77777777" w:rsidR="00E46816" w:rsidRDefault="00E46816" w:rsidP="00E46816">
      <w:pPr>
        <w:ind w:left="2160"/>
        <w:rPr>
          <w:rFonts w:eastAsia="Calibri"/>
        </w:rPr>
      </w:pPr>
    </w:p>
    <w:p w14:paraId="0EBB045A" w14:textId="0090C230" w:rsidR="00B50A91" w:rsidRPr="003B4362" w:rsidRDefault="00B50A91" w:rsidP="00E46816">
      <w:pPr>
        <w:ind w:left="2160"/>
        <w:rPr>
          <w:rFonts w:eastAsia="Calibri"/>
        </w:rPr>
      </w:pPr>
      <w:r w:rsidRPr="003B4362">
        <w:rPr>
          <w:rFonts w:eastAsia="Calibri"/>
        </w:rPr>
        <w:t>“M</w:t>
      </w:r>
      <w:bookmarkStart w:id="4538" w:name="_Hlk115731340"/>
      <w:r w:rsidRPr="003B4362">
        <w:rPr>
          <w:rFonts w:eastAsia="Calibri"/>
        </w:rPr>
        <w:t>edium-sized water system</w:t>
      </w:r>
      <w:bookmarkEnd w:id="4538"/>
      <w:r w:rsidRPr="003B4362">
        <w:rPr>
          <w:rFonts w:eastAsia="Calibri"/>
        </w:rPr>
        <w:t xml:space="preserve">” means a water system regularly serving water to </w:t>
      </w:r>
      <w:bookmarkStart w:id="4539" w:name="_Hlk115731506"/>
      <w:r w:rsidRPr="003B4362">
        <w:rPr>
          <w:rFonts w:eastAsia="Calibri"/>
        </w:rPr>
        <w:t>3,301 to 50,000 persons</w:t>
      </w:r>
      <w:bookmarkEnd w:id="4539"/>
      <w:r w:rsidRPr="003B4362">
        <w:rPr>
          <w:rFonts w:eastAsia="Calibri"/>
        </w:rPr>
        <w:t>.</w:t>
      </w:r>
    </w:p>
    <w:p w14:paraId="1743D7DF" w14:textId="77777777" w:rsidR="00E46816" w:rsidRDefault="00E46816" w:rsidP="00E46816">
      <w:pPr>
        <w:ind w:left="2160"/>
        <w:rPr>
          <w:rFonts w:eastAsia="Calibri"/>
        </w:rPr>
      </w:pPr>
    </w:p>
    <w:p w14:paraId="37A29F60" w14:textId="766B8E6D" w:rsidR="00B50A91" w:rsidRPr="003B4362" w:rsidRDefault="00B50A91" w:rsidP="00E46816">
      <w:pPr>
        <w:ind w:left="2160"/>
        <w:rPr>
          <w:rFonts w:eastAsia="Calibri"/>
        </w:rPr>
      </w:pPr>
      <w:r w:rsidRPr="003B4362">
        <w:rPr>
          <w:rFonts w:eastAsia="Calibri"/>
        </w:rPr>
        <w:t>“Meet</w:t>
      </w:r>
      <w:r w:rsidRPr="003B4362">
        <w:rPr>
          <w:rFonts w:eastAsia="Calibri"/>
          <w:szCs w:val="16"/>
        </w:rPr>
        <w:t>” or “comply with”,</w:t>
      </w:r>
      <w:r w:rsidRPr="003B4362">
        <w:rPr>
          <w:rFonts w:eastAsia="Calibri"/>
        </w:rPr>
        <w:t xml:space="preserve"> relating to either the lead or the copper action level, means that the 90th percentile level of the supplier’s samples collected during a six-month monitoring period is less than or equal to the lead or copper action level.</w:t>
      </w:r>
    </w:p>
    <w:p w14:paraId="190AE2CA" w14:textId="77777777" w:rsidR="00E46816" w:rsidRDefault="00E46816" w:rsidP="00E46816">
      <w:pPr>
        <w:ind w:left="2160"/>
        <w:rPr>
          <w:rFonts w:eastAsia="Calibri"/>
        </w:rPr>
      </w:pPr>
    </w:p>
    <w:p w14:paraId="74C905EE" w14:textId="20BD4B9F" w:rsidR="00B50A91" w:rsidRPr="003B4362" w:rsidRDefault="00B50A91" w:rsidP="00E46816">
      <w:pPr>
        <w:ind w:left="2160"/>
        <w:rPr>
          <w:rFonts w:eastAsia="Calibri"/>
        </w:rPr>
      </w:pPr>
      <w:r w:rsidRPr="003B4362">
        <w:rPr>
          <w:rFonts w:eastAsia="Calibri"/>
        </w:rPr>
        <w:t xml:space="preserve">“Monitoring period” means any of the six-month periods during which a supplier must complete a cycle of monitoring under this Subpart </w:t>
      </w:r>
      <w:r w:rsidR="00A62B08" w:rsidRPr="003B4362">
        <w:rPr>
          <w:rFonts w:eastAsia="Calibri"/>
        </w:rPr>
        <w:t>A</w:t>
      </w:r>
      <w:r w:rsidRPr="003B4362">
        <w:rPr>
          <w:rFonts w:eastAsia="Calibri"/>
        </w:rPr>
        <w:t>G.</w:t>
      </w:r>
    </w:p>
    <w:p w14:paraId="2AF3D41D" w14:textId="77777777" w:rsidR="00E46816" w:rsidRDefault="00E46816" w:rsidP="00E46816">
      <w:pPr>
        <w:ind w:left="2160"/>
        <w:rPr>
          <w:rFonts w:eastAsia="Calibri"/>
        </w:rPr>
      </w:pPr>
    </w:p>
    <w:p w14:paraId="5EF5766B" w14:textId="51AB128F" w:rsidR="00B50A91" w:rsidRPr="003B4362" w:rsidRDefault="00B50A91" w:rsidP="00E46816">
      <w:pPr>
        <w:ind w:left="2160"/>
        <w:rPr>
          <w:rFonts w:eastAsia="Calibri"/>
        </w:rPr>
      </w:pPr>
      <w:r w:rsidRPr="003B4362">
        <w:rPr>
          <w:rFonts w:eastAsia="Calibri"/>
        </w:rPr>
        <w:t xml:space="preserve">“Multiple-family residence” means a building </w:t>
      </w:r>
      <w:r w:rsidR="00A62B08" w:rsidRPr="003B4362">
        <w:rPr>
          <w:rFonts w:eastAsia="Calibri"/>
        </w:rPr>
        <w:t xml:space="preserve">that is </w:t>
      </w:r>
      <w:r w:rsidRPr="003B4362">
        <w:rPr>
          <w:rFonts w:eastAsia="Calibri"/>
        </w:rPr>
        <w:t xml:space="preserve">currently </w:t>
      </w:r>
      <w:r w:rsidR="00A62B08" w:rsidRPr="003B4362">
        <w:rPr>
          <w:rFonts w:eastAsia="Calibri"/>
        </w:rPr>
        <w:t>used as a multiple-family residence</w:t>
      </w:r>
      <w:r w:rsidRPr="003B4362">
        <w:rPr>
          <w:rFonts w:eastAsia="Calibri"/>
        </w:rPr>
        <w:t>, but not one that is also a “single-family structure”.</w:t>
      </w:r>
    </w:p>
    <w:p w14:paraId="63633916" w14:textId="77777777" w:rsidR="00E46816" w:rsidRDefault="00E46816" w:rsidP="00E46816">
      <w:pPr>
        <w:ind w:left="2160"/>
        <w:rPr>
          <w:rFonts w:eastAsia="Calibri"/>
        </w:rPr>
      </w:pPr>
    </w:p>
    <w:p w14:paraId="09CCC390" w14:textId="671D200B" w:rsidR="00B50A91" w:rsidRPr="003B4362" w:rsidRDefault="00B50A91" w:rsidP="00E46816">
      <w:pPr>
        <w:ind w:left="2160"/>
        <w:rPr>
          <w:rFonts w:eastAsia="Calibri"/>
        </w:rPr>
      </w:pPr>
      <w:r w:rsidRPr="003B4362">
        <w:rPr>
          <w:rFonts w:eastAsia="Calibri"/>
        </w:rPr>
        <w:t>“90th percentile level” means the concentration of lead or copper that ten percent or fewer of all samples tap water samples under Section 611.1356 exceed during a six-month monitoring period (i.e., that contaminant concentration greater than or equal to the results obtained from 90 percent of the samples).  The supplier must determine the 90th percentile levels for copper and lead under subsection (c)(3).</w:t>
      </w:r>
    </w:p>
    <w:p w14:paraId="0F7712E1" w14:textId="452112A1" w:rsidR="00B50A91" w:rsidRPr="003B4362" w:rsidRDefault="00B50A91" w:rsidP="00E46816">
      <w:pPr>
        <w:ind w:left="2160"/>
        <w:rPr>
          <w:rFonts w:eastAsia="Calibri"/>
        </w:rPr>
      </w:pPr>
      <w:r w:rsidRPr="003B4362">
        <w:rPr>
          <w:rFonts w:eastAsia="Calibri"/>
        </w:rPr>
        <w:t>BOARD NOTE: This definition derives from 40 CFR 141.80(c)</w:t>
      </w:r>
      <w:r w:rsidR="00D15B76" w:rsidRPr="003B4362">
        <w:rPr>
          <w:rFonts w:eastAsia="Calibri"/>
        </w:rPr>
        <w:t xml:space="preserve"> (2020)</w:t>
      </w:r>
      <w:r w:rsidRPr="003B4362">
        <w:rPr>
          <w:rFonts w:eastAsia="Calibri"/>
        </w:rPr>
        <w:t>.</w:t>
      </w:r>
    </w:p>
    <w:p w14:paraId="2684EF0D" w14:textId="77777777" w:rsidR="00E46816" w:rsidRDefault="00E46816" w:rsidP="00E46816">
      <w:pPr>
        <w:ind w:left="2160"/>
        <w:rPr>
          <w:rFonts w:eastAsia="Calibri"/>
        </w:rPr>
      </w:pPr>
    </w:p>
    <w:p w14:paraId="661BF19E" w14:textId="7091DAD4" w:rsidR="00B50A91" w:rsidRPr="003B4362" w:rsidRDefault="00B50A91" w:rsidP="00E46816">
      <w:pPr>
        <w:ind w:left="2160"/>
        <w:rPr>
          <w:rFonts w:eastAsia="Calibri"/>
        </w:rPr>
      </w:pPr>
      <w:r w:rsidRPr="003B4362">
        <w:rPr>
          <w:rFonts w:eastAsia="Calibri"/>
        </w:rPr>
        <w:t>“Optimal corrosion control treatment” means the corrosion control treatment minimizing the lead and copper concentrations at users’ taps while ensuring that the treatment will not violate any national primary drinking water regulations.</w:t>
      </w:r>
    </w:p>
    <w:p w14:paraId="5591A980" w14:textId="77777777" w:rsidR="00E46816" w:rsidRDefault="00E46816" w:rsidP="00E46816">
      <w:pPr>
        <w:ind w:left="2160"/>
        <w:rPr>
          <w:rFonts w:eastAsia="Calibri"/>
        </w:rPr>
      </w:pPr>
    </w:p>
    <w:p w14:paraId="591116DC" w14:textId="54D39F43" w:rsidR="00B50A91" w:rsidRPr="003B4362" w:rsidRDefault="00B50A91" w:rsidP="00E46816">
      <w:pPr>
        <w:ind w:left="2160"/>
        <w:rPr>
          <w:rFonts w:eastAsia="Calibri"/>
        </w:rPr>
      </w:pPr>
      <w:r w:rsidRPr="003B4362">
        <w:rPr>
          <w:rFonts w:eastAsia="Calibri"/>
        </w:rPr>
        <w:t>“P</w:t>
      </w:r>
      <w:bookmarkStart w:id="4540" w:name="_Hlk115783583"/>
      <w:r w:rsidRPr="003B4362">
        <w:rPr>
          <w:rFonts w:eastAsia="Calibri"/>
        </w:rPr>
        <w:t>ractical quantitation limit</w:t>
      </w:r>
      <w:bookmarkEnd w:id="4540"/>
      <w:r w:rsidRPr="003B4362">
        <w:rPr>
          <w:rFonts w:eastAsia="Calibri"/>
        </w:rPr>
        <w:t xml:space="preserve">” or “PQL” means the lowest concentration of a contaminant that a well-operated laboratory can </w:t>
      </w:r>
      <w:bookmarkStart w:id="4541" w:name="_Hlk115786139"/>
      <w:r w:rsidRPr="003B4362">
        <w:rPr>
          <w:rFonts w:eastAsia="Calibri"/>
        </w:rPr>
        <w:t>reliably analyze within specified limits</w:t>
      </w:r>
      <w:bookmarkEnd w:id="4541"/>
      <w:r w:rsidRPr="003B4362">
        <w:rPr>
          <w:rFonts w:eastAsia="Calibri"/>
        </w:rPr>
        <w:t xml:space="preserve"> of precision and accuracy during routine laboratory operating conditions.  The PQL for lead is 0.005 mg/</w:t>
      </w:r>
      <w:r w:rsidR="006A710C" w:rsidRPr="003B4362">
        <w:t xml:space="preserve"> L</w:t>
      </w:r>
      <w:r w:rsidRPr="003B4362">
        <w:rPr>
          <w:rFonts w:eastAsia="Calibri"/>
        </w:rPr>
        <w:t>.  The PQL for copper is 0.050 mg/</w:t>
      </w:r>
      <w:r w:rsidR="006A710C" w:rsidRPr="003B4362">
        <w:t xml:space="preserve"> L</w:t>
      </w:r>
      <w:r w:rsidRPr="003B4362">
        <w:rPr>
          <w:rFonts w:eastAsia="Calibri"/>
        </w:rPr>
        <w:t>.</w:t>
      </w:r>
    </w:p>
    <w:p w14:paraId="7FA6D54D" w14:textId="20D479FD" w:rsidR="00B50A91" w:rsidRPr="003B4362" w:rsidRDefault="00B50A91" w:rsidP="00E46816">
      <w:pPr>
        <w:ind w:left="2160"/>
        <w:rPr>
          <w:rFonts w:eastAsia="Calibri"/>
        </w:rPr>
      </w:pPr>
      <w:r w:rsidRPr="003B4362">
        <w:rPr>
          <w:rFonts w:eastAsia="Calibri"/>
        </w:rPr>
        <w:lastRenderedPageBreak/>
        <w:t>BOARD NOTE:  This definition derives from 40 CFR 141.89(a)(1)(ii) and (a)(1)(iv)</w:t>
      </w:r>
      <w:r w:rsidR="00D15B76" w:rsidRPr="003B4362">
        <w:rPr>
          <w:rFonts w:eastAsia="Calibri"/>
        </w:rPr>
        <w:t xml:space="preserve"> (2020)</w:t>
      </w:r>
      <w:r w:rsidRPr="003B4362">
        <w:rPr>
          <w:rFonts w:eastAsia="Calibri"/>
        </w:rPr>
        <w:t>.</w:t>
      </w:r>
    </w:p>
    <w:p w14:paraId="0976989B" w14:textId="77777777" w:rsidR="00E46816" w:rsidRDefault="00E46816" w:rsidP="00E46816">
      <w:pPr>
        <w:ind w:left="2160"/>
        <w:rPr>
          <w:rFonts w:eastAsia="Calibri"/>
        </w:rPr>
      </w:pPr>
    </w:p>
    <w:p w14:paraId="3E51F3F1" w14:textId="50207D5F" w:rsidR="00B50A91" w:rsidRPr="003B4362" w:rsidRDefault="00B50A91" w:rsidP="00E46816">
      <w:pPr>
        <w:ind w:left="2160"/>
        <w:rPr>
          <w:rFonts w:eastAsia="Calibri"/>
        </w:rPr>
      </w:pPr>
      <w:r w:rsidRPr="003B4362">
        <w:rPr>
          <w:rFonts w:eastAsia="Calibri"/>
        </w:rPr>
        <w:t>“Service line sample” means a one-liter sample of water under Section 611.1356(b)(3) that stood for at least six hours in a service line.</w:t>
      </w:r>
    </w:p>
    <w:p w14:paraId="30BB61B1" w14:textId="77777777" w:rsidR="00E46816" w:rsidRDefault="00E46816" w:rsidP="00E46816">
      <w:pPr>
        <w:ind w:left="2160"/>
        <w:rPr>
          <w:rFonts w:eastAsia="Calibri"/>
        </w:rPr>
      </w:pPr>
    </w:p>
    <w:p w14:paraId="69083FE3" w14:textId="25C925C9" w:rsidR="00B50A91" w:rsidRPr="003B4362" w:rsidRDefault="00B50A91" w:rsidP="00E46816">
      <w:pPr>
        <w:ind w:left="2160"/>
        <w:rPr>
          <w:rFonts w:eastAsia="Calibri"/>
        </w:rPr>
      </w:pPr>
      <w:r w:rsidRPr="003B4362">
        <w:rPr>
          <w:rFonts w:eastAsia="Calibri"/>
        </w:rPr>
        <w:t>“Single-family structure” means a building constructed as a residence for a single-family that the occupant currently uses as a residence or place of business.</w:t>
      </w:r>
    </w:p>
    <w:p w14:paraId="494B0087" w14:textId="77777777" w:rsidR="00E46816" w:rsidRDefault="00E46816" w:rsidP="00E46816">
      <w:pPr>
        <w:ind w:left="2160"/>
        <w:rPr>
          <w:rFonts w:eastAsia="Calibri"/>
        </w:rPr>
      </w:pPr>
    </w:p>
    <w:p w14:paraId="7C87D169" w14:textId="1F9F9CB1" w:rsidR="00B50A91" w:rsidRPr="003B4362" w:rsidRDefault="00B50A91" w:rsidP="00E46816">
      <w:pPr>
        <w:ind w:left="2160"/>
        <w:rPr>
          <w:rFonts w:eastAsia="Calibri"/>
        </w:rPr>
      </w:pPr>
      <w:r w:rsidRPr="003B4362">
        <w:rPr>
          <w:rFonts w:eastAsia="Calibri"/>
        </w:rPr>
        <w:t>“Small system” means a water system regularly serving water to 3,300 or fewer persons.</w:t>
      </w:r>
    </w:p>
    <w:p w14:paraId="0179A335" w14:textId="6E9604D2" w:rsidR="00B50A91" w:rsidRPr="003B4362" w:rsidRDefault="00B50A91" w:rsidP="00E46816">
      <w:pPr>
        <w:ind w:left="2160"/>
        <w:rPr>
          <w:rFonts w:eastAsia="Calibri"/>
        </w:rPr>
      </w:pPr>
      <w:r w:rsidRPr="003B4362">
        <w:rPr>
          <w:rFonts w:eastAsia="Calibri"/>
        </w:rPr>
        <w:t xml:space="preserve">BOARD NOTE:  A small system for purposes of a small system variance under Section 611.131 is distinct from small-sized water system under this Subpart </w:t>
      </w:r>
      <w:r w:rsidR="007A448B" w:rsidRPr="003B4362">
        <w:rPr>
          <w:rFonts w:eastAsia="Calibri"/>
        </w:rPr>
        <w:t>A</w:t>
      </w:r>
      <w:r w:rsidRPr="003B4362">
        <w:rPr>
          <w:rFonts w:eastAsia="Calibri"/>
        </w:rPr>
        <w:t>G.</w:t>
      </w:r>
    </w:p>
    <w:p w14:paraId="47F18C16" w14:textId="77777777" w:rsidR="00E46816" w:rsidRDefault="00E46816" w:rsidP="00E46816">
      <w:pPr>
        <w:ind w:left="1440"/>
        <w:rPr>
          <w:rFonts w:eastAsia="Calibri"/>
        </w:rPr>
      </w:pPr>
    </w:p>
    <w:p w14:paraId="3276D7AF" w14:textId="5D6006CB" w:rsidR="00B50A91" w:rsidRPr="003B4362" w:rsidRDefault="00B50A91" w:rsidP="00E46816">
      <w:pPr>
        <w:ind w:left="1440"/>
        <w:rPr>
          <w:rFonts w:eastAsia="Calibri"/>
        </w:rPr>
      </w:pPr>
      <w:r w:rsidRPr="003B4362">
        <w:rPr>
          <w:rFonts w:eastAsia="Calibri"/>
        </w:rPr>
        <w:t xml:space="preserve">BOARD NOTE: </w:t>
      </w:r>
      <w:r w:rsidRPr="003B4362">
        <w:rPr>
          <w:rFonts w:eastAsia="Calibri"/>
          <w:spacing w:val="-3"/>
        </w:rPr>
        <w:t xml:space="preserve">This subsection (b) derives </w:t>
      </w:r>
      <w:r w:rsidRPr="003B4362">
        <w:rPr>
          <w:rFonts w:eastAsia="Calibri"/>
        </w:rPr>
        <w:t>from 40 CFR 141.2</w:t>
      </w:r>
      <w:r w:rsidR="00D15B76" w:rsidRPr="003B4362">
        <w:rPr>
          <w:rFonts w:eastAsia="Calibri"/>
        </w:rPr>
        <w:t xml:space="preserve"> (2020)</w:t>
      </w:r>
      <w:r w:rsidRPr="003B4362">
        <w:rPr>
          <w:rFonts w:eastAsia="Calibri"/>
        </w:rPr>
        <w:t>.</w:t>
      </w:r>
    </w:p>
    <w:p w14:paraId="1B994DE6" w14:textId="77777777" w:rsidR="00E46816" w:rsidRDefault="00E46816" w:rsidP="00E46816">
      <w:pPr>
        <w:ind w:left="720"/>
        <w:rPr>
          <w:rFonts w:eastAsia="Calibri"/>
        </w:rPr>
      </w:pPr>
    </w:p>
    <w:p w14:paraId="143D2D98" w14:textId="189808E1" w:rsidR="00B50A91" w:rsidRPr="003B4362" w:rsidRDefault="00B50A91" w:rsidP="00E46816">
      <w:pPr>
        <w:ind w:left="720"/>
        <w:rPr>
          <w:rFonts w:eastAsia="Calibri"/>
        </w:rPr>
      </w:pPr>
      <w:r w:rsidRPr="003B4362">
        <w:rPr>
          <w:rFonts w:eastAsia="Calibri"/>
        </w:rPr>
        <w:t>c)</w:t>
      </w:r>
      <w:r w:rsidRPr="003B4362">
        <w:rPr>
          <w:rFonts w:eastAsia="Calibri"/>
        </w:rPr>
        <w:tab/>
        <w:t>Lead and Copper Action Levels</w:t>
      </w:r>
    </w:p>
    <w:p w14:paraId="47281FD2" w14:textId="77777777" w:rsidR="00E46816" w:rsidRDefault="00E46816" w:rsidP="00E46816">
      <w:pPr>
        <w:ind w:left="2160" w:hanging="720"/>
        <w:rPr>
          <w:rFonts w:eastAsia="Calibri"/>
        </w:rPr>
      </w:pPr>
    </w:p>
    <w:p w14:paraId="0A0AD71B" w14:textId="634E1FD5" w:rsidR="00B50A91" w:rsidRPr="003B4362" w:rsidRDefault="00B50A91" w:rsidP="00E46816">
      <w:pPr>
        <w:ind w:left="2160" w:hanging="720"/>
        <w:rPr>
          <w:rFonts w:eastAsia="Calibri"/>
        </w:rPr>
      </w:pPr>
      <w:r w:rsidRPr="003B4362">
        <w:rPr>
          <w:rFonts w:eastAsia="Calibri"/>
        </w:rPr>
        <w:t>1)</w:t>
      </w:r>
      <w:r w:rsidRPr="003B4362">
        <w:rPr>
          <w:rFonts w:eastAsia="Calibri"/>
        </w:rPr>
        <w:tab/>
        <w:t>The supplier exceeds the lead action level if the 90th percentile lead level is greater than 0.015 mg/</w:t>
      </w:r>
      <w:r w:rsidR="006A710C" w:rsidRPr="003B4362">
        <w:t>L</w:t>
      </w:r>
      <w:r w:rsidRPr="003B4362">
        <w:rPr>
          <w:rFonts w:eastAsia="Calibri"/>
        </w:rPr>
        <w:t>.</w:t>
      </w:r>
    </w:p>
    <w:p w14:paraId="2CC0A467" w14:textId="77777777" w:rsidR="00E46816" w:rsidRDefault="00E46816" w:rsidP="00E46816">
      <w:pPr>
        <w:ind w:left="2160" w:hanging="720"/>
        <w:rPr>
          <w:rFonts w:eastAsia="Calibri"/>
        </w:rPr>
      </w:pPr>
    </w:p>
    <w:p w14:paraId="5CEAEF73" w14:textId="69599547" w:rsidR="00B50A91" w:rsidRPr="003B4362" w:rsidRDefault="00B50A91" w:rsidP="00E46816">
      <w:pPr>
        <w:ind w:left="2160" w:hanging="720"/>
        <w:rPr>
          <w:rFonts w:eastAsia="Calibri"/>
        </w:rPr>
      </w:pPr>
      <w:r w:rsidRPr="003B4362">
        <w:rPr>
          <w:rFonts w:eastAsia="Calibri"/>
        </w:rPr>
        <w:t>2)</w:t>
      </w:r>
      <w:r w:rsidRPr="003B4362">
        <w:rPr>
          <w:rFonts w:eastAsia="Calibri"/>
        </w:rPr>
        <w:tab/>
        <w:t>The supplier exceeds the copper action level if the 90th percentile copper level is greater than 1.3 mg/</w:t>
      </w:r>
      <w:r w:rsidR="006A710C" w:rsidRPr="003B4362">
        <w:t>L</w:t>
      </w:r>
      <w:r w:rsidRPr="003B4362">
        <w:rPr>
          <w:rFonts w:eastAsia="Calibri"/>
        </w:rPr>
        <w:t>.</w:t>
      </w:r>
    </w:p>
    <w:p w14:paraId="5E3A8DA6" w14:textId="77777777" w:rsidR="00E46816" w:rsidRDefault="00E46816" w:rsidP="00E46816">
      <w:pPr>
        <w:ind w:left="2160" w:hanging="720"/>
        <w:rPr>
          <w:rFonts w:eastAsia="Calibri"/>
        </w:rPr>
      </w:pPr>
    </w:p>
    <w:p w14:paraId="3BF0FFA8" w14:textId="756FD490" w:rsidR="00B50A91" w:rsidRPr="003B4362" w:rsidRDefault="00B50A91" w:rsidP="00E46816">
      <w:pPr>
        <w:ind w:left="2160" w:hanging="720"/>
        <w:rPr>
          <w:rFonts w:eastAsia="Calibri"/>
        </w:rPr>
      </w:pPr>
      <w:r w:rsidRPr="003B4362">
        <w:rPr>
          <w:rFonts w:eastAsia="Calibri"/>
        </w:rPr>
        <w:t>3)</w:t>
      </w:r>
      <w:r w:rsidRPr="003B4362">
        <w:rPr>
          <w:rFonts w:eastAsia="Calibri"/>
        </w:rPr>
        <w:tab/>
        <w:t>Suppliers must compute the 90th percentile lead and copper levels using the specified procedure:</w:t>
      </w:r>
    </w:p>
    <w:p w14:paraId="7D0F861B" w14:textId="77777777" w:rsidR="00E46816" w:rsidRDefault="00E46816" w:rsidP="00E46816">
      <w:pPr>
        <w:ind w:left="2880" w:hanging="720"/>
        <w:rPr>
          <w:rFonts w:eastAsia="Calibri"/>
        </w:rPr>
      </w:pPr>
    </w:p>
    <w:p w14:paraId="278CAF58" w14:textId="07590488" w:rsidR="00B50A91" w:rsidRPr="003B4362" w:rsidRDefault="00B50A91" w:rsidP="00E46816">
      <w:pPr>
        <w:ind w:left="2880" w:hanging="720"/>
        <w:rPr>
          <w:rFonts w:eastAsia="Calibri"/>
        </w:rPr>
      </w:pPr>
      <w:r w:rsidRPr="003B4362">
        <w:rPr>
          <w:rFonts w:eastAsia="Calibri"/>
        </w:rPr>
        <w:t>A)</w:t>
      </w:r>
      <w:r w:rsidRPr="003B4362">
        <w:rPr>
          <w:rFonts w:eastAsia="Calibri"/>
        </w:rPr>
        <w:tab/>
        <w:t>The supplier must list the results of all lead or copper samples it took during the six-month monitoring period in ascending order, ranging from the sample with the lowest concentration to the sample with the highest concentration.  The supplier must assign each sampling result an ordinal number, ascending by single integers, assigning the number 1 for the sample with the lowest contaminant level.  The number the supplier assigns to the sample with the highest contaminant level must equal the total number of samples the supplier took.</w:t>
      </w:r>
    </w:p>
    <w:p w14:paraId="19869271" w14:textId="77777777" w:rsidR="00E46816" w:rsidRDefault="00E46816" w:rsidP="00E46816">
      <w:pPr>
        <w:ind w:left="2880" w:hanging="720"/>
        <w:rPr>
          <w:rFonts w:eastAsia="Calibri"/>
        </w:rPr>
      </w:pPr>
    </w:p>
    <w:p w14:paraId="5B2F783E" w14:textId="5798BC8F" w:rsidR="00B50A91" w:rsidRPr="003B4362" w:rsidRDefault="00B50A91" w:rsidP="00E46816">
      <w:pPr>
        <w:ind w:left="2880" w:hanging="720"/>
        <w:rPr>
          <w:rFonts w:eastAsia="Calibri"/>
        </w:rPr>
      </w:pPr>
      <w:r w:rsidRPr="003B4362">
        <w:rPr>
          <w:rFonts w:eastAsia="Calibri"/>
        </w:rPr>
        <w:t>B)</w:t>
      </w:r>
      <w:r w:rsidRPr="003B4362">
        <w:rPr>
          <w:rFonts w:eastAsia="Calibri"/>
        </w:rPr>
        <w:tab/>
        <w:t>To determine the 90th percentile sample, the supplier must multiply the total number of samples taken during the six-month monitoring period times 0.9.</w:t>
      </w:r>
    </w:p>
    <w:p w14:paraId="305D4672" w14:textId="77777777" w:rsidR="00E46816" w:rsidRDefault="00E46816" w:rsidP="00E46816">
      <w:pPr>
        <w:ind w:left="2880" w:hanging="720"/>
        <w:rPr>
          <w:rFonts w:eastAsia="Calibri"/>
        </w:rPr>
      </w:pPr>
    </w:p>
    <w:p w14:paraId="4724C1FB" w14:textId="5AACC062" w:rsidR="00B50A91" w:rsidRPr="003B4362" w:rsidRDefault="00B50A91" w:rsidP="00E46816">
      <w:pPr>
        <w:ind w:left="2880" w:hanging="720"/>
        <w:rPr>
          <w:rFonts w:eastAsia="Calibri"/>
        </w:rPr>
      </w:pPr>
      <w:r w:rsidRPr="003B4362">
        <w:rPr>
          <w:rFonts w:eastAsia="Calibri"/>
        </w:rPr>
        <w:lastRenderedPageBreak/>
        <w:t>C)</w:t>
      </w:r>
      <w:r w:rsidRPr="003B4362">
        <w:rPr>
          <w:rFonts w:eastAsia="Calibri"/>
        </w:rPr>
        <w:tab/>
        <w:t>The contaminant concentration in the sample corresponding with the ordinal number calculating under subsection (c)(3)(B) yields is the 90th percentile contaminant level.</w:t>
      </w:r>
    </w:p>
    <w:p w14:paraId="739A17F8" w14:textId="77777777" w:rsidR="00E46816" w:rsidRDefault="00E46816" w:rsidP="00E46816">
      <w:pPr>
        <w:ind w:left="2880" w:hanging="720"/>
        <w:rPr>
          <w:rFonts w:eastAsia="Calibri"/>
        </w:rPr>
      </w:pPr>
    </w:p>
    <w:p w14:paraId="6832A3C1" w14:textId="05644AE6" w:rsidR="00B50A91" w:rsidRPr="003B4362" w:rsidRDefault="00B50A91" w:rsidP="00E46816">
      <w:pPr>
        <w:ind w:left="2880" w:hanging="720"/>
        <w:rPr>
          <w:rFonts w:eastAsia="Calibri"/>
        </w:rPr>
      </w:pPr>
      <w:r w:rsidRPr="003B4362">
        <w:rPr>
          <w:rFonts w:eastAsia="Calibri"/>
        </w:rPr>
        <w:t>D)</w:t>
      </w:r>
      <w:r w:rsidRPr="003B4362">
        <w:rPr>
          <w:rFonts w:eastAsia="Calibri"/>
        </w:rPr>
        <w:tab/>
        <w:t>For a supplier collecting five samples per six-month monitoring period, the 90th percentile is the average of the highest and second highest concentrations.</w:t>
      </w:r>
    </w:p>
    <w:p w14:paraId="1A881432" w14:textId="77777777" w:rsidR="00E46816" w:rsidRDefault="00E46816" w:rsidP="00E46816">
      <w:pPr>
        <w:ind w:left="2880" w:hanging="720"/>
        <w:rPr>
          <w:rFonts w:eastAsia="Calibri"/>
        </w:rPr>
      </w:pPr>
    </w:p>
    <w:p w14:paraId="79C120B1" w14:textId="79966AB1" w:rsidR="00B50A91" w:rsidRPr="003B4362" w:rsidRDefault="00B50A91" w:rsidP="00E46816">
      <w:pPr>
        <w:ind w:left="2880" w:hanging="720"/>
        <w:rPr>
          <w:rFonts w:eastAsia="Calibri"/>
        </w:rPr>
      </w:pPr>
      <w:r w:rsidRPr="003B4362">
        <w:rPr>
          <w:rFonts w:eastAsia="Calibri"/>
        </w:rPr>
        <w:t>E)</w:t>
      </w:r>
      <w:r w:rsidRPr="003B4362">
        <w:rPr>
          <w:rFonts w:eastAsia="Calibri"/>
        </w:rPr>
        <w:tab/>
        <w:t>For a supplier the Agency allows to collect fewer than five samples under Section 611.1356(c), the result for the sample with the highest concentration is the 90th percentile value.</w:t>
      </w:r>
    </w:p>
    <w:p w14:paraId="2914DDFA" w14:textId="77777777" w:rsidR="00E46816" w:rsidRDefault="00E46816" w:rsidP="00E46816">
      <w:pPr>
        <w:ind w:left="720"/>
        <w:rPr>
          <w:rFonts w:eastAsia="Calibri"/>
        </w:rPr>
      </w:pPr>
    </w:p>
    <w:p w14:paraId="011010A1" w14:textId="717B7A6F" w:rsidR="00B50A91" w:rsidRPr="003B4362" w:rsidRDefault="00B50A91" w:rsidP="00E46816">
      <w:pPr>
        <w:ind w:left="720"/>
        <w:rPr>
          <w:rFonts w:eastAsia="Calibri"/>
        </w:rPr>
      </w:pPr>
      <w:r w:rsidRPr="003B4362">
        <w:rPr>
          <w:rFonts w:eastAsia="Calibri"/>
        </w:rPr>
        <w:t>d)</w:t>
      </w:r>
      <w:r w:rsidRPr="003B4362">
        <w:rPr>
          <w:rFonts w:eastAsia="Calibri"/>
        </w:rPr>
        <w:tab/>
        <w:t>Corrosion Control Treatment Requirements</w:t>
      </w:r>
    </w:p>
    <w:p w14:paraId="7AC47485" w14:textId="77777777" w:rsidR="00E46816" w:rsidRDefault="00E46816" w:rsidP="00E46816">
      <w:pPr>
        <w:ind w:left="2160" w:hanging="720"/>
        <w:rPr>
          <w:rFonts w:eastAsia="Calibri"/>
        </w:rPr>
      </w:pPr>
    </w:p>
    <w:p w14:paraId="605A9A5F" w14:textId="209477CB" w:rsidR="00B50A91" w:rsidRPr="003B4362" w:rsidRDefault="00B50A91" w:rsidP="00E46816">
      <w:pPr>
        <w:ind w:left="2160" w:hanging="720"/>
        <w:rPr>
          <w:rFonts w:eastAsia="Calibri"/>
        </w:rPr>
      </w:pPr>
      <w:r w:rsidRPr="003B4362">
        <w:rPr>
          <w:rFonts w:eastAsia="Calibri"/>
        </w:rPr>
        <w:t>1)</w:t>
      </w:r>
      <w:r w:rsidRPr="003B4362">
        <w:rPr>
          <w:rFonts w:eastAsia="Calibri"/>
        </w:rPr>
        <w:tab/>
        <w:t>Every supplier must install and operate optimal corrosion control treatment.</w:t>
      </w:r>
    </w:p>
    <w:p w14:paraId="50ADA853" w14:textId="77777777" w:rsidR="00E46816" w:rsidRDefault="00E46816" w:rsidP="00E46816">
      <w:pPr>
        <w:ind w:left="2160" w:hanging="720"/>
        <w:rPr>
          <w:rFonts w:eastAsia="Calibri"/>
        </w:rPr>
      </w:pPr>
    </w:p>
    <w:p w14:paraId="0EE11CF6" w14:textId="5DB700FC" w:rsidR="00B50A91" w:rsidRPr="003B4362" w:rsidRDefault="00B50A91" w:rsidP="00E46816">
      <w:pPr>
        <w:ind w:left="2160" w:hanging="720"/>
        <w:rPr>
          <w:rFonts w:eastAsia="Calibri"/>
        </w:rPr>
      </w:pPr>
      <w:r w:rsidRPr="003B4362">
        <w:rPr>
          <w:rFonts w:eastAsia="Calibri"/>
        </w:rPr>
        <w:t>2)</w:t>
      </w:r>
      <w:r w:rsidRPr="003B4362">
        <w:rPr>
          <w:rFonts w:eastAsia="Calibri"/>
        </w:rPr>
        <w:tab/>
        <w:t>Any supplier complying with the applicable corrosion control treatment requirements the Agency specifies under Sections 611.1351 and 611.1352 is deemed as complying with subsection (d)(1).</w:t>
      </w:r>
    </w:p>
    <w:p w14:paraId="1B5C9AA5" w14:textId="77777777" w:rsidR="00E46816" w:rsidRDefault="00E46816" w:rsidP="00E46816">
      <w:pPr>
        <w:ind w:left="1440" w:hanging="720"/>
        <w:rPr>
          <w:rFonts w:eastAsia="Calibri"/>
        </w:rPr>
      </w:pPr>
    </w:p>
    <w:p w14:paraId="6D20BE44" w14:textId="311F5DC2" w:rsidR="00B50A91" w:rsidRPr="003B4362" w:rsidRDefault="00B50A91" w:rsidP="00E46816">
      <w:pPr>
        <w:ind w:left="1440" w:hanging="720"/>
        <w:rPr>
          <w:rFonts w:eastAsia="Calibri"/>
        </w:rPr>
      </w:pPr>
      <w:r w:rsidRPr="003B4362">
        <w:rPr>
          <w:rFonts w:eastAsia="Calibri"/>
        </w:rPr>
        <w:t>e)</w:t>
      </w:r>
      <w:r w:rsidRPr="003B4362">
        <w:rPr>
          <w:rFonts w:eastAsia="Calibri"/>
        </w:rPr>
        <w:tab/>
        <w:t>Source Water Treatment Requirements.  Any supplier whose system exceeds the lead or copper action level must implement all applicable source water treatment requirements the Agency specifies under Section 611.1353.</w:t>
      </w:r>
    </w:p>
    <w:p w14:paraId="45FF7565" w14:textId="77777777" w:rsidR="00E46816" w:rsidRDefault="00E46816" w:rsidP="00E46816">
      <w:pPr>
        <w:ind w:left="1440" w:hanging="720"/>
        <w:rPr>
          <w:rFonts w:eastAsia="Calibri"/>
        </w:rPr>
      </w:pPr>
    </w:p>
    <w:p w14:paraId="1C3019B0" w14:textId="4AA56423" w:rsidR="00B50A91" w:rsidRPr="003B4362" w:rsidRDefault="00B50A91" w:rsidP="00E46816">
      <w:pPr>
        <w:ind w:left="1440" w:hanging="720"/>
        <w:rPr>
          <w:rFonts w:eastAsia="Calibri"/>
        </w:rPr>
      </w:pPr>
      <w:r w:rsidRPr="003B4362">
        <w:rPr>
          <w:rFonts w:eastAsia="Calibri"/>
        </w:rPr>
        <w:t>f)</w:t>
      </w:r>
      <w:r w:rsidRPr="003B4362">
        <w:rPr>
          <w:rFonts w:eastAsia="Calibri"/>
        </w:rPr>
        <w:tab/>
        <w:t>Lead Service Line Replacement Requirements.  Any supplier whose system exceeds the lead action level after implementing applicable corrosion control and source water treatment must complete the lead service line replacement under Section 611.1354.</w:t>
      </w:r>
    </w:p>
    <w:p w14:paraId="76EC6D76" w14:textId="77777777" w:rsidR="00E46816" w:rsidRDefault="00E46816" w:rsidP="00E46816">
      <w:pPr>
        <w:ind w:left="1440" w:hanging="720"/>
        <w:rPr>
          <w:rFonts w:eastAsia="Calibri"/>
        </w:rPr>
      </w:pPr>
    </w:p>
    <w:p w14:paraId="7C562676" w14:textId="744785FF" w:rsidR="00B50A91" w:rsidRPr="003B4362" w:rsidRDefault="00B50A91" w:rsidP="00E46816">
      <w:pPr>
        <w:ind w:left="1440" w:hanging="720"/>
        <w:rPr>
          <w:rFonts w:eastAsia="Calibri"/>
        </w:rPr>
      </w:pPr>
      <w:r w:rsidRPr="003B4362">
        <w:rPr>
          <w:rFonts w:eastAsia="Calibri"/>
        </w:rPr>
        <w:t>g)</w:t>
      </w:r>
      <w:r w:rsidRPr="003B4362">
        <w:rPr>
          <w:rFonts w:eastAsia="Calibri"/>
        </w:rPr>
        <w:tab/>
        <w:t>Public Education Requirements.  Under Section 611.1355, the supplier must provide a consumer notice of the lead tap water monitoring results to the persons served at each tested site (tap).  Any supplier exceed</w:t>
      </w:r>
      <w:r w:rsidR="00E67737" w:rsidRPr="003B4362">
        <w:rPr>
          <w:rFonts w:eastAsia="Calibri"/>
        </w:rPr>
        <w:t>ing</w:t>
      </w:r>
      <w:r w:rsidRPr="003B4362">
        <w:rPr>
          <w:rFonts w:eastAsia="Calibri"/>
        </w:rPr>
        <w:t xml:space="preserve"> the lead action level must implement the public education requirements.</w:t>
      </w:r>
    </w:p>
    <w:p w14:paraId="416F361D" w14:textId="77777777" w:rsidR="00E46816" w:rsidRDefault="00E46816" w:rsidP="00E46816">
      <w:pPr>
        <w:ind w:left="1440" w:hanging="720"/>
        <w:rPr>
          <w:rFonts w:eastAsia="Calibri"/>
        </w:rPr>
      </w:pPr>
    </w:p>
    <w:p w14:paraId="100E7F8C" w14:textId="6730425F" w:rsidR="00B50A91" w:rsidRPr="003B4362" w:rsidRDefault="00B50A91" w:rsidP="00E46816">
      <w:pPr>
        <w:ind w:left="1440" w:hanging="720"/>
        <w:rPr>
          <w:rFonts w:eastAsia="Calibri"/>
        </w:rPr>
      </w:pPr>
      <w:r w:rsidRPr="003B4362">
        <w:rPr>
          <w:rFonts w:eastAsia="Calibri"/>
        </w:rPr>
        <w:t>h)</w:t>
      </w:r>
      <w:r w:rsidRPr="003B4362">
        <w:rPr>
          <w:rFonts w:eastAsia="Calibri"/>
        </w:rPr>
        <w:tab/>
        <w:t xml:space="preserve">Monitoring and Analytical Requirements.  A supplier must complete all tap water monitoring for lead and copper, monitoring for water quality parameters, and source water monitoring for lead and copper and analyze the monitoring results under this Subpart </w:t>
      </w:r>
      <w:r w:rsidR="00A62B08" w:rsidRPr="003B4362">
        <w:rPr>
          <w:rFonts w:eastAsia="Calibri"/>
        </w:rPr>
        <w:t>A</w:t>
      </w:r>
      <w:r w:rsidRPr="003B4362">
        <w:rPr>
          <w:rFonts w:eastAsia="Calibri"/>
        </w:rPr>
        <w:t>G as Sections 611.1356, 611.1357, 611.1358, and 611.1359 require.</w:t>
      </w:r>
    </w:p>
    <w:p w14:paraId="44E14E6F" w14:textId="77777777" w:rsidR="00E46816" w:rsidRDefault="00E46816" w:rsidP="00E46816">
      <w:pPr>
        <w:ind w:left="1440" w:hanging="720"/>
        <w:rPr>
          <w:rFonts w:eastAsia="Calibri"/>
        </w:rPr>
      </w:pPr>
    </w:p>
    <w:p w14:paraId="173FC8F2" w14:textId="627BDD2F" w:rsidR="00B50A91" w:rsidRPr="003B4362" w:rsidRDefault="00B50A91" w:rsidP="00E46816">
      <w:pPr>
        <w:ind w:left="1440" w:hanging="720"/>
        <w:rPr>
          <w:rFonts w:eastAsia="Calibri"/>
        </w:rPr>
      </w:pPr>
      <w:r w:rsidRPr="003B4362">
        <w:rPr>
          <w:rFonts w:eastAsia="Calibri"/>
        </w:rPr>
        <w:t>i)</w:t>
      </w:r>
      <w:r w:rsidRPr="003B4362">
        <w:rPr>
          <w:rFonts w:eastAsia="Calibri"/>
        </w:rPr>
        <w:tab/>
        <w:t xml:space="preserve">Reporting Requirements.  A supplier must report any information the treatment provisions of this Subpart </w:t>
      </w:r>
      <w:r w:rsidR="00A62B08" w:rsidRPr="003B4362">
        <w:rPr>
          <w:rFonts w:eastAsia="Calibri"/>
        </w:rPr>
        <w:t>A</w:t>
      </w:r>
      <w:r w:rsidRPr="003B4362">
        <w:rPr>
          <w:rFonts w:eastAsia="Calibri"/>
        </w:rPr>
        <w:t>G and Section 611.1360 require to the Agency.</w:t>
      </w:r>
    </w:p>
    <w:p w14:paraId="707CE025" w14:textId="77777777" w:rsidR="00E46816" w:rsidRDefault="00E46816" w:rsidP="00E46816">
      <w:pPr>
        <w:ind w:left="1440" w:hanging="720"/>
        <w:rPr>
          <w:rFonts w:eastAsia="Calibri"/>
        </w:rPr>
      </w:pPr>
    </w:p>
    <w:p w14:paraId="050CB067" w14:textId="128AC38E" w:rsidR="00B50A91" w:rsidRPr="003B4362" w:rsidRDefault="00B50A91" w:rsidP="00E46816">
      <w:pPr>
        <w:ind w:left="1440" w:hanging="720"/>
        <w:rPr>
          <w:rFonts w:eastAsia="Calibri"/>
        </w:rPr>
      </w:pPr>
      <w:r w:rsidRPr="003B4362">
        <w:rPr>
          <w:rFonts w:eastAsia="Calibri"/>
        </w:rPr>
        <w:lastRenderedPageBreak/>
        <w:t>j)</w:t>
      </w:r>
      <w:r w:rsidRPr="003B4362">
        <w:rPr>
          <w:rFonts w:eastAsia="Calibri"/>
        </w:rPr>
        <w:tab/>
        <w:t>Recordkeeping Requirements.  A supplier must maintain records as Section 611.1361 requires.</w:t>
      </w:r>
    </w:p>
    <w:p w14:paraId="54910F08" w14:textId="77777777" w:rsidR="00E46816" w:rsidRDefault="00E46816" w:rsidP="00E46816">
      <w:pPr>
        <w:ind w:left="1440" w:hanging="720"/>
        <w:rPr>
          <w:rFonts w:eastAsia="Calibri"/>
        </w:rPr>
      </w:pPr>
    </w:p>
    <w:p w14:paraId="52D813A4" w14:textId="01AFE92D" w:rsidR="00B50A91" w:rsidRPr="003B4362" w:rsidRDefault="00B50A91" w:rsidP="00E46816">
      <w:pPr>
        <w:ind w:left="1440" w:hanging="720"/>
        <w:rPr>
          <w:rFonts w:eastAsia="Calibri"/>
        </w:rPr>
      </w:pPr>
      <w:r w:rsidRPr="003B4362">
        <w:rPr>
          <w:rFonts w:eastAsia="Calibri"/>
        </w:rPr>
        <w:t>k)</w:t>
      </w:r>
      <w:r w:rsidRPr="003B4362">
        <w:rPr>
          <w:rFonts w:eastAsia="Calibri"/>
        </w:rPr>
        <w:tab/>
        <w:t xml:space="preserve">Violation of National Primary Drinking Water Regulations.  Failing to comply with this Subpart </w:t>
      </w:r>
      <w:r w:rsidR="00A62B08" w:rsidRPr="003B4362">
        <w:rPr>
          <w:rFonts w:eastAsia="Calibri"/>
        </w:rPr>
        <w:t>A</w:t>
      </w:r>
      <w:r w:rsidRPr="003B4362">
        <w:rPr>
          <w:rFonts w:eastAsia="Calibri"/>
        </w:rPr>
        <w:t>G, including conditions the Agency imposes in a SEP, violates the lead or copper NPDWRs.</w:t>
      </w:r>
    </w:p>
    <w:p w14:paraId="336B51EB" w14:textId="77777777" w:rsidR="00E46816" w:rsidRDefault="00E46816" w:rsidP="00E46816">
      <w:pPr>
        <w:widowControl w:val="0"/>
        <w:rPr>
          <w:rFonts w:eastAsia="Calibri"/>
        </w:rPr>
      </w:pPr>
    </w:p>
    <w:p w14:paraId="46766B92" w14:textId="5BFA7BC6" w:rsidR="00B50A91" w:rsidRPr="003B4362" w:rsidRDefault="00B50A91" w:rsidP="00E46816">
      <w:pPr>
        <w:widowControl w:val="0"/>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611.1350 and </w:t>
      </w:r>
      <w:r w:rsidRPr="003B4362">
        <w:rPr>
          <w:rFonts w:eastAsia="Calibri"/>
          <w:spacing w:val="-3"/>
        </w:rPr>
        <w:t xml:space="preserve">derives </w:t>
      </w:r>
      <w:r w:rsidRPr="003B4362">
        <w:rPr>
          <w:rFonts w:eastAsia="Calibri"/>
        </w:rPr>
        <w:t>from 40 CFR 141.80</w:t>
      </w:r>
      <w:r w:rsidR="00D15B76" w:rsidRPr="003B4362">
        <w:rPr>
          <w:rFonts w:eastAsia="Calibri"/>
        </w:rPr>
        <w:t xml:space="preserve"> (2020)</w:t>
      </w:r>
      <w:r w:rsidRPr="003B4362">
        <w:rPr>
          <w:rFonts w:eastAsia="Calibri"/>
        </w:rPr>
        <w:t>.</w:t>
      </w:r>
    </w:p>
    <w:p w14:paraId="23F05405" w14:textId="77777777" w:rsidR="00E46816" w:rsidRDefault="00E46816" w:rsidP="00E46816">
      <w:pPr>
        <w:suppressAutoHyphens/>
        <w:ind w:left="720"/>
        <w:rPr>
          <w:rFonts w:eastAsia="Calibri"/>
        </w:rPr>
      </w:pPr>
    </w:p>
    <w:p w14:paraId="48099695" w14:textId="0AA769C0" w:rsidR="00B50A91" w:rsidRDefault="00EB353D" w:rsidP="00E46816">
      <w:pPr>
        <w:suppressAutoHyphens/>
        <w:ind w:left="720"/>
        <w:rPr>
          <w:rFonts w:eastAsia="Calibri"/>
        </w:rPr>
      </w:pPr>
      <w:r w:rsidRPr="003B4362">
        <w:rPr>
          <w:rFonts w:eastAsia="Calibri"/>
        </w:rPr>
        <w:t>(Source:  A</w:t>
      </w:r>
      <w:r w:rsidR="00B65583" w:rsidRPr="003B4362">
        <w:rPr>
          <w:rFonts w:eastAsia="Calibri"/>
        </w:rPr>
        <w:t>dd</w:t>
      </w:r>
      <w:r w:rsidRPr="003B4362">
        <w:rPr>
          <w:rFonts w:eastAsia="Calibri"/>
        </w:rPr>
        <w:t xml:space="preserve">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5390A44B" w14:textId="77777777" w:rsidR="005605D6" w:rsidRPr="003B4362" w:rsidRDefault="005605D6" w:rsidP="00E46816">
      <w:pPr>
        <w:suppressAutoHyphens/>
        <w:ind w:left="720"/>
        <w:rPr>
          <w:rFonts w:eastAsia="Calibri"/>
        </w:rPr>
      </w:pPr>
    </w:p>
    <w:p w14:paraId="32E2A41A" w14:textId="77777777" w:rsidR="00B50A91" w:rsidRPr="003B4362" w:rsidRDefault="00B50A91" w:rsidP="00E46816">
      <w:pPr>
        <w:rPr>
          <w:rFonts w:eastAsia="Calibri"/>
          <w:b/>
          <w:bCs/>
        </w:rPr>
      </w:pPr>
      <w:r w:rsidRPr="003B4362">
        <w:rPr>
          <w:rFonts w:eastAsia="Calibri"/>
          <w:b/>
          <w:bCs/>
        </w:rPr>
        <w:t>Section 611.1351  Applicability of Corrosion Control</w:t>
      </w:r>
    </w:p>
    <w:p w14:paraId="515CB7AD" w14:textId="77777777" w:rsidR="00E46816" w:rsidRDefault="00E46816" w:rsidP="00E46816">
      <w:pPr>
        <w:ind w:left="1440" w:hanging="720"/>
        <w:rPr>
          <w:rFonts w:eastAsia="Calibri"/>
        </w:rPr>
      </w:pPr>
    </w:p>
    <w:p w14:paraId="3BBE4858" w14:textId="61569345" w:rsidR="00B50A91" w:rsidRPr="003B4362" w:rsidRDefault="00B50A91" w:rsidP="00E46816">
      <w:pPr>
        <w:ind w:left="1440" w:hanging="720"/>
        <w:rPr>
          <w:rFonts w:eastAsia="Calibri"/>
        </w:rPr>
      </w:pPr>
      <w:r w:rsidRPr="003B4362">
        <w:rPr>
          <w:rFonts w:eastAsia="Calibri"/>
        </w:rPr>
        <w:t>a)</w:t>
      </w:r>
      <w:r w:rsidRPr="003B4362">
        <w:rPr>
          <w:rFonts w:eastAsia="Calibri"/>
        </w:rPr>
        <w:tab/>
        <w:t>Corrosion Control Required.  A supplier must complete the applicable corrosion control treatment under Section 611.1352 on or before the deadlines in this Section.</w:t>
      </w:r>
    </w:p>
    <w:p w14:paraId="16657BAD" w14:textId="77777777" w:rsidR="00E46816" w:rsidRDefault="00E46816" w:rsidP="00E46816">
      <w:pPr>
        <w:ind w:left="2160" w:hanging="720"/>
        <w:rPr>
          <w:rFonts w:eastAsia="Calibri"/>
        </w:rPr>
      </w:pPr>
    </w:p>
    <w:p w14:paraId="0DEA3C14" w14:textId="6CFF3A1E" w:rsidR="00B50A91" w:rsidRPr="003B4362" w:rsidRDefault="00B50A91" w:rsidP="00E46816">
      <w:pPr>
        <w:ind w:left="2160" w:hanging="720"/>
        <w:rPr>
          <w:rFonts w:eastAsia="Calibri"/>
        </w:rPr>
      </w:pPr>
      <w:r w:rsidRPr="003B4362">
        <w:rPr>
          <w:rFonts w:eastAsia="Calibri"/>
        </w:rPr>
        <w:t>1)</w:t>
      </w:r>
      <w:r w:rsidRPr="003B4362">
        <w:rPr>
          <w:rFonts w:eastAsia="Calibri"/>
        </w:rPr>
        <w:tab/>
        <w:t>Large Systems.  Each large system supplier (one regularly serving more than 50,000 persons) must complete the corrosion control treatment steps subsection (d) specifies, unless subsection (b)(2) or (b)(3) deems the supplier to have optimized corrosion control.</w:t>
      </w:r>
    </w:p>
    <w:p w14:paraId="79723F6D" w14:textId="77777777" w:rsidR="00E46816" w:rsidRDefault="00E46816" w:rsidP="00E46816">
      <w:pPr>
        <w:ind w:left="2160" w:hanging="720"/>
        <w:rPr>
          <w:rFonts w:eastAsia="Calibri"/>
        </w:rPr>
      </w:pPr>
    </w:p>
    <w:p w14:paraId="6E0F7227" w14:textId="4E46492E" w:rsidR="00B50A91" w:rsidRPr="003B4362" w:rsidRDefault="00B50A91" w:rsidP="00E46816">
      <w:pPr>
        <w:ind w:left="2160" w:hanging="720"/>
        <w:rPr>
          <w:rFonts w:eastAsia="Calibri"/>
        </w:rPr>
      </w:pPr>
      <w:r w:rsidRPr="003B4362">
        <w:rPr>
          <w:rFonts w:eastAsia="Calibri"/>
        </w:rPr>
        <w:t>2)</w:t>
      </w:r>
      <w:r w:rsidRPr="003B4362">
        <w:rPr>
          <w:rFonts w:eastAsia="Calibri"/>
        </w:rPr>
        <w:tab/>
        <w:t>Small and Medium-Sized Systems.  Each small system supplier (one regularly serving 3,300 or fewer persons) and each medium-sized water system (one regularly serving 3,301 to 50,000 persons) must complete the corrosion control treatment steps subsection (e) specifies, unless subsection (b)(1), (b)(2), or (b)(3) deems the supplier to have optimized corrosion control.</w:t>
      </w:r>
    </w:p>
    <w:p w14:paraId="027CEFAC" w14:textId="77777777" w:rsidR="00E46816" w:rsidRDefault="00E46816" w:rsidP="00E46816">
      <w:pPr>
        <w:ind w:left="1440" w:hanging="720"/>
        <w:rPr>
          <w:rFonts w:eastAsia="Calibri"/>
        </w:rPr>
      </w:pPr>
    </w:p>
    <w:p w14:paraId="619B266C" w14:textId="2EF83102" w:rsidR="00B50A91" w:rsidRPr="003B4362" w:rsidRDefault="00B50A91" w:rsidP="00E46816">
      <w:pPr>
        <w:ind w:left="1440" w:hanging="720"/>
        <w:rPr>
          <w:rFonts w:eastAsia="Calibri"/>
        </w:rPr>
      </w:pPr>
      <w:r w:rsidRPr="003B4362">
        <w:rPr>
          <w:rFonts w:eastAsia="Calibri"/>
        </w:rPr>
        <w:t>b)</w:t>
      </w:r>
      <w:r w:rsidRPr="003B4362">
        <w:rPr>
          <w:rFonts w:eastAsia="Calibri"/>
        </w:rPr>
        <w:tab/>
        <w:t>Suppliers Deemed to Have Optimized Corrosion Control.  Subsection (b)(1), (b)(2), or (b)(3) deems a supplier to have optimized corrosion control</w:t>
      </w:r>
      <w:r w:rsidR="006676EB" w:rsidRPr="003B4362">
        <w:rPr>
          <w:rFonts w:eastAsia="Calibri"/>
        </w:rPr>
        <w:t xml:space="preserve"> treatment</w:t>
      </w:r>
      <w:r w:rsidRPr="003B4362">
        <w:rPr>
          <w:rFonts w:eastAsia="Calibri"/>
        </w:rPr>
        <w:t xml:space="preserve"> if the supplier satisfies the criterion the subsection specifies, freeing the supplier from the obligation to complete the applicable corrosion control treatment steps in this Section.  Any system subsection (b)(1), (b)(2), or (b)(3) deems to have optimized corrosion control having treatment in place must continue operating and maintaining optimal corrosion control treatment and meeting any requirements the Agency determines are appropriate to ensure that the supplier maintains optimal corrosion control treatment.</w:t>
      </w:r>
    </w:p>
    <w:p w14:paraId="31A35469" w14:textId="77777777" w:rsidR="00E46816" w:rsidRDefault="00E46816" w:rsidP="00E46816">
      <w:pPr>
        <w:ind w:left="2160" w:hanging="720"/>
        <w:rPr>
          <w:rFonts w:eastAsia="Calibri"/>
        </w:rPr>
      </w:pPr>
    </w:p>
    <w:p w14:paraId="181DD893" w14:textId="0E035A13" w:rsidR="00B50A91" w:rsidRPr="003B4362" w:rsidRDefault="00B50A91" w:rsidP="00E46816">
      <w:pPr>
        <w:ind w:left="2160" w:hanging="720"/>
        <w:rPr>
          <w:rFonts w:eastAsia="Calibri"/>
        </w:rPr>
      </w:pPr>
      <w:r w:rsidRPr="003B4362">
        <w:rPr>
          <w:rFonts w:eastAsia="Calibri"/>
        </w:rPr>
        <w:t>1)</w:t>
      </w:r>
      <w:r w:rsidRPr="003B4362">
        <w:rPr>
          <w:rFonts w:eastAsia="Calibri"/>
        </w:rPr>
        <w:tab/>
        <w:t>Small and Medium-Sized Systems Meeting Action Levels.  Meeting the lead and copper action levels during each of two consecutive six-month monitoring periods under Section 611.1356 deems a small or medium-sized system supplier to have optimized corrosion control.</w:t>
      </w:r>
    </w:p>
    <w:p w14:paraId="6BBD382F" w14:textId="77777777" w:rsidR="00E46816" w:rsidRDefault="00E46816" w:rsidP="00E46816">
      <w:pPr>
        <w:ind w:left="2160" w:hanging="720"/>
        <w:rPr>
          <w:rFonts w:eastAsia="Calibri"/>
        </w:rPr>
      </w:pPr>
    </w:p>
    <w:p w14:paraId="4C0A42FD" w14:textId="61EA11E4" w:rsidR="00B50A91" w:rsidRPr="003B4362" w:rsidRDefault="00B50A91" w:rsidP="00E46816">
      <w:pPr>
        <w:ind w:left="2160" w:hanging="720"/>
        <w:rPr>
          <w:rFonts w:eastAsia="Calibri"/>
        </w:rPr>
      </w:pPr>
      <w:r w:rsidRPr="003B4362">
        <w:rPr>
          <w:rFonts w:eastAsia="Calibri"/>
        </w:rPr>
        <w:lastRenderedPageBreak/>
        <w:t>2)</w:t>
      </w:r>
      <w:r w:rsidRPr="003B4362">
        <w:rPr>
          <w:rFonts w:eastAsia="Calibri"/>
        </w:rPr>
        <w:tab/>
        <w:t>SEP for Activities Equivalent to Corrosion Control.  The Agency must issue a SEP deeming a supplier to have optimized corrosion control treatment upon determining that the supplier conducts activities equivalent to the corrosion control steps under this Section.  In making this determination, the Agency must specify the water quality control parameters representing optimal corrosion control under Section 611.1352(f).  A water supplier the Agency deems as having optimized corrosion control under this subsection (b)(2) must operate in compliance with the Agency-designated optimal water quality control parameters under Section 611.1352(g) and must continue to conduct lead and copper tap and water quality parameter sampling under Sections 611.1356(d)(3) and 611.1357(d).  A supplier must provide the Agency with the following information to support the Agency issuing a SEP under this subsection (b)(2):</w:t>
      </w:r>
    </w:p>
    <w:p w14:paraId="7A8EC7B2" w14:textId="77777777" w:rsidR="00E46816" w:rsidRDefault="00E46816" w:rsidP="00E46816">
      <w:pPr>
        <w:ind w:left="2880" w:hanging="720"/>
        <w:rPr>
          <w:rFonts w:eastAsia="Calibri"/>
        </w:rPr>
      </w:pPr>
    </w:p>
    <w:p w14:paraId="40B8B79B" w14:textId="5521538A" w:rsidR="00B50A91" w:rsidRPr="003B4362" w:rsidRDefault="00B50A91" w:rsidP="00E46816">
      <w:pPr>
        <w:ind w:left="2880" w:hanging="720"/>
        <w:rPr>
          <w:rFonts w:eastAsia="Calibri"/>
        </w:rPr>
      </w:pPr>
      <w:r w:rsidRPr="003B4362">
        <w:rPr>
          <w:rFonts w:eastAsia="Calibri"/>
        </w:rPr>
        <w:t>A)</w:t>
      </w:r>
      <w:r w:rsidRPr="003B4362">
        <w:rPr>
          <w:rFonts w:eastAsia="Calibri"/>
        </w:rPr>
        <w:tab/>
        <w:t>The results of all test samples the supplier collected for each of the water quality parameters in Section 611.1352(c)(3);</w:t>
      </w:r>
    </w:p>
    <w:p w14:paraId="7695434B" w14:textId="77777777" w:rsidR="00E46816" w:rsidRDefault="00E46816" w:rsidP="00E46816">
      <w:pPr>
        <w:ind w:left="2880" w:hanging="720"/>
        <w:rPr>
          <w:rFonts w:eastAsia="Calibri"/>
        </w:rPr>
      </w:pPr>
    </w:p>
    <w:p w14:paraId="09688B08" w14:textId="528FED73" w:rsidR="00B50A91" w:rsidRPr="003B4362" w:rsidRDefault="00B50A91" w:rsidP="00E46816">
      <w:pPr>
        <w:ind w:left="2880" w:hanging="720"/>
        <w:rPr>
          <w:rFonts w:eastAsia="Calibri"/>
        </w:rPr>
      </w:pPr>
      <w:r w:rsidRPr="003B4362">
        <w:rPr>
          <w:rFonts w:eastAsia="Calibri"/>
        </w:rPr>
        <w:t>B)</w:t>
      </w:r>
      <w:r w:rsidRPr="003B4362">
        <w:rPr>
          <w:rFonts w:eastAsia="Calibri"/>
        </w:rPr>
        <w:tab/>
        <w:t>A report explaining the test methods the supplier used to evaluate the corrosion control treatments in Section 611.1352(c)(1), the results of all tests conducted, and the basis for the supplier selecting the optimal corrosion control treatment;</w:t>
      </w:r>
    </w:p>
    <w:p w14:paraId="562CF6E6" w14:textId="77777777" w:rsidR="00E46816" w:rsidRDefault="00E46816" w:rsidP="00E46816">
      <w:pPr>
        <w:ind w:left="2880" w:hanging="720"/>
        <w:rPr>
          <w:rFonts w:eastAsia="Calibri"/>
        </w:rPr>
      </w:pPr>
    </w:p>
    <w:p w14:paraId="0AAA5D98" w14:textId="57439160" w:rsidR="00B50A91" w:rsidRPr="003B4362" w:rsidRDefault="00B50A91" w:rsidP="00E46816">
      <w:pPr>
        <w:ind w:left="2880" w:hanging="720"/>
        <w:rPr>
          <w:rFonts w:eastAsia="Calibri"/>
        </w:rPr>
      </w:pPr>
      <w:r w:rsidRPr="003B4362">
        <w:rPr>
          <w:rFonts w:eastAsia="Calibri"/>
        </w:rPr>
        <w:t>C)</w:t>
      </w:r>
      <w:r w:rsidRPr="003B4362">
        <w:rPr>
          <w:rFonts w:eastAsia="Calibri"/>
        </w:rPr>
        <w:tab/>
        <w:t>A report explaining how the supplier installed corrosion control and how the supplier maintains the corrosion control to insure minimal lead and copper concentrations at consumers’ taps; and</w:t>
      </w:r>
    </w:p>
    <w:p w14:paraId="6A95F550" w14:textId="77777777" w:rsidR="00E46816" w:rsidRDefault="00E46816" w:rsidP="00E46816">
      <w:pPr>
        <w:ind w:left="2880" w:hanging="720"/>
        <w:rPr>
          <w:rFonts w:eastAsia="Calibri"/>
        </w:rPr>
      </w:pPr>
    </w:p>
    <w:p w14:paraId="44D53FB9" w14:textId="1608CC65" w:rsidR="00B50A91" w:rsidRPr="003B4362" w:rsidRDefault="00B50A91" w:rsidP="00E46816">
      <w:pPr>
        <w:ind w:left="2880" w:hanging="720"/>
        <w:rPr>
          <w:rFonts w:eastAsia="Calibri"/>
        </w:rPr>
      </w:pPr>
      <w:r w:rsidRPr="003B4362">
        <w:rPr>
          <w:rFonts w:eastAsia="Calibri"/>
        </w:rPr>
        <w:t>D)</w:t>
      </w:r>
      <w:r w:rsidRPr="003B4362">
        <w:rPr>
          <w:rFonts w:eastAsia="Calibri"/>
        </w:rPr>
        <w:tab/>
        <w:t>The results of tap water samples the supplier collected under Section 611.1356 at least once every six months for one year after the supplier installed corrosion control.</w:t>
      </w:r>
    </w:p>
    <w:p w14:paraId="55FBCF0B" w14:textId="77777777" w:rsidR="00E46816" w:rsidRDefault="00E46816" w:rsidP="00E46816">
      <w:pPr>
        <w:ind w:left="2160" w:hanging="720"/>
        <w:rPr>
          <w:rFonts w:eastAsia="Calibri"/>
        </w:rPr>
      </w:pPr>
    </w:p>
    <w:p w14:paraId="43FA7C31" w14:textId="15F0E7DD" w:rsidR="00B50A91" w:rsidRPr="003B4362" w:rsidRDefault="00B50A91" w:rsidP="00E46816">
      <w:pPr>
        <w:ind w:left="2160" w:hanging="720"/>
        <w:rPr>
          <w:rFonts w:eastAsia="Calibri"/>
        </w:rPr>
      </w:pPr>
      <w:r w:rsidRPr="003B4362">
        <w:rPr>
          <w:rFonts w:eastAsia="Calibri"/>
        </w:rPr>
        <w:t>3)</w:t>
      </w:r>
      <w:r w:rsidRPr="003B4362">
        <w:rPr>
          <w:rFonts w:eastAsia="Calibri"/>
        </w:rPr>
        <w:tab/>
        <w:t>Results Less Than Practical Quantitation Level (PQL) for Lead.  Monitoring results deem supplier to have optimized corrosion control if the supplier submits results of tap water monitoring under Section 611.1356 and source water monitoring under Section 611.1358 demonstrating that for two consecutive six-month monitoring periods the difference between the 90th percentile tap water lead level, computed under Section 611.1350(c)(3), and the highest source water lead concentration is less than the PQL that Section 611.1359(a)(2)(A) specifies.</w:t>
      </w:r>
    </w:p>
    <w:p w14:paraId="7271A64C" w14:textId="77777777" w:rsidR="00E46816" w:rsidRDefault="00E46816" w:rsidP="00E46816">
      <w:pPr>
        <w:ind w:left="2880" w:hanging="720"/>
        <w:rPr>
          <w:rFonts w:eastAsia="Calibri"/>
        </w:rPr>
      </w:pPr>
    </w:p>
    <w:p w14:paraId="7B7B316C" w14:textId="3842B6F5" w:rsidR="00B50A91" w:rsidRPr="003B4362" w:rsidRDefault="00B50A91" w:rsidP="00E46816">
      <w:pPr>
        <w:ind w:left="2880" w:hanging="720"/>
        <w:rPr>
          <w:rFonts w:eastAsia="Calibri"/>
        </w:rPr>
      </w:pPr>
      <w:r w:rsidRPr="003B4362">
        <w:rPr>
          <w:rFonts w:eastAsia="Calibri"/>
        </w:rPr>
        <w:t>A)</w:t>
      </w:r>
      <w:r w:rsidRPr="003B4362">
        <w:rPr>
          <w:rFonts w:eastAsia="Calibri"/>
        </w:rPr>
        <w:tab/>
        <w:t xml:space="preserve">Having a highest source water lead level below the MDL deems a supplier to have optimized corrosion control under this subsection (b)(3) if the 90th percentile tap water lead level is less than or </w:t>
      </w:r>
      <w:r w:rsidRPr="003B4362">
        <w:rPr>
          <w:rFonts w:eastAsia="Calibri"/>
        </w:rPr>
        <w:lastRenderedPageBreak/>
        <w:t>equal to the lead PQL for two consecutive six-month monitoring periods.</w:t>
      </w:r>
    </w:p>
    <w:p w14:paraId="2EF924EF" w14:textId="77777777" w:rsidR="00E46816" w:rsidRDefault="00E46816" w:rsidP="00E46816">
      <w:pPr>
        <w:ind w:left="2880" w:hanging="720"/>
        <w:rPr>
          <w:rFonts w:eastAsia="Calibri"/>
        </w:rPr>
      </w:pPr>
    </w:p>
    <w:p w14:paraId="40240355" w14:textId="0D05B4E3" w:rsidR="00B50A91" w:rsidRPr="003B4362" w:rsidRDefault="00B50A91" w:rsidP="00E46816">
      <w:pPr>
        <w:ind w:left="2880" w:hanging="720"/>
        <w:rPr>
          <w:rFonts w:eastAsia="Calibri"/>
        </w:rPr>
      </w:pPr>
      <w:r w:rsidRPr="003B4362">
        <w:rPr>
          <w:rFonts w:eastAsia="Calibri"/>
        </w:rPr>
        <w:t>B)</w:t>
      </w:r>
      <w:r w:rsidRPr="003B4362">
        <w:rPr>
          <w:rFonts w:eastAsia="Calibri"/>
        </w:rPr>
        <w:tab/>
        <w:t xml:space="preserve">Any </w:t>
      </w:r>
      <w:r w:rsidR="00411075" w:rsidRPr="003B4362">
        <w:rPr>
          <w:rFonts w:eastAsia="Calibri"/>
        </w:rPr>
        <w:t>supplier</w:t>
      </w:r>
      <w:r w:rsidRPr="003B4362">
        <w:rPr>
          <w:rFonts w:eastAsia="Calibri"/>
        </w:rPr>
        <w:t xml:space="preserve"> this subsection (b)(3) deems to have optimized corrosion control must continue tap water monitoring for lead and copper no less frequently than once every three calendar years using the reduced number of sites Section 611.1356(c) specifies and collecting the samples at times and locations Section 611.1356(d)(4)(D) specifies.</w:t>
      </w:r>
    </w:p>
    <w:p w14:paraId="5FDD0CF9" w14:textId="77777777" w:rsidR="00E46816" w:rsidRDefault="00E46816" w:rsidP="00E46816">
      <w:pPr>
        <w:ind w:left="2880" w:hanging="720"/>
        <w:rPr>
          <w:rFonts w:eastAsia="Calibri"/>
        </w:rPr>
      </w:pPr>
    </w:p>
    <w:p w14:paraId="40A09A89" w14:textId="270AAEB5" w:rsidR="00B50A91" w:rsidRPr="003B4362" w:rsidRDefault="00B50A91" w:rsidP="00E46816">
      <w:pPr>
        <w:ind w:left="2880" w:hanging="720"/>
        <w:rPr>
          <w:rFonts w:eastAsia="Calibri"/>
        </w:rPr>
      </w:pPr>
      <w:r w:rsidRPr="003B4362">
        <w:rPr>
          <w:rFonts w:eastAsia="Calibri"/>
        </w:rPr>
        <w:t>C)</w:t>
      </w:r>
      <w:r w:rsidRPr="003B4362">
        <w:rPr>
          <w:rFonts w:eastAsia="Calibri"/>
        </w:rPr>
        <w:tab/>
        <w:t xml:space="preserve">Any </w:t>
      </w:r>
      <w:r w:rsidR="00411075" w:rsidRPr="003B4362">
        <w:rPr>
          <w:rFonts w:eastAsia="Calibri"/>
        </w:rPr>
        <w:t>supplier</w:t>
      </w:r>
      <w:r w:rsidRPr="003B4362">
        <w:rPr>
          <w:rFonts w:eastAsia="Calibri"/>
        </w:rPr>
        <w:t xml:space="preserve"> this subsection (b)(3) deems to have optimized corrosion control must notify the Agency in writing under Section 611.1360(a)(3) of any upcoming long-term change in treatment or the addition of a new source, as that Section describes.  The Agency must review and approve the addition of a new source or any long-term change in water treatment before the supplier adds the source or implements the long-term change.</w:t>
      </w:r>
    </w:p>
    <w:p w14:paraId="5DF709BB" w14:textId="77777777" w:rsidR="00E46816" w:rsidRDefault="00E46816" w:rsidP="00E46816">
      <w:pPr>
        <w:ind w:left="2880" w:hanging="720"/>
        <w:rPr>
          <w:rFonts w:eastAsia="Calibri"/>
        </w:rPr>
      </w:pPr>
    </w:p>
    <w:p w14:paraId="6C555E9F" w14:textId="3E47A7A4" w:rsidR="00B50A91" w:rsidRPr="003B4362" w:rsidRDefault="00B50A91" w:rsidP="00E46816">
      <w:pPr>
        <w:ind w:left="2880" w:hanging="720"/>
        <w:rPr>
          <w:rFonts w:eastAsia="Calibri"/>
        </w:rPr>
      </w:pPr>
      <w:r w:rsidRPr="003B4362">
        <w:rPr>
          <w:rFonts w:eastAsia="Calibri"/>
        </w:rPr>
        <w:t>D)</w:t>
      </w:r>
      <w:r w:rsidRPr="003B4362">
        <w:rPr>
          <w:rFonts w:eastAsia="Calibri"/>
        </w:rPr>
        <w:tab/>
        <w:t>A supplier is not deemed to have optimized corrosion control under this subsection (b)(3) and must implement corrosion control treatment under subsection (b)(3)(E), unless the supplier meets the copper action level.</w:t>
      </w:r>
    </w:p>
    <w:p w14:paraId="6AC9A550" w14:textId="77777777" w:rsidR="00E46816" w:rsidRDefault="00E46816" w:rsidP="00E46816">
      <w:pPr>
        <w:ind w:left="2880" w:hanging="720"/>
        <w:rPr>
          <w:rFonts w:eastAsia="Calibri"/>
        </w:rPr>
      </w:pPr>
    </w:p>
    <w:p w14:paraId="221BE656" w14:textId="693D2BE3" w:rsidR="00B50A91" w:rsidRPr="003B4362" w:rsidRDefault="00B50A91" w:rsidP="00E46816">
      <w:pPr>
        <w:ind w:left="2880" w:hanging="720"/>
        <w:rPr>
          <w:rFonts w:eastAsia="Calibri"/>
        </w:rPr>
      </w:pPr>
      <w:r w:rsidRPr="003B4362">
        <w:rPr>
          <w:rFonts w:eastAsia="Calibri"/>
        </w:rPr>
        <w:t>E)</w:t>
      </w:r>
      <w:r w:rsidRPr="003B4362">
        <w:rPr>
          <w:rFonts w:eastAsia="Calibri"/>
        </w:rPr>
        <w:tab/>
        <w:t>Any supplier this subsection (b)(3) no longer deems to have optimized corrosion control must implement corrosion control treatment under subsection (e).  Any large system supplier this subsection (b)(3) no longer deems to have optimized corrosion control must adhere to the schedule that subsection (e) specifies for a medium-sized water system supplier, with the time periods for completing each step being triggered by the date the supplier is no longer deemed to have optimized corrosion control under this subsection (b)(3).</w:t>
      </w:r>
    </w:p>
    <w:p w14:paraId="799D66BA" w14:textId="77777777" w:rsidR="00E46816" w:rsidRDefault="00E46816" w:rsidP="00E46816">
      <w:pPr>
        <w:ind w:left="1440" w:hanging="720"/>
        <w:rPr>
          <w:rFonts w:eastAsia="Calibri"/>
        </w:rPr>
      </w:pPr>
    </w:p>
    <w:p w14:paraId="23602C5D" w14:textId="54D7E5F2" w:rsidR="00B50A91" w:rsidRPr="003B4362" w:rsidRDefault="00B50A91" w:rsidP="00E46816">
      <w:pPr>
        <w:ind w:left="1440" w:hanging="720"/>
        <w:rPr>
          <w:rFonts w:eastAsia="Calibri"/>
        </w:rPr>
      </w:pPr>
      <w:r w:rsidRPr="003B4362">
        <w:rPr>
          <w:rFonts w:eastAsia="Calibri"/>
        </w:rPr>
        <w:t>c)</w:t>
      </w:r>
      <w:r w:rsidRPr="003B4362">
        <w:rPr>
          <w:rFonts w:eastAsia="Calibri"/>
        </w:rPr>
        <w:tab/>
        <w:t>Suppliers Not Required to Complete Corrosion Control Steps for Having Met Both Action Levels</w:t>
      </w:r>
    </w:p>
    <w:p w14:paraId="547F3C92" w14:textId="77777777" w:rsidR="00E46816" w:rsidRDefault="00E46816" w:rsidP="00E46816">
      <w:pPr>
        <w:ind w:left="2160" w:hanging="720"/>
        <w:rPr>
          <w:rFonts w:eastAsia="Calibri"/>
        </w:rPr>
      </w:pPr>
    </w:p>
    <w:p w14:paraId="3B92AB53" w14:textId="267AEA67" w:rsidR="00B50A91" w:rsidRPr="003B4362" w:rsidRDefault="00B50A91" w:rsidP="00E46816">
      <w:pPr>
        <w:ind w:left="2160" w:hanging="720"/>
        <w:rPr>
          <w:rFonts w:eastAsia="Calibri"/>
        </w:rPr>
      </w:pPr>
      <w:r w:rsidRPr="003B4362">
        <w:rPr>
          <w:rFonts w:eastAsia="Calibri"/>
        </w:rPr>
        <w:t>1)</w:t>
      </w:r>
      <w:r w:rsidRPr="003B4362">
        <w:rPr>
          <w:rFonts w:eastAsia="Calibri"/>
        </w:rPr>
        <w:tab/>
        <w:t>Any small or medium-sized water system supplier, otherwise required to complete the corrosion control steps because it exceeded the lead or copper action level, may cease completing the treatment steps after fulfilling specific conditions:</w:t>
      </w:r>
    </w:p>
    <w:p w14:paraId="2AAB4B20" w14:textId="77777777" w:rsidR="00E46816" w:rsidRDefault="00E46816" w:rsidP="00E46816">
      <w:pPr>
        <w:ind w:left="2880" w:hanging="720"/>
        <w:rPr>
          <w:rFonts w:eastAsia="Calibri"/>
        </w:rPr>
      </w:pPr>
    </w:p>
    <w:p w14:paraId="04C36A32" w14:textId="30438DFF" w:rsidR="00B50A91" w:rsidRPr="003B4362" w:rsidRDefault="00B50A91" w:rsidP="00E46816">
      <w:pPr>
        <w:ind w:left="2880" w:hanging="720"/>
        <w:rPr>
          <w:rFonts w:eastAsia="Calibri"/>
        </w:rPr>
      </w:pPr>
      <w:r w:rsidRPr="003B4362">
        <w:rPr>
          <w:rFonts w:eastAsia="Calibri"/>
        </w:rPr>
        <w:t>A)</w:t>
      </w:r>
      <w:r w:rsidRPr="003B4362">
        <w:rPr>
          <w:rFonts w:eastAsia="Calibri"/>
        </w:rPr>
        <w:tab/>
        <w:t>The supplier meets both the copper and lead action levels during each of two consecutive six-month monitoring periods under Section 611.1356;</w:t>
      </w:r>
      <w:r w:rsidRPr="003B4362">
        <w:rPr>
          <w:rFonts w:eastAsia="Calibri"/>
          <w:spacing w:val="-3"/>
        </w:rPr>
        <w:t xml:space="preserve"> and</w:t>
      </w:r>
    </w:p>
    <w:p w14:paraId="79A36941" w14:textId="77777777" w:rsidR="00E46816" w:rsidRDefault="00E46816" w:rsidP="00E46816">
      <w:pPr>
        <w:ind w:left="2880" w:hanging="720"/>
        <w:rPr>
          <w:rFonts w:eastAsia="Calibri"/>
        </w:rPr>
      </w:pPr>
    </w:p>
    <w:p w14:paraId="57CDA7E0" w14:textId="086DDC27" w:rsidR="00B50A91" w:rsidRPr="003B4362" w:rsidRDefault="00B50A91" w:rsidP="00E46816">
      <w:pPr>
        <w:ind w:left="2880" w:hanging="720"/>
        <w:rPr>
          <w:rFonts w:eastAsia="Calibri"/>
        </w:rPr>
      </w:pPr>
      <w:r w:rsidRPr="003B4362">
        <w:rPr>
          <w:rFonts w:eastAsia="Calibri"/>
        </w:rPr>
        <w:lastRenderedPageBreak/>
        <w:t>B)</w:t>
      </w:r>
      <w:r w:rsidRPr="003B4362">
        <w:rPr>
          <w:rFonts w:eastAsia="Calibri"/>
        </w:rPr>
        <w:tab/>
        <w:t>The supplier submits the results for those two consecutive six-month monitoring periods to the Agency.</w:t>
      </w:r>
    </w:p>
    <w:p w14:paraId="4ECDE391" w14:textId="77777777" w:rsidR="00E46816" w:rsidRDefault="00E46816" w:rsidP="00E46816">
      <w:pPr>
        <w:ind w:left="2160" w:hanging="720"/>
        <w:rPr>
          <w:rFonts w:eastAsia="Calibri"/>
        </w:rPr>
      </w:pPr>
    </w:p>
    <w:p w14:paraId="07AE208F" w14:textId="0D09DF72" w:rsidR="00B50A91" w:rsidRPr="003B4362" w:rsidRDefault="00B50A91" w:rsidP="00E46816">
      <w:pPr>
        <w:ind w:left="2160" w:hanging="720"/>
        <w:rPr>
          <w:rFonts w:eastAsia="Calibri"/>
        </w:rPr>
      </w:pPr>
      <w:r w:rsidRPr="003B4362">
        <w:rPr>
          <w:rFonts w:eastAsia="Calibri"/>
        </w:rPr>
        <w:t>2)</w:t>
      </w:r>
      <w:r w:rsidRPr="003B4362">
        <w:rPr>
          <w:rFonts w:eastAsia="Calibri"/>
        </w:rPr>
        <w:tab/>
        <w:t>A supplier that ceases completing the corrosion control steps under subsection (c)(1) (or the Agency, if appropriate) must resume completion of the applicable treatment steps, beginning with the first treatment step that the supplier previously did not complete in its entirety, if the supplier thereafter exceeds the lead or copper action level during any monitoring period.</w:t>
      </w:r>
    </w:p>
    <w:p w14:paraId="56F7AC57" w14:textId="77777777" w:rsidR="00E46816" w:rsidRDefault="00E46816" w:rsidP="00E46816">
      <w:pPr>
        <w:ind w:left="2160" w:hanging="720"/>
        <w:rPr>
          <w:rFonts w:eastAsia="Calibri"/>
        </w:rPr>
      </w:pPr>
    </w:p>
    <w:p w14:paraId="3E23BBCE" w14:textId="4BA012A2" w:rsidR="00B50A91" w:rsidRPr="003B4362" w:rsidRDefault="00B50A91" w:rsidP="00E46816">
      <w:pPr>
        <w:ind w:left="2160" w:hanging="720"/>
        <w:rPr>
          <w:rFonts w:eastAsia="Calibri"/>
        </w:rPr>
      </w:pPr>
      <w:r w:rsidRPr="003B4362">
        <w:rPr>
          <w:rFonts w:eastAsia="Calibri"/>
        </w:rPr>
        <w:t>3)</w:t>
      </w:r>
      <w:r w:rsidRPr="003B4362">
        <w:rPr>
          <w:rFonts w:eastAsia="Calibri"/>
        </w:rPr>
        <w:tab/>
        <w:t xml:space="preserve">The Agency may issue a SEP requiring a supplier to repeat treatment steps the supplier previously completed </w:t>
      </w:r>
      <w:r w:rsidRPr="003B4362">
        <w:rPr>
          <w:rFonts w:eastAsia="Calibri"/>
          <w:spacing w:val="-3"/>
        </w:rPr>
        <w:t xml:space="preserve">if the Agency </w:t>
      </w:r>
      <w:r w:rsidRPr="003B4362">
        <w:rPr>
          <w:rFonts w:eastAsia="Calibri"/>
        </w:rPr>
        <w:t>determines that this is necessary to properly implement the treatment requirements of this Section.  The Agency must explain the basis for its decision in any SEP.</w:t>
      </w:r>
    </w:p>
    <w:p w14:paraId="406A5871" w14:textId="77777777" w:rsidR="00E46816" w:rsidRDefault="00E46816" w:rsidP="00E46816">
      <w:pPr>
        <w:ind w:left="2160" w:hanging="720"/>
        <w:rPr>
          <w:rFonts w:eastAsia="Calibri"/>
        </w:rPr>
      </w:pPr>
    </w:p>
    <w:p w14:paraId="7BE8ADF7" w14:textId="769B5720" w:rsidR="00B50A91" w:rsidRPr="003B4362" w:rsidRDefault="00B50A91" w:rsidP="00E46816">
      <w:pPr>
        <w:ind w:left="2160" w:hanging="720"/>
        <w:rPr>
          <w:rFonts w:eastAsia="Calibri"/>
        </w:rPr>
      </w:pPr>
      <w:r w:rsidRPr="003B4362">
        <w:rPr>
          <w:rFonts w:eastAsia="Calibri"/>
        </w:rPr>
        <w:t>4)</w:t>
      </w:r>
      <w:r w:rsidRPr="003B4362">
        <w:rPr>
          <w:rFonts w:eastAsia="Calibri"/>
        </w:rPr>
        <w:tab/>
        <w:t>A small or medium-sized water system supplier exceeding the lead or copper action level triggers the requirement to implement corrosion control treatment steps under subsection (e) (including systems deemed to have optimized corrosion control under subsection (b)(1)).</w:t>
      </w:r>
    </w:p>
    <w:p w14:paraId="1EA94231" w14:textId="77777777" w:rsidR="00E46816" w:rsidRDefault="00E46816" w:rsidP="00E46816">
      <w:pPr>
        <w:ind w:left="1440" w:hanging="720"/>
        <w:rPr>
          <w:rFonts w:eastAsia="Calibri"/>
        </w:rPr>
      </w:pPr>
    </w:p>
    <w:p w14:paraId="2866DEA8" w14:textId="4ACFBD98" w:rsidR="00B50A91" w:rsidRPr="003B4362" w:rsidRDefault="00B50A91" w:rsidP="00E46816">
      <w:pPr>
        <w:ind w:left="1440" w:hanging="720"/>
        <w:rPr>
          <w:rFonts w:eastAsia="Calibri"/>
        </w:rPr>
      </w:pPr>
      <w:r w:rsidRPr="003B4362">
        <w:rPr>
          <w:rFonts w:eastAsia="Calibri"/>
        </w:rPr>
        <w:t>d)</w:t>
      </w:r>
      <w:r w:rsidRPr="003B4362">
        <w:rPr>
          <w:rFonts w:eastAsia="Calibri"/>
        </w:rPr>
        <w:tab/>
        <w:t>Treatment Steps for Large Systems.  Except as subsections (b)(2) and (b)(3) provide otherwise, a large system must complete certain corrosion control treatment steps as specific rules provide).</w:t>
      </w:r>
    </w:p>
    <w:p w14:paraId="35BC5722" w14:textId="77777777" w:rsidR="00E46816" w:rsidRDefault="00E46816" w:rsidP="00E46816">
      <w:pPr>
        <w:ind w:left="2160" w:hanging="720"/>
        <w:rPr>
          <w:rFonts w:eastAsia="Calibri"/>
        </w:rPr>
      </w:pPr>
    </w:p>
    <w:p w14:paraId="0D78ABAD" w14:textId="5E5D20B3" w:rsidR="00B50A91" w:rsidRPr="003B4362" w:rsidRDefault="00B50A91" w:rsidP="00E46816">
      <w:pPr>
        <w:ind w:left="2160" w:hanging="720"/>
        <w:rPr>
          <w:rFonts w:eastAsia="Calibri"/>
        </w:rPr>
      </w:pPr>
      <w:r w:rsidRPr="003B4362">
        <w:rPr>
          <w:rFonts w:eastAsia="Calibri"/>
        </w:rPr>
        <w:t>1)</w:t>
      </w:r>
      <w:r w:rsidRPr="003B4362">
        <w:rPr>
          <w:rFonts w:eastAsia="Calibri"/>
        </w:rPr>
        <w:tab/>
        <w:t>Step 1:  Initial monitoring during two consecutive six-month monitoring periods (under Sections 611.1356(d)(1) and 611.1357(b)).</w:t>
      </w:r>
    </w:p>
    <w:p w14:paraId="3EBD7833" w14:textId="77777777" w:rsidR="00E46816" w:rsidRDefault="00E46816" w:rsidP="00E46816">
      <w:pPr>
        <w:ind w:left="2160" w:hanging="720"/>
        <w:rPr>
          <w:rFonts w:eastAsia="Calibri"/>
        </w:rPr>
      </w:pPr>
    </w:p>
    <w:p w14:paraId="695EBAC0" w14:textId="1567809B" w:rsidR="00B50A91" w:rsidRPr="003B4362" w:rsidRDefault="00B50A91" w:rsidP="00E46816">
      <w:pPr>
        <w:ind w:left="2160" w:hanging="720"/>
        <w:rPr>
          <w:rFonts w:eastAsia="Calibri"/>
        </w:rPr>
      </w:pPr>
      <w:r w:rsidRPr="003B4362">
        <w:rPr>
          <w:rFonts w:eastAsia="Calibri"/>
        </w:rPr>
        <w:t>2)</w:t>
      </w:r>
      <w:r w:rsidRPr="003B4362">
        <w:rPr>
          <w:rFonts w:eastAsia="Calibri"/>
        </w:rPr>
        <w:tab/>
        <w:t>Step 2:  Corrosion control studies (under Section 611.1352(c)).</w:t>
      </w:r>
    </w:p>
    <w:p w14:paraId="28CFA37F" w14:textId="77777777" w:rsidR="00E46816" w:rsidRDefault="00E46816" w:rsidP="00E46816">
      <w:pPr>
        <w:ind w:left="2160" w:hanging="720"/>
        <w:rPr>
          <w:rFonts w:eastAsia="Calibri"/>
        </w:rPr>
      </w:pPr>
    </w:p>
    <w:p w14:paraId="722F4CB6" w14:textId="05B917B8" w:rsidR="00B50A91" w:rsidRPr="003B4362" w:rsidRDefault="00B50A91" w:rsidP="00E46816">
      <w:pPr>
        <w:ind w:left="2160" w:hanging="720"/>
        <w:rPr>
          <w:rFonts w:eastAsia="Calibri"/>
        </w:rPr>
      </w:pPr>
      <w:r w:rsidRPr="003B4362">
        <w:rPr>
          <w:rFonts w:eastAsia="Calibri"/>
        </w:rPr>
        <w:t>3)</w:t>
      </w:r>
      <w:r w:rsidRPr="003B4362">
        <w:rPr>
          <w:rFonts w:eastAsia="Calibri"/>
        </w:rPr>
        <w:tab/>
        <w:t>Step 3:  The Agency approving optimal corrosion control treatment in a SEP (under Section 611.1352(d)).</w:t>
      </w:r>
    </w:p>
    <w:p w14:paraId="1F1BBF17" w14:textId="77777777" w:rsidR="00E46816" w:rsidRDefault="00E46816" w:rsidP="00E46816">
      <w:pPr>
        <w:ind w:left="2160" w:hanging="720"/>
        <w:rPr>
          <w:rFonts w:eastAsia="Calibri"/>
        </w:rPr>
      </w:pPr>
    </w:p>
    <w:p w14:paraId="1B9ED0B7" w14:textId="40BFF4B6" w:rsidR="00B50A91" w:rsidRPr="003B4362" w:rsidRDefault="00B50A91" w:rsidP="00E46816">
      <w:pPr>
        <w:ind w:left="2160" w:hanging="720"/>
        <w:rPr>
          <w:rFonts w:eastAsia="Calibri"/>
        </w:rPr>
      </w:pPr>
      <w:r w:rsidRPr="003B4362">
        <w:rPr>
          <w:rFonts w:eastAsia="Calibri"/>
        </w:rPr>
        <w:t>4)</w:t>
      </w:r>
      <w:r w:rsidRPr="003B4362">
        <w:rPr>
          <w:rFonts w:eastAsia="Calibri"/>
        </w:rPr>
        <w:tab/>
        <w:t>Step 4:  Installing optimal corrosion control treatment (under Section 611.1352(e)).</w:t>
      </w:r>
    </w:p>
    <w:p w14:paraId="3F376658" w14:textId="77777777" w:rsidR="00E46816" w:rsidRDefault="00E46816" w:rsidP="00E46816">
      <w:pPr>
        <w:ind w:left="2160" w:hanging="720"/>
        <w:rPr>
          <w:rFonts w:eastAsia="Calibri"/>
        </w:rPr>
      </w:pPr>
    </w:p>
    <w:p w14:paraId="36B9B3DA" w14:textId="067E8816" w:rsidR="00B50A91" w:rsidRPr="003B4362" w:rsidRDefault="00B50A91" w:rsidP="00E46816">
      <w:pPr>
        <w:ind w:left="2160" w:hanging="720"/>
        <w:rPr>
          <w:rFonts w:eastAsia="Calibri"/>
        </w:rPr>
      </w:pPr>
      <w:r w:rsidRPr="003B4362">
        <w:rPr>
          <w:rFonts w:eastAsia="Calibri"/>
        </w:rPr>
        <w:t>5)</w:t>
      </w:r>
      <w:r w:rsidRPr="003B4362">
        <w:rPr>
          <w:rFonts w:eastAsia="Calibri"/>
        </w:rPr>
        <w:tab/>
        <w:t>Step 5:  Completing follow-up sampling (under Sections 611.1356(d)(2) and 611.1357(c)).</w:t>
      </w:r>
    </w:p>
    <w:p w14:paraId="74202DBB" w14:textId="77777777" w:rsidR="00E46816" w:rsidRDefault="00E46816" w:rsidP="00E46816">
      <w:pPr>
        <w:ind w:left="2160" w:hanging="720"/>
        <w:rPr>
          <w:rFonts w:eastAsia="Calibri"/>
        </w:rPr>
      </w:pPr>
    </w:p>
    <w:p w14:paraId="0D3594F4" w14:textId="4B5E1A35" w:rsidR="00B50A91" w:rsidRPr="003B4362" w:rsidRDefault="00B50A91" w:rsidP="00E46816">
      <w:pPr>
        <w:ind w:left="2160" w:hanging="720"/>
        <w:rPr>
          <w:rFonts w:eastAsia="Calibri"/>
        </w:rPr>
      </w:pPr>
      <w:r w:rsidRPr="003B4362">
        <w:rPr>
          <w:rFonts w:eastAsia="Calibri"/>
        </w:rPr>
        <w:t>6)</w:t>
      </w:r>
      <w:r w:rsidRPr="003B4362">
        <w:rPr>
          <w:rFonts w:eastAsia="Calibri"/>
        </w:rPr>
        <w:tab/>
        <w:t>Step 6:  The Agency reviewing installed treatment and approving optimal water quality control parameters (under Section 611.1352(f)).</w:t>
      </w:r>
    </w:p>
    <w:p w14:paraId="0EC47136" w14:textId="77777777" w:rsidR="00E46816" w:rsidRDefault="00E46816" w:rsidP="00E46816">
      <w:pPr>
        <w:ind w:left="2160" w:hanging="720"/>
        <w:rPr>
          <w:rFonts w:eastAsia="Calibri"/>
        </w:rPr>
      </w:pPr>
    </w:p>
    <w:p w14:paraId="5BA0178D" w14:textId="11874DE8" w:rsidR="00B50A91" w:rsidRPr="003B4362" w:rsidRDefault="00B50A91" w:rsidP="00E46816">
      <w:pPr>
        <w:ind w:left="2160" w:hanging="720"/>
        <w:rPr>
          <w:rFonts w:eastAsia="Calibri"/>
        </w:rPr>
      </w:pPr>
      <w:r w:rsidRPr="003B4362">
        <w:rPr>
          <w:rFonts w:eastAsia="Calibri"/>
        </w:rPr>
        <w:t>7)</w:t>
      </w:r>
      <w:r w:rsidRPr="003B4362">
        <w:rPr>
          <w:rFonts w:eastAsia="Calibri"/>
        </w:rPr>
        <w:tab/>
        <w:t>Step 7:  Complying with the Agency-specified optimal water quality control parameters (under Section 611.1352(g)) and continuing tap sampling (under Sections 611.1356(d)(3) and 611.1357(d)).</w:t>
      </w:r>
    </w:p>
    <w:p w14:paraId="75B4CA89" w14:textId="77777777" w:rsidR="00E46816" w:rsidRDefault="00E46816" w:rsidP="00E46816">
      <w:pPr>
        <w:ind w:left="1440" w:hanging="720"/>
        <w:rPr>
          <w:rFonts w:eastAsia="Calibri"/>
        </w:rPr>
      </w:pPr>
    </w:p>
    <w:p w14:paraId="27B45DEE" w14:textId="2137D360" w:rsidR="00B50A91" w:rsidRPr="003B4362" w:rsidRDefault="00B50A91" w:rsidP="00E46816">
      <w:pPr>
        <w:ind w:left="1440" w:hanging="720"/>
        <w:rPr>
          <w:rFonts w:eastAsia="Calibri"/>
        </w:rPr>
      </w:pPr>
      <w:r w:rsidRPr="003B4362">
        <w:rPr>
          <w:rFonts w:eastAsia="Calibri"/>
        </w:rPr>
        <w:lastRenderedPageBreak/>
        <w:t>e)</w:t>
      </w:r>
      <w:r w:rsidRPr="003B4362">
        <w:rPr>
          <w:rFonts w:eastAsia="Calibri"/>
        </w:rPr>
        <w:tab/>
        <w:t>Treatment Steps and Deadlines for Small and Medium-Sized Water Systems.  Except as subsection (b) provides otherwise, a small and medium-sized system supplier must complete certain corrosion control treatment steps as specific rules provide before the indicated time periods.</w:t>
      </w:r>
    </w:p>
    <w:p w14:paraId="09177773" w14:textId="77777777" w:rsidR="00E46816" w:rsidRDefault="00E46816" w:rsidP="00E46816">
      <w:pPr>
        <w:ind w:left="2160" w:hanging="720"/>
        <w:rPr>
          <w:rFonts w:eastAsia="Calibri"/>
        </w:rPr>
      </w:pPr>
    </w:p>
    <w:p w14:paraId="4D8447E8" w14:textId="33CAE09B" w:rsidR="00B50A91" w:rsidRPr="003B4362" w:rsidRDefault="00B50A91" w:rsidP="00E46816">
      <w:pPr>
        <w:ind w:left="2160" w:hanging="720"/>
        <w:rPr>
          <w:rFonts w:eastAsia="Calibri"/>
        </w:rPr>
      </w:pPr>
      <w:r w:rsidRPr="003B4362">
        <w:rPr>
          <w:rFonts w:eastAsia="Calibri"/>
        </w:rPr>
        <w:t>1)</w:t>
      </w:r>
      <w:r w:rsidRPr="003B4362">
        <w:rPr>
          <w:rFonts w:eastAsia="Calibri"/>
        </w:rPr>
        <w:tab/>
        <w:t>Step 1:  The supplier must conduct initial tap sampling (under Sections 611.1356(d)(1) and 611.1357(b)) until the supplier either exceeds the lead or copper action level or becomes eligible for reduced monitoring under Section 611.1356(d)(4).  A supplier exceeding the lead or copper action level must recommend optimal corrosion control treatment (under Section 611.1352(a)) within six months after the end of the monitoring period during which the exceedance occurred.</w:t>
      </w:r>
    </w:p>
    <w:p w14:paraId="2472FFE7" w14:textId="77777777" w:rsidR="00E46816" w:rsidRDefault="00E46816" w:rsidP="00E46816">
      <w:pPr>
        <w:ind w:left="2160" w:hanging="720"/>
        <w:rPr>
          <w:rFonts w:eastAsia="Calibri"/>
        </w:rPr>
      </w:pPr>
    </w:p>
    <w:p w14:paraId="66C75DF4" w14:textId="644E21C9" w:rsidR="00B50A91" w:rsidRPr="003B4362" w:rsidRDefault="00B50A91" w:rsidP="00E46816">
      <w:pPr>
        <w:ind w:left="2160" w:hanging="720"/>
        <w:rPr>
          <w:rFonts w:eastAsia="Calibri"/>
        </w:rPr>
      </w:pPr>
      <w:r w:rsidRPr="003B4362">
        <w:rPr>
          <w:rFonts w:eastAsia="Calibri"/>
        </w:rPr>
        <w:t>2)</w:t>
      </w:r>
      <w:r w:rsidRPr="003B4362">
        <w:rPr>
          <w:rFonts w:eastAsia="Calibri"/>
        </w:rPr>
        <w:tab/>
        <w:t>Step 2:  Within 12 months after the end of the monitoring period during which a supplier exceeds the lead or copper action level, the Agency may require the supplier to perform corrosion control studies (under Section 611.1352(b)).  If the Agency does not require the supplier to perform corrosion control studies, the Agency must issue a SEP specifying optimal corrosion control treatment (under Section 611.1352(d)) within the appropriate of specific timeframes:</w:t>
      </w:r>
    </w:p>
    <w:p w14:paraId="479A6FF5" w14:textId="77777777" w:rsidR="00E46816" w:rsidRDefault="00E46816" w:rsidP="00E46816">
      <w:pPr>
        <w:ind w:left="2880" w:hanging="720"/>
        <w:rPr>
          <w:rFonts w:eastAsia="Calibri"/>
        </w:rPr>
      </w:pPr>
    </w:p>
    <w:p w14:paraId="096C4F35" w14:textId="6ACFF943" w:rsidR="00B50A91" w:rsidRPr="003B4362" w:rsidRDefault="00B50A91" w:rsidP="00E46816">
      <w:pPr>
        <w:ind w:left="2880" w:hanging="720"/>
        <w:rPr>
          <w:rFonts w:eastAsia="Calibri"/>
        </w:rPr>
      </w:pPr>
      <w:r w:rsidRPr="003B4362">
        <w:rPr>
          <w:rFonts w:eastAsia="Calibri"/>
        </w:rPr>
        <w:t>A)</w:t>
      </w:r>
      <w:r w:rsidRPr="003B4362">
        <w:rPr>
          <w:rFonts w:eastAsia="Calibri"/>
        </w:rPr>
        <w:tab/>
        <w:t>For a medium-sized water system, within 18 months after the end of the monitoring period during which the supplier exceeded the lead or copper action level; or</w:t>
      </w:r>
    </w:p>
    <w:p w14:paraId="64CE269F" w14:textId="77777777" w:rsidR="00E46816" w:rsidRDefault="00E46816" w:rsidP="00E46816">
      <w:pPr>
        <w:ind w:left="2880" w:hanging="720"/>
        <w:rPr>
          <w:rFonts w:eastAsia="Calibri"/>
        </w:rPr>
      </w:pPr>
    </w:p>
    <w:p w14:paraId="1B275782" w14:textId="0AC5E425" w:rsidR="00B50A91" w:rsidRPr="003B4362" w:rsidRDefault="00B50A91" w:rsidP="00E46816">
      <w:pPr>
        <w:ind w:left="2880" w:hanging="720"/>
        <w:rPr>
          <w:rFonts w:eastAsia="Calibri"/>
        </w:rPr>
      </w:pPr>
      <w:r w:rsidRPr="003B4362">
        <w:rPr>
          <w:rFonts w:eastAsia="Calibri"/>
        </w:rPr>
        <w:t>B)</w:t>
      </w:r>
      <w:r w:rsidRPr="003B4362">
        <w:rPr>
          <w:rFonts w:eastAsia="Calibri"/>
        </w:rPr>
        <w:tab/>
        <w:t>For a small system, within 24 months after the end of the monitoring period during which the supplier exceeded the lead or copper action level.</w:t>
      </w:r>
    </w:p>
    <w:p w14:paraId="1E44AFA2" w14:textId="77777777" w:rsidR="00E46816" w:rsidRDefault="00E46816" w:rsidP="00E46816">
      <w:pPr>
        <w:ind w:left="2160" w:hanging="720"/>
        <w:rPr>
          <w:rFonts w:eastAsia="Calibri"/>
        </w:rPr>
      </w:pPr>
    </w:p>
    <w:p w14:paraId="4F54D2FE" w14:textId="53AC9108" w:rsidR="00B50A91" w:rsidRPr="003B4362" w:rsidRDefault="00B50A91" w:rsidP="00E46816">
      <w:pPr>
        <w:ind w:left="2160" w:hanging="720"/>
        <w:rPr>
          <w:rFonts w:eastAsia="Calibri"/>
        </w:rPr>
      </w:pPr>
      <w:r w:rsidRPr="003B4362">
        <w:rPr>
          <w:rFonts w:eastAsia="Calibri"/>
        </w:rPr>
        <w:t>3)</w:t>
      </w:r>
      <w:r w:rsidRPr="003B4362">
        <w:rPr>
          <w:rFonts w:eastAsia="Calibri"/>
        </w:rPr>
        <w:tab/>
        <w:t>Step 3:  If the Agency requires a supplier to perform corrosion control studies under step 2 (subsection (e)(2)), the supplier must complete the studies (under Section 611.1352(c)) within 18 months after the Agency requires the supplier to conduct the studies.</w:t>
      </w:r>
    </w:p>
    <w:p w14:paraId="004B8F9A" w14:textId="77777777" w:rsidR="00E46816" w:rsidRDefault="00E46816" w:rsidP="00E46816">
      <w:pPr>
        <w:ind w:left="2160" w:hanging="720"/>
        <w:rPr>
          <w:rFonts w:eastAsia="Calibri"/>
        </w:rPr>
      </w:pPr>
    </w:p>
    <w:p w14:paraId="042F4008" w14:textId="4C129784" w:rsidR="00B50A91" w:rsidRPr="003B4362" w:rsidRDefault="00B50A91" w:rsidP="00E46816">
      <w:pPr>
        <w:ind w:left="2160" w:hanging="720"/>
        <w:rPr>
          <w:rFonts w:eastAsia="Calibri"/>
        </w:rPr>
      </w:pPr>
      <w:r w:rsidRPr="003B4362">
        <w:rPr>
          <w:rFonts w:eastAsia="Calibri"/>
        </w:rPr>
        <w:t>4)</w:t>
      </w:r>
      <w:r w:rsidRPr="003B4362">
        <w:rPr>
          <w:rFonts w:eastAsia="Calibri"/>
        </w:rPr>
        <w:tab/>
        <w:t>Step 4:  If a supplier performs corrosion control studies under step 2 (subsection (e)(2)), the Agency must issue a SEP approving optimal corrosion control treatment (under Section 611.1352(d)) within six months after the supplier completes step 3 (under subsection (e)(3)).</w:t>
      </w:r>
    </w:p>
    <w:p w14:paraId="7DBA39D1" w14:textId="77777777" w:rsidR="00E46816" w:rsidRDefault="00E46816" w:rsidP="00E46816">
      <w:pPr>
        <w:ind w:left="2160" w:hanging="720"/>
        <w:rPr>
          <w:rFonts w:eastAsia="Calibri"/>
        </w:rPr>
      </w:pPr>
    </w:p>
    <w:p w14:paraId="23B819A5" w14:textId="6DD0C8F4" w:rsidR="00B50A91" w:rsidRPr="003B4362" w:rsidRDefault="00B50A91" w:rsidP="00E46816">
      <w:pPr>
        <w:ind w:left="2160" w:hanging="720"/>
        <w:rPr>
          <w:rFonts w:eastAsia="Calibri"/>
        </w:rPr>
      </w:pPr>
      <w:r w:rsidRPr="003B4362">
        <w:rPr>
          <w:rFonts w:eastAsia="Calibri"/>
        </w:rPr>
        <w:t>5)</w:t>
      </w:r>
      <w:r w:rsidRPr="003B4362">
        <w:rPr>
          <w:rFonts w:eastAsia="Calibri"/>
        </w:rPr>
        <w:tab/>
        <w:t>Step 5:  The supplier must install optimal corrosion control treatment (under Section 611.1352(e)) within 24 months after the Agency approves that treatment.</w:t>
      </w:r>
    </w:p>
    <w:p w14:paraId="45E5EE4A" w14:textId="77777777" w:rsidR="00E46816" w:rsidRDefault="00E46816" w:rsidP="00E46816">
      <w:pPr>
        <w:ind w:left="2160" w:hanging="720"/>
        <w:rPr>
          <w:rFonts w:eastAsia="Calibri"/>
        </w:rPr>
      </w:pPr>
    </w:p>
    <w:p w14:paraId="68BCA542" w14:textId="6C48F4D8" w:rsidR="00B50A91" w:rsidRPr="003B4362" w:rsidRDefault="00B50A91" w:rsidP="00E46816">
      <w:pPr>
        <w:ind w:left="2160" w:hanging="720"/>
        <w:rPr>
          <w:rFonts w:eastAsia="Calibri"/>
        </w:rPr>
      </w:pPr>
      <w:r w:rsidRPr="003B4362">
        <w:rPr>
          <w:rFonts w:eastAsia="Calibri"/>
        </w:rPr>
        <w:lastRenderedPageBreak/>
        <w:t>6)</w:t>
      </w:r>
      <w:r w:rsidRPr="003B4362">
        <w:rPr>
          <w:rFonts w:eastAsia="Calibri"/>
        </w:rPr>
        <w:tab/>
        <w:t>Step 6:  The supplier must complete follow-up sampling (under Sections 611.1356(d)(2) and 611.1357(c)) within 36 months after the Agency approves optimal corrosion control treatment.</w:t>
      </w:r>
    </w:p>
    <w:p w14:paraId="36EBFF88" w14:textId="77777777" w:rsidR="00E46816" w:rsidRDefault="00E46816" w:rsidP="00E46816">
      <w:pPr>
        <w:ind w:left="2160" w:hanging="720"/>
        <w:rPr>
          <w:rFonts w:eastAsia="Calibri"/>
        </w:rPr>
      </w:pPr>
    </w:p>
    <w:p w14:paraId="281CB868" w14:textId="20F37569" w:rsidR="00B50A91" w:rsidRPr="003B4362" w:rsidRDefault="00B50A91" w:rsidP="00E46816">
      <w:pPr>
        <w:ind w:left="2160" w:hanging="720"/>
        <w:rPr>
          <w:rFonts w:eastAsia="Calibri"/>
        </w:rPr>
      </w:pPr>
      <w:r w:rsidRPr="003B4362">
        <w:rPr>
          <w:rFonts w:eastAsia="Calibri"/>
        </w:rPr>
        <w:t>7)</w:t>
      </w:r>
      <w:r w:rsidRPr="003B4362">
        <w:rPr>
          <w:rFonts w:eastAsia="Calibri"/>
        </w:rPr>
        <w:tab/>
        <w:t>Step 7:  The Agency must review the supplier’s installation of treatment and issue a SEP approving optimal water quality control parameters (under Section 611.1352(f)) within six months after the supplier completes step 6 (under subsection (e)(6)).</w:t>
      </w:r>
    </w:p>
    <w:p w14:paraId="00172CF6" w14:textId="77777777" w:rsidR="00E46816" w:rsidRDefault="00E46816" w:rsidP="00E46816">
      <w:pPr>
        <w:ind w:left="2160" w:hanging="720"/>
        <w:rPr>
          <w:rFonts w:eastAsia="Calibri"/>
        </w:rPr>
      </w:pPr>
    </w:p>
    <w:p w14:paraId="70DB490B" w14:textId="16B6DBB3" w:rsidR="00B50A91" w:rsidRPr="003B4362" w:rsidRDefault="00B50A91" w:rsidP="00E46816">
      <w:pPr>
        <w:ind w:left="2160" w:hanging="720"/>
        <w:rPr>
          <w:rFonts w:eastAsia="Calibri"/>
        </w:rPr>
      </w:pPr>
      <w:r w:rsidRPr="003B4362">
        <w:rPr>
          <w:rFonts w:eastAsia="Calibri"/>
        </w:rPr>
        <w:t>8)</w:t>
      </w:r>
      <w:r w:rsidRPr="003B4362">
        <w:rPr>
          <w:rFonts w:eastAsia="Calibri"/>
        </w:rPr>
        <w:tab/>
        <w:t>Step 8:  The supplier must comply with the Agency-approved optimal water quality control parameters (under Section 611.1352(g)) and continue tap sampling (under Sections 611.1356(d)(3) and 611.1357(d)).</w:t>
      </w:r>
    </w:p>
    <w:p w14:paraId="572B23F0" w14:textId="77777777" w:rsidR="00E46816" w:rsidRDefault="00E46816" w:rsidP="00E46816">
      <w:pPr>
        <w:rPr>
          <w:rFonts w:eastAsia="Calibri"/>
        </w:rPr>
      </w:pPr>
    </w:p>
    <w:p w14:paraId="278E0DFA" w14:textId="14247F0F" w:rsidR="00B50A91" w:rsidRPr="003B4362" w:rsidRDefault="00B50A91" w:rsidP="00E46816">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611.1351 and </w:t>
      </w:r>
      <w:r w:rsidRPr="003B4362">
        <w:rPr>
          <w:rFonts w:eastAsia="Calibri"/>
          <w:spacing w:val="-3"/>
        </w:rPr>
        <w:t xml:space="preserve">derives </w:t>
      </w:r>
      <w:r w:rsidRPr="003B4362">
        <w:rPr>
          <w:rFonts w:eastAsia="Calibri"/>
        </w:rPr>
        <w:t>from 40 CFR 141.81</w:t>
      </w:r>
      <w:r w:rsidR="00D15B76" w:rsidRPr="003B4362">
        <w:rPr>
          <w:rFonts w:eastAsia="Calibri"/>
        </w:rPr>
        <w:t xml:space="preserve"> (2020)</w:t>
      </w:r>
      <w:r w:rsidRPr="003B4362">
        <w:rPr>
          <w:rFonts w:eastAsia="Calibri"/>
        </w:rPr>
        <w:t>.</w:t>
      </w:r>
    </w:p>
    <w:p w14:paraId="2226F6EC" w14:textId="77777777" w:rsidR="00E46816" w:rsidRDefault="00E46816" w:rsidP="00E46816">
      <w:pPr>
        <w:suppressAutoHyphens/>
        <w:ind w:left="720"/>
        <w:rPr>
          <w:rFonts w:eastAsia="Calibri"/>
        </w:rPr>
      </w:pPr>
    </w:p>
    <w:p w14:paraId="0FBB07B7" w14:textId="2091034F" w:rsidR="00B50A91" w:rsidRDefault="00EB353D" w:rsidP="00E46816">
      <w:pPr>
        <w:suppressAutoHyphens/>
        <w:ind w:left="720"/>
        <w:rPr>
          <w:rFonts w:eastAsia="Calibri"/>
        </w:rPr>
      </w:pPr>
      <w:r w:rsidRPr="003B4362">
        <w:rPr>
          <w:rFonts w:eastAsia="Calibri"/>
        </w:rPr>
        <w:t>(Source:  A</w:t>
      </w:r>
      <w:r w:rsidR="00B65583" w:rsidRPr="003B4362">
        <w:rPr>
          <w:rFonts w:eastAsia="Calibri"/>
        </w:rPr>
        <w:t>dde</w:t>
      </w:r>
      <w:r w:rsidRPr="003B4362">
        <w:rPr>
          <w:rFonts w:eastAsia="Calibri"/>
        </w:rPr>
        <w:t xml:space="preserv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7638B6AD" w14:textId="77777777" w:rsidR="005605D6" w:rsidRPr="003B4362" w:rsidRDefault="005605D6" w:rsidP="00E46816">
      <w:pPr>
        <w:suppressAutoHyphens/>
        <w:ind w:left="720"/>
        <w:rPr>
          <w:rFonts w:eastAsia="Calibri"/>
        </w:rPr>
      </w:pPr>
    </w:p>
    <w:p w14:paraId="1523AD6F" w14:textId="77777777" w:rsidR="00B50A91" w:rsidRPr="003B4362" w:rsidRDefault="00B50A91" w:rsidP="00E46816">
      <w:pPr>
        <w:rPr>
          <w:rFonts w:eastAsia="Calibri"/>
          <w:b/>
          <w:bCs/>
        </w:rPr>
      </w:pPr>
      <w:r w:rsidRPr="003B4362">
        <w:rPr>
          <w:rFonts w:eastAsia="Calibri"/>
          <w:b/>
          <w:bCs/>
        </w:rPr>
        <w:t>Section 611.1352  Corrosion Control Treatment</w:t>
      </w:r>
    </w:p>
    <w:p w14:paraId="453AC434" w14:textId="77777777" w:rsidR="00E46816" w:rsidRDefault="00E46816" w:rsidP="00E46816">
      <w:pPr>
        <w:rPr>
          <w:rFonts w:eastAsia="Calibri"/>
        </w:rPr>
      </w:pPr>
    </w:p>
    <w:p w14:paraId="14C12669" w14:textId="5C51B287" w:rsidR="00B50A91" w:rsidRPr="003B4362" w:rsidRDefault="00B50A91" w:rsidP="00E46816">
      <w:pPr>
        <w:rPr>
          <w:rFonts w:eastAsia="Calibri"/>
        </w:rPr>
      </w:pPr>
      <w:r w:rsidRPr="003B4362">
        <w:rPr>
          <w:rFonts w:eastAsia="Calibri"/>
        </w:rPr>
        <w:t>Each supplier must complete the corrosion control treatment requirements this Section describes that apply</w:t>
      </w:r>
      <w:r w:rsidR="005D157F" w:rsidRPr="003B4362">
        <w:rPr>
          <w:rFonts w:eastAsia="Calibri"/>
        </w:rPr>
        <w:t>ing to the supplier</w:t>
      </w:r>
      <w:r w:rsidRPr="003B4362">
        <w:rPr>
          <w:rFonts w:eastAsia="Calibri"/>
        </w:rPr>
        <w:t xml:space="preserve"> under Section 611.1351.</w:t>
      </w:r>
    </w:p>
    <w:p w14:paraId="7A06A48E" w14:textId="77777777" w:rsidR="00E46816" w:rsidRDefault="00E46816" w:rsidP="00E46816">
      <w:pPr>
        <w:ind w:left="1440" w:hanging="720"/>
        <w:rPr>
          <w:rFonts w:eastAsia="Calibri"/>
        </w:rPr>
      </w:pPr>
    </w:p>
    <w:p w14:paraId="50EB4EA1" w14:textId="7A85CC97" w:rsidR="00B50A91" w:rsidRPr="003B4362" w:rsidRDefault="00B50A91" w:rsidP="00E46816">
      <w:pPr>
        <w:ind w:left="1440" w:hanging="720"/>
        <w:rPr>
          <w:rFonts w:eastAsia="Calibri"/>
        </w:rPr>
      </w:pPr>
      <w:r w:rsidRPr="003B4362">
        <w:rPr>
          <w:rFonts w:eastAsia="Calibri"/>
        </w:rPr>
        <w:t>a)</w:t>
      </w:r>
      <w:r w:rsidRPr="003B4362">
        <w:rPr>
          <w:rFonts w:eastAsia="Calibri"/>
        </w:rPr>
        <w:tab/>
        <w:t>System Recommendation Regarding Corrosion Control Treatment</w:t>
      </w:r>
    </w:p>
    <w:p w14:paraId="1BF2CE7B" w14:textId="77777777" w:rsidR="00E46816" w:rsidRDefault="00E46816" w:rsidP="00E46816">
      <w:pPr>
        <w:ind w:left="2160" w:hanging="720"/>
        <w:rPr>
          <w:rFonts w:eastAsia="Calibri"/>
        </w:rPr>
      </w:pPr>
    </w:p>
    <w:p w14:paraId="6E345113" w14:textId="6BE3C469" w:rsidR="00B50A91" w:rsidRPr="003B4362" w:rsidRDefault="00B50A91" w:rsidP="00E46816">
      <w:pPr>
        <w:ind w:left="2160" w:hanging="720"/>
        <w:rPr>
          <w:rFonts w:eastAsia="Calibri"/>
        </w:rPr>
      </w:pPr>
      <w:r w:rsidRPr="003B4362">
        <w:rPr>
          <w:rFonts w:eastAsia="Calibri"/>
        </w:rPr>
        <w:t>1)</w:t>
      </w:r>
      <w:r w:rsidRPr="003B4362">
        <w:rPr>
          <w:rFonts w:eastAsia="Calibri"/>
        </w:rPr>
        <w:tab/>
        <w:t>Based on the results of lead and copper tap monitoring and water quality parameter monitoring, a small</w:t>
      </w:r>
      <w:r w:rsidRPr="003B4362">
        <w:rPr>
          <w:rFonts w:eastAsia="Calibri"/>
        </w:rPr>
        <w:noBreakHyphen/>
        <w:t xml:space="preserve"> or medium-sized system exceeding the lead or copper action level must recommend to the Agency that the supplier install one or more of the corrosion control treatments in subsection (c)(1) that the supplier believes constitutes optimal corrosion control for its system.</w:t>
      </w:r>
    </w:p>
    <w:p w14:paraId="7E1BE10A" w14:textId="77777777" w:rsidR="00E46816" w:rsidRDefault="00E46816" w:rsidP="00E46816">
      <w:pPr>
        <w:ind w:left="2160" w:hanging="720"/>
        <w:rPr>
          <w:rFonts w:eastAsia="Calibri"/>
        </w:rPr>
      </w:pPr>
    </w:p>
    <w:p w14:paraId="681736E4" w14:textId="4CE81289" w:rsidR="00B50A91" w:rsidRPr="003B4362" w:rsidRDefault="00B50A91" w:rsidP="00E46816">
      <w:pPr>
        <w:ind w:left="2160" w:hanging="720"/>
        <w:rPr>
          <w:rFonts w:eastAsia="Calibri"/>
        </w:rPr>
      </w:pPr>
      <w:r w:rsidRPr="003B4362">
        <w:rPr>
          <w:rFonts w:eastAsia="Calibri"/>
        </w:rPr>
        <w:t>2)</w:t>
      </w:r>
      <w:r w:rsidRPr="003B4362">
        <w:rPr>
          <w:rFonts w:eastAsia="Calibri"/>
        </w:rPr>
        <w:tab/>
        <w:t>The Agency may issue a SEP requiring the supplier to conduct additional water quality parameter monitoring under Section 611.1357(b) to assist the Agency in reviewing the supplier’s recommendation.</w:t>
      </w:r>
    </w:p>
    <w:p w14:paraId="0F4E63DA" w14:textId="77777777" w:rsidR="00E46816" w:rsidRDefault="00E46816" w:rsidP="00E46816">
      <w:pPr>
        <w:ind w:left="1440" w:hanging="720"/>
        <w:rPr>
          <w:rFonts w:eastAsia="Calibri"/>
        </w:rPr>
      </w:pPr>
    </w:p>
    <w:p w14:paraId="5DA1C5BB" w14:textId="0E954395" w:rsidR="00B50A91" w:rsidRPr="003B4362" w:rsidRDefault="00B50A91" w:rsidP="00E46816">
      <w:pPr>
        <w:ind w:left="1440" w:hanging="720"/>
        <w:rPr>
          <w:rFonts w:eastAsia="Calibri"/>
        </w:rPr>
      </w:pPr>
      <w:r w:rsidRPr="003B4362">
        <w:rPr>
          <w:rFonts w:eastAsia="Calibri"/>
        </w:rPr>
        <w:t>b)</w:t>
      </w:r>
      <w:r w:rsidRPr="003B4362">
        <w:rPr>
          <w:rFonts w:eastAsia="Calibri"/>
        </w:rPr>
        <w:tab/>
        <w:t>Agency-Required Studies of Corrosion Control Treatment.  The Agency may issue a SEP requiring a small or medium-sized system supplier exceeding the lead or copper action level to perform corrosion control studies under subsection (c) to identify optimal corrosion control treatment for the supplier’s system.</w:t>
      </w:r>
    </w:p>
    <w:p w14:paraId="7A1B37EB" w14:textId="77777777" w:rsidR="00E46816" w:rsidRDefault="00E46816" w:rsidP="00E46816">
      <w:pPr>
        <w:ind w:left="1440" w:hanging="720"/>
        <w:rPr>
          <w:rFonts w:eastAsia="Calibri"/>
        </w:rPr>
      </w:pPr>
    </w:p>
    <w:p w14:paraId="222B8F45" w14:textId="4D5968ED" w:rsidR="00B50A91" w:rsidRPr="003B4362" w:rsidRDefault="00B50A91" w:rsidP="00E46816">
      <w:pPr>
        <w:ind w:left="1440" w:hanging="720"/>
        <w:rPr>
          <w:rFonts w:eastAsia="Calibri"/>
        </w:rPr>
      </w:pPr>
      <w:r w:rsidRPr="003B4362">
        <w:rPr>
          <w:rFonts w:eastAsia="Calibri"/>
        </w:rPr>
        <w:t>c)</w:t>
      </w:r>
      <w:r w:rsidRPr="003B4362">
        <w:rPr>
          <w:rFonts w:eastAsia="Calibri"/>
        </w:rPr>
        <w:tab/>
        <w:t>Performance of Studies</w:t>
      </w:r>
    </w:p>
    <w:p w14:paraId="203ACC39" w14:textId="77777777" w:rsidR="00E46816" w:rsidRDefault="00E46816" w:rsidP="00E46816">
      <w:pPr>
        <w:ind w:left="2160" w:hanging="720"/>
        <w:rPr>
          <w:rFonts w:eastAsia="Calibri"/>
        </w:rPr>
      </w:pPr>
    </w:p>
    <w:p w14:paraId="7C2418F6" w14:textId="013D1AD3" w:rsidR="00B50A91" w:rsidRPr="003B4362" w:rsidRDefault="00B50A91" w:rsidP="00E46816">
      <w:pPr>
        <w:ind w:left="2160" w:hanging="720"/>
        <w:rPr>
          <w:rFonts w:eastAsia="Calibri"/>
        </w:rPr>
      </w:pPr>
      <w:r w:rsidRPr="003B4362">
        <w:rPr>
          <w:rFonts w:eastAsia="Calibri"/>
        </w:rPr>
        <w:t>1)</w:t>
      </w:r>
      <w:r w:rsidRPr="003B4362">
        <w:rPr>
          <w:rFonts w:eastAsia="Calibri"/>
        </w:rPr>
        <w:tab/>
        <w:t xml:space="preserve">Any supplier performing corrosion control studies must evaluate the effectiveness of each of certain treatments and combinations of those </w:t>
      </w:r>
      <w:r w:rsidRPr="003B4362">
        <w:rPr>
          <w:rFonts w:eastAsia="Calibri"/>
        </w:rPr>
        <w:lastRenderedPageBreak/>
        <w:t>treatments if appropriate to identify the optimal corrosion control treatment for the supplier’s system:</w:t>
      </w:r>
    </w:p>
    <w:p w14:paraId="06189F7B" w14:textId="77777777" w:rsidR="00E46816" w:rsidRDefault="00E46816" w:rsidP="00E46816">
      <w:pPr>
        <w:ind w:left="2880" w:hanging="720"/>
        <w:rPr>
          <w:rFonts w:eastAsia="Calibri"/>
        </w:rPr>
      </w:pPr>
    </w:p>
    <w:p w14:paraId="0FDE9FD7" w14:textId="0AB969B3" w:rsidR="00B50A91" w:rsidRPr="003B4362" w:rsidRDefault="00B50A91" w:rsidP="00E46816">
      <w:pPr>
        <w:ind w:left="2880" w:hanging="720"/>
        <w:rPr>
          <w:rFonts w:eastAsia="Calibri"/>
        </w:rPr>
      </w:pPr>
      <w:r w:rsidRPr="003B4362">
        <w:rPr>
          <w:rFonts w:eastAsia="Calibri"/>
        </w:rPr>
        <w:t>A)</w:t>
      </w:r>
      <w:r w:rsidRPr="003B4362">
        <w:rPr>
          <w:rFonts w:eastAsia="Calibri"/>
        </w:rPr>
        <w:tab/>
        <w:t>Adjusting alkalinity and pH;</w:t>
      </w:r>
    </w:p>
    <w:p w14:paraId="2CEB0EB6" w14:textId="77777777" w:rsidR="00E46816" w:rsidRDefault="00E46816" w:rsidP="00E46816">
      <w:pPr>
        <w:ind w:left="2880" w:hanging="720"/>
        <w:rPr>
          <w:rFonts w:eastAsia="Calibri"/>
        </w:rPr>
      </w:pPr>
    </w:p>
    <w:p w14:paraId="6AA6A1FE" w14:textId="79AAEA4A" w:rsidR="00B50A91" w:rsidRPr="003B4362" w:rsidRDefault="00B50A91" w:rsidP="00E46816">
      <w:pPr>
        <w:ind w:left="2880" w:hanging="720"/>
        <w:rPr>
          <w:rFonts w:eastAsia="Calibri"/>
        </w:rPr>
      </w:pPr>
      <w:r w:rsidRPr="003B4362">
        <w:rPr>
          <w:rFonts w:eastAsia="Calibri"/>
        </w:rPr>
        <w:t>B)</w:t>
      </w:r>
      <w:r w:rsidRPr="003B4362">
        <w:rPr>
          <w:rFonts w:eastAsia="Calibri"/>
        </w:rPr>
        <w:tab/>
        <w:t>Adjusting calcium hardness; and</w:t>
      </w:r>
    </w:p>
    <w:p w14:paraId="28468319" w14:textId="77777777" w:rsidR="00E46816" w:rsidRDefault="00E46816" w:rsidP="00E46816">
      <w:pPr>
        <w:ind w:left="2880" w:hanging="720"/>
        <w:rPr>
          <w:rFonts w:eastAsia="Calibri"/>
        </w:rPr>
      </w:pPr>
    </w:p>
    <w:p w14:paraId="15A17188" w14:textId="50A014B0" w:rsidR="00B50A91" w:rsidRPr="003B4362" w:rsidRDefault="00B50A91" w:rsidP="00E46816">
      <w:pPr>
        <w:ind w:left="2880" w:hanging="720"/>
        <w:rPr>
          <w:rFonts w:eastAsia="Calibri"/>
        </w:rPr>
      </w:pPr>
      <w:r w:rsidRPr="003B4362">
        <w:rPr>
          <w:rFonts w:eastAsia="Calibri"/>
        </w:rPr>
        <w:t>C)</w:t>
      </w:r>
      <w:r w:rsidRPr="003B4362">
        <w:rPr>
          <w:rFonts w:eastAsia="Calibri"/>
        </w:rPr>
        <w:tab/>
        <w:t>Adding a phosphate- or silicate-based corrosion inhibitor at a concentration sufficient to maintain an effective residual concentration in all test tap samples.</w:t>
      </w:r>
    </w:p>
    <w:p w14:paraId="5009975B" w14:textId="77777777" w:rsidR="00E46816" w:rsidRDefault="00E46816" w:rsidP="00E46816">
      <w:pPr>
        <w:ind w:left="2160" w:hanging="720"/>
        <w:rPr>
          <w:rFonts w:eastAsia="Calibri"/>
        </w:rPr>
      </w:pPr>
    </w:p>
    <w:p w14:paraId="6D8D233A" w14:textId="342023C9" w:rsidR="00B50A91" w:rsidRPr="003B4362" w:rsidRDefault="00B50A91" w:rsidP="00E46816">
      <w:pPr>
        <w:ind w:left="2160" w:hanging="720"/>
        <w:rPr>
          <w:rFonts w:eastAsia="Calibri"/>
        </w:rPr>
      </w:pPr>
      <w:r w:rsidRPr="003B4362">
        <w:rPr>
          <w:rFonts w:eastAsia="Calibri"/>
        </w:rPr>
        <w:t>2)</w:t>
      </w:r>
      <w:r w:rsidRPr="003B4362">
        <w:rPr>
          <w:rFonts w:eastAsia="Calibri"/>
        </w:rPr>
        <w:tab/>
        <w:t>The supplier must evaluate each of the corrosion control treatments using pipe rig/loop tests; metal coupon tests; partial-system tests; or analyses based on documented analogous treatments in other systems of similar size, water chemistry, and distribution system configuration.</w:t>
      </w:r>
    </w:p>
    <w:p w14:paraId="7977CA5C" w14:textId="77777777" w:rsidR="00E46816" w:rsidRDefault="00E46816" w:rsidP="00E46816">
      <w:pPr>
        <w:ind w:left="2160" w:hanging="720"/>
        <w:rPr>
          <w:rFonts w:eastAsia="Calibri"/>
        </w:rPr>
      </w:pPr>
    </w:p>
    <w:p w14:paraId="5A8D6A72" w14:textId="1B0066E3" w:rsidR="00B50A91" w:rsidRPr="003B4362" w:rsidRDefault="00B50A91" w:rsidP="00E46816">
      <w:pPr>
        <w:ind w:left="2160" w:hanging="720"/>
        <w:rPr>
          <w:rFonts w:eastAsia="Calibri"/>
        </w:rPr>
      </w:pPr>
      <w:r w:rsidRPr="003B4362">
        <w:rPr>
          <w:rFonts w:eastAsia="Calibri"/>
        </w:rPr>
        <w:t>3)</w:t>
      </w:r>
      <w:r w:rsidRPr="003B4362">
        <w:rPr>
          <w:rFonts w:eastAsia="Calibri"/>
        </w:rPr>
        <w:tab/>
        <w:t>The supplier must measure specific water quality parameters in any tests the supplier conducts under this subsection (c) before and after evaluating the corrosion control treatments in subsection (c)(1):</w:t>
      </w:r>
    </w:p>
    <w:p w14:paraId="700B4BB8" w14:textId="77777777" w:rsidR="00E46816" w:rsidRDefault="00E46816" w:rsidP="00E46816">
      <w:pPr>
        <w:ind w:left="2880" w:hanging="720"/>
        <w:rPr>
          <w:rFonts w:eastAsia="Calibri"/>
        </w:rPr>
      </w:pPr>
    </w:p>
    <w:p w14:paraId="7E397359" w14:textId="039B1899" w:rsidR="00B50A91" w:rsidRPr="003B4362" w:rsidRDefault="00B50A91" w:rsidP="00E46816">
      <w:pPr>
        <w:ind w:left="2880" w:hanging="720"/>
        <w:rPr>
          <w:rFonts w:eastAsia="Calibri"/>
        </w:rPr>
      </w:pPr>
      <w:r w:rsidRPr="003B4362">
        <w:rPr>
          <w:rFonts w:eastAsia="Calibri"/>
        </w:rPr>
        <w:t>A)</w:t>
      </w:r>
      <w:r w:rsidRPr="003B4362">
        <w:rPr>
          <w:rFonts w:eastAsia="Calibri"/>
        </w:rPr>
        <w:tab/>
        <w:t>Lead;</w:t>
      </w:r>
    </w:p>
    <w:p w14:paraId="3FB8EC1D" w14:textId="77777777" w:rsidR="00E46816" w:rsidRDefault="00E46816" w:rsidP="00E46816">
      <w:pPr>
        <w:ind w:left="2880" w:hanging="720"/>
        <w:rPr>
          <w:rFonts w:eastAsia="Calibri"/>
        </w:rPr>
      </w:pPr>
    </w:p>
    <w:p w14:paraId="7D0B18A9" w14:textId="7C64BD23" w:rsidR="00B50A91" w:rsidRPr="003B4362" w:rsidRDefault="00B50A91" w:rsidP="00E46816">
      <w:pPr>
        <w:ind w:left="2880" w:hanging="720"/>
        <w:rPr>
          <w:rFonts w:eastAsia="Calibri"/>
        </w:rPr>
      </w:pPr>
      <w:r w:rsidRPr="003B4362">
        <w:rPr>
          <w:rFonts w:eastAsia="Calibri"/>
        </w:rPr>
        <w:t>B)</w:t>
      </w:r>
      <w:r w:rsidRPr="003B4362">
        <w:rPr>
          <w:rFonts w:eastAsia="Calibri"/>
        </w:rPr>
        <w:tab/>
        <w:t>Copper;</w:t>
      </w:r>
    </w:p>
    <w:p w14:paraId="1FFA2D23" w14:textId="77777777" w:rsidR="00E46816" w:rsidRDefault="00E46816" w:rsidP="00E46816">
      <w:pPr>
        <w:ind w:left="2880" w:hanging="720"/>
        <w:rPr>
          <w:rFonts w:eastAsia="Calibri"/>
        </w:rPr>
      </w:pPr>
    </w:p>
    <w:p w14:paraId="2DBE0B00" w14:textId="3446ECE0" w:rsidR="00B50A91" w:rsidRPr="003B4362" w:rsidRDefault="00B50A91" w:rsidP="00E46816">
      <w:pPr>
        <w:ind w:left="2880" w:hanging="720"/>
        <w:rPr>
          <w:rFonts w:eastAsia="Calibri"/>
        </w:rPr>
      </w:pPr>
      <w:r w:rsidRPr="003B4362">
        <w:rPr>
          <w:rFonts w:eastAsia="Calibri"/>
        </w:rPr>
        <w:t>C)</w:t>
      </w:r>
      <w:r w:rsidRPr="003B4362">
        <w:rPr>
          <w:rFonts w:eastAsia="Calibri"/>
        </w:rPr>
        <w:tab/>
        <w:t>pH;</w:t>
      </w:r>
    </w:p>
    <w:p w14:paraId="7CF49F6B" w14:textId="77777777" w:rsidR="00E46816" w:rsidRDefault="00E46816" w:rsidP="00E46816">
      <w:pPr>
        <w:ind w:left="2880" w:hanging="720"/>
        <w:rPr>
          <w:rFonts w:eastAsia="Calibri"/>
        </w:rPr>
      </w:pPr>
    </w:p>
    <w:p w14:paraId="6EB8BF5C" w14:textId="5BA2506F" w:rsidR="00B50A91" w:rsidRPr="003B4362" w:rsidRDefault="00B50A91" w:rsidP="00E46816">
      <w:pPr>
        <w:ind w:left="2880" w:hanging="720"/>
        <w:rPr>
          <w:rFonts w:eastAsia="Calibri"/>
        </w:rPr>
      </w:pPr>
      <w:r w:rsidRPr="003B4362">
        <w:rPr>
          <w:rFonts w:eastAsia="Calibri"/>
        </w:rPr>
        <w:t>D)</w:t>
      </w:r>
      <w:r w:rsidRPr="003B4362">
        <w:rPr>
          <w:rFonts w:eastAsia="Calibri"/>
        </w:rPr>
        <w:tab/>
        <w:t>Alkalinity;</w:t>
      </w:r>
    </w:p>
    <w:p w14:paraId="1757E9D4" w14:textId="77777777" w:rsidR="00E46816" w:rsidRDefault="00E46816" w:rsidP="00E46816">
      <w:pPr>
        <w:ind w:left="2880" w:hanging="720"/>
        <w:rPr>
          <w:rFonts w:eastAsia="Calibri"/>
        </w:rPr>
      </w:pPr>
    </w:p>
    <w:p w14:paraId="40922DC0" w14:textId="4F94B7B1" w:rsidR="00B50A91" w:rsidRPr="003B4362" w:rsidRDefault="00B50A91" w:rsidP="00E46816">
      <w:pPr>
        <w:ind w:left="2880" w:hanging="720"/>
        <w:rPr>
          <w:rFonts w:eastAsia="Calibri"/>
        </w:rPr>
      </w:pPr>
      <w:r w:rsidRPr="003B4362">
        <w:rPr>
          <w:rFonts w:eastAsia="Calibri"/>
        </w:rPr>
        <w:t>E)</w:t>
      </w:r>
      <w:r w:rsidRPr="003B4362">
        <w:rPr>
          <w:rFonts w:eastAsia="Calibri"/>
        </w:rPr>
        <w:tab/>
        <w:t>Calcium;</w:t>
      </w:r>
    </w:p>
    <w:p w14:paraId="285E42B6" w14:textId="77777777" w:rsidR="00E46816" w:rsidRDefault="00E46816" w:rsidP="00E46816">
      <w:pPr>
        <w:ind w:left="2880" w:hanging="720"/>
        <w:rPr>
          <w:rFonts w:eastAsia="Calibri"/>
        </w:rPr>
      </w:pPr>
    </w:p>
    <w:p w14:paraId="42F1E602" w14:textId="22B22C67" w:rsidR="00B50A91" w:rsidRPr="003B4362" w:rsidRDefault="00B50A91" w:rsidP="00E46816">
      <w:pPr>
        <w:ind w:left="2880" w:hanging="720"/>
        <w:rPr>
          <w:rFonts w:eastAsia="Calibri"/>
        </w:rPr>
      </w:pPr>
      <w:r w:rsidRPr="003B4362">
        <w:rPr>
          <w:rFonts w:eastAsia="Calibri"/>
        </w:rPr>
        <w:t>F)</w:t>
      </w:r>
      <w:r w:rsidRPr="003B4362">
        <w:rPr>
          <w:rFonts w:eastAsia="Calibri"/>
        </w:rPr>
        <w:tab/>
        <w:t>Conductivity;</w:t>
      </w:r>
    </w:p>
    <w:p w14:paraId="71DE9769" w14:textId="77777777" w:rsidR="00E46816" w:rsidRDefault="00E46816" w:rsidP="00E46816">
      <w:pPr>
        <w:ind w:left="2880" w:hanging="720"/>
        <w:rPr>
          <w:rFonts w:eastAsia="Calibri"/>
        </w:rPr>
      </w:pPr>
    </w:p>
    <w:p w14:paraId="5511AA99" w14:textId="43320B0C" w:rsidR="00B50A91" w:rsidRPr="003B4362" w:rsidRDefault="00B50A91" w:rsidP="00E46816">
      <w:pPr>
        <w:ind w:left="2880" w:hanging="720"/>
        <w:rPr>
          <w:rFonts w:eastAsia="Calibri"/>
        </w:rPr>
      </w:pPr>
      <w:r w:rsidRPr="003B4362">
        <w:rPr>
          <w:rFonts w:eastAsia="Calibri"/>
        </w:rPr>
        <w:t>G)</w:t>
      </w:r>
      <w:r w:rsidRPr="003B4362">
        <w:rPr>
          <w:rFonts w:eastAsia="Calibri"/>
        </w:rPr>
        <w:tab/>
        <w:t>Orthophosphate (when the supplier uses an inhibitor containing a phosphate compound);</w:t>
      </w:r>
    </w:p>
    <w:p w14:paraId="4836B38E" w14:textId="77777777" w:rsidR="00E46816" w:rsidRDefault="00E46816" w:rsidP="00E46816">
      <w:pPr>
        <w:ind w:left="2880" w:hanging="720"/>
        <w:rPr>
          <w:rFonts w:eastAsia="Calibri"/>
        </w:rPr>
      </w:pPr>
    </w:p>
    <w:p w14:paraId="21CAA18D" w14:textId="3EA12C8B" w:rsidR="00B50A91" w:rsidRPr="003B4362" w:rsidRDefault="00B50A91" w:rsidP="00E46816">
      <w:pPr>
        <w:ind w:left="2880" w:hanging="720"/>
        <w:rPr>
          <w:rFonts w:eastAsia="Calibri"/>
        </w:rPr>
      </w:pPr>
      <w:r w:rsidRPr="003B4362">
        <w:rPr>
          <w:rFonts w:eastAsia="Calibri"/>
        </w:rPr>
        <w:t>H)</w:t>
      </w:r>
      <w:r w:rsidRPr="003B4362">
        <w:rPr>
          <w:rFonts w:eastAsia="Calibri"/>
        </w:rPr>
        <w:tab/>
        <w:t>Silicate (when the supplier uses an inhibitor containing a silicate compound); and</w:t>
      </w:r>
    </w:p>
    <w:p w14:paraId="27F3213F" w14:textId="77777777" w:rsidR="00E46816" w:rsidRDefault="00E46816" w:rsidP="00E46816">
      <w:pPr>
        <w:ind w:left="2880" w:hanging="720"/>
        <w:rPr>
          <w:rFonts w:eastAsia="Calibri"/>
        </w:rPr>
      </w:pPr>
    </w:p>
    <w:p w14:paraId="75A45C43" w14:textId="75931E02" w:rsidR="00B50A91" w:rsidRPr="003B4362" w:rsidRDefault="00B50A91" w:rsidP="00E46816">
      <w:pPr>
        <w:ind w:left="2880" w:hanging="720"/>
        <w:rPr>
          <w:rFonts w:eastAsia="Calibri"/>
        </w:rPr>
      </w:pPr>
      <w:r w:rsidRPr="003B4362">
        <w:rPr>
          <w:rFonts w:eastAsia="Calibri"/>
        </w:rPr>
        <w:t>I)</w:t>
      </w:r>
      <w:r w:rsidRPr="003B4362">
        <w:rPr>
          <w:rFonts w:eastAsia="Calibri"/>
        </w:rPr>
        <w:tab/>
        <w:t>Water temperature.</w:t>
      </w:r>
    </w:p>
    <w:p w14:paraId="3D0C816A" w14:textId="77777777" w:rsidR="00E46816" w:rsidRDefault="00E46816" w:rsidP="00E46816">
      <w:pPr>
        <w:ind w:left="2160" w:hanging="720"/>
        <w:rPr>
          <w:rFonts w:eastAsia="Calibri"/>
        </w:rPr>
      </w:pPr>
    </w:p>
    <w:p w14:paraId="3D745F77" w14:textId="354F44BB" w:rsidR="00B50A91" w:rsidRPr="003B4362" w:rsidRDefault="00B50A91" w:rsidP="00E46816">
      <w:pPr>
        <w:ind w:left="2160" w:hanging="720"/>
        <w:rPr>
          <w:rFonts w:eastAsia="Calibri"/>
        </w:rPr>
      </w:pPr>
      <w:r w:rsidRPr="003B4362">
        <w:rPr>
          <w:rFonts w:eastAsia="Calibri"/>
        </w:rPr>
        <w:t>4)</w:t>
      </w:r>
      <w:r w:rsidRPr="003B4362">
        <w:rPr>
          <w:rFonts w:eastAsia="Calibri"/>
        </w:rPr>
        <w:tab/>
        <w:t>The supplier must identify all chemical or physical constraints that limit or prohibit using any particular corrosion control treatment and document those constraints:</w:t>
      </w:r>
    </w:p>
    <w:p w14:paraId="23246A20" w14:textId="77777777" w:rsidR="00E46816" w:rsidRDefault="00E46816" w:rsidP="00E46816">
      <w:pPr>
        <w:ind w:left="2880" w:hanging="720"/>
        <w:rPr>
          <w:rFonts w:eastAsia="Calibri"/>
        </w:rPr>
      </w:pPr>
    </w:p>
    <w:p w14:paraId="347F2C14" w14:textId="23CDA44A" w:rsidR="00B50A91" w:rsidRPr="003B4362" w:rsidRDefault="00B50A91" w:rsidP="00E46816">
      <w:pPr>
        <w:ind w:left="2880" w:hanging="720"/>
        <w:rPr>
          <w:rFonts w:eastAsia="Calibri"/>
        </w:rPr>
      </w:pPr>
      <w:r w:rsidRPr="003B4362">
        <w:rPr>
          <w:rFonts w:eastAsia="Calibri"/>
        </w:rPr>
        <w:lastRenderedPageBreak/>
        <w:t>A)</w:t>
      </w:r>
      <w:r w:rsidRPr="003B4362">
        <w:rPr>
          <w:rFonts w:eastAsia="Calibri"/>
        </w:rPr>
        <w:tab/>
        <w:t>With data and documentation showing that a particular corrosion control treatment adversely affects other water treatment processes when another supplier uses that treatment in a system with water having comparable water quality characteristics; or</w:t>
      </w:r>
    </w:p>
    <w:p w14:paraId="1ADF7FF2" w14:textId="77777777" w:rsidR="00E46816" w:rsidRDefault="00E46816" w:rsidP="00E46816">
      <w:pPr>
        <w:ind w:left="2880" w:hanging="720"/>
        <w:rPr>
          <w:rFonts w:eastAsia="Calibri"/>
        </w:rPr>
      </w:pPr>
    </w:p>
    <w:p w14:paraId="0DCAB88F" w14:textId="47080CCA" w:rsidR="00B50A91" w:rsidRPr="003B4362" w:rsidRDefault="00B50A91" w:rsidP="00E46816">
      <w:pPr>
        <w:ind w:left="2880" w:hanging="720"/>
        <w:rPr>
          <w:rFonts w:eastAsia="Calibri"/>
        </w:rPr>
      </w:pPr>
      <w:r w:rsidRPr="003B4362">
        <w:rPr>
          <w:rFonts w:eastAsia="Calibri"/>
        </w:rPr>
        <w:t>B)</w:t>
      </w:r>
      <w:r w:rsidRPr="003B4362">
        <w:rPr>
          <w:rFonts w:eastAsia="Calibri"/>
        </w:rPr>
        <w:tab/>
        <w:t>With data and documentation demonstrating that the supplier previously evaluated a particular corrosion control treatment, finding either that the treatment is ineffective or adversely affects other water quality treatment processes.</w:t>
      </w:r>
    </w:p>
    <w:p w14:paraId="1D2070BE" w14:textId="77777777" w:rsidR="00E46816" w:rsidRDefault="00E46816" w:rsidP="00E46816">
      <w:pPr>
        <w:ind w:left="2160" w:hanging="720"/>
        <w:rPr>
          <w:rFonts w:eastAsia="Calibri"/>
        </w:rPr>
      </w:pPr>
    </w:p>
    <w:p w14:paraId="35170FC1" w14:textId="0B3C233C" w:rsidR="00B50A91" w:rsidRPr="003B4362" w:rsidRDefault="00B50A91" w:rsidP="00E46816">
      <w:pPr>
        <w:ind w:left="2160" w:hanging="720"/>
        <w:rPr>
          <w:rFonts w:eastAsia="Calibri"/>
        </w:rPr>
      </w:pPr>
      <w:r w:rsidRPr="003B4362">
        <w:rPr>
          <w:rFonts w:eastAsia="Calibri"/>
        </w:rPr>
        <w:t>5)</w:t>
      </w:r>
      <w:r w:rsidRPr="003B4362">
        <w:rPr>
          <w:rFonts w:eastAsia="Calibri"/>
        </w:rPr>
        <w:tab/>
        <w:t>The supplier must evaluate the effect of the evaluated corrosion control treatment chemicals on other water quality treatment processes.</w:t>
      </w:r>
    </w:p>
    <w:p w14:paraId="7890D77A" w14:textId="77777777" w:rsidR="00E46816" w:rsidRDefault="00E46816" w:rsidP="00E46816">
      <w:pPr>
        <w:ind w:left="2160" w:hanging="720"/>
        <w:rPr>
          <w:rFonts w:eastAsia="Calibri"/>
        </w:rPr>
      </w:pPr>
    </w:p>
    <w:p w14:paraId="50C435BB" w14:textId="0091E87E" w:rsidR="00B50A91" w:rsidRPr="003B4362" w:rsidRDefault="00B50A91" w:rsidP="00E46816">
      <w:pPr>
        <w:ind w:left="2160" w:hanging="720"/>
        <w:rPr>
          <w:rFonts w:eastAsia="Calibri"/>
        </w:rPr>
      </w:pPr>
      <w:r w:rsidRPr="003B4362">
        <w:rPr>
          <w:rFonts w:eastAsia="Calibri"/>
        </w:rPr>
        <w:t>6)</w:t>
      </w:r>
      <w:r w:rsidRPr="003B4362">
        <w:rPr>
          <w:rFonts w:eastAsia="Calibri"/>
        </w:rPr>
        <w:tab/>
        <w:t>Based on an analysis of the data the supplier generated during each evaluation, the supplier must recommend in writing to the Agency the treatment option the corrosion control studies indicate constitutes optimal corrosion control treatment for the supplier’s system.  The supplier must give a rationale for its recommendation together with all supporting documentation subsections (c)(1) through (c)(5) specify.</w:t>
      </w:r>
    </w:p>
    <w:p w14:paraId="1A7CB629" w14:textId="77777777" w:rsidR="00E46816" w:rsidRDefault="00E46816" w:rsidP="00E46816">
      <w:pPr>
        <w:ind w:left="1440" w:hanging="720"/>
        <w:rPr>
          <w:rFonts w:eastAsia="Calibri"/>
        </w:rPr>
      </w:pPr>
    </w:p>
    <w:p w14:paraId="124E1FE0" w14:textId="67A75BE1" w:rsidR="00B50A91" w:rsidRPr="003B4362" w:rsidRDefault="00B50A91" w:rsidP="00E46816">
      <w:pPr>
        <w:ind w:left="1440" w:hanging="720"/>
        <w:rPr>
          <w:rFonts w:eastAsia="Calibri"/>
        </w:rPr>
      </w:pPr>
      <w:r w:rsidRPr="003B4362">
        <w:rPr>
          <w:rFonts w:eastAsia="Calibri"/>
        </w:rPr>
        <w:t>d)</w:t>
      </w:r>
      <w:r w:rsidRPr="003B4362">
        <w:rPr>
          <w:rFonts w:eastAsia="Calibri"/>
        </w:rPr>
        <w:tab/>
        <w:t>Agency Approval of Treatment</w:t>
      </w:r>
    </w:p>
    <w:p w14:paraId="65DF0596" w14:textId="77777777" w:rsidR="00E46816" w:rsidRDefault="00E46816" w:rsidP="00E46816">
      <w:pPr>
        <w:ind w:left="2160" w:hanging="720"/>
        <w:rPr>
          <w:rFonts w:eastAsia="Calibri"/>
        </w:rPr>
      </w:pPr>
    </w:p>
    <w:p w14:paraId="5A299F27" w14:textId="3D64FA31" w:rsidR="00B50A91" w:rsidRPr="003B4362" w:rsidRDefault="00B50A91" w:rsidP="00E46816">
      <w:pPr>
        <w:ind w:left="2160" w:hanging="720"/>
        <w:rPr>
          <w:rFonts w:eastAsia="Calibri"/>
        </w:rPr>
      </w:pPr>
      <w:r w:rsidRPr="003B4362">
        <w:rPr>
          <w:rFonts w:eastAsia="Calibri"/>
        </w:rPr>
        <w:t>1)</w:t>
      </w:r>
      <w:r w:rsidRPr="003B4362">
        <w:rPr>
          <w:rFonts w:eastAsia="Calibri"/>
        </w:rPr>
        <w:tab/>
        <w:t>Based on consideration of available information, including</w:t>
      </w:r>
      <w:r w:rsidRPr="003B4362">
        <w:rPr>
          <w:rFonts w:eastAsia="Calibri"/>
          <w:spacing w:val="-3"/>
        </w:rPr>
        <w:t xml:space="preserve"> </w:t>
      </w:r>
      <w:r w:rsidRPr="003B4362">
        <w:rPr>
          <w:rFonts w:eastAsia="Calibri"/>
        </w:rPr>
        <w:t>applicable studies the supplier performed under subsection (c) and a supplier’s recommended treatment alternative, the Agency must either issue a SEP requiring the corrosion control treatment option the supplier recommended or deny a SEP and require the supplier to further investigate and recommend alternative corrosion control treatments from among those in subsection (c)(1).  When approving optimal corrosion control treatment, the Agency must consider the effects that additional corrosion control treatment will have on water quality parameters and other water quality treatment processes.</w:t>
      </w:r>
    </w:p>
    <w:p w14:paraId="16213DCD" w14:textId="77777777" w:rsidR="00E46816" w:rsidRDefault="00E46816" w:rsidP="00E46816">
      <w:pPr>
        <w:ind w:left="2160" w:hanging="720"/>
        <w:rPr>
          <w:rFonts w:eastAsia="Calibri"/>
        </w:rPr>
      </w:pPr>
    </w:p>
    <w:p w14:paraId="09CB7FA7" w14:textId="37E638E3" w:rsidR="00B50A91" w:rsidRPr="003B4362" w:rsidRDefault="00B50A91" w:rsidP="00E46816">
      <w:pPr>
        <w:ind w:left="2160" w:hanging="720"/>
        <w:rPr>
          <w:rFonts w:eastAsia="Calibri"/>
        </w:rPr>
      </w:pPr>
      <w:r w:rsidRPr="003B4362">
        <w:rPr>
          <w:rFonts w:eastAsia="Calibri"/>
        </w:rPr>
        <w:t>2)</w:t>
      </w:r>
      <w:r w:rsidRPr="003B4362">
        <w:rPr>
          <w:rFonts w:eastAsia="Calibri"/>
        </w:rPr>
        <w:tab/>
        <w:t>The Agency must notify the supplier of the basis for this determination in any SEP it issues under subsection (d)(1).</w:t>
      </w:r>
    </w:p>
    <w:p w14:paraId="58B3232E" w14:textId="77777777" w:rsidR="00E46816" w:rsidRDefault="00E46816" w:rsidP="00E46816">
      <w:pPr>
        <w:ind w:left="1440" w:hanging="720"/>
        <w:rPr>
          <w:rFonts w:eastAsia="Calibri"/>
        </w:rPr>
      </w:pPr>
    </w:p>
    <w:p w14:paraId="5EECCD08" w14:textId="144C9314" w:rsidR="00B50A91" w:rsidRPr="003B4362" w:rsidRDefault="00B50A91" w:rsidP="00E46816">
      <w:pPr>
        <w:ind w:left="1440" w:hanging="720"/>
        <w:rPr>
          <w:rFonts w:eastAsia="Calibri"/>
        </w:rPr>
      </w:pPr>
      <w:r w:rsidRPr="003B4362">
        <w:rPr>
          <w:rFonts w:eastAsia="Calibri"/>
        </w:rPr>
        <w:t>e)</w:t>
      </w:r>
      <w:r w:rsidRPr="003B4362">
        <w:rPr>
          <w:rFonts w:eastAsia="Calibri"/>
        </w:rPr>
        <w:tab/>
        <w:t>Installing Optimal Corrosion Control.  A supplier must properly install and operate the optimal corrosion control treatment throughout its distribution system that the Agency approved under subsection (d).</w:t>
      </w:r>
    </w:p>
    <w:p w14:paraId="65DF2746" w14:textId="77777777" w:rsidR="00E46816" w:rsidRDefault="00E46816" w:rsidP="00E46816">
      <w:pPr>
        <w:ind w:left="1440" w:hanging="720"/>
        <w:rPr>
          <w:rFonts w:eastAsia="Calibri"/>
        </w:rPr>
      </w:pPr>
    </w:p>
    <w:p w14:paraId="3D82A1EB" w14:textId="6B598F66" w:rsidR="00B50A91" w:rsidRPr="003B4362" w:rsidRDefault="00B50A91" w:rsidP="00E46816">
      <w:pPr>
        <w:ind w:left="1440" w:hanging="720"/>
        <w:rPr>
          <w:rFonts w:eastAsia="Calibri"/>
        </w:rPr>
      </w:pPr>
      <w:r w:rsidRPr="003B4362">
        <w:rPr>
          <w:rFonts w:eastAsia="Calibri"/>
        </w:rPr>
        <w:t>f)</w:t>
      </w:r>
      <w:r w:rsidRPr="003B4362">
        <w:rPr>
          <w:rFonts w:eastAsia="Calibri"/>
        </w:rPr>
        <w:tab/>
        <w:t>Agency Review of Treatment and Specification of Optimal Water Quality Control Parameters.  The Agency must evaluate the results of all lead and copper tap samples and water quality parameter samples the supplier submits and determine whether the supplier properly installs and operates the optimal corrosion control treatment the Agency approves under subsection (d).</w:t>
      </w:r>
    </w:p>
    <w:p w14:paraId="43D4A52E" w14:textId="77777777" w:rsidR="00E46816" w:rsidRDefault="00E46816" w:rsidP="00E46816">
      <w:pPr>
        <w:ind w:left="2160" w:hanging="720"/>
        <w:rPr>
          <w:rFonts w:eastAsia="Calibri"/>
        </w:rPr>
      </w:pPr>
    </w:p>
    <w:p w14:paraId="578A916E" w14:textId="3CF2A5EF" w:rsidR="00B50A91" w:rsidRPr="003B4362" w:rsidRDefault="00B50A91" w:rsidP="00E46816">
      <w:pPr>
        <w:ind w:left="2160" w:hanging="720"/>
        <w:rPr>
          <w:rFonts w:eastAsia="Calibri"/>
        </w:rPr>
      </w:pPr>
      <w:r w:rsidRPr="003B4362">
        <w:rPr>
          <w:rFonts w:eastAsia="Calibri"/>
        </w:rPr>
        <w:t>1)</w:t>
      </w:r>
      <w:r w:rsidRPr="003B4362">
        <w:rPr>
          <w:rFonts w:eastAsia="Calibri"/>
        </w:rPr>
        <w:tab/>
        <w:t>Upon reviewing the results of the supplier’s tap water and water quality parameter monitoring, both before and after installing optimal corrosion control treatment, the Agency must issue a SEP specifying operating parameters:</w:t>
      </w:r>
    </w:p>
    <w:p w14:paraId="3973CF77" w14:textId="77777777" w:rsidR="00E46816" w:rsidRDefault="00E46816" w:rsidP="00E46816">
      <w:pPr>
        <w:ind w:left="2880" w:hanging="720"/>
        <w:rPr>
          <w:rFonts w:eastAsia="Calibri"/>
        </w:rPr>
      </w:pPr>
    </w:p>
    <w:p w14:paraId="79FA19BA" w14:textId="4FD1AA01" w:rsidR="00B50A91" w:rsidRPr="003B4362" w:rsidRDefault="00B50A91" w:rsidP="00E46816">
      <w:pPr>
        <w:ind w:left="2880" w:hanging="720"/>
        <w:rPr>
          <w:rFonts w:eastAsia="Calibri"/>
        </w:rPr>
      </w:pPr>
      <w:r w:rsidRPr="003B4362">
        <w:rPr>
          <w:rFonts w:eastAsia="Calibri"/>
        </w:rPr>
        <w:t>A)</w:t>
      </w:r>
      <w:r w:rsidRPr="003B4362">
        <w:rPr>
          <w:rFonts w:eastAsia="Calibri"/>
        </w:rPr>
        <w:tab/>
        <w:t>A minimum value or range of values for pH at each entry point to the distribution system;</w:t>
      </w:r>
    </w:p>
    <w:p w14:paraId="0F93A25A" w14:textId="77777777" w:rsidR="00E46816" w:rsidRDefault="00E46816" w:rsidP="00E46816">
      <w:pPr>
        <w:ind w:left="2880" w:hanging="720"/>
        <w:rPr>
          <w:rFonts w:eastAsia="Calibri"/>
        </w:rPr>
      </w:pPr>
    </w:p>
    <w:p w14:paraId="0AB9DC93" w14:textId="2AEADFAC" w:rsidR="00B50A91" w:rsidRPr="003B4362" w:rsidRDefault="00B50A91" w:rsidP="00E46816">
      <w:pPr>
        <w:ind w:left="2880" w:hanging="720"/>
        <w:rPr>
          <w:rFonts w:eastAsia="Calibri"/>
        </w:rPr>
      </w:pPr>
      <w:r w:rsidRPr="003B4362">
        <w:rPr>
          <w:rFonts w:eastAsia="Calibri"/>
        </w:rPr>
        <w:t>B)</w:t>
      </w:r>
      <w:r w:rsidRPr="003B4362">
        <w:rPr>
          <w:rFonts w:eastAsia="Calibri"/>
        </w:rPr>
        <w:tab/>
        <w:t>A minimum pH value for all tap samples.  This value must be equal to or greater than 7.0, unless the Agency determines that a pH 7.0 is not technologically feasible or is not necessary for the supplier to optimize corrosion control;</w:t>
      </w:r>
    </w:p>
    <w:p w14:paraId="70ADAF76" w14:textId="77777777" w:rsidR="00E46816" w:rsidRDefault="00E46816" w:rsidP="00E46816">
      <w:pPr>
        <w:ind w:left="2880" w:hanging="720"/>
        <w:rPr>
          <w:rFonts w:eastAsia="Calibri"/>
        </w:rPr>
      </w:pPr>
    </w:p>
    <w:p w14:paraId="174FAB60" w14:textId="2DC81A82" w:rsidR="00B50A91" w:rsidRPr="003B4362" w:rsidRDefault="00B50A91" w:rsidP="00E46816">
      <w:pPr>
        <w:ind w:left="2880" w:hanging="720"/>
        <w:rPr>
          <w:rFonts w:eastAsia="Calibri"/>
        </w:rPr>
      </w:pPr>
      <w:r w:rsidRPr="003B4362">
        <w:rPr>
          <w:rFonts w:eastAsia="Calibri"/>
        </w:rPr>
        <w:t>C)</w:t>
      </w:r>
      <w:r w:rsidRPr="003B4362">
        <w:rPr>
          <w:rFonts w:eastAsia="Calibri"/>
        </w:rPr>
        <w:tab/>
        <w:t>If the supplier uses a corrosion inhibitor, a minimum inhibitor concentration or range of concentrations, for each entry point to the distribution system and in all tap samples, that the Agency determines is necessary to form a passivating film on the interior walls of the pipes of the distribution system;</w:t>
      </w:r>
    </w:p>
    <w:p w14:paraId="44481ABD" w14:textId="77777777" w:rsidR="00E46816" w:rsidRDefault="00E46816" w:rsidP="00E46816">
      <w:pPr>
        <w:ind w:left="2880" w:hanging="720"/>
        <w:rPr>
          <w:rFonts w:eastAsia="Calibri"/>
        </w:rPr>
      </w:pPr>
    </w:p>
    <w:p w14:paraId="666E4FA6" w14:textId="52313196" w:rsidR="00B50A91" w:rsidRPr="003B4362" w:rsidRDefault="00B50A91" w:rsidP="00E46816">
      <w:pPr>
        <w:ind w:left="2880" w:hanging="720"/>
        <w:rPr>
          <w:rFonts w:eastAsia="Calibri"/>
        </w:rPr>
      </w:pPr>
      <w:r w:rsidRPr="003B4362">
        <w:rPr>
          <w:rFonts w:eastAsia="Calibri"/>
        </w:rPr>
        <w:t>D)</w:t>
      </w:r>
      <w:r w:rsidRPr="003B4362">
        <w:rPr>
          <w:rFonts w:eastAsia="Calibri"/>
        </w:rPr>
        <w:tab/>
        <w:t>If the supplier adjusts alkalinity as part of optimal corrosion control treatment, a minimum concentration or a range of concentrations for alkalinity for each entry point to the distribution system and in all tap samples;</w:t>
      </w:r>
    </w:p>
    <w:p w14:paraId="5249133C" w14:textId="77777777" w:rsidR="00E46816" w:rsidRDefault="00E46816" w:rsidP="00E46816">
      <w:pPr>
        <w:ind w:left="2880" w:hanging="720"/>
        <w:rPr>
          <w:rFonts w:eastAsia="Calibri"/>
        </w:rPr>
      </w:pPr>
    </w:p>
    <w:p w14:paraId="30F281FA" w14:textId="1D3696EF" w:rsidR="00B50A91" w:rsidRPr="003B4362" w:rsidRDefault="00B50A91" w:rsidP="00E46816">
      <w:pPr>
        <w:ind w:left="2880" w:hanging="720"/>
        <w:rPr>
          <w:rFonts w:eastAsia="Calibri"/>
        </w:rPr>
      </w:pPr>
      <w:r w:rsidRPr="003B4362">
        <w:rPr>
          <w:rFonts w:eastAsia="Calibri"/>
        </w:rPr>
        <w:t>E)</w:t>
      </w:r>
      <w:r w:rsidRPr="003B4362">
        <w:rPr>
          <w:rFonts w:eastAsia="Calibri"/>
        </w:rPr>
        <w:tab/>
        <w:t>If the supplier uses calcium carbonate stabilization as part of corrosion control, a minimum concentration or a range of concentrations for calcium in all tap samples.</w:t>
      </w:r>
    </w:p>
    <w:p w14:paraId="6A76AF9E" w14:textId="77777777" w:rsidR="00E46816" w:rsidRDefault="00E46816" w:rsidP="00E46816">
      <w:pPr>
        <w:ind w:left="2160" w:hanging="720"/>
        <w:rPr>
          <w:rFonts w:eastAsia="Calibri"/>
        </w:rPr>
      </w:pPr>
    </w:p>
    <w:p w14:paraId="62711229" w14:textId="5873B86A" w:rsidR="00B50A91" w:rsidRPr="003B4362" w:rsidRDefault="00B50A91" w:rsidP="00E46816">
      <w:pPr>
        <w:ind w:left="2160" w:hanging="720"/>
        <w:rPr>
          <w:rFonts w:eastAsia="Calibri"/>
        </w:rPr>
      </w:pPr>
      <w:r w:rsidRPr="003B4362">
        <w:rPr>
          <w:rFonts w:eastAsia="Calibri"/>
        </w:rPr>
        <w:t>2)</w:t>
      </w:r>
      <w:r w:rsidRPr="003B4362">
        <w:rPr>
          <w:rFonts w:eastAsia="Calibri"/>
        </w:rPr>
        <w:tab/>
        <w:t>The values for the applicable water quality control parameters in subsection (f)(1) must be those the Agency determines reflect optimal corrosion control treatment for the supplier.</w:t>
      </w:r>
    </w:p>
    <w:p w14:paraId="2FFA4BF5" w14:textId="77777777" w:rsidR="00E46816" w:rsidRDefault="00E46816" w:rsidP="00E46816">
      <w:pPr>
        <w:ind w:left="2160" w:hanging="720"/>
        <w:rPr>
          <w:rFonts w:eastAsia="Calibri"/>
        </w:rPr>
      </w:pPr>
    </w:p>
    <w:p w14:paraId="26D28D88" w14:textId="663C3CED" w:rsidR="00B50A91" w:rsidRPr="003B4362" w:rsidRDefault="00B50A91" w:rsidP="00E46816">
      <w:pPr>
        <w:ind w:left="2160" w:hanging="720"/>
        <w:rPr>
          <w:rFonts w:eastAsia="Calibri"/>
        </w:rPr>
      </w:pPr>
      <w:r w:rsidRPr="003B4362">
        <w:rPr>
          <w:rFonts w:eastAsia="Calibri"/>
        </w:rPr>
        <w:t>3)</w:t>
      </w:r>
      <w:r w:rsidRPr="003B4362">
        <w:rPr>
          <w:rFonts w:eastAsia="Calibri"/>
        </w:rPr>
        <w:tab/>
        <w:t>The Agency may issue a SEP approving values for additional water quality control parameters the Agency determines reflect optimal corrosion control for the supplier’s system.</w:t>
      </w:r>
    </w:p>
    <w:p w14:paraId="3D2574AC" w14:textId="77777777" w:rsidR="00E46816" w:rsidRDefault="00E46816" w:rsidP="00E46816">
      <w:pPr>
        <w:ind w:left="2160" w:hanging="720"/>
        <w:rPr>
          <w:rFonts w:eastAsia="Calibri"/>
        </w:rPr>
      </w:pPr>
    </w:p>
    <w:p w14:paraId="768C5DB0" w14:textId="3040B326" w:rsidR="00B50A91" w:rsidRPr="003B4362" w:rsidRDefault="00B50A91" w:rsidP="00E46816">
      <w:pPr>
        <w:ind w:left="2160" w:hanging="720"/>
        <w:rPr>
          <w:rFonts w:eastAsia="Calibri"/>
        </w:rPr>
      </w:pPr>
      <w:r w:rsidRPr="003B4362">
        <w:rPr>
          <w:rFonts w:eastAsia="Calibri"/>
        </w:rPr>
        <w:t>4)</w:t>
      </w:r>
      <w:r w:rsidRPr="003B4362">
        <w:rPr>
          <w:rFonts w:eastAsia="Calibri"/>
        </w:rPr>
        <w:tab/>
        <w:t xml:space="preserve">The Agency must explain </w:t>
      </w:r>
      <w:r w:rsidR="00A62B08" w:rsidRPr="003B4362">
        <w:rPr>
          <w:rFonts w:eastAsia="Calibri"/>
        </w:rPr>
        <w:t xml:space="preserve">the </w:t>
      </w:r>
      <w:r w:rsidRPr="003B4362">
        <w:rPr>
          <w:rFonts w:eastAsia="Calibri"/>
        </w:rPr>
        <w:t xml:space="preserve">determinations </w:t>
      </w:r>
      <w:r w:rsidR="00A62B08" w:rsidRPr="003B4362">
        <w:rPr>
          <w:rFonts w:eastAsia="Calibri"/>
        </w:rPr>
        <w:t xml:space="preserve">under subsection (f)(3) </w:t>
      </w:r>
      <w:r w:rsidRPr="003B4362">
        <w:rPr>
          <w:rFonts w:eastAsia="Calibri"/>
        </w:rPr>
        <w:t xml:space="preserve">giving the basis for its decisions </w:t>
      </w:r>
      <w:r w:rsidR="00A62B08" w:rsidRPr="003B4362">
        <w:rPr>
          <w:rFonts w:eastAsia="Calibri"/>
        </w:rPr>
        <w:t xml:space="preserve">in </w:t>
      </w:r>
      <w:r w:rsidRPr="003B4362">
        <w:rPr>
          <w:rFonts w:eastAsia="Calibri"/>
        </w:rPr>
        <w:t>a SEP.</w:t>
      </w:r>
    </w:p>
    <w:p w14:paraId="69AE0D28" w14:textId="77777777" w:rsidR="00E46816" w:rsidRDefault="00E46816" w:rsidP="00E46816">
      <w:pPr>
        <w:ind w:left="1440" w:hanging="720"/>
        <w:rPr>
          <w:rFonts w:eastAsia="Calibri"/>
        </w:rPr>
      </w:pPr>
    </w:p>
    <w:p w14:paraId="01F32D7D" w14:textId="60F9C958" w:rsidR="00B50A91" w:rsidRPr="003B4362" w:rsidRDefault="00B50A91" w:rsidP="00E46816">
      <w:pPr>
        <w:ind w:left="1440" w:hanging="720"/>
        <w:rPr>
          <w:rFonts w:eastAsia="Calibri"/>
        </w:rPr>
      </w:pPr>
      <w:r w:rsidRPr="003B4362">
        <w:rPr>
          <w:rFonts w:eastAsia="Calibri"/>
        </w:rPr>
        <w:t>g)</w:t>
      </w:r>
      <w:r w:rsidRPr="003B4362">
        <w:rPr>
          <w:rFonts w:eastAsia="Calibri"/>
        </w:rPr>
        <w:tab/>
        <w:t xml:space="preserve">Continued Operation and Monitoring.  All suppliers optimizing corrosion control must continue to operate and maintain optimal corrosion control treatment, including maintaining water quality parameter values at or above minimum values or within ranges the Agency approved under subsection (f), under this subsection (g) for all samples the supplier collects under Section 611.1357(d) through (f).  </w:t>
      </w:r>
      <w:r w:rsidRPr="003B4362">
        <w:rPr>
          <w:rFonts w:eastAsia="Calibri"/>
        </w:rPr>
        <w:lastRenderedPageBreak/>
        <w:t xml:space="preserve">The supplier must determine whether it complies with this subsection (g) every six months, as Section 611.1357(d) specifies.  A water system does not comply with this subsection (g) in any six-month period during which the supplier </w:t>
      </w:r>
      <w:r w:rsidR="0042049C" w:rsidRPr="003B4362">
        <w:rPr>
          <w:rFonts w:eastAsia="Calibri"/>
        </w:rPr>
        <w:t>has excursion</w:t>
      </w:r>
      <w:r w:rsidRPr="003B4362">
        <w:rPr>
          <w:rFonts w:eastAsia="Calibri"/>
        </w:rPr>
        <w:t>s from any Agency-specified parameter on more than nine days.  An excursion occurs whenever the daily value for one or more of the water quality parameters measured at a sampling location is below the Agency-designated minimum value or outside the Agency-designated range.  The supplier calculates daily values as subsections (g)(1) through (g)(3) provide.  The Agency must delete results from this calculation that it determines are obvious sampling errors.</w:t>
      </w:r>
    </w:p>
    <w:p w14:paraId="6DD0E6CE" w14:textId="77777777" w:rsidR="00E46816" w:rsidRDefault="00E46816" w:rsidP="00E46816">
      <w:pPr>
        <w:ind w:left="2160" w:hanging="720"/>
        <w:rPr>
          <w:rFonts w:eastAsia="Calibri"/>
        </w:rPr>
      </w:pPr>
    </w:p>
    <w:p w14:paraId="6924D452" w14:textId="553BAFB7" w:rsidR="00B50A91" w:rsidRPr="003B4362" w:rsidRDefault="00B50A91" w:rsidP="00E46816">
      <w:pPr>
        <w:ind w:left="2160" w:hanging="720"/>
        <w:rPr>
          <w:rFonts w:eastAsia="Calibri"/>
        </w:rPr>
      </w:pPr>
      <w:r w:rsidRPr="003B4362">
        <w:rPr>
          <w:rFonts w:eastAsia="Calibri"/>
        </w:rPr>
        <w:t>1)</w:t>
      </w:r>
      <w:r w:rsidRPr="003B4362">
        <w:rPr>
          <w:rFonts w:eastAsia="Calibri"/>
        </w:rPr>
        <w:tab/>
        <w:t>On days when the supplier collects more than one measurement for a water quality parameter at a sampling location, the daily value is the average of all results the supplier collected during the day, regardless of whether the supplier collected the samples through continuous monitoring, grab sampling, or a combination of both.</w:t>
      </w:r>
    </w:p>
    <w:p w14:paraId="06F12CBB" w14:textId="77777777" w:rsidR="00E46816" w:rsidRDefault="00E46816" w:rsidP="00E46816">
      <w:pPr>
        <w:ind w:left="2160"/>
        <w:rPr>
          <w:rFonts w:eastAsia="Calibri"/>
        </w:rPr>
      </w:pPr>
    </w:p>
    <w:p w14:paraId="44F24BAC" w14:textId="02335930" w:rsidR="00B50A91" w:rsidRPr="003B4362" w:rsidRDefault="00B50A91" w:rsidP="00E46816">
      <w:pPr>
        <w:ind w:left="2160"/>
        <w:rPr>
          <w:rFonts w:eastAsia="Calibri"/>
        </w:rPr>
      </w:pPr>
      <w:r w:rsidRPr="003B4362">
        <w:rPr>
          <w:rFonts w:eastAsia="Calibri"/>
        </w:rPr>
        <w:t>BOARD NOTE:  Corresponding 40 CFR 141.82(g)(1)</w:t>
      </w:r>
      <w:r w:rsidR="00D15B76" w:rsidRPr="003B4362">
        <w:rPr>
          <w:rFonts w:eastAsia="Calibri"/>
        </w:rPr>
        <w:t xml:space="preserve"> (2020)</w:t>
      </w:r>
      <w:r w:rsidRPr="003B4362">
        <w:rPr>
          <w:rFonts w:eastAsia="Calibri"/>
        </w:rPr>
        <w:t xml:space="preserve"> further provides as follows:  If USEPA approves an alternative formula under 40 CFR 142.16 in the State’s application for a program revision submitted under 40 CFR 142.12, the approved formula is used to aggregate multiple measurements at a sampling point for the water quality parameter in lieu of the formula in this subsection (g).</w:t>
      </w:r>
    </w:p>
    <w:p w14:paraId="582A11D6" w14:textId="77777777" w:rsidR="00E46816" w:rsidRDefault="00E46816" w:rsidP="00E46816">
      <w:pPr>
        <w:ind w:left="2160" w:hanging="720"/>
        <w:rPr>
          <w:rFonts w:eastAsia="Calibri"/>
        </w:rPr>
      </w:pPr>
    </w:p>
    <w:p w14:paraId="1E4DD5F6" w14:textId="6D4DAE71" w:rsidR="00B50A91" w:rsidRPr="003B4362" w:rsidRDefault="00B50A91" w:rsidP="00E46816">
      <w:pPr>
        <w:ind w:left="2160" w:hanging="720"/>
        <w:rPr>
          <w:rFonts w:eastAsia="Calibri"/>
        </w:rPr>
      </w:pPr>
      <w:r w:rsidRPr="003B4362">
        <w:rPr>
          <w:rFonts w:eastAsia="Calibri"/>
        </w:rPr>
        <w:t>2)</w:t>
      </w:r>
      <w:r w:rsidRPr="003B4362">
        <w:rPr>
          <w:rFonts w:eastAsia="Calibri"/>
        </w:rPr>
        <w:tab/>
        <w:t>On days when the supplier collects only one measurement for a water quality parameter at a sampling location, the daily value is that measurement.</w:t>
      </w:r>
    </w:p>
    <w:p w14:paraId="1DEA86C8" w14:textId="77777777" w:rsidR="00E46816" w:rsidRDefault="00E46816" w:rsidP="00E46816">
      <w:pPr>
        <w:ind w:left="2160" w:hanging="720"/>
        <w:rPr>
          <w:rFonts w:eastAsia="Calibri"/>
        </w:rPr>
      </w:pPr>
    </w:p>
    <w:p w14:paraId="2B15F4FE" w14:textId="60FB25EB" w:rsidR="00B50A91" w:rsidRPr="003B4362" w:rsidRDefault="00B50A91" w:rsidP="00E46816">
      <w:pPr>
        <w:ind w:left="2160" w:hanging="720"/>
        <w:rPr>
          <w:rFonts w:eastAsia="Calibri"/>
        </w:rPr>
      </w:pPr>
      <w:r w:rsidRPr="003B4362">
        <w:rPr>
          <w:rFonts w:eastAsia="Calibri"/>
        </w:rPr>
        <w:t>3)</w:t>
      </w:r>
      <w:r w:rsidRPr="003B4362">
        <w:rPr>
          <w:rFonts w:eastAsia="Calibri"/>
        </w:rPr>
        <w:tab/>
        <w:t>On days when the supplier collects no measurement for a  water quality parameter at a sampling location, the daily value is the daily value calculated on the most recent day on which the supplier measured the water quality parameter at the sample site.</w:t>
      </w:r>
    </w:p>
    <w:p w14:paraId="7027E29A" w14:textId="77777777" w:rsidR="00E46816" w:rsidRDefault="00E46816" w:rsidP="00E46816">
      <w:pPr>
        <w:ind w:left="1440" w:hanging="720"/>
        <w:rPr>
          <w:rFonts w:eastAsia="Calibri"/>
        </w:rPr>
      </w:pPr>
    </w:p>
    <w:p w14:paraId="046477B6" w14:textId="49417B66" w:rsidR="00B50A91" w:rsidRPr="003B4362" w:rsidRDefault="00B50A91" w:rsidP="00E46816">
      <w:pPr>
        <w:ind w:left="1440" w:hanging="720"/>
        <w:rPr>
          <w:rFonts w:eastAsia="Calibri"/>
        </w:rPr>
      </w:pPr>
      <w:r w:rsidRPr="003B4362">
        <w:rPr>
          <w:rFonts w:eastAsia="Calibri"/>
        </w:rPr>
        <w:t>h)</w:t>
      </w:r>
      <w:r w:rsidRPr="003B4362">
        <w:rPr>
          <w:rFonts w:eastAsia="Calibri"/>
        </w:rPr>
        <w:tab/>
        <w:t>Modifying Agency Treatment Decisions</w:t>
      </w:r>
    </w:p>
    <w:p w14:paraId="6D3FA85D" w14:textId="77777777" w:rsidR="00E46816" w:rsidRDefault="00E46816" w:rsidP="00E46816">
      <w:pPr>
        <w:ind w:left="2160" w:hanging="720"/>
        <w:rPr>
          <w:rFonts w:eastAsia="Calibri"/>
        </w:rPr>
      </w:pPr>
    </w:p>
    <w:p w14:paraId="1D5146E1" w14:textId="452D1306" w:rsidR="00B50A91" w:rsidRPr="003B4362" w:rsidRDefault="00B50A91" w:rsidP="00E46816">
      <w:pPr>
        <w:ind w:left="2160" w:hanging="720"/>
        <w:rPr>
          <w:rFonts w:eastAsia="Calibri"/>
        </w:rPr>
      </w:pPr>
      <w:r w:rsidRPr="003B4362">
        <w:rPr>
          <w:rFonts w:eastAsia="Calibri"/>
        </w:rPr>
        <w:t>1)</w:t>
      </w:r>
      <w:r w:rsidRPr="003B4362">
        <w:rPr>
          <w:rFonts w:eastAsia="Calibri"/>
        </w:rPr>
        <w:tab/>
        <w:t>On its own initiative or in response to a request by the supplier, the Agency may issue a SEP modifying its determination of the optimal corrosion control treatment under subsection (d) or of the optimal water quality control parameters under subsection (f).</w:t>
      </w:r>
    </w:p>
    <w:p w14:paraId="11CBD2D6" w14:textId="77777777" w:rsidR="00E46816" w:rsidRDefault="00E46816" w:rsidP="00E46816">
      <w:pPr>
        <w:ind w:left="2160" w:hanging="720"/>
        <w:rPr>
          <w:rFonts w:eastAsia="Calibri"/>
        </w:rPr>
      </w:pPr>
    </w:p>
    <w:p w14:paraId="5218DD56" w14:textId="3E2AFA29" w:rsidR="00B50A91" w:rsidRPr="003B4362" w:rsidRDefault="00B50A91" w:rsidP="00E46816">
      <w:pPr>
        <w:ind w:left="2160" w:hanging="720"/>
        <w:rPr>
          <w:rFonts w:eastAsia="Calibri"/>
        </w:rPr>
      </w:pPr>
      <w:r w:rsidRPr="003B4362">
        <w:rPr>
          <w:rFonts w:eastAsia="Calibri"/>
        </w:rPr>
        <w:t>2)</w:t>
      </w:r>
      <w:r w:rsidRPr="003B4362">
        <w:rPr>
          <w:rFonts w:eastAsia="Calibri"/>
        </w:rPr>
        <w:tab/>
        <w:t>A supplier must request modification in writing, explaining the propriety of the modification and providing supporting documentation.</w:t>
      </w:r>
    </w:p>
    <w:p w14:paraId="3FEDD16C" w14:textId="77777777" w:rsidR="00E46816" w:rsidRDefault="00E46816" w:rsidP="00E46816">
      <w:pPr>
        <w:ind w:left="2160" w:hanging="720"/>
        <w:rPr>
          <w:rFonts w:eastAsia="Calibri"/>
        </w:rPr>
      </w:pPr>
    </w:p>
    <w:p w14:paraId="1EEFFD8B" w14:textId="53640A59" w:rsidR="00B50A91" w:rsidRPr="003B4362" w:rsidRDefault="00B50A91" w:rsidP="00E46816">
      <w:pPr>
        <w:ind w:left="2160" w:hanging="720"/>
        <w:rPr>
          <w:rFonts w:eastAsia="Calibri"/>
        </w:rPr>
      </w:pPr>
      <w:r w:rsidRPr="003B4362">
        <w:rPr>
          <w:rFonts w:eastAsia="Calibri"/>
        </w:rPr>
        <w:t>3)</w:t>
      </w:r>
      <w:r w:rsidRPr="003B4362">
        <w:rPr>
          <w:rFonts w:eastAsia="Calibri"/>
        </w:rPr>
        <w:tab/>
        <w:t xml:space="preserve">The Agency may modify its determination </w:t>
      </w:r>
      <w:r w:rsidRPr="003B4362">
        <w:rPr>
          <w:rFonts w:eastAsia="Calibri"/>
          <w:spacing w:val="-3"/>
        </w:rPr>
        <w:t xml:space="preserve">if </w:t>
      </w:r>
      <w:r w:rsidRPr="003B4362">
        <w:rPr>
          <w:rFonts w:eastAsia="Calibri"/>
        </w:rPr>
        <w:t xml:space="preserve">it determines that a change will ensure that the supplier continues optimizing corrosion control treatment.  A revised determination must give the new treatment </w:t>
      </w:r>
      <w:r w:rsidRPr="003B4362">
        <w:rPr>
          <w:rFonts w:eastAsia="Calibri"/>
        </w:rPr>
        <w:lastRenderedPageBreak/>
        <w:t>requirements, explain the basis for the Agency’s decision, and provide an implementation schedule for completing the treatment modifications.</w:t>
      </w:r>
    </w:p>
    <w:p w14:paraId="77CCEA83" w14:textId="77777777" w:rsidR="00E46816" w:rsidRDefault="00E46816" w:rsidP="00E46816">
      <w:pPr>
        <w:ind w:left="2160" w:hanging="720"/>
        <w:rPr>
          <w:rFonts w:eastAsia="Calibri"/>
        </w:rPr>
      </w:pPr>
    </w:p>
    <w:p w14:paraId="77DE740A" w14:textId="2187F4F4" w:rsidR="00B50A91" w:rsidRPr="003B4362" w:rsidRDefault="00B50A91" w:rsidP="00E46816">
      <w:pPr>
        <w:ind w:left="2160" w:hanging="720"/>
        <w:rPr>
          <w:rFonts w:eastAsia="Calibri"/>
        </w:rPr>
      </w:pPr>
      <w:r w:rsidRPr="003B4362">
        <w:rPr>
          <w:rFonts w:eastAsia="Calibri"/>
        </w:rPr>
        <w:t>4)</w:t>
      </w:r>
      <w:r w:rsidRPr="003B4362">
        <w:rPr>
          <w:rFonts w:eastAsia="Calibri"/>
        </w:rPr>
        <w:tab/>
        <w:t>Any interested person may submit information to the Agency bearing on whether the Agency should exercise its discretion and issue a SEP modifying its determination under subsection (h)(1).  An Agency determination not to act on information an interested person submits is not an Agency determination for the purposes of Sections 39 and 40 of the Act.</w:t>
      </w:r>
    </w:p>
    <w:p w14:paraId="3A442F15" w14:textId="77777777" w:rsidR="00E46816" w:rsidRDefault="00E46816" w:rsidP="00E46816">
      <w:pPr>
        <w:ind w:left="1440" w:hanging="720"/>
        <w:rPr>
          <w:rFonts w:eastAsia="Calibri"/>
        </w:rPr>
      </w:pPr>
    </w:p>
    <w:p w14:paraId="2C16ACD4" w14:textId="0B4D946F" w:rsidR="00B50A91" w:rsidRPr="003B4362" w:rsidRDefault="00B50A91" w:rsidP="00E46816">
      <w:pPr>
        <w:ind w:left="1440" w:hanging="720"/>
        <w:rPr>
          <w:rFonts w:eastAsia="Calibri"/>
        </w:rPr>
      </w:pPr>
      <w:r w:rsidRPr="003B4362">
        <w:rPr>
          <w:rFonts w:eastAsia="Calibri"/>
        </w:rPr>
        <w:t>i)</w:t>
      </w:r>
      <w:r w:rsidRPr="003B4362">
        <w:rPr>
          <w:rFonts w:eastAsia="Calibri"/>
        </w:rPr>
        <w:tab/>
        <w:t>USEPA Treatment Decisions.  Under 40 CFR 142.19, USEPA reserves the prerogative to review Agency treatment determinations under subsections (d), (f), or (h) and issue federal treatment determinations consistent with 40 CFR 141.82(d), (e), or (h)</w:t>
      </w:r>
      <w:r w:rsidR="00D15B76" w:rsidRPr="003B4362">
        <w:rPr>
          <w:rFonts w:eastAsia="Calibri"/>
        </w:rPr>
        <w:t xml:space="preserve"> (2020)</w:t>
      </w:r>
      <w:r w:rsidRPr="003B4362">
        <w:rPr>
          <w:rFonts w:eastAsia="Calibri"/>
        </w:rPr>
        <w:t xml:space="preserve"> </w:t>
      </w:r>
      <w:r w:rsidRPr="003B4362">
        <w:rPr>
          <w:rFonts w:eastAsia="Calibri"/>
          <w:spacing w:val="-3"/>
        </w:rPr>
        <w:t xml:space="preserve">if USEPA </w:t>
      </w:r>
      <w:r w:rsidRPr="003B4362">
        <w:rPr>
          <w:rFonts w:eastAsia="Calibri"/>
        </w:rPr>
        <w:t>finds that certain conditions exist:</w:t>
      </w:r>
    </w:p>
    <w:p w14:paraId="7369A0C7" w14:textId="77777777" w:rsidR="00E46816" w:rsidRDefault="00E46816" w:rsidP="00E46816">
      <w:pPr>
        <w:ind w:left="2160" w:hanging="720"/>
        <w:rPr>
          <w:rFonts w:eastAsia="Calibri"/>
        </w:rPr>
      </w:pPr>
    </w:p>
    <w:p w14:paraId="7CF10AF7" w14:textId="64CEFA6A" w:rsidR="00B50A91" w:rsidRPr="003B4362" w:rsidRDefault="00B50A91" w:rsidP="00E46816">
      <w:pPr>
        <w:ind w:left="2160" w:hanging="720"/>
        <w:rPr>
          <w:rFonts w:eastAsia="Calibri"/>
        </w:rPr>
      </w:pPr>
      <w:r w:rsidRPr="003B4362">
        <w:rPr>
          <w:rFonts w:eastAsia="Calibri"/>
        </w:rPr>
        <w:t>1)</w:t>
      </w:r>
      <w:r w:rsidRPr="003B4362">
        <w:rPr>
          <w:rFonts w:eastAsia="Calibri"/>
        </w:rPr>
        <w:tab/>
        <w:t>The Agency fails to issue a treatment determination by the applicable deadlines in Section 611.1351 (corresponding with 40 CFR 141.81</w:t>
      </w:r>
      <w:r w:rsidR="00D15B76" w:rsidRPr="003B4362">
        <w:rPr>
          <w:rFonts w:eastAsia="Calibri"/>
        </w:rPr>
        <w:t xml:space="preserve"> (2020)</w:t>
      </w:r>
      <w:r w:rsidRPr="003B4362">
        <w:rPr>
          <w:rFonts w:eastAsia="Calibri"/>
        </w:rPr>
        <w:t>);</w:t>
      </w:r>
    </w:p>
    <w:p w14:paraId="4ADDC6DB" w14:textId="77777777" w:rsidR="00E46816" w:rsidRDefault="00E46816" w:rsidP="00E46816">
      <w:pPr>
        <w:ind w:left="2160" w:hanging="720"/>
        <w:rPr>
          <w:rFonts w:eastAsia="Calibri"/>
        </w:rPr>
      </w:pPr>
    </w:p>
    <w:p w14:paraId="463EB0A6" w14:textId="3649DE31" w:rsidR="00B50A91" w:rsidRPr="003B4362" w:rsidRDefault="00B50A91" w:rsidP="00E46816">
      <w:pPr>
        <w:ind w:left="2160" w:hanging="720"/>
        <w:rPr>
          <w:rFonts w:eastAsia="Calibri"/>
        </w:rPr>
      </w:pPr>
      <w:r w:rsidRPr="003B4362">
        <w:rPr>
          <w:rFonts w:eastAsia="Calibri"/>
        </w:rPr>
        <w:t>2)</w:t>
      </w:r>
      <w:r w:rsidRPr="003B4362">
        <w:rPr>
          <w:rFonts w:eastAsia="Calibri"/>
        </w:rPr>
        <w:tab/>
        <w:t>The Agency abuses its discretion in a substantial number of instances or in instances affecting a substantial population; or</w:t>
      </w:r>
    </w:p>
    <w:p w14:paraId="7FF64921" w14:textId="77777777" w:rsidR="00E46816" w:rsidRDefault="00E46816" w:rsidP="00E46816">
      <w:pPr>
        <w:ind w:left="2160" w:hanging="720"/>
        <w:rPr>
          <w:rFonts w:eastAsia="Calibri"/>
        </w:rPr>
      </w:pPr>
    </w:p>
    <w:p w14:paraId="6E0BA126" w14:textId="39229D38" w:rsidR="00B50A91" w:rsidRPr="003B4362" w:rsidRDefault="00B50A91" w:rsidP="00E46816">
      <w:pPr>
        <w:ind w:left="2160" w:hanging="720"/>
        <w:rPr>
          <w:rFonts w:eastAsia="Calibri"/>
        </w:rPr>
      </w:pPr>
      <w:r w:rsidRPr="003B4362">
        <w:rPr>
          <w:rFonts w:eastAsia="Calibri"/>
        </w:rPr>
        <w:t>3)</w:t>
      </w:r>
      <w:r w:rsidRPr="003B4362">
        <w:rPr>
          <w:rFonts w:eastAsia="Calibri"/>
        </w:rPr>
        <w:tab/>
        <w:t>The technical aspects of the Agency’s determination would be indefensible in a federal enforcement action taken against the supplier.</w:t>
      </w:r>
    </w:p>
    <w:p w14:paraId="5AF7E4EF" w14:textId="77777777" w:rsidR="00E46816" w:rsidRDefault="00E46816" w:rsidP="00E46816">
      <w:pPr>
        <w:rPr>
          <w:rFonts w:eastAsia="Calibri"/>
        </w:rPr>
      </w:pPr>
    </w:p>
    <w:p w14:paraId="4F322EA2" w14:textId="26606463" w:rsidR="00B50A91" w:rsidRPr="003B4362" w:rsidRDefault="00B50A91" w:rsidP="00E46816">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611.1352 and </w:t>
      </w:r>
      <w:r w:rsidRPr="003B4362">
        <w:rPr>
          <w:rFonts w:eastAsia="Calibri"/>
          <w:spacing w:val="-3"/>
        </w:rPr>
        <w:t xml:space="preserve">derives </w:t>
      </w:r>
      <w:r w:rsidRPr="003B4362">
        <w:rPr>
          <w:rFonts w:eastAsia="Calibri"/>
        </w:rPr>
        <w:t>from 40 CFR 141.82</w:t>
      </w:r>
      <w:r w:rsidR="00D15B76" w:rsidRPr="003B4362">
        <w:rPr>
          <w:rFonts w:eastAsia="Calibri"/>
        </w:rPr>
        <w:t xml:space="preserve"> (2020)</w:t>
      </w:r>
      <w:r w:rsidRPr="003B4362">
        <w:rPr>
          <w:rFonts w:eastAsia="Calibri"/>
        </w:rPr>
        <w:t>.</w:t>
      </w:r>
    </w:p>
    <w:p w14:paraId="40BE34AA" w14:textId="77777777" w:rsidR="00E46816" w:rsidRDefault="00E46816" w:rsidP="00E46816">
      <w:pPr>
        <w:suppressAutoHyphens/>
        <w:ind w:left="720"/>
        <w:rPr>
          <w:rFonts w:eastAsia="Calibri"/>
        </w:rPr>
      </w:pPr>
    </w:p>
    <w:p w14:paraId="5333D232" w14:textId="09DB539F" w:rsidR="00B50A91" w:rsidRDefault="00EB353D" w:rsidP="00E46816">
      <w:pPr>
        <w:suppressAutoHyphens/>
        <w:ind w:left="720"/>
        <w:rPr>
          <w:rFonts w:eastAsia="Calibri"/>
        </w:rPr>
      </w:pPr>
      <w:r w:rsidRPr="003B4362">
        <w:rPr>
          <w:rFonts w:eastAsia="Calibri"/>
        </w:rPr>
        <w:t>(Source:  A</w:t>
      </w:r>
      <w:r w:rsidR="00B65583"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3E23BC1A" w14:textId="77777777" w:rsidR="005605D6" w:rsidRPr="003B4362" w:rsidRDefault="005605D6" w:rsidP="00E46816">
      <w:pPr>
        <w:suppressAutoHyphens/>
        <w:ind w:left="720"/>
        <w:rPr>
          <w:rFonts w:eastAsia="Calibri"/>
        </w:rPr>
      </w:pPr>
    </w:p>
    <w:p w14:paraId="06139DBC" w14:textId="77777777" w:rsidR="00B50A91" w:rsidRPr="003B4362" w:rsidRDefault="00B50A91" w:rsidP="00E46816">
      <w:pPr>
        <w:rPr>
          <w:rFonts w:eastAsia="Calibri"/>
          <w:b/>
          <w:bCs/>
        </w:rPr>
      </w:pPr>
      <w:r w:rsidRPr="003B4362">
        <w:rPr>
          <w:rFonts w:eastAsia="Calibri"/>
          <w:b/>
          <w:bCs/>
        </w:rPr>
        <w:t>Section 611.1353  Source Water Treatment</w:t>
      </w:r>
    </w:p>
    <w:p w14:paraId="06A5129E" w14:textId="77777777" w:rsidR="00E46816" w:rsidRDefault="00E46816" w:rsidP="00E46816">
      <w:pPr>
        <w:rPr>
          <w:rFonts w:eastAsia="Calibri"/>
        </w:rPr>
      </w:pPr>
    </w:p>
    <w:p w14:paraId="3996F968" w14:textId="27E7E767" w:rsidR="00B50A91" w:rsidRPr="003B4362" w:rsidRDefault="00B50A91" w:rsidP="00E46816">
      <w:pPr>
        <w:rPr>
          <w:rFonts w:eastAsia="Calibri"/>
        </w:rPr>
      </w:pPr>
      <w:r w:rsidRPr="003B4362">
        <w:rPr>
          <w:rFonts w:eastAsia="Calibri"/>
        </w:rPr>
        <w:t>A supplier must complete source water monitoring and treatment requirements (under subsection (b) and Sections 611.1356 and 611.1358) before specific deadlines.</w:t>
      </w:r>
    </w:p>
    <w:p w14:paraId="62DD95C9" w14:textId="77777777" w:rsidR="00E46816" w:rsidRDefault="00E46816" w:rsidP="00E46816">
      <w:pPr>
        <w:ind w:left="1440" w:hanging="720"/>
        <w:rPr>
          <w:rFonts w:eastAsia="Calibri"/>
        </w:rPr>
      </w:pPr>
    </w:p>
    <w:p w14:paraId="6FEAE8E3" w14:textId="05C7F3B8" w:rsidR="00B50A91" w:rsidRPr="003B4362" w:rsidRDefault="00B50A91" w:rsidP="00E46816">
      <w:pPr>
        <w:ind w:left="1440" w:hanging="720"/>
        <w:rPr>
          <w:rFonts w:eastAsia="Calibri"/>
        </w:rPr>
      </w:pPr>
      <w:r w:rsidRPr="003B4362">
        <w:rPr>
          <w:rFonts w:eastAsia="Calibri"/>
        </w:rPr>
        <w:t>a)</w:t>
      </w:r>
      <w:r w:rsidRPr="003B4362">
        <w:rPr>
          <w:rFonts w:eastAsia="Calibri"/>
        </w:rPr>
        <w:tab/>
        <w:t>Deadlines for Completing Source Water Treatment Steps</w:t>
      </w:r>
    </w:p>
    <w:p w14:paraId="3E60C9E7" w14:textId="77777777" w:rsidR="00E46816" w:rsidRDefault="00E46816" w:rsidP="00E46816">
      <w:pPr>
        <w:ind w:left="2160" w:hanging="720"/>
        <w:rPr>
          <w:rFonts w:eastAsia="Calibri"/>
        </w:rPr>
      </w:pPr>
    </w:p>
    <w:p w14:paraId="21F55210" w14:textId="69C825D8" w:rsidR="00B50A91" w:rsidRPr="003B4362" w:rsidRDefault="00B50A91" w:rsidP="00E46816">
      <w:pPr>
        <w:ind w:left="2160" w:hanging="720"/>
        <w:rPr>
          <w:rFonts w:eastAsia="Calibri"/>
        </w:rPr>
      </w:pPr>
      <w:r w:rsidRPr="003B4362">
        <w:rPr>
          <w:rFonts w:eastAsia="Calibri"/>
        </w:rPr>
        <w:t>1)</w:t>
      </w:r>
      <w:r w:rsidRPr="003B4362">
        <w:rPr>
          <w:rFonts w:eastAsia="Calibri"/>
        </w:rPr>
        <w:tab/>
        <w:t xml:space="preserve">Step 1:  A supplier exceeding the lead or copper action level must complete lead and copper and source water monitoring (under Section 611.1358(b)) and </w:t>
      </w:r>
      <w:bookmarkStart w:id="4542" w:name="_Hlk115799231"/>
      <w:r w:rsidRPr="003B4362">
        <w:rPr>
          <w:rFonts w:eastAsia="Calibri"/>
        </w:rPr>
        <w:t xml:space="preserve">recommend treatment </w:t>
      </w:r>
      <w:bookmarkEnd w:id="4542"/>
      <w:r w:rsidRPr="003B4362">
        <w:rPr>
          <w:rFonts w:eastAsia="Calibri"/>
        </w:rPr>
        <w:t xml:space="preserve">to the Agency (under subsection (b)(1)) within 180 days after the end of the </w:t>
      </w:r>
      <w:r w:rsidR="00150822" w:rsidRPr="003B4362">
        <w:rPr>
          <w:rFonts w:eastAsia="Calibri"/>
        </w:rPr>
        <w:t xml:space="preserve">tap </w:t>
      </w:r>
      <w:r w:rsidRPr="003B4362">
        <w:rPr>
          <w:rFonts w:eastAsia="Calibri"/>
        </w:rPr>
        <w:t>monitoring period during which the supplier exceeded the action level.</w:t>
      </w:r>
    </w:p>
    <w:p w14:paraId="6B4FBD56" w14:textId="77777777" w:rsidR="00E46816" w:rsidRDefault="00E46816" w:rsidP="00E46816">
      <w:pPr>
        <w:ind w:left="2160" w:hanging="720"/>
        <w:rPr>
          <w:rFonts w:eastAsia="Calibri"/>
        </w:rPr>
      </w:pPr>
    </w:p>
    <w:p w14:paraId="5B5A048E" w14:textId="222E751E" w:rsidR="00B50A91" w:rsidRPr="003B4362" w:rsidRDefault="00B50A91" w:rsidP="00E46816">
      <w:pPr>
        <w:ind w:left="2160" w:hanging="720"/>
        <w:rPr>
          <w:rFonts w:eastAsia="Calibri"/>
        </w:rPr>
      </w:pPr>
      <w:r w:rsidRPr="003B4362">
        <w:rPr>
          <w:rFonts w:eastAsia="Calibri"/>
        </w:rPr>
        <w:lastRenderedPageBreak/>
        <w:t>2)</w:t>
      </w:r>
      <w:r w:rsidRPr="003B4362">
        <w:rPr>
          <w:rFonts w:eastAsia="Calibri"/>
        </w:rPr>
        <w:tab/>
        <w:t>Step 2:  The Agency must issue a SEP determining source water treatment (under subsection (b)(2)) within six months after the supplier submits monitoring results under step 1.</w:t>
      </w:r>
    </w:p>
    <w:p w14:paraId="6E0B46C8" w14:textId="77777777" w:rsidR="00E46816" w:rsidRDefault="00E46816" w:rsidP="00E46816">
      <w:pPr>
        <w:ind w:left="2160" w:hanging="720"/>
        <w:rPr>
          <w:rFonts w:eastAsia="Calibri"/>
        </w:rPr>
      </w:pPr>
    </w:p>
    <w:p w14:paraId="276DA623" w14:textId="6D1F8A58" w:rsidR="00B50A91" w:rsidRPr="003B4362" w:rsidRDefault="00B50A91" w:rsidP="00E46816">
      <w:pPr>
        <w:ind w:left="2160" w:hanging="720"/>
        <w:rPr>
          <w:rFonts w:eastAsia="Calibri"/>
        </w:rPr>
      </w:pPr>
      <w:r w:rsidRPr="003B4362">
        <w:rPr>
          <w:rFonts w:eastAsia="Calibri"/>
        </w:rPr>
        <w:t>3)</w:t>
      </w:r>
      <w:r w:rsidRPr="003B4362">
        <w:rPr>
          <w:rFonts w:eastAsia="Calibri"/>
        </w:rPr>
        <w:tab/>
        <w:t xml:space="preserve">Step 3:  If the Agency requires </w:t>
      </w:r>
      <w:r w:rsidR="00A62B08" w:rsidRPr="003B4362">
        <w:rPr>
          <w:rFonts w:eastAsia="Calibri"/>
        </w:rPr>
        <w:t xml:space="preserve">installing </w:t>
      </w:r>
      <w:r w:rsidRPr="003B4362">
        <w:rPr>
          <w:rFonts w:eastAsia="Calibri"/>
        </w:rPr>
        <w:t>source water treatment, the supplier must install that treatment (under subsection (b)(3)) within 24 months after the Agency completes step 2.</w:t>
      </w:r>
    </w:p>
    <w:p w14:paraId="496A8DFC" w14:textId="77777777" w:rsidR="00E46816" w:rsidRDefault="00E46816" w:rsidP="00E46816">
      <w:pPr>
        <w:ind w:left="2160" w:hanging="720"/>
        <w:rPr>
          <w:rFonts w:eastAsia="Calibri"/>
        </w:rPr>
      </w:pPr>
    </w:p>
    <w:p w14:paraId="348B4B6E" w14:textId="41A74764" w:rsidR="00B50A91" w:rsidRPr="003B4362" w:rsidRDefault="00B50A91" w:rsidP="00E46816">
      <w:pPr>
        <w:ind w:left="2160" w:hanging="720"/>
        <w:rPr>
          <w:rFonts w:eastAsia="Calibri"/>
        </w:rPr>
      </w:pPr>
      <w:r w:rsidRPr="003B4362">
        <w:rPr>
          <w:rFonts w:eastAsia="Calibri"/>
        </w:rPr>
        <w:t>4)</w:t>
      </w:r>
      <w:r w:rsidRPr="003B4362">
        <w:rPr>
          <w:rFonts w:eastAsia="Calibri"/>
        </w:rPr>
        <w:tab/>
        <w:t>Step 4: The supplier must complete follow-up tap water monitoring (under Section 611.1356(d)(2)) and source water monitoring (under Section 611.1358(c)) within 36 months after completion of step 2.</w:t>
      </w:r>
    </w:p>
    <w:p w14:paraId="0334F2A1" w14:textId="77777777" w:rsidR="00E46816" w:rsidRDefault="00E46816" w:rsidP="00E46816">
      <w:pPr>
        <w:ind w:left="2160" w:hanging="720"/>
        <w:rPr>
          <w:rFonts w:eastAsia="Calibri"/>
        </w:rPr>
      </w:pPr>
    </w:p>
    <w:p w14:paraId="5ED99612" w14:textId="17D5E167" w:rsidR="00B50A91" w:rsidRPr="003B4362" w:rsidRDefault="00B50A91" w:rsidP="00E46816">
      <w:pPr>
        <w:ind w:left="2160" w:hanging="720"/>
        <w:rPr>
          <w:rFonts w:eastAsia="Calibri"/>
        </w:rPr>
      </w:pPr>
      <w:r w:rsidRPr="003B4362">
        <w:rPr>
          <w:rFonts w:eastAsia="Calibri"/>
        </w:rPr>
        <w:t>5)</w:t>
      </w:r>
      <w:r w:rsidRPr="003B4362">
        <w:rPr>
          <w:rFonts w:eastAsia="Calibri"/>
        </w:rPr>
        <w:tab/>
        <w:t>Step 5: The Agency must issue a SEP reviewing the supplier’s installation and operation of source water treatment and specify MPCs for lead and copper (under subsection (b)(4)) within six months after the Agency completes step 4.</w:t>
      </w:r>
    </w:p>
    <w:p w14:paraId="1942D158" w14:textId="77777777" w:rsidR="00E46816" w:rsidRDefault="00E46816" w:rsidP="00E46816">
      <w:pPr>
        <w:ind w:left="2160" w:hanging="720"/>
        <w:rPr>
          <w:rFonts w:eastAsia="Calibri"/>
        </w:rPr>
      </w:pPr>
    </w:p>
    <w:p w14:paraId="5C5F2BF2" w14:textId="214CC589" w:rsidR="00B50A91" w:rsidRPr="003B4362" w:rsidRDefault="00B50A91" w:rsidP="00E46816">
      <w:pPr>
        <w:ind w:left="2160" w:hanging="720"/>
        <w:rPr>
          <w:rFonts w:eastAsia="Calibri"/>
        </w:rPr>
      </w:pPr>
      <w:r w:rsidRPr="003B4362">
        <w:rPr>
          <w:rFonts w:eastAsia="Calibri"/>
        </w:rPr>
        <w:t>6)</w:t>
      </w:r>
      <w:r w:rsidRPr="003B4362">
        <w:rPr>
          <w:rFonts w:eastAsia="Calibri"/>
        </w:rPr>
        <w:tab/>
        <w:t>Step 6: The supplier must comply with the Agency-specified lead and copper MPCs (under subsection (b)(4)) and continue source water monitoring (under Section 611.1358(d)).</w:t>
      </w:r>
    </w:p>
    <w:p w14:paraId="68390633" w14:textId="77777777" w:rsidR="00E46816" w:rsidRDefault="00E46816" w:rsidP="00E46816">
      <w:pPr>
        <w:widowControl w:val="0"/>
        <w:ind w:left="1440" w:hanging="720"/>
        <w:rPr>
          <w:rFonts w:eastAsia="Calibri"/>
        </w:rPr>
      </w:pPr>
    </w:p>
    <w:p w14:paraId="4A25C2F9" w14:textId="3365ECC5" w:rsidR="00B50A91" w:rsidRPr="003B4362" w:rsidRDefault="00B50A91" w:rsidP="00E46816">
      <w:pPr>
        <w:widowControl w:val="0"/>
        <w:ind w:left="1440" w:hanging="720"/>
        <w:rPr>
          <w:rFonts w:eastAsia="Calibri"/>
        </w:rPr>
      </w:pPr>
      <w:r w:rsidRPr="003B4362">
        <w:rPr>
          <w:rFonts w:eastAsia="Calibri"/>
        </w:rPr>
        <w:t>b)</w:t>
      </w:r>
      <w:r w:rsidRPr="003B4362">
        <w:rPr>
          <w:rFonts w:eastAsia="Calibri"/>
        </w:rPr>
        <w:tab/>
        <w:t>Source Water Treatment Requirements</w:t>
      </w:r>
    </w:p>
    <w:p w14:paraId="66A7CA78" w14:textId="77777777" w:rsidR="00E46816" w:rsidRDefault="00E46816" w:rsidP="00E46816">
      <w:pPr>
        <w:ind w:left="2160" w:hanging="720"/>
        <w:rPr>
          <w:rFonts w:eastAsia="Calibri"/>
        </w:rPr>
      </w:pPr>
    </w:p>
    <w:p w14:paraId="25B59F0E" w14:textId="6EAFBB0D" w:rsidR="00B50A91" w:rsidRPr="003B4362" w:rsidRDefault="00B50A91" w:rsidP="00E46816">
      <w:pPr>
        <w:ind w:left="2160" w:hanging="720"/>
        <w:rPr>
          <w:rFonts w:eastAsia="Calibri"/>
        </w:rPr>
      </w:pPr>
      <w:r w:rsidRPr="003B4362">
        <w:rPr>
          <w:rFonts w:eastAsia="Calibri"/>
        </w:rPr>
        <w:t>1)</w:t>
      </w:r>
      <w:r w:rsidRPr="003B4362">
        <w:rPr>
          <w:rFonts w:eastAsia="Calibri"/>
        </w:rPr>
        <w:tab/>
        <w:t xml:space="preserve">System Treatment Recommendation.  Any supplier exceeding the lead or copper action level must recommend to the Agency in writing one of the source water treatments in subsection (b)(2).  A supplier may recommend </w:t>
      </w:r>
      <w:r w:rsidR="00A62B08" w:rsidRPr="003B4362">
        <w:rPr>
          <w:rFonts w:eastAsia="Calibri"/>
        </w:rPr>
        <w:t xml:space="preserve">installing </w:t>
      </w:r>
      <w:r w:rsidRPr="003B4362">
        <w:rPr>
          <w:rFonts w:eastAsia="Calibri"/>
        </w:rPr>
        <w:t>no treatment based on a demonstration that source water treatment is not necessary to minimize lead and copper levels at users’ taps.</w:t>
      </w:r>
    </w:p>
    <w:p w14:paraId="3E3230EC" w14:textId="77777777" w:rsidR="00E46816" w:rsidRDefault="00E46816" w:rsidP="00E46816">
      <w:pPr>
        <w:ind w:left="2160" w:hanging="720"/>
        <w:rPr>
          <w:rFonts w:eastAsia="Calibri"/>
        </w:rPr>
      </w:pPr>
    </w:p>
    <w:p w14:paraId="43A39256" w14:textId="4E0F5B66" w:rsidR="00B50A91" w:rsidRPr="003B4362" w:rsidRDefault="00B50A91" w:rsidP="00E46816">
      <w:pPr>
        <w:ind w:left="2160" w:hanging="720"/>
        <w:rPr>
          <w:rFonts w:eastAsia="Calibri"/>
        </w:rPr>
      </w:pPr>
      <w:r w:rsidRPr="003B4362">
        <w:rPr>
          <w:rFonts w:eastAsia="Calibri"/>
        </w:rPr>
        <w:t>2)</w:t>
      </w:r>
      <w:r w:rsidRPr="003B4362">
        <w:rPr>
          <w:rFonts w:eastAsia="Calibri"/>
        </w:rPr>
        <w:tab/>
        <w:t>Agency Determination Regarding Source Water Treatment</w:t>
      </w:r>
    </w:p>
    <w:p w14:paraId="535B6A18" w14:textId="77777777" w:rsidR="00E46816" w:rsidRDefault="00E46816" w:rsidP="00E46816">
      <w:pPr>
        <w:ind w:left="2880" w:hanging="720"/>
        <w:rPr>
          <w:rFonts w:eastAsia="Calibri"/>
        </w:rPr>
      </w:pPr>
    </w:p>
    <w:p w14:paraId="7531B432" w14:textId="268B918C" w:rsidR="00B50A91" w:rsidRPr="003B4362" w:rsidRDefault="00B50A91" w:rsidP="00E46816">
      <w:pPr>
        <w:ind w:left="2880" w:hanging="720"/>
        <w:rPr>
          <w:rFonts w:eastAsia="Calibri"/>
        </w:rPr>
      </w:pPr>
      <w:r w:rsidRPr="003B4362">
        <w:rPr>
          <w:rFonts w:eastAsia="Calibri"/>
        </w:rPr>
        <w:t>A)</w:t>
      </w:r>
      <w:r w:rsidRPr="003B4362">
        <w:rPr>
          <w:rFonts w:eastAsia="Calibri"/>
        </w:rPr>
        <w:tab/>
        <w:t>The Agency must evaluate the results of all source water samples the supplier submitted to determine whether source water treatment is necessary to minimize lead or copper levels in water the supplier delivers to users’ taps.</w:t>
      </w:r>
    </w:p>
    <w:p w14:paraId="6A573DDB" w14:textId="77777777" w:rsidR="00E46816" w:rsidRDefault="00E46816" w:rsidP="00E46816">
      <w:pPr>
        <w:ind w:left="2880" w:hanging="720"/>
        <w:rPr>
          <w:rFonts w:eastAsia="Calibri"/>
        </w:rPr>
      </w:pPr>
    </w:p>
    <w:p w14:paraId="0EDAE2E5" w14:textId="75020A6F" w:rsidR="00B50A91" w:rsidRPr="003B4362" w:rsidRDefault="00B50A91" w:rsidP="00E46816">
      <w:pPr>
        <w:ind w:left="2880" w:hanging="720"/>
        <w:rPr>
          <w:rFonts w:eastAsia="Calibri"/>
        </w:rPr>
      </w:pPr>
      <w:r w:rsidRPr="003B4362">
        <w:rPr>
          <w:rFonts w:eastAsia="Calibri"/>
        </w:rPr>
        <w:t>B)</w:t>
      </w:r>
      <w:r w:rsidRPr="003B4362">
        <w:rPr>
          <w:rFonts w:eastAsia="Calibri"/>
        </w:rPr>
        <w:tab/>
        <w:t>If the Agency determines treatment necessary, the Agency must issue a SEP requiring the supplier to install and operate either the source water treatment the supplier recommended (if any) or another from among specific source water treatment techniques:</w:t>
      </w:r>
    </w:p>
    <w:p w14:paraId="2F34F558" w14:textId="77777777" w:rsidR="00E46816" w:rsidRDefault="00E46816" w:rsidP="00E46816">
      <w:pPr>
        <w:ind w:left="2880"/>
        <w:rPr>
          <w:rFonts w:eastAsia="Calibri"/>
        </w:rPr>
      </w:pPr>
    </w:p>
    <w:p w14:paraId="7E3F2110" w14:textId="2FECEC60" w:rsidR="00B50A91" w:rsidRPr="003B4362" w:rsidRDefault="00B50A91" w:rsidP="00E46816">
      <w:pPr>
        <w:ind w:left="2880"/>
        <w:rPr>
          <w:rFonts w:eastAsia="Calibri"/>
        </w:rPr>
      </w:pPr>
      <w:r w:rsidRPr="003B4362">
        <w:rPr>
          <w:rFonts w:eastAsia="Calibri"/>
        </w:rPr>
        <w:t>i)</w:t>
      </w:r>
      <w:r w:rsidRPr="003B4362">
        <w:rPr>
          <w:rFonts w:eastAsia="Calibri"/>
        </w:rPr>
        <w:tab/>
        <w:t>ion exchange;</w:t>
      </w:r>
    </w:p>
    <w:p w14:paraId="4333527A" w14:textId="77777777" w:rsidR="00E46816" w:rsidRDefault="00E46816" w:rsidP="00E46816">
      <w:pPr>
        <w:ind w:left="2880"/>
        <w:rPr>
          <w:rFonts w:eastAsia="Calibri"/>
        </w:rPr>
      </w:pPr>
    </w:p>
    <w:p w14:paraId="56E453A7" w14:textId="1DB4FBF9" w:rsidR="00B50A91" w:rsidRPr="003B4362" w:rsidRDefault="00B50A91" w:rsidP="00E46816">
      <w:pPr>
        <w:ind w:left="2880"/>
        <w:rPr>
          <w:rFonts w:eastAsia="Calibri"/>
        </w:rPr>
      </w:pPr>
      <w:r w:rsidRPr="003B4362">
        <w:rPr>
          <w:rFonts w:eastAsia="Calibri"/>
        </w:rPr>
        <w:t>ii)</w:t>
      </w:r>
      <w:r w:rsidRPr="003B4362">
        <w:rPr>
          <w:rFonts w:eastAsia="Calibri"/>
        </w:rPr>
        <w:tab/>
        <w:t>reverse osmosis;</w:t>
      </w:r>
    </w:p>
    <w:p w14:paraId="6ABF217E" w14:textId="77777777" w:rsidR="00E46816" w:rsidRDefault="00E46816" w:rsidP="00E46816">
      <w:pPr>
        <w:ind w:left="2880"/>
        <w:rPr>
          <w:rFonts w:eastAsia="Calibri"/>
        </w:rPr>
      </w:pPr>
    </w:p>
    <w:p w14:paraId="106A1CCA" w14:textId="22EFF60D" w:rsidR="00B50A91" w:rsidRPr="003B4362" w:rsidRDefault="00B50A91" w:rsidP="00E46816">
      <w:pPr>
        <w:ind w:left="2880"/>
        <w:rPr>
          <w:rFonts w:eastAsia="Calibri"/>
        </w:rPr>
      </w:pPr>
      <w:r w:rsidRPr="003B4362">
        <w:rPr>
          <w:rFonts w:eastAsia="Calibri"/>
        </w:rPr>
        <w:t>iii)</w:t>
      </w:r>
      <w:r w:rsidRPr="003B4362">
        <w:rPr>
          <w:rFonts w:eastAsia="Calibri"/>
        </w:rPr>
        <w:tab/>
        <w:t>lime softening;</w:t>
      </w:r>
      <w:r w:rsidRPr="003B4362">
        <w:rPr>
          <w:rFonts w:eastAsia="Calibri"/>
          <w:spacing w:val="-3"/>
        </w:rPr>
        <w:t xml:space="preserve"> or</w:t>
      </w:r>
    </w:p>
    <w:p w14:paraId="3A813B2B" w14:textId="77777777" w:rsidR="00E46816" w:rsidRDefault="00E46816" w:rsidP="00E46816">
      <w:pPr>
        <w:ind w:left="2880"/>
        <w:rPr>
          <w:rFonts w:eastAsia="Calibri"/>
        </w:rPr>
      </w:pPr>
    </w:p>
    <w:p w14:paraId="51DF332B" w14:textId="4174D7A2" w:rsidR="00B50A91" w:rsidRPr="003B4362" w:rsidRDefault="00B50A91" w:rsidP="00E46816">
      <w:pPr>
        <w:ind w:left="2880"/>
        <w:rPr>
          <w:rFonts w:eastAsia="Calibri"/>
        </w:rPr>
      </w:pPr>
      <w:r w:rsidRPr="003B4362">
        <w:rPr>
          <w:rFonts w:eastAsia="Calibri"/>
        </w:rPr>
        <w:t>iv)</w:t>
      </w:r>
      <w:r w:rsidRPr="003B4362">
        <w:rPr>
          <w:rFonts w:eastAsia="Calibri"/>
        </w:rPr>
        <w:tab/>
        <w:t>coagulation/filtration.</w:t>
      </w:r>
    </w:p>
    <w:p w14:paraId="2880329D" w14:textId="77777777" w:rsidR="00E46816" w:rsidRDefault="00E46816" w:rsidP="00E46816">
      <w:pPr>
        <w:ind w:left="2880" w:hanging="720"/>
        <w:rPr>
          <w:rFonts w:eastAsia="Calibri"/>
        </w:rPr>
      </w:pPr>
    </w:p>
    <w:p w14:paraId="7ABAE4E4" w14:textId="0AC7A7E2" w:rsidR="00B50A91" w:rsidRPr="003B4362" w:rsidRDefault="00B50A91" w:rsidP="00E46816">
      <w:pPr>
        <w:ind w:left="2880" w:hanging="720"/>
        <w:rPr>
          <w:rFonts w:eastAsia="Calibri"/>
        </w:rPr>
      </w:pPr>
      <w:r w:rsidRPr="003B4362">
        <w:rPr>
          <w:rFonts w:eastAsia="Calibri"/>
        </w:rPr>
        <w:t>C)</w:t>
      </w:r>
      <w:r w:rsidRPr="003B4362">
        <w:rPr>
          <w:rFonts w:eastAsia="Calibri"/>
        </w:rPr>
        <w:tab/>
        <w:t>The Agency may require the supplier to submit, on or before a certain date, any additional information as the Agency determines is necessary to aid its review.</w:t>
      </w:r>
    </w:p>
    <w:p w14:paraId="1B145D9F" w14:textId="77777777" w:rsidR="00E46816" w:rsidRDefault="00E46816" w:rsidP="00E46816">
      <w:pPr>
        <w:ind w:left="2880" w:hanging="720"/>
        <w:rPr>
          <w:rFonts w:eastAsia="Calibri"/>
        </w:rPr>
      </w:pPr>
    </w:p>
    <w:p w14:paraId="6EEBEAB9" w14:textId="59227CA3" w:rsidR="00B50A91" w:rsidRPr="003B4362" w:rsidRDefault="00B50A91" w:rsidP="00E46816">
      <w:pPr>
        <w:ind w:left="2880" w:hanging="720"/>
        <w:rPr>
          <w:rFonts w:eastAsia="Calibri"/>
        </w:rPr>
      </w:pPr>
      <w:r w:rsidRPr="003B4362">
        <w:rPr>
          <w:rFonts w:eastAsia="Calibri"/>
        </w:rPr>
        <w:t>D)</w:t>
      </w:r>
      <w:r w:rsidRPr="003B4362">
        <w:rPr>
          <w:rFonts w:eastAsia="Calibri"/>
        </w:rPr>
        <w:tab/>
        <w:t>The Agency must notify the supplier in writing of its determination, stating the basis for its decision.</w:t>
      </w:r>
    </w:p>
    <w:p w14:paraId="14556B74" w14:textId="77777777" w:rsidR="00E46816" w:rsidRDefault="00E46816" w:rsidP="00E46816">
      <w:pPr>
        <w:ind w:left="2160" w:hanging="720"/>
        <w:rPr>
          <w:rFonts w:eastAsia="Calibri"/>
        </w:rPr>
      </w:pPr>
    </w:p>
    <w:p w14:paraId="6B98AAA0" w14:textId="77585F85" w:rsidR="00B50A91" w:rsidRPr="003B4362" w:rsidRDefault="00B50A91" w:rsidP="00E46816">
      <w:pPr>
        <w:ind w:left="2160" w:hanging="720"/>
        <w:rPr>
          <w:rFonts w:eastAsia="Calibri"/>
        </w:rPr>
      </w:pPr>
      <w:r w:rsidRPr="003B4362">
        <w:rPr>
          <w:rFonts w:eastAsia="Calibri"/>
        </w:rPr>
        <w:t>3)</w:t>
      </w:r>
      <w:r w:rsidRPr="003B4362">
        <w:rPr>
          <w:rFonts w:eastAsia="Calibri"/>
        </w:rPr>
        <w:tab/>
        <w:t>Installing Source Water Treatment.  A supplier must properly install and operate the source water treatment the Agency approves under subsection (b)(2).</w:t>
      </w:r>
    </w:p>
    <w:p w14:paraId="48B31DE6" w14:textId="77777777" w:rsidR="00E46816" w:rsidRDefault="00E46816" w:rsidP="00E46816">
      <w:pPr>
        <w:ind w:left="2160" w:hanging="720"/>
        <w:rPr>
          <w:rFonts w:eastAsia="Calibri"/>
        </w:rPr>
      </w:pPr>
    </w:p>
    <w:p w14:paraId="5AD699DC" w14:textId="2C07F79D" w:rsidR="00B50A91" w:rsidRPr="003B4362" w:rsidRDefault="00B50A91" w:rsidP="00E46816">
      <w:pPr>
        <w:ind w:left="2160" w:hanging="720"/>
        <w:rPr>
          <w:rFonts w:eastAsia="Calibri"/>
        </w:rPr>
      </w:pPr>
      <w:r w:rsidRPr="003B4362">
        <w:rPr>
          <w:rFonts w:eastAsia="Calibri"/>
        </w:rPr>
        <w:t>4)</w:t>
      </w:r>
      <w:r w:rsidRPr="003B4362">
        <w:rPr>
          <w:rFonts w:eastAsia="Calibri"/>
        </w:rPr>
        <w:tab/>
        <w:t>Agency Reviewing Source Water Treatment and Specifying Maximum Permissible Source Water Levels (MPCs)</w:t>
      </w:r>
    </w:p>
    <w:p w14:paraId="7396FACB" w14:textId="77777777" w:rsidR="00E46816" w:rsidRDefault="00E46816" w:rsidP="00E46816">
      <w:pPr>
        <w:ind w:left="2880" w:hanging="720"/>
        <w:rPr>
          <w:rFonts w:eastAsia="Calibri"/>
        </w:rPr>
      </w:pPr>
    </w:p>
    <w:p w14:paraId="75D96FC0" w14:textId="1A8ECE8F" w:rsidR="00B50A91" w:rsidRPr="003B4362" w:rsidRDefault="00B50A91" w:rsidP="00E46816">
      <w:pPr>
        <w:ind w:left="2880" w:hanging="720"/>
        <w:rPr>
          <w:rFonts w:eastAsia="Calibri"/>
        </w:rPr>
      </w:pPr>
      <w:r w:rsidRPr="003B4362">
        <w:rPr>
          <w:rFonts w:eastAsia="Calibri"/>
        </w:rPr>
        <w:t>A)</w:t>
      </w:r>
      <w:r w:rsidRPr="003B4362">
        <w:rPr>
          <w:rFonts w:eastAsia="Calibri"/>
        </w:rPr>
        <w:tab/>
        <w:t>The Agency must review the source water samples the supplier took both before and after the supplier installs source water treatment and determine whether the supplier properly installs and operates the approved source water treatment.</w:t>
      </w:r>
    </w:p>
    <w:p w14:paraId="29BBE79D" w14:textId="77777777" w:rsidR="00E46816" w:rsidRDefault="00E46816" w:rsidP="00E46816">
      <w:pPr>
        <w:ind w:left="2880" w:hanging="720"/>
        <w:rPr>
          <w:rFonts w:eastAsia="Calibri"/>
        </w:rPr>
      </w:pPr>
    </w:p>
    <w:p w14:paraId="31A108FE" w14:textId="02203C74" w:rsidR="00B50A91" w:rsidRPr="003B4362" w:rsidRDefault="00B50A91" w:rsidP="00E46816">
      <w:pPr>
        <w:ind w:left="2880" w:hanging="720"/>
        <w:rPr>
          <w:rFonts w:eastAsia="Calibri"/>
        </w:rPr>
      </w:pPr>
      <w:r w:rsidRPr="003B4362">
        <w:rPr>
          <w:rFonts w:eastAsia="Calibri"/>
        </w:rPr>
        <w:t>B)</w:t>
      </w:r>
      <w:r w:rsidRPr="003B4362">
        <w:rPr>
          <w:rFonts w:eastAsia="Calibri"/>
        </w:rPr>
        <w:tab/>
        <w:t>Based on its review, the Agency must issue a SEP approving the lead and copper MPCs for finished water entering the supplier’s distribution system.  The MPC levels must reflect the contaminant removal capability of the treatment when properly operated and maintained.</w:t>
      </w:r>
    </w:p>
    <w:p w14:paraId="30CD8630" w14:textId="77777777" w:rsidR="00E46816" w:rsidRDefault="00E46816" w:rsidP="00E46816">
      <w:pPr>
        <w:ind w:left="2880" w:hanging="720"/>
        <w:rPr>
          <w:rFonts w:eastAsia="Calibri"/>
        </w:rPr>
      </w:pPr>
    </w:p>
    <w:p w14:paraId="09E2D603" w14:textId="28B131BA" w:rsidR="00B50A91" w:rsidRPr="003B4362" w:rsidRDefault="00B50A91" w:rsidP="00E46816">
      <w:pPr>
        <w:ind w:left="2880" w:hanging="720"/>
        <w:rPr>
          <w:rFonts w:eastAsia="Calibri"/>
        </w:rPr>
      </w:pPr>
      <w:r w:rsidRPr="003B4362">
        <w:rPr>
          <w:rFonts w:eastAsia="Calibri"/>
        </w:rPr>
        <w:t>C)</w:t>
      </w:r>
      <w:r w:rsidRPr="003B4362">
        <w:rPr>
          <w:rFonts w:eastAsia="Calibri"/>
        </w:rPr>
        <w:tab/>
        <w:t>The Agency must explain the basis for its decision under subsection (b)(4)(B).</w:t>
      </w:r>
    </w:p>
    <w:p w14:paraId="6DF25CA4" w14:textId="77777777" w:rsidR="00E46816" w:rsidRDefault="00E46816" w:rsidP="00E46816">
      <w:pPr>
        <w:ind w:left="2160" w:hanging="720"/>
        <w:rPr>
          <w:rFonts w:eastAsia="Calibri"/>
        </w:rPr>
      </w:pPr>
    </w:p>
    <w:p w14:paraId="5E38ED7B" w14:textId="57A19C34" w:rsidR="00B50A91" w:rsidRPr="003B4362" w:rsidRDefault="00B50A91" w:rsidP="00E46816">
      <w:pPr>
        <w:ind w:left="2160" w:hanging="720"/>
        <w:rPr>
          <w:rFonts w:eastAsia="Calibri"/>
        </w:rPr>
      </w:pPr>
      <w:r w:rsidRPr="003B4362">
        <w:rPr>
          <w:rFonts w:eastAsia="Calibri"/>
        </w:rPr>
        <w:t>5)</w:t>
      </w:r>
      <w:r w:rsidRPr="003B4362">
        <w:rPr>
          <w:rFonts w:eastAsia="Calibri"/>
        </w:rPr>
        <w:tab/>
        <w:t>Continued Operation and Maintenance.  A supplier must maintain lead and copper levels below the MPCs the Agency approved at every sampling point the supplier monitors under Section 611.1358.  The supplier does not comply with this subsection (b) if the level of lead or copper at any sampling point is greater than the MPC the Agency approved under subsection (b)(4)(B).</w:t>
      </w:r>
    </w:p>
    <w:p w14:paraId="6EF0C363" w14:textId="77777777" w:rsidR="00E46816" w:rsidRDefault="00E46816" w:rsidP="00E46816">
      <w:pPr>
        <w:ind w:left="2160" w:hanging="720"/>
        <w:rPr>
          <w:rFonts w:eastAsia="Calibri"/>
        </w:rPr>
      </w:pPr>
    </w:p>
    <w:p w14:paraId="48FB70F5" w14:textId="05D8F30C" w:rsidR="00B50A91" w:rsidRPr="003B4362" w:rsidRDefault="00B50A91" w:rsidP="00E46816">
      <w:pPr>
        <w:ind w:left="2160" w:hanging="720"/>
        <w:rPr>
          <w:rFonts w:eastAsia="Calibri"/>
        </w:rPr>
      </w:pPr>
      <w:r w:rsidRPr="003B4362">
        <w:rPr>
          <w:rFonts w:eastAsia="Calibri"/>
        </w:rPr>
        <w:t>6)</w:t>
      </w:r>
      <w:r w:rsidRPr="003B4362">
        <w:rPr>
          <w:rFonts w:eastAsia="Calibri"/>
        </w:rPr>
        <w:tab/>
        <w:t>Modifying Agency Treatment Decisions</w:t>
      </w:r>
    </w:p>
    <w:p w14:paraId="6AAFA1ED" w14:textId="77777777" w:rsidR="00E46816" w:rsidRDefault="00E46816" w:rsidP="00E46816">
      <w:pPr>
        <w:ind w:left="2880" w:hanging="720"/>
        <w:rPr>
          <w:rFonts w:eastAsia="Calibri"/>
        </w:rPr>
      </w:pPr>
    </w:p>
    <w:p w14:paraId="712948B5" w14:textId="2584975D" w:rsidR="00B50A91" w:rsidRPr="003B4362" w:rsidRDefault="00B50A91" w:rsidP="00E46816">
      <w:pPr>
        <w:ind w:left="2880" w:hanging="720"/>
        <w:rPr>
          <w:rFonts w:eastAsia="Calibri"/>
        </w:rPr>
      </w:pPr>
      <w:r w:rsidRPr="003B4362">
        <w:rPr>
          <w:rFonts w:eastAsia="Calibri"/>
        </w:rPr>
        <w:t>A)</w:t>
      </w:r>
      <w:r w:rsidRPr="003B4362">
        <w:rPr>
          <w:rFonts w:eastAsia="Calibri"/>
        </w:rPr>
        <w:tab/>
        <w:t xml:space="preserve">On its own initiative, or in response to a request by the supplier, the Agency may issue a SEP modifying its determination of the </w:t>
      </w:r>
      <w:r w:rsidRPr="003B4362">
        <w:rPr>
          <w:rFonts w:eastAsia="Calibri"/>
        </w:rPr>
        <w:lastRenderedPageBreak/>
        <w:t>source water treatment under subsection (b)(2) or the lead and copper MPCs under subsection (b)(4).</w:t>
      </w:r>
    </w:p>
    <w:p w14:paraId="37C00A70" w14:textId="77777777" w:rsidR="00E46816" w:rsidRDefault="00E46816" w:rsidP="00E46816">
      <w:pPr>
        <w:ind w:left="2880" w:hanging="720"/>
        <w:rPr>
          <w:rFonts w:eastAsia="Calibri"/>
        </w:rPr>
      </w:pPr>
    </w:p>
    <w:p w14:paraId="57D7428F" w14:textId="6EE3E473" w:rsidR="00B50A91" w:rsidRPr="003B4362" w:rsidRDefault="00B50A91" w:rsidP="00E46816">
      <w:pPr>
        <w:ind w:left="2880" w:hanging="720"/>
        <w:rPr>
          <w:rFonts w:eastAsia="Calibri"/>
        </w:rPr>
      </w:pPr>
      <w:r w:rsidRPr="003B4362">
        <w:rPr>
          <w:rFonts w:eastAsia="Calibri"/>
        </w:rPr>
        <w:t>B)</w:t>
      </w:r>
      <w:r w:rsidRPr="003B4362">
        <w:rPr>
          <w:rFonts w:eastAsia="Calibri"/>
        </w:rPr>
        <w:tab/>
        <w:t>A supplier must make a request to modify in writing, explaining the propriety of the modification, and providing supporting documentation.</w:t>
      </w:r>
    </w:p>
    <w:p w14:paraId="5A5AABE9" w14:textId="77777777" w:rsidR="00E46816" w:rsidRDefault="00E46816" w:rsidP="00E46816">
      <w:pPr>
        <w:ind w:left="2880" w:hanging="720"/>
        <w:rPr>
          <w:rFonts w:eastAsia="Calibri"/>
        </w:rPr>
      </w:pPr>
    </w:p>
    <w:p w14:paraId="78215D0F" w14:textId="5D5D2B80" w:rsidR="00B50A91" w:rsidRPr="003B4362" w:rsidRDefault="00B50A91" w:rsidP="00E46816">
      <w:pPr>
        <w:ind w:left="2880" w:hanging="720"/>
        <w:rPr>
          <w:rFonts w:eastAsia="Calibri"/>
        </w:rPr>
      </w:pPr>
      <w:r w:rsidRPr="003B4362">
        <w:rPr>
          <w:rFonts w:eastAsia="Calibri"/>
        </w:rPr>
        <w:t>C)</w:t>
      </w:r>
      <w:r w:rsidRPr="003B4362">
        <w:rPr>
          <w:rFonts w:eastAsia="Calibri"/>
        </w:rPr>
        <w:tab/>
        <w:t xml:space="preserve">The Agency may issue a SEP modifying its determination </w:t>
      </w:r>
      <w:r w:rsidRPr="003B4362">
        <w:rPr>
          <w:rFonts w:eastAsia="Calibri"/>
          <w:spacing w:val="-3"/>
        </w:rPr>
        <w:t xml:space="preserve">if </w:t>
      </w:r>
      <w:r w:rsidRPr="003B4362">
        <w:rPr>
          <w:rFonts w:eastAsia="Calibri"/>
        </w:rPr>
        <w:t>it concludes that the change is necessary to ensure that the supplier continues minimizing lead and copper concentrations in source water.</w:t>
      </w:r>
    </w:p>
    <w:p w14:paraId="083D6684" w14:textId="77777777" w:rsidR="00E46816" w:rsidRDefault="00E46816" w:rsidP="00E46816">
      <w:pPr>
        <w:ind w:left="2880" w:hanging="720"/>
        <w:rPr>
          <w:rFonts w:eastAsia="Calibri"/>
        </w:rPr>
      </w:pPr>
    </w:p>
    <w:p w14:paraId="32FC04FB" w14:textId="6381DE63" w:rsidR="00B50A91" w:rsidRPr="003B4362" w:rsidRDefault="00B50A91" w:rsidP="00E46816">
      <w:pPr>
        <w:ind w:left="2880" w:hanging="720"/>
        <w:rPr>
          <w:rFonts w:eastAsia="Calibri"/>
        </w:rPr>
      </w:pPr>
      <w:r w:rsidRPr="003B4362">
        <w:rPr>
          <w:rFonts w:eastAsia="Calibri"/>
        </w:rPr>
        <w:t>D)</w:t>
      </w:r>
      <w:r w:rsidRPr="003B4362">
        <w:rPr>
          <w:rFonts w:eastAsia="Calibri"/>
        </w:rPr>
        <w:tab/>
        <w:t>A revised determination under subsection (b)(6)(C) must state the new treatment requirements, explain the basis for the Agency’s decision, and provide a schedule for completing the treatment modifications.</w:t>
      </w:r>
    </w:p>
    <w:p w14:paraId="305E3F3C" w14:textId="77777777" w:rsidR="00E46816" w:rsidRDefault="00E46816" w:rsidP="00E46816">
      <w:pPr>
        <w:ind w:left="2880" w:hanging="720"/>
        <w:rPr>
          <w:rFonts w:eastAsia="Calibri"/>
        </w:rPr>
      </w:pPr>
    </w:p>
    <w:p w14:paraId="0957E6D5" w14:textId="369294AB" w:rsidR="00B50A91" w:rsidRPr="003B4362" w:rsidRDefault="00B50A91" w:rsidP="00E46816">
      <w:pPr>
        <w:ind w:left="2880" w:hanging="720"/>
        <w:rPr>
          <w:rFonts w:eastAsia="Calibri"/>
        </w:rPr>
      </w:pPr>
      <w:r w:rsidRPr="003B4362">
        <w:rPr>
          <w:rFonts w:eastAsia="Calibri"/>
        </w:rPr>
        <w:t>E)</w:t>
      </w:r>
      <w:r w:rsidRPr="003B4362">
        <w:rPr>
          <w:rFonts w:eastAsia="Calibri"/>
        </w:rPr>
        <w:tab/>
        <w:t>Any interested person may submit information to the Agency in writing bearing on whether the Agency should exercise its discretion and issue a SEP modifying its determination under subsection (b)(2).  An Agency determination not to act on information an interested person submits is not an Agency determination for the purposes of Sections 39 and 40 of the Act.</w:t>
      </w:r>
    </w:p>
    <w:p w14:paraId="3EC8D92A" w14:textId="77777777" w:rsidR="00E46816" w:rsidRDefault="00E46816" w:rsidP="00E46816">
      <w:pPr>
        <w:ind w:left="2160" w:hanging="720"/>
        <w:rPr>
          <w:rFonts w:eastAsia="Calibri"/>
        </w:rPr>
      </w:pPr>
    </w:p>
    <w:p w14:paraId="0C3F1E19" w14:textId="2AACB5D8" w:rsidR="00B50A91" w:rsidRPr="003B4362" w:rsidRDefault="00B50A91" w:rsidP="00E46816">
      <w:pPr>
        <w:ind w:left="2160" w:hanging="720"/>
        <w:rPr>
          <w:rFonts w:eastAsia="Calibri"/>
        </w:rPr>
      </w:pPr>
      <w:r w:rsidRPr="003B4362">
        <w:rPr>
          <w:rFonts w:eastAsia="Calibri"/>
        </w:rPr>
        <w:t>7)</w:t>
      </w:r>
      <w:r w:rsidRPr="003B4362">
        <w:rPr>
          <w:rFonts w:eastAsia="Calibri"/>
        </w:rPr>
        <w:tab/>
        <w:t xml:space="preserve">USEPA Treatment Decisions.  Under 40 CFR 142.19, USEPA reserves the prerogative to review </w:t>
      </w:r>
      <w:r w:rsidR="007B6C03" w:rsidRPr="003B4362">
        <w:rPr>
          <w:rFonts w:eastAsia="Calibri"/>
        </w:rPr>
        <w:t xml:space="preserve">Agency </w:t>
      </w:r>
      <w:r w:rsidRPr="003B4362">
        <w:rPr>
          <w:rFonts w:eastAsia="Calibri"/>
        </w:rPr>
        <w:t>treatment determinations under subsections (b)(2), (b)(4), or (b)(6) and issue federal treatment determinations consistent with 40 CFR 141.83(b)(2), (b)(4), and (b)(6)</w:t>
      </w:r>
      <w:r w:rsidR="00D15B76" w:rsidRPr="003B4362">
        <w:rPr>
          <w:rFonts w:eastAsia="Calibri"/>
        </w:rPr>
        <w:t xml:space="preserve"> (2020)</w:t>
      </w:r>
      <w:r w:rsidRPr="003B4362">
        <w:rPr>
          <w:rFonts w:eastAsia="Calibri"/>
        </w:rPr>
        <w:t xml:space="preserve"> </w:t>
      </w:r>
      <w:r w:rsidRPr="003B4362">
        <w:rPr>
          <w:rFonts w:eastAsia="Calibri"/>
          <w:spacing w:val="-3"/>
        </w:rPr>
        <w:t xml:space="preserve">if USEPA </w:t>
      </w:r>
      <w:r w:rsidRPr="003B4362">
        <w:rPr>
          <w:rFonts w:eastAsia="Calibri"/>
        </w:rPr>
        <w:t>finds that certain conditions exist:</w:t>
      </w:r>
    </w:p>
    <w:p w14:paraId="42A12BCF" w14:textId="77777777" w:rsidR="00E46816" w:rsidRDefault="00E46816" w:rsidP="00E46816">
      <w:pPr>
        <w:ind w:left="2880" w:hanging="720"/>
        <w:rPr>
          <w:rFonts w:eastAsia="Calibri"/>
        </w:rPr>
      </w:pPr>
    </w:p>
    <w:p w14:paraId="6C7258B5" w14:textId="3A3FF4DA" w:rsidR="00B50A91" w:rsidRPr="003B4362" w:rsidRDefault="00B50A91" w:rsidP="00E46816">
      <w:pPr>
        <w:ind w:left="2880" w:hanging="720"/>
        <w:rPr>
          <w:rFonts w:eastAsia="Calibri"/>
        </w:rPr>
      </w:pPr>
      <w:r w:rsidRPr="003B4362">
        <w:rPr>
          <w:rFonts w:eastAsia="Calibri"/>
        </w:rPr>
        <w:t>A)</w:t>
      </w:r>
      <w:r w:rsidRPr="003B4362">
        <w:rPr>
          <w:rFonts w:eastAsia="Calibri"/>
        </w:rPr>
        <w:tab/>
        <w:t>the Agency fails to issue a treatment determination by the applicable deadline in subsection (a);</w:t>
      </w:r>
    </w:p>
    <w:p w14:paraId="5C8DB7E5" w14:textId="77777777" w:rsidR="00E46816" w:rsidRDefault="00E46816" w:rsidP="00E46816">
      <w:pPr>
        <w:ind w:left="2880" w:hanging="720"/>
        <w:rPr>
          <w:rFonts w:eastAsia="Calibri"/>
        </w:rPr>
      </w:pPr>
    </w:p>
    <w:p w14:paraId="79C1F75C" w14:textId="3C1A6B28" w:rsidR="00B50A91" w:rsidRPr="003B4362" w:rsidRDefault="00B50A91" w:rsidP="00E46816">
      <w:pPr>
        <w:ind w:left="2880" w:hanging="720"/>
        <w:rPr>
          <w:rFonts w:eastAsia="Calibri"/>
        </w:rPr>
      </w:pPr>
      <w:r w:rsidRPr="003B4362">
        <w:rPr>
          <w:rFonts w:eastAsia="Calibri"/>
        </w:rPr>
        <w:t>B)</w:t>
      </w:r>
      <w:r w:rsidRPr="003B4362">
        <w:rPr>
          <w:rFonts w:eastAsia="Calibri"/>
        </w:rPr>
        <w:tab/>
        <w:t>the Agency abuses its discretion in a substantial number of instances or in instances affecting a substantial population; or</w:t>
      </w:r>
    </w:p>
    <w:p w14:paraId="50488EB3" w14:textId="77777777" w:rsidR="00E46816" w:rsidRDefault="00E46816" w:rsidP="00E46816">
      <w:pPr>
        <w:ind w:left="2880" w:hanging="720"/>
        <w:rPr>
          <w:rFonts w:eastAsia="Calibri"/>
        </w:rPr>
      </w:pPr>
    </w:p>
    <w:p w14:paraId="213B7BEF" w14:textId="43D4A847" w:rsidR="00B50A91" w:rsidRPr="003B4362" w:rsidRDefault="00B50A91" w:rsidP="00E46816">
      <w:pPr>
        <w:ind w:left="2880" w:hanging="720"/>
        <w:rPr>
          <w:rFonts w:eastAsia="Calibri"/>
        </w:rPr>
      </w:pPr>
      <w:r w:rsidRPr="003B4362">
        <w:rPr>
          <w:rFonts w:eastAsia="Calibri"/>
        </w:rPr>
        <w:t>C)</w:t>
      </w:r>
      <w:r w:rsidRPr="003B4362">
        <w:rPr>
          <w:rFonts w:eastAsia="Calibri"/>
        </w:rPr>
        <w:tab/>
        <w:t>the technical aspects of the Agency’s determination would be indefensible in a federal enforcement action taken against the supplier.</w:t>
      </w:r>
    </w:p>
    <w:p w14:paraId="66941FD6" w14:textId="77777777" w:rsidR="00E46816" w:rsidRDefault="00E46816" w:rsidP="00E46816">
      <w:pPr>
        <w:rPr>
          <w:rFonts w:eastAsia="Calibri"/>
        </w:rPr>
      </w:pPr>
    </w:p>
    <w:p w14:paraId="020E4EE1" w14:textId="0A9739E1" w:rsidR="00B50A91" w:rsidRPr="003B4362" w:rsidRDefault="00B50A91" w:rsidP="00E46816">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611.1353 and </w:t>
      </w:r>
      <w:r w:rsidRPr="003B4362">
        <w:rPr>
          <w:rFonts w:eastAsia="Calibri"/>
          <w:spacing w:val="-3"/>
        </w:rPr>
        <w:t xml:space="preserve">derives </w:t>
      </w:r>
      <w:r w:rsidRPr="003B4362">
        <w:rPr>
          <w:rFonts w:eastAsia="Calibri"/>
        </w:rPr>
        <w:t>from 40 CFR 141.83</w:t>
      </w:r>
      <w:r w:rsidR="00D15B76" w:rsidRPr="003B4362">
        <w:rPr>
          <w:rFonts w:eastAsia="Calibri"/>
        </w:rPr>
        <w:t xml:space="preserve"> (2020)</w:t>
      </w:r>
      <w:r w:rsidRPr="003B4362">
        <w:rPr>
          <w:rFonts w:eastAsia="Calibri"/>
        </w:rPr>
        <w:t>.</w:t>
      </w:r>
    </w:p>
    <w:p w14:paraId="3093619B" w14:textId="77777777" w:rsidR="00E46816" w:rsidRDefault="00E46816" w:rsidP="00E46816">
      <w:pPr>
        <w:suppressAutoHyphens/>
        <w:ind w:left="720"/>
        <w:rPr>
          <w:rFonts w:eastAsia="Calibri"/>
        </w:rPr>
      </w:pPr>
    </w:p>
    <w:p w14:paraId="79F4B30D" w14:textId="476C4074" w:rsidR="00B50A91" w:rsidRDefault="00EB353D" w:rsidP="00E46816">
      <w:pPr>
        <w:suppressAutoHyphens/>
        <w:ind w:left="720"/>
        <w:rPr>
          <w:rFonts w:eastAsia="Calibri"/>
        </w:rPr>
      </w:pPr>
      <w:r w:rsidRPr="003B4362">
        <w:rPr>
          <w:rFonts w:eastAsia="Calibri"/>
        </w:rPr>
        <w:t>(Source:  A</w:t>
      </w:r>
      <w:r w:rsidR="00B65583"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1EF17C82" w14:textId="77777777" w:rsidR="005605D6" w:rsidRPr="003B4362" w:rsidRDefault="005605D6" w:rsidP="00E46816">
      <w:pPr>
        <w:suppressAutoHyphens/>
        <w:ind w:left="720"/>
        <w:rPr>
          <w:rFonts w:eastAsia="Calibri"/>
        </w:rPr>
      </w:pPr>
    </w:p>
    <w:p w14:paraId="3B85E519" w14:textId="77777777" w:rsidR="00B50A91" w:rsidRPr="003B4362" w:rsidRDefault="00B50A91" w:rsidP="00E46816">
      <w:pPr>
        <w:rPr>
          <w:rFonts w:eastAsia="Calibri"/>
          <w:b/>
          <w:bCs/>
        </w:rPr>
      </w:pPr>
      <w:r w:rsidRPr="003B4362">
        <w:rPr>
          <w:rFonts w:eastAsia="Calibri"/>
          <w:b/>
          <w:bCs/>
        </w:rPr>
        <w:lastRenderedPageBreak/>
        <w:t>Section 611.1354  Lead Service Line Replacement</w:t>
      </w:r>
    </w:p>
    <w:p w14:paraId="6616513B" w14:textId="77777777" w:rsidR="00E46816" w:rsidRDefault="00E46816" w:rsidP="00E46816">
      <w:pPr>
        <w:ind w:left="1440" w:hanging="720"/>
        <w:rPr>
          <w:rFonts w:eastAsia="Calibri"/>
        </w:rPr>
      </w:pPr>
    </w:p>
    <w:p w14:paraId="1AB2C5BA" w14:textId="1FB10B97" w:rsidR="00B50A91" w:rsidRPr="003B4362" w:rsidRDefault="00B50A91" w:rsidP="00E46816">
      <w:pPr>
        <w:ind w:left="1440" w:hanging="720"/>
        <w:rPr>
          <w:rFonts w:eastAsia="Calibri"/>
        </w:rPr>
      </w:pPr>
      <w:r w:rsidRPr="003B4362">
        <w:rPr>
          <w:rFonts w:eastAsia="Calibri"/>
        </w:rPr>
        <w:t>a)</w:t>
      </w:r>
      <w:r w:rsidRPr="003B4362">
        <w:rPr>
          <w:rFonts w:eastAsia="Calibri"/>
        </w:rPr>
        <w:tab/>
        <w:t>Suppliers That Must Replace Lead Service Lines</w:t>
      </w:r>
    </w:p>
    <w:p w14:paraId="3E9926AD" w14:textId="77777777" w:rsidR="00E46816" w:rsidRDefault="00E46816" w:rsidP="00E46816">
      <w:pPr>
        <w:ind w:left="2160" w:hanging="720"/>
        <w:rPr>
          <w:rFonts w:eastAsia="Calibri"/>
        </w:rPr>
      </w:pPr>
    </w:p>
    <w:p w14:paraId="57583BA6" w14:textId="0137392D" w:rsidR="00B50A91" w:rsidRPr="003B4362" w:rsidRDefault="00B50A91" w:rsidP="00E46816">
      <w:pPr>
        <w:ind w:left="2160" w:hanging="720"/>
        <w:rPr>
          <w:rFonts w:eastAsia="Calibri"/>
        </w:rPr>
      </w:pPr>
      <w:r w:rsidRPr="003B4362">
        <w:rPr>
          <w:rFonts w:eastAsia="Calibri"/>
        </w:rPr>
        <w:t>1)</w:t>
      </w:r>
      <w:r w:rsidRPr="003B4362">
        <w:rPr>
          <w:rFonts w:eastAsia="Calibri"/>
        </w:rPr>
        <w:tab/>
        <w:t>If the results from tap samples the supplier took under Section 611.1356(d)(2) exceed the lead action level after the supplier installs corrosion control or source water treatment (whichever sampling occurs later), the supplier must recommence replacing lead service lines under subsection (b).</w:t>
      </w:r>
    </w:p>
    <w:p w14:paraId="479E0739" w14:textId="77777777" w:rsidR="00E46816" w:rsidRDefault="00E46816" w:rsidP="00E46816">
      <w:pPr>
        <w:ind w:left="2160" w:hanging="720"/>
        <w:rPr>
          <w:rFonts w:eastAsia="Calibri"/>
        </w:rPr>
      </w:pPr>
    </w:p>
    <w:p w14:paraId="6EF5294B" w14:textId="146D7E96" w:rsidR="00B50A91" w:rsidRPr="003B4362" w:rsidRDefault="00B50A91" w:rsidP="00E46816">
      <w:pPr>
        <w:ind w:left="2160" w:hanging="720"/>
        <w:rPr>
          <w:rFonts w:eastAsia="Calibri"/>
        </w:rPr>
      </w:pPr>
      <w:r w:rsidRPr="003B4362">
        <w:rPr>
          <w:rFonts w:eastAsia="Calibri"/>
        </w:rPr>
        <w:t>2)</w:t>
      </w:r>
      <w:r w:rsidRPr="003B4362">
        <w:rPr>
          <w:rFonts w:eastAsia="Calibri"/>
        </w:rPr>
        <w:tab/>
        <w:t>If a supplier violates Section 611.1351 or 611.1353 by failing to install source water or corrosion control treatment, the Agency may issue a SEP requiring the supplier to begin lead service line replacement under this Section after the date when Section 611.1356(d)(2) required the supplier to conduct monitoring.</w:t>
      </w:r>
    </w:p>
    <w:p w14:paraId="40AF807E" w14:textId="77777777" w:rsidR="00E46816" w:rsidRDefault="00E46816" w:rsidP="00E46816">
      <w:pPr>
        <w:ind w:left="1440" w:hanging="720"/>
        <w:rPr>
          <w:rFonts w:eastAsia="Calibri"/>
        </w:rPr>
      </w:pPr>
    </w:p>
    <w:p w14:paraId="4E3E01DB" w14:textId="14880188" w:rsidR="00B50A91" w:rsidRPr="003B4362" w:rsidRDefault="00B50A91" w:rsidP="00E46816">
      <w:pPr>
        <w:ind w:left="1440" w:hanging="720"/>
        <w:rPr>
          <w:rFonts w:eastAsia="Calibri"/>
        </w:rPr>
      </w:pPr>
      <w:r w:rsidRPr="003B4362">
        <w:rPr>
          <w:rFonts w:eastAsia="Calibri"/>
        </w:rPr>
        <w:t>b)</w:t>
      </w:r>
      <w:r w:rsidRPr="003B4362">
        <w:rPr>
          <w:rFonts w:eastAsia="Calibri"/>
        </w:rPr>
        <w:tab/>
        <w:t>Annually Replacing Lead Service Lines</w:t>
      </w:r>
    </w:p>
    <w:p w14:paraId="07E97A01" w14:textId="77777777" w:rsidR="00E46816" w:rsidRDefault="00E46816" w:rsidP="00E46816">
      <w:pPr>
        <w:ind w:left="2160" w:hanging="720"/>
        <w:rPr>
          <w:rFonts w:eastAsia="Calibri"/>
        </w:rPr>
      </w:pPr>
    </w:p>
    <w:p w14:paraId="3BD9FFB5" w14:textId="27E1438F" w:rsidR="00B50A91" w:rsidRPr="003B4362" w:rsidRDefault="00B50A91" w:rsidP="00E46816">
      <w:pPr>
        <w:ind w:left="2160" w:hanging="720"/>
        <w:rPr>
          <w:rFonts w:eastAsia="Calibri"/>
        </w:rPr>
      </w:pPr>
      <w:r w:rsidRPr="003B4362">
        <w:rPr>
          <w:rFonts w:eastAsia="Calibri"/>
        </w:rPr>
        <w:t>1)</w:t>
      </w:r>
      <w:r w:rsidRPr="003B4362">
        <w:rPr>
          <w:rFonts w:eastAsia="Calibri"/>
        </w:rPr>
        <w:tab/>
        <w:t>Initiating a Lead Service Line Replacement Program</w:t>
      </w:r>
    </w:p>
    <w:p w14:paraId="70264328" w14:textId="77777777" w:rsidR="00E46816" w:rsidRDefault="00E46816" w:rsidP="00E46816">
      <w:pPr>
        <w:ind w:left="2880" w:hanging="720"/>
        <w:rPr>
          <w:rFonts w:eastAsia="Calibri"/>
        </w:rPr>
      </w:pPr>
    </w:p>
    <w:p w14:paraId="353391BB" w14:textId="22FA1C8E" w:rsidR="00B50A91" w:rsidRPr="003B4362" w:rsidRDefault="00B50A91" w:rsidP="00E46816">
      <w:pPr>
        <w:ind w:left="2880" w:hanging="720"/>
        <w:rPr>
          <w:rFonts w:eastAsia="Calibri"/>
        </w:rPr>
      </w:pPr>
      <w:r w:rsidRPr="003B4362">
        <w:rPr>
          <w:rFonts w:eastAsia="Calibri"/>
        </w:rPr>
        <w:t>A)</w:t>
      </w:r>
      <w:r w:rsidRPr="003B4362">
        <w:rPr>
          <w:rFonts w:eastAsia="Calibri"/>
        </w:rPr>
        <w:tab/>
        <w:t>A supplier that subsection (a) requires to begin replacing lead service lines must annually replace at least seven percent of the initial number of lead service lines in its distribution system.</w:t>
      </w:r>
    </w:p>
    <w:p w14:paraId="0CB52583" w14:textId="77777777" w:rsidR="00E46816" w:rsidRDefault="00E46816" w:rsidP="00E46816">
      <w:pPr>
        <w:ind w:left="2880" w:hanging="720"/>
        <w:rPr>
          <w:rFonts w:eastAsia="Calibri"/>
        </w:rPr>
      </w:pPr>
    </w:p>
    <w:p w14:paraId="166A77A5" w14:textId="06EB51FE" w:rsidR="00B50A91" w:rsidRPr="003B4362" w:rsidRDefault="00B50A91" w:rsidP="00E46816">
      <w:pPr>
        <w:ind w:left="2880" w:hanging="720"/>
        <w:rPr>
          <w:rFonts w:eastAsia="Calibri"/>
        </w:rPr>
      </w:pPr>
      <w:r w:rsidRPr="003B4362">
        <w:rPr>
          <w:rFonts w:eastAsia="Calibri"/>
        </w:rPr>
        <w:t>B)</w:t>
      </w:r>
      <w:r w:rsidRPr="003B4362">
        <w:rPr>
          <w:rFonts w:eastAsia="Calibri"/>
        </w:rPr>
        <w:tab/>
        <w:t>The initial number of lead service lines in a distribution system is the number of lead lines in place when the supplier begins its replacement program.</w:t>
      </w:r>
    </w:p>
    <w:p w14:paraId="17138807" w14:textId="77777777" w:rsidR="00E46816" w:rsidRDefault="00E46816" w:rsidP="00E46816">
      <w:pPr>
        <w:ind w:left="2880" w:hanging="720"/>
        <w:rPr>
          <w:rFonts w:eastAsia="Calibri"/>
        </w:rPr>
      </w:pPr>
    </w:p>
    <w:p w14:paraId="0D7CBE13" w14:textId="1C6CDAD3" w:rsidR="00B50A91" w:rsidRPr="003B4362" w:rsidRDefault="00B50A91" w:rsidP="00E46816">
      <w:pPr>
        <w:ind w:left="2880" w:hanging="720"/>
        <w:rPr>
          <w:rFonts w:eastAsia="Calibri"/>
        </w:rPr>
      </w:pPr>
      <w:r w:rsidRPr="003B4362">
        <w:rPr>
          <w:rFonts w:eastAsia="Calibri"/>
        </w:rPr>
        <w:t>C)</w:t>
      </w:r>
      <w:r w:rsidRPr="003B4362">
        <w:rPr>
          <w:rFonts w:eastAsia="Calibri"/>
        </w:rPr>
        <w:tab/>
        <w:t>The supplier must identify the initial number of lead service lines in its distribution system, indicating the portions of the system the supplier owns, based on a materials evaluation, including the evaluation Section 611.1356(a) requires and relevant legal authorities (e.g., contracts, local ordinances, etc.) regarding the portion the supplier owns.</w:t>
      </w:r>
    </w:p>
    <w:p w14:paraId="7CA02A18" w14:textId="77777777" w:rsidR="00E46816" w:rsidRDefault="00E46816" w:rsidP="00E46816">
      <w:pPr>
        <w:ind w:left="2880" w:hanging="720"/>
        <w:rPr>
          <w:rFonts w:eastAsia="Calibri"/>
        </w:rPr>
      </w:pPr>
    </w:p>
    <w:p w14:paraId="05949D2C" w14:textId="635630EF" w:rsidR="00B50A91" w:rsidRPr="003B4362" w:rsidRDefault="00B50A91" w:rsidP="00E46816">
      <w:pPr>
        <w:ind w:left="2880" w:hanging="720"/>
        <w:rPr>
          <w:rFonts w:eastAsia="Calibri"/>
        </w:rPr>
      </w:pPr>
      <w:r w:rsidRPr="003B4362">
        <w:rPr>
          <w:rFonts w:eastAsia="Calibri"/>
        </w:rPr>
        <w:t>D)</w:t>
      </w:r>
      <w:r w:rsidRPr="003B4362">
        <w:rPr>
          <w:rFonts w:eastAsia="Calibri"/>
        </w:rPr>
        <w:tab/>
        <w:t>The first year of lead service line replacement must begin on the first day after the end of the monitoring period during which the supplier exceeded the action level under subsection (a).</w:t>
      </w:r>
    </w:p>
    <w:p w14:paraId="56B833D3" w14:textId="77777777" w:rsidR="00E46816" w:rsidRDefault="00E46816" w:rsidP="00E46816">
      <w:pPr>
        <w:ind w:left="2880" w:hanging="720"/>
        <w:rPr>
          <w:rFonts w:eastAsia="Calibri"/>
        </w:rPr>
      </w:pPr>
    </w:p>
    <w:p w14:paraId="315E524A" w14:textId="277BE2CA" w:rsidR="00B50A91" w:rsidRPr="003B4362" w:rsidRDefault="00B50A91" w:rsidP="00E46816">
      <w:pPr>
        <w:ind w:left="2880" w:hanging="720"/>
        <w:rPr>
          <w:rFonts w:eastAsia="Calibri"/>
        </w:rPr>
      </w:pPr>
      <w:r w:rsidRPr="003B4362">
        <w:rPr>
          <w:rFonts w:eastAsia="Calibri"/>
        </w:rPr>
        <w:t>E)</w:t>
      </w:r>
      <w:r w:rsidRPr="003B4362">
        <w:rPr>
          <w:rFonts w:eastAsia="Calibri"/>
        </w:rPr>
        <w:tab/>
        <w:t>If the supplier must monitor annually or less frequently, the end of the monitoring period is September 30 of the calendar year in which the supplier took the sample exceeding the action level.</w:t>
      </w:r>
    </w:p>
    <w:p w14:paraId="3971C780" w14:textId="77777777" w:rsidR="00E46816" w:rsidRDefault="00E46816" w:rsidP="00E46816">
      <w:pPr>
        <w:ind w:left="2880" w:hanging="720"/>
        <w:rPr>
          <w:rFonts w:eastAsia="Calibri"/>
        </w:rPr>
      </w:pPr>
    </w:p>
    <w:p w14:paraId="0A87A84B" w14:textId="73A91AB0" w:rsidR="00B50A91" w:rsidRPr="003B4362" w:rsidRDefault="00B50A91" w:rsidP="00E46816">
      <w:pPr>
        <w:ind w:left="2880" w:hanging="720"/>
        <w:rPr>
          <w:rFonts w:eastAsia="Calibri"/>
        </w:rPr>
      </w:pPr>
      <w:r w:rsidRPr="003B4362">
        <w:rPr>
          <w:rFonts w:eastAsia="Calibri"/>
        </w:rPr>
        <w:t>F)</w:t>
      </w:r>
      <w:r w:rsidRPr="003B4362">
        <w:rPr>
          <w:rFonts w:eastAsia="Calibri"/>
        </w:rPr>
        <w:tab/>
        <w:t>If the Agency establishes an alternative monitoring period in a SEP, the end of the monitoring period is the last day of that period.</w:t>
      </w:r>
    </w:p>
    <w:p w14:paraId="4A274289" w14:textId="77777777" w:rsidR="00E46816" w:rsidRDefault="00E46816" w:rsidP="00E46816">
      <w:pPr>
        <w:ind w:left="2160" w:hanging="720"/>
        <w:rPr>
          <w:rFonts w:eastAsia="Calibri"/>
        </w:rPr>
      </w:pPr>
    </w:p>
    <w:p w14:paraId="114FFCB2" w14:textId="5CFF5330" w:rsidR="00B50A91" w:rsidRPr="003B4362" w:rsidRDefault="00B50A91" w:rsidP="00E46816">
      <w:pPr>
        <w:ind w:left="2160" w:hanging="720"/>
        <w:rPr>
          <w:rFonts w:eastAsia="Calibri"/>
        </w:rPr>
      </w:pPr>
      <w:r w:rsidRPr="003B4362">
        <w:rPr>
          <w:rFonts w:eastAsia="Calibri"/>
        </w:rPr>
        <w:t>2)</w:t>
      </w:r>
      <w:r w:rsidRPr="003B4362">
        <w:rPr>
          <w:rFonts w:eastAsia="Calibri"/>
        </w:rPr>
        <w:tab/>
        <w:t>Resuming a Lead Service Line Replacement Program after Cessation</w:t>
      </w:r>
    </w:p>
    <w:p w14:paraId="5E6233E4" w14:textId="77777777" w:rsidR="00E46816" w:rsidRDefault="00E46816" w:rsidP="00E46816">
      <w:pPr>
        <w:ind w:left="2880" w:hanging="720"/>
        <w:rPr>
          <w:rFonts w:eastAsia="Calibri"/>
        </w:rPr>
      </w:pPr>
    </w:p>
    <w:p w14:paraId="449DFC06" w14:textId="5F306366" w:rsidR="00B50A91" w:rsidRPr="003B4362" w:rsidRDefault="00B50A91" w:rsidP="00E46816">
      <w:pPr>
        <w:ind w:left="2880" w:hanging="720"/>
        <w:rPr>
          <w:rFonts w:eastAsia="Calibri"/>
        </w:rPr>
      </w:pPr>
      <w:r w:rsidRPr="003B4362">
        <w:rPr>
          <w:rFonts w:eastAsia="Calibri"/>
        </w:rPr>
        <w:t>A)</w:t>
      </w:r>
      <w:r w:rsidRPr="003B4362">
        <w:rPr>
          <w:rFonts w:eastAsia="Calibri"/>
        </w:rPr>
        <w:tab/>
        <w:t>A supplier resuming after ceasing its lead service line replacement program, as subsection (f) allows, must update its remaining lead service lines inventory to include the sites the supplier previously determined did not require replacement under subsection (c).</w:t>
      </w:r>
    </w:p>
    <w:p w14:paraId="22457ABD" w14:textId="77777777" w:rsidR="00E46816" w:rsidRDefault="00E46816" w:rsidP="00E46816">
      <w:pPr>
        <w:ind w:left="2880" w:hanging="720"/>
        <w:rPr>
          <w:rFonts w:eastAsia="Calibri"/>
        </w:rPr>
      </w:pPr>
    </w:p>
    <w:p w14:paraId="7BDA5754" w14:textId="786DAAFC" w:rsidR="00B50A91" w:rsidRPr="003B4362" w:rsidRDefault="00B50A91" w:rsidP="00E46816">
      <w:pPr>
        <w:ind w:left="2880" w:hanging="720"/>
        <w:rPr>
          <w:rFonts w:eastAsia="Calibri"/>
        </w:rPr>
      </w:pPr>
      <w:r w:rsidRPr="003B4362">
        <w:rPr>
          <w:rFonts w:eastAsia="Calibri"/>
        </w:rPr>
        <w:t>B)</w:t>
      </w:r>
      <w:r w:rsidRPr="003B4362">
        <w:rPr>
          <w:rFonts w:eastAsia="Calibri"/>
        </w:rPr>
        <w:tab/>
        <w:t>The supplier must divide its updated remaining lead service lines inventory by the number of remaining years in the program to determine the number of lines that the supplier must replace each year.  (Seven percent lead service line replacement is based on a 15-year replacement program, so that, for example, a supplier resuming lead service line replacement after previously conducting two years of replacement would divide its updated inventory by 13.)</w:t>
      </w:r>
    </w:p>
    <w:p w14:paraId="49FA82B2" w14:textId="77777777" w:rsidR="00E46816" w:rsidRDefault="00E46816" w:rsidP="00E46816">
      <w:pPr>
        <w:ind w:left="2880" w:hanging="720"/>
        <w:rPr>
          <w:rFonts w:eastAsia="Calibri"/>
        </w:rPr>
      </w:pPr>
    </w:p>
    <w:p w14:paraId="025539F7" w14:textId="5E825B6E" w:rsidR="00B50A91" w:rsidRPr="003B4362" w:rsidRDefault="00B50A91" w:rsidP="00E46816">
      <w:pPr>
        <w:ind w:left="2880" w:hanging="720"/>
        <w:rPr>
          <w:rFonts w:eastAsia="Calibri"/>
        </w:rPr>
      </w:pPr>
      <w:r w:rsidRPr="003B4362">
        <w:rPr>
          <w:rFonts w:eastAsia="Calibri"/>
        </w:rPr>
        <w:t>C)</w:t>
      </w:r>
      <w:r w:rsidRPr="003B4362">
        <w:rPr>
          <w:rFonts w:eastAsia="Calibri"/>
        </w:rPr>
        <w:tab/>
        <w:t>For a supplier completing a 15-year lead service line replacement program, the Agency must issue a SEP determining a schedule for replacing or retesting lines under the completed program that the supplier previously tested, whenever the supplier re-exceeds the action level.</w:t>
      </w:r>
    </w:p>
    <w:p w14:paraId="5D8B1534" w14:textId="77777777" w:rsidR="00E46816" w:rsidRDefault="00E46816" w:rsidP="00E46816">
      <w:pPr>
        <w:ind w:left="1440" w:hanging="720"/>
        <w:rPr>
          <w:rFonts w:eastAsia="Calibri"/>
        </w:rPr>
      </w:pPr>
    </w:p>
    <w:p w14:paraId="1A9D635E" w14:textId="2A74CA8C" w:rsidR="00B50A91" w:rsidRPr="003B4362" w:rsidRDefault="00B50A91" w:rsidP="00E46816">
      <w:pPr>
        <w:ind w:left="1440" w:hanging="720"/>
        <w:rPr>
          <w:rFonts w:eastAsia="Calibri"/>
        </w:rPr>
      </w:pPr>
      <w:r w:rsidRPr="003B4362">
        <w:rPr>
          <w:rFonts w:eastAsia="Calibri"/>
        </w:rPr>
        <w:t>c)</w:t>
      </w:r>
      <w:r w:rsidRPr="003B4362">
        <w:rPr>
          <w:rFonts w:eastAsia="Calibri"/>
        </w:rPr>
        <w:tab/>
        <w:t>Service Lines Not Needing Replacement.  A supplier is not required to replace any individual lead service line for which the lead concentrations in all tap samples taken under Section 611.1356(b)(3) are less than or equal to the lead action level (0.015 mg/</w:t>
      </w:r>
      <w:r w:rsidR="006A710C" w:rsidRPr="003B4362">
        <w:t>L</w:t>
      </w:r>
      <w:r w:rsidRPr="003B4362">
        <w:rPr>
          <w:rFonts w:eastAsia="Calibri"/>
        </w:rPr>
        <w:t>).</w:t>
      </w:r>
    </w:p>
    <w:p w14:paraId="511EC14A" w14:textId="77777777" w:rsidR="00E46816" w:rsidRDefault="00E46816" w:rsidP="00E46816">
      <w:pPr>
        <w:ind w:left="1440" w:hanging="720"/>
        <w:rPr>
          <w:rFonts w:eastAsia="Calibri"/>
        </w:rPr>
      </w:pPr>
    </w:p>
    <w:p w14:paraId="22F9CE31" w14:textId="3BB95C82" w:rsidR="00B50A91" w:rsidRPr="003B4362" w:rsidRDefault="00B50A91" w:rsidP="00E46816">
      <w:pPr>
        <w:ind w:left="1440" w:hanging="720"/>
        <w:rPr>
          <w:rFonts w:eastAsia="Calibri"/>
        </w:rPr>
      </w:pPr>
      <w:r w:rsidRPr="003B4362">
        <w:rPr>
          <w:rFonts w:eastAsia="Calibri"/>
        </w:rPr>
        <w:t>d)</w:t>
      </w:r>
      <w:r w:rsidRPr="003B4362">
        <w:rPr>
          <w:rFonts w:eastAsia="Calibri"/>
        </w:rPr>
        <w:tab/>
        <w:t xml:space="preserve">A water supplier must replace that portion of the lead service line that it owns.  </w:t>
      </w:r>
      <w:r w:rsidRPr="003B4362">
        <w:rPr>
          <w:rFonts w:eastAsia="Calibri"/>
          <w:spacing w:val="-3"/>
        </w:rPr>
        <w:t xml:space="preserve">If </w:t>
      </w:r>
      <w:r w:rsidRPr="003B4362">
        <w:rPr>
          <w:rFonts w:eastAsia="Calibri"/>
        </w:rPr>
        <w:t xml:space="preserve">the supplier does not own the entire lead service line, the supplier must notify the owner of the line, or the owner’s authorized agent, that the supplier will replace the portion of the service line that it owns and offer to replace the owner’s portion of the line at the owner’s expense.  A supplier needs not bear the cost of replacing the privately-owned portion of the service line, nor needs the supplier replace the privately-owned portion of the service line </w:t>
      </w:r>
      <w:r w:rsidRPr="003B4362">
        <w:rPr>
          <w:rFonts w:eastAsia="Calibri"/>
          <w:spacing w:val="-3"/>
        </w:rPr>
        <w:t xml:space="preserve">if </w:t>
      </w:r>
      <w:r w:rsidRPr="003B4362">
        <w:rPr>
          <w:rFonts w:eastAsia="Calibri"/>
        </w:rPr>
        <w:t xml:space="preserve">the owner chooses not to pay the cost of replacing that portion of the line or </w:t>
      </w:r>
      <w:r w:rsidRPr="003B4362">
        <w:rPr>
          <w:rFonts w:eastAsia="Calibri"/>
          <w:spacing w:val="-3"/>
        </w:rPr>
        <w:t xml:space="preserve">if State, local, or common law precludes </w:t>
      </w:r>
      <w:r w:rsidRPr="003B4362">
        <w:rPr>
          <w:rFonts w:eastAsia="Calibri"/>
        </w:rPr>
        <w:t>replacing the privately-owned portion of the line.  A water supplier that does not replace the entire length of the service line also must complete certain tasks:</w:t>
      </w:r>
    </w:p>
    <w:p w14:paraId="6705EDE4" w14:textId="77777777" w:rsidR="00E46816" w:rsidRDefault="00E46816" w:rsidP="00E46816">
      <w:pPr>
        <w:ind w:left="2160" w:hanging="720"/>
        <w:rPr>
          <w:rFonts w:eastAsia="Calibri"/>
        </w:rPr>
      </w:pPr>
    </w:p>
    <w:p w14:paraId="6467EB64" w14:textId="23EA1A76" w:rsidR="00B50A91" w:rsidRPr="003B4362" w:rsidRDefault="00B50A91" w:rsidP="00E46816">
      <w:pPr>
        <w:ind w:left="2160" w:hanging="720"/>
        <w:rPr>
          <w:rFonts w:eastAsia="Calibri"/>
        </w:rPr>
      </w:pPr>
      <w:r w:rsidRPr="003B4362">
        <w:rPr>
          <w:rFonts w:eastAsia="Calibri"/>
        </w:rPr>
        <w:t>1)</w:t>
      </w:r>
      <w:r w:rsidRPr="003B4362">
        <w:rPr>
          <w:rFonts w:eastAsia="Calibri"/>
        </w:rPr>
        <w:tab/>
        <w:t>Notice Prior to Beginning Work</w:t>
      </w:r>
    </w:p>
    <w:p w14:paraId="10A04AB0" w14:textId="77777777" w:rsidR="00E46816" w:rsidRDefault="00E46816" w:rsidP="00E46816">
      <w:pPr>
        <w:ind w:left="2880" w:hanging="720"/>
        <w:rPr>
          <w:rFonts w:eastAsia="Calibri"/>
        </w:rPr>
      </w:pPr>
    </w:p>
    <w:p w14:paraId="01BE4103" w14:textId="6984398A" w:rsidR="00B50A91" w:rsidRPr="003B4362" w:rsidRDefault="00B50A91" w:rsidP="00E46816">
      <w:pPr>
        <w:ind w:left="2880" w:hanging="720"/>
        <w:rPr>
          <w:rFonts w:eastAsia="Calibri"/>
        </w:rPr>
      </w:pPr>
      <w:r w:rsidRPr="003B4362">
        <w:rPr>
          <w:rFonts w:eastAsia="Calibri"/>
        </w:rPr>
        <w:t>A)</w:t>
      </w:r>
      <w:r w:rsidRPr="003B4362">
        <w:rPr>
          <w:rFonts w:eastAsia="Calibri"/>
        </w:rPr>
        <w:tab/>
        <w:t xml:space="preserve">At least 45 days prior to beginning partial replacement of a lead service line, the water supplier must notify the residents of all buildings the line serves explaining that the residents may experience a temporary increase of lead levels in their drinking </w:t>
      </w:r>
      <w:r w:rsidRPr="003B4362">
        <w:rPr>
          <w:rFonts w:eastAsia="Calibri"/>
        </w:rPr>
        <w:lastRenderedPageBreak/>
        <w:t>water, along with guidance on measures consumers can take to minimize their exposure to lead.</w:t>
      </w:r>
    </w:p>
    <w:p w14:paraId="5FC4F35E" w14:textId="77777777" w:rsidR="00E46816" w:rsidRDefault="00E46816" w:rsidP="00E46816">
      <w:pPr>
        <w:ind w:left="2880" w:hanging="720"/>
        <w:rPr>
          <w:rFonts w:eastAsia="Calibri"/>
        </w:rPr>
      </w:pPr>
    </w:p>
    <w:p w14:paraId="7AD0AFDB" w14:textId="705DF676" w:rsidR="00B50A91" w:rsidRPr="003B4362" w:rsidRDefault="00B50A91" w:rsidP="00E46816">
      <w:pPr>
        <w:ind w:left="2880" w:hanging="720"/>
        <w:rPr>
          <w:rFonts w:eastAsia="Calibri"/>
        </w:rPr>
      </w:pPr>
      <w:r w:rsidRPr="003B4362">
        <w:rPr>
          <w:rFonts w:eastAsia="Calibri"/>
        </w:rPr>
        <w:t>B)</w:t>
      </w:r>
      <w:r w:rsidRPr="003B4362">
        <w:rPr>
          <w:rFonts w:eastAsia="Calibri"/>
        </w:rPr>
        <w:tab/>
        <w:t xml:space="preserve">The Agency may issue a SEP allowing the water supplier to provide notice under the previous sentence less than 45 days before beginning partial lead service line replacement </w:t>
      </w:r>
      <w:r w:rsidRPr="003B4362">
        <w:rPr>
          <w:rFonts w:eastAsia="Calibri"/>
          <w:spacing w:val="-3"/>
        </w:rPr>
        <w:t xml:space="preserve">if the Agency </w:t>
      </w:r>
      <w:r w:rsidRPr="003B4362">
        <w:rPr>
          <w:rFonts w:eastAsia="Calibri"/>
        </w:rPr>
        <w:t>determines that the replacement is together with emergency repairs.</w:t>
      </w:r>
    </w:p>
    <w:p w14:paraId="5C483982" w14:textId="77777777" w:rsidR="00E46816" w:rsidRDefault="00E46816" w:rsidP="00E46816">
      <w:pPr>
        <w:ind w:left="2880" w:hanging="720"/>
        <w:rPr>
          <w:rFonts w:eastAsia="Calibri"/>
        </w:rPr>
      </w:pPr>
    </w:p>
    <w:p w14:paraId="32F7655D" w14:textId="21B94992" w:rsidR="00B50A91" w:rsidRPr="003B4362" w:rsidRDefault="00B50A91" w:rsidP="00E46816">
      <w:pPr>
        <w:ind w:left="2880" w:hanging="720"/>
        <w:rPr>
          <w:rFonts w:eastAsia="Calibri"/>
        </w:rPr>
      </w:pPr>
      <w:r w:rsidRPr="003B4362">
        <w:rPr>
          <w:rFonts w:eastAsia="Calibri"/>
        </w:rPr>
        <w:t>C)</w:t>
      </w:r>
      <w:r w:rsidRPr="003B4362">
        <w:rPr>
          <w:rFonts w:eastAsia="Calibri"/>
        </w:rPr>
        <w:tab/>
        <w:t>The supplier must also inform the residents the line serves that the supplier will, at the supplier’s expense, collect a representative sample of the water from the partially replaced service line for analysis of lead content, as Section 611.1356(b)(3) requires, within 72 hours after partially replacing the service line.  The supplier must collect the sample and report the results of the analysis to the owner and the residents the line serves within three business days after receiving the results.</w:t>
      </w:r>
    </w:p>
    <w:p w14:paraId="1235A8D5" w14:textId="77777777" w:rsidR="00E46816" w:rsidRDefault="00E46816" w:rsidP="00E46816">
      <w:pPr>
        <w:ind w:left="2880" w:hanging="720"/>
        <w:rPr>
          <w:rFonts w:eastAsia="Calibri"/>
        </w:rPr>
      </w:pPr>
    </w:p>
    <w:p w14:paraId="57F8747B" w14:textId="59D31767" w:rsidR="00B50A91" w:rsidRPr="003B4362" w:rsidRDefault="00B50A91" w:rsidP="00E46816">
      <w:pPr>
        <w:ind w:left="2880" w:hanging="720"/>
        <w:rPr>
          <w:rFonts w:eastAsia="Calibri"/>
        </w:rPr>
      </w:pPr>
      <w:r w:rsidRPr="003B4362">
        <w:rPr>
          <w:rFonts w:eastAsia="Calibri"/>
        </w:rPr>
        <w:t>D)</w:t>
      </w:r>
      <w:r w:rsidRPr="003B4362">
        <w:rPr>
          <w:rFonts w:eastAsia="Calibri"/>
        </w:rPr>
        <w:tab/>
        <w:t>Mailed notices post-marked within three business days after the supplier receives the results are timely.</w:t>
      </w:r>
    </w:p>
    <w:p w14:paraId="5A3C7A06" w14:textId="77777777" w:rsidR="00E46816" w:rsidRDefault="00E46816" w:rsidP="00E46816">
      <w:pPr>
        <w:ind w:left="2160" w:hanging="720"/>
        <w:rPr>
          <w:rFonts w:eastAsia="Calibri"/>
        </w:rPr>
      </w:pPr>
    </w:p>
    <w:p w14:paraId="71996866" w14:textId="2F9AA1C3" w:rsidR="00B50A91" w:rsidRPr="003B4362" w:rsidRDefault="00B50A91" w:rsidP="00E46816">
      <w:pPr>
        <w:ind w:left="2160" w:hanging="720"/>
        <w:rPr>
          <w:rFonts w:eastAsia="Calibri"/>
        </w:rPr>
      </w:pPr>
      <w:r w:rsidRPr="003B4362">
        <w:rPr>
          <w:rFonts w:eastAsia="Calibri"/>
        </w:rPr>
        <w:t>2)</w:t>
      </w:r>
      <w:r w:rsidRPr="003B4362">
        <w:rPr>
          <w:rFonts w:eastAsia="Calibri"/>
        </w:rPr>
        <w:tab/>
        <w:t>The water supplier must provide the information subsection (d)(1) requires to the residents of individual dwellings by mail or by other methods the Agency approved in a SEP.  If the service line serves multi-family dwellings, the Agency must allow the water supplier to post the information at a conspicuous location.</w:t>
      </w:r>
    </w:p>
    <w:p w14:paraId="00C94818" w14:textId="77777777" w:rsidR="00E46816" w:rsidRDefault="00E46816" w:rsidP="00E46816">
      <w:pPr>
        <w:ind w:left="1440" w:hanging="720"/>
        <w:rPr>
          <w:rFonts w:eastAsia="Calibri"/>
        </w:rPr>
      </w:pPr>
    </w:p>
    <w:p w14:paraId="25470977" w14:textId="5D221D42" w:rsidR="00B50A91" w:rsidRPr="003B4362" w:rsidRDefault="00B50A91" w:rsidP="00E46816">
      <w:pPr>
        <w:ind w:left="1440" w:hanging="720"/>
        <w:rPr>
          <w:rFonts w:eastAsia="Calibri"/>
        </w:rPr>
      </w:pPr>
      <w:r w:rsidRPr="003B4362">
        <w:rPr>
          <w:rFonts w:eastAsia="Calibri"/>
        </w:rPr>
        <w:t>e)</w:t>
      </w:r>
      <w:r w:rsidRPr="003B4362">
        <w:rPr>
          <w:rFonts w:eastAsia="Calibri"/>
        </w:rPr>
        <w:tab/>
        <w:t>Agency Determining a Shorter Replacement Schedule</w:t>
      </w:r>
    </w:p>
    <w:p w14:paraId="4AC17C1D" w14:textId="77777777" w:rsidR="00E46816" w:rsidRDefault="00E46816" w:rsidP="00E46816">
      <w:pPr>
        <w:ind w:left="2160" w:hanging="720"/>
        <w:rPr>
          <w:rFonts w:eastAsia="Calibri"/>
        </w:rPr>
      </w:pPr>
    </w:p>
    <w:p w14:paraId="3142F02D" w14:textId="44DF6F66" w:rsidR="00B50A91" w:rsidRPr="003B4362" w:rsidRDefault="00B50A91" w:rsidP="00E46816">
      <w:pPr>
        <w:ind w:left="2160" w:hanging="720"/>
        <w:rPr>
          <w:rFonts w:eastAsia="Calibri"/>
        </w:rPr>
      </w:pPr>
      <w:r w:rsidRPr="003B4362">
        <w:rPr>
          <w:rFonts w:eastAsia="Calibri"/>
        </w:rPr>
        <w:t>1)</w:t>
      </w:r>
      <w:r w:rsidRPr="003B4362">
        <w:rPr>
          <w:rFonts w:eastAsia="Calibri"/>
        </w:rPr>
        <w:tab/>
        <w:t>The Agency must issue a SEP requiring a supplier to replace lead service lines on a shorter schedule than this Section otherwise requires if the Agency determines, taking into account the number of lead service lines in the system, that the supplier’s shorter replacement schedule is feasible.</w:t>
      </w:r>
    </w:p>
    <w:p w14:paraId="0D2B4FD1" w14:textId="77777777" w:rsidR="00E46816" w:rsidRDefault="00E46816" w:rsidP="00E46816">
      <w:pPr>
        <w:ind w:left="2160" w:hanging="720"/>
        <w:rPr>
          <w:rFonts w:eastAsia="Calibri"/>
        </w:rPr>
      </w:pPr>
    </w:p>
    <w:p w14:paraId="7004AEEF" w14:textId="7BC34497" w:rsidR="00B50A91" w:rsidRPr="003B4362" w:rsidRDefault="00B50A91" w:rsidP="00E46816">
      <w:pPr>
        <w:ind w:left="2160" w:hanging="720"/>
        <w:rPr>
          <w:rFonts w:eastAsia="Calibri"/>
        </w:rPr>
      </w:pPr>
      <w:r w:rsidRPr="003B4362">
        <w:rPr>
          <w:rFonts w:eastAsia="Calibri"/>
        </w:rPr>
        <w:t>2)</w:t>
      </w:r>
      <w:r w:rsidRPr="003B4362">
        <w:rPr>
          <w:rFonts w:eastAsia="Calibri"/>
        </w:rPr>
        <w:tab/>
        <w:t>The Agency must notify the supplier of its finding under subsection (e)(1) within six months after monitoring triggers the supplier into beginning lead service line replacement under subsection (a).</w:t>
      </w:r>
    </w:p>
    <w:p w14:paraId="4499542D" w14:textId="77777777" w:rsidR="00E46816" w:rsidRDefault="00E46816" w:rsidP="00E46816">
      <w:pPr>
        <w:ind w:left="1440" w:hanging="720"/>
        <w:rPr>
          <w:rFonts w:eastAsia="Calibri"/>
        </w:rPr>
      </w:pPr>
    </w:p>
    <w:p w14:paraId="7EB7F6B0" w14:textId="51A1BB3F" w:rsidR="00B50A91" w:rsidRPr="003B4362" w:rsidRDefault="00B50A91" w:rsidP="00E46816">
      <w:pPr>
        <w:ind w:left="1440" w:hanging="720"/>
        <w:rPr>
          <w:rFonts w:eastAsia="Calibri"/>
        </w:rPr>
      </w:pPr>
      <w:r w:rsidRPr="003B4362">
        <w:rPr>
          <w:rFonts w:eastAsia="Calibri"/>
        </w:rPr>
        <w:t>f)</w:t>
      </w:r>
      <w:r w:rsidRPr="003B4362">
        <w:rPr>
          <w:rFonts w:eastAsia="Calibri"/>
        </w:rPr>
        <w:tab/>
        <w:t>Ceasing Service Line Replacement</w:t>
      </w:r>
    </w:p>
    <w:p w14:paraId="149F3552" w14:textId="77777777" w:rsidR="00E46816" w:rsidRDefault="00E46816" w:rsidP="00E46816">
      <w:pPr>
        <w:ind w:left="2160" w:hanging="720"/>
        <w:rPr>
          <w:rFonts w:eastAsia="Calibri"/>
        </w:rPr>
      </w:pPr>
    </w:p>
    <w:p w14:paraId="727FC57B" w14:textId="493F1897" w:rsidR="00B50A91" w:rsidRPr="003B4362" w:rsidRDefault="00B50A91" w:rsidP="00E46816">
      <w:pPr>
        <w:ind w:left="2160" w:hanging="720"/>
        <w:rPr>
          <w:rFonts w:eastAsia="Calibri"/>
        </w:rPr>
      </w:pPr>
      <w:r w:rsidRPr="003B4362">
        <w:rPr>
          <w:rFonts w:eastAsia="Calibri"/>
        </w:rPr>
        <w:t>1)</w:t>
      </w:r>
      <w:r w:rsidRPr="003B4362">
        <w:rPr>
          <w:rFonts w:eastAsia="Calibri"/>
        </w:rPr>
        <w:tab/>
        <w:t>Any supplier may cease replacing lead service lines whenever the supplier fulfills both two conditions:</w:t>
      </w:r>
    </w:p>
    <w:p w14:paraId="6FAF3ECD" w14:textId="77777777" w:rsidR="00E46816" w:rsidRDefault="00E46816" w:rsidP="00E46816">
      <w:pPr>
        <w:ind w:left="2880" w:hanging="720"/>
        <w:rPr>
          <w:rFonts w:eastAsia="Calibri"/>
        </w:rPr>
      </w:pPr>
    </w:p>
    <w:p w14:paraId="2AC7F027" w14:textId="3ACD43CF" w:rsidR="00B50A91" w:rsidRPr="003B4362" w:rsidRDefault="00B50A91" w:rsidP="00E46816">
      <w:pPr>
        <w:ind w:left="2880" w:hanging="720"/>
        <w:rPr>
          <w:rFonts w:eastAsia="Calibri"/>
        </w:rPr>
      </w:pPr>
      <w:r w:rsidRPr="003B4362">
        <w:rPr>
          <w:rFonts w:eastAsia="Calibri"/>
        </w:rPr>
        <w:lastRenderedPageBreak/>
        <w:t>A)</w:t>
      </w:r>
      <w:r w:rsidRPr="003B4362">
        <w:rPr>
          <w:rFonts w:eastAsia="Calibri"/>
        </w:rPr>
        <w:tab/>
        <w:t>First</w:t>
      </w:r>
      <w:r w:rsidR="00C75F10" w:rsidRPr="003B4362">
        <w:rPr>
          <w:rFonts w:eastAsia="Calibri"/>
        </w:rPr>
        <w:t>-</w:t>
      </w:r>
      <w:r w:rsidRPr="003B4362">
        <w:rPr>
          <w:rFonts w:eastAsia="Calibri"/>
        </w:rPr>
        <w:t>draw tap samples the supplier collected under Section 611.1356(b)(2) meet the lead action level during each of two consecutive six-month monitoring periods; and</w:t>
      </w:r>
    </w:p>
    <w:p w14:paraId="4AEFC202" w14:textId="77777777" w:rsidR="00E46816" w:rsidRDefault="00E46816" w:rsidP="00E46816">
      <w:pPr>
        <w:ind w:left="2880" w:hanging="720"/>
        <w:rPr>
          <w:rFonts w:eastAsia="Calibri"/>
        </w:rPr>
      </w:pPr>
    </w:p>
    <w:p w14:paraId="79264AEC" w14:textId="77777777" w:rsidR="00E46816" w:rsidRDefault="00E46816" w:rsidP="00E46816">
      <w:pPr>
        <w:ind w:left="2880" w:hanging="720"/>
        <w:rPr>
          <w:rFonts w:eastAsia="Calibri"/>
        </w:rPr>
      </w:pPr>
    </w:p>
    <w:p w14:paraId="5354D45F" w14:textId="6AF2A163" w:rsidR="00B50A91" w:rsidRPr="003B4362" w:rsidRDefault="00B50A91" w:rsidP="00E46816">
      <w:pPr>
        <w:ind w:left="2880" w:hanging="720"/>
        <w:rPr>
          <w:rFonts w:eastAsia="Calibri"/>
        </w:rPr>
      </w:pPr>
      <w:r w:rsidRPr="003B4362">
        <w:rPr>
          <w:rFonts w:eastAsia="Calibri"/>
        </w:rPr>
        <w:t>B)</w:t>
      </w:r>
      <w:r w:rsidRPr="003B4362">
        <w:rPr>
          <w:rFonts w:eastAsia="Calibri"/>
        </w:rPr>
        <w:tab/>
        <w:t>The supplier submitted those results to the Agency.</w:t>
      </w:r>
    </w:p>
    <w:p w14:paraId="78640FEF" w14:textId="030D216C" w:rsidR="00B50A91" w:rsidRPr="003B4362" w:rsidRDefault="00B50A91" w:rsidP="00E46816">
      <w:pPr>
        <w:ind w:left="2160" w:hanging="720"/>
        <w:rPr>
          <w:rFonts w:eastAsia="Calibri"/>
        </w:rPr>
      </w:pPr>
      <w:r w:rsidRPr="003B4362">
        <w:rPr>
          <w:rFonts w:eastAsia="Calibri"/>
        </w:rPr>
        <w:t>2)</w:t>
      </w:r>
      <w:r w:rsidRPr="003B4362">
        <w:rPr>
          <w:rFonts w:eastAsia="Calibri"/>
        </w:rPr>
        <w:tab/>
        <w:t>If any of the supplier’s first</w:t>
      </w:r>
      <w:r w:rsidR="00E675A1" w:rsidRPr="003B4362">
        <w:rPr>
          <w:rFonts w:eastAsia="Calibri"/>
        </w:rPr>
        <w:t>-</w:t>
      </w:r>
      <w:r w:rsidRPr="003B4362">
        <w:rPr>
          <w:rFonts w:eastAsia="Calibri"/>
        </w:rPr>
        <w:t>draw tap samples later exceeds the lead action level, the supplier must resume replacing lead service lines under subsection (b)(2).</w:t>
      </w:r>
    </w:p>
    <w:p w14:paraId="4228F89C" w14:textId="77777777" w:rsidR="00E46816" w:rsidRDefault="00E46816" w:rsidP="00E46816">
      <w:pPr>
        <w:ind w:left="1440" w:hanging="720"/>
        <w:rPr>
          <w:rFonts w:eastAsia="Calibri"/>
        </w:rPr>
      </w:pPr>
    </w:p>
    <w:p w14:paraId="31C43258" w14:textId="4D153898" w:rsidR="00B50A91" w:rsidRPr="003B4362" w:rsidRDefault="00B50A91" w:rsidP="00E46816">
      <w:pPr>
        <w:ind w:left="1440" w:hanging="720"/>
        <w:rPr>
          <w:rFonts w:eastAsia="Calibri"/>
        </w:rPr>
      </w:pPr>
      <w:r w:rsidRPr="003B4362">
        <w:rPr>
          <w:rFonts w:eastAsia="Calibri"/>
        </w:rPr>
        <w:t>g)</w:t>
      </w:r>
      <w:r w:rsidRPr="003B4362">
        <w:rPr>
          <w:rFonts w:eastAsia="Calibri"/>
        </w:rPr>
        <w:tab/>
        <w:t>To demonstrate that it complies with subsections (a) through (d), a supplier must report to the Agency the information Section 611.1360(e) specifies.</w:t>
      </w:r>
    </w:p>
    <w:p w14:paraId="0F6AB14F" w14:textId="77777777" w:rsidR="00E46816" w:rsidRDefault="00E46816" w:rsidP="00E46816">
      <w:pPr>
        <w:rPr>
          <w:rFonts w:eastAsia="Calibri"/>
        </w:rPr>
      </w:pPr>
    </w:p>
    <w:p w14:paraId="4ECC30CF" w14:textId="38D646E6" w:rsidR="00B50A91" w:rsidRPr="003B4362" w:rsidRDefault="00B50A91" w:rsidP="00E46816">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611.1354 and </w:t>
      </w:r>
      <w:r w:rsidRPr="003B4362">
        <w:rPr>
          <w:rFonts w:eastAsia="Calibri"/>
          <w:spacing w:val="-3"/>
        </w:rPr>
        <w:t xml:space="preserve">derives </w:t>
      </w:r>
      <w:r w:rsidRPr="003B4362">
        <w:rPr>
          <w:rFonts w:eastAsia="Calibri"/>
        </w:rPr>
        <w:t>from 40 CFR 141.84</w:t>
      </w:r>
      <w:r w:rsidR="00D15B76" w:rsidRPr="003B4362">
        <w:rPr>
          <w:rFonts w:eastAsia="Calibri"/>
        </w:rPr>
        <w:t xml:space="preserve"> (2020)</w:t>
      </w:r>
      <w:r w:rsidRPr="003B4362">
        <w:rPr>
          <w:rFonts w:eastAsia="Calibri"/>
        </w:rPr>
        <w:t>.</w:t>
      </w:r>
    </w:p>
    <w:p w14:paraId="0997A0BC" w14:textId="77777777" w:rsidR="00E46816" w:rsidRDefault="00E46816" w:rsidP="00E46816">
      <w:pPr>
        <w:suppressAutoHyphens/>
        <w:ind w:left="720"/>
        <w:rPr>
          <w:rFonts w:eastAsia="Calibri"/>
        </w:rPr>
      </w:pPr>
    </w:p>
    <w:p w14:paraId="0A79630C" w14:textId="24B7F0ED" w:rsidR="00B50A91" w:rsidRDefault="00EB353D" w:rsidP="00E46816">
      <w:pPr>
        <w:suppressAutoHyphens/>
        <w:ind w:left="720"/>
        <w:rPr>
          <w:rFonts w:eastAsia="Calibri"/>
        </w:rPr>
      </w:pPr>
      <w:r w:rsidRPr="003B4362">
        <w:rPr>
          <w:rFonts w:eastAsia="Calibri"/>
        </w:rPr>
        <w:t>(Source:  A</w:t>
      </w:r>
      <w:r w:rsidR="00B65583"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3FA26733" w14:textId="77777777" w:rsidR="005605D6" w:rsidRPr="003B4362" w:rsidRDefault="005605D6" w:rsidP="00E46816">
      <w:pPr>
        <w:suppressAutoHyphens/>
        <w:ind w:left="720"/>
        <w:rPr>
          <w:rFonts w:eastAsia="Calibri"/>
        </w:rPr>
      </w:pPr>
    </w:p>
    <w:p w14:paraId="6DD981C6" w14:textId="77777777" w:rsidR="00B50A91" w:rsidRPr="003B4362" w:rsidRDefault="00B50A91" w:rsidP="00E46816">
      <w:pPr>
        <w:rPr>
          <w:rFonts w:eastAsia="Calibri"/>
          <w:b/>
          <w:bCs/>
        </w:rPr>
      </w:pPr>
      <w:r w:rsidRPr="003B4362">
        <w:rPr>
          <w:rFonts w:eastAsia="Calibri"/>
          <w:b/>
          <w:bCs/>
        </w:rPr>
        <w:t>Section 611.1355  Public Education and Supplemental Monitoring</w:t>
      </w:r>
    </w:p>
    <w:p w14:paraId="0EBCE223" w14:textId="77777777" w:rsidR="00E46816" w:rsidRDefault="00E46816" w:rsidP="00E46816">
      <w:pPr>
        <w:rPr>
          <w:rFonts w:eastAsia="Calibri"/>
        </w:rPr>
      </w:pPr>
    </w:p>
    <w:p w14:paraId="4C546E88" w14:textId="6C6F8E8F" w:rsidR="00B50A91" w:rsidRPr="003B4362" w:rsidRDefault="00B50A91" w:rsidP="00E46816">
      <w:pPr>
        <w:rPr>
          <w:rFonts w:eastAsia="Calibri"/>
        </w:rPr>
      </w:pPr>
      <w:r w:rsidRPr="003B4362">
        <w:rPr>
          <w:rFonts w:eastAsia="Calibri"/>
        </w:rPr>
        <w:t>A supplier exceeding the lead action level based on tap water samples under Section 611.1356 must deliver the public education materials subsection (a) requires under subsection (b).  A supplier exceeding the lead action level must sample the tap water of any customer requesting sampling under subsection (c).  A supplier must deliver a consumer notice of lead tap water monitoring results to persons the supplier serves at each site that the supplier tests, as subsection (d) specifies.</w:t>
      </w:r>
    </w:p>
    <w:p w14:paraId="3F89B001" w14:textId="77777777" w:rsidR="00E46816" w:rsidRDefault="00E46816" w:rsidP="00E46816">
      <w:pPr>
        <w:ind w:left="1440" w:hanging="720"/>
        <w:rPr>
          <w:rFonts w:eastAsia="Calibri"/>
        </w:rPr>
      </w:pPr>
    </w:p>
    <w:p w14:paraId="5E213CEF" w14:textId="7F3C18A0" w:rsidR="00B50A91" w:rsidRPr="003B4362" w:rsidRDefault="00B50A91" w:rsidP="00E46816">
      <w:pPr>
        <w:ind w:left="1440" w:hanging="720"/>
        <w:rPr>
          <w:rFonts w:eastAsia="Calibri"/>
        </w:rPr>
      </w:pPr>
      <w:r w:rsidRPr="003B4362">
        <w:rPr>
          <w:rFonts w:eastAsia="Calibri"/>
        </w:rPr>
        <w:t>a)</w:t>
      </w:r>
      <w:r w:rsidRPr="003B4362">
        <w:rPr>
          <w:rFonts w:eastAsia="Calibri"/>
        </w:rPr>
        <w:tab/>
        <w:t>Content of Written Public Education Materials</w:t>
      </w:r>
    </w:p>
    <w:p w14:paraId="37BEC238" w14:textId="77777777" w:rsidR="00E46816" w:rsidRDefault="00E46816" w:rsidP="00E46816">
      <w:pPr>
        <w:ind w:left="2160" w:hanging="720"/>
        <w:rPr>
          <w:rFonts w:eastAsia="Calibri"/>
        </w:rPr>
      </w:pPr>
    </w:p>
    <w:p w14:paraId="3C2B7B62" w14:textId="2031F633" w:rsidR="00B50A91" w:rsidRPr="003B4362" w:rsidRDefault="00B50A91" w:rsidP="00E46816">
      <w:pPr>
        <w:ind w:left="2160" w:hanging="720"/>
        <w:rPr>
          <w:rFonts w:eastAsia="Calibri"/>
        </w:rPr>
      </w:pPr>
      <w:r w:rsidRPr="003B4362">
        <w:rPr>
          <w:rFonts w:eastAsia="Calibri"/>
        </w:rPr>
        <w:t>1)</w:t>
      </w:r>
      <w:r w:rsidRPr="003B4362">
        <w:rPr>
          <w:rFonts w:eastAsia="Calibri"/>
        </w:rPr>
        <w:tab/>
        <w:t>Community Water Systems and Non-Transient Non-Community Water Systems.  A CWS or NTNCWS supplier must include the following elements in printed materials (e.g., brochures and pamphlets) in the same order as listed in subsections (a)(1)(A) through (a)(1)(F).  In addition, the supplier must use the verbatim language in subsections (a)(1)(A), (a)(1)(B), and (a)(1)(F), except for replacing the text in brackets with the system-specific information.  Any additional information a supplier presents must be consistent with the information in subsections (a)(1)(A) through (a)(1)(F), and the supplier must present the additional information in plain language that the general public can understand.  The supplier must submit all written public education materials to the Agency.</w:t>
      </w:r>
    </w:p>
    <w:p w14:paraId="6D849CD6" w14:textId="77777777" w:rsidR="00E46816" w:rsidRDefault="00E46816" w:rsidP="00E46816">
      <w:pPr>
        <w:ind w:left="2880" w:hanging="720"/>
        <w:rPr>
          <w:rFonts w:eastAsia="Calibri"/>
        </w:rPr>
      </w:pPr>
    </w:p>
    <w:p w14:paraId="6B294148" w14:textId="2C2DA0F5" w:rsidR="00B50A91" w:rsidRPr="003B4362" w:rsidRDefault="00B50A91" w:rsidP="00E46816">
      <w:pPr>
        <w:ind w:left="2880" w:hanging="720"/>
        <w:rPr>
          <w:rFonts w:eastAsia="Calibri"/>
        </w:rPr>
      </w:pPr>
      <w:r w:rsidRPr="003B4362">
        <w:rPr>
          <w:rFonts w:eastAsia="Calibri"/>
        </w:rPr>
        <w:t>A)</w:t>
      </w:r>
      <w:r w:rsidRPr="003B4362">
        <w:rPr>
          <w:rFonts w:eastAsia="Calibri"/>
        </w:rPr>
        <w:tab/>
        <w:t xml:space="preserve">IMPORTANT INFORMATION ABOUT LEAD IN YOUR DRINKING WATER.  [INSERT NAME OF SUPPLIER] found elevated levels of lead in drinking water in some homes/buildings.  Lead can cause serious health problems, especially for pregnant </w:t>
      </w:r>
      <w:r w:rsidRPr="003B4362">
        <w:rPr>
          <w:rFonts w:eastAsia="Calibri"/>
        </w:rPr>
        <w:lastRenderedPageBreak/>
        <w:t>women and young children.  Please read this information closely to see what you can do to reduce lead in your drinking water.</w:t>
      </w:r>
    </w:p>
    <w:p w14:paraId="6F4A6DBC" w14:textId="77777777" w:rsidR="00E46816" w:rsidRDefault="00E46816" w:rsidP="00E46816">
      <w:pPr>
        <w:ind w:left="2880" w:hanging="720"/>
        <w:rPr>
          <w:rFonts w:eastAsia="Calibri"/>
        </w:rPr>
      </w:pPr>
    </w:p>
    <w:p w14:paraId="28BA4977" w14:textId="1381A2AC" w:rsidR="00B50A91" w:rsidRPr="003B4362" w:rsidRDefault="00B50A91" w:rsidP="00E46816">
      <w:pPr>
        <w:ind w:left="2880" w:hanging="720"/>
        <w:rPr>
          <w:rFonts w:eastAsia="Calibri"/>
        </w:rPr>
      </w:pPr>
      <w:r w:rsidRPr="003B4362">
        <w:rPr>
          <w:rFonts w:eastAsia="Calibri"/>
        </w:rPr>
        <w:t>B)</w:t>
      </w:r>
      <w:r w:rsidRPr="003B4362">
        <w:rPr>
          <w:rFonts w:eastAsia="Calibri"/>
        </w:rPr>
        <w:tab/>
        <w:t>Health Effects of Lead.  Lead can cause serious health problems if too much enters your body from drinking water or other sources.  It can cause damage to the brain and kidneys and can interfere with the production of red blood cells that carry oxygen to all parts of your body.  The greatest risk of lead exposure is to infants, young children, and pregnant women.  Scientists have linked the effects of lead on the brain with lowered IQ in children.  Adults with kidney problems and high blood pressure can be affected by low levels of lead more than healthy adults.  Lead is stored in the bones, and it can be released later in life.  During pregnancy, the child receives lead from the mother’s bones, which may affect brain development.</w:t>
      </w:r>
    </w:p>
    <w:p w14:paraId="38556190" w14:textId="77777777" w:rsidR="00E46816" w:rsidRDefault="00E46816" w:rsidP="00E46816">
      <w:pPr>
        <w:ind w:left="2880" w:hanging="720"/>
        <w:rPr>
          <w:rFonts w:eastAsia="Calibri"/>
        </w:rPr>
      </w:pPr>
    </w:p>
    <w:p w14:paraId="0DA119B3" w14:textId="1560A98E" w:rsidR="00B50A91" w:rsidRPr="003B4362" w:rsidRDefault="00B50A91" w:rsidP="00E46816">
      <w:pPr>
        <w:ind w:left="2880" w:hanging="720"/>
        <w:rPr>
          <w:rFonts w:eastAsia="Calibri"/>
        </w:rPr>
      </w:pPr>
      <w:r w:rsidRPr="003B4362">
        <w:rPr>
          <w:rFonts w:eastAsia="Calibri"/>
        </w:rPr>
        <w:t>C)</w:t>
      </w:r>
      <w:r w:rsidRPr="003B4362">
        <w:rPr>
          <w:rFonts w:eastAsia="Calibri"/>
        </w:rPr>
        <w:tab/>
        <w:t>Sources of Lead</w:t>
      </w:r>
    </w:p>
    <w:p w14:paraId="32390F40" w14:textId="77777777" w:rsidR="00E46816" w:rsidRDefault="00E46816" w:rsidP="00E46816">
      <w:pPr>
        <w:ind w:left="3600" w:hanging="720"/>
        <w:rPr>
          <w:rFonts w:eastAsia="Calibri"/>
        </w:rPr>
      </w:pPr>
    </w:p>
    <w:p w14:paraId="786395BB" w14:textId="3E8C94E6" w:rsidR="00B50A91" w:rsidRPr="003B4362" w:rsidRDefault="00B50A91" w:rsidP="00E46816">
      <w:pPr>
        <w:ind w:left="3600" w:hanging="720"/>
        <w:rPr>
          <w:rFonts w:eastAsia="Calibri"/>
        </w:rPr>
      </w:pPr>
      <w:r w:rsidRPr="003B4362">
        <w:rPr>
          <w:rFonts w:eastAsia="Calibri"/>
        </w:rPr>
        <w:t>i)</w:t>
      </w:r>
      <w:r w:rsidRPr="003B4362">
        <w:rPr>
          <w:rFonts w:eastAsia="Calibri"/>
        </w:rPr>
        <w:tab/>
        <w:t>Explain what lead is.</w:t>
      </w:r>
    </w:p>
    <w:p w14:paraId="063EFF25" w14:textId="77777777" w:rsidR="00E46816" w:rsidRDefault="00E46816" w:rsidP="00E46816">
      <w:pPr>
        <w:ind w:left="3600" w:hanging="720"/>
        <w:rPr>
          <w:rFonts w:eastAsia="Calibri"/>
        </w:rPr>
      </w:pPr>
    </w:p>
    <w:p w14:paraId="1F741F7F" w14:textId="520ADFF8" w:rsidR="00B50A91" w:rsidRPr="003B4362" w:rsidRDefault="00B50A91" w:rsidP="00E46816">
      <w:pPr>
        <w:ind w:left="3600" w:hanging="720"/>
        <w:rPr>
          <w:rFonts w:eastAsia="Calibri"/>
        </w:rPr>
      </w:pPr>
      <w:r w:rsidRPr="003B4362">
        <w:rPr>
          <w:rFonts w:eastAsia="Calibri"/>
        </w:rPr>
        <w:t>ii)</w:t>
      </w:r>
      <w:r w:rsidRPr="003B4362">
        <w:rPr>
          <w:rFonts w:eastAsia="Calibri"/>
        </w:rPr>
        <w:tab/>
        <w:t>Explain possible sources of lead in drinking water and how lead enters drinking water.  Include information on home and building plumbing materials and service lines that may contain lead.</w:t>
      </w:r>
    </w:p>
    <w:p w14:paraId="50256CE6" w14:textId="77777777" w:rsidR="00E46816" w:rsidRDefault="00E46816" w:rsidP="00E46816">
      <w:pPr>
        <w:ind w:left="3600" w:hanging="720"/>
        <w:rPr>
          <w:rFonts w:eastAsia="Calibri"/>
        </w:rPr>
      </w:pPr>
    </w:p>
    <w:p w14:paraId="44E908A7" w14:textId="39CEDDF2" w:rsidR="00B50A91" w:rsidRPr="003B4362" w:rsidRDefault="00B50A91" w:rsidP="00E46816">
      <w:pPr>
        <w:ind w:left="3600" w:hanging="720"/>
        <w:rPr>
          <w:rFonts w:eastAsia="Calibri"/>
        </w:rPr>
      </w:pPr>
      <w:r w:rsidRPr="003B4362">
        <w:rPr>
          <w:rFonts w:eastAsia="Calibri"/>
        </w:rPr>
        <w:t>iii)</w:t>
      </w:r>
      <w:r w:rsidRPr="003B4362">
        <w:rPr>
          <w:rFonts w:eastAsia="Calibri"/>
        </w:rPr>
        <w:tab/>
        <w:t>Discuss other important sources of lead exposure in addition to drinking water (e.g., paint).</w:t>
      </w:r>
    </w:p>
    <w:p w14:paraId="219BA272" w14:textId="77777777" w:rsidR="00E46816" w:rsidRDefault="00E46816" w:rsidP="00E46816">
      <w:pPr>
        <w:ind w:left="2880"/>
        <w:rPr>
          <w:rFonts w:eastAsia="Calibri"/>
        </w:rPr>
      </w:pPr>
    </w:p>
    <w:p w14:paraId="3AFDCD61" w14:textId="46CF812E" w:rsidR="00B50A91" w:rsidRPr="003B4362" w:rsidRDefault="00B50A91" w:rsidP="00E46816">
      <w:pPr>
        <w:ind w:left="2880"/>
        <w:rPr>
          <w:rFonts w:eastAsia="Calibri"/>
        </w:rPr>
      </w:pPr>
      <w:r w:rsidRPr="003B4362">
        <w:rPr>
          <w:rFonts w:eastAsia="Calibri"/>
        </w:rPr>
        <w:t>BOARD NOTE:  The supplier must use text providing the information this subsection (a)(1)(C) describes.</w:t>
      </w:r>
    </w:p>
    <w:p w14:paraId="0B59D587" w14:textId="77777777" w:rsidR="00E46816" w:rsidRDefault="00E46816" w:rsidP="00E46816">
      <w:pPr>
        <w:ind w:left="2880" w:hanging="720"/>
        <w:rPr>
          <w:rFonts w:eastAsia="Calibri"/>
        </w:rPr>
      </w:pPr>
    </w:p>
    <w:p w14:paraId="35BCCC7E" w14:textId="6AB3B5FF" w:rsidR="00B50A91" w:rsidRPr="003B4362" w:rsidRDefault="00B50A91" w:rsidP="00E46816">
      <w:pPr>
        <w:ind w:left="2880" w:hanging="720"/>
        <w:rPr>
          <w:rFonts w:eastAsia="Calibri"/>
        </w:rPr>
      </w:pPr>
      <w:r w:rsidRPr="003B4362">
        <w:rPr>
          <w:rFonts w:eastAsia="Calibri"/>
        </w:rPr>
        <w:t>D)</w:t>
      </w:r>
      <w:r w:rsidRPr="003B4362">
        <w:rPr>
          <w:rFonts w:eastAsia="Calibri"/>
        </w:rPr>
        <w:tab/>
        <w:t>Discuss the steps the consumer can take to reduce exposure to lead in drinking water.</w:t>
      </w:r>
    </w:p>
    <w:p w14:paraId="7DE16DC1" w14:textId="77777777" w:rsidR="00E46816" w:rsidRDefault="00E46816" w:rsidP="00E46816">
      <w:pPr>
        <w:ind w:left="3600" w:hanging="720"/>
        <w:rPr>
          <w:rFonts w:eastAsia="Calibri"/>
        </w:rPr>
      </w:pPr>
    </w:p>
    <w:p w14:paraId="26FDD7D7" w14:textId="10614003" w:rsidR="00B50A91" w:rsidRPr="003B4362" w:rsidRDefault="00B50A91" w:rsidP="00E46816">
      <w:pPr>
        <w:ind w:left="3600" w:hanging="720"/>
        <w:rPr>
          <w:rFonts w:eastAsia="Calibri"/>
        </w:rPr>
      </w:pPr>
      <w:r w:rsidRPr="003B4362">
        <w:rPr>
          <w:rFonts w:eastAsia="Calibri"/>
        </w:rPr>
        <w:t>i)</w:t>
      </w:r>
      <w:r w:rsidRPr="003B4362">
        <w:rPr>
          <w:rFonts w:eastAsia="Calibri"/>
        </w:rPr>
        <w:tab/>
        <w:t>Encourage running the water to flush out the lead.</w:t>
      </w:r>
    </w:p>
    <w:p w14:paraId="4A1DD760" w14:textId="77777777" w:rsidR="00E46816" w:rsidRDefault="00E46816" w:rsidP="00E46816">
      <w:pPr>
        <w:ind w:left="3600" w:hanging="720"/>
        <w:rPr>
          <w:rFonts w:eastAsia="Calibri"/>
        </w:rPr>
      </w:pPr>
    </w:p>
    <w:p w14:paraId="734E1351" w14:textId="4C3C8DEF" w:rsidR="00B50A91" w:rsidRPr="003B4362" w:rsidRDefault="00B50A91" w:rsidP="00E46816">
      <w:pPr>
        <w:ind w:left="3600" w:hanging="720"/>
        <w:rPr>
          <w:rFonts w:eastAsia="Calibri"/>
        </w:rPr>
      </w:pPr>
      <w:r w:rsidRPr="003B4362">
        <w:rPr>
          <w:rFonts w:eastAsia="Calibri"/>
        </w:rPr>
        <w:t>ii)</w:t>
      </w:r>
      <w:r w:rsidRPr="003B4362">
        <w:rPr>
          <w:rFonts w:eastAsia="Calibri"/>
        </w:rPr>
        <w:tab/>
        <w:t>Explain concerns with using hot water from the tap and specifically caution against the use of hot water for preparing baby formula.</w:t>
      </w:r>
    </w:p>
    <w:p w14:paraId="211AF949" w14:textId="77777777" w:rsidR="00E46816" w:rsidRDefault="00E46816" w:rsidP="00E46816">
      <w:pPr>
        <w:ind w:left="3600" w:hanging="720"/>
        <w:rPr>
          <w:rFonts w:eastAsia="Calibri"/>
        </w:rPr>
      </w:pPr>
    </w:p>
    <w:p w14:paraId="1547FDD1" w14:textId="75DC57A3" w:rsidR="00B50A91" w:rsidRPr="003B4362" w:rsidRDefault="00B50A91" w:rsidP="00E46816">
      <w:pPr>
        <w:ind w:left="3600" w:hanging="720"/>
        <w:rPr>
          <w:rFonts w:eastAsia="Calibri"/>
        </w:rPr>
      </w:pPr>
      <w:r w:rsidRPr="003B4362">
        <w:rPr>
          <w:rFonts w:eastAsia="Calibri"/>
        </w:rPr>
        <w:t>iii)</w:t>
      </w:r>
      <w:r w:rsidRPr="003B4362">
        <w:rPr>
          <w:rFonts w:eastAsia="Calibri"/>
        </w:rPr>
        <w:tab/>
        <w:t>Explain that boiling water does not reduce lead levels.</w:t>
      </w:r>
    </w:p>
    <w:p w14:paraId="248D79D8" w14:textId="77777777" w:rsidR="00E46816" w:rsidRDefault="00E46816" w:rsidP="00E46816">
      <w:pPr>
        <w:ind w:left="3600" w:hanging="720"/>
        <w:rPr>
          <w:rFonts w:eastAsia="Calibri"/>
        </w:rPr>
      </w:pPr>
    </w:p>
    <w:p w14:paraId="05E10A47" w14:textId="22DA1CBE" w:rsidR="00B50A91" w:rsidRPr="003B4362" w:rsidRDefault="00B50A91" w:rsidP="00E46816">
      <w:pPr>
        <w:ind w:left="3600" w:hanging="720"/>
        <w:rPr>
          <w:rFonts w:eastAsia="Calibri"/>
        </w:rPr>
      </w:pPr>
      <w:r w:rsidRPr="003B4362">
        <w:rPr>
          <w:rFonts w:eastAsia="Calibri"/>
        </w:rPr>
        <w:t>iv)</w:t>
      </w:r>
      <w:r w:rsidRPr="003B4362">
        <w:rPr>
          <w:rFonts w:eastAsia="Calibri"/>
        </w:rPr>
        <w:tab/>
        <w:t>Discuss other options consumers can take to reduce exposure to lead in drinking water, such as alternative sources or water treatment.</w:t>
      </w:r>
    </w:p>
    <w:p w14:paraId="1B0B9AB9" w14:textId="77777777" w:rsidR="00E46816" w:rsidRDefault="00E46816" w:rsidP="00E46816">
      <w:pPr>
        <w:ind w:left="3600" w:hanging="720"/>
        <w:rPr>
          <w:rFonts w:eastAsia="Calibri"/>
        </w:rPr>
      </w:pPr>
    </w:p>
    <w:p w14:paraId="255406FC" w14:textId="62881E9F" w:rsidR="00B50A91" w:rsidRPr="003B4362" w:rsidRDefault="00B50A91" w:rsidP="00E46816">
      <w:pPr>
        <w:ind w:left="3600" w:hanging="720"/>
        <w:rPr>
          <w:rFonts w:eastAsia="Calibri"/>
        </w:rPr>
      </w:pPr>
      <w:r w:rsidRPr="003B4362">
        <w:rPr>
          <w:rFonts w:eastAsia="Calibri"/>
        </w:rPr>
        <w:t>v)</w:t>
      </w:r>
      <w:r w:rsidRPr="003B4362">
        <w:rPr>
          <w:rFonts w:eastAsia="Calibri"/>
        </w:rPr>
        <w:tab/>
        <w:t>Suggest that parents have their child’s blood tested for lead.</w:t>
      </w:r>
    </w:p>
    <w:p w14:paraId="2BEB6E67" w14:textId="77777777" w:rsidR="00E46816" w:rsidRDefault="00E46816" w:rsidP="00E46816">
      <w:pPr>
        <w:ind w:left="2880"/>
        <w:rPr>
          <w:rFonts w:eastAsia="Calibri"/>
        </w:rPr>
      </w:pPr>
    </w:p>
    <w:p w14:paraId="239CA613" w14:textId="273B6055" w:rsidR="00B50A91" w:rsidRPr="003B4362" w:rsidRDefault="00B50A91" w:rsidP="00E46816">
      <w:pPr>
        <w:ind w:left="2880"/>
        <w:rPr>
          <w:rFonts w:eastAsia="Calibri"/>
        </w:rPr>
      </w:pPr>
      <w:r w:rsidRPr="003B4362">
        <w:rPr>
          <w:rFonts w:eastAsia="Calibri"/>
        </w:rPr>
        <w:t>BOARD NOTE:  The supplier must use text providing the information this (a)(1)(D) describes.</w:t>
      </w:r>
    </w:p>
    <w:p w14:paraId="031AB17C" w14:textId="77777777" w:rsidR="00E46816" w:rsidRDefault="00E46816" w:rsidP="00E46816">
      <w:pPr>
        <w:ind w:left="2880" w:hanging="720"/>
        <w:rPr>
          <w:rFonts w:eastAsia="Calibri"/>
        </w:rPr>
      </w:pPr>
    </w:p>
    <w:p w14:paraId="4B9BE70A" w14:textId="01F730E0" w:rsidR="00B50A91" w:rsidRPr="003B4362" w:rsidRDefault="00B50A91" w:rsidP="00E46816">
      <w:pPr>
        <w:ind w:left="2880" w:hanging="720"/>
        <w:rPr>
          <w:rFonts w:eastAsia="Calibri"/>
        </w:rPr>
      </w:pPr>
      <w:r w:rsidRPr="003B4362">
        <w:rPr>
          <w:rFonts w:eastAsia="Calibri"/>
        </w:rPr>
        <w:t>E)</w:t>
      </w:r>
      <w:r w:rsidRPr="003B4362">
        <w:rPr>
          <w:rFonts w:eastAsia="Calibri"/>
        </w:rPr>
        <w:tab/>
        <w:t>Explain why there are elevated levels of lead in the supplier’s drinking water (if known) and what the supplier is doing to reduce the lead levels in homes and buildings in this area.</w:t>
      </w:r>
    </w:p>
    <w:p w14:paraId="4B96F7F5" w14:textId="77777777" w:rsidR="00E46816" w:rsidRDefault="00E46816" w:rsidP="00E46816">
      <w:pPr>
        <w:ind w:left="2880"/>
        <w:rPr>
          <w:rFonts w:eastAsia="Calibri"/>
        </w:rPr>
      </w:pPr>
    </w:p>
    <w:p w14:paraId="36FB570E" w14:textId="321786B1" w:rsidR="00B50A91" w:rsidRPr="003B4362" w:rsidRDefault="00B50A91" w:rsidP="00E46816">
      <w:pPr>
        <w:ind w:left="2880"/>
        <w:rPr>
          <w:rFonts w:eastAsia="Calibri"/>
        </w:rPr>
      </w:pPr>
      <w:r w:rsidRPr="003B4362">
        <w:rPr>
          <w:rFonts w:eastAsia="Calibri"/>
        </w:rPr>
        <w:t>BOARD NOTE:  The supplier must use text providing the information this (a)(1)(E) describes.</w:t>
      </w:r>
    </w:p>
    <w:p w14:paraId="6D6BDAE8" w14:textId="77777777" w:rsidR="00E46816" w:rsidRDefault="00E46816" w:rsidP="00E46816">
      <w:pPr>
        <w:ind w:left="2880" w:hanging="720"/>
        <w:rPr>
          <w:rFonts w:eastAsia="Calibri"/>
        </w:rPr>
      </w:pPr>
    </w:p>
    <w:p w14:paraId="6347878E" w14:textId="79B34505" w:rsidR="00B50A91" w:rsidRPr="003B4362" w:rsidRDefault="00B50A91" w:rsidP="00E46816">
      <w:pPr>
        <w:ind w:left="2880" w:hanging="720"/>
        <w:rPr>
          <w:rFonts w:eastAsia="Calibri"/>
        </w:rPr>
      </w:pPr>
      <w:r w:rsidRPr="003B4362">
        <w:rPr>
          <w:rFonts w:eastAsia="Calibri"/>
        </w:rPr>
        <w:t>F)</w:t>
      </w:r>
      <w:r w:rsidRPr="003B4362">
        <w:rPr>
          <w:rFonts w:eastAsia="Calibri"/>
        </w:rPr>
        <w:tab/>
        <w:t>For more information, call us at [INSERT THE SUPPLIER’S NUMBER] [(IF APPLICABLE), or visit our Web site at [INSERT THE SUPPLIER’S WEB SITE HERE]].  For more information on reducing lead exposure around your home/building and the health effects of lead, visit USEPA’s Web site at www.epa.gov/lead or contact your health care provider.</w:t>
      </w:r>
    </w:p>
    <w:p w14:paraId="40D8D450" w14:textId="77777777" w:rsidR="00E46816" w:rsidRDefault="00E46816" w:rsidP="00E46816">
      <w:pPr>
        <w:ind w:left="2160" w:hanging="720"/>
        <w:rPr>
          <w:rFonts w:eastAsia="Calibri"/>
        </w:rPr>
      </w:pPr>
    </w:p>
    <w:p w14:paraId="4A2839C3" w14:textId="5DB9ED7E" w:rsidR="00B50A91" w:rsidRPr="003B4362" w:rsidRDefault="00B50A91" w:rsidP="00E46816">
      <w:pPr>
        <w:ind w:left="2160" w:hanging="720"/>
        <w:rPr>
          <w:rFonts w:eastAsia="Calibri"/>
        </w:rPr>
      </w:pPr>
      <w:r w:rsidRPr="003B4362">
        <w:rPr>
          <w:rFonts w:eastAsia="Calibri"/>
        </w:rPr>
        <w:t>2)</w:t>
      </w:r>
      <w:r w:rsidRPr="003B4362">
        <w:rPr>
          <w:rFonts w:eastAsia="Calibri"/>
        </w:rPr>
        <w:tab/>
        <w:t>Community Water Systems.  In addition to including the elements subsection (a)(1) specifies, a CWS supplier must include two information items:</w:t>
      </w:r>
    </w:p>
    <w:p w14:paraId="4E14BD95" w14:textId="77777777" w:rsidR="00E46816" w:rsidRDefault="00E46816" w:rsidP="00E46816">
      <w:pPr>
        <w:ind w:left="2880" w:hanging="720"/>
        <w:rPr>
          <w:rFonts w:eastAsia="Calibri"/>
        </w:rPr>
      </w:pPr>
    </w:p>
    <w:p w14:paraId="043CCC41" w14:textId="5955DD39" w:rsidR="00B50A91" w:rsidRPr="003B4362" w:rsidRDefault="00B50A91" w:rsidP="00E46816">
      <w:pPr>
        <w:ind w:left="2880" w:hanging="720"/>
        <w:rPr>
          <w:rFonts w:eastAsia="Calibri"/>
        </w:rPr>
      </w:pPr>
      <w:r w:rsidRPr="003B4362">
        <w:rPr>
          <w:rFonts w:eastAsia="Calibri"/>
        </w:rPr>
        <w:t>A)</w:t>
      </w:r>
      <w:r w:rsidRPr="003B4362">
        <w:rPr>
          <w:rFonts w:eastAsia="Calibri"/>
        </w:rPr>
        <w:tab/>
        <w:t>The supplier must tell consumers how to get their water tested; and</w:t>
      </w:r>
    </w:p>
    <w:p w14:paraId="4E81B066" w14:textId="77777777" w:rsidR="00E46816" w:rsidRDefault="00E46816" w:rsidP="00E46816">
      <w:pPr>
        <w:ind w:left="2880" w:hanging="720"/>
        <w:rPr>
          <w:rFonts w:eastAsia="Calibri"/>
        </w:rPr>
      </w:pPr>
    </w:p>
    <w:p w14:paraId="2B7487FF" w14:textId="0CB9C9DC" w:rsidR="00B50A91" w:rsidRPr="003B4362" w:rsidRDefault="00B50A91" w:rsidP="00E46816">
      <w:pPr>
        <w:ind w:left="2880" w:hanging="720"/>
        <w:rPr>
          <w:rFonts w:eastAsia="Calibri"/>
        </w:rPr>
      </w:pPr>
      <w:r w:rsidRPr="003B4362">
        <w:rPr>
          <w:rFonts w:eastAsia="Calibri"/>
        </w:rPr>
        <w:t>B)</w:t>
      </w:r>
      <w:r w:rsidRPr="003B4362">
        <w:rPr>
          <w:rFonts w:eastAsia="Calibri"/>
        </w:rPr>
        <w:tab/>
        <w:t>The supplier must discuss lead in plumbing components and the difference between low-lead and lead-free components.</w:t>
      </w:r>
    </w:p>
    <w:p w14:paraId="52FD5AF5" w14:textId="77777777" w:rsidR="00E46816" w:rsidRDefault="00E46816" w:rsidP="00E46816">
      <w:pPr>
        <w:ind w:left="1440"/>
        <w:rPr>
          <w:rFonts w:eastAsia="Calibri"/>
        </w:rPr>
      </w:pPr>
    </w:p>
    <w:p w14:paraId="309205D3" w14:textId="60590ABA" w:rsidR="00B50A91" w:rsidRPr="003B4362" w:rsidRDefault="00B50A91" w:rsidP="00E46816">
      <w:pPr>
        <w:ind w:left="1440"/>
        <w:rPr>
          <w:rFonts w:eastAsia="Calibri"/>
        </w:rPr>
      </w:pPr>
      <w:r w:rsidRPr="003B4362">
        <w:rPr>
          <w:rFonts w:eastAsia="Calibri"/>
        </w:rPr>
        <w:t>BOARD NOTE:  At corresponding 40 CFR 141.85(a)(1)</w:t>
      </w:r>
      <w:r w:rsidR="00D15B76" w:rsidRPr="003B4362">
        <w:rPr>
          <w:rFonts w:eastAsia="Calibri"/>
        </w:rPr>
        <w:t xml:space="preserve"> (2020)</w:t>
      </w:r>
      <w:r w:rsidRPr="003B4362">
        <w:rPr>
          <w:rFonts w:eastAsia="Calibri"/>
        </w:rPr>
        <w:t>, USEPA allowed the State to require prior approval of written public information materials.  Rather than require prior Agency approval, the Board chooses to allow the Agency to raise any deficiencies that it may perceive using its existing procedure for review of public education materials.  The Agency outlines its standard practice for review of public information materials:  The Agency provides a comprehensive public education packet to the supplier together with the notice that the supplier exceeds the lead action level.  That packet includes guidance and templates for the supplier to use in preparing and distributing its public education materials.  The supplier must send a copy of the public education materials that it distributes to the Agency, and the Agency reviews the copy of the materials after their distribution to the public.  The Agency directly communicates to the supplier any perceived defects in the materials.  The Agency will request correction when it perceives minor defects in future distributions of the public education materials, or the Agency will request a redistribution of corrected public education materials when it perceives major defects in the materials the supplier already distributed.</w:t>
      </w:r>
    </w:p>
    <w:p w14:paraId="35EE5BF9" w14:textId="77777777" w:rsidR="00E46816" w:rsidRDefault="00E46816" w:rsidP="00E46816">
      <w:pPr>
        <w:ind w:left="1440" w:hanging="720"/>
        <w:rPr>
          <w:rFonts w:eastAsia="Calibri"/>
        </w:rPr>
      </w:pPr>
    </w:p>
    <w:p w14:paraId="6CF62E5D" w14:textId="5C975D97" w:rsidR="00B50A91" w:rsidRPr="003B4362" w:rsidRDefault="00B50A91" w:rsidP="00E46816">
      <w:pPr>
        <w:ind w:left="1440" w:hanging="720"/>
        <w:rPr>
          <w:rFonts w:eastAsia="Calibri"/>
        </w:rPr>
      </w:pPr>
      <w:r w:rsidRPr="003B4362">
        <w:rPr>
          <w:rFonts w:eastAsia="Calibri"/>
        </w:rPr>
        <w:t>b)</w:t>
      </w:r>
      <w:r w:rsidRPr="003B4362">
        <w:rPr>
          <w:rFonts w:eastAsia="Calibri"/>
        </w:rPr>
        <w:tab/>
        <w:t>Delivering Public Education Materials</w:t>
      </w:r>
    </w:p>
    <w:p w14:paraId="22CE2235" w14:textId="77777777" w:rsidR="00E46816" w:rsidRDefault="00E46816" w:rsidP="00E46816">
      <w:pPr>
        <w:ind w:left="2160" w:hanging="720"/>
        <w:rPr>
          <w:rFonts w:eastAsia="Calibri"/>
        </w:rPr>
      </w:pPr>
    </w:p>
    <w:p w14:paraId="3B5DA743" w14:textId="144B2B70" w:rsidR="00B50A91" w:rsidRPr="003B4362" w:rsidRDefault="00B50A91" w:rsidP="00E46816">
      <w:pPr>
        <w:ind w:left="2160" w:hanging="720"/>
        <w:rPr>
          <w:rFonts w:eastAsia="Calibri"/>
        </w:rPr>
      </w:pPr>
      <w:r w:rsidRPr="003B4362">
        <w:rPr>
          <w:rFonts w:eastAsia="Calibri"/>
        </w:rPr>
        <w:t>1)</w:t>
      </w:r>
      <w:r w:rsidRPr="003B4362">
        <w:rPr>
          <w:rFonts w:eastAsia="Calibri"/>
        </w:rPr>
        <w:tab/>
        <w:t xml:space="preserve">The public education materials </w:t>
      </w:r>
      <w:r w:rsidR="002F5E6E" w:rsidRPr="003B4362">
        <w:rPr>
          <w:rFonts w:eastAsia="Calibri"/>
        </w:rPr>
        <w:t xml:space="preserve">of </w:t>
      </w:r>
      <w:r w:rsidRPr="003B4362">
        <w:rPr>
          <w:rFonts w:eastAsia="Calibri"/>
        </w:rPr>
        <w:t>a supplier serving a large proportion of non-English-speaking consumers must contain information in the appropriate languages regarding the importance of the notice, or the materials must contain a telephone number or address where a water consumer may contact the supplier to obtain a translated copy of the public education materials or to request assistance in the appropriate language.</w:t>
      </w:r>
    </w:p>
    <w:p w14:paraId="67E6C492" w14:textId="77777777" w:rsidR="00E46816" w:rsidRDefault="00E46816" w:rsidP="00E46816">
      <w:pPr>
        <w:ind w:left="2160" w:hanging="720"/>
        <w:rPr>
          <w:rFonts w:eastAsia="Calibri"/>
        </w:rPr>
      </w:pPr>
    </w:p>
    <w:p w14:paraId="12E68A63" w14:textId="59031FC6" w:rsidR="00B50A91" w:rsidRPr="003B4362" w:rsidRDefault="00B50A91" w:rsidP="00E46816">
      <w:pPr>
        <w:ind w:left="2160" w:hanging="720"/>
        <w:rPr>
          <w:rFonts w:eastAsia="Calibri"/>
        </w:rPr>
      </w:pPr>
      <w:r w:rsidRPr="003B4362">
        <w:rPr>
          <w:rFonts w:eastAsia="Calibri"/>
        </w:rPr>
        <w:t>2)</w:t>
      </w:r>
      <w:r w:rsidRPr="003B4362">
        <w:rPr>
          <w:rFonts w:eastAsia="Calibri"/>
        </w:rPr>
        <w:tab/>
        <w:t xml:space="preserve">A CWS supplier exceeding the lead action level on the basis of tap water samples under Section 611.1356 not already conducting public education tasks under this Section must complete public education tasks within 60 days after the end of the monitoring period in which the </w:t>
      </w:r>
      <w:r w:rsidRPr="003B4362">
        <w:rPr>
          <w:rFonts w:eastAsia="Calibri"/>
          <w:szCs w:val="24"/>
        </w:rPr>
        <w:t xml:space="preserve">exceedance </w:t>
      </w:r>
      <w:r w:rsidRPr="003B4362">
        <w:rPr>
          <w:rFonts w:eastAsia="Calibri"/>
        </w:rPr>
        <w:t>occurred:</w:t>
      </w:r>
    </w:p>
    <w:p w14:paraId="50D576AC" w14:textId="77777777" w:rsidR="00E46816" w:rsidRDefault="00E46816" w:rsidP="00E46816">
      <w:pPr>
        <w:ind w:left="2880" w:hanging="720"/>
        <w:rPr>
          <w:rFonts w:eastAsia="Calibri"/>
        </w:rPr>
      </w:pPr>
    </w:p>
    <w:p w14:paraId="3157B1A9" w14:textId="1B10067C" w:rsidR="00B50A91" w:rsidRPr="003B4362" w:rsidRDefault="00B50A91" w:rsidP="00E46816">
      <w:pPr>
        <w:ind w:left="2880" w:hanging="720"/>
        <w:rPr>
          <w:rFonts w:eastAsia="Calibri"/>
        </w:rPr>
      </w:pPr>
      <w:r w:rsidRPr="003B4362">
        <w:rPr>
          <w:rFonts w:eastAsia="Calibri"/>
        </w:rPr>
        <w:t>A)</w:t>
      </w:r>
      <w:r w:rsidRPr="003B4362">
        <w:rPr>
          <w:rFonts w:eastAsia="Calibri"/>
        </w:rPr>
        <w:tab/>
        <w:t>The CWS supplier must deliver printed materials complying with subsection (a) to all of its bill-paying customers.</w:t>
      </w:r>
    </w:p>
    <w:p w14:paraId="4E765DDE" w14:textId="77777777" w:rsidR="00E46816" w:rsidRDefault="00E46816" w:rsidP="00E46816">
      <w:pPr>
        <w:ind w:left="2880" w:hanging="720"/>
        <w:rPr>
          <w:rFonts w:eastAsia="Calibri"/>
        </w:rPr>
      </w:pPr>
    </w:p>
    <w:p w14:paraId="0C4774FE" w14:textId="28368418" w:rsidR="00B50A91" w:rsidRPr="003B4362" w:rsidRDefault="00B50A91" w:rsidP="00E46816">
      <w:pPr>
        <w:ind w:left="2880" w:hanging="720"/>
        <w:rPr>
          <w:rFonts w:eastAsia="Calibri"/>
        </w:rPr>
      </w:pPr>
      <w:r w:rsidRPr="003B4362">
        <w:rPr>
          <w:rFonts w:eastAsia="Calibri"/>
        </w:rPr>
        <w:t>B)</w:t>
      </w:r>
      <w:r w:rsidRPr="003B4362">
        <w:rPr>
          <w:rFonts w:eastAsia="Calibri"/>
        </w:rPr>
        <w:tab/>
        <w:t>Methods of Delivery for a CWS Supplier</w:t>
      </w:r>
    </w:p>
    <w:p w14:paraId="324BAAD6" w14:textId="77777777" w:rsidR="00E46816" w:rsidRDefault="00E46816" w:rsidP="00E46816">
      <w:pPr>
        <w:ind w:left="3600" w:hanging="720"/>
        <w:rPr>
          <w:rFonts w:eastAsia="Calibri"/>
        </w:rPr>
      </w:pPr>
    </w:p>
    <w:p w14:paraId="2C5FEA86" w14:textId="2DFBDCA0" w:rsidR="00B50A91" w:rsidRPr="003B4362" w:rsidRDefault="00B50A91" w:rsidP="00E46816">
      <w:pPr>
        <w:ind w:left="3600" w:hanging="720"/>
        <w:rPr>
          <w:rFonts w:eastAsia="Calibri"/>
        </w:rPr>
      </w:pPr>
      <w:r w:rsidRPr="003B4362">
        <w:rPr>
          <w:rFonts w:eastAsia="Calibri"/>
        </w:rPr>
        <w:t>i)</w:t>
      </w:r>
      <w:r w:rsidRPr="003B4362">
        <w:rPr>
          <w:rFonts w:eastAsia="Calibri"/>
        </w:rPr>
        <w:tab/>
        <w:t>The CWS supplier must contact customers who are most at risk by delivering education materials complying with subsection (a) to local public health agencies, even if those agencies not located within the supplier’s service area, along with an informational notice encouraging distribution to all of the agencies’ potentially affected customers or the supplier’s consumers.  The supplier must contact the local public health agencies directly by phone or in person.  The local public health agencies may provide a specific list of additional community-based organizations serving the target populations, which may include organizations outside the service area of the supplier.  If local health agencies provide lists, the supplier must deliver education materials that comply with subsection (a) to each of the organizations on the provided lists.</w:t>
      </w:r>
    </w:p>
    <w:p w14:paraId="52BFFBA4" w14:textId="77777777" w:rsidR="00E46816" w:rsidRDefault="00E46816" w:rsidP="00E46816">
      <w:pPr>
        <w:ind w:left="3600" w:hanging="720"/>
        <w:rPr>
          <w:rFonts w:eastAsia="Calibri"/>
        </w:rPr>
      </w:pPr>
    </w:p>
    <w:p w14:paraId="76B4DDA2" w14:textId="1BE59CE0" w:rsidR="00B50A91" w:rsidRPr="003B4362" w:rsidRDefault="00B50A91" w:rsidP="00E46816">
      <w:pPr>
        <w:ind w:left="3600" w:hanging="720"/>
        <w:rPr>
          <w:rFonts w:eastAsia="Calibri"/>
        </w:rPr>
      </w:pPr>
      <w:r w:rsidRPr="003B4362">
        <w:rPr>
          <w:rFonts w:eastAsia="Calibri"/>
        </w:rPr>
        <w:t>ii)</w:t>
      </w:r>
      <w:r w:rsidRPr="003B4362">
        <w:rPr>
          <w:rFonts w:eastAsia="Calibri"/>
        </w:rPr>
        <w:tab/>
        <w:t>The CWS supplier must contact customers who are most at risk by delivering materials complying with subsection (a) to the organizations in subsections (b)(2)(H)(i) through (b)(2)(H)(vi) that are located within the supplier’s service area, along with an informational notice encouraging distribution to all the organization’s potentially affected customers or supplier’s users.</w:t>
      </w:r>
    </w:p>
    <w:p w14:paraId="7F9B2A4A" w14:textId="77777777" w:rsidR="00E46816" w:rsidRDefault="00E46816" w:rsidP="00E46816">
      <w:pPr>
        <w:ind w:left="3600"/>
        <w:rPr>
          <w:rFonts w:eastAsia="Calibri"/>
        </w:rPr>
      </w:pPr>
    </w:p>
    <w:p w14:paraId="13A79095" w14:textId="2A259A3F" w:rsidR="00B50A91" w:rsidRPr="003B4362" w:rsidRDefault="00B50A91" w:rsidP="00E46816">
      <w:pPr>
        <w:ind w:left="3600"/>
        <w:rPr>
          <w:rFonts w:eastAsia="Calibri"/>
        </w:rPr>
      </w:pPr>
      <w:r w:rsidRPr="003B4362">
        <w:rPr>
          <w:rFonts w:eastAsia="Calibri"/>
        </w:rPr>
        <w:t>BOARD NOTE:  The Board moved the text of 40 CFR 141.85(b)(2)(ii)(B)(</w:t>
      </w:r>
      <w:r w:rsidR="00DE2C0D" w:rsidRPr="003B4362">
        <w:rPr>
          <w:rFonts w:eastAsia="Calibri"/>
        </w:rPr>
        <w:t>1</w:t>
      </w:r>
      <w:r w:rsidRPr="003B4362">
        <w:rPr>
          <w:rFonts w:eastAsia="Calibri"/>
        </w:rPr>
        <w:t>) through (b)(2)(ii)(B)(</w:t>
      </w:r>
      <w:r w:rsidR="00DE2C0D" w:rsidRPr="003B4362">
        <w:rPr>
          <w:rFonts w:eastAsia="Calibri"/>
        </w:rPr>
        <w:t>6</w:t>
      </w:r>
      <w:r w:rsidRPr="003B4362">
        <w:rPr>
          <w:rFonts w:eastAsia="Calibri"/>
        </w:rPr>
        <w:t>)</w:t>
      </w:r>
      <w:r w:rsidR="00D4101B" w:rsidRPr="003B4362">
        <w:rPr>
          <w:rFonts w:eastAsia="Calibri"/>
        </w:rPr>
        <w:t xml:space="preserve"> (2020)</w:t>
      </w:r>
      <w:r w:rsidRPr="003B4362">
        <w:rPr>
          <w:rFonts w:eastAsia="Calibri"/>
        </w:rPr>
        <w:t xml:space="preserve"> to appear as subsections (b)(2)(H)(i) through (b)(2)(H)(vi) to comport with allowed indent levels.</w:t>
      </w:r>
    </w:p>
    <w:p w14:paraId="1BA8CBD0" w14:textId="77777777" w:rsidR="00E46816" w:rsidRDefault="00E46816" w:rsidP="00E46816">
      <w:pPr>
        <w:ind w:left="3600" w:hanging="720"/>
        <w:rPr>
          <w:rFonts w:eastAsia="Calibri"/>
        </w:rPr>
      </w:pPr>
    </w:p>
    <w:p w14:paraId="1E625A01" w14:textId="7EB25D0E" w:rsidR="00B50A91" w:rsidRPr="003B4362" w:rsidRDefault="00B50A91" w:rsidP="00E46816">
      <w:pPr>
        <w:ind w:left="3600" w:hanging="720"/>
        <w:rPr>
          <w:rFonts w:eastAsia="Calibri"/>
        </w:rPr>
      </w:pPr>
      <w:r w:rsidRPr="003B4362">
        <w:rPr>
          <w:rFonts w:eastAsia="Calibri"/>
        </w:rPr>
        <w:t>iii)</w:t>
      </w:r>
      <w:r w:rsidRPr="003B4362">
        <w:rPr>
          <w:rFonts w:eastAsia="Calibri"/>
        </w:rPr>
        <w:tab/>
        <w:t>The CWS supplier must make a good faith effort to locate the organizations in subsections (b)(2)(I)(i) through (b)(2)(I)(iii) that are located within the service area and deliver materials complying with subsection (a) to those organizations, along with an informational notice encouraging distribution to all potentially affected customers or users.  The good faith effort to contact at-risk customers may include requesting a specific contact list of these organizations from the local public health agencies, even if those organizations are not located within the supplier’s service area.</w:t>
      </w:r>
    </w:p>
    <w:p w14:paraId="4933A3A6" w14:textId="77777777" w:rsidR="00E46816" w:rsidRDefault="00E46816" w:rsidP="00E46816">
      <w:pPr>
        <w:ind w:left="3600"/>
        <w:rPr>
          <w:rFonts w:eastAsia="Calibri"/>
        </w:rPr>
      </w:pPr>
    </w:p>
    <w:p w14:paraId="3E23A2D8" w14:textId="359FA96E" w:rsidR="00B50A91" w:rsidRPr="003B4362" w:rsidRDefault="00B50A91" w:rsidP="00E46816">
      <w:pPr>
        <w:ind w:left="3600"/>
        <w:rPr>
          <w:rFonts w:eastAsia="Calibri"/>
        </w:rPr>
      </w:pPr>
      <w:r w:rsidRPr="003B4362">
        <w:rPr>
          <w:rFonts w:eastAsia="Calibri"/>
        </w:rPr>
        <w:t>BOARD NOTE:  The Board moved the text of 40 CFR 141.85(b)(2)(ii)(C)(</w:t>
      </w:r>
      <w:r w:rsidRPr="003B4362">
        <w:rPr>
          <w:rFonts w:eastAsia="Calibri"/>
          <w:i/>
          <w:iCs/>
        </w:rPr>
        <w:t>1</w:t>
      </w:r>
      <w:r w:rsidRPr="003B4362">
        <w:rPr>
          <w:rFonts w:eastAsia="Calibri"/>
        </w:rPr>
        <w:t>) through (b)(2)(ii)(C)(</w:t>
      </w:r>
      <w:r w:rsidRPr="003B4362">
        <w:rPr>
          <w:rFonts w:eastAsia="Calibri"/>
          <w:i/>
          <w:iCs/>
        </w:rPr>
        <w:t>3</w:t>
      </w:r>
      <w:r w:rsidRPr="003B4362">
        <w:rPr>
          <w:rFonts w:eastAsia="Calibri"/>
        </w:rPr>
        <w:t>)</w:t>
      </w:r>
      <w:r w:rsidR="00D4101B" w:rsidRPr="003B4362">
        <w:rPr>
          <w:rFonts w:eastAsia="Calibri"/>
        </w:rPr>
        <w:t xml:space="preserve"> (2020)</w:t>
      </w:r>
      <w:r w:rsidRPr="003B4362">
        <w:rPr>
          <w:rFonts w:eastAsia="Calibri"/>
        </w:rPr>
        <w:t xml:space="preserve"> to appear as subsections (b)(2)(I)(i) through (b)(2)(I)(iii) to comport with allowed indent levels.</w:t>
      </w:r>
    </w:p>
    <w:p w14:paraId="4550C09E" w14:textId="77777777" w:rsidR="00E46816" w:rsidRDefault="00E46816" w:rsidP="00E46816">
      <w:pPr>
        <w:ind w:left="2880" w:hanging="720"/>
        <w:rPr>
          <w:rFonts w:eastAsia="Calibri"/>
        </w:rPr>
      </w:pPr>
    </w:p>
    <w:p w14:paraId="782B0112" w14:textId="5D19E41B" w:rsidR="00B50A91" w:rsidRPr="003B4362" w:rsidRDefault="00B50A91" w:rsidP="00E46816">
      <w:pPr>
        <w:ind w:left="2880" w:hanging="720"/>
        <w:rPr>
          <w:rFonts w:eastAsia="Calibri"/>
        </w:rPr>
      </w:pPr>
      <w:r w:rsidRPr="003B4362">
        <w:rPr>
          <w:rFonts w:eastAsia="Calibri"/>
        </w:rPr>
        <w:t>C)</w:t>
      </w:r>
      <w:r w:rsidRPr="003B4362">
        <w:rPr>
          <w:rFonts w:eastAsia="Calibri"/>
        </w:rPr>
        <w:tab/>
        <w:t>No less often than quarterly, the CWS supplier must provide information on or in each water bill as long as the system exceeds the action level for lead.  The message on the water bill must include the verbatim text of the paragraph below, except replacing the text in brackets with system-specific information:</w:t>
      </w:r>
    </w:p>
    <w:p w14:paraId="2BB4560B" w14:textId="77777777" w:rsidR="00E46816" w:rsidRDefault="00E46816" w:rsidP="00E46816">
      <w:pPr>
        <w:ind w:left="3600"/>
        <w:rPr>
          <w:rFonts w:eastAsia="Calibri"/>
        </w:rPr>
      </w:pPr>
    </w:p>
    <w:p w14:paraId="24D5101E" w14:textId="45FA3AF3" w:rsidR="00B50A91" w:rsidRPr="003B4362" w:rsidRDefault="00B50A91" w:rsidP="00E46816">
      <w:pPr>
        <w:ind w:left="3600"/>
        <w:rPr>
          <w:rFonts w:eastAsia="Calibri"/>
        </w:rPr>
      </w:pPr>
      <w:r w:rsidRPr="003B4362">
        <w:rPr>
          <w:rFonts w:eastAsia="Calibri"/>
        </w:rPr>
        <w:t>[INSERT NAME OF SUPPLIER] found high levels of lead in drinking water in some homes.  Lead can cause serious health problems.  For more information please call [INSERT NAME OF SUPPLIER] [or visit (INSERT SUPPLIER’S WEB SITE HERE)].  The message or delivery mechanism can be modified in consultation with the Illinois Environmental Protection Agency, Division of Public Water Supply; specifically, the Agency may allow a separate mailing of public education materials to customers if the water system cannot place the information on water bills.</w:t>
      </w:r>
    </w:p>
    <w:p w14:paraId="321BE68A" w14:textId="77777777" w:rsidR="00E46816" w:rsidRDefault="00E46816" w:rsidP="00E46816">
      <w:pPr>
        <w:ind w:left="2880" w:hanging="720"/>
        <w:rPr>
          <w:rFonts w:eastAsia="Calibri"/>
        </w:rPr>
      </w:pPr>
    </w:p>
    <w:p w14:paraId="1CD81D0D" w14:textId="4055AEB3" w:rsidR="00B50A91" w:rsidRPr="003B4362" w:rsidRDefault="00B50A91" w:rsidP="00E46816">
      <w:pPr>
        <w:ind w:left="2880" w:hanging="720"/>
        <w:rPr>
          <w:rFonts w:eastAsia="Calibri"/>
        </w:rPr>
      </w:pPr>
      <w:r w:rsidRPr="003B4362">
        <w:rPr>
          <w:rFonts w:eastAsia="Calibri"/>
        </w:rPr>
        <w:t>D)</w:t>
      </w:r>
      <w:r w:rsidRPr="003B4362">
        <w:rPr>
          <w:rFonts w:eastAsia="Calibri"/>
        </w:rPr>
        <w:tab/>
        <w:t xml:space="preserve">The CWS supplier must post material complying with subsection (a) on the supplier’s </w:t>
      </w:r>
      <w:r w:rsidR="00C7749C" w:rsidRPr="003B4362">
        <w:rPr>
          <w:rFonts w:eastAsia="Calibri"/>
        </w:rPr>
        <w:t>w</w:t>
      </w:r>
      <w:r w:rsidRPr="003B4362">
        <w:rPr>
          <w:rFonts w:eastAsia="Calibri"/>
        </w:rPr>
        <w:t>ebsite if the CWS supplier serves a population greater than 100,000.</w:t>
      </w:r>
    </w:p>
    <w:p w14:paraId="7953D7D1" w14:textId="77777777" w:rsidR="00E46816" w:rsidRDefault="00E46816" w:rsidP="00E46816">
      <w:pPr>
        <w:ind w:left="2880" w:hanging="720"/>
        <w:rPr>
          <w:rFonts w:eastAsia="Calibri"/>
        </w:rPr>
      </w:pPr>
    </w:p>
    <w:p w14:paraId="29DF4082" w14:textId="736809FB" w:rsidR="00B50A91" w:rsidRPr="003B4362" w:rsidRDefault="00B50A91" w:rsidP="00E46816">
      <w:pPr>
        <w:ind w:left="2880" w:hanging="720"/>
        <w:rPr>
          <w:rFonts w:eastAsia="Calibri"/>
        </w:rPr>
      </w:pPr>
      <w:r w:rsidRPr="003B4362">
        <w:rPr>
          <w:rFonts w:eastAsia="Calibri"/>
        </w:rPr>
        <w:lastRenderedPageBreak/>
        <w:t>E)</w:t>
      </w:r>
      <w:r w:rsidRPr="003B4362">
        <w:rPr>
          <w:rFonts w:eastAsia="Calibri"/>
        </w:rPr>
        <w:tab/>
        <w:t>The CWS supplier must submit a press release to newspaper, television, and radio stations.</w:t>
      </w:r>
    </w:p>
    <w:p w14:paraId="20EED0D7" w14:textId="77777777" w:rsidR="00E46816" w:rsidRDefault="00E46816" w:rsidP="00E46816">
      <w:pPr>
        <w:ind w:left="2880" w:hanging="720"/>
        <w:rPr>
          <w:rFonts w:eastAsia="Calibri"/>
        </w:rPr>
      </w:pPr>
    </w:p>
    <w:p w14:paraId="74BA8B52" w14:textId="208B7406" w:rsidR="00B50A91" w:rsidRPr="003B4362" w:rsidRDefault="00B50A91" w:rsidP="00E46816">
      <w:pPr>
        <w:ind w:left="2880" w:hanging="720"/>
        <w:rPr>
          <w:rFonts w:eastAsia="Calibri"/>
        </w:rPr>
      </w:pPr>
      <w:r w:rsidRPr="003B4362">
        <w:rPr>
          <w:rFonts w:eastAsia="Calibri"/>
        </w:rPr>
        <w:t>F)</w:t>
      </w:r>
      <w:r w:rsidRPr="003B4362">
        <w:rPr>
          <w:rFonts w:eastAsia="Calibri"/>
        </w:rPr>
        <w:tab/>
        <w:t>In addition to subsections (b)(2)(A) through (b)(2)(E), the CWS supplier must implement at least three activities from one or more of the categories listed below.  The supplier must determine the educational content and selection of these activities consulting with the Agency.</w:t>
      </w:r>
    </w:p>
    <w:p w14:paraId="020E61CB" w14:textId="77777777" w:rsidR="00E46816" w:rsidRDefault="00E46816" w:rsidP="00E46816">
      <w:pPr>
        <w:ind w:left="3600" w:hanging="720"/>
        <w:rPr>
          <w:rFonts w:eastAsia="Calibri"/>
        </w:rPr>
      </w:pPr>
    </w:p>
    <w:p w14:paraId="337FCFA9" w14:textId="04CE8699" w:rsidR="00B50A91" w:rsidRPr="003B4362" w:rsidRDefault="00B50A91" w:rsidP="00E46816">
      <w:pPr>
        <w:ind w:left="3600" w:hanging="720"/>
        <w:rPr>
          <w:rFonts w:eastAsia="Calibri"/>
        </w:rPr>
      </w:pPr>
      <w:r w:rsidRPr="003B4362">
        <w:rPr>
          <w:rFonts w:eastAsia="Calibri"/>
        </w:rPr>
        <w:t>i)</w:t>
      </w:r>
      <w:r w:rsidRPr="003B4362">
        <w:rPr>
          <w:rFonts w:eastAsia="Calibri"/>
        </w:rPr>
        <w:tab/>
        <w:t>Public service announcements.</w:t>
      </w:r>
    </w:p>
    <w:p w14:paraId="7B631B51" w14:textId="77777777" w:rsidR="00E46816" w:rsidRDefault="00E46816" w:rsidP="00E46816">
      <w:pPr>
        <w:ind w:left="3600" w:hanging="720"/>
        <w:rPr>
          <w:rFonts w:eastAsia="Calibri"/>
        </w:rPr>
      </w:pPr>
    </w:p>
    <w:p w14:paraId="494E5E6F" w14:textId="7CCA63C9" w:rsidR="00B50A91" w:rsidRPr="003B4362" w:rsidRDefault="00B50A91" w:rsidP="00E46816">
      <w:pPr>
        <w:ind w:left="3600" w:hanging="720"/>
        <w:rPr>
          <w:rFonts w:eastAsia="Calibri"/>
        </w:rPr>
      </w:pPr>
      <w:r w:rsidRPr="003B4362">
        <w:rPr>
          <w:rFonts w:eastAsia="Calibri"/>
        </w:rPr>
        <w:t>ii)</w:t>
      </w:r>
      <w:r w:rsidRPr="003B4362">
        <w:rPr>
          <w:rFonts w:eastAsia="Calibri"/>
        </w:rPr>
        <w:tab/>
        <w:t>Paid advertisements.</w:t>
      </w:r>
    </w:p>
    <w:p w14:paraId="5DB6AD90" w14:textId="77777777" w:rsidR="00E46816" w:rsidRDefault="00E46816" w:rsidP="00E46816">
      <w:pPr>
        <w:ind w:left="3600" w:hanging="720"/>
        <w:rPr>
          <w:rFonts w:eastAsia="Calibri"/>
        </w:rPr>
      </w:pPr>
    </w:p>
    <w:p w14:paraId="5E89B292" w14:textId="241BE897" w:rsidR="00B50A91" w:rsidRPr="003B4362" w:rsidRDefault="00B50A91" w:rsidP="00E46816">
      <w:pPr>
        <w:ind w:left="3600" w:hanging="720"/>
        <w:rPr>
          <w:rFonts w:eastAsia="Calibri"/>
        </w:rPr>
      </w:pPr>
      <w:r w:rsidRPr="003B4362">
        <w:rPr>
          <w:rFonts w:eastAsia="Calibri"/>
        </w:rPr>
        <w:t>iii)</w:t>
      </w:r>
      <w:r w:rsidRPr="003B4362">
        <w:rPr>
          <w:rFonts w:eastAsia="Calibri"/>
        </w:rPr>
        <w:tab/>
        <w:t>Public area information displays.</w:t>
      </w:r>
    </w:p>
    <w:p w14:paraId="1B4E2F78" w14:textId="77777777" w:rsidR="00E46816" w:rsidRDefault="00E46816" w:rsidP="00E46816">
      <w:pPr>
        <w:ind w:left="3600" w:hanging="720"/>
        <w:rPr>
          <w:rFonts w:eastAsia="Calibri"/>
        </w:rPr>
      </w:pPr>
    </w:p>
    <w:p w14:paraId="63947A9B" w14:textId="442D5CCE" w:rsidR="00B50A91" w:rsidRPr="003B4362" w:rsidRDefault="00B50A91" w:rsidP="00E46816">
      <w:pPr>
        <w:ind w:left="3600" w:hanging="720"/>
        <w:rPr>
          <w:rFonts w:eastAsia="Calibri"/>
        </w:rPr>
      </w:pPr>
      <w:r w:rsidRPr="003B4362">
        <w:rPr>
          <w:rFonts w:eastAsia="Calibri"/>
        </w:rPr>
        <w:t>iv)</w:t>
      </w:r>
      <w:r w:rsidRPr="003B4362">
        <w:rPr>
          <w:rFonts w:eastAsia="Calibri"/>
        </w:rPr>
        <w:tab/>
        <w:t>E-mails to customers.</w:t>
      </w:r>
    </w:p>
    <w:p w14:paraId="3CF1A1F6" w14:textId="77777777" w:rsidR="00E46816" w:rsidRDefault="00E46816" w:rsidP="00E46816">
      <w:pPr>
        <w:ind w:left="3600" w:hanging="720"/>
        <w:rPr>
          <w:rFonts w:eastAsia="Calibri"/>
        </w:rPr>
      </w:pPr>
    </w:p>
    <w:p w14:paraId="523077E8" w14:textId="217FBFE6" w:rsidR="00B50A91" w:rsidRPr="003B4362" w:rsidRDefault="00B50A91" w:rsidP="00E46816">
      <w:pPr>
        <w:ind w:left="3600" w:hanging="720"/>
        <w:rPr>
          <w:rFonts w:eastAsia="Calibri"/>
        </w:rPr>
      </w:pPr>
      <w:r w:rsidRPr="003B4362">
        <w:rPr>
          <w:rFonts w:eastAsia="Calibri"/>
        </w:rPr>
        <w:t>v)</w:t>
      </w:r>
      <w:r w:rsidRPr="003B4362">
        <w:rPr>
          <w:rFonts w:eastAsia="Calibri"/>
        </w:rPr>
        <w:tab/>
        <w:t>Public meetings.</w:t>
      </w:r>
    </w:p>
    <w:p w14:paraId="3A7B0012" w14:textId="77777777" w:rsidR="00E46816" w:rsidRDefault="00E46816" w:rsidP="00E46816">
      <w:pPr>
        <w:ind w:left="3600" w:hanging="720"/>
        <w:rPr>
          <w:rFonts w:eastAsia="Calibri"/>
        </w:rPr>
      </w:pPr>
    </w:p>
    <w:p w14:paraId="2874D2D4" w14:textId="1CDF382E" w:rsidR="00B50A91" w:rsidRPr="003B4362" w:rsidRDefault="00B50A91" w:rsidP="00E46816">
      <w:pPr>
        <w:ind w:left="3600" w:hanging="720"/>
        <w:rPr>
          <w:rFonts w:eastAsia="Calibri"/>
        </w:rPr>
      </w:pPr>
      <w:r w:rsidRPr="003B4362">
        <w:rPr>
          <w:rFonts w:eastAsia="Calibri"/>
        </w:rPr>
        <w:t>vi)</w:t>
      </w:r>
      <w:r w:rsidRPr="003B4362">
        <w:rPr>
          <w:rFonts w:eastAsia="Calibri"/>
        </w:rPr>
        <w:tab/>
        <w:t>Household deliveries.</w:t>
      </w:r>
    </w:p>
    <w:p w14:paraId="79CE4361" w14:textId="77777777" w:rsidR="00E46816" w:rsidRDefault="00E46816" w:rsidP="00E46816">
      <w:pPr>
        <w:ind w:left="3600" w:hanging="720"/>
        <w:rPr>
          <w:rFonts w:eastAsia="Calibri"/>
        </w:rPr>
      </w:pPr>
    </w:p>
    <w:p w14:paraId="24C8D6CD" w14:textId="1BBE97B2" w:rsidR="00B50A91" w:rsidRPr="003B4362" w:rsidRDefault="00B50A91" w:rsidP="00E46816">
      <w:pPr>
        <w:ind w:left="3600" w:hanging="720"/>
        <w:rPr>
          <w:rFonts w:eastAsia="Calibri"/>
        </w:rPr>
      </w:pPr>
      <w:r w:rsidRPr="003B4362">
        <w:rPr>
          <w:rFonts w:eastAsia="Calibri"/>
        </w:rPr>
        <w:t>vii)</w:t>
      </w:r>
      <w:r w:rsidRPr="003B4362">
        <w:rPr>
          <w:rFonts w:eastAsia="Calibri"/>
        </w:rPr>
        <w:tab/>
        <w:t>Targeted individual customer contact.</w:t>
      </w:r>
    </w:p>
    <w:p w14:paraId="7088101C" w14:textId="77777777" w:rsidR="00E46816" w:rsidRDefault="00E46816" w:rsidP="00E46816">
      <w:pPr>
        <w:ind w:left="3600" w:hanging="720"/>
        <w:rPr>
          <w:rFonts w:eastAsia="Calibri"/>
        </w:rPr>
      </w:pPr>
    </w:p>
    <w:p w14:paraId="47E52A66" w14:textId="78FBD785" w:rsidR="00B50A91" w:rsidRPr="003B4362" w:rsidRDefault="00B50A91" w:rsidP="00E46816">
      <w:pPr>
        <w:ind w:left="3600" w:hanging="720"/>
        <w:rPr>
          <w:rFonts w:eastAsia="Calibri"/>
        </w:rPr>
      </w:pPr>
      <w:r w:rsidRPr="003B4362">
        <w:rPr>
          <w:rFonts w:eastAsia="Calibri"/>
        </w:rPr>
        <w:t>viii)</w:t>
      </w:r>
      <w:r w:rsidRPr="003B4362">
        <w:rPr>
          <w:rFonts w:eastAsia="Calibri"/>
        </w:rPr>
        <w:tab/>
        <w:t>Direct material distribution to all multi-family homes and institutions.</w:t>
      </w:r>
    </w:p>
    <w:p w14:paraId="3B1D7DA0" w14:textId="77777777" w:rsidR="00E46816" w:rsidRDefault="00E46816" w:rsidP="00E46816">
      <w:pPr>
        <w:ind w:left="3600" w:hanging="720"/>
        <w:rPr>
          <w:rFonts w:eastAsia="Calibri"/>
        </w:rPr>
      </w:pPr>
    </w:p>
    <w:p w14:paraId="3D98602C" w14:textId="2EDEF9AF" w:rsidR="00B50A91" w:rsidRPr="003B4362" w:rsidRDefault="00B50A91" w:rsidP="00E46816">
      <w:pPr>
        <w:ind w:left="3600" w:hanging="720"/>
        <w:rPr>
          <w:rFonts w:eastAsia="Calibri"/>
        </w:rPr>
      </w:pPr>
      <w:r w:rsidRPr="003B4362">
        <w:rPr>
          <w:rFonts w:eastAsia="Calibri"/>
        </w:rPr>
        <w:t>ix)</w:t>
      </w:r>
      <w:r w:rsidRPr="003B4362">
        <w:rPr>
          <w:rFonts w:eastAsia="Calibri"/>
        </w:rPr>
        <w:tab/>
        <w:t>Other Agency-approved methods.</w:t>
      </w:r>
    </w:p>
    <w:p w14:paraId="5F3559D8" w14:textId="77777777" w:rsidR="00E46816" w:rsidRDefault="00E46816" w:rsidP="00E46816">
      <w:pPr>
        <w:ind w:left="2880" w:hanging="720"/>
        <w:rPr>
          <w:rFonts w:eastAsia="Calibri"/>
        </w:rPr>
      </w:pPr>
    </w:p>
    <w:p w14:paraId="19AE5F03" w14:textId="75692ECD" w:rsidR="00B50A91" w:rsidRPr="003B4362" w:rsidRDefault="00B50A91" w:rsidP="00E46816">
      <w:pPr>
        <w:ind w:left="2880" w:hanging="720"/>
        <w:rPr>
          <w:rFonts w:eastAsia="Calibri"/>
        </w:rPr>
      </w:pPr>
      <w:r w:rsidRPr="003B4362">
        <w:rPr>
          <w:rFonts w:eastAsia="Calibri"/>
        </w:rPr>
        <w:t>G)</w:t>
      </w:r>
      <w:r w:rsidRPr="003B4362">
        <w:rPr>
          <w:rFonts w:eastAsia="Calibri"/>
        </w:rPr>
        <w:tab/>
        <w:t>For a CWS supplier that must monitor annually or less frequently, the end of the monitoring period is September 30 of the calendar year in which the sampling occurs, or on the last day of an alternative monitoring period the Agency sets in a SEP.</w:t>
      </w:r>
    </w:p>
    <w:p w14:paraId="3D1D0DF9" w14:textId="77777777" w:rsidR="00E46816" w:rsidRDefault="00E46816" w:rsidP="00E46816">
      <w:pPr>
        <w:ind w:left="2880" w:hanging="720"/>
        <w:rPr>
          <w:rFonts w:eastAsia="Calibri"/>
        </w:rPr>
      </w:pPr>
    </w:p>
    <w:p w14:paraId="517FC690" w14:textId="1CC4988D" w:rsidR="00B50A91" w:rsidRPr="003B4362" w:rsidRDefault="00B50A91" w:rsidP="00E46816">
      <w:pPr>
        <w:ind w:left="2880" w:hanging="720"/>
        <w:rPr>
          <w:rFonts w:eastAsia="Calibri"/>
        </w:rPr>
      </w:pPr>
      <w:r w:rsidRPr="003B4362">
        <w:rPr>
          <w:rFonts w:eastAsia="Calibri"/>
        </w:rPr>
        <w:t>H)</w:t>
      </w:r>
      <w:r w:rsidRPr="003B4362">
        <w:rPr>
          <w:rFonts w:eastAsia="Calibri"/>
        </w:rPr>
        <w:tab/>
        <w:t>Organizations That the CWS Supplier Must Contact When Required to Do So under Subsection (b)(2)(B)(iii)</w:t>
      </w:r>
    </w:p>
    <w:p w14:paraId="0F3DB490" w14:textId="77777777" w:rsidR="00E46816" w:rsidRDefault="00E46816" w:rsidP="00E46816">
      <w:pPr>
        <w:ind w:left="3600" w:hanging="720"/>
        <w:rPr>
          <w:rFonts w:eastAsia="Calibri"/>
        </w:rPr>
      </w:pPr>
    </w:p>
    <w:p w14:paraId="2DF15F4D" w14:textId="1EADDE81" w:rsidR="00B50A91" w:rsidRPr="003B4362" w:rsidRDefault="00B50A91" w:rsidP="00E46816">
      <w:pPr>
        <w:ind w:left="3600" w:hanging="720"/>
        <w:rPr>
          <w:rFonts w:eastAsia="Calibri"/>
        </w:rPr>
      </w:pPr>
      <w:r w:rsidRPr="003B4362">
        <w:rPr>
          <w:rFonts w:eastAsia="Calibri"/>
        </w:rPr>
        <w:t>i)</w:t>
      </w:r>
      <w:r w:rsidRPr="003B4362">
        <w:rPr>
          <w:rFonts w:eastAsia="Calibri"/>
        </w:rPr>
        <w:tab/>
        <w:t>Public and private schools or school boards.</w:t>
      </w:r>
    </w:p>
    <w:p w14:paraId="5DB5FF1B" w14:textId="77777777" w:rsidR="00E46816" w:rsidRDefault="00E46816" w:rsidP="00E46816">
      <w:pPr>
        <w:ind w:left="3600" w:hanging="720"/>
        <w:rPr>
          <w:rFonts w:eastAsia="Calibri"/>
        </w:rPr>
      </w:pPr>
    </w:p>
    <w:p w14:paraId="1FE1D069" w14:textId="4D44A68B" w:rsidR="00B50A91" w:rsidRPr="003B4362" w:rsidRDefault="00B50A91" w:rsidP="00E46816">
      <w:pPr>
        <w:ind w:left="3600" w:hanging="720"/>
        <w:rPr>
          <w:rFonts w:eastAsia="Calibri"/>
        </w:rPr>
      </w:pPr>
      <w:r w:rsidRPr="003B4362">
        <w:rPr>
          <w:rFonts w:eastAsia="Calibri"/>
        </w:rPr>
        <w:t>ii)</w:t>
      </w:r>
      <w:r w:rsidRPr="003B4362">
        <w:rPr>
          <w:rFonts w:eastAsia="Calibri"/>
        </w:rPr>
        <w:tab/>
        <w:t>Women, Infants and Children (WIC) and Head Start programs.</w:t>
      </w:r>
    </w:p>
    <w:p w14:paraId="275A785B" w14:textId="77777777" w:rsidR="00E46816" w:rsidRDefault="00E46816" w:rsidP="00E46816">
      <w:pPr>
        <w:ind w:left="3600" w:hanging="720"/>
        <w:rPr>
          <w:rFonts w:eastAsia="Calibri"/>
        </w:rPr>
      </w:pPr>
    </w:p>
    <w:p w14:paraId="350511E7" w14:textId="2A089C21" w:rsidR="00B50A91" w:rsidRPr="003B4362" w:rsidRDefault="00B50A91" w:rsidP="00E46816">
      <w:pPr>
        <w:ind w:left="3600" w:hanging="720"/>
        <w:rPr>
          <w:rFonts w:eastAsia="Calibri"/>
        </w:rPr>
      </w:pPr>
      <w:r w:rsidRPr="003B4362">
        <w:rPr>
          <w:rFonts w:eastAsia="Calibri"/>
        </w:rPr>
        <w:t>iii)</w:t>
      </w:r>
      <w:r w:rsidRPr="003B4362">
        <w:rPr>
          <w:rFonts w:eastAsia="Calibri"/>
        </w:rPr>
        <w:tab/>
        <w:t>Public and private hospitals and medical clinics.</w:t>
      </w:r>
    </w:p>
    <w:p w14:paraId="156D0B91" w14:textId="77777777" w:rsidR="00E46816" w:rsidRDefault="00E46816" w:rsidP="00E46816">
      <w:pPr>
        <w:ind w:left="3600" w:hanging="720"/>
        <w:rPr>
          <w:rFonts w:eastAsia="Calibri"/>
        </w:rPr>
      </w:pPr>
    </w:p>
    <w:p w14:paraId="1E8CA8E1" w14:textId="54C7F0C8" w:rsidR="00B50A91" w:rsidRPr="003B4362" w:rsidRDefault="00B50A91" w:rsidP="00E46816">
      <w:pPr>
        <w:ind w:left="3600" w:hanging="720"/>
        <w:rPr>
          <w:rFonts w:eastAsia="Calibri"/>
        </w:rPr>
      </w:pPr>
      <w:r w:rsidRPr="003B4362">
        <w:rPr>
          <w:rFonts w:eastAsia="Calibri"/>
        </w:rPr>
        <w:t>vi)</w:t>
      </w:r>
      <w:r w:rsidRPr="003B4362">
        <w:rPr>
          <w:rFonts w:eastAsia="Calibri"/>
        </w:rPr>
        <w:tab/>
        <w:t>Pediatricians.</w:t>
      </w:r>
    </w:p>
    <w:p w14:paraId="1A4C525D" w14:textId="77777777" w:rsidR="00E46816" w:rsidRDefault="00E46816" w:rsidP="00E46816">
      <w:pPr>
        <w:ind w:left="3600" w:hanging="720"/>
        <w:rPr>
          <w:rFonts w:eastAsia="Calibri"/>
        </w:rPr>
      </w:pPr>
    </w:p>
    <w:p w14:paraId="1537910A" w14:textId="1361642A" w:rsidR="00B50A91" w:rsidRPr="003B4362" w:rsidRDefault="00B50A91" w:rsidP="00E46816">
      <w:pPr>
        <w:ind w:left="3600" w:hanging="720"/>
        <w:rPr>
          <w:rFonts w:eastAsia="Calibri"/>
        </w:rPr>
      </w:pPr>
      <w:r w:rsidRPr="003B4362">
        <w:rPr>
          <w:rFonts w:eastAsia="Calibri"/>
        </w:rPr>
        <w:lastRenderedPageBreak/>
        <w:t>v)</w:t>
      </w:r>
      <w:r w:rsidRPr="003B4362">
        <w:rPr>
          <w:rFonts w:eastAsia="Calibri"/>
        </w:rPr>
        <w:tab/>
        <w:t>Family planning clinics.</w:t>
      </w:r>
    </w:p>
    <w:p w14:paraId="13BA3D08" w14:textId="77777777" w:rsidR="00E46816" w:rsidRDefault="00E46816" w:rsidP="00E46816">
      <w:pPr>
        <w:ind w:left="3600" w:hanging="720"/>
        <w:rPr>
          <w:rFonts w:eastAsia="Calibri"/>
        </w:rPr>
      </w:pPr>
    </w:p>
    <w:p w14:paraId="0FC3E32F" w14:textId="7D00689D" w:rsidR="00B50A91" w:rsidRPr="003B4362" w:rsidRDefault="00B50A91" w:rsidP="00E46816">
      <w:pPr>
        <w:ind w:left="3600" w:hanging="720"/>
        <w:rPr>
          <w:rFonts w:eastAsia="Calibri"/>
        </w:rPr>
      </w:pPr>
      <w:r w:rsidRPr="003B4362">
        <w:rPr>
          <w:rFonts w:eastAsia="Calibri"/>
        </w:rPr>
        <w:t>vi)</w:t>
      </w:r>
      <w:r w:rsidRPr="003B4362">
        <w:rPr>
          <w:rFonts w:eastAsia="Calibri"/>
        </w:rPr>
        <w:tab/>
        <w:t>Local welfare agencies.</w:t>
      </w:r>
    </w:p>
    <w:p w14:paraId="02494957" w14:textId="77777777" w:rsidR="00E46816" w:rsidRDefault="00E46816" w:rsidP="00E46816">
      <w:pPr>
        <w:ind w:left="2880"/>
        <w:rPr>
          <w:rFonts w:eastAsia="Calibri"/>
        </w:rPr>
      </w:pPr>
    </w:p>
    <w:p w14:paraId="68EF3E8A" w14:textId="6AC42842" w:rsidR="00B50A91" w:rsidRPr="003B4362" w:rsidRDefault="00B50A91" w:rsidP="00E46816">
      <w:pPr>
        <w:ind w:left="2880"/>
        <w:rPr>
          <w:rFonts w:eastAsia="Calibri"/>
        </w:rPr>
      </w:pPr>
      <w:r w:rsidRPr="003B4362">
        <w:rPr>
          <w:rFonts w:eastAsia="Calibri"/>
        </w:rPr>
        <w:t>BOARD NOTE:  This subsection (b)(2)(H) derives from 40 CFR 141.85(b)(2)(ii)(B)(</w:t>
      </w:r>
      <w:r w:rsidRPr="003B4362">
        <w:rPr>
          <w:rFonts w:eastAsia="Calibri"/>
          <w:i/>
          <w:iCs/>
        </w:rPr>
        <w:t>1</w:t>
      </w:r>
      <w:r w:rsidRPr="003B4362">
        <w:rPr>
          <w:rFonts w:eastAsia="Calibri"/>
        </w:rPr>
        <w:t>) through (b)(2)(ii)(B)(</w:t>
      </w:r>
      <w:r w:rsidRPr="003B4362">
        <w:rPr>
          <w:rFonts w:eastAsia="Calibri"/>
          <w:i/>
          <w:iCs/>
        </w:rPr>
        <w:t>6</w:t>
      </w:r>
      <w:r w:rsidRPr="003B4362">
        <w:rPr>
          <w:rFonts w:eastAsia="Calibri"/>
        </w:rPr>
        <w:t>)</w:t>
      </w:r>
      <w:r w:rsidR="00D4101B" w:rsidRPr="003B4362">
        <w:rPr>
          <w:rFonts w:eastAsia="Calibri"/>
        </w:rPr>
        <w:t xml:space="preserve"> (2020)</w:t>
      </w:r>
      <w:r w:rsidRPr="003B4362">
        <w:rPr>
          <w:rFonts w:eastAsia="Calibri"/>
        </w:rPr>
        <w:t>, moved here</w:t>
      </w:r>
      <w:r w:rsidR="00E743D9" w:rsidRPr="003B4362">
        <w:rPr>
          <w:rFonts w:eastAsia="Calibri"/>
        </w:rPr>
        <w:t xml:space="preserve"> t</w:t>
      </w:r>
      <w:r w:rsidRPr="003B4362">
        <w:rPr>
          <w:rFonts w:eastAsia="Calibri"/>
        </w:rPr>
        <w:t>o comport with allowed indent levels.</w:t>
      </w:r>
    </w:p>
    <w:p w14:paraId="24C41BD6" w14:textId="77777777" w:rsidR="00E46816" w:rsidRDefault="00E46816" w:rsidP="00E46816">
      <w:pPr>
        <w:ind w:left="2880" w:hanging="720"/>
        <w:rPr>
          <w:rFonts w:eastAsia="Calibri"/>
        </w:rPr>
      </w:pPr>
    </w:p>
    <w:p w14:paraId="3D3F2460" w14:textId="508F4E85" w:rsidR="00B50A91" w:rsidRPr="003B4362" w:rsidRDefault="00B50A91" w:rsidP="00E46816">
      <w:pPr>
        <w:ind w:left="2880" w:hanging="720"/>
        <w:rPr>
          <w:rFonts w:eastAsia="Calibri"/>
        </w:rPr>
      </w:pPr>
      <w:r w:rsidRPr="003B4362">
        <w:rPr>
          <w:rFonts w:eastAsia="Calibri"/>
        </w:rPr>
        <w:t>I)</w:t>
      </w:r>
      <w:r w:rsidRPr="003B4362">
        <w:rPr>
          <w:rFonts w:eastAsia="Calibri"/>
        </w:rPr>
        <w:tab/>
        <w:t>Organizations That the CWS Supplier Must Contact When Required to Do So Under Subsection (b)(2)(B)(iii)</w:t>
      </w:r>
    </w:p>
    <w:p w14:paraId="6ED767F7" w14:textId="77777777" w:rsidR="00E46816" w:rsidRDefault="00E46816" w:rsidP="00E46816">
      <w:pPr>
        <w:ind w:left="3600" w:hanging="720"/>
        <w:rPr>
          <w:rFonts w:eastAsia="Calibri"/>
        </w:rPr>
      </w:pPr>
    </w:p>
    <w:p w14:paraId="3A635476" w14:textId="126CB138" w:rsidR="00B50A91" w:rsidRPr="003B4362" w:rsidRDefault="00B50A91" w:rsidP="00E46816">
      <w:pPr>
        <w:ind w:left="3600" w:hanging="720"/>
        <w:rPr>
          <w:rFonts w:eastAsia="Calibri"/>
        </w:rPr>
      </w:pPr>
      <w:r w:rsidRPr="003B4362">
        <w:rPr>
          <w:rFonts w:eastAsia="Calibri"/>
        </w:rPr>
        <w:t>i)</w:t>
      </w:r>
      <w:r w:rsidRPr="003B4362">
        <w:rPr>
          <w:rFonts w:eastAsia="Calibri"/>
        </w:rPr>
        <w:tab/>
        <w:t>Licensed childcare centers.</w:t>
      </w:r>
    </w:p>
    <w:p w14:paraId="4C9D1F2A" w14:textId="77777777" w:rsidR="00E46816" w:rsidRDefault="00E46816" w:rsidP="00E46816">
      <w:pPr>
        <w:ind w:left="3600" w:hanging="720"/>
        <w:rPr>
          <w:rFonts w:eastAsia="Calibri"/>
        </w:rPr>
      </w:pPr>
    </w:p>
    <w:p w14:paraId="0FAC07B0" w14:textId="58BC5887" w:rsidR="00B50A91" w:rsidRPr="003B4362" w:rsidRDefault="00B50A91" w:rsidP="00E46816">
      <w:pPr>
        <w:ind w:left="3600" w:hanging="720"/>
        <w:rPr>
          <w:rFonts w:eastAsia="Calibri"/>
        </w:rPr>
      </w:pPr>
      <w:r w:rsidRPr="003B4362">
        <w:rPr>
          <w:rFonts w:eastAsia="Calibri"/>
        </w:rPr>
        <w:t>ii)</w:t>
      </w:r>
      <w:r w:rsidRPr="003B4362">
        <w:rPr>
          <w:rFonts w:eastAsia="Calibri"/>
        </w:rPr>
        <w:tab/>
        <w:t>Public and private preschools.</w:t>
      </w:r>
    </w:p>
    <w:p w14:paraId="116171A5" w14:textId="77777777" w:rsidR="00E46816" w:rsidRDefault="00E46816" w:rsidP="00E46816">
      <w:pPr>
        <w:ind w:left="3600" w:hanging="720"/>
        <w:rPr>
          <w:rFonts w:eastAsia="Calibri"/>
        </w:rPr>
      </w:pPr>
    </w:p>
    <w:p w14:paraId="55AFB617" w14:textId="42C16C38" w:rsidR="00B50A91" w:rsidRPr="003B4362" w:rsidRDefault="00B50A91" w:rsidP="00E46816">
      <w:pPr>
        <w:ind w:left="3600" w:hanging="720"/>
        <w:rPr>
          <w:rFonts w:eastAsia="Calibri"/>
        </w:rPr>
      </w:pPr>
      <w:r w:rsidRPr="003B4362">
        <w:rPr>
          <w:rFonts w:eastAsia="Calibri"/>
        </w:rPr>
        <w:t>iii)</w:t>
      </w:r>
      <w:r w:rsidRPr="003B4362">
        <w:rPr>
          <w:rFonts w:eastAsia="Calibri"/>
        </w:rPr>
        <w:tab/>
        <w:t>Obstetricians-gynecologists and midwives.</w:t>
      </w:r>
    </w:p>
    <w:p w14:paraId="6B48073D" w14:textId="77777777" w:rsidR="00E46816" w:rsidRDefault="00E46816" w:rsidP="00E46816">
      <w:pPr>
        <w:ind w:left="2880"/>
        <w:rPr>
          <w:rFonts w:eastAsia="Calibri"/>
        </w:rPr>
      </w:pPr>
    </w:p>
    <w:p w14:paraId="50E97150" w14:textId="62517D7D" w:rsidR="00B50A91" w:rsidRPr="003B4362" w:rsidRDefault="00B50A91" w:rsidP="00E46816">
      <w:pPr>
        <w:ind w:left="2880"/>
        <w:rPr>
          <w:rFonts w:eastAsia="Calibri"/>
        </w:rPr>
      </w:pPr>
      <w:r w:rsidRPr="003B4362">
        <w:rPr>
          <w:rFonts w:eastAsia="Calibri"/>
        </w:rPr>
        <w:t>BOARD NOTE:  This subsection (b)(2)(H) derives from 40 CFR 141.85(b)(2)(ii)(C)(</w:t>
      </w:r>
      <w:r w:rsidRPr="003B4362">
        <w:rPr>
          <w:rFonts w:eastAsia="Calibri"/>
          <w:i/>
          <w:iCs/>
        </w:rPr>
        <w:t>1</w:t>
      </w:r>
      <w:r w:rsidRPr="003B4362">
        <w:rPr>
          <w:rFonts w:eastAsia="Calibri"/>
        </w:rPr>
        <w:t>) through (b)(2)(ii)(C)(</w:t>
      </w:r>
      <w:r w:rsidRPr="003B4362">
        <w:rPr>
          <w:rFonts w:eastAsia="Calibri"/>
          <w:i/>
          <w:iCs/>
        </w:rPr>
        <w:t>3</w:t>
      </w:r>
      <w:r w:rsidRPr="003B4362">
        <w:rPr>
          <w:rFonts w:eastAsia="Calibri"/>
        </w:rPr>
        <w:t>)</w:t>
      </w:r>
      <w:r w:rsidR="00D4101B" w:rsidRPr="003B4362">
        <w:rPr>
          <w:rFonts w:eastAsia="Calibri"/>
        </w:rPr>
        <w:t xml:space="preserve"> (2020)</w:t>
      </w:r>
      <w:r w:rsidRPr="003B4362">
        <w:rPr>
          <w:rFonts w:eastAsia="Calibri"/>
        </w:rPr>
        <w:t>, moved here to comport with allowed indent levels.</w:t>
      </w:r>
    </w:p>
    <w:p w14:paraId="5AD21027" w14:textId="77777777" w:rsidR="00E46816" w:rsidRDefault="00E46816" w:rsidP="00E46816">
      <w:pPr>
        <w:ind w:left="2160" w:hanging="720"/>
        <w:rPr>
          <w:rFonts w:eastAsia="Calibri"/>
        </w:rPr>
      </w:pPr>
    </w:p>
    <w:p w14:paraId="26ACE58D" w14:textId="454A9F67" w:rsidR="00B50A91" w:rsidRPr="003B4362" w:rsidRDefault="00B50A91" w:rsidP="00E46816">
      <w:pPr>
        <w:ind w:left="2160" w:hanging="720"/>
        <w:rPr>
          <w:rFonts w:eastAsia="Calibri"/>
        </w:rPr>
      </w:pPr>
      <w:r w:rsidRPr="003B4362">
        <w:rPr>
          <w:rFonts w:eastAsia="Calibri"/>
        </w:rPr>
        <w:t>3)</w:t>
      </w:r>
      <w:r w:rsidRPr="003B4362">
        <w:rPr>
          <w:rFonts w:eastAsia="Calibri"/>
        </w:rPr>
        <w:tab/>
        <w:t>As long as a CWS supplier exceeds the action level, it must repeat the activities in subsection (b)(2), as subsections (b)(3)(A) through (b)(3)(D) require.</w:t>
      </w:r>
    </w:p>
    <w:p w14:paraId="0D586903" w14:textId="77777777" w:rsidR="00E46816" w:rsidRDefault="00E46816" w:rsidP="00E46816">
      <w:pPr>
        <w:ind w:left="2880" w:hanging="720"/>
        <w:rPr>
          <w:rFonts w:eastAsia="Calibri"/>
        </w:rPr>
      </w:pPr>
    </w:p>
    <w:p w14:paraId="51EF23BE" w14:textId="47C28AEC" w:rsidR="00B50A91" w:rsidRPr="003B4362" w:rsidRDefault="00B50A91" w:rsidP="00E46816">
      <w:pPr>
        <w:ind w:left="2880" w:hanging="720"/>
        <w:rPr>
          <w:rFonts w:eastAsia="Calibri"/>
        </w:rPr>
      </w:pPr>
      <w:r w:rsidRPr="003B4362">
        <w:rPr>
          <w:rFonts w:eastAsia="Calibri"/>
        </w:rPr>
        <w:t>A)</w:t>
      </w:r>
      <w:r w:rsidRPr="003B4362">
        <w:rPr>
          <w:rFonts w:eastAsia="Calibri"/>
        </w:rPr>
        <w:tab/>
        <w:t>The CWS supplier must repeat the tasks in subsections (b)(2)(A), (b)(2)(B), and (b)(2)(D) every 12 months.</w:t>
      </w:r>
    </w:p>
    <w:p w14:paraId="65D013EB" w14:textId="77777777" w:rsidR="00E46816" w:rsidRDefault="00E46816" w:rsidP="00E46816">
      <w:pPr>
        <w:ind w:left="2880" w:hanging="720"/>
        <w:rPr>
          <w:rFonts w:eastAsia="Calibri"/>
        </w:rPr>
      </w:pPr>
    </w:p>
    <w:p w14:paraId="5E3B21D7" w14:textId="56DC8B12" w:rsidR="00B50A91" w:rsidRPr="003B4362" w:rsidRDefault="00B50A91" w:rsidP="00E46816">
      <w:pPr>
        <w:ind w:left="2880" w:hanging="720"/>
        <w:rPr>
          <w:rFonts w:eastAsia="Calibri"/>
        </w:rPr>
      </w:pPr>
      <w:r w:rsidRPr="003B4362">
        <w:rPr>
          <w:rFonts w:eastAsia="Calibri"/>
        </w:rPr>
        <w:t>B)</w:t>
      </w:r>
      <w:r w:rsidRPr="003B4362">
        <w:rPr>
          <w:rFonts w:eastAsia="Calibri"/>
        </w:rPr>
        <w:tab/>
        <w:t>The CWS supplier must repeat tasks in subsection (b)(2)(C) with each billing cycle.</w:t>
      </w:r>
    </w:p>
    <w:p w14:paraId="5C4E4091" w14:textId="77777777" w:rsidR="00E46816" w:rsidRDefault="00E46816" w:rsidP="00E46816">
      <w:pPr>
        <w:ind w:left="2880" w:hanging="720"/>
        <w:rPr>
          <w:rFonts w:eastAsia="Calibri"/>
        </w:rPr>
      </w:pPr>
    </w:p>
    <w:p w14:paraId="1D8E0B93" w14:textId="7A990B2A" w:rsidR="00B50A91" w:rsidRPr="003B4362" w:rsidRDefault="00B50A91" w:rsidP="00E46816">
      <w:pPr>
        <w:ind w:left="2880" w:hanging="720"/>
        <w:rPr>
          <w:rFonts w:eastAsia="Calibri"/>
        </w:rPr>
      </w:pPr>
      <w:r w:rsidRPr="003B4362">
        <w:rPr>
          <w:rFonts w:eastAsia="Calibri"/>
        </w:rPr>
        <w:t>C)</w:t>
      </w:r>
      <w:r w:rsidRPr="003B4362">
        <w:rPr>
          <w:rFonts w:eastAsia="Calibri"/>
        </w:rPr>
        <w:tab/>
        <w:t>The CWS supplier serving a population greater than 100,000 must post and retain material on a publicly accessible website under subsection (b)(2)(D).</w:t>
      </w:r>
    </w:p>
    <w:p w14:paraId="1C0467D4" w14:textId="77777777" w:rsidR="00E46816" w:rsidRDefault="00E46816" w:rsidP="00E46816">
      <w:pPr>
        <w:ind w:left="2880" w:hanging="720"/>
        <w:rPr>
          <w:rFonts w:eastAsia="Calibri"/>
        </w:rPr>
      </w:pPr>
    </w:p>
    <w:p w14:paraId="6D5ED167" w14:textId="410FF3AF" w:rsidR="00B50A91" w:rsidRPr="003B4362" w:rsidRDefault="00B50A91" w:rsidP="00E46816">
      <w:pPr>
        <w:ind w:left="2880" w:hanging="720"/>
        <w:rPr>
          <w:rFonts w:eastAsia="Calibri"/>
        </w:rPr>
      </w:pPr>
      <w:r w:rsidRPr="003B4362">
        <w:rPr>
          <w:rFonts w:eastAsia="Calibri"/>
        </w:rPr>
        <w:t>D)</w:t>
      </w:r>
      <w:r w:rsidRPr="003B4362">
        <w:rPr>
          <w:rFonts w:eastAsia="Calibri"/>
        </w:rPr>
        <w:tab/>
        <w:t xml:space="preserve">The CWS supplier must repeat the task in subsection (b)(2)(E) twice every 12 months on a schedule agreed by the Agency in a SEP.  The Agency must, on a case-by-case basis, issue a SEP extending the time for the supplier to complete the public education tasks in subsection (b)(2) beyond the 60-day limit if the Agency determines that the supplier needs the extended time to implement; however, the Agency must issue the SEP granting any extension </w:t>
      </w:r>
      <w:r w:rsidR="005D157F" w:rsidRPr="003B4362">
        <w:rPr>
          <w:rFonts w:eastAsia="Calibri"/>
        </w:rPr>
        <w:t>before</w:t>
      </w:r>
      <w:r w:rsidRPr="003B4362">
        <w:rPr>
          <w:rFonts w:eastAsia="Calibri"/>
        </w:rPr>
        <w:t xml:space="preserve"> the 60-day deadline expires.</w:t>
      </w:r>
    </w:p>
    <w:p w14:paraId="2E51D688" w14:textId="77777777" w:rsidR="00E46816" w:rsidRDefault="00E46816" w:rsidP="00E46816">
      <w:pPr>
        <w:ind w:left="2160" w:hanging="720"/>
        <w:rPr>
          <w:rFonts w:eastAsia="Calibri"/>
        </w:rPr>
      </w:pPr>
    </w:p>
    <w:p w14:paraId="699455CD" w14:textId="700FEF07" w:rsidR="00B50A91" w:rsidRPr="003B4362" w:rsidRDefault="00B50A91" w:rsidP="00E46816">
      <w:pPr>
        <w:ind w:left="2160" w:hanging="720"/>
        <w:rPr>
          <w:rFonts w:eastAsia="Calibri"/>
        </w:rPr>
      </w:pPr>
      <w:r w:rsidRPr="003B4362">
        <w:rPr>
          <w:rFonts w:eastAsia="Calibri"/>
        </w:rPr>
        <w:lastRenderedPageBreak/>
        <w:t>4)</w:t>
      </w:r>
      <w:r w:rsidRPr="003B4362">
        <w:rPr>
          <w:rFonts w:eastAsia="Calibri"/>
        </w:rPr>
        <w:tab/>
        <w:t>Within 60 days after the end of the monitoring period in which a NTNCWS supplier exceeds the lead action level (unless it already is repeating public education tasks under subsection (b)(5)), the supplier must deliver the public education materials subsection (a) specifies.</w:t>
      </w:r>
    </w:p>
    <w:p w14:paraId="54F95C49" w14:textId="77777777" w:rsidR="00E46816" w:rsidRDefault="00E46816" w:rsidP="00E46816">
      <w:pPr>
        <w:ind w:left="2880" w:hanging="720"/>
        <w:rPr>
          <w:rFonts w:eastAsia="Calibri"/>
        </w:rPr>
      </w:pPr>
    </w:p>
    <w:p w14:paraId="7AAC7D33" w14:textId="149FE3F8" w:rsidR="00B50A91" w:rsidRPr="003B4362" w:rsidRDefault="00B50A91" w:rsidP="00E46816">
      <w:pPr>
        <w:ind w:left="2880" w:hanging="720"/>
        <w:rPr>
          <w:rFonts w:eastAsia="Calibri"/>
        </w:rPr>
      </w:pPr>
      <w:r w:rsidRPr="003B4362">
        <w:rPr>
          <w:rFonts w:eastAsia="Calibri"/>
        </w:rPr>
        <w:t>A)</w:t>
      </w:r>
      <w:r w:rsidRPr="003B4362">
        <w:rPr>
          <w:rFonts w:eastAsia="Calibri"/>
        </w:rPr>
        <w:tab/>
        <w:t>The supplier must deliver the public education materials by certain means:</w:t>
      </w:r>
    </w:p>
    <w:p w14:paraId="724A583E" w14:textId="77777777" w:rsidR="00E46816" w:rsidRDefault="00E46816" w:rsidP="00E46816">
      <w:pPr>
        <w:ind w:left="3600" w:hanging="720"/>
        <w:rPr>
          <w:rFonts w:eastAsia="Calibri"/>
        </w:rPr>
      </w:pPr>
    </w:p>
    <w:p w14:paraId="464C04AA" w14:textId="7D564963" w:rsidR="00B50A91" w:rsidRPr="003B4362" w:rsidRDefault="00B50A91" w:rsidP="00E46816">
      <w:pPr>
        <w:ind w:left="3600" w:hanging="720"/>
        <w:rPr>
          <w:rFonts w:eastAsia="Calibri"/>
        </w:rPr>
      </w:pPr>
      <w:r w:rsidRPr="003B4362">
        <w:rPr>
          <w:rFonts w:eastAsia="Calibri"/>
        </w:rPr>
        <w:t>i)</w:t>
      </w:r>
      <w:r w:rsidRPr="003B4362">
        <w:rPr>
          <w:rFonts w:eastAsia="Calibri"/>
        </w:rPr>
        <w:tab/>
        <w:t>The NTNCWS supplier must post informational posters on lead in drinking water in a public place or common area in each of the buildings the supplier serves; and</w:t>
      </w:r>
    </w:p>
    <w:p w14:paraId="06DFBEFA" w14:textId="77777777" w:rsidR="00E46816" w:rsidRDefault="00E46816" w:rsidP="00E46816">
      <w:pPr>
        <w:ind w:left="3600" w:hanging="720"/>
        <w:rPr>
          <w:rFonts w:eastAsia="Calibri"/>
        </w:rPr>
      </w:pPr>
    </w:p>
    <w:p w14:paraId="6D5BC067" w14:textId="29283757" w:rsidR="00B50A91" w:rsidRPr="003B4362" w:rsidRDefault="00B50A91" w:rsidP="00E46816">
      <w:pPr>
        <w:ind w:left="3600" w:hanging="720"/>
        <w:rPr>
          <w:rFonts w:eastAsia="Calibri"/>
        </w:rPr>
      </w:pPr>
      <w:r w:rsidRPr="003B4362">
        <w:rPr>
          <w:rFonts w:eastAsia="Calibri"/>
        </w:rPr>
        <w:t>ii)</w:t>
      </w:r>
      <w:r w:rsidRPr="003B4362">
        <w:rPr>
          <w:rFonts w:eastAsia="Calibri"/>
        </w:rPr>
        <w:tab/>
        <w:t>The NTNCWS supplier must distribute informational pamphlets or brochures on lead in drinking water to each person the NTNCWS supplier serves.  The Agency may issue a SEP allowing the system to use electronic transmission in lieu of or combined with printed materials as long as the electronic transmission achieves the same or better coverage.</w:t>
      </w:r>
    </w:p>
    <w:p w14:paraId="485CA44E" w14:textId="77777777" w:rsidR="00E46816" w:rsidRDefault="00E46816" w:rsidP="00E46816">
      <w:pPr>
        <w:ind w:left="2880" w:hanging="720"/>
        <w:rPr>
          <w:rFonts w:eastAsia="Calibri"/>
        </w:rPr>
      </w:pPr>
    </w:p>
    <w:p w14:paraId="73F116AB" w14:textId="50AE4367" w:rsidR="00B50A91" w:rsidRPr="003B4362" w:rsidRDefault="00B50A91" w:rsidP="00E46816">
      <w:pPr>
        <w:ind w:left="2880" w:hanging="720"/>
        <w:rPr>
          <w:rFonts w:eastAsia="Calibri"/>
        </w:rPr>
      </w:pPr>
      <w:r w:rsidRPr="003B4362">
        <w:rPr>
          <w:rFonts w:eastAsia="Calibri"/>
        </w:rPr>
        <w:t>B)</w:t>
      </w:r>
      <w:r w:rsidRPr="003B4362">
        <w:rPr>
          <w:rFonts w:eastAsia="Calibri"/>
        </w:rPr>
        <w:tab/>
        <w:t>For a NTNCWS supplier that must monitor annually or less frequently, the end of the monitoring period is September 30 of the calendar year in which the sampling occurs, or on the last day of an alternative monitoring period the Agency sets in a SEP.</w:t>
      </w:r>
    </w:p>
    <w:p w14:paraId="26F770CB" w14:textId="77777777" w:rsidR="00E46816" w:rsidRDefault="00E46816" w:rsidP="00E46816">
      <w:pPr>
        <w:ind w:left="2160" w:hanging="720"/>
        <w:rPr>
          <w:rFonts w:eastAsia="Calibri"/>
        </w:rPr>
      </w:pPr>
    </w:p>
    <w:p w14:paraId="02FF83A7" w14:textId="25180EAB" w:rsidR="00B50A91" w:rsidRPr="003B4362" w:rsidRDefault="00B50A91" w:rsidP="00E46816">
      <w:pPr>
        <w:ind w:left="2160" w:hanging="720"/>
        <w:rPr>
          <w:rFonts w:eastAsia="Calibri"/>
        </w:rPr>
      </w:pPr>
      <w:r w:rsidRPr="003B4362">
        <w:rPr>
          <w:rFonts w:eastAsia="Calibri"/>
        </w:rPr>
        <w:t>5)</w:t>
      </w:r>
      <w:r w:rsidRPr="003B4362">
        <w:rPr>
          <w:rFonts w:eastAsia="Calibri"/>
        </w:rPr>
        <w:tab/>
        <w:t>A NTNCWS supplier must repeat the tasks in subsection (b)(4) at least once during each calendar year in which the supplier exceeds the lead action level.  The Agency must, on a case-by-case basis, issue a SEP extending the time for the supplier to complete the public education tasks in subsection (b)(2) beyond the 60-day limit if the Agency determines that the extended time is needed for implementation purposes; however, the Agency must issue any SEP granting any extension prior to when the 60-day deadline expires.</w:t>
      </w:r>
    </w:p>
    <w:p w14:paraId="379B2082" w14:textId="77777777" w:rsidR="00E46816" w:rsidRDefault="00E46816" w:rsidP="00E46816">
      <w:pPr>
        <w:ind w:left="2160" w:hanging="720"/>
        <w:rPr>
          <w:rFonts w:eastAsia="Calibri"/>
        </w:rPr>
      </w:pPr>
    </w:p>
    <w:p w14:paraId="1F6A55F1" w14:textId="7DAED7D6" w:rsidR="00B50A91" w:rsidRPr="003B4362" w:rsidRDefault="00B50A91" w:rsidP="00E46816">
      <w:pPr>
        <w:ind w:left="2160" w:hanging="720"/>
        <w:rPr>
          <w:rFonts w:eastAsia="Calibri"/>
        </w:rPr>
      </w:pPr>
      <w:r w:rsidRPr="003B4362">
        <w:rPr>
          <w:rFonts w:eastAsia="Calibri"/>
        </w:rPr>
        <w:t>6)</w:t>
      </w:r>
      <w:r w:rsidRPr="003B4362">
        <w:rPr>
          <w:rFonts w:eastAsia="Calibri"/>
        </w:rPr>
        <w:tab/>
        <w:t>A supplier may stop delivering public education materials after the supplier meets the lead action level during the most recent six-month monitoring period under Section 611.1356.  The supplier must begin public education anew under this Section if the supplier subsequently exceeds the lead action level during any six-month monitoring period.</w:t>
      </w:r>
    </w:p>
    <w:p w14:paraId="4FC1B6E7" w14:textId="77777777" w:rsidR="00E46816" w:rsidRDefault="00E46816" w:rsidP="00E46816">
      <w:pPr>
        <w:ind w:left="2160" w:hanging="720"/>
        <w:rPr>
          <w:rFonts w:eastAsia="Calibri"/>
        </w:rPr>
      </w:pPr>
    </w:p>
    <w:p w14:paraId="4D6FC1D7" w14:textId="553AE721" w:rsidR="00B50A91" w:rsidRPr="003B4362" w:rsidRDefault="00B50A91" w:rsidP="00E46816">
      <w:pPr>
        <w:ind w:left="2160" w:hanging="720"/>
        <w:rPr>
          <w:rFonts w:eastAsia="Calibri"/>
        </w:rPr>
      </w:pPr>
      <w:r w:rsidRPr="003B4362">
        <w:rPr>
          <w:rFonts w:eastAsia="Calibri"/>
        </w:rPr>
        <w:t>7)</w:t>
      </w:r>
      <w:r w:rsidRPr="003B4362">
        <w:rPr>
          <w:rFonts w:eastAsia="Calibri"/>
        </w:rPr>
        <w:tab/>
        <w:t>A CWS supplier may apply to the Agency in writing to use only the text in subsection (a)(1) in lieu of the text in subsections (a)(1) and (a)(2) and to perform the tasks in subsections (b)(4) and (b)(5) in lieu of the tasks in subsections (b)(2) and (b)(3) under specific circumstances:</w:t>
      </w:r>
    </w:p>
    <w:p w14:paraId="735A0737" w14:textId="77777777" w:rsidR="00E46816" w:rsidRDefault="00E46816" w:rsidP="00E46816">
      <w:pPr>
        <w:ind w:left="2880" w:hanging="720"/>
        <w:rPr>
          <w:rFonts w:eastAsia="Calibri"/>
        </w:rPr>
      </w:pPr>
    </w:p>
    <w:p w14:paraId="536C23EE" w14:textId="5592948F" w:rsidR="00B50A91" w:rsidRPr="003B4362" w:rsidRDefault="00B50A91" w:rsidP="00E46816">
      <w:pPr>
        <w:ind w:left="2880" w:hanging="720"/>
        <w:rPr>
          <w:rFonts w:eastAsia="Calibri"/>
        </w:rPr>
      </w:pPr>
      <w:r w:rsidRPr="003B4362">
        <w:rPr>
          <w:rFonts w:eastAsia="Calibri"/>
        </w:rPr>
        <w:lastRenderedPageBreak/>
        <w:t>A)</w:t>
      </w:r>
      <w:r w:rsidRPr="003B4362">
        <w:rPr>
          <w:rFonts w:eastAsia="Calibri"/>
        </w:rPr>
        <w:tab/>
        <w:t>The supplier is a facility, such as a prison or a hospital, where the population served is not capable of or is prevented from making improvements to plumbing or installing point of use treatment devices; and</w:t>
      </w:r>
    </w:p>
    <w:p w14:paraId="592AB538" w14:textId="77777777" w:rsidR="00E46816" w:rsidRDefault="00E46816" w:rsidP="00E46816">
      <w:pPr>
        <w:ind w:left="2880" w:hanging="720"/>
        <w:rPr>
          <w:rFonts w:eastAsia="Calibri"/>
        </w:rPr>
      </w:pPr>
    </w:p>
    <w:p w14:paraId="76AB3E98" w14:textId="5FD3BDF1" w:rsidR="00B50A91" w:rsidRPr="003B4362" w:rsidRDefault="00B50A91" w:rsidP="00E46816">
      <w:pPr>
        <w:ind w:left="2880" w:hanging="720"/>
        <w:rPr>
          <w:rFonts w:eastAsia="Calibri"/>
        </w:rPr>
      </w:pPr>
      <w:r w:rsidRPr="003B4362">
        <w:rPr>
          <w:rFonts w:eastAsia="Calibri"/>
        </w:rPr>
        <w:t>B)</w:t>
      </w:r>
      <w:r w:rsidRPr="003B4362">
        <w:rPr>
          <w:rFonts w:eastAsia="Calibri"/>
        </w:rPr>
        <w:tab/>
        <w:t>The supplier provides water as part of the cost of services provided, not separately charging for water consumption.</w:t>
      </w:r>
    </w:p>
    <w:p w14:paraId="2FC94CFF" w14:textId="77777777" w:rsidR="00E46816" w:rsidRDefault="00E46816" w:rsidP="00E46816">
      <w:pPr>
        <w:ind w:left="2160" w:hanging="720"/>
        <w:rPr>
          <w:rFonts w:eastAsia="Calibri"/>
        </w:rPr>
      </w:pPr>
    </w:p>
    <w:p w14:paraId="228D44F5" w14:textId="56770A0C" w:rsidR="00B50A91" w:rsidRPr="003B4362" w:rsidRDefault="00B50A91" w:rsidP="00E46816">
      <w:pPr>
        <w:ind w:left="2160" w:hanging="720"/>
        <w:rPr>
          <w:rFonts w:eastAsia="Calibri"/>
        </w:rPr>
      </w:pPr>
      <w:r w:rsidRPr="003B4362">
        <w:rPr>
          <w:rFonts w:eastAsia="Calibri"/>
        </w:rPr>
        <w:t>8)</w:t>
      </w:r>
      <w:r w:rsidRPr="003B4362">
        <w:rPr>
          <w:rFonts w:eastAsia="Calibri"/>
        </w:rPr>
        <w:tab/>
        <w:t>A CWS supplier serving 3,300 or fewer people may limit certain aspects of its public education programs:</w:t>
      </w:r>
    </w:p>
    <w:p w14:paraId="63D35CEB" w14:textId="77777777" w:rsidR="00E46816" w:rsidRDefault="00E46816" w:rsidP="00E46816">
      <w:pPr>
        <w:ind w:left="2880" w:hanging="720"/>
        <w:rPr>
          <w:rFonts w:eastAsia="Calibri"/>
        </w:rPr>
      </w:pPr>
    </w:p>
    <w:p w14:paraId="209B28AC" w14:textId="589B95EC" w:rsidR="00B50A91" w:rsidRPr="003B4362" w:rsidRDefault="00B50A91" w:rsidP="00E46816">
      <w:pPr>
        <w:ind w:left="2880" w:hanging="720"/>
        <w:rPr>
          <w:rFonts w:eastAsia="Calibri"/>
        </w:rPr>
      </w:pPr>
      <w:r w:rsidRPr="003B4362">
        <w:rPr>
          <w:rFonts w:eastAsia="Calibri"/>
        </w:rPr>
        <w:t>A)</w:t>
      </w:r>
      <w:r w:rsidRPr="003B4362">
        <w:rPr>
          <w:rFonts w:eastAsia="Calibri"/>
        </w:rPr>
        <w:tab/>
        <w:t>For notice under subsection (b)(2)(F), a supplier serving 3,300 or fewer people must implement at least one of the activities.</w:t>
      </w:r>
    </w:p>
    <w:p w14:paraId="2FCA9CF4" w14:textId="77777777" w:rsidR="00E46816" w:rsidRDefault="00E46816" w:rsidP="00E46816">
      <w:pPr>
        <w:ind w:left="2880" w:hanging="720"/>
        <w:rPr>
          <w:rFonts w:eastAsia="Calibri"/>
        </w:rPr>
      </w:pPr>
    </w:p>
    <w:p w14:paraId="7B7414C4" w14:textId="3EA08993" w:rsidR="00B50A91" w:rsidRPr="003B4362" w:rsidRDefault="00B50A91" w:rsidP="00E46816">
      <w:pPr>
        <w:ind w:left="2880" w:hanging="720"/>
        <w:rPr>
          <w:rFonts w:eastAsia="Calibri"/>
        </w:rPr>
      </w:pPr>
      <w:r w:rsidRPr="003B4362">
        <w:rPr>
          <w:rFonts w:eastAsia="Calibri"/>
        </w:rPr>
        <w:t>B)</w:t>
      </w:r>
      <w:r w:rsidRPr="003B4362">
        <w:rPr>
          <w:rFonts w:eastAsia="Calibri"/>
        </w:rPr>
        <w:tab/>
        <w:t>For notice under subsection (b)(2)(B), a supplier serving 3,300 or fewer people may limit the distribution of the public education materials to facilities and organizations pregnant women and children are most likely to visit.</w:t>
      </w:r>
    </w:p>
    <w:p w14:paraId="4CD38F1C" w14:textId="77777777" w:rsidR="00E46816" w:rsidRDefault="00E46816" w:rsidP="00E46816">
      <w:pPr>
        <w:ind w:left="2880" w:hanging="720"/>
        <w:rPr>
          <w:rFonts w:eastAsia="Calibri"/>
        </w:rPr>
      </w:pPr>
    </w:p>
    <w:p w14:paraId="2F4D8B94" w14:textId="0AF3FA3C" w:rsidR="00B50A91" w:rsidRPr="003B4362" w:rsidRDefault="00B50A91" w:rsidP="00E46816">
      <w:pPr>
        <w:ind w:left="2880" w:hanging="720"/>
        <w:rPr>
          <w:rFonts w:eastAsia="Calibri"/>
        </w:rPr>
      </w:pPr>
      <w:r w:rsidRPr="003B4362">
        <w:rPr>
          <w:rFonts w:eastAsia="Calibri"/>
        </w:rPr>
        <w:t>C)</w:t>
      </w:r>
      <w:r w:rsidRPr="003B4362">
        <w:rPr>
          <w:rFonts w:eastAsia="Calibri"/>
        </w:rPr>
        <w:tab/>
        <w:t>For notice under subsection (b)(2)(E), the Agency may issue a SEP waiving this requirement for a supplier serving 3,300 or fewer persons, as long as the supplier distributes notices to every household the supplier serves.</w:t>
      </w:r>
    </w:p>
    <w:p w14:paraId="2E80A790" w14:textId="77777777" w:rsidR="00E46816" w:rsidRDefault="00E46816" w:rsidP="00E46816">
      <w:pPr>
        <w:ind w:left="1440" w:hanging="720"/>
        <w:rPr>
          <w:rFonts w:eastAsia="Calibri"/>
        </w:rPr>
      </w:pPr>
    </w:p>
    <w:p w14:paraId="4CF087A7" w14:textId="6B2611AA" w:rsidR="00B50A91" w:rsidRPr="003B4362" w:rsidRDefault="00B50A91" w:rsidP="00E46816">
      <w:pPr>
        <w:ind w:left="1440" w:hanging="720"/>
        <w:rPr>
          <w:rFonts w:eastAsia="Calibri"/>
        </w:rPr>
      </w:pPr>
      <w:r w:rsidRPr="003B4362">
        <w:rPr>
          <w:rFonts w:eastAsia="Calibri"/>
        </w:rPr>
        <w:t>c)</w:t>
      </w:r>
      <w:r w:rsidRPr="003B4362">
        <w:rPr>
          <w:rFonts w:eastAsia="Calibri"/>
        </w:rPr>
        <w:tab/>
        <w:t>Supplemental Monitoring and Notification of Results.  A supplier failing to meet the lead action level in tap samples under Section 611.1356 must offer to sample the tap water of any customer requesting it.  The supplier needs not pay for collecting or analyzing the sample, nor must the supplier itself collect and analyze the sample.</w:t>
      </w:r>
    </w:p>
    <w:p w14:paraId="25DB7105" w14:textId="77777777" w:rsidR="00E46816" w:rsidRDefault="00E46816" w:rsidP="00E46816">
      <w:pPr>
        <w:ind w:left="1440" w:hanging="720"/>
        <w:rPr>
          <w:rFonts w:eastAsia="Calibri"/>
        </w:rPr>
      </w:pPr>
    </w:p>
    <w:p w14:paraId="4290F82C" w14:textId="18A8FC15" w:rsidR="00B50A91" w:rsidRPr="003B4362" w:rsidRDefault="00B50A91" w:rsidP="00E46816">
      <w:pPr>
        <w:ind w:left="1440" w:hanging="720"/>
        <w:rPr>
          <w:rFonts w:eastAsia="Calibri"/>
        </w:rPr>
      </w:pPr>
      <w:r w:rsidRPr="003B4362">
        <w:rPr>
          <w:rFonts w:eastAsia="Calibri"/>
        </w:rPr>
        <w:t>d)</w:t>
      </w:r>
      <w:r w:rsidRPr="003B4362">
        <w:rPr>
          <w:rFonts w:eastAsia="Calibri"/>
        </w:rPr>
        <w:tab/>
        <w:t>Requirement for Consumer Notice of Tap Water Monitoring Results</w:t>
      </w:r>
    </w:p>
    <w:p w14:paraId="7C9CA2AF" w14:textId="77777777" w:rsidR="00E46816" w:rsidRDefault="00E46816" w:rsidP="00E46816">
      <w:pPr>
        <w:ind w:left="2160" w:hanging="720"/>
        <w:rPr>
          <w:rFonts w:eastAsia="Calibri"/>
        </w:rPr>
      </w:pPr>
    </w:p>
    <w:p w14:paraId="4E8D760B" w14:textId="6E8B99EA" w:rsidR="00B50A91" w:rsidRPr="003B4362" w:rsidRDefault="00B50A91" w:rsidP="00E46816">
      <w:pPr>
        <w:ind w:left="2160" w:hanging="720"/>
        <w:rPr>
          <w:rFonts w:eastAsia="Calibri"/>
        </w:rPr>
      </w:pPr>
      <w:r w:rsidRPr="003B4362">
        <w:rPr>
          <w:rFonts w:eastAsia="Calibri"/>
        </w:rPr>
        <w:t>1)</w:t>
      </w:r>
      <w:r w:rsidRPr="003B4362">
        <w:rPr>
          <w:rFonts w:eastAsia="Calibri"/>
        </w:rPr>
        <w:tab/>
        <w:t>Consumer Notice Requirement.  A supplier must provide a notice of the individual tap results from lead tap water monitoring under Section 611.1356 to the persons the water system serves at the specific sampling site from which the supplier took the sample (e.g., the occupants of the residence where the supplier tested the tap).</w:t>
      </w:r>
    </w:p>
    <w:p w14:paraId="24E57A7D" w14:textId="77777777" w:rsidR="00E46816" w:rsidRDefault="00E46816" w:rsidP="00E46816">
      <w:pPr>
        <w:ind w:left="2160" w:hanging="720"/>
        <w:rPr>
          <w:rFonts w:eastAsia="Calibri"/>
        </w:rPr>
      </w:pPr>
    </w:p>
    <w:p w14:paraId="23F65778" w14:textId="201A1D5F" w:rsidR="00B50A91" w:rsidRPr="003B4362" w:rsidRDefault="00B50A91" w:rsidP="00E46816">
      <w:pPr>
        <w:ind w:left="2160" w:hanging="720"/>
        <w:rPr>
          <w:rFonts w:eastAsia="Calibri"/>
        </w:rPr>
      </w:pPr>
      <w:r w:rsidRPr="003B4362">
        <w:rPr>
          <w:rFonts w:eastAsia="Calibri"/>
        </w:rPr>
        <w:t>2)</w:t>
      </w:r>
      <w:r w:rsidRPr="003B4362">
        <w:rPr>
          <w:rFonts w:eastAsia="Calibri"/>
        </w:rPr>
        <w:tab/>
        <w:t>Timing of Consumer Notice.  The supplier must provide the consumer notice as soon as practical, but no later than 30 days after the supplier learns of the tap monitoring results.</w:t>
      </w:r>
    </w:p>
    <w:p w14:paraId="0B969A56" w14:textId="77777777" w:rsidR="00E46816" w:rsidRDefault="00E46816" w:rsidP="00E46816">
      <w:pPr>
        <w:ind w:left="2160" w:hanging="720"/>
        <w:rPr>
          <w:rFonts w:eastAsia="Calibri"/>
        </w:rPr>
      </w:pPr>
    </w:p>
    <w:p w14:paraId="3C865768" w14:textId="1298D100" w:rsidR="00B50A91" w:rsidRPr="003B4362" w:rsidRDefault="00B50A91" w:rsidP="00E46816">
      <w:pPr>
        <w:ind w:left="2160" w:hanging="720"/>
        <w:rPr>
          <w:rFonts w:eastAsia="Calibri"/>
        </w:rPr>
      </w:pPr>
      <w:r w:rsidRPr="003B4362">
        <w:rPr>
          <w:rFonts w:eastAsia="Calibri"/>
        </w:rPr>
        <w:t>3)</w:t>
      </w:r>
      <w:r w:rsidRPr="003B4362">
        <w:rPr>
          <w:rFonts w:eastAsia="Calibri"/>
        </w:rPr>
        <w:tab/>
        <w:t xml:space="preserve">Content of Consumer Notice.  The consumer notice must include the results of lead tap water monitoring for the tap the supplier tested, an explanation of the health effects of lead, a list of steps consumers can take </w:t>
      </w:r>
      <w:r w:rsidRPr="003B4362">
        <w:rPr>
          <w:rFonts w:eastAsia="Calibri"/>
        </w:rPr>
        <w:lastRenderedPageBreak/>
        <w:t>to reduce exposure to lead in drinking water, and contact information for the water utility.  The notice must also provide the maximum contaminant level goal and the action level for lead and the definitions for these two terms from Section 611.883(c).</w:t>
      </w:r>
    </w:p>
    <w:p w14:paraId="6E0AB3A0" w14:textId="77777777" w:rsidR="00E46816" w:rsidRDefault="00E46816" w:rsidP="00E46816">
      <w:pPr>
        <w:ind w:left="2160" w:hanging="720"/>
        <w:rPr>
          <w:rFonts w:eastAsia="Calibri"/>
        </w:rPr>
      </w:pPr>
    </w:p>
    <w:p w14:paraId="08D40F32" w14:textId="2BAB8499" w:rsidR="00B50A91" w:rsidRPr="003B4362" w:rsidRDefault="00B50A91" w:rsidP="00E46816">
      <w:pPr>
        <w:ind w:left="2160" w:hanging="720"/>
        <w:rPr>
          <w:rFonts w:eastAsia="Calibri"/>
        </w:rPr>
      </w:pPr>
      <w:r w:rsidRPr="003B4362">
        <w:rPr>
          <w:rFonts w:eastAsia="Calibri"/>
        </w:rPr>
        <w:t>4)</w:t>
      </w:r>
      <w:r w:rsidRPr="003B4362">
        <w:rPr>
          <w:rFonts w:eastAsia="Calibri"/>
        </w:rPr>
        <w:tab/>
        <w:t>Delivery of Consumer Notice.  The supplier must provide the consumer notice to persons it serves at the tap the supplier tested, either by mail or by another method the Agency approves in a SEP.  For example, upon Agency approval, a NTNCWS supplier could post the results on a bulletin board in the facility enabling users to review the information.  The supplier must provide the notice to customers at sample taps the supplier tested, including consumers who do not receive water bills.</w:t>
      </w:r>
    </w:p>
    <w:p w14:paraId="4D996C31" w14:textId="77777777" w:rsidR="00E46816" w:rsidRDefault="00E46816" w:rsidP="00E46816">
      <w:pPr>
        <w:rPr>
          <w:rFonts w:eastAsia="Calibri"/>
        </w:rPr>
      </w:pPr>
    </w:p>
    <w:p w14:paraId="4A579F8B" w14:textId="2B99FD5C" w:rsidR="00B50A91" w:rsidRPr="003B4362" w:rsidRDefault="00B50A91" w:rsidP="00E46816">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611.1355 and </w:t>
      </w:r>
      <w:r w:rsidRPr="003B4362">
        <w:rPr>
          <w:rFonts w:eastAsia="Calibri"/>
          <w:spacing w:val="-3"/>
        </w:rPr>
        <w:t xml:space="preserve">derives </w:t>
      </w:r>
      <w:r w:rsidRPr="003B4362">
        <w:rPr>
          <w:rFonts w:eastAsia="Calibri"/>
        </w:rPr>
        <w:t>from 40 CFR 141.85</w:t>
      </w:r>
      <w:r w:rsidR="00D4101B" w:rsidRPr="003B4362">
        <w:rPr>
          <w:rFonts w:eastAsia="Calibri"/>
        </w:rPr>
        <w:t xml:space="preserve"> (2020)</w:t>
      </w:r>
      <w:r w:rsidRPr="003B4362">
        <w:rPr>
          <w:rFonts w:eastAsia="Calibri"/>
        </w:rPr>
        <w:t>.</w:t>
      </w:r>
    </w:p>
    <w:p w14:paraId="37351B47" w14:textId="77777777" w:rsidR="00E46816" w:rsidRDefault="00E46816" w:rsidP="00E46816">
      <w:pPr>
        <w:suppressAutoHyphens/>
        <w:ind w:left="720"/>
        <w:rPr>
          <w:rFonts w:eastAsia="Calibri"/>
        </w:rPr>
      </w:pPr>
    </w:p>
    <w:p w14:paraId="1E90820C" w14:textId="26EF8876" w:rsidR="00B50A91" w:rsidRDefault="00EB353D" w:rsidP="00E46816">
      <w:pPr>
        <w:suppressAutoHyphens/>
        <w:ind w:left="720"/>
        <w:rPr>
          <w:rFonts w:eastAsia="Calibri"/>
        </w:rPr>
      </w:pPr>
      <w:r w:rsidRPr="003B4362">
        <w:rPr>
          <w:rFonts w:eastAsia="Calibri"/>
        </w:rPr>
        <w:t>(Source:  A</w:t>
      </w:r>
      <w:r w:rsidR="00B65583"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4E52CDDD" w14:textId="77777777" w:rsidR="005605D6" w:rsidRPr="003B4362" w:rsidRDefault="005605D6" w:rsidP="00E46816">
      <w:pPr>
        <w:suppressAutoHyphens/>
        <w:ind w:left="720"/>
        <w:rPr>
          <w:rFonts w:eastAsia="Calibri"/>
        </w:rPr>
      </w:pPr>
    </w:p>
    <w:p w14:paraId="28D9C513" w14:textId="77777777" w:rsidR="00B50A91" w:rsidRPr="003B4362" w:rsidRDefault="00B50A91" w:rsidP="001B6EEE">
      <w:pPr>
        <w:rPr>
          <w:rFonts w:eastAsia="Calibri"/>
          <w:b/>
          <w:bCs/>
        </w:rPr>
      </w:pPr>
      <w:r w:rsidRPr="003B4362">
        <w:rPr>
          <w:rFonts w:eastAsia="Calibri"/>
          <w:b/>
          <w:bCs/>
        </w:rPr>
        <w:t>Section 611.1356  Tap Water Monitoring for Lead and Copper</w:t>
      </w:r>
    </w:p>
    <w:p w14:paraId="718AD5EA" w14:textId="77777777" w:rsidR="001B6EEE" w:rsidRDefault="001B6EEE" w:rsidP="001B6EEE">
      <w:pPr>
        <w:ind w:left="1440" w:hanging="720"/>
        <w:rPr>
          <w:rFonts w:eastAsia="Calibri"/>
        </w:rPr>
      </w:pPr>
    </w:p>
    <w:p w14:paraId="456A4504" w14:textId="50DE0C4D" w:rsidR="00B50A91" w:rsidRPr="003B4362" w:rsidRDefault="00B50A91" w:rsidP="001B6EEE">
      <w:pPr>
        <w:ind w:left="1440" w:hanging="720"/>
        <w:rPr>
          <w:rFonts w:eastAsia="Calibri"/>
        </w:rPr>
      </w:pPr>
      <w:r w:rsidRPr="003B4362">
        <w:rPr>
          <w:rFonts w:eastAsia="Calibri"/>
        </w:rPr>
        <w:t>a)</w:t>
      </w:r>
      <w:r w:rsidRPr="003B4362">
        <w:rPr>
          <w:rFonts w:eastAsia="Calibri"/>
        </w:rPr>
        <w:tab/>
        <w:t>Sampling Site Location</w:t>
      </w:r>
    </w:p>
    <w:p w14:paraId="2AB5BD02" w14:textId="77777777" w:rsidR="001B6EEE" w:rsidRDefault="001B6EEE" w:rsidP="001B6EEE">
      <w:pPr>
        <w:ind w:left="2160" w:hanging="720"/>
        <w:rPr>
          <w:rFonts w:eastAsia="Calibri"/>
        </w:rPr>
      </w:pPr>
    </w:p>
    <w:p w14:paraId="18E67F80" w14:textId="763D5A15" w:rsidR="00B50A91" w:rsidRPr="003B4362" w:rsidRDefault="00B50A91" w:rsidP="001B6EEE">
      <w:pPr>
        <w:ind w:left="2160" w:hanging="720"/>
        <w:rPr>
          <w:rFonts w:eastAsia="Calibri"/>
        </w:rPr>
      </w:pPr>
      <w:r w:rsidRPr="003B4362">
        <w:rPr>
          <w:rFonts w:eastAsia="Calibri"/>
        </w:rPr>
        <w:t>1)</w:t>
      </w:r>
      <w:r w:rsidRPr="003B4362">
        <w:rPr>
          <w:rFonts w:eastAsia="Calibri"/>
        </w:rPr>
        <w:tab/>
        <w:t>Selecting a Pool of Targeted Sampling Sites</w:t>
      </w:r>
    </w:p>
    <w:p w14:paraId="19690F21" w14:textId="77777777" w:rsidR="001B6EEE" w:rsidRDefault="001B6EEE" w:rsidP="001B6EEE">
      <w:pPr>
        <w:ind w:left="2880" w:hanging="720"/>
        <w:rPr>
          <w:rFonts w:eastAsia="Calibri"/>
        </w:rPr>
      </w:pPr>
    </w:p>
    <w:p w14:paraId="5DB60B31" w14:textId="1920C66D" w:rsidR="00B50A91" w:rsidRPr="003B4362" w:rsidRDefault="00B50A91" w:rsidP="001B6EEE">
      <w:pPr>
        <w:ind w:left="2880" w:hanging="720"/>
        <w:rPr>
          <w:rFonts w:eastAsia="Calibri"/>
        </w:rPr>
      </w:pPr>
      <w:r w:rsidRPr="003B4362">
        <w:rPr>
          <w:rFonts w:eastAsia="Calibri"/>
        </w:rPr>
        <w:t>A)</w:t>
      </w:r>
      <w:r w:rsidRPr="003B4362">
        <w:rPr>
          <w:rFonts w:eastAsia="Calibri"/>
        </w:rPr>
        <w:tab/>
        <w:t>Before the applicable date for beginning monitoring under subsection (d)(1), a supplier must complete evaluating the materials in its distribution system to identify a pool of targeted sampling sites complying with this Section.</w:t>
      </w:r>
    </w:p>
    <w:p w14:paraId="441F58B2" w14:textId="77777777" w:rsidR="001B6EEE" w:rsidRDefault="001B6EEE" w:rsidP="001B6EEE">
      <w:pPr>
        <w:ind w:left="2880" w:hanging="720"/>
        <w:rPr>
          <w:rFonts w:eastAsia="Calibri"/>
        </w:rPr>
      </w:pPr>
    </w:p>
    <w:p w14:paraId="2BD851C2" w14:textId="6E761C0F" w:rsidR="00B50A91" w:rsidRPr="003B4362" w:rsidRDefault="00B50A91" w:rsidP="001B6EEE">
      <w:pPr>
        <w:ind w:left="2880" w:hanging="720"/>
        <w:rPr>
          <w:rFonts w:eastAsia="Calibri"/>
        </w:rPr>
      </w:pPr>
      <w:r w:rsidRPr="003B4362">
        <w:rPr>
          <w:rFonts w:eastAsia="Calibri"/>
        </w:rPr>
        <w:t>B)</w:t>
      </w:r>
      <w:r w:rsidRPr="003B4362">
        <w:rPr>
          <w:rFonts w:eastAsia="Calibri"/>
        </w:rPr>
        <w:tab/>
        <w:t>The pool of targeted sampling sites must be large enough to ensure that the supplier can collect the number of lead and copper tap</w:t>
      </w:r>
      <w:r w:rsidR="009061AD" w:rsidRPr="003B4362">
        <w:rPr>
          <w:rFonts w:eastAsia="Calibri"/>
        </w:rPr>
        <w:t xml:space="preserve"> that the supplier can collect the number of lead and copper </w:t>
      </w:r>
      <w:bookmarkStart w:id="4543" w:name="_Hlk116920268"/>
      <w:r w:rsidR="009061AD" w:rsidRPr="003B4362">
        <w:rPr>
          <w:rFonts w:eastAsia="Calibri"/>
        </w:rPr>
        <w:t xml:space="preserve">tap </w:t>
      </w:r>
      <w:bookmarkStart w:id="4544" w:name="_Hlk116921513"/>
      <w:r w:rsidR="009061AD" w:rsidRPr="003B4362">
        <w:t>samples subsection (c) requires</w:t>
      </w:r>
      <w:bookmarkEnd w:id="4543"/>
      <w:bookmarkEnd w:id="4544"/>
      <w:r w:rsidRPr="003B4362">
        <w:rPr>
          <w:rFonts w:eastAsia="Calibri"/>
        </w:rPr>
        <w:t>.</w:t>
      </w:r>
    </w:p>
    <w:p w14:paraId="1E027767" w14:textId="77777777" w:rsidR="001B6EEE" w:rsidRDefault="001B6EEE" w:rsidP="001B6EEE">
      <w:pPr>
        <w:ind w:left="2880" w:hanging="720"/>
        <w:rPr>
          <w:rFonts w:eastAsia="Calibri"/>
        </w:rPr>
      </w:pPr>
    </w:p>
    <w:p w14:paraId="24C55C17" w14:textId="019A7837" w:rsidR="00B50A91" w:rsidRPr="003B4362" w:rsidRDefault="00B50A91" w:rsidP="001B6EEE">
      <w:pPr>
        <w:ind w:left="2880" w:hanging="720"/>
        <w:rPr>
          <w:rFonts w:eastAsia="Calibri"/>
        </w:rPr>
      </w:pPr>
      <w:r w:rsidRPr="003B4362">
        <w:rPr>
          <w:rFonts w:eastAsia="Calibri"/>
        </w:rPr>
        <w:t>C)</w:t>
      </w:r>
      <w:r w:rsidRPr="003B4362">
        <w:rPr>
          <w:rFonts w:eastAsia="Calibri"/>
        </w:rPr>
        <w:tab/>
        <w:t>The supplier must select the sites for collecting first</w:t>
      </w:r>
      <w:r w:rsidR="00660A70" w:rsidRPr="003B4362">
        <w:rPr>
          <w:rFonts w:eastAsia="Calibri"/>
        </w:rPr>
        <w:t>-</w:t>
      </w:r>
      <w:r w:rsidRPr="003B4362">
        <w:rPr>
          <w:rFonts w:eastAsia="Calibri"/>
        </w:rPr>
        <w:t xml:space="preserve">draw </w:t>
      </w:r>
      <w:r w:rsidR="00660A70" w:rsidRPr="003B4362">
        <w:rPr>
          <w:rFonts w:eastAsia="Calibri"/>
        </w:rPr>
        <w:t xml:space="preserve">tap </w:t>
      </w:r>
      <w:r w:rsidRPr="003B4362">
        <w:rPr>
          <w:rFonts w:eastAsia="Calibri"/>
        </w:rPr>
        <w:t>samples from this pool of targeted sampling sites.</w:t>
      </w:r>
    </w:p>
    <w:p w14:paraId="4C4F3697" w14:textId="77777777" w:rsidR="001B6EEE" w:rsidRDefault="001B6EEE" w:rsidP="001B6EEE">
      <w:pPr>
        <w:ind w:left="2880" w:hanging="720"/>
        <w:rPr>
          <w:rFonts w:eastAsia="Calibri"/>
        </w:rPr>
      </w:pPr>
    </w:p>
    <w:p w14:paraId="426AA550" w14:textId="5FAB5E58" w:rsidR="00B50A91" w:rsidRPr="003B4362" w:rsidRDefault="00B50A91" w:rsidP="001B6EEE">
      <w:pPr>
        <w:ind w:left="2880" w:hanging="720"/>
        <w:rPr>
          <w:rFonts w:eastAsia="Calibri"/>
        </w:rPr>
      </w:pPr>
      <w:r w:rsidRPr="003B4362">
        <w:rPr>
          <w:rFonts w:eastAsia="Calibri"/>
        </w:rPr>
        <w:t>D)</w:t>
      </w:r>
      <w:r w:rsidRPr="003B4362">
        <w:rPr>
          <w:rFonts w:eastAsia="Calibri"/>
        </w:rPr>
        <w:tab/>
        <w:t>The supplier must not select as sampling sites any faucets having point-of-use or point-of-entry treatment devices designed to remove or capable of removing inorganic contaminants.</w:t>
      </w:r>
    </w:p>
    <w:p w14:paraId="68A0E892" w14:textId="77777777" w:rsidR="001B6EEE" w:rsidRDefault="001B6EEE" w:rsidP="001B6EEE">
      <w:pPr>
        <w:ind w:left="2160" w:hanging="720"/>
        <w:rPr>
          <w:rFonts w:eastAsia="Calibri"/>
        </w:rPr>
      </w:pPr>
    </w:p>
    <w:p w14:paraId="1054C86E" w14:textId="15EE0E22" w:rsidR="00B50A91" w:rsidRPr="003B4362" w:rsidRDefault="00B50A91" w:rsidP="001B6EEE">
      <w:pPr>
        <w:ind w:left="2160" w:hanging="720"/>
        <w:rPr>
          <w:rFonts w:eastAsia="Calibri"/>
        </w:rPr>
      </w:pPr>
      <w:r w:rsidRPr="003B4362">
        <w:rPr>
          <w:rFonts w:eastAsia="Calibri"/>
        </w:rPr>
        <w:t>2)</w:t>
      </w:r>
      <w:r w:rsidRPr="003B4362">
        <w:rPr>
          <w:rFonts w:eastAsia="Calibri"/>
        </w:rPr>
        <w:tab/>
        <w:t>Materials Evaluation</w:t>
      </w:r>
    </w:p>
    <w:p w14:paraId="28CC9A7D" w14:textId="77777777" w:rsidR="001B6EEE" w:rsidRDefault="001B6EEE" w:rsidP="001B6EEE">
      <w:pPr>
        <w:ind w:left="2880" w:hanging="720"/>
        <w:rPr>
          <w:rFonts w:eastAsia="Calibri"/>
        </w:rPr>
      </w:pPr>
    </w:p>
    <w:p w14:paraId="1F99D9B0" w14:textId="0007080D" w:rsidR="00B50A91" w:rsidRPr="003B4362" w:rsidRDefault="00B50A91" w:rsidP="001B6EEE">
      <w:pPr>
        <w:ind w:left="2880" w:hanging="720"/>
        <w:rPr>
          <w:rFonts w:eastAsia="Calibri"/>
        </w:rPr>
      </w:pPr>
      <w:r w:rsidRPr="003B4362">
        <w:rPr>
          <w:rFonts w:eastAsia="Calibri"/>
        </w:rPr>
        <w:t>A)</w:t>
      </w:r>
      <w:r w:rsidRPr="003B4362">
        <w:rPr>
          <w:rFonts w:eastAsia="Calibri"/>
        </w:rPr>
        <w:tab/>
        <w:t xml:space="preserve">A supplier must use the information on lead, copper, and galvanized steel it collected under 40 CFR 141.42(d) (special </w:t>
      </w:r>
      <w:r w:rsidRPr="003B4362">
        <w:rPr>
          <w:rFonts w:eastAsia="Calibri"/>
        </w:rPr>
        <w:lastRenderedPageBreak/>
        <w:t>monitoring for corrosivity characteristics) when conducting a materials evaluation.</w:t>
      </w:r>
    </w:p>
    <w:p w14:paraId="1F94BDA0" w14:textId="77777777" w:rsidR="001B6EEE" w:rsidRDefault="001B6EEE" w:rsidP="001B6EEE">
      <w:pPr>
        <w:ind w:left="2880" w:hanging="720"/>
        <w:rPr>
          <w:rFonts w:eastAsia="Calibri"/>
        </w:rPr>
      </w:pPr>
    </w:p>
    <w:p w14:paraId="6C40F17A" w14:textId="4C4F76FE" w:rsidR="00B50A91" w:rsidRPr="003B4362" w:rsidRDefault="00B50A91" w:rsidP="001B6EEE">
      <w:pPr>
        <w:ind w:left="2880" w:hanging="720"/>
        <w:rPr>
          <w:rFonts w:eastAsia="Calibri"/>
        </w:rPr>
      </w:pPr>
      <w:r w:rsidRPr="003B4362">
        <w:rPr>
          <w:rFonts w:eastAsia="Calibri"/>
        </w:rPr>
        <w:t>B)</w:t>
      </w:r>
      <w:r w:rsidRPr="003B4362">
        <w:rPr>
          <w:rFonts w:eastAsia="Calibri"/>
        </w:rPr>
        <w:tab/>
        <w:t>When evaluating the information collected under 40 CFR 141.42(d) is insufficient to locate the requisite number of lead and copper sampling sites under subsection (a), the supplier must review other sources of information to identify sufficient sampling sites:</w:t>
      </w:r>
    </w:p>
    <w:p w14:paraId="09842BF4" w14:textId="77777777" w:rsidR="001B6EEE" w:rsidRDefault="001B6EEE" w:rsidP="001B6EEE">
      <w:pPr>
        <w:ind w:left="3600" w:hanging="720"/>
        <w:rPr>
          <w:rFonts w:eastAsia="Calibri"/>
        </w:rPr>
      </w:pPr>
    </w:p>
    <w:p w14:paraId="127CCC89" w14:textId="283B6450" w:rsidR="00B50A91" w:rsidRPr="003B4362" w:rsidRDefault="00B50A91" w:rsidP="001B6EEE">
      <w:pPr>
        <w:ind w:left="3600" w:hanging="720"/>
        <w:rPr>
          <w:rFonts w:eastAsia="Calibri"/>
        </w:rPr>
      </w:pPr>
      <w:r w:rsidRPr="003B4362">
        <w:rPr>
          <w:rFonts w:eastAsia="Calibri"/>
        </w:rPr>
        <w:t>i)</w:t>
      </w:r>
      <w:r w:rsidRPr="003B4362">
        <w:rPr>
          <w:rFonts w:eastAsia="Calibri"/>
        </w:rPr>
        <w:tab/>
        <w:t>All plumbing codes, permits, and records in building department files indicating the installed plumbing materials in publicly- and privately-owned structures connected to the distribution system;</w:t>
      </w:r>
    </w:p>
    <w:p w14:paraId="6F7991B6" w14:textId="77777777" w:rsidR="001B6EEE" w:rsidRDefault="001B6EEE" w:rsidP="001B6EEE">
      <w:pPr>
        <w:ind w:left="3600" w:hanging="720"/>
        <w:rPr>
          <w:rFonts w:eastAsia="Calibri"/>
        </w:rPr>
      </w:pPr>
    </w:p>
    <w:p w14:paraId="58BF56F2" w14:textId="2E96EFC8" w:rsidR="00B50A91" w:rsidRPr="003B4362" w:rsidRDefault="00B50A91" w:rsidP="001B6EEE">
      <w:pPr>
        <w:ind w:left="3600" w:hanging="720"/>
        <w:rPr>
          <w:rFonts w:eastAsia="Calibri"/>
        </w:rPr>
      </w:pPr>
      <w:r w:rsidRPr="003B4362">
        <w:rPr>
          <w:rFonts w:eastAsia="Calibri"/>
        </w:rPr>
        <w:t>ii)</w:t>
      </w:r>
      <w:r w:rsidRPr="003B4362">
        <w:rPr>
          <w:rFonts w:eastAsia="Calibri"/>
        </w:rPr>
        <w:tab/>
        <w:t>All inspections and records of the distribution system indicating the material composition of the service connections connecting a structure to the distribution system;</w:t>
      </w:r>
    </w:p>
    <w:p w14:paraId="67AA0D9A" w14:textId="77777777" w:rsidR="001B6EEE" w:rsidRDefault="001B6EEE" w:rsidP="001B6EEE">
      <w:pPr>
        <w:ind w:left="3600" w:hanging="720"/>
        <w:rPr>
          <w:rFonts w:eastAsia="Calibri"/>
        </w:rPr>
      </w:pPr>
    </w:p>
    <w:p w14:paraId="3F775E14" w14:textId="25D7ECF4" w:rsidR="00B50A91" w:rsidRPr="003B4362" w:rsidRDefault="00B50A91" w:rsidP="001B6EEE">
      <w:pPr>
        <w:ind w:left="3600" w:hanging="720"/>
        <w:rPr>
          <w:rFonts w:eastAsia="Calibri"/>
        </w:rPr>
      </w:pPr>
      <w:r w:rsidRPr="003B4362">
        <w:rPr>
          <w:rFonts w:eastAsia="Calibri"/>
        </w:rPr>
        <w:t>iii)</w:t>
      </w:r>
      <w:r w:rsidRPr="003B4362">
        <w:rPr>
          <w:rFonts w:eastAsia="Calibri"/>
        </w:rPr>
        <w:tab/>
        <w:t>All existing water quality information, including the results of all prior analyses of the system or individual structures connected to the system, that would indicate locations particularly susceptible to high lead or copper concentrations; and</w:t>
      </w:r>
    </w:p>
    <w:p w14:paraId="72493EBF" w14:textId="77777777" w:rsidR="001B6EEE" w:rsidRDefault="001B6EEE" w:rsidP="001B6EEE">
      <w:pPr>
        <w:ind w:left="3600" w:hanging="720"/>
        <w:rPr>
          <w:rFonts w:eastAsia="Calibri"/>
        </w:rPr>
      </w:pPr>
    </w:p>
    <w:p w14:paraId="6160E8C6" w14:textId="01D8B94C" w:rsidR="00B50A91" w:rsidRPr="003B4362" w:rsidRDefault="00B50A91" w:rsidP="001B6EEE">
      <w:pPr>
        <w:ind w:left="3600" w:hanging="720"/>
        <w:rPr>
          <w:rFonts w:eastAsia="Calibri"/>
        </w:rPr>
      </w:pPr>
      <w:r w:rsidRPr="003B4362">
        <w:rPr>
          <w:rFonts w:eastAsia="Calibri"/>
        </w:rPr>
        <w:t>iv)</w:t>
      </w:r>
      <w:r w:rsidRPr="003B4362">
        <w:rPr>
          <w:rFonts w:eastAsia="Calibri"/>
        </w:rPr>
        <w:tab/>
        <w:t xml:space="preserve">The supplier must seek to collect this information </w:t>
      </w:r>
      <w:r w:rsidRPr="003B4362">
        <w:rPr>
          <w:rFonts w:eastAsia="Calibri"/>
          <w:spacing w:val="-3"/>
        </w:rPr>
        <w:t xml:space="preserve">when </w:t>
      </w:r>
      <w:r w:rsidRPr="003B4362">
        <w:rPr>
          <w:rFonts w:eastAsia="Calibri"/>
        </w:rPr>
        <w:t>possible in the course of its normal operations (e.g., checking service line materials when reading water meters or performing maintenance activities).</w:t>
      </w:r>
    </w:p>
    <w:p w14:paraId="3401FEB0" w14:textId="77777777" w:rsidR="001B6EEE" w:rsidRDefault="001B6EEE" w:rsidP="001B6EEE">
      <w:pPr>
        <w:ind w:left="2160" w:hanging="720"/>
        <w:rPr>
          <w:rFonts w:eastAsia="Calibri"/>
        </w:rPr>
      </w:pPr>
    </w:p>
    <w:p w14:paraId="5DCEE705" w14:textId="7EF910AF" w:rsidR="00B50A91" w:rsidRPr="003B4362" w:rsidRDefault="00B50A91" w:rsidP="001B6EEE">
      <w:pPr>
        <w:ind w:left="2160" w:hanging="720"/>
        <w:rPr>
          <w:rFonts w:eastAsia="Calibri"/>
        </w:rPr>
      </w:pPr>
      <w:r w:rsidRPr="003B4362">
        <w:rPr>
          <w:rFonts w:eastAsia="Calibri"/>
        </w:rPr>
        <w:t>3)</w:t>
      </w:r>
      <w:r w:rsidRPr="003B4362">
        <w:rPr>
          <w:rFonts w:eastAsia="Calibri"/>
        </w:rPr>
        <w:tab/>
        <w:t>Tiers of Sampling Sites.  A supplier must categorize the sampling sites within its pool according to tiers:</w:t>
      </w:r>
    </w:p>
    <w:p w14:paraId="1A6CCD2D" w14:textId="77777777" w:rsidR="001B6EEE" w:rsidRDefault="001B6EEE" w:rsidP="001B6EEE">
      <w:pPr>
        <w:ind w:left="2880" w:hanging="720"/>
        <w:rPr>
          <w:rFonts w:eastAsia="Calibri"/>
        </w:rPr>
      </w:pPr>
    </w:p>
    <w:p w14:paraId="658184A7" w14:textId="4B947C2E" w:rsidR="00B50A91" w:rsidRPr="003B4362" w:rsidRDefault="00B50A91" w:rsidP="001B6EEE">
      <w:pPr>
        <w:ind w:left="2880" w:hanging="720"/>
        <w:rPr>
          <w:rFonts w:eastAsia="Calibri"/>
        </w:rPr>
      </w:pPr>
      <w:r w:rsidRPr="003B4362">
        <w:rPr>
          <w:rFonts w:eastAsia="Calibri"/>
        </w:rPr>
        <w:t>A)</w:t>
      </w:r>
      <w:r w:rsidRPr="003B4362">
        <w:rPr>
          <w:rFonts w:eastAsia="Calibri"/>
        </w:rPr>
        <w:tab/>
        <w:t>CWS Tier 1 Sampling Sites.  “CWS Tier 1 sampling sites” must include certain single-family structures:</w:t>
      </w:r>
    </w:p>
    <w:p w14:paraId="5A9D28C1" w14:textId="77777777" w:rsidR="001B6EEE" w:rsidRDefault="001B6EEE" w:rsidP="001B6EEE">
      <w:pPr>
        <w:ind w:left="3600" w:hanging="720"/>
        <w:rPr>
          <w:rFonts w:eastAsia="Calibri"/>
        </w:rPr>
      </w:pPr>
    </w:p>
    <w:p w14:paraId="34CAF2B4" w14:textId="5B07F05E" w:rsidR="00B50A91" w:rsidRPr="003B4362" w:rsidRDefault="00B50A91" w:rsidP="001B6EEE">
      <w:pPr>
        <w:ind w:left="3600" w:hanging="720"/>
        <w:rPr>
          <w:rFonts w:eastAsia="Calibri"/>
        </w:rPr>
      </w:pPr>
      <w:r w:rsidRPr="003B4362">
        <w:rPr>
          <w:rFonts w:eastAsia="Calibri"/>
        </w:rPr>
        <w:t>i)</w:t>
      </w:r>
      <w:r w:rsidRPr="003B4362">
        <w:rPr>
          <w:rFonts w:eastAsia="Calibri"/>
        </w:rPr>
        <w:tab/>
        <w:t>Those containing copper pipes with lead solder installed after 1982 or containing lead pipes; or</w:t>
      </w:r>
    </w:p>
    <w:p w14:paraId="30C1D8BA" w14:textId="77777777" w:rsidR="001B6EEE" w:rsidRDefault="001B6EEE" w:rsidP="001B6EEE">
      <w:pPr>
        <w:ind w:left="3600" w:hanging="720"/>
        <w:rPr>
          <w:rFonts w:eastAsia="Calibri"/>
        </w:rPr>
      </w:pPr>
    </w:p>
    <w:p w14:paraId="68CDBCC7" w14:textId="5A314F73" w:rsidR="00B50A91" w:rsidRPr="003B4362" w:rsidRDefault="00B50A91" w:rsidP="001B6EEE">
      <w:pPr>
        <w:ind w:left="3600" w:hanging="720"/>
        <w:rPr>
          <w:rFonts w:eastAsia="Calibri"/>
        </w:rPr>
      </w:pPr>
      <w:r w:rsidRPr="003B4362">
        <w:rPr>
          <w:rFonts w:eastAsia="Calibri"/>
        </w:rPr>
        <w:t>ii)</w:t>
      </w:r>
      <w:r w:rsidRPr="003B4362">
        <w:rPr>
          <w:rFonts w:eastAsia="Calibri"/>
        </w:rPr>
        <w:tab/>
        <w:t>Those having a lead service line.</w:t>
      </w:r>
    </w:p>
    <w:p w14:paraId="101CA56D" w14:textId="77777777" w:rsidR="001B6EEE" w:rsidRDefault="001B6EEE" w:rsidP="001B6EEE">
      <w:pPr>
        <w:ind w:left="2880"/>
        <w:rPr>
          <w:rFonts w:eastAsia="Calibri"/>
        </w:rPr>
      </w:pPr>
    </w:p>
    <w:p w14:paraId="37D012E2" w14:textId="17A42B45" w:rsidR="00B50A91" w:rsidRPr="003B4362" w:rsidRDefault="00B50A91" w:rsidP="001B6EEE">
      <w:pPr>
        <w:ind w:left="2880"/>
        <w:rPr>
          <w:rFonts w:eastAsia="Calibri"/>
        </w:rPr>
      </w:pPr>
      <w:r w:rsidRPr="003B4362">
        <w:rPr>
          <w:rFonts w:eastAsia="Calibri"/>
        </w:rPr>
        <w:t>BOARD NOTE:  This subsection (a)(3)(A) derives from segments of 40 CFR 141.86(a)(3)</w:t>
      </w:r>
      <w:r w:rsidR="00D4101B" w:rsidRPr="003B4362">
        <w:rPr>
          <w:rFonts w:eastAsia="Calibri"/>
        </w:rPr>
        <w:t xml:space="preserve"> (2020)</w:t>
      </w:r>
      <w:r w:rsidRPr="003B4362">
        <w:rPr>
          <w:rFonts w:eastAsia="Calibri"/>
        </w:rPr>
        <w:t>.  This allows the pool of CWS tier 1 sampling sites to consist exclusively of structures having lead service lines.</w:t>
      </w:r>
    </w:p>
    <w:p w14:paraId="2A158A07" w14:textId="77777777" w:rsidR="001B6EEE" w:rsidRDefault="001B6EEE" w:rsidP="001B6EEE">
      <w:pPr>
        <w:ind w:left="2880" w:hanging="720"/>
        <w:rPr>
          <w:rFonts w:eastAsia="Calibri"/>
        </w:rPr>
      </w:pPr>
    </w:p>
    <w:p w14:paraId="447133DB" w14:textId="3602F248" w:rsidR="00B50A91" w:rsidRPr="003B4362" w:rsidRDefault="00B50A91" w:rsidP="001B6EEE">
      <w:pPr>
        <w:ind w:left="2880" w:hanging="720"/>
        <w:rPr>
          <w:rFonts w:eastAsia="Calibri"/>
        </w:rPr>
      </w:pPr>
      <w:r w:rsidRPr="003B4362">
        <w:rPr>
          <w:rFonts w:eastAsia="Calibri"/>
        </w:rPr>
        <w:t>B)</w:t>
      </w:r>
      <w:r w:rsidRPr="003B4362">
        <w:rPr>
          <w:rFonts w:eastAsia="Calibri"/>
        </w:rPr>
        <w:tab/>
        <w:t>CWS Tier 2 Sampling Sites.  “CWS Tier 2 sampling sites” must include certain buildings, including multiple-family structures:</w:t>
      </w:r>
    </w:p>
    <w:p w14:paraId="624360E2" w14:textId="77777777" w:rsidR="001B6EEE" w:rsidRDefault="001B6EEE" w:rsidP="001B6EEE">
      <w:pPr>
        <w:ind w:left="3600" w:hanging="720"/>
        <w:rPr>
          <w:rFonts w:eastAsia="Calibri"/>
        </w:rPr>
      </w:pPr>
    </w:p>
    <w:p w14:paraId="45DF2489" w14:textId="175CE82A" w:rsidR="00B50A91" w:rsidRPr="003B4362" w:rsidRDefault="00B50A91" w:rsidP="001B6EEE">
      <w:pPr>
        <w:ind w:left="3600" w:hanging="720"/>
        <w:rPr>
          <w:rFonts w:eastAsia="Calibri"/>
        </w:rPr>
      </w:pPr>
      <w:r w:rsidRPr="003B4362">
        <w:rPr>
          <w:rFonts w:eastAsia="Calibri"/>
        </w:rPr>
        <w:t>i)</w:t>
      </w:r>
      <w:r w:rsidRPr="003B4362">
        <w:rPr>
          <w:rFonts w:eastAsia="Calibri"/>
        </w:rPr>
        <w:tab/>
        <w:t>Those containing copper pipes with lead solder installed after 1982 or containing lead pipes; or</w:t>
      </w:r>
    </w:p>
    <w:p w14:paraId="70223E52" w14:textId="77777777" w:rsidR="001B6EEE" w:rsidRDefault="001B6EEE" w:rsidP="001B6EEE">
      <w:pPr>
        <w:ind w:left="3600" w:hanging="720"/>
        <w:rPr>
          <w:rFonts w:eastAsia="Calibri"/>
        </w:rPr>
      </w:pPr>
    </w:p>
    <w:p w14:paraId="1C897CA8" w14:textId="4DE89ED5" w:rsidR="00B50A91" w:rsidRPr="003B4362" w:rsidRDefault="00B50A91" w:rsidP="001B6EEE">
      <w:pPr>
        <w:ind w:left="3600" w:hanging="720"/>
        <w:rPr>
          <w:rFonts w:eastAsia="Calibri"/>
        </w:rPr>
      </w:pPr>
      <w:r w:rsidRPr="003B4362">
        <w:rPr>
          <w:rFonts w:eastAsia="Calibri"/>
        </w:rPr>
        <w:t>ii)</w:t>
      </w:r>
      <w:r w:rsidRPr="003B4362">
        <w:rPr>
          <w:rFonts w:eastAsia="Calibri"/>
        </w:rPr>
        <w:tab/>
        <w:t>Those having a lead service line.</w:t>
      </w:r>
    </w:p>
    <w:p w14:paraId="497C4E09" w14:textId="77777777" w:rsidR="001B6EEE" w:rsidRDefault="001B6EEE" w:rsidP="001B6EEE">
      <w:pPr>
        <w:ind w:left="2880"/>
        <w:rPr>
          <w:rFonts w:eastAsia="Calibri"/>
        </w:rPr>
      </w:pPr>
    </w:p>
    <w:p w14:paraId="617FE72F" w14:textId="6CBDD409" w:rsidR="00B50A91" w:rsidRPr="003B4362" w:rsidRDefault="00B50A91" w:rsidP="001B6EEE">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(a)(3)(B) derives from segments of 40 CFR 141.86(a)(4)</w:t>
      </w:r>
      <w:r w:rsidR="00D4101B" w:rsidRPr="003B4362">
        <w:rPr>
          <w:rFonts w:eastAsia="Calibri"/>
        </w:rPr>
        <w:t xml:space="preserve"> (2020)</w:t>
      </w:r>
      <w:r w:rsidRPr="003B4362">
        <w:rPr>
          <w:rFonts w:eastAsia="Calibri"/>
        </w:rPr>
        <w:t>.  This allows the pool of CWS tier 2 sampling sites to consist exclusively of structures having lead service lines.</w:t>
      </w:r>
    </w:p>
    <w:p w14:paraId="371CF046" w14:textId="77777777" w:rsidR="001B6EEE" w:rsidRDefault="001B6EEE" w:rsidP="001B6EEE">
      <w:pPr>
        <w:ind w:left="2880" w:hanging="720"/>
        <w:rPr>
          <w:rFonts w:eastAsia="Calibri"/>
        </w:rPr>
      </w:pPr>
    </w:p>
    <w:p w14:paraId="02D4F216" w14:textId="40CA9758" w:rsidR="00B50A91" w:rsidRPr="003B4362" w:rsidRDefault="00B50A91" w:rsidP="001B6EEE">
      <w:pPr>
        <w:ind w:left="2880" w:hanging="720"/>
        <w:rPr>
          <w:rFonts w:eastAsia="Calibri"/>
        </w:rPr>
      </w:pPr>
      <w:r w:rsidRPr="003B4362">
        <w:rPr>
          <w:rFonts w:eastAsia="Calibri"/>
        </w:rPr>
        <w:t>C)</w:t>
      </w:r>
      <w:r w:rsidRPr="003B4362">
        <w:rPr>
          <w:rFonts w:eastAsia="Calibri"/>
        </w:rPr>
        <w:tab/>
        <w:t>CWS Tier 3 Sampling Sites.  “CWS Tier 3 sampling sites” must include certain single-family structures:  those containing copper pipes with lead solder installed before 1983.</w:t>
      </w:r>
    </w:p>
    <w:p w14:paraId="19F74FAD" w14:textId="77777777" w:rsidR="001B6EEE" w:rsidRDefault="001B6EEE" w:rsidP="001B6EEE">
      <w:pPr>
        <w:ind w:left="2880"/>
        <w:rPr>
          <w:rFonts w:eastAsia="Calibri"/>
        </w:rPr>
      </w:pPr>
    </w:p>
    <w:p w14:paraId="3E57DAB5" w14:textId="6C3A7715" w:rsidR="00B50A91" w:rsidRPr="003B4362" w:rsidRDefault="00B50A91" w:rsidP="001B6EEE">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(a)(3)(C) derives from segments of 40 CFR 141.86(a)(5)</w:t>
      </w:r>
      <w:r w:rsidR="00D4101B" w:rsidRPr="003B4362">
        <w:rPr>
          <w:rFonts w:eastAsia="Calibri"/>
        </w:rPr>
        <w:t xml:space="preserve"> (2020)</w:t>
      </w:r>
      <w:r w:rsidRPr="003B4362">
        <w:rPr>
          <w:rFonts w:eastAsia="Calibri"/>
        </w:rPr>
        <w:t>.</w:t>
      </w:r>
    </w:p>
    <w:p w14:paraId="1E80DBE5" w14:textId="77777777" w:rsidR="001B6EEE" w:rsidRDefault="001B6EEE" w:rsidP="001B6EEE">
      <w:pPr>
        <w:ind w:left="2880" w:hanging="720"/>
        <w:rPr>
          <w:rFonts w:eastAsia="Calibri"/>
        </w:rPr>
      </w:pPr>
    </w:p>
    <w:p w14:paraId="4B6E2BBF" w14:textId="3FB85AD1" w:rsidR="00B50A91" w:rsidRPr="003B4362" w:rsidRDefault="00B50A91" w:rsidP="001B6EEE">
      <w:pPr>
        <w:ind w:left="2880" w:hanging="720"/>
        <w:rPr>
          <w:rFonts w:eastAsia="Calibri"/>
        </w:rPr>
      </w:pPr>
      <w:r w:rsidRPr="003B4362">
        <w:rPr>
          <w:rFonts w:eastAsia="Calibri"/>
        </w:rPr>
        <w:t>D)</w:t>
      </w:r>
      <w:r w:rsidRPr="003B4362">
        <w:rPr>
          <w:rFonts w:eastAsia="Calibri"/>
        </w:rPr>
        <w:tab/>
        <w:t>NTNCWS Tier 1 Sampling Sites.  “NTNCWS Tier 1 sampling sites” must include certain buildings:</w:t>
      </w:r>
    </w:p>
    <w:p w14:paraId="7118087F" w14:textId="77777777" w:rsidR="001B6EEE" w:rsidRDefault="001B6EEE" w:rsidP="001B6EEE">
      <w:pPr>
        <w:ind w:left="3600" w:hanging="720"/>
        <w:rPr>
          <w:rFonts w:eastAsia="Calibri"/>
        </w:rPr>
      </w:pPr>
    </w:p>
    <w:p w14:paraId="5C910EA2" w14:textId="50809D1C" w:rsidR="00B50A91" w:rsidRPr="003B4362" w:rsidRDefault="00B50A91" w:rsidP="001B6EEE">
      <w:pPr>
        <w:ind w:left="3600" w:hanging="720"/>
        <w:rPr>
          <w:rFonts w:eastAsia="Calibri"/>
        </w:rPr>
      </w:pPr>
      <w:r w:rsidRPr="003B4362">
        <w:rPr>
          <w:rFonts w:eastAsia="Calibri"/>
        </w:rPr>
        <w:t>i)</w:t>
      </w:r>
      <w:r w:rsidRPr="003B4362">
        <w:rPr>
          <w:rFonts w:eastAsia="Calibri"/>
        </w:rPr>
        <w:tab/>
        <w:t>Those containing copper pipes with lead solder installed after 1982 or containing lead pipes; or</w:t>
      </w:r>
    </w:p>
    <w:p w14:paraId="358E2F90" w14:textId="77777777" w:rsidR="001B6EEE" w:rsidRDefault="001B6EEE" w:rsidP="001B6EEE">
      <w:pPr>
        <w:ind w:left="3600" w:hanging="720"/>
        <w:rPr>
          <w:rFonts w:eastAsia="Calibri"/>
        </w:rPr>
      </w:pPr>
    </w:p>
    <w:p w14:paraId="43EB4B4C" w14:textId="420ADB5C" w:rsidR="00B50A91" w:rsidRPr="003B4362" w:rsidRDefault="00B50A91" w:rsidP="001B6EEE">
      <w:pPr>
        <w:ind w:left="3600" w:hanging="720"/>
        <w:rPr>
          <w:rFonts w:eastAsia="Calibri"/>
        </w:rPr>
      </w:pPr>
      <w:r w:rsidRPr="003B4362">
        <w:rPr>
          <w:rFonts w:eastAsia="Calibri"/>
        </w:rPr>
        <w:t>ii)</w:t>
      </w:r>
      <w:r w:rsidRPr="003B4362">
        <w:rPr>
          <w:rFonts w:eastAsia="Calibri"/>
        </w:rPr>
        <w:tab/>
        <w:t>Those having a lead service line.</w:t>
      </w:r>
    </w:p>
    <w:p w14:paraId="2AAB966B" w14:textId="77777777" w:rsidR="001B6EEE" w:rsidRDefault="001B6EEE" w:rsidP="001B6EEE">
      <w:pPr>
        <w:ind w:left="2880"/>
        <w:rPr>
          <w:rFonts w:eastAsia="Calibri"/>
        </w:rPr>
      </w:pPr>
    </w:p>
    <w:p w14:paraId="34B47269" w14:textId="2AC38AAB" w:rsidR="00B50A91" w:rsidRPr="003B4362" w:rsidRDefault="00B50A91" w:rsidP="001B6EEE">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(a)(3)(D) derives from segments of 40 CFR 141.86(a)(6)</w:t>
      </w:r>
      <w:r w:rsidR="00D4101B" w:rsidRPr="003B4362">
        <w:rPr>
          <w:rFonts w:eastAsia="Calibri"/>
        </w:rPr>
        <w:t xml:space="preserve"> (2020)</w:t>
      </w:r>
      <w:r w:rsidRPr="003B4362">
        <w:rPr>
          <w:rFonts w:eastAsia="Calibri"/>
        </w:rPr>
        <w:t>.  This allows the pool of NTNCWS tier 1 sampling sites to consist exclusively of buildings having lead service lines.</w:t>
      </w:r>
    </w:p>
    <w:p w14:paraId="52E6031D" w14:textId="77777777" w:rsidR="001B6EEE" w:rsidRDefault="001B6EEE" w:rsidP="001B6EEE">
      <w:pPr>
        <w:ind w:left="2880" w:hanging="720"/>
        <w:rPr>
          <w:rFonts w:eastAsia="Calibri"/>
        </w:rPr>
      </w:pPr>
    </w:p>
    <w:p w14:paraId="0995EAC8" w14:textId="13B6479D" w:rsidR="00B50A91" w:rsidRPr="003B4362" w:rsidRDefault="00B50A91" w:rsidP="001B6EEE">
      <w:pPr>
        <w:ind w:left="2880" w:hanging="720"/>
        <w:rPr>
          <w:rFonts w:eastAsia="Calibri"/>
        </w:rPr>
      </w:pPr>
      <w:r w:rsidRPr="003B4362">
        <w:rPr>
          <w:rFonts w:eastAsia="Calibri"/>
        </w:rPr>
        <w:t>E)</w:t>
      </w:r>
      <w:r w:rsidRPr="003B4362">
        <w:rPr>
          <w:rFonts w:eastAsia="Calibri"/>
        </w:rPr>
        <w:tab/>
        <w:t>Alternative NTNCWS Sampling Sites.  “Alternative NTNCWS sampling sites” must include certain buildings:  those containing copper pipes with lead solder installed before 1983.</w:t>
      </w:r>
    </w:p>
    <w:p w14:paraId="21705B3B" w14:textId="77777777" w:rsidR="001B6EEE" w:rsidRDefault="001B6EEE" w:rsidP="001B6EEE">
      <w:pPr>
        <w:ind w:left="2880"/>
        <w:rPr>
          <w:rFonts w:eastAsia="Calibri"/>
        </w:rPr>
      </w:pPr>
    </w:p>
    <w:p w14:paraId="575CBCD1" w14:textId="5D124866" w:rsidR="00B50A91" w:rsidRPr="003B4362" w:rsidRDefault="00B50A91" w:rsidP="001B6EEE">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(a)(3)(E) derives from segments of 40 CFR 141.86(a)(7)</w:t>
      </w:r>
      <w:r w:rsidR="00D4101B" w:rsidRPr="003B4362">
        <w:rPr>
          <w:rFonts w:eastAsia="Calibri"/>
        </w:rPr>
        <w:t xml:space="preserve"> (2020)</w:t>
      </w:r>
      <w:r w:rsidRPr="003B4362">
        <w:rPr>
          <w:rFonts w:eastAsia="Calibri"/>
        </w:rPr>
        <w:t>.</w:t>
      </w:r>
    </w:p>
    <w:p w14:paraId="401B97D7" w14:textId="77777777" w:rsidR="001B6EEE" w:rsidRDefault="001B6EEE" w:rsidP="001B6EEE">
      <w:pPr>
        <w:ind w:left="2160" w:hanging="720"/>
        <w:rPr>
          <w:rFonts w:eastAsia="Calibri"/>
        </w:rPr>
      </w:pPr>
    </w:p>
    <w:p w14:paraId="1BC486AE" w14:textId="6E68A8AB" w:rsidR="00B50A91" w:rsidRPr="003B4362" w:rsidRDefault="00B50A91" w:rsidP="001B6EEE">
      <w:pPr>
        <w:ind w:left="2160" w:hanging="720"/>
        <w:rPr>
          <w:rFonts w:eastAsia="Calibri"/>
        </w:rPr>
      </w:pPr>
      <w:r w:rsidRPr="003B4362">
        <w:rPr>
          <w:rFonts w:eastAsia="Calibri"/>
        </w:rPr>
        <w:t>4)</w:t>
      </w:r>
      <w:r w:rsidRPr="003B4362">
        <w:rPr>
          <w:rFonts w:eastAsia="Calibri"/>
        </w:rPr>
        <w:tab/>
        <w:t>Selection of Sampling Sites.  A supplier must select sampling sites for its sampling pool using specific criteria:</w:t>
      </w:r>
    </w:p>
    <w:p w14:paraId="073DDCF8" w14:textId="77777777" w:rsidR="001B6EEE" w:rsidRDefault="001B6EEE" w:rsidP="001B6EEE">
      <w:pPr>
        <w:ind w:left="2880" w:hanging="720"/>
        <w:rPr>
          <w:rFonts w:eastAsia="Calibri"/>
        </w:rPr>
      </w:pPr>
    </w:p>
    <w:p w14:paraId="5D6F7223" w14:textId="7D9CE659" w:rsidR="00B50A91" w:rsidRPr="003B4362" w:rsidRDefault="00B50A91" w:rsidP="001B6EEE">
      <w:pPr>
        <w:ind w:left="2880" w:hanging="720"/>
        <w:rPr>
          <w:rFonts w:eastAsia="Calibri"/>
        </w:rPr>
      </w:pPr>
      <w:r w:rsidRPr="003B4362">
        <w:rPr>
          <w:rFonts w:eastAsia="Calibri"/>
        </w:rPr>
        <w:lastRenderedPageBreak/>
        <w:t>A)</w:t>
      </w:r>
      <w:r w:rsidRPr="003B4362">
        <w:rPr>
          <w:rFonts w:eastAsia="Calibri"/>
        </w:rPr>
        <w:tab/>
        <w:t>CWS Suppliers.  A CWS supplier must use CWS tier 1 sampling sites, except that the supplier may include CWS tier 2 or CWS tier 3 sampling sites in its sampling pool under certain circumstances:</w:t>
      </w:r>
    </w:p>
    <w:p w14:paraId="649B1A39" w14:textId="77777777" w:rsidR="001B6EEE" w:rsidRDefault="001B6EEE" w:rsidP="001B6EEE">
      <w:pPr>
        <w:ind w:left="3600" w:hanging="720"/>
        <w:rPr>
          <w:rFonts w:eastAsia="Calibri"/>
        </w:rPr>
      </w:pPr>
    </w:p>
    <w:p w14:paraId="177A9A02" w14:textId="6B52DAA7" w:rsidR="00B50A91" w:rsidRPr="003B4362" w:rsidRDefault="00B50A91" w:rsidP="001B6EEE">
      <w:pPr>
        <w:ind w:left="3600" w:hanging="720"/>
        <w:rPr>
          <w:rFonts w:eastAsia="Calibri"/>
        </w:rPr>
      </w:pPr>
      <w:r w:rsidRPr="003B4362">
        <w:rPr>
          <w:rFonts w:eastAsia="Calibri"/>
        </w:rPr>
        <w:t>i)</w:t>
      </w:r>
      <w:r w:rsidRPr="003B4362">
        <w:rPr>
          <w:rFonts w:eastAsia="Calibri"/>
        </w:rPr>
        <w:tab/>
        <w:t>If multiple-family residences comprise at least 20 percent of the structures the supplier serves, the supplier may use CWS tier 2 sampling sites in its sampling pool; or</w:t>
      </w:r>
    </w:p>
    <w:p w14:paraId="0798696D" w14:textId="77777777" w:rsidR="001B6EEE" w:rsidRDefault="001B6EEE" w:rsidP="001B6EEE">
      <w:pPr>
        <w:ind w:left="3600"/>
        <w:rPr>
          <w:rFonts w:eastAsia="Calibri"/>
        </w:rPr>
      </w:pPr>
    </w:p>
    <w:p w14:paraId="55730AC7" w14:textId="2D49E9BB" w:rsidR="00B50A91" w:rsidRPr="003B4362" w:rsidRDefault="00B50A91" w:rsidP="001B6EEE">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(a)(4)(A)(i) derives from a segment of 40 CFR 141.86(a)(3)(ii)</w:t>
      </w:r>
      <w:r w:rsidR="00D4101B" w:rsidRPr="003B4362">
        <w:rPr>
          <w:rFonts w:eastAsia="Calibri"/>
        </w:rPr>
        <w:t xml:space="preserve"> (2020)</w:t>
      </w:r>
      <w:r w:rsidRPr="003B4362">
        <w:rPr>
          <w:rFonts w:eastAsia="Calibri"/>
        </w:rPr>
        <w:t>.</w:t>
      </w:r>
    </w:p>
    <w:p w14:paraId="19F0003F" w14:textId="77777777" w:rsidR="001B6EEE" w:rsidRDefault="001B6EEE" w:rsidP="001B6EEE">
      <w:pPr>
        <w:ind w:left="3600" w:hanging="720"/>
        <w:rPr>
          <w:rFonts w:eastAsia="Calibri"/>
        </w:rPr>
      </w:pPr>
    </w:p>
    <w:p w14:paraId="39715C25" w14:textId="7D1140CD" w:rsidR="00B50A91" w:rsidRPr="003B4362" w:rsidRDefault="00B50A91" w:rsidP="001B6EEE">
      <w:pPr>
        <w:ind w:left="3600" w:hanging="720"/>
        <w:rPr>
          <w:rFonts w:eastAsia="Calibri"/>
        </w:rPr>
      </w:pPr>
      <w:r w:rsidRPr="003B4362">
        <w:rPr>
          <w:rFonts w:eastAsia="Calibri"/>
        </w:rPr>
        <w:t>ii)</w:t>
      </w:r>
      <w:r w:rsidRPr="003B4362">
        <w:rPr>
          <w:rFonts w:eastAsia="Calibri"/>
        </w:rPr>
        <w:tab/>
        <w:t>If the CWS supplier does not have a sufficient number of CWS tier 1 sampling sites on its distribution system, the supplier may use CWS tier 2 sampling sites in its sampling pool; or</w:t>
      </w:r>
    </w:p>
    <w:p w14:paraId="49B14CAA" w14:textId="77777777" w:rsidR="001B6EEE" w:rsidRDefault="001B6EEE" w:rsidP="001B6EEE">
      <w:pPr>
        <w:ind w:left="3600"/>
        <w:rPr>
          <w:rFonts w:eastAsia="Calibri"/>
        </w:rPr>
      </w:pPr>
    </w:p>
    <w:p w14:paraId="4CE8C7D7" w14:textId="27462976" w:rsidR="00B50A91" w:rsidRPr="003B4362" w:rsidRDefault="00B50A91" w:rsidP="001B6EEE">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(a)(4)(A)(ii) derives from a segment of 40 CFR 141.86(a)(4)</w:t>
      </w:r>
      <w:r w:rsidR="00D4101B" w:rsidRPr="003B4362">
        <w:rPr>
          <w:rFonts w:eastAsia="Calibri"/>
        </w:rPr>
        <w:t xml:space="preserve"> (2020)</w:t>
      </w:r>
      <w:r w:rsidRPr="003B4362">
        <w:rPr>
          <w:rFonts w:eastAsia="Calibri"/>
        </w:rPr>
        <w:t>.</w:t>
      </w:r>
    </w:p>
    <w:p w14:paraId="1BE0E735" w14:textId="77777777" w:rsidR="001B6EEE" w:rsidRDefault="001B6EEE" w:rsidP="001B6EEE">
      <w:pPr>
        <w:ind w:left="3600" w:hanging="720"/>
        <w:rPr>
          <w:rFonts w:eastAsia="Calibri"/>
        </w:rPr>
      </w:pPr>
    </w:p>
    <w:p w14:paraId="19475920" w14:textId="31D6E376" w:rsidR="00B50A91" w:rsidRPr="003B4362" w:rsidRDefault="00B50A91" w:rsidP="001B6EEE">
      <w:pPr>
        <w:ind w:left="3600" w:hanging="720"/>
        <w:rPr>
          <w:rFonts w:eastAsia="Calibri"/>
        </w:rPr>
      </w:pPr>
      <w:r w:rsidRPr="003B4362">
        <w:rPr>
          <w:rFonts w:eastAsia="Calibri"/>
        </w:rPr>
        <w:t>iii)</w:t>
      </w:r>
      <w:r w:rsidRPr="003B4362">
        <w:rPr>
          <w:rFonts w:eastAsia="Calibri"/>
        </w:rPr>
        <w:tab/>
        <w:t>If the CWS supplier does not have a sufficient number of CWS tier 1 and CWS tier 2 sampling sites on its distribution system, the supplier may complete its sampling pool with CWS tier 3 sampling sites.</w:t>
      </w:r>
    </w:p>
    <w:p w14:paraId="4B5FB0BD" w14:textId="77777777" w:rsidR="001B6EEE" w:rsidRDefault="001B6EEE" w:rsidP="001B6EEE">
      <w:pPr>
        <w:ind w:left="3600"/>
        <w:rPr>
          <w:rFonts w:eastAsia="Calibri"/>
        </w:rPr>
      </w:pPr>
    </w:p>
    <w:p w14:paraId="6132E82E" w14:textId="1E129EB8" w:rsidR="00B50A91" w:rsidRPr="003B4362" w:rsidRDefault="00B50A91" w:rsidP="001B6EEE">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(a)(4)(A)(iii) derives from a segment of 40 CFR 141.86(a)(5)</w:t>
      </w:r>
      <w:r w:rsidR="00D4101B" w:rsidRPr="003B4362">
        <w:rPr>
          <w:rFonts w:eastAsia="Calibri"/>
        </w:rPr>
        <w:t xml:space="preserve"> (2020)</w:t>
      </w:r>
      <w:r w:rsidRPr="003B4362">
        <w:rPr>
          <w:rFonts w:eastAsia="Calibri"/>
        </w:rPr>
        <w:t>.</w:t>
      </w:r>
    </w:p>
    <w:p w14:paraId="3B93CACE" w14:textId="77777777" w:rsidR="001B6EEE" w:rsidRDefault="001B6EEE" w:rsidP="001B6EEE">
      <w:pPr>
        <w:ind w:left="3600" w:hanging="720"/>
        <w:rPr>
          <w:rFonts w:eastAsia="Calibri"/>
        </w:rPr>
      </w:pPr>
    </w:p>
    <w:p w14:paraId="79021874" w14:textId="310C2FD5" w:rsidR="00B50A91" w:rsidRPr="003B4362" w:rsidRDefault="00B50A91" w:rsidP="001B6EEE">
      <w:pPr>
        <w:ind w:left="3600" w:hanging="720"/>
        <w:rPr>
          <w:rFonts w:eastAsia="Calibri"/>
        </w:rPr>
      </w:pPr>
      <w:r w:rsidRPr="003B4362">
        <w:rPr>
          <w:rFonts w:eastAsia="Calibri"/>
        </w:rPr>
        <w:t>iv)</w:t>
      </w:r>
      <w:r w:rsidRPr="003B4362">
        <w:rPr>
          <w:rFonts w:eastAsia="Calibri"/>
        </w:rPr>
        <w:tab/>
        <w:t>If the CWS supplier does not have a sufficient number of CWS tier 1 sampling sites, CWS tier 2 sampling sites, and CWS tier 3 sampling sites, the supplier must use those CWS tier 1 sampling sites, CWS tier 2 sampling sites, and CWS tier 3 sampling sites that it has and complete its sampling pool with representative sites throughout its distribution system for the balance of its sampling sites.  For this subsection (a)(4)(A)(iv), a representative site is a site having plumbing materials commonly found at other sites the water system serves.</w:t>
      </w:r>
    </w:p>
    <w:p w14:paraId="12169E6B" w14:textId="77777777" w:rsidR="001B6EEE" w:rsidRDefault="001B6EEE" w:rsidP="001B6EEE">
      <w:pPr>
        <w:ind w:left="3600"/>
        <w:rPr>
          <w:rFonts w:eastAsia="Calibri"/>
        </w:rPr>
      </w:pPr>
    </w:p>
    <w:p w14:paraId="607121FC" w14:textId="2FD8252B" w:rsidR="00B50A91" w:rsidRPr="003B4362" w:rsidRDefault="00B50A91" w:rsidP="001B6EEE">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(a)(4)(A)(iv) derives from segments of 40 CFR 141.86(a)(5)</w:t>
      </w:r>
      <w:r w:rsidR="00D4101B" w:rsidRPr="003B4362">
        <w:rPr>
          <w:rFonts w:eastAsia="Calibri"/>
        </w:rPr>
        <w:t xml:space="preserve"> (2020)</w:t>
      </w:r>
      <w:r w:rsidRPr="003B4362">
        <w:rPr>
          <w:rFonts w:eastAsia="Calibri"/>
        </w:rPr>
        <w:t>.</w:t>
      </w:r>
    </w:p>
    <w:p w14:paraId="008FC55F" w14:textId="77777777" w:rsidR="001B6EEE" w:rsidRDefault="001B6EEE" w:rsidP="001B6EEE">
      <w:pPr>
        <w:ind w:left="2880" w:hanging="720"/>
        <w:rPr>
          <w:rFonts w:eastAsia="Calibri"/>
        </w:rPr>
      </w:pPr>
    </w:p>
    <w:p w14:paraId="6F31A686" w14:textId="08C82067" w:rsidR="00B50A91" w:rsidRPr="003B4362" w:rsidRDefault="00B50A91" w:rsidP="001B6EEE">
      <w:pPr>
        <w:ind w:left="2880" w:hanging="720"/>
        <w:rPr>
          <w:rFonts w:eastAsia="Calibri"/>
        </w:rPr>
      </w:pPr>
      <w:r w:rsidRPr="003B4362">
        <w:rPr>
          <w:rFonts w:eastAsia="Calibri"/>
        </w:rPr>
        <w:t>B)</w:t>
      </w:r>
      <w:r w:rsidRPr="003B4362">
        <w:rPr>
          <w:rFonts w:eastAsia="Calibri"/>
        </w:rPr>
        <w:tab/>
        <w:t>NTNCWS Suppliers</w:t>
      </w:r>
    </w:p>
    <w:p w14:paraId="02864A12" w14:textId="77777777" w:rsidR="001B6EEE" w:rsidRDefault="001B6EEE" w:rsidP="001B6EEE">
      <w:pPr>
        <w:ind w:left="3600" w:hanging="720"/>
        <w:rPr>
          <w:rFonts w:eastAsia="Calibri"/>
        </w:rPr>
      </w:pPr>
    </w:p>
    <w:p w14:paraId="5ECE44AF" w14:textId="26937899" w:rsidR="00B50A91" w:rsidRPr="003B4362" w:rsidRDefault="00B50A91" w:rsidP="001B6EEE">
      <w:pPr>
        <w:ind w:left="3600" w:hanging="720"/>
        <w:rPr>
          <w:rFonts w:eastAsia="Calibri"/>
        </w:rPr>
      </w:pPr>
      <w:r w:rsidRPr="003B4362">
        <w:rPr>
          <w:rFonts w:eastAsia="Calibri"/>
        </w:rPr>
        <w:t>i)</w:t>
      </w:r>
      <w:r w:rsidRPr="003B4362">
        <w:rPr>
          <w:rFonts w:eastAsia="Calibri"/>
        </w:rPr>
        <w:tab/>
        <w:t>An NTNCWS supplier must select NTNCWS tier 1 sampling sites for its sampling pool.</w:t>
      </w:r>
    </w:p>
    <w:p w14:paraId="6095C4EF" w14:textId="77777777" w:rsidR="001B6EEE" w:rsidRDefault="001B6EEE" w:rsidP="001B6EEE">
      <w:pPr>
        <w:ind w:left="3600"/>
        <w:rPr>
          <w:rFonts w:eastAsia="Calibri"/>
        </w:rPr>
      </w:pPr>
    </w:p>
    <w:p w14:paraId="2A2DDDE5" w14:textId="06A0C442" w:rsidR="00B50A91" w:rsidRPr="003B4362" w:rsidRDefault="00B50A91" w:rsidP="001B6EEE">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(a)(4)(B)(i) derives from segments of 40 CFR 141.86(a)(6)</w:t>
      </w:r>
      <w:r w:rsidR="00D4101B" w:rsidRPr="003B4362">
        <w:rPr>
          <w:rFonts w:eastAsia="Calibri"/>
        </w:rPr>
        <w:t xml:space="preserve"> (2020)</w:t>
      </w:r>
      <w:r w:rsidRPr="003B4362">
        <w:rPr>
          <w:rFonts w:eastAsia="Calibri"/>
        </w:rPr>
        <w:t>.</w:t>
      </w:r>
    </w:p>
    <w:p w14:paraId="10B18DFC" w14:textId="77777777" w:rsidR="001B6EEE" w:rsidRDefault="001B6EEE" w:rsidP="001B6EEE">
      <w:pPr>
        <w:ind w:left="3600" w:hanging="720"/>
        <w:rPr>
          <w:rFonts w:eastAsia="Calibri"/>
        </w:rPr>
      </w:pPr>
    </w:p>
    <w:p w14:paraId="3CA65862" w14:textId="74D45443" w:rsidR="00B50A91" w:rsidRPr="003B4362" w:rsidRDefault="00B50A91" w:rsidP="001B6EEE">
      <w:pPr>
        <w:ind w:left="3600" w:hanging="720"/>
        <w:rPr>
          <w:rFonts w:eastAsia="Calibri"/>
        </w:rPr>
      </w:pPr>
      <w:r w:rsidRPr="003B4362">
        <w:rPr>
          <w:rFonts w:eastAsia="Calibri"/>
        </w:rPr>
        <w:t>ii)</w:t>
      </w:r>
      <w:r w:rsidRPr="003B4362">
        <w:rPr>
          <w:rFonts w:eastAsia="Calibri"/>
        </w:rPr>
        <w:tab/>
        <w:t>If the NTNCWS supplier has an insufficient number of NTNCWS tier 1 sampling sites, the supplier may complete its sampling pool with alternative NTNCWS sampling sites.</w:t>
      </w:r>
    </w:p>
    <w:p w14:paraId="5843F277" w14:textId="77777777" w:rsidR="001B6EEE" w:rsidRDefault="001B6EEE" w:rsidP="001B6EEE">
      <w:pPr>
        <w:ind w:left="3600"/>
        <w:rPr>
          <w:rFonts w:eastAsia="Calibri"/>
        </w:rPr>
      </w:pPr>
    </w:p>
    <w:p w14:paraId="5499784C" w14:textId="6CB0DE10" w:rsidR="00B50A91" w:rsidRPr="003B4362" w:rsidRDefault="00B50A91" w:rsidP="001B6EEE">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(a)(4)(B)(ii) derives from segments of 40 CFR 141.86(a)(7)</w:t>
      </w:r>
      <w:r w:rsidR="00D4101B" w:rsidRPr="003B4362">
        <w:rPr>
          <w:rFonts w:eastAsia="Calibri"/>
        </w:rPr>
        <w:t xml:space="preserve"> (2020)</w:t>
      </w:r>
      <w:r w:rsidRPr="003B4362">
        <w:rPr>
          <w:rFonts w:eastAsia="Calibri"/>
        </w:rPr>
        <w:t>.</w:t>
      </w:r>
    </w:p>
    <w:p w14:paraId="0757A30B" w14:textId="77777777" w:rsidR="001B6EEE" w:rsidRDefault="001B6EEE" w:rsidP="001B6EEE">
      <w:pPr>
        <w:ind w:left="3600" w:hanging="720"/>
        <w:rPr>
          <w:rFonts w:eastAsia="Calibri"/>
        </w:rPr>
      </w:pPr>
    </w:p>
    <w:p w14:paraId="1EA8ED81" w14:textId="41B99360" w:rsidR="00B50A91" w:rsidRPr="003B4362" w:rsidRDefault="00B50A91" w:rsidP="001B6EEE">
      <w:pPr>
        <w:ind w:left="3600" w:hanging="720"/>
        <w:rPr>
          <w:rFonts w:eastAsia="Calibri"/>
        </w:rPr>
      </w:pPr>
      <w:r w:rsidRPr="003B4362">
        <w:rPr>
          <w:rFonts w:eastAsia="Calibri"/>
        </w:rPr>
        <w:t>iii)</w:t>
      </w:r>
      <w:r w:rsidRPr="003B4362">
        <w:rPr>
          <w:rFonts w:eastAsia="Calibri"/>
        </w:rPr>
        <w:tab/>
        <w:t>If the NTNCWS supplier has an insufficient number of NTNCWS tier 1 sampling sites and NTNCWS alternative sampling sites, the supplier must use representative sites throughout its distribution system.  For the purpose of this subsection (a)(4)(B)(ii), a representative site is a site where the plumbing materials are commonly found at other sites served by the water system serves.</w:t>
      </w:r>
    </w:p>
    <w:p w14:paraId="2591798B" w14:textId="77777777" w:rsidR="001B6EEE" w:rsidRDefault="001B6EEE" w:rsidP="001B6EEE">
      <w:pPr>
        <w:ind w:left="3600"/>
        <w:rPr>
          <w:rFonts w:eastAsia="Calibri"/>
        </w:rPr>
      </w:pPr>
    </w:p>
    <w:p w14:paraId="51AC24EF" w14:textId="48169651" w:rsidR="00B50A91" w:rsidRPr="003B4362" w:rsidRDefault="00B50A91" w:rsidP="001B6EEE">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(a)(4)(B)(iii) derives from segments of 40 CFR 141.86(a)(7)</w:t>
      </w:r>
      <w:r w:rsidR="00D4101B" w:rsidRPr="003B4362">
        <w:rPr>
          <w:rFonts w:eastAsia="Calibri"/>
        </w:rPr>
        <w:t xml:space="preserve"> (2020)</w:t>
      </w:r>
      <w:r w:rsidRPr="003B4362">
        <w:rPr>
          <w:rFonts w:eastAsia="Calibri"/>
        </w:rPr>
        <w:t>.</w:t>
      </w:r>
    </w:p>
    <w:p w14:paraId="207805C8" w14:textId="77777777" w:rsidR="001B6EEE" w:rsidRDefault="001B6EEE" w:rsidP="001B6EEE">
      <w:pPr>
        <w:ind w:left="2880" w:hanging="720"/>
        <w:rPr>
          <w:rFonts w:eastAsia="Calibri"/>
        </w:rPr>
      </w:pPr>
    </w:p>
    <w:p w14:paraId="5411D212" w14:textId="58F09459" w:rsidR="00B50A91" w:rsidRPr="003B4362" w:rsidRDefault="00B50A91" w:rsidP="001B6EEE">
      <w:pPr>
        <w:ind w:left="2880" w:hanging="720"/>
        <w:rPr>
          <w:rFonts w:eastAsia="Calibri"/>
        </w:rPr>
      </w:pPr>
      <w:r w:rsidRPr="003B4362">
        <w:rPr>
          <w:rFonts w:eastAsia="Calibri"/>
        </w:rPr>
        <w:t>C)</w:t>
      </w:r>
      <w:r w:rsidRPr="003B4362">
        <w:rPr>
          <w:rFonts w:eastAsia="Calibri"/>
        </w:rPr>
        <w:tab/>
        <w:t>Suppliers with Lead Service Lines.  Any supplier whose distribution system contains lead service lines must draw samples during each six-month monitoring period from specific sampling sites:</w:t>
      </w:r>
    </w:p>
    <w:p w14:paraId="26BEF3BA" w14:textId="77777777" w:rsidR="001B6EEE" w:rsidRDefault="001B6EEE" w:rsidP="001B6EEE">
      <w:pPr>
        <w:ind w:left="3600" w:hanging="720"/>
        <w:rPr>
          <w:rFonts w:eastAsia="Calibri"/>
        </w:rPr>
      </w:pPr>
    </w:p>
    <w:p w14:paraId="4AB4CFEF" w14:textId="37828F44" w:rsidR="00B50A91" w:rsidRPr="003B4362" w:rsidRDefault="00B50A91" w:rsidP="001B6EEE">
      <w:pPr>
        <w:ind w:left="3600" w:hanging="720"/>
        <w:rPr>
          <w:rFonts w:eastAsia="Calibri"/>
        </w:rPr>
      </w:pPr>
      <w:r w:rsidRPr="003B4362">
        <w:rPr>
          <w:rFonts w:eastAsia="Calibri"/>
        </w:rPr>
        <w:t>i)</w:t>
      </w:r>
      <w:r w:rsidRPr="003B4362">
        <w:rPr>
          <w:rFonts w:eastAsia="Calibri"/>
        </w:rPr>
        <w:tab/>
        <w:t>50 percent of the samples from sampling sites containing lead pipes or having copper pipes with lead solder;</w:t>
      </w:r>
      <w:r w:rsidRPr="003B4362">
        <w:rPr>
          <w:rFonts w:eastAsia="Calibri"/>
          <w:spacing w:val="-3"/>
        </w:rPr>
        <w:t xml:space="preserve"> and</w:t>
      </w:r>
    </w:p>
    <w:p w14:paraId="34D604D7" w14:textId="77777777" w:rsidR="001B6EEE" w:rsidRDefault="001B6EEE" w:rsidP="001B6EEE">
      <w:pPr>
        <w:ind w:left="3600" w:hanging="720"/>
        <w:rPr>
          <w:rFonts w:eastAsia="Calibri"/>
        </w:rPr>
      </w:pPr>
    </w:p>
    <w:p w14:paraId="1599E409" w14:textId="1B80BCC1" w:rsidR="00B50A91" w:rsidRPr="003B4362" w:rsidRDefault="00B50A91" w:rsidP="001B6EEE">
      <w:pPr>
        <w:ind w:left="3600" w:hanging="720"/>
        <w:rPr>
          <w:rFonts w:eastAsia="Calibri"/>
        </w:rPr>
      </w:pPr>
      <w:r w:rsidRPr="003B4362">
        <w:rPr>
          <w:rFonts w:eastAsia="Calibri"/>
        </w:rPr>
        <w:t>ii)</w:t>
      </w:r>
      <w:r w:rsidRPr="003B4362">
        <w:rPr>
          <w:rFonts w:eastAsia="Calibri"/>
        </w:rPr>
        <w:tab/>
        <w:t>50 percent of those samples from sites having a lead service line.</w:t>
      </w:r>
    </w:p>
    <w:p w14:paraId="24136697" w14:textId="77777777" w:rsidR="001B6EEE" w:rsidRDefault="001B6EEE" w:rsidP="001B6EEE">
      <w:pPr>
        <w:ind w:left="3600" w:hanging="720"/>
        <w:rPr>
          <w:rFonts w:eastAsia="Calibri"/>
        </w:rPr>
      </w:pPr>
    </w:p>
    <w:p w14:paraId="4BCDE970" w14:textId="118485F3" w:rsidR="00B50A91" w:rsidRPr="003B4362" w:rsidRDefault="00B50A91" w:rsidP="001B6EEE">
      <w:pPr>
        <w:ind w:left="3600" w:hanging="720"/>
        <w:rPr>
          <w:rFonts w:eastAsia="Calibri"/>
        </w:rPr>
      </w:pPr>
      <w:r w:rsidRPr="003B4362">
        <w:rPr>
          <w:rFonts w:eastAsia="Calibri"/>
        </w:rPr>
        <w:t>iii)</w:t>
      </w:r>
      <w:r w:rsidRPr="003B4362">
        <w:rPr>
          <w:rFonts w:eastAsia="Calibri"/>
        </w:rPr>
        <w:tab/>
        <w:t xml:space="preserve">A supplier that cannot identify a sufficient number of sampling sites having a lead service line must collect first-draw </w:t>
      </w:r>
      <w:r w:rsidR="00660A70" w:rsidRPr="003B4362">
        <w:rPr>
          <w:rFonts w:eastAsia="Calibri"/>
        </w:rPr>
        <w:t xml:space="preserve">tap </w:t>
      </w:r>
      <w:r w:rsidRPr="003B4362">
        <w:rPr>
          <w:rFonts w:eastAsia="Calibri"/>
        </w:rPr>
        <w:t>samples from all of the sites identified as having lead service lines.</w:t>
      </w:r>
    </w:p>
    <w:p w14:paraId="74DEE953" w14:textId="77777777" w:rsidR="001B6EEE" w:rsidRDefault="001B6EEE" w:rsidP="001B6EEE">
      <w:pPr>
        <w:ind w:left="2880"/>
        <w:rPr>
          <w:rFonts w:eastAsia="Calibri"/>
        </w:rPr>
      </w:pPr>
    </w:p>
    <w:p w14:paraId="3581420F" w14:textId="175361E2" w:rsidR="00B50A91" w:rsidRPr="003B4362" w:rsidRDefault="00B50A91" w:rsidP="001B6EEE">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(a)(4)(C) derives from segments of 40 CFR 141.86(a)(8)</w:t>
      </w:r>
      <w:r w:rsidR="00D4101B" w:rsidRPr="003B4362">
        <w:rPr>
          <w:rFonts w:eastAsia="Calibri"/>
        </w:rPr>
        <w:t xml:space="preserve"> (2020)</w:t>
      </w:r>
      <w:r w:rsidRPr="003B4362">
        <w:rPr>
          <w:rFonts w:eastAsia="Calibri"/>
        </w:rPr>
        <w:t>.  This allows the pool of sampling sites to consist exclusively of structures or buildings having lead service lines.</w:t>
      </w:r>
    </w:p>
    <w:p w14:paraId="63E5AE1E" w14:textId="77777777" w:rsidR="001B6EEE" w:rsidRDefault="001B6EEE" w:rsidP="001B6EEE">
      <w:pPr>
        <w:ind w:left="1440" w:hanging="720"/>
        <w:rPr>
          <w:rFonts w:eastAsia="Calibri"/>
        </w:rPr>
      </w:pPr>
    </w:p>
    <w:p w14:paraId="3AD00128" w14:textId="26AA0745" w:rsidR="00B50A91" w:rsidRPr="003B4362" w:rsidRDefault="00B50A91" w:rsidP="001B6EEE">
      <w:pPr>
        <w:ind w:left="1440" w:hanging="720"/>
        <w:rPr>
          <w:rFonts w:eastAsia="Calibri"/>
        </w:rPr>
      </w:pPr>
      <w:r w:rsidRPr="003B4362">
        <w:rPr>
          <w:rFonts w:eastAsia="Calibri"/>
        </w:rPr>
        <w:t>b)</w:t>
      </w:r>
      <w:r w:rsidRPr="003B4362">
        <w:rPr>
          <w:rFonts w:eastAsia="Calibri"/>
        </w:rPr>
        <w:tab/>
        <w:t>Sample Collection Methods</w:t>
      </w:r>
    </w:p>
    <w:p w14:paraId="586B4226" w14:textId="77777777" w:rsidR="001B6EEE" w:rsidRDefault="001B6EEE" w:rsidP="001B6EEE">
      <w:pPr>
        <w:ind w:left="2160" w:hanging="720"/>
        <w:rPr>
          <w:rFonts w:eastAsia="Calibri"/>
        </w:rPr>
      </w:pPr>
    </w:p>
    <w:p w14:paraId="58C92EDA" w14:textId="7D559CBF" w:rsidR="00B50A91" w:rsidRPr="003B4362" w:rsidRDefault="00B50A91" w:rsidP="001B6EEE">
      <w:pPr>
        <w:ind w:left="2160" w:hanging="720"/>
        <w:rPr>
          <w:rFonts w:eastAsia="Calibri"/>
        </w:rPr>
      </w:pPr>
      <w:r w:rsidRPr="003B4362">
        <w:rPr>
          <w:rFonts w:eastAsia="Calibri"/>
        </w:rPr>
        <w:t>1)</w:t>
      </w:r>
      <w:r w:rsidRPr="003B4362">
        <w:rPr>
          <w:rFonts w:eastAsia="Calibri"/>
        </w:rPr>
        <w:tab/>
        <w:t xml:space="preserve">All tap samples a supplier collects for lead and copper under this Subpart </w:t>
      </w:r>
      <w:r w:rsidR="00DE2C0D" w:rsidRPr="003B4362">
        <w:rPr>
          <w:rFonts w:eastAsia="Calibri"/>
        </w:rPr>
        <w:t>A</w:t>
      </w:r>
      <w:r w:rsidRPr="003B4362">
        <w:rPr>
          <w:rFonts w:eastAsia="Calibri"/>
        </w:rPr>
        <w:t>G, with the exception of lead service line samples under Section 611.1354(</w:t>
      </w:r>
      <w:r w:rsidR="00F32398" w:rsidRPr="003B4362">
        <w:rPr>
          <w:rFonts w:eastAsia="Calibri"/>
        </w:rPr>
        <w:t>d</w:t>
      </w:r>
      <w:r w:rsidRPr="003B4362">
        <w:rPr>
          <w:rFonts w:eastAsia="Calibri"/>
        </w:rPr>
        <w:t xml:space="preserve">) and samples under subsection (b)(5), must be first-draw </w:t>
      </w:r>
      <w:r w:rsidR="00941C52" w:rsidRPr="003B4362">
        <w:rPr>
          <w:rFonts w:eastAsia="Calibri"/>
        </w:rPr>
        <w:t xml:space="preserve">tap </w:t>
      </w:r>
      <w:r w:rsidRPr="003B4362">
        <w:rPr>
          <w:rFonts w:eastAsia="Calibri"/>
        </w:rPr>
        <w:t>samples.</w:t>
      </w:r>
    </w:p>
    <w:p w14:paraId="0AE52315" w14:textId="77777777" w:rsidR="001B6EEE" w:rsidRDefault="001B6EEE" w:rsidP="001B6EEE">
      <w:pPr>
        <w:ind w:left="2160" w:hanging="720"/>
        <w:rPr>
          <w:rFonts w:eastAsia="Calibri"/>
        </w:rPr>
      </w:pPr>
    </w:p>
    <w:p w14:paraId="39173A70" w14:textId="25D581E6" w:rsidR="00B50A91" w:rsidRPr="003B4362" w:rsidRDefault="00B50A91" w:rsidP="001B6EEE">
      <w:pPr>
        <w:ind w:left="2160" w:hanging="720"/>
        <w:rPr>
          <w:rFonts w:eastAsia="Calibri"/>
        </w:rPr>
      </w:pPr>
      <w:r w:rsidRPr="003B4362">
        <w:rPr>
          <w:rFonts w:eastAsia="Calibri"/>
        </w:rPr>
        <w:t>2)</w:t>
      </w:r>
      <w:r w:rsidRPr="003B4362">
        <w:rPr>
          <w:rFonts w:eastAsia="Calibri"/>
        </w:rPr>
        <w:tab/>
        <w:t>First-Draw Tap Samples</w:t>
      </w:r>
    </w:p>
    <w:p w14:paraId="21D915B0" w14:textId="77777777" w:rsidR="001B6EEE" w:rsidRDefault="001B6EEE" w:rsidP="001B6EEE">
      <w:pPr>
        <w:ind w:left="2880" w:hanging="720"/>
        <w:rPr>
          <w:rFonts w:eastAsia="Calibri"/>
        </w:rPr>
      </w:pPr>
    </w:p>
    <w:p w14:paraId="4B299AFA" w14:textId="137F9DE5" w:rsidR="00B50A91" w:rsidRPr="003B4362" w:rsidRDefault="00B50A91" w:rsidP="001B6EEE">
      <w:pPr>
        <w:ind w:left="2880" w:hanging="720"/>
        <w:rPr>
          <w:rFonts w:eastAsia="Calibri"/>
        </w:rPr>
      </w:pPr>
      <w:r w:rsidRPr="003B4362">
        <w:rPr>
          <w:rFonts w:eastAsia="Calibri"/>
        </w:rPr>
        <w:t>A)</w:t>
      </w:r>
      <w:r w:rsidRPr="003B4362">
        <w:rPr>
          <w:rFonts w:eastAsia="Calibri"/>
        </w:rPr>
        <w:tab/>
        <w:t>Every first-draw tap sample for lead and copper must be one liter in volume and have stood motionless in the plumbing system of the sampling site for at least six hours.</w:t>
      </w:r>
    </w:p>
    <w:p w14:paraId="495AC970" w14:textId="77777777" w:rsidR="001B6EEE" w:rsidRDefault="001B6EEE" w:rsidP="001B6EEE">
      <w:pPr>
        <w:ind w:left="2880" w:hanging="720"/>
        <w:rPr>
          <w:rFonts w:eastAsia="Calibri"/>
        </w:rPr>
      </w:pPr>
    </w:p>
    <w:p w14:paraId="162B3CD1" w14:textId="2021BCF5" w:rsidR="00B50A91" w:rsidRPr="003B4362" w:rsidRDefault="00B50A91" w:rsidP="001B6EEE">
      <w:pPr>
        <w:ind w:left="2880" w:hanging="720"/>
        <w:rPr>
          <w:rFonts w:eastAsia="Calibri"/>
        </w:rPr>
      </w:pPr>
      <w:r w:rsidRPr="003B4362">
        <w:rPr>
          <w:rFonts w:eastAsia="Calibri"/>
        </w:rPr>
        <w:t>B)</w:t>
      </w:r>
      <w:r w:rsidRPr="003B4362">
        <w:rPr>
          <w:rFonts w:eastAsia="Calibri"/>
        </w:rPr>
        <w:tab/>
      </w:r>
      <w:r w:rsidR="007612DA" w:rsidRPr="003B4362">
        <w:rPr>
          <w:rFonts w:eastAsia="Calibri"/>
        </w:rPr>
        <w:t xml:space="preserve">For residential </w:t>
      </w:r>
      <w:r w:rsidR="001B652D" w:rsidRPr="003B4362">
        <w:rPr>
          <w:rFonts w:eastAsia="Calibri"/>
        </w:rPr>
        <w:t>buildings</w:t>
      </w:r>
      <w:r w:rsidR="007612DA" w:rsidRPr="003B4362">
        <w:rPr>
          <w:rFonts w:eastAsia="Calibri"/>
        </w:rPr>
        <w:t>, t</w:t>
      </w:r>
      <w:r w:rsidRPr="003B4362">
        <w:rPr>
          <w:rFonts w:eastAsia="Calibri"/>
        </w:rPr>
        <w:t xml:space="preserve">he supplier must collect first-draw </w:t>
      </w:r>
      <w:r w:rsidR="00941C52" w:rsidRPr="003B4362">
        <w:rPr>
          <w:rFonts w:eastAsia="Calibri"/>
        </w:rPr>
        <w:t xml:space="preserve">tap </w:t>
      </w:r>
      <w:r w:rsidRPr="003B4362">
        <w:rPr>
          <w:rFonts w:eastAsia="Calibri"/>
        </w:rPr>
        <w:t>samples from residential housing from the cold-water kitchen or bathroom sink tap.</w:t>
      </w:r>
    </w:p>
    <w:p w14:paraId="6F2248C9" w14:textId="77777777" w:rsidR="001B6EEE" w:rsidRDefault="001B6EEE" w:rsidP="001B6EEE">
      <w:pPr>
        <w:ind w:left="2880" w:hanging="720"/>
        <w:rPr>
          <w:rFonts w:eastAsia="Calibri"/>
        </w:rPr>
      </w:pPr>
    </w:p>
    <w:p w14:paraId="13C8E928" w14:textId="3AEE9DA3" w:rsidR="00B50A91" w:rsidRPr="003B4362" w:rsidRDefault="00B50A91" w:rsidP="001B6EEE">
      <w:pPr>
        <w:ind w:left="2880" w:hanging="720"/>
        <w:rPr>
          <w:rFonts w:eastAsia="Calibri"/>
        </w:rPr>
      </w:pPr>
      <w:r w:rsidRPr="003B4362">
        <w:rPr>
          <w:rFonts w:eastAsia="Calibri"/>
        </w:rPr>
        <w:t>C)</w:t>
      </w:r>
      <w:r w:rsidRPr="003B4362">
        <w:rPr>
          <w:rFonts w:eastAsia="Calibri"/>
        </w:rPr>
        <w:tab/>
      </w:r>
      <w:r w:rsidR="00E92291" w:rsidRPr="003B4362">
        <w:rPr>
          <w:rFonts w:eastAsia="Calibri"/>
        </w:rPr>
        <w:t>For non-residential buildings, t</w:t>
      </w:r>
      <w:r w:rsidRPr="003B4362">
        <w:rPr>
          <w:rFonts w:eastAsia="Calibri"/>
        </w:rPr>
        <w:t xml:space="preserve">he supplier must collect first-draw </w:t>
      </w:r>
      <w:r w:rsidR="00C132FF" w:rsidRPr="003B4362">
        <w:rPr>
          <w:rFonts w:eastAsia="Calibri"/>
        </w:rPr>
        <w:t xml:space="preserve">tap </w:t>
      </w:r>
      <w:r w:rsidRPr="003B4362">
        <w:rPr>
          <w:rFonts w:eastAsia="Calibri"/>
        </w:rPr>
        <w:t>samples one-liter in volume from an interior tap occupants typically use for consuming water.</w:t>
      </w:r>
    </w:p>
    <w:p w14:paraId="24A39E8C" w14:textId="77777777" w:rsidR="001B6EEE" w:rsidRDefault="001B6EEE" w:rsidP="001B6EEE">
      <w:pPr>
        <w:ind w:left="2880" w:hanging="720"/>
        <w:rPr>
          <w:rFonts w:eastAsia="Calibri"/>
        </w:rPr>
      </w:pPr>
    </w:p>
    <w:p w14:paraId="1DA56519" w14:textId="114F274E" w:rsidR="00B50A91" w:rsidRPr="003B4362" w:rsidRDefault="00B50A91" w:rsidP="001B6EEE">
      <w:pPr>
        <w:ind w:left="2880" w:hanging="720"/>
        <w:rPr>
          <w:rFonts w:eastAsia="Calibri"/>
        </w:rPr>
      </w:pPr>
      <w:r w:rsidRPr="003B4362">
        <w:rPr>
          <w:rFonts w:eastAsia="Calibri"/>
        </w:rPr>
        <w:t>D)</w:t>
      </w:r>
      <w:r w:rsidRPr="003B4362">
        <w:rPr>
          <w:rFonts w:eastAsia="Calibri"/>
        </w:rPr>
        <w:tab/>
        <w:t xml:space="preserve">The supplier must collect non-first-draw </w:t>
      </w:r>
      <w:r w:rsidR="00C132FF" w:rsidRPr="003B4362">
        <w:rPr>
          <w:rFonts w:eastAsia="Calibri"/>
        </w:rPr>
        <w:t xml:space="preserve">tap </w:t>
      </w:r>
      <w:r w:rsidRPr="003B4362">
        <w:rPr>
          <w:rFonts w:eastAsia="Calibri"/>
        </w:rPr>
        <w:t xml:space="preserve">samples that it collects in lieu of first-draw </w:t>
      </w:r>
      <w:r w:rsidR="00C132FF" w:rsidRPr="003B4362">
        <w:rPr>
          <w:rFonts w:eastAsia="Calibri"/>
        </w:rPr>
        <w:t xml:space="preserve">tap </w:t>
      </w:r>
      <w:r w:rsidRPr="003B4362">
        <w:rPr>
          <w:rFonts w:eastAsia="Calibri"/>
        </w:rPr>
        <w:t>samples under subsection (b)(5) one liter in volume from an interior tap occupants typically use for consuming water.</w:t>
      </w:r>
    </w:p>
    <w:p w14:paraId="6DA21B39" w14:textId="77777777" w:rsidR="001B6EEE" w:rsidRDefault="001B6EEE" w:rsidP="001B6EEE">
      <w:pPr>
        <w:ind w:left="2880" w:hanging="720"/>
        <w:rPr>
          <w:rFonts w:eastAsia="Calibri"/>
        </w:rPr>
      </w:pPr>
    </w:p>
    <w:p w14:paraId="6D242115" w14:textId="34063814" w:rsidR="00B50A91" w:rsidRPr="003B4362" w:rsidRDefault="00B50A91" w:rsidP="001B6EEE">
      <w:pPr>
        <w:ind w:left="2880" w:hanging="720"/>
        <w:rPr>
          <w:rFonts w:eastAsia="Calibri"/>
        </w:rPr>
      </w:pPr>
      <w:r w:rsidRPr="003B4362">
        <w:rPr>
          <w:rFonts w:eastAsia="Calibri"/>
        </w:rPr>
        <w:t>E)</w:t>
      </w:r>
      <w:r w:rsidRPr="003B4362">
        <w:rPr>
          <w:rFonts w:eastAsia="Calibri"/>
          <w:i/>
          <w:iCs/>
        </w:rPr>
        <w:tab/>
      </w:r>
      <w:r w:rsidRPr="003B4362">
        <w:rPr>
          <w:rFonts w:eastAsia="Calibri"/>
        </w:rPr>
        <w:t xml:space="preserve">The supplier may collect first-draw </w:t>
      </w:r>
      <w:r w:rsidR="00C132FF" w:rsidRPr="003B4362">
        <w:rPr>
          <w:rFonts w:eastAsia="Calibri"/>
        </w:rPr>
        <w:t xml:space="preserve">tap </w:t>
      </w:r>
      <w:r w:rsidRPr="003B4362">
        <w:rPr>
          <w:rFonts w:eastAsia="Calibri"/>
        </w:rPr>
        <w:t>samples or allow residents to collect</w:t>
      </w:r>
      <w:bookmarkStart w:id="4545" w:name="_Hlk121949123"/>
      <w:r w:rsidRPr="003B4362">
        <w:rPr>
          <w:rFonts w:eastAsia="Calibri"/>
        </w:rPr>
        <w:t xml:space="preserve"> first-draw </w:t>
      </w:r>
      <w:r w:rsidR="00C132FF" w:rsidRPr="003B4362">
        <w:rPr>
          <w:rFonts w:eastAsia="Calibri"/>
        </w:rPr>
        <w:t xml:space="preserve">tap </w:t>
      </w:r>
      <w:r w:rsidRPr="003B4362">
        <w:rPr>
          <w:rFonts w:eastAsia="Calibri"/>
        </w:rPr>
        <w:t>samples</w:t>
      </w:r>
      <w:bookmarkEnd w:id="4545"/>
      <w:r w:rsidRPr="003B4362">
        <w:rPr>
          <w:rFonts w:eastAsia="Calibri"/>
        </w:rPr>
        <w:t xml:space="preserve"> after instructing the residents in the sampling procedures this subsection (b) specifies.</w:t>
      </w:r>
    </w:p>
    <w:p w14:paraId="0A424227" w14:textId="77777777" w:rsidR="001B6EEE" w:rsidRDefault="001B6EEE" w:rsidP="001B6EEE">
      <w:pPr>
        <w:ind w:left="3600" w:hanging="720"/>
        <w:rPr>
          <w:rFonts w:eastAsia="Calibri"/>
        </w:rPr>
      </w:pPr>
    </w:p>
    <w:p w14:paraId="1E161AE4" w14:textId="7EFB503D" w:rsidR="00B50A91" w:rsidRPr="003B4362" w:rsidRDefault="00B50A91" w:rsidP="001B6EEE">
      <w:pPr>
        <w:ind w:left="3600" w:hanging="720"/>
        <w:rPr>
          <w:rFonts w:eastAsia="Calibri"/>
        </w:rPr>
      </w:pPr>
      <w:r w:rsidRPr="003B4362">
        <w:rPr>
          <w:rFonts w:eastAsia="Calibri"/>
        </w:rPr>
        <w:t>i)</w:t>
      </w:r>
      <w:r w:rsidRPr="003B4362">
        <w:rPr>
          <w:rFonts w:eastAsia="Calibri"/>
        </w:rPr>
        <w:tab/>
        <w:t xml:space="preserve">To avoid problems of residents handling nitric acid, the supplier may acidify first-draw </w:t>
      </w:r>
      <w:r w:rsidR="00C132FF" w:rsidRPr="003B4362">
        <w:rPr>
          <w:rFonts w:eastAsia="Calibri"/>
        </w:rPr>
        <w:t xml:space="preserve">tap </w:t>
      </w:r>
      <w:r w:rsidRPr="003B4362">
        <w:rPr>
          <w:rFonts w:eastAsia="Calibri"/>
        </w:rPr>
        <w:t>samples up to 14 days after the supplier or a resident collects the sample.</w:t>
      </w:r>
    </w:p>
    <w:p w14:paraId="697A4EA5" w14:textId="77777777" w:rsidR="001B6EEE" w:rsidRDefault="001B6EEE" w:rsidP="001B6EEE">
      <w:pPr>
        <w:ind w:left="3600" w:hanging="720"/>
        <w:rPr>
          <w:rFonts w:eastAsia="Calibri"/>
        </w:rPr>
      </w:pPr>
    </w:p>
    <w:p w14:paraId="511264D5" w14:textId="2AF08DBD" w:rsidR="00B50A91" w:rsidRPr="003B4362" w:rsidRDefault="00B50A91" w:rsidP="001B6EEE">
      <w:pPr>
        <w:ind w:left="3600" w:hanging="720"/>
        <w:rPr>
          <w:rFonts w:eastAsia="Calibri"/>
        </w:rPr>
      </w:pPr>
      <w:r w:rsidRPr="003B4362">
        <w:rPr>
          <w:rFonts w:eastAsia="Calibri"/>
        </w:rPr>
        <w:t>ii)</w:t>
      </w:r>
      <w:r w:rsidRPr="003B4362">
        <w:rPr>
          <w:rFonts w:eastAsia="Calibri"/>
        </w:rPr>
        <w:tab/>
        <w:t>After adding acid to resolubilize the metals, a sample must stand in its original container for the time the USEPA-approved method specifies before the laboratory analyzes the sample.</w:t>
      </w:r>
    </w:p>
    <w:p w14:paraId="5C7995B8" w14:textId="77777777" w:rsidR="001B6EEE" w:rsidRDefault="001B6EEE" w:rsidP="001B6EEE">
      <w:pPr>
        <w:ind w:left="2880" w:hanging="720"/>
        <w:rPr>
          <w:rFonts w:eastAsia="Calibri"/>
        </w:rPr>
      </w:pPr>
    </w:p>
    <w:p w14:paraId="49B32E92" w14:textId="1427F89F" w:rsidR="00B50A91" w:rsidRPr="003B4362" w:rsidRDefault="00B50A91" w:rsidP="001B6EEE">
      <w:pPr>
        <w:ind w:left="2880" w:hanging="720"/>
        <w:rPr>
          <w:rFonts w:eastAsia="Calibri"/>
        </w:rPr>
      </w:pPr>
      <w:r w:rsidRPr="003B4362">
        <w:rPr>
          <w:rFonts w:eastAsia="Calibri"/>
        </w:rPr>
        <w:t>F)</w:t>
      </w:r>
      <w:r w:rsidRPr="003B4362">
        <w:rPr>
          <w:rFonts w:eastAsia="Calibri"/>
        </w:rPr>
        <w:tab/>
        <w:t>If a supplier allows residents to perform sampling under subsection (b)(2)(D), the supplier may not challenge the accuracy of sampling results based on alleged errors in sample collection.</w:t>
      </w:r>
    </w:p>
    <w:p w14:paraId="067714A8" w14:textId="77777777" w:rsidR="001B6EEE" w:rsidRDefault="001B6EEE" w:rsidP="001B6EEE">
      <w:pPr>
        <w:ind w:left="2160" w:hanging="720"/>
        <w:rPr>
          <w:rFonts w:eastAsia="Calibri"/>
        </w:rPr>
      </w:pPr>
    </w:p>
    <w:p w14:paraId="7A0E8628" w14:textId="3F71A942" w:rsidR="00B50A91" w:rsidRPr="003B4362" w:rsidRDefault="00B50A91" w:rsidP="001B6EEE">
      <w:pPr>
        <w:ind w:left="2160" w:hanging="720"/>
        <w:rPr>
          <w:rFonts w:eastAsia="Calibri"/>
        </w:rPr>
      </w:pPr>
      <w:r w:rsidRPr="003B4362">
        <w:rPr>
          <w:rFonts w:eastAsia="Calibri"/>
        </w:rPr>
        <w:t>3)</w:t>
      </w:r>
      <w:r w:rsidRPr="003B4362">
        <w:rPr>
          <w:rFonts w:eastAsia="Calibri"/>
        </w:rPr>
        <w:tab/>
        <w:t>Service Line Samples</w:t>
      </w:r>
    </w:p>
    <w:p w14:paraId="030602A4" w14:textId="77777777" w:rsidR="001B6EEE" w:rsidRDefault="001B6EEE" w:rsidP="001B6EEE">
      <w:pPr>
        <w:ind w:left="2880" w:hanging="720"/>
        <w:rPr>
          <w:rFonts w:eastAsia="Calibri"/>
        </w:rPr>
      </w:pPr>
    </w:p>
    <w:p w14:paraId="1A3D94AF" w14:textId="2160360B" w:rsidR="00B50A91" w:rsidRPr="003B4362" w:rsidRDefault="00B50A91" w:rsidP="001B6EEE">
      <w:pPr>
        <w:ind w:left="2880" w:hanging="720"/>
        <w:rPr>
          <w:rFonts w:eastAsia="Calibri"/>
        </w:rPr>
      </w:pPr>
      <w:r w:rsidRPr="003B4362">
        <w:rPr>
          <w:rFonts w:eastAsia="Calibri"/>
        </w:rPr>
        <w:lastRenderedPageBreak/>
        <w:t>A)</w:t>
      </w:r>
      <w:r w:rsidRPr="003B4362">
        <w:rPr>
          <w:rFonts w:eastAsia="Calibri"/>
        </w:rPr>
        <w:tab/>
        <w:t>Each service line sample must be one liter in volume and have stood motionless in the lead service line for at least six hours.</w:t>
      </w:r>
    </w:p>
    <w:p w14:paraId="4C7AD197" w14:textId="77777777" w:rsidR="001B6EEE" w:rsidRDefault="001B6EEE" w:rsidP="001B6EEE">
      <w:pPr>
        <w:ind w:left="2880" w:hanging="720"/>
        <w:rPr>
          <w:rFonts w:eastAsia="Calibri"/>
        </w:rPr>
      </w:pPr>
    </w:p>
    <w:p w14:paraId="477DC3A2" w14:textId="189FFB5D" w:rsidR="00B50A91" w:rsidRPr="003B4362" w:rsidRDefault="00B50A91" w:rsidP="001B6EEE">
      <w:pPr>
        <w:ind w:left="2880" w:hanging="720"/>
        <w:rPr>
          <w:rFonts w:eastAsia="Calibri"/>
        </w:rPr>
      </w:pPr>
      <w:r w:rsidRPr="003B4362">
        <w:rPr>
          <w:rFonts w:eastAsia="Calibri"/>
        </w:rPr>
        <w:t>B)</w:t>
      </w:r>
      <w:r w:rsidRPr="003B4362">
        <w:rPr>
          <w:rFonts w:eastAsia="Calibri"/>
        </w:rPr>
        <w:tab/>
        <w:t>Lead service line samples must be collected in one of three ways:</w:t>
      </w:r>
    </w:p>
    <w:p w14:paraId="6174D9C2" w14:textId="77777777" w:rsidR="001B6EEE" w:rsidRDefault="001B6EEE" w:rsidP="001B6EEE">
      <w:pPr>
        <w:ind w:left="3600" w:hanging="720"/>
        <w:rPr>
          <w:rFonts w:eastAsia="Calibri"/>
        </w:rPr>
      </w:pPr>
    </w:p>
    <w:p w14:paraId="3EC6F152" w14:textId="1EC75E2E" w:rsidR="00B50A91" w:rsidRPr="003B4362" w:rsidRDefault="00B50A91" w:rsidP="001B6EEE">
      <w:pPr>
        <w:ind w:left="3600" w:hanging="720"/>
        <w:rPr>
          <w:rFonts w:eastAsia="Calibri"/>
        </w:rPr>
      </w:pPr>
      <w:r w:rsidRPr="003B4362">
        <w:rPr>
          <w:rFonts w:eastAsia="Calibri"/>
        </w:rPr>
        <w:t>i)</w:t>
      </w:r>
      <w:r w:rsidRPr="003B4362">
        <w:rPr>
          <w:rFonts w:eastAsia="Calibri"/>
        </w:rPr>
        <w:tab/>
        <w:t>At the tap after flushing the calculated volume of water between the tap and the lead service line (based on the interior diameter and length of the pipe between the tap and the lead service line);</w:t>
      </w:r>
    </w:p>
    <w:p w14:paraId="65EF8853" w14:textId="77777777" w:rsidR="001B6EEE" w:rsidRDefault="001B6EEE" w:rsidP="001B6EEE">
      <w:pPr>
        <w:ind w:left="3600" w:hanging="720"/>
        <w:rPr>
          <w:rFonts w:eastAsia="Calibri"/>
        </w:rPr>
      </w:pPr>
    </w:p>
    <w:p w14:paraId="7124BDF6" w14:textId="5AD2D984" w:rsidR="00B50A91" w:rsidRPr="003B4362" w:rsidRDefault="00B50A91" w:rsidP="001B6EEE">
      <w:pPr>
        <w:ind w:left="3600" w:hanging="720"/>
        <w:rPr>
          <w:rFonts w:eastAsia="Calibri"/>
        </w:rPr>
      </w:pPr>
      <w:r w:rsidRPr="003B4362">
        <w:rPr>
          <w:rFonts w:eastAsia="Calibri"/>
        </w:rPr>
        <w:t>ii)</w:t>
      </w:r>
      <w:r w:rsidRPr="003B4362">
        <w:rPr>
          <w:rFonts w:eastAsia="Calibri"/>
        </w:rPr>
        <w:tab/>
        <w:t>Tapping directly into the lead service line; or</w:t>
      </w:r>
    </w:p>
    <w:p w14:paraId="0E5E7BAE" w14:textId="77777777" w:rsidR="001B6EEE" w:rsidRDefault="001B6EEE" w:rsidP="001B6EEE">
      <w:pPr>
        <w:ind w:left="3600" w:hanging="720"/>
        <w:rPr>
          <w:rFonts w:eastAsia="Calibri"/>
        </w:rPr>
      </w:pPr>
    </w:p>
    <w:p w14:paraId="29988B24" w14:textId="314DBD28" w:rsidR="00B50A91" w:rsidRPr="003B4362" w:rsidRDefault="00B50A91" w:rsidP="001B6EEE">
      <w:pPr>
        <w:ind w:left="3600" w:hanging="720"/>
        <w:rPr>
          <w:rFonts w:eastAsia="Calibri"/>
        </w:rPr>
      </w:pPr>
      <w:r w:rsidRPr="003B4362">
        <w:rPr>
          <w:rFonts w:eastAsia="Calibri"/>
        </w:rPr>
        <w:t>iii)</w:t>
      </w:r>
      <w:r w:rsidRPr="003B4362">
        <w:rPr>
          <w:rFonts w:eastAsia="Calibri"/>
        </w:rPr>
        <w:tab/>
        <w:t>If the sampling site is a single-family structure, allowing the water to run until there is a significant change in temperature indicating water that stood in the lead service line.</w:t>
      </w:r>
    </w:p>
    <w:p w14:paraId="0784D3C7" w14:textId="77777777" w:rsidR="001B6EEE" w:rsidRDefault="001B6EEE" w:rsidP="001B6EEE">
      <w:pPr>
        <w:ind w:left="2160" w:hanging="720"/>
        <w:rPr>
          <w:rFonts w:eastAsia="Calibri"/>
        </w:rPr>
      </w:pPr>
    </w:p>
    <w:p w14:paraId="5C1EB8D2" w14:textId="59BB7503" w:rsidR="00B50A91" w:rsidRPr="003B4362" w:rsidRDefault="00B50A91" w:rsidP="001B6EEE">
      <w:pPr>
        <w:ind w:left="2160" w:hanging="720"/>
        <w:rPr>
          <w:rFonts w:eastAsia="Calibri"/>
        </w:rPr>
      </w:pPr>
      <w:r w:rsidRPr="003B4362">
        <w:rPr>
          <w:rFonts w:eastAsia="Calibri"/>
        </w:rPr>
        <w:t>4)</w:t>
      </w:r>
      <w:r w:rsidRPr="003B4362">
        <w:rPr>
          <w:rFonts w:eastAsia="Calibri"/>
        </w:rPr>
        <w:tab/>
        <w:t>Follow-Up First-Draw Tap Samples</w:t>
      </w:r>
    </w:p>
    <w:p w14:paraId="2D293637" w14:textId="77777777" w:rsidR="001B6EEE" w:rsidRDefault="001B6EEE" w:rsidP="001B6EEE">
      <w:pPr>
        <w:ind w:left="2880" w:hanging="720"/>
        <w:rPr>
          <w:rFonts w:eastAsia="Calibri"/>
        </w:rPr>
      </w:pPr>
    </w:p>
    <w:p w14:paraId="21A53AD7" w14:textId="0DBD2B0C" w:rsidR="00B50A91" w:rsidRPr="003B4362" w:rsidRDefault="00B50A91" w:rsidP="001B6EEE">
      <w:pPr>
        <w:ind w:left="2880" w:hanging="720"/>
        <w:rPr>
          <w:rFonts w:eastAsia="Calibri"/>
        </w:rPr>
      </w:pPr>
      <w:r w:rsidRPr="003B4362">
        <w:rPr>
          <w:rFonts w:eastAsia="Calibri"/>
        </w:rPr>
        <w:t>A)</w:t>
      </w:r>
      <w:r w:rsidRPr="003B4362">
        <w:rPr>
          <w:rFonts w:eastAsia="Calibri"/>
        </w:rPr>
        <w:tab/>
        <w:t>A supplier must collect each follow-up first-draw tap sample from the same sampling site where the previous samples originated.</w:t>
      </w:r>
    </w:p>
    <w:p w14:paraId="3C5CCEC9" w14:textId="77777777" w:rsidR="001B6EEE" w:rsidRDefault="001B6EEE" w:rsidP="001B6EEE">
      <w:pPr>
        <w:ind w:left="2880" w:hanging="720"/>
        <w:rPr>
          <w:rFonts w:eastAsia="Calibri"/>
        </w:rPr>
      </w:pPr>
    </w:p>
    <w:p w14:paraId="5ACF08D2" w14:textId="2111A111" w:rsidR="00B50A91" w:rsidRPr="003B4362" w:rsidRDefault="00B50A91" w:rsidP="001B6EEE">
      <w:pPr>
        <w:ind w:left="2880" w:hanging="720"/>
        <w:rPr>
          <w:rFonts w:eastAsia="Calibri"/>
        </w:rPr>
      </w:pPr>
      <w:r w:rsidRPr="003B4362">
        <w:rPr>
          <w:rFonts w:eastAsia="Calibri"/>
        </w:rPr>
        <w:t>B)</w:t>
      </w:r>
      <w:r w:rsidRPr="003B4362">
        <w:rPr>
          <w:rFonts w:eastAsia="Calibri"/>
        </w:rPr>
        <w:tab/>
        <w:t>If, for any reason, the supplier cannot access a sampling site to collect a follow-up tap sample, the supplier may collect the follow-up tap sample from another sampling site in its sampling pool, as long as the new site meets the same targeting criteria and is within reasonable proximity of the original site.</w:t>
      </w:r>
    </w:p>
    <w:p w14:paraId="74151088" w14:textId="77777777" w:rsidR="001B6EEE" w:rsidRDefault="001B6EEE" w:rsidP="001B6EEE">
      <w:pPr>
        <w:ind w:left="2160" w:hanging="720"/>
        <w:rPr>
          <w:rFonts w:eastAsia="Calibri"/>
        </w:rPr>
      </w:pPr>
    </w:p>
    <w:p w14:paraId="53923B67" w14:textId="4F75C50B" w:rsidR="00B50A91" w:rsidRPr="003B4362" w:rsidRDefault="00B50A91" w:rsidP="001B6EEE">
      <w:pPr>
        <w:ind w:left="2160" w:hanging="720"/>
        <w:rPr>
          <w:rFonts w:eastAsia="Calibri"/>
        </w:rPr>
      </w:pPr>
      <w:r w:rsidRPr="003B4362">
        <w:rPr>
          <w:rFonts w:eastAsia="Calibri"/>
        </w:rPr>
        <w:t>5)</w:t>
      </w:r>
      <w:r w:rsidRPr="003B4362">
        <w:rPr>
          <w:rFonts w:eastAsia="Calibri"/>
        </w:rPr>
        <w:tab/>
      </w:r>
      <w:bookmarkStart w:id="4546" w:name="_Hlk121949280"/>
      <w:r w:rsidRPr="003B4362">
        <w:rPr>
          <w:rFonts w:eastAsia="Calibri"/>
        </w:rPr>
        <w:t xml:space="preserve">Substitute Non-First-Draw </w:t>
      </w:r>
      <w:r w:rsidR="00FF7442" w:rsidRPr="003B4362">
        <w:rPr>
          <w:rFonts w:eastAsia="Calibri"/>
        </w:rPr>
        <w:t xml:space="preserve">Tap </w:t>
      </w:r>
      <w:r w:rsidRPr="003B4362">
        <w:rPr>
          <w:rFonts w:eastAsia="Calibri"/>
        </w:rPr>
        <w:t>Samples</w:t>
      </w:r>
      <w:bookmarkEnd w:id="4546"/>
    </w:p>
    <w:p w14:paraId="0C5D1B7D" w14:textId="77777777" w:rsidR="001B6EEE" w:rsidRDefault="001B6EEE" w:rsidP="001B6EEE">
      <w:pPr>
        <w:ind w:left="2880" w:hanging="720"/>
        <w:rPr>
          <w:rFonts w:eastAsia="Calibri"/>
        </w:rPr>
      </w:pPr>
    </w:p>
    <w:p w14:paraId="2BFDB377" w14:textId="672833EE" w:rsidR="00B50A91" w:rsidRPr="003B4362" w:rsidRDefault="00B50A91" w:rsidP="001B6EEE">
      <w:pPr>
        <w:ind w:left="2880" w:hanging="720"/>
        <w:rPr>
          <w:rFonts w:eastAsia="Calibri"/>
        </w:rPr>
      </w:pPr>
      <w:r w:rsidRPr="003B4362">
        <w:rPr>
          <w:rFonts w:eastAsia="Calibri"/>
        </w:rPr>
        <w:t>A)</w:t>
      </w:r>
      <w:r w:rsidRPr="003B4362">
        <w:rPr>
          <w:rFonts w:eastAsia="Calibri"/>
        </w:rPr>
        <w:tab/>
        <w:t xml:space="preserve">A NTNCWS supplier or a CWS supplier meeting the criteria in Sections 611.1355(b)(7)(A) and (b)(7)(B) not having enough taps for first-draw </w:t>
      </w:r>
      <w:r w:rsidR="00FF7442" w:rsidRPr="003B4362">
        <w:rPr>
          <w:rFonts w:eastAsia="Calibri"/>
        </w:rPr>
        <w:t xml:space="preserve">tap </w:t>
      </w:r>
      <w:r w:rsidRPr="003B4362">
        <w:rPr>
          <w:rFonts w:eastAsia="Calibri"/>
        </w:rPr>
        <w:t xml:space="preserve">samples, as Section 611.102 defines the term, may apply to the Agency in writing for a SEP allowing the supplier to substitute non-first-draw </w:t>
      </w:r>
      <w:r w:rsidR="00FF7442" w:rsidRPr="003B4362">
        <w:rPr>
          <w:rFonts w:eastAsia="Calibri"/>
        </w:rPr>
        <w:t xml:space="preserve">tap </w:t>
      </w:r>
      <w:r w:rsidRPr="003B4362">
        <w:rPr>
          <w:rFonts w:eastAsia="Calibri"/>
        </w:rPr>
        <w:t>samples.</w:t>
      </w:r>
    </w:p>
    <w:p w14:paraId="37169DB7" w14:textId="77777777" w:rsidR="001B6EEE" w:rsidRDefault="001B6EEE" w:rsidP="001B6EEE">
      <w:pPr>
        <w:ind w:left="2880" w:hanging="720"/>
        <w:rPr>
          <w:rFonts w:eastAsia="Calibri"/>
        </w:rPr>
      </w:pPr>
    </w:p>
    <w:p w14:paraId="3EDA95ED" w14:textId="6AF43EB5" w:rsidR="00B50A91" w:rsidRPr="003B4362" w:rsidRDefault="00B50A91" w:rsidP="001B6EEE">
      <w:pPr>
        <w:ind w:left="2880" w:hanging="720"/>
        <w:rPr>
          <w:rFonts w:eastAsia="Calibri"/>
        </w:rPr>
      </w:pPr>
      <w:r w:rsidRPr="003B4362">
        <w:rPr>
          <w:rFonts w:eastAsia="Calibri"/>
        </w:rPr>
        <w:t>B)</w:t>
      </w:r>
      <w:r w:rsidRPr="003B4362">
        <w:rPr>
          <w:rFonts w:eastAsia="Calibri"/>
        </w:rPr>
        <w:tab/>
        <w:t xml:space="preserve">A supplier approved to substitute </w:t>
      </w:r>
      <w:bookmarkStart w:id="4547" w:name="_Hlk121949597"/>
      <w:r w:rsidRPr="003B4362">
        <w:rPr>
          <w:rFonts w:eastAsia="Calibri"/>
        </w:rPr>
        <w:t xml:space="preserve">non-first-draw </w:t>
      </w:r>
      <w:r w:rsidR="00FF7442" w:rsidRPr="003B4362">
        <w:rPr>
          <w:rFonts w:eastAsia="Calibri"/>
        </w:rPr>
        <w:t xml:space="preserve">tap </w:t>
      </w:r>
      <w:r w:rsidRPr="003B4362">
        <w:rPr>
          <w:rFonts w:eastAsia="Calibri"/>
        </w:rPr>
        <w:t>samples</w:t>
      </w:r>
      <w:bookmarkEnd w:id="4547"/>
      <w:r w:rsidRPr="003B4362">
        <w:rPr>
          <w:rFonts w:eastAsia="Calibri"/>
        </w:rPr>
        <w:t xml:space="preserve"> must collect as many </w:t>
      </w:r>
      <w:bookmarkStart w:id="4548" w:name="_Hlk121949648"/>
      <w:r w:rsidRPr="003B4362">
        <w:rPr>
          <w:rFonts w:eastAsia="Calibri"/>
        </w:rPr>
        <w:t xml:space="preserve">first-draw </w:t>
      </w:r>
      <w:r w:rsidR="00FF7442" w:rsidRPr="003B4362">
        <w:rPr>
          <w:rFonts w:eastAsia="Calibri"/>
        </w:rPr>
        <w:t xml:space="preserve">tap </w:t>
      </w:r>
      <w:r w:rsidRPr="003B4362">
        <w:rPr>
          <w:rFonts w:eastAsia="Calibri"/>
        </w:rPr>
        <w:t>samples</w:t>
      </w:r>
      <w:bookmarkEnd w:id="4548"/>
      <w:r w:rsidRPr="003B4362">
        <w:rPr>
          <w:rFonts w:eastAsia="Calibri"/>
        </w:rPr>
        <w:t xml:space="preserve"> from appropriate taps as possible and identify sampling times and locations that likely give the longest standing time for the remaining sites.</w:t>
      </w:r>
    </w:p>
    <w:p w14:paraId="07AF1B23" w14:textId="77777777" w:rsidR="001B6EEE" w:rsidRDefault="001B6EEE" w:rsidP="001B6EEE">
      <w:pPr>
        <w:ind w:left="2880" w:hanging="720"/>
        <w:rPr>
          <w:rFonts w:eastAsia="Calibri"/>
        </w:rPr>
      </w:pPr>
    </w:p>
    <w:p w14:paraId="62B679B1" w14:textId="79AD47F9" w:rsidR="00B50A91" w:rsidRPr="003B4362" w:rsidRDefault="00B50A91" w:rsidP="001B6EEE">
      <w:pPr>
        <w:ind w:left="2880" w:hanging="720"/>
        <w:rPr>
          <w:rFonts w:eastAsia="Calibri"/>
        </w:rPr>
      </w:pPr>
      <w:r w:rsidRPr="003B4362">
        <w:rPr>
          <w:rFonts w:eastAsia="Calibri"/>
        </w:rPr>
        <w:t>C)</w:t>
      </w:r>
      <w:r w:rsidRPr="003B4362">
        <w:rPr>
          <w:rFonts w:eastAsia="Calibri"/>
        </w:rPr>
        <w:tab/>
        <w:t>The Agency may grant a SEP waiving the requirement for prior Agency approval of a supplier’s chosen non-first-draw sampling sites.</w:t>
      </w:r>
    </w:p>
    <w:p w14:paraId="11E72455" w14:textId="77777777" w:rsidR="001B6EEE" w:rsidRDefault="001B6EEE" w:rsidP="001B6EEE">
      <w:pPr>
        <w:ind w:left="1440" w:hanging="720"/>
        <w:rPr>
          <w:rFonts w:eastAsia="Calibri"/>
        </w:rPr>
      </w:pPr>
    </w:p>
    <w:p w14:paraId="0D6757EA" w14:textId="63B0D4F8" w:rsidR="00B50A91" w:rsidRPr="003B4362" w:rsidRDefault="00B50A91" w:rsidP="001B6EEE">
      <w:pPr>
        <w:ind w:left="1440" w:hanging="720"/>
        <w:rPr>
          <w:rFonts w:eastAsia="Calibri"/>
        </w:rPr>
      </w:pPr>
      <w:r w:rsidRPr="003B4362">
        <w:rPr>
          <w:rFonts w:eastAsia="Calibri"/>
        </w:rPr>
        <w:lastRenderedPageBreak/>
        <w:t>c)</w:t>
      </w:r>
      <w:r w:rsidRPr="003B4362">
        <w:rPr>
          <w:rFonts w:eastAsia="Calibri"/>
        </w:rPr>
        <w:tab/>
        <w:t>Number of Samples</w:t>
      </w:r>
    </w:p>
    <w:p w14:paraId="4DA4FF16" w14:textId="77777777" w:rsidR="001B6EEE" w:rsidRDefault="001B6EEE" w:rsidP="001B6EEE">
      <w:pPr>
        <w:ind w:left="2160" w:hanging="720"/>
        <w:rPr>
          <w:rFonts w:eastAsia="Calibri"/>
        </w:rPr>
      </w:pPr>
    </w:p>
    <w:p w14:paraId="50A472F7" w14:textId="6B699C7B" w:rsidR="00B50A91" w:rsidRPr="003B4362" w:rsidRDefault="00B50A91" w:rsidP="001B6EEE">
      <w:pPr>
        <w:ind w:left="2160" w:hanging="720"/>
        <w:rPr>
          <w:rFonts w:eastAsia="Calibri"/>
        </w:rPr>
      </w:pPr>
      <w:r w:rsidRPr="003B4362">
        <w:rPr>
          <w:rFonts w:eastAsia="Calibri"/>
        </w:rPr>
        <w:t>1)</w:t>
      </w:r>
      <w:r w:rsidRPr="003B4362">
        <w:rPr>
          <w:rFonts w:eastAsia="Calibri"/>
        </w:rPr>
        <w:tab/>
        <w:t>A supplier must collect at least one sample each from the number of sites in the first column of Table D (labelled “standard monitoring”) during each six-month monitoring period subsection (d) specifies.</w:t>
      </w:r>
    </w:p>
    <w:p w14:paraId="5FA1CAAB" w14:textId="77777777" w:rsidR="001B6EEE" w:rsidRDefault="001B6EEE" w:rsidP="001B6EEE">
      <w:pPr>
        <w:ind w:left="2160" w:hanging="720"/>
        <w:rPr>
          <w:rFonts w:eastAsia="Calibri"/>
        </w:rPr>
      </w:pPr>
    </w:p>
    <w:p w14:paraId="4FDB4818" w14:textId="4DDAD81E" w:rsidR="00B50A91" w:rsidRPr="003B4362" w:rsidRDefault="00B50A91" w:rsidP="001B6EEE">
      <w:pPr>
        <w:ind w:left="2160" w:hanging="720"/>
        <w:rPr>
          <w:rFonts w:eastAsia="Calibri"/>
        </w:rPr>
      </w:pPr>
      <w:r w:rsidRPr="003B4362">
        <w:rPr>
          <w:rFonts w:eastAsia="Calibri"/>
        </w:rPr>
        <w:t>2)</w:t>
      </w:r>
      <w:r w:rsidRPr="003B4362">
        <w:rPr>
          <w:rFonts w:eastAsia="Calibri"/>
        </w:rPr>
        <w:tab/>
        <w:t>A supplier conducting reduced monitoring under subsection (d)(4) must collect one sample each from the number of sites in the second column of Table D (labelled “reduced monitoring”) during each reduced monitoring period subsection (d)(4) specifies.  The reduced monitoring sites must represent the sites standard monitoring requires.  A supplier whose system has fewer than five drinking water taps capable of use for human consumption that meet the sampling site criteria of subsection (a) must collect multiple samples from individual taps to reach the required number of sampling sites Table D requires.  To accomplish this, the supplier must collect at least one sample from each tap, then additional samples from those taps on different days during the monitoring period, to collect a total number of samples meeting the required number of sampling sites.  Alternatively, the Agency may issue a SEP allowing the supplier whose system has fewer than five drinking water taps to collect a number of samples that is fewer than the number of sites this subsection (c) specifies if the Agency determines that the supplier samples 100 percent of all taps capable of use for human consumption and that the reduced number of samples will produce the same results as collecting multiple samples from some taps.  The Agency must base any approval of reducing the minimum number of samples on a request from the supplier or Agency on on-site verification.  The Agency may specify sampling locations in a SEP when a system conducts reduced monitoring.</w:t>
      </w:r>
    </w:p>
    <w:p w14:paraId="6CB8791F" w14:textId="77777777" w:rsidR="001B6EEE" w:rsidRDefault="001B6EEE" w:rsidP="001B6EEE">
      <w:pPr>
        <w:ind w:left="1440" w:hanging="720"/>
        <w:rPr>
          <w:rFonts w:eastAsia="Calibri"/>
        </w:rPr>
      </w:pPr>
    </w:p>
    <w:p w14:paraId="2A699CCF" w14:textId="5CE8DECE" w:rsidR="00B50A91" w:rsidRPr="003B4362" w:rsidRDefault="00B50A91" w:rsidP="001B6EEE">
      <w:pPr>
        <w:ind w:left="1440" w:hanging="720"/>
        <w:rPr>
          <w:rFonts w:eastAsia="Calibri"/>
        </w:rPr>
      </w:pPr>
      <w:r w:rsidRPr="003B4362">
        <w:rPr>
          <w:rFonts w:eastAsia="Calibri"/>
        </w:rPr>
        <w:t>d)</w:t>
      </w:r>
      <w:r w:rsidRPr="003B4362">
        <w:rPr>
          <w:rFonts w:eastAsia="Calibri"/>
        </w:rPr>
        <w:tab/>
        <w:t>Timing of Monitoring</w:t>
      </w:r>
    </w:p>
    <w:p w14:paraId="63A79F2F" w14:textId="77777777" w:rsidR="001B6EEE" w:rsidRDefault="001B6EEE" w:rsidP="001B6EEE">
      <w:pPr>
        <w:ind w:left="2160" w:hanging="720"/>
        <w:rPr>
          <w:rFonts w:eastAsia="Calibri"/>
        </w:rPr>
      </w:pPr>
    </w:p>
    <w:p w14:paraId="30B16DBE" w14:textId="7C0B96DD" w:rsidR="00B50A91" w:rsidRPr="003B4362" w:rsidRDefault="00B50A91" w:rsidP="001B6EEE">
      <w:pPr>
        <w:ind w:left="2160" w:hanging="720"/>
        <w:rPr>
          <w:rFonts w:eastAsia="Calibri"/>
        </w:rPr>
      </w:pPr>
      <w:r w:rsidRPr="003B4362">
        <w:rPr>
          <w:rFonts w:eastAsia="Calibri"/>
        </w:rPr>
        <w:t>1)</w:t>
      </w:r>
      <w:r w:rsidRPr="003B4362">
        <w:rPr>
          <w:rFonts w:eastAsia="Calibri"/>
        </w:rPr>
        <w:tab/>
        <w:t>Six-Month Sampling Periods.  Six-month sampling periods begin on January 1 and July 1 of each year.</w:t>
      </w:r>
    </w:p>
    <w:p w14:paraId="072377F5" w14:textId="77777777" w:rsidR="001B6EEE" w:rsidRDefault="001B6EEE" w:rsidP="001B6EEE">
      <w:pPr>
        <w:ind w:left="2880" w:hanging="720"/>
        <w:rPr>
          <w:rFonts w:eastAsia="Calibri"/>
        </w:rPr>
      </w:pPr>
    </w:p>
    <w:p w14:paraId="21CBE2E0" w14:textId="3092B481" w:rsidR="00B50A91" w:rsidRPr="003B4362" w:rsidRDefault="00B50A91" w:rsidP="001B6EEE">
      <w:pPr>
        <w:ind w:left="2880" w:hanging="720"/>
        <w:rPr>
          <w:rFonts w:eastAsia="Calibri"/>
        </w:rPr>
      </w:pPr>
      <w:r w:rsidRPr="003B4362">
        <w:rPr>
          <w:rFonts w:eastAsia="Calibri"/>
        </w:rPr>
        <w:t>A)</w:t>
      </w:r>
      <w:r w:rsidRPr="003B4362">
        <w:rPr>
          <w:rFonts w:eastAsia="Calibri"/>
        </w:rPr>
        <w:tab/>
        <w:t>A large system must monitor during each consecutive six-month period, except as subsection (d)(4)(B) provides otherwise.</w:t>
      </w:r>
    </w:p>
    <w:p w14:paraId="642BF53C" w14:textId="77777777" w:rsidR="001B6EEE" w:rsidRDefault="001B6EEE" w:rsidP="001B6EEE">
      <w:pPr>
        <w:ind w:left="2880" w:hanging="720"/>
        <w:rPr>
          <w:rFonts w:eastAsia="Calibri"/>
        </w:rPr>
      </w:pPr>
    </w:p>
    <w:p w14:paraId="25CB5E7A" w14:textId="76BDA33B" w:rsidR="00B50A91" w:rsidRPr="003B4362" w:rsidRDefault="00B50A91" w:rsidP="001B6EEE">
      <w:pPr>
        <w:ind w:left="2880" w:hanging="720"/>
        <w:rPr>
          <w:rFonts w:eastAsia="Calibri"/>
        </w:rPr>
      </w:pPr>
      <w:r w:rsidRPr="003B4362">
        <w:rPr>
          <w:rFonts w:eastAsia="Calibri"/>
        </w:rPr>
        <w:t>B)</w:t>
      </w:r>
      <w:r w:rsidRPr="003B4362">
        <w:rPr>
          <w:rFonts w:eastAsia="Calibri"/>
        </w:rPr>
        <w:tab/>
        <w:t>A small or medium-sized system must monitor during each consecutive six-month monitoring period until either of two occurrences:</w:t>
      </w:r>
    </w:p>
    <w:p w14:paraId="169928EC" w14:textId="77777777" w:rsidR="001B6EEE" w:rsidRDefault="001B6EEE" w:rsidP="001B6EEE">
      <w:pPr>
        <w:ind w:left="3600" w:hanging="720"/>
        <w:rPr>
          <w:rFonts w:eastAsia="Calibri"/>
        </w:rPr>
      </w:pPr>
    </w:p>
    <w:p w14:paraId="05F44385" w14:textId="056BE0BB" w:rsidR="00B50A91" w:rsidRPr="003B4362" w:rsidRDefault="00B50A91" w:rsidP="001B6EEE">
      <w:pPr>
        <w:ind w:left="3600" w:hanging="720"/>
        <w:rPr>
          <w:rFonts w:eastAsia="Calibri"/>
        </w:rPr>
      </w:pPr>
      <w:r w:rsidRPr="003B4362">
        <w:rPr>
          <w:rFonts w:eastAsia="Calibri"/>
        </w:rPr>
        <w:t>i)</w:t>
      </w:r>
      <w:r w:rsidRPr="003B4362">
        <w:rPr>
          <w:rFonts w:eastAsia="Calibri"/>
        </w:rPr>
        <w:tab/>
        <w:t>The supplier exceeds the lead or copper action level and must, therefore, implement the corrosion control treatment requirements under Section 611.1351 and continue monitoring under subsection (d)(2);</w:t>
      </w:r>
      <w:r w:rsidRPr="003B4362">
        <w:rPr>
          <w:rFonts w:eastAsia="Calibri"/>
          <w:spacing w:val="-3"/>
        </w:rPr>
        <w:t xml:space="preserve"> or</w:t>
      </w:r>
    </w:p>
    <w:p w14:paraId="4912A4AF" w14:textId="77777777" w:rsidR="001B6EEE" w:rsidRDefault="001B6EEE" w:rsidP="001B6EEE">
      <w:pPr>
        <w:ind w:left="3600" w:hanging="720"/>
        <w:rPr>
          <w:rFonts w:eastAsia="Calibri"/>
        </w:rPr>
      </w:pPr>
    </w:p>
    <w:p w14:paraId="06CEE697" w14:textId="0CC3A80D" w:rsidR="00B50A91" w:rsidRPr="003B4362" w:rsidRDefault="00B50A91" w:rsidP="001B6EEE">
      <w:pPr>
        <w:ind w:left="3600" w:hanging="720"/>
        <w:rPr>
          <w:rFonts w:eastAsia="Calibri"/>
        </w:rPr>
      </w:pPr>
      <w:r w:rsidRPr="003B4362">
        <w:rPr>
          <w:rFonts w:eastAsia="Calibri"/>
        </w:rPr>
        <w:t>ii)</w:t>
      </w:r>
      <w:r w:rsidRPr="003B4362">
        <w:rPr>
          <w:rFonts w:eastAsia="Calibri"/>
        </w:rPr>
        <w:tab/>
        <w:t>The supplier meets the lead and copper action levels during each of two consecutive six-month monitoring periods, which allows the supplier to reduce monitoring under subsection (d)(4).</w:t>
      </w:r>
    </w:p>
    <w:p w14:paraId="423971CE" w14:textId="77777777" w:rsidR="001B6EEE" w:rsidRDefault="001B6EEE" w:rsidP="001B6EEE">
      <w:pPr>
        <w:ind w:left="2160" w:hanging="720"/>
        <w:rPr>
          <w:rFonts w:eastAsia="Calibri"/>
        </w:rPr>
      </w:pPr>
    </w:p>
    <w:p w14:paraId="4A70D4D8" w14:textId="6B449C9F" w:rsidR="00B50A91" w:rsidRPr="003B4362" w:rsidRDefault="00B50A91" w:rsidP="001B6EEE">
      <w:pPr>
        <w:ind w:left="2160" w:hanging="720"/>
        <w:rPr>
          <w:rFonts w:eastAsia="Calibri"/>
        </w:rPr>
      </w:pPr>
      <w:r w:rsidRPr="003B4362">
        <w:rPr>
          <w:rFonts w:eastAsia="Calibri"/>
        </w:rPr>
        <w:t>2)</w:t>
      </w:r>
      <w:r w:rsidRPr="003B4362">
        <w:rPr>
          <w:rFonts w:eastAsia="Calibri"/>
        </w:rPr>
        <w:tab/>
        <w:t>Monitoring after Installation of Corrosion Control and Source Water Treatment</w:t>
      </w:r>
    </w:p>
    <w:p w14:paraId="2AC5F337" w14:textId="77777777" w:rsidR="001B6EEE" w:rsidRDefault="001B6EEE" w:rsidP="001B6EEE">
      <w:pPr>
        <w:ind w:left="2880" w:hanging="720"/>
        <w:rPr>
          <w:rFonts w:eastAsia="Calibri"/>
        </w:rPr>
      </w:pPr>
    </w:p>
    <w:p w14:paraId="65A23FD4" w14:textId="30CFB0FF" w:rsidR="00B50A91" w:rsidRPr="003B4362" w:rsidRDefault="00B50A91" w:rsidP="001B6EEE">
      <w:pPr>
        <w:ind w:left="2880" w:hanging="720"/>
        <w:rPr>
          <w:rFonts w:eastAsia="Calibri"/>
        </w:rPr>
      </w:pPr>
      <w:r w:rsidRPr="003B4362">
        <w:rPr>
          <w:rFonts w:eastAsia="Calibri"/>
        </w:rPr>
        <w:t>A)</w:t>
      </w:r>
      <w:r w:rsidRPr="003B4362">
        <w:rPr>
          <w:rFonts w:eastAsia="Calibri"/>
        </w:rPr>
        <w:tab/>
        <w:t>Any large system supplier installing optimal corrosion control treatment under Section 611.1351(d)(4) must monitor during two consecutive six-month monitoring periods.</w:t>
      </w:r>
    </w:p>
    <w:p w14:paraId="17FBC805" w14:textId="77777777" w:rsidR="001B6EEE" w:rsidRDefault="001B6EEE" w:rsidP="001B6EEE">
      <w:pPr>
        <w:ind w:left="2880" w:hanging="720"/>
        <w:rPr>
          <w:rFonts w:eastAsia="Calibri"/>
        </w:rPr>
      </w:pPr>
    </w:p>
    <w:p w14:paraId="1C778E4C" w14:textId="071050E3" w:rsidR="00B50A91" w:rsidRPr="003B4362" w:rsidRDefault="00B50A91" w:rsidP="001B6EEE">
      <w:pPr>
        <w:ind w:left="2880" w:hanging="720"/>
        <w:rPr>
          <w:rFonts w:eastAsia="Calibri"/>
        </w:rPr>
      </w:pPr>
      <w:r w:rsidRPr="003B4362">
        <w:rPr>
          <w:rFonts w:eastAsia="Calibri"/>
        </w:rPr>
        <w:t>B)</w:t>
      </w:r>
      <w:r w:rsidRPr="003B4362">
        <w:rPr>
          <w:rFonts w:eastAsia="Calibri"/>
        </w:rPr>
        <w:tab/>
        <w:t>Any small or medium-sized system supplier installing optimal corrosion control treatment under Section 611.1351(e)(5) must monitor during two consecutive six-month monitoring periods within 36 months after the Agency approves optimal corrosion control treatment, as Section 611.1351(e)(6) specifies.</w:t>
      </w:r>
    </w:p>
    <w:p w14:paraId="5D36DFFC" w14:textId="77777777" w:rsidR="001B6EEE" w:rsidRDefault="001B6EEE" w:rsidP="001B6EEE">
      <w:pPr>
        <w:ind w:left="2880" w:hanging="720"/>
        <w:rPr>
          <w:rFonts w:eastAsia="Calibri"/>
        </w:rPr>
      </w:pPr>
    </w:p>
    <w:p w14:paraId="319AAAC3" w14:textId="31351A18" w:rsidR="00B50A91" w:rsidRPr="003B4362" w:rsidRDefault="00B50A91" w:rsidP="001B6EEE">
      <w:pPr>
        <w:ind w:left="2880" w:hanging="720"/>
        <w:rPr>
          <w:rFonts w:eastAsia="Calibri"/>
        </w:rPr>
      </w:pPr>
      <w:r w:rsidRPr="003B4362">
        <w:rPr>
          <w:rFonts w:eastAsia="Calibri"/>
        </w:rPr>
        <w:t>C)</w:t>
      </w:r>
      <w:r w:rsidRPr="003B4362">
        <w:rPr>
          <w:rFonts w:eastAsia="Calibri"/>
        </w:rPr>
        <w:tab/>
        <w:t>Any supplier installing source water treatment under Section 611.1353(a)(3) must monitor during two consecutive six-month monitoring periods within 36 months after completing step 2, as Section 611.1353(a)(4) specifies.</w:t>
      </w:r>
    </w:p>
    <w:p w14:paraId="179558D3" w14:textId="77777777" w:rsidR="001B6EEE" w:rsidRDefault="001B6EEE" w:rsidP="001B6EEE">
      <w:pPr>
        <w:ind w:left="2160" w:hanging="720"/>
        <w:rPr>
          <w:rFonts w:eastAsia="Calibri"/>
        </w:rPr>
      </w:pPr>
    </w:p>
    <w:p w14:paraId="1595DAAD" w14:textId="1D3BBB83" w:rsidR="00B50A91" w:rsidRPr="003B4362" w:rsidRDefault="00B50A91" w:rsidP="001B6EEE">
      <w:pPr>
        <w:ind w:left="2160" w:hanging="720"/>
        <w:rPr>
          <w:rFonts w:eastAsia="Calibri"/>
        </w:rPr>
      </w:pPr>
      <w:r w:rsidRPr="003B4362">
        <w:rPr>
          <w:rFonts w:eastAsia="Calibri"/>
        </w:rPr>
        <w:t>3)</w:t>
      </w:r>
      <w:r w:rsidRPr="003B4362">
        <w:rPr>
          <w:rFonts w:eastAsia="Calibri"/>
        </w:rPr>
        <w:tab/>
        <w:t>Monitoring after the Agency Specifies Water Quality Parameter Values for Optimal Corrosion Control.  After the Agency specifies the values for water quality control parameters under Section 611.1352(f), the supplier must monitor during each subsequent six-month monitoring period, with the first six-month monitoring period beginning on the date the Agency specifies the optimal values.</w:t>
      </w:r>
    </w:p>
    <w:p w14:paraId="7D271EEF" w14:textId="77777777" w:rsidR="001B6EEE" w:rsidRDefault="001B6EEE" w:rsidP="001B6EEE">
      <w:pPr>
        <w:ind w:left="2160" w:hanging="720"/>
        <w:rPr>
          <w:rFonts w:eastAsia="Calibri"/>
        </w:rPr>
      </w:pPr>
    </w:p>
    <w:p w14:paraId="30F2DE8A" w14:textId="577D4E06" w:rsidR="00B50A91" w:rsidRPr="003B4362" w:rsidRDefault="00B50A91" w:rsidP="001B6EEE">
      <w:pPr>
        <w:ind w:left="2160" w:hanging="720"/>
        <w:rPr>
          <w:rFonts w:eastAsia="Calibri"/>
        </w:rPr>
      </w:pPr>
      <w:r w:rsidRPr="003B4362">
        <w:rPr>
          <w:rFonts w:eastAsia="Calibri"/>
        </w:rPr>
        <w:t>4)</w:t>
      </w:r>
      <w:r w:rsidRPr="003B4362">
        <w:rPr>
          <w:rFonts w:eastAsia="Calibri"/>
        </w:rPr>
        <w:tab/>
        <w:t>Reduced Monitoring</w:t>
      </w:r>
    </w:p>
    <w:p w14:paraId="3E3CC0DD" w14:textId="77777777" w:rsidR="001B6EEE" w:rsidRDefault="001B6EEE" w:rsidP="001B6EEE">
      <w:pPr>
        <w:ind w:left="2880" w:hanging="720"/>
        <w:rPr>
          <w:rFonts w:eastAsia="Calibri"/>
        </w:rPr>
      </w:pPr>
    </w:p>
    <w:p w14:paraId="705016BE" w14:textId="60DAA019" w:rsidR="00B50A91" w:rsidRPr="003B4362" w:rsidRDefault="00B50A91" w:rsidP="001B6EEE">
      <w:pPr>
        <w:ind w:left="2880" w:hanging="720"/>
        <w:rPr>
          <w:rFonts w:eastAsia="Calibri"/>
        </w:rPr>
      </w:pPr>
      <w:r w:rsidRPr="003B4362">
        <w:rPr>
          <w:rFonts w:eastAsia="Calibri"/>
        </w:rPr>
        <w:t>A)</w:t>
      </w:r>
      <w:r w:rsidRPr="003B4362">
        <w:rPr>
          <w:rFonts w:eastAsia="Calibri"/>
        </w:rPr>
        <w:tab/>
        <w:t xml:space="preserve">Reducing to Annual Monitoring for Small and Medium-Sized System Suppliers Meeting the Lead and Copper Action Levels.  A small or medium-sized system supplier meeting the lead and copper action levels during each of two consecutive six-month monitoring periods may reduce the number of samples under subsection (c) and sampling frequency to once per year.  A small or medium-sized system supplier collecting fewer than five samples as subsection (c) specifies and meeting the lead and copper action levels during each of two consecutive six-month monitoring periods may reduce its frequency of sampling to once per year.  In no instance may the supplier reduce the number of samples below the minimum of one sample per available tap.  The </w:t>
      </w:r>
      <w:r w:rsidRPr="003B4362">
        <w:rPr>
          <w:rFonts w:eastAsia="Calibri"/>
        </w:rPr>
        <w:lastRenderedPageBreak/>
        <w:t>supplier may begin this reduced sampling only during the calendar year immediately following the end of the second consecutive six-month monitoring period.</w:t>
      </w:r>
    </w:p>
    <w:p w14:paraId="4543D295" w14:textId="77777777" w:rsidR="001B6EEE" w:rsidRDefault="001B6EEE" w:rsidP="001B6EEE">
      <w:pPr>
        <w:ind w:left="2880" w:hanging="720"/>
        <w:rPr>
          <w:rFonts w:eastAsia="Calibri"/>
        </w:rPr>
      </w:pPr>
    </w:p>
    <w:p w14:paraId="4B856338" w14:textId="3BBFB9B3" w:rsidR="00B50A91" w:rsidRPr="003B4362" w:rsidRDefault="00B50A91" w:rsidP="001B6EEE">
      <w:pPr>
        <w:ind w:left="2880" w:hanging="720"/>
        <w:rPr>
          <w:rFonts w:eastAsia="Calibri"/>
        </w:rPr>
      </w:pPr>
      <w:r w:rsidRPr="003B4362">
        <w:rPr>
          <w:rFonts w:eastAsia="Calibri"/>
        </w:rPr>
        <w:t>B)</w:t>
      </w:r>
      <w:r w:rsidRPr="003B4362">
        <w:rPr>
          <w:rFonts w:eastAsia="Calibri"/>
        </w:rPr>
        <w:tab/>
        <w:t>SEP Allowing Reduction to Annual Monitoring for Suppliers Maintaining Water Quality Control Parameters</w:t>
      </w:r>
    </w:p>
    <w:p w14:paraId="5067687C" w14:textId="77777777" w:rsidR="001B6EEE" w:rsidRDefault="001B6EEE" w:rsidP="001B6EEE">
      <w:pPr>
        <w:ind w:left="3600" w:hanging="720"/>
        <w:rPr>
          <w:rFonts w:eastAsia="Calibri"/>
        </w:rPr>
      </w:pPr>
    </w:p>
    <w:p w14:paraId="573C4045" w14:textId="55F26DB4" w:rsidR="00B50A91" w:rsidRPr="003B4362" w:rsidRDefault="00B50A91" w:rsidP="001B6EEE">
      <w:pPr>
        <w:ind w:left="3600" w:hanging="720"/>
        <w:rPr>
          <w:rFonts w:eastAsia="Calibri"/>
        </w:rPr>
      </w:pPr>
      <w:r w:rsidRPr="003B4362">
        <w:rPr>
          <w:rFonts w:eastAsia="Calibri"/>
        </w:rPr>
        <w:t>i)</w:t>
      </w:r>
      <w:r w:rsidRPr="003B4362">
        <w:rPr>
          <w:rFonts w:eastAsia="Calibri"/>
        </w:rPr>
        <w:tab/>
        <w:t>The Agency may issue a SEP allowing a supplier meeting the lead action level and maintaining the range of values for water quality control parameters reflecting optimal corrosion control treatment that the Agency specifies under Section 611.1352(f) during each of two consecutive six-month monitoring periods to reduce its monitoring frequency to once per year and its number of lead and copper samples to that subsection (c) specifies.  This reduced sampling may only begin during the calendar year immediately following the end of the second consecutive six-month monitoring period.</w:t>
      </w:r>
    </w:p>
    <w:p w14:paraId="2F3467AB" w14:textId="77777777" w:rsidR="001B6EEE" w:rsidRDefault="001B6EEE" w:rsidP="001B6EEE">
      <w:pPr>
        <w:ind w:left="3600" w:hanging="720"/>
        <w:rPr>
          <w:rFonts w:eastAsia="Calibri"/>
        </w:rPr>
      </w:pPr>
    </w:p>
    <w:p w14:paraId="3D7A8A9B" w14:textId="2A202B93" w:rsidR="00B50A91" w:rsidRPr="003B4362" w:rsidRDefault="00B50A91" w:rsidP="001B6EEE">
      <w:pPr>
        <w:ind w:left="3600" w:hanging="720"/>
        <w:rPr>
          <w:rFonts w:eastAsia="Calibri"/>
        </w:rPr>
      </w:pPr>
      <w:r w:rsidRPr="003B4362">
        <w:rPr>
          <w:rFonts w:eastAsia="Calibri"/>
        </w:rPr>
        <w:t>ii)</w:t>
      </w:r>
      <w:r w:rsidRPr="003B4362">
        <w:rPr>
          <w:rFonts w:eastAsia="Calibri"/>
        </w:rPr>
        <w:tab/>
        <w:t>The Agency must review monitoring, treatment, and other relevant information the supplier submits under Section 611.1360, and the Agency must issue a SEP upon determining that the supplier is eligible to reduce its monitoring frequency to once every three years under this subsection (d)(4).</w:t>
      </w:r>
    </w:p>
    <w:p w14:paraId="42C5576B" w14:textId="77777777" w:rsidR="001B6EEE" w:rsidRDefault="001B6EEE" w:rsidP="001B6EEE">
      <w:pPr>
        <w:ind w:left="3600" w:hanging="720"/>
        <w:rPr>
          <w:rFonts w:eastAsia="Calibri"/>
        </w:rPr>
      </w:pPr>
    </w:p>
    <w:p w14:paraId="21243999" w14:textId="0879C69E" w:rsidR="00B50A91" w:rsidRPr="003B4362" w:rsidRDefault="00B50A91" w:rsidP="001B6EEE">
      <w:pPr>
        <w:ind w:left="3600" w:hanging="720"/>
        <w:rPr>
          <w:rFonts w:eastAsia="Calibri"/>
        </w:rPr>
      </w:pPr>
      <w:r w:rsidRPr="003B4362">
        <w:rPr>
          <w:rFonts w:eastAsia="Calibri"/>
        </w:rPr>
        <w:t>iii)</w:t>
      </w:r>
      <w:r w:rsidRPr="003B4362">
        <w:rPr>
          <w:rFonts w:eastAsia="Calibri"/>
        </w:rPr>
        <w:tab/>
        <w:t>The Agency must review its determination under subsection (d)(4)(B)(i) when the supplier submits new monitoring or treatment data, or when other data relevant to the number and frequency of tap sampling becomes available to the Agency.  The Agency must revise its determination if the Agency deems this appropriate based on its review.</w:t>
      </w:r>
    </w:p>
    <w:p w14:paraId="42760249" w14:textId="77777777" w:rsidR="001B6EEE" w:rsidRDefault="001B6EEE" w:rsidP="001B6EEE">
      <w:pPr>
        <w:ind w:left="2880" w:hanging="720"/>
        <w:rPr>
          <w:rFonts w:eastAsia="Calibri"/>
        </w:rPr>
      </w:pPr>
    </w:p>
    <w:p w14:paraId="05C25B88" w14:textId="27B76A4E" w:rsidR="00B50A91" w:rsidRPr="003B4362" w:rsidRDefault="00B50A91" w:rsidP="001B6EEE">
      <w:pPr>
        <w:ind w:left="2880" w:hanging="720"/>
        <w:rPr>
          <w:rFonts w:eastAsia="Calibri"/>
        </w:rPr>
      </w:pPr>
      <w:r w:rsidRPr="003B4362">
        <w:rPr>
          <w:rFonts w:eastAsia="Calibri"/>
        </w:rPr>
        <w:t>C)</w:t>
      </w:r>
      <w:r w:rsidRPr="003B4362">
        <w:rPr>
          <w:rFonts w:eastAsia="Calibri"/>
        </w:rPr>
        <w:tab/>
        <w:t>Reduction to Triennial for Small and Medium-Sized System Suppliers</w:t>
      </w:r>
    </w:p>
    <w:p w14:paraId="45C5BBA3" w14:textId="77777777" w:rsidR="001B6EEE" w:rsidRDefault="001B6EEE" w:rsidP="001B6EEE">
      <w:pPr>
        <w:ind w:left="3600" w:hanging="720"/>
        <w:rPr>
          <w:rFonts w:eastAsia="Calibri"/>
        </w:rPr>
      </w:pPr>
    </w:p>
    <w:p w14:paraId="0C3E25AF" w14:textId="44427D17" w:rsidR="00B50A91" w:rsidRPr="003B4362" w:rsidRDefault="00B50A91" w:rsidP="001B6EEE">
      <w:pPr>
        <w:ind w:left="3600" w:hanging="720"/>
        <w:rPr>
          <w:rFonts w:eastAsia="Calibri"/>
        </w:rPr>
      </w:pPr>
      <w:r w:rsidRPr="003B4362">
        <w:rPr>
          <w:rFonts w:eastAsia="Calibri"/>
        </w:rPr>
        <w:t>i)</w:t>
      </w:r>
      <w:r w:rsidRPr="003B4362">
        <w:rPr>
          <w:rFonts w:eastAsia="Calibri"/>
        </w:rPr>
        <w:tab/>
        <w:t>Small</w:t>
      </w:r>
      <w:r w:rsidRPr="003B4362">
        <w:rPr>
          <w:rFonts w:eastAsia="Calibri"/>
        </w:rPr>
        <w:noBreakHyphen/>
        <w:t xml:space="preserve"> and Medium-Sized Water System Suppliers Meeting Lead and Copper Action Levels.  A small or medium-sized system supplier meeting the lead and copper action levels during three consecutive years of monitoring may reduce the frequency of monitoring for lead and copper from annually to once every three years.</w:t>
      </w:r>
    </w:p>
    <w:p w14:paraId="4ACB4DBA" w14:textId="77777777" w:rsidR="001B6EEE" w:rsidRDefault="001B6EEE" w:rsidP="001B6EEE">
      <w:pPr>
        <w:ind w:left="3600" w:hanging="720"/>
        <w:rPr>
          <w:rFonts w:eastAsia="Calibri"/>
        </w:rPr>
      </w:pPr>
    </w:p>
    <w:p w14:paraId="473863AB" w14:textId="4DBC45B7" w:rsidR="00B50A91" w:rsidRPr="003B4362" w:rsidRDefault="00B50A91" w:rsidP="001B6EEE">
      <w:pPr>
        <w:ind w:left="3600" w:hanging="720"/>
        <w:rPr>
          <w:rFonts w:eastAsia="Calibri"/>
        </w:rPr>
      </w:pPr>
      <w:r w:rsidRPr="003B4362">
        <w:rPr>
          <w:rFonts w:eastAsia="Calibri"/>
        </w:rPr>
        <w:lastRenderedPageBreak/>
        <w:t>ii)</w:t>
      </w:r>
      <w:r w:rsidRPr="003B4362">
        <w:rPr>
          <w:rFonts w:eastAsia="Calibri"/>
        </w:rPr>
        <w:tab/>
        <w:t>SEP for Suppliers Meeting Optimal Corrosion Control Treatment.  The Agency may issue a SEP allowing any supplier meeting the range of values for the water quality control parameters reflecting optimal corrosion control treatment the Agency specifies under Section 611.1352(f) during three consecutive years of monitoring may reduce its monitoring frequency from annual to once every three years.  A supplier collecting samples once every three years must collect the samples no later than every third calendar year.</w:t>
      </w:r>
    </w:p>
    <w:p w14:paraId="4BECB440" w14:textId="77777777" w:rsidR="001B6EEE" w:rsidRDefault="001B6EEE" w:rsidP="001B6EEE">
      <w:pPr>
        <w:ind w:left="3600" w:hanging="720"/>
        <w:rPr>
          <w:rFonts w:eastAsia="Calibri"/>
        </w:rPr>
      </w:pPr>
    </w:p>
    <w:p w14:paraId="595480B2" w14:textId="7471C703" w:rsidR="00B50A91" w:rsidRPr="003B4362" w:rsidRDefault="00B50A91" w:rsidP="001B6EEE">
      <w:pPr>
        <w:ind w:left="3600" w:hanging="720"/>
        <w:rPr>
          <w:rFonts w:eastAsia="Calibri"/>
        </w:rPr>
      </w:pPr>
      <w:r w:rsidRPr="003B4362">
        <w:rPr>
          <w:rFonts w:eastAsia="Calibri"/>
        </w:rPr>
        <w:t>iii)</w:t>
      </w:r>
      <w:r w:rsidRPr="003B4362">
        <w:rPr>
          <w:rFonts w:eastAsia="Calibri"/>
        </w:rPr>
        <w:tab/>
        <w:t>The Agency must review its determination under subsection (d)(4)(C)(ii) when the supplier submits new monitoring or treatment data, or when other data relevant to the number and frequency of tap sampling becomes available to the Agency.  The Agency must revise its determination if the Agency deems this appropriate based on its review.</w:t>
      </w:r>
    </w:p>
    <w:p w14:paraId="734FC748" w14:textId="77777777" w:rsidR="001B6EEE" w:rsidRDefault="001B6EEE" w:rsidP="001B6EEE">
      <w:pPr>
        <w:ind w:left="2880" w:hanging="630"/>
        <w:rPr>
          <w:rFonts w:eastAsia="Calibri"/>
        </w:rPr>
      </w:pPr>
    </w:p>
    <w:p w14:paraId="19DA03E2" w14:textId="52CBE652" w:rsidR="00B50A91" w:rsidRPr="003B4362" w:rsidRDefault="00B50A91" w:rsidP="001B6EEE">
      <w:pPr>
        <w:ind w:left="2880" w:hanging="630"/>
        <w:rPr>
          <w:rFonts w:eastAsia="Calibri"/>
        </w:rPr>
      </w:pPr>
      <w:r w:rsidRPr="003B4362">
        <w:rPr>
          <w:rFonts w:eastAsia="Calibri"/>
        </w:rPr>
        <w:t>D)</w:t>
      </w:r>
      <w:r w:rsidRPr="003B4362">
        <w:rPr>
          <w:rFonts w:eastAsia="Calibri"/>
        </w:rPr>
        <w:tab/>
        <w:t>Sampling at a Reduced Frequency.  A supplier reducing the number and frequency of sampling must collect these samples from the pool of targeted sampling sites the supplier selected under subsection (a), preferentially using those sampling sites from the highest tier first.  A supplier sampling annually or less frequently must conduct lead and copper tap sampling during June, July, August, or September, unless the Agency approves a different sampling period under subsection (d)(4)(D)(i).</w:t>
      </w:r>
    </w:p>
    <w:p w14:paraId="5F276BC2" w14:textId="77777777" w:rsidR="001B6EEE" w:rsidRDefault="001B6EEE" w:rsidP="001B6EEE">
      <w:pPr>
        <w:ind w:left="3600" w:hanging="720"/>
        <w:rPr>
          <w:rFonts w:eastAsia="Calibri"/>
        </w:rPr>
      </w:pPr>
    </w:p>
    <w:p w14:paraId="5BD3B90F" w14:textId="569CF9C9" w:rsidR="00B50A91" w:rsidRPr="003B4362" w:rsidRDefault="00B50A91" w:rsidP="001B6EEE">
      <w:pPr>
        <w:ind w:left="3600" w:hanging="720"/>
        <w:rPr>
          <w:rFonts w:eastAsia="Calibri"/>
        </w:rPr>
      </w:pPr>
      <w:r w:rsidRPr="003B4362">
        <w:rPr>
          <w:rFonts w:eastAsia="Calibri"/>
        </w:rPr>
        <w:t>i)</w:t>
      </w:r>
      <w:r w:rsidRPr="003B4362">
        <w:rPr>
          <w:rFonts w:eastAsia="Calibri"/>
        </w:rPr>
        <w:tab/>
        <w:t xml:space="preserve">The Agency may grant a SEP approving a different period for a supplier to conduct lead and copper tap sampling to a system collecting a reduced number of samples.  The duration of the period must not exceed four consecutive months and must represent a time of normal operation </w:t>
      </w:r>
      <w:r w:rsidRPr="003B4362">
        <w:rPr>
          <w:rFonts w:eastAsia="Calibri"/>
          <w:spacing w:val="-3"/>
        </w:rPr>
        <w:t xml:space="preserve">when </w:t>
      </w:r>
      <w:r w:rsidRPr="003B4362">
        <w:rPr>
          <w:rFonts w:eastAsia="Calibri"/>
        </w:rPr>
        <w:t xml:space="preserve">the highest lead levels are most likely to occur.  For a NTNCWS supplier not operating during any of June through September and whose normal operating period </w:t>
      </w:r>
      <w:r w:rsidRPr="003B4362">
        <w:rPr>
          <w:rFonts w:eastAsia="Calibri"/>
          <w:spacing w:val="-3"/>
        </w:rPr>
        <w:t xml:space="preserve">when </w:t>
      </w:r>
      <w:r w:rsidRPr="003B4362">
        <w:rPr>
          <w:rFonts w:eastAsia="Calibri"/>
        </w:rPr>
        <w:t xml:space="preserve">the highest levels of lead are most likely to occur is not known, the Agency must designate a period that represents a time of normal operation for the system.  This reduced sampling may only begin during the Agency-designated period in the calendar year immediately following the end of the second consecutive six-month monitoring period, for a system initiating annual monitoring, or in the three-year period following the end of </w:t>
      </w:r>
      <w:r w:rsidRPr="003B4362">
        <w:rPr>
          <w:rFonts w:eastAsia="Calibri"/>
        </w:rPr>
        <w:lastRenderedPageBreak/>
        <w:t>the third consecutive calendar year of annual monitoring, for a supplier initiating triennial monitoring.</w:t>
      </w:r>
    </w:p>
    <w:p w14:paraId="5B55A5AB" w14:textId="77777777" w:rsidR="001B6EEE" w:rsidRDefault="001B6EEE" w:rsidP="001B6EEE">
      <w:pPr>
        <w:ind w:left="3600" w:hanging="720"/>
        <w:rPr>
          <w:rFonts w:eastAsia="Calibri"/>
        </w:rPr>
      </w:pPr>
    </w:p>
    <w:p w14:paraId="646F6AFC" w14:textId="065DE638" w:rsidR="00B50A91" w:rsidRPr="003B4362" w:rsidRDefault="00B50A91" w:rsidP="001B6EEE">
      <w:pPr>
        <w:ind w:left="3600" w:hanging="720"/>
        <w:rPr>
          <w:rFonts w:eastAsia="Calibri"/>
        </w:rPr>
      </w:pPr>
      <w:r w:rsidRPr="003B4362">
        <w:rPr>
          <w:rFonts w:eastAsia="Calibri"/>
        </w:rPr>
        <w:t>ii)</w:t>
      </w:r>
      <w:r w:rsidRPr="003B4362">
        <w:rPr>
          <w:rFonts w:eastAsia="Calibri"/>
        </w:rPr>
        <w:tab/>
        <w:t>A supplier monitoring annually and collecting samples during the months of June through September that receives Agency approval to alter its sampling period under subsection (d)(4)(D)(i) must collect its next round of samples during a time period ending no later than 21 months after its previous round of sampling.  A supplier monitoring once every three years and collecting samples during the months of June through September that receives Agency approval to alter the sampling collection period under subsection (d)(4)(D)(i) must collect its next round of samples during a time period ending no later than 45 months after the previous round of sampling.  The supplier must collect subsequent rounds of sampling annually or once every three years, as this Section requires.  A small system supplier collecting samples during the months of June through September, receiving a waiver under subsection (g) and receiving Agency approval to alter its sample collection period under subsection (d)(4)(D)(i) must collect its next round of samples before the end of the nine-year compliance cycle (as Section 611.101 defines the term).</w:t>
      </w:r>
    </w:p>
    <w:p w14:paraId="3CA0F4FA" w14:textId="77777777" w:rsidR="001B6EEE" w:rsidRDefault="001B6EEE" w:rsidP="001B6EEE">
      <w:pPr>
        <w:ind w:left="2880" w:hanging="720"/>
        <w:rPr>
          <w:rFonts w:eastAsia="Calibri"/>
        </w:rPr>
      </w:pPr>
    </w:p>
    <w:p w14:paraId="21682D06" w14:textId="7FC17B37" w:rsidR="00B50A91" w:rsidRPr="003B4362" w:rsidRDefault="00B50A91" w:rsidP="001B6EEE">
      <w:pPr>
        <w:ind w:left="2880" w:hanging="720"/>
        <w:rPr>
          <w:rFonts w:eastAsia="Calibri"/>
        </w:rPr>
      </w:pPr>
      <w:r w:rsidRPr="003B4362">
        <w:rPr>
          <w:rFonts w:eastAsia="Calibri"/>
        </w:rPr>
        <w:t>E)</w:t>
      </w:r>
      <w:r w:rsidRPr="003B4362">
        <w:rPr>
          <w:rFonts w:eastAsia="Calibri"/>
        </w:rPr>
        <w:tab/>
        <w:t>Any water system demonstrating for two consecutive six-month monitoring periods that the tap water lead level computed under Section 611.1350(c)(3) is less than or equal to 0.005 mg/</w:t>
      </w:r>
      <w:r w:rsidR="006A710C" w:rsidRPr="003B4362">
        <w:t>L</w:t>
      </w:r>
      <w:r w:rsidRPr="003B4362">
        <w:rPr>
          <w:rFonts w:eastAsia="Calibri"/>
        </w:rPr>
        <w:t xml:space="preserve"> and that the tap water copper level computed under Section 611.1350(c)(3) is less than or equal to 0.65 mg/</w:t>
      </w:r>
      <w:r w:rsidR="006A710C" w:rsidRPr="003B4362">
        <w:t>L</w:t>
      </w:r>
      <w:r w:rsidRPr="003B4362">
        <w:rPr>
          <w:rFonts w:eastAsia="Calibri"/>
        </w:rPr>
        <w:t xml:space="preserve"> may reduce its number of samples under subsection (c) and reduce its sampling frequency to once every three calendar years.</w:t>
      </w:r>
    </w:p>
    <w:p w14:paraId="6CF95E46" w14:textId="77777777" w:rsidR="001B6EEE" w:rsidRDefault="001B6EEE" w:rsidP="001B6EEE">
      <w:pPr>
        <w:ind w:left="2880" w:hanging="720"/>
        <w:rPr>
          <w:rFonts w:eastAsia="Calibri"/>
        </w:rPr>
      </w:pPr>
    </w:p>
    <w:p w14:paraId="3494131A" w14:textId="05E2E860" w:rsidR="00B50A91" w:rsidRPr="003B4362" w:rsidRDefault="00B50A91" w:rsidP="001B6EEE">
      <w:pPr>
        <w:ind w:left="2880" w:hanging="720"/>
        <w:rPr>
          <w:rFonts w:eastAsia="Calibri"/>
        </w:rPr>
      </w:pPr>
      <w:r w:rsidRPr="003B4362">
        <w:rPr>
          <w:rFonts w:eastAsia="Calibri"/>
        </w:rPr>
        <w:t>F)</w:t>
      </w:r>
      <w:r w:rsidRPr="003B4362">
        <w:rPr>
          <w:rFonts w:eastAsia="Calibri"/>
        </w:rPr>
        <w:tab/>
        <w:t>Resumption of Standard Monitoring</w:t>
      </w:r>
    </w:p>
    <w:p w14:paraId="3927A9B9" w14:textId="77777777" w:rsidR="001B6EEE" w:rsidRDefault="001B6EEE" w:rsidP="001B6EEE">
      <w:pPr>
        <w:ind w:left="3600" w:hanging="720"/>
        <w:rPr>
          <w:rFonts w:eastAsia="Calibri"/>
        </w:rPr>
      </w:pPr>
    </w:p>
    <w:p w14:paraId="2FAD90B5" w14:textId="35A2947F" w:rsidR="00B50A91" w:rsidRPr="003B4362" w:rsidRDefault="00B50A91" w:rsidP="001B6EEE">
      <w:pPr>
        <w:ind w:left="3600" w:hanging="720"/>
        <w:rPr>
          <w:rFonts w:eastAsia="Calibri"/>
        </w:rPr>
      </w:pPr>
      <w:r w:rsidRPr="003B4362">
        <w:rPr>
          <w:rFonts w:eastAsia="Calibri"/>
        </w:rPr>
        <w:t>i)</w:t>
      </w:r>
      <w:r w:rsidRPr="003B4362">
        <w:rPr>
          <w:rFonts w:eastAsia="Calibri"/>
        </w:rPr>
        <w:tab/>
        <w:t xml:space="preserve">Small or Medium-Sized Suppliers Exceeding the Lead or Copper Action Level.  A small or medium-sized system supplier subject to reduced monitoring exceeding the lead or copper action level must resume sampling under subsection (d)(3) and collect the number of samples that subsection (c) specifies for standard monitoring.  The small or medium-sized system supplier exceeding the lead or copper action level must also conduct water quality parameter monitoring under Section 611.1357 (b), (c), or (d) (as appropriate) during the six-month monitoring period </w:t>
      </w:r>
      <w:r w:rsidRPr="003B4362">
        <w:rPr>
          <w:rFonts w:eastAsia="Calibri"/>
        </w:rPr>
        <w:lastRenderedPageBreak/>
        <w:t>during which the supplier exceeded the action level.  The small or medium-sized system supplier may resume annual tap monitoring for lead and copper at the reduced number of sites subsection (c) specifies after the supplier completes two subsequent consecutive six-month rounds of monitoring complying with subsection (d)(4)(A).  The small or medium-sized system supplier may resume monitoring once every three years for lead and copper at the reduced number of sites after demonstrating through subsequent rounds of monitoring that comply with subsection (d)(4)(C) or (d)(4)(E).</w:t>
      </w:r>
    </w:p>
    <w:p w14:paraId="3CC61EB2" w14:textId="77777777" w:rsidR="001B6EEE" w:rsidRDefault="001B6EEE" w:rsidP="001B6EEE">
      <w:pPr>
        <w:ind w:left="3600" w:hanging="720"/>
        <w:rPr>
          <w:rFonts w:eastAsia="Calibri"/>
        </w:rPr>
      </w:pPr>
    </w:p>
    <w:p w14:paraId="30953570" w14:textId="41A6F307" w:rsidR="00B50A91" w:rsidRPr="003B4362" w:rsidRDefault="00B50A91" w:rsidP="001B6EEE">
      <w:pPr>
        <w:ind w:left="3600" w:hanging="720"/>
        <w:rPr>
          <w:rFonts w:eastAsia="Calibri"/>
        </w:rPr>
      </w:pPr>
      <w:r w:rsidRPr="003B4362">
        <w:rPr>
          <w:rFonts w:eastAsia="Calibri"/>
        </w:rPr>
        <w:t>ii)</w:t>
      </w:r>
      <w:r w:rsidRPr="003B4362">
        <w:rPr>
          <w:rFonts w:eastAsia="Calibri"/>
        </w:rPr>
        <w:tab/>
        <w:t>Suppliers Failing to Operate within Water Quality Control Parameters.  Any supplier subject to reduced monitoring frequency failing to meet the lead action level during any four-month monitoring period or failing to operate within the range of values for the water quality control parameters Section 611.1352(f) specifies for more than nine days in any six-month period Section 611.1357(d) specifies must conduct tap water sampling for lead and copper at the frequency subsection (d)(3) specifies, must collect the number of samples subsection (c) specifies for standard monitoring, and must resume monitoring for water quality parameters within the distribution system under Section 611.1357(d).  This standard tap water sampling must begin no later than the six-month period beginning January 1 of the calendar year after the supplier exceeds the lead action level or deviates from a water quality parameter.  A supplier may resume reduced monitoring for lead and copper at the tap and for water quality parameters within the distribution system only if the supplier fulfills the conditions in subsection (d)(4)(H).</w:t>
      </w:r>
    </w:p>
    <w:p w14:paraId="35247640" w14:textId="77777777" w:rsidR="001B6EEE" w:rsidRDefault="001B6EEE" w:rsidP="001B6EEE">
      <w:pPr>
        <w:ind w:left="2880"/>
        <w:rPr>
          <w:rFonts w:eastAsia="Calibri"/>
        </w:rPr>
      </w:pPr>
    </w:p>
    <w:p w14:paraId="672FE0AD" w14:textId="179473A0" w:rsidR="00B50A91" w:rsidRPr="003B4362" w:rsidRDefault="00B50A91" w:rsidP="001B6EEE">
      <w:pPr>
        <w:ind w:left="2880"/>
        <w:rPr>
          <w:rFonts w:eastAsia="Calibri"/>
        </w:rPr>
      </w:pPr>
      <w:r w:rsidRPr="003B4362">
        <w:rPr>
          <w:rFonts w:eastAsia="Calibri"/>
        </w:rPr>
        <w:t>BOARD NOTE:  The Board moved the last sentence of 40 CFR 141.86(d)(4)(vi)(B) and 40 CFR 141.86(d)(4)(vi)(B)(</w:t>
      </w:r>
      <w:r w:rsidRPr="003B4362">
        <w:rPr>
          <w:rFonts w:eastAsia="Calibri"/>
          <w:i/>
        </w:rPr>
        <w:t>1</w:t>
      </w:r>
      <w:r w:rsidRPr="003B4362">
        <w:rPr>
          <w:rFonts w:eastAsia="Calibri"/>
        </w:rPr>
        <w:t>) through (d)(4)(vi)(B)(</w:t>
      </w:r>
      <w:r w:rsidRPr="003B4362">
        <w:rPr>
          <w:rFonts w:eastAsia="Calibri"/>
          <w:i/>
        </w:rPr>
        <w:t>3</w:t>
      </w:r>
      <w:r w:rsidRPr="003B4362">
        <w:rPr>
          <w:rFonts w:eastAsia="Calibri"/>
        </w:rPr>
        <w:t>)</w:t>
      </w:r>
      <w:r w:rsidR="00D4101B" w:rsidRPr="003B4362">
        <w:rPr>
          <w:rFonts w:eastAsia="Calibri"/>
        </w:rPr>
        <w:t xml:space="preserve"> (2020)</w:t>
      </w:r>
      <w:r w:rsidRPr="003B4362">
        <w:rPr>
          <w:rFonts w:eastAsia="Calibri"/>
        </w:rPr>
        <w:t xml:space="preserve"> to subsections (d)(4)(H) and (d)(4)(H)(i) through (d)(4)(H)(iii) to comport with allowed indent levels.</w:t>
      </w:r>
    </w:p>
    <w:p w14:paraId="747CE561" w14:textId="77777777" w:rsidR="001B6EEE" w:rsidRDefault="001B6EEE" w:rsidP="001B6EEE">
      <w:pPr>
        <w:ind w:left="2880" w:hanging="720"/>
        <w:rPr>
          <w:rFonts w:eastAsia="Calibri"/>
        </w:rPr>
      </w:pPr>
    </w:p>
    <w:p w14:paraId="32CB48A1" w14:textId="52D946C5" w:rsidR="00B50A91" w:rsidRPr="003B4362" w:rsidRDefault="00B50A91" w:rsidP="001B6EEE">
      <w:pPr>
        <w:ind w:left="2880" w:hanging="720"/>
        <w:rPr>
          <w:rFonts w:eastAsia="Calibri"/>
        </w:rPr>
      </w:pPr>
      <w:r w:rsidRPr="003B4362">
        <w:rPr>
          <w:rFonts w:eastAsia="Calibri"/>
        </w:rPr>
        <w:t>G)</w:t>
      </w:r>
      <w:r w:rsidRPr="003B4362">
        <w:rPr>
          <w:rFonts w:eastAsia="Calibri"/>
        </w:rPr>
        <w:tab/>
        <w:t xml:space="preserve">Any supplier subject to reduced monitoring under subsection (d)(4) must notify the Agency in writing under Section 611.1360(a)(3) of any upcoming long-term change in treatment or adding a new source as that Section describes.  The Agency must review and approve the addition of a new source or long-term change in water treatment before the supplier may implement it.  The Agency may issue a SEP requiring the system to resume sampling under </w:t>
      </w:r>
      <w:r w:rsidRPr="003B4362">
        <w:rPr>
          <w:rFonts w:eastAsia="Calibri"/>
        </w:rPr>
        <w:lastRenderedPageBreak/>
        <w:t xml:space="preserve">subsection (d)(3) and collecting the number of samples for standard monitoring under subsection (c) or take other appropriate steps, </w:t>
      </w:r>
      <w:r w:rsidR="006A710C" w:rsidRPr="003B4362">
        <w:rPr>
          <w:rFonts w:eastAsia="Calibri"/>
        </w:rPr>
        <w:t>such as</w:t>
      </w:r>
      <w:r w:rsidRPr="003B4362">
        <w:rPr>
          <w:rFonts w:eastAsia="Calibri"/>
        </w:rPr>
        <w:t xml:space="preserve"> increased water quality parameter monitoring or re-evaluating its corrosion control treatment, considering the potentially different water quality considerations.</w:t>
      </w:r>
    </w:p>
    <w:p w14:paraId="1013F8B2" w14:textId="77777777" w:rsidR="001B6EEE" w:rsidRDefault="001B6EEE" w:rsidP="001B6EEE">
      <w:pPr>
        <w:ind w:left="2880" w:hanging="720"/>
        <w:rPr>
          <w:rFonts w:eastAsia="Calibri"/>
        </w:rPr>
      </w:pPr>
    </w:p>
    <w:p w14:paraId="3BAE2506" w14:textId="7678B711" w:rsidR="00B50A91" w:rsidRPr="003B4362" w:rsidRDefault="00B50A91" w:rsidP="001B6EEE">
      <w:pPr>
        <w:ind w:left="2880" w:hanging="720"/>
        <w:rPr>
          <w:rFonts w:eastAsia="Calibri"/>
        </w:rPr>
      </w:pPr>
      <w:r w:rsidRPr="003B4362">
        <w:rPr>
          <w:rFonts w:eastAsia="Calibri"/>
        </w:rPr>
        <w:t>H)</w:t>
      </w:r>
      <w:r w:rsidRPr="003B4362">
        <w:rPr>
          <w:rFonts w:eastAsia="Calibri"/>
        </w:rPr>
        <w:tab/>
        <w:t>A supplier that subsection (d)(4)(F) requires to resume monitoring under Section 611.1357(d) may resume reduced monitoring for lead and copper at the tap and water quality parameters within the distribution system under the specific conditions:</w:t>
      </w:r>
    </w:p>
    <w:p w14:paraId="3779C256" w14:textId="77777777" w:rsidR="001B6EEE" w:rsidRDefault="001B6EEE" w:rsidP="001B6EEE">
      <w:pPr>
        <w:ind w:left="3600" w:hanging="720"/>
        <w:rPr>
          <w:rFonts w:eastAsia="Calibri"/>
        </w:rPr>
      </w:pPr>
    </w:p>
    <w:p w14:paraId="22CF3D89" w14:textId="69387F55" w:rsidR="00B50A91" w:rsidRPr="003B4362" w:rsidRDefault="00B50A91" w:rsidP="001B6EEE">
      <w:pPr>
        <w:ind w:left="3600" w:hanging="720"/>
        <w:rPr>
          <w:rFonts w:eastAsia="Calibri"/>
        </w:rPr>
      </w:pPr>
      <w:r w:rsidRPr="003B4362">
        <w:rPr>
          <w:rFonts w:eastAsia="Calibri"/>
        </w:rPr>
        <w:t>i)</w:t>
      </w:r>
      <w:r w:rsidRPr="003B4362">
        <w:rPr>
          <w:rFonts w:eastAsia="Calibri"/>
        </w:rPr>
        <w:tab/>
        <w:t>The supplier may resume annual monitoring for lead and copper at the tap at the reduced number of sites subsection (c) specifies after the supplier completes two subsequent six-month rounds of monitoring complying with subsection (d)(4)(B) and the supplier receives written approval from the Agency in a SEP appropriate to resuming reduced monitoring on an annual frequency.  The supplier must begin this sampling during the calendar year immediately following the end of the second consecutive six-month monitoring period.</w:t>
      </w:r>
    </w:p>
    <w:p w14:paraId="746DC7C4" w14:textId="77777777" w:rsidR="001B6EEE" w:rsidRDefault="001B6EEE" w:rsidP="001B6EEE">
      <w:pPr>
        <w:ind w:left="3600" w:hanging="720"/>
        <w:rPr>
          <w:rFonts w:eastAsia="Calibri"/>
        </w:rPr>
      </w:pPr>
    </w:p>
    <w:p w14:paraId="037868E5" w14:textId="55212AA4" w:rsidR="00B50A91" w:rsidRPr="003B4362" w:rsidRDefault="00B50A91" w:rsidP="001B6EEE">
      <w:pPr>
        <w:ind w:left="3600" w:hanging="720"/>
        <w:rPr>
          <w:rFonts w:eastAsia="Calibri"/>
        </w:rPr>
      </w:pPr>
      <w:r w:rsidRPr="003B4362">
        <w:rPr>
          <w:rFonts w:eastAsia="Calibri"/>
        </w:rPr>
        <w:t>ii)</w:t>
      </w:r>
      <w:r w:rsidRPr="003B4362">
        <w:rPr>
          <w:rFonts w:eastAsia="Calibri"/>
        </w:rPr>
        <w:tab/>
        <w:t>The supplier may resume tap monitoring for lead and copper once every three years at the reduced number of sites after demonstrating through subsequent rounds of monitoring that the supplier complies with either subsection (d)(4)(C) or (d)(4)(E) and the Agency issues a SEP allowing the supplier to resume monitoring once every three years.</w:t>
      </w:r>
    </w:p>
    <w:p w14:paraId="31AEB56D" w14:textId="77777777" w:rsidR="001B6EEE" w:rsidRDefault="001B6EEE" w:rsidP="001B6EEE">
      <w:pPr>
        <w:ind w:left="3600" w:hanging="720"/>
        <w:rPr>
          <w:rFonts w:eastAsia="Calibri"/>
        </w:rPr>
      </w:pPr>
    </w:p>
    <w:p w14:paraId="3D5CCE8A" w14:textId="3295A383" w:rsidR="00B50A91" w:rsidRPr="003B4362" w:rsidRDefault="00B50A91" w:rsidP="001B6EEE">
      <w:pPr>
        <w:ind w:left="3600" w:hanging="720"/>
        <w:rPr>
          <w:rFonts w:eastAsia="Calibri"/>
        </w:rPr>
      </w:pPr>
      <w:r w:rsidRPr="003B4362">
        <w:rPr>
          <w:rFonts w:eastAsia="Calibri"/>
        </w:rPr>
        <w:t>iii)</w:t>
      </w:r>
      <w:r w:rsidRPr="003B4362">
        <w:rPr>
          <w:rFonts w:eastAsia="Calibri"/>
        </w:rPr>
        <w:tab/>
        <w:t>The supplier may reduce the number of water quality parameter tap water samples it collects under Section 611.1357(e)(1) and its sampling frequency under Section 611.1357(e)(2).  The supplier may not resume triennial tap water monitoring for water quality parameters until after the supplier demonstrates requalifying for triennial monitoring under Section 611.1357(e)(2).</w:t>
      </w:r>
    </w:p>
    <w:p w14:paraId="52CC66DE" w14:textId="77777777" w:rsidR="001B6EEE" w:rsidRDefault="001B6EEE" w:rsidP="001B6EEE">
      <w:pPr>
        <w:ind w:left="2880"/>
        <w:rPr>
          <w:rFonts w:eastAsia="Calibri"/>
        </w:rPr>
      </w:pPr>
    </w:p>
    <w:p w14:paraId="2C6C6A90" w14:textId="1672F276" w:rsidR="00B50A91" w:rsidRPr="003B4362" w:rsidRDefault="00B50A91" w:rsidP="001B6EEE">
      <w:pPr>
        <w:ind w:left="2880"/>
        <w:rPr>
          <w:rFonts w:eastAsia="Calibri"/>
        </w:rPr>
      </w:pPr>
      <w:r w:rsidRPr="003B4362">
        <w:rPr>
          <w:rFonts w:eastAsia="Calibri"/>
        </w:rPr>
        <w:t>BOARD NOTE:  Subsections (d)(4)(H) and (d)(4)(H)(i) through (d)(4)(H)(iii) derive from the last sentence of 40 CFR 141.86(d)(4)(vi)(B) and (d)(4)(vi)(B)(</w:t>
      </w:r>
      <w:r w:rsidRPr="003B4362">
        <w:rPr>
          <w:rFonts w:eastAsia="Calibri"/>
          <w:i/>
        </w:rPr>
        <w:t>1</w:t>
      </w:r>
      <w:r w:rsidRPr="003B4362">
        <w:rPr>
          <w:rFonts w:eastAsia="Calibri"/>
        </w:rPr>
        <w:t>) through (d)(4)(vi)(B)(</w:t>
      </w:r>
      <w:r w:rsidRPr="003B4362">
        <w:rPr>
          <w:rFonts w:eastAsia="Calibri"/>
          <w:i/>
        </w:rPr>
        <w:t>3</w:t>
      </w:r>
      <w:r w:rsidRPr="003B4362">
        <w:rPr>
          <w:rFonts w:eastAsia="Calibri"/>
        </w:rPr>
        <w:t>)</w:t>
      </w:r>
      <w:r w:rsidR="004341BB" w:rsidRPr="003B4362">
        <w:rPr>
          <w:rFonts w:eastAsia="Calibri"/>
        </w:rPr>
        <w:t xml:space="preserve"> (2020)</w:t>
      </w:r>
      <w:r w:rsidRPr="003B4362">
        <w:rPr>
          <w:rFonts w:eastAsia="Calibri"/>
        </w:rPr>
        <w:t>, moved here to comport with allowed indent levels.</w:t>
      </w:r>
    </w:p>
    <w:p w14:paraId="579FE343" w14:textId="77777777" w:rsidR="001B6EEE" w:rsidRDefault="001B6EEE" w:rsidP="001B6EEE">
      <w:pPr>
        <w:ind w:left="1440" w:hanging="720"/>
        <w:rPr>
          <w:rFonts w:eastAsia="Calibri"/>
        </w:rPr>
      </w:pPr>
    </w:p>
    <w:p w14:paraId="5640D567" w14:textId="06932FDD" w:rsidR="00B50A91" w:rsidRPr="003B4362" w:rsidRDefault="00B50A91" w:rsidP="001B6EEE">
      <w:pPr>
        <w:ind w:left="1440" w:hanging="720"/>
        <w:rPr>
          <w:rFonts w:eastAsia="Calibri"/>
        </w:rPr>
      </w:pPr>
      <w:r w:rsidRPr="003B4362">
        <w:rPr>
          <w:rFonts w:eastAsia="Calibri"/>
        </w:rPr>
        <w:t>e)</w:t>
      </w:r>
      <w:r w:rsidRPr="003B4362">
        <w:rPr>
          <w:rFonts w:eastAsia="Calibri"/>
        </w:rPr>
        <w:tab/>
        <w:t xml:space="preserve">Additional Monitoring.  The supplier and the Agency must consider the results of any monitoring the supplier conducts in addition to the minimum requirements in </w:t>
      </w:r>
      <w:r w:rsidRPr="003B4362">
        <w:rPr>
          <w:rFonts w:eastAsia="Calibri"/>
        </w:rPr>
        <w:lastRenderedPageBreak/>
        <w:t>this Section in making any determinations (i.e., calculating the 90th percentile lead action level or the copper level) under this Subpart G.</w:t>
      </w:r>
    </w:p>
    <w:p w14:paraId="0D3FDB2B" w14:textId="77777777" w:rsidR="001B6EEE" w:rsidRDefault="001B6EEE" w:rsidP="001B6EEE">
      <w:pPr>
        <w:ind w:left="1440" w:hanging="720"/>
        <w:rPr>
          <w:rFonts w:eastAsia="Calibri"/>
        </w:rPr>
      </w:pPr>
    </w:p>
    <w:p w14:paraId="1047A803" w14:textId="2BDE611A" w:rsidR="00B50A91" w:rsidRPr="003B4362" w:rsidRDefault="00B50A91" w:rsidP="001B6EEE">
      <w:pPr>
        <w:ind w:left="1440" w:hanging="720"/>
        <w:rPr>
          <w:rFonts w:eastAsia="Calibri"/>
        </w:rPr>
      </w:pPr>
      <w:r w:rsidRPr="003B4362">
        <w:rPr>
          <w:rFonts w:eastAsia="Calibri"/>
        </w:rPr>
        <w:t>f)</w:t>
      </w:r>
      <w:r w:rsidRPr="003B4362">
        <w:rPr>
          <w:rFonts w:eastAsia="Calibri"/>
        </w:rPr>
        <w:tab/>
        <w:t>Invalidation of Lead or Copper Tap Water Samples.  A sample the Agency invalidates under this subsection (f) does not count toward determining lead or copper 90th percentile levels under Section 611.1350(c)(3) or toward complying with subsection (c).</w:t>
      </w:r>
    </w:p>
    <w:p w14:paraId="3C37B385" w14:textId="77777777" w:rsidR="001B6EEE" w:rsidRDefault="001B6EEE" w:rsidP="001B6EEE">
      <w:pPr>
        <w:ind w:left="2160" w:hanging="720"/>
        <w:rPr>
          <w:rFonts w:eastAsia="Calibri"/>
        </w:rPr>
      </w:pPr>
    </w:p>
    <w:p w14:paraId="28053B88" w14:textId="65C7C75A" w:rsidR="00B50A91" w:rsidRPr="003B4362" w:rsidRDefault="00B50A91" w:rsidP="001B6EEE">
      <w:pPr>
        <w:ind w:left="2160" w:hanging="720"/>
        <w:rPr>
          <w:rFonts w:eastAsia="Calibri"/>
        </w:rPr>
      </w:pPr>
      <w:r w:rsidRPr="003B4362">
        <w:rPr>
          <w:rFonts w:eastAsia="Calibri"/>
        </w:rPr>
        <w:t>1)</w:t>
      </w:r>
      <w:r w:rsidRPr="003B4362">
        <w:rPr>
          <w:rFonts w:eastAsia="Calibri"/>
        </w:rPr>
        <w:tab/>
        <w:t>The Agency must invalidate a lead or copper tap water sample if it determines that any of certain conditions exists:</w:t>
      </w:r>
    </w:p>
    <w:p w14:paraId="43FECC33" w14:textId="77777777" w:rsidR="001B6EEE" w:rsidRDefault="001B6EEE" w:rsidP="001B6EEE">
      <w:pPr>
        <w:ind w:left="2880" w:hanging="720"/>
        <w:rPr>
          <w:rFonts w:eastAsia="Calibri"/>
        </w:rPr>
      </w:pPr>
    </w:p>
    <w:p w14:paraId="6BC98BF9" w14:textId="3FEEB767" w:rsidR="00B50A91" w:rsidRPr="003B4362" w:rsidRDefault="00B50A91" w:rsidP="001B6EEE">
      <w:pPr>
        <w:ind w:left="2880" w:hanging="720"/>
        <w:rPr>
          <w:rFonts w:eastAsia="Calibri"/>
        </w:rPr>
      </w:pPr>
      <w:r w:rsidRPr="003B4362">
        <w:rPr>
          <w:rFonts w:eastAsia="Calibri"/>
        </w:rPr>
        <w:t>A)</w:t>
      </w:r>
      <w:r w:rsidRPr="003B4362">
        <w:rPr>
          <w:rFonts w:eastAsia="Calibri"/>
        </w:rPr>
        <w:tab/>
        <w:t>The laboratory establishes that improper sample analysis caused erroneous results;</w:t>
      </w:r>
    </w:p>
    <w:p w14:paraId="3027371B" w14:textId="77777777" w:rsidR="001B6EEE" w:rsidRDefault="001B6EEE" w:rsidP="001B6EEE">
      <w:pPr>
        <w:ind w:left="2880" w:hanging="720"/>
        <w:rPr>
          <w:rFonts w:eastAsia="Calibri"/>
        </w:rPr>
      </w:pPr>
    </w:p>
    <w:p w14:paraId="2E0BB8CF" w14:textId="20EC9BF1" w:rsidR="00B50A91" w:rsidRPr="003B4362" w:rsidRDefault="00B50A91" w:rsidP="001B6EEE">
      <w:pPr>
        <w:ind w:left="2880" w:hanging="720"/>
        <w:rPr>
          <w:rFonts w:eastAsia="Calibri"/>
        </w:rPr>
      </w:pPr>
      <w:r w:rsidRPr="003B4362">
        <w:rPr>
          <w:rFonts w:eastAsia="Calibri"/>
        </w:rPr>
        <w:t>B)</w:t>
      </w:r>
      <w:r w:rsidRPr="003B4362">
        <w:rPr>
          <w:rFonts w:eastAsia="Calibri"/>
        </w:rPr>
        <w:tab/>
        <w:t>The supplier took the sample from a site that did not meet the site selection criteria in this Section;</w:t>
      </w:r>
    </w:p>
    <w:p w14:paraId="0053C28D" w14:textId="77777777" w:rsidR="001B6EEE" w:rsidRDefault="001B6EEE" w:rsidP="001B6EEE">
      <w:pPr>
        <w:ind w:left="2880" w:hanging="720"/>
        <w:rPr>
          <w:rFonts w:eastAsia="Calibri"/>
        </w:rPr>
      </w:pPr>
    </w:p>
    <w:p w14:paraId="12BD9FAA" w14:textId="4D458D8A" w:rsidR="00B50A91" w:rsidRPr="003B4362" w:rsidRDefault="00B50A91" w:rsidP="001B6EEE">
      <w:pPr>
        <w:ind w:left="2880" w:hanging="720"/>
        <w:rPr>
          <w:rFonts w:eastAsia="Calibri"/>
        </w:rPr>
      </w:pPr>
      <w:r w:rsidRPr="003B4362">
        <w:rPr>
          <w:rFonts w:eastAsia="Calibri"/>
        </w:rPr>
        <w:t>C)</w:t>
      </w:r>
      <w:r w:rsidRPr="003B4362">
        <w:rPr>
          <w:rFonts w:eastAsia="Calibri"/>
        </w:rPr>
        <w:tab/>
        <w:t>The sample container sustained damage in transit; or</w:t>
      </w:r>
    </w:p>
    <w:p w14:paraId="5804DAAA" w14:textId="77777777" w:rsidR="001B6EEE" w:rsidRDefault="001B6EEE" w:rsidP="001B6EEE">
      <w:pPr>
        <w:ind w:left="2880" w:hanging="720"/>
        <w:rPr>
          <w:rFonts w:eastAsia="Calibri"/>
        </w:rPr>
      </w:pPr>
    </w:p>
    <w:p w14:paraId="0FA2F4A8" w14:textId="799158B4" w:rsidR="00B50A91" w:rsidRPr="003B4362" w:rsidRDefault="00B50A91" w:rsidP="001B6EEE">
      <w:pPr>
        <w:ind w:left="2880" w:hanging="720"/>
        <w:rPr>
          <w:rFonts w:eastAsia="Calibri"/>
        </w:rPr>
      </w:pPr>
      <w:r w:rsidRPr="003B4362">
        <w:rPr>
          <w:rFonts w:eastAsia="Calibri"/>
        </w:rPr>
        <w:t>D)</w:t>
      </w:r>
      <w:r w:rsidRPr="003B4362">
        <w:rPr>
          <w:rFonts w:eastAsia="Calibri"/>
        </w:rPr>
        <w:tab/>
        <w:t>There is substantial reason to believe that someone tampered with the sample.</w:t>
      </w:r>
    </w:p>
    <w:p w14:paraId="4F9C9515" w14:textId="77777777" w:rsidR="001B6EEE" w:rsidRDefault="001B6EEE" w:rsidP="001B6EEE">
      <w:pPr>
        <w:ind w:left="2160" w:hanging="720"/>
        <w:rPr>
          <w:rFonts w:eastAsia="Calibri"/>
        </w:rPr>
      </w:pPr>
    </w:p>
    <w:p w14:paraId="799097D6" w14:textId="285B3F6A" w:rsidR="00B50A91" w:rsidRPr="003B4362" w:rsidRDefault="00B50A91" w:rsidP="001B6EEE">
      <w:pPr>
        <w:ind w:left="2160" w:hanging="720"/>
        <w:rPr>
          <w:rFonts w:eastAsia="Calibri"/>
        </w:rPr>
      </w:pPr>
      <w:r w:rsidRPr="003B4362">
        <w:rPr>
          <w:rFonts w:eastAsia="Calibri"/>
        </w:rPr>
        <w:t>2)</w:t>
      </w:r>
      <w:r w:rsidRPr="003B4362">
        <w:rPr>
          <w:rFonts w:eastAsia="Calibri"/>
        </w:rPr>
        <w:tab/>
        <w:t>The supplier must report the results from all samples to the Agency and submit all supporting documentation for samples the supplier believes the Agency should invalidate.</w:t>
      </w:r>
    </w:p>
    <w:p w14:paraId="18529AE7" w14:textId="77777777" w:rsidR="001B6EEE" w:rsidRDefault="001B6EEE" w:rsidP="001B6EEE">
      <w:pPr>
        <w:ind w:left="2160" w:hanging="720"/>
        <w:rPr>
          <w:rFonts w:eastAsia="Calibri"/>
        </w:rPr>
      </w:pPr>
    </w:p>
    <w:p w14:paraId="3B1DDF88" w14:textId="45102B1C" w:rsidR="00B50A91" w:rsidRPr="003B4362" w:rsidRDefault="00B50A91" w:rsidP="001B6EEE">
      <w:pPr>
        <w:ind w:left="2160" w:hanging="720"/>
        <w:rPr>
          <w:rFonts w:eastAsia="Calibri"/>
        </w:rPr>
      </w:pPr>
      <w:r w:rsidRPr="003B4362">
        <w:rPr>
          <w:rFonts w:eastAsia="Calibri"/>
        </w:rPr>
        <w:t>3)</w:t>
      </w:r>
      <w:r w:rsidRPr="003B4362">
        <w:rPr>
          <w:rFonts w:eastAsia="Calibri"/>
        </w:rPr>
        <w:tab/>
        <w:t>To invalidate a sample under subsection (f)(1), the Agency must document its decision and rationale for the decision in writing.  The Agency may not invalidate a sample solely because a follow-up sample result is higher or lower than that of the original sample.</w:t>
      </w:r>
    </w:p>
    <w:p w14:paraId="00181ABE" w14:textId="77777777" w:rsidR="001B6EEE" w:rsidRDefault="001B6EEE" w:rsidP="001B6EEE">
      <w:pPr>
        <w:ind w:left="2160" w:hanging="720"/>
        <w:rPr>
          <w:rFonts w:eastAsia="Calibri"/>
        </w:rPr>
      </w:pPr>
    </w:p>
    <w:p w14:paraId="041548BD" w14:textId="340D5F91" w:rsidR="00B50A91" w:rsidRPr="003B4362" w:rsidRDefault="00B50A91" w:rsidP="001B6EEE">
      <w:pPr>
        <w:ind w:left="2160" w:hanging="720"/>
        <w:rPr>
          <w:rFonts w:eastAsia="Calibri"/>
        </w:rPr>
      </w:pPr>
      <w:r w:rsidRPr="003B4362">
        <w:rPr>
          <w:rFonts w:eastAsia="Calibri"/>
        </w:rPr>
        <w:t>4)</w:t>
      </w:r>
      <w:r w:rsidRPr="003B4362">
        <w:rPr>
          <w:rFonts w:eastAsia="Calibri"/>
        </w:rPr>
        <w:tab/>
        <w:t>The supplier must collect replacement samples for any samples the Agency invalidates under this Section if the supplier has too few samples to meet the minimum requirements of subsection (c) after the Agency invalidates samples.  The supplier must take any replacement samples as soon as possible but no later than the latter of 20 days after the Agency invalidates the original sample or before the end of the applicable monitoring period.  The supplier must not use replacement samples it takes after the end of the applicable monitoring period to meet the monitoring requirements of a subsequent monitoring period.  The supplier must take replacement samples at the same locations where it took the invalidated samples or, if that is not possible, at other locations the supplier did not use for sampling during the monitoring period.</w:t>
      </w:r>
    </w:p>
    <w:p w14:paraId="576B40D0" w14:textId="77777777" w:rsidR="001B6EEE" w:rsidRDefault="001B6EEE" w:rsidP="001B6EEE">
      <w:pPr>
        <w:ind w:left="1440" w:hanging="720"/>
        <w:rPr>
          <w:rFonts w:eastAsia="Calibri"/>
        </w:rPr>
      </w:pPr>
    </w:p>
    <w:p w14:paraId="3F943674" w14:textId="37C68F11" w:rsidR="00B50A91" w:rsidRPr="003B4362" w:rsidRDefault="00B50A91" w:rsidP="001B6EEE">
      <w:pPr>
        <w:ind w:left="1440" w:hanging="720"/>
        <w:rPr>
          <w:rFonts w:eastAsia="Calibri"/>
        </w:rPr>
      </w:pPr>
      <w:r w:rsidRPr="003B4362">
        <w:rPr>
          <w:rFonts w:eastAsia="Calibri"/>
        </w:rPr>
        <w:lastRenderedPageBreak/>
        <w:t>g)</w:t>
      </w:r>
      <w:r w:rsidRPr="003B4362">
        <w:rPr>
          <w:rFonts w:eastAsia="Calibri"/>
        </w:rPr>
        <w:tab/>
        <w:t>Monitoring Waivers for Small System Suppliers.  Any small system supplier complying with the criteria in this subsection (g) may apply to the Agency for a SEP reducing its lead and copper monitoring frequency under this Section to once every nine years (i.e., a “full waiver”) if the supplier meets all of the materials criteria subsection (g)(1) specifies and all of the monitoring criteria subsection (g)(2) specifies.  Any small system supplier that meets the criteria subsections (g)(1) and (g)(2) only for lead or copper may apply to the Agency for a SEP reducing its tap water monitoring frequency to once every nine years for that contaminant only (i.e., a “partial waiver”).</w:t>
      </w:r>
    </w:p>
    <w:p w14:paraId="1704F2CC" w14:textId="77777777" w:rsidR="001B6EEE" w:rsidRDefault="001B6EEE" w:rsidP="001B6EEE">
      <w:pPr>
        <w:ind w:left="2160" w:hanging="720"/>
        <w:rPr>
          <w:rFonts w:eastAsia="Calibri"/>
        </w:rPr>
      </w:pPr>
    </w:p>
    <w:p w14:paraId="33F9D808" w14:textId="48A25789" w:rsidR="00B50A91" w:rsidRPr="003B4362" w:rsidRDefault="00B50A91" w:rsidP="001B6EEE">
      <w:pPr>
        <w:ind w:left="2160" w:hanging="720"/>
        <w:rPr>
          <w:rFonts w:eastAsia="Calibri"/>
        </w:rPr>
      </w:pPr>
      <w:r w:rsidRPr="003B4362">
        <w:rPr>
          <w:rFonts w:eastAsia="Calibri"/>
        </w:rPr>
        <w:t>1)</w:t>
      </w:r>
      <w:r w:rsidRPr="003B4362">
        <w:rPr>
          <w:rFonts w:eastAsia="Calibri"/>
        </w:rPr>
        <w:tab/>
        <w:t>Materials Criteria.  The supplier must demonstrate that its distribution system, service lines, and all drinking water supply plumbing, including plumbing conveying drinking water within all residences and buildings connected to the system, are free of lead-containing materials or copper-containing materials, as this subsection (g)(1) defines these terms:</w:t>
      </w:r>
    </w:p>
    <w:p w14:paraId="2D99DFAF" w14:textId="77777777" w:rsidR="001B6EEE" w:rsidRDefault="001B6EEE" w:rsidP="001B6EEE">
      <w:pPr>
        <w:ind w:left="2880" w:hanging="720"/>
        <w:rPr>
          <w:rFonts w:eastAsia="Calibri"/>
        </w:rPr>
      </w:pPr>
    </w:p>
    <w:p w14:paraId="12E18739" w14:textId="33E32F49" w:rsidR="00B50A91" w:rsidRPr="003B4362" w:rsidRDefault="00B50A91" w:rsidP="001B6EEE">
      <w:pPr>
        <w:ind w:left="2880" w:hanging="720"/>
        <w:rPr>
          <w:rFonts w:eastAsia="Calibri"/>
        </w:rPr>
      </w:pPr>
      <w:r w:rsidRPr="003B4362">
        <w:rPr>
          <w:rFonts w:eastAsia="Calibri"/>
        </w:rPr>
        <w:t>A)</w:t>
      </w:r>
      <w:r w:rsidRPr="003B4362">
        <w:rPr>
          <w:rFonts w:eastAsia="Calibri"/>
        </w:rPr>
        <w:tab/>
        <w:t>Lead.  To qualify for a SEP granting a full waiver or a partial waiver of the tap water monitoring requirements for lead (i.e., a “lead waiver”), the supplier must provide certification and supporting documentation to the Agency demonstrating that its system is free of all lead-containing materials:</w:t>
      </w:r>
    </w:p>
    <w:p w14:paraId="0A3B18B9" w14:textId="77777777" w:rsidR="001B6EEE" w:rsidRDefault="001B6EEE" w:rsidP="001B6EEE">
      <w:pPr>
        <w:ind w:left="3600" w:hanging="720"/>
        <w:rPr>
          <w:rFonts w:eastAsia="Calibri"/>
        </w:rPr>
      </w:pPr>
    </w:p>
    <w:p w14:paraId="710D40CA" w14:textId="03270017" w:rsidR="00B50A91" w:rsidRPr="003B4362" w:rsidRDefault="00B50A91" w:rsidP="001B6EEE">
      <w:pPr>
        <w:ind w:left="3600" w:hanging="720"/>
        <w:rPr>
          <w:rFonts w:eastAsia="Calibri"/>
        </w:rPr>
      </w:pPr>
      <w:r w:rsidRPr="003B4362">
        <w:rPr>
          <w:rFonts w:eastAsia="Calibri"/>
        </w:rPr>
        <w:t>i)</w:t>
      </w:r>
      <w:r w:rsidRPr="003B4362">
        <w:rPr>
          <w:rFonts w:eastAsia="Calibri"/>
        </w:rPr>
        <w:tab/>
        <w:t>The system has no plastic pipes or service lines containing lead plasticizers; and</w:t>
      </w:r>
    </w:p>
    <w:p w14:paraId="09FC363E" w14:textId="77777777" w:rsidR="001B6EEE" w:rsidRDefault="001B6EEE" w:rsidP="001B6EEE">
      <w:pPr>
        <w:ind w:left="3600" w:hanging="720"/>
        <w:rPr>
          <w:rFonts w:eastAsia="Calibri"/>
        </w:rPr>
      </w:pPr>
    </w:p>
    <w:p w14:paraId="247B703C" w14:textId="183024B0" w:rsidR="00B50A91" w:rsidRPr="003B4362" w:rsidRDefault="00B50A91" w:rsidP="001B6EEE">
      <w:pPr>
        <w:ind w:left="3600" w:hanging="720"/>
        <w:rPr>
          <w:rFonts w:eastAsia="Calibri"/>
          <w:spacing w:val="-3"/>
        </w:rPr>
      </w:pPr>
      <w:r w:rsidRPr="003B4362">
        <w:rPr>
          <w:rFonts w:eastAsia="Calibri"/>
        </w:rPr>
        <w:t>ii)</w:t>
      </w:r>
      <w:r w:rsidRPr="003B4362">
        <w:rPr>
          <w:rFonts w:eastAsia="Calibri"/>
        </w:rPr>
        <w:tab/>
        <w:t>The system is free of lead service lines, lead pipes, lead soldered pipe joints, and leaded brass- or bronze-alloy fittings and fixtures, unless those fittings and fixtures comply with Section 611.126(b)</w:t>
      </w:r>
      <w:r w:rsidRPr="003B4362">
        <w:rPr>
          <w:rFonts w:eastAsia="Calibri"/>
          <w:spacing w:val="-3"/>
        </w:rPr>
        <w:t>.</w:t>
      </w:r>
    </w:p>
    <w:p w14:paraId="0CAC3634" w14:textId="77777777" w:rsidR="001B6EEE" w:rsidRDefault="001B6EEE" w:rsidP="001B6EEE">
      <w:pPr>
        <w:ind w:left="3600"/>
        <w:rPr>
          <w:rFonts w:eastAsia="Calibri"/>
          <w:spacing w:val="-3"/>
        </w:rPr>
      </w:pPr>
    </w:p>
    <w:p w14:paraId="2E8D622C" w14:textId="2BB9A99A" w:rsidR="00B50A91" w:rsidRPr="003B4362" w:rsidRDefault="00B50A91" w:rsidP="001B6EEE">
      <w:pPr>
        <w:ind w:left="3600"/>
        <w:rPr>
          <w:rFonts w:eastAsia="Calibri"/>
        </w:rPr>
      </w:pPr>
      <w:r w:rsidRPr="003B4362">
        <w:rPr>
          <w:rFonts w:eastAsia="Calibri"/>
          <w:spacing w:val="-3"/>
        </w:rPr>
        <w:t>BOARD NOTE:  Corresponding 40 CFR 141.86(g)(1)(i)(B)</w:t>
      </w:r>
      <w:r w:rsidR="004341BB" w:rsidRPr="003B4362">
        <w:rPr>
          <w:rFonts w:eastAsia="Calibri"/>
        </w:rPr>
        <w:t xml:space="preserve"> (2020)</w:t>
      </w:r>
      <w:r w:rsidRPr="003B4362">
        <w:rPr>
          <w:rFonts w:eastAsia="Calibri"/>
          <w:spacing w:val="-3"/>
        </w:rPr>
        <w:t xml:space="preserve"> specifies “</w:t>
      </w:r>
      <w:r w:rsidRPr="003B4362">
        <w:rPr>
          <w:rFonts w:eastAsia="Calibri"/>
        </w:rPr>
        <w:t xml:space="preserve">any standard established pursuant to 42 </w:t>
      </w:r>
      <w:r w:rsidR="0062698B" w:rsidRPr="003B4362">
        <w:t>U.S.C.</w:t>
      </w:r>
      <w:r w:rsidRPr="003B4362">
        <w:rPr>
          <w:rFonts w:eastAsia="Calibri"/>
        </w:rPr>
        <w:t xml:space="preserve"> 300g-6(e) (SDWA section 1417(e))”.</w:t>
      </w:r>
      <w:r w:rsidRPr="003B4362">
        <w:rPr>
          <w:rFonts w:eastAsia="Calibri"/>
          <w:spacing w:val="-3"/>
        </w:rPr>
        <w:t xml:space="preserve">  Congress changed the lead standards for fittings and fixtures in </w:t>
      </w:r>
      <w:r w:rsidRPr="003B4362">
        <w:rPr>
          <w:rFonts w:eastAsia="Calibri"/>
        </w:rPr>
        <w:t>the Reduction of Lead in Drinking Water Act, P.L. 111-380, section 2(a)(2) and (b), 124 Stat. 4131 (Jan. 4, 2011).  The Board incorporated the statutory changes into this Section by referencing Section 611.126(b).</w:t>
      </w:r>
    </w:p>
    <w:p w14:paraId="5D482467" w14:textId="77777777" w:rsidR="001B6EEE" w:rsidRDefault="001B6EEE" w:rsidP="001B6EEE">
      <w:pPr>
        <w:ind w:left="2880" w:hanging="720"/>
        <w:rPr>
          <w:rFonts w:eastAsia="Calibri"/>
        </w:rPr>
      </w:pPr>
    </w:p>
    <w:p w14:paraId="00FC0A8E" w14:textId="45A81C07" w:rsidR="00B50A91" w:rsidRPr="003B4362" w:rsidRDefault="00B50A91" w:rsidP="001B6EEE">
      <w:pPr>
        <w:ind w:left="2880" w:hanging="720"/>
        <w:rPr>
          <w:rFonts w:eastAsia="Calibri"/>
        </w:rPr>
      </w:pPr>
      <w:r w:rsidRPr="003B4362">
        <w:rPr>
          <w:rFonts w:eastAsia="Calibri"/>
        </w:rPr>
        <w:t>B)</w:t>
      </w:r>
      <w:r w:rsidRPr="003B4362">
        <w:rPr>
          <w:rFonts w:eastAsia="Calibri"/>
        </w:rPr>
        <w:tab/>
        <w:t>Copper.  To qualify for a SEP granting a full waiver or a partial waiver of the tap water monitoring requirements for copper (i.e., a “copper waiver”), the supplier must provide certification and supporting documentation to the Agency demonstrating that its system contains no copper pipes or copper service lines.</w:t>
      </w:r>
    </w:p>
    <w:p w14:paraId="03406098" w14:textId="77777777" w:rsidR="001B6EEE" w:rsidRDefault="001B6EEE" w:rsidP="001B6EEE">
      <w:pPr>
        <w:ind w:left="2160" w:hanging="720"/>
        <w:rPr>
          <w:rFonts w:eastAsia="Calibri"/>
        </w:rPr>
      </w:pPr>
    </w:p>
    <w:p w14:paraId="602D9185" w14:textId="33A95C22" w:rsidR="00B50A91" w:rsidRPr="003B4362" w:rsidRDefault="00B50A91" w:rsidP="001B6EEE">
      <w:pPr>
        <w:ind w:left="2160" w:hanging="720"/>
        <w:rPr>
          <w:rFonts w:eastAsia="Calibri"/>
        </w:rPr>
      </w:pPr>
      <w:r w:rsidRPr="003B4362">
        <w:rPr>
          <w:rFonts w:eastAsia="Calibri"/>
        </w:rPr>
        <w:lastRenderedPageBreak/>
        <w:t>2)</w:t>
      </w:r>
      <w:r w:rsidRPr="003B4362">
        <w:rPr>
          <w:rFonts w:eastAsia="Calibri"/>
        </w:rPr>
        <w:tab/>
        <w:t>Monitoring Criteria for Waiver Issuance.  The supplier must have completed at least one six-month round of standard tap water monitoring for lead and copper at Agency-approved sites and from the number of sites subsection (c) requires and demonstrate to the Agency that the 90th percentile levels for any and all rounds of monitoring conducted since the system became free of all lead-containing or copper-containing materials, as appropriate, meet certain criteria:</w:t>
      </w:r>
    </w:p>
    <w:p w14:paraId="6D44EAD9" w14:textId="77777777" w:rsidR="001B6EEE" w:rsidRDefault="001B6EEE" w:rsidP="001B6EEE">
      <w:pPr>
        <w:ind w:left="2880" w:hanging="720"/>
        <w:rPr>
          <w:rFonts w:eastAsia="Calibri"/>
        </w:rPr>
      </w:pPr>
    </w:p>
    <w:p w14:paraId="4F349467" w14:textId="57C64B55" w:rsidR="00B50A91" w:rsidRPr="003B4362" w:rsidRDefault="00B50A91" w:rsidP="001B6EEE">
      <w:pPr>
        <w:ind w:left="2880" w:hanging="720"/>
        <w:rPr>
          <w:rFonts w:eastAsia="Calibri"/>
        </w:rPr>
      </w:pPr>
      <w:r w:rsidRPr="003B4362">
        <w:rPr>
          <w:rFonts w:eastAsia="Calibri"/>
        </w:rPr>
        <w:t>A)</w:t>
      </w:r>
      <w:r w:rsidRPr="003B4362">
        <w:rPr>
          <w:rFonts w:eastAsia="Calibri"/>
        </w:rPr>
        <w:tab/>
        <w:t>Lead Levels.  To qualify for a full waiver or a lead partial waiver, the supplier must demonstrate that its 90th percentile lead level does not exceed 0.005 mg/</w:t>
      </w:r>
      <w:r w:rsidR="006A710C" w:rsidRPr="003B4362">
        <w:t>L</w:t>
      </w:r>
      <w:r w:rsidRPr="003B4362">
        <w:rPr>
          <w:rFonts w:eastAsia="Calibri"/>
        </w:rPr>
        <w:t>.</w:t>
      </w:r>
    </w:p>
    <w:p w14:paraId="7BF44FE1" w14:textId="77777777" w:rsidR="001B6EEE" w:rsidRDefault="001B6EEE" w:rsidP="001B6EEE">
      <w:pPr>
        <w:ind w:left="2880" w:hanging="720"/>
        <w:rPr>
          <w:rFonts w:eastAsia="Calibri"/>
        </w:rPr>
      </w:pPr>
    </w:p>
    <w:p w14:paraId="2F2E06BD" w14:textId="07F2780D" w:rsidR="00B50A91" w:rsidRPr="003B4362" w:rsidRDefault="00B50A91" w:rsidP="001B6EEE">
      <w:pPr>
        <w:ind w:left="2880" w:hanging="720"/>
        <w:rPr>
          <w:rFonts w:eastAsia="Calibri"/>
        </w:rPr>
      </w:pPr>
      <w:r w:rsidRPr="003B4362">
        <w:rPr>
          <w:rFonts w:eastAsia="Calibri"/>
        </w:rPr>
        <w:t>B)</w:t>
      </w:r>
      <w:r w:rsidRPr="003B4362">
        <w:rPr>
          <w:rFonts w:eastAsia="Calibri"/>
        </w:rPr>
        <w:tab/>
        <w:t>Copper Levels.  To qualify for a full waiver or a copper partial waiver, the supplier must demonstrate that its 90th percentile copper level does not exceed 0.65 mg/</w:t>
      </w:r>
      <w:r w:rsidR="006A710C" w:rsidRPr="003B4362">
        <w:t>L</w:t>
      </w:r>
      <w:r w:rsidRPr="003B4362">
        <w:rPr>
          <w:rFonts w:eastAsia="Calibri"/>
        </w:rPr>
        <w:t>.</w:t>
      </w:r>
    </w:p>
    <w:p w14:paraId="0A7BA844" w14:textId="77777777" w:rsidR="001B6EEE" w:rsidRDefault="001B6EEE" w:rsidP="001B6EEE">
      <w:pPr>
        <w:ind w:left="2160" w:hanging="720"/>
        <w:rPr>
          <w:rFonts w:eastAsia="Calibri"/>
        </w:rPr>
      </w:pPr>
    </w:p>
    <w:p w14:paraId="13C559E7" w14:textId="66A95DAD" w:rsidR="00B50A91" w:rsidRPr="003B4362" w:rsidRDefault="00B50A91" w:rsidP="001B6EEE">
      <w:pPr>
        <w:ind w:left="2160" w:hanging="720"/>
        <w:rPr>
          <w:rFonts w:eastAsia="Calibri"/>
        </w:rPr>
      </w:pPr>
      <w:r w:rsidRPr="003B4362">
        <w:rPr>
          <w:rFonts w:eastAsia="Calibri"/>
        </w:rPr>
        <w:t>3)</w:t>
      </w:r>
      <w:r w:rsidRPr="003B4362">
        <w:rPr>
          <w:rFonts w:eastAsia="Calibri"/>
        </w:rPr>
        <w:tab/>
        <w:t>Agency Approval of Waiver Application.  The Agency must notify the supplier of its waiver determination in a SEP stating the basis of its decision and any condition on the waiver.  As a condition on the waiver, the Agency may require the supplier to perform specific activities (e.g., limited monitoring, periodic outreach to customers to remind them to avoid installation of materials that might void the waiver, etc.) to avoid the risk of lead or copper concentration of concern in tap water.  The small system supplier must continue monitoring for lead and copper at the tap as subsections (d)(1) through (d)(4) require, as appropriate, until the supplier receives written notification from the Agency approving the waiver.</w:t>
      </w:r>
    </w:p>
    <w:p w14:paraId="3874FA33" w14:textId="77777777" w:rsidR="001B6EEE" w:rsidRDefault="001B6EEE" w:rsidP="001B6EEE">
      <w:pPr>
        <w:ind w:left="2160" w:hanging="720"/>
        <w:rPr>
          <w:rFonts w:eastAsia="Calibri"/>
        </w:rPr>
      </w:pPr>
    </w:p>
    <w:p w14:paraId="1516B336" w14:textId="44F2FA31" w:rsidR="00B50A91" w:rsidRPr="003B4362" w:rsidRDefault="00B50A91" w:rsidP="001B6EEE">
      <w:pPr>
        <w:ind w:left="2160" w:hanging="720"/>
        <w:rPr>
          <w:rFonts w:eastAsia="Calibri"/>
        </w:rPr>
      </w:pPr>
      <w:r w:rsidRPr="003B4362">
        <w:rPr>
          <w:rFonts w:eastAsia="Calibri"/>
        </w:rPr>
        <w:t>4)</w:t>
      </w:r>
      <w:r w:rsidRPr="003B4362">
        <w:rPr>
          <w:rFonts w:eastAsia="Calibri"/>
        </w:rPr>
        <w:tab/>
        <w:t>Monitoring Frequency for Suppliers with Waivers</w:t>
      </w:r>
    </w:p>
    <w:p w14:paraId="32185E6B" w14:textId="77777777" w:rsidR="001B6EEE" w:rsidRDefault="001B6EEE" w:rsidP="001B6EEE">
      <w:pPr>
        <w:ind w:left="2880" w:hanging="720"/>
        <w:rPr>
          <w:rFonts w:eastAsia="Calibri"/>
        </w:rPr>
      </w:pPr>
    </w:p>
    <w:p w14:paraId="22E5CC40" w14:textId="7AAF4C8B" w:rsidR="00B50A91" w:rsidRPr="003B4362" w:rsidRDefault="00B50A91" w:rsidP="001B6EEE">
      <w:pPr>
        <w:ind w:left="2880" w:hanging="720"/>
        <w:rPr>
          <w:rFonts w:eastAsia="Calibri"/>
        </w:rPr>
      </w:pPr>
      <w:r w:rsidRPr="003B4362">
        <w:rPr>
          <w:rFonts w:eastAsia="Calibri"/>
        </w:rPr>
        <w:t>A)</w:t>
      </w:r>
      <w:r w:rsidRPr="003B4362">
        <w:rPr>
          <w:rFonts w:eastAsia="Calibri"/>
        </w:rPr>
        <w:tab/>
        <w:t>A supplier with a full waiver must conduct tap water monitoring for lead and copper under subsection (d)(4)(D) at the reduced number of sampling sites subsection (c) identifies at least once every nine years and provide to the Agency the materials certification subsection (g)(1) specifies for both lead and copper together with the monitoring results.  The supplier must collect samples every nine years no later than the ninth calendar year.</w:t>
      </w:r>
    </w:p>
    <w:p w14:paraId="2FAC22F8" w14:textId="77777777" w:rsidR="001B6EEE" w:rsidRDefault="001B6EEE" w:rsidP="001B6EEE">
      <w:pPr>
        <w:ind w:left="2880" w:hanging="720"/>
        <w:rPr>
          <w:rFonts w:eastAsia="Calibri"/>
        </w:rPr>
      </w:pPr>
    </w:p>
    <w:p w14:paraId="64D97E7A" w14:textId="6BEAF454" w:rsidR="00B50A91" w:rsidRPr="003B4362" w:rsidRDefault="00B50A91" w:rsidP="001B6EEE">
      <w:pPr>
        <w:ind w:left="2880" w:hanging="720"/>
        <w:rPr>
          <w:rFonts w:eastAsia="Calibri"/>
        </w:rPr>
      </w:pPr>
      <w:r w:rsidRPr="003B4362">
        <w:rPr>
          <w:rFonts w:eastAsia="Calibri"/>
        </w:rPr>
        <w:t>B)</w:t>
      </w:r>
      <w:r w:rsidRPr="003B4362">
        <w:rPr>
          <w:rFonts w:eastAsia="Calibri"/>
        </w:rPr>
        <w:tab/>
        <w:t>A supplier with a partial waiver must conduct tap water monitoring for the waived contaminant under subsection (d)(4)(D) at the reduced number of sampling sites subsection (c) specifies at least once every nine years and provide to the Agency the materials certification subsection (g)(1) specifies pertaining to the waived contaminant together with the monitoring results.  Such a supplier also must continue to monitor for the non-waived contaminant in under the applicable of subsections (d)(1) through (d)(4).</w:t>
      </w:r>
    </w:p>
    <w:p w14:paraId="45851FBE" w14:textId="77777777" w:rsidR="001B6EEE" w:rsidRDefault="001B6EEE" w:rsidP="001B6EEE">
      <w:pPr>
        <w:ind w:left="2880" w:hanging="720"/>
        <w:rPr>
          <w:rFonts w:eastAsia="Calibri"/>
        </w:rPr>
      </w:pPr>
    </w:p>
    <w:p w14:paraId="06D5F640" w14:textId="79C63FA9" w:rsidR="00B50A91" w:rsidRPr="003B4362" w:rsidRDefault="00B50A91" w:rsidP="001B6EEE">
      <w:pPr>
        <w:ind w:left="2880" w:hanging="720"/>
        <w:rPr>
          <w:rFonts w:eastAsia="Calibri"/>
        </w:rPr>
      </w:pPr>
      <w:r w:rsidRPr="003B4362">
        <w:rPr>
          <w:rFonts w:eastAsia="Calibri"/>
        </w:rPr>
        <w:t>C)</w:t>
      </w:r>
      <w:r w:rsidRPr="003B4362">
        <w:rPr>
          <w:rFonts w:eastAsia="Calibri"/>
        </w:rPr>
        <w:tab/>
        <w:t>A supplier with a full or partial waiver must notify the Agency in writing under Section 611.1360(a)(3) of any upcoming long-term change in treatment or adding a new source, as that rule describes.  The Agency must review and approve adding a new source or long-term change in water treatment before the supplier implements it.  The Agency may add or modify waiver conditions (e.g., require recertification that the supplier’s system is free of lead-containing or copper-containing materials, require additional rounds of monitoring, etc.) if the Agency determines that the modifications are necessary to address system treatment or source water changes.</w:t>
      </w:r>
    </w:p>
    <w:p w14:paraId="1C03F718" w14:textId="77777777" w:rsidR="001B6EEE" w:rsidRDefault="001B6EEE" w:rsidP="001B6EEE">
      <w:pPr>
        <w:ind w:left="2880" w:hanging="720"/>
        <w:rPr>
          <w:rFonts w:eastAsia="Calibri"/>
        </w:rPr>
      </w:pPr>
    </w:p>
    <w:p w14:paraId="5954A640" w14:textId="1F1FA4DA" w:rsidR="00B50A91" w:rsidRPr="003B4362" w:rsidRDefault="00B50A91" w:rsidP="001B6EEE">
      <w:pPr>
        <w:ind w:left="2880" w:hanging="720"/>
        <w:rPr>
          <w:rFonts w:eastAsia="Calibri"/>
        </w:rPr>
      </w:pPr>
      <w:r w:rsidRPr="003B4362">
        <w:rPr>
          <w:rFonts w:eastAsia="Calibri"/>
        </w:rPr>
        <w:t>D)</w:t>
      </w:r>
      <w:r w:rsidRPr="003B4362">
        <w:rPr>
          <w:rFonts w:eastAsia="Calibri"/>
        </w:rPr>
        <w:tab/>
        <w:t>If a supplier with a full or partial waiver becomes aware that its system is no longer free of lead- or copper-containing materials, as appropriate (e.g., as a result of new construction or repairs), the supplier must notify the Agency in writing no later than 60 days after becoming aware of the change.</w:t>
      </w:r>
    </w:p>
    <w:p w14:paraId="13A57979" w14:textId="77777777" w:rsidR="001B6EEE" w:rsidRDefault="001B6EEE" w:rsidP="001B6EEE">
      <w:pPr>
        <w:ind w:left="2160" w:hanging="720"/>
        <w:rPr>
          <w:rFonts w:eastAsia="Calibri"/>
        </w:rPr>
      </w:pPr>
    </w:p>
    <w:p w14:paraId="1F7ADD83" w14:textId="5F2B1A86" w:rsidR="00B50A91" w:rsidRPr="003B4362" w:rsidRDefault="00B50A91" w:rsidP="001B6EEE">
      <w:pPr>
        <w:ind w:left="2160" w:hanging="720"/>
        <w:rPr>
          <w:rFonts w:eastAsia="Calibri"/>
        </w:rPr>
      </w:pPr>
      <w:r w:rsidRPr="003B4362">
        <w:rPr>
          <w:rFonts w:eastAsia="Calibri"/>
        </w:rPr>
        <w:t>5)</w:t>
      </w:r>
      <w:r w:rsidRPr="003B4362">
        <w:rPr>
          <w:rFonts w:eastAsia="Calibri"/>
        </w:rPr>
        <w:tab/>
        <w:t>Continued Eligibility.  If the supplier continues to comply with subsection (g)(4), the waiver will renew automatically, unless any of the conditions in subsections (g)(5)(A) through (g)(5)(C) occur.  A supplier whose waiver the Agency revokes may re-apply for a waiver when the supplier again meets the appropriate materials and monitoring criteria of subsections (g)(1) and (g)(2).</w:t>
      </w:r>
    </w:p>
    <w:p w14:paraId="68C243E3" w14:textId="77777777" w:rsidR="001B6EEE" w:rsidRDefault="001B6EEE" w:rsidP="001B6EEE">
      <w:pPr>
        <w:ind w:left="2880" w:hanging="720"/>
        <w:rPr>
          <w:rFonts w:eastAsia="Calibri"/>
        </w:rPr>
      </w:pPr>
    </w:p>
    <w:p w14:paraId="4790B285" w14:textId="4E31D4EC" w:rsidR="00B50A91" w:rsidRPr="003B4362" w:rsidRDefault="00B50A91" w:rsidP="001B6EEE">
      <w:pPr>
        <w:ind w:left="2880" w:hanging="720"/>
        <w:rPr>
          <w:rFonts w:eastAsia="Calibri"/>
        </w:rPr>
      </w:pPr>
      <w:r w:rsidRPr="003B4362">
        <w:rPr>
          <w:rFonts w:eastAsia="Calibri"/>
        </w:rPr>
        <w:t>A)</w:t>
      </w:r>
      <w:r w:rsidRPr="003B4362">
        <w:rPr>
          <w:rFonts w:eastAsia="Calibri"/>
        </w:rPr>
        <w:tab/>
        <w:t>A full waiver or a lead partial waiver does not renew if the supplier no longer satisfies the materials criteria of subsection (g)(1)(A) or has a 90th percentile lead level greater than 0.005 mg/</w:t>
      </w:r>
      <w:r w:rsidR="006A710C" w:rsidRPr="003B4362">
        <w:t>L</w:t>
      </w:r>
      <w:r w:rsidRPr="003B4362">
        <w:rPr>
          <w:rFonts w:eastAsia="Calibri"/>
        </w:rPr>
        <w:t>.</w:t>
      </w:r>
    </w:p>
    <w:p w14:paraId="1E85C428" w14:textId="77777777" w:rsidR="001B6EEE" w:rsidRDefault="001B6EEE" w:rsidP="001B6EEE">
      <w:pPr>
        <w:ind w:left="2880" w:hanging="720"/>
        <w:rPr>
          <w:rFonts w:eastAsia="Calibri"/>
        </w:rPr>
      </w:pPr>
    </w:p>
    <w:p w14:paraId="151D808B" w14:textId="7FB359B7" w:rsidR="00B50A91" w:rsidRPr="003B4362" w:rsidRDefault="00B50A91" w:rsidP="001B6EEE">
      <w:pPr>
        <w:ind w:left="2880" w:hanging="720"/>
        <w:rPr>
          <w:rFonts w:eastAsia="Calibri"/>
        </w:rPr>
      </w:pPr>
      <w:r w:rsidRPr="003B4362">
        <w:rPr>
          <w:rFonts w:eastAsia="Calibri"/>
        </w:rPr>
        <w:t>B)</w:t>
      </w:r>
      <w:r w:rsidRPr="003B4362">
        <w:rPr>
          <w:rFonts w:eastAsia="Calibri"/>
        </w:rPr>
        <w:tab/>
        <w:t>A full waiver or a copper partial waiver does not renew if the supplier no longer satisfies the materials criteria of subsection (g)(1)(B) or has a 90th percentile copper level greater than 0.65 mg/</w:t>
      </w:r>
      <w:r w:rsidR="006A710C" w:rsidRPr="003B4362">
        <w:t>L</w:t>
      </w:r>
      <w:r w:rsidRPr="003B4362">
        <w:rPr>
          <w:rFonts w:eastAsia="Calibri"/>
        </w:rPr>
        <w:t>.</w:t>
      </w:r>
    </w:p>
    <w:p w14:paraId="307C78AB" w14:textId="77777777" w:rsidR="001B6EEE" w:rsidRDefault="001B6EEE" w:rsidP="001B6EEE">
      <w:pPr>
        <w:ind w:left="2880" w:hanging="720"/>
        <w:rPr>
          <w:rFonts w:eastAsia="Calibri"/>
        </w:rPr>
      </w:pPr>
    </w:p>
    <w:p w14:paraId="27D92160" w14:textId="0CC303FB" w:rsidR="00B50A91" w:rsidRPr="003B4362" w:rsidRDefault="00B50A91" w:rsidP="001B6EEE">
      <w:pPr>
        <w:ind w:left="2880" w:hanging="720"/>
        <w:rPr>
          <w:rFonts w:eastAsia="Calibri"/>
        </w:rPr>
      </w:pPr>
      <w:r w:rsidRPr="003B4362">
        <w:rPr>
          <w:rFonts w:eastAsia="Calibri"/>
        </w:rPr>
        <w:t>C)</w:t>
      </w:r>
      <w:r w:rsidRPr="003B4362">
        <w:rPr>
          <w:rFonts w:eastAsia="Calibri"/>
        </w:rPr>
        <w:tab/>
        <w:t>A waiver terminates when the Agency notifies the supplier that the Agency revokes the waiver, in writing and describing the basis of its decision.</w:t>
      </w:r>
    </w:p>
    <w:p w14:paraId="2C909ABF" w14:textId="77777777" w:rsidR="001B6EEE" w:rsidRDefault="001B6EEE" w:rsidP="001B6EEE">
      <w:pPr>
        <w:ind w:left="2160" w:hanging="720"/>
        <w:rPr>
          <w:rFonts w:eastAsia="Calibri"/>
        </w:rPr>
      </w:pPr>
    </w:p>
    <w:p w14:paraId="4FE22149" w14:textId="322E12B6" w:rsidR="00B50A91" w:rsidRPr="003B4362" w:rsidRDefault="00B50A91" w:rsidP="001B6EEE">
      <w:pPr>
        <w:ind w:left="2160" w:hanging="720"/>
        <w:rPr>
          <w:rFonts w:eastAsia="Calibri"/>
        </w:rPr>
      </w:pPr>
      <w:r w:rsidRPr="003B4362">
        <w:rPr>
          <w:rFonts w:eastAsia="Calibri"/>
        </w:rPr>
        <w:t>6)</w:t>
      </w:r>
      <w:r w:rsidRPr="003B4362">
        <w:rPr>
          <w:rFonts w:eastAsia="Calibri"/>
        </w:rPr>
        <w:tab/>
        <w:t>Requirements Following Waiver Revocation.  A supplier whose full or partial waiver the Agency revokes must comply with specific corrosion control treatment and lead and copper tap water monitoring requirements:</w:t>
      </w:r>
    </w:p>
    <w:p w14:paraId="45D8E76F" w14:textId="77777777" w:rsidR="001B6EEE" w:rsidRDefault="001B6EEE" w:rsidP="001B6EEE">
      <w:pPr>
        <w:ind w:left="2880" w:hanging="720"/>
        <w:rPr>
          <w:rFonts w:eastAsia="Calibri"/>
        </w:rPr>
      </w:pPr>
    </w:p>
    <w:p w14:paraId="3123DD50" w14:textId="428D67EE" w:rsidR="00B50A91" w:rsidRPr="003B4362" w:rsidRDefault="00B50A91" w:rsidP="001B6EEE">
      <w:pPr>
        <w:ind w:left="2880" w:hanging="720"/>
        <w:rPr>
          <w:rFonts w:eastAsia="Calibri"/>
        </w:rPr>
      </w:pPr>
      <w:r w:rsidRPr="003B4362">
        <w:rPr>
          <w:rFonts w:eastAsia="Calibri"/>
        </w:rPr>
        <w:t>A)</w:t>
      </w:r>
      <w:r w:rsidRPr="003B4362">
        <w:rPr>
          <w:rFonts w:eastAsia="Calibri"/>
        </w:rPr>
        <w:tab/>
        <w:t xml:space="preserve">If the supplier exceeds the lead or copper action level, the supplier must implement corrosion control treatment within the deadlines </w:t>
      </w:r>
      <w:r w:rsidRPr="003B4362">
        <w:rPr>
          <w:rFonts w:eastAsia="Calibri"/>
        </w:rPr>
        <w:lastRenderedPageBreak/>
        <w:t xml:space="preserve">Section 611.1351(e) specifies and any other applicable requirements under this Subpart </w:t>
      </w:r>
      <w:r w:rsidR="00DE2C0D" w:rsidRPr="003B4362">
        <w:rPr>
          <w:rFonts w:eastAsia="Calibri"/>
        </w:rPr>
        <w:t>A</w:t>
      </w:r>
      <w:r w:rsidRPr="003B4362">
        <w:rPr>
          <w:rFonts w:eastAsia="Calibri"/>
        </w:rPr>
        <w:t>G.</w:t>
      </w:r>
    </w:p>
    <w:p w14:paraId="2665DAD0" w14:textId="77777777" w:rsidR="001B6EEE" w:rsidRDefault="001B6EEE" w:rsidP="001B6EEE">
      <w:pPr>
        <w:ind w:left="2880" w:hanging="720"/>
        <w:rPr>
          <w:rFonts w:eastAsia="Calibri"/>
        </w:rPr>
      </w:pPr>
    </w:p>
    <w:p w14:paraId="47EE2033" w14:textId="2D335C3A" w:rsidR="00B50A91" w:rsidRPr="003B4362" w:rsidRDefault="00B50A91" w:rsidP="001B6EEE">
      <w:pPr>
        <w:ind w:left="2880" w:hanging="720"/>
        <w:rPr>
          <w:rFonts w:eastAsia="Calibri"/>
        </w:rPr>
      </w:pPr>
      <w:r w:rsidRPr="003B4362">
        <w:rPr>
          <w:rFonts w:eastAsia="Calibri"/>
        </w:rPr>
        <w:t>B)</w:t>
      </w:r>
      <w:r w:rsidRPr="003B4362">
        <w:rPr>
          <w:rFonts w:eastAsia="Calibri"/>
        </w:rPr>
        <w:tab/>
        <w:t>If the supplier meets both the lead and the copper action levels, the supplier must monitor for lead and copper at the tap no less frequently than once every three years using the reduced number of sampling sites subsection (c) specifies.</w:t>
      </w:r>
    </w:p>
    <w:p w14:paraId="7EDF51D0" w14:textId="77777777" w:rsidR="001B6EEE" w:rsidRDefault="001B6EEE" w:rsidP="001B6EEE">
      <w:pPr>
        <w:ind w:left="2160" w:hanging="720"/>
        <w:rPr>
          <w:rFonts w:eastAsia="Calibri"/>
        </w:rPr>
      </w:pPr>
    </w:p>
    <w:p w14:paraId="15563213" w14:textId="2C882AD1" w:rsidR="00B50A91" w:rsidRPr="003B4362" w:rsidRDefault="00B50A91" w:rsidP="001B6EEE">
      <w:pPr>
        <w:ind w:left="2160" w:hanging="720"/>
        <w:rPr>
          <w:rFonts w:eastAsia="Calibri"/>
        </w:rPr>
      </w:pPr>
      <w:r w:rsidRPr="003B4362">
        <w:rPr>
          <w:rFonts w:eastAsia="Calibri"/>
        </w:rPr>
        <w:t>7)</w:t>
      </w:r>
      <w:r w:rsidRPr="003B4362">
        <w:rPr>
          <w:rFonts w:eastAsia="Calibri"/>
        </w:rPr>
        <w:tab/>
        <w:t>Pre-Existing Waivers.  A small system supplier waiver the Agency granted in writing prior to April 11, 2000 remains in effect under certain conditions:</w:t>
      </w:r>
    </w:p>
    <w:p w14:paraId="73EF269F" w14:textId="77777777" w:rsidR="001B6EEE" w:rsidRDefault="001B6EEE" w:rsidP="001B6EEE">
      <w:pPr>
        <w:ind w:left="2880" w:hanging="720"/>
        <w:rPr>
          <w:rFonts w:eastAsia="Calibri"/>
        </w:rPr>
      </w:pPr>
    </w:p>
    <w:p w14:paraId="26CBCBCF" w14:textId="58529A1D" w:rsidR="00B50A91" w:rsidRPr="003B4362" w:rsidRDefault="00B50A91" w:rsidP="001B6EEE">
      <w:pPr>
        <w:ind w:left="2880" w:hanging="720"/>
        <w:rPr>
          <w:rFonts w:eastAsia="Calibri"/>
        </w:rPr>
      </w:pPr>
      <w:r w:rsidRPr="003B4362">
        <w:rPr>
          <w:rFonts w:eastAsia="Calibri"/>
        </w:rPr>
        <w:t>A)</w:t>
      </w:r>
      <w:r w:rsidRPr="003B4362">
        <w:rPr>
          <w:rFonts w:eastAsia="Calibri"/>
        </w:rPr>
        <w:tab/>
        <w:t xml:space="preserve">If the supplier demonstrates that its system is free of both lead-containing and copper-containing materials, as subsection (g)(1) requires, and that its 90th percentile lead levels and 90th percentile copper levels comply with subsection (g)(2), the waiver remains in effect so long as the supplier continues </w:t>
      </w:r>
      <w:r w:rsidR="00135BFA" w:rsidRPr="003B4362">
        <w:rPr>
          <w:rFonts w:eastAsia="Calibri"/>
        </w:rPr>
        <w:t xml:space="preserve">to be </w:t>
      </w:r>
      <w:r w:rsidRPr="003B4362">
        <w:rPr>
          <w:rFonts w:eastAsia="Calibri"/>
        </w:rPr>
        <w:t>eligible for a waiver under subsection (g)(5).  The supplier must complete its first round of tap water monitoring under subsection (g)(4) no later than nine years after the supplier last monitored for lead and copper at the tap.</w:t>
      </w:r>
    </w:p>
    <w:p w14:paraId="5A5364F8" w14:textId="77777777" w:rsidR="001B6EEE" w:rsidRDefault="001B6EEE" w:rsidP="001B6EEE">
      <w:pPr>
        <w:ind w:left="2880" w:hanging="720"/>
        <w:rPr>
          <w:rFonts w:eastAsia="Calibri"/>
        </w:rPr>
      </w:pPr>
    </w:p>
    <w:p w14:paraId="735693EC" w14:textId="38A984AB" w:rsidR="00B50A91" w:rsidRPr="003B4362" w:rsidRDefault="00B50A91" w:rsidP="001B6EEE">
      <w:pPr>
        <w:ind w:left="2880" w:hanging="720"/>
        <w:rPr>
          <w:rFonts w:eastAsia="Calibri"/>
        </w:rPr>
      </w:pPr>
      <w:r w:rsidRPr="003B4362">
        <w:rPr>
          <w:rFonts w:eastAsia="Calibri"/>
        </w:rPr>
        <w:t>B)</w:t>
      </w:r>
      <w:r w:rsidRPr="003B4362">
        <w:rPr>
          <w:rFonts w:eastAsia="Calibri"/>
        </w:rPr>
        <w:tab/>
        <w:t>If the supplier complies with the materials criteria of subsection (g)(1) but has not complied with the monitoring criteria of subsection (g)(2), the supplier must conduct a round of monitoring for lead and copper at the tap demonstrating that it complied with subsection (g)(2).  Thereafter, the waiver remains in effect as long as the supplier complies with the continued eligibility criteria in subsection (g)(5). The supplier must complete its first round of tap water monitoring under subsection (g)(4) no later than nine years after the supplier conducts the monitoring under subsection (g)(2).</w:t>
      </w:r>
    </w:p>
    <w:p w14:paraId="010CDE26" w14:textId="77777777" w:rsidR="001B6EEE" w:rsidRDefault="001B6EEE" w:rsidP="001B6EEE">
      <w:pPr>
        <w:rPr>
          <w:rFonts w:eastAsia="Calibri"/>
        </w:rPr>
      </w:pPr>
    </w:p>
    <w:p w14:paraId="5B75A8C3" w14:textId="4C55578F" w:rsidR="00B50A91" w:rsidRPr="003B4362" w:rsidRDefault="00B50A91" w:rsidP="001B6EEE">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611.1356 and </w:t>
      </w:r>
      <w:r w:rsidRPr="003B4362">
        <w:rPr>
          <w:rFonts w:eastAsia="Calibri"/>
          <w:spacing w:val="-3"/>
        </w:rPr>
        <w:t xml:space="preserve">derives </w:t>
      </w:r>
      <w:r w:rsidRPr="003B4362">
        <w:rPr>
          <w:rFonts w:eastAsia="Calibri"/>
        </w:rPr>
        <w:t>from 40 CFR 141.86</w:t>
      </w:r>
      <w:r w:rsidR="004341BB" w:rsidRPr="003B4362">
        <w:rPr>
          <w:rFonts w:eastAsia="Calibri"/>
        </w:rPr>
        <w:t xml:space="preserve"> (2020)</w:t>
      </w:r>
      <w:r w:rsidRPr="003B4362">
        <w:rPr>
          <w:rFonts w:eastAsia="Calibri"/>
        </w:rPr>
        <w:t>.</w:t>
      </w:r>
    </w:p>
    <w:p w14:paraId="1E0A1A42" w14:textId="77777777" w:rsidR="001B6EEE" w:rsidRDefault="001B6EEE" w:rsidP="001B6EEE">
      <w:pPr>
        <w:suppressAutoHyphens/>
        <w:ind w:left="720"/>
        <w:rPr>
          <w:rFonts w:eastAsia="Calibri"/>
        </w:rPr>
      </w:pPr>
    </w:p>
    <w:p w14:paraId="4BD82D8F" w14:textId="0D6AA8DA" w:rsidR="00B50A91" w:rsidRDefault="00EB353D" w:rsidP="001B6EEE">
      <w:pPr>
        <w:suppressAutoHyphens/>
        <w:ind w:left="720"/>
        <w:rPr>
          <w:rFonts w:eastAsia="Calibri"/>
        </w:rPr>
      </w:pPr>
      <w:r w:rsidRPr="003B4362">
        <w:rPr>
          <w:rFonts w:eastAsia="Calibri"/>
        </w:rPr>
        <w:t>(Source:  A</w:t>
      </w:r>
      <w:r w:rsidR="0058450C"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4FDC72E2" w14:textId="77777777" w:rsidR="005605D6" w:rsidRPr="003B4362" w:rsidRDefault="005605D6" w:rsidP="001B6EEE">
      <w:pPr>
        <w:suppressAutoHyphens/>
        <w:ind w:left="720"/>
        <w:rPr>
          <w:rFonts w:eastAsia="Calibri"/>
        </w:rPr>
      </w:pPr>
    </w:p>
    <w:p w14:paraId="3F58B64B" w14:textId="77777777" w:rsidR="00B50A91" w:rsidRPr="003B4362" w:rsidRDefault="00B50A91" w:rsidP="001B6EEE">
      <w:pPr>
        <w:rPr>
          <w:rFonts w:eastAsia="Calibri"/>
          <w:b/>
          <w:bCs/>
        </w:rPr>
      </w:pPr>
      <w:r w:rsidRPr="003B4362">
        <w:rPr>
          <w:rFonts w:eastAsia="Calibri"/>
          <w:b/>
          <w:bCs/>
        </w:rPr>
        <w:t>Section 611.1357  Monitoring for Water Quality Parameters</w:t>
      </w:r>
    </w:p>
    <w:p w14:paraId="550AF317" w14:textId="77777777" w:rsidR="001B6EEE" w:rsidRDefault="001B6EEE" w:rsidP="001B6EEE">
      <w:pPr>
        <w:suppressAutoHyphens/>
        <w:rPr>
          <w:rFonts w:eastAsia="Calibri"/>
        </w:rPr>
      </w:pPr>
    </w:p>
    <w:p w14:paraId="495631F0" w14:textId="323276F9" w:rsidR="00B50A91" w:rsidRPr="003B4362" w:rsidRDefault="00B50A91" w:rsidP="001B6EEE">
      <w:pPr>
        <w:suppressAutoHyphens/>
        <w:rPr>
          <w:rFonts w:eastAsia="Calibri"/>
        </w:rPr>
      </w:pPr>
      <w:r w:rsidRPr="003B4362">
        <w:rPr>
          <w:rFonts w:eastAsia="Calibri"/>
        </w:rPr>
        <w:t xml:space="preserve">A large system supplier </w:t>
      </w:r>
      <w:r w:rsidR="00107EAA" w:rsidRPr="003B4362">
        <w:rPr>
          <w:rFonts w:eastAsia="Calibri"/>
        </w:rPr>
        <w:t>or</w:t>
      </w:r>
      <w:r w:rsidRPr="003B4362">
        <w:rPr>
          <w:rFonts w:eastAsia="Calibri"/>
        </w:rPr>
        <w:t xml:space="preserve"> any small </w:t>
      </w:r>
      <w:r w:rsidR="00107EAA" w:rsidRPr="003B4362">
        <w:rPr>
          <w:rFonts w:eastAsia="Calibri"/>
        </w:rPr>
        <w:t>or</w:t>
      </w:r>
      <w:r w:rsidRPr="003B4362">
        <w:rPr>
          <w:rFonts w:eastAsia="Calibri"/>
        </w:rPr>
        <w:t xml:space="preserve"> medium-sized system supplier exceeding the lead or copper action level must monitor water quality parameters in addition to lead and copper under this Section.</w:t>
      </w:r>
    </w:p>
    <w:p w14:paraId="057B1D7E" w14:textId="77777777" w:rsidR="001B6EEE" w:rsidRDefault="001B6EEE" w:rsidP="001B6EEE">
      <w:pPr>
        <w:suppressAutoHyphens/>
        <w:ind w:left="1440" w:hanging="720"/>
        <w:rPr>
          <w:rFonts w:eastAsia="Calibri"/>
        </w:rPr>
      </w:pPr>
    </w:p>
    <w:p w14:paraId="0AC6A419" w14:textId="201CA1E2" w:rsidR="00B50A91" w:rsidRPr="003B4362" w:rsidRDefault="00B50A91" w:rsidP="001B6EEE">
      <w:pPr>
        <w:suppressAutoHyphens/>
        <w:ind w:left="1440" w:hanging="720"/>
        <w:rPr>
          <w:rFonts w:eastAsia="Calibri"/>
        </w:rPr>
      </w:pPr>
      <w:r w:rsidRPr="003B4362">
        <w:rPr>
          <w:rFonts w:eastAsia="Calibri"/>
        </w:rPr>
        <w:t>a)</w:t>
      </w:r>
      <w:r w:rsidRPr="003B4362">
        <w:rPr>
          <w:rFonts w:eastAsia="Calibri"/>
        </w:rPr>
        <w:tab/>
        <w:t>General Requirements</w:t>
      </w:r>
    </w:p>
    <w:p w14:paraId="7A5E9351" w14:textId="77777777" w:rsidR="001B6EEE" w:rsidRDefault="001B6EEE" w:rsidP="001B6EEE">
      <w:pPr>
        <w:suppressAutoHyphens/>
        <w:ind w:left="2160" w:hanging="720"/>
        <w:rPr>
          <w:rFonts w:eastAsia="Calibri"/>
        </w:rPr>
      </w:pPr>
    </w:p>
    <w:p w14:paraId="019219BE" w14:textId="5F271BB3" w:rsidR="00B50A91" w:rsidRPr="003B4362" w:rsidRDefault="00B50A91" w:rsidP="001B6EEE">
      <w:pPr>
        <w:suppressAutoHyphens/>
        <w:ind w:left="2160" w:hanging="720"/>
        <w:rPr>
          <w:rFonts w:eastAsia="Calibri"/>
        </w:rPr>
      </w:pPr>
      <w:r w:rsidRPr="003B4362">
        <w:rPr>
          <w:rFonts w:eastAsia="Calibri"/>
        </w:rPr>
        <w:lastRenderedPageBreak/>
        <w:t>1)</w:t>
      </w:r>
      <w:r w:rsidRPr="003B4362">
        <w:rPr>
          <w:rFonts w:eastAsia="Calibri"/>
        </w:rPr>
        <w:tab/>
        <w:t>Sample Collection Methods</w:t>
      </w:r>
    </w:p>
    <w:p w14:paraId="40302C08" w14:textId="77777777" w:rsidR="001B6EEE" w:rsidRDefault="001B6EEE" w:rsidP="001B6EEE">
      <w:pPr>
        <w:suppressAutoHyphens/>
        <w:ind w:left="2880" w:hanging="720"/>
        <w:rPr>
          <w:rFonts w:eastAsia="Calibri"/>
        </w:rPr>
      </w:pPr>
    </w:p>
    <w:p w14:paraId="5CF24C83" w14:textId="19467CD8" w:rsidR="00B50A91" w:rsidRPr="003B4362" w:rsidRDefault="00B50A91" w:rsidP="001B6EEE">
      <w:pPr>
        <w:suppressAutoHyphens/>
        <w:ind w:left="2880" w:hanging="720"/>
        <w:rPr>
          <w:rFonts w:eastAsia="Calibri"/>
        </w:rPr>
      </w:pPr>
      <w:r w:rsidRPr="003B4362">
        <w:rPr>
          <w:rFonts w:eastAsia="Calibri"/>
        </w:rPr>
        <w:t>A)</w:t>
      </w:r>
      <w:r w:rsidRPr="003B4362">
        <w:rPr>
          <w:rFonts w:eastAsia="Calibri"/>
        </w:rPr>
        <w:tab/>
        <w:t xml:space="preserve">Using Tap Samples.  In totality, all tap samples a supplier collects must represent water quality throughout the supplier’s distribution system, considering the number of persons served, the different sources of water, the different treatment methods the supplier employs, and seasonal variability.  Although a supplier may conveniently conduct tap sampling for water quality parameters at sites it uses for coliform sampling under Subpart L, the </w:t>
      </w:r>
      <w:r w:rsidR="00622824" w:rsidRPr="003B4362">
        <w:rPr>
          <w:rFonts w:eastAsia="Calibri"/>
        </w:rPr>
        <w:t xml:space="preserve">supplier </w:t>
      </w:r>
      <w:r w:rsidRPr="003B4362">
        <w:rPr>
          <w:rFonts w:eastAsia="Calibri"/>
        </w:rPr>
        <w:t>needs not do so, and the supplier needs not perform tap sampling under this Section at taps it targeted for lead and copper sampling under Section 611.1356(a).</w:t>
      </w:r>
    </w:p>
    <w:p w14:paraId="4EFB7D53" w14:textId="77777777" w:rsidR="001B6EEE" w:rsidRDefault="001B6EEE" w:rsidP="001B6EEE">
      <w:pPr>
        <w:suppressAutoHyphens/>
        <w:ind w:left="2880" w:hanging="720"/>
        <w:rPr>
          <w:rFonts w:eastAsia="Calibri"/>
        </w:rPr>
      </w:pPr>
    </w:p>
    <w:p w14:paraId="566E2A29" w14:textId="13160647" w:rsidR="00B50A91" w:rsidRPr="003B4362" w:rsidRDefault="00B50A91" w:rsidP="001B6EEE">
      <w:pPr>
        <w:suppressAutoHyphens/>
        <w:ind w:left="2880" w:hanging="720"/>
        <w:rPr>
          <w:rFonts w:eastAsia="Calibri"/>
        </w:rPr>
      </w:pPr>
      <w:r w:rsidRPr="003B4362">
        <w:rPr>
          <w:rFonts w:eastAsia="Calibri"/>
        </w:rPr>
        <w:t>B)</w:t>
      </w:r>
      <w:r w:rsidRPr="003B4362">
        <w:rPr>
          <w:rFonts w:eastAsia="Calibri"/>
        </w:rPr>
        <w:tab/>
        <w:t>Using Entry Point Samples.  A supplier must collect samples at entry points to the distribution system from locations representing each source after treatment.  If a supplier draws water from more than one source and combines the sources before distribution, the supplier must sample at an entry point to the distribution system during normal operating conditions (i.e., when the supplier uses water representing all sources).</w:t>
      </w:r>
    </w:p>
    <w:p w14:paraId="290748A4" w14:textId="77777777" w:rsidR="001B6EEE" w:rsidRDefault="001B6EEE" w:rsidP="001B6EEE">
      <w:pPr>
        <w:suppressAutoHyphens/>
        <w:ind w:left="2160" w:hanging="720"/>
        <w:rPr>
          <w:rFonts w:eastAsia="Calibri"/>
        </w:rPr>
      </w:pPr>
    </w:p>
    <w:p w14:paraId="5B5453C4" w14:textId="2103C773" w:rsidR="00B50A91" w:rsidRPr="003B4362" w:rsidRDefault="00B50A91" w:rsidP="001B6EEE">
      <w:pPr>
        <w:suppressAutoHyphens/>
        <w:ind w:left="2160" w:hanging="720"/>
        <w:rPr>
          <w:rFonts w:eastAsia="Calibri"/>
        </w:rPr>
      </w:pPr>
      <w:r w:rsidRPr="003B4362">
        <w:rPr>
          <w:rFonts w:eastAsia="Calibri"/>
        </w:rPr>
        <w:t>2)</w:t>
      </w:r>
      <w:r w:rsidRPr="003B4362">
        <w:rPr>
          <w:rFonts w:eastAsia="Calibri"/>
        </w:rPr>
        <w:tab/>
        <w:t>Number of Samples</w:t>
      </w:r>
    </w:p>
    <w:p w14:paraId="52D1B1EA" w14:textId="77777777" w:rsidR="001B6EEE" w:rsidRDefault="001B6EEE" w:rsidP="001B6EEE">
      <w:pPr>
        <w:ind w:left="2880" w:hanging="720"/>
        <w:rPr>
          <w:rFonts w:eastAsia="Calibri"/>
        </w:rPr>
      </w:pPr>
    </w:p>
    <w:p w14:paraId="4D1E5D1F" w14:textId="177A8875" w:rsidR="00B50A91" w:rsidRPr="003B4362" w:rsidRDefault="00B50A91" w:rsidP="001B6EEE">
      <w:pPr>
        <w:ind w:left="2880" w:hanging="720"/>
        <w:rPr>
          <w:rFonts w:eastAsia="Calibri"/>
        </w:rPr>
      </w:pPr>
      <w:r w:rsidRPr="003B4362">
        <w:rPr>
          <w:rFonts w:eastAsia="Calibri"/>
        </w:rPr>
        <w:t>A)</w:t>
      </w:r>
      <w:r w:rsidRPr="003B4362">
        <w:rPr>
          <w:rFonts w:eastAsia="Calibri"/>
        </w:rPr>
        <w:tab/>
        <w:t>Tap Samples.  A supplier must collect two tap samples for applicable water quality parameters during each six-month monitoring period under subsections (b) through (e) from the number of sites the first column of Table F (labelled “standard monitoring”) indicates.</w:t>
      </w:r>
    </w:p>
    <w:p w14:paraId="00EC8B9E" w14:textId="77777777" w:rsidR="001B6EEE" w:rsidRDefault="001B6EEE" w:rsidP="001B6EEE">
      <w:pPr>
        <w:suppressAutoHyphens/>
        <w:ind w:left="2880" w:hanging="720"/>
        <w:rPr>
          <w:rFonts w:eastAsia="Calibri"/>
        </w:rPr>
      </w:pPr>
    </w:p>
    <w:p w14:paraId="20E73CB7" w14:textId="51A34DCD" w:rsidR="00B50A91" w:rsidRPr="003B4362" w:rsidRDefault="00B50A91" w:rsidP="001B6EEE">
      <w:pPr>
        <w:suppressAutoHyphens/>
        <w:ind w:left="2880" w:hanging="720"/>
        <w:rPr>
          <w:rFonts w:eastAsia="Calibri"/>
        </w:rPr>
      </w:pPr>
      <w:r w:rsidRPr="003B4362">
        <w:rPr>
          <w:rFonts w:eastAsia="Calibri"/>
        </w:rPr>
        <w:t>B)</w:t>
      </w:r>
      <w:r w:rsidRPr="003B4362">
        <w:rPr>
          <w:rFonts w:eastAsia="Calibri"/>
        </w:rPr>
        <w:tab/>
        <w:t>Entry Point Samples</w:t>
      </w:r>
    </w:p>
    <w:p w14:paraId="6C31A63F" w14:textId="77777777" w:rsidR="001B6EEE" w:rsidRDefault="001B6EEE" w:rsidP="001B6EEE">
      <w:pPr>
        <w:suppressAutoHyphens/>
        <w:ind w:left="3600" w:hanging="720"/>
        <w:rPr>
          <w:rFonts w:eastAsia="Calibri"/>
        </w:rPr>
      </w:pPr>
    </w:p>
    <w:p w14:paraId="6210F2C6" w14:textId="0DB4CD38" w:rsidR="00B50A91" w:rsidRPr="003B4362" w:rsidRDefault="00B50A91" w:rsidP="001B6EEE">
      <w:pPr>
        <w:suppressAutoHyphens/>
        <w:ind w:left="3600" w:hanging="720"/>
        <w:rPr>
          <w:rFonts w:eastAsia="Calibri"/>
        </w:rPr>
      </w:pPr>
      <w:r w:rsidRPr="003B4362">
        <w:rPr>
          <w:rFonts w:eastAsia="Calibri"/>
        </w:rPr>
        <w:t>i)</w:t>
      </w:r>
      <w:r w:rsidRPr="003B4362">
        <w:rPr>
          <w:rFonts w:eastAsia="Calibri"/>
        </w:rPr>
        <w:tab/>
        <w:t>Initial Monitoring.  Except as subsection (c)(3) provides otherwise, a supplier must collect two samples for each applicable water quality parameter at each entry point to its distribution system during each six-month monitoring period subsection (b) specifies.</w:t>
      </w:r>
    </w:p>
    <w:p w14:paraId="3BBBD4AC" w14:textId="77777777" w:rsidR="001B6EEE" w:rsidRDefault="001B6EEE" w:rsidP="001B6EEE">
      <w:pPr>
        <w:suppressAutoHyphens/>
        <w:ind w:left="3600" w:hanging="720"/>
        <w:rPr>
          <w:rFonts w:eastAsia="Calibri"/>
        </w:rPr>
      </w:pPr>
    </w:p>
    <w:p w14:paraId="3F3E7BE8" w14:textId="47C3C07A" w:rsidR="00B50A91" w:rsidRPr="003B4362" w:rsidRDefault="00B50A91" w:rsidP="001B6EEE">
      <w:pPr>
        <w:suppressAutoHyphens/>
        <w:ind w:left="3600" w:hanging="720"/>
        <w:rPr>
          <w:rFonts w:eastAsia="Calibri"/>
        </w:rPr>
      </w:pPr>
      <w:r w:rsidRPr="003B4362">
        <w:rPr>
          <w:rFonts w:eastAsia="Calibri"/>
        </w:rPr>
        <w:t>ii)</w:t>
      </w:r>
      <w:r w:rsidRPr="003B4362">
        <w:rPr>
          <w:rFonts w:eastAsia="Calibri"/>
        </w:rPr>
        <w:tab/>
        <w:t>Subsequent Monitoring.  A supplier must collect one sample for each applicable water quality parameter at each entry point to its distribution system during each six-month monitoring period subsections (c) through (e) specify.</w:t>
      </w:r>
    </w:p>
    <w:p w14:paraId="7265EFBE" w14:textId="77777777" w:rsidR="001B6EEE" w:rsidRDefault="001B6EEE" w:rsidP="001B6EEE">
      <w:pPr>
        <w:suppressAutoHyphens/>
        <w:ind w:left="1440" w:hanging="720"/>
        <w:rPr>
          <w:rFonts w:eastAsia="Calibri"/>
        </w:rPr>
      </w:pPr>
    </w:p>
    <w:p w14:paraId="5B245549" w14:textId="2FDAA7D9" w:rsidR="00B50A91" w:rsidRPr="003B4362" w:rsidRDefault="00B50A91" w:rsidP="001B6EEE">
      <w:pPr>
        <w:suppressAutoHyphens/>
        <w:ind w:left="1440" w:hanging="720"/>
        <w:rPr>
          <w:rFonts w:eastAsia="Calibri"/>
        </w:rPr>
      </w:pPr>
      <w:r w:rsidRPr="003B4362">
        <w:rPr>
          <w:rFonts w:eastAsia="Calibri"/>
        </w:rPr>
        <w:t>b)</w:t>
      </w:r>
      <w:r w:rsidRPr="003B4362">
        <w:rPr>
          <w:rFonts w:eastAsia="Calibri"/>
        </w:rPr>
        <w:tab/>
        <w:t>Initial Sampling</w:t>
      </w:r>
    </w:p>
    <w:p w14:paraId="053F02C1" w14:textId="77777777" w:rsidR="001B6EEE" w:rsidRDefault="001B6EEE" w:rsidP="001B6EEE">
      <w:pPr>
        <w:suppressAutoHyphens/>
        <w:ind w:left="2160" w:hanging="720"/>
        <w:rPr>
          <w:rFonts w:eastAsia="Calibri"/>
        </w:rPr>
      </w:pPr>
    </w:p>
    <w:p w14:paraId="1BE8C1D7" w14:textId="4BAB49E7" w:rsidR="00B50A91" w:rsidRPr="003B4362" w:rsidRDefault="00B50A91" w:rsidP="001B6EEE">
      <w:pPr>
        <w:suppressAutoHyphens/>
        <w:ind w:left="2160" w:hanging="720"/>
        <w:rPr>
          <w:rFonts w:eastAsia="Calibri"/>
        </w:rPr>
      </w:pPr>
      <w:r w:rsidRPr="003B4362">
        <w:rPr>
          <w:rFonts w:eastAsia="Calibri"/>
        </w:rPr>
        <w:lastRenderedPageBreak/>
        <w:t>1)</w:t>
      </w:r>
      <w:r w:rsidRPr="003B4362">
        <w:rPr>
          <w:rFonts w:eastAsia="Calibri"/>
        </w:rPr>
        <w:tab/>
        <w:t>Large Systems.  A large system supplier must measure the applicable water quality parameters subsection (b)(3) specifies at taps and at each entry point to its distribution system during each six-month monitoring period Section 611.1356(d)(1) specifies.</w:t>
      </w:r>
    </w:p>
    <w:p w14:paraId="49A35272" w14:textId="77777777" w:rsidR="001B6EEE" w:rsidRDefault="001B6EEE" w:rsidP="001B6EEE">
      <w:pPr>
        <w:suppressAutoHyphens/>
        <w:ind w:left="2160" w:hanging="720"/>
        <w:rPr>
          <w:rFonts w:eastAsia="Calibri"/>
        </w:rPr>
      </w:pPr>
    </w:p>
    <w:p w14:paraId="4B61134C" w14:textId="5D5965CD" w:rsidR="00B50A91" w:rsidRPr="003B4362" w:rsidRDefault="00B50A91" w:rsidP="001B6EEE">
      <w:pPr>
        <w:suppressAutoHyphens/>
        <w:ind w:left="2160" w:hanging="720"/>
        <w:rPr>
          <w:rFonts w:eastAsia="Calibri"/>
        </w:rPr>
      </w:pPr>
      <w:r w:rsidRPr="003B4362">
        <w:rPr>
          <w:rFonts w:eastAsia="Calibri"/>
        </w:rPr>
        <w:t>2)</w:t>
      </w:r>
      <w:r w:rsidRPr="003B4362">
        <w:rPr>
          <w:rFonts w:eastAsia="Calibri"/>
        </w:rPr>
        <w:tab/>
        <w:t>Small and Medium-Sized Systems.  A small or medium-sized water system supplier must measure the applicable water quality parameters subsection (b)(3) specifies at the locations this subsection (b) specifies during each six-month monitoring period Section 611.1356(d)(1) specifies during which the supplier exceeds the lead or copper action level.</w:t>
      </w:r>
    </w:p>
    <w:p w14:paraId="7BF60499" w14:textId="77777777" w:rsidR="001B6EEE" w:rsidRDefault="001B6EEE" w:rsidP="001B6EEE">
      <w:pPr>
        <w:suppressAutoHyphens/>
        <w:ind w:left="2160" w:hanging="720"/>
        <w:rPr>
          <w:rFonts w:eastAsia="Calibri"/>
        </w:rPr>
      </w:pPr>
    </w:p>
    <w:p w14:paraId="662E1B4E" w14:textId="199ECB9D" w:rsidR="00B50A91" w:rsidRPr="003B4362" w:rsidRDefault="00B50A91" w:rsidP="001B6EEE">
      <w:pPr>
        <w:suppressAutoHyphens/>
        <w:ind w:left="2160" w:hanging="720"/>
        <w:rPr>
          <w:rFonts w:eastAsia="Calibri"/>
        </w:rPr>
      </w:pPr>
      <w:r w:rsidRPr="003B4362">
        <w:rPr>
          <w:rFonts w:eastAsia="Calibri"/>
        </w:rPr>
        <w:t>3)</w:t>
      </w:r>
      <w:r w:rsidRPr="003B4362">
        <w:rPr>
          <w:rFonts w:eastAsia="Calibri"/>
        </w:rPr>
        <w:tab/>
        <w:t>Water Quality Parameters</w:t>
      </w:r>
    </w:p>
    <w:p w14:paraId="3B9D63B3" w14:textId="77777777" w:rsidR="001B6EEE" w:rsidRDefault="001B6EEE" w:rsidP="001B6EEE">
      <w:pPr>
        <w:suppressAutoHyphens/>
        <w:ind w:left="2880" w:hanging="720"/>
        <w:rPr>
          <w:rFonts w:eastAsia="Calibri"/>
        </w:rPr>
      </w:pPr>
    </w:p>
    <w:p w14:paraId="11DA713B" w14:textId="281B5520" w:rsidR="00B50A91" w:rsidRPr="003B4362" w:rsidRDefault="00B50A91" w:rsidP="001B6EEE">
      <w:pPr>
        <w:suppressAutoHyphens/>
        <w:ind w:left="2880" w:hanging="720"/>
        <w:rPr>
          <w:rFonts w:eastAsia="Calibri"/>
        </w:rPr>
      </w:pPr>
      <w:r w:rsidRPr="003B4362">
        <w:rPr>
          <w:rFonts w:eastAsia="Calibri"/>
        </w:rPr>
        <w:t>A)</w:t>
      </w:r>
      <w:r w:rsidRPr="003B4362">
        <w:rPr>
          <w:rFonts w:eastAsia="Calibri"/>
        </w:rPr>
        <w:tab/>
        <w:t>pH;</w:t>
      </w:r>
    </w:p>
    <w:p w14:paraId="36F20E0A" w14:textId="77777777" w:rsidR="001B6EEE" w:rsidRDefault="001B6EEE" w:rsidP="001B6EEE">
      <w:pPr>
        <w:suppressAutoHyphens/>
        <w:ind w:left="2880" w:hanging="720"/>
        <w:rPr>
          <w:rFonts w:eastAsia="Calibri"/>
        </w:rPr>
      </w:pPr>
    </w:p>
    <w:p w14:paraId="04369B83" w14:textId="200690E9" w:rsidR="00B50A91" w:rsidRPr="003B4362" w:rsidRDefault="00B50A91" w:rsidP="001B6EEE">
      <w:pPr>
        <w:suppressAutoHyphens/>
        <w:ind w:left="2880" w:hanging="720"/>
        <w:rPr>
          <w:rFonts w:eastAsia="Calibri"/>
        </w:rPr>
      </w:pPr>
      <w:r w:rsidRPr="003B4362">
        <w:rPr>
          <w:rFonts w:eastAsia="Calibri"/>
        </w:rPr>
        <w:t>B)</w:t>
      </w:r>
      <w:r w:rsidRPr="003B4362">
        <w:rPr>
          <w:rFonts w:eastAsia="Calibri"/>
        </w:rPr>
        <w:tab/>
        <w:t>Alkalinity;</w:t>
      </w:r>
    </w:p>
    <w:p w14:paraId="5BE29BA3" w14:textId="77777777" w:rsidR="001B6EEE" w:rsidRDefault="001B6EEE" w:rsidP="001B6EEE">
      <w:pPr>
        <w:suppressAutoHyphens/>
        <w:ind w:left="2880" w:hanging="720"/>
        <w:rPr>
          <w:rFonts w:eastAsia="Calibri"/>
        </w:rPr>
      </w:pPr>
    </w:p>
    <w:p w14:paraId="3DF8911C" w14:textId="7F1175D6" w:rsidR="00B50A91" w:rsidRPr="003B4362" w:rsidRDefault="00B50A91" w:rsidP="001B6EEE">
      <w:pPr>
        <w:suppressAutoHyphens/>
        <w:ind w:left="2880" w:hanging="720"/>
        <w:rPr>
          <w:rFonts w:eastAsia="Calibri"/>
        </w:rPr>
      </w:pPr>
      <w:r w:rsidRPr="003B4362">
        <w:rPr>
          <w:rFonts w:eastAsia="Calibri"/>
        </w:rPr>
        <w:t>C)</w:t>
      </w:r>
      <w:r w:rsidRPr="003B4362">
        <w:rPr>
          <w:rFonts w:eastAsia="Calibri"/>
        </w:rPr>
        <w:tab/>
        <w:t>Orthophosphate, when the supplier uses an inhibitor containing a phosphate compound;</w:t>
      </w:r>
    </w:p>
    <w:p w14:paraId="15AF7212" w14:textId="77777777" w:rsidR="001B6EEE" w:rsidRDefault="001B6EEE" w:rsidP="001B6EEE">
      <w:pPr>
        <w:suppressAutoHyphens/>
        <w:ind w:left="2880" w:hanging="720"/>
        <w:rPr>
          <w:rFonts w:eastAsia="Calibri"/>
        </w:rPr>
      </w:pPr>
    </w:p>
    <w:p w14:paraId="03E3B292" w14:textId="1F7990A9" w:rsidR="00B50A91" w:rsidRPr="003B4362" w:rsidRDefault="00B50A91" w:rsidP="001B6EEE">
      <w:pPr>
        <w:suppressAutoHyphens/>
        <w:ind w:left="2880" w:hanging="720"/>
        <w:rPr>
          <w:rFonts w:eastAsia="Calibri"/>
        </w:rPr>
      </w:pPr>
      <w:r w:rsidRPr="003B4362">
        <w:rPr>
          <w:rFonts w:eastAsia="Calibri"/>
        </w:rPr>
        <w:t>D)</w:t>
      </w:r>
      <w:r w:rsidRPr="003B4362">
        <w:rPr>
          <w:rFonts w:eastAsia="Calibri"/>
        </w:rPr>
        <w:tab/>
        <w:t>Silica, when the supplier uses an inhibitor containing a silicate compound;</w:t>
      </w:r>
    </w:p>
    <w:p w14:paraId="58DB8B46" w14:textId="77777777" w:rsidR="001B6EEE" w:rsidRDefault="001B6EEE" w:rsidP="001B6EEE">
      <w:pPr>
        <w:suppressAutoHyphens/>
        <w:ind w:left="2880" w:hanging="720"/>
        <w:rPr>
          <w:rFonts w:eastAsia="Calibri"/>
        </w:rPr>
      </w:pPr>
    </w:p>
    <w:p w14:paraId="514644E2" w14:textId="06B7EBBE" w:rsidR="00B50A91" w:rsidRPr="003B4362" w:rsidRDefault="00B50A91" w:rsidP="001B6EEE">
      <w:pPr>
        <w:suppressAutoHyphens/>
        <w:ind w:left="2880" w:hanging="720"/>
        <w:rPr>
          <w:rFonts w:eastAsia="Calibri"/>
        </w:rPr>
      </w:pPr>
      <w:r w:rsidRPr="003B4362">
        <w:rPr>
          <w:rFonts w:eastAsia="Calibri"/>
        </w:rPr>
        <w:t>E)</w:t>
      </w:r>
      <w:r w:rsidRPr="003B4362">
        <w:rPr>
          <w:rFonts w:eastAsia="Calibri"/>
        </w:rPr>
        <w:tab/>
        <w:t>Calcium;</w:t>
      </w:r>
    </w:p>
    <w:p w14:paraId="79DF56B3" w14:textId="77777777" w:rsidR="001B6EEE" w:rsidRDefault="001B6EEE" w:rsidP="001B6EEE">
      <w:pPr>
        <w:suppressAutoHyphens/>
        <w:ind w:left="2880" w:hanging="720"/>
        <w:rPr>
          <w:rFonts w:eastAsia="Calibri"/>
        </w:rPr>
      </w:pPr>
    </w:p>
    <w:p w14:paraId="0FCD74A3" w14:textId="797ADF8E" w:rsidR="00B50A91" w:rsidRPr="003B4362" w:rsidRDefault="00B50A91" w:rsidP="001B6EEE">
      <w:pPr>
        <w:suppressAutoHyphens/>
        <w:ind w:left="2880" w:hanging="720"/>
        <w:rPr>
          <w:rFonts w:eastAsia="Calibri"/>
        </w:rPr>
      </w:pPr>
      <w:r w:rsidRPr="003B4362">
        <w:rPr>
          <w:rFonts w:eastAsia="Calibri"/>
        </w:rPr>
        <w:t>F)</w:t>
      </w:r>
      <w:r w:rsidRPr="003B4362">
        <w:rPr>
          <w:rFonts w:eastAsia="Calibri"/>
        </w:rPr>
        <w:tab/>
        <w:t>Conductivity; and</w:t>
      </w:r>
    </w:p>
    <w:p w14:paraId="1CD4EBE9" w14:textId="77777777" w:rsidR="001B6EEE" w:rsidRDefault="001B6EEE" w:rsidP="001B6EEE">
      <w:pPr>
        <w:suppressAutoHyphens/>
        <w:ind w:left="2880" w:hanging="720"/>
        <w:rPr>
          <w:rFonts w:eastAsia="Calibri"/>
        </w:rPr>
      </w:pPr>
    </w:p>
    <w:p w14:paraId="58003F38" w14:textId="080E04A5" w:rsidR="00B50A91" w:rsidRPr="003B4362" w:rsidRDefault="00B50A91" w:rsidP="001B6EEE">
      <w:pPr>
        <w:suppressAutoHyphens/>
        <w:ind w:left="2880" w:hanging="720"/>
        <w:rPr>
          <w:rFonts w:eastAsia="Calibri"/>
        </w:rPr>
      </w:pPr>
      <w:r w:rsidRPr="003B4362">
        <w:rPr>
          <w:rFonts w:eastAsia="Calibri"/>
        </w:rPr>
        <w:t>G)</w:t>
      </w:r>
      <w:r w:rsidRPr="003B4362">
        <w:rPr>
          <w:rFonts w:eastAsia="Calibri"/>
        </w:rPr>
        <w:tab/>
        <w:t>Water temperature.</w:t>
      </w:r>
    </w:p>
    <w:p w14:paraId="37BC7194" w14:textId="77777777" w:rsidR="001B6EEE" w:rsidRDefault="001B6EEE" w:rsidP="001B6EEE">
      <w:pPr>
        <w:suppressAutoHyphens/>
        <w:ind w:left="1440" w:hanging="720"/>
        <w:rPr>
          <w:rFonts w:eastAsia="Calibri"/>
        </w:rPr>
      </w:pPr>
    </w:p>
    <w:p w14:paraId="1C86356A" w14:textId="2F6B0570" w:rsidR="00B50A91" w:rsidRPr="003B4362" w:rsidRDefault="00B50A91" w:rsidP="001B6EEE">
      <w:pPr>
        <w:suppressAutoHyphens/>
        <w:ind w:left="1440" w:hanging="720"/>
        <w:rPr>
          <w:rFonts w:eastAsia="Calibri"/>
        </w:rPr>
      </w:pPr>
      <w:r w:rsidRPr="003B4362">
        <w:rPr>
          <w:rFonts w:eastAsia="Calibri"/>
        </w:rPr>
        <w:t>c)</w:t>
      </w:r>
      <w:r w:rsidRPr="003B4362">
        <w:rPr>
          <w:rFonts w:eastAsia="Calibri"/>
        </w:rPr>
        <w:tab/>
        <w:t>Monitoring after Installing Corrosion Control</w:t>
      </w:r>
    </w:p>
    <w:p w14:paraId="5BA82BB6" w14:textId="77777777" w:rsidR="001B6EEE" w:rsidRDefault="001B6EEE" w:rsidP="001B6EEE">
      <w:pPr>
        <w:suppressAutoHyphens/>
        <w:ind w:left="2160" w:hanging="720"/>
        <w:rPr>
          <w:rFonts w:eastAsia="Calibri"/>
        </w:rPr>
      </w:pPr>
    </w:p>
    <w:p w14:paraId="63BBF6D4" w14:textId="535E1714" w:rsidR="00B50A91" w:rsidRPr="003B4362" w:rsidRDefault="00B50A91" w:rsidP="001B6EEE">
      <w:pPr>
        <w:suppressAutoHyphens/>
        <w:ind w:left="2160" w:hanging="720"/>
        <w:rPr>
          <w:rFonts w:eastAsia="Calibri"/>
        </w:rPr>
      </w:pPr>
      <w:r w:rsidRPr="003B4362">
        <w:rPr>
          <w:rFonts w:eastAsia="Calibri"/>
        </w:rPr>
        <w:t>1)</w:t>
      </w:r>
      <w:r w:rsidRPr="003B4362">
        <w:rPr>
          <w:rFonts w:eastAsia="Calibri"/>
        </w:rPr>
        <w:tab/>
        <w:t>Large Systems.  A large system supplier installing optimal corrosion control treatment under Section 611.1351(d)(4) must measure the water quality parameters at the locations and frequencies subsections (c)(4) and (c)(5) specify during each six-month monitoring period Section 611.1356(d)(2)(A) specifies.</w:t>
      </w:r>
    </w:p>
    <w:p w14:paraId="23B41152" w14:textId="77777777" w:rsidR="001B6EEE" w:rsidRDefault="001B6EEE" w:rsidP="001B6EEE">
      <w:pPr>
        <w:suppressAutoHyphens/>
        <w:ind w:left="2160" w:hanging="720"/>
        <w:rPr>
          <w:rFonts w:eastAsia="Calibri"/>
        </w:rPr>
      </w:pPr>
    </w:p>
    <w:p w14:paraId="3CF8FC41" w14:textId="5DA1CFF7" w:rsidR="00B50A91" w:rsidRPr="003B4362" w:rsidRDefault="00B50A91" w:rsidP="001B6EEE">
      <w:pPr>
        <w:suppressAutoHyphens/>
        <w:ind w:left="2160" w:hanging="720"/>
        <w:rPr>
          <w:rFonts w:eastAsia="Calibri"/>
        </w:rPr>
      </w:pPr>
      <w:r w:rsidRPr="003B4362">
        <w:rPr>
          <w:rFonts w:eastAsia="Calibri"/>
        </w:rPr>
        <w:t>2)</w:t>
      </w:r>
      <w:r w:rsidRPr="003B4362">
        <w:rPr>
          <w:rFonts w:eastAsia="Calibri"/>
        </w:rPr>
        <w:tab/>
        <w:t>Small and Medium-Sized Systems.  A small or medium-sized system installing optimal corrosion control treatment under Section 611.1351(e)(5) must measure the water quality parameters at the locations and frequencies subsections (c)(4) and (c)(5) specify during each six-month monitoring period Section 611.1356(d)(2)(B) specifies during which the supplier exceeds the lead or copper action level.</w:t>
      </w:r>
    </w:p>
    <w:p w14:paraId="541F7C6A" w14:textId="77777777" w:rsidR="001B6EEE" w:rsidRDefault="001B6EEE" w:rsidP="001B6EEE">
      <w:pPr>
        <w:ind w:left="2160" w:hanging="720"/>
        <w:rPr>
          <w:rFonts w:eastAsia="Calibri"/>
        </w:rPr>
      </w:pPr>
    </w:p>
    <w:p w14:paraId="36F23044" w14:textId="4E09416B" w:rsidR="00B50A91" w:rsidRPr="003B4362" w:rsidRDefault="00B50A91" w:rsidP="001B6EEE">
      <w:pPr>
        <w:ind w:left="2160" w:hanging="720"/>
        <w:rPr>
          <w:rFonts w:eastAsia="Calibri"/>
        </w:rPr>
      </w:pPr>
      <w:r w:rsidRPr="003B4362">
        <w:rPr>
          <w:rFonts w:eastAsia="Calibri"/>
        </w:rPr>
        <w:lastRenderedPageBreak/>
        <w:t>3)</w:t>
      </w:r>
      <w:r w:rsidRPr="003B4362">
        <w:rPr>
          <w:rFonts w:eastAsia="Calibri"/>
        </w:rPr>
        <w:tab/>
        <w:t>Groundwater Systems.  A groundwater system supplier can limit entry point sampling under subsection (c)(5) to those entry points representing water quality and treatment conditions throughout the system.  If water from untreated groundwater sources mixes with water from treated groundwater sources, the system must monitor for water quality parameters at both representative entry points receiving treatment and representative entry points not receiving treatment.  Prior to starting monitoring under this subsection (c)(3), the supplier must provide written information to the Agency identifying the selected entry points and documentation sufficient to demonstrate that the sites represent water quality and treatment conditions throughout the system, including information on seasonal variability.</w:t>
      </w:r>
    </w:p>
    <w:p w14:paraId="0688FD96" w14:textId="77777777" w:rsidR="001B6EEE" w:rsidRDefault="001B6EEE" w:rsidP="001B6EEE">
      <w:pPr>
        <w:suppressAutoHyphens/>
        <w:ind w:left="2160" w:hanging="720"/>
        <w:rPr>
          <w:rFonts w:eastAsia="Calibri"/>
        </w:rPr>
      </w:pPr>
    </w:p>
    <w:p w14:paraId="043274B4" w14:textId="56F4C07A" w:rsidR="00B50A91" w:rsidRPr="003B4362" w:rsidRDefault="00B50A91" w:rsidP="001B6EEE">
      <w:pPr>
        <w:suppressAutoHyphens/>
        <w:ind w:left="2160" w:hanging="720"/>
        <w:rPr>
          <w:rFonts w:eastAsia="Calibri"/>
        </w:rPr>
      </w:pPr>
      <w:r w:rsidRPr="003B4362">
        <w:rPr>
          <w:rFonts w:eastAsia="Calibri"/>
        </w:rPr>
        <w:t>4)</w:t>
      </w:r>
      <w:r w:rsidRPr="003B4362">
        <w:rPr>
          <w:rFonts w:eastAsia="Calibri"/>
        </w:rPr>
        <w:tab/>
        <w:t>Tap Water Samples.  The supplier must collect two water samples at each tap for each of five water quality parameters:</w:t>
      </w:r>
    </w:p>
    <w:p w14:paraId="3888C80C" w14:textId="77777777" w:rsidR="001B6EEE" w:rsidRDefault="001B6EEE" w:rsidP="001B6EEE">
      <w:pPr>
        <w:suppressAutoHyphens/>
        <w:ind w:left="2880" w:hanging="720"/>
        <w:rPr>
          <w:rFonts w:eastAsia="Calibri"/>
        </w:rPr>
      </w:pPr>
    </w:p>
    <w:p w14:paraId="1EB3C242" w14:textId="5075213C" w:rsidR="00B50A91" w:rsidRPr="003B4362" w:rsidRDefault="00B50A91" w:rsidP="001B6EEE">
      <w:pPr>
        <w:suppressAutoHyphens/>
        <w:ind w:left="2880" w:hanging="720"/>
        <w:rPr>
          <w:rFonts w:eastAsia="Calibri"/>
        </w:rPr>
      </w:pPr>
      <w:r w:rsidRPr="003B4362">
        <w:rPr>
          <w:rFonts w:eastAsia="Calibri"/>
        </w:rPr>
        <w:t>A)</w:t>
      </w:r>
      <w:r w:rsidRPr="003B4362">
        <w:rPr>
          <w:rFonts w:eastAsia="Calibri"/>
        </w:rPr>
        <w:tab/>
        <w:t>pH;</w:t>
      </w:r>
    </w:p>
    <w:p w14:paraId="34A75A39" w14:textId="77777777" w:rsidR="001B6EEE" w:rsidRDefault="001B6EEE" w:rsidP="001B6EEE">
      <w:pPr>
        <w:suppressAutoHyphens/>
        <w:ind w:left="2880" w:hanging="720"/>
        <w:rPr>
          <w:rFonts w:eastAsia="Calibri"/>
        </w:rPr>
      </w:pPr>
    </w:p>
    <w:p w14:paraId="71301F89" w14:textId="726F589C" w:rsidR="00B50A91" w:rsidRPr="003B4362" w:rsidRDefault="00B50A91" w:rsidP="001B6EEE">
      <w:pPr>
        <w:suppressAutoHyphens/>
        <w:ind w:left="2880" w:hanging="720"/>
        <w:rPr>
          <w:rFonts w:eastAsia="Calibri"/>
        </w:rPr>
      </w:pPr>
      <w:r w:rsidRPr="003B4362">
        <w:rPr>
          <w:rFonts w:eastAsia="Calibri"/>
        </w:rPr>
        <w:t>B)</w:t>
      </w:r>
      <w:r w:rsidRPr="003B4362">
        <w:rPr>
          <w:rFonts w:eastAsia="Calibri"/>
        </w:rPr>
        <w:tab/>
        <w:t>Alkalinity;</w:t>
      </w:r>
    </w:p>
    <w:p w14:paraId="29ED06A7" w14:textId="77777777" w:rsidR="001B6EEE" w:rsidRDefault="001B6EEE" w:rsidP="001B6EEE">
      <w:pPr>
        <w:suppressAutoHyphens/>
        <w:ind w:left="2880" w:hanging="720"/>
        <w:rPr>
          <w:rFonts w:eastAsia="Calibri"/>
        </w:rPr>
      </w:pPr>
    </w:p>
    <w:p w14:paraId="5E36C87F" w14:textId="133D18CC" w:rsidR="00B50A91" w:rsidRPr="003B4362" w:rsidRDefault="00B50A91" w:rsidP="001B6EEE">
      <w:pPr>
        <w:suppressAutoHyphens/>
        <w:ind w:left="2880" w:hanging="720"/>
        <w:rPr>
          <w:rFonts w:eastAsia="Calibri"/>
        </w:rPr>
      </w:pPr>
      <w:r w:rsidRPr="003B4362">
        <w:rPr>
          <w:rFonts w:eastAsia="Calibri"/>
        </w:rPr>
        <w:t>C)</w:t>
      </w:r>
      <w:r w:rsidRPr="003B4362">
        <w:rPr>
          <w:rFonts w:eastAsia="Calibri"/>
        </w:rPr>
        <w:tab/>
        <w:t>Orthophosphate if the supplier uses an inhibitor containing a phosphate compound;</w:t>
      </w:r>
    </w:p>
    <w:p w14:paraId="7851726A" w14:textId="77777777" w:rsidR="001B6EEE" w:rsidRDefault="001B6EEE" w:rsidP="001B6EEE">
      <w:pPr>
        <w:suppressAutoHyphens/>
        <w:ind w:left="2880" w:hanging="720"/>
        <w:rPr>
          <w:rFonts w:eastAsia="Calibri"/>
        </w:rPr>
      </w:pPr>
    </w:p>
    <w:p w14:paraId="76B6A88B" w14:textId="05250585" w:rsidR="00B50A91" w:rsidRPr="003B4362" w:rsidRDefault="00B50A91" w:rsidP="001B6EEE">
      <w:pPr>
        <w:suppressAutoHyphens/>
        <w:ind w:left="2880" w:hanging="720"/>
        <w:rPr>
          <w:rFonts w:eastAsia="Calibri"/>
        </w:rPr>
      </w:pPr>
      <w:r w:rsidRPr="003B4362">
        <w:rPr>
          <w:rFonts w:eastAsia="Calibri"/>
        </w:rPr>
        <w:t>D)</w:t>
      </w:r>
      <w:r w:rsidRPr="003B4362">
        <w:rPr>
          <w:rFonts w:eastAsia="Calibri"/>
        </w:rPr>
        <w:tab/>
        <w:t>Silica if the supplier uses an inhibitor containing a silicate compound; and</w:t>
      </w:r>
    </w:p>
    <w:p w14:paraId="649C7BE1" w14:textId="77777777" w:rsidR="001B6EEE" w:rsidRDefault="001B6EEE" w:rsidP="001B6EEE">
      <w:pPr>
        <w:suppressAutoHyphens/>
        <w:ind w:left="2880" w:hanging="720"/>
        <w:rPr>
          <w:rFonts w:eastAsia="Calibri"/>
        </w:rPr>
      </w:pPr>
    </w:p>
    <w:p w14:paraId="586CD8BA" w14:textId="679F4810" w:rsidR="00B50A91" w:rsidRPr="003B4362" w:rsidRDefault="00B50A91" w:rsidP="001B6EEE">
      <w:pPr>
        <w:suppressAutoHyphens/>
        <w:ind w:left="2880" w:hanging="720"/>
        <w:rPr>
          <w:rFonts w:eastAsia="Calibri"/>
        </w:rPr>
      </w:pPr>
      <w:r w:rsidRPr="003B4362">
        <w:rPr>
          <w:rFonts w:eastAsia="Calibri"/>
        </w:rPr>
        <w:t>E)</w:t>
      </w:r>
      <w:r w:rsidRPr="003B4362">
        <w:rPr>
          <w:rFonts w:eastAsia="Calibri"/>
        </w:rPr>
        <w:tab/>
        <w:t>Calcium if the supplier uses calcium carbonate stabilization as part of corrosion control.</w:t>
      </w:r>
    </w:p>
    <w:p w14:paraId="3404E87A" w14:textId="77777777" w:rsidR="001B6EEE" w:rsidRDefault="001B6EEE" w:rsidP="001B6EEE">
      <w:pPr>
        <w:ind w:left="2160" w:hanging="720"/>
        <w:rPr>
          <w:rFonts w:eastAsia="Calibri"/>
        </w:rPr>
      </w:pPr>
    </w:p>
    <w:p w14:paraId="62C337B4" w14:textId="6249606C" w:rsidR="00B50A91" w:rsidRPr="003B4362" w:rsidRDefault="00B50A91" w:rsidP="001B6EEE">
      <w:pPr>
        <w:ind w:left="2160" w:hanging="720"/>
        <w:rPr>
          <w:rFonts w:eastAsia="Calibri"/>
        </w:rPr>
      </w:pPr>
      <w:r w:rsidRPr="003B4362">
        <w:rPr>
          <w:rFonts w:eastAsia="Calibri"/>
        </w:rPr>
        <w:t>5)</w:t>
      </w:r>
      <w:r w:rsidRPr="003B4362">
        <w:rPr>
          <w:rFonts w:eastAsia="Calibri"/>
        </w:rPr>
        <w:tab/>
        <w:t>Entry Point Samples.  Except as subsection (c)(3) provides otherwise, a supplier must collect one sample at each entry point to its distribution system every two weeks (bi-weekly) for three water quality parameters:</w:t>
      </w:r>
    </w:p>
    <w:p w14:paraId="1FBC44AB" w14:textId="77777777" w:rsidR="001B6EEE" w:rsidRDefault="001B6EEE" w:rsidP="001B6EEE">
      <w:pPr>
        <w:suppressAutoHyphens/>
        <w:ind w:left="2880" w:hanging="720"/>
        <w:rPr>
          <w:rFonts w:eastAsia="Calibri"/>
        </w:rPr>
      </w:pPr>
    </w:p>
    <w:p w14:paraId="763CCFF3" w14:textId="3B57509C" w:rsidR="00B50A91" w:rsidRPr="003B4362" w:rsidRDefault="00B50A91" w:rsidP="001B6EEE">
      <w:pPr>
        <w:suppressAutoHyphens/>
        <w:ind w:left="2880" w:hanging="720"/>
        <w:rPr>
          <w:rFonts w:eastAsia="Calibri"/>
        </w:rPr>
      </w:pPr>
      <w:r w:rsidRPr="003B4362">
        <w:rPr>
          <w:rFonts w:eastAsia="Calibri"/>
        </w:rPr>
        <w:t>A)</w:t>
      </w:r>
      <w:r w:rsidRPr="003B4362">
        <w:rPr>
          <w:rFonts w:eastAsia="Calibri"/>
        </w:rPr>
        <w:tab/>
        <w:t>pH;</w:t>
      </w:r>
    </w:p>
    <w:p w14:paraId="50F68142" w14:textId="77777777" w:rsidR="001B6EEE" w:rsidRDefault="001B6EEE" w:rsidP="001B6EEE">
      <w:pPr>
        <w:ind w:left="2880" w:hanging="720"/>
        <w:rPr>
          <w:rFonts w:eastAsia="Calibri"/>
        </w:rPr>
      </w:pPr>
    </w:p>
    <w:p w14:paraId="16029C22" w14:textId="14A31F5A" w:rsidR="00B50A91" w:rsidRPr="003B4362" w:rsidRDefault="00B50A91" w:rsidP="001B6EEE">
      <w:pPr>
        <w:ind w:left="2880" w:hanging="720"/>
        <w:rPr>
          <w:rFonts w:eastAsia="Calibri"/>
        </w:rPr>
      </w:pPr>
      <w:r w:rsidRPr="003B4362">
        <w:rPr>
          <w:rFonts w:eastAsia="Calibri"/>
        </w:rPr>
        <w:t>B)</w:t>
      </w:r>
      <w:r w:rsidRPr="003B4362">
        <w:rPr>
          <w:rFonts w:eastAsia="Calibri"/>
        </w:rPr>
        <w:tab/>
        <w:t>If the supplier adjusts alkalinity as part of optimal corrosion control, a reading of the chemical dosage rate the supplier uses to adjust alkalinity and the alkalinity concentration; and</w:t>
      </w:r>
    </w:p>
    <w:p w14:paraId="1FE639DE" w14:textId="77777777" w:rsidR="001B6EEE" w:rsidRDefault="001B6EEE" w:rsidP="001B6EEE">
      <w:pPr>
        <w:ind w:left="2880" w:hanging="720"/>
        <w:rPr>
          <w:rFonts w:eastAsia="Calibri"/>
        </w:rPr>
      </w:pPr>
    </w:p>
    <w:p w14:paraId="7D2C8BC1" w14:textId="1BC99858" w:rsidR="00B50A91" w:rsidRPr="003B4362" w:rsidRDefault="00B50A91" w:rsidP="001B6EEE">
      <w:pPr>
        <w:ind w:left="2880" w:hanging="720"/>
        <w:rPr>
          <w:rFonts w:eastAsia="Calibri"/>
        </w:rPr>
      </w:pPr>
      <w:r w:rsidRPr="003B4362">
        <w:rPr>
          <w:rFonts w:eastAsia="Calibri"/>
        </w:rPr>
        <w:t>C)</w:t>
      </w:r>
      <w:r w:rsidRPr="003B4362">
        <w:rPr>
          <w:rFonts w:eastAsia="Calibri"/>
        </w:rPr>
        <w:tab/>
        <w:t>If the supplier uses a corrosion inhibitor as part of optimal corrosion control, a reading of the inhibitor dosage rate the supplier uses and the orthophosphate or silica concentration.</w:t>
      </w:r>
    </w:p>
    <w:p w14:paraId="5B7D32FD" w14:textId="77777777" w:rsidR="001B6EEE" w:rsidRDefault="001B6EEE" w:rsidP="001B6EEE">
      <w:pPr>
        <w:suppressAutoHyphens/>
        <w:ind w:left="1440"/>
        <w:rPr>
          <w:rFonts w:eastAsia="Calibri"/>
        </w:rPr>
      </w:pPr>
    </w:p>
    <w:p w14:paraId="30FA6F4A" w14:textId="5E46C194" w:rsidR="00B50A91" w:rsidRPr="003B4362" w:rsidRDefault="00B50A91" w:rsidP="001B6EEE">
      <w:pPr>
        <w:suppressAutoHyphens/>
        <w:ind w:left="1440"/>
        <w:rPr>
          <w:rFonts w:eastAsia="Calibri"/>
        </w:rPr>
      </w:pPr>
      <w:r w:rsidRPr="003B4362">
        <w:rPr>
          <w:rFonts w:eastAsia="Calibri"/>
        </w:rPr>
        <w:t>BOARD NOTE:  Subsections (c)(1) and (c)(2) derive from 40 CFR 141.87(c)</w:t>
      </w:r>
      <w:r w:rsidR="004341BB" w:rsidRPr="003B4362">
        <w:rPr>
          <w:rFonts w:eastAsia="Calibri"/>
        </w:rPr>
        <w:t xml:space="preserve"> (2020)</w:t>
      </w:r>
      <w:r w:rsidRPr="003B4362">
        <w:rPr>
          <w:rFonts w:eastAsia="Calibri"/>
        </w:rPr>
        <w:t>, subsection (c)(3) derives from 40 CFR 141.87(c)(3)</w:t>
      </w:r>
      <w:r w:rsidR="004341BB" w:rsidRPr="003B4362">
        <w:rPr>
          <w:rFonts w:eastAsia="Calibri"/>
        </w:rPr>
        <w:t xml:space="preserve"> (2020)</w:t>
      </w:r>
      <w:r w:rsidRPr="003B4362">
        <w:rPr>
          <w:rFonts w:eastAsia="Calibri"/>
        </w:rPr>
        <w:t xml:space="preserve">, subsection </w:t>
      </w:r>
      <w:r w:rsidRPr="003B4362">
        <w:rPr>
          <w:rFonts w:eastAsia="Calibri"/>
        </w:rPr>
        <w:lastRenderedPageBreak/>
        <w:t>(c)(4) derives from 40 CFR 141.87(c)(1)</w:t>
      </w:r>
      <w:r w:rsidR="004341BB" w:rsidRPr="003B4362">
        <w:rPr>
          <w:rFonts w:eastAsia="Calibri"/>
        </w:rPr>
        <w:t xml:space="preserve"> (2020)</w:t>
      </w:r>
      <w:r w:rsidRPr="003B4362">
        <w:rPr>
          <w:rFonts w:eastAsia="Calibri"/>
        </w:rPr>
        <w:t>, and subsection (c)(5) derives from 40 CFR 141.87(c)(2)</w:t>
      </w:r>
      <w:r w:rsidR="004341BB" w:rsidRPr="003B4362">
        <w:rPr>
          <w:rFonts w:eastAsia="Calibri"/>
        </w:rPr>
        <w:t xml:space="preserve"> (2020)</w:t>
      </w:r>
      <w:r w:rsidRPr="003B4362">
        <w:rPr>
          <w:rFonts w:eastAsia="Calibri"/>
        </w:rPr>
        <w:t>.</w:t>
      </w:r>
    </w:p>
    <w:p w14:paraId="1A912495" w14:textId="77777777" w:rsidR="001B6EEE" w:rsidRDefault="001B6EEE" w:rsidP="001B6EEE">
      <w:pPr>
        <w:suppressAutoHyphens/>
        <w:ind w:left="1440" w:hanging="720"/>
        <w:rPr>
          <w:rFonts w:eastAsia="Calibri"/>
        </w:rPr>
      </w:pPr>
    </w:p>
    <w:p w14:paraId="128C2D3F" w14:textId="6D1A0726" w:rsidR="00B50A91" w:rsidRPr="003B4362" w:rsidRDefault="00B50A91" w:rsidP="001B6EEE">
      <w:pPr>
        <w:suppressAutoHyphens/>
        <w:ind w:left="1440" w:hanging="720"/>
        <w:rPr>
          <w:rFonts w:eastAsia="Calibri"/>
        </w:rPr>
      </w:pPr>
      <w:r w:rsidRPr="003B4362">
        <w:rPr>
          <w:rFonts w:eastAsia="Calibri"/>
        </w:rPr>
        <w:t>d)</w:t>
      </w:r>
      <w:r w:rsidRPr="003B4362">
        <w:rPr>
          <w:rFonts w:eastAsia="Calibri"/>
        </w:rPr>
        <w:tab/>
        <w:t>Monitoring after the Agency Specifies Water Quality Parameter Values for Optimal Corrosion Control</w:t>
      </w:r>
    </w:p>
    <w:p w14:paraId="0CBDF4F6" w14:textId="77777777" w:rsidR="001B6EEE" w:rsidRDefault="001B6EEE" w:rsidP="001B6EEE">
      <w:pPr>
        <w:suppressAutoHyphens/>
        <w:ind w:left="2160" w:hanging="720"/>
        <w:rPr>
          <w:rFonts w:eastAsia="Calibri"/>
        </w:rPr>
      </w:pPr>
    </w:p>
    <w:p w14:paraId="26B088AE" w14:textId="4D3531A2" w:rsidR="00B50A91" w:rsidRPr="003B4362" w:rsidRDefault="00B50A91" w:rsidP="001B6EEE">
      <w:pPr>
        <w:suppressAutoHyphens/>
        <w:ind w:left="2160" w:hanging="720"/>
        <w:rPr>
          <w:rFonts w:eastAsia="Calibri"/>
        </w:rPr>
      </w:pPr>
      <w:r w:rsidRPr="003B4362">
        <w:rPr>
          <w:rFonts w:eastAsia="Calibri"/>
        </w:rPr>
        <w:t>1)</w:t>
      </w:r>
      <w:r w:rsidRPr="003B4362">
        <w:rPr>
          <w:rFonts w:eastAsia="Calibri"/>
        </w:rPr>
        <w:tab/>
        <w:t>Large-Sized Water Systems.  After the Agency specifies the values for water quality control parameters reflecting optimal corrosion control treatment under Section 611.1352(f), a large-sized water system supplier must monitor the applicable water quality parameters under subsection (c) and determine whether the supplier complies with Section 611.1352(g) every six months, with the first six-month period to begin on the sooner of January 1 or July 1 after the Agency specifies the optimal values under Section 611.1352(f).</w:t>
      </w:r>
    </w:p>
    <w:p w14:paraId="242CF93E" w14:textId="77777777" w:rsidR="001B6EEE" w:rsidRDefault="001B6EEE" w:rsidP="001B6EEE">
      <w:pPr>
        <w:suppressAutoHyphens/>
        <w:ind w:left="2160" w:hanging="720"/>
        <w:rPr>
          <w:rFonts w:eastAsia="Calibri"/>
        </w:rPr>
      </w:pPr>
    </w:p>
    <w:p w14:paraId="5D7836ED" w14:textId="6E6B446D" w:rsidR="00B50A91" w:rsidRPr="003B4362" w:rsidRDefault="00B50A91" w:rsidP="001B6EEE">
      <w:pPr>
        <w:suppressAutoHyphens/>
        <w:ind w:left="2160" w:hanging="720"/>
        <w:rPr>
          <w:rFonts w:eastAsia="Calibri"/>
        </w:rPr>
      </w:pPr>
      <w:r w:rsidRPr="003B4362">
        <w:rPr>
          <w:rFonts w:eastAsia="Calibri"/>
        </w:rPr>
        <w:t>2)</w:t>
      </w:r>
      <w:r w:rsidRPr="003B4362">
        <w:rPr>
          <w:rFonts w:eastAsia="Calibri"/>
        </w:rPr>
        <w:tab/>
        <w:t xml:space="preserve">Small and Medium-Sized System Suppliers.  </w:t>
      </w:r>
      <w:r w:rsidR="00141A73" w:rsidRPr="003B4362">
        <w:rPr>
          <w:rFonts w:eastAsia="Calibri"/>
        </w:rPr>
        <w:t>A</w:t>
      </w:r>
      <w:r w:rsidRPr="003B4362">
        <w:rPr>
          <w:rFonts w:eastAsia="Calibri"/>
        </w:rPr>
        <w:t xml:space="preserve"> small or medium-sized system supplier must monitor during each six-month monitoring period this subsection (d) specifies during which the supplier exceeds the lead or copper action level.  For a small or medium-sized system supplier subject to a reduced monitoring frequency under Section 611.1356(d)(4) at the time it exceeds the action level, the start of the applicable six-month monitoring period under this subsection (d) coincides with the start of the applicable monitoring period under Section 611.1356(d)(4).</w:t>
      </w:r>
    </w:p>
    <w:p w14:paraId="1B9CEDBD" w14:textId="77777777" w:rsidR="001B6EEE" w:rsidRDefault="001B6EEE" w:rsidP="001B6EEE">
      <w:pPr>
        <w:suppressAutoHyphens/>
        <w:ind w:left="2160" w:hanging="720"/>
        <w:rPr>
          <w:rFonts w:eastAsia="Calibri"/>
        </w:rPr>
      </w:pPr>
    </w:p>
    <w:p w14:paraId="67E01962" w14:textId="6C628BDF" w:rsidR="00B50A91" w:rsidRPr="003B4362" w:rsidRDefault="00B50A91" w:rsidP="001B6EEE">
      <w:pPr>
        <w:suppressAutoHyphens/>
        <w:ind w:left="2160" w:hanging="720"/>
        <w:rPr>
          <w:rFonts w:eastAsia="Calibri"/>
        </w:rPr>
      </w:pPr>
      <w:r w:rsidRPr="003B4362">
        <w:rPr>
          <w:rFonts w:eastAsia="Calibri"/>
        </w:rPr>
        <w:t>3)</w:t>
      </w:r>
      <w:r w:rsidRPr="003B4362">
        <w:rPr>
          <w:rFonts w:eastAsia="Calibri"/>
        </w:rPr>
        <w:tab/>
        <w:t>A supplier must determine whether it complies with Agency-designated optimal water quality parameter as Section 611.1352(g) specifies.</w:t>
      </w:r>
    </w:p>
    <w:p w14:paraId="6DEF3DA8" w14:textId="77777777" w:rsidR="001B6EEE" w:rsidRDefault="001B6EEE" w:rsidP="001B6EEE">
      <w:pPr>
        <w:suppressAutoHyphens/>
        <w:ind w:left="1440" w:hanging="720"/>
        <w:rPr>
          <w:rFonts w:eastAsia="Calibri"/>
        </w:rPr>
      </w:pPr>
    </w:p>
    <w:p w14:paraId="1B3AA509" w14:textId="6E592BB9" w:rsidR="00B50A91" w:rsidRPr="003B4362" w:rsidRDefault="00B50A91" w:rsidP="001B6EEE">
      <w:pPr>
        <w:suppressAutoHyphens/>
        <w:ind w:left="1440" w:hanging="720"/>
        <w:rPr>
          <w:rFonts w:eastAsia="Calibri"/>
        </w:rPr>
      </w:pPr>
      <w:r w:rsidRPr="003B4362">
        <w:rPr>
          <w:rFonts w:eastAsia="Calibri"/>
        </w:rPr>
        <w:t>e)</w:t>
      </w:r>
      <w:r w:rsidRPr="003B4362">
        <w:rPr>
          <w:rFonts w:eastAsia="Calibri"/>
        </w:rPr>
        <w:tab/>
        <w:t>Reduced Monitoring</w:t>
      </w:r>
    </w:p>
    <w:p w14:paraId="1631912B" w14:textId="77777777" w:rsidR="001B6EEE" w:rsidRDefault="001B6EEE" w:rsidP="001B6EEE">
      <w:pPr>
        <w:suppressAutoHyphens/>
        <w:ind w:left="2160" w:hanging="720"/>
        <w:rPr>
          <w:rFonts w:eastAsia="Calibri"/>
        </w:rPr>
      </w:pPr>
    </w:p>
    <w:p w14:paraId="33DA1B58" w14:textId="0E1D5424" w:rsidR="00B50A91" w:rsidRPr="003B4362" w:rsidRDefault="00B50A91" w:rsidP="001B6EEE">
      <w:pPr>
        <w:suppressAutoHyphens/>
        <w:ind w:left="2160" w:hanging="720"/>
        <w:rPr>
          <w:rFonts w:eastAsia="Calibri"/>
        </w:rPr>
      </w:pPr>
      <w:r w:rsidRPr="003B4362">
        <w:rPr>
          <w:rFonts w:eastAsia="Calibri"/>
        </w:rPr>
        <w:t>1)</w:t>
      </w:r>
      <w:r w:rsidRPr="003B4362">
        <w:rPr>
          <w:rFonts w:eastAsia="Calibri"/>
        </w:rPr>
        <w:tab/>
        <w:t>Reduced Tap Monitoring.  A supplier maintaining the range of values for the water quality parameters reflecting optimal corrosion control treatment during each of two consecutive six-month monitoring periods under subsection (d) must continue monitoring at the entry points to the distribution system as subsection (c)(5) specifies.  The supplier may collect two samples from each tap for applicable water quality parameters from the reduced number of sites the second column of Table F (Standard Monitoring) indicates during each subsequent six-month monitoring period.</w:t>
      </w:r>
    </w:p>
    <w:p w14:paraId="7D806EFB" w14:textId="77777777" w:rsidR="001B6EEE" w:rsidRDefault="001B6EEE" w:rsidP="001B6EEE">
      <w:pPr>
        <w:suppressAutoHyphens/>
        <w:ind w:left="2160" w:hanging="720"/>
        <w:rPr>
          <w:rFonts w:eastAsia="Calibri"/>
        </w:rPr>
      </w:pPr>
    </w:p>
    <w:p w14:paraId="5157C6F9" w14:textId="069AD8EB" w:rsidR="00B50A91" w:rsidRPr="003B4362" w:rsidRDefault="00B50A91" w:rsidP="001B6EEE">
      <w:pPr>
        <w:suppressAutoHyphens/>
        <w:ind w:left="2160" w:hanging="720"/>
        <w:rPr>
          <w:rFonts w:eastAsia="Calibri"/>
        </w:rPr>
      </w:pPr>
      <w:r w:rsidRPr="003B4362">
        <w:rPr>
          <w:rFonts w:eastAsia="Calibri"/>
        </w:rPr>
        <w:t>2)</w:t>
      </w:r>
      <w:r w:rsidRPr="003B4362">
        <w:rPr>
          <w:rFonts w:eastAsia="Calibri"/>
        </w:rPr>
        <w:tab/>
        <w:t>Reduced Monitoring Frequency</w:t>
      </w:r>
    </w:p>
    <w:p w14:paraId="6E12608A" w14:textId="77777777" w:rsidR="001B6EEE" w:rsidRDefault="001B6EEE" w:rsidP="001B6EEE">
      <w:pPr>
        <w:suppressAutoHyphens/>
        <w:ind w:left="2880" w:hanging="720"/>
        <w:rPr>
          <w:rFonts w:eastAsia="Calibri"/>
        </w:rPr>
      </w:pPr>
    </w:p>
    <w:p w14:paraId="2F792DA7" w14:textId="432E9B8E" w:rsidR="00B50A91" w:rsidRPr="003B4362" w:rsidRDefault="00B50A91" w:rsidP="001B6EEE">
      <w:pPr>
        <w:suppressAutoHyphens/>
        <w:ind w:left="2880" w:hanging="720"/>
        <w:rPr>
          <w:rFonts w:eastAsia="Calibri"/>
        </w:rPr>
      </w:pPr>
      <w:r w:rsidRPr="003B4362">
        <w:rPr>
          <w:rFonts w:eastAsia="Calibri"/>
        </w:rPr>
        <w:t>A)</w:t>
      </w:r>
      <w:r w:rsidRPr="003B4362">
        <w:rPr>
          <w:rFonts w:eastAsia="Calibri"/>
        </w:rPr>
        <w:tab/>
        <w:t>Staged Reductions in Monitoring Frequency</w:t>
      </w:r>
    </w:p>
    <w:p w14:paraId="0F529ACA" w14:textId="77777777" w:rsidR="001B6EEE" w:rsidRDefault="001B6EEE" w:rsidP="001B6EEE">
      <w:pPr>
        <w:suppressAutoHyphens/>
        <w:ind w:left="3600" w:hanging="720"/>
        <w:rPr>
          <w:rFonts w:eastAsia="Calibri"/>
        </w:rPr>
      </w:pPr>
    </w:p>
    <w:p w14:paraId="56D9286C" w14:textId="520E72B0" w:rsidR="00B50A91" w:rsidRPr="003B4362" w:rsidRDefault="00B50A91" w:rsidP="001B6EEE">
      <w:pPr>
        <w:suppressAutoHyphens/>
        <w:ind w:left="3600" w:hanging="720"/>
        <w:rPr>
          <w:rFonts w:eastAsia="Calibri"/>
        </w:rPr>
      </w:pPr>
      <w:r w:rsidRPr="003B4362">
        <w:rPr>
          <w:rFonts w:eastAsia="Calibri"/>
        </w:rPr>
        <w:t>i)</w:t>
      </w:r>
      <w:r w:rsidRPr="003B4362">
        <w:rPr>
          <w:rFonts w:eastAsia="Calibri"/>
        </w:rPr>
        <w:tab/>
        <w:t xml:space="preserve">Annual Monitoring.  A supplier maintaining the range of values for the water quality parameters reflecting optimal </w:t>
      </w:r>
      <w:r w:rsidRPr="003B4362">
        <w:rPr>
          <w:rFonts w:eastAsia="Calibri"/>
        </w:rPr>
        <w:lastRenderedPageBreak/>
        <w:t>corrosion control treatment under Section 611.1352(f) during three consecutive years of monitoring may reduce its tap sampling frequency for applicable water quality parameters subsection (e)(1) specifies from every six months to annually.  The supplier may only begin this reduced sampling during the calendar year immediately following the end of the monitoring period in which the third consecutive year of six-month monitoring occurs.</w:t>
      </w:r>
    </w:p>
    <w:p w14:paraId="44186C3E" w14:textId="77777777" w:rsidR="001B6EEE" w:rsidRDefault="001B6EEE" w:rsidP="001B6EEE">
      <w:pPr>
        <w:suppressAutoHyphens/>
        <w:ind w:left="3600" w:hanging="720"/>
        <w:rPr>
          <w:rFonts w:eastAsia="Calibri"/>
        </w:rPr>
      </w:pPr>
    </w:p>
    <w:p w14:paraId="63F09F62" w14:textId="6F08EA7B" w:rsidR="00B50A91" w:rsidRPr="003B4362" w:rsidRDefault="00B50A91" w:rsidP="001B6EEE">
      <w:pPr>
        <w:suppressAutoHyphens/>
        <w:ind w:left="3600" w:hanging="720"/>
        <w:rPr>
          <w:rFonts w:eastAsia="Calibri"/>
        </w:rPr>
      </w:pPr>
      <w:r w:rsidRPr="003B4362">
        <w:rPr>
          <w:rFonts w:eastAsia="Calibri"/>
        </w:rPr>
        <w:t>ii)</w:t>
      </w:r>
      <w:r w:rsidRPr="003B4362">
        <w:rPr>
          <w:rFonts w:eastAsia="Calibri"/>
        </w:rPr>
        <w:tab/>
        <w:t>Triennial Monitoring.  A supplier maintaining the range of values for the water quality parameters reflecting optimal corrosion control treatment under Section 611.1352(f) during three consecutive years of annual monitoring under subsection (e)(2)(A)(i) may reduce its tap sampling frequency for applicable water quality parameters subsection (e)(1) specifies from annually to once every three years.  The supplier must conduct this triennial monitoring no later than every third calendar year.</w:t>
      </w:r>
    </w:p>
    <w:p w14:paraId="4BAF00C1" w14:textId="77777777" w:rsidR="001B6EEE" w:rsidRDefault="001B6EEE" w:rsidP="001B6EEE">
      <w:pPr>
        <w:ind w:left="2880" w:hanging="720"/>
        <w:rPr>
          <w:rFonts w:eastAsia="Calibri"/>
        </w:rPr>
      </w:pPr>
    </w:p>
    <w:p w14:paraId="211F5EE0" w14:textId="77FD4E3A" w:rsidR="00B50A91" w:rsidRPr="003B4362" w:rsidRDefault="00B50A91" w:rsidP="001B6EEE">
      <w:pPr>
        <w:ind w:left="2880" w:hanging="720"/>
        <w:rPr>
          <w:rFonts w:eastAsia="Calibri"/>
        </w:rPr>
      </w:pPr>
      <w:r w:rsidRPr="003B4362">
        <w:rPr>
          <w:rFonts w:eastAsia="Calibri"/>
        </w:rPr>
        <w:t>B)</w:t>
      </w:r>
      <w:r w:rsidRPr="003B4362">
        <w:rPr>
          <w:rFonts w:eastAsia="Calibri"/>
        </w:rPr>
        <w:tab/>
        <w:t>A supplier may reduce its tap sampling frequency for applicable water quality parameters in subsection (e)(1) to once every three years if the supplier demonstrates that it complies with subsections (e)(2)(B)(i) through (e)(2)(B)(iii) during two consecutive monitoring periods, subject to subsection (e)(2)(B)(iv).</w:t>
      </w:r>
    </w:p>
    <w:p w14:paraId="4BEBF459" w14:textId="77777777" w:rsidR="001B6EEE" w:rsidRDefault="001B6EEE" w:rsidP="001B6EEE">
      <w:pPr>
        <w:ind w:left="3600" w:hanging="720"/>
        <w:rPr>
          <w:rFonts w:eastAsia="Calibri"/>
        </w:rPr>
      </w:pPr>
    </w:p>
    <w:p w14:paraId="4B877CE8" w14:textId="13BCC55B" w:rsidR="00B50A91" w:rsidRPr="003B4362" w:rsidRDefault="00B50A91" w:rsidP="001B6EEE">
      <w:pPr>
        <w:ind w:left="3600" w:hanging="720"/>
        <w:rPr>
          <w:rFonts w:eastAsia="Calibri"/>
        </w:rPr>
      </w:pPr>
      <w:r w:rsidRPr="003B4362">
        <w:rPr>
          <w:rFonts w:eastAsia="Calibri"/>
        </w:rPr>
        <w:t>i)</w:t>
      </w:r>
      <w:r w:rsidRPr="003B4362">
        <w:rPr>
          <w:rFonts w:eastAsia="Calibri"/>
        </w:rPr>
        <w:tab/>
        <w:t>The supplier must demonstrate that its tap water 90th percentile level for lead is less than or equal to the PQL for lead in Section 611.1359(a)(1)(B).</w:t>
      </w:r>
    </w:p>
    <w:p w14:paraId="313D37BF" w14:textId="77777777" w:rsidR="001B6EEE" w:rsidRDefault="001B6EEE" w:rsidP="001B6EEE">
      <w:pPr>
        <w:ind w:left="3600" w:hanging="720"/>
        <w:rPr>
          <w:rFonts w:eastAsia="Calibri"/>
        </w:rPr>
      </w:pPr>
    </w:p>
    <w:p w14:paraId="27CFBFB4" w14:textId="3609CE54" w:rsidR="00B50A91" w:rsidRPr="003B4362" w:rsidRDefault="00B50A91" w:rsidP="001B6EEE">
      <w:pPr>
        <w:ind w:left="3600" w:hanging="720"/>
        <w:rPr>
          <w:rFonts w:eastAsia="Calibri"/>
        </w:rPr>
      </w:pPr>
      <w:r w:rsidRPr="003B4362">
        <w:rPr>
          <w:rFonts w:eastAsia="Calibri"/>
        </w:rPr>
        <w:t>ii)</w:t>
      </w:r>
      <w:r w:rsidRPr="003B4362">
        <w:rPr>
          <w:rFonts w:eastAsia="Calibri"/>
        </w:rPr>
        <w:tab/>
        <w:t>The supplier must demonstrate that its tap water 90th percentile level for copper is less than or equal to 0.65 mg/</w:t>
      </w:r>
      <w:r w:rsidR="006A710C" w:rsidRPr="003B4362">
        <w:t>L</w:t>
      </w:r>
      <w:r w:rsidRPr="003B4362">
        <w:rPr>
          <w:rFonts w:eastAsia="Calibri"/>
        </w:rPr>
        <w:t xml:space="preserve"> for copper in Section 611.1350(c)(2).</w:t>
      </w:r>
    </w:p>
    <w:p w14:paraId="012450A6" w14:textId="77777777" w:rsidR="001B6EEE" w:rsidRDefault="001B6EEE" w:rsidP="001B6EEE">
      <w:pPr>
        <w:ind w:left="3600" w:hanging="720"/>
        <w:rPr>
          <w:rFonts w:eastAsia="Calibri"/>
        </w:rPr>
      </w:pPr>
    </w:p>
    <w:p w14:paraId="67FA13B0" w14:textId="14905BF4" w:rsidR="00B50A91" w:rsidRPr="003B4362" w:rsidRDefault="00B50A91" w:rsidP="001B6EEE">
      <w:pPr>
        <w:ind w:left="3600" w:hanging="720"/>
        <w:rPr>
          <w:rFonts w:eastAsia="Calibri"/>
        </w:rPr>
      </w:pPr>
      <w:r w:rsidRPr="003B4362">
        <w:rPr>
          <w:rFonts w:eastAsia="Calibri"/>
        </w:rPr>
        <w:t>iii)</w:t>
      </w:r>
      <w:r w:rsidRPr="003B4362">
        <w:rPr>
          <w:rFonts w:eastAsia="Calibri"/>
        </w:rPr>
        <w:tab/>
        <w:t>The supplier must demonstrate that it maintains the range of values for the water quality parameters reflecting optimal corrosion control treatment the Agency specified under Section 611.1352(f).</w:t>
      </w:r>
    </w:p>
    <w:p w14:paraId="6F054F09" w14:textId="77777777" w:rsidR="001B6EEE" w:rsidRDefault="001B6EEE" w:rsidP="001B6EEE">
      <w:pPr>
        <w:ind w:left="3600" w:hanging="720"/>
        <w:rPr>
          <w:rFonts w:eastAsia="Calibri"/>
        </w:rPr>
      </w:pPr>
    </w:p>
    <w:p w14:paraId="7FD222B9" w14:textId="69369BD6" w:rsidR="00B50A91" w:rsidRPr="003B4362" w:rsidRDefault="00B50A91" w:rsidP="001B6EEE">
      <w:pPr>
        <w:ind w:left="3600" w:hanging="720"/>
        <w:rPr>
          <w:rFonts w:eastAsia="Calibri"/>
        </w:rPr>
      </w:pPr>
      <w:r w:rsidRPr="003B4362">
        <w:rPr>
          <w:rFonts w:eastAsia="Calibri"/>
        </w:rPr>
        <w:t>iv)</w:t>
      </w:r>
      <w:r w:rsidRPr="003B4362">
        <w:rPr>
          <w:rFonts w:eastAsia="Calibri"/>
        </w:rPr>
        <w:tab/>
        <w:t>The supplier must complete triennial monitoring no later than every third calendar year.</w:t>
      </w:r>
    </w:p>
    <w:p w14:paraId="1629453B" w14:textId="77777777" w:rsidR="001B6EEE" w:rsidRDefault="001B6EEE" w:rsidP="001B6EEE">
      <w:pPr>
        <w:suppressAutoHyphens/>
        <w:ind w:left="2160" w:hanging="720"/>
        <w:rPr>
          <w:rFonts w:eastAsia="Calibri"/>
        </w:rPr>
      </w:pPr>
    </w:p>
    <w:p w14:paraId="3B8B009A" w14:textId="39B5FFF6" w:rsidR="00B50A91" w:rsidRPr="003B4362" w:rsidRDefault="00B50A91" w:rsidP="001B6EEE">
      <w:pPr>
        <w:suppressAutoHyphens/>
        <w:ind w:left="2160" w:hanging="720"/>
        <w:rPr>
          <w:rFonts w:eastAsia="Calibri"/>
        </w:rPr>
      </w:pPr>
      <w:r w:rsidRPr="003B4362">
        <w:rPr>
          <w:rFonts w:eastAsia="Calibri"/>
        </w:rPr>
        <w:t>3)</w:t>
      </w:r>
      <w:r w:rsidRPr="003B4362">
        <w:rPr>
          <w:rFonts w:eastAsia="Calibri"/>
        </w:rPr>
        <w:tab/>
        <w:t>A supplier sampling annually or triennially must collect these samples evenly throughout the calendar year to reflect seasonal variability.</w:t>
      </w:r>
    </w:p>
    <w:p w14:paraId="7D6CB019" w14:textId="77777777" w:rsidR="001B6EEE" w:rsidRDefault="001B6EEE" w:rsidP="001B6EEE">
      <w:pPr>
        <w:suppressAutoHyphens/>
        <w:ind w:left="2160" w:hanging="720"/>
        <w:rPr>
          <w:rFonts w:eastAsia="Calibri"/>
        </w:rPr>
      </w:pPr>
    </w:p>
    <w:p w14:paraId="5EA2F547" w14:textId="48519923" w:rsidR="00B50A91" w:rsidRPr="003B4362" w:rsidRDefault="00B50A91" w:rsidP="001B6EEE">
      <w:pPr>
        <w:suppressAutoHyphens/>
        <w:ind w:left="2160" w:hanging="720"/>
        <w:rPr>
          <w:rFonts w:eastAsia="Calibri"/>
        </w:rPr>
      </w:pPr>
      <w:r w:rsidRPr="003B4362">
        <w:rPr>
          <w:rFonts w:eastAsia="Calibri"/>
        </w:rPr>
        <w:lastRenderedPageBreak/>
        <w:t>4)</w:t>
      </w:r>
      <w:r w:rsidRPr="003B4362">
        <w:rPr>
          <w:rFonts w:eastAsia="Calibri"/>
        </w:rPr>
        <w:tab/>
        <w:t>A supplier on a reduced monitoring frequency under this subsection (e) failing to operate at or above the minimum value or within the range of values for the water quality parameters the Agency specifies under Section 611.1352(f) for more than nine days in any six-month period Section 611.1352(g) specifies must resume tap water sampling complying with the number and frequency of samples subsection (d) requires.  A supplier thus ceasing reduced monitoring may resume annual monitoring for water quality parameters at the tap at the reduced number of sites subsection (e)(1) specifies after completing two subsequent consecutive six-month rounds of monitoring complying with subsection (e)(1).  The supplier may resume triennial tap water monitoring for water quality parameters at the reduced number of sites after demonstrating through subsequent rounds of monitoring that the supplier complies with subsection (e)(2)(A) or (e)(2)(B).</w:t>
      </w:r>
    </w:p>
    <w:p w14:paraId="7496B7A5" w14:textId="77777777" w:rsidR="001B6EEE" w:rsidRDefault="001B6EEE" w:rsidP="001B6EEE">
      <w:pPr>
        <w:suppressAutoHyphens/>
        <w:ind w:left="1440" w:hanging="720"/>
        <w:rPr>
          <w:rFonts w:eastAsia="Calibri"/>
        </w:rPr>
      </w:pPr>
    </w:p>
    <w:p w14:paraId="2CA87CC3" w14:textId="4DACADDC" w:rsidR="00B50A91" w:rsidRPr="003B4362" w:rsidRDefault="00B50A91" w:rsidP="001B6EEE">
      <w:pPr>
        <w:suppressAutoHyphens/>
        <w:ind w:left="1440" w:hanging="720"/>
        <w:rPr>
          <w:rFonts w:eastAsia="Calibri"/>
        </w:rPr>
      </w:pPr>
      <w:r w:rsidRPr="003B4362">
        <w:rPr>
          <w:rFonts w:eastAsia="Calibri"/>
        </w:rPr>
        <w:t>f)</w:t>
      </w:r>
      <w:r w:rsidRPr="003B4362">
        <w:rPr>
          <w:rFonts w:eastAsia="Calibri"/>
        </w:rPr>
        <w:tab/>
        <w:t>Additional Monitoring by Suppliers.  The supplier and the Agency must consider any monitoring results and what this Section requires in making any determinations (i.e., determining concentrations of water quality parameters) under this Section or Section 611.1352.</w:t>
      </w:r>
    </w:p>
    <w:p w14:paraId="69FEBC52" w14:textId="77777777" w:rsidR="001B6EEE" w:rsidRDefault="001B6EEE" w:rsidP="001B6EEE">
      <w:pPr>
        <w:rPr>
          <w:rFonts w:eastAsia="Calibri"/>
        </w:rPr>
      </w:pPr>
    </w:p>
    <w:p w14:paraId="56C701C1" w14:textId="55103644" w:rsidR="00B50A91" w:rsidRPr="003B4362" w:rsidRDefault="00B50A91" w:rsidP="001B6EEE">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611.357 and </w:t>
      </w:r>
      <w:r w:rsidRPr="003B4362">
        <w:rPr>
          <w:rFonts w:eastAsia="Calibri"/>
          <w:spacing w:val="-3"/>
        </w:rPr>
        <w:t xml:space="preserve">derives </w:t>
      </w:r>
      <w:r w:rsidRPr="003B4362">
        <w:rPr>
          <w:rFonts w:eastAsia="Calibri"/>
        </w:rPr>
        <w:t>from 40 CFR 141.87</w:t>
      </w:r>
      <w:r w:rsidR="004341BB" w:rsidRPr="003B4362">
        <w:rPr>
          <w:rFonts w:eastAsia="Calibri"/>
        </w:rPr>
        <w:t xml:space="preserve"> (2020)</w:t>
      </w:r>
      <w:r w:rsidRPr="003B4362">
        <w:rPr>
          <w:rFonts w:eastAsia="Calibri"/>
        </w:rPr>
        <w:t>.</w:t>
      </w:r>
    </w:p>
    <w:p w14:paraId="4087B425" w14:textId="77777777" w:rsidR="001B6EEE" w:rsidRDefault="001B6EEE" w:rsidP="001B6EEE">
      <w:pPr>
        <w:suppressAutoHyphens/>
        <w:ind w:left="720"/>
        <w:rPr>
          <w:rFonts w:eastAsia="Calibri"/>
        </w:rPr>
      </w:pPr>
    </w:p>
    <w:p w14:paraId="2B9B3CCE" w14:textId="5F0CAE02" w:rsidR="00B50A91" w:rsidRDefault="00EB353D" w:rsidP="001B6EEE">
      <w:pPr>
        <w:suppressAutoHyphens/>
        <w:ind w:left="720"/>
        <w:rPr>
          <w:rFonts w:eastAsia="Calibri"/>
        </w:rPr>
      </w:pPr>
      <w:r w:rsidRPr="003B4362">
        <w:rPr>
          <w:rFonts w:eastAsia="Calibri"/>
        </w:rPr>
        <w:t>(Source:  A</w:t>
      </w:r>
      <w:r w:rsidR="0058450C"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047C7658" w14:textId="77777777" w:rsidR="005605D6" w:rsidRPr="003B4362" w:rsidRDefault="005605D6" w:rsidP="001B6EEE">
      <w:pPr>
        <w:suppressAutoHyphens/>
        <w:ind w:left="720"/>
        <w:rPr>
          <w:rFonts w:eastAsia="Calibri"/>
        </w:rPr>
      </w:pPr>
    </w:p>
    <w:p w14:paraId="7D786FB1" w14:textId="77777777" w:rsidR="00B50A91" w:rsidRPr="003B4362" w:rsidRDefault="00B50A91" w:rsidP="001B6EEE">
      <w:pPr>
        <w:rPr>
          <w:rFonts w:eastAsia="Calibri"/>
          <w:b/>
          <w:bCs/>
        </w:rPr>
      </w:pPr>
      <w:r w:rsidRPr="003B4362">
        <w:rPr>
          <w:rFonts w:eastAsia="Calibri"/>
          <w:b/>
          <w:bCs/>
        </w:rPr>
        <w:t>Section 611.1358  Monitoring for Lead and Copper in Source Water</w:t>
      </w:r>
    </w:p>
    <w:p w14:paraId="742ACB30" w14:textId="77777777" w:rsidR="001B6EEE" w:rsidRDefault="001B6EEE" w:rsidP="001B6EEE">
      <w:pPr>
        <w:ind w:left="1440" w:hanging="720"/>
        <w:rPr>
          <w:rFonts w:eastAsia="Calibri"/>
        </w:rPr>
      </w:pPr>
    </w:p>
    <w:p w14:paraId="1061D6BC" w14:textId="401EAEF5" w:rsidR="00B50A91" w:rsidRPr="003B4362" w:rsidRDefault="00B50A91" w:rsidP="001B6EEE">
      <w:pPr>
        <w:ind w:left="1440" w:hanging="720"/>
        <w:rPr>
          <w:rFonts w:eastAsia="Calibri"/>
        </w:rPr>
      </w:pPr>
      <w:r w:rsidRPr="003B4362">
        <w:rPr>
          <w:rFonts w:eastAsia="Calibri"/>
        </w:rPr>
        <w:t>a)</w:t>
      </w:r>
      <w:r w:rsidRPr="003B4362">
        <w:rPr>
          <w:rFonts w:eastAsia="Calibri"/>
        </w:rPr>
        <w:tab/>
        <w:t>Sampling Location, Collection Methods, and Number of Samples</w:t>
      </w:r>
    </w:p>
    <w:p w14:paraId="2F542221" w14:textId="77777777" w:rsidR="001B6EEE" w:rsidRDefault="001B6EEE" w:rsidP="001B6EEE">
      <w:pPr>
        <w:ind w:left="2160" w:hanging="720"/>
        <w:rPr>
          <w:rFonts w:eastAsia="Calibri"/>
        </w:rPr>
      </w:pPr>
    </w:p>
    <w:p w14:paraId="1477A079" w14:textId="28C1D6A4" w:rsidR="00B50A91" w:rsidRPr="003B4362" w:rsidRDefault="00B50A91" w:rsidP="001B6EEE">
      <w:pPr>
        <w:ind w:left="2160" w:hanging="720"/>
        <w:rPr>
          <w:rFonts w:eastAsia="Calibri"/>
        </w:rPr>
      </w:pPr>
      <w:r w:rsidRPr="003B4362">
        <w:rPr>
          <w:rFonts w:eastAsia="Calibri"/>
        </w:rPr>
        <w:t>1)</w:t>
      </w:r>
      <w:r w:rsidRPr="003B4362">
        <w:rPr>
          <w:rFonts w:eastAsia="Calibri"/>
        </w:rPr>
        <w:tab/>
        <w:t>A supplier failing to meet the lead or copper action level on the basis of tap samples under Section 611.1356 must collect lead and copper source water samples under specific requirements for sample location, number of samples, and collection methods:</w:t>
      </w:r>
    </w:p>
    <w:p w14:paraId="34B25872" w14:textId="77777777" w:rsidR="001B6EEE" w:rsidRDefault="001B6EEE" w:rsidP="001B6EEE">
      <w:pPr>
        <w:ind w:left="2880" w:hanging="720"/>
        <w:rPr>
          <w:rFonts w:eastAsia="Calibri"/>
        </w:rPr>
      </w:pPr>
    </w:p>
    <w:p w14:paraId="4C5401F2" w14:textId="49AE0994" w:rsidR="00B50A91" w:rsidRPr="003B4362" w:rsidRDefault="00B50A91" w:rsidP="001B6EEE">
      <w:pPr>
        <w:ind w:left="2880" w:hanging="720"/>
        <w:rPr>
          <w:rFonts w:eastAsia="Calibri"/>
        </w:rPr>
      </w:pPr>
      <w:r w:rsidRPr="003B4362">
        <w:rPr>
          <w:rFonts w:eastAsia="Calibri"/>
        </w:rPr>
        <w:t>A)</w:t>
      </w:r>
      <w:r w:rsidRPr="003B4362">
        <w:rPr>
          <w:rFonts w:eastAsia="Calibri"/>
        </w:rPr>
        <w:tab/>
        <w:t>A groundwater supplier must take a minimum of one sample at every entry point to the distribution system representing each well after treatment (a “sampling point”).  The supplier must take one sample at the same sampling point unless conditions make another sampling point more closely represent a source or treatment plant.</w:t>
      </w:r>
    </w:p>
    <w:p w14:paraId="167B7C4D" w14:textId="77777777" w:rsidR="001B6EEE" w:rsidRDefault="001B6EEE" w:rsidP="001B6EEE">
      <w:pPr>
        <w:ind w:left="2880" w:hanging="720"/>
        <w:rPr>
          <w:rFonts w:eastAsia="Calibri"/>
        </w:rPr>
      </w:pPr>
    </w:p>
    <w:p w14:paraId="4DDB7F66" w14:textId="38F7D38C" w:rsidR="00B50A91" w:rsidRPr="003B4362" w:rsidRDefault="00B50A91" w:rsidP="001B6EEE">
      <w:pPr>
        <w:ind w:left="2880" w:hanging="720"/>
        <w:rPr>
          <w:rFonts w:eastAsia="Calibri"/>
        </w:rPr>
      </w:pPr>
      <w:r w:rsidRPr="003B4362">
        <w:rPr>
          <w:rFonts w:eastAsia="Calibri"/>
        </w:rPr>
        <w:t>B)</w:t>
      </w:r>
      <w:r w:rsidRPr="003B4362">
        <w:rPr>
          <w:rFonts w:eastAsia="Calibri"/>
        </w:rPr>
        <w:tab/>
        <w:t xml:space="preserve">A surface water supplier must take a minimum of one sample at every entry point to the distribution system after treatment or in the distribution system at a sampling point.  The supplier must take each sample at the same sampling point unless conditions make </w:t>
      </w:r>
      <w:r w:rsidRPr="003B4362">
        <w:rPr>
          <w:rFonts w:eastAsia="Calibri"/>
        </w:rPr>
        <w:lastRenderedPageBreak/>
        <w:t>another sampling point more closely represent a source or treatment plant.</w:t>
      </w:r>
    </w:p>
    <w:p w14:paraId="62DC228A" w14:textId="77777777" w:rsidR="001B6EEE" w:rsidRDefault="001B6EEE" w:rsidP="001B6EEE">
      <w:pPr>
        <w:ind w:left="2880"/>
        <w:rPr>
          <w:rFonts w:eastAsia="Calibri"/>
        </w:rPr>
      </w:pPr>
    </w:p>
    <w:p w14:paraId="78B347C4" w14:textId="1A5C52AB" w:rsidR="00B50A91" w:rsidRPr="003B4362" w:rsidRDefault="00B50A91" w:rsidP="001B6EEE">
      <w:pPr>
        <w:ind w:left="2880"/>
        <w:rPr>
          <w:rFonts w:eastAsia="Calibri"/>
        </w:rPr>
      </w:pPr>
      <w:r w:rsidRPr="003B4362">
        <w:rPr>
          <w:rFonts w:eastAsia="Calibri"/>
        </w:rPr>
        <w:t>BOARD NOTE:  For this subsection (a)(1)(B), a system using a combination of surface water and groundwater sources is a surface water system.</w:t>
      </w:r>
    </w:p>
    <w:p w14:paraId="76D00BC9" w14:textId="77777777" w:rsidR="001B6EEE" w:rsidRDefault="001B6EEE" w:rsidP="001B6EEE">
      <w:pPr>
        <w:ind w:left="2880" w:hanging="720"/>
        <w:rPr>
          <w:rFonts w:eastAsia="Calibri"/>
        </w:rPr>
      </w:pPr>
    </w:p>
    <w:p w14:paraId="10D510A2" w14:textId="3225FFB8" w:rsidR="00B50A91" w:rsidRPr="003B4362" w:rsidRDefault="00B50A91" w:rsidP="001B6EEE">
      <w:pPr>
        <w:ind w:left="2880" w:hanging="720"/>
        <w:rPr>
          <w:rFonts w:eastAsia="Calibri"/>
        </w:rPr>
      </w:pPr>
      <w:r w:rsidRPr="003B4362">
        <w:rPr>
          <w:rFonts w:eastAsia="Calibri"/>
        </w:rPr>
        <w:t>C)</w:t>
      </w:r>
      <w:r w:rsidRPr="003B4362">
        <w:rPr>
          <w:rFonts w:eastAsia="Calibri"/>
        </w:rPr>
        <w:tab/>
        <w:t>If a supplier draws water from more than one source and combines the sources before distribution, the supplier must sample at an entry point to the distribution system during periods of normal operating conditions (i.e., when water represents all sources being used).</w:t>
      </w:r>
    </w:p>
    <w:p w14:paraId="73088E1C" w14:textId="77777777" w:rsidR="001B6EEE" w:rsidRDefault="001B6EEE" w:rsidP="001B6EEE">
      <w:pPr>
        <w:tabs>
          <w:tab w:val="left" w:pos="2160"/>
        </w:tabs>
        <w:ind w:left="2880" w:hanging="720"/>
        <w:rPr>
          <w:rFonts w:eastAsia="Calibri"/>
        </w:rPr>
      </w:pPr>
    </w:p>
    <w:p w14:paraId="58EBD604" w14:textId="266104F9" w:rsidR="00B50A91" w:rsidRPr="003B4362" w:rsidRDefault="00B50A91" w:rsidP="001B6EEE">
      <w:pPr>
        <w:tabs>
          <w:tab w:val="left" w:pos="2160"/>
        </w:tabs>
        <w:ind w:left="2880" w:hanging="720"/>
        <w:rPr>
          <w:rFonts w:eastAsia="Calibri"/>
        </w:rPr>
      </w:pPr>
      <w:r w:rsidRPr="003B4362">
        <w:rPr>
          <w:rFonts w:eastAsia="Calibri"/>
        </w:rPr>
        <w:t>D)</w:t>
      </w:r>
      <w:r w:rsidRPr="003B4362">
        <w:rPr>
          <w:rFonts w:eastAsia="Calibri"/>
        </w:rPr>
        <w:tab/>
        <w:t>The Agency may issue a SEP reducing the total number of samples a supplier must analyze by allowing the supplier to composite samples.  C</w:t>
      </w:r>
      <w:bookmarkStart w:id="4549" w:name="_Hlk115976175"/>
      <w:r w:rsidRPr="003B4362">
        <w:rPr>
          <w:rFonts w:eastAsia="Calibri"/>
        </w:rPr>
        <w:t>ertified laboratory personnel must composit</w:t>
      </w:r>
      <w:r w:rsidR="00622824" w:rsidRPr="003B4362">
        <w:rPr>
          <w:rFonts w:eastAsia="Calibri"/>
        </w:rPr>
        <w:t>e</w:t>
      </w:r>
      <w:r w:rsidRPr="003B4362">
        <w:rPr>
          <w:rFonts w:eastAsia="Calibri"/>
        </w:rPr>
        <w:t xml:space="preserve"> the samples</w:t>
      </w:r>
      <w:bookmarkEnd w:id="4549"/>
      <w:r w:rsidRPr="003B4362">
        <w:rPr>
          <w:rFonts w:eastAsia="Calibri"/>
        </w:rPr>
        <w:t>.  A composite sample may include a maximum of five samples.  However, if the lead concentration in the composite sample is greater than or equal to 0.001 mg/</w:t>
      </w:r>
      <w:r w:rsidR="006A710C" w:rsidRPr="003B4362">
        <w:t>L</w:t>
      </w:r>
      <w:r w:rsidRPr="003B4362">
        <w:rPr>
          <w:rFonts w:eastAsia="Calibri"/>
        </w:rPr>
        <w:t xml:space="preserve"> or the copper concentration is greater than or equal to 0.160 mg/</w:t>
      </w:r>
      <w:r w:rsidR="006A710C" w:rsidRPr="003B4362">
        <w:t>L</w:t>
      </w:r>
      <w:r w:rsidRPr="003B4362">
        <w:rPr>
          <w:rFonts w:eastAsia="Calibri"/>
        </w:rPr>
        <w:t>, the supplier must do either of two things:</w:t>
      </w:r>
    </w:p>
    <w:p w14:paraId="0FC19A51" w14:textId="77777777" w:rsidR="001B6EEE" w:rsidRDefault="001B6EEE" w:rsidP="001B6EEE">
      <w:pPr>
        <w:ind w:left="3600" w:hanging="720"/>
        <w:rPr>
          <w:rFonts w:eastAsia="Calibri"/>
        </w:rPr>
      </w:pPr>
    </w:p>
    <w:p w14:paraId="6A7E3603" w14:textId="2A40B738" w:rsidR="00B50A91" w:rsidRPr="003B4362" w:rsidRDefault="00B50A91" w:rsidP="001B6EEE">
      <w:pPr>
        <w:ind w:left="3600" w:hanging="720"/>
        <w:rPr>
          <w:rFonts w:eastAsia="Calibri"/>
        </w:rPr>
      </w:pPr>
      <w:r w:rsidRPr="003B4362">
        <w:rPr>
          <w:rFonts w:eastAsia="Calibri"/>
        </w:rPr>
        <w:t>i)</w:t>
      </w:r>
      <w:r w:rsidRPr="003B4362">
        <w:rPr>
          <w:rFonts w:eastAsia="Calibri"/>
        </w:rPr>
        <w:tab/>
        <w:t>The supplier must take and analyze a follow-up sample within 14 days at each sampling point included in the composite sample; or</w:t>
      </w:r>
    </w:p>
    <w:p w14:paraId="56653AD2" w14:textId="77777777" w:rsidR="001B6EEE" w:rsidRDefault="001B6EEE" w:rsidP="001B6EEE">
      <w:pPr>
        <w:ind w:left="3600" w:hanging="720"/>
        <w:rPr>
          <w:rFonts w:eastAsia="Calibri"/>
        </w:rPr>
      </w:pPr>
    </w:p>
    <w:p w14:paraId="06EAF3C6" w14:textId="1149C708" w:rsidR="00B50A91" w:rsidRPr="003B4362" w:rsidRDefault="00B50A91" w:rsidP="001B6EEE">
      <w:pPr>
        <w:ind w:left="3600" w:hanging="720"/>
        <w:rPr>
          <w:rFonts w:eastAsia="Calibri"/>
        </w:rPr>
      </w:pPr>
      <w:r w:rsidRPr="003B4362">
        <w:rPr>
          <w:rFonts w:eastAsia="Calibri"/>
        </w:rPr>
        <w:t>ii)</w:t>
      </w:r>
      <w:r w:rsidRPr="003B4362">
        <w:rPr>
          <w:rFonts w:eastAsia="Calibri"/>
        </w:rPr>
        <w:tab/>
        <w:t>If duplicate samples or sufficient volumes of the original samples are available from each sampling point the certified laboratory used in the composite sample, the supplier may use those instead of resampling.</w:t>
      </w:r>
    </w:p>
    <w:p w14:paraId="6983CB0A" w14:textId="77777777" w:rsidR="001B6EEE" w:rsidRDefault="001B6EEE" w:rsidP="001B6EEE">
      <w:pPr>
        <w:ind w:left="2160" w:hanging="720"/>
        <w:rPr>
          <w:rFonts w:eastAsia="Calibri"/>
        </w:rPr>
      </w:pPr>
    </w:p>
    <w:p w14:paraId="7E96AEDE" w14:textId="048E7DFB" w:rsidR="00B50A91" w:rsidRPr="003B4362" w:rsidRDefault="00B50A91" w:rsidP="001B6EEE">
      <w:pPr>
        <w:ind w:left="2160" w:hanging="720"/>
        <w:rPr>
          <w:rFonts w:eastAsia="Calibri"/>
        </w:rPr>
      </w:pPr>
      <w:r w:rsidRPr="003B4362">
        <w:rPr>
          <w:rFonts w:eastAsia="Calibri"/>
        </w:rPr>
        <w:t>2)</w:t>
      </w:r>
      <w:r w:rsidRPr="003B4362">
        <w:rPr>
          <w:rFonts w:eastAsia="Calibri"/>
        </w:rPr>
        <w:tab/>
        <w:t>SEP Requiring an Additional Sample</w:t>
      </w:r>
    </w:p>
    <w:p w14:paraId="303A0E33" w14:textId="77777777" w:rsidR="001B6EEE" w:rsidRDefault="001B6EEE" w:rsidP="001B6EEE">
      <w:pPr>
        <w:ind w:left="2880" w:hanging="720"/>
        <w:rPr>
          <w:rFonts w:eastAsia="Calibri"/>
        </w:rPr>
      </w:pPr>
    </w:p>
    <w:p w14:paraId="75BF86D6" w14:textId="00113C11" w:rsidR="00B50A91" w:rsidRPr="003B4362" w:rsidRDefault="00B50A91" w:rsidP="001B6EEE">
      <w:pPr>
        <w:ind w:left="2880" w:hanging="720"/>
        <w:rPr>
          <w:rFonts w:eastAsia="Calibri"/>
        </w:rPr>
      </w:pPr>
      <w:r w:rsidRPr="003B4362">
        <w:rPr>
          <w:rFonts w:eastAsia="Calibri"/>
        </w:rPr>
        <w:t>A)</w:t>
      </w:r>
      <w:r w:rsidRPr="003B4362">
        <w:rPr>
          <w:rFonts w:eastAsia="Calibri"/>
        </w:rPr>
        <w:tab/>
        <w:t>Upon determining that sampling indicates exceedance of the lead or copper MPC under Section 611.1353(b)(4), the Agency must issue a SEP requiring the supplier to collect one additional sample as soon as possible after the initial sample at the same sampling point but before two weeks after the supplier took the initial sample.</w:t>
      </w:r>
    </w:p>
    <w:p w14:paraId="27F51BEB" w14:textId="77777777" w:rsidR="001B6EEE" w:rsidRDefault="001B6EEE" w:rsidP="001B6EEE">
      <w:pPr>
        <w:ind w:left="2880" w:hanging="720"/>
        <w:rPr>
          <w:rFonts w:eastAsia="Calibri"/>
        </w:rPr>
      </w:pPr>
    </w:p>
    <w:p w14:paraId="4FA4BA40" w14:textId="3E3F92F2" w:rsidR="00B50A91" w:rsidRPr="003B4362" w:rsidRDefault="00B50A91" w:rsidP="001B6EEE">
      <w:pPr>
        <w:ind w:left="2880" w:hanging="720"/>
        <w:rPr>
          <w:rFonts w:eastAsia="Calibri"/>
        </w:rPr>
      </w:pPr>
      <w:r w:rsidRPr="003B4362">
        <w:rPr>
          <w:rFonts w:eastAsia="Calibri"/>
        </w:rPr>
        <w:t>B)</w:t>
      </w:r>
      <w:r w:rsidRPr="003B4362">
        <w:rPr>
          <w:rFonts w:eastAsia="Calibri"/>
        </w:rPr>
        <w:tab/>
        <w:t>If a supplier takes an Agency-required confirmation sample for lead or copper, the supplier must average the results obtained from the initial sample with those from the confirmation sample to determine whether it complies with the Agency-specified lead and copper MPCs.</w:t>
      </w:r>
    </w:p>
    <w:p w14:paraId="1233E5B0" w14:textId="77777777" w:rsidR="001B6EEE" w:rsidRDefault="001B6EEE" w:rsidP="001B6EEE">
      <w:pPr>
        <w:ind w:left="3600" w:hanging="720"/>
        <w:rPr>
          <w:rFonts w:eastAsia="Calibri"/>
        </w:rPr>
      </w:pPr>
    </w:p>
    <w:p w14:paraId="7D8A027C" w14:textId="013CBD39" w:rsidR="00B50A91" w:rsidRPr="003B4362" w:rsidRDefault="00B50A91" w:rsidP="001B6EEE">
      <w:pPr>
        <w:ind w:left="3600" w:hanging="720"/>
        <w:rPr>
          <w:rFonts w:eastAsia="Calibri"/>
        </w:rPr>
      </w:pPr>
      <w:r w:rsidRPr="003B4362">
        <w:rPr>
          <w:rFonts w:eastAsia="Calibri"/>
        </w:rPr>
        <w:t>i)</w:t>
      </w:r>
      <w:r w:rsidRPr="003B4362">
        <w:rPr>
          <w:rFonts w:eastAsia="Calibri"/>
        </w:rPr>
        <w:tab/>
        <w:t>For averaging, consider any analytical result below the MDL as zero.</w:t>
      </w:r>
    </w:p>
    <w:p w14:paraId="3BD38977" w14:textId="77777777" w:rsidR="001B6EEE" w:rsidRDefault="001B6EEE" w:rsidP="001B6EEE">
      <w:pPr>
        <w:ind w:left="3600" w:hanging="720"/>
        <w:rPr>
          <w:rFonts w:eastAsia="Calibri"/>
        </w:rPr>
      </w:pPr>
    </w:p>
    <w:p w14:paraId="328E5C10" w14:textId="6BFF4A55" w:rsidR="00B50A91" w:rsidRPr="003B4362" w:rsidRDefault="00B50A91" w:rsidP="001B6EEE">
      <w:pPr>
        <w:ind w:left="3600" w:hanging="720"/>
        <w:rPr>
          <w:rFonts w:eastAsia="Calibri"/>
        </w:rPr>
      </w:pPr>
      <w:r w:rsidRPr="003B4362">
        <w:rPr>
          <w:rFonts w:eastAsia="Calibri"/>
        </w:rPr>
        <w:t>ii)</w:t>
      </w:r>
      <w:r w:rsidRPr="003B4362">
        <w:rPr>
          <w:rFonts w:eastAsia="Calibri"/>
        </w:rPr>
        <w:tab/>
        <w:t>Consider any value above the MDL but below the PQL either as the measured value or one-half the PQL.</w:t>
      </w:r>
    </w:p>
    <w:p w14:paraId="5EC3EFB6" w14:textId="77777777" w:rsidR="001B6EEE" w:rsidRDefault="001B6EEE" w:rsidP="001B6EEE">
      <w:pPr>
        <w:ind w:left="1440" w:hanging="720"/>
        <w:rPr>
          <w:rFonts w:eastAsia="Calibri"/>
        </w:rPr>
      </w:pPr>
    </w:p>
    <w:p w14:paraId="1A6EA5F6" w14:textId="3D4D6FB9" w:rsidR="00B50A91" w:rsidRPr="003B4362" w:rsidRDefault="00B50A91" w:rsidP="001B6EEE">
      <w:pPr>
        <w:ind w:left="1440" w:hanging="720"/>
        <w:rPr>
          <w:rFonts w:eastAsia="Calibri"/>
        </w:rPr>
      </w:pPr>
      <w:r w:rsidRPr="003B4362">
        <w:rPr>
          <w:rFonts w:eastAsia="Calibri"/>
        </w:rPr>
        <w:t>b)</w:t>
      </w:r>
      <w:r w:rsidRPr="003B4362">
        <w:rPr>
          <w:rFonts w:eastAsia="Calibri"/>
        </w:rPr>
        <w:tab/>
        <w:t>Monitoring Frequency after System Exceeds Tap Water Action Level.  A supplier exceeding the lead or copper action level in tap sampling must collect one source water sample from each entry point to its distribution system no later than six months after the end of the monitoring period during which the supplier exceeds the lead or copper action level.  For annual or less frequent monitoring periods, the end of the monitoring period is September 30 of the calendar year during which the sampling occurs or the last day of any alternate period the Agency establishes in a SEP.</w:t>
      </w:r>
    </w:p>
    <w:p w14:paraId="4EEA6431" w14:textId="77777777" w:rsidR="001B6EEE" w:rsidRDefault="001B6EEE" w:rsidP="001B6EEE">
      <w:pPr>
        <w:ind w:left="1440" w:hanging="720"/>
        <w:rPr>
          <w:rFonts w:eastAsia="Calibri"/>
        </w:rPr>
      </w:pPr>
    </w:p>
    <w:p w14:paraId="21E1812C" w14:textId="1DCFFB5A" w:rsidR="00B50A91" w:rsidRPr="003B4362" w:rsidRDefault="00B50A91" w:rsidP="001B6EEE">
      <w:pPr>
        <w:ind w:left="1440" w:hanging="720"/>
        <w:rPr>
          <w:rFonts w:eastAsia="Calibri"/>
        </w:rPr>
      </w:pPr>
      <w:r w:rsidRPr="003B4362">
        <w:rPr>
          <w:rFonts w:eastAsia="Calibri"/>
        </w:rPr>
        <w:t>c)</w:t>
      </w:r>
      <w:r w:rsidRPr="003B4362">
        <w:rPr>
          <w:rFonts w:eastAsia="Calibri"/>
        </w:rPr>
        <w:tab/>
        <w:t>Monitoring Frequency after Installation of Source Water Treatment.  A supplier installing source water treatment under Section 611.1353(a)(3) must collect an additional source water sample from each entry point to its distribution system during each of two consecutive six-month monitoring periods on or before 36 months after completing step 2, as Section 611.1353(a)(4) specifies.</w:t>
      </w:r>
    </w:p>
    <w:p w14:paraId="0E5E7919" w14:textId="77777777" w:rsidR="001B6EEE" w:rsidRDefault="001B6EEE" w:rsidP="001B6EEE">
      <w:pPr>
        <w:ind w:left="1440" w:hanging="720"/>
        <w:rPr>
          <w:rFonts w:eastAsia="Calibri"/>
        </w:rPr>
      </w:pPr>
    </w:p>
    <w:p w14:paraId="63252E4D" w14:textId="111283FF" w:rsidR="00B50A91" w:rsidRPr="003B4362" w:rsidRDefault="00B50A91" w:rsidP="001B6EEE">
      <w:pPr>
        <w:ind w:left="1440" w:hanging="720"/>
        <w:rPr>
          <w:rFonts w:eastAsia="Calibri"/>
        </w:rPr>
      </w:pPr>
      <w:r w:rsidRPr="003B4362">
        <w:rPr>
          <w:rFonts w:eastAsia="Calibri"/>
        </w:rPr>
        <w:t>d)</w:t>
      </w:r>
      <w:r w:rsidRPr="003B4362">
        <w:rPr>
          <w:rFonts w:eastAsia="Calibri"/>
        </w:rPr>
        <w:tab/>
        <w:t>Monitoring Frequency after the Agency Specifies the Lead and Copper MPCs or Determines That Source Water Treatment Is Not Needed</w:t>
      </w:r>
    </w:p>
    <w:p w14:paraId="318F1358" w14:textId="77777777" w:rsidR="001B6EEE" w:rsidRDefault="001B6EEE" w:rsidP="001B6EEE">
      <w:pPr>
        <w:ind w:left="2160" w:hanging="720"/>
        <w:rPr>
          <w:rFonts w:eastAsia="Calibri"/>
        </w:rPr>
      </w:pPr>
    </w:p>
    <w:p w14:paraId="246E3E74" w14:textId="5958750B" w:rsidR="00B50A91" w:rsidRPr="003B4362" w:rsidRDefault="00B50A91" w:rsidP="001B6EEE">
      <w:pPr>
        <w:ind w:left="2160" w:hanging="720"/>
        <w:rPr>
          <w:rFonts w:eastAsia="Calibri"/>
        </w:rPr>
      </w:pPr>
      <w:r w:rsidRPr="003B4362">
        <w:rPr>
          <w:rFonts w:eastAsia="Calibri"/>
        </w:rPr>
        <w:t>1)</w:t>
      </w:r>
      <w:r w:rsidRPr="003B4362">
        <w:rPr>
          <w:rFonts w:eastAsia="Calibri"/>
        </w:rPr>
        <w:tab/>
        <w:t xml:space="preserve">A supplier must monitor at the frequency subsection (d)(1)(A) or (d)(1)(B) specifies </w:t>
      </w:r>
      <w:r w:rsidRPr="003B4362">
        <w:rPr>
          <w:rFonts w:eastAsia="Calibri"/>
          <w:spacing w:val="-3"/>
        </w:rPr>
        <w:t xml:space="preserve">if </w:t>
      </w:r>
      <w:r w:rsidRPr="003B4362">
        <w:rPr>
          <w:rFonts w:eastAsia="Calibri"/>
        </w:rPr>
        <w:t>the Agency specifies the MPCs under Section 611.1353(b)(4) or determines that the supplier needs not install source water treatment under Section 611.1353(b)(2).</w:t>
      </w:r>
    </w:p>
    <w:p w14:paraId="06545DE5" w14:textId="77777777" w:rsidR="001B6EEE" w:rsidRDefault="001B6EEE" w:rsidP="001B6EEE">
      <w:pPr>
        <w:ind w:left="2880" w:hanging="720"/>
        <w:rPr>
          <w:rFonts w:eastAsia="Calibri"/>
        </w:rPr>
      </w:pPr>
    </w:p>
    <w:p w14:paraId="345EB2FF" w14:textId="58E5E378" w:rsidR="00B50A91" w:rsidRPr="003B4362" w:rsidRDefault="00B50A91" w:rsidP="001B6EEE">
      <w:pPr>
        <w:ind w:left="2880" w:hanging="720"/>
        <w:rPr>
          <w:rFonts w:eastAsia="Calibri"/>
        </w:rPr>
      </w:pPr>
      <w:r w:rsidRPr="003B4362">
        <w:rPr>
          <w:rFonts w:eastAsia="Calibri"/>
        </w:rPr>
        <w:t>A)</w:t>
      </w:r>
      <w:r w:rsidRPr="003B4362">
        <w:rPr>
          <w:rFonts w:eastAsia="Calibri"/>
        </w:rPr>
        <w:tab/>
        <w:t>GWS Suppliers</w:t>
      </w:r>
    </w:p>
    <w:p w14:paraId="1A59E38E" w14:textId="77777777" w:rsidR="001B6EEE" w:rsidRDefault="001B6EEE" w:rsidP="001B6EEE">
      <w:pPr>
        <w:ind w:left="3600" w:hanging="720"/>
        <w:rPr>
          <w:rFonts w:eastAsia="Calibri"/>
        </w:rPr>
      </w:pPr>
    </w:p>
    <w:p w14:paraId="3005A5B9" w14:textId="6DA2D1DC" w:rsidR="00B50A91" w:rsidRPr="003B4362" w:rsidRDefault="00B50A91" w:rsidP="001B6EEE">
      <w:pPr>
        <w:ind w:left="3600" w:hanging="720"/>
        <w:rPr>
          <w:rFonts w:eastAsia="Calibri"/>
        </w:rPr>
      </w:pPr>
      <w:r w:rsidRPr="003B4362">
        <w:rPr>
          <w:rFonts w:eastAsia="Calibri"/>
        </w:rPr>
        <w:t>i)</w:t>
      </w:r>
      <w:r w:rsidRPr="003B4362">
        <w:rPr>
          <w:rFonts w:eastAsia="Calibri"/>
        </w:rPr>
        <w:tab/>
        <w:t>A GWS supplier sampling under subsection (d)(1) must collect samples once during the three-year compliance period (as Section 611.101 defines the term) during which the Agency makes its determination under Section 611.1353(b)(4) or 611.1353(b)(2).</w:t>
      </w:r>
    </w:p>
    <w:p w14:paraId="6BB12309" w14:textId="77777777" w:rsidR="001B6EEE" w:rsidRDefault="001B6EEE" w:rsidP="001B6EEE">
      <w:pPr>
        <w:ind w:left="3600" w:hanging="720"/>
        <w:rPr>
          <w:rFonts w:eastAsia="Calibri"/>
        </w:rPr>
      </w:pPr>
    </w:p>
    <w:p w14:paraId="63B36FD0" w14:textId="057B712B" w:rsidR="00B50A91" w:rsidRPr="003B4362" w:rsidRDefault="00B50A91" w:rsidP="001B6EEE">
      <w:pPr>
        <w:ind w:left="3600" w:hanging="720"/>
        <w:rPr>
          <w:rFonts w:eastAsia="Calibri"/>
        </w:rPr>
      </w:pPr>
      <w:r w:rsidRPr="003B4362">
        <w:rPr>
          <w:rFonts w:eastAsia="Calibri"/>
        </w:rPr>
        <w:t>ii)</w:t>
      </w:r>
      <w:r w:rsidRPr="003B4362">
        <w:rPr>
          <w:rFonts w:eastAsia="Calibri"/>
        </w:rPr>
        <w:tab/>
        <w:t>A GWS supplier sampling under subsection (d)(1) must sample once during each subsequent compliance period.</w:t>
      </w:r>
    </w:p>
    <w:p w14:paraId="7E4F338D" w14:textId="77777777" w:rsidR="001B6EEE" w:rsidRDefault="001B6EEE" w:rsidP="001B6EEE">
      <w:pPr>
        <w:ind w:left="3600" w:hanging="720"/>
        <w:rPr>
          <w:rFonts w:eastAsia="Calibri"/>
        </w:rPr>
      </w:pPr>
    </w:p>
    <w:p w14:paraId="75D574F2" w14:textId="0599F4C1" w:rsidR="00B50A91" w:rsidRPr="003B4362" w:rsidRDefault="00B50A91" w:rsidP="001B6EEE">
      <w:pPr>
        <w:ind w:left="3600" w:hanging="720"/>
        <w:rPr>
          <w:rFonts w:eastAsia="Calibri"/>
        </w:rPr>
      </w:pPr>
      <w:r w:rsidRPr="003B4362">
        <w:rPr>
          <w:rFonts w:eastAsia="Calibri"/>
        </w:rPr>
        <w:t>iii)</w:t>
      </w:r>
      <w:r w:rsidRPr="003B4362">
        <w:rPr>
          <w:rFonts w:eastAsia="Calibri"/>
        </w:rPr>
        <w:tab/>
        <w:t>A supplier must collect triennial samples every third calendar year.</w:t>
      </w:r>
    </w:p>
    <w:p w14:paraId="38C394D5" w14:textId="77777777" w:rsidR="001B6EEE" w:rsidRDefault="001B6EEE" w:rsidP="001B6EEE">
      <w:pPr>
        <w:ind w:left="2880" w:hanging="720"/>
        <w:rPr>
          <w:rFonts w:eastAsia="Calibri"/>
        </w:rPr>
      </w:pPr>
    </w:p>
    <w:p w14:paraId="18F467D2" w14:textId="3F79A534" w:rsidR="00B50A91" w:rsidRPr="003B4362" w:rsidRDefault="00B50A91" w:rsidP="001B6EEE">
      <w:pPr>
        <w:ind w:left="2880" w:hanging="720"/>
        <w:rPr>
          <w:rFonts w:eastAsia="Calibri"/>
        </w:rPr>
      </w:pPr>
      <w:r w:rsidRPr="003B4362">
        <w:rPr>
          <w:rFonts w:eastAsia="Calibri"/>
        </w:rPr>
        <w:lastRenderedPageBreak/>
        <w:t>B)</w:t>
      </w:r>
      <w:r w:rsidRPr="003B4362">
        <w:rPr>
          <w:rFonts w:eastAsia="Calibri"/>
        </w:rPr>
        <w:tab/>
        <w:t>A SWS or mixed system supplier must collect samples once during each calendar year, the first annual monitoring period to begin during the year in which the Agency makes its determination under Section 611.1353(b)(4) or 611.1353(b)(2).</w:t>
      </w:r>
    </w:p>
    <w:p w14:paraId="7F283502" w14:textId="77777777" w:rsidR="001B6EEE" w:rsidRDefault="001B6EEE" w:rsidP="001B6EEE">
      <w:pPr>
        <w:ind w:left="2160" w:hanging="720"/>
        <w:rPr>
          <w:rFonts w:eastAsia="Calibri"/>
        </w:rPr>
      </w:pPr>
    </w:p>
    <w:p w14:paraId="733F9929" w14:textId="42317A28" w:rsidR="00B50A91" w:rsidRPr="003B4362" w:rsidRDefault="00B50A91" w:rsidP="001B6EEE">
      <w:pPr>
        <w:ind w:left="2160" w:hanging="720"/>
        <w:rPr>
          <w:rFonts w:eastAsia="Calibri"/>
        </w:rPr>
      </w:pPr>
      <w:r w:rsidRPr="003B4362">
        <w:rPr>
          <w:rFonts w:eastAsia="Calibri"/>
        </w:rPr>
        <w:t>2)</w:t>
      </w:r>
      <w:r w:rsidRPr="003B4362">
        <w:rPr>
          <w:rFonts w:eastAsia="Calibri"/>
        </w:rPr>
        <w:tab/>
        <w:t>A supplier needs not sample source water for lead or copper if the supplier meets the action level for the specific contaminant in all tap water samples during the entire source water sampling period under subsection (d)(1)(A) or (d)(1)(B).</w:t>
      </w:r>
    </w:p>
    <w:p w14:paraId="7695B0EF" w14:textId="77777777" w:rsidR="001B6EEE" w:rsidRDefault="001B6EEE" w:rsidP="001B6EEE">
      <w:pPr>
        <w:ind w:left="1440" w:hanging="720"/>
        <w:rPr>
          <w:rFonts w:eastAsia="Calibri"/>
        </w:rPr>
      </w:pPr>
    </w:p>
    <w:p w14:paraId="69E3AABC" w14:textId="44867DD2" w:rsidR="00B50A91" w:rsidRPr="003B4362" w:rsidRDefault="00B50A91" w:rsidP="001B6EEE">
      <w:pPr>
        <w:ind w:left="1440" w:hanging="720"/>
        <w:rPr>
          <w:rFonts w:eastAsia="Calibri"/>
        </w:rPr>
      </w:pPr>
      <w:r w:rsidRPr="003B4362">
        <w:rPr>
          <w:rFonts w:eastAsia="Calibri"/>
        </w:rPr>
        <w:t>e)</w:t>
      </w:r>
      <w:r w:rsidRPr="003B4362">
        <w:rPr>
          <w:rFonts w:eastAsia="Calibri"/>
        </w:rPr>
        <w:tab/>
        <w:t>Reduced Monitoring Frequency</w:t>
      </w:r>
    </w:p>
    <w:p w14:paraId="29C295CE" w14:textId="77777777" w:rsidR="001B6EEE" w:rsidRDefault="001B6EEE" w:rsidP="001B6EEE">
      <w:pPr>
        <w:ind w:left="2160" w:hanging="720"/>
        <w:rPr>
          <w:rFonts w:eastAsia="Calibri"/>
        </w:rPr>
      </w:pPr>
    </w:p>
    <w:p w14:paraId="5E19DD6A" w14:textId="67B1C43F" w:rsidR="00B50A91" w:rsidRPr="003B4362" w:rsidRDefault="00B50A91" w:rsidP="001B6EEE">
      <w:pPr>
        <w:ind w:left="2160" w:hanging="720"/>
        <w:rPr>
          <w:rFonts w:eastAsia="Calibri"/>
        </w:rPr>
      </w:pPr>
      <w:r w:rsidRPr="003B4362">
        <w:rPr>
          <w:rFonts w:eastAsia="Calibri"/>
        </w:rPr>
        <w:t>1)</w:t>
      </w:r>
      <w:r w:rsidRPr="003B4362">
        <w:rPr>
          <w:rFonts w:eastAsia="Calibri"/>
        </w:rPr>
        <w:tab/>
        <w:t>A GWS supplier may reduce its source water monitoring frequency for lead and copper to once during each nine-year compliance cycle (as Section 611.101 defines the term), provided the supplier collects the samples no later than every ninth calendar year, and only if the supplier meets one of certain criteria:</w:t>
      </w:r>
    </w:p>
    <w:p w14:paraId="1296C53E" w14:textId="77777777" w:rsidR="001B6EEE" w:rsidRDefault="001B6EEE" w:rsidP="001B6EEE">
      <w:pPr>
        <w:ind w:left="2880" w:hanging="720"/>
        <w:rPr>
          <w:rFonts w:eastAsia="Calibri"/>
        </w:rPr>
      </w:pPr>
    </w:p>
    <w:p w14:paraId="215013A9" w14:textId="28F9CF69" w:rsidR="00B50A91" w:rsidRPr="003B4362" w:rsidRDefault="00B50A91" w:rsidP="001B6EEE">
      <w:pPr>
        <w:ind w:left="2880" w:hanging="720"/>
        <w:rPr>
          <w:rFonts w:eastAsia="Calibri"/>
        </w:rPr>
      </w:pPr>
      <w:r w:rsidRPr="003B4362">
        <w:rPr>
          <w:rFonts w:eastAsia="Calibri"/>
        </w:rPr>
        <w:t>A)</w:t>
      </w:r>
      <w:r w:rsidRPr="003B4362">
        <w:rPr>
          <w:rFonts w:eastAsia="Calibri"/>
        </w:rPr>
        <w:tab/>
        <w:t>The supplier demonstrates that finished drinking water entering the distribution system remains below the MPCs for lead and copper the Agency specifies under Section 611.1353(b)(4) during at least three consecutive compliance periods under subsection (d)(1); or</w:t>
      </w:r>
    </w:p>
    <w:p w14:paraId="16DDB834" w14:textId="77777777" w:rsidR="001B6EEE" w:rsidRDefault="001B6EEE" w:rsidP="001B6EEE">
      <w:pPr>
        <w:ind w:left="2880" w:hanging="720"/>
        <w:rPr>
          <w:rFonts w:eastAsia="Calibri"/>
        </w:rPr>
      </w:pPr>
    </w:p>
    <w:p w14:paraId="180F004E" w14:textId="3D1983AF" w:rsidR="00B50A91" w:rsidRPr="003B4362" w:rsidRDefault="00B50A91" w:rsidP="001B6EEE">
      <w:pPr>
        <w:ind w:left="2880" w:hanging="720"/>
        <w:rPr>
          <w:rFonts w:eastAsia="Calibri"/>
        </w:rPr>
      </w:pPr>
      <w:r w:rsidRPr="003B4362">
        <w:rPr>
          <w:rFonts w:eastAsia="Calibri"/>
        </w:rPr>
        <w:t>B)</w:t>
      </w:r>
      <w:r w:rsidRPr="003B4362">
        <w:rPr>
          <w:rFonts w:eastAsia="Calibri"/>
        </w:rPr>
        <w:tab/>
        <w:t>The Agency determines in a SEP that the supplier does not need source water treatment, and the supplier demonstrates that its source water concentrations of lead was less than or equal to 0.005 mg/</w:t>
      </w:r>
      <w:r w:rsidR="006A710C" w:rsidRPr="003B4362">
        <w:t>L</w:t>
      </w:r>
      <w:r w:rsidRPr="003B4362">
        <w:rPr>
          <w:rFonts w:eastAsia="Calibri"/>
        </w:rPr>
        <w:t xml:space="preserve"> and copper was less than or equal to 0.65 mg/</w:t>
      </w:r>
      <w:r w:rsidR="006A710C" w:rsidRPr="003B4362">
        <w:t>L</w:t>
      </w:r>
      <w:r w:rsidRPr="003B4362">
        <w:rPr>
          <w:rFonts w:eastAsia="Calibri"/>
        </w:rPr>
        <w:t xml:space="preserve"> during at least three consecutive compliance periods during which the supplier sampled under subsection (d)(1).</w:t>
      </w:r>
    </w:p>
    <w:p w14:paraId="6A61B7FB" w14:textId="77777777" w:rsidR="001B6EEE" w:rsidRDefault="001B6EEE" w:rsidP="001B6EEE">
      <w:pPr>
        <w:ind w:left="2160" w:hanging="720"/>
        <w:rPr>
          <w:rFonts w:eastAsia="Calibri"/>
        </w:rPr>
      </w:pPr>
    </w:p>
    <w:p w14:paraId="128B75DF" w14:textId="52F05E62" w:rsidR="00B50A91" w:rsidRPr="003B4362" w:rsidRDefault="00B50A91" w:rsidP="001B6EEE">
      <w:pPr>
        <w:ind w:left="2160" w:hanging="720"/>
        <w:rPr>
          <w:rFonts w:eastAsia="Calibri"/>
        </w:rPr>
      </w:pPr>
      <w:r w:rsidRPr="003B4362">
        <w:rPr>
          <w:rFonts w:eastAsia="Calibri"/>
        </w:rPr>
        <w:t>2)</w:t>
      </w:r>
      <w:r w:rsidRPr="003B4362">
        <w:rPr>
          <w:rFonts w:eastAsia="Calibri"/>
        </w:rPr>
        <w:tab/>
        <w:t>A SWS or mixed system supplier may reduce its monitoring frequency subsection (d)(1) requires to once during each nine-year compliance cycle (as Section 611.101 defines the term) if the supplier collects the samples no later than every ninth calendar year, and only if the supplier meets one of certain criteria:</w:t>
      </w:r>
    </w:p>
    <w:p w14:paraId="30B7E122" w14:textId="77777777" w:rsidR="001B6EEE" w:rsidRDefault="001B6EEE" w:rsidP="001B6EEE">
      <w:pPr>
        <w:ind w:left="2880" w:hanging="720"/>
        <w:rPr>
          <w:rFonts w:eastAsia="Calibri"/>
        </w:rPr>
      </w:pPr>
    </w:p>
    <w:p w14:paraId="0B35B512" w14:textId="41DC04FB" w:rsidR="00B50A91" w:rsidRPr="003B4362" w:rsidRDefault="00B50A91" w:rsidP="001B6EEE">
      <w:pPr>
        <w:ind w:left="2880" w:hanging="720"/>
        <w:rPr>
          <w:rFonts w:eastAsia="Calibri"/>
        </w:rPr>
      </w:pPr>
      <w:r w:rsidRPr="003B4362">
        <w:rPr>
          <w:rFonts w:eastAsia="Calibri"/>
        </w:rPr>
        <w:t>A)</w:t>
      </w:r>
      <w:r w:rsidRPr="003B4362">
        <w:rPr>
          <w:rFonts w:eastAsia="Calibri"/>
        </w:rPr>
        <w:tab/>
        <w:t>The supplier demonstrates that finished drinking water entering its distribution system remains below the MPCs for lead and copper the Agency specifies under Section 611.1353(b)(4) for at least three consecutive years; or</w:t>
      </w:r>
    </w:p>
    <w:p w14:paraId="79EAE904" w14:textId="77777777" w:rsidR="001B6EEE" w:rsidRDefault="001B6EEE" w:rsidP="001B6EEE">
      <w:pPr>
        <w:ind w:left="2880" w:hanging="720"/>
        <w:rPr>
          <w:rFonts w:eastAsia="Calibri"/>
        </w:rPr>
      </w:pPr>
    </w:p>
    <w:p w14:paraId="26702AD7" w14:textId="1944A7ED" w:rsidR="00B50A91" w:rsidRPr="003B4362" w:rsidRDefault="00B50A91" w:rsidP="001B6EEE">
      <w:pPr>
        <w:ind w:left="2880" w:hanging="720"/>
        <w:rPr>
          <w:rFonts w:eastAsia="Calibri"/>
        </w:rPr>
      </w:pPr>
      <w:r w:rsidRPr="003B4362">
        <w:rPr>
          <w:rFonts w:eastAsia="Calibri"/>
        </w:rPr>
        <w:t>B)</w:t>
      </w:r>
      <w:r w:rsidRPr="003B4362">
        <w:rPr>
          <w:rFonts w:eastAsia="Calibri"/>
        </w:rPr>
        <w:tab/>
        <w:t xml:space="preserve">The Agency issues a SEP determining that the supplier does not need source water treatment, and the supplier demonstrates that its source water concentrations of lead was less than or equal to 0.005 </w:t>
      </w:r>
      <w:r w:rsidRPr="003B4362">
        <w:rPr>
          <w:rFonts w:eastAsia="Calibri"/>
        </w:rPr>
        <w:lastRenderedPageBreak/>
        <w:t>mg/</w:t>
      </w:r>
      <w:r w:rsidR="006A710C" w:rsidRPr="003B4362">
        <w:t>L</w:t>
      </w:r>
      <w:r w:rsidRPr="003B4362">
        <w:rPr>
          <w:rFonts w:eastAsia="Calibri"/>
        </w:rPr>
        <w:t xml:space="preserve"> and copper was less than or equal to 0.65 mg/</w:t>
      </w:r>
      <w:r w:rsidR="006A710C" w:rsidRPr="003B4362">
        <w:t>L</w:t>
      </w:r>
      <w:r w:rsidRPr="003B4362">
        <w:rPr>
          <w:rFonts w:eastAsia="Calibri"/>
        </w:rPr>
        <w:t xml:space="preserve"> during at least three consecutive years.</w:t>
      </w:r>
    </w:p>
    <w:p w14:paraId="6EDB8BE3" w14:textId="77777777" w:rsidR="001B6EEE" w:rsidRDefault="001B6EEE" w:rsidP="001B6EEE">
      <w:pPr>
        <w:ind w:left="2160" w:hanging="720"/>
        <w:rPr>
          <w:rFonts w:eastAsia="Calibri"/>
        </w:rPr>
      </w:pPr>
    </w:p>
    <w:p w14:paraId="38282F88" w14:textId="43FA27F4" w:rsidR="00B50A91" w:rsidRPr="003B4362" w:rsidRDefault="00B50A91" w:rsidP="001B6EEE">
      <w:pPr>
        <w:ind w:left="2160" w:hanging="720"/>
        <w:rPr>
          <w:rFonts w:eastAsia="Calibri"/>
        </w:rPr>
      </w:pPr>
      <w:r w:rsidRPr="003B4362">
        <w:rPr>
          <w:rFonts w:eastAsia="Calibri"/>
        </w:rPr>
        <w:t>3)</w:t>
      </w:r>
      <w:r w:rsidRPr="003B4362">
        <w:rPr>
          <w:rFonts w:eastAsia="Calibri"/>
        </w:rPr>
        <w:tab/>
        <w:t>A supplier using a new source of water may not reduce its monitoring for lead or copper until after the supplier demonstrates by samples it collected from the new source during three consecutive monitoring periods of the appropriate duration subsection (d)(1) provides that lead or copper levels are below the MPC the Agency specifies under Section 611.1353(a)(4).</w:t>
      </w:r>
    </w:p>
    <w:p w14:paraId="4828C798" w14:textId="77777777" w:rsidR="001B6EEE" w:rsidRDefault="001B6EEE" w:rsidP="001B6EEE">
      <w:pPr>
        <w:rPr>
          <w:rFonts w:eastAsia="Calibri"/>
        </w:rPr>
      </w:pPr>
    </w:p>
    <w:p w14:paraId="78B43B6F" w14:textId="779271E8" w:rsidR="00B50A91" w:rsidRPr="003B4362" w:rsidRDefault="00B50A91" w:rsidP="001B6EEE">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611.358 and </w:t>
      </w:r>
      <w:r w:rsidRPr="003B4362">
        <w:rPr>
          <w:rFonts w:eastAsia="Calibri"/>
          <w:spacing w:val="-3"/>
        </w:rPr>
        <w:t xml:space="preserve">derives </w:t>
      </w:r>
      <w:r w:rsidRPr="003B4362">
        <w:rPr>
          <w:rFonts w:eastAsia="Calibri"/>
        </w:rPr>
        <w:t>from 40 CFR 141.88</w:t>
      </w:r>
      <w:r w:rsidR="004341BB" w:rsidRPr="003B4362">
        <w:rPr>
          <w:rFonts w:eastAsia="Calibri"/>
        </w:rPr>
        <w:t xml:space="preserve"> (2020)</w:t>
      </w:r>
      <w:r w:rsidRPr="003B4362">
        <w:rPr>
          <w:rFonts w:eastAsia="Calibri"/>
        </w:rPr>
        <w:t>.</w:t>
      </w:r>
    </w:p>
    <w:p w14:paraId="7BC1D988" w14:textId="77777777" w:rsidR="001B6EEE" w:rsidRDefault="001B6EEE" w:rsidP="001B6EEE">
      <w:pPr>
        <w:suppressAutoHyphens/>
        <w:ind w:left="720"/>
        <w:rPr>
          <w:rFonts w:eastAsia="Calibri"/>
        </w:rPr>
      </w:pPr>
    </w:p>
    <w:p w14:paraId="35591905" w14:textId="1AFB1830" w:rsidR="00B50A91" w:rsidRDefault="00EB353D" w:rsidP="001B6EEE">
      <w:pPr>
        <w:suppressAutoHyphens/>
        <w:ind w:left="720"/>
        <w:rPr>
          <w:rFonts w:eastAsia="Calibri"/>
        </w:rPr>
      </w:pPr>
      <w:r w:rsidRPr="003B4362">
        <w:rPr>
          <w:rFonts w:eastAsia="Calibri"/>
        </w:rPr>
        <w:t>(Source:  A</w:t>
      </w:r>
      <w:r w:rsidR="0058450C"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2DDB9F03" w14:textId="77777777" w:rsidR="005605D6" w:rsidRPr="003B4362" w:rsidRDefault="005605D6" w:rsidP="001B6EEE">
      <w:pPr>
        <w:suppressAutoHyphens/>
        <w:ind w:left="720"/>
        <w:rPr>
          <w:rFonts w:eastAsia="Calibri"/>
        </w:rPr>
      </w:pPr>
    </w:p>
    <w:p w14:paraId="3621ACDC" w14:textId="77777777" w:rsidR="00B50A91" w:rsidRPr="003B4362" w:rsidRDefault="00B50A91" w:rsidP="001B6EEE">
      <w:pPr>
        <w:rPr>
          <w:rFonts w:eastAsia="Calibri"/>
          <w:b/>
          <w:bCs/>
        </w:rPr>
      </w:pPr>
      <w:r w:rsidRPr="003B4362">
        <w:rPr>
          <w:rFonts w:eastAsia="Calibri"/>
          <w:b/>
          <w:bCs/>
        </w:rPr>
        <w:t>Section 611.1359  Analytical Methods</w:t>
      </w:r>
    </w:p>
    <w:p w14:paraId="6060DC7A" w14:textId="77777777" w:rsidR="001B6EEE" w:rsidRDefault="001B6EEE" w:rsidP="001B6EEE">
      <w:pPr>
        <w:rPr>
          <w:rFonts w:eastAsia="Calibri"/>
        </w:rPr>
      </w:pPr>
    </w:p>
    <w:p w14:paraId="44F137CF" w14:textId="3C31DFBB" w:rsidR="00B50A91" w:rsidRPr="003B4362" w:rsidRDefault="00B50A91" w:rsidP="001B6EEE">
      <w:pPr>
        <w:rPr>
          <w:rFonts w:eastAsia="Calibri"/>
        </w:rPr>
      </w:pPr>
      <w:r w:rsidRPr="003B4362">
        <w:rPr>
          <w:rFonts w:eastAsia="Calibri"/>
        </w:rPr>
        <w:t>The supplier must conduct analyses for lead, copper, pH, conductivity, calcium, alkalinity, orthophosphate, silica, and temperature using the methods in Section 611.611(a).</w:t>
      </w:r>
    </w:p>
    <w:p w14:paraId="69F20984" w14:textId="77777777" w:rsidR="001B6EEE" w:rsidRDefault="001B6EEE" w:rsidP="001B6EEE">
      <w:pPr>
        <w:ind w:left="1440" w:hanging="720"/>
        <w:rPr>
          <w:rFonts w:eastAsia="Calibri"/>
        </w:rPr>
      </w:pPr>
    </w:p>
    <w:p w14:paraId="74F6C967" w14:textId="7EF72276" w:rsidR="00B50A91" w:rsidRPr="003B4362" w:rsidRDefault="00B50A91" w:rsidP="001B6EEE">
      <w:pPr>
        <w:ind w:left="1440" w:hanging="720"/>
        <w:rPr>
          <w:rFonts w:eastAsia="Calibri"/>
        </w:rPr>
      </w:pPr>
      <w:r w:rsidRPr="003B4362">
        <w:rPr>
          <w:rFonts w:eastAsia="Calibri"/>
        </w:rPr>
        <w:t>a)</w:t>
      </w:r>
      <w:r w:rsidRPr="003B4362">
        <w:rPr>
          <w:rFonts w:eastAsia="Calibri"/>
        </w:rPr>
        <w:tab/>
        <w:t xml:space="preserve">Only a certified laboratory in one of the categories in Section 611.490(a) may conduct analyses for lead and copper to demonstrate that a supplier complies with this Subpart </w:t>
      </w:r>
      <w:r w:rsidR="00DE2C0D" w:rsidRPr="003B4362">
        <w:rPr>
          <w:rFonts w:eastAsia="Calibri"/>
        </w:rPr>
        <w:t>A</w:t>
      </w:r>
      <w:r w:rsidRPr="003B4362">
        <w:rPr>
          <w:rFonts w:eastAsia="Calibri"/>
        </w:rPr>
        <w:t>G.  To obtain certification for conducting analyses for lead and copper, a laboratory must fulfill specific conditions:</w:t>
      </w:r>
    </w:p>
    <w:p w14:paraId="69A75138" w14:textId="77777777" w:rsidR="001B6EEE" w:rsidRDefault="001B6EEE" w:rsidP="001B6EEE">
      <w:pPr>
        <w:ind w:left="2160" w:hanging="720"/>
        <w:rPr>
          <w:rFonts w:eastAsia="Calibri"/>
        </w:rPr>
      </w:pPr>
    </w:p>
    <w:p w14:paraId="3A996004" w14:textId="05640884" w:rsidR="00B50A91" w:rsidRPr="003B4362" w:rsidRDefault="00B50A91" w:rsidP="001B6EEE">
      <w:pPr>
        <w:ind w:left="2160" w:hanging="720"/>
        <w:rPr>
          <w:rFonts w:eastAsia="Calibri"/>
        </w:rPr>
      </w:pPr>
      <w:r w:rsidRPr="003B4362">
        <w:rPr>
          <w:rFonts w:eastAsia="Calibri"/>
        </w:rPr>
        <w:t>1)</w:t>
      </w:r>
      <w:r w:rsidRPr="003B4362">
        <w:rPr>
          <w:rFonts w:eastAsia="Calibri"/>
        </w:rPr>
        <w:tab/>
        <w:t>The laboratory must analyze lead- and copper-containing performance evaluation samples provided by USEPA or the Agency;</w:t>
      </w:r>
    </w:p>
    <w:p w14:paraId="06E550D0" w14:textId="77777777" w:rsidR="001B6EEE" w:rsidRDefault="001B6EEE" w:rsidP="001B6EEE">
      <w:pPr>
        <w:ind w:left="2160" w:hanging="720"/>
        <w:rPr>
          <w:rFonts w:eastAsia="Calibri"/>
        </w:rPr>
      </w:pPr>
    </w:p>
    <w:p w14:paraId="29054D00" w14:textId="52E3C40F" w:rsidR="00B50A91" w:rsidRPr="003B4362" w:rsidRDefault="00B50A91" w:rsidP="001B6EEE">
      <w:pPr>
        <w:ind w:left="2160" w:hanging="720"/>
        <w:rPr>
          <w:rFonts w:eastAsia="Calibri"/>
        </w:rPr>
      </w:pPr>
      <w:r w:rsidRPr="003B4362">
        <w:rPr>
          <w:rFonts w:eastAsia="Calibri"/>
        </w:rPr>
        <w:t>2)</w:t>
      </w:r>
      <w:r w:rsidRPr="003B4362">
        <w:rPr>
          <w:rFonts w:eastAsia="Calibri"/>
        </w:rPr>
        <w:tab/>
        <w:t>The laboratory must achieve certain quantitative acceptance limits:</w:t>
      </w:r>
    </w:p>
    <w:p w14:paraId="65114ED6" w14:textId="77777777" w:rsidR="001B6EEE" w:rsidRDefault="001B6EEE" w:rsidP="001B6EEE">
      <w:pPr>
        <w:ind w:left="2880" w:hanging="720"/>
        <w:rPr>
          <w:rFonts w:eastAsia="Calibri"/>
        </w:rPr>
      </w:pPr>
    </w:p>
    <w:p w14:paraId="4B67C0C8" w14:textId="2659FB7A" w:rsidR="00B50A91" w:rsidRPr="003B4362" w:rsidRDefault="00B50A91" w:rsidP="001B6EEE">
      <w:pPr>
        <w:ind w:left="2880" w:hanging="720"/>
        <w:rPr>
          <w:rFonts w:eastAsia="Calibri"/>
        </w:rPr>
      </w:pPr>
      <w:r w:rsidRPr="003B4362">
        <w:rPr>
          <w:rFonts w:eastAsia="Calibri"/>
        </w:rPr>
        <w:t>A)</w:t>
      </w:r>
      <w:r w:rsidRPr="003B4362">
        <w:rPr>
          <w:rFonts w:eastAsia="Calibri"/>
        </w:rPr>
        <w:tab/>
        <w:t>For lead:  ±30 percent of the actual amount in the performance evaluation sample when the actual amount is greater than or equal to 0.005 mg/</w:t>
      </w:r>
      <w:r w:rsidR="006A710C" w:rsidRPr="003B4362">
        <w:t>L</w:t>
      </w:r>
      <w:r w:rsidRPr="003B4362">
        <w:rPr>
          <w:rFonts w:eastAsia="Calibri"/>
        </w:rPr>
        <w:t xml:space="preserve"> (the PQL for lead is 0.005 mg/</w:t>
      </w:r>
      <w:r w:rsidR="006A710C" w:rsidRPr="003B4362">
        <w:t>L</w:t>
      </w:r>
      <w:r w:rsidRPr="003B4362">
        <w:rPr>
          <w:rFonts w:eastAsia="Calibri"/>
        </w:rPr>
        <w:t>);</w:t>
      </w:r>
    </w:p>
    <w:p w14:paraId="7968B874" w14:textId="77777777" w:rsidR="001B6EEE" w:rsidRDefault="001B6EEE" w:rsidP="001B6EEE">
      <w:pPr>
        <w:ind w:left="2880" w:hanging="720"/>
        <w:rPr>
          <w:rFonts w:eastAsia="Calibri"/>
        </w:rPr>
      </w:pPr>
    </w:p>
    <w:p w14:paraId="665B92F1" w14:textId="640A4793" w:rsidR="00B50A91" w:rsidRPr="003B4362" w:rsidRDefault="00B50A91" w:rsidP="001B6EEE">
      <w:pPr>
        <w:ind w:left="2880" w:hanging="720"/>
        <w:rPr>
          <w:rFonts w:eastAsia="Calibri"/>
        </w:rPr>
      </w:pPr>
      <w:r w:rsidRPr="003B4362">
        <w:rPr>
          <w:rFonts w:eastAsia="Calibri"/>
        </w:rPr>
        <w:t>B)</w:t>
      </w:r>
      <w:r w:rsidRPr="003B4362">
        <w:rPr>
          <w:rFonts w:eastAsia="Calibri"/>
        </w:rPr>
        <w:tab/>
        <w:t>For copper:  ±10 percent of the actual amount in the performance evaluation sample when the actual amount is greater than or equal to 0.050 mg/</w:t>
      </w:r>
      <w:r w:rsidR="006A710C" w:rsidRPr="003B4362">
        <w:t>L</w:t>
      </w:r>
      <w:r w:rsidRPr="003B4362">
        <w:rPr>
          <w:rFonts w:eastAsia="Calibri"/>
        </w:rPr>
        <w:t xml:space="preserve"> (the PQL for copper is 0.050 mg/</w:t>
      </w:r>
      <w:r w:rsidR="006A710C" w:rsidRPr="003B4362">
        <w:t>L</w:t>
      </w:r>
      <w:r w:rsidRPr="003B4362">
        <w:rPr>
          <w:rFonts w:eastAsia="Calibri"/>
        </w:rPr>
        <w:t>);</w:t>
      </w:r>
    </w:p>
    <w:p w14:paraId="5F44FBCE" w14:textId="77777777" w:rsidR="001B6EEE" w:rsidRDefault="001B6EEE" w:rsidP="001B6EEE">
      <w:pPr>
        <w:tabs>
          <w:tab w:val="left" w:pos="3330"/>
        </w:tabs>
        <w:ind w:left="2160" w:hanging="720"/>
        <w:rPr>
          <w:rFonts w:eastAsia="Calibri"/>
        </w:rPr>
      </w:pPr>
    </w:p>
    <w:p w14:paraId="62212308" w14:textId="4179231E" w:rsidR="00B50A91" w:rsidRPr="003B4362" w:rsidRDefault="00B50A91" w:rsidP="001B6EEE">
      <w:pPr>
        <w:tabs>
          <w:tab w:val="left" w:pos="3330"/>
        </w:tabs>
        <w:ind w:left="2160" w:hanging="720"/>
        <w:rPr>
          <w:rFonts w:eastAsia="Calibri"/>
        </w:rPr>
      </w:pPr>
      <w:r w:rsidRPr="003B4362">
        <w:rPr>
          <w:rFonts w:eastAsia="Calibri"/>
        </w:rPr>
        <w:t>3)</w:t>
      </w:r>
      <w:r w:rsidRPr="003B4362">
        <w:rPr>
          <w:rFonts w:eastAsia="Calibri"/>
        </w:rPr>
        <w:tab/>
        <w:t>The laboratory must achieve the method detection limit (MDL) for lead of 0.001 mg/</w:t>
      </w:r>
      <w:r w:rsidR="006A710C" w:rsidRPr="003B4362">
        <w:t>L</w:t>
      </w:r>
      <w:r w:rsidRPr="003B4362">
        <w:rPr>
          <w:rFonts w:eastAsia="Calibri"/>
        </w:rPr>
        <w:t xml:space="preserve"> using the procedures in 35 Ill. Adm. Code 186 and appendix B to 40 CFR 136:  “Definition and Procedure for the Determination of the Method Detection Limit—Revision 1.11”, incorporated by reference in Section 611.102(c).  The laboratory needs only accomplish this if the laboratory will process source water composite samples under Section 611.1358(a)(1)(D); and</w:t>
      </w:r>
    </w:p>
    <w:p w14:paraId="79856A59" w14:textId="77777777" w:rsidR="001B6EEE" w:rsidRDefault="001B6EEE" w:rsidP="001B6EEE">
      <w:pPr>
        <w:ind w:left="2160" w:hanging="720"/>
        <w:rPr>
          <w:rFonts w:eastAsia="Calibri"/>
        </w:rPr>
      </w:pPr>
    </w:p>
    <w:p w14:paraId="2C49D0EF" w14:textId="747CF9BB" w:rsidR="00B50A91" w:rsidRPr="003B4362" w:rsidRDefault="00B50A91" w:rsidP="001B6EEE">
      <w:pPr>
        <w:ind w:left="2160" w:hanging="720"/>
        <w:rPr>
          <w:rFonts w:eastAsia="Calibri"/>
        </w:rPr>
      </w:pPr>
      <w:r w:rsidRPr="003B4362">
        <w:rPr>
          <w:rFonts w:eastAsia="Calibri"/>
        </w:rPr>
        <w:lastRenderedPageBreak/>
        <w:t>4)</w:t>
      </w:r>
      <w:r w:rsidRPr="003B4362">
        <w:rPr>
          <w:rFonts w:eastAsia="Calibri"/>
        </w:rPr>
        <w:tab/>
        <w:t>The laboratory must have current certification to perform analyses under the specifications this subsection (a)(1) describes.</w:t>
      </w:r>
    </w:p>
    <w:p w14:paraId="5C0E4ACA" w14:textId="77777777" w:rsidR="001B6EEE" w:rsidRDefault="001B6EEE" w:rsidP="001B6EEE">
      <w:pPr>
        <w:ind w:left="1440"/>
        <w:rPr>
          <w:rFonts w:eastAsia="Calibri"/>
        </w:rPr>
      </w:pPr>
    </w:p>
    <w:p w14:paraId="26E1314D" w14:textId="0E4DDC6F" w:rsidR="00B50A91" w:rsidRPr="003B4362" w:rsidRDefault="00B50A91" w:rsidP="001B6EEE">
      <w:pPr>
        <w:ind w:left="144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 corresponds with Section 611.359(a) and derives from 40 CFR 141.89(a) and (a)(1)</w:t>
      </w:r>
      <w:r w:rsidR="004341BB" w:rsidRPr="003B4362">
        <w:rPr>
          <w:rFonts w:eastAsia="Calibri"/>
        </w:rPr>
        <w:t xml:space="preserve"> (2020)</w:t>
      </w:r>
      <w:r w:rsidRPr="003B4362">
        <w:rPr>
          <w:rFonts w:eastAsia="Calibri"/>
        </w:rPr>
        <w:t>.</w:t>
      </w:r>
    </w:p>
    <w:p w14:paraId="6D8F32B5" w14:textId="77777777" w:rsidR="001B6EEE" w:rsidRDefault="001B6EEE" w:rsidP="001B6EEE">
      <w:pPr>
        <w:ind w:left="1440" w:hanging="720"/>
        <w:rPr>
          <w:rFonts w:eastAsia="Calibri"/>
        </w:rPr>
      </w:pPr>
    </w:p>
    <w:p w14:paraId="282D0D99" w14:textId="2B5817A1" w:rsidR="00B50A91" w:rsidRPr="003B4362" w:rsidRDefault="00B50A91" w:rsidP="001B6EEE">
      <w:pPr>
        <w:ind w:left="1440" w:hanging="720"/>
        <w:rPr>
          <w:rFonts w:eastAsia="Calibri"/>
        </w:rPr>
      </w:pPr>
      <w:r w:rsidRPr="003B4362">
        <w:rPr>
          <w:rFonts w:eastAsia="Calibri"/>
        </w:rPr>
        <w:t>b)</w:t>
      </w:r>
      <w:r w:rsidRPr="003B4362">
        <w:rPr>
          <w:rFonts w:eastAsia="Calibri"/>
        </w:rPr>
        <w:tab/>
        <w:t xml:space="preserve">The Agency must issue a SEP allowing a supplier to use previously collected monitoring data under this Subpart </w:t>
      </w:r>
      <w:r w:rsidR="00DE2C0D" w:rsidRPr="003B4362">
        <w:rPr>
          <w:rFonts w:eastAsia="Calibri"/>
        </w:rPr>
        <w:t>A</w:t>
      </w:r>
      <w:r w:rsidRPr="003B4362">
        <w:rPr>
          <w:rFonts w:eastAsia="Calibri"/>
        </w:rPr>
        <w:t xml:space="preserve">G if the supplier collected and analyzed the data complying with this Subpart </w:t>
      </w:r>
      <w:r w:rsidR="00DE2C0D" w:rsidRPr="003B4362">
        <w:rPr>
          <w:rFonts w:eastAsia="Calibri"/>
        </w:rPr>
        <w:t>A</w:t>
      </w:r>
      <w:r w:rsidRPr="003B4362">
        <w:rPr>
          <w:rFonts w:eastAsia="Calibri"/>
        </w:rPr>
        <w:t>G.</w:t>
      </w:r>
    </w:p>
    <w:p w14:paraId="77F67656" w14:textId="77777777" w:rsidR="001B6EEE" w:rsidRDefault="001B6EEE" w:rsidP="001B6EEE">
      <w:pPr>
        <w:ind w:left="1440"/>
        <w:rPr>
          <w:rFonts w:eastAsia="Calibri"/>
        </w:rPr>
      </w:pPr>
    </w:p>
    <w:p w14:paraId="636F6A04" w14:textId="299944F0" w:rsidR="00B50A91" w:rsidRPr="003B4362" w:rsidRDefault="00B50A91" w:rsidP="001B6EEE">
      <w:pPr>
        <w:ind w:left="144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(b) corresponds with Section 611.359(b) and derives from 40 CFR 141.89(a)(2)</w:t>
      </w:r>
      <w:r w:rsidR="004341BB" w:rsidRPr="003B4362">
        <w:rPr>
          <w:rFonts w:eastAsia="Calibri"/>
        </w:rPr>
        <w:t xml:space="preserve"> (2020)</w:t>
      </w:r>
      <w:r w:rsidRPr="003B4362">
        <w:rPr>
          <w:rFonts w:eastAsia="Calibri"/>
        </w:rPr>
        <w:t>.</w:t>
      </w:r>
    </w:p>
    <w:p w14:paraId="7BE917F2" w14:textId="77777777" w:rsidR="001B6EEE" w:rsidRDefault="001B6EEE" w:rsidP="001B6EEE">
      <w:pPr>
        <w:ind w:left="1440" w:hanging="720"/>
        <w:rPr>
          <w:rFonts w:eastAsia="Calibri"/>
        </w:rPr>
      </w:pPr>
    </w:p>
    <w:p w14:paraId="44430793" w14:textId="4526C890" w:rsidR="00B50A91" w:rsidRPr="003B4362" w:rsidRDefault="00B50A91" w:rsidP="001B6EEE">
      <w:pPr>
        <w:ind w:left="1440" w:hanging="720"/>
        <w:rPr>
          <w:rFonts w:eastAsia="Calibri"/>
        </w:rPr>
      </w:pPr>
      <w:r w:rsidRPr="003B4362">
        <w:rPr>
          <w:rFonts w:eastAsia="Calibri"/>
        </w:rPr>
        <w:t>c)</w:t>
      </w:r>
      <w:r w:rsidRPr="003B4362">
        <w:rPr>
          <w:rFonts w:eastAsia="Calibri"/>
        </w:rPr>
        <w:tab/>
        <w:t>Reporting Lead and Copper Levels</w:t>
      </w:r>
    </w:p>
    <w:p w14:paraId="55E4AA05" w14:textId="77777777" w:rsidR="001B6EEE" w:rsidRDefault="001B6EEE" w:rsidP="001B6EEE">
      <w:pPr>
        <w:ind w:left="2160" w:hanging="720"/>
        <w:rPr>
          <w:rFonts w:eastAsia="Calibri"/>
        </w:rPr>
      </w:pPr>
    </w:p>
    <w:p w14:paraId="5A86705C" w14:textId="3848A4BD" w:rsidR="00B50A91" w:rsidRPr="003B4362" w:rsidRDefault="00B50A91" w:rsidP="001B6EEE">
      <w:pPr>
        <w:ind w:left="2160" w:hanging="720"/>
        <w:rPr>
          <w:rFonts w:eastAsia="Calibri"/>
        </w:rPr>
      </w:pPr>
      <w:r w:rsidRPr="003B4362">
        <w:rPr>
          <w:rFonts w:eastAsia="Calibri"/>
        </w:rPr>
        <w:t>1)</w:t>
      </w:r>
      <w:r w:rsidRPr="003B4362">
        <w:rPr>
          <w:rFonts w:eastAsia="Calibri"/>
        </w:rPr>
        <w:tab/>
        <w:t xml:space="preserve">The supplier must report all lead and copper levels greater than or equal to the lead and copper PQL (Pb </w:t>
      </w:r>
      <w:r w:rsidRPr="003B4362">
        <w:rPr>
          <w:rFonts w:eastAsia="Calibri"/>
        </w:rPr>
        <w:sym w:font="Symbol" w:char="F0B3"/>
      </w:r>
      <w:r w:rsidRPr="003B4362">
        <w:rPr>
          <w:rFonts w:eastAsia="Calibri"/>
        </w:rPr>
        <w:t xml:space="preserve"> 0.005 mg/</w:t>
      </w:r>
      <w:r w:rsidR="006A710C" w:rsidRPr="003B4362">
        <w:t>L</w:t>
      </w:r>
      <w:r w:rsidRPr="003B4362">
        <w:rPr>
          <w:rFonts w:eastAsia="Calibri"/>
        </w:rPr>
        <w:t xml:space="preserve"> and Cu </w:t>
      </w:r>
      <w:r w:rsidRPr="003B4362">
        <w:rPr>
          <w:rFonts w:eastAsia="Calibri"/>
        </w:rPr>
        <w:sym w:font="Symbol" w:char="F0B3"/>
      </w:r>
      <w:r w:rsidRPr="003B4362">
        <w:rPr>
          <w:rFonts w:eastAsia="Calibri"/>
        </w:rPr>
        <w:t xml:space="preserve"> 0.050 mg/</w:t>
      </w:r>
      <w:r w:rsidR="006A710C" w:rsidRPr="003B4362">
        <w:t>L</w:t>
      </w:r>
      <w:r w:rsidRPr="003B4362">
        <w:rPr>
          <w:rFonts w:eastAsia="Calibri"/>
        </w:rPr>
        <w:t>) as measured.</w:t>
      </w:r>
    </w:p>
    <w:p w14:paraId="0D8A1A2E" w14:textId="77777777" w:rsidR="001B6EEE" w:rsidRDefault="001B6EEE" w:rsidP="001B6EEE">
      <w:pPr>
        <w:ind w:left="2160" w:hanging="720"/>
        <w:rPr>
          <w:rFonts w:eastAsia="Calibri"/>
        </w:rPr>
      </w:pPr>
    </w:p>
    <w:p w14:paraId="72917114" w14:textId="405B66F8" w:rsidR="00B50A91" w:rsidRPr="003B4362" w:rsidRDefault="00B50A91" w:rsidP="001B6EEE">
      <w:pPr>
        <w:ind w:left="2160" w:hanging="720"/>
        <w:rPr>
          <w:rFonts w:eastAsia="Calibri"/>
        </w:rPr>
      </w:pPr>
      <w:r w:rsidRPr="003B4362">
        <w:rPr>
          <w:rFonts w:eastAsia="Calibri"/>
        </w:rPr>
        <w:t>2)</w:t>
      </w:r>
      <w:r w:rsidRPr="003B4362">
        <w:rPr>
          <w:rFonts w:eastAsia="Calibri"/>
        </w:rPr>
        <w:tab/>
        <w:t>The supplier must report all lead and copper levels less than the PQL but greater than the MDL (0.005 mg/</w:t>
      </w:r>
      <w:r w:rsidR="006A710C" w:rsidRPr="003B4362">
        <w:t>L</w:t>
      </w:r>
      <w:r w:rsidRPr="003B4362">
        <w:rPr>
          <w:rFonts w:eastAsia="Calibri"/>
        </w:rPr>
        <w:t xml:space="preserve"> &gt; Pb &gt; MDL and 0.050 mg/</w:t>
      </w:r>
      <w:r w:rsidR="006A710C" w:rsidRPr="003B4362">
        <w:t>L</w:t>
      </w:r>
      <w:r w:rsidRPr="003B4362">
        <w:rPr>
          <w:rFonts w:eastAsia="Calibri"/>
        </w:rPr>
        <w:t xml:space="preserve"> &gt; Cu &gt; MDL) either as measured or as one-half the PQL in subsection (a) (i.e., 0.0025 mg/</w:t>
      </w:r>
      <w:r w:rsidR="006A710C" w:rsidRPr="003B4362">
        <w:t>L</w:t>
      </w:r>
      <w:r w:rsidRPr="003B4362">
        <w:rPr>
          <w:rFonts w:eastAsia="Calibri"/>
        </w:rPr>
        <w:t xml:space="preserve"> for lead or 0.025 mg/</w:t>
      </w:r>
      <w:r w:rsidR="006A710C" w:rsidRPr="003B4362">
        <w:t>L</w:t>
      </w:r>
      <w:r w:rsidRPr="003B4362">
        <w:rPr>
          <w:rFonts w:eastAsia="Calibri"/>
        </w:rPr>
        <w:t xml:space="preserve"> for copper).</w:t>
      </w:r>
    </w:p>
    <w:p w14:paraId="550C9480" w14:textId="77777777" w:rsidR="001B6EEE" w:rsidRDefault="001B6EEE" w:rsidP="001B6EEE">
      <w:pPr>
        <w:ind w:left="2160" w:hanging="720"/>
        <w:rPr>
          <w:rFonts w:eastAsia="Calibri"/>
        </w:rPr>
      </w:pPr>
    </w:p>
    <w:p w14:paraId="50AC0F8A" w14:textId="061B0146" w:rsidR="00B50A91" w:rsidRPr="003B4362" w:rsidRDefault="00B50A91" w:rsidP="001B6EEE">
      <w:pPr>
        <w:ind w:left="2160" w:hanging="720"/>
        <w:rPr>
          <w:rFonts w:eastAsia="Calibri"/>
        </w:rPr>
      </w:pPr>
      <w:r w:rsidRPr="003B4362">
        <w:rPr>
          <w:rFonts w:eastAsia="Calibri"/>
        </w:rPr>
        <w:t>3)</w:t>
      </w:r>
      <w:r w:rsidRPr="003B4362">
        <w:rPr>
          <w:rFonts w:eastAsia="Calibri"/>
        </w:rPr>
        <w:tab/>
        <w:t>The supplier must report all lead and copper levels below the lead and copper MDL (MDL &gt; Pb) as zero.</w:t>
      </w:r>
    </w:p>
    <w:p w14:paraId="31C0A669" w14:textId="77777777" w:rsidR="001B6EEE" w:rsidRDefault="001B6EEE" w:rsidP="001B6EEE">
      <w:pPr>
        <w:ind w:left="1440"/>
        <w:rPr>
          <w:rFonts w:eastAsia="Calibri"/>
        </w:rPr>
      </w:pPr>
    </w:p>
    <w:p w14:paraId="73DD03F6" w14:textId="5EA9C392" w:rsidR="00B50A91" w:rsidRPr="003B4362" w:rsidRDefault="00B50A91" w:rsidP="001B6EEE">
      <w:pPr>
        <w:ind w:left="144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(c) corresponds with Section 611.359(c) and derives from 40 CFR 141.89(a)(3) and (a)(4)</w:t>
      </w:r>
      <w:r w:rsidR="004341BB" w:rsidRPr="003B4362">
        <w:rPr>
          <w:rFonts w:eastAsia="Calibri"/>
        </w:rPr>
        <w:t xml:space="preserve"> (2020)</w:t>
      </w:r>
      <w:r w:rsidRPr="003B4362">
        <w:rPr>
          <w:rFonts w:eastAsia="Calibri"/>
        </w:rPr>
        <w:t>.</w:t>
      </w:r>
    </w:p>
    <w:p w14:paraId="54F68993" w14:textId="77777777" w:rsidR="001B6EEE" w:rsidRDefault="001B6EEE" w:rsidP="001B6EEE">
      <w:pPr>
        <w:suppressAutoHyphens/>
        <w:ind w:left="720"/>
        <w:rPr>
          <w:rFonts w:eastAsia="Calibri"/>
        </w:rPr>
      </w:pPr>
    </w:p>
    <w:p w14:paraId="00EDE49D" w14:textId="7744E1D8" w:rsidR="00B50A91" w:rsidRDefault="00EB353D" w:rsidP="001B6EEE">
      <w:pPr>
        <w:suppressAutoHyphens/>
        <w:ind w:left="720"/>
        <w:rPr>
          <w:rFonts w:eastAsia="Calibri"/>
        </w:rPr>
      </w:pPr>
      <w:r w:rsidRPr="003B4362">
        <w:rPr>
          <w:rFonts w:eastAsia="Calibri"/>
        </w:rPr>
        <w:t>(Source:  A</w:t>
      </w:r>
      <w:r w:rsidR="003F1F0F"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28991E12" w14:textId="77777777" w:rsidR="005605D6" w:rsidRPr="003B4362" w:rsidRDefault="005605D6" w:rsidP="001B6EEE">
      <w:pPr>
        <w:suppressAutoHyphens/>
        <w:ind w:left="720"/>
        <w:rPr>
          <w:rFonts w:eastAsia="Calibri"/>
        </w:rPr>
      </w:pPr>
    </w:p>
    <w:p w14:paraId="41681268" w14:textId="77777777" w:rsidR="00B50A91" w:rsidRPr="003B4362" w:rsidRDefault="00B50A91" w:rsidP="001B6EEE">
      <w:pPr>
        <w:rPr>
          <w:rFonts w:eastAsia="Calibri"/>
          <w:b/>
          <w:bCs/>
        </w:rPr>
      </w:pPr>
      <w:r w:rsidRPr="003B4362">
        <w:rPr>
          <w:rFonts w:eastAsia="Calibri"/>
          <w:b/>
          <w:bCs/>
        </w:rPr>
        <w:t>Section 611.1360  Reporting</w:t>
      </w:r>
    </w:p>
    <w:p w14:paraId="051B3F55" w14:textId="77777777" w:rsidR="001B6EEE" w:rsidRDefault="001B6EEE" w:rsidP="001B6EEE">
      <w:pPr>
        <w:rPr>
          <w:rFonts w:eastAsia="Calibri"/>
        </w:rPr>
      </w:pPr>
    </w:p>
    <w:p w14:paraId="5097028A" w14:textId="1D208F04" w:rsidR="00B50A91" w:rsidRPr="003B4362" w:rsidRDefault="00B50A91" w:rsidP="001B6EEE">
      <w:pPr>
        <w:rPr>
          <w:rFonts w:eastAsia="Calibri"/>
        </w:rPr>
      </w:pPr>
      <w:r w:rsidRPr="003B4362">
        <w:rPr>
          <w:rFonts w:eastAsia="Calibri"/>
        </w:rPr>
        <w:t>A supplier must report specific information to the Agency as this Section provides.</w:t>
      </w:r>
    </w:p>
    <w:p w14:paraId="5CCB259D" w14:textId="77777777" w:rsidR="001B6EEE" w:rsidRDefault="001B6EEE" w:rsidP="001B6EEE">
      <w:pPr>
        <w:ind w:left="1440" w:hanging="720"/>
        <w:rPr>
          <w:rFonts w:eastAsia="Calibri"/>
        </w:rPr>
      </w:pPr>
    </w:p>
    <w:p w14:paraId="4C493682" w14:textId="0159602C" w:rsidR="00B50A91" w:rsidRPr="003B4362" w:rsidRDefault="00B50A91" w:rsidP="001B6EEE">
      <w:pPr>
        <w:ind w:left="1440" w:hanging="720"/>
        <w:rPr>
          <w:rFonts w:eastAsia="Calibri"/>
        </w:rPr>
      </w:pPr>
      <w:r w:rsidRPr="003B4362">
        <w:rPr>
          <w:rFonts w:eastAsia="Calibri"/>
        </w:rPr>
        <w:t>a)</w:t>
      </w:r>
      <w:r w:rsidRPr="003B4362">
        <w:rPr>
          <w:rFonts w:eastAsia="Calibri"/>
        </w:rPr>
        <w:tab/>
        <w:t>Reporting for Tap, Lead, and Copper, and Water Quality Parameter Monitoring</w:t>
      </w:r>
    </w:p>
    <w:p w14:paraId="52059284" w14:textId="77777777" w:rsidR="001B6EEE" w:rsidRDefault="001B6EEE" w:rsidP="001B6EEE">
      <w:pPr>
        <w:ind w:left="2160" w:hanging="720"/>
        <w:rPr>
          <w:rFonts w:eastAsia="Calibri"/>
        </w:rPr>
      </w:pPr>
    </w:p>
    <w:p w14:paraId="2FBCF2EB" w14:textId="786EE9A0" w:rsidR="00B50A91" w:rsidRPr="003B4362" w:rsidRDefault="00B50A91" w:rsidP="001B6EEE">
      <w:pPr>
        <w:ind w:left="2160" w:hanging="720"/>
        <w:rPr>
          <w:rFonts w:eastAsia="Calibri"/>
        </w:rPr>
      </w:pPr>
      <w:r w:rsidRPr="003B4362">
        <w:rPr>
          <w:rFonts w:eastAsia="Calibri"/>
        </w:rPr>
        <w:t>1)</w:t>
      </w:r>
      <w:r w:rsidRPr="003B4362">
        <w:rPr>
          <w:rFonts w:eastAsia="Calibri"/>
        </w:rPr>
        <w:tab/>
        <w:t xml:space="preserve">Except as subsection (a)(1)(H) provides otherwise, a supplier must report certain information for all samples Section 611.1356 specifies and for all water quality parameter samples Section 611.1357 specifies within ten days after the end of each applicable sampling period Sections 611.1356 and 611.1357 specify (i.e., every six months, annually, triennially, or every nine years).  For a monitoring period shorter than six months, the end of the monitoring period is the last date on which the supplier may </w:t>
      </w:r>
      <w:r w:rsidRPr="003B4362">
        <w:rPr>
          <w:rFonts w:eastAsia="Calibri"/>
        </w:rPr>
        <w:lastRenderedPageBreak/>
        <w:t>collect samples during that period, as Sections 611.1356 and 611.1357 specify.</w:t>
      </w:r>
    </w:p>
    <w:p w14:paraId="3D82EE86" w14:textId="77777777" w:rsidR="001B6EEE" w:rsidRDefault="001B6EEE" w:rsidP="001B6EEE">
      <w:pPr>
        <w:ind w:left="2880" w:hanging="720"/>
        <w:rPr>
          <w:rFonts w:eastAsia="Calibri"/>
        </w:rPr>
      </w:pPr>
    </w:p>
    <w:p w14:paraId="7EBFE51A" w14:textId="3AD2A14E" w:rsidR="00B50A91" w:rsidRPr="003B4362" w:rsidRDefault="00B50A91" w:rsidP="001B6EEE">
      <w:pPr>
        <w:ind w:left="2880" w:hanging="720"/>
        <w:rPr>
          <w:rFonts w:eastAsia="Calibri"/>
        </w:rPr>
      </w:pPr>
      <w:r w:rsidRPr="003B4362">
        <w:rPr>
          <w:rFonts w:eastAsia="Calibri"/>
        </w:rPr>
        <w:t>A)</w:t>
      </w:r>
      <w:r w:rsidRPr="003B4362">
        <w:rPr>
          <w:rFonts w:eastAsia="Calibri"/>
        </w:rPr>
        <w:tab/>
        <w:t>The results of all tap samples for lead and copper, including the location of each site and the criteria under Section 611.1356(a)(3) through (a)(7) under which the supplier selected the site for the supplier’s sampling pool;</w:t>
      </w:r>
    </w:p>
    <w:p w14:paraId="6116522D" w14:textId="77777777" w:rsidR="001B6EEE" w:rsidRDefault="001B6EEE" w:rsidP="001B6EEE">
      <w:pPr>
        <w:ind w:left="2880" w:hanging="720"/>
        <w:rPr>
          <w:rFonts w:eastAsia="Calibri"/>
        </w:rPr>
      </w:pPr>
    </w:p>
    <w:p w14:paraId="22C51E71" w14:textId="63056591" w:rsidR="00B50A91" w:rsidRPr="003B4362" w:rsidRDefault="00B50A91" w:rsidP="001B6EEE">
      <w:pPr>
        <w:ind w:left="2880" w:hanging="720"/>
        <w:rPr>
          <w:rFonts w:eastAsia="Calibri"/>
        </w:rPr>
      </w:pPr>
      <w:r w:rsidRPr="003B4362">
        <w:rPr>
          <w:rFonts w:eastAsia="Calibri"/>
        </w:rPr>
        <w:t>B)</w:t>
      </w:r>
      <w:r w:rsidRPr="003B4362">
        <w:rPr>
          <w:rFonts w:eastAsia="Calibri"/>
        </w:rPr>
        <w:tab/>
        <w:t>Supporting documents for each tap water lead or copper sample the supplier requests the Agency invalidate under Section 611.1356(f)(2);</w:t>
      </w:r>
    </w:p>
    <w:p w14:paraId="3F9B7D09" w14:textId="77777777" w:rsidR="001B6EEE" w:rsidRDefault="001B6EEE" w:rsidP="001B6EEE">
      <w:pPr>
        <w:ind w:left="2880" w:hanging="720"/>
        <w:rPr>
          <w:rFonts w:eastAsia="Calibri"/>
        </w:rPr>
      </w:pPr>
    </w:p>
    <w:p w14:paraId="7F2DA299" w14:textId="305B74C5" w:rsidR="00B50A91" w:rsidRPr="003B4362" w:rsidRDefault="00B50A91" w:rsidP="001B6EEE">
      <w:pPr>
        <w:ind w:left="2880" w:hanging="720"/>
        <w:rPr>
          <w:rFonts w:eastAsia="Calibri"/>
        </w:rPr>
      </w:pPr>
      <w:r w:rsidRPr="003B4362">
        <w:rPr>
          <w:rFonts w:eastAsia="Calibri"/>
        </w:rPr>
        <w:t>C)</w:t>
      </w:r>
      <w:r w:rsidRPr="003B4362">
        <w:rPr>
          <w:rFonts w:eastAsia="Calibri"/>
        </w:rPr>
        <w:tab/>
        <w:t>This subsection (a)(1)(C) corresponds with 40 CFR 141.90(a)(1)(iii)</w:t>
      </w:r>
      <w:r w:rsidR="004341BB" w:rsidRPr="003B4362">
        <w:rPr>
          <w:rFonts w:eastAsia="Calibri"/>
        </w:rPr>
        <w:t xml:space="preserve"> (2020)</w:t>
      </w:r>
      <w:r w:rsidRPr="003B4362">
        <w:rPr>
          <w:rFonts w:eastAsia="Calibri"/>
        </w:rPr>
        <w:t>, a provision that USEPA removed and marked “reserved”.  This statement preserves structural parity with the federal rules;</w:t>
      </w:r>
    </w:p>
    <w:p w14:paraId="0C2958D4" w14:textId="77777777" w:rsidR="001B6EEE" w:rsidRDefault="001B6EEE" w:rsidP="001B6EEE">
      <w:pPr>
        <w:ind w:left="2880" w:hanging="720"/>
        <w:rPr>
          <w:rFonts w:eastAsia="Calibri"/>
        </w:rPr>
      </w:pPr>
    </w:p>
    <w:p w14:paraId="14C3C7B6" w14:textId="4B18A972" w:rsidR="00B50A91" w:rsidRPr="003B4362" w:rsidRDefault="00B50A91" w:rsidP="001B6EEE">
      <w:pPr>
        <w:ind w:left="2880" w:hanging="720"/>
        <w:rPr>
          <w:rFonts w:eastAsia="Calibri"/>
        </w:rPr>
      </w:pPr>
      <w:r w:rsidRPr="003B4362">
        <w:rPr>
          <w:rFonts w:eastAsia="Calibri"/>
        </w:rPr>
        <w:t>D)</w:t>
      </w:r>
      <w:r w:rsidRPr="003B4362">
        <w:rPr>
          <w:rFonts w:eastAsia="Calibri"/>
        </w:rPr>
        <w:tab/>
        <w:t>The 90th percentile lead and copper concentrations the supplier measures from among all lead and copper tap samples the supplier collects during each sampling period (calculated under Section 611.1350(c)(3)), unless the Agency calculates the system’s 90th percentile lead and copper levels under subsection (h);</w:t>
      </w:r>
    </w:p>
    <w:p w14:paraId="4DC1EC3D" w14:textId="77777777" w:rsidR="001B6EEE" w:rsidRDefault="001B6EEE" w:rsidP="001B6EEE">
      <w:pPr>
        <w:ind w:left="2880" w:hanging="720"/>
        <w:rPr>
          <w:rFonts w:eastAsia="Calibri"/>
        </w:rPr>
      </w:pPr>
    </w:p>
    <w:p w14:paraId="35D15BF9" w14:textId="29416B66" w:rsidR="00B50A91" w:rsidRPr="003B4362" w:rsidRDefault="00B50A91" w:rsidP="001B6EEE">
      <w:pPr>
        <w:ind w:left="2880" w:hanging="720"/>
        <w:rPr>
          <w:rFonts w:eastAsia="Calibri"/>
        </w:rPr>
      </w:pPr>
      <w:r w:rsidRPr="003B4362">
        <w:rPr>
          <w:rFonts w:eastAsia="Calibri"/>
        </w:rPr>
        <w:t>E)</w:t>
      </w:r>
      <w:r w:rsidRPr="003B4362">
        <w:rPr>
          <w:rFonts w:eastAsia="Calibri"/>
        </w:rPr>
        <w:tab/>
        <w:t>With the exception of initial tap sampling under Section 611.1356(d)(1), the supplier must designate any site it did not sample during previous sampling periods and explain why sampling sites have changed;</w:t>
      </w:r>
    </w:p>
    <w:p w14:paraId="03EB9047" w14:textId="77777777" w:rsidR="001B6EEE" w:rsidRDefault="001B6EEE" w:rsidP="001B6EEE">
      <w:pPr>
        <w:ind w:left="2880" w:hanging="720"/>
        <w:rPr>
          <w:rFonts w:eastAsia="Calibri"/>
        </w:rPr>
      </w:pPr>
    </w:p>
    <w:p w14:paraId="3BC2248B" w14:textId="2390C53E" w:rsidR="00B50A91" w:rsidRPr="003B4362" w:rsidRDefault="00B50A91" w:rsidP="001B6EEE">
      <w:pPr>
        <w:ind w:left="2880" w:hanging="720"/>
        <w:rPr>
          <w:rFonts w:eastAsia="Calibri"/>
        </w:rPr>
      </w:pPr>
      <w:r w:rsidRPr="003B4362">
        <w:rPr>
          <w:rFonts w:eastAsia="Calibri"/>
        </w:rPr>
        <w:t>F)</w:t>
      </w:r>
      <w:r w:rsidRPr="003B4362">
        <w:rPr>
          <w:rFonts w:eastAsia="Calibri"/>
        </w:rPr>
        <w:tab/>
        <w:t xml:space="preserve">The results of all tap samples for pH and </w:t>
      </w:r>
      <w:r w:rsidRPr="003B4362">
        <w:rPr>
          <w:rFonts w:eastAsia="Calibri"/>
          <w:spacing w:val="-3"/>
        </w:rPr>
        <w:t xml:space="preserve">the </w:t>
      </w:r>
      <w:r w:rsidRPr="003B4362">
        <w:rPr>
          <w:rFonts w:eastAsia="Calibri"/>
        </w:rPr>
        <w:t>applicable of alkalinity, calcium, conductivity, temperature, and orthophosphate, and silica the supplier collects under Section 611.1357(b) through (e);</w:t>
      </w:r>
    </w:p>
    <w:p w14:paraId="5607DC04" w14:textId="77777777" w:rsidR="001B6EEE" w:rsidRDefault="001B6EEE" w:rsidP="001B6EEE">
      <w:pPr>
        <w:ind w:left="2880" w:hanging="720"/>
        <w:rPr>
          <w:rFonts w:eastAsia="Calibri"/>
        </w:rPr>
      </w:pPr>
    </w:p>
    <w:p w14:paraId="2200AE1B" w14:textId="7F0AA278" w:rsidR="00B50A91" w:rsidRPr="003B4362" w:rsidRDefault="00B50A91" w:rsidP="001B6EEE">
      <w:pPr>
        <w:ind w:left="2880" w:hanging="720"/>
        <w:rPr>
          <w:rFonts w:eastAsia="Calibri"/>
        </w:rPr>
      </w:pPr>
      <w:r w:rsidRPr="003B4362">
        <w:rPr>
          <w:rFonts w:eastAsia="Calibri"/>
        </w:rPr>
        <w:t>G)</w:t>
      </w:r>
      <w:r w:rsidRPr="003B4362">
        <w:rPr>
          <w:rFonts w:eastAsia="Calibri"/>
        </w:rPr>
        <w:tab/>
        <w:t>The results of all samples the supplier collects at entry points for applicable water quality parameters under Section 611.1357(b) through (e); and</w:t>
      </w:r>
    </w:p>
    <w:p w14:paraId="6AE11AB6" w14:textId="77777777" w:rsidR="001B6EEE" w:rsidRDefault="001B6EEE" w:rsidP="001B6EEE">
      <w:pPr>
        <w:ind w:left="2880" w:hanging="720"/>
        <w:rPr>
          <w:rFonts w:eastAsia="Calibri"/>
        </w:rPr>
      </w:pPr>
    </w:p>
    <w:p w14:paraId="0F2411D6" w14:textId="06905A33" w:rsidR="00B50A91" w:rsidRPr="003B4362" w:rsidRDefault="00B50A91" w:rsidP="001B6EEE">
      <w:pPr>
        <w:ind w:left="2880" w:hanging="720"/>
        <w:rPr>
          <w:rFonts w:eastAsia="Calibri"/>
        </w:rPr>
      </w:pPr>
      <w:r w:rsidRPr="003B4362">
        <w:rPr>
          <w:rFonts w:eastAsia="Calibri"/>
        </w:rPr>
        <w:t>H)</w:t>
      </w:r>
      <w:r w:rsidRPr="003B4362">
        <w:rPr>
          <w:rFonts w:eastAsia="Calibri"/>
        </w:rPr>
        <w:tab/>
        <w:t>A supplier must report the results of all water quality parameter samples the supplier collects under Section 611.1357(c) through (f) during each six-month monitoring period Section 611.1357(d) specifies within the first ten days following the end of the monitoring period, unless the Agency specifies a more frequent reporting requirement in a SEP.</w:t>
      </w:r>
    </w:p>
    <w:p w14:paraId="6FFD6259" w14:textId="77777777" w:rsidR="001B6EEE" w:rsidRDefault="001B6EEE" w:rsidP="001B6EEE">
      <w:pPr>
        <w:ind w:left="2160" w:hanging="720"/>
        <w:rPr>
          <w:rFonts w:eastAsia="Calibri"/>
        </w:rPr>
      </w:pPr>
    </w:p>
    <w:p w14:paraId="75CCF1EA" w14:textId="58CA9D32" w:rsidR="00B50A91" w:rsidRPr="003B4362" w:rsidRDefault="00B50A91" w:rsidP="001B6EEE">
      <w:pPr>
        <w:ind w:left="2160" w:hanging="720"/>
        <w:rPr>
          <w:rFonts w:eastAsia="Calibri"/>
        </w:rPr>
      </w:pPr>
      <w:r w:rsidRPr="003B4362">
        <w:rPr>
          <w:rFonts w:eastAsia="Calibri"/>
        </w:rPr>
        <w:lastRenderedPageBreak/>
        <w:t>2)</w:t>
      </w:r>
      <w:r w:rsidRPr="003B4362">
        <w:rPr>
          <w:rFonts w:eastAsia="Calibri"/>
        </w:rPr>
        <w:tab/>
        <w:t xml:space="preserve">For an NTNCWS supplier, or a CWS supplier in Section 611.1355(b)(7)(A) and (b)(7)(B) that does not have enough taps for first-draw </w:t>
      </w:r>
      <w:r w:rsidR="003705FD" w:rsidRPr="003B4362">
        <w:rPr>
          <w:rFonts w:eastAsia="Calibri"/>
        </w:rPr>
        <w:t xml:space="preserve">tap </w:t>
      </w:r>
      <w:r w:rsidRPr="003B4362">
        <w:rPr>
          <w:rFonts w:eastAsia="Calibri"/>
        </w:rPr>
        <w:t>samples, the supplier must do one of two things:</w:t>
      </w:r>
    </w:p>
    <w:p w14:paraId="7A15E5B0" w14:textId="77777777" w:rsidR="001B6EEE" w:rsidRDefault="001B6EEE" w:rsidP="001B6EEE">
      <w:pPr>
        <w:ind w:left="2880" w:hanging="720"/>
        <w:rPr>
          <w:rFonts w:eastAsia="Calibri"/>
        </w:rPr>
      </w:pPr>
    </w:p>
    <w:p w14:paraId="5269A088" w14:textId="66B2F2B5" w:rsidR="00B50A91" w:rsidRPr="003B4362" w:rsidRDefault="00B50A91" w:rsidP="001B6EEE">
      <w:pPr>
        <w:ind w:left="2880" w:hanging="720"/>
        <w:rPr>
          <w:rFonts w:eastAsia="Calibri"/>
        </w:rPr>
      </w:pPr>
      <w:r w:rsidRPr="003B4362">
        <w:rPr>
          <w:rFonts w:eastAsia="Calibri"/>
        </w:rPr>
        <w:t>A)</w:t>
      </w:r>
      <w:r w:rsidRPr="003B4362">
        <w:rPr>
          <w:rFonts w:eastAsia="Calibri"/>
        </w:rPr>
        <w:tab/>
        <w:t xml:space="preserve">The supplier must identify to the Agency in writing standing times and locations for enough </w:t>
      </w:r>
      <w:bookmarkStart w:id="4550" w:name="_Hlk121949913"/>
      <w:r w:rsidRPr="003B4362">
        <w:rPr>
          <w:rFonts w:eastAsia="Calibri"/>
        </w:rPr>
        <w:t xml:space="preserve">non-first-draw </w:t>
      </w:r>
      <w:r w:rsidR="003705FD" w:rsidRPr="003B4362">
        <w:rPr>
          <w:rFonts w:eastAsia="Calibri"/>
        </w:rPr>
        <w:t xml:space="preserve">tap </w:t>
      </w:r>
      <w:r w:rsidRPr="003B4362">
        <w:rPr>
          <w:rFonts w:eastAsia="Calibri"/>
        </w:rPr>
        <w:t>samples</w:t>
      </w:r>
      <w:bookmarkEnd w:id="4550"/>
      <w:r w:rsidRPr="003B4362">
        <w:rPr>
          <w:rFonts w:eastAsia="Calibri"/>
        </w:rPr>
        <w:t xml:space="preserve"> to make up its sampling pool under Section 611.1356(b)(5), unless the Agency waives prior Agency approval of non-first-draw sampling sites the supplier selects under Section 611.1356(b)(5); or</w:t>
      </w:r>
    </w:p>
    <w:p w14:paraId="30270C4F" w14:textId="77777777" w:rsidR="001B6EEE" w:rsidRDefault="001B6EEE" w:rsidP="001B6EEE">
      <w:pPr>
        <w:ind w:left="2880" w:hanging="720"/>
        <w:rPr>
          <w:rFonts w:eastAsia="Calibri"/>
        </w:rPr>
      </w:pPr>
    </w:p>
    <w:p w14:paraId="39406B6E" w14:textId="35198C45" w:rsidR="00B50A91" w:rsidRPr="003B4362" w:rsidRDefault="00B50A91" w:rsidP="001B6EEE">
      <w:pPr>
        <w:ind w:left="2880" w:hanging="720"/>
        <w:rPr>
          <w:rFonts w:eastAsia="Calibri"/>
        </w:rPr>
      </w:pPr>
      <w:r w:rsidRPr="003B4362">
        <w:rPr>
          <w:rFonts w:eastAsia="Calibri"/>
        </w:rPr>
        <w:t>B)</w:t>
      </w:r>
      <w:r w:rsidRPr="003B4362">
        <w:rPr>
          <w:rFonts w:eastAsia="Calibri"/>
        </w:rPr>
        <w:tab/>
        <w:t>If the Agency waives prior approval of non-first-draw sampling sites the supplier selects, the supplier must identify each site that did not meet the six-hour minimum standing time and the length of standing time for that particular substitute sample collected under Section 611.1356(b)(5) in writing and include this information with the lead and copper tap sample results the supplier must submit under subsection (a)(1)(A).</w:t>
      </w:r>
    </w:p>
    <w:p w14:paraId="2FE9A7E8" w14:textId="77777777" w:rsidR="001B6EEE" w:rsidRDefault="001B6EEE" w:rsidP="001B6EEE">
      <w:pPr>
        <w:ind w:left="2160" w:hanging="720"/>
        <w:rPr>
          <w:rFonts w:eastAsia="Calibri"/>
        </w:rPr>
      </w:pPr>
    </w:p>
    <w:p w14:paraId="7766359F" w14:textId="650FF2FC" w:rsidR="00B50A91" w:rsidRPr="003B4362" w:rsidRDefault="00B50A91" w:rsidP="001B6EEE">
      <w:pPr>
        <w:ind w:left="2160" w:hanging="720"/>
        <w:rPr>
          <w:rFonts w:eastAsia="Calibri"/>
        </w:rPr>
      </w:pPr>
      <w:r w:rsidRPr="003B4362">
        <w:rPr>
          <w:rFonts w:eastAsia="Calibri"/>
        </w:rPr>
        <w:t>3)</w:t>
      </w:r>
      <w:r w:rsidRPr="003B4362">
        <w:rPr>
          <w:rFonts w:eastAsia="Calibri"/>
        </w:rPr>
        <w:tab/>
        <w:t>At a time the Agency specifies in a SEP, a supplier deemed by rule to have optimized corrosion control under Section 611.1351(b)(3), a water supplier subject to reduced monitoring under Section 611.1356(d)(4), or a water supplier the Agency grants a monitoring waiver under Section 611.1356(g), must document adding a new source or any change in water treatment to the Agency describing the change or addition.  If the Agency does not specify a time in a SEP, the supplier must document the changes to the Agency as early as possible prior to adding a new source or any change in water treatment.</w:t>
      </w:r>
    </w:p>
    <w:p w14:paraId="42607527" w14:textId="77777777" w:rsidR="001B6EEE" w:rsidRDefault="001B6EEE" w:rsidP="001B6EEE">
      <w:pPr>
        <w:ind w:left="2160" w:hanging="720"/>
        <w:rPr>
          <w:rFonts w:eastAsia="Calibri"/>
        </w:rPr>
      </w:pPr>
    </w:p>
    <w:p w14:paraId="27240CB9" w14:textId="31DB3A83" w:rsidR="00B50A91" w:rsidRPr="003B4362" w:rsidRDefault="00B50A91" w:rsidP="001B6EEE">
      <w:pPr>
        <w:ind w:left="2160" w:hanging="720"/>
        <w:rPr>
          <w:rFonts w:eastAsia="Calibri"/>
        </w:rPr>
      </w:pPr>
      <w:r w:rsidRPr="003B4362">
        <w:rPr>
          <w:rFonts w:eastAsia="Calibri"/>
        </w:rPr>
        <w:t>4)</w:t>
      </w:r>
      <w:r w:rsidRPr="003B4362">
        <w:rPr>
          <w:rFonts w:eastAsia="Calibri"/>
        </w:rPr>
        <w:tab/>
        <w:t>A small system supplier applying for a monitoring waiver under Section 611.1356(g) or subject to a waiver granted under Section 611.1356(g)(3) must provide certain information to the Agency in writing before the applicable deadline:</w:t>
      </w:r>
    </w:p>
    <w:p w14:paraId="5601C9AA" w14:textId="77777777" w:rsidR="001B6EEE" w:rsidRDefault="001B6EEE" w:rsidP="001B6EEE">
      <w:pPr>
        <w:ind w:left="2880" w:hanging="720"/>
        <w:rPr>
          <w:rFonts w:eastAsia="Calibri"/>
        </w:rPr>
      </w:pPr>
    </w:p>
    <w:p w14:paraId="2D08E7B4" w14:textId="097B308A" w:rsidR="00B50A91" w:rsidRPr="003B4362" w:rsidRDefault="00B50A91" w:rsidP="001B6EEE">
      <w:pPr>
        <w:ind w:left="2880" w:hanging="720"/>
        <w:rPr>
          <w:rFonts w:eastAsia="Calibri"/>
        </w:rPr>
      </w:pPr>
      <w:r w:rsidRPr="003B4362">
        <w:rPr>
          <w:rFonts w:eastAsia="Calibri"/>
        </w:rPr>
        <w:t>A)</w:t>
      </w:r>
      <w:r w:rsidRPr="003B4362">
        <w:rPr>
          <w:rFonts w:eastAsia="Calibri"/>
        </w:rPr>
        <w:tab/>
        <w:t>Before the start of the first applicable monitoring period in Section 611.1356(d), any small water system supplier applying for a monitoring waiver must provide the documents demonstrating that the supplier qualifies for a waiver under Section 611.1356(g)(1) and (g)(2).</w:t>
      </w:r>
    </w:p>
    <w:p w14:paraId="7B3E73F2" w14:textId="77777777" w:rsidR="001B6EEE" w:rsidRDefault="001B6EEE" w:rsidP="001B6EEE">
      <w:pPr>
        <w:ind w:left="2880" w:hanging="720"/>
        <w:rPr>
          <w:rFonts w:eastAsia="Calibri"/>
        </w:rPr>
      </w:pPr>
    </w:p>
    <w:p w14:paraId="49ADBDB4" w14:textId="1DA26D0E" w:rsidR="00B50A91" w:rsidRPr="003B4362" w:rsidRDefault="00B50A91" w:rsidP="001B6EEE">
      <w:pPr>
        <w:ind w:left="2880" w:hanging="720"/>
        <w:rPr>
          <w:rFonts w:eastAsia="Calibri"/>
        </w:rPr>
      </w:pPr>
      <w:r w:rsidRPr="003B4362">
        <w:rPr>
          <w:rFonts w:eastAsia="Calibri"/>
        </w:rPr>
        <w:t>B)</w:t>
      </w:r>
      <w:r w:rsidRPr="003B4362">
        <w:rPr>
          <w:rFonts w:eastAsia="Calibri"/>
        </w:rPr>
        <w:tab/>
        <w:t>No later than nine years after the monitoring the supplier previously conducted under Section 611.1356(g)(2) or Section 611.1356(g)(4)(A), a small system supplier wanting to maintain its monitoring waiver must provide the information Section 611.1356(g)(4)(A) and (g)(4)(B) requires.</w:t>
      </w:r>
    </w:p>
    <w:p w14:paraId="760D0617" w14:textId="77777777" w:rsidR="001B6EEE" w:rsidRDefault="001B6EEE" w:rsidP="001B6EEE">
      <w:pPr>
        <w:ind w:left="2880" w:hanging="720"/>
        <w:rPr>
          <w:rFonts w:eastAsia="Calibri"/>
        </w:rPr>
      </w:pPr>
    </w:p>
    <w:p w14:paraId="29539003" w14:textId="25F2FE28" w:rsidR="00B50A91" w:rsidRPr="003B4362" w:rsidRDefault="00B50A91" w:rsidP="001B6EEE">
      <w:pPr>
        <w:ind w:left="2880" w:hanging="720"/>
        <w:rPr>
          <w:rFonts w:eastAsia="Calibri"/>
        </w:rPr>
      </w:pPr>
      <w:r w:rsidRPr="003B4362">
        <w:rPr>
          <w:rFonts w:eastAsia="Calibri"/>
        </w:rPr>
        <w:lastRenderedPageBreak/>
        <w:t>C)</w:t>
      </w:r>
      <w:r w:rsidRPr="003B4362">
        <w:rPr>
          <w:rFonts w:eastAsia="Calibri"/>
        </w:rPr>
        <w:tab/>
        <w:t>No later than 60 days after the small-sized system water supplier becomes aware that it is no longer free of lead-containing or copper-containing material, a small system supplier having a monitoring waiver must notify the Agency in writing, stating the circumstances introducing lead- or copper-containing materials into the system and describing any corrective action the supplier plans to remove these materials.</w:t>
      </w:r>
    </w:p>
    <w:p w14:paraId="2850840A" w14:textId="77777777" w:rsidR="001B6EEE" w:rsidRDefault="001B6EEE" w:rsidP="001B6EEE">
      <w:pPr>
        <w:ind w:left="2160" w:hanging="720"/>
        <w:rPr>
          <w:rFonts w:eastAsia="Calibri"/>
        </w:rPr>
      </w:pPr>
    </w:p>
    <w:p w14:paraId="05C892F8" w14:textId="6CAF9E15" w:rsidR="00B50A91" w:rsidRPr="003B4362" w:rsidRDefault="00B50A91" w:rsidP="001B6EEE">
      <w:pPr>
        <w:ind w:left="2160" w:hanging="720"/>
        <w:rPr>
          <w:rFonts w:eastAsia="Calibri"/>
        </w:rPr>
      </w:pPr>
      <w:r w:rsidRPr="003B4362">
        <w:rPr>
          <w:rFonts w:eastAsia="Calibri"/>
        </w:rPr>
        <w:t>5)</w:t>
      </w:r>
      <w:r w:rsidRPr="003B4362">
        <w:rPr>
          <w:rFonts w:eastAsia="Calibri"/>
        </w:rPr>
        <w:tab/>
        <w:t>A GWS supplier limiting its water quality parameter monitoring to a subset of entry points under Section 611.1357(c)(3) must identify its selected entry points to the Agency in writing, including information sufficiently demonstrating that the sites represent water quality and treatment conditions throughout the supplier’s system.</w:t>
      </w:r>
    </w:p>
    <w:p w14:paraId="24A1735B" w14:textId="77777777" w:rsidR="001B6EEE" w:rsidRDefault="001B6EEE" w:rsidP="001B6EEE">
      <w:pPr>
        <w:ind w:left="1440" w:hanging="720"/>
        <w:rPr>
          <w:rFonts w:eastAsia="Calibri"/>
        </w:rPr>
      </w:pPr>
    </w:p>
    <w:p w14:paraId="7ABAD954" w14:textId="33E64994" w:rsidR="00B50A91" w:rsidRPr="003B4362" w:rsidRDefault="00B50A91" w:rsidP="001B6EEE">
      <w:pPr>
        <w:ind w:left="1440" w:hanging="720"/>
        <w:rPr>
          <w:rFonts w:eastAsia="Calibri"/>
        </w:rPr>
      </w:pPr>
      <w:r w:rsidRPr="003B4362">
        <w:rPr>
          <w:rFonts w:eastAsia="Calibri"/>
        </w:rPr>
        <w:t>b)</w:t>
      </w:r>
      <w:r w:rsidRPr="003B4362">
        <w:rPr>
          <w:rFonts w:eastAsia="Calibri"/>
        </w:rPr>
        <w:tab/>
        <w:t>Reporting for Source Water Monitoring</w:t>
      </w:r>
    </w:p>
    <w:p w14:paraId="216DFC6C" w14:textId="77777777" w:rsidR="001B6EEE" w:rsidRDefault="001B6EEE" w:rsidP="001B6EEE">
      <w:pPr>
        <w:ind w:left="2160" w:hanging="720"/>
        <w:rPr>
          <w:rFonts w:eastAsia="Calibri"/>
        </w:rPr>
      </w:pPr>
    </w:p>
    <w:p w14:paraId="6D307648" w14:textId="60D33390" w:rsidR="00B50A91" w:rsidRPr="003B4362" w:rsidRDefault="00B50A91" w:rsidP="001B6EEE">
      <w:pPr>
        <w:ind w:left="2160" w:hanging="720"/>
        <w:rPr>
          <w:rFonts w:eastAsia="Calibri"/>
        </w:rPr>
      </w:pPr>
      <w:r w:rsidRPr="003B4362">
        <w:rPr>
          <w:rFonts w:eastAsia="Calibri"/>
        </w:rPr>
        <w:t>1)</w:t>
      </w:r>
      <w:r w:rsidRPr="003B4362">
        <w:rPr>
          <w:rFonts w:eastAsia="Calibri"/>
        </w:rPr>
        <w:tab/>
        <w:t>A supplier must report its sampling results for all source water samples it collects under Section 611.1358 within ten days after the end of each source water sampling period (i.e., annually, per compliance period (triennially), per compliance cycle (every nine years)) Section 611.1358 specifies.</w:t>
      </w:r>
    </w:p>
    <w:p w14:paraId="36EEF2E4" w14:textId="77777777" w:rsidR="001B6EEE" w:rsidRDefault="001B6EEE" w:rsidP="001B6EEE">
      <w:pPr>
        <w:ind w:left="2160" w:hanging="720"/>
        <w:rPr>
          <w:rFonts w:eastAsia="Calibri"/>
        </w:rPr>
      </w:pPr>
    </w:p>
    <w:p w14:paraId="77369147" w14:textId="13797E4C" w:rsidR="00B50A91" w:rsidRPr="003B4362" w:rsidRDefault="00B50A91" w:rsidP="001B6EEE">
      <w:pPr>
        <w:ind w:left="2160" w:hanging="720"/>
        <w:rPr>
          <w:rFonts w:eastAsia="Calibri"/>
        </w:rPr>
      </w:pPr>
      <w:r w:rsidRPr="003B4362">
        <w:rPr>
          <w:rFonts w:eastAsia="Calibri"/>
        </w:rPr>
        <w:t>2)</w:t>
      </w:r>
      <w:r w:rsidRPr="003B4362">
        <w:rPr>
          <w:rFonts w:eastAsia="Calibri"/>
        </w:rPr>
        <w:tab/>
        <w:t>With the exception of the first round of source water sampling a supplier conducts under Section 611.1358(b), a supplier must specify any site it did not sample during previous sampling periods, explaining why the supplier changed the sampling point.</w:t>
      </w:r>
    </w:p>
    <w:p w14:paraId="0C0DBF55" w14:textId="77777777" w:rsidR="001B6EEE" w:rsidRDefault="001B6EEE" w:rsidP="001B6EEE">
      <w:pPr>
        <w:ind w:left="1440" w:hanging="720"/>
        <w:rPr>
          <w:rFonts w:eastAsia="Calibri"/>
        </w:rPr>
      </w:pPr>
    </w:p>
    <w:p w14:paraId="03704B01" w14:textId="07E8E109" w:rsidR="00B50A91" w:rsidRPr="003B4362" w:rsidRDefault="00B50A91" w:rsidP="001B6EEE">
      <w:pPr>
        <w:ind w:left="1440" w:hanging="720"/>
        <w:rPr>
          <w:rFonts w:eastAsia="Calibri"/>
        </w:rPr>
      </w:pPr>
      <w:r w:rsidRPr="003B4362">
        <w:rPr>
          <w:rFonts w:eastAsia="Calibri"/>
        </w:rPr>
        <w:t>c)</w:t>
      </w:r>
      <w:r w:rsidRPr="003B4362">
        <w:rPr>
          <w:rFonts w:eastAsia="Calibri"/>
        </w:rPr>
        <w:tab/>
        <w:t>Reporting for Corrosion Control Treatment.  Before the applicable dates under Section 611.1351, a supplier must report certain information:</w:t>
      </w:r>
    </w:p>
    <w:p w14:paraId="5ADF7809" w14:textId="77777777" w:rsidR="001B6EEE" w:rsidRDefault="001B6EEE" w:rsidP="001B6EEE">
      <w:pPr>
        <w:ind w:left="2160" w:hanging="720"/>
        <w:rPr>
          <w:rFonts w:eastAsia="Calibri"/>
        </w:rPr>
      </w:pPr>
    </w:p>
    <w:p w14:paraId="05FA22BC" w14:textId="0671E80A" w:rsidR="00B50A91" w:rsidRPr="003B4362" w:rsidRDefault="00B50A91" w:rsidP="001B6EEE">
      <w:pPr>
        <w:ind w:left="2160" w:hanging="720"/>
        <w:rPr>
          <w:rFonts w:eastAsia="Calibri"/>
        </w:rPr>
      </w:pPr>
      <w:r w:rsidRPr="003B4362">
        <w:rPr>
          <w:rFonts w:eastAsia="Calibri"/>
        </w:rPr>
        <w:t>1)</w:t>
      </w:r>
      <w:r w:rsidRPr="003B4362">
        <w:rPr>
          <w:rFonts w:eastAsia="Calibri"/>
        </w:rPr>
        <w:tab/>
        <w:t>A supplier demonstrating that it already optimized corrosion control must provide the information Section 611.1352(b)(2) or (b)(3) requires.</w:t>
      </w:r>
    </w:p>
    <w:p w14:paraId="69CCEC57" w14:textId="77777777" w:rsidR="001B6EEE" w:rsidRDefault="001B6EEE" w:rsidP="001B6EEE">
      <w:pPr>
        <w:ind w:left="2160" w:hanging="720"/>
        <w:rPr>
          <w:rFonts w:eastAsia="Calibri"/>
        </w:rPr>
      </w:pPr>
    </w:p>
    <w:p w14:paraId="681330B4" w14:textId="4A0CD825" w:rsidR="00B50A91" w:rsidRPr="003B4362" w:rsidRDefault="00B50A91" w:rsidP="001B6EEE">
      <w:pPr>
        <w:ind w:left="2160" w:hanging="720"/>
        <w:rPr>
          <w:rFonts w:eastAsia="Calibri"/>
        </w:rPr>
      </w:pPr>
      <w:r w:rsidRPr="003B4362">
        <w:rPr>
          <w:rFonts w:eastAsia="Calibri"/>
        </w:rPr>
        <w:t>2)</w:t>
      </w:r>
      <w:r w:rsidRPr="003B4362">
        <w:rPr>
          <w:rFonts w:eastAsia="Calibri"/>
        </w:rPr>
        <w:tab/>
        <w:t>A supplier that must optimize corrosion control must provide its recommendation regarding optimal corrosion control treatment under Section 611.1352(a).</w:t>
      </w:r>
    </w:p>
    <w:p w14:paraId="3D0D966E" w14:textId="77777777" w:rsidR="001B6EEE" w:rsidRDefault="001B6EEE" w:rsidP="001B6EEE">
      <w:pPr>
        <w:ind w:left="2160" w:hanging="720"/>
        <w:rPr>
          <w:rFonts w:eastAsia="Calibri"/>
        </w:rPr>
      </w:pPr>
    </w:p>
    <w:p w14:paraId="43406240" w14:textId="7593AAD5" w:rsidR="00B50A91" w:rsidRPr="003B4362" w:rsidRDefault="00B50A91" w:rsidP="001B6EEE">
      <w:pPr>
        <w:ind w:left="2160" w:hanging="720"/>
        <w:rPr>
          <w:rFonts w:eastAsia="Calibri"/>
        </w:rPr>
      </w:pPr>
      <w:r w:rsidRPr="003B4362">
        <w:rPr>
          <w:rFonts w:eastAsia="Calibri"/>
        </w:rPr>
        <w:t>3)</w:t>
      </w:r>
      <w:r w:rsidRPr="003B4362">
        <w:rPr>
          <w:rFonts w:eastAsia="Calibri"/>
        </w:rPr>
        <w:tab/>
        <w:t>A supplier that must evaluate the effectiveness of corrosion control treatments under Section 611.1352(c) must provide the information Section 611.1352(c) requires.</w:t>
      </w:r>
    </w:p>
    <w:p w14:paraId="2EEBC764" w14:textId="77777777" w:rsidR="001B6EEE" w:rsidRDefault="001B6EEE" w:rsidP="001B6EEE">
      <w:pPr>
        <w:ind w:left="2160" w:hanging="720"/>
        <w:rPr>
          <w:rFonts w:eastAsia="Calibri"/>
        </w:rPr>
      </w:pPr>
    </w:p>
    <w:p w14:paraId="18060A91" w14:textId="4D50C6E9" w:rsidR="00B50A91" w:rsidRPr="003B4362" w:rsidRDefault="00B50A91" w:rsidP="001B6EEE">
      <w:pPr>
        <w:ind w:left="2160" w:hanging="720"/>
        <w:rPr>
          <w:rFonts w:eastAsia="Calibri"/>
        </w:rPr>
      </w:pPr>
      <w:r w:rsidRPr="003B4362">
        <w:rPr>
          <w:rFonts w:eastAsia="Calibri"/>
        </w:rPr>
        <w:t>4)</w:t>
      </w:r>
      <w:r w:rsidRPr="003B4362">
        <w:rPr>
          <w:rFonts w:eastAsia="Calibri"/>
        </w:rPr>
        <w:tab/>
        <w:t>A supplier that must install optimal corrosion control the Agency approves under Section 611.1352(d) must provide a copy of the Agency permit letter, which acts as certification that the supplier completed installing the permitted treatment.</w:t>
      </w:r>
    </w:p>
    <w:p w14:paraId="74EAA3BA" w14:textId="77777777" w:rsidR="001B6EEE" w:rsidRDefault="001B6EEE" w:rsidP="001B6EEE">
      <w:pPr>
        <w:ind w:left="1440" w:hanging="720"/>
        <w:rPr>
          <w:rFonts w:eastAsia="Calibri"/>
        </w:rPr>
      </w:pPr>
    </w:p>
    <w:p w14:paraId="3AD023EF" w14:textId="264D0CA4" w:rsidR="00B50A91" w:rsidRPr="003B4362" w:rsidRDefault="00B50A91" w:rsidP="001B6EEE">
      <w:pPr>
        <w:ind w:left="1440" w:hanging="720"/>
        <w:rPr>
          <w:rFonts w:eastAsia="Calibri"/>
        </w:rPr>
      </w:pPr>
      <w:r w:rsidRPr="003B4362">
        <w:rPr>
          <w:rFonts w:eastAsia="Calibri"/>
        </w:rPr>
        <w:t>d)</w:t>
      </w:r>
      <w:r w:rsidRPr="003B4362">
        <w:rPr>
          <w:rFonts w:eastAsia="Calibri"/>
        </w:rPr>
        <w:tab/>
        <w:t>Reporting for Source Water Treatment.  Before the applicable dates in Section 611.1353, a supplier must provide certain information to the Agency:</w:t>
      </w:r>
    </w:p>
    <w:p w14:paraId="2A5BA1F5" w14:textId="77777777" w:rsidR="001B6EEE" w:rsidRDefault="001B6EEE" w:rsidP="001B6EEE">
      <w:pPr>
        <w:ind w:left="2160" w:hanging="720"/>
        <w:rPr>
          <w:rFonts w:eastAsia="Calibri"/>
        </w:rPr>
      </w:pPr>
    </w:p>
    <w:p w14:paraId="5DFF57B2" w14:textId="68980097" w:rsidR="00B50A91" w:rsidRPr="003B4362" w:rsidRDefault="00B50A91" w:rsidP="001B6EEE">
      <w:pPr>
        <w:ind w:left="2160" w:hanging="720"/>
        <w:rPr>
          <w:rFonts w:eastAsia="Calibri"/>
        </w:rPr>
      </w:pPr>
      <w:r w:rsidRPr="003B4362">
        <w:rPr>
          <w:rFonts w:eastAsia="Calibri"/>
        </w:rPr>
        <w:t>1)</w:t>
      </w:r>
      <w:r w:rsidRPr="003B4362">
        <w:rPr>
          <w:rFonts w:eastAsia="Calibri"/>
        </w:rPr>
        <w:tab/>
        <w:t>If Section 611.1353(b)(1) requires, the supplier must provide its recommendation on source water treatment; or</w:t>
      </w:r>
    </w:p>
    <w:p w14:paraId="5E2C0B56" w14:textId="77777777" w:rsidR="001B6EEE" w:rsidRDefault="001B6EEE" w:rsidP="001B6EEE">
      <w:pPr>
        <w:ind w:left="2160" w:hanging="720"/>
        <w:rPr>
          <w:rFonts w:eastAsia="Calibri"/>
        </w:rPr>
      </w:pPr>
    </w:p>
    <w:p w14:paraId="27D439A2" w14:textId="18610C92" w:rsidR="00B50A91" w:rsidRPr="003B4362" w:rsidRDefault="00B50A91" w:rsidP="001B6EEE">
      <w:pPr>
        <w:ind w:left="2160" w:hanging="720"/>
        <w:rPr>
          <w:rFonts w:eastAsia="Calibri"/>
        </w:rPr>
      </w:pPr>
      <w:r w:rsidRPr="003B4362">
        <w:rPr>
          <w:rFonts w:eastAsia="Calibri"/>
        </w:rPr>
        <w:t>2)</w:t>
      </w:r>
      <w:r w:rsidRPr="003B4362">
        <w:rPr>
          <w:rFonts w:eastAsia="Calibri"/>
        </w:rPr>
        <w:tab/>
        <w:t>A supplier that must install source water treatment under Section 611.1353(b)(2) must provide a copy of the Agency permit letter, which acts as certification that the supplier completed installing the Agency-approved treatment within 24 months after Agency approval.</w:t>
      </w:r>
    </w:p>
    <w:p w14:paraId="73D9ED5E" w14:textId="77777777" w:rsidR="001B6EEE" w:rsidRDefault="001B6EEE" w:rsidP="001B6EEE">
      <w:pPr>
        <w:ind w:left="1440" w:hanging="720"/>
        <w:rPr>
          <w:rFonts w:eastAsia="Calibri"/>
        </w:rPr>
      </w:pPr>
    </w:p>
    <w:p w14:paraId="13B3B9E5" w14:textId="5ABBDB53" w:rsidR="00B50A91" w:rsidRPr="003B4362" w:rsidRDefault="00B50A91" w:rsidP="001B6EEE">
      <w:pPr>
        <w:ind w:left="1440" w:hanging="720"/>
        <w:rPr>
          <w:rFonts w:eastAsia="Calibri"/>
        </w:rPr>
      </w:pPr>
      <w:r w:rsidRPr="003B4362">
        <w:rPr>
          <w:rFonts w:eastAsia="Calibri"/>
        </w:rPr>
        <w:t>e)</w:t>
      </w:r>
      <w:r w:rsidRPr="003B4362">
        <w:rPr>
          <w:rFonts w:eastAsia="Calibri"/>
        </w:rPr>
        <w:tab/>
        <w:t>Reporting for Lead Service Line Replacement.  A supplier must report certain information to the Agency demonstrating it complies with Section 611.1354:</w:t>
      </w:r>
    </w:p>
    <w:p w14:paraId="2765F4B7" w14:textId="77777777" w:rsidR="001B6EEE" w:rsidRDefault="001B6EEE" w:rsidP="001B6EEE">
      <w:pPr>
        <w:ind w:left="2160" w:hanging="720"/>
        <w:rPr>
          <w:rFonts w:eastAsia="Calibri"/>
        </w:rPr>
      </w:pPr>
    </w:p>
    <w:p w14:paraId="70EF48F3" w14:textId="0A7436C6" w:rsidR="00B50A91" w:rsidRPr="003B4362" w:rsidRDefault="00B50A91" w:rsidP="001B6EEE">
      <w:pPr>
        <w:ind w:left="2160" w:hanging="720"/>
        <w:rPr>
          <w:rFonts w:eastAsia="Calibri"/>
        </w:rPr>
      </w:pPr>
      <w:r w:rsidRPr="003B4362">
        <w:rPr>
          <w:rFonts w:eastAsia="Calibri"/>
        </w:rPr>
        <w:t>1)</w:t>
      </w:r>
      <w:r w:rsidRPr="003B4362">
        <w:rPr>
          <w:rFonts w:eastAsia="Calibri"/>
        </w:rPr>
        <w:tab/>
        <w:t>No later than 12 months after the end of a monitoring period during which a supplier exceeds the lead action level in sampling under Section 611.1354(a), the supplier must submit documents to the Agency:</w:t>
      </w:r>
    </w:p>
    <w:p w14:paraId="31AE5037" w14:textId="77777777" w:rsidR="001B6EEE" w:rsidRDefault="001B6EEE" w:rsidP="001B6EEE">
      <w:pPr>
        <w:ind w:left="2880" w:hanging="720"/>
        <w:rPr>
          <w:rFonts w:eastAsia="Calibri"/>
        </w:rPr>
      </w:pPr>
    </w:p>
    <w:p w14:paraId="26CE8C6A" w14:textId="0D69DF75" w:rsidR="00B50A91" w:rsidRPr="003B4362" w:rsidRDefault="00B50A91" w:rsidP="001B6EEE">
      <w:pPr>
        <w:ind w:left="2880" w:hanging="720"/>
        <w:rPr>
          <w:rFonts w:eastAsia="Calibri"/>
        </w:rPr>
      </w:pPr>
      <w:r w:rsidRPr="003B4362">
        <w:rPr>
          <w:rFonts w:eastAsia="Calibri"/>
        </w:rPr>
        <w:t>A)</w:t>
      </w:r>
      <w:r w:rsidRPr="003B4362">
        <w:rPr>
          <w:rFonts w:eastAsia="Calibri"/>
        </w:rPr>
        <w:tab/>
        <w:t>The material evaluation the supplier conducted as Section 611.1356(a) requires;</w:t>
      </w:r>
    </w:p>
    <w:p w14:paraId="73AB71CC" w14:textId="77777777" w:rsidR="001B6EEE" w:rsidRDefault="001B6EEE" w:rsidP="001B6EEE">
      <w:pPr>
        <w:ind w:left="2880" w:hanging="720"/>
        <w:rPr>
          <w:rFonts w:eastAsia="Calibri"/>
        </w:rPr>
      </w:pPr>
    </w:p>
    <w:p w14:paraId="5CED74FB" w14:textId="0748171D" w:rsidR="00B50A91" w:rsidRPr="003B4362" w:rsidRDefault="00B50A91" w:rsidP="001B6EEE">
      <w:pPr>
        <w:ind w:left="2880" w:hanging="720"/>
        <w:rPr>
          <w:rFonts w:eastAsia="Calibri"/>
        </w:rPr>
      </w:pPr>
      <w:r w:rsidRPr="003B4362">
        <w:rPr>
          <w:rFonts w:eastAsia="Calibri"/>
        </w:rPr>
        <w:t>B)</w:t>
      </w:r>
      <w:r w:rsidRPr="003B4362">
        <w:rPr>
          <w:rFonts w:eastAsia="Calibri"/>
        </w:rPr>
        <w:tab/>
        <w:t>Identify the initial number of lead service lines in its distribution system at the time the supplier exceeds the lead action level;</w:t>
      </w:r>
      <w:r w:rsidRPr="003B4362">
        <w:rPr>
          <w:rFonts w:eastAsia="Calibri"/>
          <w:spacing w:val="-3"/>
        </w:rPr>
        <w:t xml:space="preserve"> and</w:t>
      </w:r>
    </w:p>
    <w:p w14:paraId="244E35A3" w14:textId="77777777" w:rsidR="001B6EEE" w:rsidRDefault="001B6EEE" w:rsidP="001B6EEE">
      <w:pPr>
        <w:ind w:left="2880" w:hanging="720"/>
        <w:rPr>
          <w:rFonts w:eastAsia="Calibri"/>
        </w:rPr>
      </w:pPr>
    </w:p>
    <w:p w14:paraId="1CAD9D0C" w14:textId="13399D24" w:rsidR="00B50A91" w:rsidRPr="003B4362" w:rsidRDefault="00B50A91" w:rsidP="001B6EEE">
      <w:pPr>
        <w:ind w:left="2880" w:hanging="720"/>
        <w:rPr>
          <w:rFonts w:eastAsia="Calibri"/>
        </w:rPr>
      </w:pPr>
      <w:r w:rsidRPr="003B4362">
        <w:rPr>
          <w:rFonts w:eastAsia="Calibri"/>
        </w:rPr>
        <w:t>C)</w:t>
      </w:r>
      <w:r w:rsidRPr="003B4362">
        <w:rPr>
          <w:rFonts w:eastAsia="Calibri"/>
        </w:rPr>
        <w:tab/>
        <w:t>The supplier’s schedule for annually replacing at least seven percent of the initial number of lead service lines in its distribution system.</w:t>
      </w:r>
    </w:p>
    <w:p w14:paraId="469B9610" w14:textId="77777777" w:rsidR="001B6EEE" w:rsidRDefault="001B6EEE" w:rsidP="001B6EEE">
      <w:pPr>
        <w:ind w:left="2160" w:hanging="720"/>
        <w:rPr>
          <w:rFonts w:eastAsia="Calibri"/>
        </w:rPr>
      </w:pPr>
    </w:p>
    <w:p w14:paraId="4B6EA35C" w14:textId="676C7399" w:rsidR="00B50A91" w:rsidRPr="003B4362" w:rsidRDefault="00B50A91" w:rsidP="001B6EEE">
      <w:pPr>
        <w:ind w:left="2160" w:hanging="720"/>
        <w:rPr>
          <w:rFonts w:eastAsia="Calibri"/>
        </w:rPr>
      </w:pPr>
      <w:r w:rsidRPr="003B4362">
        <w:rPr>
          <w:rFonts w:eastAsia="Calibri"/>
        </w:rPr>
        <w:t>2)</w:t>
      </w:r>
      <w:r w:rsidRPr="003B4362">
        <w:rPr>
          <w:rFonts w:eastAsia="Calibri"/>
        </w:rPr>
        <w:tab/>
        <w:t>No later than 12 months after the end of a monitoring period during which a supplier exceeds the lead action level in monitoring under Section 611.1354(a) and every 12 months after that, the supplier must demonstrate either of two things to the Agency in writing:</w:t>
      </w:r>
    </w:p>
    <w:p w14:paraId="6CBF4C84" w14:textId="77777777" w:rsidR="001B6EEE" w:rsidRDefault="001B6EEE" w:rsidP="001B6EEE">
      <w:pPr>
        <w:ind w:left="2880" w:hanging="720"/>
        <w:rPr>
          <w:rFonts w:eastAsia="Calibri"/>
        </w:rPr>
      </w:pPr>
    </w:p>
    <w:p w14:paraId="6E7DDDA1" w14:textId="59D8C9B7" w:rsidR="00B50A91" w:rsidRPr="003B4362" w:rsidRDefault="00B50A91" w:rsidP="001B6EEE">
      <w:pPr>
        <w:ind w:left="2880" w:hanging="720"/>
        <w:rPr>
          <w:rFonts w:eastAsia="Calibri"/>
        </w:rPr>
      </w:pPr>
      <w:r w:rsidRPr="003B4362">
        <w:rPr>
          <w:rFonts w:eastAsia="Calibri"/>
        </w:rPr>
        <w:t>A)</w:t>
      </w:r>
      <w:r w:rsidRPr="003B4362">
        <w:rPr>
          <w:rFonts w:eastAsia="Calibri"/>
        </w:rPr>
        <w:tab/>
        <w:t>That the supplier replaced at least seven percent of the initial number of lead service lines in its distribution system during the previous 12 months (or any greater number of lines the Agency specifies under Section 611.1354(e));</w:t>
      </w:r>
      <w:r w:rsidRPr="003B4362">
        <w:rPr>
          <w:rFonts w:eastAsia="Calibri"/>
          <w:spacing w:val="-3"/>
        </w:rPr>
        <w:t xml:space="preserve"> or</w:t>
      </w:r>
    </w:p>
    <w:p w14:paraId="2336D8A9" w14:textId="77777777" w:rsidR="001B6EEE" w:rsidRDefault="001B6EEE" w:rsidP="001B6EEE">
      <w:pPr>
        <w:ind w:left="2880" w:hanging="720"/>
        <w:rPr>
          <w:rFonts w:eastAsia="Calibri"/>
        </w:rPr>
      </w:pPr>
    </w:p>
    <w:p w14:paraId="6DAC6831" w14:textId="01E75865" w:rsidR="00B50A91" w:rsidRPr="003B4362" w:rsidRDefault="00B50A91" w:rsidP="001B6EEE">
      <w:pPr>
        <w:ind w:left="2880" w:hanging="720"/>
        <w:rPr>
          <w:rFonts w:eastAsia="Calibri"/>
        </w:rPr>
      </w:pPr>
      <w:r w:rsidRPr="003B4362">
        <w:rPr>
          <w:rFonts w:eastAsia="Calibri"/>
        </w:rPr>
        <w:t>B)</w:t>
      </w:r>
      <w:r w:rsidRPr="003B4362">
        <w:rPr>
          <w:rFonts w:eastAsia="Calibri"/>
        </w:rPr>
        <w:tab/>
        <w:t>That the supplier conducted sampling demonstrating that the lead concentration in all service line samples from individual lines under Section 611.1356(b)(3) is less than or equal to 0.015 mg/</w:t>
      </w:r>
      <w:r w:rsidR="006E262B" w:rsidRPr="003B4362">
        <w:t>L</w:t>
      </w:r>
      <w:r w:rsidRPr="003B4362">
        <w:rPr>
          <w:rFonts w:eastAsia="Calibri"/>
        </w:rPr>
        <w:t xml:space="preserve">.  This requires that the total number of lines that the supplier replaced, combined with the total number meeting the criteria of Section 611.1354(c), must equal at least seven percent of the initial </w:t>
      </w:r>
      <w:r w:rsidRPr="003B4362">
        <w:rPr>
          <w:rFonts w:eastAsia="Calibri"/>
        </w:rPr>
        <w:lastRenderedPageBreak/>
        <w:t>number of lead lines the supplier identified under subsection (e)(1) (or the percentage the Agency specifies under Section 611.1354(e)).</w:t>
      </w:r>
    </w:p>
    <w:p w14:paraId="69A92B54" w14:textId="77777777" w:rsidR="001B6EEE" w:rsidRDefault="001B6EEE" w:rsidP="001B6EEE">
      <w:pPr>
        <w:ind w:left="2160" w:hanging="720"/>
        <w:rPr>
          <w:rFonts w:eastAsia="Calibri"/>
        </w:rPr>
      </w:pPr>
    </w:p>
    <w:p w14:paraId="0A25FFA3" w14:textId="0A228731" w:rsidR="00B50A91" w:rsidRPr="003B4362" w:rsidRDefault="00B50A91" w:rsidP="001B6EEE">
      <w:pPr>
        <w:ind w:left="2160" w:hanging="720"/>
        <w:rPr>
          <w:rFonts w:eastAsia="Calibri"/>
        </w:rPr>
      </w:pPr>
      <w:r w:rsidRPr="003B4362">
        <w:rPr>
          <w:rFonts w:eastAsia="Calibri"/>
        </w:rPr>
        <w:t>3)</w:t>
      </w:r>
      <w:r w:rsidRPr="003B4362">
        <w:rPr>
          <w:rFonts w:eastAsia="Calibri"/>
        </w:rPr>
        <w:tab/>
        <w:t>The annual letter the supplier submits to the Agency under subsection (e)(2) must contain certain information:</w:t>
      </w:r>
    </w:p>
    <w:p w14:paraId="2E4CB0E6" w14:textId="77777777" w:rsidR="001B6EEE" w:rsidRDefault="001B6EEE" w:rsidP="001B6EEE">
      <w:pPr>
        <w:ind w:left="2880" w:hanging="720"/>
        <w:rPr>
          <w:rFonts w:eastAsia="Calibri"/>
        </w:rPr>
      </w:pPr>
    </w:p>
    <w:p w14:paraId="6ECCCFFA" w14:textId="19F02F20" w:rsidR="00B50A91" w:rsidRPr="003B4362" w:rsidRDefault="00B50A91" w:rsidP="001B6EEE">
      <w:pPr>
        <w:ind w:left="2880" w:hanging="720"/>
        <w:rPr>
          <w:rFonts w:eastAsia="Calibri"/>
        </w:rPr>
      </w:pPr>
      <w:r w:rsidRPr="003B4362">
        <w:rPr>
          <w:rFonts w:eastAsia="Calibri"/>
        </w:rPr>
        <w:t>A)</w:t>
      </w:r>
      <w:r w:rsidRPr="003B4362">
        <w:rPr>
          <w:rFonts w:eastAsia="Calibri"/>
        </w:rPr>
        <w:tab/>
        <w:t>The number of lead service lines the supplier originally scheduled to replace be replaced during the previous year of its replacement schedule;</w:t>
      </w:r>
    </w:p>
    <w:p w14:paraId="4642765A" w14:textId="77777777" w:rsidR="001B6EEE" w:rsidRDefault="001B6EEE" w:rsidP="001B6EEE">
      <w:pPr>
        <w:ind w:left="2880" w:hanging="720"/>
        <w:rPr>
          <w:rFonts w:eastAsia="Calibri"/>
        </w:rPr>
      </w:pPr>
    </w:p>
    <w:p w14:paraId="425399C3" w14:textId="4F2B2BF7" w:rsidR="00B50A91" w:rsidRPr="003B4362" w:rsidRDefault="00B50A91" w:rsidP="001B6EEE">
      <w:pPr>
        <w:ind w:left="2880" w:hanging="720"/>
        <w:rPr>
          <w:rFonts w:eastAsia="Calibri"/>
        </w:rPr>
      </w:pPr>
      <w:r w:rsidRPr="003B4362">
        <w:rPr>
          <w:rFonts w:eastAsia="Calibri"/>
        </w:rPr>
        <w:t>B)</w:t>
      </w:r>
      <w:r w:rsidRPr="003B4362">
        <w:rPr>
          <w:rFonts w:eastAsia="Calibri"/>
        </w:rPr>
        <w:tab/>
        <w:t>The number and location of each lead service line the supplier actually replaced during the previous year of its replacement schedule; and</w:t>
      </w:r>
    </w:p>
    <w:p w14:paraId="2019D095" w14:textId="77777777" w:rsidR="001B6EEE" w:rsidRDefault="001B6EEE" w:rsidP="001B6EEE">
      <w:pPr>
        <w:ind w:left="2880" w:hanging="720"/>
        <w:rPr>
          <w:rFonts w:eastAsia="Calibri"/>
        </w:rPr>
      </w:pPr>
    </w:p>
    <w:p w14:paraId="1C3EB611" w14:textId="7EC32971" w:rsidR="00B50A91" w:rsidRPr="003B4362" w:rsidRDefault="00B50A91" w:rsidP="001B6EEE">
      <w:pPr>
        <w:ind w:left="2880" w:hanging="720"/>
        <w:rPr>
          <w:rFonts w:eastAsia="Calibri"/>
        </w:rPr>
      </w:pPr>
      <w:r w:rsidRPr="003B4362">
        <w:rPr>
          <w:rFonts w:eastAsia="Calibri"/>
        </w:rPr>
        <w:t>C)</w:t>
      </w:r>
      <w:r w:rsidRPr="003B4362">
        <w:rPr>
          <w:rFonts w:eastAsia="Calibri"/>
        </w:rPr>
        <w:tab/>
        <w:t>If measured, the tap water lead concentration from each lead service line the supplier sampled under Section 611.1356(b)(3), the location of each lead service line sampled, the sampling method used, and the sampling date.</w:t>
      </w:r>
    </w:p>
    <w:p w14:paraId="21DAAC03" w14:textId="77777777" w:rsidR="001B6EEE" w:rsidRDefault="001B6EEE" w:rsidP="001B6EEE">
      <w:pPr>
        <w:ind w:left="2160" w:hanging="720"/>
        <w:rPr>
          <w:rFonts w:eastAsia="Calibri"/>
        </w:rPr>
      </w:pPr>
    </w:p>
    <w:p w14:paraId="2CDB770E" w14:textId="1963B9C6" w:rsidR="00B50A91" w:rsidRPr="003B4362" w:rsidRDefault="00B50A91" w:rsidP="001B6EEE">
      <w:pPr>
        <w:ind w:left="2160" w:hanging="720"/>
        <w:rPr>
          <w:rFonts w:eastAsia="Calibri"/>
        </w:rPr>
      </w:pPr>
      <w:r w:rsidRPr="003B4362">
        <w:rPr>
          <w:rFonts w:eastAsia="Calibri"/>
        </w:rPr>
        <w:t>4)</w:t>
      </w:r>
      <w:r w:rsidRPr="003B4362">
        <w:rPr>
          <w:rFonts w:eastAsia="Calibri"/>
        </w:rPr>
        <w:tab/>
        <w:t>Any supplier collecting lead service line samples following partial lead service line replacement Section 611.1354 requires must report the results to the Agency before the tenth day of the next month after the supplier receives the laboratory results or as the Agency specifies in a SEP.  The Agency may issue a SEP waiv</w:t>
      </w:r>
      <w:r w:rsidR="006A5D4D" w:rsidRPr="003B4362">
        <w:rPr>
          <w:rFonts w:eastAsia="Calibri"/>
        </w:rPr>
        <w:t>ing</w:t>
      </w:r>
      <w:r w:rsidRPr="003B4362">
        <w:rPr>
          <w:rFonts w:eastAsia="Calibri"/>
        </w:rPr>
        <w:t xml:space="preserve"> the supplier reporting these monitoring results.  A supplier must also report any additional information the Agency specifies in a time and manner the Agency prescribes to verify that the supplier completed all partial lead service line replacement activities.</w:t>
      </w:r>
    </w:p>
    <w:p w14:paraId="3C402617" w14:textId="77777777" w:rsidR="001B6EEE" w:rsidRDefault="001B6EEE" w:rsidP="001B6EEE">
      <w:pPr>
        <w:ind w:left="1440" w:hanging="720"/>
        <w:rPr>
          <w:rFonts w:eastAsia="Calibri"/>
        </w:rPr>
      </w:pPr>
    </w:p>
    <w:p w14:paraId="7A73157F" w14:textId="5D05A2B7" w:rsidR="00B50A91" w:rsidRPr="003B4362" w:rsidRDefault="00B50A91" w:rsidP="001B6EEE">
      <w:pPr>
        <w:ind w:left="1440" w:hanging="720"/>
        <w:rPr>
          <w:rFonts w:eastAsia="Calibri"/>
        </w:rPr>
      </w:pPr>
      <w:r w:rsidRPr="003B4362">
        <w:rPr>
          <w:rFonts w:eastAsia="Calibri"/>
        </w:rPr>
        <w:t>f)</w:t>
      </w:r>
      <w:r w:rsidRPr="003B4362">
        <w:rPr>
          <w:rFonts w:eastAsia="Calibri"/>
        </w:rPr>
        <w:tab/>
        <w:t>Reporting for Public Education Program</w:t>
      </w:r>
    </w:p>
    <w:p w14:paraId="5E6650D6" w14:textId="77777777" w:rsidR="001B6EEE" w:rsidRDefault="001B6EEE" w:rsidP="001B6EEE">
      <w:pPr>
        <w:ind w:left="2160" w:hanging="720"/>
        <w:rPr>
          <w:rFonts w:eastAsia="Calibri"/>
        </w:rPr>
      </w:pPr>
    </w:p>
    <w:p w14:paraId="2C0C98EE" w14:textId="04021182" w:rsidR="00B50A91" w:rsidRPr="003B4362" w:rsidRDefault="00B50A91" w:rsidP="001B6EEE">
      <w:pPr>
        <w:ind w:left="2160" w:hanging="720"/>
        <w:rPr>
          <w:rFonts w:eastAsia="Calibri"/>
        </w:rPr>
      </w:pPr>
      <w:r w:rsidRPr="003B4362">
        <w:rPr>
          <w:rFonts w:eastAsia="Calibri"/>
        </w:rPr>
        <w:t>1)</w:t>
      </w:r>
      <w:r w:rsidRPr="003B4362">
        <w:rPr>
          <w:rFonts w:eastAsia="Calibri"/>
        </w:rPr>
        <w:tab/>
        <w:t>A supplier subject to Section 611.1355 must send documents to the Agency containing certain items within ten days after the end of each period in which the supplier must perform public education under Section 611.1355(b):</w:t>
      </w:r>
    </w:p>
    <w:p w14:paraId="7F50770D" w14:textId="77777777" w:rsidR="001B6EEE" w:rsidRDefault="001B6EEE" w:rsidP="001B6EEE">
      <w:pPr>
        <w:ind w:left="2880" w:hanging="720"/>
        <w:rPr>
          <w:rFonts w:eastAsia="Calibri"/>
        </w:rPr>
      </w:pPr>
    </w:p>
    <w:p w14:paraId="7A53BC99" w14:textId="16380CD1" w:rsidR="00B50A91" w:rsidRPr="003B4362" w:rsidRDefault="00B50A91" w:rsidP="001B6EEE">
      <w:pPr>
        <w:ind w:left="2880" w:hanging="720"/>
        <w:rPr>
          <w:rFonts w:eastAsia="Calibri"/>
        </w:rPr>
      </w:pPr>
      <w:r w:rsidRPr="003B4362">
        <w:rPr>
          <w:rFonts w:eastAsia="Calibri"/>
        </w:rPr>
        <w:t>A)</w:t>
      </w:r>
      <w:r w:rsidRPr="003B4362">
        <w:rPr>
          <w:rFonts w:eastAsia="Calibri"/>
        </w:rPr>
        <w:tab/>
        <w:t>Documents showing that the supplier delivered the public education materials complying with the content requirements in Sections 611.1355(a) and the delivery requirements in Section 611.1355(b); and</w:t>
      </w:r>
    </w:p>
    <w:p w14:paraId="50309C39" w14:textId="77777777" w:rsidR="001B6EEE" w:rsidRDefault="001B6EEE" w:rsidP="001B6EEE">
      <w:pPr>
        <w:ind w:left="2880" w:hanging="720"/>
        <w:rPr>
          <w:rFonts w:eastAsia="Calibri"/>
        </w:rPr>
      </w:pPr>
    </w:p>
    <w:p w14:paraId="79772720" w14:textId="4CF438B7" w:rsidR="00B50A91" w:rsidRPr="003B4362" w:rsidRDefault="00B50A91" w:rsidP="001B6EEE">
      <w:pPr>
        <w:ind w:left="2880" w:hanging="720"/>
        <w:rPr>
          <w:rFonts w:eastAsia="Calibri"/>
        </w:rPr>
      </w:pPr>
      <w:r w:rsidRPr="003B4362">
        <w:rPr>
          <w:rFonts w:eastAsia="Calibri"/>
        </w:rPr>
        <w:t>B)</w:t>
      </w:r>
      <w:r w:rsidRPr="003B4362">
        <w:rPr>
          <w:rFonts w:eastAsia="Calibri"/>
        </w:rPr>
        <w:tab/>
        <w:t xml:space="preserve">A list of all newspapers, radio stations, television stations, and facilities and organizations to which the supplier delivered public education materials when this Subpart </w:t>
      </w:r>
      <w:r w:rsidR="00DE2C0D" w:rsidRPr="003B4362">
        <w:rPr>
          <w:rFonts w:eastAsia="Calibri"/>
        </w:rPr>
        <w:t>A</w:t>
      </w:r>
      <w:r w:rsidRPr="003B4362">
        <w:rPr>
          <w:rFonts w:eastAsia="Calibri"/>
        </w:rPr>
        <w:t>G required the supplier to perform public education tasks.</w:t>
      </w:r>
    </w:p>
    <w:p w14:paraId="5A5DD051" w14:textId="77777777" w:rsidR="001B6EEE" w:rsidRDefault="001B6EEE" w:rsidP="001B6EEE">
      <w:pPr>
        <w:ind w:left="2160" w:hanging="720"/>
        <w:rPr>
          <w:rFonts w:eastAsia="Calibri"/>
        </w:rPr>
      </w:pPr>
    </w:p>
    <w:p w14:paraId="6B24E60B" w14:textId="73E60514" w:rsidR="00B50A91" w:rsidRPr="003B4362" w:rsidRDefault="00B50A91" w:rsidP="001B6EEE">
      <w:pPr>
        <w:ind w:left="2160" w:hanging="720"/>
        <w:rPr>
          <w:rFonts w:eastAsia="Calibri"/>
        </w:rPr>
      </w:pPr>
      <w:r w:rsidRPr="003B4362">
        <w:rPr>
          <w:rFonts w:eastAsia="Calibri"/>
        </w:rPr>
        <w:t>2)</w:t>
      </w:r>
      <w:r w:rsidRPr="003B4362">
        <w:rPr>
          <w:rFonts w:eastAsia="Calibri"/>
        </w:rPr>
        <w:tab/>
        <w:t>Unless the Agency issues a SEP requiring a supplier to do so, a supplier that previously submitted the information subsection (f)(1)(B) requires need not resubmit the information subsection (f)(1)(B) requires, as long as no changes in the distribution list occurred, and the supplier certifies that it distributed the public education materials to the same list the supplier previously submitted.</w:t>
      </w:r>
    </w:p>
    <w:p w14:paraId="1163DF2F" w14:textId="77777777" w:rsidR="001B6EEE" w:rsidRDefault="001B6EEE" w:rsidP="001B6EEE">
      <w:pPr>
        <w:ind w:left="2160" w:hanging="720"/>
        <w:rPr>
          <w:rFonts w:eastAsia="Calibri"/>
        </w:rPr>
      </w:pPr>
    </w:p>
    <w:p w14:paraId="019A11BC" w14:textId="5C0D9D99" w:rsidR="00B50A91" w:rsidRPr="003B4362" w:rsidRDefault="00B50A91" w:rsidP="001B6EEE">
      <w:pPr>
        <w:ind w:left="2160" w:hanging="720"/>
        <w:rPr>
          <w:rFonts w:eastAsia="Calibri"/>
        </w:rPr>
      </w:pPr>
      <w:r w:rsidRPr="003B4362">
        <w:rPr>
          <w:rFonts w:eastAsia="Calibri"/>
        </w:rPr>
        <w:t>3)</w:t>
      </w:r>
      <w:r w:rsidRPr="003B4362">
        <w:rPr>
          <w:rFonts w:eastAsia="Calibri"/>
        </w:rPr>
        <w:tab/>
        <w:t>No later than three months after the end of the monitoring period, each supplier must mail a sample copy of the consumer notification of tap water monitoring results to the Agency, certifying that the supplier distributed the notification in a manner complying with Section 611.1355(d).</w:t>
      </w:r>
    </w:p>
    <w:p w14:paraId="26D66A22" w14:textId="77777777" w:rsidR="001B6EEE" w:rsidRDefault="001B6EEE" w:rsidP="001B6EEE">
      <w:pPr>
        <w:ind w:left="1440" w:hanging="720"/>
        <w:rPr>
          <w:rFonts w:eastAsia="Calibri"/>
        </w:rPr>
      </w:pPr>
    </w:p>
    <w:p w14:paraId="0EA715C4" w14:textId="3F75D76E" w:rsidR="00B50A91" w:rsidRPr="003B4362" w:rsidRDefault="00B50A91" w:rsidP="001B6EEE">
      <w:pPr>
        <w:ind w:left="1440" w:hanging="720"/>
        <w:rPr>
          <w:rFonts w:eastAsia="Calibri"/>
        </w:rPr>
      </w:pPr>
      <w:r w:rsidRPr="003B4362">
        <w:rPr>
          <w:rFonts w:eastAsia="Calibri"/>
        </w:rPr>
        <w:t>g)</w:t>
      </w:r>
      <w:r w:rsidRPr="003B4362">
        <w:rPr>
          <w:rFonts w:eastAsia="Calibri"/>
        </w:rPr>
        <w:tab/>
        <w:t xml:space="preserve">Reporting Additional Monitoring Data.  Any supplier collecting sampling data </w:t>
      </w:r>
      <w:r w:rsidR="00906FAF" w:rsidRPr="003B4362">
        <w:rPr>
          <w:rFonts w:eastAsia="Calibri"/>
        </w:rPr>
        <w:t xml:space="preserve">in </w:t>
      </w:r>
      <w:r w:rsidRPr="003B4362">
        <w:rPr>
          <w:rFonts w:eastAsia="Calibri"/>
        </w:rPr>
        <w:t xml:space="preserve">addition to what this Subpart </w:t>
      </w:r>
      <w:r w:rsidR="00DE2C0D" w:rsidRPr="003B4362">
        <w:rPr>
          <w:rFonts w:eastAsia="Calibri"/>
        </w:rPr>
        <w:t>A</w:t>
      </w:r>
      <w:r w:rsidRPr="003B4362">
        <w:rPr>
          <w:rFonts w:eastAsia="Calibri"/>
        </w:rPr>
        <w:t>G requires must report those sampling data to the Agency within the first ten days following the end of the applicable sampling periods Sections 611.1356 through 611.1358 specify during which the supplier collected the samples.</w:t>
      </w:r>
    </w:p>
    <w:p w14:paraId="78F2A68F" w14:textId="77777777" w:rsidR="001B6EEE" w:rsidRDefault="001B6EEE" w:rsidP="001B6EEE">
      <w:pPr>
        <w:ind w:left="1440" w:hanging="720"/>
        <w:rPr>
          <w:rFonts w:eastAsia="Calibri"/>
        </w:rPr>
      </w:pPr>
    </w:p>
    <w:p w14:paraId="3AFACA16" w14:textId="0AB265A8" w:rsidR="00B50A91" w:rsidRPr="003B4362" w:rsidRDefault="00B50A91" w:rsidP="001B6EEE">
      <w:pPr>
        <w:ind w:left="1440" w:hanging="720"/>
        <w:rPr>
          <w:rFonts w:eastAsia="Calibri"/>
        </w:rPr>
      </w:pPr>
      <w:r w:rsidRPr="003B4362">
        <w:rPr>
          <w:rFonts w:eastAsia="Calibri"/>
        </w:rPr>
        <w:t>h)</w:t>
      </w:r>
      <w:r w:rsidRPr="003B4362">
        <w:rPr>
          <w:rFonts w:eastAsia="Calibri"/>
        </w:rPr>
        <w:tab/>
        <w:t xml:space="preserve">Reporting 90th Percentile Lead and Copper Concentrations </w:t>
      </w:r>
      <w:r w:rsidRPr="003B4362">
        <w:rPr>
          <w:rFonts w:eastAsia="Calibri"/>
          <w:spacing w:val="-3"/>
        </w:rPr>
        <w:t xml:space="preserve">If </w:t>
      </w:r>
      <w:r w:rsidRPr="003B4362">
        <w:rPr>
          <w:rFonts w:eastAsia="Calibri"/>
        </w:rPr>
        <w:t>the Agency Calculates a System’s 90th Percentile Concentrations.  A water supplier needs not report its 90th percentile lead and copper concentrations during each monitoring period, as subsection (a)(1)(D) requires, under certain circumstances:</w:t>
      </w:r>
    </w:p>
    <w:p w14:paraId="06FE014D" w14:textId="77777777" w:rsidR="001B6EEE" w:rsidRDefault="001B6EEE" w:rsidP="001B6EEE">
      <w:pPr>
        <w:ind w:left="2160" w:hanging="720"/>
        <w:rPr>
          <w:rFonts w:eastAsia="Calibri"/>
        </w:rPr>
      </w:pPr>
    </w:p>
    <w:p w14:paraId="422770B7" w14:textId="0FECB590" w:rsidR="00B50A91" w:rsidRPr="003B4362" w:rsidRDefault="00B50A91" w:rsidP="001B6EEE">
      <w:pPr>
        <w:ind w:left="2160" w:hanging="720"/>
        <w:rPr>
          <w:rFonts w:eastAsia="Calibri"/>
        </w:rPr>
      </w:pPr>
      <w:r w:rsidRPr="003B4362">
        <w:rPr>
          <w:rFonts w:eastAsia="Calibri"/>
        </w:rPr>
        <w:t>1)</w:t>
      </w:r>
      <w:r w:rsidRPr="003B4362">
        <w:rPr>
          <w:rFonts w:eastAsia="Calibri"/>
        </w:rPr>
        <w:tab/>
        <w:t>The Agency previously notified the supplier that the Agency will calculate the water system’s 90th percentile lead and copper concentrations based on the lead and copper tap results the supplier submitted under subsection (h)(2)(A), and the Agency specifies a date before the end of the applicable monitoring period when the supplier must provide the results from lead and copper tap water samples;</w:t>
      </w:r>
    </w:p>
    <w:p w14:paraId="4CFB3869" w14:textId="77777777" w:rsidR="001B6EEE" w:rsidRDefault="001B6EEE" w:rsidP="001B6EEE">
      <w:pPr>
        <w:ind w:left="2160" w:hanging="720"/>
        <w:rPr>
          <w:rFonts w:eastAsia="Calibri"/>
        </w:rPr>
      </w:pPr>
    </w:p>
    <w:p w14:paraId="7E1BFFFB" w14:textId="59848BFC" w:rsidR="00B50A91" w:rsidRPr="003B4362" w:rsidRDefault="00B50A91" w:rsidP="001B6EEE">
      <w:pPr>
        <w:ind w:left="2160" w:hanging="720"/>
        <w:rPr>
          <w:rFonts w:eastAsia="Calibri"/>
        </w:rPr>
      </w:pPr>
      <w:r w:rsidRPr="003B4362">
        <w:rPr>
          <w:rFonts w:eastAsia="Calibri"/>
        </w:rPr>
        <w:t>2)</w:t>
      </w:r>
      <w:r w:rsidRPr="003B4362">
        <w:rPr>
          <w:rFonts w:eastAsia="Calibri"/>
        </w:rPr>
        <w:tab/>
        <w:t>The supplier provides the specific information to the Agency before the date subsection (h)(1) specifies:</w:t>
      </w:r>
    </w:p>
    <w:p w14:paraId="62AEA0B6" w14:textId="77777777" w:rsidR="001B6EEE" w:rsidRDefault="001B6EEE" w:rsidP="001B6EEE">
      <w:pPr>
        <w:ind w:left="2880" w:hanging="720"/>
        <w:rPr>
          <w:rFonts w:eastAsia="Calibri"/>
        </w:rPr>
      </w:pPr>
    </w:p>
    <w:p w14:paraId="133848C8" w14:textId="5CAFE344" w:rsidR="00B50A91" w:rsidRPr="003B4362" w:rsidRDefault="00B50A91" w:rsidP="001B6EEE">
      <w:pPr>
        <w:ind w:left="2880" w:hanging="720"/>
        <w:rPr>
          <w:rFonts w:eastAsia="Calibri"/>
        </w:rPr>
      </w:pPr>
      <w:r w:rsidRPr="003B4362">
        <w:rPr>
          <w:rFonts w:eastAsia="Calibri"/>
        </w:rPr>
        <w:t>A)</w:t>
      </w:r>
      <w:r w:rsidRPr="003B4362">
        <w:rPr>
          <w:rFonts w:eastAsia="Calibri"/>
        </w:rPr>
        <w:tab/>
        <w:t>The results from of all tap water samples for lead and copper, including the location of each site and the Section 611.1356(a)(3), (a)(4), (a)(5), (a)(6), or (a)(7) criteria under which the supplier selected the site for its sampling pool under subsection (a)(1)(A); and</w:t>
      </w:r>
    </w:p>
    <w:p w14:paraId="369CF487" w14:textId="77777777" w:rsidR="001B6EEE" w:rsidRDefault="001B6EEE" w:rsidP="001B6EEE">
      <w:pPr>
        <w:ind w:left="2880" w:hanging="720"/>
        <w:rPr>
          <w:rFonts w:eastAsia="Calibri"/>
        </w:rPr>
      </w:pPr>
    </w:p>
    <w:p w14:paraId="714CD939" w14:textId="60584D5E" w:rsidR="00B50A91" w:rsidRPr="003B4362" w:rsidRDefault="00B50A91" w:rsidP="001B6EEE">
      <w:pPr>
        <w:ind w:left="2880" w:hanging="720"/>
        <w:rPr>
          <w:rFonts w:eastAsia="Calibri"/>
        </w:rPr>
      </w:pPr>
      <w:r w:rsidRPr="003B4362">
        <w:rPr>
          <w:rFonts w:eastAsia="Calibri"/>
        </w:rPr>
        <w:t>B)</w:t>
      </w:r>
      <w:r w:rsidRPr="003B4362">
        <w:rPr>
          <w:rFonts w:eastAsia="Calibri"/>
        </w:rPr>
        <w:tab/>
        <w:t>The supplier must identify sampling sites it used during the current monitoring period that it did not sample during previous monitoring periods, explaining why the supplier changed sampling sites; and</w:t>
      </w:r>
    </w:p>
    <w:p w14:paraId="2B28F7AF" w14:textId="77777777" w:rsidR="001B6EEE" w:rsidRDefault="001B6EEE" w:rsidP="001B6EEE">
      <w:pPr>
        <w:ind w:left="2160" w:hanging="720"/>
        <w:rPr>
          <w:rFonts w:eastAsia="Calibri"/>
        </w:rPr>
      </w:pPr>
    </w:p>
    <w:p w14:paraId="2C36653B" w14:textId="3E5DAFAB" w:rsidR="00B50A91" w:rsidRPr="003B4362" w:rsidRDefault="00B50A91" w:rsidP="001B6EEE">
      <w:pPr>
        <w:ind w:left="2160" w:hanging="720"/>
        <w:rPr>
          <w:rFonts w:eastAsia="Calibri"/>
        </w:rPr>
      </w:pPr>
      <w:r w:rsidRPr="003B4362">
        <w:rPr>
          <w:rFonts w:eastAsia="Calibri"/>
        </w:rPr>
        <w:lastRenderedPageBreak/>
        <w:t>3)</w:t>
      </w:r>
      <w:r w:rsidRPr="003B4362">
        <w:rPr>
          <w:rFonts w:eastAsia="Calibri"/>
        </w:rPr>
        <w:tab/>
        <w:t>The Agency provides the written results of the 90th percentile lead and copper calculations to the supplier before the end of the monitoring period.</w:t>
      </w:r>
    </w:p>
    <w:p w14:paraId="2B0DDF13" w14:textId="77777777" w:rsidR="001B6EEE" w:rsidRDefault="001B6EEE" w:rsidP="001B6EEE">
      <w:pPr>
        <w:rPr>
          <w:rFonts w:eastAsia="Calibri"/>
        </w:rPr>
      </w:pPr>
    </w:p>
    <w:p w14:paraId="3DD65649" w14:textId="5DB2AFC4" w:rsidR="00B50A91" w:rsidRPr="003B4362" w:rsidRDefault="00B50A91" w:rsidP="001B6EEE">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611.360 and </w:t>
      </w:r>
      <w:r w:rsidRPr="003B4362">
        <w:rPr>
          <w:rFonts w:eastAsia="Calibri"/>
          <w:spacing w:val="-3"/>
        </w:rPr>
        <w:t xml:space="preserve">derives </w:t>
      </w:r>
      <w:r w:rsidRPr="003B4362">
        <w:rPr>
          <w:rFonts w:eastAsia="Calibri"/>
        </w:rPr>
        <w:t>from 40 CFR 141.90</w:t>
      </w:r>
      <w:r w:rsidR="004341BB" w:rsidRPr="003B4362">
        <w:rPr>
          <w:rFonts w:eastAsia="Calibri"/>
        </w:rPr>
        <w:t xml:space="preserve"> (2020)</w:t>
      </w:r>
      <w:r w:rsidRPr="003B4362">
        <w:rPr>
          <w:rFonts w:eastAsia="Calibri"/>
        </w:rPr>
        <w:t>.</w:t>
      </w:r>
    </w:p>
    <w:p w14:paraId="305FF0BE" w14:textId="77777777" w:rsidR="001B6EEE" w:rsidRDefault="001B6EEE" w:rsidP="001B6EEE">
      <w:pPr>
        <w:suppressAutoHyphens/>
        <w:ind w:left="720"/>
        <w:rPr>
          <w:rFonts w:eastAsia="Calibri"/>
        </w:rPr>
      </w:pPr>
    </w:p>
    <w:p w14:paraId="62B8FDCB" w14:textId="755D9656" w:rsidR="00B50A91" w:rsidRDefault="00EB353D" w:rsidP="001B6EEE">
      <w:pPr>
        <w:suppressAutoHyphens/>
        <w:ind w:left="720"/>
        <w:rPr>
          <w:rFonts w:eastAsia="Calibri"/>
        </w:rPr>
      </w:pPr>
      <w:r w:rsidRPr="003B4362">
        <w:rPr>
          <w:rFonts w:eastAsia="Calibri"/>
        </w:rPr>
        <w:t>(Source:  A</w:t>
      </w:r>
      <w:r w:rsidR="003F1F0F"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225D5622" w14:textId="77777777" w:rsidR="005605D6" w:rsidRPr="003B4362" w:rsidRDefault="005605D6" w:rsidP="001B6EEE">
      <w:pPr>
        <w:suppressAutoHyphens/>
        <w:ind w:left="720"/>
        <w:rPr>
          <w:rFonts w:eastAsia="Calibri"/>
        </w:rPr>
      </w:pPr>
    </w:p>
    <w:p w14:paraId="6DED3554" w14:textId="77777777" w:rsidR="00B50A91" w:rsidRPr="003B4362" w:rsidRDefault="00B50A91" w:rsidP="001B6EEE">
      <w:pPr>
        <w:rPr>
          <w:rFonts w:eastAsia="Calibri"/>
          <w:b/>
          <w:bCs/>
        </w:rPr>
      </w:pPr>
      <w:r w:rsidRPr="003B4362">
        <w:rPr>
          <w:rFonts w:eastAsia="Calibri"/>
          <w:b/>
          <w:bCs/>
        </w:rPr>
        <w:t>Section 611.1361  Recordkeeping</w:t>
      </w:r>
    </w:p>
    <w:p w14:paraId="24538459" w14:textId="77777777" w:rsidR="001B6EEE" w:rsidRDefault="001B6EEE" w:rsidP="001B6EEE">
      <w:pPr>
        <w:suppressAutoHyphens/>
        <w:rPr>
          <w:rFonts w:eastAsia="Calibri"/>
        </w:rPr>
      </w:pPr>
    </w:p>
    <w:p w14:paraId="4023B686" w14:textId="51BB9517" w:rsidR="00B50A91" w:rsidRPr="003B4362" w:rsidRDefault="00B50A91" w:rsidP="001B6EEE">
      <w:pPr>
        <w:suppressAutoHyphens/>
        <w:rPr>
          <w:rFonts w:eastAsia="Calibri"/>
        </w:rPr>
      </w:pPr>
      <w:r w:rsidRPr="003B4362">
        <w:rPr>
          <w:rFonts w:eastAsia="Calibri"/>
        </w:rPr>
        <w:t xml:space="preserve">Any supplier subject to this Subpart </w:t>
      </w:r>
      <w:r w:rsidR="006E262B" w:rsidRPr="003B4362">
        <w:rPr>
          <w:rFonts w:eastAsia="Calibri"/>
        </w:rPr>
        <w:t>A</w:t>
      </w:r>
      <w:r w:rsidRPr="003B4362">
        <w:rPr>
          <w:rFonts w:eastAsia="Calibri"/>
        </w:rPr>
        <w:t>G must retain original records of all sampling data and analyses, reports, surveys, letters, evaluations, schedules, Agency determinations, and any other information Sections 611.1351 through Section 611.1360 require.  Each supplier must retain the records this Section requires on its premises for at least 12 years.</w:t>
      </w:r>
    </w:p>
    <w:p w14:paraId="003F035A" w14:textId="77777777" w:rsidR="001B6EEE" w:rsidRDefault="001B6EEE" w:rsidP="001B6EEE">
      <w:pPr>
        <w:suppressAutoHyphens/>
        <w:rPr>
          <w:rFonts w:eastAsia="Calibri"/>
        </w:rPr>
      </w:pPr>
    </w:p>
    <w:p w14:paraId="351E18CF" w14:textId="330920E0" w:rsidR="00B50A91" w:rsidRPr="003B4362" w:rsidRDefault="00B50A91" w:rsidP="001B6EEE">
      <w:pPr>
        <w:suppressAutoHyphens/>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611.361 and </w:t>
      </w:r>
      <w:r w:rsidRPr="003B4362">
        <w:rPr>
          <w:rFonts w:eastAsia="Calibri"/>
          <w:spacing w:val="-3"/>
        </w:rPr>
        <w:t xml:space="preserve">derives </w:t>
      </w:r>
      <w:r w:rsidRPr="003B4362">
        <w:rPr>
          <w:rFonts w:eastAsia="Calibri"/>
        </w:rPr>
        <w:t>from 40 CFR 141.91</w:t>
      </w:r>
      <w:r w:rsidR="004341BB" w:rsidRPr="003B4362">
        <w:rPr>
          <w:rFonts w:eastAsia="Calibri"/>
        </w:rPr>
        <w:t xml:space="preserve"> (2020)</w:t>
      </w:r>
      <w:r w:rsidRPr="003B4362">
        <w:rPr>
          <w:rFonts w:eastAsia="Calibri"/>
        </w:rPr>
        <w:t>.</w:t>
      </w:r>
    </w:p>
    <w:p w14:paraId="48C3878A" w14:textId="77777777" w:rsidR="001B6EEE" w:rsidRDefault="001B6EEE" w:rsidP="001B6EEE">
      <w:pPr>
        <w:suppressAutoHyphens/>
        <w:ind w:left="720"/>
        <w:rPr>
          <w:rFonts w:eastAsia="Calibri"/>
        </w:rPr>
      </w:pPr>
    </w:p>
    <w:p w14:paraId="117A9B9F" w14:textId="2D13E45C" w:rsidR="003F1F0F" w:rsidRDefault="003F1F0F" w:rsidP="001B6EEE">
      <w:pPr>
        <w:suppressAutoHyphens/>
        <w:ind w:left="720"/>
        <w:rPr>
          <w:rFonts w:eastAsia="Calibri"/>
        </w:rPr>
      </w:pPr>
      <w:r w:rsidRPr="003B4362">
        <w:rPr>
          <w:rFonts w:eastAsia="Calibri"/>
        </w:rPr>
        <w:t xml:space="preserve">(Source:  Added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00439F2D" w14:textId="77777777" w:rsidR="00D60A5D" w:rsidRPr="001A7517" w:rsidRDefault="00D60A5D" w:rsidP="00D60A5D">
      <w:pPr>
        <w:keepNext/>
        <w:keepLines/>
        <w:suppressAutoHyphens/>
        <w:spacing w:before="240" w:after="240"/>
        <w:rPr>
          <w:b/>
        </w:rPr>
      </w:pPr>
      <w:r w:rsidRPr="001A7517">
        <w:rPr>
          <w:b/>
        </w:rPr>
        <w:t xml:space="preserve">Section </w:t>
      </w:r>
      <w:bookmarkStart w:id="4551" w:name="_Hlk27063397"/>
      <w:r w:rsidRPr="001A7517">
        <w:rPr>
          <w:b/>
        </w:rPr>
        <w:t>611.APPENDIX A</w:t>
      </w:r>
      <w:bookmarkEnd w:id="4551"/>
      <w:r w:rsidRPr="001A7517">
        <w:rPr>
          <w:b/>
        </w:rPr>
        <w:t xml:space="preserve">  Regulated Contaminants</w:t>
      </w:r>
    </w:p>
    <w:p w14:paraId="3D3E25B0" w14:textId="77777777" w:rsidR="00D60A5D" w:rsidRPr="001A7517" w:rsidRDefault="00D60A5D" w:rsidP="00D60A5D">
      <w:pPr>
        <w:spacing w:after="240"/>
      </w:pPr>
      <w:r w:rsidRPr="001A7517">
        <w:t>Microbiological Contaminants</w:t>
      </w:r>
    </w:p>
    <w:p w14:paraId="1438AE74" w14:textId="77777777" w:rsidR="00D60A5D" w:rsidRPr="001A7517" w:rsidRDefault="00D60A5D" w:rsidP="00D60A5D">
      <w:pPr>
        <w:spacing w:before="240"/>
        <w:ind w:left="1440" w:hanging="720"/>
        <w:outlineLvl w:val="0"/>
      </w:pPr>
      <w:r w:rsidRPr="001A7517">
        <w:t>Contaminant (units):  Total Coliform Bacteria</w:t>
      </w:r>
    </w:p>
    <w:p w14:paraId="5D894E03" w14:textId="77777777" w:rsidR="00D60A5D" w:rsidRPr="001A7517" w:rsidRDefault="00D60A5D" w:rsidP="00D60A5D">
      <w:pPr>
        <w:ind w:left="1440" w:hanging="720"/>
      </w:pPr>
      <w:r w:rsidRPr="001A7517">
        <w:t xml:space="preserve">Traditional MCL in mg/ℓ:  </w:t>
      </w:r>
      <w:r w:rsidRPr="001A7517">
        <w:rPr>
          <w:szCs w:val="24"/>
        </w:rPr>
        <w:t>TT</w:t>
      </w:r>
    </w:p>
    <w:p w14:paraId="7782B9EE" w14:textId="77777777" w:rsidR="00D60A5D" w:rsidRPr="001A7517" w:rsidRDefault="00D60A5D" w:rsidP="00D60A5D">
      <w:pPr>
        <w:ind w:left="1440" w:hanging="720"/>
      </w:pPr>
      <w:r w:rsidRPr="001A7517">
        <w:t>To convert for CCR, multiply by:  —</w:t>
      </w:r>
    </w:p>
    <w:p w14:paraId="6D23CE6D" w14:textId="77777777" w:rsidR="00D60A5D" w:rsidRPr="001A7517" w:rsidRDefault="00D60A5D" w:rsidP="00D60A5D">
      <w:pPr>
        <w:ind w:left="1440" w:hanging="720"/>
      </w:pPr>
      <w:r w:rsidRPr="001A7517">
        <w:t xml:space="preserve">MCL in CCR units:  </w:t>
      </w:r>
      <w:r w:rsidRPr="001A7517">
        <w:rPr>
          <w:szCs w:val="24"/>
        </w:rPr>
        <w:t>TT</w:t>
      </w:r>
    </w:p>
    <w:p w14:paraId="11B32C41" w14:textId="77777777" w:rsidR="00D60A5D" w:rsidRPr="001A7517" w:rsidRDefault="00D60A5D" w:rsidP="00D60A5D">
      <w:pPr>
        <w:ind w:left="1440" w:hanging="720"/>
        <w:outlineLvl w:val="0"/>
      </w:pPr>
      <w:r w:rsidRPr="001A7517">
        <w:t>MCLG:  N/A</w:t>
      </w:r>
    </w:p>
    <w:p w14:paraId="21B56872" w14:textId="77777777" w:rsidR="00D60A5D" w:rsidRPr="001A7517" w:rsidRDefault="00D60A5D" w:rsidP="00D60A5D">
      <w:pPr>
        <w:ind w:left="1440" w:hanging="720"/>
      </w:pPr>
      <w:r w:rsidRPr="001A7517">
        <w:t>Major sources in drinking water:  Naturally present in the environment.</w:t>
      </w:r>
    </w:p>
    <w:p w14:paraId="4774A50C" w14:textId="77777777" w:rsidR="00D60A5D" w:rsidRPr="001A7517" w:rsidRDefault="00D60A5D" w:rsidP="00D60A5D">
      <w:pPr>
        <w:spacing w:after="240"/>
        <w:ind w:left="1440" w:hanging="720"/>
      </w:pPr>
      <w:r w:rsidRPr="001A7517">
        <w:t>Health effects language:  Use language found in Section 611.883(h)(7)(A)(i)</w:t>
      </w:r>
    </w:p>
    <w:p w14:paraId="60EC89B6" w14:textId="77777777" w:rsidR="00D60A5D" w:rsidRPr="001A7517" w:rsidRDefault="00D60A5D" w:rsidP="00D60A5D">
      <w:pPr>
        <w:spacing w:before="240"/>
        <w:ind w:left="1440" w:hanging="720"/>
        <w:outlineLvl w:val="0"/>
      </w:pPr>
      <w:r w:rsidRPr="001A7517">
        <w:t>Contaminant (units):  E. coli</w:t>
      </w:r>
    </w:p>
    <w:p w14:paraId="6D6BE87A" w14:textId="77777777" w:rsidR="00D60A5D" w:rsidRPr="001A7517" w:rsidRDefault="00D60A5D" w:rsidP="00D60A5D">
      <w:pPr>
        <w:ind w:left="1440" w:hanging="720"/>
      </w:pPr>
      <w:r w:rsidRPr="001A7517">
        <w:t xml:space="preserve">Traditional MCL in mg/ℓ:  </w:t>
      </w:r>
      <w:r w:rsidRPr="001A7517">
        <w:rPr>
          <w:szCs w:val="24"/>
        </w:rPr>
        <w:t xml:space="preserve">Routine and repeat samples are total coliform-positive and either is </w:t>
      </w:r>
      <w:r w:rsidRPr="001A7517">
        <w:rPr>
          <w:iCs/>
          <w:szCs w:val="24"/>
        </w:rPr>
        <w:t>E. coli</w:t>
      </w:r>
      <w:r w:rsidRPr="001A7517">
        <w:rPr>
          <w:szCs w:val="24"/>
        </w:rPr>
        <w:t xml:space="preserve">-positive or system fails to take repeat samples following </w:t>
      </w:r>
      <w:r w:rsidRPr="001A7517">
        <w:rPr>
          <w:iCs/>
          <w:szCs w:val="24"/>
        </w:rPr>
        <w:t>E. coli</w:t>
      </w:r>
      <w:r w:rsidRPr="001A7517">
        <w:rPr>
          <w:szCs w:val="24"/>
        </w:rPr>
        <w:t xml:space="preserve">-positive routine sample or system fails to analyze total coliform-positive repeat sample for </w:t>
      </w:r>
      <w:r w:rsidRPr="001A7517">
        <w:rPr>
          <w:iCs/>
          <w:szCs w:val="24"/>
        </w:rPr>
        <w:t>E. coli</w:t>
      </w:r>
      <w:r w:rsidRPr="001A7517">
        <w:rPr>
          <w:szCs w:val="24"/>
        </w:rPr>
        <w:t>.</w:t>
      </w:r>
    </w:p>
    <w:p w14:paraId="5FC27699" w14:textId="77777777" w:rsidR="00D60A5D" w:rsidRPr="001A7517" w:rsidRDefault="00D60A5D" w:rsidP="00D60A5D">
      <w:pPr>
        <w:ind w:left="1440" w:hanging="720"/>
      </w:pPr>
      <w:r w:rsidRPr="001A7517">
        <w:t>To convert for CCR, multiply by:  —</w:t>
      </w:r>
    </w:p>
    <w:p w14:paraId="424CA32C" w14:textId="77777777" w:rsidR="00D60A5D" w:rsidRPr="001A7517" w:rsidRDefault="00D60A5D" w:rsidP="00D60A5D">
      <w:pPr>
        <w:ind w:left="1440" w:hanging="720"/>
      </w:pPr>
      <w:r w:rsidRPr="001A7517">
        <w:t xml:space="preserve">MCL in CCR units:  </w:t>
      </w:r>
      <w:r w:rsidRPr="001A7517">
        <w:rPr>
          <w:szCs w:val="24"/>
        </w:rPr>
        <w:t xml:space="preserve">Routine and repeat samples are total coliform-positive and either is </w:t>
      </w:r>
      <w:r w:rsidRPr="001A7517">
        <w:rPr>
          <w:iCs/>
          <w:szCs w:val="24"/>
        </w:rPr>
        <w:t>E. coli</w:t>
      </w:r>
      <w:r w:rsidRPr="001A7517">
        <w:rPr>
          <w:szCs w:val="24"/>
        </w:rPr>
        <w:t xml:space="preserve">-positive or system fails to take repeat samples following </w:t>
      </w:r>
      <w:r w:rsidRPr="001A7517">
        <w:rPr>
          <w:iCs/>
          <w:szCs w:val="24"/>
        </w:rPr>
        <w:t>E. coli</w:t>
      </w:r>
      <w:r w:rsidRPr="001A7517">
        <w:rPr>
          <w:szCs w:val="24"/>
        </w:rPr>
        <w:t xml:space="preserve">-positive routine sample or system fails to analyze total coliform-positive repeat sample for </w:t>
      </w:r>
      <w:r w:rsidRPr="001A7517">
        <w:rPr>
          <w:iCs/>
          <w:szCs w:val="24"/>
        </w:rPr>
        <w:t>E. coli</w:t>
      </w:r>
      <w:r w:rsidRPr="001A7517">
        <w:rPr>
          <w:szCs w:val="24"/>
        </w:rPr>
        <w:t>.</w:t>
      </w:r>
    </w:p>
    <w:p w14:paraId="111CB5CA" w14:textId="77777777" w:rsidR="00D60A5D" w:rsidRPr="001A7517" w:rsidRDefault="00D60A5D" w:rsidP="00D60A5D">
      <w:pPr>
        <w:ind w:left="1440" w:hanging="720"/>
      </w:pPr>
      <w:r w:rsidRPr="001A7517">
        <w:t>MCLG:  0</w:t>
      </w:r>
    </w:p>
    <w:p w14:paraId="1576C1F4" w14:textId="77777777" w:rsidR="00D60A5D" w:rsidRPr="001A7517" w:rsidRDefault="00D60A5D" w:rsidP="00D60A5D">
      <w:pPr>
        <w:ind w:left="1440" w:hanging="720"/>
      </w:pPr>
      <w:r w:rsidRPr="001A7517">
        <w:t>Major sources in drinking water:  Human and animal fecal waste.</w:t>
      </w:r>
    </w:p>
    <w:p w14:paraId="07FB70A1" w14:textId="77777777" w:rsidR="00D60A5D" w:rsidRPr="001A7517" w:rsidRDefault="00D60A5D" w:rsidP="00D60A5D">
      <w:pPr>
        <w:spacing w:after="240"/>
        <w:ind w:left="1440" w:hanging="720"/>
      </w:pPr>
      <w:r w:rsidRPr="001A7517">
        <w:lastRenderedPageBreak/>
        <w:t xml:space="preserve">Health effects language:  E. coli are bacteria whose presence indicates that the water may be contaminated with human or animal wastes.  </w:t>
      </w:r>
      <w:r w:rsidRPr="001A7517">
        <w:rPr>
          <w:szCs w:val="24"/>
        </w:rPr>
        <w:t>Human pathogens</w:t>
      </w:r>
      <w:r w:rsidRPr="001A7517">
        <w:t xml:space="preserve"> in these wastes can cause short-term effects, such as diarrhea, cramps, nausea, headaches, or other symptoms.  They may pose a special health risk for infants, young children, the elderly, and people with severely-compromised immune systems.</w:t>
      </w:r>
    </w:p>
    <w:p w14:paraId="541C92CD" w14:textId="77777777" w:rsidR="00D60A5D" w:rsidRPr="001A7517" w:rsidRDefault="00D60A5D" w:rsidP="00D60A5D">
      <w:pPr>
        <w:spacing w:before="240"/>
        <w:ind w:left="1440" w:hanging="720"/>
        <w:outlineLvl w:val="0"/>
      </w:pPr>
      <w:r w:rsidRPr="001A7517">
        <w:t xml:space="preserve">Contaminant (units):  </w:t>
      </w:r>
      <w:r w:rsidRPr="001A7517">
        <w:rPr>
          <w:szCs w:val="16"/>
        </w:rPr>
        <w:t>Fecal Indicators (enterococci or coliphage).</w:t>
      </w:r>
    </w:p>
    <w:p w14:paraId="673892CB" w14:textId="77777777" w:rsidR="00D60A5D" w:rsidRPr="001A7517" w:rsidRDefault="00D60A5D" w:rsidP="00D60A5D">
      <w:pPr>
        <w:ind w:left="1440" w:hanging="720"/>
      </w:pPr>
      <w:r w:rsidRPr="001A7517">
        <w:t xml:space="preserve">Traditional MCL in mg/ℓ:  </w:t>
      </w:r>
      <w:r w:rsidRPr="001A7517">
        <w:rPr>
          <w:szCs w:val="16"/>
        </w:rPr>
        <w:t>TT</w:t>
      </w:r>
      <w:r w:rsidRPr="001A7517">
        <w:t>.</w:t>
      </w:r>
    </w:p>
    <w:p w14:paraId="00646B2A" w14:textId="77777777" w:rsidR="00D60A5D" w:rsidRPr="001A7517" w:rsidRDefault="00D60A5D" w:rsidP="00D60A5D">
      <w:pPr>
        <w:ind w:left="1440" w:hanging="720"/>
      </w:pPr>
      <w:r w:rsidRPr="001A7517">
        <w:t>To convert for CCR, multiply by:  —</w:t>
      </w:r>
    </w:p>
    <w:p w14:paraId="276FCF93" w14:textId="77777777" w:rsidR="00D60A5D" w:rsidRPr="001A7517" w:rsidRDefault="00D60A5D" w:rsidP="00D60A5D">
      <w:pPr>
        <w:ind w:left="1440" w:hanging="720"/>
      </w:pPr>
      <w:r w:rsidRPr="001A7517">
        <w:t xml:space="preserve">MCL in CCR units:  </w:t>
      </w:r>
      <w:r w:rsidRPr="001A7517">
        <w:rPr>
          <w:szCs w:val="16"/>
        </w:rPr>
        <w:t>TT</w:t>
      </w:r>
      <w:r w:rsidRPr="001A7517">
        <w:t>.</w:t>
      </w:r>
    </w:p>
    <w:p w14:paraId="077AFF6B" w14:textId="77777777" w:rsidR="00D60A5D" w:rsidRPr="001A7517" w:rsidRDefault="00D60A5D" w:rsidP="00D60A5D">
      <w:pPr>
        <w:ind w:left="1440" w:hanging="720"/>
        <w:outlineLvl w:val="0"/>
      </w:pPr>
      <w:r w:rsidRPr="001A7517">
        <w:t>MCLG:  N/A</w:t>
      </w:r>
    </w:p>
    <w:p w14:paraId="14A55289" w14:textId="77777777" w:rsidR="00D60A5D" w:rsidRPr="001A7517" w:rsidRDefault="00D60A5D" w:rsidP="00D60A5D">
      <w:pPr>
        <w:ind w:left="1440" w:hanging="720"/>
      </w:pPr>
      <w:r w:rsidRPr="001A7517">
        <w:t xml:space="preserve">Major sources in drinking water:  </w:t>
      </w:r>
      <w:r w:rsidRPr="001A7517">
        <w:rPr>
          <w:szCs w:val="16"/>
        </w:rPr>
        <w:t>Human and animal fecal waste.</w:t>
      </w:r>
    </w:p>
    <w:p w14:paraId="255C211F" w14:textId="77777777" w:rsidR="00D60A5D" w:rsidRPr="001A7517" w:rsidRDefault="00D60A5D" w:rsidP="00D60A5D">
      <w:pPr>
        <w:spacing w:after="240"/>
        <w:ind w:left="1440" w:hanging="720"/>
      </w:pPr>
      <w:r w:rsidRPr="001A7517">
        <w:t xml:space="preserve">Health effects language:  </w:t>
      </w:r>
      <w:r w:rsidRPr="001A7517">
        <w:rPr>
          <w:szCs w:val="16"/>
        </w:rPr>
        <w:t>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p>
    <w:p w14:paraId="5A6F6373" w14:textId="77777777" w:rsidR="00D60A5D" w:rsidRPr="001A7517" w:rsidRDefault="00D60A5D" w:rsidP="00D60A5D">
      <w:pPr>
        <w:spacing w:before="240"/>
        <w:ind w:left="1440" w:hanging="720"/>
      </w:pPr>
      <w:r w:rsidRPr="001A7517">
        <w:t>Contaminant (units):  Total organic carbon (ppm)</w:t>
      </w:r>
    </w:p>
    <w:p w14:paraId="7E470DA9" w14:textId="77777777" w:rsidR="00D60A5D" w:rsidRPr="001A7517" w:rsidRDefault="00D60A5D" w:rsidP="00D60A5D">
      <w:pPr>
        <w:ind w:left="1440" w:hanging="720"/>
      </w:pPr>
      <w:r w:rsidRPr="001A7517">
        <w:t>Traditional MCL in mg/ℓ:  TT</w:t>
      </w:r>
    </w:p>
    <w:p w14:paraId="06E41943" w14:textId="77777777" w:rsidR="00D60A5D" w:rsidRPr="001A7517" w:rsidRDefault="00D60A5D" w:rsidP="00D60A5D">
      <w:pPr>
        <w:ind w:left="1440" w:hanging="720"/>
      </w:pPr>
      <w:r w:rsidRPr="001A7517">
        <w:t>To convert for CCR, multiply by:  —</w:t>
      </w:r>
    </w:p>
    <w:p w14:paraId="77A9E565" w14:textId="77777777" w:rsidR="00D60A5D" w:rsidRPr="001A7517" w:rsidRDefault="00D60A5D" w:rsidP="00D60A5D">
      <w:pPr>
        <w:ind w:left="1440" w:hanging="720"/>
      </w:pPr>
      <w:r w:rsidRPr="001A7517">
        <w:t>MCL in CCR units:  TT</w:t>
      </w:r>
    </w:p>
    <w:p w14:paraId="4BD24D86" w14:textId="77777777" w:rsidR="00D60A5D" w:rsidRPr="001A7517" w:rsidRDefault="00D60A5D" w:rsidP="00D60A5D">
      <w:pPr>
        <w:ind w:left="1440" w:hanging="720"/>
      </w:pPr>
      <w:r w:rsidRPr="001A7517">
        <w:t>MCLG:  N/A</w:t>
      </w:r>
    </w:p>
    <w:p w14:paraId="5DF4F501" w14:textId="77777777" w:rsidR="00D60A5D" w:rsidRPr="001A7517" w:rsidRDefault="00D60A5D" w:rsidP="00D60A5D">
      <w:pPr>
        <w:ind w:left="1440" w:hanging="720"/>
      </w:pPr>
      <w:r w:rsidRPr="001A7517">
        <w:t>Major sources in drinking water:  Naturally present in the environment.</w:t>
      </w:r>
    </w:p>
    <w:p w14:paraId="196813B6" w14:textId="77777777" w:rsidR="00D60A5D" w:rsidRPr="001A7517" w:rsidRDefault="00D60A5D" w:rsidP="00D60A5D">
      <w:pPr>
        <w:spacing w:after="240"/>
        <w:ind w:left="1440" w:hanging="720"/>
      </w:pPr>
      <w:r w:rsidRPr="001A7517">
        <w:t>Health effects language:  Total organic carbon (TOC) has no health effects.  However, total organic carbon provides a medium for the formation of disinfection byproducts.  These byproducts include trihalomethanes (THMs) and haloacetic acids (HAAs).  Drinking water containing these byproducts in excess of the MCL may lead to adverse health effects, liver or kidney problems, or nervous system effects, and may lead to an increased risk of getting cancer.</w:t>
      </w:r>
    </w:p>
    <w:p w14:paraId="48C8F99E" w14:textId="77777777" w:rsidR="00D60A5D" w:rsidRPr="001A7517" w:rsidRDefault="00D60A5D" w:rsidP="00D60A5D">
      <w:pPr>
        <w:spacing w:before="240"/>
        <w:ind w:left="1440" w:hanging="720"/>
      </w:pPr>
      <w:r w:rsidRPr="001A7517">
        <w:t>Contaminant (units):  Turbidity (NTU)</w:t>
      </w:r>
    </w:p>
    <w:p w14:paraId="611D0DB2" w14:textId="77777777" w:rsidR="00D60A5D" w:rsidRPr="001A7517" w:rsidRDefault="00D60A5D" w:rsidP="00D60A5D">
      <w:pPr>
        <w:ind w:left="1440" w:hanging="720"/>
      </w:pPr>
      <w:r w:rsidRPr="001A7517">
        <w:t>Traditional MCL in mg/ℓ:  TT</w:t>
      </w:r>
    </w:p>
    <w:p w14:paraId="32A343B3" w14:textId="77777777" w:rsidR="00D60A5D" w:rsidRPr="001A7517" w:rsidRDefault="00D60A5D" w:rsidP="00D60A5D">
      <w:pPr>
        <w:ind w:left="1440" w:hanging="720"/>
      </w:pPr>
      <w:r w:rsidRPr="001A7517">
        <w:t>To convert for CCR, multiply by:  —</w:t>
      </w:r>
    </w:p>
    <w:p w14:paraId="3C69024B" w14:textId="77777777" w:rsidR="00D60A5D" w:rsidRPr="001A7517" w:rsidRDefault="00D60A5D" w:rsidP="00D60A5D">
      <w:pPr>
        <w:ind w:left="1440" w:hanging="720"/>
      </w:pPr>
      <w:r w:rsidRPr="001A7517">
        <w:t>MCL in CCR units:  TT</w:t>
      </w:r>
    </w:p>
    <w:p w14:paraId="2389D00A" w14:textId="77777777" w:rsidR="00D60A5D" w:rsidRPr="001A7517" w:rsidRDefault="00D60A5D" w:rsidP="00D60A5D">
      <w:pPr>
        <w:ind w:left="1440" w:hanging="720"/>
      </w:pPr>
      <w:r w:rsidRPr="001A7517">
        <w:t>MCLG:  N/A</w:t>
      </w:r>
    </w:p>
    <w:p w14:paraId="78FECC79" w14:textId="77777777" w:rsidR="00D60A5D" w:rsidRPr="001A7517" w:rsidRDefault="00D60A5D" w:rsidP="00D60A5D">
      <w:pPr>
        <w:ind w:left="1440" w:hanging="720"/>
      </w:pPr>
      <w:r w:rsidRPr="001A7517">
        <w:t>Major sources in drinking water:  Soil runoff.</w:t>
      </w:r>
    </w:p>
    <w:p w14:paraId="61F72AAD" w14:textId="77777777" w:rsidR="00D60A5D" w:rsidRPr="001A7517" w:rsidRDefault="00D60A5D" w:rsidP="00D60A5D">
      <w:pPr>
        <w:spacing w:after="240"/>
        <w:ind w:left="1440" w:hanging="720"/>
      </w:pPr>
      <w:r w:rsidRPr="001A7517">
        <w:t>Health effects language:  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p w14:paraId="622D1E44" w14:textId="77777777" w:rsidR="00D60A5D" w:rsidRPr="001A7517" w:rsidRDefault="00D60A5D" w:rsidP="00D60A5D">
      <w:pPr>
        <w:keepNext/>
        <w:keepLines/>
        <w:spacing w:before="240" w:after="240"/>
      </w:pPr>
      <w:r w:rsidRPr="001A7517">
        <w:lastRenderedPageBreak/>
        <w:t>Radioactive Contaminants</w:t>
      </w:r>
    </w:p>
    <w:p w14:paraId="77EEF45C" w14:textId="77777777" w:rsidR="00D60A5D" w:rsidRPr="001A7517" w:rsidRDefault="00D60A5D" w:rsidP="00D60A5D">
      <w:pPr>
        <w:spacing w:before="240"/>
        <w:ind w:left="1440" w:hanging="720"/>
      </w:pPr>
      <w:r w:rsidRPr="001A7517">
        <w:t>Contaminant (units):  Beta/photon emitters (mrem/yr)</w:t>
      </w:r>
    </w:p>
    <w:p w14:paraId="25216F93" w14:textId="77777777" w:rsidR="00D60A5D" w:rsidRPr="001A7517" w:rsidRDefault="00D60A5D" w:rsidP="00D60A5D">
      <w:pPr>
        <w:ind w:left="1440" w:hanging="720"/>
      </w:pPr>
      <w:r w:rsidRPr="001A7517">
        <w:t>Traditional MCL in mg/ℓ:  4 mrem/yr</w:t>
      </w:r>
    </w:p>
    <w:p w14:paraId="0EC22183" w14:textId="77777777" w:rsidR="00D60A5D" w:rsidRPr="001A7517" w:rsidRDefault="00D60A5D" w:rsidP="00D60A5D">
      <w:pPr>
        <w:ind w:left="1440" w:hanging="720"/>
      </w:pPr>
      <w:r w:rsidRPr="001A7517">
        <w:t>To convert for CCR, multiply by:  —</w:t>
      </w:r>
    </w:p>
    <w:p w14:paraId="488C6087" w14:textId="77777777" w:rsidR="00D60A5D" w:rsidRPr="001A7517" w:rsidRDefault="00D60A5D" w:rsidP="00D60A5D">
      <w:pPr>
        <w:ind w:left="1440" w:hanging="720"/>
      </w:pPr>
      <w:r w:rsidRPr="001A7517">
        <w:t>MCL in CCR units:  4</w:t>
      </w:r>
    </w:p>
    <w:p w14:paraId="4C5FEEE3" w14:textId="77777777" w:rsidR="00D60A5D" w:rsidRPr="001A7517" w:rsidRDefault="00D60A5D" w:rsidP="00D60A5D">
      <w:pPr>
        <w:ind w:left="1440" w:hanging="720"/>
      </w:pPr>
      <w:r w:rsidRPr="001A7517">
        <w:t>MCLG:  0</w:t>
      </w:r>
    </w:p>
    <w:p w14:paraId="175C5E1F" w14:textId="77777777" w:rsidR="00D60A5D" w:rsidRPr="001A7517" w:rsidRDefault="00D60A5D" w:rsidP="00D60A5D">
      <w:pPr>
        <w:ind w:left="1440" w:hanging="720"/>
      </w:pPr>
      <w:r w:rsidRPr="001A7517">
        <w:t>Major sources in drinking water:  Decay of natural and man-made deposits.</w:t>
      </w:r>
    </w:p>
    <w:p w14:paraId="4D939511" w14:textId="77777777" w:rsidR="00D60A5D" w:rsidRPr="001A7517" w:rsidRDefault="00D60A5D" w:rsidP="00D60A5D">
      <w:pPr>
        <w:spacing w:after="240"/>
        <w:ind w:left="1440" w:hanging="720"/>
      </w:pPr>
      <w:r w:rsidRPr="001A7517">
        <w:t>Health effects language:  Certain minerals are radioactive and may emit forms of radiation known as photons and beta radiation.  Some people who drink water containing beta particle and photon radioactivity in excess of the MCL over many years may have an increased risk of getting cancer.</w:t>
      </w:r>
    </w:p>
    <w:p w14:paraId="31CA83CB" w14:textId="77777777" w:rsidR="00D60A5D" w:rsidRPr="001A7517" w:rsidRDefault="00D60A5D" w:rsidP="00D60A5D">
      <w:pPr>
        <w:spacing w:before="240"/>
        <w:ind w:left="1440" w:hanging="720"/>
      </w:pPr>
      <w:r w:rsidRPr="001A7517">
        <w:t>Contaminant (units):  Alpha emitters (pCi/ℓ)</w:t>
      </w:r>
    </w:p>
    <w:p w14:paraId="412EDBB0" w14:textId="77777777" w:rsidR="00D60A5D" w:rsidRPr="001A7517" w:rsidRDefault="00D60A5D" w:rsidP="00D60A5D">
      <w:pPr>
        <w:ind w:left="1440" w:hanging="720"/>
      </w:pPr>
      <w:r w:rsidRPr="001A7517">
        <w:t>Traditional MCL in mg/ℓ:  15 pCi/ℓ</w:t>
      </w:r>
    </w:p>
    <w:p w14:paraId="3DAEB9B7" w14:textId="77777777" w:rsidR="00D60A5D" w:rsidRPr="001A7517" w:rsidRDefault="00D60A5D" w:rsidP="00D60A5D">
      <w:pPr>
        <w:ind w:left="1440" w:hanging="720"/>
      </w:pPr>
      <w:r w:rsidRPr="001A7517">
        <w:t>To convert for CCR, multiply by:  —</w:t>
      </w:r>
    </w:p>
    <w:p w14:paraId="731785F5" w14:textId="77777777" w:rsidR="00D60A5D" w:rsidRPr="001A7517" w:rsidRDefault="00D60A5D" w:rsidP="00D60A5D">
      <w:pPr>
        <w:ind w:left="1440" w:hanging="720"/>
      </w:pPr>
      <w:r w:rsidRPr="001A7517">
        <w:t>MCL in CCR units:  15</w:t>
      </w:r>
    </w:p>
    <w:p w14:paraId="687AF818" w14:textId="77777777" w:rsidR="00D60A5D" w:rsidRPr="001A7517" w:rsidRDefault="00D60A5D" w:rsidP="00D60A5D">
      <w:pPr>
        <w:ind w:left="1440" w:hanging="720"/>
      </w:pPr>
      <w:r w:rsidRPr="001A7517">
        <w:t>MCLG:  0</w:t>
      </w:r>
    </w:p>
    <w:p w14:paraId="508CA6BB" w14:textId="77777777" w:rsidR="00D60A5D" w:rsidRPr="001A7517" w:rsidRDefault="00D60A5D" w:rsidP="00D60A5D">
      <w:pPr>
        <w:ind w:left="1440" w:hanging="720"/>
      </w:pPr>
      <w:r w:rsidRPr="001A7517">
        <w:t>Major sources in drinking water:  Erosion of natural deposits.</w:t>
      </w:r>
    </w:p>
    <w:p w14:paraId="3EE530FF" w14:textId="77777777" w:rsidR="00D60A5D" w:rsidRPr="001A7517" w:rsidRDefault="00D60A5D" w:rsidP="00D60A5D">
      <w:pPr>
        <w:spacing w:after="240"/>
        <w:ind w:left="1440" w:hanging="720"/>
      </w:pPr>
      <w:r w:rsidRPr="001A7517">
        <w:t>Health effects language:  Certain minerals are radioactive and may emit a form of radiation known as alpha radiation.  Some people who drink water containing alpha emitters in excess of the MCL over many years may have an increased risk of getting cancer.</w:t>
      </w:r>
    </w:p>
    <w:p w14:paraId="7995710A" w14:textId="77777777" w:rsidR="00D60A5D" w:rsidRPr="001A7517" w:rsidRDefault="00D60A5D" w:rsidP="00D60A5D">
      <w:pPr>
        <w:spacing w:before="240"/>
        <w:ind w:left="1440" w:hanging="720"/>
      </w:pPr>
      <w:r w:rsidRPr="001A7517">
        <w:t>Contaminant (units):  Combined radium (pCi/ℓ)</w:t>
      </w:r>
    </w:p>
    <w:p w14:paraId="751E74A1" w14:textId="77777777" w:rsidR="00D60A5D" w:rsidRPr="001A7517" w:rsidRDefault="00D60A5D" w:rsidP="00D60A5D">
      <w:pPr>
        <w:ind w:left="1440" w:hanging="720"/>
      </w:pPr>
      <w:r w:rsidRPr="001A7517">
        <w:t>Traditional MCL in mg/ℓ:  5 pCi/ℓ</w:t>
      </w:r>
    </w:p>
    <w:p w14:paraId="2C6D4930" w14:textId="77777777" w:rsidR="00D60A5D" w:rsidRPr="001A7517" w:rsidRDefault="00D60A5D" w:rsidP="00D60A5D">
      <w:pPr>
        <w:ind w:left="1440" w:hanging="720"/>
      </w:pPr>
      <w:r w:rsidRPr="001A7517">
        <w:t>To convert for CCR, multiply by:  —</w:t>
      </w:r>
    </w:p>
    <w:p w14:paraId="779D8449" w14:textId="77777777" w:rsidR="00D60A5D" w:rsidRPr="001A7517" w:rsidRDefault="00D60A5D" w:rsidP="00D60A5D">
      <w:pPr>
        <w:ind w:left="1440" w:hanging="720"/>
      </w:pPr>
      <w:r w:rsidRPr="001A7517">
        <w:t>MCL in CCR units:  5</w:t>
      </w:r>
    </w:p>
    <w:p w14:paraId="70E8DA28" w14:textId="77777777" w:rsidR="00D60A5D" w:rsidRPr="001A7517" w:rsidRDefault="00D60A5D" w:rsidP="00D60A5D">
      <w:pPr>
        <w:ind w:left="1440" w:hanging="720"/>
      </w:pPr>
      <w:r w:rsidRPr="001A7517">
        <w:t>MCLG:  0</w:t>
      </w:r>
    </w:p>
    <w:p w14:paraId="30061144" w14:textId="77777777" w:rsidR="00D60A5D" w:rsidRPr="001A7517" w:rsidRDefault="00D60A5D" w:rsidP="00D60A5D">
      <w:pPr>
        <w:ind w:left="1440" w:hanging="720"/>
      </w:pPr>
      <w:r w:rsidRPr="001A7517">
        <w:t>Major sources in drinking water:  Erosion of natural deposits.</w:t>
      </w:r>
    </w:p>
    <w:p w14:paraId="73D1245C" w14:textId="77777777" w:rsidR="00D60A5D" w:rsidRPr="001A7517" w:rsidRDefault="00D60A5D" w:rsidP="00D60A5D">
      <w:pPr>
        <w:spacing w:after="240"/>
        <w:ind w:left="1440" w:hanging="720"/>
      </w:pPr>
      <w:r w:rsidRPr="001A7517">
        <w:t xml:space="preserve">Health effects language:  Some people who drink water containing radium-226 or </w:t>
      </w:r>
      <w:r w:rsidRPr="001A7517">
        <w:noBreakHyphen/>
        <w:t>228 in excess of the MCL over many years may have an increased risk of getting cancer.</w:t>
      </w:r>
    </w:p>
    <w:p w14:paraId="396CC247" w14:textId="77777777" w:rsidR="00D60A5D" w:rsidRPr="001A7517" w:rsidRDefault="00D60A5D" w:rsidP="00D60A5D">
      <w:pPr>
        <w:spacing w:before="240"/>
        <w:ind w:left="1440" w:hanging="720"/>
      </w:pPr>
      <w:r w:rsidRPr="001A7517">
        <w:t>Contaminant (units):  Uranium (</w:t>
      </w:r>
      <w:r w:rsidRPr="001A7517">
        <w:sym w:font="Symbol" w:char="F06D"/>
      </w:r>
      <w:r w:rsidRPr="001A7517">
        <w:t>g/ℓ)</w:t>
      </w:r>
    </w:p>
    <w:p w14:paraId="1C65E427" w14:textId="77777777" w:rsidR="00D60A5D" w:rsidRPr="001A7517" w:rsidRDefault="00D60A5D" w:rsidP="00D60A5D">
      <w:pPr>
        <w:ind w:left="1440" w:hanging="720"/>
      </w:pPr>
      <w:r w:rsidRPr="001A7517">
        <w:t xml:space="preserve">Traditional MCL in mg/ℓ:  30 </w:t>
      </w:r>
      <w:r w:rsidRPr="001A7517">
        <w:sym w:font="Symbol" w:char="F06D"/>
      </w:r>
      <w:r w:rsidRPr="001A7517">
        <w:t>g/ℓ</w:t>
      </w:r>
    </w:p>
    <w:p w14:paraId="0BEE7527" w14:textId="77777777" w:rsidR="00D60A5D" w:rsidRPr="001A7517" w:rsidRDefault="00D60A5D" w:rsidP="00D60A5D">
      <w:pPr>
        <w:ind w:left="1440" w:hanging="720"/>
      </w:pPr>
      <w:r w:rsidRPr="001A7517">
        <w:t>To convert for CCR, multiply by:  —</w:t>
      </w:r>
    </w:p>
    <w:p w14:paraId="5611097F" w14:textId="77777777" w:rsidR="00D60A5D" w:rsidRPr="001A7517" w:rsidRDefault="00D60A5D" w:rsidP="00D60A5D">
      <w:pPr>
        <w:ind w:left="1440" w:hanging="720"/>
      </w:pPr>
      <w:r w:rsidRPr="001A7517">
        <w:t>MCL in CCR units:  30</w:t>
      </w:r>
    </w:p>
    <w:p w14:paraId="66A62D0B" w14:textId="77777777" w:rsidR="00D60A5D" w:rsidRPr="001A7517" w:rsidRDefault="00D60A5D" w:rsidP="00D60A5D">
      <w:pPr>
        <w:ind w:left="1440" w:hanging="720"/>
      </w:pPr>
      <w:r w:rsidRPr="001A7517">
        <w:t>MCLG:  0</w:t>
      </w:r>
    </w:p>
    <w:p w14:paraId="101AEC05" w14:textId="77777777" w:rsidR="00D60A5D" w:rsidRPr="001A7517" w:rsidRDefault="00D60A5D" w:rsidP="00D60A5D">
      <w:pPr>
        <w:ind w:left="1440" w:hanging="720"/>
      </w:pPr>
      <w:r w:rsidRPr="001A7517">
        <w:t>Major sources in drinking water:  Erosion of natural deposits.</w:t>
      </w:r>
    </w:p>
    <w:p w14:paraId="73DD3A4E" w14:textId="77777777" w:rsidR="00D60A5D" w:rsidRPr="001A7517" w:rsidRDefault="00D60A5D" w:rsidP="00D60A5D">
      <w:pPr>
        <w:spacing w:after="240"/>
        <w:ind w:left="1440" w:hanging="720"/>
      </w:pPr>
      <w:r w:rsidRPr="001A7517">
        <w:t>Health effects language:  Some people who drink water containing uranium in excess of the MCL over many years may have an increased risk of getting cancer and kidney toxicity.</w:t>
      </w:r>
    </w:p>
    <w:p w14:paraId="0912AEE9" w14:textId="77777777" w:rsidR="00D60A5D" w:rsidRPr="001A7517" w:rsidRDefault="00D60A5D" w:rsidP="00D60A5D">
      <w:pPr>
        <w:keepNext/>
        <w:keepLines/>
        <w:spacing w:before="240" w:after="240"/>
      </w:pPr>
      <w:r w:rsidRPr="001A7517">
        <w:lastRenderedPageBreak/>
        <w:t>Inorganic Contaminants</w:t>
      </w:r>
    </w:p>
    <w:p w14:paraId="2CCCDBC4" w14:textId="77777777" w:rsidR="00D60A5D" w:rsidRPr="001A7517" w:rsidRDefault="00D60A5D" w:rsidP="00D60A5D">
      <w:pPr>
        <w:spacing w:before="240"/>
        <w:ind w:left="1440" w:hanging="720"/>
      </w:pPr>
      <w:r w:rsidRPr="001A7517">
        <w:t>Contaminant (units):  Antimony (ppb)</w:t>
      </w:r>
    </w:p>
    <w:p w14:paraId="4A17ADBE" w14:textId="77777777" w:rsidR="00D60A5D" w:rsidRPr="001A7517" w:rsidRDefault="00D60A5D" w:rsidP="00D60A5D">
      <w:pPr>
        <w:ind w:left="1440" w:hanging="720"/>
      </w:pPr>
      <w:r w:rsidRPr="001A7517">
        <w:t>Traditional MCL in mg/ℓ:  0.006</w:t>
      </w:r>
    </w:p>
    <w:p w14:paraId="09712D11" w14:textId="77777777" w:rsidR="00D60A5D" w:rsidRPr="001A7517" w:rsidRDefault="00D60A5D" w:rsidP="00D60A5D">
      <w:pPr>
        <w:ind w:left="1440" w:hanging="720"/>
      </w:pPr>
      <w:r w:rsidRPr="001A7517">
        <w:t>To convert for CCR, multiply by:  1000</w:t>
      </w:r>
    </w:p>
    <w:p w14:paraId="55DA8CE3" w14:textId="77777777" w:rsidR="00D60A5D" w:rsidRPr="001A7517" w:rsidRDefault="00D60A5D" w:rsidP="00D60A5D">
      <w:pPr>
        <w:ind w:left="1440" w:hanging="720"/>
      </w:pPr>
      <w:r w:rsidRPr="001A7517">
        <w:t>MCL in CCR units:  6</w:t>
      </w:r>
    </w:p>
    <w:p w14:paraId="3C5BC4A5" w14:textId="77777777" w:rsidR="00D60A5D" w:rsidRPr="001A7517" w:rsidRDefault="00D60A5D" w:rsidP="00D60A5D">
      <w:pPr>
        <w:ind w:left="1440" w:hanging="720"/>
      </w:pPr>
      <w:r w:rsidRPr="001A7517">
        <w:t>MCLG:  6</w:t>
      </w:r>
    </w:p>
    <w:p w14:paraId="2793C22A" w14:textId="77777777" w:rsidR="00D60A5D" w:rsidRPr="001A7517" w:rsidRDefault="00D60A5D" w:rsidP="00D60A5D">
      <w:pPr>
        <w:ind w:left="1440" w:hanging="720"/>
      </w:pPr>
      <w:r w:rsidRPr="001A7517">
        <w:t>Major sources in drinking water:  Discharge from petroleum refineries; fire retardants; ceramics; electronics; solder.</w:t>
      </w:r>
    </w:p>
    <w:p w14:paraId="6A8C7F06" w14:textId="77777777" w:rsidR="00D60A5D" w:rsidRPr="001A7517" w:rsidRDefault="00D60A5D" w:rsidP="00D60A5D">
      <w:pPr>
        <w:spacing w:after="240"/>
        <w:ind w:left="1440" w:hanging="720"/>
      </w:pPr>
      <w:r w:rsidRPr="001A7517">
        <w:t>Health effects language:  Some people who drink water containing antimony well in excess of the MCL over many years could experience increases in blood cholesterol and decreases in blood sugar.</w:t>
      </w:r>
    </w:p>
    <w:p w14:paraId="2AF20B1B" w14:textId="77777777" w:rsidR="00D60A5D" w:rsidRPr="001A7517" w:rsidRDefault="00D60A5D" w:rsidP="00D60A5D">
      <w:pPr>
        <w:spacing w:before="240"/>
        <w:ind w:left="1440" w:hanging="720"/>
      </w:pPr>
      <w:r w:rsidRPr="001A7517">
        <w:t>Contaminant (units):  Arsenic (ppb)</w:t>
      </w:r>
    </w:p>
    <w:p w14:paraId="22A0E34D" w14:textId="77777777" w:rsidR="00D60A5D" w:rsidRPr="001A7517" w:rsidRDefault="00D60A5D" w:rsidP="00D60A5D">
      <w:pPr>
        <w:ind w:left="1440" w:hanging="720"/>
      </w:pPr>
      <w:r w:rsidRPr="001A7517">
        <w:t>Traditional MCL in mg/ℓ:  0.010</w:t>
      </w:r>
    </w:p>
    <w:p w14:paraId="113CC84F" w14:textId="77777777" w:rsidR="00D60A5D" w:rsidRPr="001A7517" w:rsidRDefault="00D60A5D" w:rsidP="00D60A5D">
      <w:pPr>
        <w:ind w:left="1440" w:hanging="720"/>
      </w:pPr>
      <w:r w:rsidRPr="001A7517">
        <w:t>To convert for CCR, multiply by:  1000</w:t>
      </w:r>
    </w:p>
    <w:p w14:paraId="63DD2F2D" w14:textId="77777777" w:rsidR="00D60A5D" w:rsidRPr="001A7517" w:rsidRDefault="00D60A5D" w:rsidP="00D60A5D">
      <w:pPr>
        <w:ind w:left="1440" w:hanging="720"/>
      </w:pPr>
      <w:r w:rsidRPr="001A7517">
        <w:t>MCL in CCR units:  50</w:t>
      </w:r>
    </w:p>
    <w:p w14:paraId="3767BF32" w14:textId="77777777" w:rsidR="00D60A5D" w:rsidRPr="001A7517" w:rsidRDefault="00D60A5D" w:rsidP="00D60A5D">
      <w:pPr>
        <w:ind w:left="1440" w:hanging="720"/>
        <w:outlineLvl w:val="0"/>
      </w:pPr>
      <w:r w:rsidRPr="001A7517">
        <w:t>MCLG:  0</w:t>
      </w:r>
    </w:p>
    <w:p w14:paraId="221E9F95" w14:textId="77777777" w:rsidR="00D60A5D" w:rsidRPr="001A7517" w:rsidRDefault="00D60A5D" w:rsidP="00D60A5D">
      <w:pPr>
        <w:ind w:left="1440" w:hanging="720"/>
      </w:pPr>
      <w:r w:rsidRPr="001A7517">
        <w:t>Major sources in drinking water:  Erosion of natural deposits; runoff from orchards; runoff from glass and electronics production wastes.</w:t>
      </w:r>
    </w:p>
    <w:p w14:paraId="0BDCD65F" w14:textId="77777777" w:rsidR="00D60A5D" w:rsidRPr="001A7517" w:rsidRDefault="00D60A5D" w:rsidP="00D60A5D">
      <w:pPr>
        <w:spacing w:after="240"/>
        <w:ind w:left="1440" w:hanging="720"/>
      </w:pPr>
      <w:r w:rsidRPr="001A7517">
        <w:t>Health effects language:  Some people who drink water containing arsenic in excess of the MCL over many years could experience skin damage or problems with their circulatory system, and may have an increased risk of getting cancer.</w:t>
      </w:r>
    </w:p>
    <w:p w14:paraId="3218B9AD" w14:textId="77777777" w:rsidR="00D60A5D" w:rsidRPr="001A7517" w:rsidRDefault="00D60A5D" w:rsidP="00D60A5D">
      <w:pPr>
        <w:spacing w:before="240"/>
        <w:ind w:left="1440" w:hanging="720"/>
      </w:pPr>
      <w:r w:rsidRPr="001A7517">
        <w:t>Contaminant (units):  Asbestos (MFL)</w:t>
      </w:r>
    </w:p>
    <w:p w14:paraId="79980067" w14:textId="77777777" w:rsidR="00D60A5D" w:rsidRPr="001A7517" w:rsidRDefault="00D60A5D" w:rsidP="00D60A5D">
      <w:pPr>
        <w:ind w:left="1440" w:hanging="720"/>
      </w:pPr>
      <w:r w:rsidRPr="001A7517">
        <w:t>Traditional MCL in mg/ℓ:  7 MFL</w:t>
      </w:r>
    </w:p>
    <w:p w14:paraId="57547876" w14:textId="77777777" w:rsidR="00D60A5D" w:rsidRPr="001A7517" w:rsidRDefault="00D60A5D" w:rsidP="00D60A5D">
      <w:pPr>
        <w:ind w:left="1440" w:hanging="720"/>
      </w:pPr>
      <w:r w:rsidRPr="001A7517">
        <w:t>To convert for CCR, multiply by:  —</w:t>
      </w:r>
    </w:p>
    <w:p w14:paraId="5E9E293F" w14:textId="77777777" w:rsidR="00D60A5D" w:rsidRPr="001A7517" w:rsidRDefault="00D60A5D" w:rsidP="00D60A5D">
      <w:pPr>
        <w:ind w:left="1440" w:hanging="720"/>
      </w:pPr>
      <w:r w:rsidRPr="001A7517">
        <w:t>MCL in CCR units:  7</w:t>
      </w:r>
    </w:p>
    <w:p w14:paraId="74A142AE" w14:textId="77777777" w:rsidR="00D60A5D" w:rsidRPr="001A7517" w:rsidRDefault="00D60A5D" w:rsidP="00D60A5D">
      <w:pPr>
        <w:ind w:left="1440" w:hanging="720"/>
      </w:pPr>
      <w:r w:rsidRPr="001A7517">
        <w:t>MCLG:  7</w:t>
      </w:r>
    </w:p>
    <w:p w14:paraId="69880385" w14:textId="77777777" w:rsidR="00D60A5D" w:rsidRPr="001A7517" w:rsidRDefault="00D60A5D" w:rsidP="00D60A5D">
      <w:pPr>
        <w:ind w:left="1440" w:hanging="720"/>
      </w:pPr>
      <w:r w:rsidRPr="001A7517">
        <w:t>Major sources in drinking water:  Decay of asbestos cement water mains; erosion of natural deposits.</w:t>
      </w:r>
    </w:p>
    <w:p w14:paraId="21FBFE54" w14:textId="77777777" w:rsidR="00D60A5D" w:rsidRPr="001A7517" w:rsidRDefault="00D60A5D" w:rsidP="00D60A5D">
      <w:pPr>
        <w:spacing w:after="240"/>
        <w:ind w:left="1440" w:hanging="720"/>
      </w:pPr>
      <w:r w:rsidRPr="001A7517">
        <w:t>Health effects language:  Some people who drink water containing asbestos in excess of the MCL over many years may have an increased risk of developing benign intestinal polyps.</w:t>
      </w:r>
    </w:p>
    <w:p w14:paraId="5B589D67" w14:textId="77777777" w:rsidR="00D60A5D" w:rsidRPr="001A7517" w:rsidRDefault="00D60A5D" w:rsidP="00D60A5D">
      <w:pPr>
        <w:spacing w:before="240"/>
        <w:ind w:left="1440" w:hanging="720"/>
      </w:pPr>
      <w:r w:rsidRPr="001A7517">
        <w:t>Contaminant (units):  Barium (ppm)</w:t>
      </w:r>
    </w:p>
    <w:p w14:paraId="719B5DCB" w14:textId="77777777" w:rsidR="00D60A5D" w:rsidRPr="001A7517" w:rsidRDefault="00D60A5D" w:rsidP="00D60A5D">
      <w:pPr>
        <w:ind w:left="1440" w:hanging="720"/>
      </w:pPr>
      <w:r w:rsidRPr="001A7517">
        <w:t>Traditional MCL in mg/ℓ:  2</w:t>
      </w:r>
    </w:p>
    <w:p w14:paraId="706A2BBB" w14:textId="77777777" w:rsidR="00D60A5D" w:rsidRPr="001A7517" w:rsidRDefault="00D60A5D" w:rsidP="00D60A5D">
      <w:pPr>
        <w:ind w:left="1440" w:hanging="720"/>
      </w:pPr>
      <w:r w:rsidRPr="001A7517">
        <w:t>To convert for CCR, multiply by:  —</w:t>
      </w:r>
    </w:p>
    <w:p w14:paraId="341C8FDB" w14:textId="77777777" w:rsidR="00D60A5D" w:rsidRPr="001A7517" w:rsidRDefault="00D60A5D" w:rsidP="00D60A5D">
      <w:pPr>
        <w:ind w:left="1440" w:hanging="720"/>
      </w:pPr>
      <w:r w:rsidRPr="001A7517">
        <w:t>MCL in CCR units:  2</w:t>
      </w:r>
    </w:p>
    <w:p w14:paraId="46C7A631" w14:textId="77777777" w:rsidR="00D60A5D" w:rsidRPr="001A7517" w:rsidRDefault="00D60A5D" w:rsidP="00D60A5D">
      <w:pPr>
        <w:ind w:left="1440" w:hanging="720"/>
      </w:pPr>
      <w:r w:rsidRPr="001A7517">
        <w:t>MCLG:  2</w:t>
      </w:r>
    </w:p>
    <w:p w14:paraId="743F7346" w14:textId="77777777" w:rsidR="00D60A5D" w:rsidRPr="001A7517" w:rsidRDefault="00D60A5D" w:rsidP="00D60A5D">
      <w:pPr>
        <w:ind w:left="1440" w:hanging="720"/>
      </w:pPr>
      <w:r w:rsidRPr="001A7517">
        <w:t>Major sources in drinking water:  Discharge of drilling wastes; discharge from metal refineries; erosion of natural deposits.</w:t>
      </w:r>
    </w:p>
    <w:p w14:paraId="41363D97" w14:textId="77777777" w:rsidR="00D60A5D" w:rsidRPr="001A7517" w:rsidRDefault="00D60A5D" w:rsidP="00D60A5D">
      <w:pPr>
        <w:spacing w:after="240"/>
        <w:ind w:left="1440" w:hanging="720"/>
      </w:pPr>
      <w:r w:rsidRPr="001A7517">
        <w:t>Health effects language:  Some people who drink water containing barium in excess of the MCL over many years could experience an increase in their blood pressure.</w:t>
      </w:r>
    </w:p>
    <w:p w14:paraId="58E598C1" w14:textId="77777777" w:rsidR="00D60A5D" w:rsidRPr="001A7517" w:rsidRDefault="00D60A5D" w:rsidP="00D60A5D">
      <w:pPr>
        <w:spacing w:before="240"/>
        <w:ind w:left="1440" w:hanging="720"/>
      </w:pPr>
      <w:r w:rsidRPr="001A7517">
        <w:lastRenderedPageBreak/>
        <w:t>Contaminant (units):  Beryllium (ppb)</w:t>
      </w:r>
    </w:p>
    <w:p w14:paraId="7B220837" w14:textId="77777777" w:rsidR="00D60A5D" w:rsidRPr="001A7517" w:rsidRDefault="00D60A5D" w:rsidP="00D60A5D">
      <w:pPr>
        <w:ind w:left="1440" w:hanging="720"/>
      </w:pPr>
      <w:r w:rsidRPr="001A7517">
        <w:t>Traditional MCL in mg/ℓ:  0.004</w:t>
      </w:r>
    </w:p>
    <w:p w14:paraId="63A21998" w14:textId="77777777" w:rsidR="00D60A5D" w:rsidRPr="001A7517" w:rsidRDefault="00D60A5D" w:rsidP="00D60A5D">
      <w:pPr>
        <w:ind w:left="1440" w:hanging="720"/>
      </w:pPr>
      <w:r w:rsidRPr="001A7517">
        <w:t>To convert for CCR, multiply by:  1000</w:t>
      </w:r>
    </w:p>
    <w:p w14:paraId="5CBCC08C" w14:textId="77777777" w:rsidR="00D60A5D" w:rsidRPr="001A7517" w:rsidRDefault="00D60A5D" w:rsidP="00D60A5D">
      <w:pPr>
        <w:ind w:left="1440" w:hanging="720"/>
      </w:pPr>
      <w:r w:rsidRPr="001A7517">
        <w:t>MCL in CCR units:  4</w:t>
      </w:r>
    </w:p>
    <w:p w14:paraId="50339D04" w14:textId="77777777" w:rsidR="00D60A5D" w:rsidRPr="001A7517" w:rsidRDefault="00D60A5D" w:rsidP="00D60A5D">
      <w:pPr>
        <w:ind w:left="1440" w:hanging="720"/>
      </w:pPr>
      <w:r w:rsidRPr="001A7517">
        <w:t>MCLG:  4</w:t>
      </w:r>
    </w:p>
    <w:p w14:paraId="671B7A58" w14:textId="77777777" w:rsidR="00D60A5D" w:rsidRPr="001A7517" w:rsidRDefault="00D60A5D" w:rsidP="00D60A5D">
      <w:pPr>
        <w:ind w:left="1440" w:hanging="720"/>
      </w:pPr>
      <w:r w:rsidRPr="001A7517">
        <w:t>Major sources in drinking water:  Discharge from metal refineries and coal-burning factories; discharge from electrical, aerospace, and defense industries.</w:t>
      </w:r>
    </w:p>
    <w:p w14:paraId="24315E48" w14:textId="77777777" w:rsidR="00D60A5D" w:rsidRPr="001A7517" w:rsidRDefault="00D60A5D" w:rsidP="00D60A5D">
      <w:pPr>
        <w:spacing w:after="240"/>
        <w:ind w:left="1440" w:hanging="720"/>
      </w:pPr>
      <w:r w:rsidRPr="001A7517">
        <w:t>Health effects language:  Some people who drink water containing beryllium well in excess of the MCL over many years could develop intestinal lesions.</w:t>
      </w:r>
    </w:p>
    <w:p w14:paraId="14FAC19B" w14:textId="77777777" w:rsidR="00D60A5D" w:rsidRPr="001A7517" w:rsidRDefault="00D60A5D" w:rsidP="00D60A5D">
      <w:pPr>
        <w:spacing w:before="240"/>
        <w:ind w:left="1440" w:hanging="720"/>
      </w:pPr>
      <w:r w:rsidRPr="001A7517">
        <w:t>Contaminant (units):  Bromate (ppb)</w:t>
      </w:r>
    </w:p>
    <w:p w14:paraId="72E21BCA" w14:textId="77777777" w:rsidR="00D60A5D" w:rsidRPr="001A7517" w:rsidRDefault="00D60A5D" w:rsidP="00D60A5D">
      <w:pPr>
        <w:ind w:left="1440" w:hanging="720"/>
      </w:pPr>
      <w:r w:rsidRPr="001A7517">
        <w:t>Traditional MCL in mg/ℓ:  0.010</w:t>
      </w:r>
    </w:p>
    <w:p w14:paraId="67511555" w14:textId="77777777" w:rsidR="00D60A5D" w:rsidRPr="001A7517" w:rsidRDefault="00D60A5D" w:rsidP="00D60A5D">
      <w:pPr>
        <w:ind w:left="1440" w:hanging="720"/>
      </w:pPr>
      <w:r w:rsidRPr="001A7517">
        <w:t>To convert for CCR, multiply by:  1000</w:t>
      </w:r>
    </w:p>
    <w:p w14:paraId="2CAC4EF2" w14:textId="77777777" w:rsidR="00D60A5D" w:rsidRPr="001A7517" w:rsidRDefault="00D60A5D" w:rsidP="00D60A5D">
      <w:pPr>
        <w:ind w:left="1440" w:hanging="720"/>
      </w:pPr>
      <w:r w:rsidRPr="001A7517">
        <w:t>MCL in CCR units:  10</w:t>
      </w:r>
    </w:p>
    <w:p w14:paraId="695D776C" w14:textId="77777777" w:rsidR="00D60A5D" w:rsidRPr="001A7517" w:rsidRDefault="00D60A5D" w:rsidP="00D60A5D">
      <w:pPr>
        <w:ind w:left="1440" w:hanging="720"/>
      </w:pPr>
      <w:r w:rsidRPr="001A7517">
        <w:t>MCLG:  0</w:t>
      </w:r>
    </w:p>
    <w:p w14:paraId="41BB5E73" w14:textId="77777777" w:rsidR="00D60A5D" w:rsidRPr="001A7517" w:rsidRDefault="00D60A5D" w:rsidP="00D60A5D">
      <w:pPr>
        <w:ind w:left="1440" w:hanging="720"/>
      </w:pPr>
      <w:r w:rsidRPr="001A7517">
        <w:t>Major sources in drinking water:  By-product of drinking water disinfection.</w:t>
      </w:r>
    </w:p>
    <w:p w14:paraId="4C23310D" w14:textId="77777777" w:rsidR="00D60A5D" w:rsidRPr="001A7517" w:rsidRDefault="00D60A5D" w:rsidP="00D60A5D">
      <w:pPr>
        <w:spacing w:after="240"/>
        <w:ind w:left="1440" w:hanging="720"/>
      </w:pPr>
      <w:r w:rsidRPr="001A7517">
        <w:t>Health effects language:  Some people who drink water containing bromate in excess of the MCL over many years may have an increased risk of getting cancer.</w:t>
      </w:r>
    </w:p>
    <w:p w14:paraId="7D1DA04D" w14:textId="77777777" w:rsidR="00D60A5D" w:rsidRPr="001A7517" w:rsidRDefault="00D60A5D" w:rsidP="00D60A5D">
      <w:pPr>
        <w:spacing w:before="240"/>
        <w:ind w:left="1440" w:hanging="720"/>
      </w:pPr>
      <w:r w:rsidRPr="001A7517">
        <w:t>Contaminant (units):  Cadmium (ppb)</w:t>
      </w:r>
    </w:p>
    <w:p w14:paraId="749BAF58" w14:textId="77777777" w:rsidR="00D60A5D" w:rsidRPr="001A7517" w:rsidRDefault="00D60A5D" w:rsidP="00D60A5D">
      <w:pPr>
        <w:ind w:left="1440" w:hanging="720"/>
      </w:pPr>
      <w:r w:rsidRPr="001A7517">
        <w:t>Traditional MCL in mg/ℓ:  0.005</w:t>
      </w:r>
    </w:p>
    <w:p w14:paraId="13A2A919" w14:textId="77777777" w:rsidR="00D60A5D" w:rsidRPr="001A7517" w:rsidRDefault="00D60A5D" w:rsidP="00D60A5D">
      <w:pPr>
        <w:ind w:left="1440" w:hanging="720"/>
      </w:pPr>
      <w:r w:rsidRPr="001A7517">
        <w:t>To convert for CCR, multiply by:  1000</w:t>
      </w:r>
    </w:p>
    <w:p w14:paraId="623DEDBC" w14:textId="77777777" w:rsidR="00D60A5D" w:rsidRPr="001A7517" w:rsidRDefault="00D60A5D" w:rsidP="00D60A5D">
      <w:pPr>
        <w:ind w:left="1440" w:hanging="720"/>
      </w:pPr>
      <w:r w:rsidRPr="001A7517">
        <w:t>MCL in CCR units:  5</w:t>
      </w:r>
    </w:p>
    <w:p w14:paraId="7CD63456" w14:textId="77777777" w:rsidR="00D60A5D" w:rsidRPr="001A7517" w:rsidRDefault="00D60A5D" w:rsidP="00D60A5D">
      <w:pPr>
        <w:ind w:left="1440" w:hanging="720"/>
      </w:pPr>
      <w:r w:rsidRPr="001A7517">
        <w:t>MCLG:  5</w:t>
      </w:r>
    </w:p>
    <w:p w14:paraId="40A2CECA" w14:textId="77777777" w:rsidR="00D60A5D" w:rsidRPr="001A7517" w:rsidRDefault="00D60A5D" w:rsidP="00D60A5D">
      <w:pPr>
        <w:ind w:left="1440" w:hanging="720"/>
      </w:pPr>
      <w:r w:rsidRPr="001A7517">
        <w:t>Major sources in drinking water:  Corrosion of galvanized pipes; erosion of natural deposits; discharge from metal refineries; runoff from waste batteries and paints.</w:t>
      </w:r>
    </w:p>
    <w:p w14:paraId="40E3E57D" w14:textId="77777777" w:rsidR="00D60A5D" w:rsidRPr="001A7517" w:rsidRDefault="00D60A5D" w:rsidP="00D60A5D">
      <w:pPr>
        <w:spacing w:after="240"/>
        <w:ind w:left="1440" w:hanging="720"/>
      </w:pPr>
      <w:r w:rsidRPr="001A7517">
        <w:t>Health effects language:  Some people who drink water containing cadmium in excess of the MCL over many years could experience kidney damage.</w:t>
      </w:r>
    </w:p>
    <w:p w14:paraId="01E7B88B" w14:textId="77777777" w:rsidR="00D60A5D" w:rsidRPr="001A7517" w:rsidRDefault="00D60A5D" w:rsidP="00D60A5D">
      <w:pPr>
        <w:spacing w:before="240"/>
        <w:ind w:left="1440" w:hanging="720"/>
      </w:pPr>
      <w:r w:rsidRPr="001A7517">
        <w:t>Contaminant (units):  Chloramines (ppm)</w:t>
      </w:r>
    </w:p>
    <w:p w14:paraId="319F4E97" w14:textId="77777777" w:rsidR="00D60A5D" w:rsidRPr="001A7517" w:rsidRDefault="00D60A5D" w:rsidP="00D60A5D">
      <w:pPr>
        <w:ind w:left="1440" w:hanging="720"/>
      </w:pPr>
      <w:r w:rsidRPr="001A7517">
        <w:t>Traditional MCL in mg/ℓ:  MRDL=4</w:t>
      </w:r>
    </w:p>
    <w:p w14:paraId="4796C322" w14:textId="77777777" w:rsidR="00D60A5D" w:rsidRPr="001A7517" w:rsidRDefault="00D60A5D" w:rsidP="00D60A5D">
      <w:pPr>
        <w:ind w:left="1440" w:hanging="720"/>
      </w:pPr>
      <w:r w:rsidRPr="001A7517">
        <w:t>To convert for CCR, multiply by:  —</w:t>
      </w:r>
    </w:p>
    <w:p w14:paraId="7DC8DCBE" w14:textId="77777777" w:rsidR="00D60A5D" w:rsidRPr="001A7517" w:rsidRDefault="00D60A5D" w:rsidP="00D60A5D">
      <w:pPr>
        <w:ind w:left="1440" w:hanging="720"/>
      </w:pPr>
      <w:r w:rsidRPr="001A7517">
        <w:t>MCL in CCR units:  MRDL=4</w:t>
      </w:r>
    </w:p>
    <w:p w14:paraId="1DC96CB9" w14:textId="77777777" w:rsidR="00D60A5D" w:rsidRPr="001A7517" w:rsidRDefault="00D60A5D" w:rsidP="00D60A5D">
      <w:pPr>
        <w:ind w:left="1440" w:hanging="720"/>
      </w:pPr>
      <w:r w:rsidRPr="001A7517">
        <w:t>MCLG:  MRDLG=4</w:t>
      </w:r>
    </w:p>
    <w:p w14:paraId="535CA6E2" w14:textId="77777777" w:rsidR="00D60A5D" w:rsidRPr="001A7517" w:rsidRDefault="00D60A5D" w:rsidP="00D60A5D">
      <w:pPr>
        <w:ind w:left="1440" w:hanging="720"/>
      </w:pPr>
      <w:r w:rsidRPr="001A7517">
        <w:t>Major sources in drinking water:  Water additive used to control microbes.</w:t>
      </w:r>
    </w:p>
    <w:p w14:paraId="247B165A" w14:textId="77777777" w:rsidR="00D60A5D" w:rsidRPr="001A7517" w:rsidRDefault="00D60A5D" w:rsidP="00D60A5D">
      <w:pPr>
        <w:spacing w:after="240"/>
        <w:ind w:left="1440" w:hanging="720"/>
      </w:pPr>
      <w:r w:rsidRPr="001A7517">
        <w:t>Health effects language:  Some people who drink water containing chloramines well in excess of the MRDL could experience irritating effects to their eyes and nose.  Some people who drink water containing chloramines well in excess of the MRDL could experience stomach discomfort or anemia.</w:t>
      </w:r>
    </w:p>
    <w:p w14:paraId="211543E7" w14:textId="77777777" w:rsidR="00D60A5D" w:rsidRPr="001A7517" w:rsidRDefault="00D60A5D" w:rsidP="00D60A5D">
      <w:pPr>
        <w:spacing w:before="240"/>
        <w:ind w:left="1440" w:hanging="720"/>
      </w:pPr>
      <w:r w:rsidRPr="001A7517">
        <w:t>Contaminant (units):  Chlorine (ppm)</w:t>
      </w:r>
    </w:p>
    <w:p w14:paraId="47DABA27" w14:textId="77777777" w:rsidR="00D60A5D" w:rsidRPr="001A7517" w:rsidRDefault="00D60A5D" w:rsidP="00D60A5D">
      <w:pPr>
        <w:ind w:left="1440" w:hanging="720"/>
      </w:pPr>
      <w:r w:rsidRPr="001A7517">
        <w:t>Traditional MCL in mg/ℓ:  MRDL=4</w:t>
      </w:r>
    </w:p>
    <w:p w14:paraId="2D243DB7" w14:textId="77777777" w:rsidR="00D60A5D" w:rsidRPr="001A7517" w:rsidRDefault="00D60A5D" w:rsidP="00D60A5D">
      <w:pPr>
        <w:ind w:left="1440" w:hanging="720"/>
      </w:pPr>
      <w:r w:rsidRPr="001A7517">
        <w:t>To convert for CCR, multiply by:  —</w:t>
      </w:r>
    </w:p>
    <w:p w14:paraId="62605D43" w14:textId="77777777" w:rsidR="00D60A5D" w:rsidRPr="001A7517" w:rsidRDefault="00D60A5D" w:rsidP="00D60A5D">
      <w:pPr>
        <w:ind w:left="1440" w:hanging="720"/>
      </w:pPr>
      <w:r w:rsidRPr="001A7517">
        <w:t>MCL in CCR units:  MRDL=4</w:t>
      </w:r>
    </w:p>
    <w:p w14:paraId="25E6ADA1" w14:textId="77777777" w:rsidR="00D60A5D" w:rsidRPr="001A7517" w:rsidRDefault="00D60A5D" w:rsidP="00D60A5D">
      <w:pPr>
        <w:ind w:left="1440" w:hanging="720"/>
      </w:pPr>
      <w:r w:rsidRPr="001A7517">
        <w:t>MCLG:  MRDLG=4</w:t>
      </w:r>
    </w:p>
    <w:p w14:paraId="1D9FCE9C" w14:textId="77777777" w:rsidR="00D60A5D" w:rsidRPr="001A7517" w:rsidRDefault="00D60A5D" w:rsidP="00D60A5D">
      <w:pPr>
        <w:ind w:left="1440" w:hanging="720"/>
      </w:pPr>
      <w:r w:rsidRPr="001A7517">
        <w:lastRenderedPageBreak/>
        <w:t>Major sources in drinking water:  Water additive used to control microbes.</w:t>
      </w:r>
    </w:p>
    <w:p w14:paraId="16C5F756" w14:textId="77777777" w:rsidR="00D60A5D" w:rsidRPr="001A7517" w:rsidRDefault="00D60A5D" w:rsidP="00D60A5D">
      <w:pPr>
        <w:spacing w:after="240"/>
        <w:ind w:left="1440" w:hanging="720"/>
      </w:pPr>
      <w:r w:rsidRPr="001A7517">
        <w:t>Health effects language:  Some people who drink water containing chlorine well in excess of the MRDL could experience irritating effects to their eyes and nose.  Some people who drink water containing chlorine well in excess of the MRDL could experience stomach discomfort.</w:t>
      </w:r>
    </w:p>
    <w:p w14:paraId="43AE6EB7" w14:textId="77777777" w:rsidR="00D60A5D" w:rsidRPr="001A7517" w:rsidRDefault="00D60A5D" w:rsidP="00D60A5D">
      <w:pPr>
        <w:spacing w:before="240"/>
        <w:ind w:left="1440" w:hanging="720"/>
      </w:pPr>
      <w:r w:rsidRPr="001A7517">
        <w:t>Contaminant (units):  Chlorine dioxide (ppb)</w:t>
      </w:r>
    </w:p>
    <w:p w14:paraId="15DA3F78" w14:textId="77777777" w:rsidR="00D60A5D" w:rsidRPr="001A7517" w:rsidRDefault="00D60A5D" w:rsidP="00D60A5D">
      <w:pPr>
        <w:ind w:left="1440" w:hanging="720"/>
      </w:pPr>
      <w:r w:rsidRPr="001A7517">
        <w:t>Traditional MCL in mg/ℓ:  MRDL=800</w:t>
      </w:r>
    </w:p>
    <w:p w14:paraId="70C1A207" w14:textId="77777777" w:rsidR="00D60A5D" w:rsidRPr="001A7517" w:rsidRDefault="00D60A5D" w:rsidP="00D60A5D">
      <w:pPr>
        <w:ind w:left="1440" w:hanging="720"/>
      </w:pPr>
      <w:r w:rsidRPr="001A7517">
        <w:t>To convert for CCR, multiply by:  1000</w:t>
      </w:r>
    </w:p>
    <w:p w14:paraId="4F71D2AA" w14:textId="77777777" w:rsidR="00D60A5D" w:rsidRPr="001A7517" w:rsidRDefault="00D60A5D" w:rsidP="00D60A5D">
      <w:pPr>
        <w:ind w:left="1440" w:hanging="720"/>
      </w:pPr>
      <w:r w:rsidRPr="001A7517">
        <w:t>MCL in CCR units:  MRDL=800</w:t>
      </w:r>
    </w:p>
    <w:p w14:paraId="5CABA1CB" w14:textId="77777777" w:rsidR="00D60A5D" w:rsidRPr="001A7517" w:rsidRDefault="00D60A5D" w:rsidP="00D60A5D">
      <w:pPr>
        <w:ind w:left="1440" w:hanging="720"/>
      </w:pPr>
      <w:r w:rsidRPr="001A7517">
        <w:t>MCLG:  MRDLG=800</w:t>
      </w:r>
    </w:p>
    <w:p w14:paraId="3F6AC103" w14:textId="77777777" w:rsidR="00D60A5D" w:rsidRPr="001A7517" w:rsidRDefault="00D60A5D" w:rsidP="00D60A5D">
      <w:pPr>
        <w:ind w:left="1440" w:hanging="720"/>
      </w:pPr>
      <w:r w:rsidRPr="001A7517">
        <w:t>Major sources in drinking water:  Water additive used to control microbes.</w:t>
      </w:r>
    </w:p>
    <w:p w14:paraId="7D7B68E0" w14:textId="77777777" w:rsidR="00D60A5D" w:rsidRPr="001A7517" w:rsidRDefault="00D60A5D" w:rsidP="00D60A5D">
      <w:pPr>
        <w:spacing w:after="240"/>
        <w:ind w:left="1440" w:hanging="720"/>
      </w:pPr>
      <w:r w:rsidRPr="001A7517">
        <w:t>Health effects language:  Some infants and young children who drink water containing chlorine dioxide well in excess of the MRDL could experience nervous system effects.  Similar effects may occur in fetuses of pregnant women who drink water containing chlorine dioxide in excess of the MRDL.  Some people may experience anemia.</w:t>
      </w:r>
    </w:p>
    <w:p w14:paraId="027362F3" w14:textId="77777777" w:rsidR="00D60A5D" w:rsidRPr="001A7517" w:rsidRDefault="00D60A5D" w:rsidP="00D60A5D">
      <w:pPr>
        <w:spacing w:before="240"/>
        <w:ind w:left="1440" w:hanging="720"/>
      </w:pPr>
      <w:r w:rsidRPr="001A7517">
        <w:t>Contaminant (units):  Chlorite (ppm)</w:t>
      </w:r>
    </w:p>
    <w:p w14:paraId="1FA7A446" w14:textId="77777777" w:rsidR="00D60A5D" w:rsidRPr="001A7517" w:rsidRDefault="00D60A5D" w:rsidP="00D60A5D">
      <w:pPr>
        <w:ind w:left="1440" w:hanging="720"/>
      </w:pPr>
      <w:r w:rsidRPr="001A7517">
        <w:t>Traditional MCL in mg/ℓ:  MRDL=1</w:t>
      </w:r>
    </w:p>
    <w:p w14:paraId="7D55DA69" w14:textId="77777777" w:rsidR="00D60A5D" w:rsidRPr="001A7517" w:rsidRDefault="00D60A5D" w:rsidP="00D60A5D">
      <w:pPr>
        <w:ind w:left="1440" w:hanging="720"/>
      </w:pPr>
      <w:r w:rsidRPr="001A7517">
        <w:t>To convert for CCR, multiply by:  —</w:t>
      </w:r>
    </w:p>
    <w:p w14:paraId="61A8DBD6" w14:textId="77777777" w:rsidR="00D60A5D" w:rsidRPr="001A7517" w:rsidRDefault="00D60A5D" w:rsidP="00D60A5D">
      <w:pPr>
        <w:ind w:left="1440" w:hanging="720"/>
      </w:pPr>
      <w:r w:rsidRPr="001A7517">
        <w:t>MCL in CCR units:  MRDL=1</w:t>
      </w:r>
    </w:p>
    <w:p w14:paraId="26069DF3" w14:textId="77777777" w:rsidR="00D60A5D" w:rsidRPr="001A7517" w:rsidRDefault="00D60A5D" w:rsidP="00D60A5D">
      <w:pPr>
        <w:ind w:left="1440" w:hanging="720"/>
      </w:pPr>
      <w:r w:rsidRPr="001A7517">
        <w:t>MCLG:  MRDLG=0.8</w:t>
      </w:r>
    </w:p>
    <w:p w14:paraId="66E63AC2" w14:textId="77777777" w:rsidR="00D60A5D" w:rsidRPr="001A7517" w:rsidRDefault="00D60A5D" w:rsidP="00D60A5D">
      <w:pPr>
        <w:ind w:left="1440" w:hanging="720"/>
      </w:pPr>
      <w:r w:rsidRPr="001A7517">
        <w:t>Major sources in drinking water:  By-product of drinking water disinfection.</w:t>
      </w:r>
    </w:p>
    <w:p w14:paraId="29690942" w14:textId="77777777" w:rsidR="00D60A5D" w:rsidRPr="001A7517" w:rsidRDefault="00D60A5D" w:rsidP="00D60A5D">
      <w:pPr>
        <w:spacing w:after="240"/>
        <w:ind w:left="1440" w:hanging="720"/>
      </w:pPr>
      <w:r w:rsidRPr="001A7517">
        <w:t>Health effects language:  Some infants and young children who drink water containing chlorite well in excess of the MCL could experience nervous system effects.  Similar effects may occur in fetuses of pregnant women who drink water containing chlorite in excess of the MCL.  Some people may experience anemia.</w:t>
      </w:r>
    </w:p>
    <w:p w14:paraId="3D94E837" w14:textId="77777777" w:rsidR="00D60A5D" w:rsidRPr="001A7517" w:rsidRDefault="00D60A5D" w:rsidP="00D60A5D">
      <w:pPr>
        <w:spacing w:before="240"/>
        <w:ind w:left="1440" w:hanging="720"/>
      </w:pPr>
      <w:r w:rsidRPr="001A7517">
        <w:t>Contaminant (units):  Chromium (ppb)</w:t>
      </w:r>
    </w:p>
    <w:p w14:paraId="149D6B83" w14:textId="77777777" w:rsidR="00D60A5D" w:rsidRPr="001A7517" w:rsidRDefault="00D60A5D" w:rsidP="00D60A5D">
      <w:pPr>
        <w:ind w:left="1440" w:hanging="720"/>
      </w:pPr>
      <w:r w:rsidRPr="001A7517">
        <w:t>Traditional MCL in mg/ℓ:  0.1</w:t>
      </w:r>
    </w:p>
    <w:p w14:paraId="763238C8" w14:textId="77777777" w:rsidR="00D60A5D" w:rsidRPr="001A7517" w:rsidRDefault="00D60A5D" w:rsidP="00D60A5D">
      <w:pPr>
        <w:ind w:left="1440" w:hanging="720"/>
      </w:pPr>
      <w:r w:rsidRPr="001A7517">
        <w:t>To convert for CCR, multiply by:  1000</w:t>
      </w:r>
    </w:p>
    <w:p w14:paraId="7FB959B2" w14:textId="77777777" w:rsidR="00D60A5D" w:rsidRPr="001A7517" w:rsidRDefault="00D60A5D" w:rsidP="00D60A5D">
      <w:pPr>
        <w:ind w:left="1440" w:hanging="720"/>
      </w:pPr>
      <w:r w:rsidRPr="001A7517">
        <w:t>MCL in CCR units:  100</w:t>
      </w:r>
    </w:p>
    <w:p w14:paraId="04B30A6A" w14:textId="77777777" w:rsidR="00D60A5D" w:rsidRPr="001A7517" w:rsidRDefault="00D60A5D" w:rsidP="00D60A5D">
      <w:pPr>
        <w:ind w:left="1440" w:hanging="720"/>
      </w:pPr>
      <w:r w:rsidRPr="001A7517">
        <w:t>MCLG:  100</w:t>
      </w:r>
    </w:p>
    <w:p w14:paraId="63A324A6" w14:textId="77777777" w:rsidR="00D60A5D" w:rsidRPr="001A7517" w:rsidRDefault="00D60A5D" w:rsidP="00D60A5D">
      <w:pPr>
        <w:ind w:left="1440" w:hanging="720"/>
      </w:pPr>
      <w:r w:rsidRPr="001A7517">
        <w:t>Major sources in drinking water:  Discharge from steel and pulp mills; erosion of natural deposits.</w:t>
      </w:r>
    </w:p>
    <w:p w14:paraId="04C1F197" w14:textId="77777777" w:rsidR="00D60A5D" w:rsidRPr="001A7517" w:rsidRDefault="00D60A5D" w:rsidP="00D60A5D">
      <w:pPr>
        <w:spacing w:after="240"/>
        <w:ind w:left="1440" w:hanging="720"/>
      </w:pPr>
      <w:r w:rsidRPr="001A7517">
        <w:t>Health effects language:  Some people who use water containing chromium well in excess of the MCL over many years could experience allergic dermatitis.</w:t>
      </w:r>
    </w:p>
    <w:p w14:paraId="1F5DD5F2" w14:textId="77777777" w:rsidR="00D60A5D" w:rsidRPr="001A7517" w:rsidRDefault="00D60A5D" w:rsidP="00D60A5D">
      <w:pPr>
        <w:spacing w:before="240"/>
        <w:ind w:left="1440" w:hanging="720"/>
      </w:pPr>
      <w:r w:rsidRPr="001A7517">
        <w:t>Contaminant (units):  Copper (ppm)</w:t>
      </w:r>
    </w:p>
    <w:p w14:paraId="6DE55F35" w14:textId="77777777" w:rsidR="00D60A5D" w:rsidRPr="001A7517" w:rsidRDefault="00D60A5D" w:rsidP="00D60A5D">
      <w:pPr>
        <w:ind w:left="1440" w:hanging="720"/>
      </w:pPr>
      <w:r w:rsidRPr="001A7517">
        <w:t>Traditional MCL in mg/ℓ:  AL=1.3</w:t>
      </w:r>
    </w:p>
    <w:p w14:paraId="13825A3C" w14:textId="77777777" w:rsidR="00D60A5D" w:rsidRPr="001A7517" w:rsidRDefault="00D60A5D" w:rsidP="00D60A5D">
      <w:pPr>
        <w:ind w:left="1440" w:hanging="720"/>
      </w:pPr>
      <w:r w:rsidRPr="001A7517">
        <w:t>To convert for CCR, multiply by:  —</w:t>
      </w:r>
    </w:p>
    <w:p w14:paraId="0ACC6B85" w14:textId="77777777" w:rsidR="00D60A5D" w:rsidRPr="001A7517" w:rsidRDefault="00D60A5D" w:rsidP="00D60A5D">
      <w:pPr>
        <w:ind w:left="1440" w:hanging="720"/>
      </w:pPr>
      <w:r w:rsidRPr="001A7517">
        <w:t>MCL in CCR units:  AL=1.3</w:t>
      </w:r>
    </w:p>
    <w:p w14:paraId="5F4577E0" w14:textId="77777777" w:rsidR="00D60A5D" w:rsidRPr="001A7517" w:rsidRDefault="00D60A5D" w:rsidP="00D60A5D">
      <w:pPr>
        <w:ind w:left="1440" w:hanging="720"/>
      </w:pPr>
      <w:r w:rsidRPr="001A7517">
        <w:t>MCLG:  1.3</w:t>
      </w:r>
    </w:p>
    <w:p w14:paraId="0714ACD0" w14:textId="77777777" w:rsidR="00D60A5D" w:rsidRPr="001A7517" w:rsidRDefault="00D60A5D" w:rsidP="00D60A5D">
      <w:pPr>
        <w:ind w:left="1440" w:hanging="720"/>
      </w:pPr>
      <w:r w:rsidRPr="001A7517">
        <w:lastRenderedPageBreak/>
        <w:t>Major sources in drinking water:  Corrosion of household plumbing systems; erosion of natural deposits.</w:t>
      </w:r>
    </w:p>
    <w:p w14:paraId="3F365246" w14:textId="77777777" w:rsidR="00D60A5D" w:rsidRPr="001A7517" w:rsidRDefault="00D60A5D" w:rsidP="00D60A5D">
      <w:pPr>
        <w:spacing w:after="240"/>
        <w:ind w:left="1440" w:hanging="720"/>
      </w:pPr>
      <w:r w:rsidRPr="001A7517">
        <w:t>Health effects language:  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p w14:paraId="21FF0F70" w14:textId="77777777" w:rsidR="00D60A5D" w:rsidRPr="001A7517" w:rsidRDefault="00D60A5D" w:rsidP="00D60A5D">
      <w:pPr>
        <w:spacing w:before="240"/>
        <w:ind w:left="1440" w:hanging="720"/>
      </w:pPr>
      <w:r w:rsidRPr="001A7517">
        <w:t>Contaminant (units):  Cyanide (ppb)</w:t>
      </w:r>
    </w:p>
    <w:p w14:paraId="51000484" w14:textId="77777777" w:rsidR="00D60A5D" w:rsidRPr="001A7517" w:rsidRDefault="00D60A5D" w:rsidP="00D60A5D">
      <w:pPr>
        <w:ind w:left="1440" w:hanging="720"/>
      </w:pPr>
      <w:r w:rsidRPr="001A7517">
        <w:t>Traditional MCL in mg/ℓ:  0.2</w:t>
      </w:r>
    </w:p>
    <w:p w14:paraId="08BA2B13" w14:textId="77777777" w:rsidR="00D60A5D" w:rsidRPr="001A7517" w:rsidRDefault="00D60A5D" w:rsidP="00D60A5D">
      <w:pPr>
        <w:ind w:left="1440" w:hanging="720"/>
      </w:pPr>
      <w:r w:rsidRPr="001A7517">
        <w:t>To convert for CCR, multiply by:  1000</w:t>
      </w:r>
    </w:p>
    <w:p w14:paraId="691339B0" w14:textId="77777777" w:rsidR="00D60A5D" w:rsidRPr="001A7517" w:rsidRDefault="00D60A5D" w:rsidP="00D60A5D">
      <w:pPr>
        <w:ind w:left="1440" w:hanging="720"/>
      </w:pPr>
      <w:r w:rsidRPr="001A7517">
        <w:t>MCL in CCR units:  200</w:t>
      </w:r>
    </w:p>
    <w:p w14:paraId="21990136" w14:textId="77777777" w:rsidR="00D60A5D" w:rsidRPr="001A7517" w:rsidRDefault="00D60A5D" w:rsidP="00D60A5D">
      <w:pPr>
        <w:ind w:left="1440" w:hanging="720"/>
      </w:pPr>
      <w:r w:rsidRPr="001A7517">
        <w:t>MCLG:  200</w:t>
      </w:r>
    </w:p>
    <w:p w14:paraId="05D03A28" w14:textId="77777777" w:rsidR="00D60A5D" w:rsidRPr="001A7517" w:rsidRDefault="00D60A5D" w:rsidP="00D60A5D">
      <w:pPr>
        <w:ind w:left="1440" w:hanging="720"/>
      </w:pPr>
      <w:r w:rsidRPr="001A7517">
        <w:t>Major sources in drinking water:  Discharge from steel/metal factories; discharge from plastic and fertilizer factories.</w:t>
      </w:r>
    </w:p>
    <w:p w14:paraId="2053B33A" w14:textId="77777777" w:rsidR="00D60A5D" w:rsidRPr="001A7517" w:rsidRDefault="00D60A5D" w:rsidP="00D60A5D">
      <w:pPr>
        <w:spacing w:after="240"/>
        <w:ind w:left="1440" w:hanging="720"/>
      </w:pPr>
      <w:r w:rsidRPr="001A7517">
        <w:t>Health effects language:  Some people who drink water containing cyanide well in excess of the MCL over many years could experience nerve damage or problems with their thyroid.</w:t>
      </w:r>
    </w:p>
    <w:p w14:paraId="460F6F5E" w14:textId="77777777" w:rsidR="00D60A5D" w:rsidRPr="001A7517" w:rsidRDefault="00D60A5D" w:rsidP="00D60A5D">
      <w:pPr>
        <w:spacing w:before="240"/>
        <w:ind w:left="1440" w:hanging="720"/>
      </w:pPr>
      <w:r w:rsidRPr="001A7517">
        <w:t>Contaminant (units):  Fluoride (ppm)</w:t>
      </w:r>
    </w:p>
    <w:p w14:paraId="593044EF" w14:textId="77777777" w:rsidR="00D60A5D" w:rsidRPr="001A7517" w:rsidRDefault="00D60A5D" w:rsidP="00D60A5D">
      <w:pPr>
        <w:ind w:left="1440" w:hanging="720"/>
      </w:pPr>
      <w:r w:rsidRPr="001A7517">
        <w:t>Traditional MCL in mg/ℓ:  4</w:t>
      </w:r>
    </w:p>
    <w:p w14:paraId="2BD17239" w14:textId="77777777" w:rsidR="00D60A5D" w:rsidRPr="001A7517" w:rsidRDefault="00D60A5D" w:rsidP="00D60A5D">
      <w:pPr>
        <w:ind w:left="1440" w:hanging="720"/>
      </w:pPr>
      <w:r w:rsidRPr="001A7517">
        <w:t>To convert for CCR, multiply by:  —</w:t>
      </w:r>
    </w:p>
    <w:p w14:paraId="1D17AFAE" w14:textId="77777777" w:rsidR="00D60A5D" w:rsidRPr="001A7517" w:rsidRDefault="00D60A5D" w:rsidP="00D60A5D">
      <w:pPr>
        <w:ind w:left="1440" w:hanging="720"/>
      </w:pPr>
      <w:r w:rsidRPr="001A7517">
        <w:t>MCL in CCR units:  4</w:t>
      </w:r>
    </w:p>
    <w:p w14:paraId="30BB57D1" w14:textId="77777777" w:rsidR="00D60A5D" w:rsidRPr="001A7517" w:rsidRDefault="00D60A5D" w:rsidP="00D60A5D">
      <w:pPr>
        <w:ind w:left="1440" w:hanging="720"/>
      </w:pPr>
      <w:r w:rsidRPr="001A7517">
        <w:t>MCLG:  4</w:t>
      </w:r>
    </w:p>
    <w:p w14:paraId="1E24A9D8" w14:textId="77777777" w:rsidR="00D60A5D" w:rsidRPr="001A7517" w:rsidRDefault="00D60A5D" w:rsidP="00D60A5D">
      <w:pPr>
        <w:ind w:left="1440" w:hanging="720"/>
      </w:pPr>
      <w:r w:rsidRPr="001A7517">
        <w:t>Major sources in drinking water:  Erosion of natural deposits; water additive that promotes strong teeth; discharge from fertilizer and aluminum factories.</w:t>
      </w:r>
    </w:p>
    <w:p w14:paraId="7F9490CB" w14:textId="77777777" w:rsidR="00D60A5D" w:rsidRPr="001A7517" w:rsidRDefault="00D60A5D" w:rsidP="00D60A5D">
      <w:pPr>
        <w:spacing w:after="240"/>
        <w:ind w:left="1440" w:hanging="720"/>
      </w:pPr>
      <w:r w:rsidRPr="001A7517">
        <w:t>Health effects language:  Some people who drink water containing fluoride in excess of the MCL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or pitting of the teeth, and occurs only in developing teeth before they erupt from the gums.</w:t>
      </w:r>
    </w:p>
    <w:p w14:paraId="0183A6F9" w14:textId="77777777" w:rsidR="00D60A5D" w:rsidRPr="001A7517" w:rsidRDefault="00D60A5D" w:rsidP="00D60A5D">
      <w:pPr>
        <w:spacing w:before="240"/>
        <w:ind w:left="1440" w:hanging="720"/>
      </w:pPr>
      <w:r w:rsidRPr="001A7517">
        <w:t>Contaminant (units):  Lead (ppb)</w:t>
      </w:r>
    </w:p>
    <w:p w14:paraId="32A94F3D" w14:textId="77777777" w:rsidR="00D60A5D" w:rsidRPr="001A7517" w:rsidRDefault="00D60A5D" w:rsidP="00D60A5D">
      <w:pPr>
        <w:ind w:left="1440" w:hanging="720"/>
      </w:pPr>
      <w:r w:rsidRPr="001A7517">
        <w:t>Traditional MCL in mg/ℓ:  AL=0.015</w:t>
      </w:r>
    </w:p>
    <w:p w14:paraId="24519428" w14:textId="77777777" w:rsidR="00D60A5D" w:rsidRPr="001A7517" w:rsidRDefault="00D60A5D" w:rsidP="00D60A5D">
      <w:pPr>
        <w:ind w:left="1440" w:hanging="720"/>
      </w:pPr>
      <w:r w:rsidRPr="001A7517">
        <w:t>To convert for CCR, multiply by:  1000</w:t>
      </w:r>
    </w:p>
    <w:p w14:paraId="68AD7BF6" w14:textId="77777777" w:rsidR="00D60A5D" w:rsidRPr="001A7517" w:rsidRDefault="00D60A5D" w:rsidP="00D60A5D">
      <w:pPr>
        <w:ind w:left="1440" w:hanging="720"/>
      </w:pPr>
      <w:r w:rsidRPr="001A7517">
        <w:t>MCL in CCR units:  AL=15</w:t>
      </w:r>
    </w:p>
    <w:p w14:paraId="6279821D" w14:textId="77777777" w:rsidR="00D60A5D" w:rsidRPr="001A7517" w:rsidRDefault="00D60A5D" w:rsidP="00D60A5D">
      <w:pPr>
        <w:ind w:left="1440" w:hanging="720"/>
      </w:pPr>
      <w:r w:rsidRPr="001A7517">
        <w:t>MCLG:  0</w:t>
      </w:r>
    </w:p>
    <w:p w14:paraId="6A8190B6" w14:textId="77777777" w:rsidR="00D60A5D" w:rsidRPr="001A7517" w:rsidRDefault="00D60A5D" w:rsidP="00D60A5D">
      <w:pPr>
        <w:ind w:left="1440" w:hanging="720"/>
      </w:pPr>
      <w:r w:rsidRPr="001A7517">
        <w:t>Major sources in drinking water:  Corrosion of household plumbing systems; erosion of natural deposits.</w:t>
      </w:r>
    </w:p>
    <w:p w14:paraId="079991D4" w14:textId="77777777" w:rsidR="00D60A5D" w:rsidRPr="001A7517" w:rsidRDefault="00D60A5D" w:rsidP="00D60A5D">
      <w:pPr>
        <w:spacing w:after="240"/>
        <w:ind w:left="1440" w:hanging="720"/>
      </w:pPr>
      <w:r w:rsidRPr="001A7517">
        <w:t xml:space="preserve">Health effects language:  Infants and children who drink water containing lead in excess of the action level could experience delays in their physical or mental development.  Children could show slight deficits in attention span and learning </w:t>
      </w:r>
      <w:r w:rsidRPr="001A7517">
        <w:lastRenderedPageBreak/>
        <w:t>abilities.  Adults who drink this water over many years could develop kidney problems or high blood pressure.</w:t>
      </w:r>
    </w:p>
    <w:p w14:paraId="297C2139" w14:textId="77777777" w:rsidR="00D60A5D" w:rsidRPr="001A7517" w:rsidRDefault="00D60A5D" w:rsidP="00D60A5D">
      <w:pPr>
        <w:spacing w:before="240"/>
        <w:ind w:left="1440" w:hanging="720"/>
      </w:pPr>
      <w:r w:rsidRPr="001A7517">
        <w:t>Contaminant (units):  Mercury (inorganic) (ppb)</w:t>
      </w:r>
    </w:p>
    <w:p w14:paraId="1A134BD2" w14:textId="77777777" w:rsidR="00D60A5D" w:rsidRPr="001A7517" w:rsidRDefault="00D60A5D" w:rsidP="00D60A5D">
      <w:pPr>
        <w:ind w:left="1440" w:hanging="720"/>
      </w:pPr>
      <w:r w:rsidRPr="001A7517">
        <w:t>Traditional MCL in mg/ℓ:  0.002</w:t>
      </w:r>
    </w:p>
    <w:p w14:paraId="71506F08" w14:textId="77777777" w:rsidR="00D60A5D" w:rsidRPr="001A7517" w:rsidRDefault="00D60A5D" w:rsidP="00D60A5D">
      <w:pPr>
        <w:ind w:left="1440" w:hanging="720"/>
      </w:pPr>
      <w:r w:rsidRPr="001A7517">
        <w:t>To convert for CCR, multiply by:  1000</w:t>
      </w:r>
    </w:p>
    <w:p w14:paraId="35C08B81" w14:textId="77777777" w:rsidR="00D60A5D" w:rsidRPr="001A7517" w:rsidRDefault="00D60A5D" w:rsidP="00D60A5D">
      <w:pPr>
        <w:ind w:left="1440" w:hanging="720"/>
      </w:pPr>
      <w:r w:rsidRPr="001A7517">
        <w:t>MCL in CCR units:  2</w:t>
      </w:r>
    </w:p>
    <w:p w14:paraId="36B4A89C" w14:textId="77777777" w:rsidR="00D60A5D" w:rsidRPr="001A7517" w:rsidRDefault="00D60A5D" w:rsidP="00D60A5D">
      <w:pPr>
        <w:ind w:left="1440" w:hanging="720"/>
      </w:pPr>
      <w:r w:rsidRPr="001A7517">
        <w:t>MCLG:  2</w:t>
      </w:r>
    </w:p>
    <w:p w14:paraId="4BB52CDB" w14:textId="77777777" w:rsidR="00D60A5D" w:rsidRPr="001A7517" w:rsidRDefault="00D60A5D" w:rsidP="00D60A5D">
      <w:pPr>
        <w:ind w:left="1440" w:hanging="720"/>
      </w:pPr>
      <w:r w:rsidRPr="001A7517">
        <w:t>Major sources in drinking water:  Erosion of natural deposits; discharge from refineries and factories; runoff from landfills; runoff from cropland.</w:t>
      </w:r>
    </w:p>
    <w:p w14:paraId="0086B2A4" w14:textId="77777777" w:rsidR="00D60A5D" w:rsidRPr="001A7517" w:rsidRDefault="00D60A5D" w:rsidP="00D60A5D">
      <w:pPr>
        <w:spacing w:after="240"/>
        <w:ind w:left="1440" w:hanging="720"/>
      </w:pPr>
      <w:r w:rsidRPr="001A7517">
        <w:t>Health effects language:  Some people who drink water containing inorganic mercury well in excess of the MCL over many years could experience kidney damage.</w:t>
      </w:r>
    </w:p>
    <w:p w14:paraId="4A7FF254" w14:textId="77777777" w:rsidR="00D60A5D" w:rsidRPr="001A7517" w:rsidRDefault="00D60A5D" w:rsidP="00D60A5D">
      <w:pPr>
        <w:spacing w:before="240"/>
        <w:ind w:left="1440" w:hanging="720"/>
      </w:pPr>
      <w:r w:rsidRPr="001A7517">
        <w:t>Contaminant (units):  Nitrate (ppm)</w:t>
      </w:r>
    </w:p>
    <w:p w14:paraId="29805590" w14:textId="77777777" w:rsidR="00D60A5D" w:rsidRPr="001A7517" w:rsidRDefault="00D60A5D" w:rsidP="00D60A5D">
      <w:pPr>
        <w:ind w:left="1440" w:hanging="720"/>
      </w:pPr>
      <w:r w:rsidRPr="001A7517">
        <w:t>Traditional MCL in mg/ℓ:  10</w:t>
      </w:r>
    </w:p>
    <w:p w14:paraId="3B5F3A79" w14:textId="77777777" w:rsidR="00D60A5D" w:rsidRPr="001A7517" w:rsidRDefault="00D60A5D" w:rsidP="00D60A5D">
      <w:pPr>
        <w:ind w:left="1440" w:hanging="720"/>
      </w:pPr>
      <w:r w:rsidRPr="001A7517">
        <w:t>To convert for CCR, multiply by:  —</w:t>
      </w:r>
    </w:p>
    <w:p w14:paraId="4F530088" w14:textId="77777777" w:rsidR="00D60A5D" w:rsidRPr="001A7517" w:rsidRDefault="00D60A5D" w:rsidP="00D60A5D">
      <w:pPr>
        <w:ind w:left="1440" w:hanging="720"/>
      </w:pPr>
      <w:r w:rsidRPr="001A7517">
        <w:t>MCL in CCR units:  10</w:t>
      </w:r>
    </w:p>
    <w:p w14:paraId="3E4853AC" w14:textId="77777777" w:rsidR="00D60A5D" w:rsidRPr="001A7517" w:rsidRDefault="00D60A5D" w:rsidP="00D60A5D">
      <w:pPr>
        <w:ind w:left="1440" w:hanging="720"/>
      </w:pPr>
      <w:r w:rsidRPr="001A7517">
        <w:t>MCLG:  10</w:t>
      </w:r>
    </w:p>
    <w:p w14:paraId="77BEC765" w14:textId="77777777" w:rsidR="00D60A5D" w:rsidRPr="001A7517" w:rsidRDefault="00D60A5D" w:rsidP="00D60A5D">
      <w:pPr>
        <w:ind w:left="1440" w:hanging="720"/>
      </w:pPr>
      <w:r w:rsidRPr="001A7517">
        <w:t>Major sources in drinking water:  Runoff from fertilizer use; leaching from septic tanks, sewage; erosion of natural deposits.</w:t>
      </w:r>
    </w:p>
    <w:p w14:paraId="6CF46CB1" w14:textId="77777777" w:rsidR="00D60A5D" w:rsidRPr="001A7517" w:rsidRDefault="00D60A5D" w:rsidP="00D60A5D">
      <w:pPr>
        <w:spacing w:after="240"/>
        <w:ind w:left="1440" w:hanging="720"/>
      </w:pPr>
      <w:r w:rsidRPr="001A7517">
        <w:t>Health effects language:  Infants below the age of six months who drink water containing nitrate in excess of the MCL could become seriously ill and, if untreated, may die.  Symptoms include shortness of breath and blue baby syndrome.</w:t>
      </w:r>
    </w:p>
    <w:p w14:paraId="77FABE01" w14:textId="77777777" w:rsidR="00D60A5D" w:rsidRPr="001A7517" w:rsidRDefault="00D60A5D" w:rsidP="00D60A5D">
      <w:pPr>
        <w:spacing w:before="240"/>
        <w:ind w:left="1440" w:hanging="720"/>
      </w:pPr>
      <w:r w:rsidRPr="001A7517">
        <w:t>Contaminant (units):  Nitrite (ppm)</w:t>
      </w:r>
    </w:p>
    <w:p w14:paraId="6958285E" w14:textId="77777777" w:rsidR="00D60A5D" w:rsidRPr="001A7517" w:rsidRDefault="00D60A5D" w:rsidP="00D60A5D">
      <w:pPr>
        <w:ind w:left="1440" w:hanging="720"/>
      </w:pPr>
      <w:r w:rsidRPr="001A7517">
        <w:t>Traditional MCL in mg/ℓ:  1</w:t>
      </w:r>
    </w:p>
    <w:p w14:paraId="76118FA9" w14:textId="77777777" w:rsidR="00D60A5D" w:rsidRPr="001A7517" w:rsidRDefault="00D60A5D" w:rsidP="00D60A5D">
      <w:pPr>
        <w:ind w:left="1440" w:hanging="720"/>
      </w:pPr>
      <w:r w:rsidRPr="001A7517">
        <w:t>To convert for CCR, multiply by:  —</w:t>
      </w:r>
    </w:p>
    <w:p w14:paraId="1AC14DB8" w14:textId="77777777" w:rsidR="00D60A5D" w:rsidRPr="001A7517" w:rsidRDefault="00D60A5D" w:rsidP="00D60A5D">
      <w:pPr>
        <w:ind w:left="1440" w:hanging="720"/>
      </w:pPr>
      <w:r w:rsidRPr="001A7517">
        <w:t>MCL in CCR units:  1</w:t>
      </w:r>
    </w:p>
    <w:p w14:paraId="04CF411F" w14:textId="77777777" w:rsidR="00D60A5D" w:rsidRPr="001A7517" w:rsidRDefault="00D60A5D" w:rsidP="00D60A5D">
      <w:pPr>
        <w:ind w:left="1440" w:hanging="720"/>
      </w:pPr>
      <w:r w:rsidRPr="001A7517">
        <w:t>MCLG:  1</w:t>
      </w:r>
    </w:p>
    <w:p w14:paraId="1E01FB5C" w14:textId="77777777" w:rsidR="00D60A5D" w:rsidRPr="001A7517" w:rsidRDefault="00D60A5D" w:rsidP="00D60A5D">
      <w:pPr>
        <w:ind w:left="1440" w:hanging="720"/>
      </w:pPr>
      <w:r w:rsidRPr="001A7517">
        <w:t>Major sources in drinking water:  Runoff from fertilizer use; leaching from septic tanks, sewage; erosion of natural deposits.</w:t>
      </w:r>
    </w:p>
    <w:p w14:paraId="4D14BBA2" w14:textId="77777777" w:rsidR="00D60A5D" w:rsidRPr="001A7517" w:rsidRDefault="00D60A5D" w:rsidP="00D60A5D">
      <w:pPr>
        <w:spacing w:after="240"/>
        <w:ind w:left="1440" w:hanging="720"/>
      </w:pPr>
      <w:r w:rsidRPr="001A7517">
        <w:t>Health effects language:  Infants below the age of six months who drink water containing nitrite in excess of the MCL could become seriously ill and, if untreated, may die.  Symptoms include shortness of breath and blue baby syndrome.</w:t>
      </w:r>
    </w:p>
    <w:p w14:paraId="2F6F0D12" w14:textId="77777777" w:rsidR="00D60A5D" w:rsidRPr="001A7517" w:rsidRDefault="00D60A5D" w:rsidP="00D60A5D">
      <w:pPr>
        <w:spacing w:before="240"/>
        <w:ind w:left="1440" w:hanging="720"/>
      </w:pPr>
      <w:r w:rsidRPr="001A7517">
        <w:t>Contaminant (units):  Selenium (ppb)</w:t>
      </w:r>
    </w:p>
    <w:p w14:paraId="52552F80" w14:textId="77777777" w:rsidR="00D60A5D" w:rsidRPr="001A7517" w:rsidRDefault="00D60A5D" w:rsidP="00D60A5D">
      <w:pPr>
        <w:ind w:left="1440" w:hanging="720"/>
      </w:pPr>
      <w:r w:rsidRPr="001A7517">
        <w:t>Traditional MCL in mg/ℓ:  0.05</w:t>
      </w:r>
    </w:p>
    <w:p w14:paraId="290C11AD" w14:textId="77777777" w:rsidR="00D60A5D" w:rsidRPr="001A7517" w:rsidRDefault="00D60A5D" w:rsidP="00D60A5D">
      <w:pPr>
        <w:ind w:left="1440" w:hanging="720"/>
      </w:pPr>
      <w:r w:rsidRPr="001A7517">
        <w:t>To convert for CCR, multiply by:  1000</w:t>
      </w:r>
    </w:p>
    <w:p w14:paraId="4F0EDAF6" w14:textId="77777777" w:rsidR="00D60A5D" w:rsidRPr="001A7517" w:rsidRDefault="00D60A5D" w:rsidP="00D60A5D">
      <w:pPr>
        <w:ind w:left="1440" w:hanging="720"/>
      </w:pPr>
      <w:r w:rsidRPr="001A7517">
        <w:t>MCL in CCR units:  50</w:t>
      </w:r>
    </w:p>
    <w:p w14:paraId="07F2E34A" w14:textId="77777777" w:rsidR="00D60A5D" w:rsidRPr="001A7517" w:rsidRDefault="00D60A5D" w:rsidP="00D60A5D">
      <w:pPr>
        <w:ind w:left="1440" w:hanging="720"/>
      </w:pPr>
      <w:r w:rsidRPr="001A7517">
        <w:t>MCLG:  50</w:t>
      </w:r>
    </w:p>
    <w:p w14:paraId="0C065225" w14:textId="77777777" w:rsidR="00D60A5D" w:rsidRPr="001A7517" w:rsidRDefault="00D60A5D" w:rsidP="00D60A5D">
      <w:pPr>
        <w:ind w:left="1440" w:hanging="720"/>
      </w:pPr>
      <w:r w:rsidRPr="001A7517">
        <w:t>Major sources in drinking water:  Discharge from petroleum and metal refineries; erosion of natural deposits; discharge from mines.</w:t>
      </w:r>
    </w:p>
    <w:p w14:paraId="698A1B1F" w14:textId="77777777" w:rsidR="00D60A5D" w:rsidRPr="001A7517" w:rsidRDefault="00D60A5D" w:rsidP="00D60A5D">
      <w:pPr>
        <w:spacing w:after="240"/>
        <w:ind w:left="1440" w:hanging="720"/>
      </w:pPr>
      <w:r w:rsidRPr="001A7517">
        <w:t xml:space="preserve">Health effects language:  Selenium is an essential nutrient.  However, some people who drink water containing selenium in excess of the MCL over many years could </w:t>
      </w:r>
      <w:r w:rsidRPr="001A7517">
        <w:lastRenderedPageBreak/>
        <w:t>experience hair or fingernail losses, numbness in fingers or toes, or problems with their circulation.</w:t>
      </w:r>
    </w:p>
    <w:p w14:paraId="723F719D" w14:textId="77777777" w:rsidR="00D60A5D" w:rsidRPr="001A7517" w:rsidRDefault="00D60A5D" w:rsidP="00D60A5D">
      <w:pPr>
        <w:spacing w:before="240"/>
        <w:ind w:left="1440" w:hanging="720"/>
      </w:pPr>
      <w:r w:rsidRPr="001A7517">
        <w:t>Contaminant (units):  Thallium (ppb)</w:t>
      </w:r>
    </w:p>
    <w:p w14:paraId="06F68FD2" w14:textId="77777777" w:rsidR="00D60A5D" w:rsidRPr="001A7517" w:rsidRDefault="00D60A5D" w:rsidP="00D60A5D">
      <w:pPr>
        <w:ind w:left="1440" w:hanging="720"/>
      </w:pPr>
      <w:r w:rsidRPr="001A7517">
        <w:t>Traditional MCL in mg/ℓ:  0.002</w:t>
      </w:r>
    </w:p>
    <w:p w14:paraId="3BF82176" w14:textId="77777777" w:rsidR="00D60A5D" w:rsidRPr="001A7517" w:rsidRDefault="00D60A5D" w:rsidP="00D60A5D">
      <w:pPr>
        <w:ind w:left="1440" w:hanging="720"/>
      </w:pPr>
      <w:r w:rsidRPr="001A7517">
        <w:t>To convert for CCR, multiply by:  1000</w:t>
      </w:r>
    </w:p>
    <w:p w14:paraId="39289238" w14:textId="77777777" w:rsidR="00D60A5D" w:rsidRPr="001A7517" w:rsidRDefault="00D60A5D" w:rsidP="00D60A5D">
      <w:pPr>
        <w:ind w:left="1440" w:hanging="720"/>
      </w:pPr>
      <w:r w:rsidRPr="001A7517">
        <w:t>MCL in CCR units:  2</w:t>
      </w:r>
    </w:p>
    <w:p w14:paraId="647E4CD4" w14:textId="77777777" w:rsidR="00D60A5D" w:rsidRPr="001A7517" w:rsidRDefault="00D60A5D" w:rsidP="00D60A5D">
      <w:pPr>
        <w:ind w:left="1440" w:hanging="720"/>
      </w:pPr>
      <w:r w:rsidRPr="001A7517">
        <w:t>MCLG:  0.5</w:t>
      </w:r>
    </w:p>
    <w:p w14:paraId="5C563CBA" w14:textId="77777777" w:rsidR="00D60A5D" w:rsidRPr="001A7517" w:rsidRDefault="00D60A5D" w:rsidP="00D60A5D">
      <w:pPr>
        <w:ind w:left="1440" w:hanging="720"/>
      </w:pPr>
      <w:r w:rsidRPr="001A7517">
        <w:t>Major sources in drinking water:  Leaching from ore-processing sites; discharge from electronics, glass, and drug factories.</w:t>
      </w:r>
    </w:p>
    <w:p w14:paraId="736491FF" w14:textId="77777777" w:rsidR="00D60A5D" w:rsidRPr="001A7517" w:rsidRDefault="00D60A5D" w:rsidP="00D60A5D">
      <w:pPr>
        <w:spacing w:after="240"/>
        <w:ind w:left="1440" w:hanging="720"/>
      </w:pPr>
      <w:r w:rsidRPr="001A7517">
        <w:t>Health effects language:  Some people who drink water containing thallium in excess of the MCL over many years could experience hair loss, changes in their blood, or problems with their kidneys, intestines, or liver.</w:t>
      </w:r>
    </w:p>
    <w:p w14:paraId="7441C916" w14:textId="77777777" w:rsidR="00D60A5D" w:rsidRPr="001A7517" w:rsidRDefault="00D60A5D" w:rsidP="00D60A5D">
      <w:pPr>
        <w:keepNext/>
        <w:keepLines/>
        <w:spacing w:before="240" w:after="240"/>
      </w:pPr>
      <w:r w:rsidRPr="001A7517">
        <w:t>Synthetic Organic Contaminants, Including Pesticides and Herbicides</w:t>
      </w:r>
    </w:p>
    <w:p w14:paraId="1ACC4F19" w14:textId="77777777" w:rsidR="00D60A5D" w:rsidRPr="001A7517" w:rsidRDefault="00D60A5D" w:rsidP="00D60A5D">
      <w:pPr>
        <w:spacing w:before="240"/>
        <w:ind w:left="1440" w:hanging="720"/>
      </w:pPr>
      <w:r w:rsidRPr="001A7517">
        <w:t>Contaminant (units):  2,4-D (ppb)</w:t>
      </w:r>
    </w:p>
    <w:p w14:paraId="2B034089" w14:textId="77777777" w:rsidR="00D60A5D" w:rsidRPr="001A7517" w:rsidRDefault="00D60A5D" w:rsidP="00D60A5D">
      <w:pPr>
        <w:ind w:left="1440" w:hanging="720"/>
      </w:pPr>
      <w:r w:rsidRPr="001A7517">
        <w:t>Traditional MCL in mg/ℓ:  0.07</w:t>
      </w:r>
    </w:p>
    <w:p w14:paraId="36CF8211" w14:textId="77777777" w:rsidR="00D60A5D" w:rsidRPr="001A7517" w:rsidRDefault="00D60A5D" w:rsidP="00D60A5D">
      <w:pPr>
        <w:ind w:left="1440" w:hanging="720"/>
      </w:pPr>
      <w:r w:rsidRPr="001A7517">
        <w:t>To convert for CCR, multiply by:  1000</w:t>
      </w:r>
    </w:p>
    <w:p w14:paraId="51BD85CA" w14:textId="77777777" w:rsidR="00D60A5D" w:rsidRPr="001A7517" w:rsidRDefault="00D60A5D" w:rsidP="00D60A5D">
      <w:pPr>
        <w:ind w:left="1440" w:hanging="720"/>
      </w:pPr>
      <w:r w:rsidRPr="001A7517">
        <w:t>MCL in CCR units:  70</w:t>
      </w:r>
    </w:p>
    <w:p w14:paraId="6EC27863" w14:textId="77777777" w:rsidR="00D60A5D" w:rsidRPr="001A7517" w:rsidRDefault="00D60A5D" w:rsidP="00D60A5D">
      <w:pPr>
        <w:ind w:left="1440" w:hanging="720"/>
      </w:pPr>
      <w:r w:rsidRPr="001A7517">
        <w:t>MCLG:  70</w:t>
      </w:r>
    </w:p>
    <w:p w14:paraId="35915E49" w14:textId="77777777" w:rsidR="00D60A5D" w:rsidRPr="001A7517" w:rsidRDefault="00D60A5D" w:rsidP="00D60A5D">
      <w:pPr>
        <w:ind w:left="1440" w:hanging="720"/>
      </w:pPr>
      <w:r w:rsidRPr="001A7517">
        <w:t>Major sources in drinking water:  Runoff from herbicide used on row crops.</w:t>
      </w:r>
    </w:p>
    <w:p w14:paraId="24DAD4C9" w14:textId="77777777" w:rsidR="00D60A5D" w:rsidRPr="001A7517" w:rsidRDefault="00D60A5D" w:rsidP="00D60A5D">
      <w:pPr>
        <w:spacing w:after="240"/>
        <w:ind w:left="1440" w:hanging="720"/>
      </w:pPr>
      <w:r w:rsidRPr="001A7517">
        <w:t>Health effects language:  Some people who drink water containing the weed killer 2,4-D well in excess of the MCL over many years could experience problems with their kidneys, liver, or adrenal glands.</w:t>
      </w:r>
    </w:p>
    <w:p w14:paraId="7A21FAAF" w14:textId="77777777" w:rsidR="00D60A5D" w:rsidRPr="001A7517" w:rsidRDefault="00D60A5D" w:rsidP="00D60A5D">
      <w:pPr>
        <w:spacing w:before="240"/>
        <w:ind w:left="1440" w:hanging="720"/>
      </w:pPr>
      <w:r w:rsidRPr="001A7517">
        <w:t>Contaminant (units):  2,4,5-TP (silvex) (ppb)</w:t>
      </w:r>
    </w:p>
    <w:p w14:paraId="049AF959" w14:textId="77777777" w:rsidR="00D60A5D" w:rsidRPr="001A7517" w:rsidRDefault="00D60A5D" w:rsidP="00D60A5D">
      <w:pPr>
        <w:ind w:left="1440" w:hanging="720"/>
      </w:pPr>
      <w:r w:rsidRPr="001A7517">
        <w:t>Traditional MCL in mg/ℓ:  0.05</w:t>
      </w:r>
    </w:p>
    <w:p w14:paraId="485C82DB" w14:textId="77777777" w:rsidR="00D60A5D" w:rsidRPr="001A7517" w:rsidRDefault="00D60A5D" w:rsidP="00D60A5D">
      <w:pPr>
        <w:ind w:left="1440" w:hanging="720"/>
      </w:pPr>
      <w:r w:rsidRPr="001A7517">
        <w:t>To convert for CCR, multiply by:  1000</w:t>
      </w:r>
    </w:p>
    <w:p w14:paraId="2014D5E4" w14:textId="77777777" w:rsidR="00D60A5D" w:rsidRPr="001A7517" w:rsidRDefault="00D60A5D" w:rsidP="00D60A5D">
      <w:pPr>
        <w:ind w:left="1440" w:hanging="720"/>
      </w:pPr>
      <w:r w:rsidRPr="001A7517">
        <w:t>MCL in CCR units:  50</w:t>
      </w:r>
    </w:p>
    <w:p w14:paraId="5A5E467F" w14:textId="77777777" w:rsidR="00D60A5D" w:rsidRPr="001A7517" w:rsidRDefault="00D60A5D" w:rsidP="00D60A5D">
      <w:pPr>
        <w:ind w:left="1440" w:hanging="720"/>
      </w:pPr>
      <w:r w:rsidRPr="001A7517">
        <w:t>MCLG:  50</w:t>
      </w:r>
    </w:p>
    <w:p w14:paraId="6DC35897" w14:textId="77777777" w:rsidR="00D60A5D" w:rsidRPr="001A7517" w:rsidRDefault="00D60A5D" w:rsidP="00D60A5D">
      <w:pPr>
        <w:ind w:left="1440" w:hanging="720"/>
      </w:pPr>
      <w:r w:rsidRPr="001A7517">
        <w:t>Major sources in drinking water:  Residue of banned herbicide.</w:t>
      </w:r>
    </w:p>
    <w:p w14:paraId="7A2A8C9E" w14:textId="77777777" w:rsidR="00D60A5D" w:rsidRPr="001A7517" w:rsidRDefault="00D60A5D" w:rsidP="00D60A5D">
      <w:pPr>
        <w:spacing w:after="240"/>
        <w:ind w:left="1440" w:hanging="720"/>
      </w:pPr>
      <w:r w:rsidRPr="001A7517">
        <w:t>Health effects language:  Some people who drink water containing silvex in excess of the MCL over many years could experience liver problems.</w:t>
      </w:r>
    </w:p>
    <w:p w14:paraId="4D617BAA" w14:textId="77777777" w:rsidR="00D60A5D" w:rsidRPr="001A7517" w:rsidRDefault="00D60A5D" w:rsidP="00D60A5D">
      <w:pPr>
        <w:spacing w:before="240"/>
        <w:ind w:left="1440" w:hanging="720"/>
        <w:outlineLvl w:val="0"/>
      </w:pPr>
      <w:r w:rsidRPr="001A7517">
        <w:t>Contaminant (units):  Acrylamide</w:t>
      </w:r>
    </w:p>
    <w:p w14:paraId="2FD202BF" w14:textId="77777777" w:rsidR="00D60A5D" w:rsidRPr="001A7517" w:rsidRDefault="00D60A5D" w:rsidP="00D60A5D">
      <w:pPr>
        <w:ind w:left="1440" w:hanging="720"/>
      </w:pPr>
      <w:r w:rsidRPr="001A7517">
        <w:t>Traditional MCL in mg/ℓ:  TT</w:t>
      </w:r>
    </w:p>
    <w:p w14:paraId="26C038FF" w14:textId="77777777" w:rsidR="00D60A5D" w:rsidRPr="001A7517" w:rsidRDefault="00D60A5D" w:rsidP="00D60A5D">
      <w:pPr>
        <w:ind w:left="1440" w:hanging="720"/>
      </w:pPr>
      <w:r w:rsidRPr="001A7517">
        <w:t>To convert for CCR, multiply by:  —</w:t>
      </w:r>
    </w:p>
    <w:p w14:paraId="37575FC9" w14:textId="77777777" w:rsidR="00D60A5D" w:rsidRPr="001A7517" w:rsidRDefault="00D60A5D" w:rsidP="00D60A5D">
      <w:pPr>
        <w:ind w:left="1440" w:hanging="720"/>
      </w:pPr>
      <w:r w:rsidRPr="001A7517">
        <w:t>MCL in CCR units:  TT</w:t>
      </w:r>
    </w:p>
    <w:p w14:paraId="2E0270FF" w14:textId="77777777" w:rsidR="00D60A5D" w:rsidRPr="001A7517" w:rsidRDefault="00D60A5D" w:rsidP="00D60A5D">
      <w:pPr>
        <w:ind w:left="1440" w:hanging="720"/>
      </w:pPr>
      <w:r w:rsidRPr="001A7517">
        <w:t>MCLG:  0</w:t>
      </w:r>
    </w:p>
    <w:p w14:paraId="2EB5AB59" w14:textId="77777777" w:rsidR="00D60A5D" w:rsidRPr="001A7517" w:rsidRDefault="00D60A5D" w:rsidP="00D60A5D">
      <w:pPr>
        <w:ind w:left="1440" w:hanging="720"/>
      </w:pPr>
      <w:r w:rsidRPr="001A7517">
        <w:t>Major sources in drinking water:  Added to water during sewage/wastewater treatment.</w:t>
      </w:r>
    </w:p>
    <w:p w14:paraId="0A7B3E77" w14:textId="77777777" w:rsidR="00D60A5D" w:rsidRPr="001A7517" w:rsidRDefault="00D60A5D" w:rsidP="00D60A5D">
      <w:pPr>
        <w:spacing w:after="240"/>
        <w:ind w:left="1440" w:hanging="720"/>
      </w:pPr>
      <w:r w:rsidRPr="001A7517">
        <w:t>Health effects language:  Some people who drink water containing high levels of acrylamide over a long period of time could have problems with their nervous system or blood, and may have an increased risk of getting cancer.</w:t>
      </w:r>
    </w:p>
    <w:p w14:paraId="3518197F" w14:textId="77777777" w:rsidR="00D60A5D" w:rsidRPr="001A7517" w:rsidRDefault="00D60A5D" w:rsidP="00D60A5D">
      <w:pPr>
        <w:spacing w:before="240"/>
        <w:ind w:left="1440" w:hanging="720"/>
      </w:pPr>
      <w:r w:rsidRPr="001A7517">
        <w:lastRenderedPageBreak/>
        <w:t>Contaminant (units):  Alachlor (ppb)</w:t>
      </w:r>
    </w:p>
    <w:p w14:paraId="7896F4CD" w14:textId="77777777" w:rsidR="00D60A5D" w:rsidRPr="001A7517" w:rsidRDefault="00D60A5D" w:rsidP="00D60A5D">
      <w:pPr>
        <w:ind w:left="1440" w:hanging="720"/>
      </w:pPr>
      <w:r w:rsidRPr="001A7517">
        <w:t>Traditional MCL in mg/ℓ:  0.002</w:t>
      </w:r>
    </w:p>
    <w:p w14:paraId="523A4A3E" w14:textId="77777777" w:rsidR="00D60A5D" w:rsidRPr="001A7517" w:rsidRDefault="00D60A5D" w:rsidP="00D60A5D">
      <w:pPr>
        <w:ind w:left="1440" w:hanging="720"/>
      </w:pPr>
      <w:r w:rsidRPr="001A7517">
        <w:t>To convert for CCR, multiply by:  1000</w:t>
      </w:r>
    </w:p>
    <w:p w14:paraId="213F0A69" w14:textId="77777777" w:rsidR="00D60A5D" w:rsidRPr="001A7517" w:rsidRDefault="00D60A5D" w:rsidP="00D60A5D">
      <w:pPr>
        <w:ind w:left="1440" w:hanging="720"/>
      </w:pPr>
      <w:r w:rsidRPr="001A7517">
        <w:t>MCL in CCR units:  2</w:t>
      </w:r>
    </w:p>
    <w:p w14:paraId="0A7F287A" w14:textId="77777777" w:rsidR="00D60A5D" w:rsidRPr="001A7517" w:rsidRDefault="00D60A5D" w:rsidP="00D60A5D">
      <w:pPr>
        <w:ind w:left="1440" w:hanging="720"/>
      </w:pPr>
      <w:r w:rsidRPr="001A7517">
        <w:t>MCLG:  0</w:t>
      </w:r>
    </w:p>
    <w:p w14:paraId="4B408AFD" w14:textId="77777777" w:rsidR="00D60A5D" w:rsidRPr="001A7517" w:rsidRDefault="00D60A5D" w:rsidP="00D60A5D">
      <w:pPr>
        <w:ind w:left="1440" w:hanging="720"/>
      </w:pPr>
      <w:r w:rsidRPr="001A7517">
        <w:t>Major sources in drinking water:  Runoff from herbicide used on row crops.</w:t>
      </w:r>
    </w:p>
    <w:p w14:paraId="0620EE5F" w14:textId="77777777" w:rsidR="00D60A5D" w:rsidRPr="001A7517" w:rsidRDefault="00D60A5D" w:rsidP="00D60A5D">
      <w:pPr>
        <w:spacing w:after="240"/>
        <w:ind w:left="1440" w:hanging="720"/>
      </w:pPr>
      <w:r w:rsidRPr="001A7517">
        <w:t>Health effects language:  Some people who drink water containing alachlor in excess of the MCL over many years could have problems with their eyes, liver, kidneys, or spleen, or experience anemia, and may have an increased risk of getting cancer.</w:t>
      </w:r>
    </w:p>
    <w:p w14:paraId="3865598D" w14:textId="77777777" w:rsidR="00D60A5D" w:rsidRPr="001A7517" w:rsidRDefault="00D60A5D" w:rsidP="00D60A5D">
      <w:pPr>
        <w:spacing w:before="240"/>
        <w:ind w:left="1440" w:hanging="720"/>
      </w:pPr>
      <w:r w:rsidRPr="001A7517">
        <w:t>Contaminant (units):  Atrazine (ppb)</w:t>
      </w:r>
    </w:p>
    <w:p w14:paraId="2329420D" w14:textId="77777777" w:rsidR="00D60A5D" w:rsidRPr="001A7517" w:rsidRDefault="00D60A5D" w:rsidP="00D60A5D">
      <w:pPr>
        <w:ind w:left="1440" w:hanging="720"/>
      </w:pPr>
      <w:r w:rsidRPr="001A7517">
        <w:t>Traditional MCL in mg/ℓ:  0.003</w:t>
      </w:r>
    </w:p>
    <w:p w14:paraId="00D7BFAC" w14:textId="77777777" w:rsidR="00D60A5D" w:rsidRPr="001A7517" w:rsidRDefault="00D60A5D" w:rsidP="00D60A5D">
      <w:pPr>
        <w:ind w:left="1440" w:hanging="720"/>
      </w:pPr>
      <w:r w:rsidRPr="001A7517">
        <w:t>To convert for CCR, multiply by:  1000</w:t>
      </w:r>
    </w:p>
    <w:p w14:paraId="6FE0DFE1" w14:textId="77777777" w:rsidR="00D60A5D" w:rsidRPr="001A7517" w:rsidRDefault="00D60A5D" w:rsidP="00D60A5D">
      <w:pPr>
        <w:ind w:left="1440" w:hanging="720"/>
      </w:pPr>
      <w:r w:rsidRPr="001A7517">
        <w:t>MCL in CCR units:  3</w:t>
      </w:r>
    </w:p>
    <w:p w14:paraId="20F9B600" w14:textId="77777777" w:rsidR="00D60A5D" w:rsidRPr="001A7517" w:rsidRDefault="00D60A5D" w:rsidP="00D60A5D">
      <w:pPr>
        <w:ind w:left="1440" w:hanging="720"/>
      </w:pPr>
      <w:r w:rsidRPr="001A7517">
        <w:t>MCLG:  3</w:t>
      </w:r>
    </w:p>
    <w:p w14:paraId="26C7D560" w14:textId="77777777" w:rsidR="00D60A5D" w:rsidRPr="001A7517" w:rsidRDefault="00D60A5D" w:rsidP="00D60A5D">
      <w:pPr>
        <w:ind w:left="1440" w:hanging="720"/>
      </w:pPr>
      <w:r w:rsidRPr="001A7517">
        <w:t>Major sources in drinking water:  Runoff from herbicide used on row crops.</w:t>
      </w:r>
    </w:p>
    <w:p w14:paraId="5B518044" w14:textId="77777777" w:rsidR="00D60A5D" w:rsidRPr="001A7517" w:rsidRDefault="00D60A5D" w:rsidP="00D60A5D">
      <w:pPr>
        <w:spacing w:after="240"/>
        <w:ind w:left="1440" w:hanging="720"/>
      </w:pPr>
      <w:r w:rsidRPr="001A7517">
        <w:t>Health effects language:  Some people who drink water containing atrazine well in excess of the MCL over many years could experience problems with their cardiovascular system or reproductive difficulties.</w:t>
      </w:r>
    </w:p>
    <w:p w14:paraId="60B299FA" w14:textId="77777777" w:rsidR="00D60A5D" w:rsidRPr="001A7517" w:rsidRDefault="00D60A5D" w:rsidP="00D60A5D">
      <w:pPr>
        <w:spacing w:before="240"/>
        <w:ind w:left="1440" w:hanging="720"/>
      </w:pPr>
      <w:r w:rsidRPr="001A7517">
        <w:t>Contaminant (units):  Benzo(a)pyrene (PAH) (nanograms/ℓ)</w:t>
      </w:r>
    </w:p>
    <w:p w14:paraId="3EC9ED87" w14:textId="77777777" w:rsidR="00D60A5D" w:rsidRPr="001A7517" w:rsidRDefault="00D60A5D" w:rsidP="00D60A5D">
      <w:pPr>
        <w:ind w:left="1440" w:hanging="720"/>
      </w:pPr>
      <w:r w:rsidRPr="001A7517">
        <w:t>Traditional MCL in mg/ℓ:  0.0002</w:t>
      </w:r>
    </w:p>
    <w:p w14:paraId="63AA287C" w14:textId="77777777" w:rsidR="00D60A5D" w:rsidRPr="001A7517" w:rsidRDefault="00D60A5D" w:rsidP="00D60A5D">
      <w:pPr>
        <w:ind w:left="1440" w:hanging="720"/>
      </w:pPr>
      <w:r w:rsidRPr="001A7517">
        <w:t>To convert for CCR, multiply by:  1,000,000</w:t>
      </w:r>
    </w:p>
    <w:p w14:paraId="11E01217" w14:textId="77777777" w:rsidR="00D60A5D" w:rsidRPr="001A7517" w:rsidRDefault="00D60A5D" w:rsidP="00D60A5D">
      <w:pPr>
        <w:ind w:left="1440" w:hanging="720"/>
      </w:pPr>
      <w:r w:rsidRPr="001A7517">
        <w:t>MCL in CCR units:  200</w:t>
      </w:r>
    </w:p>
    <w:p w14:paraId="5C22A531" w14:textId="77777777" w:rsidR="00D60A5D" w:rsidRPr="001A7517" w:rsidRDefault="00D60A5D" w:rsidP="00D60A5D">
      <w:pPr>
        <w:ind w:left="1440" w:hanging="720"/>
      </w:pPr>
      <w:r w:rsidRPr="001A7517">
        <w:t>MCLG:  0</w:t>
      </w:r>
    </w:p>
    <w:p w14:paraId="3828226A" w14:textId="77777777" w:rsidR="00D60A5D" w:rsidRPr="001A7517" w:rsidRDefault="00D60A5D" w:rsidP="00D60A5D">
      <w:pPr>
        <w:ind w:left="1440" w:hanging="720"/>
      </w:pPr>
      <w:r w:rsidRPr="001A7517">
        <w:t>Major sources in drinking water:  Leaching from linings of water storage tanks and distribution lines.</w:t>
      </w:r>
    </w:p>
    <w:p w14:paraId="76BD1FA3" w14:textId="77777777" w:rsidR="00D60A5D" w:rsidRPr="001A7517" w:rsidRDefault="00D60A5D" w:rsidP="00D60A5D">
      <w:pPr>
        <w:spacing w:after="240"/>
        <w:ind w:left="1440" w:hanging="720"/>
      </w:pPr>
      <w:r w:rsidRPr="001A7517">
        <w:t>Health effects language:  Some people who drink water containing benzo(a)pyrene in excess of the MCL over many years may experience reproductive difficulties and may have an increased risk of getting cancer.</w:t>
      </w:r>
    </w:p>
    <w:p w14:paraId="507395F8" w14:textId="77777777" w:rsidR="00D60A5D" w:rsidRPr="001A7517" w:rsidRDefault="00D60A5D" w:rsidP="00D60A5D">
      <w:pPr>
        <w:spacing w:before="240"/>
        <w:ind w:left="1440" w:hanging="720"/>
      </w:pPr>
      <w:r w:rsidRPr="001A7517">
        <w:t>Contaminant (units):  Carbofuran (ppb)</w:t>
      </w:r>
    </w:p>
    <w:p w14:paraId="7D4D1857" w14:textId="77777777" w:rsidR="00D60A5D" w:rsidRPr="001A7517" w:rsidRDefault="00D60A5D" w:rsidP="00D60A5D">
      <w:pPr>
        <w:ind w:left="1440" w:hanging="720"/>
      </w:pPr>
      <w:r w:rsidRPr="001A7517">
        <w:t>Traditional MCL in mg/ℓ:  0.04</w:t>
      </w:r>
    </w:p>
    <w:p w14:paraId="11ABCC3A" w14:textId="77777777" w:rsidR="00D60A5D" w:rsidRPr="001A7517" w:rsidRDefault="00D60A5D" w:rsidP="00D60A5D">
      <w:pPr>
        <w:ind w:left="1440" w:hanging="720"/>
      </w:pPr>
      <w:r w:rsidRPr="001A7517">
        <w:t>To convert for CCR, multiply by:  1000</w:t>
      </w:r>
    </w:p>
    <w:p w14:paraId="06C6820C" w14:textId="77777777" w:rsidR="00D60A5D" w:rsidRPr="001A7517" w:rsidRDefault="00D60A5D" w:rsidP="00D60A5D">
      <w:pPr>
        <w:ind w:left="1440" w:hanging="720"/>
      </w:pPr>
      <w:r w:rsidRPr="001A7517">
        <w:t>MCL in CCR units:  40</w:t>
      </w:r>
    </w:p>
    <w:p w14:paraId="0877C9F3" w14:textId="77777777" w:rsidR="00D60A5D" w:rsidRPr="001A7517" w:rsidRDefault="00D60A5D" w:rsidP="00D60A5D">
      <w:pPr>
        <w:ind w:left="1440" w:hanging="720"/>
      </w:pPr>
      <w:r w:rsidRPr="001A7517">
        <w:t>MCLG:  40</w:t>
      </w:r>
    </w:p>
    <w:p w14:paraId="768B1C9B" w14:textId="77777777" w:rsidR="00D60A5D" w:rsidRPr="001A7517" w:rsidRDefault="00D60A5D" w:rsidP="00D60A5D">
      <w:pPr>
        <w:ind w:left="1440" w:hanging="720"/>
      </w:pPr>
      <w:r w:rsidRPr="001A7517">
        <w:t>Major sources in drinking water:  Leaching of soil fumigant used on rice and alfalfa.</w:t>
      </w:r>
    </w:p>
    <w:p w14:paraId="51D56264" w14:textId="77777777" w:rsidR="00D60A5D" w:rsidRPr="001A7517" w:rsidRDefault="00D60A5D" w:rsidP="00D60A5D">
      <w:pPr>
        <w:spacing w:after="240"/>
        <w:ind w:left="1440" w:hanging="720"/>
      </w:pPr>
      <w:r w:rsidRPr="001A7517">
        <w:t>Health effects language:  Some people who drink water containing carbofuran in excess of the MCL over many years could experience problems with their blood, or nervous or reproductive systems.</w:t>
      </w:r>
    </w:p>
    <w:p w14:paraId="022C6861" w14:textId="77777777" w:rsidR="00D60A5D" w:rsidRPr="001A7517" w:rsidRDefault="00D60A5D" w:rsidP="00D60A5D">
      <w:pPr>
        <w:spacing w:before="240"/>
        <w:ind w:left="1440" w:hanging="720"/>
      </w:pPr>
      <w:r w:rsidRPr="001A7517">
        <w:t>Contaminant (units):  Chlordane (ppb)</w:t>
      </w:r>
    </w:p>
    <w:p w14:paraId="7CAD00BD" w14:textId="77777777" w:rsidR="00D60A5D" w:rsidRPr="001A7517" w:rsidRDefault="00D60A5D" w:rsidP="00D60A5D">
      <w:pPr>
        <w:ind w:left="1440" w:hanging="720"/>
      </w:pPr>
      <w:r w:rsidRPr="001A7517">
        <w:t>Traditional MCL in mg/ℓ:  0.002</w:t>
      </w:r>
    </w:p>
    <w:p w14:paraId="14025903" w14:textId="77777777" w:rsidR="00D60A5D" w:rsidRPr="001A7517" w:rsidRDefault="00D60A5D" w:rsidP="00D60A5D">
      <w:pPr>
        <w:ind w:left="1440" w:hanging="720"/>
      </w:pPr>
      <w:r w:rsidRPr="001A7517">
        <w:t>To convert for CCR, multiply by:  1000</w:t>
      </w:r>
    </w:p>
    <w:p w14:paraId="391D865B" w14:textId="77777777" w:rsidR="00D60A5D" w:rsidRPr="001A7517" w:rsidRDefault="00D60A5D" w:rsidP="00D60A5D">
      <w:pPr>
        <w:ind w:left="1440" w:hanging="720"/>
      </w:pPr>
      <w:r w:rsidRPr="001A7517">
        <w:t>MCL in CCR units:  2</w:t>
      </w:r>
    </w:p>
    <w:p w14:paraId="3CB828BA" w14:textId="77777777" w:rsidR="00D60A5D" w:rsidRPr="001A7517" w:rsidRDefault="00D60A5D" w:rsidP="00D60A5D">
      <w:pPr>
        <w:ind w:left="1440" w:hanging="720"/>
      </w:pPr>
      <w:r w:rsidRPr="001A7517">
        <w:lastRenderedPageBreak/>
        <w:t>MCLG:  0</w:t>
      </w:r>
    </w:p>
    <w:p w14:paraId="7FFF2EF9" w14:textId="77777777" w:rsidR="00D60A5D" w:rsidRPr="001A7517" w:rsidRDefault="00D60A5D" w:rsidP="00D60A5D">
      <w:pPr>
        <w:ind w:left="1440" w:hanging="720"/>
      </w:pPr>
      <w:r w:rsidRPr="001A7517">
        <w:t>Major sources in drinking water:  Residue of banned termiticide.</w:t>
      </w:r>
    </w:p>
    <w:p w14:paraId="7BBA0AA1" w14:textId="77777777" w:rsidR="00D60A5D" w:rsidRPr="001A7517" w:rsidRDefault="00D60A5D" w:rsidP="00D60A5D">
      <w:pPr>
        <w:spacing w:after="240"/>
        <w:ind w:left="1440" w:hanging="720"/>
      </w:pPr>
      <w:r w:rsidRPr="001A7517">
        <w:t>Health effects language:  Some people who drink water containing chlordane in excess of the MCL over many years could experience problems with their liver or nervous system, and may have an increased risk of getting cancer.</w:t>
      </w:r>
    </w:p>
    <w:p w14:paraId="2B36AC37" w14:textId="77777777" w:rsidR="00D60A5D" w:rsidRPr="001A7517" w:rsidRDefault="00D60A5D" w:rsidP="00D60A5D">
      <w:pPr>
        <w:spacing w:before="240"/>
        <w:ind w:left="1440" w:hanging="720"/>
      </w:pPr>
      <w:r w:rsidRPr="001A7517">
        <w:t>Contaminant (units):  Dalapon (ppb)</w:t>
      </w:r>
    </w:p>
    <w:p w14:paraId="6B7978D8" w14:textId="77777777" w:rsidR="00D60A5D" w:rsidRPr="001A7517" w:rsidRDefault="00D60A5D" w:rsidP="00D60A5D">
      <w:pPr>
        <w:ind w:left="1440" w:hanging="720"/>
      </w:pPr>
      <w:r w:rsidRPr="001A7517">
        <w:t>Traditional MCL in mg/ℓ:  0.2</w:t>
      </w:r>
    </w:p>
    <w:p w14:paraId="2E1DDF85" w14:textId="77777777" w:rsidR="00D60A5D" w:rsidRPr="001A7517" w:rsidRDefault="00D60A5D" w:rsidP="00D60A5D">
      <w:pPr>
        <w:ind w:left="1440" w:hanging="720"/>
      </w:pPr>
      <w:r w:rsidRPr="001A7517">
        <w:t>To convert for CCR, multiply by:  1000</w:t>
      </w:r>
    </w:p>
    <w:p w14:paraId="4B14BE44" w14:textId="77777777" w:rsidR="00D60A5D" w:rsidRPr="001A7517" w:rsidRDefault="00D60A5D" w:rsidP="00D60A5D">
      <w:pPr>
        <w:ind w:left="1440" w:hanging="720"/>
      </w:pPr>
      <w:r w:rsidRPr="001A7517">
        <w:t>MCL in CCR units:  200</w:t>
      </w:r>
    </w:p>
    <w:p w14:paraId="75D42572" w14:textId="77777777" w:rsidR="00D60A5D" w:rsidRPr="001A7517" w:rsidRDefault="00D60A5D" w:rsidP="00D60A5D">
      <w:pPr>
        <w:ind w:left="1440" w:hanging="720"/>
      </w:pPr>
      <w:r w:rsidRPr="001A7517">
        <w:t>MCLG:  200</w:t>
      </w:r>
    </w:p>
    <w:p w14:paraId="66AD7216" w14:textId="77777777" w:rsidR="00D60A5D" w:rsidRPr="001A7517" w:rsidRDefault="00D60A5D" w:rsidP="00D60A5D">
      <w:pPr>
        <w:ind w:left="1440" w:hanging="720"/>
      </w:pPr>
      <w:r w:rsidRPr="001A7517">
        <w:t>Major sources in drinking water:  Runoff from herbicide used on rights of way.</w:t>
      </w:r>
    </w:p>
    <w:p w14:paraId="26FE9095" w14:textId="77777777" w:rsidR="00D60A5D" w:rsidRPr="001A7517" w:rsidRDefault="00D60A5D" w:rsidP="00D60A5D">
      <w:pPr>
        <w:spacing w:after="240"/>
        <w:ind w:left="1440" w:hanging="720"/>
      </w:pPr>
      <w:r w:rsidRPr="001A7517">
        <w:t>Health effects language:  Some people who drink water containing dalapon well in excess of the MCL over many years could experience minor kidney changes.</w:t>
      </w:r>
    </w:p>
    <w:p w14:paraId="0EFD6EC3" w14:textId="77777777" w:rsidR="00D60A5D" w:rsidRPr="001A7517" w:rsidRDefault="00D60A5D" w:rsidP="00D60A5D">
      <w:pPr>
        <w:spacing w:before="240"/>
        <w:ind w:left="1440" w:hanging="720"/>
      </w:pPr>
      <w:r w:rsidRPr="001A7517">
        <w:t>Contaminant (units):  Di(2-ethylhexyl)adipate (ppb)</w:t>
      </w:r>
    </w:p>
    <w:p w14:paraId="2B8EDF05" w14:textId="77777777" w:rsidR="00D60A5D" w:rsidRPr="001A7517" w:rsidRDefault="00D60A5D" w:rsidP="00D60A5D">
      <w:pPr>
        <w:ind w:left="1440" w:hanging="720"/>
      </w:pPr>
      <w:r w:rsidRPr="001A7517">
        <w:t>Traditional MCL in mg/ℓ:  0.4</w:t>
      </w:r>
    </w:p>
    <w:p w14:paraId="230E94CA" w14:textId="77777777" w:rsidR="00D60A5D" w:rsidRPr="001A7517" w:rsidRDefault="00D60A5D" w:rsidP="00D60A5D">
      <w:pPr>
        <w:ind w:left="1440" w:hanging="720"/>
      </w:pPr>
      <w:r w:rsidRPr="001A7517">
        <w:t>To convert for CCR, multiply by:  1000</w:t>
      </w:r>
    </w:p>
    <w:p w14:paraId="016ED849" w14:textId="77777777" w:rsidR="00D60A5D" w:rsidRPr="001A7517" w:rsidRDefault="00D60A5D" w:rsidP="00D60A5D">
      <w:pPr>
        <w:ind w:left="1440" w:hanging="720"/>
      </w:pPr>
      <w:r w:rsidRPr="001A7517">
        <w:t>MCL in CCR units:  400</w:t>
      </w:r>
    </w:p>
    <w:p w14:paraId="146C2643" w14:textId="77777777" w:rsidR="00D60A5D" w:rsidRPr="001A7517" w:rsidRDefault="00D60A5D" w:rsidP="00D60A5D">
      <w:pPr>
        <w:ind w:left="1440" w:hanging="720"/>
      </w:pPr>
      <w:r w:rsidRPr="001A7517">
        <w:t>MCLG:  400</w:t>
      </w:r>
    </w:p>
    <w:p w14:paraId="1404A598" w14:textId="77777777" w:rsidR="00D60A5D" w:rsidRPr="001A7517" w:rsidRDefault="00D60A5D" w:rsidP="00D60A5D">
      <w:pPr>
        <w:ind w:left="1440" w:hanging="720"/>
      </w:pPr>
      <w:r w:rsidRPr="001A7517">
        <w:t>Major sources in drinking water:  Discharge from chemical factories.</w:t>
      </w:r>
    </w:p>
    <w:p w14:paraId="1151819D" w14:textId="77777777" w:rsidR="00D60A5D" w:rsidRPr="001A7517" w:rsidRDefault="00D60A5D" w:rsidP="00D60A5D">
      <w:pPr>
        <w:spacing w:after="240"/>
        <w:ind w:left="1440" w:hanging="720"/>
      </w:pPr>
      <w:r w:rsidRPr="001A7517">
        <w:t>Health effects language:  Some people who drink water containing di(2-ethylhexyl)adipate well in excess of the MCL over many years could experience toxic effects, such as weight loss, liver enlargement, or possible reproductive difficulties.</w:t>
      </w:r>
    </w:p>
    <w:p w14:paraId="7EE62781" w14:textId="77777777" w:rsidR="00D60A5D" w:rsidRPr="001A7517" w:rsidRDefault="00D60A5D" w:rsidP="00D60A5D">
      <w:pPr>
        <w:spacing w:before="240"/>
        <w:ind w:left="1440" w:hanging="720"/>
      </w:pPr>
      <w:r w:rsidRPr="001A7517">
        <w:t>Contaminant (units):  Di(2-ethylhexyl)phthalate (ppb)</w:t>
      </w:r>
    </w:p>
    <w:p w14:paraId="5E8682A6" w14:textId="77777777" w:rsidR="00D60A5D" w:rsidRPr="001A7517" w:rsidRDefault="00D60A5D" w:rsidP="00D60A5D">
      <w:pPr>
        <w:ind w:left="1440" w:hanging="720"/>
      </w:pPr>
      <w:r w:rsidRPr="001A7517">
        <w:t>Traditional MCL in mg/ℓ:  0.006</w:t>
      </w:r>
    </w:p>
    <w:p w14:paraId="694F096C" w14:textId="77777777" w:rsidR="00D60A5D" w:rsidRPr="001A7517" w:rsidRDefault="00D60A5D" w:rsidP="00D60A5D">
      <w:pPr>
        <w:ind w:left="1440" w:hanging="720"/>
      </w:pPr>
      <w:r w:rsidRPr="001A7517">
        <w:t>To convert for CCR, multiply by:  1000</w:t>
      </w:r>
    </w:p>
    <w:p w14:paraId="18295C63" w14:textId="77777777" w:rsidR="00D60A5D" w:rsidRPr="001A7517" w:rsidRDefault="00D60A5D" w:rsidP="00D60A5D">
      <w:pPr>
        <w:ind w:left="1440" w:hanging="720"/>
      </w:pPr>
      <w:r w:rsidRPr="001A7517">
        <w:t>MCL in CCR units:  6</w:t>
      </w:r>
    </w:p>
    <w:p w14:paraId="05CA07E0" w14:textId="77777777" w:rsidR="00D60A5D" w:rsidRPr="001A7517" w:rsidRDefault="00D60A5D" w:rsidP="00D60A5D">
      <w:pPr>
        <w:ind w:left="1440" w:hanging="720"/>
      </w:pPr>
      <w:r w:rsidRPr="001A7517">
        <w:t>MCLG:  0</w:t>
      </w:r>
    </w:p>
    <w:p w14:paraId="329CE1E9" w14:textId="77777777" w:rsidR="00D60A5D" w:rsidRPr="001A7517" w:rsidRDefault="00D60A5D" w:rsidP="00D60A5D">
      <w:pPr>
        <w:ind w:left="1440" w:hanging="720"/>
      </w:pPr>
      <w:r w:rsidRPr="001A7517">
        <w:t>Major sources in drinking water:  Discharge from rubber and chemical factories.</w:t>
      </w:r>
    </w:p>
    <w:p w14:paraId="479370B3" w14:textId="77777777" w:rsidR="00D60A5D" w:rsidRPr="001A7517" w:rsidRDefault="00D60A5D" w:rsidP="00D60A5D">
      <w:pPr>
        <w:spacing w:after="240"/>
        <w:ind w:left="1440" w:hanging="720"/>
      </w:pPr>
      <w:r w:rsidRPr="001A7517">
        <w:t>Health effects language:  Some people who drink water containing di(2-ethylhexyl)phthalate well in excess of the MCL over many years may have problems with their liver or experience reproductive difficulties, and they may have an increased risk of getting cancer.</w:t>
      </w:r>
    </w:p>
    <w:p w14:paraId="7E5760AF" w14:textId="77777777" w:rsidR="00D60A5D" w:rsidRPr="001A7517" w:rsidRDefault="00D60A5D" w:rsidP="00D60A5D">
      <w:pPr>
        <w:spacing w:before="240"/>
        <w:ind w:left="1440" w:hanging="720"/>
      </w:pPr>
      <w:r w:rsidRPr="001A7517">
        <w:t>Contaminant (units):  Dibromochloropropane (DBCP) (ppt)</w:t>
      </w:r>
    </w:p>
    <w:p w14:paraId="79251BB9" w14:textId="77777777" w:rsidR="00D60A5D" w:rsidRPr="001A7517" w:rsidRDefault="00D60A5D" w:rsidP="00D60A5D">
      <w:pPr>
        <w:ind w:left="1440" w:hanging="720"/>
      </w:pPr>
      <w:r w:rsidRPr="001A7517">
        <w:t>Traditional MCL in mg/ℓ:  0.0002</w:t>
      </w:r>
    </w:p>
    <w:p w14:paraId="1FA575AE" w14:textId="77777777" w:rsidR="00D60A5D" w:rsidRPr="001A7517" w:rsidRDefault="00D60A5D" w:rsidP="00D60A5D">
      <w:pPr>
        <w:ind w:left="1440" w:hanging="720"/>
      </w:pPr>
      <w:r w:rsidRPr="001A7517">
        <w:t>To convert for CCR, multiply by:  1,000,000</w:t>
      </w:r>
    </w:p>
    <w:p w14:paraId="29A05639" w14:textId="77777777" w:rsidR="00D60A5D" w:rsidRPr="001A7517" w:rsidRDefault="00D60A5D" w:rsidP="00D60A5D">
      <w:pPr>
        <w:ind w:left="1440" w:hanging="720"/>
      </w:pPr>
      <w:r w:rsidRPr="001A7517">
        <w:t>MCL in CCR units:  200</w:t>
      </w:r>
    </w:p>
    <w:p w14:paraId="0718A386" w14:textId="77777777" w:rsidR="00D60A5D" w:rsidRPr="001A7517" w:rsidRDefault="00D60A5D" w:rsidP="00D60A5D">
      <w:pPr>
        <w:ind w:left="1440" w:hanging="720"/>
      </w:pPr>
      <w:r w:rsidRPr="001A7517">
        <w:t>MCLG:  0</w:t>
      </w:r>
    </w:p>
    <w:p w14:paraId="574604D9" w14:textId="77777777" w:rsidR="00D60A5D" w:rsidRPr="001A7517" w:rsidRDefault="00D60A5D" w:rsidP="00D60A5D">
      <w:pPr>
        <w:ind w:left="1440" w:hanging="720"/>
      </w:pPr>
      <w:r w:rsidRPr="001A7517">
        <w:t>Major sources in drinking water:  Runoff/leaching from soil fumigant used on soybeans, cotton, pineapples, and orchards.</w:t>
      </w:r>
    </w:p>
    <w:p w14:paraId="3434E960" w14:textId="77777777" w:rsidR="00D60A5D" w:rsidRPr="001A7517" w:rsidRDefault="00D60A5D" w:rsidP="00D60A5D">
      <w:pPr>
        <w:spacing w:after="240"/>
        <w:ind w:left="1440" w:hanging="720"/>
      </w:pPr>
      <w:r w:rsidRPr="001A7517">
        <w:lastRenderedPageBreak/>
        <w:t>Health effects language:  Some people who drink water containing DBCP in excess of the MCL over many years could experience reproductive problems and may have an increased risk of getting cancer.</w:t>
      </w:r>
    </w:p>
    <w:p w14:paraId="6CE9DAF8" w14:textId="77777777" w:rsidR="00D60A5D" w:rsidRPr="001A7517" w:rsidRDefault="00D60A5D" w:rsidP="00D60A5D">
      <w:pPr>
        <w:spacing w:before="240"/>
        <w:ind w:left="1440" w:hanging="720"/>
      </w:pPr>
      <w:r w:rsidRPr="001A7517">
        <w:t>Contaminant (units):  Dinoseb (ppb)</w:t>
      </w:r>
    </w:p>
    <w:p w14:paraId="628246CA" w14:textId="77777777" w:rsidR="00D60A5D" w:rsidRPr="001A7517" w:rsidRDefault="00D60A5D" w:rsidP="00D60A5D">
      <w:pPr>
        <w:ind w:left="1440" w:hanging="720"/>
      </w:pPr>
      <w:r w:rsidRPr="001A7517">
        <w:t>Traditional MCL in mg/ℓ:  0.007</w:t>
      </w:r>
    </w:p>
    <w:p w14:paraId="3AE2A666" w14:textId="77777777" w:rsidR="00D60A5D" w:rsidRPr="001A7517" w:rsidRDefault="00D60A5D" w:rsidP="00D60A5D">
      <w:pPr>
        <w:ind w:left="1440" w:hanging="720"/>
      </w:pPr>
      <w:r w:rsidRPr="001A7517">
        <w:t>To convert for CCR, multiply by:  1000</w:t>
      </w:r>
    </w:p>
    <w:p w14:paraId="241669ED" w14:textId="77777777" w:rsidR="00D60A5D" w:rsidRPr="001A7517" w:rsidRDefault="00D60A5D" w:rsidP="00D60A5D">
      <w:pPr>
        <w:ind w:left="1440" w:hanging="720"/>
      </w:pPr>
      <w:r w:rsidRPr="001A7517">
        <w:t>MCL in CCR units:  7</w:t>
      </w:r>
    </w:p>
    <w:p w14:paraId="0AEA7EE5" w14:textId="77777777" w:rsidR="00D60A5D" w:rsidRPr="001A7517" w:rsidRDefault="00D60A5D" w:rsidP="00D60A5D">
      <w:pPr>
        <w:ind w:left="1440" w:hanging="720"/>
      </w:pPr>
      <w:r w:rsidRPr="001A7517">
        <w:t>MCLG:  7</w:t>
      </w:r>
    </w:p>
    <w:p w14:paraId="6112C9D7" w14:textId="77777777" w:rsidR="00D60A5D" w:rsidRPr="001A7517" w:rsidRDefault="00D60A5D" w:rsidP="00D60A5D">
      <w:pPr>
        <w:ind w:left="1440" w:hanging="720"/>
      </w:pPr>
      <w:r w:rsidRPr="001A7517">
        <w:t>Major sources in drinking water:  Runoff from herbicide used on soybeans and vegetables.</w:t>
      </w:r>
    </w:p>
    <w:p w14:paraId="28D63538" w14:textId="77777777" w:rsidR="00D60A5D" w:rsidRPr="001A7517" w:rsidRDefault="00D60A5D" w:rsidP="00D60A5D">
      <w:pPr>
        <w:spacing w:after="240"/>
        <w:ind w:left="1440" w:hanging="720"/>
      </w:pPr>
      <w:r w:rsidRPr="001A7517">
        <w:t>Health effects language:  Some people who drink water containing dinoseb well in excess of the MCL over many years could experience reproductive difficulties.</w:t>
      </w:r>
    </w:p>
    <w:p w14:paraId="3CC45F57" w14:textId="77777777" w:rsidR="00D60A5D" w:rsidRPr="001A7517" w:rsidRDefault="00D60A5D" w:rsidP="00D60A5D">
      <w:pPr>
        <w:spacing w:before="240"/>
        <w:ind w:left="1440" w:hanging="720"/>
      </w:pPr>
      <w:r w:rsidRPr="001A7517">
        <w:t>Contaminant (units):  Diquat (ppb)</w:t>
      </w:r>
    </w:p>
    <w:p w14:paraId="548A56B5" w14:textId="77777777" w:rsidR="00D60A5D" w:rsidRPr="001A7517" w:rsidRDefault="00D60A5D" w:rsidP="00D60A5D">
      <w:pPr>
        <w:ind w:left="1440" w:hanging="720"/>
      </w:pPr>
      <w:r w:rsidRPr="001A7517">
        <w:t>Traditional MCL in mg/ℓ:  0.02</w:t>
      </w:r>
    </w:p>
    <w:p w14:paraId="5A2D503E" w14:textId="77777777" w:rsidR="00D60A5D" w:rsidRPr="001A7517" w:rsidRDefault="00D60A5D" w:rsidP="00D60A5D">
      <w:pPr>
        <w:ind w:left="1440" w:hanging="720"/>
      </w:pPr>
      <w:r w:rsidRPr="001A7517">
        <w:t>To convert for CCR, multiply by:  1000</w:t>
      </w:r>
    </w:p>
    <w:p w14:paraId="176C4958" w14:textId="77777777" w:rsidR="00D60A5D" w:rsidRPr="001A7517" w:rsidRDefault="00D60A5D" w:rsidP="00D60A5D">
      <w:pPr>
        <w:ind w:left="1440" w:hanging="720"/>
      </w:pPr>
      <w:r w:rsidRPr="001A7517">
        <w:t>MCL in CCR units:  20</w:t>
      </w:r>
    </w:p>
    <w:p w14:paraId="3046813F" w14:textId="77777777" w:rsidR="00D60A5D" w:rsidRPr="001A7517" w:rsidRDefault="00D60A5D" w:rsidP="00D60A5D">
      <w:pPr>
        <w:ind w:left="1440" w:hanging="720"/>
      </w:pPr>
      <w:r w:rsidRPr="001A7517">
        <w:t>MCLG:  20</w:t>
      </w:r>
    </w:p>
    <w:p w14:paraId="1BD92448" w14:textId="77777777" w:rsidR="00D60A5D" w:rsidRPr="001A7517" w:rsidRDefault="00D60A5D" w:rsidP="00D60A5D">
      <w:pPr>
        <w:ind w:left="1440" w:hanging="720"/>
      </w:pPr>
      <w:r w:rsidRPr="001A7517">
        <w:t>Major sources in drinking water:  Runoff from herbicide use.</w:t>
      </w:r>
    </w:p>
    <w:p w14:paraId="7451A230" w14:textId="77777777" w:rsidR="00D60A5D" w:rsidRPr="001A7517" w:rsidRDefault="00D60A5D" w:rsidP="00D60A5D">
      <w:pPr>
        <w:spacing w:after="240"/>
        <w:ind w:left="1440" w:hanging="720"/>
      </w:pPr>
      <w:r w:rsidRPr="001A7517">
        <w:t>Health effects language:  Some people who drink water containing diquat in excess of the MCL over many years could get cataracts.</w:t>
      </w:r>
    </w:p>
    <w:p w14:paraId="7AC808F0" w14:textId="77777777" w:rsidR="00D60A5D" w:rsidRPr="001A7517" w:rsidRDefault="00D60A5D" w:rsidP="00D60A5D">
      <w:pPr>
        <w:spacing w:before="240"/>
        <w:ind w:left="1440" w:hanging="720"/>
        <w:outlineLvl w:val="0"/>
      </w:pPr>
      <w:r w:rsidRPr="001A7517">
        <w:t>Contaminant (units):  Dioxin (2,3,7,8-TCDD) (ppq)</w:t>
      </w:r>
    </w:p>
    <w:p w14:paraId="670BE8FB" w14:textId="77777777" w:rsidR="00D60A5D" w:rsidRPr="001A7517" w:rsidRDefault="00D60A5D" w:rsidP="00D60A5D">
      <w:pPr>
        <w:ind w:left="1440" w:hanging="720"/>
        <w:outlineLvl w:val="0"/>
      </w:pPr>
      <w:r w:rsidRPr="001A7517">
        <w:t>Traditional MCL in mg/ℓ:  0.00000003</w:t>
      </w:r>
    </w:p>
    <w:p w14:paraId="4EF5C085" w14:textId="77777777" w:rsidR="00D60A5D" w:rsidRPr="001A7517" w:rsidRDefault="00D60A5D" w:rsidP="00D60A5D">
      <w:pPr>
        <w:ind w:left="1440" w:hanging="720"/>
      </w:pPr>
      <w:r w:rsidRPr="001A7517">
        <w:t>To convert for CCR, multiply by:  1,000,000,000</w:t>
      </w:r>
    </w:p>
    <w:p w14:paraId="44E79844" w14:textId="77777777" w:rsidR="00D60A5D" w:rsidRPr="001A7517" w:rsidRDefault="00D60A5D" w:rsidP="00D60A5D">
      <w:pPr>
        <w:ind w:left="1440" w:hanging="720"/>
      </w:pPr>
      <w:r w:rsidRPr="001A7517">
        <w:t>MCL in CCR units:  30</w:t>
      </w:r>
    </w:p>
    <w:p w14:paraId="03C93C67" w14:textId="77777777" w:rsidR="00D60A5D" w:rsidRPr="001A7517" w:rsidRDefault="00D60A5D" w:rsidP="00D60A5D">
      <w:pPr>
        <w:ind w:left="1440" w:hanging="720"/>
      </w:pPr>
      <w:r w:rsidRPr="001A7517">
        <w:t>MCLG:  0</w:t>
      </w:r>
    </w:p>
    <w:p w14:paraId="5A1EEAC5" w14:textId="77777777" w:rsidR="00D60A5D" w:rsidRPr="001A7517" w:rsidRDefault="00D60A5D" w:rsidP="00D60A5D">
      <w:pPr>
        <w:ind w:left="1440" w:hanging="720"/>
      </w:pPr>
      <w:r w:rsidRPr="001A7517">
        <w:t>Major sources in drinking water:  Emissions from waste incineration and other combustion; discharge from chemical factories.</w:t>
      </w:r>
    </w:p>
    <w:p w14:paraId="6F217FF9" w14:textId="77777777" w:rsidR="00D60A5D" w:rsidRPr="001A7517" w:rsidRDefault="00D60A5D" w:rsidP="00D60A5D">
      <w:pPr>
        <w:spacing w:after="240"/>
        <w:ind w:left="1440" w:hanging="720"/>
      </w:pPr>
      <w:r w:rsidRPr="001A7517">
        <w:t>Health effects language:  Some people who drink water containing dioxin in excess of the MCL over many years could experience reproductive difficulties and may have an increased risk of getting cancer.</w:t>
      </w:r>
    </w:p>
    <w:p w14:paraId="73376FAF" w14:textId="77777777" w:rsidR="00D60A5D" w:rsidRPr="001A7517" w:rsidRDefault="00D60A5D" w:rsidP="00D60A5D">
      <w:pPr>
        <w:spacing w:before="240"/>
        <w:ind w:left="1440" w:hanging="720"/>
      </w:pPr>
      <w:r w:rsidRPr="001A7517">
        <w:t>Contaminant (units):  Endothall (ppb)</w:t>
      </w:r>
    </w:p>
    <w:p w14:paraId="30C49312" w14:textId="77777777" w:rsidR="00D60A5D" w:rsidRPr="001A7517" w:rsidRDefault="00D60A5D" w:rsidP="00D60A5D">
      <w:pPr>
        <w:ind w:left="1440" w:hanging="720"/>
      </w:pPr>
      <w:r w:rsidRPr="001A7517">
        <w:t>Traditional MCL in mg/ℓ:  0.1</w:t>
      </w:r>
    </w:p>
    <w:p w14:paraId="004AF52E" w14:textId="77777777" w:rsidR="00D60A5D" w:rsidRPr="001A7517" w:rsidRDefault="00D60A5D" w:rsidP="00D60A5D">
      <w:pPr>
        <w:ind w:left="1440" w:hanging="720"/>
      </w:pPr>
      <w:r w:rsidRPr="001A7517">
        <w:t>To convert for CCR, multiply by:  1000</w:t>
      </w:r>
    </w:p>
    <w:p w14:paraId="56AC9ECE" w14:textId="77777777" w:rsidR="00D60A5D" w:rsidRPr="001A7517" w:rsidRDefault="00D60A5D" w:rsidP="00D60A5D">
      <w:pPr>
        <w:ind w:left="1440" w:hanging="720"/>
      </w:pPr>
      <w:r w:rsidRPr="001A7517">
        <w:t>MCL in CCR units:  100</w:t>
      </w:r>
    </w:p>
    <w:p w14:paraId="37552E6A" w14:textId="77777777" w:rsidR="00D60A5D" w:rsidRPr="001A7517" w:rsidRDefault="00D60A5D" w:rsidP="00D60A5D">
      <w:pPr>
        <w:ind w:left="1440" w:hanging="720"/>
      </w:pPr>
      <w:r w:rsidRPr="001A7517">
        <w:t>MCLG:  100</w:t>
      </w:r>
    </w:p>
    <w:p w14:paraId="59E257BF" w14:textId="77777777" w:rsidR="00D60A5D" w:rsidRPr="001A7517" w:rsidRDefault="00D60A5D" w:rsidP="00D60A5D">
      <w:pPr>
        <w:ind w:left="1440" w:hanging="720"/>
      </w:pPr>
      <w:r w:rsidRPr="001A7517">
        <w:t>Major sources in drinking water:  Runoff from herbicide use.</w:t>
      </w:r>
    </w:p>
    <w:p w14:paraId="5B4D1FEA" w14:textId="77777777" w:rsidR="00D60A5D" w:rsidRPr="001A7517" w:rsidRDefault="00D60A5D" w:rsidP="00D60A5D">
      <w:pPr>
        <w:spacing w:after="240"/>
        <w:ind w:left="1440" w:hanging="720"/>
      </w:pPr>
      <w:r w:rsidRPr="001A7517">
        <w:t>Health effects language:  Some people who drink water containing endothall in excess of the MCL over many years could experience problems with their stomach or intestines.</w:t>
      </w:r>
    </w:p>
    <w:p w14:paraId="38CE3291" w14:textId="77777777" w:rsidR="00D60A5D" w:rsidRPr="001A7517" w:rsidRDefault="00D60A5D" w:rsidP="00D60A5D">
      <w:pPr>
        <w:spacing w:before="240"/>
        <w:ind w:left="1440" w:hanging="720"/>
      </w:pPr>
      <w:r w:rsidRPr="001A7517">
        <w:t>Contaminant (units):  Endrin (ppb)</w:t>
      </w:r>
    </w:p>
    <w:p w14:paraId="5976C75B" w14:textId="77777777" w:rsidR="00D60A5D" w:rsidRPr="001A7517" w:rsidRDefault="00D60A5D" w:rsidP="00D60A5D">
      <w:pPr>
        <w:ind w:left="1440" w:hanging="720"/>
      </w:pPr>
      <w:r w:rsidRPr="001A7517">
        <w:lastRenderedPageBreak/>
        <w:t>Traditional MCL in mg/ℓ:  0.002</w:t>
      </w:r>
    </w:p>
    <w:p w14:paraId="3CCAD05D" w14:textId="77777777" w:rsidR="00D60A5D" w:rsidRPr="001A7517" w:rsidRDefault="00D60A5D" w:rsidP="00D60A5D">
      <w:pPr>
        <w:ind w:left="1440" w:hanging="720"/>
      </w:pPr>
      <w:r w:rsidRPr="001A7517">
        <w:t>To convert for CCR, multiply by:  1000</w:t>
      </w:r>
    </w:p>
    <w:p w14:paraId="4BA8659D" w14:textId="77777777" w:rsidR="00D60A5D" w:rsidRPr="001A7517" w:rsidRDefault="00D60A5D" w:rsidP="00D60A5D">
      <w:pPr>
        <w:ind w:left="1440" w:hanging="720"/>
      </w:pPr>
      <w:r w:rsidRPr="001A7517">
        <w:t>MCL in CCR units:  2</w:t>
      </w:r>
    </w:p>
    <w:p w14:paraId="164F0C1C" w14:textId="77777777" w:rsidR="00D60A5D" w:rsidRPr="001A7517" w:rsidRDefault="00D60A5D" w:rsidP="00D60A5D">
      <w:pPr>
        <w:ind w:left="1440" w:hanging="720"/>
      </w:pPr>
      <w:r w:rsidRPr="001A7517">
        <w:t>MCLG:  2</w:t>
      </w:r>
    </w:p>
    <w:p w14:paraId="71903A01" w14:textId="77777777" w:rsidR="00D60A5D" w:rsidRPr="001A7517" w:rsidRDefault="00D60A5D" w:rsidP="00D60A5D">
      <w:pPr>
        <w:ind w:left="1440" w:hanging="720"/>
      </w:pPr>
      <w:r w:rsidRPr="001A7517">
        <w:t>Major sources in drinking water:  Residue of banned insecticide.</w:t>
      </w:r>
    </w:p>
    <w:p w14:paraId="450E1C2B" w14:textId="77777777" w:rsidR="00D60A5D" w:rsidRPr="001A7517" w:rsidRDefault="00D60A5D" w:rsidP="00D60A5D">
      <w:pPr>
        <w:spacing w:after="240"/>
        <w:ind w:left="1440" w:hanging="720"/>
      </w:pPr>
      <w:r w:rsidRPr="001A7517">
        <w:t>Health effects language:  Some people who drink water containing endrin in excess of the MCL over many years could experience liver problems.</w:t>
      </w:r>
    </w:p>
    <w:p w14:paraId="495B755D" w14:textId="77777777" w:rsidR="00D60A5D" w:rsidRPr="001A7517" w:rsidRDefault="00D60A5D" w:rsidP="00D60A5D">
      <w:pPr>
        <w:spacing w:before="240"/>
        <w:ind w:left="1440" w:hanging="720"/>
        <w:outlineLvl w:val="0"/>
      </w:pPr>
      <w:r w:rsidRPr="001A7517">
        <w:t>Contaminant (units):  Epichlorohydrin</w:t>
      </w:r>
    </w:p>
    <w:p w14:paraId="54B23F29" w14:textId="77777777" w:rsidR="00D60A5D" w:rsidRPr="001A7517" w:rsidRDefault="00D60A5D" w:rsidP="00D60A5D">
      <w:pPr>
        <w:ind w:left="1440" w:hanging="720"/>
      </w:pPr>
      <w:r w:rsidRPr="001A7517">
        <w:t>Traditional MCL in mg/ℓ:  TT</w:t>
      </w:r>
    </w:p>
    <w:p w14:paraId="552DE195" w14:textId="77777777" w:rsidR="00D60A5D" w:rsidRPr="001A7517" w:rsidRDefault="00D60A5D" w:rsidP="00D60A5D">
      <w:pPr>
        <w:ind w:left="1440" w:hanging="720"/>
      </w:pPr>
      <w:r w:rsidRPr="001A7517">
        <w:t>To convert for CCR, multiply by:  —</w:t>
      </w:r>
    </w:p>
    <w:p w14:paraId="5C33FB3A" w14:textId="77777777" w:rsidR="00D60A5D" w:rsidRPr="001A7517" w:rsidRDefault="00D60A5D" w:rsidP="00D60A5D">
      <w:pPr>
        <w:ind w:left="1440" w:hanging="720"/>
      </w:pPr>
      <w:r w:rsidRPr="001A7517">
        <w:t>MCL in CCR units:  TT</w:t>
      </w:r>
    </w:p>
    <w:p w14:paraId="5139C1B3" w14:textId="77777777" w:rsidR="00D60A5D" w:rsidRPr="001A7517" w:rsidRDefault="00D60A5D" w:rsidP="00D60A5D">
      <w:pPr>
        <w:ind w:left="1440" w:hanging="720"/>
      </w:pPr>
      <w:r w:rsidRPr="001A7517">
        <w:t>MCLG:  0</w:t>
      </w:r>
    </w:p>
    <w:p w14:paraId="2FC8E3DE" w14:textId="77777777" w:rsidR="00D60A5D" w:rsidRPr="001A7517" w:rsidRDefault="00D60A5D" w:rsidP="00D60A5D">
      <w:pPr>
        <w:ind w:left="1440" w:hanging="720"/>
      </w:pPr>
      <w:r w:rsidRPr="001A7517">
        <w:t>Major sources in drinking water:  Discharge from industrial chemical factories; an impurity of some water treatment chemicals.</w:t>
      </w:r>
    </w:p>
    <w:p w14:paraId="48DA8E72" w14:textId="77777777" w:rsidR="00D60A5D" w:rsidRPr="001A7517" w:rsidRDefault="00D60A5D" w:rsidP="00D60A5D">
      <w:pPr>
        <w:spacing w:after="240"/>
        <w:ind w:left="1440" w:hanging="720"/>
      </w:pPr>
      <w:r w:rsidRPr="001A7517">
        <w:t>Health effects language:  Some people who drink water containing high levels of epichlorohydrin over a long period of time could experience stomach problems, and may have an increased risk of getting cancer.</w:t>
      </w:r>
    </w:p>
    <w:p w14:paraId="03977A3E" w14:textId="77777777" w:rsidR="00D60A5D" w:rsidRPr="001A7517" w:rsidRDefault="00D60A5D" w:rsidP="00D60A5D">
      <w:pPr>
        <w:spacing w:before="240"/>
        <w:ind w:left="1440" w:hanging="720"/>
      </w:pPr>
      <w:r w:rsidRPr="001A7517">
        <w:t>Contaminant (units):  Ethylene dibromide (ppt)</w:t>
      </w:r>
    </w:p>
    <w:p w14:paraId="6539534B" w14:textId="77777777" w:rsidR="00D60A5D" w:rsidRPr="001A7517" w:rsidRDefault="00D60A5D" w:rsidP="00D60A5D">
      <w:pPr>
        <w:ind w:left="1440" w:hanging="720"/>
      </w:pPr>
      <w:r w:rsidRPr="001A7517">
        <w:t>Traditional MCL in mg/ℓ:  0.00005</w:t>
      </w:r>
    </w:p>
    <w:p w14:paraId="633D5BFB" w14:textId="77777777" w:rsidR="00D60A5D" w:rsidRPr="001A7517" w:rsidRDefault="00D60A5D" w:rsidP="00D60A5D">
      <w:pPr>
        <w:ind w:left="1440" w:hanging="720"/>
      </w:pPr>
      <w:r w:rsidRPr="001A7517">
        <w:t>To convert for CCR, multiply by:  1,000,000</w:t>
      </w:r>
    </w:p>
    <w:p w14:paraId="43FE9010" w14:textId="77777777" w:rsidR="00D60A5D" w:rsidRPr="001A7517" w:rsidRDefault="00D60A5D" w:rsidP="00D60A5D">
      <w:pPr>
        <w:ind w:left="1440" w:hanging="720"/>
      </w:pPr>
      <w:r w:rsidRPr="001A7517">
        <w:t>MCL in CCR units:  50</w:t>
      </w:r>
    </w:p>
    <w:p w14:paraId="17E99486" w14:textId="77777777" w:rsidR="00D60A5D" w:rsidRPr="001A7517" w:rsidRDefault="00D60A5D" w:rsidP="00D60A5D">
      <w:pPr>
        <w:ind w:left="1440" w:hanging="720"/>
      </w:pPr>
      <w:r w:rsidRPr="001A7517">
        <w:t>MCLG:  0</w:t>
      </w:r>
    </w:p>
    <w:p w14:paraId="76F3A2EE" w14:textId="77777777" w:rsidR="00D60A5D" w:rsidRPr="001A7517" w:rsidRDefault="00D60A5D" w:rsidP="00D60A5D">
      <w:pPr>
        <w:ind w:left="1440" w:hanging="720"/>
      </w:pPr>
      <w:r w:rsidRPr="001A7517">
        <w:t>Major sources in drinking water:  Discharge from petroleum refineries.</w:t>
      </w:r>
    </w:p>
    <w:p w14:paraId="7BBE84E2" w14:textId="77777777" w:rsidR="00D60A5D" w:rsidRPr="001A7517" w:rsidRDefault="00D60A5D" w:rsidP="00D60A5D">
      <w:pPr>
        <w:spacing w:after="240"/>
        <w:ind w:left="1440" w:hanging="720"/>
      </w:pPr>
      <w:r w:rsidRPr="001A7517">
        <w:t>Health effects language:  Some people who drink water containing ethylene dibromide in excess of the MCL over many years could experience problems with their liver, stomach, reproductive system, or kidneys, and may have an increased risk of getting cancer.</w:t>
      </w:r>
    </w:p>
    <w:p w14:paraId="56FCDF31" w14:textId="77777777" w:rsidR="00D60A5D" w:rsidRPr="001A7517" w:rsidRDefault="00D60A5D" w:rsidP="00D60A5D">
      <w:pPr>
        <w:spacing w:before="240"/>
        <w:ind w:left="1440" w:hanging="720"/>
      </w:pPr>
      <w:r w:rsidRPr="001A7517">
        <w:t>Contaminant (units):  Glyphosate (ppb)</w:t>
      </w:r>
    </w:p>
    <w:p w14:paraId="3E0B35D7" w14:textId="77777777" w:rsidR="00D60A5D" w:rsidRPr="001A7517" w:rsidRDefault="00D60A5D" w:rsidP="00D60A5D">
      <w:pPr>
        <w:ind w:left="1440" w:hanging="720"/>
      </w:pPr>
      <w:r w:rsidRPr="001A7517">
        <w:t>Traditional MCL in mg/ℓ:  0.7</w:t>
      </w:r>
    </w:p>
    <w:p w14:paraId="4F1D472E" w14:textId="77777777" w:rsidR="00D60A5D" w:rsidRPr="001A7517" w:rsidRDefault="00D60A5D" w:rsidP="00D60A5D">
      <w:pPr>
        <w:ind w:left="1440" w:hanging="720"/>
      </w:pPr>
      <w:r w:rsidRPr="001A7517">
        <w:t>To convert for CCR, multiply by:  1000</w:t>
      </w:r>
    </w:p>
    <w:p w14:paraId="314093E4" w14:textId="77777777" w:rsidR="00D60A5D" w:rsidRPr="001A7517" w:rsidRDefault="00D60A5D" w:rsidP="00D60A5D">
      <w:pPr>
        <w:ind w:left="1440" w:hanging="720"/>
      </w:pPr>
      <w:r w:rsidRPr="001A7517">
        <w:t>MCL in CCR units:  700</w:t>
      </w:r>
    </w:p>
    <w:p w14:paraId="1576660D" w14:textId="77777777" w:rsidR="00D60A5D" w:rsidRPr="001A7517" w:rsidRDefault="00D60A5D" w:rsidP="00D60A5D">
      <w:pPr>
        <w:ind w:left="1440" w:hanging="720"/>
      </w:pPr>
      <w:r w:rsidRPr="001A7517">
        <w:t>MCLG:  700</w:t>
      </w:r>
    </w:p>
    <w:p w14:paraId="7A35BA7D" w14:textId="77777777" w:rsidR="00D60A5D" w:rsidRPr="001A7517" w:rsidRDefault="00D60A5D" w:rsidP="00D60A5D">
      <w:pPr>
        <w:ind w:left="1440" w:hanging="720"/>
      </w:pPr>
      <w:r w:rsidRPr="001A7517">
        <w:t>Major sources in drinking water:  Runoff from herbicide use.</w:t>
      </w:r>
    </w:p>
    <w:p w14:paraId="7A404F55" w14:textId="77777777" w:rsidR="00D60A5D" w:rsidRPr="001A7517" w:rsidRDefault="00D60A5D" w:rsidP="00D60A5D">
      <w:pPr>
        <w:spacing w:after="240"/>
        <w:ind w:left="1440" w:hanging="720"/>
      </w:pPr>
      <w:r w:rsidRPr="001A7517">
        <w:t>Health effects language:  Some people who drink water containing glyphosate in excess of the MCL over many years could experience problems with their kidneys or reproductive difficulties.</w:t>
      </w:r>
    </w:p>
    <w:p w14:paraId="10306EE3" w14:textId="77777777" w:rsidR="00D60A5D" w:rsidRPr="001A7517" w:rsidRDefault="00D60A5D" w:rsidP="00D60A5D">
      <w:pPr>
        <w:spacing w:before="240"/>
        <w:ind w:left="1440" w:hanging="720"/>
      </w:pPr>
      <w:r w:rsidRPr="001A7517">
        <w:t>Contaminant (units):  Heptachlor (ppt)</w:t>
      </w:r>
    </w:p>
    <w:p w14:paraId="2D1AA972" w14:textId="77777777" w:rsidR="00D60A5D" w:rsidRPr="001A7517" w:rsidRDefault="00D60A5D" w:rsidP="00D60A5D">
      <w:pPr>
        <w:ind w:left="1440" w:hanging="720"/>
      </w:pPr>
      <w:r w:rsidRPr="001A7517">
        <w:t>Traditional MCL in mg/ℓ:  0.0004</w:t>
      </w:r>
    </w:p>
    <w:p w14:paraId="72E34FFB" w14:textId="77777777" w:rsidR="00D60A5D" w:rsidRPr="001A7517" w:rsidRDefault="00D60A5D" w:rsidP="00D60A5D">
      <w:pPr>
        <w:ind w:left="1440" w:hanging="720"/>
      </w:pPr>
      <w:r w:rsidRPr="001A7517">
        <w:t>To convert for CCR, multiply by:  1,000,000</w:t>
      </w:r>
    </w:p>
    <w:p w14:paraId="15803AA9" w14:textId="77777777" w:rsidR="00D60A5D" w:rsidRPr="001A7517" w:rsidRDefault="00D60A5D" w:rsidP="00D60A5D">
      <w:pPr>
        <w:ind w:left="1440" w:hanging="720"/>
      </w:pPr>
      <w:r w:rsidRPr="001A7517">
        <w:t>MCL in CCR units:  400</w:t>
      </w:r>
    </w:p>
    <w:p w14:paraId="73571D37" w14:textId="77777777" w:rsidR="00D60A5D" w:rsidRPr="001A7517" w:rsidRDefault="00D60A5D" w:rsidP="00D60A5D">
      <w:pPr>
        <w:ind w:left="1440" w:hanging="720"/>
      </w:pPr>
      <w:r w:rsidRPr="001A7517">
        <w:t>MCLG:  0</w:t>
      </w:r>
    </w:p>
    <w:p w14:paraId="7008AD2E" w14:textId="77777777" w:rsidR="00D60A5D" w:rsidRPr="001A7517" w:rsidRDefault="00D60A5D" w:rsidP="00D60A5D">
      <w:pPr>
        <w:ind w:left="1440" w:hanging="720"/>
      </w:pPr>
      <w:r w:rsidRPr="001A7517">
        <w:lastRenderedPageBreak/>
        <w:t>Major sources in drinking water:  Residue of banned pesticide.</w:t>
      </w:r>
    </w:p>
    <w:p w14:paraId="17E8B4A0" w14:textId="77777777" w:rsidR="00D60A5D" w:rsidRPr="001A7517" w:rsidRDefault="00D60A5D" w:rsidP="00D60A5D">
      <w:pPr>
        <w:spacing w:after="240"/>
        <w:ind w:left="1440" w:hanging="720"/>
      </w:pPr>
      <w:r w:rsidRPr="001A7517">
        <w:t>Health effects language:  Some people who drink water containing heptachlor in excess of the MCL over many years could experience liver damage and may have an increased risk of getting cancer.</w:t>
      </w:r>
    </w:p>
    <w:p w14:paraId="55661BCA" w14:textId="77777777" w:rsidR="00D60A5D" w:rsidRPr="001A7517" w:rsidRDefault="00D60A5D" w:rsidP="00D60A5D">
      <w:pPr>
        <w:spacing w:before="240"/>
        <w:ind w:left="1440" w:hanging="720"/>
      </w:pPr>
      <w:r w:rsidRPr="001A7517">
        <w:t>Contaminant (units):  Heptachlor epoxide (ppt)</w:t>
      </w:r>
    </w:p>
    <w:p w14:paraId="49450107" w14:textId="77777777" w:rsidR="00D60A5D" w:rsidRPr="001A7517" w:rsidRDefault="00D60A5D" w:rsidP="00D60A5D">
      <w:pPr>
        <w:ind w:left="1440" w:hanging="720"/>
      </w:pPr>
      <w:r w:rsidRPr="001A7517">
        <w:t>Traditional MCL in mg/ℓ:  0.0002</w:t>
      </w:r>
    </w:p>
    <w:p w14:paraId="774551EA" w14:textId="77777777" w:rsidR="00D60A5D" w:rsidRPr="001A7517" w:rsidRDefault="00D60A5D" w:rsidP="00D60A5D">
      <w:pPr>
        <w:ind w:left="1440" w:hanging="720"/>
      </w:pPr>
      <w:r w:rsidRPr="001A7517">
        <w:t>To convert for CCR, multiply by:  1,000,000</w:t>
      </w:r>
    </w:p>
    <w:p w14:paraId="39647F2F" w14:textId="77777777" w:rsidR="00D60A5D" w:rsidRPr="001A7517" w:rsidRDefault="00D60A5D" w:rsidP="00D60A5D">
      <w:pPr>
        <w:ind w:left="1440" w:hanging="720"/>
      </w:pPr>
      <w:r w:rsidRPr="001A7517">
        <w:t>MCL in CCR units:  200</w:t>
      </w:r>
    </w:p>
    <w:p w14:paraId="5F700D9B" w14:textId="77777777" w:rsidR="00D60A5D" w:rsidRPr="001A7517" w:rsidRDefault="00D60A5D" w:rsidP="00D60A5D">
      <w:pPr>
        <w:ind w:left="1440" w:hanging="720"/>
      </w:pPr>
      <w:r w:rsidRPr="001A7517">
        <w:t>MCLG:  0</w:t>
      </w:r>
    </w:p>
    <w:p w14:paraId="68C6E3D9" w14:textId="77777777" w:rsidR="00D60A5D" w:rsidRPr="001A7517" w:rsidRDefault="00D60A5D" w:rsidP="00D60A5D">
      <w:pPr>
        <w:ind w:left="1440" w:hanging="720"/>
      </w:pPr>
      <w:r w:rsidRPr="001A7517">
        <w:t>Major sources in drinking water:  Breakdown of heptachlor.</w:t>
      </w:r>
    </w:p>
    <w:p w14:paraId="311FF54B" w14:textId="77777777" w:rsidR="00D60A5D" w:rsidRPr="001A7517" w:rsidRDefault="00D60A5D" w:rsidP="00D60A5D">
      <w:pPr>
        <w:spacing w:after="240"/>
        <w:ind w:left="1440" w:hanging="720"/>
      </w:pPr>
      <w:r w:rsidRPr="001A7517">
        <w:t>Health effects language:  Some people who drink water containing heptachlor epoxide in excess of the MCL over many years could experience liver damage, and may have an increased risk of getting cancer.</w:t>
      </w:r>
    </w:p>
    <w:p w14:paraId="32120295" w14:textId="77777777" w:rsidR="00D60A5D" w:rsidRPr="001A7517" w:rsidRDefault="00D60A5D" w:rsidP="00D60A5D">
      <w:pPr>
        <w:spacing w:before="240"/>
        <w:ind w:left="1440" w:hanging="720"/>
      </w:pPr>
      <w:r w:rsidRPr="001A7517">
        <w:t>Contaminant (units):  Hexachlorobenzene (ppb)</w:t>
      </w:r>
    </w:p>
    <w:p w14:paraId="77F9DAC7" w14:textId="77777777" w:rsidR="00D60A5D" w:rsidRPr="001A7517" w:rsidRDefault="00D60A5D" w:rsidP="00D60A5D">
      <w:pPr>
        <w:ind w:left="1440" w:hanging="720"/>
      </w:pPr>
      <w:r w:rsidRPr="001A7517">
        <w:t>Traditional MCL in mg/ℓ:  0.001</w:t>
      </w:r>
    </w:p>
    <w:p w14:paraId="474AFD87" w14:textId="77777777" w:rsidR="00D60A5D" w:rsidRPr="001A7517" w:rsidRDefault="00D60A5D" w:rsidP="00D60A5D">
      <w:pPr>
        <w:ind w:left="1440" w:hanging="720"/>
      </w:pPr>
      <w:r w:rsidRPr="001A7517">
        <w:t>To convert for CCR, multiply by:  1000</w:t>
      </w:r>
    </w:p>
    <w:p w14:paraId="22ECF9FD" w14:textId="77777777" w:rsidR="00D60A5D" w:rsidRPr="001A7517" w:rsidRDefault="00D60A5D" w:rsidP="00D60A5D">
      <w:pPr>
        <w:ind w:left="1440" w:hanging="720"/>
      </w:pPr>
      <w:r w:rsidRPr="001A7517">
        <w:t>MCL in CCR units:  1</w:t>
      </w:r>
    </w:p>
    <w:p w14:paraId="783F1F7F" w14:textId="77777777" w:rsidR="00D60A5D" w:rsidRPr="001A7517" w:rsidRDefault="00D60A5D" w:rsidP="00D60A5D">
      <w:pPr>
        <w:ind w:left="1440" w:hanging="720"/>
      </w:pPr>
      <w:r w:rsidRPr="001A7517">
        <w:t>MCLG:  0</w:t>
      </w:r>
    </w:p>
    <w:p w14:paraId="28A83B02" w14:textId="77777777" w:rsidR="00D60A5D" w:rsidRPr="001A7517" w:rsidRDefault="00D60A5D" w:rsidP="00D60A5D">
      <w:pPr>
        <w:ind w:left="1440" w:hanging="720"/>
      </w:pPr>
      <w:r w:rsidRPr="001A7517">
        <w:t>Major sources in drinking water:  Discharge from metal refineries and agricultural chemical factories.</w:t>
      </w:r>
    </w:p>
    <w:p w14:paraId="58EC768B" w14:textId="77777777" w:rsidR="00D60A5D" w:rsidRPr="001A7517" w:rsidRDefault="00D60A5D" w:rsidP="00D60A5D">
      <w:pPr>
        <w:spacing w:after="240"/>
        <w:ind w:left="1440" w:hanging="720"/>
      </w:pPr>
      <w:r w:rsidRPr="001A7517">
        <w:t>Health effects language:  Some people who drink water containing hexachlorobenzene in excess of the MCL over many years could experience problems with their liver or kidneys, or adverse reproductive effects, and may have an increased risk of getting cancer.</w:t>
      </w:r>
    </w:p>
    <w:p w14:paraId="028CA2E5" w14:textId="77777777" w:rsidR="00D60A5D" w:rsidRPr="001A7517" w:rsidRDefault="00D60A5D" w:rsidP="00D60A5D">
      <w:pPr>
        <w:spacing w:before="240"/>
        <w:ind w:left="1440" w:hanging="720"/>
      </w:pPr>
      <w:r w:rsidRPr="001A7517">
        <w:t>Contaminant (units):  Hexachlorocyclopentadiene (ppb)</w:t>
      </w:r>
    </w:p>
    <w:p w14:paraId="6851C9FC" w14:textId="77777777" w:rsidR="00D60A5D" w:rsidRPr="001A7517" w:rsidRDefault="00D60A5D" w:rsidP="00D60A5D">
      <w:pPr>
        <w:ind w:left="1440" w:hanging="720"/>
      </w:pPr>
      <w:r w:rsidRPr="001A7517">
        <w:t>Traditional MCL in mg/ℓ:  0.05</w:t>
      </w:r>
    </w:p>
    <w:p w14:paraId="24BEBB7E" w14:textId="77777777" w:rsidR="00D60A5D" w:rsidRPr="001A7517" w:rsidRDefault="00D60A5D" w:rsidP="00D60A5D">
      <w:pPr>
        <w:ind w:left="1440" w:hanging="720"/>
      </w:pPr>
      <w:r w:rsidRPr="001A7517">
        <w:t>To convert for CCR, multiply by:  1000</w:t>
      </w:r>
    </w:p>
    <w:p w14:paraId="442B8D51" w14:textId="77777777" w:rsidR="00D60A5D" w:rsidRPr="001A7517" w:rsidRDefault="00D60A5D" w:rsidP="00D60A5D">
      <w:pPr>
        <w:ind w:left="1440" w:hanging="720"/>
      </w:pPr>
      <w:r w:rsidRPr="001A7517">
        <w:t>MCL in CCR units:  50</w:t>
      </w:r>
    </w:p>
    <w:p w14:paraId="55D92D46" w14:textId="77777777" w:rsidR="00D60A5D" w:rsidRPr="001A7517" w:rsidRDefault="00D60A5D" w:rsidP="00D60A5D">
      <w:pPr>
        <w:ind w:left="1440" w:hanging="720"/>
      </w:pPr>
      <w:r w:rsidRPr="001A7517">
        <w:t>MCLG:  50</w:t>
      </w:r>
    </w:p>
    <w:p w14:paraId="07AAAFE6" w14:textId="77777777" w:rsidR="00D60A5D" w:rsidRPr="001A7517" w:rsidRDefault="00D60A5D" w:rsidP="00D60A5D">
      <w:pPr>
        <w:ind w:left="1440" w:hanging="720"/>
      </w:pPr>
      <w:r w:rsidRPr="001A7517">
        <w:t>Major sources in drinking water:  Discharge from chemical factories.</w:t>
      </w:r>
    </w:p>
    <w:p w14:paraId="3A2AB963" w14:textId="77777777" w:rsidR="00D60A5D" w:rsidRPr="001A7517" w:rsidRDefault="00D60A5D" w:rsidP="00D60A5D">
      <w:pPr>
        <w:spacing w:after="240"/>
        <w:ind w:left="1440" w:hanging="720"/>
      </w:pPr>
      <w:r w:rsidRPr="001A7517">
        <w:t>Health effects language:  Some people who drink water containing hexachlorocyclopentadiene well in excess of the MCL over many years could experience problems with their kidneys or stomach.</w:t>
      </w:r>
    </w:p>
    <w:p w14:paraId="1416D299" w14:textId="77777777" w:rsidR="00D60A5D" w:rsidRPr="001A7517" w:rsidRDefault="00D60A5D" w:rsidP="00D60A5D">
      <w:pPr>
        <w:spacing w:before="240"/>
        <w:ind w:left="1440" w:hanging="720"/>
      </w:pPr>
      <w:r w:rsidRPr="001A7517">
        <w:t>Contaminant (units):  Lindane (ppt)</w:t>
      </w:r>
    </w:p>
    <w:p w14:paraId="4A9A03EF" w14:textId="77777777" w:rsidR="00D60A5D" w:rsidRPr="001A7517" w:rsidRDefault="00D60A5D" w:rsidP="00D60A5D">
      <w:pPr>
        <w:ind w:left="1440" w:hanging="720"/>
      </w:pPr>
      <w:r w:rsidRPr="001A7517">
        <w:t>Traditional MCL in mg/ℓ:  0.0002</w:t>
      </w:r>
    </w:p>
    <w:p w14:paraId="1195C530" w14:textId="77777777" w:rsidR="00D60A5D" w:rsidRPr="001A7517" w:rsidRDefault="00D60A5D" w:rsidP="00D60A5D">
      <w:pPr>
        <w:ind w:left="1440" w:hanging="720"/>
      </w:pPr>
      <w:r w:rsidRPr="001A7517">
        <w:t>To convert for CCR, multiply by:  1,000,000</w:t>
      </w:r>
    </w:p>
    <w:p w14:paraId="39BA825A" w14:textId="77777777" w:rsidR="00D60A5D" w:rsidRPr="001A7517" w:rsidRDefault="00D60A5D" w:rsidP="00D60A5D">
      <w:pPr>
        <w:ind w:left="1440" w:hanging="720"/>
      </w:pPr>
      <w:r w:rsidRPr="001A7517">
        <w:t>MCL in CCR units:  200</w:t>
      </w:r>
    </w:p>
    <w:p w14:paraId="43278E36" w14:textId="77777777" w:rsidR="00D60A5D" w:rsidRPr="001A7517" w:rsidRDefault="00D60A5D" w:rsidP="00D60A5D">
      <w:pPr>
        <w:ind w:left="1440" w:hanging="720"/>
      </w:pPr>
      <w:r w:rsidRPr="001A7517">
        <w:t>MCLG:  200</w:t>
      </w:r>
    </w:p>
    <w:p w14:paraId="5F878D73" w14:textId="77777777" w:rsidR="00D60A5D" w:rsidRPr="001A7517" w:rsidRDefault="00D60A5D" w:rsidP="00D60A5D">
      <w:pPr>
        <w:ind w:left="1440" w:hanging="720"/>
      </w:pPr>
      <w:r w:rsidRPr="001A7517">
        <w:t>Major sources in drinking water:  Runoff/leaching from insecticide used on cattle, lumber, gardens.</w:t>
      </w:r>
    </w:p>
    <w:p w14:paraId="6E4A5AD4" w14:textId="77777777" w:rsidR="00D60A5D" w:rsidRPr="001A7517" w:rsidRDefault="00D60A5D" w:rsidP="00D60A5D">
      <w:pPr>
        <w:spacing w:after="240"/>
        <w:ind w:left="1440" w:hanging="720"/>
      </w:pPr>
      <w:r w:rsidRPr="001A7517">
        <w:lastRenderedPageBreak/>
        <w:t>Health effects language:  Some people who drink water containing lindane in excess of the MCL over many years could experience problems with their kidneys or liver.</w:t>
      </w:r>
    </w:p>
    <w:p w14:paraId="358B5FFE" w14:textId="77777777" w:rsidR="00D60A5D" w:rsidRPr="001A7517" w:rsidRDefault="00D60A5D" w:rsidP="00D60A5D">
      <w:pPr>
        <w:spacing w:before="240"/>
        <w:ind w:left="1440" w:hanging="720"/>
      </w:pPr>
      <w:r w:rsidRPr="001A7517">
        <w:t>Contaminant (units):  Methoxychlor (ppb)</w:t>
      </w:r>
    </w:p>
    <w:p w14:paraId="3EEE592F" w14:textId="77777777" w:rsidR="00D60A5D" w:rsidRPr="001A7517" w:rsidRDefault="00D60A5D" w:rsidP="00D60A5D">
      <w:pPr>
        <w:ind w:left="1440" w:hanging="720"/>
      </w:pPr>
      <w:r w:rsidRPr="001A7517">
        <w:t>Traditional MCL in mg/ℓ:  0.04</w:t>
      </w:r>
    </w:p>
    <w:p w14:paraId="58E0259B" w14:textId="77777777" w:rsidR="00D60A5D" w:rsidRPr="001A7517" w:rsidRDefault="00D60A5D" w:rsidP="00D60A5D">
      <w:pPr>
        <w:ind w:left="1440" w:hanging="720"/>
      </w:pPr>
      <w:r w:rsidRPr="001A7517">
        <w:t>To convert for CCR, multiply by:  1000</w:t>
      </w:r>
    </w:p>
    <w:p w14:paraId="2A0F9ABB" w14:textId="77777777" w:rsidR="00D60A5D" w:rsidRPr="001A7517" w:rsidRDefault="00D60A5D" w:rsidP="00D60A5D">
      <w:pPr>
        <w:ind w:left="1440" w:hanging="720"/>
      </w:pPr>
      <w:r w:rsidRPr="001A7517">
        <w:t>MCL in CCR units:  40</w:t>
      </w:r>
    </w:p>
    <w:p w14:paraId="33AFAF3B" w14:textId="77777777" w:rsidR="00D60A5D" w:rsidRPr="001A7517" w:rsidRDefault="00D60A5D" w:rsidP="00D60A5D">
      <w:pPr>
        <w:ind w:left="1440" w:hanging="720"/>
      </w:pPr>
      <w:r w:rsidRPr="001A7517">
        <w:t>MCLG:  40</w:t>
      </w:r>
    </w:p>
    <w:p w14:paraId="75E24638" w14:textId="77777777" w:rsidR="00D60A5D" w:rsidRPr="001A7517" w:rsidRDefault="00D60A5D" w:rsidP="00D60A5D">
      <w:pPr>
        <w:ind w:left="1440" w:hanging="720"/>
      </w:pPr>
      <w:r w:rsidRPr="001A7517">
        <w:t>Major sources in drinking water:  Runoff/leaching from insecticide used on fruits, vegetables, alfalfa, livestock.</w:t>
      </w:r>
    </w:p>
    <w:p w14:paraId="04ACBFBE" w14:textId="77777777" w:rsidR="00D60A5D" w:rsidRPr="001A7517" w:rsidRDefault="00D60A5D" w:rsidP="00D60A5D">
      <w:pPr>
        <w:spacing w:after="240"/>
        <w:ind w:left="1440" w:hanging="720"/>
      </w:pPr>
      <w:r w:rsidRPr="001A7517">
        <w:t>Health effects language:  Some people who drink water containing methoxychlor in excess of the MCL over many years could experience reproductive difficulties.</w:t>
      </w:r>
    </w:p>
    <w:p w14:paraId="724496FD" w14:textId="77777777" w:rsidR="00D60A5D" w:rsidRPr="001A7517" w:rsidRDefault="00D60A5D" w:rsidP="00D60A5D">
      <w:pPr>
        <w:spacing w:before="240"/>
        <w:ind w:left="1440" w:hanging="720"/>
      </w:pPr>
      <w:r w:rsidRPr="001A7517">
        <w:t>Contaminant (units):  Oxamyl (vydate) (ppb)</w:t>
      </w:r>
    </w:p>
    <w:p w14:paraId="4C61663D" w14:textId="77777777" w:rsidR="00D60A5D" w:rsidRPr="001A7517" w:rsidRDefault="00D60A5D" w:rsidP="00D60A5D">
      <w:pPr>
        <w:ind w:left="1440" w:hanging="720"/>
      </w:pPr>
      <w:r w:rsidRPr="001A7517">
        <w:t>Traditional MCL in mg/ℓ:  0.2</w:t>
      </w:r>
    </w:p>
    <w:p w14:paraId="4F9C1597" w14:textId="77777777" w:rsidR="00D60A5D" w:rsidRPr="001A7517" w:rsidRDefault="00D60A5D" w:rsidP="00D60A5D">
      <w:pPr>
        <w:ind w:left="1440" w:hanging="720"/>
      </w:pPr>
      <w:r w:rsidRPr="001A7517">
        <w:t>To convert for CCR, multiply by:  1000</w:t>
      </w:r>
    </w:p>
    <w:p w14:paraId="31F51D1F" w14:textId="77777777" w:rsidR="00D60A5D" w:rsidRPr="001A7517" w:rsidRDefault="00D60A5D" w:rsidP="00D60A5D">
      <w:pPr>
        <w:ind w:left="1440" w:hanging="720"/>
      </w:pPr>
      <w:r w:rsidRPr="001A7517">
        <w:t>MCL in CCR units:  200</w:t>
      </w:r>
    </w:p>
    <w:p w14:paraId="236AEAE1" w14:textId="77777777" w:rsidR="00D60A5D" w:rsidRPr="001A7517" w:rsidRDefault="00D60A5D" w:rsidP="00D60A5D">
      <w:pPr>
        <w:ind w:left="1440" w:hanging="720"/>
      </w:pPr>
      <w:r w:rsidRPr="001A7517">
        <w:t>MCLG:  200</w:t>
      </w:r>
    </w:p>
    <w:p w14:paraId="57C1918E" w14:textId="77777777" w:rsidR="00D60A5D" w:rsidRPr="001A7517" w:rsidRDefault="00D60A5D" w:rsidP="00D60A5D">
      <w:pPr>
        <w:ind w:left="1440" w:hanging="720"/>
      </w:pPr>
      <w:r w:rsidRPr="001A7517">
        <w:t>Major sources in drinking water:  Runoff/leaching from insecticide used on apples, potatoes and tomatoes.</w:t>
      </w:r>
    </w:p>
    <w:p w14:paraId="37F9C9EE" w14:textId="77777777" w:rsidR="00D60A5D" w:rsidRPr="001A7517" w:rsidRDefault="00D60A5D" w:rsidP="00D60A5D">
      <w:pPr>
        <w:spacing w:after="240"/>
        <w:ind w:left="1440" w:hanging="720"/>
      </w:pPr>
      <w:r w:rsidRPr="001A7517">
        <w:t>Health effects language:  Some people who drink water containing oxamyl in excess of the MCL over many years could experience slight nervous system effects.</w:t>
      </w:r>
    </w:p>
    <w:p w14:paraId="04C48508" w14:textId="77777777" w:rsidR="00D60A5D" w:rsidRPr="001A7517" w:rsidRDefault="00D60A5D" w:rsidP="00D60A5D">
      <w:pPr>
        <w:spacing w:before="240"/>
        <w:ind w:left="1440" w:hanging="720"/>
      </w:pPr>
      <w:r w:rsidRPr="001A7517">
        <w:t>Contaminant (units):  PCBs (polychlorinated biphenyls) (ppt)</w:t>
      </w:r>
    </w:p>
    <w:p w14:paraId="02304805" w14:textId="77777777" w:rsidR="00D60A5D" w:rsidRPr="001A7517" w:rsidRDefault="00D60A5D" w:rsidP="00D60A5D">
      <w:pPr>
        <w:ind w:left="1440" w:hanging="720"/>
      </w:pPr>
      <w:r w:rsidRPr="001A7517">
        <w:t>Traditional MCL in mg/ℓ:  0.0005</w:t>
      </w:r>
    </w:p>
    <w:p w14:paraId="11479F91" w14:textId="77777777" w:rsidR="00D60A5D" w:rsidRPr="001A7517" w:rsidRDefault="00D60A5D" w:rsidP="00D60A5D">
      <w:pPr>
        <w:ind w:left="1440" w:hanging="720"/>
      </w:pPr>
      <w:r w:rsidRPr="001A7517">
        <w:t>To convert for CCR, multiply by:  1,000,000</w:t>
      </w:r>
    </w:p>
    <w:p w14:paraId="03C1368D" w14:textId="77777777" w:rsidR="00D60A5D" w:rsidRPr="001A7517" w:rsidRDefault="00D60A5D" w:rsidP="00D60A5D">
      <w:pPr>
        <w:ind w:left="1440" w:hanging="720"/>
      </w:pPr>
      <w:r w:rsidRPr="001A7517">
        <w:t>MCL in CCR units:  500</w:t>
      </w:r>
    </w:p>
    <w:p w14:paraId="26568489" w14:textId="77777777" w:rsidR="00D60A5D" w:rsidRPr="001A7517" w:rsidRDefault="00D60A5D" w:rsidP="00D60A5D">
      <w:pPr>
        <w:ind w:left="1440" w:hanging="720"/>
      </w:pPr>
      <w:r w:rsidRPr="001A7517">
        <w:t>MCLG:  0</w:t>
      </w:r>
    </w:p>
    <w:p w14:paraId="60272FEB" w14:textId="77777777" w:rsidR="00D60A5D" w:rsidRPr="001A7517" w:rsidRDefault="00D60A5D" w:rsidP="00D60A5D">
      <w:pPr>
        <w:ind w:left="1440" w:hanging="720"/>
      </w:pPr>
      <w:r w:rsidRPr="001A7517">
        <w:t>Major sources in drinking water:  Runoff from landfills; discharge of waste chemicals.</w:t>
      </w:r>
    </w:p>
    <w:p w14:paraId="5A663465" w14:textId="77777777" w:rsidR="00D60A5D" w:rsidRPr="001A7517" w:rsidRDefault="00D60A5D" w:rsidP="00D60A5D">
      <w:pPr>
        <w:spacing w:after="240"/>
        <w:ind w:left="1440" w:hanging="720"/>
      </w:pPr>
      <w:r w:rsidRPr="001A7517">
        <w:t>Health effects language:  Some people who drink water containing PCBs in excess of the MCL over many years could experience changes in their skin, problems with their thymus gland, immune deficiencies, or reproductive or nervous system difficulties, and may have an increased risk of getting cancer.</w:t>
      </w:r>
    </w:p>
    <w:p w14:paraId="1DF4E15B" w14:textId="77777777" w:rsidR="00D60A5D" w:rsidRPr="001A7517" w:rsidRDefault="00D60A5D" w:rsidP="00D60A5D">
      <w:pPr>
        <w:spacing w:before="240"/>
        <w:ind w:left="1440" w:hanging="720"/>
      </w:pPr>
      <w:r w:rsidRPr="001A7517">
        <w:t>Contaminant (units):  Pentachlorophenol (ppb)</w:t>
      </w:r>
    </w:p>
    <w:p w14:paraId="567631A8" w14:textId="77777777" w:rsidR="00D60A5D" w:rsidRPr="001A7517" w:rsidRDefault="00D60A5D" w:rsidP="00D60A5D">
      <w:pPr>
        <w:ind w:left="1440" w:hanging="720"/>
      </w:pPr>
      <w:r w:rsidRPr="001A7517">
        <w:t>Traditional MCL in mg/ℓ:  0.001</w:t>
      </w:r>
    </w:p>
    <w:p w14:paraId="0F5BCC75" w14:textId="77777777" w:rsidR="00D60A5D" w:rsidRPr="001A7517" w:rsidRDefault="00D60A5D" w:rsidP="00D60A5D">
      <w:pPr>
        <w:ind w:left="1440" w:hanging="720"/>
      </w:pPr>
      <w:r w:rsidRPr="001A7517">
        <w:t>To convert for CCR, multiply by:  1000</w:t>
      </w:r>
    </w:p>
    <w:p w14:paraId="4FBF507C" w14:textId="77777777" w:rsidR="00D60A5D" w:rsidRPr="001A7517" w:rsidRDefault="00D60A5D" w:rsidP="00D60A5D">
      <w:pPr>
        <w:ind w:left="1440" w:hanging="720"/>
      </w:pPr>
      <w:r w:rsidRPr="001A7517">
        <w:t>MCL in CCR units:  1</w:t>
      </w:r>
    </w:p>
    <w:p w14:paraId="797F96C9" w14:textId="77777777" w:rsidR="00D60A5D" w:rsidRPr="001A7517" w:rsidRDefault="00D60A5D" w:rsidP="00D60A5D">
      <w:pPr>
        <w:ind w:left="1440" w:hanging="720"/>
      </w:pPr>
      <w:r w:rsidRPr="001A7517">
        <w:t>MCLG:  0</w:t>
      </w:r>
    </w:p>
    <w:p w14:paraId="2EC892E2" w14:textId="77777777" w:rsidR="00D60A5D" w:rsidRPr="001A7517" w:rsidRDefault="00D60A5D" w:rsidP="00D60A5D">
      <w:pPr>
        <w:ind w:left="1440" w:hanging="720"/>
      </w:pPr>
      <w:r w:rsidRPr="001A7517">
        <w:t>Major sources in drinking water:  Discharge from wood preserving factories.</w:t>
      </w:r>
    </w:p>
    <w:p w14:paraId="5FB7B74D" w14:textId="77777777" w:rsidR="00D60A5D" w:rsidRPr="001A7517" w:rsidRDefault="00D60A5D" w:rsidP="00D60A5D">
      <w:pPr>
        <w:spacing w:after="240"/>
        <w:ind w:left="1440" w:hanging="720"/>
      </w:pPr>
      <w:r w:rsidRPr="001A7517">
        <w:t>Health effects language:  Some people who drink water containing pentachlorophenol in excess of the MCL over many years could experience problems with their liver or kidneys, and may have an increased risk of getting cancer.</w:t>
      </w:r>
    </w:p>
    <w:p w14:paraId="25FFDE97" w14:textId="77777777" w:rsidR="00D60A5D" w:rsidRPr="001A7517" w:rsidRDefault="00D60A5D" w:rsidP="00D60A5D">
      <w:pPr>
        <w:spacing w:before="240"/>
        <w:ind w:left="1440" w:hanging="720"/>
      </w:pPr>
      <w:r w:rsidRPr="001A7517">
        <w:t>Contaminant (units):  Picloram (ppb)</w:t>
      </w:r>
    </w:p>
    <w:p w14:paraId="640B039F" w14:textId="77777777" w:rsidR="00D60A5D" w:rsidRPr="001A7517" w:rsidRDefault="00D60A5D" w:rsidP="00D60A5D">
      <w:pPr>
        <w:ind w:left="1440" w:hanging="720"/>
      </w:pPr>
      <w:r w:rsidRPr="001A7517">
        <w:lastRenderedPageBreak/>
        <w:t>Traditional MCL in mg/ℓ:  0.5</w:t>
      </w:r>
    </w:p>
    <w:p w14:paraId="1596D084" w14:textId="77777777" w:rsidR="00D60A5D" w:rsidRPr="001A7517" w:rsidRDefault="00D60A5D" w:rsidP="00D60A5D">
      <w:pPr>
        <w:ind w:left="1440" w:hanging="720"/>
      </w:pPr>
      <w:r w:rsidRPr="001A7517">
        <w:t>To convert for CCR, multiply by:  1000</w:t>
      </w:r>
    </w:p>
    <w:p w14:paraId="55CA250E" w14:textId="77777777" w:rsidR="00D60A5D" w:rsidRPr="001A7517" w:rsidRDefault="00D60A5D" w:rsidP="00D60A5D">
      <w:pPr>
        <w:ind w:left="1440" w:hanging="720"/>
      </w:pPr>
      <w:r w:rsidRPr="001A7517">
        <w:t>MCL in CCR units:  500</w:t>
      </w:r>
    </w:p>
    <w:p w14:paraId="46FC6067" w14:textId="77777777" w:rsidR="00D60A5D" w:rsidRPr="001A7517" w:rsidRDefault="00D60A5D" w:rsidP="00D60A5D">
      <w:pPr>
        <w:ind w:left="1440" w:hanging="720"/>
      </w:pPr>
      <w:r w:rsidRPr="001A7517">
        <w:t>MCLG:  500</w:t>
      </w:r>
    </w:p>
    <w:p w14:paraId="5B0B32D9" w14:textId="77777777" w:rsidR="00D60A5D" w:rsidRPr="001A7517" w:rsidRDefault="00D60A5D" w:rsidP="00D60A5D">
      <w:pPr>
        <w:ind w:left="1440" w:hanging="720"/>
      </w:pPr>
      <w:r w:rsidRPr="001A7517">
        <w:t>Major sources in drinking water:  Herbicide runoff.</w:t>
      </w:r>
    </w:p>
    <w:p w14:paraId="57AA8A18" w14:textId="77777777" w:rsidR="00D60A5D" w:rsidRPr="001A7517" w:rsidRDefault="00D60A5D" w:rsidP="00D60A5D">
      <w:pPr>
        <w:spacing w:after="240"/>
        <w:ind w:left="1440" w:hanging="720"/>
      </w:pPr>
      <w:r w:rsidRPr="001A7517">
        <w:t>Health effects language:  Some people who drink water containing picloram in excess of the MCL over many years could experience problems with their liver.</w:t>
      </w:r>
    </w:p>
    <w:p w14:paraId="44809DB3" w14:textId="77777777" w:rsidR="00D60A5D" w:rsidRPr="001A7517" w:rsidRDefault="00D60A5D" w:rsidP="00D60A5D">
      <w:pPr>
        <w:spacing w:before="240"/>
        <w:ind w:left="1440" w:hanging="720"/>
      </w:pPr>
      <w:r w:rsidRPr="001A7517">
        <w:t>Contaminant (units):  Simazine (ppb)</w:t>
      </w:r>
    </w:p>
    <w:p w14:paraId="152EB3D9" w14:textId="77777777" w:rsidR="00D60A5D" w:rsidRPr="001A7517" w:rsidRDefault="00D60A5D" w:rsidP="00D60A5D">
      <w:pPr>
        <w:ind w:left="1440" w:hanging="720"/>
      </w:pPr>
      <w:r w:rsidRPr="001A7517">
        <w:t>Traditional MCL in mg/ℓ:  0.004</w:t>
      </w:r>
    </w:p>
    <w:p w14:paraId="3BB63AD0" w14:textId="77777777" w:rsidR="00D60A5D" w:rsidRPr="001A7517" w:rsidRDefault="00D60A5D" w:rsidP="00D60A5D">
      <w:pPr>
        <w:ind w:left="1440" w:hanging="720"/>
      </w:pPr>
      <w:r w:rsidRPr="001A7517">
        <w:t>To convert for CCR, multiply by:  1000</w:t>
      </w:r>
    </w:p>
    <w:p w14:paraId="58FB1321" w14:textId="77777777" w:rsidR="00D60A5D" w:rsidRPr="001A7517" w:rsidRDefault="00D60A5D" w:rsidP="00D60A5D">
      <w:pPr>
        <w:ind w:left="1440" w:hanging="720"/>
      </w:pPr>
      <w:r w:rsidRPr="001A7517">
        <w:t>MCL in CCR units:  4</w:t>
      </w:r>
    </w:p>
    <w:p w14:paraId="3319C376" w14:textId="77777777" w:rsidR="00D60A5D" w:rsidRPr="001A7517" w:rsidRDefault="00D60A5D" w:rsidP="00D60A5D">
      <w:pPr>
        <w:ind w:left="1440" w:hanging="720"/>
      </w:pPr>
      <w:r w:rsidRPr="001A7517">
        <w:t>MCLG:  4</w:t>
      </w:r>
    </w:p>
    <w:p w14:paraId="7E6C63F9" w14:textId="77777777" w:rsidR="00D60A5D" w:rsidRPr="001A7517" w:rsidRDefault="00D60A5D" w:rsidP="00D60A5D">
      <w:pPr>
        <w:ind w:left="1440" w:hanging="720"/>
      </w:pPr>
      <w:r w:rsidRPr="001A7517">
        <w:t>Major sources in drinking water:  Herbicide runoff.</w:t>
      </w:r>
    </w:p>
    <w:p w14:paraId="1F444D0E" w14:textId="77777777" w:rsidR="00D60A5D" w:rsidRPr="001A7517" w:rsidRDefault="00D60A5D" w:rsidP="00D60A5D">
      <w:pPr>
        <w:spacing w:after="240"/>
        <w:ind w:left="1440" w:hanging="720"/>
      </w:pPr>
      <w:r w:rsidRPr="001A7517">
        <w:t>Health effects language:  Some people who drink water containing simazine in excess of the MCL over many years could experience problems with their blood.</w:t>
      </w:r>
    </w:p>
    <w:p w14:paraId="1A4CE6D5" w14:textId="77777777" w:rsidR="00D60A5D" w:rsidRPr="001A7517" w:rsidRDefault="00D60A5D" w:rsidP="00D60A5D">
      <w:pPr>
        <w:spacing w:before="240"/>
        <w:ind w:left="1440" w:hanging="720"/>
      </w:pPr>
      <w:r w:rsidRPr="001A7517">
        <w:t>Contaminant (units):  Toxaphene (ppb)</w:t>
      </w:r>
    </w:p>
    <w:p w14:paraId="13403D91" w14:textId="77777777" w:rsidR="00D60A5D" w:rsidRPr="001A7517" w:rsidRDefault="00D60A5D" w:rsidP="00D60A5D">
      <w:pPr>
        <w:ind w:left="1440" w:hanging="720"/>
      </w:pPr>
      <w:r w:rsidRPr="001A7517">
        <w:t>Traditional MCL in mg/ℓ:  0.003</w:t>
      </w:r>
    </w:p>
    <w:p w14:paraId="2286A265" w14:textId="77777777" w:rsidR="00D60A5D" w:rsidRPr="001A7517" w:rsidRDefault="00D60A5D" w:rsidP="00D60A5D">
      <w:pPr>
        <w:ind w:left="1440" w:hanging="720"/>
      </w:pPr>
      <w:r w:rsidRPr="001A7517">
        <w:t>To convert for CCR, multiply by:  1000</w:t>
      </w:r>
    </w:p>
    <w:p w14:paraId="2210B171" w14:textId="77777777" w:rsidR="00D60A5D" w:rsidRPr="001A7517" w:rsidRDefault="00D60A5D" w:rsidP="00D60A5D">
      <w:pPr>
        <w:ind w:left="1440" w:hanging="720"/>
      </w:pPr>
      <w:r w:rsidRPr="001A7517">
        <w:t>MCL in CCR units:  3</w:t>
      </w:r>
    </w:p>
    <w:p w14:paraId="75741117" w14:textId="77777777" w:rsidR="00D60A5D" w:rsidRPr="001A7517" w:rsidRDefault="00D60A5D" w:rsidP="00D60A5D">
      <w:pPr>
        <w:ind w:left="1440" w:hanging="720"/>
      </w:pPr>
      <w:r w:rsidRPr="001A7517">
        <w:t>MCLG:  0</w:t>
      </w:r>
    </w:p>
    <w:p w14:paraId="00C0A5C8" w14:textId="77777777" w:rsidR="00D60A5D" w:rsidRPr="001A7517" w:rsidRDefault="00D60A5D" w:rsidP="00D60A5D">
      <w:pPr>
        <w:ind w:left="1440" w:hanging="720"/>
      </w:pPr>
      <w:r w:rsidRPr="001A7517">
        <w:t>Major sources in drinking water:  Runoff/leaching from insecticide used on cotton and cattle.</w:t>
      </w:r>
    </w:p>
    <w:p w14:paraId="79A49809" w14:textId="77777777" w:rsidR="00D60A5D" w:rsidRPr="001A7517" w:rsidRDefault="00D60A5D" w:rsidP="00D60A5D">
      <w:pPr>
        <w:spacing w:after="240"/>
        <w:ind w:left="1440" w:hanging="720"/>
      </w:pPr>
      <w:r w:rsidRPr="001A7517">
        <w:t>Health effects language:  Some people who drink water containing toxaphene in excess of the MCL over many years could have problems with their kidneys, liver, or thyroid, and may have an increased risk of getting cancer.</w:t>
      </w:r>
    </w:p>
    <w:p w14:paraId="3A697BD2" w14:textId="77777777" w:rsidR="00D60A5D" w:rsidRPr="001A7517" w:rsidRDefault="00D60A5D" w:rsidP="00D60A5D">
      <w:pPr>
        <w:keepNext/>
        <w:keepLines/>
        <w:spacing w:before="240" w:after="240"/>
      </w:pPr>
      <w:r w:rsidRPr="001A7517">
        <w:t>Volatile Organic Contaminants</w:t>
      </w:r>
    </w:p>
    <w:p w14:paraId="7BBFF18A" w14:textId="77777777" w:rsidR="00D60A5D" w:rsidRPr="001A7517" w:rsidRDefault="00D60A5D" w:rsidP="00D60A5D">
      <w:pPr>
        <w:spacing w:before="240"/>
        <w:ind w:left="1440" w:hanging="720"/>
      </w:pPr>
      <w:r w:rsidRPr="001A7517">
        <w:t>Contaminant (units):  Benzene (ppb)</w:t>
      </w:r>
    </w:p>
    <w:p w14:paraId="0DA23B90" w14:textId="77777777" w:rsidR="00D60A5D" w:rsidRPr="001A7517" w:rsidRDefault="00D60A5D" w:rsidP="00D60A5D">
      <w:pPr>
        <w:ind w:left="1440" w:hanging="720"/>
      </w:pPr>
      <w:r w:rsidRPr="001A7517">
        <w:t>Traditional MCL in mg/ℓ:  0.005</w:t>
      </w:r>
    </w:p>
    <w:p w14:paraId="23D3C3AE" w14:textId="77777777" w:rsidR="00D60A5D" w:rsidRPr="001A7517" w:rsidRDefault="00D60A5D" w:rsidP="00D60A5D">
      <w:pPr>
        <w:ind w:left="1440" w:hanging="720"/>
      </w:pPr>
      <w:r w:rsidRPr="001A7517">
        <w:t>To convert for CCR, multiply by:  1000</w:t>
      </w:r>
    </w:p>
    <w:p w14:paraId="0E069ED0" w14:textId="77777777" w:rsidR="00D60A5D" w:rsidRPr="001A7517" w:rsidRDefault="00D60A5D" w:rsidP="00D60A5D">
      <w:pPr>
        <w:ind w:left="1440" w:hanging="720"/>
      </w:pPr>
      <w:r w:rsidRPr="001A7517">
        <w:t>MCL in CCR units:  5</w:t>
      </w:r>
    </w:p>
    <w:p w14:paraId="2F0758AC" w14:textId="77777777" w:rsidR="00D60A5D" w:rsidRPr="001A7517" w:rsidRDefault="00D60A5D" w:rsidP="00D60A5D">
      <w:pPr>
        <w:ind w:left="1440" w:hanging="720"/>
      </w:pPr>
      <w:r w:rsidRPr="001A7517">
        <w:t>MCLG:  0</w:t>
      </w:r>
    </w:p>
    <w:p w14:paraId="47E1806C" w14:textId="77777777" w:rsidR="00D60A5D" w:rsidRPr="001A7517" w:rsidRDefault="00D60A5D" w:rsidP="00D60A5D">
      <w:pPr>
        <w:ind w:left="1440" w:hanging="720"/>
      </w:pPr>
      <w:r w:rsidRPr="001A7517">
        <w:t>Major sources in drinking water:  Discharge from factories; leaching from gas storage tanks and landfills.</w:t>
      </w:r>
    </w:p>
    <w:p w14:paraId="31088315" w14:textId="77777777" w:rsidR="00D60A5D" w:rsidRPr="001A7517" w:rsidRDefault="00D60A5D" w:rsidP="00D60A5D">
      <w:pPr>
        <w:spacing w:after="240"/>
        <w:ind w:left="1440" w:hanging="720"/>
      </w:pPr>
      <w:r w:rsidRPr="001A7517">
        <w:t>Health effects language:  Some people who drink water containing benzene in excess of the MCL over many years could experience anemia or a decrease in blood platelets, and may have an increased risk of getting cancer.</w:t>
      </w:r>
    </w:p>
    <w:p w14:paraId="2E9979EC" w14:textId="77777777" w:rsidR="00D60A5D" w:rsidRPr="001A7517" w:rsidRDefault="00D60A5D" w:rsidP="00D60A5D">
      <w:pPr>
        <w:spacing w:before="240"/>
        <w:ind w:left="1440" w:hanging="720"/>
      </w:pPr>
      <w:r w:rsidRPr="001A7517">
        <w:t>Contaminant (units):  Carbon tetrachloride (ppb)</w:t>
      </w:r>
    </w:p>
    <w:p w14:paraId="50E71C8A" w14:textId="77777777" w:rsidR="00D60A5D" w:rsidRPr="001A7517" w:rsidRDefault="00D60A5D" w:rsidP="00D60A5D">
      <w:pPr>
        <w:ind w:left="1440" w:hanging="720"/>
      </w:pPr>
      <w:r w:rsidRPr="001A7517">
        <w:t>Traditional MCL in mg/ℓ:  0.005</w:t>
      </w:r>
    </w:p>
    <w:p w14:paraId="4D3EB0C0" w14:textId="77777777" w:rsidR="00D60A5D" w:rsidRPr="001A7517" w:rsidRDefault="00D60A5D" w:rsidP="00D60A5D">
      <w:pPr>
        <w:ind w:left="1440" w:hanging="720"/>
      </w:pPr>
      <w:r w:rsidRPr="001A7517">
        <w:t>To convert for CCR, multiply by:  1000</w:t>
      </w:r>
    </w:p>
    <w:p w14:paraId="790F8EB0" w14:textId="77777777" w:rsidR="00D60A5D" w:rsidRPr="001A7517" w:rsidRDefault="00D60A5D" w:rsidP="00D60A5D">
      <w:pPr>
        <w:ind w:left="1440" w:hanging="720"/>
      </w:pPr>
      <w:r w:rsidRPr="001A7517">
        <w:t>MCL in CCR units:  5</w:t>
      </w:r>
    </w:p>
    <w:p w14:paraId="64E1E714" w14:textId="77777777" w:rsidR="00D60A5D" w:rsidRPr="001A7517" w:rsidRDefault="00D60A5D" w:rsidP="00D60A5D">
      <w:pPr>
        <w:ind w:left="1440" w:hanging="720"/>
      </w:pPr>
      <w:r w:rsidRPr="001A7517">
        <w:lastRenderedPageBreak/>
        <w:t>MCLG:  0</w:t>
      </w:r>
    </w:p>
    <w:p w14:paraId="496ACEE5" w14:textId="77777777" w:rsidR="00D60A5D" w:rsidRPr="001A7517" w:rsidRDefault="00D60A5D" w:rsidP="00D60A5D">
      <w:pPr>
        <w:ind w:left="1440" w:hanging="720"/>
      </w:pPr>
      <w:r w:rsidRPr="001A7517">
        <w:t>Major sources in drinking water:  Discharge from chemical plants and other industrial activities.</w:t>
      </w:r>
    </w:p>
    <w:p w14:paraId="218FFEDC" w14:textId="77777777" w:rsidR="00D60A5D" w:rsidRPr="001A7517" w:rsidRDefault="00D60A5D" w:rsidP="00D60A5D">
      <w:pPr>
        <w:spacing w:after="240"/>
        <w:ind w:left="1440" w:hanging="720"/>
      </w:pPr>
      <w:r w:rsidRPr="001A7517">
        <w:t>Health effects language:  Some people who drink water containing carbon tetrachloride in excess of the MCL over many years could experience problems with their liver and may have an increased risk of getting cancer.</w:t>
      </w:r>
    </w:p>
    <w:p w14:paraId="2C310554" w14:textId="77777777" w:rsidR="00D60A5D" w:rsidRPr="001A7517" w:rsidRDefault="00D60A5D" w:rsidP="00D60A5D">
      <w:pPr>
        <w:spacing w:before="240"/>
        <w:ind w:left="1440" w:hanging="720"/>
      </w:pPr>
      <w:r w:rsidRPr="001A7517">
        <w:t>Contaminant (units):  Chlorobenzene (ppb)</w:t>
      </w:r>
    </w:p>
    <w:p w14:paraId="6FA64553" w14:textId="77777777" w:rsidR="00D60A5D" w:rsidRPr="001A7517" w:rsidRDefault="00D60A5D" w:rsidP="00D60A5D">
      <w:pPr>
        <w:ind w:left="1440" w:hanging="720"/>
      </w:pPr>
      <w:r w:rsidRPr="001A7517">
        <w:t>Traditional MCL in mg/ℓ:  0.1</w:t>
      </w:r>
    </w:p>
    <w:p w14:paraId="58BE6AE0" w14:textId="77777777" w:rsidR="00D60A5D" w:rsidRPr="001A7517" w:rsidRDefault="00D60A5D" w:rsidP="00D60A5D">
      <w:pPr>
        <w:ind w:left="1440" w:hanging="720"/>
      </w:pPr>
      <w:r w:rsidRPr="001A7517">
        <w:t>To convert for CCR, multiply by:  1000</w:t>
      </w:r>
    </w:p>
    <w:p w14:paraId="1C16F89B" w14:textId="77777777" w:rsidR="00D60A5D" w:rsidRPr="001A7517" w:rsidRDefault="00D60A5D" w:rsidP="00D60A5D">
      <w:pPr>
        <w:ind w:left="1440" w:hanging="720"/>
      </w:pPr>
      <w:r w:rsidRPr="001A7517">
        <w:t>MCL in CCR units:  100</w:t>
      </w:r>
    </w:p>
    <w:p w14:paraId="384C14FF" w14:textId="77777777" w:rsidR="00D60A5D" w:rsidRPr="001A7517" w:rsidRDefault="00D60A5D" w:rsidP="00D60A5D">
      <w:pPr>
        <w:ind w:left="1440" w:hanging="720"/>
      </w:pPr>
      <w:r w:rsidRPr="001A7517">
        <w:t>MCLG:  100</w:t>
      </w:r>
    </w:p>
    <w:p w14:paraId="59CE4770" w14:textId="77777777" w:rsidR="00D60A5D" w:rsidRPr="001A7517" w:rsidRDefault="00D60A5D" w:rsidP="00D60A5D">
      <w:pPr>
        <w:ind w:left="1440" w:hanging="720"/>
      </w:pPr>
      <w:r w:rsidRPr="001A7517">
        <w:t>Major sources in drinking water:  Discharge from chemical and agricultural chemical factories.</w:t>
      </w:r>
    </w:p>
    <w:p w14:paraId="5997747E" w14:textId="77777777" w:rsidR="00D60A5D" w:rsidRPr="001A7517" w:rsidRDefault="00D60A5D" w:rsidP="00D60A5D">
      <w:pPr>
        <w:spacing w:after="240"/>
        <w:ind w:left="1440" w:hanging="720"/>
      </w:pPr>
      <w:r w:rsidRPr="001A7517">
        <w:t>Health effects language:  Some people who drink water containing chlorobenzene in excess of the MCL over many years could experience problems with their liver or kidneys.</w:t>
      </w:r>
    </w:p>
    <w:p w14:paraId="225CF9B1" w14:textId="77777777" w:rsidR="00D60A5D" w:rsidRPr="001A7517" w:rsidRDefault="00D60A5D" w:rsidP="00D60A5D">
      <w:pPr>
        <w:spacing w:before="240"/>
        <w:ind w:left="1440" w:hanging="720"/>
      </w:pPr>
      <w:r w:rsidRPr="001A7517">
        <w:t>Contaminant (units):  o-Dichlorobenzene (ppb)</w:t>
      </w:r>
    </w:p>
    <w:p w14:paraId="63E3AEB3" w14:textId="77777777" w:rsidR="00D60A5D" w:rsidRPr="001A7517" w:rsidRDefault="00D60A5D" w:rsidP="00D60A5D">
      <w:pPr>
        <w:ind w:left="1440" w:hanging="720"/>
      </w:pPr>
      <w:r w:rsidRPr="001A7517">
        <w:t>Traditional MCL in mg/ℓ:  0.6</w:t>
      </w:r>
    </w:p>
    <w:p w14:paraId="30B1FA18" w14:textId="77777777" w:rsidR="00D60A5D" w:rsidRPr="001A7517" w:rsidRDefault="00D60A5D" w:rsidP="00D60A5D">
      <w:pPr>
        <w:ind w:left="1440" w:hanging="720"/>
      </w:pPr>
      <w:r w:rsidRPr="001A7517">
        <w:t>To convert for CCR, multiply by:  1000</w:t>
      </w:r>
    </w:p>
    <w:p w14:paraId="36D4483B" w14:textId="77777777" w:rsidR="00D60A5D" w:rsidRPr="001A7517" w:rsidRDefault="00D60A5D" w:rsidP="00D60A5D">
      <w:pPr>
        <w:ind w:left="1440" w:hanging="720"/>
      </w:pPr>
      <w:r w:rsidRPr="001A7517">
        <w:t>MCL in CCR units:  600</w:t>
      </w:r>
    </w:p>
    <w:p w14:paraId="08E3CD4A" w14:textId="77777777" w:rsidR="00D60A5D" w:rsidRPr="001A7517" w:rsidRDefault="00D60A5D" w:rsidP="00D60A5D">
      <w:pPr>
        <w:ind w:left="1440" w:hanging="720"/>
      </w:pPr>
      <w:r w:rsidRPr="001A7517">
        <w:t>MCLG:  600</w:t>
      </w:r>
    </w:p>
    <w:p w14:paraId="264738CC" w14:textId="77777777" w:rsidR="00D60A5D" w:rsidRPr="001A7517" w:rsidRDefault="00D60A5D" w:rsidP="00D60A5D">
      <w:pPr>
        <w:ind w:left="1440" w:hanging="720"/>
      </w:pPr>
      <w:r w:rsidRPr="001A7517">
        <w:t>Major sources in drinking water:  Discharge from industrial chemical factories.</w:t>
      </w:r>
    </w:p>
    <w:p w14:paraId="155AA455" w14:textId="77777777" w:rsidR="00D60A5D" w:rsidRPr="001A7517" w:rsidRDefault="00D60A5D" w:rsidP="00D60A5D">
      <w:pPr>
        <w:spacing w:after="240"/>
        <w:ind w:left="1440" w:hanging="720"/>
      </w:pPr>
      <w:r w:rsidRPr="001A7517">
        <w:t>Health effects language:  Some people who drink water containing o-dichlorobenzene well in excess of the MCL over many years could experience problems with their liver, kidneys, or circulatory systems.</w:t>
      </w:r>
    </w:p>
    <w:p w14:paraId="515F0986" w14:textId="77777777" w:rsidR="00D60A5D" w:rsidRPr="001A7517" w:rsidRDefault="00D60A5D" w:rsidP="00D60A5D">
      <w:pPr>
        <w:spacing w:before="240"/>
        <w:ind w:left="1440" w:hanging="720"/>
      </w:pPr>
      <w:r w:rsidRPr="001A7517">
        <w:t>Contaminant (units):  p-Dichlorobenzene (ppb)</w:t>
      </w:r>
    </w:p>
    <w:p w14:paraId="45FD3FCF" w14:textId="77777777" w:rsidR="00D60A5D" w:rsidRPr="001A7517" w:rsidRDefault="00D60A5D" w:rsidP="00D60A5D">
      <w:pPr>
        <w:ind w:left="1440" w:hanging="720"/>
      </w:pPr>
      <w:r w:rsidRPr="001A7517">
        <w:t>Traditional MCL in mg/ℓ:  0.075</w:t>
      </w:r>
    </w:p>
    <w:p w14:paraId="1F85B1C8" w14:textId="77777777" w:rsidR="00D60A5D" w:rsidRPr="001A7517" w:rsidRDefault="00D60A5D" w:rsidP="00D60A5D">
      <w:pPr>
        <w:ind w:left="1440" w:hanging="720"/>
      </w:pPr>
      <w:r w:rsidRPr="001A7517">
        <w:t>To convert for CCR, multiply by:  1000</w:t>
      </w:r>
    </w:p>
    <w:p w14:paraId="6702075E" w14:textId="77777777" w:rsidR="00D60A5D" w:rsidRPr="001A7517" w:rsidRDefault="00D60A5D" w:rsidP="00D60A5D">
      <w:pPr>
        <w:ind w:left="1440" w:hanging="720"/>
      </w:pPr>
      <w:r w:rsidRPr="001A7517">
        <w:t>MCL in CCR units:  75</w:t>
      </w:r>
    </w:p>
    <w:p w14:paraId="53E18673" w14:textId="77777777" w:rsidR="00D60A5D" w:rsidRPr="001A7517" w:rsidRDefault="00D60A5D" w:rsidP="00D60A5D">
      <w:pPr>
        <w:ind w:left="1440" w:hanging="720"/>
      </w:pPr>
      <w:r w:rsidRPr="001A7517">
        <w:t>MCLG:  75</w:t>
      </w:r>
    </w:p>
    <w:p w14:paraId="0DEFD9CC" w14:textId="77777777" w:rsidR="00D60A5D" w:rsidRPr="001A7517" w:rsidRDefault="00D60A5D" w:rsidP="00D60A5D">
      <w:pPr>
        <w:ind w:left="1440" w:hanging="720"/>
      </w:pPr>
      <w:r w:rsidRPr="001A7517">
        <w:t>Major sources in drinking water:  Discharge from industrial chemical factories.</w:t>
      </w:r>
    </w:p>
    <w:p w14:paraId="45832FCA" w14:textId="77777777" w:rsidR="00D60A5D" w:rsidRPr="001A7517" w:rsidRDefault="00D60A5D" w:rsidP="00D60A5D">
      <w:pPr>
        <w:spacing w:after="240"/>
        <w:ind w:left="1440" w:hanging="720"/>
      </w:pPr>
      <w:r w:rsidRPr="001A7517">
        <w:t>Health effects language:  Some people who drink water containing p-dichlorobenzene in excess of the MCL over many years could experience anemia; damage to their liver, kidneys, or spleen; or changes in their blood.</w:t>
      </w:r>
    </w:p>
    <w:p w14:paraId="54CD3990" w14:textId="77777777" w:rsidR="00D60A5D" w:rsidRPr="001A7517" w:rsidRDefault="00D60A5D" w:rsidP="00D60A5D">
      <w:pPr>
        <w:spacing w:before="240"/>
        <w:ind w:left="1440" w:hanging="720"/>
      </w:pPr>
      <w:r w:rsidRPr="001A7517">
        <w:t>Contaminant (units):  1,2-Dichloroethane (ppb)</w:t>
      </w:r>
    </w:p>
    <w:p w14:paraId="602639B4" w14:textId="77777777" w:rsidR="00D60A5D" w:rsidRPr="001A7517" w:rsidRDefault="00D60A5D" w:rsidP="00D60A5D">
      <w:pPr>
        <w:ind w:left="1440" w:hanging="720"/>
      </w:pPr>
      <w:r w:rsidRPr="001A7517">
        <w:t>Traditional MCL in mg/ℓ:  0.005</w:t>
      </w:r>
    </w:p>
    <w:p w14:paraId="358099EA" w14:textId="77777777" w:rsidR="00D60A5D" w:rsidRPr="001A7517" w:rsidRDefault="00D60A5D" w:rsidP="00D60A5D">
      <w:pPr>
        <w:ind w:left="1440" w:hanging="720"/>
      </w:pPr>
      <w:r w:rsidRPr="001A7517">
        <w:t>To convert for CCR, multiply by:  1000</w:t>
      </w:r>
    </w:p>
    <w:p w14:paraId="219D7296" w14:textId="77777777" w:rsidR="00D60A5D" w:rsidRPr="001A7517" w:rsidRDefault="00D60A5D" w:rsidP="00D60A5D">
      <w:pPr>
        <w:ind w:left="1440" w:hanging="720"/>
      </w:pPr>
      <w:r w:rsidRPr="001A7517">
        <w:t>MCL in CCR units:  5</w:t>
      </w:r>
    </w:p>
    <w:p w14:paraId="3041B065" w14:textId="77777777" w:rsidR="00D60A5D" w:rsidRPr="001A7517" w:rsidRDefault="00D60A5D" w:rsidP="00D60A5D">
      <w:pPr>
        <w:ind w:left="1440" w:hanging="720"/>
      </w:pPr>
      <w:r w:rsidRPr="001A7517">
        <w:t>MCLG:  0</w:t>
      </w:r>
    </w:p>
    <w:p w14:paraId="6318EC9B" w14:textId="77777777" w:rsidR="00D60A5D" w:rsidRPr="001A7517" w:rsidRDefault="00D60A5D" w:rsidP="00D60A5D">
      <w:pPr>
        <w:ind w:left="1440" w:hanging="720"/>
      </w:pPr>
      <w:r w:rsidRPr="001A7517">
        <w:t>Major sources in drinking water:  Discharge from industrial chemical factories.</w:t>
      </w:r>
    </w:p>
    <w:p w14:paraId="4E39CEF3" w14:textId="77777777" w:rsidR="00D60A5D" w:rsidRPr="001A7517" w:rsidRDefault="00D60A5D" w:rsidP="00D60A5D">
      <w:pPr>
        <w:spacing w:after="240"/>
        <w:ind w:left="1440" w:hanging="720"/>
      </w:pPr>
      <w:r w:rsidRPr="001A7517">
        <w:lastRenderedPageBreak/>
        <w:t>Health effects language:  Some people who drink water containing 1,2-dichloroethane in excess of the MCL over many years may have an increased risk of getting cancer.</w:t>
      </w:r>
    </w:p>
    <w:p w14:paraId="1AC5158C" w14:textId="77777777" w:rsidR="00D60A5D" w:rsidRPr="001A7517" w:rsidRDefault="00D60A5D" w:rsidP="00D60A5D">
      <w:pPr>
        <w:spacing w:before="240"/>
        <w:ind w:left="1440" w:hanging="720"/>
      </w:pPr>
      <w:r w:rsidRPr="001A7517">
        <w:t>Contaminant (units):  1,1-Dichloroethylene (ppb)</w:t>
      </w:r>
    </w:p>
    <w:p w14:paraId="15D86A76" w14:textId="77777777" w:rsidR="00D60A5D" w:rsidRPr="001A7517" w:rsidRDefault="00D60A5D" w:rsidP="00D60A5D">
      <w:pPr>
        <w:ind w:left="1440" w:hanging="720"/>
      </w:pPr>
      <w:r w:rsidRPr="001A7517">
        <w:t>Traditional MCL in mg/ℓ:  0.007</w:t>
      </w:r>
    </w:p>
    <w:p w14:paraId="2A78F91A" w14:textId="77777777" w:rsidR="00D60A5D" w:rsidRPr="001A7517" w:rsidRDefault="00D60A5D" w:rsidP="00D60A5D">
      <w:pPr>
        <w:ind w:left="1440" w:hanging="720"/>
      </w:pPr>
      <w:r w:rsidRPr="001A7517">
        <w:t>To convert for CCR, multiply by:  1000</w:t>
      </w:r>
    </w:p>
    <w:p w14:paraId="7DF911D0" w14:textId="77777777" w:rsidR="00D60A5D" w:rsidRPr="001A7517" w:rsidRDefault="00D60A5D" w:rsidP="00D60A5D">
      <w:pPr>
        <w:ind w:left="1440" w:hanging="720"/>
      </w:pPr>
      <w:r w:rsidRPr="001A7517">
        <w:t>MCL in CCR units:  7</w:t>
      </w:r>
    </w:p>
    <w:p w14:paraId="572D61AE" w14:textId="77777777" w:rsidR="00D60A5D" w:rsidRPr="001A7517" w:rsidRDefault="00D60A5D" w:rsidP="00D60A5D">
      <w:pPr>
        <w:ind w:left="1440" w:hanging="720"/>
      </w:pPr>
      <w:r w:rsidRPr="001A7517">
        <w:t>MCLG:  7</w:t>
      </w:r>
    </w:p>
    <w:p w14:paraId="030939A4" w14:textId="77777777" w:rsidR="00D60A5D" w:rsidRPr="001A7517" w:rsidRDefault="00D60A5D" w:rsidP="00D60A5D">
      <w:pPr>
        <w:ind w:left="1440" w:hanging="720"/>
      </w:pPr>
      <w:r w:rsidRPr="001A7517">
        <w:t>Major sources in drinking water:  Discharge from industrial chemical factories.</w:t>
      </w:r>
    </w:p>
    <w:p w14:paraId="13F4EB7F" w14:textId="77777777" w:rsidR="00D60A5D" w:rsidRPr="001A7517" w:rsidRDefault="00D60A5D" w:rsidP="00D60A5D">
      <w:pPr>
        <w:spacing w:after="240"/>
        <w:ind w:left="1440" w:hanging="720"/>
      </w:pPr>
      <w:r w:rsidRPr="001A7517">
        <w:t>Health effects language:  Some people who drink water containing 1,1-dichloroethylene in excess of the MCL over many years could experience problems with their liver.</w:t>
      </w:r>
    </w:p>
    <w:p w14:paraId="35FB3358" w14:textId="77777777" w:rsidR="00D60A5D" w:rsidRPr="001A7517" w:rsidRDefault="00D60A5D" w:rsidP="00D60A5D">
      <w:pPr>
        <w:spacing w:before="240"/>
        <w:ind w:left="1440" w:hanging="720"/>
      </w:pPr>
      <w:r w:rsidRPr="001A7517">
        <w:t>Contaminant (units):  cis-1,2-Dichloroethylene (ppb)</w:t>
      </w:r>
    </w:p>
    <w:p w14:paraId="00ED7709" w14:textId="77777777" w:rsidR="00D60A5D" w:rsidRPr="001A7517" w:rsidRDefault="00D60A5D" w:rsidP="00D60A5D">
      <w:pPr>
        <w:ind w:left="1440" w:hanging="720"/>
      </w:pPr>
      <w:r w:rsidRPr="001A7517">
        <w:t>Traditional MCL in mg/ℓ:  0.07</w:t>
      </w:r>
    </w:p>
    <w:p w14:paraId="30FC535C" w14:textId="77777777" w:rsidR="00D60A5D" w:rsidRPr="001A7517" w:rsidRDefault="00D60A5D" w:rsidP="00D60A5D">
      <w:pPr>
        <w:ind w:left="1440" w:hanging="720"/>
      </w:pPr>
      <w:r w:rsidRPr="001A7517">
        <w:t>To convert for CCR, multiply by:  1000</w:t>
      </w:r>
    </w:p>
    <w:p w14:paraId="5B16C803" w14:textId="77777777" w:rsidR="00D60A5D" w:rsidRPr="001A7517" w:rsidRDefault="00D60A5D" w:rsidP="00D60A5D">
      <w:pPr>
        <w:ind w:left="1440" w:hanging="720"/>
      </w:pPr>
      <w:r w:rsidRPr="001A7517">
        <w:t>MCL in CCR units:  70</w:t>
      </w:r>
    </w:p>
    <w:p w14:paraId="14040D65" w14:textId="77777777" w:rsidR="00D60A5D" w:rsidRPr="001A7517" w:rsidRDefault="00D60A5D" w:rsidP="00D60A5D">
      <w:pPr>
        <w:ind w:left="1440" w:hanging="720"/>
      </w:pPr>
      <w:r w:rsidRPr="001A7517">
        <w:t>MCLG:  70</w:t>
      </w:r>
    </w:p>
    <w:p w14:paraId="7A82A5DE" w14:textId="77777777" w:rsidR="00D60A5D" w:rsidRPr="001A7517" w:rsidRDefault="00D60A5D" w:rsidP="00D60A5D">
      <w:pPr>
        <w:ind w:left="1440" w:hanging="720"/>
      </w:pPr>
      <w:r w:rsidRPr="001A7517">
        <w:t>Major sources in drinking water:  Discharge from industrial chemical factories.</w:t>
      </w:r>
    </w:p>
    <w:p w14:paraId="01222F1D" w14:textId="77777777" w:rsidR="00D60A5D" w:rsidRPr="001A7517" w:rsidRDefault="00D60A5D" w:rsidP="00D60A5D">
      <w:pPr>
        <w:spacing w:after="240"/>
        <w:ind w:left="1440" w:hanging="720"/>
      </w:pPr>
      <w:r w:rsidRPr="001A7517">
        <w:t>Health effects language:  Some people who drink water containing cis-1,2-dichloroethylene in excess of the MCL over many years could experience problems with their liver.</w:t>
      </w:r>
    </w:p>
    <w:p w14:paraId="17760996" w14:textId="77777777" w:rsidR="00D60A5D" w:rsidRPr="001A7517" w:rsidRDefault="00D60A5D" w:rsidP="00D60A5D">
      <w:pPr>
        <w:spacing w:before="240"/>
        <w:ind w:left="1440" w:hanging="720"/>
      </w:pPr>
      <w:r w:rsidRPr="001A7517">
        <w:t>Contaminant (units):  trans-1,2-Dichloroethylene (ppb)</w:t>
      </w:r>
    </w:p>
    <w:p w14:paraId="265A6CC0" w14:textId="77777777" w:rsidR="00D60A5D" w:rsidRPr="001A7517" w:rsidRDefault="00D60A5D" w:rsidP="00D60A5D">
      <w:pPr>
        <w:ind w:left="1440" w:hanging="720"/>
      </w:pPr>
      <w:r w:rsidRPr="001A7517">
        <w:t>Traditional MCL in mg/ℓ:  0.1</w:t>
      </w:r>
    </w:p>
    <w:p w14:paraId="760ADC00" w14:textId="77777777" w:rsidR="00D60A5D" w:rsidRPr="001A7517" w:rsidRDefault="00D60A5D" w:rsidP="00D60A5D">
      <w:pPr>
        <w:ind w:left="1440" w:hanging="720"/>
      </w:pPr>
      <w:r w:rsidRPr="001A7517">
        <w:t>To convert for CCR, multiply by:  1000</w:t>
      </w:r>
    </w:p>
    <w:p w14:paraId="19A6D0D2" w14:textId="77777777" w:rsidR="00D60A5D" w:rsidRPr="001A7517" w:rsidRDefault="00D60A5D" w:rsidP="00D60A5D">
      <w:pPr>
        <w:ind w:left="1440" w:hanging="720"/>
      </w:pPr>
      <w:r w:rsidRPr="001A7517">
        <w:t>MCL in CCR units:  100</w:t>
      </w:r>
    </w:p>
    <w:p w14:paraId="2FA5B7DF" w14:textId="77777777" w:rsidR="00D60A5D" w:rsidRPr="001A7517" w:rsidRDefault="00D60A5D" w:rsidP="00D60A5D">
      <w:pPr>
        <w:ind w:left="1440" w:hanging="720"/>
      </w:pPr>
      <w:r w:rsidRPr="001A7517">
        <w:t>MCLG:  100</w:t>
      </w:r>
    </w:p>
    <w:p w14:paraId="038BA69B" w14:textId="77777777" w:rsidR="00D60A5D" w:rsidRPr="001A7517" w:rsidRDefault="00D60A5D" w:rsidP="00D60A5D">
      <w:pPr>
        <w:ind w:left="1440" w:hanging="720"/>
      </w:pPr>
      <w:r w:rsidRPr="001A7517">
        <w:t>Major sources in drinking water:  Discharge from industrial chemical factories.</w:t>
      </w:r>
    </w:p>
    <w:p w14:paraId="1F832B74" w14:textId="77777777" w:rsidR="00D60A5D" w:rsidRPr="001A7517" w:rsidRDefault="00D60A5D" w:rsidP="00D60A5D">
      <w:pPr>
        <w:spacing w:after="240"/>
        <w:ind w:left="1440" w:hanging="720"/>
      </w:pPr>
      <w:r w:rsidRPr="001A7517">
        <w:t>Health effects language:  Some people who drink water containing trans-1,2-dichloroethylene well in excess of the MCL over many years could experience problems with their liver.</w:t>
      </w:r>
    </w:p>
    <w:p w14:paraId="0626BBE3" w14:textId="77777777" w:rsidR="00D60A5D" w:rsidRPr="001A7517" w:rsidRDefault="00D60A5D" w:rsidP="00D60A5D">
      <w:pPr>
        <w:spacing w:before="240"/>
        <w:ind w:left="1440" w:hanging="720"/>
      </w:pPr>
      <w:r w:rsidRPr="001A7517">
        <w:t>Contaminant (units):  Dichloromethane (ppb)</w:t>
      </w:r>
    </w:p>
    <w:p w14:paraId="1702B687" w14:textId="77777777" w:rsidR="00D60A5D" w:rsidRPr="001A7517" w:rsidRDefault="00D60A5D" w:rsidP="00D60A5D">
      <w:pPr>
        <w:ind w:left="1440" w:hanging="720"/>
      </w:pPr>
      <w:r w:rsidRPr="001A7517">
        <w:t>Traditional MCL in mg/ℓ:  0.005</w:t>
      </w:r>
    </w:p>
    <w:p w14:paraId="5E212252" w14:textId="77777777" w:rsidR="00D60A5D" w:rsidRPr="001A7517" w:rsidRDefault="00D60A5D" w:rsidP="00D60A5D">
      <w:pPr>
        <w:ind w:left="1440" w:hanging="720"/>
      </w:pPr>
      <w:r w:rsidRPr="001A7517">
        <w:t>To convert for CCR, multiply by:  1000</w:t>
      </w:r>
    </w:p>
    <w:p w14:paraId="382E965B" w14:textId="77777777" w:rsidR="00D60A5D" w:rsidRPr="001A7517" w:rsidRDefault="00D60A5D" w:rsidP="00D60A5D">
      <w:pPr>
        <w:ind w:left="1440" w:hanging="720"/>
      </w:pPr>
      <w:r w:rsidRPr="001A7517">
        <w:t>MCL in CCR units:  5</w:t>
      </w:r>
    </w:p>
    <w:p w14:paraId="6E4AF07B" w14:textId="77777777" w:rsidR="00D60A5D" w:rsidRPr="001A7517" w:rsidRDefault="00D60A5D" w:rsidP="00D60A5D">
      <w:pPr>
        <w:ind w:left="1440" w:hanging="720"/>
      </w:pPr>
      <w:r w:rsidRPr="001A7517">
        <w:t>MCLG:  0</w:t>
      </w:r>
    </w:p>
    <w:p w14:paraId="4BF88D34" w14:textId="77777777" w:rsidR="00D60A5D" w:rsidRPr="001A7517" w:rsidRDefault="00D60A5D" w:rsidP="00D60A5D">
      <w:pPr>
        <w:ind w:left="1440" w:hanging="720"/>
      </w:pPr>
      <w:r w:rsidRPr="001A7517">
        <w:t>Major sources in drinking water:  Discharge from pharmaceutical and chemical factories.</w:t>
      </w:r>
    </w:p>
    <w:p w14:paraId="194DDABC" w14:textId="77777777" w:rsidR="00D60A5D" w:rsidRPr="001A7517" w:rsidRDefault="00D60A5D" w:rsidP="00D60A5D">
      <w:pPr>
        <w:spacing w:after="240"/>
        <w:ind w:left="1440" w:hanging="720"/>
      </w:pPr>
      <w:r w:rsidRPr="001A7517">
        <w:t>Health effects language:  Some people who drink water containing dichloromethane in excess of the MCL over many years could have liver problems and may have an increased risk of getting cancer.</w:t>
      </w:r>
    </w:p>
    <w:p w14:paraId="5ACD25C7" w14:textId="77777777" w:rsidR="00D60A5D" w:rsidRPr="001A7517" w:rsidRDefault="00D60A5D" w:rsidP="00D60A5D">
      <w:pPr>
        <w:spacing w:before="240"/>
        <w:ind w:left="1440" w:hanging="720"/>
      </w:pPr>
      <w:r w:rsidRPr="001A7517">
        <w:t>Contaminant (units):  1,2-Dichloropropane (ppb)</w:t>
      </w:r>
    </w:p>
    <w:p w14:paraId="0B2F2813" w14:textId="77777777" w:rsidR="00D60A5D" w:rsidRPr="001A7517" w:rsidRDefault="00D60A5D" w:rsidP="00D60A5D">
      <w:pPr>
        <w:ind w:left="1440" w:hanging="720"/>
      </w:pPr>
      <w:r w:rsidRPr="001A7517">
        <w:t>Traditional MCL in mg/ℓ:  0.005</w:t>
      </w:r>
    </w:p>
    <w:p w14:paraId="2B212025" w14:textId="77777777" w:rsidR="00D60A5D" w:rsidRPr="001A7517" w:rsidRDefault="00D60A5D" w:rsidP="00D60A5D">
      <w:pPr>
        <w:ind w:left="1440" w:hanging="720"/>
      </w:pPr>
      <w:r w:rsidRPr="001A7517">
        <w:t>To convert for CCR, multiply by:  1000</w:t>
      </w:r>
    </w:p>
    <w:p w14:paraId="30DAEA9B" w14:textId="77777777" w:rsidR="00D60A5D" w:rsidRPr="001A7517" w:rsidRDefault="00D60A5D" w:rsidP="00D60A5D">
      <w:pPr>
        <w:ind w:left="1440" w:hanging="720"/>
      </w:pPr>
      <w:r w:rsidRPr="001A7517">
        <w:lastRenderedPageBreak/>
        <w:t>MCL in CCR units:  5</w:t>
      </w:r>
    </w:p>
    <w:p w14:paraId="59671ADE" w14:textId="77777777" w:rsidR="00D60A5D" w:rsidRPr="001A7517" w:rsidRDefault="00D60A5D" w:rsidP="00D60A5D">
      <w:pPr>
        <w:ind w:left="1440" w:hanging="720"/>
      </w:pPr>
      <w:r w:rsidRPr="001A7517">
        <w:t>MCLG:  0</w:t>
      </w:r>
    </w:p>
    <w:p w14:paraId="637E9954" w14:textId="77777777" w:rsidR="00D60A5D" w:rsidRPr="001A7517" w:rsidRDefault="00D60A5D" w:rsidP="00D60A5D">
      <w:pPr>
        <w:ind w:left="1440" w:hanging="720"/>
      </w:pPr>
      <w:r w:rsidRPr="001A7517">
        <w:t>Major sources in drinking water:  Discharge from industrial chemical factories.</w:t>
      </w:r>
    </w:p>
    <w:p w14:paraId="0ACD0DD3" w14:textId="77777777" w:rsidR="00D60A5D" w:rsidRPr="001A7517" w:rsidRDefault="00D60A5D" w:rsidP="00D60A5D">
      <w:pPr>
        <w:spacing w:after="240"/>
        <w:ind w:left="1440" w:hanging="720"/>
      </w:pPr>
      <w:r w:rsidRPr="001A7517">
        <w:t>Health effects language:  Some people who drink water containing 1,2-dichloropropane in excess of the MCL over many years may have an increased risk of getting cancer.</w:t>
      </w:r>
    </w:p>
    <w:p w14:paraId="7798171D" w14:textId="77777777" w:rsidR="00D60A5D" w:rsidRPr="001A7517" w:rsidRDefault="00D60A5D" w:rsidP="00D60A5D">
      <w:pPr>
        <w:spacing w:before="240"/>
        <w:ind w:left="1440" w:hanging="720"/>
      </w:pPr>
      <w:r w:rsidRPr="001A7517">
        <w:t>Contaminant (units):  Ethylbenzene (ppb)</w:t>
      </w:r>
    </w:p>
    <w:p w14:paraId="20BBADF8" w14:textId="77777777" w:rsidR="00D60A5D" w:rsidRPr="001A7517" w:rsidRDefault="00D60A5D" w:rsidP="00D60A5D">
      <w:pPr>
        <w:ind w:left="1440" w:hanging="720"/>
      </w:pPr>
      <w:r w:rsidRPr="001A7517">
        <w:t>Traditional MCL in mg/ℓ:  0.7</w:t>
      </w:r>
    </w:p>
    <w:p w14:paraId="5B0DD570" w14:textId="77777777" w:rsidR="00D60A5D" w:rsidRPr="001A7517" w:rsidRDefault="00D60A5D" w:rsidP="00D60A5D">
      <w:pPr>
        <w:ind w:left="1440" w:hanging="720"/>
      </w:pPr>
      <w:r w:rsidRPr="001A7517">
        <w:t>To convert for CCR, multiply by:  1000</w:t>
      </w:r>
    </w:p>
    <w:p w14:paraId="3CC21B6E" w14:textId="77777777" w:rsidR="00D60A5D" w:rsidRPr="001A7517" w:rsidRDefault="00D60A5D" w:rsidP="00D60A5D">
      <w:pPr>
        <w:ind w:left="1440" w:hanging="720"/>
      </w:pPr>
      <w:r w:rsidRPr="001A7517">
        <w:t>MCL in CCR units:  700</w:t>
      </w:r>
    </w:p>
    <w:p w14:paraId="7DA31A75" w14:textId="77777777" w:rsidR="00D60A5D" w:rsidRPr="001A7517" w:rsidRDefault="00D60A5D" w:rsidP="00D60A5D">
      <w:pPr>
        <w:ind w:left="1440" w:hanging="720"/>
      </w:pPr>
      <w:r w:rsidRPr="001A7517">
        <w:t>MCLG:  700</w:t>
      </w:r>
    </w:p>
    <w:p w14:paraId="753AEFFD" w14:textId="77777777" w:rsidR="00D60A5D" w:rsidRPr="001A7517" w:rsidRDefault="00D60A5D" w:rsidP="00D60A5D">
      <w:pPr>
        <w:ind w:left="1440" w:hanging="720"/>
      </w:pPr>
      <w:r w:rsidRPr="001A7517">
        <w:t>Major sources in drinking water:  Discharge from petroleum refineries.</w:t>
      </w:r>
    </w:p>
    <w:p w14:paraId="7115B5EB" w14:textId="77777777" w:rsidR="00D60A5D" w:rsidRPr="001A7517" w:rsidRDefault="00D60A5D" w:rsidP="00D60A5D">
      <w:pPr>
        <w:spacing w:after="240"/>
        <w:ind w:left="1440" w:hanging="720"/>
      </w:pPr>
      <w:r w:rsidRPr="001A7517">
        <w:t>Health effects language:  Some people who drink water containing ethylbenzene well in excess of the MCL over many years could experience problems with their liver or kidneys.</w:t>
      </w:r>
    </w:p>
    <w:p w14:paraId="68F0DFB2" w14:textId="77777777" w:rsidR="00D60A5D" w:rsidRPr="001A7517" w:rsidRDefault="00D60A5D" w:rsidP="00D60A5D">
      <w:pPr>
        <w:spacing w:before="240"/>
        <w:ind w:left="1440" w:hanging="720"/>
      </w:pPr>
      <w:r w:rsidRPr="001A7517">
        <w:t>Contaminant (units):  Haloacetic acids (HAA5) (ppb)</w:t>
      </w:r>
    </w:p>
    <w:p w14:paraId="7BC29C15" w14:textId="77777777" w:rsidR="00D60A5D" w:rsidRPr="001A7517" w:rsidRDefault="00D60A5D" w:rsidP="00D60A5D">
      <w:pPr>
        <w:ind w:left="1440" w:hanging="720"/>
      </w:pPr>
      <w:r w:rsidRPr="001A7517">
        <w:t>Traditional MCL in mg/ℓ:  0.060</w:t>
      </w:r>
    </w:p>
    <w:p w14:paraId="73EACB76" w14:textId="77777777" w:rsidR="00D60A5D" w:rsidRPr="001A7517" w:rsidRDefault="00D60A5D" w:rsidP="00D60A5D">
      <w:pPr>
        <w:ind w:left="1440" w:hanging="720"/>
      </w:pPr>
      <w:r w:rsidRPr="001A7517">
        <w:t>To convert for CCR, multiply by:  1000</w:t>
      </w:r>
    </w:p>
    <w:p w14:paraId="118C5532" w14:textId="77777777" w:rsidR="00D60A5D" w:rsidRPr="001A7517" w:rsidRDefault="00D60A5D" w:rsidP="00D60A5D">
      <w:pPr>
        <w:ind w:left="1440" w:hanging="720"/>
      </w:pPr>
      <w:r w:rsidRPr="001A7517">
        <w:t>MCL in CCR units:  60</w:t>
      </w:r>
    </w:p>
    <w:p w14:paraId="4FAD2539" w14:textId="77777777" w:rsidR="00D60A5D" w:rsidRPr="001A7517" w:rsidRDefault="00D60A5D" w:rsidP="00D60A5D">
      <w:pPr>
        <w:ind w:left="1440" w:hanging="720"/>
      </w:pPr>
      <w:r w:rsidRPr="001A7517">
        <w:t>MCLG:  N/A</w:t>
      </w:r>
    </w:p>
    <w:p w14:paraId="4079CF2D" w14:textId="77777777" w:rsidR="00D60A5D" w:rsidRPr="001A7517" w:rsidRDefault="00D60A5D" w:rsidP="00D60A5D">
      <w:pPr>
        <w:ind w:left="1440" w:hanging="720"/>
      </w:pPr>
      <w:r w:rsidRPr="001A7517">
        <w:t>Major sources in drinking water:  Byproduct of drinking water disinfection.</w:t>
      </w:r>
    </w:p>
    <w:p w14:paraId="1C0DD887" w14:textId="77777777" w:rsidR="00D60A5D" w:rsidRPr="001A7517" w:rsidRDefault="00D60A5D" w:rsidP="00D60A5D">
      <w:pPr>
        <w:spacing w:after="240"/>
        <w:ind w:left="1440" w:hanging="720"/>
      </w:pPr>
      <w:r w:rsidRPr="001A7517">
        <w:t>Health effects language:  Some people who drink water containing haloacetic acids in excess of the MCL over many years may have an increased risk of getting cancer.</w:t>
      </w:r>
    </w:p>
    <w:p w14:paraId="5A386B17" w14:textId="77777777" w:rsidR="00D60A5D" w:rsidRPr="001A7517" w:rsidRDefault="00D60A5D" w:rsidP="00D60A5D">
      <w:pPr>
        <w:spacing w:before="240"/>
        <w:ind w:left="1440" w:hanging="720"/>
      </w:pPr>
      <w:r w:rsidRPr="001A7517">
        <w:t>Contaminant (units):  Styrene (ppb)</w:t>
      </w:r>
    </w:p>
    <w:p w14:paraId="41712619" w14:textId="77777777" w:rsidR="00D60A5D" w:rsidRPr="001A7517" w:rsidRDefault="00D60A5D" w:rsidP="00D60A5D">
      <w:pPr>
        <w:ind w:left="1440" w:hanging="720"/>
      </w:pPr>
      <w:r w:rsidRPr="001A7517">
        <w:t>Traditional MCL in mg/ℓ:  0.1</w:t>
      </w:r>
    </w:p>
    <w:p w14:paraId="2CCF77A2" w14:textId="77777777" w:rsidR="00D60A5D" w:rsidRPr="001A7517" w:rsidRDefault="00D60A5D" w:rsidP="00D60A5D">
      <w:pPr>
        <w:ind w:left="1440" w:hanging="720"/>
      </w:pPr>
      <w:r w:rsidRPr="001A7517">
        <w:t>To convert for CCR, multiply by:  1000</w:t>
      </w:r>
    </w:p>
    <w:p w14:paraId="2E2D4091" w14:textId="77777777" w:rsidR="00D60A5D" w:rsidRPr="001A7517" w:rsidRDefault="00D60A5D" w:rsidP="00D60A5D">
      <w:pPr>
        <w:ind w:left="1440" w:hanging="720"/>
      </w:pPr>
      <w:r w:rsidRPr="001A7517">
        <w:t>MCL in CCR units:  100</w:t>
      </w:r>
    </w:p>
    <w:p w14:paraId="1912D5CB" w14:textId="77777777" w:rsidR="00D60A5D" w:rsidRPr="001A7517" w:rsidRDefault="00D60A5D" w:rsidP="00D60A5D">
      <w:pPr>
        <w:ind w:left="1440" w:hanging="720"/>
      </w:pPr>
      <w:r w:rsidRPr="001A7517">
        <w:t>MCLG:  100</w:t>
      </w:r>
    </w:p>
    <w:p w14:paraId="02A07B6E" w14:textId="77777777" w:rsidR="00D60A5D" w:rsidRPr="001A7517" w:rsidRDefault="00D60A5D" w:rsidP="00D60A5D">
      <w:pPr>
        <w:ind w:left="1440" w:hanging="720"/>
      </w:pPr>
      <w:r w:rsidRPr="001A7517">
        <w:t>Major sources in drinking water:  Discharge from rubber and plastic factories; leaching from landfills.</w:t>
      </w:r>
    </w:p>
    <w:p w14:paraId="61ABE4A7" w14:textId="77777777" w:rsidR="00D60A5D" w:rsidRPr="001A7517" w:rsidRDefault="00D60A5D" w:rsidP="00D60A5D">
      <w:pPr>
        <w:spacing w:after="240"/>
        <w:ind w:left="1440" w:hanging="720"/>
      </w:pPr>
      <w:r w:rsidRPr="001A7517">
        <w:t>Health effects language:  Some people who drink water containing styrene well in excess of the MCL over many years could have problems with their liver, kidneys, or circulatory system.</w:t>
      </w:r>
    </w:p>
    <w:p w14:paraId="1A6FD5A1" w14:textId="77777777" w:rsidR="00D60A5D" w:rsidRPr="001A7517" w:rsidRDefault="00D60A5D" w:rsidP="00D60A5D">
      <w:pPr>
        <w:spacing w:before="240"/>
        <w:ind w:left="1440" w:hanging="720"/>
      </w:pPr>
      <w:r w:rsidRPr="001A7517">
        <w:t>Contaminant (units):  Tetrachloroethylene (ppb)</w:t>
      </w:r>
    </w:p>
    <w:p w14:paraId="4F634EBD" w14:textId="77777777" w:rsidR="00D60A5D" w:rsidRPr="001A7517" w:rsidRDefault="00D60A5D" w:rsidP="00D60A5D">
      <w:pPr>
        <w:ind w:left="1440" w:hanging="720"/>
      </w:pPr>
      <w:r w:rsidRPr="001A7517">
        <w:t>Traditional MCL in mg/ℓ:  0.005</w:t>
      </w:r>
    </w:p>
    <w:p w14:paraId="2FD08CEA" w14:textId="77777777" w:rsidR="00D60A5D" w:rsidRPr="001A7517" w:rsidRDefault="00D60A5D" w:rsidP="00D60A5D">
      <w:pPr>
        <w:ind w:left="1440" w:hanging="720"/>
      </w:pPr>
      <w:r w:rsidRPr="001A7517">
        <w:t>To convert for CCR, multiply by:  1000</w:t>
      </w:r>
    </w:p>
    <w:p w14:paraId="6EBAC831" w14:textId="77777777" w:rsidR="00D60A5D" w:rsidRPr="001A7517" w:rsidRDefault="00D60A5D" w:rsidP="00D60A5D">
      <w:pPr>
        <w:ind w:left="1440" w:hanging="720"/>
      </w:pPr>
      <w:r w:rsidRPr="001A7517">
        <w:t>MCL in CCR units:  5</w:t>
      </w:r>
    </w:p>
    <w:p w14:paraId="0E9F022E" w14:textId="77777777" w:rsidR="00D60A5D" w:rsidRPr="001A7517" w:rsidRDefault="00D60A5D" w:rsidP="00D60A5D">
      <w:pPr>
        <w:ind w:left="1440" w:hanging="720"/>
      </w:pPr>
      <w:r w:rsidRPr="001A7517">
        <w:t>MCLG:  0</w:t>
      </w:r>
    </w:p>
    <w:p w14:paraId="0523544A" w14:textId="77777777" w:rsidR="00D60A5D" w:rsidRPr="001A7517" w:rsidRDefault="00D60A5D" w:rsidP="00D60A5D">
      <w:pPr>
        <w:ind w:left="1440" w:hanging="720"/>
      </w:pPr>
      <w:r w:rsidRPr="001A7517">
        <w:t>Major sources in drinking water:  Discharge from factories and dry cleaners.</w:t>
      </w:r>
    </w:p>
    <w:p w14:paraId="3765497D" w14:textId="77777777" w:rsidR="00D60A5D" w:rsidRPr="001A7517" w:rsidRDefault="00D60A5D" w:rsidP="00D60A5D">
      <w:pPr>
        <w:spacing w:after="240"/>
        <w:ind w:left="1440" w:hanging="720"/>
      </w:pPr>
      <w:r w:rsidRPr="001A7517">
        <w:lastRenderedPageBreak/>
        <w:t>Health effects language:  Some people who drink water containing tetrachloroethylene in excess of the MCL over many years could have problems with their liver, and may have an increased risk of getting cancer.</w:t>
      </w:r>
    </w:p>
    <w:p w14:paraId="43C11980" w14:textId="77777777" w:rsidR="00D60A5D" w:rsidRPr="001A7517" w:rsidRDefault="00D60A5D" w:rsidP="00D60A5D">
      <w:pPr>
        <w:spacing w:before="240"/>
        <w:ind w:left="1440" w:hanging="720"/>
      </w:pPr>
      <w:r w:rsidRPr="001A7517">
        <w:t>Contaminant (units):  1,2,4-Trichlorobenzene (ppb)</w:t>
      </w:r>
    </w:p>
    <w:p w14:paraId="61FC1C37" w14:textId="77777777" w:rsidR="00D60A5D" w:rsidRPr="001A7517" w:rsidRDefault="00D60A5D" w:rsidP="00D60A5D">
      <w:pPr>
        <w:ind w:left="1440" w:hanging="720"/>
      </w:pPr>
      <w:r w:rsidRPr="001A7517">
        <w:t>Traditional MCL in mg/ℓ:  0.07</w:t>
      </w:r>
    </w:p>
    <w:p w14:paraId="1FD34638" w14:textId="77777777" w:rsidR="00D60A5D" w:rsidRPr="001A7517" w:rsidRDefault="00D60A5D" w:rsidP="00D60A5D">
      <w:pPr>
        <w:ind w:left="1440" w:hanging="720"/>
      </w:pPr>
      <w:r w:rsidRPr="001A7517">
        <w:t>To convert for CCR, multiply by:  1000</w:t>
      </w:r>
    </w:p>
    <w:p w14:paraId="07399CD4" w14:textId="77777777" w:rsidR="00D60A5D" w:rsidRPr="001A7517" w:rsidRDefault="00D60A5D" w:rsidP="00D60A5D">
      <w:pPr>
        <w:ind w:left="1440" w:hanging="720"/>
      </w:pPr>
      <w:r w:rsidRPr="001A7517">
        <w:t>MCL in CCR units:  70</w:t>
      </w:r>
    </w:p>
    <w:p w14:paraId="48421342" w14:textId="77777777" w:rsidR="00D60A5D" w:rsidRPr="001A7517" w:rsidRDefault="00D60A5D" w:rsidP="00D60A5D">
      <w:pPr>
        <w:ind w:left="1440" w:hanging="720"/>
      </w:pPr>
      <w:r w:rsidRPr="001A7517">
        <w:t>MCLG:  70</w:t>
      </w:r>
    </w:p>
    <w:p w14:paraId="29E9A531" w14:textId="77777777" w:rsidR="00D60A5D" w:rsidRPr="001A7517" w:rsidRDefault="00D60A5D" w:rsidP="00D60A5D">
      <w:pPr>
        <w:ind w:left="1440" w:hanging="720"/>
      </w:pPr>
      <w:r w:rsidRPr="001A7517">
        <w:t>Major sources in drinking water:  Discharge from textile-finishing factories.</w:t>
      </w:r>
    </w:p>
    <w:p w14:paraId="037316F4" w14:textId="77777777" w:rsidR="00D60A5D" w:rsidRPr="001A7517" w:rsidRDefault="00D60A5D" w:rsidP="00D60A5D">
      <w:pPr>
        <w:spacing w:after="240"/>
        <w:ind w:left="1440" w:hanging="720"/>
      </w:pPr>
      <w:r w:rsidRPr="001A7517">
        <w:t>Health effects language:  Some people who drink water containing 1,2,4-trichlorobenzene well in excess of the MCL over many years could experience changes in their adrenal glands.</w:t>
      </w:r>
    </w:p>
    <w:p w14:paraId="7144536C" w14:textId="77777777" w:rsidR="00D60A5D" w:rsidRPr="001A7517" w:rsidRDefault="00D60A5D" w:rsidP="00D60A5D">
      <w:pPr>
        <w:spacing w:before="240"/>
        <w:ind w:left="1440" w:hanging="720"/>
      </w:pPr>
      <w:r w:rsidRPr="001A7517">
        <w:t>Contaminant (units):  1,1,1-Trichloroethane (ppb)</w:t>
      </w:r>
    </w:p>
    <w:p w14:paraId="65414CB2" w14:textId="77777777" w:rsidR="00D60A5D" w:rsidRPr="001A7517" w:rsidRDefault="00D60A5D" w:rsidP="00D60A5D">
      <w:pPr>
        <w:ind w:left="1440" w:hanging="720"/>
      </w:pPr>
      <w:r w:rsidRPr="001A7517">
        <w:t>Traditional MCL in mg/ℓ:  0.2</w:t>
      </w:r>
    </w:p>
    <w:p w14:paraId="15282940" w14:textId="77777777" w:rsidR="00D60A5D" w:rsidRPr="001A7517" w:rsidRDefault="00D60A5D" w:rsidP="00D60A5D">
      <w:pPr>
        <w:ind w:left="1440" w:hanging="720"/>
      </w:pPr>
      <w:r w:rsidRPr="001A7517">
        <w:t>To convert for CCR, multiply by:  1000</w:t>
      </w:r>
    </w:p>
    <w:p w14:paraId="40C334E5" w14:textId="77777777" w:rsidR="00D60A5D" w:rsidRPr="001A7517" w:rsidRDefault="00D60A5D" w:rsidP="00D60A5D">
      <w:pPr>
        <w:ind w:left="1440" w:hanging="720"/>
      </w:pPr>
      <w:r w:rsidRPr="001A7517">
        <w:t>MCL in CCR units:  200</w:t>
      </w:r>
    </w:p>
    <w:p w14:paraId="1BD11B52" w14:textId="77777777" w:rsidR="00D60A5D" w:rsidRPr="001A7517" w:rsidRDefault="00D60A5D" w:rsidP="00D60A5D">
      <w:pPr>
        <w:ind w:left="1440" w:hanging="720"/>
      </w:pPr>
      <w:r w:rsidRPr="001A7517">
        <w:t>MCLG:  200</w:t>
      </w:r>
    </w:p>
    <w:p w14:paraId="4011E25E" w14:textId="77777777" w:rsidR="00D60A5D" w:rsidRPr="001A7517" w:rsidRDefault="00D60A5D" w:rsidP="00D60A5D">
      <w:pPr>
        <w:ind w:left="1440" w:hanging="720"/>
      </w:pPr>
      <w:r w:rsidRPr="001A7517">
        <w:t>Major sources in drinking water:  Discharge from metal degreasing sites and other factories.</w:t>
      </w:r>
    </w:p>
    <w:p w14:paraId="0926183A" w14:textId="77777777" w:rsidR="00D60A5D" w:rsidRPr="001A7517" w:rsidRDefault="00D60A5D" w:rsidP="00D60A5D">
      <w:pPr>
        <w:spacing w:after="240"/>
        <w:ind w:left="1440" w:hanging="720"/>
      </w:pPr>
      <w:r w:rsidRPr="001A7517">
        <w:t>Health effects language:  Some people who drink water containing 1,1,1-trichloroethane in excess of the MCL over many years could experience problems with their liver, nervous system, or circulatory system.</w:t>
      </w:r>
    </w:p>
    <w:p w14:paraId="157C2803" w14:textId="77777777" w:rsidR="00D60A5D" w:rsidRPr="001A7517" w:rsidRDefault="00D60A5D" w:rsidP="00D60A5D">
      <w:pPr>
        <w:spacing w:before="240"/>
        <w:ind w:left="1440" w:hanging="720"/>
      </w:pPr>
      <w:r w:rsidRPr="001A7517">
        <w:t>Contaminant (units):  1,1,2-Trichloroethane (ppb)</w:t>
      </w:r>
    </w:p>
    <w:p w14:paraId="5717C4BE" w14:textId="77777777" w:rsidR="00D60A5D" w:rsidRPr="001A7517" w:rsidRDefault="00D60A5D" w:rsidP="00D60A5D">
      <w:pPr>
        <w:ind w:left="1440" w:hanging="720"/>
      </w:pPr>
      <w:r w:rsidRPr="001A7517">
        <w:t>Traditional MCL in mg/ℓ:  0.005</w:t>
      </w:r>
    </w:p>
    <w:p w14:paraId="45E39C11" w14:textId="77777777" w:rsidR="00D60A5D" w:rsidRPr="001A7517" w:rsidRDefault="00D60A5D" w:rsidP="00D60A5D">
      <w:pPr>
        <w:ind w:left="1440" w:hanging="720"/>
      </w:pPr>
      <w:r w:rsidRPr="001A7517">
        <w:t>To convert for CCR, multiply by:  1000</w:t>
      </w:r>
    </w:p>
    <w:p w14:paraId="47E7195C" w14:textId="77777777" w:rsidR="00D60A5D" w:rsidRPr="001A7517" w:rsidRDefault="00D60A5D" w:rsidP="00D60A5D">
      <w:pPr>
        <w:ind w:left="1440" w:hanging="720"/>
      </w:pPr>
      <w:r w:rsidRPr="001A7517">
        <w:t>MCL in CCR units:  5</w:t>
      </w:r>
    </w:p>
    <w:p w14:paraId="07C4A874" w14:textId="77777777" w:rsidR="00D60A5D" w:rsidRPr="001A7517" w:rsidRDefault="00D60A5D" w:rsidP="00D60A5D">
      <w:pPr>
        <w:ind w:left="1440" w:hanging="720"/>
      </w:pPr>
      <w:r w:rsidRPr="001A7517">
        <w:t>MCLG:  3</w:t>
      </w:r>
    </w:p>
    <w:p w14:paraId="1E7F2F4D" w14:textId="77777777" w:rsidR="00D60A5D" w:rsidRPr="001A7517" w:rsidRDefault="00D60A5D" w:rsidP="00D60A5D">
      <w:pPr>
        <w:ind w:left="1440" w:hanging="720"/>
      </w:pPr>
      <w:r w:rsidRPr="001A7517">
        <w:t>Major sources in drinking water:  Discharge from industrial chemical factories.</w:t>
      </w:r>
    </w:p>
    <w:p w14:paraId="1046698D" w14:textId="77777777" w:rsidR="00D60A5D" w:rsidRPr="001A7517" w:rsidRDefault="00D60A5D" w:rsidP="00D60A5D">
      <w:pPr>
        <w:spacing w:after="240"/>
        <w:ind w:left="1440" w:hanging="720"/>
      </w:pPr>
      <w:r w:rsidRPr="001A7517">
        <w:t>Health effects language:  Some people who drink water containing 1,1,2-trichloroethane well in excess of the MCL over many years could have problems with their liver, kidneys, or immune systems.</w:t>
      </w:r>
    </w:p>
    <w:p w14:paraId="784C121F" w14:textId="77777777" w:rsidR="00D60A5D" w:rsidRPr="001A7517" w:rsidRDefault="00D60A5D" w:rsidP="00D60A5D">
      <w:pPr>
        <w:spacing w:before="240"/>
        <w:ind w:left="1440" w:hanging="720"/>
      </w:pPr>
      <w:r w:rsidRPr="001A7517">
        <w:t>Contaminant (units):  Trichloroethylene (ppb)</w:t>
      </w:r>
    </w:p>
    <w:p w14:paraId="19602F8B" w14:textId="77777777" w:rsidR="00D60A5D" w:rsidRPr="001A7517" w:rsidRDefault="00D60A5D" w:rsidP="00D60A5D">
      <w:pPr>
        <w:ind w:left="1440" w:hanging="720"/>
      </w:pPr>
      <w:r w:rsidRPr="001A7517">
        <w:t>Traditional MCL in mg/ℓ:  0.005</w:t>
      </w:r>
    </w:p>
    <w:p w14:paraId="1A0C99C7" w14:textId="77777777" w:rsidR="00D60A5D" w:rsidRPr="001A7517" w:rsidRDefault="00D60A5D" w:rsidP="00D60A5D">
      <w:pPr>
        <w:ind w:left="1440" w:hanging="720"/>
      </w:pPr>
      <w:r w:rsidRPr="001A7517">
        <w:t>To convert for CCR, multiply by:  1000</w:t>
      </w:r>
    </w:p>
    <w:p w14:paraId="70741632" w14:textId="77777777" w:rsidR="00D60A5D" w:rsidRPr="001A7517" w:rsidRDefault="00D60A5D" w:rsidP="00D60A5D">
      <w:pPr>
        <w:ind w:left="1440" w:hanging="720"/>
      </w:pPr>
      <w:r w:rsidRPr="001A7517">
        <w:t>MCL in CCR units:  5</w:t>
      </w:r>
    </w:p>
    <w:p w14:paraId="30847121" w14:textId="77777777" w:rsidR="00D60A5D" w:rsidRPr="001A7517" w:rsidRDefault="00D60A5D" w:rsidP="00D60A5D">
      <w:pPr>
        <w:ind w:left="1440" w:hanging="720"/>
      </w:pPr>
      <w:r w:rsidRPr="001A7517">
        <w:t>MCLG:  0</w:t>
      </w:r>
    </w:p>
    <w:p w14:paraId="63F4C74B" w14:textId="77777777" w:rsidR="00D60A5D" w:rsidRPr="001A7517" w:rsidRDefault="00D60A5D" w:rsidP="00D60A5D">
      <w:pPr>
        <w:ind w:left="1440" w:hanging="720"/>
      </w:pPr>
      <w:r w:rsidRPr="001A7517">
        <w:t>Major sources in drinking water:  Discharge from metal degreasing sites and other factories.</w:t>
      </w:r>
    </w:p>
    <w:p w14:paraId="408E6CF3" w14:textId="77777777" w:rsidR="00D60A5D" w:rsidRPr="001A7517" w:rsidRDefault="00D60A5D" w:rsidP="00D60A5D">
      <w:pPr>
        <w:spacing w:after="240"/>
        <w:ind w:left="1440" w:hanging="720"/>
      </w:pPr>
      <w:r w:rsidRPr="001A7517">
        <w:t>Health effects language:  Some people who drink water containing trichloroethylene in excess of the MCL over many years could experience problems with their liver and may have an increased risk of getting cancer.</w:t>
      </w:r>
    </w:p>
    <w:p w14:paraId="32F684EA" w14:textId="77777777" w:rsidR="00D60A5D" w:rsidRPr="001A7517" w:rsidRDefault="00D60A5D" w:rsidP="00D60A5D">
      <w:pPr>
        <w:spacing w:before="240"/>
        <w:ind w:left="1440" w:hanging="720"/>
      </w:pPr>
      <w:r w:rsidRPr="001A7517">
        <w:lastRenderedPageBreak/>
        <w:t>Contaminant (units):  TTHMs (total trihalomethanes) (ppb)</w:t>
      </w:r>
    </w:p>
    <w:p w14:paraId="3655C84B" w14:textId="77777777" w:rsidR="00D60A5D" w:rsidRPr="001A7517" w:rsidRDefault="00D60A5D" w:rsidP="00D60A5D">
      <w:pPr>
        <w:ind w:left="1440" w:hanging="720"/>
      </w:pPr>
      <w:r w:rsidRPr="001A7517">
        <w:t>Traditional MCL in mg/ℓ:  0.10/0.080</w:t>
      </w:r>
    </w:p>
    <w:p w14:paraId="13F1C36F" w14:textId="77777777" w:rsidR="00D60A5D" w:rsidRPr="001A7517" w:rsidRDefault="00D60A5D" w:rsidP="00D60A5D">
      <w:pPr>
        <w:ind w:left="1440" w:hanging="720"/>
      </w:pPr>
      <w:r w:rsidRPr="001A7517">
        <w:t>To convert for CCR, multiply by:  1000</w:t>
      </w:r>
    </w:p>
    <w:p w14:paraId="3CE3392A" w14:textId="77777777" w:rsidR="00D60A5D" w:rsidRPr="001A7517" w:rsidRDefault="00D60A5D" w:rsidP="00D60A5D">
      <w:pPr>
        <w:ind w:left="1440" w:hanging="720"/>
      </w:pPr>
      <w:r w:rsidRPr="001A7517">
        <w:t>MCL in CCR units:  100/80</w:t>
      </w:r>
    </w:p>
    <w:p w14:paraId="7414D0CE" w14:textId="77777777" w:rsidR="00D60A5D" w:rsidRPr="001A7517" w:rsidRDefault="00D60A5D" w:rsidP="00D60A5D">
      <w:pPr>
        <w:ind w:left="1440" w:hanging="720"/>
      </w:pPr>
      <w:r w:rsidRPr="001A7517">
        <w:t>MCLG:  N/A</w:t>
      </w:r>
    </w:p>
    <w:p w14:paraId="5D9B52CA" w14:textId="77777777" w:rsidR="00D60A5D" w:rsidRPr="001A7517" w:rsidRDefault="00D60A5D" w:rsidP="00D60A5D">
      <w:pPr>
        <w:ind w:left="1440" w:hanging="720"/>
      </w:pPr>
      <w:r w:rsidRPr="001A7517">
        <w:t>Major sources in drinking water:  Byproduct of drinking water disinfection.</w:t>
      </w:r>
    </w:p>
    <w:p w14:paraId="2AC3F536" w14:textId="77777777" w:rsidR="00D60A5D" w:rsidRPr="001A7517" w:rsidRDefault="00D60A5D" w:rsidP="00D60A5D">
      <w:pPr>
        <w:spacing w:after="240"/>
        <w:ind w:left="1440" w:hanging="720"/>
      </w:pPr>
      <w:r w:rsidRPr="001A7517">
        <w:t>Health effects language:  Some people who drink water containing trihalomethanes in excess of the MCL over many years may experience problems with their liver, kidneys, or central nervous system, and may have an increased risk of getting cancer.</w:t>
      </w:r>
    </w:p>
    <w:p w14:paraId="3AA2ECB0" w14:textId="77777777" w:rsidR="00D60A5D" w:rsidRPr="001A7517" w:rsidRDefault="00D60A5D" w:rsidP="00D60A5D">
      <w:pPr>
        <w:spacing w:before="240"/>
        <w:ind w:left="1440" w:hanging="720"/>
      </w:pPr>
      <w:r w:rsidRPr="001A7517">
        <w:t>Contaminant (units):  Toluene (ppm)</w:t>
      </w:r>
    </w:p>
    <w:p w14:paraId="175EEE23" w14:textId="77777777" w:rsidR="00D60A5D" w:rsidRPr="001A7517" w:rsidRDefault="00D60A5D" w:rsidP="00D60A5D">
      <w:pPr>
        <w:ind w:left="1440" w:hanging="720"/>
      </w:pPr>
      <w:r w:rsidRPr="001A7517">
        <w:t>Traditional MCL in mg/ℓ:  1</w:t>
      </w:r>
    </w:p>
    <w:p w14:paraId="2FE27228" w14:textId="77777777" w:rsidR="00D60A5D" w:rsidRPr="001A7517" w:rsidRDefault="00D60A5D" w:rsidP="00D60A5D">
      <w:pPr>
        <w:ind w:left="1440" w:hanging="720"/>
      </w:pPr>
      <w:r w:rsidRPr="001A7517">
        <w:t>To convert for CCR, multiply by:  —</w:t>
      </w:r>
    </w:p>
    <w:p w14:paraId="1D424046" w14:textId="77777777" w:rsidR="00D60A5D" w:rsidRPr="001A7517" w:rsidRDefault="00D60A5D" w:rsidP="00D60A5D">
      <w:pPr>
        <w:ind w:left="1440" w:hanging="720"/>
      </w:pPr>
      <w:r w:rsidRPr="001A7517">
        <w:t>MCL in CCR units:  1</w:t>
      </w:r>
    </w:p>
    <w:p w14:paraId="11A88BCF" w14:textId="77777777" w:rsidR="00D60A5D" w:rsidRPr="001A7517" w:rsidRDefault="00D60A5D" w:rsidP="00D60A5D">
      <w:pPr>
        <w:ind w:left="1440" w:hanging="720"/>
      </w:pPr>
      <w:r w:rsidRPr="001A7517">
        <w:t>MCLG:  1</w:t>
      </w:r>
    </w:p>
    <w:p w14:paraId="0A083787" w14:textId="77777777" w:rsidR="00D60A5D" w:rsidRPr="001A7517" w:rsidRDefault="00D60A5D" w:rsidP="00D60A5D">
      <w:pPr>
        <w:ind w:left="1440" w:hanging="720"/>
      </w:pPr>
      <w:r w:rsidRPr="001A7517">
        <w:t>Major sources in drinking water:  Discharge from petroleum factories.</w:t>
      </w:r>
    </w:p>
    <w:p w14:paraId="7846F9C6" w14:textId="77777777" w:rsidR="00D60A5D" w:rsidRPr="001A7517" w:rsidRDefault="00D60A5D" w:rsidP="00D60A5D">
      <w:pPr>
        <w:spacing w:after="240"/>
        <w:ind w:left="1440" w:hanging="720"/>
      </w:pPr>
      <w:r w:rsidRPr="001A7517">
        <w:t>Health effects language:  Some people who drink water containing toluene well in excess of the MCL over many years could have problems with their nervous system, kidneys, or liver.</w:t>
      </w:r>
    </w:p>
    <w:p w14:paraId="55E928EC" w14:textId="77777777" w:rsidR="00D60A5D" w:rsidRPr="001A7517" w:rsidRDefault="00D60A5D" w:rsidP="00D60A5D">
      <w:pPr>
        <w:spacing w:before="240"/>
        <w:ind w:left="1440" w:hanging="720"/>
      </w:pPr>
      <w:r w:rsidRPr="001A7517">
        <w:t>Contaminant (units):  Vinyl Chloride (ppb)</w:t>
      </w:r>
    </w:p>
    <w:p w14:paraId="6CD3D9A5" w14:textId="77777777" w:rsidR="00D60A5D" w:rsidRPr="001A7517" w:rsidRDefault="00D60A5D" w:rsidP="00D60A5D">
      <w:pPr>
        <w:ind w:left="1440" w:hanging="720"/>
      </w:pPr>
      <w:r w:rsidRPr="001A7517">
        <w:t>Traditional MCL in mg/ℓ:  0.002</w:t>
      </w:r>
    </w:p>
    <w:p w14:paraId="16518F12" w14:textId="77777777" w:rsidR="00D60A5D" w:rsidRPr="001A7517" w:rsidRDefault="00D60A5D" w:rsidP="00D60A5D">
      <w:pPr>
        <w:ind w:left="1440" w:hanging="720"/>
      </w:pPr>
      <w:r w:rsidRPr="001A7517">
        <w:t>To convert for CCR, multiply by:  1000</w:t>
      </w:r>
    </w:p>
    <w:p w14:paraId="51EA7064" w14:textId="77777777" w:rsidR="00D60A5D" w:rsidRPr="001A7517" w:rsidRDefault="00D60A5D" w:rsidP="00D60A5D">
      <w:pPr>
        <w:ind w:left="1440" w:hanging="720"/>
      </w:pPr>
      <w:r w:rsidRPr="001A7517">
        <w:t>MCL in CCR units:  2</w:t>
      </w:r>
    </w:p>
    <w:p w14:paraId="29E697C7" w14:textId="77777777" w:rsidR="00D60A5D" w:rsidRPr="001A7517" w:rsidRDefault="00D60A5D" w:rsidP="00D60A5D">
      <w:pPr>
        <w:ind w:left="1440" w:hanging="720"/>
      </w:pPr>
      <w:r w:rsidRPr="001A7517">
        <w:t>MCLG:  0</w:t>
      </w:r>
    </w:p>
    <w:p w14:paraId="0E5972E8" w14:textId="77777777" w:rsidR="00D60A5D" w:rsidRPr="001A7517" w:rsidRDefault="00D60A5D" w:rsidP="00D60A5D">
      <w:pPr>
        <w:ind w:left="1440" w:hanging="720"/>
      </w:pPr>
      <w:r w:rsidRPr="001A7517">
        <w:t>Major sources in drinking water:  Leaching from PVC piping; discharge from plastics factories.</w:t>
      </w:r>
    </w:p>
    <w:p w14:paraId="1899D7F2" w14:textId="77777777" w:rsidR="00D60A5D" w:rsidRPr="001A7517" w:rsidRDefault="00D60A5D" w:rsidP="00D60A5D">
      <w:pPr>
        <w:spacing w:after="240"/>
        <w:ind w:left="1440" w:hanging="720"/>
      </w:pPr>
      <w:r w:rsidRPr="001A7517">
        <w:t>Health effects language:  Some people who drink water containing vinyl chloride in excess of the MCL over many years may have an increased risk of getting cancer.</w:t>
      </w:r>
    </w:p>
    <w:p w14:paraId="60FE1217" w14:textId="77777777" w:rsidR="00D60A5D" w:rsidRPr="001A7517" w:rsidRDefault="00D60A5D" w:rsidP="00D60A5D">
      <w:pPr>
        <w:spacing w:before="240"/>
        <w:ind w:left="1440" w:hanging="720"/>
      </w:pPr>
      <w:r w:rsidRPr="001A7517">
        <w:t>Contaminant (units):  Xylenes (ppm)</w:t>
      </w:r>
    </w:p>
    <w:p w14:paraId="0E08D885" w14:textId="77777777" w:rsidR="00D60A5D" w:rsidRPr="001A7517" w:rsidRDefault="00D60A5D" w:rsidP="00D60A5D">
      <w:pPr>
        <w:ind w:left="1440" w:hanging="720"/>
      </w:pPr>
      <w:r w:rsidRPr="001A7517">
        <w:t>Traditional MCL in mg/ℓ:  10</w:t>
      </w:r>
    </w:p>
    <w:p w14:paraId="046729D5" w14:textId="77777777" w:rsidR="00D60A5D" w:rsidRPr="001A7517" w:rsidRDefault="00D60A5D" w:rsidP="00D60A5D">
      <w:pPr>
        <w:ind w:left="1440" w:hanging="720"/>
      </w:pPr>
      <w:r w:rsidRPr="001A7517">
        <w:t>To convert for CCR, multiply by:  —</w:t>
      </w:r>
    </w:p>
    <w:p w14:paraId="04BC76BF" w14:textId="77777777" w:rsidR="00D60A5D" w:rsidRPr="001A7517" w:rsidRDefault="00D60A5D" w:rsidP="00D60A5D">
      <w:pPr>
        <w:ind w:left="1440" w:hanging="720"/>
      </w:pPr>
      <w:r w:rsidRPr="001A7517">
        <w:t>MCL in CCR units:  10</w:t>
      </w:r>
    </w:p>
    <w:p w14:paraId="4D2430DD" w14:textId="77777777" w:rsidR="00D60A5D" w:rsidRPr="001A7517" w:rsidRDefault="00D60A5D" w:rsidP="00D60A5D">
      <w:pPr>
        <w:ind w:left="1440" w:hanging="720"/>
      </w:pPr>
      <w:r w:rsidRPr="001A7517">
        <w:t>MCLG:  10</w:t>
      </w:r>
    </w:p>
    <w:p w14:paraId="00735FF6" w14:textId="77777777" w:rsidR="00D60A5D" w:rsidRPr="001A7517" w:rsidRDefault="00D60A5D" w:rsidP="00D60A5D">
      <w:pPr>
        <w:ind w:left="1440" w:hanging="720"/>
      </w:pPr>
      <w:r w:rsidRPr="001A7517">
        <w:t>Major sources in drinking water:  Discharge from petroleum factories; discharge from chemical factories.</w:t>
      </w:r>
    </w:p>
    <w:p w14:paraId="65351364" w14:textId="77777777" w:rsidR="00D60A5D" w:rsidRPr="001A7517" w:rsidRDefault="00D60A5D" w:rsidP="00D60A5D">
      <w:pPr>
        <w:spacing w:after="240"/>
        <w:ind w:left="1440" w:hanging="720"/>
      </w:pPr>
      <w:r w:rsidRPr="001A7517">
        <w:t>Health effects language:  Some people who drink water containing xylenes in excess of the MCL over many years could experience damage to their nervous system.</w:t>
      </w:r>
    </w:p>
    <w:p w14:paraId="4035D7EB" w14:textId="77777777" w:rsidR="00D60A5D" w:rsidRPr="001A7517" w:rsidRDefault="00D60A5D" w:rsidP="00D60A5D">
      <w:pPr>
        <w:keepNext/>
        <w:keepLines/>
        <w:spacing w:before="240" w:after="240"/>
      </w:pPr>
      <w:r w:rsidRPr="001A7517">
        <w:t>Key</w:t>
      </w:r>
    </w:p>
    <w:tbl>
      <w:tblPr>
        <w:tblW w:w="0" w:type="auto"/>
        <w:tblLayout w:type="fixed"/>
        <w:tblLook w:val="04A0" w:firstRow="1" w:lastRow="0" w:firstColumn="1" w:lastColumn="0" w:noHBand="0" w:noVBand="1"/>
      </w:tblPr>
      <w:tblGrid>
        <w:gridCol w:w="2160"/>
        <w:gridCol w:w="7200"/>
      </w:tblGrid>
      <w:tr w:rsidR="00D60A5D" w:rsidRPr="001A7517" w14:paraId="02F5A72E" w14:textId="77777777" w:rsidTr="00623210">
        <w:tc>
          <w:tcPr>
            <w:tcW w:w="2160" w:type="dxa"/>
            <w:hideMark/>
          </w:tcPr>
          <w:p w14:paraId="6CA92996" w14:textId="77777777" w:rsidR="00D60A5D" w:rsidRPr="001A7517" w:rsidRDefault="00D60A5D" w:rsidP="00623210">
            <w:r w:rsidRPr="001A7517">
              <w:t>Abbreviation</w:t>
            </w:r>
          </w:p>
        </w:tc>
        <w:tc>
          <w:tcPr>
            <w:tcW w:w="7200" w:type="dxa"/>
            <w:hideMark/>
          </w:tcPr>
          <w:p w14:paraId="30AD49D1" w14:textId="77777777" w:rsidR="00D60A5D" w:rsidRPr="001A7517" w:rsidRDefault="00D60A5D" w:rsidP="00623210">
            <w:r w:rsidRPr="001A7517">
              <w:t>Meaning</w:t>
            </w:r>
          </w:p>
        </w:tc>
      </w:tr>
      <w:tr w:rsidR="00D60A5D" w:rsidRPr="001A7517" w14:paraId="1276CC7B" w14:textId="77777777" w:rsidTr="00623210">
        <w:tc>
          <w:tcPr>
            <w:tcW w:w="2160" w:type="dxa"/>
            <w:hideMark/>
          </w:tcPr>
          <w:p w14:paraId="251B316E" w14:textId="77777777" w:rsidR="00D60A5D" w:rsidRPr="001A7517" w:rsidRDefault="00D60A5D" w:rsidP="00623210">
            <w:r w:rsidRPr="001A7517">
              <w:t>AL</w:t>
            </w:r>
          </w:p>
        </w:tc>
        <w:tc>
          <w:tcPr>
            <w:tcW w:w="7200" w:type="dxa"/>
            <w:hideMark/>
          </w:tcPr>
          <w:p w14:paraId="1F4418C4" w14:textId="77777777" w:rsidR="00D60A5D" w:rsidRPr="001A7517" w:rsidRDefault="00D60A5D" w:rsidP="00623210">
            <w:pPr>
              <w:rPr>
                <w:strike/>
              </w:rPr>
            </w:pPr>
            <w:r w:rsidRPr="001A7517">
              <w:t>action level</w:t>
            </w:r>
          </w:p>
        </w:tc>
      </w:tr>
      <w:tr w:rsidR="00D60A5D" w:rsidRPr="001A7517" w14:paraId="0568A5F2" w14:textId="77777777" w:rsidTr="00623210">
        <w:tc>
          <w:tcPr>
            <w:tcW w:w="2160" w:type="dxa"/>
            <w:hideMark/>
          </w:tcPr>
          <w:p w14:paraId="728F43C7" w14:textId="77777777" w:rsidR="00D60A5D" w:rsidRPr="001A7517" w:rsidRDefault="00D60A5D" w:rsidP="00623210">
            <w:r w:rsidRPr="001A7517">
              <w:lastRenderedPageBreak/>
              <w:t>MCL</w:t>
            </w:r>
          </w:p>
        </w:tc>
        <w:tc>
          <w:tcPr>
            <w:tcW w:w="7200" w:type="dxa"/>
            <w:hideMark/>
          </w:tcPr>
          <w:p w14:paraId="7D2812DD" w14:textId="77777777" w:rsidR="00D60A5D" w:rsidRPr="001A7517" w:rsidRDefault="00D60A5D" w:rsidP="00623210">
            <w:pPr>
              <w:rPr>
                <w:strike/>
              </w:rPr>
            </w:pPr>
            <w:r w:rsidRPr="001A7517">
              <w:t>maximum contaminant level</w:t>
            </w:r>
          </w:p>
        </w:tc>
      </w:tr>
      <w:tr w:rsidR="00D60A5D" w:rsidRPr="001A7517" w14:paraId="6E04F109" w14:textId="77777777" w:rsidTr="00623210">
        <w:tc>
          <w:tcPr>
            <w:tcW w:w="2160" w:type="dxa"/>
            <w:hideMark/>
          </w:tcPr>
          <w:p w14:paraId="1AB2D98E" w14:textId="77777777" w:rsidR="00D60A5D" w:rsidRPr="001A7517" w:rsidRDefault="00D60A5D" w:rsidP="00623210">
            <w:r w:rsidRPr="001A7517">
              <w:t>MCLG</w:t>
            </w:r>
          </w:p>
        </w:tc>
        <w:tc>
          <w:tcPr>
            <w:tcW w:w="7200" w:type="dxa"/>
            <w:hideMark/>
          </w:tcPr>
          <w:p w14:paraId="5A50EF9B" w14:textId="77777777" w:rsidR="00D60A5D" w:rsidRPr="001A7517" w:rsidRDefault="00D60A5D" w:rsidP="00623210">
            <w:pPr>
              <w:rPr>
                <w:strike/>
              </w:rPr>
            </w:pPr>
            <w:r w:rsidRPr="001A7517">
              <w:t>maximum contaminant level goal</w:t>
            </w:r>
          </w:p>
        </w:tc>
      </w:tr>
      <w:tr w:rsidR="00D60A5D" w:rsidRPr="001A7517" w14:paraId="508C89D9" w14:textId="77777777" w:rsidTr="00623210">
        <w:tc>
          <w:tcPr>
            <w:tcW w:w="2160" w:type="dxa"/>
            <w:hideMark/>
          </w:tcPr>
          <w:p w14:paraId="4E9FDD68" w14:textId="77777777" w:rsidR="00D60A5D" w:rsidRPr="001A7517" w:rsidRDefault="00D60A5D" w:rsidP="00623210">
            <w:r w:rsidRPr="001A7517">
              <w:t>MFL</w:t>
            </w:r>
          </w:p>
        </w:tc>
        <w:tc>
          <w:tcPr>
            <w:tcW w:w="7200" w:type="dxa"/>
            <w:hideMark/>
          </w:tcPr>
          <w:p w14:paraId="65FDB16D" w14:textId="77777777" w:rsidR="00D60A5D" w:rsidRPr="001A7517" w:rsidRDefault="00D60A5D" w:rsidP="00623210">
            <w:r w:rsidRPr="001A7517">
              <w:t>million fibers per liter</w:t>
            </w:r>
          </w:p>
        </w:tc>
      </w:tr>
      <w:tr w:rsidR="00D60A5D" w:rsidRPr="001A7517" w14:paraId="48CF3E15" w14:textId="77777777" w:rsidTr="00623210">
        <w:tc>
          <w:tcPr>
            <w:tcW w:w="2160" w:type="dxa"/>
            <w:hideMark/>
          </w:tcPr>
          <w:p w14:paraId="3A912F36" w14:textId="77777777" w:rsidR="00D60A5D" w:rsidRPr="001A7517" w:rsidRDefault="00D60A5D" w:rsidP="00623210">
            <w:r w:rsidRPr="001A7517">
              <w:t>MRDL</w:t>
            </w:r>
          </w:p>
        </w:tc>
        <w:tc>
          <w:tcPr>
            <w:tcW w:w="7200" w:type="dxa"/>
            <w:hideMark/>
          </w:tcPr>
          <w:p w14:paraId="6ECCFB3D" w14:textId="77777777" w:rsidR="00D60A5D" w:rsidRPr="001A7517" w:rsidRDefault="00D60A5D" w:rsidP="00623210">
            <w:pPr>
              <w:rPr>
                <w:strike/>
              </w:rPr>
            </w:pPr>
            <w:r w:rsidRPr="001A7517">
              <w:t>maximum residual disinfectant level</w:t>
            </w:r>
          </w:p>
        </w:tc>
      </w:tr>
      <w:tr w:rsidR="00D60A5D" w:rsidRPr="001A7517" w14:paraId="129EF4BA" w14:textId="77777777" w:rsidTr="00623210">
        <w:tc>
          <w:tcPr>
            <w:tcW w:w="2160" w:type="dxa"/>
            <w:hideMark/>
          </w:tcPr>
          <w:p w14:paraId="518D8D42" w14:textId="77777777" w:rsidR="00D60A5D" w:rsidRPr="001A7517" w:rsidRDefault="00D60A5D" w:rsidP="00623210">
            <w:r w:rsidRPr="001A7517">
              <w:t>MRDLG</w:t>
            </w:r>
          </w:p>
        </w:tc>
        <w:tc>
          <w:tcPr>
            <w:tcW w:w="7200" w:type="dxa"/>
            <w:hideMark/>
          </w:tcPr>
          <w:p w14:paraId="3E7110D1" w14:textId="77777777" w:rsidR="00D60A5D" w:rsidRPr="001A7517" w:rsidRDefault="00D60A5D" w:rsidP="00623210">
            <w:pPr>
              <w:rPr>
                <w:strike/>
              </w:rPr>
            </w:pPr>
            <w:r w:rsidRPr="001A7517">
              <w:t>maximum residual disinfectant level goal</w:t>
            </w:r>
          </w:p>
        </w:tc>
      </w:tr>
      <w:tr w:rsidR="00D60A5D" w:rsidRPr="001A7517" w14:paraId="647FD371" w14:textId="77777777" w:rsidTr="00623210">
        <w:tc>
          <w:tcPr>
            <w:tcW w:w="2160" w:type="dxa"/>
            <w:hideMark/>
          </w:tcPr>
          <w:p w14:paraId="771F2C07" w14:textId="77777777" w:rsidR="00D60A5D" w:rsidRPr="001A7517" w:rsidRDefault="00D60A5D" w:rsidP="00623210">
            <w:r w:rsidRPr="001A7517">
              <w:t>mrem/year</w:t>
            </w:r>
          </w:p>
        </w:tc>
        <w:tc>
          <w:tcPr>
            <w:tcW w:w="7200" w:type="dxa"/>
            <w:hideMark/>
          </w:tcPr>
          <w:p w14:paraId="01E90C0C" w14:textId="77777777" w:rsidR="00D60A5D" w:rsidRPr="001A7517" w:rsidRDefault="00D60A5D" w:rsidP="00623210">
            <w:r w:rsidRPr="001A7517">
              <w:t>millirems per year (a measure of radiation absorbed by the body)</w:t>
            </w:r>
          </w:p>
        </w:tc>
      </w:tr>
      <w:tr w:rsidR="00D60A5D" w:rsidRPr="001A7517" w14:paraId="7BDD185D" w14:textId="77777777" w:rsidTr="00623210">
        <w:tc>
          <w:tcPr>
            <w:tcW w:w="2160" w:type="dxa"/>
            <w:hideMark/>
          </w:tcPr>
          <w:p w14:paraId="16DF80E7" w14:textId="77777777" w:rsidR="00D60A5D" w:rsidRPr="001A7517" w:rsidRDefault="00D60A5D" w:rsidP="00623210">
            <w:r w:rsidRPr="001A7517">
              <w:t>N/A</w:t>
            </w:r>
          </w:p>
        </w:tc>
        <w:tc>
          <w:tcPr>
            <w:tcW w:w="7200" w:type="dxa"/>
            <w:hideMark/>
          </w:tcPr>
          <w:p w14:paraId="1760E926" w14:textId="77777777" w:rsidR="00D60A5D" w:rsidRPr="001A7517" w:rsidRDefault="00D60A5D" w:rsidP="00623210">
            <w:pPr>
              <w:rPr>
                <w:strike/>
              </w:rPr>
            </w:pPr>
            <w:r w:rsidRPr="001A7517">
              <w:t>not applicable</w:t>
            </w:r>
          </w:p>
        </w:tc>
      </w:tr>
      <w:tr w:rsidR="00D60A5D" w:rsidRPr="001A7517" w14:paraId="36EF54F2" w14:textId="77777777" w:rsidTr="00623210">
        <w:tc>
          <w:tcPr>
            <w:tcW w:w="2160" w:type="dxa"/>
            <w:hideMark/>
          </w:tcPr>
          <w:p w14:paraId="6BFCA583" w14:textId="77777777" w:rsidR="00D60A5D" w:rsidRPr="001A7517" w:rsidRDefault="00D60A5D" w:rsidP="00623210">
            <w:r w:rsidRPr="001A7517">
              <w:t>NTU</w:t>
            </w:r>
          </w:p>
        </w:tc>
        <w:tc>
          <w:tcPr>
            <w:tcW w:w="7200" w:type="dxa"/>
            <w:hideMark/>
          </w:tcPr>
          <w:p w14:paraId="56668B00" w14:textId="77777777" w:rsidR="00D60A5D" w:rsidRPr="001A7517" w:rsidRDefault="00D60A5D" w:rsidP="00623210">
            <w:pPr>
              <w:rPr>
                <w:strike/>
              </w:rPr>
            </w:pPr>
            <w:r w:rsidRPr="001A7517">
              <w:t>nephelometric turbidity units(a measure of water clarity)</w:t>
            </w:r>
          </w:p>
        </w:tc>
      </w:tr>
      <w:tr w:rsidR="00D60A5D" w:rsidRPr="001A7517" w14:paraId="07F6A542" w14:textId="77777777" w:rsidTr="00623210">
        <w:tc>
          <w:tcPr>
            <w:tcW w:w="2160" w:type="dxa"/>
            <w:hideMark/>
          </w:tcPr>
          <w:p w14:paraId="169A8881" w14:textId="77777777" w:rsidR="00D60A5D" w:rsidRPr="001A7517" w:rsidRDefault="00D60A5D" w:rsidP="00623210">
            <w:r w:rsidRPr="001A7517">
              <w:t>pCi/ℓ</w:t>
            </w:r>
          </w:p>
        </w:tc>
        <w:tc>
          <w:tcPr>
            <w:tcW w:w="7200" w:type="dxa"/>
            <w:hideMark/>
          </w:tcPr>
          <w:p w14:paraId="4173865E" w14:textId="77777777" w:rsidR="00D60A5D" w:rsidRPr="001A7517" w:rsidRDefault="00D60A5D" w:rsidP="00623210">
            <w:r w:rsidRPr="001A7517">
              <w:t>picocuries per liter (a measure of radioactivity)</w:t>
            </w:r>
          </w:p>
        </w:tc>
      </w:tr>
      <w:tr w:rsidR="00D60A5D" w:rsidRPr="001A7517" w14:paraId="7CDD5D35" w14:textId="77777777" w:rsidTr="00623210">
        <w:tc>
          <w:tcPr>
            <w:tcW w:w="2160" w:type="dxa"/>
            <w:hideMark/>
          </w:tcPr>
          <w:p w14:paraId="1C2E980A" w14:textId="77777777" w:rsidR="00D60A5D" w:rsidRPr="001A7517" w:rsidRDefault="00D60A5D" w:rsidP="00623210">
            <w:r w:rsidRPr="001A7517">
              <w:t>ppm</w:t>
            </w:r>
          </w:p>
        </w:tc>
        <w:tc>
          <w:tcPr>
            <w:tcW w:w="7200" w:type="dxa"/>
            <w:hideMark/>
          </w:tcPr>
          <w:p w14:paraId="428B80EA" w14:textId="77777777" w:rsidR="00D60A5D" w:rsidRPr="001A7517" w:rsidRDefault="00D60A5D" w:rsidP="00623210">
            <w:r w:rsidRPr="001A7517">
              <w:t>parts per million, or milligrams per liter (mg/ℓ)</w:t>
            </w:r>
          </w:p>
        </w:tc>
      </w:tr>
      <w:tr w:rsidR="00D60A5D" w:rsidRPr="001A7517" w14:paraId="2693D4F0" w14:textId="77777777" w:rsidTr="00623210">
        <w:tc>
          <w:tcPr>
            <w:tcW w:w="2160" w:type="dxa"/>
            <w:hideMark/>
          </w:tcPr>
          <w:p w14:paraId="534DB00A" w14:textId="77777777" w:rsidR="00D60A5D" w:rsidRPr="001A7517" w:rsidRDefault="00D60A5D" w:rsidP="00623210">
            <w:r w:rsidRPr="001A7517">
              <w:t>ppb</w:t>
            </w:r>
          </w:p>
        </w:tc>
        <w:tc>
          <w:tcPr>
            <w:tcW w:w="7200" w:type="dxa"/>
            <w:hideMark/>
          </w:tcPr>
          <w:p w14:paraId="66675E26" w14:textId="77777777" w:rsidR="00D60A5D" w:rsidRPr="001A7517" w:rsidRDefault="00D60A5D" w:rsidP="00623210">
            <w:r w:rsidRPr="001A7517">
              <w:t>parts per billion, or micrograms per liter (</w:t>
            </w:r>
            <w:r w:rsidRPr="001A7517">
              <w:sym w:font="Symbol" w:char="F06D"/>
            </w:r>
            <w:r w:rsidRPr="001A7517">
              <w:t>g/ℓ)</w:t>
            </w:r>
          </w:p>
        </w:tc>
      </w:tr>
      <w:tr w:rsidR="00D60A5D" w:rsidRPr="001A7517" w14:paraId="323F2B54" w14:textId="77777777" w:rsidTr="00623210">
        <w:tc>
          <w:tcPr>
            <w:tcW w:w="2160" w:type="dxa"/>
            <w:hideMark/>
          </w:tcPr>
          <w:p w14:paraId="105CBBB4" w14:textId="77777777" w:rsidR="00D60A5D" w:rsidRPr="001A7517" w:rsidRDefault="00D60A5D" w:rsidP="00623210">
            <w:r w:rsidRPr="001A7517">
              <w:t>ppt</w:t>
            </w:r>
          </w:p>
        </w:tc>
        <w:tc>
          <w:tcPr>
            <w:tcW w:w="7200" w:type="dxa"/>
            <w:hideMark/>
          </w:tcPr>
          <w:p w14:paraId="5099AAED" w14:textId="77777777" w:rsidR="00D60A5D" w:rsidRPr="001A7517" w:rsidRDefault="00D60A5D" w:rsidP="00623210">
            <w:r w:rsidRPr="001A7517">
              <w:t>parts per trillion, or nanograms per liter</w:t>
            </w:r>
          </w:p>
        </w:tc>
      </w:tr>
      <w:tr w:rsidR="00D60A5D" w:rsidRPr="001A7517" w14:paraId="2A7BFA1C" w14:textId="77777777" w:rsidTr="00623210">
        <w:tc>
          <w:tcPr>
            <w:tcW w:w="2160" w:type="dxa"/>
            <w:hideMark/>
          </w:tcPr>
          <w:p w14:paraId="3C6DF834" w14:textId="77777777" w:rsidR="00D60A5D" w:rsidRPr="001A7517" w:rsidRDefault="00D60A5D" w:rsidP="00623210">
            <w:r w:rsidRPr="001A7517">
              <w:t>ppq</w:t>
            </w:r>
          </w:p>
        </w:tc>
        <w:tc>
          <w:tcPr>
            <w:tcW w:w="7200" w:type="dxa"/>
            <w:hideMark/>
          </w:tcPr>
          <w:p w14:paraId="61D7AFB1" w14:textId="77777777" w:rsidR="00D60A5D" w:rsidRPr="001A7517" w:rsidRDefault="00D60A5D" w:rsidP="00623210">
            <w:r w:rsidRPr="001A7517">
              <w:t>parts per quadrillion, or picograms per liter</w:t>
            </w:r>
          </w:p>
        </w:tc>
      </w:tr>
      <w:tr w:rsidR="00D60A5D" w:rsidRPr="001A7517" w14:paraId="49F23E4F" w14:textId="77777777" w:rsidTr="00623210">
        <w:tc>
          <w:tcPr>
            <w:tcW w:w="2160" w:type="dxa"/>
            <w:hideMark/>
          </w:tcPr>
          <w:p w14:paraId="7136D1B8" w14:textId="77777777" w:rsidR="00D60A5D" w:rsidRPr="001A7517" w:rsidRDefault="00D60A5D" w:rsidP="00623210">
            <w:r w:rsidRPr="001A7517">
              <w:t>TT</w:t>
            </w:r>
          </w:p>
        </w:tc>
        <w:tc>
          <w:tcPr>
            <w:tcW w:w="7200" w:type="dxa"/>
            <w:hideMark/>
          </w:tcPr>
          <w:p w14:paraId="5F187FF8" w14:textId="77777777" w:rsidR="00D60A5D" w:rsidRPr="001A7517" w:rsidRDefault="00D60A5D" w:rsidP="00623210">
            <w:pPr>
              <w:rPr>
                <w:strike/>
              </w:rPr>
            </w:pPr>
            <w:r w:rsidRPr="001A7517">
              <w:t>treatment technique</w:t>
            </w:r>
          </w:p>
        </w:tc>
      </w:tr>
    </w:tbl>
    <w:p w14:paraId="6D4D4825" w14:textId="77777777" w:rsidR="00D60A5D" w:rsidRPr="001A7517" w:rsidRDefault="00D60A5D" w:rsidP="00D60A5D">
      <w:pPr>
        <w:spacing w:before="240" w:after="240"/>
      </w:pPr>
      <w:r w:rsidRPr="001A7517">
        <w:t>BOARD NOTE:  Derived from appendix A to subpart O to 40 CFR 141.</w:t>
      </w:r>
    </w:p>
    <w:p w14:paraId="48D59F6A" w14:textId="77777777" w:rsidR="00D60A5D" w:rsidRPr="001A7517" w:rsidRDefault="00D60A5D" w:rsidP="00D60A5D">
      <w:pPr>
        <w:suppressAutoHyphens/>
        <w:spacing w:before="240"/>
        <w:ind w:left="720"/>
      </w:pPr>
      <w:r w:rsidRPr="001A7517">
        <w:t>(Source:  A</w:t>
      </w:r>
      <w:r w:rsidRPr="001A7517">
        <w:rPr>
          <w:szCs w:val="17"/>
        </w:rPr>
        <w:t xml:space="preserve">mended at </w:t>
      </w:r>
      <w:r w:rsidRPr="001A7517">
        <w:t>44 Ill. Reg. 6996, effective April 17, 2020)</w:t>
      </w:r>
    </w:p>
    <w:p w14:paraId="4651759B" w14:textId="77777777" w:rsidR="00D60A5D" w:rsidRPr="001A7517" w:rsidRDefault="00D60A5D" w:rsidP="00D60A5D">
      <w:pPr>
        <w:keepNext/>
        <w:keepLines/>
        <w:suppressAutoHyphens/>
        <w:spacing w:before="240"/>
        <w:rPr>
          <w:b/>
        </w:rPr>
      </w:pPr>
      <w:r w:rsidRPr="001A7517">
        <w:rPr>
          <w:b/>
        </w:rPr>
        <w:t>Section 611.APPENDIX B  Percent Inactivation of G. Lamblia Cysts</w:t>
      </w:r>
    </w:p>
    <w:p w14:paraId="3E199BD1" w14:textId="77777777" w:rsidR="00D60A5D" w:rsidRPr="001A7517" w:rsidRDefault="00D60A5D" w:rsidP="00D60A5D">
      <w:pPr>
        <w:keepNext/>
        <w:keepLines/>
        <w:suppressAutoHyphens/>
        <w:spacing w:before="240"/>
        <w:ind w:left="720" w:right="720"/>
        <w:jc w:val="center"/>
      </w:pPr>
      <w:r w:rsidRPr="001A7517">
        <w:t>Table 1.1</w:t>
      </w:r>
    </w:p>
    <w:p w14:paraId="777B78F7" w14:textId="77777777" w:rsidR="00D60A5D" w:rsidRPr="001A7517" w:rsidRDefault="00D60A5D" w:rsidP="00D60A5D">
      <w:pPr>
        <w:keepNext/>
        <w:keepLines/>
        <w:suppressAutoHyphens/>
        <w:spacing w:after="240"/>
        <w:ind w:left="720" w:right="720"/>
        <w:jc w:val="center"/>
      </w:pPr>
      <w:r w:rsidRPr="001A7517">
        <w:t>CT-99.9 for 99.9 Percent Inactivation of Giardia Lamblia Cysts by Free Chlorine at 0.5 °C or Lower</w:t>
      </w:r>
    </w:p>
    <w:p w14:paraId="56DC85FA" w14:textId="77777777" w:rsidR="00D60A5D" w:rsidRPr="001A7517" w:rsidRDefault="00D60A5D" w:rsidP="00D60A5D">
      <w:pPr>
        <w:suppressAutoHyphens/>
        <w:spacing w:before="240" w:after="240"/>
      </w:pPr>
      <w:r w:rsidRPr="001A7517">
        <w:t>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4E2E89F2" w14:textId="77777777" w:rsidTr="00623210">
        <w:tc>
          <w:tcPr>
            <w:tcW w:w="1728" w:type="dxa"/>
            <w:vAlign w:val="bottom"/>
          </w:tcPr>
          <w:p w14:paraId="650CB789" w14:textId="77777777" w:rsidR="00D60A5D" w:rsidRPr="001A7517" w:rsidRDefault="00D60A5D" w:rsidP="00623210">
            <w:pPr>
              <w:keepNext/>
              <w:keepLines/>
              <w:suppressAutoHyphens/>
            </w:pPr>
            <w:r w:rsidRPr="001A7517">
              <w:t>Free Residual</w:t>
            </w:r>
          </w:p>
          <w:p w14:paraId="33E9FC4E" w14:textId="77777777" w:rsidR="00D60A5D" w:rsidRPr="001A7517" w:rsidRDefault="00D60A5D" w:rsidP="00623210">
            <w:pPr>
              <w:keepNext/>
              <w:keepLines/>
              <w:suppressAutoHyphens/>
            </w:pPr>
            <w:r w:rsidRPr="001A7517">
              <w:t>(mg/ℓ)</w:t>
            </w:r>
          </w:p>
        </w:tc>
        <w:tc>
          <w:tcPr>
            <w:tcW w:w="864" w:type="dxa"/>
            <w:vAlign w:val="bottom"/>
          </w:tcPr>
          <w:p w14:paraId="328107A4" w14:textId="77777777" w:rsidR="00D60A5D" w:rsidRPr="001A7517" w:rsidRDefault="00D60A5D" w:rsidP="00623210">
            <w:pPr>
              <w:keepNext/>
              <w:keepLines/>
              <w:suppressAutoHyphens/>
            </w:pPr>
            <w:r w:rsidRPr="001A7517">
              <w:t>PH</w:t>
            </w:r>
          </w:p>
          <w:p w14:paraId="1B0EE71C" w14:textId="77777777" w:rsidR="00D60A5D" w:rsidRPr="001A7517" w:rsidRDefault="00D60A5D" w:rsidP="00623210">
            <w:pPr>
              <w:keepNext/>
              <w:keepLines/>
              <w:suppressAutoHyphens/>
            </w:pPr>
            <w:r w:rsidRPr="001A7517">
              <w:t>≤6.0</w:t>
            </w:r>
          </w:p>
        </w:tc>
        <w:tc>
          <w:tcPr>
            <w:tcW w:w="864" w:type="dxa"/>
            <w:vAlign w:val="bottom"/>
          </w:tcPr>
          <w:p w14:paraId="25C4F06B" w14:textId="77777777" w:rsidR="00D60A5D" w:rsidRPr="001A7517" w:rsidRDefault="00D60A5D" w:rsidP="00623210">
            <w:pPr>
              <w:keepNext/>
              <w:keepLines/>
              <w:suppressAutoHyphens/>
            </w:pPr>
            <w:r w:rsidRPr="001A7517">
              <w:t>6.5</w:t>
            </w:r>
          </w:p>
        </w:tc>
        <w:tc>
          <w:tcPr>
            <w:tcW w:w="864" w:type="dxa"/>
            <w:vAlign w:val="bottom"/>
          </w:tcPr>
          <w:p w14:paraId="0F480B25" w14:textId="77777777" w:rsidR="00D60A5D" w:rsidRPr="001A7517" w:rsidRDefault="00D60A5D" w:rsidP="00623210">
            <w:pPr>
              <w:keepNext/>
              <w:keepLines/>
              <w:suppressAutoHyphens/>
            </w:pPr>
            <w:r w:rsidRPr="001A7517">
              <w:t>7.0</w:t>
            </w:r>
          </w:p>
        </w:tc>
        <w:tc>
          <w:tcPr>
            <w:tcW w:w="864" w:type="dxa"/>
            <w:vAlign w:val="bottom"/>
          </w:tcPr>
          <w:p w14:paraId="59E04EDA" w14:textId="77777777" w:rsidR="00D60A5D" w:rsidRPr="001A7517" w:rsidRDefault="00D60A5D" w:rsidP="00623210">
            <w:pPr>
              <w:keepNext/>
              <w:keepLines/>
              <w:suppressAutoHyphens/>
            </w:pPr>
            <w:r w:rsidRPr="001A7517">
              <w:t>7.5</w:t>
            </w:r>
          </w:p>
        </w:tc>
        <w:tc>
          <w:tcPr>
            <w:tcW w:w="864" w:type="dxa"/>
            <w:vAlign w:val="bottom"/>
          </w:tcPr>
          <w:p w14:paraId="0D3DD4D2" w14:textId="77777777" w:rsidR="00D60A5D" w:rsidRPr="001A7517" w:rsidRDefault="00D60A5D" w:rsidP="00623210">
            <w:pPr>
              <w:keepNext/>
              <w:keepLines/>
              <w:suppressAutoHyphens/>
            </w:pPr>
            <w:r w:rsidRPr="001A7517">
              <w:t>8.0</w:t>
            </w:r>
          </w:p>
        </w:tc>
        <w:tc>
          <w:tcPr>
            <w:tcW w:w="864" w:type="dxa"/>
            <w:vAlign w:val="bottom"/>
          </w:tcPr>
          <w:p w14:paraId="181A24AE" w14:textId="77777777" w:rsidR="00D60A5D" w:rsidRPr="001A7517" w:rsidRDefault="00D60A5D" w:rsidP="00623210">
            <w:pPr>
              <w:keepNext/>
              <w:keepLines/>
              <w:suppressAutoHyphens/>
            </w:pPr>
            <w:r w:rsidRPr="001A7517">
              <w:t>8.5</w:t>
            </w:r>
          </w:p>
        </w:tc>
        <w:tc>
          <w:tcPr>
            <w:tcW w:w="864" w:type="dxa"/>
            <w:vAlign w:val="bottom"/>
          </w:tcPr>
          <w:p w14:paraId="3DFDD704" w14:textId="77777777" w:rsidR="00D60A5D" w:rsidRPr="001A7517" w:rsidRDefault="00D60A5D" w:rsidP="00623210">
            <w:pPr>
              <w:keepNext/>
              <w:keepLines/>
              <w:suppressAutoHyphens/>
            </w:pPr>
            <w:r w:rsidRPr="001A7517">
              <w:t>≥9.0</w:t>
            </w:r>
          </w:p>
        </w:tc>
      </w:tr>
      <w:tr w:rsidR="00D60A5D" w:rsidRPr="001A7517" w14:paraId="6808C376" w14:textId="77777777" w:rsidTr="00623210">
        <w:tc>
          <w:tcPr>
            <w:tcW w:w="1728" w:type="dxa"/>
          </w:tcPr>
          <w:p w14:paraId="6A6EEC6B" w14:textId="77777777" w:rsidR="00D60A5D" w:rsidRPr="001A7517" w:rsidRDefault="00D60A5D" w:rsidP="00623210">
            <w:pPr>
              <w:suppressAutoHyphens/>
            </w:pPr>
            <w:r w:rsidRPr="001A7517">
              <w:t>≤0.4</w:t>
            </w:r>
          </w:p>
        </w:tc>
        <w:tc>
          <w:tcPr>
            <w:tcW w:w="864" w:type="dxa"/>
          </w:tcPr>
          <w:p w14:paraId="3C70A71A" w14:textId="77777777" w:rsidR="00D60A5D" w:rsidRPr="001A7517" w:rsidRDefault="00D60A5D" w:rsidP="00623210">
            <w:pPr>
              <w:suppressAutoHyphens/>
            </w:pPr>
            <w:r w:rsidRPr="001A7517">
              <w:t>137</w:t>
            </w:r>
          </w:p>
        </w:tc>
        <w:tc>
          <w:tcPr>
            <w:tcW w:w="864" w:type="dxa"/>
          </w:tcPr>
          <w:p w14:paraId="48C76F4E" w14:textId="77777777" w:rsidR="00D60A5D" w:rsidRPr="001A7517" w:rsidRDefault="00D60A5D" w:rsidP="00623210">
            <w:pPr>
              <w:suppressAutoHyphens/>
            </w:pPr>
            <w:r w:rsidRPr="001A7517">
              <w:t>163</w:t>
            </w:r>
          </w:p>
        </w:tc>
        <w:tc>
          <w:tcPr>
            <w:tcW w:w="864" w:type="dxa"/>
          </w:tcPr>
          <w:p w14:paraId="2605DB87" w14:textId="77777777" w:rsidR="00D60A5D" w:rsidRPr="001A7517" w:rsidRDefault="00D60A5D" w:rsidP="00623210">
            <w:pPr>
              <w:suppressAutoHyphens/>
            </w:pPr>
            <w:r w:rsidRPr="001A7517">
              <w:t>195</w:t>
            </w:r>
          </w:p>
        </w:tc>
        <w:tc>
          <w:tcPr>
            <w:tcW w:w="864" w:type="dxa"/>
          </w:tcPr>
          <w:p w14:paraId="49C39BDD" w14:textId="77777777" w:rsidR="00D60A5D" w:rsidRPr="001A7517" w:rsidRDefault="00D60A5D" w:rsidP="00623210">
            <w:pPr>
              <w:suppressAutoHyphens/>
            </w:pPr>
            <w:r w:rsidRPr="001A7517">
              <w:t>237</w:t>
            </w:r>
          </w:p>
        </w:tc>
        <w:tc>
          <w:tcPr>
            <w:tcW w:w="864" w:type="dxa"/>
          </w:tcPr>
          <w:p w14:paraId="703F549C" w14:textId="77777777" w:rsidR="00D60A5D" w:rsidRPr="001A7517" w:rsidRDefault="00D60A5D" w:rsidP="00623210">
            <w:pPr>
              <w:suppressAutoHyphens/>
            </w:pPr>
            <w:r w:rsidRPr="001A7517">
              <w:t>277</w:t>
            </w:r>
          </w:p>
        </w:tc>
        <w:tc>
          <w:tcPr>
            <w:tcW w:w="864" w:type="dxa"/>
          </w:tcPr>
          <w:p w14:paraId="489DD105" w14:textId="77777777" w:rsidR="00D60A5D" w:rsidRPr="001A7517" w:rsidRDefault="00D60A5D" w:rsidP="00623210">
            <w:pPr>
              <w:suppressAutoHyphens/>
            </w:pPr>
            <w:r w:rsidRPr="001A7517">
              <w:t>329</w:t>
            </w:r>
          </w:p>
        </w:tc>
        <w:tc>
          <w:tcPr>
            <w:tcW w:w="864" w:type="dxa"/>
          </w:tcPr>
          <w:p w14:paraId="69687977" w14:textId="77777777" w:rsidR="00D60A5D" w:rsidRPr="001A7517" w:rsidRDefault="00D60A5D" w:rsidP="00623210">
            <w:pPr>
              <w:suppressAutoHyphens/>
            </w:pPr>
            <w:r w:rsidRPr="001A7517">
              <w:t>390</w:t>
            </w:r>
          </w:p>
        </w:tc>
      </w:tr>
      <w:tr w:rsidR="00D60A5D" w:rsidRPr="001A7517" w14:paraId="68C6CCA9" w14:textId="77777777" w:rsidTr="00623210">
        <w:tc>
          <w:tcPr>
            <w:tcW w:w="1728" w:type="dxa"/>
          </w:tcPr>
          <w:p w14:paraId="333F8206" w14:textId="77777777" w:rsidR="00D60A5D" w:rsidRPr="001A7517" w:rsidRDefault="00D60A5D" w:rsidP="00623210">
            <w:pPr>
              <w:suppressAutoHyphens/>
            </w:pPr>
            <w:r w:rsidRPr="001A7517">
              <w:t>0.6</w:t>
            </w:r>
          </w:p>
        </w:tc>
        <w:tc>
          <w:tcPr>
            <w:tcW w:w="864" w:type="dxa"/>
          </w:tcPr>
          <w:p w14:paraId="266BF932" w14:textId="77777777" w:rsidR="00D60A5D" w:rsidRPr="001A7517" w:rsidRDefault="00D60A5D" w:rsidP="00623210">
            <w:pPr>
              <w:suppressAutoHyphens/>
            </w:pPr>
            <w:r w:rsidRPr="001A7517">
              <w:t>141</w:t>
            </w:r>
          </w:p>
        </w:tc>
        <w:tc>
          <w:tcPr>
            <w:tcW w:w="864" w:type="dxa"/>
          </w:tcPr>
          <w:p w14:paraId="1743C4EA" w14:textId="77777777" w:rsidR="00D60A5D" w:rsidRPr="001A7517" w:rsidRDefault="00D60A5D" w:rsidP="00623210">
            <w:pPr>
              <w:suppressAutoHyphens/>
            </w:pPr>
            <w:r w:rsidRPr="001A7517">
              <w:t>168</w:t>
            </w:r>
          </w:p>
        </w:tc>
        <w:tc>
          <w:tcPr>
            <w:tcW w:w="864" w:type="dxa"/>
          </w:tcPr>
          <w:p w14:paraId="1DE5FF01" w14:textId="77777777" w:rsidR="00D60A5D" w:rsidRPr="001A7517" w:rsidRDefault="00D60A5D" w:rsidP="00623210">
            <w:pPr>
              <w:suppressAutoHyphens/>
            </w:pPr>
            <w:r w:rsidRPr="001A7517">
              <w:t>200</w:t>
            </w:r>
          </w:p>
        </w:tc>
        <w:tc>
          <w:tcPr>
            <w:tcW w:w="864" w:type="dxa"/>
          </w:tcPr>
          <w:p w14:paraId="1B749378" w14:textId="77777777" w:rsidR="00D60A5D" w:rsidRPr="001A7517" w:rsidRDefault="00D60A5D" w:rsidP="00623210">
            <w:pPr>
              <w:suppressAutoHyphens/>
            </w:pPr>
            <w:r w:rsidRPr="001A7517">
              <w:t>239</w:t>
            </w:r>
          </w:p>
        </w:tc>
        <w:tc>
          <w:tcPr>
            <w:tcW w:w="864" w:type="dxa"/>
          </w:tcPr>
          <w:p w14:paraId="624A2EB8" w14:textId="77777777" w:rsidR="00D60A5D" w:rsidRPr="001A7517" w:rsidRDefault="00D60A5D" w:rsidP="00623210">
            <w:pPr>
              <w:suppressAutoHyphens/>
            </w:pPr>
            <w:r w:rsidRPr="001A7517">
              <w:t>286</w:t>
            </w:r>
          </w:p>
        </w:tc>
        <w:tc>
          <w:tcPr>
            <w:tcW w:w="864" w:type="dxa"/>
          </w:tcPr>
          <w:p w14:paraId="52EF37A9" w14:textId="77777777" w:rsidR="00D60A5D" w:rsidRPr="001A7517" w:rsidRDefault="00D60A5D" w:rsidP="00623210">
            <w:pPr>
              <w:suppressAutoHyphens/>
            </w:pPr>
            <w:r w:rsidRPr="001A7517">
              <w:t>342</w:t>
            </w:r>
          </w:p>
        </w:tc>
        <w:tc>
          <w:tcPr>
            <w:tcW w:w="864" w:type="dxa"/>
          </w:tcPr>
          <w:p w14:paraId="3E374109" w14:textId="77777777" w:rsidR="00D60A5D" w:rsidRPr="001A7517" w:rsidRDefault="00D60A5D" w:rsidP="00623210">
            <w:pPr>
              <w:suppressAutoHyphens/>
            </w:pPr>
            <w:r w:rsidRPr="001A7517">
              <w:t>407</w:t>
            </w:r>
          </w:p>
        </w:tc>
      </w:tr>
      <w:tr w:rsidR="00D60A5D" w:rsidRPr="001A7517" w14:paraId="3A18ABD9" w14:textId="77777777" w:rsidTr="00623210">
        <w:tc>
          <w:tcPr>
            <w:tcW w:w="1728" w:type="dxa"/>
          </w:tcPr>
          <w:p w14:paraId="2DA659CB" w14:textId="77777777" w:rsidR="00D60A5D" w:rsidRPr="001A7517" w:rsidRDefault="00D60A5D" w:rsidP="00623210">
            <w:pPr>
              <w:suppressAutoHyphens/>
            </w:pPr>
            <w:r w:rsidRPr="001A7517">
              <w:t>0.8</w:t>
            </w:r>
          </w:p>
        </w:tc>
        <w:tc>
          <w:tcPr>
            <w:tcW w:w="864" w:type="dxa"/>
          </w:tcPr>
          <w:p w14:paraId="61CF97E3" w14:textId="77777777" w:rsidR="00D60A5D" w:rsidRPr="001A7517" w:rsidRDefault="00D60A5D" w:rsidP="00623210">
            <w:pPr>
              <w:suppressAutoHyphens/>
            </w:pPr>
            <w:r w:rsidRPr="001A7517">
              <w:t>145</w:t>
            </w:r>
          </w:p>
        </w:tc>
        <w:tc>
          <w:tcPr>
            <w:tcW w:w="864" w:type="dxa"/>
          </w:tcPr>
          <w:p w14:paraId="7402C2D1" w14:textId="77777777" w:rsidR="00D60A5D" w:rsidRPr="001A7517" w:rsidRDefault="00D60A5D" w:rsidP="00623210">
            <w:pPr>
              <w:suppressAutoHyphens/>
            </w:pPr>
            <w:r w:rsidRPr="001A7517">
              <w:t>172</w:t>
            </w:r>
          </w:p>
        </w:tc>
        <w:tc>
          <w:tcPr>
            <w:tcW w:w="864" w:type="dxa"/>
          </w:tcPr>
          <w:p w14:paraId="28F8C696" w14:textId="77777777" w:rsidR="00D60A5D" w:rsidRPr="001A7517" w:rsidRDefault="00D60A5D" w:rsidP="00623210">
            <w:pPr>
              <w:suppressAutoHyphens/>
            </w:pPr>
            <w:r w:rsidRPr="001A7517">
              <w:t>205</w:t>
            </w:r>
          </w:p>
        </w:tc>
        <w:tc>
          <w:tcPr>
            <w:tcW w:w="864" w:type="dxa"/>
          </w:tcPr>
          <w:p w14:paraId="6AE7294E" w14:textId="77777777" w:rsidR="00D60A5D" w:rsidRPr="001A7517" w:rsidRDefault="00D60A5D" w:rsidP="00623210">
            <w:pPr>
              <w:suppressAutoHyphens/>
            </w:pPr>
            <w:r w:rsidRPr="001A7517">
              <w:t>246</w:t>
            </w:r>
          </w:p>
        </w:tc>
        <w:tc>
          <w:tcPr>
            <w:tcW w:w="864" w:type="dxa"/>
          </w:tcPr>
          <w:p w14:paraId="412873BF" w14:textId="77777777" w:rsidR="00D60A5D" w:rsidRPr="001A7517" w:rsidRDefault="00D60A5D" w:rsidP="00623210">
            <w:pPr>
              <w:suppressAutoHyphens/>
            </w:pPr>
            <w:r w:rsidRPr="001A7517">
              <w:t>295</w:t>
            </w:r>
          </w:p>
        </w:tc>
        <w:tc>
          <w:tcPr>
            <w:tcW w:w="864" w:type="dxa"/>
          </w:tcPr>
          <w:p w14:paraId="47ED3B21" w14:textId="77777777" w:rsidR="00D60A5D" w:rsidRPr="001A7517" w:rsidRDefault="00D60A5D" w:rsidP="00623210">
            <w:pPr>
              <w:suppressAutoHyphens/>
            </w:pPr>
            <w:r w:rsidRPr="001A7517">
              <w:t>354</w:t>
            </w:r>
          </w:p>
        </w:tc>
        <w:tc>
          <w:tcPr>
            <w:tcW w:w="864" w:type="dxa"/>
          </w:tcPr>
          <w:p w14:paraId="73024B89" w14:textId="77777777" w:rsidR="00D60A5D" w:rsidRPr="001A7517" w:rsidRDefault="00D60A5D" w:rsidP="00623210">
            <w:pPr>
              <w:suppressAutoHyphens/>
            </w:pPr>
            <w:r w:rsidRPr="001A7517">
              <w:t>422</w:t>
            </w:r>
          </w:p>
        </w:tc>
      </w:tr>
      <w:tr w:rsidR="00D60A5D" w:rsidRPr="001A7517" w14:paraId="5E5C2D09" w14:textId="77777777" w:rsidTr="00623210">
        <w:tc>
          <w:tcPr>
            <w:tcW w:w="1728" w:type="dxa"/>
          </w:tcPr>
          <w:p w14:paraId="5F857F05" w14:textId="77777777" w:rsidR="00D60A5D" w:rsidRPr="001A7517" w:rsidRDefault="00D60A5D" w:rsidP="00623210">
            <w:pPr>
              <w:suppressAutoHyphens/>
            </w:pPr>
            <w:r w:rsidRPr="001A7517">
              <w:t>1.0</w:t>
            </w:r>
          </w:p>
        </w:tc>
        <w:tc>
          <w:tcPr>
            <w:tcW w:w="864" w:type="dxa"/>
          </w:tcPr>
          <w:p w14:paraId="1F66BED5" w14:textId="77777777" w:rsidR="00D60A5D" w:rsidRPr="001A7517" w:rsidRDefault="00D60A5D" w:rsidP="00623210">
            <w:pPr>
              <w:suppressAutoHyphens/>
            </w:pPr>
            <w:r w:rsidRPr="001A7517">
              <w:t>148</w:t>
            </w:r>
          </w:p>
        </w:tc>
        <w:tc>
          <w:tcPr>
            <w:tcW w:w="864" w:type="dxa"/>
          </w:tcPr>
          <w:p w14:paraId="43B3A6F4" w14:textId="77777777" w:rsidR="00D60A5D" w:rsidRPr="001A7517" w:rsidRDefault="00D60A5D" w:rsidP="00623210">
            <w:pPr>
              <w:suppressAutoHyphens/>
            </w:pPr>
            <w:r w:rsidRPr="001A7517">
              <w:t>176</w:t>
            </w:r>
          </w:p>
        </w:tc>
        <w:tc>
          <w:tcPr>
            <w:tcW w:w="864" w:type="dxa"/>
          </w:tcPr>
          <w:p w14:paraId="5E18B39C" w14:textId="77777777" w:rsidR="00D60A5D" w:rsidRPr="001A7517" w:rsidRDefault="00D60A5D" w:rsidP="00623210">
            <w:pPr>
              <w:suppressAutoHyphens/>
            </w:pPr>
            <w:r w:rsidRPr="001A7517">
              <w:t>210</w:t>
            </w:r>
          </w:p>
        </w:tc>
        <w:tc>
          <w:tcPr>
            <w:tcW w:w="864" w:type="dxa"/>
          </w:tcPr>
          <w:p w14:paraId="74AF40C2" w14:textId="77777777" w:rsidR="00D60A5D" w:rsidRPr="001A7517" w:rsidRDefault="00D60A5D" w:rsidP="00623210">
            <w:pPr>
              <w:suppressAutoHyphens/>
            </w:pPr>
            <w:r w:rsidRPr="001A7517">
              <w:t>253</w:t>
            </w:r>
          </w:p>
        </w:tc>
        <w:tc>
          <w:tcPr>
            <w:tcW w:w="864" w:type="dxa"/>
          </w:tcPr>
          <w:p w14:paraId="0254518F" w14:textId="77777777" w:rsidR="00D60A5D" w:rsidRPr="001A7517" w:rsidRDefault="00D60A5D" w:rsidP="00623210">
            <w:pPr>
              <w:suppressAutoHyphens/>
            </w:pPr>
            <w:r w:rsidRPr="001A7517">
              <w:t>304</w:t>
            </w:r>
          </w:p>
        </w:tc>
        <w:tc>
          <w:tcPr>
            <w:tcW w:w="864" w:type="dxa"/>
          </w:tcPr>
          <w:p w14:paraId="77C990D2" w14:textId="77777777" w:rsidR="00D60A5D" w:rsidRPr="001A7517" w:rsidRDefault="00D60A5D" w:rsidP="00623210">
            <w:pPr>
              <w:suppressAutoHyphens/>
            </w:pPr>
            <w:r w:rsidRPr="001A7517">
              <w:t>365</w:t>
            </w:r>
          </w:p>
        </w:tc>
        <w:tc>
          <w:tcPr>
            <w:tcW w:w="864" w:type="dxa"/>
          </w:tcPr>
          <w:p w14:paraId="0AC5B923" w14:textId="77777777" w:rsidR="00D60A5D" w:rsidRPr="001A7517" w:rsidRDefault="00D60A5D" w:rsidP="00623210">
            <w:pPr>
              <w:suppressAutoHyphens/>
            </w:pPr>
            <w:r w:rsidRPr="001A7517">
              <w:t>437</w:t>
            </w:r>
          </w:p>
        </w:tc>
      </w:tr>
      <w:tr w:rsidR="00D60A5D" w:rsidRPr="001A7517" w14:paraId="6235DCAF" w14:textId="77777777" w:rsidTr="00623210">
        <w:tc>
          <w:tcPr>
            <w:tcW w:w="1728" w:type="dxa"/>
          </w:tcPr>
          <w:p w14:paraId="11388A63" w14:textId="77777777" w:rsidR="00D60A5D" w:rsidRPr="001A7517" w:rsidRDefault="00D60A5D" w:rsidP="00623210">
            <w:pPr>
              <w:suppressAutoHyphens/>
            </w:pPr>
            <w:r w:rsidRPr="001A7517">
              <w:t>1.2</w:t>
            </w:r>
          </w:p>
        </w:tc>
        <w:tc>
          <w:tcPr>
            <w:tcW w:w="864" w:type="dxa"/>
          </w:tcPr>
          <w:p w14:paraId="4121C2D2" w14:textId="77777777" w:rsidR="00D60A5D" w:rsidRPr="001A7517" w:rsidRDefault="00D60A5D" w:rsidP="00623210">
            <w:pPr>
              <w:suppressAutoHyphens/>
            </w:pPr>
            <w:r w:rsidRPr="001A7517">
              <w:t>152</w:t>
            </w:r>
          </w:p>
        </w:tc>
        <w:tc>
          <w:tcPr>
            <w:tcW w:w="864" w:type="dxa"/>
          </w:tcPr>
          <w:p w14:paraId="473BB75F" w14:textId="77777777" w:rsidR="00D60A5D" w:rsidRPr="001A7517" w:rsidRDefault="00D60A5D" w:rsidP="00623210">
            <w:pPr>
              <w:suppressAutoHyphens/>
            </w:pPr>
            <w:r w:rsidRPr="001A7517">
              <w:t>180</w:t>
            </w:r>
          </w:p>
        </w:tc>
        <w:tc>
          <w:tcPr>
            <w:tcW w:w="864" w:type="dxa"/>
          </w:tcPr>
          <w:p w14:paraId="58F6A37B" w14:textId="77777777" w:rsidR="00D60A5D" w:rsidRPr="001A7517" w:rsidRDefault="00D60A5D" w:rsidP="00623210">
            <w:pPr>
              <w:suppressAutoHyphens/>
            </w:pPr>
            <w:r w:rsidRPr="001A7517">
              <w:t>215</w:t>
            </w:r>
          </w:p>
        </w:tc>
        <w:tc>
          <w:tcPr>
            <w:tcW w:w="864" w:type="dxa"/>
          </w:tcPr>
          <w:p w14:paraId="08EA9C13" w14:textId="77777777" w:rsidR="00D60A5D" w:rsidRPr="001A7517" w:rsidRDefault="00D60A5D" w:rsidP="00623210">
            <w:pPr>
              <w:suppressAutoHyphens/>
            </w:pPr>
            <w:r w:rsidRPr="001A7517">
              <w:t>259</w:t>
            </w:r>
          </w:p>
        </w:tc>
        <w:tc>
          <w:tcPr>
            <w:tcW w:w="864" w:type="dxa"/>
          </w:tcPr>
          <w:p w14:paraId="2B723814" w14:textId="77777777" w:rsidR="00D60A5D" w:rsidRPr="001A7517" w:rsidRDefault="00D60A5D" w:rsidP="00623210">
            <w:pPr>
              <w:suppressAutoHyphens/>
            </w:pPr>
            <w:r w:rsidRPr="001A7517">
              <w:t>313</w:t>
            </w:r>
          </w:p>
        </w:tc>
        <w:tc>
          <w:tcPr>
            <w:tcW w:w="864" w:type="dxa"/>
          </w:tcPr>
          <w:p w14:paraId="57DE336D" w14:textId="77777777" w:rsidR="00D60A5D" w:rsidRPr="001A7517" w:rsidRDefault="00D60A5D" w:rsidP="00623210">
            <w:pPr>
              <w:suppressAutoHyphens/>
            </w:pPr>
            <w:r w:rsidRPr="001A7517">
              <w:t>376</w:t>
            </w:r>
          </w:p>
        </w:tc>
        <w:tc>
          <w:tcPr>
            <w:tcW w:w="864" w:type="dxa"/>
          </w:tcPr>
          <w:p w14:paraId="0267C67A" w14:textId="77777777" w:rsidR="00D60A5D" w:rsidRPr="001A7517" w:rsidRDefault="00D60A5D" w:rsidP="00623210">
            <w:pPr>
              <w:suppressAutoHyphens/>
            </w:pPr>
            <w:r w:rsidRPr="001A7517">
              <w:t>451</w:t>
            </w:r>
          </w:p>
        </w:tc>
      </w:tr>
      <w:tr w:rsidR="00D60A5D" w:rsidRPr="001A7517" w14:paraId="7D2AD5E2" w14:textId="77777777" w:rsidTr="00623210">
        <w:tc>
          <w:tcPr>
            <w:tcW w:w="1728" w:type="dxa"/>
          </w:tcPr>
          <w:p w14:paraId="475FFF6A" w14:textId="77777777" w:rsidR="00D60A5D" w:rsidRPr="001A7517" w:rsidRDefault="00D60A5D" w:rsidP="00623210">
            <w:pPr>
              <w:suppressAutoHyphens/>
            </w:pPr>
            <w:r w:rsidRPr="001A7517">
              <w:t>1.4</w:t>
            </w:r>
          </w:p>
        </w:tc>
        <w:tc>
          <w:tcPr>
            <w:tcW w:w="864" w:type="dxa"/>
          </w:tcPr>
          <w:p w14:paraId="48D66E2F" w14:textId="77777777" w:rsidR="00D60A5D" w:rsidRPr="001A7517" w:rsidRDefault="00D60A5D" w:rsidP="00623210">
            <w:pPr>
              <w:suppressAutoHyphens/>
            </w:pPr>
            <w:r w:rsidRPr="001A7517">
              <w:t>155</w:t>
            </w:r>
          </w:p>
        </w:tc>
        <w:tc>
          <w:tcPr>
            <w:tcW w:w="864" w:type="dxa"/>
          </w:tcPr>
          <w:p w14:paraId="654DD165" w14:textId="77777777" w:rsidR="00D60A5D" w:rsidRPr="001A7517" w:rsidRDefault="00D60A5D" w:rsidP="00623210">
            <w:pPr>
              <w:suppressAutoHyphens/>
            </w:pPr>
            <w:r w:rsidRPr="001A7517">
              <w:t>184</w:t>
            </w:r>
          </w:p>
        </w:tc>
        <w:tc>
          <w:tcPr>
            <w:tcW w:w="864" w:type="dxa"/>
          </w:tcPr>
          <w:p w14:paraId="7567051A" w14:textId="77777777" w:rsidR="00D60A5D" w:rsidRPr="001A7517" w:rsidRDefault="00D60A5D" w:rsidP="00623210">
            <w:pPr>
              <w:suppressAutoHyphens/>
            </w:pPr>
            <w:r w:rsidRPr="001A7517">
              <w:t>221</w:t>
            </w:r>
          </w:p>
        </w:tc>
        <w:tc>
          <w:tcPr>
            <w:tcW w:w="864" w:type="dxa"/>
          </w:tcPr>
          <w:p w14:paraId="0C3BA87D" w14:textId="77777777" w:rsidR="00D60A5D" w:rsidRPr="001A7517" w:rsidRDefault="00D60A5D" w:rsidP="00623210">
            <w:pPr>
              <w:suppressAutoHyphens/>
            </w:pPr>
            <w:r w:rsidRPr="001A7517">
              <w:t>266</w:t>
            </w:r>
          </w:p>
        </w:tc>
        <w:tc>
          <w:tcPr>
            <w:tcW w:w="864" w:type="dxa"/>
          </w:tcPr>
          <w:p w14:paraId="67BB8891" w14:textId="77777777" w:rsidR="00D60A5D" w:rsidRPr="001A7517" w:rsidRDefault="00D60A5D" w:rsidP="00623210">
            <w:pPr>
              <w:suppressAutoHyphens/>
            </w:pPr>
            <w:r w:rsidRPr="001A7517">
              <w:t>321</w:t>
            </w:r>
          </w:p>
        </w:tc>
        <w:tc>
          <w:tcPr>
            <w:tcW w:w="864" w:type="dxa"/>
          </w:tcPr>
          <w:p w14:paraId="2073159E" w14:textId="77777777" w:rsidR="00D60A5D" w:rsidRPr="001A7517" w:rsidRDefault="00D60A5D" w:rsidP="00623210">
            <w:pPr>
              <w:suppressAutoHyphens/>
            </w:pPr>
            <w:r w:rsidRPr="001A7517">
              <w:t>387</w:t>
            </w:r>
          </w:p>
        </w:tc>
        <w:tc>
          <w:tcPr>
            <w:tcW w:w="864" w:type="dxa"/>
          </w:tcPr>
          <w:p w14:paraId="7A111A4C" w14:textId="77777777" w:rsidR="00D60A5D" w:rsidRPr="001A7517" w:rsidRDefault="00D60A5D" w:rsidP="00623210">
            <w:pPr>
              <w:suppressAutoHyphens/>
            </w:pPr>
            <w:r w:rsidRPr="001A7517">
              <w:t>464</w:t>
            </w:r>
          </w:p>
        </w:tc>
      </w:tr>
      <w:tr w:rsidR="00D60A5D" w:rsidRPr="001A7517" w14:paraId="00EC74CC" w14:textId="77777777" w:rsidTr="00623210">
        <w:tc>
          <w:tcPr>
            <w:tcW w:w="1728" w:type="dxa"/>
          </w:tcPr>
          <w:p w14:paraId="6F5C3E1A" w14:textId="77777777" w:rsidR="00D60A5D" w:rsidRPr="001A7517" w:rsidRDefault="00D60A5D" w:rsidP="00623210">
            <w:pPr>
              <w:suppressAutoHyphens/>
            </w:pPr>
            <w:r w:rsidRPr="001A7517">
              <w:t>1.6</w:t>
            </w:r>
          </w:p>
        </w:tc>
        <w:tc>
          <w:tcPr>
            <w:tcW w:w="864" w:type="dxa"/>
          </w:tcPr>
          <w:p w14:paraId="40C76727" w14:textId="77777777" w:rsidR="00D60A5D" w:rsidRPr="001A7517" w:rsidRDefault="00D60A5D" w:rsidP="00623210">
            <w:pPr>
              <w:suppressAutoHyphens/>
            </w:pPr>
            <w:r w:rsidRPr="001A7517">
              <w:t>157</w:t>
            </w:r>
          </w:p>
        </w:tc>
        <w:tc>
          <w:tcPr>
            <w:tcW w:w="864" w:type="dxa"/>
          </w:tcPr>
          <w:p w14:paraId="3CCD18D0" w14:textId="77777777" w:rsidR="00D60A5D" w:rsidRPr="001A7517" w:rsidRDefault="00D60A5D" w:rsidP="00623210">
            <w:pPr>
              <w:suppressAutoHyphens/>
            </w:pPr>
            <w:r w:rsidRPr="001A7517">
              <w:t>189</w:t>
            </w:r>
          </w:p>
        </w:tc>
        <w:tc>
          <w:tcPr>
            <w:tcW w:w="864" w:type="dxa"/>
          </w:tcPr>
          <w:p w14:paraId="233DAEA5" w14:textId="77777777" w:rsidR="00D60A5D" w:rsidRPr="001A7517" w:rsidRDefault="00D60A5D" w:rsidP="00623210">
            <w:pPr>
              <w:suppressAutoHyphens/>
            </w:pPr>
            <w:r w:rsidRPr="001A7517">
              <w:t>226</w:t>
            </w:r>
          </w:p>
        </w:tc>
        <w:tc>
          <w:tcPr>
            <w:tcW w:w="864" w:type="dxa"/>
          </w:tcPr>
          <w:p w14:paraId="1061A392" w14:textId="77777777" w:rsidR="00D60A5D" w:rsidRPr="001A7517" w:rsidRDefault="00D60A5D" w:rsidP="00623210">
            <w:pPr>
              <w:suppressAutoHyphens/>
            </w:pPr>
            <w:r w:rsidRPr="001A7517">
              <w:t>273</w:t>
            </w:r>
          </w:p>
        </w:tc>
        <w:tc>
          <w:tcPr>
            <w:tcW w:w="864" w:type="dxa"/>
          </w:tcPr>
          <w:p w14:paraId="0CCCD14A" w14:textId="77777777" w:rsidR="00D60A5D" w:rsidRPr="001A7517" w:rsidRDefault="00D60A5D" w:rsidP="00623210">
            <w:pPr>
              <w:suppressAutoHyphens/>
            </w:pPr>
            <w:r w:rsidRPr="001A7517">
              <w:t>329</w:t>
            </w:r>
          </w:p>
        </w:tc>
        <w:tc>
          <w:tcPr>
            <w:tcW w:w="864" w:type="dxa"/>
          </w:tcPr>
          <w:p w14:paraId="2885AEAB" w14:textId="77777777" w:rsidR="00D60A5D" w:rsidRPr="001A7517" w:rsidRDefault="00D60A5D" w:rsidP="00623210">
            <w:pPr>
              <w:suppressAutoHyphens/>
            </w:pPr>
            <w:r w:rsidRPr="001A7517">
              <w:t>397</w:t>
            </w:r>
          </w:p>
        </w:tc>
        <w:tc>
          <w:tcPr>
            <w:tcW w:w="864" w:type="dxa"/>
          </w:tcPr>
          <w:p w14:paraId="2B8AA519" w14:textId="77777777" w:rsidR="00D60A5D" w:rsidRPr="001A7517" w:rsidRDefault="00D60A5D" w:rsidP="00623210">
            <w:pPr>
              <w:suppressAutoHyphens/>
            </w:pPr>
            <w:r w:rsidRPr="001A7517">
              <w:t>477</w:t>
            </w:r>
          </w:p>
        </w:tc>
      </w:tr>
      <w:tr w:rsidR="00D60A5D" w:rsidRPr="001A7517" w14:paraId="02D178E3" w14:textId="77777777" w:rsidTr="00623210">
        <w:tc>
          <w:tcPr>
            <w:tcW w:w="1728" w:type="dxa"/>
          </w:tcPr>
          <w:p w14:paraId="0A4958E1" w14:textId="77777777" w:rsidR="00D60A5D" w:rsidRPr="001A7517" w:rsidRDefault="00D60A5D" w:rsidP="00623210">
            <w:pPr>
              <w:suppressAutoHyphens/>
            </w:pPr>
            <w:r w:rsidRPr="001A7517">
              <w:lastRenderedPageBreak/>
              <w:t>1.8</w:t>
            </w:r>
          </w:p>
        </w:tc>
        <w:tc>
          <w:tcPr>
            <w:tcW w:w="864" w:type="dxa"/>
          </w:tcPr>
          <w:p w14:paraId="3AE36E01" w14:textId="77777777" w:rsidR="00D60A5D" w:rsidRPr="001A7517" w:rsidRDefault="00D60A5D" w:rsidP="00623210">
            <w:pPr>
              <w:suppressAutoHyphens/>
            </w:pPr>
            <w:r w:rsidRPr="001A7517">
              <w:t>162</w:t>
            </w:r>
          </w:p>
        </w:tc>
        <w:tc>
          <w:tcPr>
            <w:tcW w:w="864" w:type="dxa"/>
          </w:tcPr>
          <w:p w14:paraId="41FFFF88" w14:textId="77777777" w:rsidR="00D60A5D" w:rsidRPr="001A7517" w:rsidRDefault="00D60A5D" w:rsidP="00623210">
            <w:pPr>
              <w:suppressAutoHyphens/>
            </w:pPr>
            <w:r w:rsidRPr="001A7517">
              <w:t>193</w:t>
            </w:r>
          </w:p>
        </w:tc>
        <w:tc>
          <w:tcPr>
            <w:tcW w:w="864" w:type="dxa"/>
          </w:tcPr>
          <w:p w14:paraId="14FADA6D" w14:textId="77777777" w:rsidR="00D60A5D" w:rsidRPr="001A7517" w:rsidRDefault="00D60A5D" w:rsidP="00623210">
            <w:pPr>
              <w:suppressAutoHyphens/>
            </w:pPr>
            <w:r w:rsidRPr="001A7517">
              <w:t>231</w:t>
            </w:r>
          </w:p>
        </w:tc>
        <w:tc>
          <w:tcPr>
            <w:tcW w:w="864" w:type="dxa"/>
          </w:tcPr>
          <w:p w14:paraId="769A4F27" w14:textId="77777777" w:rsidR="00D60A5D" w:rsidRPr="001A7517" w:rsidRDefault="00D60A5D" w:rsidP="00623210">
            <w:pPr>
              <w:suppressAutoHyphens/>
            </w:pPr>
            <w:r w:rsidRPr="001A7517">
              <w:t>279</w:t>
            </w:r>
          </w:p>
        </w:tc>
        <w:tc>
          <w:tcPr>
            <w:tcW w:w="864" w:type="dxa"/>
          </w:tcPr>
          <w:p w14:paraId="18DB76EB" w14:textId="77777777" w:rsidR="00D60A5D" w:rsidRPr="001A7517" w:rsidRDefault="00D60A5D" w:rsidP="00623210">
            <w:pPr>
              <w:suppressAutoHyphens/>
            </w:pPr>
            <w:r w:rsidRPr="001A7517">
              <w:t>338</w:t>
            </w:r>
          </w:p>
        </w:tc>
        <w:tc>
          <w:tcPr>
            <w:tcW w:w="864" w:type="dxa"/>
          </w:tcPr>
          <w:p w14:paraId="366DD0A4" w14:textId="77777777" w:rsidR="00D60A5D" w:rsidRPr="001A7517" w:rsidRDefault="00D60A5D" w:rsidP="00623210">
            <w:pPr>
              <w:suppressAutoHyphens/>
            </w:pPr>
            <w:r w:rsidRPr="001A7517">
              <w:t>407</w:t>
            </w:r>
          </w:p>
        </w:tc>
        <w:tc>
          <w:tcPr>
            <w:tcW w:w="864" w:type="dxa"/>
          </w:tcPr>
          <w:p w14:paraId="2DE9F10E" w14:textId="77777777" w:rsidR="00D60A5D" w:rsidRPr="001A7517" w:rsidRDefault="00D60A5D" w:rsidP="00623210">
            <w:pPr>
              <w:suppressAutoHyphens/>
            </w:pPr>
            <w:r w:rsidRPr="001A7517">
              <w:t>489</w:t>
            </w:r>
          </w:p>
        </w:tc>
      </w:tr>
      <w:tr w:rsidR="00D60A5D" w:rsidRPr="001A7517" w14:paraId="1AC72E55" w14:textId="77777777" w:rsidTr="00623210">
        <w:tc>
          <w:tcPr>
            <w:tcW w:w="1728" w:type="dxa"/>
          </w:tcPr>
          <w:p w14:paraId="391744ED" w14:textId="77777777" w:rsidR="00D60A5D" w:rsidRPr="001A7517" w:rsidRDefault="00D60A5D" w:rsidP="00623210">
            <w:pPr>
              <w:suppressAutoHyphens/>
            </w:pPr>
            <w:r w:rsidRPr="001A7517">
              <w:t>2.0</w:t>
            </w:r>
          </w:p>
        </w:tc>
        <w:tc>
          <w:tcPr>
            <w:tcW w:w="864" w:type="dxa"/>
          </w:tcPr>
          <w:p w14:paraId="4CBC153C" w14:textId="77777777" w:rsidR="00D60A5D" w:rsidRPr="001A7517" w:rsidRDefault="00D60A5D" w:rsidP="00623210">
            <w:pPr>
              <w:suppressAutoHyphens/>
            </w:pPr>
            <w:r w:rsidRPr="001A7517">
              <w:t>165</w:t>
            </w:r>
          </w:p>
        </w:tc>
        <w:tc>
          <w:tcPr>
            <w:tcW w:w="864" w:type="dxa"/>
          </w:tcPr>
          <w:p w14:paraId="6687872C" w14:textId="77777777" w:rsidR="00D60A5D" w:rsidRPr="001A7517" w:rsidRDefault="00D60A5D" w:rsidP="00623210">
            <w:pPr>
              <w:suppressAutoHyphens/>
            </w:pPr>
            <w:r w:rsidRPr="001A7517">
              <w:t>197</w:t>
            </w:r>
          </w:p>
        </w:tc>
        <w:tc>
          <w:tcPr>
            <w:tcW w:w="864" w:type="dxa"/>
          </w:tcPr>
          <w:p w14:paraId="78597DCB" w14:textId="77777777" w:rsidR="00D60A5D" w:rsidRPr="001A7517" w:rsidRDefault="00D60A5D" w:rsidP="00623210">
            <w:pPr>
              <w:suppressAutoHyphens/>
            </w:pPr>
            <w:r w:rsidRPr="001A7517">
              <w:t>236</w:t>
            </w:r>
          </w:p>
        </w:tc>
        <w:tc>
          <w:tcPr>
            <w:tcW w:w="864" w:type="dxa"/>
          </w:tcPr>
          <w:p w14:paraId="1C3BDAA5" w14:textId="77777777" w:rsidR="00D60A5D" w:rsidRPr="001A7517" w:rsidRDefault="00D60A5D" w:rsidP="00623210">
            <w:pPr>
              <w:suppressAutoHyphens/>
            </w:pPr>
            <w:r w:rsidRPr="001A7517">
              <w:t>286</w:t>
            </w:r>
          </w:p>
        </w:tc>
        <w:tc>
          <w:tcPr>
            <w:tcW w:w="864" w:type="dxa"/>
          </w:tcPr>
          <w:p w14:paraId="3F3FB632" w14:textId="77777777" w:rsidR="00D60A5D" w:rsidRPr="001A7517" w:rsidRDefault="00D60A5D" w:rsidP="00623210">
            <w:pPr>
              <w:suppressAutoHyphens/>
            </w:pPr>
            <w:r w:rsidRPr="001A7517">
              <w:t>346</w:t>
            </w:r>
          </w:p>
        </w:tc>
        <w:tc>
          <w:tcPr>
            <w:tcW w:w="864" w:type="dxa"/>
          </w:tcPr>
          <w:p w14:paraId="0A3D763B" w14:textId="77777777" w:rsidR="00D60A5D" w:rsidRPr="001A7517" w:rsidRDefault="00D60A5D" w:rsidP="00623210">
            <w:pPr>
              <w:suppressAutoHyphens/>
            </w:pPr>
            <w:r w:rsidRPr="001A7517">
              <w:t>417</w:t>
            </w:r>
          </w:p>
        </w:tc>
        <w:tc>
          <w:tcPr>
            <w:tcW w:w="864" w:type="dxa"/>
          </w:tcPr>
          <w:p w14:paraId="72ED75A5" w14:textId="77777777" w:rsidR="00D60A5D" w:rsidRPr="001A7517" w:rsidRDefault="00D60A5D" w:rsidP="00623210">
            <w:pPr>
              <w:suppressAutoHyphens/>
            </w:pPr>
            <w:r w:rsidRPr="001A7517">
              <w:t>500</w:t>
            </w:r>
          </w:p>
        </w:tc>
      </w:tr>
      <w:tr w:rsidR="00D60A5D" w:rsidRPr="001A7517" w14:paraId="3C099873" w14:textId="77777777" w:rsidTr="00623210">
        <w:tc>
          <w:tcPr>
            <w:tcW w:w="1728" w:type="dxa"/>
          </w:tcPr>
          <w:p w14:paraId="6649423A" w14:textId="77777777" w:rsidR="00D60A5D" w:rsidRPr="001A7517" w:rsidRDefault="00D60A5D" w:rsidP="00623210">
            <w:pPr>
              <w:suppressAutoHyphens/>
            </w:pPr>
            <w:r w:rsidRPr="001A7517">
              <w:t>2.2</w:t>
            </w:r>
          </w:p>
        </w:tc>
        <w:tc>
          <w:tcPr>
            <w:tcW w:w="864" w:type="dxa"/>
          </w:tcPr>
          <w:p w14:paraId="237E92A0" w14:textId="77777777" w:rsidR="00D60A5D" w:rsidRPr="001A7517" w:rsidRDefault="00D60A5D" w:rsidP="00623210">
            <w:pPr>
              <w:suppressAutoHyphens/>
            </w:pPr>
            <w:r w:rsidRPr="001A7517">
              <w:t>169</w:t>
            </w:r>
          </w:p>
        </w:tc>
        <w:tc>
          <w:tcPr>
            <w:tcW w:w="864" w:type="dxa"/>
          </w:tcPr>
          <w:p w14:paraId="49CBB8A6" w14:textId="77777777" w:rsidR="00D60A5D" w:rsidRPr="001A7517" w:rsidRDefault="00D60A5D" w:rsidP="00623210">
            <w:pPr>
              <w:suppressAutoHyphens/>
            </w:pPr>
            <w:r w:rsidRPr="001A7517">
              <w:t>201</w:t>
            </w:r>
          </w:p>
        </w:tc>
        <w:tc>
          <w:tcPr>
            <w:tcW w:w="864" w:type="dxa"/>
          </w:tcPr>
          <w:p w14:paraId="27779ECF" w14:textId="77777777" w:rsidR="00D60A5D" w:rsidRPr="001A7517" w:rsidRDefault="00D60A5D" w:rsidP="00623210">
            <w:pPr>
              <w:suppressAutoHyphens/>
            </w:pPr>
            <w:r w:rsidRPr="001A7517">
              <w:t>242</w:t>
            </w:r>
          </w:p>
        </w:tc>
        <w:tc>
          <w:tcPr>
            <w:tcW w:w="864" w:type="dxa"/>
          </w:tcPr>
          <w:p w14:paraId="33143142" w14:textId="77777777" w:rsidR="00D60A5D" w:rsidRPr="001A7517" w:rsidRDefault="00D60A5D" w:rsidP="00623210">
            <w:pPr>
              <w:suppressAutoHyphens/>
            </w:pPr>
            <w:r w:rsidRPr="001A7517">
              <w:t>297</w:t>
            </w:r>
          </w:p>
        </w:tc>
        <w:tc>
          <w:tcPr>
            <w:tcW w:w="864" w:type="dxa"/>
          </w:tcPr>
          <w:p w14:paraId="28B28473" w14:textId="77777777" w:rsidR="00D60A5D" w:rsidRPr="001A7517" w:rsidRDefault="00D60A5D" w:rsidP="00623210">
            <w:pPr>
              <w:suppressAutoHyphens/>
            </w:pPr>
            <w:r w:rsidRPr="001A7517">
              <w:t>353</w:t>
            </w:r>
          </w:p>
        </w:tc>
        <w:tc>
          <w:tcPr>
            <w:tcW w:w="864" w:type="dxa"/>
          </w:tcPr>
          <w:p w14:paraId="638FF097" w14:textId="77777777" w:rsidR="00D60A5D" w:rsidRPr="001A7517" w:rsidRDefault="00D60A5D" w:rsidP="00623210">
            <w:pPr>
              <w:suppressAutoHyphens/>
            </w:pPr>
            <w:r w:rsidRPr="001A7517">
              <w:t>426</w:t>
            </w:r>
          </w:p>
        </w:tc>
        <w:tc>
          <w:tcPr>
            <w:tcW w:w="864" w:type="dxa"/>
          </w:tcPr>
          <w:p w14:paraId="240DAF44" w14:textId="77777777" w:rsidR="00D60A5D" w:rsidRPr="001A7517" w:rsidRDefault="00D60A5D" w:rsidP="00623210">
            <w:pPr>
              <w:suppressAutoHyphens/>
            </w:pPr>
            <w:r w:rsidRPr="001A7517">
              <w:t>511</w:t>
            </w:r>
          </w:p>
        </w:tc>
      </w:tr>
      <w:tr w:rsidR="00D60A5D" w:rsidRPr="001A7517" w14:paraId="02B5A779" w14:textId="77777777" w:rsidTr="00623210">
        <w:tc>
          <w:tcPr>
            <w:tcW w:w="1728" w:type="dxa"/>
          </w:tcPr>
          <w:p w14:paraId="572A37F6" w14:textId="77777777" w:rsidR="00D60A5D" w:rsidRPr="001A7517" w:rsidRDefault="00D60A5D" w:rsidP="00623210">
            <w:pPr>
              <w:suppressAutoHyphens/>
            </w:pPr>
            <w:r w:rsidRPr="001A7517">
              <w:t>2.4</w:t>
            </w:r>
          </w:p>
        </w:tc>
        <w:tc>
          <w:tcPr>
            <w:tcW w:w="864" w:type="dxa"/>
          </w:tcPr>
          <w:p w14:paraId="09B1BD73" w14:textId="77777777" w:rsidR="00D60A5D" w:rsidRPr="001A7517" w:rsidRDefault="00D60A5D" w:rsidP="00623210">
            <w:pPr>
              <w:suppressAutoHyphens/>
            </w:pPr>
            <w:r w:rsidRPr="001A7517">
              <w:t>172</w:t>
            </w:r>
          </w:p>
        </w:tc>
        <w:tc>
          <w:tcPr>
            <w:tcW w:w="864" w:type="dxa"/>
          </w:tcPr>
          <w:p w14:paraId="02BD9988" w14:textId="77777777" w:rsidR="00D60A5D" w:rsidRPr="001A7517" w:rsidRDefault="00D60A5D" w:rsidP="00623210">
            <w:pPr>
              <w:suppressAutoHyphens/>
            </w:pPr>
            <w:r w:rsidRPr="001A7517">
              <w:t>205</w:t>
            </w:r>
          </w:p>
        </w:tc>
        <w:tc>
          <w:tcPr>
            <w:tcW w:w="864" w:type="dxa"/>
          </w:tcPr>
          <w:p w14:paraId="3EB7A516" w14:textId="77777777" w:rsidR="00D60A5D" w:rsidRPr="001A7517" w:rsidRDefault="00D60A5D" w:rsidP="00623210">
            <w:pPr>
              <w:suppressAutoHyphens/>
            </w:pPr>
            <w:r w:rsidRPr="001A7517">
              <w:t>247</w:t>
            </w:r>
          </w:p>
        </w:tc>
        <w:tc>
          <w:tcPr>
            <w:tcW w:w="864" w:type="dxa"/>
          </w:tcPr>
          <w:p w14:paraId="26451D0E" w14:textId="77777777" w:rsidR="00D60A5D" w:rsidRPr="001A7517" w:rsidRDefault="00D60A5D" w:rsidP="00623210">
            <w:pPr>
              <w:suppressAutoHyphens/>
            </w:pPr>
            <w:r w:rsidRPr="001A7517">
              <w:t>298</w:t>
            </w:r>
          </w:p>
        </w:tc>
        <w:tc>
          <w:tcPr>
            <w:tcW w:w="864" w:type="dxa"/>
          </w:tcPr>
          <w:p w14:paraId="44786752" w14:textId="77777777" w:rsidR="00D60A5D" w:rsidRPr="001A7517" w:rsidRDefault="00D60A5D" w:rsidP="00623210">
            <w:pPr>
              <w:suppressAutoHyphens/>
            </w:pPr>
            <w:r w:rsidRPr="001A7517">
              <w:t>361</w:t>
            </w:r>
          </w:p>
        </w:tc>
        <w:tc>
          <w:tcPr>
            <w:tcW w:w="864" w:type="dxa"/>
          </w:tcPr>
          <w:p w14:paraId="5A208855" w14:textId="77777777" w:rsidR="00D60A5D" w:rsidRPr="001A7517" w:rsidRDefault="00D60A5D" w:rsidP="00623210">
            <w:pPr>
              <w:suppressAutoHyphens/>
            </w:pPr>
            <w:r w:rsidRPr="001A7517">
              <w:t>435</w:t>
            </w:r>
          </w:p>
        </w:tc>
        <w:tc>
          <w:tcPr>
            <w:tcW w:w="864" w:type="dxa"/>
          </w:tcPr>
          <w:p w14:paraId="2D1B1306" w14:textId="77777777" w:rsidR="00D60A5D" w:rsidRPr="001A7517" w:rsidRDefault="00D60A5D" w:rsidP="00623210">
            <w:pPr>
              <w:suppressAutoHyphens/>
            </w:pPr>
            <w:r w:rsidRPr="001A7517">
              <w:t>522</w:t>
            </w:r>
          </w:p>
        </w:tc>
      </w:tr>
      <w:tr w:rsidR="00D60A5D" w:rsidRPr="001A7517" w14:paraId="6001A0BD" w14:textId="77777777" w:rsidTr="00623210">
        <w:tc>
          <w:tcPr>
            <w:tcW w:w="1728" w:type="dxa"/>
          </w:tcPr>
          <w:p w14:paraId="0DE67BB7" w14:textId="77777777" w:rsidR="00D60A5D" w:rsidRPr="001A7517" w:rsidRDefault="00D60A5D" w:rsidP="00623210">
            <w:pPr>
              <w:suppressAutoHyphens/>
            </w:pPr>
            <w:r w:rsidRPr="001A7517">
              <w:t>2.6</w:t>
            </w:r>
          </w:p>
        </w:tc>
        <w:tc>
          <w:tcPr>
            <w:tcW w:w="864" w:type="dxa"/>
          </w:tcPr>
          <w:p w14:paraId="5E24DC25" w14:textId="77777777" w:rsidR="00D60A5D" w:rsidRPr="001A7517" w:rsidRDefault="00D60A5D" w:rsidP="00623210">
            <w:pPr>
              <w:suppressAutoHyphens/>
            </w:pPr>
            <w:r w:rsidRPr="001A7517">
              <w:t>175</w:t>
            </w:r>
          </w:p>
        </w:tc>
        <w:tc>
          <w:tcPr>
            <w:tcW w:w="864" w:type="dxa"/>
          </w:tcPr>
          <w:p w14:paraId="471E5EEB" w14:textId="77777777" w:rsidR="00D60A5D" w:rsidRPr="001A7517" w:rsidRDefault="00D60A5D" w:rsidP="00623210">
            <w:pPr>
              <w:suppressAutoHyphens/>
            </w:pPr>
            <w:r w:rsidRPr="001A7517">
              <w:t>209</w:t>
            </w:r>
          </w:p>
        </w:tc>
        <w:tc>
          <w:tcPr>
            <w:tcW w:w="864" w:type="dxa"/>
          </w:tcPr>
          <w:p w14:paraId="732C314A" w14:textId="77777777" w:rsidR="00D60A5D" w:rsidRPr="001A7517" w:rsidRDefault="00D60A5D" w:rsidP="00623210">
            <w:pPr>
              <w:suppressAutoHyphens/>
            </w:pPr>
            <w:r w:rsidRPr="001A7517">
              <w:t>252</w:t>
            </w:r>
          </w:p>
        </w:tc>
        <w:tc>
          <w:tcPr>
            <w:tcW w:w="864" w:type="dxa"/>
          </w:tcPr>
          <w:p w14:paraId="016BCE83" w14:textId="77777777" w:rsidR="00D60A5D" w:rsidRPr="001A7517" w:rsidRDefault="00D60A5D" w:rsidP="00623210">
            <w:pPr>
              <w:suppressAutoHyphens/>
            </w:pPr>
            <w:r w:rsidRPr="001A7517">
              <w:t>304</w:t>
            </w:r>
          </w:p>
        </w:tc>
        <w:tc>
          <w:tcPr>
            <w:tcW w:w="864" w:type="dxa"/>
          </w:tcPr>
          <w:p w14:paraId="1FDE16FD" w14:textId="77777777" w:rsidR="00D60A5D" w:rsidRPr="001A7517" w:rsidRDefault="00D60A5D" w:rsidP="00623210">
            <w:pPr>
              <w:suppressAutoHyphens/>
            </w:pPr>
            <w:r w:rsidRPr="001A7517">
              <w:t>368</w:t>
            </w:r>
          </w:p>
        </w:tc>
        <w:tc>
          <w:tcPr>
            <w:tcW w:w="864" w:type="dxa"/>
          </w:tcPr>
          <w:p w14:paraId="26249F83" w14:textId="77777777" w:rsidR="00D60A5D" w:rsidRPr="001A7517" w:rsidRDefault="00D60A5D" w:rsidP="00623210">
            <w:pPr>
              <w:suppressAutoHyphens/>
            </w:pPr>
            <w:r w:rsidRPr="001A7517">
              <w:t>444</w:t>
            </w:r>
          </w:p>
        </w:tc>
        <w:tc>
          <w:tcPr>
            <w:tcW w:w="864" w:type="dxa"/>
          </w:tcPr>
          <w:p w14:paraId="66081B06" w14:textId="77777777" w:rsidR="00D60A5D" w:rsidRPr="001A7517" w:rsidRDefault="00D60A5D" w:rsidP="00623210">
            <w:pPr>
              <w:suppressAutoHyphens/>
            </w:pPr>
            <w:r w:rsidRPr="001A7517">
              <w:t>533</w:t>
            </w:r>
          </w:p>
        </w:tc>
      </w:tr>
      <w:tr w:rsidR="00D60A5D" w:rsidRPr="001A7517" w14:paraId="562315A7" w14:textId="77777777" w:rsidTr="00623210">
        <w:tc>
          <w:tcPr>
            <w:tcW w:w="1728" w:type="dxa"/>
          </w:tcPr>
          <w:p w14:paraId="398055DE" w14:textId="77777777" w:rsidR="00D60A5D" w:rsidRPr="001A7517" w:rsidRDefault="00D60A5D" w:rsidP="00623210">
            <w:pPr>
              <w:suppressAutoHyphens/>
            </w:pPr>
            <w:r w:rsidRPr="001A7517">
              <w:t>2.8</w:t>
            </w:r>
          </w:p>
        </w:tc>
        <w:tc>
          <w:tcPr>
            <w:tcW w:w="864" w:type="dxa"/>
          </w:tcPr>
          <w:p w14:paraId="0B6AEC02" w14:textId="77777777" w:rsidR="00D60A5D" w:rsidRPr="001A7517" w:rsidRDefault="00D60A5D" w:rsidP="00623210">
            <w:pPr>
              <w:suppressAutoHyphens/>
            </w:pPr>
            <w:r w:rsidRPr="001A7517">
              <w:t>178</w:t>
            </w:r>
          </w:p>
        </w:tc>
        <w:tc>
          <w:tcPr>
            <w:tcW w:w="864" w:type="dxa"/>
          </w:tcPr>
          <w:p w14:paraId="1FECD1B6" w14:textId="77777777" w:rsidR="00D60A5D" w:rsidRPr="001A7517" w:rsidRDefault="00D60A5D" w:rsidP="00623210">
            <w:pPr>
              <w:suppressAutoHyphens/>
            </w:pPr>
            <w:r w:rsidRPr="001A7517">
              <w:t>213</w:t>
            </w:r>
          </w:p>
        </w:tc>
        <w:tc>
          <w:tcPr>
            <w:tcW w:w="864" w:type="dxa"/>
          </w:tcPr>
          <w:p w14:paraId="5B35E372" w14:textId="77777777" w:rsidR="00D60A5D" w:rsidRPr="001A7517" w:rsidRDefault="00D60A5D" w:rsidP="00623210">
            <w:pPr>
              <w:suppressAutoHyphens/>
            </w:pPr>
            <w:r w:rsidRPr="001A7517">
              <w:t>257</w:t>
            </w:r>
          </w:p>
        </w:tc>
        <w:tc>
          <w:tcPr>
            <w:tcW w:w="864" w:type="dxa"/>
          </w:tcPr>
          <w:p w14:paraId="3D636C53" w14:textId="77777777" w:rsidR="00D60A5D" w:rsidRPr="001A7517" w:rsidRDefault="00D60A5D" w:rsidP="00623210">
            <w:pPr>
              <w:suppressAutoHyphens/>
            </w:pPr>
            <w:r w:rsidRPr="001A7517">
              <w:t>310</w:t>
            </w:r>
          </w:p>
        </w:tc>
        <w:tc>
          <w:tcPr>
            <w:tcW w:w="864" w:type="dxa"/>
          </w:tcPr>
          <w:p w14:paraId="2A3F72D0" w14:textId="77777777" w:rsidR="00D60A5D" w:rsidRPr="001A7517" w:rsidRDefault="00D60A5D" w:rsidP="00623210">
            <w:pPr>
              <w:suppressAutoHyphens/>
            </w:pPr>
            <w:r w:rsidRPr="001A7517">
              <w:t>375</w:t>
            </w:r>
          </w:p>
        </w:tc>
        <w:tc>
          <w:tcPr>
            <w:tcW w:w="864" w:type="dxa"/>
          </w:tcPr>
          <w:p w14:paraId="5F24540D" w14:textId="77777777" w:rsidR="00D60A5D" w:rsidRPr="001A7517" w:rsidRDefault="00D60A5D" w:rsidP="00623210">
            <w:pPr>
              <w:suppressAutoHyphens/>
            </w:pPr>
            <w:r w:rsidRPr="001A7517">
              <w:t>452</w:t>
            </w:r>
          </w:p>
        </w:tc>
        <w:tc>
          <w:tcPr>
            <w:tcW w:w="864" w:type="dxa"/>
          </w:tcPr>
          <w:p w14:paraId="0FB9634C" w14:textId="77777777" w:rsidR="00D60A5D" w:rsidRPr="001A7517" w:rsidRDefault="00D60A5D" w:rsidP="00623210">
            <w:pPr>
              <w:suppressAutoHyphens/>
            </w:pPr>
            <w:r w:rsidRPr="001A7517">
              <w:t>543</w:t>
            </w:r>
          </w:p>
        </w:tc>
      </w:tr>
      <w:tr w:rsidR="00D60A5D" w:rsidRPr="001A7517" w14:paraId="44C5D14E" w14:textId="77777777" w:rsidTr="00623210">
        <w:tc>
          <w:tcPr>
            <w:tcW w:w="1728" w:type="dxa"/>
          </w:tcPr>
          <w:p w14:paraId="1B02869B" w14:textId="77777777" w:rsidR="00D60A5D" w:rsidRPr="001A7517" w:rsidRDefault="00D60A5D" w:rsidP="00623210">
            <w:pPr>
              <w:suppressAutoHyphens/>
            </w:pPr>
            <w:r w:rsidRPr="001A7517">
              <w:t>3.0</w:t>
            </w:r>
          </w:p>
        </w:tc>
        <w:tc>
          <w:tcPr>
            <w:tcW w:w="864" w:type="dxa"/>
          </w:tcPr>
          <w:p w14:paraId="4AF2A11B" w14:textId="77777777" w:rsidR="00D60A5D" w:rsidRPr="001A7517" w:rsidRDefault="00D60A5D" w:rsidP="00623210">
            <w:pPr>
              <w:suppressAutoHyphens/>
            </w:pPr>
            <w:r w:rsidRPr="001A7517">
              <w:t>181</w:t>
            </w:r>
          </w:p>
        </w:tc>
        <w:tc>
          <w:tcPr>
            <w:tcW w:w="864" w:type="dxa"/>
          </w:tcPr>
          <w:p w14:paraId="591B5682" w14:textId="77777777" w:rsidR="00D60A5D" w:rsidRPr="001A7517" w:rsidRDefault="00D60A5D" w:rsidP="00623210">
            <w:pPr>
              <w:suppressAutoHyphens/>
            </w:pPr>
            <w:r w:rsidRPr="001A7517">
              <w:t>217</w:t>
            </w:r>
          </w:p>
        </w:tc>
        <w:tc>
          <w:tcPr>
            <w:tcW w:w="864" w:type="dxa"/>
          </w:tcPr>
          <w:p w14:paraId="08D2A0EE" w14:textId="77777777" w:rsidR="00D60A5D" w:rsidRPr="001A7517" w:rsidRDefault="00D60A5D" w:rsidP="00623210">
            <w:pPr>
              <w:suppressAutoHyphens/>
            </w:pPr>
            <w:r w:rsidRPr="001A7517">
              <w:t>261</w:t>
            </w:r>
          </w:p>
        </w:tc>
        <w:tc>
          <w:tcPr>
            <w:tcW w:w="864" w:type="dxa"/>
          </w:tcPr>
          <w:p w14:paraId="13748CED" w14:textId="77777777" w:rsidR="00D60A5D" w:rsidRPr="001A7517" w:rsidRDefault="00D60A5D" w:rsidP="00623210">
            <w:pPr>
              <w:suppressAutoHyphens/>
            </w:pPr>
            <w:r w:rsidRPr="001A7517">
              <w:t>316</w:t>
            </w:r>
          </w:p>
        </w:tc>
        <w:tc>
          <w:tcPr>
            <w:tcW w:w="864" w:type="dxa"/>
          </w:tcPr>
          <w:p w14:paraId="794F17FE" w14:textId="77777777" w:rsidR="00D60A5D" w:rsidRPr="001A7517" w:rsidRDefault="00D60A5D" w:rsidP="00623210">
            <w:pPr>
              <w:suppressAutoHyphens/>
            </w:pPr>
            <w:r w:rsidRPr="001A7517">
              <w:t>382</w:t>
            </w:r>
          </w:p>
        </w:tc>
        <w:tc>
          <w:tcPr>
            <w:tcW w:w="864" w:type="dxa"/>
          </w:tcPr>
          <w:p w14:paraId="6A585871" w14:textId="77777777" w:rsidR="00D60A5D" w:rsidRPr="001A7517" w:rsidRDefault="00D60A5D" w:rsidP="00623210">
            <w:pPr>
              <w:suppressAutoHyphens/>
            </w:pPr>
            <w:r w:rsidRPr="001A7517">
              <w:t>460</w:t>
            </w:r>
          </w:p>
        </w:tc>
        <w:tc>
          <w:tcPr>
            <w:tcW w:w="864" w:type="dxa"/>
          </w:tcPr>
          <w:p w14:paraId="5A45D9EA" w14:textId="77777777" w:rsidR="00D60A5D" w:rsidRPr="001A7517" w:rsidRDefault="00D60A5D" w:rsidP="00623210">
            <w:pPr>
              <w:suppressAutoHyphens/>
            </w:pPr>
            <w:r w:rsidRPr="001A7517">
              <w:t>552</w:t>
            </w:r>
          </w:p>
        </w:tc>
      </w:tr>
    </w:tbl>
    <w:p w14:paraId="73FB7B5E" w14:textId="77777777" w:rsidR="00D60A5D" w:rsidRPr="001A7517" w:rsidRDefault="00D60A5D" w:rsidP="00D60A5D">
      <w:pPr>
        <w:keepNext/>
        <w:keepLines/>
        <w:suppressAutoHyphens/>
        <w:spacing w:before="240"/>
        <w:ind w:left="720" w:right="720"/>
        <w:jc w:val="center"/>
      </w:pPr>
      <w:r w:rsidRPr="001A7517">
        <w:t>Table 1.2</w:t>
      </w:r>
    </w:p>
    <w:p w14:paraId="11B8C3C8" w14:textId="77777777" w:rsidR="00D60A5D" w:rsidRPr="001A7517" w:rsidRDefault="00D60A5D" w:rsidP="00D60A5D">
      <w:pPr>
        <w:keepNext/>
        <w:keepLines/>
        <w:suppressAutoHyphens/>
        <w:ind w:left="720" w:right="720"/>
        <w:jc w:val="center"/>
      </w:pPr>
      <w:r w:rsidRPr="001A7517">
        <w:t>CT-99.9 for 99.9 Percent Inactivation of Giardia Lamblia Cysts by Free Chlorine at 5.0 °C</w:t>
      </w:r>
    </w:p>
    <w:p w14:paraId="783B823B" w14:textId="77777777" w:rsidR="00D60A5D" w:rsidRPr="001A7517" w:rsidRDefault="00D60A5D" w:rsidP="00D60A5D">
      <w:pPr>
        <w:suppressAutoHyphens/>
        <w:spacing w:before="240" w:after="240"/>
      </w:pPr>
      <w:r w:rsidRPr="001A7517">
        <w:t>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2ABB4F93" w14:textId="77777777" w:rsidTr="00623210">
        <w:tc>
          <w:tcPr>
            <w:tcW w:w="1728" w:type="dxa"/>
            <w:vAlign w:val="bottom"/>
          </w:tcPr>
          <w:p w14:paraId="1E000294" w14:textId="77777777" w:rsidR="00D60A5D" w:rsidRPr="001A7517" w:rsidRDefault="00D60A5D" w:rsidP="00623210">
            <w:pPr>
              <w:keepNext/>
              <w:keepLines/>
              <w:suppressAutoHyphens/>
            </w:pPr>
            <w:r w:rsidRPr="001A7517">
              <w:t>Free Residual</w:t>
            </w:r>
          </w:p>
          <w:p w14:paraId="016FA609" w14:textId="77777777" w:rsidR="00D60A5D" w:rsidRPr="001A7517" w:rsidRDefault="00D60A5D" w:rsidP="00623210">
            <w:pPr>
              <w:keepNext/>
              <w:keepLines/>
              <w:suppressAutoHyphens/>
            </w:pPr>
            <w:r w:rsidRPr="001A7517">
              <w:t>(mg/ℓ)</w:t>
            </w:r>
          </w:p>
        </w:tc>
        <w:tc>
          <w:tcPr>
            <w:tcW w:w="864" w:type="dxa"/>
            <w:vAlign w:val="bottom"/>
          </w:tcPr>
          <w:p w14:paraId="33415893" w14:textId="77777777" w:rsidR="00D60A5D" w:rsidRPr="001A7517" w:rsidRDefault="00D60A5D" w:rsidP="00623210">
            <w:pPr>
              <w:keepNext/>
              <w:keepLines/>
              <w:suppressAutoHyphens/>
            </w:pPr>
            <w:r w:rsidRPr="001A7517">
              <w:t>PH</w:t>
            </w:r>
          </w:p>
          <w:p w14:paraId="6CEFC6CF" w14:textId="77777777" w:rsidR="00D60A5D" w:rsidRPr="001A7517" w:rsidRDefault="00D60A5D" w:rsidP="00623210">
            <w:pPr>
              <w:keepNext/>
              <w:keepLines/>
              <w:suppressAutoHyphens/>
            </w:pPr>
            <w:r w:rsidRPr="001A7517">
              <w:t>≤6.0</w:t>
            </w:r>
          </w:p>
        </w:tc>
        <w:tc>
          <w:tcPr>
            <w:tcW w:w="864" w:type="dxa"/>
            <w:vAlign w:val="bottom"/>
          </w:tcPr>
          <w:p w14:paraId="45AADC83" w14:textId="77777777" w:rsidR="00D60A5D" w:rsidRPr="001A7517" w:rsidRDefault="00D60A5D" w:rsidP="00623210">
            <w:pPr>
              <w:keepNext/>
              <w:keepLines/>
              <w:suppressAutoHyphens/>
            </w:pPr>
            <w:r w:rsidRPr="001A7517">
              <w:t>6.5</w:t>
            </w:r>
          </w:p>
        </w:tc>
        <w:tc>
          <w:tcPr>
            <w:tcW w:w="864" w:type="dxa"/>
            <w:vAlign w:val="bottom"/>
          </w:tcPr>
          <w:p w14:paraId="46DA5FA3" w14:textId="77777777" w:rsidR="00D60A5D" w:rsidRPr="001A7517" w:rsidRDefault="00D60A5D" w:rsidP="00623210">
            <w:pPr>
              <w:keepNext/>
              <w:keepLines/>
              <w:suppressAutoHyphens/>
            </w:pPr>
            <w:r w:rsidRPr="001A7517">
              <w:t>7.0</w:t>
            </w:r>
          </w:p>
        </w:tc>
        <w:tc>
          <w:tcPr>
            <w:tcW w:w="864" w:type="dxa"/>
            <w:vAlign w:val="bottom"/>
          </w:tcPr>
          <w:p w14:paraId="4293C615" w14:textId="77777777" w:rsidR="00D60A5D" w:rsidRPr="001A7517" w:rsidRDefault="00D60A5D" w:rsidP="00623210">
            <w:pPr>
              <w:keepNext/>
              <w:keepLines/>
              <w:suppressAutoHyphens/>
            </w:pPr>
            <w:r w:rsidRPr="001A7517">
              <w:t>7.5</w:t>
            </w:r>
          </w:p>
        </w:tc>
        <w:tc>
          <w:tcPr>
            <w:tcW w:w="864" w:type="dxa"/>
            <w:vAlign w:val="bottom"/>
          </w:tcPr>
          <w:p w14:paraId="3A22F39D" w14:textId="77777777" w:rsidR="00D60A5D" w:rsidRPr="001A7517" w:rsidRDefault="00D60A5D" w:rsidP="00623210">
            <w:pPr>
              <w:keepNext/>
              <w:keepLines/>
              <w:suppressAutoHyphens/>
            </w:pPr>
            <w:r w:rsidRPr="001A7517">
              <w:t>8.0</w:t>
            </w:r>
          </w:p>
        </w:tc>
        <w:tc>
          <w:tcPr>
            <w:tcW w:w="864" w:type="dxa"/>
            <w:vAlign w:val="bottom"/>
          </w:tcPr>
          <w:p w14:paraId="69E89BA9" w14:textId="77777777" w:rsidR="00D60A5D" w:rsidRPr="001A7517" w:rsidRDefault="00D60A5D" w:rsidP="00623210">
            <w:pPr>
              <w:keepNext/>
              <w:keepLines/>
              <w:suppressAutoHyphens/>
            </w:pPr>
            <w:r w:rsidRPr="001A7517">
              <w:t>8.5</w:t>
            </w:r>
          </w:p>
        </w:tc>
        <w:tc>
          <w:tcPr>
            <w:tcW w:w="864" w:type="dxa"/>
            <w:vAlign w:val="bottom"/>
          </w:tcPr>
          <w:p w14:paraId="1BA88321" w14:textId="77777777" w:rsidR="00D60A5D" w:rsidRPr="001A7517" w:rsidRDefault="00D60A5D" w:rsidP="00623210">
            <w:pPr>
              <w:keepNext/>
              <w:keepLines/>
              <w:suppressAutoHyphens/>
            </w:pPr>
            <w:r w:rsidRPr="001A7517">
              <w:t>≥9.0</w:t>
            </w:r>
          </w:p>
        </w:tc>
      </w:tr>
      <w:tr w:rsidR="00D60A5D" w:rsidRPr="001A7517" w14:paraId="60BF3002" w14:textId="77777777" w:rsidTr="00623210">
        <w:tc>
          <w:tcPr>
            <w:tcW w:w="1728" w:type="dxa"/>
          </w:tcPr>
          <w:p w14:paraId="6EE871EC" w14:textId="77777777" w:rsidR="00D60A5D" w:rsidRPr="001A7517" w:rsidRDefault="00D60A5D" w:rsidP="00623210">
            <w:pPr>
              <w:suppressAutoHyphens/>
            </w:pPr>
            <w:r w:rsidRPr="001A7517">
              <w:t>≤0.4</w:t>
            </w:r>
          </w:p>
        </w:tc>
        <w:tc>
          <w:tcPr>
            <w:tcW w:w="864" w:type="dxa"/>
          </w:tcPr>
          <w:p w14:paraId="66675B6D" w14:textId="77777777" w:rsidR="00D60A5D" w:rsidRPr="001A7517" w:rsidRDefault="00D60A5D" w:rsidP="00623210">
            <w:pPr>
              <w:suppressAutoHyphens/>
            </w:pPr>
            <w:r w:rsidRPr="001A7517">
              <w:t>97</w:t>
            </w:r>
          </w:p>
        </w:tc>
        <w:tc>
          <w:tcPr>
            <w:tcW w:w="864" w:type="dxa"/>
          </w:tcPr>
          <w:p w14:paraId="262B45A2" w14:textId="77777777" w:rsidR="00D60A5D" w:rsidRPr="001A7517" w:rsidRDefault="00D60A5D" w:rsidP="00623210">
            <w:pPr>
              <w:suppressAutoHyphens/>
            </w:pPr>
            <w:r w:rsidRPr="001A7517">
              <w:t>117</w:t>
            </w:r>
          </w:p>
        </w:tc>
        <w:tc>
          <w:tcPr>
            <w:tcW w:w="864" w:type="dxa"/>
          </w:tcPr>
          <w:p w14:paraId="651B13F1" w14:textId="77777777" w:rsidR="00D60A5D" w:rsidRPr="001A7517" w:rsidRDefault="00D60A5D" w:rsidP="00623210">
            <w:pPr>
              <w:suppressAutoHyphens/>
            </w:pPr>
            <w:r w:rsidRPr="001A7517">
              <w:t>139</w:t>
            </w:r>
          </w:p>
        </w:tc>
        <w:tc>
          <w:tcPr>
            <w:tcW w:w="864" w:type="dxa"/>
          </w:tcPr>
          <w:p w14:paraId="5AD8F850" w14:textId="77777777" w:rsidR="00D60A5D" w:rsidRPr="001A7517" w:rsidRDefault="00D60A5D" w:rsidP="00623210">
            <w:pPr>
              <w:suppressAutoHyphens/>
            </w:pPr>
            <w:r w:rsidRPr="001A7517">
              <w:t>166</w:t>
            </w:r>
          </w:p>
        </w:tc>
        <w:tc>
          <w:tcPr>
            <w:tcW w:w="864" w:type="dxa"/>
          </w:tcPr>
          <w:p w14:paraId="50BB0741" w14:textId="77777777" w:rsidR="00D60A5D" w:rsidRPr="001A7517" w:rsidRDefault="00D60A5D" w:rsidP="00623210">
            <w:pPr>
              <w:suppressAutoHyphens/>
            </w:pPr>
            <w:r w:rsidRPr="001A7517">
              <w:t>198</w:t>
            </w:r>
          </w:p>
        </w:tc>
        <w:tc>
          <w:tcPr>
            <w:tcW w:w="864" w:type="dxa"/>
          </w:tcPr>
          <w:p w14:paraId="32121B8F" w14:textId="77777777" w:rsidR="00D60A5D" w:rsidRPr="001A7517" w:rsidRDefault="00D60A5D" w:rsidP="00623210">
            <w:pPr>
              <w:suppressAutoHyphens/>
            </w:pPr>
            <w:r w:rsidRPr="001A7517">
              <w:t>236</w:t>
            </w:r>
          </w:p>
        </w:tc>
        <w:tc>
          <w:tcPr>
            <w:tcW w:w="864" w:type="dxa"/>
          </w:tcPr>
          <w:p w14:paraId="7BB819B5" w14:textId="77777777" w:rsidR="00D60A5D" w:rsidRPr="001A7517" w:rsidRDefault="00D60A5D" w:rsidP="00623210">
            <w:pPr>
              <w:suppressAutoHyphens/>
            </w:pPr>
            <w:r w:rsidRPr="001A7517">
              <w:t>279</w:t>
            </w:r>
          </w:p>
        </w:tc>
      </w:tr>
      <w:tr w:rsidR="00D60A5D" w:rsidRPr="001A7517" w14:paraId="57E5D6B9" w14:textId="77777777" w:rsidTr="00623210">
        <w:tc>
          <w:tcPr>
            <w:tcW w:w="1728" w:type="dxa"/>
          </w:tcPr>
          <w:p w14:paraId="21A1B54A" w14:textId="77777777" w:rsidR="00D60A5D" w:rsidRPr="001A7517" w:rsidRDefault="00D60A5D" w:rsidP="00623210">
            <w:pPr>
              <w:suppressAutoHyphens/>
            </w:pPr>
            <w:r w:rsidRPr="001A7517">
              <w:t>0.6</w:t>
            </w:r>
          </w:p>
        </w:tc>
        <w:tc>
          <w:tcPr>
            <w:tcW w:w="864" w:type="dxa"/>
          </w:tcPr>
          <w:p w14:paraId="53B49553" w14:textId="77777777" w:rsidR="00D60A5D" w:rsidRPr="001A7517" w:rsidRDefault="00D60A5D" w:rsidP="00623210">
            <w:pPr>
              <w:suppressAutoHyphens/>
            </w:pPr>
            <w:r w:rsidRPr="001A7517">
              <w:t>100</w:t>
            </w:r>
          </w:p>
        </w:tc>
        <w:tc>
          <w:tcPr>
            <w:tcW w:w="864" w:type="dxa"/>
          </w:tcPr>
          <w:p w14:paraId="51D168E5" w14:textId="77777777" w:rsidR="00D60A5D" w:rsidRPr="001A7517" w:rsidRDefault="00D60A5D" w:rsidP="00623210">
            <w:pPr>
              <w:suppressAutoHyphens/>
            </w:pPr>
            <w:r w:rsidRPr="001A7517">
              <w:t>120</w:t>
            </w:r>
          </w:p>
        </w:tc>
        <w:tc>
          <w:tcPr>
            <w:tcW w:w="864" w:type="dxa"/>
          </w:tcPr>
          <w:p w14:paraId="69B1E790" w14:textId="77777777" w:rsidR="00D60A5D" w:rsidRPr="001A7517" w:rsidRDefault="00D60A5D" w:rsidP="00623210">
            <w:pPr>
              <w:suppressAutoHyphens/>
            </w:pPr>
            <w:r w:rsidRPr="001A7517">
              <w:t>143</w:t>
            </w:r>
          </w:p>
        </w:tc>
        <w:tc>
          <w:tcPr>
            <w:tcW w:w="864" w:type="dxa"/>
          </w:tcPr>
          <w:p w14:paraId="690D7F5D" w14:textId="77777777" w:rsidR="00D60A5D" w:rsidRPr="001A7517" w:rsidRDefault="00D60A5D" w:rsidP="00623210">
            <w:pPr>
              <w:suppressAutoHyphens/>
            </w:pPr>
            <w:r w:rsidRPr="001A7517">
              <w:t>171</w:t>
            </w:r>
          </w:p>
        </w:tc>
        <w:tc>
          <w:tcPr>
            <w:tcW w:w="864" w:type="dxa"/>
          </w:tcPr>
          <w:p w14:paraId="45DBFCE2" w14:textId="77777777" w:rsidR="00D60A5D" w:rsidRPr="001A7517" w:rsidRDefault="00D60A5D" w:rsidP="00623210">
            <w:pPr>
              <w:suppressAutoHyphens/>
            </w:pPr>
            <w:r w:rsidRPr="001A7517">
              <w:t>204</w:t>
            </w:r>
          </w:p>
        </w:tc>
        <w:tc>
          <w:tcPr>
            <w:tcW w:w="864" w:type="dxa"/>
          </w:tcPr>
          <w:p w14:paraId="23814BBC" w14:textId="77777777" w:rsidR="00D60A5D" w:rsidRPr="001A7517" w:rsidRDefault="00D60A5D" w:rsidP="00623210">
            <w:pPr>
              <w:suppressAutoHyphens/>
            </w:pPr>
            <w:r w:rsidRPr="001A7517">
              <w:t>244</w:t>
            </w:r>
          </w:p>
        </w:tc>
        <w:tc>
          <w:tcPr>
            <w:tcW w:w="864" w:type="dxa"/>
          </w:tcPr>
          <w:p w14:paraId="324338C6" w14:textId="77777777" w:rsidR="00D60A5D" w:rsidRPr="001A7517" w:rsidRDefault="00D60A5D" w:rsidP="00623210">
            <w:pPr>
              <w:suppressAutoHyphens/>
            </w:pPr>
            <w:r w:rsidRPr="001A7517">
              <w:t>291</w:t>
            </w:r>
          </w:p>
        </w:tc>
      </w:tr>
      <w:tr w:rsidR="00D60A5D" w:rsidRPr="001A7517" w14:paraId="679C54FB" w14:textId="77777777" w:rsidTr="00623210">
        <w:tc>
          <w:tcPr>
            <w:tcW w:w="1728" w:type="dxa"/>
          </w:tcPr>
          <w:p w14:paraId="276B6C66" w14:textId="77777777" w:rsidR="00D60A5D" w:rsidRPr="001A7517" w:rsidRDefault="00D60A5D" w:rsidP="00623210">
            <w:pPr>
              <w:suppressAutoHyphens/>
            </w:pPr>
            <w:r w:rsidRPr="001A7517">
              <w:t>0.8</w:t>
            </w:r>
          </w:p>
        </w:tc>
        <w:tc>
          <w:tcPr>
            <w:tcW w:w="864" w:type="dxa"/>
          </w:tcPr>
          <w:p w14:paraId="5F2A3BD3" w14:textId="77777777" w:rsidR="00D60A5D" w:rsidRPr="001A7517" w:rsidRDefault="00D60A5D" w:rsidP="00623210">
            <w:pPr>
              <w:suppressAutoHyphens/>
            </w:pPr>
            <w:r w:rsidRPr="001A7517">
              <w:t>103</w:t>
            </w:r>
          </w:p>
        </w:tc>
        <w:tc>
          <w:tcPr>
            <w:tcW w:w="864" w:type="dxa"/>
          </w:tcPr>
          <w:p w14:paraId="72460563" w14:textId="77777777" w:rsidR="00D60A5D" w:rsidRPr="001A7517" w:rsidRDefault="00D60A5D" w:rsidP="00623210">
            <w:pPr>
              <w:suppressAutoHyphens/>
            </w:pPr>
            <w:r w:rsidRPr="001A7517">
              <w:t>122</w:t>
            </w:r>
          </w:p>
        </w:tc>
        <w:tc>
          <w:tcPr>
            <w:tcW w:w="864" w:type="dxa"/>
          </w:tcPr>
          <w:p w14:paraId="03498AD9" w14:textId="77777777" w:rsidR="00D60A5D" w:rsidRPr="001A7517" w:rsidRDefault="00D60A5D" w:rsidP="00623210">
            <w:pPr>
              <w:suppressAutoHyphens/>
            </w:pPr>
            <w:r w:rsidRPr="001A7517">
              <w:t>146</w:t>
            </w:r>
          </w:p>
        </w:tc>
        <w:tc>
          <w:tcPr>
            <w:tcW w:w="864" w:type="dxa"/>
          </w:tcPr>
          <w:p w14:paraId="37605F41" w14:textId="77777777" w:rsidR="00D60A5D" w:rsidRPr="001A7517" w:rsidRDefault="00D60A5D" w:rsidP="00623210">
            <w:pPr>
              <w:suppressAutoHyphens/>
            </w:pPr>
            <w:r w:rsidRPr="001A7517">
              <w:t>175</w:t>
            </w:r>
          </w:p>
        </w:tc>
        <w:tc>
          <w:tcPr>
            <w:tcW w:w="864" w:type="dxa"/>
          </w:tcPr>
          <w:p w14:paraId="073311D7" w14:textId="77777777" w:rsidR="00D60A5D" w:rsidRPr="001A7517" w:rsidRDefault="00D60A5D" w:rsidP="00623210">
            <w:pPr>
              <w:suppressAutoHyphens/>
            </w:pPr>
            <w:r w:rsidRPr="001A7517">
              <w:t>210</w:t>
            </w:r>
          </w:p>
        </w:tc>
        <w:tc>
          <w:tcPr>
            <w:tcW w:w="864" w:type="dxa"/>
          </w:tcPr>
          <w:p w14:paraId="4D402BB0" w14:textId="77777777" w:rsidR="00D60A5D" w:rsidRPr="001A7517" w:rsidRDefault="00D60A5D" w:rsidP="00623210">
            <w:pPr>
              <w:suppressAutoHyphens/>
            </w:pPr>
            <w:r w:rsidRPr="001A7517">
              <w:t>252</w:t>
            </w:r>
          </w:p>
        </w:tc>
        <w:tc>
          <w:tcPr>
            <w:tcW w:w="864" w:type="dxa"/>
          </w:tcPr>
          <w:p w14:paraId="31D8DCD3" w14:textId="77777777" w:rsidR="00D60A5D" w:rsidRPr="001A7517" w:rsidRDefault="00D60A5D" w:rsidP="00623210">
            <w:pPr>
              <w:suppressAutoHyphens/>
            </w:pPr>
            <w:r w:rsidRPr="001A7517">
              <w:t>301</w:t>
            </w:r>
          </w:p>
        </w:tc>
      </w:tr>
      <w:tr w:rsidR="00D60A5D" w:rsidRPr="001A7517" w14:paraId="1EE5A302" w14:textId="77777777" w:rsidTr="00623210">
        <w:tc>
          <w:tcPr>
            <w:tcW w:w="1728" w:type="dxa"/>
          </w:tcPr>
          <w:p w14:paraId="73750237" w14:textId="77777777" w:rsidR="00D60A5D" w:rsidRPr="001A7517" w:rsidRDefault="00D60A5D" w:rsidP="00623210">
            <w:pPr>
              <w:suppressAutoHyphens/>
            </w:pPr>
            <w:r w:rsidRPr="001A7517">
              <w:t>1.0</w:t>
            </w:r>
          </w:p>
        </w:tc>
        <w:tc>
          <w:tcPr>
            <w:tcW w:w="864" w:type="dxa"/>
          </w:tcPr>
          <w:p w14:paraId="6AE2DA6F" w14:textId="77777777" w:rsidR="00D60A5D" w:rsidRPr="001A7517" w:rsidRDefault="00D60A5D" w:rsidP="00623210">
            <w:pPr>
              <w:suppressAutoHyphens/>
            </w:pPr>
            <w:r w:rsidRPr="001A7517">
              <w:t>105</w:t>
            </w:r>
          </w:p>
        </w:tc>
        <w:tc>
          <w:tcPr>
            <w:tcW w:w="864" w:type="dxa"/>
          </w:tcPr>
          <w:p w14:paraId="1BE2C83E" w14:textId="77777777" w:rsidR="00D60A5D" w:rsidRPr="001A7517" w:rsidRDefault="00D60A5D" w:rsidP="00623210">
            <w:pPr>
              <w:suppressAutoHyphens/>
            </w:pPr>
            <w:r w:rsidRPr="001A7517">
              <w:t>125</w:t>
            </w:r>
          </w:p>
        </w:tc>
        <w:tc>
          <w:tcPr>
            <w:tcW w:w="864" w:type="dxa"/>
          </w:tcPr>
          <w:p w14:paraId="6628A5FF" w14:textId="77777777" w:rsidR="00D60A5D" w:rsidRPr="001A7517" w:rsidRDefault="00D60A5D" w:rsidP="00623210">
            <w:pPr>
              <w:suppressAutoHyphens/>
            </w:pPr>
            <w:r w:rsidRPr="001A7517">
              <w:t>149</w:t>
            </w:r>
          </w:p>
        </w:tc>
        <w:tc>
          <w:tcPr>
            <w:tcW w:w="864" w:type="dxa"/>
          </w:tcPr>
          <w:p w14:paraId="40751FAC" w14:textId="77777777" w:rsidR="00D60A5D" w:rsidRPr="001A7517" w:rsidRDefault="00D60A5D" w:rsidP="00623210">
            <w:pPr>
              <w:suppressAutoHyphens/>
            </w:pPr>
            <w:r w:rsidRPr="001A7517">
              <w:t>179</w:t>
            </w:r>
          </w:p>
        </w:tc>
        <w:tc>
          <w:tcPr>
            <w:tcW w:w="864" w:type="dxa"/>
          </w:tcPr>
          <w:p w14:paraId="684CE2DF" w14:textId="77777777" w:rsidR="00D60A5D" w:rsidRPr="001A7517" w:rsidRDefault="00D60A5D" w:rsidP="00623210">
            <w:pPr>
              <w:suppressAutoHyphens/>
            </w:pPr>
            <w:r w:rsidRPr="001A7517">
              <w:t>216</w:t>
            </w:r>
          </w:p>
        </w:tc>
        <w:tc>
          <w:tcPr>
            <w:tcW w:w="864" w:type="dxa"/>
          </w:tcPr>
          <w:p w14:paraId="68A87999" w14:textId="77777777" w:rsidR="00D60A5D" w:rsidRPr="001A7517" w:rsidRDefault="00D60A5D" w:rsidP="00623210">
            <w:pPr>
              <w:suppressAutoHyphens/>
            </w:pPr>
            <w:r w:rsidRPr="001A7517">
              <w:t>260</w:t>
            </w:r>
          </w:p>
        </w:tc>
        <w:tc>
          <w:tcPr>
            <w:tcW w:w="864" w:type="dxa"/>
          </w:tcPr>
          <w:p w14:paraId="224DD4B3" w14:textId="77777777" w:rsidR="00D60A5D" w:rsidRPr="001A7517" w:rsidRDefault="00D60A5D" w:rsidP="00623210">
            <w:pPr>
              <w:suppressAutoHyphens/>
            </w:pPr>
            <w:r w:rsidRPr="001A7517">
              <w:t>312</w:t>
            </w:r>
          </w:p>
        </w:tc>
      </w:tr>
      <w:tr w:rsidR="00D60A5D" w:rsidRPr="001A7517" w14:paraId="697CBD20" w14:textId="77777777" w:rsidTr="00623210">
        <w:tc>
          <w:tcPr>
            <w:tcW w:w="1728" w:type="dxa"/>
          </w:tcPr>
          <w:p w14:paraId="6AAB3E3E" w14:textId="77777777" w:rsidR="00D60A5D" w:rsidRPr="001A7517" w:rsidRDefault="00D60A5D" w:rsidP="00623210">
            <w:pPr>
              <w:suppressAutoHyphens/>
            </w:pPr>
            <w:r w:rsidRPr="001A7517">
              <w:t>1.2</w:t>
            </w:r>
          </w:p>
        </w:tc>
        <w:tc>
          <w:tcPr>
            <w:tcW w:w="864" w:type="dxa"/>
          </w:tcPr>
          <w:p w14:paraId="467FCB68" w14:textId="77777777" w:rsidR="00D60A5D" w:rsidRPr="001A7517" w:rsidRDefault="00D60A5D" w:rsidP="00623210">
            <w:pPr>
              <w:suppressAutoHyphens/>
            </w:pPr>
            <w:r w:rsidRPr="001A7517">
              <w:t>107</w:t>
            </w:r>
          </w:p>
        </w:tc>
        <w:tc>
          <w:tcPr>
            <w:tcW w:w="864" w:type="dxa"/>
          </w:tcPr>
          <w:p w14:paraId="2FAB2A6D" w14:textId="77777777" w:rsidR="00D60A5D" w:rsidRPr="001A7517" w:rsidRDefault="00D60A5D" w:rsidP="00623210">
            <w:pPr>
              <w:suppressAutoHyphens/>
            </w:pPr>
            <w:r w:rsidRPr="001A7517">
              <w:t>127</w:t>
            </w:r>
          </w:p>
        </w:tc>
        <w:tc>
          <w:tcPr>
            <w:tcW w:w="864" w:type="dxa"/>
          </w:tcPr>
          <w:p w14:paraId="548762AD" w14:textId="77777777" w:rsidR="00D60A5D" w:rsidRPr="001A7517" w:rsidRDefault="00D60A5D" w:rsidP="00623210">
            <w:pPr>
              <w:suppressAutoHyphens/>
            </w:pPr>
            <w:r w:rsidRPr="001A7517">
              <w:t>152</w:t>
            </w:r>
          </w:p>
        </w:tc>
        <w:tc>
          <w:tcPr>
            <w:tcW w:w="864" w:type="dxa"/>
          </w:tcPr>
          <w:p w14:paraId="68E160D6" w14:textId="77777777" w:rsidR="00D60A5D" w:rsidRPr="001A7517" w:rsidRDefault="00D60A5D" w:rsidP="00623210">
            <w:pPr>
              <w:suppressAutoHyphens/>
            </w:pPr>
            <w:r w:rsidRPr="001A7517">
              <w:t>183</w:t>
            </w:r>
          </w:p>
        </w:tc>
        <w:tc>
          <w:tcPr>
            <w:tcW w:w="864" w:type="dxa"/>
          </w:tcPr>
          <w:p w14:paraId="294CD15A" w14:textId="77777777" w:rsidR="00D60A5D" w:rsidRPr="001A7517" w:rsidRDefault="00D60A5D" w:rsidP="00623210">
            <w:pPr>
              <w:suppressAutoHyphens/>
            </w:pPr>
            <w:r w:rsidRPr="001A7517">
              <w:t>221</w:t>
            </w:r>
          </w:p>
        </w:tc>
        <w:tc>
          <w:tcPr>
            <w:tcW w:w="864" w:type="dxa"/>
          </w:tcPr>
          <w:p w14:paraId="03083AD9" w14:textId="77777777" w:rsidR="00D60A5D" w:rsidRPr="001A7517" w:rsidRDefault="00D60A5D" w:rsidP="00623210">
            <w:pPr>
              <w:suppressAutoHyphens/>
            </w:pPr>
            <w:r w:rsidRPr="001A7517">
              <w:t>267</w:t>
            </w:r>
          </w:p>
        </w:tc>
        <w:tc>
          <w:tcPr>
            <w:tcW w:w="864" w:type="dxa"/>
          </w:tcPr>
          <w:p w14:paraId="6DC63F71" w14:textId="77777777" w:rsidR="00D60A5D" w:rsidRPr="001A7517" w:rsidRDefault="00D60A5D" w:rsidP="00623210">
            <w:pPr>
              <w:suppressAutoHyphens/>
            </w:pPr>
            <w:r w:rsidRPr="001A7517">
              <w:t>320</w:t>
            </w:r>
          </w:p>
        </w:tc>
      </w:tr>
      <w:tr w:rsidR="00D60A5D" w:rsidRPr="001A7517" w14:paraId="754AAF7F" w14:textId="77777777" w:rsidTr="00623210">
        <w:tc>
          <w:tcPr>
            <w:tcW w:w="1728" w:type="dxa"/>
          </w:tcPr>
          <w:p w14:paraId="717054C1" w14:textId="77777777" w:rsidR="00D60A5D" w:rsidRPr="001A7517" w:rsidRDefault="00D60A5D" w:rsidP="00623210">
            <w:pPr>
              <w:suppressAutoHyphens/>
            </w:pPr>
            <w:r w:rsidRPr="001A7517">
              <w:t>1.4</w:t>
            </w:r>
          </w:p>
        </w:tc>
        <w:tc>
          <w:tcPr>
            <w:tcW w:w="864" w:type="dxa"/>
          </w:tcPr>
          <w:p w14:paraId="7D707209" w14:textId="77777777" w:rsidR="00D60A5D" w:rsidRPr="001A7517" w:rsidRDefault="00D60A5D" w:rsidP="00623210">
            <w:pPr>
              <w:suppressAutoHyphens/>
            </w:pPr>
            <w:r w:rsidRPr="001A7517">
              <w:t>109</w:t>
            </w:r>
          </w:p>
        </w:tc>
        <w:tc>
          <w:tcPr>
            <w:tcW w:w="864" w:type="dxa"/>
          </w:tcPr>
          <w:p w14:paraId="5DD3C246" w14:textId="77777777" w:rsidR="00D60A5D" w:rsidRPr="001A7517" w:rsidRDefault="00D60A5D" w:rsidP="00623210">
            <w:pPr>
              <w:suppressAutoHyphens/>
            </w:pPr>
            <w:r w:rsidRPr="001A7517">
              <w:t>130</w:t>
            </w:r>
          </w:p>
        </w:tc>
        <w:tc>
          <w:tcPr>
            <w:tcW w:w="864" w:type="dxa"/>
          </w:tcPr>
          <w:p w14:paraId="1FD0CCC6" w14:textId="77777777" w:rsidR="00D60A5D" w:rsidRPr="001A7517" w:rsidRDefault="00D60A5D" w:rsidP="00623210">
            <w:pPr>
              <w:suppressAutoHyphens/>
            </w:pPr>
            <w:r w:rsidRPr="001A7517">
              <w:t>155</w:t>
            </w:r>
          </w:p>
        </w:tc>
        <w:tc>
          <w:tcPr>
            <w:tcW w:w="864" w:type="dxa"/>
          </w:tcPr>
          <w:p w14:paraId="284C9D80" w14:textId="77777777" w:rsidR="00D60A5D" w:rsidRPr="001A7517" w:rsidRDefault="00D60A5D" w:rsidP="00623210">
            <w:pPr>
              <w:suppressAutoHyphens/>
            </w:pPr>
            <w:r w:rsidRPr="001A7517">
              <w:t>187</w:t>
            </w:r>
          </w:p>
        </w:tc>
        <w:tc>
          <w:tcPr>
            <w:tcW w:w="864" w:type="dxa"/>
          </w:tcPr>
          <w:p w14:paraId="1E42FB9D" w14:textId="77777777" w:rsidR="00D60A5D" w:rsidRPr="001A7517" w:rsidRDefault="00D60A5D" w:rsidP="00623210">
            <w:pPr>
              <w:suppressAutoHyphens/>
            </w:pPr>
            <w:r w:rsidRPr="001A7517">
              <w:t>227</w:t>
            </w:r>
          </w:p>
        </w:tc>
        <w:tc>
          <w:tcPr>
            <w:tcW w:w="864" w:type="dxa"/>
          </w:tcPr>
          <w:p w14:paraId="0ABB6DC9" w14:textId="77777777" w:rsidR="00D60A5D" w:rsidRPr="001A7517" w:rsidRDefault="00D60A5D" w:rsidP="00623210">
            <w:pPr>
              <w:suppressAutoHyphens/>
            </w:pPr>
            <w:r w:rsidRPr="001A7517">
              <w:t>274</w:t>
            </w:r>
          </w:p>
        </w:tc>
        <w:tc>
          <w:tcPr>
            <w:tcW w:w="864" w:type="dxa"/>
          </w:tcPr>
          <w:p w14:paraId="536F70E4" w14:textId="77777777" w:rsidR="00D60A5D" w:rsidRPr="001A7517" w:rsidRDefault="00D60A5D" w:rsidP="00623210">
            <w:pPr>
              <w:suppressAutoHyphens/>
            </w:pPr>
            <w:r w:rsidRPr="001A7517">
              <w:t>329</w:t>
            </w:r>
          </w:p>
        </w:tc>
      </w:tr>
      <w:tr w:rsidR="00D60A5D" w:rsidRPr="001A7517" w14:paraId="4648A44B" w14:textId="77777777" w:rsidTr="00623210">
        <w:tc>
          <w:tcPr>
            <w:tcW w:w="1728" w:type="dxa"/>
          </w:tcPr>
          <w:p w14:paraId="4D3B7EB7" w14:textId="77777777" w:rsidR="00D60A5D" w:rsidRPr="001A7517" w:rsidRDefault="00D60A5D" w:rsidP="00623210">
            <w:pPr>
              <w:suppressAutoHyphens/>
            </w:pPr>
            <w:r w:rsidRPr="001A7517">
              <w:t>1.6</w:t>
            </w:r>
          </w:p>
        </w:tc>
        <w:tc>
          <w:tcPr>
            <w:tcW w:w="864" w:type="dxa"/>
          </w:tcPr>
          <w:p w14:paraId="7E791BC0" w14:textId="77777777" w:rsidR="00D60A5D" w:rsidRPr="001A7517" w:rsidRDefault="00D60A5D" w:rsidP="00623210">
            <w:pPr>
              <w:suppressAutoHyphens/>
            </w:pPr>
            <w:r w:rsidRPr="001A7517">
              <w:t>111</w:t>
            </w:r>
          </w:p>
        </w:tc>
        <w:tc>
          <w:tcPr>
            <w:tcW w:w="864" w:type="dxa"/>
          </w:tcPr>
          <w:p w14:paraId="072A9CD3" w14:textId="77777777" w:rsidR="00D60A5D" w:rsidRPr="001A7517" w:rsidRDefault="00D60A5D" w:rsidP="00623210">
            <w:pPr>
              <w:suppressAutoHyphens/>
            </w:pPr>
            <w:r w:rsidRPr="001A7517">
              <w:t>132</w:t>
            </w:r>
          </w:p>
        </w:tc>
        <w:tc>
          <w:tcPr>
            <w:tcW w:w="864" w:type="dxa"/>
          </w:tcPr>
          <w:p w14:paraId="08CEF8BD" w14:textId="77777777" w:rsidR="00D60A5D" w:rsidRPr="001A7517" w:rsidRDefault="00D60A5D" w:rsidP="00623210">
            <w:pPr>
              <w:suppressAutoHyphens/>
            </w:pPr>
            <w:r w:rsidRPr="001A7517">
              <w:t>158</w:t>
            </w:r>
          </w:p>
        </w:tc>
        <w:tc>
          <w:tcPr>
            <w:tcW w:w="864" w:type="dxa"/>
          </w:tcPr>
          <w:p w14:paraId="072912FA" w14:textId="77777777" w:rsidR="00D60A5D" w:rsidRPr="001A7517" w:rsidRDefault="00D60A5D" w:rsidP="00623210">
            <w:pPr>
              <w:suppressAutoHyphens/>
            </w:pPr>
            <w:r w:rsidRPr="001A7517">
              <w:t>192</w:t>
            </w:r>
          </w:p>
        </w:tc>
        <w:tc>
          <w:tcPr>
            <w:tcW w:w="864" w:type="dxa"/>
          </w:tcPr>
          <w:p w14:paraId="4DC9A9A8" w14:textId="77777777" w:rsidR="00D60A5D" w:rsidRPr="001A7517" w:rsidRDefault="00D60A5D" w:rsidP="00623210">
            <w:pPr>
              <w:suppressAutoHyphens/>
            </w:pPr>
            <w:r w:rsidRPr="001A7517">
              <w:t>232</w:t>
            </w:r>
          </w:p>
        </w:tc>
        <w:tc>
          <w:tcPr>
            <w:tcW w:w="864" w:type="dxa"/>
          </w:tcPr>
          <w:p w14:paraId="4C7E6BA5" w14:textId="77777777" w:rsidR="00D60A5D" w:rsidRPr="001A7517" w:rsidRDefault="00D60A5D" w:rsidP="00623210">
            <w:pPr>
              <w:suppressAutoHyphens/>
            </w:pPr>
            <w:r w:rsidRPr="001A7517">
              <w:t>281</w:t>
            </w:r>
          </w:p>
        </w:tc>
        <w:tc>
          <w:tcPr>
            <w:tcW w:w="864" w:type="dxa"/>
          </w:tcPr>
          <w:p w14:paraId="28F47C13" w14:textId="77777777" w:rsidR="00D60A5D" w:rsidRPr="001A7517" w:rsidRDefault="00D60A5D" w:rsidP="00623210">
            <w:pPr>
              <w:suppressAutoHyphens/>
            </w:pPr>
            <w:r w:rsidRPr="001A7517">
              <w:t>337</w:t>
            </w:r>
          </w:p>
        </w:tc>
      </w:tr>
      <w:tr w:rsidR="00D60A5D" w:rsidRPr="001A7517" w14:paraId="4D7C3380" w14:textId="77777777" w:rsidTr="00623210">
        <w:tc>
          <w:tcPr>
            <w:tcW w:w="1728" w:type="dxa"/>
          </w:tcPr>
          <w:p w14:paraId="6BD39E58" w14:textId="77777777" w:rsidR="00D60A5D" w:rsidRPr="001A7517" w:rsidRDefault="00D60A5D" w:rsidP="00623210">
            <w:pPr>
              <w:suppressAutoHyphens/>
            </w:pPr>
            <w:r w:rsidRPr="001A7517">
              <w:t>1.8</w:t>
            </w:r>
          </w:p>
        </w:tc>
        <w:tc>
          <w:tcPr>
            <w:tcW w:w="864" w:type="dxa"/>
          </w:tcPr>
          <w:p w14:paraId="306E92A7" w14:textId="77777777" w:rsidR="00D60A5D" w:rsidRPr="001A7517" w:rsidRDefault="00D60A5D" w:rsidP="00623210">
            <w:pPr>
              <w:suppressAutoHyphens/>
            </w:pPr>
            <w:r w:rsidRPr="001A7517">
              <w:t>114</w:t>
            </w:r>
          </w:p>
        </w:tc>
        <w:tc>
          <w:tcPr>
            <w:tcW w:w="864" w:type="dxa"/>
          </w:tcPr>
          <w:p w14:paraId="1CFCCDBD" w14:textId="77777777" w:rsidR="00D60A5D" w:rsidRPr="001A7517" w:rsidRDefault="00D60A5D" w:rsidP="00623210">
            <w:pPr>
              <w:suppressAutoHyphens/>
            </w:pPr>
            <w:r w:rsidRPr="001A7517">
              <w:t>135</w:t>
            </w:r>
          </w:p>
        </w:tc>
        <w:tc>
          <w:tcPr>
            <w:tcW w:w="864" w:type="dxa"/>
          </w:tcPr>
          <w:p w14:paraId="296D8090" w14:textId="77777777" w:rsidR="00D60A5D" w:rsidRPr="001A7517" w:rsidRDefault="00D60A5D" w:rsidP="00623210">
            <w:pPr>
              <w:suppressAutoHyphens/>
            </w:pPr>
            <w:r w:rsidRPr="001A7517">
              <w:t>162</w:t>
            </w:r>
          </w:p>
        </w:tc>
        <w:tc>
          <w:tcPr>
            <w:tcW w:w="864" w:type="dxa"/>
          </w:tcPr>
          <w:p w14:paraId="68E9D0ED" w14:textId="77777777" w:rsidR="00D60A5D" w:rsidRPr="001A7517" w:rsidRDefault="00D60A5D" w:rsidP="00623210">
            <w:pPr>
              <w:suppressAutoHyphens/>
            </w:pPr>
            <w:r w:rsidRPr="001A7517">
              <w:t>196</w:t>
            </w:r>
          </w:p>
        </w:tc>
        <w:tc>
          <w:tcPr>
            <w:tcW w:w="864" w:type="dxa"/>
          </w:tcPr>
          <w:p w14:paraId="6D011246" w14:textId="77777777" w:rsidR="00D60A5D" w:rsidRPr="001A7517" w:rsidRDefault="00D60A5D" w:rsidP="00623210">
            <w:pPr>
              <w:suppressAutoHyphens/>
            </w:pPr>
            <w:r w:rsidRPr="001A7517">
              <w:t>238</w:t>
            </w:r>
          </w:p>
        </w:tc>
        <w:tc>
          <w:tcPr>
            <w:tcW w:w="864" w:type="dxa"/>
          </w:tcPr>
          <w:p w14:paraId="5D270323" w14:textId="77777777" w:rsidR="00D60A5D" w:rsidRPr="001A7517" w:rsidRDefault="00D60A5D" w:rsidP="00623210">
            <w:pPr>
              <w:suppressAutoHyphens/>
            </w:pPr>
            <w:r w:rsidRPr="001A7517">
              <w:t>287</w:t>
            </w:r>
          </w:p>
        </w:tc>
        <w:tc>
          <w:tcPr>
            <w:tcW w:w="864" w:type="dxa"/>
          </w:tcPr>
          <w:p w14:paraId="3CB02B5C" w14:textId="77777777" w:rsidR="00D60A5D" w:rsidRPr="001A7517" w:rsidRDefault="00D60A5D" w:rsidP="00623210">
            <w:pPr>
              <w:suppressAutoHyphens/>
            </w:pPr>
            <w:r w:rsidRPr="001A7517">
              <w:t>345</w:t>
            </w:r>
          </w:p>
        </w:tc>
      </w:tr>
      <w:tr w:rsidR="00D60A5D" w:rsidRPr="001A7517" w14:paraId="2C6B6DF0" w14:textId="77777777" w:rsidTr="00623210">
        <w:tc>
          <w:tcPr>
            <w:tcW w:w="1728" w:type="dxa"/>
          </w:tcPr>
          <w:p w14:paraId="30D08F7D" w14:textId="77777777" w:rsidR="00D60A5D" w:rsidRPr="001A7517" w:rsidRDefault="00D60A5D" w:rsidP="00623210">
            <w:pPr>
              <w:suppressAutoHyphens/>
            </w:pPr>
            <w:r w:rsidRPr="001A7517">
              <w:t>2.0</w:t>
            </w:r>
          </w:p>
        </w:tc>
        <w:tc>
          <w:tcPr>
            <w:tcW w:w="864" w:type="dxa"/>
          </w:tcPr>
          <w:p w14:paraId="4C1D8E05" w14:textId="77777777" w:rsidR="00D60A5D" w:rsidRPr="001A7517" w:rsidRDefault="00D60A5D" w:rsidP="00623210">
            <w:pPr>
              <w:suppressAutoHyphens/>
            </w:pPr>
            <w:r w:rsidRPr="001A7517">
              <w:t>116</w:t>
            </w:r>
          </w:p>
        </w:tc>
        <w:tc>
          <w:tcPr>
            <w:tcW w:w="864" w:type="dxa"/>
          </w:tcPr>
          <w:p w14:paraId="24DE26F7" w14:textId="77777777" w:rsidR="00D60A5D" w:rsidRPr="001A7517" w:rsidRDefault="00D60A5D" w:rsidP="00623210">
            <w:pPr>
              <w:suppressAutoHyphens/>
            </w:pPr>
            <w:r w:rsidRPr="001A7517">
              <w:t>138</w:t>
            </w:r>
          </w:p>
        </w:tc>
        <w:tc>
          <w:tcPr>
            <w:tcW w:w="864" w:type="dxa"/>
          </w:tcPr>
          <w:p w14:paraId="7989A0B4" w14:textId="77777777" w:rsidR="00D60A5D" w:rsidRPr="001A7517" w:rsidRDefault="00D60A5D" w:rsidP="00623210">
            <w:pPr>
              <w:suppressAutoHyphens/>
            </w:pPr>
            <w:r w:rsidRPr="001A7517">
              <w:t>165</w:t>
            </w:r>
          </w:p>
        </w:tc>
        <w:tc>
          <w:tcPr>
            <w:tcW w:w="864" w:type="dxa"/>
          </w:tcPr>
          <w:p w14:paraId="2FE70477" w14:textId="77777777" w:rsidR="00D60A5D" w:rsidRPr="001A7517" w:rsidRDefault="00D60A5D" w:rsidP="00623210">
            <w:pPr>
              <w:suppressAutoHyphens/>
            </w:pPr>
            <w:r w:rsidRPr="001A7517">
              <w:t>200</w:t>
            </w:r>
          </w:p>
        </w:tc>
        <w:tc>
          <w:tcPr>
            <w:tcW w:w="864" w:type="dxa"/>
          </w:tcPr>
          <w:p w14:paraId="4CA3126F" w14:textId="77777777" w:rsidR="00D60A5D" w:rsidRPr="001A7517" w:rsidRDefault="00D60A5D" w:rsidP="00623210">
            <w:pPr>
              <w:suppressAutoHyphens/>
            </w:pPr>
            <w:r w:rsidRPr="001A7517">
              <w:t>243</w:t>
            </w:r>
          </w:p>
        </w:tc>
        <w:tc>
          <w:tcPr>
            <w:tcW w:w="864" w:type="dxa"/>
          </w:tcPr>
          <w:p w14:paraId="270717EC" w14:textId="77777777" w:rsidR="00D60A5D" w:rsidRPr="001A7517" w:rsidRDefault="00D60A5D" w:rsidP="00623210">
            <w:pPr>
              <w:suppressAutoHyphens/>
            </w:pPr>
            <w:r w:rsidRPr="001A7517">
              <w:t>294</w:t>
            </w:r>
          </w:p>
        </w:tc>
        <w:tc>
          <w:tcPr>
            <w:tcW w:w="864" w:type="dxa"/>
          </w:tcPr>
          <w:p w14:paraId="562D8C47" w14:textId="77777777" w:rsidR="00D60A5D" w:rsidRPr="001A7517" w:rsidRDefault="00D60A5D" w:rsidP="00623210">
            <w:pPr>
              <w:suppressAutoHyphens/>
            </w:pPr>
            <w:r w:rsidRPr="001A7517">
              <w:t>353</w:t>
            </w:r>
          </w:p>
        </w:tc>
      </w:tr>
      <w:tr w:rsidR="00D60A5D" w:rsidRPr="001A7517" w14:paraId="36E4BD9D" w14:textId="77777777" w:rsidTr="00623210">
        <w:tc>
          <w:tcPr>
            <w:tcW w:w="1728" w:type="dxa"/>
          </w:tcPr>
          <w:p w14:paraId="30656A7A" w14:textId="77777777" w:rsidR="00D60A5D" w:rsidRPr="001A7517" w:rsidRDefault="00D60A5D" w:rsidP="00623210">
            <w:pPr>
              <w:suppressAutoHyphens/>
            </w:pPr>
            <w:r w:rsidRPr="001A7517">
              <w:t>2.2</w:t>
            </w:r>
          </w:p>
        </w:tc>
        <w:tc>
          <w:tcPr>
            <w:tcW w:w="864" w:type="dxa"/>
          </w:tcPr>
          <w:p w14:paraId="3DB29F70" w14:textId="77777777" w:rsidR="00D60A5D" w:rsidRPr="001A7517" w:rsidRDefault="00D60A5D" w:rsidP="00623210">
            <w:pPr>
              <w:suppressAutoHyphens/>
            </w:pPr>
            <w:r w:rsidRPr="001A7517">
              <w:t>118</w:t>
            </w:r>
          </w:p>
        </w:tc>
        <w:tc>
          <w:tcPr>
            <w:tcW w:w="864" w:type="dxa"/>
          </w:tcPr>
          <w:p w14:paraId="089B72B8" w14:textId="77777777" w:rsidR="00D60A5D" w:rsidRPr="001A7517" w:rsidRDefault="00D60A5D" w:rsidP="00623210">
            <w:pPr>
              <w:suppressAutoHyphens/>
            </w:pPr>
            <w:r w:rsidRPr="001A7517">
              <w:t>140</w:t>
            </w:r>
          </w:p>
        </w:tc>
        <w:tc>
          <w:tcPr>
            <w:tcW w:w="864" w:type="dxa"/>
          </w:tcPr>
          <w:p w14:paraId="4E8CA6F4" w14:textId="77777777" w:rsidR="00D60A5D" w:rsidRPr="001A7517" w:rsidRDefault="00D60A5D" w:rsidP="00623210">
            <w:pPr>
              <w:suppressAutoHyphens/>
            </w:pPr>
            <w:r w:rsidRPr="001A7517">
              <w:t>169</w:t>
            </w:r>
          </w:p>
        </w:tc>
        <w:tc>
          <w:tcPr>
            <w:tcW w:w="864" w:type="dxa"/>
          </w:tcPr>
          <w:p w14:paraId="04EDBBA1" w14:textId="77777777" w:rsidR="00D60A5D" w:rsidRPr="001A7517" w:rsidRDefault="00D60A5D" w:rsidP="00623210">
            <w:pPr>
              <w:suppressAutoHyphens/>
            </w:pPr>
            <w:r w:rsidRPr="001A7517">
              <w:t>204</w:t>
            </w:r>
          </w:p>
        </w:tc>
        <w:tc>
          <w:tcPr>
            <w:tcW w:w="864" w:type="dxa"/>
          </w:tcPr>
          <w:p w14:paraId="2F43D2ED" w14:textId="77777777" w:rsidR="00D60A5D" w:rsidRPr="001A7517" w:rsidRDefault="00D60A5D" w:rsidP="00623210">
            <w:pPr>
              <w:suppressAutoHyphens/>
            </w:pPr>
            <w:r w:rsidRPr="001A7517">
              <w:t>248</w:t>
            </w:r>
          </w:p>
        </w:tc>
        <w:tc>
          <w:tcPr>
            <w:tcW w:w="864" w:type="dxa"/>
          </w:tcPr>
          <w:p w14:paraId="57FF93DB" w14:textId="77777777" w:rsidR="00D60A5D" w:rsidRPr="001A7517" w:rsidRDefault="00D60A5D" w:rsidP="00623210">
            <w:pPr>
              <w:suppressAutoHyphens/>
            </w:pPr>
            <w:r w:rsidRPr="001A7517">
              <w:t>300</w:t>
            </w:r>
          </w:p>
        </w:tc>
        <w:tc>
          <w:tcPr>
            <w:tcW w:w="864" w:type="dxa"/>
          </w:tcPr>
          <w:p w14:paraId="02D81686" w14:textId="77777777" w:rsidR="00D60A5D" w:rsidRPr="001A7517" w:rsidRDefault="00D60A5D" w:rsidP="00623210">
            <w:pPr>
              <w:suppressAutoHyphens/>
            </w:pPr>
            <w:r w:rsidRPr="001A7517">
              <w:t>361</w:t>
            </w:r>
          </w:p>
        </w:tc>
      </w:tr>
      <w:tr w:rsidR="00D60A5D" w:rsidRPr="001A7517" w14:paraId="33D05571" w14:textId="77777777" w:rsidTr="00623210">
        <w:tc>
          <w:tcPr>
            <w:tcW w:w="1728" w:type="dxa"/>
          </w:tcPr>
          <w:p w14:paraId="004B0CF4" w14:textId="77777777" w:rsidR="00D60A5D" w:rsidRPr="001A7517" w:rsidRDefault="00D60A5D" w:rsidP="00623210">
            <w:pPr>
              <w:suppressAutoHyphens/>
            </w:pPr>
            <w:r w:rsidRPr="001A7517">
              <w:lastRenderedPageBreak/>
              <w:t>2.4</w:t>
            </w:r>
          </w:p>
        </w:tc>
        <w:tc>
          <w:tcPr>
            <w:tcW w:w="864" w:type="dxa"/>
          </w:tcPr>
          <w:p w14:paraId="5A3C99BF" w14:textId="77777777" w:rsidR="00D60A5D" w:rsidRPr="001A7517" w:rsidRDefault="00D60A5D" w:rsidP="00623210">
            <w:pPr>
              <w:suppressAutoHyphens/>
            </w:pPr>
            <w:r w:rsidRPr="001A7517">
              <w:t>120</w:t>
            </w:r>
          </w:p>
        </w:tc>
        <w:tc>
          <w:tcPr>
            <w:tcW w:w="864" w:type="dxa"/>
          </w:tcPr>
          <w:p w14:paraId="61E31B90" w14:textId="77777777" w:rsidR="00D60A5D" w:rsidRPr="001A7517" w:rsidRDefault="00D60A5D" w:rsidP="00623210">
            <w:pPr>
              <w:suppressAutoHyphens/>
            </w:pPr>
            <w:r w:rsidRPr="001A7517">
              <w:t>143</w:t>
            </w:r>
          </w:p>
        </w:tc>
        <w:tc>
          <w:tcPr>
            <w:tcW w:w="864" w:type="dxa"/>
          </w:tcPr>
          <w:p w14:paraId="60A5501B" w14:textId="77777777" w:rsidR="00D60A5D" w:rsidRPr="001A7517" w:rsidRDefault="00D60A5D" w:rsidP="00623210">
            <w:pPr>
              <w:suppressAutoHyphens/>
            </w:pPr>
            <w:r w:rsidRPr="001A7517">
              <w:t>172</w:t>
            </w:r>
          </w:p>
        </w:tc>
        <w:tc>
          <w:tcPr>
            <w:tcW w:w="864" w:type="dxa"/>
          </w:tcPr>
          <w:p w14:paraId="40FF121F" w14:textId="77777777" w:rsidR="00D60A5D" w:rsidRPr="001A7517" w:rsidRDefault="00D60A5D" w:rsidP="00623210">
            <w:pPr>
              <w:suppressAutoHyphens/>
            </w:pPr>
            <w:r w:rsidRPr="001A7517">
              <w:t>209</w:t>
            </w:r>
          </w:p>
        </w:tc>
        <w:tc>
          <w:tcPr>
            <w:tcW w:w="864" w:type="dxa"/>
          </w:tcPr>
          <w:p w14:paraId="146701D6" w14:textId="77777777" w:rsidR="00D60A5D" w:rsidRPr="001A7517" w:rsidRDefault="00D60A5D" w:rsidP="00623210">
            <w:pPr>
              <w:suppressAutoHyphens/>
            </w:pPr>
            <w:r w:rsidRPr="001A7517">
              <w:t>253</w:t>
            </w:r>
          </w:p>
        </w:tc>
        <w:tc>
          <w:tcPr>
            <w:tcW w:w="864" w:type="dxa"/>
          </w:tcPr>
          <w:p w14:paraId="4EBE28A9" w14:textId="77777777" w:rsidR="00D60A5D" w:rsidRPr="001A7517" w:rsidRDefault="00D60A5D" w:rsidP="00623210">
            <w:pPr>
              <w:suppressAutoHyphens/>
            </w:pPr>
            <w:r w:rsidRPr="001A7517">
              <w:t>306</w:t>
            </w:r>
          </w:p>
        </w:tc>
        <w:tc>
          <w:tcPr>
            <w:tcW w:w="864" w:type="dxa"/>
          </w:tcPr>
          <w:p w14:paraId="702AC4E4" w14:textId="77777777" w:rsidR="00D60A5D" w:rsidRPr="001A7517" w:rsidRDefault="00D60A5D" w:rsidP="00623210">
            <w:pPr>
              <w:suppressAutoHyphens/>
            </w:pPr>
            <w:r w:rsidRPr="001A7517">
              <w:t>368</w:t>
            </w:r>
          </w:p>
        </w:tc>
      </w:tr>
      <w:tr w:rsidR="00D60A5D" w:rsidRPr="001A7517" w14:paraId="01182488" w14:textId="77777777" w:rsidTr="00623210">
        <w:tc>
          <w:tcPr>
            <w:tcW w:w="1728" w:type="dxa"/>
          </w:tcPr>
          <w:p w14:paraId="5A6A9835" w14:textId="77777777" w:rsidR="00D60A5D" w:rsidRPr="001A7517" w:rsidRDefault="00D60A5D" w:rsidP="00623210">
            <w:pPr>
              <w:suppressAutoHyphens/>
            </w:pPr>
            <w:r w:rsidRPr="001A7517">
              <w:t>2.6</w:t>
            </w:r>
          </w:p>
        </w:tc>
        <w:tc>
          <w:tcPr>
            <w:tcW w:w="864" w:type="dxa"/>
          </w:tcPr>
          <w:p w14:paraId="465E0005" w14:textId="77777777" w:rsidR="00D60A5D" w:rsidRPr="001A7517" w:rsidRDefault="00D60A5D" w:rsidP="00623210">
            <w:pPr>
              <w:suppressAutoHyphens/>
            </w:pPr>
            <w:r w:rsidRPr="001A7517">
              <w:t>122</w:t>
            </w:r>
          </w:p>
        </w:tc>
        <w:tc>
          <w:tcPr>
            <w:tcW w:w="864" w:type="dxa"/>
          </w:tcPr>
          <w:p w14:paraId="1F33A6B2" w14:textId="77777777" w:rsidR="00D60A5D" w:rsidRPr="001A7517" w:rsidRDefault="00D60A5D" w:rsidP="00623210">
            <w:pPr>
              <w:suppressAutoHyphens/>
            </w:pPr>
            <w:r w:rsidRPr="001A7517">
              <w:t>146</w:t>
            </w:r>
          </w:p>
        </w:tc>
        <w:tc>
          <w:tcPr>
            <w:tcW w:w="864" w:type="dxa"/>
          </w:tcPr>
          <w:p w14:paraId="1B8EBD34" w14:textId="77777777" w:rsidR="00D60A5D" w:rsidRPr="001A7517" w:rsidRDefault="00D60A5D" w:rsidP="00623210">
            <w:pPr>
              <w:suppressAutoHyphens/>
            </w:pPr>
            <w:r w:rsidRPr="001A7517">
              <w:t>175</w:t>
            </w:r>
          </w:p>
        </w:tc>
        <w:tc>
          <w:tcPr>
            <w:tcW w:w="864" w:type="dxa"/>
          </w:tcPr>
          <w:p w14:paraId="4DFD32C1" w14:textId="77777777" w:rsidR="00D60A5D" w:rsidRPr="001A7517" w:rsidRDefault="00D60A5D" w:rsidP="00623210">
            <w:pPr>
              <w:suppressAutoHyphens/>
            </w:pPr>
            <w:r w:rsidRPr="001A7517">
              <w:t>213</w:t>
            </w:r>
          </w:p>
        </w:tc>
        <w:tc>
          <w:tcPr>
            <w:tcW w:w="864" w:type="dxa"/>
          </w:tcPr>
          <w:p w14:paraId="0590FF2B" w14:textId="77777777" w:rsidR="00D60A5D" w:rsidRPr="001A7517" w:rsidRDefault="00D60A5D" w:rsidP="00623210">
            <w:pPr>
              <w:suppressAutoHyphens/>
            </w:pPr>
            <w:r w:rsidRPr="001A7517">
              <w:t>258</w:t>
            </w:r>
          </w:p>
        </w:tc>
        <w:tc>
          <w:tcPr>
            <w:tcW w:w="864" w:type="dxa"/>
          </w:tcPr>
          <w:p w14:paraId="2699BB10" w14:textId="77777777" w:rsidR="00D60A5D" w:rsidRPr="001A7517" w:rsidRDefault="00D60A5D" w:rsidP="00623210">
            <w:pPr>
              <w:suppressAutoHyphens/>
            </w:pPr>
            <w:r w:rsidRPr="001A7517">
              <w:t>312</w:t>
            </w:r>
          </w:p>
        </w:tc>
        <w:tc>
          <w:tcPr>
            <w:tcW w:w="864" w:type="dxa"/>
          </w:tcPr>
          <w:p w14:paraId="72AA0F41" w14:textId="77777777" w:rsidR="00D60A5D" w:rsidRPr="001A7517" w:rsidRDefault="00D60A5D" w:rsidP="00623210">
            <w:pPr>
              <w:suppressAutoHyphens/>
            </w:pPr>
            <w:r w:rsidRPr="001A7517">
              <w:t>375</w:t>
            </w:r>
          </w:p>
        </w:tc>
      </w:tr>
      <w:tr w:rsidR="00D60A5D" w:rsidRPr="001A7517" w14:paraId="635783B8" w14:textId="77777777" w:rsidTr="00623210">
        <w:tc>
          <w:tcPr>
            <w:tcW w:w="1728" w:type="dxa"/>
          </w:tcPr>
          <w:p w14:paraId="163E28E3" w14:textId="77777777" w:rsidR="00D60A5D" w:rsidRPr="001A7517" w:rsidRDefault="00D60A5D" w:rsidP="00623210">
            <w:pPr>
              <w:suppressAutoHyphens/>
            </w:pPr>
            <w:r w:rsidRPr="001A7517">
              <w:t>2.8</w:t>
            </w:r>
          </w:p>
        </w:tc>
        <w:tc>
          <w:tcPr>
            <w:tcW w:w="864" w:type="dxa"/>
          </w:tcPr>
          <w:p w14:paraId="69B337C6" w14:textId="77777777" w:rsidR="00D60A5D" w:rsidRPr="001A7517" w:rsidRDefault="00D60A5D" w:rsidP="00623210">
            <w:pPr>
              <w:suppressAutoHyphens/>
            </w:pPr>
            <w:r w:rsidRPr="001A7517">
              <w:t>124</w:t>
            </w:r>
          </w:p>
        </w:tc>
        <w:tc>
          <w:tcPr>
            <w:tcW w:w="864" w:type="dxa"/>
          </w:tcPr>
          <w:p w14:paraId="1B6F8BD3" w14:textId="77777777" w:rsidR="00D60A5D" w:rsidRPr="001A7517" w:rsidRDefault="00D60A5D" w:rsidP="00623210">
            <w:pPr>
              <w:suppressAutoHyphens/>
            </w:pPr>
            <w:r w:rsidRPr="001A7517">
              <w:t>148</w:t>
            </w:r>
          </w:p>
        </w:tc>
        <w:tc>
          <w:tcPr>
            <w:tcW w:w="864" w:type="dxa"/>
          </w:tcPr>
          <w:p w14:paraId="2153D434" w14:textId="77777777" w:rsidR="00D60A5D" w:rsidRPr="001A7517" w:rsidRDefault="00D60A5D" w:rsidP="00623210">
            <w:pPr>
              <w:suppressAutoHyphens/>
            </w:pPr>
            <w:r w:rsidRPr="001A7517">
              <w:t>178</w:t>
            </w:r>
          </w:p>
        </w:tc>
        <w:tc>
          <w:tcPr>
            <w:tcW w:w="864" w:type="dxa"/>
          </w:tcPr>
          <w:p w14:paraId="28008B5C" w14:textId="77777777" w:rsidR="00D60A5D" w:rsidRPr="001A7517" w:rsidRDefault="00D60A5D" w:rsidP="00623210">
            <w:pPr>
              <w:suppressAutoHyphens/>
            </w:pPr>
            <w:r w:rsidRPr="001A7517">
              <w:t>217</w:t>
            </w:r>
          </w:p>
        </w:tc>
        <w:tc>
          <w:tcPr>
            <w:tcW w:w="864" w:type="dxa"/>
          </w:tcPr>
          <w:p w14:paraId="37EF124D" w14:textId="77777777" w:rsidR="00D60A5D" w:rsidRPr="001A7517" w:rsidRDefault="00D60A5D" w:rsidP="00623210">
            <w:pPr>
              <w:suppressAutoHyphens/>
            </w:pPr>
            <w:r w:rsidRPr="001A7517">
              <w:t>263</w:t>
            </w:r>
          </w:p>
        </w:tc>
        <w:tc>
          <w:tcPr>
            <w:tcW w:w="864" w:type="dxa"/>
          </w:tcPr>
          <w:p w14:paraId="699DF18E" w14:textId="77777777" w:rsidR="00D60A5D" w:rsidRPr="001A7517" w:rsidRDefault="00D60A5D" w:rsidP="00623210">
            <w:pPr>
              <w:suppressAutoHyphens/>
            </w:pPr>
            <w:r w:rsidRPr="001A7517">
              <w:t>318</w:t>
            </w:r>
          </w:p>
        </w:tc>
        <w:tc>
          <w:tcPr>
            <w:tcW w:w="864" w:type="dxa"/>
          </w:tcPr>
          <w:p w14:paraId="6B48CFC4" w14:textId="77777777" w:rsidR="00D60A5D" w:rsidRPr="001A7517" w:rsidRDefault="00D60A5D" w:rsidP="00623210">
            <w:pPr>
              <w:suppressAutoHyphens/>
            </w:pPr>
            <w:r w:rsidRPr="001A7517">
              <w:t>382</w:t>
            </w:r>
          </w:p>
        </w:tc>
      </w:tr>
      <w:tr w:rsidR="00D60A5D" w:rsidRPr="001A7517" w14:paraId="135B0115" w14:textId="77777777" w:rsidTr="00623210">
        <w:tc>
          <w:tcPr>
            <w:tcW w:w="1728" w:type="dxa"/>
          </w:tcPr>
          <w:p w14:paraId="2F650AE1" w14:textId="77777777" w:rsidR="00D60A5D" w:rsidRPr="001A7517" w:rsidRDefault="00D60A5D" w:rsidP="00623210">
            <w:pPr>
              <w:suppressAutoHyphens/>
            </w:pPr>
            <w:r w:rsidRPr="001A7517">
              <w:t>3.0</w:t>
            </w:r>
          </w:p>
        </w:tc>
        <w:tc>
          <w:tcPr>
            <w:tcW w:w="864" w:type="dxa"/>
          </w:tcPr>
          <w:p w14:paraId="525F15D4" w14:textId="77777777" w:rsidR="00D60A5D" w:rsidRPr="001A7517" w:rsidRDefault="00D60A5D" w:rsidP="00623210">
            <w:pPr>
              <w:suppressAutoHyphens/>
            </w:pPr>
            <w:r w:rsidRPr="001A7517">
              <w:t>126</w:t>
            </w:r>
          </w:p>
        </w:tc>
        <w:tc>
          <w:tcPr>
            <w:tcW w:w="864" w:type="dxa"/>
          </w:tcPr>
          <w:p w14:paraId="24D559C8" w14:textId="77777777" w:rsidR="00D60A5D" w:rsidRPr="001A7517" w:rsidRDefault="00D60A5D" w:rsidP="00623210">
            <w:pPr>
              <w:suppressAutoHyphens/>
            </w:pPr>
            <w:r w:rsidRPr="001A7517">
              <w:t>151</w:t>
            </w:r>
          </w:p>
        </w:tc>
        <w:tc>
          <w:tcPr>
            <w:tcW w:w="864" w:type="dxa"/>
          </w:tcPr>
          <w:p w14:paraId="27E2197C" w14:textId="77777777" w:rsidR="00D60A5D" w:rsidRPr="001A7517" w:rsidRDefault="00D60A5D" w:rsidP="00623210">
            <w:pPr>
              <w:suppressAutoHyphens/>
            </w:pPr>
            <w:r w:rsidRPr="001A7517">
              <w:t>182</w:t>
            </w:r>
          </w:p>
        </w:tc>
        <w:tc>
          <w:tcPr>
            <w:tcW w:w="864" w:type="dxa"/>
          </w:tcPr>
          <w:p w14:paraId="27F87CFF" w14:textId="77777777" w:rsidR="00D60A5D" w:rsidRPr="001A7517" w:rsidRDefault="00D60A5D" w:rsidP="00623210">
            <w:pPr>
              <w:suppressAutoHyphens/>
            </w:pPr>
            <w:r w:rsidRPr="001A7517">
              <w:t>221</w:t>
            </w:r>
          </w:p>
        </w:tc>
        <w:tc>
          <w:tcPr>
            <w:tcW w:w="864" w:type="dxa"/>
          </w:tcPr>
          <w:p w14:paraId="02DFF90A" w14:textId="77777777" w:rsidR="00D60A5D" w:rsidRPr="001A7517" w:rsidRDefault="00D60A5D" w:rsidP="00623210">
            <w:pPr>
              <w:suppressAutoHyphens/>
            </w:pPr>
            <w:r w:rsidRPr="001A7517">
              <w:t>268</w:t>
            </w:r>
          </w:p>
        </w:tc>
        <w:tc>
          <w:tcPr>
            <w:tcW w:w="864" w:type="dxa"/>
          </w:tcPr>
          <w:p w14:paraId="6561A329" w14:textId="77777777" w:rsidR="00D60A5D" w:rsidRPr="001A7517" w:rsidRDefault="00D60A5D" w:rsidP="00623210">
            <w:pPr>
              <w:suppressAutoHyphens/>
            </w:pPr>
            <w:r w:rsidRPr="001A7517">
              <w:t>324</w:t>
            </w:r>
          </w:p>
        </w:tc>
        <w:tc>
          <w:tcPr>
            <w:tcW w:w="864" w:type="dxa"/>
          </w:tcPr>
          <w:p w14:paraId="6DBD5461" w14:textId="77777777" w:rsidR="00D60A5D" w:rsidRPr="001A7517" w:rsidRDefault="00D60A5D" w:rsidP="00623210">
            <w:pPr>
              <w:suppressAutoHyphens/>
            </w:pPr>
            <w:r w:rsidRPr="001A7517">
              <w:t>369</w:t>
            </w:r>
          </w:p>
        </w:tc>
      </w:tr>
    </w:tbl>
    <w:p w14:paraId="25452F37" w14:textId="77777777" w:rsidR="00D60A5D" w:rsidRPr="001A7517" w:rsidRDefault="00D60A5D" w:rsidP="00D60A5D">
      <w:pPr>
        <w:keepNext/>
        <w:keepLines/>
        <w:suppressAutoHyphens/>
        <w:spacing w:before="240"/>
        <w:ind w:left="720" w:right="720"/>
        <w:jc w:val="center"/>
      </w:pPr>
      <w:r w:rsidRPr="001A7517">
        <w:t>Table 1.3</w:t>
      </w:r>
    </w:p>
    <w:p w14:paraId="6A310760" w14:textId="77777777" w:rsidR="00D60A5D" w:rsidRPr="001A7517" w:rsidRDefault="00D60A5D" w:rsidP="00D60A5D">
      <w:pPr>
        <w:keepNext/>
        <w:keepLines/>
        <w:suppressAutoHyphens/>
        <w:ind w:left="720" w:right="720"/>
        <w:jc w:val="center"/>
      </w:pPr>
      <w:r w:rsidRPr="001A7517">
        <w:t>CT-99.9 for 99.9 Percent Inactivation of Giardia Lamblia Cysts by Free Chlorine at 10.0 °C</w:t>
      </w:r>
    </w:p>
    <w:p w14:paraId="75F4E921" w14:textId="77777777" w:rsidR="00D60A5D" w:rsidRPr="001A7517" w:rsidRDefault="00D60A5D" w:rsidP="00D60A5D">
      <w:pPr>
        <w:suppressAutoHyphens/>
        <w:spacing w:before="240" w:after="240"/>
      </w:pPr>
      <w:r w:rsidRPr="001A7517">
        <w:t>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7D2D3D72" w14:textId="77777777" w:rsidTr="00623210">
        <w:tc>
          <w:tcPr>
            <w:tcW w:w="1728" w:type="dxa"/>
            <w:vAlign w:val="bottom"/>
          </w:tcPr>
          <w:p w14:paraId="4FA08F79" w14:textId="77777777" w:rsidR="00D60A5D" w:rsidRPr="001A7517" w:rsidRDefault="00D60A5D" w:rsidP="00623210">
            <w:pPr>
              <w:keepNext/>
              <w:keepLines/>
              <w:suppressAutoHyphens/>
            </w:pPr>
            <w:r w:rsidRPr="001A7517">
              <w:t>Free Residual</w:t>
            </w:r>
          </w:p>
          <w:p w14:paraId="5DACF1CB" w14:textId="77777777" w:rsidR="00D60A5D" w:rsidRPr="001A7517" w:rsidRDefault="00D60A5D" w:rsidP="00623210">
            <w:pPr>
              <w:keepNext/>
              <w:keepLines/>
              <w:suppressAutoHyphens/>
            </w:pPr>
            <w:r w:rsidRPr="001A7517">
              <w:t>(mg/ℓ)</w:t>
            </w:r>
          </w:p>
        </w:tc>
        <w:tc>
          <w:tcPr>
            <w:tcW w:w="864" w:type="dxa"/>
            <w:vAlign w:val="bottom"/>
          </w:tcPr>
          <w:p w14:paraId="4EC4D49C" w14:textId="77777777" w:rsidR="00D60A5D" w:rsidRPr="001A7517" w:rsidRDefault="00D60A5D" w:rsidP="00623210">
            <w:pPr>
              <w:keepNext/>
              <w:keepLines/>
              <w:suppressAutoHyphens/>
            </w:pPr>
            <w:r w:rsidRPr="001A7517">
              <w:t>PH</w:t>
            </w:r>
          </w:p>
          <w:p w14:paraId="701D32AB" w14:textId="77777777" w:rsidR="00D60A5D" w:rsidRPr="001A7517" w:rsidRDefault="00D60A5D" w:rsidP="00623210">
            <w:pPr>
              <w:keepNext/>
              <w:keepLines/>
              <w:suppressAutoHyphens/>
            </w:pPr>
            <w:r w:rsidRPr="001A7517">
              <w:t>≤6.0</w:t>
            </w:r>
          </w:p>
        </w:tc>
        <w:tc>
          <w:tcPr>
            <w:tcW w:w="864" w:type="dxa"/>
            <w:vAlign w:val="bottom"/>
          </w:tcPr>
          <w:p w14:paraId="2B2DCDB2" w14:textId="77777777" w:rsidR="00D60A5D" w:rsidRPr="001A7517" w:rsidRDefault="00D60A5D" w:rsidP="00623210">
            <w:pPr>
              <w:keepNext/>
              <w:keepLines/>
              <w:suppressAutoHyphens/>
            </w:pPr>
            <w:r w:rsidRPr="001A7517">
              <w:t>6.5</w:t>
            </w:r>
          </w:p>
        </w:tc>
        <w:tc>
          <w:tcPr>
            <w:tcW w:w="864" w:type="dxa"/>
            <w:vAlign w:val="bottom"/>
          </w:tcPr>
          <w:p w14:paraId="1738FE02" w14:textId="77777777" w:rsidR="00D60A5D" w:rsidRPr="001A7517" w:rsidRDefault="00D60A5D" w:rsidP="00623210">
            <w:pPr>
              <w:keepNext/>
              <w:keepLines/>
              <w:suppressAutoHyphens/>
            </w:pPr>
            <w:r w:rsidRPr="001A7517">
              <w:t>7.0</w:t>
            </w:r>
          </w:p>
        </w:tc>
        <w:tc>
          <w:tcPr>
            <w:tcW w:w="864" w:type="dxa"/>
            <w:vAlign w:val="bottom"/>
          </w:tcPr>
          <w:p w14:paraId="00754C20" w14:textId="77777777" w:rsidR="00D60A5D" w:rsidRPr="001A7517" w:rsidRDefault="00D60A5D" w:rsidP="00623210">
            <w:pPr>
              <w:keepNext/>
              <w:keepLines/>
              <w:suppressAutoHyphens/>
            </w:pPr>
            <w:r w:rsidRPr="001A7517">
              <w:t>7.5</w:t>
            </w:r>
          </w:p>
        </w:tc>
        <w:tc>
          <w:tcPr>
            <w:tcW w:w="864" w:type="dxa"/>
            <w:vAlign w:val="bottom"/>
          </w:tcPr>
          <w:p w14:paraId="2EF62059" w14:textId="77777777" w:rsidR="00D60A5D" w:rsidRPr="001A7517" w:rsidRDefault="00D60A5D" w:rsidP="00623210">
            <w:pPr>
              <w:keepNext/>
              <w:keepLines/>
              <w:suppressAutoHyphens/>
            </w:pPr>
            <w:r w:rsidRPr="001A7517">
              <w:t>8.0</w:t>
            </w:r>
          </w:p>
        </w:tc>
        <w:tc>
          <w:tcPr>
            <w:tcW w:w="864" w:type="dxa"/>
            <w:vAlign w:val="bottom"/>
          </w:tcPr>
          <w:p w14:paraId="3343BD11" w14:textId="77777777" w:rsidR="00D60A5D" w:rsidRPr="001A7517" w:rsidRDefault="00D60A5D" w:rsidP="00623210">
            <w:pPr>
              <w:keepNext/>
              <w:keepLines/>
              <w:suppressAutoHyphens/>
            </w:pPr>
            <w:r w:rsidRPr="001A7517">
              <w:t>8.5</w:t>
            </w:r>
          </w:p>
        </w:tc>
        <w:tc>
          <w:tcPr>
            <w:tcW w:w="864" w:type="dxa"/>
            <w:vAlign w:val="bottom"/>
          </w:tcPr>
          <w:p w14:paraId="48B90623" w14:textId="77777777" w:rsidR="00D60A5D" w:rsidRPr="001A7517" w:rsidRDefault="00D60A5D" w:rsidP="00623210">
            <w:pPr>
              <w:keepNext/>
              <w:keepLines/>
              <w:suppressAutoHyphens/>
            </w:pPr>
            <w:r w:rsidRPr="001A7517">
              <w:t>≥9.0</w:t>
            </w:r>
          </w:p>
        </w:tc>
      </w:tr>
      <w:tr w:rsidR="00D60A5D" w:rsidRPr="001A7517" w14:paraId="0B7B2A84" w14:textId="77777777" w:rsidTr="00623210">
        <w:tc>
          <w:tcPr>
            <w:tcW w:w="1728" w:type="dxa"/>
          </w:tcPr>
          <w:p w14:paraId="4B9B46EF" w14:textId="77777777" w:rsidR="00D60A5D" w:rsidRPr="001A7517" w:rsidRDefault="00D60A5D" w:rsidP="00623210">
            <w:pPr>
              <w:suppressAutoHyphens/>
            </w:pPr>
            <w:r w:rsidRPr="001A7517">
              <w:t>≤0.4</w:t>
            </w:r>
          </w:p>
        </w:tc>
        <w:tc>
          <w:tcPr>
            <w:tcW w:w="864" w:type="dxa"/>
          </w:tcPr>
          <w:p w14:paraId="1EFD16DE" w14:textId="77777777" w:rsidR="00D60A5D" w:rsidRPr="001A7517" w:rsidRDefault="00D60A5D" w:rsidP="00623210">
            <w:pPr>
              <w:suppressAutoHyphens/>
            </w:pPr>
            <w:r w:rsidRPr="001A7517">
              <w:t>73</w:t>
            </w:r>
          </w:p>
        </w:tc>
        <w:tc>
          <w:tcPr>
            <w:tcW w:w="864" w:type="dxa"/>
          </w:tcPr>
          <w:p w14:paraId="6E630688" w14:textId="77777777" w:rsidR="00D60A5D" w:rsidRPr="001A7517" w:rsidRDefault="00D60A5D" w:rsidP="00623210">
            <w:pPr>
              <w:suppressAutoHyphens/>
            </w:pPr>
            <w:r w:rsidRPr="001A7517">
              <w:t>88</w:t>
            </w:r>
          </w:p>
        </w:tc>
        <w:tc>
          <w:tcPr>
            <w:tcW w:w="864" w:type="dxa"/>
          </w:tcPr>
          <w:p w14:paraId="67FE7EF9" w14:textId="77777777" w:rsidR="00D60A5D" w:rsidRPr="001A7517" w:rsidRDefault="00D60A5D" w:rsidP="00623210">
            <w:pPr>
              <w:suppressAutoHyphens/>
            </w:pPr>
            <w:r w:rsidRPr="001A7517">
              <w:t>104</w:t>
            </w:r>
          </w:p>
        </w:tc>
        <w:tc>
          <w:tcPr>
            <w:tcW w:w="864" w:type="dxa"/>
          </w:tcPr>
          <w:p w14:paraId="295A0221" w14:textId="77777777" w:rsidR="00D60A5D" w:rsidRPr="001A7517" w:rsidRDefault="00D60A5D" w:rsidP="00623210">
            <w:pPr>
              <w:suppressAutoHyphens/>
            </w:pPr>
            <w:r w:rsidRPr="001A7517">
              <w:t>125</w:t>
            </w:r>
          </w:p>
        </w:tc>
        <w:tc>
          <w:tcPr>
            <w:tcW w:w="864" w:type="dxa"/>
          </w:tcPr>
          <w:p w14:paraId="7D108680" w14:textId="77777777" w:rsidR="00D60A5D" w:rsidRPr="001A7517" w:rsidRDefault="00D60A5D" w:rsidP="00623210">
            <w:pPr>
              <w:suppressAutoHyphens/>
            </w:pPr>
            <w:r w:rsidRPr="001A7517">
              <w:t>149</w:t>
            </w:r>
          </w:p>
        </w:tc>
        <w:tc>
          <w:tcPr>
            <w:tcW w:w="864" w:type="dxa"/>
          </w:tcPr>
          <w:p w14:paraId="7E04C685" w14:textId="77777777" w:rsidR="00D60A5D" w:rsidRPr="001A7517" w:rsidRDefault="00D60A5D" w:rsidP="00623210">
            <w:pPr>
              <w:suppressAutoHyphens/>
            </w:pPr>
            <w:r w:rsidRPr="001A7517">
              <w:t>177</w:t>
            </w:r>
          </w:p>
        </w:tc>
        <w:tc>
          <w:tcPr>
            <w:tcW w:w="864" w:type="dxa"/>
          </w:tcPr>
          <w:p w14:paraId="1840DD6C" w14:textId="77777777" w:rsidR="00D60A5D" w:rsidRPr="001A7517" w:rsidRDefault="00D60A5D" w:rsidP="00623210">
            <w:pPr>
              <w:suppressAutoHyphens/>
            </w:pPr>
            <w:r w:rsidRPr="001A7517">
              <w:t>209</w:t>
            </w:r>
          </w:p>
        </w:tc>
      </w:tr>
      <w:tr w:rsidR="00D60A5D" w:rsidRPr="001A7517" w14:paraId="5CCBF4EF" w14:textId="77777777" w:rsidTr="00623210">
        <w:tc>
          <w:tcPr>
            <w:tcW w:w="1728" w:type="dxa"/>
          </w:tcPr>
          <w:p w14:paraId="0F1AB8DD" w14:textId="77777777" w:rsidR="00D60A5D" w:rsidRPr="001A7517" w:rsidRDefault="00D60A5D" w:rsidP="00623210">
            <w:pPr>
              <w:suppressAutoHyphens/>
            </w:pPr>
            <w:r w:rsidRPr="001A7517">
              <w:t>0.6</w:t>
            </w:r>
          </w:p>
        </w:tc>
        <w:tc>
          <w:tcPr>
            <w:tcW w:w="864" w:type="dxa"/>
          </w:tcPr>
          <w:p w14:paraId="0F329E86" w14:textId="77777777" w:rsidR="00D60A5D" w:rsidRPr="001A7517" w:rsidRDefault="00D60A5D" w:rsidP="00623210">
            <w:pPr>
              <w:suppressAutoHyphens/>
            </w:pPr>
            <w:r w:rsidRPr="001A7517">
              <w:t>75</w:t>
            </w:r>
          </w:p>
        </w:tc>
        <w:tc>
          <w:tcPr>
            <w:tcW w:w="864" w:type="dxa"/>
          </w:tcPr>
          <w:p w14:paraId="23F842EA" w14:textId="77777777" w:rsidR="00D60A5D" w:rsidRPr="001A7517" w:rsidRDefault="00D60A5D" w:rsidP="00623210">
            <w:pPr>
              <w:suppressAutoHyphens/>
            </w:pPr>
            <w:r w:rsidRPr="001A7517">
              <w:t>90</w:t>
            </w:r>
          </w:p>
        </w:tc>
        <w:tc>
          <w:tcPr>
            <w:tcW w:w="864" w:type="dxa"/>
          </w:tcPr>
          <w:p w14:paraId="062BC262" w14:textId="77777777" w:rsidR="00D60A5D" w:rsidRPr="001A7517" w:rsidRDefault="00D60A5D" w:rsidP="00623210">
            <w:pPr>
              <w:suppressAutoHyphens/>
            </w:pPr>
            <w:r w:rsidRPr="001A7517">
              <w:t>107</w:t>
            </w:r>
          </w:p>
        </w:tc>
        <w:tc>
          <w:tcPr>
            <w:tcW w:w="864" w:type="dxa"/>
          </w:tcPr>
          <w:p w14:paraId="57CCE5FE" w14:textId="77777777" w:rsidR="00D60A5D" w:rsidRPr="001A7517" w:rsidRDefault="00D60A5D" w:rsidP="00623210">
            <w:pPr>
              <w:suppressAutoHyphens/>
            </w:pPr>
            <w:r w:rsidRPr="001A7517">
              <w:t>128</w:t>
            </w:r>
          </w:p>
        </w:tc>
        <w:tc>
          <w:tcPr>
            <w:tcW w:w="864" w:type="dxa"/>
          </w:tcPr>
          <w:p w14:paraId="6AA02A8C" w14:textId="77777777" w:rsidR="00D60A5D" w:rsidRPr="001A7517" w:rsidRDefault="00D60A5D" w:rsidP="00623210">
            <w:pPr>
              <w:suppressAutoHyphens/>
            </w:pPr>
            <w:r w:rsidRPr="001A7517">
              <w:t>153</w:t>
            </w:r>
          </w:p>
        </w:tc>
        <w:tc>
          <w:tcPr>
            <w:tcW w:w="864" w:type="dxa"/>
          </w:tcPr>
          <w:p w14:paraId="1D8D1E91" w14:textId="77777777" w:rsidR="00D60A5D" w:rsidRPr="001A7517" w:rsidRDefault="00D60A5D" w:rsidP="00623210">
            <w:pPr>
              <w:suppressAutoHyphens/>
            </w:pPr>
            <w:r w:rsidRPr="001A7517">
              <w:t>183</w:t>
            </w:r>
          </w:p>
        </w:tc>
        <w:tc>
          <w:tcPr>
            <w:tcW w:w="864" w:type="dxa"/>
          </w:tcPr>
          <w:p w14:paraId="49DA751F" w14:textId="77777777" w:rsidR="00D60A5D" w:rsidRPr="001A7517" w:rsidRDefault="00D60A5D" w:rsidP="00623210">
            <w:pPr>
              <w:suppressAutoHyphens/>
            </w:pPr>
            <w:r w:rsidRPr="001A7517">
              <w:t>218</w:t>
            </w:r>
          </w:p>
        </w:tc>
      </w:tr>
      <w:tr w:rsidR="00D60A5D" w:rsidRPr="001A7517" w14:paraId="1D79CEB0" w14:textId="77777777" w:rsidTr="00623210">
        <w:tc>
          <w:tcPr>
            <w:tcW w:w="1728" w:type="dxa"/>
          </w:tcPr>
          <w:p w14:paraId="17806A64" w14:textId="77777777" w:rsidR="00D60A5D" w:rsidRPr="001A7517" w:rsidRDefault="00D60A5D" w:rsidP="00623210">
            <w:pPr>
              <w:suppressAutoHyphens/>
            </w:pPr>
            <w:r w:rsidRPr="001A7517">
              <w:t>0.8</w:t>
            </w:r>
          </w:p>
        </w:tc>
        <w:tc>
          <w:tcPr>
            <w:tcW w:w="864" w:type="dxa"/>
          </w:tcPr>
          <w:p w14:paraId="347E3195" w14:textId="77777777" w:rsidR="00D60A5D" w:rsidRPr="001A7517" w:rsidRDefault="00D60A5D" w:rsidP="00623210">
            <w:pPr>
              <w:suppressAutoHyphens/>
            </w:pPr>
            <w:r w:rsidRPr="001A7517">
              <w:t>78</w:t>
            </w:r>
          </w:p>
        </w:tc>
        <w:tc>
          <w:tcPr>
            <w:tcW w:w="864" w:type="dxa"/>
          </w:tcPr>
          <w:p w14:paraId="6840DDE5" w14:textId="77777777" w:rsidR="00D60A5D" w:rsidRPr="001A7517" w:rsidRDefault="00D60A5D" w:rsidP="00623210">
            <w:pPr>
              <w:suppressAutoHyphens/>
            </w:pPr>
            <w:r w:rsidRPr="001A7517">
              <w:t>92</w:t>
            </w:r>
          </w:p>
        </w:tc>
        <w:tc>
          <w:tcPr>
            <w:tcW w:w="864" w:type="dxa"/>
          </w:tcPr>
          <w:p w14:paraId="1B8D7FF2" w14:textId="77777777" w:rsidR="00D60A5D" w:rsidRPr="001A7517" w:rsidRDefault="00D60A5D" w:rsidP="00623210">
            <w:pPr>
              <w:suppressAutoHyphens/>
            </w:pPr>
            <w:r w:rsidRPr="001A7517">
              <w:t>110</w:t>
            </w:r>
          </w:p>
        </w:tc>
        <w:tc>
          <w:tcPr>
            <w:tcW w:w="864" w:type="dxa"/>
          </w:tcPr>
          <w:p w14:paraId="1E723405" w14:textId="77777777" w:rsidR="00D60A5D" w:rsidRPr="001A7517" w:rsidRDefault="00D60A5D" w:rsidP="00623210">
            <w:pPr>
              <w:suppressAutoHyphens/>
            </w:pPr>
            <w:r w:rsidRPr="001A7517">
              <w:t>131</w:t>
            </w:r>
          </w:p>
        </w:tc>
        <w:tc>
          <w:tcPr>
            <w:tcW w:w="864" w:type="dxa"/>
          </w:tcPr>
          <w:p w14:paraId="1E4253C6" w14:textId="77777777" w:rsidR="00D60A5D" w:rsidRPr="001A7517" w:rsidRDefault="00D60A5D" w:rsidP="00623210">
            <w:pPr>
              <w:suppressAutoHyphens/>
            </w:pPr>
            <w:r w:rsidRPr="001A7517">
              <w:t>158</w:t>
            </w:r>
          </w:p>
        </w:tc>
        <w:tc>
          <w:tcPr>
            <w:tcW w:w="864" w:type="dxa"/>
          </w:tcPr>
          <w:p w14:paraId="71948FFE" w14:textId="77777777" w:rsidR="00D60A5D" w:rsidRPr="001A7517" w:rsidRDefault="00D60A5D" w:rsidP="00623210">
            <w:pPr>
              <w:suppressAutoHyphens/>
            </w:pPr>
            <w:r w:rsidRPr="001A7517">
              <w:t>189</w:t>
            </w:r>
          </w:p>
        </w:tc>
        <w:tc>
          <w:tcPr>
            <w:tcW w:w="864" w:type="dxa"/>
          </w:tcPr>
          <w:p w14:paraId="6B6504E6" w14:textId="77777777" w:rsidR="00D60A5D" w:rsidRPr="001A7517" w:rsidRDefault="00D60A5D" w:rsidP="00623210">
            <w:pPr>
              <w:suppressAutoHyphens/>
            </w:pPr>
            <w:r w:rsidRPr="001A7517">
              <w:t>226</w:t>
            </w:r>
          </w:p>
        </w:tc>
      </w:tr>
      <w:tr w:rsidR="00D60A5D" w:rsidRPr="001A7517" w14:paraId="4197D887" w14:textId="77777777" w:rsidTr="00623210">
        <w:tc>
          <w:tcPr>
            <w:tcW w:w="1728" w:type="dxa"/>
          </w:tcPr>
          <w:p w14:paraId="64FAF566" w14:textId="77777777" w:rsidR="00D60A5D" w:rsidRPr="001A7517" w:rsidRDefault="00D60A5D" w:rsidP="00623210">
            <w:pPr>
              <w:suppressAutoHyphens/>
            </w:pPr>
            <w:r w:rsidRPr="001A7517">
              <w:t>1.0</w:t>
            </w:r>
          </w:p>
        </w:tc>
        <w:tc>
          <w:tcPr>
            <w:tcW w:w="864" w:type="dxa"/>
          </w:tcPr>
          <w:p w14:paraId="0AA5447E" w14:textId="77777777" w:rsidR="00D60A5D" w:rsidRPr="001A7517" w:rsidRDefault="00D60A5D" w:rsidP="00623210">
            <w:pPr>
              <w:suppressAutoHyphens/>
            </w:pPr>
            <w:r w:rsidRPr="001A7517">
              <w:t>79</w:t>
            </w:r>
          </w:p>
        </w:tc>
        <w:tc>
          <w:tcPr>
            <w:tcW w:w="864" w:type="dxa"/>
          </w:tcPr>
          <w:p w14:paraId="0141419C" w14:textId="77777777" w:rsidR="00D60A5D" w:rsidRPr="001A7517" w:rsidRDefault="00D60A5D" w:rsidP="00623210">
            <w:pPr>
              <w:suppressAutoHyphens/>
            </w:pPr>
            <w:r w:rsidRPr="001A7517">
              <w:t>94</w:t>
            </w:r>
          </w:p>
        </w:tc>
        <w:tc>
          <w:tcPr>
            <w:tcW w:w="864" w:type="dxa"/>
          </w:tcPr>
          <w:p w14:paraId="3F7EBB1D" w14:textId="77777777" w:rsidR="00D60A5D" w:rsidRPr="001A7517" w:rsidRDefault="00D60A5D" w:rsidP="00623210">
            <w:pPr>
              <w:suppressAutoHyphens/>
            </w:pPr>
            <w:r w:rsidRPr="001A7517">
              <w:t>112</w:t>
            </w:r>
          </w:p>
        </w:tc>
        <w:tc>
          <w:tcPr>
            <w:tcW w:w="864" w:type="dxa"/>
          </w:tcPr>
          <w:p w14:paraId="7BDD1F46" w14:textId="77777777" w:rsidR="00D60A5D" w:rsidRPr="001A7517" w:rsidRDefault="00D60A5D" w:rsidP="00623210">
            <w:pPr>
              <w:suppressAutoHyphens/>
            </w:pPr>
            <w:r w:rsidRPr="001A7517">
              <w:t>134</w:t>
            </w:r>
          </w:p>
        </w:tc>
        <w:tc>
          <w:tcPr>
            <w:tcW w:w="864" w:type="dxa"/>
          </w:tcPr>
          <w:p w14:paraId="6D05C0A1" w14:textId="77777777" w:rsidR="00D60A5D" w:rsidRPr="001A7517" w:rsidRDefault="00D60A5D" w:rsidP="00623210">
            <w:pPr>
              <w:suppressAutoHyphens/>
            </w:pPr>
            <w:r w:rsidRPr="001A7517">
              <w:t>162</w:t>
            </w:r>
          </w:p>
        </w:tc>
        <w:tc>
          <w:tcPr>
            <w:tcW w:w="864" w:type="dxa"/>
          </w:tcPr>
          <w:p w14:paraId="10BBD89A" w14:textId="77777777" w:rsidR="00D60A5D" w:rsidRPr="001A7517" w:rsidRDefault="00D60A5D" w:rsidP="00623210">
            <w:pPr>
              <w:suppressAutoHyphens/>
            </w:pPr>
            <w:r w:rsidRPr="001A7517">
              <w:t>195</w:t>
            </w:r>
          </w:p>
        </w:tc>
        <w:tc>
          <w:tcPr>
            <w:tcW w:w="864" w:type="dxa"/>
          </w:tcPr>
          <w:p w14:paraId="11714605" w14:textId="77777777" w:rsidR="00D60A5D" w:rsidRPr="001A7517" w:rsidRDefault="00D60A5D" w:rsidP="00623210">
            <w:pPr>
              <w:suppressAutoHyphens/>
            </w:pPr>
            <w:r w:rsidRPr="001A7517">
              <w:t>234</w:t>
            </w:r>
          </w:p>
        </w:tc>
      </w:tr>
      <w:tr w:rsidR="00D60A5D" w:rsidRPr="001A7517" w14:paraId="66521969" w14:textId="77777777" w:rsidTr="00623210">
        <w:tc>
          <w:tcPr>
            <w:tcW w:w="1728" w:type="dxa"/>
          </w:tcPr>
          <w:p w14:paraId="795A7B0C" w14:textId="77777777" w:rsidR="00D60A5D" w:rsidRPr="001A7517" w:rsidRDefault="00D60A5D" w:rsidP="00623210">
            <w:pPr>
              <w:suppressAutoHyphens/>
            </w:pPr>
            <w:r w:rsidRPr="001A7517">
              <w:t>1.2</w:t>
            </w:r>
          </w:p>
        </w:tc>
        <w:tc>
          <w:tcPr>
            <w:tcW w:w="864" w:type="dxa"/>
          </w:tcPr>
          <w:p w14:paraId="1F2F6A8E" w14:textId="77777777" w:rsidR="00D60A5D" w:rsidRPr="001A7517" w:rsidRDefault="00D60A5D" w:rsidP="00623210">
            <w:pPr>
              <w:suppressAutoHyphens/>
            </w:pPr>
            <w:r w:rsidRPr="001A7517">
              <w:t>80</w:t>
            </w:r>
          </w:p>
        </w:tc>
        <w:tc>
          <w:tcPr>
            <w:tcW w:w="864" w:type="dxa"/>
          </w:tcPr>
          <w:p w14:paraId="79179257" w14:textId="77777777" w:rsidR="00D60A5D" w:rsidRPr="001A7517" w:rsidRDefault="00D60A5D" w:rsidP="00623210">
            <w:pPr>
              <w:suppressAutoHyphens/>
            </w:pPr>
            <w:r w:rsidRPr="001A7517">
              <w:t>95</w:t>
            </w:r>
          </w:p>
        </w:tc>
        <w:tc>
          <w:tcPr>
            <w:tcW w:w="864" w:type="dxa"/>
          </w:tcPr>
          <w:p w14:paraId="1855FBC2" w14:textId="77777777" w:rsidR="00D60A5D" w:rsidRPr="001A7517" w:rsidRDefault="00D60A5D" w:rsidP="00623210">
            <w:pPr>
              <w:suppressAutoHyphens/>
            </w:pPr>
            <w:r w:rsidRPr="001A7517">
              <w:t>114</w:t>
            </w:r>
          </w:p>
        </w:tc>
        <w:tc>
          <w:tcPr>
            <w:tcW w:w="864" w:type="dxa"/>
          </w:tcPr>
          <w:p w14:paraId="35A80789" w14:textId="77777777" w:rsidR="00D60A5D" w:rsidRPr="001A7517" w:rsidRDefault="00D60A5D" w:rsidP="00623210">
            <w:pPr>
              <w:suppressAutoHyphens/>
            </w:pPr>
            <w:r w:rsidRPr="001A7517">
              <w:t>137</w:t>
            </w:r>
          </w:p>
        </w:tc>
        <w:tc>
          <w:tcPr>
            <w:tcW w:w="864" w:type="dxa"/>
          </w:tcPr>
          <w:p w14:paraId="0A35E63E" w14:textId="77777777" w:rsidR="00D60A5D" w:rsidRPr="001A7517" w:rsidRDefault="00D60A5D" w:rsidP="00623210">
            <w:pPr>
              <w:suppressAutoHyphens/>
            </w:pPr>
            <w:r w:rsidRPr="001A7517">
              <w:t>166</w:t>
            </w:r>
          </w:p>
        </w:tc>
        <w:tc>
          <w:tcPr>
            <w:tcW w:w="864" w:type="dxa"/>
          </w:tcPr>
          <w:p w14:paraId="50CE9956" w14:textId="77777777" w:rsidR="00D60A5D" w:rsidRPr="001A7517" w:rsidRDefault="00D60A5D" w:rsidP="00623210">
            <w:pPr>
              <w:suppressAutoHyphens/>
            </w:pPr>
            <w:r w:rsidRPr="001A7517">
              <w:t>200</w:t>
            </w:r>
          </w:p>
        </w:tc>
        <w:tc>
          <w:tcPr>
            <w:tcW w:w="864" w:type="dxa"/>
          </w:tcPr>
          <w:p w14:paraId="20DD56A7" w14:textId="77777777" w:rsidR="00D60A5D" w:rsidRPr="001A7517" w:rsidRDefault="00D60A5D" w:rsidP="00623210">
            <w:pPr>
              <w:suppressAutoHyphens/>
            </w:pPr>
            <w:r w:rsidRPr="001A7517">
              <w:t>240</w:t>
            </w:r>
          </w:p>
        </w:tc>
      </w:tr>
      <w:tr w:rsidR="00D60A5D" w:rsidRPr="001A7517" w14:paraId="7E1CD9FA" w14:textId="77777777" w:rsidTr="00623210">
        <w:tc>
          <w:tcPr>
            <w:tcW w:w="1728" w:type="dxa"/>
          </w:tcPr>
          <w:p w14:paraId="76A5BBB1" w14:textId="77777777" w:rsidR="00D60A5D" w:rsidRPr="001A7517" w:rsidRDefault="00D60A5D" w:rsidP="00623210">
            <w:pPr>
              <w:suppressAutoHyphens/>
            </w:pPr>
            <w:r w:rsidRPr="001A7517">
              <w:t>1.4</w:t>
            </w:r>
          </w:p>
        </w:tc>
        <w:tc>
          <w:tcPr>
            <w:tcW w:w="864" w:type="dxa"/>
          </w:tcPr>
          <w:p w14:paraId="4F1E5A61" w14:textId="77777777" w:rsidR="00D60A5D" w:rsidRPr="001A7517" w:rsidRDefault="00D60A5D" w:rsidP="00623210">
            <w:pPr>
              <w:suppressAutoHyphens/>
            </w:pPr>
            <w:r w:rsidRPr="001A7517">
              <w:t>82</w:t>
            </w:r>
          </w:p>
        </w:tc>
        <w:tc>
          <w:tcPr>
            <w:tcW w:w="864" w:type="dxa"/>
          </w:tcPr>
          <w:p w14:paraId="5A7E166D" w14:textId="77777777" w:rsidR="00D60A5D" w:rsidRPr="001A7517" w:rsidRDefault="00D60A5D" w:rsidP="00623210">
            <w:pPr>
              <w:suppressAutoHyphens/>
            </w:pPr>
            <w:r w:rsidRPr="001A7517">
              <w:t>98</w:t>
            </w:r>
          </w:p>
        </w:tc>
        <w:tc>
          <w:tcPr>
            <w:tcW w:w="864" w:type="dxa"/>
          </w:tcPr>
          <w:p w14:paraId="322F2F9C" w14:textId="77777777" w:rsidR="00D60A5D" w:rsidRPr="001A7517" w:rsidRDefault="00D60A5D" w:rsidP="00623210">
            <w:pPr>
              <w:suppressAutoHyphens/>
            </w:pPr>
            <w:r w:rsidRPr="001A7517">
              <w:t>116</w:t>
            </w:r>
          </w:p>
        </w:tc>
        <w:tc>
          <w:tcPr>
            <w:tcW w:w="864" w:type="dxa"/>
          </w:tcPr>
          <w:p w14:paraId="57424F9C" w14:textId="77777777" w:rsidR="00D60A5D" w:rsidRPr="001A7517" w:rsidRDefault="00D60A5D" w:rsidP="00623210">
            <w:pPr>
              <w:suppressAutoHyphens/>
            </w:pPr>
            <w:r w:rsidRPr="001A7517">
              <w:t>140</w:t>
            </w:r>
          </w:p>
        </w:tc>
        <w:tc>
          <w:tcPr>
            <w:tcW w:w="864" w:type="dxa"/>
          </w:tcPr>
          <w:p w14:paraId="25F4E8A4" w14:textId="77777777" w:rsidR="00D60A5D" w:rsidRPr="001A7517" w:rsidRDefault="00D60A5D" w:rsidP="00623210">
            <w:pPr>
              <w:suppressAutoHyphens/>
            </w:pPr>
            <w:r w:rsidRPr="001A7517">
              <w:t>170</w:t>
            </w:r>
          </w:p>
        </w:tc>
        <w:tc>
          <w:tcPr>
            <w:tcW w:w="864" w:type="dxa"/>
          </w:tcPr>
          <w:p w14:paraId="3F8DB4AB" w14:textId="77777777" w:rsidR="00D60A5D" w:rsidRPr="001A7517" w:rsidRDefault="00D60A5D" w:rsidP="00623210">
            <w:pPr>
              <w:suppressAutoHyphens/>
            </w:pPr>
            <w:r w:rsidRPr="001A7517">
              <w:t>206</w:t>
            </w:r>
          </w:p>
        </w:tc>
        <w:tc>
          <w:tcPr>
            <w:tcW w:w="864" w:type="dxa"/>
          </w:tcPr>
          <w:p w14:paraId="3A58DCD6" w14:textId="77777777" w:rsidR="00D60A5D" w:rsidRPr="001A7517" w:rsidRDefault="00D60A5D" w:rsidP="00623210">
            <w:pPr>
              <w:suppressAutoHyphens/>
            </w:pPr>
            <w:r w:rsidRPr="001A7517">
              <w:t>247</w:t>
            </w:r>
          </w:p>
        </w:tc>
      </w:tr>
      <w:tr w:rsidR="00D60A5D" w:rsidRPr="001A7517" w14:paraId="13F3F97E" w14:textId="77777777" w:rsidTr="00623210">
        <w:tc>
          <w:tcPr>
            <w:tcW w:w="1728" w:type="dxa"/>
          </w:tcPr>
          <w:p w14:paraId="33E33CAA" w14:textId="77777777" w:rsidR="00D60A5D" w:rsidRPr="001A7517" w:rsidRDefault="00D60A5D" w:rsidP="00623210">
            <w:pPr>
              <w:suppressAutoHyphens/>
            </w:pPr>
            <w:r w:rsidRPr="001A7517">
              <w:t>1.6</w:t>
            </w:r>
          </w:p>
        </w:tc>
        <w:tc>
          <w:tcPr>
            <w:tcW w:w="864" w:type="dxa"/>
          </w:tcPr>
          <w:p w14:paraId="2F9B0E84" w14:textId="77777777" w:rsidR="00D60A5D" w:rsidRPr="001A7517" w:rsidRDefault="00D60A5D" w:rsidP="00623210">
            <w:pPr>
              <w:suppressAutoHyphens/>
            </w:pPr>
            <w:r w:rsidRPr="001A7517">
              <w:t>83</w:t>
            </w:r>
          </w:p>
        </w:tc>
        <w:tc>
          <w:tcPr>
            <w:tcW w:w="864" w:type="dxa"/>
          </w:tcPr>
          <w:p w14:paraId="6A889FBD" w14:textId="77777777" w:rsidR="00D60A5D" w:rsidRPr="001A7517" w:rsidRDefault="00D60A5D" w:rsidP="00623210">
            <w:pPr>
              <w:suppressAutoHyphens/>
            </w:pPr>
            <w:r w:rsidRPr="001A7517">
              <w:t>99</w:t>
            </w:r>
          </w:p>
        </w:tc>
        <w:tc>
          <w:tcPr>
            <w:tcW w:w="864" w:type="dxa"/>
          </w:tcPr>
          <w:p w14:paraId="166501EF" w14:textId="77777777" w:rsidR="00D60A5D" w:rsidRPr="001A7517" w:rsidRDefault="00D60A5D" w:rsidP="00623210">
            <w:pPr>
              <w:suppressAutoHyphens/>
            </w:pPr>
            <w:r w:rsidRPr="001A7517">
              <w:t>119</w:t>
            </w:r>
          </w:p>
        </w:tc>
        <w:tc>
          <w:tcPr>
            <w:tcW w:w="864" w:type="dxa"/>
          </w:tcPr>
          <w:p w14:paraId="3C07F35C" w14:textId="77777777" w:rsidR="00D60A5D" w:rsidRPr="001A7517" w:rsidRDefault="00D60A5D" w:rsidP="00623210">
            <w:pPr>
              <w:suppressAutoHyphens/>
            </w:pPr>
            <w:r w:rsidRPr="001A7517">
              <w:t>144</w:t>
            </w:r>
          </w:p>
        </w:tc>
        <w:tc>
          <w:tcPr>
            <w:tcW w:w="864" w:type="dxa"/>
          </w:tcPr>
          <w:p w14:paraId="180FD97B" w14:textId="77777777" w:rsidR="00D60A5D" w:rsidRPr="001A7517" w:rsidRDefault="00D60A5D" w:rsidP="00623210">
            <w:pPr>
              <w:suppressAutoHyphens/>
            </w:pPr>
            <w:r w:rsidRPr="001A7517">
              <w:t>174</w:t>
            </w:r>
          </w:p>
        </w:tc>
        <w:tc>
          <w:tcPr>
            <w:tcW w:w="864" w:type="dxa"/>
          </w:tcPr>
          <w:p w14:paraId="3316FAFB" w14:textId="77777777" w:rsidR="00D60A5D" w:rsidRPr="001A7517" w:rsidRDefault="00D60A5D" w:rsidP="00623210">
            <w:pPr>
              <w:suppressAutoHyphens/>
            </w:pPr>
            <w:r w:rsidRPr="001A7517">
              <w:t>211</w:t>
            </w:r>
          </w:p>
        </w:tc>
        <w:tc>
          <w:tcPr>
            <w:tcW w:w="864" w:type="dxa"/>
          </w:tcPr>
          <w:p w14:paraId="13A74AF9" w14:textId="77777777" w:rsidR="00D60A5D" w:rsidRPr="001A7517" w:rsidRDefault="00D60A5D" w:rsidP="00623210">
            <w:pPr>
              <w:suppressAutoHyphens/>
            </w:pPr>
            <w:r w:rsidRPr="001A7517">
              <w:t>253</w:t>
            </w:r>
          </w:p>
        </w:tc>
      </w:tr>
      <w:tr w:rsidR="00D60A5D" w:rsidRPr="001A7517" w14:paraId="5AA44AA9" w14:textId="77777777" w:rsidTr="00623210">
        <w:tc>
          <w:tcPr>
            <w:tcW w:w="1728" w:type="dxa"/>
          </w:tcPr>
          <w:p w14:paraId="11B711BF" w14:textId="77777777" w:rsidR="00D60A5D" w:rsidRPr="001A7517" w:rsidRDefault="00D60A5D" w:rsidP="00623210">
            <w:pPr>
              <w:suppressAutoHyphens/>
            </w:pPr>
            <w:r w:rsidRPr="001A7517">
              <w:t>1.8</w:t>
            </w:r>
          </w:p>
        </w:tc>
        <w:tc>
          <w:tcPr>
            <w:tcW w:w="864" w:type="dxa"/>
          </w:tcPr>
          <w:p w14:paraId="37307DFD" w14:textId="77777777" w:rsidR="00D60A5D" w:rsidRPr="001A7517" w:rsidRDefault="00D60A5D" w:rsidP="00623210">
            <w:pPr>
              <w:suppressAutoHyphens/>
            </w:pPr>
            <w:r w:rsidRPr="001A7517">
              <w:t>86</w:t>
            </w:r>
          </w:p>
        </w:tc>
        <w:tc>
          <w:tcPr>
            <w:tcW w:w="864" w:type="dxa"/>
          </w:tcPr>
          <w:p w14:paraId="5A5E3630" w14:textId="77777777" w:rsidR="00D60A5D" w:rsidRPr="001A7517" w:rsidRDefault="00D60A5D" w:rsidP="00623210">
            <w:pPr>
              <w:suppressAutoHyphens/>
            </w:pPr>
            <w:r w:rsidRPr="001A7517">
              <w:t>101</w:t>
            </w:r>
          </w:p>
        </w:tc>
        <w:tc>
          <w:tcPr>
            <w:tcW w:w="864" w:type="dxa"/>
          </w:tcPr>
          <w:p w14:paraId="6B51C320" w14:textId="77777777" w:rsidR="00D60A5D" w:rsidRPr="001A7517" w:rsidRDefault="00D60A5D" w:rsidP="00623210">
            <w:pPr>
              <w:suppressAutoHyphens/>
            </w:pPr>
            <w:r w:rsidRPr="001A7517">
              <w:t>122</w:t>
            </w:r>
          </w:p>
        </w:tc>
        <w:tc>
          <w:tcPr>
            <w:tcW w:w="864" w:type="dxa"/>
          </w:tcPr>
          <w:p w14:paraId="3AB78DD9" w14:textId="77777777" w:rsidR="00D60A5D" w:rsidRPr="001A7517" w:rsidRDefault="00D60A5D" w:rsidP="00623210">
            <w:pPr>
              <w:suppressAutoHyphens/>
            </w:pPr>
            <w:r w:rsidRPr="001A7517">
              <w:t>147</w:t>
            </w:r>
          </w:p>
        </w:tc>
        <w:tc>
          <w:tcPr>
            <w:tcW w:w="864" w:type="dxa"/>
          </w:tcPr>
          <w:p w14:paraId="2EC994FA" w14:textId="77777777" w:rsidR="00D60A5D" w:rsidRPr="001A7517" w:rsidRDefault="00D60A5D" w:rsidP="00623210">
            <w:pPr>
              <w:suppressAutoHyphens/>
            </w:pPr>
            <w:r w:rsidRPr="001A7517">
              <w:t>179</w:t>
            </w:r>
          </w:p>
        </w:tc>
        <w:tc>
          <w:tcPr>
            <w:tcW w:w="864" w:type="dxa"/>
          </w:tcPr>
          <w:p w14:paraId="0664F7D1" w14:textId="77777777" w:rsidR="00D60A5D" w:rsidRPr="001A7517" w:rsidRDefault="00D60A5D" w:rsidP="00623210">
            <w:pPr>
              <w:suppressAutoHyphens/>
            </w:pPr>
            <w:r w:rsidRPr="001A7517">
              <w:t>215</w:t>
            </w:r>
          </w:p>
        </w:tc>
        <w:tc>
          <w:tcPr>
            <w:tcW w:w="864" w:type="dxa"/>
          </w:tcPr>
          <w:p w14:paraId="6A83BADB" w14:textId="77777777" w:rsidR="00D60A5D" w:rsidRPr="001A7517" w:rsidRDefault="00D60A5D" w:rsidP="00623210">
            <w:pPr>
              <w:suppressAutoHyphens/>
            </w:pPr>
            <w:r w:rsidRPr="001A7517">
              <w:t>259</w:t>
            </w:r>
          </w:p>
        </w:tc>
      </w:tr>
      <w:tr w:rsidR="00D60A5D" w:rsidRPr="001A7517" w14:paraId="1BC8C017" w14:textId="77777777" w:rsidTr="00623210">
        <w:tc>
          <w:tcPr>
            <w:tcW w:w="1728" w:type="dxa"/>
          </w:tcPr>
          <w:p w14:paraId="6BD10CD5" w14:textId="77777777" w:rsidR="00D60A5D" w:rsidRPr="001A7517" w:rsidRDefault="00D60A5D" w:rsidP="00623210">
            <w:pPr>
              <w:suppressAutoHyphens/>
            </w:pPr>
            <w:r w:rsidRPr="001A7517">
              <w:t>2.0</w:t>
            </w:r>
          </w:p>
        </w:tc>
        <w:tc>
          <w:tcPr>
            <w:tcW w:w="864" w:type="dxa"/>
          </w:tcPr>
          <w:p w14:paraId="4DE6469B" w14:textId="77777777" w:rsidR="00D60A5D" w:rsidRPr="001A7517" w:rsidRDefault="00D60A5D" w:rsidP="00623210">
            <w:pPr>
              <w:suppressAutoHyphens/>
            </w:pPr>
            <w:r w:rsidRPr="001A7517">
              <w:t>87</w:t>
            </w:r>
          </w:p>
        </w:tc>
        <w:tc>
          <w:tcPr>
            <w:tcW w:w="864" w:type="dxa"/>
          </w:tcPr>
          <w:p w14:paraId="162F92A2" w14:textId="77777777" w:rsidR="00D60A5D" w:rsidRPr="001A7517" w:rsidRDefault="00D60A5D" w:rsidP="00623210">
            <w:pPr>
              <w:suppressAutoHyphens/>
            </w:pPr>
            <w:r w:rsidRPr="001A7517">
              <w:t>104</w:t>
            </w:r>
          </w:p>
        </w:tc>
        <w:tc>
          <w:tcPr>
            <w:tcW w:w="864" w:type="dxa"/>
          </w:tcPr>
          <w:p w14:paraId="3A192107" w14:textId="77777777" w:rsidR="00D60A5D" w:rsidRPr="001A7517" w:rsidRDefault="00D60A5D" w:rsidP="00623210">
            <w:pPr>
              <w:suppressAutoHyphens/>
            </w:pPr>
            <w:r w:rsidRPr="001A7517">
              <w:t>124</w:t>
            </w:r>
          </w:p>
        </w:tc>
        <w:tc>
          <w:tcPr>
            <w:tcW w:w="864" w:type="dxa"/>
          </w:tcPr>
          <w:p w14:paraId="7114CAA7" w14:textId="77777777" w:rsidR="00D60A5D" w:rsidRPr="001A7517" w:rsidRDefault="00D60A5D" w:rsidP="00623210">
            <w:pPr>
              <w:suppressAutoHyphens/>
            </w:pPr>
            <w:r w:rsidRPr="001A7517">
              <w:t>150</w:t>
            </w:r>
          </w:p>
        </w:tc>
        <w:tc>
          <w:tcPr>
            <w:tcW w:w="864" w:type="dxa"/>
          </w:tcPr>
          <w:p w14:paraId="45AF62F3" w14:textId="77777777" w:rsidR="00D60A5D" w:rsidRPr="001A7517" w:rsidRDefault="00D60A5D" w:rsidP="00623210">
            <w:pPr>
              <w:suppressAutoHyphens/>
            </w:pPr>
            <w:r w:rsidRPr="001A7517">
              <w:t>182</w:t>
            </w:r>
          </w:p>
        </w:tc>
        <w:tc>
          <w:tcPr>
            <w:tcW w:w="864" w:type="dxa"/>
          </w:tcPr>
          <w:p w14:paraId="7473EEE6" w14:textId="77777777" w:rsidR="00D60A5D" w:rsidRPr="001A7517" w:rsidRDefault="00D60A5D" w:rsidP="00623210">
            <w:pPr>
              <w:suppressAutoHyphens/>
            </w:pPr>
            <w:r w:rsidRPr="001A7517">
              <w:t>221</w:t>
            </w:r>
          </w:p>
        </w:tc>
        <w:tc>
          <w:tcPr>
            <w:tcW w:w="864" w:type="dxa"/>
          </w:tcPr>
          <w:p w14:paraId="1EA0D99B" w14:textId="77777777" w:rsidR="00D60A5D" w:rsidRPr="001A7517" w:rsidRDefault="00D60A5D" w:rsidP="00623210">
            <w:pPr>
              <w:suppressAutoHyphens/>
            </w:pPr>
            <w:r w:rsidRPr="001A7517">
              <w:t>265</w:t>
            </w:r>
          </w:p>
        </w:tc>
      </w:tr>
      <w:tr w:rsidR="00D60A5D" w:rsidRPr="001A7517" w14:paraId="195BC7DD" w14:textId="77777777" w:rsidTr="00623210">
        <w:tc>
          <w:tcPr>
            <w:tcW w:w="1728" w:type="dxa"/>
          </w:tcPr>
          <w:p w14:paraId="7F7DEF58" w14:textId="77777777" w:rsidR="00D60A5D" w:rsidRPr="001A7517" w:rsidRDefault="00D60A5D" w:rsidP="00623210">
            <w:pPr>
              <w:suppressAutoHyphens/>
            </w:pPr>
            <w:r w:rsidRPr="001A7517">
              <w:t>2.2</w:t>
            </w:r>
          </w:p>
        </w:tc>
        <w:tc>
          <w:tcPr>
            <w:tcW w:w="864" w:type="dxa"/>
          </w:tcPr>
          <w:p w14:paraId="1D53FDA1" w14:textId="77777777" w:rsidR="00D60A5D" w:rsidRPr="001A7517" w:rsidRDefault="00D60A5D" w:rsidP="00623210">
            <w:pPr>
              <w:suppressAutoHyphens/>
            </w:pPr>
            <w:r w:rsidRPr="001A7517">
              <w:t>89</w:t>
            </w:r>
          </w:p>
        </w:tc>
        <w:tc>
          <w:tcPr>
            <w:tcW w:w="864" w:type="dxa"/>
          </w:tcPr>
          <w:p w14:paraId="3A35CA4D" w14:textId="77777777" w:rsidR="00D60A5D" w:rsidRPr="001A7517" w:rsidRDefault="00D60A5D" w:rsidP="00623210">
            <w:pPr>
              <w:suppressAutoHyphens/>
            </w:pPr>
            <w:r w:rsidRPr="001A7517">
              <w:t>105</w:t>
            </w:r>
          </w:p>
        </w:tc>
        <w:tc>
          <w:tcPr>
            <w:tcW w:w="864" w:type="dxa"/>
          </w:tcPr>
          <w:p w14:paraId="3C9ECA62" w14:textId="77777777" w:rsidR="00D60A5D" w:rsidRPr="001A7517" w:rsidRDefault="00D60A5D" w:rsidP="00623210">
            <w:pPr>
              <w:suppressAutoHyphens/>
            </w:pPr>
            <w:r w:rsidRPr="001A7517">
              <w:t>127</w:t>
            </w:r>
          </w:p>
        </w:tc>
        <w:tc>
          <w:tcPr>
            <w:tcW w:w="864" w:type="dxa"/>
          </w:tcPr>
          <w:p w14:paraId="32C6E659" w14:textId="77777777" w:rsidR="00D60A5D" w:rsidRPr="001A7517" w:rsidRDefault="00D60A5D" w:rsidP="00623210">
            <w:pPr>
              <w:suppressAutoHyphens/>
            </w:pPr>
            <w:r w:rsidRPr="001A7517">
              <w:t>153</w:t>
            </w:r>
          </w:p>
        </w:tc>
        <w:tc>
          <w:tcPr>
            <w:tcW w:w="864" w:type="dxa"/>
          </w:tcPr>
          <w:p w14:paraId="137FA885" w14:textId="77777777" w:rsidR="00D60A5D" w:rsidRPr="001A7517" w:rsidRDefault="00D60A5D" w:rsidP="00623210">
            <w:pPr>
              <w:suppressAutoHyphens/>
            </w:pPr>
            <w:r w:rsidRPr="001A7517">
              <w:t>186</w:t>
            </w:r>
          </w:p>
        </w:tc>
        <w:tc>
          <w:tcPr>
            <w:tcW w:w="864" w:type="dxa"/>
          </w:tcPr>
          <w:p w14:paraId="2370B509" w14:textId="77777777" w:rsidR="00D60A5D" w:rsidRPr="001A7517" w:rsidRDefault="00D60A5D" w:rsidP="00623210">
            <w:pPr>
              <w:suppressAutoHyphens/>
            </w:pPr>
            <w:r w:rsidRPr="001A7517">
              <w:t>225</w:t>
            </w:r>
          </w:p>
        </w:tc>
        <w:tc>
          <w:tcPr>
            <w:tcW w:w="864" w:type="dxa"/>
          </w:tcPr>
          <w:p w14:paraId="35DDCF05" w14:textId="77777777" w:rsidR="00D60A5D" w:rsidRPr="001A7517" w:rsidRDefault="00D60A5D" w:rsidP="00623210">
            <w:pPr>
              <w:suppressAutoHyphens/>
            </w:pPr>
            <w:r w:rsidRPr="001A7517">
              <w:t>271</w:t>
            </w:r>
          </w:p>
        </w:tc>
      </w:tr>
      <w:tr w:rsidR="00D60A5D" w:rsidRPr="001A7517" w14:paraId="0F34E758" w14:textId="77777777" w:rsidTr="00623210">
        <w:tc>
          <w:tcPr>
            <w:tcW w:w="1728" w:type="dxa"/>
          </w:tcPr>
          <w:p w14:paraId="710F22FA" w14:textId="77777777" w:rsidR="00D60A5D" w:rsidRPr="001A7517" w:rsidRDefault="00D60A5D" w:rsidP="00623210">
            <w:pPr>
              <w:suppressAutoHyphens/>
            </w:pPr>
            <w:r w:rsidRPr="001A7517">
              <w:t>2.4</w:t>
            </w:r>
          </w:p>
        </w:tc>
        <w:tc>
          <w:tcPr>
            <w:tcW w:w="864" w:type="dxa"/>
          </w:tcPr>
          <w:p w14:paraId="6CBDCBC6" w14:textId="77777777" w:rsidR="00D60A5D" w:rsidRPr="001A7517" w:rsidRDefault="00D60A5D" w:rsidP="00623210">
            <w:pPr>
              <w:suppressAutoHyphens/>
            </w:pPr>
            <w:r w:rsidRPr="001A7517">
              <w:t>90</w:t>
            </w:r>
          </w:p>
        </w:tc>
        <w:tc>
          <w:tcPr>
            <w:tcW w:w="864" w:type="dxa"/>
          </w:tcPr>
          <w:p w14:paraId="483F6DFB" w14:textId="77777777" w:rsidR="00D60A5D" w:rsidRPr="001A7517" w:rsidRDefault="00D60A5D" w:rsidP="00623210">
            <w:pPr>
              <w:suppressAutoHyphens/>
            </w:pPr>
            <w:r w:rsidRPr="001A7517">
              <w:t>107</w:t>
            </w:r>
          </w:p>
        </w:tc>
        <w:tc>
          <w:tcPr>
            <w:tcW w:w="864" w:type="dxa"/>
          </w:tcPr>
          <w:p w14:paraId="446B042F" w14:textId="77777777" w:rsidR="00D60A5D" w:rsidRPr="001A7517" w:rsidRDefault="00D60A5D" w:rsidP="00623210">
            <w:pPr>
              <w:suppressAutoHyphens/>
            </w:pPr>
            <w:r w:rsidRPr="001A7517">
              <w:t>129</w:t>
            </w:r>
          </w:p>
        </w:tc>
        <w:tc>
          <w:tcPr>
            <w:tcW w:w="864" w:type="dxa"/>
          </w:tcPr>
          <w:p w14:paraId="588C5C49" w14:textId="77777777" w:rsidR="00D60A5D" w:rsidRPr="001A7517" w:rsidRDefault="00D60A5D" w:rsidP="00623210">
            <w:pPr>
              <w:suppressAutoHyphens/>
            </w:pPr>
            <w:r w:rsidRPr="001A7517">
              <w:t>157</w:t>
            </w:r>
          </w:p>
        </w:tc>
        <w:tc>
          <w:tcPr>
            <w:tcW w:w="864" w:type="dxa"/>
          </w:tcPr>
          <w:p w14:paraId="1BBD34DD" w14:textId="77777777" w:rsidR="00D60A5D" w:rsidRPr="001A7517" w:rsidRDefault="00D60A5D" w:rsidP="00623210">
            <w:pPr>
              <w:suppressAutoHyphens/>
            </w:pPr>
            <w:r w:rsidRPr="001A7517">
              <w:t>190</w:t>
            </w:r>
          </w:p>
        </w:tc>
        <w:tc>
          <w:tcPr>
            <w:tcW w:w="864" w:type="dxa"/>
          </w:tcPr>
          <w:p w14:paraId="44A1BBAE" w14:textId="77777777" w:rsidR="00D60A5D" w:rsidRPr="001A7517" w:rsidRDefault="00D60A5D" w:rsidP="00623210">
            <w:pPr>
              <w:suppressAutoHyphens/>
            </w:pPr>
            <w:r w:rsidRPr="001A7517">
              <w:t>230</w:t>
            </w:r>
          </w:p>
        </w:tc>
        <w:tc>
          <w:tcPr>
            <w:tcW w:w="864" w:type="dxa"/>
          </w:tcPr>
          <w:p w14:paraId="0BA9E14C" w14:textId="77777777" w:rsidR="00D60A5D" w:rsidRPr="001A7517" w:rsidRDefault="00D60A5D" w:rsidP="00623210">
            <w:pPr>
              <w:suppressAutoHyphens/>
            </w:pPr>
            <w:r w:rsidRPr="001A7517">
              <w:t>276</w:t>
            </w:r>
          </w:p>
        </w:tc>
      </w:tr>
      <w:tr w:rsidR="00D60A5D" w:rsidRPr="001A7517" w14:paraId="021AB9E9" w14:textId="77777777" w:rsidTr="00623210">
        <w:tc>
          <w:tcPr>
            <w:tcW w:w="1728" w:type="dxa"/>
          </w:tcPr>
          <w:p w14:paraId="7B9BE06D" w14:textId="77777777" w:rsidR="00D60A5D" w:rsidRPr="001A7517" w:rsidRDefault="00D60A5D" w:rsidP="00623210">
            <w:pPr>
              <w:suppressAutoHyphens/>
            </w:pPr>
            <w:r w:rsidRPr="001A7517">
              <w:t>2.6</w:t>
            </w:r>
          </w:p>
        </w:tc>
        <w:tc>
          <w:tcPr>
            <w:tcW w:w="864" w:type="dxa"/>
          </w:tcPr>
          <w:p w14:paraId="25FD9E0D" w14:textId="77777777" w:rsidR="00D60A5D" w:rsidRPr="001A7517" w:rsidRDefault="00D60A5D" w:rsidP="00623210">
            <w:pPr>
              <w:suppressAutoHyphens/>
            </w:pPr>
            <w:r w:rsidRPr="001A7517">
              <w:t>92</w:t>
            </w:r>
          </w:p>
        </w:tc>
        <w:tc>
          <w:tcPr>
            <w:tcW w:w="864" w:type="dxa"/>
          </w:tcPr>
          <w:p w14:paraId="0DA5144B" w14:textId="77777777" w:rsidR="00D60A5D" w:rsidRPr="001A7517" w:rsidRDefault="00D60A5D" w:rsidP="00623210">
            <w:pPr>
              <w:suppressAutoHyphens/>
            </w:pPr>
            <w:r w:rsidRPr="001A7517">
              <w:t>110</w:t>
            </w:r>
          </w:p>
        </w:tc>
        <w:tc>
          <w:tcPr>
            <w:tcW w:w="864" w:type="dxa"/>
          </w:tcPr>
          <w:p w14:paraId="1108443C" w14:textId="77777777" w:rsidR="00D60A5D" w:rsidRPr="001A7517" w:rsidRDefault="00D60A5D" w:rsidP="00623210">
            <w:pPr>
              <w:suppressAutoHyphens/>
            </w:pPr>
            <w:r w:rsidRPr="001A7517">
              <w:t>131</w:t>
            </w:r>
          </w:p>
        </w:tc>
        <w:tc>
          <w:tcPr>
            <w:tcW w:w="864" w:type="dxa"/>
          </w:tcPr>
          <w:p w14:paraId="052E741D" w14:textId="77777777" w:rsidR="00D60A5D" w:rsidRPr="001A7517" w:rsidRDefault="00D60A5D" w:rsidP="00623210">
            <w:pPr>
              <w:suppressAutoHyphens/>
            </w:pPr>
            <w:r w:rsidRPr="001A7517">
              <w:t>160</w:t>
            </w:r>
          </w:p>
        </w:tc>
        <w:tc>
          <w:tcPr>
            <w:tcW w:w="864" w:type="dxa"/>
          </w:tcPr>
          <w:p w14:paraId="6229267E" w14:textId="77777777" w:rsidR="00D60A5D" w:rsidRPr="001A7517" w:rsidRDefault="00D60A5D" w:rsidP="00623210">
            <w:pPr>
              <w:suppressAutoHyphens/>
            </w:pPr>
            <w:r w:rsidRPr="001A7517">
              <w:t>194</w:t>
            </w:r>
          </w:p>
        </w:tc>
        <w:tc>
          <w:tcPr>
            <w:tcW w:w="864" w:type="dxa"/>
          </w:tcPr>
          <w:p w14:paraId="5FB6A52F" w14:textId="77777777" w:rsidR="00D60A5D" w:rsidRPr="001A7517" w:rsidRDefault="00D60A5D" w:rsidP="00623210">
            <w:pPr>
              <w:suppressAutoHyphens/>
            </w:pPr>
            <w:r w:rsidRPr="001A7517">
              <w:t>234</w:t>
            </w:r>
          </w:p>
        </w:tc>
        <w:tc>
          <w:tcPr>
            <w:tcW w:w="864" w:type="dxa"/>
          </w:tcPr>
          <w:p w14:paraId="7CEBEE1D" w14:textId="77777777" w:rsidR="00D60A5D" w:rsidRPr="001A7517" w:rsidRDefault="00D60A5D" w:rsidP="00623210">
            <w:pPr>
              <w:suppressAutoHyphens/>
            </w:pPr>
            <w:r w:rsidRPr="001A7517">
              <w:t>281</w:t>
            </w:r>
          </w:p>
        </w:tc>
      </w:tr>
      <w:tr w:rsidR="00D60A5D" w:rsidRPr="001A7517" w14:paraId="7DD12531" w14:textId="77777777" w:rsidTr="00623210">
        <w:tc>
          <w:tcPr>
            <w:tcW w:w="1728" w:type="dxa"/>
          </w:tcPr>
          <w:p w14:paraId="565ADE5C" w14:textId="77777777" w:rsidR="00D60A5D" w:rsidRPr="001A7517" w:rsidRDefault="00D60A5D" w:rsidP="00623210">
            <w:pPr>
              <w:suppressAutoHyphens/>
            </w:pPr>
            <w:r w:rsidRPr="001A7517">
              <w:t>2.8</w:t>
            </w:r>
          </w:p>
        </w:tc>
        <w:tc>
          <w:tcPr>
            <w:tcW w:w="864" w:type="dxa"/>
          </w:tcPr>
          <w:p w14:paraId="77114A89" w14:textId="77777777" w:rsidR="00D60A5D" w:rsidRPr="001A7517" w:rsidRDefault="00D60A5D" w:rsidP="00623210">
            <w:pPr>
              <w:suppressAutoHyphens/>
            </w:pPr>
            <w:r w:rsidRPr="001A7517">
              <w:t>93</w:t>
            </w:r>
          </w:p>
        </w:tc>
        <w:tc>
          <w:tcPr>
            <w:tcW w:w="864" w:type="dxa"/>
          </w:tcPr>
          <w:p w14:paraId="6D6555D0" w14:textId="77777777" w:rsidR="00D60A5D" w:rsidRPr="001A7517" w:rsidRDefault="00D60A5D" w:rsidP="00623210">
            <w:pPr>
              <w:suppressAutoHyphens/>
            </w:pPr>
            <w:r w:rsidRPr="001A7517">
              <w:t>111</w:t>
            </w:r>
          </w:p>
        </w:tc>
        <w:tc>
          <w:tcPr>
            <w:tcW w:w="864" w:type="dxa"/>
          </w:tcPr>
          <w:p w14:paraId="639A0A11" w14:textId="77777777" w:rsidR="00D60A5D" w:rsidRPr="001A7517" w:rsidRDefault="00D60A5D" w:rsidP="00623210">
            <w:pPr>
              <w:suppressAutoHyphens/>
            </w:pPr>
            <w:r w:rsidRPr="001A7517">
              <w:t>134</w:t>
            </w:r>
          </w:p>
        </w:tc>
        <w:tc>
          <w:tcPr>
            <w:tcW w:w="864" w:type="dxa"/>
          </w:tcPr>
          <w:p w14:paraId="2781119C" w14:textId="77777777" w:rsidR="00D60A5D" w:rsidRPr="001A7517" w:rsidRDefault="00D60A5D" w:rsidP="00623210">
            <w:pPr>
              <w:suppressAutoHyphens/>
            </w:pPr>
            <w:r w:rsidRPr="001A7517">
              <w:t>163</w:t>
            </w:r>
          </w:p>
        </w:tc>
        <w:tc>
          <w:tcPr>
            <w:tcW w:w="864" w:type="dxa"/>
          </w:tcPr>
          <w:p w14:paraId="1D8D4293" w14:textId="77777777" w:rsidR="00D60A5D" w:rsidRPr="001A7517" w:rsidRDefault="00D60A5D" w:rsidP="00623210">
            <w:pPr>
              <w:suppressAutoHyphens/>
            </w:pPr>
            <w:r w:rsidRPr="001A7517">
              <w:t>197</w:t>
            </w:r>
          </w:p>
        </w:tc>
        <w:tc>
          <w:tcPr>
            <w:tcW w:w="864" w:type="dxa"/>
          </w:tcPr>
          <w:p w14:paraId="4F3FBE05" w14:textId="77777777" w:rsidR="00D60A5D" w:rsidRPr="001A7517" w:rsidRDefault="00D60A5D" w:rsidP="00623210">
            <w:pPr>
              <w:suppressAutoHyphens/>
            </w:pPr>
            <w:r w:rsidRPr="001A7517">
              <w:t>239</w:t>
            </w:r>
          </w:p>
        </w:tc>
        <w:tc>
          <w:tcPr>
            <w:tcW w:w="864" w:type="dxa"/>
          </w:tcPr>
          <w:p w14:paraId="5B699DA2" w14:textId="77777777" w:rsidR="00D60A5D" w:rsidRPr="001A7517" w:rsidRDefault="00D60A5D" w:rsidP="00623210">
            <w:pPr>
              <w:suppressAutoHyphens/>
            </w:pPr>
            <w:r w:rsidRPr="001A7517">
              <w:t>287</w:t>
            </w:r>
          </w:p>
        </w:tc>
      </w:tr>
      <w:tr w:rsidR="00D60A5D" w:rsidRPr="001A7517" w14:paraId="74F7356C" w14:textId="77777777" w:rsidTr="00623210">
        <w:tc>
          <w:tcPr>
            <w:tcW w:w="1728" w:type="dxa"/>
          </w:tcPr>
          <w:p w14:paraId="5B8CC4BB" w14:textId="77777777" w:rsidR="00D60A5D" w:rsidRPr="001A7517" w:rsidRDefault="00D60A5D" w:rsidP="00623210">
            <w:pPr>
              <w:suppressAutoHyphens/>
            </w:pPr>
            <w:r w:rsidRPr="001A7517">
              <w:lastRenderedPageBreak/>
              <w:t>3.0</w:t>
            </w:r>
          </w:p>
        </w:tc>
        <w:tc>
          <w:tcPr>
            <w:tcW w:w="864" w:type="dxa"/>
          </w:tcPr>
          <w:p w14:paraId="4264248F" w14:textId="77777777" w:rsidR="00D60A5D" w:rsidRPr="001A7517" w:rsidRDefault="00D60A5D" w:rsidP="00623210">
            <w:pPr>
              <w:suppressAutoHyphens/>
            </w:pPr>
            <w:r w:rsidRPr="001A7517">
              <w:t>95</w:t>
            </w:r>
          </w:p>
        </w:tc>
        <w:tc>
          <w:tcPr>
            <w:tcW w:w="864" w:type="dxa"/>
          </w:tcPr>
          <w:p w14:paraId="16DB47A3" w14:textId="77777777" w:rsidR="00D60A5D" w:rsidRPr="001A7517" w:rsidRDefault="00D60A5D" w:rsidP="00623210">
            <w:pPr>
              <w:suppressAutoHyphens/>
            </w:pPr>
            <w:r w:rsidRPr="001A7517">
              <w:t>113</w:t>
            </w:r>
          </w:p>
        </w:tc>
        <w:tc>
          <w:tcPr>
            <w:tcW w:w="864" w:type="dxa"/>
          </w:tcPr>
          <w:p w14:paraId="7557E8D7" w14:textId="77777777" w:rsidR="00D60A5D" w:rsidRPr="001A7517" w:rsidRDefault="00D60A5D" w:rsidP="00623210">
            <w:pPr>
              <w:suppressAutoHyphens/>
            </w:pPr>
            <w:r w:rsidRPr="001A7517">
              <w:t>137</w:t>
            </w:r>
          </w:p>
        </w:tc>
        <w:tc>
          <w:tcPr>
            <w:tcW w:w="864" w:type="dxa"/>
          </w:tcPr>
          <w:p w14:paraId="488C7BE3" w14:textId="77777777" w:rsidR="00D60A5D" w:rsidRPr="001A7517" w:rsidRDefault="00D60A5D" w:rsidP="00623210">
            <w:pPr>
              <w:suppressAutoHyphens/>
            </w:pPr>
            <w:r w:rsidRPr="001A7517">
              <w:t>166</w:t>
            </w:r>
          </w:p>
        </w:tc>
        <w:tc>
          <w:tcPr>
            <w:tcW w:w="864" w:type="dxa"/>
          </w:tcPr>
          <w:p w14:paraId="50799000" w14:textId="77777777" w:rsidR="00D60A5D" w:rsidRPr="001A7517" w:rsidRDefault="00D60A5D" w:rsidP="00623210">
            <w:pPr>
              <w:suppressAutoHyphens/>
            </w:pPr>
            <w:r w:rsidRPr="001A7517">
              <w:t>201</w:t>
            </w:r>
          </w:p>
        </w:tc>
        <w:tc>
          <w:tcPr>
            <w:tcW w:w="864" w:type="dxa"/>
          </w:tcPr>
          <w:p w14:paraId="6296365A" w14:textId="77777777" w:rsidR="00D60A5D" w:rsidRPr="001A7517" w:rsidRDefault="00D60A5D" w:rsidP="00623210">
            <w:pPr>
              <w:suppressAutoHyphens/>
            </w:pPr>
            <w:r w:rsidRPr="001A7517">
              <w:t>243</w:t>
            </w:r>
          </w:p>
        </w:tc>
        <w:tc>
          <w:tcPr>
            <w:tcW w:w="864" w:type="dxa"/>
          </w:tcPr>
          <w:p w14:paraId="37AFF92E" w14:textId="77777777" w:rsidR="00D60A5D" w:rsidRPr="001A7517" w:rsidRDefault="00D60A5D" w:rsidP="00623210">
            <w:pPr>
              <w:suppressAutoHyphens/>
            </w:pPr>
            <w:r w:rsidRPr="001A7517">
              <w:t>292</w:t>
            </w:r>
          </w:p>
        </w:tc>
      </w:tr>
    </w:tbl>
    <w:p w14:paraId="4AC956A9" w14:textId="77777777" w:rsidR="00D60A5D" w:rsidRPr="001A7517" w:rsidRDefault="00D60A5D" w:rsidP="00D60A5D">
      <w:pPr>
        <w:keepNext/>
        <w:keepLines/>
        <w:suppressAutoHyphens/>
        <w:spacing w:before="240"/>
        <w:ind w:left="720" w:right="720"/>
        <w:jc w:val="center"/>
      </w:pPr>
      <w:r w:rsidRPr="001A7517">
        <w:t>Table 1.4</w:t>
      </w:r>
    </w:p>
    <w:p w14:paraId="290E76ED" w14:textId="77777777" w:rsidR="00D60A5D" w:rsidRPr="001A7517" w:rsidRDefault="00D60A5D" w:rsidP="00D60A5D">
      <w:pPr>
        <w:keepNext/>
        <w:keepLines/>
        <w:suppressAutoHyphens/>
        <w:ind w:left="720" w:right="720"/>
        <w:jc w:val="center"/>
      </w:pPr>
      <w:r w:rsidRPr="001A7517">
        <w:t>CT-99.9 for 99.9 Percent Inactivation of Giardia Lamblia Cysts by Free Chlorine at 15.0 °C</w:t>
      </w:r>
    </w:p>
    <w:p w14:paraId="2AF51A4C" w14:textId="77777777" w:rsidR="00D60A5D" w:rsidRPr="001A7517" w:rsidRDefault="00D60A5D" w:rsidP="00D60A5D">
      <w:pPr>
        <w:suppressAutoHyphens/>
        <w:spacing w:before="240" w:after="240"/>
      </w:pPr>
      <w:r w:rsidRPr="001A7517">
        <w:t>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00E46D97" w14:textId="77777777" w:rsidTr="00623210">
        <w:tc>
          <w:tcPr>
            <w:tcW w:w="1728" w:type="dxa"/>
            <w:vAlign w:val="bottom"/>
          </w:tcPr>
          <w:p w14:paraId="17FE91EE" w14:textId="77777777" w:rsidR="00D60A5D" w:rsidRPr="001A7517" w:rsidRDefault="00D60A5D" w:rsidP="00623210">
            <w:pPr>
              <w:keepNext/>
              <w:keepLines/>
              <w:suppressAutoHyphens/>
            </w:pPr>
            <w:r w:rsidRPr="001A7517">
              <w:t>Free Residual</w:t>
            </w:r>
          </w:p>
          <w:p w14:paraId="1C311368" w14:textId="77777777" w:rsidR="00D60A5D" w:rsidRPr="001A7517" w:rsidRDefault="00D60A5D" w:rsidP="00623210">
            <w:pPr>
              <w:keepNext/>
              <w:keepLines/>
              <w:suppressAutoHyphens/>
            </w:pPr>
            <w:r w:rsidRPr="001A7517">
              <w:t>(mg/ℓ)</w:t>
            </w:r>
          </w:p>
        </w:tc>
        <w:tc>
          <w:tcPr>
            <w:tcW w:w="864" w:type="dxa"/>
            <w:vAlign w:val="bottom"/>
          </w:tcPr>
          <w:p w14:paraId="21C23C3F" w14:textId="77777777" w:rsidR="00D60A5D" w:rsidRPr="001A7517" w:rsidRDefault="00D60A5D" w:rsidP="00623210">
            <w:pPr>
              <w:keepNext/>
              <w:keepLines/>
              <w:suppressAutoHyphens/>
            </w:pPr>
            <w:r w:rsidRPr="001A7517">
              <w:t>PH</w:t>
            </w:r>
          </w:p>
          <w:p w14:paraId="338E10F5" w14:textId="77777777" w:rsidR="00D60A5D" w:rsidRPr="001A7517" w:rsidRDefault="00D60A5D" w:rsidP="00623210">
            <w:pPr>
              <w:keepNext/>
              <w:keepLines/>
              <w:suppressAutoHyphens/>
            </w:pPr>
            <w:r w:rsidRPr="001A7517">
              <w:t>≤6.0</w:t>
            </w:r>
          </w:p>
        </w:tc>
        <w:tc>
          <w:tcPr>
            <w:tcW w:w="864" w:type="dxa"/>
            <w:vAlign w:val="bottom"/>
          </w:tcPr>
          <w:p w14:paraId="6C2D5933" w14:textId="77777777" w:rsidR="00D60A5D" w:rsidRPr="001A7517" w:rsidRDefault="00D60A5D" w:rsidP="00623210">
            <w:pPr>
              <w:keepNext/>
              <w:keepLines/>
              <w:suppressAutoHyphens/>
            </w:pPr>
            <w:r w:rsidRPr="001A7517">
              <w:t>6.5</w:t>
            </w:r>
          </w:p>
        </w:tc>
        <w:tc>
          <w:tcPr>
            <w:tcW w:w="864" w:type="dxa"/>
            <w:vAlign w:val="bottom"/>
          </w:tcPr>
          <w:p w14:paraId="22C3DD55" w14:textId="77777777" w:rsidR="00D60A5D" w:rsidRPr="001A7517" w:rsidRDefault="00D60A5D" w:rsidP="00623210">
            <w:pPr>
              <w:keepNext/>
              <w:keepLines/>
              <w:suppressAutoHyphens/>
            </w:pPr>
            <w:r w:rsidRPr="001A7517">
              <w:t>7.0</w:t>
            </w:r>
          </w:p>
        </w:tc>
        <w:tc>
          <w:tcPr>
            <w:tcW w:w="864" w:type="dxa"/>
            <w:vAlign w:val="bottom"/>
          </w:tcPr>
          <w:p w14:paraId="4F0EDD9F" w14:textId="77777777" w:rsidR="00D60A5D" w:rsidRPr="001A7517" w:rsidRDefault="00D60A5D" w:rsidP="00623210">
            <w:pPr>
              <w:keepNext/>
              <w:keepLines/>
              <w:suppressAutoHyphens/>
            </w:pPr>
            <w:r w:rsidRPr="001A7517">
              <w:t>7.5</w:t>
            </w:r>
          </w:p>
        </w:tc>
        <w:tc>
          <w:tcPr>
            <w:tcW w:w="864" w:type="dxa"/>
            <w:vAlign w:val="bottom"/>
          </w:tcPr>
          <w:p w14:paraId="0858EB24" w14:textId="77777777" w:rsidR="00D60A5D" w:rsidRPr="001A7517" w:rsidRDefault="00D60A5D" w:rsidP="00623210">
            <w:pPr>
              <w:keepNext/>
              <w:keepLines/>
              <w:suppressAutoHyphens/>
            </w:pPr>
            <w:r w:rsidRPr="001A7517">
              <w:t>8.0</w:t>
            </w:r>
          </w:p>
        </w:tc>
        <w:tc>
          <w:tcPr>
            <w:tcW w:w="864" w:type="dxa"/>
            <w:vAlign w:val="bottom"/>
          </w:tcPr>
          <w:p w14:paraId="56417767" w14:textId="77777777" w:rsidR="00D60A5D" w:rsidRPr="001A7517" w:rsidRDefault="00D60A5D" w:rsidP="00623210">
            <w:pPr>
              <w:keepNext/>
              <w:keepLines/>
              <w:suppressAutoHyphens/>
            </w:pPr>
            <w:r w:rsidRPr="001A7517">
              <w:t>8.5</w:t>
            </w:r>
          </w:p>
        </w:tc>
        <w:tc>
          <w:tcPr>
            <w:tcW w:w="864" w:type="dxa"/>
            <w:vAlign w:val="bottom"/>
          </w:tcPr>
          <w:p w14:paraId="288E9485" w14:textId="77777777" w:rsidR="00D60A5D" w:rsidRPr="001A7517" w:rsidRDefault="00D60A5D" w:rsidP="00623210">
            <w:pPr>
              <w:keepNext/>
              <w:keepLines/>
              <w:suppressAutoHyphens/>
            </w:pPr>
            <w:r w:rsidRPr="001A7517">
              <w:t>≥9.0</w:t>
            </w:r>
          </w:p>
        </w:tc>
      </w:tr>
      <w:tr w:rsidR="00D60A5D" w:rsidRPr="001A7517" w14:paraId="224F2D87" w14:textId="77777777" w:rsidTr="00623210">
        <w:tc>
          <w:tcPr>
            <w:tcW w:w="1728" w:type="dxa"/>
          </w:tcPr>
          <w:p w14:paraId="564CE0F8" w14:textId="77777777" w:rsidR="00D60A5D" w:rsidRPr="001A7517" w:rsidRDefault="00D60A5D" w:rsidP="00623210">
            <w:pPr>
              <w:suppressAutoHyphens/>
            </w:pPr>
            <w:r w:rsidRPr="001A7517">
              <w:t>≤0.4</w:t>
            </w:r>
          </w:p>
        </w:tc>
        <w:tc>
          <w:tcPr>
            <w:tcW w:w="864" w:type="dxa"/>
          </w:tcPr>
          <w:p w14:paraId="5E5F5CE4" w14:textId="77777777" w:rsidR="00D60A5D" w:rsidRPr="001A7517" w:rsidRDefault="00D60A5D" w:rsidP="00623210">
            <w:pPr>
              <w:suppressAutoHyphens/>
            </w:pPr>
            <w:r w:rsidRPr="001A7517">
              <w:t>49</w:t>
            </w:r>
          </w:p>
        </w:tc>
        <w:tc>
          <w:tcPr>
            <w:tcW w:w="864" w:type="dxa"/>
          </w:tcPr>
          <w:p w14:paraId="0B7B711F" w14:textId="77777777" w:rsidR="00D60A5D" w:rsidRPr="001A7517" w:rsidRDefault="00D60A5D" w:rsidP="00623210">
            <w:pPr>
              <w:suppressAutoHyphens/>
            </w:pPr>
            <w:r w:rsidRPr="001A7517">
              <w:t>59</w:t>
            </w:r>
          </w:p>
        </w:tc>
        <w:tc>
          <w:tcPr>
            <w:tcW w:w="864" w:type="dxa"/>
          </w:tcPr>
          <w:p w14:paraId="19AF6105" w14:textId="77777777" w:rsidR="00D60A5D" w:rsidRPr="001A7517" w:rsidRDefault="00D60A5D" w:rsidP="00623210">
            <w:pPr>
              <w:suppressAutoHyphens/>
            </w:pPr>
            <w:r w:rsidRPr="001A7517">
              <w:t>70</w:t>
            </w:r>
          </w:p>
        </w:tc>
        <w:tc>
          <w:tcPr>
            <w:tcW w:w="864" w:type="dxa"/>
          </w:tcPr>
          <w:p w14:paraId="7829BD7A" w14:textId="77777777" w:rsidR="00D60A5D" w:rsidRPr="001A7517" w:rsidRDefault="00D60A5D" w:rsidP="00623210">
            <w:pPr>
              <w:suppressAutoHyphens/>
            </w:pPr>
            <w:r w:rsidRPr="001A7517">
              <w:t>83</w:t>
            </w:r>
          </w:p>
        </w:tc>
        <w:tc>
          <w:tcPr>
            <w:tcW w:w="864" w:type="dxa"/>
          </w:tcPr>
          <w:p w14:paraId="7456E827" w14:textId="77777777" w:rsidR="00D60A5D" w:rsidRPr="001A7517" w:rsidRDefault="00D60A5D" w:rsidP="00623210">
            <w:pPr>
              <w:suppressAutoHyphens/>
            </w:pPr>
            <w:r w:rsidRPr="001A7517">
              <w:t>99</w:t>
            </w:r>
          </w:p>
        </w:tc>
        <w:tc>
          <w:tcPr>
            <w:tcW w:w="864" w:type="dxa"/>
          </w:tcPr>
          <w:p w14:paraId="451523AB" w14:textId="77777777" w:rsidR="00D60A5D" w:rsidRPr="001A7517" w:rsidRDefault="00D60A5D" w:rsidP="00623210">
            <w:pPr>
              <w:suppressAutoHyphens/>
            </w:pPr>
            <w:r w:rsidRPr="001A7517">
              <w:t>118</w:t>
            </w:r>
          </w:p>
        </w:tc>
        <w:tc>
          <w:tcPr>
            <w:tcW w:w="864" w:type="dxa"/>
          </w:tcPr>
          <w:p w14:paraId="57062891" w14:textId="77777777" w:rsidR="00D60A5D" w:rsidRPr="001A7517" w:rsidRDefault="00D60A5D" w:rsidP="00623210">
            <w:pPr>
              <w:suppressAutoHyphens/>
            </w:pPr>
            <w:r w:rsidRPr="001A7517">
              <w:t>140</w:t>
            </w:r>
          </w:p>
        </w:tc>
      </w:tr>
      <w:tr w:rsidR="00D60A5D" w:rsidRPr="001A7517" w14:paraId="41847FA8" w14:textId="77777777" w:rsidTr="00623210">
        <w:tc>
          <w:tcPr>
            <w:tcW w:w="1728" w:type="dxa"/>
          </w:tcPr>
          <w:p w14:paraId="52924844" w14:textId="77777777" w:rsidR="00D60A5D" w:rsidRPr="001A7517" w:rsidRDefault="00D60A5D" w:rsidP="00623210">
            <w:pPr>
              <w:suppressAutoHyphens/>
            </w:pPr>
            <w:r w:rsidRPr="001A7517">
              <w:t>0.6</w:t>
            </w:r>
          </w:p>
        </w:tc>
        <w:tc>
          <w:tcPr>
            <w:tcW w:w="864" w:type="dxa"/>
          </w:tcPr>
          <w:p w14:paraId="50EB49B2" w14:textId="77777777" w:rsidR="00D60A5D" w:rsidRPr="001A7517" w:rsidRDefault="00D60A5D" w:rsidP="00623210">
            <w:pPr>
              <w:suppressAutoHyphens/>
            </w:pPr>
            <w:r w:rsidRPr="001A7517">
              <w:t>50</w:t>
            </w:r>
          </w:p>
        </w:tc>
        <w:tc>
          <w:tcPr>
            <w:tcW w:w="864" w:type="dxa"/>
          </w:tcPr>
          <w:p w14:paraId="6D770834" w14:textId="77777777" w:rsidR="00D60A5D" w:rsidRPr="001A7517" w:rsidRDefault="00D60A5D" w:rsidP="00623210">
            <w:pPr>
              <w:suppressAutoHyphens/>
            </w:pPr>
            <w:r w:rsidRPr="001A7517">
              <w:t>60</w:t>
            </w:r>
          </w:p>
        </w:tc>
        <w:tc>
          <w:tcPr>
            <w:tcW w:w="864" w:type="dxa"/>
          </w:tcPr>
          <w:p w14:paraId="0A82AB3B" w14:textId="77777777" w:rsidR="00D60A5D" w:rsidRPr="001A7517" w:rsidRDefault="00D60A5D" w:rsidP="00623210">
            <w:pPr>
              <w:suppressAutoHyphens/>
            </w:pPr>
            <w:r w:rsidRPr="001A7517">
              <w:t>72</w:t>
            </w:r>
          </w:p>
        </w:tc>
        <w:tc>
          <w:tcPr>
            <w:tcW w:w="864" w:type="dxa"/>
          </w:tcPr>
          <w:p w14:paraId="51EF9F1E" w14:textId="77777777" w:rsidR="00D60A5D" w:rsidRPr="001A7517" w:rsidRDefault="00D60A5D" w:rsidP="00623210">
            <w:pPr>
              <w:suppressAutoHyphens/>
            </w:pPr>
            <w:r w:rsidRPr="001A7517">
              <w:t>86</w:t>
            </w:r>
          </w:p>
        </w:tc>
        <w:tc>
          <w:tcPr>
            <w:tcW w:w="864" w:type="dxa"/>
          </w:tcPr>
          <w:p w14:paraId="70B833F0" w14:textId="77777777" w:rsidR="00D60A5D" w:rsidRPr="001A7517" w:rsidRDefault="00D60A5D" w:rsidP="00623210">
            <w:pPr>
              <w:suppressAutoHyphens/>
            </w:pPr>
            <w:r w:rsidRPr="001A7517">
              <w:t>102</w:t>
            </w:r>
          </w:p>
        </w:tc>
        <w:tc>
          <w:tcPr>
            <w:tcW w:w="864" w:type="dxa"/>
          </w:tcPr>
          <w:p w14:paraId="65AD698F" w14:textId="77777777" w:rsidR="00D60A5D" w:rsidRPr="001A7517" w:rsidRDefault="00D60A5D" w:rsidP="00623210">
            <w:pPr>
              <w:suppressAutoHyphens/>
            </w:pPr>
            <w:r w:rsidRPr="001A7517">
              <w:t>122</w:t>
            </w:r>
          </w:p>
        </w:tc>
        <w:tc>
          <w:tcPr>
            <w:tcW w:w="864" w:type="dxa"/>
          </w:tcPr>
          <w:p w14:paraId="48B77807" w14:textId="77777777" w:rsidR="00D60A5D" w:rsidRPr="001A7517" w:rsidRDefault="00D60A5D" w:rsidP="00623210">
            <w:pPr>
              <w:suppressAutoHyphens/>
            </w:pPr>
            <w:r w:rsidRPr="001A7517">
              <w:t>146</w:t>
            </w:r>
          </w:p>
        </w:tc>
      </w:tr>
      <w:tr w:rsidR="00D60A5D" w:rsidRPr="001A7517" w14:paraId="4228CE9C" w14:textId="77777777" w:rsidTr="00623210">
        <w:tc>
          <w:tcPr>
            <w:tcW w:w="1728" w:type="dxa"/>
          </w:tcPr>
          <w:p w14:paraId="13222514" w14:textId="77777777" w:rsidR="00D60A5D" w:rsidRPr="001A7517" w:rsidRDefault="00D60A5D" w:rsidP="00623210">
            <w:pPr>
              <w:suppressAutoHyphens/>
            </w:pPr>
            <w:r w:rsidRPr="001A7517">
              <w:t>0.8</w:t>
            </w:r>
          </w:p>
        </w:tc>
        <w:tc>
          <w:tcPr>
            <w:tcW w:w="864" w:type="dxa"/>
          </w:tcPr>
          <w:p w14:paraId="1FF529F6" w14:textId="77777777" w:rsidR="00D60A5D" w:rsidRPr="001A7517" w:rsidRDefault="00D60A5D" w:rsidP="00623210">
            <w:pPr>
              <w:suppressAutoHyphens/>
            </w:pPr>
            <w:r w:rsidRPr="001A7517">
              <w:t>52</w:t>
            </w:r>
          </w:p>
        </w:tc>
        <w:tc>
          <w:tcPr>
            <w:tcW w:w="864" w:type="dxa"/>
          </w:tcPr>
          <w:p w14:paraId="1B5796F7" w14:textId="77777777" w:rsidR="00D60A5D" w:rsidRPr="001A7517" w:rsidRDefault="00D60A5D" w:rsidP="00623210">
            <w:pPr>
              <w:suppressAutoHyphens/>
            </w:pPr>
            <w:r w:rsidRPr="001A7517">
              <w:t>61</w:t>
            </w:r>
          </w:p>
        </w:tc>
        <w:tc>
          <w:tcPr>
            <w:tcW w:w="864" w:type="dxa"/>
          </w:tcPr>
          <w:p w14:paraId="0A4737FB" w14:textId="77777777" w:rsidR="00D60A5D" w:rsidRPr="001A7517" w:rsidRDefault="00D60A5D" w:rsidP="00623210">
            <w:pPr>
              <w:suppressAutoHyphens/>
            </w:pPr>
            <w:r w:rsidRPr="001A7517">
              <w:t>73</w:t>
            </w:r>
          </w:p>
        </w:tc>
        <w:tc>
          <w:tcPr>
            <w:tcW w:w="864" w:type="dxa"/>
          </w:tcPr>
          <w:p w14:paraId="693B5F23" w14:textId="77777777" w:rsidR="00D60A5D" w:rsidRPr="001A7517" w:rsidRDefault="00D60A5D" w:rsidP="00623210">
            <w:pPr>
              <w:suppressAutoHyphens/>
            </w:pPr>
            <w:r w:rsidRPr="001A7517">
              <w:t>88</w:t>
            </w:r>
          </w:p>
        </w:tc>
        <w:tc>
          <w:tcPr>
            <w:tcW w:w="864" w:type="dxa"/>
          </w:tcPr>
          <w:p w14:paraId="25BDC272" w14:textId="77777777" w:rsidR="00D60A5D" w:rsidRPr="001A7517" w:rsidRDefault="00D60A5D" w:rsidP="00623210">
            <w:pPr>
              <w:suppressAutoHyphens/>
            </w:pPr>
            <w:r w:rsidRPr="001A7517">
              <w:t>105</w:t>
            </w:r>
          </w:p>
        </w:tc>
        <w:tc>
          <w:tcPr>
            <w:tcW w:w="864" w:type="dxa"/>
          </w:tcPr>
          <w:p w14:paraId="7BD94522" w14:textId="77777777" w:rsidR="00D60A5D" w:rsidRPr="001A7517" w:rsidRDefault="00D60A5D" w:rsidP="00623210">
            <w:pPr>
              <w:suppressAutoHyphens/>
            </w:pPr>
            <w:r w:rsidRPr="001A7517">
              <w:t>126</w:t>
            </w:r>
          </w:p>
        </w:tc>
        <w:tc>
          <w:tcPr>
            <w:tcW w:w="864" w:type="dxa"/>
          </w:tcPr>
          <w:p w14:paraId="593E329E" w14:textId="77777777" w:rsidR="00D60A5D" w:rsidRPr="001A7517" w:rsidRDefault="00D60A5D" w:rsidP="00623210">
            <w:pPr>
              <w:suppressAutoHyphens/>
            </w:pPr>
            <w:r w:rsidRPr="001A7517">
              <w:t>151</w:t>
            </w:r>
          </w:p>
        </w:tc>
      </w:tr>
      <w:tr w:rsidR="00D60A5D" w:rsidRPr="001A7517" w14:paraId="2E2931D3" w14:textId="77777777" w:rsidTr="00623210">
        <w:tc>
          <w:tcPr>
            <w:tcW w:w="1728" w:type="dxa"/>
          </w:tcPr>
          <w:p w14:paraId="328B1023" w14:textId="77777777" w:rsidR="00D60A5D" w:rsidRPr="001A7517" w:rsidRDefault="00D60A5D" w:rsidP="00623210">
            <w:pPr>
              <w:suppressAutoHyphens/>
            </w:pPr>
            <w:r w:rsidRPr="001A7517">
              <w:t>1.0</w:t>
            </w:r>
          </w:p>
        </w:tc>
        <w:tc>
          <w:tcPr>
            <w:tcW w:w="864" w:type="dxa"/>
          </w:tcPr>
          <w:p w14:paraId="1BF6E3E9" w14:textId="77777777" w:rsidR="00D60A5D" w:rsidRPr="001A7517" w:rsidRDefault="00D60A5D" w:rsidP="00623210">
            <w:pPr>
              <w:suppressAutoHyphens/>
            </w:pPr>
            <w:r w:rsidRPr="001A7517">
              <w:t>53</w:t>
            </w:r>
          </w:p>
        </w:tc>
        <w:tc>
          <w:tcPr>
            <w:tcW w:w="864" w:type="dxa"/>
          </w:tcPr>
          <w:p w14:paraId="69922946" w14:textId="77777777" w:rsidR="00D60A5D" w:rsidRPr="001A7517" w:rsidRDefault="00D60A5D" w:rsidP="00623210">
            <w:pPr>
              <w:suppressAutoHyphens/>
            </w:pPr>
            <w:r w:rsidRPr="001A7517">
              <w:t>63</w:t>
            </w:r>
          </w:p>
        </w:tc>
        <w:tc>
          <w:tcPr>
            <w:tcW w:w="864" w:type="dxa"/>
          </w:tcPr>
          <w:p w14:paraId="27465526" w14:textId="77777777" w:rsidR="00D60A5D" w:rsidRPr="001A7517" w:rsidRDefault="00D60A5D" w:rsidP="00623210">
            <w:pPr>
              <w:suppressAutoHyphens/>
            </w:pPr>
            <w:r w:rsidRPr="001A7517">
              <w:t>75</w:t>
            </w:r>
          </w:p>
        </w:tc>
        <w:tc>
          <w:tcPr>
            <w:tcW w:w="864" w:type="dxa"/>
          </w:tcPr>
          <w:p w14:paraId="503D49CD" w14:textId="77777777" w:rsidR="00D60A5D" w:rsidRPr="001A7517" w:rsidRDefault="00D60A5D" w:rsidP="00623210">
            <w:pPr>
              <w:suppressAutoHyphens/>
            </w:pPr>
            <w:r w:rsidRPr="001A7517">
              <w:t>90</w:t>
            </w:r>
          </w:p>
        </w:tc>
        <w:tc>
          <w:tcPr>
            <w:tcW w:w="864" w:type="dxa"/>
          </w:tcPr>
          <w:p w14:paraId="5A4523C0" w14:textId="77777777" w:rsidR="00D60A5D" w:rsidRPr="001A7517" w:rsidRDefault="00D60A5D" w:rsidP="00623210">
            <w:pPr>
              <w:suppressAutoHyphens/>
            </w:pPr>
            <w:r w:rsidRPr="001A7517">
              <w:t>108</w:t>
            </w:r>
          </w:p>
        </w:tc>
        <w:tc>
          <w:tcPr>
            <w:tcW w:w="864" w:type="dxa"/>
          </w:tcPr>
          <w:p w14:paraId="29795445" w14:textId="77777777" w:rsidR="00D60A5D" w:rsidRPr="001A7517" w:rsidRDefault="00D60A5D" w:rsidP="00623210">
            <w:pPr>
              <w:suppressAutoHyphens/>
            </w:pPr>
            <w:r w:rsidRPr="001A7517">
              <w:t>130</w:t>
            </w:r>
          </w:p>
        </w:tc>
        <w:tc>
          <w:tcPr>
            <w:tcW w:w="864" w:type="dxa"/>
          </w:tcPr>
          <w:p w14:paraId="2EA2948A" w14:textId="77777777" w:rsidR="00D60A5D" w:rsidRPr="001A7517" w:rsidRDefault="00D60A5D" w:rsidP="00623210">
            <w:pPr>
              <w:suppressAutoHyphens/>
            </w:pPr>
            <w:r w:rsidRPr="001A7517">
              <w:t>156</w:t>
            </w:r>
          </w:p>
        </w:tc>
      </w:tr>
      <w:tr w:rsidR="00D60A5D" w:rsidRPr="001A7517" w14:paraId="0A31837E" w14:textId="77777777" w:rsidTr="00623210">
        <w:tc>
          <w:tcPr>
            <w:tcW w:w="1728" w:type="dxa"/>
          </w:tcPr>
          <w:p w14:paraId="7D692E43" w14:textId="77777777" w:rsidR="00D60A5D" w:rsidRPr="001A7517" w:rsidRDefault="00D60A5D" w:rsidP="00623210">
            <w:pPr>
              <w:suppressAutoHyphens/>
            </w:pPr>
            <w:r w:rsidRPr="001A7517">
              <w:t>1.2</w:t>
            </w:r>
          </w:p>
        </w:tc>
        <w:tc>
          <w:tcPr>
            <w:tcW w:w="864" w:type="dxa"/>
          </w:tcPr>
          <w:p w14:paraId="4720AC89" w14:textId="77777777" w:rsidR="00D60A5D" w:rsidRPr="001A7517" w:rsidRDefault="00D60A5D" w:rsidP="00623210">
            <w:pPr>
              <w:suppressAutoHyphens/>
            </w:pPr>
            <w:r w:rsidRPr="001A7517">
              <w:t>54</w:t>
            </w:r>
          </w:p>
        </w:tc>
        <w:tc>
          <w:tcPr>
            <w:tcW w:w="864" w:type="dxa"/>
          </w:tcPr>
          <w:p w14:paraId="4B87E8B3" w14:textId="77777777" w:rsidR="00D60A5D" w:rsidRPr="001A7517" w:rsidRDefault="00D60A5D" w:rsidP="00623210">
            <w:pPr>
              <w:suppressAutoHyphens/>
            </w:pPr>
            <w:r w:rsidRPr="001A7517">
              <w:t>64</w:t>
            </w:r>
          </w:p>
        </w:tc>
        <w:tc>
          <w:tcPr>
            <w:tcW w:w="864" w:type="dxa"/>
          </w:tcPr>
          <w:p w14:paraId="37F6E834" w14:textId="77777777" w:rsidR="00D60A5D" w:rsidRPr="001A7517" w:rsidRDefault="00D60A5D" w:rsidP="00623210">
            <w:pPr>
              <w:suppressAutoHyphens/>
            </w:pPr>
            <w:r w:rsidRPr="001A7517">
              <w:t>76</w:t>
            </w:r>
          </w:p>
        </w:tc>
        <w:tc>
          <w:tcPr>
            <w:tcW w:w="864" w:type="dxa"/>
          </w:tcPr>
          <w:p w14:paraId="1636F02E" w14:textId="77777777" w:rsidR="00D60A5D" w:rsidRPr="001A7517" w:rsidRDefault="00D60A5D" w:rsidP="00623210">
            <w:pPr>
              <w:suppressAutoHyphens/>
            </w:pPr>
            <w:r w:rsidRPr="001A7517">
              <w:t>92</w:t>
            </w:r>
          </w:p>
        </w:tc>
        <w:tc>
          <w:tcPr>
            <w:tcW w:w="864" w:type="dxa"/>
          </w:tcPr>
          <w:p w14:paraId="54A8CDA8" w14:textId="77777777" w:rsidR="00D60A5D" w:rsidRPr="001A7517" w:rsidRDefault="00D60A5D" w:rsidP="00623210">
            <w:pPr>
              <w:suppressAutoHyphens/>
            </w:pPr>
            <w:r w:rsidRPr="001A7517">
              <w:t>111</w:t>
            </w:r>
          </w:p>
        </w:tc>
        <w:tc>
          <w:tcPr>
            <w:tcW w:w="864" w:type="dxa"/>
          </w:tcPr>
          <w:p w14:paraId="6AE681AB" w14:textId="77777777" w:rsidR="00D60A5D" w:rsidRPr="001A7517" w:rsidRDefault="00D60A5D" w:rsidP="00623210">
            <w:pPr>
              <w:suppressAutoHyphens/>
            </w:pPr>
            <w:r w:rsidRPr="001A7517">
              <w:t>134</w:t>
            </w:r>
          </w:p>
        </w:tc>
        <w:tc>
          <w:tcPr>
            <w:tcW w:w="864" w:type="dxa"/>
          </w:tcPr>
          <w:p w14:paraId="28095C95" w14:textId="77777777" w:rsidR="00D60A5D" w:rsidRPr="001A7517" w:rsidRDefault="00D60A5D" w:rsidP="00623210">
            <w:pPr>
              <w:suppressAutoHyphens/>
            </w:pPr>
            <w:r w:rsidRPr="001A7517">
              <w:t>160</w:t>
            </w:r>
          </w:p>
        </w:tc>
      </w:tr>
      <w:tr w:rsidR="00D60A5D" w:rsidRPr="001A7517" w14:paraId="6E2EC7BA" w14:textId="77777777" w:rsidTr="00623210">
        <w:tc>
          <w:tcPr>
            <w:tcW w:w="1728" w:type="dxa"/>
          </w:tcPr>
          <w:p w14:paraId="288E3791" w14:textId="77777777" w:rsidR="00D60A5D" w:rsidRPr="001A7517" w:rsidRDefault="00D60A5D" w:rsidP="00623210">
            <w:pPr>
              <w:suppressAutoHyphens/>
            </w:pPr>
            <w:r w:rsidRPr="001A7517">
              <w:t>1.4</w:t>
            </w:r>
          </w:p>
        </w:tc>
        <w:tc>
          <w:tcPr>
            <w:tcW w:w="864" w:type="dxa"/>
          </w:tcPr>
          <w:p w14:paraId="72F67164" w14:textId="77777777" w:rsidR="00D60A5D" w:rsidRPr="001A7517" w:rsidRDefault="00D60A5D" w:rsidP="00623210">
            <w:pPr>
              <w:suppressAutoHyphens/>
            </w:pPr>
            <w:r w:rsidRPr="001A7517">
              <w:t>55</w:t>
            </w:r>
          </w:p>
        </w:tc>
        <w:tc>
          <w:tcPr>
            <w:tcW w:w="864" w:type="dxa"/>
          </w:tcPr>
          <w:p w14:paraId="7369009C" w14:textId="77777777" w:rsidR="00D60A5D" w:rsidRPr="001A7517" w:rsidRDefault="00D60A5D" w:rsidP="00623210">
            <w:pPr>
              <w:suppressAutoHyphens/>
            </w:pPr>
            <w:r w:rsidRPr="001A7517">
              <w:t>65</w:t>
            </w:r>
          </w:p>
        </w:tc>
        <w:tc>
          <w:tcPr>
            <w:tcW w:w="864" w:type="dxa"/>
          </w:tcPr>
          <w:p w14:paraId="1E496778" w14:textId="77777777" w:rsidR="00D60A5D" w:rsidRPr="001A7517" w:rsidRDefault="00D60A5D" w:rsidP="00623210">
            <w:pPr>
              <w:suppressAutoHyphens/>
            </w:pPr>
            <w:r w:rsidRPr="001A7517">
              <w:t>78</w:t>
            </w:r>
          </w:p>
        </w:tc>
        <w:tc>
          <w:tcPr>
            <w:tcW w:w="864" w:type="dxa"/>
          </w:tcPr>
          <w:p w14:paraId="011337BF" w14:textId="77777777" w:rsidR="00D60A5D" w:rsidRPr="001A7517" w:rsidRDefault="00D60A5D" w:rsidP="00623210">
            <w:pPr>
              <w:suppressAutoHyphens/>
            </w:pPr>
            <w:r w:rsidRPr="001A7517">
              <w:t>94</w:t>
            </w:r>
          </w:p>
        </w:tc>
        <w:tc>
          <w:tcPr>
            <w:tcW w:w="864" w:type="dxa"/>
          </w:tcPr>
          <w:p w14:paraId="594E42FF" w14:textId="77777777" w:rsidR="00D60A5D" w:rsidRPr="001A7517" w:rsidRDefault="00D60A5D" w:rsidP="00623210">
            <w:pPr>
              <w:suppressAutoHyphens/>
            </w:pPr>
            <w:r w:rsidRPr="001A7517">
              <w:t>114</w:t>
            </w:r>
          </w:p>
        </w:tc>
        <w:tc>
          <w:tcPr>
            <w:tcW w:w="864" w:type="dxa"/>
          </w:tcPr>
          <w:p w14:paraId="2A6D1BB6" w14:textId="77777777" w:rsidR="00D60A5D" w:rsidRPr="001A7517" w:rsidRDefault="00D60A5D" w:rsidP="00623210">
            <w:pPr>
              <w:suppressAutoHyphens/>
            </w:pPr>
            <w:r w:rsidRPr="001A7517">
              <w:t>137</w:t>
            </w:r>
          </w:p>
        </w:tc>
        <w:tc>
          <w:tcPr>
            <w:tcW w:w="864" w:type="dxa"/>
          </w:tcPr>
          <w:p w14:paraId="36CCE9B6" w14:textId="77777777" w:rsidR="00D60A5D" w:rsidRPr="001A7517" w:rsidRDefault="00D60A5D" w:rsidP="00623210">
            <w:pPr>
              <w:suppressAutoHyphens/>
            </w:pPr>
            <w:r w:rsidRPr="001A7517">
              <w:t>165</w:t>
            </w:r>
          </w:p>
        </w:tc>
      </w:tr>
      <w:tr w:rsidR="00D60A5D" w:rsidRPr="001A7517" w14:paraId="750132D1" w14:textId="77777777" w:rsidTr="00623210">
        <w:tc>
          <w:tcPr>
            <w:tcW w:w="1728" w:type="dxa"/>
          </w:tcPr>
          <w:p w14:paraId="13B117E5" w14:textId="77777777" w:rsidR="00D60A5D" w:rsidRPr="001A7517" w:rsidRDefault="00D60A5D" w:rsidP="00623210">
            <w:pPr>
              <w:suppressAutoHyphens/>
            </w:pPr>
            <w:r w:rsidRPr="001A7517">
              <w:t>1.6</w:t>
            </w:r>
          </w:p>
        </w:tc>
        <w:tc>
          <w:tcPr>
            <w:tcW w:w="864" w:type="dxa"/>
          </w:tcPr>
          <w:p w14:paraId="0BEE6045" w14:textId="77777777" w:rsidR="00D60A5D" w:rsidRPr="001A7517" w:rsidRDefault="00D60A5D" w:rsidP="00623210">
            <w:pPr>
              <w:suppressAutoHyphens/>
            </w:pPr>
            <w:r w:rsidRPr="001A7517">
              <w:t>56</w:t>
            </w:r>
          </w:p>
        </w:tc>
        <w:tc>
          <w:tcPr>
            <w:tcW w:w="864" w:type="dxa"/>
          </w:tcPr>
          <w:p w14:paraId="52EFF3C2" w14:textId="77777777" w:rsidR="00D60A5D" w:rsidRPr="001A7517" w:rsidRDefault="00D60A5D" w:rsidP="00623210">
            <w:pPr>
              <w:suppressAutoHyphens/>
            </w:pPr>
            <w:r w:rsidRPr="001A7517">
              <w:t>66</w:t>
            </w:r>
          </w:p>
        </w:tc>
        <w:tc>
          <w:tcPr>
            <w:tcW w:w="864" w:type="dxa"/>
          </w:tcPr>
          <w:p w14:paraId="5A673842" w14:textId="77777777" w:rsidR="00D60A5D" w:rsidRPr="001A7517" w:rsidRDefault="00D60A5D" w:rsidP="00623210">
            <w:pPr>
              <w:suppressAutoHyphens/>
            </w:pPr>
            <w:r w:rsidRPr="001A7517">
              <w:t>79</w:t>
            </w:r>
          </w:p>
        </w:tc>
        <w:tc>
          <w:tcPr>
            <w:tcW w:w="864" w:type="dxa"/>
          </w:tcPr>
          <w:p w14:paraId="44E63390" w14:textId="77777777" w:rsidR="00D60A5D" w:rsidRPr="001A7517" w:rsidRDefault="00D60A5D" w:rsidP="00623210">
            <w:pPr>
              <w:suppressAutoHyphens/>
            </w:pPr>
            <w:r w:rsidRPr="001A7517">
              <w:t>96</w:t>
            </w:r>
          </w:p>
        </w:tc>
        <w:tc>
          <w:tcPr>
            <w:tcW w:w="864" w:type="dxa"/>
          </w:tcPr>
          <w:p w14:paraId="4E54F141" w14:textId="77777777" w:rsidR="00D60A5D" w:rsidRPr="001A7517" w:rsidRDefault="00D60A5D" w:rsidP="00623210">
            <w:pPr>
              <w:suppressAutoHyphens/>
            </w:pPr>
            <w:r w:rsidRPr="001A7517">
              <w:t>116</w:t>
            </w:r>
          </w:p>
        </w:tc>
        <w:tc>
          <w:tcPr>
            <w:tcW w:w="864" w:type="dxa"/>
          </w:tcPr>
          <w:p w14:paraId="2BB83191" w14:textId="77777777" w:rsidR="00D60A5D" w:rsidRPr="001A7517" w:rsidRDefault="00D60A5D" w:rsidP="00623210">
            <w:pPr>
              <w:suppressAutoHyphens/>
            </w:pPr>
            <w:r w:rsidRPr="001A7517">
              <w:t>141</w:t>
            </w:r>
          </w:p>
        </w:tc>
        <w:tc>
          <w:tcPr>
            <w:tcW w:w="864" w:type="dxa"/>
          </w:tcPr>
          <w:p w14:paraId="5452512E" w14:textId="77777777" w:rsidR="00D60A5D" w:rsidRPr="001A7517" w:rsidRDefault="00D60A5D" w:rsidP="00623210">
            <w:pPr>
              <w:suppressAutoHyphens/>
            </w:pPr>
            <w:r w:rsidRPr="001A7517">
              <w:t>169</w:t>
            </w:r>
          </w:p>
        </w:tc>
      </w:tr>
      <w:tr w:rsidR="00D60A5D" w:rsidRPr="001A7517" w14:paraId="0582E293" w14:textId="77777777" w:rsidTr="00623210">
        <w:tc>
          <w:tcPr>
            <w:tcW w:w="1728" w:type="dxa"/>
          </w:tcPr>
          <w:p w14:paraId="4A076559" w14:textId="77777777" w:rsidR="00D60A5D" w:rsidRPr="001A7517" w:rsidRDefault="00D60A5D" w:rsidP="00623210">
            <w:pPr>
              <w:suppressAutoHyphens/>
            </w:pPr>
            <w:r w:rsidRPr="001A7517">
              <w:t>1.8</w:t>
            </w:r>
          </w:p>
        </w:tc>
        <w:tc>
          <w:tcPr>
            <w:tcW w:w="864" w:type="dxa"/>
          </w:tcPr>
          <w:p w14:paraId="18C7F70E" w14:textId="77777777" w:rsidR="00D60A5D" w:rsidRPr="001A7517" w:rsidRDefault="00D60A5D" w:rsidP="00623210">
            <w:pPr>
              <w:suppressAutoHyphens/>
            </w:pPr>
            <w:r w:rsidRPr="001A7517">
              <w:t>57</w:t>
            </w:r>
          </w:p>
        </w:tc>
        <w:tc>
          <w:tcPr>
            <w:tcW w:w="864" w:type="dxa"/>
          </w:tcPr>
          <w:p w14:paraId="4A5D80E5" w14:textId="77777777" w:rsidR="00D60A5D" w:rsidRPr="001A7517" w:rsidRDefault="00D60A5D" w:rsidP="00623210">
            <w:pPr>
              <w:suppressAutoHyphens/>
            </w:pPr>
            <w:r w:rsidRPr="001A7517">
              <w:t>68</w:t>
            </w:r>
          </w:p>
        </w:tc>
        <w:tc>
          <w:tcPr>
            <w:tcW w:w="864" w:type="dxa"/>
          </w:tcPr>
          <w:p w14:paraId="00269C80" w14:textId="77777777" w:rsidR="00D60A5D" w:rsidRPr="001A7517" w:rsidRDefault="00D60A5D" w:rsidP="00623210">
            <w:pPr>
              <w:suppressAutoHyphens/>
            </w:pPr>
            <w:r w:rsidRPr="001A7517">
              <w:t>81</w:t>
            </w:r>
          </w:p>
        </w:tc>
        <w:tc>
          <w:tcPr>
            <w:tcW w:w="864" w:type="dxa"/>
          </w:tcPr>
          <w:p w14:paraId="644E7CAA" w14:textId="77777777" w:rsidR="00D60A5D" w:rsidRPr="001A7517" w:rsidRDefault="00D60A5D" w:rsidP="00623210">
            <w:pPr>
              <w:suppressAutoHyphens/>
            </w:pPr>
            <w:r w:rsidRPr="001A7517">
              <w:t>98</w:t>
            </w:r>
          </w:p>
        </w:tc>
        <w:tc>
          <w:tcPr>
            <w:tcW w:w="864" w:type="dxa"/>
          </w:tcPr>
          <w:p w14:paraId="32117F5E" w14:textId="77777777" w:rsidR="00D60A5D" w:rsidRPr="001A7517" w:rsidRDefault="00D60A5D" w:rsidP="00623210">
            <w:pPr>
              <w:suppressAutoHyphens/>
            </w:pPr>
            <w:r w:rsidRPr="001A7517">
              <w:t>119</w:t>
            </w:r>
          </w:p>
        </w:tc>
        <w:tc>
          <w:tcPr>
            <w:tcW w:w="864" w:type="dxa"/>
          </w:tcPr>
          <w:p w14:paraId="645019CE" w14:textId="77777777" w:rsidR="00D60A5D" w:rsidRPr="001A7517" w:rsidRDefault="00D60A5D" w:rsidP="00623210">
            <w:pPr>
              <w:suppressAutoHyphens/>
            </w:pPr>
            <w:r w:rsidRPr="001A7517">
              <w:t>144</w:t>
            </w:r>
          </w:p>
        </w:tc>
        <w:tc>
          <w:tcPr>
            <w:tcW w:w="864" w:type="dxa"/>
          </w:tcPr>
          <w:p w14:paraId="6FFAD9D0" w14:textId="77777777" w:rsidR="00D60A5D" w:rsidRPr="001A7517" w:rsidRDefault="00D60A5D" w:rsidP="00623210">
            <w:pPr>
              <w:suppressAutoHyphens/>
            </w:pPr>
            <w:r w:rsidRPr="001A7517">
              <w:t>173</w:t>
            </w:r>
          </w:p>
        </w:tc>
      </w:tr>
      <w:tr w:rsidR="00D60A5D" w:rsidRPr="001A7517" w14:paraId="5082E471" w14:textId="77777777" w:rsidTr="00623210">
        <w:tc>
          <w:tcPr>
            <w:tcW w:w="1728" w:type="dxa"/>
          </w:tcPr>
          <w:p w14:paraId="093AC4FF" w14:textId="77777777" w:rsidR="00D60A5D" w:rsidRPr="001A7517" w:rsidRDefault="00D60A5D" w:rsidP="00623210">
            <w:pPr>
              <w:suppressAutoHyphens/>
            </w:pPr>
            <w:r w:rsidRPr="001A7517">
              <w:t>2.0</w:t>
            </w:r>
          </w:p>
        </w:tc>
        <w:tc>
          <w:tcPr>
            <w:tcW w:w="864" w:type="dxa"/>
          </w:tcPr>
          <w:p w14:paraId="2EA428D4" w14:textId="77777777" w:rsidR="00D60A5D" w:rsidRPr="001A7517" w:rsidRDefault="00D60A5D" w:rsidP="00623210">
            <w:pPr>
              <w:suppressAutoHyphens/>
            </w:pPr>
            <w:r w:rsidRPr="001A7517">
              <w:t>58</w:t>
            </w:r>
          </w:p>
        </w:tc>
        <w:tc>
          <w:tcPr>
            <w:tcW w:w="864" w:type="dxa"/>
          </w:tcPr>
          <w:p w14:paraId="6ABF1DB6" w14:textId="77777777" w:rsidR="00D60A5D" w:rsidRPr="001A7517" w:rsidRDefault="00D60A5D" w:rsidP="00623210">
            <w:pPr>
              <w:suppressAutoHyphens/>
            </w:pPr>
            <w:r w:rsidRPr="001A7517">
              <w:t>69</w:t>
            </w:r>
          </w:p>
        </w:tc>
        <w:tc>
          <w:tcPr>
            <w:tcW w:w="864" w:type="dxa"/>
          </w:tcPr>
          <w:p w14:paraId="40E3C102" w14:textId="77777777" w:rsidR="00D60A5D" w:rsidRPr="001A7517" w:rsidRDefault="00D60A5D" w:rsidP="00623210">
            <w:pPr>
              <w:suppressAutoHyphens/>
            </w:pPr>
            <w:r w:rsidRPr="001A7517">
              <w:t>83</w:t>
            </w:r>
          </w:p>
        </w:tc>
        <w:tc>
          <w:tcPr>
            <w:tcW w:w="864" w:type="dxa"/>
          </w:tcPr>
          <w:p w14:paraId="7C704729" w14:textId="77777777" w:rsidR="00D60A5D" w:rsidRPr="001A7517" w:rsidRDefault="00D60A5D" w:rsidP="00623210">
            <w:pPr>
              <w:suppressAutoHyphens/>
            </w:pPr>
            <w:r w:rsidRPr="001A7517">
              <w:t>100</w:t>
            </w:r>
          </w:p>
        </w:tc>
        <w:tc>
          <w:tcPr>
            <w:tcW w:w="864" w:type="dxa"/>
          </w:tcPr>
          <w:p w14:paraId="7A66DD23" w14:textId="77777777" w:rsidR="00D60A5D" w:rsidRPr="001A7517" w:rsidRDefault="00D60A5D" w:rsidP="00623210">
            <w:pPr>
              <w:suppressAutoHyphens/>
            </w:pPr>
            <w:r w:rsidRPr="001A7517">
              <w:t>122</w:t>
            </w:r>
          </w:p>
        </w:tc>
        <w:tc>
          <w:tcPr>
            <w:tcW w:w="864" w:type="dxa"/>
          </w:tcPr>
          <w:p w14:paraId="573E819F" w14:textId="77777777" w:rsidR="00D60A5D" w:rsidRPr="001A7517" w:rsidRDefault="00D60A5D" w:rsidP="00623210">
            <w:pPr>
              <w:suppressAutoHyphens/>
            </w:pPr>
            <w:r w:rsidRPr="001A7517">
              <w:t>147</w:t>
            </w:r>
          </w:p>
        </w:tc>
        <w:tc>
          <w:tcPr>
            <w:tcW w:w="864" w:type="dxa"/>
          </w:tcPr>
          <w:p w14:paraId="13FF9EFC" w14:textId="77777777" w:rsidR="00D60A5D" w:rsidRPr="001A7517" w:rsidRDefault="00D60A5D" w:rsidP="00623210">
            <w:pPr>
              <w:suppressAutoHyphens/>
            </w:pPr>
            <w:r w:rsidRPr="001A7517">
              <w:t>177</w:t>
            </w:r>
          </w:p>
        </w:tc>
      </w:tr>
      <w:tr w:rsidR="00D60A5D" w:rsidRPr="001A7517" w14:paraId="2901E3AC" w14:textId="77777777" w:rsidTr="00623210">
        <w:tc>
          <w:tcPr>
            <w:tcW w:w="1728" w:type="dxa"/>
          </w:tcPr>
          <w:p w14:paraId="4882940C" w14:textId="77777777" w:rsidR="00D60A5D" w:rsidRPr="001A7517" w:rsidRDefault="00D60A5D" w:rsidP="00623210">
            <w:pPr>
              <w:suppressAutoHyphens/>
            </w:pPr>
            <w:r w:rsidRPr="001A7517">
              <w:t>2.2</w:t>
            </w:r>
          </w:p>
        </w:tc>
        <w:tc>
          <w:tcPr>
            <w:tcW w:w="864" w:type="dxa"/>
          </w:tcPr>
          <w:p w14:paraId="547677C2" w14:textId="77777777" w:rsidR="00D60A5D" w:rsidRPr="001A7517" w:rsidRDefault="00D60A5D" w:rsidP="00623210">
            <w:pPr>
              <w:suppressAutoHyphens/>
            </w:pPr>
            <w:r w:rsidRPr="001A7517">
              <w:t>59</w:t>
            </w:r>
          </w:p>
        </w:tc>
        <w:tc>
          <w:tcPr>
            <w:tcW w:w="864" w:type="dxa"/>
          </w:tcPr>
          <w:p w14:paraId="5FDD40CA" w14:textId="77777777" w:rsidR="00D60A5D" w:rsidRPr="001A7517" w:rsidRDefault="00D60A5D" w:rsidP="00623210">
            <w:pPr>
              <w:suppressAutoHyphens/>
            </w:pPr>
            <w:r w:rsidRPr="001A7517">
              <w:t>70</w:t>
            </w:r>
          </w:p>
        </w:tc>
        <w:tc>
          <w:tcPr>
            <w:tcW w:w="864" w:type="dxa"/>
          </w:tcPr>
          <w:p w14:paraId="460B7420" w14:textId="77777777" w:rsidR="00D60A5D" w:rsidRPr="001A7517" w:rsidRDefault="00D60A5D" w:rsidP="00623210">
            <w:pPr>
              <w:suppressAutoHyphens/>
            </w:pPr>
            <w:r w:rsidRPr="001A7517">
              <w:t>85</w:t>
            </w:r>
          </w:p>
        </w:tc>
        <w:tc>
          <w:tcPr>
            <w:tcW w:w="864" w:type="dxa"/>
          </w:tcPr>
          <w:p w14:paraId="4072DB4C" w14:textId="77777777" w:rsidR="00D60A5D" w:rsidRPr="001A7517" w:rsidRDefault="00D60A5D" w:rsidP="00623210">
            <w:pPr>
              <w:suppressAutoHyphens/>
            </w:pPr>
            <w:r w:rsidRPr="001A7517">
              <w:t>102</w:t>
            </w:r>
          </w:p>
        </w:tc>
        <w:tc>
          <w:tcPr>
            <w:tcW w:w="864" w:type="dxa"/>
          </w:tcPr>
          <w:p w14:paraId="1153CD20" w14:textId="77777777" w:rsidR="00D60A5D" w:rsidRPr="001A7517" w:rsidRDefault="00D60A5D" w:rsidP="00623210">
            <w:pPr>
              <w:suppressAutoHyphens/>
            </w:pPr>
            <w:r w:rsidRPr="001A7517">
              <w:t>124</w:t>
            </w:r>
          </w:p>
        </w:tc>
        <w:tc>
          <w:tcPr>
            <w:tcW w:w="864" w:type="dxa"/>
          </w:tcPr>
          <w:p w14:paraId="56F10849" w14:textId="77777777" w:rsidR="00D60A5D" w:rsidRPr="001A7517" w:rsidRDefault="00D60A5D" w:rsidP="00623210">
            <w:pPr>
              <w:suppressAutoHyphens/>
            </w:pPr>
            <w:r w:rsidRPr="001A7517">
              <w:t>150</w:t>
            </w:r>
          </w:p>
        </w:tc>
        <w:tc>
          <w:tcPr>
            <w:tcW w:w="864" w:type="dxa"/>
          </w:tcPr>
          <w:p w14:paraId="77D7B32E" w14:textId="77777777" w:rsidR="00D60A5D" w:rsidRPr="001A7517" w:rsidRDefault="00D60A5D" w:rsidP="00623210">
            <w:pPr>
              <w:suppressAutoHyphens/>
            </w:pPr>
            <w:r w:rsidRPr="001A7517">
              <w:t>181</w:t>
            </w:r>
          </w:p>
        </w:tc>
      </w:tr>
      <w:tr w:rsidR="00D60A5D" w:rsidRPr="001A7517" w14:paraId="262D3988" w14:textId="77777777" w:rsidTr="00623210">
        <w:tc>
          <w:tcPr>
            <w:tcW w:w="1728" w:type="dxa"/>
          </w:tcPr>
          <w:p w14:paraId="48880FFB" w14:textId="77777777" w:rsidR="00D60A5D" w:rsidRPr="001A7517" w:rsidRDefault="00D60A5D" w:rsidP="00623210">
            <w:pPr>
              <w:suppressAutoHyphens/>
            </w:pPr>
            <w:r w:rsidRPr="001A7517">
              <w:t>2.4</w:t>
            </w:r>
          </w:p>
        </w:tc>
        <w:tc>
          <w:tcPr>
            <w:tcW w:w="864" w:type="dxa"/>
          </w:tcPr>
          <w:p w14:paraId="26D9E980" w14:textId="77777777" w:rsidR="00D60A5D" w:rsidRPr="001A7517" w:rsidRDefault="00D60A5D" w:rsidP="00623210">
            <w:pPr>
              <w:suppressAutoHyphens/>
            </w:pPr>
            <w:r w:rsidRPr="001A7517">
              <w:t>60</w:t>
            </w:r>
          </w:p>
        </w:tc>
        <w:tc>
          <w:tcPr>
            <w:tcW w:w="864" w:type="dxa"/>
          </w:tcPr>
          <w:p w14:paraId="10DF9AC3" w14:textId="77777777" w:rsidR="00D60A5D" w:rsidRPr="001A7517" w:rsidRDefault="00D60A5D" w:rsidP="00623210">
            <w:pPr>
              <w:suppressAutoHyphens/>
            </w:pPr>
            <w:r w:rsidRPr="001A7517">
              <w:t>72</w:t>
            </w:r>
          </w:p>
        </w:tc>
        <w:tc>
          <w:tcPr>
            <w:tcW w:w="864" w:type="dxa"/>
          </w:tcPr>
          <w:p w14:paraId="6D40D459" w14:textId="77777777" w:rsidR="00D60A5D" w:rsidRPr="001A7517" w:rsidRDefault="00D60A5D" w:rsidP="00623210">
            <w:pPr>
              <w:suppressAutoHyphens/>
            </w:pPr>
            <w:r w:rsidRPr="001A7517">
              <w:t>86</w:t>
            </w:r>
          </w:p>
        </w:tc>
        <w:tc>
          <w:tcPr>
            <w:tcW w:w="864" w:type="dxa"/>
          </w:tcPr>
          <w:p w14:paraId="6B1F4C4C" w14:textId="77777777" w:rsidR="00D60A5D" w:rsidRPr="001A7517" w:rsidRDefault="00D60A5D" w:rsidP="00623210">
            <w:pPr>
              <w:suppressAutoHyphens/>
            </w:pPr>
            <w:r w:rsidRPr="001A7517">
              <w:t>105</w:t>
            </w:r>
          </w:p>
        </w:tc>
        <w:tc>
          <w:tcPr>
            <w:tcW w:w="864" w:type="dxa"/>
          </w:tcPr>
          <w:p w14:paraId="2ABEE417" w14:textId="77777777" w:rsidR="00D60A5D" w:rsidRPr="001A7517" w:rsidRDefault="00D60A5D" w:rsidP="00623210">
            <w:pPr>
              <w:suppressAutoHyphens/>
            </w:pPr>
            <w:r w:rsidRPr="001A7517">
              <w:t>127</w:t>
            </w:r>
          </w:p>
        </w:tc>
        <w:tc>
          <w:tcPr>
            <w:tcW w:w="864" w:type="dxa"/>
          </w:tcPr>
          <w:p w14:paraId="78411028" w14:textId="77777777" w:rsidR="00D60A5D" w:rsidRPr="001A7517" w:rsidRDefault="00D60A5D" w:rsidP="00623210">
            <w:pPr>
              <w:suppressAutoHyphens/>
            </w:pPr>
            <w:r w:rsidRPr="001A7517">
              <w:t>153</w:t>
            </w:r>
          </w:p>
        </w:tc>
        <w:tc>
          <w:tcPr>
            <w:tcW w:w="864" w:type="dxa"/>
          </w:tcPr>
          <w:p w14:paraId="7315CB82" w14:textId="77777777" w:rsidR="00D60A5D" w:rsidRPr="001A7517" w:rsidRDefault="00D60A5D" w:rsidP="00623210">
            <w:pPr>
              <w:suppressAutoHyphens/>
            </w:pPr>
            <w:r w:rsidRPr="001A7517">
              <w:t>184</w:t>
            </w:r>
          </w:p>
        </w:tc>
      </w:tr>
      <w:tr w:rsidR="00D60A5D" w:rsidRPr="001A7517" w14:paraId="1C11EDE8" w14:textId="77777777" w:rsidTr="00623210">
        <w:tc>
          <w:tcPr>
            <w:tcW w:w="1728" w:type="dxa"/>
          </w:tcPr>
          <w:p w14:paraId="3004E143" w14:textId="77777777" w:rsidR="00D60A5D" w:rsidRPr="001A7517" w:rsidRDefault="00D60A5D" w:rsidP="00623210">
            <w:pPr>
              <w:suppressAutoHyphens/>
            </w:pPr>
            <w:r w:rsidRPr="001A7517">
              <w:t>2.6</w:t>
            </w:r>
          </w:p>
        </w:tc>
        <w:tc>
          <w:tcPr>
            <w:tcW w:w="864" w:type="dxa"/>
          </w:tcPr>
          <w:p w14:paraId="46428C6C" w14:textId="77777777" w:rsidR="00D60A5D" w:rsidRPr="001A7517" w:rsidRDefault="00D60A5D" w:rsidP="00623210">
            <w:pPr>
              <w:suppressAutoHyphens/>
            </w:pPr>
            <w:r w:rsidRPr="001A7517">
              <w:t>61</w:t>
            </w:r>
          </w:p>
        </w:tc>
        <w:tc>
          <w:tcPr>
            <w:tcW w:w="864" w:type="dxa"/>
          </w:tcPr>
          <w:p w14:paraId="0211F736" w14:textId="77777777" w:rsidR="00D60A5D" w:rsidRPr="001A7517" w:rsidRDefault="00D60A5D" w:rsidP="00623210">
            <w:pPr>
              <w:suppressAutoHyphens/>
            </w:pPr>
            <w:r w:rsidRPr="001A7517">
              <w:t>73</w:t>
            </w:r>
          </w:p>
        </w:tc>
        <w:tc>
          <w:tcPr>
            <w:tcW w:w="864" w:type="dxa"/>
          </w:tcPr>
          <w:p w14:paraId="06457C48" w14:textId="77777777" w:rsidR="00D60A5D" w:rsidRPr="001A7517" w:rsidRDefault="00D60A5D" w:rsidP="00623210">
            <w:pPr>
              <w:suppressAutoHyphens/>
            </w:pPr>
            <w:r w:rsidRPr="001A7517">
              <w:t>88</w:t>
            </w:r>
          </w:p>
        </w:tc>
        <w:tc>
          <w:tcPr>
            <w:tcW w:w="864" w:type="dxa"/>
          </w:tcPr>
          <w:p w14:paraId="32BD8956" w14:textId="77777777" w:rsidR="00D60A5D" w:rsidRPr="001A7517" w:rsidRDefault="00D60A5D" w:rsidP="00623210">
            <w:pPr>
              <w:suppressAutoHyphens/>
            </w:pPr>
            <w:r w:rsidRPr="001A7517">
              <w:t>107</w:t>
            </w:r>
          </w:p>
        </w:tc>
        <w:tc>
          <w:tcPr>
            <w:tcW w:w="864" w:type="dxa"/>
          </w:tcPr>
          <w:p w14:paraId="2C4A7509" w14:textId="77777777" w:rsidR="00D60A5D" w:rsidRPr="001A7517" w:rsidRDefault="00D60A5D" w:rsidP="00623210">
            <w:pPr>
              <w:suppressAutoHyphens/>
            </w:pPr>
            <w:r w:rsidRPr="001A7517">
              <w:t>129</w:t>
            </w:r>
          </w:p>
        </w:tc>
        <w:tc>
          <w:tcPr>
            <w:tcW w:w="864" w:type="dxa"/>
          </w:tcPr>
          <w:p w14:paraId="3F78ABD4" w14:textId="77777777" w:rsidR="00D60A5D" w:rsidRPr="001A7517" w:rsidRDefault="00D60A5D" w:rsidP="00623210">
            <w:pPr>
              <w:suppressAutoHyphens/>
            </w:pPr>
            <w:r w:rsidRPr="001A7517">
              <w:t>156</w:t>
            </w:r>
          </w:p>
        </w:tc>
        <w:tc>
          <w:tcPr>
            <w:tcW w:w="864" w:type="dxa"/>
          </w:tcPr>
          <w:p w14:paraId="1364C623" w14:textId="77777777" w:rsidR="00D60A5D" w:rsidRPr="001A7517" w:rsidRDefault="00D60A5D" w:rsidP="00623210">
            <w:pPr>
              <w:suppressAutoHyphens/>
            </w:pPr>
            <w:r w:rsidRPr="001A7517">
              <w:t>188</w:t>
            </w:r>
          </w:p>
        </w:tc>
      </w:tr>
      <w:tr w:rsidR="00D60A5D" w:rsidRPr="001A7517" w14:paraId="51F2EF79" w14:textId="77777777" w:rsidTr="00623210">
        <w:tc>
          <w:tcPr>
            <w:tcW w:w="1728" w:type="dxa"/>
          </w:tcPr>
          <w:p w14:paraId="76E091CE" w14:textId="77777777" w:rsidR="00D60A5D" w:rsidRPr="001A7517" w:rsidRDefault="00D60A5D" w:rsidP="00623210">
            <w:pPr>
              <w:suppressAutoHyphens/>
            </w:pPr>
            <w:r w:rsidRPr="001A7517">
              <w:t>2.8</w:t>
            </w:r>
          </w:p>
        </w:tc>
        <w:tc>
          <w:tcPr>
            <w:tcW w:w="864" w:type="dxa"/>
          </w:tcPr>
          <w:p w14:paraId="20467257" w14:textId="77777777" w:rsidR="00D60A5D" w:rsidRPr="001A7517" w:rsidRDefault="00D60A5D" w:rsidP="00623210">
            <w:pPr>
              <w:suppressAutoHyphens/>
            </w:pPr>
            <w:r w:rsidRPr="001A7517">
              <w:t>62</w:t>
            </w:r>
          </w:p>
        </w:tc>
        <w:tc>
          <w:tcPr>
            <w:tcW w:w="864" w:type="dxa"/>
          </w:tcPr>
          <w:p w14:paraId="499D39AA" w14:textId="77777777" w:rsidR="00D60A5D" w:rsidRPr="001A7517" w:rsidRDefault="00D60A5D" w:rsidP="00623210">
            <w:pPr>
              <w:suppressAutoHyphens/>
            </w:pPr>
            <w:r w:rsidRPr="001A7517">
              <w:t>74</w:t>
            </w:r>
          </w:p>
        </w:tc>
        <w:tc>
          <w:tcPr>
            <w:tcW w:w="864" w:type="dxa"/>
          </w:tcPr>
          <w:p w14:paraId="2FBA023B" w14:textId="77777777" w:rsidR="00D60A5D" w:rsidRPr="001A7517" w:rsidRDefault="00D60A5D" w:rsidP="00623210">
            <w:pPr>
              <w:suppressAutoHyphens/>
            </w:pPr>
            <w:r w:rsidRPr="001A7517">
              <w:t>89</w:t>
            </w:r>
          </w:p>
        </w:tc>
        <w:tc>
          <w:tcPr>
            <w:tcW w:w="864" w:type="dxa"/>
          </w:tcPr>
          <w:p w14:paraId="0DF45240" w14:textId="77777777" w:rsidR="00D60A5D" w:rsidRPr="001A7517" w:rsidRDefault="00D60A5D" w:rsidP="00623210">
            <w:pPr>
              <w:suppressAutoHyphens/>
            </w:pPr>
            <w:r w:rsidRPr="001A7517">
              <w:t>109</w:t>
            </w:r>
          </w:p>
        </w:tc>
        <w:tc>
          <w:tcPr>
            <w:tcW w:w="864" w:type="dxa"/>
          </w:tcPr>
          <w:p w14:paraId="7104194B" w14:textId="77777777" w:rsidR="00D60A5D" w:rsidRPr="001A7517" w:rsidRDefault="00D60A5D" w:rsidP="00623210">
            <w:pPr>
              <w:suppressAutoHyphens/>
            </w:pPr>
            <w:r w:rsidRPr="001A7517">
              <w:t>132</w:t>
            </w:r>
          </w:p>
        </w:tc>
        <w:tc>
          <w:tcPr>
            <w:tcW w:w="864" w:type="dxa"/>
          </w:tcPr>
          <w:p w14:paraId="454B4D5A" w14:textId="77777777" w:rsidR="00D60A5D" w:rsidRPr="001A7517" w:rsidRDefault="00D60A5D" w:rsidP="00623210">
            <w:pPr>
              <w:suppressAutoHyphens/>
            </w:pPr>
            <w:r w:rsidRPr="001A7517">
              <w:t>159</w:t>
            </w:r>
          </w:p>
        </w:tc>
        <w:tc>
          <w:tcPr>
            <w:tcW w:w="864" w:type="dxa"/>
          </w:tcPr>
          <w:p w14:paraId="74E36051" w14:textId="77777777" w:rsidR="00D60A5D" w:rsidRPr="001A7517" w:rsidRDefault="00D60A5D" w:rsidP="00623210">
            <w:pPr>
              <w:suppressAutoHyphens/>
            </w:pPr>
            <w:r w:rsidRPr="001A7517">
              <w:t>191</w:t>
            </w:r>
          </w:p>
        </w:tc>
      </w:tr>
      <w:tr w:rsidR="00D60A5D" w:rsidRPr="001A7517" w14:paraId="2E87224F" w14:textId="77777777" w:rsidTr="00623210">
        <w:tc>
          <w:tcPr>
            <w:tcW w:w="1728" w:type="dxa"/>
          </w:tcPr>
          <w:p w14:paraId="6FD9CC19" w14:textId="77777777" w:rsidR="00D60A5D" w:rsidRPr="001A7517" w:rsidRDefault="00D60A5D" w:rsidP="00623210">
            <w:pPr>
              <w:suppressAutoHyphens/>
            </w:pPr>
            <w:r w:rsidRPr="001A7517">
              <w:t>3.0</w:t>
            </w:r>
          </w:p>
        </w:tc>
        <w:tc>
          <w:tcPr>
            <w:tcW w:w="864" w:type="dxa"/>
          </w:tcPr>
          <w:p w14:paraId="1177BE71" w14:textId="77777777" w:rsidR="00D60A5D" w:rsidRPr="001A7517" w:rsidRDefault="00D60A5D" w:rsidP="00623210">
            <w:pPr>
              <w:suppressAutoHyphens/>
            </w:pPr>
            <w:r w:rsidRPr="001A7517">
              <w:t>63</w:t>
            </w:r>
          </w:p>
        </w:tc>
        <w:tc>
          <w:tcPr>
            <w:tcW w:w="864" w:type="dxa"/>
          </w:tcPr>
          <w:p w14:paraId="39D1A322" w14:textId="77777777" w:rsidR="00D60A5D" w:rsidRPr="001A7517" w:rsidRDefault="00D60A5D" w:rsidP="00623210">
            <w:pPr>
              <w:suppressAutoHyphens/>
            </w:pPr>
            <w:r w:rsidRPr="001A7517">
              <w:t>76</w:t>
            </w:r>
          </w:p>
        </w:tc>
        <w:tc>
          <w:tcPr>
            <w:tcW w:w="864" w:type="dxa"/>
          </w:tcPr>
          <w:p w14:paraId="3A6C1E07" w14:textId="77777777" w:rsidR="00D60A5D" w:rsidRPr="001A7517" w:rsidRDefault="00D60A5D" w:rsidP="00623210">
            <w:pPr>
              <w:suppressAutoHyphens/>
            </w:pPr>
            <w:r w:rsidRPr="001A7517">
              <w:t>91</w:t>
            </w:r>
          </w:p>
        </w:tc>
        <w:tc>
          <w:tcPr>
            <w:tcW w:w="864" w:type="dxa"/>
          </w:tcPr>
          <w:p w14:paraId="60C8C1BE" w14:textId="77777777" w:rsidR="00D60A5D" w:rsidRPr="001A7517" w:rsidRDefault="00D60A5D" w:rsidP="00623210">
            <w:pPr>
              <w:suppressAutoHyphens/>
            </w:pPr>
            <w:r w:rsidRPr="001A7517">
              <w:t>111</w:t>
            </w:r>
          </w:p>
        </w:tc>
        <w:tc>
          <w:tcPr>
            <w:tcW w:w="864" w:type="dxa"/>
          </w:tcPr>
          <w:p w14:paraId="10BD6FA4" w14:textId="77777777" w:rsidR="00D60A5D" w:rsidRPr="001A7517" w:rsidRDefault="00D60A5D" w:rsidP="00623210">
            <w:pPr>
              <w:suppressAutoHyphens/>
            </w:pPr>
            <w:r w:rsidRPr="001A7517">
              <w:t>134</w:t>
            </w:r>
          </w:p>
        </w:tc>
        <w:tc>
          <w:tcPr>
            <w:tcW w:w="864" w:type="dxa"/>
          </w:tcPr>
          <w:p w14:paraId="4E70A358" w14:textId="77777777" w:rsidR="00D60A5D" w:rsidRPr="001A7517" w:rsidRDefault="00D60A5D" w:rsidP="00623210">
            <w:pPr>
              <w:suppressAutoHyphens/>
            </w:pPr>
            <w:r w:rsidRPr="001A7517">
              <w:t>162</w:t>
            </w:r>
          </w:p>
        </w:tc>
        <w:tc>
          <w:tcPr>
            <w:tcW w:w="864" w:type="dxa"/>
          </w:tcPr>
          <w:p w14:paraId="52374CB8" w14:textId="77777777" w:rsidR="00D60A5D" w:rsidRPr="001A7517" w:rsidRDefault="00D60A5D" w:rsidP="00623210">
            <w:pPr>
              <w:suppressAutoHyphens/>
            </w:pPr>
            <w:r w:rsidRPr="001A7517">
              <w:t>195</w:t>
            </w:r>
          </w:p>
        </w:tc>
      </w:tr>
    </w:tbl>
    <w:p w14:paraId="113C0705" w14:textId="77777777" w:rsidR="00D60A5D" w:rsidRPr="001A7517" w:rsidRDefault="00D60A5D" w:rsidP="00D60A5D">
      <w:pPr>
        <w:keepNext/>
        <w:keepLines/>
        <w:suppressAutoHyphens/>
        <w:spacing w:before="240"/>
        <w:ind w:left="630" w:right="720"/>
        <w:jc w:val="center"/>
      </w:pPr>
      <w:r w:rsidRPr="001A7517">
        <w:lastRenderedPageBreak/>
        <w:t>Table 1.5</w:t>
      </w:r>
    </w:p>
    <w:p w14:paraId="46E607E2" w14:textId="77777777" w:rsidR="00D60A5D" w:rsidRPr="001A7517" w:rsidRDefault="00D60A5D" w:rsidP="00D60A5D">
      <w:pPr>
        <w:keepNext/>
        <w:keepLines/>
        <w:suppressAutoHyphens/>
        <w:ind w:left="630" w:right="720"/>
        <w:jc w:val="center"/>
      </w:pPr>
      <w:r w:rsidRPr="001A7517">
        <w:t>CT-99.9 for 99.9 Percent Inactivation of Giardia Lamblia Cysts by Free Chlorine at 20° C</w:t>
      </w:r>
    </w:p>
    <w:p w14:paraId="01C9445E" w14:textId="77777777" w:rsidR="00D60A5D" w:rsidRPr="001A7517" w:rsidRDefault="00D60A5D" w:rsidP="00D60A5D">
      <w:pPr>
        <w:suppressAutoHyphens/>
        <w:spacing w:before="240" w:after="240"/>
      </w:pPr>
      <w:r w:rsidRPr="001A7517">
        <w:t>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4AC5B025" w14:textId="77777777" w:rsidTr="00623210">
        <w:tc>
          <w:tcPr>
            <w:tcW w:w="1728" w:type="dxa"/>
            <w:vAlign w:val="bottom"/>
          </w:tcPr>
          <w:p w14:paraId="215086C5" w14:textId="77777777" w:rsidR="00D60A5D" w:rsidRPr="001A7517" w:rsidRDefault="00D60A5D" w:rsidP="00623210">
            <w:pPr>
              <w:keepNext/>
              <w:keepLines/>
              <w:suppressAutoHyphens/>
            </w:pPr>
            <w:r w:rsidRPr="001A7517">
              <w:t>Free Residual</w:t>
            </w:r>
          </w:p>
          <w:p w14:paraId="294EE506" w14:textId="77777777" w:rsidR="00D60A5D" w:rsidRPr="001A7517" w:rsidRDefault="00D60A5D" w:rsidP="00623210">
            <w:pPr>
              <w:keepNext/>
              <w:keepLines/>
              <w:suppressAutoHyphens/>
            </w:pPr>
            <w:r w:rsidRPr="001A7517">
              <w:t>(mg/ℓ)</w:t>
            </w:r>
          </w:p>
        </w:tc>
        <w:tc>
          <w:tcPr>
            <w:tcW w:w="864" w:type="dxa"/>
            <w:vAlign w:val="bottom"/>
          </w:tcPr>
          <w:p w14:paraId="52B4DD29" w14:textId="77777777" w:rsidR="00D60A5D" w:rsidRPr="001A7517" w:rsidRDefault="00D60A5D" w:rsidP="00623210">
            <w:pPr>
              <w:keepNext/>
              <w:keepLines/>
              <w:suppressAutoHyphens/>
            </w:pPr>
            <w:r w:rsidRPr="001A7517">
              <w:t>PH</w:t>
            </w:r>
          </w:p>
          <w:p w14:paraId="7F9560C2" w14:textId="77777777" w:rsidR="00D60A5D" w:rsidRPr="001A7517" w:rsidRDefault="00D60A5D" w:rsidP="00623210">
            <w:pPr>
              <w:keepNext/>
              <w:keepLines/>
              <w:suppressAutoHyphens/>
            </w:pPr>
            <w:r w:rsidRPr="001A7517">
              <w:t>≤6.0</w:t>
            </w:r>
          </w:p>
        </w:tc>
        <w:tc>
          <w:tcPr>
            <w:tcW w:w="864" w:type="dxa"/>
            <w:vAlign w:val="bottom"/>
          </w:tcPr>
          <w:p w14:paraId="20ADDDC7" w14:textId="77777777" w:rsidR="00D60A5D" w:rsidRPr="001A7517" w:rsidRDefault="00D60A5D" w:rsidP="00623210">
            <w:pPr>
              <w:keepNext/>
              <w:keepLines/>
              <w:suppressAutoHyphens/>
            </w:pPr>
            <w:r w:rsidRPr="001A7517">
              <w:t>6.5</w:t>
            </w:r>
          </w:p>
        </w:tc>
        <w:tc>
          <w:tcPr>
            <w:tcW w:w="864" w:type="dxa"/>
            <w:vAlign w:val="bottom"/>
          </w:tcPr>
          <w:p w14:paraId="4921D2F7" w14:textId="77777777" w:rsidR="00D60A5D" w:rsidRPr="001A7517" w:rsidRDefault="00D60A5D" w:rsidP="00623210">
            <w:pPr>
              <w:keepNext/>
              <w:keepLines/>
              <w:suppressAutoHyphens/>
            </w:pPr>
            <w:r w:rsidRPr="001A7517">
              <w:t>7.0</w:t>
            </w:r>
          </w:p>
        </w:tc>
        <w:tc>
          <w:tcPr>
            <w:tcW w:w="864" w:type="dxa"/>
            <w:vAlign w:val="bottom"/>
          </w:tcPr>
          <w:p w14:paraId="31A725FF" w14:textId="77777777" w:rsidR="00D60A5D" w:rsidRPr="001A7517" w:rsidRDefault="00D60A5D" w:rsidP="00623210">
            <w:pPr>
              <w:keepNext/>
              <w:keepLines/>
              <w:suppressAutoHyphens/>
            </w:pPr>
            <w:r w:rsidRPr="001A7517">
              <w:t>7.5</w:t>
            </w:r>
          </w:p>
        </w:tc>
        <w:tc>
          <w:tcPr>
            <w:tcW w:w="864" w:type="dxa"/>
            <w:vAlign w:val="bottom"/>
          </w:tcPr>
          <w:p w14:paraId="7469806D" w14:textId="77777777" w:rsidR="00D60A5D" w:rsidRPr="001A7517" w:rsidRDefault="00D60A5D" w:rsidP="00623210">
            <w:pPr>
              <w:keepNext/>
              <w:keepLines/>
              <w:suppressAutoHyphens/>
            </w:pPr>
            <w:r w:rsidRPr="001A7517">
              <w:t>8.0</w:t>
            </w:r>
          </w:p>
        </w:tc>
        <w:tc>
          <w:tcPr>
            <w:tcW w:w="864" w:type="dxa"/>
            <w:vAlign w:val="bottom"/>
          </w:tcPr>
          <w:p w14:paraId="0E70B8CE" w14:textId="77777777" w:rsidR="00D60A5D" w:rsidRPr="001A7517" w:rsidRDefault="00D60A5D" w:rsidP="00623210">
            <w:pPr>
              <w:keepNext/>
              <w:keepLines/>
              <w:suppressAutoHyphens/>
            </w:pPr>
            <w:r w:rsidRPr="001A7517">
              <w:t>8.5</w:t>
            </w:r>
          </w:p>
        </w:tc>
        <w:tc>
          <w:tcPr>
            <w:tcW w:w="864" w:type="dxa"/>
            <w:vAlign w:val="bottom"/>
          </w:tcPr>
          <w:p w14:paraId="156E7D32" w14:textId="77777777" w:rsidR="00D60A5D" w:rsidRPr="001A7517" w:rsidRDefault="00D60A5D" w:rsidP="00623210">
            <w:pPr>
              <w:keepNext/>
              <w:keepLines/>
              <w:suppressAutoHyphens/>
            </w:pPr>
            <w:r w:rsidRPr="001A7517">
              <w:t>≥9.0</w:t>
            </w:r>
          </w:p>
        </w:tc>
      </w:tr>
      <w:tr w:rsidR="00D60A5D" w:rsidRPr="001A7517" w14:paraId="5BE27332" w14:textId="77777777" w:rsidTr="00623210">
        <w:tc>
          <w:tcPr>
            <w:tcW w:w="1728" w:type="dxa"/>
          </w:tcPr>
          <w:p w14:paraId="1D035223" w14:textId="77777777" w:rsidR="00D60A5D" w:rsidRPr="001A7517" w:rsidRDefault="00D60A5D" w:rsidP="00623210">
            <w:pPr>
              <w:suppressAutoHyphens/>
            </w:pPr>
            <w:r w:rsidRPr="001A7517">
              <w:t>≤0.4</w:t>
            </w:r>
          </w:p>
        </w:tc>
        <w:tc>
          <w:tcPr>
            <w:tcW w:w="864" w:type="dxa"/>
          </w:tcPr>
          <w:p w14:paraId="2372C243" w14:textId="77777777" w:rsidR="00D60A5D" w:rsidRPr="001A7517" w:rsidRDefault="00D60A5D" w:rsidP="00623210">
            <w:pPr>
              <w:suppressAutoHyphens/>
            </w:pPr>
            <w:r w:rsidRPr="001A7517">
              <w:t>36</w:t>
            </w:r>
          </w:p>
        </w:tc>
        <w:tc>
          <w:tcPr>
            <w:tcW w:w="864" w:type="dxa"/>
          </w:tcPr>
          <w:p w14:paraId="04934B00" w14:textId="77777777" w:rsidR="00D60A5D" w:rsidRPr="001A7517" w:rsidRDefault="00D60A5D" w:rsidP="00623210">
            <w:pPr>
              <w:suppressAutoHyphens/>
            </w:pPr>
            <w:r w:rsidRPr="001A7517">
              <w:t>44</w:t>
            </w:r>
          </w:p>
        </w:tc>
        <w:tc>
          <w:tcPr>
            <w:tcW w:w="864" w:type="dxa"/>
          </w:tcPr>
          <w:p w14:paraId="21B0FD7E" w14:textId="77777777" w:rsidR="00D60A5D" w:rsidRPr="001A7517" w:rsidRDefault="00D60A5D" w:rsidP="00623210">
            <w:pPr>
              <w:suppressAutoHyphens/>
            </w:pPr>
            <w:r w:rsidRPr="001A7517">
              <w:t>52</w:t>
            </w:r>
          </w:p>
        </w:tc>
        <w:tc>
          <w:tcPr>
            <w:tcW w:w="864" w:type="dxa"/>
          </w:tcPr>
          <w:p w14:paraId="1DF990FC" w14:textId="77777777" w:rsidR="00D60A5D" w:rsidRPr="001A7517" w:rsidRDefault="00D60A5D" w:rsidP="00623210">
            <w:pPr>
              <w:suppressAutoHyphens/>
            </w:pPr>
            <w:r w:rsidRPr="001A7517">
              <w:t>62</w:t>
            </w:r>
          </w:p>
        </w:tc>
        <w:tc>
          <w:tcPr>
            <w:tcW w:w="864" w:type="dxa"/>
          </w:tcPr>
          <w:p w14:paraId="0A3BCE98" w14:textId="77777777" w:rsidR="00D60A5D" w:rsidRPr="001A7517" w:rsidRDefault="00D60A5D" w:rsidP="00623210">
            <w:pPr>
              <w:suppressAutoHyphens/>
            </w:pPr>
            <w:r w:rsidRPr="001A7517">
              <w:t>74</w:t>
            </w:r>
          </w:p>
        </w:tc>
        <w:tc>
          <w:tcPr>
            <w:tcW w:w="864" w:type="dxa"/>
          </w:tcPr>
          <w:p w14:paraId="337155CA" w14:textId="77777777" w:rsidR="00D60A5D" w:rsidRPr="001A7517" w:rsidRDefault="00D60A5D" w:rsidP="00623210">
            <w:pPr>
              <w:suppressAutoHyphens/>
            </w:pPr>
            <w:r w:rsidRPr="001A7517">
              <w:t>89</w:t>
            </w:r>
          </w:p>
        </w:tc>
        <w:tc>
          <w:tcPr>
            <w:tcW w:w="864" w:type="dxa"/>
          </w:tcPr>
          <w:p w14:paraId="1DF5058B" w14:textId="77777777" w:rsidR="00D60A5D" w:rsidRPr="001A7517" w:rsidRDefault="00D60A5D" w:rsidP="00623210">
            <w:pPr>
              <w:suppressAutoHyphens/>
            </w:pPr>
            <w:r w:rsidRPr="001A7517">
              <w:t>105</w:t>
            </w:r>
          </w:p>
        </w:tc>
      </w:tr>
      <w:tr w:rsidR="00D60A5D" w:rsidRPr="001A7517" w14:paraId="7C0FE3E3" w14:textId="77777777" w:rsidTr="00623210">
        <w:tc>
          <w:tcPr>
            <w:tcW w:w="1728" w:type="dxa"/>
          </w:tcPr>
          <w:p w14:paraId="196A2CDE" w14:textId="77777777" w:rsidR="00D60A5D" w:rsidRPr="001A7517" w:rsidRDefault="00D60A5D" w:rsidP="00623210">
            <w:pPr>
              <w:suppressAutoHyphens/>
            </w:pPr>
            <w:r w:rsidRPr="001A7517">
              <w:t>0.6</w:t>
            </w:r>
          </w:p>
        </w:tc>
        <w:tc>
          <w:tcPr>
            <w:tcW w:w="864" w:type="dxa"/>
          </w:tcPr>
          <w:p w14:paraId="1948031D" w14:textId="77777777" w:rsidR="00D60A5D" w:rsidRPr="001A7517" w:rsidRDefault="00D60A5D" w:rsidP="00623210">
            <w:pPr>
              <w:suppressAutoHyphens/>
            </w:pPr>
            <w:r w:rsidRPr="001A7517">
              <w:t>38</w:t>
            </w:r>
          </w:p>
        </w:tc>
        <w:tc>
          <w:tcPr>
            <w:tcW w:w="864" w:type="dxa"/>
          </w:tcPr>
          <w:p w14:paraId="7AAC276E" w14:textId="77777777" w:rsidR="00D60A5D" w:rsidRPr="001A7517" w:rsidRDefault="00D60A5D" w:rsidP="00623210">
            <w:pPr>
              <w:suppressAutoHyphens/>
            </w:pPr>
            <w:r w:rsidRPr="001A7517">
              <w:t>45</w:t>
            </w:r>
          </w:p>
        </w:tc>
        <w:tc>
          <w:tcPr>
            <w:tcW w:w="864" w:type="dxa"/>
          </w:tcPr>
          <w:p w14:paraId="39719422" w14:textId="77777777" w:rsidR="00D60A5D" w:rsidRPr="001A7517" w:rsidRDefault="00D60A5D" w:rsidP="00623210">
            <w:pPr>
              <w:suppressAutoHyphens/>
            </w:pPr>
            <w:r w:rsidRPr="001A7517">
              <w:t>54</w:t>
            </w:r>
          </w:p>
        </w:tc>
        <w:tc>
          <w:tcPr>
            <w:tcW w:w="864" w:type="dxa"/>
          </w:tcPr>
          <w:p w14:paraId="554CA8DA" w14:textId="77777777" w:rsidR="00D60A5D" w:rsidRPr="001A7517" w:rsidRDefault="00D60A5D" w:rsidP="00623210">
            <w:pPr>
              <w:suppressAutoHyphens/>
            </w:pPr>
            <w:r w:rsidRPr="001A7517">
              <w:t>64</w:t>
            </w:r>
          </w:p>
        </w:tc>
        <w:tc>
          <w:tcPr>
            <w:tcW w:w="864" w:type="dxa"/>
          </w:tcPr>
          <w:p w14:paraId="78F69E7D" w14:textId="77777777" w:rsidR="00D60A5D" w:rsidRPr="001A7517" w:rsidRDefault="00D60A5D" w:rsidP="00623210">
            <w:pPr>
              <w:suppressAutoHyphens/>
            </w:pPr>
            <w:r w:rsidRPr="001A7517">
              <w:t>77</w:t>
            </w:r>
          </w:p>
        </w:tc>
        <w:tc>
          <w:tcPr>
            <w:tcW w:w="864" w:type="dxa"/>
          </w:tcPr>
          <w:p w14:paraId="282B25CF" w14:textId="77777777" w:rsidR="00D60A5D" w:rsidRPr="001A7517" w:rsidRDefault="00D60A5D" w:rsidP="00623210">
            <w:pPr>
              <w:suppressAutoHyphens/>
            </w:pPr>
            <w:r w:rsidRPr="001A7517">
              <w:t>92</w:t>
            </w:r>
          </w:p>
        </w:tc>
        <w:tc>
          <w:tcPr>
            <w:tcW w:w="864" w:type="dxa"/>
          </w:tcPr>
          <w:p w14:paraId="1A564E8B" w14:textId="77777777" w:rsidR="00D60A5D" w:rsidRPr="001A7517" w:rsidRDefault="00D60A5D" w:rsidP="00623210">
            <w:pPr>
              <w:suppressAutoHyphens/>
            </w:pPr>
            <w:r w:rsidRPr="001A7517">
              <w:t>109</w:t>
            </w:r>
          </w:p>
        </w:tc>
      </w:tr>
      <w:tr w:rsidR="00D60A5D" w:rsidRPr="001A7517" w14:paraId="7F0055BC" w14:textId="77777777" w:rsidTr="00623210">
        <w:tc>
          <w:tcPr>
            <w:tcW w:w="1728" w:type="dxa"/>
          </w:tcPr>
          <w:p w14:paraId="08A680EA" w14:textId="77777777" w:rsidR="00D60A5D" w:rsidRPr="001A7517" w:rsidRDefault="00D60A5D" w:rsidP="00623210">
            <w:pPr>
              <w:suppressAutoHyphens/>
            </w:pPr>
            <w:r w:rsidRPr="001A7517">
              <w:t>0.8</w:t>
            </w:r>
          </w:p>
        </w:tc>
        <w:tc>
          <w:tcPr>
            <w:tcW w:w="864" w:type="dxa"/>
          </w:tcPr>
          <w:p w14:paraId="76AC57D0" w14:textId="77777777" w:rsidR="00D60A5D" w:rsidRPr="001A7517" w:rsidRDefault="00D60A5D" w:rsidP="00623210">
            <w:pPr>
              <w:suppressAutoHyphens/>
            </w:pPr>
            <w:r w:rsidRPr="001A7517">
              <w:t>39</w:t>
            </w:r>
          </w:p>
        </w:tc>
        <w:tc>
          <w:tcPr>
            <w:tcW w:w="864" w:type="dxa"/>
          </w:tcPr>
          <w:p w14:paraId="4CB1B95A" w14:textId="77777777" w:rsidR="00D60A5D" w:rsidRPr="001A7517" w:rsidRDefault="00D60A5D" w:rsidP="00623210">
            <w:pPr>
              <w:suppressAutoHyphens/>
            </w:pPr>
            <w:r w:rsidRPr="001A7517">
              <w:t>46</w:t>
            </w:r>
          </w:p>
        </w:tc>
        <w:tc>
          <w:tcPr>
            <w:tcW w:w="864" w:type="dxa"/>
          </w:tcPr>
          <w:p w14:paraId="59209606" w14:textId="77777777" w:rsidR="00D60A5D" w:rsidRPr="001A7517" w:rsidRDefault="00D60A5D" w:rsidP="00623210">
            <w:pPr>
              <w:suppressAutoHyphens/>
            </w:pPr>
            <w:r w:rsidRPr="001A7517">
              <w:t>55</w:t>
            </w:r>
          </w:p>
        </w:tc>
        <w:tc>
          <w:tcPr>
            <w:tcW w:w="864" w:type="dxa"/>
          </w:tcPr>
          <w:p w14:paraId="52284656" w14:textId="77777777" w:rsidR="00D60A5D" w:rsidRPr="001A7517" w:rsidRDefault="00D60A5D" w:rsidP="00623210">
            <w:pPr>
              <w:suppressAutoHyphens/>
            </w:pPr>
            <w:r w:rsidRPr="001A7517">
              <w:t>66</w:t>
            </w:r>
          </w:p>
        </w:tc>
        <w:tc>
          <w:tcPr>
            <w:tcW w:w="864" w:type="dxa"/>
          </w:tcPr>
          <w:p w14:paraId="6E1F2921" w14:textId="77777777" w:rsidR="00D60A5D" w:rsidRPr="001A7517" w:rsidRDefault="00D60A5D" w:rsidP="00623210">
            <w:pPr>
              <w:suppressAutoHyphens/>
            </w:pPr>
            <w:r w:rsidRPr="001A7517">
              <w:t>79</w:t>
            </w:r>
          </w:p>
        </w:tc>
        <w:tc>
          <w:tcPr>
            <w:tcW w:w="864" w:type="dxa"/>
          </w:tcPr>
          <w:p w14:paraId="3C79D9AA" w14:textId="77777777" w:rsidR="00D60A5D" w:rsidRPr="001A7517" w:rsidRDefault="00D60A5D" w:rsidP="00623210">
            <w:pPr>
              <w:suppressAutoHyphens/>
            </w:pPr>
            <w:r w:rsidRPr="001A7517">
              <w:t>95</w:t>
            </w:r>
          </w:p>
        </w:tc>
        <w:tc>
          <w:tcPr>
            <w:tcW w:w="864" w:type="dxa"/>
          </w:tcPr>
          <w:p w14:paraId="29A02035" w14:textId="77777777" w:rsidR="00D60A5D" w:rsidRPr="001A7517" w:rsidRDefault="00D60A5D" w:rsidP="00623210">
            <w:pPr>
              <w:suppressAutoHyphens/>
            </w:pPr>
            <w:r w:rsidRPr="001A7517">
              <w:t>113</w:t>
            </w:r>
          </w:p>
        </w:tc>
      </w:tr>
      <w:tr w:rsidR="00D60A5D" w:rsidRPr="001A7517" w14:paraId="144DE8D5" w14:textId="77777777" w:rsidTr="00623210">
        <w:tc>
          <w:tcPr>
            <w:tcW w:w="1728" w:type="dxa"/>
          </w:tcPr>
          <w:p w14:paraId="4AE60E40" w14:textId="77777777" w:rsidR="00D60A5D" w:rsidRPr="001A7517" w:rsidRDefault="00D60A5D" w:rsidP="00623210">
            <w:pPr>
              <w:suppressAutoHyphens/>
            </w:pPr>
            <w:r w:rsidRPr="001A7517">
              <w:t>1.0</w:t>
            </w:r>
          </w:p>
        </w:tc>
        <w:tc>
          <w:tcPr>
            <w:tcW w:w="864" w:type="dxa"/>
          </w:tcPr>
          <w:p w14:paraId="76BD77F3" w14:textId="77777777" w:rsidR="00D60A5D" w:rsidRPr="001A7517" w:rsidRDefault="00D60A5D" w:rsidP="00623210">
            <w:pPr>
              <w:suppressAutoHyphens/>
            </w:pPr>
            <w:r w:rsidRPr="001A7517">
              <w:t>39</w:t>
            </w:r>
          </w:p>
        </w:tc>
        <w:tc>
          <w:tcPr>
            <w:tcW w:w="864" w:type="dxa"/>
          </w:tcPr>
          <w:p w14:paraId="5DAFA926" w14:textId="77777777" w:rsidR="00D60A5D" w:rsidRPr="001A7517" w:rsidRDefault="00D60A5D" w:rsidP="00623210">
            <w:pPr>
              <w:suppressAutoHyphens/>
            </w:pPr>
            <w:r w:rsidRPr="001A7517">
              <w:t>47</w:t>
            </w:r>
          </w:p>
        </w:tc>
        <w:tc>
          <w:tcPr>
            <w:tcW w:w="864" w:type="dxa"/>
          </w:tcPr>
          <w:p w14:paraId="36F90B05" w14:textId="77777777" w:rsidR="00D60A5D" w:rsidRPr="001A7517" w:rsidRDefault="00D60A5D" w:rsidP="00623210">
            <w:pPr>
              <w:suppressAutoHyphens/>
            </w:pPr>
            <w:r w:rsidRPr="001A7517">
              <w:t>56</w:t>
            </w:r>
          </w:p>
        </w:tc>
        <w:tc>
          <w:tcPr>
            <w:tcW w:w="864" w:type="dxa"/>
          </w:tcPr>
          <w:p w14:paraId="0B288E18" w14:textId="77777777" w:rsidR="00D60A5D" w:rsidRPr="001A7517" w:rsidRDefault="00D60A5D" w:rsidP="00623210">
            <w:pPr>
              <w:suppressAutoHyphens/>
            </w:pPr>
            <w:r w:rsidRPr="001A7517">
              <w:t>67</w:t>
            </w:r>
          </w:p>
        </w:tc>
        <w:tc>
          <w:tcPr>
            <w:tcW w:w="864" w:type="dxa"/>
          </w:tcPr>
          <w:p w14:paraId="2DDFE8F1" w14:textId="77777777" w:rsidR="00D60A5D" w:rsidRPr="001A7517" w:rsidRDefault="00D60A5D" w:rsidP="00623210">
            <w:pPr>
              <w:suppressAutoHyphens/>
            </w:pPr>
            <w:r w:rsidRPr="001A7517">
              <w:t>81</w:t>
            </w:r>
          </w:p>
        </w:tc>
        <w:tc>
          <w:tcPr>
            <w:tcW w:w="864" w:type="dxa"/>
          </w:tcPr>
          <w:p w14:paraId="01F81E33" w14:textId="77777777" w:rsidR="00D60A5D" w:rsidRPr="001A7517" w:rsidRDefault="00D60A5D" w:rsidP="00623210">
            <w:pPr>
              <w:suppressAutoHyphens/>
            </w:pPr>
            <w:r w:rsidRPr="001A7517">
              <w:t>98</w:t>
            </w:r>
          </w:p>
        </w:tc>
        <w:tc>
          <w:tcPr>
            <w:tcW w:w="864" w:type="dxa"/>
          </w:tcPr>
          <w:p w14:paraId="26AB4A4B" w14:textId="77777777" w:rsidR="00D60A5D" w:rsidRPr="001A7517" w:rsidRDefault="00D60A5D" w:rsidP="00623210">
            <w:pPr>
              <w:suppressAutoHyphens/>
            </w:pPr>
            <w:r w:rsidRPr="001A7517">
              <w:t>117</w:t>
            </w:r>
          </w:p>
        </w:tc>
      </w:tr>
      <w:tr w:rsidR="00D60A5D" w:rsidRPr="001A7517" w14:paraId="2742FC6E" w14:textId="77777777" w:rsidTr="00623210">
        <w:tc>
          <w:tcPr>
            <w:tcW w:w="1728" w:type="dxa"/>
          </w:tcPr>
          <w:p w14:paraId="0BE9E5BC" w14:textId="77777777" w:rsidR="00D60A5D" w:rsidRPr="001A7517" w:rsidRDefault="00D60A5D" w:rsidP="00623210">
            <w:pPr>
              <w:suppressAutoHyphens/>
            </w:pPr>
            <w:r w:rsidRPr="001A7517">
              <w:t>1.2</w:t>
            </w:r>
          </w:p>
        </w:tc>
        <w:tc>
          <w:tcPr>
            <w:tcW w:w="864" w:type="dxa"/>
          </w:tcPr>
          <w:p w14:paraId="271F132C" w14:textId="77777777" w:rsidR="00D60A5D" w:rsidRPr="001A7517" w:rsidRDefault="00D60A5D" w:rsidP="00623210">
            <w:pPr>
              <w:suppressAutoHyphens/>
            </w:pPr>
            <w:r w:rsidRPr="001A7517">
              <w:t>40</w:t>
            </w:r>
          </w:p>
        </w:tc>
        <w:tc>
          <w:tcPr>
            <w:tcW w:w="864" w:type="dxa"/>
          </w:tcPr>
          <w:p w14:paraId="6E2F4976" w14:textId="77777777" w:rsidR="00D60A5D" w:rsidRPr="001A7517" w:rsidRDefault="00D60A5D" w:rsidP="00623210">
            <w:pPr>
              <w:suppressAutoHyphens/>
            </w:pPr>
            <w:r w:rsidRPr="001A7517">
              <w:t>48</w:t>
            </w:r>
          </w:p>
        </w:tc>
        <w:tc>
          <w:tcPr>
            <w:tcW w:w="864" w:type="dxa"/>
          </w:tcPr>
          <w:p w14:paraId="272222D6" w14:textId="77777777" w:rsidR="00D60A5D" w:rsidRPr="001A7517" w:rsidRDefault="00D60A5D" w:rsidP="00623210">
            <w:pPr>
              <w:suppressAutoHyphens/>
            </w:pPr>
            <w:r w:rsidRPr="001A7517">
              <w:t>57</w:t>
            </w:r>
          </w:p>
        </w:tc>
        <w:tc>
          <w:tcPr>
            <w:tcW w:w="864" w:type="dxa"/>
          </w:tcPr>
          <w:p w14:paraId="639F4607" w14:textId="77777777" w:rsidR="00D60A5D" w:rsidRPr="001A7517" w:rsidRDefault="00D60A5D" w:rsidP="00623210">
            <w:pPr>
              <w:suppressAutoHyphens/>
            </w:pPr>
            <w:r w:rsidRPr="001A7517">
              <w:t>69</w:t>
            </w:r>
          </w:p>
        </w:tc>
        <w:tc>
          <w:tcPr>
            <w:tcW w:w="864" w:type="dxa"/>
          </w:tcPr>
          <w:p w14:paraId="704E7606" w14:textId="77777777" w:rsidR="00D60A5D" w:rsidRPr="001A7517" w:rsidRDefault="00D60A5D" w:rsidP="00623210">
            <w:pPr>
              <w:suppressAutoHyphens/>
            </w:pPr>
            <w:r w:rsidRPr="001A7517">
              <w:t>83</w:t>
            </w:r>
          </w:p>
        </w:tc>
        <w:tc>
          <w:tcPr>
            <w:tcW w:w="864" w:type="dxa"/>
          </w:tcPr>
          <w:p w14:paraId="0D12AB36" w14:textId="77777777" w:rsidR="00D60A5D" w:rsidRPr="001A7517" w:rsidRDefault="00D60A5D" w:rsidP="00623210">
            <w:pPr>
              <w:suppressAutoHyphens/>
            </w:pPr>
            <w:r w:rsidRPr="001A7517">
              <w:t>100</w:t>
            </w:r>
          </w:p>
        </w:tc>
        <w:tc>
          <w:tcPr>
            <w:tcW w:w="864" w:type="dxa"/>
          </w:tcPr>
          <w:p w14:paraId="203EE0CE" w14:textId="77777777" w:rsidR="00D60A5D" w:rsidRPr="001A7517" w:rsidRDefault="00D60A5D" w:rsidP="00623210">
            <w:pPr>
              <w:suppressAutoHyphens/>
            </w:pPr>
            <w:r w:rsidRPr="001A7517">
              <w:t>120</w:t>
            </w:r>
          </w:p>
        </w:tc>
      </w:tr>
      <w:tr w:rsidR="00D60A5D" w:rsidRPr="001A7517" w14:paraId="7809D9C9" w14:textId="77777777" w:rsidTr="00623210">
        <w:tc>
          <w:tcPr>
            <w:tcW w:w="1728" w:type="dxa"/>
          </w:tcPr>
          <w:p w14:paraId="4FDAC746" w14:textId="77777777" w:rsidR="00D60A5D" w:rsidRPr="001A7517" w:rsidRDefault="00D60A5D" w:rsidP="00623210">
            <w:pPr>
              <w:suppressAutoHyphens/>
            </w:pPr>
            <w:r w:rsidRPr="001A7517">
              <w:t>1.4</w:t>
            </w:r>
          </w:p>
        </w:tc>
        <w:tc>
          <w:tcPr>
            <w:tcW w:w="864" w:type="dxa"/>
          </w:tcPr>
          <w:p w14:paraId="171BB4EE" w14:textId="77777777" w:rsidR="00D60A5D" w:rsidRPr="001A7517" w:rsidRDefault="00D60A5D" w:rsidP="00623210">
            <w:pPr>
              <w:suppressAutoHyphens/>
            </w:pPr>
            <w:r w:rsidRPr="001A7517">
              <w:t>41</w:t>
            </w:r>
          </w:p>
        </w:tc>
        <w:tc>
          <w:tcPr>
            <w:tcW w:w="864" w:type="dxa"/>
          </w:tcPr>
          <w:p w14:paraId="1CF8C28A" w14:textId="77777777" w:rsidR="00D60A5D" w:rsidRPr="001A7517" w:rsidRDefault="00D60A5D" w:rsidP="00623210">
            <w:pPr>
              <w:suppressAutoHyphens/>
            </w:pPr>
            <w:r w:rsidRPr="001A7517">
              <w:t>49</w:t>
            </w:r>
          </w:p>
        </w:tc>
        <w:tc>
          <w:tcPr>
            <w:tcW w:w="864" w:type="dxa"/>
          </w:tcPr>
          <w:p w14:paraId="0E4BE4D4" w14:textId="77777777" w:rsidR="00D60A5D" w:rsidRPr="001A7517" w:rsidRDefault="00D60A5D" w:rsidP="00623210">
            <w:pPr>
              <w:suppressAutoHyphens/>
            </w:pPr>
            <w:r w:rsidRPr="001A7517">
              <w:t>58</w:t>
            </w:r>
          </w:p>
        </w:tc>
        <w:tc>
          <w:tcPr>
            <w:tcW w:w="864" w:type="dxa"/>
          </w:tcPr>
          <w:p w14:paraId="10965171" w14:textId="77777777" w:rsidR="00D60A5D" w:rsidRPr="001A7517" w:rsidRDefault="00D60A5D" w:rsidP="00623210">
            <w:pPr>
              <w:suppressAutoHyphens/>
            </w:pPr>
            <w:r w:rsidRPr="001A7517">
              <w:t>70</w:t>
            </w:r>
          </w:p>
        </w:tc>
        <w:tc>
          <w:tcPr>
            <w:tcW w:w="864" w:type="dxa"/>
          </w:tcPr>
          <w:p w14:paraId="71BF06E8" w14:textId="77777777" w:rsidR="00D60A5D" w:rsidRPr="001A7517" w:rsidRDefault="00D60A5D" w:rsidP="00623210">
            <w:pPr>
              <w:suppressAutoHyphens/>
            </w:pPr>
            <w:r w:rsidRPr="001A7517">
              <w:t>85</w:t>
            </w:r>
          </w:p>
        </w:tc>
        <w:tc>
          <w:tcPr>
            <w:tcW w:w="864" w:type="dxa"/>
          </w:tcPr>
          <w:p w14:paraId="4878EE96" w14:textId="77777777" w:rsidR="00D60A5D" w:rsidRPr="001A7517" w:rsidRDefault="00D60A5D" w:rsidP="00623210">
            <w:pPr>
              <w:suppressAutoHyphens/>
            </w:pPr>
            <w:r w:rsidRPr="001A7517">
              <w:t>103</w:t>
            </w:r>
          </w:p>
        </w:tc>
        <w:tc>
          <w:tcPr>
            <w:tcW w:w="864" w:type="dxa"/>
          </w:tcPr>
          <w:p w14:paraId="6265D784" w14:textId="77777777" w:rsidR="00D60A5D" w:rsidRPr="001A7517" w:rsidRDefault="00D60A5D" w:rsidP="00623210">
            <w:pPr>
              <w:suppressAutoHyphens/>
            </w:pPr>
            <w:r w:rsidRPr="001A7517">
              <w:t>123</w:t>
            </w:r>
          </w:p>
        </w:tc>
      </w:tr>
      <w:tr w:rsidR="00D60A5D" w:rsidRPr="001A7517" w14:paraId="698D3E98" w14:textId="77777777" w:rsidTr="00623210">
        <w:tc>
          <w:tcPr>
            <w:tcW w:w="1728" w:type="dxa"/>
          </w:tcPr>
          <w:p w14:paraId="2CF4F75F" w14:textId="77777777" w:rsidR="00D60A5D" w:rsidRPr="001A7517" w:rsidRDefault="00D60A5D" w:rsidP="00623210">
            <w:pPr>
              <w:suppressAutoHyphens/>
            </w:pPr>
            <w:r w:rsidRPr="001A7517">
              <w:t>1.6</w:t>
            </w:r>
          </w:p>
        </w:tc>
        <w:tc>
          <w:tcPr>
            <w:tcW w:w="864" w:type="dxa"/>
          </w:tcPr>
          <w:p w14:paraId="4CC2BB06" w14:textId="77777777" w:rsidR="00D60A5D" w:rsidRPr="001A7517" w:rsidRDefault="00D60A5D" w:rsidP="00623210">
            <w:pPr>
              <w:suppressAutoHyphens/>
            </w:pPr>
            <w:r w:rsidRPr="001A7517">
              <w:t>42</w:t>
            </w:r>
          </w:p>
        </w:tc>
        <w:tc>
          <w:tcPr>
            <w:tcW w:w="864" w:type="dxa"/>
          </w:tcPr>
          <w:p w14:paraId="658DA1E7" w14:textId="77777777" w:rsidR="00D60A5D" w:rsidRPr="001A7517" w:rsidRDefault="00D60A5D" w:rsidP="00623210">
            <w:pPr>
              <w:suppressAutoHyphens/>
            </w:pPr>
            <w:r w:rsidRPr="001A7517">
              <w:t>50</w:t>
            </w:r>
          </w:p>
        </w:tc>
        <w:tc>
          <w:tcPr>
            <w:tcW w:w="864" w:type="dxa"/>
          </w:tcPr>
          <w:p w14:paraId="05891B20" w14:textId="77777777" w:rsidR="00D60A5D" w:rsidRPr="001A7517" w:rsidRDefault="00D60A5D" w:rsidP="00623210">
            <w:pPr>
              <w:suppressAutoHyphens/>
            </w:pPr>
            <w:r w:rsidRPr="001A7517">
              <w:t>59</w:t>
            </w:r>
          </w:p>
        </w:tc>
        <w:tc>
          <w:tcPr>
            <w:tcW w:w="864" w:type="dxa"/>
          </w:tcPr>
          <w:p w14:paraId="77E245EE" w14:textId="77777777" w:rsidR="00D60A5D" w:rsidRPr="001A7517" w:rsidRDefault="00D60A5D" w:rsidP="00623210">
            <w:pPr>
              <w:suppressAutoHyphens/>
            </w:pPr>
            <w:r w:rsidRPr="001A7517">
              <w:t>72</w:t>
            </w:r>
          </w:p>
        </w:tc>
        <w:tc>
          <w:tcPr>
            <w:tcW w:w="864" w:type="dxa"/>
          </w:tcPr>
          <w:p w14:paraId="3EA1BB37" w14:textId="77777777" w:rsidR="00D60A5D" w:rsidRPr="001A7517" w:rsidRDefault="00D60A5D" w:rsidP="00623210">
            <w:pPr>
              <w:suppressAutoHyphens/>
            </w:pPr>
            <w:r w:rsidRPr="001A7517">
              <w:t>87</w:t>
            </w:r>
          </w:p>
        </w:tc>
        <w:tc>
          <w:tcPr>
            <w:tcW w:w="864" w:type="dxa"/>
          </w:tcPr>
          <w:p w14:paraId="5D97FB47" w14:textId="77777777" w:rsidR="00D60A5D" w:rsidRPr="001A7517" w:rsidRDefault="00D60A5D" w:rsidP="00623210">
            <w:pPr>
              <w:suppressAutoHyphens/>
            </w:pPr>
            <w:r w:rsidRPr="001A7517">
              <w:t>105</w:t>
            </w:r>
          </w:p>
        </w:tc>
        <w:tc>
          <w:tcPr>
            <w:tcW w:w="864" w:type="dxa"/>
          </w:tcPr>
          <w:p w14:paraId="2A8FCBE1" w14:textId="77777777" w:rsidR="00D60A5D" w:rsidRPr="001A7517" w:rsidRDefault="00D60A5D" w:rsidP="00623210">
            <w:pPr>
              <w:suppressAutoHyphens/>
            </w:pPr>
            <w:r w:rsidRPr="001A7517">
              <w:t>126</w:t>
            </w:r>
          </w:p>
        </w:tc>
      </w:tr>
      <w:tr w:rsidR="00D60A5D" w:rsidRPr="001A7517" w14:paraId="5B42DAD7" w14:textId="77777777" w:rsidTr="00623210">
        <w:tc>
          <w:tcPr>
            <w:tcW w:w="1728" w:type="dxa"/>
          </w:tcPr>
          <w:p w14:paraId="6AA72E79" w14:textId="77777777" w:rsidR="00D60A5D" w:rsidRPr="001A7517" w:rsidRDefault="00D60A5D" w:rsidP="00623210">
            <w:pPr>
              <w:suppressAutoHyphens/>
            </w:pPr>
            <w:r w:rsidRPr="001A7517">
              <w:t>1.8</w:t>
            </w:r>
          </w:p>
        </w:tc>
        <w:tc>
          <w:tcPr>
            <w:tcW w:w="864" w:type="dxa"/>
          </w:tcPr>
          <w:p w14:paraId="2AAECF52" w14:textId="77777777" w:rsidR="00D60A5D" w:rsidRPr="001A7517" w:rsidRDefault="00D60A5D" w:rsidP="00623210">
            <w:pPr>
              <w:suppressAutoHyphens/>
            </w:pPr>
            <w:r w:rsidRPr="001A7517">
              <w:t>43</w:t>
            </w:r>
          </w:p>
        </w:tc>
        <w:tc>
          <w:tcPr>
            <w:tcW w:w="864" w:type="dxa"/>
          </w:tcPr>
          <w:p w14:paraId="0F543DD5" w14:textId="77777777" w:rsidR="00D60A5D" w:rsidRPr="001A7517" w:rsidRDefault="00D60A5D" w:rsidP="00623210">
            <w:pPr>
              <w:suppressAutoHyphens/>
            </w:pPr>
            <w:r w:rsidRPr="001A7517">
              <w:t>51</w:t>
            </w:r>
          </w:p>
        </w:tc>
        <w:tc>
          <w:tcPr>
            <w:tcW w:w="864" w:type="dxa"/>
          </w:tcPr>
          <w:p w14:paraId="2DD4BAF8" w14:textId="77777777" w:rsidR="00D60A5D" w:rsidRPr="001A7517" w:rsidRDefault="00D60A5D" w:rsidP="00623210">
            <w:pPr>
              <w:suppressAutoHyphens/>
            </w:pPr>
            <w:r w:rsidRPr="001A7517">
              <w:t>61</w:t>
            </w:r>
          </w:p>
        </w:tc>
        <w:tc>
          <w:tcPr>
            <w:tcW w:w="864" w:type="dxa"/>
          </w:tcPr>
          <w:p w14:paraId="55158479" w14:textId="77777777" w:rsidR="00D60A5D" w:rsidRPr="001A7517" w:rsidRDefault="00D60A5D" w:rsidP="00623210">
            <w:pPr>
              <w:suppressAutoHyphens/>
            </w:pPr>
            <w:r w:rsidRPr="001A7517">
              <w:t>74</w:t>
            </w:r>
          </w:p>
        </w:tc>
        <w:tc>
          <w:tcPr>
            <w:tcW w:w="864" w:type="dxa"/>
          </w:tcPr>
          <w:p w14:paraId="358801A1" w14:textId="77777777" w:rsidR="00D60A5D" w:rsidRPr="001A7517" w:rsidRDefault="00D60A5D" w:rsidP="00623210">
            <w:pPr>
              <w:suppressAutoHyphens/>
            </w:pPr>
            <w:r w:rsidRPr="001A7517">
              <w:t>89</w:t>
            </w:r>
          </w:p>
        </w:tc>
        <w:tc>
          <w:tcPr>
            <w:tcW w:w="864" w:type="dxa"/>
          </w:tcPr>
          <w:p w14:paraId="3DB35801" w14:textId="77777777" w:rsidR="00D60A5D" w:rsidRPr="001A7517" w:rsidRDefault="00D60A5D" w:rsidP="00623210">
            <w:pPr>
              <w:suppressAutoHyphens/>
            </w:pPr>
            <w:r w:rsidRPr="001A7517">
              <w:t>108</w:t>
            </w:r>
          </w:p>
        </w:tc>
        <w:tc>
          <w:tcPr>
            <w:tcW w:w="864" w:type="dxa"/>
          </w:tcPr>
          <w:p w14:paraId="2443E207" w14:textId="77777777" w:rsidR="00D60A5D" w:rsidRPr="001A7517" w:rsidRDefault="00D60A5D" w:rsidP="00623210">
            <w:pPr>
              <w:suppressAutoHyphens/>
            </w:pPr>
            <w:r w:rsidRPr="001A7517">
              <w:t>129</w:t>
            </w:r>
          </w:p>
        </w:tc>
      </w:tr>
      <w:tr w:rsidR="00D60A5D" w:rsidRPr="001A7517" w14:paraId="0952B163" w14:textId="77777777" w:rsidTr="00623210">
        <w:tc>
          <w:tcPr>
            <w:tcW w:w="1728" w:type="dxa"/>
          </w:tcPr>
          <w:p w14:paraId="2ED26211" w14:textId="77777777" w:rsidR="00D60A5D" w:rsidRPr="001A7517" w:rsidRDefault="00D60A5D" w:rsidP="00623210">
            <w:pPr>
              <w:suppressAutoHyphens/>
            </w:pPr>
            <w:r w:rsidRPr="001A7517">
              <w:t>2.0</w:t>
            </w:r>
          </w:p>
        </w:tc>
        <w:tc>
          <w:tcPr>
            <w:tcW w:w="864" w:type="dxa"/>
          </w:tcPr>
          <w:p w14:paraId="5808F899" w14:textId="77777777" w:rsidR="00D60A5D" w:rsidRPr="001A7517" w:rsidRDefault="00D60A5D" w:rsidP="00623210">
            <w:pPr>
              <w:suppressAutoHyphens/>
            </w:pPr>
            <w:r w:rsidRPr="001A7517">
              <w:t>44</w:t>
            </w:r>
          </w:p>
        </w:tc>
        <w:tc>
          <w:tcPr>
            <w:tcW w:w="864" w:type="dxa"/>
          </w:tcPr>
          <w:p w14:paraId="6B35D7ED" w14:textId="77777777" w:rsidR="00D60A5D" w:rsidRPr="001A7517" w:rsidRDefault="00D60A5D" w:rsidP="00623210">
            <w:pPr>
              <w:suppressAutoHyphens/>
            </w:pPr>
            <w:r w:rsidRPr="001A7517">
              <w:t>52</w:t>
            </w:r>
          </w:p>
        </w:tc>
        <w:tc>
          <w:tcPr>
            <w:tcW w:w="864" w:type="dxa"/>
          </w:tcPr>
          <w:p w14:paraId="0BA990D8" w14:textId="77777777" w:rsidR="00D60A5D" w:rsidRPr="001A7517" w:rsidRDefault="00D60A5D" w:rsidP="00623210">
            <w:pPr>
              <w:suppressAutoHyphens/>
            </w:pPr>
            <w:r w:rsidRPr="001A7517">
              <w:t>62</w:t>
            </w:r>
          </w:p>
        </w:tc>
        <w:tc>
          <w:tcPr>
            <w:tcW w:w="864" w:type="dxa"/>
          </w:tcPr>
          <w:p w14:paraId="032657C2" w14:textId="77777777" w:rsidR="00D60A5D" w:rsidRPr="001A7517" w:rsidRDefault="00D60A5D" w:rsidP="00623210">
            <w:pPr>
              <w:suppressAutoHyphens/>
            </w:pPr>
            <w:r w:rsidRPr="001A7517">
              <w:t>75</w:t>
            </w:r>
          </w:p>
        </w:tc>
        <w:tc>
          <w:tcPr>
            <w:tcW w:w="864" w:type="dxa"/>
          </w:tcPr>
          <w:p w14:paraId="7101642C" w14:textId="77777777" w:rsidR="00D60A5D" w:rsidRPr="001A7517" w:rsidRDefault="00D60A5D" w:rsidP="00623210">
            <w:pPr>
              <w:suppressAutoHyphens/>
            </w:pPr>
            <w:r w:rsidRPr="001A7517">
              <w:t>91</w:t>
            </w:r>
          </w:p>
        </w:tc>
        <w:tc>
          <w:tcPr>
            <w:tcW w:w="864" w:type="dxa"/>
          </w:tcPr>
          <w:p w14:paraId="5D6CDCC1" w14:textId="77777777" w:rsidR="00D60A5D" w:rsidRPr="001A7517" w:rsidRDefault="00D60A5D" w:rsidP="00623210">
            <w:pPr>
              <w:suppressAutoHyphens/>
            </w:pPr>
            <w:r w:rsidRPr="001A7517">
              <w:t>110</w:t>
            </w:r>
          </w:p>
        </w:tc>
        <w:tc>
          <w:tcPr>
            <w:tcW w:w="864" w:type="dxa"/>
          </w:tcPr>
          <w:p w14:paraId="345DB0C1" w14:textId="77777777" w:rsidR="00D60A5D" w:rsidRPr="001A7517" w:rsidRDefault="00D60A5D" w:rsidP="00623210">
            <w:pPr>
              <w:suppressAutoHyphens/>
            </w:pPr>
            <w:r w:rsidRPr="001A7517">
              <w:t>132</w:t>
            </w:r>
          </w:p>
        </w:tc>
      </w:tr>
      <w:tr w:rsidR="00D60A5D" w:rsidRPr="001A7517" w14:paraId="310C96B9" w14:textId="77777777" w:rsidTr="00623210">
        <w:tc>
          <w:tcPr>
            <w:tcW w:w="1728" w:type="dxa"/>
          </w:tcPr>
          <w:p w14:paraId="446BCB34" w14:textId="77777777" w:rsidR="00D60A5D" w:rsidRPr="001A7517" w:rsidRDefault="00D60A5D" w:rsidP="00623210">
            <w:pPr>
              <w:suppressAutoHyphens/>
            </w:pPr>
            <w:r w:rsidRPr="001A7517">
              <w:t>2.2</w:t>
            </w:r>
          </w:p>
        </w:tc>
        <w:tc>
          <w:tcPr>
            <w:tcW w:w="864" w:type="dxa"/>
          </w:tcPr>
          <w:p w14:paraId="765F521E" w14:textId="77777777" w:rsidR="00D60A5D" w:rsidRPr="001A7517" w:rsidRDefault="00D60A5D" w:rsidP="00623210">
            <w:pPr>
              <w:suppressAutoHyphens/>
            </w:pPr>
            <w:r w:rsidRPr="001A7517">
              <w:t>44</w:t>
            </w:r>
          </w:p>
        </w:tc>
        <w:tc>
          <w:tcPr>
            <w:tcW w:w="864" w:type="dxa"/>
          </w:tcPr>
          <w:p w14:paraId="41DE4CFF" w14:textId="77777777" w:rsidR="00D60A5D" w:rsidRPr="001A7517" w:rsidRDefault="00D60A5D" w:rsidP="00623210">
            <w:pPr>
              <w:suppressAutoHyphens/>
            </w:pPr>
            <w:r w:rsidRPr="001A7517">
              <w:t>53</w:t>
            </w:r>
          </w:p>
        </w:tc>
        <w:tc>
          <w:tcPr>
            <w:tcW w:w="864" w:type="dxa"/>
          </w:tcPr>
          <w:p w14:paraId="083CB579" w14:textId="77777777" w:rsidR="00D60A5D" w:rsidRPr="001A7517" w:rsidRDefault="00D60A5D" w:rsidP="00623210">
            <w:pPr>
              <w:suppressAutoHyphens/>
            </w:pPr>
            <w:r w:rsidRPr="001A7517">
              <w:t>63</w:t>
            </w:r>
          </w:p>
        </w:tc>
        <w:tc>
          <w:tcPr>
            <w:tcW w:w="864" w:type="dxa"/>
          </w:tcPr>
          <w:p w14:paraId="1C0A867A" w14:textId="77777777" w:rsidR="00D60A5D" w:rsidRPr="001A7517" w:rsidRDefault="00D60A5D" w:rsidP="00623210">
            <w:pPr>
              <w:suppressAutoHyphens/>
            </w:pPr>
            <w:r w:rsidRPr="001A7517">
              <w:t>77</w:t>
            </w:r>
          </w:p>
        </w:tc>
        <w:tc>
          <w:tcPr>
            <w:tcW w:w="864" w:type="dxa"/>
          </w:tcPr>
          <w:p w14:paraId="5AD5AD8B" w14:textId="77777777" w:rsidR="00D60A5D" w:rsidRPr="001A7517" w:rsidRDefault="00D60A5D" w:rsidP="00623210">
            <w:pPr>
              <w:suppressAutoHyphens/>
            </w:pPr>
            <w:r w:rsidRPr="001A7517">
              <w:t>93</w:t>
            </w:r>
          </w:p>
        </w:tc>
        <w:tc>
          <w:tcPr>
            <w:tcW w:w="864" w:type="dxa"/>
          </w:tcPr>
          <w:p w14:paraId="526F8250" w14:textId="77777777" w:rsidR="00D60A5D" w:rsidRPr="001A7517" w:rsidRDefault="00D60A5D" w:rsidP="00623210">
            <w:pPr>
              <w:suppressAutoHyphens/>
            </w:pPr>
            <w:r w:rsidRPr="001A7517">
              <w:t>113</w:t>
            </w:r>
          </w:p>
        </w:tc>
        <w:tc>
          <w:tcPr>
            <w:tcW w:w="864" w:type="dxa"/>
          </w:tcPr>
          <w:p w14:paraId="1AE72895" w14:textId="77777777" w:rsidR="00D60A5D" w:rsidRPr="001A7517" w:rsidRDefault="00D60A5D" w:rsidP="00623210">
            <w:pPr>
              <w:suppressAutoHyphens/>
            </w:pPr>
            <w:r w:rsidRPr="001A7517">
              <w:t>135</w:t>
            </w:r>
          </w:p>
        </w:tc>
      </w:tr>
      <w:tr w:rsidR="00D60A5D" w:rsidRPr="001A7517" w14:paraId="58921B34" w14:textId="77777777" w:rsidTr="00623210">
        <w:tc>
          <w:tcPr>
            <w:tcW w:w="1728" w:type="dxa"/>
          </w:tcPr>
          <w:p w14:paraId="4AFF12B2" w14:textId="77777777" w:rsidR="00D60A5D" w:rsidRPr="001A7517" w:rsidRDefault="00D60A5D" w:rsidP="00623210">
            <w:pPr>
              <w:suppressAutoHyphens/>
            </w:pPr>
            <w:r w:rsidRPr="001A7517">
              <w:t>2.4</w:t>
            </w:r>
          </w:p>
        </w:tc>
        <w:tc>
          <w:tcPr>
            <w:tcW w:w="864" w:type="dxa"/>
          </w:tcPr>
          <w:p w14:paraId="367D0830" w14:textId="77777777" w:rsidR="00D60A5D" w:rsidRPr="001A7517" w:rsidRDefault="00D60A5D" w:rsidP="00623210">
            <w:pPr>
              <w:suppressAutoHyphens/>
            </w:pPr>
            <w:r w:rsidRPr="001A7517">
              <w:t>45</w:t>
            </w:r>
          </w:p>
        </w:tc>
        <w:tc>
          <w:tcPr>
            <w:tcW w:w="864" w:type="dxa"/>
          </w:tcPr>
          <w:p w14:paraId="75AFE4E3" w14:textId="77777777" w:rsidR="00D60A5D" w:rsidRPr="001A7517" w:rsidRDefault="00D60A5D" w:rsidP="00623210">
            <w:pPr>
              <w:suppressAutoHyphens/>
            </w:pPr>
            <w:r w:rsidRPr="001A7517">
              <w:t>54</w:t>
            </w:r>
          </w:p>
        </w:tc>
        <w:tc>
          <w:tcPr>
            <w:tcW w:w="864" w:type="dxa"/>
          </w:tcPr>
          <w:p w14:paraId="77ECD54B" w14:textId="77777777" w:rsidR="00D60A5D" w:rsidRPr="001A7517" w:rsidRDefault="00D60A5D" w:rsidP="00623210">
            <w:pPr>
              <w:suppressAutoHyphens/>
            </w:pPr>
            <w:r w:rsidRPr="001A7517">
              <w:t>65</w:t>
            </w:r>
          </w:p>
        </w:tc>
        <w:tc>
          <w:tcPr>
            <w:tcW w:w="864" w:type="dxa"/>
          </w:tcPr>
          <w:p w14:paraId="53BF8FC3" w14:textId="77777777" w:rsidR="00D60A5D" w:rsidRPr="001A7517" w:rsidRDefault="00D60A5D" w:rsidP="00623210">
            <w:pPr>
              <w:suppressAutoHyphens/>
            </w:pPr>
            <w:r w:rsidRPr="001A7517">
              <w:t>78</w:t>
            </w:r>
          </w:p>
        </w:tc>
        <w:tc>
          <w:tcPr>
            <w:tcW w:w="864" w:type="dxa"/>
          </w:tcPr>
          <w:p w14:paraId="76FB0CDE" w14:textId="77777777" w:rsidR="00D60A5D" w:rsidRPr="001A7517" w:rsidRDefault="00D60A5D" w:rsidP="00623210">
            <w:pPr>
              <w:suppressAutoHyphens/>
            </w:pPr>
            <w:r w:rsidRPr="001A7517">
              <w:t>95</w:t>
            </w:r>
          </w:p>
        </w:tc>
        <w:tc>
          <w:tcPr>
            <w:tcW w:w="864" w:type="dxa"/>
          </w:tcPr>
          <w:p w14:paraId="1829A978" w14:textId="77777777" w:rsidR="00D60A5D" w:rsidRPr="001A7517" w:rsidRDefault="00D60A5D" w:rsidP="00623210">
            <w:pPr>
              <w:suppressAutoHyphens/>
            </w:pPr>
            <w:r w:rsidRPr="001A7517">
              <w:t>115</w:t>
            </w:r>
          </w:p>
        </w:tc>
        <w:tc>
          <w:tcPr>
            <w:tcW w:w="864" w:type="dxa"/>
          </w:tcPr>
          <w:p w14:paraId="11572E26" w14:textId="77777777" w:rsidR="00D60A5D" w:rsidRPr="001A7517" w:rsidRDefault="00D60A5D" w:rsidP="00623210">
            <w:pPr>
              <w:suppressAutoHyphens/>
            </w:pPr>
            <w:r w:rsidRPr="001A7517">
              <w:t>138</w:t>
            </w:r>
          </w:p>
        </w:tc>
      </w:tr>
      <w:tr w:rsidR="00D60A5D" w:rsidRPr="001A7517" w14:paraId="3730EA8F" w14:textId="77777777" w:rsidTr="00623210">
        <w:tc>
          <w:tcPr>
            <w:tcW w:w="1728" w:type="dxa"/>
          </w:tcPr>
          <w:p w14:paraId="782A8AF4" w14:textId="77777777" w:rsidR="00D60A5D" w:rsidRPr="001A7517" w:rsidRDefault="00D60A5D" w:rsidP="00623210">
            <w:pPr>
              <w:suppressAutoHyphens/>
            </w:pPr>
            <w:r w:rsidRPr="001A7517">
              <w:t>2.6</w:t>
            </w:r>
          </w:p>
        </w:tc>
        <w:tc>
          <w:tcPr>
            <w:tcW w:w="864" w:type="dxa"/>
          </w:tcPr>
          <w:p w14:paraId="1321B684" w14:textId="77777777" w:rsidR="00D60A5D" w:rsidRPr="001A7517" w:rsidRDefault="00D60A5D" w:rsidP="00623210">
            <w:pPr>
              <w:suppressAutoHyphens/>
            </w:pPr>
            <w:r w:rsidRPr="001A7517">
              <w:t>46</w:t>
            </w:r>
          </w:p>
        </w:tc>
        <w:tc>
          <w:tcPr>
            <w:tcW w:w="864" w:type="dxa"/>
          </w:tcPr>
          <w:p w14:paraId="0F63B3CF" w14:textId="77777777" w:rsidR="00D60A5D" w:rsidRPr="001A7517" w:rsidRDefault="00D60A5D" w:rsidP="00623210">
            <w:pPr>
              <w:suppressAutoHyphens/>
            </w:pPr>
            <w:r w:rsidRPr="001A7517">
              <w:t>55</w:t>
            </w:r>
          </w:p>
        </w:tc>
        <w:tc>
          <w:tcPr>
            <w:tcW w:w="864" w:type="dxa"/>
          </w:tcPr>
          <w:p w14:paraId="7EF5B51B" w14:textId="77777777" w:rsidR="00D60A5D" w:rsidRPr="001A7517" w:rsidRDefault="00D60A5D" w:rsidP="00623210">
            <w:pPr>
              <w:suppressAutoHyphens/>
            </w:pPr>
            <w:r w:rsidRPr="001A7517">
              <w:t>66</w:t>
            </w:r>
          </w:p>
        </w:tc>
        <w:tc>
          <w:tcPr>
            <w:tcW w:w="864" w:type="dxa"/>
          </w:tcPr>
          <w:p w14:paraId="3331D3C1" w14:textId="77777777" w:rsidR="00D60A5D" w:rsidRPr="001A7517" w:rsidRDefault="00D60A5D" w:rsidP="00623210">
            <w:pPr>
              <w:suppressAutoHyphens/>
            </w:pPr>
            <w:r w:rsidRPr="001A7517">
              <w:t>80</w:t>
            </w:r>
          </w:p>
        </w:tc>
        <w:tc>
          <w:tcPr>
            <w:tcW w:w="864" w:type="dxa"/>
          </w:tcPr>
          <w:p w14:paraId="19957233" w14:textId="77777777" w:rsidR="00D60A5D" w:rsidRPr="001A7517" w:rsidRDefault="00D60A5D" w:rsidP="00623210">
            <w:pPr>
              <w:suppressAutoHyphens/>
            </w:pPr>
            <w:r w:rsidRPr="001A7517">
              <w:t>97</w:t>
            </w:r>
          </w:p>
        </w:tc>
        <w:tc>
          <w:tcPr>
            <w:tcW w:w="864" w:type="dxa"/>
          </w:tcPr>
          <w:p w14:paraId="154AD543" w14:textId="77777777" w:rsidR="00D60A5D" w:rsidRPr="001A7517" w:rsidRDefault="00D60A5D" w:rsidP="00623210">
            <w:pPr>
              <w:suppressAutoHyphens/>
            </w:pPr>
            <w:r w:rsidRPr="001A7517">
              <w:t>117</w:t>
            </w:r>
          </w:p>
        </w:tc>
        <w:tc>
          <w:tcPr>
            <w:tcW w:w="864" w:type="dxa"/>
          </w:tcPr>
          <w:p w14:paraId="72E430CC" w14:textId="77777777" w:rsidR="00D60A5D" w:rsidRPr="001A7517" w:rsidRDefault="00D60A5D" w:rsidP="00623210">
            <w:pPr>
              <w:suppressAutoHyphens/>
            </w:pPr>
            <w:r w:rsidRPr="001A7517">
              <w:t>141</w:t>
            </w:r>
          </w:p>
        </w:tc>
      </w:tr>
      <w:tr w:rsidR="00D60A5D" w:rsidRPr="001A7517" w14:paraId="296C6E93" w14:textId="77777777" w:rsidTr="00623210">
        <w:tc>
          <w:tcPr>
            <w:tcW w:w="1728" w:type="dxa"/>
          </w:tcPr>
          <w:p w14:paraId="6AA351E1" w14:textId="77777777" w:rsidR="00D60A5D" w:rsidRPr="001A7517" w:rsidRDefault="00D60A5D" w:rsidP="00623210">
            <w:pPr>
              <w:suppressAutoHyphens/>
            </w:pPr>
            <w:r w:rsidRPr="001A7517">
              <w:t>2.8</w:t>
            </w:r>
          </w:p>
        </w:tc>
        <w:tc>
          <w:tcPr>
            <w:tcW w:w="864" w:type="dxa"/>
          </w:tcPr>
          <w:p w14:paraId="16890E17" w14:textId="77777777" w:rsidR="00D60A5D" w:rsidRPr="001A7517" w:rsidRDefault="00D60A5D" w:rsidP="00623210">
            <w:pPr>
              <w:suppressAutoHyphens/>
            </w:pPr>
            <w:r w:rsidRPr="001A7517">
              <w:t>47</w:t>
            </w:r>
          </w:p>
        </w:tc>
        <w:tc>
          <w:tcPr>
            <w:tcW w:w="864" w:type="dxa"/>
          </w:tcPr>
          <w:p w14:paraId="22EE4AAB" w14:textId="77777777" w:rsidR="00D60A5D" w:rsidRPr="001A7517" w:rsidRDefault="00D60A5D" w:rsidP="00623210">
            <w:pPr>
              <w:suppressAutoHyphens/>
            </w:pPr>
            <w:r w:rsidRPr="001A7517">
              <w:t>56</w:t>
            </w:r>
          </w:p>
        </w:tc>
        <w:tc>
          <w:tcPr>
            <w:tcW w:w="864" w:type="dxa"/>
          </w:tcPr>
          <w:p w14:paraId="2AB35272" w14:textId="77777777" w:rsidR="00D60A5D" w:rsidRPr="001A7517" w:rsidRDefault="00D60A5D" w:rsidP="00623210">
            <w:pPr>
              <w:suppressAutoHyphens/>
            </w:pPr>
            <w:r w:rsidRPr="001A7517">
              <w:t>67</w:t>
            </w:r>
          </w:p>
        </w:tc>
        <w:tc>
          <w:tcPr>
            <w:tcW w:w="864" w:type="dxa"/>
          </w:tcPr>
          <w:p w14:paraId="3C6EAE77" w14:textId="77777777" w:rsidR="00D60A5D" w:rsidRPr="001A7517" w:rsidRDefault="00D60A5D" w:rsidP="00623210">
            <w:pPr>
              <w:suppressAutoHyphens/>
            </w:pPr>
            <w:r w:rsidRPr="001A7517">
              <w:t>81</w:t>
            </w:r>
          </w:p>
        </w:tc>
        <w:tc>
          <w:tcPr>
            <w:tcW w:w="864" w:type="dxa"/>
          </w:tcPr>
          <w:p w14:paraId="7D27D6E8" w14:textId="77777777" w:rsidR="00D60A5D" w:rsidRPr="001A7517" w:rsidRDefault="00D60A5D" w:rsidP="00623210">
            <w:pPr>
              <w:suppressAutoHyphens/>
            </w:pPr>
            <w:r w:rsidRPr="001A7517">
              <w:t>99</w:t>
            </w:r>
          </w:p>
        </w:tc>
        <w:tc>
          <w:tcPr>
            <w:tcW w:w="864" w:type="dxa"/>
          </w:tcPr>
          <w:p w14:paraId="7C6C6DA6" w14:textId="77777777" w:rsidR="00D60A5D" w:rsidRPr="001A7517" w:rsidRDefault="00D60A5D" w:rsidP="00623210">
            <w:pPr>
              <w:suppressAutoHyphens/>
            </w:pPr>
            <w:r w:rsidRPr="001A7517">
              <w:t>119</w:t>
            </w:r>
          </w:p>
        </w:tc>
        <w:tc>
          <w:tcPr>
            <w:tcW w:w="864" w:type="dxa"/>
          </w:tcPr>
          <w:p w14:paraId="66B784BF" w14:textId="77777777" w:rsidR="00D60A5D" w:rsidRPr="001A7517" w:rsidRDefault="00D60A5D" w:rsidP="00623210">
            <w:pPr>
              <w:suppressAutoHyphens/>
            </w:pPr>
            <w:r w:rsidRPr="001A7517">
              <w:t>143</w:t>
            </w:r>
          </w:p>
        </w:tc>
      </w:tr>
      <w:tr w:rsidR="00D60A5D" w:rsidRPr="001A7517" w14:paraId="55623A4B" w14:textId="77777777" w:rsidTr="00623210">
        <w:tc>
          <w:tcPr>
            <w:tcW w:w="1728" w:type="dxa"/>
          </w:tcPr>
          <w:p w14:paraId="3FDAD96A" w14:textId="77777777" w:rsidR="00D60A5D" w:rsidRPr="001A7517" w:rsidRDefault="00D60A5D" w:rsidP="00623210">
            <w:pPr>
              <w:suppressAutoHyphens/>
            </w:pPr>
            <w:r w:rsidRPr="001A7517">
              <w:t>3.0</w:t>
            </w:r>
          </w:p>
        </w:tc>
        <w:tc>
          <w:tcPr>
            <w:tcW w:w="864" w:type="dxa"/>
          </w:tcPr>
          <w:p w14:paraId="49D39372" w14:textId="77777777" w:rsidR="00D60A5D" w:rsidRPr="001A7517" w:rsidRDefault="00D60A5D" w:rsidP="00623210">
            <w:pPr>
              <w:suppressAutoHyphens/>
            </w:pPr>
            <w:r w:rsidRPr="001A7517">
              <w:t>47</w:t>
            </w:r>
          </w:p>
        </w:tc>
        <w:tc>
          <w:tcPr>
            <w:tcW w:w="864" w:type="dxa"/>
          </w:tcPr>
          <w:p w14:paraId="54CC5162" w14:textId="77777777" w:rsidR="00D60A5D" w:rsidRPr="001A7517" w:rsidRDefault="00D60A5D" w:rsidP="00623210">
            <w:pPr>
              <w:suppressAutoHyphens/>
            </w:pPr>
            <w:r w:rsidRPr="001A7517">
              <w:t>57</w:t>
            </w:r>
          </w:p>
        </w:tc>
        <w:tc>
          <w:tcPr>
            <w:tcW w:w="864" w:type="dxa"/>
          </w:tcPr>
          <w:p w14:paraId="3D5AF5B1" w14:textId="77777777" w:rsidR="00D60A5D" w:rsidRPr="001A7517" w:rsidRDefault="00D60A5D" w:rsidP="00623210">
            <w:pPr>
              <w:suppressAutoHyphens/>
            </w:pPr>
            <w:r w:rsidRPr="001A7517">
              <w:t>68</w:t>
            </w:r>
          </w:p>
        </w:tc>
        <w:tc>
          <w:tcPr>
            <w:tcW w:w="864" w:type="dxa"/>
          </w:tcPr>
          <w:p w14:paraId="65906004" w14:textId="77777777" w:rsidR="00D60A5D" w:rsidRPr="001A7517" w:rsidRDefault="00D60A5D" w:rsidP="00623210">
            <w:pPr>
              <w:suppressAutoHyphens/>
            </w:pPr>
            <w:r w:rsidRPr="001A7517">
              <w:t>83</w:t>
            </w:r>
          </w:p>
        </w:tc>
        <w:tc>
          <w:tcPr>
            <w:tcW w:w="864" w:type="dxa"/>
          </w:tcPr>
          <w:p w14:paraId="6EC055B0" w14:textId="77777777" w:rsidR="00D60A5D" w:rsidRPr="001A7517" w:rsidRDefault="00D60A5D" w:rsidP="00623210">
            <w:pPr>
              <w:suppressAutoHyphens/>
            </w:pPr>
            <w:r w:rsidRPr="001A7517">
              <w:t>101</w:t>
            </w:r>
          </w:p>
        </w:tc>
        <w:tc>
          <w:tcPr>
            <w:tcW w:w="864" w:type="dxa"/>
          </w:tcPr>
          <w:p w14:paraId="63A431C7" w14:textId="77777777" w:rsidR="00D60A5D" w:rsidRPr="001A7517" w:rsidRDefault="00D60A5D" w:rsidP="00623210">
            <w:pPr>
              <w:suppressAutoHyphens/>
            </w:pPr>
            <w:r w:rsidRPr="001A7517">
              <w:t>122</w:t>
            </w:r>
          </w:p>
        </w:tc>
        <w:tc>
          <w:tcPr>
            <w:tcW w:w="864" w:type="dxa"/>
          </w:tcPr>
          <w:p w14:paraId="2D168E6A" w14:textId="77777777" w:rsidR="00D60A5D" w:rsidRPr="001A7517" w:rsidRDefault="00D60A5D" w:rsidP="00623210">
            <w:pPr>
              <w:suppressAutoHyphens/>
            </w:pPr>
            <w:r w:rsidRPr="001A7517">
              <w:t>146</w:t>
            </w:r>
          </w:p>
        </w:tc>
      </w:tr>
    </w:tbl>
    <w:p w14:paraId="34633B85" w14:textId="77777777" w:rsidR="00D60A5D" w:rsidRPr="001A7517" w:rsidRDefault="00D60A5D" w:rsidP="00D60A5D">
      <w:pPr>
        <w:keepNext/>
        <w:keepLines/>
        <w:suppressAutoHyphens/>
        <w:spacing w:before="240"/>
        <w:ind w:left="720" w:right="720"/>
        <w:jc w:val="center"/>
      </w:pPr>
      <w:r w:rsidRPr="001A7517">
        <w:t>Table 1.6</w:t>
      </w:r>
    </w:p>
    <w:p w14:paraId="5DEF22D9" w14:textId="77777777" w:rsidR="00D60A5D" w:rsidRPr="001A7517" w:rsidRDefault="00D60A5D" w:rsidP="00D60A5D">
      <w:pPr>
        <w:keepNext/>
        <w:keepLines/>
        <w:suppressAutoHyphens/>
        <w:ind w:left="720" w:right="720"/>
        <w:jc w:val="center"/>
      </w:pPr>
      <w:r w:rsidRPr="001A7517">
        <w:t>CT-99.9 for 99.9 Percent Inactivation of Giardia Lamblia Cysts by Free Chlorine at 25° C and Higher</w:t>
      </w:r>
    </w:p>
    <w:p w14:paraId="3A18CE40" w14:textId="77777777" w:rsidR="00D60A5D" w:rsidRPr="001A7517" w:rsidRDefault="00D60A5D" w:rsidP="00D60A5D">
      <w:pPr>
        <w:suppressAutoHyphens/>
        <w:spacing w:before="240" w:after="240"/>
      </w:pPr>
      <w:r w:rsidRPr="001A7517">
        <w:t xml:space="preserve">These CT values achieve greater than a 99.99 percent inactivation of viruses.  CT values between the indicated pH values may be determined by linear interpolation.  CT values between the </w:t>
      </w:r>
      <w:r w:rsidRPr="001A7517">
        <w:lastRenderedPageBreak/>
        <w:t>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1B7569C8" w14:textId="77777777" w:rsidTr="00623210">
        <w:tc>
          <w:tcPr>
            <w:tcW w:w="1728" w:type="dxa"/>
            <w:vAlign w:val="bottom"/>
          </w:tcPr>
          <w:p w14:paraId="64AD4AE9" w14:textId="77777777" w:rsidR="00D60A5D" w:rsidRPr="001A7517" w:rsidRDefault="00D60A5D" w:rsidP="00623210">
            <w:pPr>
              <w:keepNext/>
              <w:keepLines/>
              <w:suppressAutoHyphens/>
            </w:pPr>
            <w:r w:rsidRPr="001A7517">
              <w:t>Free Residual</w:t>
            </w:r>
          </w:p>
          <w:p w14:paraId="671FA86E" w14:textId="77777777" w:rsidR="00D60A5D" w:rsidRPr="001A7517" w:rsidRDefault="00D60A5D" w:rsidP="00623210">
            <w:pPr>
              <w:keepNext/>
              <w:keepLines/>
              <w:suppressAutoHyphens/>
            </w:pPr>
            <w:r w:rsidRPr="001A7517">
              <w:t>(mg/ℓ)</w:t>
            </w:r>
          </w:p>
        </w:tc>
        <w:tc>
          <w:tcPr>
            <w:tcW w:w="864" w:type="dxa"/>
            <w:vAlign w:val="bottom"/>
          </w:tcPr>
          <w:p w14:paraId="448D715B" w14:textId="77777777" w:rsidR="00D60A5D" w:rsidRPr="001A7517" w:rsidRDefault="00D60A5D" w:rsidP="00623210">
            <w:pPr>
              <w:keepNext/>
              <w:keepLines/>
              <w:suppressAutoHyphens/>
            </w:pPr>
            <w:r w:rsidRPr="001A7517">
              <w:t>PH</w:t>
            </w:r>
          </w:p>
          <w:p w14:paraId="01429165" w14:textId="77777777" w:rsidR="00D60A5D" w:rsidRPr="001A7517" w:rsidRDefault="00D60A5D" w:rsidP="00623210">
            <w:pPr>
              <w:keepNext/>
              <w:keepLines/>
              <w:suppressAutoHyphens/>
            </w:pPr>
            <w:r w:rsidRPr="001A7517">
              <w:t>≤6.0</w:t>
            </w:r>
          </w:p>
        </w:tc>
        <w:tc>
          <w:tcPr>
            <w:tcW w:w="864" w:type="dxa"/>
            <w:vAlign w:val="bottom"/>
          </w:tcPr>
          <w:p w14:paraId="71D0814B" w14:textId="77777777" w:rsidR="00D60A5D" w:rsidRPr="001A7517" w:rsidRDefault="00D60A5D" w:rsidP="00623210">
            <w:pPr>
              <w:keepNext/>
              <w:keepLines/>
              <w:suppressAutoHyphens/>
            </w:pPr>
            <w:r w:rsidRPr="001A7517">
              <w:t>6.5</w:t>
            </w:r>
          </w:p>
        </w:tc>
        <w:tc>
          <w:tcPr>
            <w:tcW w:w="864" w:type="dxa"/>
            <w:vAlign w:val="bottom"/>
          </w:tcPr>
          <w:p w14:paraId="66FCFD86" w14:textId="77777777" w:rsidR="00D60A5D" w:rsidRPr="001A7517" w:rsidRDefault="00D60A5D" w:rsidP="00623210">
            <w:pPr>
              <w:keepNext/>
              <w:keepLines/>
              <w:suppressAutoHyphens/>
            </w:pPr>
            <w:r w:rsidRPr="001A7517">
              <w:t>7.0</w:t>
            </w:r>
          </w:p>
        </w:tc>
        <w:tc>
          <w:tcPr>
            <w:tcW w:w="864" w:type="dxa"/>
            <w:vAlign w:val="bottom"/>
          </w:tcPr>
          <w:p w14:paraId="1296FCFC" w14:textId="77777777" w:rsidR="00D60A5D" w:rsidRPr="001A7517" w:rsidRDefault="00D60A5D" w:rsidP="00623210">
            <w:pPr>
              <w:keepNext/>
              <w:keepLines/>
              <w:suppressAutoHyphens/>
            </w:pPr>
            <w:r w:rsidRPr="001A7517">
              <w:t>7.5</w:t>
            </w:r>
          </w:p>
        </w:tc>
        <w:tc>
          <w:tcPr>
            <w:tcW w:w="864" w:type="dxa"/>
            <w:vAlign w:val="bottom"/>
          </w:tcPr>
          <w:p w14:paraId="45741A53" w14:textId="77777777" w:rsidR="00D60A5D" w:rsidRPr="001A7517" w:rsidRDefault="00D60A5D" w:rsidP="00623210">
            <w:pPr>
              <w:keepNext/>
              <w:keepLines/>
              <w:suppressAutoHyphens/>
            </w:pPr>
            <w:r w:rsidRPr="001A7517">
              <w:t>8.0</w:t>
            </w:r>
          </w:p>
        </w:tc>
        <w:tc>
          <w:tcPr>
            <w:tcW w:w="864" w:type="dxa"/>
            <w:vAlign w:val="bottom"/>
          </w:tcPr>
          <w:p w14:paraId="1222C6A2" w14:textId="77777777" w:rsidR="00D60A5D" w:rsidRPr="001A7517" w:rsidRDefault="00D60A5D" w:rsidP="00623210">
            <w:pPr>
              <w:keepNext/>
              <w:keepLines/>
              <w:suppressAutoHyphens/>
            </w:pPr>
            <w:r w:rsidRPr="001A7517">
              <w:t>8.5</w:t>
            </w:r>
          </w:p>
        </w:tc>
        <w:tc>
          <w:tcPr>
            <w:tcW w:w="864" w:type="dxa"/>
            <w:vAlign w:val="bottom"/>
          </w:tcPr>
          <w:p w14:paraId="5B2AFE94" w14:textId="77777777" w:rsidR="00D60A5D" w:rsidRPr="001A7517" w:rsidRDefault="00D60A5D" w:rsidP="00623210">
            <w:pPr>
              <w:keepNext/>
              <w:keepLines/>
              <w:suppressAutoHyphens/>
            </w:pPr>
            <w:r w:rsidRPr="001A7517">
              <w:t>≥9.0</w:t>
            </w:r>
          </w:p>
        </w:tc>
      </w:tr>
      <w:tr w:rsidR="00D60A5D" w:rsidRPr="001A7517" w14:paraId="0549CCD4" w14:textId="77777777" w:rsidTr="00623210">
        <w:tc>
          <w:tcPr>
            <w:tcW w:w="1728" w:type="dxa"/>
          </w:tcPr>
          <w:p w14:paraId="0267D45C" w14:textId="77777777" w:rsidR="00D60A5D" w:rsidRPr="001A7517" w:rsidRDefault="00D60A5D" w:rsidP="00623210">
            <w:pPr>
              <w:suppressAutoHyphens/>
            </w:pPr>
            <w:r w:rsidRPr="001A7517">
              <w:t>≤0.4</w:t>
            </w:r>
          </w:p>
        </w:tc>
        <w:tc>
          <w:tcPr>
            <w:tcW w:w="864" w:type="dxa"/>
          </w:tcPr>
          <w:p w14:paraId="644A7176" w14:textId="77777777" w:rsidR="00D60A5D" w:rsidRPr="001A7517" w:rsidRDefault="00D60A5D" w:rsidP="00623210">
            <w:pPr>
              <w:suppressAutoHyphens/>
            </w:pPr>
            <w:r w:rsidRPr="001A7517">
              <w:t>24</w:t>
            </w:r>
          </w:p>
        </w:tc>
        <w:tc>
          <w:tcPr>
            <w:tcW w:w="864" w:type="dxa"/>
          </w:tcPr>
          <w:p w14:paraId="16EFA3DF" w14:textId="77777777" w:rsidR="00D60A5D" w:rsidRPr="001A7517" w:rsidRDefault="00D60A5D" w:rsidP="00623210">
            <w:pPr>
              <w:suppressAutoHyphens/>
            </w:pPr>
            <w:r w:rsidRPr="001A7517">
              <w:t>29</w:t>
            </w:r>
          </w:p>
        </w:tc>
        <w:tc>
          <w:tcPr>
            <w:tcW w:w="864" w:type="dxa"/>
          </w:tcPr>
          <w:p w14:paraId="026E70FD" w14:textId="77777777" w:rsidR="00D60A5D" w:rsidRPr="001A7517" w:rsidRDefault="00D60A5D" w:rsidP="00623210">
            <w:pPr>
              <w:suppressAutoHyphens/>
            </w:pPr>
            <w:r w:rsidRPr="001A7517">
              <w:t>35</w:t>
            </w:r>
          </w:p>
        </w:tc>
        <w:tc>
          <w:tcPr>
            <w:tcW w:w="864" w:type="dxa"/>
          </w:tcPr>
          <w:p w14:paraId="61F15E9E" w14:textId="77777777" w:rsidR="00D60A5D" w:rsidRPr="001A7517" w:rsidRDefault="00D60A5D" w:rsidP="00623210">
            <w:pPr>
              <w:suppressAutoHyphens/>
            </w:pPr>
            <w:r w:rsidRPr="001A7517">
              <w:t>42</w:t>
            </w:r>
          </w:p>
        </w:tc>
        <w:tc>
          <w:tcPr>
            <w:tcW w:w="864" w:type="dxa"/>
          </w:tcPr>
          <w:p w14:paraId="03C7C2E6" w14:textId="77777777" w:rsidR="00D60A5D" w:rsidRPr="001A7517" w:rsidRDefault="00D60A5D" w:rsidP="00623210">
            <w:pPr>
              <w:suppressAutoHyphens/>
            </w:pPr>
            <w:r w:rsidRPr="001A7517">
              <w:t>50</w:t>
            </w:r>
          </w:p>
        </w:tc>
        <w:tc>
          <w:tcPr>
            <w:tcW w:w="864" w:type="dxa"/>
          </w:tcPr>
          <w:p w14:paraId="218CA076" w14:textId="77777777" w:rsidR="00D60A5D" w:rsidRPr="001A7517" w:rsidRDefault="00D60A5D" w:rsidP="00623210">
            <w:pPr>
              <w:suppressAutoHyphens/>
            </w:pPr>
            <w:r w:rsidRPr="001A7517">
              <w:t>59</w:t>
            </w:r>
          </w:p>
        </w:tc>
        <w:tc>
          <w:tcPr>
            <w:tcW w:w="864" w:type="dxa"/>
          </w:tcPr>
          <w:p w14:paraId="2AF49D78" w14:textId="77777777" w:rsidR="00D60A5D" w:rsidRPr="001A7517" w:rsidRDefault="00D60A5D" w:rsidP="00623210">
            <w:pPr>
              <w:suppressAutoHyphens/>
            </w:pPr>
            <w:r w:rsidRPr="001A7517">
              <w:t>70</w:t>
            </w:r>
          </w:p>
        </w:tc>
      </w:tr>
      <w:tr w:rsidR="00D60A5D" w:rsidRPr="001A7517" w14:paraId="4A82E4CD" w14:textId="77777777" w:rsidTr="00623210">
        <w:tc>
          <w:tcPr>
            <w:tcW w:w="1728" w:type="dxa"/>
          </w:tcPr>
          <w:p w14:paraId="7B439862" w14:textId="77777777" w:rsidR="00D60A5D" w:rsidRPr="001A7517" w:rsidRDefault="00D60A5D" w:rsidP="00623210">
            <w:pPr>
              <w:suppressAutoHyphens/>
            </w:pPr>
            <w:r w:rsidRPr="001A7517">
              <w:t>0.6</w:t>
            </w:r>
          </w:p>
        </w:tc>
        <w:tc>
          <w:tcPr>
            <w:tcW w:w="864" w:type="dxa"/>
          </w:tcPr>
          <w:p w14:paraId="6B39F0B8" w14:textId="77777777" w:rsidR="00D60A5D" w:rsidRPr="001A7517" w:rsidRDefault="00D60A5D" w:rsidP="00623210">
            <w:pPr>
              <w:suppressAutoHyphens/>
            </w:pPr>
            <w:r w:rsidRPr="001A7517">
              <w:t>25</w:t>
            </w:r>
          </w:p>
        </w:tc>
        <w:tc>
          <w:tcPr>
            <w:tcW w:w="864" w:type="dxa"/>
          </w:tcPr>
          <w:p w14:paraId="28D4AC45" w14:textId="77777777" w:rsidR="00D60A5D" w:rsidRPr="001A7517" w:rsidRDefault="00D60A5D" w:rsidP="00623210">
            <w:pPr>
              <w:suppressAutoHyphens/>
            </w:pPr>
            <w:r w:rsidRPr="001A7517">
              <w:t>30</w:t>
            </w:r>
          </w:p>
        </w:tc>
        <w:tc>
          <w:tcPr>
            <w:tcW w:w="864" w:type="dxa"/>
          </w:tcPr>
          <w:p w14:paraId="01E19C6D" w14:textId="77777777" w:rsidR="00D60A5D" w:rsidRPr="001A7517" w:rsidRDefault="00D60A5D" w:rsidP="00623210">
            <w:pPr>
              <w:suppressAutoHyphens/>
            </w:pPr>
            <w:r w:rsidRPr="001A7517">
              <w:t>36</w:t>
            </w:r>
          </w:p>
        </w:tc>
        <w:tc>
          <w:tcPr>
            <w:tcW w:w="864" w:type="dxa"/>
          </w:tcPr>
          <w:p w14:paraId="473AAE68" w14:textId="77777777" w:rsidR="00D60A5D" w:rsidRPr="001A7517" w:rsidRDefault="00D60A5D" w:rsidP="00623210">
            <w:pPr>
              <w:suppressAutoHyphens/>
            </w:pPr>
            <w:r w:rsidRPr="001A7517">
              <w:t>43</w:t>
            </w:r>
          </w:p>
        </w:tc>
        <w:tc>
          <w:tcPr>
            <w:tcW w:w="864" w:type="dxa"/>
          </w:tcPr>
          <w:p w14:paraId="31419716" w14:textId="77777777" w:rsidR="00D60A5D" w:rsidRPr="001A7517" w:rsidRDefault="00D60A5D" w:rsidP="00623210">
            <w:pPr>
              <w:suppressAutoHyphens/>
            </w:pPr>
            <w:r w:rsidRPr="001A7517">
              <w:t>51</w:t>
            </w:r>
          </w:p>
        </w:tc>
        <w:tc>
          <w:tcPr>
            <w:tcW w:w="864" w:type="dxa"/>
          </w:tcPr>
          <w:p w14:paraId="3C4E0687" w14:textId="77777777" w:rsidR="00D60A5D" w:rsidRPr="001A7517" w:rsidRDefault="00D60A5D" w:rsidP="00623210">
            <w:pPr>
              <w:suppressAutoHyphens/>
            </w:pPr>
            <w:r w:rsidRPr="001A7517">
              <w:t>61</w:t>
            </w:r>
          </w:p>
        </w:tc>
        <w:tc>
          <w:tcPr>
            <w:tcW w:w="864" w:type="dxa"/>
          </w:tcPr>
          <w:p w14:paraId="185D333A" w14:textId="77777777" w:rsidR="00D60A5D" w:rsidRPr="001A7517" w:rsidRDefault="00D60A5D" w:rsidP="00623210">
            <w:pPr>
              <w:suppressAutoHyphens/>
            </w:pPr>
            <w:r w:rsidRPr="001A7517">
              <w:t>73</w:t>
            </w:r>
          </w:p>
        </w:tc>
      </w:tr>
      <w:tr w:rsidR="00D60A5D" w:rsidRPr="001A7517" w14:paraId="24AA54FE" w14:textId="77777777" w:rsidTr="00623210">
        <w:tc>
          <w:tcPr>
            <w:tcW w:w="1728" w:type="dxa"/>
          </w:tcPr>
          <w:p w14:paraId="1A90772C" w14:textId="77777777" w:rsidR="00D60A5D" w:rsidRPr="001A7517" w:rsidRDefault="00D60A5D" w:rsidP="00623210">
            <w:pPr>
              <w:suppressAutoHyphens/>
            </w:pPr>
            <w:r w:rsidRPr="001A7517">
              <w:t>0.8</w:t>
            </w:r>
          </w:p>
        </w:tc>
        <w:tc>
          <w:tcPr>
            <w:tcW w:w="864" w:type="dxa"/>
          </w:tcPr>
          <w:p w14:paraId="33389FA3" w14:textId="77777777" w:rsidR="00D60A5D" w:rsidRPr="001A7517" w:rsidRDefault="00D60A5D" w:rsidP="00623210">
            <w:pPr>
              <w:suppressAutoHyphens/>
            </w:pPr>
            <w:r w:rsidRPr="001A7517">
              <w:t>26</w:t>
            </w:r>
          </w:p>
        </w:tc>
        <w:tc>
          <w:tcPr>
            <w:tcW w:w="864" w:type="dxa"/>
          </w:tcPr>
          <w:p w14:paraId="1E510317" w14:textId="77777777" w:rsidR="00D60A5D" w:rsidRPr="001A7517" w:rsidRDefault="00D60A5D" w:rsidP="00623210">
            <w:pPr>
              <w:suppressAutoHyphens/>
            </w:pPr>
            <w:r w:rsidRPr="001A7517">
              <w:t>31</w:t>
            </w:r>
          </w:p>
        </w:tc>
        <w:tc>
          <w:tcPr>
            <w:tcW w:w="864" w:type="dxa"/>
          </w:tcPr>
          <w:p w14:paraId="24F038C9" w14:textId="77777777" w:rsidR="00D60A5D" w:rsidRPr="001A7517" w:rsidRDefault="00D60A5D" w:rsidP="00623210">
            <w:pPr>
              <w:suppressAutoHyphens/>
            </w:pPr>
            <w:r w:rsidRPr="001A7517">
              <w:t>37</w:t>
            </w:r>
          </w:p>
        </w:tc>
        <w:tc>
          <w:tcPr>
            <w:tcW w:w="864" w:type="dxa"/>
          </w:tcPr>
          <w:p w14:paraId="2EBF5009" w14:textId="77777777" w:rsidR="00D60A5D" w:rsidRPr="001A7517" w:rsidRDefault="00D60A5D" w:rsidP="00623210">
            <w:pPr>
              <w:suppressAutoHyphens/>
            </w:pPr>
            <w:r w:rsidRPr="001A7517">
              <w:t>44</w:t>
            </w:r>
          </w:p>
        </w:tc>
        <w:tc>
          <w:tcPr>
            <w:tcW w:w="864" w:type="dxa"/>
          </w:tcPr>
          <w:p w14:paraId="7C6E3B03" w14:textId="77777777" w:rsidR="00D60A5D" w:rsidRPr="001A7517" w:rsidRDefault="00D60A5D" w:rsidP="00623210">
            <w:pPr>
              <w:suppressAutoHyphens/>
            </w:pPr>
            <w:r w:rsidRPr="001A7517">
              <w:t>53</w:t>
            </w:r>
          </w:p>
        </w:tc>
        <w:tc>
          <w:tcPr>
            <w:tcW w:w="864" w:type="dxa"/>
          </w:tcPr>
          <w:p w14:paraId="2BDAE8D0" w14:textId="77777777" w:rsidR="00D60A5D" w:rsidRPr="001A7517" w:rsidRDefault="00D60A5D" w:rsidP="00623210">
            <w:pPr>
              <w:suppressAutoHyphens/>
            </w:pPr>
            <w:r w:rsidRPr="001A7517">
              <w:t>63</w:t>
            </w:r>
          </w:p>
        </w:tc>
        <w:tc>
          <w:tcPr>
            <w:tcW w:w="864" w:type="dxa"/>
          </w:tcPr>
          <w:p w14:paraId="08223DD2" w14:textId="77777777" w:rsidR="00D60A5D" w:rsidRPr="001A7517" w:rsidRDefault="00D60A5D" w:rsidP="00623210">
            <w:pPr>
              <w:suppressAutoHyphens/>
            </w:pPr>
            <w:r w:rsidRPr="001A7517">
              <w:t>75</w:t>
            </w:r>
          </w:p>
        </w:tc>
      </w:tr>
      <w:tr w:rsidR="00D60A5D" w:rsidRPr="001A7517" w14:paraId="7E9D7DCD" w14:textId="77777777" w:rsidTr="00623210">
        <w:tc>
          <w:tcPr>
            <w:tcW w:w="1728" w:type="dxa"/>
          </w:tcPr>
          <w:p w14:paraId="358B547D" w14:textId="77777777" w:rsidR="00D60A5D" w:rsidRPr="001A7517" w:rsidRDefault="00D60A5D" w:rsidP="00623210">
            <w:pPr>
              <w:suppressAutoHyphens/>
            </w:pPr>
            <w:r w:rsidRPr="001A7517">
              <w:t>1.0</w:t>
            </w:r>
          </w:p>
        </w:tc>
        <w:tc>
          <w:tcPr>
            <w:tcW w:w="864" w:type="dxa"/>
          </w:tcPr>
          <w:p w14:paraId="3D350C70" w14:textId="77777777" w:rsidR="00D60A5D" w:rsidRPr="001A7517" w:rsidRDefault="00D60A5D" w:rsidP="00623210">
            <w:pPr>
              <w:suppressAutoHyphens/>
            </w:pPr>
            <w:r w:rsidRPr="001A7517">
              <w:t>26</w:t>
            </w:r>
          </w:p>
        </w:tc>
        <w:tc>
          <w:tcPr>
            <w:tcW w:w="864" w:type="dxa"/>
          </w:tcPr>
          <w:p w14:paraId="372AF40A" w14:textId="77777777" w:rsidR="00D60A5D" w:rsidRPr="001A7517" w:rsidRDefault="00D60A5D" w:rsidP="00623210">
            <w:pPr>
              <w:suppressAutoHyphens/>
            </w:pPr>
            <w:r w:rsidRPr="001A7517">
              <w:t>31</w:t>
            </w:r>
          </w:p>
        </w:tc>
        <w:tc>
          <w:tcPr>
            <w:tcW w:w="864" w:type="dxa"/>
          </w:tcPr>
          <w:p w14:paraId="05E0E4D3" w14:textId="77777777" w:rsidR="00D60A5D" w:rsidRPr="001A7517" w:rsidRDefault="00D60A5D" w:rsidP="00623210">
            <w:pPr>
              <w:suppressAutoHyphens/>
            </w:pPr>
            <w:r w:rsidRPr="001A7517">
              <w:t>37</w:t>
            </w:r>
          </w:p>
        </w:tc>
        <w:tc>
          <w:tcPr>
            <w:tcW w:w="864" w:type="dxa"/>
          </w:tcPr>
          <w:p w14:paraId="1FB7272E" w14:textId="77777777" w:rsidR="00D60A5D" w:rsidRPr="001A7517" w:rsidRDefault="00D60A5D" w:rsidP="00623210">
            <w:pPr>
              <w:suppressAutoHyphens/>
            </w:pPr>
            <w:r w:rsidRPr="001A7517">
              <w:t>45</w:t>
            </w:r>
          </w:p>
        </w:tc>
        <w:tc>
          <w:tcPr>
            <w:tcW w:w="864" w:type="dxa"/>
          </w:tcPr>
          <w:p w14:paraId="5066CFD9" w14:textId="77777777" w:rsidR="00D60A5D" w:rsidRPr="001A7517" w:rsidRDefault="00D60A5D" w:rsidP="00623210">
            <w:pPr>
              <w:suppressAutoHyphens/>
            </w:pPr>
            <w:r w:rsidRPr="001A7517">
              <w:t>54</w:t>
            </w:r>
          </w:p>
        </w:tc>
        <w:tc>
          <w:tcPr>
            <w:tcW w:w="864" w:type="dxa"/>
          </w:tcPr>
          <w:p w14:paraId="1340A442" w14:textId="77777777" w:rsidR="00D60A5D" w:rsidRPr="001A7517" w:rsidRDefault="00D60A5D" w:rsidP="00623210">
            <w:pPr>
              <w:suppressAutoHyphens/>
            </w:pPr>
            <w:r w:rsidRPr="001A7517">
              <w:t>65</w:t>
            </w:r>
          </w:p>
        </w:tc>
        <w:tc>
          <w:tcPr>
            <w:tcW w:w="864" w:type="dxa"/>
          </w:tcPr>
          <w:p w14:paraId="31EA2516" w14:textId="77777777" w:rsidR="00D60A5D" w:rsidRPr="001A7517" w:rsidRDefault="00D60A5D" w:rsidP="00623210">
            <w:pPr>
              <w:suppressAutoHyphens/>
            </w:pPr>
            <w:r w:rsidRPr="001A7517">
              <w:t>78</w:t>
            </w:r>
          </w:p>
        </w:tc>
      </w:tr>
      <w:tr w:rsidR="00D60A5D" w:rsidRPr="001A7517" w14:paraId="5D646AFD" w14:textId="77777777" w:rsidTr="00623210">
        <w:tc>
          <w:tcPr>
            <w:tcW w:w="1728" w:type="dxa"/>
          </w:tcPr>
          <w:p w14:paraId="7AF0263E" w14:textId="77777777" w:rsidR="00D60A5D" w:rsidRPr="001A7517" w:rsidRDefault="00D60A5D" w:rsidP="00623210">
            <w:pPr>
              <w:suppressAutoHyphens/>
            </w:pPr>
            <w:r w:rsidRPr="001A7517">
              <w:t>1.2</w:t>
            </w:r>
          </w:p>
        </w:tc>
        <w:tc>
          <w:tcPr>
            <w:tcW w:w="864" w:type="dxa"/>
          </w:tcPr>
          <w:p w14:paraId="69F813A1" w14:textId="77777777" w:rsidR="00D60A5D" w:rsidRPr="001A7517" w:rsidRDefault="00D60A5D" w:rsidP="00623210">
            <w:pPr>
              <w:suppressAutoHyphens/>
            </w:pPr>
            <w:r w:rsidRPr="001A7517">
              <w:t>27</w:t>
            </w:r>
          </w:p>
        </w:tc>
        <w:tc>
          <w:tcPr>
            <w:tcW w:w="864" w:type="dxa"/>
          </w:tcPr>
          <w:p w14:paraId="6D15F21C" w14:textId="77777777" w:rsidR="00D60A5D" w:rsidRPr="001A7517" w:rsidRDefault="00D60A5D" w:rsidP="00623210">
            <w:pPr>
              <w:suppressAutoHyphens/>
            </w:pPr>
            <w:r w:rsidRPr="001A7517">
              <w:t>32</w:t>
            </w:r>
          </w:p>
        </w:tc>
        <w:tc>
          <w:tcPr>
            <w:tcW w:w="864" w:type="dxa"/>
          </w:tcPr>
          <w:p w14:paraId="7DF60837" w14:textId="77777777" w:rsidR="00D60A5D" w:rsidRPr="001A7517" w:rsidRDefault="00D60A5D" w:rsidP="00623210">
            <w:pPr>
              <w:suppressAutoHyphens/>
            </w:pPr>
            <w:r w:rsidRPr="001A7517">
              <w:t>38</w:t>
            </w:r>
          </w:p>
        </w:tc>
        <w:tc>
          <w:tcPr>
            <w:tcW w:w="864" w:type="dxa"/>
          </w:tcPr>
          <w:p w14:paraId="62A6237C" w14:textId="77777777" w:rsidR="00D60A5D" w:rsidRPr="001A7517" w:rsidRDefault="00D60A5D" w:rsidP="00623210">
            <w:pPr>
              <w:suppressAutoHyphens/>
            </w:pPr>
            <w:r w:rsidRPr="001A7517">
              <w:t>46</w:t>
            </w:r>
          </w:p>
        </w:tc>
        <w:tc>
          <w:tcPr>
            <w:tcW w:w="864" w:type="dxa"/>
          </w:tcPr>
          <w:p w14:paraId="1AAC2F7B" w14:textId="77777777" w:rsidR="00D60A5D" w:rsidRPr="001A7517" w:rsidRDefault="00D60A5D" w:rsidP="00623210">
            <w:pPr>
              <w:suppressAutoHyphens/>
            </w:pPr>
            <w:r w:rsidRPr="001A7517">
              <w:t>55</w:t>
            </w:r>
          </w:p>
        </w:tc>
        <w:tc>
          <w:tcPr>
            <w:tcW w:w="864" w:type="dxa"/>
          </w:tcPr>
          <w:p w14:paraId="5AA63695" w14:textId="77777777" w:rsidR="00D60A5D" w:rsidRPr="001A7517" w:rsidRDefault="00D60A5D" w:rsidP="00623210">
            <w:pPr>
              <w:suppressAutoHyphens/>
            </w:pPr>
            <w:r w:rsidRPr="001A7517">
              <w:t>67</w:t>
            </w:r>
          </w:p>
        </w:tc>
        <w:tc>
          <w:tcPr>
            <w:tcW w:w="864" w:type="dxa"/>
          </w:tcPr>
          <w:p w14:paraId="3588D51C" w14:textId="77777777" w:rsidR="00D60A5D" w:rsidRPr="001A7517" w:rsidRDefault="00D60A5D" w:rsidP="00623210">
            <w:pPr>
              <w:suppressAutoHyphens/>
            </w:pPr>
            <w:r w:rsidRPr="001A7517">
              <w:t>80</w:t>
            </w:r>
          </w:p>
        </w:tc>
      </w:tr>
      <w:tr w:rsidR="00D60A5D" w:rsidRPr="001A7517" w14:paraId="368996D1" w14:textId="77777777" w:rsidTr="00623210">
        <w:tc>
          <w:tcPr>
            <w:tcW w:w="1728" w:type="dxa"/>
          </w:tcPr>
          <w:p w14:paraId="70694140" w14:textId="77777777" w:rsidR="00D60A5D" w:rsidRPr="001A7517" w:rsidRDefault="00D60A5D" w:rsidP="00623210">
            <w:pPr>
              <w:suppressAutoHyphens/>
            </w:pPr>
            <w:r w:rsidRPr="001A7517">
              <w:t>1.4</w:t>
            </w:r>
          </w:p>
        </w:tc>
        <w:tc>
          <w:tcPr>
            <w:tcW w:w="864" w:type="dxa"/>
          </w:tcPr>
          <w:p w14:paraId="10F9302F" w14:textId="77777777" w:rsidR="00D60A5D" w:rsidRPr="001A7517" w:rsidRDefault="00D60A5D" w:rsidP="00623210">
            <w:pPr>
              <w:suppressAutoHyphens/>
            </w:pPr>
            <w:r w:rsidRPr="001A7517">
              <w:t>27</w:t>
            </w:r>
          </w:p>
        </w:tc>
        <w:tc>
          <w:tcPr>
            <w:tcW w:w="864" w:type="dxa"/>
          </w:tcPr>
          <w:p w14:paraId="42BA3F56" w14:textId="77777777" w:rsidR="00D60A5D" w:rsidRPr="001A7517" w:rsidRDefault="00D60A5D" w:rsidP="00623210">
            <w:pPr>
              <w:suppressAutoHyphens/>
            </w:pPr>
            <w:r w:rsidRPr="001A7517">
              <w:t>33</w:t>
            </w:r>
          </w:p>
        </w:tc>
        <w:tc>
          <w:tcPr>
            <w:tcW w:w="864" w:type="dxa"/>
          </w:tcPr>
          <w:p w14:paraId="7E1C8BEC" w14:textId="77777777" w:rsidR="00D60A5D" w:rsidRPr="001A7517" w:rsidRDefault="00D60A5D" w:rsidP="00623210">
            <w:pPr>
              <w:suppressAutoHyphens/>
            </w:pPr>
            <w:r w:rsidRPr="001A7517">
              <w:t>39</w:t>
            </w:r>
          </w:p>
        </w:tc>
        <w:tc>
          <w:tcPr>
            <w:tcW w:w="864" w:type="dxa"/>
          </w:tcPr>
          <w:p w14:paraId="2830DA17" w14:textId="77777777" w:rsidR="00D60A5D" w:rsidRPr="001A7517" w:rsidRDefault="00D60A5D" w:rsidP="00623210">
            <w:pPr>
              <w:suppressAutoHyphens/>
            </w:pPr>
            <w:r w:rsidRPr="001A7517">
              <w:t>47</w:t>
            </w:r>
          </w:p>
        </w:tc>
        <w:tc>
          <w:tcPr>
            <w:tcW w:w="864" w:type="dxa"/>
          </w:tcPr>
          <w:p w14:paraId="752B79D9" w14:textId="77777777" w:rsidR="00D60A5D" w:rsidRPr="001A7517" w:rsidRDefault="00D60A5D" w:rsidP="00623210">
            <w:pPr>
              <w:suppressAutoHyphens/>
            </w:pPr>
            <w:r w:rsidRPr="001A7517">
              <w:t>57</w:t>
            </w:r>
          </w:p>
        </w:tc>
        <w:tc>
          <w:tcPr>
            <w:tcW w:w="864" w:type="dxa"/>
          </w:tcPr>
          <w:p w14:paraId="1FEE5D57" w14:textId="77777777" w:rsidR="00D60A5D" w:rsidRPr="001A7517" w:rsidRDefault="00D60A5D" w:rsidP="00623210">
            <w:pPr>
              <w:suppressAutoHyphens/>
            </w:pPr>
            <w:r w:rsidRPr="001A7517">
              <w:t>69</w:t>
            </w:r>
          </w:p>
        </w:tc>
        <w:tc>
          <w:tcPr>
            <w:tcW w:w="864" w:type="dxa"/>
          </w:tcPr>
          <w:p w14:paraId="167F8E7A" w14:textId="77777777" w:rsidR="00D60A5D" w:rsidRPr="001A7517" w:rsidRDefault="00D60A5D" w:rsidP="00623210">
            <w:pPr>
              <w:suppressAutoHyphens/>
            </w:pPr>
            <w:r w:rsidRPr="001A7517">
              <w:t>82</w:t>
            </w:r>
          </w:p>
        </w:tc>
      </w:tr>
      <w:tr w:rsidR="00D60A5D" w:rsidRPr="001A7517" w14:paraId="79B42813" w14:textId="77777777" w:rsidTr="00623210">
        <w:tc>
          <w:tcPr>
            <w:tcW w:w="1728" w:type="dxa"/>
          </w:tcPr>
          <w:p w14:paraId="576BA81E" w14:textId="77777777" w:rsidR="00D60A5D" w:rsidRPr="001A7517" w:rsidRDefault="00D60A5D" w:rsidP="00623210">
            <w:pPr>
              <w:suppressAutoHyphens/>
            </w:pPr>
            <w:r w:rsidRPr="001A7517">
              <w:t>1.6</w:t>
            </w:r>
          </w:p>
        </w:tc>
        <w:tc>
          <w:tcPr>
            <w:tcW w:w="864" w:type="dxa"/>
          </w:tcPr>
          <w:p w14:paraId="581D58B8" w14:textId="77777777" w:rsidR="00D60A5D" w:rsidRPr="001A7517" w:rsidRDefault="00D60A5D" w:rsidP="00623210">
            <w:pPr>
              <w:suppressAutoHyphens/>
            </w:pPr>
            <w:r w:rsidRPr="001A7517">
              <w:t>28</w:t>
            </w:r>
          </w:p>
        </w:tc>
        <w:tc>
          <w:tcPr>
            <w:tcW w:w="864" w:type="dxa"/>
          </w:tcPr>
          <w:p w14:paraId="78E1722B" w14:textId="77777777" w:rsidR="00D60A5D" w:rsidRPr="001A7517" w:rsidRDefault="00D60A5D" w:rsidP="00623210">
            <w:pPr>
              <w:suppressAutoHyphens/>
            </w:pPr>
            <w:r w:rsidRPr="001A7517">
              <w:t>33</w:t>
            </w:r>
          </w:p>
        </w:tc>
        <w:tc>
          <w:tcPr>
            <w:tcW w:w="864" w:type="dxa"/>
          </w:tcPr>
          <w:p w14:paraId="7BE5C7F7" w14:textId="77777777" w:rsidR="00D60A5D" w:rsidRPr="001A7517" w:rsidRDefault="00D60A5D" w:rsidP="00623210">
            <w:pPr>
              <w:suppressAutoHyphens/>
            </w:pPr>
            <w:r w:rsidRPr="001A7517">
              <w:t>40</w:t>
            </w:r>
          </w:p>
        </w:tc>
        <w:tc>
          <w:tcPr>
            <w:tcW w:w="864" w:type="dxa"/>
          </w:tcPr>
          <w:p w14:paraId="393541BF" w14:textId="77777777" w:rsidR="00D60A5D" w:rsidRPr="001A7517" w:rsidRDefault="00D60A5D" w:rsidP="00623210">
            <w:pPr>
              <w:suppressAutoHyphens/>
            </w:pPr>
            <w:r w:rsidRPr="001A7517">
              <w:t>48</w:t>
            </w:r>
          </w:p>
        </w:tc>
        <w:tc>
          <w:tcPr>
            <w:tcW w:w="864" w:type="dxa"/>
          </w:tcPr>
          <w:p w14:paraId="4B280F55" w14:textId="77777777" w:rsidR="00D60A5D" w:rsidRPr="001A7517" w:rsidRDefault="00D60A5D" w:rsidP="00623210">
            <w:pPr>
              <w:suppressAutoHyphens/>
            </w:pPr>
            <w:r w:rsidRPr="001A7517">
              <w:t>58</w:t>
            </w:r>
          </w:p>
        </w:tc>
        <w:tc>
          <w:tcPr>
            <w:tcW w:w="864" w:type="dxa"/>
          </w:tcPr>
          <w:p w14:paraId="5AE10CA4" w14:textId="77777777" w:rsidR="00D60A5D" w:rsidRPr="001A7517" w:rsidRDefault="00D60A5D" w:rsidP="00623210">
            <w:pPr>
              <w:suppressAutoHyphens/>
            </w:pPr>
            <w:r w:rsidRPr="001A7517">
              <w:t>70</w:t>
            </w:r>
          </w:p>
        </w:tc>
        <w:tc>
          <w:tcPr>
            <w:tcW w:w="864" w:type="dxa"/>
          </w:tcPr>
          <w:p w14:paraId="06AEC47A" w14:textId="77777777" w:rsidR="00D60A5D" w:rsidRPr="001A7517" w:rsidRDefault="00D60A5D" w:rsidP="00623210">
            <w:pPr>
              <w:suppressAutoHyphens/>
            </w:pPr>
            <w:r w:rsidRPr="001A7517">
              <w:t>84</w:t>
            </w:r>
          </w:p>
        </w:tc>
      </w:tr>
      <w:tr w:rsidR="00D60A5D" w:rsidRPr="001A7517" w14:paraId="47DF333E" w14:textId="77777777" w:rsidTr="00623210">
        <w:tc>
          <w:tcPr>
            <w:tcW w:w="1728" w:type="dxa"/>
          </w:tcPr>
          <w:p w14:paraId="0F72641B" w14:textId="77777777" w:rsidR="00D60A5D" w:rsidRPr="001A7517" w:rsidRDefault="00D60A5D" w:rsidP="00623210">
            <w:pPr>
              <w:suppressAutoHyphens/>
            </w:pPr>
            <w:r w:rsidRPr="001A7517">
              <w:t>1.8</w:t>
            </w:r>
          </w:p>
        </w:tc>
        <w:tc>
          <w:tcPr>
            <w:tcW w:w="864" w:type="dxa"/>
          </w:tcPr>
          <w:p w14:paraId="32771562" w14:textId="77777777" w:rsidR="00D60A5D" w:rsidRPr="001A7517" w:rsidRDefault="00D60A5D" w:rsidP="00623210">
            <w:pPr>
              <w:suppressAutoHyphens/>
            </w:pPr>
            <w:r w:rsidRPr="001A7517">
              <w:t>29</w:t>
            </w:r>
          </w:p>
        </w:tc>
        <w:tc>
          <w:tcPr>
            <w:tcW w:w="864" w:type="dxa"/>
          </w:tcPr>
          <w:p w14:paraId="1D7C2593" w14:textId="77777777" w:rsidR="00D60A5D" w:rsidRPr="001A7517" w:rsidRDefault="00D60A5D" w:rsidP="00623210">
            <w:pPr>
              <w:suppressAutoHyphens/>
            </w:pPr>
            <w:r w:rsidRPr="001A7517">
              <w:t>34</w:t>
            </w:r>
          </w:p>
        </w:tc>
        <w:tc>
          <w:tcPr>
            <w:tcW w:w="864" w:type="dxa"/>
          </w:tcPr>
          <w:p w14:paraId="3EBA2B21" w14:textId="77777777" w:rsidR="00D60A5D" w:rsidRPr="001A7517" w:rsidRDefault="00D60A5D" w:rsidP="00623210">
            <w:pPr>
              <w:suppressAutoHyphens/>
            </w:pPr>
            <w:r w:rsidRPr="001A7517">
              <w:t>41</w:t>
            </w:r>
          </w:p>
        </w:tc>
        <w:tc>
          <w:tcPr>
            <w:tcW w:w="864" w:type="dxa"/>
          </w:tcPr>
          <w:p w14:paraId="071569B5" w14:textId="77777777" w:rsidR="00D60A5D" w:rsidRPr="001A7517" w:rsidRDefault="00D60A5D" w:rsidP="00623210">
            <w:pPr>
              <w:suppressAutoHyphens/>
            </w:pPr>
            <w:r w:rsidRPr="001A7517">
              <w:t>49</w:t>
            </w:r>
          </w:p>
        </w:tc>
        <w:tc>
          <w:tcPr>
            <w:tcW w:w="864" w:type="dxa"/>
          </w:tcPr>
          <w:p w14:paraId="5B84FAA0" w14:textId="77777777" w:rsidR="00D60A5D" w:rsidRPr="001A7517" w:rsidRDefault="00D60A5D" w:rsidP="00623210">
            <w:pPr>
              <w:suppressAutoHyphens/>
            </w:pPr>
            <w:r w:rsidRPr="001A7517">
              <w:t>60</w:t>
            </w:r>
          </w:p>
        </w:tc>
        <w:tc>
          <w:tcPr>
            <w:tcW w:w="864" w:type="dxa"/>
          </w:tcPr>
          <w:p w14:paraId="178FBCF8" w14:textId="77777777" w:rsidR="00D60A5D" w:rsidRPr="001A7517" w:rsidRDefault="00D60A5D" w:rsidP="00623210">
            <w:pPr>
              <w:suppressAutoHyphens/>
            </w:pPr>
            <w:r w:rsidRPr="001A7517">
              <w:t>72</w:t>
            </w:r>
          </w:p>
        </w:tc>
        <w:tc>
          <w:tcPr>
            <w:tcW w:w="864" w:type="dxa"/>
          </w:tcPr>
          <w:p w14:paraId="00513EB4" w14:textId="77777777" w:rsidR="00D60A5D" w:rsidRPr="001A7517" w:rsidRDefault="00D60A5D" w:rsidP="00623210">
            <w:pPr>
              <w:suppressAutoHyphens/>
            </w:pPr>
            <w:r w:rsidRPr="001A7517">
              <w:t>86</w:t>
            </w:r>
          </w:p>
        </w:tc>
      </w:tr>
      <w:tr w:rsidR="00D60A5D" w:rsidRPr="001A7517" w14:paraId="57CAED98" w14:textId="77777777" w:rsidTr="00623210">
        <w:tc>
          <w:tcPr>
            <w:tcW w:w="1728" w:type="dxa"/>
          </w:tcPr>
          <w:p w14:paraId="58BD9FAD" w14:textId="77777777" w:rsidR="00D60A5D" w:rsidRPr="001A7517" w:rsidRDefault="00D60A5D" w:rsidP="00623210">
            <w:pPr>
              <w:suppressAutoHyphens/>
            </w:pPr>
            <w:r w:rsidRPr="001A7517">
              <w:t>2.0</w:t>
            </w:r>
          </w:p>
        </w:tc>
        <w:tc>
          <w:tcPr>
            <w:tcW w:w="864" w:type="dxa"/>
          </w:tcPr>
          <w:p w14:paraId="7DA38304" w14:textId="77777777" w:rsidR="00D60A5D" w:rsidRPr="001A7517" w:rsidRDefault="00D60A5D" w:rsidP="00623210">
            <w:pPr>
              <w:suppressAutoHyphens/>
            </w:pPr>
            <w:r w:rsidRPr="001A7517">
              <w:t>29</w:t>
            </w:r>
          </w:p>
        </w:tc>
        <w:tc>
          <w:tcPr>
            <w:tcW w:w="864" w:type="dxa"/>
          </w:tcPr>
          <w:p w14:paraId="04E62220" w14:textId="77777777" w:rsidR="00D60A5D" w:rsidRPr="001A7517" w:rsidRDefault="00D60A5D" w:rsidP="00623210">
            <w:pPr>
              <w:suppressAutoHyphens/>
            </w:pPr>
            <w:r w:rsidRPr="001A7517">
              <w:t>35</w:t>
            </w:r>
          </w:p>
        </w:tc>
        <w:tc>
          <w:tcPr>
            <w:tcW w:w="864" w:type="dxa"/>
          </w:tcPr>
          <w:p w14:paraId="0BB7C7DF" w14:textId="77777777" w:rsidR="00D60A5D" w:rsidRPr="001A7517" w:rsidRDefault="00D60A5D" w:rsidP="00623210">
            <w:pPr>
              <w:suppressAutoHyphens/>
            </w:pPr>
            <w:r w:rsidRPr="001A7517">
              <w:t>41</w:t>
            </w:r>
          </w:p>
        </w:tc>
        <w:tc>
          <w:tcPr>
            <w:tcW w:w="864" w:type="dxa"/>
          </w:tcPr>
          <w:p w14:paraId="247B69DD" w14:textId="77777777" w:rsidR="00D60A5D" w:rsidRPr="001A7517" w:rsidRDefault="00D60A5D" w:rsidP="00623210">
            <w:pPr>
              <w:suppressAutoHyphens/>
            </w:pPr>
            <w:r w:rsidRPr="001A7517">
              <w:t>50</w:t>
            </w:r>
          </w:p>
        </w:tc>
        <w:tc>
          <w:tcPr>
            <w:tcW w:w="864" w:type="dxa"/>
          </w:tcPr>
          <w:p w14:paraId="2D991170" w14:textId="77777777" w:rsidR="00D60A5D" w:rsidRPr="001A7517" w:rsidRDefault="00D60A5D" w:rsidP="00623210">
            <w:pPr>
              <w:suppressAutoHyphens/>
            </w:pPr>
            <w:r w:rsidRPr="001A7517">
              <w:t>61</w:t>
            </w:r>
          </w:p>
        </w:tc>
        <w:tc>
          <w:tcPr>
            <w:tcW w:w="864" w:type="dxa"/>
          </w:tcPr>
          <w:p w14:paraId="643EBA78" w14:textId="77777777" w:rsidR="00D60A5D" w:rsidRPr="001A7517" w:rsidRDefault="00D60A5D" w:rsidP="00623210">
            <w:pPr>
              <w:suppressAutoHyphens/>
            </w:pPr>
            <w:r w:rsidRPr="001A7517">
              <w:t>74</w:t>
            </w:r>
          </w:p>
        </w:tc>
        <w:tc>
          <w:tcPr>
            <w:tcW w:w="864" w:type="dxa"/>
          </w:tcPr>
          <w:p w14:paraId="5584840E" w14:textId="77777777" w:rsidR="00D60A5D" w:rsidRPr="001A7517" w:rsidRDefault="00D60A5D" w:rsidP="00623210">
            <w:pPr>
              <w:suppressAutoHyphens/>
            </w:pPr>
            <w:r w:rsidRPr="001A7517">
              <w:t>88</w:t>
            </w:r>
          </w:p>
        </w:tc>
      </w:tr>
      <w:tr w:rsidR="00D60A5D" w:rsidRPr="001A7517" w14:paraId="3C33B87E" w14:textId="77777777" w:rsidTr="00623210">
        <w:tc>
          <w:tcPr>
            <w:tcW w:w="1728" w:type="dxa"/>
          </w:tcPr>
          <w:p w14:paraId="1F09B843" w14:textId="77777777" w:rsidR="00D60A5D" w:rsidRPr="001A7517" w:rsidRDefault="00D60A5D" w:rsidP="00623210">
            <w:pPr>
              <w:suppressAutoHyphens/>
            </w:pPr>
            <w:r w:rsidRPr="001A7517">
              <w:t>2.2</w:t>
            </w:r>
          </w:p>
        </w:tc>
        <w:tc>
          <w:tcPr>
            <w:tcW w:w="864" w:type="dxa"/>
          </w:tcPr>
          <w:p w14:paraId="52EEA639" w14:textId="77777777" w:rsidR="00D60A5D" w:rsidRPr="001A7517" w:rsidRDefault="00D60A5D" w:rsidP="00623210">
            <w:pPr>
              <w:suppressAutoHyphens/>
            </w:pPr>
            <w:r w:rsidRPr="001A7517">
              <w:t>30</w:t>
            </w:r>
          </w:p>
        </w:tc>
        <w:tc>
          <w:tcPr>
            <w:tcW w:w="864" w:type="dxa"/>
          </w:tcPr>
          <w:p w14:paraId="286BC847" w14:textId="77777777" w:rsidR="00D60A5D" w:rsidRPr="001A7517" w:rsidRDefault="00D60A5D" w:rsidP="00623210">
            <w:pPr>
              <w:suppressAutoHyphens/>
            </w:pPr>
            <w:r w:rsidRPr="001A7517">
              <w:t>35</w:t>
            </w:r>
          </w:p>
        </w:tc>
        <w:tc>
          <w:tcPr>
            <w:tcW w:w="864" w:type="dxa"/>
          </w:tcPr>
          <w:p w14:paraId="49EF1107" w14:textId="77777777" w:rsidR="00D60A5D" w:rsidRPr="001A7517" w:rsidRDefault="00D60A5D" w:rsidP="00623210">
            <w:pPr>
              <w:suppressAutoHyphens/>
            </w:pPr>
            <w:r w:rsidRPr="001A7517">
              <w:t>42</w:t>
            </w:r>
          </w:p>
        </w:tc>
        <w:tc>
          <w:tcPr>
            <w:tcW w:w="864" w:type="dxa"/>
          </w:tcPr>
          <w:p w14:paraId="736D0D16" w14:textId="77777777" w:rsidR="00D60A5D" w:rsidRPr="001A7517" w:rsidRDefault="00D60A5D" w:rsidP="00623210">
            <w:pPr>
              <w:suppressAutoHyphens/>
            </w:pPr>
            <w:r w:rsidRPr="001A7517">
              <w:t>51</w:t>
            </w:r>
          </w:p>
        </w:tc>
        <w:tc>
          <w:tcPr>
            <w:tcW w:w="864" w:type="dxa"/>
          </w:tcPr>
          <w:p w14:paraId="399BF323" w14:textId="77777777" w:rsidR="00D60A5D" w:rsidRPr="001A7517" w:rsidRDefault="00D60A5D" w:rsidP="00623210">
            <w:pPr>
              <w:suppressAutoHyphens/>
            </w:pPr>
            <w:r w:rsidRPr="001A7517">
              <w:t>62</w:t>
            </w:r>
          </w:p>
        </w:tc>
        <w:tc>
          <w:tcPr>
            <w:tcW w:w="864" w:type="dxa"/>
          </w:tcPr>
          <w:p w14:paraId="2ECB6028" w14:textId="77777777" w:rsidR="00D60A5D" w:rsidRPr="001A7517" w:rsidRDefault="00D60A5D" w:rsidP="00623210">
            <w:pPr>
              <w:suppressAutoHyphens/>
            </w:pPr>
            <w:r w:rsidRPr="001A7517">
              <w:t>75</w:t>
            </w:r>
          </w:p>
        </w:tc>
        <w:tc>
          <w:tcPr>
            <w:tcW w:w="864" w:type="dxa"/>
          </w:tcPr>
          <w:p w14:paraId="4B349B39" w14:textId="77777777" w:rsidR="00D60A5D" w:rsidRPr="001A7517" w:rsidRDefault="00D60A5D" w:rsidP="00623210">
            <w:pPr>
              <w:suppressAutoHyphens/>
            </w:pPr>
            <w:r w:rsidRPr="001A7517">
              <w:t>90</w:t>
            </w:r>
          </w:p>
        </w:tc>
      </w:tr>
      <w:tr w:rsidR="00D60A5D" w:rsidRPr="001A7517" w14:paraId="10A6D76A" w14:textId="77777777" w:rsidTr="00623210">
        <w:tc>
          <w:tcPr>
            <w:tcW w:w="1728" w:type="dxa"/>
          </w:tcPr>
          <w:p w14:paraId="27398AFF" w14:textId="77777777" w:rsidR="00D60A5D" w:rsidRPr="001A7517" w:rsidRDefault="00D60A5D" w:rsidP="00623210">
            <w:pPr>
              <w:suppressAutoHyphens/>
            </w:pPr>
            <w:r w:rsidRPr="001A7517">
              <w:t>2.4</w:t>
            </w:r>
          </w:p>
        </w:tc>
        <w:tc>
          <w:tcPr>
            <w:tcW w:w="864" w:type="dxa"/>
          </w:tcPr>
          <w:p w14:paraId="65962E94" w14:textId="77777777" w:rsidR="00D60A5D" w:rsidRPr="001A7517" w:rsidRDefault="00D60A5D" w:rsidP="00623210">
            <w:pPr>
              <w:suppressAutoHyphens/>
            </w:pPr>
            <w:r w:rsidRPr="001A7517">
              <w:t>30</w:t>
            </w:r>
          </w:p>
        </w:tc>
        <w:tc>
          <w:tcPr>
            <w:tcW w:w="864" w:type="dxa"/>
          </w:tcPr>
          <w:p w14:paraId="4D85CAB7" w14:textId="77777777" w:rsidR="00D60A5D" w:rsidRPr="001A7517" w:rsidRDefault="00D60A5D" w:rsidP="00623210">
            <w:pPr>
              <w:suppressAutoHyphens/>
            </w:pPr>
            <w:r w:rsidRPr="001A7517">
              <w:t>36</w:t>
            </w:r>
          </w:p>
        </w:tc>
        <w:tc>
          <w:tcPr>
            <w:tcW w:w="864" w:type="dxa"/>
          </w:tcPr>
          <w:p w14:paraId="20BEBE5A" w14:textId="77777777" w:rsidR="00D60A5D" w:rsidRPr="001A7517" w:rsidRDefault="00D60A5D" w:rsidP="00623210">
            <w:pPr>
              <w:suppressAutoHyphens/>
            </w:pPr>
            <w:r w:rsidRPr="001A7517">
              <w:t>43</w:t>
            </w:r>
          </w:p>
        </w:tc>
        <w:tc>
          <w:tcPr>
            <w:tcW w:w="864" w:type="dxa"/>
          </w:tcPr>
          <w:p w14:paraId="50993D70" w14:textId="77777777" w:rsidR="00D60A5D" w:rsidRPr="001A7517" w:rsidRDefault="00D60A5D" w:rsidP="00623210">
            <w:pPr>
              <w:suppressAutoHyphens/>
            </w:pPr>
            <w:r w:rsidRPr="001A7517">
              <w:t>52</w:t>
            </w:r>
          </w:p>
        </w:tc>
        <w:tc>
          <w:tcPr>
            <w:tcW w:w="864" w:type="dxa"/>
          </w:tcPr>
          <w:p w14:paraId="21D6DB1D" w14:textId="77777777" w:rsidR="00D60A5D" w:rsidRPr="001A7517" w:rsidRDefault="00D60A5D" w:rsidP="00623210">
            <w:pPr>
              <w:suppressAutoHyphens/>
            </w:pPr>
            <w:r w:rsidRPr="001A7517">
              <w:t>63</w:t>
            </w:r>
          </w:p>
        </w:tc>
        <w:tc>
          <w:tcPr>
            <w:tcW w:w="864" w:type="dxa"/>
          </w:tcPr>
          <w:p w14:paraId="4AA0B0D1" w14:textId="77777777" w:rsidR="00D60A5D" w:rsidRPr="001A7517" w:rsidRDefault="00D60A5D" w:rsidP="00623210">
            <w:pPr>
              <w:suppressAutoHyphens/>
            </w:pPr>
            <w:r w:rsidRPr="001A7517">
              <w:t>77</w:t>
            </w:r>
          </w:p>
        </w:tc>
        <w:tc>
          <w:tcPr>
            <w:tcW w:w="864" w:type="dxa"/>
          </w:tcPr>
          <w:p w14:paraId="11AC0E22" w14:textId="77777777" w:rsidR="00D60A5D" w:rsidRPr="001A7517" w:rsidRDefault="00D60A5D" w:rsidP="00623210">
            <w:pPr>
              <w:suppressAutoHyphens/>
            </w:pPr>
            <w:r w:rsidRPr="001A7517">
              <w:t>92</w:t>
            </w:r>
          </w:p>
        </w:tc>
      </w:tr>
      <w:tr w:rsidR="00D60A5D" w:rsidRPr="001A7517" w14:paraId="2A9DF36C" w14:textId="77777777" w:rsidTr="00623210">
        <w:tc>
          <w:tcPr>
            <w:tcW w:w="1728" w:type="dxa"/>
          </w:tcPr>
          <w:p w14:paraId="6BA2C5A9" w14:textId="77777777" w:rsidR="00D60A5D" w:rsidRPr="001A7517" w:rsidRDefault="00D60A5D" w:rsidP="00623210">
            <w:pPr>
              <w:suppressAutoHyphens/>
            </w:pPr>
            <w:r w:rsidRPr="001A7517">
              <w:t>2.6</w:t>
            </w:r>
          </w:p>
        </w:tc>
        <w:tc>
          <w:tcPr>
            <w:tcW w:w="864" w:type="dxa"/>
          </w:tcPr>
          <w:p w14:paraId="5E85E186" w14:textId="77777777" w:rsidR="00D60A5D" w:rsidRPr="001A7517" w:rsidRDefault="00D60A5D" w:rsidP="00623210">
            <w:pPr>
              <w:suppressAutoHyphens/>
            </w:pPr>
            <w:r w:rsidRPr="001A7517">
              <w:t>31</w:t>
            </w:r>
          </w:p>
        </w:tc>
        <w:tc>
          <w:tcPr>
            <w:tcW w:w="864" w:type="dxa"/>
          </w:tcPr>
          <w:p w14:paraId="5129B8B5" w14:textId="77777777" w:rsidR="00D60A5D" w:rsidRPr="001A7517" w:rsidRDefault="00D60A5D" w:rsidP="00623210">
            <w:pPr>
              <w:suppressAutoHyphens/>
            </w:pPr>
            <w:r w:rsidRPr="001A7517">
              <w:t>37</w:t>
            </w:r>
          </w:p>
        </w:tc>
        <w:tc>
          <w:tcPr>
            <w:tcW w:w="864" w:type="dxa"/>
          </w:tcPr>
          <w:p w14:paraId="489FC83A" w14:textId="77777777" w:rsidR="00D60A5D" w:rsidRPr="001A7517" w:rsidRDefault="00D60A5D" w:rsidP="00623210">
            <w:pPr>
              <w:suppressAutoHyphens/>
            </w:pPr>
            <w:r w:rsidRPr="001A7517">
              <w:t>44</w:t>
            </w:r>
          </w:p>
        </w:tc>
        <w:tc>
          <w:tcPr>
            <w:tcW w:w="864" w:type="dxa"/>
          </w:tcPr>
          <w:p w14:paraId="34D1360F" w14:textId="77777777" w:rsidR="00D60A5D" w:rsidRPr="001A7517" w:rsidRDefault="00D60A5D" w:rsidP="00623210">
            <w:pPr>
              <w:suppressAutoHyphens/>
            </w:pPr>
            <w:r w:rsidRPr="001A7517">
              <w:t>53</w:t>
            </w:r>
          </w:p>
        </w:tc>
        <w:tc>
          <w:tcPr>
            <w:tcW w:w="864" w:type="dxa"/>
          </w:tcPr>
          <w:p w14:paraId="5913A0E2" w14:textId="77777777" w:rsidR="00D60A5D" w:rsidRPr="001A7517" w:rsidRDefault="00D60A5D" w:rsidP="00623210">
            <w:pPr>
              <w:suppressAutoHyphens/>
            </w:pPr>
            <w:r w:rsidRPr="001A7517">
              <w:t>65</w:t>
            </w:r>
          </w:p>
        </w:tc>
        <w:tc>
          <w:tcPr>
            <w:tcW w:w="864" w:type="dxa"/>
          </w:tcPr>
          <w:p w14:paraId="610FEA39" w14:textId="77777777" w:rsidR="00D60A5D" w:rsidRPr="001A7517" w:rsidRDefault="00D60A5D" w:rsidP="00623210">
            <w:pPr>
              <w:suppressAutoHyphens/>
            </w:pPr>
            <w:r w:rsidRPr="001A7517">
              <w:t>78</w:t>
            </w:r>
          </w:p>
        </w:tc>
        <w:tc>
          <w:tcPr>
            <w:tcW w:w="864" w:type="dxa"/>
          </w:tcPr>
          <w:p w14:paraId="3A996AAB" w14:textId="77777777" w:rsidR="00D60A5D" w:rsidRPr="001A7517" w:rsidRDefault="00D60A5D" w:rsidP="00623210">
            <w:pPr>
              <w:suppressAutoHyphens/>
            </w:pPr>
            <w:r w:rsidRPr="001A7517">
              <w:t>94</w:t>
            </w:r>
          </w:p>
        </w:tc>
      </w:tr>
      <w:tr w:rsidR="00D60A5D" w:rsidRPr="001A7517" w14:paraId="650D5D98" w14:textId="77777777" w:rsidTr="00623210">
        <w:tc>
          <w:tcPr>
            <w:tcW w:w="1728" w:type="dxa"/>
          </w:tcPr>
          <w:p w14:paraId="08902CC9" w14:textId="77777777" w:rsidR="00D60A5D" w:rsidRPr="001A7517" w:rsidRDefault="00D60A5D" w:rsidP="00623210">
            <w:pPr>
              <w:suppressAutoHyphens/>
            </w:pPr>
            <w:r w:rsidRPr="001A7517">
              <w:t>2.8</w:t>
            </w:r>
          </w:p>
        </w:tc>
        <w:tc>
          <w:tcPr>
            <w:tcW w:w="864" w:type="dxa"/>
          </w:tcPr>
          <w:p w14:paraId="1E12D77D" w14:textId="77777777" w:rsidR="00D60A5D" w:rsidRPr="001A7517" w:rsidRDefault="00D60A5D" w:rsidP="00623210">
            <w:pPr>
              <w:suppressAutoHyphens/>
            </w:pPr>
            <w:r w:rsidRPr="001A7517">
              <w:t>31</w:t>
            </w:r>
          </w:p>
        </w:tc>
        <w:tc>
          <w:tcPr>
            <w:tcW w:w="864" w:type="dxa"/>
          </w:tcPr>
          <w:p w14:paraId="53E1A04A" w14:textId="77777777" w:rsidR="00D60A5D" w:rsidRPr="001A7517" w:rsidRDefault="00D60A5D" w:rsidP="00623210">
            <w:pPr>
              <w:suppressAutoHyphens/>
            </w:pPr>
            <w:r w:rsidRPr="001A7517">
              <w:t>37</w:t>
            </w:r>
          </w:p>
        </w:tc>
        <w:tc>
          <w:tcPr>
            <w:tcW w:w="864" w:type="dxa"/>
          </w:tcPr>
          <w:p w14:paraId="11CF1479" w14:textId="77777777" w:rsidR="00D60A5D" w:rsidRPr="001A7517" w:rsidRDefault="00D60A5D" w:rsidP="00623210">
            <w:pPr>
              <w:suppressAutoHyphens/>
            </w:pPr>
            <w:r w:rsidRPr="001A7517">
              <w:t>45</w:t>
            </w:r>
          </w:p>
        </w:tc>
        <w:tc>
          <w:tcPr>
            <w:tcW w:w="864" w:type="dxa"/>
          </w:tcPr>
          <w:p w14:paraId="50511469" w14:textId="77777777" w:rsidR="00D60A5D" w:rsidRPr="001A7517" w:rsidRDefault="00D60A5D" w:rsidP="00623210">
            <w:pPr>
              <w:suppressAutoHyphens/>
            </w:pPr>
            <w:r w:rsidRPr="001A7517">
              <w:t>54</w:t>
            </w:r>
          </w:p>
        </w:tc>
        <w:tc>
          <w:tcPr>
            <w:tcW w:w="864" w:type="dxa"/>
          </w:tcPr>
          <w:p w14:paraId="5188F1A9" w14:textId="77777777" w:rsidR="00D60A5D" w:rsidRPr="001A7517" w:rsidRDefault="00D60A5D" w:rsidP="00623210">
            <w:pPr>
              <w:suppressAutoHyphens/>
            </w:pPr>
            <w:r w:rsidRPr="001A7517">
              <w:t>66</w:t>
            </w:r>
          </w:p>
        </w:tc>
        <w:tc>
          <w:tcPr>
            <w:tcW w:w="864" w:type="dxa"/>
          </w:tcPr>
          <w:p w14:paraId="0DABC15B" w14:textId="77777777" w:rsidR="00D60A5D" w:rsidRPr="001A7517" w:rsidRDefault="00D60A5D" w:rsidP="00623210">
            <w:pPr>
              <w:suppressAutoHyphens/>
            </w:pPr>
            <w:r w:rsidRPr="001A7517">
              <w:t>80</w:t>
            </w:r>
          </w:p>
        </w:tc>
        <w:tc>
          <w:tcPr>
            <w:tcW w:w="864" w:type="dxa"/>
          </w:tcPr>
          <w:p w14:paraId="11257530" w14:textId="77777777" w:rsidR="00D60A5D" w:rsidRPr="001A7517" w:rsidRDefault="00D60A5D" w:rsidP="00623210">
            <w:pPr>
              <w:suppressAutoHyphens/>
            </w:pPr>
            <w:r w:rsidRPr="001A7517">
              <w:t>96</w:t>
            </w:r>
          </w:p>
        </w:tc>
      </w:tr>
      <w:tr w:rsidR="00D60A5D" w:rsidRPr="001A7517" w14:paraId="586F3F08" w14:textId="77777777" w:rsidTr="00623210">
        <w:tc>
          <w:tcPr>
            <w:tcW w:w="1728" w:type="dxa"/>
          </w:tcPr>
          <w:p w14:paraId="4CCC8209" w14:textId="77777777" w:rsidR="00D60A5D" w:rsidRPr="001A7517" w:rsidRDefault="00D60A5D" w:rsidP="00623210">
            <w:pPr>
              <w:suppressAutoHyphens/>
            </w:pPr>
            <w:r w:rsidRPr="001A7517">
              <w:t>3.0</w:t>
            </w:r>
          </w:p>
        </w:tc>
        <w:tc>
          <w:tcPr>
            <w:tcW w:w="864" w:type="dxa"/>
          </w:tcPr>
          <w:p w14:paraId="5CA569BC" w14:textId="77777777" w:rsidR="00D60A5D" w:rsidRPr="001A7517" w:rsidRDefault="00D60A5D" w:rsidP="00623210">
            <w:pPr>
              <w:suppressAutoHyphens/>
            </w:pPr>
            <w:r w:rsidRPr="001A7517">
              <w:t>32</w:t>
            </w:r>
          </w:p>
        </w:tc>
        <w:tc>
          <w:tcPr>
            <w:tcW w:w="864" w:type="dxa"/>
          </w:tcPr>
          <w:p w14:paraId="50D642AA" w14:textId="77777777" w:rsidR="00D60A5D" w:rsidRPr="001A7517" w:rsidRDefault="00D60A5D" w:rsidP="00623210">
            <w:pPr>
              <w:suppressAutoHyphens/>
            </w:pPr>
            <w:r w:rsidRPr="001A7517">
              <w:t>38</w:t>
            </w:r>
          </w:p>
        </w:tc>
        <w:tc>
          <w:tcPr>
            <w:tcW w:w="864" w:type="dxa"/>
          </w:tcPr>
          <w:p w14:paraId="46C846C7" w14:textId="77777777" w:rsidR="00D60A5D" w:rsidRPr="001A7517" w:rsidRDefault="00D60A5D" w:rsidP="00623210">
            <w:pPr>
              <w:suppressAutoHyphens/>
            </w:pPr>
            <w:r w:rsidRPr="001A7517">
              <w:t>46</w:t>
            </w:r>
          </w:p>
        </w:tc>
        <w:tc>
          <w:tcPr>
            <w:tcW w:w="864" w:type="dxa"/>
          </w:tcPr>
          <w:p w14:paraId="0C502407" w14:textId="77777777" w:rsidR="00D60A5D" w:rsidRPr="001A7517" w:rsidRDefault="00D60A5D" w:rsidP="00623210">
            <w:pPr>
              <w:suppressAutoHyphens/>
            </w:pPr>
            <w:r w:rsidRPr="001A7517">
              <w:t>55</w:t>
            </w:r>
          </w:p>
        </w:tc>
        <w:tc>
          <w:tcPr>
            <w:tcW w:w="864" w:type="dxa"/>
          </w:tcPr>
          <w:p w14:paraId="7982CAF3" w14:textId="77777777" w:rsidR="00D60A5D" w:rsidRPr="001A7517" w:rsidRDefault="00D60A5D" w:rsidP="00623210">
            <w:pPr>
              <w:suppressAutoHyphens/>
            </w:pPr>
            <w:r w:rsidRPr="001A7517">
              <w:t>67</w:t>
            </w:r>
          </w:p>
        </w:tc>
        <w:tc>
          <w:tcPr>
            <w:tcW w:w="864" w:type="dxa"/>
          </w:tcPr>
          <w:p w14:paraId="29B0C523" w14:textId="77777777" w:rsidR="00D60A5D" w:rsidRPr="001A7517" w:rsidRDefault="00D60A5D" w:rsidP="00623210">
            <w:pPr>
              <w:suppressAutoHyphens/>
            </w:pPr>
            <w:r w:rsidRPr="001A7517">
              <w:t>81</w:t>
            </w:r>
          </w:p>
        </w:tc>
        <w:tc>
          <w:tcPr>
            <w:tcW w:w="864" w:type="dxa"/>
          </w:tcPr>
          <w:p w14:paraId="7D87A91A" w14:textId="77777777" w:rsidR="00D60A5D" w:rsidRPr="001A7517" w:rsidRDefault="00D60A5D" w:rsidP="00623210">
            <w:pPr>
              <w:suppressAutoHyphens/>
            </w:pPr>
            <w:r w:rsidRPr="001A7517">
              <w:t>97</w:t>
            </w:r>
          </w:p>
        </w:tc>
      </w:tr>
    </w:tbl>
    <w:p w14:paraId="3ED20806" w14:textId="77777777" w:rsidR="00D60A5D" w:rsidRPr="001A7517" w:rsidRDefault="00D60A5D" w:rsidP="00D60A5D">
      <w:pPr>
        <w:keepNext/>
        <w:keepLines/>
        <w:suppressAutoHyphens/>
        <w:spacing w:before="240"/>
        <w:ind w:left="720" w:right="720"/>
        <w:jc w:val="center"/>
      </w:pPr>
      <w:r w:rsidRPr="001A7517">
        <w:t>Table 2.1</w:t>
      </w:r>
    </w:p>
    <w:p w14:paraId="1A8A9A29" w14:textId="77777777" w:rsidR="00D60A5D" w:rsidRPr="001A7517" w:rsidRDefault="00D60A5D" w:rsidP="00D60A5D">
      <w:pPr>
        <w:keepNext/>
        <w:keepLines/>
        <w:suppressAutoHyphens/>
        <w:ind w:left="720" w:right="720"/>
        <w:jc w:val="center"/>
      </w:pPr>
      <w:r w:rsidRPr="001A7517">
        <w:t>CT-99.9 for 99.9 Percent Inactivation of Giardia Lamblia Cysts by Chlorine Dioxide and Ozone</w:t>
      </w:r>
    </w:p>
    <w:p w14:paraId="5248D16A" w14:textId="77777777" w:rsidR="00D60A5D" w:rsidRPr="001A7517" w:rsidRDefault="00D60A5D" w:rsidP="00D60A5D">
      <w:pPr>
        <w:suppressAutoHyphens/>
        <w:spacing w:before="240" w:after="240"/>
      </w:pPr>
      <w:r w:rsidRPr="001A7517">
        <w:t>These CT values achieve greater than a 99.99 percent inactivation of viruses.  CT values between the indicated pH values may be determined by linear interpolation.  If no interpolation is used, use the CT</w:t>
      </w:r>
      <w:r w:rsidRPr="001A7517">
        <w:rPr>
          <w:vertAlign w:val="subscript"/>
        </w:rPr>
        <w:t>99.9</w:t>
      </w:r>
      <w:r w:rsidRPr="001A7517">
        <w:t xml:space="preserve"> value at the lower temperature for determining CT</w:t>
      </w:r>
      <w:r w:rsidRPr="001A7517">
        <w:rPr>
          <w:vertAlign w:val="subscript"/>
        </w:rPr>
        <w:t>99.9</w:t>
      </w:r>
      <w:r w:rsidRPr="001A7517">
        <w:t xml:space="preserve"> values between indicated temperatures.</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2160"/>
        <w:gridCol w:w="1008"/>
        <w:gridCol w:w="1008"/>
        <w:gridCol w:w="1008"/>
        <w:gridCol w:w="1008"/>
        <w:gridCol w:w="1008"/>
        <w:gridCol w:w="1008"/>
      </w:tblGrid>
      <w:tr w:rsidR="00D60A5D" w:rsidRPr="001A7517" w14:paraId="66B5932A" w14:textId="77777777" w:rsidTr="00623210">
        <w:tc>
          <w:tcPr>
            <w:tcW w:w="2160" w:type="dxa"/>
          </w:tcPr>
          <w:p w14:paraId="4E96A407" w14:textId="77777777" w:rsidR="00D60A5D" w:rsidRPr="001A7517" w:rsidRDefault="00D60A5D" w:rsidP="00623210">
            <w:pPr>
              <w:keepNext/>
              <w:keepLines/>
              <w:suppressAutoHyphens/>
            </w:pPr>
          </w:p>
        </w:tc>
        <w:tc>
          <w:tcPr>
            <w:tcW w:w="1008" w:type="dxa"/>
          </w:tcPr>
          <w:p w14:paraId="041F7631" w14:textId="77777777" w:rsidR="00D60A5D" w:rsidRPr="001A7517" w:rsidRDefault="00D60A5D" w:rsidP="00623210">
            <w:pPr>
              <w:keepNext/>
              <w:keepLines/>
              <w:suppressAutoHyphens/>
              <w:jc w:val="right"/>
            </w:pPr>
            <w:r w:rsidRPr="001A7517">
              <w:t>≤1°C</w:t>
            </w:r>
          </w:p>
        </w:tc>
        <w:tc>
          <w:tcPr>
            <w:tcW w:w="1008" w:type="dxa"/>
          </w:tcPr>
          <w:p w14:paraId="4605DA84" w14:textId="77777777" w:rsidR="00D60A5D" w:rsidRPr="001A7517" w:rsidRDefault="00D60A5D" w:rsidP="00623210">
            <w:pPr>
              <w:keepNext/>
              <w:keepLines/>
              <w:suppressAutoHyphens/>
              <w:jc w:val="right"/>
            </w:pPr>
            <w:r w:rsidRPr="001A7517">
              <w:t>5°C</w:t>
            </w:r>
          </w:p>
        </w:tc>
        <w:tc>
          <w:tcPr>
            <w:tcW w:w="1008" w:type="dxa"/>
          </w:tcPr>
          <w:p w14:paraId="699CD3F1" w14:textId="77777777" w:rsidR="00D60A5D" w:rsidRPr="001A7517" w:rsidRDefault="00D60A5D" w:rsidP="00623210">
            <w:pPr>
              <w:keepNext/>
              <w:keepLines/>
              <w:suppressAutoHyphens/>
              <w:jc w:val="right"/>
            </w:pPr>
            <w:r w:rsidRPr="001A7517">
              <w:t>10°C</w:t>
            </w:r>
          </w:p>
        </w:tc>
        <w:tc>
          <w:tcPr>
            <w:tcW w:w="1008" w:type="dxa"/>
          </w:tcPr>
          <w:p w14:paraId="407BA429" w14:textId="77777777" w:rsidR="00D60A5D" w:rsidRPr="001A7517" w:rsidRDefault="00D60A5D" w:rsidP="00623210">
            <w:pPr>
              <w:keepNext/>
              <w:keepLines/>
              <w:suppressAutoHyphens/>
              <w:jc w:val="right"/>
            </w:pPr>
            <w:r w:rsidRPr="001A7517">
              <w:t>15°C</w:t>
            </w:r>
          </w:p>
        </w:tc>
        <w:tc>
          <w:tcPr>
            <w:tcW w:w="1008" w:type="dxa"/>
          </w:tcPr>
          <w:p w14:paraId="62558A0A" w14:textId="77777777" w:rsidR="00D60A5D" w:rsidRPr="001A7517" w:rsidRDefault="00D60A5D" w:rsidP="00623210">
            <w:pPr>
              <w:keepNext/>
              <w:keepLines/>
              <w:suppressAutoHyphens/>
              <w:jc w:val="right"/>
            </w:pPr>
            <w:r w:rsidRPr="001A7517">
              <w:t>20°C</w:t>
            </w:r>
          </w:p>
        </w:tc>
        <w:tc>
          <w:tcPr>
            <w:tcW w:w="1008" w:type="dxa"/>
          </w:tcPr>
          <w:p w14:paraId="069D96F9" w14:textId="77777777" w:rsidR="00D60A5D" w:rsidRPr="001A7517" w:rsidRDefault="00D60A5D" w:rsidP="00623210">
            <w:pPr>
              <w:keepNext/>
              <w:keepLines/>
              <w:suppressAutoHyphens/>
              <w:jc w:val="right"/>
            </w:pPr>
            <w:r w:rsidRPr="001A7517">
              <w:t>≥25°C</w:t>
            </w:r>
          </w:p>
        </w:tc>
      </w:tr>
      <w:tr w:rsidR="00D60A5D" w:rsidRPr="001A7517" w14:paraId="2C60993C" w14:textId="77777777" w:rsidTr="00623210">
        <w:tc>
          <w:tcPr>
            <w:tcW w:w="2160" w:type="dxa"/>
          </w:tcPr>
          <w:p w14:paraId="5EDBA1C0" w14:textId="77777777" w:rsidR="00D60A5D" w:rsidRPr="001A7517" w:rsidRDefault="00D60A5D" w:rsidP="00623210">
            <w:pPr>
              <w:suppressAutoHyphens/>
            </w:pPr>
            <w:r w:rsidRPr="001A7517">
              <w:t>Chlorine dioxide</w:t>
            </w:r>
          </w:p>
        </w:tc>
        <w:tc>
          <w:tcPr>
            <w:tcW w:w="1008" w:type="dxa"/>
          </w:tcPr>
          <w:p w14:paraId="2AD92761" w14:textId="77777777" w:rsidR="00D60A5D" w:rsidRPr="001A7517" w:rsidRDefault="00D60A5D" w:rsidP="00623210">
            <w:pPr>
              <w:suppressAutoHyphens/>
              <w:jc w:val="right"/>
            </w:pPr>
            <w:r w:rsidRPr="001A7517">
              <w:t>63</w:t>
            </w:r>
          </w:p>
        </w:tc>
        <w:tc>
          <w:tcPr>
            <w:tcW w:w="1008" w:type="dxa"/>
          </w:tcPr>
          <w:p w14:paraId="67C88BE7" w14:textId="77777777" w:rsidR="00D60A5D" w:rsidRPr="001A7517" w:rsidRDefault="00D60A5D" w:rsidP="00623210">
            <w:pPr>
              <w:suppressAutoHyphens/>
              <w:jc w:val="right"/>
            </w:pPr>
            <w:r w:rsidRPr="001A7517">
              <w:t>26</w:t>
            </w:r>
          </w:p>
        </w:tc>
        <w:tc>
          <w:tcPr>
            <w:tcW w:w="1008" w:type="dxa"/>
          </w:tcPr>
          <w:p w14:paraId="13AC0AB1" w14:textId="77777777" w:rsidR="00D60A5D" w:rsidRPr="001A7517" w:rsidRDefault="00D60A5D" w:rsidP="00623210">
            <w:pPr>
              <w:suppressAutoHyphens/>
              <w:jc w:val="right"/>
            </w:pPr>
            <w:r w:rsidRPr="001A7517">
              <w:t>23</w:t>
            </w:r>
          </w:p>
        </w:tc>
        <w:tc>
          <w:tcPr>
            <w:tcW w:w="1008" w:type="dxa"/>
          </w:tcPr>
          <w:p w14:paraId="4A22DFBF" w14:textId="77777777" w:rsidR="00D60A5D" w:rsidRPr="001A7517" w:rsidRDefault="00D60A5D" w:rsidP="00623210">
            <w:pPr>
              <w:suppressAutoHyphens/>
              <w:jc w:val="right"/>
            </w:pPr>
            <w:r w:rsidRPr="001A7517">
              <w:t>19</w:t>
            </w:r>
          </w:p>
        </w:tc>
        <w:tc>
          <w:tcPr>
            <w:tcW w:w="1008" w:type="dxa"/>
          </w:tcPr>
          <w:p w14:paraId="36EE8C1D" w14:textId="77777777" w:rsidR="00D60A5D" w:rsidRPr="001A7517" w:rsidRDefault="00D60A5D" w:rsidP="00623210">
            <w:pPr>
              <w:suppressAutoHyphens/>
              <w:jc w:val="right"/>
            </w:pPr>
            <w:r w:rsidRPr="001A7517">
              <w:t>15</w:t>
            </w:r>
          </w:p>
        </w:tc>
        <w:tc>
          <w:tcPr>
            <w:tcW w:w="1008" w:type="dxa"/>
          </w:tcPr>
          <w:p w14:paraId="7881F352" w14:textId="77777777" w:rsidR="00D60A5D" w:rsidRPr="001A7517" w:rsidRDefault="00D60A5D" w:rsidP="00623210">
            <w:pPr>
              <w:suppressAutoHyphens/>
              <w:jc w:val="right"/>
            </w:pPr>
            <w:r w:rsidRPr="001A7517">
              <w:t>11</w:t>
            </w:r>
          </w:p>
        </w:tc>
      </w:tr>
      <w:tr w:rsidR="00D60A5D" w:rsidRPr="001A7517" w14:paraId="46BEC255" w14:textId="77777777" w:rsidTr="00623210">
        <w:tc>
          <w:tcPr>
            <w:tcW w:w="2160" w:type="dxa"/>
          </w:tcPr>
          <w:p w14:paraId="10E363CC" w14:textId="77777777" w:rsidR="00D60A5D" w:rsidRPr="001A7517" w:rsidRDefault="00D60A5D" w:rsidP="00623210">
            <w:pPr>
              <w:suppressAutoHyphens/>
            </w:pPr>
            <w:r w:rsidRPr="001A7517">
              <w:lastRenderedPageBreak/>
              <w:t>Ozone</w:t>
            </w:r>
          </w:p>
        </w:tc>
        <w:tc>
          <w:tcPr>
            <w:tcW w:w="1008" w:type="dxa"/>
          </w:tcPr>
          <w:p w14:paraId="7E784A25" w14:textId="77777777" w:rsidR="00D60A5D" w:rsidRPr="001A7517" w:rsidRDefault="00D60A5D" w:rsidP="00623210">
            <w:pPr>
              <w:suppressAutoHyphens/>
              <w:jc w:val="right"/>
            </w:pPr>
            <w:r w:rsidRPr="001A7517">
              <w:t>2.9</w:t>
            </w:r>
          </w:p>
        </w:tc>
        <w:tc>
          <w:tcPr>
            <w:tcW w:w="1008" w:type="dxa"/>
          </w:tcPr>
          <w:p w14:paraId="67C160C1" w14:textId="77777777" w:rsidR="00D60A5D" w:rsidRPr="001A7517" w:rsidRDefault="00D60A5D" w:rsidP="00623210">
            <w:pPr>
              <w:suppressAutoHyphens/>
              <w:jc w:val="right"/>
            </w:pPr>
            <w:r w:rsidRPr="001A7517">
              <w:t>1.9</w:t>
            </w:r>
          </w:p>
        </w:tc>
        <w:tc>
          <w:tcPr>
            <w:tcW w:w="1008" w:type="dxa"/>
          </w:tcPr>
          <w:p w14:paraId="00A9BAF0" w14:textId="77777777" w:rsidR="00D60A5D" w:rsidRPr="001A7517" w:rsidRDefault="00D60A5D" w:rsidP="00623210">
            <w:pPr>
              <w:suppressAutoHyphens/>
              <w:jc w:val="right"/>
            </w:pPr>
            <w:r w:rsidRPr="001A7517">
              <w:t>1.4</w:t>
            </w:r>
          </w:p>
        </w:tc>
        <w:tc>
          <w:tcPr>
            <w:tcW w:w="1008" w:type="dxa"/>
          </w:tcPr>
          <w:p w14:paraId="0A752F1B" w14:textId="77777777" w:rsidR="00D60A5D" w:rsidRPr="001A7517" w:rsidRDefault="00D60A5D" w:rsidP="00623210">
            <w:pPr>
              <w:suppressAutoHyphens/>
              <w:jc w:val="right"/>
            </w:pPr>
            <w:r w:rsidRPr="001A7517">
              <w:t>0.95</w:t>
            </w:r>
          </w:p>
        </w:tc>
        <w:tc>
          <w:tcPr>
            <w:tcW w:w="1008" w:type="dxa"/>
          </w:tcPr>
          <w:p w14:paraId="4C9CCED7" w14:textId="77777777" w:rsidR="00D60A5D" w:rsidRPr="001A7517" w:rsidRDefault="00D60A5D" w:rsidP="00623210">
            <w:pPr>
              <w:suppressAutoHyphens/>
              <w:jc w:val="right"/>
            </w:pPr>
            <w:r w:rsidRPr="001A7517">
              <w:t>0.72</w:t>
            </w:r>
          </w:p>
        </w:tc>
        <w:tc>
          <w:tcPr>
            <w:tcW w:w="1008" w:type="dxa"/>
          </w:tcPr>
          <w:p w14:paraId="36B7DDA5" w14:textId="77777777" w:rsidR="00D60A5D" w:rsidRPr="001A7517" w:rsidRDefault="00D60A5D" w:rsidP="00623210">
            <w:pPr>
              <w:suppressAutoHyphens/>
              <w:jc w:val="right"/>
            </w:pPr>
            <w:r w:rsidRPr="001A7517">
              <w:t>0.48</w:t>
            </w:r>
          </w:p>
        </w:tc>
      </w:tr>
    </w:tbl>
    <w:p w14:paraId="1F3203FC" w14:textId="77777777" w:rsidR="00D60A5D" w:rsidRPr="001A7517" w:rsidRDefault="00D60A5D" w:rsidP="00D60A5D">
      <w:pPr>
        <w:keepNext/>
        <w:keepLines/>
        <w:suppressAutoHyphens/>
        <w:spacing w:before="240"/>
        <w:ind w:left="720" w:right="720"/>
        <w:jc w:val="center"/>
      </w:pPr>
      <w:r w:rsidRPr="001A7517">
        <w:t>Table 3.1</w:t>
      </w:r>
    </w:p>
    <w:p w14:paraId="5CCF8A80" w14:textId="77777777" w:rsidR="00D60A5D" w:rsidRPr="001A7517" w:rsidRDefault="00D60A5D" w:rsidP="00D60A5D">
      <w:pPr>
        <w:keepNext/>
        <w:keepLines/>
        <w:suppressAutoHyphens/>
        <w:ind w:left="720" w:right="720"/>
        <w:jc w:val="center"/>
      </w:pPr>
      <w:r w:rsidRPr="001A7517">
        <w:t>CT-99.9 for 99.9 Percent Inactivation of Giardia Lamblia Cysts by Chloramines</w:t>
      </w:r>
    </w:p>
    <w:p w14:paraId="210133EF" w14:textId="77777777" w:rsidR="00D60A5D" w:rsidRPr="001A7517" w:rsidRDefault="00D60A5D" w:rsidP="00D60A5D">
      <w:pPr>
        <w:suppressAutoHyphens/>
        <w:spacing w:before="240" w:after="240"/>
      </w:pPr>
      <w:r w:rsidRPr="001A7517">
        <w:t>These values are for pH values of 6 to 9.  These CT values may be assumed to achieve greater than a 99.99 percent inactivation of viruses only if chlorine is added and mixed in the water prior to the addition of ammonia.  If this condition is not met, the system must demonstrate, based on on-site studies or other information, as approved by the Agency, that the system is achieving at least a 99.99 percent inactivation of viruses.  CT values between the indicated temperatures may be determined by linear interpolation.  If no interpolation is used, use the CT</w:t>
      </w:r>
      <w:r w:rsidRPr="001A7517">
        <w:rPr>
          <w:vertAlign w:val="subscript"/>
        </w:rPr>
        <w:t>99.9</w:t>
      </w:r>
      <w:r w:rsidRPr="001A7517">
        <w:t xml:space="preserve"> value at the lower temperature for determining CT</w:t>
      </w:r>
      <w:r w:rsidRPr="001A7517">
        <w:rPr>
          <w:vertAlign w:val="subscript"/>
        </w:rPr>
        <w:t>99.9</w:t>
      </w:r>
      <w:r w:rsidRPr="001A7517">
        <w:t xml:space="preserve"> values between indicated temperatures.</w:t>
      </w:r>
    </w:p>
    <w:p w14:paraId="46320CB9" w14:textId="77777777" w:rsidR="00D60A5D" w:rsidRPr="001A7517" w:rsidRDefault="00D60A5D" w:rsidP="00D60A5D">
      <w:pPr>
        <w:suppressAutoHyphens/>
      </w:pP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2160"/>
        <w:gridCol w:w="1008"/>
        <w:gridCol w:w="1008"/>
        <w:gridCol w:w="1008"/>
        <w:gridCol w:w="1008"/>
        <w:gridCol w:w="1008"/>
        <w:gridCol w:w="1008"/>
      </w:tblGrid>
      <w:tr w:rsidR="00D60A5D" w:rsidRPr="001A7517" w14:paraId="634F866A" w14:textId="77777777" w:rsidTr="00623210">
        <w:tc>
          <w:tcPr>
            <w:tcW w:w="2160" w:type="dxa"/>
          </w:tcPr>
          <w:p w14:paraId="091EF831" w14:textId="77777777" w:rsidR="00D60A5D" w:rsidRPr="001A7517" w:rsidRDefault="00D60A5D" w:rsidP="00623210">
            <w:pPr>
              <w:keepNext/>
              <w:keepLines/>
              <w:suppressAutoHyphens/>
            </w:pPr>
          </w:p>
        </w:tc>
        <w:tc>
          <w:tcPr>
            <w:tcW w:w="1008" w:type="dxa"/>
          </w:tcPr>
          <w:p w14:paraId="04242142" w14:textId="77777777" w:rsidR="00D60A5D" w:rsidRPr="001A7517" w:rsidRDefault="00D60A5D" w:rsidP="00623210">
            <w:pPr>
              <w:keepNext/>
              <w:keepLines/>
              <w:suppressAutoHyphens/>
              <w:jc w:val="right"/>
            </w:pPr>
            <w:r w:rsidRPr="001A7517">
              <w:t>≤1°C</w:t>
            </w:r>
          </w:p>
        </w:tc>
        <w:tc>
          <w:tcPr>
            <w:tcW w:w="1008" w:type="dxa"/>
          </w:tcPr>
          <w:p w14:paraId="791C8FF4" w14:textId="77777777" w:rsidR="00D60A5D" w:rsidRPr="001A7517" w:rsidRDefault="00D60A5D" w:rsidP="00623210">
            <w:pPr>
              <w:keepNext/>
              <w:keepLines/>
              <w:suppressAutoHyphens/>
              <w:jc w:val="right"/>
            </w:pPr>
            <w:r w:rsidRPr="001A7517">
              <w:t>5°C</w:t>
            </w:r>
          </w:p>
        </w:tc>
        <w:tc>
          <w:tcPr>
            <w:tcW w:w="1008" w:type="dxa"/>
          </w:tcPr>
          <w:p w14:paraId="57CB7F92" w14:textId="77777777" w:rsidR="00D60A5D" w:rsidRPr="001A7517" w:rsidRDefault="00D60A5D" w:rsidP="00623210">
            <w:pPr>
              <w:keepNext/>
              <w:keepLines/>
              <w:suppressAutoHyphens/>
              <w:jc w:val="right"/>
            </w:pPr>
            <w:r w:rsidRPr="001A7517">
              <w:t>10°C</w:t>
            </w:r>
          </w:p>
        </w:tc>
        <w:tc>
          <w:tcPr>
            <w:tcW w:w="1008" w:type="dxa"/>
          </w:tcPr>
          <w:p w14:paraId="34E9EEAA" w14:textId="77777777" w:rsidR="00D60A5D" w:rsidRPr="001A7517" w:rsidRDefault="00D60A5D" w:rsidP="00623210">
            <w:pPr>
              <w:keepNext/>
              <w:keepLines/>
              <w:suppressAutoHyphens/>
              <w:jc w:val="right"/>
            </w:pPr>
            <w:r w:rsidRPr="001A7517">
              <w:t>15°C</w:t>
            </w:r>
          </w:p>
        </w:tc>
        <w:tc>
          <w:tcPr>
            <w:tcW w:w="1008" w:type="dxa"/>
          </w:tcPr>
          <w:p w14:paraId="0D75B572" w14:textId="77777777" w:rsidR="00D60A5D" w:rsidRPr="001A7517" w:rsidRDefault="00D60A5D" w:rsidP="00623210">
            <w:pPr>
              <w:keepNext/>
              <w:keepLines/>
              <w:suppressAutoHyphens/>
              <w:jc w:val="right"/>
            </w:pPr>
            <w:r w:rsidRPr="001A7517">
              <w:t>20°C</w:t>
            </w:r>
          </w:p>
        </w:tc>
        <w:tc>
          <w:tcPr>
            <w:tcW w:w="1008" w:type="dxa"/>
          </w:tcPr>
          <w:p w14:paraId="77BE870A" w14:textId="77777777" w:rsidR="00D60A5D" w:rsidRPr="001A7517" w:rsidRDefault="00D60A5D" w:rsidP="00623210">
            <w:pPr>
              <w:keepNext/>
              <w:keepLines/>
              <w:suppressAutoHyphens/>
              <w:jc w:val="right"/>
            </w:pPr>
            <w:r w:rsidRPr="001A7517">
              <w:t>≥25°C</w:t>
            </w:r>
          </w:p>
        </w:tc>
      </w:tr>
      <w:tr w:rsidR="00D60A5D" w:rsidRPr="001A7517" w14:paraId="21FF34C1" w14:textId="77777777" w:rsidTr="00623210">
        <w:tc>
          <w:tcPr>
            <w:tcW w:w="2160" w:type="dxa"/>
          </w:tcPr>
          <w:p w14:paraId="7CE46D0A" w14:textId="77777777" w:rsidR="00D60A5D" w:rsidRPr="001A7517" w:rsidRDefault="00D60A5D" w:rsidP="00623210">
            <w:pPr>
              <w:suppressAutoHyphens/>
            </w:pPr>
            <w:r w:rsidRPr="001A7517">
              <w:t>Chloramines</w:t>
            </w:r>
          </w:p>
        </w:tc>
        <w:tc>
          <w:tcPr>
            <w:tcW w:w="1008" w:type="dxa"/>
          </w:tcPr>
          <w:p w14:paraId="62382559" w14:textId="77777777" w:rsidR="00D60A5D" w:rsidRPr="001A7517" w:rsidRDefault="00D60A5D" w:rsidP="00623210">
            <w:pPr>
              <w:suppressAutoHyphens/>
              <w:jc w:val="right"/>
            </w:pPr>
            <w:r w:rsidRPr="001A7517">
              <w:t>3800</w:t>
            </w:r>
          </w:p>
        </w:tc>
        <w:tc>
          <w:tcPr>
            <w:tcW w:w="1008" w:type="dxa"/>
          </w:tcPr>
          <w:p w14:paraId="1EFDA5F8" w14:textId="77777777" w:rsidR="00D60A5D" w:rsidRPr="001A7517" w:rsidRDefault="00D60A5D" w:rsidP="00623210">
            <w:pPr>
              <w:suppressAutoHyphens/>
              <w:jc w:val="right"/>
            </w:pPr>
            <w:r w:rsidRPr="001A7517">
              <w:t>2200</w:t>
            </w:r>
          </w:p>
        </w:tc>
        <w:tc>
          <w:tcPr>
            <w:tcW w:w="1008" w:type="dxa"/>
          </w:tcPr>
          <w:p w14:paraId="03D4DE62" w14:textId="77777777" w:rsidR="00D60A5D" w:rsidRPr="001A7517" w:rsidRDefault="00D60A5D" w:rsidP="00623210">
            <w:pPr>
              <w:suppressAutoHyphens/>
              <w:jc w:val="right"/>
            </w:pPr>
            <w:r w:rsidRPr="001A7517">
              <w:t>1850</w:t>
            </w:r>
          </w:p>
        </w:tc>
        <w:tc>
          <w:tcPr>
            <w:tcW w:w="1008" w:type="dxa"/>
          </w:tcPr>
          <w:p w14:paraId="18640D6D" w14:textId="77777777" w:rsidR="00D60A5D" w:rsidRPr="001A7517" w:rsidRDefault="00D60A5D" w:rsidP="00623210">
            <w:pPr>
              <w:suppressAutoHyphens/>
              <w:jc w:val="right"/>
            </w:pPr>
            <w:r w:rsidRPr="001A7517">
              <w:t>1500</w:t>
            </w:r>
          </w:p>
        </w:tc>
        <w:tc>
          <w:tcPr>
            <w:tcW w:w="1008" w:type="dxa"/>
          </w:tcPr>
          <w:p w14:paraId="5163CE70" w14:textId="77777777" w:rsidR="00D60A5D" w:rsidRPr="001A7517" w:rsidRDefault="00D60A5D" w:rsidP="00623210">
            <w:pPr>
              <w:suppressAutoHyphens/>
              <w:jc w:val="right"/>
            </w:pPr>
            <w:r w:rsidRPr="001A7517">
              <w:t>1100</w:t>
            </w:r>
          </w:p>
        </w:tc>
        <w:tc>
          <w:tcPr>
            <w:tcW w:w="1008" w:type="dxa"/>
          </w:tcPr>
          <w:p w14:paraId="7CF36F3B" w14:textId="77777777" w:rsidR="00D60A5D" w:rsidRPr="001A7517" w:rsidRDefault="00D60A5D" w:rsidP="00623210">
            <w:pPr>
              <w:suppressAutoHyphens/>
              <w:jc w:val="right"/>
            </w:pPr>
            <w:r w:rsidRPr="001A7517">
              <w:t>750</w:t>
            </w:r>
          </w:p>
        </w:tc>
      </w:tr>
    </w:tbl>
    <w:p w14:paraId="56978F94" w14:textId="77777777" w:rsidR="00D60A5D" w:rsidRPr="001A7517" w:rsidRDefault="00D60A5D" w:rsidP="00D60A5D">
      <w:pPr>
        <w:suppressAutoHyphens/>
        <w:spacing w:before="240"/>
      </w:pPr>
      <w:r w:rsidRPr="001A7517">
        <w:t>BOARD NOTE:  Derived from 40 CFR 141.74(b) Tables 1.1 through 3.1.</w:t>
      </w:r>
    </w:p>
    <w:p w14:paraId="0F6BF4D7" w14:textId="77777777" w:rsidR="00D60A5D" w:rsidRPr="001A7517" w:rsidRDefault="00D60A5D" w:rsidP="00D60A5D">
      <w:pPr>
        <w:suppressAutoHyphens/>
        <w:spacing w:before="240"/>
        <w:ind w:left="720"/>
      </w:pPr>
      <w:r w:rsidRPr="001A7517">
        <w:t>(Source:  Amended at 37 Ill. Reg. 1978, effective February 4, 2013)</w:t>
      </w:r>
    </w:p>
    <w:p w14:paraId="3B9C87F0" w14:textId="77777777" w:rsidR="00D60A5D" w:rsidRPr="001A7517" w:rsidRDefault="00D60A5D" w:rsidP="00D60A5D">
      <w:pPr>
        <w:keepNext/>
        <w:keepLines/>
        <w:suppressAutoHyphens/>
        <w:spacing w:before="240"/>
        <w:rPr>
          <w:b/>
        </w:rPr>
      </w:pPr>
      <w:r w:rsidRPr="001A7517">
        <w:rPr>
          <w:b/>
        </w:rPr>
        <w:t>Section 611.APPENDIX C  Common Names of Organic Chemicals</w:t>
      </w:r>
    </w:p>
    <w:p w14:paraId="7F17E5FD" w14:textId="77777777" w:rsidR="00D60A5D" w:rsidRPr="001A7517" w:rsidRDefault="00D60A5D" w:rsidP="00D60A5D">
      <w:pPr>
        <w:keepNext/>
        <w:keepLines/>
        <w:suppressAutoHyphens/>
        <w:spacing w:before="240" w:after="240"/>
      </w:pPr>
      <w:r w:rsidRPr="001A7517">
        <w:t>The following common names are used for certain organic chemicals:</w:t>
      </w:r>
    </w:p>
    <w:tbl>
      <w:tblPr>
        <w:tblW w:w="0" w:type="auto"/>
        <w:tblLayout w:type="fixed"/>
        <w:tblCellMar>
          <w:top w:w="115" w:type="dxa"/>
          <w:left w:w="115" w:type="dxa"/>
          <w:bottom w:w="115" w:type="dxa"/>
          <w:right w:w="115" w:type="dxa"/>
        </w:tblCellMar>
        <w:tblLook w:val="0000" w:firstRow="0" w:lastRow="0" w:firstColumn="0" w:lastColumn="0" w:noHBand="0" w:noVBand="0"/>
      </w:tblPr>
      <w:tblGrid>
        <w:gridCol w:w="2216"/>
        <w:gridCol w:w="3680"/>
        <w:gridCol w:w="3680"/>
      </w:tblGrid>
      <w:tr w:rsidR="00D60A5D" w:rsidRPr="001A7517" w14:paraId="088C0F62" w14:textId="77777777" w:rsidTr="00623210">
        <w:tc>
          <w:tcPr>
            <w:tcW w:w="2216" w:type="dxa"/>
          </w:tcPr>
          <w:p w14:paraId="52DF1903" w14:textId="77777777" w:rsidR="00D60A5D" w:rsidRPr="001A7517" w:rsidRDefault="00D60A5D" w:rsidP="00623210">
            <w:pPr>
              <w:keepNext/>
              <w:keepLines/>
              <w:suppressAutoHyphens/>
            </w:pPr>
            <w:r w:rsidRPr="001A7517">
              <w:t>Common Name</w:t>
            </w:r>
          </w:p>
        </w:tc>
        <w:tc>
          <w:tcPr>
            <w:tcW w:w="3680" w:type="dxa"/>
          </w:tcPr>
          <w:p w14:paraId="53CF7CE7" w14:textId="77777777" w:rsidR="00D60A5D" w:rsidRPr="001A7517" w:rsidRDefault="00D60A5D" w:rsidP="00623210">
            <w:pPr>
              <w:keepNext/>
              <w:keepLines/>
              <w:suppressAutoHyphens/>
            </w:pPr>
            <w:r w:rsidRPr="001A7517">
              <w:t>CAS No.</w:t>
            </w:r>
          </w:p>
        </w:tc>
        <w:tc>
          <w:tcPr>
            <w:tcW w:w="3680" w:type="dxa"/>
          </w:tcPr>
          <w:p w14:paraId="59F78A93" w14:textId="77777777" w:rsidR="00D60A5D" w:rsidRPr="001A7517" w:rsidRDefault="00D60A5D" w:rsidP="00623210">
            <w:pPr>
              <w:keepNext/>
              <w:keepLines/>
              <w:suppressAutoHyphens/>
            </w:pPr>
            <w:r w:rsidRPr="001A7517">
              <w:t>CAS Name</w:t>
            </w:r>
          </w:p>
        </w:tc>
      </w:tr>
      <w:tr w:rsidR="00D60A5D" w:rsidRPr="001A7517" w14:paraId="78793E7A" w14:textId="77777777" w:rsidTr="00623210">
        <w:tc>
          <w:tcPr>
            <w:tcW w:w="2216" w:type="dxa"/>
          </w:tcPr>
          <w:p w14:paraId="0036DE40" w14:textId="77777777" w:rsidR="00D60A5D" w:rsidRPr="001A7517" w:rsidRDefault="00D60A5D" w:rsidP="00623210">
            <w:pPr>
              <w:suppressAutoHyphens/>
            </w:pPr>
            <w:r w:rsidRPr="001A7517">
              <w:t>Aldrin</w:t>
            </w:r>
          </w:p>
        </w:tc>
        <w:tc>
          <w:tcPr>
            <w:tcW w:w="3680" w:type="dxa"/>
          </w:tcPr>
          <w:p w14:paraId="53F8E0D7" w14:textId="77777777" w:rsidR="00D60A5D" w:rsidRPr="001A7517" w:rsidRDefault="00D60A5D" w:rsidP="00623210">
            <w:pPr>
              <w:suppressAutoHyphens/>
            </w:pPr>
            <w:r w:rsidRPr="001A7517">
              <w:t>309-00-2</w:t>
            </w:r>
          </w:p>
        </w:tc>
        <w:tc>
          <w:tcPr>
            <w:tcW w:w="3680" w:type="dxa"/>
          </w:tcPr>
          <w:p w14:paraId="0DD67CAA" w14:textId="77777777" w:rsidR="00D60A5D" w:rsidRPr="001A7517" w:rsidRDefault="00D60A5D" w:rsidP="00623210">
            <w:pPr>
              <w:suppressAutoHyphens/>
            </w:pPr>
            <w:r w:rsidRPr="001A7517">
              <w:t>1,4,5,8-Dimethanonaphthalene, 1,2,3,4,10,10-hexachloro-1,4,4a,5,8,8a-hexahydro-, (1alpha, 4alpha, 4abeta, 5alpha, 8alpha, 8abeta)-</w:t>
            </w:r>
          </w:p>
        </w:tc>
      </w:tr>
      <w:tr w:rsidR="00D60A5D" w:rsidRPr="001A7517" w14:paraId="76CE10A9" w14:textId="77777777" w:rsidTr="00623210">
        <w:tc>
          <w:tcPr>
            <w:tcW w:w="2216" w:type="dxa"/>
          </w:tcPr>
          <w:p w14:paraId="5E5EBB6A" w14:textId="77777777" w:rsidR="00D60A5D" w:rsidRPr="001A7517" w:rsidRDefault="00D60A5D" w:rsidP="00623210">
            <w:pPr>
              <w:suppressAutoHyphens/>
            </w:pPr>
            <w:r w:rsidRPr="001A7517">
              <w:t>Bromoform</w:t>
            </w:r>
          </w:p>
        </w:tc>
        <w:tc>
          <w:tcPr>
            <w:tcW w:w="3680" w:type="dxa"/>
          </w:tcPr>
          <w:p w14:paraId="7348BD54" w14:textId="77777777" w:rsidR="00D60A5D" w:rsidRPr="001A7517" w:rsidRDefault="00D60A5D" w:rsidP="00623210">
            <w:pPr>
              <w:suppressAutoHyphens/>
            </w:pPr>
            <w:r w:rsidRPr="001A7517">
              <w:t>75-25-2</w:t>
            </w:r>
          </w:p>
        </w:tc>
        <w:tc>
          <w:tcPr>
            <w:tcW w:w="3680" w:type="dxa"/>
          </w:tcPr>
          <w:p w14:paraId="489427F7" w14:textId="77777777" w:rsidR="00D60A5D" w:rsidRPr="001A7517" w:rsidRDefault="00D60A5D" w:rsidP="00623210">
            <w:pPr>
              <w:suppressAutoHyphens/>
            </w:pPr>
            <w:r w:rsidRPr="001A7517">
              <w:t>Methane, tribromo-</w:t>
            </w:r>
          </w:p>
        </w:tc>
      </w:tr>
      <w:tr w:rsidR="00D60A5D" w:rsidRPr="001A7517" w14:paraId="37A3BBAD" w14:textId="77777777" w:rsidTr="00623210">
        <w:tc>
          <w:tcPr>
            <w:tcW w:w="2216" w:type="dxa"/>
          </w:tcPr>
          <w:p w14:paraId="5A620CBE" w14:textId="77777777" w:rsidR="00D60A5D" w:rsidRPr="001A7517" w:rsidRDefault="00D60A5D" w:rsidP="00623210">
            <w:pPr>
              <w:suppressAutoHyphens/>
            </w:pPr>
            <w:r w:rsidRPr="001A7517">
              <w:t>Chlordane</w:t>
            </w:r>
          </w:p>
        </w:tc>
        <w:tc>
          <w:tcPr>
            <w:tcW w:w="3680" w:type="dxa"/>
          </w:tcPr>
          <w:p w14:paraId="7E8FBDD8" w14:textId="77777777" w:rsidR="00D60A5D" w:rsidRPr="001A7517" w:rsidRDefault="00D60A5D" w:rsidP="00623210">
            <w:pPr>
              <w:suppressAutoHyphens/>
            </w:pPr>
            <w:r w:rsidRPr="001A7517">
              <w:t>57-74-9</w:t>
            </w:r>
          </w:p>
        </w:tc>
        <w:tc>
          <w:tcPr>
            <w:tcW w:w="3680" w:type="dxa"/>
          </w:tcPr>
          <w:p w14:paraId="6B730C17" w14:textId="77777777" w:rsidR="00D60A5D" w:rsidRPr="001A7517" w:rsidRDefault="00D60A5D" w:rsidP="00623210">
            <w:pPr>
              <w:suppressAutoHyphens/>
            </w:pPr>
            <w:r w:rsidRPr="001A7517">
              <w:t>4,7-Methano-1H-indene, 1,2,4,5,6,7,8,8-octachloro-2,3,3a,4,7,7a-hexahydro-</w:t>
            </w:r>
          </w:p>
        </w:tc>
      </w:tr>
      <w:tr w:rsidR="00D60A5D" w:rsidRPr="001A7517" w14:paraId="7383C9A8" w14:textId="77777777" w:rsidTr="00623210">
        <w:tc>
          <w:tcPr>
            <w:tcW w:w="2216" w:type="dxa"/>
          </w:tcPr>
          <w:p w14:paraId="1F63B64A" w14:textId="77777777" w:rsidR="00D60A5D" w:rsidRPr="001A7517" w:rsidRDefault="00D60A5D" w:rsidP="00623210">
            <w:pPr>
              <w:suppressAutoHyphens/>
            </w:pPr>
            <w:r w:rsidRPr="001A7517">
              <w:t>Chloroform</w:t>
            </w:r>
          </w:p>
        </w:tc>
        <w:tc>
          <w:tcPr>
            <w:tcW w:w="3680" w:type="dxa"/>
          </w:tcPr>
          <w:p w14:paraId="4F54F193" w14:textId="77777777" w:rsidR="00D60A5D" w:rsidRPr="001A7517" w:rsidRDefault="00D60A5D" w:rsidP="00623210">
            <w:pPr>
              <w:suppressAutoHyphens/>
            </w:pPr>
            <w:r w:rsidRPr="001A7517">
              <w:t>67-66-3</w:t>
            </w:r>
          </w:p>
        </w:tc>
        <w:tc>
          <w:tcPr>
            <w:tcW w:w="3680" w:type="dxa"/>
          </w:tcPr>
          <w:p w14:paraId="08C47331" w14:textId="77777777" w:rsidR="00D60A5D" w:rsidRPr="001A7517" w:rsidRDefault="00D60A5D" w:rsidP="00623210">
            <w:pPr>
              <w:suppressAutoHyphens/>
            </w:pPr>
            <w:r w:rsidRPr="001A7517">
              <w:t>Methane, trichloro-</w:t>
            </w:r>
          </w:p>
        </w:tc>
      </w:tr>
      <w:tr w:rsidR="00D60A5D" w:rsidRPr="001A7517" w14:paraId="00F3361F" w14:textId="77777777" w:rsidTr="00623210">
        <w:tc>
          <w:tcPr>
            <w:tcW w:w="2216" w:type="dxa"/>
          </w:tcPr>
          <w:p w14:paraId="21DC2E57" w14:textId="77777777" w:rsidR="00D60A5D" w:rsidRPr="001A7517" w:rsidRDefault="00D60A5D" w:rsidP="00623210">
            <w:pPr>
              <w:suppressAutoHyphens/>
            </w:pPr>
            <w:r w:rsidRPr="001A7517">
              <w:t>2,4-D</w:t>
            </w:r>
          </w:p>
        </w:tc>
        <w:tc>
          <w:tcPr>
            <w:tcW w:w="3680" w:type="dxa"/>
          </w:tcPr>
          <w:p w14:paraId="16EA8045" w14:textId="77777777" w:rsidR="00D60A5D" w:rsidRPr="001A7517" w:rsidRDefault="00D60A5D" w:rsidP="00623210">
            <w:pPr>
              <w:suppressAutoHyphens/>
            </w:pPr>
            <w:r w:rsidRPr="001A7517">
              <w:t>94-75-7</w:t>
            </w:r>
          </w:p>
        </w:tc>
        <w:tc>
          <w:tcPr>
            <w:tcW w:w="3680" w:type="dxa"/>
          </w:tcPr>
          <w:p w14:paraId="3D47A78A" w14:textId="77777777" w:rsidR="00D60A5D" w:rsidRPr="001A7517" w:rsidRDefault="00D60A5D" w:rsidP="00623210">
            <w:pPr>
              <w:suppressAutoHyphens/>
            </w:pPr>
            <w:r w:rsidRPr="001A7517">
              <w:t>Acetic acid, 2,4-dichlorophenoxy-</w:t>
            </w:r>
          </w:p>
        </w:tc>
      </w:tr>
      <w:tr w:rsidR="00D60A5D" w:rsidRPr="001A7517" w14:paraId="0C1FACA2" w14:textId="77777777" w:rsidTr="00623210">
        <w:tc>
          <w:tcPr>
            <w:tcW w:w="2216" w:type="dxa"/>
          </w:tcPr>
          <w:p w14:paraId="0D7006B3" w14:textId="77777777" w:rsidR="00D60A5D" w:rsidRPr="001A7517" w:rsidRDefault="00D60A5D" w:rsidP="00623210">
            <w:pPr>
              <w:suppressAutoHyphens/>
            </w:pPr>
            <w:r w:rsidRPr="001A7517">
              <w:lastRenderedPageBreak/>
              <w:t>DDT</w:t>
            </w:r>
          </w:p>
        </w:tc>
        <w:tc>
          <w:tcPr>
            <w:tcW w:w="3680" w:type="dxa"/>
          </w:tcPr>
          <w:p w14:paraId="1DBDC6CA" w14:textId="77777777" w:rsidR="00D60A5D" w:rsidRPr="001A7517" w:rsidRDefault="00D60A5D" w:rsidP="00623210">
            <w:pPr>
              <w:suppressAutoHyphens/>
            </w:pPr>
            <w:r w:rsidRPr="001A7517">
              <w:t>50-29-3</w:t>
            </w:r>
          </w:p>
        </w:tc>
        <w:tc>
          <w:tcPr>
            <w:tcW w:w="3680" w:type="dxa"/>
          </w:tcPr>
          <w:p w14:paraId="147FF67C" w14:textId="77777777" w:rsidR="00D60A5D" w:rsidRPr="001A7517" w:rsidRDefault="00D60A5D" w:rsidP="00623210">
            <w:pPr>
              <w:suppressAutoHyphens/>
            </w:pPr>
            <w:r w:rsidRPr="001A7517">
              <w:t>Benzene, 1,1’-(2, 2, 2-trichloroethylidene) bis(4-chloro-</w:t>
            </w:r>
          </w:p>
        </w:tc>
      </w:tr>
      <w:tr w:rsidR="00D60A5D" w:rsidRPr="001A7517" w14:paraId="02212C9C" w14:textId="77777777" w:rsidTr="00623210">
        <w:tc>
          <w:tcPr>
            <w:tcW w:w="2216" w:type="dxa"/>
          </w:tcPr>
          <w:p w14:paraId="362E79D0" w14:textId="77777777" w:rsidR="00D60A5D" w:rsidRPr="001A7517" w:rsidRDefault="00D60A5D" w:rsidP="00623210">
            <w:pPr>
              <w:suppressAutoHyphens/>
            </w:pPr>
            <w:r w:rsidRPr="001A7517">
              <w:t>Dieldrin</w:t>
            </w:r>
          </w:p>
        </w:tc>
        <w:tc>
          <w:tcPr>
            <w:tcW w:w="3680" w:type="dxa"/>
          </w:tcPr>
          <w:p w14:paraId="3003F02D" w14:textId="77777777" w:rsidR="00D60A5D" w:rsidRPr="001A7517" w:rsidRDefault="00D60A5D" w:rsidP="00623210">
            <w:pPr>
              <w:suppressAutoHyphens/>
            </w:pPr>
            <w:r w:rsidRPr="001A7517">
              <w:t>60-57-1</w:t>
            </w:r>
          </w:p>
        </w:tc>
        <w:tc>
          <w:tcPr>
            <w:tcW w:w="3680" w:type="dxa"/>
          </w:tcPr>
          <w:p w14:paraId="2221B4C8" w14:textId="77777777" w:rsidR="00D60A5D" w:rsidRPr="001A7517" w:rsidRDefault="00D60A5D" w:rsidP="00623210">
            <w:pPr>
              <w:suppressAutoHyphens/>
            </w:pPr>
            <w:r w:rsidRPr="001A7517">
              <w:t>2,7:3,6-Dimethanonaphth(2,3-b)oxirene, 3,4,5,6,9,9-hexachloro-1a,2,2a,3,6,6a,7,7a-octahydro-, (1aalpha, 2beta, 2aalpha, 3beta, 6beta, 6aalpha, 7beta, 7aalpha)-</w:t>
            </w:r>
          </w:p>
        </w:tc>
      </w:tr>
      <w:tr w:rsidR="00D60A5D" w:rsidRPr="001A7517" w14:paraId="4A4250F8" w14:textId="77777777" w:rsidTr="00623210">
        <w:tc>
          <w:tcPr>
            <w:tcW w:w="2216" w:type="dxa"/>
          </w:tcPr>
          <w:p w14:paraId="4DB908E1" w14:textId="77777777" w:rsidR="00D60A5D" w:rsidRPr="001A7517" w:rsidRDefault="00D60A5D" w:rsidP="00623210">
            <w:pPr>
              <w:suppressAutoHyphens/>
            </w:pPr>
            <w:r w:rsidRPr="001A7517">
              <w:t>Endrin</w:t>
            </w:r>
          </w:p>
        </w:tc>
        <w:tc>
          <w:tcPr>
            <w:tcW w:w="3680" w:type="dxa"/>
          </w:tcPr>
          <w:p w14:paraId="4E968006" w14:textId="77777777" w:rsidR="00D60A5D" w:rsidRPr="001A7517" w:rsidRDefault="00D60A5D" w:rsidP="00623210">
            <w:pPr>
              <w:suppressAutoHyphens/>
            </w:pPr>
            <w:r w:rsidRPr="001A7517">
              <w:t>72-20-8</w:t>
            </w:r>
          </w:p>
        </w:tc>
        <w:tc>
          <w:tcPr>
            <w:tcW w:w="3680" w:type="dxa"/>
          </w:tcPr>
          <w:p w14:paraId="7EBA4051" w14:textId="77777777" w:rsidR="00D60A5D" w:rsidRPr="001A7517" w:rsidRDefault="00D60A5D" w:rsidP="00623210">
            <w:pPr>
              <w:suppressAutoHyphens/>
            </w:pPr>
            <w:r w:rsidRPr="001A7517">
              <w:t xml:space="preserve">2,7:3,6-Dimethanonaphth(2,3-b)oxirene, 3,4,5,6,9,9-hexachloro-1a,2,2a,3,6,6a,7,7a-octahydro-, (1aalpha, 2beta, 2abeta, 3alpha, 6alpha, 6abeta, 7beta, 7aalpha)-, </w:t>
            </w:r>
          </w:p>
        </w:tc>
      </w:tr>
      <w:tr w:rsidR="00D60A5D" w:rsidRPr="001A7517" w14:paraId="676A5167" w14:textId="77777777" w:rsidTr="00623210">
        <w:tc>
          <w:tcPr>
            <w:tcW w:w="2216" w:type="dxa"/>
          </w:tcPr>
          <w:p w14:paraId="6D292982" w14:textId="77777777" w:rsidR="00D60A5D" w:rsidRPr="001A7517" w:rsidRDefault="00D60A5D" w:rsidP="00623210">
            <w:pPr>
              <w:suppressAutoHyphens/>
            </w:pPr>
            <w:r w:rsidRPr="001A7517">
              <w:t>Heptachlor</w:t>
            </w:r>
          </w:p>
        </w:tc>
        <w:tc>
          <w:tcPr>
            <w:tcW w:w="3680" w:type="dxa"/>
          </w:tcPr>
          <w:p w14:paraId="5F2A6440" w14:textId="77777777" w:rsidR="00D60A5D" w:rsidRPr="001A7517" w:rsidRDefault="00D60A5D" w:rsidP="00623210">
            <w:pPr>
              <w:suppressAutoHyphens/>
            </w:pPr>
            <w:r w:rsidRPr="001A7517">
              <w:t>76-44-8</w:t>
            </w:r>
          </w:p>
        </w:tc>
        <w:tc>
          <w:tcPr>
            <w:tcW w:w="3680" w:type="dxa"/>
          </w:tcPr>
          <w:p w14:paraId="7854C72F" w14:textId="77777777" w:rsidR="00D60A5D" w:rsidRPr="001A7517" w:rsidRDefault="00D60A5D" w:rsidP="00623210">
            <w:pPr>
              <w:suppressAutoHyphens/>
            </w:pPr>
            <w:r w:rsidRPr="001A7517">
              <w:t>4,7-Methano-1H-indene, 1,4,5,6,7,8,8-heptachloro-3a,4,7,7a-tetrahydro-</w:t>
            </w:r>
          </w:p>
        </w:tc>
      </w:tr>
      <w:tr w:rsidR="00D60A5D" w:rsidRPr="001A7517" w14:paraId="430300D3" w14:textId="77777777" w:rsidTr="00623210">
        <w:tc>
          <w:tcPr>
            <w:tcW w:w="2216" w:type="dxa"/>
          </w:tcPr>
          <w:p w14:paraId="74C1DC05" w14:textId="77777777" w:rsidR="00D60A5D" w:rsidRPr="001A7517" w:rsidRDefault="00D60A5D" w:rsidP="00623210">
            <w:pPr>
              <w:suppressAutoHyphens/>
            </w:pPr>
            <w:r w:rsidRPr="001A7517">
              <w:t>Heptachlor epoxide</w:t>
            </w:r>
          </w:p>
        </w:tc>
        <w:tc>
          <w:tcPr>
            <w:tcW w:w="3680" w:type="dxa"/>
          </w:tcPr>
          <w:p w14:paraId="4C229278" w14:textId="77777777" w:rsidR="00D60A5D" w:rsidRPr="001A7517" w:rsidRDefault="00D60A5D" w:rsidP="00623210">
            <w:pPr>
              <w:suppressAutoHyphens/>
            </w:pPr>
            <w:r w:rsidRPr="001A7517">
              <w:t>1024-57-3</w:t>
            </w:r>
          </w:p>
        </w:tc>
        <w:tc>
          <w:tcPr>
            <w:tcW w:w="3680" w:type="dxa"/>
          </w:tcPr>
          <w:p w14:paraId="6559D9BC" w14:textId="77777777" w:rsidR="00D60A5D" w:rsidRPr="001A7517" w:rsidRDefault="00D60A5D" w:rsidP="00623210">
            <w:pPr>
              <w:suppressAutoHyphens/>
            </w:pPr>
            <w:r w:rsidRPr="001A7517">
              <w:t>2, 5-Methano-2H-indeno(1, 2b)oxirene, 2, 3, 4, 5, 6, 7, 7-heptachloro-1a, 1b, 5, 5a, 6, 6a-hexahydro-, (1a alpha, 1b beta, 2 alpha, 5 alpha, 5a beta, 6beta, 6a alpha)-</w:t>
            </w:r>
          </w:p>
        </w:tc>
      </w:tr>
      <w:tr w:rsidR="00D60A5D" w:rsidRPr="001A7517" w14:paraId="3FBB75E1" w14:textId="77777777" w:rsidTr="00623210">
        <w:tc>
          <w:tcPr>
            <w:tcW w:w="2216" w:type="dxa"/>
          </w:tcPr>
          <w:p w14:paraId="65437E55" w14:textId="77777777" w:rsidR="00D60A5D" w:rsidRPr="001A7517" w:rsidRDefault="00D60A5D" w:rsidP="00623210">
            <w:pPr>
              <w:suppressAutoHyphens/>
            </w:pPr>
            <w:r w:rsidRPr="001A7517">
              <w:t>Lindane</w:t>
            </w:r>
          </w:p>
        </w:tc>
        <w:tc>
          <w:tcPr>
            <w:tcW w:w="3680" w:type="dxa"/>
          </w:tcPr>
          <w:p w14:paraId="6952815B" w14:textId="77777777" w:rsidR="00D60A5D" w:rsidRPr="001A7517" w:rsidRDefault="00D60A5D" w:rsidP="00623210">
            <w:pPr>
              <w:suppressAutoHyphens/>
            </w:pPr>
            <w:r w:rsidRPr="001A7517">
              <w:t>58-89-9</w:t>
            </w:r>
          </w:p>
        </w:tc>
        <w:tc>
          <w:tcPr>
            <w:tcW w:w="3680" w:type="dxa"/>
          </w:tcPr>
          <w:p w14:paraId="1D397147" w14:textId="77777777" w:rsidR="00D60A5D" w:rsidRPr="001A7517" w:rsidRDefault="00D60A5D" w:rsidP="00623210">
            <w:pPr>
              <w:suppressAutoHyphens/>
            </w:pPr>
            <w:r w:rsidRPr="001A7517">
              <w:t xml:space="preserve">Cyclohexane, 1,2,3,4,5,6-hexachloro-, (1 alpha,2 alpha,3 beta,4 alpha,5 alpha,6 beta)- </w:t>
            </w:r>
          </w:p>
        </w:tc>
      </w:tr>
      <w:tr w:rsidR="00D60A5D" w:rsidRPr="001A7517" w14:paraId="466EA1BE" w14:textId="77777777" w:rsidTr="00623210">
        <w:tc>
          <w:tcPr>
            <w:tcW w:w="2216" w:type="dxa"/>
          </w:tcPr>
          <w:p w14:paraId="15A5FE59" w14:textId="77777777" w:rsidR="00D60A5D" w:rsidRPr="001A7517" w:rsidRDefault="00D60A5D" w:rsidP="00623210">
            <w:pPr>
              <w:suppressAutoHyphens/>
            </w:pPr>
            <w:r w:rsidRPr="001A7517">
              <w:t>Methoxychlor</w:t>
            </w:r>
          </w:p>
        </w:tc>
        <w:tc>
          <w:tcPr>
            <w:tcW w:w="3680" w:type="dxa"/>
          </w:tcPr>
          <w:p w14:paraId="1C1B6C5C" w14:textId="77777777" w:rsidR="00D60A5D" w:rsidRPr="001A7517" w:rsidRDefault="00D60A5D" w:rsidP="00623210">
            <w:pPr>
              <w:suppressAutoHyphens/>
            </w:pPr>
            <w:r w:rsidRPr="001A7517">
              <w:t>72-43-5</w:t>
            </w:r>
          </w:p>
        </w:tc>
        <w:tc>
          <w:tcPr>
            <w:tcW w:w="3680" w:type="dxa"/>
          </w:tcPr>
          <w:p w14:paraId="6318B899" w14:textId="77777777" w:rsidR="00D60A5D" w:rsidRPr="001A7517" w:rsidRDefault="00D60A5D" w:rsidP="00623210">
            <w:pPr>
              <w:suppressAutoHyphens/>
            </w:pPr>
            <w:r w:rsidRPr="001A7517">
              <w:t>Benzene, 1,1’-(2,2,2-trichloroethylidene)bis(4-methoxy-</w:t>
            </w:r>
          </w:p>
        </w:tc>
      </w:tr>
      <w:tr w:rsidR="00D60A5D" w:rsidRPr="001A7517" w14:paraId="33C2FE4F" w14:textId="77777777" w:rsidTr="00623210">
        <w:tc>
          <w:tcPr>
            <w:tcW w:w="2216" w:type="dxa"/>
          </w:tcPr>
          <w:p w14:paraId="1D3FDFE6" w14:textId="77777777" w:rsidR="00D60A5D" w:rsidRPr="001A7517" w:rsidRDefault="00D60A5D" w:rsidP="00623210">
            <w:pPr>
              <w:suppressAutoHyphens/>
            </w:pPr>
            <w:r w:rsidRPr="001A7517">
              <w:t>Silvex (2,4,5-TP)</w:t>
            </w:r>
          </w:p>
        </w:tc>
        <w:tc>
          <w:tcPr>
            <w:tcW w:w="3680" w:type="dxa"/>
          </w:tcPr>
          <w:p w14:paraId="367D4748" w14:textId="77777777" w:rsidR="00D60A5D" w:rsidRPr="001A7517" w:rsidRDefault="00D60A5D" w:rsidP="00623210">
            <w:pPr>
              <w:suppressAutoHyphens/>
            </w:pPr>
            <w:r w:rsidRPr="001A7517">
              <w:t>93-72-1</w:t>
            </w:r>
          </w:p>
        </w:tc>
        <w:tc>
          <w:tcPr>
            <w:tcW w:w="3680" w:type="dxa"/>
          </w:tcPr>
          <w:p w14:paraId="7F246EFE" w14:textId="77777777" w:rsidR="00D60A5D" w:rsidRPr="001A7517" w:rsidRDefault="00D60A5D" w:rsidP="00623210">
            <w:pPr>
              <w:suppressAutoHyphens/>
            </w:pPr>
            <w:r w:rsidRPr="001A7517">
              <w:t>Propanoic acid, 2-(2,4,5-trichlorophenoxy)-</w:t>
            </w:r>
          </w:p>
        </w:tc>
      </w:tr>
      <w:tr w:rsidR="00D60A5D" w:rsidRPr="001A7517" w14:paraId="0A849B7D" w14:textId="77777777" w:rsidTr="00623210">
        <w:tc>
          <w:tcPr>
            <w:tcW w:w="2216" w:type="dxa"/>
          </w:tcPr>
          <w:p w14:paraId="5AA2F63D" w14:textId="77777777" w:rsidR="00D60A5D" w:rsidRPr="001A7517" w:rsidRDefault="00D60A5D" w:rsidP="00623210">
            <w:pPr>
              <w:suppressAutoHyphens/>
            </w:pPr>
            <w:r w:rsidRPr="001A7517">
              <w:t>Toxaphene</w:t>
            </w:r>
          </w:p>
        </w:tc>
        <w:tc>
          <w:tcPr>
            <w:tcW w:w="3680" w:type="dxa"/>
          </w:tcPr>
          <w:p w14:paraId="38CD5E53" w14:textId="77777777" w:rsidR="00D60A5D" w:rsidRPr="001A7517" w:rsidRDefault="00D60A5D" w:rsidP="00623210">
            <w:pPr>
              <w:suppressAutoHyphens/>
            </w:pPr>
            <w:r w:rsidRPr="001A7517">
              <w:t>8001-35-2</w:t>
            </w:r>
          </w:p>
        </w:tc>
        <w:tc>
          <w:tcPr>
            <w:tcW w:w="3680" w:type="dxa"/>
          </w:tcPr>
          <w:p w14:paraId="39A859AA" w14:textId="77777777" w:rsidR="00D60A5D" w:rsidRPr="001A7517" w:rsidRDefault="00D60A5D" w:rsidP="00623210">
            <w:pPr>
              <w:suppressAutoHyphens/>
            </w:pPr>
            <w:r w:rsidRPr="001A7517">
              <w:t>Toxaphene</w:t>
            </w:r>
          </w:p>
        </w:tc>
      </w:tr>
      <w:tr w:rsidR="00D60A5D" w:rsidRPr="001A7517" w14:paraId="4624491C" w14:textId="77777777" w:rsidTr="00623210">
        <w:tc>
          <w:tcPr>
            <w:tcW w:w="2216" w:type="dxa"/>
          </w:tcPr>
          <w:p w14:paraId="1C4DBDE3" w14:textId="77777777" w:rsidR="00D60A5D" w:rsidRPr="001A7517" w:rsidRDefault="00D60A5D" w:rsidP="00623210">
            <w:pPr>
              <w:suppressAutoHyphens/>
            </w:pPr>
            <w:r w:rsidRPr="001A7517">
              <w:t>TTHM</w:t>
            </w:r>
          </w:p>
        </w:tc>
        <w:tc>
          <w:tcPr>
            <w:tcW w:w="3680" w:type="dxa"/>
          </w:tcPr>
          <w:p w14:paraId="6D7A7F22" w14:textId="77777777" w:rsidR="00D60A5D" w:rsidRPr="001A7517" w:rsidRDefault="00D60A5D" w:rsidP="00623210">
            <w:pPr>
              <w:suppressAutoHyphens/>
            </w:pPr>
            <w:r w:rsidRPr="001A7517">
              <w:t>Total trihalomethanes (See Section 611.101)</w:t>
            </w:r>
          </w:p>
        </w:tc>
        <w:tc>
          <w:tcPr>
            <w:tcW w:w="3680" w:type="dxa"/>
          </w:tcPr>
          <w:p w14:paraId="0F6C3B1C" w14:textId="77777777" w:rsidR="00D60A5D" w:rsidRPr="001A7517" w:rsidRDefault="00D60A5D" w:rsidP="00623210">
            <w:pPr>
              <w:suppressAutoHyphens/>
            </w:pPr>
          </w:p>
        </w:tc>
      </w:tr>
    </w:tbl>
    <w:p w14:paraId="791589E4" w14:textId="77777777" w:rsidR="00D60A5D" w:rsidRPr="001A7517" w:rsidRDefault="00D60A5D" w:rsidP="00D60A5D">
      <w:pPr>
        <w:suppressAutoHyphens/>
        <w:spacing w:before="240"/>
      </w:pPr>
      <w:r w:rsidRPr="001A7517">
        <w:t>BOARD NOTE:  Derived from 40 CFR 141.30 and 261, appendix VIII.</w:t>
      </w:r>
    </w:p>
    <w:p w14:paraId="4A57DE0C" w14:textId="77777777" w:rsidR="00D60A5D" w:rsidRPr="001A7517" w:rsidRDefault="00D60A5D" w:rsidP="00D60A5D">
      <w:pPr>
        <w:suppressAutoHyphens/>
        <w:spacing w:before="240"/>
      </w:pPr>
      <w:r w:rsidRPr="001A7517">
        <w:t>(Source:  Amended at 37 Ill. Reg. 1978, effective February 4, 2013)</w:t>
      </w:r>
    </w:p>
    <w:p w14:paraId="27EE53B1" w14:textId="77777777" w:rsidR="00D60A5D" w:rsidRPr="001A7517" w:rsidRDefault="00D60A5D" w:rsidP="00D60A5D">
      <w:pPr>
        <w:keepNext/>
        <w:keepLines/>
        <w:suppressAutoHyphens/>
        <w:spacing w:before="240"/>
        <w:rPr>
          <w:b/>
        </w:rPr>
      </w:pPr>
      <w:r w:rsidRPr="001A7517">
        <w:rPr>
          <w:b/>
        </w:rPr>
        <w:lastRenderedPageBreak/>
        <w:t>Section 611.APPENDIX D  Defined Substrate Method for the Simultaneous Detection of Total Coliforms and Escherichia Coli from Drinking Water (Repealed)</w:t>
      </w:r>
    </w:p>
    <w:p w14:paraId="7D0D8543" w14:textId="77777777" w:rsidR="00D60A5D" w:rsidRPr="001A7517" w:rsidRDefault="00D60A5D" w:rsidP="00D60A5D">
      <w:pPr>
        <w:suppressAutoHyphens/>
        <w:spacing w:before="240"/>
      </w:pPr>
    </w:p>
    <w:p w14:paraId="0ABE64FD" w14:textId="77777777" w:rsidR="00D60A5D" w:rsidRPr="001A7517" w:rsidRDefault="00D60A5D" w:rsidP="00D60A5D">
      <w:pPr>
        <w:suppressAutoHyphens/>
        <w:spacing w:before="240"/>
        <w:ind w:left="720"/>
      </w:pPr>
      <w:r w:rsidRPr="001A7517">
        <w:t>(Source:  Repeal</w:t>
      </w:r>
      <w:r w:rsidRPr="001A7517">
        <w:rPr>
          <w:szCs w:val="17"/>
        </w:rPr>
        <w:t xml:space="preserve">ed at </w:t>
      </w:r>
      <w:r w:rsidRPr="001A7517">
        <w:t>42 Ill. Reg. 1140, effective January 4, 2018)</w:t>
      </w:r>
    </w:p>
    <w:p w14:paraId="4534E4F3" w14:textId="77777777" w:rsidR="00D60A5D" w:rsidRPr="001A7517" w:rsidRDefault="00D60A5D" w:rsidP="00D60A5D">
      <w:pPr>
        <w:keepNext/>
        <w:keepLines/>
        <w:suppressAutoHyphens/>
        <w:spacing w:before="240"/>
        <w:rPr>
          <w:b/>
        </w:rPr>
      </w:pPr>
      <w:r w:rsidRPr="001A7517">
        <w:rPr>
          <w:b/>
        </w:rPr>
        <w:t>Section 611.APPENDIX E  Mandatory Lead Public Education Information for Community Water Systems</w:t>
      </w:r>
    </w:p>
    <w:p w14:paraId="19400A1C" w14:textId="77777777" w:rsidR="00D60A5D" w:rsidRPr="001A7517" w:rsidRDefault="00D60A5D" w:rsidP="00D60A5D">
      <w:pPr>
        <w:keepNext/>
        <w:keepLines/>
        <w:suppressAutoHyphens/>
        <w:spacing w:before="240"/>
      </w:pPr>
      <w:r w:rsidRPr="001A7517">
        <w:t>1)</w:t>
      </w:r>
      <w:r w:rsidRPr="001A7517">
        <w:tab/>
        <w:t>INTRODUCTION</w:t>
      </w:r>
    </w:p>
    <w:p w14:paraId="48D080C1" w14:textId="77777777" w:rsidR="00D60A5D" w:rsidRPr="001A7517" w:rsidRDefault="00D60A5D" w:rsidP="00D60A5D">
      <w:pPr>
        <w:suppressAutoHyphens/>
        <w:spacing w:before="240"/>
      </w:pPr>
      <w:r w:rsidRPr="001A7517">
        <w:t>The United States Environmental Protection Agency (USEPA) and (insert name of water supplier) are concerned about lead in your drinking water.  Although most homes have very low levels of lead in their drinking water, some homes in the community have lead levels above the USEPA action level of 15 parts per billion (ppb), or 0.015 milligrams of lead per liter of water (mg/ℓ).  Under Federal law we are required to have a program in place to minimize lead in your drinking water by (insert date when corrosion control will be completed for your system).  This program includes corrosion control treatment, source water treatment, and public education.  We are also required to replace the portion of each lead service line that we own if the line contributes lead concentrations of more than 15 ppb after we have completed the comprehensive treatment program.  If you have any questions about how we are carrying out the requirements of the lead regulation please give us a call at (insert water system’s phone number).  This brochure explains the simple steps you can take to protect you and your family by reducing your exposure to lead in drinking water.</w:t>
      </w:r>
    </w:p>
    <w:p w14:paraId="01E848E1" w14:textId="77777777" w:rsidR="00D60A5D" w:rsidRPr="001A7517" w:rsidRDefault="00D60A5D" w:rsidP="00D60A5D">
      <w:pPr>
        <w:keepNext/>
        <w:keepLines/>
        <w:suppressAutoHyphens/>
        <w:spacing w:before="240"/>
      </w:pPr>
      <w:r w:rsidRPr="001A7517">
        <w:t>2)</w:t>
      </w:r>
      <w:r w:rsidRPr="001A7517">
        <w:tab/>
        <w:t>HEALTH EFFECTS OF LEAD</w:t>
      </w:r>
    </w:p>
    <w:p w14:paraId="47408E45" w14:textId="77777777" w:rsidR="00D60A5D" w:rsidRPr="001A7517" w:rsidRDefault="00D60A5D" w:rsidP="00D60A5D">
      <w:pPr>
        <w:suppressAutoHyphens/>
        <w:spacing w:before="240"/>
      </w:pPr>
      <w:r w:rsidRPr="001A7517">
        <w:t>Lead is a common metal found throughout the environment in lead-based paint; air; soil; household dust; food; certain types of pottery, porcelain, and pewter; and water.  Lead can pose a significant risk to your health if too much of it enters your body.  Lead builds up in the body over many years and can cause damage to the brain, red blood cells, and kidneys.  The greatest risk is to young children and pregnant women.  Amounts of lead that won’t hurt adults can slow down normal mental and physical development of growing bodies.  In addition, a child at play often comes into contact with sources of lead contamination—like dirt and dust—that rarely affect an adult.  It is important to wash children’s hands and toys often, and to try to make sure they only put food in their mouths.</w:t>
      </w:r>
    </w:p>
    <w:p w14:paraId="129EBF31" w14:textId="77777777" w:rsidR="00D60A5D" w:rsidRPr="001A7517" w:rsidRDefault="00D60A5D" w:rsidP="00D60A5D">
      <w:pPr>
        <w:keepNext/>
        <w:keepLines/>
        <w:suppressAutoHyphens/>
        <w:spacing w:before="240"/>
      </w:pPr>
      <w:r w:rsidRPr="001A7517">
        <w:t>3)</w:t>
      </w:r>
      <w:r w:rsidRPr="001A7517">
        <w:tab/>
        <w:t>LEAD IN DRINKING WATER</w:t>
      </w:r>
    </w:p>
    <w:p w14:paraId="6F198846" w14:textId="77777777" w:rsidR="00D60A5D" w:rsidRPr="001A7517" w:rsidRDefault="00D60A5D" w:rsidP="00D60A5D">
      <w:pPr>
        <w:suppressAutoHyphens/>
        <w:spacing w:before="240"/>
        <w:ind w:left="1440" w:hanging="720"/>
      </w:pPr>
      <w:r w:rsidRPr="001A7517">
        <w:t>A)</w:t>
      </w:r>
      <w:r w:rsidRPr="001A7517">
        <w:tab/>
        <w:t>Lead in drinking water, although rarely the sole cause of lead poisoning, can significantly increase a person’s total lead exposure, particularly the exposure of infants who drink baby formulas and concentrated juices that are mixed with water.  The EPA estimates that drinking water can make up 20 percent or more of a person’s total exposure to lead.</w:t>
      </w:r>
    </w:p>
    <w:p w14:paraId="418DDE97" w14:textId="77777777" w:rsidR="00D60A5D" w:rsidRPr="001A7517" w:rsidRDefault="00D60A5D" w:rsidP="00D60A5D">
      <w:pPr>
        <w:suppressAutoHyphens/>
        <w:spacing w:before="240"/>
        <w:ind w:left="1440" w:hanging="720"/>
      </w:pPr>
      <w:r w:rsidRPr="001A7517">
        <w:lastRenderedPageBreak/>
        <w:t>B)</w:t>
      </w:r>
      <w:r w:rsidRPr="001A7517">
        <w:tab/>
        <w:t>Lead is unusual among drinking water contaminants in that it seldom occurs naturally in water supplies like rivers and lakes.  Lead enters drinking water primarily as a result of the corrosion, or wearing away, of materials containing lead in the water distribution system and household plumbing.  These materials include lead-based solder used to join copper pipe, brass and chrome plated brass faucets, and in some cases, pipes made of lead that connect your house to the water main (service lines).  In 1986, Congress banned the use of lead solder containing greater than 0.2% lead, and restricted the lead content of faucets, pipes and other plumbing materials to 8.0%.</w:t>
      </w:r>
    </w:p>
    <w:p w14:paraId="7AA115C0" w14:textId="77777777" w:rsidR="00D60A5D" w:rsidRPr="001A7517" w:rsidRDefault="00D60A5D" w:rsidP="00D60A5D">
      <w:pPr>
        <w:suppressAutoHyphens/>
        <w:spacing w:before="240"/>
        <w:ind w:left="1440" w:hanging="720"/>
      </w:pPr>
      <w:r w:rsidRPr="001A7517">
        <w:t>C)</w:t>
      </w:r>
      <w:r w:rsidRPr="001A7517">
        <w:tab/>
        <w:t>When water stands in lead pipes or plumbing systems containing lead for several hours or more, the lead may dissolve into your drinking water. This means the first water drawn from the tap in the morning, or later in the afternoon after returning from work or school, can contain fairly high levels of lead.</w:t>
      </w:r>
    </w:p>
    <w:p w14:paraId="10CC7138" w14:textId="77777777" w:rsidR="00D60A5D" w:rsidRPr="001A7517" w:rsidRDefault="00D60A5D" w:rsidP="00D60A5D">
      <w:pPr>
        <w:keepNext/>
        <w:keepLines/>
        <w:suppressAutoHyphens/>
        <w:spacing w:before="240"/>
      </w:pPr>
      <w:r w:rsidRPr="001A7517">
        <w:t>4)</w:t>
      </w:r>
      <w:r w:rsidRPr="001A7517">
        <w:tab/>
        <w:t>STEPS YOU CAN TAKE IN THE HOME TO REDUCE EXPOSURE TO LEAD IN DRINKING WATER</w:t>
      </w:r>
    </w:p>
    <w:p w14:paraId="0E203E99" w14:textId="77777777" w:rsidR="00D60A5D" w:rsidRPr="001A7517" w:rsidRDefault="00D60A5D" w:rsidP="00D60A5D">
      <w:pPr>
        <w:suppressAutoHyphens/>
        <w:spacing w:before="240"/>
        <w:ind w:left="1440" w:hanging="720"/>
      </w:pPr>
      <w:r w:rsidRPr="001A7517">
        <w:t>A)</w:t>
      </w:r>
      <w:r w:rsidRPr="001A7517">
        <w:tab/>
        <w:t>Despite our best efforts mentioned earlier to control water corrosivity and remove lead from the water supply, lead levels in some homes or buildings can be high.  To find out whether you need to take action in your own home, have your drinking water tested to determine if it contains excessive concentrations of lead.  Testing the water is essential because you cannot see, taste, or smell lead in drinking water.  Some local laboratories that can provide this service are listed at the end of this booklet.  For more information on having your water tested, please call (insert phone number of water system).</w:t>
      </w:r>
    </w:p>
    <w:p w14:paraId="060E317A" w14:textId="77777777" w:rsidR="00D60A5D" w:rsidRPr="001A7517" w:rsidRDefault="00D60A5D" w:rsidP="00D60A5D">
      <w:pPr>
        <w:suppressAutoHyphens/>
        <w:spacing w:before="240"/>
        <w:ind w:left="1440" w:hanging="720"/>
      </w:pPr>
      <w:r w:rsidRPr="001A7517">
        <w:t>B)</w:t>
      </w:r>
      <w:r w:rsidRPr="001A7517">
        <w:tab/>
        <w:t>If a water test indicates that the drinking water drawn from a tap in your home contains lead above 15 ppb, then you should take the following precautions:</w:t>
      </w:r>
    </w:p>
    <w:p w14:paraId="698CCA24" w14:textId="77777777" w:rsidR="00D60A5D" w:rsidRPr="001A7517" w:rsidRDefault="00D60A5D" w:rsidP="00D60A5D">
      <w:pPr>
        <w:suppressAutoHyphens/>
        <w:spacing w:before="240"/>
        <w:ind w:left="2160" w:hanging="720"/>
      </w:pPr>
      <w:r w:rsidRPr="001A7517">
        <w:t>i)</w:t>
      </w:r>
      <w:r w:rsidRPr="001A7517">
        <w:tab/>
        <w:t xml:space="preserve">Let the water run from the tap before using it for drinking or cooking any time the water in a faucet has gone unused for more than six hours.  The longer water resides in your home’s plumbing the more lead it may contain.  Flushing the tap means running the cold water faucet until the water gets noticeably colder, usually about 15-30 seconds.  If your house has a lead service line to the water main, you may have to flush the water for a longer time, perhaps one minute, before drinking.  Although toilet flushing or showering flushes water through a portion of your home’s plumbing system, you still need to flush the water in each faucet before using it for drinking or cooking.  Flushing tap water is a simple and inexpensive measure you can take to protect your family’s health.  It usually uses less than one or two gallons of water and costs less than (insert a cost estimate based on flushing two times a day for 30 days) per month.  To conserve water, fill a couple of bottles for drinking water after flushing the tap, and whenever possible use the first flush water to wash </w:t>
      </w:r>
      <w:r w:rsidRPr="001A7517">
        <w:lastRenderedPageBreak/>
        <w:t>the dishes or water the plants.  If you live in a high-rise building, letting the water flow before using it may not work to lessen your risk from lead.  The plumbing systems have more, and sometimes larger pipes than smaller buildings.  Ask your landlord for help in locating the source of the lead and for advice on reducing the lead level.</w:t>
      </w:r>
    </w:p>
    <w:p w14:paraId="5933C974" w14:textId="77777777" w:rsidR="00D60A5D" w:rsidRPr="001A7517" w:rsidRDefault="00D60A5D" w:rsidP="00D60A5D">
      <w:pPr>
        <w:suppressAutoHyphens/>
        <w:spacing w:before="240"/>
        <w:ind w:left="2160" w:hanging="720"/>
      </w:pPr>
      <w:r w:rsidRPr="001A7517">
        <w:t>ii)</w:t>
      </w:r>
      <w:r w:rsidRPr="001A7517">
        <w:tab/>
        <w:t>Try not to cook with or drink water from the hot water tap.  Hot water can dissolve more lead more quickly than cold water.  If you need hot water, draw water from the cold tap and heat it on the stove.</w:t>
      </w:r>
    </w:p>
    <w:p w14:paraId="32C44314" w14:textId="77777777" w:rsidR="00D60A5D" w:rsidRPr="001A7517" w:rsidRDefault="00D60A5D" w:rsidP="00D60A5D">
      <w:pPr>
        <w:suppressAutoHyphens/>
        <w:spacing w:before="240"/>
        <w:ind w:left="2160" w:hanging="720"/>
      </w:pPr>
      <w:r w:rsidRPr="001A7517">
        <w:t>iii)</w:t>
      </w:r>
      <w:r w:rsidRPr="001A7517">
        <w:tab/>
        <w:t>Remove loose lead solder and debris from the plumbing materials installed in newly constructed homes, or homes in which the plumbing has recently been replaced, by removing the faucet strainers from all taps and running the water from 3 to 5 minutes.  Thereafter, periodically remove the strainers and flush out any debris that has accumulated over time.</w:t>
      </w:r>
    </w:p>
    <w:p w14:paraId="2E4E2B3C" w14:textId="77777777" w:rsidR="00D60A5D" w:rsidRPr="001A7517" w:rsidRDefault="00D60A5D" w:rsidP="00D60A5D">
      <w:pPr>
        <w:suppressAutoHyphens/>
        <w:spacing w:before="240"/>
        <w:ind w:left="2160" w:hanging="720"/>
      </w:pPr>
      <w:r w:rsidRPr="001A7517">
        <w:t>iv)</w:t>
      </w:r>
      <w:r w:rsidRPr="001A7517">
        <w:tab/>
        <w:t>If your copper pipes are joined with lead solder that has been installed illegally since it was banned in 1986, notify the plumber who did the work and request that he or she replace the lead solder with lead-free solder.  Lead solder looks dull gray, and when scratched with a key looks shiny.  In addition, notify the Illinois Environmental Protection Agency about the violation.</w:t>
      </w:r>
    </w:p>
    <w:p w14:paraId="07DD75E4" w14:textId="77777777" w:rsidR="00D60A5D" w:rsidRPr="001A7517" w:rsidRDefault="00D60A5D" w:rsidP="00D60A5D">
      <w:pPr>
        <w:suppressAutoHyphens/>
        <w:spacing w:before="240"/>
        <w:ind w:left="2160" w:hanging="720"/>
      </w:pPr>
      <w:r w:rsidRPr="001A7517">
        <w:t>v)</w:t>
      </w:r>
      <w:r w:rsidRPr="001A7517">
        <w:tab/>
        <w:t xml:space="preserve">Determine whether or not the service line that connects your home or apartment to the water main is made of lead.  The best way to determine if your service line is made of lead is by either hiring a licensed plumber to inspect the line or by contacting the plumbing contractor who installed the line.  You can identify the plumbing contractor by checking the city’s record of building permits that should be maintained in the files of the (insert name of department that issues building permits).  A licensed plumber can at the same time check to see if your home’s plumbing contains lead solder, lead pipes, or pipe fittings that contain lead.  The public water system that delivers water to your home should also maintain records of the materials located in the distribution system.  If the service line that connects your dwelling to the water main contributes more than 15 ppb to drinking water, after our comprehensive treatment program is in place, we are required to replace the portion of the line that we own.  If the line is only partially owned by the (insert name of the city, county, or water system that controls the line), we are required to provide the owner of the privately-owned portion of the line with information on how to replace the privately-owned portion of the service line, and offer to replace that portion of the line at the owner’s expense.  If we replace only the portion of the line that we own, we also are required to notify you in advance and provide you with information on the steps that you can take to minimize exposure to any temporary increase in lead levels that may </w:t>
      </w:r>
      <w:r w:rsidRPr="001A7517">
        <w:lastRenderedPageBreak/>
        <w:t>result from the partial replacement, to take a follow-up sample at our expense from the line within 72 hours after the partial replacement, and to mail or otherwise provide you with the results of that sample within three business days after receiving the results.  Acceptable replacement alternatives include copper, steel, iron, and plastic pipes.</w:t>
      </w:r>
    </w:p>
    <w:p w14:paraId="56005E2E" w14:textId="77777777" w:rsidR="00D60A5D" w:rsidRPr="001A7517" w:rsidRDefault="00D60A5D" w:rsidP="00D60A5D">
      <w:pPr>
        <w:suppressAutoHyphens/>
        <w:spacing w:before="240"/>
        <w:ind w:left="2160" w:hanging="720"/>
      </w:pPr>
      <w:r w:rsidRPr="001A7517">
        <w:t>vi)</w:t>
      </w:r>
      <w:r w:rsidRPr="001A7517">
        <w:tab/>
        <w:t>Have an electrician check your wiring.  If grounding wires from the electrical system are attached to your pipes, corrosion may be greater.  Check with a licensed electrician or your local electrical code to determine if your wiring can be grounded elsewhere.  DO NOT attempt to change the wiring yourself because improper grounding can cause electrical shock and fire hazards.</w:t>
      </w:r>
    </w:p>
    <w:p w14:paraId="6729E6F2" w14:textId="77777777" w:rsidR="00D60A5D" w:rsidRPr="001A7517" w:rsidRDefault="00D60A5D" w:rsidP="00D60A5D">
      <w:pPr>
        <w:suppressAutoHyphens/>
        <w:spacing w:before="240"/>
        <w:ind w:left="1440" w:hanging="720"/>
      </w:pPr>
      <w:r w:rsidRPr="001A7517">
        <w:t>C)</w:t>
      </w:r>
      <w:r w:rsidRPr="001A7517">
        <w:tab/>
        <w:t>The steps described above will reduce the lead concentrations in your drinking water.  However, if a water test indicates that the drinking water coming from your tap contains lead concentrations in excess of 15 ppb after flushing, or after we have completed our actions to minimize lead levels, then you may want to take the following additional measures:</w:t>
      </w:r>
    </w:p>
    <w:p w14:paraId="4D8DC2C1" w14:textId="77777777" w:rsidR="00D60A5D" w:rsidRPr="001A7517" w:rsidRDefault="00D60A5D" w:rsidP="00D60A5D">
      <w:pPr>
        <w:suppressAutoHyphens/>
        <w:spacing w:before="240"/>
        <w:ind w:left="2160" w:hanging="720"/>
      </w:pPr>
      <w:r w:rsidRPr="001A7517">
        <w:t>i)</w:t>
      </w:r>
      <w:r w:rsidRPr="001A7517">
        <w:tab/>
        <w:t>Purchase or lease a home treatment device.  Home treatment devices are limited in that each unit treats only the water that flows from the faucet to which it is connected, and all of the devices require periodic maintenance and replacement.  Devices such as reverse osmosis systems or distillers can effectively remove lead from your drinking water.  Some activated carbon filters may reduce lead levels at the tap, however all lead reduction claims should be investigated.  Be sure to check the actual performance of a specific home treatment device before and after installing the unit.</w:t>
      </w:r>
    </w:p>
    <w:p w14:paraId="52755515" w14:textId="77777777" w:rsidR="00D60A5D" w:rsidRPr="001A7517" w:rsidRDefault="00D60A5D" w:rsidP="00D60A5D">
      <w:pPr>
        <w:suppressAutoHyphens/>
        <w:spacing w:before="240"/>
        <w:ind w:left="2160" w:hanging="720"/>
      </w:pPr>
      <w:r w:rsidRPr="001A7517">
        <w:t>ii)</w:t>
      </w:r>
      <w:r w:rsidRPr="001A7517">
        <w:tab/>
        <w:t>Purchase bottled water for drinking and cooking.</w:t>
      </w:r>
    </w:p>
    <w:p w14:paraId="7A4DE0D7" w14:textId="77777777" w:rsidR="00D60A5D" w:rsidRPr="001A7517" w:rsidRDefault="00D60A5D" w:rsidP="00D60A5D">
      <w:pPr>
        <w:suppressAutoHyphens/>
        <w:spacing w:before="240"/>
        <w:ind w:left="1440" w:hanging="720"/>
      </w:pPr>
      <w:r w:rsidRPr="001A7517">
        <w:t>D)</w:t>
      </w:r>
      <w:r w:rsidRPr="001A7517">
        <w:tab/>
        <w:t>You can consult a variety of sources for additional information.  Your family doctor or pediatrician can perform a blood test for lead and provide you with information about the health effects of lead.  State and local government agencies that can be contacted include the following:</w:t>
      </w:r>
    </w:p>
    <w:p w14:paraId="18B78C9F" w14:textId="77777777" w:rsidR="00D60A5D" w:rsidRPr="001A7517" w:rsidRDefault="00D60A5D" w:rsidP="00D60A5D">
      <w:pPr>
        <w:suppressAutoHyphens/>
        <w:spacing w:before="240"/>
        <w:ind w:left="2160" w:hanging="720"/>
      </w:pPr>
      <w:r w:rsidRPr="001A7517">
        <w:t>i)</w:t>
      </w:r>
      <w:r w:rsidRPr="001A7517">
        <w:tab/>
        <w:t>(Insert the name of city or county department of public utilities) at (insert phone number) can provide you with information about your community’s water supply, and a list of local laboratories that have been certified by EPA for testing water quality;</w:t>
      </w:r>
    </w:p>
    <w:p w14:paraId="549A749F" w14:textId="77777777" w:rsidR="00D60A5D" w:rsidRPr="001A7517" w:rsidRDefault="00D60A5D" w:rsidP="00D60A5D">
      <w:pPr>
        <w:suppressAutoHyphens/>
        <w:spacing w:before="240"/>
        <w:ind w:left="2160" w:hanging="720"/>
      </w:pPr>
      <w:r w:rsidRPr="001A7517">
        <w:t>ii)</w:t>
      </w:r>
      <w:r w:rsidRPr="001A7517">
        <w:tab/>
        <w:t>(Insert the name of city or county department that issues building permits) at (insert phone number) can provide you with information about building permit records that should contain the names of plumbing contractors that plumbed your home; and</w:t>
      </w:r>
    </w:p>
    <w:p w14:paraId="4478CED4" w14:textId="77777777" w:rsidR="00D60A5D" w:rsidRPr="001A7517" w:rsidRDefault="00D60A5D" w:rsidP="00D60A5D">
      <w:pPr>
        <w:suppressAutoHyphens/>
        <w:spacing w:before="240"/>
        <w:ind w:left="2160" w:hanging="720"/>
      </w:pPr>
      <w:r w:rsidRPr="001A7517">
        <w:lastRenderedPageBreak/>
        <w:t>iii)</w:t>
      </w:r>
      <w:r w:rsidRPr="001A7517">
        <w:tab/>
        <w:t>The Illinois Department of Public Health at 217-782-4977 or 312-814-2608 or the (insert the name of the city or county health department) at (insert phone number) can provide you with information about the health effects of lead and how you can have your child’s blood tested.</w:t>
      </w:r>
    </w:p>
    <w:p w14:paraId="69A37766" w14:textId="77777777" w:rsidR="00D60A5D" w:rsidRPr="001A7517" w:rsidRDefault="00D60A5D" w:rsidP="00D60A5D">
      <w:pPr>
        <w:suppressAutoHyphens/>
        <w:spacing w:before="240"/>
        <w:ind w:left="1440" w:hanging="720"/>
      </w:pPr>
      <w:r w:rsidRPr="001A7517">
        <w:t>E)</w:t>
      </w:r>
      <w:r w:rsidRPr="001A7517">
        <w:tab/>
        <w:t>The following is a list of some State-approved laboratories in your area that you can call to have your water tested for lead.  (Insert names and phone numbers of at least two laboratories.)</w:t>
      </w:r>
    </w:p>
    <w:p w14:paraId="3F2882D5" w14:textId="77777777" w:rsidR="00D60A5D" w:rsidRPr="001A7517" w:rsidRDefault="00D60A5D" w:rsidP="00D60A5D">
      <w:pPr>
        <w:suppressAutoHyphens/>
        <w:spacing w:before="240"/>
      </w:pPr>
      <w:r w:rsidRPr="001A7517">
        <w:t>BOARD NOTE:  Derived from 40 CFR 141.85(a)(1).</w:t>
      </w:r>
    </w:p>
    <w:p w14:paraId="10300C1C" w14:textId="77777777" w:rsidR="00D60A5D" w:rsidRPr="001A7517" w:rsidRDefault="00D60A5D" w:rsidP="00D60A5D">
      <w:pPr>
        <w:suppressAutoHyphens/>
        <w:spacing w:before="240"/>
        <w:ind w:left="720"/>
      </w:pPr>
      <w:r w:rsidRPr="001A7517">
        <w:t>(Source:  Amended at 37 Ill. Reg. 1978, effective February 4, 2013)</w:t>
      </w:r>
    </w:p>
    <w:p w14:paraId="1E4D42C6" w14:textId="77777777" w:rsidR="00D60A5D" w:rsidRPr="001A7517" w:rsidRDefault="00D60A5D" w:rsidP="00D60A5D">
      <w:pPr>
        <w:keepNext/>
        <w:keepLines/>
        <w:spacing w:before="240"/>
        <w:rPr>
          <w:b/>
          <w:spacing w:val="-2"/>
        </w:rPr>
      </w:pPr>
      <w:r w:rsidRPr="001A7517">
        <w:rPr>
          <w:b/>
          <w:spacing w:val="-2"/>
        </w:rPr>
        <w:t xml:space="preserve">Section 611.APPENDIX F  </w:t>
      </w:r>
      <w:r w:rsidRPr="001A7517">
        <w:rPr>
          <w:b/>
        </w:rPr>
        <w:t>Mandatory Lead Public Education Information for Non-Transient Non-Community Water Systems</w:t>
      </w:r>
    </w:p>
    <w:p w14:paraId="15076D0A" w14:textId="77777777" w:rsidR="00D60A5D" w:rsidRPr="001A7517" w:rsidRDefault="00D60A5D" w:rsidP="00D60A5D">
      <w:pPr>
        <w:keepNext/>
        <w:keepLines/>
        <w:suppressAutoHyphens/>
        <w:spacing w:before="240"/>
      </w:pPr>
      <w:r w:rsidRPr="001A7517">
        <w:t>1)</w:t>
      </w:r>
      <w:r w:rsidRPr="001A7517">
        <w:tab/>
        <w:t>INTRODUCTION</w:t>
      </w:r>
    </w:p>
    <w:p w14:paraId="58EEDA92" w14:textId="77777777" w:rsidR="00D60A5D" w:rsidRPr="001A7517" w:rsidRDefault="00D60A5D" w:rsidP="00D60A5D">
      <w:pPr>
        <w:suppressAutoHyphens/>
        <w:spacing w:before="240"/>
      </w:pPr>
      <w:r w:rsidRPr="001A7517">
        <w:t>The United States Environmental Protection Agency (USEPA) and (insert name of water supplier) are concerned about lead in your drinking water.  Some drinking water samples taken from this facility have lead levels above the USEPA action level of 15 parts per billion (ppb), or 0.015 milligrams of lead per liter of water (mg/ℓ).  Under Federal law we are required to have a program in place to minimize lead in your drinking water by (insert date when corrosion control will be completed for your system).  This program includes corrosion control treatment, source water treatment, and public education.  We are also required to replace the portion of each lead service line that we own if the line contributes lead concentrations of more than 15 ppb after we have completed the comprehensive treatment program.  If you have any questions about how we are carrying out the requirements of the lead regulation please give us a call at (insert water system’s phone number).  This brochure explains the simple steps you can take to protect you and your family by reducing your exposure to lead in drinking water.</w:t>
      </w:r>
    </w:p>
    <w:p w14:paraId="5E43E6E2" w14:textId="77777777" w:rsidR="00D60A5D" w:rsidRPr="001A7517" w:rsidRDefault="00D60A5D" w:rsidP="00D60A5D">
      <w:pPr>
        <w:keepNext/>
        <w:keepLines/>
        <w:suppressAutoHyphens/>
        <w:spacing w:before="240"/>
      </w:pPr>
      <w:r w:rsidRPr="001A7517">
        <w:t>2)</w:t>
      </w:r>
      <w:r w:rsidRPr="001A7517">
        <w:tab/>
        <w:t>HEALTH EFFECTS OF LEAD</w:t>
      </w:r>
    </w:p>
    <w:p w14:paraId="6DFD4FC1" w14:textId="77777777" w:rsidR="00D60A5D" w:rsidRPr="001A7517" w:rsidRDefault="00D60A5D" w:rsidP="00D60A5D">
      <w:pPr>
        <w:suppressAutoHyphens/>
        <w:spacing w:before="240"/>
      </w:pPr>
      <w:r w:rsidRPr="001A7517">
        <w:t>Lead is found throughout the environment in lead-based paint; air; soil; household dust; food; certain types of pottery, porcelain, and pewter; and water.  Lead can pose a significant risk to your health if too much of it enters your body.  Lead builds up in the body over many years and can cause damage to the brain, red blood cells, and kidneys.  The greatest risk is to young children and pregnant women.  Amounts of lead that won’t hurt adults can slow down normal mental and physical development of growing bodies.  In addition, a child at play often comes into contact with sources of lead contamination—like dirt and dust -- that rarely affect an adult.  It is important to wash children’s hands and toys often, and to try to make sure they only put food in their mouths.</w:t>
      </w:r>
    </w:p>
    <w:p w14:paraId="29E98F48" w14:textId="77777777" w:rsidR="00D60A5D" w:rsidRPr="001A7517" w:rsidRDefault="00D60A5D" w:rsidP="00D60A5D">
      <w:pPr>
        <w:keepNext/>
        <w:keepLines/>
        <w:suppressAutoHyphens/>
        <w:spacing w:before="240"/>
      </w:pPr>
      <w:r w:rsidRPr="001A7517">
        <w:lastRenderedPageBreak/>
        <w:t>3)</w:t>
      </w:r>
      <w:r w:rsidRPr="001A7517">
        <w:tab/>
        <w:t>LEAD IN DRINKING WATER</w:t>
      </w:r>
    </w:p>
    <w:p w14:paraId="002A93DA" w14:textId="77777777" w:rsidR="00D60A5D" w:rsidRPr="001A7517" w:rsidRDefault="00D60A5D" w:rsidP="00D60A5D">
      <w:pPr>
        <w:suppressAutoHyphens/>
        <w:spacing w:before="240"/>
        <w:ind w:left="1440" w:hanging="720"/>
      </w:pPr>
      <w:r w:rsidRPr="001A7517">
        <w:t>A)</w:t>
      </w:r>
      <w:r w:rsidRPr="001A7517">
        <w:tab/>
        <w:t>Lead in drinking water, although rarely the sole cause of lead poisoning, can significantly increase a person’s total lead exposure, particularly the exposure of infants who drink baby formulas and concentrated juices that are mixed with water.  The EPA estimates that drinking water can make up 20 percent or more of a person’s total exposure to lead.</w:t>
      </w:r>
    </w:p>
    <w:p w14:paraId="7C76CBBD" w14:textId="77777777" w:rsidR="00D60A5D" w:rsidRPr="001A7517" w:rsidRDefault="00D60A5D" w:rsidP="00D60A5D">
      <w:pPr>
        <w:suppressAutoHyphens/>
        <w:spacing w:before="240"/>
        <w:ind w:left="1440" w:hanging="720"/>
      </w:pPr>
      <w:r w:rsidRPr="001A7517">
        <w:t>B)</w:t>
      </w:r>
      <w:r w:rsidRPr="001A7517">
        <w:tab/>
        <w:t>Lead is unusual among drinking water contaminants in that it seldom occurs naturally in water supplies like rivers and lakes.  Lead enters drinking water primarily as a result of the corrosion, or wearing away, of materials containing lead in the water distribution system and household plumbing.  These materials include lead-based solder used to join copper pipe, brass, and chrome plated brass faucets, and in some cases, pipes made of lead that connect houses and buildings to the water main (service lines).  In 1986, Congress banned the use of lead solder containing greater than 0.2% lead, and restricted the lead content of faucets, pipes, and other plumbing materials to 8.0%.</w:t>
      </w:r>
    </w:p>
    <w:p w14:paraId="7472FEAE" w14:textId="77777777" w:rsidR="00D60A5D" w:rsidRPr="001A7517" w:rsidRDefault="00D60A5D" w:rsidP="00D60A5D">
      <w:pPr>
        <w:suppressAutoHyphens/>
        <w:spacing w:before="240"/>
        <w:ind w:left="1440" w:hanging="720"/>
      </w:pPr>
      <w:r w:rsidRPr="001A7517">
        <w:t>C)</w:t>
      </w:r>
      <w:r w:rsidRPr="001A7517">
        <w:tab/>
        <w:t>When water stands in lead pipes or plumbing systems containing lead for several hours or more, the lead may dissolve into your drinking water. This means the first water drawn from the tap in the morning, or later in the afternoon after returning from work or school, can contain fairly high levels of lead.</w:t>
      </w:r>
    </w:p>
    <w:p w14:paraId="7AA14C86" w14:textId="77777777" w:rsidR="00D60A5D" w:rsidRPr="001A7517" w:rsidRDefault="00D60A5D" w:rsidP="00D60A5D">
      <w:pPr>
        <w:keepNext/>
        <w:keepLines/>
        <w:suppressAutoHyphens/>
        <w:spacing w:before="240"/>
        <w:ind w:left="720" w:hanging="720"/>
      </w:pPr>
      <w:r w:rsidRPr="001A7517">
        <w:t>4)</w:t>
      </w:r>
      <w:r w:rsidRPr="001A7517">
        <w:tab/>
        <w:t>STEPS YOU CAN TAKE TO REDUCE EXPOSURE TO LEAD IN DRINKING WATER</w:t>
      </w:r>
    </w:p>
    <w:p w14:paraId="19019F80" w14:textId="77777777" w:rsidR="00D60A5D" w:rsidRPr="001A7517" w:rsidRDefault="00D60A5D" w:rsidP="00D60A5D">
      <w:pPr>
        <w:suppressAutoHyphens/>
        <w:spacing w:before="240"/>
        <w:ind w:left="1440" w:hanging="720"/>
      </w:pPr>
      <w:r w:rsidRPr="001A7517">
        <w:t>A)</w:t>
      </w:r>
      <w:r w:rsidRPr="001A7517">
        <w:tab/>
        <w:t>Let the water run from the tap before using it for drinking or cooking any time the water in a faucet has gone unused for more than six hours.  The longer water resides in plumbing the more lead it may contain.  Flushing the tap means running the cold water faucet until the water gets noticeably colder, usually about 15-30 seconds.  Although toilet flushing or showering flushes water through a portion of the plumbing system, you still need to flush the water in each faucet before using it for drinking or cooking.  Flushing tap water is a simple and inexpensive measure you can take to protect your family’s health.  It usually uses less than one gallon.</w:t>
      </w:r>
    </w:p>
    <w:p w14:paraId="6E50BDD9" w14:textId="77777777" w:rsidR="00D60A5D" w:rsidRPr="001A7517" w:rsidRDefault="00D60A5D" w:rsidP="00D60A5D">
      <w:pPr>
        <w:suppressAutoHyphens/>
        <w:spacing w:before="240"/>
        <w:ind w:left="1440" w:hanging="720"/>
      </w:pPr>
      <w:r w:rsidRPr="001A7517">
        <w:t>B)</w:t>
      </w:r>
      <w:r w:rsidRPr="001A7517">
        <w:tab/>
        <w:t>Do not cook with or drink water from the hot water tap.  Hot water can dissolve more lead more quickly than cold water.  If you need hot water, draw water from the cold tap and heat it.</w:t>
      </w:r>
    </w:p>
    <w:p w14:paraId="2A90318F" w14:textId="77777777" w:rsidR="00D60A5D" w:rsidRPr="001A7517" w:rsidRDefault="00D60A5D" w:rsidP="00D60A5D">
      <w:pPr>
        <w:suppressAutoHyphens/>
        <w:spacing w:before="240"/>
        <w:ind w:left="1440" w:hanging="720"/>
      </w:pPr>
      <w:r w:rsidRPr="001A7517">
        <w:t>C)</w:t>
      </w:r>
      <w:r w:rsidRPr="001A7517">
        <w:tab/>
        <w:t>The steps described above will reduce the lead concentrations in your drinking water.  However, if you are still concerned, you may wish to use bottled water for drinking and cooking.</w:t>
      </w:r>
    </w:p>
    <w:p w14:paraId="78C9FB03" w14:textId="77777777" w:rsidR="00D60A5D" w:rsidRPr="001A7517" w:rsidRDefault="00D60A5D" w:rsidP="00D60A5D">
      <w:pPr>
        <w:suppressAutoHyphens/>
        <w:spacing w:before="240"/>
        <w:ind w:left="1440" w:hanging="720"/>
      </w:pPr>
      <w:r w:rsidRPr="001A7517">
        <w:t>D)</w:t>
      </w:r>
      <w:r w:rsidRPr="001A7517">
        <w:tab/>
        <w:t xml:space="preserve">You can consult a variety of sources for additional information.  Your family doctor or pediatrician can perform a blood test for lead and provide you with </w:t>
      </w:r>
      <w:r w:rsidRPr="001A7517">
        <w:lastRenderedPageBreak/>
        <w:t>information about the health effects of lead.  State and local government agencies that can be contacted include the following:</w:t>
      </w:r>
    </w:p>
    <w:p w14:paraId="77AF878A" w14:textId="77777777" w:rsidR="00D60A5D" w:rsidRPr="001A7517" w:rsidRDefault="00D60A5D" w:rsidP="00D60A5D">
      <w:pPr>
        <w:suppressAutoHyphens/>
        <w:spacing w:before="240"/>
        <w:ind w:left="2160" w:hanging="720"/>
      </w:pPr>
      <w:r w:rsidRPr="001A7517">
        <w:t>i)</w:t>
      </w:r>
      <w:r w:rsidRPr="001A7517">
        <w:tab/>
        <w:t>(Insert the name or title of facility official if appropriate) at (insert phone number) can provide you with information about your facility’s water supply; and</w:t>
      </w:r>
    </w:p>
    <w:p w14:paraId="23EFB73D" w14:textId="77777777" w:rsidR="00D60A5D" w:rsidRPr="001A7517" w:rsidRDefault="00D60A5D" w:rsidP="00D60A5D">
      <w:pPr>
        <w:suppressAutoHyphens/>
        <w:spacing w:before="240"/>
        <w:ind w:left="2160" w:hanging="720"/>
      </w:pPr>
      <w:r w:rsidRPr="001A7517">
        <w:t>ii)</w:t>
      </w:r>
      <w:r w:rsidRPr="001A7517">
        <w:tab/>
        <w:t>The Illinois Department of Public Health at 217-782-4977 or 312-814-2608 or the (insert the name of the city or county health department) at (insert phone number) can provide you with information about the health effects of lead.</w:t>
      </w:r>
    </w:p>
    <w:p w14:paraId="3E556D9C" w14:textId="77777777" w:rsidR="00D60A5D" w:rsidRPr="001A7517" w:rsidRDefault="00D60A5D" w:rsidP="00D60A5D">
      <w:pPr>
        <w:suppressAutoHyphens/>
        <w:spacing w:before="240"/>
      </w:pPr>
      <w:r w:rsidRPr="001A7517">
        <w:t>BOARD NOTE:  Derived from 40 CFR 141.85(a)(2).  The Department of Public Health (Department) regulates non-community water supplies, including non-transient, non-community water supplies.  The Department has incorporated this Part into its regulations at 77 Ill. Adm. Code 900.15(a)(2)(A) and 900.20(k)(2).  Thus, the Board has included the notice language of 40 CFR 141.85(a)(2) in this Section for the purposes of facilitating federal review and authorization of the Illinois drinking water regulations.</w:t>
      </w:r>
    </w:p>
    <w:p w14:paraId="6E5ADA54" w14:textId="77777777" w:rsidR="00D60A5D" w:rsidRPr="001A7517" w:rsidRDefault="00D60A5D" w:rsidP="00D60A5D">
      <w:pPr>
        <w:suppressAutoHyphens/>
        <w:spacing w:before="240"/>
        <w:ind w:left="720"/>
      </w:pPr>
      <w:r w:rsidRPr="001A7517">
        <w:t>(Source:  Amended at 36 Ill. Reg. 7110, effective April 25, 2012)</w:t>
      </w:r>
    </w:p>
    <w:p w14:paraId="6F2C71CA" w14:textId="77777777" w:rsidR="005605D6" w:rsidRPr="003B4362" w:rsidRDefault="005605D6" w:rsidP="001B6EEE">
      <w:pPr>
        <w:suppressAutoHyphens/>
        <w:ind w:left="720"/>
        <w:rPr>
          <w:rFonts w:eastAsia="Calibri"/>
        </w:rPr>
      </w:pPr>
    </w:p>
    <w:p w14:paraId="692D7ECA" w14:textId="6E6EC1D3" w:rsidR="0010450A" w:rsidRPr="003B4362" w:rsidRDefault="0010450A" w:rsidP="003F1F0F">
      <w:pPr>
        <w:rPr>
          <w:b/>
          <w:bCs/>
        </w:rPr>
      </w:pPr>
      <w:r w:rsidRPr="003B4362">
        <w:rPr>
          <w:b/>
          <w:bCs/>
        </w:rPr>
        <w:t xml:space="preserve">Section </w:t>
      </w:r>
      <w:bookmarkStart w:id="4552" w:name="_Hlk27063410"/>
      <w:r w:rsidRPr="003B4362">
        <w:rPr>
          <w:b/>
          <w:bCs/>
        </w:rPr>
        <w:t>611.APPENDIX G</w:t>
      </w:r>
      <w:bookmarkEnd w:id="4552"/>
      <w:r w:rsidRPr="003B4362">
        <w:rPr>
          <w:b/>
          <w:bCs/>
        </w:rPr>
        <w:t xml:space="preserve"> </w:t>
      </w:r>
      <w:r w:rsidR="003F1F0F" w:rsidRPr="003B4362">
        <w:rPr>
          <w:b/>
          <w:bCs/>
        </w:rPr>
        <w:t xml:space="preserve"> </w:t>
      </w:r>
      <w:r w:rsidRPr="003B4362">
        <w:rPr>
          <w:b/>
          <w:bCs/>
        </w:rPr>
        <w:t xml:space="preserve"> NPDWR Violations and Situations Requiring Public Notice</w:t>
      </w:r>
    </w:p>
    <w:p w14:paraId="1165ECB8" w14:textId="5188275C" w:rsidR="0010450A" w:rsidRPr="003B4362" w:rsidRDefault="0010450A" w:rsidP="0010450A">
      <w:pPr>
        <w:widowControl w:val="0"/>
        <w:spacing w:before="240" w:after="240"/>
      </w:pPr>
      <w:r w:rsidRPr="003B4362">
        <w:t>See note 1 at the end of this Appendix G for an explanation of the Agency’s authority to alter the magnitude of a violation from that set forth in the following table.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115" w:type="dxa"/>
          <w:bottom w:w="115" w:type="dxa"/>
          <w:right w:w="115" w:type="dxa"/>
        </w:tblCellMar>
        <w:tblLook w:val="04A0" w:firstRow="1" w:lastRow="0" w:firstColumn="1" w:lastColumn="0" w:noHBand="0" w:noVBand="1"/>
      </w:tblPr>
      <w:tblGrid>
        <w:gridCol w:w="3312"/>
        <w:gridCol w:w="1296"/>
        <w:gridCol w:w="1728"/>
        <w:gridCol w:w="1296"/>
        <w:gridCol w:w="1728"/>
      </w:tblGrid>
      <w:tr w:rsidR="001628C1" w:rsidRPr="003B4362" w14:paraId="06328223" w14:textId="77777777" w:rsidTr="00C619B9">
        <w:tc>
          <w:tcPr>
            <w:tcW w:w="3312" w:type="dxa"/>
            <w:tcBorders>
              <w:top w:val="single" w:sz="6" w:space="0" w:color="auto"/>
              <w:left w:val="single" w:sz="6" w:space="0" w:color="auto"/>
              <w:bottom w:val="single" w:sz="6" w:space="0" w:color="auto"/>
              <w:right w:val="single" w:sz="6" w:space="0" w:color="auto"/>
            </w:tcBorders>
          </w:tcPr>
          <w:p w14:paraId="0E370073" w14:textId="77777777" w:rsidR="0010450A" w:rsidRPr="003B4362" w:rsidRDefault="0010450A" w:rsidP="00C619B9">
            <w:pPr>
              <w:keepNext/>
              <w:keepLines/>
              <w:widowControl w:val="0"/>
            </w:pPr>
          </w:p>
        </w:tc>
        <w:tc>
          <w:tcPr>
            <w:tcW w:w="3024" w:type="dxa"/>
            <w:gridSpan w:val="2"/>
            <w:tcBorders>
              <w:top w:val="single" w:sz="6" w:space="0" w:color="auto"/>
              <w:left w:val="single" w:sz="6" w:space="0" w:color="auto"/>
              <w:bottom w:val="single" w:sz="6" w:space="0" w:color="auto"/>
              <w:right w:val="single" w:sz="6" w:space="0" w:color="auto"/>
            </w:tcBorders>
            <w:hideMark/>
          </w:tcPr>
          <w:p w14:paraId="6F18F8B1" w14:textId="77777777" w:rsidR="0010450A" w:rsidRPr="003B4362" w:rsidRDefault="0010450A" w:rsidP="00C619B9">
            <w:pPr>
              <w:keepNext/>
              <w:keepLines/>
              <w:widowControl w:val="0"/>
            </w:pPr>
            <w:r w:rsidRPr="003B4362">
              <w:t>MCL/MRDL/TT violations</w:t>
            </w:r>
            <w:r w:rsidRPr="003B4362">
              <w:rPr>
                <w:vertAlign w:val="superscript"/>
              </w:rPr>
              <w:t>2</w:t>
            </w:r>
          </w:p>
        </w:tc>
        <w:tc>
          <w:tcPr>
            <w:tcW w:w="3024" w:type="dxa"/>
            <w:gridSpan w:val="2"/>
            <w:tcBorders>
              <w:top w:val="single" w:sz="6" w:space="0" w:color="auto"/>
              <w:left w:val="single" w:sz="6" w:space="0" w:color="auto"/>
              <w:bottom w:val="single" w:sz="6" w:space="0" w:color="auto"/>
              <w:right w:val="single" w:sz="6" w:space="0" w:color="auto"/>
            </w:tcBorders>
            <w:hideMark/>
          </w:tcPr>
          <w:p w14:paraId="2C0991FE" w14:textId="77777777" w:rsidR="0010450A" w:rsidRPr="003B4362" w:rsidRDefault="0010450A" w:rsidP="00C619B9">
            <w:pPr>
              <w:keepNext/>
              <w:keepLines/>
              <w:widowControl w:val="0"/>
            </w:pPr>
            <w:r w:rsidRPr="003B4362">
              <w:t>Monitoring and testing procedure violations</w:t>
            </w:r>
          </w:p>
        </w:tc>
      </w:tr>
      <w:tr w:rsidR="001628C1" w:rsidRPr="003B4362" w14:paraId="60EA2EFA" w14:textId="77777777" w:rsidTr="00C619B9">
        <w:tc>
          <w:tcPr>
            <w:tcW w:w="3312" w:type="dxa"/>
            <w:tcBorders>
              <w:top w:val="single" w:sz="6" w:space="0" w:color="auto"/>
              <w:left w:val="single" w:sz="6" w:space="0" w:color="auto"/>
              <w:bottom w:val="single" w:sz="6" w:space="0" w:color="auto"/>
              <w:right w:val="single" w:sz="6" w:space="0" w:color="auto"/>
            </w:tcBorders>
            <w:hideMark/>
          </w:tcPr>
          <w:p w14:paraId="5AB7296B" w14:textId="77777777" w:rsidR="0010450A" w:rsidRPr="003B4362" w:rsidRDefault="0010450A" w:rsidP="00C619B9">
            <w:pPr>
              <w:keepNext/>
              <w:keepLines/>
              <w:widowControl w:val="0"/>
            </w:pPr>
            <w:r w:rsidRPr="003B4362">
              <w:t>Contaminant</w:t>
            </w:r>
          </w:p>
        </w:tc>
        <w:tc>
          <w:tcPr>
            <w:tcW w:w="1296" w:type="dxa"/>
            <w:tcBorders>
              <w:top w:val="single" w:sz="6" w:space="0" w:color="auto"/>
              <w:left w:val="single" w:sz="6" w:space="0" w:color="auto"/>
              <w:bottom w:val="single" w:sz="6" w:space="0" w:color="auto"/>
              <w:right w:val="single" w:sz="6" w:space="0" w:color="auto"/>
            </w:tcBorders>
            <w:hideMark/>
          </w:tcPr>
          <w:p w14:paraId="3FBCCA42" w14:textId="77777777" w:rsidR="0010450A" w:rsidRPr="003B4362" w:rsidRDefault="0010450A" w:rsidP="00C619B9">
            <w:pPr>
              <w:keepNext/>
              <w:keepLines/>
              <w:widowControl w:val="0"/>
            </w:pPr>
            <w:r w:rsidRPr="003B4362">
              <w:t>Tier of public notice required</w:t>
            </w:r>
          </w:p>
        </w:tc>
        <w:tc>
          <w:tcPr>
            <w:tcW w:w="1728" w:type="dxa"/>
            <w:tcBorders>
              <w:top w:val="single" w:sz="6" w:space="0" w:color="auto"/>
              <w:left w:val="single" w:sz="6" w:space="0" w:color="auto"/>
              <w:bottom w:val="single" w:sz="6" w:space="0" w:color="auto"/>
              <w:right w:val="single" w:sz="6" w:space="0" w:color="auto"/>
            </w:tcBorders>
            <w:hideMark/>
          </w:tcPr>
          <w:p w14:paraId="48A81E64" w14:textId="77777777" w:rsidR="0010450A" w:rsidRPr="003B4362" w:rsidRDefault="0010450A" w:rsidP="00C619B9">
            <w:pPr>
              <w:keepNext/>
              <w:keepLines/>
              <w:widowControl w:val="0"/>
            </w:pPr>
            <w:r w:rsidRPr="003B4362">
              <w:t>Citation</w:t>
            </w:r>
          </w:p>
        </w:tc>
        <w:tc>
          <w:tcPr>
            <w:tcW w:w="1296" w:type="dxa"/>
            <w:tcBorders>
              <w:top w:val="single" w:sz="6" w:space="0" w:color="auto"/>
              <w:left w:val="single" w:sz="6" w:space="0" w:color="auto"/>
              <w:bottom w:val="single" w:sz="6" w:space="0" w:color="auto"/>
              <w:right w:val="single" w:sz="6" w:space="0" w:color="auto"/>
            </w:tcBorders>
            <w:hideMark/>
          </w:tcPr>
          <w:p w14:paraId="74A2C90D" w14:textId="77777777" w:rsidR="0010450A" w:rsidRPr="003B4362" w:rsidRDefault="0010450A" w:rsidP="00C619B9">
            <w:pPr>
              <w:keepNext/>
              <w:keepLines/>
              <w:widowControl w:val="0"/>
            </w:pPr>
            <w:r w:rsidRPr="003B4362">
              <w:t>Tier of public notice required</w:t>
            </w:r>
          </w:p>
        </w:tc>
        <w:tc>
          <w:tcPr>
            <w:tcW w:w="1728" w:type="dxa"/>
            <w:tcBorders>
              <w:top w:val="single" w:sz="6" w:space="0" w:color="auto"/>
              <w:left w:val="single" w:sz="6" w:space="0" w:color="auto"/>
              <w:bottom w:val="single" w:sz="6" w:space="0" w:color="auto"/>
              <w:right w:val="single" w:sz="6" w:space="0" w:color="auto"/>
            </w:tcBorders>
            <w:hideMark/>
          </w:tcPr>
          <w:p w14:paraId="2407F90D" w14:textId="77777777" w:rsidR="0010450A" w:rsidRPr="003B4362" w:rsidRDefault="0010450A" w:rsidP="00C619B9">
            <w:pPr>
              <w:keepNext/>
              <w:keepLines/>
              <w:widowControl w:val="0"/>
            </w:pPr>
            <w:r w:rsidRPr="003B4362">
              <w:t>Citation</w:t>
            </w:r>
          </w:p>
        </w:tc>
      </w:tr>
    </w:tbl>
    <w:p w14:paraId="3C6A06CC" w14:textId="77777777" w:rsidR="003F1F0F" w:rsidRPr="003B4362" w:rsidRDefault="003F1F0F" w:rsidP="003F1F0F"/>
    <w:p w14:paraId="1319230F" w14:textId="4207B2FA" w:rsidR="0010450A" w:rsidRPr="003B4362" w:rsidRDefault="0010450A" w:rsidP="003F1F0F">
      <w:pPr>
        <w:rPr>
          <w:vertAlign w:val="superscript"/>
        </w:rPr>
      </w:pPr>
      <w:r w:rsidRPr="003B4362">
        <w:t>I.</w:t>
      </w:r>
      <w:r w:rsidRPr="003B4362">
        <w:tab/>
        <w:t>Violations of National Primary Drinking Water Regulations (NPDWR):</w:t>
      </w:r>
      <w:r w:rsidRPr="003B4362">
        <w:rPr>
          <w:vertAlign w:val="superscript"/>
        </w:rPr>
        <w:t>3</w:t>
      </w:r>
    </w:p>
    <w:p w14:paraId="45AE127A" w14:textId="77777777" w:rsidR="003F1F0F" w:rsidRPr="003B4362" w:rsidRDefault="003F1F0F" w:rsidP="003F1F0F"/>
    <w:p w14:paraId="4662C20D" w14:textId="77777777" w:rsidR="0010450A" w:rsidRPr="003B4362" w:rsidRDefault="0010450A" w:rsidP="003F1F0F">
      <w:r w:rsidRPr="003B4362">
        <w:t>A.</w:t>
      </w:r>
      <w:r w:rsidRPr="003B4362">
        <w:tab/>
        <w:t>Microbiological Contaminants</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29C0E221"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55BB5120" w14:textId="77777777" w:rsidR="0010450A" w:rsidRPr="003B4362" w:rsidRDefault="0010450A" w:rsidP="00C619B9">
            <w:pPr>
              <w:widowControl w:val="0"/>
            </w:pPr>
            <w:r w:rsidRPr="003B4362">
              <w:t>1a. Corresponding row 1a in appendix A to subpart Q to 40 CFR 141 no longer applies by its own terms.  This statement maintains structural consistency with the federal regulations.</w:t>
            </w:r>
          </w:p>
        </w:tc>
        <w:tc>
          <w:tcPr>
            <w:tcW w:w="1296" w:type="dxa"/>
            <w:tcBorders>
              <w:top w:val="single" w:sz="6" w:space="0" w:color="auto"/>
              <w:left w:val="single" w:sz="6" w:space="0" w:color="auto"/>
              <w:bottom w:val="single" w:sz="6" w:space="0" w:color="auto"/>
              <w:right w:val="single" w:sz="6" w:space="0" w:color="auto"/>
            </w:tcBorders>
            <w:hideMark/>
          </w:tcPr>
          <w:p w14:paraId="0E2421C1" w14:textId="77777777" w:rsidR="0010450A" w:rsidRPr="003B4362"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1B2F9686" w14:textId="77777777" w:rsidR="0010450A" w:rsidRPr="003B4362" w:rsidRDefault="0010450A" w:rsidP="00C619B9">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0BAE4902" w14:textId="77777777" w:rsidR="0010450A" w:rsidRPr="003B4362"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3833794A" w14:textId="77777777" w:rsidR="0010450A" w:rsidRPr="003B4362" w:rsidRDefault="0010450A" w:rsidP="00C619B9">
            <w:pPr>
              <w:widowControl w:val="0"/>
              <w:rPr>
                <w:strike/>
              </w:rPr>
            </w:pPr>
          </w:p>
        </w:tc>
      </w:tr>
      <w:tr w:rsidR="001628C1" w:rsidRPr="003B4362" w14:paraId="3836BBBD"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67AFC216" w14:textId="77777777" w:rsidR="0010450A" w:rsidRPr="003B4362" w:rsidRDefault="0010450A" w:rsidP="00C619B9">
            <w:pPr>
              <w:widowControl w:val="0"/>
              <w:rPr>
                <w:szCs w:val="24"/>
              </w:rPr>
            </w:pPr>
            <w:r w:rsidRPr="003B4362">
              <w:rPr>
                <w:szCs w:val="24"/>
              </w:rPr>
              <w:lastRenderedPageBreak/>
              <w:t>1b. Total coliform (TT violations resulting from failure to perform assessments or corrective actions, monitoring violations, and reporting violations)</w:t>
            </w:r>
          </w:p>
        </w:tc>
        <w:tc>
          <w:tcPr>
            <w:tcW w:w="1296" w:type="dxa"/>
            <w:tcBorders>
              <w:top w:val="single" w:sz="6" w:space="0" w:color="auto"/>
              <w:left w:val="single" w:sz="6" w:space="0" w:color="auto"/>
              <w:bottom w:val="single" w:sz="6" w:space="0" w:color="auto"/>
              <w:right w:val="single" w:sz="6" w:space="0" w:color="auto"/>
            </w:tcBorders>
            <w:hideMark/>
          </w:tcPr>
          <w:p w14:paraId="5CB5A560" w14:textId="77777777" w:rsidR="0010450A" w:rsidRPr="003B4362" w:rsidRDefault="0010450A" w:rsidP="00C619B9">
            <w:pPr>
              <w:widowControl w:val="0"/>
              <w:rPr>
                <w:szCs w:val="24"/>
              </w:rPr>
            </w:pPr>
            <w:r w:rsidRPr="003B4362">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3F96367B" w14:textId="77777777" w:rsidR="0010450A" w:rsidRPr="003B4362" w:rsidRDefault="0010450A" w:rsidP="00C619B9">
            <w:pPr>
              <w:widowControl w:val="0"/>
              <w:rPr>
                <w:szCs w:val="24"/>
              </w:rPr>
            </w:pPr>
            <w:r w:rsidRPr="003B4362">
              <w:rPr>
                <w:szCs w:val="24"/>
              </w:rPr>
              <w:t>611.1060(b)(1)</w:t>
            </w:r>
          </w:p>
        </w:tc>
        <w:tc>
          <w:tcPr>
            <w:tcW w:w="1296" w:type="dxa"/>
            <w:tcBorders>
              <w:top w:val="single" w:sz="6" w:space="0" w:color="auto"/>
              <w:left w:val="single" w:sz="6" w:space="0" w:color="auto"/>
              <w:bottom w:val="single" w:sz="6" w:space="0" w:color="auto"/>
              <w:right w:val="single" w:sz="6" w:space="0" w:color="auto"/>
            </w:tcBorders>
            <w:hideMark/>
          </w:tcPr>
          <w:p w14:paraId="00B4E806" w14:textId="77777777" w:rsidR="0010450A" w:rsidRPr="003B4362" w:rsidRDefault="0010450A" w:rsidP="00C619B9">
            <w:pPr>
              <w:widowControl w:val="0"/>
              <w:rPr>
                <w:szCs w:val="24"/>
              </w:rPr>
            </w:pPr>
            <w:r w:rsidRPr="003B4362">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3735F1C4" w14:textId="77777777" w:rsidR="0010450A" w:rsidRPr="003B4362" w:rsidRDefault="0010450A" w:rsidP="00C619B9">
            <w:pPr>
              <w:widowControl w:val="0"/>
              <w:rPr>
                <w:szCs w:val="24"/>
              </w:rPr>
            </w:pPr>
            <w:r w:rsidRPr="003B4362">
              <w:rPr>
                <w:szCs w:val="24"/>
              </w:rPr>
              <w:t>611.1060(c)(1)</w:t>
            </w:r>
          </w:p>
          <w:p w14:paraId="2B88BFE7" w14:textId="77777777" w:rsidR="0010450A" w:rsidRPr="003B4362" w:rsidRDefault="0010450A" w:rsidP="00C619B9">
            <w:pPr>
              <w:widowControl w:val="0"/>
              <w:rPr>
                <w:szCs w:val="24"/>
              </w:rPr>
            </w:pPr>
            <w:r w:rsidRPr="003B4362">
              <w:rPr>
                <w:szCs w:val="24"/>
              </w:rPr>
              <w:t>611.1060(d)(1)</w:t>
            </w:r>
          </w:p>
        </w:tc>
      </w:tr>
      <w:tr w:rsidR="001628C1" w:rsidRPr="003B4362" w14:paraId="6E27453E"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26CD0BB1" w14:textId="77777777" w:rsidR="0010450A" w:rsidRPr="003B4362" w:rsidRDefault="0010450A" w:rsidP="00C619B9">
            <w:pPr>
              <w:widowControl w:val="0"/>
              <w:rPr>
                <w:szCs w:val="24"/>
              </w:rPr>
            </w:pPr>
            <w:r w:rsidRPr="003B4362">
              <w:rPr>
                <w:szCs w:val="24"/>
              </w:rPr>
              <w:t>1c. Seasonal system failure to follow State-approved start-up plan prior to serving water to the public or failure to provide certification to the Agency</w:t>
            </w:r>
          </w:p>
        </w:tc>
        <w:tc>
          <w:tcPr>
            <w:tcW w:w="1296" w:type="dxa"/>
            <w:tcBorders>
              <w:top w:val="single" w:sz="6" w:space="0" w:color="auto"/>
              <w:left w:val="single" w:sz="6" w:space="0" w:color="auto"/>
              <w:bottom w:val="single" w:sz="6" w:space="0" w:color="auto"/>
              <w:right w:val="single" w:sz="6" w:space="0" w:color="auto"/>
            </w:tcBorders>
            <w:hideMark/>
          </w:tcPr>
          <w:p w14:paraId="23464A76" w14:textId="77777777" w:rsidR="0010450A" w:rsidRPr="003B4362" w:rsidRDefault="0010450A" w:rsidP="00C619B9">
            <w:pPr>
              <w:widowControl w:val="0"/>
              <w:rPr>
                <w:szCs w:val="24"/>
              </w:rPr>
            </w:pPr>
            <w:r w:rsidRPr="003B4362">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5AA35D71" w14:textId="77777777" w:rsidR="0010450A" w:rsidRPr="003B4362" w:rsidRDefault="0010450A" w:rsidP="00C619B9">
            <w:pPr>
              <w:widowControl w:val="0"/>
              <w:rPr>
                <w:strike/>
                <w:szCs w:val="24"/>
              </w:rPr>
            </w:pPr>
            <w:r w:rsidRPr="003B4362">
              <w:rPr>
                <w:szCs w:val="24"/>
              </w:rPr>
              <w:t>611.1060(b)(2)</w:t>
            </w:r>
          </w:p>
        </w:tc>
        <w:tc>
          <w:tcPr>
            <w:tcW w:w="1296" w:type="dxa"/>
            <w:tcBorders>
              <w:top w:val="single" w:sz="6" w:space="0" w:color="auto"/>
              <w:left w:val="single" w:sz="6" w:space="0" w:color="auto"/>
              <w:bottom w:val="single" w:sz="6" w:space="0" w:color="auto"/>
              <w:right w:val="single" w:sz="6" w:space="0" w:color="auto"/>
            </w:tcBorders>
            <w:hideMark/>
          </w:tcPr>
          <w:p w14:paraId="4844AA51" w14:textId="77777777" w:rsidR="0010450A" w:rsidRPr="003B4362" w:rsidRDefault="0010450A" w:rsidP="00C619B9">
            <w:pPr>
              <w:widowControl w:val="0"/>
              <w:rPr>
                <w:szCs w:val="24"/>
              </w:rPr>
            </w:pPr>
            <w:r w:rsidRPr="003B4362">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0D46BF58" w14:textId="77777777" w:rsidR="0010450A" w:rsidRPr="003B4362" w:rsidRDefault="0010450A" w:rsidP="00C619B9">
            <w:pPr>
              <w:widowControl w:val="0"/>
              <w:rPr>
                <w:szCs w:val="24"/>
              </w:rPr>
            </w:pPr>
            <w:r w:rsidRPr="003B4362">
              <w:rPr>
                <w:szCs w:val="24"/>
              </w:rPr>
              <w:t>611.1060(d)(3)</w:t>
            </w:r>
          </w:p>
        </w:tc>
      </w:tr>
      <w:tr w:rsidR="001628C1" w:rsidRPr="003B4362" w14:paraId="276185DA"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73985727" w14:textId="77777777" w:rsidR="0010450A" w:rsidRPr="003B4362" w:rsidRDefault="0010450A" w:rsidP="00C619B9">
            <w:pPr>
              <w:widowControl w:val="0"/>
            </w:pPr>
            <w:r w:rsidRPr="003B4362">
              <w:t>2a. Corresponding row 2a in appendix A to subpart Q to 40 CFR 141 no longer applies by its own terms.  This statement maintains structural consistency with the federal regulations.</w:t>
            </w:r>
          </w:p>
        </w:tc>
        <w:tc>
          <w:tcPr>
            <w:tcW w:w="1296" w:type="dxa"/>
            <w:tcBorders>
              <w:top w:val="single" w:sz="6" w:space="0" w:color="auto"/>
              <w:left w:val="single" w:sz="6" w:space="0" w:color="auto"/>
              <w:bottom w:val="single" w:sz="6" w:space="0" w:color="auto"/>
              <w:right w:val="single" w:sz="6" w:space="0" w:color="auto"/>
            </w:tcBorders>
            <w:hideMark/>
          </w:tcPr>
          <w:p w14:paraId="36546848" w14:textId="77777777" w:rsidR="0010450A" w:rsidRPr="003B4362"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5F316866" w14:textId="77777777" w:rsidR="0010450A" w:rsidRPr="003B4362" w:rsidRDefault="0010450A" w:rsidP="00C619B9">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057EED85" w14:textId="77777777" w:rsidR="0010450A" w:rsidRPr="003B4362"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716AC056" w14:textId="77777777" w:rsidR="0010450A" w:rsidRPr="003B4362" w:rsidRDefault="0010450A" w:rsidP="00C619B9">
            <w:pPr>
              <w:widowControl w:val="0"/>
              <w:rPr>
                <w:strike/>
              </w:rPr>
            </w:pPr>
          </w:p>
        </w:tc>
      </w:tr>
      <w:tr w:rsidR="001628C1" w:rsidRPr="003B4362" w14:paraId="325E215E"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6358B12B" w14:textId="77777777" w:rsidR="0010450A" w:rsidRPr="003B4362" w:rsidRDefault="0010450A" w:rsidP="00C619B9">
            <w:pPr>
              <w:widowControl w:val="0"/>
              <w:rPr>
                <w:szCs w:val="24"/>
              </w:rPr>
            </w:pPr>
            <w:r w:rsidRPr="003B4362">
              <w:rPr>
                <w:szCs w:val="24"/>
              </w:rPr>
              <w:t xml:space="preserve">2b. </w:t>
            </w:r>
            <w:r w:rsidRPr="003B4362">
              <w:rPr>
                <w:iCs/>
                <w:szCs w:val="24"/>
              </w:rPr>
              <w:t>E. coli (MCL, monitoring, and reporting violations)</w:t>
            </w:r>
          </w:p>
        </w:tc>
        <w:tc>
          <w:tcPr>
            <w:tcW w:w="1296" w:type="dxa"/>
            <w:tcBorders>
              <w:top w:val="single" w:sz="6" w:space="0" w:color="auto"/>
              <w:left w:val="single" w:sz="6" w:space="0" w:color="auto"/>
              <w:bottom w:val="single" w:sz="6" w:space="0" w:color="auto"/>
              <w:right w:val="single" w:sz="6" w:space="0" w:color="auto"/>
            </w:tcBorders>
            <w:hideMark/>
          </w:tcPr>
          <w:p w14:paraId="5C91A891" w14:textId="77777777" w:rsidR="0010450A" w:rsidRPr="003B4362" w:rsidRDefault="0010450A" w:rsidP="00C619B9">
            <w:pPr>
              <w:widowControl w:val="0"/>
              <w:rPr>
                <w:szCs w:val="24"/>
              </w:rPr>
            </w:pPr>
            <w:r w:rsidRPr="003B4362">
              <w:rPr>
                <w:szCs w:val="24"/>
              </w:rPr>
              <w:t>1</w:t>
            </w:r>
          </w:p>
        </w:tc>
        <w:tc>
          <w:tcPr>
            <w:tcW w:w="1728" w:type="dxa"/>
            <w:tcBorders>
              <w:top w:val="single" w:sz="6" w:space="0" w:color="auto"/>
              <w:left w:val="single" w:sz="6" w:space="0" w:color="auto"/>
              <w:bottom w:val="single" w:sz="6" w:space="0" w:color="auto"/>
              <w:right w:val="single" w:sz="6" w:space="0" w:color="auto"/>
            </w:tcBorders>
            <w:hideMark/>
          </w:tcPr>
          <w:p w14:paraId="5AFCBCBC" w14:textId="77777777" w:rsidR="0010450A" w:rsidRPr="003B4362" w:rsidRDefault="0010450A" w:rsidP="00C619B9">
            <w:pPr>
              <w:widowControl w:val="0"/>
              <w:rPr>
                <w:strike/>
                <w:szCs w:val="24"/>
              </w:rPr>
            </w:pPr>
            <w:r w:rsidRPr="003B4362">
              <w:rPr>
                <w:szCs w:val="24"/>
              </w:rPr>
              <w:t>611.1060(a)</w:t>
            </w:r>
          </w:p>
        </w:tc>
        <w:tc>
          <w:tcPr>
            <w:tcW w:w="1296" w:type="dxa"/>
            <w:tcBorders>
              <w:top w:val="single" w:sz="6" w:space="0" w:color="auto"/>
              <w:left w:val="single" w:sz="6" w:space="0" w:color="auto"/>
              <w:bottom w:val="single" w:sz="6" w:space="0" w:color="auto"/>
              <w:right w:val="single" w:sz="6" w:space="0" w:color="auto"/>
            </w:tcBorders>
            <w:hideMark/>
          </w:tcPr>
          <w:p w14:paraId="2CE14E04" w14:textId="77777777" w:rsidR="0010450A" w:rsidRPr="003B4362" w:rsidRDefault="0010450A" w:rsidP="00C619B9">
            <w:pPr>
              <w:widowControl w:val="0"/>
              <w:rPr>
                <w:szCs w:val="24"/>
              </w:rPr>
            </w:pPr>
            <w:r w:rsidRPr="003B4362">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5A7AC180" w14:textId="77777777" w:rsidR="0010450A" w:rsidRPr="003B4362" w:rsidRDefault="0010450A" w:rsidP="00C619B9">
            <w:pPr>
              <w:widowControl w:val="0"/>
              <w:rPr>
                <w:strike/>
                <w:szCs w:val="24"/>
              </w:rPr>
            </w:pPr>
            <w:r w:rsidRPr="003B4362">
              <w:rPr>
                <w:szCs w:val="24"/>
              </w:rPr>
              <w:t>611.1060(c), 611.1060(d)(2)</w:t>
            </w:r>
          </w:p>
        </w:tc>
      </w:tr>
      <w:tr w:rsidR="001628C1" w:rsidRPr="003B4362" w14:paraId="5442958E"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6032F321" w14:textId="77777777" w:rsidR="0010450A" w:rsidRPr="003B4362" w:rsidRDefault="0010450A" w:rsidP="00C619B9">
            <w:pPr>
              <w:widowControl w:val="0"/>
              <w:rPr>
                <w:szCs w:val="24"/>
              </w:rPr>
            </w:pPr>
            <w:r w:rsidRPr="003B4362">
              <w:rPr>
                <w:szCs w:val="24"/>
              </w:rPr>
              <w:t xml:space="preserve">2c. </w:t>
            </w:r>
            <w:r w:rsidRPr="003B4362">
              <w:rPr>
                <w:iCs/>
                <w:szCs w:val="24"/>
              </w:rPr>
              <w:t xml:space="preserve">E.coli </w:t>
            </w:r>
            <w:r w:rsidRPr="003B4362">
              <w:rPr>
                <w:szCs w:val="24"/>
              </w:rPr>
              <w:t>(TT violations resulting from failure to perform Level 2 assessments or corrective action)</w:t>
            </w:r>
          </w:p>
        </w:tc>
        <w:tc>
          <w:tcPr>
            <w:tcW w:w="1296" w:type="dxa"/>
            <w:tcBorders>
              <w:top w:val="single" w:sz="6" w:space="0" w:color="auto"/>
              <w:left w:val="single" w:sz="6" w:space="0" w:color="auto"/>
              <w:bottom w:val="single" w:sz="6" w:space="0" w:color="auto"/>
              <w:right w:val="single" w:sz="6" w:space="0" w:color="auto"/>
            </w:tcBorders>
            <w:hideMark/>
          </w:tcPr>
          <w:p w14:paraId="1DA62CFB" w14:textId="77777777" w:rsidR="0010450A" w:rsidRPr="003B4362" w:rsidRDefault="0010450A" w:rsidP="00C619B9">
            <w:pPr>
              <w:widowControl w:val="0"/>
              <w:rPr>
                <w:szCs w:val="24"/>
              </w:rPr>
            </w:pPr>
            <w:r w:rsidRPr="003B4362">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0B18538E" w14:textId="77777777" w:rsidR="0010450A" w:rsidRPr="003B4362" w:rsidRDefault="0010450A" w:rsidP="00C619B9">
            <w:pPr>
              <w:widowControl w:val="0"/>
              <w:rPr>
                <w:strike/>
                <w:szCs w:val="24"/>
              </w:rPr>
            </w:pPr>
            <w:r w:rsidRPr="003B4362">
              <w:rPr>
                <w:szCs w:val="24"/>
              </w:rPr>
              <w:t>611.1060(b)(1)</w:t>
            </w:r>
          </w:p>
        </w:tc>
        <w:tc>
          <w:tcPr>
            <w:tcW w:w="1296" w:type="dxa"/>
            <w:tcBorders>
              <w:top w:val="single" w:sz="6" w:space="0" w:color="auto"/>
              <w:left w:val="single" w:sz="6" w:space="0" w:color="auto"/>
              <w:bottom w:val="single" w:sz="6" w:space="0" w:color="auto"/>
              <w:right w:val="single" w:sz="6" w:space="0" w:color="auto"/>
            </w:tcBorders>
          </w:tcPr>
          <w:p w14:paraId="3F4A352B" w14:textId="77777777" w:rsidR="0010450A" w:rsidRPr="003B4362" w:rsidRDefault="0010450A" w:rsidP="00C619B9">
            <w:pPr>
              <w:widowControl w:val="0"/>
              <w:rPr>
                <w:szCs w:val="24"/>
              </w:rPr>
            </w:pPr>
          </w:p>
        </w:tc>
        <w:tc>
          <w:tcPr>
            <w:tcW w:w="1728" w:type="dxa"/>
            <w:tcBorders>
              <w:top w:val="single" w:sz="6" w:space="0" w:color="auto"/>
              <w:left w:val="single" w:sz="6" w:space="0" w:color="auto"/>
              <w:bottom w:val="single" w:sz="6" w:space="0" w:color="auto"/>
              <w:right w:val="single" w:sz="6" w:space="0" w:color="auto"/>
            </w:tcBorders>
          </w:tcPr>
          <w:p w14:paraId="1CE69082" w14:textId="77777777" w:rsidR="0010450A" w:rsidRPr="003B4362" w:rsidRDefault="0010450A" w:rsidP="00C619B9">
            <w:pPr>
              <w:widowControl w:val="0"/>
              <w:rPr>
                <w:szCs w:val="24"/>
              </w:rPr>
            </w:pPr>
          </w:p>
        </w:tc>
      </w:tr>
      <w:tr w:rsidR="001628C1" w:rsidRPr="003B4362" w14:paraId="278EFECA" w14:textId="77777777" w:rsidTr="00AB0DD3">
        <w:trPr>
          <w:cantSplit/>
        </w:trPr>
        <w:tc>
          <w:tcPr>
            <w:tcW w:w="9360" w:type="dxa"/>
            <w:gridSpan w:val="5"/>
            <w:tcBorders>
              <w:top w:val="single" w:sz="6" w:space="0" w:color="auto"/>
              <w:left w:val="single" w:sz="6" w:space="0" w:color="auto"/>
              <w:bottom w:val="single" w:sz="6" w:space="0" w:color="auto"/>
              <w:right w:val="single" w:sz="6" w:space="0" w:color="auto"/>
            </w:tcBorders>
          </w:tcPr>
          <w:p w14:paraId="4080C83F" w14:textId="4B7A11CE" w:rsidR="00AB0DD3" w:rsidRPr="003B4362" w:rsidRDefault="00AB0DD3" w:rsidP="00C619B9">
            <w:pPr>
              <w:widowControl w:val="0"/>
              <w:rPr>
                <w:szCs w:val="24"/>
              </w:rPr>
            </w:pPr>
            <w:r w:rsidRPr="003B4362">
              <w:rPr>
                <w:szCs w:val="24"/>
              </w:rPr>
              <w:t xml:space="preserve">3. This entry relates to the obsolete MCL for turbidity in 40 CFR 141.13 that does not apply to any supplier in Illinois.  This statement </w:t>
            </w:r>
            <w:r w:rsidR="00FA5A76" w:rsidRPr="003B4362">
              <w:rPr>
                <w:szCs w:val="24"/>
              </w:rPr>
              <w:t>maintains</w:t>
            </w:r>
            <w:r w:rsidRPr="003B4362">
              <w:rPr>
                <w:szCs w:val="24"/>
              </w:rPr>
              <w:t xml:space="preserve"> structural consistency with the corresponding USEPA rule.</w:t>
            </w:r>
          </w:p>
        </w:tc>
      </w:tr>
      <w:tr w:rsidR="001628C1" w:rsidRPr="003B4362" w14:paraId="548096EF"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1970499F" w14:textId="36B37BF8" w:rsidR="0010450A" w:rsidRPr="003B4362" w:rsidRDefault="0010450A" w:rsidP="00C619B9">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03C514DC" w14:textId="1EA7AC91" w:rsidR="0010450A" w:rsidRPr="003B4362"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3ABDE2F6" w14:textId="2193F77E" w:rsidR="0010450A" w:rsidRPr="003B4362" w:rsidRDefault="0010450A" w:rsidP="00C619B9">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21B8C332" w14:textId="448A54D2" w:rsidR="0010450A" w:rsidRPr="003B4362"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4825281C" w14:textId="09E4D109" w:rsidR="0010450A" w:rsidRPr="003B4362" w:rsidRDefault="0010450A" w:rsidP="00C619B9">
            <w:pPr>
              <w:widowControl w:val="0"/>
              <w:rPr>
                <w:strike/>
              </w:rPr>
            </w:pPr>
          </w:p>
        </w:tc>
      </w:tr>
      <w:tr w:rsidR="001628C1" w:rsidRPr="003B4362" w14:paraId="39E297C9" w14:textId="77777777" w:rsidTr="00F32398">
        <w:trPr>
          <w:cantSplit/>
        </w:trPr>
        <w:tc>
          <w:tcPr>
            <w:tcW w:w="9360" w:type="dxa"/>
            <w:gridSpan w:val="5"/>
            <w:tcBorders>
              <w:top w:val="single" w:sz="6" w:space="0" w:color="auto"/>
              <w:left w:val="single" w:sz="6" w:space="0" w:color="auto"/>
              <w:bottom w:val="single" w:sz="6" w:space="0" w:color="auto"/>
              <w:right w:val="single" w:sz="6" w:space="0" w:color="auto"/>
            </w:tcBorders>
          </w:tcPr>
          <w:p w14:paraId="69B7591D" w14:textId="2B4B3FEE" w:rsidR="00AB0DD3" w:rsidRPr="003B4362" w:rsidRDefault="00AB0DD3" w:rsidP="00F32398">
            <w:pPr>
              <w:widowControl w:val="0"/>
              <w:rPr>
                <w:szCs w:val="24"/>
              </w:rPr>
            </w:pPr>
            <w:r w:rsidRPr="003B4362">
              <w:rPr>
                <w:szCs w:val="24"/>
              </w:rPr>
              <w:t xml:space="preserve">4. This entry relates to the obsolete MCL for turbidity in 40 CFR 141.13 that does not apply to any supplier in Illinois.  This statement </w:t>
            </w:r>
            <w:r w:rsidR="00FA5A76" w:rsidRPr="003B4362">
              <w:rPr>
                <w:szCs w:val="24"/>
              </w:rPr>
              <w:t>maintains</w:t>
            </w:r>
            <w:r w:rsidRPr="003B4362">
              <w:rPr>
                <w:szCs w:val="24"/>
              </w:rPr>
              <w:t xml:space="preserve"> structural consistency with the corresponding USEPA rule.</w:t>
            </w:r>
          </w:p>
        </w:tc>
      </w:tr>
      <w:tr w:rsidR="001628C1" w:rsidRPr="003B4362" w14:paraId="6E5C328F"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642B23B7" w14:textId="2A340A75" w:rsidR="0010450A" w:rsidRPr="003B4362" w:rsidRDefault="0010450A" w:rsidP="00C619B9">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66061BF7" w14:textId="2981E938" w:rsidR="0010450A" w:rsidRPr="003B4362"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136BAF92" w14:textId="77DCE474" w:rsidR="0010450A" w:rsidRPr="003B4362" w:rsidRDefault="0010450A" w:rsidP="00C619B9">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253B298A" w14:textId="7035318B" w:rsidR="0010450A" w:rsidRPr="003B4362"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69B56122" w14:textId="43BAA7FE" w:rsidR="0010450A" w:rsidRPr="003B4362" w:rsidRDefault="0010450A" w:rsidP="00C619B9">
            <w:pPr>
              <w:widowControl w:val="0"/>
              <w:rPr>
                <w:strike/>
              </w:rPr>
            </w:pPr>
          </w:p>
        </w:tc>
      </w:tr>
      <w:tr w:rsidR="001628C1" w:rsidRPr="003B4362" w14:paraId="12E7125A"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620C96A7" w14:textId="77777777" w:rsidR="0010450A" w:rsidRPr="003B4362" w:rsidRDefault="0010450A" w:rsidP="00C619B9">
            <w:pPr>
              <w:widowControl w:val="0"/>
            </w:pPr>
            <w:r w:rsidRPr="003B4362">
              <w:lastRenderedPageBreak/>
              <w:t>5. Turbidity (for TT violations resulting from a single exceedance of maximum allowable turbidity level)</w:t>
            </w:r>
          </w:p>
        </w:tc>
        <w:tc>
          <w:tcPr>
            <w:tcW w:w="1296" w:type="dxa"/>
            <w:tcBorders>
              <w:top w:val="single" w:sz="6" w:space="0" w:color="auto"/>
              <w:left w:val="single" w:sz="6" w:space="0" w:color="auto"/>
              <w:bottom w:val="single" w:sz="6" w:space="0" w:color="auto"/>
              <w:right w:val="single" w:sz="6" w:space="0" w:color="auto"/>
            </w:tcBorders>
            <w:hideMark/>
          </w:tcPr>
          <w:p w14:paraId="17FC6481" w14:textId="77777777" w:rsidR="0010450A" w:rsidRPr="003B4362" w:rsidRDefault="0010450A" w:rsidP="00C619B9">
            <w:pPr>
              <w:widowControl w:val="0"/>
            </w:pPr>
            <w:r w:rsidRPr="003B4362">
              <w:rPr>
                <w:vertAlign w:val="superscript"/>
              </w:rPr>
              <w:t>6</w:t>
            </w:r>
            <w:r w:rsidRPr="003B4362">
              <w:t xml:space="preserve"> 2, 1</w:t>
            </w:r>
          </w:p>
        </w:tc>
        <w:tc>
          <w:tcPr>
            <w:tcW w:w="1728" w:type="dxa"/>
            <w:tcBorders>
              <w:top w:val="single" w:sz="6" w:space="0" w:color="auto"/>
              <w:left w:val="single" w:sz="6" w:space="0" w:color="auto"/>
              <w:bottom w:val="single" w:sz="6" w:space="0" w:color="auto"/>
              <w:right w:val="single" w:sz="6" w:space="0" w:color="auto"/>
            </w:tcBorders>
            <w:hideMark/>
          </w:tcPr>
          <w:p w14:paraId="48A8688D" w14:textId="77777777" w:rsidR="0010450A" w:rsidRPr="003B4362" w:rsidRDefault="0010450A" w:rsidP="00C619B9">
            <w:pPr>
              <w:widowControl w:val="0"/>
            </w:pPr>
            <w:r w:rsidRPr="003B4362">
              <w:t>611.231(b), 611.233(b)(1), 611.250(a)(2), 611.250(b)(2), 611.250(c)(2), 611.250(d), 611.743(a)(2), 611.743(b), 611.955(b)(2)</w:t>
            </w:r>
          </w:p>
        </w:tc>
        <w:tc>
          <w:tcPr>
            <w:tcW w:w="1296" w:type="dxa"/>
            <w:tcBorders>
              <w:top w:val="single" w:sz="6" w:space="0" w:color="auto"/>
              <w:left w:val="single" w:sz="6" w:space="0" w:color="auto"/>
              <w:bottom w:val="single" w:sz="6" w:space="0" w:color="auto"/>
              <w:right w:val="single" w:sz="6" w:space="0" w:color="auto"/>
            </w:tcBorders>
            <w:hideMark/>
          </w:tcPr>
          <w:p w14:paraId="7FBFD232"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CEFB45B" w14:textId="77777777" w:rsidR="0010450A" w:rsidRPr="003B4362" w:rsidRDefault="0010450A" w:rsidP="00C619B9">
            <w:pPr>
              <w:widowControl w:val="0"/>
            </w:pPr>
            <w:r w:rsidRPr="003B4362">
              <w:t>611.531(a), 611.532(b), 611.533(a), 611.744, 611.956(a)(1)-(a)(3), 611.956(b)</w:t>
            </w:r>
          </w:p>
        </w:tc>
      </w:tr>
      <w:tr w:rsidR="001628C1" w:rsidRPr="003B4362" w14:paraId="547D878E"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45B7D3F2" w14:textId="77777777" w:rsidR="0010450A" w:rsidRPr="003B4362" w:rsidRDefault="0010450A" w:rsidP="00C619B9">
            <w:pPr>
              <w:widowControl w:val="0"/>
            </w:pPr>
            <w:r w:rsidRPr="003B4362">
              <w:t>6. Surface Water Treatment Rule violations, other than violations resulting from single exceedance of max. allowable turbidity level (TT)</w:t>
            </w:r>
          </w:p>
        </w:tc>
        <w:tc>
          <w:tcPr>
            <w:tcW w:w="1296" w:type="dxa"/>
            <w:tcBorders>
              <w:top w:val="single" w:sz="6" w:space="0" w:color="auto"/>
              <w:left w:val="single" w:sz="6" w:space="0" w:color="auto"/>
              <w:bottom w:val="single" w:sz="6" w:space="0" w:color="auto"/>
              <w:right w:val="single" w:sz="6" w:space="0" w:color="auto"/>
            </w:tcBorders>
            <w:hideMark/>
          </w:tcPr>
          <w:p w14:paraId="384ACF2B"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28FA7FD0" w14:textId="77777777" w:rsidR="0010450A" w:rsidRPr="003B4362" w:rsidRDefault="0010450A" w:rsidP="00C619B9">
            <w:pPr>
              <w:widowControl w:val="0"/>
            </w:pPr>
            <w:r w:rsidRPr="003B4362">
              <w:t>611.211, 611.213, 611.220, 611.230-611.233, 611.240-611.242, 611.250</w:t>
            </w:r>
          </w:p>
        </w:tc>
        <w:tc>
          <w:tcPr>
            <w:tcW w:w="1296" w:type="dxa"/>
            <w:tcBorders>
              <w:top w:val="single" w:sz="6" w:space="0" w:color="auto"/>
              <w:left w:val="single" w:sz="6" w:space="0" w:color="auto"/>
              <w:bottom w:val="single" w:sz="6" w:space="0" w:color="auto"/>
              <w:right w:val="single" w:sz="6" w:space="0" w:color="auto"/>
            </w:tcBorders>
            <w:hideMark/>
          </w:tcPr>
          <w:p w14:paraId="2D060436"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ADC678E" w14:textId="77777777" w:rsidR="0010450A" w:rsidRPr="003B4362" w:rsidRDefault="0010450A" w:rsidP="00C619B9">
            <w:pPr>
              <w:widowControl w:val="0"/>
            </w:pPr>
            <w:r w:rsidRPr="003B4362">
              <w:t>611.531-611.533</w:t>
            </w:r>
          </w:p>
        </w:tc>
      </w:tr>
      <w:tr w:rsidR="001628C1" w:rsidRPr="003B4362" w14:paraId="7E8A84EC"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6EC62BAC" w14:textId="77777777" w:rsidR="0010450A" w:rsidRPr="003B4362" w:rsidRDefault="0010450A" w:rsidP="00C619B9">
            <w:pPr>
              <w:widowControl w:val="0"/>
            </w:pPr>
            <w:r w:rsidRPr="003B4362">
              <w:t>7. Interim Enhanced Surface Water Treatment Rule violations, other than violations resulting from single exceedance of max. turbidity level (TT)</w:t>
            </w:r>
          </w:p>
        </w:tc>
        <w:tc>
          <w:tcPr>
            <w:tcW w:w="1296" w:type="dxa"/>
            <w:tcBorders>
              <w:top w:val="single" w:sz="6" w:space="0" w:color="auto"/>
              <w:left w:val="single" w:sz="6" w:space="0" w:color="auto"/>
              <w:bottom w:val="single" w:sz="6" w:space="0" w:color="auto"/>
              <w:right w:val="single" w:sz="6" w:space="0" w:color="auto"/>
            </w:tcBorders>
            <w:hideMark/>
          </w:tcPr>
          <w:p w14:paraId="43866490"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5CCC48D" w14:textId="77777777" w:rsidR="0010450A" w:rsidRPr="003B4362" w:rsidRDefault="0010450A" w:rsidP="00C619B9">
            <w:pPr>
              <w:widowControl w:val="0"/>
            </w:pPr>
            <w:r w:rsidRPr="003B4362">
              <w:rPr>
                <w:vertAlign w:val="superscript"/>
              </w:rPr>
              <w:t>7</w:t>
            </w:r>
            <w:r w:rsidRPr="003B4362">
              <w:t xml:space="preserve"> 611.740-611.743, 611.950-611.955</w:t>
            </w:r>
          </w:p>
        </w:tc>
        <w:tc>
          <w:tcPr>
            <w:tcW w:w="1296" w:type="dxa"/>
            <w:tcBorders>
              <w:top w:val="single" w:sz="6" w:space="0" w:color="auto"/>
              <w:left w:val="single" w:sz="6" w:space="0" w:color="auto"/>
              <w:bottom w:val="single" w:sz="6" w:space="0" w:color="auto"/>
              <w:right w:val="single" w:sz="6" w:space="0" w:color="auto"/>
            </w:tcBorders>
            <w:hideMark/>
          </w:tcPr>
          <w:p w14:paraId="6B9D1FB3"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5D60500" w14:textId="77777777" w:rsidR="0010450A" w:rsidRPr="003B4362" w:rsidRDefault="0010450A" w:rsidP="00C619B9">
            <w:pPr>
              <w:widowControl w:val="0"/>
            </w:pPr>
            <w:r w:rsidRPr="003B4362">
              <w:t>611.742, 611.744, 611.953, 611.954, 611.956</w:t>
            </w:r>
          </w:p>
        </w:tc>
      </w:tr>
      <w:tr w:rsidR="001628C1" w:rsidRPr="003B4362" w14:paraId="00DBB018"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231A4D38" w14:textId="77777777" w:rsidR="0010450A" w:rsidRPr="003B4362" w:rsidRDefault="0010450A" w:rsidP="00C619B9">
            <w:pPr>
              <w:widowControl w:val="0"/>
            </w:pPr>
            <w:r w:rsidRPr="003B4362">
              <w:t>8. Filter Backwash Recycling Rule violations</w:t>
            </w:r>
          </w:p>
        </w:tc>
        <w:tc>
          <w:tcPr>
            <w:tcW w:w="1296" w:type="dxa"/>
            <w:tcBorders>
              <w:top w:val="single" w:sz="6" w:space="0" w:color="auto"/>
              <w:left w:val="single" w:sz="6" w:space="0" w:color="auto"/>
              <w:bottom w:val="single" w:sz="6" w:space="0" w:color="auto"/>
              <w:right w:val="single" w:sz="6" w:space="0" w:color="auto"/>
            </w:tcBorders>
            <w:hideMark/>
          </w:tcPr>
          <w:p w14:paraId="43111E02"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2B90334" w14:textId="77777777" w:rsidR="0010450A" w:rsidRPr="003B4362" w:rsidRDefault="0010450A" w:rsidP="00C619B9">
            <w:pPr>
              <w:widowControl w:val="0"/>
            </w:pPr>
            <w:r w:rsidRPr="003B4362">
              <w:t>611.276(c)</w:t>
            </w:r>
          </w:p>
        </w:tc>
        <w:tc>
          <w:tcPr>
            <w:tcW w:w="1296" w:type="dxa"/>
            <w:tcBorders>
              <w:top w:val="single" w:sz="6" w:space="0" w:color="auto"/>
              <w:left w:val="single" w:sz="6" w:space="0" w:color="auto"/>
              <w:bottom w:val="single" w:sz="6" w:space="0" w:color="auto"/>
              <w:right w:val="single" w:sz="6" w:space="0" w:color="auto"/>
            </w:tcBorders>
            <w:hideMark/>
          </w:tcPr>
          <w:p w14:paraId="0EBC9884"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433C363" w14:textId="77777777" w:rsidR="0010450A" w:rsidRPr="003B4362" w:rsidRDefault="0010450A" w:rsidP="00C619B9">
            <w:pPr>
              <w:widowControl w:val="0"/>
            </w:pPr>
            <w:r w:rsidRPr="003B4362">
              <w:t>611.276(b), (d)</w:t>
            </w:r>
          </w:p>
        </w:tc>
      </w:tr>
      <w:tr w:rsidR="001628C1" w:rsidRPr="003B4362" w14:paraId="0488C469"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06FF3767" w14:textId="77777777" w:rsidR="0010450A" w:rsidRPr="003B4362" w:rsidRDefault="0010450A" w:rsidP="00C619B9">
            <w:pPr>
              <w:widowControl w:val="0"/>
            </w:pPr>
            <w:r w:rsidRPr="003B4362">
              <w:t>9. Long Term 1 Enhanced Surface Water Treatment Rule violations</w:t>
            </w:r>
          </w:p>
        </w:tc>
        <w:tc>
          <w:tcPr>
            <w:tcW w:w="1296" w:type="dxa"/>
            <w:tcBorders>
              <w:top w:val="single" w:sz="6" w:space="0" w:color="auto"/>
              <w:left w:val="single" w:sz="6" w:space="0" w:color="auto"/>
              <w:bottom w:val="single" w:sz="6" w:space="0" w:color="auto"/>
              <w:right w:val="single" w:sz="6" w:space="0" w:color="auto"/>
            </w:tcBorders>
            <w:hideMark/>
          </w:tcPr>
          <w:p w14:paraId="07FD241E"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55F4CA2" w14:textId="77777777" w:rsidR="0010450A" w:rsidRPr="003B4362" w:rsidRDefault="0010450A" w:rsidP="00C619B9">
            <w:pPr>
              <w:widowControl w:val="0"/>
            </w:pPr>
            <w:r w:rsidRPr="003B4362">
              <w:t>611.950-611.955</w:t>
            </w:r>
          </w:p>
        </w:tc>
        <w:tc>
          <w:tcPr>
            <w:tcW w:w="1296" w:type="dxa"/>
            <w:tcBorders>
              <w:top w:val="single" w:sz="6" w:space="0" w:color="auto"/>
              <w:left w:val="single" w:sz="6" w:space="0" w:color="auto"/>
              <w:bottom w:val="single" w:sz="6" w:space="0" w:color="auto"/>
              <w:right w:val="single" w:sz="6" w:space="0" w:color="auto"/>
            </w:tcBorders>
            <w:hideMark/>
          </w:tcPr>
          <w:p w14:paraId="040BA7C1"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E2F381E" w14:textId="77777777" w:rsidR="0010450A" w:rsidRPr="003B4362" w:rsidRDefault="0010450A" w:rsidP="00C619B9">
            <w:pPr>
              <w:widowControl w:val="0"/>
            </w:pPr>
            <w:r w:rsidRPr="003B4362">
              <w:t>611.953, 611.954, 611.956</w:t>
            </w:r>
          </w:p>
        </w:tc>
      </w:tr>
      <w:tr w:rsidR="001628C1" w:rsidRPr="003B4362" w14:paraId="2B8AC1CC"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0DE3A25A" w14:textId="77777777" w:rsidR="0010450A" w:rsidRPr="003B4362" w:rsidRDefault="0010450A" w:rsidP="00C619B9">
            <w:pPr>
              <w:widowControl w:val="0"/>
            </w:pPr>
            <w:r w:rsidRPr="003B4362">
              <w:rPr>
                <w:szCs w:val="16"/>
              </w:rPr>
              <w:t>10. LT2ESWTR violations</w:t>
            </w:r>
          </w:p>
        </w:tc>
        <w:tc>
          <w:tcPr>
            <w:tcW w:w="1296" w:type="dxa"/>
            <w:tcBorders>
              <w:top w:val="single" w:sz="6" w:space="0" w:color="auto"/>
              <w:left w:val="single" w:sz="6" w:space="0" w:color="auto"/>
              <w:bottom w:val="single" w:sz="6" w:space="0" w:color="auto"/>
              <w:right w:val="single" w:sz="6" w:space="0" w:color="auto"/>
            </w:tcBorders>
            <w:hideMark/>
          </w:tcPr>
          <w:p w14:paraId="70D7FEA1" w14:textId="77777777" w:rsidR="0010450A" w:rsidRPr="003B4362" w:rsidRDefault="0010450A" w:rsidP="00C619B9">
            <w:pPr>
              <w:widowControl w:val="0"/>
            </w:pPr>
            <w:r w:rsidRPr="003B4362">
              <w:rPr>
                <w:szCs w:val="16"/>
              </w:rPr>
              <w:t>2</w:t>
            </w:r>
          </w:p>
        </w:tc>
        <w:tc>
          <w:tcPr>
            <w:tcW w:w="1728" w:type="dxa"/>
            <w:tcBorders>
              <w:top w:val="single" w:sz="6" w:space="0" w:color="auto"/>
              <w:left w:val="single" w:sz="6" w:space="0" w:color="auto"/>
              <w:bottom w:val="single" w:sz="6" w:space="0" w:color="auto"/>
              <w:right w:val="single" w:sz="6" w:space="0" w:color="auto"/>
            </w:tcBorders>
            <w:hideMark/>
          </w:tcPr>
          <w:p w14:paraId="29505F93" w14:textId="77777777" w:rsidR="0010450A" w:rsidRPr="003B4362" w:rsidRDefault="0010450A" w:rsidP="00C619B9">
            <w:pPr>
              <w:widowControl w:val="0"/>
            </w:pPr>
            <w:r w:rsidRPr="003B4362">
              <w:rPr>
                <w:szCs w:val="16"/>
              </w:rPr>
              <w:t>611.1010-611.1020</w:t>
            </w:r>
          </w:p>
        </w:tc>
        <w:tc>
          <w:tcPr>
            <w:tcW w:w="1296" w:type="dxa"/>
            <w:tcBorders>
              <w:top w:val="single" w:sz="6" w:space="0" w:color="auto"/>
              <w:left w:val="single" w:sz="6" w:space="0" w:color="auto"/>
              <w:bottom w:val="single" w:sz="6" w:space="0" w:color="auto"/>
              <w:right w:val="single" w:sz="6" w:space="0" w:color="auto"/>
            </w:tcBorders>
            <w:hideMark/>
          </w:tcPr>
          <w:p w14:paraId="0B6F5243" w14:textId="77777777" w:rsidR="0010450A" w:rsidRPr="003B4362" w:rsidRDefault="0010450A" w:rsidP="00C619B9">
            <w:pPr>
              <w:widowControl w:val="0"/>
            </w:pPr>
            <w:r w:rsidRPr="003B4362">
              <w:rPr>
                <w:szCs w:val="10"/>
                <w:vertAlign w:val="superscript"/>
              </w:rPr>
              <w:t>19</w:t>
            </w:r>
            <w:r w:rsidRPr="003B4362">
              <w:rPr>
                <w:szCs w:val="10"/>
              </w:rPr>
              <w:t xml:space="preserve"> </w:t>
            </w:r>
            <w:r w:rsidRPr="003B4362">
              <w:rPr>
                <w:szCs w:val="16"/>
              </w:rPr>
              <w:t>2, 3</w:t>
            </w:r>
          </w:p>
        </w:tc>
        <w:tc>
          <w:tcPr>
            <w:tcW w:w="1728" w:type="dxa"/>
            <w:tcBorders>
              <w:top w:val="single" w:sz="6" w:space="0" w:color="auto"/>
              <w:left w:val="single" w:sz="6" w:space="0" w:color="auto"/>
              <w:bottom w:val="single" w:sz="6" w:space="0" w:color="auto"/>
              <w:right w:val="single" w:sz="6" w:space="0" w:color="auto"/>
            </w:tcBorders>
            <w:hideMark/>
          </w:tcPr>
          <w:p w14:paraId="48B38F3C" w14:textId="77777777" w:rsidR="0010450A" w:rsidRPr="003B4362" w:rsidRDefault="0010450A" w:rsidP="00C619B9">
            <w:pPr>
              <w:widowControl w:val="0"/>
            </w:pPr>
            <w:r w:rsidRPr="003B4362">
              <w:rPr>
                <w:szCs w:val="16"/>
              </w:rPr>
              <w:t>611.1001-611.1005 and 611.1008-611.1009</w:t>
            </w:r>
          </w:p>
        </w:tc>
      </w:tr>
      <w:tr w:rsidR="001628C1" w:rsidRPr="003B4362" w14:paraId="2023AFF1"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05397027" w14:textId="77777777" w:rsidR="0010450A" w:rsidRPr="003B4362" w:rsidRDefault="0010450A" w:rsidP="00C619B9">
            <w:pPr>
              <w:widowControl w:val="0"/>
            </w:pPr>
            <w:r w:rsidRPr="003B4362">
              <w:t>11. Groundwater Rule violations</w:t>
            </w:r>
          </w:p>
        </w:tc>
        <w:tc>
          <w:tcPr>
            <w:tcW w:w="1296" w:type="dxa"/>
            <w:tcBorders>
              <w:top w:val="single" w:sz="6" w:space="0" w:color="auto"/>
              <w:left w:val="single" w:sz="6" w:space="0" w:color="auto"/>
              <w:bottom w:val="single" w:sz="6" w:space="0" w:color="auto"/>
              <w:right w:val="single" w:sz="6" w:space="0" w:color="auto"/>
            </w:tcBorders>
            <w:hideMark/>
          </w:tcPr>
          <w:p w14:paraId="07902EC3"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15E90DC" w14:textId="77777777" w:rsidR="0010450A" w:rsidRPr="003B4362" w:rsidRDefault="0010450A" w:rsidP="00C619B9">
            <w:pPr>
              <w:widowControl w:val="0"/>
            </w:pPr>
            <w:r w:rsidRPr="003B4362">
              <w:t>611.804</w:t>
            </w:r>
          </w:p>
        </w:tc>
        <w:tc>
          <w:tcPr>
            <w:tcW w:w="1296" w:type="dxa"/>
            <w:tcBorders>
              <w:top w:val="single" w:sz="6" w:space="0" w:color="auto"/>
              <w:left w:val="single" w:sz="6" w:space="0" w:color="auto"/>
              <w:bottom w:val="single" w:sz="6" w:space="0" w:color="auto"/>
              <w:right w:val="single" w:sz="6" w:space="0" w:color="auto"/>
            </w:tcBorders>
            <w:hideMark/>
          </w:tcPr>
          <w:p w14:paraId="63E80D3B" w14:textId="77777777" w:rsidR="0010450A" w:rsidRPr="003B4362" w:rsidRDefault="0010450A" w:rsidP="00C619B9">
            <w:pPr>
              <w:widowControl w:val="0"/>
              <w:rPr>
                <w:szCs w:val="10"/>
                <w:vertAlign w:val="superscript"/>
              </w:rPr>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8506AF2" w14:textId="77777777" w:rsidR="0010450A" w:rsidRPr="003B4362" w:rsidRDefault="0010450A" w:rsidP="00C619B9">
            <w:pPr>
              <w:widowControl w:val="0"/>
            </w:pPr>
            <w:r w:rsidRPr="003B4362">
              <w:t>611.802(h)</w:t>
            </w:r>
          </w:p>
        </w:tc>
      </w:tr>
    </w:tbl>
    <w:p w14:paraId="142164DB" w14:textId="77777777" w:rsidR="0010450A" w:rsidRPr="003B4362" w:rsidRDefault="0010450A" w:rsidP="0010450A">
      <w:pPr>
        <w:keepNext/>
        <w:keepLines/>
        <w:widowControl w:val="0"/>
        <w:spacing w:before="240" w:after="240"/>
      </w:pPr>
      <w:r w:rsidRPr="003B4362">
        <w:t>B. Inorganic Chemicals (IOCs)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19E2BEB5"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026D0CA" w14:textId="77777777" w:rsidR="0010450A" w:rsidRPr="003B4362" w:rsidRDefault="0010450A" w:rsidP="00C619B9">
            <w:pPr>
              <w:widowControl w:val="0"/>
            </w:pPr>
            <w:r w:rsidRPr="003B4362">
              <w:t>1. Antimony</w:t>
            </w:r>
          </w:p>
        </w:tc>
        <w:tc>
          <w:tcPr>
            <w:tcW w:w="1296" w:type="dxa"/>
            <w:tcBorders>
              <w:top w:val="single" w:sz="6" w:space="0" w:color="auto"/>
              <w:left w:val="single" w:sz="6" w:space="0" w:color="auto"/>
              <w:bottom w:val="single" w:sz="6" w:space="0" w:color="auto"/>
              <w:right w:val="single" w:sz="6" w:space="0" w:color="auto"/>
            </w:tcBorders>
            <w:hideMark/>
          </w:tcPr>
          <w:p w14:paraId="4C24CE2B"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B0619F8"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741F0A78"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5E19374" w14:textId="77777777" w:rsidR="0010450A" w:rsidRPr="003B4362" w:rsidRDefault="0010450A" w:rsidP="00C619B9">
            <w:pPr>
              <w:widowControl w:val="0"/>
            </w:pPr>
            <w:r w:rsidRPr="003B4362">
              <w:t>611.600, 611.601, 611.603</w:t>
            </w:r>
          </w:p>
        </w:tc>
      </w:tr>
      <w:tr w:rsidR="001628C1" w:rsidRPr="003B4362" w14:paraId="6BC59BE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ABAD902" w14:textId="77777777" w:rsidR="0010450A" w:rsidRPr="003B4362" w:rsidRDefault="0010450A" w:rsidP="00C619B9">
            <w:pPr>
              <w:widowControl w:val="0"/>
            </w:pPr>
            <w:r w:rsidRPr="003B4362">
              <w:lastRenderedPageBreak/>
              <w:t>2. Arsenic</w:t>
            </w:r>
          </w:p>
        </w:tc>
        <w:tc>
          <w:tcPr>
            <w:tcW w:w="1296" w:type="dxa"/>
            <w:tcBorders>
              <w:top w:val="single" w:sz="6" w:space="0" w:color="auto"/>
              <w:left w:val="single" w:sz="6" w:space="0" w:color="auto"/>
              <w:bottom w:val="single" w:sz="6" w:space="0" w:color="auto"/>
              <w:right w:val="single" w:sz="6" w:space="0" w:color="auto"/>
            </w:tcBorders>
            <w:hideMark/>
          </w:tcPr>
          <w:p w14:paraId="5D23DE7E"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41B6D87"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6B45A124"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943DEC2" w14:textId="77777777" w:rsidR="0010450A" w:rsidRPr="003B4362" w:rsidRDefault="0010450A" w:rsidP="00C619B9">
            <w:pPr>
              <w:widowControl w:val="0"/>
            </w:pPr>
            <w:r w:rsidRPr="003B4362">
              <w:t>611.601, 611.603</w:t>
            </w:r>
          </w:p>
        </w:tc>
      </w:tr>
      <w:tr w:rsidR="001628C1" w:rsidRPr="003B4362" w14:paraId="60B6E4A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6FAEE8C" w14:textId="77777777" w:rsidR="0010450A" w:rsidRPr="003B4362" w:rsidRDefault="0010450A" w:rsidP="00C619B9">
            <w:pPr>
              <w:widowControl w:val="0"/>
            </w:pPr>
            <w:r w:rsidRPr="003B4362">
              <w:t>3. Asbestos (fibers greater than 10 µm)</w:t>
            </w:r>
          </w:p>
        </w:tc>
        <w:tc>
          <w:tcPr>
            <w:tcW w:w="1296" w:type="dxa"/>
            <w:tcBorders>
              <w:top w:val="single" w:sz="6" w:space="0" w:color="auto"/>
              <w:left w:val="single" w:sz="6" w:space="0" w:color="auto"/>
              <w:bottom w:val="single" w:sz="6" w:space="0" w:color="auto"/>
              <w:right w:val="single" w:sz="6" w:space="0" w:color="auto"/>
            </w:tcBorders>
            <w:hideMark/>
          </w:tcPr>
          <w:p w14:paraId="339E2DA1"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564938E0"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5217DCD7"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87FFA6B" w14:textId="77777777" w:rsidR="0010450A" w:rsidRPr="003B4362" w:rsidRDefault="0010450A" w:rsidP="00C619B9">
            <w:pPr>
              <w:widowControl w:val="0"/>
            </w:pPr>
            <w:r w:rsidRPr="003B4362">
              <w:t>611.600, 611.601, 611.602</w:t>
            </w:r>
          </w:p>
        </w:tc>
      </w:tr>
      <w:tr w:rsidR="001628C1" w:rsidRPr="003B4362" w14:paraId="775333C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36F2918" w14:textId="77777777" w:rsidR="0010450A" w:rsidRPr="003B4362" w:rsidRDefault="0010450A" w:rsidP="00C619B9">
            <w:pPr>
              <w:widowControl w:val="0"/>
            </w:pPr>
            <w:r w:rsidRPr="003B4362">
              <w:t>4. Barium</w:t>
            </w:r>
          </w:p>
        </w:tc>
        <w:tc>
          <w:tcPr>
            <w:tcW w:w="1296" w:type="dxa"/>
            <w:tcBorders>
              <w:top w:val="single" w:sz="6" w:space="0" w:color="auto"/>
              <w:left w:val="single" w:sz="6" w:space="0" w:color="auto"/>
              <w:bottom w:val="single" w:sz="6" w:space="0" w:color="auto"/>
              <w:right w:val="single" w:sz="6" w:space="0" w:color="auto"/>
            </w:tcBorders>
            <w:hideMark/>
          </w:tcPr>
          <w:p w14:paraId="3A8867AB"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DFDDED2"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2F59CDA5"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233304FD" w14:textId="77777777" w:rsidR="0010450A" w:rsidRPr="003B4362" w:rsidRDefault="0010450A" w:rsidP="00C619B9">
            <w:pPr>
              <w:widowControl w:val="0"/>
            </w:pPr>
            <w:r w:rsidRPr="003B4362">
              <w:t>611.600, 611.601, 611.603</w:t>
            </w:r>
          </w:p>
        </w:tc>
      </w:tr>
      <w:tr w:rsidR="001628C1" w:rsidRPr="003B4362" w14:paraId="7257691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DF63947" w14:textId="77777777" w:rsidR="0010450A" w:rsidRPr="003B4362" w:rsidRDefault="0010450A" w:rsidP="00C619B9">
            <w:pPr>
              <w:widowControl w:val="0"/>
            </w:pPr>
            <w:r w:rsidRPr="003B4362">
              <w:t>5. Beryllium</w:t>
            </w:r>
          </w:p>
        </w:tc>
        <w:tc>
          <w:tcPr>
            <w:tcW w:w="1296" w:type="dxa"/>
            <w:tcBorders>
              <w:top w:val="single" w:sz="6" w:space="0" w:color="auto"/>
              <w:left w:val="single" w:sz="6" w:space="0" w:color="auto"/>
              <w:bottom w:val="single" w:sz="6" w:space="0" w:color="auto"/>
              <w:right w:val="single" w:sz="6" w:space="0" w:color="auto"/>
            </w:tcBorders>
            <w:hideMark/>
          </w:tcPr>
          <w:p w14:paraId="7A00267E"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2D19779"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6DACE5C7"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CF807FE" w14:textId="77777777" w:rsidR="0010450A" w:rsidRPr="003B4362" w:rsidRDefault="0010450A" w:rsidP="00C619B9">
            <w:pPr>
              <w:widowControl w:val="0"/>
            </w:pPr>
            <w:r w:rsidRPr="003B4362">
              <w:t>611.600, 611.601, 611.603</w:t>
            </w:r>
          </w:p>
        </w:tc>
      </w:tr>
      <w:tr w:rsidR="001628C1" w:rsidRPr="003B4362" w14:paraId="79DF9E1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E68BFE7" w14:textId="77777777" w:rsidR="0010450A" w:rsidRPr="003B4362" w:rsidRDefault="0010450A" w:rsidP="00C619B9">
            <w:pPr>
              <w:widowControl w:val="0"/>
            </w:pPr>
            <w:r w:rsidRPr="003B4362">
              <w:t>6. Cadmium</w:t>
            </w:r>
          </w:p>
        </w:tc>
        <w:tc>
          <w:tcPr>
            <w:tcW w:w="1296" w:type="dxa"/>
            <w:tcBorders>
              <w:top w:val="single" w:sz="6" w:space="0" w:color="auto"/>
              <w:left w:val="single" w:sz="6" w:space="0" w:color="auto"/>
              <w:bottom w:val="single" w:sz="6" w:space="0" w:color="auto"/>
              <w:right w:val="single" w:sz="6" w:space="0" w:color="auto"/>
            </w:tcBorders>
            <w:hideMark/>
          </w:tcPr>
          <w:p w14:paraId="3396BB4A"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89BCC77"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4BFFCF1D"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2FB97C3B" w14:textId="77777777" w:rsidR="0010450A" w:rsidRPr="003B4362" w:rsidRDefault="0010450A" w:rsidP="00C619B9">
            <w:pPr>
              <w:widowControl w:val="0"/>
            </w:pPr>
            <w:r w:rsidRPr="003B4362">
              <w:t>611.600, 611.601, 611.603</w:t>
            </w:r>
          </w:p>
        </w:tc>
      </w:tr>
      <w:tr w:rsidR="001628C1" w:rsidRPr="003B4362" w14:paraId="055FB27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2C12DE7" w14:textId="77777777" w:rsidR="0010450A" w:rsidRPr="003B4362" w:rsidRDefault="0010450A" w:rsidP="00C619B9">
            <w:pPr>
              <w:widowControl w:val="0"/>
            </w:pPr>
            <w:r w:rsidRPr="003B4362">
              <w:t>7. Chromium (total)</w:t>
            </w:r>
          </w:p>
        </w:tc>
        <w:tc>
          <w:tcPr>
            <w:tcW w:w="1296" w:type="dxa"/>
            <w:tcBorders>
              <w:top w:val="single" w:sz="6" w:space="0" w:color="auto"/>
              <w:left w:val="single" w:sz="6" w:space="0" w:color="auto"/>
              <w:bottom w:val="single" w:sz="6" w:space="0" w:color="auto"/>
              <w:right w:val="single" w:sz="6" w:space="0" w:color="auto"/>
            </w:tcBorders>
            <w:hideMark/>
          </w:tcPr>
          <w:p w14:paraId="180AC479"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020095B"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1813D921"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C7D7E36" w14:textId="77777777" w:rsidR="0010450A" w:rsidRPr="003B4362" w:rsidRDefault="0010450A" w:rsidP="00C619B9">
            <w:pPr>
              <w:widowControl w:val="0"/>
            </w:pPr>
            <w:r w:rsidRPr="003B4362">
              <w:t>611.600, 611.601, 611.603</w:t>
            </w:r>
          </w:p>
        </w:tc>
      </w:tr>
      <w:tr w:rsidR="001628C1" w:rsidRPr="003B4362" w14:paraId="4C95B86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34D3DD7" w14:textId="77777777" w:rsidR="0010450A" w:rsidRPr="003B4362" w:rsidRDefault="0010450A" w:rsidP="00C619B9">
            <w:pPr>
              <w:widowControl w:val="0"/>
            </w:pPr>
            <w:r w:rsidRPr="003B4362">
              <w:t>8. Cyanide</w:t>
            </w:r>
          </w:p>
        </w:tc>
        <w:tc>
          <w:tcPr>
            <w:tcW w:w="1296" w:type="dxa"/>
            <w:tcBorders>
              <w:top w:val="single" w:sz="6" w:space="0" w:color="auto"/>
              <w:left w:val="single" w:sz="6" w:space="0" w:color="auto"/>
              <w:bottom w:val="single" w:sz="6" w:space="0" w:color="auto"/>
              <w:right w:val="single" w:sz="6" w:space="0" w:color="auto"/>
            </w:tcBorders>
            <w:hideMark/>
          </w:tcPr>
          <w:p w14:paraId="054A4211"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CD53B4E"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6B50CA7E"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5753598" w14:textId="77777777" w:rsidR="0010450A" w:rsidRPr="003B4362" w:rsidRDefault="0010450A" w:rsidP="00C619B9">
            <w:pPr>
              <w:widowControl w:val="0"/>
            </w:pPr>
            <w:r w:rsidRPr="003B4362">
              <w:t>611.600, 611.601, 611.603</w:t>
            </w:r>
          </w:p>
        </w:tc>
      </w:tr>
      <w:tr w:rsidR="001628C1" w:rsidRPr="003B4362" w14:paraId="02DBF5D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6CFF307" w14:textId="77777777" w:rsidR="0010450A" w:rsidRPr="003B4362" w:rsidRDefault="0010450A" w:rsidP="00C619B9">
            <w:pPr>
              <w:widowControl w:val="0"/>
            </w:pPr>
            <w:r w:rsidRPr="003B4362">
              <w:t>9. Fluoride</w:t>
            </w:r>
          </w:p>
        </w:tc>
        <w:tc>
          <w:tcPr>
            <w:tcW w:w="1296" w:type="dxa"/>
            <w:tcBorders>
              <w:top w:val="single" w:sz="6" w:space="0" w:color="auto"/>
              <w:left w:val="single" w:sz="6" w:space="0" w:color="auto"/>
              <w:bottom w:val="single" w:sz="6" w:space="0" w:color="auto"/>
              <w:right w:val="single" w:sz="6" w:space="0" w:color="auto"/>
            </w:tcBorders>
            <w:hideMark/>
          </w:tcPr>
          <w:p w14:paraId="12AB2272"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A552D28"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40B224C8"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D39F0EA" w14:textId="77777777" w:rsidR="0010450A" w:rsidRPr="003B4362" w:rsidRDefault="0010450A" w:rsidP="00C619B9">
            <w:pPr>
              <w:widowControl w:val="0"/>
            </w:pPr>
            <w:r w:rsidRPr="003B4362">
              <w:t>611.600, 611.601, 611.603</w:t>
            </w:r>
          </w:p>
        </w:tc>
      </w:tr>
      <w:tr w:rsidR="001628C1" w:rsidRPr="003B4362" w14:paraId="1A58596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B72C864" w14:textId="77777777" w:rsidR="0010450A" w:rsidRPr="003B4362" w:rsidRDefault="0010450A" w:rsidP="00C619B9">
            <w:pPr>
              <w:widowControl w:val="0"/>
            </w:pPr>
            <w:r w:rsidRPr="003B4362">
              <w:t>10. Mercury (inorganic)</w:t>
            </w:r>
          </w:p>
        </w:tc>
        <w:tc>
          <w:tcPr>
            <w:tcW w:w="1296" w:type="dxa"/>
            <w:tcBorders>
              <w:top w:val="single" w:sz="6" w:space="0" w:color="auto"/>
              <w:left w:val="single" w:sz="6" w:space="0" w:color="auto"/>
              <w:bottom w:val="single" w:sz="6" w:space="0" w:color="auto"/>
              <w:right w:val="single" w:sz="6" w:space="0" w:color="auto"/>
            </w:tcBorders>
            <w:hideMark/>
          </w:tcPr>
          <w:p w14:paraId="0D7E8045"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90B9CAD"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5D8668DF"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8720C8E" w14:textId="77777777" w:rsidR="0010450A" w:rsidRPr="003B4362" w:rsidRDefault="0010450A" w:rsidP="00C619B9">
            <w:pPr>
              <w:widowControl w:val="0"/>
            </w:pPr>
            <w:r w:rsidRPr="003B4362">
              <w:t>611.600, 611.601, 611.603</w:t>
            </w:r>
          </w:p>
        </w:tc>
      </w:tr>
      <w:tr w:rsidR="001628C1" w:rsidRPr="003B4362" w14:paraId="6803CD9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A69EE7A" w14:textId="77777777" w:rsidR="0010450A" w:rsidRPr="003B4362" w:rsidRDefault="0010450A" w:rsidP="00C619B9">
            <w:pPr>
              <w:widowControl w:val="0"/>
            </w:pPr>
            <w:r w:rsidRPr="003B4362">
              <w:t>11. Nitrate</w:t>
            </w:r>
          </w:p>
        </w:tc>
        <w:tc>
          <w:tcPr>
            <w:tcW w:w="1296" w:type="dxa"/>
            <w:tcBorders>
              <w:top w:val="single" w:sz="6" w:space="0" w:color="auto"/>
              <w:left w:val="single" w:sz="6" w:space="0" w:color="auto"/>
              <w:bottom w:val="single" w:sz="6" w:space="0" w:color="auto"/>
              <w:right w:val="single" w:sz="6" w:space="0" w:color="auto"/>
            </w:tcBorders>
            <w:hideMark/>
          </w:tcPr>
          <w:p w14:paraId="5CEE8B0C" w14:textId="77777777" w:rsidR="0010450A" w:rsidRPr="003B4362" w:rsidRDefault="0010450A" w:rsidP="00C619B9">
            <w:pPr>
              <w:widowControl w:val="0"/>
            </w:pPr>
            <w:r w:rsidRPr="003B4362">
              <w:t>1</w:t>
            </w:r>
          </w:p>
        </w:tc>
        <w:tc>
          <w:tcPr>
            <w:tcW w:w="1728" w:type="dxa"/>
            <w:tcBorders>
              <w:top w:val="single" w:sz="6" w:space="0" w:color="auto"/>
              <w:left w:val="single" w:sz="6" w:space="0" w:color="auto"/>
              <w:bottom w:val="single" w:sz="6" w:space="0" w:color="auto"/>
              <w:right w:val="single" w:sz="6" w:space="0" w:color="auto"/>
            </w:tcBorders>
            <w:hideMark/>
          </w:tcPr>
          <w:p w14:paraId="46592533"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64F4E732" w14:textId="77777777" w:rsidR="0010450A" w:rsidRPr="003B4362" w:rsidRDefault="0010450A" w:rsidP="00C619B9">
            <w:pPr>
              <w:widowControl w:val="0"/>
            </w:pPr>
            <w:r w:rsidRPr="003B4362">
              <w:rPr>
                <w:vertAlign w:val="superscript"/>
              </w:rPr>
              <w:t>8</w:t>
            </w:r>
            <w:r w:rsidRPr="003B4362">
              <w:t xml:space="preserve"> 1, 3</w:t>
            </w:r>
          </w:p>
        </w:tc>
        <w:tc>
          <w:tcPr>
            <w:tcW w:w="1728" w:type="dxa"/>
            <w:tcBorders>
              <w:top w:val="single" w:sz="6" w:space="0" w:color="auto"/>
              <w:left w:val="single" w:sz="6" w:space="0" w:color="auto"/>
              <w:bottom w:val="single" w:sz="6" w:space="0" w:color="auto"/>
              <w:right w:val="single" w:sz="6" w:space="0" w:color="auto"/>
            </w:tcBorders>
            <w:hideMark/>
          </w:tcPr>
          <w:p w14:paraId="225668EB" w14:textId="77777777" w:rsidR="0010450A" w:rsidRPr="003B4362" w:rsidRDefault="0010450A" w:rsidP="00C619B9">
            <w:pPr>
              <w:widowControl w:val="0"/>
            </w:pPr>
            <w:r w:rsidRPr="003B4362">
              <w:t>611.600, 611.601, 611.604, 611.606</w:t>
            </w:r>
          </w:p>
        </w:tc>
      </w:tr>
      <w:tr w:rsidR="001628C1" w:rsidRPr="003B4362" w14:paraId="56CB26B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4F33255" w14:textId="77777777" w:rsidR="0010450A" w:rsidRPr="003B4362" w:rsidRDefault="0010450A" w:rsidP="00C619B9">
            <w:pPr>
              <w:widowControl w:val="0"/>
            </w:pPr>
            <w:r w:rsidRPr="003B4362">
              <w:t>12. Nitrite</w:t>
            </w:r>
          </w:p>
        </w:tc>
        <w:tc>
          <w:tcPr>
            <w:tcW w:w="1296" w:type="dxa"/>
            <w:tcBorders>
              <w:top w:val="single" w:sz="6" w:space="0" w:color="auto"/>
              <w:left w:val="single" w:sz="6" w:space="0" w:color="auto"/>
              <w:bottom w:val="single" w:sz="6" w:space="0" w:color="auto"/>
              <w:right w:val="single" w:sz="6" w:space="0" w:color="auto"/>
            </w:tcBorders>
            <w:hideMark/>
          </w:tcPr>
          <w:p w14:paraId="30DED939" w14:textId="77777777" w:rsidR="0010450A" w:rsidRPr="003B4362" w:rsidRDefault="0010450A" w:rsidP="00C619B9">
            <w:pPr>
              <w:widowControl w:val="0"/>
            </w:pPr>
            <w:r w:rsidRPr="003B4362">
              <w:t>1</w:t>
            </w:r>
          </w:p>
        </w:tc>
        <w:tc>
          <w:tcPr>
            <w:tcW w:w="1728" w:type="dxa"/>
            <w:tcBorders>
              <w:top w:val="single" w:sz="6" w:space="0" w:color="auto"/>
              <w:left w:val="single" w:sz="6" w:space="0" w:color="auto"/>
              <w:bottom w:val="single" w:sz="6" w:space="0" w:color="auto"/>
              <w:right w:val="single" w:sz="6" w:space="0" w:color="auto"/>
            </w:tcBorders>
            <w:hideMark/>
          </w:tcPr>
          <w:p w14:paraId="70401A60"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6640B754" w14:textId="77777777" w:rsidR="0010450A" w:rsidRPr="003B4362" w:rsidRDefault="0010450A" w:rsidP="00C619B9">
            <w:pPr>
              <w:widowControl w:val="0"/>
            </w:pPr>
            <w:r w:rsidRPr="003B4362">
              <w:rPr>
                <w:vertAlign w:val="superscript"/>
              </w:rPr>
              <w:t>8</w:t>
            </w:r>
            <w:r w:rsidRPr="003B4362">
              <w:t xml:space="preserve"> 1, 3</w:t>
            </w:r>
          </w:p>
        </w:tc>
        <w:tc>
          <w:tcPr>
            <w:tcW w:w="1728" w:type="dxa"/>
            <w:tcBorders>
              <w:top w:val="single" w:sz="6" w:space="0" w:color="auto"/>
              <w:left w:val="single" w:sz="6" w:space="0" w:color="auto"/>
              <w:bottom w:val="single" w:sz="6" w:space="0" w:color="auto"/>
              <w:right w:val="single" w:sz="6" w:space="0" w:color="auto"/>
            </w:tcBorders>
            <w:hideMark/>
          </w:tcPr>
          <w:p w14:paraId="5BC6056E" w14:textId="77777777" w:rsidR="0010450A" w:rsidRPr="003B4362" w:rsidRDefault="0010450A" w:rsidP="00C619B9">
            <w:pPr>
              <w:widowControl w:val="0"/>
            </w:pPr>
            <w:r w:rsidRPr="003B4362">
              <w:t>611.600, 611.601, 611.605, 611.606</w:t>
            </w:r>
          </w:p>
        </w:tc>
      </w:tr>
      <w:tr w:rsidR="001628C1" w:rsidRPr="003B4362" w14:paraId="2CE30C0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A997846" w14:textId="77777777" w:rsidR="0010450A" w:rsidRPr="003B4362" w:rsidRDefault="0010450A" w:rsidP="00C619B9">
            <w:pPr>
              <w:widowControl w:val="0"/>
            </w:pPr>
            <w:r w:rsidRPr="003B4362">
              <w:lastRenderedPageBreak/>
              <w:t>13. Total Nitrate and Nitrite</w:t>
            </w:r>
          </w:p>
        </w:tc>
        <w:tc>
          <w:tcPr>
            <w:tcW w:w="1296" w:type="dxa"/>
            <w:tcBorders>
              <w:top w:val="single" w:sz="6" w:space="0" w:color="auto"/>
              <w:left w:val="single" w:sz="6" w:space="0" w:color="auto"/>
              <w:bottom w:val="single" w:sz="6" w:space="0" w:color="auto"/>
              <w:right w:val="single" w:sz="6" w:space="0" w:color="auto"/>
            </w:tcBorders>
            <w:hideMark/>
          </w:tcPr>
          <w:p w14:paraId="7CA7F2F0" w14:textId="77777777" w:rsidR="0010450A" w:rsidRPr="003B4362" w:rsidRDefault="0010450A" w:rsidP="00C619B9">
            <w:pPr>
              <w:widowControl w:val="0"/>
            </w:pPr>
            <w:r w:rsidRPr="003B4362">
              <w:t>1</w:t>
            </w:r>
          </w:p>
        </w:tc>
        <w:tc>
          <w:tcPr>
            <w:tcW w:w="1728" w:type="dxa"/>
            <w:tcBorders>
              <w:top w:val="single" w:sz="6" w:space="0" w:color="auto"/>
              <w:left w:val="single" w:sz="6" w:space="0" w:color="auto"/>
              <w:bottom w:val="single" w:sz="6" w:space="0" w:color="auto"/>
              <w:right w:val="single" w:sz="6" w:space="0" w:color="auto"/>
            </w:tcBorders>
            <w:hideMark/>
          </w:tcPr>
          <w:p w14:paraId="521FD567"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2A4A9FC5"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BE009C2" w14:textId="77777777" w:rsidR="0010450A" w:rsidRPr="003B4362" w:rsidRDefault="0010450A" w:rsidP="00C619B9">
            <w:pPr>
              <w:widowControl w:val="0"/>
            </w:pPr>
            <w:r w:rsidRPr="003B4362">
              <w:t>611.600, 611.601</w:t>
            </w:r>
          </w:p>
        </w:tc>
      </w:tr>
      <w:tr w:rsidR="001628C1" w:rsidRPr="003B4362" w14:paraId="62CBDC3C"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D504281" w14:textId="77777777" w:rsidR="0010450A" w:rsidRPr="003B4362" w:rsidRDefault="0010450A" w:rsidP="00C619B9">
            <w:pPr>
              <w:widowControl w:val="0"/>
            </w:pPr>
            <w:r w:rsidRPr="003B4362">
              <w:t>14. Selenium</w:t>
            </w:r>
          </w:p>
        </w:tc>
        <w:tc>
          <w:tcPr>
            <w:tcW w:w="1296" w:type="dxa"/>
            <w:tcBorders>
              <w:top w:val="single" w:sz="6" w:space="0" w:color="auto"/>
              <w:left w:val="single" w:sz="6" w:space="0" w:color="auto"/>
              <w:bottom w:val="single" w:sz="6" w:space="0" w:color="auto"/>
              <w:right w:val="single" w:sz="6" w:space="0" w:color="auto"/>
            </w:tcBorders>
            <w:hideMark/>
          </w:tcPr>
          <w:p w14:paraId="2B1414EC"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C737534"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34643311"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307F197" w14:textId="77777777" w:rsidR="0010450A" w:rsidRPr="003B4362" w:rsidRDefault="0010450A" w:rsidP="00C619B9">
            <w:pPr>
              <w:widowControl w:val="0"/>
            </w:pPr>
            <w:r w:rsidRPr="003B4362">
              <w:t>611.600, 611.601, 611.603</w:t>
            </w:r>
          </w:p>
        </w:tc>
      </w:tr>
      <w:tr w:rsidR="001628C1" w:rsidRPr="003B4362" w14:paraId="07595554"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1CCD459" w14:textId="77777777" w:rsidR="0010450A" w:rsidRPr="003B4362" w:rsidRDefault="0010450A" w:rsidP="00C619B9">
            <w:pPr>
              <w:widowControl w:val="0"/>
            </w:pPr>
            <w:r w:rsidRPr="003B4362">
              <w:t>15. Thallium</w:t>
            </w:r>
          </w:p>
        </w:tc>
        <w:tc>
          <w:tcPr>
            <w:tcW w:w="1296" w:type="dxa"/>
            <w:tcBorders>
              <w:top w:val="single" w:sz="6" w:space="0" w:color="auto"/>
              <w:left w:val="single" w:sz="6" w:space="0" w:color="auto"/>
              <w:bottom w:val="single" w:sz="6" w:space="0" w:color="auto"/>
              <w:right w:val="single" w:sz="6" w:space="0" w:color="auto"/>
            </w:tcBorders>
            <w:hideMark/>
          </w:tcPr>
          <w:p w14:paraId="69FB300C"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646F34C4"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19483F70"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3B66550" w14:textId="77777777" w:rsidR="0010450A" w:rsidRPr="003B4362" w:rsidRDefault="0010450A" w:rsidP="00C619B9">
            <w:pPr>
              <w:widowControl w:val="0"/>
            </w:pPr>
            <w:r w:rsidRPr="003B4362">
              <w:t>611.600, 611.601, 611.603</w:t>
            </w:r>
          </w:p>
        </w:tc>
      </w:tr>
    </w:tbl>
    <w:p w14:paraId="6A1A0EC8" w14:textId="77777777" w:rsidR="003F1F0F" w:rsidRPr="003B4362" w:rsidRDefault="003F1F0F" w:rsidP="003F1F0F"/>
    <w:p w14:paraId="092B31E3" w14:textId="1F69481B" w:rsidR="0010450A" w:rsidRPr="003B4362" w:rsidRDefault="0010450A" w:rsidP="003F1F0F">
      <w:r w:rsidRPr="003B4362">
        <w:t>C. Lead and Copper Rule (Action Level for lead is 0.015 mg/</w:t>
      </w:r>
      <w:r w:rsidR="006E262B" w:rsidRPr="003B4362">
        <w:t>L</w:t>
      </w:r>
      <w:r w:rsidRPr="003B4362">
        <w:t>, for copper is 1.3 mg/</w:t>
      </w:r>
      <w:r w:rsidR="006E262B" w:rsidRPr="003B4362">
        <w:t>L</w:t>
      </w:r>
      <w:r w:rsidRPr="003B4362">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1D63A94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925980C" w14:textId="77777777" w:rsidR="0010450A" w:rsidRPr="003B4362" w:rsidRDefault="0010450A" w:rsidP="00C619B9">
            <w:pPr>
              <w:widowControl w:val="0"/>
            </w:pPr>
            <w:r w:rsidRPr="003B4362">
              <w:t>1. Lead and Copper Rule (TT)</w:t>
            </w:r>
          </w:p>
        </w:tc>
        <w:tc>
          <w:tcPr>
            <w:tcW w:w="1296" w:type="dxa"/>
            <w:tcBorders>
              <w:top w:val="single" w:sz="6" w:space="0" w:color="auto"/>
              <w:left w:val="single" w:sz="6" w:space="0" w:color="auto"/>
              <w:bottom w:val="single" w:sz="6" w:space="0" w:color="auto"/>
              <w:right w:val="single" w:sz="6" w:space="0" w:color="auto"/>
            </w:tcBorders>
            <w:hideMark/>
          </w:tcPr>
          <w:p w14:paraId="1246E23F"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4625537" w14:textId="24FFF72C" w:rsidR="0010450A" w:rsidRPr="003B4362" w:rsidRDefault="0010450A" w:rsidP="00C619B9">
            <w:pPr>
              <w:widowControl w:val="0"/>
            </w:pPr>
            <w:r w:rsidRPr="003B4362">
              <w:t>611.350</w:t>
            </w:r>
            <w:r w:rsidR="009A3F7D" w:rsidRPr="003B4362">
              <w:rPr>
                <w:szCs w:val="24"/>
              </w:rPr>
              <w:t xml:space="preserve"> (except 611.350(c))-611.354, 611.355(a)–(c) and (h), and 611.363</w:t>
            </w:r>
          </w:p>
        </w:tc>
        <w:tc>
          <w:tcPr>
            <w:tcW w:w="1296" w:type="dxa"/>
            <w:tcBorders>
              <w:top w:val="single" w:sz="6" w:space="0" w:color="auto"/>
              <w:left w:val="single" w:sz="6" w:space="0" w:color="auto"/>
              <w:bottom w:val="single" w:sz="6" w:space="0" w:color="auto"/>
              <w:right w:val="single" w:sz="6" w:space="0" w:color="auto"/>
            </w:tcBorders>
            <w:hideMark/>
          </w:tcPr>
          <w:p w14:paraId="0B6C0004"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949558C" w14:textId="0ABA11C7" w:rsidR="0010450A" w:rsidRPr="003B4362" w:rsidRDefault="0010450A" w:rsidP="00C619B9">
            <w:pPr>
              <w:widowControl w:val="0"/>
            </w:pPr>
            <w:r w:rsidRPr="003B4362">
              <w:t>611.356-</w:t>
            </w:r>
            <w:r w:rsidR="009A3F7D" w:rsidRPr="003B4362">
              <w:rPr>
                <w:szCs w:val="24"/>
              </w:rPr>
              <w:t>611.360</w:t>
            </w:r>
          </w:p>
        </w:tc>
      </w:tr>
      <w:tr w:rsidR="001628C1" w:rsidRPr="003B4362" w14:paraId="2260F736" w14:textId="77777777" w:rsidTr="00C619B9">
        <w:trPr>
          <w:cantSplit/>
        </w:trPr>
        <w:tc>
          <w:tcPr>
            <w:tcW w:w="3312" w:type="dxa"/>
            <w:tcBorders>
              <w:top w:val="single" w:sz="6" w:space="0" w:color="auto"/>
              <w:left w:val="single" w:sz="6" w:space="0" w:color="auto"/>
              <w:bottom w:val="single" w:sz="6" w:space="0" w:color="auto"/>
              <w:right w:val="single" w:sz="6" w:space="0" w:color="auto"/>
            </w:tcBorders>
          </w:tcPr>
          <w:p w14:paraId="2F38F68A" w14:textId="444F8A62" w:rsidR="009A3F7D" w:rsidRPr="003B4362" w:rsidRDefault="009A3F7D" w:rsidP="00C619B9">
            <w:pPr>
              <w:widowControl w:val="0"/>
            </w:pPr>
            <w:r w:rsidRPr="003B4362">
              <w:rPr>
                <w:szCs w:val="24"/>
              </w:rPr>
              <w:t>2. E</w:t>
            </w:r>
            <w:bookmarkStart w:id="4553" w:name="_Hlk126763771"/>
            <w:r w:rsidRPr="003B4362">
              <w:rPr>
                <w:szCs w:val="24"/>
              </w:rPr>
              <w:t>xceed</w:t>
            </w:r>
            <w:r w:rsidR="002A1263" w:rsidRPr="003B4362">
              <w:rPr>
                <w:szCs w:val="24"/>
              </w:rPr>
              <w:t>ing</w:t>
            </w:r>
            <w:r w:rsidRPr="003B4362">
              <w:rPr>
                <w:szCs w:val="24"/>
              </w:rPr>
              <w:t xml:space="preserve"> the lead</w:t>
            </w:r>
            <w:r w:rsidR="002A1263" w:rsidRPr="003B4362">
              <w:rPr>
                <w:szCs w:val="24"/>
              </w:rPr>
              <w:t xml:space="preserve"> action level</w:t>
            </w:r>
            <w:bookmarkEnd w:id="4553"/>
          </w:p>
        </w:tc>
        <w:tc>
          <w:tcPr>
            <w:tcW w:w="1296" w:type="dxa"/>
            <w:tcBorders>
              <w:top w:val="single" w:sz="6" w:space="0" w:color="auto"/>
              <w:left w:val="single" w:sz="6" w:space="0" w:color="auto"/>
              <w:bottom w:val="single" w:sz="6" w:space="0" w:color="auto"/>
              <w:right w:val="single" w:sz="6" w:space="0" w:color="auto"/>
            </w:tcBorders>
          </w:tcPr>
          <w:p w14:paraId="3756C587" w14:textId="352609BE" w:rsidR="009A3F7D" w:rsidRPr="003B4362" w:rsidRDefault="009A3F7D" w:rsidP="00C619B9">
            <w:pPr>
              <w:widowControl w:val="0"/>
            </w:pPr>
            <w:r w:rsidRPr="003B4362">
              <w:rPr>
                <w:szCs w:val="24"/>
              </w:rPr>
              <w:t>1</w:t>
            </w:r>
          </w:p>
        </w:tc>
        <w:tc>
          <w:tcPr>
            <w:tcW w:w="1728" w:type="dxa"/>
            <w:tcBorders>
              <w:top w:val="single" w:sz="6" w:space="0" w:color="auto"/>
              <w:left w:val="single" w:sz="6" w:space="0" w:color="auto"/>
              <w:bottom w:val="single" w:sz="6" w:space="0" w:color="auto"/>
              <w:right w:val="single" w:sz="6" w:space="0" w:color="auto"/>
            </w:tcBorders>
          </w:tcPr>
          <w:p w14:paraId="16E4AB21" w14:textId="18513919" w:rsidR="009A3F7D" w:rsidRPr="003B4362" w:rsidRDefault="009A3F7D" w:rsidP="00C619B9">
            <w:pPr>
              <w:widowControl w:val="0"/>
            </w:pPr>
            <w:r w:rsidRPr="003B4362">
              <w:rPr>
                <w:szCs w:val="24"/>
              </w:rPr>
              <w:t>611.350(c).</w:t>
            </w:r>
          </w:p>
        </w:tc>
        <w:tc>
          <w:tcPr>
            <w:tcW w:w="1296" w:type="dxa"/>
            <w:tcBorders>
              <w:top w:val="single" w:sz="6" w:space="0" w:color="auto"/>
              <w:left w:val="single" w:sz="6" w:space="0" w:color="auto"/>
              <w:bottom w:val="single" w:sz="6" w:space="0" w:color="auto"/>
              <w:right w:val="single" w:sz="6" w:space="0" w:color="auto"/>
            </w:tcBorders>
          </w:tcPr>
          <w:p w14:paraId="5D85D7B8" w14:textId="77777777" w:rsidR="009A3F7D" w:rsidRPr="003B4362" w:rsidRDefault="009A3F7D" w:rsidP="00C619B9">
            <w:pPr>
              <w:widowControl w:val="0"/>
            </w:pPr>
          </w:p>
        </w:tc>
        <w:tc>
          <w:tcPr>
            <w:tcW w:w="1728" w:type="dxa"/>
            <w:tcBorders>
              <w:top w:val="single" w:sz="6" w:space="0" w:color="auto"/>
              <w:left w:val="single" w:sz="6" w:space="0" w:color="auto"/>
              <w:bottom w:val="single" w:sz="6" w:space="0" w:color="auto"/>
              <w:right w:val="single" w:sz="6" w:space="0" w:color="auto"/>
            </w:tcBorders>
          </w:tcPr>
          <w:p w14:paraId="72B199AA" w14:textId="77777777" w:rsidR="009A3F7D" w:rsidRPr="003B4362" w:rsidRDefault="009A3F7D" w:rsidP="00C619B9">
            <w:pPr>
              <w:widowControl w:val="0"/>
            </w:pPr>
          </w:p>
        </w:tc>
      </w:tr>
    </w:tbl>
    <w:p w14:paraId="3C2CA279" w14:textId="77777777" w:rsidR="003F1F0F" w:rsidRPr="003B4362" w:rsidRDefault="003F1F0F" w:rsidP="003F1F0F"/>
    <w:p w14:paraId="13613B2C" w14:textId="09C3EB75" w:rsidR="0010450A" w:rsidRPr="003B4362" w:rsidRDefault="0010450A" w:rsidP="003F1F0F">
      <w:r w:rsidRPr="003B4362">
        <w:t>D. Synthetic Organic Chemicals (SOCs)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608630D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427B392" w14:textId="77777777" w:rsidR="0010450A" w:rsidRPr="003B4362" w:rsidRDefault="0010450A" w:rsidP="00C619B9">
            <w:pPr>
              <w:widowControl w:val="0"/>
            </w:pPr>
            <w:r w:rsidRPr="003B4362">
              <w:t>1. 2,4-D</w:t>
            </w:r>
          </w:p>
        </w:tc>
        <w:tc>
          <w:tcPr>
            <w:tcW w:w="1296" w:type="dxa"/>
            <w:tcBorders>
              <w:top w:val="single" w:sz="6" w:space="0" w:color="auto"/>
              <w:left w:val="single" w:sz="6" w:space="0" w:color="auto"/>
              <w:bottom w:val="single" w:sz="6" w:space="0" w:color="auto"/>
              <w:right w:val="single" w:sz="6" w:space="0" w:color="auto"/>
            </w:tcBorders>
            <w:hideMark/>
          </w:tcPr>
          <w:p w14:paraId="52209E70"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86B0395"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4C753D40"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8BB9D16" w14:textId="77777777" w:rsidR="0010450A" w:rsidRPr="003B4362" w:rsidRDefault="0010450A" w:rsidP="00C619B9">
            <w:pPr>
              <w:widowControl w:val="0"/>
            </w:pPr>
            <w:r w:rsidRPr="003B4362">
              <w:t>611.648</w:t>
            </w:r>
          </w:p>
        </w:tc>
      </w:tr>
      <w:tr w:rsidR="001628C1" w:rsidRPr="003B4362" w14:paraId="191D38F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70D0F90" w14:textId="77777777" w:rsidR="0010450A" w:rsidRPr="003B4362" w:rsidRDefault="0010450A" w:rsidP="00C619B9">
            <w:pPr>
              <w:widowControl w:val="0"/>
            </w:pPr>
            <w:r w:rsidRPr="003B4362">
              <w:t>2. 2,4,5-TP (silvex)</w:t>
            </w:r>
          </w:p>
        </w:tc>
        <w:tc>
          <w:tcPr>
            <w:tcW w:w="1296" w:type="dxa"/>
            <w:tcBorders>
              <w:top w:val="single" w:sz="6" w:space="0" w:color="auto"/>
              <w:left w:val="single" w:sz="6" w:space="0" w:color="auto"/>
              <w:bottom w:val="single" w:sz="6" w:space="0" w:color="auto"/>
              <w:right w:val="single" w:sz="6" w:space="0" w:color="auto"/>
            </w:tcBorders>
            <w:hideMark/>
          </w:tcPr>
          <w:p w14:paraId="6B1ABE28"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BFE033B"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5ACEF4A1"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08BAA9D" w14:textId="77777777" w:rsidR="0010450A" w:rsidRPr="003B4362" w:rsidRDefault="0010450A" w:rsidP="00C619B9">
            <w:pPr>
              <w:widowControl w:val="0"/>
            </w:pPr>
            <w:r w:rsidRPr="003B4362">
              <w:t>611.648</w:t>
            </w:r>
          </w:p>
        </w:tc>
      </w:tr>
      <w:tr w:rsidR="001628C1" w:rsidRPr="003B4362" w14:paraId="3F4ADDB0"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11FB6E6" w14:textId="77777777" w:rsidR="0010450A" w:rsidRPr="003B4362" w:rsidRDefault="0010450A" w:rsidP="00C619B9">
            <w:pPr>
              <w:widowControl w:val="0"/>
            </w:pPr>
            <w:r w:rsidRPr="003B4362">
              <w:t>3. Alachlor</w:t>
            </w:r>
          </w:p>
        </w:tc>
        <w:tc>
          <w:tcPr>
            <w:tcW w:w="1296" w:type="dxa"/>
            <w:tcBorders>
              <w:top w:val="single" w:sz="6" w:space="0" w:color="auto"/>
              <w:left w:val="single" w:sz="6" w:space="0" w:color="auto"/>
              <w:bottom w:val="single" w:sz="6" w:space="0" w:color="auto"/>
              <w:right w:val="single" w:sz="6" w:space="0" w:color="auto"/>
            </w:tcBorders>
            <w:hideMark/>
          </w:tcPr>
          <w:p w14:paraId="08B85480"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228E55CB"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497E156D"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508D7C9" w14:textId="77777777" w:rsidR="0010450A" w:rsidRPr="003B4362" w:rsidRDefault="0010450A" w:rsidP="00C619B9">
            <w:pPr>
              <w:widowControl w:val="0"/>
            </w:pPr>
            <w:r w:rsidRPr="003B4362">
              <w:t>611.648</w:t>
            </w:r>
          </w:p>
        </w:tc>
      </w:tr>
      <w:tr w:rsidR="001628C1" w:rsidRPr="003B4362" w14:paraId="5FFC090E"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6276E19" w14:textId="77777777" w:rsidR="0010450A" w:rsidRPr="003B4362" w:rsidRDefault="0010450A" w:rsidP="00C619B9">
            <w:pPr>
              <w:widowControl w:val="0"/>
            </w:pPr>
            <w:r w:rsidRPr="003B4362">
              <w:t>4. Atrazine</w:t>
            </w:r>
          </w:p>
        </w:tc>
        <w:tc>
          <w:tcPr>
            <w:tcW w:w="1296" w:type="dxa"/>
            <w:tcBorders>
              <w:top w:val="single" w:sz="6" w:space="0" w:color="auto"/>
              <w:left w:val="single" w:sz="6" w:space="0" w:color="auto"/>
              <w:bottom w:val="single" w:sz="6" w:space="0" w:color="auto"/>
              <w:right w:val="single" w:sz="6" w:space="0" w:color="auto"/>
            </w:tcBorders>
            <w:hideMark/>
          </w:tcPr>
          <w:p w14:paraId="21B781A9"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7F5FC4D"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52DCC986"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B2BF251" w14:textId="77777777" w:rsidR="0010450A" w:rsidRPr="003B4362" w:rsidRDefault="0010450A" w:rsidP="00C619B9">
            <w:pPr>
              <w:widowControl w:val="0"/>
            </w:pPr>
            <w:r w:rsidRPr="003B4362">
              <w:t>611.648</w:t>
            </w:r>
          </w:p>
        </w:tc>
      </w:tr>
      <w:tr w:rsidR="001628C1" w:rsidRPr="003B4362" w14:paraId="7402E96E"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2F45332" w14:textId="77777777" w:rsidR="0010450A" w:rsidRPr="003B4362" w:rsidRDefault="0010450A" w:rsidP="00C619B9">
            <w:pPr>
              <w:widowControl w:val="0"/>
            </w:pPr>
            <w:r w:rsidRPr="003B4362">
              <w:t>5. Benzo(a)pyrene (PAHs)</w:t>
            </w:r>
          </w:p>
        </w:tc>
        <w:tc>
          <w:tcPr>
            <w:tcW w:w="1296" w:type="dxa"/>
            <w:tcBorders>
              <w:top w:val="single" w:sz="6" w:space="0" w:color="auto"/>
              <w:left w:val="single" w:sz="6" w:space="0" w:color="auto"/>
              <w:bottom w:val="single" w:sz="6" w:space="0" w:color="auto"/>
              <w:right w:val="single" w:sz="6" w:space="0" w:color="auto"/>
            </w:tcBorders>
            <w:hideMark/>
          </w:tcPr>
          <w:p w14:paraId="5228A1B2"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BCFFF27"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757C8508"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5088C80" w14:textId="77777777" w:rsidR="0010450A" w:rsidRPr="003B4362" w:rsidRDefault="0010450A" w:rsidP="00C619B9">
            <w:pPr>
              <w:widowControl w:val="0"/>
            </w:pPr>
            <w:r w:rsidRPr="003B4362">
              <w:t>611.648</w:t>
            </w:r>
          </w:p>
        </w:tc>
      </w:tr>
      <w:tr w:rsidR="001628C1" w:rsidRPr="003B4362" w14:paraId="0D99BDFC"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EC2267C" w14:textId="77777777" w:rsidR="0010450A" w:rsidRPr="003B4362" w:rsidRDefault="0010450A" w:rsidP="00C619B9">
            <w:pPr>
              <w:widowControl w:val="0"/>
            </w:pPr>
            <w:r w:rsidRPr="003B4362">
              <w:t>6. Carbofuran</w:t>
            </w:r>
          </w:p>
        </w:tc>
        <w:tc>
          <w:tcPr>
            <w:tcW w:w="1296" w:type="dxa"/>
            <w:tcBorders>
              <w:top w:val="single" w:sz="6" w:space="0" w:color="auto"/>
              <w:left w:val="single" w:sz="6" w:space="0" w:color="auto"/>
              <w:bottom w:val="single" w:sz="6" w:space="0" w:color="auto"/>
              <w:right w:val="single" w:sz="6" w:space="0" w:color="auto"/>
            </w:tcBorders>
            <w:hideMark/>
          </w:tcPr>
          <w:p w14:paraId="694B30E5"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49FB6D5"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7E35C398"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F9DA397" w14:textId="77777777" w:rsidR="0010450A" w:rsidRPr="003B4362" w:rsidRDefault="0010450A" w:rsidP="00C619B9">
            <w:pPr>
              <w:widowControl w:val="0"/>
            </w:pPr>
            <w:r w:rsidRPr="003B4362">
              <w:t>611.648</w:t>
            </w:r>
          </w:p>
        </w:tc>
      </w:tr>
      <w:tr w:rsidR="001628C1" w:rsidRPr="003B4362" w14:paraId="2B615EDE"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E1A3633" w14:textId="77777777" w:rsidR="0010450A" w:rsidRPr="003B4362" w:rsidRDefault="0010450A" w:rsidP="00C619B9">
            <w:pPr>
              <w:widowControl w:val="0"/>
            </w:pPr>
            <w:r w:rsidRPr="003B4362">
              <w:t>7. Chlordane</w:t>
            </w:r>
          </w:p>
        </w:tc>
        <w:tc>
          <w:tcPr>
            <w:tcW w:w="1296" w:type="dxa"/>
            <w:tcBorders>
              <w:top w:val="single" w:sz="6" w:space="0" w:color="auto"/>
              <w:left w:val="single" w:sz="6" w:space="0" w:color="auto"/>
              <w:bottom w:val="single" w:sz="6" w:space="0" w:color="auto"/>
              <w:right w:val="single" w:sz="6" w:space="0" w:color="auto"/>
            </w:tcBorders>
            <w:hideMark/>
          </w:tcPr>
          <w:p w14:paraId="2E9E3193"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5E08F3A"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12E347BD"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443E2D2" w14:textId="77777777" w:rsidR="0010450A" w:rsidRPr="003B4362" w:rsidRDefault="0010450A" w:rsidP="00C619B9">
            <w:pPr>
              <w:widowControl w:val="0"/>
            </w:pPr>
            <w:r w:rsidRPr="003B4362">
              <w:t>611.648</w:t>
            </w:r>
          </w:p>
        </w:tc>
      </w:tr>
      <w:tr w:rsidR="001628C1" w:rsidRPr="003B4362" w14:paraId="6FFD8C20"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181368D" w14:textId="77777777" w:rsidR="0010450A" w:rsidRPr="003B4362" w:rsidRDefault="0010450A" w:rsidP="00C619B9">
            <w:pPr>
              <w:widowControl w:val="0"/>
            </w:pPr>
            <w:r w:rsidRPr="003B4362">
              <w:t>8. Dalapon</w:t>
            </w:r>
          </w:p>
        </w:tc>
        <w:tc>
          <w:tcPr>
            <w:tcW w:w="1296" w:type="dxa"/>
            <w:tcBorders>
              <w:top w:val="single" w:sz="6" w:space="0" w:color="auto"/>
              <w:left w:val="single" w:sz="6" w:space="0" w:color="auto"/>
              <w:bottom w:val="single" w:sz="6" w:space="0" w:color="auto"/>
              <w:right w:val="single" w:sz="6" w:space="0" w:color="auto"/>
            </w:tcBorders>
            <w:hideMark/>
          </w:tcPr>
          <w:p w14:paraId="65169922"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2EFDAC5B"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54C9F453"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2AF091D" w14:textId="77777777" w:rsidR="0010450A" w:rsidRPr="003B4362" w:rsidRDefault="0010450A" w:rsidP="00C619B9">
            <w:pPr>
              <w:widowControl w:val="0"/>
            </w:pPr>
            <w:r w:rsidRPr="003B4362">
              <w:t>611.648</w:t>
            </w:r>
          </w:p>
        </w:tc>
      </w:tr>
      <w:tr w:rsidR="001628C1" w:rsidRPr="003B4362" w14:paraId="48D2CE7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CF5ABB9" w14:textId="77777777" w:rsidR="0010450A" w:rsidRPr="003B4362" w:rsidRDefault="0010450A" w:rsidP="00C619B9">
            <w:pPr>
              <w:widowControl w:val="0"/>
            </w:pPr>
            <w:r w:rsidRPr="003B4362">
              <w:t>9. Di(2-ethylhexyl)adipate</w:t>
            </w:r>
          </w:p>
        </w:tc>
        <w:tc>
          <w:tcPr>
            <w:tcW w:w="1296" w:type="dxa"/>
            <w:tcBorders>
              <w:top w:val="single" w:sz="6" w:space="0" w:color="auto"/>
              <w:left w:val="single" w:sz="6" w:space="0" w:color="auto"/>
              <w:bottom w:val="single" w:sz="6" w:space="0" w:color="auto"/>
              <w:right w:val="single" w:sz="6" w:space="0" w:color="auto"/>
            </w:tcBorders>
            <w:hideMark/>
          </w:tcPr>
          <w:p w14:paraId="27C9BB0A"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1193897"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3F9CB70C"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A27180E" w14:textId="77777777" w:rsidR="0010450A" w:rsidRPr="003B4362" w:rsidRDefault="0010450A" w:rsidP="00C619B9">
            <w:pPr>
              <w:widowControl w:val="0"/>
            </w:pPr>
            <w:r w:rsidRPr="003B4362">
              <w:t>611.648</w:t>
            </w:r>
          </w:p>
        </w:tc>
      </w:tr>
      <w:tr w:rsidR="001628C1" w:rsidRPr="003B4362" w14:paraId="49395582"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A469A8B" w14:textId="77777777" w:rsidR="0010450A" w:rsidRPr="003B4362" w:rsidRDefault="0010450A" w:rsidP="00C619B9">
            <w:pPr>
              <w:widowControl w:val="0"/>
            </w:pPr>
            <w:r w:rsidRPr="003B4362">
              <w:t>10. Di(2-ethylhexyl)phthalate</w:t>
            </w:r>
          </w:p>
        </w:tc>
        <w:tc>
          <w:tcPr>
            <w:tcW w:w="1296" w:type="dxa"/>
            <w:tcBorders>
              <w:top w:val="single" w:sz="6" w:space="0" w:color="auto"/>
              <w:left w:val="single" w:sz="6" w:space="0" w:color="auto"/>
              <w:bottom w:val="single" w:sz="6" w:space="0" w:color="auto"/>
              <w:right w:val="single" w:sz="6" w:space="0" w:color="auto"/>
            </w:tcBorders>
            <w:hideMark/>
          </w:tcPr>
          <w:p w14:paraId="61A3AA00"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5EBDA43B"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2C524A4B"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BF8F76F" w14:textId="77777777" w:rsidR="0010450A" w:rsidRPr="003B4362" w:rsidRDefault="0010450A" w:rsidP="00C619B9">
            <w:pPr>
              <w:widowControl w:val="0"/>
            </w:pPr>
            <w:r w:rsidRPr="003B4362">
              <w:t>611.648</w:t>
            </w:r>
          </w:p>
        </w:tc>
      </w:tr>
      <w:tr w:rsidR="001628C1" w:rsidRPr="003B4362" w14:paraId="299AC61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792438E" w14:textId="77777777" w:rsidR="0010450A" w:rsidRPr="003B4362" w:rsidRDefault="0010450A" w:rsidP="00C619B9">
            <w:pPr>
              <w:widowControl w:val="0"/>
            </w:pPr>
            <w:r w:rsidRPr="003B4362">
              <w:lastRenderedPageBreak/>
              <w:t>11. Dibromochloropropane (DBCP)</w:t>
            </w:r>
          </w:p>
        </w:tc>
        <w:tc>
          <w:tcPr>
            <w:tcW w:w="1296" w:type="dxa"/>
            <w:tcBorders>
              <w:top w:val="single" w:sz="6" w:space="0" w:color="auto"/>
              <w:left w:val="single" w:sz="6" w:space="0" w:color="auto"/>
              <w:bottom w:val="single" w:sz="6" w:space="0" w:color="auto"/>
              <w:right w:val="single" w:sz="6" w:space="0" w:color="auto"/>
            </w:tcBorders>
            <w:hideMark/>
          </w:tcPr>
          <w:p w14:paraId="01366493"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EBD018B"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53F0F66E"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E2AC37F" w14:textId="77777777" w:rsidR="0010450A" w:rsidRPr="003B4362" w:rsidRDefault="0010450A" w:rsidP="00C619B9">
            <w:pPr>
              <w:widowControl w:val="0"/>
            </w:pPr>
            <w:r w:rsidRPr="003B4362">
              <w:t>611.648</w:t>
            </w:r>
          </w:p>
        </w:tc>
      </w:tr>
      <w:tr w:rsidR="001628C1" w:rsidRPr="003B4362" w14:paraId="69063FD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1AE29DC" w14:textId="77777777" w:rsidR="0010450A" w:rsidRPr="003B4362" w:rsidRDefault="0010450A" w:rsidP="00C619B9">
            <w:pPr>
              <w:widowControl w:val="0"/>
            </w:pPr>
            <w:r w:rsidRPr="003B4362">
              <w:t>12. Dinoseb</w:t>
            </w:r>
          </w:p>
        </w:tc>
        <w:tc>
          <w:tcPr>
            <w:tcW w:w="1296" w:type="dxa"/>
            <w:tcBorders>
              <w:top w:val="single" w:sz="6" w:space="0" w:color="auto"/>
              <w:left w:val="single" w:sz="6" w:space="0" w:color="auto"/>
              <w:bottom w:val="single" w:sz="6" w:space="0" w:color="auto"/>
              <w:right w:val="single" w:sz="6" w:space="0" w:color="auto"/>
            </w:tcBorders>
            <w:hideMark/>
          </w:tcPr>
          <w:p w14:paraId="0188BE08"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5EEFBF7"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6C45225F"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344949E" w14:textId="77777777" w:rsidR="0010450A" w:rsidRPr="003B4362" w:rsidRDefault="0010450A" w:rsidP="00C619B9">
            <w:pPr>
              <w:widowControl w:val="0"/>
            </w:pPr>
            <w:r w:rsidRPr="003B4362">
              <w:t>611.648</w:t>
            </w:r>
          </w:p>
        </w:tc>
      </w:tr>
      <w:tr w:rsidR="001628C1" w:rsidRPr="003B4362" w14:paraId="28F0D9B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FCC487E" w14:textId="77777777" w:rsidR="0010450A" w:rsidRPr="003B4362" w:rsidRDefault="0010450A" w:rsidP="00C619B9">
            <w:pPr>
              <w:widowControl w:val="0"/>
            </w:pPr>
            <w:r w:rsidRPr="003B4362">
              <w:t>13. Dioxin (2,3,7,8-TCDD)</w:t>
            </w:r>
          </w:p>
        </w:tc>
        <w:tc>
          <w:tcPr>
            <w:tcW w:w="1296" w:type="dxa"/>
            <w:tcBorders>
              <w:top w:val="single" w:sz="6" w:space="0" w:color="auto"/>
              <w:left w:val="single" w:sz="6" w:space="0" w:color="auto"/>
              <w:bottom w:val="single" w:sz="6" w:space="0" w:color="auto"/>
              <w:right w:val="single" w:sz="6" w:space="0" w:color="auto"/>
            </w:tcBorders>
            <w:hideMark/>
          </w:tcPr>
          <w:p w14:paraId="4B05C963"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80BBCF9"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355D666A"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B2EAEB2" w14:textId="77777777" w:rsidR="0010450A" w:rsidRPr="003B4362" w:rsidRDefault="0010450A" w:rsidP="00C619B9">
            <w:pPr>
              <w:widowControl w:val="0"/>
            </w:pPr>
            <w:r w:rsidRPr="003B4362">
              <w:t>611.648</w:t>
            </w:r>
          </w:p>
        </w:tc>
      </w:tr>
      <w:tr w:rsidR="001628C1" w:rsidRPr="003B4362" w14:paraId="011FFD1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ADD8019" w14:textId="77777777" w:rsidR="0010450A" w:rsidRPr="003B4362" w:rsidRDefault="0010450A" w:rsidP="00C619B9">
            <w:pPr>
              <w:widowControl w:val="0"/>
            </w:pPr>
            <w:r w:rsidRPr="003B4362">
              <w:t>14. Diquat</w:t>
            </w:r>
          </w:p>
        </w:tc>
        <w:tc>
          <w:tcPr>
            <w:tcW w:w="1296" w:type="dxa"/>
            <w:tcBorders>
              <w:top w:val="single" w:sz="6" w:space="0" w:color="auto"/>
              <w:left w:val="single" w:sz="6" w:space="0" w:color="auto"/>
              <w:bottom w:val="single" w:sz="6" w:space="0" w:color="auto"/>
              <w:right w:val="single" w:sz="6" w:space="0" w:color="auto"/>
            </w:tcBorders>
            <w:hideMark/>
          </w:tcPr>
          <w:p w14:paraId="5E881C84"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26BAE133"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6A5E34EC"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B2121F1" w14:textId="77777777" w:rsidR="0010450A" w:rsidRPr="003B4362" w:rsidRDefault="0010450A" w:rsidP="00C619B9">
            <w:pPr>
              <w:widowControl w:val="0"/>
            </w:pPr>
            <w:r w:rsidRPr="003B4362">
              <w:t>611.648</w:t>
            </w:r>
          </w:p>
        </w:tc>
      </w:tr>
      <w:tr w:rsidR="001628C1" w:rsidRPr="003B4362" w14:paraId="247A26F4"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33CE300" w14:textId="77777777" w:rsidR="0010450A" w:rsidRPr="003B4362" w:rsidRDefault="0010450A" w:rsidP="00C619B9">
            <w:pPr>
              <w:widowControl w:val="0"/>
            </w:pPr>
            <w:r w:rsidRPr="003B4362">
              <w:t>15. Endothall</w:t>
            </w:r>
          </w:p>
        </w:tc>
        <w:tc>
          <w:tcPr>
            <w:tcW w:w="1296" w:type="dxa"/>
            <w:tcBorders>
              <w:top w:val="single" w:sz="6" w:space="0" w:color="auto"/>
              <w:left w:val="single" w:sz="6" w:space="0" w:color="auto"/>
              <w:bottom w:val="single" w:sz="6" w:space="0" w:color="auto"/>
              <w:right w:val="single" w:sz="6" w:space="0" w:color="auto"/>
            </w:tcBorders>
            <w:hideMark/>
          </w:tcPr>
          <w:p w14:paraId="11DD3EB6"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6FBB8489"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07D8735C"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5CE4001" w14:textId="77777777" w:rsidR="0010450A" w:rsidRPr="003B4362" w:rsidRDefault="0010450A" w:rsidP="00C619B9">
            <w:pPr>
              <w:widowControl w:val="0"/>
            </w:pPr>
            <w:r w:rsidRPr="003B4362">
              <w:t>611.648</w:t>
            </w:r>
          </w:p>
        </w:tc>
      </w:tr>
      <w:tr w:rsidR="001628C1" w:rsidRPr="003B4362" w14:paraId="42E7032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D352824" w14:textId="77777777" w:rsidR="0010450A" w:rsidRPr="003B4362" w:rsidRDefault="0010450A" w:rsidP="00C619B9">
            <w:pPr>
              <w:widowControl w:val="0"/>
            </w:pPr>
            <w:r w:rsidRPr="003B4362">
              <w:t>16. Endrin</w:t>
            </w:r>
          </w:p>
        </w:tc>
        <w:tc>
          <w:tcPr>
            <w:tcW w:w="1296" w:type="dxa"/>
            <w:tcBorders>
              <w:top w:val="single" w:sz="6" w:space="0" w:color="auto"/>
              <w:left w:val="single" w:sz="6" w:space="0" w:color="auto"/>
              <w:bottom w:val="single" w:sz="6" w:space="0" w:color="auto"/>
              <w:right w:val="single" w:sz="6" w:space="0" w:color="auto"/>
            </w:tcBorders>
            <w:hideMark/>
          </w:tcPr>
          <w:p w14:paraId="7B51F48C"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21F8849"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5EBC21DF"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26C618B" w14:textId="77777777" w:rsidR="0010450A" w:rsidRPr="003B4362" w:rsidRDefault="0010450A" w:rsidP="00C619B9">
            <w:pPr>
              <w:widowControl w:val="0"/>
            </w:pPr>
            <w:r w:rsidRPr="003B4362">
              <w:t>611.648</w:t>
            </w:r>
          </w:p>
        </w:tc>
      </w:tr>
      <w:tr w:rsidR="001628C1" w:rsidRPr="003B4362" w14:paraId="4B70D7A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3712ADD" w14:textId="77777777" w:rsidR="0010450A" w:rsidRPr="003B4362" w:rsidRDefault="0010450A" w:rsidP="00C619B9">
            <w:pPr>
              <w:widowControl w:val="0"/>
            </w:pPr>
            <w:r w:rsidRPr="003B4362">
              <w:t>17. Ethylene dibromide</w:t>
            </w:r>
          </w:p>
        </w:tc>
        <w:tc>
          <w:tcPr>
            <w:tcW w:w="1296" w:type="dxa"/>
            <w:tcBorders>
              <w:top w:val="single" w:sz="6" w:space="0" w:color="auto"/>
              <w:left w:val="single" w:sz="6" w:space="0" w:color="auto"/>
              <w:bottom w:val="single" w:sz="6" w:space="0" w:color="auto"/>
              <w:right w:val="single" w:sz="6" w:space="0" w:color="auto"/>
            </w:tcBorders>
            <w:hideMark/>
          </w:tcPr>
          <w:p w14:paraId="17863A80"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37F0EA7"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0C61E175"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2212EF3E" w14:textId="77777777" w:rsidR="0010450A" w:rsidRPr="003B4362" w:rsidRDefault="0010450A" w:rsidP="00C619B9">
            <w:pPr>
              <w:widowControl w:val="0"/>
            </w:pPr>
            <w:r w:rsidRPr="003B4362">
              <w:t>611.648</w:t>
            </w:r>
          </w:p>
        </w:tc>
      </w:tr>
      <w:tr w:rsidR="001628C1" w:rsidRPr="003B4362" w14:paraId="12DE3EF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30E9329" w14:textId="77777777" w:rsidR="0010450A" w:rsidRPr="003B4362" w:rsidRDefault="0010450A" w:rsidP="00C619B9">
            <w:pPr>
              <w:widowControl w:val="0"/>
            </w:pPr>
            <w:r w:rsidRPr="003B4362">
              <w:t>18. Glyphosate</w:t>
            </w:r>
          </w:p>
        </w:tc>
        <w:tc>
          <w:tcPr>
            <w:tcW w:w="1296" w:type="dxa"/>
            <w:tcBorders>
              <w:top w:val="single" w:sz="6" w:space="0" w:color="auto"/>
              <w:left w:val="single" w:sz="6" w:space="0" w:color="auto"/>
              <w:bottom w:val="single" w:sz="6" w:space="0" w:color="auto"/>
              <w:right w:val="single" w:sz="6" w:space="0" w:color="auto"/>
            </w:tcBorders>
            <w:hideMark/>
          </w:tcPr>
          <w:p w14:paraId="21307625"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5B3132A5"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0970CF8B"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7D6B4AD" w14:textId="77777777" w:rsidR="0010450A" w:rsidRPr="003B4362" w:rsidRDefault="0010450A" w:rsidP="00C619B9">
            <w:pPr>
              <w:widowControl w:val="0"/>
            </w:pPr>
            <w:r w:rsidRPr="003B4362">
              <w:t>611.648</w:t>
            </w:r>
          </w:p>
        </w:tc>
      </w:tr>
      <w:tr w:rsidR="001628C1" w:rsidRPr="003B4362" w14:paraId="3E9B9D4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323708F" w14:textId="77777777" w:rsidR="0010450A" w:rsidRPr="003B4362" w:rsidRDefault="0010450A" w:rsidP="00C619B9">
            <w:pPr>
              <w:widowControl w:val="0"/>
            </w:pPr>
            <w:r w:rsidRPr="003B4362">
              <w:t>19. Heptachlor</w:t>
            </w:r>
          </w:p>
        </w:tc>
        <w:tc>
          <w:tcPr>
            <w:tcW w:w="1296" w:type="dxa"/>
            <w:tcBorders>
              <w:top w:val="single" w:sz="6" w:space="0" w:color="auto"/>
              <w:left w:val="single" w:sz="6" w:space="0" w:color="auto"/>
              <w:bottom w:val="single" w:sz="6" w:space="0" w:color="auto"/>
              <w:right w:val="single" w:sz="6" w:space="0" w:color="auto"/>
            </w:tcBorders>
            <w:hideMark/>
          </w:tcPr>
          <w:p w14:paraId="31A2196F"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2B677FD"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1D25F563"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4438D96" w14:textId="77777777" w:rsidR="0010450A" w:rsidRPr="003B4362" w:rsidRDefault="0010450A" w:rsidP="00C619B9">
            <w:pPr>
              <w:widowControl w:val="0"/>
            </w:pPr>
            <w:r w:rsidRPr="003B4362">
              <w:t>611.648</w:t>
            </w:r>
          </w:p>
        </w:tc>
      </w:tr>
      <w:tr w:rsidR="001628C1" w:rsidRPr="003B4362" w14:paraId="43DE66D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2EE0C00" w14:textId="77777777" w:rsidR="0010450A" w:rsidRPr="003B4362" w:rsidRDefault="0010450A" w:rsidP="00C619B9">
            <w:pPr>
              <w:widowControl w:val="0"/>
            </w:pPr>
            <w:r w:rsidRPr="003B4362">
              <w:t>20. Heptachlor epoxide</w:t>
            </w:r>
          </w:p>
        </w:tc>
        <w:tc>
          <w:tcPr>
            <w:tcW w:w="1296" w:type="dxa"/>
            <w:tcBorders>
              <w:top w:val="single" w:sz="6" w:space="0" w:color="auto"/>
              <w:left w:val="single" w:sz="6" w:space="0" w:color="auto"/>
              <w:bottom w:val="single" w:sz="6" w:space="0" w:color="auto"/>
              <w:right w:val="single" w:sz="6" w:space="0" w:color="auto"/>
            </w:tcBorders>
            <w:hideMark/>
          </w:tcPr>
          <w:p w14:paraId="314F6053"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D2F2199"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2428D56F"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D90B78C" w14:textId="77777777" w:rsidR="0010450A" w:rsidRPr="003B4362" w:rsidRDefault="0010450A" w:rsidP="00C619B9">
            <w:pPr>
              <w:widowControl w:val="0"/>
            </w:pPr>
            <w:r w:rsidRPr="003B4362">
              <w:t>611.648</w:t>
            </w:r>
          </w:p>
        </w:tc>
      </w:tr>
      <w:tr w:rsidR="001628C1" w:rsidRPr="003B4362" w14:paraId="09553075"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61C8FBD" w14:textId="77777777" w:rsidR="0010450A" w:rsidRPr="003B4362" w:rsidRDefault="0010450A" w:rsidP="00C619B9">
            <w:pPr>
              <w:widowControl w:val="0"/>
            </w:pPr>
            <w:r w:rsidRPr="003B4362">
              <w:t>21. Hexachlorobenzene</w:t>
            </w:r>
          </w:p>
        </w:tc>
        <w:tc>
          <w:tcPr>
            <w:tcW w:w="1296" w:type="dxa"/>
            <w:tcBorders>
              <w:top w:val="single" w:sz="6" w:space="0" w:color="auto"/>
              <w:left w:val="single" w:sz="6" w:space="0" w:color="auto"/>
              <w:bottom w:val="single" w:sz="6" w:space="0" w:color="auto"/>
              <w:right w:val="single" w:sz="6" w:space="0" w:color="auto"/>
            </w:tcBorders>
            <w:hideMark/>
          </w:tcPr>
          <w:p w14:paraId="50C317A2"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676E70C0"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12E859DB"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6CBF3CF" w14:textId="77777777" w:rsidR="0010450A" w:rsidRPr="003B4362" w:rsidRDefault="0010450A" w:rsidP="00C619B9">
            <w:pPr>
              <w:widowControl w:val="0"/>
            </w:pPr>
            <w:r w:rsidRPr="003B4362">
              <w:t>611.648</w:t>
            </w:r>
          </w:p>
        </w:tc>
      </w:tr>
      <w:tr w:rsidR="001628C1" w:rsidRPr="003B4362" w14:paraId="52952465"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430AD7B" w14:textId="77777777" w:rsidR="0010450A" w:rsidRPr="003B4362" w:rsidRDefault="0010450A" w:rsidP="00C619B9">
            <w:pPr>
              <w:widowControl w:val="0"/>
            </w:pPr>
            <w:r w:rsidRPr="003B4362">
              <w:t>22. Hexachlorocyclopentadiene</w:t>
            </w:r>
          </w:p>
        </w:tc>
        <w:tc>
          <w:tcPr>
            <w:tcW w:w="1296" w:type="dxa"/>
            <w:tcBorders>
              <w:top w:val="single" w:sz="6" w:space="0" w:color="auto"/>
              <w:left w:val="single" w:sz="6" w:space="0" w:color="auto"/>
              <w:bottom w:val="single" w:sz="6" w:space="0" w:color="auto"/>
              <w:right w:val="single" w:sz="6" w:space="0" w:color="auto"/>
            </w:tcBorders>
            <w:hideMark/>
          </w:tcPr>
          <w:p w14:paraId="7A7C0B44"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3C929C4"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5753F3A2"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AB666DE" w14:textId="77777777" w:rsidR="0010450A" w:rsidRPr="003B4362" w:rsidRDefault="0010450A" w:rsidP="00C619B9">
            <w:pPr>
              <w:widowControl w:val="0"/>
            </w:pPr>
            <w:r w:rsidRPr="003B4362">
              <w:t>611.648</w:t>
            </w:r>
          </w:p>
        </w:tc>
      </w:tr>
      <w:tr w:rsidR="001628C1" w:rsidRPr="003B4362" w14:paraId="3CB9DFC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EA2170D" w14:textId="77777777" w:rsidR="0010450A" w:rsidRPr="003B4362" w:rsidRDefault="0010450A" w:rsidP="00C619B9">
            <w:pPr>
              <w:widowControl w:val="0"/>
            </w:pPr>
            <w:r w:rsidRPr="003B4362">
              <w:t>23. Lindane</w:t>
            </w:r>
          </w:p>
        </w:tc>
        <w:tc>
          <w:tcPr>
            <w:tcW w:w="1296" w:type="dxa"/>
            <w:tcBorders>
              <w:top w:val="single" w:sz="6" w:space="0" w:color="auto"/>
              <w:left w:val="single" w:sz="6" w:space="0" w:color="auto"/>
              <w:bottom w:val="single" w:sz="6" w:space="0" w:color="auto"/>
              <w:right w:val="single" w:sz="6" w:space="0" w:color="auto"/>
            </w:tcBorders>
            <w:hideMark/>
          </w:tcPr>
          <w:p w14:paraId="6B5B17D3"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20ADEC25"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4B490FE6"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CF3B6D5" w14:textId="77777777" w:rsidR="0010450A" w:rsidRPr="003B4362" w:rsidRDefault="0010450A" w:rsidP="00C619B9">
            <w:pPr>
              <w:widowControl w:val="0"/>
            </w:pPr>
            <w:r w:rsidRPr="003B4362">
              <w:t>611.648</w:t>
            </w:r>
          </w:p>
        </w:tc>
      </w:tr>
      <w:tr w:rsidR="001628C1" w:rsidRPr="003B4362" w14:paraId="30F5319C"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1CA72F7" w14:textId="77777777" w:rsidR="0010450A" w:rsidRPr="003B4362" w:rsidRDefault="0010450A" w:rsidP="00C619B9">
            <w:pPr>
              <w:widowControl w:val="0"/>
            </w:pPr>
            <w:r w:rsidRPr="003B4362">
              <w:t>24. Methoxychlor</w:t>
            </w:r>
          </w:p>
        </w:tc>
        <w:tc>
          <w:tcPr>
            <w:tcW w:w="1296" w:type="dxa"/>
            <w:tcBorders>
              <w:top w:val="single" w:sz="6" w:space="0" w:color="auto"/>
              <w:left w:val="single" w:sz="6" w:space="0" w:color="auto"/>
              <w:bottom w:val="single" w:sz="6" w:space="0" w:color="auto"/>
              <w:right w:val="single" w:sz="6" w:space="0" w:color="auto"/>
            </w:tcBorders>
            <w:hideMark/>
          </w:tcPr>
          <w:p w14:paraId="0EA944E0"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EC4025F"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109BA472"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E006A27" w14:textId="77777777" w:rsidR="0010450A" w:rsidRPr="003B4362" w:rsidRDefault="0010450A" w:rsidP="00C619B9">
            <w:pPr>
              <w:widowControl w:val="0"/>
            </w:pPr>
            <w:r w:rsidRPr="003B4362">
              <w:t>611.648</w:t>
            </w:r>
          </w:p>
        </w:tc>
      </w:tr>
      <w:tr w:rsidR="001628C1" w:rsidRPr="003B4362" w14:paraId="6878B77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97D0689" w14:textId="77777777" w:rsidR="0010450A" w:rsidRPr="003B4362" w:rsidRDefault="0010450A" w:rsidP="00C619B9">
            <w:pPr>
              <w:widowControl w:val="0"/>
            </w:pPr>
            <w:r w:rsidRPr="003B4362">
              <w:t>25. Oxamyl (Vydate)</w:t>
            </w:r>
          </w:p>
        </w:tc>
        <w:tc>
          <w:tcPr>
            <w:tcW w:w="1296" w:type="dxa"/>
            <w:tcBorders>
              <w:top w:val="single" w:sz="6" w:space="0" w:color="auto"/>
              <w:left w:val="single" w:sz="6" w:space="0" w:color="auto"/>
              <w:bottom w:val="single" w:sz="6" w:space="0" w:color="auto"/>
              <w:right w:val="single" w:sz="6" w:space="0" w:color="auto"/>
            </w:tcBorders>
            <w:hideMark/>
          </w:tcPr>
          <w:p w14:paraId="5C709FF1"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67B4C926"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1D95A686"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12235DA" w14:textId="77777777" w:rsidR="0010450A" w:rsidRPr="003B4362" w:rsidRDefault="0010450A" w:rsidP="00C619B9">
            <w:pPr>
              <w:widowControl w:val="0"/>
            </w:pPr>
            <w:r w:rsidRPr="003B4362">
              <w:t>611.648</w:t>
            </w:r>
          </w:p>
        </w:tc>
      </w:tr>
      <w:tr w:rsidR="001628C1" w:rsidRPr="003B4362" w14:paraId="4CC5615D"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A247207" w14:textId="77777777" w:rsidR="0010450A" w:rsidRPr="003B4362" w:rsidRDefault="0010450A" w:rsidP="00C619B9">
            <w:pPr>
              <w:widowControl w:val="0"/>
            </w:pPr>
            <w:r w:rsidRPr="003B4362">
              <w:t>26. Pentachlorophenol</w:t>
            </w:r>
          </w:p>
        </w:tc>
        <w:tc>
          <w:tcPr>
            <w:tcW w:w="1296" w:type="dxa"/>
            <w:tcBorders>
              <w:top w:val="single" w:sz="6" w:space="0" w:color="auto"/>
              <w:left w:val="single" w:sz="6" w:space="0" w:color="auto"/>
              <w:bottom w:val="single" w:sz="6" w:space="0" w:color="auto"/>
              <w:right w:val="single" w:sz="6" w:space="0" w:color="auto"/>
            </w:tcBorders>
            <w:hideMark/>
          </w:tcPr>
          <w:p w14:paraId="63377026"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60D65A83"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1A5B4555"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A7F9D61" w14:textId="77777777" w:rsidR="0010450A" w:rsidRPr="003B4362" w:rsidRDefault="0010450A" w:rsidP="00C619B9">
            <w:pPr>
              <w:widowControl w:val="0"/>
            </w:pPr>
            <w:r w:rsidRPr="003B4362">
              <w:t>611.648</w:t>
            </w:r>
          </w:p>
        </w:tc>
      </w:tr>
      <w:tr w:rsidR="001628C1" w:rsidRPr="003B4362" w14:paraId="68B7802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B34FF6E" w14:textId="77777777" w:rsidR="0010450A" w:rsidRPr="003B4362" w:rsidRDefault="0010450A" w:rsidP="00C619B9">
            <w:pPr>
              <w:widowControl w:val="0"/>
            </w:pPr>
            <w:r w:rsidRPr="003B4362">
              <w:t>27. Picloram</w:t>
            </w:r>
          </w:p>
        </w:tc>
        <w:tc>
          <w:tcPr>
            <w:tcW w:w="1296" w:type="dxa"/>
            <w:tcBorders>
              <w:top w:val="single" w:sz="6" w:space="0" w:color="auto"/>
              <w:left w:val="single" w:sz="6" w:space="0" w:color="auto"/>
              <w:bottom w:val="single" w:sz="6" w:space="0" w:color="auto"/>
              <w:right w:val="single" w:sz="6" w:space="0" w:color="auto"/>
            </w:tcBorders>
            <w:hideMark/>
          </w:tcPr>
          <w:p w14:paraId="4B380636"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F532AFF"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74A54942"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3F853E7" w14:textId="77777777" w:rsidR="0010450A" w:rsidRPr="003B4362" w:rsidRDefault="0010450A" w:rsidP="00C619B9">
            <w:pPr>
              <w:widowControl w:val="0"/>
            </w:pPr>
            <w:r w:rsidRPr="003B4362">
              <w:t>611.648</w:t>
            </w:r>
          </w:p>
        </w:tc>
      </w:tr>
      <w:tr w:rsidR="001628C1" w:rsidRPr="003B4362" w14:paraId="0076EA2D"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2BD7EE9" w14:textId="77777777" w:rsidR="0010450A" w:rsidRPr="003B4362" w:rsidRDefault="0010450A" w:rsidP="00C619B9">
            <w:pPr>
              <w:widowControl w:val="0"/>
            </w:pPr>
            <w:r w:rsidRPr="003B4362">
              <w:t>28. Polychlorinated biphenyls (PCBs)</w:t>
            </w:r>
          </w:p>
        </w:tc>
        <w:tc>
          <w:tcPr>
            <w:tcW w:w="1296" w:type="dxa"/>
            <w:tcBorders>
              <w:top w:val="single" w:sz="6" w:space="0" w:color="auto"/>
              <w:left w:val="single" w:sz="6" w:space="0" w:color="auto"/>
              <w:bottom w:val="single" w:sz="6" w:space="0" w:color="auto"/>
              <w:right w:val="single" w:sz="6" w:space="0" w:color="auto"/>
            </w:tcBorders>
            <w:hideMark/>
          </w:tcPr>
          <w:p w14:paraId="1ABAA9CE"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61112AA"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5805BA87"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ED1C4C7" w14:textId="77777777" w:rsidR="0010450A" w:rsidRPr="003B4362" w:rsidRDefault="0010450A" w:rsidP="00C619B9">
            <w:pPr>
              <w:widowControl w:val="0"/>
            </w:pPr>
            <w:r w:rsidRPr="003B4362">
              <w:t>611.648</w:t>
            </w:r>
          </w:p>
        </w:tc>
      </w:tr>
      <w:tr w:rsidR="001628C1" w:rsidRPr="003B4362" w14:paraId="085FA26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D0278C4" w14:textId="77777777" w:rsidR="0010450A" w:rsidRPr="003B4362" w:rsidRDefault="0010450A" w:rsidP="00C619B9">
            <w:pPr>
              <w:widowControl w:val="0"/>
            </w:pPr>
            <w:r w:rsidRPr="003B4362">
              <w:t>29. Simazine</w:t>
            </w:r>
          </w:p>
        </w:tc>
        <w:tc>
          <w:tcPr>
            <w:tcW w:w="1296" w:type="dxa"/>
            <w:tcBorders>
              <w:top w:val="single" w:sz="6" w:space="0" w:color="auto"/>
              <w:left w:val="single" w:sz="6" w:space="0" w:color="auto"/>
              <w:bottom w:val="single" w:sz="6" w:space="0" w:color="auto"/>
              <w:right w:val="single" w:sz="6" w:space="0" w:color="auto"/>
            </w:tcBorders>
            <w:hideMark/>
          </w:tcPr>
          <w:p w14:paraId="12DFEECB"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3D89CDE"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1806B031"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3A1FC79" w14:textId="77777777" w:rsidR="0010450A" w:rsidRPr="003B4362" w:rsidRDefault="0010450A" w:rsidP="00C619B9">
            <w:pPr>
              <w:widowControl w:val="0"/>
            </w:pPr>
            <w:r w:rsidRPr="003B4362">
              <w:t>611.648</w:t>
            </w:r>
          </w:p>
        </w:tc>
      </w:tr>
      <w:tr w:rsidR="001628C1" w:rsidRPr="003B4362" w14:paraId="663F81F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7E5E0DF" w14:textId="77777777" w:rsidR="0010450A" w:rsidRPr="003B4362" w:rsidRDefault="0010450A" w:rsidP="00C619B9">
            <w:pPr>
              <w:widowControl w:val="0"/>
            </w:pPr>
            <w:r w:rsidRPr="003B4362">
              <w:t>30. Toxaphene</w:t>
            </w:r>
          </w:p>
        </w:tc>
        <w:tc>
          <w:tcPr>
            <w:tcW w:w="1296" w:type="dxa"/>
            <w:tcBorders>
              <w:top w:val="single" w:sz="6" w:space="0" w:color="auto"/>
              <w:left w:val="single" w:sz="6" w:space="0" w:color="auto"/>
              <w:bottom w:val="single" w:sz="6" w:space="0" w:color="auto"/>
              <w:right w:val="single" w:sz="6" w:space="0" w:color="auto"/>
            </w:tcBorders>
            <w:hideMark/>
          </w:tcPr>
          <w:p w14:paraId="28F09F3C"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2197A91"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167FE83E"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3FD44A7" w14:textId="77777777" w:rsidR="0010450A" w:rsidRPr="003B4362" w:rsidRDefault="0010450A" w:rsidP="00C619B9">
            <w:pPr>
              <w:widowControl w:val="0"/>
            </w:pPr>
            <w:r w:rsidRPr="003B4362">
              <w:t>611.648</w:t>
            </w:r>
          </w:p>
        </w:tc>
      </w:tr>
    </w:tbl>
    <w:p w14:paraId="22B75CD6" w14:textId="77777777" w:rsidR="003F1F0F" w:rsidRPr="003B4362" w:rsidRDefault="003F1F0F" w:rsidP="003F1F0F"/>
    <w:p w14:paraId="2D6B10D8" w14:textId="56F22662" w:rsidR="0010450A" w:rsidRPr="003B4362" w:rsidRDefault="0010450A" w:rsidP="003F1F0F">
      <w:r w:rsidRPr="003B4362">
        <w:t>E. Volatile Organic Chemicals (VOCs)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0627F245"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F71F5F2" w14:textId="77777777" w:rsidR="0010450A" w:rsidRPr="003B4362" w:rsidRDefault="0010450A" w:rsidP="00C619B9">
            <w:pPr>
              <w:widowControl w:val="0"/>
              <w:spacing w:before="100" w:beforeAutospacing="1" w:after="100" w:afterAutospacing="1"/>
            </w:pPr>
            <w:r w:rsidRPr="003B4362">
              <w:t>1. Benzene</w:t>
            </w:r>
          </w:p>
        </w:tc>
        <w:tc>
          <w:tcPr>
            <w:tcW w:w="1296" w:type="dxa"/>
            <w:tcBorders>
              <w:top w:val="single" w:sz="6" w:space="0" w:color="auto"/>
              <w:left w:val="single" w:sz="6" w:space="0" w:color="auto"/>
              <w:bottom w:val="single" w:sz="6" w:space="0" w:color="auto"/>
              <w:right w:val="single" w:sz="6" w:space="0" w:color="auto"/>
            </w:tcBorders>
            <w:hideMark/>
          </w:tcPr>
          <w:p w14:paraId="51F5500E"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B0D0EC3"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4EFC3B56"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D7D2CAE" w14:textId="77777777" w:rsidR="0010450A" w:rsidRPr="003B4362" w:rsidRDefault="0010450A" w:rsidP="00C619B9">
            <w:pPr>
              <w:widowControl w:val="0"/>
              <w:spacing w:before="100" w:beforeAutospacing="1" w:after="100" w:afterAutospacing="1"/>
            </w:pPr>
            <w:r w:rsidRPr="003B4362">
              <w:t>611.646</w:t>
            </w:r>
          </w:p>
        </w:tc>
      </w:tr>
      <w:tr w:rsidR="001628C1" w:rsidRPr="003B4362" w14:paraId="45CCAD8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585F97D" w14:textId="77777777" w:rsidR="0010450A" w:rsidRPr="003B4362" w:rsidRDefault="0010450A" w:rsidP="00C619B9">
            <w:pPr>
              <w:widowControl w:val="0"/>
              <w:spacing w:before="100" w:beforeAutospacing="1" w:after="100" w:afterAutospacing="1"/>
            </w:pPr>
            <w:r w:rsidRPr="003B4362">
              <w:lastRenderedPageBreak/>
              <w:t>2. Carbon tetrachloride</w:t>
            </w:r>
          </w:p>
        </w:tc>
        <w:tc>
          <w:tcPr>
            <w:tcW w:w="1296" w:type="dxa"/>
            <w:tcBorders>
              <w:top w:val="single" w:sz="6" w:space="0" w:color="auto"/>
              <w:left w:val="single" w:sz="6" w:space="0" w:color="auto"/>
              <w:bottom w:val="single" w:sz="6" w:space="0" w:color="auto"/>
              <w:right w:val="single" w:sz="6" w:space="0" w:color="auto"/>
            </w:tcBorders>
            <w:hideMark/>
          </w:tcPr>
          <w:p w14:paraId="3FC101A2"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6A6879CB"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451547B3"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C6C6788" w14:textId="77777777" w:rsidR="0010450A" w:rsidRPr="003B4362" w:rsidRDefault="0010450A" w:rsidP="00C619B9">
            <w:pPr>
              <w:widowControl w:val="0"/>
              <w:spacing w:before="100" w:beforeAutospacing="1" w:after="100" w:afterAutospacing="1"/>
            </w:pPr>
            <w:r w:rsidRPr="003B4362">
              <w:t>611.646</w:t>
            </w:r>
          </w:p>
        </w:tc>
      </w:tr>
      <w:tr w:rsidR="001628C1" w:rsidRPr="003B4362" w14:paraId="797A436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8296403" w14:textId="77777777" w:rsidR="0010450A" w:rsidRPr="003B4362" w:rsidRDefault="0010450A" w:rsidP="00C619B9">
            <w:pPr>
              <w:widowControl w:val="0"/>
              <w:spacing w:before="100" w:beforeAutospacing="1" w:after="100" w:afterAutospacing="1"/>
            </w:pPr>
            <w:r w:rsidRPr="003B4362">
              <w:t>3. Chlorobenzene (monochlorobenzene)</w:t>
            </w:r>
          </w:p>
        </w:tc>
        <w:tc>
          <w:tcPr>
            <w:tcW w:w="1296" w:type="dxa"/>
            <w:tcBorders>
              <w:top w:val="single" w:sz="6" w:space="0" w:color="auto"/>
              <w:left w:val="single" w:sz="6" w:space="0" w:color="auto"/>
              <w:bottom w:val="single" w:sz="6" w:space="0" w:color="auto"/>
              <w:right w:val="single" w:sz="6" w:space="0" w:color="auto"/>
            </w:tcBorders>
            <w:hideMark/>
          </w:tcPr>
          <w:p w14:paraId="46EEB6BC"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EE51680"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459CFBED"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2797B41" w14:textId="77777777" w:rsidR="0010450A" w:rsidRPr="003B4362" w:rsidRDefault="0010450A" w:rsidP="00C619B9">
            <w:pPr>
              <w:widowControl w:val="0"/>
              <w:spacing w:before="100" w:beforeAutospacing="1" w:after="100" w:afterAutospacing="1"/>
            </w:pPr>
            <w:r w:rsidRPr="003B4362">
              <w:t>611.646</w:t>
            </w:r>
          </w:p>
        </w:tc>
      </w:tr>
      <w:tr w:rsidR="001628C1" w:rsidRPr="003B4362" w14:paraId="3C943A9C"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277C71D" w14:textId="77777777" w:rsidR="0010450A" w:rsidRPr="003B4362" w:rsidRDefault="0010450A" w:rsidP="00C619B9">
            <w:pPr>
              <w:widowControl w:val="0"/>
              <w:spacing w:before="100" w:beforeAutospacing="1" w:after="100" w:afterAutospacing="1"/>
            </w:pPr>
            <w:r w:rsidRPr="003B4362">
              <w:t>4. o-Dichlorobenzene</w:t>
            </w:r>
          </w:p>
        </w:tc>
        <w:tc>
          <w:tcPr>
            <w:tcW w:w="1296" w:type="dxa"/>
            <w:tcBorders>
              <w:top w:val="single" w:sz="6" w:space="0" w:color="auto"/>
              <w:left w:val="single" w:sz="6" w:space="0" w:color="auto"/>
              <w:bottom w:val="single" w:sz="6" w:space="0" w:color="auto"/>
              <w:right w:val="single" w:sz="6" w:space="0" w:color="auto"/>
            </w:tcBorders>
            <w:hideMark/>
          </w:tcPr>
          <w:p w14:paraId="281E8C83"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701436D"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46846B2A"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10FF76F" w14:textId="77777777" w:rsidR="0010450A" w:rsidRPr="003B4362" w:rsidRDefault="0010450A" w:rsidP="00C619B9">
            <w:pPr>
              <w:widowControl w:val="0"/>
              <w:spacing w:before="100" w:beforeAutospacing="1" w:after="100" w:afterAutospacing="1"/>
            </w:pPr>
            <w:r w:rsidRPr="003B4362">
              <w:t>611.646</w:t>
            </w:r>
          </w:p>
        </w:tc>
      </w:tr>
      <w:tr w:rsidR="001628C1" w:rsidRPr="003B4362" w14:paraId="41AB1274"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D9951FC" w14:textId="77777777" w:rsidR="0010450A" w:rsidRPr="003B4362" w:rsidRDefault="0010450A" w:rsidP="00C619B9">
            <w:pPr>
              <w:widowControl w:val="0"/>
              <w:spacing w:before="100" w:beforeAutospacing="1" w:after="100" w:afterAutospacing="1"/>
            </w:pPr>
            <w:r w:rsidRPr="003B4362">
              <w:t>5. p-Dichlorobenzene</w:t>
            </w:r>
          </w:p>
        </w:tc>
        <w:tc>
          <w:tcPr>
            <w:tcW w:w="1296" w:type="dxa"/>
            <w:tcBorders>
              <w:top w:val="single" w:sz="6" w:space="0" w:color="auto"/>
              <w:left w:val="single" w:sz="6" w:space="0" w:color="auto"/>
              <w:bottom w:val="single" w:sz="6" w:space="0" w:color="auto"/>
              <w:right w:val="single" w:sz="6" w:space="0" w:color="auto"/>
            </w:tcBorders>
            <w:hideMark/>
          </w:tcPr>
          <w:p w14:paraId="1DEAE5D3"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577F88BF"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52ADF0F6"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601E495" w14:textId="77777777" w:rsidR="0010450A" w:rsidRPr="003B4362" w:rsidRDefault="0010450A" w:rsidP="00C619B9">
            <w:pPr>
              <w:widowControl w:val="0"/>
              <w:spacing w:before="100" w:beforeAutospacing="1" w:after="100" w:afterAutospacing="1"/>
            </w:pPr>
            <w:r w:rsidRPr="003B4362">
              <w:t>611.646</w:t>
            </w:r>
          </w:p>
        </w:tc>
      </w:tr>
      <w:tr w:rsidR="001628C1" w:rsidRPr="003B4362" w14:paraId="3B331E5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AEFBC63" w14:textId="77777777" w:rsidR="0010450A" w:rsidRPr="003B4362" w:rsidRDefault="0010450A" w:rsidP="00C619B9">
            <w:pPr>
              <w:widowControl w:val="0"/>
              <w:spacing w:before="100" w:beforeAutospacing="1" w:after="100" w:afterAutospacing="1"/>
            </w:pPr>
            <w:r w:rsidRPr="003B4362">
              <w:t>6. 1,2-Dichloroethane</w:t>
            </w:r>
          </w:p>
        </w:tc>
        <w:tc>
          <w:tcPr>
            <w:tcW w:w="1296" w:type="dxa"/>
            <w:tcBorders>
              <w:top w:val="single" w:sz="6" w:space="0" w:color="auto"/>
              <w:left w:val="single" w:sz="6" w:space="0" w:color="auto"/>
              <w:bottom w:val="single" w:sz="6" w:space="0" w:color="auto"/>
              <w:right w:val="single" w:sz="6" w:space="0" w:color="auto"/>
            </w:tcBorders>
            <w:hideMark/>
          </w:tcPr>
          <w:p w14:paraId="3A1B1069"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B515BF2"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3B41178D"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B313E62" w14:textId="77777777" w:rsidR="0010450A" w:rsidRPr="003B4362" w:rsidRDefault="0010450A" w:rsidP="00C619B9">
            <w:pPr>
              <w:widowControl w:val="0"/>
              <w:spacing w:before="100" w:beforeAutospacing="1" w:after="100" w:afterAutospacing="1"/>
            </w:pPr>
            <w:r w:rsidRPr="003B4362">
              <w:t>611.646</w:t>
            </w:r>
          </w:p>
        </w:tc>
      </w:tr>
      <w:tr w:rsidR="001628C1" w:rsidRPr="003B4362" w14:paraId="1D7B02C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32039FD" w14:textId="77777777" w:rsidR="0010450A" w:rsidRPr="003B4362" w:rsidRDefault="0010450A" w:rsidP="00C619B9">
            <w:pPr>
              <w:widowControl w:val="0"/>
              <w:spacing w:before="100" w:beforeAutospacing="1" w:after="100" w:afterAutospacing="1"/>
            </w:pPr>
            <w:r w:rsidRPr="003B4362">
              <w:t>7. 1,1-Dichloroethylene</w:t>
            </w:r>
          </w:p>
        </w:tc>
        <w:tc>
          <w:tcPr>
            <w:tcW w:w="1296" w:type="dxa"/>
            <w:tcBorders>
              <w:top w:val="single" w:sz="6" w:space="0" w:color="auto"/>
              <w:left w:val="single" w:sz="6" w:space="0" w:color="auto"/>
              <w:bottom w:val="single" w:sz="6" w:space="0" w:color="auto"/>
              <w:right w:val="single" w:sz="6" w:space="0" w:color="auto"/>
            </w:tcBorders>
            <w:hideMark/>
          </w:tcPr>
          <w:p w14:paraId="765D69D6"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8B22928"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65E1CB74"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22471EF3" w14:textId="77777777" w:rsidR="0010450A" w:rsidRPr="003B4362" w:rsidRDefault="0010450A" w:rsidP="00C619B9">
            <w:pPr>
              <w:widowControl w:val="0"/>
              <w:spacing w:before="100" w:beforeAutospacing="1" w:after="100" w:afterAutospacing="1"/>
            </w:pPr>
            <w:r w:rsidRPr="003B4362">
              <w:t>611.646</w:t>
            </w:r>
          </w:p>
        </w:tc>
      </w:tr>
      <w:tr w:rsidR="001628C1" w:rsidRPr="003B4362" w14:paraId="7F2033D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3267678" w14:textId="77777777" w:rsidR="0010450A" w:rsidRPr="003B4362" w:rsidRDefault="0010450A" w:rsidP="00C619B9">
            <w:pPr>
              <w:widowControl w:val="0"/>
              <w:spacing w:before="100" w:beforeAutospacing="1" w:after="100" w:afterAutospacing="1"/>
            </w:pPr>
            <w:r w:rsidRPr="003B4362">
              <w:t>8. cis-1,2-Dichloroethylene</w:t>
            </w:r>
          </w:p>
        </w:tc>
        <w:tc>
          <w:tcPr>
            <w:tcW w:w="1296" w:type="dxa"/>
            <w:tcBorders>
              <w:top w:val="single" w:sz="6" w:space="0" w:color="auto"/>
              <w:left w:val="single" w:sz="6" w:space="0" w:color="auto"/>
              <w:bottom w:val="single" w:sz="6" w:space="0" w:color="auto"/>
              <w:right w:val="single" w:sz="6" w:space="0" w:color="auto"/>
            </w:tcBorders>
            <w:hideMark/>
          </w:tcPr>
          <w:p w14:paraId="459B9BD5"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DB603BB"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4ABA1678"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FFCC50B" w14:textId="77777777" w:rsidR="0010450A" w:rsidRPr="003B4362" w:rsidRDefault="0010450A" w:rsidP="00C619B9">
            <w:pPr>
              <w:widowControl w:val="0"/>
              <w:spacing w:before="100" w:beforeAutospacing="1" w:after="100" w:afterAutospacing="1"/>
            </w:pPr>
            <w:r w:rsidRPr="003B4362">
              <w:t>611.646</w:t>
            </w:r>
          </w:p>
        </w:tc>
      </w:tr>
      <w:tr w:rsidR="001628C1" w:rsidRPr="003B4362" w14:paraId="784BECC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1711706" w14:textId="77777777" w:rsidR="0010450A" w:rsidRPr="003B4362" w:rsidRDefault="0010450A" w:rsidP="00C619B9">
            <w:pPr>
              <w:widowControl w:val="0"/>
              <w:spacing w:before="100" w:beforeAutospacing="1" w:after="100" w:afterAutospacing="1"/>
            </w:pPr>
            <w:r w:rsidRPr="003B4362">
              <w:t>9. trans-1,2-Dichloroethylene</w:t>
            </w:r>
          </w:p>
        </w:tc>
        <w:tc>
          <w:tcPr>
            <w:tcW w:w="1296" w:type="dxa"/>
            <w:tcBorders>
              <w:top w:val="single" w:sz="6" w:space="0" w:color="auto"/>
              <w:left w:val="single" w:sz="6" w:space="0" w:color="auto"/>
              <w:bottom w:val="single" w:sz="6" w:space="0" w:color="auto"/>
              <w:right w:val="single" w:sz="6" w:space="0" w:color="auto"/>
            </w:tcBorders>
            <w:hideMark/>
          </w:tcPr>
          <w:p w14:paraId="3A8CEDEA"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B8FEE58"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6BB7729E"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7B510A1" w14:textId="77777777" w:rsidR="0010450A" w:rsidRPr="003B4362" w:rsidRDefault="0010450A" w:rsidP="00C619B9">
            <w:pPr>
              <w:widowControl w:val="0"/>
              <w:spacing w:before="100" w:beforeAutospacing="1" w:after="100" w:afterAutospacing="1"/>
            </w:pPr>
            <w:r w:rsidRPr="003B4362">
              <w:t>611.646</w:t>
            </w:r>
          </w:p>
        </w:tc>
      </w:tr>
      <w:tr w:rsidR="001628C1" w:rsidRPr="003B4362" w14:paraId="62221F6D"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3C80EC7" w14:textId="77777777" w:rsidR="0010450A" w:rsidRPr="003B4362" w:rsidRDefault="0010450A" w:rsidP="00C619B9">
            <w:pPr>
              <w:widowControl w:val="0"/>
              <w:spacing w:before="100" w:beforeAutospacing="1" w:after="100" w:afterAutospacing="1"/>
            </w:pPr>
            <w:r w:rsidRPr="003B4362">
              <w:t>10. Dichloromethane</w:t>
            </w:r>
          </w:p>
        </w:tc>
        <w:tc>
          <w:tcPr>
            <w:tcW w:w="1296" w:type="dxa"/>
            <w:tcBorders>
              <w:top w:val="single" w:sz="6" w:space="0" w:color="auto"/>
              <w:left w:val="single" w:sz="6" w:space="0" w:color="auto"/>
              <w:bottom w:val="single" w:sz="6" w:space="0" w:color="auto"/>
              <w:right w:val="single" w:sz="6" w:space="0" w:color="auto"/>
            </w:tcBorders>
            <w:hideMark/>
          </w:tcPr>
          <w:p w14:paraId="7CEB9279"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45F3646"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03B20143"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EE7151F" w14:textId="77777777" w:rsidR="0010450A" w:rsidRPr="003B4362" w:rsidRDefault="0010450A" w:rsidP="00C619B9">
            <w:pPr>
              <w:widowControl w:val="0"/>
              <w:spacing w:before="100" w:beforeAutospacing="1" w:after="100" w:afterAutospacing="1"/>
            </w:pPr>
            <w:r w:rsidRPr="003B4362">
              <w:t>611.646</w:t>
            </w:r>
          </w:p>
        </w:tc>
      </w:tr>
      <w:tr w:rsidR="001628C1" w:rsidRPr="003B4362" w14:paraId="0D0A4924"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21C7848" w14:textId="77777777" w:rsidR="0010450A" w:rsidRPr="003B4362" w:rsidRDefault="0010450A" w:rsidP="00C619B9">
            <w:pPr>
              <w:widowControl w:val="0"/>
              <w:spacing w:before="100" w:beforeAutospacing="1" w:after="100" w:afterAutospacing="1"/>
            </w:pPr>
            <w:r w:rsidRPr="003B4362">
              <w:t>11. 1,2-Dichloropropane</w:t>
            </w:r>
          </w:p>
        </w:tc>
        <w:tc>
          <w:tcPr>
            <w:tcW w:w="1296" w:type="dxa"/>
            <w:tcBorders>
              <w:top w:val="single" w:sz="6" w:space="0" w:color="auto"/>
              <w:left w:val="single" w:sz="6" w:space="0" w:color="auto"/>
              <w:bottom w:val="single" w:sz="6" w:space="0" w:color="auto"/>
              <w:right w:val="single" w:sz="6" w:space="0" w:color="auto"/>
            </w:tcBorders>
            <w:hideMark/>
          </w:tcPr>
          <w:p w14:paraId="293F3A46"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9AB5A48"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3DB3679B"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269A6B12" w14:textId="77777777" w:rsidR="0010450A" w:rsidRPr="003B4362" w:rsidRDefault="0010450A" w:rsidP="00C619B9">
            <w:pPr>
              <w:widowControl w:val="0"/>
              <w:spacing w:before="100" w:beforeAutospacing="1" w:after="100" w:afterAutospacing="1"/>
            </w:pPr>
            <w:r w:rsidRPr="003B4362">
              <w:t>611.646</w:t>
            </w:r>
          </w:p>
        </w:tc>
      </w:tr>
      <w:tr w:rsidR="001628C1" w:rsidRPr="003B4362" w14:paraId="34B6B80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EA49503" w14:textId="77777777" w:rsidR="0010450A" w:rsidRPr="003B4362" w:rsidRDefault="0010450A" w:rsidP="00C619B9">
            <w:pPr>
              <w:widowControl w:val="0"/>
              <w:spacing w:before="100" w:beforeAutospacing="1" w:after="100" w:afterAutospacing="1"/>
            </w:pPr>
            <w:r w:rsidRPr="003B4362">
              <w:t>12. Ethylbenzene</w:t>
            </w:r>
          </w:p>
        </w:tc>
        <w:tc>
          <w:tcPr>
            <w:tcW w:w="1296" w:type="dxa"/>
            <w:tcBorders>
              <w:top w:val="single" w:sz="6" w:space="0" w:color="auto"/>
              <w:left w:val="single" w:sz="6" w:space="0" w:color="auto"/>
              <w:bottom w:val="single" w:sz="6" w:space="0" w:color="auto"/>
              <w:right w:val="single" w:sz="6" w:space="0" w:color="auto"/>
            </w:tcBorders>
            <w:hideMark/>
          </w:tcPr>
          <w:p w14:paraId="6AF57100"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64FCEFD4"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56898855"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540096E" w14:textId="77777777" w:rsidR="0010450A" w:rsidRPr="003B4362" w:rsidRDefault="0010450A" w:rsidP="00C619B9">
            <w:pPr>
              <w:widowControl w:val="0"/>
              <w:spacing w:before="100" w:beforeAutospacing="1" w:after="100" w:afterAutospacing="1"/>
            </w:pPr>
            <w:r w:rsidRPr="003B4362">
              <w:t>611.646</w:t>
            </w:r>
          </w:p>
        </w:tc>
      </w:tr>
      <w:tr w:rsidR="001628C1" w:rsidRPr="003B4362" w14:paraId="41F2B56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0BE89C8" w14:textId="77777777" w:rsidR="0010450A" w:rsidRPr="003B4362" w:rsidRDefault="0010450A" w:rsidP="00C619B9">
            <w:pPr>
              <w:widowControl w:val="0"/>
              <w:spacing w:before="100" w:beforeAutospacing="1" w:after="100" w:afterAutospacing="1"/>
            </w:pPr>
            <w:r w:rsidRPr="003B4362">
              <w:t>13. Styrene</w:t>
            </w:r>
          </w:p>
        </w:tc>
        <w:tc>
          <w:tcPr>
            <w:tcW w:w="1296" w:type="dxa"/>
            <w:tcBorders>
              <w:top w:val="single" w:sz="6" w:space="0" w:color="auto"/>
              <w:left w:val="single" w:sz="6" w:space="0" w:color="auto"/>
              <w:bottom w:val="single" w:sz="6" w:space="0" w:color="auto"/>
              <w:right w:val="single" w:sz="6" w:space="0" w:color="auto"/>
            </w:tcBorders>
            <w:hideMark/>
          </w:tcPr>
          <w:p w14:paraId="08B8A210"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2E2E0293"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3625952C"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AD895AB" w14:textId="77777777" w:rsidR="0010450A" w:rsidRPr="003B4362" w:rsidRDefault="0010450A" w:rsidP="00C619B9">
            <w:pPr>
              <w:widowControl w:val="0"/>
              <w:spacing w:before="100" w:beforeAutospacing="1" w:after="100" w:afterAutospacing="1"/>
            </w:pPr>
            <w:r w:rsidRPr="003B4362">
              <w:t>611.646</w:t>
            </w:r>
          </w:p>
        </w:tc>
      </w:tr>
      <w:tr w:rsidR="001628C1" w:rsidRPr="003B4362" w14:paraId="7BD700C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7265364" w14:textId="77777777" w:rsidR="0010450A" w:rsidRPr="003B4362" w:rsidRDefault="0010450A" w:rsidP="00C619B9">
            <w:pPr>
              <w:widowControl w:val="0"/>
              <w:spacing w:before="100" w:beforeAutospacing="1" w:after="100" w:afterAutospacing="1"/>
            </w:pPr>
            <w:r w:rsidRPr="003B4362">
              <w:t>14. Tetrachloroethylene</w:t>
            </w:r>
          </w:p>
        </w:tc>
        <w:tc>
          <w:tcPr>
            <w:tcW w:w="1296" w:type="dxa"/>
            <w:tcBorders>
              <w:top w:val="single" w:sz="6" w:space="0" w:color="auto"/>
              <w:left w:val="single" w:sz="6" w:space="0" w:color="auto"/>
              <w:bottom w:val="single" w:sz="6" w:space="0" w:color="auto"/>
              <w:right w:val="single" w:sz="6" w:space="0" w:color="auto"/>
            </w:tcBorders>
            <w:hideMark/>
          </w:tcPr>
          <w:p w14:paraId="3459D96D"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5F709FA"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2146C4CB"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2F854B9" w14:textId="77777777" w:rsidR="0010450A" w:rsidRPr="003B4362" w:rsidRDefault="0010450A" w:rsidP="00C619B9">
            <w:pPr>
              <w:widowControl w:val="0"/>
              <w:spacing w:before="100" w:beforeAutospacing="1" w:after="100" w:afterAutospacing="1"/>
            </w:pPr>
            <w:r w:rsidRPr="003B4362">
              <w:t>611.646</w:t>
            </w:r>
          </w:p>
        </w:tc>
      </w:tr>
      <w:tr w:rsidR="001628C1" w:rsidRPr="003B4362" w14:paraId="09C8EE5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02463F72" w14:textId="77777777" w:rsidR="0010450A" w:rsidRPr="003B4362" w:rsidRDefault="0010450A" w:rsidP="00C619B9">
            <w:pPr>
              <w:widowControl w:val="0"/>
              <w:spacing w:before="100" w:beforeAutospacing="1" w:after="100" w:afterAutospacing="1"/>
            </w:pPr>
            <w:r w:rsidRPr="003B4362">
              <w:t>15. Toluene</w:t>
            </w:r>
          </w:p>
        </w:tc>
        <w:tc>
          <w:tcPr>
            <w:tcW w:w="1296" w:type="dxa"/>
            <w:tcBorders>
              <w:top w:val="single" w:sz="6" w:space="0" w:color="auto"/>
              <w:left w:val="single" w:sz="6" w:space="0" w:color="auto"/>
              <w:bottom w:val="single" w:sz="6" w:space="0" w:color="auto"/>
              <w:right w:val="single" w:sz="6" w:space="0" w:color="auto"/>
            </w:tcBorders>
            <w:hideMark/>
          </w:tcPr>
          <w:p w14:paraId="5BFCA7D8"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6BFE27D"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0A6097CD"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6AC4467" w14:textId="77777777" w:rsidR="0010450A" w:rsidRPr="003B4362" w:rsidRDefault="0010450A" w:rsidP="00C619B9">
            <w:pPr>
              <w:widowControl w:val="0"/>
              <w:spacing w:before="100" w:beforeAutospacing="1" w:after="100" w:afterAutospacing="1"/>
            </w:pPr>
            <w:r w:rsidRPr="003B4362">
              <w:t>611.646</w:t>
            </w:r>
          </w:p>
        </w:tc>
      </w:tr>
      <w:tr w:rsidR="001628C1" w:rsidRPr="003B4362" w14:paraId="61410F40"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C6C9862" w14:textId="77777777" w:rsidR="0010450A" w:rsidRPr="003B4362" w:rsidRDefault="0010450A" w:rsidP="00C619B9">
            <w:pPr>
              <w:widowControl w:val="0"/>
              <w:spacing w:before="100" w:beforeAutospacing="1" w:after="100" w:afterAutospacing="1"/>
            </w:pPr>
            <w:r w:rsidRPr="003B4362">
              <w:t>16. 1,2,4-Trichlorobenzene</w:t>
            </w:r>
          </w:p>
        </w:tc>
        <w:tc>
          <w:tcPr>
            <w:tcW w:w="1296" w:type="dxa"/>
            <w:tcBorders>
              <w:top w:val="single" w:sz="6" w:space="0" w:color="auto"/>
              <w:left w:val="single" w:sz="6" w:space="0" w:color="auto"/>
              <w:bottom w:val="single" w:sz="6" w:space="0" w:color="auto"/>
              <w:right w:val="single" w:sz="6" w:space="0" w:color="auto"/>
            </w:tcBorders>
            <w:hideMark/>
          </w:tcPr>
          <w:p w14:paraId="6D1ECF73"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520965B0"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4D8EF4F7"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0589461" w14:textId="77777777" w:rsidR="0010450A" w:rsidRPr="003B4362" w:rsidRDefault="0010450A" w:rsidP="00C619B9">
            <w:pPr>
              <w:widowControl w:val="0"/>
              <w:spacing w:before="100" w:beforeAutospacing="1" w:after="100" w:afterAutospacing="1"/>
            </w:pPr>
            <w:r w:rsidRPr="003B4362">
              <w:t>611.646</w:t>
            </w:r>
          </w:p>
        </w:tc>
      </w:tr>
      <w:tr w:rsidR="001628C1" w:rsidRPr="003B4362" w14:paraId="6D2EEEEE"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7F2E511" w14:textId="77777777" w:rsidR="0010450A" w:rsidRPr="003B4362" w:rsidRDefault="0010450A" w:rsidP="00C619B9">
            <w:pPr>
              <w:widowControl w:val="0"/>
              <w:spacing w:before="100" w:beforeAutospacing="1" w:after="100" w:afterAutospacing="1"/>
            </w:pPr>
            <w:r w:rsidRPr="003B4362">
              <w:t>17. 1,1,1-Trichloroethane</w:t>
            </w:r>
          </w:p>
        </w:tc>
        <w:tc>
          <w:tcPr>
            <w:tcW w:w="1296" w:type="dxa"/>
            <w:tcBorders>
              <w:top w:val="single" w:sz="6" w:space="0" w:color="auto"/>
              <w:left w:val="single" w:sz="6" w:space="0" w:color="auto"/>
              <w:bottom w:val="single" w:sz="6" w:space="0" w:color="auto"/>
              <w:right w:val="single" w:sz="6" w:space="0" w:color="auto"/>
            </w:tcBorders>
            <w:hideMark/>
          </w:tcPr>
          <w:p w14:paraId="5C4A84BB"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1D2E5AF"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02C225B2"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D2CDD33" w14:textId="77777777" w:rsidR="0010450A" w:rsidRPr="003B4362" w:rsidRDefault="0010450A" w:rsidP="00C619B9">
            <w:pPr>
              <w:widowControl w:val="0"/>
              <w:spacing w:before="100" w:beforeAutospacing="1" w:after="100" w:afterAutospacing="1"/>
            </w:pPr>
            <w:r w:rsidRPr="003B4362">
              <w:t>611.646</w:t>
            </w:r>
          </w:p>
        </w:tc>
      </w:tr>
      <w:tr w:rsidR="001628C1" w:rsidRPr="003B4362" w14:paraId="074645A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C91058A" w14:textId="77777777" w:rsidR="0010450A" w:rsidRPr="003B4362" w:rsidRDefault="0010450A" w:rsidP="00C619B9">
            <w:pPr>
              <w:widowControl w:val="0"/>
              <w:spacing w:before="100" w:beforeAutospacing="1" w:after="100" w:afterAutospacing="1"/>
            </w:pPr>
            <w:r w:rsidRPr="003B4362">
              <w:t>18. 1,1,2-Trichloroethane</w:t>
            </w:r>
          </w:p>
        </w:tc>
        <w:tc>
          <w:tcPr>
            <w:tcW w:w="1296" w:type="dxa"/>
            <w:tcBorders>
              <w:top w:val="single" w:sz="6" w:space="0" w:color="auto"/>
              <w:left w:val="single" w:sz="6" w:space="0" w:color="auto"/>
              <w:bottom w:val="single" w:sz="6" w:space="0" w:color="auto"/>
              <w:right w:val="single" w:sz="6" w:space="0" w:color="auto"/>
            </w:tcBorders>
            <w:hideMark/>
          </w:tcPr>
          <w:p w14:paraId="228E5A53"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A2BD7CD"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0F02AF6A"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510241C" w14:textId="77777777" w:rsidR="0010450A" w:rsidRPr="003B4362" w:rsidRDefault="0010450A" w:rsidP="00C619B9">
            <w:pPr>
              <w:widowControl w:val="0"/>
              <w:spacing w:before="100" w:beforeAutospacing="1" w:after="100" w:afterAutospacing="1"/>
            </w:pPr>
            <w:r w:rsidRPr="003B4362">
              <w:t>611.646</w:t>
            </w:r>
          </w:p>
        </w:tc>
      </w:tr>
      <w:tr w:rsidR="001628C1" w:rsidRPr="003B4362" w14:paraId="060DE52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DE9E3EB" w14:textId="77777777" w:rsidR="0010450A" w:rsidRPr="003B4362" w:rsidRDefault="0010450A" w:rsidP="00C619B9">
            <w:pPr>
              <w:widowControl w:val="0"/>
              <w:spacing w:before="100" w:beforeAutospacing="1" w:after="100" w:afterAutospacing="1"/>
            </w:pPr>
            <w:r w:rsidRPr="003B4362">
              <w:t>19. Trichloroethylene</w:t>
            </w:r>
          </w:p>
        </w:tc>
        <w:tc>
          <w:tcPr>
            <w:tcW w:w="1296" w:type="dxa"/>
            <w:tcBorders>
              <w:top w:val="single" w:sz="6" w:space="0" w:color="auto"/>
              <w:left w:val="single" w:sz="6" w:space="0" w:color="auto"/>
              <w:bottom w:val="single" w:sz="6" w:space="0" w:color="auto"/>
              <w:right w:val="single" w:sz="6" w:space="0" w:color="auto"/>
            </w:tcBorders>
            <w:hideMark/>
          </w:tcPr>
          <w:p w14:paraId="00D96B38"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2FF2E357"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14084997"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CFBE1B0" w14:textId="77777777" w:rsidR="0010450A" w:rsidRPr="003B4362" w:rsidRDefault="0010450A" w:rsidP="00C619B9">
            <w:pPr>
              <w:widowControl w:val="0"/>
              <w:spacing w:before="100" w:beforeAutospacing="1" w:after="100" w:afterAutospacing="1"/>
            </w:pPr>
            <w:r w:rsidRPr="003B4362">
              <w:t>611.646</w:t>
            </w:r>
          </w:p>
        </w:tc>
      </w:tr>
      <w:tr w:rsidR="001628C1" w:rsidRPr="003B4362" w14:paraId="4664B922"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E1C106B" w14:textId="77777777" w:rsidR="0010450A" w:rsidRPr="003B4362" w:rsidRDefault="0010450A" w:rsidP="00C619B9">
            <w:pPr>
              <w:widowControl w:val="0"/>
              <w:spacing w:before="100" w:beforeAutospacing="1" w:after="100" w:afterAutospacing="1"/>
            </w:pPr>
            <w:r w:rsidRPr="003B4362">
              <w:t>20. Vinyl chloride</w:t>
            </w:r>
          </w:p>
        </w:tc>
        <w:tc>
          <w:tcPr>
            <w:tcW w:w="1296" w:type="dxa"/>
            <w:tcBorders>
              <w:top w:val="single" w:sz="6" w:space="0" w:color="auto"/>
              <w:left w:val="single" w:sz="6" w:space="0" w:color="auto"/>
              <w:bottom w:val="single" w:sz="6" w:space="0" w:color="auto"/>
              <w:right w:val="single" w:sz="6" w:space="0" w:color="auto"/>
            </w:tcBorders>
            <w:hideMark/>
          </w:tcPr>
          <w:p w14:paraId="75AED0DE"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E8FBDB3"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7B6D48FA"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2A958D91" w14:textId="77777777" w:rsidR="0010450A" w:rsidRPr="003B4362" w:rsidRDefault="0010450A" w:rsidP="00C619B9">
            <w:pPr>
              <w:widowControl w:val="0"/>
              <w:spacing w:before="100" w:beforeAutospacing="1" w:after="100" w:afterAutospacing="1"/>
            </w:pPr>
            <w:r w:rsidRPr="003B4362">
              <w:t>611.646</w:t>
            </w:r>
          </w:p>
        </w:tc>
      </w:tr>
      <w:tr w:rsidR="001628C1" w:rsidRPr="003B4362" w14:paraId="222E304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11F35CE" w14:textId="77777777" w:rsidR="0010450A" w:rsidRPr="003B4362" w:rsidRDefault="0010450A" w:rsidP="00C619B9">
            <w:pPr>
              <w:widowControl w:val="0"/>
              <w:spacing w:before="100" w:beforeAutospacing="1" w:after="100" w:afterAutospacing="1"/>
            </w:pPr>
            <w:r w:rsidRPr="003B4362">
              <w:t>21. Xylenes (total)</w:t>
            </w:r>
          </w:p>
        </w:tc>
        <w:tc>
          <w:tcPr>
            <w:tcW w:w="1296" w:type="dxa"/>
            <w:tcBorders>
              <w:top w:val="single" w:sz="6" w:space="0" w:color="auto"/>
              <w:left w:val="single" w:sz="6" w:space="0" w:color="auto"/>
              <w:bottom w:val="single" w:sz="6" w:space="0" w:color="auto"/>
              <w:right w:val="single" w:sz="6" w:space="0" w:color="auto"/>
            </w:tcBorders>
            <w:hideMark/>
          </w:tcPr>
          <w:p w14:paraId="455FDB41"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96B2808"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6EEB5F18"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6AC11A8" w14:textId="77777777" w:rsidR="0010450A" w:rsidRPr="003B4362" w:rsidRDefault="0010450A" w:rsidP="00C619B9">
            <w:pPr>
              <w:widowControl w:val="0"/>
              <w:spacing w:before="100" w:beforeAutospacing="1" w:after="100" w:afterAutospacing="1"/>
            </w:pPr>
            <w:r w:rsidRPr="003B4362">
              <w:t>611.646</w:t>
            </w:r>
          </w:p>
        </w:tc>
      </w:tr>
    </w:tbl>
    <w:p w14:paraId="5DE1A601" w14:textId="77777777" w:rsidR="003F1F0F" w:rsidRPr="003B4362" w:rsidRDefault="003F1F0F" w:rsidP="003F1F0F"/>
    <w:p w14:paraId="60FEC9E4" w14:textId="4EDF0C24" w:rsidR="0010450A" w:rsidRPr="003B4362" w:rsidRDefault="0010450A" w:rsidP="003F1F0F">
      <w:r w:rsidRPr="003B4362">
        <w:t>F. Radioactive Contaminants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7D4BD36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9940F37" w14:textId="77777777" w:rsidR="0010450A" w:rsidRPr="003B4362" w:rsidRDefault="0010450A" w:rsidP="00C619B9">
            <w:pPr>
              <w:widowControl w:val="0"/>
            </w:pPr>
            <w:r w:rsidRPr="003B4362">
              <w:t>1. Beta/photon emitters</w:t>
            </w:r>
          </w:p>
        </w:tc>
        <w:tc>
          <w:tcPr>
            <w:tcW w:w="1296" w:type="dxa"/>
            <w:tcBorders>
              <w:top w:val="single" w:sz="6" w:space="0" w:color="auto"/>
              <w:left w:val="single" w:sz="6" w:space="0" w:color="auto"/>
              <w:bottom w:val="single" w:sz="6" w:space="0" w:color="auto"/>
              <w:right w:val="single" w:sz="6" w:space="0" w:color="auto"/>
            </w:tcBorders>
            <w:hideMark/>
          </w:tcPr>
          <w:p w14:paraId="30186D39"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422FF0C" w14:textId="77777777" w:rsidR="0010450A" w:rsidRPr="003B4362" w:rsidRDefault="0010450A" w:rsidP="00C619B9">
            <w:pPr>
              <w:widowControl w:val="0"/>
            </w:pPr>
            <w:r w:rsidRPr="003B4362">
              <w:t>611.330(d)</w:t>
            </w:r>
          </w:p>
        </w:tc>
        <w:tc>
          <w:tcPr>
            <w:tcW w:w="1296" w:type="dxa"/>
            <w:tcBorders>
              <w:top w:val="single" w:sz="6" w:space="0" w:color="auto"/>
              <w:left w:val="single" w:sz="6" w:space="0" w:color="auto"/>
              <w:bottom w:val="single" w:sz="6" w:space="0" w:color="auto"/>
              <w:right w:val="single" w:sz="6" w:space="0" w:color="auto"/>
            </w:tcBorders>
            <w:hideMark/>
          </w:tcPr>
          <w:p w14:paraId="3D9F32F2"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F72419C" w14:textId="77777777" w:rsidR="0010450A" w:rsidRPr="003B4362" w:rsidRDefault="0010450A" w:rsidP="00C619B9">
            <w:pPr>
              <w:widowControl w:val="0"/>
            </w:pPr>
            <w:r w:rsidRPr="003B4362">
              <w:t>611.720(a), 611.732</w:t>
            </w:r>
          </w:p>
        </w:tc>
      </w:tr>
      <w:tr w:rsidR="001628C1" w:rsidRPr="003B4362" w14:paraId="779012E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0F9755F" w14:textId="77777777" w:rsidR="0010450A" w:rsidRPr="003B4362" w:rsidRDefault="0010450A" w:rsidP="00C619B9">
            <w:pPr>
              <w:widowControl w:val="0"/>
            </w:pPr>
            <w:r w:rsidRPr="003B4362">
              <w:lastRenderedPageBreak/>
              <w:t>2. Alpha emitters</w:t>
            </w:r>
          </w:p>
        </w:tc>
        <w:tc>
          <w:tcPr>
            <w:tcW w:w="1296" w:type="dxa"/>
            <w:tcBorders>
              <w:top w:val="single" w:sz="6" w:space="0" w:color="auto"/>
              <w:left w:val="single" w:sz="6" w:space="0" w:color="auto"/>
              <w:bottom w:val="single" w:sz="6" w:space="0" w:color="auto"/>
              <w:right w:val="single" w:sz="6" w:space="0" w:color="auto"/>
            </w:tcBorders>
            <w:hideMark/>
          </w:tcPr>
          <w:p w14:paraId="5D18B9D1"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89D6DE1" w14:textId="77777777" w:rsidR="0010450A" w:rsidRPr="003B4362" w:rsidRDefault="0010450A" w:rsidP="00C619B9">
            <w:pPr>
              <w:widowControl w:val="0"/>
              <w:rPr>
                <w:strike/>
              </w:rPr>
            </w:pPr>
            <w:r w:rsidRPr="003B4362">
              <w:t>611.330(c)</w:t>
            </w:r>
          </w:p>
        </w:tc>
        <w:tc>
          <w:tcPr>
            <w:tcW w:w="1296" w:type="dxa"/>
            <w:tcBorders>
              <w:top w:val="single" w:sz="6" w:space="0" w:color="auto"/>
              <w:left w:val="single" w:sz="6" w:space="0" w:color="auto"/>
              <w:bottom w:val="single" w:sz="6" w:space="0" w:color="auto"/>
              <w:right w:val="single" w:sz="6" w:space="0" w:color="auto"/>
            </w:tcBorders>
            <w:hideMark/>
          </w:tcPr>
          <w:p w14:paraId="6A8D1A3E"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2349DA1" w14:textId="77777777" w:rsidR="0010450A" w:rsidRPr="003B4362" w:rsidRDefault="0010450A" w:rsidP="00C619B9">
            <w:pPr>
              <w:widowControl w:val="0"/>
            </w:pPr>
            <w:r w:rsidRPr="003B4362">
              <w:t>611.720(a), 611.731</w:t>
            </w:r>
          </w:p>
        </w:tc>
      </w:tr>
      <w:tr w:rsidR="001628C1" w:rsidRPr="003B4362" w14:paraId="17A5BA85"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D326449" w14:textId="77777777" w:rsidR="0010450A" w:rsidRPr="003B4362" w:rsidRDefault="0010450A" w:rsidP="00C619B9">
            <w:pPr>
              <w:widowControl w:val="0"/>
            </w:pPr>
            <w:r w:rsidRPr="003B4362">
              <w:t>3. Combined radium (226 and 228)</w:t>
            </w:r>
          </w:p>
        </w:tc>
        <w:tc>
          <w:tcPr>
            <w:tcW w:w="1296" w:type="dxa"/>
            <w:tcBorders>
              <w:top w:val="single" w:sz="6" w:space="0" w:color="auto"/>
              <w:left w:val="single" w:sz="6" w:space="0" w:color="auto"/>
              <w:bottom w:val="single" w:sz="6" w:space="0" w:color="auto"/>
              <w:right w:val="single" w:sz="6" w:space="0" w:color="auto"/>
            </w:tcBorders>
            <w:hideMark/>
          </w:tcPr>
          <w:p w14:paraId="413E373C"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AD9D63C" w14:textId="77777777" w:rsidR="0010450A" w:rsidRPr="003B4362" w:rsidRDefault="0010450A" w:rsidP="00C619B9">
            <w:pPr>
              <w:widowControl w:val="0"/>
              <w:rPr>
                <w:strike/>
              </w:rPr>
            </w:pPr>
            <w:r w:rsidRPr="003B4362">
              <w:t>611.330(b)</w:t>
            </w:r>
          </w:p>
        </w:tc>
        <w:tc>
          <w:tcPr>
            <w:tcW w:w="1296" w:type="dxa"/>
            <w:tcBorders>
              <w:top w:val="single" w:sz="6" w:space="0" w:color="auto"/>
              <w:left w:val="single" w:sz="6" w:space="0" w:color="auto"/>
              <w:bottom w:val="single" w:sz="6" w:space="0" w:color="auto"/>
              <w:right w:val="single" w:sz="6" w:space="0" w:color="auto"/>
            </w:tcBorders>
            <w:hideMark/>
          </w:tcPr>
          <w:p w14:paraId="61FC82AD"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2F2E209C" w14:textId="77777777" w:rsidR="0010450A" w:rsidRPr="003B4362" w:rsidRDefault="0010450A" w:rsidP="00C619B9">
            <w:pPr>
              <w:widowControl w:val="0"/>
            </w:pPr>
            <w:r w:rsidRPr="003B4362">
              <w:t>611.720(a), 611.731</w:t>
            </w:r>
          </w:p>
        </w:tc>
      </w:tr>
      <w:tr w:rsidR="001628C1" w:rsidRPr="003B4362" w14:paraId="5CBB895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BF13C7C" w14:textId="77777777" w:rsidR="0010450A" w:rsidRPr="003B4362" w:rsidRDefault="0010450A" w:rsidP="00C619B9">
            <w:pPr>
              <w:widowControl w:val="0"/>
            </w:pPr>
            <w:r w:rsidRPr="003B4362">
              <w:t>4. Uranium</w:t>
            </w:r>
          </w:p>
        </w:tc>
        <w:tc>
          <w:tcPr>
            <w:tcW w:w="1296" w:type="dxa"/>
            <w:tcBorders>
              <w:top w:val="single" w:sz="6" w:space="0" w:color="auto"/>
              <w:left w:val="single" w:sz="6" w:space="0" w:color="auto"/>
              <w:bottom w:val="single" w:sz="6" w:space="0" w:color="auto"/>
              <w:right w:val="single" w:sz="6" w:space="0" w:color="auto"/>
            </w:tcBorders>
            <w:hideMark/>
          </w:tcPr>
          <w:p w14:paraId="00AA356C"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CD01194" w14:textId="77777777" w:rsidR="0010450A" w:rsidRPr="003B4362" w:rsidRDefault="0010450A" w:rsidP="00C619B9">
            <w:pPr>
              <w:widowControl w:val="0"/>
              <w:rPr>
                <w:strike/>
              </w:rPr>
            </w:pPr>
            <w:r w:rsidRPr="003B4362">
              <w:t>611.330(e)</w:t>
            </w:r>
          </w:p>
        </w:tc>
        <w:tc>
          <w:tcPr>
            <w:tcW w:w="1296" w:type="dxa"/>
            <w:tcBorders>
              <w:top w:val="single" w:sz="6" w:space="0" w:color="auto"/>
              <w:left w:val="single" w:sz="6" w:space="0" w:color="auto"/>
              <w:bottom w:val="single" w:sz="6" w:space="0" w:color="auto"/>
              <w:right w:val="single" w:sz="6" w:space="0" w:color="auto"/>
            </w:tcBorders>
            <w:hideMark/>
          </w:tcPr>
          <w:p w14:paraId="753F2E16"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3D7E6BC" w14:textId="77777777" w:rsidR="0010450A" w:rsidRPr="003B4362" w:rsidRDefault="0010450A" w:rsidP="00C619B9">
            <w:pPr>
              <w:widowControl w:val="0"/>
            </w:pPr>
            <w:r w:rsidRPr="003B4362">
              <w:t>611.720(a), 611.731</w:t>
            </w:r>
          </w:p>
        </w:tc>
      </w:tr>
    </w:tbl>
    <w:p w14:paraId="043B9945" w14:textId="77777777" w:rsidR="003F1F0F" w:rsidRPr="003B4362" w:rsidRDefault="003F1F0F" w:rsidP="003F1F0F"/>
    <w:p w14:paraId="2190E703" w14:textId="1F48BB03" w:rsidR="0010450A" w:rsidRPr="003B4362" w:rsidRDefault="0010450A" w:rsidP="003F1F0F">
      <w:r w:rsidRPr="003B4362">
        <w:t xml:space="preserve">G. Disinfection Byproducts (DBPs), Byproduct Precursors, Disinfectant Residuals.  </w:t>
      </w:r>
      <w:r w:rsidR="00882F41" w:rsidRPr="003B4362">
        <w:rPr>
          <w:spacing w:val="-3"/>
        </w:rPr>
        <w:t xml:space="preserve">If </w:t>
      </w:r>
      <w:r w:rsidRPr="003B4362">
        <w:t>disinfection is used in the treatment of drinking water, disinfectants combine with organic and inorganic matter present in water to form chemicals called disinfection byproducts (DBPs).  USEPA sets standards for controlling the levels of disinfectants and DBPs in drinking water, including trihalomethanes (THMs) and haloacetic acids (HAAs).</w:t>
      </w:r>
      <w:r w:rsidRPr="003B4362">
        <w:rPr>
          <w:vertAlign w:val="superscript"/>
        </w:rPr>
        <w:t>13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4BBE9C1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EFB2319" w14:textId="77777777" w:rsidR="0010450A" w:rsidRPr="003B4362" w:rsidRDefault="0010450A" w:rsidP="00C619B9">
            <w:pPr>
              <w:widowControl w:val="0"/>
            </w:pPr>
            <w:r w:rsidRPr="003B4362">
              <w:t>1. Total trihalomethanes (TTHMs)</w:t>
            </w:r>
          </w:p>
        </w:tc>
        <w:tc>
          <w:tcPr>
            <w:tcW w:w="1296" w:type="dxa"/>
            <w:tcBorders>
              <w:top w:val="single" w:sz="6" w:space="0" w:color="auto"/>
              <w:left w:val="single" w:sz="6" w:space="0" w:color="auto"/>
              <w:bottom w:val="single" w:sz="6" w:space="0" w:color="auto"/>
              <w:right w:val="single" w:sz="6" w:space="0" w:color="auto"/>
            </w:tcBorders>
            <w:hideMark/>
          </w:tcPr>
          <w:p w14:paraId="137E5B17"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1792F22" w14:textId="77777777" w:rsidR="0010450A" w:rsidRPr="003B4362" w:rsidRDefault="0010450A" w:rsidP="00C619B9">
            <w:pPr>
              <w:widowControl w:val="0"/>
            </w:pPr>
            <w:r w:rsidRPr="003B4362">
              <w:rPr>
                <w:vertAlign w:val="superscript"/>
              </w:rPr>
              <w:t>11</w:t>
            </w:r>
            <w:r w:rsidRPr="003B4362">
              <w:t>611.312(b)</w:t>
            </w:r>
          </w:p>
        </w:tc>
        <w:tc>
          <w:tcPr>
            <w:tcW w:w="1296" w:type="dxa"/>
            <w:tcBorders>
              <w:top w:val="single" w:sz="6" w:space="0" w:color="auto"/>
              <w:left w:val="single" w:sz="6" w:space="0" w:color="auto"/>
              <w:bottom w:val="single" w:sz="6" w:space="0" w:color="auto"/>
              <w:right w:val="single" w:sz="6" w:space="0" w:color="auto"/>
            </w:tcBorders>
            <w:hideMark/>
          </w:tcPr>
          <w:p w14:paraId="51122AE1"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103D992" w14:textId="77777777" w:rsidR="0010450A" w:rsidRPr="003B4362" w:rsidRDefault="0010450A" w:rsidP="00C619B9">
            <w:pPr>
              <w:widowControl w:val="0"/>
            </w:pPr>
            <w:r w:rsidRPr="003B4362">
              <w:t>Subparts W and Y</w:t>
            </w:r>
          </w:p>
        </w:tc>
      </w:tr>
      <w:tr w:rsidR="001628C1" w:rsidRPr="003B4362" w14:paraId="3EBA882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A770754" w14:textId="77777777" w:rsidR="0010450A" w:rsidRPr="003B4362" w:rsidRDefault="0010450A" w:rsidP="00C619B9">
            <w:pPr>
              <w:widowControl w:val="0"/>
            </w:pPr>
            <w:r w:rsidRPr="003B4362">
              <w:t>2. Haloacetic Acids (HAA5)</w:t>
            </w:r>
          </w:p>
        </w:tc>
        <w:tc>
          <w:tcPr>
            <w:tcW w:w="1296" w:type="dxa"/>
            <w:tcBorders>
              <w:top w:val="single" w:sz="6" w:space="0" w:color="auto"/>
              <w:left w:val="single" w:sz="6" w:space="0" w:color="auto"/>
              <w:bottom w:val="single" w:sz="6" w:space="0" w:color="auto"/>
              <w:right w:val="single" w:sz="6" w:space="0" w:color="auto"/>
            </w:tcBorders>
            <w:hideMark/>
          </w:tcPr>
          <w:p w14:paraId="73610DB6"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6D57E40B" w14:textId="77777777" w:rsidR="0010450A" w:rsidRPr="003B4362" w:rsidRDefault="0010450A" w:rsidP="00C619B9">
            <w:pPr>
              <w:widowControl w:val="0"/>
            </w:pPr>
            <w:r w:rsidRPr="003B4362">
              <w:t>611.312(b)</w:t>
            </w:r>
          </w:p>
        </w:tc>
        <w:tc>
          <w:tcPr>
            <w:tcW w:w="1296" w:type="dxa"/>
            <w:tcBorders>
              <w:top w:val="single" w:sz="6" w:space="0" w:color="auto"/>
              <w:left w:val="single" w:sz="6" w:space="0" w:color="auto"/>
              <w:bottom w:val="single" w:sz="6" w:space="0" w:color="auto"/>
              <w:right w:val="single" w:sz="6" w:space="0" w:color="auto"/>
            </w:tcBorders>
            <w:hideMark/>
          </w:tcPr>
          <w:p w14:paraId="5FD46D9C"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37DDDFF" w14:textId="77777777" w:rsidR="0010450A" w:rsidRPr="003B4362" w:rsidRDefault="0010450A" w:rsidP="00C619B9">
            <w:pPr>
              <w:widowControl w:val="0"/>
            </w:pPr>
            <w:r w:rsidRPr="003B4362">
              <w:t>Subpart Y</w:t>
            </w:r>
          </w:p>
        </w:tc>
      </w:tr>
      <w:tr w:rsidR="001628C1" w:rsidRPr="003B4362" w14:paraId="016716A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5063E93" w14:textId="77777777" w:rsidR="0010450A" w:rsidRPr="003B4362" w:rsidRDefault="0010450A" w:rsidP="00C619B9">
            <w:pPr>
              <w:widowControl w:val="0"/>
            </w:pPr>
            <w:r w:rsidRPr="003B4362">
              <w:t>3. Bromate</w:t>
            </w:r>
          </w:p>
        </w:tc>
        <w:tc>
          <w:tcPr>
            <w:tcW w:w="1296" w:type="dxa"/>
            <w:tcBorders>
              <w:top w:val="single" w:sz="6" w:space="0" w:color="auto"/>
              <w:left w:val="single" w:sz="6" w:space="0" w:color="auto"/>
              <w:bottom w:val="single" w:sz="6" w:space="0" w:color="auto"/>
              <w:right w:val="single" w:sz="6" w:space="0" w:color="auto"/>
            </w:tcBorders>
            <w:hideMark/>
          </w:tcPr>
          <w:p w14:paraId="2B9B514A"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08A4D18" w14:textId="77777777" w:rsidR="0010450A" w:rsidRPr="003B4362" w:rsidRDefault="0010450A" w:rsidP="00C619B9">
            <w:pPr>
              <w:widowControl w:val="0"/>
            </w:pPr>
            <w:r w:rsidRPr="003B4362">
              <w:t>611.312(a)</w:t>
            </w:r>
          </w:p>
        </w:tc>
        <w:tc>
          <w:tcPr>
            <w:tcW w:w="1296" w:type="dxa"/>
            <w:tcBorders>
              <w:top w:val="single" w:sz="6" w:space="0" w:color="auto"/>
              <w:left w:val="single" w:sz="6" w:space="0" w:color="auto"/>
              <w:bottom w:val="single" w:sz="6" w:space="0" w:color="auto"/>
              <w:right w:val="single" w:sz="6" w:space="0" w:color="auto"/>
            </w:tcBorders>
            <w:hideMark/>
          </w:tcPr>
          <w:p w14:paraId="54BC3097"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2A0E467" w14:textId="77777777" w:rsidR="0010450A" w:rsidRPr="003B4362" w:rsidRDefault="0010450A" w:rsidP="00C619B9">
            <w:pPr>
              <w:widowControl w:val="0"/>
            </w:pPr>
            <w:r w:rsidRPr="003B4362">
              <w:t>611.382(a)-(b)</w:t>
            </w:r>
          </w:p>
        </w:tc>
      </w:tr>
      <w:tr w:rsidR="001628C1" w:rsidRPr="003B4362" w14:paraId="120CC55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ADD4A07" w14:textId="77777777" w:rsidR="0010450A" w:rsidRPr="003B4362" w:rsidRDefault="0010450A" w:rsidP="00C619B9">
            <w:pPr>
              <w:widowControl w:val="0"/>
            </w:pPr>
            <w:r w:rsidRPr="003B4362">
              <w:t>4. Chlorite</w:t>
            </w:r>
          </w:p>
        </w:tc>
        <w:tc>
          <w:tcPr>
            <w:tcW w:w="1296" w:type="dxa"/>
            <w:tcBorders>
              <w:top w:val="single" w:sz="6" w:space="0" w:color="auto"/>
              <w:left w:val="single" w:sz="6" w:space="0" w:color="auto"/>
              <w:bottom w:val="single" w:sz="6" w:space="0" w:color="auto"/>
              <w:right w:val="single" w:sz="6" w:space="0" w:color="auto"/>
            </w:tcBorders>
            <w:hideMark/>
          </w:tcPr>
          <w:p w14:paraId="466DD951"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F36D7A8" w14:textId="77777777" w:rsidR="0010450A" w:rsidRPr="003B4362" w:rsidRDefault="0010450A" w:rsidP="00C619B9">
            <w:pPr>
              <w:widowControl w:val="0"/>
            </w:pPr>
            <w:r w:rsidRPr="003B4362">
              <w:t>611.312(a)</w:t>
            </w:r>
          </w:p>
        </w:tc>
        <w:tc>
          <w:tcPr>
            <w:tcW w:w="1296" w:type="dxa"/>
            <w:tcBorders>
              <w:top w:val="single" w:sz="6" w:space="0" w:color="auto"/>
              <w:left w:val="single" w:sz="6" w:space="0" w:color="auto"/>
              <w:bottom w:val="single" w:sz="6" w:space="0" w:color="auto"/>
              <w:right w:val="single" w:sz="6" w:space="0" w:color="auto"/>
            </w:tcBorders>
            <w:hideMark/>
          </w:tcPr>
          <w:p w14:paraId="75FC4310"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9A5A08A" w14:textId="77777777" w:rsidR="0010450A" w:rsidRPr="003B4362" w:rsidRDefault="0010450A" w:rsidP="00C619B9">
            <w:pPr>
              <w:widowControl w:val="0"/>
            </w:pPr>
            <w:r w:rsidRPr="003B4362">
              <w:t>611.382(a)-(b)</w:t>
            </w:r>
          </w:p>
        </w:tc>
      </w:tr>
      <w:tr w:rsidR="001628C1" w:rsidRPr="003B4362" w14:paraId="5FACFC42"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0EFB9A70" w14:textId="77777777" w:rsidR="0010450A" w:rsidRPr="003B4362" w:rsidRDefault="0010450A" w:rsidP="00C619B9">
            <w:pPr>
              <w:widowControl w:val="0"/>
            </w:pPr>
            <w:r w:rsidRPr="003B4362">
              <w:t>5. Chlorine (MRDL)</w:t>
            </w:r>
          </w:p>
        </w:tc>
        <w:tc>
          <w:tcPr>
            <w:tcW w:w="1296" w:type="dxa"/>
            <w:tcBorders>
              <w:top w:val="single" w:sz="6" w:space="0" w:color="auto"/>
              <w:left w:val="single" w:sz="6" w:space="0" w:color="auto"/>
              <w:bottom w:val="single" w:sz="6" w:space="0" w:color="auto"/>
              <w:right w:val="single" w:sz="6" w:space="0" w:color="auto"/>
            </w:tcBorders>
            <w:hideMark/>
          </w:tcPr>
          <w:p w14:paraId="65606984"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EBCDAF3" w14:textId="77777777" w:rsidR="0010450A" w:rsidRPr="003B4362" w:rsidRDefault="0010450A" w:rsidP="00C619B9">
            <w:pPr>
              <w:widowControl w:val="0"/>
            </w:pPr>
            <w:r w:rsidRPr="003B4362">
              <w:t>611.313(a)</w:t>
            </w:r>
          </w:p>
        </w:tc>
        <w:tc>
          <w:tcPr>
            <w:tcW w:w="1296" w:type="dxa"/>
            <w:tcBorders>
              <w:top w:val="single" w:sz="6" w:space="0" w:color="auto"/>
              <w:left w:val="single" w:sz="6" w:space="0" w:color="auto"/>
              <w:bottom w:val="single" w:sz="6" w:space="0" w:color="auto"/>
              <w:right w:val="single" w:sz="6" w:space="0" w:color="auto"/>
            </w:tcBorders>
            <w:hideMark/>
          </w:tcPr>
          <w:p w14:paraId="6E2868A0"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F42C5DA" w14:textId="77777777" w:rsidR="0010450A" w:rsidRPr="003B4362" w:rsidRDefault="0010450A" w:rsidP="00C619B9">
            <w:pPr>
              <w:widowControl w:val="0"/>
            </w:pPr>
            <w:r w:rsidRPr="003B4362">
              <w:t>611.382(a), (c)</w:t>
            </w:r>
          </w:p>
        </w:tc>
      </w:tr>
      <w:tr w:rsidR="001628C1" w:rsidRPr="003B4362" w14:paraId="606C49FD"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0A56556F" w14:textId="77777777" w:rsidR="0010450A" w:rsidRPr="003B4362" w:rsidRDefault="0010450A" w:rsidP="00C619B9">
            <w:pPr>
              <w:widowControl w:val="0"/>
            </w:pPr>
            <w:r w:rsidRPr="003B4362">
              <w:t>6. Chloramine (MRDL)</w:t>
            </w:r>
          </w:p>
        </w:tc>
        <w:tc>
          <w:tcPr>
            <w:tcW w:w="1296" w:type="dxa"/>
            <w:tcBorders>
              <w:top w:val="single" w:sz="6" w:space="0" w:color="auto"/>
              <w:left w:val="single" w:sz="6" w:space="0" w:color="auto"/>
              <w:bottom w:val="single" w:sz="6" w:space="0" w:color="auto"/>
              <w:right w:val="single" w:sz="6" w:space="0" w:color="auto"/>
            </w:tcBorders>
            <w:hideMark/>
          </w:tcPr>
          <w:p w14:paraId="2D18348E"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4A4EC07" w14:textId="77777777" w:rsidR="0010450A" w:rsidRPr="003B4362" w:rsidRDefault="0010450A" w:rsidP="00C619B9">
            <w:pPr>
              <w:widowControl w:val="0"/>
            </w:pPr>
            <w:r w:rsidRPr="003B4362">
              <w:t>611.313(a)</w:t>
            </w:r>
          </w:p>
        </w:tc>
        <w:tc>
          <w:tcPr>
            <w:tcW w:w="1296" w:type="dxa"/>
            <w:tcBorders>
              <w:top w:val="single" w:sz="6" w:space="0" w:color="auto"/>
              <w:left w:val="single" w:sz="6" w:space="0" w:color="auto"/>
              <w:bottom w:val="single" w:sz="6" w:space="0" w:color="auto"/>
              <w:right w:val="single" w:sz="6" w:space="0" w:color="auto"/>
            </w:tcBorders>
            <w:hideMark/>
          </w:tcPr>
          <w:p w14:paraId="15FF841D"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67C0F86" w14:textId="77777777" w:rsidR="0010450A" w:rsidRPr="003B4362" w:rsidRDefault="0010450A" w:rsidP="00C619B9">
            <w:pPr>
              <w:widowControl w:val="0"/>
            </w:pPr>
            <w:r w:rsidRPr="003B4362">
              <w:t>611.382(a), (c)</w:t>
            </w:r>
          </w:p>
        </w:tc>
      </w:tr>
      <w:tr w:rsidR="001628C1" w:rsidRPr="003B4362" w14:paraId="544CCD9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55F6599" w14:textId="443B3303" w:rsidR="0010450A" w:rsidRPr="003B4362" w:rsidRDefault="0010450A" w:rsidP="00C619B9">
            <w:pPr>
              <w:widowControl w:val="0"/>
            </w:pPr>
            <w:r w:rsidRPr="003B4362">
              <w:t xml:space="preserve">7. Chlorine dioxide (MRDL), </w:t>
            </w:r>
            <w:r w:rsidR="00882F41" w:rsidRPr="003B4362">
              <w:rPr>
                <w:spacing w:val="-3"/>
              </w:rPr>
              <w:t xml:space="preserve">if </w:t>
            </w:r>
            <w:r w:rsidRPr="003B4362">
              <w:t>any two consecutive daily samples at entrance to distribution system only are above MRDL</w:t>
            </w:r>
          </w:p>
        </w:tc>
        <w:tc>
          <w:tcPr>
            <w:tcW w:w="1296" w:type="dxa"/>
            <w:tcBorders>
              <w:top w:val="single" w:sz="6" w:space="0" w:color="auto"/>
              <w:left w:val="single" w:sz="6" w:space="0" w:color="auto"/>
              <w:bottom w:val="single" w:sz="6" w:space="0" w:color="auto"/>
              <w:right w:val="single" w:sz="6" w:space="0" w:color="auto"/>
            </w:tcBorders>
            <w:hideMark/>
          </w:tcPr>
          <w:p w14:paraId="27C96DA2"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57FAB87" w14:textId="77777777" w:rsidR="0010450A" w:rsidRPr="003B4362" w:rsidRDefault="0010450A" w:rsidP="00C619B9">
            <w:pPr>
              <w:widowControl w:val="0"/>
            </w:pPr>
            <w:r w:rsidRPr="003B4362">
              <w:t>611.313(a), 611.383(c)(3)</w:t>
            </w:r>
          </w:p>
        </w:tc>
        <w:tc>
          <w:tcPr>
            <w:tcW w:w="1296" w:type="dxa"/>
            <w:tcBorders>
              <w:top w:val="single" w:sz="6" w:space="0" w:color="auto"/>
              <w:left w:val="single" w:sz="6" w:space="0" w:color="auto"/>
              <w:bottom w:val="single" w:sz="6" w:space="0" w:color="auto"/>
              <w:right w:val="single" w:sz="6" w:space="0" w:color="auto"/>
            </w:tcBorders>
            <w:hideMark/>
          </w:tcPr>
          <w:p w14:paraId="3DE4456A" w14:textId="77777777" w:rsidR="0010450A" w:rsidRPr="003B4362" w:rsidRDefault="0010450A" w:rsidP="00C619B9">
            <w:pPr>
              <w:widowControl w:val="0"/>
            </w:pPr>
            <w:r w:rsidRPr="003B4362">
              <w:t>2</w:t>
            </w:r>
            <w:r w:rsidRPr="003B4362">
              <w:rPr>
                <w:vertAlign w:val="superscript"/>
              </w:rPr>
              <w:t>12</w:t>
            </w:r>
            <w:r w:rsidRPr="003B4362">
              <w:t>, 3</w:t>
            </w:r>
          </w:p>
        </w:tc>
        <w:tc>
          <w:tcPr>
            <w:tcW w:w="1728" w:type="dxa"/>
            <w:tcBorders>
              <w:top w:val="single" w:sz="6" w:space="0" w:color="auto"/>
              <w:left w:val="single" w:sz="6" w:space="0" w:color="auto"/>
              <w:bottom w:val="single" w:sz="6" w:space="0" w:color="auto"/>
              <w:right w:val="single" w:sz="6" w:space="0" w:color="auto"/>
            </w:tcBorders>
            <w:hideMark/>
          </w:tcPr>
          <w:p w14:paraId="7947D895" w14:textId="77777777" w:rsidR="0010450A" w:rsidRPr="003B4362" w:rsidRDefault="0010450A" w:rsidP="00C619B9">
            <w:pPr>
              <w:widowControl w:val="0"/>
            </w:pPr>
            <w:r w:rsidRPr="003B4362">
              <w:t>611.382(a), (c), 611.383(c)(2)</w:t>
            </w:r>
          </w:p>
        </w:tc>
      </w:tr>
      <w:tr w:rsidR="001628C1" w:rsidRPr="003B4362" w14:paraId="5DE1CF3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178885B" w14:textId="2E20DA86" w:rsidR="0010450A" w:rsidRPr="003B4362" w:rsidRDefault="0010450A" w:rsidP="00C619B9">
            <w:pPr>
              <w:widowControl w:val="0"/>
            </w:pPr>
            <w:r w:rsidRPr="003B4362">
              <w:t xml:space="preserve">8. Chlorine dioxide (MRDL), </w:t>
            </w:r>
            <w:r w:rsidR="00882F41" w:rsidRPr="003B4362">
              <w:rPr>
                <w:spacing w:val="-3"/>
              </w:rPr>
              <w:t xml:space="preserve">if </w:t>
            </w:r>
            <w:r w:rsidRPr="003B4362">
              <w:t>samples in distribution system the next day are also above MRDL</w:t>
            </w:r>
          </w:p>
        </w:tc>
        <w:tc>
          <w:tcPr>
            <w:tcW w:w="1296" w:type="dxa"/>
            <w:tcBorders>
              <w:top w:val="single" w:sz="6" w:space="0" w:color="auto"/>
              <w:left w:val="single" w:sz="6" w:space="0" w:color="auto"/>
              <w:bottom w:val="single" w:sz="6" w:space="0" w:color="auto"/>
              <w:right w:val="single" w:sz="6" w:space="0" w:color="auto"/>
            </w:tcBorders>
            <w:hideMark/>
          </w:tcPr>
          <w:p w14:paraId="2813C4C1" w14:textId="77777777" w:rsidR="0010450A" w:rsidRPr="003B4362" w:rsidRDefault="0010450A" w:rsidP="00C619B9">
            <w:pPr>
              <w:widowControl w:val="0"/>
            </w:pPr>
            <w:r w:rsidRPr="003B4362">
              <w:rPr>
                <w:vertAlign w:val="superscript"/>
              </w:rPr>
              <w:t>13</w:t>
            </w:r>
            <w:r w:rsidRPr="003B4362">
              <w:t>1</w:t>
            </w:r>
          </w:p>
        </w:tc>
        <w:tc>
          <w:tcPr>
            <w:tcW w:w="1728" w:type="dxa"/>
            <w:tcBorders>
              <w:top w:val="single" w:sz="6" w:space="0" w:color="auto"/>
              <w:left w:val="single" w:sz="6" w:space="0" w:color="auto"/>
              <w:bottom w:val="single" w:sz="6" w:space="0" w:color="auto"/>
              <w:right w:val="single" w:sz="6" w:space="0" w:color="auto"/>
            </w:tcBorders>
            <w:hideMark/>
          </w:tcPr>
          <w:p w14:paraId="196FF4B6" w14:textId="77777777" w:rsidR="0010450A" w:rsidRPr="003B4362" w:rsidRDefault="0010450A" w:rsidP="00C619B9">
            <w:pPr>
              <w:widowControl w:val="0"/>
            </w:pPr>
            <w:r w:rsidRPr="003B4362">
              <w:t>611.313(a), 611.383(c)(3)</w:t>
            </w:r>
          </w:p>
        </w:tc>
        <w:tc>
          <w:tcPr>
            <w:tcW w:w="1296" w:type="dxa"/>
            <w:tcBorders>
              <w:top w:val="single" w:sz="6" w:space="0" w:color="auto"/>
              <w:left w:val="single" w:sz="6" w:space="0" w:color="auto"/>
              <w:bottom w:val="single" w:sz="6" w:space="0" w:color="auto"/>
              <w:right w:val="single" w:sz="6" w:space="0" w:color="auto"/>
            </w:tcBorders>
            <w:hideMark/>
          </w:tcPr>
          <w:p w14:paraId="770BA05D" w14:textId="77777777" w:rsidR="0010450A" w:rsidRPr="003B4362" w:rsidRDefault="0010450A" w:rsidP="00C619B9">
            <w:pPr>
              <w:widowControl w:val="0"/>
            </w:pPr>
            <w:r w:rsidRPr="003B4362">
              <w:t>1</w:t>
            </w:r>
          </w:p>
        </w:tc>
        <w:tc>
          <w:tcPr>
            <w:tcW w:w="1728" w:type="dxa"/>
            <w:tcBorders>
              <w:top w:val="single" w:sz="6" w:space="0" w:color="auto"/>
              <w:left w:val="single" w:sz="6" w:space="0" w:color="auto"/>
              <w:bottom w:val="single" w:sz="6" w:space="0" w:color="auto"/>
              <w:right w:val="single" w:sz="6" w:space="0" w:color="auto"/>
            </w:tcBorders>
            <w:hideMark/>
          </w:tcPr>
          <w:p w14:paraId="1413FD1C" w14:textId="77777777" w:rsidR="0010450A" w:rsidRPr="003B4362" w:rsidRDefault="0010450A" w:rsidP="00C619B9">
            <w:pPr>
              <w:widowControl w:val="0"/>
            </w:pPr>
            <w:r w:rsidRPr="003B4362">
              <w:t>611.382(a), (c), 611.383(c)(2)</w:t>
            </w:r>
          </w:p>
        </w:tc>
      </w:tr>
      <w:tr w:rsidR="001628C1" w:rsidRPr="003B4362" w14:paraId="4BAB17B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AD886F1" w14:textId="77777777" w:rsidR="0010450A" w:rsidRPr="003B4362" w:rsidRDefault="0010450A" w:rsidP="00C619B9">
            <w:pPr>
              <w:widowControl w:val="0"/>
            </w:pPr>
            <w:r w:rsidRPr="003B4362">
              <w:t>9. Control of DBP precursors—TOC (TT)</w:t>
            </w:r>
          </w:p>
        </w:tc>
        <w:tc>
          <w:tcPr>
            <w:tcW w:w="1296" w:type="dxa"/>
            <w:tcBorders>
              <w:top w:val="single" w:sz="6" w:space="0" w:color="auto"/>
              <w:left w:val="single" w:sz="6" w:space="0" w:color="auto"/>
              <w:bottom w:val="single" w:sz="6" w:space="0" w:color="auto"/>
              <w:right w:val="single" w:sz="6" w:space="0" w:color="auto"/>
            </w:tcBorders>
            <w:hideMark/>
          </w:tcPr>
          <w:p w14:paraId="1FBDAA56"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A3C7677" w14:textId="77777777" w:rsidR="0010450A" w:rsidRPr="003B4362" w:rsidRDefault="0010450A" w:rsidP="00C619B9">
            <w:pPr>
              <w:widowControl w:val="0"/>
            </w:pPr>
            <w:r w:rsidRPr="003B4362">
              <w:t>611.385(a)-(b)</w:t>
            </w:r>
          </w:p>
        </w:tc>
        <w:tc>
          <w:tcPr>
            <w:tcW w:w="1296" w:type="dxa"/>
            <w:tcBorders>
              <w:top w:val="single" w:sz="6" w:space="0" w:color="auto"/>
              <w:left w:val="single" w:sz="6" w:space="0" w:color="auto"/>
              <w:bottom w:val="single" w:sz="6" w:space="0" w:color="auto"/>
              <w:right w:val="single" w:sz="6" w:space="0" w:color="auto"/>
            </w:tcBorders>
            <w:hideMark/>
          </w:tcPr>
          <w:p w14:paraId="0C99892D"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93043EF" w14:textId="77777777" w:rsidR="0010450A" w:rsidRPr="003B4362" w:rsidRDefault="0010450A" w:rsidP="00C619B9">
            <w:pPr>
              <w:widowControl w:val="0"/>
            </w:pPr>
            <w:r w:rsidRPr="003B4362">
              <w:t>611.382(a), (d)</w:t>
            </w:r>
          </w:p>
        </w:tc>
      </w:tr>
      <w:tr w:rsidR="001628C1" w:rsidRPr="003B4362" w14:paraId="787301E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DB8C27B" w14:textId="77777777" w:rsidR="0010450A" w:rsidRPr="003B4362" w:rsidRDefault="0010450A" w:rsidP="00C619B9">
            <w:pPr>
              <w:widowControl w:val="0"/>
            </w:pPr>
            <w:r w:rsidRPr="003B4362">
              <w:t>10. Benchmarking and disinfection profiling</w:t>
            </w:r>
          </w:p>
        </w:tc>
        <w:tc>
          <w:tcPr>
            <w:tcW w:w="1296" w:type="dxa"/>
            <w:tcBorders>
              <w:top w:val="single" w:sz="6" w:space="0" w:color="auto"/>
              <w:left w:val="single" w:sz="6" w:space="0" w:color="auto"/>
              <w:bottom w:val="single" w:sz="6" w:space="0" w:color="auto"/>
              <w:right w:val="single" w:sz="6" w:space="0" w:color="auto"/>
            </w:tcBorders>
            <w:hideMark/>
          </w:tcPr>
          <w:p w14:paraId="3409D914"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78D9996C" w14:textId="77777777" w:rsidR="0010450A" w:rsidRPr="003B4362" w:rsidRDefault="0010450A" w:rsidP="00C619B9">
            <w:pPr>
              <w:widowControl w:val="0"/>
            </w:pPr>
            <w:r w:rsidRPr="003B4362">
              <w:t>N/A</w:t>
            </w:r>
          </w:p>
        </w:tc>
        <w:tc>
          <w:tcPr>
            <w:tcW w:w="1296" w:type="dxa"/>
            <w:tcBorders>
              <w:top w:val="single" w:sz="6" w:space="0" w:color="auto"/>
              <w:left w:val="single" w:sz="6" w:space="0" w:color="auto"/>
              <w:bottom w:val="single" w:sz="6" w:space="0" w:color="auto"/>
              <w:right w:val="single" w:sz="6" w:space="0" w:color="auto"/>
            </w:tcBorders>
            <w:hideMark/>
          </w:tcPr>
          <w:p w14:paraId="4EDFB72C"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7830566" w14:textId="77777777" w:rsidR="0010450A" w:rsidRPr="003B4362" w:rsidRDefault="0010450A" w:rsidP="00C619B9">
            <w:pPr>
              <w:widowControl w:val="0"/>
            </w:pPr>
            <w:r w:rsidRPr="003B4362">
              <w:t>611.742, 611.953, 611.954</w:t>
            </w:r>
          </w:p>
        </w:tc>
      </w:tr>
      <w:tr w:rsidR="001628C1" w:rsidRPr="003B4362" w14:paraId="0A11F3E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F1CF1D4" w14:textId="77777777" w:rsidR="0010450A" w:rsidRPr="003B4362" w:rsidRDefault="0010450A" w:rsidP="00C619B9">
            <w:pPr>
              <w:widowControl w:val="0"/>
            </w:pPr>
            <w:r w:rsidRPr="003B4362">
              <w:lastRenderedPageBreak/>
              <w:t>11. Development of monitoring plan</w:t>
            </w:r>
          </w:p>
        </w:tc>
        <w:tc>
          <w:tcPr>
            <w:tcW w:w="1296" w:type="dxa"/>
            <w:tcBorders>
              <w:top w:val="single" w:sz="6" w:space="0" w:color="auto"/>
              <w:left w:val="single" w:sz="6" w:space="0" w:color="auto"/>
              <w:bottom w:val="single" w:sz="6" w:space="0" w:color="auto"/>
              <w:right w:val="single" w:sz="6" w:space="0" w:color="auto"/>
            </w:tcBorders>
            <w:hideMark/>
          </w:tcPr>
          <w:p w14:paraId="4476360C"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060430B9" w14:textId="77777777" w:rsidR="0010450A" w:rsidRPr="003B4362" w:rsidRDefault="0010450A" w:rsidP="00C619B9">
            <w:pPr>
              <w:widowControl w:val="0"/>
            </w:pPr>
            <w:r w:rsidRPr="003B4362">
              <w:t>N/A</w:t>
            </w:r>
          </w:p>
        </w:tc>
        <w:tc>
          <w:tcPr>
            <w:tcW w:w="1296" w:type="dxa"/>
            <w:tcBorders>
              <w:top w:val="single" w:sz="6" w:space="0" w:color="auto"/>
              <w:left w:val="single" w:sz="6" w:space="0" w:color="auto"/>
              <w:bottom w:val="single" w:sz="6" w:space="0" w:color="auto"/>
              <w:right w:val="single" w:sz="6" w:space="0" w:color="auto"/>
            </w:tcBorders>
            <w:hideMark/>
          </w:tcPr>
          <w:p w14:paraId="69CDCBD2"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7113459" w14:textId="77777777" w:rsidR="0010450A" w:rsidRPr="003B4362" w:rsidRDefault="0010450A" w:rsidP="00C619B9">
            <w:pPr>
              <w:widowControl w:val="0"/>
            </w:pPr>
            <w:r w:rsidRPr="003B4362">
              <w:t>611.382(f)</w:t>
            </w:r>
          </w:p>
        </w:tc>
      </w:tr>
    </w:tbl>
    <w:p w14:paraId="392EAE5F" w14:textId="77777777" w:rsidR="003F1F0F" w:rsidRPr="003B4362" w:rsidRDefault="003F1F0F" w:rsidP="003F1F0F"/>
    <w:p w14:paraId="6DC5C565" w14:textId="3E90197D" w:rsidR="0010450A" w:rsidRPr="003B4362" w:rsidRDefault="0010450A" w:rsidP="003F1F0F">
      <w:r w:rsidRPr="003B4362">
        <w:t>H. Other Treatment Techniques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1182F5E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732988B" w14:textId="77777777" w:rsidR="0010450A" w:rsidRPr="003B4362" w:rsidRDefault="0010450A" w:rsidP="00C619B9">
            <w:pPr>
              <w:widowControl w:val="0"/>
            </w:pPr>
            <w:r w:rsidRPr="003B4362">
              <w:t>1. Acrylamide (TT)</w:t>
            </w:r>
          </w:p>
        </w:tc>
        <w:tc>
          <w:tcPr>
            <w:tcW w:w="1296" w:type="dxa"/>
            <w:tcBorders>
              <w:top w:val="single" w:sz="6" w:space="0" w:color="auto"/>
              <w:left w:val="single" w:sz="6" w:space="0" w:color="auto"/>
              <w:bottom w:val="single" w:sz="6" w:space="0" w:color="auto"/>
              <w:right w:val="single" w:sz="6" w:space="0" w:color="auto"/>
            </w:tcBorders>
            <w:hideMark/>
          </w:tcPr>
          <w:p w14:paraId="4B12F937"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1EFA253" w14:textId="77777777" w:rsidR="0010450A" w:rsidRPr="003B4362" w:rsidRDefault="0010450A" w:rsidP="00C619B9">
            <w:pPr>
              <w:widowControl w:val="0"/>
            </w:pPr>
            <w:r w:rsidRPr="003B4362">
              <w:t>611.296</w:t>
            </w:r>
          </w:p>
        </w:tc>
        <w:tc>
          <w:tcPr>
            <w:tcW w:w="1296" w:type="dxa"/>
            <w:tcBorders>
              <w:top w:val="single" w:sz="6" w:space="0" w:color="auto"/>
              <w:left w:val="single" w:sz="6" w:space="0" w:color="auto"/>
              <w:bottom w:val="single" w:sz="6" w:space="0" w:color="auto"/>
              <w:right w:val="single" w:sz="6" w:space="0" w:color="auto"/>
            </w:tcBorders>
            <w:hideMark/>
          </w:tcPr>
          <w:p w14:paraId="513320D8"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317FDE61" w14:textId="77777777" w:rsidR="0010450A" w:rsidRPr="003B4362" w:rsidRDefault="0010450A" w:rsidP="00C619B9">
            <w:pPr>
              <w:widowControl w:val="0"/>
            </w:pPr>
            <w:r w:rsidRPr="003B4362">
              <w:t>N/A</w:t>
            </w:r>
          </w:p>
        </w:tc>
      </w:tr>
      <w:tr w:rsidR="001628C1" w:rsidRPr="003B4362" w14:paraId="6BA303A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820370B" w14:textId="77777777" w:rsidR="0010450A" w:rsidRPr="003B4362" w:rsidRDefault="0010450A" w:rsidP="00C619B9">
            <w:pPr>
              <w:widowControl w:val="0"/>
            </w:pPr>
            <w:r w:rsidRPr="003B4362">
              <w:t>2. Epichlorohydrin (TT)</w:t>
            </w:r>
          </w:p>
        </w:tc>
        <w:tc>
          <w:tcPr>
            <w:tcW w:w="1296" w:type="dxa"/>
            <w:tcBorders>
              <w:top w:val="single" w:sz="6" w:space="0" w:color="auto"/>
              <w:left w:val="single" w:sz="6" w:space="0" w:color="auto"/>
              <w:bottom w:val="single" w:sz="6" w:space="0" w:color="auto"/>
              <w:right w:val="single" w:sz="6" w:space="0" w:color="auto"/>
            </w:tcBorders>
            <w:hideMark/>
          </w:tcPr>
          <w:p w14:paraId="36EC8D91"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2BFFD516" w14:textId="77777777" w:rsidR="0010450A" w:rsidRPr="003B4362" w:rsidRDefault="0010450A" w:rsidP="00C619B9">
            <w:pPr>
              <w:widowControl w:val="0"/>
            </w:pPr>
            <w:r w:rsidRPr="003B4362">
              <w:t>611.296</w:t>
            </w:r>
          </w:p>
        </w:tc>
        <w:tc>
          <w:tcPr>
            <w:tcW w:w="1296" w:type="dxa"/>
            <w:tcBorders>
              <w:top w:val="single" w:sz="6" w:space="0" w:color="auto"/>
              <w:left w:val="single" w:sz="6" w:space="0" w:color="auto"/>
              <w:bottom w:val="single" w:sz="6" w:space="0" w:color="auto"/>
              <w:right w:val="single" w:sz="6" w:space="0" w:color="auto"/>
            </w:tcBorders>
            <w:hideMark/>
          </w:tcPr>
          <w:p w14:paraId="109E6591"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27AB2479" w14:textId="77777777" w:rsidR="0010450A" w:rsidRPr="003B4362" w:rsidRDefault="0010450A" w:rsidP="00C619B9">
            <w:pPr>
              <w:widowControl w:val="0"/>
            </w:pPr>
            <w:r w:rsidRPr="003B4362">
              <w:t>N/A</w:t>
            </w:r>
          </w:p>
        </w:tc>
      </w:tr>
    </w:tbl>
    <w:p w14:paraId="00AF791D" w14:textId="77777777" w:rsidR="003F1F0F" w:rsidRPr="003B4362" w:rsidRDefault="003F1F0F" w:rsidP="003F1F0F"/>
    <w:p w14:paraId="67D02BBB" w14:textId="47A7853E" w:rsidR="0010450A" w:rsidRPr="003B4362" w:rsidRDefault="0010450A" w:rsidP="003F1F0F">
      <w:r w:rsidRPr="003B4362">
        <w:t xml:space="preserve">II. Unregulated Contaminant Monitoring: </w:t>
      </w:r>
      <w:r w:rsidRPr="003B4362">
        <w:rPr>
          <w:vertAlign w:val="superscript"/>
        </w:rPr>
        <w:t>14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1244FFAD"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82A8DC2" w14:textId="77777777" w:rsidR="0010450A" w:rsidRPr="003B4362" w:rsidRDefault="0010450A" w:rsidP="00C619B9">
            <w:pPr>
              <w:widowControl w:val="0"/>
            </w:pPr>
            <w:r w:rsidRPr="003B4362">
              <w:t>A. Unregulated contaminants</w:t>
            </w:r>
          </w:p>
        </w:tc>
        <w:tc>
          <w:tcPr>
            <w:tcW w:w="1296" w:type="dxa"/>
            <w:tcBorders>
              <w:top w:val="single" w:sz="6" w:space="0" w:color="auto"/>
              <w:left w:val="single" w:sz="6" w:space="0" w:color="auto"/>
              <w:bottom w:val="single" w:sz="6" w:space="0" w:color="auto"/>
              <w:right w:val="single" w:sz="6" w:space="0" w:color="auto"/>
            </w:tcBorders>
            <w:hideMark/>
          </w:tcPr>
          <w:p w14:paraId="538D29BC"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6986FE77" w14:textId="77777777" w:rsidR="0010450A" w:rsidRPr="003B4362" w:rsidRDefault="0010450A" w:rsidP="00C619B9">
            <w:pPr>
              <w:widowControl w:val="0"/>
            </w:pPr>
            <w:r w:rsidRPr="003B4362">
              <w:t>N/A</w:t>
            </w:r>
          </w:p>
        </w:tc>
        <w:tc>
          <w:tcPr>
            <w:tcW w:w="1296" w:type="dxa"/>
            <w:tcBorders>
              <w:top w:val="single" w:sz="6" w:space="0" w:color="auto"/>
              <w:left w:val="single" w:sz="6" w:space="0" w:color="auto"/>
              <w:bottom w:val="single" w:sz="6" w:space="0" w:color="auto"/>
              <w:right w:val="single" w:sz="6" w:space="0" w:color="auto"/>
            </w:tcBorders>
            <w:hideMark/>
          </w:tcPr>
          <w:p w14:paraId="7ADD0E04"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D6FBA26" w14:textId="77777777" w:rsidR="0010450A" w:rsidRPr="003B4362" w:rsidRDefault="0010450A" w:rsidP="00C619B9">
            <w:pPr>
              <w:widowControl w:val="0"/>
              <w:rPr>
                <w:strike/>
              </w:rPr>
            </w:pPr>
            <w:r w:rsidRPr="003B4362">
              <w:rPr>
                <w:spacing w:val="-2"/>
              </w:rPr>
              <w:t xml:space="preserve">as required by USEPA </w:t>
            </w:r>
            <w:r w:rsidRPr="003B4362">
              <w:t xml:space="preserve">under </w:t>
            </w:r>
            <w:r w:rsidRPr="003B4362">
              <w:rPr>
                <w:spacing w:val="-2"/>
              </w:rPr>
              <w:t>40 CFR 141.40</w:t>
            </w:r>
          </w:p>
        </w:tc>
      </w:tr>
      <w:tr w:rsidR="001628C1" w:rsidRPr="003B4362" w14:paraId="32420FD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C114857" w14:textId="77777777" w:rsidR="0010450A" w:rsidRPr="003B4362" w:rsidRDefault="0010450A" w:rsidP="00C619B9">
            <w:pPr>
              <w:widowControl w:val="0"/>
            </w:pPr>
            <w:r w:rsidRPr="003B4362">
              <w:t>B. Nickel</w:t>
            </w:r>
          </w:p>
        </w:tc>
        <w:tc>
          <w:tcPr>
            <w:tcW w:w="1296" w:type="dxa"/>
            <w:tcBorders>
              <w:top w:val="single" w:sz="6" w:space="0" w:color="auto"/>
              <w:left w:val="single" w:sz="6" w:space="0" w:color="auto"/>
              <w:bottom w:val="single" w:sz="6" w:space="0" w:color="auto"/>
              <w:right w:val="single" w:sz="6" w:space="0" w:color="auto"/>
            </w:tcBorders>
            <w:hideMark/>
          </w:tcPr>
          <w:p w14:paraId="3E113029"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347166CB" w14:textId="77777777" w:rsidR="0010450A" w:rsidRPr="003B4362" w:rsidRDefault="0010450A" w:rsidP="00C619B9">
            <w:pPr>
              <w:widowControl w:val="0"/>
            </w:pPr>
            <w:r w:rsidRPr="003B4362">
              <w:t>N/A</w:t>
            </w:r>
          </w:p>
        </w:tc>
        <w:tc>
          <w:tcPr>
            <w:tcW w:w="1296" w:type="dxa"/>
            <w:tcBorders>
              <w:top w:val="single" w:sz="6" w:space="0" w:color="auto"/>
              <w:left w:val="single" w:sz="6" w:space="0" w:color="auto"/>
              <w:bottom w:val="single" w:sz="6" w:space="0" w:color="auto"/>
              <w:right w:val="single" w:sz="6" w:space="0" w:color="auto"/>
            </w:tcBorders>
            <w:hideMark/>
          </w:tcPr>
          <w:p w14:paraId="7D8141AC"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2C17212" w14:textId="77777777" w:rsidR="0010450A" w:rsidRPr="003B4362" w:rsidRDefault="0010450A" w:rsidP="00C619B9">
            <w:pPr>
              <w:widowControl w:val="0"/>
            </w:pPr>
            <w:r w:rsidRPr="003B4362">
              <w:t>611.603, 611.611</w:t>
            </w:r>
          </w:p>
        </w:tc>
      </w:tr>
    </w:tbl>
    <w:p w14:paraId="782F5070" w14:textId="77777777" w:rsidR="003F1F0F" w:rsidRPr="003B4362" w:rsidRDefault="003F1F0F" w:rsidP="003F1F0F"/>
    <w:p w14:paraId="2B670CF1" w14:textId="5B020965" w:rsidR="0010450A" w:rsidRPr="003B4362" w:rsidRDefault="0010450A" w:rsidP="003F1F0F">
      <w:r w:rsidRPr="003B4362">
        <w:t>III. Public Notification for Relief Equivalent to a SDWA section 1415 Variance or a section 1416 Exemption.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3EB2FC3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B683EDC" w14:textId="77777777" w:rsidR="0010450A" w:rsidRPr="003B4362" w:rsidRDefault="0010450A" w:rsidP="00C619B9">
            <w:pPr>
              <w:widowControl w:val="0"/>
            </w:pPr>
            <w:r w:rsidRPr="003B4362">
              <w:t>A. Operation under relief equivalent to a SDWA section 1415 variance or a section 1416 exemption</w:t>
            </w:r>
          </w:p>
        </w:tc>
        <w:tc>
          <w:tcPr>
            <w:tcW w:w="1296" w:type="dxa"/>
            <w:tcBorders>
              <w:top w:val="single" w:sz="6" w:space="0" w:color="auto"/>
              <w:left w:val="single" w:sz="6" w:space="0" w:color="auto"/>
              <w:bottom w:val="single" w:sz="6" w:space="0" w:color="auto"/>
              <w:right w:val="single" w:sz="6" w:space="0" w:color="auto"/>
            </w:tcBorders>
            <w:hideMark/>
          </w:tcPr>
          <w:p w14:paraId="5940586F"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48D845A" w14:textId="77777777" w:rsidR="0010450A" w:rsidRPr="003B4362" w:rsidRDefault="0010450A" w:rsidP="00C619B9">
            <w:pPr>
              <w:widowControl w:val="0"/>
            </w:pPr>
            <w:r w:rsidRPr="003B4362">
              <w:rPr>
                <w:vertAlign w:val="superscript"/>
              </w:rPr>
              <w:t>15</w:t>
            </w:r>
            <w:r w:rsidRPr="003B4362">
              <w:t xml:space="preserve"> 1415, 1416</w:t>
            </w:r>
          </w:p>
        </w:tc>
        <w:tc>
          <w:tcPr>
            <w:tcW w:w="1296" w:type="dxa"/>
            <w:tcBorders>
              <w:top w:val="single" w:sz="6" w:space="0" w:color="auto"/>
              <w:left w:val="single" w:sz="6" w:space="0" w:color="auto"/>
              <w:bottom w:val="single" w:sz="6" w:space="0" w:color="auto"/>
              <w:right w:val="single" w:sz="6" w:space="0" w:color="auto"/>
            </w:tcBorders>
            <w:hideMark/>
          </w:tcPr>
          <w:p w14:paraId="141B2500"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70671C3B" w14:textId="77777777" w:rsidR="0010450A" w:rsidRPr="003B4362" w:rsidRDefault="0010450A" w:rsidP="00C619B9">
            <w:pPr>
              <w:widowControl w:val="0"/>
            </w:pPr>
            <w:r w:rsidRPr="003B4362">
              <w:t>N/A</w:t>
            </w:r>
          </w:p>
        </w:tc>
      </w:tr>
      <w:tr w:rsidR="001628C1" w:rsidRPr="003B4362" w14:paraId="61CA8E2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382C2B0" w14:textId="77777777" w:rsidR="0010450A" w:rsidRPr="003B4362" w:rsidRDefault="0010450A" w:rsidP="00C619B9">
            <w:pPr>
              <w:widowControl w:val="0"/>
            </w:pPr>
            <w:r w:rsidRPr="003B4362">
              <w:t>B. Violation of conditions of relief equivalent to a SDWA section 1415 variance or a section 1416 exemption</w:t>
            </w:r>
          </w:p>
        </w:tc>
        <w:tc>
          <w:tcPr>
            <w:tcW w:w="1296" w:type="dxa"/>
            <w:tcBorders>
              <w:top w:val="single" w:sz="6" w:space="0" w:color="auto"/>
              <w:left w:val="single" w:sz="6" w:space="0" w:color="auto"/>
              <w:bottom w:val="single" w:sz="6" w:space="0" w:color="auto"/>
              <w:right w:val="single" w:sz="6" w:space="0" w:color="auto"/>
            </w:tcBorders>
            <w:hideMark/>
          </w:tcPr>
          <w:p w14:paraId="7A73CBAD"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759A1DC" w14:textId="77777777" w:rsidR="0010450A" w:rsidRPr="003B4362" w:rsidRDefault="0010450A" w:rsidP="00C619B9">
            <w:pPr>
              <w:widowControl w:val="0"/>
            </w:pPr>
            <w:r w:rsidRPr="003B4362">
              <w:t xml:space="preserve">1415, 1416, </w:t>
            </w:r>
            <w:r w:rsidRPr="003B4362">
              <w:rPr>
                <w:vertAlign w:val="superscript"/>
              </w:rPr>
              <w:t>16</w:t>
            </w:r>
            <w:r w:rsidRPr="003B4362">
              <w:t xml:space="preserve"> 611.111, 611.112</w:t>
            </w:r>
          </w:p>
        </w:tc>
        <w:tc>
          <w:tcPr>
            <w:tcW w:w="1296" w:type="dxa"/>
            <w:tcBorders>
              <w:top w:val="single" w:sz="6" w:space="0" w:color="auto"/>
              <w:left w:val="single" w:sz="6" w:space="0" w:color="auto"/>
              <w:bottom w:val="single" w:sz="6" w:space="0" w:color="auto"/>
              <w:right w:val="single" w:sz="6" w:space="0" w:color="auto"/>
            </w:tcBorders>
            <w:hideMark/>
          </w:tcPr>
          <w:p w14:paraId="54A3520F"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188FDAD3" w14:textId="77777777" w:rsidR="0010450A" w:rsidRPr="003B4362" w:rsidRDefault="0010450A" w:rsidP="00C619B9">
            <w:pPr>
              <w:widowControl w:val="0"/>
            </w:pPr>
            <w:r w:rsidRPr="003B4362">
              <w:t>N/A</w:t>
            </w:r>
          </w:p>
        </w:tc>
      </w:tr>
    </w:tbl>
    <w:p w14:paraId="2746133A" w14:textId="77777777" w:rsidR="003F1F0F" w:rsidRPr="003B4362" w:rsidRDefault="003F1F0F" w:rsidP="003F1F0F"/>
    <w:p w14:paraId="32BCE655" w14:textId="5C2C36FB" w:rsidR="0010450A" w:rsidRPr="003B4362" w:rsidRDefault="0010450A" w:rsidP="003F1F0F">
      <w:r w:rsidRPr="003B4362">
        <w:t>IV. Other Situations Requiring Public Notification.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0207B6D0"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3DD1523" w14:textId="77777777" w:rsidR="0010450A" w:rsidRPr="003B4362" w:rsidRDefault="0010450A" w:rsidP="00C619B9">
            <w:pPr>
              <w:widowControl w:val="0"/>
            </w:pPr>
            <w:r w:rsidRPr="003B4362">
              <w:t>A. Fluoride secondary maximum contaminant level (SMCL) exceedance</w:t>
            </w:r>
          </w:p>
        </w:tc>
        <w:tc>
          <w:tcPr>
            <w:tcW w:w="1296" w:type="dxa"/>
            <w:tcBorders>
              <w:top w:val="single" w:sz="6" w:space="0" w:color="auto"/>
              <w:left w:val="single" w:sz="6" w:space="0" w:color="auto"/>
              <w:bottom w:val="single" w:sz="6" w:space="0" w:color="auto"/>
              <w:right w:val="single" w:sz="6" w:space="0" w:color="auto"/>
            </w:tcBorders>
            <w:hideMark/>
          </w:tcPr>
          <w:p w14:paraId="2380936B"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6A43016" w14:textId="77777777" w:rsidR="0010450A" w:rsidRPr="003B4362" w:rsidRDefault="0010450A" w:rsidP="00C619B9">
            <w:pPr>
              <w:widowControl w:val="0"/>
            </w:pPr>
            <w:r w:rsidRPr="003B4362">
              <w:t>611.858</w:t>
            </w:r>
          </w:p>
        </w:tc>
        <w:tc>
          <w:tcPr>
            <w:tcW w:w="1296" w:type="dxa"/>
            <w:tcBorders>
              <w:top w:val="single" w:sz="6" w:space="0" w:color="auto"/>
              <w:left w:val="single" w:sz="6" w:space="0" w:color="auto"/>
              <w:bottom w:val="single" w:sz="6" w:space="0" w:color="auto"/>
              <w:right w:val="single" w:sz="6" w:space="0" w:color="auto"/>
            </w:tcBorders>
            <w:hideMark/>
          </w:tcPr>
          <w:p w14:paraId="33D58905"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21F6542B" w14:textId="77777777" w:rsidR="0010450A" w:rsidRPr="003B4362" w:rsidRDefault="0010450A" w:rsidP="00C619B9">
            <w:pPr>
              <w:widowControl w:val="0"/>
            </w:pPr>
            <w:r w:rsidRPr="003B4362">
              <w:t>N/A</w:t>
            </w:r>
          </w:p>
        </w:tc>
      </w:tr>
      <w:tr w:rsidR="001628C1" w:rsidRPr="003B4362" w14:paraId="5199B66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CFCFE15" w14:textId="77777777" w:rsidR="0010450A" w:rsidRPr="003B4362" w:rsidRDefault="0010450A" w:rsidP="00C619B9">
            <w:pPr>
              <w:widowControl w:val="0"/>
            </w:pPr>
            <w:r w:rsidRPr="003B4362">
              <w:t>B. Exceedance of nitrate MCL for a non-CWS supplier, as allowed by the Agency</w:t>
            </w:r>
          </w:p>
        </w:tc>
        <w:tc>
          <w:tcPr>
            <w:tcW w:w="1296" w:type="dxa"/>
            <w:tcBorders>
              <w:top w:val="single" w:sz="6" w:space="0" w:color="auto"/>
              <w:left w:val="single" w:sz="6" w:space="0" w:color="auto"/>
              <w:bottom w:val="single" w:sz="6" w:space="0" w:color="auto"/>
              <w:right w:val="single" w:sz="6" w:space="0" w:color="auto"/>
            </w:tcBorders>
            <w:hideMark/>
          </w:tcPr>
          <w:p w14:paraId="10AC7880" w14:textId="77777777" w:rsidR="0010450A" w:rsidRPr="003B4362" w:rsidRDefault="0010450A" w:rsidP="00C619B9">
            <w:pPr>
              <w:widowControl w:val="0"/>
            </w:pPr>
            <w:r w:rsidRPr="003B4362">
              <w:t>1</w:t>
            </w:r>
          </w:p>
        </w:tc>
        <w:tc>
          <w:tcPr>
            <w:tcW w:w="1728" w:type="dxa"/>
            <w:tcBorders>
              <w:top w:val="single" w:sz="6" w:space="0" w:color="auto"/>
              <w:left w:val="single" w:sz="6" w:space="0" w:color="auto"/>
              <w:bottom w:val="single" w:sz="6" w:space="0" w:color="auto"/>
              <w:right w:val="single" w:sz="6" w:space="0" w:color="auto"/>
            </w:tcBorders>
            <w:hideMark/>
          </w:tcPr>
          <w:p w14:paraId="43977D46" w14:textId="77777777" w:rsidR="0010450A" w:rsidRPr="003B4362" w:rsidRDefault="0010450A" w:rsidP="00C619B9">
            <w:pPr>
              <w:widowControl w:val="0"/>
            </w:pPr>
            <w:r w:rsidRPr="003B4362">
              <w:t>611.300(d)</w:t>
            </w:r>
          </w:p>
        </w:tc>
        <w:tc>
          <w:tcPr>
            <w:tcW w:w="1296" w:type="dxa"/>
            <w:tcBorders>
              <w:top w:val="single" w:sz="6" w:space="0" w:color="auto"/>
              <w:left w:val="single" w:sz="6" w:space="0" w:color="auto"/>
              <w:bottom w:val="single" w:sz="6" w:space="0" w:color="auto"/>
              <w:right w:val="single" w:sz="6" w:space="0" w:color="auto"/>
            </w:tcBorders>
            <w:hideMark/>
          </w:tcPr>
          <w:p w14:paraId="25ADB7CE"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1471175B" w14:textId="77777777" w:rsidR="0010450A" w:rsidRPr="003B4362" w:rsidRDefault="0010450A" w:rsidP="00C619B9">
            <w:pPr>
              <w:widowControl w:val="0"/>
            </w:pPr>
            <w:r w:rsidRPr="003B4362">
              <w:t>N/A</w:t>
            </w:r>
          </w:p>
        </w:tc>
      </w:tr>
      <w:tr w:rsidR="001628C1" w:rsidRPr="003B4362" w14:paraId="2FF8F0F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0F77E0A" w14:textId="77777777" w:rsidR="0010450A" w:rsidRPr="003B4362" w:rsidRDefault="0010450A" w:rsidP="00C619B9">
            <w:pPr>
              <w:widowControl w:val="0"/>
            </w:pPr>
            <w:r w:rsidRPr="003B4362">
              <w:t>C. Availability of unregulated contaminant monitoring data</w:t>
            </w:r>
          </w:p>
        </w:tc>
        <w:tc>
          <w:tcPr>
            <w:tcW w:w="1296" w:type="dxa"/>
            <w:tcBorders>
              <w:top w:val="single" w:sz="6" w:space="0" w:color="auto"/>
              <w:left w:val="single" w:sz="6" w:space="0" w:color="auto"/>
              <w:bottom w:val="single" w:sz="6" w:space="0" w:color="auto"/>
              <w:right w:val="single" w:sz="6" w:space="0" w:color="auto"/>
            </w:tcBorders>
            <w:hideMark/>
          </w:tcPr>
          <w:p w14:paraId="01AAF956"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72C1875" w14:textId="77777777" w:rsidR="0010450A" w:rsidRPr="003B4362" w:rsidRDefault="0010450A" w:rsidP="00C619B9">
            <w:pPr>
              <w:widowControl w:val="0"/>
            </w:pPr>
            <w:r w:rsidRPr="003B4362">
              <w:rPr>
                <w:spacing w:val="-2"/>
              </w:rPr>
              <w:t xml:space="preserve">as required by USEPA </w:t>
            </w:r>
            <w:r w:rsidRPr="003B4362">
              <w:t xml:space="preserve">under </w:t>
            </w:r>
            <w:r w:rsidRPr="003B4362">
              <w:rPr>
                <w:spacing w:val="-2"/>
              </w:rPr>
              <w:t>40 CFR 141.40</w:t>
            </w:r>
          </w:p>
        </w:tc>
        <w:tc>
          <w:tcPr>
            <w:tcW w:w="1296" w:type="dxa"/>
            <w:tcBorders>
              <w:top w:val="single" w:sz="6" w:space="0" w:color="auto"/>
              <w:left w:val="single" w:sz="6" w:space="0" w:color="auto"/>
              <w:bottom w:val="single" w:sz="6" w:space="0" w:color="auto"/>
              <w:right w:val="single" w:sz="6" w:space="0" w:color="auto"/>
            </w:tcBorders>
            <w:hideMark/>
          </w:tcPr>
          <w:p w14:paraId="11B30D89"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1D1B00C3" w14:textId="77777777" w:rsidR="0010450A" w:rsidRPr="003B4362" w:rsidRDefault="0010450A" w:rsidP="00C619B9">
            <w:pPr>
              <w:widowControl w:val="0"/>
            </w:pPr>
            <w:r w:rsidRPr="003B4362">
              <w:t>N/A</w:t>
            </w:r>
          </w:p>
        </w:tc>
      </w:tr>
      <w:tr w:rsidR="001628C1" w:rsidRPr="003B4362" w14:paraId="3F8BC5E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C40E913" w14:textId="77777777" w:rsidR="0010450A" w:rsidRPr="003B4362" w:rsidRDefault="0010450A" w:rsidP="00C619B9">
            <w:pPr>
              <w:widowControl w:val="0"/>
            </w:pPr>
            <w:r w:rsidRPr="003B4362">
              <w:lastRenderedPageBreak/>
              <w:t>D. Waterborne disease outbreak</w:t>
            </w:r>
          </w:p>
        </w:tc>
        <w:tc>
          <w:tcPr>
            <w:tcW w:w="1296" w:type="dxa"/>
            <w:tcBorders>
              <w:top w:val="single" w:sz="6" w:space="0" w:color="auto"/>
              <w:left w:val="single" w:sz="6" w:space="0" w:color="auto"/>
              <w:bottom w:val="single" w:sz="6" w:space="0" w:color="auto"/>
              <w:right w:val="single" w:sz="6" w:space="0" w:color="auto"/>
            </w:tcBorders>
            <w:hideMark/>
          </w:tcPr>
          <w:p w14:paraId="613A8AB1" w14:textId="77777777" w:rsidR="0010450A" w:rsidRPr="003B4362" w:rsidRDefault="0010450A" w:rsidP="00C619B9">
            <w:pPr>
              <w:widowControl w:val="0"/>
            </w:pPr>
            <w:r w:rsidRPr="003B4362">
              <w:t>1</w:t>
            </w:r>
          </w:p>
        </w:tc>
        <w:tc>
          <w:tcPr>
            <w:tcW w:w="1728" w:type="dxa"/>
            <w:tcBorders>
              <w:top w:val="single" w:sz="6" w:space="0" w:color="auto"/>
              <w:left w:val="single" w:sz="6" w:space="0" w:color="auto"/>
              <w:bottom w:val="single" w:sz="6" w:space="0" w:color="auto"/>
              <w:right w:val="single" w:sz="6" w:space="0" w:color="auto"/>
            </w:tcBorders>
            <w:hideMark/>
          </w:tcPr>
          <w:p w14:paraId="1DE78DD5" w14:textId="77777777" w:rsidR="0010450A" w:rsidRPr="003B4362" w:rsidRDefault="0010450A" w:rsidP="00C619B9">
            <w:pPr>
              <w:widowControl w:val="0"/>
            </w:pPr>
            <w:r w:rsidRPr="003B4362">
              <w:t>611.101, 611.233(b)(2)</w:t>
            </w:r>
          </w:p>
        </w:tc>
        <w:tc>
          <w:tcPr>
            <w:tcW w:w="1296" w:type="dxa"/>
            <w:tcBorders>
              <w:top w:val="single" w:sz="6" w:space="0" w:color="auto"/>
              <w:left w:val="single" w:sz="6" w:space="0" w:color="auto"/>
              <w:bottom w:val="single" w:sz="6" w:space="0" w:color="auto"/>
              <w:right w:val="single" w:sz="6" w:space="0" w:color="auto"/>
            </w:tcBorders>
            <w:hideMark/>
          </w:tcPr>
          <w:p w14:paraId="5738DC93"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3B72D615" w14:textId="77777777" w:rsidR="0010450A" w:rsidRPr="003B4362" w:rsidRDefault="0010450A" w:rsidP="00C619B9">
            <w:pPr>
              <w:widowControl w:val="0"/>
            </w:pPr>
            <w:r w:rsidRPr="003B4362">
              <w:t>N/A</w:t>
            </w:r>
          </w:p>
        </w:tc>
      </w:tr>
      <w:tr w:rsidR="001628C1" w:rsidRPr="003B4362" w14:paraId="54893A90"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03547A6" w14:textId="77777777" w:rsidR="0010450A" w:rsidRPr="003B4362" w:rsidRDefault="0010450A" w:rsidP="00C619B9">
            <w:pPr>
              <w:widowControl w:val="0"/>
            </w:pPr>
            <w:r w:rsidRPr="003B4362">
              <w:t>E. Other waterborne emergency</w:t>
            </w:r>
            <w:r w:rsidRPr="003B4362">
              <w:rPr>
                <w:vertAlign w:val="superscript"/>
              </w:rPr>
              <w:t>17</w:t>
            </w:r>
          </w:p>
        </w:tc>
        <w:tc>
          <w:tcPr>
            <w:tcW w:w="1296" w:type="dxa"/>
            <w:tcBorders>
              <w:top w:val="single" w:sz="6" w:space="0" w:color="auto"/>
              <w:left w:val="single" w:sz="6" w:space="0" w:color="auto"/>
              <w:bottom w:val="single" w:sz="6" w:space="0" w:color="auto"/>
              <w:right w:val="single" w:sz="6" w:space="0" w:color="auto"/>
            </w:tcBorders>
            <w:hideMark/>
          </w:tcPr>
          <w:p w14:paraId="470AA5BD" w14:textId="77777777" w:rsidR="0010450A" w:rsidRPr="003B4362" w:rsidRDefault="0010450A" w:rsidP="00C619B9">
            <w:pPr>
              <w:widowControl w:val="0"/>
            </w:pPr>
            <w:r w:rsidRPr="003B4362">
              <w:t>1</w:t>
            </w:r>
          </w:p>
        </w:tc>
        <w:tc>
          <w:tcPr>
            <w:tcW w:w="1728" w:type="dxa"/>
            <w:tcBorders>
              <w:top w:val="single" w:sz="6" w:space="0" w:color="auto"/>
              <w:left w:val="single" w:sz="6" w:space="0" w:color="auto"/>
              <w:bottom w:val="single" w:sz="6" w:space="0" w:color="auto"/>
              <w:right w:val="single" w:sz="6" w:space="0" w:color="auto"/>
            </w:tcBorders>
            <w:hideMark/>
          </w:tcPr>
          <w:p w14:paraId="7E851601" w14:textId="77777777" w:rsidR="0010450A" w:rsidRPr="003B4362" w:rsidRDefault="0010450A" w:rsidP="00C619B9">
            <w:pPr>
              <w:widowControl w:val="0"/>
            </w:pPr>
            <w:r w:rsidRPr="003B4362">
              <w:t>N/A</w:t>
            </w:r>
          </w:p>
        </w:tc>
        <w:tc>
          <w:tcPr>
            <w:tcW w:w="1296" w:type="dxa"/>
            <w:tcBorders>
              <w:top w:val="single" w:sz="6" w:space="0" w:color="auto"/>
              <w:left w:val="single" w:sz="6" w:space="0" w:color="auto"/>
              <w:bottom w:val="single" w:sz="6" w:space="0" w:color="auto"/>
              <w:right w:val="single" w:sz="6" w:space="0" w:color="auto"/>
            </w:tcBorders>
            <w:hideMark/>
          </w:tcPr>
          <w:p w14:paraId="52AA161B"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621ED975" w14:textId="77777777" w:rsidR="0010450A" w:rsidRPr="003B4362" w:rsidRDefault="0010450A" w:rsidP="00C619B9">
            <w:pPr>
              <w:widowControl w:val="0"/>
            </w:pPr>
            <w:r w:rsidRPr="003B4362">
              <w:t>N/A</w:t>
            </w:r>
          </w:p>
        </w:tc>
      </w:tr>
      <w:tr w:rsidR="001628C1" w:rsidRPr="003B4362" w14:paraId="776AF63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F989715" w14:textId="77777777" w:rsidR="0010450A" w:rsidRPr="003B4362" w:rsidRDefault="0010450A" w:rsidP="00C619B9">
            <w:pPr>
              <w:widowControl w:val="0"/>
            </w:pPr>
            <w:r w:rsidRPr="003B4362">
              <w:rPr>
                <w:szCs w:val="16"/>
              </w:rPr>
              <w:t>F. Source water sample positive for Groundwater Rule fecal indicators:  E. coli, enterococci, or coliphage</w:t>
            </w:r>
          </w:p>
        </w:tc>
        <w:tc>
          <w:tcPr>
            <w:tcW w:w="1296" w:type="dxa"/>
            <w:tcBorders>
              <w:top w:val="single" w:sz="6" w:space="0" w:color="auto"/>
              <w:left w:val="single" w:sz="6" w:space="0" w:color="auto"/>
              <w:bottom w:val="single" w:sz="6" w:space="0" w:color="auto"/>
              <w:right w:val="single" w:sz="6" w:space="0" w:color="auto"/>
            </w:tcBorders>
            <w:hideMark/>
          </w:tcPr>
          <w:p w14:paraId="0BE8C245" w14:textId="77777777" w:rsidR="0010450A" w:rsidRPr="003B4362" w:rsidRDefault="0010450A" w:rsidP="00C619B9">
            <w:pPr>
              <w:widowControl w:val="0"/>
            </w:pPr>
            <w:r w:rsidRPr="003B4362">
              <w:rPr>
                <w:szCs w:val="16"/>
              </w:rPr>
              <w:t>1</w:t>
            </w:r>
          </w:p>
        </w:tc>
        <w:tc>
          <w:tcPr>
            <w:tcW w:w="1728" w:type="dxa"/>
            <w:tcBorders>
              <w:top w:val="single" w:sz="6" w:space="0" w:color="auto"/>
              <w:left w:val="single" w:sz="6" w:space="0" w:color="auto"/>
              <w:bottom w:val="single" w:sz="6" w:space="0" w:color="auto"/>
              <w:right w:val="single" w:sz="6" w:space="0" w:color="auto"/>
            </w:tcBorders>
            <w:hideMark/>
          </w:tcPr>
          <w:p w14:paraId="7B718909" w14:textId="77777777" w:rsidR="0010450A" w:rsidRPr="003B4362" w:rsidRDefault="0010450A" w:rsidP="00C619B9">
            <w:pPr>
              <w:widowControl w:val="0"/>
            </w:pPr>
            <w:r w:rsidRPr="003B4362">
              <w:rPr>
                <w:szCs w:val="16"/>
              </w:rPr>
              <w:t>611.802(g)</w:t>
            </w:r>
          </w:p>
        </w:tc>
        <w:tc>
          <w:tcPr>
            <w:tcW w:w="1296" w:type="dxa"/>
            <w:tcBorders>
              <w:top w:val="single" w:sz="6" w:space="0" w:color="auto"/>
              <w:left w:val="single" w:sz="6" w:space="0" w:color="auto"/>
              <w:bottom w:val="single" w:sz="6" w:space="0" w:color="auto"/>
              <w:right w:val="single" w:sz="6" w:space="0" w:color="auto"/>
            </w:tcBorders>
            <w:hideMark/>
          </w:tcPr>
          <w:p w14:paraId="4DA31268" w14:textId="77777777" w:rsidR="0010450A" w:rsidRPr="003B4362" w:rsidRDefault="0010450A" w:rsidP="00C619B9">
            <w:pPr>
              <w:widowControl w:val="0"/>
            </w:pPr>
            <w:r w:rsidRPr="003B4362">
              <w:rPr>
                <w:szCs w:val="16"/>
              </w:rPr>
              <w:t>N/A</w:t>
            </w:r>
          </w:p>
        </w:tc>
        <w:tc>
          <w:tcPr>
            <w:tcW w:w="1728" w:type="dxa"/>
            <w:tcBorders>
              <w:top w:val="single" w:sz="6" w:space="0" w:color="auto"/>
              <w:left w:val="single" w:sz="6" w:space="0" w:color="auto"/>
              <w:bottom w:val="single" w:sz="6" w:space="0" w:color="auto"/>
              <w:right w:val="single" w:sz="6" w:space="0" w:color="auto"/>
            </w:tcBorders>
            <w:hideMark/>
          </w:tcPr>
          <w:p w14:paraId="04060E9B" w14:textId="77777777" w:rsidR="0010450A" w:rsidRPr="003B4362" w:rsidRDefault="0010450A" w:rsidP="00C619B9">
            <w:pPr>
              <w:widowControl w:val="0"/>
            </w:pPr>
            <w:r w:rsidRPr="003B4362">
              <w:rPr>
                <w:szCs w:val="16"/>
              </w:rPr>
              <w:t>N/A</w:t>
            </w:r>
          </w:p>
        </w:tc>
      </w:tr>
      <w:tr w:rsidR="001628C1" w:rsidRPr="003B4362" w14:paraId="6CBE922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D74BF19" w14:textId="59C8E117" w:rsidR="0010450A" w:rsidRPr="003B4362" w:rsidRDefault="0010450A" w:rsidP="00C619B9">
            <w:pPr>
              <w:widowControl w:val="0"/>
            </w:pPr>
            <w:r w:rsidRPr="003B4362">
              <w:t xml:space="preserve">G. Other situations as determined by the Agency </w:t>
            </w:r>
            <w:r w:rsidR="00383B2E" w:rsidRPr="003B4362">
              <w:t xml:space="preserve">in </w:t>
            </w:r>
            <w:r w:rsidRPr="003B4362">
              <w:t>a SEP under Section</w:t>
            </w:r>
            <w:r w:rsidR="00C467ED" w:rsidRPr="003B4362">
              <w:t xml:space="preserve"> 602.600 </w:t>
            </w:r>
          </w:p>
        </w:tc>
        <w:tc>
          <w:tcPr>
            <w:tcW w:w="1296" w:type="dxa"/>
            <w:tcBorders>
              <w:top w:val="single" w:sz="6" w:space="0" w:color="auto"/>
              <w:left w:val="single" w:sz="6" w:space="0" w:color="auto"/>
              <w:bottom w:val="single" w:sz="6" w:space="0" w:color="auto"/>
              <w:right w:val="single" w:sz="6" w:space="0" w:color="auto"/>
            </w:tcBorders>
            <w:hideMark/>
          </w:tcPr>
          <w:p w14:paraId="62D40C8E" w14:textId="77777777" w:rsidR="0010450A" w:rsidRPr="003B4362" w:rsidRDefault="0010450A" w:rsidP="00C619B9">
            <w:pPr>
              <w:widowControl w:val="0"/>
            </w:pPr>
            <w:r w:rsidRPr="003B4362">
              <w:rPr>
                <w:vertAlign w:val="superscript"/>
              </w:rPr>
              <w:t>18</w:t>
            </w:r>
            <w:r w:rsidRPr="003B4362">
              <w:t>1, 2, 3</w:t>
            </w:r>
          </w:p>
        </w:tc>
        <w:tc>
          <w:tcPr>
            <w:tcW w:w="1728" w:type="dxa"/>
            <w:tcBorders>
              <w:top w:val="single" w:sz="6" w:space="0" w:color="auto"/>
              <w:left w:val="single" w:sz="6" w:space="0" w:color="auto"/>
              <w:bottom w:val="single" w:sz="6" w:space="0" w:color="auto"/>
              <w:right w:val="single" w:sz="6" w:space="0" w:color="auto"/>
            </w:tcBorders>
            <w:hideMark/>
          </w:tcPr>
          <w:p w14:paraId="7BF281B1" w14:textId="77777777" w:rsidR="0010450A" w:rsidRPr="003B4362" w:rsidRDefault="0010450A" w:rsidP="00C619B9">
            <w:pPr>
              <w:widowControl w:val="0"/>
            </w:pPr>
            <w:r w:rsidRPr="003B4362">
              <w:t>N/A</w:t>
            </w:r>
          </w:p>
        </w:tc>
        <w:tc>
          <w:tcPr>
            <w:tcW w:w="1296" w:type="dxa"/>
            <w:tcBorders>
              <w:top w:val="single" w:sz="6" w:space="0" w:color="auto"/>
              <w:left w:val="single" w:sz="6" w:space="0" w:color="auto"/>
              <w:bottom w:val="single" w:sz="6" w:space="0" w:color="auto"/>
              <w:right w:val="single" w:sz="6" w:space="0" w:color="auto"/>
            </w:tcBorders>
            <w:hideMark/>
          </w:tcPr>
          <w:p w14:paraId="216668E6"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70D3144C" w14:textId="77777777" w:rsidR="0010450A" w:rsidRPr="003B4362" w:rsidRDefault="0010450A" w:rsidP="00C619B9">
            <w:pPr>
              <w:widowControl w:val="0"/>
            </w:pPr>
            <w:r w:rsidRPr="003B4362">
              <w:t>N/A</w:t>
            </w:r>
          </w:p>
        </w:tc>
      </w:tr>
    </w:tbl>
    <w:p w14:paraId="2E1D5341" w14:textId="77777777" w:rsidR="003F1F0F" w:rsidRPr="003B4362" w:rsidRDefault="003F1F0F" w:rsidP="003F1F0F">
      <w:bookmarkStart w:id="4554" w:name="_Hlk37158529"/>
    </w:p>
    <w:p w14:paraId="65F9EDC2" w14:textId="1CBD8829" w:rsidR="0010450A" w:rsidRPr="003B4362" w:rsidRDefault="0010450A" w:rsidP="003F1F0F">
      <w:r w:rsidRPr="003B4362">
        <w:t>Appendix G—Endnotes</w:t>
      </w:r>
      <w:bookmarkEnd w:id="4554"/>
    </w:p>
    <w:p w14:paraId="4023149A" w14:textId="032DDB51" w:rsidR="0010450A" w:rsidRPr="003B4362" w:rsidRDefault="0010450A" w:rsidP="0010450A">
      <w:pPr>
        <w:widowControl w:val="0"/>
        <w:spacing w:before="240" w:after="240"/>
        <w:ind w:left="450" w:hanging="450"/>
      </w:pPr>
      <w:r w:rsidRPr="003B4362">
        <w:t>1.</w:t>
      </w:r>
      <w:r w:rsidRPr="003B4362">
        <w:tab/>
        <w:t xml:space="preserve">Violations and other situations not listed in this table (e.g., failure to prepare Consumer Confidence Reports) do not require notice, unless the Agency </w:t>
      </w:r>
      <w:r w:rsidR="00383B2E" w:rsidRPr="003B4362">
        <w:t xml:space="preserve">issues </w:t>
      </w:r>
      <w:r w:rsidRPr="003B4362">
        <w:t>a SEP</w:t>
      </w:r>
      <w:r w:rsidR="00383B2E" w:rsidRPr="003B4362">
        <w:t xml:space="preserve"> requiring otherwise</w:t>
      </w:r>
      <w:r w:rsidRPr="003B4362">
        <w:t>.  The Agency may</w:t>
      </w:r>
      <w:r w:rsidR="00383B2E" w:rsidRPr="003B4362">
        <w:t xml:space="preserve"> issue</w:t>
      </w:r>
      <w:r w:rsidRPr="003B4362">
        <w:t xml:space="preserve"> a SEP further </w:t>
      </w:r>
      <w:r w:rsidR="00383B2E" w:rsidRPr="003B4362">
        <w:t xml:space="preserve">requiring </w:t>
      </w:r>
      <w:r w:rsidRPr="003B4362">
        <w:t>a more stringent public notice tier (e.g., Tier 1 instead of Tier 2 or Tier 2 instead of Tier 3) for specific violations and situations listed in this Appendix, as authorized under Sections 611.902(a) and 611.903(a).</w:t>
      </w:r>
    </w:p>
    <w:p w14:paraId="1CDA2BB8" w14:textId="77777777" w:rsidR="0010450A" w:rsidRPr="003B4362" w:rsidRDefault="0010450A" w:rsidP="0010450A">
      <w:pPr>
        <w:widowControl w:val="0"/>
        <w:spacing w:before="240" w:after="240"/>
        <w:ind w:left="450" w:hanging="450"/>
      </w:pPr>
      <w:r w:rsidRPr="003B4362">
        <w:t>2.</w:t>
      </w:r>
      <w:r w:rsidRPr="003B4362">
        <w:tab/>
        <w:t>Definition of the abbreviations used:  “MCL” means maximum contaminant level, “MRDL” means maximum residual disinfectant level, and “TT” means treatment technique.</w:t>
      </w:r>
    </w:p>
    <w:p w14:paraId="78CBE82A" w14:textId="77777777" w:rsidR="0010450A" w:rsidRPr="003B4362" w:rsidRDefault="0010450A" w:rsidP="0010450A">
      <w:pPr>
        <w:widowControl w:val="0"/>
        <w:spacing w:before="240" w:after="240"/>
        <w:ind w:left="450" w:hanging="450"/>
      </w:pPr>
      <w:r w:rsidRPr="003B4362">
        <w:t>3.</w:t>
      </w:r>
      <w:r w:rsidRPr="003B4362">
        <w:tab/>
        <w:t>The term “violations of National Primary Drinking Water Regulations (NPDWR)” is used here to include violations of MCL, MRDL, treatment technique, monitoring, and testing procedure requirements.</w:t>
      </w:r>
    </w:p>
    <w:p w14:paraId="4196878C" w14:textId="77777777" w:rsidR="0010450A" w:rsidRPr="003B4362" w:rsidRDefault="0010450A" w:rsidP="0010450A">
      <w:pPr>
        <w:widowControl w:val="0"/>
        <w:spacing w:before="240" w:after="240"/>
        <w:ind w:left="450" w:hanging="450"/>
      </w:pPr>
      <w:r w:rsidRPr="003B4362">
        <w:t>4.</w:t>
      </w:r>
      <w:r w:rsidRPr="003B4362">
        <w:tab/>
        <w:t>Failure to test for fecal coliform or E. coli is a Tier 1 violation if testing is not done after any repeat sample tests positive for coliform.  All other total coliform monitoring and testing procedure violations are Tier 3 violations.</w:t>
      </w:r>
    </w:p>
    <w:p w14:paraId="46DADC1A" w14:textId="114369BA" w:rsidR="0010450A" w:rsidRPr="003B4362" w:rsidRDefault="0010450A" w:rsidP="0010450A">
      <w:pPr>
        <w:widowControl w:val="0"/>
        <w:spacing w:before="240" w:after="240"/>
        <w:ind w:left="450" w:hanging="450"/>
      </w:pPr>
      <w:r w:rsidRPr="003B4362">
        <w:t>5.</w:t>
      </w:r>
      <w:r w:rsidRPr="003B4362">
        <w:tab/>
      </w:r>
      <w:r w:rsidR="00AB0DD3" w:rsidRPr="003B4362">
        <w:t xml:space="preserve">In the corresponding </w:t>
      </w:r>
      <w:r w:rsidR="00DA2ADB" w:rsidRPr="003B4362">
        <w:t>USEPA rule, this note relates to an entry for the obsolete MCL for turbidity that does not apply to any supplier in Illinois.  This statement maintains structural consistency with the corresponding USEPA rule.</w:t>
      </w:r>
    </w:p>
    <w:p w14:paraId="553AADE8" w14:textId="623BB9FF" w:rsidR="0010450A" w:rsidRPr="003B4362" w:rsidRDefault="0010450A" w:rsidP="0010450A">
      <w:pPr>
        <w:widowControl w:val="0"/>
        <w:spacing w:before="240" w:after="240"/>
        <w:ind w:left="450" w:hanging="450"/>
      </w:pPr>
      <w:r w:rsidRPr="003B4362">
        <w:t>6.</w:t>
      </w:r>
      <w:r w:rsidRPr="003B4362">
        <w:tab/>
        <w:t xml:space="preserve">A supplier with a treatment technique violation involving a single exceedance of a maximum turbidity limit under the Surface Water Treatment Rule (SWTR), the Interim Enhanced Surface Water Treatment Rule (IESWTR), or the Long Term 1 Enhanced Surface Water Treatment Rule are required to consult with the Agency within 24 hours after learning of the violation.  Based on this consultation, the Agency may subsequently decide to issue a SEP </w:t>
      </w:r>
      <w:r w:rsidR="00383B2E" w:rsidRPr="003B4362">
        <w:t xml:space="preserve">elevating </w:t>
      </w:r>
      <w:r w:rsidRPr="003B4362">
        <w:t xml:space="preserve">the violation to a Tier 1 violation.  If a supplier is unable to make contact with the Agency in the 24-hour period, the violation is automatically elevated to a </w:t>
      </w:r>
      <w:r w:rsidRPr="003B4362">
        <w:lastRenderedPageBreak/>
        <w:t>Tier 1 violation.</w:t>
      </w:r>
    </w:p>
    <w:p w14:paraId="472E7CAA" w14:textId="285B49AC" w:rsidR="0010450A" w:rsidRPr="003B4362" w:rsidRDefault="0010450A" w:rsidP="0010450A">
      <w:pPr>
        <w:widowControl w:val="0"/>
        <w:spacing w:before="240" w:after="240"/>
        <w:ind w:left="450" w:hanging="450"/>
      </w:pPr>
      <w:r w:rsidRPr="003B4362">
        <w:t>7.</w:t>
      </w:r>
      <w:r w:rsidRPr="003B4362">
        <w:tab/>
        <w:t xml:space="preserve">The Surface Water Treatment Rule (SWTR) remains in effect for a supplier </w:t>
      </w:r>
      <w:r w:rsidR="009D0D80" w:rsidRPr="003B4362">
        <w:t xml:space="preserve">serving </w:t>
      </w:r>
      <w:r w:rsidRPr="003B4362">
        <w:t>at least 10,000 persons; the Interim Enhanced Surface Water Treatment Rule adds additional requirements and does not in many cases supersede the SWTR.</w:t>
      </w:r>
    </w:p>
    <w:p w14:paraId="5D71685D" w14:textId="77777777" w:rsidR="0010450A" w:rsidRPr="003B4362" w:rsidRDefault="0010450A" w:rsidP="0010450A">
      <w:pPr>
        <w:widowControl w:val="0"/>
        <w:spacing w:before="240" w:after="240"/>
        <w:ind w:left="450" w:hanging="450"/>
      </w:pPr>
      <w:r w:rsidRPr="003B4362">
        <w:t>8.</w:t>
      </w:r>
      <w:r w:rsidRPr="003B4362">
        <w:tab/>
        <w:t>Failure to take a confirmation sample within 24 hours for nitrate or nitrite after an initial sample exceeds the MCL is a Tier 1 violation.  Other monitoring violations for nitrate are Tier 3.</w:t>
      </w:r>
    </w:p>
    <w:p w14:paraId="62BD931F" w14:textId="77777777" w:rsidR="0010450A" w:rsidRPr="003B4362" w:rsidRDefault="0010450A" w:rsidP="0010450A">
      <w:pPr>
        <w:widowControl w:val="0"/>
        <w:spacing w:before="240" w:after="240"/>
        <w:ind w:left="450" w:hanging="450"/>
      </w:pPr>
      <w:r w:rsidRPr="003B4362">
        <w:t>9.</w:t>
      </w:r>
      <w:r w:rsidRPr="003B4362">
        <w:tab/>
        <w:t>Failure to take a confirmation sample within 24 hours for nitrate or nitrite after an initial sample exceeds the MCL is a Tier 1 violation.  Other monitoring violations for nitrate are Tier 3.</w:t>
      </w:r>
    </w:p>
    <w:p w14:paraId="1DC1F636" w14:textId="4A2B81B6" w:rsidR="0010450A" w:rsidRPr="003B4362" w:rsidRDefault="0010450A" w:rsidP="0010450A">
      <w:pPr>
        <w:widowControl w:val="0"/>
        <w:spacing w:before="240" w:after="240"/>
        <w:ind w:left="450" w:hanging="450"/>
      </w:pPr>
      <w:r w:rsidRPr="003B4362">
        <w:t>10.</w:t>
      </w:r>
      <w:r w:rsidRPr="003B4362">
        <w:tab/>
        <w:t xml:space="preserve">A Subpart B community or non-transient non-community system supplier must comply with new DBP MCLs, disinfectant MRDLs, and related monitoring requirements.  A Subpart B transient non-community system supplier </w:t>
      </w:r>
      <w:r w:rsidR="009D0D80" w:rsidRPr="003B4362">
        <w:t xml:space="preserve">serving </w:t>
      </w:r>
      <w:r w:rsidRPr="003B4362">
        <w:t xml:space="preserve">10,000 or more persons </w:t>
      </w:r>
      <w:r w:rsidR="00DC6CA9" w:rsidRPr="003B4362">
        <w:t xml:space="preserve">using </w:t>
      </w:r>
      <w:r w:rsidRPr="003B4362">
        <w:t xml:space="preserve">chlorine dioxide as a disinfectant or oxidant or a Subpart B transient non-community system supplier </w:t>
      </w:r>
      <w:r w:rsidR="009D0D80" w:rsidRPr="003B4362">
        <w:t xml:space="preserve">serving </w:t>
      </w:r>
      <w:r w:rsidRPr="003B4362">
        <w:t xml:space="preserve">fewer than 10,000 persons, </w:t>
      </w:r>
      <w:r w:rsidR="00A1165E" w:rsidRPr="003B4362">
        <w:t xml:space="preserve">that </w:t>
      </w:r>
      <w:r w:rsidRPr="003B4362">
        <w:t xml:space="preserve">uses only groundwater not under the direct influence of surface water, and </w:t>
      </w:r>
      <w:r w:rsidR="00A1165E" w:rsidRPr="003B4362">
        <w:t xml:space="preserve">that </w:t>
      </w:r>
      <w:r w:rsidRPr="003B4362">
        <w:t>uses chlorine dioxide as a disinfectant or oxidant must comply with the chlorine dioxide MRDL.</w:t>
      </w:r>
    </w:p>
    <w:p w14:paraId="350F4950" w14:textId="77777777" w:rsidR="0010450A" w:rsidRPr="003B4362" w:rsidRDefault="0010450A" w:rsidP="0010450A">
      <w:pPr>
        <w:widowControl w:val="0"/>
        <w:spacing w:before="240" w:after="240"/>
        <w:ind w:left="450" w:hanging="450"/>
      </w:pPr>
      <w:r w:rsidRPr="003B4362">
        <w:t>11.</w:t>
      </w:r>
      <w:r w:rsidRPr="003B4362">
        <w:tab/>
        <w:t>Sections 611.312(b)(1) and 611.382(a) and (b) apply until Subpart Y takes effect under the schedule set forth in Section 611.970(c).</w:t>
      </w:r>
    </w:p>
    <w:p w14:paraId="267C57C8" w14:textId="77777777" w:rsidR="0010450A" w:rsidRPr="003B4362" w:rsidRDefault="0010450A" w:rsidP="0010450A">
      <w:pPr>
        <w:widowControl w:val="0"/>
        <w:spacing w:before="240" w:after="240"/>
        <w:ind w:left="450" w:hanging="450"/>
      </w:pPr>
      <w:r w:rsidRPr="003B4362">
        <w:t>12.</w:t>
      </w:r>
      <w:r w:rsidRPr="003B4362">
        <w:tab/>
        <w:t>Failure to monitor for chlorine dioxide at the entrance to the distribution system the day after exceeding the MRDL at the entrance to the distribution system is a Tier 2 violation.</w:t>
      </w:r>
    </w:p>
    <w:p w14:paraId="0B4065B5" w14:textId="77777777" w:rsidR="0010450A" w:rsidRPr="003B4362" w:rsidRDefault="0010450A" w:rsidP="0010450A">
      <w:pPr>
        <w:widowControl w:val="0"/>
        <w:spacing w:before="240" w:after="240"/>
        <w:ind w:left="450" w:hanging="450"/>
      </w:pPr>
      <w:r w:rsidRPr="003B4362">
        <w:t>13.</w:t>
      </w:r>
      <w:r w:rsidRPr="003B4362">
        <w:tab/>
        <w:t>If any daily sample taken at the entrance to the distribution system exceeds the MRDL for chlorine dioxide and one or more samples taken in the distribution system the next day exceed the MRDL, Tier 1 notification is required.  A failure to take the required samples in the distribution system after the MRDL is exceeded at the entry point also triggers Tier 1 notification.</w:t>
      </w:r>
    </w:p>
    <w:p w14:paraId="408A8042" w14:textId="77777777" w:rsidR="0010450A" w:rsidRPr="003B4362" w:rsidRDefault="0010450A" w:rsidP="0010450A">
      <w:pPr>
        <w:widowControl w:val="0"/>
        <w:spacing w:before="240" w:after="240"/>
        <w:ind w:left="450" w:hanging="450"/>
      </w:pPr>
      <w:r w:rsidRPr="003B4362">
        <w:t>14.</w:t>
      </w:r>
      <w:r w:rsidRPr="003B4362">
        <w:tab/>
        <w:t xml:space="preserve">Some water suppliers must monitor for certain unregulated contaminants </w:t>
      </w:r>
      <w:r w:rsidRPr="003B4362">
        <w:rPr>
          <w:spacing w:val="-2"/>
        </w:rPr>
        <w:t>as required by USEPA under 40 CFR 141.40</w:t>
      </w:r>
      <w:r w:rsidRPr="003B4362">
        <w:t>.</w:t>
      </w:r>
    </w:p>
    <w:p w14:paraId="1C6743F6" w14:textId="77777777" w:rsidR="0010450A" w:rsidRPr="003B4362" w:rsidRDefault="0010450A" w:rsidP="0010450A">
      <w:pPr>
        <w:widowControl w:val="0"/>
        <w:spacing w:before="240" w:after="240"/>
        <w:ind w:left="450" w:hanging="450"/>
      </w:pPr>
      <w:r w:rsidRPr="003B4362">
        <w:t>15.</w:t>
      </w:r>
      <w:r w:rsidRPr="003B4362">
        <w:tab/>
        <w:t>This citation refers to sections 1415 and 1416 of the federal Safe Drinking Water Act. sections 1415 and 1416 require that “a schedule prescribed . . . for a public water system granted relief equivalent to a SDWA section 1415 variance or a section 1416 exemption must require compliance by the system . . ..”</w:t>
      </w:r>
    </w:p>
    <w:p w14:paraId="40A701FE" w14:textId="77777777" w:rsidR="0010450A" w:rsidRPr="003B4362" w:rsidRDefault="0010450A" w:rsidP="0010450A">
      <w:pPr>
        <w:widowControl w:val="0"/>
        <w:spacing w:before="240" w:after="240"/>
        <w:ind w:left="450" w:hanging="450"/>
      </w:pPr>
      <w:r w:rsidRPr="003B4362">
        <w:t>16.</w:t>
      </w:r>
      <w:r w:rsidRPr="003B4362">
        <w:tab/>
        <w:t xml:space="preserve">In addition to sections 1415 and 1416 of the federal Safe Drinking Water Act, 40 CFR 142.307 specifies the items and schedule milestones that must be included in relief equivalent to a SDWA section 1415 small system variance.  In granting any form of relief from an NPDWR, the Board will consider all applicable federal requirements for and </w:t>
      </w:r>
      <w:r w:rsidRPr="003B4362">
        <w:lastRenderedPageBreak/>
        <w:t>limitations on the State’s ability to grant relief consistent with federal law.</w:t>
      </w:r>
    </w:p>
    <w:p w14:paraId="62044E01" w14:textId="021BF9D0" w:rsidR="0010450A" w:rsidRPr="003B4362" w:rsidRDefault="0010450A" w:rsidP="0010450A">
      <w:pPr>
        <w:widowControl w:val="0"/>
        <w:spacing w:before="240" w:after="240"/>
        <w:ind w:left="450" w:hanging="450"/>
      </w:pPr>
      <w:r w:rsidRPr="003B4362">
        <w:t>17.</w:t>
      </w:r>
      <w:r w:rsidRPr="003B4362">
        <w:tab/>
        <w:t xml:space="preserve">Other waterborne emergencies require a Tier 1 public notice under Section 611.902(a) for situations that do not meet the definition of a waterborne disease outbreak given in Section 611.101, but </w:t>
      </w:r>
      <w:r w:rsidR="00A1165E" w:rsidRPr="003B4362">
        <w:t xml:space="preserve">that </w:t>
      </w:r>
      <w:r w:rsidRPr="003B4362">
        <w:t>still have the potential to have serious adverse effects on health as a result of short-term exposure.  These could include outbreaks not related to treatment deficiencies, as well as situations that have the potential to cause outbreaks, such as failures or significant interruption in water treatment processes, natural disasters that disrupt the water supply or distribution system, chemical spills, or unexpected loading of possible pathogens into the source water.</w:t>
      </w:r>
    </w:p>
    <w:p w14:paraId="5A31694F" w14:textId="77777777" w:rsidR="0010450A" w:rsidRPr="003B4362" w:rsidRDefault="0010450A" w:rsidP="0010450A">
      <w:pPr>
        <w:widowControl w:val="0"/>
        <w:spacing w:before="240" w:after="240"/>
        <w:ind w:left="450" w:hanging="450"/>
      </w:pPr>
      <w:r w:rsidRPr="003B4362">
        <w:t>18.</w:t>
      </w:r>
      <w:r w:rsidRPr="003B4362">
        <w:tab/>
        <w:t>The Agency may place any other situation in any tier it deems appropriate in writing, based on the prospective threat which it determines that the situation poses to public health, and subject to Board review under Section 40 of the Act.</w:t>
      </w:r>
    </w:p>
    <w:p w14:paraId="34A1D996" w14:textId="77777777" w:rsidR="0010450A" w:rsidRPr="003B4362" w:rsidRDefault="0010450A" w:rsidP="0010450A">
      <w:pPr>
        <w:widowControl w:val="0"/>
        <w:spacing w:before="240" w:after="240"/>
        <w:ind w:left="450" w:hanging="450"/>
        <w:rPr>
          <w:szCs w:val="16"/>
        </w:rPr>
      </w:pPr>
      <w:r w:rsidRPr="003B4362">
        <w:rPr>
          <w:szCs w:val="10"/>
        </w:rPr>
        <w:t>19.</w:t>
      </w:r>
      <w:r w:rsidRPr="003B4362">
        <w:rPr>
          <w:szCs w:val="10"/>
        </w:rPr>
        <w:tab/>
      </w:r>
      <w:r w:rsidRPr="003B4362">
        <w:rPr>
          <w:szCs w:val="16"/>
        </w:rPr>
        <w:t>A failure to collect three or more samples for Cryptosporidium analysis is a Tier 2 violation requiring special notice, as specified in Section 611.911.  All other monitoring and testing procedure violations are Tier 3.</w:t>
      </w:r>
    </w:p>
    <w:p w14:paraId="402519D2" w14:textId="064B5A1C" w:rsidR="0010450A" w:rsidRPr="003B4362" w:rsidRDefault="0010450A" w:rsidP="0010450A">
      <w:pPr>
        <w:widowControl w:val="0"/>
        <w:spacing w:before="240" w:after="240"/>
        <w:rPr>
          <w:spacing w:val="-2"/>
        </w:rPr>
      </w:pPr>
      <w:r w:rsidRPr="003B4362">
        <w:rPr>
          <w:spacing w:val="-2"/>
        </w:rPr>
        <w:t xml:space="preserve">BOARD NOTE:  </w:t>
      </w:r>
      <w:r w:rsidR="006E7E9C" w:rsidRPr="003B4362">
        <w:rPr>
          <w:spacing w:val="-3"/>
        </w:rPr>
        <w:t xml:space="preserve">This Appendix G derives </w:t>
      </w:r>
      <w:r w:rsidRPr="003B4362">
        <w:rPr>
          <w:spacing w:val="-2"/>
        </w:rPr>
        <w:t>from appendix A to subpart Q of 40 CFR 141.</w:t>
      </w:r>
    </w:p>
    <w:p w14:paraId="6A5C6E52" w14:textId="4BB37589" w:rsidR="0010450A" w:rsidRPr="003B4362" w:rsidRDefault="00EB353D" w:rsidP="0010450A">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754FBCF0" w14:textId="77777777" w:rsidR="003F1F0F" w:rsidRPr="003B4362" w:rsidRDefault="003F1F0F" w:rsidP="003F1F0F">
      <w:pPr>
        <w:rPr>
          <w:b/>
          <w:bCs/>
        </w:rPr>
      </w:pPr>
    </w:p>
    <w:p w14:paraId="7A659C79" w14:textId="0F10426B" w:rsidR="00C805A1" w:rsidRPr="003B4362" w:rsidRDefault="00C805A1" w:rsidP="003F1F0F">
      <w:pPr>
        <w:rPr>
          <w:b/>
          <w:bCs/>
        </w:rPr>
      </w:pPr>
      <w:r w:rsidRPr="003B4362">
        <w:rPr>
          <w:b/>
          <w:bCs/>
        </w:rPr>
        <w:t xml:space="preserve">Section 611.APPENDIX H </w:t>
      </w:r>
      <w:r w:rsidR="003F1F0F" w:rsidRPr="003B4362">
        <w:rPr>
          <w:b/>
          <w:bCs/>
        </w:rPr>
        <w:t xml:space="preserve"> </w:t>
      </w:r>
      <w:r w:rsidRPr="003B4362">
        <w:rPr>
          <w:b/>
          <w:bCs/>
        </w:rPr>
        <w:t xml:space="preserve"> Standard Health Effects Language for Public Notification</w:t>
      </w:r>
    </w:p>
    <w:p w14:paraId="7DD0C6D4" w14:textId="77777777" w:rsidR="003F1F0F" w:rsidRPr="003B4362" w:rsidRDefault="003F1F0F" w:rsidP="003F1F0F">
      <w:pPr>
        <w:rPr>
          <w:b/>
          <w:bCs/>
        </w:rPr>
      </w:pP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1440"/>
        <w:gridCol w:w="1440"/>
        <w:gridCol w:w="3600"/>
      </w:tblGrid>
      <w:tr w:rsidR="001628C1" w:rsidRPr="003B4362" w14:paraId="55844C3B"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730D4FB" w14:textId="77777777" w:rsidR="00C805A1" w:rsidRPr="003B4362" w:rsidRDefault="00C805A1" w:rsidP="00BE7C7D">
            <w:pPr>
              <w:keepNext/>
              <w:keepLines/>
            </w:pPr>
            <w:r w:rsidRPr="003B4362">
              <w:t>Contaminant</w:t>
            </w:r>
          </w:p>
        </w:tc>
        <w:tc>
          <w:tcPr>
            <w:tcW w:w="1440" w:type="dxa"/>
            <w:tcBorders>
              <w:top w:val="single" w:sz="6" w:space="0" w:color="auto"/>
              <w:left w:val="single" w:sz="6" w:space="0" w:color="auto"/>
              <w:bottom w:val="single" w:sz="6" w:space="0" w:color="auto"/>
              <w:right w:val="single" w:sz="6" w:space="0" w:color="auto"/>
            </w:tcBorders>
            <w:hideMark/>
          </w:tcPr>
          <w:p w14:paraId="176760F3" w14:textId="13CCAAD6" w:rsidR="00C805A1" w:rsidRPr="003B4362" w:rsidRDefault="00C805A1" w:rsidP="00BE7C7D">
            <w:pPr>
              <w:keepNext/>
              <w:keepLines/>
              <w:jc w:val="center"/>
            </w:pPr>
            <w:r w:rsidRPr="003B4362">
              <w:t>MCLG</w:t>
            </w:r>
            <w:r w:rsidRPr="003B4362">
              <w:rPr>
                <w:vertAlign w:val="superscript"/>
              </w:rPr>
              <w:t>1</w:t>
            </w:r>
            <w:r w:rsidRPr="003B4362">
              <w:t xml:space="preserve"> mg/</w:t>
            </w:r>
            <w:r w:rsidR="006E262B" w:rsidRPr="003B4362">
              <w:t>L</w:t>
            </w:r>
          </w:p>
        </w:tc>
        <w:tc>
          <w:tcPr>
            <w:tcW w:w="1440" w:type="dxa"/>
            <w:tcBorders>
              <w:top w:val="single" w:sz="6" w:space="0" w:color="auto"/>
              <w:left w:val="single" w:sz="6" w:space="0" w:color="auto"/>
              <w:bottom w:val="single" w:sz="6" w:space="0" w:color="auto"/>
              <w:right w:val="single" w:sz="6" w:space="0" w:color="auto"/>
            </w:tcBorders>
            <w:hideMark/>
          </w:tcPr>
          <w:p w14:paraId="73FF13DB" w14:textId="2DC282DD" w:rsidR="00C805A1" w:rsidRPr="003B4362" w:rsidRDefault="00C805A1" w:rsidP="00BE7C7D">
            <w:pPr>
              <w:keepNext/>
              <w:keepLines/>
              <w:jc w:val="center"/>
            </w:pPr>
            <w:r w:rsidRPr="003B4362">
              <w:t>MCL</w:t>
            </w:r>
            <w:r w:rsidRPr="003B4362">
              <w:rPr>
                <w:vertAlign w:val="superscript"/>
              </w:rPr>
              <w:t>2</w:t>
            </w:r>
            <w:r w:rsidRPr="003B4362">
              <w:t xml:space="preserve"> mg/</w:t>
            </w:r>
            <w:r w:rsidR="006E262B" w:rsidRPr="003B4362">
              <w:t>L</w:t>
            </w:r>
          </w:p>
        </w:tc>
        <w:tc>
          <w:tcPr>
            <w:tcW w:w="3600" w:type="dxa"/>
            <w:tcBorders>
              <w:top w:val="single" w:sz="6" w:space="0" w:color="auto"/>
              <w:left w:val="single" w:sz="6" w:space="0" w:color="auto"/>
              <w:bottom w:val="single" w:sz="6" w:space="0" w:color="auto"/>
              <w:right w:val="single" w:sz="6" w:space="0" w:color="auto"/>
            </w:tcBorders>
            <w:hideMark/>
          </w:tcPr>
          <w:p w14:paraId="1BA9A0A3" w14:textId="77777777" w:rsidR="00C805A1" w:rsidRPr="003B4362" w:rsidRDefault="00C805A1" w:rsidP="00BE7C7D">
            <w:pPr>
              <w:keepNext/>
              <w:keepLines/>
              <w:jc w:val="center"/>
            </w:pPr>
            <w:r w:rsidRPr="003B4362">
              <w:t>Standard health effects language for public notification</w:t>
            </w:r>
          </w:p>
        </w:tc>
      </w:tr>
      <w:tr w:rsidR="001628C1" w:rsidRPr="003B4362" w14:paraId="2DD8B803"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4F6D440E" w14:textId="77777777" w:rsidR="00C805A1" w:rsidRPr="003B4362" w:rsidRDefault="00C805A1" w:rsidP="00BE7C7D">
            <w:pPr>
              <w:keepNext/>
              <w:keepLines/>
              <w:jc w:val="center"/>
            </w:pPr>
            <w:r w:rsidRPr="003B4362">
              <w:t>National Primary Drinking Water Regulations (NPDWR):</w:t>
            </w:r>
          </w:p>
        </w:tc>
      </w:tr>
      <w:tr w:rsidR="001628C1" w:rsidRPr="003B4362" w14:paraId="2AB5E507"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6E180648" w14:textId="77777777" w:rsidR="00C805A1" w:rsidRPr="003B4362" w:rsidRDefault="00C805A1" w:rsidP="00BE7C7D">
            <w:pPr>
              <w:keepNext/>
              <w:keepLines/>
              <w:jc w:val="center"/>
            </w:pPr>
            <w:r w:rsidRPr="003B4362">
              <w:t>A. Microbiological Contaminants</w:t>
            </w:r>
          </w:p>
        </w:tc>
      </w:tr>
      <w:tr w:rsidR="001628C1" w:rsidRPr="003B4362" w14:paraId="444FDBD5"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F201489" w14:textId="77777777" w:rsidR="00C805A1" w:rsidRPr="003B4362" w:rsidRDefault="00C805A1" w:rsidP="00BE7C7D">
            <w:pPr>
              <w:rPr>
                <w:strike/>
              </w:rPr>
            </w:pPr>
            <w:r w:rsidRPr="003B4362">
              <w:t>1a. Corresponding row 1a in appendix B to subpart Q to 40 CFR 141 no longer applies by its own terms.  This statement maintains structural consistency with the federal regulations.</w:t>
            </w:r>
          </w:p>
        </w:tc>
        <w:tc>
          <w:tcPr>
            <w:tcW w:w="1440" w:type="dxa"/>
            <w:tcBorders>
              <w:top w:val="single" w:sz="6" w:space="0" w:color="auto"/>
              <w:left w:val="single" w:sz="6" w:space="0" w:color="auto"/>
              <w:bottom w:val="single" w:sz="6" w:space="0" w:color="auto"/>
              <w:right w:val="single" w:sz="6" w:space="0" w:color="auto"/>
            </w:tcBorders>
            <w:hideMark/>
          </w:tcPr>
          <w:p w14:paraId="2CC0A130" w14:textId="77777777" w:rsidR="00C805A1" w:rsidRPr="003B4362" w:rsidRDefault="00C805A1" w:rsidP="00BE7C7D">
            <w:pPr>
              <w:jc w:val="center"/>
              <w:rPr>
                <w:strike/>
              </w:rPr>
            </w:pPr>
          </w:p>
        </w:tc>
        <w:tc>
          <w:tcPr>
            <w:tcW w:w="1440" w:type="dxa"/>
            <w:tcBorders>
              <w:top w:val="single" w:sz="6" w:space="0" w:color="auto"/>
              <w:left w:val="single" w:sz="6" w:space="0" w:color="auto"/>
              <w:bottom w:val="single" w:sz="6" w:space="0" w:color="auto"/>
              <w:right w:val="single" w:sz="6" w:space="0" w:color="auto"/>
            </w:tcBorders>
            <w:hideMark/>
          </w:tcPr>
          <w:p w14:paraId="74F48AF9" w14:textId="77777777" w:rsidR="00C805A1" w:rsidRPr="003B4362" w:rsidRDefault="00C805A1" w:rsidP="00BE7C7D">
            <w:pPr>
              <w:jc w:val="center"/>
              <w:rPr>
                <w:strike/>
              </w:rPr>
            </w:pPr>
          </w:p>
        </w:tc>
        <w:tc>
          <w:tcPr>
            <w:tcW w:w="3600" w:type="dxa"/>
            <w:tcBorders>
              <w:top w:val="single" w:sz="6" w:space="0" w:color="auto"/>
              <w:left w:val="single" w:sz="6" w:space="0" w:color="auto"/>
              <w:bottom w:val="single" w:sz="6" w:space="0" w:color="auto"/>
              <w:right w:val="single" w:sz="6" w:space="0" w:color="auto"/>
            </w:tcBorders>
            <w:hideMark/>
          </w:tcPr>
          <w:p w14:paraId="648458CF" w14:textId="77777777" w:rsidR="00C805A1" w:rsidRPr="003B4362" w:rsidRDefault="00C805A1" w:rsidP="00BE7C7D">
            <w:pPr>
              <w:rPr>
                <w:strike/>
              </w:rPr>
            </w:pPr>
          </w:p>
        </w:tc>
      </w:tr>
      <w:tr w:rsidR="001628C1" w:rsidRPr="003B4362" w14:paraId="098E1B47"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6B16407" w14:textId="77777777" w:rsidR="00C805A1" w:rsidRPr="003B4362" w:rsidRDefault="00C805A1" w:rsidP="00BE7C7D">
            <w:r w:rsidRPr="003B4362">
              <w:lastRenderedPageBreak/>
              <w:t>1b. Corresponding row 1b in appendix B to subpart Q to 40 CFR 141 no longer applies by its own terms.  This statement maintains structural consistency with the federal regulations.</w:t>
            </w:r>
          </w:p>
        </w:tc>
        <w:tc>
          <w:tcPr>
            <w:tcW w:w="1440" w:type="dxa"/>
            <w:tcBorders>
              <w:top w:val="single" w:sz="6" w:space="0" w:color="auto"/>
              <w:left w:val="single" w:sz="6" w:space="0" w:color="auto"/>
              <w:bottom w:val="single" w:sz="6" w:space="0" w:color="auto"/>
              <w:right w:val="single" w:sz="6" w:space="0" w:color="auto"/>
            </w:tcBorders>
            <w:hideMark/>
          </w:tcPr>
          <w:p w14:paraId="1E573EBB" w14:textId="77777777" w:rsidR="00C805A1" w:rsidRPr="003B4362" w:rsidRDefault="00C805A1" w:rsidP="00BE7C7D">
            <w:pPr>
              <w:jc w:val="center"/>
              <w:rPr>
                <w:strike/>
              </w:rPr>
            </w:pPr>
          </w:p>
        </w:tc>
        <w:tc>
          <w:tcPr>
            <w:tcW w:w="1440" w:type="dxa"/>
            <w:tcBorders>
              <w:top w:val="single" w:sz="6" w:space="0" w:color="auto"/>
              <w:left w:val="single" w:sz="6" w:space="0" w:color="auto"/>
              <w:bottom w:val="single" w:sz="6" w:space="0" w:color="auto"/>
              <w:right w:val="single" w:sz="6" w:space="0" w:color="auto"/>
            </w:tcBorders>
            <w:hideMark/>
          </w:tcPr>
          <w:p w14:paraId="140E4BC7" w14:textId="77777777" w:rsidR="00C805A1" w:rsidRPr="003B4362" w:rsidRDefault="00C805A1" w:rsidP="00BE7C7D">
            <w:pPr>
              <w:jc w:val="center"/>
              <w:rPr>
                <w:strike/>
              </w:rPr>
            </w:pPr>
          </w:p>
        </w:tc>
        <w:tc>
          <w:tcPr>
            <w:tcW w:w="3600" w:type="dxa"/>
            <w:tcBorders>
              <w:top w:val="single" w:sz="6" w:space="0" w:color="auto"/>
              <w:left w:val="single" w:sz="6" w:space="0" w:color="auto"/>
              <w:bottom w:val="single" w:sz="6" w:space="0" w:color="auto"/>
              <w:right w:val="single" w:sz="6" w:space="0" w:color="auto"/>
            </w:tcBorders>
            <w:hideMark/>
          </w:tcPr>
          <w:p w14:paraId="037DBB7B" w14:textId="77777777" w:rsidR="00C805A1" w:rsidRPr="003B4362" w:rsidRDefault="00C805A1" w:rsidP="00BE7C7D">
            <w:pPr>
              <w:rPr>
                <w:strike/>
              </w:rPr>
            </w:pPr>
          </w:p>
        </w:tc>
      </w:tr>
      <w:tr w:rsidR="001628C1" w:rsidRPr="003B4362" w14:paraId="1526388D"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BB9321C" w14:textId="77777777" w:rsidR="00C805A1" w:rsidRPr="003B4362" w:rsidRDefault="00C805A1" w:rsidP="00BE7C7D">
            <w:pPr>
              <w:rPr>
                <w:szCs w:val="16"/>
              </w:rPr>
            </w:pPr>
            <w:r w:rsidRPr="003B4362">
              <w:rPr>
                <w:szCs w:val="16"/>
              </w:rPr>
              <w:t>1c. Fecal indicators (GWR):</w:t>
            </w:r>
          </w:p>
          <w:p w14:paraId="7AC4224D" w14:textId="77777777" w:rsidR="00C805A1" w:rsidRPr="003B4362" w:rsidRDefault="00C805A1" w:rsidP="00BE7C7D">
            <w:pPr>
              <w:ind w:left="180"/>
              <w:rPr>
                <w:szCs w:val="16"/>
              </w:rPr>
            </w:pPr>
            <w:r w:rsidRPr="003B4362">
              <w:rPr>
                <w:szCs w:val="16"/>
              </w:rPr>
              <w:t>i. E. coli</w:t>
            </w:r>
          </w:p>
          <w:p w14:paraId="5164E4C6" w14:textId="77777777" w:rsidR="00C805A1" w:rsidRPr="003B4362" w:rsidRDefault="00C805A1" w:rsidP="00BE7C7D">
            <w:pPr>
              <w:ind w:left="180"/>
              <w:rPr>
                <w:szCs w:val="16"/>
              </w:rPr>
            </w:pPr>
            <w:r w:rsidRPr="003B4362">
              <w:rPr>
                <w:szCs w:val="16"/>
              </w:rPr>
              <w:t>ii. enterococci</w:t>
            </w:r>
          </w:p>
          <w:p w14:paraId="26A96310" w14:textId="77777777" w:rsidR="00C805A1" w:rsidRPr="003B4362" w:rsidRDefault="00C805A1" w:rsidP="00BE7C7D">
            <w:pPr>
              <w:tabs>
                <w:tab w:val="left" w:pos="360"/>
              </w:tabs>
              <w:ind w:left="180"/>
            </w:pPr>
            <w:r w:rsidRPr="003B4362">
              <w:rPr>
                <w:szCs w:val="16"/>
              </w:rPr>
              <w:t>iii. coliphage</w:t>
            </w:r>
          </w:p>
        </w:tc>
        <w:tc>
          <w:tcPr>
            <w:tcW w:w="1440" w:type="dxa"/>
            <w:tcBorders>
              <w:top w:val="single" w:sz="6" w:space="0" w:color="auto"/>
              <w:left w:val="single" w:sz="6" w:space="0" w:color="auto"/>
              <w:bottom w:val="single" w:sz="6" w:space="0" w:color="auto"/>
              <w:right w:val="single" w:sz="6" w:space="0" w:color="auto"/>
            </w:tcBorders>
          </w:tcPr>
          <w:p w14:paraId="4B4A1C34" w14:textId="77777777" w:rsidR="00C805A1" w:rsidRPr="003B4362" w:rsidRDefault="00C805A1" w:rsidP="00BE7C7D">
            <w:pPr>
              <w:jc w:val="center"/>
              <w:rPr>
                <w:szCs w:val="16"/>
              </w:rPr>
            </w:pPr>
          </w:p>
          <w:p w14:paraId="7528C3FD" w14:textId="77777777" w:rsidR="00C805A1" w:rsidRPr="003B4362" w:rsidRDefault="00C805A1" w:rsidP="00BE7C7D">
            <w:pPr>
              <w:jc w:val="center"/>
              <w:rPr>
                <w:szCs w:val="16"/>
              </w:rPr>
            </w:pPr>
            <w:r w:rsidRPr="003B4362">
              <w:rPr>
                <w:szCs w:val="16"/>
              </w:rPr>
              <w:t>Zero</w:t>
            </w:r>
          </w:p>
          <w:p w14:paraId="37F3BD97" w14:textId="77777777" w:rsidR="00C805A1" w:rsidRPr="003B4362" w:rsidRDefault="00C805A1" w:rsidP="00BE7C7D">
            <w:pPr>
              <w:jc w:val="center"/>
              <w:rPr>
                <w:szCs w:val="16"/>
              </w:rPr>
            </w:pPr>
            <w:r w:rsidRPr="003B4362">
              <w:rPr>
                <w:szCs w:val="16"/>
              </w:rPr>
              <w:t>None</w:t>
            </w:r>
          </w:p>
          <w:p w14:paraId="1CBD2D4A" w14:textId="77777777" w:rsidR="00C805A1" w:rsidRPr="003B4362" w:rsidRDefault="00C805A1" w:rsidP="00BE7C7D">
            <w:pPr>
              <w:jc w:val="center"/>
            </w:pPr>
            <w:r w:rsidRPr="003B4362">
              <w:rPr>
                <w:szCs w:val="16"/>
              </w:rPr>
              <w:t>None</w:t>
            </w:r>
          </w:p>
        </w:tc>
        <w:tc>
          <w:tcPr>
            <w:tcW w:w="1440" w:type="dxa"/>
            <w:tcBorders>
              <w:top w:val="single" w:sz="6" w:space="0" w:color="auto"/>
              <w:left w:val="single" w:sz="6" w:space="0" w:color="auto"/>
              <w:bottom w:val="single" w:sz="6" w:space="0" w:color="auto"/>
              <w:right w:val="single" w:sz="6" w:space="0" w:color="auto"/>
            </w:tcBorders>
          </w:tcPr>
          <w:p w14:paraId="207F24C9" w14:textId="77777777" w:rsidR="00C805A1" w:rsidRPr="003B4362" w:rsidRDefault="00C805A1" w:rsidP="00BE7C7D">
            <w:pPr>
              <w:jc w:val="center"/>
              <w:rPr>
                <w:szCs w:val="16"/>
              </w:rPr>
            </w:pPr>
          </w:p>
          <w:p w14:paraId="48B2EFA3" w14:textId="77777777" w:rsidR="00C805A1" w:rsidRPr="003B4362" w:rsidRDefault="00C805A1" w:rsidP="00BE7C7D">
            <w:pPr>
              <w:jc w:val="center"/>
              <w:rPr>
                <w:szCs w:val="16"/>
              </w:rPr>
            </w:pPr>
            <w:r w:rsidRPr="003B4362">
              <w:rPr>
                <w:szCs w:val="16"/>
              </w:rPr>
              <w:t>TT</w:t>
            </w:r>
          </w:p>
          <w:p w14:paraId="13A01809" w14:textId="77777777" w:rsidR="00C805A1" w:rsidRPr="003B4362" w:rsidRDefault="00C805A1" w:rsidP="00BE7C7D">
            <w:pPr>
              <w:jc w:val="center"/>
              <w:rPr>
                <w:szCs w:val="16"/>
              </w:rPr>
            </w:pPr>
            <w:r w:rsidRPr="003B4362">
              <w:rPr>
                <w:szCs w:val="16"/>
              </w:rPr>
              <w:t>TT</w:t>
            </w:r>
          </w:p>
          <w:p w14:paraId="7FC6C03F" w14:textId="77777777" w:rsidR="00C805A1" w:rsidRPr="003B4362" w:rsidRDefault="00C805A1" w:rsidP="00BE7C7D">
            <w:pPr>
              <w:jc w:val="center"/>
            </w:pPr>
            <w:r w:rsidRPr="003B4362">
              <w:rPr>
                <w:szCs w:val="16"/>
              </w:rPr>
              <w:t>TT</w:t>
            </w:r>
          </w:p>
        </w:tc>
        <w:tc>
          <w:tcPr>
            <w:tcW w:w="3600" w:type="dxa"/>
            <w:tcBorders>
              <w:top w:val="single" w:sz="6" w:space="0" w:color="auto"/>
              <w:left w:val="single" w:sz="6" w:space="0" w:color="auto"/>
              <w:bottom w:val="single" w:sz="6" w:space="0" w:color="auto"/>
              <w:right w:val="single" w:sz="6" w:space="0" w:color="auto"/>
            </w:tcBorders>
            <w:hideMark/>
          </w:tcPr>
          <w:p w14:paraId="06CA2CD2" w14:textId="77777777" w:rsidR="00C805A1" w:rsidRPr="003B4362" w:rsidRDefault="00C805A1" w:rsidP="00BE7C7D">
            <w:r w:rsidRPr="003B4362">
              <w:rPr>
                <w:szCs w:val="16"/>
              </w:rPr>
              <w:t>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p>
        </w:tc>
      </w:tr>
      <w:tr w:rsidR="001628C1" w:rsidRPr="003B4362" w14:paraId="09DBAA65"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76543EE7" w14:textId="77777777" w:rsidR="00C805A1" w:rsidRPr="003B4362" w:rsidRDefault="00C805A1" w:rsidP="00BE7C7D">
            <w:r w:rsidRPr="003B4362">
              <w:rPr>
                <w:szCs w:val="16"/>
              </w:rPr>
              <w:t>1d. Groundwater Rule TT Violations</w:t>
            </w:r>
          </w:p>
        </w:tc>
        <w:tc>
          <w:tcPr>
            <w:tcW w:w="1440" w:type="dxa"/>
            <w:tcBorders>
              <w:top w:val="single" w:sz="6" w:space="0" w:color="auto"/>
              <w:left w:val="single" w:sz="6" w:space="0" w:color="auto"/>
              <w:bottom w:val="single" w:sz="6" w:space="0" w:color="auto"/>
              <w:right w:val="single" w:sz="6" w:space="0" w:color="auto"/>
            </w:tcBorders>
            <w:hideMark/>
          </w:tcPr>
          <w:p w14:paraId="18FE2147" w14:textId="77777777" w:rsidR="00C805A1" w:rsidRPr="003B4362" w:rsidRDefault="00C805A1" w:rsidP="00BE7C7D">
            <w:pPr>
              <w:jc w:val="center"/>
            </w:pPr>
            <w:r w:rsidRPr="003B4362">
              <w:rPr>
                <w:szCs w:val="16"/>
              </w:rPr>
              <w:t>None</w:t>
            </w:r>
          </w:p>
        </w:tc>
        <w:tc>
          <w:tcPr>
            <w:tcW w:w="1440" w:type="dxa"/>
            <w:tcBorders>
              <w:top w:val="single" w:sz="6" w:space="0" w:color="auto"/>
              <w:left w:val="single" w:sz="6" w:space="0" w:color="auto"/>
              <w:bottom w:val="single" w:sz="6" w:space="0" w:color="auto"/>
              <w:right w:val="single" w:sz="6" w:space="0" w:color="auto"/>
            </w:tcBorders>
            <w:hideMark/>
          </w:tcPr>
          <w:p w14:paraId="684F4FEC" w14:textId="77777777" w:rsidR="00C805A1" w:rsidRPr="003B4362" w:rsidRDefault="00C805A1" w:rsidP="00BE7C7D">
            <w:pPr>
              <w:jc w:val="center"/>
            </w:pPr>
            <w:r w:rsidRPr="003B4362">
              <w:rPr>
                <w:szCs w:val="16"/>
              </w:rPr>
              <w:t>TT</w:t>
            </w:r>
          </w:p>
        </w:tc>
        <w:tc>
          <w:tcPr>
            <w:tcW w:w="3600" w:type="dxa"/>
            <w:tcBorders>
              <w:top w:val="single" w:sz="6" w:space="0" w:color="auto"/>
              <w:left w:val="single" w:sz="6" w:space="0" w:color="auto"/>
              <w:bottom w:val="single" w:sz="6" w:space="0" w:color="auto"/>
              <w:right w:val="single" w:sz="6" w:space="0" w:color="auto"/>
            </w:tcBorders>
            <w:hideMark/>
          </w:tcPr>
          <w:p w14:paraId="45B9F43D" w14:textId="77777777" w:rsidR="00C805A1" w:rsidRPr="003B4362" w:rsidRDefault="00C805A1" w:rsidP="00BE7C7D">
            <w:r w:rsidRPr="003B4362">
              <w:rPr>
                <w:szCs w:val="16"/>
              </w:rPr>
              <w:t>Inadequately treated or inadequately protected water may contain disease-causing organisms.  These organisms can cause symptoms such as diarrhea, nausea, cramps, and associated headaches.</w:t>
            </w:r>
          </w:p>
        </w:tc>
      </w:tr>
      <w:tr w:rsidR="001628C1" w:rsidRPr="003B4362" w14:paraId="6C802FC7"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B249D30" w14:textId="77777777" w:rsidR="00C805A1" w:rsidRPr="003B4362" w:rsidRDefault="00C805A1" w:rsidP="00BE7C7D">
            <w:pPr>
              <w:rPr>
                <w:szCs w:val="16"/>
              </w:rPr>
            </w:pPr>
            <w:r w:rsidRPr="003B4362">
              <w:rPr>
                <w:szCs w:val="24"/>
              </w:rPr>
              <w:lastRenderedPageBreak/>
              <w:t>1e. Subpart Y Coliform Assessment and/or Corrective Action Violations</w:t>
            </w:r>
          </w:p>
        </w:tc>
        <w:tc>
          <w:tcPr>
            <w:tcW w:w="1440" w:type="dxa"/>
            <w:tcBorders>
              <w:top w:val="single" w:sz="6" w:space="0" w:color="auto"/>
              <w:left w:val="single" w:sz="6" w:space="0" w:color="auto"/>
              <w:bottom w:val="single" w:sz="6" w:space="0" w:color="auto"/>
              <w:right w:val="single" w:sz="6" w:space="0" w:color="auto"/>
            </w:tcBorders>
            <w:hideMark/>
          </w:tcPr>
          <w:p w14:paraId="56AF12A1" w14:textId="77777777" w:rsidR="00C805A1" w:rsidRPr="003B4362" w:rsidRDefault="00C805A1" w:rsidP="00BE7C7D">
            <w:pPr>
              <w:jc w:val="center"/>
              <w:rPr>
                <w:szCs w:val="16"/>
              </w:rPr>
            </w:pPr>
            <w:r w:rsidRPr="003B4362">
              <w:rPr>
                <w:szCs w:val="24"/>
              </w:rPr>
              <w:t>N/A</w:t>
            </w:r>
          </w:p>
        </w:tc>
        <w:tc>
          <w:tcPr>
            <w:tcW w:w="1440" w:type="dxa"/>
            <w:tcBorders>
              <w:top w:val="single" w:sz="6" w:space="0" w:color="auto"/>
              <w:left w:val="single" w:sz="6" w:space="0" w:color="auto"/>
              <w:bottom w:val="single" w:sz="6" w:space="0" w:color="auto"/>
              <w:right w:val="single" w:sz="6" w:space="0" w:color="auto"/>
            </w:tcBorders>
            <w:hideMark/>
          </w:tcPr>
          <w:p w14:paraId="156A7C50" w14:textId="77777777" w:rsidR="00C805A1" w:rsidRPr="003B4362" w:rsidRDefault="00C805A1" w:rsidP="00BE7C7D">
            <w:pPr>
              <w:jc w:val="center"/>
              <w:rPr>
                <w:szCs w:val="16"/>
              </w:rPr>
            </w:pPr>
            <w:r w:rsidRPr="003B4362">
              <w:rPr>
                <w:szCs w:val="24"/>
              </w:rPr>
              <w:t>TT</w:t>
            </w:r>
          </w:p>
        </w:tc>
        <w:tc>
          <w:tcPr>
            <w:tcW w:w="3600" w:type="dxa"/>
            <w:tcBorders>
              <w:top w:val="single" w:sz="6" w:space="0" w:color="auto"/>
              <w:left w:val="single" w:sz="6" w:space="0" w:color="auto"/>
              <w:bottom w:val="single" w:sz="6" w:space="0" w:color="auto"/>
              <w:right w:val="single" w:sz="6" w:space="0" w:color="auto"/>
            </w:tcBorders>
            <w:hideMark/>
          </w:tcPr>
          <w:p w14:paraId="312FCA07" w14:textId="77777777" w:rsidR="00C805A1" w:rsidRPr="003B4362" w:rsidRDefault="00C805A1" w:rsidP="00BE7C7D">
            <w:pPr>
              <w:rPr>
                <w:szCs w:val="24"/>
              </w:rPr>
            </w:pPr>
            <w:r w:rsidRPr="003B4362">
              <w:rPr>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are found.</w:t>
            </w:r>
          </w:p>
          <w:p w14:paraId="11663487" w14:textId="77777777" w:rsidR="00C805A1" w:rsidRPr="003B4362" w:rsidRDefault="00C805A1" w:rsidP="00BE7C7D">
            <w:pPr>
              <w:rPr>
                <w:szCs w:val="24"/>
              </w:rPr>
            </w:pPr>
            <w:r w:rsidRPr="003B4362">
              <w:rPr>
                <w:szCs w:val="24"/>
              </w:rPr>
              <w:t>(The system must use the following applicable sentences:)</w:t>
            </w:r>
          </w:p>
          <w:p w14:paraId="18F9EB8C" w14:textId="77777777" w:rsidR="00C805A1" w:rsidRPr="003B4362" w:rsidRDefault="00C805A1" w:rsidP="00BE7C7D">
            <w:pPr>
              <w:rPr>
                <w:szCs w:val="24"/>
              </w:rPr>
            </w:pPr>
            <w:r w:rsidRPr="003B4362">
              <w:rPr>
                <w:szCs w:val="24"/>
              </w:rPr>
              <w:t>We failed to conduct the required assessment.</w:t>
            </w:r>
          </w:p>
          <w:p w14:paraId="46CE1ECB" w14:textId="77777777" w:rsidR="00C805A1" w:rsidRPr="003B4362" w:rsidRDefault="00C805A1" w:rsidP="00BE7C7D">
            <w:pPr>
              <w:rPr>
                <w:szCs w:val="16"/>
              </w:rPr>
            </w:pPr>
            <w:r w:rsidRPr="003B4362">
              <w:rPr>
                <w:szCs w:val="24"/>
              </w:rPr>
              <w:t>We failed to correct all identified sanitary defects that were found during the assessment(s).</w:t>
            </w:r>
          </w:p>
        </w:tc>
      </w:tr>
      <w:tr w:rsidR="001628C1" w:rsidRPr="003B4362" w14:paraId="6B0E99C0"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CB5E3ED" w14:textId="77777777" w:rsidR="00C805A1" w:rsidRPr="003B4362" w:rsidRDefault="00C805A1" w:rsidP="00BE7C7D">
            <w:pPr>
              <w:rPr>
                <w:szCs w:val="16"/>
              </w:rPr>
            </w:pPr>
            <w:r w:rsidRPr="003B4362">
              <w:rPr>
                <w:szCs w:val="24"/>
              </w:rPr>
              <w:lastRenderedPageBreak/>
              <w:t xml:space="preserve">1f. Subpart Y </w:t>
            </w:r>
            <w:r w:rsidRPr="003B4362">
              <w:rPr>
                <w:iCs/>
                <w:szCs w:val="24"/>
              </w:rPr>
              <w:t xml:space="preserve">E.coli </w:t>
            </w:r>
            <w:r w:rsidRPr="003B4362">
              <w:rPr>
                <w:szCs w:val="24"/>
              </w:rPr>
              <w:t>Assessment and/or Corrective Action Violations</w:t>
            </w:r>
          </w:p>
        </w:tc>
        <w:tc>
          <w:tcPr>
            <w:tcW w:w="1440" w:type="dxa"/>
            <w:tcBorders>
              <w:top w:val="single" w:sz="6" w:space="0" w:color="auto"/>
              <w:left w:val="single" w:sz="6" w:space="0" w:color="auto"/>
              <w:bottom w:val="single" w:sz="6" w:space="0" w:color="auto"/>
              <w:right w:val="single" w:sz="6" w:space="0" w:color="auto"/>
            </w:tcBorders>
            <w:hideMark/>
          </w:tcPr>
          <w:p w14:paraId="38F5ADAD" w14:textId="77777777" w:rsidR="00C805A1" w:rsidRPr="003B4362" w:rsidRDefault="00C805A1" w:rsidP="00BE7C7D">
            <w:pPr>
              <w:jc w:val="center"/>
              <w:rPr>
                <w:szCs w:val="16"/>
              </w:rPr>
            </w:pPr>
            <w:r w:rsidRPr="003B4362">
              <w:rPr>
                <w:szCs w:val="24"/>
              </w:rPr>
              <w:t>N/A</w:t>
            </w:r>
          </w:p>
        </w:tc>
        <w:tc>
          <w:tcPr>
            <w:tcW w:w="1440" w:type="dxa"/>
            <w:tcBorders>
              <w:top w:val="single" w:sz="6" w:space="0" w:color="auto"/>
              <w:left w:val="single" w:sz="6" w:space="0" w:color="auto"/>
              <w:bottom w:val="single" w:sz="6" w:space="0" w:color="auto"/>
              <w:right w:val="single" w:sz="6" w:space="0" w:color="auto"/>
            </w:tcBorders>
            <w:hideMark/>
          </w:tcPr>
          <w:p w14:paraId="441490A0" w14:textId="77777777" w:rsidR="00C805A1" w:rsidRPr="003B4362" w:rsidRDefault="00C805A1" w:rsidP="00BE7C7D">
            <w:pPr>
              <w:jc w:val="center"/>
              <w:rPr>
                <w:szCs w:val="16"/>
              </w:rPr>
            </w:pPr>
            <w:r w:rsidRPr="003B4362">
              <w:rPr>
                <w:szCs w:val="24"/>
              </w:rPr>
              <w:t>TT</w:t>
            </w:r>
          </w:p>
        </w:tc>
        <w:tc>
          <w:tcPr>
            <w:tcW w:w="3600" w:type="dxa"/>
            <w:tcBorders>
              <w:top w:val="single" w:sz="6" w:space="0" w:color="auto"/>
              <w:left w:val="single" w:sz="6" w:space="0" w:color="auto"/>
              <w:bottom w:val="single" w:sz="6" w:space="0" w:color="auto"/>
              <w:right w:val="single" w:sz="6" w:space="0" w:color="auto"/>
            </w:tcBorders>
            <w:hideMark/>
          </w:tcPr>
          <w:p w14:paraId="63FD2E9A" w14:textId="77777777" w:rsidR="00C805A1" w:rsidRPr="003B4362" w:rsidRDefault="00C805A1" w:rsidP="00BE7C7D">
            <w:pPr>
              <w:rPr>
                <w:szCs w:val="24"/>
              </w:rPr>
            </w:pPr>
            <w:r w:rsidRPr="003B4362">
              <w:rPr>
                <w:iCs/>
                <w:szCs w:val="24"/>
              </w:rPr>
              <w:t xml:space="preserve">E. coli </w:t>
            </w:r>
            <w:r w:rsidRPr="003B4362">
              <w:rPr>
                <w:szCs w:val="24"/>
              </w:rPr>
              <w:t xml:space="preserve">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violated the standard for </w:t>
            </w:r>
            <w:r w:rsidRPr="003B4362">
              <w:rPr>
                <w:iCs/>
                <w:szCs w:val="24"/>
              </w:rPr>
              <w:t xml:space="preserve">E. coli, </w:t>
            </w:r>
            <w:r w:rsidRPr="003B4362">
              <w:rPr>
                <w:szCs w:val="24"/>
              </w:rPr>
              <w:t>indicating the need to look for potential problems in water treatment or distribution. When this occurs, we are required to conduct a detailed assessment to identify problems and to correct any problems that are found.</w:t>
            </w:r>
          </w:p>
          <w:p w14:paraId="02F1BA0B" w14:textId="77777777" w:rsidR="00C805A1" w:rsidRPr="003B4362" w:rsidRDefault="00C805A1" w:rsidP="00BE7C7D">
            <w:pPr>
              <w:rPr>
                <w:szCs w:val="24"/>
              </w:rPr>
            </w:pPr>
            <w:r w:rsidRPr="003B4362">
              <w:rPr>
                <w:szCs w:val="24"/>
              </w:rPr>
              <w:t>(The system must use the following applicable sentences:)</w:t>
            </w:r>
          </w:p>
          <w:p w14:paraId="0E7AE149" w14:textId="77777777" w:rsidR="00C805A1" w:rsidRPr="003B4362" w:rsidRDefault="00C805A1" w:rsidP="00BE7C7D">
            <w:pPr>
              <w:rPr>
                <w:szCs w:val="24"/>
              </w:rPr>
            </w:pPr>
            <w:r w:rsidRPr="003B4362">
              <w:rPr>
                <w:szCs w:val="24"/>
              </w:rPr>
              <w:t>We failed to conduct the required assessment.</w:t>
            </w:r>
          </w:p>
          <w:p w14:paraId="1B216439" w14:textId="77777777" w:rsidR="00C805A1" w:rsidRPr="003B4362" w:rsidRDefault="00C805A1" w:rsidP="00BE7C7D">
            <w:pPr>
              <w:rPr>
                <w:szCs w:val="16"/>
              </w:rPr>
            </w:pPr>
            <w:r w:rsidRPr="003B4362">
              <w:rPr>
                <w:szCs w:val="24"/>
              </w:rPr>
              <w:t>We failed to correct all identified sanitary defects that were found during the assessment that we conducted.</w:t>
            </w:r>
          </w:p>
        </w:tc>
      </w:tr>
      <w:tr w:rsidR="001628C1" w:rsidRPr="003B4362" w14:paraId="0BCA8446" w14:textId="77777777" w:rsidTr="00DA2ADB">
        <w:tc>
          <w:tcPr>
            <w:tcW w:w="2880" w:type="dxa"/>
            <w:tcBorders>
              <w:top w:val="single" w:sz="6" w:space="0" w:color="auto"/>
              <w:left w:val="single" w:sz="6" w:space="0" w:color="auto"/>
              <w:bottom w:val="single" w:sz="6" w:space="0" w:color="auto"/>
              <w:right w:val="single" w:sz="6" w:space="0" w:color="auto"/>
            </w:tcBorders>
            <w:hideMark/>
          </w:tcPr>
          <w:p w14:paraId="2A2D39B0" w14:textId="77777777" w:rsidR="00C805A1" w:rsidRPr="003B4362" w:rsidRDefault="00C805A1" w:rsidP="00BE7C7D">
            <w:pPr>
              <w:rPr>
                <w:szCs w:val="16"/>
              </w:rPr>
            </w:pPr>
            <w:r w:rsidRPr="003B4362">
              <w:rPr>
                <w:szCs w:val="24"/>
              </w:rPr>
              <w:t xml:space="preserve">1g. </w:t>
            </w:r>
            <w:r w:rsidRPr="003B4362">
              <w:rPr>
                <w:iCs/>
                <w:szCs w:val="24"/>
              </w:rPr>
              <w:t>E. coli</w:t>
            </w:r>
          </w:p>
        </w:tc>
        <w:tc>
          <w:tcPr>
            <w:tcW w:w="1440" w:type="dxa"/>
            <w:tcBorders>
              <w:top w:val="single" w:sz="6" w:space="0" w:color="auto"/>
              <w:left w:val="single" w:sz="6" w:space="0" w:color="auto"/>
              <w:bottom w:val="single" w:sz="6" w:space="0" w:color="auto"/>
              <w:right w:val="single" w:sz="6" w:space="0" w:color="auto"/>
            </w:tcBorders>
            <w:hideMark/>
          </w:tcPr>
          <w:p w14:paraId="240ACDCF" w14:textId="77777777" w:rsidR="00C805A1" w:rsidRPr="003B4362" w:rsidRDefault="00C805A1" w:rsidP="00BE7C7D">
            <w:pPr>
              <w:jc w:val="center"/>
              <w:rPr>
                <w:szCs w:val="16"/>
              </w:rPr>
            </w:pPr>
            <w:r w:rsidRPr="003B4362">
              <w:rPr>
                <w:szCs w:val="24"/>
              </w:rPr>
              <w:t>Zero</w:t>
            </w:r>
          </w:p>
        </w:tc>
        <w:tc>
          <w:tcPr>
            <w:tcW w:w="1440" w:type="dxa"/>
            <w:tcBorders>
              <w:top w:val="single" w:sz="6" w:space="0" w:color="auto"/>
              <w:left w:val="single" w:sz="6" w:space="0" w:color="auto"/>
              <w:bottom w:val="single" w:sz="6" w:space="0" w:color="auto"/>
              <w:right w:val="single" w:sz="6" w:space="0" w:color="auto"/>
            </w:tcBorders>
            <w:hideMark/>
          </w:tcPr>
          <w:p w14:paraId="4D8652DE" w14:textId="77777777" w:rsidR="00C805A1" w:rsidRPr="003B4362" w:rsidRDefault="00C805A1" w:rsidP="00BE7C7D">
            <w:pPr>
              <w:jc w:val="center"/>
              <w:rPr>
                <w:szCs w:val="16"/>
              </w:rPr>
            </w:pPr>
            <w:r w:rsidRPr="003B4362">
              <w:rPr>
                <w:szCs w:val="24"/>
              </w:rPr>
              <w:t>See footnote 22</w:t>
            </w:r>
          </w:p>
        </w:tc>
        <w:tc>
          <w:tcPr>
            <w:tcW w:w="3600" w:type="dxa"/>
            <w:tcBorders>
              <w:top w:val="single" w:sz="6" w:space="0" w:color="auto"/>
              <w:left w:val="single" w:sz="6" w:space="0" w:color="auto"/>
              <w:bottom w:val="single" w:sz="6" w:space="0" w:color="auto"/>
              <w:right w:val="single" w:sz="6" w:space="0" w:color="auto"/>
            </w:tcBorders>
            <w:hideMark/>
          </w:tcPr>
          <w:p w14:paraId="3525F23B" w14:textId="77777777" w:rsidR="00C805A1" w:rsidRPr="003B4362" w:rsidRDefault="00C805A1" w:rsidP="00BE7C7D">
            <w:pPr>
              <w:rPr>
                <w:szCs w:val="16"/>
              </w:rPr>
            </w:pPr>
            <w:r w:rsidRPr="003B4362">
              <w:rPr>
                <w:iCs/>
                <w:szCs w:val="24"/>
              </w:rPr>
              <w:t xml:space="preserve">E. coli </w:t>
            </w:r>
            <w:r w:rsidRPr="003B4362">
              <w:rPr>
                <w:szCs w:val="24"/>
              </w:rPr>
              <w:t>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w:t>
            </w:r>
          </w:p>
        </w:tc>
      </w:tr>
      <w:tr w:rsidR="001628C1" w:rsidRPr="003B4362" w14:paraId="50D94325"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734125CD" w14:textId="77777777" w:rsidR="00C805A1" w:rsidRPr="003B4362" w:rsidRDefault="00C805A1" w:rsidP="00BE7C7D">
            <w:r w:rsidRPr="003B4362">
              <w:rPr>
                <w:szCs w:val="24"/>
              </w:rPr>
              <w:lastRenderedPageBreak/>
              <w:t>1h. Subpart Y Seasonal System TT Violations</w:t>
            </w:r>
          </w:p>
        </w:tc>
        <w:tc>
          <w:tcPr>
            <w:tcW w:w="1440" w:type="dxa"/>
            <w:tcBorders>
              <w:top w:val="single" w:sz="6" w:space="0" w:color="auto"/>
              <w:left w:val="single" w:sz="6" w:space="0" w:color="auto"/>
              <w:bottom w:val="single" w:sz="6" w:space="0" w:color="auto"/>
              <w:right w:val="single" w:sz="6" w:space="0" w:color="auto"/>
            </w:tcBorders>
            <w:hideMark/>
          </w:tcPr>
          <w:p w14:paraId="25542867" w14:textId="77777777" w:rsidR="00C805A1" w:rsidRPr="003B4362" w:rsidRDefault="00C805A1" w:rsidP="00BE7C7D">
            <w:pPr>
              <w:jc w:val="center"/>
            </w:pPr>
            <w:r w:rsidRPr="003B4362">
              <w:rPr>
                <w:szCs w:val="24"/>
              </w:rPr>
              <w:t>N/A</w:t>
            </w:r>
          </w:p>
        </w:tc>
        <w:tc>
          <w:tcPr>
            <w:tcW w:w="1440" w:type="dxa"/>
            <w:tcBorders>
              <w:top w:val="single" w:sz="6" w:space="0" w:color="auto"/>
              <w:left w:val="single" w:sz="6" w:space="0" w:color="auto"/>
              <w:bottom w:val="single" w:sz="6" w:space="0" w:color="auto"/>
              <w:right w:val="single" w:sz="6" w:space="0" w:color="auto"/>
            </w:tcBorders>
            <w:hideMark/>
          </w:tcPr>
          <w:p w14:paraId="289EC5DF" w14:textId="77777777" w:rsidR="00C805A1" w:rsidRPr="003B4362" w:rsidRDefault="00C805A1" w:rsidP="00BE7C7D">
            <w:pPr>
              <w:jc w:val="center"/>
            </w:pPr>
            <w:r w:rsidRPr="003B4362">
              <w:rPr>
                <w:szCs w:val="24"/>
              </w:rPr>
              <w:t>TT</w:t>
            </w:r>
          </w:p>
        </w:tc>
        <w:tc>
          <w:tcPr>
            <w:tcW w:w="3600" w:type="dxa"/>
            <w:tcBorders>
              <w:top w:val="single" w:sz="6" w:space="0" w:color="auto"/>
              <w:left w:val="single" w:sz="6" w:space="0" w:color="auto"/>
              <w:bottom w:val="single" w:sz="6" w:space="0" w:color="auto"/>
              <w:right w:val="single" w:sz="6" w:space="0" w:color="auto"/>
            </w:tcBorders>
            <w:hideMark/>
          </w:tcPr>
          <w:p w14:paraId="6E19B64E" w14:textId="77777777" w:rsidR="00C805A1" w:rsidRPr="003B4362" w:rsidRDefault="00C805A1" w:rsidP="00BE7C7D">
            <w:pPr>
              <w:rPr>
                <w:szCs w:val="24"/>
              </w:rPr>
            </w:pPr>
            <w:r w:rsidRPr="003B4362">
              <w:rPr>
                <w:szCs w:val="24"/>
              </w:rPr>
              <w:t xml:space="preserve">When this violation includes the failure to monitor for total coliforms or </w:t>
            </w:r>
            <w:r w:rsidRPr="003B4362">
              <w:rPr>
                <w:iCs/>
                <w:szCs w:val="24"/>
              </w:rPr>
              <w:t xml:space="preserve">E. coli </w:t>
            </w:r>
            <w:r w:rsidRPr="003B4362">
              <w:rPr>
                <w:szCs w:val="24"/>
              </w:rPr>
              <w:t>prior to serving water to the public, the mandatory language found at Section 611.905(d)(2) must be used.</w:t>
            </w:r>
          </w:p>
          <w:p w14:paraId="6B73B450" w14:textId="77777777" w:rsidR="00C805A1" w:rsidRPr="003B4362" w:rsidRDefault="00C805A1" w:rsidP="00BE7C7D">
            <w:r w:rsidRPr="003B4362">
              <w:rPr>
                <w:szCs w:val="24"/>
              </w:rPr>
              <w:t>When this violation includes failure to complete other actions, the appropriate elements found in Section 611.905(a) to describe the violation must be used.</w:t>
            </w:r>
          </w:p>
        </w:tc>
      </w:tr>
      <w:tr w:rsidR="001628C1" w:rsidRPr="003B4362" w14:paraId="2106807C"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tcPr>
          <w:p w14:paraId="0FA3FBFB" w14:textId="13505D59" w:rsidR="00DA2ADB" w:rsidRPr="003B4362" w:rsidRDefault="00DA2ADB" w:rsidP="00BE7C7D">
            <w:pPr>
              <w:rPr>
                <w:strike/>
              </w:rPr>
            </w:pPr>
            <w:r w:rsidRPr="003B4362">
              <w:rPr>
                <w:szCs w:val="24"/>
              </w:rPr>
              <w:t>2a. This entry relates to the obsolete MCL for turbidity in 40 CFR 141.13 that does not apply to any supplier in Illinois.  This statement ma</w:t>
            </w:r>
            <w:r w:rsidR="00227052" w:rsidRPr="003B4362">
              <w:rPr>
                <w:szCs w:val="24"/>
              </w:rPr>
              <w:t>i</w:t>
            </w:r>
            <w:r w:rsidRPr="003B4362">
              <w:rPr>
                <w:szCs w:val="24"/>
              </w:rPr>
              <w:t>ntains structural consistency with the corresponding USEPA rule.</w:t>
            </w:r>
          </w:p>
        </w:tc>
      </w:tr>
      <w:tr w:rsidR="001628C1" w:rsidRPr="003B4362" w14:paraId="6A394CB3"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9F1B371" w14:textId="1A232C8B" w:rsidR="00C805A1" w:rsidRPr="003B4362" w:rsidRDefault="00C805A1" w:rsidP="00BE7C7D">
            <w:pPr>
              <w:rPr>
                <w:strike/>
              </w:rPr>
            </w:pPr>
          </w:p>
        </w:tc>
        <w:tc>
          <w:tcPr>
            <w:tcW w:w="1440" w:type="dxa"/>
            <w:tcBorders>
              <w:top w:val="single" w:sz="6" w:space="0" w:color="auto"/>
              <w:left w:val="single" w:sz="6" w:space="0" w:color="auto"/>
              <w:bottom w:val="single" w:sz="6" w:space="0" w:color="auto"/>
              <w:right w:val="single" w:sz="6" w:space="0" w:color="auto"/>
            </w:tcBorders>
            <w:hideMark/>
          </w:tcPr>
          <w:p w14:paraId="087DB718" w14:textId="5270A0EE" w:rsidR="00C805A1" w:rsidRPr="003B4362" w:rsidRDefault="00C805A1" w:rsidP="00BE7C7D">
            <w:pPr>
              <w:jc w:val="center"/>
              <w:rPr>
                <w:strike/>
              </w:rPr>
            </w:pPr>
          </w:p>
        </w:tc>
        <w:tc>
          <w:tcPr>
            <w:tcW w:w="1440" w:type="dxa"/>
            <w:tcBorders>
              <w:top w:val="single" w:sz="6" w:space="0" w:color="auto"/>
              <w:left w:val="single" w:sz="6" w:space="0" w:color="auto"/>
              <w:bottom w:val="single" w:sz="6" w:space="0" w:color="auto"/>
              <w:right w:val="single" w:sz="6" w:space="0" w:color="auto"/>
            </w:tcBorders>
            <w:hideMark/>
          </w:tcPr>
          <w:p w14:paraId="5D293114" w14:textId="45DAB725" w:rsidR="00C805A1" w:rsidRPr="003B4362" w:rsidRDefault="00C805A1" w:rsidP="00BE7C7D">
            <w:pPr>
              <w:jc w:val="center"/>
              <w:rPr>
                <w:strike/>
              </w:rPr>
            </w:pPr>
          </w:p>
        </w:tc>
        <w:tc>
          <w:tcPr>
            <w:tcW w:w="3600" w:type="dxa"/>
            <w:tcBorders>
              <w:top w:val="single" w:sz="6" w:space="0" w:color="auto"/>
              <w:left w:val="single" w:sz="6" w:space="0" w:color="auto"/>
              <w:bottom w:val="single" w:sz="6" w:space="0" w:color="auto"/>
              <w:right w:val="single" w:sz="6" w:space="0" w:color="auto"/>
            </w:tcBorders>
            <w:hideMark/>
          </w:tcPr>
          <w:p w14:paraId="104CB7F1" w14:textId="72B0DF27" w:rsidR="00C805A1" w:rsidRPr="003B4362" w:rsidRDefault="00C805A1" w:rsidP="00BE7C7D">
            <w:pPr>
              <w:rPr>
                <w:strike/>
              </w:rPr>
            </w:pPr>
          </w:p>
        </w:tc>
      </w:tr>
      <w:tr w:rsidR="001628C1" w:rsidRPr="003B4362" w14:paraId="4796D5A5"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340590D" w14:textId="77777777" w:rsidR="00C805A1" w:rsidRPr="003B4362" w:rsidRDefault="00C805A1" w:rsidP="00BE7C7D">
            <w:r w:rsidRPr="003B4362">
              <w:t>2b. Turbidity (SWTR TT)</w:t>
            </w:r>
          </w:p>
        </w:tc>
        <w:tc>
          <w:tcPr>
            <w:tcW w:w="1440" w:type="dxa"/>
            <w:tcBorders>
              <w:top w:val="single" w:sz="6" w:space="0" w:color="auto"/>
              <w:left w:val="single" w:sz="6" w:space="0" w:color="auto"/>
              <w:bottom w:val="single" w:sz="6" w:space="0" w:color="auto"/>
              <w:right w:val="single" w:sz="6" w:space="0" w:color="auto"/>
            </w:tcBorders>
            <w:hideMark/>
          </w:tcPr>
          <w:p w14:paraId="46A52263" w14:textId="77777777" w:rsidR="00C805A1" w:rsidRPr="003B4362" w:rsidRDefault="00C805A1" w:rsidP="00BE7C7D">
            <w:pPr>
              <w:jc w:val="center"/>
            </w:pPr>
            <w:r w:rsidRPr="003B4362">
              <w:t>None</w:t>
            </w:r>
          </w:p>
        </w:tc>
        <w:tc>
          <w:tcPr>
            <w:tcW w:w="1440" w:type="dxa"/>
            <w:tcBorders>
              <w:top w:val="single" w:sz="6" w:space="0" w:color="auto"/>
              <w:left w:val="single" w:sz="6" w:space="0" w:color="auto"/>
              <w:bottom w:val="single" w:sz="6" w:space="0" w:color="auto"/>
              <w:right w:val="single" w:sz="6" w:space="0" w:color="auto"/>
            </w:tcBorders>
            <w:hideMark/>
          </w:tcPr>
          <w:p w14:paraId="48250190" w14:textId="77777777" w:rsidR="00C805A1" w:rsidRPr="003B4362" w:rsidRDefault="00C805A1" w:rsidP="00BE7C7D">
            <w:pPr>
              <w:jc w:val="center"/>
            </w:pPr>
            <w:r w:rsidRPr="003B4362">
              <w:t>TT</w:t>
            </w:r>
            <w:r w:rsidRPr="003B4362">
              <w:rPr>
                <w:vertAlign w:val="superscript"/>
              </w:rPr>
              <w:t>7</w:t>
            </w:r>
          </w:p>
        </w:tc>
        <w:tc>
          <w:tcPr>
            <w:tcW w:w="3600" w:type="dxa"/>
            <w:tcBorders>
              <w:top w:val="single" w:sz="6" w:space="0" w:color="auto"/>
              <w:left w:val="single" w:sz="6" w:space="0" w:color="auto"/>
              <w:bottom w:val="single" w:sz="6" w:space="0" w:color="auto"/>
              <w:right w:val="single" w:sz="6" w:space="0" w:color="auto"/>
            </w:tcBorders>
            <w:hideMark/>
          </w:tcPr>
          <w:p w14:paraId="4EB9C3BC" w14:textId="479BEF3F" w:rsidR="00C805A1" w:rsidRPr="003B4362" w:rsidRDefault="00C805A1" w:rsidP="00BE7C7D">
            <w:r w:rsidRPr="003B4362">
              <w:t xml:space="preserve">Turbidity </w:t>
            </w:r>
            <w:r w:rsidR="00A854C7" w:rsidRPr="003B4362">
              <w:t>has</w:t>
            </w:r>
            <w:r w:rsidRPr="003B4362">
              <w:t xml:space="preserve"> no health effects. However,</w:t>
            </w:r>
            <w:r w:rsidRPr="003B4362">
              <w:rPr>
                <w:vertAlign w:val="superscript"/>
              </w:rPr>
              <w:t>6</w:t>
            </w:r>
            <w:r w:rsidRPr="003B4362">
              <w:t xml:space="preserve">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1628C1" w:rsidRPr="003B4362" w14:paraId="58FD4DF1"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08EE653" w14:textId="77777777" w:rsidR="00C805A1" w:rsidRPr="003B4362" w:rsidRDefault="00C805A1" w:rsidP="00BE7C7D">
            <w:r w:rsidRPr="003B4362">
              <w:t>2c. Turbidity (IESWTR TT and LT1ESWTR TT)</w:t>
            </w:r>
          </w:p>
        </w:tc>
        <w:tc>
          <w:tcPr>
            <w:tcW w:w="1440" w:type="dxa"/>
            <w:tcBorders>
              <w:top w:val="single" w:sz="6" w:space="0" w:color="auto"/>
              <w:left w:val="single" w:sz="6" w:space="0" w:color="auto"/>
              <w:bottom w:val="single" w:sz="6" w:space="0" w:color="auto"/>
              <w:right w:val="single" w:sz="6" w:space="0" w:color="auto"/>
            </w:tcBorders>
            <w:hideMark/>
          </w:tcPr>
          <w:p w14:paraId="0526A74B" w14:textId="77777777" w:rsidR="00C805A1" w:rsidRPr="003B4362" w:rsidRDefault="00C805A1" w:rsidP="00BE7C7D">
            <w:pPr>
              <w:jc w:val="center"/>
            </w:pPr>
            <w:r w:rsidRPr="003B4362">
              <w:t>None</w:t>
            </w:r>
          </w:p>
        </w:tc>
        <w:tc>
          <w:tcPr>
            <w:tcW w:w="1440" w:type="dxa"/>
            <w:tcBorders>
              <w:top w:val="single" w:sz="6" w:space="0" w:color="auto"/>
              <w:left w:val="single" w:sz="6" w:space="0" w:color="auto"/>
              <w:bottom w:val="single" w:sz="6" w:space="0" w:color="auto"/>
              <w:right w:val="single" w:sz="6" w:space="0" w:color="auto"/>
            </w:tcBorders>
            <w:hideMark/>
          </w:tcPr>
          <w:p w14:paraId="36EC9102" w14:textId="77777777" w:rsidR="00C805A1" w:rsidRPr="003B4362" w:rsidRDefault="00C805A1" w:rsidP="00BE7C7D">
            <w:pPr>
              <w:jc w:val="center"/>
            </w:pPr>
            <w:r w:rsidRPr="003B4362">
              <w:t>TT</w:t>
            </w:r>
          </w:p>
        </w:tc>
        <w:tc>
          <w:tcPr>
            <w:tcW w:w="3600" w:type="dxa"/>
            <w:tcBorders>
              <w:top w:val="single" w:sz="6" w:space="0" w:color="auto"/>
              <w:left w:val="single" w:sz="6" w:space="0" w:color="auto"/>
              <w:bottom w:val="single" w:sz="6" w:space="0" w:color="auto"/>
              <w:right w:val="single" w:sz="6" w:space="0" w:color="auto"/>
            </w:tcBorders>
            <w:hideMark/>
          </w:tcPr>
          <w:p w14:paraId="2C83D7DF" w14:textId="6DBA1C3C" w:rsidR="00C805A1" w:rsidRPr="003B4362" w:rsidRDefault="00C805A1" w:rsidP="00BE7C7D">
            <w:r w:rsidRPr="003B4362">
              <w:t xml:space="preserve">Turbidity </w:t>
            </w:r>
            <w:r w:rsidR="00A854C7" w:rsidRPr="003B4362">
              <w:t>has</w:t>
            </w:r>
            <w:r w:rsidRPr="003B4362">
              <w:t xml:space="preserve"> no health effects. However,</w:t>
            </w:r>
            <w:r w:rsidRPr="003B4362">
              <w:rPr>
                <w:vertAlign w:val="superscript"/>
              </w:rPr>
              <w:t>8</w:t>
            </w:r>
            <w:r w:rsidRPr="003B4362">
              <w:t xml:space="preserve">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1628C1" w:rsidRPr="003B4362" w14:paraId="1671E52C"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08A3FEC8" w14:textId="77777777" w:rsidR="00C805A1" w:rsidRPr="003B4362" w:rsidRDefault="00C805A1" w:rsidP="00BE7C7D">
            <w:pPr>
              <w:keepNext/>
              <w:keepLines/>
              <w:ind w:right="576"/>
              <w:jc w:val="center"/>
            </w:pPr>
            <w:r w:rsidRPr="003B4362">
              <w:lastRenderedPageBreak/>
              <w:t>B. Surface Water Treatment Rule (SWTR), Interim Enhanced Surface Water Treatment Rule (IESWTR), Long Term 1 Enhanced Surface Water Treatment Rule (LT1ESWTR), and Filter Backwash Recycling Rule (FBRR) violations:</w:t>
            </w:r>
          </w:p>
        </w:tc>
      </w:tr>
      <w:tr w:rsidR="001628C1" w:rsidRPr="003B4362" w14:paraId="1AAADFAB"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A718A66" w14:textId="77777777" w:rsidR="00C805A1" w:rsidRPr="003B4362" w:rsidRDefault="00C805A1" w:rsidP="00BE7C7D">
            <w:r w:rsidRPr="003B4362">
              <w:t>3. Giardia lamblia (SWTR/IESWTR/ LT1ESWTR)</w:t>
            </w:r>
          </w:p>
        </w:tc>
        <w:tc>
          <w:tcPr>
            <w:tcW w:w="1440" w:type="dxa"/>
            <w:tcBorders>
              <w:top w:val="single" w:sz="6" w:space="0" w:color="auto"/>
              <w:left w:val="single" w:sz="6" w:space="0" w:color="auto"/>
              <w:bottom w:val="single" w:sz="6" w:space="0" w:color="auto"/>
              <w:right w:val="single" w:sz="6" w:space="0" w:color="auto"/>
            </w:tcBorders>
            <w:hideMark/>
          </w:tcPr>
          <w:p w14:paraId="60D7347C"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3B055330" w14:textId="77777777" w:rsidR="00C805A1" w:rsidRPr="003B4362" w:rsidRDefault="00C805A1" w:rsidP="00BE7C7D">
            <w:pPr>
              <w:jc w:val="center"/>
            </w:pPr>
            <w:r w:rsidRPr="003B4362">
              <w:t>TT</w:t>
            </w:r>
            <w:r w:rsidRPr="003B4362">
              <w:rPr>
                <w:vertAlign w:val="superscript"/>
              </w:rPr>
              <w:t>10</w:t>
            </w:r>
          </w:p>
        </w:tc>
        <w:tc>
          <w:tcPr>
            <w:tcW w:w="3600" w:type="dxa"/>
            <w:tcBorders>
              <w:top w:val="single" w:sz="6" w:space="0" w:color="auto"/>
              <w:left w:val="single" w:sz="6" w:space="0" w:color="auto"/>
              <w:bottom w:val="single" w:sz="6" w:space="0" w:color="auto"/>
              <w:right w:val="single" w:sz="6" w:space="0" w:color="auto"/>
            </w:tcBorders>
            <w:hideMark/>
          </w:tcPr>
          <w:p w14:paraId="56551F9E" w14:textId="77777777" w:rsidR="00C805A1" w:rsidRPr="003B4362" w:rsidRDefault="00C805A1" w:rsidP="00BE7C7D">
            <w:r w:rsidRPr="003B4362">
              <w:t>Inadequately treated water may contain disease-causing organisms. These organisms include bacteria, viruses, and parasites that can cause symptoms such as nausea, cramps, diarrhea, and associated headaches.</w:t>
            </w:r>
          </w:p>
        </w:tc>
      </w:tr>
      <w:tr w:rsidR="001628C1" w:rsidRPr="003B4362" w14:paraId="4EB2BAB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85372D9" w14:textId="77777777" w:rsidR="00C805A1" w:rsidRPr="003B4362" w:rsidRDefault="00C805A1" w:rsidP="00BE7C7D">
            <w:r w:rsidRPr="003B4362">
              <w:t>4. Viruses (SWTR/IESWTR/ LT1ESWTR)</w:t>
            </w:r>
          </w:p>
        </w:tc>
        <w:tc>
          <w:tcPr>
            <w:tcW w:w="1440" w:type="dxa"/>
            <w:tcBorders>
              <w:top w:val="single" w:sz="6" w:space="0" w:color="auto"/>
              <w:left w:val="single" w:sz="6" w:space="0" w:color="auto"/>
              <w:bottom w:val="single" w:sz="6" w:space="0" w:color="auto"/>
              <w:right w:val="single" w:sz="6" w:space="0" w:color="auto"/>
            </w:tcBorders>
          </w:tcPr>
          <w:p w14:paraId="2469AC80" w14:textId="77777777" w:rsidR="00C805A1" w:rsidRPr="003B4362" w:rsidRDefault="00C805A1" w:rsidP="00BE7C7D">
            <w:pPr>
              <w:jc w:val="center"/>
            </w:pPr>
          </w:p>
        </w:tc>
        <w:tc>
          <w:tcPr>
            <w:tcW w:w="1440" w:type="dxa"/>
            <w:tcBorders>
              <w:top w:val="single" w:sz="6" w:space="0" w:color="auto"/>
              <w:left w:val="single" w:sz="6" w:space="0" w:color="auto"/>
              <w:bottom w:val="single" w:sz="6" w:space="0" w:color="auto"/>
              <w:right w:val="single" w:sz="6" w:space="0" w:color="auto"/>
            </w:tcBorders>
          </w:tcPr>
          <w:p w14:paraId="050B70C9" w14:textId="77777777" w:rsidR="00C805A1" w:rsidRPr="003B4362" w:rsidRDefault="00C805A1" w:rsidP="00BE7C7D">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22F29109" w14:textId="77777777" w:rsidR="00C805A1" w:rsidRPr="003B4362" w:rsidRDefault="00C805A1" w:rsidP="00BE7C7D">
            <w:r w:rsidRPr="003B4362">
              <w:t>Inadequately treated water may contain disease-causing organisms. These organisms include bacteria, viruses, and parasites that can cause symptoms such as nausea, cramps, diarrhea, and associated headaches.</w:t>
            </w:r>
          </w:p>
        </w:tc>
      </w:tr>
      <w:tr w:rsidR="001628C1" w:rsidRPr="003B4362" w14:paraId="6540747B"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9B20461" w14:textId="77777777" w:rsidR="00C805A1" w:rsidRPr="003B4362" w:rsidRDefault="00C805A1" w:rsidP="00BE7C7D">
            <w:r w:rsidRPr="003B4362">
              <w:t>5. Heterotrophic plate count (HPC) bacteria</w:t>
            </w:r>
            <w:r w:rsidRPr="003B4362">
              <w:rPr>
                <w:vertAlign w:val="superscript"/>
              </w:rPr>
              <w:t>9</w:t>
            </w:r>
            <w:r w:rsidRPr="003B4362">
              <w:t xml:space="preserve"> (SWTR/IESWTR/ LT1ESWTR)</w:t>
            </w:r>
          </w:p>
        </w:tc>
        <w:tc>
          <w:tcPr>
            <w:tcW w:w="1440" w:type="dxa"/>
            <w:tcBorders>
              <w:top w:val="single" w:sz="6" w:space="0" w:color="auto"/>
              <w:left w:val="single" w:sz="6" w:space="0" w:color="auto"/>
              <w:bottom w:val="single" w:sz="6" w:space="0" w:color="auto"/>
              <w:right w:val="single" w:sz="6" w:space="0" w:color="auto"/>
            </w:tcBorders>
          </w:tcPr>
          <w:p w14:paraId="7D5EC76A" w14:textId="77777777" w:rsidR="00C805A1" w:rsidRPr="003B4362" w:rsidRDefault="00C805A1" w:rsidP="00BE7C7D">
            <w:pPr>
              <w:jc w:val="center"/>
            </w:pPr>
          </w:p>
        </w:tc>
        <w:tc>
          <w:tcPr>
            <w:tcW w:w="1440" w:type="dxa"/>
            <w:tcBorders>
              <w:top w:val="single" w:sz="6" w:space="0" w:color="auto"/>
              <w:left w:val="single" w:sz="6" w:space="0" w:color="auto"/>
              <w:bottom w:val="single" w:sz="6" w:space="0" w:color="auto"/>
              <w:right w:val="single" w:sz="6" w:space="0" w:color="auto"/>
            </w:tcBorders>
          </w:tcPr>
          <w:p w14:paraId="381526F8" w14:textId="77777777" w:rsidR="00C805A1" w:rsidRPr="003B4362" w:rsidRDefault="00C805A1" w:rsidP="00BE7C7D">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1E84BC81" w14:textId="77777777" w:rsidR="00C805A1" w:rsidRPr="003B4362" w:rsidRDefault="00C805A1" w:rsidP="00BE7C7D">
            <w:r w:rsidRPr="003B4362">
              <w:t>Inadequately treated water may contain disease-causing organisms. These organisms include bacteria, viruses, and parasites that can cause symptoms such as nausea, cramps, diarrhea, and associated headaches.</w:t>
            </w:r>
          </w:p>
        </w:tc>
      </w:tr>
      <w:tr w:rsidR="001628C1" w:rsidRPr="003B4362" w14:paraId="71E6E030"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74C187CB" w14:textId="77777777" w:rsidR="00C805A1" w:rsidRPr="003B4362" w:rsidRDefault="00C805A1" w:rsidP="00BE7C7D">
            <w:r w:rsidRPr="003B4362">
              <w:t>6. Legionella (SWTR/IESWTR/ LT1ESWTR)</w:t>
            </w:r>
          </w:p>
        </w:tc>
        <w:tc>
          <w:tcPr>
            <w:tcW w:w="1440" w:type="dxa"/>
            <w:tcBorders>
              <w:top w:val="single" w:sz="6" w:space="0" w:color="auto"/>
              <w:left w:val="single" w:sz="6" w:space="0" w:color="auto"/>
              <w:bottom w:val="single" w:sz="6" w:space="0" w:color="auto"/>
              <w:right w:val="single" w:sz="6" w:space="0" w:color="auto"/>
            </w:tcBorders>
          </w:tcPr>
          <w:p w14:paraId="3F837347" w14:textId="77777777" w:rsidR="00C805A1" w:rsidRPr="003B4362" w:rsidRDefault="00C805A1" w:rsidP="00BE7C7D">
            <w:pPr>
              <w:jc w:val="center"/>
            </w:pPr>
          </w:p>
        </w:tc>
        <w:tc>
          <w:tcPr>
            <w:tcW w:w="1440" w:type="dxa"/>
            <w:tcBorders>
              <w:top w:val="single" w:sz="6" w:space="0" w:color="auto"/>
              <w:left w:val="single" w:sz="6" w:space="0" w:color="auto"/>
              <w:bottom w:val="single" w:sz="6" w:space="0" w:color="auto"/>
              <w:right w:val="single" w:sz="6" w:space="0" w:color="auto"/>
            </w:tcBorders>
          </w:tcPr>
          <w:p w14:paraId="30EA4070" w14:textId="77777777" w:rsidR="00C805A1" w:rsidRPr="003B4362" w:rsidRDefault="00C805A1" w:rsidP="00BE7C7D">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25B6D3C5" w14:textId="77777777" w:rsidR="00C805A1" w:rsidRPr="003B4362" w:rsidRDefault="00C805A1" w:rsidP="00BE7C7D">
            <w:r w:rsidRPr="003B4362">
              <w:t>Inadequately treated water may contain disease-causing organisms. These organisms include bacteria, viruses, and parasites that can cause symptoms such as nausea, cramps, diarrhea, and associated headaches.</w:t>
            </w:r>
          </w:p>
        </w:tc>
      </w:tr>
      <w:tr w:rsidR="001628C1" w:rsidRPr="003B4362" w14:paraId="7FEDB8BD"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1339769" w14:textId="77777777" w:rsidR="00C805A1" w:rsidRPr="003B4362" w:rsidRDefault="00C805A1" w:rsidP="00BE7C7D">
            <w:r w:rsidRPr="003B4362">
              <w:t>7. Cryptosporidium (IESWTR/FBRR/ LT1ESWTR)</w:t>
            </w:r>
          </w:p>
        </w:tc>
        <w:tc>
          <w:tcPr>
            <w:tcW w:w="1440" w:type="dxa"/>
            <w:tcBorders>
              <w:top w:val="single" w:sz="6" w:space="0" w:color="auto"/>
              <w:left w:val="single" w:sz="6" w:space="0" w:color="auto"/>
              <w:bottom w:val="single" w:sz="6" w:space="0" w:color="auto"/>
              <w:right w:val="single" w:sz="6" w:space="0" w:color="auto"/>
            </w:tcBorders>
          </w:tcPr>
          <w:p w14:paraId="7344684A" w14:textId="77777777" w:rsidR="00C805A1" w:rsidRPr="003B4362" w:rsidRDefault="00C805A1" w:rsidP="00BE7C7D">
            <w:pPr>
              <w:jc w:val="center"/>
            </w:pPr>
          </w:p>
        </w:tc>
        <w:tc>
          <w:tcPr>
            <w:tcW w:w="1440" w:type="dxa"/>
            <w:tcBorders>
              <w:top w:val="single" w:sz="6" w:space="0" w:color="auto"/>
              <w:left w:val="single" w:sz="6" w:space="0" w:color="auto"/>
              <w:bottom w:val="single" w:sz="6" w:space="0" w:color="auto"/>
              <w:right w:val="single" w:sz="6" w:space="0" w:color="auto"/>
            </w:tcBorders>
          </w:tcPr>
          <w:p w14:paraId="2261D439" w14:textId="77777777" w:rsidR="00C805A1" w:rsidRPr="003B4362" w:rsidRDefault="00C805A1" w:rsidP="00BE7C7D">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1E175392" w14:textId="77777777" w:rsidR="00C805A1" w:rsidRPr="003B4362" w:rsidRDefault="00C805A1" w:rsidP="00BE7C7D">
            <w:r w:rsidRPr="003B4362">
              <w:t>Inadequately treated water may contain disease-causing organisms. These organisms include bacteria, viruses, and parasites that can cause symptoms such as nausea, cramps, diarrhea, and associated headaches.</w:t>
            </w:r>
          </w:p>
        </w:tc>
      </w:tr>
      <w:tr w:rsidR="001628C1" w:rsidRPr="003B4362" w14:paraId="563BEDA2"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5DD52D69" w14:textId="77777777" w:rsidR="00C805A1" w:rsidRPr="003B4362" w:rsidRDefault="00C805A1" w:rsidP="00BE7C7D">
            <w:pPr>
              <w:keepNext/>
              <w:keepLines/>
              <w:jc w:val="center"/>
            </w:pPr>
            <w:r w:rsidRPr="003B4362">
              <w:t>C. Inorganic Chemicals (IOCs)</w:t>
            </w:r>
          </w:p>
        </w:tc>
      </w:tr>
      <w:tr w:rsidR="001628C1" w:rsidRPr="003B4362" w14:paraId="0A708FFD"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4184D8C" w14:textId="77777777" w:rsidR="00C805A1" w:rsidRPr="003B4362" w:rsidRDefault="00C805A1" w:rsidP="00BE7C7D">
            <w:r w:rsidRPr="003B4362">
              <w:t>8. Antimony</w:t>
            </w:r>
          </w:p>
        </w:tc>
        <w:tc>
          <w:tcPr>
            <w:tcW w:w="1440" w:type="dxa"/>
            <w:tcBorders>
              <w:top w:val="single" w:sz="6" w:space="0" w:color="auto"/>
              <w:left w:val="single" w:sz="6" w:space="0" w:color="auto"/>
              <w:bottom w:val="single" w:sz="6" w:space="0" w:color="auto"/>
              <w:right w:val="single" w:sz="6" w:space="0" w:color="auto"/>
            </w:tcBorders>
            <w:hideMark/>
          </w:tcPr>
          <w:p w14:paraId="4363CAB4" w14:textId="77777777" w:rsidR="00C805A1" w:rsidRPr="003B4362" w:rsidRDefault="00C805A1" w:rsidP="00BE7C7D">
            <w:pPr>
              <w:jc w:val="center"/>
            </w:pPr>
            <w:r w:rsidRPr="003B4362">
              <w:t>0.006</w:t>
            </w:r>
          </w:p>
        </w:tc>
        <w:tc>
          <w:tcPr>
            <w:tcW w:w="1440" w:type="dxa"/>
            <w:tcBorders>
              <w:top w:val="single" w:sz="6" w:space="0" w:color="auto"/>
              <w:left w:val="single" w:sz="6" w:space="0" w:color="auto"/>
              <w:bottom w:val="single" w:sz="6" w:space="0" w:color="auto"/>
              <w:right w:val="single" w:sz="6" w:space="0" w:color="auto"/>
            </w:tcBorders>
            <w:hideMark/>
          </w:tcPr>
          <w:p w14:paraId="666422DF" w14:textId="77777777" w:rsidR="00C805A1" w:rsidRPr="003B4362" w:rsidRDefault="00C805A1" w:rsidP="00BE7C7D">
            <w:pPr>
              <w:jc w:val="center"/>
            </w:pPr>
            <w:r w:rsidRPr="003B4362">
              <w:t>0.006</w:t>
            </w:r>
          </w:p>
        </w:tc>
        <w:tc>
          <w:tcPr>
            <w:tcW w:w="3600" w:type="dxa"/>
            <w:tcBorders>
              <w:top w:val="single" w:sz="6" w:space="0" w:color="auto"/>
              <w:left w:val="single" w:sz="6" w:space="0" w:color="auto"/>
              <w:bottom w:val="single" w:sz="6" w:space="0" w:color="auto"/>
              <w:right w:val="single" w:sz="6" w:space="0" w:color="auto"/>
            </w:tcBorders>
            <w:hideMark/>
          </w:tcPr>
          <w:p w14:paraId="2A9AA9CB" w14:textId="77777777" w:rsidR="00C805A1" w:rsidRPr="003B4362" w:rsidRDefault="00C805A1" w:rsidP="00BE7C7D">
            <w:r w:rsidRPr="003B4362">
              <w:t>Some people who drink water containing antimony well in excess of the MCL over many years could experience increases in blood cholesterol and decreases in blood sugar.</w:t>
            </w:r>
          </w:p>
        </w:tc>
      </w:tr>
      <w:tr w:rsidR="001628C1" w:rsidRPr="003B4362" w14:paraId="671821F4"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B509C14" w14:textId="77777777" w:rsidR="00C805A1" w:rsidRPr="003B4362" w:rsidRDefault="00C805A1" w:rsidP="00BE7C7D">
            <w:pPr>
              <w:rPr>
                <w:vertAlign w:val="superscript"/>
              </w:rPr>
            </w:pPr>
            <w:r w:rsidRPr="003B4362">
              <w:lastRenderedPageBreak/>
              <w:t>9. Arsenic</w:t>
            </w:r>
          </w:p>
        </w:tc>
        <w:tc>
          <w:tcPr>
            <w:tcW w:w="1440" w:type="dxa"/>
            <w:tcBorders>
              <w:top w:val="single" w:sz="6" w:space="0" w:color="auto"/>
              <w:left w:val="single" w:sz="6" w:space="0" w:color="auto"/>
              <w:bottom w:val="single" w:sz="6" w:space="0" w:color="auto"/>
              <w:right w:val="single" w:sz="6" w:space="0" w:color="auto"/>
            </w:tcBorders>
            <w:hideMark/>
          </w:tcPr>
          <w:p w14:paraId="7E806375" w14:textId="77777777" w:rsidR="00C805A1" w:rsidRPr="003B4362" w:rsidRDefault="00C805A1" w:rsidP="00BE7C7D">
            <w:pPr>
              <w:jc w:val="center"/>
            </w:pPr>
            <w:r w:rsidRPr="003B4362">
              <w:t>0</w:t>
            </w:r>
          </w:p>
        </w:tc>
        <w:tc>
          <w:tcPr>
            <w:tcW w:w="1440" w:type="dxa"/>
            <w:tcBorders>
              <w:top w:val="single" w:sz="6" w:space="0" w:color="auto"/>
              <w:left w:val="single" w:sz="6" w:space="0" w:color="auto"/>
              <w:bottom w:val="single" w:sz="6" w:space="0" w:color="auto"/>
              <w:right w:val="single" w:sz="6" w:space="0" w:color="auto"/>
            </w:tcBorders>
            <w:hideMark/>
          </w:tcPr>
          <w:p w14:paraId="1E74888D" w14:textId="77777777" w:rsidR="00C805A1" w:rsidRPr="003B4362" w:rsidRDefault="00C805A1" w:rsidP="00BE7C7D">
            <w:pPr>
              <w:jc w:val="center"/>
            </w:pPr>
            <w:r w:rsidRPr="003B4362">
              <w:t>0.010</w:t>
            </w:r>
          </w:p>
        </w:tc>
        <w:tc>
          <w:tcPr>
            <w:tcW w:w="3600" w:type="dxa"/>
            <w:tcBorders>
              <w:top w:val="single" w:sz="6" w:space="0" w:color="auto"/>
              <w:left w:val="single" w:sz="6" w:space="0" w:color="auto"/>
              <w:bottom w:val="single" w:sz="6" w:space="0" w:color="auto"/>
              <w:right w:val="single" w:sz="6" w:space="0" w:color="auto"/>
            </w:tcBorders>
            <w:hideMark/>
          </w:tcPr>
          <w:p w14:paraId="77A7453D" w14:textId="77777777" w:rsidR="00C805A1" w:rsidRPr="003B4362" w:rsidRDefault="00C805A1" w:rsidP="00BE7C7D">
            <w:r w:rsidRPr="003B4362">
              <w:t>Some people who drink water containing arsenic in excess of the MCL over many years could experience skin damage or problems with their circulatory system, and may have an increased risk of getting cancer.</w:t>
            </w:r>
          </w:p>
        </w:tc>
      </w:tr>
      <w:tr w:rsidR="001628C1" w:rsidRPr="003B4362" w14:paraId="38B5F756"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3DB83F4" w14:textId="77777777" w:rsidR="00C805A1" w:rsidRPr="003B4362" w:rsidRDefault="00C805A1" w:rsidP="00BE7C7D">
            <w:r w:rsidRPr="003B4362">
              <w:t>10. Asbestos (10 µm)</w:t>
            </w:r>
          </w:p>
        </w:tc>
        <w:tc>
          <w:tcPr>
            <w:tcW w:w="1440" w:type="dxa"/>
            <w:tcBorders>
              <w:top w:val="single" w:sz="6" w:space="0" w:color="auto"/>
              <w:left w:val="single" w:sz="6" w:space="0" w:color="auto"/>
              <w:bottom w:val="single" w:sz="6" w:space="0" w:color="auto"/>
              <w:right w:val="single" w:sz="6" w:space="0" w:color="auto"/>
            </w:tcBorders>
            <w:hideMark/>
          </w:tcPr>
          <w:p w14:paraId="3761FA36" w14:textId="77777777" w:rsidR="00C805A1" w:rsidRPr="003B4362" w:rsidRDefault="00C805A1" w:rsidP="00BE7C7D">
            <w:pPr>
              <w:jc w:val="center"/>
            </w:pPr>
            <w:r w:rsidRPr="003B4362">
              <w:t>7 MFL</w:t>
            </w:r>
            <w:r w:rsidRPr="003B4362">
              <w:rPr>
                <w:vertAlign w:val="superscript"/>
              </w:rPr>
              <w:t>11</w:t>
            </w:r>
          </w:p>
        </w:tc>
        <w:tc>
          <w:tcPr>
            <w:tcW w:w="1440" w:type="dxa"/>
            <w:tcBorders>
              <w:top w:val="single" w:sz="6" w:space="0" w:color="auto"/>
              <w:left w:val="single" w:sz="6" w:space="0" w:color="auto"/>
              <w:bottom w:val="single" w:sz="6" w:space="0" w:color="auto"/>
              <w:right w:val="single" w:sz="6" w:space="0" w:color="auto"/>
            </w:tcBorders>
            <w:hideMark/>
          </w:tcPr>
          <w:p w14:paraId="44C8C9E6" w14:textId="77777777" w:rsidR="00C805A1" w:rsidRPr="003B4362" w:rsidRDefault="00C805A1" w:rsidP="00BE7C7D">
            <w:pPr>
              <w:jc w:val="center"/>
            </w:pPr>
            <w:r w:rsidRPr="003B4362">
              <w:t>7 MFL</w:t>
            </w:r>
          </w:p>
        </w:tc>
        <w:tc>
          <w:tcPr>
            <w:tcW w:w="3600" w:type="dxa"/>
            <w:tcBorders>
              <w:top w:val="single" w:sz="6" w:space="0" w:color="auto"/>
              <w:left w:val="single" w:sz="6" w:space="0" w:color="auto"/>
              <w:bottom w:val="single" w:sz="6" w:space="0" w:color="auto"/>
              <w:right w:val="single" w:sz="6" w:space="0" w:color="auto"/>
            </w:tcBorders>
            <w:hideMark/>
          </w:tcPr>
          <w:p w14:paraId="65F6660D" w14:textId="77777777" w:rsidR="00C805A1" w:rsidRPr="003B4362" w:rsidRDefault="00C805A1" w:rsidP="00BE7C7D">
            <w:r w:rsidRPr="003B4362">
              <w:t>Some people who drink water containing asbestos in excess of the MCL over many years may have an increased risk of developing benign intestinal polyps.</w:t>
            </w:r>
          </w:p>
        </w:tc>
      </w:tr>
      <w:tr w:rsidR="001628C1" w:rsidRPr="003B4362" w14:paraId="217D6864"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7DE6653" w14:textId="77777777" w:rsidR="00C805A1" w:rsidRPr="003B4362" w:rsidRDefault="00C805A1" w:rsidP="00BE7C7D">
            <w:r w:rsidRPr="003B4362">
              <w:t>11. Barium</w:t>
            </w:r>
          </w:p>
        </w:tc>
        <w:tc>
          <w:tcPr>
            <w:tcW w:w="1440" w:type="dxa"/>
            <w:tcBorders>
              <w:top w:val="single" w:sz="6" w:space="0" w:color="auto"/>
              <w:left w:val="single" w:sz="6" w:space="0" w:color="auto"/>
              <w:bottom w:val="single" w:sz="6" w:space="0" w:color="auto"/>
              <w:right w:val="single" w:sz="6" w:space="0" w:color="auto"/>
            </w:tcBorders>
            <w:hideMark/>
          </w:tcPr>
          <w:p w14:paraId="6A084DF3" w14:textId="77777777" w:rsidR="00C805A1" w:rsidRPr="003B4362" w:rsidRDefault="00C805A1" w:rsidP="00BE7C7D">
            <w:pPr>
              <w:jc w:val="center"/>
            </w:pPr>
            <w:r w:rsidRPr="003B4362">
              <w:t>2</w:t>
            </w:r>
          </w:p>
        </w:tc>
        <w:tc>
          <w:tcPr>
            <w:tcW w:w="1440" w:type="dxa"/>
            <w:tcBorders>
              <w:top w:val="single" w:sz="6" w:space="0" w:color="auto"/>
              <w:left w:val="single" w:sz="6" w:space="0" w:color="auto"/>
              <w:bottom w:val="single" w:sz="6" w:space="0" w:color="auto"/>
              <w:right w:val="single" w:sz="6" w:space="0" w:color="auto"/>
            </w:tcBorders>
            <w:hideMark/>
          </w:tcPr>
          <w:p w14:paraId="5BA34E46" w14:textId="77777777" w:rsidR="00C805A1" w:rsidRPr="003B4362" w:rsidRDefault="00C805A1" w:rsidP="00BE7C7D">
            <w:pPr>
              <w:jc w:val="center"/>
            </w:pPr>
            <w:r w:rsidRPr="003B4362">
              <w:t>2</w:t>
            </w:r>
          </w:p>
        </w:tc>
        <w:tc>
          <w:tcPr>
            <w:tcW w:w="3600" w:type="dxa"/>
            <w:tcBorders>
              <w:top w:val="single" w:sz="6" w:space="0" w:color="auto"/>
              <w:left w:val="single" w:sz="6" w:space="0" w:color="auto"/>
              <w:bottom w:val="single" w:sz="6" w:space="0" w:color="auto"/>
              <w:right w:val="single" w:sz="6" w:space="0" w:color="auto"/>
            </w:tcBorders>
            <w:hideMark/>
          </w:tcPr>
          <w:p w14:paraId="22FEBBF5" w14:textId="77777777" w:rsidR="00C805A1" w:rsidRPr="003B4362" w:rsidRDefault="00C805A1" w:rsidP="00BE7C7D">
            <w:r w:rsidRPr="003B4362">
              <w:t>Some people who drink water containing barium in excess of the MCL over many years could experience an increase in their blood pressure.</w:t>
            </w:r>
          </w:p>
        </w:tc>
      </w:tr>
      <w:tr w:rsidR="001628C1" w:rsidRPr="003B4362" w14:paraId="40362242"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31A9B9E" w14:textId="77777777" w:rsidR="00C805A1" w:rsidRPr="003B4362" w:rsidRDefault="00C805A1" w:rsidP="00BE7C7D">
            <w:r w:rsidRPr="003B4362">
              <w:t>12. Beryllium</w:t>
            </w:r>
          </w:p>
        </w:tc>
        <w:tc>
          <w:tcPr>
            <w:tcW w:w="1440" w:type="dxa"/>
            <w:tcBorders>
              <w:top w:val="single" w:sz="6" w:space="0" w:color="auto"/>
              <w:left w:val="single" w:sz="6" w:space="0" w:color="auto"/>
              <w:bottom w:val="single" w:sz="6" w:space="0" w:color="auto"/>
              <w:right w:val="single" w:sz="6" w:space="0" w:color="auto"/>
            </w:tcBorders>
            <w:hideMark/>
          </w:tcPr>
          <w:p w14:paraId="0ED0EDB1" w14:textId="77777777" w:rsidR="00C805A1" w:rsidRPr="003B4362" w:rsidRDefault="00C805A1" w:rsidP="00BE7C7D">
            <w:pPr>
              <w:jc w:val="center"/>
            </w:pPr>
            <w:r w:rsidRPr="003B4362">
              <w:t>0.004</w:t>
            </w:r>
          </w:p>
        </w:tc>
        <w:tc>
          <w:tcPr>
            <w:tcW w:w="1440" w:type="dxa"/>
            <w:tcBorders>
              <w:top w:val="single" w:sz="6" w:space="0" w:color="auto"/>
              <w:left w:val="single" w:sz="6" w:space="0" w:color="auto"/>
              <w:bottom w:val="single" w:sz="6" w:space="0" w:color="auto"/>
              <w:right w:val="single" w:sz="6" w:space="0" w:color="auto"/>
            </w:tcBorders>
            <w:hideMark/>
          </w:tcPr>
          <w:p w14:paraId="003B6B5B" w14:textId="77777777" w:rsidR="00C805A1" w:rsidRPr="003B4362" w:rsidRDefault="00C805A1" w:rsidP="00BE7C7D">
            <w:pPr>
              <w:jc w:val="center"/>
            </w:pPr>
            <w:r w:rsidRPr="003B4362">
              <w:t>0.004</w:t>
            </w:r>
          </w:p>
        </w:tc>
        <w:tc>
          <w:tcPr>
            <w:tcW w:w="3600" w:type="dxa"/>
            <w:tcBorders>
              <w:top w:val="single" w:sz="6" w:space="0" w:color="auto"/>
              <w:left w:val="single" w:sz="6" w:space="0" w:color="auto"/>
              <w:bottom w:val="single" w:sz="6" w:space="0" w:color="auto"/>
              <w:right w:val="single" w:sz="6" w:space="0" w:color="auto"/>
            </w:tcBorders>
            <w:hideMark/>
          </w:tcPr>
          <w:p w14:paraId="0292438D" w14:textId="77777777" w:rsidR="00C805A1" w:rsidRPr="003B4362" w:rsidRDefault="00C805A1" w:rsidP="00BE7C7D">
            <w:r w:rsidRPr="003B4362">
              <w:t>Some people who drink water containing beryllium well in excess of the MCL over many years could develop intestinal lesions.</w:t>
            </w:r>
          </w:p>
        </w:tc>
      </w:tr>
      <w:tr w:rsidR="001628C1" w:rsidRPr="003B4362" w14:paraId="4DFB8F1C"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77CD225E" w14:textId="77777777" w:rsidR="00C805A1" w:rsidRPr="003B4362" w:rsidRDefault="00C805A1" w:rsidP="00BE7C7D">
            <w:r w:rsidRPr="003B4362">
              <w:t>13. Cadmium</w:t>
            </w:r>
          </w:p>
        </w:tc>
        <w:tc>
          <w:tcPr>
            <w:tcW w:w="1440" w:type="dxa"/>
            <w:tcBorders>
              <w:top w:val="single" w:sz="6" w:space="0" w:color="auto"/>
              <w:left w:val="single" w:sz="6" w:space="0" w:color="auto"/>
              <w:bottom w:val="single" w:sz="6" w:space="0" w:color="auto"/>
              <w:right w:val="single" w:sz="6" w:space="0" w:color="auto"/>
            </w:tcBorders>
            <w:hideMark/>
          </w:tcPr>
          <w:p w14:paraId="13AC595A" w14:textId="77777777" w:rsidR="00C805A1" w:rsidRPr="003B4362" w:rsidRDefault="00C805A1" w:rsidP="00BE7C7D">
            <w:pPr>
              <w:jc w:val="center"/>
            </w:pPr>
            <w:r w:rsidRPr="003B4362">
              <w:t>0.005</w:t>
            </w:r>
          </w:p>
        </w:tc>
        <w:tc>
          <w:tcPr>
            <w:tcW w:w="1440" w:type="dxa"/>
            <w:tcBorders>
              <w:top w:val="single" w:sz="6" w:space="0" w:color="auto"/>
              <w:left w:val="single" w:sz="6" w:space="0" w:color="auto"/>
              <w:bottom w:val="single" w:sz="6" w:space="0" w:color="auto"/>
              <w:right w:val="single" w:sz="6" w:space="0" w:color="auto"/>
            </w:tcBorders>
            <w:hideMark/>
          </w:tcPr>
          <w:p w14:paraId="55EC8612"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6DE0391A" w14:textId="77777777" w:rsidR="00C805A1" w:rsidRPr="003B4362" w:rsidRDefault="00C805A1" w:rsidP="00BE7C7D">
            <w:r w:rsidRPr="003B4362">
              <w:t>Some people who drink water containing cadmium in excess of the MCL over many years could experience kidney damage.</w:t>
            </w:r>
          </w:p>
        </w:tc>
      </w:tr>
      <w:tr w:rsidR="001628C1" w:rsidRPr="003B4362" w14:paraId="10CCA077"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6ADF7F8" w14:textId="77777777" w:rsidR="00C805A1" w:rsidRPr="003B4362" w:rsidRDefault="00C805A1" w:rsidP="00BE7C7D">
            <w:r w:rsidRPr="003B4362">
              <w:t>14. Chromium (total)</w:t>
            </w:r>
          </w:p>
        </w:tc>
        <w:tc>
          <w:tcPr>
            <w:tcW w:w="1440" w:type="dxa"/>
            <w:tcBorders>
              <w:top w:val="single" w:sz="6" w:space="0" w:color="auto"/>
              <w:left w:val="single" w:sz="6" w:space="0" w:color="auto"/>
              <w:bottom w:val="single" w:sz="6" w:space="0" w:color="auto"/>
              <w:right w:val="single" w:sz="6" w:space="0" w:color="auto"/>
            </w:tcBorders>
            <w:hideMark/>
          </w:tcPr>
          <w:p w14:paraId="1B0EB3EC" w14:textId="77777777" w:rsidR="00C805A1" w:rsidRPr="003B4362" w:rsidRDefault="00C805A1" w:rsidP="00BE7C7D">
            <w:pPr>
              <w:jc w:val="center"/>
            </w:pPr>
            <w:r w:rsidRPr="003B4362">
              <w:t>0.1</w:t>
            </w:r>
          </w:p>
        </w:tc>
        <w:tc>
          <w:tcPr>
            <w:tcW w:w="1440" w:type="dxa"/>
            <w:tcBorders>
              <w:top w:val="single" w:sz="6" w:space="0" w:color="auto"/>
              <w:left w:val="single" w:sz="6" w:space="0" w:color="auto"/>
              <w:bottom w:val="single" w:sz="6" w:space="0" w:color="auto"/>
              <w:right w:val="single" w:sz="6" w:space="0" w:color="auto"/>
            </w:tcBorders>
            <w:hideMark/>
          </w:tcPr>
          <w:p w14:paraId="1E191B82" w14:textId="77777777" w:rsidR="00C805A1" w:rsidRPr="003B4362" w:rsidRDefault="00C805A1" w:rsidP="00BE7C7D">
            <w:pPr>
              <w:jc w:val="center"/>
            </w:pPr>
            <w:r w:rsidRPr="003B4362">
              <w:t>0.1</w:t>
            </w:r>
          </w:p>
        </w:tc>
        <w:tc>
          <w:tcPr>
            <w:tcW w:w="3600" w:type="dxa"/>
            <w:tcBorders>
              <w:top w:val="single" w:sz="6" w:space="0" w:color="auto"/>
              <w:left w:val="single" w:sz="6" w:space="0" w:color="auto"/>
              <w:bottom w:val="single" w:sz="6" w:space="0" w:color="auto"/>
              <w:right w:val="single" w:sz="6" w:space="0" w:color="auto"/>
            </w:tcBorders>
            <w:hideMark/>
          </w:tcPr>
          <w:p w14:paraId="44411B99" w14:textId="77777777" w:rsidR="00C805A1" w:rsidRPr="003B4362" w:rsidRDefault="00C805A1" w:rsidP="00BE7C7D">
            <w:r w:rsidRPr="003B4362">
              <w:t>Some people who use water containing chromium well in excess of the MCL over many years could experience allergic dermatitis.</w:t>
            </w:r>
          </w:p>
        </w:tc>
      </w:tr>
      <w:tr w:rsidR="001628C1" w:rsidRPr="003B4362" w14:paraId="38298C74"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534AD94" w14:textId="77777777" w:rsidR="00C805A1" w:rsidRPr="003B4362" w:rsidRDefault="00C805A1" w:rsidP="00BE7C7D">
            <w:r w:rsidRPr="003B4362">
              <w:t>15. Cyanide</w:t>
            </w:r>
          </w:p>
        </w:tc>
        <w:tc>
          <w:tcPr>
            <w:tcW w:w="1440" w:type="dxa"/>
            <w:tcBorders>
              <w:top w:val="single" w:sz="6" w:space="0" w:color="auto"/>
              <w:left w:val="single" w:sz="6" w:space="0" w:color="auto"/>
              <w:bottom w:val="single" w:sz="6" w:space="0" w:color="auto"/>
              <w:right w:val="single" w:sz="6" w:space="0" w:color="auto"/>
            </w:tcBorders>
            <w:hideMark/>
          </w:tcPr>
          <w:p w14:paraId="20F3D106" w14:textId="77777777" w:rsidR="00C805A1" w:rsidRPr="003B4362" w:rsidRDefault="00C805A1" w:rsidP="00BE7C7D">
            <w:pPr>
              <w:jc w:val="center"/>
            </w:pPr>
            <w:r w:rsidRPr="003B4362">
              <w:t>0.2</w:t>
            </w:r>
          </w:p>
        </w:tc>
        <w:tc>
          <w:tcPr>
            <w:tcW w:w="1440" w:type="dxa"/>
            <w:tcBorders>
              <w:top w:val="single" w:sz="6" w:space="0" w:color="auto"/>
              <w:left w:val="single" w:sz="6" w:space="0" w:color="auto"/>
              <w:bottom w:val="single" w:sz="6" w:space="0" w:color="auto"/>
              <w:right w:val="single" w:sz="6" w:space="0" w:color="auto"/>
            </w:tcBorders>
            <w:hideMark/>
          </w:tcPr>
          <w:p w14:paraId="44A686E1" w14:textId="77777777" w:rsidR="00C805A1" w:rsidRPr="003B4362" w:rsidRDefault="00C805A1" w:rsidP="00BE7C7D">
            <w:pPr>
              <w:jc w:val="center"/>
            </w:pPr>
            <w:r w:rsidRPr="003B4362">
              <w:t>0.2</w:t>
            </w:r>
          </w:p>
        </w:tc>
        <w:tc>
          <w:tcPr>
            <w:tcW w:w="3600" w:type="dxa"/>
            <w:tcBorders>
              <w:top w:val="single" w:sz="6" w:space="0" w:color="auto"/>
              <w:left w:val="single" w:sz="6" w:space="0" w:color="auto"/>
              <w:bottom w:val="single" w:sz="6" w:space="0" w:color="auto"/>
              <w:right w:val="single" w:sz="6" w:space="0" w:color="auto"/>
            </w:tcBorders>
            <w:hideMark/>
          </w:tcPr>
          <w:p w14:paraId="43914C51" w14:textId="77777777" w:rsidR="00C805A1" w:rsidRPr="003B4362" w:rsidRDefault="00C805A1" w:rsidP="00BE7C7D">
            <w:r w:rsidRPr="003B4362">
              <w:t>Some people who drink water containing cyanide well in excess of the MCL over many years could experience nerve damage or problems with their thyroid.</w:t>
            </w:r>
          </w:p>
        </w:tc>
      </w:tr>
      <w:tr w:rsidR="001628C1" w:rsidRPr="003B4362" w14:paraId="7C5617F4"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CFE0D7E" w14:textId="77777777" w:rsidR="00C805A1" w:rsidRPr="003B4362" w:rsidRDefault="00C805A1" w:rsidP="00BE7C7D">
            <w:r w:rsidRPr="003B4362">
              <w:lastRenderedPageBreak/>
              <w:t>16. Fluoride</w:t>
            </w:r>
          </w:p>
        </w:tc>
        <w:tc>
          <w:tcPr>
            <w:tcW w:w="1440" w:type="dxa"/>
            <w:tcBorders>
              <w:top w:val="single" w:sz="6" w:space="0" w:color="auto"/>
              <w:left w:val="single" w:sz="6" w:space="0" w:color="auto"/>
              <w:bottom w:val="single" w:sz="6" w:space="0" w:color="auto"/>
              <w:right w:val="single" w:sz="6" w:space="0" w:color="auto"/>
            </w:tcBorders>
            <w:hideMark/>
          </w:tcPr>
          <w:p w14:paraId="29585BF6" w14:textId="77777777" w:rsidR="00C805A1" w:rsidRPr="003B4362" w:rsidRDefault="00C805A1" w:rsidP="00BE7C7D">
            <w:pPr>
              <w:jc w:val="center"/>
            </w:pPr>
            <w:r w:rsidRPr="003B4362">
              <w:t>4.0</w:t>
            </w:r>
          </w:p>
        </w:tc>
        <w:tc>
          <w:tcPr>
            <w:tcW w:w="1440" w:type="dxa"/>
            <w:tcBorders>
              <w:top w:val="single" w:sz="6" w:space="0" w:color="auto"/>
              <w:left w:val="single" w:sz="6" w:space="0" w:color="auto"/>
              <w:bottom w:val="single" w:sz="6" w:space="0" w:color="auto"/>
              <w:right w:val="single" w:sz="6" w:space="0" w:color="auto"/>
            </w:tcBorders>
            <w:hideMark/>
          </w:tcPr>
          <w:p w14:paraId="3DCCC741" w14:textId="77777777" w:rsidR="00C805A1" w:rsidRPr="003B4362" w:rsidRDefault="00C805A1" w:rsidP="00BE7C7D">
            <w:pPr>
              <w:jc w:val="center"/>
            </w:pPr>
            <w:r w:rsidRPr="003B4362">
              <w:t>4.0</w:t>
            </w:r>
          </w:p>
        </w:tc>
        <w:tc>
          <w:tcPr>
            <w:tcW w:w="3600" w:type="dxa"/>
            <w:tcBorders>
              <w:top w:val="single" w:sz="6" w:space="0" w:color="auto"/>
              <w:left w:val="single" w:sz="6" w:space="0" w:color="auto"/>
              <w:bottom w:val="single" w:sz="6" w:space="0" w:color="auto"/>
              <w:right w:val="single" w:sz="6" w:space="0" w:color="auto"/>
            </w:tcBorders>
            <w:hideMark/>
          </w:tcPr>
          <w:p w14:paraId="7404EF1D" w14:textId="77777777" w:rsidR="00C805A1" w:rsidRPr="003B4362" w:rsidRDefault="00C805A1" w:rsidP="00BE7C7D">
            <w:r w:rsidRPr="003B4362">
              <w:t>Some people who drink water containing fluoride in excess of the MCL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or pitting of the teeth, and occurs only in developing teeth before they erupt from the gums.</w:t>
            </w:r>
          </w:p>
        </w:tc>
      </w:tr>
      <w:tr w:rsidR="001628C1" w:rsidRPr="003B4362" w14:paraId="592F673F"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DE1E58D" w14:textId="77777777" w:rsidR="00C805A1" w:rsidRPr="003B4362" w:rsidRDefault="00C805A1" w:rsidP="00BE7C7D">
            <w:r w:rsidRPr="003B4362">
              <w:t>17. Mercury (inorganic)</w:t>
            </w:r>
          </w:p>
        </w:tc>
        <w:tc>
          <w:tcPr>
            <w:tcW w:w="1440" w:type="dxa"/>
            <w:tcBorders>
              <w:top w:val="single" w:sz="6" w:space="0" w:color="auto"/>
              <w:left w:val="single" w:sz="6" w:space="0" w:color="auto"/>
              <w:bottom w:val="single" w:sz="6" w:space="0" w:color="auto"/>
              <w:right w:val="single" w:sz="6" w:space="0" w:color="auto"/>
            </w:tcBorders>
            <w:hideMark/>
          </w:tcPr>
          <w:p w14:paraId="2E301A15" w14:textId="77777777" w:rsidR="00C805A1" w:rsidRPr="003B4362" w:rsidRDefault="00C805A1" w:rsidP="00BE7C7D">
            <w:pPr>
              <w:jc w:val="center"/>
            </w:pPr>
            <w:r w:rsidRPr="003B4362">
              <w:t>0.002</w:t>
            </w:r>
          </w:p>
        </w:tc>
        <w:tc>
          <w:tcPr>
            <w:tcW w:w="1440" w:type="dxa"/>
            <w:tcBorders>
              <w:top w:val="single" w:sz="6" w:space="0" w:color="auto"/>
              <w:left w:val="single" w:sz="6" w:space="0" w:color="auto"/>
              <w:bottom w:val="single" w:sz="6" w:space="0" w:color="auto"/>
              <w:right w:val="single" w:sz="6" w:space="0" w:color="auto"/>
            </w:tcBorders>
            <w:hideMark/>
          </w:tcPr>
          <w:p w14:paraId="06655287" w14:textId="77777777" w:rsidR="00C805A1" w:rsidRPr="003B4362" w:rsidRDefault="00C805A1" w:rsidP="00BE7C7D">
            <w:pPr>
              <w:jc w:val="center"/>
            </w:pPr>
            <w:r w:rsidRPr="003B4362">
              <w:t>0.002</w:t>
            </w:r>
          </w:p>
        </w:tc>
        <w:tc>
          <w:tcPr>
            <w:tcW w:w="3600" w:type="dxa"/>
            <w:tcBorders>
              <w:top w:val="single" w:sz="6" w:space="0" w:color="auto"/>
              <w:left w:val="single" w:sz="6" w:space="0" w:color="auto"/>
              <w:bottom w:val="single" w:sz="6" w:space="0" w:color="auto"/>
              <w:right w:val="single" w:sz="6" w:space="0" w:color="auto"/>
            </w:tcBorders>
            <w:hideMark/>
          </w:tcPr>
          <w:p w14:paraId="781BAFAD" w14:textId="77777777" w:rsidR="00C805A1" w:rsidRPr="003B4362" w:rsidRDefault="00C805A1" w:rsidP="00BE7C7D">
            <w:r w:rsidRPr="003B4362">
              <w:t>Some people who drink water containing inorganic mercury well in excess of the MCL over many years could experience kidney damage.</w:t>
            </w:r>
          </w:p>
        </w:tc>
      </w:tr>
      <w:tr w:rsidR="001628C1" w:rsidRPr="003B4362" w14:paraId="09FC8B03"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A98CF34" w14:textId="77777777" w:rsidR="00C805A1" w:rsidRPr="003B4362" w:rsidRDefault="00C805A1" w:rsidP="00BE7C7D">
            <w:r w:rsidRPr="003B4362">
              <w:t>18. Nitrate</w:t>
            </w:r>
          </w:p>
        </w:tc>
        <w:tc>
          <w:tcPr>
            <w:tcW w:w="1440" w:type="dxa"/>
            <w:tcBorders>
              <w:top w:val="single" w:sz="6" w:space="0" w:color="auto"/>
              <w:left w:val="single" w:sz="6" w:space="0" w:color="auto"/>
              <w:bottom w:val="single" w:sz="6" w:space="0" w:color="auto"/>
              <w:right w:val="single" w:sz="6" w:space="0" w:color="auto"/>
            </w:tcBorders>
            <w:hideMark/>
          </w:tcPr>
          <w:p w14:paraId="2351C646" w14:textId="77777777" w:rsidR="00C805A1" w:rsidRPr="003B4362" w:rsidRDefault="00C805A1" w:rsidP="00BE7C7D">
            <w:pPr>
              <w:jc w:val="center"/>
            </w:pPr>
            <w:r w:rsidRPr="003B4362">
              <w:t>10</w:t>
            </w:r>
          </w:p>
        </w:tc>
        <w:tc>
          <w:tcPr>
            <w:tcW w:w="1440" w:type="dxa"/>
            <w:tcBorders>
              <w:top w:val="single" w:sz="6" w:space="0" w:color="auto"/>
              <w:left w:val="single" w:sz="6" w:space="0" w:color="auto"/>
              <w:bottom w:val="single" w:sz="6" w:space="0" w:color="auto"/>
              <w:right w:val="single" w:sz="6" w:space="0" w:color="auto"/>
            </w:tcBorders>
            <w:hideMark/>
          </w:tcPr>
          <w:p w14:paraId="133030BE" w14:textId="77777777" w:rsidR="00C805A1" w:rsidRPr="003B4362" w:rsidRDefault="00C805A1" w:rsidP="00BE7C7D">
            <w:pPr>
              <w:jc w:val="center"/>
            </w:pPr>
            <w:r w:rsidRPr="003B4362">
              <w:t>10</w:t>
            </w:r>
          </w:p>
        </w:tc>
        <w:tc>
          <w:tcPr>
            <w:tcW w:w="3600" w:type="dxa"/>
            <w:tcBorders>
              <w:top w:val="single" w:sz="6" w:space="0" w:color="auto"/>
              <w:left w:val="single" w:sz="6" w:space="0" w:color="auto"/>
              <w:bottom w:val="single" w:sz="6" w:space="0" w:color="auto"/>
              <w:right w:val="single" w:sz="6" w:space="0" w:color="auto"/>
            </w:tcBorders>
            <w:hideMark/>
          </w:tcPr>
          <w:p w14:paraId="3ACA9D2D" w14:textId="77777777" w:rsidR="00C805A1" w:rsidRPr="003B4362" w:rsidRDefault="00C805A1" w:rsidP="00BE7C7D">
            <w:r w:rsidRPr="003B4362">
              <w:t>Infants below the age of six months who drink water containing nitrate in excess of the MCL could become seriously ill and, if untreated, may die. Symptoms include shortness of breath and blue baby syndrome.</w:t>
            </w:r>
          </w:p>
        </w:tc>
      </w:tr>
      <w:tr w:rsidR="001628C1" w:rsidRPr="003B4362" w14:paraId="2AFF1223"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86DA664" w14:textId="77777777" w:rsidR="00C805A1" w:rsidRPr="003B4362" w:rsidRDefault="00C805A1" w:rsidP="00BE7C7D">
            <w:r w:rsidRPr="003B4362">
              <w:t>19. Nitrite</w:t>
            </w:r>
          </w:p>
        </w:tc>
        <w:tc>
          <w:tcPr>
            <w:tcW w:w="1440" w:type="dxa"/>
            <w:tcBorders>
              <w:top w:val="single" w:sz="6" w:space="0" w:color="auto"/>
              <w:left w:val="single" w:sz="6" w:space="0" w:color="auto"/>
              <w:bottom w:val="single" w:sz="6" w:space="0" w:color="auto"/>
              <w:right w:val="single" w:sz="6" w:space="0" w:color="auto"/>
            </w:tcBorders>
            <w:hideMark/>
          </w:tcPr>
          <w:p w14:paraId="61951BEC" w14:textId="77777777" w:rsidR="00C805A1" w:rsidRPr="003B4362" w:rsidRDefault="00C805A1" w:rsidP="00BE7C7D">
            <w:pPr>
              <w:jc w:val="center"/>
            </w:pPr>
            <w:r w:rsidRPr="003B4362">
              <w:t>1</w:t>
            </w:r>
          </w:p>
        </w:tc>
        <w:tc>
          <w:tcPr>
            <w:tcW w:w="1440" w:type="dxa"/>
            <w:tcBorders>
              <w:top w:val="single" w:sz="6" w:space="0" w:color="auto"/>
              <w:left w:val="single" w:sz="6" w:space="0" w:color="auto"/>
              <w:bottom w:val="single" w:sz="6" w:space="0" w:color="auto"/>
              <w:right w:val="single" w:sz="6" w:space="0" w:color="auto"/>
            </w:tcBorders>
            <w:hideMark/>
          </w:tcPr>
          <w:p w14:paraId="305D2585" w14:textId="77777777" w:rsidR="00C805A1" w:rsidRPr="003B4362" w:rsidRDefault="00C805A1" w:rsidP="00BE7C7D">
            <w:pPr>
              <w:jc w:val="center"/>
            </w:pPr>
            <w:r w:rsidRPr="003B4362">
              <w:t>1</w:t>
            </w:r>
          </w:p>
        </w:tc>
        <w:tc>
          <w:tcPr>
            <w:tcW w:w="3600" w:type="dxa"/>
            <w:tcBorders>
              <w:top w:val="single" w:sz="6" w:space="0" w:color="auto"/>
              <w:left w:val="single" w:sz="6" w:space="0" w:color="auto"/>
              <w:bottom w:val="single" w:sz="6" w:space="0" w:color="auto"/>
              <w:right w:val="single" w:sz="6" w:space="0" w:color="auto"/>
            </w:tcBorders>
            <w:hideMark/>
          </w:tcPr>
          <w:p w14:paraId="007531AB" w14:textId="77777777" w:rsidR="00C805A1" w:rsidRPr="003B4362" w:rsidRDefault="00C805A1" w:rsidP="00BE7C7D">
            <w:r w:rsidRPr="003B4362">
              <w:t>Infants below the age of six months who drink water containing nitrite in excess of the MCL could become seriously ill and, if untreated, may die. Symptoms include shortness of breath and blue baby syndrome.</w:t>
            </w:r>
          </w:p>
        </w:tc>
      </w:tr>
      <w:tr w:rsidR="001628C1" w:rsidRPr="003B4362" w14:paraId="2DA524D5"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6679838" w14:textId="77777777" w:rsidR="00C805A1" w:rsidRPr="003B4362" w:rsidRDefault="00C805A1" w:rsidP="00BE7C7D">
            <w:r w:rsidRPr="003B4362">
              <w:t>20. Total Nitrate and Nitrite</w:t>
            </w:r>
          </w:p>
        </w:tc>
        <w:tc>
          <w:tcPr>
            <w:tcW w:w="1440" w:type="dxa"/>
            <w:tcBorders>
              <w:top w:val="single" w:sz="6" w:space="0" w:color="auto"/>
              <w:left w:val="single" w:sz="6" w:space="0" w:color="auto"/>
              <w:bottom w:val="single" w:sz="6" w:space="0" w:color="auto"/>
              <w:right w:val="single" w:sz="6" w:space="0" w:color="auto"/>
            </w:tcBorders>
            <w:hideMark/>
          </w:tcPr>
          <w:p w14:paraId="1F47509C" w14:textId="77777777" w:rsidR="00C805A1" w:rsidRPr="003B4362" w:rsidRDefault="00C805A1" w:rsidP="00BE7C7D">
            <w:pPr>
              <w:jc w:val="center"/>
            </w:pPr>
            <w:r w:rsidRPr="003B4362">
              <w:t>10</w:t>
            </w:r>
          </w:p>
        </w:tc>
        <w:tc>
          <w:tcPr>
            <w:tcW w:w="1440" w:type="dxa"/>
            <w:tcBorders>
              <w:top w:val="single" w:sz="6" w:space="0" w:color="auto"/>
              <w:left w:val="single" w:sz="6" w:space="0" w:color="auto"/>
              <w:bottom w:val="single" w:sz="6" w:space="0" w:color="auto"/>
              <w:right w:val="single" w:sz="6" w:space="0" w:color="auto"/>
            </w:tcBorders>
            <w:hideMark/>
          </w:tcPr>
          <w:p w14:paraId="0DEC2B9B" w14:textId="77777777" w:rsidR="00C805A1" w:rsidRPr="003B4362" w:rsidRDefault="00C805A1" w:rsidP="00BE7C7D">
            <w:pPr>
              <w:jc w:val="center"/>
            </w:pPr>
            <w:r w:rsidRPr="003B4362">
              <w:t>10</w:t>
            </w:r>
          </w:p>
        </w:tc>
        <w:tc>
          <w:tcPr>
            <w:tcW w:w="3600" w:type="dxa"/>
            <w:tcBorders>
              <w:top w:val="single" w:sz="6" w:space="0" w:color="auto"/>
              <w:left w:val="single" w:sz="6" w:space="0" w:color="auto"/>
              <w:bottom w:val="single" w:sz="6" w:space="0" w:color="auto"/>
              <w:right w:val="single" w:sz="6" w:space="0" w:color="auto"/>
            </w:tcBorders>
            <w:hideMark/>
          </w:tcPr>
          <w:p w14:paraId="38519A9C" w14:textId="77777777" w:rsidR="00C805A1" w:rsidRPr="003B4362" w:rsidRDefault="00C805A1" w:rsidP="00BE7C7D">
            <w:r w:rsidRPr="003B4362">
              <w:t>Infants below the age of six months who drink water containing nitrate and nitrite in excess of the MCL could become seriously ill and, if untreated, may die. Symptoms include shortness of breath and blue baby syndrome.</w:t>
            </w:r>
          </w:p>
        </w:tc>
      </w:tr>
      <w:tr w:rsidR="001628C1" w:rsidRPr="003B4362" w14:paraId="765F000E"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382CC8E" w14:textId="77777777" w:rsidR="00C805A1" w:rsidRPr="003B4362" w:rsidRDefault="00C805A1" w:rsidP="00BE7C7D">
            <w:r w:rsidRPr="003B4362">
              <w:lastRenderedPageBreak/>
              <w:t>21. Selenium</w:t>
            </w:r>
          </w:p>
        </w:tc>
        <w:tc>
          <w:tcPr>
            <w:tcW w:w="1440" w:type="dxa"/>
            <w:tcBorders>
              <w:top w:val="single" w:sz="6" w:space="0" w:color="auto"/>
              <w:left w:val="single" w:sz="6" w:space="0" w:color="auto"/>
              <w:bottom w:val="single" w:sz="6" w:space="0" w:color="auto"/>
              <w:right w:val="single" w:sz="6" w:space="0" w:color="auto"/>
            </w:tcBorders>
            <w:hideMark/>
          </w:tcPr>
          <w:p w14:paraId="3BEE40DF" w14:textId="77777777" w:rsidR="00C805A1" w:rsidRPr="003B4362" w:rsidRDefault="00C805A1" w:rsidP="00BE7C7D">
            <w:pPr>
              <w:jc w:val="center"/>
            </w:pPr>
            <w:r w:rsidRPr="003B4362">
              <w:t>0.05</w:t>
            </w:r>
          </w:p>
        </w:tc>
        <w:tc>
          <w:tcPr>
            <w:tcW w:w="1440" w:type="dxa"/>
            <w:tcBorders>
              <w:top w:val="single" w:sz="6" w:space="0" w:color="auto"/>
              <w:left w:val="single" w:sz="6" w:space="0" w:color="auto"/>
              <w:bottom w:val="single" w:sz="6" w:space="0" w:color="auto"/>
              <w:right w:val="single" w:sz="6" w:space="0" w:color="auto"/>
            </w:tcBorders>
            <w:hideMark/>
          </w:tcPr>
          <w:p w14:paraId="3E3B8A52" w14:textId="77777777" w:rsidR="00C805A1" w:rsidRPr="003B4362" w:rsidRDefault="00C805A1" w:rsidP="00BE7C7D">
            <w:pPr>
              <w:jc w:val="center"/>
            </w:pPr>
            <w:r w:rsidRPr="003B4362">
              <w:t>0.05</w:t>
            </w:r>
          </w:p>
        </w:tc>
        <w:tc>
          <w:tcPr>
            <w:tcW w:w="3600" w:type="dxa"/>
            <w:tcBorders>
              <w:top w:val="single" w:sz="6" w:space="0" w:color="auto"/>
              <w:left w:val="single" w:sz="6" w:space="0" w:color="auto"/>
              <w:bottom w:val="single" w:sz="6" w:space="0" w:color="auto"/>
              <w:right w:val="single" w:sz="6" w:space="0" w:color="auto"/>
            </w:tcBorders>
            <w:hideMark/>
          </w:tcPr>
          <w:p w14:paraId="0D36476E" w14:textId="77777777" w:rsidR="00C805A1" w:rsidRPr="003B4362" w:rsidRDefault="00C805A1" w:rsidP="00BE7C7D">
            <w:r w:rsidRPr="003B4362">
              <w:t>Selenium is an essential nutrient. However, some people who drink water containing selenium in excess of the MCL over many years could experience hair or fingernail losses, numbness in fingers or toes, or problems with their circulation.</w:t>
            </w:r>
          </w:p>
        </w:tc>
      </w:tr>
      <w:tr w:rsidR="001628C1" w:rsidRPr="003B4362" w14:paraId="1495F8F5"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59202A9" w14:textId="77777777" w:rsidR="00C805A1" w:rsidRPr="003B4362" w:rsidRDefault="00C805A1" w:rsidP="00BE7C7D">
            <w:r w:rsidRPr="003B4362">
              <w:t>22. Thallium</w:t>
            </w:r>
          </w:p>
        </w:tc>
        <w:tc>
          <w:tcPr>
            <w:tcW w:w="1440" w:type="dxa"/>
            <w:tcBorders>
              <w:top w:val="single" w:sz="6" w:space="0" w:color="auto"/>
              <w:left w:val="single" w:sz="6" w:space="0" w:color="auto"/>
              <w:bottom w:val="single" w:sz="6" w:space="0" w:color="auto"/>
              <w:right w:val="single" w:sz="6" w:space="0" w:color="auto"/>
            </w:tcBorders>
            <w:hideMark/>
          </w:tcPr>
          <w:p w14:paraId="3D7CE4B0" w14:textId="77777777" w:rsidR="00C805A1" w:rsidRPr="003B4362" w:rsidRDefault="00C805A1" w:rsidP="00BE7C7D">
            <w:pPr>
              <w:jc w:val="center"/>
            </w:pPr>
            <w:r w:rsidRPr="003B4362">
              <w:t>0.0005</w:t>
            </w:r>
          </w:p>
        </w:tc>
        <w:tc>
          <w:tcPr>
            <w:tcW w:w="1440" w:type="dxa"/>
            <w:tcBorders>
              <w:top w:val="single" w:sz="6" w:space="0" w:color="auto"/>
              <w:left w:val="single" w:sz="6" w:space="0" w:color="auto"/>
              <w:bottom w:val="single" w:sz="6" w:space="0" w:color="auto"/>
              <w:right w:val="single" w:sz="6" w:space="0" w:color="auto"/>
            </w:tcBorders>
            <w:hideMark/>
          </w:tcPr>
          <w:p w14:paraId="7B5DFEDD" w14:textId="77777777" w:rsidR="00C805A1" w:rsidRPr="003B4362" w:rsidRDefault="00C805A1" w:rsidP="00BE7C7D">
            <w:pPr>
              <w:jc w:val="center"/>
            </w:pPr>
            <w:r w:rsidRPr="003B4362">
              <w:t>0.002</w:t>
            </w:r>
          </w:p>
        </w:tc>
        <w:tc>
          <w:tcPr>
            <w:tcW w:w="3600" w:type="dxa"/>
            <w:tcBorders>
              <w:top w:val="single" w:sz="6" w:space="0" w:color="auto"/>
              <w:left w:val="single" w:sz="6" w:space="0" w:color="auto"/>
              <w:bottom w:val="single" w:sz="6" w:space="0" w:color="auto"/>
              <w:right w:val="single" w:sz="6" w:space="0" w:color="auto"/>
            </w:tcBorders>
            <w:hideMark/>
          </w:tcPr>
          <w:p w14:paraId="600756B3" w14:textId="77777777" w:rsidR="00C805A1" w:rsidRPr="003B4362" w:rsidRDefault="00C805A1" w:rsidP="00BE7C7D">
            <w:r w:rsidRPr="003B4362">
              <w:t>Some people who drink water containing thallium in excess of the MCL over many years could experience hair loss, changes in their blood, or problems with their kidneys, intestines, or liver.</w:t>
            </w:r>
          </w:p>
        </w:tc>
      </w:tr>
      <w:tr w:rsidR="001628C1" w:rsidRPr="003B4362" w14:paraId="3B479EA0"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587C8001" w14:textId="77777777" w:rsidR="00C805A1" w:rsidRPr="003B4362" w:rsidRDefault="00C805A1" w:rsidP="00BE7C7D">
            <w:pPr>
              <w:keepNext/>
              <w:keepLines/>
              <w:jc w:val="center"/>
            </w:pPr>
            <w:r w:rsidRPr="003B4362">
              <w:t>D. Lead and Copper Rule</w:t>
            </w:r>
          </w:p>
        </w:tc>
      </w:tr>
      <w:tr w:rsidR="001628C1" w:rsidRPr="003B4362" w14:paraId="6A39F12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59D280E" w14:textId="77777777" w:rsidR="00C805A1" w:rsidRPr="003B4362" w:rsidRDefault="00C805A1" w:rsidP="00BE7C7D">
            <w:r w:rsidRPr="003B4362">
              <w:t>23. Lead</w:t>
            </w:r>
          </w:p>
        </w:tc>
        <w:tc>
          <w:tcPr>
            <w:tcW w:w="1440" w:type="dxa"/>
            <w:tcBorders>
              <w:top w:val="single" w:sz="6" w:space="0" w:color="auto"/>
              <w:left w:val="single" w:sz="6" w:space="0" w:color="auto"/>
              <w:bottom w:val="single" w:sz="6" w:space="0" w:color="auto"/>
              <w:right w:val="single" w:sz="6" w:space="0" w:color="auto"/>
            </w:tcBorders>
            <w:hideMark/>
          </w:tcPr>
          <w:p w14:paraId="39168950"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309E8EF1" w14:textId="77777777" w:rsidR="00C805A1" w:rsidRPr="003B4362" w:rsidRDefault="00C805A1" w:rsidP="00BE7C7D">
            <w:pPr>
              <w:jc w:val="center"/>
            </w:pPr>
            <w:r w:rsidRPr="003B4362">
              <w:t>TT</w:t>
            </w:r>
            <w:r w:rsidRPr="003B4362">
              <w:rPr>
                <w:vertAlign w:val="superscript"/>
              </w:rPr>
              <w:t>12</w:t>
            </w:r>
          </w:p>
        </w:tc>
        <w:tc>
          <w:tcPr>
            <w:tcW w:w="3600" w:type="dxa"/>
            <w:tcBorders>
              <w:top w:val="single" w:sz="6" w:space="0" w:color="auto"/>
              <w:left w:val="single" w:sz="6" w:space="0" w:color="auto"/>
              <w:bottom w:val="single" w:sz="6" w:space="0" w:color="auto"/>
              <w:right w:val="single" w:sz="6" w:space="0" w:color="auto"/>
            </w:tcBorders>
            <w:hideMark/>
          </w:tcPr>
          <w:p w14:paraId="4DDE74F6" w14:textId="4CBC09D6" w:rsidR="00C805A1" w:rsidRPr="003B4362" w:rsidRDefault="003668EC" w:rsidP="00BE7C7D">
            <w:r w:rsidRPr="003B4362">
              <w:rPr>
                <w:szCs w:val="24"/>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tc>
      </w:tr>
      <w:tr w:rsidR="001628C1" w:rsidRPr="003B4362" w14:paraId="01F764AA"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BE58C08" w14:textId="77777777" w:rsidR="00C805A1" w:rsidRPr="003B4362" w:rsidRDefault="00C805A1" w:rsidP="00BE7C7D">
            <w:r w:rsidRPr="003B4362">
              <w:lastRenderedPageBreak/>
              <w:t>24. Copper</w:t>
            </w:r>
          </w:p>
        </w:tc>
        <w:tc>
          <w:tcPr>
            <w:tcW w:w="1440" w:type="dxa"/>
            <w:tcBorders>
              <w:top w:val="single" w:sz="6" w:space="0" w:color="auto"/>
              <w:left w:val="single" w:sz="6" w:space="0" w:color="auto"/>
              <w:bottom w:val="single" w:sz="6" w:space="0" w:color="auto"/>
              <w:right w:val="single" w:sz="6" w:space="0" w:color="auto"/>
            </w:tcBorders>
            <w:hideMark/>
          </w:tcPr>
          <w:p w14:paraId="4039FC74" w14:textId="77777777" w:rsidR="00C805A1" w:rsidRPr="003B4362" w:rsidRDefault="00C805A1" w:rsidP="00BE7C7D">
            <w:pPr>
              <w:jc w:val="center"/>
            </w:pPr>
            <w:r w:rsidRPr="003B4362">
              <w:t>1.3</w:t>
            </w:r>
          </w:p>
        </w:tc>
        <w:tc>
          <w:tcPr>
            <w:tcW w:w="1440" w:type="dxa"/>
            <w:tcBorders>
              <w:top w:val="single" w:sz="6" w:space="0" w:color="auto"/>
              <w:left w:val="single" w:sz="6" w:space="0" w:color="auto"/>
              <w:bottom w:val="single" w:sz="6" w:space="0" w:color="auto"/>
              <w:right w:val="single" w:sz="6" w:space="0" w:color="auto"/>
            </w:tcBorders>
            <w:hideMark/>
          </w:tcPr>
          <w:p w14:paraId="0B96B70D" w14:textId="77777777" w:rsidR="00C805A1" w:rsidRPr="003B4362" w:rsidRDefault="00C805A1" w:rsidP="00BE7C7D">
            <w:pPr>
              <w:jc w:val="center"/>
            </w:pPr>
            <w:r w:rsidRPr="003B4362">
              <w:t>TT</w:t>
            </w:r>
            <w:r w:rsidRPr="003B4362">
              <w:rPr>
                <w:vertAlign w:val="superscript"/>
              </w:rPr>
              <w:t>13</w:t>
            </w:r>
          </w:p>
        </w:tc>
        <w:tc>
          <w:tcPr>
            <w:tcW w:w="3600" w:type="dxa"/>
            <w:tcBorders>
              <w:top w:val="single" w:sz="6" w:space="0" w:color="auto"/>
              <w:left w:val="single" w:sz="6" w:space="0" w:color="auto"/>
              <w:bottom w:val="single" w:sz="6" w:space="0" w:color="auto"/>
              <w:right w:val="single" w:sz="6" w:space="0" w:color="auto"/>
            </w:tcBorders>
            <w:hideMark/>
          </w:tcPr>
          <w:p w14:paraId="2FF91716" w14:textId="77777777" w:rsidR="00C805A1" w:rsidRPr="003B4362" w:rsidRDefault="00C805A1" w:rsidP="00BE7C7D">
            <w:r w:rsidRPr="003B4362">
              <w:t>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tc>
      </w:tr>
      <w:tr w:rsidR="001628C1" w:rsidRPr="003B4362" w14:paraId="6BC56E39"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0ADD6DAE" w14:textId="77777777" w:rsidR="00C805A1" w:rsidRPr="003B4362" w:rsidRDefault="00C805A1" w:rsidP="00BE7C7D">
            <w:pPr>
              <w:keepNext/>
              <w:keepLines/>
              <w:jc w:val="center"/>
            </w:pPr>
            <w:r w:rsidRPr="003B4362">
              <w:t>E. Synthetic Organic Chemicals (SOCs)</w:t>
            </w:r>
          </w:p>
        </w:tc>
      </w:tr>
      <w:tr w:rsidR="001628C1" w:rsidRPr="003B4362" w14:paraId="50975C5A"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0227284" w14:textId="77777777" w:rsidR="00C805A1" w:rsidRPr="003B4362" w:rsidRDefault="00C805A1" w:rsidP="00BE7C7D">
            <w:r w:rsidRPr="003B4362">
              <w:t>25. 2,4-D</w:t>
            </w:r>
          </w:p>
        </w:tc>
        <w:tc>
          <w:tcPr>
            <w:tcW w:w="1440" w:type="dxa"/>
            <w:tcBorders>
              <w:top w:val="single" w:sz="6" w:space="0" w:color="auto"/>
              <w:left w:val="single" w:sz="6" w:space="0" w:color="auto"/>
              <w:bottom w:val="single" w:sz="6" w:space="0" w:color="auto"/>
              <w:right w:val="single" w:sz="6" w:space="0" w:color="auto"/>
            </w:tcBorders>
            <w:hideMark/>
          </w:tcPr>
          <w:p w14:paraId="148FF937" w14:textId="77777777" w:rsidR="00C805A1" w:rsidRPr="003B4362" w:rsidRDefault="00C805A1" w:rsidP="00BE7C7D">
            <w:pPr>
              <w:jc w:val="center"/>
            </w:pPr>
            <w:r w:rsidRPr="003B4362">
              <w:t>0.07</w:t>
            </w:r>
          </w:p>
        </w:tc>
        <w:tc>
          <w:tcPr>
            <w:tcW w:w="1440" w:type="dxa"/>
            <w:tcBorders>
              <w:top w:val="single" w:sz="6" w:space="0" w:color="auto"/>
              <w:left w:val="single" w:sz="6" w:space="0" w:color="auto"/>
              <w:bottom w:val="single" w:sz="6" w:space="0" w:color="auto"/>
              <w:right w:val="single" w:sz="6" w:space="0" w:color="auto"/>
            </w:tcBorders>
            <w:hideMark/>
          </w:tcPr>
          <w:p w14:paraId="72585C7D" w14:textId="77777777" w:rsidR="00C805A1" w:rsidRPr="003B4362" w:rsidRDefault="00C805A1" w:rsidP="00BE7C7D">
            <w:pPr>
              <w:jc w:val="center"/>
            </w:pPr>
            <w:r w:rsidRPr="003B4362">
              <w:t>0.07</w:t>
            </w:r>
          </w:p>
        </w:tc>
        <w:tc>
          <w:tcPr>
            <w:tcW w:w="3600" w:type="dxa"/>
            <w:tcBorders>
              <w:top w:val="single" w:sz="6" w:space="0" w:color="auto"/>
              <w:left w:val="single" w:sz="6" w:space="0" w:color="auto"/>
              <w:bottom w:val="single" w:sz="6" w:space="0" w:color="auto"/>
              <w:right w:val="single" w:sz="6" w:space="0" w:color="auto"/>
            </w:tcBorders>
            <w:hideMark/>
          </w:tcPr>
          <w:p w14:paraId="42E11960" w14:textId="77777777" w:rsidR="00C805A1" w:rsidRPr="003B4362" w:rsidRDefault="00C805A1" w:rsidP="00BE7C7D">
            <w:r w:rsidRPr="003B4362">
              <w:t>Some people who drink water containing the weed killer 2,4-D well in excess of the MCL over many years could experience problems with their kidneys, liver, or adrenal glands.</w:t>
            </w:r>
          </w:p>
        </w:tc>
      </w:tr>
      <w:tr w:rsidR="001628C1" w:rsidRPr="003B4362" w14:paraId="43901C23"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9BED8C9" w14:textId="77777777" w:rsidR="00C805A1" w:rsidRPr="003B4362" w:rsidRDefault="00C805A1" w:rsidP="00BE7C7D">
            <w:r w:rsidRPr="003B4362">
              <w:t>26. 2,4,5-TP (silvex)</w:t>
            </w:r>
          </w:p>
        </w:tc>
        <w:tc>
          <w:tcPr>
            <w:tcW w:w="1440" w:type="dxa"/>
            <w:tcBorders>
              <w:top w:val="single" w:sz="6" w:space="0" w:color="auto"/>
              <w:left w:val="single" w:sz="6" w:space="0" w:color="auto"/>
              <w:bottom w:val="single" w:sz="6" w:space="0" w:color="auto"/>
              <w:right w:val="single" w:sz="6" w:space="0" w:color="auto"/>
            </w:tcBorders>
            <w:hideMark/>
          </w:tcPr>
          <w:p w14:paraId="098F8D09" w14:textId="77777777" w:rsidR="00C805A1" w:rsidRPr="003B4362" w:rsidRDefault="00C805A1" w:rsidP="00BE7C7D">
            <w:pPr>
              <w:jc w:val="center"/>
            </w:pPr>
            <w:r w:rsidRPr="003B4362">
              <w:t>0.05</w:t>
            </w:r>
          </w:p>
        </w:tc>
        <w:tc>
          <w:tcPr>
            <w:tcW w:w="1440" w:type="dxa"/>
            <w:tcBorders>
              <w:top w:val="single" w:sz="6" w:space="0" w:color="auto"/>
              <w:left w:val="single" w:sz="6" w:space="0" w:color="auto"/>
              <w:bottom w:val="single" w:sz="6" w:space="0" w:color="auto"/>
              <w:right w:val="single" w:sz="6" w:space="0" w:color="auto"/>
            </w:tcBorders>
            <w:hideMark/>
          </w:tcPr>
          <w:p w14:paraId="632248F7" w14:textId="77777777" w:rsidR="00C805A1" w:rsidRPr="003B4362" w:rsidRDefault="00C805A1" w:rsidP="00BE7C7D">
            <w:pPr>
              <w:jc w:val="center"/>
            </w:pPr>
            <w:r w:rsidRPr="003B4362">
              <w:t>0.05</w:t>
            </w:r>
          </w:p>
        </w:tc>
        <w:tc>
          <w:tcPr>
            <w:tcW w:w="3600" w:type="dxa"/>
            <w:tcBorders>
              <w:top w:val="single" w:sz="6" w:space="0" w:color="auto"/>
              <w:left w:val="single" w:sz="6" w:space="0" w:color="auto"/>
              <w:bottom w:val="single" w:sz="6" w:space="0" w:color="auto"/>
              <w:right w:val="single" w:sz="6" w:space="0" w:color="auto"/>
            </w:tcBorders>
            <w:hideMark/>
          </w:tcPr>
          <w:p w14:paraId="35561C80" w14:textId="77777777" w:rsidR="00C805A1" w:rsidRPr="003B4362" w:rsidRDefault="00C805A1" w:rsidP="00BE7C7D">
            <w:r w:rsidRPr="003B4362">
              <w:t>Some people who drink water containing silvex in excess of the MCL over many years could experience liver problems.</w:t>
            </w:r>
          </w:p>
        </w:tc>
      </w:tr>
      <w:tr w:rsidR="001628C1" w:rsidRPr="003B4362" w14:paraId="216AC2A4"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A94490E" w14:textId="77777777" w:rsidR="00C805A1" w:rsidRPr="003B4362" w:rsidRDefault="00C805A1" w:rsidP="00BE7C7D">
            <w:r w:rsidRPr="003B4362">
              <w:t>27. Alachlor</w:t>
            </w:r>
          </w:p>
        </w:tc>
        <w:tc>
          <w:tcPr>
            <w:tcW w:w="1440" w:type="dxa"/>
            <w:tcBorders>
              <w:top w:val="single" w:sz="6" w:space="0" w:color="auto"/>
              <w:left w:val="single" w:sz="6" w:space="0" w:color="auto"/>
              <w:bottom w:val="single" w:sz="6" w:space="0" w:color="auto"/>
              <w:right w:val="single" w:sz="6" w:space="0" w:color="auto"/>
            </w:tcBorders>
            <w:hideMark/>
          </w:tcPr>
          <w:p w14:paraId="75C3457F"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5F4E07CE" w14:textId="77777777" w:rsidR="00C805A1" w:rsidRPr="003B4362" w:rsidRDefault="00C805A1" w:rsidP="00BE7C7D">
            <w:pPr>
              <w:jc w:val="center"/>
            </w:pPr>
            <w:r w:rsidRPr="003B4362">
              <w:t>0.002</w:t>
            </w:r>
          </w:p>
        </w:tc>
        <w:tc>
          <w:tcPr>
            <w:tcW w:w="3600" w:type="dxa"/>
            <w:tcBorders>
              <w:top w:val="single" w:sz="6" w:space="0" w:color="auto"/>
              <w:left w:val="single" w:sz="6" w:space="0" w:color="auto"/>
              <w:bottom w:val="single" w:sz="6" w:space="0" w:color="auto"/>
              <w:right w:val="single" w:sz="6" w:space="0" w:color="auto"/>
            </w:tcBorders>
            <w:hideMark/>
          </w:tcPr>
          <w:p w14:paraId="4F8E4E9D" w14:textId="77777777" w:rsidR="00C805A1" w:rsidRPr="003B4362" w:rsidRDefault="00C805A1" w:rsidP="00BE7C7D">
            <w:r w:rsidRPr="003B4362">
              <w:t>Some people who drink water containing alachlor in excess of the MCL over many years could have problems with their eyes, liver, kidneys, or spleen, or experience anemia, and may have an increased risk of getting cancer.</w:t>
            </w:r>
          </w:p>
        </w:tc>
      </w:tr>
      <w:tr w:rsidR="001628C1" w:rsidRPr="003B4362" w14:paraId="3E6ACAB1"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7B9CCBF" w14:textId="77777777" w:rsidR="00C805A1" w:rsidRPr="003B4362" w:rsidRDefault="00C805A1" w:rsidP="00BE7C7D">
            <w:r w:rsidRPr="003B4362">
              <w:t>28. Atrazine</w:t>
            </w:r>
          </w:p>
        </w:tc>
        <w:tc>
          <w:tcPr>
            <w:tcW w:w="1440" w:type="dxa"/>
            <w:tcBorders>
              <w:top w:val="single" w:sz="6" w:space="0" w:color="auto"/>
              <w:left w:val="single" w:sz="6" w:space="0" w:color="auto"/>
              <w:bottom w:val="single" w:sz="6" w:space="0" w:color="auto"/>
              <w:right w:val="single" w:sz="6" w:space="0" w:color="auto"/>
            </w:tcBorders>
            <w:hideMark/>
          </w:tcPr>
          <w:p w14:paraId="4DF07395" w14:textId="77777777" w:rsidR="00C805A1" w:rsidRPr="003B4362" w:rsidRDefault="00C805A1" w:rsidP="00BE7C7D">
            <w:pPr>
              <w:jc w:val="center"/>
            </w:pPr>
            <w:r w:rsidRPr="003B4362">
              <w:t>0.003</w:t>
            </w:r>
          </w:p>
        </w:tc>
        <w:tc>
          <w:tcPr>
            <w:tcW w:w="1440" w:type="dxa"/>
            <w:tcBorders>
              <w:top w:val="single" w:sz="6" w:space="0" w:color="auto"/>
              <w:left w:val="single" w:sz="6" w:space="0" w:color="auto"/>
              <w:bottom w:val="single" w:sz="6" w:space="0" w:color="auto"/>
              <w:right w:val="single" w:sz="6" w:space="0" w:color="auto"/>
            </w:tcBorders>
            <w:hideMark/>
          </w:tcPr>
          <w:p w14:paraId="1C8EFDD0" w14:textId="77777777" w:rsidR="00C805A1" w:rsidRPr="003B4362" w:rsidRDefault="00C805A1" w:rsidP="00BE7C7D">
            <w:pPr>
              <w:jc w:val="center"/>
            </w:pPr>
            <w:r w:rsidRPr="003B4362">
              <w:t>0.003</w:t>
            </w:r>
          </w:p>
        </w:tc>
        <w:tc>
          <w:tcPr>
            <w:tcW w:w="3600" w:type="dxa"/>
            <w:tcBorders>
              <w:top w:val="single" w:sz="6" w:space="0" w:color="auto"/>
              <w:left w:val="single" w:sz="6" w:space="0" w:color="auto"/>
              <w:bottom w:val="single" w:sz="6" w:space="0" w:color="auto"/>
              <w:right w:val="single" w:sz="6" w:space="0" w:color="auto"/>
            </w:tcBorders>
            <w:hideMark/>
          </w:tcPr>
          <w:p w14:paraId="34ABD082" w14:textId="77777777" w:rsidR="00C805A1" w:rsidRPr="003B4362" w:rsidRDefault="00C805A1" w:rsidP="00BE7C7D">
            <w:r w:rsidRPr="003B4362">
              <w:t>Some people who drink water containing atrazine well in excess of the MCL over many years could experience problems with their cardiovascular system or reproductive difficulties.</w:t>
            </w:r>
          </w:p>
        </w:tc>
      </w:tr>
      <w:tr w:rsidR="001628C1" w:rsidRPr="003B4362" w14:paraId="1C7C82AE"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1EEBC5F" w14:textId="77777777" w:rsidR="00C805A1" w:rsidRPr="003B4362" w:rsidRDefault="00C805A1" w:rsidP="00BE7C7D">
            <w:r w:rsidRPr="003B4362">
              <w:lastRenderedPageBreak/>
              <w:t>29. Benzo(a)pyrene (PAHs).</w:t>
            </w:r>
          </w:p>
        </w:tc>
        <w:tc>
          <w:tcPr>
            <w:tcW w:w="1440" w:type="dxa"/>
            <w:tcBorders>
              <w:top w:val="single" w:sz="6" w:space="0" w:color="auto"/>
              <w:left w:val="single" w:sz="6" w:space="0" w:color="auto"/>
              <w:bottom w:val="single" w:sz="6" w:space="0" w:color="auto"/>
              <w:right w:val="single" w:sz="6" w:space="0" w:color="auto"/>
            </w:tcBorders>
            <w:hideMark/>
          </w:tcPr>
          <w:p w14:paraId="5EBD5AB5"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214DB590" w14:textId="77777777" w:rsidR="00C805A1" w:rsidRPr="003B4362" w:rsidRDefault="00C805A1" w:rsidP="00BE7C7D">
            <w:pPr>
              <w:jc w:val="center"/>
            </w:pPr>
            <w:r w:rsidRPr="003B4362">
              <w:t>0.0002</w:t>
            </w:r>
          </w:p>
        </w:tc>
        <w:tc>
          <w:tcPr>
            <w:tcW w:w="3600" w:type="dxa"/>
            <w:tcBorders>
              <w:top w:val="single" w:sz="6" w:space="0" w:color="auto"/>
              <w:left w:val="single" w:sz="6" w:space="0" w:color="auto"/>
              <w:bottom w:val="single" w:sz="6" w:space="0" w:color="auto"/>
              <w:right w:val="single" w:sz="6" w:space="0" w:color="auto"/>
            </w:tcBorders>
            <w:hideMark/>
          </w:tcPr>
          <w:p w14:paraId="3D3B06B1" w14:textId="77777777" w:rsidR="00C805A1" w:rsidRPr="003B4362" w:rsidRDefault="00C805A1" w:rsidP="00BE7C7D">
            <w:r w:rsidRPr="003B4362">
              <w:t>Some people who drink water containing benzo(a)pyrene in excess of the MCL over many years may experience reproductive difficulties and may have an increased risk of getting cancer.</w:t>
            </w:r>
          </w:p>
        </w:tc>
      </w:tr>
      <w:tr w:rsidR="001628C1" w:rsidRPr="003B4362" w14:paraId="30680B26"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FAE0089" w14:textId="77777777" w:rsidR="00C805A1" w:rsidRPr="003B4362" w:rsidRDefault="00C805A1" w:rsidP="00BE7C7D">
            <w:r w:rsidRPr="003B4362">
              <w:t>30. Carbofuran</w:t>
            </w:r>
          </w:p>
        </w:tc>
        <w:tc>
          <w:tcPr>
            <w:tcW w:w="1440" w:type="dxa"/>
            <w:tcBorders>
              <w:top w:val="single" w:sz="6" w:space="0" w:color="auto"/>
              <w:left w:val="single" w:sz="6" w:space="0" w:color="auto"/>
              <w:bottom w:val="single" w:sz="6" w:space="0" w:color="auto"/>
              <w:right w:val="single" w:sz="6" w:space="0" w:color="auto"/>
            </w:tcBorders>
            <w:hideMark/>
          </w:tcPr>
          <w:p w14:paraId="015771DF" w14:textId="77777777" w:rsidR="00C805A1" w:rsidRPr="003B4362" w:rsidRDefault="00C805A1" w:rsidP="00BE7C7D">
            <w:pPr>
              <w:jc w:val="center"/>
            </w:pPr>
            <w:r w:rsidRPr="003B4362">
              <w:t>0.04</w:t>
            </w:r>
          </w:p>
        </w:tc>
        <w:tc>
          <w:tcPr>
            <w:tcW w:w="1440" w:type="dxa"/>
            <w:tcBorders>
              <w:top w:val="single" w:sz="6" w:space="0" w:color="auto"/>
              <w:left w:val="single" w:sz="6" w:space="0" w:color="auto"/>
              <w:bottom w:val="single" w:sz="6" w:space="0" w:color="auto"/>
              <w:right w:val="single" w:sz="6" w:space="0" w:color="auto"/>
            </w:tcBorders>
            <w:hideMark/>
          </w:tcPr>
          <w:p w14:paraId="12B83348" w14:textId="77777777" w:rsidR="00C805A1" w:rsidRPr="003B4362" w:rsidRDefault="00C805A1" w:rsidP="00BE7C7D">
            <w:pPr>
              <w:jc w:val="center"/>
            </w:pPr>
            <w:r w:rsidRPr="003B4362">
              <w:t>0.04</w:t>
            </w:r>
          </w:p>
        </w:tc>
        <w:tc>
          <w:tcPr>
            <w:tcW w:w="3600" w:type="dxa"/>
            <w:tcBorders>
              <w:top w:val="single" w:sz="6" w:space="0" w:color="auto"/>
              <w:left w:val="single" w:sz="6" w:space="0" w:color="auto"/>
              <w:bottom w:val="single" w:sz="6" w:space="0" w:color="auto"/>
              <w:right w:val="single" w:sz="6" w:space="0" w:color="auto"/>
            </w:tcBorders>
            <w:hideMark/>
          </w:tcPr>
          <w:p w14:paraId="3F941EA2" w14:textId="77777777" w:rsidR="00C805A1" w:rsidRPr="003B4362" w:rsidRDefault="00C805A1" w:rsidP="00BE7C7D">
            <w:r w:rsidRPr="003B4362">
              <w:t>Some people who drink water containing carbofuran in excess of the MCL over many years could experience problems with their blood, or nervous or reproductive systems.</w:t>
            </w:r>
          </w:p>
        </w:tc>
      </w:tr>
      <w:tr w:rsidR="001628C1" w:rsidRPr="003B4362" w14:paraId="66F71B7C"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2808E51" w14:textId="77777777" w:rsidR="00C805A1" w:rsidRPr="003B4362" w:rsidRDefault="00C805A1" w:rsidP="00BE7C7D">
            <w:r w:rsidRPr="003B4362">
              <w:t>31. Chlordane</w:t>
            </w:r>
          </w:p>
        </w:tc>
        <w:tc>
          <w:tcPr>
            <w:tcW w:w="1440" w:type="dxa"/>
            <w:tcBorders>
              <w:top w:val="single" w:sz="6" w:space="0" w:color="auto"/>
              <w:left w:val="single" w:sz="6" w:space="0" w:color="auto"/>
              <w:bottom w:val="single" w:sz="6" w:space="0" w:color="auto"/>
              <w:right w:val="single" w:sz="6" w:space="0" w:color="auto"/>
            </w:tcBorders>
            <w:hideMark/>
          </w:tcPr>
          <w:p w14:paraId="38E08747"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18B27E12" w14:textId="77777777" w:rsidR="00C805A1" w:rsidRPr="003B4362" w:rsidRDefault="00C805A1" w:rsidP="00BE7C7D">
            <w:pPr>
              <w:jc w:val="center"/>
            </w:pPr>
            <w:r w:rsidRPr="003B4362">
              <w:t>0.002</w:t>
            </w:r>
          </w:p>
        </w:tc>
        <w:tc>
          <w:tcPr>
            <w:tcW w:w="3600" w:type="dxa"/>
            <w:tcBorders>
              <w:top w:val="single" w:sz="6" w:space="0" w:color="auto"/>
              <w:left w:val="single" w:sz="6" w:space="0" w:color="auto"/>
              <w:bottom w:val="single" w:sz="6" w:space="0" w:color="auto"/>
              <w:right w:val="single" w:sz="6" w:space="0" w:color="auto"/>
            </w:tcBorders>
            <w:hideMark/>
          </w:tcPr>
          <w:p w14:paraId="129B32C3" w14:textId="77777777" w:rsidR="00C805A1" w:rsidRPr="003B4362" w:rsidRDefault="00C805A1" w:rsidP="00BE7C7D">
            <w:r w:rsidRPr="003B4362">
              <w:t>Some people who drink water containing chlordane in excess of the MCL over many years could experience problems with their liver or nervous system, and may have an increased risk of getting cancer.</w:t>
            </w:r>
          </w:p>
        </w:tc>
      </w:tr>
      <w:tr w:rsidR="001628C1" w:rsidRPr="003B4362" w14:paraId="641D2289"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0E64A2D" w14:textId="77777777" w:rsidR="00C805A1" w:rsidRPr="003B4362" w:rsidRDefault="00C805A1" w:rsidP="00BE7C7D">
            <w:r w:rsidRPr="003B4362">
              <w:t>32. Dalapon</w:t>
            </w:r>
          </w:p>
        </w:tc>
        <w:tc>
          <w:tcPr>
            <w:tcW w:w="1440" w:type="dxa"/>
            <w:tcBorders>
              <w:top w:val="single" w:sz="6" w:space="0" w:color="auto"/>
              <w:left w:val="single" w:sz="6" w:space="0" w:color="auto"/>
              <w:bottom w:val="single" w:sz="6" w:space="0" w:color="auto"/>
              <w:right w:val="single" w:sz="6" w:space="0" w:color="auto"/>
            </w:tcBorders>
            <w:hideMark/>
          </w:tcPr>
          <w:p w14:paraId="0DB869EE" w14:textId="77777777" w:rsidR="00C805A1" w:rsidRPr="003B4362" w:rsidRDefault="00C805A1" w:rsidP="00BE7C7D">
            <w:pPr>
              <w:jc w:val="center"/>
            </w:pPr>
            <w:r w:rsidRPr="003B4362">
              <w:t>0.2</w:t>
            </w:r>
          </w:p>
        </w:tc>
        <w:tc>
          <w:tcPr>
            <w:tcW w:w="1440" w:type="dxa"/>
            <w:tcBorders>
              <w:top w:val="single" w:sz="6" w:space="0" w:color="auto"/>
              <w:left w:val="single" w:sz="6" w:space="0" w:color="auto"/>
              <w:bottom w:val="single" w:sz="6" w:space="0" w:color="auto"/>
              <w:right w:val="single" w:sz="6" w:space="0" w:color="auto"/>
            </w:tcBorders>
            <w:hideMark/>
          </w:tcPr>
          <w:p w14:paraId="76C4912C" w14:textId="77777777" w:rsidR="00C805A1" w:rsidRPr="003B4362" w:rsidRDefault="00C805A1" w:rsidP="00BE7C7D">
            <w:pPr>
              <w:jc w:val="center"/>
            </w:pPr>
            <w:r w:rsidRPr="003B4362">
              <w:t>0.2</w:t>
            </w:r>
          </w:p>
        </w:tc>
        <w:tc>
          <w:tcPr>
            <w:tcW w:w="3600" w:type="dxa"/>
            <w:tcBorders>
              <w:top w:val="single" w:sz="6" w:space="0" w:color="auto"/>
              <w:left w:val="single" w:sz="6" w:space="0" w:color="auto"/>
              <w:bottom w:val="single" w:sz="6" w:space="0" w:color="auto"/>
              <w:right w:val="single" w:sz="6" w:space="0" w:color="auto"/>
            </w:tcBorders>
            <w:hideMark/>
          </w:tcPr>
          <w:p w14:paraId="6E022A49" w14:textId="77777777" w:rsidR="00C805A1" w:rsidRPr="003B4362" w:rsidRDefault="00C805A1" w:rsidP="00BE7C7D">
            <w:r w:rsidRPr="003B4362">
              <w:t>Some people who drink water containing dalapon well in excess of the MCL over many years could experience minor kidney changes.</w:t>
            </w:r>
          </w:p>
        </w:tc>
      </w:tr>
      <w:tr w:rsidR="001628C1" w:rsidRPr="003B4362" w14:paraId="60BA29DA"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CC2D0E3" w14:textId="77777777" w:rsidR="00C805A1" w:rsidRPr="003B4362" w:rsidRDefault="00C805A1" w:rsidP="00BE7C7D">
            <w:r w:rsidRPr="003B4362">
              <w:t>33. Di(2-ethylhexyl)adipate</w:t>
            </w:r>
          </w:p>
        </w:tc>
        <w:tc>
          <w:tcPr>
            <w:tcW w:w="1440" w:type="dxa"/>
            <w:tcBorders>
              <w:top w:val="single" w:sz="6" w:space="0" w:color="auto"/>
              <w:left w:val="single" w:sz="6" w:space="0" w:color="auto"/>
              <w:bottom w:val="single" w:sz="6" w:space="0" w:color="auto"/>
              <w:right w:val="single" w:sz="6" w:space="0" w:color="auto"/>
            </w:tcBorders>
            <w:hideMark/>
          </w:tcPr>
          <w:p w14:paraId="68D47C9D" w14:textId="77777777" w:rsidR="00C805A1" w:rsidRPr="003B4362" w:rsidRDefault="00C805A1" w:rsidP="00BE7C7D">
            <w:pPr>
              <w:jc w:val="center"/>
            </w:pPr>
            <w:r w:rsidRPr="003B4362">
              <w:t>0.4</w:t>
            </w:r>
          </w:p>
        </w:tc>
        <w:tc>
          <w:tcPr>
            <w:tcW w:w="1440" w:type="dxa"/>
            <w:tcBorders>
              <w:top w:val="single" w:sz="6" w:space="0" w:color="auto"/>
              <w:left w:val="single" w:sz="6" w:space="0" w:color="auto"/>
              <w:bottom w:val="single" w:sz="6" w:space="0" w:color="auto"/>
              <w:right w:val="single" w:sz="6" w:space="0" w:color="auto"/>
            </w:tcBorders>
            <w:hideMark/>
          </w:tcPr>
          <w:p w14:paraId="3ABD7F4F" w14:textId="77777777" w:rsidR="00C805A1" w:rsidRPr="003B4362" w:rsidRDefault="00C805A1" w:rsidP="00BE7C7D">
            <w:pPr>
              <w:jc w:val="center"/>
            </w:pPr>
            <w:r w:rsidRPr="003B4362">
              <w:t>0.4</w:t>
            </w:r>
          </w:p>
        </w:tc>
        <w:tc>
          <w:tcPr>
            <w:tcW w:w="3600" w:type="dxa"/>
            <w:tcBorders>
              <w:top w:val="single" w:sz="6" w:space="0" w:color="auto"/>
              <w:left w:val="single" w:sz="6" w:space="0" w:color="auto"/>
              <w:bottom w:val="single" w:sz="6" w:space="0" w:color="auto"/>
              <w:right w:val="single" w:sz="6" w:space="0" w:color="auto"/>
            </w:tcBorders>
            <w:hideMark/>
          </w:tcPr>
          <w:p w14:paraId="12C9BF3C" w14:textId="77777777" w:rsidR="00C805A1" w:rsidRPr="003B4362" w:rsidRDefault="00C805A1" w:rsidP="00BE7C7D">
            <w:r w:rsidRPr="003B4362">
              <w:t>Some people who drink water containing di(2-ethylhexyl)adipate well in excess of the MCL over many years could experience toxic effects, such as weight loss, liver enlargement, or possible reproductive difficulties.</w:t>
            </w:r>
          </w:p>
        </w:tc>
      </w:tr>
      <w:tr w:rsidR="001628C1" w:rsidRPr="003B4362" w14:paraId="112366DE"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0E46DDB" w14:textId="77777777" w:rsidR="00C805A1" w:rsidRPr="003B4362" w:rsidRDefault="00C805A1" w:rsidP="00BE7C7D">
            <w:r w:rsidRPr="003B4362">
              <w:t>34. Di(2-ethylhexyl)</w:t>
            </w:r>
            <w:r w:rsidRPr="003B4362">
              <w:softHyphen/>
              <w:t>phthalate</w:t>
            </w:r>
          </w:p>
        </w:tc>
        <w:tc>
          <w:tcPr>
            <w:tcW w:w="1440" w:type="dxa"/>
            <w:tcBorders>
              <w:top w:val="single" w:sz="6" w:space="0" w:color="auto"/>
              <w:left w:val="single" w:sz="6" w:space="0" w:color="auto"/>
              <w:bottom w:val="single" w:sz="6" w:space="0" w:color="auto"/>
              <w:right w:val="single" w:sz="6" w:space="0" w:color="auto"/>
            </w:tcBorders>
            <w:hideMark/>
          </w:tcPr>
          <w:p w14:paraId="36574659"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4D328B5D" w14:textId="77777777" w:rsidR="00C805A1" w:rsidRPr="003B4362" w:rsidRDefault="00C805A1" w:rsidP="00BE7C7D">
            <w:pPr>
              <w:jc w:val="center"/>
            </w:pPr>
            <w:r w:rsidRPr="003B4362">
              <w:t>0.006</w:t>
            </w:r>
          </w:p>
        </w:tc>
        <w:tc>
          <w:tcPr>
            <w:tcW w:w="3600" w:type="dxa"/>
            <w:tcBorders>
              <w:top w:val="single" w:sz="6" w:space="0" w:color="auto"/>
              <w:left w:val="single" w:sz="6" w:space="0" w:color="auto"/>
              <w:bottom w:val="single" w:sz="6" w:space="0" w:color="auto"/>
              <w:right w:val="single" w:sz="6" w:space="0" w:color="auto"/>
            </w:tcBorders>
            <w:hideMark/>
          </w:tcPr>
          <w:p w14:paraId="2719501E" w14:textId="77777777" w:rsidR="00C805A1" w:rsidRPr="003B4362" w:rsidRDefault="00C805A1" w:rsidP="00BE7C7D">
            <w:r w:rsidRPr="003B4362">
              <w:t>Some people who drink water containing di(2-ethylhexyl)</w:t>
            </w:r>
            <w:r w:rsidRPr="003B4362">
              <w:softHyphen/>
              <w:t>phthalate well in excess of the MCL over many years may have problems with their liver or experience reproductive difficulties, and they may have an increased risk of getting cancer.</w:t>
            </w:r>
          </w:p>
        </w:tc>
      </w:tr>
      <w:tr w:rsidR="001628C1" w:rsidRPr="003B4362" w14:paraId="57883CF4"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62E0F91" w14:textId="77777777" w:rsidR="00C805A1" w:rsidRPr="003B4362" w:rsidRDefault="00C805A1" w:rsidP="00BE7C7D">
            <w:r w:rsidRPr="003B4362">
              <w:lastRenderedPageBreak/>
              <w:t>35. Dibromochloropropane (DBCP)</w:t>
            </w:r>
          </w:p>
        </w:tc>
        <w:tc>
          <w:tcPr>
            <w:tcW w:w="1440" w:type="dxa"/>
            <w:tcBorders>
              <w:top w:val="single" w:sz="6" w:space="0" w:color="auto"/>
              <w:left w:val="single" w:sz="6" w:space="0" w:color="auto"/>
              <w:bottom w:val="single" w:sz="6" w:space="0" w:color="auto"/>
              <w:right w:val="single" w:sz="6" w:space="0" w:color="auto"/>
            </w:tcBorders>
            <w:hideMark/>
          </w:tcPr>
          <w:p w14:paraId="0017FB02"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33051A39" w14:textId="77777777" w:rsidR="00C805A1" w:rsidRPr="003B4362" w:rsidRDefault="00C805A1" w:rsidP="00BE7C7D">
            <w:pPr>
              <w:jc w:val="center"/>
            </w:pPr>
            <w:r w:rsidRPr="003B4362">
              <w:t>0.0002</w:t>
            </w:r>
          </w:p>
        </w:tc>
        <w:tc>
          <w:tcPr>
            <w:tcW w:w="3600" w:type="dxa"/>
            <w:tcBorders>
              <w:top w:val="single" w:sz="6" w:space="0" w:color="auto"/>
              <w:left w:val="single" w:sz="6" w:space="0" w:color="auto"/>
              <w:bottom w:val="single" w:sz="6" w:space="0" w:color="auto"/>
              <w:right w:val="single" w:sz="6" w:space="0" w:color="auto"/>
            </w:tcBorders>
            <w:hideMark/>
          </w:tcPr>
          <w:p w14:paraId="65CBD3C6" w14:textId="77777777" w:rsidR="00C805A1" w:rsidRPr="003B4362" w:rsidRDefault="00C805A1" w:rsidP="00BE7C7D">
            <w:r w:rsidRPr="003B4362">
              <w:t>Some people who drink water containing DBCP in excess of the MCL over many years could experience reproductive difficulties and may have an increased risk of getting cancer.</w:t>
            </w:r>
          </w:p>
        </w:tc>
      </w:tr>
      <w:tr w:rsidR="001628C1" w:rsidRPr="003B4362" w14:paraId="707C872C"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097374E" w14:textId="77777777" w:rsidR="00C805A1" w:rsidRPr="003B4362" w:rsidRDefault="00C805A1" w:rsidP="00BE7C7D">
            <w:r w:rsidRPr="003B4362">
              <w:t>36. Dinoseb</w:t>
            </w:r>
          </w:p>
        </w:tc>
        <w:tc>
          <w:tcPr>
            <w:tcW w:w="1440" w:type="dxa"/>
            <w:tcBorders>
              <w:top w:val="single" w:sz="6" w:space="0" w:color="auto"/>
              <w:left w:val="single" w:sz="6" w:space="0" w:color="auto"/>
              <w:bottom w:val="single" w:sz="6" w:space="0" w:color="auto"/>
              <w:right w:val="single" w:sz="6" w:space="0" w:color="auto"/>
            </w:tcBorders>
            <w:hideMark/>
          </w:tcPr>
          <w:p w14:paraId="64317CEE" w14:textId="77777777" w:rsidR="00C805A1" w:rsidRPr="003B4362" w:rsidRDefault="00C805A1" w:rsidP="00BE7C7D">
            <w:pPr>
              <w:jc w:val="center"/>
            </w:pPr>
            <w:r w:rsidRPr="003B4362">
              <w:t>0.007</w:t>
            </w:r>
          </w:p>
        </w:tc>
        <w:tc>
          <w:tcPr>
            <w:tcW w:w="1440" w:type="dxa"/>
            <w:tcBorders>
              <w:top w:val="single" w:sz="6" w:space="0" w:color="auto"/>
              <w:left w:val="single" w:sz="6" w:space="0" w:color="auto"/>
              <w:bottom w:val="single" w:sz="6" w:space="0" w:color="auto"/>
              <w:right w:val="single" w:sz="6" w:space="0" w:color="auto"/>
            </w:tcBorders>
            <w:hideMark/>
          </w:tcPr>
          <w:p w14:paraId="5992AF3E" w14:textId="77777777" w:rsidR="00C805A1" w:rsidRPr="003B4362" w:rsidRDefault="00C805A1" w:rsidP="00BE7C7D">
            <w:pPr>
              <w:jc w:val="center"/>
            </w:pPr>
            <w:r w:rsidRPr="003B4362">
              <w:t>0.007</w:t>
            </w:r>
          </w:p>
        </w:tc>
        <w:tc>
          <w:tcPr>
            <w:tcW w:w="3600" w:type="dxa"/>
            <w:tcBorders>
              <w:top w:val="single" w:sz="6" w:space="0" w:color="auto"/>
              <w:left w:val="single" w:sz="6" w:space="0" w:color="auto"/>
              <w:bottom w:val="single" w:sz="6" w:space="0" w:color="auto"/>
              <w:right w:val="single" w:sz="6" w:space="0" w:color="auto"/>
            </w:tcBorders>
            <w:hideMark/>
          </w:tcPr>
          <w:p w14:paraId="6B59D63B" w14:textId="77777777" w:rsidR="00C805A1" w:rsidRPr="003B4362" w:rsidRDefault="00C805A1" w:rsidP="00BE7C7D">
            <w:r w:rsidRPr="003B4362">
              <w:t>Some people who drink water containing dinoseb well in excess of the MCL over many years could experience reproductive difficulties.</w:t>
            </w:r>
          </w:p>
        </w:tc>
      </w:tr>
      <w:tr w:rsidR="001628C1" w:rsidRPr="003B4362" w14:paraId="001C28CD"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745A98FE" w14:textId="77777777" w:rsidR="00C805A1" w:rsidRPr="003B4362" w:rsidRDefault="00C805A1" w:rsidP="00BE7C7D">
            <w:r w:rsidRPr="003B4362">
              <w:t>37. Dioxin (2,3,7,8-TCDD)</w:t>
            </w:r>
          </w:p>
        </w:tc>
        <w:tc>
          <w:tcPr>
            <w:tcW w:w="1440" w:type="dxa"/>
            <w:tcBorders>
              <w:top w:val="single" w:sz="6" w:space="0" w:color="auto"/>
              <w:left w:val="single" w:sz="6" w:space="0" w:color="auto"/>
              <w:bottom w:val="single" w:sz="6" w:space="0" w:color="auto"/>
              <w:right w:val="single" w:sz="6" w:space="0" w:color="auto"/>
            </w:tcBorders>
            <w:hideMark/>
          </w:tcPr>
          <w:p w14:paraId="52AC4BC6"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36E3BC61" w14:textId="77777777" w:rsidR="00C805A1" w:rsidRPr="003B4362" w:rsidRDefault="00C805A1" w:rsidP="00BE7C7D">
            <w:pPr>
              <w:jc w:val="center"/>
            </w:pPr>
            <w:r w:rsidRPr="003B4362">
              <w:t>3 x 10</w:t>
            </w:r>
            <w:r w:rsidRPr="003B4362">
              <w:rPr>
                <w:vertAlign w:val="superscript"/>
              </w:rPr>
              <w:t>-8</w:t>
            </w:r>
          </w:p>
        </w:tc>
        <w:tc>
          <w:tcPr>
            <w:tcW w:w="3600" w:type="dxa"/>
            <w:tcBorders>
              <w:top w:val="single" w:sz="6" w:space="0" w:color="auto"/>
              <w:left w:val="single" w:sz="6" w:space="0" w:color="auto"/>
              <w:bottom w:val="single" w:sz="6" w:space="0" w:color="auto"/>
              <w:right w:val="single" w:sz="6" w:space="0" w:color="auto"/>
            </w:tcBorders>
            <w:hideMark/>
          </w:tcPr>
          <w:p w14:paraId="59BE99B9" w14:textId="77777777" w:rsidR="00C805A1" w:rsidRPr="003B4362" w:rsidRDefault="00C805A1" w:rsidP="00BE7C7D">
            <w:r w:rsidRPr="003B4362">
              <w:t>Some people who drink water containing dioxin in excess of the MCL over many years could experience reproductive difficulties and may have an increased risk of getting cancer.</w:t>
            </w:r>
          </w:p>
        </w:tc>
      </w:tr>
      <w:tr w:rsidR="001628C1" w:rsidRPr="003B4362" w14:paraId="71CBE02F"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355E4BD" w14:textId="77777777" w:rsidR="00C805A1" w:rsidRPr="003B4362" w:rsidRDefault="00C805A1" w:rsidP="00BE7C7D">
            <w:r w:rsidRPr="003B4362">
              <w:t>38. Diquat</w:t>
            </w:r>
          </w:p>
        </w:tc>
        <w:tc>
          <w:tcPr>
            <w:tcW w:w="1440" w:type="dxa"/>
            <w:tcBorders>
              <w:top w:val="single" w:sz="6" w:space="0" w:color="auto"/>
              <w:left w:val="single" w:sz="6" w:space="0" w:color="auto"/>
              <w:bottom w:val="single" w:sz="6" w:space="0" w:color="auto"/>
              <w:right w:val="single" w:sz="6" w:space="0" w:color="auto"/>
            </w:tcBorders>
            <w:hideMark/>
          </w:tcPr>
          <w:p w14:paraId="2134FD35" w14:textId="77777777" w:rsidR="00C805A1" w:rsidRPr="003B4362" w:rsidRDefault="00C805A1" w:rsidP="00BE7C7D">
            <w:pPr>
              <w:jc w:val="center"/>
            </w:pPr>
            <w:r w:rsidRPr="003B4362">
              <w:t>0.02</w:t>
            </w:r>
          </w:p>
        </w:tc>
        <w:tc>
          <w:tcPr>
            <w:tcW w:w="1440" w:type="dxa"/>
            <w:tcBorders>
              <w:top w:val="single" w:sz="6" w:space="0" w:color="auto"/>
              <w:left w:val="single" w:sz="6" w:space="0" w:color="auto"/>
              <w:bottom w:val="single" w:sz="6" w:space="0" w:color="auto"/>
              <w:right w:val="single" w:sz="6" w:space="0" w:color="auto"/>
            </w:tcBorders>
            <w:hideMark/>
          </w:tcPr>
          <w:p w14:paraId="08E29441" w14:textId="77777777" w:rsidR="00C805A1" w:rsidRPr="003B4362" w:rsidRDefault="00C805A1" w:rsidP="00BE7C7D">
            <w:pPr>
              <w:jc w:val="center"/>
            </w:pPr>
            <w:r w:rsidRPr="003B4362">
              <w:t>0.02</w:t>
            </w:r>
          </w:p>
        </w:tc>
        <w:tc>
          <w:tcPr>
            <w:tcW w:w="3600" w:type="dxa"/>
            <w:tcBorders>
              <w:top w:val="single" w:sz="6" w:space="0" w:color="auto"/>
              <w:left w:val="single" w:sz="6" w:space="0" w:color="auto"/>
              <w:bottom w:val="single" w:sz="6" w:space="0" w:color="auto"/>
              <w:right w:val="single" w:sz="6" w:space="0" w:color="auto"/>
            </w:tcBorders>
            <w:hideMark/>
          </w:tcPr>
          <w:p w14:paraId="775E255A" w14:textId="77777777" w:rsidR="00C805A1" w:rsidRPr="003B4362" w:rsidRDefault="00C805A1" w:rsidP="00BE7C7D">
            <w:r w:rsidRPr="003B4362">
              <w:t>Some people who drink water containing diquat in excess of the MCL over many years could get cataracts.</w:t>
            </w:r>
          </w:p>
        </w:tc>
      </w:tr>
      <w:tr w:rsidR="001628C1" w:rsidRPr="003B4362" w14:paraId="54629742"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56459E5" w14:textId="77777777" w:rsidR="00C805A1" w:rsidRPr="003B4362" w:rsidRDefault="00C805A1" w:rsidP="00BE7C7D">
            <w:r w:rsidRPr="003B4362">
              <w:t>39. Endothall</w:t>
            </w:r>
          </w:p>
        </w:tc>
        <w:tc>
          <w:tcPr>
            <w:tcW w:w="1440" w:type="dxa"/>
            <w:tcBorders>
              <w:top w:val="single" w:sz="6" w:space="0" w:color="auto"/>
              <w:left w:val="single" w:sz="6" w:space="0" w:color="auto"/>
              <w:bottom w:val="single" w:sz="6" w:space="0" w:color="auto"/>
              <w:right w:val="single" w:sz="6" w:space="0" w:color="auto"/>
            </w:tcBorders>
            <w:hideMark/>
          </w:tcPr>
          <w:p w14:paraId="65D9728B" w14:textId="77777777" w:rsidR="00C805A1" w:rsidRPr="003B4362" w:rsidRDefault="00C805A1" w:rsidP="00BE7C7D">
            <w:pPr>
              <w:jc w:val="center"/>
            </w:pPr>
            <w:r w:rsidRPr="003B4362">
              <w:t>0.1</w:t>
            </w:r>
          </w:p>
        </w:tc>
        <w:tc>
          <w:tcPr>
            <w:tcW w:w="1440" w:type="dxa"/>
            <w:tcBorders>
              <w:top w:val="single" w:sz="6" w:space="0" w:color="auto"/>
              <w:left w:val="single" w:sz="6" w:space="0" w:color="auto"/>
              <w:bottom w:val="single" w:sz="6" w:space="0" w:color="auto"/>
              <w:right w:val="single" w:sz="6" w:space="0" w:color="auto"/>
            </w:tcBorders>
            <w:hideMark/>
          </w:tcPr>
          <w:p w14:paraId="620C1BDB" w14:textId="77777777" w:rsidR="00C805A1" w:rsidRPr="003B4362" w:rsidRDefault="00C805A1" w:rsidP="00BE7C7D">
            <w:pPr>
              <w:jc w:val="center"/>
            </w:pPr>
            <w:r w:rsidRPr="003B4362">
              <w:t>0.1</w:t>
            </w:r>
          </w:p>
        </w:tc>
        <w:tc>
          <w:tcPr>
            <w:tcW w:w="3600" w:type="dxa"/>
            <w:tcBorders>
              <w:top w:val="single" w:sz="6" w:space="0" w:color="auto"/>
              <w:left w:val="single" w:sz="6" w:space="0" w:color="auto"/>
              <w:bottom w:val="single" w:sz="6" w:space="0" w:color="auto"/>
              <w:right w:val="single" w:sz="6" w:space="0" w:color="auto"/>
            </w:tcBorders>
            <w:hideMark/>
          </w:tcPr>
          <w:p w14:paraId="059586D7" w14:textId="77777777" w:rsidR="00C805A1" w:rsidRPr="003B4362" w:rsidRDefault="00C805A1" w:rsidP="00BE7C7D">
            <w:r w:rsidRPr="003B4362">
              <w:t>Some people who drink water containing endothall in excess of the MCL over many years could experience problems with their stomach or intestines.</w:t>
            </w:r>
          </w:p>
        </w:tc>
      </w:tr>
      <w:tr w:rsidR="001628C1" w:rsidRPr="003B4362" w14:paraId="595175D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5519ECF" w14:textId="77777777" w:rsidR="00C805A1" w:rsidRPr="003B4362" w:rsidRDefault="00C805A1" w:rsidP="00BE7C7D">
            <w:r w:rsidRPr="003B4362">
              <w:t>40. Endrin</w:t>
            </w:r>
          </w:p>
        </w:tc>
        <w:tc>
          <w:tcPr>
            <w:tcW w:w="1440" w:type="dxa"/>
            <w:tcBorders>
              <w:top w:val="single" w:sz="6" w:space="0" w:color="auto"/>
              <w:left w:val="single" w:sz="6" w:space="0" w:color="auto"/>
              <w:bottom w:val="single" w:sz="6" w:space="0" w:color="auto"/>
              <w:right w:val="single" w:sz="6" w:space="0" w:color="auto"/>
            </w:tcBorders>
            <w:hideMark/>
          </w:tcPr>
          <w:p w14:paraId="07465141" w14:textId="77777777" w:rsidR="00C805A1" w:rsidRPr="003B4362" w:rsidRDefault="00C805A1" w:rsidP="00BE7C7D">
            <w:pPr>
              <w:jc w:val="center"/>
            </w:pPr>
            <w:r w:rsidRPr="003B4362">
              <w:t>0.002</w:t>
            </w:r>
          </w:p>
        </w:tc>
        <w:tc>
          <w:tcPr>
            <w:tcW w:w="1440" w:type="dxa"/>
            <w:tcBorders>
              <w:top w:val="single" w:sz="6" w:space="0" w:color="auto"/>
              <w:left w:val="single" w:sz="6" w:space="0" w:color="auto"/>
              <w:bottom w:val="single" w:sz="6" w:space="0" w:color="auto"/>
              <w:right w:val="single" w:sz="6" w:space="0" w:color="auto"/>
            </w:tcBorders>
            <w:hideMark/>
          </w:tcPr>
          <w:p w14:paraId="2FA7ED3A" w14:textId="77777777" w:rsidR="00C805A1" w:rsidRPr="003B4362" w:rsidRDefault="00C805A1" w:rsidP="00BE7C7D">
            <w:pPr>
              <w:jc w:val="center"/>
            </w:pPr>
            <w:r w:rsidRPr="003B4362">
              <w:t>0.002</w:t>
            </w:r>
          </w:p>
        </w:tc>
        <w:tc>
          <w:tcPr>
            <w:tcW w:w="3600" w:type="dxa"/>
            <w:tcBorders>
              <w:top w:val="single" w:sz="6" w:space="0" w:color="auto"/>
              <w:left w:val="single" w:sz="6" w:space="0" w:color="auto"/>
              <w:bottom w:val="single" w:sz="6" w:space="0" w:color="auto"/>
              <w:right w:val="single" w:sz="6" w:space="0" w:color="auto"/>
            </w:tcBorders>
            <w:hideMark/>
          </w:tcPr>
          <w:p w14:paraId="58448FE7" w14:textId="77777777" w:rsidR="00C805A1" w:rsidRPr="003B4362" w:rsidRDefault="00C805A1" w:rsidP="00BE7C7D">
            <w:r w:rsidRPr="003B4362">
              <w:t>Some people who drink water containing endrin in excess of the MCL over many years could experience liver problems.</w:t>
            </w:r>
          </w:p>
        </w:tc>
      </w:tr>
      <w:tr w:rsidR="001628C1" w:rsidRPr="003B4362" w14:paraId="051CF0C3"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522D303" w14:textId="77777777" w:rsidR="00C805A1" w:rsidRPr="003B4362" w:rsidRDefault="00C805A1" w:rsidP="00BE7C7D">
            <w:r w:rsidRPr="003B4362">
              <w:t>41. Ethylene dibromide</w:t>
            </w:r>
          </w:p>
        </w:tc>
        <w:tc>
          <w:tcPr>
            <w:tcW w:w="1440" w:type="dxa"/>
            <w:tcBorders>
              <w:top w:val="single" w:sz="6" w:space="0" w:color="auto"/>
              <w:left w:val="single" w:sz="6" w:space="0" w:color="auto"/>
              <w:bottom w:val="single" w:sz="6" w:space="0" w:color="auto"/>
              <w:right w:val="single" w:sz="6" w:space="0" w:color="auto"/>
            </w:tcBorders>
            <w:hideMark/>
          </w:tcPr>
          <w:p w14:paraId="4405D103"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2E303F66" w14:textId="77777777" w:rsidR="00C805A1" w:rsidRPr="003B4362" w:rsidRDefault="00C805A1" w:rsidP="00BE7C7D">
            <w:pPr>
              <w:jc w:val="center"/>
            </w:pPr>
            <w:r w:rsidRPr="003B4362">
              <w:t>0.00005</w:t>
            </w:r>
          </w:p>
        </w:tc>
        <w:tc>
          <w:tcPr>
            <w:tcW w:w="3600" w:type="dxa"/>
            <w:tcBorders>
              <w:top w:val="single" w:sz="6" w:space="0" w:color="auto"/>
              <w:left w:val="single" w:sz="6" w:space="0" w:color="auto"/>
              <w:bottom w:val="single" w:sz="6" w:space="0" w:color="auto"/>
              <w:right w:val="single" w:sz="6" w:space="0" w:color="auto"/>
            </w:tcBorders>
            <w:hideMark/>
          </w:tcPr>
          <w:p w14:paraId="0BFD07B2" w14:textId="77777777" w:rsidR="00C805A1" w:rsidRPr="003B4362" w:rsidRDefault="00C805A1" w:rsidP="00BE7C7D">
            <w:r w:rsidRPr="003B4362">
              <w:t>Some people who drink water containing ethylene dibromide in excess of the MCL over many years could experience problems with their liver, stomach, reproductive system, or kidneys, and may have an increased risk of getting cancer.</w:t>
            </w:r>
          </w:p>
        </w:tc>
      </w:tr>
      <w:tr w:rsidR="001628C1" w:rsidRPr="003B4362" w14:paraId="023DAF7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24D2C0D" w14:textId="77777777" w:rsidR="00C805A1" w:rsidRPr="003B4362" w:rsidRDefault="00C805A1" w:rsidP="00BE7C7D">
            <w:r w:rsidRPr="003B4362">
              <w:lastRenderedPageBreak/>
              <w:t>42. Glyphosate</w:t>
            </w:r>
          </w:p>
        </w:tc>
        <w:tc>
          <w:tcPr>
            <w:tcW w:w="1440" w:type="dxa"/>
            <w:tcBorders>
              <w:top w:val="single" w:sz="6" w:space="0" w:color="auto"/>
              <w:left w:val="single" w:sz="6" w:space="0" w:color="auto"/>
              <w:bottom w:val="single" w:sz="6" w:space="0" w:color="auto"/>
              <w:right w:val="single" w:sz="6" w:space="0" w:color="auto"/>
            </w:tcBorders>
            <w:hideMark/>
          </w:tcPr>
          <w:p w14:paraId="259FC5F1" w14:textId="77777777" w:rsidR="00C805A1" w:rsidRPr="003B4362" w:rsidRDefault="00C805A1" w:rsidP="00BE7C7D">
            <w:pPr>
              <w:jc w:val="center"/>
            </w:pPr>
            <w:r w:rsidRPr="003B4362">
              <w:t>0.7</w:t>
            </w:r>
          </w:p>
        </w:tc>
        <w:tc>
          <w:tcPr>
            <w:tcW w:w="1440" w:type="dxa"/>
            <w:tcBorders>
              <w:top w:val="single" w:sz="6" w:space="0" w:color="auto"/>
              <w:left w:val="single" w:sz="6" w:space="0" w:color="auto"/>
              <w:bottom w:val="single" w:sz="6" w:space="0" w:color="auto"/>
              <w:right w:val="single" w:sz="6" w:space="0" w:color="auto"/>
            </w:tcBorders>
            <w:hideMark/>
          </w:tcPr>
          <w:p w14:paraId="7D797282" w14:textId="77777777" w:rsidR="00C805A1" w:rsidRPr="003B4362" w:rsidRDefault="00C805A1" w:rsidP="00BE7C7D">
            <w:pPr>
              <w:jc w:val="center"/>
            </w:pPr>
            <w:r w:rsidRPr="003B4362">
              <w:t>0.7</w:t>
            </w:r>
          </w:p>
        </w:tc>
        <w:tc>
          <w:tcPr>
            <w:tcW w:w="3600" w:type="dxa"/>
            <w:tcBorders>
              <w:top w:val="single" w:sz="6" w:space="0" w:color="auto"/>
              <w:left w:val="single" w:sz="6" w:space="0" w:color="auto"/>
              <w:bottom w:val="single" w:sz="6" w:space="0" w:color="auto"/>
              <w:right w:val="single" w:sz="6" w:space="0" w:color="auto"/>
            </w:tcBorders>
            <w:hideMark/>
          </w:tcPr>
          <w:p w14:paraId="372ADBC4" w14:textId="77777777" w:rsidR="00C805A1" w:rsidRPr="003B4362" w:rsidRDefault="00C805A1" w:rsidP="00BE7C7D">
            <w:r w:rsidRPr="003B4362">
              <w:t>Some people who drink water containing glyphosate in excess of the MCL over many years could experience problems with their kidneys or reproductive difficulties.</w:t>
            </w:r>
          </w:p>
        </w:tc>
      </w:tr>
      <w:tr w:rsidR="001628C1" w:rsidRPr="003B4362" w14:paraId="0D5B7E50"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3814A17" w14:textId="77777777" w:rsidR="00C805A1" w:rsidRPr="003B4362" w:rsidRDefault="00C805A1" w:rsidP="00BE7C7D">
            <w:r w:rsidRPr="003B4362">
              <w:t>43. Heptachlor</w:t>
            </w:r>
          </w:p>
        </w:tc>
        <w:tc>
          <w:tcPr>
            <w:tcW w:w="1440" w:type="dxa"/>
            <w:tcBorders>
              <w:top w:val="single" w:sz="6" w:space="0" w:color="auto"/>
              <w:left w:val="single" w:sz="6" w:space="0" w:color="auto"/>
              <w:bottom w:val="single" w:sz="6" w:space="0" w:color="auto"/>
              <w:right w:val="single" w:sz="6" w:space="0" w:color="auto"/>
            </w:tcBorders>
            <w:hideMark/>
          </w:tcPr>
          <w:p w14:paraId="62041060"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50F5104F" w14:textId="77777777" w:rsidR="00C805A1" w:rsidRPr="003B4362" w:rsidRDefault="00C805A1" w:rsidP="00BE7C7D">
            <w:pPr>
              <w:jc w:val="center"/>
            </w:pPr>
            <w:r w:rsidRPr="003B4362">
              <w:t>0.0004</w:t>
            </w:r>
          </w:p>
        </w:tc>
        <w:tc>
          <w:tcPr>
            <w:tcW w:w="3600" w:type="dxa"/>
            <w:tcBorders>
              <w:top w:val="single" w:sz="6" w:space="0" w:color="auto"/>
              <w:left w:val="single" w:sz="6" w:space="0" w:color="auto"/>
              <w:bottom w:val="single" w:sz="6" w:space="0" w:color="auto"/>
              <w:right w:val="single" w:sz="6" w:space="0" w:color="auto"/>
            </w:tcBorders>
            <w:hideMark/>
          </w:tcPr>
          <w:p w14:paraId="647F93F1" w14:textId="77777777" w:rsidR="00C805A1" w:rsidRPr="003B4362" w:rsidRDefault="00C805A1" w:rsidP="00BE7C7D">
            <w:r w:rsidRPr="003B4362">
              <w:t>Some people who drink water containing heptachlor in excess of the MCL over many years could experience liver damage and may have an increased risk of getting cancer.</w:t>
            </w:r>
          </w:p>
        </w:tc>
      </w:tr>
      <w:tr w:rsidR="001628C1" w:rsidRPr="003B4362" w14:paraId="5A671DCD"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A097CE9" w14:textId="77777777" w:rsidR="00C805A1" w:rsidRPr="003B4362" w:rsidRDefault="00C805A1" w:rsidP="00BE7C7D">
            <w:r w:rsidRPr="003B4362">
              <w:t>44. Heptachlor epoxide</w:t>
            </w:r>
          </w:p>
        </w:tc>
        <w:tc>
          <w:tcPr>
            <w:tcW w:w="1440" w:type="dxa"/>
            <w:tcBorders>
              <w:top w:val="single" w:sz="6" w:space="0" w:color="auto"/>
              <w:left w:val="single" w:sz="6" w:space="0" w:color="auto"/>
              <w:bottom w:val="single" w:sz="6" w:space="0" w:color="auto"/>
              <w:right w:val="single" w:sz="6" w:space="0" w:color="auto"/>
            </w:tcBorders>
            <w:hideMark/>
          </w:tcPr>
          <w:p w14:paraId="2909B2D0"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741DA9EE" w14:textId="77777777" w:rsidR="00C805A1" w:rsidRPr="003B4362" w:rsidRDefault="00C805A1" w:rsidP="00BE7C7D">
            <w:pPr>
              <w:jc w:val="center"/>
            </w:pPr>
            <w:r w:rsidRPr="003B4362">
              <w:t>0.0002</w:t>
            </w:r>
          </w:p>
        </w:tc>
        <w:tc>
          <w:tcPr>
            <w:tcW w:w="3600" w:type="dxa"/>
            <w:tcBorders>
              <w:top w:val="single" w:sz="6" w:space="0" w:color="auto"/>
              <w:left w:val="single" w:sz="6" w:space="0" w:color="auto"/>
              <w:bottom w:val="single" w:sz="6" w:space="0" w:color="auto"/>
              <w:right w:val="single" w:sz="6" w:space="0" w:color="auto"/>
            </w:tcBorders>
            <w:hideMark/>
          </w:tcPr>
          <w:p w14:paraId="310CFD88" w14:textId="77777777" w:rsidR="00C805A1" w:rsidRPr="003B4362" w:rsidRDefault="00C805A1" w:rsidP="00BE7C7D">
            <w:r w:rsidRPr="003B4362">
              <w:t>Some people who drink water containing heptachlor epoxide in excess of the MCL over many years could experience liver damage, and may have an increased risk of getting cancer.</w:t>
            </w:r>
          </w:p>
        </w:tc>
      </w:tr>
      <w:tr w:rsidR="001628C1" w:rsidRPr="003B4362" w14:paraId="1CEE4D61"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0EF21AE" w14:textId="77777777" w:rsidR="00C805A1" w:rsidRPr="003B4362" w:rsidRDefault="00C805A1" w:rsidP="00BE7C7D">
            <w:r w:rsidRPr="003B4362">
              <w:t>45. Hexachlorobenzene</w:t>
            </w:r>
          </w:p>
        </w:tc>
        <w:tc>
          <w:tcPr>
            <w:tcW w:w="1440" w:type="dxa"/>
            <w:tcBorders>
              <w:top w:val="single" w:sz="6" w:space="0" w:color="auto"/>
              <w:left w:val="single" w:sz="6" w:space="0" w:color="auto"/>
              <w:bottom w:val="single" w:sz="6" w:space="0" w:color="auto"/>
              <w:right w:val="single" w:sz="6" w:space="0" w:color="auto"/>
            </w:tcBorders>
            <w:hideMark/>
          </w:tcPr>
          <w:p w14:paraId="30EBF2BE"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66CC3764" w14:textId="77777777" w:rsidR="00C805A1" w:rsidRPr="003B4362" w:rsidRDefault="00C805A1" w:rsidP="00BE7C7D">
            <w:pPr>
              <w:jc w:val="center"/>
            </w:pPr>
            <w:r w:rsidRPr="003B4362">
              <w:t>0.001</w:t>
            </w:r>
          </w:p>
        </w:tc>
        <w:tc>
          <w:tcPr>
            <w:tcW w:w="3600" w:type="dxa"/>
            <w:tcBorders>
              <w:top w:val="single" w:sz="6" w:space="0" w:color="auto"/>
              <w:left w:val="single" w:sz="6" w:space="0" w:color="auto"/>
              <w:bottom w:val="single" w:sz="6" w:space="0" w:color="auto"/>
              <w:right w:val="single" w:sz="6" w:space="0" w:color="auto"/>
            </w:tcBorders>
            <w:hideMark/>
          </w:tcPr>
          <w:p w14:paraId="4375E566" w14:textId="77777777" w:rsidR="00C805A1" w:rsidRPr="003B4362" w:rsidRDefault="00C805A1" w:rsidP="00BE7C7D">
            <w:r w:rsidRPr="003B4362">
              <w:t>Some people who drink water containing hexachlorobenzene in excess of the MCL over many years could experience problems with their liver or kidneys, or adverse reproductive effects, and may have an increased risk of getting cancer.</w:t>
            </w:r>
          </w:p>
        </w:tc>
      </w:tr>
      <w:tr w:rsidR="001628C1" w:rsidRPr="003B4362" w14:paraId="180DE2EF"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7D1B351C" w14:textId="77777777" w:rsidR="00C805A1" w:rsidRPr="003B4362" w:rsidRDefault="00C805A1" w:rsidP="00BE7C7D">
            <w:r w:rsidRPr="003B4362">
              <w:t>46. Hexachlorocyclopenta</w:t>
            </w:r>
            <w:r w:rsidRPr="003B4362">
              <w:softHyphen/>
              <w:t>diene</w:t>
            </w:r>
          </w:p>
        </w:tc>
        <w:tc>
          <w:tcPr>
            <w:tcW w:w="1440" w:type="dxa"/>
            <w:tcBorders>
              <w:top w:val="single" w:sz="6" w:space="0" w:color="auto"/>
              <w:left w:val="single" w:sz="6" w:space="0" w:color="auto"/>
              <w:bottom w:val="single" w:sz="6" w:space="0" w:color="auto"/>
              <w:right w:val="single" w:sz="6" w:space="0" w:color="auto"/>
            </w:tcBorders>
            <w:hideMark/>
          </w:tcPr>
          <w:p w14:paraId="17D18031" w14:textId="77777777" w:rsidR="00C805A1" w:rsidRPr="003B4362" w:rsidRDefault="00C805A1" w:rsidP="00BE7C7D">
            <w:pPr>
              <w:jc w:val="center"/>
            </w:pPr>
            <w:r w:rsidRPr="003B4362">
              <w:t>0.05</w:t>
            </w:r>
          </w:p>
        </w:tc>
        <w:tc>
          <w:tcPr>
            <w:tcW w:w="1440" w:type="dxa"/>
            <w:tcBorders>
              <w:top w:val="single" w:sz="6" w:space="0" w:color="auto"/>
              <w:left w:val="single" w:sz="6" w:space="0" w:color="auto"/>
              <w:bottom w:val="single" w:sz="6" w:space="0" w:color="auto"/>
              <w:right w:val="single" w:sz="6" w:space="0" w:color="auto"/>
            </w:tcBorders>
            <w:hideMark/>
          </w:tcPr>
          <w:p w14:paraId="5B2F8595" w14:textId="77777777" w:rsidR="00C805A1" w:rsidRPr="003B4362" w:rsidRDefault="00C805A1" w:rsidP="00BE7C7D">
            <w:pPr>
              <w:jc w:val="center"/>
            </w:pPr>
            <w:r w:rsidRPr="003B4362">
              <w:t>0.05</w:t>
            </w:r>
          </w:p>
        </w:tc>
        <w:tc>
          <w:tcPr>
            <w:tcW w:w="3600" w:type="dxa"/>
            <w:tcBorders>
              <w:top w:val="single" w:sz="6" w:space="0" w:color="auto"/>
              <w:left w:val="single" w:sz="6" w:space="0" w:color="auto"/>
              <w:bottom w:val="single" w:sz="6" w:space="0" w:color="auto"/>
              <w:right w:val="single" w:sz="6" w:space="0" w:color="auto"/>
            </w:tcBorders>
            <w:hideMark/>
          </w:tcPr>
          <w:p w14:paraId="49247E4B" w14:textId="77777777" w:rsidR="00C805A1" w:rsidRPr="003B4362" w:rsidRDefault="00C805A1" w:rsidP="00BE7C7D">
            <w:r w:rsidRPr="003B4362">
              <w:t>Some people who drink water containing hexachlorocyclopenta-diene well in excess of the MCL over many years could experience problems with their kidneys or stomach.</w:t>
            </w:r>
          </w:p>
        </w:tc>
      </w:tr>
      <w:tr w:rsidR="001628C1" w:rsidRPr="003B4362" w14:paraId="3AAFECD1"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7C79C93" w14:textId="77777777" w:rsidR="00C805A1" w:rsidRPr="003B4362" w:rsidRDefault="00C805A1" w:rsidP="00BE7C7D">
            <w:r w:rsidRPr="003B4362">
              <w:t>47. Lindane</w:t>
            </w:r>
          </w:p>
        </w:tc>
        <w:tc>
          <w:tcPr>
            <w:tcW w:w="1440" w:type="dxa"/>
            <w:tcBorders>
              <w:top w:val="single" w:sz="6" w:space="0" w:color="auto"/>
              <w:left w:val="single" w:sz="6" w:space="0" w:color="auto"/>
              <w:bottom w:val="single" w:sz="6" w:space="0" w:color="auto"/>
              <w:right w:val="single" w:sz="6" w:space="0" w:color="auto"/>
            </w:tcBorders>
            <w:hideMark/>
          </w:tcPr>
          <w:p w14:paraId="6FCEA49E" w14:textId="77777777" w:rsidR="00C805A1" w:rsidRPr="003B4362" w:rsidRDefault="00C805A1" w:rsidP="00BE7C7D">
            <w:pPr>
              <w:jc w:val="center"/>
            </w:pPr>
            <w:r w:rsidRPr="003B4362">
              <w:t>0.0002</w:t>
            </w:r>
          </w:p>
        </w:tc>
        <w:tc>
          <w:tcPr>
            <w:tcW w:w="1440" w:type="dxa"/>
            <w:tcBorders>
              <w:top w:val="single" w:sz="6" w:space="0" w:color="auto"/>
              <w:left w:val="single" w:sz="6" w:space="0" w:color="auto"/>
              <w:bottom w:val="single" w:sz="6" w:space="0" w:color="auto"/>
              <w:right w:val="single" w:sz="6" w:space="0" w:color="auto"/>
            </w:tcBorders>
            <w:hideMark/>
          </w:tcPr>
          <w:p w14:paraId="658E2CD8" w14:textId="77777777" w:rsidR="00C805A1" w:rsidRPr="003B4362" w:rsidRDefault="00C805A1" w:rsidP="00BE7C7D">
            <w:pPr>
              <w:jc w:val="center"/>
            </w:pPr>
            <w:r w:rsidRPr="003B4362">
              <w:t>0.0002</w:t>
            </w:r>
          </w:p>
        </w:tc>
        <w:tc>
          <w:tcPr>
            <w:tcW w:w="3600" w:type="dxa"/>
            <w:tcBorders>
              <w:top w:val="single" w:sz="6" w:space="0" w:color="auto"/>
              <w:left w:val="single" w:sz="6" w:space="0" w:color="auto"/>
              <w:bottom w:val="single" w:sz="6" w:space="0" w:color="auto"/>
              <w:right w:val="single" w:sz="6" w:space="0" w:color="auto"/>
            </w:tcBorders>
            <w:hideMark/>
          </w:tcPr>
          <w:p w14:paraId="1A5B4698" w14:textId="77777777" w:rsidR="00C805A1" w:rsidRPr="003B4362" w:rsidRDefault="00C805A1" w:rsidP="00BE7C7D">
            <w:r w:rsidRPr="003B4362">
              <w:t>Some people who drink water containing lindane in excess of the MCL over many years could experience problems with their kidneys or liver.</w:t>
            </w:r>
          </w:p>
        </w:tc>
      </w:tr>
      <w:tr w:rsidR="001628C1" w:rsidRPr="003B4362" w14:paraId="4A0D79A6"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A1CDF3A" w14:textId="77777777" w:rsidR="00C805A1" w:rsidRPr="003B4362" w:rsidRDefault="00C805A1" w:rsidP="00BE7C7D">
            <w:r w:rsidRPr="003B4362">
              <w:t>48. Methoxychlor</w:t>
            </w:r>
          </w:p>
        </w:tc>
        <w:tc>
          <w:tcPr>
            <w:tcW w:w="1440" w:type="dxa"/>
            <w:tcBorders>
              <w:top w:val="single" w:sz="6" w:space="0" w:color="auto"/>
              <w:left w:val="single" w:sz="6" w:space="0" w:color="auto"/>
              <w:bottom w:val="single" w:sz="6" w:space="0" w:color="auto"/>
              <w:right w:val="single" w:sz="6" w:space="0" w:color="auto"/>
            </w:tcBorders>
            <w:hideMark/>
          </w:tcPr>
          <w:p w14:paraId="10AC6A9F" w14:textId="77777777" w:rsidR="00C805A1" w:rsidRPr="003B4362" w:rsidRDefault="00C805A1" w:rsidP="00BE7C7D">
            <w:pPr>
              <w:jc w:val="center"/>
            </w:pPr>
            <w:r w:rsidRPr="003B4362">
              <w:t>0.04</w:t>
            </w:r>
          </w:p>
        </w:tc>
        <w:tc>
          <w:tcPr>
            <w:tcW w:w="1440" w:type="dxa"/>
            <w:tcBorders>
              <w:top w:val="single" w:sz="6" w:space="0" w:color="auto"/>
              <w:left w:val="single" w:sz="6" w:space="0" w:color="auto"/>
              <w:bottom w:val="single" w:sz="6" w:space="0" w:color="auto"/>
              <w:right w:val="single" w:sz="6" w:space="0" w:color="auto"/>
            </w:tcBorders>
            <w:hideMark/>
          </w:tcPr>
          <w:p w14:paraId="4183123B" w14:textId="77777777" w:rsidR="00C805A1" w:rsidRPr="003B4362" w:rsidRDefault="00C805A1" w:rsidP="00BE7C7D">
            <w:pPr>
              <w:jc w:val="center"/>
            </w:pPr>
            <w:r w:rsidRPr="003B4362">
              <w:t>0.04</w:t>
            </w:r>
          </w:p>
        </w:tc>
        <w:tc>
          <w:tcPr>
            <w:tcW w:w="3600" w:type="dxa"/>
            <w:tcBorders>
              <w:top w:val="single" w:sz="6" w:space="0" w:color="auto"/>
              <w:left w:val="single" w:sz="6" w:space="0" w:color="auto"/>
              <w:bottom w:val="single" w:sz="6" w:space="0" w:color="auto"/>
              <w:right w:val="single" w:sz="6" w:space="0" w:color="auto"/>
            </w:tcBorders>
            <w:hideMark/>
          </w:tcPr>
          <w:p w14:paraId="5C5F2B50" w14:textId="77777777" w:rsidR="00C805A1" w:rsidRPr="003B4362" w:rsidRDefault="00C805A1" w:rsidP="00BE7C7D">
            <w:r w:rsidRPr="003B4362">
              <w:t>Some people who drink water containing methoxychlor in excess of the MCL over many years could experience reproductive difficulties.</w:t>
            </w:r>
          </w:p>
        </w:tc>
      </w:tr>
      <w:tr w:rsidR="001628C1" w:rsidRPr="003B4362" w14:paraId="3FD8296D"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200AA21" w14:textId="77777777" w:rsidR="00C805A1" w:rsidRPr="003B4362" w:rsidRDefault="00C805A1" w:rsidP="00BE7C7D">
            <w:r w:rsidRPr="003B4362">
              <w:lastRenderedPageBreak/>
              <w:t>49. Oxamyl (Vydate)</w:t>
            </w:r>
          </w:p>
        </w:tc>
        <w:tc>
          <w:tcPr>
            <w:tcW w:w="1440" w:type="dxa"/>
            <w:tcBorders>
              <w:top w:val="single" w:sz="6" w:space="0" w:color="auto"/>
              <w:left w:val="single" w:sz="6" w:space="0" w:color="auto"/>
              <w:bottom w:val="single" w:sz="6" w:space="0" w:color="auto"/>
              <w:right w:val="single" w:sz="6" w:space="0" w:color="auto"/>
            </w:tcBorders>
            <w:hideMark/>
          </w:tcPr>
          <w:p w14:paraId="6E8B58C7" w14:textId="77777777" w:rsidR="00C805A1" w:rsidRPr="003B4362" w:rsidRDefault="00C805A1" w:rsidP="00BE7C7D">
            <w:pPr>
              <w:jc w:val="center"/>
            </w:pPr>
            <w:r w:rsidRPr="003B4362">
              <w:t>0.2</w:t>
            </w:r>
          </w:p>
        </w:tc>
        <w:tc>
          <w:tcPr>
            <w:tcW w:w="1440" w:type="dxa"/>
            <w:tcBorders>
              <w:top w:val="single" w:sz="6" w:space="0" w:color="auto"/>
              <w:left w:val="single" w:sz="6" w:space="0" w:color="auto"/>
              <w:bottom w:val="single" w:sz="6" w:space="0" w:color="auto"/>
              <w:right w:val="single" w:sz="6" w:space="0" w:color="auto"/>
            </w:tcBorders>
            <w:hideMark/>
          </w:tcPr>
          <w:p w14:paraId="72D9AB40" w14:textId="77777777" w:rsidR="00C805A1" w:rsidRPr="003B4362" w:rsidRDefault="00C805A1" w:rsidP="00BE7C7D">
            <w:pPr>
              <w:jc w:val="center"/>
            </w:pPr>
            <w:r w:rsidRPr="003B4362">
              <w:t>0.2</w:t>
            </w:r>
          </w:p>
        </w:tc>
        <w:tc>
          <w:tcPr>
            <w:tcW w:w="3600" w:type="dxa"/>
            <w:tcBorders>
              <w:top w:val="single" w:sz="6" w:space="0" w:color="auto"/>
              <w:left w:val="single" w:sz="6" w:space="0" w:color="auto"/>
              <w:bottom w:val="single" w:sz="6" w:space="0" w:color="auto"/>
              <w:right w:val="single" w:sz="6" w:space="0" w:color="auto"/>
            </w:tcBorders>
            <w:hideMark/>
          </w:tcPr>
          <w:p w14:paraId="238BA8D1" w14:textId="77777777" w:rsidR="00C805A1" w:rsidRPr="003B4362" w:rsidRDefault="00C805A1" w:rsidP="00BE7C7D">
            <w:r w:rsidRPr="003B4362">
              <w:t>Some people who drink water containing oxamyl in excess of the MCL over many years could experience slight nervous system effects.</w:t>
            </w:r>
          </w:p>
        </w:tc>
      </w:tr>
      <w:tr w:rsidR="001628C1" w:rsidRPr="003B4362" w14:paraId="2A9FC05F"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2BA09B8" w14:textId="77777777" w:rsidR="00C805A1" w:rsidRPr="003B4362" w:rsidRDefault="00C805A1" w:rsidP="00BE7C7D">
            <w:r w:rsidRPr="003B4362">
              <w:t>50. Pentachlorophenol</w:t>
            </w:r>
          </w:p>
        </w:tc>
        <w:tc>
          <w:tcPr>
            <w:tcW w:w="1440" w:type="dxa"/>
            <w:tcBorders>
              <w:top w:val="single" w:sz="6" w:space="0" w:color="auto"/>
              <w:left w:val="single" w:sz="6" w:space="0" w:color="auto"/>
              <w:bottom w:val="single" w:sz="6" w:space="0" w:color="auto"/>
              <w:right w:val="single" w:sz="6" w:space="0" w:color="auto"/>
            </w:tcBorders>
            <w:hideMark/>
          </w:tcPr>
          <w:p w14:paraId="1613D0DB"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11402273" w14:textId="77777777" w:rsidR="00C805A1" w:rsidRPr="003B4362" w:rsidRDefault="00C805A1" w:rsidP="00BE7C7D">
            <w:pPr>
              <w:jc w:val="center"/>
            </w:pPr>
            <w:r w:rsidRPr="003B4362">
              <w:t>0.001</w:t>
            </w:r>
          </w:p>
        </w:tc>
        <w:tc>
          <w:tcPr>
            <w:tcW w:w="3600" w:type="dxa"/>
            <w:tcBorders>
              <w:top w:val="single" w:sz="6" w:space="0" w:color="auto"/>
              <w:left w:val="single" w:sz="6" w:space="0" w:color="auto"/>
              <w:bottom w:val="single" w:sz="6" w:space="0" w:color="auto"/>
              <w:right w:val="single" w:sz="6" w:space="0" w:color="auto"/>
            </w:tcBorders>
            <w:hideMark/>
          </w:tcPr>
          <w:p w14:paraId="647654CA" w14:textId="77777777" w:rsidR="00C805A1" w:rsidRPr="003B4362" w:rsidRDefault="00C805A1" w:rsidP="00BE7C7D">
            <w:r w:rsidRPr="003B4362">
              <w:t>Some people who drink water containing pentachlorophenol in excess of the MCL over many years could experience problems with their liver or kidneys, and may have an increased risk of getting cancer.</w:t>
            </w:r>
          </w:p>
        </w:tc>
      </w:tr>
      <w:tr w:rsidR="001628C1" w:rsidRPr="003B4362" w14:paraId="7C259760"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DA3C112" w14:textId="77777777" w:rsidR="00C805A1" w:rsidRPr="003B4362" w:rsidRDefault="00C805A1" w:rsidP="00BE7C7D">
            <w:r w:rsidRPr="003B4362">
              <w:t>51. Picloram</w:t>
            </w:r>
          </w:p>
        </w:tc>
        <w:tc>
          <w:tcPr>
            <w:tcW w:w="1440" w:type="dxa"/>
            <w:tcBorders>
              <w:top w:val="single" w:sz="6" w:space="0" w:color="auto"/>
              <w:left w:val="single" w:sz="6" w:space="0" w:color="auto"/>
              <w:bottom w:val="single" w:sz="6" w:space="0" w:color="auto"/>
              <w:right w:val="single" w:sz="6" w:space="0" w:color="auto"/>
            </w:tcBorders>
            <w:hideMark/>
          </w:tcPr>
          <w:p w14:paraId="1E32B119" w14:textId="77777777" w:rsidR="00C805A1" w:rsidRPr="003B4362" w:rsidRDefault="00C805A1" w:rsidP="00BE7C7D">
            <w:pPr>
              <w:jc w:val="center"/>
            </w:pPr>
            <w:r w:rsidRPr="003B4362">
              <w:t>0.5</w:t>
            </w:r>
          </w:p>
        </w:tc>
        <w:tc>
          <w:tcPr>
            <w:tcW w:w="1440" w:type="dxa"/>
            <w:tcBorders>
              <w:top w:val="single" w:sz="6" w:space="0" w:color="auto"/>
              <w:left w:val="single" w:sz="6" w:space="0" w:color="auto"/>
              <w:bottom w:val="single" w:sz="6" w:space="0" w:color="auto"/>
              <w:right w:val="single" w:sz="6" w:space="0" w:color="auto"/>
            </w:tcBorders>
            <w:hideMark/>
          </w:tcPr>
          <w:p w14:paraId="19C0D298" w14:textId="77777777" w:rsidR="00C805A1" w:rsidRPr="003B4362" w:rsidRDefault="00C805A1" w:rsidP="00BE7C7D">
            <w:pPr>
              <w:jc w:val="center"/>
            </w:pPr>
            <w:r w:rsidRPr="003B4362">
              <w:t>0.5</w:t>
            </w:r>
          </w:p>
        </w:tc>
        <w:tc>
          <w:tcPr>
            <w:tcW w:w="3600" w:type="dxa"/>
            <w:tcBorders>
              <w:top w:val="single" w:sz="6" w:space="0" w:color="auto"/>
              <w:left w:val="single" w:sz="6" w:space="0" w:color="auto"/>
              <w:bottom w:val="single" w:sz="6" w:space="0" w:color="auto"/>
              <w:right w:val="single" w:sz="6" w:space="0" w:color="auto"/>
            </w:tcBorders>
            <w:hideMark/>
          </w:tcPr>
          <w:p w14:paraId="155BC1C6" w14:textId="77777777" w:rsidR="00C805A1" w:rsidRPr="003B4362" w:rsidRDefault="00C805A1" w:rsidP="00BE7C7D">
            <w:r w:rsidRPr="003B4362">
              <w:t>Some people who drink water containing picloram in excess of the MCL over many years could experience problems with their liver.</w:t>
            </w:r>
          </w:p>
        </w:tc>
      </w:tr>
      <w:tr w:rsidR="001628C1" w:rsidRPr="003B4362" w14:paraId="20833803"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92D44E5" w14:textId="77777777" w:rsidR="00C805A1" w:rsidRPr="003B4362" w:rsidRDefault="00C805A1" w:rsidP="00BE7C7D">
            <w:r w:rsidRPr="003B4362">
              <w:t>52. Polychlorinated biphenyls (PCBs)</w:t>
            </w:r>
          </w:p>
        </w:tc>
        <w:tc>
          <w:tcPr>
            <w:tcW w:w="1440" w:type="dxa"/>
            <w:tcBorders>
              <w:top w:val="single" w:sz="6" w:space="0" w:color="auto"/>
              <w:left w:val="single" w:sz="6" w:space="0" w:color="auto"/>
              <w:bottom w:val="single" w:sz="6" w:space="0" w:color="auto"/>
              <w:right w:val="single" w:sz="6" w:space="0" w:color="auto"/>
            </w:tcBorders>
            <w:hideMark/>
          </w:tcPr>
          <w:p w14:paraId="68B8EB51"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1928725F" w14:textId="77777777" w:rsidR="00C805A1" w:rsidRPr="003B4362" w:rsidRDefault="00C805A1" w:rsidP="00BE7C7D">
            <w:pPr>
              <w:jc w:val="center"/>
            </w:pPr>
            <w:r w:rsidRPr="003B4362">
              <w:t>0.0005</w:t>
            </w:r>
          </w:p>
        </w:tc>
        <w:tc>
          <w:tcPr>
            <w:tcW w:w="3600" w:type="dxa"/>
            <w:tcBorders>
              <w:top w:val="single" w:sz="6" w:space="0" w:color="auto"/>
              <w:left w:val="single" w:sz="6" w:space="0" w:color="auto"/>
              <w:bottom w:val="single" w:sz="6" w:space="0" w:color="auto"/>
              <w:right w:val="single" w:sz="6" w:space="0" w:color="auto"/>
            </w:tcBorders>
            <w:hideMark/>
          </w:tcPr>
          <w:p w14:paraId="3FB86839" w14:textId="77777777" w:rsidR="00C805A1" w:rsidRPr="003B4362" w:rsidRDefault="00C805A1" w:rsidP="00BE7C7D">
            <w:r w:rsidRPr="003B4362">
              <w:t>Some people who drink water containing PCBs in excess of the MCL over many years could experience changes in their skin, problems with their thymus gland, immune deficiencies, or reproductive or nervous system difficulties, and may have an increased risk of getting cancer.</w:t>
            </w:r>
          </w:p>
        </w:tc>
      </w:tr>
      <w:tr w:rsidR="001628C1" w:rsidRPr="003B4362" w14:paraId="63C8FF4C"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50894BE" w14:textId="77777777" w:rsidR="00C805A1" w:rsidRPr="003B4362" w:rsidRDefault="00C805A1" w:rsidP="00BE7C7D">
            <w:r w:rsidRPr="003B4362">
              <w:t>53. Simazine</w:t>
            </w:r>
          </w:p>
        </w:tc>
        <w:tc>
          <w:tcPr>
            <w:tcW w:w="1440" w:type="dxa"/>
            <w:tcBorders>
              <w:top w:val="single" w:sz="6" w:space="0" w:color="auto"/>
              <w:left w:val="single" w:sz="6" w:space="0" w:color="auto"/>
              <w:bottom w:val="single" w:sz="6" w:space="0" w:color="auto"/>
              <w:right w:val="single" w:sz="6" w:space="0" w:color="auto"/>
            </w:tcBorders>
            <w:hideMark/>
          </w:tcPr>
          <w:p w14:paraId="153F2C12" w14:textId="77777777" w:rsidR="00C805A1" w:rsidRPr="003B4362" w:rsidRDefault="00C805A1" w:rsidP="00BE7C7D">
            <w:pPr>
              <w:jc w:val="center"/>
            </w:pPr>
            <w:r w:rsidRPr="003B4362">
              <w:t>0.004</w:t>
            </w:r>
          </w:p>
        </w:tc>
        <w:tc>
          <w:tcPr>
            <w:tcW w:w="1440" w:type="dxa"/>
            <w:tcBorders>
              <w:top w:val="single" w:sz="6" w:space="0" w:color="auto"/>
              <w:left w:val="single" w:sz="6" w:space="0" w:color="auto"/>
              <w:bottom w:val="single" w:sz="6" w:space="0" w:color="auto"/>
              <w:right w:val="single" w:sz="6" w:space="0" w:color="auto"/>
            </w:tcBorders>
            <w:hideMark/>
          </w:tcPr>
          <w:p w14:paraId="338A695C" w14:textId="77777777" w:rsidR="00C805A1" w:rsidRPr="003B4362" w:rsidRDefault="00C805A1" w:rsidP="00BE7C7D">
            <w:pPr>
              <w:jc w:val="center"/>
            </w:pPr>
            <w:r w:rsidRPr="003B4362">
              <w:t>0.004</w:t>
            </w:r>
          </w:p>
        </w:tc>
        <w:tc>
          <w:tcPr>
            <w:tcW w:w="3600" w:type="dxa"/>
            <w:tcBorders>
              <w:top w:val="single" w:sz="6" w:space="0" w:color="auto"/>
              <w:left w:val="single" w:sz="6" w:space="0" w:color="auto"/>
              <w:bottom w:val="single" w:sz="6" w:space="0" w:color="auto"/>
              <w:right w:val="single" w:sz="6" w:space="0" w:color="auto"/>
            </w:tcBorders>
            <w:hideMark/>
          </w:tcPr>
          <w:p w14:paraId="5FF8B873" w14:textId="77777777" w:rsidR="00C805A1" w:rsidRPr="003B4362" w:rsidRDefault="00C805A1" w:rsidP="00BE7C7D">
            <w:r w:rsidRPr="003B4362">
              <w:t>Some people who drink water containing simazine in excess of the MCL over many years could experience problems with their blood.</w:t>
            </w:r>
          </w:p>
        </w:tc>
      </w:tr>
      <w:tr w:rsidR="001628C1" w:rsidRPr="003B4362" w14:paraId="2A89A633"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0F6F98D" w14:textId="77777777" w:rsidR="00C805A1" w:rsidRPr="003B4362" w:rsidRDefault="00C805A1" w:rsidP="00BE7C7D">
            <w:r w:rsidRPr="003B4362">
              <w:t>54. Toxaphene</w:t>
            </w:r>
          </w:p>
        </w:tc>
        <w:tc>
          <w:tcPr>
            <w:tcW w:w="1440" w:type="dxa"/>
            <w:tcBorders>
              <w:top w:val="single" w:sz="6" w:space="0" w:color="auto"/>
              <w:left w:val="single" w:sz="6" w:space="0" w:color="auto"/>
              <w:bottom w:val="single" w:sz="6" w:space="0" w:color="auto"/>
              <w:right w:val="single" w:sz="6" w:space="0" w:color="auto"/>
            </w:tcBorders>
            <w:hideMark/>
          </w:tcPr>
          <w:p w14:paraId="0DD06221"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0E513F8B" w14:textId="77777777" w:rsidR="00C805A1" w:rsidRPr="003B4362" w:rsidRDefault="00C805A1" w:rsidP="00BE7C7D">
            <w:pPr>
              <w:jc w:val="center"/>
            </w:pPr>
            <w:r w:rsidRPr="003B4362">
              <w:t>0.003</w:t>
            </w:r>
          </w:p>
        </w:tc>
        <w:tc>
          <w:tcPr>
            <w:tcW w:w="3600" w:type="dxa"/>
            <w:tcBorders>
              <w:top w:val="single" w:sz="6" w:space="0" w:color="auto"/>
              <w:left w:val="single" w:sz="6" w:space="0" w:color="auto"/>
              <w:bottom w:val="single" w:sz="6" w:space="0" w:color="auto"/>
              <w:right w:val="single" w:sz="6" w:space="0" w:color="auto"/>
            </w:tcBorders>
            <w:hideMark/>
          </w:tcPr>
          <w:p w14:paraId="5DFF69C5" w14:textId="77777777" w:rsidR="00C805A1" w:rsidRPr="003B4362" w:rsidRDefault="00C805A1" w:rsidP="00BE7C7D">
            <w:r w:rsidRPr="003B4362">
              <w:t>Some people who drink water containing toxaphene in excess of the MCL over many years could have problems with their kidneys, liver, or thyroid, and may have an increased risk of getting cancer.</w:t>
            </w:r>
          </w:p>
        </w:tc>
      </w:tr>
      <w:tr w:rsidR="001628C1" w:rsidRPr="003B4362" w14:paraId="5A32D738"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7DB9C120" w14:textId="77777777" w:rsidR="00C805A1" w:rsidRPr="003B4362" w:rsidRDefault="00C805A1" w:rsidP="00BE7C7D">
            <w:pPr>
              <w:keepNext/>
              <w:keepLines/>
              <w:jc w:val="center"/>
            </w:pPr>
            <w:r w:rsidRPr="003B4362">
              <w:lastRenderedPageBreak/>
              <w:t>F. Volatile Organic Chemicals (VOCs)</w:t>
            </w:r>
          </w:p>
        </w:tc>
      </w:tr>
      <w:tr w:rsidR="001628C1" w:rsidRPr="003B4362" w14:paraId="3C3E9A0A"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B775D14" w14:textId="77777777" w:rsidR="00C805A1" w:rsidRPr="003B4362" w:rsidRDefault="00C805A1" w:rsidP="00BE7C7D">
            <w:r w:rsidRPr="003B4362">
              <w:t>55. Benzene</w:t>
            </w:r>
          </w:p>
        </w:tc>
        <w:tc>
          <w:tcPr>
            <w:tcW w:w="1440" w:type="dxa"/>
            <w:tcBorders>
              <w:top w:val="single" w:sz="6" w:space="0" w:color="auto"/>
              <w:left w:val="single" w:sz="6" w:space="0" w:color="auto"/>
              <w:bottom w:val="single" w:sz="6" w:space="0" w:color="auto"/>
              <w:right w:val="single" w:sz="6" w:space="0" w:color="auto"/>
            </w:tcBorders>
            <w:hideMark/>
          </w:tcPr>
          <w:p w14:paraId="5D3AAB05"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2EBFC83E"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0E71BBCF" w14:textId="77777777" w:rsidR="00C805A1" w:rsidRPr="003B4362" w:rsidRDefault="00C805A1" w:rsidP="00BE7C7D">
            <w:r w:rsidRPr="003B4362">
              <w:t>Some people who drink water containing benzene in excess of the MCL over many years could experience anemia or a decrease in blood platelets, and may have an increased risk of getting cancer.</w:t>
            </w:r>
          </w:p>
        </w:tc>
      </w:tr>
      <w:tr w:rsidR="001628C1" w:rsidRPr="003B4362" w14:paraId="12686B03"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8A8410E" w14:textId="77777777" w:rsidR="00C805A1" w:rsidRPr="003B4362" w:rsidRDefault="00C805A1" w:rsidP="00BE7C7D">
            <w:r w:rsidRPr="003B4362">
              <w:t>56. Carbon tetrachloride</w:t>
            </w:r>
          </w:p>
        </w:tc>
        <w:tc>
          <w:tcPr>
            <w:tcW w:w="1440" w:type="dxa"/>
            <w:tcBorders>
              <w:top w:val="single" w:sz="6" w:space="0" w:color="auto"/>
              <w:left w:val="single" w:sz="6" w:space="0" w:color="auto"/>
              <w:bottom w:val="single" w:sz="6" w:space="0" w:color="auto"/>
              <w:right w:val="single" w:sz="6" w:space="0" w:color="auto"/>
            </w:tcBorders>
            <w:hideMark/>
          </w:tcPr>
          <w:p w14:paraId="79D4A49A"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6DBBA513"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52B8B0EE" w14:textId="77777777" w:rsidR="00C805A1" w:rsidRPr="003B4362" w:rsidRDefault="00C805A1" w:rsidP="00BE7C7D">
            <w:r w:rsidRPr="003B4362">
              <w:t>Some people who drink water containing carbon tetrachloride in excess of the MCL over many years could experience problems with their liver and may have an increased risk of getting cancer.</w:t>
            </w:r>
          </w:p>
        </w:tc>
      </w:tr>
      <w:tr w:rsidR="001628C1" w:rsidRPr="003B4362" w14:paraId="2545C3E5"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ADE0FAE" w14:textId="77777777" w:rsidR="00C805A1" w:rsidRPr="003B4362" w:rsidRDefault="00C805A1" w:rsidP="00BE7C7D">
            <w:r w:rsidRPr="003B4362">
              <w:t>57. Chlorobenzene (monochlorobenzene)</w:t>
            </w:r>
          </w:p>
        </w:tc>
        <w:tc>
          <w:tcPr>
            <w:tcW w:w="1440" w:type="dxa"/>
            <w:tcBorders>
              <w:top w:val="single" w:sz="6" w:space="0" w:color="auto"/>
              <w:left w:val="single" w:sz="6" w:space="0" w:color="auto"/>
              <w:bottom w:val="single" w:sz="6" w:space="0" w:color="auto"/>
              <w:right w:val="single" w:sz="6" w:space="0" w:color="auto"/>
            </w:tcBorders>
            <w:hideMark/>
          </w:tcPr>
          <w:p w14:paraId="440C6BE4" w14:textId="77777777" w:rsidR="00C805A1" w:rsidRPr="003B4362" w:rsidRDefault="00C805A1" w:rsidP="00BE7C7D">
            <w:pPr>
              <w:jc w:val="center"/>
            </w:pPr>
            <w:r w:rsidRPr="003B4362">
              <w:t>0.1</w:t>
            </w:r>
          </w:p>
        </w:tc>
        <w:tc>
          <w:tcPr>
            <w:tcW w:w="1440" w:type="dxa"/>
            <w:tcBorders>
              <w:top w:val="single" w:sz="6" w:space="0" w:color="auto"/>
              <w:left w:val="single" w:sz="6" w:space="0" w:color="auto"/>
              <w:bottom w:val="single" w:sz="6" w:space="0" w:color="auto"/>
              <w:right w:val="single" w:sz="6" w:space="0" w:color="auto"/>
            </w:tcBorders>
            <w:hideMark/>
          </w:tcPr>
          <w:p w14:paraId="2B93CFF6" w14:textId="77777777" w:rsidR="00C805A1" w:rsidRPr="003B4362" w:rsidRDefault="00C805A1" w:rsidP="00BE7C7D">
            <w:pPr>
              <w:jc w:val="center"/>
            </w:pPr>
            <w:r w:rsidRPr="003B4362">
              <w:t>0.1</w:t>
            </w:r>
          </w:p>
        </w:tc>
        <w:tc>
          <w:tcPr>
            <w:tcW w:w="3600" w:type="dxa"/>
            <w:tcBorders>
              <w:top w:val="single" w:sz="6" w:space="0" w:color="auto"/>
              <w:left w:val="single" w:sz="6" w:space="0" w:color="auto"/>
              <w:bottom w:val="single" w:sz="6" w:space="0" w:color="auto"/>
              <w:right w:val="single" w:sz="6" w:space="0" w:color="auto"/>
            </w:tcBorders>
            <w:hideMark/>
          </w:tcPr>
          <w:p w14:paraId="609DEACE" w14:textId="77777777" w:rsidR="00C805A1" w:rsidRPr="003B4362" w:rsidRDefault="00C805A1" w:rsidP="00BE7C7D">
            <w:r w:rsidRPr="003B4362">
              <w:t>Some people who drink water containing chlorobenzene in excess of the MCL over many years could experience problems with their liver or kidneys.</w:t>
            </w:r>
          </w:p>
        </w:tc>
      </w:tr>
      <w:tr w:rsidR="001628C1" w:rsidRPr="003B4362" w14:paraId="2D70C4DF"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078E09E" w14:textId="77777777" w:rsidR="00C805A1" w:rsidRPr="003B4362" w:rsidRDefault="00C805A1" w:rsidP="00BE7C7D">
            <w:r w:rsidRPr="003B4362">
              <w:t>58. o-Dichlorobenzene</w:t>
            </w:r>
          </w:p>
        </w:tc>
        <w:tc>
          <w:tcPr>
            <w:tcW w:w="1440" w:type="dxa"/>
            <w:tcBorders>
              <w:top w:val="single" w:sz="6" w:space="0" w:color="auto"/>
              <w:left w:val="single" w:sz="6" w:space="0" w:color="auto"/>
              <w:bottom w:val="single" w:sz="6" w:space="0" w:color="auto"/>
              <w:right w:val="single" w:sz="6" w:space="0" w:color="auto"/>
            </w:tcBorders>
            <w:hideMark/>
          </w:tcPr>
          <w:p w14:paraId="384DB842" w14:textId="77777777" w:rsidR="00C805A1" w:rsidRPr="003B4362" w:rsidRDefault="00C805A1" w:rsidP="00BE7C7D">
            <w:pPr>
              <w:jc w:val="center"/>
            </w:pPr>
            <w:r w:rsidRPr="003B4362">
              <w:t>0.6</w:t>
            </w:r>
          </w:p>
        </w:tc>
        <w:tc>
          <w:tcPr>
            <w:tcW w:w="1440" w:type="dxa"/>
            <w:tcBorders>
              <w:top w:val="single" w:sz="6" w:space="0" w:color="auto"/>
              <w:left w:val="single" w:sz="6" w:space="0" w:color="auto"/>
              <w:bottom w:val="single" w:sz="6" w:space="0" w:color="auto"/>
              <w:right w:val="single" w:sz="6" w:space="0" w:color="auto"/>
            </w:tcBorders>
            <w:hideMark/>
          </w:tcPr>
          <w:p w14:paraId="18A291EC" w14:textId="77777777" w:rsidR="00C805A1" w:rsidRPr="003B4362" w:rsidRDefault="00C805A1" w:rsidP="00BE7C7D">
            <w:pPr>
              <w:jc w:val="center"/>
            </w:pPr>
            <w:r w:rsidRPr="003B4362">
              <w:t>0.6</w:t>
            </w:r>
          </w:p>
        </w:tc>
        <w:tc>
          <w:tcPr>
            <w:tcW w:w="3600" w:type="dxa"/>
            <w:tcBorders>
              <w:top w:val="single" w:sz="6" w:space="0" w:color="auto"/>
              <w:left w:val="single" w:sz="6" w:space="0" w:color="auto"/>
              <w:bottom w:val="single" w:sz="6" w:space="0" w:color="auto"/>
              <w:right w:val="single" w:sz="6" w:space="0" w:color="auto"/>
            </w:tcBorders>
            <w:hideMark/>
          </w:tcPr>
          <w:p w14:paraId="2FC4D6CA" w14:textId="77777777" w:rsidR="00C805A1" w:rsidRPr="003B4362" w:rsidRDefault="00C805A1" w:rsidP="00BE7C7D">
            <w:r w:rsidRPr="003B4362">
              <w:t>Some people who drink water containing o-dichlorobenzene well in excess of the MCL over many years could experience problems with their liver, kidneys, or circulatory systems.</w:t>
            </w:r>
          </w:p>
        </w:tc>
      </w:tr>
      <w:tr w:rsidR="001628C1" w:rsidRPr="003B4362" w14:paraId="3D39C52F"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A3D6F69" w14:textId="77777777" w:rsidR="00C805A1" w:rsidRPr="003B4362" w:rsidRDefault="00C805A1" w:rsidP="00BE7C7D">
            <w:r w:rsidRPr="003B4362">
              <w:t>59. p-Dichlorobenzene</w:t>
            </w:r>
          </w:p>
        </w:tc>
        <w:tc>
          <w:tcPr>
            <w:tcW w:w="1440" w:type="dxa"/>
            <w:tcBorders>
              <w:top w:val="single" w:sz="6" w:space="0" w:color="auto"/>
              <w:left w:val="single" w:sz="6" w:space="0" w:color="auto"/>
              <w:bottom w:val="single" w:sz="6" w:space="0" w:color="auto"/>
              <w:right w:val="single" w:sz="6" w:space="0" w:color="auto"/>
            </w:tcBorders>
            <w:hideMark/>
          </w:tcPr>
          <w:p w14:paraId="01E7E52B" w14:textId="77777777" w:rsidR="00C805A1" w:rsidRPr="003B4362" w:rsidRDefault="00C805A1" w:rsidP="00BE7C7D">
            <w:pPr>
              <w:jc w:val="center"/>
            </w:pPr>
            <w:r w:rsidRPr="003B4362">
              <w:t>0.075</w:t>
            </w:r>
          </w:p>
        </w:tc>
        <w:tc>
          <w:tcPr>
            <w:tcW w:w="1440" w:type="dxa"/>
            <w:tcBorders>
              <w:top w:val="single" w:sz="6" w:space="0" w:color="auto"/>
              <w:left w:val="single" w:sz="6" w:space="0" w:color="auto"/>
              <w:bottom w:val="single" w:sz="6" w:space="0" w:color="auto"/>
              <w:right w:val="single" w:sz="6" w:space="0" w:color="auto"/>
            </w:tcBorders>
            <w:hideMark/>
          </w:tcPr>
          <w:p w14:paraId="384F43D1" w14:textId="77777777" w:rsidR="00C805A1" w:rsidRPr="003B4362" w:rsidRDefault="00C805A1" w:rsidP="00BE7C7D">
            <w:pPr>
              <w:jc w:val="center"/>
            </w:pPr>
            <w:r w:rsidRPr="003B4362">
              <w:t>0.075</w:t>
            </w:r>
          </w:p>
        </w:tc>
        <w:tc>
          <w:tcPr>
            <w:tcW w:w="3600" w:type="dxa"/>
            <w:tcBorders>
              <w:top w:val="single" w:sz="6" w:space="0" w:color="auto"/>
              <w:left w:val="single" w:sz="6" w:space="0" w:color="auto"/>
              <w:bottom w:val="single" w:sz="6" w:space="0" w:color="auto"/>
              <w:right w:val="single" w:sz="6" w:space="0" w:color="auto"/>
            </w:tcBorders>
            <w:hideMark/>
          </w:tcPr>
          <w:p w14:paraId="53E96E50" w14:textId="77777777" w:rsidR="00C805A1" w:rsidRPr="003B4362" w:rsidRDefault="00C805A1" w:rsidP="00BE7C7D">
            <w:r w:rsidRPr="003B4362">
              <w:t>Some people who drink water containing p-dichlorobenzene in excess of the MCL over many years could experience anemia, damage to their liver, kidneys, or spleen, or changes in their blood.</w:t>
            </w:r>
          </w:p>
        </w:tc>
      </w:tr>
      <w:tr w:rsidR="001628C1" w:rsidRPr="003B4362" w14:paraId="25C2334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C4E78E8" w14:textId="77777777" w:rsidR="00C805A1" w:rsidRPr="003B4362" w:rsidRDefault="00C805A1" w:rsidP="00BE7C7D">
            <w:r w:rsidRPr="003B4362">
              <w:t>60. 1,2-Dichloroethane</w:t>
            </w:r>
          </w:p>
        </w:tc>
        <w:tc>
          <w:tcPr>
            <w:tcW w:w="1440" w:type="dxa"/>
            <w:tcBorders>
              <w:top w:val="single" w:sz="6" w:space="0" w:color="auto"/>
              <w:left w:val="single" w:sz="6" w:space="0" w:color="auto"/>
              <w:bottom w:val="single" w:sz="6" w:space="0" w:color="auto"/>
              <w:right w:val="single" w:sz="6" w:space="0" w:color="auto"/>
            </w:tcBorders>
            <w:hideMark/>
          </w:tcPr>
          <w:p w14:paraId="19815E82"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13136F61"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6BA4A105" w14:textId="77777777" w:rsidR="00C805A1" w:rsidRPr="003B4362" w:rsidRDefault="00C805A1" w:rsidP="00BE7C7D">
            <w:r w:rsidRPr="003B4362">
              <w:t>Some people who drink water containing 1,2-dichloroethane in excess of the MCL over many years may have an increased risk of getting cancer.</w:t>
            </w:r>
          </w:p>
        </w:tc>
      </w:tr>
      <w:tr w:rsidR="001628C1" w:rsidRPr="003B4362" w14:paraId="7817132A"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6360B61" w14:textId="77777777" w:rsidR="00C805A1" w:rsidRPr="003B4362" w:rsidRDefault="00C805A1" w:rsidP="00BE7C7D">
            <w:r w:rsidRPr="003B4362">
              <w:t>61. 1,1-Dichloroethylene</w:t>
            </w:r>
          </w:p>
        </w:tc>
        <w:tc>
          <w:tcPr>
            <w:tcW w:w="1440" w:type="dxa"/>
            <w:tcBorders>
              <w:top w:val="single" w:sz="6" w:space="0" w:color="auto"/>
              <w:left w:val="single" w:sz="6" w:space="0" w:color="auto"/>
              <w:bottom w:val="single" w:sz="6" w:space="0" w:color="auto"/>
              <w:right w:val="single" w:sz="6" w:space="0" w:color="auto"/>
            </w:tcBorders>
            <w:hideMark/>
          </w:tcPr>
          <w:p w14:paraId="025F40E3" w14:textId="77777777" w:rsidR="00C805A1" w:rsidRPr="003B4362" w:rsidRDefault="00C805A1" w:rsidP="00BE7C7D">
            <w:pPr>
              <w:jc w:val="center"/>
            </w:pPr>
            <w:r w:rsidRPr="003B4362">
              <w:t>0.007</w:t>
            </w:r>
          </w:p>
        </w:tc>
        <w:tc>
          <w:tcPr>
            <w:tcW w:w="1440" w:type="dxa"/>
            <w:tcBorders>
              <w:top w:val="single" w:sz="6" w:space="0" w:color="auto"/>
              <w:left w:val="single" w:sz="6" w:space="0" w:color="auto"/>
              <w:bottom w:val="single" w:sz="6" w:space="0" w:color="auto"/>
              <w:right w:val="single" w:sz="6" w:space="0" w:color="auto"/>
            </w:tcBorders>
            <w:hideMark/>
          </w:tcPr>
          <w:p w14:paraId="1B49043B" w14:textId="77777777" w:rsidR="00C805A1" w:rsidRPr="003B4362" w:rsidRDefault="00C805A1" w:rsidP="00BE7C7D">
            <w:pPr>
              <w:jc w:val="center"/>
            </w:pPr>
            <w:r w:rsidRPr="003B4362">
              <w:t>0.007</w:t>
            </w:r>
          </w:p>
        </w:tc>
        <w:tc>
          <w:tcPr>
            <w:tcW w:w="3600" w:type="dxa"/>
            <w:tcBorders>
              <w:top w:val="single" w:sz="6" w:space="0" w:color="auto"/>
              <w:left w:val="single" w:sz="6" w:space="0" w:color="auto"/>
              <w:bottom w:val="single" w:sz="6" w:space="0" w:color="auto"/>
              <w:right w:val="single" w:sz="6" w:space="0" w:color="auto"/>
            </w:tcBorders>
            <w:hideMark/>
          </w:tcPr>
          <w:p w14:paraId="5B341504" w14:textId="77777777" w:rsidR="00C805A1" w:rsidRPr="003B4362" w:rsidRDefault="00C805A1" w:rsidP="00BE7C7D">
            <w:r w:rsidRPr="003B4362">
              <w:t>Some people who drink water containing 1,1-dichloroethylene in excess of the MCL over many years could experience problems with their liver.</w:t>
            </w:r>
          </w:p>
        </w:tc>
      </w:tr>
      <w:tr w:rsidR="001628C1" w:rsidRPr="003B4362" w14:paraId="18E9370C"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84734DC" w14:textId="77777777" w:rsidR="00C805A1" w:rsidRPr="003B4362" w:rsidRDefault="00C805A1" w:rsidP="00BE7C7D">
            <w:r w:rsidRPr="003B4362">
              <w:lastRenderedPageBreak/>
              <w:t>62. cis-1,2-Dichloro</w:t>
            </w:r>
            <w:r w:rsidRPr="003B4362">
              <w:softHyphen/>
              <w:t>ethylene</w:t>
            </w:r>
          </w:p>
        </w:tc>
        <w:tc>
          <w:tcPr>
            <w:tcW w:w="1440" w:type="dxa"/>
            <w:tcBorders>
              <w:top w:val="single" w:sz="6" w:space="0" w:color="auto"/>
              <w:left w:val="single" w:sz="6" w:space="0" w:color="auto"/>
              <w:bottom w:val="single" w:sz="6" w:space="0" w:color="auto"/>
              <w:right w:val="single" w:sz="6" w:space="0" w:color="auto"/>
            </w:tcBorders>
            <w:hideMark/>
          </w:tcPr>
          <w:p w14:paraId="4EC3A67A" w14:textId="77777777" w:rsidR="00C805A1" w:rsidRPr="003B4362" w:rsidRDefault="00C805A1" w:rsidP="00BE7C7D">
            <w:pPr>
              <w:jc w:val="center"/>
            </w:pPr>
            <w:r w:rsidRPr="003B4362">
              <w:t>0.07</w:t>
            </w:r>
          </w:p>
        </w:tc>
        <w:tc>
          <w:tcPr>
            <w:tcW w:w="1440" w:type="dxa"/>
            <w:tcBorders>
              <w:top w:val="single" w:sz="6" w:space="0" w:color="auto"/>
              <w:left w:val="single" w:sz="6" w:space="0" w:color="auto"/>
              <w:bottom w:val="single" w:sz="6" w:space="0" w:color="auto"/>
              <w:right w:val="single" w:sz="6" w:space="0" w:color="auto"/>
            </w:tcBorders>
            <w:hideMark/>
          </w:tcPr>
          <w:p w14:paraId="42D665E5" w14:textId="77777777" w:rsidR="00C805A1" w:rsidRPr="003B4362" w:rsidRDefault="00C805A1" w:rsidP="00BE7C7D">
            <w:pPr>
              <w:jc w:val="center"/>
            </w:pPr>
            <w:r w:rsidRPr="003B4362">
              <w:t>0.07</w:t>
            </w:r>
          </w:p>
        </w:tc>
        <w:tc>
          <w:tcPr>
            <w:tcW w:w="3600" w:type="dxa"/>
            <w:tcBorders>
              <w:top w:val="single" w:sz="6" w:space="0" w:color="auto"/>
              <w:left w:val="single" w:sz="6" w:space="0" w:color="auto"/>
              <w:bottom w:val="single" w:sz="6" w:space="0" w:color="auto"/>
              <w:right w:val="single" w:sz="6" w:space="0" w:color="auto"/>
            </w:tcBorders>
            <w:hideMark/>
          </w:tcPr>
          <w:p w14:paraId="360FD849" w14:textId="77777777" w:rsidR="00C805A1" w:rsidRPr="003B4362" w:rsidRDefault="00C805A1" w:rsidP="00BE7C7D">
            <w:r w:rsidRPr="003B4362">
              <w:t>Some people who drink water containing cis-1,2-dichloro-ethylene in excess of the MCL over many years could experience problems with their liver.</w:t>
            </w:r>
          </w:p>
        </w:tc>
      </w:tr>
      <w:tr w:rsidR="001628C1" w:rsidRPr="003B4362" w14:paraId="7C407D4D"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5F1889F" w14:textId="77777777" w:rsidR="00C805A1" w:rsidRPr="003B4362" w:rsidRDefault="00C805A1" w:rsidP="00BE7C7D">
            <w:r w:rsidRPr="003B4362">
              <w:t>63. trans-1,2-Dichloro</w:t>
            </w:r>
            <w:r w:rsidRPr="003B4362">
              <w:softHyphen/>
              <w:t>ethylene</w:t>
            </w:r>
          </w:p>
        </w:tc>
        <w:tc>
          <w:tcPr>
            <w:tcW w:w="1440" w:type="dxa"/>
            <w:tcBorders>
              <w:top w:val="single" w:sz="6" w:space="0" w:color="auto"/>
              <w:left w:val="single" w:sz="6" w:space="0" w:color="auto"/>
              <w:bottom w:val="single" w:sz="6" w:space="0" w:color="auto"/>
              <w:right w:val="single" w:sz="6" w:space="0" w:color="auto"/>
            </w:tcBorders>
            <w:hideMark/>
          </w:tcPr>
          <w:p w14:paraId="5E131D9E" w14:textId="77777777" w:rsidR="00C805A1" w:rsidRPr="003B4362" w:rsidRDefault="00C805A1" w:rsidP="00BE7C7D">
            <w:pPr>
              <w:jc w:val="center"/>
            </w:pPr>
            <w:r w:rsidRPr="003B4362">
              <w:t>0.1</w:t>
            </w:r>
          </w:p>
        </w:tc>
        <w:tc>
          <w:tcPr>
            <w:tcW w:w="1440" w:type="dxa"/>
            <w:tcBorders>
              <w:top w:val="single" w:sz="6" w:space="0" w:color="auto"/>
              <w:left w:val="single" w:sz="6" w:space="0" w:color="auto"/>
              <w:bottom w:val="single" w:sz="6" w:space="0" w:color="auto"/>
              <w:right w:val="single" w:sz="6" w:space="0" w:color="auto"/>
            </w:tcBorders>
            <w:hideMark/>
          </w:tcPr>
          <w:p w14:paraId="1E6418C8" w14:textId="77777777" w:rsidR="00C805A1" w:rsidRPr="003B4362" w:rsidRDefault="00C805A1" w:rsidP="00BE7C7D">
            <w:pPr>
              <w:jc w:val="center"/>
            </w:pPr>
            <w:r w:rsidRPr="003B4362">
              <w:t>0.1</w:t>
            </w:r>
          </w:p>
        </w:tc>
        <w:tc>
          <w:tcPr>
            <w:tcW w:w="3600" w:type="dxa"/>
            <w:tcBorders>
              <w:top w:val="single" w:sz="6" w:space="0" w:color="auto"/>
              <w:left w:val="single" w:sz="6" w:space="0" w:color="auto"/>
              <w:bottom w:val="single" w:sz="6" w:space="0" w:color="auto"/>
              <w:right w:val="single" w:sz="6" w:space="0" w:color="auto"/>
            </w:tcBorders>
            <w:hideMark/>
          </w:tcPr>
          <w:p w14:paraId="01177718" w14:textId="77777777" w:rsidR="00C805A1" w:rsidRPr="003B4362" w:rsidRDefault="00C805A1" w:rsidP="00BE7C7D">
            <w:r w:rsidRPr="003B4362">
              <w:t>Some people who drink water containing trans-1,2-dichloro-ethylene well in excess of the MCL over many years could experience problems with their liver.</w:t>
            </w:r>
          </w:p>
        </w:tc>
      </w:tr>
      <w:tr w:rsidR="001628C1" w:rsidRPr="003B4362" w14:paraId="058B95E0"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113EBE8" w14:textId="77777777" w:rsidR="00C805A1" w:rsidRPr="003B4362" w:rsidRDefault="00C805A1" w:rsidP="00BE7C7D">
            <w:r w:rsidRPr="003B4362">
              <w:t>64. Dichloromethane</w:t>
            </w:r>
          </w:p>
        </w:tc>
        <w:tc>
          <w:tcPr>
            <w:tcW w:w="1440" w:type="dxa"/>
            <w:tcBorders>
              <w:top w:val="single" w:sz="6" w:space="0" w:color="auto"/>
              <w:left w:val="single" w:sz="6" w:space="0" w:color="auto"/>
              <w:bottom w:val="single" w:sz="6" w:space="0" w:color="auto"/>
              <w:right w:val="single" w:sz="6" w:space="0" w:color="auto"/>
            </w:tcBorders>
            <w:hideMark/>
          </w:tcPr>
          <w:p w14:paraId="044E0F1B"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41A640E5"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221472FA" w14:textId="77777777" w:rsidR="00C805A1" w:rsidRPr="003B4362" w:rsidRDefault="00C805A1" w:rsidP="00BE7C7D">
            <w:r w:rsidRPr="003B4362">
              <w:t>Some people who drink water containing dichloromethane in excess of the MCL over many years could have liver problems and may have an increased risk of getting cancer.</w:t>
            </w:r>
          </w:p>
        </w:tc>
      </w:tr>
      <w:tr w:rsidR="001628C1" w:rsidRPr="003B4362" w14:paraId="08878C67"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7015690" w14:textId="77777777" w:rsidR="00C805A1" w:rsidRPr="003B4362" w:rsidRDefault="00C805A1" w:rsidP="00BE7C7D">
            <w:r w:rsidRPr="003B4362">
              <w:t>65. 1,2-Dichloropropane</w:t>
            </w:r>
          </w:p>
        </w:tc>
        <w:tc>
          <w:tcPr>
            <w:tcW w:w="1440" w:type="dxa"/>
            <w:tcBorders>
              <w:top w:val="single" w:sz="6" w:space="0" w:color="auto"/>
              <w:left w:val="single" w:sz="6" w:space="0" w:color="auto"/>
              <w:bottom w:val="single" w:sz="6" w:space="0" w:color="auto"/>
              <w:right w:val="single" w:sz="6" w:space="0" w:color="auto"/>
            </w:tcBorders>
            <w:hideMark/>
          </w:tcPr>
          <w:p w14:paraId="6962C83F"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0DA91559"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2AA49F7F" w14:textId="77777777" w:rsidR="00C805A1" w:rsidRPr="003B4362" w:rsidRDefault="00C805A1" w:rsidP="00BE7C7D">
            <w:r w:rsidRPr="003B4362">
              <w:t>Some people who drink water containing 1,2-dichloropropane in excess of the MCL over many years may have an increased risk of getting cancer.</w:t>
            </w:r>
          </w:p>
        </w:tc>
      </w:tr>
      <w:tr w:rsidR="001628C1" w:rsidRPr="003B4362" w14:paraId="38FD8F37"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32206E9" w14:textId="77777777" w:rsidR="00C805A1" w:rsidRPr="003B4362" w:rsidRDefault="00C805A1" w:rsidP="00BE7C7D">
            <w:r w:rsidRPr="003B4362">
              <w:t>66. Ethylbenzene</w:t>
            </w:r>
          </w:p>
        </w:tc>
        <w:tc>
          <w:tcPr>
            <w:tcW w:w="1440" w:type="dxa"/>
            <w:tcBorders>
              <w:top w:val="single" w:sz="6" w:space="0" w:color="auto"/>
              <w:left w:val="single" w:sz="6" w:space="0" w:color="auto"/>
              <w:bottom w:val="single" w:sz="6" w:space="0" w:color="auto"/>
              <w:right w:val="single" w:sz="6" w:space="0" w:color="auto"/>
            </w:tcBorders>
            <w:hideMark/>
          </w:tcPr>
          <w:p w14:paraId="5B6FFB06" w14:textId="77777777" w:rsidR="00C805A1" w:rsidRPr="003B4362" w:rsidRDefault="00C805A1" w:rsidP="00BE7C7D">
            <w:pPr>
              <w:jc w:val="center"/>
            </w:pPr>
            <w:r w:rsidRPr="003B4362">
              <w:t>0.7</w:t>
            </w:r>
          </w:p>
        </w:tc>
        <w:tc>
          <w:tcPr>
            <w:tcW w:w="1440" w:type="dxa"/>
            <w:tcBorders>
              <w:top w:val="single" w:sz="6" w:space="0" w:color="auto"/>
              <w:left w:val="single" w:sz="6" w:space="0" w:color="auto"/>
              <w:bottom w:val="single" w:sz="6" w:space="0" w:color="auto"/>
              <w:right w:val="single" w:sz="6" w:space="0" w:color="auto"/>
            </w:tcBorders>
            <w:hideMark/>
          </w:tcPr>
          <w:p w14:paraId="71FE01F9" w14:textId="77777777" w:rsidR="00C805A1" w:rsidRPr="003B4362" w:rsidRDefault="00C805A1" w:rsidP="00BE7C7D">
            <w:pPr>
              <w:jc w:val="center"/>
            </w:pPr>
            <w:r w:rsidRPr="003B4362">
              <w:t>0.7</w:t>
            </w:r>
          </w:p>
        </w:tc>
        <w:tc>
          <w:tcPr>
            <w:tcW w:w="3600" w:type="dxa"/>
            <w:tcBorders>
              <w:top w:val="single" w:sz="6" w:space="0" w:color="auto"/>
              <w:left w:val="single" w:sz="6" w:space="0" w:color="auto"/>
              <w:bottom w:val="single" w:sz="6" w:space="0" w:color="auto"/>
              <w:right w:val="single" w:sz="6" w:space="0" w:color="auto"/>
            </w:tcBorders>
            <w:hideMark/>
          </w:tcPr>
          <w:p w14:paraId="389EA3C5" w14:textId="77777777" w:rsidR="00C805A1" w:rsidRPr="003B4362" w:rsidRDefault="00C805A1" w:rsidP="00BE7C7D">
            <w:r w:rsidRPr="003B4362">
              <w:t>Some people who drink water containing ethylbenzene well in excess of the MCL over many years could experience problems with their liver or kidneys.</w:t>
            </w:r>
          </w:p>
        </w:tc>
      </w:tr>
      <w:tr w:rsidR="001628C1" w:rsidRPr="003B4362" w14:paraId="4531E629"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726BF1DE" w14:textId="77777777" w:rsidR="00C805A1" w:rsidRPr="003B4362" w:rsidRDefault="00C805A1" w:rsidP="00BE7C7D">
            <w:r w:rsidRPr="003B4362">
              <w:t>67. Styrene</w:t>
            </w:r>
          </w:p>
        </w:tc>
        <w:tc>
          <w:tcPr>
            <w:tcW w:w="1440" w:type="dxa"/>
            <w:tcBorders>
              <w:top w:val="single" w:sz="6" w:space="0" w:color="auto"/>
              <w:left w:val="single" w:sz="6" w:space="0" w:color="auto"/>
              <w:bottom w:val="single" w:sz="6" w:space="0" w:color="auto"/>
              <w:right w:val="single" w:sz="6" w:space="0" w:color="auto"/>
            </w:tcBorders>
            <w:hideMark/>
          </w:tcPr>
          <w:p w14:paraId="322AB707" w14:textId="77777777" w:rsidR="00C805A1" w:rsidRPr="003B4362" w:rsidRDefault="00C805A1" w:rsidP="00BE7C7D">
            <w:pPr>
              <w:jc w:val="center"/>
            </w:pPr>
            <w:r w:rsidRPr="003B4362">
              <w:t>0.1</w:t>
            </w:r>
          </w:p>
        </w:tc>
        <w:tc>
          <w:tcPr>
            <w:tcW w:w="1440" w:type="dxa"/>
            <w:tcBorders>
              <w:top w:val="single" w:sz="6" w:space="0" w:color="auto"/>
              <w:left w:val="single" w:sz="6" w:space="0" w:color="auto"/>
              <w:bottom w:val="single" w:sz="6" w:space="0" w:color="auto"/>
              <w:right w:val="single" w:sz="6" w:space="0" w:color="auto"/>
            </w:tcBorders>
            <w:hideMark/>
          </w:tcPr>
          <w:p w14:paraId="2BBC583E" w14:textId="77777777" w:rsidR="00C805A1" w:rsidRPr="003B4362" w:rsidRDefault="00C805A1" w:rsidP="00BE7C7D">
            <w:pPr>
              <w:jc w:val="center"/>
            </w:pPr>
            <w:r w:rsidRPr="003B4362">
              <w:t>0.1</w:t>
            </w:r>
          </w:p>
        </w:tc>
        <w:tc>
          <w:tcPr>
            <w:tcW w:w="3600" w:type="dxa"/>
            <w:tcBorders>
              <w:top w:val="single" w:sz="6" w:space="0" w:color="auto"/>
              <w:left w:val="single" w:sz="6" w:space="0" w:color="auto"/>
              <w:bottom w:val="single" w:sz="6" w:space="0" w:color="auto"/>
              <w:right w:val="single" w:sz="6" w:space="0" w:color="auto"/>
            </w:tcBorders>
            <w:hideMark/>
          </w:tcPr>
          <w:p w14:paraId="73920E0C" w14:textId="77777777" w:rsidR="00C805A1" w:rsidRPr="003B4362" w:rsidRDefault="00C805A1" w:rsidP="00BE7C7D">
            <w:r w:rsidRPr="003B4362">
              <w:t>Some people who drink water containing styrene well in excess of the MCL over many years could have problems with their liver, kidneys, or circulatory system.</w:t>
            </w:r>
          </w:p>
        </w:tc>
      </w:tr>
      <w:tr w:rsidR="001628C1" w:rsidRPr="003B4362" w14:paraId="3699D732"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65779DB" w14:textId="77777777" w:rsidR="00C805A1" w:rsidRPr="003B4362" w:rsidRDefault="00C805A1" w:rsidP="00BE7C7D">
            <w:r w:rsidRPr="003B4362">
              <w:t>68. Tetrachloroethylene</w:t>
            </w:r>
          </w:p>
        </w:tc>
        <w:tc>
          <w:tcPr>
            <w:tcW w:w="1440" w:type="dxa"/>
            <w:tcBorders>
              <w:top w:val="single" w:sz="6" w:space="0" w:color="auto"/>
              <w:left w:val="single" w:sz="6" w:space="0" w:color="auto"/>
              <w:bottom w:val="single" w:sz="6" w:space="0" w:color="auto"/>
              <w:right w:val="single" w:sz="6" w:space="0" w:color="auto"/>
            </w:tcBorders>
            <w:hideMark/>
          </w:tcPr>
          <w:p w14:paraId="04EA7A90"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326C9C0A"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0BAAE82E" w14:textId="77777777" w:rsidR="00C805A1" w:rsidRPr="003B4362" w:rsidRDefault="00C805A1" w:rsidP="00BE7C7D">
            <w:r w:rsidRPr="003B4362">
              <w:t>Some people who drink water containing tetrachloroethylene in excess of the MCL over many years could have problems with their liver, and may have an increased risk of getting cancer.</w:t>
            </w:r>
          </w:p>
        </w:tc>
      </w:tr>
      <w:tr w:rsidR="001628C1" w:rsidRPr="003B4362" w14:paraId="0B2464AC"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6E172A1" w14:textId="77777777" w:rsidR="00C805A1" w:rsidRPr="003B4362" w:rsidRDefault="00C805A1" w:rsidP="00BE7C7D">
            <w:r w:rsidRPr="003B4362">
              <w:lastRenderedPageBreak/>
              <w:t>69. Toluene</w:t>
            </w:r>
          </w:p>
        </w:tc>
        <w:tc>
          <w:tcPr>
            <w:tcW w:w="1440" w:type="dxa"/>
            <w:tcBorders>
              <w:top w:val="single" w:sz="6" w:space="0" w:color="auto"/>
              <w:left w:val="single" w:sz="6" w:space="0" w:color="auto"/>
              <w:bottom w:val="single" w:sz="6" w:space="0" w:color="auto"/>
              <w:right w:val="single" w:sz="6" w:space="0" w:color="auto"/>
            </w:tcBorders>
            <w:hideMark/>
          </w:tcPr>
          <w:p w14:paraId="51F75FAE" w14:textId="77777777" w:rsidR="00C805A1" w:rsidRPr="003B4362" w:rsidRDefault="00C805A1" w:rsidP="00BE7C7D">
            <w:pPr>
              <w:jc w:val="center"/>
            </w:pPr>
            <w:r w:rsidRPr="003B4362">
              <w:t>1</w:t>
            </w:r>
          </w:p>
        </w:tc>
        <w:tc>
          <w:tcPr>
            <w:tcW w:w="1440" w:type="dxa"/>
            <w:tcBorders>
              <w:top w:val="single" w:sz="6" w:space="0" w:color="auto"/>
              <w:left w:val="single" w:sz="6" w:space="0" w:color="auto"/>
              <w:bottom w:val="single" w:sz="6" w:space="0" w:color="auto"/>
              <w:right w:val="single" w:sz="6" w:space="0" w:color="auto"/>
            </w:tcBorders>
            <w:hideMark/>
          </w:tcPr>
          <w:p w14:paraId="1A1E8435" w14:textId="77777777" w:rsidR="00C805A1" w:rsidRPr="003B4362" w:rsidRDefault="00C805A1" w:rsidP="00BE7C7D">
            <w:pPr>
              <w:jc w:val="center"/>
            </w:pPr>
            <w:r w:rsidRPr="003B4362">
              <w:t>1</w:t>
            </w:r>
          </w:p>
        </w:tc>
        <w:tc>
          <w:tcPr>
            <w:tcW w:w="3600" w:type="dxa"/>
            <w:tcBorders>
              <w:top w:val="single" w:sz="6" w:space="0" w:color="auto"/>
              <w:left w:val="single" w:sz="6" w:space="0" w:color="auto"/>
              <w:bottom w:val="single" w:sz="6" w:space="0" w:color="auto"/>
              <w:right w:val="single" w:sz="6" w:space="0" w:color="auto"/>
            </w:tcBorders>
            <w:hideMark/>
          </w:tcPr>
          <w:p w14:paraId="1FC2B19C" w14:textId="77777777" w:rsidR="00C805A1" w:rsidRPr="003B4362" w:rsidRDefault="00C805A1" w:rsidP="00BE7C7D">
            <w:r w:rsidRPr="003B4362">
              <w:t>Some people who drink water containing toluene well in excess of the MCL over many years could have problems with their nervous system, kidneys, or liver.</w:t>
            </w:r>
          </w:p>
        </w:tc>
      </w:tr>
      <w:tr w:rsidR="001628C1" w:rsidRPr="003B4362" w14:paraId="5DFC15EF"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E36DA67" w14:textId="77777777" w:rsidR="00C805A1" w:rsidRPr="003B4362" w:rsidRDefault="00C805A1" w:rsidP="00BE7C7D">
            <w:r w:rsidRPr="003B4362">
              <w:t>70. 1,2,4-Trichlorobenzene</w:t>
            </w:r>
          </w:p>
        </w:tc>
        <w:tc>
          <w:tcPr>
            <w:tcW w:w="1440" w:type="dxa"/>
            <w:tcBorders>
              <w:top w:val="single" w:sz="6" w:space="0" w:color="auto"/>
              <w:left w:val="single" w:sz="6" w:space="0" w:color="auto"/>
              <w:bottom w:val="single" w:sz="6" w:space="0" w:color="auto"/>
              <w:right w:val="single" w:sz="6" w:space="0" w:color="auto"/>
            </w:tcBorders>
            <w:hideMark/>
          </w:tcPr>
          <w:p w14:paraId="69655292" w14:textId="77777777" w:rsidR="00C805A1" w:rsidRPr="003B4362" w:rsidRDefault="00C805A1" w:rsidP="00BE7C7D">
            <w:pPr>
              <w:jc w:val="center"/>
            </w:pPr>
            <w:r w:rsidRPr="003B4362">
              <w:t>0.07</w:t>
            </w:r>
          </w:p>
        </w:tc>
        <w:tc>
          <w:tcPr>
            <w:tcW w:w="1440" w:type="dxa"/>
            <w:tcBorders>
              <w:top w:val="single" w:sz="6" w:space="0" w:color="auto"/>
              <w:left w:val="single" w:sz="6" w:space="0" w:color="auto"/>
              <w:bottom w:val="single" w:sz="6" w:space="0" w:color="auto"/>
              <w:right w:val="single" w:sz="6" w:space="0" w:color="auto"/>
            </w:tcBorders>
            <w:hideMark/>
          </w:tcPr>
          <w:p w14:paraId="6F1D8ADF" w14:textId="77777777" w:rsidR="00C805A1" w:rsidRPr="003B4362" w:rsidRDefault="00C805A1" w:rsidP="00BE7C7D">
            <w:pPr>
              <w:jc w:val="center"/>
            </w:pPr>
            <w:r w:rsidRPr="003B4362">
              <w:t>0.07</w:t>
            </w:r>
          </w:p>
        </w:tc>
        <w:tc>
          <w:tcPr>
            <w:tcW w:w="3600" w:type="dxa"/>
            <w:tcBorders>
              <w:top w:val="single" w:sz="6" w:space="0" w:color="auto"/>
              <w:left w:val="single" w:sz="6" w:space="0" w:color="auto"/>
              <w:bottom w:val="single" w:sz="6" w:space="0" w:color="auto"/>
              <w:right w:val="single" w:sz="6" w:space="0" w:color="auto"/>
            </w:tcBorders>
            <w:hideMark/>
          </w:tcPr>
          <w:p w14:paraId="5B657310" w14:textId="77777777" w:rsidR="00C805A1" w:rsidRPr="003B4362" w:rsidRDefault="00C805A1" w:rsidP="00BE7C7D">
            <w:r w:rsidRPr="003B4362">
              <w:t>Some people who drink water containing 1,2,4-trichlorobenzene well in excess of the MCL over many years could experience changes in their adrenal glands.</w:t>
            </w:r>
          </w:p>
        </w:tc>
      </w:tr>
      <w:tr w:rsidR="001628C1" w:rsidRPr="003B4362" w14:paraId="1290128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AE26BF5" w14:textId="77777777" w:rsidR="00C805A1" w:rsidRPr="003B4362" w:rsidRDefault="00C805A1" w:rsidP="00BE7C7D">
            <w:r w:rsidRPr="003B4362">
              <w:t>71. 1,1,1-Trichloroethane</w:t>
            </w:r>
          </w:p>
        </w:tc>
        <w:tc>
          <w:tcPr>
            <w:tcW w:w="1440" w:type="dxa"/>
            <w:tcBorders>
              <w:top w:val="single" w:sz="6" w:space="0" w:color="auto"/>
              <w:left w:val="single" w:sz="6" w:space="0" w:color="auto"/>
              <w:bottom w:val="single" w:sz="6" w:space="0" w:color="auto"/>
              <w:right w:val="single" w:sz="6" w:space="0" w:color="auto"/>
            </w:tcBorders>
            <w:hideMark/>
          </w:tcPr>
          <w:p w14:paraId="4B5472B1" w14:textId="77777777" w:rsidR="00C805A1" w:rsidRPr="003B4362" w:rsidRDefault="00C805A1" w:rsidP="00BE7C7D">
            <w:pPr>
              <w:jc w:val="center"/>
            </w:pPr>
            <w:r w:rsidRPr="003B4362">
              <w:t>0.2</w:t>
            </w:r>
          </w:p>
        </w:tc>
        <w:tc>
          <w:tcPr>
            <w:tcW w:w="1440" w:type="dxa"/>
            <w:tcBorders>
              <w:top w:val="single" w:sz="6" w:space="0" w:color="auto"/>
              <w:left w:val="single" w:sz="6" w:space="0" w:color="auto"/>
              <w:bottom w:val="single" w:sz="6" w:space="0" w:color="auto"/>
              <w:right w:val="single" w:sz="6" w:space="0" w:color="auto"/>
            </w:tcBorders>
            <w:hideMark/>
          </w:tcPr>
          <w:p w14:paraId="01C0BE3B" w14:textId="77777777" w:rsidR="00C805A1" w:rsidRPr="003B4362" w:rsidRDefault="00C805A1" w:rsidP="00BE7C7D">
            <w:pPr>
              <w:jc w:val="center"/>
            </w:pPr>
            <w:r w:rsidRPr="003B4362">
              <w:t>0.2</w:t>
            </w:r>
          </w:p>
        </w:tc>
        <w:tc>
          <w:tcPr>
            <w:tcW w:w="3600" w:type="dxa"/>
            <w:tcBorders>
              <w:top w:val="single" w:sz="6" w:space="0" w:color="auto"/>
              <w:left w:val="single" w:sz="6" w:space="0" w:color="auto"/>
              <w:bottom w:val="single" w:sz="6" w:space="0" w:color="auto"/>
              <w:right w:val="single" w:sz="6" w:space="0" w:color="auto"/>
            </w:tcBorders>
            <w:hideMark/>
          </w:tcPr>
          <w:p w14:paraId="5A4E8D50" w14:textId="77777777" w:rsidR="00C805A1" w:rsidRPr="003B4362" w:rsidRDefault="00C805A1" w:rsidP="00BE7C7D">
            <w:r w:rsidRPr="003B4362">
              <w:t>Some people who drink water containing 1,1,1-trichloroethane in excess of the MCL over many years could experience problems with their liver, nervous system, or circulatory system.</w:t>
            </w:r>
          </w:p>
        </w:tc>
      </w:tr>
      <w:tr w:rsidR="001628C1" w:rsidRPr="003B4362" w14:paraId="2747BDDE"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C239511" w14:textId="77777777" w:rsidR="00C805A1" w:rsidRPr="003B4362" w:rsidRDefault="00C805A1" w:rsidP="00BE7C7D">
            <w:r w:rsidRPr="003B4362">
              <w:t>72. 1,1,2-Trichloroethane</w:t>
            </w:r>
          </w:p>
        </w:tc>
        <w:tc>
          <w:tcPr>
            <w:tcW w:w="1440" w:type="dxa"/>
            <w:tcBorders>
              <w:top w:val="single" w:sz="6" w:space="0" w:color="auto"/>
              <w:left w:val="single" w:sz="6" w:space="0" w:color="auto"/>
              <w:bottom w:val="single" w:sz="6" w:space="0" w:color="auto"/>
              <w:right w:val="single" w:sz="6" w:space="0" w:color="auto"/>
            </w:tcBorders>
            <w:hideMark/>
          </w:tcPr>
          <w:p w14:paraId="3C1A86B7" w14:textId="77777777" w:rsidR="00C805A1" w:rsidRPr="003B4362" w:rsidRDefault="00C805A1" w:rsidP="00BE7C7D">
            <w:pPr>
              <w:jc w:val="center"/>
            </w:pPr>
            <w:r w:rsidRPr="003B4362">
              <w:t>0.003</w:t>
            </w:r>
          </w:p>
        </w:tc>
        <w:tc>
          <w:tcPr>
            <w:tcW w:w="1440" w:type="dxa"/>
            <w:tcBorders>
              <w:top w:val="single" w:sz="6" w:space="0" w:color="auto"/>
              <w:left w:val="single" w:sz="6" w:space="0" w:color="auto"/>
              <w:bottom w:val="single" w:sz="6" w:space="0" w:color="auto"/>
              <w:right w:val="single" w:sz="6" w:space="0" w:color="auto"/>
            </w:tcBorders>
            <w:hideMark/>
          </w:tcPr>
          <w:p w14:paraId="60AEF6A4"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3338DB74" w14:textId="77777777" w:rsidR="00C805A1" w:rsidRPr="003B4362" w:rsidRDefault="00C805A1" w:rsidP="00BE7C7D">
            <w:r w:rsidRPr="003B4362">
              <w:t>Some people who drink water containing 1,1,2-trichloroethane well in excess of the MCL over many years could have problems with their liver, kidneys, or immune systems.</w:t>
            </w:r>
          </w:p>
        </w:tc>
      </w:tr>
      <w:tr w:rsidR="001628C1" w:rsidRPr="003B4362" w14:paraId="279576C0"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64BC77E" w14:textId="77777777" w:rsidR="00C805A1" w:rsidRPr="003B4362" w:rsidRDefault="00C805A1" w:rsidP="00BE7C7D">
            <w:r w:rsidRPr="003B4362">
              <w:t>73. Trichloroethylene</w:t>
            </w:r>
          </w:p>
        </w:tc>
        <w:tc>
          <w:tcPr>
            <w:tcW w:w="1440" w:type="dxa"/>
            <w:tcBorders>
              <w:top w:val="single" w:sz="6" w:space="0" w:color="auto"/>
              <w:left w:val="single" w:sz="6" w:space="0" w:color="auto"/>
              <w:bottom w:val="single" w:sz="6" w:space="0" w:color="auto"/>
              <w:right w:val="single" w:sz="6" w:space="0" w:color="auto"/>
            </w:tcBorders>
            <w:hideMark/>
          </w:tcPr>
          <w:p w14:paraId="2430D816"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00DE7706"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7188C90A" w14:textId="77777777" w:rsidR="00C805A1" w:rsidRPr="003B4362" w:rsidRDefault="00C805A1" w:rsidP="00BE7C7D">
            <w:r w:rsidRPr="003B4362">
              <w:t>Some people who drink water containing trichloroethylene in excess of the MCL over many years could experience problems with their liver and may have an increased risk of getting cancer.</w:t>
            </w:r>
          </w:p>
        </w:tc>
      </w:tr>
      <w:tr w:rsidR="001628C1" w:rsidRPr="003B4362" w14:paraId="48125AE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BF97B58" w14:textId="77777777" w:rsidR="00C805A1" w:rsidRPr="003B4362" w:rsidRDefault="00C805A1" w:rsidP="00BE7C7D">
            <w:r w:rsidRPr="003B4362">
              <w:t>74. Vinyl chloride</w:t>
            </w:r>
          </w:p>
        </w:tc>
        <w:tc>
          <w:tcPr>
            <w:tcW w:w="1440" w:type="dxa"/>
            <w:tcBorders>
              <w:top w:val="single" w:sz="6" w:space="0" w:color="auto"/>
              <w:left w:val="single" w:sz="6" w:space="0" w:color="auto"/>
              <w:bottom w:val="single" w:sz="6" w:space="0" w:color="auto"/>
              <w:right w:val="single" w:sz="6" w:space="0" w:color="auto"/>
            </w:tcBorders>
            <w:hideMark/>
          </w:tcPr>
          <w:p w14:paraId="1CFD9F69"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48D93AB6" w14:textId="77777777" w:rsidR="00C805A1" w:rsidRPr="003B4362" w:rsidRDefault="00C805A1" w:rsidP="00BE7C7D">
            <w:pPr>
              <w:jc w:val="center"/>
            </w:pPr>
            <w:r w:rsidRPr="003B4362">
              <w:t>0.002</w:t>
            </w:r>
          </w:p>
        </w:tc>
        <w:tc>
          <w:tcPr>
            <w:tcW w:w="3600" w:type="dxa"/>
            <w:tcBorders>
              <w:top w:val="single" w:sz="6" w:space="0" w:color="auto"/>
              <w:left w:val="single" w:sz="6" w:space="0" w:color="auto"/>
              <w:bottom w:val="single" w:sz="6" w:space="0" w:color="auto"/>
              <w:right w:val="single" w:sz="6" w:space="0" w:color="auto"/>
            </w:tcBorders>
            <w:hideMark/>
          </w:tcPr>
          <w:p w14:paraId="50AE4177" w14:textId="77777777" w:rsidR="00C805A1" w:rsidRPr="003B4362" w:rsidRDefault="00C805A1" w:rsidP="00BE7C7D">
            <w:r w:rsidRPr="003B4362">
              <w:t>Some people who drink water containing vinyl chloride in excess of the MCL over many years may have an increased risk of getting cancer.</w:t>
            </w:r>
          </w:p>
        </w:tc>
      </w:tr>
      <w:tr w:rsidR="001628C1" w:rsidRPr="003B4362" w14:paraId="4EEFD171"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336469C" w14:textId="77777777" w:rsidR="00C805A1" w:rsidRPr="003B4362" w:rsidRDefault="00C805A1" w:rsidP="00BE7C7D">
            <w:r w:rsidRPr="003B4362">
              <w:t>75. Xylenes (total)</w:t>
            </w:r>
          </w:p>
        </w:tc>
        <w:tc>
          <w:tcPr>
            <w:tcW w:w="1440" w:type="dxa"/>
            <w:tcBorders>
              <w:top w:val="single" w:sz="6" w:space="0" w:color="auto"/>
              <w:left w:val="single" w:sz="6" w:space="0" w:color="auto"/>
              <w:bottom w:val="single" w:sz="6" w:space="0" w:color="auto"/>
              <w:right w:val="single" w:sz="6" w:space="0" w:color="auto"/>
            </w:tcBorders>
            <w:hideMark/>
          </w:tcPr>
          <w:p w14:paraId="543F775B" w14:textId="77777777" w:rsidR="00C805A1" w:rsidRPr="003B4362" w:rsidRDefault="00C805A1" w:rsidP="00BE7C7D">
            <w:pPr>
              <w:jc w:val="center"/>
            </w:pPr>
            <w:r w:rsidRPr="003B4362">
              <w:t>10</w:t>
            </w:r>
          </w:p>
        </w:tc>
        <w:tc>
          <w:tcPr>
            <w:tcW w:w="1440" w:type="dxa"/>
            <w:tcBorders>
              <w:top w:val="single" w:sz="6" w:space="0" w:color="auto"/>
              <w:left w:val="single" w:sz="6" w:space="0" w:color="auto"/>
              <w:bottom w:val="single" w:sz="6" w:space="0" w:color="auto"/>
              <w:right w:val="single" w:sz="6" w:space="0" w:color="auto"/>
            </w:tcBorders>
            <w:hideMark/>
          </w:tcPr>
          <w:p w14:paraId="21D2D01B" w14:textId="77777777" w:rsidR="00C805A1" w:rsidRPr="003B4362" w:rsidRDefault="00C805A1" w:rsidP="00BE7C7D">
            <w:pPr>
              <w:jc w:val="center"/>
            </w:pPr>
            <w:r w:rsidRPr="003B4362">
              <w:t>10</w:t>
            </w:r>
          </w:p>
        </w:tc>
        <w:tc>
          <w:tcPr>
            <w:tcW w:w="3600" w:type="dxa"/>
            <w:tcBorders>
              <w:top w:val="single" w:sz="6" w:space="0" w:color="auto"/>
              <w:left w:val="single" w:sz="6" w:space="0" w:color="auto"/>
              <w:bottom w:val="single" w:sz="6" w:space="0" w:color="auto"/>
              <w:right w:val="single" w:sz="6" w:space="0" w:color="auto"/>
            </w:tcBorders>
            <w:hideMark/>
          </w:tcPr>
          <w:p w14:paraId="2F865175" w14:textId="77777777" w:rsidR="00C805A1" w:rsidRPr="003B4362" w:rsidRDefault="00C805A1" w:rsidP="00BE7C7D">
            <w:r w:rsidRPr="003B4362">
              <w:t>Some people who drink water containing xylenes in excess of the MCL over many years could experience damage to their nervous system.</w:t>
            </w:r>
          </w:p>
        </w:tc>
      </w:tr>
      <w:tr w:rsidR="001628C1" w:rsidRPr="003B4362" w14:paraId="568DE5E8"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6142B105" w14:textId="77777777" w:rsidR="00C805A1" w:rsidRPr="003B4362" w:rsidRDefault="00C805A1" w:rsidP="00BE7C7D">
            <w:pPr>
              <w:keepNext/>
              <w:keepLines/>
              <w:jc w:val="center"/>
            </w:pPr>
            <w:r w:rsidRPr="003B4362">
              <w:lastRenderedPageBreak/>
              <w:t>G. Radioactive Contaminants</w:t>
            </w:r>
          </w:p>
        </w:tc>
      </w:tr>
      <w:tr w:rsidR="001628C1" w:rsidRPr="003B4362" w14:paraId="4E4F4179"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CB9CE00" w14:textId="77777777" w:rsidR="00C805A1" w:rsidRPr="003B4362" w:rsidRDefault="00C805A1" w:rsidP="00BE7C7D">
            <w:r w:rsidRPr="003B4362">
              <w:t>76. Beta/photon emitters</w:t>
            </w:r>
          </w:p>
        </w:tc>
        <w:tc>
          <w:tcPr>
            <w:tcW w:w="1440" w:type="dxa"/>
            <w:tcBorders>
              <w:top w:val="single" w:sz="6" w:space="0" w:color="auto"/>
              <w:left w:val="single" w:sz="6" w:space="0" w:color="auto"/>
              <w:bottom w:val="single" w:sz="6" w:space="0" w:color="auto"/>
              <w:right w:val="single" w:sz="6" w:space="0" w:color="auto"/>
            </w:tcBorders>
            <w:hideMark/>
          </w:tcPr>
          <w:p w14:paraId="1F208BE0"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3EA2DADB" w14:textId="77777777" w:rsidR="00C805A1" w:rsidRPr="003B4362" w:rsidRDefault="00C805A1" w:rsidP="00BE7C7D">
            <w:pPr>
              <w:jc w:val="center"/>
            </w:pPr>
            <w:r w:rsidRPr="003B4362">
              <w:t>4 mrem/yr</w:t>
            </w:r>
            <w:r w:rsidRPr="003B4362">
              <w:rPr>
                <w:vertAlign w:val="superscript"/>
              </w:rPr>
              <w:t>14</w:t>
            </w:r>
          </w:p>
        </w:tc>
        <w:tc>
          <w:tcPr>
            <w:tcW w:w="3600" w:type="dxa"/>
            <w:tcBorders>
              <w:top w:val="single" w:sz="6" w:space="0" w:color="auto"/>
              <w:left w:val="single" w:sz="6" w:space="0" w:color="auto"/>
              <w:bottom w:val="single" w:sz="6" w:space="0" w:color="auto"/>
              <w:right w:val="single" w:sz="6" w:space="0" w:color="auto"/>
            </w:tcBorders>
            <w:hideMark/>
          </w:tcPr>
          <w:p w14:paraId="08B2CC2B" w14:textId="77777777" w:rsidR="00C805A1" w:rsidRPr="003B4362" w:rsidRDefault="00C805A1" w:rsidP="00BE7C7D">
            <w:r w:rsidRPr="003B4362">
              <w:t>Certain minerals are radioactive and may emit forms of radiation known as photons and beta radiation. Some people who drink water containing beta and photon emitters in excess of the MCL over many years may have an increased risk of getting cancer.</w:t>
            </w:r>
          </w:p>
        </w:tc>
      </w:tr>
      <w:tr w:rsidR="001628C1" w:rsidRPr="003B4362" w14:paraId="1286E3AF"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18F8D1B" w14:textId="77777777" w:rsidR="00C805A1" w:rsidRPr="003B4362" w:rsidRDefault="00C805A1" w:rsidP="00BE7C7D">
            <w:r w:rsidRPr="003B4362">
              <w:t>77. Alpha emitters</w:t>
            </w:r>
          </w:p>
        </w:tc>
        <w:tc>
          <w:tcPr>
            <w:tcW w:w="1440" w:type="dxa"/>
            <w:tcBorders>
              <w:top w:val="single" w:sz="6" w:space="0" w:color="auto"/>
              <w:left w:val="single" w:sz="6" w:space="0" w:color="auto"/>
              <w:bottom w:val="single" w:sz="6" w:space="0" w:color="auto"/>
              <w:right w:val="single" w:sz="6" w:space="0" w:color="auto"/>
            </w:tcBorders>
            <w:hideMark/>
          </w:tcPr>
          <w:p w14:paraId="0B252FF6"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2CAD9A1B" w14:textId="64D22CD5" w:rsidR="00C805A1" w:rsidRPr="003B4362" w:rsidRDefault="00C805A1" w:rsidP="00BE7C7D">
            <w:pPr>
              <w:jc w:val="center"/>
            </w:pPr>
            <w:r w:rsidRPr="003B4362">
              <w:t>15 pCi/</w:t>
            </w:r>
            <w:r w:rsidR="006E262B" w:rsidRPr="003B4362">
              <w:t>L</w:t>
            </w:r>
            <w:r w:rsidR="006E262B" w:rsidRPr="003B4362">
              <w:rPr>
                <w:vertAlign w:val="superscript"/>
              </w:rPr>
              <w:t xml:space="preserve"> </w:t>
            </w:r>
            <w:r w:rsidRPr="003B4362">
              <w:rPr>
                <w:vertAlign w:val="superscript"/>
              </w:rPr>
              <w:t>15</w:t>
            </w:r>
          </w:p>
        </w:tc>
        <w:tc>
          <w:tcPr>
            <w:tcW w:w="3600" w:type="dxa"/>
            <w:tcBorders>
              <w:top w:val="single" w:sz="6" w:space="0" w:color="auto"/>
              <w:left w:val="single" w:sz="6" w:space="0" w:color="auto"/>
              <w:bottom w:val="single" w:sz="6" w:space="0" w:color="auto"/>
              <w:right w:val="single" w:sz="6" w:space="0" w:color="auto"/>
            </w:tcBorders>
            <w:hideMark/>
          </w:tcPr>
          <w:p w14:paraId="1AFDB7F5" w14:textId="77777777" w:rsidR="00C805A1" w:rsidRPr="003B4362" w:rsidRDefault="00C805A1" w:rsidP="00BE7C7D">
            <w:r w:rsidRPr="003B4362">
              <w:t>Certain minerals are radioactive and may emit a form of radiation known as alpha radiation. Some people who drink water containing alpha emitters in excess of the MCL over many years may have an increased risk of getting cancer.</w:t>
            </w:r>
          </w:p>
        </w:tc>
      </w:tr>
      <w:tr w:rsidR="001628C1" w:rsidRPr="003B4362" w14:paraId="7FC8761E"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BD97475" w14:textId="77777777" w:rsidR="00C805A1" w:rsidRPr="003B4362" w:rsidRDefault="00C805A1" w:rsidP="00BE7C7D">
            <w:r w:rsidRPr="003B4362">
              <w:t>78. Combined radium (226 and 228)</w:t>
            </w:r>
          </w:p>
        </w:tc>
        <w:tc>
          <w:tcPr>
            <w:tcW w:w="1440" w:type="dxa"/>
            <w:tcBorders>
              <w:top w:val="single" w:sz="6" w:space="0" w:color="auto"/>
              <w:left w:val="single" w:sz="6" w:space="0" w:color="auto"/>
              <w:bottom w:val="single" w:sz="6" w:space="0" w:color="auto"/>
              <w:right w:val="single" w:sz="6" w:space="0" w:color="auto"/>
            </w:tcBorders>
            <w:hideMark/>
          </w:tcPr>
          <w:p w14:paraId="40559C13"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2F514A23" w14:textId="6E0EDC44" w:rsidR="00C805A1" w:rsidRPr="003B4362" w:rsidRDefault="00C805A1" w:rsidP="00BE7C7D">
            <w:pPr>
              <w:jc w:val="center"/>
            </w:pPr>
            <w:r w:rsidRPr="003B4362">
              <w:t>5 pCi/</w:t>
            </w:r>
            <w:r w:rsidR="006E262B" w:rsidRPr="003B4362">
              <w:t>L</w:t>
            </w:r>
          </w:p>
        </w:tc>
        <w:tc>
          <w:tcPr>
            <w:tcW w:w="3600" w:type="dxa"/>
            <w:tcBorders>
              <w:top w:val="single" w:sz="6" w:space="0" w:color="auto"/>
              <w:left w:val="single" w:sz="6" w:space="0" w:color="auto"/>
              <w:bottom w:val="single" w:sz="6" w:space="0" w:color="auto"/>
              <w:right w:val="single" w:sz="6" w:space="0" w:color="auto"/>
            </w:tcBorders>
            <w:hideMark/>
          </w:tcPr>
          <w:p w14:paraId="5C95F442" w14:textId="77777777" w:rsidR="00C805A1" w:rsidRPr="003B4362" w:rsidRDefault="00C805A1" w:rsidP="00BE7C7D">
            <w:r w:rsidRPr="003B4362">
              <w:t>Some people who drink water containing radium 226 or 228 in excess of the MCL over many years may have an increased risk of getting cancer.</w:t>
            </w:r>
          </w:p>
        </w:tc>
      </w:tr>
      <w:tr w:rsidR="001628C1" w:rsidRPr="003B4362" w14:paraId="064F235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8685D8D" w14:textId="77777777" w:rsidR="00C805A1" w:rsidRPr="003B4362" w:rsidRDefault="00C805A1" w:rsidP="00BE7C7D">
            <w:r w:rsidRPr="003B4362">
              <w:t>79. Uranium</w:t>
            </w:r>
          </w:p>
        </w:tc>
        <w:tc>
          <w:tcPr>
            <w:tcW w:w="1440" w:type="dxa"/>
            <w:tcBorders>
              <w:top w:val="single" w:sz="6" w:space="0" w:color="auto"/>
              <w:left w:val="single" w:sz="6" w:space="0" w:color="auto"/>
              <w:bottom w:val="single" w:sz="6" w:space="0" w:color="auto"/>
              <w:right w:val="single" w:sz="6" w:space="0" w:color="auto"/>
            </w:tcBorders>
            <w:hideMark/>
          </w:tcPr>
          <w:p w14:paraId="66D9BF6A"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4A913381" w14:textId="4B250454" w:rsidR="00C805A1" w:rsidRPr="003B4362" w:rsidRDefault="00C805A1" w:rsidP="00BE7C7D">
            <w:r w:rsidRPr="003B4362">
              <w:t xml:space="preserve">30 </w:t>
            </w:r>
            <w:r w:rsidRPr="003B4362">
              <w:sym w:font="Symbol" w:char="F06D"/>
            </w:r>
            <w:r w:rsidRPr="003B4362">
              <w:t>g/</w:t>
            </w:r>
            <w:r w:rsidR="006E262B" w:rsidRPr="003B4362">
              <w:t>L</w:t>
            </w:r>
          </w:p>
        </w:tc>
        <w:tc>
          <w:tcPr>
            <w:tcW w:w="3600" w:type="dxa"/>
            <w:tcBorders>
              <w:top w:val="single" w:sz="6" w:space="0" w:color="auto"/>
              <w:left w:val="single" w:sz="6" w:space="0" w:color="auto"/>
              <w:bottom w:val="single" w:sz="6" w:space="0" w:color="auto"/>
              <w:right w:val="single" w:sz="6" w:space="0" w:color="auto"/>
            </w:tcBorders>
            <w:hideMark/>
          </w:tcPr>
          <w:p w14:paraId="3F71A837" w14:textId="77777777" w:rsidR="00C805A1" w:rsidRPr="003B4362" w:rsidRDefault="00C805A1" w:rsidP="00BE7C7D">
            <w:r w:rsidRPr="003B4362">
              <w:t>Some people who drink water containing uranium in excess of the MCL over many years may have an increased risk of getting cancer and kidney toxicity.</w:t>
            </w:r>
          </w:p>
        </w:tc>
      </w:tr>
      <w:tr w:rsidR="001628C1" w:rsidRPr="003B4362" w14:paraId="4B0E039E"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250BA6E2" w14:textId="6623EC72" w:rsidR="00C805A1" w:rsidRPr="003B4362" w:rsidRDefault="00C805A1" w:rsidP="00BE7C7D">
            <w:pPr>
              <w:keepNext/>
              <w:keepLines/>
              <w:ind w:right="576"/>
              <w:jc w:val="center"/>
            </w:pPr>
            <w:r w:rsidRPr="003B4362">
              <w:t xml:space="preserve">H. Disinfection Byproducts (DBPs), Byproduct Precursors, and Disinfectant Residuals:  </w:t>
            </w:r>
            <w:r w:rsidR="00882F41" w:rsidRPr="003B4362">
              <w:rPr>
                <w:spacing w:val="-3"/>
              </w:rPr>
              <w:t xml:space="preserve">If </w:t>
            </w:r>
            <w:r w:rsidRPr="003B4362">
              <w:t>disinfection is used in the treatment of drinking water, disinfectants combine with organic and inorganic matter present in water to form chemicals called disinfection byproducts (DBPs).  USEPA sets standards for controlling the levels of disinfectants and DBPs in drinking water, including trihalomethanes (THMs) and haloacetic acids (HAA5)</w:t>
            </w:r>
            <w:r w:rsidRPr="003B4362">
              <w:rPr>
                <w:vertAlign w:val="superscript"/>
              </w:rPr>
              <w:t>16</w:t>
            </w:r>
          </w:p>
        </w:tc>
      </w:tr>
      <w:tr w:rsidR="001628C1" w:rsidRPr="003B4362" w14:paraId="78AD2ACC"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73ADA43B" w14:textId="77777777" w:rsidR="00C805A1" w:rsidRPr="003B4362" w:rsidRDefault="00C805A1" w:rsidP="00BE7C7D">
            <w:r w:rsidRPr="003B4362">
              <w:t>80. Total trihalomethanes (TTHMs)</w:t>
            </w:r>
          </w:p>
        </w:tc>
        <w:tc>
          <w:tcPr>
            <w:tcW w:w="1440" w:type="dxa"/>
            <w:tcBorders>
              <w:top w:val="single" w:sz="6" w:space="0" w:color="auto"/>
              <w:left w:val="single" w:sz="6" w:space="0" w:color="auto"/>
              <w:bottom w:val="single" w:sz="6" w:space="0" w:color="auto"/>
              <w:right w:val="single" w:sz="6" w:space="0" w:color="auto"/>
            </w:tcBorders>
            <w:hideMark/>
          </w:tcPr>
          <w:p w14:paraId="6782517C" w14:textId="77777777" w:rsidR="00C805A1" w:rsidRPr="003B4362" w:rsidRDefault="00C805A1" w:rsidP="00BE7C7D">
            <w:pPr>
              <w:jc w:val="center"/>
            </w:pPr>
            <w:r w:rsidRPr="003B4362">
              <w:t>N/A</w:t>
            </w:r>
          </w:p>
        </w:tc>
        <w:tc>
          <w:tcPr>
            <w:tcW w:w="1440" w:type="dxa"/>
            <w:tcBorders>
              <w:top w:val="single" w:sz="6" w:space="0" w:color="auto"/>
              <w:left w:val="single" w:sz="6" w:space="0" w:color="auto"/>
              <w:bottom w:val="single" w:sz="6" w:space="0" w:color="auto"/>
              <w:right w:val="single" w:sz="6" w:space="0" w:color="auto"/>
            </w:tcBorders>
            <w:hideMark/>
          </w:tcPr>
          <w:p w14:paraId="0D7CEB2D" w14:textId="77777777" w:rsidR="00C805A1" w:rsidRPr="003B4362" w:rsidRDefault="00C805A1" w:rsidP="00BE7C7D">
            <w:pPr>
              <w:jc w:val="center"/>
              <w:rPr>
                <w:vertAlign w:val="superscript"/>
              </w:rPr>
            </w:pPr>
            <w:r w:rsidRPr="003B4362">
              <w:t>0.080</w:t>
            </w:r>
            <w:r w:rsidRPr="003B4362">
              <w:rPr>
                <w:vertAlign w:val="superscript"/>
              </w:rPr>
              <w:t>17,18</w:t>
            </w:r>
          </w:p>
        </w:tc>
        <w:tc>
          <w:tcPr>
            <w:tcW w:w="3600" w:type="dxa"/>
            <w:tcBorders>
              <w:top w:val="single" w:sz="6" w:space="0" w:color="auto"/>
              <w:left w:val="single" w:sz="6" w:space="0" w:color="auto"/>
              <w:bottom w:val="single" w:sz="6" w:space="0" w:color="auto"/>
              <w:right w:val="single" w:sz="6" w:space="0" w:color="auto"/>
            </w:tcBorders>
            <w:hideMark/>
          </w:tcPr>
          <w:p w14:paraId="0C56CAC2" w14:textId="77777777" w:rsidR="00C805A1" w:rsidRPr="003B4362" w:rsidRDefault="00C805A1" w:rsidP="00BE7C7D">
            <w:r w:rsidRPr="003B4362">
              <w:t>Some people who drink water containing trihalomethanes in excess of the MCL over many years may experience problems with their liver, kidneys, or central nervous system, and may have an increased risk of getting cancer.</w:t>
            </w:r>
          </w:p>
        </w:tc>
      </w:tr>
      <w:tr w:rsidR="001628C1" w:rsidRPr="003B4362" w14:paraId="1A07105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64FC866" w14:textId="77777777" w:rsidR="00C805A1" w:rsidRPr="003B4362" w:rsidRDefault="00C805A1" w:rsidP="00BE7C7D">
            <w:r w:rsidRPr="003B4362">
              <w:lastRenderedPageBreak/>
              <w:t>81. Haloacetic Acids (HAA5)</w:t>
            </w:r>
          </w:p>
        </w:tc>
        <w:tc>
          <w:tcPr>
            <w:tcW w:w="1440" w:type="dxa"/>
            <w:tcBorders>
              <w:top w:val="single" w:sz="6" w:space="0" w:color="auto"/>
              <w:left w:val="single" w:sz="6" w:space="0" w:color="auto"/>
              <w:bottom w:val="single" w:sz="6" w:space="0" w:color="auto"/>
              <w:right w:val="single" w:sz="6" w:space="0" w:color="auto"/>
            </w:tcBorders>
            <w:hideMark/>
          </w:tcPr>
          <w:p w14:paraId="5DC7C74C" w14:textId="77777777" w:rsidR="00C805A1" w:rsidRPr="003B4362" w:rsidRDefault="00C805A1" w:rsidP="00BE7C7D">
            <w:pPr>
              <w:jc w:val="center"/>
            </w:pPr>
            <w:r w:rsidRPr="003B4362">
              <w:t>N/A</w:t>
            </w:r>
          </w:p>
        </w:tc>
        <w:tc>
          <w:tcPr>
            <w:tcW w:w="1440" w:type="dxa"/>
            <w:tcBorders>
              <w:top w:val="single" w:sz="6" w:space="0" w:color="auto"/>
              <w:left w:val="single" w:sz="6" w:space="0" w:color="auto"/>
              <w:bottom w:val="single" w:sz="6" w:space="0" w:color="auto"/>
              <w:right w:val="single" w:sz="6" w:space="0" w:color="auto"/>
            </w:tcBorders>
            <w:hideMark/>
          </w:tcPr>
          <w:p w14:paraId="54358B12" w14:textId="77777777" w:rsidR="00C805A1" w:rsidRPr="003B4362" w:rsidRDefault="00C805A1" w:rsidP="00BE7C7D">
            <w:pPr>
              <w:jc w:val="center"/>
            </w:pPr>
            <w:r w:rsidRPr="003B4362">
              <w:t>0.060</w:t>
            </w:r>
            <w:r w:rsidRPr="003B4362">
              <w:rPr>
                <w:vertAlign w:val="superscript"/>
              </w:rPr>
              <w:t>19</w:t>
            </w:r>
          </w:p>
        </w:tc>
        <w:tc>
          <w:tcPr>
            <w:tcW w:w="3600" w:type="dxa"/>
            <w:tcBorders>
              <w:top w:val="single" w:sz="6" w:space="0" w:color="auto"/>
              <w:left w:val="single" w:sz="6" w:space="0" w:color="auto"/>
              <w:bottom w:val="single" w:sz="6" w:space="0" w:color="auto"/>
              <w:right w:val="single" w:sz="6" w:space="0" w:color="auto"/>
            </w:tcBorders>
            <w:hideMark/>
          </w:tcPr>
          <w:p w14:paraId="252510ED" w14:textId="77777777" w:rsidR="00C805A1" w:rsidRPr="003B4362" w:rsidRDefault="00C805A1" w:rsidP="00BE7C7D">
            <w:r w:rsidRPr="003B4362">
              <w:t>Some people who drink water containing haloacetic acids in excess of the MCL over many years may have an increased risk of getting cancer.</w:t>
            </w:r>
          </w:p>
        </w:tc>
      </w:tr>
      <w:tr w:rsidR="001628C1" w:rsidRPr="003B4362" w14:paraId="2F148026"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C0AB4F2" w14:textId="77777777" w:rsidR="00C805A1" w:rsidRPr="003B4362" w:rsidRDefault="00C805A1" w:rsidP="00BE7C7D">
            <w:r w:rsidRPr="003B4362">
              <w:t>82. Bromate</w:t>
            </w:r>
          </w:p>
        </w:tc>
        <w:tc>
          <w:tcPr>
            <w:tcW w:w="1440" w:type="dxa"/>
            <w:tcBorders>
              <w:top w:val="single" w:sz="6" w:space="0" w:color="auto"/>
              <w:left w:val="single" w:sz="6" w:space="0" w:color="auto"/>
              <w:bottom w:val="single" w:sz="6" w:space="0" w:color="auto"/>
              <w:right w:val="single" w:sz="6" w:space="0" w:color="auto"/>
            </w:tcBorders>
            <w:hideMark/>
          </w:tcPr>
          <w:p w14:paraId="61CC6B7F"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7A44E131" w14:textId="77777777" w:rsidR="00C805A1" w:rsidRPr="003B4362" w:rsidRDefault="00C805A1" w:rsidP="00BE7C7D">
            <w:pPr>
              <w:jc w:val="center"/>
            </w:pPr>
            <w:r w:rsidRPr="003B4362">
              <w:t>0.010</w:t>
            </w:r>
          </w:p>
        </w:tc>
        <w:tc>
          <w:tcPr>
            <w:tcW w:w="3600" w:type="dxa"/>
            <w:tcBorders>
              <w:top w:val="single" w:sz="6" w:space="0" w:color="auto"/>
              <w:left w:val="single" w:sz="6" w:space="0" w:color="auto"/>
              <w:bottom w:val="single" w:sz="6" w:space="0" w:color="auto"/>
              <w:right w:val="single" w:sz="6" w:space="0" w:color="auto"/>
            </w:tcBorders>
            <w:hideMark/>
          </w:tcPr>
          <w:p w14:paraId="3F8010E2" w14:textId="77777777" w:rsidR="00C805A1" w:rsidRPr="003B4362" w:rsidRDefault="00C805A1" w:rsidP="00BE7C7D">
            <w:r w:rsidRPr="003B4362">
              <w:t>Some people who drink water containing bromate in excess of the MCL over many years may have an increased risk of getting cancer.</w:t>
            </w:r>
          </w:p>
        </w:tc>
      </w:tr>
      <w:tr w:rsidR="001628C1" w:rsidRPr="003B4362" w14:paraId="34759CD9"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08507AC" w14:textId="77777777" w:rsidR="00C805A1" w:rsidRPr="003B4362" w:rsidRDefault="00C805A1" w:rsidP="00BE7C7D">
            <w:r w:rsidRPr="003B4362">
              <w:t>83. Chlorite</w:t>
            </w:r>
          </w:p>
        </w:tc>
        <w:tc>
          <w:tcPr>
            <w:tcW w:w="1440" w:type="dxa"/>
            <w:tcBorders>
              <w:top w:val="single" w:sz="6" w:space="0" w:color="auto"/>
              <w:left w:val="single" w:sz="6" w:space="0" w:color="auto"/>
              <w:bottom w:val="single" w:sz="6" w:space="0" w:color="auto"/>
              <w:right w:val="single" w:sz="6" w:space="0" w:color="auto"/>
            </w:tcBorders>
            <w:hideMark/>
          </w:tcPr>
          <w:p w14:paraId="4A843178" w14:textId="77777777" w:rsidR="00C805A1" w:rsidRPr="003B4362" w:rsidRDefault="00C805A1" w:rsidP="00BE7C7D">
            <w:pPr>
              <w:jc w:val="center"/>
            </w:pPr>
            <w:r w:rsidRPr="003B4362">
              <w:t>0.08</w:t>
            </w:r>
          </w:p>
        </w:tc>
        <w:tc>
          <w:tcPr>
            <w:tcW w:w="1440" w:type="dxa"/>
            <w:tcBorders>
              <w:top w:val="single" w:sz="6" w:space="0" w:color="auto"/>
              <w:left w:val="single" w:sz="6" w:space="0" w:color="auto"/>
              <w:bottom w:val="single" w:sz="6" w:space="0" w:color="auto"/>
              <w:right w:val="single" w:sz="6" w:space="0" w:color="auto"/>
            </w:tcBorders>
            <w:hideMark/>
          </w:tcPr>
          <w:p w14:paraId="4C6A9638" w14:textId="77777777" w:rsidR="00C805A1" w:rsidRPr="003B4362" w:rsidRDefault="00C805A1" w:rsidP="00BE7C7D">
            <w:pPr>
              <w:jc w:val="center"/>
            </w:pPr>
            <w:r w:rsidRPr="003B4362">
              <w:t>1.0</w:t>
            </w:r>
          </w:p>
        </w:tc>
        <w:tc>
          <w:tcPr>
            <w:tcW w:w="3600" w:type="dxa"/>
            <w:tcBorders>
              <w:top w:val="single" w:sz="6" w:space="0" w:color="auto"/>
              <w:left w:val="single" w:sz="6" w:space="0" w:color="auto"/>
              <w:bottom w:val="single" w:sz="6" w:space="0" w:color="auto"/>
              <w:right w:val="single" w:sz="6" w:space="0" w:color="auto"/>
            </w:tcBorders>
            <w:hideMark/>
          </w:tcPr>
          <w:p w14:paraId="3011C314" w14:textId="77777777" w:rsidR="00C805A1" w:rsidRPr="003B4362" w:rsidRDefault="00C805A1" w:rsidP="00BE7C7D">
            <w:r w:rsidRPr="003B4362">
              <w:t>Some infants and young children who drink water containing chlorite in excess of the MCL could experience nervous system effects. Similar effects may occur in fetuses of pregnant women who drink water containing chlorite in excess of the MCL. Some people may experience anemia.</w:t>
            </w:r>
          </w:p>
        </w:tc>
      </w:tr>
      <w:tr w:rsidR="001628C1" w:rsidRPr="003B4362" w14:paraId="3A54A70C"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F0F0EB8" w14:textId="77777777" w:rsidR="00C805A1" w:rsidRPr="003B4362" w:rsidRDefault="00C805A1" w:rsidP="00BE7C7D">
            <w:r w:rsidRPr="003B4362">
              <w:t>84. Chlorine</w:t>
            </w:r>
          </w:p>
        </w:tc>
        <w:tc>
          <w:tcPr>
            <w:tcW w:w="1440" w:type="dxa"/>
            <w:tcBorders>
              <w:top w:val="single" w:sz="6" w:space="0" w:color="auto"/>
              <w:left w:val="single" w:sz="6" w:space="0" w:color="auto"/>
              <w:bottom w:val="single" w:sz="6" w:space="0" w:color="auto"/>
              <w:right w:val="single" w:sz="6" w:space="0" w:color="auto"/>
            </w:tcBorders>
            <w:hideMark/>
          </w:tcPr>
          <w:p w14:paraId="1FB4732D" w14:textId="77777777" w:rsidR="00C805A1" w:rsidRPr="003B4362" w:rsidRDefault="00C805A1" w:rsidP="00BE7C7D">
            <w:pPr>
              <w:jc w:val="center"/>
            </w:pPr>
            <w:r w:rsidRPr="003B4362">
              <w:t>4 (MRDLG)</w:t>
            </w:r>
            <w:r w:rsidRPr="003B4362">
              <w:rPr>
                <w:vertAlign w:val="superscript"/>
              </w:rPr>
              <w:t>20</w:t>
            </w:r>
          </w:p>
        </w:tc>
        <w:tc>
          <w:tcPr>
            <w:tcW w:w="1440" w:type="dxa"/>
            <w:tcBorders>
              <w:top w:val="single" w:sz="6" w:space="0" w:color="auto"/>
              <w:left w:val="single" w:sz="6" w:space="0" w:color="auto"/>
              <w:bottom w:val="single" w:sz="6" w:space="0" w:color="auto"/>
              <w:right w:val="single" w:sz="6" w:space="0" w:color="auto"/>
            </w:tcBorders>
            <w:hideMark/>
          </w:tcPr>
          <w:p w14:paraId="68B34004" w14:textId="77777777" w:rsidR="00C805A1" w:rsidRPr="003B4362" w:rsidRDefault="00C805A1" w:rsidP="00BE7C7D">
            <w:pPr>
              <w:jc w:val="center"/>
            </w:pPr>
            <w:r w:rsidRPr="003B4362">
              <w:t>4.0 (MRDL)</w:t>
            </w:r>
            <w:r w:rsidRPr="003B4362">
              <w:rPr>
                <w:vertAlign w:val="superscript"/>
              </w:rPr>
              <w:t>21</w:t>
            </w:r>
          </w:p>
        </w:tc>
        <w:tc>
          <w:tcPr>
            <w:tcW w:w="3600" w:type="dxa"/>
            <w:tcBorders>
              <w:top w:val="single" w:sz="6" w:space="0" w:color="auto"/>
              <w:left w:val="single" w:sz="6" w:space="0" w:color="auto"/>
              <w:bottom w:val="single" w:sz="6" w:space="0" w:color="auto"/>
              <w:right w:val="single" w:sz="6" w:space="0" w:color="auto"/>
            </w:tcBorders>
            <w:hideMark/>
          </w:tcPr>
          <w:p w14:paraId="3FABBBE9" w14:textId="77777777" w:rsidR="00C805A1" w:rsidRPr="003B4362" w:rsidRDefault="00C805A1" w:rsidP="00BE7C7D">
            <w:r w:rsidRPr="003B4362">
              <w:t>Some people who use water containing chlorine well in excess of the MRDL could experience irritating effects to their eyes and nose. Some people who drink water containing chlorine well in excess of the MRDL could experience stomach discomfort.</w:t>
            </w:r>
          </w:p>
        </w:tc>
      </w:tr>
      <w:tr w:rsidR="001628C1" w:rsidRPr="003B4362" w14:paraId="19938C14"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C99432F" w14:textId="77777777" w:rsidR="00C805A1" w:rsidRPr="003B4362" w:rsidRDefault="00C805A1" w:rsidP="00BE7C7D">
            <w:r w:rsidRPr="003B4362">
              <w:t>85. Chloramines</w:t>
            </w:r>
          </w:p>
        </w:tc>
        <w:tc>
          <w:tcPr>
            <w:tcW w:w="1440" w:type="dxa"/>
            <w:tcBorders>
              <w:top w:val="single" w:sz="6" w:space="0" w:color="auto"/>
              <w:left w:val="single" w:sz="6" w:space="0" w:color="auto"/>
              <w:bottom w:val="single" w:sz="6" w:space="0" w:color="auto"/>
              <w:right w:val="single" w:sz="6" w:space="0" w:color="auto"/>
            </w:tcBorders>
            <w:hideMark/>
          </w:tcPr>
          <w:p w14:paraId="7EB35B61" w14:textId="77777777" w:rsidR="00C805A1" w:rsidRPr="003B4362" w:rsidRDefault="00C805A1" w:rsidP="00BE7C7D">
            <w:pPr>
              <w:jc w:val="center"/>
            </w:pPr>
            <w:r w:rsidRPr="003B4362">
              <w:t>4 (MRDLG)</w:t>
            </w:r>
          </w:p>
        </w:tc>
        <w:tc>
          <w:tcPr>
            <w:tcW w:w="1440" w:type="dxa"/>
            <w:tcBorders>
              <w:top w:val="single" w:sz="6" w:space="0" w:color="auto"/>
              <w:left w:val="single" w:sz="6" w:space="0" w:color="auto"/>
              <w:bottom w:val="single" w:sz="6" w:space="0" w:color="auto"/>
              <w:right w:val="single" w:sz="6" w:space="0" w:color="auto"/>
            </w:tcBorders>
            <w:hideMark/>
          </w:tcPr>
          <w:p w14:paraId="41C59B5D" w14:textId="77777777" w:rsidR="00C805A1" w:rsidRPr="003B4362" w:rsidRDefault="00C805A1" w:rsidP="00BE7C7D">
            <w:pPr>
              <w:jc w:val="center"/>
            </w:pPr>
            <w:r w:rsidRPr="003B4362">
              <w:t>4.0 (MRDL)</w:t>
            </w:r>
          </w:p>
        </w:tc>
        <w:tc>
          <w:tcPr>
            <w:tcW w:w="3600" w:type="dxa"/>
            <w:tcBorders>
              <w:top w:val="single" w:sz="6" w:space="0" w:color="auto"/>
              <w:left w:val="single" w:sz="6" w:space="0" w:color="auto"/>
              <w:bottom w:val="single" w:sz="6" w:space="0" w:color="auto"/>
              <w:right w:val="single" w:sz="6" w:space="0" w:color="auto"/>
            </w:tcBorders>
            <w:hideMark/>
          </w:tcPr>
          <w:p w14:paraId="54E613D4" w14:textId="77777777" w:rsidR="00C805A1" w:rsidRPr="003B4362" w:rsidRDefault="00C805A1" w:rsidP="00BE7C7D">
            <w:r w:rsidRPr="003B4362">
              <w:t>Some people who use water containing chloramines well in excess of the MRDL could experience irritating effects to their eyes and nose. Some people who drink water containing chloramines well in excess of the MRDL could experience stomach discomfort or anemia.</w:t>
            </w:r>
          </w:p>
        </w:tc>
      </w:tr>
      <w:tr w:rsidR="001628C1" w:rsidRPr="003B4362" w14:paraId="703D65FC" w14:textId="77777777" w:rsidTr="00DA2ADB">
        <w:trPr>
          <w:cantSplit/>
        </w:trPr>
        <w:tc>
          <w:tcPr>
            <w:tcW w:w="2880" w:type="dxa"/>
            <w:tcBorders>
              <w:top w:val="single" w:sz="6" w:space="0" w:color="auto"/>
              <w:left w:val="single" w:sz="6" w:space="0" w:color="auto"/>
              <w:bottom w:val="nil"/>
              <w:right w:val="single" w:sz="6" w:space="0" w:color="auto"/>
            </w:tcBorders>
            <w:hideMark/>
          </w:tcPr>
          <w:p w14:paraId="4C71897F" w14:textId="0B32BAC4" w:rsidR="00C805A1" w:rsidRPr="003B4362" w:rsidRDefault="00C805A1" w:rsidP="00BE7C7D">
            <w:r w:rsidRPr="003B4362">
              <w:lastRenderedPageBreak/>
              <w:t xml:space="preserve">85a. Chlorine dioxide, </w:t>
            </w:r>
            <w:r w:rsidR="00882F41" w:rsidRPr="003B4362">
              <w:rPr>
                <w:spacing w:val="-3"/>
              </w:rPr>
              <w:t xml:space="preserve">if </w:t>
            </w:r>
            <w:r w:rsidRPr="003B4362">
              <w:t>any two consecutive daily samples taken at the entrance to the distribution system are above the MRDL</w:t>
            </w:r>
          </w:p>
        </w:tc>
        <w:tc>
          <w:tcPr>
            <w:tcW w:w="1440" w:type="dxa"/>
            <w:tcBorders>
              <w:top w:val="single" w:sz="6" w:space="0" w:color="auto"/>
              <w:left w:val="single" w:sz="6" w:space="0" w:color="auto"/>
              <w:bottom w:val="nil"/>
              <w:right w:val="single" w:sz="6" w:space="0" w:color="auto"/>
            </w:tcBorders>
            <w:hideMark/>
          </w:tcPr>
          <w:p w14:paraId="3AB4A9C0" w14:textId="77777777" w:rsidR="00C805A1" w:rsidRPr="003B4362" w:rsidRDefault="00C805A1" w:rsidP="00BE7C7D">
            <w:pPr>
              <w:jc w:val="center"/>
            </w:pPr>
            <w:r w:rsidRPr="003B4362">
              <w:t>0.8 (MRDLG)</w:t>
            </w:r>
          </w:p>
        </w:tc>
        <w:tc>
          <w:tcPr>
            <w:tcW w:w="1440" w:type="dxa"/>
            <w:tcBorders>
              <w:top w:val="single" w:sz="6" w:space="0" w:color="auto"/>
              <w:left w:val="single" w:sz="6" w:space="0" w:color="auto"/>
              <w:bottom w:val="nil"/>
              <w:right w:val="single" w:sz="6" w:space="0" w:color="auto"/>
            </w:tcBorders>
            <w:hideMark/>
          </w:tcPr>
          <w:p w14:paraId="3FE0F1B5" w14:textId="77777777" w:rsidR="00C805A1" w:rsidRPr="003B4362" w:rsidRDefault="00C805A1" w:rsidP="00BE7C7D">
            <w:pPr>
              <w:jc w:val="center"/>
            </w:pPr>
            <w:r w:rsidRPr="003B4362">
              <w:t>0.8 (MRDL)</w:t>
            </w:r>
          </w:p>
        </w:tc>
        <w:tc>
          <w:tcPr>
            <w:tcW w:w="3600" w:type="dxa"/>
            <w:tcBorders>
              <w:top w:val="single" w:sz="6" w:space="0" w:color="auto"/>
              <w:left w:val="single" w:sz="6" w:space="0" w:color="auto"/>
              <w:bottom w:val="nil"/>
              <w:right w:val="single" w:sz="6" w:space="0" w:color="auto"/>
            </w:tcBorders>
            <w:hideMark/>
          </w:tcPr>
          <w:p w14:paraId="33A5871E" w14:textId="77777777" w:rsidR="00C805A1" w:rsidRPr="003B4362" w:rsidRDefault="00C805A1" w:rsidP="00BE7C7D">
            <w:r w:rsidRPr="003B4362">
              <w:t>Some infants and young children who drink water containing chlorine dioxide in excess of the MRDL could experience nervous system effects.  Similar effects may occur in fetuses of pregnant women who drink water containing chlorine dioxide in excess of the MRDL. Some people may experience anemia.</w:t>
            </w:r>
          </w:p>
        </w:tc>
      </w:tr>
      <w:tr w:rsidR="001628C1" w:rsidRPr="003B4362" w14:paraId="0D285837" w14:textId="77777777" w:rsidTr="00DA2ADB">
        <w:trPr>
          <w:cantSplit/>
        </w:trPr>
        <w:tc>
          <w:tcPr>
            <w:tcW w:w="2880" w:type="dxa"/>
            <w:tcBorders>
              <w:top w:val="nil"/>
              <w:left w:val="single" w:sz="6" w:space="0" w:color="auto"/>
              <w:bottom w:val="single" w:sz="6" w:space="0" w:color="auto"/>
              <w:right w:val="single" w:sz="6" w:space="0" w:color="auto"/>
            </w:tcBorders>
          </w:tcPr>
          <w:p w14:paraId="7E7E5773" w14:textId="77777777" w:rsidR="00C805A1" w:rsidRPr="003B4362" w:rsidRDefault="00C805A1" w:rsidP="00BE7C7D"/>
        </w:tc>
        <w:tc>
          <w:tcPr>
            <w:tcW w:w="1440" w:type="dxa"/>
            <w:tcBorders>
              <w:top w:val="nil"/>
              <w:left w:val="single" w:sz="6" w:space="0" w:color="auto"/>
              <w:bottom w:val="single" w:sz="6" w:space="0" w:color="auto"/>
              <w:right w:val="single" w:sz="6" w:space="0" w:color="auto"/>
            </w:tcBorders>
          </w:tcPr>
          <w:p w14:paraId="4FEDCDFD" w14:textId="77777777" w:rsidR="00C805A1" w:rsidRPr="003B4362" w:rsidRDefault="00C805A1" w:rsidP="00BE7C7D">
            <w:pPr>
              <w:jc w:val="center"/>
            </w:pPr>
          </w:p>
        </w:tc>
        <w:tc>
          <w:tcPr>
            <w:tcW w:w="1440" w:type="dxa"/>
            <w:tcBorders>
              <w:top w:val="nil"/>
              <w:left w:val="single" w:sz="6" w:space="0" w:color="auto"/>
              <w:bottom w:val="single" w:sz="6" w:space="0" w:color="auto"/>
              <w:right w:val="single" w:sz="6" w:space="0" w:color="auto"/>
            </w:tcBorders>
          </w:tcPr>
          <w:p w14:paraId="71043C72" w14:textId="77777777" w:rsidR="00C805A1" w:rsidRPr="003B4362" w:rsidRDefault="00C805A1" w:rsidP="00BE7C7D">
            <w:pPr>
              <w:jc w:val="center"/>
            </w:pPr>
          </w:p>
        </w:tc>
        <w:tc>
          <w:tcPr>
            <w:tcW w:w="3600" w:type="dxa"/>
            <w:tcBorders>
              <w:top w:val="nil"/>
              <w:left w:val="single" w:sz="6" w:space="0" w:color="auto"/>
              <w:bottom w:val="single" w:sz="6" w:space="0" w:color="auto"/>
              <w:right w:val="single" w:sz="6" w:space="0" w:color="auto"/>
            </w:tcBorders>
            <w:hideMark/>
          </w:tcPr>
          <w:p w14:paraId="4A8FE3F0" w14:textId="77777777" w:rsidR="00C805A1" w:rsidRPr="003B4362" w:rsidRDefault="00C805A1" w:rsidP="00BE7C7D">
            <w:r w:rsidRPr="003B4362">
              <w:t>Add for public notification only:  The chlorine dioxide violations reported today are the result of exceedances at the treatment facility only, not within the distribution system that delivers water to consumers.  Continued compliance with chlorine dioxide levels within the distribution system minimizes the potential risk of these violations to consumers.</w:t>
            </w:r>
          </w:p>
        </w:tc>
      </w:tr>
      <w:tr w:rsidR="001628C1" w:rsidRPr="003B4362" w14:paraId="72963B46" w14:textId="77777777" w:rsidTr="00DA2ADB">
        <w:trPr>
          <w:cantSplit/>
        </w:trPr>
        <w:tc>
          <w:tcPr>
            <w:tcW w:w="2880" w:type="dxa"/>
            <w:tcBorders>
              <w:top w:val="single" w:sz="6" w:space="0" w:color="auto"/>
              <w:left w:val="single" w:sz="6" w:space="0" w:color="auto"/>
              <w:bottom w:val="nil"/>
              <w:right w:val="single" w:sz="6" w:space="0" w:color="auto"/>
            </w:tcBorders>
            <w:hideMark/>
          </w:tcPr>
          <w:p w14:paraId="5FCCEA47" w14:textId="3433B384" w:rsidR="00C805A1" w:rsidRPr="003B4362" w:rsidRDefault="00C805A1" w:rsidP="00BE7C7D">
            <w:r w:rsidRPr="003B4362">
              <w:t xml:space="preserve">86a. Chlorine dioxide, </w:t>
            </w:r>
            <w:r w:rsidR="00882F41" w:rsidRPr="003B4362">
              <w:rPr>
                <w:spacing w:val="-3"/>
              </w:rPr>
              <w:t xml:space="preserve">if </w:t>
            </w:r>
            <w:r w:rsidRPr="003B4362">
              <w:t>one or more distribution system samples are above the MRDL</w:t>
            </w:r>
          </w:p>
        </w:tc>
        <w:tc>
          <w:tcPr>
            <w:tcW w:w="1440" w:type="dxa"/>
            <w:tcBorders>
              <w:top w:val="single" w:sz="6" w:space="0" w:color="auto"/>
              <w:left w:val="single" w:sz="6" w:space="0" w:color="auto"/>
              <w:bottom w:val="nil"/>
              <w:right w:val="single" w:sz="6" w:space="0" w:color="auto"/>
            </w:tcBorders>
            <w:hideMark/>
          </w:tcPr>
          <w:p w14:paraId="53449DC1" w14:textId="77777777" w:rsidR="00C805A1" w:rsidRPr="003B4362" w:rsidRDefault="00C805A1" w:rsidP="00BE7C7D">
            <w:pPr>
              <w:jc w:val="center"/>
            </w:pPr>
            <w:r w:rsidRPr="003B4362">
              <w:t>0.8 (MRDLG)</w:t>
            </w:r>
          </w:p>
        </w:tc>
        <w:tc>
          <w:tcPr>
            <w:tcW w:w="1440" w:type="dxa"/>
            <w:tcBorders>
              <w:top w:val="single" w:sz="6" w:space="0" w:color="auto"/>
              <w:left w:val="single" w:sz="6" w:space="0" w:color="auto"/>
              <w:bottom w:val="nil"/>
              <w:right w:val="single" w:sz="6" w:space="0" w:color="auto"/>
            </w:tcBorders>
            <w:hideMark/>
          </w:tcPr>
          <w:p w14:paraId="0A64C78A" w14:textId="77777777" w:rsidR="00C805A1" w:rsidRPr="003B4362" w:rsidRDefault="00C805A1" w:rsidP="00BE7C7D">
            <w:pPr>
              <w:jc w:val="center"/>
            </w:pPr>
            <w:r w:rsidRPr="003B4362">
              <w:t>0.8 (MRDL)</w:t>
            </w:r>
          </w:p>
        </w:tc>
        <w:tc>
          <w:tcPr>
            <w:tcW w:w="3600" w:type="dxa"/>
            <w:tcBorders>
              <w:top w:val="single" w:sz="6" w:space="0" w:color="auto"/>
              <w:left w:val="single" w:sz="6" w:space="0" w:color="auto"/>
              <w:bottom w:val="nil"/>
              <w:right w:val="single" w:sz="6" w:space="0" w:color="auto"/>
            </w:tcBorders>
            <w:hideMark/>
          </w:tcPr>
          <w:p w14:paraId="5747A51D" w14:textId="77777777" w:rsidR="00C805A1" w:rsidRPr="003B4362" w:rsidRDefault="00C805A1" w:rsidP="00BE7C7D">
            <w:r w:rsidRPr="003B4362">
              <w:t>Some infants and young children who drink water containing chlorine dioxide in excess of the MRDL could experience nervous system effects.  Similar effects may occur in fetuses of pregnant women who drink water containing chlorine dioxide in excess of the MRDL. Some people may experience anemia.</w:t>
            </w:r>
          </w:p>
        </w:tc>
      </w:tr>
      <w:tr w:rsidR="001628C1" w:rsidRPr="003B4362" w14:paraId="5A4EE43C" w14:textId="77777777" w:rsidTr="00DA2ADB">
        <w:trPr>
          <w:cantSplit/>
        </w:trPr>
        <w:tc>
          <w:tcPr>
            <w:tcW w:w="2880" w:type="dxa"/>
            <w:tcBorders>
              <w:top w:val="nil"/>
              <w:left w:val="single" w:sz="6" w:space="0" w:color="auto"/>
              <w:bottom w:val="single" w:sz="6" w:space="0" w:color="auto"/>
              <w:right w:val="single" w:sz="6" w:space="0" w:color="auto"/>
            </w:tcBorders>
          </w:tcPr>
          <w:p w14:paraId="086CE24C" w14:textId="77777777" w:rsidR="00C805A1" w:rsidRPr="003B4362" w:rsidRDefault="00C805A1" w:rsidP="00BE7C7D"/>
        </w:tc>
        <w:tc>
          <w:tcPr>
            <w:tcW w:w="1440" w:type="dxa"/>
            <w:tcBorders>
              <w:top w:val="nil"/>
              <w:left w:val="single" w:sz="6" w:space="0" w:color="auto"/>
              <w:bottom w:val="single" w:sz="6" w:space="0" w:color="auto"/>
              <w:right w:val="single" w:sz="6" w:space="0" w:color="auto"/>
            </w:tcBorders>
          </w:tcPr>
          <w:p w14:paraId="54322672" w14:textId="77777777" w:rsidR="00C805A1" w:rsidRPr="003B4362" w:rsidRDefault="00C805A1" w:rsidP="00BE7C7D">
            <w:pPr>
              <w:jc w:val="center"/>
            </w:pPr>
          </w:p>
        </w:tc>
        <w:tc>
          <w:tcPr>
            <w:tcW w:w="1440" w:type="dxa"/>
            <w:tcBorders>
              <w:top w:val="nil"/>
              <w:left w:val="single" w:sz="6" w:space="0" w:color="auto"/>
              <w:bottom w:val="single" w:sz="6" w:space="0" w:color="auto"/>
              <w:right w:val="single" w:sz="6" w:space="0" w:color="auto"/>
            </w:tcBorders>
          </w:tcPr>
          <w:p w14:paraId="22F9BD08" w14:textId="77777777" w:rsidR="00C805A1" w:rsidRPr="003B4362" w:rsidRDefault="00C805A1" w:rsidP="00BE7C7D">
            <w:pPr>
              <w:jc w:val="center"/>
            </w:pPr>
          </w:p>
        </w:tc>
        <w:tc>
          <w:tcPr>
            <w:tcW w:w="3600" w:type="dxa"/>
            <w:tcBorders>
              <w:top w:val="nil"/>
              <w:left w:val="single" w:sz="6" w:space="0" w:color="auto"/>
              <w:bottom w:val="single" w:sz="6" w:space="0" w:color="auto"/>
              <w:right w:val="single" w:sz="6" w:space="0" w:color="auto"/>
            </w:tcBorders>
            <w:hideMark/>
          </w:tcPr>
          <w:p w14:paraId="61D598AC" w14:textId="77777777" w:rsidR="00C805A1" w:rsidRPr="003B4362" w:rsidRDefault="00C805A1" w:rsidP="00BE7C7D">
            <w:r w:rsidRPr="003B4362">
              <w:t>Add for public notification only: The chlorine dioxide violations reported today include exceedances of the USEPA standard within the distribution system that delivers water to consumers. Violations of the chlorine dioxide standard within the distribution system may harm human health based on short-term exposures. Certain groups, including fetuses, infants, and young children, may be especially susceptible to nervous system effects from excessive chlorine dioxide exposure.</w:t>
            </w:r>
          </w:p>
        </w:tc>
      </w:tr>
      <w:tr w:rsidR="001628C1" w:rsidRPr="003B4362" w14:paraId="72279BE9"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F96C544" w14:textId="77777777" w:rsidR="00C805A1" w:rsidRPr="003B4362" w:rsidRDefault="00C805A1" w:rsidP="00BE7C7D">
            <w:r w:rsidRPr="003B4362">
              <w:t>87. Control of DBP precursors (TOC)</w:t>
            </w:r>
          </w:p>
        </w:tc>
        <w:tc>
          <w:tcPr>
            <w:tcW w:w="1440" w:type="dxa"/>
            <w:tcBorders>
              <w:top w:val="single" w:sz="6" w:space="0" w:color="auto"/>
              <w:left w:val="single" w:sz="6" w:space="0" w:color="auto"/>
              <w:bottom w:val="single" w:sz="6" w:space="0" w:color="auto"/>
              <w:right w:val="single" w:sz="6" w:space="0" w:color="auto"/>
            </w:tcBorders>
            <w:hideMark/>
          </w:tcPr>
          <w:p w14:paraId="761A71A7" w14:textId="77777777" w:rsidR="00C805A1" w:rsidRPr="003B4362" w:rsidRDefault="00C805A1" w:rsidP="00BE7C7D">
            <w:pPr>
              <w:jc w:val="center"/>
            </w:pPr>
            <w:r w:rsidRPr="003B4362">
              <w:t>None</w:t>
            </w:r>
          </w:p>
        </w:tc>
        <w:tc>
          <w:tcPr>
            <w:tcW w:w="1440" w:type="dxa"/>
            <w:tcBorders>
              <w:top w:val="single" w:sz="6" w:space="0" w:color="auto"/>
              <w:left w:val="single" w:sz="6" w:space="0" w:color="auto"/>
              <w:bottom w:val="single" w:sz="6" w:space="0" w:color="auto"/>
              <w:right w:val="single" w:sz="6" w:space="0" w:color="auto"/>
            </w:tcBorders>
            <w:hideMark/>
          </w:tcPr>
          <w:p w14:paraId="6F871D75" w14:textId="77777777" w:rsidR="00C805A1" w:rsidRPr="003B4362" w:rsidRDefault="00C805A1" w:rsidP="00BE7C7D">
            <w:pPr>
              <w:jc w:val="center"/>
            </w:pPr>
            <w:r w:rsidRPr="003B4362">
              <w:t>TT</w:t>
            </w:r>
          </w:p>
        </w:tc>
        <w:tc>
          <w:tcPr>
            <w:tcW w:w="3600" w:type="dxa"/>
            <w:tcBorders>
              <w:top w:val="single" w:sz="6" w:space="0" w:color="auto"/>
              <w:left w:val="single" w:sz="6" w:space="0" w:color="auto"/>
              <w:bottom w:val="single" w:sz="6" w:space="0" w:color="auto"/>
              <w:right w:val="single" w:sz="6" w:space="0" w:color="auto"/>
            </w:tcBorders>
            <w:hideMark/>
          </w:tcPr>
          <w:p w14:paraId="2D821335" w14:textId="27EBCF5A" w:rsidR="00C805A1" w:rsidRPr="003B4362" w:rsidRDefault="00C805A1" w:rsidP="00BE7C7D">
            <w:r w:rsidRPr="003B4362">
              <w:t xml:space="preserve">Total organic carbon (TOC) </w:t>
            </w:r>
            <w:r w:rsidR="00A854C7" w:rsidRPr="003B4362">
              <w:t>has</w:t>
            </w:r>
            <w:r w:rsidRPr="003B4362">
              <w:t xml:space="preserve"> no health effects.  However, total organic carbon provides a medium for the formation of disinfection byproducts. These byproducts include trihalomethanes (THMs) and haloacetic acids (HAAs). Drinking water containing these byproducts in excess of the MCL may lead to adverse health effects, liver or kidney problems, or nervous system effects, and may lead to an increased risk of getting cancer.</w:t>
            </w:r>
          </w:p>
        </w:tc>
      </w:tr>
      <w:tr w:rsidR="001628C1" w:rsidRPr="003B4362" w14:paraId="1BF8AA3C"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74953AAB" w14:textId="77777777" w:rsidR="00C805A1" w:rsidRPr="003B4362" w:rsidRDefault="00C805A1" w:rsidP="00BE7C7D">
            <w:pPr>
              <w:keepNext/>
              <w:keepLines/>
              <w:jc w:val="center"/>
            </w:pPr>
            <w:r w:rsidRPr="003B4362">
              <w:t>I. Other Treatment Techniques:</w:t>
            </w:r>
          </w:p>
        </w:tc>
      </w:tr>
      <w:tr w:rsidR="001628C1" w:rsidRPr="003B4362" w14:paraId="28749D52"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DA779DE" w14:textId="77777777" w:rsidR="00C805A1" w:rsidRPr="003B4362" w:rsidRDefault="00C805A1" w:rsidP="00BE7C7D">
            <w:r w:rsidRPr="003B4362">
              <w:t>88. Acrylamide</w:t>
            </w:r>
          </w:p>
        </w:tc>
        <w:tc>
          <w:tcPr>
            <w:tcW w:w="1440" w:type="dxa"/>
            <w:tcBorders>
              <w:top w:val="single" w:sz="6" w:space="0" w:color="auto"/>
              <w:left w:val="single" w:sz="6" w:space="0" w:color="auto"/>
              <w:bottom w:val="single" w:sz="6" w:space="0" w:color="auto"/>
              <w:right w:val="single" w:sz="6" w:space="0" w:color="auto"/>
            </w:tcBorders>
            <w:hideMark/>
          </w:tcPr>
          <w:p w14:paraId="0CFB0AB9"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15D72337" w14:textId="77777777" w:rsidR="00C805A1" w:rsidRPr="003B4362" w:rsidRDefault="00C805A1" w:rsidP="00BE7C7D">
            <w:pPr>
              <w:jc w:val="center"/>
            </w:pPr>
            <w:r w:rsidRPr="003B4362">
              <w:t>TT</w:t>
            </w:r>
          </w:p>
        </w:tc>
        <w:tc>
          <w:tcPr>
            <w:tcW w:w="3600" w:type="dxa"/>
            <w:tcBorders>
              <w:top w:val="single" w:sz="6" w:space="0" w:color="auto"/>
              <w:left w:val="single" w:sz="6" w:space="0" w:color="auto"/>
              <w:bottom w:val="single" w:sz="6" w:space="0" w:color="auto"/>
              <w:right w:val="single" w:sz="6" w:space="0" w:color="auto"/>
            </w:tcBorders>
            <w:hideMark/>
          </w:tcPr>
          <w:p w14:paraId="796EBDCF" w14:textId="77777777" w:rsidR="00C805A1" w:rsidRPr="003B4362" w:rsidRDefault="00C805A1" w:rsidP="00BE7C7D">
            <w:r w:rsidRPr="003B4362">
              <w:t>Some people who drink water containing high levels of acrylamide over a long period of time could have problems with their nervous system or blood, and may have an increased risk of getting cancer.</w:t>
            </w:r>
          </w:p>
        </w:tc>
      </w:tr>
      <w:tr w:rsidR="001628C1" w:rsidRPr="003B4362" w14:paraId="3E044F10"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CC414A7" w14:textId="77777777" w:rsidR="00C805A1" w:rsidRPr="003B4362" w:rsidRDefault="00C805A1" w:rsidP="00BE7C7D">
            <w:r w:rsidRPr="003B4362">
              <w:lastRenderedPageBreak/>
              <w:t>89. Epichlorohydrin</w:t>
            </w:r>
          </w:p>
        </w:tc>
        <w:tc>
          <w:tcPr>
            <w:tcW w:w="1440" w:type="dxa"/>
            <w:tcBorders>
              <w:top w:val="single" w:sz="6" w:space="0" w:color="auto"/>
              <w:left w:val="single" w:sz="6" w:space="0" w:color="auto"/>
              <w:bottom w:val="single" w:sz="6" w:space="0" w:color="auto"/>
              <w:right w:val="single" w:sz="6" w:space="0" w:color="auto"/>
            </w:tcBorders>
            <w:hideMark/>
          </w:tcPr>
          <w:p w14:paraId="2959178C"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59E91745" w14:textId="77777777" w:rsidR="00C805A1" w:rsidRPr="003B4362" w:rsidRDefault="00C805A1" w:rsidP="00BE7C7D">
            <w:pPr>
              <w:jc w:val="center"/>
            </w:pPr>
            <w:r w:rsidRPr="003B4362">
              <w:t>TT</w:t>
            </w:r>
          </w:p>
        </w:tc>
        <w:tc>
          <w:tcPr>
            <w:tcW w:w="3600" w:type="dxa"/>
            <w:tcBorders>
              <w:top w:val="single" w:sz="6" w:space="0" w:color="auto"/>
              <w:left w:val="single" w:sz="6" w:space="0" w:color="auto"/>
              <w:bottom w:val="single" w:sz="6" w:space="0" w:color="auto"/>
              <w:right w:val="single" w:sz="6" w:space="0" w:color="auto"/>
            </w:tcBorders>
            <w:hideMark/>
          </w:tcPr>
          <w:p w14:paraId="5E2EA1DC" w14:textId="77777777" w:rsidR="00C805A1" w:rsidRPr="003B4362" w:rsidRDefault="00C805A1" w:rsidP="00BE7C7D">
            <w:r w:rsidRPr="003B4362">
              <w:t>Some people who drink water containing high levels of epichlorohydrin over a long period of time could experience stomach problems, and may have an increased risk of getting cancer.</w:t>
            </w:r>
          </w:p>
        </w:tc>
      </w:tr>
    </w:tbl>
    <w:p w14:paraId="4A729FF0" w14:textId="77777777" w:rsidR="003F1F0F" w:rsidRPr="003B4362" w:rsidRDefault="003F1F0F" w:rsidP="003F1F0F"/>
    <w:p w14:paraId="4659DFFF" w14:textId="454385D9" w:rsidR="00C805A1" w:rsidRPr="003B4362" w:rsidRDefault="00C805A1" w:rsidP="003F1F0F">
      <w:r w:rsidRPr="003B4362">
        <w:t>Appendix H—Endnotes</w:t>
      </w:r>
    </w:p>
    <w:p w14:paraId="00F3028C" w14:textId="77777777" w:rsidR="00C805A1" w:rsidRPr="003B4362" w:rsidRDefault="00C805A1" w:rsidP="00C805A1">
      <w:pPr>
        <w:spacing w:before="240" w:after="240"/>
        <w:ind w:left="450" w:hanging="450"/>
      </w:pPr>
      <w:r w:rsidRPr="003B4362">
        <w:t>1.</w:t>
      </w:r>
      <w:r w:rsidRPr="003B4362">
        <w:tab/>
        <w:t>“MCLG” means maximum contaminant level goal.</w:t>
      </w:r>
    </w:p>
    <w:p w14:paraId="05B55E39" w14:textId="77777777" w:rsidR="00C805A1" w:rsidRPr="003B4362" w:rsidRDefault="00C805A1" w:rsidP="00C805A1">
      <w:pPr>
        <w:spacing w:before="240" w:after="240"/>
        <w:ind w:left="450" w:hanging="450"/>
      </w:pPr>
      <w:r w:rsidRPr="003B4362">
        <w:t>2.</w:t>
      </w:r>
      <w:r w:rsidRPr="003B4362">
        <w:tab/>
        <w:t>“MCL” means maximum contaminant level.</w:t>
      </w:r>
    </w:p>
    <w:p w14:paraId="19EC6E60" w14:textId="3AA91E63" w:rsidR="00C805A1" w:rsidRPr="003B4362" w:rsidRDefault="00C805A1" w:rsidP="00C805A1">
      <w:pPr>
        <w:spacing w:before="240" w:after="240"/>
        <w:ind w:left="450" w:hanging="450"/>
      </w:pPr>
      <w:r w:rsidRPr="003B4362">
        <w:t>3.</w:t>
      </w:r>
      <w:r w:rsidRPr="003B4362">
        <w:tab/>
        <w:t xml:space="preserve">This endnote corresponds with endnote 3 to appendix B to subpart Q to 40 CFR 14, which applied only to paragraph 1a in the table, which no longer </w:t>
      </w:r>
      <w:r w:rsidR="00A854C7" w:rsidRPr="003B4362">
        <w:t>has</w:t>
      </w:r>
      <w:r w:rsidRPr="003B4362">
        <w:t xml:space="preserve"> operative effect.  This statement maintains structural consistency with the corresponding federal rules.</w:t>
      </w:r>
    </w:p>
    <w:p w14:paraId="1E532AA8" w14:textId="3E7A9F47" w:rsidR="00C805A1" w:rsidRPr="003B4362" w:rsidRDefault="00C805A1" w:rsidP="00C805A1">
      <w:pPr>
        <w:spacing w:before="240" w:after="240"/>
        <w:ind w:left="450" w:hanging="450"/>
      </w:pPr>
      <w:r w:rsidRPr="003B4362">
        <w:t>4.</w:t>
      </w:r>
      <w:r w:rsidRPr="003B4362">
        <w:tab/>
      </w:r>
      <w:r w:rsidR="00DA2ADB" w:rsidRPr="003B4362">
        <w:t>In the corresponding USEPA rule, this note relates to an entry for the obsolete MCL for turbidity that does not apply to any supplier in Illinois.  This statement maintains structural consistency with the corresponding USEPA rule.</w:t>
      </w:r>
    </w:p>
    <w:p w14:paraId="77983811" w14:textId="013D35D9" w:rsidR="00C805A1" w:rsidRPr="003B4362" w:rsidRDefault="00C805A1" w:rsidP="00C805A1">
      <w:pPr>
        <w:spacing w:before="240" w:after="240"/>
        <w:ind w:left="450" w:hanging="450"/>
      </w:pPr>
      <w:r w:rsidRPr="003B4362">
        <w:t>5.</w:t>
      </w:r>
      <w:r w:rsidRPr="003B4362">
        <w:tab/>
      </w:r>
      <w:r w:rsidR="00555700" w:rsidRPr="003B4362">
        <w:t>In the corresponding USEPA rule, this note relates to an entry for the obsolete MCL for turbidity that does not apply to any supplier in Illinois.  This statement maintains structural consistency with the corresponding USEPA rule.</w:t>
      </w:r>
    </w:p>
    <w:p w14:paraId="25ABC9B5" w14:textId="24476B26" w:rsidR="00C805A1" w:rsidRPr="003B4362" w:rsidRDefault="00C805A1" w:rsidP="00C805A1">
      <w:pPr>
        <w:spacing w:before="240" w:after="240"/>
        <w:ind w:left="450" w:hanging="450"/>
      </w:pPr>
      <w:r w:rsidRPr="003B4362">
        <w:t>6.</w:t>
      </w:r>
      <w:r w:rsidRPr="003B4362">
        <w:tab/>
        <w:t>There are various regulations that set turbidity standards for different types of systems, including the 1989 SWTR, the 1998 IESWTR, and the 2002 LT1ESWTR.  A supplier subject to the SWTR (both filtered and unfiltered) may not exceed 5 NTU.  In addition, in filtered systems, 95 percent of samples each month must not exceed 0.5 NTU in systems using conventional or direct filtration and must not exceed 1 NTU in systems using slow sand or diatomaceous earth filtration or other filtration technologies approved by the Agency.</w:t>
      </w:r>
    </w:p>
    <w:p w14:paraId="4A65DD06" w14:textId="77777777" w:rsidR="00C805A1" w:rsidRPr="003B4362" w:rsidRDefault="00C805A1" w:rsidP="00C805A1">
      <w:pPr>
        <w:spacing w:before="240" w:after="240"/>
        <w:ind w:left="450" w:hanging="450"/>
      </w:pPr>
      <w:r w:rsidRPr="003B4362">
        <w:t>7.</w:t>
      </w:r>
      <w:r w:rsidRPr="003B4362">
        <w:tab/>
        <w:t>“TT” means treatment technique.</w:t>
      </w:r>
    </w:p>
    <w:p w14:paraId="40DD18D4" w14:textId="74552EBB" w:rsidR="00C805A1" w:rsidRPr="003B4362" w:rsidRDefault="00C805A1" w:rsidP="00C805A1">
      <w:pPr>
        <w:spacing w:before="240" w:after="240"/>
        <w:ind w:left="450" w:hanging="450"/>
      </w:pPr>
      <w:r w:rsidRPr="003B4362">
        <w:t>8.</w:t>
      </w:r>
      <w:r w:rsidRPr="003B4362">
        <w:tab/>
        <w:t xml:space="preserve">There are various regulations that set turbidity standards for different types of systems, including the 1989 SWTR, the 1998 IESWTR, and the 2002  LT1ESWTR.  For a supplier subject to the IESWTR (a supplier </w:t>
      </w:r>
      <w:r w:rsidR="009D0D80" w:rsidRPr="003B4362">
        <w:t xml:space="preserve">serving </w:t>
      </w:r>
      <w:r w:rsidRPr="003B4362">
        <w:t xml:space="preserve">at least 10,000 people, using surface water or groundwater under the direct influence of surface water), that use conventional filtration or direct filtration, the turbidity level of a system’s combined filter effluent may not exceed 0.3 NTU in at least 95 percent of monthly measurements, and the turbidity level of a system’s combined filter effluent must not exceed 1 NTU at any time.  A supplier subject to the IESWTR using technologies other than conventional, direct, slow sand, or diatomaceous earth filtration must meet turbidity limits set by the Agency.  For a supplier subject to the LT1ESWTR (a supplier </w:t>
      </w:r>
      <w:r w:rsidR="009D0D80" w:rsidRPr="003B4362">
        <w:t xml:space="preserve">serving </w:t>
      </w:r>
      <w:r w:rsidRPr="003B4362">
        <w:t xml:space="preserve">fewer than 10,000 people, using surface water or </w:t>
      </w:r>
      <w:r w:rsidRPr="003B4362">
        <w:lastRenderedPageBreak/>
        <w:t xml:space="preserve">groundwater under the direct influence of surface water) </w:t>
      </w:r>
      <w:r w:rsidR="00DC6CA9" w:rsidRPr="003B4362">
        <w:t xml:space="preserve">using </w:t>
      </w:r>
      <w:r w:rsidRPr="003B4362">
        <w:t>conventional filtration or direct filtration, the turbidity level of the supplier’s combined filter effluent may not exceed 0.3 NTU in at least 95 percent of monthly measurements, and the turbidity level of the supplier’s combined filter effluent must not exceed 1 NTU at any time.  A supplier subject to the LT1ESWTR using technologies other than conventional, direct, slow sand, or diatomaceous earth filtration must meet turbidity limits set by the Agency.</w:t>
      </w:r>
    </w:p>
    <w:p w14:paraId="7D0E5B32" w14:textId="77777777" w:rsidR="00C805A1" w:rsidRPr="003B4362" w:rsidRDefault="00C805A1" w:rsidP="00C805A1">
      <w:pPr>
        <w:spacing w:before="240" w:after="240"/>
        <w:ind w:left="450" w:hanging="450"/>
      </w:pPr>
      <w:r w:rsidRPr="003B4362">
        <w:t>9.</w:t>
      </w:r>
      <w:r w:rsidRPr="003B4362">
        <w:tab/>
        <w:t>The bacteria detected by heterotrophic plate count (HPC) are not necessarily harmful. HPC is simply an alternative method of determining disinfectant residual levels.  The number of such bacteria is an indicator of whether there is enough disinfectant in the distribution system.</w:t>
      </w:r>
    </w:p>
    <w:p w14:paraId="2ACD99BB" w14:textId="77777777" w:rsidR="00C805A1" w:rsidRPr="003B4362" w:rsidRDefault="00C805A1" w:rsidP="00C805A1">
      <w:pPr>
        <w:spacing w:before="240" w:after="240"/>
        <w:ind w:left="450" w:hanging="450"/>
      </w:pPr>
      <w:r w:rsidRPr="003B4362">
        <w:t>10.</w:t>
      </w:r>
      <w:r w:rsidRPr="003B4362">
        <w:tab/>
        <w:t>SWTR, IESWTR, and LT1ESWTR treatment technique violations that involve turbidity exceedances may use the health effects language for turbidity instead.</w:t>
      </w:r>
    </w:p>
    <w:p w14:paraId="2C8F6B7C" w14:textId="77777777" w:rsidR="00C805A1" w:rsidRPr="003B4362" w:rsidRDefault="00C805A1" w:rsidP="00C805A1">
      <w:pPr>
        <w:spacing w:before="240" w:after="240"/>
        <w:ind w:left="450" w:hanging="450"/>
      </w:pPr>
      <w:r w:rsidRPr="003B4362">
        <w:t>11.</w:t>
      </w:r>
      <w:r w:rsidRPr="003B4362">
        <w:tab/>
        <w:t>Millions of fibers per liter.</w:t>
      </w:r>
    </w:p>
    <w:p w14:paraId="151B31A4" w14:textId="02EEC402" w:rsidR="00C805A1" w:rsidRPr="003B4362" w:rsidRDefault="00C805A1" w:rsidP="00C805A1">
      <w:pPr>
        <w:spacing w:before="240" w:after="240"/>
        <w:ind w:left="450" w:hanging="450"/>
      </w:pPr>
      <w:r w:rsidRPr="003B4362">
        <w:t>12.</w:t>
      </w:r>
      <w:r w:rsidRPr="003B4362">
        <w:tab/>
        <w:t>Action Level = 0.015 mg/</w:t>
      </w:r>
      <w:r w:rsidR="006E262B" w:rsidRPr="003B4362">
        <w:t>L</w:t>
      </w:r>
      <w:r w:rsidRPr="003B4362">
        <w:t>.</w:t>
      </w:r>
    </w:p>
    <w:p w14:paraId="4F4C1FE4" w14:textId="1CE22ECF" w:rsidR="00C805A1" w:rsidRPr="003B4362" w:rsidRDefault="00C805A1" w:rsidP="00C805A1">
      <w:pPr>
        <w:spacing w:before="240" w:after="240"/>
        <w:ind w:left="450" w:hanging="450"/>
      </w:pPr>
      <w:r w:rsidRPr="003B4362">
        <w:t>13.</w:t>
      </w:r>
      <w:r w:rsidRPr="003B4362">
        <w:tab/>
        <w:t>Action Level = 1.3 mg/</w:t>
      </w:r>
      <w:r w:rsidR="006E262B" w:rsidRPr="003B4362">
        <w:t>L</w:t>
      </w:r>
      <w:r w:rsidRPr="003B4362">
        <w:t>.</w:t>
      </w:r>
    </w:p>
    <w:p w14:paraId="36705A53" w14:textId="77777777" w:rsidR="00C805A1" w:rsidRPr="003B4362" w:rsidRDefault="00C805A1" w:rsidP="00C805A1">
      <w:pPr>
        <w:spacing w:before="240" w:after="240"/>
        <w:ind w:left="450" w:hanging="450"/>
      </w:pPr>
      <w:r w:rsidRPr="003B4362">
        <w:t>14.</w:t>
      </w:r>
      <w:r w:rsidRPr="003B4362">
        <w:tab/>
        <w:t>Millirems per year.</w:t>
      </w:r>
    </w:p>
    <w:p w14:paraId="0F45FC98" w14:textId="77777777" w:rsidR="00C805A1" w:rsidRPr="003B4362" w:rsidRDefault="00C805A1" w:rsidP="00C805A1">
      <w:pPr>
        <w:spacing w:before="240" w:after="240"/>
        <w:ind w:left="450" w:hanging="450"/>
      </w:pPr>
      <w:r w:rsidRPr="003B4362">
        <w:t>15.</w:t>
      </w:r>
      <w:r w:rsidRPr="003B4362">
        <w:tab/>
        <w:t>Picocuries per liter.</w:t>
      </w:r>
    </w:p>
    <w:p w14:paraId="0AF80FEA" w14:textId="2C2A89E1" w:rsidR="00C805A1" w:rsidRPr="003B4362" w:rsidRDefault="00C805A1" w:rsidP="00C805A1">
      <w:pPr>
        <w:spacing w:before="240" w:after="240"/>
        <w:ind w:left="450" w:hanging="450"/>
      </w:pPr>
      <w:r w:rsidRPr="003B4362">
        <w:t>16.</w:t>
      </w:r>
      <w:r w:rsidRPr="003B4362">
        <w:tab/>
        <w:t xml:space="preserve">A surface water system supplier or a groundwater system supplier under the direct influence of surface water is regulated under Subpart B.  A Supbart B community water system supplier or a non-transient non-community system supplier must comply with Subpart I DBP MCLs and disinfectant maximum residual disinfectant levels (MRDLs).  A Subpart B transient non-community system supplier </w:t>
      </w:r>
      <w:r w:rsidR="00DC6CA9" w:rsidRPr="003B4362">
        <w:t xml:space="preserve">using </w:t>
      </w:r>
      <w:r w:rsidRPr="003B4362">
        <w:t>chlorine dioxide as a disinfectant or oxidant must comply with the chlorine dioxide MRDL.</w:t>
      </w:r>
    </w:p>
    <w:p w14:paraId="69873C6D" w14:textId="2C38CA51" w:rsidR="00C805A1" w:rsidRPr="003B4362" w:rsidRDefault="00C805A1" w:rsidP="00C805A1">
      <w:pPr>
        <w:spacing w:before="240" w:after="240"/>
        <w:ind w:left="450" w:hanging="450"/>
      </w:pPr>
      <w:r w:rsidRPr="003B4362">
        <w:t>17.</w:t>
      </w:r>
      <w:r w:rsidRPr="003B4362">
        <w:tab/>
        <w:t>Community and non-transient non-community systems must comply with Subpart Y TTHM and HAA5 MCLs of 0.080 mg/</w:t>
      </w:r>
      <w:r w:rsidR="006E262B" w:rsidRPr="003B4362">
        <w:t>L</w:t>
      </w:r>
      <w:r w:rsidRPr="003B4362">
        <w:t xml:space="preserve"> and 0.060 mg/</w:t>
      </w:r>
      <w:r w:rsidR="006E262B" w:rsidRPr="003B4362">
        <w:t>L</w:t>
      </w:r>
      <w:r w:rsidRPr="003B4362">
        <w:t>, respectively (with compliance calculated as a locational running annual average) on the schedule in Section 611.970.</w:t>
      </w:r>
    </w:p>
    <w:p w14:paraId="04261930" w14:textId="77777777" w:rsidR="00C805A1" w:rsidRPr="003B4362" w:rsidRDefault="00C805A1" w:rsidP="00C805A1">
      <w:pPr>
        <w:spacing w:before="240" w:after="240"/>
        <w:ind w:left="450" w:hanging="450"/>
      </w:pPr>
      <w:r w:rsidRPr="003B4362">
        <w:t>18.</w:t>
      </w:r>
      <w:r w:rsidRPr="003B4362">
        <w:tab/>
        <w:t>The MCL for total trihalomethanes is the sum of the concentrations of the individual trihalomethanes.</w:t>
      </w:r>
    </w:p>
    <w:p w14:paraId="44A0F604" w14:textId="77777777" w:rsidR="00C805A1" w:rsidRPr="003B4362" w:rsidRDefault="00C805A1" w:rsidP="00C805A1">
      <w:pPr>
        <w:spacing w:before="240" w:after="240"/>
        <w:ind w:left="450" w:hanging="450"/>
      </w:pPr>
      <w:r w:rsidRPr="003B4362">
        <w:t>19.</w:t>
      </w:r>
      <w:r w:rsidRPr="003B4362">
        <w:tab/>
        <w:t>The MCL for haloacetic acids is the sum of the concentrations of the individual haloacetic acids.</w:t>
      </w:r>
    </w:p>
    <w:p w14:paraId="6E0ADE67" w14:textId="77777777" w:rsidR="00C805A1" w:rsidRPr="003B4362" w:rsidRDefault="00C805A1" w:rsidP="00C805A1">
      <w:pPr>
        <w:spacing w:before="240" w:after="240"/>
        <w:ind w:left="450" w:hanging="450"/>
      </w:pPr>
      <w:r w:rsidRPr="003B4362">
        <w:t>20.</w:t>
      </w:r>
      <w:r w:rsidRPr="003B4362">
        <w:tab/>
        <w:t>“MRDLG” means maximum residual disinfectant level goal.</w:t>
      </w:r>
    </w:p>
    <w:p w14:paraId="32030549" w14:textId="77777777" w:rsidR="00C805A1" w:rsidRPr="003B4362" w:rsidRDefault="00C805A1" w:rsidP="00C805A1">
      <w:pPr>
        <w:spacing w:before="240" w:after="240"/>
        <w:ind w:left="450" w:hanging="450"/>
      </w:pPr>
      <w:r w:rsidRPr="003B4362">
        <w:t>21.</w:t>
      </w:r>
      <w:r w:rsidRPr="003B4362">
        <w:tab/>
        <w:t>“MRDL” means maximum residual disinfectant level.</w:t>
      </w:r>
    </w:p>
    <w:p w14:paraId="38EEA2B4" w14:textId="0622E4A4" w:rsidR="00C805A1" w:rsidRPr="003B4362" w:rsidRDefault="00C805A1" w:rsidP="00C805A1">
      <w:pPr>
        <w:spacing w:before="240" w:after="240"/>
        <w:ind w:left="450" w:hanging="450"/>
        <w:rPr>
          <w:spacing w:val="-2"/>
        </w:rPr>
      </w:pPr>
      <w:r w:rsidRPr="003B4362">
        <w:rPr>
          <w:spacing w:val="-2"/>
        </w:rPr>
        <w:lastRenderedPageBreak/>
        <w:t>22.</w:t>
      </w:r>
      <w:r w:rsidRPr="003B4362">
        <w:rPr>
          <w:spacing w:val="-2"/>
        </w:rPr>
        <w:tab/>
      </w:r>
      <w:r w:rsidRPr="003B4362">
        <w:rPr>
          <w:szCs w:val="24"/>
        </w:rPr>
        <w:t xml:space="preserve">The supplier is in compliance unless one of the following conditions occurs:  (1) the supplier’s system </w:t>
      </w:r>
      <w:r w:rsidR="00A854C7" w:rsidRPr="003B4362">
        <w:rPr>
          <w:szCs w:val="24"/>
        </w:rPr>
        <w:t>has</w:t>
      </w:r>
      <w:r w:rsidRPr="003B4362">
        <w:rPr>
          <w:szCs w:val="24"/>
        </w:rPr>
        <w:t xml:space="preserve"> an </w:t>
      </w:r>
      <w:r w:rsidRPr="003B4362">
        <w:rPr>
          <w:iCs/>
          <w:szCs w:val="24"/>
        </w:rPr>
        <w:t>E. coli</w:t>
      </w:r>
      <w:r w:rsidRPr="003B4362">
        <w:rPr>
          <w:szCs w:val="24"/>
        </w:rPr>
        <w:t xml:space="preserve">-positive repeat sample following a total coliform- positive routine sample; (2) the supplier’s system </w:t>
      </w:r>
      <w:r w:rsidR="00A854C7" w:rsidRPr="003B4362">
        <w:rPr>
          <w:szCs w:val="24"/>
        </w:rPr>
        <w:t>has</w:t>
      </w:r>
      <w:r w:rsidRPr="003B4362">
        <w:rPr>
          <w:szCs w:val="24"/>
        </w:rPr>
        <w:t xml:space="preserve"> a total coliform-positive repeat sample following an </w:t>
      </w:r>
      <w:r w:rsidRPr="003B4362">
        <w:rPr>
          <w:iCs/>
          <w:szCs w:val="24"/>
        </w:rPr>
        <w:t>E. coli</w:t>
      </w:r>
      <w:r w:rsidRPr="003B4362">
        <w:rPr>
          <w:szCs w:val="24"/>
        </w:rPr>
        <w:t xml:space="preserve">-positive routine sample; (3) the supplier fails to take all required repeat samples following an </w:t>
      </w:r>
      <w:r w:rsidRPr="003B4362">
        <w:rPr>
          <w:iCs/>
          <w:szCs w:val="24"/>
        </w:rPr>
        <w:t>E. coli-</w:t>
      </w:r>
      <w:r w:rsidRPr="003B4362">
        <w:rPr>
          <w:szCs w:val="24"/>
        </w:rPr>
        <w:t xml:space="preserve">positive routine sample; or (4) the supplier fails to test for </w:t>
      </w:r>
      <w:r w:rsidRPr="003B4362">
        <w:rPr>
          <w:iCs/>
          <w:szCs w:val="24"/>
        </w:rPr>
        <w:t xml:space="preserve">E. coli </w:t>
      </w:r>
      <w:r w:rsidRPr="003B4362">
        <w:rPr>
          <w:szCs w:val="24"/>
        </w:rPr>
        <w:t>when any repeat sample tests positive for total coliform.</w:t>
      </w:r>
    </w:p>
    <w:p w14:paraId="35E49D6C" w14:textId="0038B601" w:rsidR="00C805A1" w:rsidRPr="003B4362" w:rsidRDefault="00C805A1" w:rsidP="00C805A1">
      <w:pPr>
        <w:spacing w:before="240" w:after="240"/>
        <w:rPr>
          <w:spacing w:val="-2"/>
        </w:rPr>
      </w:pPr>
      <w:r w:rsidRPr="003B4362">
        <w:rPr>
          <w:spacing w:val="-2"/>
        </w:rPr>
        <w:t xml:space="preserve">BOARD NOTE:  </w:t>
      </w:r>
      <w:r w:rsidR="006E7E9C" w:rsidRPr="003B4362">
        <w:rPr>
          <w:spacing w:val="-3"/>
        </w:rPr>
        <w:t xml:space="preserve">This Appendix H derives </w:t>
      </w:r>
      <w:r w:rsidRPr="003B4362">
        <w:rPr>
          <w:spacing w:val="-2"/>
        </w:rPr>
        <w:t xml:space="preserve">from </w:t>
      </w:r>
      <w:r w:rsidRPr="003B4362">
        <w:t>appendix B to subpart Q</w:t>
      </w:r>
      <w:r w:rsidRPr="003B4362">
        <w:rPr>
          <w:spacing w:val="-2"/>
        </w:rPr>
        <w:t xml:space="preserve"> to 40 CFR 141.</w:t>
      </w:r>
    </w:p>
    <w:p w14:paraId="2994AC55" w14:textId="23E6A15A" w:rsidR="003F1F0F" w:rsidRPr="003B4362" w:rsidRDefault="003F1F0F" w:rsidP="003F1F0F">
      <w:pPr>
        <w:suppressAutoHyphens/>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5323C910" w14:textId="77777777" w:rsidR="00D60A5D" w:rsidRPr="001A7517" w:rsidRDefault="00D60A5D" w:rsidP="00D60A5D">
      <w:pPr>
        <w:keepNext/>
        <w:keepLines/>
        <w:suppressAutoHyphens/>
        <w:spacing w:before="240"/>
        <w:rPr>
          <w:b/>
        </w:rPr>
      </w:pPr>
      <w:r w:rsidRPr="001A7517">
        <w:rPr>
          <w:b/>
        </w:rPr>
        <w:t>Section 611.APPENDIX I  Acronyms Used in Public Notification Regulation</w:t>
      </w:r>
    </w:p>
    <w:p w14:paraId="1EE54195" w14:textId="77777777" w:rsidR="00D60A5D" w:rsidRPr="001A7517" w:rsidRDefault="00D60A5D" w:rsidP="00D60A5D">
      <w:pPr>
        <w:spacing w:before="240"/>
        <w:ind w:left="2160" w:hanging="1440"/>
      </w:pPr>
      <w:r w:rsidRPr="001A7517">
        <w:t>CCR</w:t>
      </w:r>
      <w:r w:rsidRPr="001A7517">
        <w:tab/>
        <w:t>Consumer Confidence Report</w:t>
      </w:r>
    </w:p>
    <w:p w14:paraId="5C11B1A4" w14:textId="77777777" w:rsidR="00D60A5D" w:rsidRPr="001A7517" w:rsidRDefault="00D60A5D" w:rsidP="00D60A5D">
      <w:pPr>
        <w:ind w:left="2160" w:hanging="1440"/>
      </w:pPr>
      <w:r w:rsidRPr="001A7517">
        <w:t>CWS</w:t>
      </w:r>
      <w:r w:rsidRPr="001A7517">
        <w:tab/>
        <w:t>Community Water System</w:t>
      </w:r>
    </w:p>
    <w:p w14:paraId="2DD8C97B" w14:textId="77777777" w:rsidR="00D60A5D" w:rsidRPr="001A7517" w:rsidRDefault="00D60A5D" w:rsidP="00D60A5D">
      <w:pPr>
        <w:ind w:left="2160" w:hanging="1440"/>
      </w:pPr>
      <w:r w:rsidRPr="001A7517">
        <w:t>DBP</w:t>
      </w:r>
      <w:r w:rsidRPr="001A7517">
        <w:tab/>
        <w:t>Disinfection Byproduct</w:t>
      </w:r>
    </w:p>
    <w:p w14:paraId="70B6328C" w14:textId="77777777" w:rsidR="00D60A5D" w:rsidRPr="001A7517" w:rsidRDefault="00D60A5D" w:rsidP="00D60A5D">
      <w:pPr>
        <w:ind w:left="2160" w:hanging="1440"/>
      </w:pPr>
      <w:r w:rsidRPr="001A7517">
        <w:t>GWR</w:t>
      </w:r>
      <w:r w:rsidRPr="001A7517">
        <w:tab/>
        <w:t>Groundwater Rule</w:t>
      </w:r>
    </w:p>
    <w:p w14:paraId="18BE0DE9" w14:textId="77777777" w:rsidR="00D60A5D" w:rsidRPr="001A7517" w:rsidRDefault="00D60A5D" w:rsidP="00D60A5D">
      <w:pPr>
        <w:ind w:left="2160" w:hanging="1440"/>
      </w:pPr>
      <w:r w:rsidRPr="001A7517">
        <w:t>HPC</w:t>
      </w:r>
      <w:r w:rsidRPr="001A7517">
        <w:tab/>
        <w:t>Heterotrophic Plate Count</w:t>
      </w:r>
    </w:p>
    <w:p w14:paraId="4E287098" w14:textId="77777777" w:rsidR="00D60A5D" w:rsidRPr="001A7517" w:rsidRDefault="00D60A5D" w:rsidP="00D60A5D">
      <w:pPr>
        <w:ind w:left="2160" w:hanging="1440"/>
      </w:pPr>
      <w:r w:rsidRPr="001A7517">
        <w:t>IESWTR</w:t>
      </w:r>
      <w:r w:rsidRPr="001A7517">
        <w:tab/>
        <w:t>Interim Enhanced Surface Water Treatment Rule</w:t>
      </w:r>
    </w:p>
    <w:p w14:paraId="007465F8" w14:textId="77777777" w:rsidR="00D60A5D" w:rsidRPr="001A7517" w:rsidRDefault="00D60A5D" w:rsidP="00D60A5D">
      <w:pPr>
        <w:ind w:left="2160" w:hanging="1440"/>
      </w:pPr>
      <w:r w:rsidRPr="001A7517">
        <w:t>IOC</w:t>
      </w:r>
      <w:r w:rsidRPr="001A7517">
        <w:tab/>
        <w:t>Inorganic Chemical</w:t>
      </w:r>
    </w:p>
    <w:p w14:paraId="0C787A0B" w14:textId="77777777" w:rsidR="00D60A5D" w:rsidRPr="001A7517" w:rsidRDefault="00D60A5D" w:rsidP="00D60A5D">
      <w:pPr>
        <w:ind w:left="2160" w:hanging="1440"/>
      </w:pPr>
      <w:r w:rsidRPr="001A7517">
        <w:t>LCR</w:t>
      </w:r>
      <w:r w:rsidRPr="001A7517">
        <w:tab/>
        <w:t>Lead and Copper Rule</w:t>
      </w:r>
    </w:p>
    <w:p w14:paraId="04EEAC27" w14:textId="77777777" w:rsidR="00D60A5D" w:rsidRPr="001A7517" w:rsidRDefault="00D60A5D" w:rsidP="00D60A5D">
      <w:pPr>
        <w:ind w:left="2160" w:hanging="1440"/>
      </w:pPr>
      <w:r w:rsidRPr="001A7517">
        <w:t>MCL</w:t>
      </w:r>
      <w:r w:rsidRPr="001A7517">
        <w:tab/>
        <w:t>Maximum Contaminant Level</w:t>
      </w:r>
    </w:p>
    <w:p w14:paraId="534EFCF7" w14:textId="77777777" w:rsidR="00D60A5D" w:rsidRPr="001A7517" w:rsidRDefault="00D60A5D" w:rsidP="00D60A5D">
      <w:pPr>
        <w:ind w:left="2160" w:hanging="1440"/>
      </w:pPr>
      <w:r w:rsidRPr="001A7517">
        <w:t>MCLG</w:t>
      </w:r>
      <w:r w:rsidRPr="001A7517">
        <w:tab/>
        <w:t>Maximum Contaminant Level Goal</w:t>
      </w:r>
    </w:p>
    <w:p w14:paraId="184B790C" w14:textId="77777777" w:rsidR="00D60A5D" w:rsidRPr="001A7517" w:rsidRDefault="00D60A5D" w:rsidP="00D60A5D">
      <w:pPr>
        <w:ind w:left="2160" w:hanging="1440"/>
      </w:pPr>
      <w:r w:rsidRPr="001A7517">
        <w:t>MRDL</w:t>
      </w:r>
      <w:r w:rsidRPr="001A7517">
        <w:tab/>
        <w:t>Maximum Residual Disinfectant Level</w:t>
      </w:r>
    </w:p>
    <w:p w14:paraId="226F6CF8" w14:textId="77777777" w:rsidR="00D60A5D" w:rsidRPr="001A7517" w:rsidRDefault="00D60A5D" w:rsidP="00D60A5D">
      <w:pPr>
        <w:ind w:left="2160" w:hanging="1440"/>
      </w:pPr>
      <w:r w:rsidRPr="001A7517">
        <w:t>MRDLG</w:t>
      </w:r>
      <w:r w:rsidRPr="001A7517">
        <w:tab/>
        <w:t>Maximum Residual Disinfectant Level Goal</w:t>
      </w:r>
    </w:p>
    <w:p w14:paraId="27B434FF" w14:textId="77777777" w:rsidR="00D60A5D" w:rsidRPr="001A7517" w:rsidRDefault="00D60A5D" w:rsidP="00D60A5D">
      <w:pPr>
        <w:ind w:left="2160" w:hanging="1440"/>
      </w:pPr>
      <w:r w:rsidRPr="001A7517">
        <w:t>NCWS</w:t>
      </w:r>
      <w:r w:rsidRPr="001A7517">
        <w:tab/>
        <w:t>Non-Community Water System</w:t>
      </w:r>
    </w:p>
    <w:p w14:paraId="4761D861" w14:textId="77777777" w:rsidR="00D60A5D" w:rsidRPr="001A7517" w:rsidRDefault="00D60A5D" w:rsidP="00D60A5D">
      <w:pPr>
        <w:ind w:left="2160" w:hanging="1440"/>
      </w:pPr>
      <w:r w:rsidRPr="001A7517">
        <w:t>NPDWR</w:t>
      </w:r>
      <w:r w:rsidRPr="001A7517">
        <w:tab/>
        <w:t>National Primary Drinking Water Regulation</w:t>
      </w:r>
    </w:p>
    <w:p w14:paraId="0FB6CE7E" w14:textId="77777777" w:rsidR="00D60A5D" w:rsidRPr="001A7517" w:rsidRDefault="00D60A5D" w:rsidP="00D60A5D">
      <w:pPr>
        <w:ind w:left="2160" w:hanging="1440"/>
      </w:pPr>
      <w:r w:rsidRPr="001A7517">
        <w:t>NTNCWS</w:t>
      </w:r>
      <w:r w:rsidRPr="001A7517">
        <w:tab/>
        <w:t>Non-Transient Non-Community Water System</w:t>
      </w:r>
    </w:p>
    <w:p w14:paraId="731C75A9" w14:textId="77777777" w:rsidR="00D60A5D" w:rsidRPr="001A7517" w:rsidRDefault="00D60A5D" w:rsidP="00D60A5D">
      <w:pPr>
        <w:ind w:left="2160" w:hanging="1440"/>
      </w:pPr>
      <w:r w:rsidRPr="001A7517">
        <w:t>NTU</w:t>
      </w:r>
      <w:r w:rsidRPr="001A7517">
        <w:tab/>
        <w:t>Nephelometric Turbidity Unit</w:t>
      </w:r>
    </w:p>
    <w:p w14:paraId="25DAD5F3" w14:textId="77777777" w:rsidR="00D60A5D" w:rsidRPr="001A7517" w:rsidRDefault="00D60A5D" w:rsidP="00D60A5D">
      <w:pPr>
        <w:ind w:left="2160" w:hanging="1440"/>
      </w:pPr>
      <w:r w:rsidRPr="001A7517">
        <w:t>OGWDW</w:t>
      </w:r>
      <w:r w:rsidRPr="001A7517">
        <w:tab/>
        <w:t>USEPA, Office of Ground Water and Drinking Water</w:t>
      </w:r>
    </w:p>
    <w:p w14:paraId="574E8100" w14:textId="77777777" w:rsidR="00D60A5D" w:rsidRPr="001A7517" w:rsidRDefault="00D60A5D" w:rsidP="00D60A5D">
      <w:pPr>
        <w:ind w:left="2160" w:hanging="1440"/>
      </w:pPr>
      <w:r w:rsidRPr="001A7517">
        <w:t>OW</w:t>
      </w:r>
      <w:r w:rsidRPr="001A7517">
        <w:tab/>
        <w:t>USEPA, Office of Water</w:t>
      </w:r>
    </w:p>
    <w:p w14:paraId="79B7BFE7" w14:textId="77777777" w:rsidR="00D60A5D" w:rsidRPr="001A7517" w:rsidRDefault="00D60A5D" w:rsidP="00D60A5D">
      <w:pPr>
        <w:ind w:left="2160" w:hanging="1440"/>
      </w:pPr>
      <w:r w:rsidRPr="001A7517">
        <w:t>PN</w:t>
      </w:r>
      <w:r w:rsidRPr="001A7517">
        <w:tab/>
        <w:t>Public Notification</w:t>
      </w:r>
    </w:p>
    <w:p w14:paraId="1949F822" w14:textId="77777777" w:rsidR="00D60A5D" w:rsidRPr="001A7517" w:rsidRDefault="00D60A5D" w:rsidP="00D60A5D">
      <w:pPr>
        <w:ind w:left="2160" w:hanging="1440"/>
      </w:pPr>
      <w:r w:rsidRPr="001A7517">
        <w:t>PWS</w:t>
      </w:r>
      <w:r w:rsidRPr="001A7517">
        <w:tab/>
        <w:t>Public Water System</w:t>
      </w:r>
    </w:p>
    <w:p w14:paraId="45C0E387" w14:textId="77777777" w:rsidR="00D60A5D" w:rsidRPr="001A7517" w:rsidRDefault="00D60A5D" w:rsidP="00D60A5D">
      <w:pPr>
        <w:ind w:left="2160" w:hanging="1440"/>
      </w:pPr>
      <w:r w:rsidRPr="001A7517">
        <w:t>SDWA</w:t>
      </w:r>
      <w:r w:rsidRPr="001A7517">
        <w:tab/>
        <w:t>Safe Drinking Water Act</w:t>
      </w:r>
    </w:p>
    <w:p w14:paraId="13E58E35" w14:textId="77777777" w:rsidR="00D60A5D" w:rsidRPr="001A7517" w:rsidRDefault="00D60A5D" w:rsidP="00D60A5D">
      <w:pPr>
        <w:ind w:left="2160" w:hanging="1440"/>
      </w:pPr>
      <w:r w:rsidRPr="001A7517">
        <w:t>SMCL</w:t>
      </w:r>
      <w:r w:rsidRPr="001A7517">
        <w:tab/>
        <w:t>Secondary Maximum Contaminant Level</w:t>
      </w:r>
    </w:p>
    <w:p w14:paraId="688D4AC3" w14:textId="77777777" w:rsidR="00D60A5D" w:rsidRPr="001A7517" w:rsidRDefault="00D60A5D" w:rsidP="00D60A5D">
      <w:pPr>
        <w:ind w:left="2160" w:hanging="1440"/>
      </w:pPr>
      <w:r w:rsidRPr="001A7517">
        <w:t>SOC</w:t>
      </w:r>
      <w:r w:rsidRPr="001A7517">
        <w:tab/>
        <w:t>Synthetic Organic Chemical</w:t>
      </w:r>
    </w:p>
    <w:p w14:paraId="0F7A0DEF" w14:textId="77777777" w:rsidR="00D60A5D" w:rsidRPr="001A7517" w:rsidRDefault="00D60A5D" w:rsidP="00D60A5D">
      <w:pPr>
        <w:ind w:left="2160" w:hanging="1440"/>
      </w:pPr>
      <w:r w:rsidRPr="001A7517">
        <w:t>SWTR</w:t>
      </w:r>
      <w:r w:rsidRPr="001A7517">
        <w:tab/>
        <w:t>Surface Water Treatment Rule</w:t>
      </w:r>
    </w:p>
    <w:p w14:paraId="58753D4C" w14:textId="77777777" w:rsidR="00D60A5D" w:rsidRPr="001A7517" w:rsidRDefault="00D60A5D" w:rsidP="00D60A5D">
      <w:pPr>
        <w:ind w:left="2160" w:hanging="1440"/>
      </w:pPr>
      <w:r w:rsidRPr="001A7517">
        <w:t>TCR</w:t>
      </w:r>
      <w:r w:rsidRPr="001A7517">
        <w:tab/>
        <w:t>Total Coliform Rule</w:t>
      </w:r>
    </w:p>
    <w:p w14:paraId="24BD84A6" w14:textId="77777777" w:rsidR="00D60A5D" w:rsidRPr="001A7517" w:rsidRDefault="00D60A5D" w:rsidP="00D60A5D">
      <w:pPr>
        <w:ind w:left="2160" w:hanging="1440"/>
      </w:pPr>
      <w:r w:rsidRPr="001A7517">
        <w:t>TT</w:t>
      </w:r>
      <w:r w:rsidRPr="001A7517">
        <w:tab/>
        <w:t>Treatment Technique</w:t>
      </w:r>
    </w:p>
    <w:p w14:paraId="15968755" w14:textId="77777777" w:rsidR="00D60A5D" w:rsidRPr="001A7517" w:rsidRDefault="00D60A5D" w:rsidP="00D60A5D">
      <w:pPr>
        <w:ind w:left="2160" w:hanging="1440"/>
      </w:pPr>
      <w:r w:rsidRPr="001A7517">
        <w:t>TWS</w:t>
      </w:r>
      <w:r w:rsidRPr="001A7517">
        <w:tab/>
        <w:t>Transient Non-Community Water System</w:t>
      </w:r>
    </w:p>
    <w:p w14:paraId="4AD2961B" w14:textId="77777777" w:rsidR="00D60A5D" w:rsidRPr="001A7517" w:rsidRDefault="00D60A5D" w:rsidP="00D60A5D">
      <w:pPr>
        <w:ind w:left="2160" w:hanging="1440"/>
      </w:pPr>
      <w:r w:rsidRPr="001A7517">
        <w:t>USEPA</w:t>
      </w:r>
      <w:r w:rsidRPr="001A7517">
        <w:tab/>
        <w:t>United States Environmental Protection Agency</w:t>
      </w:r>
    </w:p>
    <w:p w14:paraId="0BD55591" w14:textId="77777777" w:rsidR="00D60A5D" w:rsidRPr="001A7517" w:rsidRDefault="00D60A5D" w:rsidP="00D60A5D">
      <w:pPr>
        <w:ind w:left="2160" w:hanging="1440"/>
      </w:pPr>
      <w:r w:rsidRPr="001A7517">
        <w:t>VOC</w:t>
      </w:r>
      <w:r w:rsidRPr="001A7517">
        <w:tab/>
        <w:t>Volatile Organic Chemical</w:t>
      </w:r>
    </w:p>
    <w:p w14:paraId="1240414B" w14:textId="77777777" w:rsidR="00D60A5D" w:rsidRPr="001A7517" w:rsidRDefault="00D60A5D" w:rsidP="00D60A5D">
      <w:pPr>
        <w:spacing w:before="240"/>
        <w:rPr>
          <w:spacing w:val="-2"/>
        </w:rPr>
      </w:pPr>
      <w:r w:rsidRPr="001A7517">
        <w:rPr>
          <w:spacing w:val="-2"/>
        </w:rPr>
        <w:t>BOARD NOTE:  Derived from Appendix C to Subpart Q to 40 CFR 141.</w:t>
      </w:r>
    </w:p>
    <w:p w14:paraId="4B6E045B" w14:textId="77777777" w:rsidR="00D60A5D" w:rsidRDefault="00D60A5D" w:rsidP="00D60A5D">
      <w:pPr>
        <w:suppressAutoHyphens/>
        <w:ind w:left="720"/>
      </w:pPr>
    </w:p>
    <w:p w14:paraId="461594C4" w14:textId="7CF483B7" w:rsidR="00D60A5D" w:rsidRDefault="00D60A5D" w:rsidP="00D60A5D">
      <w:pPr>
        <w:suppressAutoHyphens/>
        <w:ind w:left="720"/>
      </w:pPr>
      <w:r w:rsidRPr="001A7517">
        <w:lastRenderedPageBreak/>
        <w:t>(Source:  Amended at 37 Ill. Reg. 1978, effective February 4, 2013)</w:t>
      </w:r>
    </w:p>
    <w:p w14:paraId="5C87AC4D" w14:textId="77777777" w:rsidR="00D60A5D" w:rsidRPr="001A7517" w:rsidRDefault="00D60A5D" w:rsidP="00D60A5D">
      <w:pPr>
        <w:suppressAutoHyphens/>
        <w:ind w:left="720"/>
      </w:pPr>
    </w:p>
    <w:p w14:paraId="44F8F7B9" w14:textId="77777777" w:rsidR="00D60A5D" w:rsidRPr="00D60A5D" w:rsidRDefault="00D60A5D" w:rsidP="00D60A5D">
      <w:pPr>
        <w:rPr>
          <w:b/>
          <w:bCs/>
        </w:rPr>
      </w:pPr>
      <w:r w:rsidRPr="00D60A5D">
        <w:rPr>
          <w:b/>
          <w:bCs/>
        </w:rPr>
        <w:t xml:space="preserve">Section </w:t>
      </w:r>
      <w:bookmarkStart w:id="4555" w:name="_Hlk27063421"/>
      <w:r w:rsidRPr="00D60A5D">
        <w:rPr>
          <w:b/>
          <w:bCs/>
        </w:rPr>
        <w:t>611.TABLE A</w:t>
      </w:r>
      <w:bookmarkEnd w:id="4555"/>
      <w:r w:rsidRPr="00D60A5D">
        <w:rPr>
          <w:b/>
          <w:bCs/>
        </w:rPr>
        <w:t xml:space="preserve">  Total Coliform Monitoring Frequency (Repealed)</w:t>
      </w:r>
    </w:p>
    <w:p w14:paraId="1E4449DA" w14:textId="77777777" w:rsidR="00D60A5D" w:rsidRPr="001A7517" w:rsidRDefault="00D60A5D" w:rsidP="00D60A5D">
      <w:pPr>
        <w:suppressAutoHyphens/>
      </w:pPr>
    </w:p>
    <w:p w14:paraId="3CD1FB46" w14:textId="56AA0115" w:rsidR="00D60A5D" w:rsidRDefault="00D60A5D" w:rsidP="00D60A5D">
      <w:pPr>
        <w:suppressAutoHyphens/>
        <w:ind w:left="720"/>
      </w:pPr>
      <w:r w:rsidRPr="001A7517">
        <w:t>(Source:  Repeal</w:t>
      </w:r>
      <w:r w:rsidRPr="001A7517">
        <w:rPr>
          <w:szCs w:val="17"/>
        </w:rPr>
        <w:t xml:space="preserve">ed at </w:t>
      </w:r>
      <w:r w:rsidRPr="001A7517">
        <w:t>44 Ill. Reg. 6996, effective April 17, 2020)</w:t>
      </w:r>
    </w:p>
    <w:p w14:paraId="52F85D4B" w14:textId="77777777" w:rsidR="00D60A5D" w:rsidRPr="001A7517" w:rsidRDefault="00D60A5D" w:rsidP="00D60A5D">
      <w:pPr>
        <w:suppressAutoHyphens/>
        <w:ind w:left="720"/>
      </w:pPr>
    </w:p>
    <w:p w14:paraId="5EA1866B" w14:textId="1D1FD7D8" w:rsidR="00D60A5D" w:rsidRPr="00D60A5D" w:rsidRDefault="00D60A5D" w:rsidP="00D60A5D">
      <w:pPr>
        <w:rPr>
          <w:b/>
          <w:bCs/>
        </w:rPr>
      </w:pPr>
      <w:r w:rsidRPr="00D60A5D">
        <w:rPr>
          <w:b/>
          <w:bCs/>
        </w:rPr>
        <w:t>Section 611.TABLE B  Fecal or Total Coliform Density Measurements</w:t>
      </w:r>
    </w:p>
    <w:p w14:paraId="69A84BE3" w14:textId="77777777" w:rsidR="00D60A5D" w:rsidRPr="00D60A5D" w:rsidRDefault="00D60A5D" w:rsidP="00D60A5D">
      <w:pPr>
        <w:rPr>
          <w:b/>
          <w:bCs/>
        </w:rPr>
      </w:pPr>
    </w:p>
    <w:tbl>
      <w:tblPr>
        <w:tblW w:w="5760" w:type="dxa"/>
        <w:tblInd w:w="1440" w:type="dxa"/>
        <w:tblLayout w:type="fixed"/>
        <w:tblCellMar>
          <w:top w:w="115" w:type="dxa"/>
          <w:left w:w="115" w:type="dxa"/>
          <w:bottom w:w="115" w:type="dxa"/>
          <w:right w:w="115" w:type="dxa"/>
        </w:tblCellMar>
        <w:tblLook w:val="0000" w:firstRow="0" w:lastRow="0" w:firstColumn="0" w:lastColumn="0" w:noHBand="0" w:noVBand="0"/>
      </w:tblPr>
      <w:tblGrid>
        <w:gridCol w:w="1296"/>
        <w:gridCol w:w="720"/>
        <w:gridCol w:w="1296"/>
        <w:gridCol w:w="2448"/>
      </w:tblGrid>
      <w:tr w:rsidR="00D60A5D" w:rsidRPr="001A7517" w14:paraId="4DB2636E" w14:textId="77777777" w:rsidTr="00623210">
        <w:tc>
          <w:tcPr>
            <w:tcW w:w="3312" w:type="dxa"/>
            <w:gridSpan w:val="3"/>
            <w:vAlign w:val="bottom"/>
          </w:tcPr>
          <w:p w14:paraId="75AE967A" w14:textId="77777777" w:rsidR="00D60A5D" w:rsidRPr="001A7517" w:rsidRDefault="00D60A5D" w:rsidP="00623210">
            <w:pPr>
              <w:keepNext/>
              <w:keepLines/>
              <w:suppressAutoHyphens/>
            </w:pPr>
            <w:r w:rsidRPr="001A7517">
              <w:t>System Size (Persons Served)</w:t>
            </w:r>
          </w:p>
        </w:tc>
        <w:tc>
          <w:tcPr>
            <w:tcW w:w="2448" w:type="dxa"/>
          </w:tcPr>
          <w:p w14:paraId="45CFBDD5" w14:textId="77777777" w:rsidR="00D60A5D" w:rsidRPr="001A7517" w:rsidRDefault="00D60A5D" w:rsidP="00623210">
            <w:pPr>
              <w:keepNext/>
              <w:keepLines/>
              <w:suppressAutoHyphens/>
              <w:jc w:val="center"/>
            </w:pPr>
            <w:r w:rsidRPr="001A7517">
              <w:t>Samples per Week</w:t>
            </w:r>
          </w:p>
        </w:tc>
      </w:tr>
      <w:tr w:rsidR="00D60A5D" w:rsidRPr="001A7517" w14:paraId="3D077C52" w14:textId="77777777" w:rsidTr="00623210">
        <w:tc>
          <w:tcPr>
            <w:tcW w:w="1296" w:type="dxa"/>
          </w:tcPr>
          <w:p w14:paraId="4F9D3EA3" w14:textId="77777777" w:rsidR="00D60A5D" w:rsidRPr="001A7517" w:rsidRDefault="00D60A5D" w:rsidP="00623210">
            <w:pPr>
              <w:suppressAutoHyphens/>
            </w:pPr>
            <w:r w:rsidRPr="001A7517">
              <w:t>500</w:t>
            </w:r>
          </w:p>
        </w:tc>
        <w:tc>
          <w:tcPr>
            <w:tcW w:w="720" w:type="dxa"/>
          </w:tcPr>
          <w:p w14:paraId="5E78DE96" w14:textId="77777777" w:rsidR="00D60A5D" w:rsidRPr="001A7517" w:rsidRDefault="00D60A5D" w:rsidP="00623210">
            <w:pPr>
              <w:suppressAutoHyphens/>
            </w:pPr>
            <w:r w:rsidRPr="001A7517">
              <w:t>or</w:t>
            </w:r>
          </w:p>
        </w:tc>
        <w:tc>
          <w:tcPr>
            <w:tcW w:w="1296" w:type="dxa"/>
          </w:tcPr>
          <w:p w14:paraId="5E00057E" w14:textId="77777777" w:rsidR="00D60A5D" w:rsidRPr="001A7517" w:rsidRDefault="00D60A5D" w:rsidP="00623210">
            <w:pPr>
              <w:suppressAutoHyphens/>
            </w:pPr>
            <w:r w:rsidRPr="001A7517">
              <w:t>fewer</w:t>
            </w:r>
          </w:p>
        </w:tc>
        <w:tc>
          <w:tcPr>
            <w:tcW w:w="2448" w:type="dxa"/>
            <w:vAlign w:val="bottom"/>
          </w:tcPr>
          <w:p w14:paraId="41DFAD48" w14:textId="77777777" w:rsidR="00D60A5D" w:rsidRPr="001A7517" w:rsidRDefault="00D60A5D" w:rsidP="00623210">
            <w:pPr>
              <w:suppressAutoHyphens/>
              <w:jc w:val="center"/>
            </w:pPr>
            <w:r w:rsidRPr="001A7517">
              <w:t>1</w:t>
            </w:r>
          </w:p>
        </w:tc>
      </w:tr>
      <w:tr w:rsidR="00D60A5D" w:rsidRPr="001A7517" w14:paraId="05CF96ED" w14:textId="77777777" w:rsidTr="00623210">
        <w:tc>
          <w:tcPr>
            <w:tcW w:w="1296" w:type="dxa"/>
          </w:tcPr>
          <w:p w14:paraId="63393578" w14:textId="77777777" w:rsidR="00D60A5D" w:rsidRPr="001A7517" w:rsidRDefault="00D60A5D" w:rsidP="00623210">
            <w:pPr>
              <w:suppressAutoHyphens/>
            </w:pPr>
            <w:r w:rsidRPr="001A7517">
              <w:t>501</w:t>
            </w:r>
          </w:p>
        </w:tc>
        <w:tc>
          <w:tcPr>
            <w:tcW w:w="720" w:type="dxa"/>
          </w:tcPr>
          <w:p w14:paraId="24C53B13" w14:textId="77777777" w:rsidR="00D60A5D" w:rsidRPr="001A7517" w:rsidRDefault="00D60A5D" w:rsidP="00623210">
            <w:pPr>
              <w:suppressAutoHyphens/>
            </w:pPr>
            <w:r w:rsidRPr="001A7517">
              <w:t>to</w:t>
            </w:r>
          </w:p>
        </w:tc>
        <w:tc>
          <w:tcPr>
            <w:tcW w:w="1296" w:type="dxa"/>
          </w:tcPr>
          <w:p w14:paraId="3D7812C2" w14:textId="77777777" w:rsidR="00D60A5D" w:rsidRPr="001A7517" w:rsidRDefault="00D60A5D" w:rsidP="00623210">
            <w:pPr>
              <w:suppressAutoHyphens/>
            </w:pPr>
            <w:r w:rsidRPr="001A7517">
              <w:t>3300</w:t>
            </w:r>
          </w:p>
        </w:tc>
        <w:tc>
          <w:tcPr>
            <w:tcW w:w="2448" w:type="dxa"/>
            <w:vAlign w:val="bottom"/>
          </w:tcPr>
          <w:p w14:paraId="42746190" w14:textId="77777777" w:rsidR="00D60A5D" w:rsidRPr="001A7517" w:rsidRDefault="00D60A5D" w:rsidP="00623210">
            <w:pPr>
              <w:suppressAutoHyphens/>
              <w:jc w:val="center"/>
            </w:pPr>
            <w:r w:rsidRPr="001A7517">
              <w:t>2</w:t>
            </w:r>
          </w:p>
        </w:tc>
      </w:tr>
      <w:tr w:rsidR="00D60A5D" w:rsidRPr="001A7517" w14:paraId="1FF57B60" w14:textId="77777777" w:rsidTr="00623210">
        <w:tc>
          <w:tcPr>
            <w:tcW w:w="1296" w:type="dxa"/>
          </w:tcPr>
          <w:p w14:paraId="07DDABC3" w14:textId="77777777" w:rsidR="00D60A5D" w:rsidRPr="001A7517" w:rsidRDefault="00D60A5D" w:rsidP="00623210">
            <w:pPr>
              <w:suppressAutoHyphens/>
            </w:pPr>
            <w:r w:rsidRPr="001A7517">
              <w:t>3301</w:t>
            </w:r>
          </w:p>
        </w:tc>
        <w:tc>
          <w:tcPr>
            <w:tcW w:w="720" w:type="dxa"/>
          </w:tcPr>
          <w:p w14:paraId="5E130B04" w14:textId="77777777" w:rsidR="00D60A5D" w:rsidRPr="001A7517" w:rsidRDefault="00D60A5D" w:rsidP="00623210">
            <w:pPr>
              <w:suppressAutoHyphens/>
            </w:pPr>
            <w:r w:rsidRPr="001A7517">
              <w:t>to</w:t>
            </w:r>
          </w:p>
        </w:tc>
        <w:tc>
          <w:tcPr>
            <w:tcW w:w="1296" w:type="dxa"/>
          </w:tcPr>
          <w:p w14:paraId="1B9A749E" w14:textId="77777777" w:rsidR="00D60A5D" w:rsidRPr="001A7517" w:rsidRDefault="00D60A5D" w:rsidP="00623210">
            <w:pPr>
              <w:suppressAutoHyphens/>
            </w:pPr>
            <w:r w:rsidRPr="001A7517">
              <w:t>10,000</w:t>
            </w:r>
          </w:p>
        </w:tc>
        <w:tc>
          <w:tcPr>
            <w:tcW w:w="2448" w:type="dxa"/>
            <w:vAlign w:val="bottom"/>
          </w:tcPr>
          <w:p w14:paraId="0F7894EA" w14:textId="77777777" w:rsidR="00D60A5D" w:rsidRPr="001A7517" w:rsidRDefault="00D60A5D" w:rsidP="00623210">
            <w:pPr>
              <w:suppressAutoHyphens/>
              <w:jc w:val="center"/>
            </w:pPr>
            <w:r w:rsidRPr="001A7517">
              <w:t>3</w:t>
            </w:r>
          </w:p>
        </w:tc>
      </w:tr>
      <w:tr w:rsidR="00D60A5D" w:rsidRPr="001A7517" w14:paraId="0646A32E" w14:textId="77777777" w:rsidTr="00623210">
        <w:tc>
          <w:tcPr>
            <w:tcW w:w="1296" w:type="dxa"/>
          </w:tcPr>
          <w:p w14:paraId="278AC55A" w14:textId="77777777" w:rsidR="00D60A5D" w:rsidRPr="001A7517" w:rsidRDefault="00D60A5D" w:rsidP="00623210">
            <w:pPr>
              <w:suppressAutoHyphens/>
            </w:pPr>
            <w:r w:rsidRPr="001A7517">
              <w:t>10,001</w:t>
            </w:r>
          </w:p>
        </w:tc>
        <w:tc>
          <w:tcPr>
            <w:tcW w:w="720" w:type="dxa"/>
          </w:tcPr>
          <w:p w14:paraId="11C1DF5F" w14:textId="77777777" w:rsidR="00D60A5D" w:rsidRPr="001A7517" w:rsidRDefault="00D60A5D" w:rsidP="00623210">
            <w:pPr>
              <w:suppressAutoHyphens/>
            </w:pPr>
            <w:r w:rsidRPr="001A7517">
              <w:t>to</w:t>
            </w:r>
          </w:p>
        </w:tc>
        <w:tc>
          <w:tcPr>
            <w:tcW w:w="1296" w:type="dxa"/>
          </w:tcPr>
          <w:p w14:paraId="55A2F289" w14:textId="77777777" w:rsidR="00D60A5D" w:rsidRPr="001A7517" w:rsidRDefault="00D60A5D" w:rsidP="00623210">
            <w:pPr>
              <w:suppressAutoHyphens/>
            </w:pPr>
            <w:r w:rsidRPr="001A7517">
              <w:t>25,000</w:t>
            </w:r>
          </w:p>
        </w:tc>
        <w:tc>
          <w:tcPr>
            <w:tcW w:w="2448" w:type="dxa"/>
            <w:vAlign w:val="bottom"/>
          </w:tcPr>
          <w:p w14:paraId="673F665B" w14:textId="77777777" w:rsidR="00D60A5D" w:rsidRPr="001A7517" w:rsidRDefault="00D60A5D" w:rsidP="00623210">
            <w:pPr>
              <w:suppressAutoHyphens/>
              <w:jc w:val="center"/>
            </w:pPr>
            <w:r w:rsidRPr="001A7517">
              <w:t>4</w:t>
            </w:r>
          </w:p>
        </w:tc>
      </w:tr>
      <w:tr w:rsidR="00D60A5D" w:rsidRPr="001A7517" w14:paraId="6A6C219F" w14:textId="77777777" w:rsidTr="00623210">
        <w:tc>
          <w:tcPr>
            <w:tcW w:w="1296" w:type="dxa"/>
          </w:tcPr>
          <w:p w14:paraId="5EEEC153" w14:textId="77777777" w:rsidR="00D60A5D" w:rsidRPr="001A7517" w:rsidRDefault="00D60A5D" w:rsidP="00623210">
            <w:pPr>
              <w:suppressAutoHyphens/>
            </w:pPr>
            <w:r w:rsidRPr="001A7517">
              <w:t>More</w:t>
            </w:r>
          </w:p>
        </w:tc>
        <w:tc>
          <w:tcPr>
            <w:tcW w:w="720" w:type="dxa"/>
          </w:tcPr>
          <w:p w14:paraId="087B6E0A" w14:textId="77777777" w:rsidR="00D60A5D" w:rsidRPr="001A7517" w:rsidRDefault="00D60A5D" w:rsidP="00623210">
            <w:pPr>
              <w:suppressAutoHyphens/>
            </w:pPr>
            <w:r w:rsidRPr="001A7517">
              <w:t>than</w:t>
            </w:r>
          </w:p>
        </w:tc>
        <w:tc>
          <w:tcPr>
            <w:tcW w:w="1296" w:type="dxa"/>
          </w:tcPr>
          <w:p w14:paraId="023923CB" w14:textId="77777777" w:rsidR="00D60A5D" w:rsidRPr="001A7517" w:rsidRDefault="00D60A5D" w:rsidP="00623210">
            <w:pPr>
              <w:suppressAutoHyphens/>
            </w:pPr>
            <w:r w:rsidRPr="001A7517">
              <w:t>25,000</w:t>
            </w:r>
          </w:p>
        </w:tc>
        <w:tc>
          <w:tcPr>
            <w:tcW w:w="2448" w:type="dxa"/>
            <w:vAlign w:val="bottom"/>
          </w:tcPr>
          <w:p w14:paraId="651ED206" w14:textId="77777777" w:rsidR="00D60A5D" w:rsidRPr="001A7517" w:rsidRDefault="00D60A5D" w:rsidP="00623210">
            <w:pPr>
              <w:suppressAutoHyphens/>
              <w:jc w:val="center"/>
            </w:pPr>
            <w:r w:rsidRPr="001A7517">
              <w:t>5</w:t>
            </w:r>
          </w:p>
        </w:tc>
      </w:tr>
    </w:tbl>
    <w:p w14:paraId="5152C1C1" w14:textId="77777777" w:rsidR="00D60A5D" w:rsidRPr="001A7517" w:rsidRDefault="00D60A5D" w:rsidP="00D60A5D">
      <w:pPr>
        <w:suppressAutoHyphens/>
        <w:spacing w:before="240"/>
      </w:pPr>
      <w:r w:rsidRPr="001A7517">
        <w:t>Samples must be taken on separate days.</w:t>
      </w:r>
    </w:p>
    <w:p w14:paraId="6EDFDFA7" w14:textId="77777777" w:rsidR="00D60A5D" w:rsidRPr="001A7517" w:rsidRDefault="00D60A5D" w:rsidP="00D60A5D">
      <w:pPr>
        <w:suppressAutoHyphens/>
        <w:spacing w:before="240"/>
      </w:pPr>
      <w:r w:rsidRPr="001A7517">
        <w:t>BOARD NOTE:  Derived from 40 CFR 141.74(b)(1).</w:t>
      </w:r>
    </w:p>
    <w:p w14:paraId="1D940201" w14:textId="77777777" w:rsidR="00D60A5D" w:rsidRPr="001A7517" w:rsidRDefault="00D60A5D" w:rsidP="00D60A5D">
      <w:pPr>
        <w:suppressAutoHyphens/>
        <w:spacing w:before="240"/>
        <w:ind w:left="720"/>
      </w:pPr>
      <w:r w:rsidRPr="001A7517">
        <w:t>(Source:  Amended at 37 Ill. Reg. 1978, effective February 4, 2013)</w:t>
      </w:r>
    </w:p>
    <w:p w14:paraId="521DAF69" w14:textId="77777777" w:rsidR="00D60A5D" w:rsidRPr="001A7517" w:rsidRDefault="00D60A5D" w:rsidP="00D60A5D">
      <w:pPr>
        <w:keepNext/>
        <w:keepLines/>
        <w:suppressAutoHyphens/>
        <w:spacing w:before="240" w:after="240"/>
        <w:rPr>
          <w:b/>
        </w:rPr>
      </w:pPr>
      <w:bookmarkStart w:id="4556" w:name="_Hlk26293519"/>
      <w:r w:rsidRPr="001A7517">
        <w:rPr>
          <w:b/>
        </w:rPr>
        <w:t>Section 611.TABLE C  Frequency of RDC Measurement</w:t>
      </w:r>
    </w:p>
    <w:tbl>
      <w:tblPr>
        <w:tblW w:w="5760" w:type="dxa"/>
        <w:tblInd w:w="1440" w:type="dxa"/>
        <w:tblLayout w:type="fixed"/>
        <w:tblCellMar>
          <w:top w:w="115" w:type="dxa"/>
          <w:left w:w="115" w:type="dxa"/>
          <w:bottom w:w="115" w:type="dxa"/>
          <w:right w:w="115" w:type="dxa"/>
        </w:tblCellMar>
        <w:tblLook w:val="0000" w:firstRow="0" w:lastRow="0" w:firstColumn="0" w:lastColumn="0" w:noHBand="0" w:noVBand="0"/>
      </w:tblPr>
      <w:tblGrid>
        <w:gridCol w:w="1296"/>
        <w:gridCol w:w="720"/>
        <w:gridCol w:w="1296"/>
        <w:gridCol w:w="2448"/>
      </w:tblGrid>
      <w:tr w:rsidR="00D60A5D" w:rsidRPr="001A7517" w14:paraId="3829616B" w14:textId="77777777" w:rsidTr="00623210">
        <w:tc>
          <w:tcPr>
            <w:tcW w:w="3312" w:type="dxa"/>
            <w:gridSpan w:val="3"/>
            <w:vAlign w:val="bottom"/>
          </w:tcPr>
          <w:p w14:paraId="57DF412F" w14:textId="77777777" w:rsidR="00D60A5D" w:rsidRPr="001A7517" w:rsidRDefault="00D60A5D" w:rsidP="00623210">
            <w:pPr>
              <w:keepNext/>
              <w:keepLines/>
              <w:suppressAutoHyphens/>
            </w:pPr>
            <w:r w:rsidRPr="001A7517">
              <w:t>System Size (Persons Served)</w:t>
            </w:r>
          </w:p>
        </w:tc>
        <w:tc>
          <w:tcPr>
            <w:tcW w:w="2448" w:type="dxa"/>
          </w:tcPr>
          <w:p w14:paraId="2AD49373" w14:textId="77777777" w:rsidR="00D60A5D" w:rsidRPr="001A7517" w:rsidRDefault="00D60A5D" w:rsidP="00623210">
            <w:pPr>
              <w:keepNext/>
              <w:keepLines/>
              <w:suppressAutoHyphens/>
              <w:jc w:val="center"/>
            </w:pPr>
            <w:r w:rsidRPr="001A7517">
              <w:t>Samples per Day</w:t>
            </w:r>
          </w:p>
        </w:tc>
      </w:tr>
      <w:tr w:rsidR="00D60A5D" w:rsidRPr="001A7517" w14:paraId="7BAB7C3D" w14:textId="77777777" w:rsidTr="00623210">
        <w:tc>
          <w:tcPr>
            <w:tcW w:w="1296" w:type="dxa"/>
          </w:tcPr>
          <w:p w14:paraId="268B1A04" w14:textId="77777777" w:rsidR="00D60A5D" w:rsidRPr="001A7517" w:rsidRDefault="00D60A5D" w:rsidP="00623210">
            <w:pPr>
              <w:suppressAutoHyphens/>
            </w:pPr>
            <w:r w:rsidRPr="001A7517">
              <w:t>500</w:t>
            </w:r>
          </w:p>
        </w:tc>
        <w:tc>
          <w:tcPr>
            <w:tcW w:w="720" w:type="dxa"/>
          </w:tcPr>
          <w:p w14:paraId="4171E49E" w14:textId="77777777" w:rsidR="00D60A5D" w:rsidRPr="001A7517" w:rsidRDefault="00D60A5D" w:rsidP="00623210">
            <w:pPr>
              <w:suppressAutoHyphens/>
            </w:pPr>
            <w:r w:rsidRPr="001A7517">
              <w:t>or</w:t>
            </w:r>
          </w:p>
        </w:tc>
        <w:tc>
          <w:tcPr>
            <w:tcW w:w="1296" w:type="dxa"/>
          </w:tcPr>
          <w:p w14:paraId="495C6115" w14:textId="77777777" w:rsidR="00D60A5D" w:rsidRPr="001A7517" w:rsidRDefault="00D60A5D" w:rsidP="00623210">
            <w:pPr>
              <w:suppressAutoHyphens/>
            </w:pPr>
            <w:r w:rsidRPr="001A7517">
              <w:t>fewer</w:t>
            </w:r>
          </w:p>
        </w:tc>
        <w:tc>
          <w:tcPr>
            <w:tcW w:w="2448" w:type="dxa"/>
            <w:vAlign w:val="bottom"/>
          </w:tcPr>
          <w:p w14:paraId="78053ABE" w14:textId="77777777" w:rsidR="00D60A5D" w:rsidRPr="001A7517" w:rsidRDefault="00D60A5D" w:rsidP="00623210">
            <w:pPr>
              <w:suppressAutoHyphens/>
              <w:jc w:val="center"/>
            </w:pPr>
            <w:r w:rsidRPr="001A7517">
              <w:t>1</w:t>
            </w:r>
          </w:p>
        </w:tc>
      </w:tr>
      <w:tr w:rsidR="00D60A5D" w:rsidRPr="001A7517" w14:paraId="19289DBF" w14:textId="77777777" w:rsidTr="00623210">
        <w:tc>
          <w:tcPr>
            <w:tcW w:w="1296" w:type="dxa"/>
          </w:tcPr>
          <w:p w14:paraId="7CCA1BAE" w14:textId="77777777" w:rsidR="00D60A5D" w:rsidRPr="001A7517" w:rsidRDefault="00D60A5D" w:rsidP="00623210">
            <w:pPr>
              <w:suppressAutoHyphens/>
            </w:pPr>
            <w:r w:rsidRPr="001A7517">
              <w:t>501</w:t>
            </w:r>
          </w:p>
        </w:tc>
        <w:tc>
          <w:tcPr>
            <w:tcW w:w="720" w:type="dxa"/>
          </w:tcPr>
          <w:p w14:paraId="7094D539" w14:textId="77777777" w:rsidR="00D60A5D" w:rsidRPr="001A7517" w:rsidRDefault="00D60A5D" w:rsidP="00623210">
            <w:pPr>
              <w:suppressAutoHyphens/>
            </w:pPr>
            <w:r w:rsidRPr="001A7517">
              <w:t>to</w:t>
            </w:r>
          </w:p>
        </w:tc>
        <w:tc>
          <w:tcPr>
            <w:tcW w:w="1296" w:type="dxa"/>
          </w:tcPr>
          <w:p w14:paraId="18C4E505" w14:textId="77777777" w:rsidR="00D60A5D" w:rsidRPr="001A7517" w:rsidRDefault="00D60A5D" w:rsidP="00623210">
            <w:pPr>
              <w:suppressAutoHyphens/>
            </w:pPr>
            <w:r w:rsidRPr="001A7517">
              <w:t>1,000</w:t>
            </w:r>
          </w:p>
        </w:tc>
        <w:tc>
          <w:tcPr>
            <w:tcW w:w="2448" w:type="dxa"/>
            <w:vAlign w:val="bottom"/>
          </w:tcPr>
          <w:p w14:paraId="5492A74A" w14:textId="77777777" w:rsidR="00D60A5D" w:rsidRPr="001A7517" w:rsidRDefault="00D60A5D" w:rsidP="00623210">
            <w:pPr>
              <w:suppressAutoHyphens/>
              <w:jc w:val="center"/>
            </w:pPr>
            <w:r w:rsidRPr="001A7517">
              <w:t>2</w:t>
            </w:r>
          </w:p>
        </w:tc>
      </w:tr>
      <w:tr w:rsidR="00D60A5D" w:rsidRPr="001A7517" w14:paraId="6DD9E9B1" w14:textId="77777777" w:rsidTr="00623210">
        <w:tc>
          <w:tcPr>
            <w:tcW w:w="1296" w:type="dxa"/>
          </w:tcPr>
          <w:p w14:paraId="46387663" w14:textId="77777777" w:rsidR="00D60A5D" w:rsidRPr="001A7517" w:rsidRDefault="00D60A5D" w:rsidP="00623210">
            <w:pPr>
              <w:suppressAutoHyphens/>
            </w:pPr>
            <w:r w:rsidRPr="001A7517">
              <w:t>1001</w:t>
            </w:r>
          </w:p>
        </w:tc>
        <w:tc>
          <w:tcPr>
            <w:tcW w:w="720" w:type="dxa"/>
          </w:tcPr>
          <w:p w14:paraId="7F22912C" w14:textId="77777777" w:rsidR="00D60A5D" w:rsidRPr="001A7517" w:rsidRDefault="00D60A5D" w:rsidP="00623210">
            <w:pPr>
              <w:suppressAutoHyphens/>
            </w:pPr>
            <w:r w:rsidRPr="001A7517">
              <w:t>to</w:t>
            </w:r>
          </w:p>
        </w:tc>
        <w:tc>
          <w:tcPr>
            <w:tcW w:w="1296" w:type="dxa"/>
          </w:tcPr>
          <w:p w14:paraId="6C2843B0" w14:textId="77777777" w:rsidR="00D60A5D" w:rsidRPr="001A7517" w:rsidRDefault="00D60A5D" w:rsidP="00623210">
            <w:pPr>
              <w:suppressAutoHyphens/>
            </w:pPr>
            <w:r w:rsidRPr="001A7517">
              <w:t>2,500</w:t>
            </w:r>
          </w:p>
        </w:tc>
        <w:tc>
          <w:tcPr>
            <w:tcW w:w="2448" w:type="dxa"/>
            <w:vAlign w:val="bottom"/>
          </w:tcPr>
          <w:p w14:paraId="5FB996C5" w14:textId="77777777" w:rsidR="00D60A5D" w:rsidRPr="001A7517" w:rsidRDefault="00D60A5D" w:rsidP="00623210">
            <w:pPr>
              <w:suppressAutoHyphens/>
              <w:jc w:val="center"/>
            </w:pPr>
            <w:r w:rsidRPr="001A7517">
              <w:t>3</w:t>
            </w:r>
          </w:p>
        </w:tc>
      </w:tr>
      <w:tr w:rsidR="00D60A5D" w:rsidRPr="001A7517" w14:paraId="5B71CB59" w14:textId="77777777" w:rsidTr="00623210">
        <w:tc>
          <w:tcPr>
            <w:tcW w:w="1296" w:type="dxa"/>
          </w:tcPr>
          <w:p w14:paraId="5BE71B3E" w14:textId="77777777" w:rsidR="00D60A5D" w:rsidRPr="001A7517" w:rsidRDefault="00D60A5D" w:rsidP="00623210">
            <w:pPr>
              <w:suppressAutoHyphens/>
            </w:pPr>
            <w:r w:rsidRPr="001A7517">
              <w:t>2501</w:t>
            </w:r>
          </w:p>
        </w:tc>
        <w:tc>
          <w:tcPr>
            <w:tcW w:w="720" w:type="dxa"/>
          </w:tcPr>
          <w:p w14:paraId="4C0D01C0" w14:textId="77777777" w:rsidR="00D60A5D" w:rsidRPr="001A7517" w:rsidRDefault="00D60A5D" w:rsidP="00623210">
            <w:pPr>
              <w:suppressAutoHyphens/>
            </w:pPr>
            <w:r w:rsidRPr="001A7517">
              <w:t xml:space="preserve">to </w:t>
            </w:r>
          </w:p>
        </w:tc>
        <w:tc>
          <w:tcPr>
            <w:tcW w:w="1296" w:type="dxa"/>
          </w:tcPr>
          <w:p w14:paraId="2A08EFA1" w14:textId="77777777" w:rsidR="00D60A5D" w:rsidRPr="001A7517" w:rsidRDefault="00D60A5D" w:rsidP="00623210">
            <w:pPr>
              <w:suppressAutoHyphens/>
            </w:pPr>
            <w:r w:rsidRPr="001A7517">
              <w:t>3,300</w:t>
            </w:r>
          </w:p>
        </w:tc>
        <w:tc>
          <w:tcPr>
            <w:tcW w:w="2448" w:type="dxa"/>
            <w:vAlign w:val="bottom"/>
          </w:tcPr>
          <w:p w14:paraId="33DDB4E7" w14:textId="77777777" w:rsidR="00D60A5D" w:rsidRPr="001A7517" w:rsidRDefault="00D60A5D" w:rsidP="00623210">
            <w:pPr>
              <w:suppressAutoHyphens/>
              <w:jc w:val="center"/>
            </w:pPr>
            <w:r w:rsidRPr="001A7517">
              <w:t>4</w:t>
            </w:r>
          </w:p>
        </w:tc>
      </w:tr>
    </w:tbl>
    <w:p w14:paraId="3792EF79" w14:textId="77777777" w:rsidR="00D60A5D" w:rsidRPr="001A7517" w:rsidRDefault="00D60A5D" w:rsidP="00D60A5D">
      <w:pPr>
        <w:suppressAutoHyphens/>
        <w:spacing w:before="240"/>
      </w:pPr>
      <w:r w:rsidRPr="001A7517">
        <w:t>The day’s samples cannot be taken at the same time.  The sampling intervals are subject to Agency review and approval by a SEP.</w:t>
      </w:r>
    </w:p>
    <w:p w14:paraId="1AF9BC24" w14:textId="77777777" w:rsidR="00D60A5D" w:rsidRPr="001A7517" w:rsidRDefault="00D60A5D" w:rsidP="00D60A5D">
      <w:pPr>
        <w:suppressAutoHyphens/>
        <w:spacing w:before="240"/>
      </w:pPr>
      <w:r w:rsidRPr="001A7517">
        <w:t>BOARD NOTE:  Derived from 40 CFR 141.74(b)(5) and (c)(2).</w:t>
      </w:r>
    </w:p>
    <w:p w14:paraId="79B379FB" w14:textId="77777777" w:rsidR="00D60A5D" w:rsidRPr="001A7517" w:rsidRDefault="00D60A5D" w:rsidP="00D60A5D">
      <w:pPr>
        <w:suppressAutoHyphens/>
        <w:spacing w:before="240"/>
        <w:ind w:left="720"/>
      </w:pPr>
      <w:r w:rsidRPr="001A7517">
        <w:t>(Source:  Amended at 37 Ill. Reg. 1978, effective February 4, 2013)</w:t>
      </w:r>
    </w:p>
    <w:bookmarkEnd w:id="4556"/>
    <w:p w14:paraId="755B8845" w14:textId="77777777" w:rsidR="00D60A5D" w:rsidRPr="001A7517" w:rsidRDefault="00D60A5D" w:rsidP="00D60A5D">
      <w:pPr>
        <w:keepNext/>
        <w:keepLines/>
        <w:tabs>
          <w:tab w:val="left" w:pos="2160"/>
        </w:tabs>
        <w:suppressAutoHyphens/>
        <w:spacing w:before="240" w:after="240"/>
        <w:rPr>
          <w:b/>
        </w:rPr>
      </w:pPr>
      <w:r w:rsidRPr="001A7517">
        <w:rPr>
          <w:b/>
        </w:rPr>
        <w:lastRenderedPageBreak/>
        <w:t>Section 611.TABLE D  Number of Lead and Copper Monitoring Sites</w:t>
      </w:r>
    </w:p>
    <w:tbl>
      <w:tblPr>
        <w:tblW w:w="0" w:type="auto"/>
        <w:tblLayout w:type="fixed"/>
        <w:tblCellMar>
          <w:top w:w="115" w:type="dxa"/>
          <w:left w:w="115" w:type="dxa"/>
          <w:bottom w:w="115" w:type="dxa"/>
          <w:right w:w="115" w:type="dxa"/>
        </w:tblCellMar>
        <w:tblLook w:val="0000" w:firstRow="0" w:lastRow="0" w:firstColumn="0" w:lastColumn="0" w:noHBand="0" w:noVBand="0"/>
      </w:tblPr>
      <w:tblGrid>
        <w:gridCol w:w="3192"/>
        <w:gridCol w:w="3192"/>
        <w:gridCol w:w="3192"/>
      </w:tblGrid>
      <w:tr w:rsidR="00D60A5D" w:rsidRPr="001A7517" w14:paraId="7D517D98" w14:textId="77777777" w:rsidTr="00623210">
        <w:tc>
          <w:tcPr>
            <w:tcW w:w="3192" w:type="dxa"/>
          </w:tcPr>
          <w:p w14:paraId="5387A318" w14:textId="77777777" w:rsidR="00D60A5D" w:rsidRPr="001A7517" w:rsidRDefault="00D60A5D" w:rsidP="00623210">
            <w:pPr>
              <w:keepNext/>
              <w:keepLines/>
              <w:suppressAutoHyphens/>
            </w:pPr>
            <w:r w:rsidRPr="001A7517">
              <w:t>System Size (Persons Served)</w:t>
            </w:r>
          </w:p>
        </w:tc>
        <w:tc>
          <w:tcPr>
            <w:tcW w:w="3192" w:type="dxa"/>
          </w:tcPr>
          <w:p w14:paraId="1588BC71" w14:textId="77777777" w:rsidR="00D60A5D" w:rsidRPr="001A7517" w:rsidRDefault="00D60A5D" w:rsidP="00623210">
            <w:pPr>
              <w:keepNext/>
              <w:keepLines/>
              <w:suppressAutoHyphens/>
            </w:pPr>
            <w:r w:rsidRPr="001A7517">
              <w:t>Number of Sites (Standard Monitoring)</w:t>
            </w:r>
          </w:p>
        </w:tc>
        <w:tc>
          <w:tcPr>
            <w:tcW w:w="3192" w:type="dxa"/>
          </w:tcPr>
          <w:p w14:paraId="39B20408" w14:textId="77777777" w:rsidR="00D60A5D" w:rsidRPr="001A7517" w:rsidRDefault="00D60A5D" w:rsidP="00623210">
            <w:pPr>
              <w:keepNext/>
              <w:keepLines/>
              <w:suppressAutoHyphens/>
            </w:pPr>
            <w:r w:rsidRPr="001A7517">
              <w:t>Number of Sites (Reduced Monitoring)</w:t>
            </w:r>
          </w:p>
        </w:tc>
      </w:tr>
      <w:tr w:rsidR="00D60A5D" w:rsidRPr="001A7517" w14:paraId="03A7EE23" w14:textId="77777777" w:rsidTr="00623210">
        <w:tc>
          <w:tcPr>
            <w:tcW w:w="3192" w:type="dxa"/>
          </w:tcPr>
          <w:p w14:paraId="3A4C367E" w14:textId="77777777" w:rsidR="00D60A5D" w:rsidRPr="001A7517" w:rsidRDefault="00D60A5D" w:rsidP="00623210">
            <w:pPr>
              <w:suppressAutoHyphens/>
            </w:pPr>
            <w:r w:rsidRPr="001A7517">
              <w:t>More than 100,000</w:t>
            </w:r>
          </w:p>
        </w:tc>
        <w:tc>
          <w:tcPr>
            <w:tcW w:w="3192" w:type="dxa"/>
          </w:tcPr>
          <w:p w14:paraId="18D3466F" w14:textId="77777777" w:rsidR="00D60A5D" w:rsidRPr="001A7517" w:rsidRDefault="00D60A5D" w:rsidP="00623210">
            <w:pPr>
              <w:suppressAutoHyphens/>
            </w:pPr>
            <w:r w:rsidRPr="001A7517">
              <w:t>100</w:t>
            </w:r>
          </w:p>
        </w:tc>
        <w:tc>
          <w:tcPr>
            <w:tcW w:w="3192" w:type="dxa"/>
          </w:tcPr>
          <w:p w14:paraId="7C41CED0" w14:textId="77777777" w:rsidR="00D60A5D" w:rsidRPr="001A7517" w:rsidRDefault="00D60A5D" w:rsidP="00623210">
            <w:pPr>
              <w:suppressAutoHyphens/>
            </w:pPr>
            <w:r w:rsidRPr="001A7517">
              <w:t>50</w:t>
            </w:r>
          </w:p>
        </w:tc>
      </w:tr>
      <w:tr w:rsidR="00D60A5D" w:rsidRPr="001A7517" w14:paraId="6A63813D" w14:textId="77777777" w:rsidTr="00623210">
        <w:tc>
          <w:tcPr>
            <w:tcW w:w="3192" w:type="dxa"/>
          </w:tcPr>
          <w:p w14:paraId="5C676FD5" w14:textId="77777777" w:rsidR="00D60A5D" w:rsidRPr="001A7517" w:rsidRDefault="00D60A5D" w:rsidP="00623210">
            <w:pPr>
              <w:suppressAutoHyphens/>
            </w:pPr>
            <w:r w:rsidRPr="001A7517">
              <w:t>10,001-100,000</w:t>
            </w:r>
          </w:p>
        </w:tc>
        <w:tc>
          <w:tcPr>
            <w:tcW w:w="3192" w:type="dxa"/>
          </w:tcPr>
          <w:p w14:paraId="073A2449" w14:textId="77777777" w:rsidR="00D60A5D" w:rsidRPr="001A7517" w:rsidRDefault="00D60A5D" w:rsidP="00623210">
            <w:pPr>
              <w:suppressAutoHyphens/>
            </w:pPr>
            <w:r w:rsidRPr="001A7517">
              <w:t>60</w:t>
            </w:r>
          </w:p>
        </w:tc>
        <w:tc>
          <w:tcPr>
            <w:tcW w:w="3192" w:type="dxa"/>
          </w:tcPr>
          <w:p w14:paraId="5C8EB931" w14:textId="77777777" w:rsidR="00D60A5D" w:rsidRPr="001A7517" w:rsidRDefault="00D60A5D" w:rsidP="00623210">
            <w:pPr>
              <w:suppressAutoHyphens/>
            </w:pPr>
            <w:r w:rsidRPr="001A7517">
              <w:t>30</w:t>
            </w:r>
          </w:p>
        </w:tc>
      </w:tr>
      <w:tr w:rsidR="00D60A5D" w:rsidRPr="001A7517" w14:paraId="3151BEA8" w14:textId="77777777" w:rsidTr="00623210">
        <w:tc>
          <w:tcPr>
            <w:tcW w:w="3192" w:type="dxa"/>
          </w:tcPr>
          <w:p w14:paraId="0661E558" w14:textId="77777777" w:rsidR="00D60A5D" w:rsidRPr="001A7517" w:rsidRDefault="00D60A5D" w:rsidP="00623210">
            <w:pPr>
              <w:suppressAutoHyphens/>
            </w:pPr>
            <w:r w:rsidRPr="001A7517">
              <w:t>3,301 to 10,000</w:t>
            </w:r>
          </w:p>
        </w:tc>
        <w:tc>
          <w:tcPr>
            <w:tcW w:w="3192" w:type="dxa"/>
          </w:tcPr>
          <w:p w14:paraId="74A80ED2" w14:textId="77777777" w:rsidR="00D60A5D" w:rsidRPr="001A7517" w:rsidRDefault="00D60A5D" w:rsidP="00623210">
            <w:pPr>
              <w:suppressAutoHyphens/>
            </w:pPr>
            <w:r w:rsidRPr="001A7517">
              <w:t>40</w:t>
            </w:r>
          </w:p>
        </w:tc>
        <w:tc>
          <w:tcPr>
            <w:tcW w:w="3192" w:type="dxa"/>
          </w:tcPr>
          <w:p w14:paraId="6E4D94C8" w14:textId="77777777" w:rsidR="00D60A5D" w:rsidRPr="001A7517" w:rsidRDefault="00D60A5D" w:rsidP="00623210">
            <w:pPr>
              <w:suppressAutoHyphens/>
            </w:pPr>
            <w:r w:rsidRPr="001A7517">
              <w:t>20</w:t>
            </w:r>
          </w:p>
        </w:tc>
      </w:tr>
      <w:tr w:rsidR="00D60A5D" w:rsidRPr="001A7517" w14:paraId="12EC8372" w14:textId="77777777" w:rsidTr="00623210">
        <w:tc>
          <w:tcPr>
            <w:tcW w:w="3192" w:type="dxa"/>
          </w:tcPr>
          <w:p w14:paraId="280C1291" w14:textId="77777777" w:rsidR="00D60A5D" w:rsidRPr="001A7517" w:rsidRDefault="00D60A5D" w:rsidP="00623210">
            <w:pPr>
              <w:suppressAutoHyphens/>
            </w:pPr>
            <w:r w:rsidRPr="001A7517">
              <w:t>501 to 3,300</w:t>
            </w:r>
          </w:p>
        </w:tc>
        <w:tc>
          <w:tcPr>
            <w:tcW w:w="3192" w:type="dxa"/>
          </w:tcPr>
          <w:p w14:paraId="72310EDA" w14:textId="77777777" w:rsidR="00D60A5D" w:rsidRPr="001A7517" w:rsidRDefault="00D60A5D" w:rsidP="00623210">
            <w:pPr>
              <w:suppressAutoHyphens/>
            </w:pPr>
            <w:r w:rsidRPr="001A7517">
              <w:t>20</w:t>
            </w:r>
          </w:p>
        </w:tc>
        <w:tc>
          <w:tcPr>
            <w:tcW w:w="3192" w:type="dxa"/>
          </w:tcPr>
          <w:p w14:paraId="5F13BAA7" w14:textId="77777777" w:rsidR="00D60A5D" w:rsidRPr="001A7517" w:rsidRDefault="00D60A5D" w:rsidP="00623210">
            <w:pPr>
              <w:suppressAutoHyphens/>
            </w:pPr>
            <w:r w:rsidRPr="001A7517">
              <w:t>10</w:t>
            </w:r>
          </w:p>
        </w:tc>
      </w:tr>
      <w:tr w:rsidR="00D60A5D" w:rsidRPr="001A7517" w14:paraId="50AE3A39" w14:textId="77777777" w:rsidTr="00623210">
        <w:tc>
          <w:tcPr>
            <w:tcW w:w="3192" w:type="dxa"/>
          </w:tcPr>
          <w:p w14:paraId="167B59AC" w14:textId="77777777" w:rsidR="00D60A5D" w:rsidRPr="001A7517" w:rsidRDefault="00D60A5D" w:rsidP="00623210">
            <w:pPr>
              <w:suppressAutoHyphens/>
            </w:pPr>
            <w:r w:rsidRPr="001A7517">
              <w:t>101 to 500</w:t>
            </w:r>
          </w:p>
        </w:tc>
        <w:tc>
          <w:tcPr>
            <w:tcW w:w="3192" w:type="dxa"/>
          </w:tcPr>
          <w:p w14:paraId="152BEA3D" w14:textId="77777777" w:rsidR="00D60A5D" w:rsidRPr="001A7517" w:rsidRDefault="00D60A5D" w:rsidP="00623210">
            <w:pPr>
              <w:suppressAutoHyphens/>
            </w:pPr>
            <w:r w:rsidRPr="001A7517">
              <w:t>10</w:t>
            </w:r>
          </w:p>
        </w:tc>
        <w:tc>
          <w:tcPr>
            <w:tcW w:w="3192" w:type="dxa"/>
          </w:tcPr>
          <w:p w14:paraId="50C5D5F7" w14:textId="77777777" w:rsidR="00D60A5D" w:rsidRPr="001A7517" w:rsidRDefault="00D60A5D" w:rsidP="00623210">
            <w:pPr>
              <w:suppressAutoHyphens/>
            </w:pPr>
            <w:r w:rsidRPr="001A7517">
              <w:t>5</w:t>
            </w:r>
          </w:p>
        </w:tc>
      </w:tr>
      <w:tr w:rsidR="00D60A5D" w:rsidRPr="001A7517" w14:paraId="6491567D" w14:textId="77777777" w:rsidTr="00623210">
        <w:tc>
          <w:tcPr>
            <w:tcW w:w="3192" w:type="dxa"/>
          </w:tcPr>
          <w:p w14:paraId="46FC8036" w14:textId="77777777" w:rsidR="00D60A5D" w:rsidRPr="001A7517" w:rsidRDefault="00D60A5D" w:rsidP="00623210">
            <w:pPr>
              <w:suppressAutoHyphens/>
            </w:pPr>
            <w:r w:rsidRPr="001A7517">
              <w:t>100 or fewer</w:t>
            </w:r>
          </w:p>
        </w:tc>
        <w:tc>
          <w:tcPr>
            <w:tcW w:w="3192" w:type="dxa"/>
          </w:tcPr>
          <w:p w14:paraId="5FCF79D9" w14:textId="77777777" w:rsidR="00D60A5D" w:rsidRPr="001A7517" w:rsidRDefault="00D60A5D" w:rsidP="00623210">
            <w:pPr>
              <w:suppressAutoHyphens/>
            </w:pPr>
            <w:r w:rsidRPr="001A7517">
              <w:t>5</w:t>
            </w:r>
          </w:p>
        </w:tc>
        <w:tc>
          <w:tcPr>
            <w:tcW w:w="3192" w:type="dxa"/>
          </w:tcPr>
          <w:p w14:paraId="358258B1" w14:textId="77777777" w:rsidR="00D60A5D" w:rsidRPr="001A7517" w:rsidRDefault="00D60A5D" w:rsidP="00623210">
            <w:pPr>
              <w:suppressAutoHyphens/>
            </w:pPr>
            <w:r w:rsidRPr="001A7517">
              <w:t>5</w:t>
            </w:r>
          </w:p>
        </w:tc>
      </w:tr>
    </w:tbl>
    <w:p w14:paraId="36AFF199" w14:textId="02014B8B" w:rsidR="00D60A5D" w:rsidRDefault="00D60A5D" w:rsidP="00D60A5D">
      <w:pPr>
        <w:suppressAutoHyphens/>
        <w:spacing w:before="240"/>
      </w:pPr>
      <w:r w:rsidRPr="001A7517">
        <w:t>BOARD NOTE:  Derived from 40 CFR 141.86(c).</w:t>
      </w:r>
    </w:p>
    <w:p w14:paraId="06BBCA59" w14:textId="77777777" w:rsidR="00D60A5D" w:rsidRPr="001A7517" w:rsidRDefault="00D60A5D" w:rsidP="00D60A5D">
      <w:pPr>
        <w:suppressAutoHyphens/>
        <w:spacing w:before="240"/>
      </w:pPr>
    </w:p>
    <w:p w14:paraId="16D43B8C" w14:textId="6D4E6A4F" w:rsidR="00D60A5D" w:rsidRDefault="00D60A5D" w:rsidP="00D60A5D">
      <w:pPr>
        <w:suppressAutoHyphens/>
        <w:ind w:left="720"/>
      </w:pPr>
      <w:r w:rsidRPr="001A7517">
        <w:t>(Source:  Amended at 37 Ill. Reg. 1978, effective February 4, 2013)</w:t>
      </w:r>
    </w:p>
    <w:p w14:paraId="74514F73" w14:textId="77777777" w:rsidR="00D60A5D" w:rsidRPr="001A7517" w:rsidRDefault="00D60A5D" w:rsidP="00D60A5D">
      <w:pPr>
        <w:suppressAutoHyphens/>
        <w:ind w:left="720"/>
      </w:pPr>
    </w:p>
    <w:p w14:paraId="66FD2FD7" w14:textId="77777777" w:rsidR="00D60A5D" w:rsidRPr="00D60A5D" w:rsidRDefault="00D60A5D" w:rsidP="00D60A5D">
      <w:pPr>
        <w:rPr>
          <w:b/>
          <w:bCs/>
        </w:rPr>
      </w:pPr>
      <w:r w:rsidRPr="00D60A5D">
        <w:rPr>
          <w:b/>
          <w:bCs/>
        </w:rPr>
        <w:t>Section 611.TABLE E  Lead and Copper Monitoring Start Dates (Repealed)</w:t>
      </w:r>
    </w:p>
    <w:p w14:paraId="1A213DF9" w14:textId="77777777" w:rsidR="00D60A5D" w:rsidRPr="001A7517" w:rsidRDefault="00D60A5D" w:rsidP="00D60A5D">
      <w:pPr>
        <w:suppressAutoHyphens/>
      </w:pPr>
    </w:p>
    <w:p w14:paraId="08533E65" w14:textId="77777777" w:rsidR="00D60A5D" w:rsidRPr="001A7517" w:rsidRDefault="00D60A5D" w:rsidP="00D60A5D">
      <w:pPr>
        <w:suppressAutoHyphens/>
        <w:ind w:left="720"/>
      </w:pPr>
      <w:r w:rsidRPr="001A7517">
        <w:t>(Source:  Repealed at 42 Ill. Reg. 1140, effective January 4, 2018)</w:t>
      </w:r>
    </w:p>
    <w:p w14:paraId="026AB6FD" w14:textId="77777777" w:rsidR="003F1F0F" w:rsidRPr="003B4362" w:rsidRDefault="003F1F0F" w:rsidP="003F1F0F">
      <w:pPr>
        <w:suppressAutoHyphens/>
        <w:ind w:left="720"/>
      </w:pPr>
    </w:p>
    <w:p w14:paraId="1198C618" w14:textId="4B202BE7" w:rsidR="005614AB" w:rsidRPr="003B4362" w:rsidRDefault="005614AB" w:rsidP="003F1F0F">
      <w:pPr>
        <w:rPr>
          <w:b/>
          <w:bCs/>
        </w:rPr>
      </w:pPr>
      <w:r w:rsidRPr="003B4362">
        <w:rPr>
          <w:b/>
          <w:bCs/>
        </w:rPr>
        <w:t xml:space="preserve">Section 611.TABLE F  </w:t>
      </w:r>
      <w:r w:rsidR="003F1F0F" w:rsidRPr="003B4362">
        <w:rPr>
          <w:b/>
          <w:bCs/>
        </w:rPr>
        <w:t xml:space="preserve"> </w:t>
      </w:r>
      <w:r w:rsidRPr="003B4362">
        <w:rPr>
          <w:b/>
          <w:bCs/>
        </w:rPr>
        <w:t>Number of Water Quality Parameter Sampling Sites</w:t>
      </w:r>
    </w:p>
    <w:p w14:paraId="77B7395A" w14:textId="77777777" w:rsidR="003F1F0F" w:rsidRPr="003B4362" w:rsidRDefault="003F1F0F" w:rsidP="003F1F0F">
      <w:pPr>
        <w:rPr>
          <w:b/>
          <w:bCs/>
        </w:rPr>
      </w:pPr>
    </w:p>
    <w:tbl>
      <w:tblPr>
        <w:tblW w:w="0" w:type="auto"/>
        <w:tblLayout w:type="fixed"/>
        <w:tblCellMar>
          <w:top w:w="115" w:type="dxa"/>
          <w:left w:w="115" w:type="dxa"/>
          <w:bottom w:w="115" w:type="dxa"/>
          <w:right w:w="115" w:type="dxa"/>
        </w:tblCellMar>
        <w:tblLook w:val="0000" w:firstRow="0" w:lastRow="0" w:firstColumn="0" w:lastColumn="0" w:noHBand="0" w:noVBand="0"/>
      </w:tblPr>
      <w:tblGrid>
        <w:gridCol w:w="3216"/>
        <w:gridCol w:w="2576"/>
        <w:gridCol w:w="2496"/>
      </w:tblGrid>
      <w:tr w:rsidR="001628C1" w:rsidRPr="003B4362" w14:paraId="16CE9A2B" w14:textId="77777777" w:rsidTr="00DB692E">
        <w:tc>
          <w:tcPr>
            <w:tcW w:w="3216" w:type="dxa"/>
            <w:vMerge w:val="restart"/>
            <w:vAlign w:val="bottom"/>
          </w:tcPr>
          <w:p w14:paraId="578A75A8" w14:textId="1AAB0661" w:rsidR="00F47E32" w:rsidRPr="003B4362" w:rsidRDefault="005614AB" w:rsidP="00DB692E">
            <w:pPr>
              <w:keepNext/>
              <w:keepLines/>
              <w:suppressAutoHyphens/>
            </w:pPr>
            <w:r w:rsidRPr="003B4362">
              <w:t>System Size</w:t>
            </w:r>
          </w:p>
          <w:p w14:paraId="2CF43B8B" w14:textId="439A441A" w:rsidR="005614AB" w:rsidRPr="003B4362" w:rsidRDefault="005614AB" w:rsidP="00DB692E">
            <w:pPr>
              <w:keepNext/>
              <w:keepLines/>
              <w:suppressAutoHyphens/>
            </w:pPr>
            <w:r w:rsidRPr="003B4362">
              <w:t>(</w:t>
            </w:r>
            <w:r w:rsidR="00F47E32" w:rsidRPr="003B4362">
              <w:rPr>
                <w:szCs w:val="24"/>
              </w:rPr>
              <w:t xml:space="preserve">Number of </w:t>
            </w:r>
            <w:r w:rsidRPr="003B4362">
              <w:t>Persons Served)</w:t>
            </w:r>
          </w:p>
        </w:tc>
        <w:tc>
          <w:tcPr>
            <w:tcW w:w="5072" w:type="dxa"/>
            <w:gridSpan w:val="2"/>
          </w:tcPr>
          <w:p w14:paraId="309D1F82" w14:textId="6D025B3C" w:rsidR="005614AB" w:rsidRPr="003B4362" w:rsidRDefault="00F47E32" w:rsidP="00DB692E">
            <w:pPr>
              <w:keepNext/>
              <w:keepLines/>
              <w:suppressAutoHyphens/>
              <w:jc w:val="center"/>
            </w:pPr>
            <w:r w:rsidRPr="003B4362">
              <w:rPr>
                <w:szCs w:val="24"/>
              </w:rPr>
              <w:t xml:space="preserve">Minimum </w:t>
            </w:r>
            <w:r w:rsidR="005614AB" w:rsidRPr="003B4362">
              <w:t>Number of Sites</w:t>
            </w:r>
          </w:p>
        </w:tc>
      </w:tr>
      <w:tr w:rsidR="001628C1" w:rsidRPr="003B4362" w14:paraId="3A64D9E9" w14:textId="77777777" w:rsidTr="00DB692E">
        <w:tc>
          <w:tcPr>
            <w:tcW w:w="3216" w:type="dxa"/>
            <w:vMerge/>
          </w:tcPr>
          <w:p w14:paraId="0EFD123B" w14:textId="77777777" w:rsidR="005614AB" w:rsidRPr="003B4362" w:rsidRDefault="005614AB" w:rsidP="00DB692E">
            <w:pPr>
              <w:suppressAutoHyphens/>
            </w:pPr>
          </w:p>
        </w:tc>
        <w:tc>
          <w:tcPr>
            <w:tcW w:w="2576" w:type="dxa"/>
          </w:tcPr>
          <w:p w14:paraId="1DB1142A" w14:textId="77777777" w:rsidR="005614AB" w:rsidRPr="003B4362" w:rsidRDefault="005614AB" w:rsidP="00DB692E">
            <w:pPr>
              <w:suppressAutoHyphens/>
            </w:pPr>
            <w:r w:rsidRPr="003B4362">
              <w:t xml:space="preserve">(Standard Monitoring) </w:t>
            </w:r>
          </w:p>
        </w:tc>
        <w:tc>
          <w:tcPr>
            <w:tcW w:w="2496" w:type="dxa"/>
          </w:tcPr>
          <w:p w14:paraId="2D5F419C" w14:textId="77777777" w:rsidR="005614AB" w:rsidRPr="003B4362" w:rsidRDefault="005614AB" w:rsidP="00DB692E">
            <w:pPr>
              <w:suppressAutoHyphens/>
            </w:pPr>
            <w:r w:rsidRPr="003B4362">
              <w:t>(Reduced Monitoring)</w:t>
            </w:r>
          </w:p>
        </w:tc>
      </w:tr>
      <w:tr w:rsidR="001628C1" w:rsidRPr="003B4362" w14:paraId="2D58E175" w14:textId="77777777" w:rsidTr="00DB692E">
        <w:tc>
          <w:tcPr>
            <w:tcW w:w="3216" w:type="dxa"/>
          </w:tcPr>
          <w:p w14:paraId="4A088A1F" w14:textId="77777777" w:rsidR="005614AB" w:rsidRPr="003B4362" w:rsidRDefault="005614AB" w:rsidP="00DB692E">
            <w:pPr>
              <w:suppressAutoHyphens/>
            </w:pPr>
            <w:r w:rsidRPr="003B4362">
              <w:t>more than 100,000</w:t>
            </w:r>
          </w:p>
        </w:tc>
        <w:tc>
          <w:tcPr>
            <w:tcW w:w="2576" w:type="dxa"/>
          </w:tcPr>
          <w:p w14:paraId="44A7B63B" w14:textId="77777777" w:rsidR="005614AB" w:rsidRPr="003B4362" w:rsidRDefault="005614AB" w:rsidP="00DB692E">
            <w:pPr>
              <w:suppressAutoHyphens/>
            </w:pPr>
            <w:r w:rsidRPr="003B4362">
              <w:t>25</w:t>
            </w:r>
          </w:p>
        </w:tc>
        <w:tc>
          <w:tcPr>
            <w:tcW w:w="2496" w:type="dxa"/>
          </w:tcPr>
          <w:p w14:paraId="7106CFA5" w14:textId="77777777" w:rsidR="005614AB" w:rsidRPr="003B4362" w:rsidRDefault="005614AB" w:rsidP="00DB692E">
            <w:pPr>
              <w:suppressAutoHyphens/>
            </w:pPr>
            <w:r w:rsidRPr="003B4362">
              <w:t>10</w:t>
            </w:r>
          </w:p>
        </w:tc>
      </w:tr>
      <w:tr w:rsidR="001628C1" w:rsidRPr="003B4362" w14:paraId="15C0DF8C" w14:textId="77777777" w:rsidTr="00DB692E">
        <w:tc>
          <w:tcPr>
            <w:tcW w:w="3216" w:type="dxa"/>
          </w:tcPr>
          <w:p w14:paraId="45CE0A5D" w14:textId="77777777" w:rsidR="005614AB" w:rsidRPr="003B4362" w:rsidRDefault="005614AB" w:rsidP="00DB692E">
            <w:pPr>
              <w:suppressAutoHyphens/>
            </w:pPr>
            <w:r w:rsidRPr="003B4362">
              <w:t>10,001 to 100,000</w:t>
            </w:r>
          </w:p>
        </w:tc>
        <w:tc>
          <w:tcPr>
            <w:tcW w:w="2576" w:type="dxa"/>
          </w:tcPr>
          <w:p w14:paraId="0C7068DB" w14:textId="77777777" w:rsidR="005614AB" w:rsidRPr="003B4362" w:rsidRDefault="005614AB" w:rsidP="00DB692E">
            <w:pPr>
              <w:suppressAutoHyphens/>
            </w:pPr>
            <w:r w:rsidRPr="003B4362">
              <w:t>10</w:t>
            </w:r>
          </w:p>
        </w:tc>
        <w:tc>
          <w:tcPr>
            <w:tcW w:w="2496" w:type="dxa"/>
          </w:tcPr>
          <w:p w14:paraId="4F734F95" w14:textId="77777777" w:rsidR="005614AB" w:rsidRPr="003B4362" w:rsidRDefault="005614AB" w:rsidP="00DB692E">
            <w:pPr>
              <w:suppressAutoHyphens/>
            </w:pPr>
            <w:r w:rsidRPr="003B4362">
              <w:t>7</w:t>
            </w:r>
          </w:p>
        </w:tc>
      </w:tr>
      <w:tr w:rsidR="001628C1" w:rsidRPr="003B4362" w14:paraId="5A5FC528" w14:textId="77777777" w:rsidTr="00DB692E">
        <w:tc>
          <w:tcPr>
            <w:tcW w:w="3216" w:type="dxa"/>
          </w:tcPr>
          <w:p w14:paraId="234CBE3A" w14:textId="77777777" w:rsidR="005614AB" w:rsidRPr="003B4362" w:rsidRDefault="005614AB" w:rsidP="00DB692E">
            <w:pPr>
              <w:suppressAutoHyphens/>
            </w:pPr>
            <w:r w:rsidRPr="003B4362">
              <w:t>3,301 to 10,000</w:t>
            </w:r>
          </w:p>
        </w:tc>
        <w:tc>
          <w:tcPr>
            <w:tcW w:w="2576" w:type="dxa"/>
          </w:tcPr>
          <w:p w14:paraId="522A6BAB" w14:textId="77777777" w:rsidR="005614AB" w:rsidRPr="003B4362" w:rsidRDefault="005614AB" w:rsidP="00DB692E">
            <w:pPr>
              <w:suppressAutoHyphens/>
            </w:pPr>
            <w:r w:rsidRPr="003B4362">
              <w:t>3</w:t>
            </w:r>
          </w:p>
        </w:tc>
        <w:tc>
          <w:tcPr>
            <w:tcW w:w="2496" w:type="dxa"/>
          </w:tcPr>
          <w:p w14:paraId="40716C97" w14:textId="77777777" w:rsidR="005614AB" w:rsidRPr="003B4362" w:rsidRDefault="005614AB" w:rsidP="00DB692E">
            <w:pPr>
              <w:suppressAutoHyphens/>
            </w:pPr>
            <w:r w:rsidRPr="003B4362">
              <w:t>3</w:t>
            </w:r>
          </w:p>
        </w:tc>
      </w:tr>
      <w:tr w:rsidR="001628C1" w:rsidRPr="003B4362" w14:paraId="497C723C" w14:textId="77777777" w:rsidTr="00DB692E">
        <w:tc>
          <w:tcPr>
            <w:tcW w:w="3216" w:type="dxa"/>
          </w:tcPr>
          <w:p w14:paraId="271B6361" w14:textId="77777777" w:rsidR="005614AB" w:rsidRPr="003B4362" w:rsidRDefault="005614AB" w:rsidP="00DB692E">
            <w:pPr>
              <w:suppressAutoHyphens/>
            </w:pPr>
            <w:r w:rsidRPr="003B4362">
              <w:t>501 to 3,300</w:t>
            </w:r>
          </w:p>
        </w:tc>
        <w:tc>
          <w:tcPr>
            <w:tcW w:w="2576" w:type="dxa"/>
          </w:tcPr>
          <w:p w14:paraId="60C03D87" w14:textId="77777777" w:rsidR="005614AB" w:rsidRPr="003B4362" w:rsidRDefault="005614AB" w:rsidP="00DB692E">
            <w:pPr>
              <w:suppressAutoHyphens/>
            </w:pPr>
            <w:r w:rsidRPr="003B4362">
              <w:t>2</w:t>
            </w:r>
          </w:p>
        </w:tc>
        <w:tc>
          <w:tcPr>
            <w:tcW w:w="2496" w:type="dxa"/>
          </w:tcPr>
          <w:p w14:paraId="4A055436" w14:textId="77777777" w:rsidR="005614AB" w:rsidRPr="003B4362" w:rsidRDefault="005614AB" w:rsidP="00DB692E">
            <w:pPr>
              <w:suppressAutoHyphens/>
            </w:pPr>
            <w:r w:rsidRPr="003B4362">
              <w:t>2</w:t>
            </w:r>
          </w:p>
        </w:tc>
      </w:tr>
      <w:tr w:rsidR="001628C1" w:rsidRPr="003B4362" w14:paraId="764E1959" w14:textId="77777777" w:rsidTr="00DB692E">
        <w:tc>
          <w:tcPr>
            <w:tcW w:w="3216" w:type="dxa"/>
          </w:tcPr>
          <w:p w14:paraId="463740BD" w14:textId="77777777" w:rsidR="005614AB" w:rsidRPr="003B4362" w:rsidRDefault="005614AB" w:rsidP="00DB692E">
            <w:pPr>
              <w:suppressAutoHyphens/>
            </w:pPr>
            <w:r w:rsidRPr="003B4362">
              <w:t>101 to 500</w:t>
            </w:r>
          </w:p>
        </w:tc>
        <w:tc>
          <w:tcPr>
            <w:tcW w:w="2576" w:type="dxa"/>
          </w:tcPr>
          <w:p w14:paraId="50BB5D70" w14:textId="77777777" w:rsidR="005614AB" w:rsidRPr="003B4362" w:rsidRDefault="005614AB" w:rsidP="00DB692E">
            <w:pPr>
              <w:suppressAutoHyphens/>
            </w:pPr>
            <w:r w:rsidRPr="003B4362">
              <w:t>1</w:t>
            </w:r>
          </w:p>
        </w:tc>
        <w:tc>
          <w:tcPr>
            <w:tcW w:w="2496" w:type="dxa"/>
          </w:tcPr>
          <w:p w14:paraId="3EFC762B" w14:textId="77777777" w:rsidR="005614AB" w:rsidRPr="003B4362" w:rsidRDefault="005614AB" w:rsidP="00DB692E">
            <w:pPr>
              <w:suppressAutoHyphens/>
            </w:pPr>
            <w:r w:rsidRPr="003B4362">
              <w:t>1</w:t>
            </w:r>
          </w:p>
        </w:tc>
      </w:tr>
      <w:tr w:rsidR="001628C1" w:rsidRPr="003B4362" w14:paraId="7FC42B96" w14:textId="77777777" w:rsidTr="00DB692E">
        <w:tc>
          <w:tcPr>
            <w:tcW w:w="3216" w:type="dxa"/>
          </w:tcPr>
          <w:p w14:paraId="2D2F6158" w14:textId="77777777" w:rsidR="005614AB" w:rsidRPr="003B4362" w:rsidRDefault="005614AB" w:rsidP="00DB692E">
            <w:pPr>
              <w:suppressAutoHyphens/>
            </w:pPr>
            <w:r w:rsidRPr="003B4362">
              <w:t>100 or fewer</w:t>
            </w:r>
          </w:p>
        </w:tc>
        <w:tc>
          <w:tcPr>
            <w:tcW w:w="2576" w:type="dxa"/>
          </w:tcPr>
          <w:p w14:paraId="0DB64A1C" w14:textId="77777777" w:rsidR="005614AB" w:rsidRPr="003B4362" w:rsidRDefault="005614AB" w:rsidP="00DB692E">
            <w:pPr>
              <w:suppressAutoHyphens/>
            </w:pPr>
            <w:r w:rsidRPr="003B4362">
              <w:t>1</w:t>
            </w:r>
          </w:p>
        </w:tc>
        <w:tc>
          <w:tcPr>
            <w:tcW w:w="2496" w:type="dxa"/>
          </w:tcPr>
          <w:p w14:paraId="2545BF2F" w14:textId="77777777" w:rsidR="005614AB" w:rsidRPr="003B4362" w:rsidRDefault="005614AB" w:rsidP="00DB692E">
            <w:pPr>
              <w:suppressAutoHyphens/>
            </w:pPr>
            <w:r w:rsidRPr="003B4362">
              <w:t>1</w:t>
            </w:r>
          </w:p>
        </w:tc>
      </w:tr>
    </w:tbl>
    <w:p w14:paraId="23C91E91" w14:textId="2CD02CD7" w:rsidR="005614AB" w:rsidRPr="003B4362" w:rsidRDefault="005614AB" w:rsidP="005614AB">
      <w:pPr>
        <w:suppressAutoHyphens/>
        <w:spacing w:before="240"/>
      </w:pPr>
      <w:r w:rsidRPr="003B4362">
        <w:t xml:space="preserve">BOARD NOTE:  </w:t>
      </w:r>
      <w:r w:rsidR="006E7E9C" w:rsidRPr="003B4362">
        <w:rPr>
          <w:spacing w:val="-3"/>
        </w:rPr>
        <w:t xml:space="preserve">This Table F derives </w:t>
      </w:r>
      <w:r w:rsidRPr="003B4362">
        <w:t>from</w:t>
      </w:r>
      <w:bookmarkStart w:id="4557" w:name="_Hlk123664985"/>
      <w:r w:rsidRPr="003B4362">
        <w:t xml:space="preserve"> 40 CFR 141.87(a)(2)</w:t>
      </w:r>
      <w:r w:rsidR="005B0F1C" w:rsidRPr="003B4362">
        <w:t>(i)</w:t>
      </w:r>
      <w:r w:rsidRPr="003B4362">
        <w:t xml:space="preserve"> and (e)</w:t>
      </w:r>
      <w:r w:rsidR="00890710" w:rsidRPr="003B4362">
        <w:t>(1)</w:t>
      </w:r>
      <w:bookmarkEnd w:id="4557"/>
      <w:r w:rsidRPr="003B4362">
        <w:t>.</w:t>
      </w:r>
    </w:p>
    <w:p w14:paraId="5CD1D681" w14:textId="77777777" w:rsidR="003F1F0F" w:rsidRPr="003B4362" w:rsidRDefault="003F1F0F" w:rsidP="003F1F0F">
      <w:pPr>
        <w:suppressAutoHyphens/>
      </w:pPr>
    </w:p>
    <w:p w14:paraId="347D5CAF" w14:textId="6F9629E1" w:rsidR="003F1F0F" w:rsidRPr="003B4362" w:rsidRDefault="003F1F0F" w:rsidP="003F1F0F">
      <w:pPr>
        <w:suppressAutoHyphens/>
        <w:ind w:left="720"/>
        <w:rPr>
          <w:rFonts w:eastAsia="Calibri"/>
        </w:rPr>
      </w:pPr>
      <w:r w:rsidRPr="003B4362">
        <w:rPr>
          <w:rFonts w:eastAsia="Calibri"/>
        </w:rPr>
        <w:lastRenderedPageBreak/>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1EDF1849" w14:textId="77777777" w:rsidR="003F1F0F" w:rsidRPr="003B4362" w:rsidRDefault="003F1F0F" w:rsidP="003F1F0F">
      <w:pPr>
        <w:suppressAutoHyphens/>
        <w:ind w:left="720"/>
      </w:pPr>
    </w:p>
    <w:p w14:paraId="0C610687" w14:textId="33F955CA" w:rsidR="005614AB" w:rsidRPr="003B4362" w:rsidRDefault="005614AB" w:rsidP="003F1F0F">
      <w:pPr>
        <w:rPr>
          <w:b/>
          <w:bCs/>
        </w:rPr>
      </w:pPr>
      <w:r w:rsidRPr="003B4362">
        <w:rPr>
          <w:b/>
          <w:bCs/>
        </w:rPr>
        <w:t xml:space="preserve">Section 611.TABLE G  </w:t>
      </w:r>
      <w:r w:rsidR="003F1F0F" w:rsidRPr="003B4362">
        <w:rPr>
          <w:b/>
          <w:bCs/>
        </w:rPr>
        <w:t xml:space="preserve"> </w:t>
      </w:r>
      <w:r w:rsidRPr="003B4362">
        <w:rPr>
          <w:b/>
          <w:bCs/>
        </w:rPr>
        <w:t>Summary of Section 611.357 Monitoring Requirements for Water Quality Parameters</w:t>
      </w:r>
      <w:r w:rsidR="007B4FC9" w:rsidRPr="003B4362">
        <w:rPr>
          <w:b/>
          <w:bCs/>
        </w:rPr>
        <w:t xml:space="preserve"> (Repealed)</w:t>
      </w:r>
    </w:p>
    <w:p w14:paraId="7F3E32ED" w14:textId="77777777" w:rsidR="003F1F0F" w:rsidRPr="003B4362" w:rsidRDefault="003F1F0F" w:rsidP="00345954">
      <w:pPr>
        <w:rPr>
          <w:b/>
          <w:bCs/>
        </w:rPr>
      </w:pPr>
    </w:p>
    <w:p w14:paraId="7F5CE58B" w14:textId="6C27B6AE" w:rsidR="003F1F0F" w:rsidRDefault="003F1F0F" w:rsidP="00345954">
      <w:pPr>
        <w:suppressAutoHyphens/>
        <w:ind w:left="720"/>
        <w:rPr>
          <w:rFonts w:eastAsia="Calibri"/>
        </w:rPr>
      </w:pPr>
      <w:bookmarkStart w:id="4558" w:name="_Hlk97729449"/>
      <w:bookmarkStart w:id="4559" w:name="_Hlk98179066"/>
      <w:r w:rsidRPr="003B4362">
        <w:rPr>
          <w:rFonts w:eastAsia="Calibri"/>
        </w:rPr>
        <w:t xml:space="preserve">(Source:  Repealed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138165AC" w14:textId="77777777" w:rsidR="00D60A5D" w:rsidRPr="001A7517" w:rsidRDefault="00D60A5D" w:rsidP="00D60A5D">
      <w:pPr>
        <w:keepNext/>
        <w:keepLines/>
        <w:suppressAutoHyphens/>
        <w:spacing w:before="240" w:after="240"/>
        <w:rPr>
          <w:b/>
          <w:bCs/>
        </w:rPr>
      </w:pPr>
      <w:r w:rsidRPr="001A7517">
        <w:rPr>
          <w:b/>
        </w:rPr>
        <w:t>Section 611.TABLE H  CT V</w:t>
      </w:r>
      <w:r w:rsidRPr="001A7517">
        <w:rPr>
          <w:b/>
          <w:szCs w:val="16"/>
        </w:rPr>
        <w:t xml:space="preserve">alues </w:t>
      </w:r>
      <w:r w:rsidRPr="001A7517">
        <w:rPr>
          <w:b/>
        </w:rPr>
        <w:t>(</w:t>
      </w:r>
      <w:r w:rsidRPr="001A7517">
        <w:rPr>
          <w:b/>
          <w:szCs w:val="16"/>
        </w:rPr>
        <w:t>mg</w:t>
      </w:r>
      <w:r w:rsidRPr="001A7517">
        <w:rPr>
          <w:b/>
        </w:rPr>
        <w:t>·</w:t>
      </w:r>
      <w:r w:rsidRPr="001A7517">
        <w:rPr>
          <w:b/>
          <w:szCs w:val="16"/>
        </w:rPr>
        <w:t>min</w:t>
      </w:r>
      <w:r w:rsidRPr="001A7517">
        <w:rPr>
          <w:b/>
        </w:rPr>
        <w:t xml:space="preserve">/ℓ) </w:t>
      </w:r>
      <w:r w:rsidRPr="001A7517">
        <w:rPr>
          <w:b/>
          <w:szCs w:val="16"/>
        </w:rPr>
        <w:t xml:space="preserve">for </w:t>
      </w:r>
      <w:r w:rsidRPr="001A7517">
        <w:rPr>
          <w:b/>
        </w:rPr>
        <w:t>Cryptosporidium I</w:t>
      </w:r>
      <w:r w:rsidRPr="001A7517">
        <w:rPr>
          <w:b/>
          <w:szCs w:val="16"/>
        </w:rPr>
        <w:t xml:space="preserve">nactivation by </w:t>
      </w:r>
      <w:r w:rsidRPr="001A7517">
        <w:rPr>
          <w:b/>
        </w:rPr>
        <w:t>C</w:t>
      </w:r>
      <w:r w:rsidRPr="001A7517">
        <w:rPr>
          <w:b/>
          <w:szCs w:val="16"/>
        </w:rPr>
        <w:t xml:space="preserve">hlorine </w:t>
      </w:r>
      <w:r w:rsidRPr="001A7517">
        <w:rPr>
          <w:b/>
          <w:bCs/>
        </w:rPr>
        <w:t>D</w:t>
      </w:r>
      <w:r w:rsidRPr="001A7517">
        <w:rPr>
          <w:b/>
          <w:bCs/>
          <w:szCs w:val="16"/>
        </w:rPr>
        <w:t>ioxide</w:t>
      </w:r>
    </w:p>
    <w:tbl>
      <w:tblPr>
        <w:tblW w:w="0" w:type="auto"/>
        <w:tblBorders>
          <w:top w:val="single" w:sz="6" w:space="0" w:color="auto"/>
          <w:left w:val="single" w:sz="6" w:space="0" w:color="auto"/>
          <w:bottom w:val="single" w:sz="6" w:space="0" w:color="auto"/>
          <w:right w:val="single" w:sz="6" w:space="0" w:color="auto"/>
        </w:tblBorders>
        <w:tblLayout w:type="fixed"/>
        <w:tblCellMar>
          <w:top w:w="115" w:type="dxa"/>
          <w:left w:w="115" w:type="dxa"/>
          <w:bottom w:w="115" w:type="dxa"/>
          <w:right w:w="115" w:type="dxa"/>
        </w:tblCellMar>
        <w:tblLook w:val="0000" w:firstRow="0" w:lastRow="0" w:firstColumn="0" w:lastColumn="0" w:noHBand="0" w:noVBand="0"/>
      </w:tblPr>
      <w:tblGrid>
        <w:gridCol w:w="1440"/>
        <w:gridCol w:w="736"/>
        <w:gridCol w:w="736"/>
        <w:gridCol w:w="736"/>
        <w:gridCol w:w="737"/>
        <w:gridCol w:w="737"/>
        <w:gridCol w:w="737"/>
        <w:gridCol w:w="737"/>
        <w:gridCol w:w="737"/>
        <w:gridCol w:w="737"/>
        <w:gridCol w:w="737"/>
        <w:gridCol w:w="737"/>
      </w:tblGrid>
      <w:tr w:rsidR="00D60A5D" w:rsidRPr="001A7517" w14:paraId="5790E5F8" w14:textId="77777777" w:rsidTr="00623210">
        <w:trPr>
          <w:cantSplit/>
        </w:trPr>
        <w:tc>
          <w:tcPr>
            <w:tcW w:w="1440" w:type="dxa"/>
            <w:vMerge w:val="restart"/>
            <w:tcBorders>
              <w:top w:val="single" w:sz="6" w:space="0" w:color="auto"/>
              <w:bottom w:val="single" w:sz="6" w:space="0" w:color="auto"/>
              <w:right w:val="single" w:sz="6" w:space="0" w:color="auto"/>
            </w:tcBorders>
            <w:vAlign w:val="bottom"/>
          </w:tcPr>
          <w:p w14:paraId="66263B71" w14:textId="77777777" w:rsidR="00D60A5D" w:rsidRPr="001A7517" w:rsidRDefault="00D60A5D" w:rsidP="00623210">
            <w:pPr>
              <w:keepNext/>
              <w:keepLines/>
            </w:pPr>
            <w:r w:rsidRPr="001A7517">
              <w:t>Log Credit</w:t>
            </w:r>
          </w:p>
        </w:tc>
        <w:tc>
          <w:tcPr>
            <w:tcW w:w="8104" w:type="dxa"/>
            <w:gridSpan w:val="11"/>
            <w:tcBorders>
              <w:left w:val="single" w:sz="6" w:space="0" w:color="auto"/>
              <w:bottom w:val="single" w:sz="6" w:space="0" w:color="auto"/>
            </w:tcBorders>
          </w:tcPr>
          <w:p w14:paraId="63C35496" w14:textId="77777777" w:rsidR="00D60A5D" w:rsidRPr="001A7517" w:rsidRDefault="00D60A5D" w:rsidP="00623210">
            <w:pPr>
              <w:keepNext/>
              <w:keepLines/>
              <w:jc w:val="center"/>
            </w:pPr>
            <w:r w:rsidRPr="001A7517">
              <w:t>Water Temperature (°C)</w:t>
            </w:r>
          </w:p>
        </w:tc>
      </w:tr>
      <w:tr w:rsidR="00D60A5D" w:rsidRPr="001A7517" w14:paraId="59ADC74C" w14:textId="77777777" w:rsidTr="00623210">
        <w:trPr>
          <w:cantSplit/>
        </w:trPr>
        <w:tc>
          <w:tcPr>
            <w:tcW w:w="1440" w:type="dxa"/>
            <w:vMerge/>
            <w:tcBorders>
              <w:top w:val="nil"/>
              <w:bottom w:val="single" w:sz="6" w:space="0" w:color="auto"/>
              <w:right w:val="single" w:sz="6" w:space="0" w:color="auto"/>
            </w:tcBorders>
          </w:tcPr>
          <w:p w14:paraId="6CD32F03" w14:textId="77777777" w:rsidR="00D60A5D" w:rsidRPr="001A7517" w:rsidRDefault="00D60A5D" w:rsidP="00623210">
            <w:pPr>
              <w:keepNext/>
              <w:keepLines/>
            </w:pPr>
          </w:p>
        </w:tc>
        <w:tc>
          <w:tcPr>
            <w:tcW w:w="736" w:type="dxa"/>
            <w:tcBorders>
              <w:top w:val="single" w:sz="6" w:space="0" w:color="auto"/>
              <w:left w:val="single" w:sz="6" w:space="0" w:color="auto"/>
              <w:bottom w:val="single" w:sz="6" w:space="0" w:color="auto"/>
              <w:right w:val="single" w:sz="6" w:space="0" w:color="auto"/>
            </w:tcBorders>
          </w:tcPr>
          <w:p w14:paraId="7CBF70B6" w14:textId="77777777" w:rsidR="00D60A5D" w:rsidRPr="001A7517" w:rsidRDefault="00D60A5D" w:rsidP="00623210">
            <w:pPr>
              <w:keepNext/>
              <w:keepLines/>
              <w:jc w:val="center"/>
            </w:pPr>
            <w:r w:rsidRPr="001A7517">
              <w:t>≤0.5</w:t>
            </w:r>
          </w:p>
        </w:tc>
        <w:tc>
          <w:tcPr>
            <w:tcW w:w="736" w:type="dxa"/>
            <w:tcBorders>
              <w:top w:val="single" w:sz="6" w:space="0" w:color="auto"/>
              <w:left w:val="single" w:sz="6" w:space="0" w:color="auto"/>
              <w:bottom w:val="single" w:sz="6" w:space="0" w:color="auto"/>
              <w:right w:val="single" w:sz="6" w:space="0" w:color="auto"/>
            </w:tcBorders>
          </w:tcPr>
          <w:p w14:paraId="5753E23D" w14:textId="77777777" w:rsidR="00D60A5D" w:rsidRPr="001A7517" w:rsidRDefault="00D60A5D" w:rsidP="00623210">
            <w:pPr>
              <w:keepNext/>
              <w:keepLines/>
              <w:jc w:val="center"/>
            </w:pPr>
            <w:r w:rsidRPr="001A7517">
              <w:t>1</w:t>
            </w:r>
          </w:p>
        </w:tc>
        <w:tc>
          <w:tcPr>
            <w:tcW w:w="736" w:type="dxa"/>
            <w:tcBorders>
              <w:top w:val="single" w:sz="6" w:space="0" w:color="auto"/>
              <w:left w:val="single" w:sz="6" w:space="0" w:color="auto"/>
              <w:bottom w:val="single" w:sz="6" w:space="0" w:color="auto"/>
              <w:right w:val="single" w:sz="6" w:space="0" w:color="auto"/>
            </w:tcBorders>
          </w:tcPr>
          <w:p w14:paraId="481B1C32" w14:textId="77777777" w:rsidR="00D60A5D" w:rsidRPr="001A7517" w:rsidRDefault="00D60A5D" w:rsidP="00623210">
            <w:pPr>
              <w:keepNext/>
              <w:keepLines/>
              <w:jc w:val="center"/>
            </w:pPr>
            <w:r w:rsidRPr="001A7517">
              <w:t>2</w:t>
            </w:r>
          </w:p>
        </w:tc>
        <w:tc>
          <w:tcPr>
            <w:tcW w:w="737" w:type="dxa"/>
            <w:tcBorders>
              <w:top w:val="single" w:sz="6" w:space="0" w:color="auto"/>
              <w:left w:val="single" w:sz="6" w:space="0" w:color="auto"/>
              <w:bottom w:val="single" w:sz="6" w:space="0" w:color="auto"/>
              <w:right w:val="single" w:sz="6" w:space="0" w:color="auto"/>
            </w:tcBorders>
          </w:tcPr>
          <w:p w14:paraId="5315826E" w14:textId="77777777" w:rsidR="00D60A5D" w:rsidRPr="001A7517" w:rsidRDefault="00D60A5D" w:rsidP="00623210">
            <w:pPr>
              <w:keepNext/>
              <w:keepLines/>
              <w:jc w:val="center"/>
            </w:pPr>
            <w:r w:rsidRPr="001A7517">
              <w:t>3</w:t>
            </w:r>
          </w:p>
        </w:tc>
        <w:tc>
          <w:tcPr>
            <w:tcW w:w="737" w:type="dxa"/>
            <w:tcBorders>
              <w:top w:val="single" w:sz="6" w:space="0" w:color="auto"/>
              <w:left w:val="single" w:sz="6" w:space="0" w:color="auto"/>
              <w:bottom w:val="single" w:sz="6" w:space="0" w:color="auto"/>
              <w:right w:val="single" w:sz="6" w:space="0" w:color="auto"/>
            </w:tcBorders>
          </w:tcPr>
          <w:p w14:paraId="7B398EBF" w14:textId="77777777" w:rsidR="00D60A5D" w:rsidRPr="001A7517" w:rsidRDefault="00D60A5D" w:rsidP="00623210">
            <w:pPr>
              <w:keepNext/>
              <w:keepLines/>
              <w:jc w:val="center"/>
            </w:pPr>
            <w:r w:rsidRPr="001A7517">
              <w:t>5</w:t>
            </w:r>
          </w:p>
        </w:tc>
        <w:tc>
          <w:tcPr>
            <w:tcW w:w="737" w:type="dxa"/>
            <w:tcBorders>
              <w:top w:val="single" w:sz="6" w:space="0" w:color="auto"/>
              <w:left w:val="single" w:sz="6" w:space="0" w:color="auto"/>
              <w:bottom w:val="single" w:sz="6" w:space="0" w:color="auto"/>
              <w:right w:val="single" w:sz="6" w:space="0" w:color="auto"/>
            </w:tcBorders>
          </w:tcPr>
          <w:p w14:paraId="6A263EF4" w14:textId="77777777" w:rsidR="00D60A5D" w:rsidRPr="001A7517" w:rsidRDefault="00D60A5D" w:rsidP="00623210">
            <w:pPr>
              <w:keepNext/>
              <w:keepLines/>
              <w:jc w:val="center"/>
            </w:pPr>
            <w:r w:rsidRPr="001A7517">
              <w:t>7</w:t>
            </w:r>
          </w:p>
        </w:tc>
        <w:tc>
          <w:tcPr>
            <w:tcW w:w="737" w:type="dxa"/>
            <w:tcBorders>
              <w:top w:val="single" w:sz="6" w:space="0" w:color="auto"/>
              <w:left w:val="single" w:sz="6" w:space="0" w:color="auto"/>
              <w:bottom w:val="single" w:sz="6" w:space="0" w:color="auto"/>
              <w:right w:val="single" w:sz="6" w:space="0" w:color="auto"/>
            </w:tcBorders>
          </w:tcPr>
          <w:p w14:paraId="584A035C" w14:textId="77777777" w:rsidR="00D60A5D" w:rsidRPr="001A7517" w:rsidRDefault="00D60A5D" w:rsidP="00623210">
            <w:pPr>
              <w:keepNext/>
              <w:keepLines/>
              <w:jc w:val="center"/>
            </w:pPr>
            <w:r w:rsidRPr="001A7517">
              <w:t>10</w:t>
            </w:r>
          </w:p>
        </w:tc>
        <w:tc>
          <w:tcPr>
            <w:tcW w:w="737" w:type="dxa"/>
            <w:tcBorders>
              <w:top w:val="single" w:sz="6" w:space="0" w:color="auto"/>
              <w:left w:val="single" w:sz="6" w:space="0" w:color="auto"/>
              <w:bottom w:val="single" w:sz="6" w:space="0" w:color="auto"/>
              <w:right w:val="single" w:sz="6" w:space="0" w:color="auto"/>
            </w:tcBorders>
          </w:tcPr>
          <w:p w14:paraId="2A6FCFC4" w14:textId="77777777" w:rsidR="00D60A5D" w:rsidRPr="001A7517" w:rsidRDefault="00D60A5D" w:rsidP="00623210">
            <w:pPr>
              <w:keepNext/>
              <w:keepLines/>
              <w:jc w:val="center"/>
            </w:pPr>
            <w:r w:rsidRPr="001A7517">
              <w:t>15</w:t>
            </w:r>
          </w:p>
        </w:tc>
        <w:tc>
          <w:tcPr>
            <w:tcW w:w="737" w:type="dxa"/>
            <w:tcBorders>
              <w:top w:val="single" w:sz="6" w:space="0" w:color="auto"/>
              <w:left w:val="single" w:sz="6" w:space="0" w:color="auto"/>
              <w:bottom w:val="single" w:sz="6" w:space="0" w:color="auto"/>
              <w:right w:val="single" w:sz="6" w:space="0" w:color="auto"/>
            </w:tcBorders>
          </w:tcPr>
          <w:p w14:paraId="1E8268E6" w14:textId="77777777" w:rsidR="00D60A5D" w:rsidRPr="001A7517" w:rsidRDefault="00D60A5D" w:rsidP="00623210">
            <w:pPr>
              <w:keepNext/>
              <w:keepLines/>
              <w:jc w:val="center"/>
            </w:pPr>
            <w:r w:rsidRPr="001A7517">
              <w:t>20</w:t>
            </w:r>
          </w:p>
        </w:tc>
        <w:tc>
          <w:tcPr>
            <w:tcW w:w="737" w:type="dxa"/>
            <w:tcBorders>
              <w:top w:val="single" w:sz="6" w:space="0" w:color="auto"/>
              <w:left w:val="single" w:sz="6" w:space="0" w:color="auto"/>
              <w:bottom w:val="single" w:sz="6" w:space="0" w:color="auto"/>
              <w:right w:val="single" w:sz="6" w:space="0" w:color="auto"/>
            </w:tcBorders>
          </w:tcPr>
          <w:p w14:paraId="0BFEF91A" w14:textId="77777777" w:rsidR="00D60A5D" w:rsidRPr="001A7517" w:rsidRDefault="00D60A5D" w:rsidP="00623210">
            <w:pPr>
              <w:keepNext/>
              <w:keepLines/>
              <w:jc w:val="center"/>
            </w:pPr>
            <w:r w:rsidRPr="001A7517">
              <w:t>25</w:t>
            </w:r>
          </w:p>
        </w:tc>
        <w:tc>
          <w:tcPr>
            <w:tcW w:w="737" w:type="dxa"/>
            <w:tcBorders>
              <w:top w:val="single" w:sz="6" w:space="0" w:color="auto"/>
              <w:left w:val="single" w:sz="6" w:space="0" w:color="auto"/>
              <w:bottom w:val="single" w:sz="6" w:space="0" w:color="auto"/>
            </w:tcBorders>
          </w:tcPr>
          <w:p w14:paraId="4FA7211A" w14:textId="77777777" w:rsidR="00D60A5D" w:rsidRPr="001A7517" w:rsidRDefault="00D60A5D" w:rsidP="00623210">
            <w:pPr>
              <w:keepNext/>
              <w:keepLines/>
              <w:jc w:val="center"/>
            </w:pPr>
            <w:r w:rsidRPr="001A7517">
              <w:t>30</w:t>
            </w:r>
          </w:p>
        </w:tc>
      </w:tr>
      <w:tr w:rsidR="00D60A5D" w:rsidRPr="001A7517" w14:paraId="0272C4C7" w14:textId="77777777" w:rsidTr="00623210">
        <w:tc>
          <w:tcPr>
            <w:tcW w:w="1440" w:type="dxa"/>
            <w:tcBorders>
              <w:top w:val="single" w:sz="6" w:space="0" w:color="auto"/>
              <w:right w:val="single" w:sz="6" w:space="0" w:color="auto"/>
            </w:tcBorders>
          </w:tcPr>
          <w:p w14:paraId="7AC39B2D" w14:textId="77777777" w:rsidR="00D60A5D" w:rsidRPr="001A7517" w:rsidRDefault="00D60A5D" w:rsidP="00623210">
            <w:r w:rsidRPr="001A7517">
              <w:t>0.25</w:t>
            </w:r>
          </w:p>
        </w:tc>
        <w:tc>
          <w:tcPr>
            <w:tcW w:w="736" w:type="dxa"/>
            <w:tcBorders>
              <w:top w:val="single" w:sz="6" w:space="0" w:color="auto"/>
              <w:left w:val="single" w:sz="6" w:space="0" w:color="auto"/>
              <w:right w:val="single" w:sz="6" w:space="0" w:color="auto"/>
            </w:tcBorders>
          </w:tcPr>
          <w:p w14:paraId="3D25151E" w14:textId="77777777" w:rsidR="00D60A5D" w:rsidRPr="001A7517" w:rsidRDefault="00D60A5D" w:rsidP="00623210">
            <w:pPr>
              <w:jc w:val="center"/>
            </w:pPr>
            <w:r w:rsidRPr="001A7517">
              <w:t>159</w:t>
            </w:r>
          </w:p>
        </w:tc>
        <w:tc>
          <w:tcPr>
            <w:tcW w:w="736" w:type="dxa"/>
            <w:tcBorders>
              <w:top w:val="single" w:sz="6" w:space="0" w:color="auto"/>
              <w:left w:val="single" w:sz="6" w:space="0" w:color="auto"/>
              <w:right w:val="single" w:sz="6" w:space="0" w:color="auto"/>
            </w:tcBorders>
          </w:tcPr>
          <w:p w14:paraId="52A7FED5" w14:textId="77777777" w:rsidR="00D60A5D" w:rsidRPr="001A7517" w:rsidRDefault="00D60A5D" w:rsidP="00623210">
            <w:pPr>
              <w:jc w:val="center"/>
            </w:pPr>
            <w:r w:rsidRPr="001A7517">
              <w:t>153</w:t>
            </w:r>
          </w:p>
        </w:tc>
        <w:tc>
          <w:tcPr>
            <w:tcW w:w="736" w:type="dxa"/>
            <w:tcBorders>
              <w:top w:val="single" w:sz="6" w:space="0" w:color="auto"/>
              <w:left w:val="single" w:sz="6" w:space="0" w:color="auto"/>
              <w:right w:val="single" w:sz="6" w:space="0" w:color="auto"/>
            </w:tcBorders>
          </w:tcPr>
          <w:p w14:paraId="11E8108A" w14:textId="77777777" w:rsidR="00D60A5D" w:rsidRPr="001A7517" w:rsidRDefault="00D60A5D" w:rsidP="00623210">
            <w:pPr>
              <w:jc w:val="center"/>
            </w:pPr>
            <w:r w:rsidRPr="001A7517">
              <w:t>140</w:t>
            </w:r>
          </w:p>
        </w:tc>
        <w:tc>
          <w:tcPr>
            <w:tcW w:w="737" w:type="dxa"/>
            <w:tcBorders>
              <w:top w:val="single" w:sz="6" w:space="0" w:color="auto"/>
              <w:left w:val="single" w:sz="6" w:space="0" w:color="auto"/>
              <w:right w:val="single" w:sz="6" w:space="0" w:color="auto"/>
            </w:tcBorders>
          </w:tcPr>
          <w:p w14:paraId="0ECF4BD6" w14:textId="77777777" w:rsidR="00D60A5D" w:rsidRPr="001A7517" w:rsidRDefault="00D60A5D" w:rsidP="00623210">
            <w:pPr>
              <w:jc w:val="center"/>
            </w:pPr>
            <w:r w:rsidRPr="001A7517">
              <w:t>128</w:t>
            </w:r>
          </w:p>
        </w:tc>
        <w:tc>
          <w:tcPr>
            <w:tcW w:w="737" w:type="dxa"/>
            <w:tcBorders>
              <w:top w:val="single" w:sz="6" w:space="0" w:color="auto"/>
              <w:left w:val="single" w:sz="6" w:space="0" w:color="auto"/>
              <w:right w:val="single" w:sz="6" w:space="0" w:color="auto"/>
            </w:tcBorders>
          </w:tcPr>
          <w:p w14:paraId="419D1214" w14:textId="77777777" w:rsidR="00D60A5D" w:rsidRPr="001A7517" w:rsidRDefault="00D60A5D" w:rsidP="00623210">
            <w:pPr>
              <w:jc w:val="center"/>
            </w:pPr>
            <w:r w:rsidRPr="001A7517">
              <w:t>107</w:t>
            </w:r>
          </w:p>
        </w:tc>
        <w:tc>
          <w:tcPr>
            <w:tcW w:w="737" w:type="dxa"/>
            <w:tcBorders>
              <w:top w:val="single" w:sz="6" w:space="0" w:color="auto"/>
              <w:left w:val="single" w:sz="6" w:space="0" w:color="auto"/>
              <w:right w:val="single" w:sz="6" w:space="0" w:color="auto"/>
            </w:tcBorders>
          </w:tcPr>
          <w:p w14:paraId="41CB7217" w14:textId="77777777" w:rsidR="00D60A5D" w:rsidRPr="001A7517" w:rsidRDefault="00D60A5D" w:rsidP="00623210">
            <w:pPr>
              <w:jc w:val="center"/>
            </w:pPr>
            <w:r w:rsidRPr="001A7517">
              <w:t>90</w:t>
            </w:r>
          </w:p>
        </w:tc>
        <w:tc>
          <w:tcPr>
            <w:tcW w:w="737" w:type="dxa"/>
            <w:tcBorders>
              <w:top w:val="single" w:sz="6" w:space="0" w:color="auto"/>
              <w:left w:val="single" w:sz="6" w:space="0" w:color="auto"/>
              <w:right w:val="single" w:sz="6" w:space="0" w:color="auto"/>
            </w:tcBorders>
          </w:tcPr>
          <w:p w14:paraId="34E4BA9E" w14:textId="77777777" w:rsidR="00D60A5D" w:rsidRPr="001A7517" w:rsidRDefault="00D60A5D" w:rsidP="00623210">
            <w:pPr>
              <w:jc w:val="center"/>
            </w:pPr>
            <w:r w:rsidRPr="001A7517">
              <w:t>69</w:t>
            </w:r>
          </w:p>
        </w:tc>
        <w:tc>
          <w:tcPr>
            <w:tcW w:w="737" w:type="dxa"/>
            <w:tcBorders>
              <w:top w:val="single" w:sz="6" w:space="0" w:color="auto"/>
              <w:left w:val="single" w:sz="6" w:space="0" w:color="auto"/>
              <w:right w:val="single" w:sz="6" w:space="0" w:color="auto"/>
            </w:tcBorders>
          </w:tcPr>
          <w:p w14:paraId="45D80635" w14:textId="77777777" w:rsidR="00D60A5D" w:rsidRPr="001A7517" w:rsidRDefault="00D60A5D" w:rsidP="00623210">
            <w:pPr>
              <w:jc w:val="center"/>
            </w:pPr>
            <w:r w:rsidRPr="001A7517">
              <w:t>45</w:t>
            </w:r>
          </w:p>
        </w:tc>
        <w:tc>
          <w:tcPr>
            <w:tcW w:w="737" w:type="dxa"/>
            <w:tcBorders>
              <w:top w:val="single" w:sz="6" w:space="0" w:color="auto"/>
              <w:left w:val="single" w:sz="6" w:space="0" w:color="auto"/>
              <w:right w:val="single" w:sz="6" w:space="0" w:color="auto"/>
            </w:tcBorders>
          </w:tcPr>
          <w:p w14:paraId="0B72EBAF" w14:textId="77777777" w:rsidR="00D60A5D" w:rsidRPr="001A7517" w:rsidRDefault="00D60A5D" w:rsidP="00623210">
            <w:pPr>
              <w:jc w:val="center"/>
            </w:pPr>
            <w:r w:rsidRPr="001A7517">
              <w:t>29</w:t>
            </w:r>
          </w:p>
        </w:tc>
        <w:tc>
          <w:tcPr>
            <w:tcW w:w="737" w:type="dxa"/>
            <w:tcBorders>
              <w:top w:val="single" w:sz="6" w:space="0" w:color="auto"/>
              <w:left w:val="single" w:sz="6" w:space="0" w:color="auto"/>
              <w:right w:val="single" w:sz="6" w:space="0" w:color="auto"/>
            </w:tcBorders>
          </w:tcPr>
          <w:p w14:paraId="52C8568A" w14:textId="77777777" w:rsidR="00D60A5D" w:rsidRPr="001A7517" w:rsidRDefault="00D60A5D" w:rsidP="00623210">
            <w:pPr>
              <w:jc w:val="center"/>
            </w:pPr>
            <w:r w:rsidRPr="001A7517">
              <w:t>19</w:t>
            </w:r>
          </w:p>
        </w:tc>
        <w:tc>
          <w:tcPr>
            <w:tcW w:w="737" w:type="dxa"/>
            <w:tcBorders>
              <w:top w:val="single" w:sz="6" w:space="0" w:color="auto"/>
              <w:left w:val="single" w:sz="6" w:space="0" w:color="auto"/>
            </w:tcBorders>
          </w:tcPr>
          <w:p w14:paraId="6AACCE49" w14:textId="77777777" w:rsidR="00D60A5D" w:rsidRPr="001A7517" w:rsidRDefault="00D60A5D" w:rsidP="00623210">
            <w:pPr>
              <w:jc w:val="center"/>
            </w:pPr>
            <w:r w:rsidRPr="001A7517">
              <w:t>12</w:t>
            </w:r>
          </w:p>
        </w:tc>
      </w:tr>
      <w:tr w:rsidR="00D60A5D" w:rsidRPr="001A7517" w14:paraId="2916BFA8" w14:textId="77777777" w:rsidTr="00623210">
        <w:tc>
          <w:tcPr>
            <w:tcW w:w="1440" w:type="dxa"/>
            <w:tcBorders>
              <w:right w:val="single" w:sz="6" w:space="0" w:color="auto"/>
            </w:tcBorders>
          </w:tcPr>
          <w:p w14:paraId="07F3BC3F" w14:textId="77777777" w:rsidR="00D60A5D" w:rsidRPr="001A7517" w:rsidRDefault="00D60A5D" w:rsidP="00623210">
            <w:r w:rsidRPr="001A7517">
              <w:rPr>
                <w:szCs w:val="16"/>
              </w:rPr>
              <w:t>0.5</w:t>
            </w:r>
          </w:p>
        </w:tc>
        <w:tc>
          <w:tcPr>
            <w:tcW w:w="736" w:type="dxa"/>
            <w:tcBorders>
              <w:left w:val="single" w:sz="6" w:space="0" w:color="auto"/>
              <w:right w:val="single" w:sz="6" w:space="0" w:color="auto"/>
            </w:tcBorders>
          </w:tcPr>
          <w:p w14:paraId="2C8967F9" w14:textId="77777777" w:rsidR="00D60A5D" w:rsidRPr="001A7517" w:rsidRDefault="00D60A5D" w:rsidP="00623210">
            <w:pPr>
              <w:jc w:val="center"/>
            </w:pPr>
            <w:r w:rsidRPr="001A7517">
              <w:rPr>
                <w:szCs w:val="16"/>
              </w:rPr>
              <w:t>319</w:t>
            </w:r>
          </w:p>
        </w:tc>
        <w:tc>
          <w:tcPr>
            <w:tcW w:w="736" w:type="dxa"/>
            <w:tcBorders>
              <w:left w:val="single" w:sz="6" w:space="0" w:color="auto"/>
              <w:right w:val="single" w:sz="6" w:space="0" w:color="auto"/>
            </w:tcBorders>
          </w:tcPr>
          <w:p w14:paraId="2E6696F0" w14:textId="77777777" w:rsidR="00D60A5D" w:rsidRPr="001A7517" w:rsidRDefault="00D60A5D" w:rsidP="00623210">
            <w:pPr>
              <w:jc w:val="center"/>
            </w:pPr>
            <w:r w:rsidRPr="001A7517">
              <w:rPr>
                <w:szCs w:val="16"/>
              </w:rPr>
              <w:t>305</w:t>
            </w:r>
          </w:p>
        </w:tc>
        <w:tc>
          <w:tcPr>
            <w:tcW w:w="736" w:type="dxa"/>
            <w:tcBorders>
              <w:left w:val="single" w:sz="6" w:space="0" w:color="auto"/>
              <w:right w:val="single" w:sz="6" w:space="0" w:color="auto"/>
            </w:tcBorders>
          </w:tcPr>
          <w:p w14:paraId="30B93776" w14:textId="77777777" w:rsidR="00D60A5D" w:rsidRPr="001A7517" w:rsidRDefault="00D60A5D" w:rsidP="00623210">
            <w:pPr>
              <w:jc w:val="center"/>
            </w:pPr>
            <w:r w:rsidRPr="001A7517">
              <w:rPr>
                <w:szCs w:val="16"/>
              </w:rPr>
              <w:t>279</w:t>
            </w:r>
          </w:p>
        </w:tc>
        <w:tc>
          <w:tcPr>
            <w:tcW w:w="737" w:type="dxa"/>
            <w:tcBorders>
              <w:left w:val="single" w:sz="6" w:space="0" w:color="auto"/>
              <w:right w:val="single" w:sz="6" w:space="0" w:color="auto"/>
            </w:tcBorders>
          </w:tcPr>
          <w:p w14:paraId="4C9189E3" w14:textId="77777777" w:rsidR="00D60A5D" w:rsidRPr="001A7517" w:rsidRDefault="00D60A5D" w:rsidP="00623210">
            <w:pPr>
              <w:jc w:val="center"/>
            </w:pPr>
            <w:r w:rsidRPr="001A7517">
              <w:rPr>
                <w:szCs w:val="16"/>
              </w:rPr>
              <w:t>256</w:t>
            </w:r>
          </w:p>
        </w:tc>
        <w:tc>
          <w:tcPr>
            <w:tcW w:w="737" w:type="dxa"/>
            <w:tcBorders>
              <w:left w:val="single" w:sz="6" w:space="0" w:color="auto"/>
              <w:right w:val="single" w:sz="6" w:space="0" w:color="auto"/>
            </w:tcBorders>
          </w:tcPr>
          <w:p w14:paraId="0663ADC3" w14:textId="77777777" w:rsidR="00D60A5D" w:rsidRPr="001A7517" w:rsidRDefault="00D60A5D" w:rsidP="00623210">
            <w:pPr>
              <w:jc w:val="center"/>
            </w:pPr>
            <w:r w:rsidRPr="001A7517">
              <w:rPr>
                <w:szCs w:val="16"/>
              </w:rPr>
              <w:t>214</w:t>
            </w:r>
          </w:p>
        </w:tc>
        <w:tc>
          <w:tcPr>
            <w:tcW w:w="737" w:type="dxa"/>
            <w:tcBorders>
              <w:left w:val="single" w:sz="6" w:space="0" w:color="auto"/>
              <w:right w:val="single" w:sz="6" w:space="0" w:color="auto"/>
            </w:tcBorders>
          </w:tcPr>
          <w:p w14:paraId="390DB701" w14:textId="77777777" w:rsidR="00D60A5D" w:rsidRPr="001A7517" w:rsidRDefault="00D60A5D" w:rsidP="00623210">
            <w:pPr>
              <w:jc w:val="center"/>
            </w:pPr>
            <w:r w:rsidRPr="001A7517">
              <w:rPr>
                <w:szCs w:val="16"/>
              </w:rPr>
              <w:t>180</w:t>
            </w:r>
          </w:p>
        </w:tc>
        <w:tc>
          <w:tcPr>
            <w:tcW w:w="737" w:type="dxa"/>
            <w:tcBorders>
              <w:left w:val="single" w:sz="6" w:space="0" w:color="auto"/>
              <w:right w:val="single" w:sz="6" w:space="0" w:color="auto"/>
            </w:tcBorders>
          </w:tcPr>
          <w:p w14:paraId="5E327ECC" w14:textId="77777777" w:rsidR="00D60A5D" w:rsidRPr="001A7517" w:rsidRDefault="00D60A5D" w:rsidP="00623210">
            <w:pPr>
              <w:jc w:val="center"/>
            </w:pPr>
            <w:r w:rsidRPr="001A7517">
              <w:rPr>
                <w:szCs w:val="16"/>
              </w:rPr>
              <w:t>138</w:t>
            </w:r>
          </w:p>
        </w:tc>
        <w:tc>
          <w:tcPr>
            <w:tcW w:w="737" w:type="dxa"/>
            <w:tcBorders>
              <w:left w:val="single" w:sz="6" w:space="0" w:color="auto"/>
              <w:right w:val="single" w:sz="6" w:space="0" w:color="auto"/>
            </w:tcBorders>
          </w:tcPr>
          <w:p w14:paraId="5237455B" w14:textId="77777777" w:rsidR="00D60A5D" w:rsidRPr="001A7517" w:rsidRDefault="00D60A5D" w:rsidP="00623210">
            <w:pPr>
              <w:jc w:val="center"/>
            </w:pPr>
            <w:r w:rsidRPr="001A7517">
              <w:rPr>
                <w:szCs w:val="16"/>
              </w:rPr>
              <w:t>89</w:t>
            </w:r>
          </w:p>
        </w:tc>
        <w:tc>
          <w:tcPr>
            <w:tcW w:w="737" w:type="dxa"/>
            <w:tcBorders>
              <w:left w:val="single" w:sz="6" w:space="0" w:color="auto"/>
              <w:right w:val="single" w:sz="6" w:space="0" w:color="auto"/>
            </w:tcBorders>
          </w:tcPr>
          <w:p w14:paraId="2D6C8775" w14:textId="77777777" w:rsidR="00D60A5D" w:rsidRPr="001A7517" w:rsidRDefault="00D60A5D" w:rsidP="00623210">
            <w:pPr>
              <w:jc w:val="center"/>
            </w:pPr>
            <w:r w:rsidRPr="001A7517">
              <w:rPr>
                <w:szCs w:val="16"/>
              </w:rPr>
              <w:t>58</w:t>
            </w:r>
          </w:p>
        </w:tc>
        <w:tc>
          <w:tcPr>
            <w:tcW w:w="737" w:type="dxa"/>
            <w:tcBorders>
              <w:left w:val="single" w:sz="6" w:space="0" w:color="auto"/>
              <w:right w:val="single" w:sz="6" w:space="0" w:color="auto"/>
            </w:tcBorders>
          </w:tcPr>
          <w:p w14:paraId="37954D59" w14:textId="77777777" w:rsidR="00D60A5D" w:rsidRPr="001A7517" w:rsidRDefault="00D60A5D" w:rsidP="00623210">
            <w:pPr>
              <w:jc w:val="center"/>
            </w:pPr>
            <w:r w:rsidRPr="001A7517">
              <w:rPr>
                <w:szCs w:val="16"/>
              </w:rPr>
              <w:t>38</w:t>
            </w:r>
          </w:p>
        </w:tc>
        <w:tc>
          <w:tcPr>
            <w:tcW w:w="737" w:type="dxa"/>
            <w:tcBorders>
              <w:left w:val="single" w:sz="6" w:space="0" w:color="auto"/>
            </w:tcBorders>
          </w:tcPr>
          <w:p w14:paraId="75C531DC" w14:textId="77777777" w:rsidR="00D60A5D" w:rsidRPr="001A7517" w:rsidRDefault="00D60A5D" w:rsidP="00623210">
            <w:pPr>
              <w:jc w:val="center"/>
            </w:pPr>
            <w:r w:rsidRPr="001A7517">
              <w:rPr>
                <w:szCs w:val="16"/>
              </w:rPr>
              <w:t>24</w:t>
            </w:r>
          </w:p>
        </w:tc>
      </w:tr>
      <w:tr w:rsidR="00D60A5D" w:rsidRPr="001A7517" w14:paraId="730E7808" w14:textId="77777777" w:rsidTr="00623210">
        <w:tc>
          <w:tcPr>
            <w:tcW w:w="1440" w:type="dxa"/>
            <w:tcBorders>
              <w:right w:val="single" w:sz="6" w:space="0" w:color="auto"/>
            </w:tcBorders>
          </w:tcPr>
          <w:p w14:paraId="68C357E3" w14:textId="77777777" w:rsidR="00D60A5D" w:rsidRPr="001A7517" w:rsidRDefault="00D60A5D" w:rsidP="00623210">
            <w:r w:rsidRPr="001A7517">
              <w:rPr>
                <w:szCs w:val="16"/>
              </w:rPr>
              <w:t>1.0</w:t>
            </w:r>
          </w:p>
        </w:tc>
        <w:tc>
          <w:tcPr>
            <w:tcW w:w="736" w:type="dxa"/>
            <w:tcBorders>
              <w:left w:val="single" w:sz="6" w:space="0" w:color="auto"/>
              <w:right w:val="single" w:sz="6" w:space="0" w:color="auto"/>
            </w:tcBorders>
          </w:tcPr>
          <w:p w14:paraId="290F80B9" w14:textId="77777777" w:rsidR="00D60A5D" w:rsidRPr="001A7517" w:rsidRDefault="00D60A5D" w:rsidP="00623210">
            <w:pPr>
              <w:jc w:val="center"/>
            </w:pPr>
            <w:r w:rsidRPr="001A7517">
              <w:rPr>
                <w:szCs w:val="16"/>
              </w:rPr>
              <w:t>637</w:t>
            </w:r>
          </w:p>
        </w:tc>
        <w:tc>
          <w:tcPr>
            <w:tcW w:w="736" w:type="dxa"/>
            <w:tcBorders>
              <w:left w:val="single" w:sz="6" w:space="0" w:color="auto"/>
              <w:right w:val="single" w:sz="6" w:space="0" w:color="auto"/>
            </w:tcBorders>
          </w:tcPr>
          <w:p w14:paraId="52CA0A34" w14:textId="77777777" w:rsidR="00D60A5D" w:rsidRPr="001A7517" w:rsidRDefault="00D60A5D" w:rsidP="00623210">
            <w:pPr>
              <w:jc w:val="center"/>
            </w:pPr>
            <w:r w:rsidRPr="001A7517">
              <w:rPr>
                <w:szCs w:val="16"/>
              </w:rPr>
              <w:t>610</w:t>
            </w:r>
          </w:p>
        </w:tc>
        <w:tc>
          <w:tcPr>
            <w:tcW w:w="736" w:type="dxa"/>
            <w:tcBorders>
              <w:left w:val="single" w:sz="6" w:space="0" w:color="auto"/>
              <w:right w:val="single" w:sz="6" w:space="0" w:color="auto"/>
            </w:tcBorders>
          </w:tcPr>
          <w:p w14:paraId="2BF6544B" w14:textId="77777777" w:rsidR="00D60A5D" w:rsidRPr="001A7517" w:rsidRDefault="00D60A5D" w:rsidP="00623210">
            <w:pPr>
              <w:jc w:val="center"/>
            </w:pPr>
            <w:r w:rsidRPr="001A7517">
              <w:rPr>
                <w:szCs w:val="16"/>
              </w:rPr>
              <w:t>558</w:t>
            </w:r>
          </w:p>
        </w:tc>
        <w:tc>
          <w:tcPr>
            <w:tcW w:w="737" w:type="dxa"/>
            <w:tcBorders>
              <w:left w:val="single" w:sz="6" w:space="0" w:color="auto"/>
              <w:right w:val="single" w:sz="6" w:space="0" w:color="auto"/>
            </w:tcBorders>
          </w:tcPr>
          <w:p w14:paraId="240C8E33" w14:textId="77777777" w:rsidR="00D60A5D" w:rsidRPr="001A7517" w:rsidRDefault="00D60A5D" w:rsidP="00623210">
            <w:pPr>
              <w:jc w:val="center"/>
            </w:pPr>
            <w:r w:rsidRPr="001A7517">
              <w:rPr>
                <w:szCs w:val="16"/>
              </w:rPr>
              <w:t>511</w:t>
            </w:r>
          </w:p>
        </w:tc>
        <w:tc>
          <w:tcPr>
            <w:tcW w:w="737" w:type="dxa"/>
            <w:tcBorders>
              <w:left w:val="single" w:sz="6" w:space="0" w:color="auto"/>
              <w:right w:val="single" w:sz="6" w:space="0" w:color="auto"/>
            </w:tcBorders>
          </w:tcPr>
          <w:p w14:paraId="10B802E9" w14:textId="77777777" w:rsidR="00D60A5D" w:rsidRPr="001A7517" w:rsidRDefault="00D60A5D" w:rsidP="00623210">
            <w:pPr>
              <w:jc w:val="center"/>
            </w:pPr>
            <w:r w:rsidRPr="001A7517">
              <w:rPr>
                <w:szCs w:val="16"/>
              </w:rPr>
              <w:t>429</w:t>
            </w:r>
          </w:p>
        </w:tc>
        <w:tc>
          <w:tcPr>
            <w:tcW w:w="737" w:type="dxa"/>
            <w:tcBorders>
              <w:left w:val="single" w:sz="6" w:space="0" w:color="auto"/>
              <w:right w:val="single" w:sz="6" w:space="0" w:color="auto"/>
            </w:tcBorders>
          </w:tcPr>
          <w:p w14:paraId="7E5469F3" w14:textId="77777777" w:rsidR="00D60A5D" w:rsidRPr="001A7517" w:rsidRDefault="00D60A5D" w:rsidP="00623210">
            <w:pPr>
              <w:jc w:val="center"/>
            </w:pPr>
            <w:r w:rsidRPr="001A7517">
              <w:rPr>
                <w:szCs w:val="16"/>
              </w:rPr>
              <w:t>360</w:t>
            </w:r>
          </w:p>
        </w:tc>
        <w:tc>
          <w:tcPr>
            <w:tcW w:w="737" w:type="dxa"/>
            <w:tcBorders>
              <w:left w:val="single" w:sz="6" w:space="0" w:color="auto"/>
              <w:right w:val="single" w:sz="6" w:space="0" w:color="auto"/>
            </w:tcBorders>
          </w:tcPr>
          <w:p w14:paraId="07719028" w14:textId="77777777" w:rsidR="00D60A5D" w:rsidRPr="001A7517" w:rsidRDefault="00D60A5D" w:rsidP="00623210">
            <w:pPr>
              <w:jc w:val="center"/>
            </w:pPr>
            <w:r w:rsidRPr="001A7517">
              <w:rPr>
                <w:szCs w:val="16"/>
              </w:rPr>
              <w:t>277</w:t>
            </w:r>
          </w:p>
        </w:tc>
        <w:tc>
          <w:tcPr>
            <w:tcW w:w="737" w:type="dxa"/>
            <w:tcBorders>
              <w:left w:val="single" w:sz="6" w:space="0" w:color="auto"/>
              <w:right w:val="single" w:sz="6" w:space="0" w:color="auto"/>
            </w:tcBorders>
          </w:tcPr>
          <w:p w14:paraId="2AB41231" w14:textId="77777777" w:rsidR="00D60A5D" w:rsidRPr="001A7517" w:rsidRDefault="00D60A5D" w:rsidP="00623210">
            <w:pPr>
              <w:jc w:val="center"/>
            </w:pPr>
            <w:r w:rsidRPr="001A7517">
              <w:rPr>
                <w:szCs w:val="16"/>
              </w:rPr>
              <w:t>179</w:t>
            </w:r>
          </w:p>
        </w:tc>
        <w:tc>
          <w:tcPr>
            <w:tcW w:w="737" w:type="dxa"/>
            <w:tcBorders>
              <w:left w:val="single" w:sz="6" w:space="0" w:color="auto"/>
              <w:right w:val="single" w:sz="6" w:space="0" w:color="auto"/>
            </w:tcBorders>
          </w:tcPr>
          <w:p w14:paraId="592ABC76" w14:textId="77777777" w:rsidR="00D60A5D" w:rsidRPr="001A7517" w:rsidRDefault="00D60A5D" w:rsidP="00623210">
            <w:pPr>
              <w:jc w:val="center"/>
            </w:pPr>
            <w:r w:rsidRPr="001A7517">
              <w:rPr>
                <w:szCs w:val="16"/>
              </w:rPr>
              <w:t>116</w:t>
            </w:r>
          </w:p>
        </w:tc>
        <w:tc>
          <w:tcPr>
            <w:tcW w:w="737" w:type="dxa"/>
            <w:tcBorders>
              <w:left w:val="single" w:sz="6" w:space="0" w:color="auto"/>
              <w:right w:val="single" w:sz="6" w:space="0" w:color="auto"/>
            </w:tcBorders>
          </w:tcPr>
          <w:p w14:paraId="578CF2D4" w14:textId="77777777" w:rsidR="00D60A5D" w:rsidRPr="001A7517" w:rsidRDefault="00D60A5D" w:rsidP="00623210">
            <w:pPr>
              <w:jc w:val="center"/>
            </w:pPr>
            <w:r w:rsidRPr="001A7517">
              <w:rPr>
                <w:szCs w:val="16"/>
              </w:rPr>
              <w:t>75</w:t>
            </w:r>
          </w:p>
        </w:tc>
        <w:tc>
          <w:tcPr>
            <w:tcW w:w="737" w:type="dxa"/>
            <w:tcBorders>
              <w:left w:val="single" w:sz="6" w:space="0" w:color="auto"/>
            </w:tcBorders>
          </w:tcPr>
          <w:p w14:paraId="554C8170" w14:textId="77777777" w:rsidR="00D60A5D" w:rsidRPr="001A7517" w:rsidRDefault="00D60A5D" w:rsidP="00623210">
            <w:pPr>
              <w:jc w:val="center"/>
            </w:pPr>
            <w:r w:rsidRPr="001A7517">
              <w:rPr>
                <w:szCs w:val="16"/>
              </w:rPr>
              <w:t>49</w:t>
            </w:r>
          </w:p>
        </w:tc>
      </w:tr>
      <w:tr w:rsidR="00D60A5D" w:rsidRPr="001A7517" w14:paraId="1BE8785E" w14:textId="77777777" w:rsidTr="00623210">
        <w:tc>
          <w:tcPr>
            <w:tcW w:w="1440" w:type="dxa"/>
            <w:tcBorders>
              <w:right w:val="single" w:sz="6" w:space="0" w:color="auto"/>
            </w:tcBorders>
          </w:tcPr>
          <w:p w14:paraId="0D1FBCA7" w14:textId="77777777" w:rsidR="00D60A5D" w:rsidRPr="001A7517" w:rsidRDefault="00D60A5D" w:rsidP="00623210">
            <w:r w:rsidRPr="001A7517">
              <w:rPr>
                <w:szCs w:val="16"/>
              </w:rPr>
              <w:t>1.5</w:t>
            </w:r>
          </w:p>
        </w:tc>
        <w:tc>
          <w:tcPr>
            <w:tcW w:w="736" w:type="dxa"/>
            <w:tcBorders>
              <w:left w:val="single" w:sz="6" w:space="0" w:color="auto"/>
              <w:right w:val="single" w:sz="6" w:space="0" w:color="auto"/>
            </w:tcBorders>
          </w:tcPr>
          <w:p w14:paraId="1594FBF5" w14:textId="77777777" w:rsidR="00D60A5D" w:rsidRPr="001A7517" w:rsidRDefault="00D60A5D" w:rsidP="00623210">
            <w:pPr>
              <w:jc w:val="center"/>
            </w:pPr>
            <w:r w:rsidRPr="001A7517">
              <w:rPr>
                <w:szCs w:val="16"/>
              </w:rPr>
              <w:t>956</w:t>
            </w:r>
          </w:p>
        </w:tc>
        <w:tc>
          <w:tcPr>
            <w:tcW w:w="736" w:type="dxa"/>
            <w:tcBorders>
              <w:left w:val="single" w:sz="6" w:space="0" w:color="auto"/>
              <w:right w:val="single" w:sz="6" w:space="0" w:color="auto"/>
            </w:tcBorders>
          </w:tcPr>
          <w:p w14:paraId="0F929CB4" w14:textId="77777777" w:rsidR="00D60A5D" w:rsidRPr="001A7517" w:rsidRDefault="00D60A5D" w:rsidP="00623210">
            <w:pPr>
              <w:jc w:val="center"/>
            </w:pPr>
            <w:r w:rsidRPr="001A7517">
              <w:rPr>
                <w:szCs w:val="16"/>
              </w:rPr>
              <w:t>915</w:t>
            </w:r>
          </w:p>
        </w:tc>
        <w:tc>
          <w:tcPr>
            <w:tcW w:w="736" w:type="dxa"/>
            <w:tcBorders>
              <w:left w:val="single" w:sz="6" w:space="0" w:color="auto"/>
              <w:right w:val="single" w:sz="6" w:space="0" w:color="auto"/>
            </w:tcBorders>
          </w:tcPr>
          <w:p w14:paraId="06926FCC" w14:textId="77777777" w:rsidR="00D60A5D" w:rsidRPr="001A7517" w:rsidRDefault="00D60A5D" w:rsidP="00623210">
            <w:pPr>
              <w:jc w:val="center"/>
            </w:pPr>
            <w:r w:rsidRPr="001A7517">
              <w:rPr>
                <w:szCs w:val="16"/>
              </w:rPr>
              <w:t>838</w:t>
            </w:r>
          </w:p>
        </w:tc>
        <w:tc>
          <w:tcPr>
            <w:tcW w:w="737" w:type="dxa"/>
            <w:tcBorders>
              <w:left w:val="single" w:sz="6" w:space="0" w:color="auto"/>
              <w:right w:val="single" w:sz="6" w:space="0" w:color="auto"/>
            </w:tcBorders>
          </w:tcPr>
          <w:p w14:paraId="3AD7A6BF" w14:textId="77777777" w:rsidR="00D60A5D" w:rsidRPr="001A7517" w:rsidRDefault="00D60A5D" w:rsidP="00623210">
            <w:pPr>
              <w:jc w:val="center"/>
            </w:pPr>
            <w:r w:rsidRPr="001A7517">
              <w:rPr>
                <w:szCs w:val="16"/>
              </w:rPr>
              <w:t>767</w:t>
            </w:r>
          </w:p>
        </w:tc>
        <w:tc>
          <w:tcPr>
            <w:tcW w:w="737" w:type="dxa"/>
            <w:tcBorders>
              <w:left w:val="single" w:sz="6" w:space="0" w:color="auto"/>
              <w:right w:val="single" w:sz="6" w:space="0" w:color="auto"/>
            </w:tcBorders>
          </w:tcPr>
          <w:p w14:paraId="7E24CBB8" w14:textId="77777777" w:rsidR="00D60A5D" w:rsidRPr="001A7517" w:rsidRDefault="00D60A5D" w:rsidP="00623210">
            <w:pPr>
              <w:jc w:val="center"/>
            </w:pPr>
            <w:r w:rsidRPr="001A7517">
              <w:rPr>
                <w:szCs w:val="16"/>
              </w:rPr>
              <w:t>643</w:t>
            </w:r>
          </w:p>
        </w:tc>
        <w:tc>
          <w:tcPr>
            <w:tcW w:w="737" w:type="dxa"/>
            <w:tcBorders>
              <w:left w:val="single" w:sz="6" w:space="0" w:color="auto"/>
              <w:right w:val="single" w:sz="6" w:space="0" w:color="auto"/>
            </w:tcBorders>
          </w:tcPr>
          <w:p w14:paraId="64A845FB" w14:textId="77777777" w:rsidR="00D60A5D" w:rsidRPr="001A7517" w:rsidRDefault="00D60A5D" w:rsidP="00623210">
            <w:pPr>
              <w:jc w:val="center"/>
            </w:pPr>
            <w:r w:rsidRPr="001A7517">
              <w:rPr>
                <w:szCs w:val="16"/>
              </w:rPr>
              <w:t>539</w:t>
            </w:r>
          </w:p>
        </w:tc>
        <w:tc>
          <w:tcPr>
            <w:tcW w:w="737" w:type="dxa"/>
            <w:tcBorders>
              <w:left w:val="single" w:sz="6" w:space="0" w:color="auto"/>
              <w:right w:val="single" w:sz="6" w:space="0" w:color="auto"/>
            </w:tcBorders>
          </w:tcPr>
          <w:p w14:paraId="26919D01" w14:textId="77777777" w:rsidR="00D60A5D" w:rsidRPr="001A7517" w:rsidRDefault="00D60A5D" w:rsidP="00623210">
            <w:pPr>
              <w:jc w:val="center"/>
            </w:pPr>
            <w:r w:rsidRPr="001A7517">
              <w:rPr>
                <w:szCs w:val="16"/>
              </w:rPr>
              <w:t>415</w:t>
            </w:r>
          </w:p>
        </w:tc>
        <w:tc>
          <w:tcPr>
            <w:tcW w:w="737" w:type="dxa"/>
            <w:tcBorders>
              <w:left w:val="single" w:sz="6" w:space="0" w:color="auto"/>
              <w:right w:val="single" w:sz="6" w:space="0" w:color="auto"/>
            </w:tcBorders>
          </w:tcPr>
          <w:p w14:paraId="3B40FBA4" w14:textId="77777777" w:rsidR="00D60A5D" w:rsidRPr="001A7517" w:rsidRDefault="00D60A5D" w:rsidP="00623210">
            <w:pPr>
              <w:jc w:val="center"/>
            </w:pPr>
            <w:r w:rsidRPr="001A7517">
              <w:rPr>
                <w:szCs w:val="16"/>
              </w:rPr>
              <w:t>268</w:t>
            </w:r>
          </w:p>
        </w:tc>
        <w:tc>
          <w:tcPr>
            <w:tcW w:w="737" w:type="dxa"/>
            <w:tcBorders>
              <w:left w:val="single" w:sz="6" w:space="0" w:color="auto"/>
              <w:right w:val="single" w:sz="6" w:space="0" w:color="auto"/>
            </w:tcBorders>
          </w:tcPr>
          <w:p w14:paraId="470298F8" w14:textId="77777777" w:rsidR="00D60A5D" w:rsidRPr="001A7517" w:rsidRDefault="00D60A5D" w:rsidP="00623210">
            <w:pPr>
              <w:jc w:val="center"/>
            </w:pPr>
            <w:r w:rsidRPr="001A7517">
              <w:rPr>
                <w:szCs w:val="16"/>
              </w:rPr>
              <w:t>174</w:t>
            </w:r>
          </w:p>
        </w:tc>
        <w:tc>
          <w:tcPr>
            <w:tcW w:w="737" w:type="dxa"/>
            <w:tcBorders>
              <w:left w:val="single" w:sz="6" w:space="0" w:color="auto"/>
              <w:right w:val="single" w:sz="6" w:space="0" w:color="auto"/>
            </w:tcBorders>
          </w:tcPr>
          <w:p w14:paraId="49B34C7E" w14:textId="77777777" w:rsidR="00D60A5D" w:rsidRPr="001A7517" w:rsidRDefault="00D60A5D" w:rsidP="00623210">
            <w:pPr>
              <w:jc w:val="center"/>
            </w:pPr>
            <w:r w:rsidRPr="001A7517">
              <w:rPr>
                <w:szCs w:val="16"/>
              </w:rPr>
              <w:t>113</w:t>
            </w:r>
          </w:p>
        </w:tc>
        <w:tc>
          <w:tcPr>
            <w:tcW w:w="737" w:type="dxa"/>
            <w:tcBorders>
              <w:left w:val="single" w:sz="6" w:space="0" w:color="auto"/>
            </w:tcBorders>
          </w:tcPr>
          <w:p w14:paraId="7E8A54E9" w14:textId="77777777" w:rsidR="00D60A5D" w:rsidRPr="001A7517" w:rsidRDefault="00D60A5D" w:rsidP="00623210">
            <w:pPr>
              <w:jc w:val="center"/>
            </w:pPr>
            <w:r w:rsidRPr="001A7517">
              <w:rPr>
                <w:szCs w:val="16"/>
              </w:rPr>
              <w:t>73</w:t>
            </w:r>
          </w:p>
        </w:tc>
      </w:tr>
      <w:tr w:rsidR="00D60A5D" w:rsidRPr="001A7517" w14:paraId="1C8071E8" w14:textId="77777777" w:rsidTr="00623210">
        <w:tc>
          <w:tcPr>
            <w:tcW w:w="1440" w:type="dxa"/>
            <w:tcBorders>
              <w:right w:val="single" w:sz="6" w:space="0" w:color="auto"/>
            </w:tcBorders>
          </w:tcPr>
          <w:p w14:paraId="405E5C3B" w14:textId="77777777" w:rsidR="00D60A5D" w:rsidRPr="001A7517" w:rsidRDefault="00D60A5D" w:rsidP="00623210">
            <w:r w:rsidRPr="001A7517">
              <w:rPr>
                <w:szCs w:val="16"/>
              </w:rPr>
              <w:t>2.0</w:t>
            </w:r>
          </w:p>
        </w:tc>
        <w:tc>
          <w:tcPr>
            <w:tcW w:w="736" w:type="dxa"/>
            <w:tcBorders>
              <w:left w:val="single" w:sz="6" w:space="0" w:color="auto"/>
              <w:right w:val="single" w:sz="6" w:space="0" w:color="auto"/>
            </w:tcBorders>
          </w:tcPr>
          <w:p w14:paraId="7F05121B" w14:textId="77777777" w:rsidR="00D60A5D" w:rsidRPr="001A7517" w:rsidRDefault="00D60A5D" w:rsidP="00623210">
            <w:pPr>
              <w:jc w:val="center"/>
            </w:pPr>
            <w:r w:rsidRPr="001A7517">
              <w:rPr>
                <w:szCs w:val="16"/>
              </w:rPr>
              <w:t>1275</w:t>
            </w:r>
          </w:p>
        </w:tc>
        <w:tc>
          <w:tcPr>
            <w:tcW w:w="736" w:type="dxa"/>
            <w:tcBorders>
              <w:left w:val="single" w:sz="6" w:space="0" w:color="auto"/>
              <w:right w:val="single" w:sz="6" w:space="0" w:color="auto"/>
            </w:tcBorders>
          </w:tcPr>
          <w:p w14:paraId="00948B60" w14:textId="77777777" w:rsidR="00D60A5D" w:rsidRPr="001A7517" w:rsidRDefault="00D60A5D" w:rsidP="00623210">
            <w:pPr>
              <w:jc w:val="center"/>
            </w:pPr>
            <w:r w:rsidRPr="001A7517">
              <w:rPr>
                <w:szCs w:val="16"/>
              </w:rPr>
              <w:t>1220</w:t>
            </w:r>
          </w:p>
        </w:tc>
        <w:tc>
          <w:tcPr>
            <w:tcW w:w="736" w:type="dxa"/>
            <w:tcBorders>
              <w:left w:val="single" w:sz="6" w:space="0" w:color="auto"/>
              <w:right w:val="single" w:sz="6" w:space="0" w:color="auto"/>
            </w:tcBorders>
          </w:tcPr>
          <w:p w14:paraId="5DB39533" w14:textId="77777777" w:rsidR="00D60A5D" w:rsidRPr="001A7517" w:rsidRDefault="00D60A5D" w:rsidP="00623210">
            <w:pPr>
              <w:jc w:val="center"/>
            </w:pPr>
            <w:r w:rsidRPr="001A7517">
              <w:rPr>
                <w:szCs w:val="16"/>
              </w:rPr>
              <w:t>1117</w:t>
            </w:r>
          </w:p>
        </w:tc>
        <w:tc>
          <w:tcPr>
            <w:tcW w:w="737" w:type="dxa"/>
            <w:tcBorders>
              <w:left w:val="single" w:sz="6" w:space="0" w:color="auto"/>
              <w:right w:val="single" w:sz="6" w:space="0" w:color="auto"/>
            </w:tcBorders>
          </w:tcPr>
          <w:p w14:paraId="4D6FAFA0" w14:textId="77777777" w:rsidR="00D60A5D" w:rsidRPr="001A7517" w:rsidRDefault="00D60A5D" w:rsidP="00623210">
            <w:pPr>
              <w:jc w:val="center"/>
            </w:pPr>
            <w:r w:rsidRPr="001A7517">
              <w:rPr>
                <w:szCs w:val="16"/>
              </w:rPr>
              <w:t>1023</w:t>
            </w:r>
          </w:p>
        </w:tc>
        <w:tc>
          <w:tcPr>
            <w:tcW w:w="737" w:type="dxa"/>
            <w:tcBorders>
              <w:left w:val="single" w:sz="6" w:space="0" w:color="auto"/>
              <w:right w:val="single" w:sz="6" w:space="0" w:color="auto"/>
            </w:tcBorders>
          </w:tcPr>
          <w:p w14:paraId="50B17A38" w14:textId="77777777" w:rsidR="00D60A5D" w:rsidRPr="001A7517" w:rsidRDefault="00D60A5D" w:rsidP="00623210">
            <w:pPr>
              <w:jc w:val="center"/>
            </w:pPr>
            <w:r w:rsidRPr="001A7517">
              <w:rPr>
                <w:szCs w:val="16"/>
              </w:rPr>
              <w:t>858</w:t>
            </w:r>
          </w:p>
        </w:tc>
        <w:tc>
          <w:tcPr>
            <w:tcW w:w="737" w:type="dxa"/>
            <w:tcBorders>
              <w:left w:val="single" w:sz="6" w:space="0" w:color="auto"/>
              <w:right w:val="single" w:sz="6" w:space="0" w:color="auto"/>
            </w:tcBorders>
          </w:tcPr>
          <w:p w14:paraId="43AAA22A" w14:textId="77777777" w:rsidR="00D60A5D" w:rsidRPr="001A7517" w:rsidRDefault="00D60A5D" w:rsidP="00623210">
            <w:pPr>
              <w:jc w:val="center"/>
            </w:pPr>
            <w:r w:rsidRPr="001A7517">
              <w:rPr>
                <w:szCs w:val="16"/>
              </w:rPr>
              <w:t>719</w:t>
            </w:r>
          </w:p>
        </w:tc>
        <w:tc>
          <w:tcPr>
            <w:tcW w:w="737" w:type="dxa"/>
            <w:tcBorders>
              <w:left w:val="single" w:sz="6" w:space="0" w:color="auto"/>
              <w:right w:val="single" w:sz="6" w:space="0" w:color="auto"/>
            </w:tcBorders>
          </w:tcPr>
          <w:p w14:paraId="041C0DB6" w14:textId="77777777" w:rsidR="00D60A5D" w:rsidRPr="001A7517" w:rsidRDefault="00D60A5D" w:rsidP="00623210">
            <w:pPr>
              <w:jc w:val="center"/>
            </w:pPr>
            <w:r w:rsidRPr="001A7517">
              <w:rPr>
                <w:szCs w:val="16"/>
              </w:rPr>
              <w:t>553</w:t>
            </w:r>
          </w:p>
        </w:tc>
        <w:tc>
          <w:tcPr>
            <w:tcW w:w="737" w:type="dxa"/>
            <w:tcBorders>
              <w:left w:val="single" w:sz="6" w:space="0" w:color="auto"/>
              <w:right w:val="single" w:sz="6" w:space="0" w:color="auto"/>
            </w:tcBorders>
          </w:tcPr>
          <w:p w14:paraId="4346BA89" w14:textId="77777777" w:rsidR="00D60A5D" w:rsidRPr="001A7517" w:rsidRDefault="00D60A5D" w:rsidP="00623210">
            <w:pPr>
              <w:jc w:val="center"/>
            </w:pPr>
            <w:r w:rsidRPr="001A7517">
              <w:rPr>
                <w:szCs w:val="16"/>
              </w:rPr>
              <w:t>357</w:t>
            </w:r>
          </w:p>
        </w:tc>
        <w:tc>
          <w:tcPr>
            <w:tcW w:w="737" w:type="dxa"/>
            <w:tcBorders>
              <w:left w:val="single" w:sz="6" w:space="0" w:color="auto"/>
              <w:right w:val="single" w:sz="6" w:space="0" w:color="auto"/>
            </w:tcBorders>
          </w:tcPr>
          <w:p w14:paraId="0B6EF530" w14:textId="77777777" w:rsidR="00D60A5D" w:rsidRPr="001A7517" w:rsidRDefault="00D60A5D" w:rsidP="00623210">
            <w:pPr>
              <w:jc w:val="center"/>
            </w:pPr>
            <w:r w:rsidRPr="001A7517">
              <w:rPr>
                <w:szCs w:val="16"/>
              </w:rPr>
              <w:t>232</w:t>
            </w:r>
          </w:p>
        </w:tc>
        <w:tc>
          <w:tcPr>
            <w:tcW w:w="737" w:type="dxa"/>
            <w:tcBorders>
              <w:left w:val="single" w:sz="6" w:space="0" w:color="auto"/>
              <w:right w:val="single" w:sz="6" w:space="0" w:color="auto"/>
            </w:tcBorders>
          </w:tcPr>
          <w:p w14:paraId="3AC0D6A1" w14:textId="77777777" w:rsidR="00D60A5D" w:rsidRPr="001A7517" w:rsidRDefault="00D60A5D" w:rsidP="00623210">
            <w:pPr>
              <w:jc w:val="center"/>
            </w:pPr>
            <w:r w:rsidRPr="001A7517">
              <w:rPr>
                <w:szCs w:val="16"/>
              </w:rPr>
              <w:t>150</w:t>
            </w:r>
          </w:p>
        </w:tc>
        <w:tc>
          <w:tcPr>
            <w:tcW w:w="737" w:type="dxa"/>
            <w:tcBorders>
              <w:left w:val="single" w:sz="6" w:space="0" w:color="auto"/>
            </w:tcBorders>
          </w:tcPr>
          <w:p w14:paraId="12F6AE11" w14:textId="77777777" w:rsidR="00D60A5D" w:rsidRPr="001A7517" w:rsidRDefault="00D60A5D" w:rsidP="00623210">
            <w:pPr>
              <w:jc w:val="center"/>
            </w:pPr>
            <w:r w:rsidRPr="001A7517">
              <w:rPr>
                <w:szCs w:val="16"/>
              </w:rPr>
              <w:t>98</w:t>
            </w:r>
          </w:p>
        </w:tc>
      </w:tr>
      <w:tr w:rsidR="00D60A5D" w:rsidRPr="001A7517" w14:paraId="00EFB28D" w14:textId="77777777" w:rsidTr="00623210">
        <w:tc>
          <w:tcPr>
            <w:tcW w:w="1440" w:type="dxa"/>
            <w:tcBorders>
              <w:right w:val="single" w:sz="6" w:space="0" w:color="auto"/>
            </w:tcBorders>
          </w:tcPr>
          <w:p w14:paraId="069E9FCF" w14:textId="77777777" w:rsidR="00D60A5D" w:rsidRPr="001A7517" w:rsidRDefault="00D60A5D" w:rsidP="00623210">
            <w:r w:rsidRPr="001A7517">
              <w:rPr>
                <w:szCs w:val="16"/>
              </w:rPr>
              <w:t>2.5</w:t>
            </w:r>
          </w:p>
        </w:tc>
        <w:tc>
          <w:tcPr>
            <w:tcW w:w="736" w:type="dxa"/>
            <w:tcBorders>
              <w:left w:val="single" w:sz="6" w:space="0" w:color="auto"/>
              <w:right w:val="single" w:sz="6" w:space="0" w:color="auto"/>
            </w:tcBorders>
          </w:tcPr>
          <w:p w14:paraId="0E658977" w14:textId="77777777" w:rsidR="00D60A5D" w:rsidRPr="001A7517" w:rsidRDefault="00D60A5D" w:rsidP="00623210">
            <w:pPr>
              <w:jc w:val="center"/>
            </w:pPr>
            <w:r w:rsidRPr="001A7517">
              <w:rPr>
                <w:szCs w:val="16"/>
              </w:rPr>
              <w:t>1594</w:t>
            </w:r>
          </w:p>
        </w:tc>
        <w:tc>
          <w:tcPr>
            <w:tcW w:w="736" w:type="dxa"/>
            <w:tcBorders>
              <w:left w:val="single" w:sz="6" w:space="0" w:color="auto"/>
              <w:right w:val="single" w:sz="6" w:space="0" w:color="auto"/>
            </w:tcBorders>
          </w:tcPr>
          <w:p w14:paraId="685755B9" w14:textId="77777777" w:rsidR="00D60A5D" w:rsidRPr="001A7517" w:rsidRDefault="00D60A5D" w:rsidP="00623210">
            <w:pPr>
              <w:jc w:val="center"/>
            </w:pPr>
            <w:r w:rsidRPr="001A7517">
              <w:rPr>
                <w:szCs w:val="16"/>
              </w:rPr>
              <w:t>1525</w:t>
            </w:r>
          </w:p>
        </w:tc>
        <w:tc>
          <w:tcPr>
            <w:tcW w:w="736" w:type="dxa"/>
            <w:tcBorders>
              <w:left w:val="single" w:sz="6" w:space="0" w:color="auto"/>
              <w:right w:val="single" w:sz="6" w:space="0" w:color="auto"/>
            </w:tcBorders>
          </w:tcPr>
          <w:p w14:paraId="79807C96" w14:textId="77777777" w:rsidR="00D60A5D" w:rsidRPr="001A7517" w:rsidRDefault="00D60A5D" w:rsidP="00623210">
            <w:pPr>
              <w:jc w:val="center"/>
            </w:pPr>
            <w:r w:rsidRPr="001A7517">
              <w:rPr>
                <w:szCs w:val="16"/>
              </w:rPr>
              <w:t>1396</w:t>
            </w:r>
          </w:p>
        </w:tc>
        <w:tc>
          <w:tcPr>
            <w:tcW w:w="737" w:type="dxa"/>
            <w:tcBorders>
              <w:left w:val="single" w:sz="6" w:space="0" w:color="auto"/>
              <w:right w:val="single" w:sz="6" w:space="0" w:color="auto"/>
            </w:tcBorders>
          </w:tcPr>
          <w:p w14:paraId="5138734A" w14:textId="77777777" w:rsidR="00D60A5D" w:rsidRPr="001A7517" w:rsidRDefault="00D60A5D" w:rsidP="00623210">
            <w:pPr>
              <w:jc w:val="center"/>
            </w:pPr>
            <w:r w:rsidRPr="001A7517">
              <w:rPr>
                <w:szCs w:val="16"/>
              </w:rPr>
              <w:t>1278</w:t>
            </w:r>
          </w:p>
        </w:tc>
        <w:tc>
          <w:tcPr>
            <w:tcW w:w="737" w:type="dxa"/>
            <w:tcBorders>
              <w:left w:val="single" w:sz="6" w:space="0" w:color="auto"/>
              <w:right w:val="single" w:sz="6" w:space="0" w:color="auto"/>
            </w:tcBorders>
          </w:tcPr>
          <w:p w14:paraId="7DABADD4" w14:textId="77777777" w:rsidR="00D60A5D" w:rsidRPr="001A7517" w:rsidRDefault="00D60A5D" w:rsidP="00623210">
            <w:pPr>
              <w:jc w:val="center"/>
            </w:pPr>
            <w:r w:rsidRPr="001A7517">
              <w:rPr>
                <w:szCs w:val="16"/>
              </w:rPr>
              <w:t>1072</w:t>
            </w:r>
          </w:p>
        </w:tc>
        <w:tc>
          <w:tcPr>
            <w:tcW w:w="737" w:type="dxa"/>
            <w:tcBorders>
              <w:left w:val="single" w:sz="6" w:space="0" w:color="auto"/>
              <w:right w:val="single" w:sz="6" w:space="0" w:color="auto"/>
            </w:tcBorders>
          </w:tcPr>
          <w:p w14:paraId="3E3896F3" w14:textId="77777777" w:rsidR="00D60A5D" w:rsidRPr="001A7517" w:rsidRDefault="00D60A5D" w:rsidP="00623210">
            <w:pPr>
              <w:jc w:val="center"/>
            </w:pPr>
            <w:r w:rsidRPr="001A7517">
              <w:rPr>
                <w:szCs w:val="16"/>
              </w:rPr>
              <w:t>899</w:t>
            </w:r>
          </w:p>
        </w:tc>
        <w:tc>
          <w:tcPr>
            <w:tcW w:w="737" w:type="dxa"/>
            <w:tcBorders>
              <w:left w:val="single" w:sz="6" w:space="0" w:color="auto"/>
              <w:right w:val="single" w:sz="6" w:space="0" w:color="auto"/>
            </w:tcBorders>
          </w:tcPr>
          <w:p w14:paraId="1C03C8B6" w14:textId="77777777" w:rsidR="00D60A5D" w:rsidRPr="001A7517" w:rsidRDefault="00D60A5D" w:rsidP="00623210">
            <w:pPr>
              <w:jc w:val="center"/>
            </w:pPr>
            <w:r w:rsidRPr="001A7517">
              <w:rPr>
                <w:szCs w:val="16"/>
              </w:rPr>
              <w:t>691</w:t>
            </w:r>
          </w:p>
        </w:tc>
        <w:tc>
          <w:tcPr>
            <w:tcW w:w="737" w:type="dxa"/>
            <w:tcBorders>
              <w:left w:val="single" w:sz="6" w:space="0" w:color="auto"/>
              <w:right w:val="single" w:sz="6" w:space="0" w:color="auto"/>
            </w:tcBorders>
          </w:tcPr>
          <w:p w14:paraId="5837BF30" w14:textId="77777777" w:rsidR="00D60A5D" w:rsidRPr="001A7517" w:rsidRDefault="00D60A5D" w:rsidP="00623210">
            <w:pPr>
              <w:jc w:val="center"/>
            </w:pPr>
            <w:r w:rsidRPr="001A7517">
              <w:rPr>
                <w:szCs w:val="16"/>
              </w:rPr>
              <w:t>447</w:t>
            </w:r>
          </w:p>
        </w:tc>
        <w:tc>
          <w:tcPr>
            <w:tcW w:w="737" w:type="dxa"/>
            <w:tcBorders>
              <w:left w:val="single" w:sz="6" w:space="0" w:color="auto"/>
              <w:right w:val="single" w:sz="6" w:space="0" w:color="auto"/>
            </w:tcBorders>
          </w:tcPr>
          <w:p w14:paraId="6DAE82CE" w14:textId="77777777" w:rsidR="00D60A5D" w:rsidRPr="001A7517" w:rsidRDefault="00D60A5D" w:rsidP="00623210">
            <w:pPr>
              <w:jc w:val="center"/>
            </w:pPr>
            <w:r w:rsidRPr="001A7517">
              <w:rPr>
                <w:szCs w:val="16"/>
              </w:rPr>
              <w:t>289</w:t>
            </w:r>
          </w:p>
        </w:tc>
        <w:tc>
          <w:tcPr>
            <w:tcW w:w="737" w:type="dxa"/>
            <w:tcBorders>
              <w:left w:val="single" w:sz="6" w:space="0" w:color="auto"/>
              <w:right w:val="single" w:sz="6" w:space="0" w:color="auto"/>
            </w:tcBorders>
          </w:tcPr>
          <w:p w14:paraId="5ADD0807" w14:textId="77777777" w:rsidR="00D60A5D" w:rsidRPr="001A7517" w:rsidRDefault="00D60A5D" w:rsidP="00623210">
            <w:pPr>
              <w:jc w:val="center"/>
            </w:pPr>
            <w:r w:rsidRPr="001A7517">
              <w:rPr>
                <w:szCs w:val="16"/>
              </w:rPr>
              <w:t>188</w:t>
            </w:r>
          </w:p>
        </w:tc>
        <w:tc>
          <w:tcPr>
            <w:tcW w:w="737" w:type="dxa"/>
            <w:tcBorders>
              <w:left w:val="single" w:sz="6" w:space="0" w:color="auto"/>
            </w:tcBorders>
          </w:tcPr>
          <w:p w14:paraId="6C89E3A9" w14:textId="77777777" w:rsidR="00D60A5D" w:rsidRPr="001A7517" w:rsidRDefault="00D60A5D" w:rsidP="00623210">
            <w:pPr>
              <w:jc w:val="center"/>
            </w:pPr>
            <w:r w:rsidRPr="001A7517">
              <w:rPr>
                <w:szCs w:val="16"/>
              </w:rPr>
              <w:t>122</w:t>
            </w:r>
          </w:p>
        </w:tc>
      </w:tr>
      <w:tr w:rsidR="00D60A5D" w:rsidRPr="001A7517" w14:paraId="3FD6A171" w14:textId="77777777" w:rsidTr="00623210">
        <w:tc>
          <w:tcPr>
            <w:tcW w:w="1440" w:type="dxa"/>
            <w:tcBorders>
              <w:right w:val="single" w:sz="6" w:space="0" w:color="auto"/>
            </w:tcBorders>
          </w:tcPr>
          <w:p w14:paraId="06A16AEC" w14:textId="77777777" w:rsidR="00D60A5D" w:rsidRPr="001A7517" w:rsidRDefault="00D60A5D" w:rsidP="00623210">
            <w:r w:rsidRPr="001A7517">
              <w:rPr>
                <w:szCs w:val="16"/>
              </w:rPr>
              <w:t>3.0</w:t>
            </w:r>
          </w:p>
        </w:tc>
        <w:tc>
          <w:tcPr>
            <w:tcW w:w="736" w:type="dxa"/>
            <w:tcBorders>
              <w:left w:val="single" w:sz="6" w:space="0" w:color="auto"/>
              <w:right w:val="single" w:sz="6" w:space="0" w:color="auto"/>
            </w:tcBorders>
          </w:tcPr>
          <w:p w14:paraId="798F8CD7" w14:textId="77777777" w:rsidR="00D60A5D" w:rsidRPr="001A7517" w:rsidRDefault="00D60A5D" w:rsidP="00623210">
            <w:pPr>
              <w:jc w:val="center"/>
            </w:pPr>
            <w:r w:rsidRPr="001A7517">
              <w:rPr>
                <w:szCs w:val="16"/>
              </w:rPr>
              <w:t>1912</w:t>
            </w:r>
          </w:p>
        </w:tc>
        <w:tc>
          <w:tcPr>
            <w:tcW w:w="736" w:type="dxa"/>
            <w:tcBorders>
              <w:left w:val="single" w:sz="6" w:space="0" w:color="auto"/>
              <w:right w:val="single" w:sz="6" w:space="0" w:color="auto"/>
            </w:tcBorders>
          </w:tcPr>
          <w:p w14:paraId="131B06C8" w14:textId="77777777" w:rsidR="00D60A5D" w:rsidRPr="001A7517" w:rsidRDefault="00D60A5D" w:rsidP="00623210">
            <w:pPr>
              <w:jc w:val="center"/>
            </w:pPr>
            <w:r w:rsidRPr="001A7517">
              <w:rPr>
                <w:szCs w:val="16"/>
              </w:rPr>
              <w:t>1830</w:t>
            </w:r>
          </w:p>
        </w:tc>
        <w:tc>
          <w:tcPr>
            <w:tcW w:w="736" w:type="dxa"/>
            <w:tcBorders>
              <w:left w:val="single" w:sz="6" w:space="0" w:color="auto"/>
              <w:right w:val="single" w:sz="6" w:space="0" w:color="auto"/>
            </w:tcBorders>
          </w:tcPr>
          <w:p w14:paraId="0EDFE5D3" w14:textId="77777777" w:rsidR="00D60A5D" w:rsidRPr="001A7517" w:rsidRDefault="00D60A5D" w:rsidP="00623210">
            <w:pPr>
              <w:jc w:val="center"/>
            </w:pPr>
            <w:r w:rsidRPr="001A7517">
              <w:rPr>
                <w:szCs w:val="16"/>
              </w:rPr>
              <w:t>1675</w:t>
            </w:r>
          </w:p>
        </w:tc>
        <w:tc>
          <w:tcPr>
            <w:tcW w:w="737" w:type="dxa"/>
            <w:tcBorders>
              <w:left w:val="single" w:sz="6" w:space="0" w:color="auto"/>
              <w:right w:val="single" w:sz="6" w:space="0" w:color="auto"/>
            </w:tcBorders>
          </w:tcPr>
          <w:p w14:paraId="3E8087D9" w14:textId="77777777" w:rsidR="00D60A5D" w:rsidRPr="001A7517" w:rsidRDefault="00D60A5D" w:rsidP="00623210">
            <w:pPr>
              <w:jc w:val="center"/>
            </w:pPr>
            <w:r w:rsidRPr="001A7517">
              <w:rPr>
                <w:szCs w:val="16"/>
              </w:rPr>
              <w:t>1534</w:t>
            </w:r>
          </w:p>
        </w:tc>
        <w:tc>
          <w:tcPr>
            <w:tcW w:w="737" w:type="dxa"/>
            <w:tcBorders>
              <w:left w:val="single" w:sz="6" w:space="0" w:color="auto"/>
              <w:right w:val="single" w:sz="6" w:space="0" w:color="auto"/>
            </w:tcBorders>
          </w:tcPr>
          <w:p w14:paraId="63E87283" w14:textId="77777777" w:rsidR="00D60A5D" w:rsidRPr="001A7517" w:rsidRDefault="00D60A5D" w:rsidP="00623210">
            <w:pPr>
              <w:jc w:val="center"/>
            </w:pPr>
            <w:r w:rsidRPr="001A7517">
              <w:rPr>
                <w:szCs w:val="16"/>
              </w:rPr>
              <w:t>1286</w:t>
            </w:r>
          </w:p>
        </w:tc>
        <w:tc>
          <w:tcPr>
            <w:tcW w:w="737" w:type="dxa"/>
            <w:tcBorders>
              <w:left w:val="single" w:sz="6" w:space="0" w:color="auto"/>
              <w:right w:val="single" w:sz="6" w:space="0" w:color="auto"/>
            </w:tcBorders>
          </w:tcPr>
          <w:p w14:paraId="677DEDE5" w14:textId="77777777" w:rsidR="00D60A5D" w:rsidRPr="001A7517" w:rsidRDefault="00D60A5D" w:rsidP="00623210">
            <w:pPr>
              <w:jc w:val="center"/>
            </w:pPr>
            <w:r w:rsidRPr="001A7517">
              <w:rPr>
                <w:szCs w:val="16"/>
              </w:rPr>
              <w:t>1079</w:t>
            </w:r>
          </w:p>
        </w:tc>
        <w:tc>
          <w:tcPr>
            <w:tcW w:w="737" w:type="dxa"/>
            <w:tcBorders>
              <w:left w:val="single" w:sz="6" w:space="0" w:color="auto"/>
              <w:right w:val="single" w:sz="6" w:space="0" w:color="auto"/>
            </w:tcBorders>
          </w:tcPr>
          <w:p w14:paraId="651C5004" w14:textId="77777777" w:rsidR="00D60A5D" w:rsidRPr="001A7517" w:rsidRDefault="00D60A5D" w:rsidP="00623210">
            <w:pPr>
              <w:jc w:val="center"/>
            </w:pPr>
            <w:r w:rsidRPr="001A7517">
              <w:rPr>
                <w:szCs w:val="16"/>
              </w:rPr>
              <w:t>830</w:t>
            </w:r>
          </w:p>
        </w:tc>
        <w:tc>
          <w:tcPr>
            <w:tcW w:w="737" w:type="dxa"/>
            <w:tcBorders>
              <w:left w:val="single" w:sz="6" w:space="0" w:color="auto"/>
              <w:right w:val="single" w:sz="6" w:space="0" w:color="auto"/>
            </w:tcBorders>
          </w:tcPr>
          <w:p w14:paraId="0A36A3E4" w14:textId="77777777" w:rsidR="00D60A5D" w:rsidRPr="001A7517" w:rsidRDefault="00D60A5D" w:rsidP="00623210">
            <w:pPr>
              <w:jc w:val="center"/>
            </w:pPr>
            <w:r w:rsidRPr="001A7517">
              <w:rPr>
                <w:szCs w:val="16"/>
              </w:rPr>
              <w:t>536</w:t>
            </w:r>
          </w:p>
        </w:tc>
        <w:tc>
          <w:tcPr>
            <w:tcW w:w="737" w:type="dxa"/>
            <w:tcBorders>
              <w:left w:val="single" w:sz="6" w:space="0" w:color="auto"/>
              <w:right w:val="single" w:sz="6" w:space="0" w:color="auto"/>
            </w:tcBorders>
          </w:tcPr>
          <w:p w14:paraId="6D3A0DA9" w14:textId="77777777" w:rsidR="00D60A5D" w:rsidRPr="001A7517" w:rsidRDefault="00D60A5D" w:rsidP="00623210">
            <w:pPr>
              <w:jc w:val="center"/>
            </w:pPr>
            <w:r w:rsidRPr="001A7517">
              <w:rPr>
                <w:szCs w:val="16"/>
              </w:rPr>
              <w:t>347</w:t>
            </w:r>
          </w:p>
        </w:tc>
        <w:tc>
          <w:tcPr>
            <w:tcW w:w="737" w:type="dxa"/>
            <w:tcBorders>
              <w:left w:val="single" w:sz="6" w:space="0" w:color="auto"/>
              <w:right w:val="single" w:sz="6" w:space="0" w:color="auto"/>
            </w:tcBorders>
          </w:tcPr>
          <w:p w14:paraId="672AF032" w14:textId="77777777" w:rsidR="00D60A5D" w:rsidRPr="001A7517" w:rsidRDefault="00D60A5D" w:rsidP="00623210">
            <w:pPr>
              <w:jc w:val="center"/>
            </w:pPr>
            <w:r w:rsidRPr="001A7517">
              <w:rPr>
                <w:szCs w:val="16"/>
              </w:rPr>
              <w:t>226</w:t>
            </w:r>
          </w:p>
        </w:tc>
        <w:tc>
          <w:tcPr>
            <w:tcW w:w="737" w:type="dxa"/>
            <w:tcBorders>
              <w:left w:val="single" w:sz="6" w:space="0" w:color="auto"/>
            </w:tcBorders>
          </w:tcPr>
          <w:p w14:paraId="754DAC44" w14:textId="77777777" w:rsidR="00D60A5D" w:rsidRPr="001A7517" w:rsidRDefault="00D60A5D" w:rsidP="00623210">
            <w:pPr>
              <w:jc w:val="center"/>
            </w:pPr>
            <w:r w:rsidRPr="001A7517">
              <w:rPr>
                <w:szCs w:val="16"/>
              </w:rPr>
              <w:t>147</w:t>
            </w:r>
          </w:p>
        </w:tc>
      </w:tr>
    </w:tbl>
    <w:p w14:paraId="27FC45E4" w14:textId="77777777" w:rsidR="00D60A5D" w:rsidRPr="001A7517" w:rsidRDefault="00D60A5D" w:rsidP="00D60A5D">
      <w:pPr>
        <w:spacing w:before="240"/>
        <w:rPr>
          <w:szCs w:val="16"/>
        </w:rPr>
      </w:pPr>
      <w:r w:rsidRPr="001A7517">
        <w:rPr>
          <w:szCs w:val="16"/>
        </w:rPr>
        <w:t>A supplier may use the following equation to determine log credit between the indicated values:</w:t>
      </w:r>
    </w:p>
    <w:p w14:paraId="14120D81" w14:textId="77777777" w:rsidR="00D60A5D" w:rsidRPr="001A7517" w:rsidRDefault="00D60A5D" w:rsidP="00D60A5D">
      <w:pPr>
        <w:spacing w:before="240"/>
        <w:ind w:left="720"/>
        <w:rPr>
          <w:szCs w:val="16"/>
        </w:rPr>
      </w:pPr>
      <w:r w:rsidRPr="001A7517">
        <w:rPr>
          <w:szCs w:val="16"/>
        </w:rPr>
        <w:t xml:space="preserve">Log credit = (0.001506 </w:t>
      </w:r>
      <w:r w:rsidRPr="001A7517">
        <w:rPr>
          <w:szCs w:val="16"/>
        </w:rPr>
        <w:sym w:font="Symbol" w:char="F0B4"/>
      </w:r>
      <w:r w:rsidRPr="001A7517">
        <w:rPr>
          <w:szCs w:val="16"/>
        </w:rPr>
        <w:t xml:space="preserve"> (1.09116)</w:t>
      </w:r>
      <w:r w:rsidRPr="001A7517">
        <w:rPr>
          <w:szCs w:val="10"/>
          <w:vertAlign w:val="superscript"/>
        </w:rPr>
        <w:t>Temp(in °C)</w:t>
      </w:r>
      <w:r w:rsidRPr="001A7517">
        <w:rPr>
          <w:szCs w:val="16"/>
        </w:rPr>
        <w:t xml:space="preserve">) </w:t>
      </w:r>
      <w:r w:rsidRPr="001A7517">
        <w:rPr>
          <w:szCs w:val="16"/>
        </w:rPr>
        <w:sym w:font="Symbol" w:char="F0B4"/>
      </w:r>
      <w:r w:rsidRPr="001A7517">
        <w:rPr>
          <w:szCs w:val="16"/>
        </w:rPr>
        <w:t xml:space="preserve"> CT.</w:t>
      </w:r>
    </w:p>
    <w:p w14:paraId="139CC0E4" w14:textId="77777777" w:rsidR="00D60A5D" w:rsidRPr="001A7517" w:rsidRDefault="00D60A5D" w:rsidP="00D60A5D">
      <w:pPr>
        <w:spacing w:before="240"/>
      </w:pPr>
      <w:r w:rsidRPr="001A7517">
        <w:t>BOARD NOTE:  Derived from the table at 40 CFR 141.720(b)(1).</w:t>
      </w:r>
    </w:p>
    <w:p w14:paraId="7FA0B90D" w14:textId="77777777" w:rsidR="00D60A5D" w:rsidRPr="001A7517" w:rsidRDefault="00D60A5D" w:rsidP="00D60A5D">
      <w:pPr>
        <w:suppressAutoHyphens/>
        <w:spacing w:before="240"/>
        <w:ind w:left="720"/>
      </w:pPr>
      <w:r w:rsidRPr="001A7517">
        <w:t>(Source:  Amended at 37 Ill. Reg. 1978, effective February 4, 2013)</w:t>
      </w:r>
    </w:p>
    <w:p w14:paraId="53E819D6" w14:textId="77777777" w:rsidR="00D60A5D" w:rsidRPr="001A7517" w:rsidRDefault="00D60A5D" w:rsidP="00D60A5D">
      <w:pPr>
        <w:keepNext/>
        <w:keepLines/>
        <w:suppressAutoHyphens/>
        <w:spacing w:before="240" w:after="240"/>
        <w:rPr>
          <w:b/>
        </w:rPr>
      </w:pPr>
      <w:r w:rsidRPr="001A7517">
        <w:rPr>
          <w:b/>
        </w:rPr>
        <w:t>Section 611.TABLE I  CT V</w:t>
      </w:r>
      <w:r w:rsidRPr="001A7517">
        <w:rPr>
          <w:b/>
          <w:szCs w:val="16"/>
        </w:rPr>
        <w:t xml:space="preserve">alues </w:t>
      </w:r>
      <w:r w:rsidRPr="001A7517">
        <w:rPr>
          <w:b/>
        </w:rPr>
        <w:t>(</w:t>
      </w:r>
      <w:r w:rsidRPr="001A7517">
        <w:rPr>
          <w:b/>
          <w:szCs w:val="16"/>
        </w:rPr>
        <w:t>mg</w:t>
      </w:r>
      <w:r w:rsidRPr="001A7517">
        <w:rPr>
          <w:b/>
        </w:rPr>
        <w:t>·</w:t>
      </w:r>
      <w:r w:rsidRPr="001A7517">
        <w:rPr>
          <w:b/>
          <w:szCs w:val="16"/>
        </w:rPr>
        <w:t>min</w:t>
      </w:r>
      <w:r w:rsidRPr="001A7517">
        <w:rPr>
          <w:b/>
        </w:rPr>
        <w:t xml:space="preserve">/ℓ) </w:t>
      </w:r>
      <w:r w:rsidRPr="001A7517">
        <w:rPr>
          <w:b/>
          <w:szCs w:val="16"/>
        </w:rPr>
        <w:t xml:space="preserve">for </w:t>
      </w:r>
      <w:r w:rsidRPr="001A7517">
        <w:rPr>
          <w:b/>
        </w:rPr>
        <w:t>Cryptosporidium I</w:t>
      </w:r>
      <w:r w:rsidRPr="001A7517">
        <w:rPr>
          <w:b/>
          <w:szCs w:val="16"/>
        </w:rPr>
        <w:t xml:space="preserve">nactivation by </w:t>
      </w:r>
      <w:r w:rsidRPr="001A7517">
        <w:rPr>
          <w:b/>
        </w:rPr>
        <w:t>O</w:t>
      </w:r>
      <w:r w:rsidRPr="001A7517">
        <w:rPr>
          <w:b/>
          <w:szCs w:val="16"/>
        </w:rPr>
        <w:t>zone</w:t>
      </w:r>
    </w:p>
    <w:tbl>
      <w:tblPr>
        <w:tblW w:w="0" w:type="auto"/>
        <w:tblBorders>
          <w:top w:val="single" w:sz="6" w:space="0" w:color="auto"/>
          <w:left w:val="single" w:sz="6" w:space="0" w:color="auto"/>
          <w:bottom w:val="single" w:sz="6" w:space="0" w:color="auto"/>
          <w:right w:val="single" w:sz="6" w:space="0" w:color="auto"/>
        </w:tblBorders>
        <w:tblLayout w:type="fixed"/>
        <w:tblCellMar>
          <w:top w:w="115" w:type="dxa"/>
          <w:left w:w="115" w:type="dxa"/>
          <w:bottom w:w="115" w:type="dxa"/>
          <w:right w:w="115" w:type="dxa"/>
        </w:tblCellMar>
        <w:tblLook w:val="0000" w:firstRow="0" w:lastRow="0" w:firstColumn="0" w:lastColumn="0" w:noHBand="0" w:noVBand="0"/>
      </w:tblPr>
      <w:tblGrid>
        <w:gridCol w:w="1440"/>
        <w:gridCol w:w="736"/>
        <w:gridCol w:w="736"/>
        <w:gridCol w:w="736"/>
        <w:gridCol w:w="737"/>
        <w:gridCol w:w="737"/>
        <w:gridCol w:w="737"/>
        <w:gridCol w:w="737"/>
        <w:gridCol w:w="737"/>
        <w:gridCol w:w="737"/>
        <w:gridCol w:w="737"/>
        <w:gridCol w:w="737"/>
      </w:tblGrid>
      <w:tr w:rsidR="00D60A5D" w:rsidRPr="001A7517" w14:paraId="5F79AEFF" w14:textId="77777777" w:rsidTr="00623210">
        <w:trPr>
          <w:cantSplit/>
        </w:trPr>
        <w:tc>
          <w:tcPr>
            <w:tcW w:w="1440" w:type="dxa"/>
            <w:vMerge w:val="restart"/>
            <w:tcBorders>
              <w:top w:val="single" w:sz="6" w:space="0" w:color="auto"/>
              <w:bottom w:val="single" w:sz="6" w:space="0" w:color="auto"/>
              <w:right w:val="single" w:sz="6" w:space="0" w:color="auto"/>
            </w:tcBorders>
            <w:vAlign w:val="bottom"/>
          </w:tcPr>
          <w:p w14:paraId="0A341929" w14:textId="77777777" w:rsidR="00D60A5D" w:rsidRPr="001A7517" w:rsidRDefault="00D60A5D" w:rsidP="00623210">
            <w:pPr>
              <w:keepNext/>
              <w:keepLines/>
            </w:pPr>
            <w:r w:rsidRPr="001A7517">
              <w:t>Log Credit</w:t>
            </w:r>
          </w:p>
        </w:tc>
        <w:tc>
          <w:tcPr>
            <w:tcW w:w="8104" w:type="dxa"/>
            <w:gridSpan w:val="11"/>
            <w:tcBorders>
              <w:left w:val="single" w:sz="6" w:space="0" w:color="auto"/>
              <w:bottom w:val="single" w:sz="6" w:space="0" w:color="auto"/>
            </w:tcBorders>
          </w:tcPr>
          <w:p w14:paraId="0BB5FB63" w14:textId="77777777" w:rsidR="00D60A5D" w:rsidRPr="001A7517" w:rsidRDefault="00D60A5D" w:rsidP="00623210">
            <w:pPr>
              <w:keepNext/>
              <w:keepLines/>
              <w:jc w:val="center"/>
            </w:pPr>
            <w:r w:rsidRPr="001A7517">
              <w:t>Water Temperature (°C)</w:t>
            </w:r>
          </w:p>
        </w:tc>
      </w:tr>
      <w:tr w:rsidR="00D60A5D" w:rsidRPr="001A7517" w14:paraId="33FE074A" w14:textId="77777777" w:rsidTr="00623210">
        <w:trPr>
          <w:cantSplit/>
        </w:trPr>
        <w:tc>
          <w:tcPr>
            <w:tcW w:w="1440" w:type="dxa"/>
            <w:vMerge/>
            <w:tcBorders>
              <w:top w:val="nil"/>
              <w:bottom w:val="single" w:sz="6" w:space="0" w:color="auto"/>
              <w:right w:val="single" w:sz="6" w:space="0" w:color="auto"/>
            </w:tcBorders>
          </w:tcPr>
          <w:p w14:paraId="5A3B6904" w14:textId="77777777" w:rsidR="00D60A5D" w:rsidRPr="001A7517" w:rsidRDefault="00D60A5D" w:rsidP="00623210">
            <w:pPr>
              <w:keepNext/>
              <w:keepLines/>
            </w:pPr>
          </w:p>
        </w:tc>
        <w:tc>
          <w:tcPr>
            <w:tcW w:w="736" w:type="dxa"/>
            <w:tcBorders>
              <w:top w:val="single" w:sz="6" w:space="0" w:color="auto"/>
              <w:left w:val="single" w:sz="6" w:space="0" w:color="auto"/>
              <w:bottom w:val="single" w:sz="6" w:space="0" w:color="auto"/>
              <w:right w:val="single" w:sz="6" w:space="0" w:color="auto"/>
            </w:tcBorders>
          </w:tcPr>
          <w:p w14:paraId="3438AC60" w14:textId="77777777" w:rsidR="00D60A5D" w:rsidRPr="001A7517" w:rsidRDefault="00D60A5D" w:rsidP="00623210">
            <w:pPr>
              <w:keepNext/>
              <w:keepLines/>
              <w:jc w:val="center"/>
            </w:pPr>
            <w:r w:rsidRPr="001A7517">
              <w:t>≤0.5</w:t>
            </w:r>
          </w:p>
        </w:tc>
        <w:tc>
          <w:tcPr>
            <w:tcW w:w="736" w:type="dxa"/>
            <w:tcBorders>
              <w:top w:val="single" w:sz="6" w:space="0" w:color="auto"/>
              <w:left w:val="single" w:sz="6" w:space="0" w:color="auto"/>
              <w:bottom w:val="single" w:sz="6" w:space="0" w:color="auto"/>
              <w:right w:val="single" w:sz="6" w:space="0" w:color="auto"/>
            </w:tcBorders>
          </w:tcPr>
          <w:p w14:paraId="7D39A441" w14:textId="77777777" w:rsidR="00D60A5D" w:rsidRPr="001A7517" w:rsidRDefault="00D60A5D" w:rsidP="00623210">
            <w:pPr>
              <w:keepNext/>
              <w:keepLines/>
              <w:jc w:val="center"/>
            </w:pPr>
            <w:r w:rsidRPr="001A7517">
              <w:t>1</w:t>
            </w:r>
          </w:p>
        </w:tc>
        <w:tc>
          <w:tcPr>
            <w:tcW w:w="736" w:type="dxa"/>
            <w:tcBorders>
              <w:top w:val="single" w:sz="6" w:space="0" w:color="auto"/>
              <w:left w:val="single" w:sz="6" w:space="0" w:color="auto"/>
              <w:bottom w:val="single" w:sz="6" w:space="0" w:color="auto"/>
              <w:right w:val="single" w:sz="6" w:space="0" w:color="auto"/>
            </w:tcBorders>
          </w:tcPr>
          <w:p w14:paraId="275F5976" w14:textId="77777777" w:rsidR="00D60A5D" w:rsidRPr="001A7517" w:rsidRDefault="00D60A5D" w:rsidP="00623210">
            <w:pPr>
              <w:keepNext/>
              <w:keepLines/>
              <w:jc w:val="center"/>
            </w:pPr>
            <w:r w:rsidRPr="001A7517">
              <w:t>2</w:t>
            </w:r>
          </w:p>
        </w:tc>
        <w:tc>
          <w:tcPr>
            <w:tcW w:w="737" w:type="dxa"/>
            <w:tcBorders>
              <w:top w:val="single" w:sz="6" w:space="0" w:color="auto"/>
              <w:left w:val="single" w:sz="6" w:space="0" w:color="auto"/>
              <w:bottom w:val="single" w:sz="6" w:space="0" w:color="auto"/>
              <w:right w:val="single" w:sz="6" w:space="0" w:color="auto"/>
            </w:tcBorders>
          </w:tcPr>
          <w:p w14:paraId="0FF7C37C" w14:textId="77777777" w:rsidR="00D60A5D" w:rsidRPr="001A7517" w:rsidRDefault="00D60A5D" w:rsidP="00623210">
            <w:pPr>
              <w:keepNext/>
              <w:keepLines/>
              <w:jc w:val="center"/>
            </w:pPr>
            <w:r w:rsidRPr="001A7517">
              <w:t>3</w:t>
            </w:r>
          </w:p>
        </w:tc>
        <w:tc>
          <w:tcPr>
            <w:tcW w:w="737" w:type="dxa"/>
            <w:tcBorders>
              <w:top w:val="single" w:sz="6" w:space="0" w:color="auto"/>
              <w:left w:val="single" w:sz="6" w:space="0" w:color="auto"/>
              <w:bottom w:val="single" w:sz="6" w:space="0" w:color="auto"/>
              <w:right w:val="single" w:sz="6" w:space="0" w:color="auto"/>
            </w:tcBorders>
          </w:tcPr>
          <w:p w14:paraId="2F1327B1" w14:textId="77777777" w:rsidR="00D60A5D" w:rsidRPr="001A7517" w:rsidRDefault="00D60A5D" w:rsidP="00623210">
            <w:pPr>
              <w:keepNext/>
              <w:keepLines/>
              <w:jc w:val="center"/>
            </w:pPr>
            <w:r w:rsidRPr="001A7517">
              <w:t>5</w:t>
            </w:r>
          </w:p>
        </w:tc>
        <w:tc>
          <w:tcPr>
            <w:tcW w:w="737" w:type="dxa"/>
            <w:tcBorders>
              <w:top w:val="single" w:sz="6" w:space="0" w:color="auto"/>
              <w:left w:val="single" w:sz="6" w:space="0" w:color="auto"/>
              <w:bottom w:val="single" w:sz="6" w:space="0" w:color="auto"/>
              <w:right w:val="single" w:sz="6" w:space="0" w:color="auto"/>
            </w:tcBorders>
          </w:tcPr>
          <w:p w14:paraId="0CE67B42" w14:textId="77777777" w:rsidR="00D60A5D" w:rsidRPr="001A7517" w:rsidRDefault="00D60A5D" w:rsidP="00623210">
            <w:pPr>
              <w:keepNext/>
              <w:keepLines/>
              <w:jc w:val="center"/>
            </w:pPr>
            <w:r w:rsidRPr="001A7517">
              <w:t>7</w:t>
            </w:r>
          </w:p>
        </w:tc>
        <w:tc>
          <w:tcPr>
            <w:tcW w:w="737" w:type="dxa"/>
            <w:tcBorders>
              <w:top w:val="single" w:sz="6" w:space="0" w:color="auto"/>
              <w:left w:val="single" w:sz="6" w:space="0" w:color="auto"/>
              <w:bottom w:val="single" w:sz="6" w:space="0" w:color="auto"/>
              <w:right w:val="single" w:sz="6" w:space="0" w:color="auto"/>
            </w:tcBorders>
          </w:tcPr>
          <w:p w14:paraId="0113512C" w14:textId="77777777" w:rsidR="00D60A5D" w:rsidRPr="001A7517" w:rsidRDefault="00D60A5D" w:rsidP="00623210">
            <w:pPr>
              <w:keepNext/>
              <w:keepLines/>
              <w:jc w:val="center"/>
            </w:pPr>
            <w:r w:rsidRPr="001A7517">
              <w:t>10</w:t>
            </w:r>
          </w:p>
        </w:tc>
        <w:tc>
          <w:tcPr>
            <w:tcW w:w="737" w:type="dxa"/>
            <w:tcBorders>
              <w:top w:val="single" w:sz="6" w:space="0" w:color="auto"/>
              <w:left w:val="single" w:sz="6" w:space="0" w:color="auto"/>
              <w:bottom w:val="single" w:sz="6" w:space="0" w:color="auto"/>
              <w:right w:val="single" w:sz="6" w:space="0" w:color="auto"/>
            </w:tcBorders>
          </w:tcPr>
          <w:p w14:paraId="5D1DAF51" w14:textId="77777777" w:rsidR="00D60A5D" w:rsidRPr="001A7517" w:rsidRDefault="00D60A5D" w:rsidP="00623210">
            <w:pPr>
              <w:keepNext/>
              <w:keepLines/>
              <w:jc w:val="center"/>
            </w:pPr>
            <w:r w:rsidRPr="001A7517">
              <w:t>15</w:t>
            </w:r>
          </w:p>
        </w:tc>
        <w:tc>
          <w:tcPr>
            <w:tcW w:w="737" w:type="dxa"/>
            <w:tcBorders>
              <w:top w:val="single" w:sz="6" w:space="0" w:color="auto"/>
              <w:left w:val="single" w:sz="6" w:space="0" w:color="auto"/>
              <w:bottom w:val="single" w:sz="6" w:space="0" w:color="auto"/>
              <w:right w:val="single" w:sz="6" w:space="0" w:color="auto"/>
            </w:tcBorders>
          </w:tcPr>
          <w:p w14:paraId="56DBA851" w14:textId="77777777" w:rsidR="00D60A5D" w:rsidRPr="001A7517" w:rsidRDefault="00D60A5D" w:rsidP="00623210">
            <w:pPr>
              <w:keepNext/>
              <w:keepLines/>
              <w:jc w:val="center"/>
            </w:pPr>
            <w:r w:rsidRPr="001A7517">
              <w:t>20</w:t>
            </w:r>
          </w:p>
        </w:tc>
        <w:tc>
          <w:tcPr>
            <w:tcW w:w="737" w:type="dxa"/>
            <w:tcBorders>
              <w:top w:val="single" w:sz="6" w:space="0" w:color="auto"/>
              <w:left w:val="single" w:sz="6" w:space="0" w:color="auto"/>
              <w:bottom w:val="single" w:sz="6" w:space="0" w:color="auto"/>
              <w:right w:val="single" w:sz="6" w:space="0" w:color="auto"/>
            </w:tcBorders>
          </w:tcPr>
          <w:p w14:paraId="43D51453" w14:textId="77777777" w:rsidR="00D60A5D" w:rsidRPr="001A7517" w:rsidRDefault="00D60A5D" w:rsidP="00623210">
            <w:pPr>
              <w:keepNext/>
              <w:keepLines/>
              <w:jc w:val="center"/>
            </w:pPr>
            <w:r w:rsidRPr="001A7517">
              <w:t>25</w:t>
            </w:r>
          </w:p>
        </w:tc>
        <w:tc>
          <w:tcPr>
            <w:tcW w:w="737" w:type="dxa"/>
            <w:tcBorders>
              <w:top w:val="single" w:sz="6" w:space="0" w:color="auto"/>
              <w:left w:val="single" w:sz="6" w:space="0" w:color="auto"/>
              <w:bottom w:val="single" w:sz="6" w:space="0" w:color="auto"/>
            </w:tcBorders>
          </w:tcPr>
          <w:p w14:paraId="60799961" w14:textId="77777777" w:rsidR="00D60A5D" w:rsidRPr="001A7517" w:rsidRDefault="00D60A5D" w:rsidP="00623210">
            <w:pPr>
              <w:keepNext/>
              <w:keepLines/>
              <w:jc w:val="center"/>
            </w:pPr>
            <w:r w:rsidRPr="001A7517">
              <w:t>30</w:t>
            </w:r>
          </w:p>
        </w:tc>
      </w:tr>
      <w:tr w:rsidR="00D60A5D" w:rsidRPr="001A7517" w14:paraId="3A7C2EDD" w14:textId="77777777" w:rsidTr="00623210">
        <w:tc>
          <w:tcPr>
            <w:tcW w:w="1440" w:type="dxa"/>
            <w:tcBorders>
              <w:right w:val="single" w:sz="6" w:space="0" w:color="auto"/>
            </w:tcBorders>
          </w:tcPr>
          <w:p w14:paraId="336A6EAF" w14:textId="77777777" w:rsidR="00D60A5D" w:rsidRPr="001A7517" w:rsidRDefault="00D60A5D" w:rsidP="00623210">
            <w:r w:rsidRPr="001A7517">
              <w:rPr>
                <w:szCs w:val="16"/>
              </w:rPr>
              <w:t>0.25</w:t>
            </w:r>
          </w:p>
        </w:tc>
        <w:tc>
          <w:tcPr>
            <w:tcW w:w="736" w:type="dxa"/>
            <w:tcBorders>
              <w:left w:val="single" w:sz="6" w:space="0" w:color="auto"/>
              <w:right w:val="single" w:sz="6" w:space="0" w:color="auto"/>
            </w:tcBorders>
          </w:tcPr>
          <w:p w14:paraId="15251062" w14:textId="77777777" w:rsidR="00D60A5D" w:rsidRPr="001A7517" w:rsidRDefault="00D60A5D" w:rsidP="00623210">
            <w:pPr>
              <w:jc w:val="center"/>
            </w:pPr>
            <w:r w:rsidRPr="001A7517">
              <w:rPr>
                <w:szCs w:val="16"/>
              </w:rPr>
              <w:t>6.0</w:t>
            </w:r>
          </w:p>
        </w:tc>
        <w:tc>
          <w:tcPr>
            <w:tcW w:w="736" w:type="dxa"/>
            <w:tcBorders>
              <w:left w:val="single" w:sz="6" w:space="0" w:color="auto"/>
              <w:right w:val="single" w:sz="6" w:space="0" w:color="auto"/>
            </w:tcBorders>
          </w:tcPr>
          <w:p w14:paraId="49F24D27" w14:textId="77777777" w:rsidR="00D60A5D" w:rsidRPr="001A7517" w:rsidRDefault="00D60A5D" w:rsidP="00623210">
            <w:pPr>
              <w:jc w:val="center"/>
            </w:pPr>
            <w:r w:rsidRPr="001A7517">
              <w:rPr>
                <w:szCs w:val="16"/>
              </w:rPr>
              <w:t>5.8</w:t>
            </w:r>
          </w:p>
        </w:tc>
        <w:tc>
          <w:tcPr>
            <w:tcW w:w="736" w:type="dxa"/>
            <w:tcBorders>
              <w:left w:val="single" w:sz="6" w:space="0" w:color="auto"/>
              <w:right w:val="single" w:sz="6" w:space="0" w:color="auto"/>
            </w:tcBorders>
          </w:tcPr>
          <w:p w14:paraId="6F86AAEE" w14:textId="77777777" w:rsidR="00D60A5D" w:rsidRPr="001A7517" w:rsidRDefault="00D60A5D" w:rsidP="00623210">
            <w:pPr>
              <w:jc w:val="center"/>
            </w:pPr>
            <w:r w:rsidRPr="001A7517">
              <w:rPr>
                <w:szCs w:val="16"/>
              </w:rPr>
              <w:t>5.2</w:t>
            </w:r>
          </w:p>
        </w:tc>
        <w:tc>
          <w:tcPr>
            <w:tcW w:w="737" w:type="dxa"/>
            <w:tcBorders>
              <w:left w:val="single" w:sz="6" w:space="0" w:color="auto"/>
              <w:right w:val="single" w:sz="6" w:space="0" w:color="auto"/>
            </w:tcBorders>
          </w:tcPr>
          <w:p w14:paraId="1C585D88" w14:textId="77777777" w:rsidR="00D60A5D" w:rsidRPr="001A7517" w:rsidRDefault="00D60A5D" w:rsidP="00623210">
            <w:pPr>
              <w:jc w:val="center"/>
            </w:pPr>
            <w:r w:rsidRPr="001A7517">
              <w:rPr>
                <w:szCs w:val="16"/>
              </w:rPr>
              <w:t>4.8</w:t>
            </w:r>
          </w:p>
        </w:tc>
        <w:tc>
          <w:tcPr>
            <w:tcW w:w="737" w:type="dxa"/>
            <w:tcBorders>
              <w:left w:val="single" w:sz="6" w:space="0" w:color="auto"/>
              <w:right w:val="single" w:sz="6" w:space="0" w:color="auto"/>
            </w:tcBorders>
          </w:tcPr>
          <w:p w14:paraId="0508E1A2" w14:textId="77777777" w:rsidR="00D60A5D" w:rsidRPr="001A7517" w:rsidRDefault="00D60A5D" w:rsidP="00623210">
            <w:pPr>
              <w:jc w:val="center"/>
            </w:pPr>
            <w:r w:rsidRPr="001A7517">
              <w:rPr>
                <w:szCs w:val="16"/>
              </w:rPr>
              <w:t>4.0</w:t>
            </w:r>
          </w:p>
        </w:tc>
        <w:tc>
          <w:tcPr>
            <w:tcW w:w="737" w:type="dxa"/>
            <w:tcBorders>
              <w:left w:val="single" w:sz="6" w:space="0" w:color="auto"/>
              <w:right w:val="single" w:sz="6" w:space="0" w:color="auto"/>
            </w:tcBorders>
          </w:tcPr>
          <w:p w14:paraId="40C4B24F" w14:textId="77777777" w:rsidR="00D60A5D" w:rsidRPr="001A7517" w:rsidRDefault="00D60A5D" w:rsidP="00623210">
            <w:pPr>
              <w:jc w:val="center"/>
            </w:pPr>
            <w:r w:rsidRPr="001A7517">
              <w:rPr>
                <w:szCs w:val="16"/>
              </w:rPr>
              <w:t>3.3</w:t>
            </w:r>
          </w:p>
        </w:tc>
        <w:tc>
          <w:tcPr>
            <w:tcW w:w="737" w:type="dxa"/>
            <w:tcBorders>
              <w:left w:val="single" w:sz="6" w:space="0" w:color="auto"/>
              <w:right w:val="single" w:sz="6" w:space="0" w:color="auto"/>
            </w:tcBorders>
          </w:tcPr>
          <w:p w14:paraId="54F94BDA" w14:textId="77777777" w:rsidR="00D60A5D" w:rsidRPr="001A7517" w:rsidRDefault="00D60A5D" w:rsidP="00623210">
            <w:pPr>
              <w:jc w:val="center"/>
            </w:pPr>
            <w:r w:rsidRPr="001A7517">
              <w:rPr>
                <w:szCs w:val="16"/>
              </w:rPr>
              <w:t>2.5</w:t>
            </w:r>
          </w:p>
        </w:tc>
        <w:tc>
          <w:tcPr>
            <w:tcW w:w="737" w:type="dxa"/>
            <w:tcBorders>
              <w:left w:val="single" w:sz="6" w:space="0" w:color="auto"/>
              <w:right w:val="single" w:sz="6" w:space="0" w:color="auto"/>
            </w:tcBorders>
          </w:tcPr>
          <w:p w14:paraId="7ADFCB26" w14:textId="77777777" w:rsidR="00D60A5D" w:rsidRPr="001A7517" w:rsidRDefault="00D60A5D" w:rsidP="00623210">
            <w:pPr>
              <w:jc w:val="center"/>
            </w:pPr>
            <w:r w:rsidRPr="001A7517">
              <w:rPr>
                <w:szCs w:val="16"/>
              </w:rPr>
              <w:t>1.6</w:t>
            </w:r>
          </w:p>
        </w:tc>
        <w:tc>
          <w:tcPr>
            <w:tcW w:w="737" w:type="dxa"/>
            <w:tcBorders>
              <w:left w:val="single" w:sz="6" w:space="0" w:color="auto"/>
              <w:right w:val="single" w:sz="6" w:space="0" w:color="auto"/>
            </w:tcBorders>
          </w:tcPr>
          <w:p w14:paraId="768172A7" w14:textId="77777777" w:rsidR="00D60A5D" w:rsidRPr="001A7517" w:rsidRDefault="00D60A5D" w:rsidP="00623210">
            <w:pPr>
              <w:jc w:val="center"/>
            </w:pPr>
            <w:r w:rsidRPr="001A7517">
              <w:rPr>
                <w:szCs w:val="16"/>
              </w:rPr>
              <w:t>1.0</w:t>
            </w:r>
          </w:p>
        </w:tc>
        <w:tc>
          <w:tcPr>
            <w:tcW w:w="737" w:type="dxa"/>
            <w:tcBorders>
              <w:left w:val="single" w:sz="6" w:space="0" w:color="auto"/>
              <w:right w:val="single" w:sz="6" w:space="0" w:color="auto"/>
            </w:tcBorders>
          </w:tcPr>
          <w:p w14:paraId="5F1868A0" w14:textId="77777777" w:rsidR="00D60A5D" w:rsidRPr="001A7517" w:rsidRDefault="00D60A5D" w:rsidP="00623210">
            <w:pPr>
              <w:jc w:val="center"/>
            </w:pPr>
            <w:r w:rsidRPr="001A7517">
              <w:rPr>
                <w:szCs w:val="16"/>
              </w:rPr>
              <w:t>0.6</w:t>
            </w:r>
          </w:p>
        </w:tc>
        <w:tc>
          <w:tcPr>
            <w:tcW w:w="737" w:type="dxa"/>
            <w:tcBorders>
              <w:left w:val="single" w:sz="6" w:space="0" w:color="auto"/>
            </w:tcBorders>
          </w:tcPr>
          <w:p w14:paraId="4672BAFC" w14:textId="77777777" w:rsidR="00D60A5D" w:rsidRPr="001A7517" w:rsidRDefault="00D60A5D" w:rsidP="00623210">
            <w:pPr>
              <w:jc w:val="center"/>
            </w:pPr>
            <w:r w:rsidRPr="001A7517">
              <w:rPr>
                <w:szCs w:val="16"/>
              </w:rPr>
              <w:t>0.39</w:t>
            </w:r>
          </w:p>
        </w:tc>
      </w:tr>
      <w:tr w:rsidR="00D60A5D" w:rsidRPr="001A7517" w14:paraId="16B5EDBC" w14:textId="77777777" w:rsidTr="00623210">
        <w:tc>
          <w:tcPr>
            <w:tcW w:w="1440" w:type="dxa"/>
            <w:tcBorders>
              <w:right w:val="single" w:sz="6" w:space="0" w:color="auto"/>
            </w:tcBorders>
          </w:tcPr>
          <w:p w14:paraId="491E9B8B" w14:textId="77777777" w:rsidR="00D60A5D" w:rsidRPr="001A7517" w:rsidRDefault="00D60A5D" w:rsidP="00623210">
            <w:r w:rsidRPr="001A7517">
              <w:rPr>
                <w:szCs w:val="16"/>
              </w:rPr>
              <w:t>0.5</w:t>
            </w:r>
          </w:p>
        </w:tc>
        <w:tc>
          <w:tcPr>
            <w:tcW w:w="736" w:type="dxa"/>
            <w:tcBorders>
              <w:left w:val="single" w:sz="6" w:space="0" w:color="auto"/>
              <w:right w:val="single" w:sz="6" w:space="0" w:color="auto"/>
            </w:tcBorders>
          </w:tcPr>
          <w:p w14:paraId="3641F35F" w14:textId="77777777" w:rsidR="00D60A5D" w:rsidRPr="001A7517" w:rsidRDefault="00D60A5D" w:rsidP="00623210">
            <w:pPr>
              <w:jc w:val="center"/>
            </w:pPr>
            <w:r w:rsidRPr="001A7517">
              <w:rPr>
                <w:szCs w:val="16"/>
              </w:rPr>
              <w:t>12</w:t>
            </w:r>
          </w:p>
        </w:tc>
        <w:tc>
          <w:tcPr>
            <w:tcW w:w="736" w:type="dxa"/>
            <w:tcBorders>
              <w:left w:val="single" w:sz="6" w:space="0" w:color="auto"/>
              <w:right w:val="single" w:sz="6" w:space="0" w:color="auto"/>
            </w:tcBorders>
          </w:tcPr>
          <w:p w14:paraId="1B224F1E" w14:textId="77777777" w:rsidR="00D60A5D" w:rsidRPr="001A7517" w:rsidRDefault="00D60A5D" w:rsidP="00623210">
            <w:pPr>
              <w:jc w:val="center"/>
            </w:pPr>
            <w:r w:rsidRPr="001A7517">
              <w:rPr>
                <w:szCs w:val="16"/>
              </w:rPr>
              <w:t>12</w:t>
            </w:r>
          </w:p>
        </w:tc>
        <w:tc>
          <w:tcPr>
            <w:tcW w:w="736" w:type="dxa"/>
            <w:tcBorders>
              <w:left w:val="single" w:sz="6" w:space="0" w:color="auto"/>
              <w:right w:val="single" w:sz="6" w:space="0" w:color="auto"/>
            </w:tcBorders>
          </w:tcPr>
          <w:p w14:paraId="0E41EFF1" w14:textId="77777777" w:rsidR="00D60A5D" w:rsidRPr="001A7517" w:rsidRDefault="00D60A5D" w:rsidP="00623210">
            <w:pPr>
              <w:jc w:val="center"/>
            </w:pPr>
            <w:r w:rsidRPr="001A7517">
              <w:rPr>
                <w:szCs w:val="16"/>
              </w:rPr>
              <w:t>10</w:t>
            </w:r>
          </w:p>
        </w:tc>
        <w:tc>
          <w:tcPr>
            <w:tcW w:w="737" w:type="dxa"/>
            <w:tcBorders>
              <w:left w:val="single" w:sz="6" w:space="0" w:color="auto"/>
              <w:right w:val="single" w:sz="6" w:space="0" w:color="auto"/>
            </w:tcBorders>
          </w:tcPr>
          <w:p w14:paraId="129EB351" w14:textId="77777777" w:rsidR="00D60A5D" w:rsidRPr="001A7517" w:rsidRDefault="00D60A5D" w:rsidP="00623210">
            <w:pPr>
              <w:jc w:val="center"/>
            </w:pPr>
            <w:r w:rsidRPr="001A7517">
              <w:rPr>
                <w:szCs w:val="16"/>
              </w:rPr>
              <w:t>9.5</w:t>
            </w:r>
          </w:p>
        </w:tc>
        <w:tc>
          <w:tcPr>
            <w:tcW w:w="737" w:type="dxa"/>
            <w:tcBorders>
              <w:left w:val="single" w:sz="6" w:space="0" w:color="auto"/>
              <w:right w:val="single" w:sz="6" w:space="0" w:color="auto"/>
            </w:tcBorders>
          </w:tcPr>
          <w:p w14:paraId="6D51D7D4" w14:textId="77777777" w:rsidR="00D60A5D" w:rsidRPr="001A7517" w:rsidRDefault="00D60A5D" w:rsidP="00623210">
            <w:pPr>
              <w:jc w:val="center"/>
            </w:pPr>
            <w:r w:rsidRPr="001A7517">
              <w:rPr>
                <w:szCs w:val="16"/>
              </w:rPr>
              <w:t>7.9</w:t>
            </w:r>
          </w:p>
        </w:tc>
        <w:tc>
          <w:tcPr>
            <w:tcW w:w="737" w:type="dxa"/>
            <w:tcBorders>
              <w:left w:val="single" w:sz="6" w:space="0" w:color="auto"/>
              <w:right w:val="single" w:sz="6" w:space="0" w:color="auto"/>
            </w:tcBorders>
          </w:tcPr>
          <w:p w14:paraId="77D1E310" w14:textId="77777777" w:rsidR="00D60A5D" w:rsidRPr="001A7517" w:rsidRDefault="00D60A5D" w:rsidP="00623210">
            <w:pPr>
              <w:jc w:val="center"/>
            </w:pPr>
            <w:r w:rsidRPr="001A7517">
              <w:rPr>
                <w:szCs w:val="16"/>
              </w:rPr>
              <w:t>6.5</w:t>
            </w:r>
          </w:p>
        </w:tc>
        <w:tc>
          <w:tcPr>
            <w:tcW w:w="737" w:type="dxa"/>
            <w:tcBorders>
              <w:left w:val="single" w:sz="6" w:space="0" w:color="auto"/>
              <w:right w:val="single" w:sz="6" w:space="0" w:color="auto"/>
            </w:tcBorders>
          </w:tcPr>
          <w:p w14:paraId="4A00D12D" w14:textId="77777777" w:rsidR="00D60A5D" w:rsidRPr="001A7517" w:rsidRDefault="00D60A5D" w:rsidP="00623210">
            <w:pPr>
              <w:jc w:val="center"/>
            </w:pPr>
            <w:r w:rsidRPr="001A7517">
              <w:rPr>
                <w:szCs w:val="16"/>
              </w:rPr>
              <w:t>4.9</w:t>
            </w:r>
          </w:p>
        </w:tc>
        <w:tc>
          <w:tcPr>
            <w:tcW w:w="737" w:type="dxa"/>
            <w:tcBorders>
              <w:left w:val="single" w:sz="6" w:space="0" w:color="auto"/>
              <w:right w:val="single" w:sz="6" w:space="0" w:color="auto"/>
            </w:tcBorders>
          </w:tcPr>
          <w:p w14:paraId="1C6588A3" w14:textId="77777777" w:rsidR="00D60A5D" w:rsidRPr="001A7517" w:rsidRDefault="00D60A5D" w:rsidP="00623210">
            <w:pPr>
              <w:jc w:val="center"/>
            </w:pPr>
            <w:r w:rsidRPr="001A7517">
              <w:rPr>
                <w:szCs w:val="16"/>
              </w:rPr>
              <w:t>3.1</w:t>
            </w:r>
          </w:p>
        </w:tc>
        <w:tc>
          <w:tcPr>
            <w:tcW w:w="737" w:type="dxa"/>
            <w:tcBorders>
              <w:left w:val="single" w:sz="6" w:space="0" w:color="auto"/>
              <w:right w:val="single" w:sz="6" w:space="0" w:color="auto"/>
            </w:tcBorders>
          </w:tcPr>
          <w:p w14:paraId="7E378E28" w14:textId="77777777" w:rsidR="00D60A5D" w:rsidRPr="001A7517" w:rsidRDefault="00D60A5D" w:rsidP="00623210">
            <w:pPr>
              <w:jc w:val="center"/>
            </w:pPr>
            <w:r w:rsidRPr="001A7517">
              <w:rPr>
                <w:szCs w:val="16"/>
              </w:rPr>
              <w:t>2.0</w:t>
            </w:r>
          </w:p>
        </w:tc>
        <w:tc>
          <w:tcPr>
            <w:tcW w:w="737" w:type="dxa"/>
            <w:tcBorders>
              <w:left w:val="single" w:sz="6" w:space="0" w:color="auto"/>
              <w:right w:val="single" w:sz="6" w:space="0" w:color="auto"/>
            </w:tcBorders>
          </w:tcPr>
          <w:p w14:paraId="34559688" w14:textId="77777777" w:rsidR="00D60A5D" w:rsidRPr="001A7517" w:rsidRDefault="00D60A5D" w:rsidP="00623210">
            <w:pPr>
              <w:jc w:val="center"/>
            </w:pPr>
            <w:r w:rsidRPr="001A7517">
              <w:rPr>
                <w:szCs w:val="16"/>
              </w:rPr>
              <w:t>1.2</w:t>
            </w:r>
          </w:p>
        </w:tc>
        <w:tc>
          <w:tcPr>
            <w:tcW w:w="737" w:type="dxa"/>
            <w:tcBorders>
              <w:left w:val="single" w:sz="6" w:space="0" w:color="auto"/>
            </w:tcBorders>
          </w:tcPr>
          <w:p w14:paraId="527CBEF0" w14:textId="77777777" w:rsidR="00D60A5D" w:rsidRPr="001A7517" w:rsidRDefault="00D60A5D" w:rsidP="00623210">
            <w:pPr>
              <w:jc w:val="center"/>
            </w:pPr>
            <w:r w:rsidRPr="001A7517">
              <w:rPr>
                <w:szCs w:val="16"/>
              </w:rPr>
              <w:t>0.78</w:t>
            </w:r>
          </w:p>
        </w:tc>
      </w:tr>
      <w:tr w:rsidR="00D60A5D" w:rsidRPr="001A7517" w14:paraId="004226F9" w14:textId="77777777" w:rsidTr="00623210">
        <w:tc>
          <w:tcPr>
            <w:tcW w:w="1440" w:type="dxa"/>
            <w:tcBorders>
              <w:right w:val="single" w:sz="6" w:space="0" w:color="auto"/>
            </w:tcBorders>
          </w:tcPr>
          <w:p w14:paraId="5C6DF207" w14:textId="77777777" w:rsidR="00D60A5D" w:rsidRPr="001A7517" w:rsidRDefault="00D60A5D" w:rsidP="00623210">
            <w:r w:rsidRPr="001A7517">
              <w:rPr>
                <w:szCs w:val="16"/>
              </w:rPr>
              <w:lastRenderedPageBreak/>
              <w:t>1.0</w:t>
            </w:r>
          </w:p>
        </w:tc>
        <w:tc>
          <w:tcPr>
            <w:tcW w:w="736" w:type="dxa"/>
            <w:tcBorders>
              <w:left w:val="single" w:sz="6" w:space="0" w:color="auto"/>
              <w:right w:val="single" w:sz="6" w:space="0" w:color="auto"/>
            </w:tcBorders>
          </w:tcPr>
          <w:p w14:paraId="00EAE13F" w14:textId="77777777" w:rsidR="00D60A5D" w:rsidRPr="001A7517" w:rsidRDefault="00D60A5D" w:rsidP="00623210">
            <w:pPr>
              <w:jc w:val="center"/>
            </w:pPr>
            <w:r w:rsidRPr="001A7517">
              <w:rPr>
                <w:szCs w:val="16"/>
              </w:rPr>
              <w:t>24</w:t>
            </w:r>
          </w:p>
        </w:tc>
        <w:tc>
          <w:tcPr>
            <w:tcW w:w="736" w:type="dxa"/>
            <w:tcBorders>
              <w:left w:val="single" w:sz="6" w:space="0" w:color="auto"/>
              <w:right w:val="single" w:sz="6" w:space="0" w:color="auto"/>
            </w:tcBorders>
          </w:tcPr>
          <w:p w14:paraId="4DCFD42D" w14:textId="77777777" w:rsidR="00D60A5D" w:rsidRPr="001A7517" w:rsidRDefault="00D60A5D" w:rsidP="00623210">
            <w:pPr>
              <w:jc w:val="center"/>
            </w:pPr>
            <w:r w:rsidRPr="001A7517">
              <w:rPr>
                <w:szCs w:val="16"/>
              </w:rPr>
              <w:t>23</w:t>
            </w:r>
          </w:p>
        </w:tc>
        <w:tc>
          <w:tcPr>
            <w:tcW w:w="736" w:type="dxa"/>
            <w:tcBorders>
              <w:left w:val="single" w:sz="6" w:space="0" w:color="auto"/>
              <w:right w:val="single" w:sz="6" w:space="0" w:color="auto"/>
            </w:tcBorders>
          </w:tcPr>
          <w:p w14:paraId="390B9538" w14:textId="77777777" w:rsidR="00D60A5D" w:rsidRPr="001A7517" w:rsidRDefault="00D60A5D" w:rsidP="00623210">
            <w:pPr>
              <w:jc w:val="center"/>
            </w:pPr>
            <w:r w:rsidRPr="001A7517">
              <w:rPr>
                <w:szCs w:val="16"/>
              </w:rPr>
              <w:t>21</w:t>
            </w:r>
          </w:p>
        </w:tc>
        <w:tc>
          <w:tcPr>
            <w:tcW w:w="737" w:type="dxa"/>
            <w:tcBorders>
              <w:left w:val="single" w:sz="6" w:space="0" w:color="auto"/>
              <w:right w:val="single" w:sz="6" w:space="0" w:color="auto"/>
            </w:tcBorders>
          </w:tcPr>
          <w:p w14:paraId="0C68669B" w14:textId="77777777" w:rsidR="00D60A5D" w:rsidRPr="001A7517" w:rsidRDefault="00D60A5D" w:rsidP="00623210">
            <w:pPr>
              <w:jc w:val="center"/>
            </w:pPr>
            <w:r w:rsidRPr="001A7517">
              <w:rPr>
                <w:szCs w:val="16"/>
              </w:rPr>
              <w:t>19</w:t>
            </w:r>
          </w:p>
        </w:tc>
        <w:tc>
          <w:tcPr>
            <w:tcW w:w="737" w:type="dxa"/>
            <w:tcBorders>
              <w:left w:val="single" w:sz="6" w:space="0" w:color="auto"/>
              <w:right w:val="single" w:sz="6" w:space="0" w:color="auto"/>
            </w:tcBorders>
          </w:tcPr>
          <w:p w14:paraId="1C34F2F2" w14:textId="77777777" w:rsidR="00D60A5D" w:rsidRPr="001A7517" w:rsidRDefault="00D60A5D" w:rsidP="00623210">
            <w:pPr>
              <w:jc w:val="center"/>
            </w:pPr>
            <w:r w:rsidRPr="001A7517">
              <w:rPr>
                <w:szCs w:val="16"/>
              </w:rPr>
              <w:t>16</w:t>
            </w:r>
          </w:p>
        </w:tc>
        <w:tc>
          <w:tcPr>
            <w:tcW w:w="737" w:type="dxa"/>
            <w:tcBorders>
              <w:left w:val="single" w:sz="6" w:space="0" w:color="auto"/>
              <w:right w:val="single" w:sz="6" w:space="0" w:color="auto"/>
            </w:tcBorders>
          </w:tcPr>
          <w:p w14:paraId="3658EEF4" w14:textId="77777777" w:rsidR="00D60A5D" w:rsidRPr="001A7517" w:rsidRDefault="00D60A5D" w:rsidP="00623210">
            <w:pPr>
              <w:jc w:val="center"/>
            </w:pPr>
            <w:r w:rsidRPr="001A7517">
              <w:rPr>
                <w:szCs w:val="16"/>
              </w:rPr>
              <w:t>13</w:t>
            </w:r>
          </w:p>
        </w:tc>
        <w:tc>
          <w:tcPr>
            <w:tcW w:w="737" w:type="dxa"/>
            <w:tcBorders>
              <w:left w:val="single" w:sz="6" w:space="0" w:color="auto"/>
              <w:right w:val="single" w:sz="6" w:space="0" w:color="auto"/>
            </w:tcBorders>
          </w:tcPr>
          <w:p w14:paraId="0CD3D398" w14:textId="77777777" w:rsidR="00D60A5D" w:rsidRPr="001A7517" w:rsidRDefault="00D60A5D" w:rsidP="00623210">
            <w:pPr>
              <w:jc w:val="center"/>
            </w:pPr>
            <w:r w:rsidRPr="001A7517">
              <w:rPr>
                <w:szCs w:val="16"/>
              </w:rPr>
              <w:t>9.9</w:t>
            </w:r>
          </w:p>
        </w:tc>
        <w:tc>
          <w:tcPr>
            <w:tcW w:w="737" w:type="dxa"/>
            <w:tcBorders>
              <w:left w:val="single" w:sz="6" w:space="0" w:color="auto"/>
              <w:right w:val="single" w:sz="6" w:space="0" w:color="auto"/>
            </w:tcBorders>
          </w:tcPr>
          <w:p w14:paraId="3569369A" w14:textId="77777777" w:rsidR="00D60A5D" w:rsidRPr="001A7517" w:rsidRDefault="00D60A5D" w:rsidP="00623210">
            <w:pPr>
              <w:jc w:val="center"/>
            </w:pPr>
            <w:r w:rsidRPr="001A7517">
              <w:rPr>
                <w:szCs w:val="16"/>
              </w:rPr>
              <w:t>6.2</w:t>
            </w:r>
          </w:p>
        </w:tc>
        <w:tc>
          <w:tcPr>
            <w:tcW w:w="737" w:type="dxa"/>
            <w:tcBorders>
              <w:left w:val="single" w:sz="6" w:space="0" w:color="auto"/>
              <w:right w:val="single" w:sz="6" w:space="0" w:color="auto"/>
            </w:tcBorders>
          </w:tcPr>
          <w:p w14:paraId="20607742" w14:textId="77777777" w:rsidR="00D60A5D" w:rsidRPr="001A7517" w:rsidRDefault="00D60A5D" w:rsidP="00623210">
            <w:pPr>
              <w:jc w:val="center"/>
            </w:pPr>
            <w:r w:rsidRPr="001A7517">
              <w:rPr>
                <w:szCs w:val="16"/>
              </w:rPr>
              <w:t>3.9</w:t>
            </w:r>
          </w:p>
        </w:tc>
        <w:tc>
          <w:tcPr>
            <w:tcW w:w="737" w:type="dxa"/>
            <w:tcBorders>
              <w:left w:val="single" w:sz="6" w:space="0" w:color="auto"/>
              <w:right w:val="single" w:sz="6" w:space="0" w:color="auto"/>
            </w:tcBorders>
          </w:tcPr>
          <w:p w14:paraId="2FCBD321" w14:textId="77777777" w:rsidR="00D60A5D" w:rsidRPr="001A7517" w:rsidRDefault="00D60A5D" w:rsidP="00623210">
            <w:pPr>
              <w:jc w:val="center"/>
            </w:pPr>
            <w:r w:rsidRPr="001A7517">
              <w:rPr>
                <w:szCs w:val="16"/>
              </w:rPr>
              <w:t>2.5</w:t>
            </w:r>
          </w:p>
        </w:tc>
        <w:tc>
          <w:tcPr>
            <w:tcW w:w="737" w:type="dxa"/>
            <w:tcBorders>
              <w:left w:val="single" w:sz="6" w:space="0" w:color="auto"/>
            </w:tcBorders>
          </w:tcPr>
          <w:p w14:paraId="396F5CA6" w14:textId="77777777" w:rsidR="00D60A5D" w:rsidRPr="001A7517" w:rsidRDefault="00D60A5D" w:rsidP="00623210">
            <w:pPr>
              <w:jc w:val="center"/>
            </w:pPr>
            <w:r w:rsidRPr="001A7517">
              <w:rPr>
                <w:szCs w:val="16"/>
              </w:rPr>
              <w:t>1.6</w:t>
            </w:r>
          </w:p>
        </w:tc>
      </w:tr>
      <w:tr w:rsidR="00D60A5D" w:rsidRPr="001A7517" w14:paraId="72627AE7" w14:textId="77777777" w:rsidTr="00623210">
        <w:tc>
          <w:tcPr>
            <w:tcW w:w="1440" w:type="dxa"/>
            <w:tcBorders>
              <w:right w:val="single" w:sz="6" w:space="0" w:color="auto"/>
            </w:tcBorders>
          </w:tcPr>
          <w:p w14:paraId="04DDC9B2" w14:textId="77777777" w:rsidR="00D60A5D" w:rsidRPr="001A7517" w:rsidRDefault="00D60A5D" w:rsidP="00623210">
            <w:r w:rsidRPr="001A7517">
              <w:rPr>
                <w:szCs w:val="16"/>
              </w:rPr>
              <w:t>1.5</w:t>
            </w:r>
          </w:p>
        </w:tc>
        <w:tc>
          <w:tcPr>
            <w:tcW w:w="736" w:type="dxa"/>
            <w:tcBorders>
              <w:left w:val="single" w:sz="6" w:space="0" w:color="auto"/>
              <w:right w:val="single" w:sz="6" w:space="0" w:color="auto"/>
            </w:tcBorders>
          </w:tcPr>
          <w:p w14:paraId="4B8F5DB9" w14:textId="77777777" w:rsidR="00D60A5D" w:rsidRPr="001A7517" w:rsidRDefault="00D60A5D" w:rsidP="00623210">
            <w:pPr>
              <w:jc w:val="center"/>
            </w:pPr>
            <w:r w:rsidRPr="001A7517">
              <w:rPr>
                <w:szCs w:val="16"/>
              </w:rPr>
              <w:t>36</w:t>
            </w:r>
          </w:p>
        </w:tc>
        <w:tc>
          <w:tcPr>
            <w:tcW w:w="736" w:type="dxa"/>
            <w:tcBorders>
              <w:left w:val="single" w:sz="6" w:space="0" w:color="auto"/>
              <w:right w:val="single" w:sz="6" w:space="0" w:color="auto"/>
            </w:tcBorders>
          </w:tcPr>
          <w:p w14:paraId="560B62ED" w14:textId="77777777" w:rsidR="00D60A5D" w:rsidRPr="001A7517" w:rsidRDefault="00D60A5D" w:rsidP="00623210">
            <w:pPr>
              <w:jc w:val="center"/>
            </w:pPr>
            <w:r w:rsidRPr="001A7517">
              <w:rPr>
                <w:szCs w:val="16"/>
              </w:rPr>
              <w:t>35</w:t>
            </w:r>
          </w:p>
        </w:tc>
        <w:tc>
          <w:tcPr>
            <w:tcW w:w="736" w:type="dxa"/>
            <w:tcBorders>
              <w:left w:val="single" w:sz="6" w:space="0" w:color="auto"/>
              <w:right w:val="single" w:sz="6" w:space="0" w:color="auto"/>
            </w:tcBorders>
          </w:tcPr>
          <w:p w14:paraId="0DDEF432" w14:textId="77777777" w:rsidR="00D60A5D" w:rsidRPr="001A7517" w:rsidRDefault="00D60A5D" w:rsidP="00623210">
            <w:pPr>
              <w:jc w:val="center"/>
            </w:pPr>
            <w:r w:rsidRPr="001A7517">
              <w:rPr>
                <w:szCs w:val="16"/>
              </w:rPr>
              <w:t>31</w:t>
            </w:r>
          </w:p>
        </w:tc>
        <w:tc>
          <w:tcPr>
            <w:tcW w:w="737" w:type="dxa"/>
            <w:tcBorders>
              <w:left w:val="single" w:sz="6" w:space="0" w:color="auto"/>
              <w:right w:val="single" w:sz="6" w:space="0" w:color="auto"/>
            </w:tcBorders>
          </w:tcPr>
          <w:p w14:paraId="3D4ACA53" w14:textId="77777777" w:rsidR="00D60A5D" w:rsidRPr="001A7517" w:rsidRDefault="00D60A5D" w:rsidP="00623210">
            <w:pPr>
              <w:jc w:val="center"/>
            </w:pPr>
            <w:r w:rsidRPr="001A7517">
              <w:rPr>
                <w:szCs w:val="16"/>
              </w:rPr>
              <w:t>29</w:t>
            </w:r>
          </w:p>
        </w:tc>
        <w:tc>
          <w:tcPr>
            <w:tcW w:w="737" w:type="dxa"/>
            <w:tcBorders>
              <w:left w:val="single" w:sz="6" w:space="0" w:color="auto"/>
              <w:right w:val="single" w:sz="6" w:space="0" w:color="auto"/>
            </w:tcBorders>
          </w:tcPr>
          <w:p w14:paraId="7940B9C6" w14:textId="77777777" w:rsidR="00D60A5D" w:rsidRPr="001A7517" w:rsidRDefault="00D60A5D" w:rsidP="00623210">
            <w:pPr>
              <w:jc w:val="center"/>
            </w:pPr>
            <w:r w:rsidRPr="001A7517">
              <w:rPr>
                <w:szCs w:val="16"/>
              </w:rPr>
              <w:t>24</w:t>
            </w:r>
          </w:p>
        </w:tc>
        <w:tc>
          <w:tcPr>
            <w:tcW w:w="737" w:type="dxa"/>
            <w:tcBorders>
              <w:left w:val="single" w:sz="6" w:space="0" w:color="auto"/>
              <w:right w:val="single" w:sz="6" w:space="0" w:color="auto"/>
            </w:tcBorders>
          </w:tcPr>
          <w:p w14:paraId="4323E926" w14:textId="77777777" w:rsidR="00D60A5D" w:rsidRPr="001A7517" w:rsidRDefault="00D60A5D" w:rsidP="00623210">
            <w:pPr>
              <w:jc w:val="center"/>
            </w:pPr>
            <w:r w:rsidRPr="001A7517">
              <w:rPr>
                <w:szCs w:val="16"/>
              </w:rPr>
              <w:t>20</w:t>
            </w:r>
          </w:p>
        </w:tc>
        <w:tc>
          <w:tcPr>
            <w:tcW w:w="737" w:type="dxa"/>
            <w:tcBorders>
              <w:left w:val="single" w:sz="6" w:space="0" w:color="auto"/>
              <w:right w:val="single" w:sz="6" w:space="0" w:color="auto"/>
            </w:tcBorders>
          </w:tcPr>
          <w:p w14:paraId="53B43956" w14:textId="77777777" w:rsidR="00D60A5D" w:rsidRPr="001A7517" w:rsidRDefault="00D60A5D" w:rsidP="00623210">
            <w:pPr>
              <w:jc w:val="center"/>
            </w:pPr>
            <w:r w:rsidRPr="001A7517">
              <w:rPr>
                <w:szCs w:val="16"/>
              </w:rPr>
              <w:t>15</w:t>
            </w:r>
          </w:p>
        </w:tc>
        <w:tc>
          <w:tcPr>
            <w:tcW w:w="737" w:type="dxa"/>
            <w:tcBorders>
              <w:left w:val="single" w:sz="6" w:space="0" w:color="auto"/>
              <w:right w:val="single" w:sz="6" w:space="0" w:color="auto"/>
            </w:tcBorders>
          </w:tcPr>
          <w:p w14:paraId="44086C9D" w14:textId="77777777" w:rsidR="00D60A5D" w:rsidRPr="001A7517" w:rsidRDefault="00D60A5D" w:rsidP="00623210">
            <w:pPr>
              <w:jc w:val="center"/>
            </w:pPr>
            <w:r w:rsidRPr="001A7517">
              <w:rPr>
                <w:szCs w:val="16"/>
              </w:rPr>
              <w:t>9.3</w:t>
            </w:r>
          </w:p>
        </w:tc>
        <w:tc>
          <w:tcPr>
            <w:tcW w:w="737" w:type="dxa"/>
            <w:tcBorders>
              <w:left w:val="single" w:sz="6" w:space="0" w:color="auto"/>
              <w:right w:val="single" w:sz="6" w:space="0" w:color="auto"/>
            </w:tcBorders>
          </w:tcPr>
          <w:p w14:paraId="123B8ABF" w14:textId="77777777" w:rsidR="00D60A5D" w:rsidRPr="001A7517" w:rsidRDefault="00D60A5D" w:rsidP="00623210">
            <w:pPr>
              <w:jc w:val="center"/>
            </w:pPr>
            <w:r w:rsidRPr="001A7517">
              <w:rPr>
                <w:szCs w:val="16"/>
              </w:rPr>
              <w:t>5.9</w:t>
            </w:r>
          </w:p>
        </w:tc>
        <w:tc>
          <w:tcPr>
            <w:tcW w:w="737" w:type="dxa"/>
            <w:tcBorders>
              <w:left w:val="single" w:sz="6" w:space="0" w:color="auto"/>
              <w:right w:val="single" w:sz="6" w:space="0" w:color="auto"/>
            </w:tcBorders>
          </w:tcPr>
          <w:p w14:paraId="11466E59" w14:textId="77777777" w:rsidR="00D60A5D" w:rsidRPr="001A7517" w:rsidRDefault="00D60A5D" w:rsidP="00623210">
            <w:pPr>
              <w:jc w:val="center"/>
            </w:pPr>
            <w:r w:rsidRPr="001A7517">
              <w:rPr>
                <w:szCs w:val="16"/>
              </w:rPr>
              <w:t>3.7</w:t>
            </w:r>
          </w:p>
        </w:tc>
        <w:tc>
          <w:tcPr>
            <w:tcW w:w="737" w:type="dxa"/>
            <w:tcBorders>
              <w:left w:val="single" w:sz="6" w:space="0" w:color="auto"/>
            </w:tcBorders>
          </w:tcPr>
          <w:p w14:paraId="5603FF35" w14:textId="77777777" w:rsidR="00D60A5D" w:rsidRPr="001A7517" w:rsidRDefault="00D60A5D" w:rsidP="00623210">
            <w:pPr>
              <w:jc w:val="center"/>
            </w:pPr>
            <w:r w:rsidRPr="001A7517">
              <w:rPr>
                <w:szCs w:val="16"/>
              </w:rPr>
              <w:t>2.4</w:t>
            </w:r>
          </w:p>
        </w:tc>
      </w:tr>
      <w:tr w:rsidR="00D60A5D" w:rsidRPr="001A7517" w14:paraId="06B1E396" w14:textId="77777777" w:rsidTr="00623210">
        <w:tc>
          <w:tcPr>
            <w:tcW w:w="1440" w:type="dxa"/>
            <w:tcBorders>
              <w:right w:val="single" w:sz="6" w:space="0" w:color="auto"/>
            </w:tcBorders>
          </w:tcPr>
          <w:p w14:paraId="4711EA47" w14:textId="77777777" w:rsidR="00D60A5D" w:rsidRPr="001A7517" w:rsidRDefault="00D60A5D" w:rsidP="00623210">
            <w:r w:rsidRPr="001A7517">
              <w:rPr>
                <w:szCs w:val="16"/>
              </w:rPr>
              <w:t>2.0</w:t>
            </w:r>
          </w:p>
        </w:tc>
        <w:tc>
          <w:tcPr>
            <w:tcW w:w="736" w:type="dxa"/>
            <w:tcBorders>
              <w:left w:val="single" w:sz="6" w:space="0" w:color="auto"/>
              <w:right w:val="single" w:sz="6" w:space="0" w:color="auto"/>
            </w:tcBorders>
          </w:tcPr>
          <w:p w14:paraId="15557119" w14:textId="77777777" w:rsidR="00D60A5D" w:rsidRPr="001A7517" w:rsidRDefault="00D60A5D" w:rsidP="00623210">
            <w:pPr>
              <w:jc w:val="center"/>
            </w:pPr>
            <w:r w:rsidRPr="001A7517">
              <w:rPr>
                <w:szCs w:val="16"/>
              </w:rPr>
              <w:t>48</w:t>
            </w:r>
          </w:p>
        </w:tc>
        <w:tc>
          <w:tcPr>
            <w:tcW w:w="736" w:type="dxa"/>
            <w:tcBorders>
              <w:left w:val="single" w:sz="6" w:space="0" w:color="auto"/>
              <w:right w:val="single" w:sz="6" w:space="0" w:color="auto"/>
            </w:tcBorders>
          </w:tcPr>
          <w:p w14:paraId="09E0949E" w14:textId="77777777" w:rsidR="00D60A5D" w:rsidRPr="001A7517" w:rsidRDefault="00D60A5D" w:rsidP="00623210">
            <w:pPr>
              <w:jc w:val="center"/>
            </w:pPr>
            <w:r w:rsidRPr="001A7517">
              <w:rPr>
                <w:szCs w:val="16"/>
              </w:rPr>
              <w:t>46</w:t>
            </w:r>
          </w:p>
        </w:tc>
        <w:tc>
          <w:tcPr>
            <w:tcW w:w="736" w:type="dxa"/>
            <w:tcBorders>
              <w:left w:val="single" w:sz="6" w:space="0" w:color="auto"/>
              <w:right w:val="single" w:sz="6" w:space="0" w:color="auto"/>
            </w:tcBorders>
          </w:tcPr>
          <w:p w14:paraId="07B21E49" w14:textId="77777777" w:rsidR="00D60A5D" w:rsidRPr="001A7517" w:rsidRDefault="00D60A5D" w:rsidP="00623210">
            <w:pPr>
              <w:jc w:val="center"/>
            </w:pPr>
            <w:r w:rsidRPr="001A7517">
              <w:rPr>
                <w:szCs w:val="16"/>
              </w:rPr>
              <w:t>42</w:t>
            </w:r>
          </w:p>
        </w:tc>
        <w:tc>
          <w:tcPr>
            <w:tcW w:w="737" w:type="dxa"/>
            <w:tcBorders>
              <w:left w:val="single" w:sz="6" w:space="0" w:color="auto"/>
              <w:right w:val="single" w:sz="6" w:space="0" w:color="auto"/>
            </w:tcBorders>
          </w:tcPr>
          <w:p w14:paraId="5740826D" w14:textId="77777777" w:rsidR="00D60A5D" w:rsidRPr="001A7517" w:rsidRDefault="00D60A5D" w:rsidP="00623210">
            <w:pPr>
              <w:jc w:val="center"/>
            </w:pPr>
            <w:r w:rsidRPr="001A7517">
              <w:rPr>
                <w:szCs w:val="16"/>
              </w:rPr>
              <w:t>38</w:t>
            </w:r>
          </w:p>
        </w:tc>
        <w:tc>
          <w:tcPr>
            <w:tcW w:w="737" w:type="dxa"/>
            <w:tcBorders>
              <w:left w:val="single" w:sz="6" w:space="0" w:color="auto"/>
              <w:right w:val="single" w:sz="6" w:space="0" w:color="auto"/>
            </w:tcBorders>
          </w:tcPr>
          <w:p w14:paraId="60D87A5E" w14:textId="77777777" w:rsidR="00D60A5D" w:rsidRPr="001A7517" w:rsidRDefault="00D60A5D" w:rsidP="00623210">
            <w:pPr>
              <w:jc w:val="center"/>
            </w:pPr>
            <w:r w:rsidRPr="001A7517">
              <w:rPr>
                <w:szCs w:val="16"/>
              </w:rPr>
              <w:t>32</w:t>
            </w:r>
          </w:p>
        </w:tc>
        <w:tc>
          <w:tcPr>
            <w:tcW w:w="737" w:type="dxa"/>
            <w:tcBorders>
              <w:left w:val="single" w:sz="6" w:space="0" w:color="auto"/>
              <w:right w:val="single" w:sz="6" w:space="0" w:color="auto"/>
            </w:tcBorders>
          </w:tcPr>
          <w:p w14:paraId="6BDB6221" w14:textId="77777777" w:rsidR="00D60A5D" w:rsidRPr="001A7517" w:rsidRDefault="00D60A5D" w:rsidP="00623210">
            <w:pPr>
              <w:jc w:val="center"/>
            </w:pPr>
            <w:r w:rsidRPr="001A7517">
              <w:rPr>
                <w:szCs w:val="16"/>
              </w:rPr>
              <w:t>26</w:t>
            </w:r>
          </w:p>
        </w:tc>
        <w:tc>
          <w:tcPr>
            <w:tcW w:w="737" w:type="dxa"/>
            <w:tcBorders>
              <w:left w:val="single" w:sz="6" w:space="0" w:color="auto"/>
              <w:right w:val="single" w:sz="6" w:space="0" w:color="auto"/>
            </w:tcBorders>
          </w:tcPr>
          <w:p w14:paraId="5A50811A" w14:textId="77777777" w:rsidR="00D60A5D" w:rsidRPr="001A7517" w:rsidRDefault="00D60A5D" w:rsidP="00623210">
            <w:pPr>
              <w:jc w:val="center"/>
            </w:pPr>
            <w:r w:rsidRPr="001A7517">
              <w:rPr>
                <w:szCs w:val="16"/>
              </w:rPr>
              <w:t>20</w:t>
            </w:r>
          </w:p>
        </w:tc>
        <w:tc>
          <w:tcPr>
            <w:tcW w:w="737" w:type="dxa"/>
            <w:tcBorders>
              <w:left w:val="single" w:sz="6" w:space="0" w:color="auto"/>
              <w:right w:val="single" w:sz="6" w:space="0" w:color="auto"/>
            </w:tcBorders>
          </w:tcPr>
          <w:p w14:paraId="5D7598B0" w14:textId="77777777" w:rsidR="00D60A5D" w:rsidRPr="001A7517" w:rsidRDefault="00D60A5D" w:rsidP="00623210">
            <w:pPr>
              <w:jc w:val="center"/>
            </w:pPr>
            <w:r w:rsidRPr="001A7517">
              <w:rPr>
                <w:szCs w:val="16"/>
              </w:rPr>
              <w:t>12</w:t>
            </w:r>
          </w:p>
        </w:tc>
        <w:tc>
          <w:tcPr>
            <w:tcW w:w="737" w:type="dxa"/>
            <w:tcBorders>
              <w:left w:val="single" w:sz="6" w:space="0" w:color="auto"/>
              <w:right w:val="single" w:sz="6" w:space="0" w:color="auto"/>
            </w:tcBorders>
          </w:tcPr>
          <w:p w14:paraId="036F7467" w14:textId="77777777" w:rsidR="00D60A5D" w:rsidRPr="001A7517" w:rsidRDefault="00D60A5D" w:rsidP="00623210">
            <w:pPr>
              <w:jc w:val="center"/>
            </w:pPr>
            <w:r w:rsidRPr="001A7517">
              <w:rPr>
                <w:szCs w:val="16"/>
              </w:rPr>
              <w:t>7.8</w:t>
            </w:r>
          </w:p>
        </w:tc>
        <w:tc>
          <w:tcPr>
            <w:tcW w:w="737" w:type="dxa"/>
            <w:tcBorders>
              <w:left w:val="single" w:sz="6" w:space="0" w:color="auto"/>
              <w:right w:val="single" w:sz="6" w:space="0" w:color="auto"/>
            </w:tcBorders>
          </w:tcPr>
          <w:p w14:paraId="65D14C70" w14:textId="77777777" w:rsidR="00D60A5D" w:rsidRPr="001A7517" w:rsidRDefault="00D60A5D" w:rsidP="00623210">
            <w:pPr>
              <w:jc w:val="center"/>
            </w:pPr>
            <w:r w:rsidRPr="001A7517">
              <w:rPr>
                <w:szCs w:val="16"/>
              </w:rPr>
              <w:t>4.9</w:t>
            </w:r>
          </w:p>
        </w:tc>
        <w:tc>
          <w:tcPr>
            <w:tcW w:w="737" w:type="dxa"/>
            <w:tcBorders>
              <w:left w:val="single" w:sz="6" w:space="0" w:color="auto"/>
            </w:tcBorders>
          </w:tcPr>
          <w:p w14:paraId="296E474B" w14:textId="77777777" w:rsidR="00D60A5D" w:rsidRPr="001A7517" w:rsidRDefault="00D60A5D" w:rsidP="00623210">
            <w:pPr>
              <w:jc w:val="center"/>
            </w:pPr>
            <w:r w:rsidRPr="001A7517">
              <w:rPr>
                <w:szCs w:val="16"/>
              </w:rPr>
              <w:t>3.1</w:t>
            </w:r>
          </w:p>
        </w:tc>
      </w:tr>
      <w:tr w:rsidR="00D60A5D" w:rsidRPr="001A7517" w14:paraId="78C57A25" w14:textId="77777777" w:rsidTr="00623210">
        <w:tc>
          <w:tcPr>
            <w:tcW w:w="1440" w:type="dxa"/>
            <w:tcBorders>
              <w:right w:val="single" w:sz="6" w:space="0" w:color="auto"/>
            </w:tcBorders>
          </w:tcPr>
          <w:p w14:paraId="7174B513" w14:textId="77777777" w:rsidR="00D60A5D" w:rsidRPr="001A7517" w:rsidRDefault="00D60A5D" w:rsidP="00623210">
            <w:r w:rsidRPr="001A7517">
              <w:rPr>
                <w:szCs w:val="16"/>
              </w:rPr>
              <w:t>2.5</w:t>
            </w:r>
          </w:p>
        </w:tc>
        <w:tc>
          <w:tcPr>
            <w:tcW w:w="736" w:type="dxa"/>
            <w:tcBorders>
              <w:left w:val="single" w:sz="6" w:space="0" w:color="auto"/>
              <w:right w:val="single" w:sz="6" w:space="0" w:color="auto"/>
            </w:tcBorders>
          </w:tcPr>
          <w:p w14:paraId="255393F6" w14:textId="77777777" w:rsidR="00D60A5D" w:rsidRPr="001A7517" w:rsidRDefault="00D60A5D" w:rsidP="00623210">
            <w:pPr>
              <w:jc w:val="center"/>
            </w:pPr>
            <w:r w:rsidRPr="001A7517">
              <w:rPr>
                <w:szCs w:val="16"/>
              </w:rPr>
              <w:t>60</w:t>
            </w:r>
          </w:p>
        </w:tc>
        <w:tc>
          <w:tcPr>
            <w:tcW w:w="736" w:type="dxa"/>
            <w:tcBorders>
              <w:left w:val="single" w:sz="6" w:space="0" w:color="auto"/>
              <w:right w:val="single" w:sz="6" w:space="0" w:color="auto"/>
            </w:tcBorders>
          </w:tcPr>
          <w:p w14:paraId="12601A2A" w14:textId="77777777" w:rsidR="00D60A5D" w:rsidRPr="001A7517" w:rsidRDefault="00D60A5D" w:rsidP="00623210">
            <w:pPr>
              <w:jc w:val="center"/>
            </w:pPr>
            <w:r w:rsidRPr="001A7517">
              <w:rPr>
                <w:szCs w:val="16"/>
              </w:rPr>
              <w:t>58</w:t>
            </w:r>
          </w:p>
        </w:tc>
        <w:tc>
          <w:tcPr>
            <w:tcW w:w="736" w:type="dxa"/>
            <w:tcBorders>
              <w:left w:val="single" w:sz="6" w:space="0" w:color="auto"/>
              <w:right w:val="single" w:sz="6" w:space="0" w:color="auto"/>
            </w:tcBorders>
          </w:tcPr>
          <w:p w14:paraId="0BD86FEA" w14:textId="77777777" w:rsidR="00D60A5D" w:rsidRPr="001A7517" w:rsidRDefault="00D60A5D" w:rsidP="00623210">
            <w:pPr>
              <w:jc w:val="center"/>
            </w:pPr>
            <w:r w:rsidRPr="001A7517">
              <w:rPr>
                <w:szCs w:val="16"/>
              </w:rPr>
              <w:t>52</w:t>
            </w:r>
          </w:p>
        </w:tc>
        <w:tc>
          <w:tcPr>
            <w:tcW w:w="737" w:type="dxa"/>
            <w:tcBorders>
              <w:left w:val="single" w:sz="6" w:space="0" w:color="auto"/>
              <w:right w:val="single" w:sz="6" w:space="0" w:color="auto"/>
            </w:tcBorders>
          </w:tcPr>
          <w:p w14:paraId="094A0F65" w14:textId="77777777" w:rsidR="00D60A5D" w:rsidRPr="001A7517" w:rsidRDefault="00D60A5D" w:rsidP="00623210">
            <w:pPr>
              <w:jc w:val="center"/>
            </w:pPr>
            <w:r w:rsidRPr="001A7517">
              <w:rPr>
                <w:szCs w:val="16"/>
              </w:rPr>
              <w:t>48</w:t>
            </w:r>
          </w:p>
        </w:tc>
        <w:tc>
          <w:tcPr>
            <w:tcW w:w="737" w:type="dxa"/>
            <w:tcBorders>
              <w:left w:val="single" w:sz="6" w:space="0" w:color="auto"/>
              <w:right w:val="single" w:sz="6" w:space="0" w:color="auto"/>
            </w:tcBorders>
          </w:tcPr>
          <w:p w14:paraId="793D4FAF" w14:textId="77777777" w:rsidR="00D60A5D" w:rsidRPr="001A7517" w:rsidRDefault="00D60A5D" w:rsidP="00623210">
            <w:pPr>
              <w:jc w:val="center"/>
            </w:pPr>
            <w:r w:rsidRPr="001A7517">
              <w:rPr>
                <w:szCs w:val="16"/>
              </w:rPr>
              <w:t>40</w:t>
            </w:r>
          </w:p>
        </w:tc>
        <w:tc>
          <w:tcPr>
            <w:tcW w:w="737" w:type="dxa"/>
            <w:tcBorders>
              <w:left w:val="single" w:sz="6" w:space="0" w:color="auto"/>
              <w:right w:val="single" w:sz="6" w:space="0" w:color="auto"/>
            </w:tcBorders>
          </w:tcPr>
          <w:p w14:paraId="4026DD0B" w14:textId="77777777" w:rsidR="00D60A5D" w:rsidRPr="001A7517" w:rsidRDefault="00D60A5D" w:rsidP="00623210">
            <w:pPr>
              <w:jc w:val="center"/>
            </w:pPr>
            <w:r w:rsidRPr="001A7517">
              <w:rPr>
                <w:szCs w:val="16"/>
              </w:rPr>
              <w:t>33</w:t>
            </w:r>
          </w:p>
        </w:tc>
        <w:tc>
          <w:tcPr>
            <w:tcW w:w="737" w:type="dxa"/>
            <w:tcBorders>
              <w:left w:val="single" w:sz="6" w:space="0" w:color="auto"/>
              <w:right w:val="single" w:sz="6" w:space="0" w:color="auto"/>
            </w:tcBorders>
          </w:tcPr>
          <w:p w14:paraId="2DFABB33" w14:textId="77777777" w:rsidR="00D60A5D" w:rsidRPr="001A7517" w:rsidRDefault="00D60A5D" w:rsidP="00623210">
            <w:pPr>
              <w:jc w:val="center"/>
            </w:pPr>
            <w:r w:rsidRPr="001A7517">
              <w:rPr>
                <w:szCs w:val="16"/>
              </w:rPr>
              <w:t>25</w:t>
            </w:r>
          </w:p>
        </w:tc>
        <w:tc>
          <w:tcPr>
            <w:tcW w:w="737" w:type="dxa"/>
            <w:tcBorders>
              <w:left w:val="single" w:sz="6" w:space="0" w:color="auto"/>
              <w:right w:val="single" w:sz="6" w:space="0" w:color="auto"/>
            </w:tcBorders>
          </w:tcPr>
          <w:p w14:paraId="06EC62F5" w14:textId="77777777" w:rsidR="00D60A5D" w:rsidRPr="001A7517" w:rsidRDefault="00D60A5D" w:rsidP="00623210">
            <w:pPr>
              <w:jc w:val="center"/>
            </w:pPr>
            <w:r w:rsidRPr="001A7517">
              <w:rPr>
                <w:szCs w:val="16"/>
              </w:rPr>
              <w:t>16</w:t>
            </w:r>
          </w:p>
        </w:tc>
        <w:tc>
          <w:tcPr>
            <w:tcW w:w="737" w:type="dxa"/>
            <w:tcBorders>
              <w:left w:val="single" w:sz="6" w:space="0" w:color="auto"/>
              <w:right w:val="single" w:sz="6" w:space="0" w:color="auto"/>
            </w:tcBorders>
          </w:tcPr>
          <w:p w14:paraId="359CF2CC" w14:textId="77777777" w:rsidR="00D60A5D" w:rsidRPr="001A7517" w:rsidRDefault="00D60A5D" w:rsidP="00623210">
            <w:pPr>
              <w:jc w:val="center"/>
            </w:pPr>
            <w:r w:rsidRPr="001A7517">
              <w:rPr>
                <w:szCs w:val="16"/>
              </w:rPr>
              <w:t>9.8</w:t>
            </w:r>
          </w:p>
        </w:tc>
        <w:tc>
          <w:tcPr>
            <w:tcW w:w="737" w:type="dxa"/>
            <w:tcBorders>
              <w:left w:val="single" w:sz="6" w:space="0" w:color="auto"/>
              <w:right w:val="single" w:sz="6" w:space="0" w:color="auto"/>
            </w:tcBorders>
          </w:tcPr>
          <w:p w14:paraId="611B52E0" w14:textId="77777777" w:rsidR="00D60A5D" w:rsidRPr="001A7517" w:rsidRDefault="00D60A5D" w:rsidP="00623210">
            <w:pPr>
              <w:jc w:val="center"/>
            </w:pPr>
            <w:r w:rsidRPr="001A7517">
              <w:rPr>
                <w:szCs w:val="16"/>
              </w:rPr>
              <w:t>6.2</w:t>
            </w:r>
          </w:p>
        </w:tc>
        <w:tc>
          <w:tcPr>
            <w:tcW w:w="737" w:type="dxa"/>
            <w:tcBorders>
              <w:left w:val="single" w:sz="6" w:space="0" w:color="auto"/>
            </w:tcBorders>
          </w:tcPr>
          <w:p w14:paraId="70474240" w14:textId="77777777" w:rsidR="00D60A5D" w:rsidRPr="001A7517" w:rsidRDefault="00D60A5D" w:rsidP="00623210">
            <w:pPr>
              <w:jc w:val="center"/>
            </w:pPr>
            <w:r w:rsidRPr="001A7517">
              <w:rPr>
                <w:szCs w:val="16"/>
              </w:rPr>
              <w:t>3.9</w:t>
            </w:r>
          </w:p>
        </w:tc>
      </w:tr>
      <w:tr w:rsidR="00D60A5D" w:rsidRPr="001A7517" w14:paraId="68671391" w14:textId="77777777" w:rsidTr="00623210">
        <w:tc>
          <w:tcPr>
            <w:tcW w:w="1440" w:type="dxa"/>
            <w:tcBorders>
              <w:right w:val="single" w:sz="6" w:space="0" w:color="auto"/>
            </w:tcBorders>
          </w:tcPr>
          <w:p w14:paraId="4AEBE908" w14:textId="77777777" w:rsidR="00D60A5D" w:rsidRPr="001A7517" w:rsidRDefault="00D60A5D" w:rsidP="00623210">
            <w:r w:rsidRPr="001A7517">
              <w:rPr>
                <w:szCs w:val="16"/>
              </w:rPr>
              <w:t>3.0</w:t>
            </w:r>
          </w:p>
        </w:tc>
        <w:tc>
          <w:tcPr>
            <w:tcW w:w="736" w:type="dxa"/>
            <w:tcBorders>
              <w:left w:val="single" w:sz="6" w:space="0" w:color="auto"/>
              <w:right w:val="single" w:sz="6" w:space="0" w:color="auto"/>
            </w:tcBorders>
          </w:tcPr>
          <w:p w14:paraId="5757C108" w14:textId="77777777" w:rsidR="00D60A5D" w:rsidRPr="001A7517" w:rsidRDefault="00D60A5D" w:rsidP="00623210">
            <w:pPr>
              <w:jc w:val="center"/>
            </w:pPr>
            <w:r w:rsidRPr="001A7517">
              <w:rPr>
                <w:szCs w:val="16"/>
              </w:rPr>
              <w:t>72</w:t>
            </w:r>
          </w:p>
        </w:tc>
        <w:tc>
          <w:tcPr>
            <w:tcW w:w="736" w:type="dxa"/>
            <w:tcBorders>
              <w:left w:val="single" w:sz="6" w:space="0" w:color="auto"/>
              <w:right w:val="single" w:sz="6" w:space="0" w:color="auto"/>
            </w:tcBorders>
          </w:tcPr>
          <w:p w14:paraId="5C9523AD" w14:textId="77777777" w:rsidR="00D60A5D" w:rsidRPr="001A7517" w:rsidRDefault="00D60A5D" w:rsidP="00623210">
            <w:pPr>
              <w:jc w:val="center"/>
            </w:pPr>
            <w:r w:rsidRPr="001A7517">
              <w:rPr>
                <w:szCs w:val="16"/>
              </w:rPr>
              <w:t>69</w:t>
            </w:r>
          </w:p>
        </w:tc>
        <w:tc>
          <w:tcPr>
            <w:tcW w:w="736" w:type="dxa"/>
            <w:tcBorders>
              <w:left w:val="single" w:sz="6" w:space="0" w:color="auto"/>
              <w:right w:val="single" w:sz="6" w:space="0" w:color="auto"/>
            </w:tcBorders>
          </w:tcPr>
          <w:p w14:paraId="60868088" w14:textId="77777777" w:rsidR="00D60A5D" w:rsidRPr="001A7517" w:rsidRDefault="00D60A5D" w:rsidP="00623210">
            <w:pPr>
              <w:jc w:val="center"/>
            </w:pPr>
            <w:r w:rsidRPr="001A7517">
              <w:rPr>
                <w:szCs w:val="16"/>
              </w:rPr>
              <w:t>63</w:t>
            </w:r>
          </w:p>
        </w:tc>
        <w:tc>
          <w:tcPr>
            <w:tcW w:w="737" w:type="dxa"/>
            <w:tcBorders>
              <w:left w:val="single" w:sz="6" w:space="0" w:color="auto"/>
              <w:right w:val="single" w:sz="6" w:space="0" w:color="auto"/>
            </w:tcBorders>
          </w:tcPr>
          <w:p w14:paraId="22FDD5B2" w14:textId="77777777" w:rsidR="00D60A5D" w:rsidRPr="001A7517" w:rsidRDefault="00D60A5D" w:rsidP="00623210">
            <w:pPr>
              <w:jc w:val="center"/>
            </w:pPr>
            <w:r w:rsidRPr="001A7517">
              <w:rPr>
                <w:szCs w:val="16"/>
              </w:rPr>
              <w:t>57</w:t>
            </w:r>
          </w:p>
        </w:tc>
        <w:tc>
          <w:tcPr>
            <w:tcW w:w="737" w:type="dxa"/>
            <w:tcBorders>
              <w:left w:val="single" w:sz="6" w:space="0" w:color="auto"/>
              <w:right w:val="single" w:sz="6" w:space="0" w:color="auto"/>
            </w:tcBorders>
          </w:tcPr>
          <w:p w14:paraId="7EFBE3E7" w14:textId="77777777" w:rsidR="00D60A5D" w:rsidRPr="001A7517" w:rsidRDefault="00D60A5D" w:rsidP="00623210">
            <w:pPr>
              <w:jc w:val="center"/>
            </w:pPr>
            <w:r w:rsidRPr="001A7517">
              <w:rPr>
                <w:szCs w:val="16"/>
              </w:rPr>
              <w:t>47</w:t>
            </w:r>
          </w:p>
        </w:tc>
        <w:tc>
          <w:tcPr>
            <w:tcW w:w="737" w:type="dxa"/>
            <w:tcBorders>
              <w:left w:val="single" w:sz="6" w:space="0" w:color="auto"/>
              <w:right w:val="single" w:sz="6" w:space="0" w:color="auto"/>
            </w:tcBorders>
          </w:tcPr>
          <w:p w14:paraId="206317BF" w14:textId="77777777" w:rsidR="00D60A5D" w:rsidRPr="001A7517" w:rsidRDefault="00D60A5D" w:rsidP="00623210">
            <w:pPr>
              <w:jc w:val="center"/>
            </w:pPr>
            <w:r w:rsidRPr="001A7517">
              <w:rPr>
                <w:szCs w:val="16"/>
              </w:rPr>
              <w:t>39</w:t>
            </w:r>
          </w:p>
        </w:tc>
        <w:tc>
          <w:tcPr>
            <w:tcW w:w="737" w:type="dxa"/>
            <w:tcBorders>
              <w:left w:val="single" w:sz="6" w:space="0" w:color="auto"/>
              <w:right w:val="single" w:sz="6" w:space="0" w:color="auto"/>
            </w:tcBorders>
          </w:tcPr>
          <w:p w14:paraId="1492B38F" w14:textId="77777777" w:rsidR="00D60A5D" w:rsidRPr="001A7517" w:rsidRDefault="00D60A5D" w:rsidP="00623210">
            <w:pPr>
              <w:jc w:val="center"/>
            </w:pPr>
            <w:r w:rsidRPr="001A7517">
              <w:rPr>
                <w:szCs w:val="16"/>
              </w:rPr>
              <w:t>30</w:t>
            </w:r>
          </w:p>
        </w:tc>
        <w:tc>
          <w:tcPr>
            <w:tcW w:w="737" w:type="dxa"/>
            <w:tcBorders>
              <w:left w:val="single" w:sz="6" w:space="0" w:color="auto"/>
              <w:right w:val="single" w:sz="6" w:space="0" w:color="auto"/>
            </w:tcBorders>
          </w:tcPr>
          <w:p w14:paraId="5AFF3F20" w14:textId="77777777" w:rsidR="00D60A5D" w:rsidRPr="001A7517" w:rsidRDefault="00D60A5D" w:rsidP="00623210">
            <w:pPr>
              <w:jc w:val="center"/>
            </w:pPr>
            <w:r w:rsidRPr="001A7517">
              <w:rPr>
                <w:szCs w:val="16"/>
              </w:rPr>
              <w:t>19</w:t>
            </w:r>
          </w:p>
        </w:tc>
        <w:tc>
          <w:tcPr>
            <w:tcW w:w="737" w:type="dxa"/>
            <w:tcBorders>
              <w:left w:val="single" w:sz="6" w:space="0" w:color="auto"/>
              <w:right w:val="single" w:sz="6" w:space="0" w:color="auto"/>
            </w:tcBorders>
          </w:tcPr>
          <w:p w14:paraId="0D25A816" w14:textId="77777777" w:rsidR="00D60A5D" w:rsidRPr="001A7517" w:rsidRDefault="00D60A5D" w:rsidP="00623210">
            <w:pPr>
              <w:jc w:val="center"/>
            </w:pPr>
            <w:r w:rsidRPr="001A7517">
              <w:rPr>
                <w:szCs w:val="16"/>
              </w:rPr>
              <w:t>12</w:t>
            </w:r>
          </w:p>
        </w:tc>
        <w:tc>
          <w:tcPr>
            <w:tcW w:w="737" w:type="dxa"/>
            <w:tcBorders>
              <w:left w:val="single" w:sz="6" w:space="0" w:color="auto"/>
              <w:right w:val="single" w:sz="6" w:space="0" w:color="auto"/>
            </w:tcBorders>
          </w:tcPr>
          <w:p w14:paraId="78AE1853" w14:textId="77777777" w:rsidR="00D60A5D" w:rsidRPr="001A7517" w:rsidRDefault="00D60A5D" w:rsidP="00623210">
            <w:pPr>
              <w:jc w:val="center"/>
            </w:pPr>
            <w:r w:rsidRPr="001A7517">
              <w:rPr>
                <w:szCs w:val="16"/>
              </w:rPr>
              <w:t>7.4</w:t>
            </w:r>
          </w:p>
        </w:tc>
        <w:tc>
          <w:tcPr>
            <w:tcW w:w="737" w:type="dxa"/>
            <w:tcBorders>
              <w:left w:val="single" w:sz="6" w:space="0" w:color="auto"/>
            </w:tcBorders>
          </w:tcPr>
          <w:p w14:paraId="49E81B2B" w14:textId="77777777" w:rsidR="00D60A5D" w:rsidRPr="001A7517" w:rsidRDefault="00D60A5D" w:rsidP="00623210">
            <w:pPr>
              <w:jc w:val="center"/>
            </w:pPr>
            <w:r w:rsidRPr="001A7517">
              <w:rPr>
                <w:szCs w:val="16"/>
              </w:rPr>
              <w:t>4.7</w:t>
            </w:r>
          </w:p>
        </w:tc>
      </w:tr>
    </w:tbl>
    <w:p w14:paraId="55667E70" w14:textId="77777777" w:rsidR="00D60A5D" w:rsidRPr="001A7517" w:rsidRDefault="00D60A5D" w:rsidP="00D60A5D">
      <w:pPr>
        <w:spacing w:before="240"/>
        <w:rPr>
          <w:szCs w:val="16"/>
        </w:rPr>
      </w:pPr>
      <w:r w:rsidRPr="001A7517">
        <w:rPr>
          <w:szCs w:val="16"/>
        </w:rPr>
        <w:t>A supplier may use the following equation to determine log credit between the indicated values:</w:t>
      </w:r>
    </w:p>
    <w:p w14:paraId="580D6395" w14:textId="77777777" w:rsidR="00D60A5D" w:rsidRPr="001A7517" w:rsidRDefault="00D60A5D" w:rsidP="00D60A5D">
      <w:pPr>
        <w:spacing w:before="240"/>
        <w:ind w:left="720"/>
      </w:pPr>
      <w:r w:rsidRPr="001A7517">
        <w:rPr>
          <w:szCs w:val="16"/>
        </w:rPr>
        <w:t xml:space="preserve">Log credit = (0.0397 </w:t>
      </w:r>
      <w:r w:rsidRPr="001A7517">
        <w:rPr>
          <w:szCs w:val="16"/>
        </w:rPr>
        <w:sym w:font="Symbol" w:char="F0B4"/>
      </w:r>
      <w:r w:rsidRPr="001A7517">
        <w:rPr>
          <w:szCs w:val="16"/>
        </w:rPr>
        <w:t xml:space="preserve"> (1.09757)</w:t>
      </w:r>
      <w:r w:rsidRPr="001A7517">
        <w:rPr>
          <w:szCs w:val="10"/>
          <w:vertAlign w:val="superscript"/>
        </w:rPr>
        <w:t>Temp(in °C)</w:t>
      </w:r>
      <w:r w:rsidRPr="001A7517">
        <w:rPr>
          <w:szCs w:val="16"/>
        </w:rPr>
        <w:t xml:space="preserve">) </w:t>
      </w:r>
      <w:r w:rsidRPr="001A7517">
        <w:rPr>
          <w:szCs w:val="16"/>
        </w:rPr>
        <w:sym w:font="Symbol" w:char="F0B4"/>
      </w:r>
      <w:r w:rsidRPr="001A7517">
        <w:rPr>
          <w:szCs w:val="16"/>
        </w:rPr>
        <w:t xml:space="preserve"> CT.</w:t>
      </w:r>
    </w:p>
    <w:p w14:paraId="14B21D41" w14:textId="77777777" w:rsidR="00D60A5D" w:rsidRPr="001A7517" w:rsidRDefault="00D60A5D" w:rsidP="00D60A5D">
      <w:pPr>
        <w:spacing w:before="240"/>
      </w:pPr>
      <w:r w:rsidRPr="001A7517">
        <w:t>BOARD NOTE:  Derived from the table at 40 CFR 141.720(b)(2).</w:t>
      </w:r>
    </w:p>
    <w:p w14:paraId="1018FD17" w14:textId="77777777" w:rsidR="00D60A5D" w:rsidRPr="001A7517" w:rsidRDefault="00D60A5D" w:rsidP="00D60A5D">
      <w:pPr>
        <w:suppressAutoHyphens/>
        <w:spacing w:before="240"/>
        <w:ind w:left="720"/>
      </w:pPr>
      <w:r w:rsidRPr="001A7517">
        <w:t>(Source:  Amended at 37 Ill. Reg. 1978, effective February 4, 2013)</w:t>
      </w:r>
    </w:p>
    <w:p w14:paraId="29B210DB" w14:textId="77777777" w:rsidR="00D60A5D" w:rsidRPr="001A7517" w:rsidRDefault="00D60A5D" w:rsidP="00D60A5D">
      <w:pPr>
        <w:keepNext/>
        <w:keepLines/>
        <w:suppressAutoHyphens/>
        <w:spacing w:before="240" w:after="240"/>
        <w:rPr>
          <w:b/>
          <w:bCs/>
        </w:rPr>
      </w:pPr>
      <w:r w:rsidRPr="001A7517">
        <w:rPr>
          <w:b/>
        </w:rPr>
        <w:t>Section 611.TABLE J  UV D</w:t>
      </w:r>
      <w:r w:rsidRPr="001A7517">
        <w:rPr>
          <w:b/>
          <w:szCs w:val="16"/>
        </w:rPr>
        <w:t xml:space="preserve">ose </w:t>
      </w:r>
      <w:r w:rsidRPr="001A7517">
        <w:rPr>
          <w:b/>
        </w:rPr>
        <w:t>T</w:t>
      </w:r>
      <w:r w:rsidRPr="001A7517">
        <w:rPr>
          <w:b/>
          <w:szCs w:val="16"/>
        </w:rPr>
        <w:t xml:space="preserve">able for </w:t>
      </w:r>
      <w:r w:rsidRPr="001A7517">
        <w:rPr>
          <w:b/>
        </w:rPr>
        <w:t xml:space="preserve">Cryptosporidium, Giardia lamblia, </w:t>
      </w:r>
      <w:r w:rsidRPr="001A7517">
        <w:rPr>
          <w:b/>
          <w:szCs w:val="16"/>
        </w:rPr>
        <w:t xml:space="preserve">and </w:t>
      </w:r>
      <w:r w:rsidRPr="001A7517">
        <w:rPr>
          <w:b/>
        </w:rPr>
        <w:t>V</w:t>
      </w:r>
      <w:r w:rsidRPr="001A7517">
        <w:rPr>
          <w:b/>
          <w:szCs w:val="16"/>
        </w:rPr>
        <w:t xml:space="preserve">irus </w:t>
      </w:r>
      <w:r w:rsidRPr="001A7517">
        <w:rPr>
          <w:b/>
          <w:bCs/>
        </w:rPr>
        <w:t>I</w:t>
      </w:r>
      <w:r w:rsidRPr="001A7517">
        <w:rPr>
          <w:b/>
          <w:bCs/>
          <w:szCs w:val="16"/>
        </w:rPr>
        <w:t xml:space="preserve">nactivation </w:t>
      </w:r>
      <w:r w:rsidRPr="001A7517">
        <w:rPr>
          <w:b/>
          <w:bCs/>
        </w:rPr>
        <w:t>C</w:t>
      </w:r>
      <w:r w:rsidRPr="001A7517">
        <w:rPr>
          <w:b/>
          <w:bCs/>
          <w:szCs w:val="16"/>
        </w:rPr>
        <w:t>redit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115" w:type="dxa"/>
          <w:bottom w:w="115" w:type="dxa"/>
          <w:right w:w="115" w:type="dxa"/>
        </w:tblCellMar>
        <w:tblLook w:val="0000" w:firstRow="0" w:lastRow="0" w:firstColumn="0" w:lastColumn="0" w:noHBand="0" w:noVBand="0"/>
      </w:tblPr>
      <w:tblGrid>
        <w:gridCol w:w="2304"/>
        <w:gridCol w:w="2304"/>
        <w:gridCol w:w="2304"/>
        <w:gridCol w:w="2304"/>
      </w:tblGrid>
      <w:tr w:rsidR="00D60A5D" w:rsidRPr="001A7517" w14:paraId="50D9633C" w14:textId="77777777" w:rsidTr="00623210">
        <w:tc>
          <w:tcPr>
            <w:tcW w:w="2304" w:type="dxa"/>
            <w:vMerge w:val="restart"/>
            <w:vAlign w:val="bottom"/>
          </w:tcPr>
          <w:p w14:paraId="2F3D6F8F" w14:textId="77777777" w:rsidR="00D60A5D" w:rsidRPr="001A7517" w:rsidRDefault="00D60A5D" w:rsidP="00623210">
            <w:pPr>
              <w:keepNext/>
              <w:keepLines/>
            </w:pPr>
            <w:r w:rsidRPr="001A7517">
              <w:rPr>
                <w:szCs w:val="16"/>
              </w:rPr>
              <w:t>Log credit</w:t>
            </w:r>
          </w:p>
        </w:tc>
        <w:tc>
          <w:tcPr>
            <w:tcW w:w="6912" w:type="dxa"/>
            <w:gridSpan w:val="3"/>
          </w:tcPr>
          <w:p w14:paraId="62ED9E29" w14:textId="77777777" w:rsidR="00D60A5D" w:rsidRPr="001A7517" w:rsidRDefault="00D60A5D" w:rsidP="00623210">
            <w:pPr>
              <w:keepNext/>
              <w:keepLines/>
              <w:jc w:val="center"/>
            </w:pPr>
            <w:r w:rsidRPr="001A7517">
              <w:rPr>
                <w:szCs w:val="16"/>
              </w:rPr>
              <w:t>UV dose (mJ/cm</w:t>
            </w:r>
            <w:r w:rsidRPr="001A7517">
              <w:rPr>
                <w:szCs w:val="10"/>
                <w:vertAlign w:val="superscript"/>
              </w:rPr>
              <w:t>2</w:t>
            </w:r>
            <w:r w:rsidRPr="001A7517">
              <w:rPr>
                <w:szCs w:val="16"/>
              </w:rPr>
              <w:t>)</w:t>
            </w:r>
          </w:p>
        </w:tc>
      </w:tr>
      <w:tr w:rsidR="00D60A5D" w:rsidRPr="001A7517" w14:paraId="68630CEC" w14:textId="77777777" w:rsidTr="00623210">
        <w:tc>
          <w:tcPr>
            <w:tcW w:w="2304" w:type="dxa"/>
            <w:vMerge/>
            <w:tcBorders>
              <w:bottom w:val="single" w:sz="6" w:space="0" w:color="auto"/>
            </w:tcBorders>
          </w:tcPr>
          <w:p w14:paraId="3EC0D48E" w14:textId="77777777" w:rsidR="00D60A5D" w:rsidRPr="001A7517" w:rsidRDefault="00D60A5D" w:rsidP="00623210">
            <w:pPr>
              <w:keepNext/>
              <w:keepLines/>
            </w:pPr>
          </w:p>
        </w:tc>
        <w:tc>
          <w:tcPr>
            <w:tcW w:w="2304" w:type="dxa"/>
            <w:tcBorders>
              <w:bottom w:val="single" w:sz="6" w:space="0" w:color="auto"/>
            </w:tcBorders>
          </w:tcPr>
          <w:p w14:paraId="06A72AAC" w14:textId="77777777" w:rsidR="00D60A5D" w:rsidRPr="001A7517" w:rsidRDefault="00D60A5D" w:rsidP="00623210">
            <w:pPr>
              <w:keepNext/>
              <w:keepLines/>
              <w:jc w:val="center"/>
            </w:pPr>
            <w:r w:rsidRPr="001A7517">
              <w:rPr>
                <w:szCs w:val="16"/>
              </w:rPr>
              <w:t>Cryptosporidium</w:t>
            </w:r>
          </w:p>
        </w:tc>
        <w:tc>
          <w:tcPr>
            <w:tcW w:w="2304" w:type="dxa"/>
            <w:tcBorders>
              <w:bottom w:val="single" w:sz="6" w:space="0" w:color="auto"/>
            </w:tcBorders>
          </w:tcPr>
          <w:p w14:paraId="561CCF37" w14:textId="77777777" w:rsidR="00D60A5D" w:rsidRPr="001A7517" w:rsidRDefault="00D60A5D" w:rsidP="00623210">
            <w:pPr>
              <w:keepNext/>
              <w:keepLines/>
              <w:jc w:val="center"/>
            </w:pPr>
            <w:r w:rsidRPr="001A7517">
              <w:rPr>
                <w:szCs w:val="16"/>
              </w:rPr>
              <w:t>Giardia lamblia</w:t>
            </w:r>
          </w:p>
        </w:tc>
        <w:tc>
          <w:tcPr>
            <w:tcW w:w="2304" w:type="dxa"/>
            <w:tcBorders>
              <w:bottom w:val="single" w:sz="6" w:space="0" w:color="auto"/>
            </w:tcBorders>
          </w:tcPr>
          <w:p w14:paraId="2A465CCE" w14:textId="77777777" w:rsidR="00D60A5D" w:rsidRPr="001A7517" w:rsidRDefault="00D60A5D" w:rsidP="00623210">
            <w:pPr>
              <w:keepNext/>
              <w:keepLines/>
              <w:jc w:val="center"/>
            </w:pPr>
            <w:r w:rsidRPr="001A7517">
              <w:rPr>
                <w:szCs w:val="16"/>
              </w:rPr>
              <w:t>Virus</w:t>
            </w:r>
          </w:p>
        </w:tc>
      </w:tr>
      <w:tr w:rsidR="00D60A5D" w:rsidRPr="001A7517" w14:paraId="04091BD4" w14:textId="77777777" w:rsidTr="00623210">
        <w:tc>
          <w:tcPr>
            <w:tcW w:w="2304" w:type="dxa"/>
            <w:tcBorders>
              <w:bottom w:val="nil"/>
            </w:tcBorders>
          </w:tcPr>
          <w:p w14:paraId="3AF39B84" w14:textId="77777777" w:rsidR="00D60A5D" w:rsidRPr="001A7517" w:rsidRDefault="00D60A5D" w:rsidP="00623210">
            <w:r w:rsidRPr="001A7517">
              <w:rPr>
                <w:szCs w:val="16"/>
              </w:rPr>
              <w:t>0.5</w:t>
            </w:r>
          </w:p>
        </w:tc>
        <w:tc>
          <w:tcPr>
            <w:tcW w:w="2304" w:type="dxa"/>
            <w:tcBorders>
              <w:bottom w:val="nil"/>
            </w:tcBorders>
          </w:tcPr>
          <w:p w14:paraId="2EA1F25E" w14:textId="77777777" w:rsidR="00D60A5D" w:rsidRPr="001A7517" w:rsidRDefault="00D60A5D" w:rsidP="00623210">
            <w:pPr>
              <w:jc w:val="center"/>
            </w:pPr>
            <w:r w:rsidRPr="001A7517">
              <w:rPr>
                <w:szCs w:val="16"/>
              </w:rPr>
              <w:t>1.6</w:t>
            </w:r>
          </w:p>
        </w:tc>
        <w:tc>
          <w:tcPr>
            <w:tcW w:w="2304" w:type="dxa"/>
            <w:tcBorders>
              <w:bottom w:val="nil"/>
            </w:tcBorders>
          </w:tcPr>
          <w:p w14:paraId="15DBCAB4" w14:textId="77777777" w:rsidR="00D60A5D" w:rsidRPr="001A7517" w:rsidRDefault="00D60A5D" w:rsidP="00623210">
            <w:pPr>
              <w:jc w:val="center"/>
            </w:pPr>
            <w:r w:rsidRPr="001A7517">
              <w:rPr>
                <w:szCs w:val="16"/>
              </w:rPr>
              <w:t>1.5</w:t>
            </w:r>
          </w:p>
        </w:tc>
        <w:tc>
          <w:tcPr>
            <w:tcW w:w="2304" w:type="dxa"/>
            <w:tcBorders>
              <w:bottom w:val="nil"/>
            </w:tcBorders>
          </w:tcPr>
          <w:p w14:paraId="2BFC2AF7" w14:textId="77777777" w:rsidR="00D60A5D" w:rsidRPr="001A7517" w:rsidRDefault="00D60A5D" w:rsidP="00623210">
            <w:pPr>
              <w:jc w:val="center"/>
            </w:pPr>
            <w:r w:rsidRPr="001A7517">
              <w:rPr>
                <w:szCs w:val="16"/>
              </w:rPr>
              <w:t>39</w:t>
            </w:r>
          </w:p>
        </w:tc>
      </w:tr>
      <w:tr w:rsidR="00D60A5D" w:rsidRPr="001A7517" w14:paraId="1E86BFBD" w14:textId="77777777" w:rsidTr="00623210">
        <w:tc>
          <w:tcPr>
            <w:tcW w:w="2304" w:type="dxa"/>
            <w:tcBorders>
              <w:top w:val="nil"/>
              <w:bottom w:val="nil"/>
            </w:tcBorders>
          </w:tcPr>
          <w:p w14:paraId="6C7D3C2D" w14:textId="77777777" w:rsidR="00D60A5D" w:rsidRPr="001A7517" w:rsidRDefault="00D60A5D" w:rsidP="00623210">
            <w:r w:rsidRPr="001A7517">
              <w:rPr>
                <w:szCs w:val="16"/>
              </w:rPr>
              <w:t>1.0</w:t>
            </w:r>
          </w:p>
        </w:tc>
        <w:tc>
          <w:tcPr>
            <w:tcW w:w="2304" w:type="dxa"/>
            <w:tcBorders>
              <w:top w:val="nil"/>
              <w:bottom w:val="nil"/>
            </w:tcBorders>
          </w:tcPr>
          <w:p w14:paraId="1B7A71FA" w14:textId="77777777" w:rsidR="00D60A5D" w:rsidRPr="001A7517" w:rsidRDefault="00D60A5D" w:rsidP="00623210">
            <w:pPr>
              <w:jc w:val="center"/>
            </w:pPr>
            <w:r w:rsidRPr="001A7517">
              <w:rPr>
                <w:szCs w:val="16"/>
              </w:rPr>
              <w:t>2.5</w:t>
            </w:r>
          </w:p>
        </w:tc>
        <w:tc>
          <w:tcPr>
            <w:tcW w:w="2304" w:type="dxa"/>
            <w:tcBorders>
              <w:top w:val="nil"/>
              <w:bottom w:val="nil"/>
            </w:tcBorders>
          </w:tcPr>
          <w:p w14:paraId="43733F63" w14:textId="77777777" w:rsidR="00D60A5D" w:rsidRPr="001A7517" w:rsidRDefault="00D60A5D" w:rsidP="00623210">
            <w:pPr>
              <w:jc w:val="center"/>
            </w:pPr>
            <w:r w:rsidRPr="001A7517">
              <w:rPr>
                <w:szCs w:val="16"/>
              </w:rPr>
              <w:t>2.1</w:t>
            </w:r>
          </w:p>
        </w:tc>
        <w:tc>
          <w:tcPr>
            <w:tcW w:w="2304" w:type="dxa"/>
            <w:tcBorders>
              <w:top w:val="nil"/>
              <w:bottom w:val="nil"/>
            </w:tcBorders>
          </w:tcPr>
          <w:p w14:paraId="3753A251" w14:textId="77777777" w:rsidR="00D60A5D" w:rsidRPr="001A7517" w:rsidRDefault="00D60A5D" w:rsidP="00623210">
            <w:pPr>
              <w:jc w:val="center"/>
            </w:pPr>
            <w:r w:rsidRPr="001A7517">
              <w:rPr>
                <w:szCs w:val="16"/>
              </w:rPr>
              <w:t>58</w:t>
            </w:r>
          </w:p>
        </w:tc>
      </w:tr>
      <w:tr w:rsidR="00D60A5D" w:rsidRPr="001A7517" w14:paraId="6D111E55" w14:textId="77777777" w:rsidTr="00623210">
        <w:tc>
          <w:tcPr>
            <w:tcW w:w="2304" w:type="dxa"/>
            <w:tcBorders>
              <w:top w:val="nil"/>
              <w:bottom w:val="nil"/>
            </w:tcBorders>
          </w:tcPr>
          <w:p w14:paraId="327685FC" w14:textId="77777777" w:rsidR="00D60A5D" w:rsidRPr="001A7517" w:rsidRDefault="00D60A5D" w:rsidP="00623210">
            <w:r w:rsidRPr="001A7517">
              <w:rPr>
                <w:szCs w:val="16"/>
              </w:rPr>
              <w:t>1.5</w:t>
            </w:r>
          </w:p>
        </w:tc>
        <w:tc>
          <w:tcPr>
            <w:tcW w:w="2304" w:type="dxa"/>
            <w:tcBorders>
              <w:top w:val="nil"/>
              <w:bottom w:val="nil"/>
            </w:tcBorders>
          </w:tcPr>
          <w:p w14:paraId="07FEE39A" w14:textId="77777777" w:rsidR="00D60A5D" w:rsidRPr="001A7517" w:rsidRDefault="00D60A5D" w:rsidP="00623210">
            <w:pPr>
              <w:jc w:val="center"/>
            </w:pPr>
            <w:r w:rsidRPr="001A7517">
              <w:rPr>
                <w:szCs w:val="16"/>
              </w:rPr>
              <w:t>3.9</w:t>
            </w:r>
          </w:p>
        </w:tc>
        <w:tc>
          <w:tcPr>
            <w:tcW w:w="2304" w:type="dxa"/>
            <w:tcBorders>
              <w:top w:val="nil"/>
              <w:bottom w:val="nil"/>
            </w:tcBorders>
          </w:tcPr>
          <w:p w14:paraId="586E3042" w14:textId="77777777" w:rsidR="00D60A5D" w:rsidRPr="001A7517" w:rsidRDefault="00D60A5D" w:rsidP="00623210">
            <w:pPr>
              <w:jc w:val="center"/>
            </w:pPr>
            <w:r w:rsidRPr="001A7517">
              <w:rPr>
                <w:szCs w:val="16"/>
              </w:rPr>
              <w:t>3.0</w:t>
            </w:r>
          </w:p>
        </w:tc>
        <w:tc>
          <w:tcPr>
            <w:tcW w:w="2304" w:type="dxa"/>
            <w:tcBorders>
              <w:top w:val="nil"/>
              <w:bottom w:val="nil"/>
            </w:tcBorders>
          </w:tcPr>
          <w:p w14:paraId="163E3F5A" w14:textId="77777777" w:rsidR="00D60A5D" w:rsidRPr="001A7517" w:rsidRDefault="00D60A5D" w:rsidP="00623210">
            <w:pPr>
              <w:jc w:val="center"/>
            </w:pPr>
            <w:r w:rsidRPr="001A7517">
              <w:rPr>
                <w:szCs w:val="16"/>
              </w:rPr>
              <w:t>79</w:t>
            </w:r>
          </w:p>
        </w:tc>
      </w:tr>
      <w:tr w:rsidR="00D60A5D" w:rsidRPr="001A7517" w14:paraId="3AFE05BE" w14:textId="77777777" w:rsidTr="00623210">
        <w:tc>
          <w:tcPr>
            <w:tcW w:w="2304" w:type="dxa"/>
            <w:tcBorders>
              <w:top w:val="nil"/>
              <w:bottom w:val="nil"/>
            </w:tcBorders>
          </w:tcPr>
          <w:p w14:paraId="44C59D63" w14:textId="77777777" w:rsidR="00D60A5D" w:rsidRPr="001A7517" w:rsidRDefault="00D60A5D" w:rsidP="00623210">
            <w:r w:rsidRPr="001A7517">
              <w:rPr>
                <w:szCs w:val="16"/>
              </w:rPr>
              <w:t>2.0</w:t>
            </w:r>
          </w:p>
        </w:tc>
        <w:tc>
          <w:tcPr>
            <w:tcW w:w="2304" w:type="dxa"/>
            <w:tcBorders>
              <w:top w:val="nil"/>
              <w:bottom w:val="nil"/>
            </w:tcBorders>
          </w:tcPr>
          <w:p w14:paraId="6C33B834" w14:textId="77777777" w:rsidR="00D60A5D" w:rsidRPr="001A7517" w:rsidRDefault="00D60A5D" w:rsidP="00623210">
            <w:pPr>
              <w:jc w:val="center"/>
            </w:pPr>
            <w:r w:rsidRPr="001A7517">
              <w:rPr>
                <w:szCs w:val="16"/>
              </w:rPr>
              <w:t>5.8</w:t>
            </w:r>
          </w:p>
        </w:tc>
        <w:tc>
          <w:tcPr>
            <w:tcW w:w="2304" w:type="dxa"/>
            <w:tcBorders>
              <w:top w:val="nil"/>
              <w:bottom w:val="nil"/>
            </w:tcBorders>
          </w:tcPr>
          <w:p w14:paraId="172E898C" w14:textId="77777777" w:rsidR="00D60A5D" w:rsidRPr="001A7517" w:rsidRDefault="00D60A5D" w:rsidP="00623210">
            <w:pPr>
              <w:jc w:val="center"/>
            </w:pPr>
            <w:r w:rsidRPr="001A7517">
              <w:rPr>
                <w:szCs w:val="16"/>
              </w:rPr>
              <w:t>5.2</w:t>
            </w:r>
          </w:p>
        </w:tc>
        <w:tc>
          <w:tcPr>
            <w:tcW w:w="2304" w:type="dxa"/>
            <w:tcBorders>
              <w:top w:val="nil"/>
              <w:bottom w:val="nil"/>
            </w:tcBorders>
          </w:tcPr>
          <w:p w14:paraId="6F5F6DA3" w14:textId="77777777" w:rsidR="00D60A5D" w:rsidRPr="001A7517" w:rsidRDefault="00D60A5D" w:rsidP="00623210">
            <w:pPr>
              <w:jc w:val="center"/>
            </w:pPr>
            <w:r w:rsidRPr="001A7517">
              <w:rPr>
                <w:szCs w:val="16"/>
              </w:rPr>
              <w:t>100</w:t>
            </w:r>
          </w:p>
        </w:tc>
      </w:tr>
      <w:tr w:rsidR="00D60A5D" w:rsidRPr="001A7517" w14:paraId="10A1CEA5" w14:textId="77777777" w:rsidTr="00623210">
        <w:tc>
          <w:tcPr>
            <w:tcW w:w="2304" w:type="dxa"/>
            <w:tcBorders>
              <w:top w:val="nil"/>
              <w:bottom w:val="nil"/>
            </w:tcBorders>
          </w:tcPr>
          <w:p w14:paraId="3E2F29DB" w14:textId="77777777" w:rsidR="00D60A5D" w:rsidRPr="001A7517" w:rsidRDefault="00D60A5D" w:rsidP="00623210">
            <w:r w:rsidRPr="001A7517">
              <w:rPr>
                <w:szCs w:val="16"/>
              </w:rPr>
              <w:t>2.5</w:t>
            </w:r>
          </w:p>
        </w:tc>
        <w:tc>
          <w:tcPr>
            <w:tcW w:w="2304" w:type="dxa"/>
            <w:tcBorders>
              <w:top w:val="nil"/>
              <w:bottom w:val="nil"/>
            </w:tcBorders>
          </w:tcPr>
          <w:p w14:paraId="32659C9D" w14:textId="77777777" w:rsidR="00D60A5D" w:rsidRPr="001A7517" w:rsidRDefault="00D60A5D" w:rsidP="00623210">
            <w:pPr>
              <w:jc w:val="center"/>
            </w:pPr>
            <w:r w:rsidRPr="001A7517">
              <w:rPr>
                <w:szCs w:val="16"/>
              </w:rPr>
              <w:t>8.5</w:t>
            </w:r>
          </w:p>
        </w:tc>
        <w:tc>
          <w:tcPr>
            <w:tcW w:w="2304" w:type="dxa"/>
            <w:tcBorders>
              <w:top w:val="nil"/>
              <w:bottom w:val="nil"/>
            </w:tcBorders>
          </w:tcPr>
          <w:p w14:paraId="7F35F5A5" w14:textId="77777777" w:rsidR="00D60A5D" w:rsidRPr="001A7517" w:rsidRDefault="00D60A5D" w:rsidP="00623210">
            <w:pPr>
              <w:jc w:val="center"/>
            </w:pPr>
            <w:r w:rsidRPr="001A7517">
              <w:rPr>
                <w:szCs w:val="16"/>
              </w:rPr>
              <w:t>7.7</w:t>
            </w:r>
          </w:p>
        </w:tc>
        <w:tc>
          <w:tcPr>
            <w:tcW w:w="2304" w:type="dxa"/>
            <w:tcBorders>
              <w:top w:val="nil"/>
              <w:bottom w:val="nil"/>
            </w:tcBorders>
          </w:tcPr>
          <w:p w14:paraId="541DA723" w14:textId="77777777" w:rsidR="00D60A5D" w:rsidRPr="001A7517" w:rsidRDefault="00D60A5D" w:rsidP="00623210">
            <w:pPr>
              <w:jc w:val="center"/>
            </w:pPr>
            <w:r w:rsidRPr="001A7517">
              <w:rPr>
                <w:szCs w:val="16"/>
              </w:rPr>
              <w:t>121</w:t>
            </w:r>
          </w:p>
        </w:tc>
      </w:tr>
      <w:tr w:rsidR="00D60A5D" w:rsidRPr="001A7517" w14:paraId="625CF59E" w14:textId="77777777" w:rsidTr="00623210">
        <w:tc>
          <w:tcPr>
            <w:tcW w:w="2304" w:type="dxa"/>
            <w:tcBorders>
              <w:top w:val="nil"/>
              <w:bottom w:val="nil"/>
            </w:tcBorders>
          </w:tcPr>
          <w:p w14:paraId="2A815D1F" w14:textId="77777777" w:rsidR="00D60A5D" w:rsidRPr="001A7517" w:rsidRDefault="00D60A5D" w:rsidP="00623210">
            <w:r w:rsidRPr="001A7517">
              <w:rPr>
                <w:szCs w:val="16"/>
              </w:rPr>
              <w:t>3.0</w:t>
            </w:r>
          </w:p>
        </w:tc>
        <w:tc>
          <w:tcPr>
            <w:tcW w:w="2304" w:type="dxa"/>
            <w:tcBorders>
              <w:top w:val="nil"/>
              <w:bottom w:val="nil"/>
            </w:tcBorders>
          </w:tcPr>
          <w:p w14:paraId="3FDE252F" w14:textId="77777777" w:rsidR="00D60A5D" w:rsidRPr="001A7517" w:rsidRDefault="00D60A5D" w:rsidP="00623210">
            <w:pPr>
              <w:jc w:val="center"/>
            </w:pPr>
            <w:r w:rsidRPr="001A7517">
              <w:rPr>
                <w:szCs w:val="16"/>
              </w:rPr>
              <w:t>12</w:t>
            </w:r>
          </w:p>
        </w:tc>
        <w:tc>
          <w:tcPr>
            <w:tcW w:w="2304" w:type="dxa"/>
            <w:tcBorders>
              <w:top w:val="nil"/>
              <w:bottom w:val="nil"/>
            </w:tcBorders>
          </w:tcPr>
          <w:p w14:paraId="48455B62" w14:textId="77777777" w:rsidR="00D60A5D" w:rsidRPr="001A7517" w:rsidRDefault="00D60A5D" w:rsidP="00623210">
            <w:pPr>
              <w:jc w:val="center"/>
            </w:pPr>
            <w:r w:rsidRPr="001A7517">
              <w:rPr>
                <w:szCs w:val="16"/>
              </w:rPr>
              <w:t>11</w:t>
            </w:r>
          </w:p>
        </w:tc>
        <w:tc>
          <w:tcPr>
            <w:tcW w:w="2304" w:type="dxa"/>
            <w:tcBorders>
              <w:top w:val="nil"/>
              <w:bottom w:val="nil"/>
            </w:tcBorders>
          </w:tcPr>
          <w:p w14:paraId="27CF9A3E" w14:textId="77777777" w:rsidR="00D60A5D" w:rsidRPr="001A7517" w:rsidRDefault="00D60A5D" w:rsidP="00623210">
            <w:pPr>
              <w:jc w:val="center"/>
            </w:pPr>
            <w:r w:rsidRPr="001A7517">
              <w:rPr>
                <w:szCs w:val="16"/>
              </w:rPr>
              <w:t>143</w:t>
            </w:r>
          </w:p>
        </w:tc>
      </w:tr>
      <w:tr w:rsidR="00D60A5D" w:rsidRPr="001A7517" w14:paraId="039BBEFE" w14:textId="77777777" w:rsidTr="00623210">
        <w:tc>
          <w:tcPr>
            <w:tcW w:w="2304" w:type="dxa"/>
            <w:tcBorders>
              <w:top w:val="nil"/>
              <w:bottom w:val="nil"/>
            </w:tcBorders>
          </w:tcPr>
          <w:p w14:paraId="234797F9" w14:textId="77777777" w:rsidR="00D60A5D" w:rsidRPr="001A7517" w:rsidRDefault="00D60A5D" w:rsidP="00623210">
            <w:r w:rsidRPr="001A7517">
              <w:rPr>
                <w:szCs w:val="16"/>
              </w:rPr>
              <w:t>3.5</w:t>
            </w:r>
          </w:p>
        </w:tc>
        <w:tc>
          <w:tcPr>
            <w:tcW w:w="2304" w:type="dxa"/>
            <w:tcBorders>
              <w:top w:val="nil"/>
              <w:bottom w:val="nil"/>
            </w:tcBorders>
          </w:tcPr>
          <w:p w14:paraId="0C9E02AD" w14:textId="77777777" w:rsidR="00D60A5D" w:rsidRPr="001A7517" w:rsidRDefault="00D60A5D" w:rsidP="00623210">
            <w:pPr>
              <w:jc w:val="center"/>
            </w:pPr>
            <w:r w:rsidRPr="001A7517">
              <w:rPr>
                <w:szCs w:val="16"/>
              </w:rPr>
              <w:t>15</w:t>
            </w:r>
          </w:p>
        </w:tc>
        <w:tc>
          <w:tcPr>
            <w:tcW w:w="2304" w:type="dxa"/>
            <w:tcBorders>
              <w:top w:val="nil"/>
              <w:bottom w:val="nil"/>
            </w:tcBorders>
          </w:tcPr>
          <w:p w14:paraId="24D96ACF" w14:textId="77777777" w:rsidR="00D60A5D" w:rsidRPr="001A7517" w:rsidRDefault="00D60A5D" w:rsidP="00623210">
            <w:pPr>
              <w:jc w:val="center"/>
            </w:pPr>
            <w:r w:rsidRPr="001A7517">
              <w:rPr>
                <w:szCs w:val="16"/>
              </w:rPr>
              <w:t>15</w:t>
            </w:r>
          </w:p>
        </w:tc>
        <w:tc>
          <w:tcPr>
            <w:tcW w:w="2304" w:type="dxa"/>
            <w:tcBorders>
              <w:top w:val="nil"/>
              <w:bottom w:val="nil"/>
            </w:tcBorders>
          </w:tcPr>
          <w:p w14:paraId="43E3575F" w14:textId="77777777" w:rsidR="00D60A5D" w:rsidRPr="001A7517" w:rsidRDefault="00D60A5D" w:rsidP="00623210">
            <w:pPr>
              <w:jc w:val="center"/>
            </w:pPr>
            <w:r w:rsidRPr="001A7517">
              <w:rPr>
                <w:szCs w:val="16"/>
              </w:rPr>
              <w:t>163</w:t>
            </w:r>
          </w:p>
        </w:tc>
      </w:tr>
      <w:tr w:rsidR="00D60A5D" w:rsidRPr="001A7517" w14:paraId="689CCE4C" w14:textId="77777777" w:rsidTr="00623210">
        <w:tc>
          <w:tcPr>
            <w:tcW w:w="2304" w:type="dxa"/>
            <w:tcBorders>
              <w:top w:val="nil"/>
            </w:tcBorders>
          </w:tcPr>
          <w:p w14:paraId="08FAC3D5" w14:textId="77777777" w:rsidR="00D60A5D" w:rsidRPr="001A7517" w:rsidRDefault="00D60A5D" w:rsidP="00623210">
            <w:r w:rsidRPr="001A7517">
              <w:rPr>
                <w:szCs w:val="16"/>
              </w:rPr>
              <w:t>4.0</w:t>
            </w:r>
          </w:p>
        </w:tc>
        <w:tc>
          <w:tcPr>
            <w:tcW w:w="2304" w:type="dxa"/>
            <w:tcBorders>
              <w:top w:val="nil"/>
            </w:tcBorders>
          </w:tcPr>
          <w:p w14:paraId="173786A4" w14:textId="77777777" w:rsidR="00D60A5D" w:rsidRPr="001A7517" w:rsidRDefault="00D60A5D" w:rsidP="00623210">
            <w:pPr>
              <w:jc w:val="center"/>
            </w:pPr>
            <w:r w:rsidRPr="001A7517">
              <w:rPr>
                <w:szCs w:val="16"/>
              </w:rPr>
              <w:t>22</w:t>
            </w:r>
          </w:p>
        </w:tc>
        <w:tc>
          <w:tcPr>
            <w:tcW w:w="2304" w:type="dxa"/>
            <w:tcBorders>
              <w:top w:val="nil"/>
            </w:tcBorders>
          </w:tcPr>
          <w:p w14:paraId="48350743" w14:textId="77777777" w:rsidR="00D60A5D" w:rsidRPr="001A7517" w:rsidRDefault="00D60A5D" w:rsidP="00623210">
            <w:pPr>
              <w:jc w:val="center"/>
            </w:pPr>
            <w:r w:rsidRPr="001A7517">
              <w:rPr>
                <w:szCs w:val="16"/>
              </w:rPr>
              <w:t>22</w:t>
            </w:r>
          </w:p>
        </w:tc>
        <w:tc>
          <w:tcPr>
            <w:tcW w:w="2304" w:type="dxa"/>
            <w:tcBorders>
              <w:top w:val="nil"/>
            </w:tcBorders>
          </w:tcPr>
          <w:p w14:paraId="35646C55" w14:textId="77777777" w:rsidR="00D60A5D" w:rsidRPr="001A7517" w:rsidRDefault="00D60A5D" w:rsidP="00623210">
            <w:pPr>
              <w:jc w:val="center"/>
            </w:pPr>
            <w:r w:rsidRPr="001A7517">
              <w:rPr>
                <w:szCs w:val="16"/>
              </w:rPr>
              <w:t>186</w:t>
            </w:r>
          </w:p>
        </w:tc>
      </w:tr>
    </w:tbl>
    <w:p w14:paraId="62A31625" w14:textId="77777777" w:rsidR="00D60A5D" w:rsidRPr="001A7517" w:rsidRDefault="00D60A5D" w:rsidP="00D60A5D">
      <w:pPr>
        <w:spacing w:before="240"/>
      </w:pPr>
      <w:r w:rsidRPr="001A7517">
        <w:t>BOARD NOTE:  Derived from the table at 40 CFR 141.720(d)(1).</w:t>
      </w:r>
    </w:p>
    <w:p w14:paraId="25956FCC" w14:textId="77777777" w:rsidR="00D60A5D" w:rsidRPr="001A7517" w:rsidRDefault="00D60A5D" w:rsidP="00D60A5D">
      <w:pPr>
        <w:suppressAutoHyphens/>
        <w:spacing w:before="240"/>
        <w:ind w:left="720"/>
      </w:pPr>
      <w:r w:rsidRPr="001A7517">
        <w:t>(Source:  Amended at 37 Ill. Reg. 1978, effective February 4, 2013)</w:t>
      </w:r>
    </w:p>
    <w:p w14:paraId="4A98329D" w14:textId="77777777" w:rsidR="005605D6" w:rsidRPr="003B4362" w:rsidRDefault="005605D6" w:rsidP="00345954">
      <w:pPr>
        <w:suppressAutoHyphens/>
        <w:ind w:left="720"/>
        <w:rPr>
          <w:rFonts w:eastAsia="Calibri"/>
        </w:rPr>
      </w:pPr>
    </w:p>
    <w:p w14:paraId="63F61CF0" w14:textId="3D7E7192" w:rsidR="003C5D8C" w:rsidRPr="003B4362" w:rsidRDefault="003C5D8C" w:rsidP="003F1F0F">
      <w:pPr>
        <w:rPr>
          <w:rFonts w:eastAsia="Calibri"/>
          <w:b/>
          <w:bCs/>
        </w:rPr>
      </w:pPr>
      <w:r w:rsidRPr="003B4362">
        <w:rPr>
          <w:rFonts w:eastAsia="Calibri"/>
          <w:b/>
          <w:bCs/>
        </w:rPr>
        <w:t xml:space="preserve">Section 611.TABLE R </w:t>
      </w:r>
      <w:r w:rsidR="003F1F0F" w:rsidRPr="003B4362">
        <w:rPr>
          <w:rFonts w:eastAsia="Calibri"/>
          <w:b/>
          <w:bCs/>
        </w:rPr>
        <w:t xml:space="preserve"> </w:t>
      </w:r>
      <w:r w:rsidRPr="003B4362">
        <w:rPr>
          <w:rFonts w:eastAsia="Calibri"/>
          <w:b/>
          <w:bCs/>
        </w:rPr>
        <w:t xml:space="preserve"> Radionuclide Conversion Factors</w:t>
      </w:r>
    </w:p>
    <w:p w14:paraId="64B2E906" w14:textId="593857E7" w:rsidR="00E1635B" w:rsidRPr="003B4362" w:rsidRDefault="00E1635B" w:rsidP="00E1635B">
      <w:pPr>
        <w:spacing w:before="240" w:after="240"/>
        <w:rPr>
          <w:rFonts w:eastAsia="Calibri"/>
        </w:rPr>
      </w:pPr>
      <w:bookmarkStart w:id="4560" w:name="_Hlk98181508"/>
      <w:bookmarkEnd w:id="4558"/>
      <w:bookmarkEnd w:id="4559"/>
      <w:r w:rsidRPr="003B4362">
        <w:rPr>
          <w:rFonts w:eastAsia="Calibri"/>
        </w:rPr>
        <w:lastRenderedPageBreak/>
        <w:t>Derived Concentrations (pCi•</w:t>
      </w:r>
      <w:r w:rsidR="006E262B" w:rsidRPr="003B4362">
        <w:t>L</w:t>
      </w:r>
      <w:r w:rsidR="006E262B" w:rsidRPr="003B4362">
        <w:rPr>
          <w:rFonts w:eastAsia="Calibri"/>
          <w:vertAlign w:val="superscript"/>
        </w:rPr>
        <w:t xml:space="preserve"> </w:t>
      </w:r>
      <w:r w:rsidRPr="003B4362">
        <w:rPr>
          <w:rFonts w:eastAsia="Calibri"/>
          <w:vertAlign w:val="superscript"/>
        </w:rPr>
        <w:noBreakHyphen/>
        <w:t>1</w:t>
      </w:r>
      <w:r w:rsidRPr="003B4362">
        <w:rPr>
          <w:rFonts w:eastAsia="Calibri"/>
        </w:rPr>
        <w:t>) of Beta and Photon Emitters in Drinking Water Yielding a Dose of 4 mrem•y</w:t>
      </w:r>
      <w:r w:rsidRPr="003B4362">
        <w:rPr>
          <w:rFonts w:eastAsia="Calibri"/>
          <w:vertAlign w:val="superscript"/>
        </w:rPr>
        <w:noBreakHyphen/>
        <w:t>1</w:t>
      </w:r>
      <w:r w:rsidRPr="003B4362">
        <w:rPr>
          <w:rFonts w:eastAsia="Calibri"/>
        </w:rPr>
        <w:t xml:space="preserve"> to the Total Body or to Any Critical Organ as Defined in NBS Handbook 69</w:t>
      </w:r>
    </w:p>
    <w:p w14:paraId="3EA27055" w14:textId="77777777" w:rsidR="00E1635B" w:rsidRPr="003B4362" w:rsidRDefault="00E1635B" w:rsidP="00E1635B">
      <w:pPr>
        <w:tabs>
          <w:tab w:val="center" w:pos="7830"/>
        </w:tabs>
        <w:ind w:left="720"/>
        <w:rPr>
          <w:rFonts w:eastAsia="Calibri"/>
        </w:rPr>
      </w:pPr>
      <w:r w:rsidRPr="003B4362">
        <w:rPr>
          <w:rFonts w:eastAsia="Calibri"/>
        </w:rPr>
        <w:tab/>
        <w:t>Conversion Factor</w:t>
      </w:r>
    </w:p>
    <w:p w14:paraId="78BC4EF5" w14:textId="61912989" w:rsidR="00E1635B" w:rsidRPr="003B4362" w:rsidRDefault="00E1635B" w:rsidP="00E1635B">
      <w:pPr>
        <w:tabs>
          <w:tab w:val="center" w:pos="7830"/>
        </w:tabs>
        <w:ind w:left="720"/>
        <w:rPr>
          <w:rFonts w:eastAsia="Calibri"/>
        </w:rPr>
      </w:pPr>
      <w:r w:rsidRPr="003B4362">
        <w:rPr>
          <w:rFonts w:eastAsia="Calibri"/>
        </w:rPr>
        <w:t>Radionuclide (Isotopic Symbol)</w:t>
      </w:r>
      <w:r w:rsidRPr="003B4362">
        <w:rPr>
          <w:rFonts w:eastAsia="Calibri"/>
        </w:rPr>
        <w:tab/>
        <w:t>(pCi•</w:t>
      </w:r>
      <w:r w:rsidR="006E262B" w:rsidRPr="003B4362">
        <w:t>L</w:t>
      </w:r>
      <w:r w:rsidR="006E262B" w:rsidRPr="003B4362">
        <w:rPr>
          <w:rFonts w:eastAsia="Calibri"/>
          <w:vertAlign w:val="superscript"/>
        </w:rPr>
        <w:t xml:space="preserve"> </w:t>
      </w:r>
      <w:r w:rsidRPr="003B4362">
        <w:rPr>
          <w:rFonts w:eastAsia="Calibri"/>
          <w:vertAlign w:val="superscript"/>
        </w:rPr>
        <w:noBreakHyphen/>
        <w:t>1</w:t>
      </w:r>
      <w:r w:rsidRPr="003B4362">
        <w:rPr>
          <w:rFonts w:eastAsia="Calibri"/>
        </w:rPr>
        <w:t>/4 mrem•y</w:t>
      </w:r>
      <w:r w:rsidRPr="003B4362">
        <w:rPr>
          <w:rFonts w:eastAsia="Calibri"/>
          <w:vertAlign w:val="superscript"/>
        </w:rPr>
        <w:noBreakHyphen/>
        <w:t>1</w:t>
      </w:r>
      <w:r w:rsidRPr="003B4362">
        <w:rPr>
          <w:rFonts w:eastAsia="Calibri"/>
        </w:rPr>
        <w:t>)</w:t>
      </w:r>
    </w:p>
    <w:p w14:paraId="6B2E044A" w14:textId="77777777" w:rsidR="00E1635B" w:rsidRPr="003B4362" w:rsidRDefault="00E1635B" w:rsidP="00E1635B">
      <w:pPr>
        <w:tabs>
          <w:tab w:val="right" w:pos="7920"/>
        </w:tabs>
        <w:spacing w:before="120"/>
        <w:ind w:left="720"/>
        <w:rPr>
          <w:rFonts w:eastAsia="Calibri"/>
        </w:rPr>
      </w:pPr>
      <w:r w:rsidRPr="003B4362">
        <w:rPr>
          <w:rFonts w:eastAsia="Calibri"/>
        </w:rPr>
        <w:t xml:space="preserve">Antimony-122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51</m:t>
            </m:r>
          </m:sub>
          <m:sup>
            <m:r>
              <m:rPr>
                <m:sty m:val="p"/>
              </m:rPr>
              <w:rPr>
                <w:rFonts w:ascii="Cambria Math" w:eastAsia="Calibri" w:hAnsi="Cambria Math"/>
              </w:rPr>
              <m:t>122</m:t>
            </m:r>
          </m:sup>
          <m:e>
            <m:r>
              <m:rPr>
                <m:sty m:val="p"/>
              </m:rPr>
              <w:rPr>
                <w:rFonts w:ascii="Cambria Math" w:eastAsia="Calibri" w:hAnsi="Cambria Math"/>
              </w:rPr>
              <m:t>Sb</m:t>
            </m:r>
          </m:e>
        </m:sPre>
        <m:r>
          <w:rPr>
            <w:rFonts w:ascii="Cambria Math" w:eastAsia="Calibri" w:hAnsi="Cambria Math"/>
          </w:rPr>
          <m:t>)</m:t>
        </m:r>
      </m:oMath>
      <w:r w:rsidRPr="003B4362">
        <w:rPr>
          <w:rFonts w:eastAsia="Calibri"/>
        </w:rPr>
        <w:tab/>
        <w:t>90</w:t>
      </w:r>
    </w:p>
    <w:p w14:paraId="5F676B50" w14:textId="77777777" w:rsidR="00E1635B" w:rsidRPr="003B4362" w:rsidRDefault="00E1635B" w:rsidP="00E1635B">
      <w:pPr>
        <w:tabs>
          <w:tab w:val="right" w:pos="7920"/>
        </w:tabs>
        <w:ind w:left="720"/>
        <w:rPr>
          <w:rFonts w:eastAsia="Calibri"/>
        </w:rPr>
      </w:pPr>
      <w:r w:rsidRPr="003B4362">
        <w:rPr>
          <w:rFonts w:eastAsia="Calibri"/>
        </w:rPr>
        <w:t xml:space="preserve">Antimony-124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51</m:t>
            </m:r>
          </m:sub>
          <m:sup>
            <m:r>
              <m:rPr>
                <m:sty m:val="p"/>
              </m:rPr>
              <w:rPr>
                <w:rFonts w:ascii="Cambria Math" w:eastAsia="Calibri" w:hAnsi="Cambria Math"/>
              </w:rPr>
              <m:t>124</m:t>
            </m:r>
          </m:sup>
          <m:e>
            <m:r>
              <m:rPr>
                <m:sty m:val="p"/>
              </m:rPr>
              <w:rPr>
                <w:rFonts w:ascii="Cambria Math" w:eastAsia="Calibri" w:hAnsi="Cambria Math"/>
              </w:rPr>
              <m:t>Sb</m:t>
            </m:r>
          </m:e>
        </m:sPre>
        <m:r>
          <w:rPr>
            <w:rFonts w:ascii="Cambria Math" w:eastAsia="Calibri" w:hAnsi="Cambria Math"/>
          </w:rPr>
          <m:t>)</m:t>
        </m:r>
      </m:oMath>
      <w:r w:rsidRPr="003B4362">
        <w:rPr>
          <w:rFonts w:eastAsia="Calibri"/>
        </w:rPr>
        <w:tab/>
        <w:t>60</w:t>
      </w:r>
    </w:p>
    <w:p w14:paraId="1D8CD393" w14:textId="77777777" w:rsidR="00E1635B" w:rsidRPr="003B4362" w:rsidRDefault="00E1635B" w:rsidP="00E1635B">
      <w:pPr>
        <w:tabs>
          <w:tab w:val="right" w:pos="7920"/>
        </w:tabs>
        <w:spacing w:after="120"/>
        <w:ind w:left="720"/>
        <w:rPr>
          <w:rFonts w:eastAsia="Calibri"/>
        </w:rPr>
      </w:pPr>
      <w:r w:rsidRPr="003B4362">
        <w:rPr>
          <w:rFonts w:eastAsia="Calibri"/>
        </w:rPr>
        <w:t xml:space="preserve">Antimony-125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51</m:t>
            </m:r>
          </m:sub>
          <m:sup>
            <m:r>
              <m:rPr>
                <m:sty m:val="p"/>
              </m:rPr>
              <w:rPr>
                <w:rFonts w:ascii="Cambria Math" w:eastAsia="Calibri" w:hAnsi="Cambria Math"/>
              </w:rPr>
              <m:t>125</m:t>
            </m:r>
          </m:sup>
          <m:e>
            <m:r>
              <m:rPr>
                <m:sty m:val="p"/>
              </m:rPr>
              <w:rPr>
                <w:rFonts w:ascii="Cambria Math" w:eastAsia="Calibri" w:hAnsi="Cambria Math"/>
              </w:rPr>
              <m:t>Sb</m:t>
            </m:r>
          </m:e>
        </m:sPre>
        <m:r>
          <w:rPr>
            <w:rFonts w:ascii="Cambria Math" w:eastAsia="Calibri" w:hAnsi="Cambria Math"/>
          </w:rPr>
          <m:t>)</m:t>
        </m:r>
      </m:oMath>
      <w:r w:rsidRPr="003B4362">
        <w:rPr>
          <w:rFonts w:eastAsia="Calibri"/>
        </w:rPr>
        <w:tab/>
        <w:t>300</w:t>
      </w:r>
    </w:p>
    <w:p w14:paraId="3E9D7D61" w14:textId="77777777" w:rsidR="00E1635B" w:rsidRPr="003B4362" w:rsidRDefault="00E1635B" w:rsidP="00E1635B">
      <w:pPr>
        <w:tabs>
          <w:tab w:val="right" w:pos="7920"/>
        </w:tabs>
        <w:spacing w:before="120"/>
        <w:ind w:left="720"/>
        <w:rPr>
          <w:rFonts w:eastAsia="Calibri"/>
        </w:rPr>
      </w:pPr>
      <w:r w:rsidRPr="003B4362">
        <w:rPr>
          <w:rFonts w:eastAsia="Calibri"/>
        </w:rPr>
        <w:t xml:space="preserve">Arsenic-73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33</m:t>
            </m:r>
          </m:sub>
          <m:sup>
            <m:r>
              <m:rPr>
                <m:sty m:val="p"/>
              </m:rPr>
              <w:rPr>
                <w:rFonts w:ascii="Cambria Math" w:eastAsia="Calibri" w:hAnsi="Cambria Math"/>
              </w:rPr>
              <m:t>73</m:t>
            </m:r>
          </m:sup>
          <m:e>
            <m:r>
              <m:rPr>
                <m:sty m:val="p"/>
              </m:rPr>
              <w:rPr>
                <w:rFonts w:ascii="Cambria Math" w:eastAsia="Calibri" w:hAnsi="Cambria Math"/>
              </w:rPr>
              <m:t>As</m:t>
            </m:r>
          </m:e>
        </m:sPre>
        <m:r>
          <w:rPr>
            <w:rFonts w:ascii="Cambria Math" w:eastAsia="Calibri" w:hAnsi="Cambria Math"/>
          </w:rPr>
          <m:t>)</m:t>
        </m:r>
      </m:oMath>
      <w:r w:rsidRPr="003B4362">
        <w:rPr>
          <w:rFonts w:eastAsia="Calibri"/>
        </w:rPr>
        <w:tab/>
        <w:t>1,000</w:t>
      </w:r>
    </w:p>
    <w:p w14:paraId="3ADFB6F3" w14:textId="77777777" w:rsidR="00E1635B" w:rsidRPr="003B4362" w:rsidRDefault="00E1635B" w:rsidP="00E1635B">
      <w:pPr>
        <w:tabs>
          <w:tab w:val="right" w:pos="7920"/>
        </w:tabs>
        <w:ind w:left="720"/>
        <w:rPr>
          <w:rFonts w:eastAsia="Calibri"/>
        </w:rPr>
      </w:pPr>
      <w:r w:rsidRPr="003B4362">
        <w:rPr>
          <w:rFonts w:eastAsia="Calibri"/>
        </w:rPr>
        <w:t xml:space="preserve">Arsenic-74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33</m:t>
            </m:r>
          </m:sub>
          <m:sup>
            <m:r>
              <m:rPr>
                <m:sty m:val="p"/>
              </m:rPr>
              <w:rPr>
                <w:rFonts w:ascii="Cambria Math" w:eastAsia="Calibri" w:hAnsi="Cambria Math"/>
              </w:rPr>
              <m:t>74</m:t>
            </m:r>
          </m:sup>
          <m:e>
            <m:r>
              <m:rPr>
                <m:sty m:val="p"/>
              </m:rPr>
              <w:rPr>
                <w:rFonts w:ascii="Cambria Math" w:eastAsia="Calibri" w:hAnsi="Cambria Math"/>
              </w:rPr>
              <m:t>As</m:t>
            </m:r>
          </m:e>
        </m:sPre>
        <m:r>
          <w:rPr>
            <w:rFonts w:ascii="Cambria Math" w:eastAsia="Calibri" w:hAnsi="Cambria Math"/>
          </w:rPr>
          <m:t>)</m:t>
        </m:r>
      </m:oMath>
      <w:r w:rsidRPr="003B4362">
        <w:rPr>
          <w:rFonts w:eastAsia="Calibri"/>
        </w:rPr>
        <w:tab/>
        <w:t>100</w:t>
      </w:r>
    </w:p>
    <w:p w14:paraId="337A5169" w14:textId="77777777" w:rsidR="00E1635B" w:rsidRPr="003B4362" w:rsidRDefault="00E1635B" w:rsidP="00E1635B">
      <w:pPr>
        <w:tabs>
          <w:tab w:val="right" w:pos="7920"/>
        </w:tabs>
        <w:ind w:left="720"/>
        <w:rPr>
          <w:rFonts w:eastAsia="Calibri"/>
        </w:rPr>
      </w:pPr>
      <w:r w:rsidRPr="003B4362">
        <w:rPr>
          <w:rFonts w:eastAsia="Calibri"/>
        </w:rPr>
        <w:t xml:space="preserve">Arsenic-76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33</m:t>
            </m:r>
          </m:sub>
          <m:sup>
            <m:r>
              <m:rPr>
                <m:sty m:val="p"/>
              </m:rPr>
              <w:rPr>
                <w:rFonts w:ascii="Cambria Math" w:eastAsia="Calibri" w:hAnsi="Cambria Math"/>
              </w:rPr>
              <m:t>76</m:t>
            </m:r>
          </m:sup>
          <m:e>
            <m:r>
              <m:rPr>
                <m:sty m:val="p"/>
              </m:rPr>
              <w:rPr>
                <w:rFonts w:ascii="Cambria Math" w:eastAsia="Calibri" w:hAnsi="Cambria Math"/>
              </w:rPr>
              <m:t>As</m:t>
            </m:r>
          </m:e>
        </m:sPre>
        <m:r>
          <w:rPr>
            <w:rFonts w:ascii="Cambria Math" w:eastAsia="Calibri" w:hAnsi="Cambria Math"/>
          </w:rPr>
          <m:t>)</m:t>
        </m:r>
      </m:oMath>
      <w:r w:rsidRPr="003B4362">
        <w:rPr>
          <w:rFonts w:eastAsia="Calibri"/>
        </w:rPr>
        <w:tab/>
        <w:t>60</w:t>
      </w:r>
    </w:p>
    <w:p w14:paraId="7691E768" w14:textId="77777777" w:rsidR="00E1635B" w:rsidRPr="003B4362" w:rsidRDefault="00E1635B" w:rsidP="00E1635B">
      <w:pPr>
        <w:tabs>
          <w:tab w:val="right" w:pos="7920"/>
        </w:tabs>
        <w:spacing w:after="120"/>
        <w:ind w:left="720"/>
        <w:rPr>
          <w:rFonts w:eastAsia="Calibri"/>
        </w:rPr>
      </w:pPr>
      <w:r w:rsidRPr="003B4362">
        <w:rPr>
          <w:rFonts w:eastAsia="Calibri"/>
        </w:rPr>
        <w:t xml:space="preserve">Arsenic-77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33</m:t>
            </m:r>
          </m:sub>
          <m:sup>
            <m:r>
              <m:rPr>
                <m:sty m:val="p"/>
              </m:rPr>
              <w:rPr>
                <w:rFonts w:ascii="Cambria Math" w:eastAsia="Calibri" w:hAnsi="Cambria Math"/>
              </w:rPr>
              <m:t>77</m:t>
            </m:r>
          </m:sup>
          <m:e>
            <m:r>
              <m:rPr>
                <m:sty m:val="p"/>
              </m:rPr>
              <w:rPr>
                <w:rFonts w:ascii="Cambria Math" w:eastAsia="Calibri" w:hAnsi="Cambria Math"/>
              </w:rPr>
              <m:t>As</m:t>
            </m:r>
          </m:e>
        </m:sPre>
        <m:r>
          <w:rPr>
            <w:rFonts w:ascii="Cambria Math" w:eastAsia="Calibri" w:hAnsi="Cambria Math"/>
          </w:rPr>
          <m:t>)</m:t>
        </m:r>
      </m:oMath>
      <w:r w:rsidRPr="003B4362">
        <w:rPr>
          <w:rFonts w:eastAsia="Calibri"/>
        </w:rPr>
        <w:tab/>
        <w:t>200</w:t>
      </w:r>
    </w:p>
    <w:p w14:paraId="56677ECF" w14:textId="77777777" w:rsidR="00E1635B" w:rsidRPr="003B4362" w:rsidRDefault="00E1635B" w:rsidP="00E1635B">
      <w:pPr>
        <w:tabs>
          <w:tab w:val="right" w:pos="7920"/>
        </w:tabs>
        <w:spacing w:before="120"/>
        <w:ind w:left="720"/>
        <w:rPr>
          <w:rFonts w:eastAsia="Calibri"/>
        </w:rPr>
      </w:pPr>
      <w:r w:rsidRPr="003B4362">
        <w:rPr>
          <w:rFonts w:eastAsia="Calibri"/>
        </w:rPr>
        <w:t xml:space="preserve">Barium-131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56</m:t>
            </m:r>
          </m:sub>
          <m:sup>
            <m:r>
              <m:rPr>
                <m:sty m:val="p"/>
              </m:rPr>
              <w:rPr>
                <w:rFonts w:ascii="Cambria Math" w:eastAsia="Calibri" w:hAnsi="Cambria Math"/>
              </w:rPr>
              <m:t>131</m:t>
            </m:r>
          </m:sup>
          <m:e>
            <m:r>
              <m:rPr>
                <m:sty m:val="p"/>
              </m:rPr>
              <w:rPr>
                <w:rFonts w:ascii="Cambria Math" w:eastAsia="Calibri" w:hAnsi="Cambria Math"/>
              </w:rPr>
              <m:t>Ba</m:t>
            </m:r>
          </m:e>
        </m:sPre>
        <m:r>
          <w:rPr>
            <w:rFonts w:ascii="Cambria Math" w:eastAsia="Calibri" w:hAnsi="Cambria Math"/>
          </w:rPr>
          <m:t>)</m:t>
        </m:r>
      </m:oMath>
      <w:r w:rsidRPr="003B4362">
        <w:rPr>
          <w:rFonts w:eastAsia="Calibri"/>
        </w:rPr>
        <w:tab/>
        <w:t>600</w:t>
      </w:r>
    </w:p>
    <w:p w14:paraId="5B78B91E" w14:textId="77777777" w:rsidR="00E1635B" w:rsidRPr="003B4362" w:rsidRDefault="00E1635B" w:rsidP="00E1635B">
      <w:pPr>
        <w:tabs>
          <w:tab w:val="right" w:pos="7920"/>
        </w:tabs>
        <w:spacing w:after="120"/>
        <w:ind w:left="720"/>
        <w:rPr>
          <w:rFonts w:eastAsia="Calibri"/>
        </w:rPr>
      </w:pPr>
      <w:r w:rsidRPr="003B4362">
        <w:rPr>
          <w:rFonts w:eastAsia="Calibri"/>
        </w:rPr>
        <w:t xml:space="preserve">Barium-140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56</m:t>
            </m:r>
          </m:sub>
          <m:sup>
            <m:r>
              <m:rPr>
                <m:sty m:val="p"/>
              </m:rPr>
              <w:rPr>
                <w:rFonts w:ascii="Cambria Math" w:eastAsia="Calibri" w:hAnsi="Cambria Math"/>
              </w:rPr>
              <m:t>140</m:t>
            </m:r>
          </m:sup>
          <m:e>
            <m:r>
              <m:rPr>
                <m:sty m:val="p"/>
              </m:rPr>
              <w:rPr>
                <w:rFonts w:ascii="Cambria Math" w:eastAsia="Calibri" w:hAnsi="Cambria Math"/>
              </w:rPr>
              <m:t>Ba</m:t>
            </m:r>
          </m:e>
        </m:sPre>
        <m:r>
          <w:rPr>
            <w:rFonts w:ascii="Cambria Math" w:eastAsia="Calibri" w:hAnsi="Cambria Math"/>
          </w:rPr>
          <m:t>)</m:t>
        </m:r>
      </m:oMath>
      <w:r w:rsidRPr="003B4362">
        <w:rPr>
          <w:rFonts w:eastAsia="Calibri"/>
        </w:rPr>
        <w:tab/>
        <w:t>90</w:t>
      </w:r>
    </w:p>
    <w:p w14:paraId="41629FA5"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Berkelium-249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97</m:t>
            </m:r>
          </m:sub>
          <m:sup>
            <m:r>
              <m:rPr>
                <m:sty m:val="p"/>
              </m:rPr>
              <w:rPr>
                <w:rFonts w:ascii="Cambria Math" w:eastAsia="Calibri" w:hAnsi="Cambria Math"/>
              </w:rPr>
              <m:t>249</m:t>
            </m:r>
          </m:sup>
          <m:e>
            <m:r>
              <m:rPr>
                <m:sty m:val="p"/>
              </m:rPr>
              <w:rPr>
                <w:rFonts w:ascii="Cambria Math" w:eastAsia="Calibri" w:hAnsi="Cambria Math"/>
              </w:rPr>
              <m:t>Bk</m:t>
            </m:r>
          </m:e>
        </m:sPre>
        <m:r>
          <w:rPr>
            <w:rFonts w:ascii="Cambria Math" w:eastAsia="Calibri" w:hAnsi="Cambria Math"/>
          </w:rPr>
          <m:t>)</m:t>
        </m:r>
      </m:oMath>
      <w:r w:rsidRPr="003B4362">
        <w:rPr>
          <w:rFonts w:eastAsia="Calibri"/>
        </w:rPr>
        <w:tab/>
        <w:t>2,000</w:t>
      </w:r>
    </w:p>
    <w:p w14:paraId="7F935E6B"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Beryllium-7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m:t>
            </m:r>
          </m:sub>
          <m:sup>
            <m:r>
              <m:rPr>
                <m:sty m:val="p"/>
              </m:rPr>
              <w:rPr>
                <w:rFonts w:ascii="Cambria Math" w:eastAsia="Calibri" w:hAnsi="Cambria Math"/>
              </w:rPr>
              <m:t>7</m:t>
            </m:r>
          </m:sup>
          <m:e>
            <m:r>
              <m:rPr>
                <m:sty m:val="p"/>
              </m:rPr>
              <w:rPr>
                <w:rFonts w:ascii="Cambria Math" w:eastAsia="Calibri" w:hAnsi="Cambria Math"/>
              </w:rPr>
              <m:t>Be</m:t>
            </m:r>
          </m:e>
        </m:sPre>
        <m:r>
          <w:rPr>
            <w:rFonts w:ascii="Cambria Math" w:eastAsia="Calibri" w:hAnsi="Cambria Math"/>
          </w:rPr>
          <m:t>)</m:t>
        </m:r>
      </m:oMath>
      <w:r w:rsidRPr="003B4362">
        <w:rPr>
          <w:rFonts w:eastAsia="Calibri"/>
        </w:rPr>
        <w:tab/>
        <w:t>6,000</w:t>
      </w:r>
    </w:p>
    <w:p w14:paraId="539A3B23" w14:textId="77777777" w:rsidR="00E1635B" w:rsidRPr="003B4362" w:rsidRDefault="00E1635B" w:rsidP="00E1635B">
      <w:pPr>
        <w:tabs>
          <w:tab w:val="right" w:pos="7920"/>
        </w:tabs>
        <w:spacing w:before="120"/>
        <w:ind w:left="720"/>
        <w:rPr>
          <w:rFonts w:eastAsia="Calibri"/>
        </w:rPr>
      </w:pPr>
      <w:r w:rsidRPr="003B4362">
        <w:rPr>
          <w:rFonts w:eastAsia="Calibri"/>
        </w:rPr>
        <w:t xml:space="preserve">Bismuth-206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83</m:t>
            </m:r>
          </m:sub>
          <m:sup>
            <m:r>
              <m:rPr>
                <m:sty m:val="p"/>
              </m:rPr>
              <w:rPr>
                <w:rFonts w:ascii="Cambria Math" w:eastAsia="Calibri" w:hAnsi="Cambria Math"/>
              </w:rPr>
              <m:t>206</m:t>
            </m:r>
          </m:sup>
          <m:e>
            <m:r>
              <m:rPr>
                <m:sty m:val="p"/>
              </m:rPr>
              <w:rPr>
                <w:rFonts w:ascii="Cambria Math" w:eastAsia="Calibri" w:hAnsi="Cambria Math"/>
              </w:rPr>
              <m:t>Bi</m:t>
            </m:r>
          </m:e>
        </m:sPre>
        <m:r>
          <w:rPr>
            <w:rFonts w:ascii="Cambria Math" w:eastAsia="Calibri" w:hAnsi="Cambria Math"/>
          </w:rPr>
          <m:t>)</m:t>
        </m:r>
      </m:oMath>
      <w:r w:rsidRPr="003B4362">
        <w:rPr>
          <w:rFonts w:eastAsia="Calibri"/>
        </w:rPr>
        <w:tab/>
        <w:t>100</w:t>
      </w:r>
    </w:p>
    <w:p w14:paraId="5EDB88C0" w14:textId="77777777" w:rsidR="00E1635B" w:rsidRPr="003B4362" w:rsidRDefault="00E1635B" w:rsidP="00E1635B">
      <w:pPr>
        <w:tabs>
          <w:tab w:val="right" w:pos="7920"/>
        </w:tabs>
        <w:spacing w:after="120"/>
        <w:ind w:left="720"/>
        <w:rPr>
          <w:rFonts w:eastAsia="Calibri"/>
        </w:rPr>
      </w:pPr>
      <w:r w:rsidRPr="003B4362">
        <w:rPr>
          <w:rFonts w:eastAsia="Calibri"/>
        </w:rPr>
        <w:t xml:space="preserve">Bismuth-207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83</m:t>
            </m:r>
          </m:sub>
          <m:sup>
            <m:r>
              <m:rPr>
                <m:sty m:val="p"/>
              </m:rPr>
              <w:rPr>
                <w:rFonts w:ascii="Cambria Math" w:eastAsia="Calibri" w:hAnsi="Cambria Math"/>
              </w:rPr>
              <m:t>207</m:t>
            </m:r>
          </m:sup>
          <m:e>
            <m:r>
              <m:rPr>
                <m:sty m:val="p"/>
              </m:rPr>
              <w:rPr>
                <w:rFonts w:ascii="Cambria Math" w:eastAsia="Calibri" w:hAnsi="Cambria Math"/>
              </w:rPr>
              <m:t>Bi</m:t>
            </m:r>
          </m:e>
        </m:sPre>
        <m:r>
          <w:rPr>
            <w:rFonts w:ascii="Cambria Math" w:eastAsia="Calibri" w:hAnsi="Cambria Math"/>
          </w:rPr>
          <m:t>)</m:t>
        </m:r>
      </m:oMath>
      <w:r w:rsidRPr="003B4362">
        <w:rPr>
          <w:rFonts w:eastAsia="Calibri"/>
        </w:rPr>
        <w:tab/>
        <w:t>200</w:t>
      </w:r>
    </w:p>
    <w:p w14:paraId="271A2231"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Bromine-82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35</m:t>
            </m:r>
          </m:sub>
          <m:sup>
            <m:r>
              <m:rPr>
                <m:sty m:val="p"/>
              </m:rPr>
              <w:rPr>
                <w:rFonts w:ascii="Cambria Math" w:eastAsia="Calibri" w:hAnsi="Cambria Math"/>
              </w:rPr>
              <m:t>82</m:t>
            </m:r>
          </m:sup>
          <m:e>
            <m:r>
              <m:rPr>
                <m:sty m:val="p"/>
              </m:rPr>
              <w:rPr>
                <w:rFonts w:ascii="Cambria Math" w:eastAsia="Calibri" w:hAnsi="Cambria Math"/>
              </w:rPr>
              <m:t>Br</m:t>
            </m:r>
          </m:e>
        </m:sPre>
        <m:r>
          <w:rPr>
            <w:rFonts w:ascii="Cambria Math" w:eastAsia="Calibri" w:hAnsi="Cambria Math"/>
          </w:rPr>
          <m:t>)</m:t>
        </m:r>
      </m:oMath>
      <w:r w:rsidRPr="003B4362">
        <w:rPr>
          <w:rFonts w:eastAsia="Calibri"/>
        </w:rPr>
        <w:tab/>
        <w:t>100</w:t>
      </w:r>
    </w:p>
    <w:p w14:paraId="309E6F9E" w14:textId="77777777" w:rsidR="00E1635B" w:rsidRPr="003B4362" w:rsidRDefault="00E1635B" w:rsidP="00E1635B">
      <w:pPr>
        <w:tabs>
          <w:tab w:val="right" w:pos="7920"/>
        </w:tabs>
        <w:spacing w:before="120"/>
        <w:ind w:left="720"/>
        <w:rPr>
          <w:rFonts w:eastAsia="Calibri"/>
        </w:rPr>
      </w:pPr>
      <w:r w:rsidRPr="003B4362">
        <w:rPr>
          <w:rFonts w:eastAsia="Calibri"/>
        </w:rPr>
        <w:t xml:space="preserve">Cadmium-109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48</m:t>
            </m:r>
          </m:sub>
          <m:sup>
            <m:r>
              <m:rPr>
                <m:sty m:val="p"/>
              </m:rPr>
              <w:rPr>
                <w:rFonts w:ascii="Cambria Math" w:eastAsia="Calibri" w:hAnsi="Cambria Math"/>
              </w:rPr>
              <m:t>109</m:t>
            </m:r>
          </m:sup>
          <m:e>
            <m:r>
              <m:rPr>
                <m:sty m:val="p"/>
              </m:rPr>
              <w:rPr>
                <w:rFonts w:ascii="Cambria Math" w:eastAsia="Calibri" w:hAnsi="Cambria Math"/>
              </w:rPr>
              <m:t>Cd</m:t>
            </m:r>
          </m:e>
        </m:sPre>
        <m:r>
          <w:rPr>
            <w:rFonts w:ascii="Cambria Math" w:eastAsia="Calibri" w:hAnsi="Cambria Math"/>
          </w:rPr>
          <m:t>)</m:t>
        </m:r>
      </m:oMath>
      <w:r w:rsidRPr="003B4362">
        <w:rPr>
          <w:rFonts w:eastAsia="Calibri"/>
        </w:rPr>
        <w:tab/>
        <w:t>600</w:t>
      </w:r>
    </w:p>
    <w:p w14:paraId="492CD49E" w14:textId="77777777" w:rsidR="00E1635B" w:rsidRPr="003B4362" w:rsidRDefault="00E1635B" w:rsidP="00E1635B">
      <w:pPr>
        <w:tabs>
          <w:tab w:val="right" w:pos="7920"/>
        </w:tabs>
        <w:ind w:left="720"/>
        <w:rPr>
          <w:rFonts w:eastAsia="Calibri"/>
        </w:rPr>
      </w:pPr>
      <w:r w:rsidRPr="003B4362">
        <w:rPr>
          <w:rFonts w:eastAsia="Calibri"/>
        </w:rPr>
        <w:t xml:space="preserve">Cadmium-115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48</m:t>
            </m:r>
          </m:sub>
          <m:sup>
            <m:r>
              <m:rPr>
                <m:sty m:val="p"/>
              </m:rPr>
              <w:rPr>
                <w:rFonts w:ascii="Cambria Math" w:eastAsia="Calibri" w:hAnsi="Cambria Math"/>
              </w:rPr>
              <m:t>115</m:t>
            </m:r>
          </m:sup>
          <m:e>
            <m:r>
              <m:rPr>
                <m:sty m:val="p"/>
              </m:rPr>
              <w:rPr>
                <w:rFonts w:ascii="Cambria Math" w:eastAsia="Calibri" w:hAnsi="Cambria Math"/>
              </w:rPr>
              <m:t>Cd</m:t>
            </m:r>
          </m:e>
        </m:sPre>
        <m:r>
          <w:rPr>
            <w:rFonts w:ascii="Cambria Math" w:eastAsia="Calibri" w:hAnsi="Cambria Math"/>
          </w:rPr>
          <m:t>)</m:t>
        </m:r>
      </m:oMath>
      <w:r w:rsidRPr="003B4362">
        <w:rPr>
          <w:rFonts w:eastAsia="Calibri"/>
        </w:rPr>
        <w:tab/>
        <w:t>90</w:t>
      </w:r>
    </w:p>
    <w:p w14:paraId="57E59188" w14:textId="77777777" w:rsidR="00E1635B" w:rsidRPr="003B4362" w:rsidRDefault="00E1635B" w:rsidP="00E1635B">
      <w:pPr>
        <w:tabs>
          <w:tab w:val="right" w:pos="7920"/>
        </w:tabs>
        <w:spacing w:after="120"/>
        <w:ind w:left="720"/>
        <w:rPr>
          <w:rFonts w:eastAsia="Calibri"/>
        </w:rPr>
      </w:pPr>
      <w:r w:rsidRPr="003B4362">
        <w:rPr>
          <w:rFonts w:eastAsia="Calibri"/>
        </w:rPr>
        <w:t xml:space="preserve">Cadmium-115m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48</m:t>
            </m:r>
          </m:sub>
          <m:sup>
            <m:r>
              <m:rPr>
                <m:sty m:val="p"/>
              </m:rPr>
              <w:rPr>
                <w:rFonts w:ascii="Cambria Math" w:eastAsia="Calibri" w:hAnsi="Cambria Math"/>
              </w:rPr>
              <m:t>115m</m:t>
            </m:r>
          </m:sup>
          <m:e>
            <m:r>
              <m:rPr>
                <m:sty m:val="p"/>
              </m:rPr>
              <w:rPr>
                <w:rFonts w:ascii="Cambria Math" w:eastAsia="Calibri" w:hAnsi="Cambria Math"/>
              </w:rPr>
              <m:t>Cd</m:t>
            </m:r>
          </m:e>
        </m:sPre>
        <m:r>
          <w:rPr>
            <w:rFonts w:ascii="Cambria Math" w:eastAsia="Calibri" w:hAnsi="Cambria Math"/>
          </w:rPr>
          <m:t>)</m:t>
        </m:r>
      </m:oMath>
      <w:r w:rsidRPr="003B4362">
        <w:rPr>
          <w:rFonts w:eastAsia="Calibri"/>
        </w:rPr>
        <w:tab/>
        <w:t>90</w:t>
      </w:r>
    </w:p>
    <w:p w14:paraId="1D0CE9F9" w14:textId="77777777" w:rsidR="00E1635B" w:rsidRPr="003B4362" w:rsidRDefault="00E1635B" w:rsidP="00E1635B">
      <w:pPr>
        <w:tabs>
          <w:tab w:val="right" w:pos="7920"/>
        </w:tabs>
        <w:spacing w:before="120"/>
        <w:ind w:left="720"/>
        <w:rPr>
          <w:rFonts w:eastAsia="Calibri"/>
        </w:rPr>
      </w:pPr>
      <w:r w:rsidRPr="003B4362">
        <w:rPr>
          <w:rFonts w:eastAsia="Calibri"/>
        </w:rPr>
        <w:t xml:space="preserve">Calcium-45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20</m:t>
            </m:r>
          </m:sub>
          <m:sup>
            <m:r>
              <m:rPr>
                <m:sty m:val="p"/>
              </m:rPr>
              <w:rPr>
                <w:rFonts w:ascii="Cambria Math" w:eastAsia="Calibri" w:hAnsi="Cambria Math"/>
              </w:rPr>
              <m:t>45</m:t>
            </m:r>
          </m:sup>
          <m:e>
            <m:r>
              <m:rPr>
                <m:sty m:val="p"/>
              </m:rPr>
              <w:rPr>
                <w:rFonts w:ascii="Cambria Math" w:eastAsia="Calibri" w:hAnsi="Cambria Math"/>
              </w:rPr>
              <m:t>Ca</m:t>
            </m:r>
          </m:e>
        </m:sPre>
        <m:r>
          <w:rPr>
            <w:rFonts w:ascii="Cambria Math" w:eastAsia="Calibri" w:hAnsi="Cambria Math"/>
          </w:rPr>
          <m:t>)</m:t>
        </m:r>
      </m:oMath>
      <w:r w:rsidRPr="003B4362">
        <w:rPr>
          <w:rFonts w:eastAsia="Calibri"/>
        </w:rPr>
        <w:tab/>
        <w:t>10</w:t>
      </w:r>
    </w:p>
    <w:p w14:paraId="1378A796" w14:textId="77777777" w:rsidR="00E1635B" w:rsidRPr="003B4362" w:rsidRDefault="00E1635B" w:rsidP="00E1635B">
      <w:pPr>
        <w:tabs>
          <w:tab w:val="right" w:pos="7920"/>
        </w:tabs>
        <w:spacing w:after="120"/>
        <w:ind w:left="720"/>
        <w:rPr>
          <w:rFonts w:eastAsia="Calibri"/>
        </w:rPr>
      </w:pPr>
      <w:r w:rsidRPr="003B4362">
        <w:rPr>
          <w:rFonts w:eastAsia="Calibri"/>
        </w:rPr>
        <w:t xml:space="preserve">Calcium-47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20</m:t>
            </m:r>
          </m:sub>
          <m:sup>
            <m:r>
              <m:rPr>
                <m:sty m:val="p"/>
              </m:rPr>
              <w:rPr>
                <w:rFonts w:ascii="Cambria Math" w:eastAsia="Calibri" w:hAnsi="Cambria Math"/>
              </w:rPr>
              <m:t>47</m:t>
            </m:r>
          </m:sup>
          <m:e>
            <m:r>
              <m:rPr>
                <m:sty m:val="p"/>
              </m:rPr>
              <w:rPr>
                <w:rFonts w:ascii="Cambria Math" w:eastAsia="Calibri" w:hAnsi="Cambria Math"/>
              </w:rPr>
              <m:t>Ca</m:t>
            </m:r>
          </m:e>
        </m:sPre>
        <m:r>
          <w:rPr>
            <w:rFonts w:ascii="Cambria Math" w:eastAsia="Calibri" w:hAnsi="Cambria Math"/>
          </w:rPr>
          <m:t>)</m:t>
        </m:r>
      </m:oMath>
      <w:r w:rsidRPr="003B4362">
        <w:rPr>
          <w:rFonts w:eastAsia="Calibri"/>
        </w:rPr>
        <w:tab/>
        <w:t>80</w:t>
      </w:r>
    </w:p>
    <w:p w14:paraId="16C1ECD4" w14:textId="77777777" w:rsidR="00E1635B" w:rsidRPr="003B4362" w:rsidRDefault="00E1635B" w:rsidP="00E1635B">
      <w:pPr>
        <w:tabs>
          <w:tab w:val="right" w:pos="7920"/>
        </w:tabs>
        <w:spacing w:before="120" w:after="120"/>
        <w:ind w:left="720"/>
        <w:rPr>
          <w:rFonts w:eastAsia="Calibri"/>
        </w:rPr>
      </w:pPr>
      <w:r w:rsidRPr="003B4362">
        <w:rPr>
          <w:rFonts w:eastAsia="Calibri"/>
        </w:rPr>
        <w:t>Carbon-14 (</w:t>
      </w:r>
      <w:r w:rsidRPr="003B4362">
        <w:rPr>
          <w:rFonts w:eastAsia="Calibri"/>
          <w:vertAlign w:val="superscript"/>
        </w:rPr>
        <w:t>14</w:t>
      </w:r>
      <w:r w:rsidRPr="003B4362">
        <w:rPr>
          <w:rFonts w:eastAsia="Calibri"/>
        </w:rPr>
        <w:t xml:space="preserve">C)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m:t>
            </m:r>
          </m:sub>
          <m:sup>
            <m:r>
              <m:rPr>
                <m:sty m:val="p"/>
              </m:rPr>
              <w:rPr>
                <w:rFonts w:ascii="Cambria Math" w:eastAsia="Calibri" w:hAnsi="Cambria Math"/>
              </w:rPr>
              <m:t>14</m:t>
            </m:r>
          </m:sup>
          <m:e>
            <m:r>
              <m:rPr>
                <m:sty m:val="p"/>
              </m:rPr>
              <w:rPr>
                <w:rFonts w:ascii="Cambria Math" w:eastAsia="Calibri" w:hAnsi="Cambria Math"/>
              </w:rPr>
              <m:t>C</m:t>
            </m:r>
          </m:e>
        </m:sPre>
        <m:r>
          <w:rPr>
            <w:rFonts w:ascii="Cambria Math" w:eastAsia="Calibri" w:hAnsi="Cambria Math"/>
          </w:rPr>
          <m:t>)</m:t>
        </m:r>
      </m:oMath>
      <w:r w:rsidRPr="003B4362">
        <w:rPr>
          <w:rFonts w:eastAsia="Calibri"/>
        </w:rPr>
        <w:tab/>
        <w:t>2,000</w:t>
      </w:r>
    </w:p>
    <w:p w14:paraId="28A7317F" w14:textId="77777777" w:rsidR="00E1635B" w:rsidRPr="003B4362" w:rsidRDefault="00E1635B" w:rsidP="00E1635B">
      <w:pPr>
        <w:tabs>
          <w:tab w:val="right" w:pos="7920"/>
        </w:tabs>
        <w:spacing w:before="120"/>
        <w:ind w:left="720"/>
        <w:rPr>
          <w:rFonts w:eastAsia="Calibri"/>
        </w:rPr>
      </w:pPr>
      <w:r w:rsidRPr="003B4362">
        <w:rPr>
          <w:rFonts w:eastAsia="Calibri"/>
        </w:rPr>
        <w:t xml:space="preserve">Cerium-141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58</m:t>
            </m:r>
          </m:sub>
          <m:sup>
            <m:r>
              <m:rPr>
                <m:sty m:val="p"/>
              </m:rPr>
              <w:rPr>
                <w:rFonts w:ascii="Cambria Math" w:eastAsia="Calibri" w:hAnsi="Cambria Math"/>
              </w:rPr>
              <m:t>141</m:t>
            </m:r>
          </m:sup>
          <m:e>
            <m:r>
              <m:rPr>
                <m:sty m:val="p"/>
              </m:rPr>
              <w:rPr>
                <w:rFonts w:ascii="Cambria Math" w:eastAsia="Calibri" w:hAnsi="Cambria Math"/>
              </w:rPr>
              <m:t>Ce</m:t>
            </m:r>
          </m:e>
        </m:sPre>
        <m:r>
          <w:rPr>
            <w:rFonts w:ascii="Cambria Math" w:eastAsia="Calibri" w:hAnsi="Cambria Math"/>
          </w:rPr>
          <m:t>)</m:t>
        </m:r>
      </m:oMath>
      <w:r w:rsidRPr="003B4362">
        <w:rPr>
          <w:rFonts w:eastAsia="Calibri"/>
        </w:rPr>
        <w:tab/>
        <w:t>300</w:t>
      </w:r>
    </w:p>
    <w:p w14:paraId="31229C9F" w14:textId="77777777" w:rsidR="00E1635B" w:rsidRPr="003B4362" w:rsidRDefault="00E1635B" w:rsidP="00E1635B">
      <w:pPr>
        <w:tabs>
          <w:tab w:val="right" w:pos="7920"/>
        </w:tabs>
        <w:ind w:left="720"/>
        <w:rPr>
          <w:rFonts w:eastAsia="Calibri"/>
        </w:rPr>
      </w:pPr>
      <w:r w:rsidRPr="003B4362">
        <w:rPr>
          <w:rFonts w:eastAsia="Calibri"/>
        </w:rPr>
        <w:t xml:space="preserve">Cerium-143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58</m:t>
            </m:r>
          </m:sub>
          <m:sup>
            <m:r>
              <m:rPr>
                <m:sty m:val="p"/>
              </m:rPr>
              <w:rPr>
                <w:rFonts w:ascii="Cambria Math" w:eastAsia="Calibri" w:hAnsi="Cambria Math"/>
              </w:rPr>
              <m:t>143</m:t>
            </m:r>
          </m:sup>
          <m:e>
            <m:r>
              <m:rPr>
                <m:sty m:val="p"/>
              </m:rPr>
              <w:rPr>
                <w:rFonts w:ascii="Cambria Math" w:eastAsia="Calibri" w:hAnsi="Cambria Math"/>
              </w:rPr>
              <m:t>Ce</m:t>
            </m:r>
          </m:e>
        </m:sPre>
        <m:r>
          <w:rPr>
            <w:rFonts w:ascii="Cambria Math" w:eastAsia="Calibri" w:hAnsi="Cambria Math"/>
          </w:rPr>
          <m:t>)</m:t>
        </m:r>
      </m:oMath>
      <w:r w:rsidRPr="003B4362">
        <w:rPr>
          <w:rFonts w:eastAsia="Calibri"/>
        </w:rPr>
        <w:tab/>
        <w:t>100</w:t>
      </w:r>
    </w:p>
    <w:p w14:paraId="17DF3E2E" w14:textId="77777777" w:rsidR="00E1635B" w:rsidRPr="003B4362" w:rsidRDefault="00E1635B" w:rsidP="00E1635B">
      <w:pPr>
        <w:tabs>
          <w:tab w:val="right" w:pos="7920"/>
        </w:tabs>
        <w:spacing w:after="120"/>
        <w:ind w:left="720"/>
        <w:rPr>
          <w:rFonts w:eastAsia="Calibri"/>
        </w:rPr>
      </w:pPr>
      <w:r w:rsidRPr="003B4362">
        <w:rPr>
          <w:rFonts w:eastAsia="Calibri"/>
        </w:rPr>
        <w:t xml:space="preserve">Cerium-144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58</m:t>
            </m:r>
          </m:sub>
          <m:sup>
            <m:r>
              <m:rPr>
                <m:sty m:val="p"/>
              </m:rPr>
              <w:rPr>
                <w:rFonts w:ascii="Cambria Math" w:eastAsia="Calibri" w:hAnsi="Cambria Math"/>
              </w:rPr>
              <m:t>144</m:t>
            </m:r>
          </m:sup>
          <m:e>
            <m:r>
              <m:rPr>
                <m:sty m:val="p"/>
              </m:rPr>
              <w:rPr>
                <w:rFonts w:ascii="Cambria Math" w:eastAsia="Calibri" w:hAnsi="Cambria Math"/>
              </w:rPr>
              <m:t>Ce</m:t>
            </m:r>
          </m:e>
        </m:sPre>
        <m:r>
          <w:rPr>
            <w:rFonts w:ascii="Cambria Math" w:eastAsia="Calibri" w:hAnsi="Cambria Math"/>
          </w:rPr>
          <m:t>)</m:t>
        </m:r>
      </m:oMath>
      <w:r w:rsidRPr="003B4362">
        <w:rPr>
          <w:rFonts w:eastAsia="Calibri"/>
        </w:rPr>
        <w:tab/>
        <w:t>30</w:t>
      </w:r>
    </w:p>
    <w:p w14:paraId="6A6129F3" w14:textId="77777777" w:rsidR="00E1635B" w:rsidRPr="003B4362" w:rsidRDefault="00E1635B" w:rsidP="00E1635B">
      <w:pPr>
        <w:tabs>
          <w:tab w:val="right" w:pos="7920"/>
        </w:tabs>
        <w:spacing w:before="120"/>
        <w:ind w:left="720"/>
        <w:rPr>
          <w:rFonts w:eastAsia="Calibri"/>
        </w:rPr>
      </w:pPr>
      <w:r w:rsidRPr="003B4362">
        <w:rPr>
          <w:rFonts w:eastAsia="Calibri"/>
        </w:rPr>
        <w:t xml:space="preserve">Cesium-131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131</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20,000</w:t>
      </w:r>
    </w:p>
    <w:p w14:paraId="2C9334CF" w14:textId="77777777" w:rsidR="00E1635B" w:rsidRPr="003B4362" w:rsidRDefault="00E1635B" w:rsidP="00E1635B">
      <w:pPr>
        <w:tabs>
          <w:tab w:val="right" w:pos="7920"/>
        </w:tabs>
        <w:ind w:left="720"/>
        <w:rPr>
          <w:rFonts w:eastAsia="Calibri"/>
        </w:rPr>
      </w:pPr>
      <w:r w:rsidRPr="003B4362">
        <w:rPr>
          <w:rFonts w:eastAsia="Calibri"/>
        </w:rPr>
        <w:t xml:space="preserve">Cesium-134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134</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80</w:t>
      </w:r>
    </w:p>
    <w:p w14:paraId="265DA166" w14:textId="77777777" w:rsidR="00E1635B" w:rsidRPr="003B4362" w:rsidRDefault="00E1635B" w:rsidP="00E1635B">
      <w:pPr>
        <w:tabs>
          <w:tab w:val="right" w:pos="7920"/>
        </w:tabs>
        <w:ind w:left="720"/>
        <w:rPr>
          <w:rFonts w:eastAsia="Calibri"/>
        </w:rPr>
      </w:pPr>
      <w:r w:rsidRPr="003B4362">
        <w:rPr>
          <w:rFonts w:eastAsia="Calibri"/>
        </w:rPr>
        <w:t xml:space="preserve">Cesium-134m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134m</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20,000</w:t>
      </w:r>
    </w:p>
    <w:p w14:paraId="7105825F" w14:textId="77777777" w:rsidR="00E1635B" w:rsidRPr="003B4362" w:rsidRDefault="00E1635B" w:rsidP="00E1635B">
      <w:pPr>
        <w:tabs>
          <w:tab w:val="right" w:pos="7920"/>
        </w:tabs>
        <w:ind w:left="720"/>
        <w:rPr>
          <w:rFonts w:eastAsia="Calibri"/>
        </w:rPr>
      </w:pPr>
      <w:r w:rsidRPr="003B4362">
        <w:rPr>
          <w:rFonts w:eastAsia="Calibri"/>
        </w:rPr>
        <w:t xml:space="preserve">Cesium-135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135</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900</w:t>
      </w:r>
    </w:p>
    <w:p w14:paraId="7B6758D0" w14:textId="77777777" w:rsidR="00E1635B" w:rsidRPr="003B4362" w:rsidRDefault="00E1635B" w:rsidP="00E1635B">
      <w:pPr>
        <w:tabs>
          <w:tab w:val="right" w:pos="7920"/>
        </w:tabs>
        <w:ind w:left="720"/>
        <w:rPr>
          <w:rFonts w:eastAsia="Calibri"/>
        </w:rPr>
      </w:pPr>
      <w:r w:rsidRPr="003B4362">
        <w:rPr>
          <w:rFonts w:eastAsia="Calibri"/>
        </w:rPr>
        <w:t xml:space="preserve">Cesium-136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136</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800</w:t>
      </w:r>
    </w:p>
    <w:p w14:paraId="46C72FC1" w14:textId="77777777" w:rsidR="00E1635B" w:rsidRPr="003B4362" w:rsidRDefault="00E1635B" w:rsidP="00E1635B">
      <w:pPr>
        <w:tabs>
          <w:tab w:val="right" w:pos="7920"/>
        </w:tabs>
        <w:spacing w:after="120"/>
        <w:ind w:left="720"/>
        <w:rPr>
          <w:rFonts w:eastAsia="Calibri"/>
        </w:rPr>
      </w:pPr>
      <w:r w:rsidRPr="003B4362">
        <w:rPr>
          <w:rFonts w:eastAsia="Calibri"/>
        </w:rPr>
        <w:t xml:space="preserve">Cesium-137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137</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200</w:t>
      </w:r>
    </w:p>
    <w:p w14:paraId="627FD342" w14:textId="77777777" w:rsidR="00E1635B" w:rsidRPr="003B4362" w:rsidRDefault="00E1635B" w:rsidP="00E1635B">
      <w:pPr>
        <w:tabs>
          <w:tab w:val="right" w:pos="7920"/>
        </w:tabs>
        <w:spacing w:before="120"/>
        <w:ind w:left="720"/>
        <w:rPr>
          <w:rFonts w:eastAsia="Calibri"/>
        </w:rPr>
      </w:pPr>
      <w:r w:rsidRPr="003B4362">
        <w:rPr>
          <w:rFonts w:eastAsia="Calibri"/>
        </w:rPr>
        <w:t xml:space="preserve">Chlorine-36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17</m:t>
            </m:r>
          </m:sub>
          <m:sup>
            <m:r>
              <m:rPr>
                <m:sty m:val="p"/>
              </m:rPr>
              <w:rPr>
                <w:rFonts w:ascii="Cambria Math" w:eastAsia="Calibri" w:hAnsi="Cambria Math"/>
              </w:rPr>
              <m:t>36</m:t>
            </m:r>
          </m:sup>
          <m:e>
            <m:r>
              <m:rPr>
                <m:sty m:val="p"/>
              </m:rPr>
              <w:rPr>
                <w:rFonts w:ascii="Cambria Math" w:eastAsia="Calibri" w:hAnsi="Cambria Math"/>
              </w:rPr>
              <m:t>Cl</m:t>
            </m:r>
          </m:e>
        </m:sPre>
        <m:r>
          <w:rPr>
            <w:rFonts w:ascii="Cambria Math" w:eastAsia="Calibri" w:hAnsi="Cambria Math"/>
          </w:rPr>
          <m:t>)</m:t>
        </m:r>
      </m:oMath>
      <w:r w:rsidRPr="003B4362">
        <w:rPr>
          <w:rFonts w:eastAsia="Calibri"/>
        </w:rPr>
        <w:tab/>
        <w:t>700</w:t>
      </w:r>
    </w:p>
    <w:p w14:paraId="5CD86424" w14:textId="77777777" w:rsidR="00E1635B" w:rsidRPr="003B4362" w:rsidRDefault="00E1635B" w:rsidP="00E1635B">
      <w:pPr>
        <w:tabs>
          <w:tab w:val="right" w:pos="7920"/>
        </w:tabs>
        <w:spacing w:after="120"/>
        <w:ind w:left="720"/>
        <w:rPr>
          <w:rFonts w:eastAsia="Calibri"/>
        </w:rPr>
      </w:pPr>
      <w:r w:rsidRPr="003B4362">
        <w:rPr>
          <w:rFonts w:eastAsia="Calibri"/>
        </w:rPr>
        <w:t xml:space="preserve">Chlorine-38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17</m:t>
            </m:r>
          </m:sub>
          <m:sup>
            <m:r>
              <m:rPr>
                <m:sty m:val="p"/>
              </m:rPr>
              <w:rPr>
                <w:rFonts w:ascii="Cambria Math" w:eastAsia="Calibri" w:hAnsi="Cambria Math"/>
              </w:rPr>
              <m:t>38</m:t>
            </m:r>
          </m:sup>
          <m:e>
            <m:r>
              <m:rPr>
                <m:sty m:val="p"/>
              </m:rPr>
              <w:rPr>
                <w:rFonts w:ascii="Cambria Math" w:eastAsia="Calibri" w:hAnsi="Cambria Math"/>
              </w:rPr>
              <m:t>Cl</m:t>
            </m:r>
          </m:e>
        </m:sPre>
        <m:r>
          <w:rPr>
            <w:rFonts w:ascii="Cambria Math" w:eastAsia="Calibri" w:hAnsi="Cambria Math"/>
          </w:rPr>
          <m:t>)</m:t>
        </m:r>
      </m:oMath>
      <w:r w:rsidRPr="003B4362">
        <w:rPr>
          <w:rFonts w:eastAsia="Calibri"/>
        </w:rPr>
        <w:tab/>
        <w:t>1,000</w:t>
      </w:r>
    </w:p>
    <w:p w14:paraId="748698C2"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Chromium-51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24</m:t>
            </m:r>
          </m:sub>
          <m:sup>
            <m:r>
              <m:rPr>
                <m:sty m:val="p"/>
              </m:rPr>
              <w:rPr>
                <w:rFonts w:ascii="Cambria Math" w:eastAsia="Calibri" w:hAnsi="Cambria Math"/>
              </w:rPr>
              <m:t>51</m:t>
            </m:r>
          </m:sup>
          <m:e>
            <m:r>
              <m:rPr>
                <m:sty m:val="p"/>
              </m:rPr>
              <w:rPr>
                <w:rFonts w:ascii="Cambria Math" w:eastAsia="Calibri" w:hAnsi="Cambria Math"/>
              </w:rPr>
              <m:t>Cr</m:t>
            </m:r>
          </m:e>
        </m:sPre>
        <m:r>
          <w:rPr>
            <w:rFonts w:ascii="Cambria Math" w:eastAsia="Calibri" w:hAnsi="Cambria Math"/>
          </w:rPr>
          <m:t>)</m:t>
        </m:r>
      </m:oMath>
      <w:r w:rsidRPr="003B4362">
        <w:rPr>
          <w:rFonts w:eastAsia="Calibri"/>
        </w:rPr>
        <w:tab/>
        <w:t>6,000</w:t>
      </w:r>
    </w:p>
    <w:p w14:paraId="6A9F48F4" w14:textId="77777777" w:rsidR="00E1635B" w:rsidRPr="003B4362" w:rsidRDefault="00E1635B" w:rsidP="00E1635B">
      <w:pPr>
        <w:tabs>
          <w:tab w:val="right" w:pos="7920"/>
        </w:tabs>
        <w:spacing w:before="120"/>
        <w:ind w:left="720"/>
        <w:rPr>
          <w:rFonts w:eastAsia="Calibri"/>
        </w:rPr>
      </w:pPr>
      <w:r w:rsidRPr="003B4362">
        <w:rPr>
          <w:rFonts w:eastAsia="Calibri"/>
        </w:rPr>
        <w:lastRenderedPageBreak/>
        <w:t xml:space="preserve">Cobalt-57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27</m:t>
            </m:r>
          </m:sub>
          <m:sup>
            <m:r>
              <m:rPr>
                <m:sty m:val="p"/>
              </m:rPr>
              <w:rPr>
                <w:rFonts w:ascii="Cambria Math" w:eastAsia="Calibri" w:hAnsi="Cambria Math"/>
              </w:rPr>
              <m:t>57</m:t>
            </m:r>
          </m:sup>
          <m:e>
            <m:r>
              <m:rPr>
                <m:sty m:val="p"/>
              </m:rPr>
              <w:rPr>
                <w:rFonts w:ascii="Cambria Math" w:eastAsia="Calibri" w:hAnsi="Cambria Math"/>
              </w:rPr>
              <m:t>Co</m:t>
            </m:r>
          </m:e>
        </m:sPre>
        <m:r>
          <w:rPr>
            <w:rFonts w:ascii="Cambria Math" w:eastAsia="Calibri" w:hAnsi="Cambria Math"/>
          </w:rPr>
          <m:t>)</m:t>
        </m:r>
      </m:oMath>
      <w:r w:rsidRPr="003B4362">
        <w:rPr>
          <w:rFonts w:eastAsia="Calibri"/>
        </w:rPr>
        <w:tab/>
        <w:t>1,000</w:t>
      </w:r>
    </w:p>
    <w:p w14:paraId="7BBEA9DB" w14:textId="77777777" w:rsidR="00E1635B" w:rsidRPr="003B4362" w:rsidRDefault="00E1635B" w:rsidP="00E1635B">
      <w:pPr>
        <w:tabs>
          <w:tab w:val="right" w:pos="7920"/>
        </w:tabs>
        <w:ind w:left="720"/>
        <w:rPr>
          <w:rFonts w:eastAsia="Calibri"/>
        </w:rPr>
      </w:pPr>
      <w:r w:rsidRPr="003B4362">
        <w:rPr>
          <w:rFonts w:eastAsia="Calibri"/>
        </w:rPr>
        <w:t xml:space="preserve">Cobalt-58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27</m:t>
            </m:r>
          </m:sub>
          <m:sup>
            <m:r>
              <m:rPr>
                <m:sty m:val="p"/>
              </m:rPr>
              <w:rPr>
                <w:rFonts w:ascii="Cambria Math" w:eastAsia="Calibri" w:hAnsi="Cambria Math"/>
              </w:rPr>
              <m:t>58</m:t>
            </m:r>
          </m:sup>
          <m:e>
            <m:r>
              <m:rPr>
                <m:sty m:val="p"/>
              </m:rPr>
              <w:rPr>
                <w:rFonts w:ascii="Cambria Math" w:eastAsia="Calibri" w:hAnsi="Cambria Math"/>
              </w:rPr>
              <m:t>Co</m:t>
            </m:r>
          </m:e>
        </m:sPre>
        <m:r>
          <w:rPr>
            <w:rFonts w:ascii="Cambria Math" w:eastAsia="Calibri" w:hAnsi="Cambria Math"/>
          </w:rPr>
          <m:t>)</m:t>
        </m:r>
      </m:oMath>
      <w:r w:rsidRPr="003B4362">
        <w:rPr>
          <w:rFonts w:eastAsia="Calibri"/>
        </w:rPr>
        <w:tab/>
        <w:t>300</w:t>
      </w:r>
    </w:p>
    <w:p w14:paraId="5C872201" w14:textId="77777777" w:rsidR="00E1635B" w:rsidRPr="003B4362" w:rsidRDefault="00E1635B" w:rsidP="00E1635B">
      <w:pPr>
        <w:tabs>
          <w:tab w:val="right" w:pos="7920"/>
        </w:tabs>
        <w:ind w:left="720"/>
        <w:rPr>
          <w:rFonts w:eastAsia="Calibri"/>
        </w:rPr>
      </w:pPr>
      <w:r w:rsidRPr="003B4362">
        <w:rPr>
          <w:rFonts w:eastAsia="Calibri"/>
        </w:rPr>
        <w:t xml:space="preserve">Cobalt-58m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27</m:t>
            </m:r>
          </m:sub>
          <m:sup>
            <m:r>
              <m:rPr>
                <m:sty m:val="p"/>
              </m:rPr>
              <w:rPr>
                <w:rFonts w:ascii="Cambria Math" w:eastAsia="Calibri" w:hAnsi="Cambria Math"/>
              </w:rPr>
              <m:t>58m</m:t>
            </m:r>
          </m:sup>
          <m:e>
            <m:r>
              <m:rPr>
                <m:sty m:val="p"/>
              </m:rPr>
              <w:rPr>
                <w:rFonts w:ascii="Cambria Math" w:eastAsia="Calibri" w:hAnsi="Cambria Math"/>
              </w:rPr>
              <m:t>Co</m:t>
            </m:r>
          </m:e>
        </m:sPre>
        <m:r>
          <w:rPr>
            <w:rFonts w:ascii="Cambria Math" w:eastAsia="Calibri" w:hAnsi="Cambria Math"/>
          </w:rPr>
          <m:t>)</m:t>
        </m:r>
      </m:oMath>
      <w:r w:rsidRPr="003B4362">
        <w:rPr>
          <w:rFonts w:eastAsia="Calibri"/>
        </w:rPr>
        <w:tab/>
        <w:t>9,000</w:t>
      </w:r>
    </w:p>
    <w:p w14:paraId="47306C7C" w14:textId="77777777" w:rsidR="00E1635B" w:rsidRPr="003B4362" w:rsidRDefault="00E1635B" w:rsidP="00E1635B">
      <w:pPr>
        <w:tabs>
          <w:tab w:val="right" w:pos="7920"/>
        </w:tabs>
        <w:spacing w:after="120"/>
        <w:ind w:left="720"/>
        <w:rPr>
          <w:rFonts w:eastAsia="Calibri"/>
        </w:rPr>
      </w:pPr>
      <w:r w:rsidRPr="003B4362">
        <w:rPr>
          <w:rFonts w:eastAsia="Calibri"/>
        </w:rPr>
        <w:t xml:space="preserve">Cobalt-60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27</m:t>
            </m:r>
          </m:sub>
          <m:sup>
            <m:r>
              <m:rPr>
                <m:sty m:val="p"/>
              </m:rPr>
              <w:rPr>
                <w:rFonts w:ascii="Cambria Math" w:eastAsia="Calibri" w:hAnsi="Cambria Math"/>
              </w:rPr>
              <m:t>60</m:t>
            </m:r>
          </m:sup>
          <m:e>
            <m:r>
              <m:rPr>
                <m:sty m:val="p"/>
              </m:rPr>
              <w:rPr>
                <w:rFonts w:ascii="Cambria Math" w:eastAsia="Calibri" w:hAnsi="Cambria Math"/>
              </w:rPr>
              <m:t>Co</m:t>
            </m:r>
          </m:e>
        </m:sPre>
        <m:r>
          <w:rPr>
            <w:rFonts w:ascii="Cambria Math" w:eastAsia="Calibri" w:hAnsi="Cambria Math"/>
          </w:rPr>
          <m:t>)</m:t>
        </m:r>
      </m:oMath>
      <w:r w:rsidRPr="003B4362">
        <w:rPr>
          <w:rFonts w:eastAsia="Calibri"/>
        </w:rPr>
        <w:tab/>
        <w:t>100</w:t>
      </w:r>
    </w:p>
    <w:p w14:paraId="27BEAF02"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Copper-64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29</m:t>
            </m:r>
          </m:sub>
          <m:sup>
            <m:r>
              <m:rPr>
                <m:sty m:val="p"/>
              </m:rPr>
              <w:rPr>
                <w:rFonts w:ascii="Cambria Math" w:eastAsia="Calibri" w:hAnsi="Cambria Math"/>
              </w:rPr>
              <m:t>64</m:t>
            </m:r>
          </m:sup>
          <m:e>
            <m:r>
              <m:rPr>
                <m:sty m:val="p"/>
              </m:rPr>
              <w:rPr>
                <w:rFonts w:ascii="Cambria Math" w:eastAsia="Calibri" w:hAnsi="Cambria Math"/>
              </w:rPr>
              <m:t>Cu</m:t>
            </m:r>
          </m:e>
        </m:sPre>
        <m:r>
          <w:rPr>
            <w:rFonts w:ascii="Cambria Math" w:eastAsia="Calibri" w:hAnsi="Cambria Math"/>
          </w:rPr>
          <m:t>)</m:t>
        </m:r>
      </m:oMath>
      <w:r w:rsidRPr="003B4362">
        <w:rPr>
          <w:rFonts w:eastAsia="Calibri"/>
        </w:rPr>
        <w:tab/>
        <w:t>900</w:t>
      </w:r>
    </w:p>
    <w:p w14:paraId="594CB106" w14:textId="77777777" w:rsidR="00E1635B" w:rsidRPr="003B4362" w:rsidRDefault="00E1635B" w:rsidP="00E1635B">
      <w:pPr>
        <w:tabs>
          <w:tab w:val="right" w:pos="7920"/>
        </w:tabs>
        <w:spacing w:before="120"/>
        <w:ind w:left="720"/>
        <w:rPr>
          <w:rFonts w:eastAsia="Calibri"/>
        </w:rPr>
      </w:pPr>
      <w:r w:rsidRPr="003B4362">
        <w:rPr>
          <w:rFonts w:eastAsia="Calibri"/>
        </w:rPr>
        <w:t xml:space="preserve">Dysprosium-165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66</m:t>
            </m:r>
          </m:sub>
          <m:sup>
            <m:r>
              <m:rPr>
                <m:sty m:val="p"/>
              </m:rPr>
              <w:rPr>
                <w:rFonts w:ascii="Cambria Math" w:eastAsia="Calibri" w:hAnsi="Cambria Math"/>
              </w:rPr>
              <m:t>165</m:t>
            </m:r>
          </m:sup>
          <m:e>
            <m:r>
              <m:rPr>
                <m:sty m:val="p"/>
              </m:rPr>
              <w:rPr>
                <w:rFonts w:ascii="Cambria Math" w:eastAsia="Calibri" w:hAnsi="Cambria Math"/>
              </w:rPr>
              <m:t>Dy</m:t>
            </m:r>
          </m:e>
        </m:sPre>
        <m:r>
          <w:rPr>
            <w:rFonts w:ascii="Cambria Math" w:eastAsia="Calibri" w:hAnsi="Cambria Math"/>
          </w:rPr>
          <m:t>)</m:t>
        </m:r>
      </m:oMath>
      <w:r w:rsidRPr="003B4362">
        <w:rPr>
          <w:rFonts w:eastAsia="Calibri"/>
        </w:rPr>
        <w:tab/>
        <w:t>1,000</w:t>
      </w:r>
    </w:p>
    <w:p w14:paraId="6E301017" w14:textId="77777777" w:rsidR="00E1635B" w:rsidRPr="003B4362" w:rsidRDefault="00E1635B" w:rsidP="00E1635B">
      <w:pPr>
        <w:tabs>
          <w:tab w:val="right" w:pos="7920"/>
        </w:tabs>
        <w:spacing w:after="120"/>
        <w:ind w:left="720"/>
        <w:rPr>
          <w:rFonts w:eastAsia="Calibri"/>
        </w:rPr>
      </w:pPr>
      <w:r w:rsidRPr="003B4362">
        <w:rPr>
          <w:rFonts w:eastAsia="Calibri"/>
        </w:rPr>
        <w:t xml:space="preserve">Dysprosium-166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66</m:t>
            </m:r>
          </m:sub>
          <m:sup>
            <m:r>
              <m:rPr>
                <m:sty m:val="p"/>
              </m:rPr>
              <w:rPr>
                <w:rFonts w:ascii="Cambria Math" w:eastAsia="Calibri" w:hAnsi="Cambria Math"/>
              </w:rPr>
              <m:t>166</m:t>
            </m:r>
          </m:sup>
          <m:e>
            <m:r>
              <m:rPr>
                <m:sty m:val="p"/>
              </m:rPr>
              <w:rPr>
                <w:rFonts w:ascii="Cambria Math" w:eastAsia="Calibri" w:hAnsi="Cambria Math"/>
              </w:rPr>
              <m:t>Dy</m:t>
            </m:r>
          </m:e>
        </m:sPre>
        <m:r>
          <w:rPr>
            <w:rFonts w:ascii="Cambria Math" w:eastAsia="Calibri" w:hAnsi="Cambria Math"/>
          </w:rPr>
          <m:t>)</m:t>
        </m:r>
      </m:oMath>
      <w:r w:rsidRPr="003B4362">
        <w:rPr>
          <w:rFonts w:eastAsia="Calibri"/>
        </w:rPr>
        <w:tab/>
        <w:t>100</w:t>
      </w:r>
    </w:p>
    <w:p w14:paraId="44E62530" w14:textId="77777777" w:rsidR="00E1635B" w:rsidRPr="003B4362" w:rsidRDefault="00E1635B" w:rsidP="00E1635B">
      <w:pPr>
        <w:tabs>
          <w:tab w:val="right" w:pos="7920"/>
        </w:tabs>
        <w:spacing w:before="120"/>
        <w:ind w:left="720"/>
        <w:rPr>
          <w:rFonts w:eastAsia="Calibri"/>
        </w:rPr>
      </w:pPr>
      <w:r w:rsidRPr="003B4362">
        <w:rPr>
          <w:rFonts w:eastAsia="Calibri"/>
        </w:rPr>
        <w:t xml:space="preserve">Erbium-169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68</m:t>
            </m:r>
          </m:sub>
          <m:sup>
            <m:r>
              <m:rPr>
                <m:sty m:val="p"/>
              </m:rPr>
              <w:rPr>
                <w:rFonts w:ascii="Cambria Math" w:eastAsia="Calibri" w:hAnsi="Cambria Math"/>
              </w:rPr>
              <m:t>169</m:t>
            </m:r>
          </m:sup>
          <m:e>
            <m:r>
              <m:rPr>
                <m:sty m:val="p"/>
              </m:rPr>
              <w:rPr>
                <w:rFonts w:ascii="Cambria Math" w:eastAsia="Calibri" w:hAnsi="Cambria Math"/>
              </w:rPr>
              <m:t>Er</m:t>
            </m:r>
          </m:e>
        </m:sPre>
        <m:r>
          <w:rPr>
            <w:rFonts w:ascii="Cambria Math" w:eastAsia="Calibri" w:hAnsi="Cambria Math"/>
          </w:rPr>
          <m:t>)</m:t>
        </m:r>
      </m:oMath>
      <w:r w:rsidRPr="003B4362">
        <w:rPr>
          <w:rFonts w:eastAsia="Calibri"/>
        </w:rPr>
        <w:tab/>
        <w:t>300</w:t>
      </w:r>
    </w:p>
    <w:p w14:paraId="4C2D6C64" w14:textId="77777777" w:rsidR="00E1635B" w:rsidRPr="003B4362" w:rsidRDefault="00E1635B" w:rsidP="00E1635B">
      <w:pPr>
        <w:tabs>
          <w:tab w:val="right" w:pos="7920"/>
        </w:tabs>
        <w:spacing w:after="120"/>
        <w:ind w:left="720"/>
        <w:rPr>
          <w:rFonts w:eastAsia="Calibri"/>
        </w:rPr>
      </w:pPr>
      <w:r w:rsidRPr="003B4362">
        <w:rPr>
          <w:rFonts w:eastAsia="Calibri"/>
        </w:rPr>
        <w:t xml:space="preserve">Erbium-171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68</m:t>
            </m:r>
          </m:sub>
          <m:sup>
            <m:r>
              <m:rPr>
                <m:sty m:val="p"/>
              </m:rPr>
              <w:rPr>
                <w:rFonts w:ascii="Cambria Math" w:eastAsia="Calibri" w:hAnsi="Cambria Math"/>
              </w:rPr>
              <m:t>171</m:t>
            </m:r>
          </m:sup>
          <m:e>
            <m:r>
              <m:rPr>
                <m:sty m:val="p"/>
              </m:rPr>
              <w:rPr>
                <w:rFonts w:ascii="Cambria Math" w:eastAsia="Calibri" w:hAnsi="Cambria Math"/>
              </w:rPr>
              <m:t>Er</m:t>
            </m:r>
          </m:e>
        </m:sPre>
        <m:r>
          <w:rPr>
            <w:rFonts w:ascii="Cambria Math" w:eastAsia="Calibri" w:hAnsi="Cambria Math"/>
          </w:rPr>
          <m:t>)</m:t>
        </m:r>
      </m:oMath>
      <w:r w:rsidRPr="003B4362">
        <w:rPr>
          <w:rFonts w:eastAsia="Calibri"/>
        </w:rPr>
        <w:tab/>
        <w:t>300</w:t>
      </w:r>
    </w:p>
    <w:p w14:paraId="05A41CE3" w14:textId="77777777" w:rsidR="00E1635B" w:rsidRPr="003B4362" w:rsidRDefault="00E1635B" w:rsidP="00E1635B">
      <w:pPr>
        <w:tabs>
          <w:tab w:val="right" w:pos="7920"/>
        </w:tabs>
        <w:spacing w:before="120"/>
        <w:ind w:left="720"/>
        <w:rPr>
          <w:rFonts w:eastAsia="Calibri"/>
        </w:rPr>
      </w:pPr>
      <w:r w:rsidRPr="003B4362">
        <w:rPr>
          <w:rFonts w:eastAsia="Calibri"/>
        </w:rPr>
        <w:t xml:space="preserve">Europium-152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152</m:t>
            </m:r>
          </m:sup>
          <m:e>
            <m:r>
              <m:rPr>
                <m:sty m:val="p"/>
              </m:rPr>
              <w:rPr>
                <w:rFonts w:ascii="Cambria Math" w:eastAsia="Calibri" w:hAnsi="Cambria Math"/>
              </w:rPr>
              <m:t>Eu</m:t>
            </m:r>
          </m:e>
        </m:sPre>
        <m:r>
          <w:rPr>
            <w:rFonts w:ascii="Cambria Math" w:eastAsia="Calibri" w:hAnsi="Cambria Math"/>
          </w:rPr>
          <m:t>)</m:t>
        </m:r>
      </m:oMath>
      <w:r w:rsidRPr="003B4362">
        <w:rPr>
          <w:rFonts w:eastAsia="Calibri"/>
        </w:rPr>
        <w:tab/>
        <w:t>200</w:t>
      </w:r>
    </w:p>
    <w:p w14:paraId="03F4DACE" w14:textId="77777777" w:rsidR="00E1635B" w:rsidRPr="003B4362" w:rsidRDefault="00E1635B" w:rsidP="00E1635B">
      <w:pPr>
        <w:tabs>
          <w:tab w:val="right" w:pos="7920"/>
        </w:tabs>
        <w:ind w:left="720"/>
        <w:rPr>
          <w:rFonts w:eastAsia="Calibri"/>
        </w:rPr>
      </w:pPr>
      <w:r w:rsidRPr="003B4362">
        <w:rPr>
          <w:rFonts w:eastAsia="Calibri"/>
        </w:rPr>
        <w:t xml:space="preserve">Europium-154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154</m:t>
            </m:r>
          </m:sup>
          <m:e>
            <m:r>
              <m:rPr>
                <m:sty m:val="p"/>
              </m:rPr>
              <w:rPr>
                <w:rFonts w:ascii="Cambria Math" w:eastAsia="Calibri" w:hAnsi="Cambria Math"/>
              </w:rPr>
              <m:t>Eu</m:t>
            </m:r>
          </m:e>
        </m:sPre>
        <m:r>
          <w:rPr>
            <w:rFonts w:ascii="Cambria Math" w:eastAsia="Calibri" w:hAnsi="Cambria Math"/>
          </w:rPr>
          <m:t>)</m:t>
        </m:r>
      </m:oMath>
      <w:r w:rsidRPr="003B4362">
        <w:rPr>
          <w:rFonts w:eastAsia="Calibri"/>
        </w:rPr>
        <w:tab/>
        <w:t>60</w:t>
      </w:r>
    </w:p>
    <w:p w14:paraId="637AB600" w14:textId="77777777" w:rsidR="00E1635B" w:rsidRPr="003B4362" w:rsidRDefault="00E1635B" w:rsidP="00E1635B">
      <w:pPr>
        <w:tabs>
          <w:tab w:val="right" w:pos="7920"/>
        </w:tabs>
        <w:spacing w:after="120"/>
        <w:ind w:left="720"/>
        <w:rPr>
          <w:rFonts w:eastAsia="Calibri"/>
        </w:rPr>
      </w:pPr>
      <w:r w:rsidRPr="003B4362">
        <w:rPr>
          <w:rFonts w:eastAsia="Calibri"/>
        </w:rPr>
        <w:t xml:space="preserve">Europium-155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155</m:t>
            </m:r>
          </m:sup>
          <m:e>
            <m:r>
              <m:rPr>
                <m:sty m:val="p"/>
              </m:rPr>
              <w:rPr>
                <w:rFonts w:ascii="Cambria Math" w:eastAsia="Calibri" w:hAnsi="Cambria Math"/>
              </w:rPr>
              <m:t>Eu</m:t>
            </m:r>
          </m:e>
        </m:sPre>
        <m:r>
          <w:rPr>
            <w:rFonts w:ascii="Cambria Math" w:eastAsia="Calibri" w:hAnsi="Cambria Math"/>
          </w:rPr>
          <m:t>)</m:t>
        </m:r>
      </m:oMath>
      <w:r w:rsidRPr="003B4362">
        <w:rPr>
          <w:rFonts w:eastAsia="Calibri"/>
        </w:rPr>
        <w:tab/>
        <w:t>600</w:t>
      </w:r>
    </w:p>
    <w:p w14:paraId="75A4FB6F"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Fluorine-18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m:t>
            </m:r>
          </m:sub>
          <m:sup>
            <m:r>
              <m:rPr>
                <m:sty m:val="p"/>
              </m:rPr>
              <w:rPr>
                <w:rFonts w:ascii="Cambria Math" w:eastAsia="Calibri" w:hAnsi="Cambria Math"/>
              </w:rPr>
              <m:t>18</m:t>
            </m:r>
          </m:sup>
          <m:e>
            <m:r>
              <m:rPr>
                <m:sty m:val="p"/>
              </m:rPr>
              <w:rPr>
                <w:rFonts w:ascii="Cambria Math" w:eastAsia="Calibri" w:hAnsi="Cambria Math"/>
              </w:rPr>
              <m:t>F</m:t>
            </m:r>
          </m:e>
        </m:sPre>
        <m:r>
          <w:rPr>
            <w:rFonts w:ascii="Cambria Math" w:eastAsia="Calibri" w:hAnsi="Cambria Math"/>
          </w:rPr>
          <m:t>)</m:t>
        </m:r>
      </m:oMath>
      <w:r w:rsidRPr="003B4362">
        <w:rPr>
          <w:rFonts w:eastAsia="Calibri"/>
        </w:rPr>
        <w:tab/>
        <w:t>2,000</w:t>
      </w:r>
    </w:p>
    <w:p w14:paraId="554EBE92" w14:textId="77777777" w:rsidR="00E1635B" w:rsidRPr="003B4362" w:rsidRDefault="00E1635B" w:rsidP="00E1635B">
      <w:pPr>
        <w:tabs>
          <w:tab w:val="right" w:pos="7920"/>
        </w:tabs>
        <w:spacing w:before="120"/>
        <w:ind w:left="720"/>
        <w:rPr>
          <w:rFonts w:eastAsia="Calibri"/>
        </w:rPr>
      </w:pPr>
      <w:r w:rsidRPr="003B4362">
        <w:rPr>
          <w:rFonts w:eastAsia="Calibri"/>
        </w:rPr>
        <w:t xml:space="preserve">Gadolinium-153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153</m:t>
            </m:r>
          </m:sup>
          <m:e>
            <m:r>
              <m:rPr>
                <m:sty m:val="p"/>
              </m:rPr>
              <w:rPr>
                <w:rFonts w:ascii="Cambria Math" w:eastAsia="Calibri" w:hAnsi="Cambria Math"/>
              </w:rPr>
              <m:t>Gd</m:t>
            </m:r>
          </m:e>
        </m:sPre>
        <m:r>
          <w:rPr>
            <w:rFonts w:ascii="Cambria Math" w:eastAsia="Calibri" w:hAnsi="Cambria Math"/>
          </w:rPr>
          <m:t>)</m:t>
        </m:r>
      </m:oMath>
      <w:r w:rsidRPr="003B4362">
        <w:rPr>
          <w:rFonts w:eastAsia="Calibri"/>
        </w:rPr>
        <w:tab/>
        <w:t>600</w:t>
      </w:r>
    </w:p>
    <w:p w14:paraId="48F1BA95" w14:textId="77777777" w:rsidR="00E1635B" w:rsidRPr="003B4362" w:rsidRDefault="00E1635B" w:rsidP="00E1635B">
      <w:pPr>
        <w:tabs>
          <w:tab w:val="right" w:pos="7920"/>
        </w:tabs>
        <w:spacing w:after="120"/>
        <w:ind w:left="720"/>
        <w:rPr>
          <w:rFonts w:eastAsia="Calibri"/>
        </w:rPr>
      </w:pPr>
      <w:r w:rsidRPr="003B4362">
        <w:rPr>
          <w:rFonts w:eastAsia="Calibri"/>
        </w:rPr>
        <w:t xml:space="preserve">Gadolinium-159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159</m:t>
            </m:r>
          </m:sup>
          <m:e>
            <m:r>
              <m:rPr>
                <m:sty m:val="p"/>
              </m:rPr>
              <w:rPr>
                <w:rFonts w:ascii="Cambria Math" w:eastAsia="Calibri" w:hAnsi="Cambria Math"/>
              </w:rPr>
              <m:t>Gd</m:t>
            </m:r>
          </m:e>
        </m:sPre>
        <m:r>
          <w:rPr>
            <w:rFonts w:ascii="Cambria Math" w:eastAsia="Calibri" w:hAnsi="Cambria Math"/>
          </w:rPr>
          <m:t>)</m:t>
        </m:r>
      </m:oMath>
      <w:r w:rsidRPr="003B4362">
        <w:rPr>
          <w:rFonts w:eastAsia="Calibri"/>
        </w:rPr>
        <w:tab/>
        <w:t>200</w:t>
      </w:r>
    </w:p>
    <w:p w14:paraId="7C8FD445"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Gallium-72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31</m:t>
            </m:r>
          </m:sub>
          <m:sup>
            <m:r>
              <m:rPr>
                <m:sty m:val="p"/>
              </m:rPr>
              <w:rPr>
                <w:rFonts w:ascii="Cambria Math" w:eastAsia="Calibri" w:hAnsi="Cambria Math"/>
              </w:rPr>
              <m:t>72</m:t>
            </m:r>
          </m:sup>
          <m:e>
            <m:r>
              <m:rPr>
                <m:sty m:val="p"/>
              </m:rPr>
              <w:rPr>
                <w:rFonts w:ascii="Cambria Math" w:eastAsia="Calibri" w:hAnsi="Cambria Math"/>
              </w:rPr>
              <m:t>Ga</m:t>
            </m:r>
          </m:e>
        </m:sPre>
        <m:r>
          <w:rPr>
            <w:rFonts w:ascii="Cambria Math" w:eastAsia="Calibri" w:hAnsi="Cambria Math"/>
          </w:rPr>
          <m:t>)</m:t>
        </m:r>
      </m:oMath>
      <w:r w:rsidRPr="003B4362">
        <w:rPr>
          <w:rFonts w:eastAsia="Calibri"/>
        </w:rPr>
        <w:tab/>
        <w:t>100</w:t>
      </w:r>
    </w:p>
    <w:p w14:paraId="34CF5BB8"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Germanium-71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32</m:t>
            </m:r>
          </m:sub>
          <m:sup>
            <m:r>
              <m:rPr>
                <m:sty m:val="p"/>
              </m:rPr>
              <w:rPr>
                <w:rFonts w:ascii="Cambria Math" w:eastAsia="Calibri" w:hAnsi="Cambria Math"/>
              </w:rPr>
              <m:t>71</m:t>
            </m:r>
          </m:sup>
          <m:e>
            <m:r>
              <m:rPr>
                <m:sty m:val="p"/>
              </m:rPr>
              <w:rPr>
                <w:rFonts w:ascii="Cambria Math" w:eastAsia="Calibri" w:hAnsi="Cambria Math"/>
              </w:rPr>
              <m:t>Ge</m:t>
            </m:r>
          </m:e>
        </m:sPre>
        <m:r>
          <w:rPr>
            <w:rFonts w:ascii="Cambria Math" w:eastAsia="Calibri" w:hAnsi="Cambria Math"/>
          </w:rPr>
          <m:t>)</m:t>
        </m:r>
      </m:oMath>
      <w:r w:rsidRPr="003B4362">
        <w:rPr>
          <w:rFonts w:eastAsia="Calibri"/>
        </w:rPr>
        <w:tab/>
        <w:t>6,000</w:t>
      </w:r>
    </w:p>
    <w:p w14:paraId="11FE770A" w14:textId="77777777" w:rsidR="00E1635B" w:rsidRPr="003B4362" w:rsidRDefault="00E1635B" w:rsidP="00E1635B">
      <w:pPr>
        <w:tabs>
          <w:tab w:val="right" w:pos="7920"/>
        </w:tabs>
        <w:spacing w:before="120"/>
        <w:ind w:left="720"/>
        <w:rPr>
          <w:rFonts w:eastAsia="Calibri"/>
        </w:rPr>
      </w:pPr>
      <w:r w:rsidRPr="003B4362">
        <w:rPr>
          <w:rFonts w:eastAsia="Calibri"/>
        </w:rPr>
        <w:t>Gold-196 (</w:t>
      </w:r>
      <w:r w:rsidRPr="003B4362">
        <w:rPr>
          <w:rFonts w:eastAsia="Calibri"/>
          <w:vertAlign w:val="superscript"/>
        </w:rPr>
        <w:t>196</w:t>
      </w:r>
      <w:r w:rsidRPr="003B4362">
        <w:rPr>
          <w:rFonts w:eastAsia="Calibri"/>
        </w:rPr>
        <w:t xml:space="preserve">Au)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79</m:t>
            </m:r>
          </m:sub>
          <m:sup>
            <m:r>
              <m:rPr>
                <m:sty m:val="p"/>
              </m:rPr>
              <w:rPr>
                <w:rFonts w:ascii="Cambria Math" w:eastAsia="Calibri" w:hAnsi="Cambria Math"/>
              </w:rPr>
              <m:t>196</m:t>
            </m:r>
          </m:sup>
          <m:e>
            <m:r>
              <m:rPr>
                <m:sty m:val="p"/>
              </m:rPr>
              <w:rPr>
                <w:rFonts w:ascii="Cambria Math" w:eastAsia="Calibri" w:hAnsi="Cambria Math"/>
              </w:rPr>
              <m:t>Au</m:t>
            </m:r>
          </m:e>
        </m:sPre>
        <m:r>
          <w:rPr>
            <w:rFonts w:ascii="Cambria Math" w:eastAsia="Calibri" w:hAnsi="Cambria Math"/>
          </w:rPr>
          <m:t>)</m:t>
        </m:r>
      </m:oMath>
      <w:r w:rsidRPr="003B4362">
        <w:rPr>
          <w:rFonts w:eastAsia="Calibri"/>
        </w:rPr>
        <w:tab/>
        <w:t>600</w:t>
      </w:r>
    </w:p>
    <w:p w14:paraId="6A298243" w14:textId="77777777" w:rsidR="00E1635B" w:rsidRPr="003B4362" w:rsidRDefault="00E1635B" w:rsidP="00E1635B">
      <w:pPr>
        <w:tabs>
          <w:tab w:val="right" w:pos="7920"/>
        </w:tabs>
        <w:ind w:left="720"/>
        <w:rPr>
          <w:rFonts w:eastAsia="Calibri"/>
        </w:rPr>
      </w:pPr>
      <w:r w:rsidRPr="003B4362">
        <w:rPr>
          <w:rFonts w:eastAsia="Calibri"/>
        </w:rPr>
        <w:t>Gold-198 (</w:t>
      </w:r>
      <w:r w:rsidRPr="003B4362">
        <w:rPr>
          <w:rFonts w:eastAsia="Calibri"/>
          <w:vertAlign w:val="superscript"/>
        </w:rPr>
        <w:t>198</w:t>
      </w:r>
      <w:r w:rsidRPr="003B4362">
        <w:rPr>
          <w:rFonts w:eastAsia="Calibri"/>
        </w:rPr>
        <w:t xml:space="preserve">Au)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79</m:t>
            </m:r>
          </m:sub>
          <m:sup>
            <m:r>
              <m:rPr>
                <m:sty m:val="p"/>
              </m:rPr>
              <w:rPr>
                <w:rFonts w:ascii="Cambria Math" w:eastAsia="Calibri" w:hAnsi="Cambria Math"/>
              </w:rPr>
              <m:t>198</m:t>
            </m:r>
          </m:sup>
          <m:e>
            <m:r>
              <m:rPr>
                <m:sty m:val="p"/>
              </m:rPr>
              <w:rPr>
                <w:rFonts w:ascii="Cambria Math" w:eastAsia="Calibri" w:hAnsi="Cambria Math"/>
              </w:rPr>
              <m:t>Au</m:t>
            </m:r>
          </m:e>
        </m:sPre>
        <m:r>
          <w:rPr>
            <w:rFonts w:ascii="Cambria Math" w:eastAsia="Calibri" w:hAnsi="Cambria Math"/>
          </w:rPr>
          <m:t>)</m:t>
        </m:r>
      </m:oMath>
      <w:r w:rsidRPr="003B4362">
        <w:rPr>
          <w:rFonts w:eastAsia="Calibri"/>
        </w:rPr>
        <w:tab/>
        <w:t>100</w:t>
      </w:r>
    </w:p>
    <w:p w14:paraId="5577370E" w14:textId="77777777" w:rsidR="00E1635B" w:rsidRPr="003B4362" w:rsidRDefault="00E1635B" w:rsidP="00E1635B">
      <w:pPr>
        <w:tabs>
          <w:tab w:val="right" w:pos="7920"/>
        </w:tabs>
        <w:spacing w:after="120"/>
        <w:ind w:left="720"/>
        <w:rPr>
          <w:rFonts w:eastAsia="Calibri"/>
        </w:rPr>
      </w:pPr>
      <w:r w:rsidRPr="003B4362">
        <w:rPr>
          <w:rFonts w:eastAsia="Calibri"/>
        </w:rPr>
        <w:t>Gold-199 (</w:t>
      </w:r>
      <w:r w:rsidRPr="003B4362">
        <w:rPr>
          <w:rFonts w:eastAsia="Calibri"/>
          <w:vertAlign w:val="superscript"/>
        </w:rPr>
        <w:t>199</w:t>
      </w:r>
      <w:r w:rsidRPr="003B4362">
        <w:rPr>
          <w:rFonts w:eastAsia="Calibri"/>
        </w:rPr>
        <w:t xml:space="preserve">Au)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79</m:t>
            </m:r>
          </m:sub>
          <m:sup>
            <m:r>
              <m:rPr>
                <m:sty m:val="p"/>
              </m:rPr>
              <w:rPr>
                <w:rFonts w:ascii="Cambria Math" w:eastAsia="Calibri" w:hAnsi="Cambria Math"/>
              </w:rPr>
              <m:t>199</m:t>
            </m:r>
          </m:sup>
          <m:e>
            <m:r>
              <m:rPr>
                <m:sty m:val="p"/>
              </m:rPr>
              <w:rPr>
                <w:rFonts w:ascii="Cambria Math" w:eastAsia="Calibri" w:hAnsi="Cambria Math"/>
              </w:rPr>
              <m:t>Au</m:t>
            </m:r>
          </m:e>
        </m:sPre>
        <m:r>
          <w:rPr>
            <w:rFonts w:ascii="Cambria Math" w:eastAsia="Calibri" w:hAnsi="Cambria Math"/>
          </w:rPr>
          <m:t>)</m:t>
        </m:r>
      </m:oMath>
      <w:r w:rsidRPr="003B4362">
        <w:rPr>
          <w:rFonts w:eastAsia="Calibri"/>
        </w:rPr>
        <w:tab/>
        <w:t>600</w:t>
      </w:r>
    </w:p>
    <w:p w14:paraId="5987F172"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Hafmium-181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72</m:t>
            </m:r>
          </m:sub>
          <m:sup>
            <m:r>
              <m:rPr>
                <m:sty m:val="p"/>
              </m:rPr>
              <w:rPr>
                <w:rFonts w:ascii="Cambria Math" w:eastAsia="Calibri" w:hAnsi="Cambria Math"/>
              </w:rPr>
              <m:t>181</m:t>
            </m:r>
          </m:sup>
          <m:e>
            <m:r>
              <m:rPr>
                <m:sty m:val="p"/>
              </m:rPr>
              <w:rPr>
                <w:rFonts w:ascii="Cambria Math" w:eastAsia="Calibri" w:hAnsi="Cambria Math"/>
              </w:rPr>
              <m:t>Hf</m:t>
            </m:r>
          </m:e>
        </m:sPre>
        <m:r>
          <w:rPr>
            <w:rFonts w:ascii="Cambria Math" w:eastAsia="Calibri" w:hAnsi="Cambria Math"/>
          </w:rPr>
          <m:t>)</m:t>
        </m:r>
      </m:oMath>
      <w:r w:rsidRPr="003B4362">
        <w:rPr>
          <w:rFonts w:eastAsia="Calibri"/>
        </w:rPr>
        <w:tab/>
        <w:t>200</w:t>
      </w:r>
    </w:p>
    <w:p w14:paraId="4F4688B1"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Holmium-166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67</m:t>
            </m:r>
          </m:sub>
          <m:sup>
            <m:r>
              <m:rPr>
                <m:sty m:val="p"/>
              </m:rPr>
              <w:rPr>
                <w:rFonts w:ascii="Cambria Math" w:eastAsia="Calibri" w:hAnsi="Cambria Math"/>
              </w:rPr>
              <m:t>166</m:t>
            </m:r>
          </m:sup>
          <m:e>
            <m:r>
              <m:rPr>
                <m:sty m:val="p"/>
              </m:rPr>
              <w:rPr>
                <w:rFonts w:ascii="Cambria Math" w:eastAsia="Calibri" w:hAnsi="Cambria Math"/>
              </w:rPr>
              <m:t>Ho</m:t>
            </m:r>
          </m:e>
        </m:sPre>
        <m:r>
          <w:rPr>
            <w:rFonts w:ascii="Cambria Math" w:eastAsia="Calibri" w:hAnsi="Cambria Math"/>
          </w:rPr>
          <m:t>)</m:t>
        </m:r>
      </m:oMath>
      <w:r w:rsidRPr="003B4362">
        <w:rPr>
          <w:rFonts w:eastAsia="Calibri"/>
        </w:rPr>
        <w:tab/>
        <w:t>90</w:t>
      </w:r>
    </w:p>
    <w:p w14:paraId="5FF6C5D1"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Hydrogen-3 (Tritium)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m:t>
            </m:r>
          </m:sub>
          <m:sup>
            <m:r>
              <m:rPr>
                <m:sty m:val="p"/>
              </m:rPr>
              <w:rPr>
                <w:rFonts w:ascii="Cambria Math" w:eastAsia="Calibri" w:hAnsi="Cambria Math"/>
              </w:rPr>
              <m:t>3</m:t>
            </m:r>
          </m:sup>
          <m:e>
            <m:r>
              <m:rPr>
                <m:sty m:val="p"/>
              </m:rPr>
              <w:rPr>
                <w:rFonts w:ascii="Cambria Math" w:eastAsia="Calibri" w:hAnsi="Cambria Math"/>
              </w:rPr>
              <m:t>H</m:t>
            </m:r>
          </m:e>
        </m:sPre>
        <m:r>
          <w:rPr>
            <w:rFonts w:ascii="Cambria Math" w:eastAsia="Calibri" w:hAnsi="Cambria Math"/>
          </w:rPr>
          <m:t>)</m:t>
        </m:r>
      </m:oMath>
      <w:r w:rsidRPr="003B4362">
        <w:rPr>
          <w:rFonts w:eastAsia="Calibri"/>
        </w:rPr>
        <w:tab/>
        <w:t>20,000</w:t>
      </w:r>
    </w:p>
    <w:p w14:paraId="190FC2C3" w14:textId="77777777" w:rsidR="00E1635B" w:rsidRPr="003B4362" w:rsidRDefault="00E1635B" w:rsidP="00E1635B">
      <w:pPr>
        <w:tabs>
          <w:tab w:val="right" w:pos="7920"/>
        </w:tabs>
        <w:spacing w:before="120"/>
        <w:ind w:left="720"/>
        <w:rPr>
          <w:rFonts w:eastAsia="Calibri"/>
        </w:rPr>
      </w:pPr>
      <w:r w:rsidRPr="003B4362">
        <w:rPr>
          <w:rFonts w:eastAsia="Calibri"/>
        </w:rPr>
        <w:t xml:space="preserve">Indium-113m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49</m:t>
            </m:r>
          </m:sub>
          <m:sup>
            <m:r>
              <m:rPr>
                <m:sty m:val="p"/>
              </m:rPr>
              <w:rPr>
                <w:rFonts w:ascii="Cambria Math" w:eastAsia="Calibri" w:hAnsi="Cambria Math"/>
              </w:rPr>
              <m:t>113m</m:t>
            </m:r>
          </m:sup>
          <m:e>
            <m:r>
              <m:rPr>
                <m:sty m:val="p"/>
              </m:rPr>
              <w:rPr>
                <w:rFonts w:ascii="Cambria Math" w:eastAsia="Calibri" w:hAnsi="Cambria Math"/>
              </w:rPr>
              <m:t>In</m:t>
            </m:r>
          </m:e>
        </m:sPre>
        <m:r>
          <w:rPr>
            <w:rFonts w:ascii="Cambria Math" w:eastAsia="Calibri" w:hAnsi="Cambria Math"/>
          </w:rPr>
          <m:t>)</m:t>
        </m:r>
      </m:oMath>
      <w:r w:rsidRPr="003B4362">
        <w:rPr>
          <w:rFonts w:eastAsia="Calibri"/>
        </w:rPr>
        <w:tab/>
        <w:t>3,000</w:t>
      </w:r>
    </w:p>
    <w:p w14:paraId="0CAF7288" w14:textId="77777777" w:rsidR="00E1635B" w:rsidRPr="003B4362" w:rsidRDefault="00E1635B" w:rsidP="00E1635B">
      <w:pPr>
        <w:tabs>
          <w:tab w:val="right" w:pos="7920"/>
        </w:tabs>
        <w:ind w:left="720"/>
        <w:rPr>
          <w:rFonts w:eastAsia="Calibri"/>
        </w:rPr>
      </w:pPr>
      <w:r w:rsidRPr="003B4362">
        <w:rPr>
          <w:rFonts w:eastAsia="Calibri"/>
        </w:rPr>
        <w:t xml:space="preserve">Indium-114m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49</m:t>
            </m:r>
          </m:sub>
          <m:sup>
            <m:r>
              <m:rPr>
                <m:sty m:val="p"/>
              </m:rPr>
              <w:rPr>
                <w:rFonts w:ascii="Cambria Math" w:eastAsia="Calibri" w:hAnsi="Cambria Math"/>
              </w:rPr>
              <m:t>114m</m:t>
            </m:r>
          </m:sup>
          <m:e>
            <m:r>
              <m:rPr>
                <m:sty m:val="p"/>
              </m:rPr>
              <w:rPr>
                <w:rFonts w:ascii="Cambria Math" w:eastAsia="Calibri" w:hAnsi="Cambria Math"/>
              </w:rPr>
              <m:t>In</m:t>
            </m:r>
          </m:e>
        </m:sPre>
        <m:r>
          <w:rPr>
            <w:rFonts w:ascii="Cambria Math" w:eastAsia="Calibri" w:hAnsi="Cambria Math"/>
          </w:rPr>
          <m:t>)</m:t>
        </m:r>
      </m:oMath>
      <w:r w:rsidRPr="003B4362">
        <w:rPr>
          <w:rFonts w:eastAsia="Calibri"/>
        </w:rPr>
        <w:tab/>
        <w:t>60</w:t>
      </w:r>
    </w:p>
    <w:p w14:paraId="41C98E05" w14:textId="77777777" w:rsidR="00E1635B" w:rsidRPr="003B4362" w:rsidRDefault="00E1635B" w:rsidP="00E1635B">
      <w:pPr>
        <w:tabs>
          <w:tab w:val="right" w:pos="7920"/>
        </w:tabs>
        <w:ind w:left="720"/>
        <w:rPr>
          <w:rFonts w:eastAsia="Calibri"/>
        </w:rPr>
      </w:pPr>
      <w:r w:rsidRPr="003B4362">
        <w:rPr>
          <w:rFonts w:eastAsia="Calibri"/>
        </w:rPr>
        <w:t xml:space="preserve">Indium-115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49</m:t>
            </m:r>
          </m:sub>
          <m:sup>
            <m:r>
              <m:rPr>
                <m:sty m:val="p"/>
              </m:rPr>
              <w:rPr>
                <w:rFonts w:ascii="Cambria Math" w:eastAsia="Calibri" w:hAnsi="Cambria Math"/>
              </w:rPr>
              <m:t>115</m:t>
            </m:r>
          </m:sup>
          <m:e>
            <m:r>
              <m:rPr>
                <m:sty m:val="p"/>
              </m:rPr>
              <w:rPr>
                <w:rFonts w:ascii="Cambria Math" w:eastAsia="Calibri" w:hAnsi="Cambria Math"/>
              </w:rPr>
              <m:t>In</m:t>
            </m:r>
          </m:e>
        </m:sPre>
        <m:r>
          <w:rPr>
            <w:rFonts w:ascii="Cambria Math" w:eastAsia="Calibri" w:hAnsi="Cambria Math"/>
          </w:rPr>
          <m:t>)</m:t>
        </m:r>
      </m:oMath>
      <w:r w:rsidRPr="003B4362">
        <w:rPr>
          <w:rFonts w:eastAsia="Calibri"/>
        </w:rPr>
        <w:tab/>
        <w:t>300</w:t>
      </w:r>
    </w:p>
    <w:p w14:paraId="6C5A1BA6" w14:textId="77777777" w:rsidR="00E1635B" w:rsidRPr="003B4362" w:rsidRDefault="00E1635B" w:rsidP="00E1635B">
      <w:pPr>
        <w:tabs>
          <w:tab w:val="right" w:pos="7920"/>
        </w:tabs>
        <w:spacing w:after="120"/>
        <w:ind w:left="720"/>
        <w:rPr>
          <w:rFonts w:eastAsia="Calibri"/>
        </w:rPr>
      </w:pPr>
      <w:r w:rsidRPr="003B4362">
        <w:rPr>
          <w:rFonts w:eastAsia="Calibri"/>
        </w:rPr>
        <w:t xml:space="preserve">Indium-115 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49</m:t>
            </m:r>
          </m:sub>
          <m:sup>
            <m:r>
              <m:rPr>
                <m:sty m:val="p"/>
              </m:rPr>
              <w:rPr>
                <w:rFonts w:ascii="Cambria Math" w:eastAsia="Calibri" w:hAnsi="Cambria Math"/>
              </w:rPr>
              <m:t>115m</m:t>
            </m:r>
          </m:sup>
          <m:e>
            <m:r>
              <m:rPr>
                <m:sty m:val="p"/>
              </m:rPr>
              <w:rPr>
                <w:rFonts w:ascii="Cambria Math" w:eastAsia="Calibri" w:hAnsi="Cambria Math"/>
              </w:rPr>
              <m:t>In</m:t>
            </m:r>
          </m:e>
        </m:sPre>
        <m:r>
          <w:rPr>
            <w:rFonts w:ascii="Cambria Math" w:eastAsia="Calibri" w:hAnsi="Cambria Math"/>
          </w:rPr>
          <m:t>)</m:t>
        </m:r>
      </m:oMath>
      <w:r w:rsidRPr="003B4362">
        <w:rPr>
          <w:rFonts w:eastAsia="Calibri"/>
        </w:rPr>
        <w:tab/>
        <w:t>1,000</w:t>
      </w:r>
    </w:p>
    <w:p w14:paraId="57E3943B" w14:textId="77777777" w:rsidR="00E1635B" w:rsidRPr="003B4362" w:rsidRDefault="00E1635B" w:rsidP="00E1635B">
      <w:pPr>
        <w:tabs>
          <w:tab w:val="right" w:pos="7920"/>
        </w:tabs>
        <w:spacing w:before="120"/>
        <w:ind w:left="720"/>
        <w:rPr>
          <w:rFonts w:eastAsia="Calibri"/>
        </w:rPr>
      </w:pPr>
      <w:r w:rsidRPr="003B4362">
        <w:rPr>
          <w:rFonts w:eastAsia="Calibri"/>
        </w:rPr>
        <w:t xml:space="preserve">Iodine-126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126</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3</w:t>
      </w:r>
    </w:p>
    <w:p w14:paraId="50BA8F0C" w14:textId="77777777" w:rsidR="00E1635B" w:rsidRPr="003B4362" w:rsidRDefault="00E1635B" w:rsidP="00E1635B">
      <w:pPr>
        <w:tabs>
          <w:tab w:val="right" w:pos="7920"/>
        </w:tabs>
        <w:ind w:left="720"/>
        <w:rPr>
          <w:rFonts w:eastAsia="Calibri"/>
        </w:rPr>
      </w:pPr>
      <w:r w:rsidRPr="003B4362">
        <w:rPr>
          <w:rFonts w:eastAsia="Calibri"/>
        </w:rPr>
        <w:t xml:space="preserve">Iodine-129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129</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1</w:t>
      </w:r>
    </w:p>
    <w:p w14:paraId="200EA39E" w14:textId="77777777" w:rsidR="00E1635B" w:rsidRPr="003B4362" w:rsidRDefault="00E1635B" w:rsidP="00E1635B">
      <w:pPr>
        <w:tabs>
          <w:tab w:val="right" w:pos="7920"/>
        </w:tabs>
        <w:ind w:left="720"/>
        <w:rPr>
          <w:rFonts w:eastAsia="Calibri"/>
        </w:rPr>
      </w:pPr>
      <w:r w:rsidRPr="003B4362">
        <w:rPr>
          <w:rFonts w:eastAsia="Calibri"/>
        </w:rPr>
        <w:t xml:space="preserve">Iodine-131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131</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3</w:t>
      </w:r>
    </w:p>
    <w:p w14:paraId="6CA79938" w14:textId="77777777" w:rsidR="00E1635B" w:rsidRPr="003B4362" w:rsidRDefault="00E1635B" w:rsidP="00E1635B">
      <w:pPr>
        <w:tabs>
          <w:tab w:val="right" w:pos="7920"/>
        </w:tabs>
        <w:ind w:left="720"/>
        <w:rPr>
          <w:rFonts w:eastAsia="Calibri"/>
        </w:rPr>
      </w:pPr>
      <w:r w:rsidRPr="003B4362">
        <w:rPr>
          <w:rFonts w:eastAsia="Calibri"/>
        </w:rPr>
        <w:t xml:space="preserve">Iodine-132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132</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90</w:t>
      </w:r>
    </w:p>
    <w:p w14:paraId="74ADFBB7" w14:textId="77777777" w:rsidR="00E1635B" w:rsidRPr="003B4362" w:rsidRDefault="00E1635B" w:rsidP="00E1635B">
      <w:pPr>
        <w:tabs>
          <w:tab w:val="right" w:pos="7920"/>
        </w:tabs>
        <w:ind w:left="720"/>
        <w:rPr>
          <w:rFonts w:eastAsia="Calibri"/>
        </w:rPr>
      </w:pPr>
      <w:r w:rsidRPr="003B4362">
        <w:rPr>
          <w:rFonts w:eastAsia="Calibri"/>
        </w:rPr>
        <w:t xml:space="preserve">Iodine-133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133</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10</w:t>
      </w:r>
    </w:p>
    <w:p w14:paraId="519E9DC8" w14:textId="77AAFF86" w:rsidR="00E1635B" w:rsidRPr="003B4362" w:rsidRDefault="00E1635B" w:rsidP="00E1635B">
      <w:pPr>
        <w:tabs>
          <w:tab w:val="right" w:pos="7920"/>
        </w:tabs>
        <w:ind w:left="720"/>
        <w:rPr>
          <w:rFonts w:eastAsia="Calibri"/>
        </w:rPr>
      </w:pPr>
      <w:r w:rsidRPr="003B4362">
        <w:rPr>
          <w:rFonts w:eastAsia="Calibri"/>
        </w:rPr>
        <w:t xml:space="preserve">Iodine-134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134</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100</w:t>
      </w:r>
    </w:p>
    <w:p w14:paraId="4D17D6B3" w14:textId="77777777" w:rsidR="00E1635B" w:rsidRPr="003B4362" w:rsidRDefault="00E1635B" w:rsidP="00E1635B">
      <w:pPr>
        <w:tabs>
          <w:tab w:val="right" w:pos="7920"/>
        </w:tabs>
        <w:spacing w:after="120"/>
        <w:ind w:left="720"/>
        <w:rPr>
          <w:rFonts w:eastAsia="Calibri"/>
        </w:rPr>
      </w:pPr>
      <w:r w:rsidRPr="003B4362">
        <w:rPr>
          <w:rFonts w:eastAsia="Calibri"/>
        </w:rPr>
        <w:t xml:space="preserve">Iodine-135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135</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30</w:t>
      </w:r>
    </w:p>
    <w:p w14:paraId="26947116" w14:textId="77777777" w:rsidR="00E1635B" w:rsidRPr="003B4362" w:rsidRDefault="00E1635B" w:rsidP="00E1635B">
      <w:pPr>
        <w:tabs>
          <w:tab w:val="right" w:pos="7920"/>
        </w:tabs>
        <w:spacing w:before="120"/>
        <w:ind w:left="720"/>
        <w:rPr>
          <w:rFonts w:eastAsia="Calibri"/>
        </w:rPr>
      </w:pPr>
      <w:r w:rsidRPr="003B4362">
        <w:rPr>
          <w:rFonts w:eastAsia="Calibri"/>
        </w:rPr>
        <w:t xml:space="preserve">Iridium-190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77</m:t>
            </m:r>
          </m:sub>
          <m:sup>
            <m:r>
              <m:rPr>
                <m:sty m:val="p"/>
              </m:rPr>
              <w:rPr>
                <w:rFonts w:ascii="Cambria Math" w:eastAsia="Calibri" w:hAnsi="Cambria Math"/>
              </w:rPr>
              <m:t>190</m:t>
            </m:r>
          </m:sup>
          <m:e>
            <m:r>
              <m:rPr>
                <m:sty m:val="p"/>
              </m:rPr>
              <w:rPr>
                <w:rFonts w:ascii="Cambria Math" w:eastAsia="Calibri" w:hAnsi="Cambria Math"/>
              </w:rPr>
              <m:t>Ir</m:t>
            </m:r>
          </m:e>
        </m:sPre>
        <m:r>
          <w:rPr>
            <w:rFonts w:ascii="Cambria Math" w:eastAsia="Calibri" w:hAnsi="Cambria Math"/>
          </w:rPr>
          <m:t>)</m:t>
        </m:r>
      </m:oMath>
      <w:r w:rsidRPr="003B4362">
        <w:rPr>
          <w:rFonts w:eastAsia="Calibri"/>
        </w:rPr>
        <w:tab/>
        <w:t>600</w:t>
      </w:r>
    </w:p>
    <w:p w14:paraId="27C32D97" w14:textId="77777777" w:rsidR="00E1635B" w:rsidRPr="003B4362" w:rsidRDefault="00E1635B" w:rsidP="00E1635B">
      <w:pPr>
        <w:tabs>
          <w:tab w:val="right" w:pos="7920"/>
        </w:tabs>
        <w:ind w:left="720"/>
        <w:rPr>
          <w:rFonts w:eastAsia="Calibri"/>
        </w:rPr>
      </w:pPr>
      <w:r w:rsidRPr="003B4362">
        <w:rPr>
          <w:rFonts w:eastAsia="Calibri"/>
        </w:rPr>
        <w:t xml:space="preserve">Iridium-192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77</m:t>
            </m:r>
          </m:sub>
          <m:sup>
            <m:r>
              <m:rPr>
                <m:sty m:val="p"/>
              </m:rPr>
              <w:rPr>
                <w:rFonts w:ascii="Cambria Math" w:eastAsia="Calibri" w:hAnsi="Cambria Math"/>
              </w:rPr>
              <m:t>192</m:t>
            </m:r>
          </m:sup>
          <m:e>
            <m:r>
              <m:rPr>
                <m:sty m:val="p"/>
              </m:rPr>
              <w:rPr>
                <w:rFonts w:ascii="Cambria Math" w:eastAsia="Calibri" w:hAnsi="Cambria Math"/>
              </w:rPr>
              <m:t>Ir</m:t>
            </m:r>
          </m:e>
        </m:sPre>
        <m:r>
          <w:rPr>
            <w:rFonts w:ascii="Cambria Math" w:eastAsia="Calibri" w:hAnsi="Cambria Math"/>
          </w:rPr>
          <m:t>)</m:t>
        </m:r>
      </m:oMath>
      <w:r w:rsidRPr="003B4362">
        <w:rPr>
          <w:rFonts w:eastAsia="Calibri"/>
        </w:rPr>
        <w:tab/>
        <w:t>100</w:t>
      </w:r>
    </w:p>
    <w:p w14:paraId="05B8B01C" w14:textId="77777777" w:rsidR="00E1635B" w:rsidRPr="003B4362" w:rsidRDefault="00E1635B" w:rsidP="00E1635B">
      <w:pPr>
        <w:tabs>
          <w:tab w:val="right" w:pos="7920"/>
        </w:tabs>
        <w:spacing w:after="120"/>
        <w:ind w:left="720"/>
        <w:rPr>
          <w:rFonts w:eastAsia="Calibri"/>
        </w:rPr>
      </w:pPr>
      <w:r w:rsidRPr="003B4362">
        <w:rPr>
          <w:rFonts w:eastAsia="Calibri"/>
        </w:rPr>
        <w:lastRenderedPageBreak/>
        <w:t xml:space="preserve">Iridium-194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77</m:t>
            </m:r>
          </m:sub>
          <m:sup>
            <m:r>
              <m:rPr>
                <m:sty m:val="p"/>
              </m:rPr>
              <w:rPr>
                <w:rFonts w:ascii="Cambria Math" w:eastAsia="Calibri" w:hAnsi="Cambria Math"/>
              </w:rPr>
              <m:t>194</m:t>
            </m:r>
          </m:sup>
          <m:e>
            <m:r>
              <m:rPr>
                <m:sty m:val="p"/>
              </m:rPr>
              <w:rPr>
                <w:rFonts w:ascii="Cambria Math" w:eastAsia="Calibri" w:hAnsi="Cambria Math"/>
              </w:rPr>
              <m:t>Ir</m:t>
            </m:r>
          </m:e>
        </m:sPre>
        <m:r>
          <w:rPr>
            <w:rFonts w:ascii="Cambria Math" w:eastAsia="Calibri" w:hAnsi="Cambria Math"/>
          </w:rPr>
          <m:t>)</m:t>
        </m:r>
      </m:oMath>
      <w:r w:rsidRPr="003B4362">
        <w:rPr>
          <w:rFonts w:eastAsia="Calibri"/>
        </w:rPr>
        <w:tab/>
        <w:t>90</w:t>
      </w:r>
    </w:p>
    <w:p w14:paraId="1948C2C5" w14:textId="77777777" w:rsidR="00E1635B" w:rsidRPr="003B4362" w:rsidRDefault="00E1635B" w:rsidP="00E1635B">
      <w:pPr>
        <w:tabs>
          <w:tab w:val="right" w:pos="7920"/>
        </w:tabs>
        <w:spacing w:before="120"/>
        <w:ind w:left="720"/>
        <w:rPr>
          <w:rFonts w:eastAsia="Calibri"/>
        </w:rPr>
      </w:pPr>
      <w:r w:rsidRPr="003B4362">
        <w:rPr>
          <w:rFonts w:eastAsia="Calibri"/>
        </w:rPr>
        <w:t xml:space="preserve">Iron-55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26</m:t>
            </m:r>
          </m:sub>
          <m:sup>
            <m:r>
              <m:rPr>
                <m:sty m:val="p"/>
              </m:rPr>
              <w:rPr>
                <w:rFonts w:ascii="Cambria Math" w:eastAsia="Calibri" w:hAnsi="Cambria Math"/>
              </w:rPr>
              <m:t>55</m:t>
            </m:r>
          </m:sup>
          <m:e>
            <m:r>
              <m:rPr>
                <m:sty m:val="p"/>
              </m:rPr>
              <w:rPr>
                <w:rFonts w:ascii="Cambria Math" w:eastAsia="Calibri" w:hAnsi="Cambria Math"/>
              </w:rPr>
              <m:t>Fe</m:t>
            </m:r>
          </m:e>
        </m:sPre>
        <m:r>
          <w:rPr>
            <w:rFonts w:ascii="Cambria Math" w:eastAsia="Calibri" w:hAnsi="Cambria Math"/>
          </w:rPr>
          <m:t>)</m:t>
        </m:r>
      </m:oMath>
      <w:r w:rsidRPr="003B4362">
        <w:rPr>
          <w:rFonts w:eastAsia="Calibri"/>
        </w:rPr>
        <w:tab/>
        <w:t>2,000</w:t>
      </w:r>
    </w:p>
    <w:p w14:paraId="1764B392" w14:textId="77777777" w:rsidR="00E1635B" w:rsidRPr="003B4362" w:rsidRDefault="00E1635B" w:rsidP="00E1635B">
      <w:pPr>
        <w:tabs>
          <w:tab w:val="right" w:pos="7920"/>
        </w:tabs>
        <w:spacing w:after="120"/>
        <w:ind w:left="720"/>
        <w:rPr>
          <w:rFonts w:eastAsia="Calibri"/>
        </w:rPr>
      </w:pPr>
      <w:r w:rsidRPr="003B4362">
        <w:rPr>
          <w:rFonts w:eastAsia="Calibri"/>
        </w:rPr>
        <w:t xml:space="preserve">Iron-59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26</m:t>
            </m:r>
          </m:sub>
          <m:sup>
            <m:r>
              <m:rPr>
                <m:sty m:val="p"/>
              </m:rPr>
              <w:rPr>
                <w:rFonts w:ascii="Cambria Math" w:eastAsia="Calibri" w:hAnsi="Cambria Math"/>
              </w:rPr>
              <m:t>59</m:t>
            </m:r>
          </m:sup>
          <m:e>
            <m:r>
              <m:rPr>
                <m:sty m:val="p"/>
              </m:rPr>
              <w:rPr>
                <w:rFonts w:ascii="Cambria Math" w:eastAsia="Calibri" w:hAnsi="Cambria Math"/>
              </w:rPr>
              <m:t>Fe</m:t>
            </m:r>
          </m:e>
        </m:sPre>
        <m:r>
          <w:rPr>
            <w:rFonts w:ascii="Cambria Math" w:eastAsia="Calibri" w:hAnsi="Cambria Math"/>
          </w:rPr>
          <m:t>)</m:t>
        </m:r>
      </m:oMath>
      <w:r w:rsidRPr="003B4362">
        <w:rPr>
          <w:rFonts w:eastAsia="Calibri"/>
        </w:rPr>
        <w:tab/>
        <w:t>200</w:t>
      </w:r>
    </w:p>
    <w:p w14:paraId="0D499DC4"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Lanthanum-140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57</m:t>
            </m:r>
          </m:sub>
          <m:sup>
            <m:r>
              <m:rPr>
                <m:sty m:val="p"/>
              </m:rPr>
              <w:rPr>
                <w:rFonts w:ascii="Cambria Math" w:eastAsia="Calibri" w:hAnsi="Cambria Math"/>
              </w:rPr>
              <m:t>140</m:t>
            </m:r>
          </m:sup>
          <m:e>
            <m:r>
              <m:rPr>
                <m:sty m:val="p"/>
              </m:rPr>
              <w:rPr>
                <w:rFonts w:ascii="Cambria Math" w:eastAsia="Calibri" w:hAnsi="Cambria Math"/>
              </w:rPr>
              <m:t>La</m:t>
            </m:r>
          </m:e>
        </m:sPre>
        <m:r>
          <w:rPr>
            <w:rFonts w:ascii="Cambria Math" w:eastAsia="Calibri" w:hAnsi="Cambria Math"/>
          </w:rPr>
          <m:t>)</m:t>
        </m:r>
      </m:oMath>
      <w:r w:rsidRPr="003B4362">
        <w:rPr>
          <w:rFonts w:eastAsia="Calibri"/>
        </w:rPr>
        <w:tab/>
        <w:t>60</w:t>
      </w:r>
    </w:p>
    <w:p w14:paraId="5C3624BE"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Lead-203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82</m:t>
            </m:r>
          </m:sub>
          <m:sup>
            <m:r>
              <m:rPr>
                <m:sty m:val="p"/>
              </m:rPr>
              <w:rPr>
                <w:rFonts w:ascii="Cambria Math" w:eastAsia="Calibri" w:hAnsi="Cambria Math"/>
              </w:rPr>
              <m:t>203</m:t>
            </m:r>
          </m:sup>
          <m:e>
            <m:r>
              <m:rPr>
                <m:sty m:val="p"/>
              </m:rPr>
              <w:rPr>
                <w:rFonts w:ascii="Cambria Math" w:eastAsia="Calibri" w:hAnsi="Cambria Math"/>
              </w:rPr>
              <m:t>Pb</m:t>
            </m:r>
          </m:e>
        </m:sPre>
        <m:r>
          <w:rPr>
            <w:rFonts w:ascii="Cambria Math" w:eastAsia="Calibri" w:hAnsi="Cambria Math"/>
          </w:rPr>
          <m:t>)</m:t>
        </m:r>
      </m:oMath>
      <w:r w:rsidRPr="003B4362">
        <w:rPr>
          <w:rFonts w:eastAsia="Calibri"/>
        </w:rPr>
        <w:tab/>
        <w:t>1,000</w:t>
      </w:r>
    </w:p>
    <w:p w14:paraId="242C843D"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Lutetium-177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71</m:t>
            </m:r>
          </m:sub>
          <m:sup>
            <m:r>
              <m:rPr>
                <m:sty m:val="p"/>
              </m:rPr>
              <w:rPr>
                <w:rFonts w:ascii="Cambria Math" w:eastAsia="Calibri" w:hAnsi="Cambria Math"/>
              </w:rPr>
              <m:t>177</m:t>
            </m:r>
          </m:sup>
          <m:e>
            <m:r>
              <m:rPr>
                <m:sty m:val="p"/>
              </m:rPr>
              <w:rPr>
                <w:rFonts w:ascii="Cambria Math" w:eastAsia="Calibri" w:hAnsi="Cambria Math"/>
              </w:rPr>
              <m:t>Lu</m:t>
            </m:r>
          </m:e>
        </m:sPre>
        <m:r>
          <w:rPr>
            <w:rFonts w:ascii="Cambria Math" w:eastAsia="Calibri" w:hAnsi="Cambria Math"/>
          </w:rPr>
          <m:t>)</m:t>
        </m:r>
      </m:oMath>
      <w:r w:rsidRPr="003B4362">
        <w:rPr>
          <w:rFonts w:eastAsia="Calibri"/>
        </w:rPr>
        <w:tab/>
        <w:t>300</w:t>
      </w:r>
    </w:p>
    <w:p w14:paraId="5AD9CB43" w14:textId="77777777" w:rsidR="00E1635B" w:rsidRPr="003B4362" w:rsidRDefault="00E1635B" w:rsidP="00E1635B">
      <w:pPr>
        <w:tabs>
          <w:tab w:val="right" w:pos="7920"/>
        </w:tabs>
        <w:spacing w:before="120"/>
        <w:ind w:left="720"/>
        <w:rPr>
          <w:rFonts w:eastAsia="Calibri"/>
        </w:rPr>
      </w:pPr>
      <w:r w:rsidRPr="003B4362">
        <w:rPr>
          <w:rFonts w:eastAsia="Calibri"/>
        </w:rPr>
        <w:t xml:space="preserve">Manganese-52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25</m:t>
            </m:r>
          </m:sub>
          <m:sup>
            <m:r>
              <m:rPr>
                <m:sty m:val="p"/>
              </m:rPr>
              <w:rPr>
                <w:rFonts w:ascii="Cambria Math" w:eastAsia="Calibri" w:hAnsi="Cambria Math"/>
              </w:rPr>
              <m:t>52</m:t>
            </m:r>
          </m:sup>
          <m:e>
            <m:r>
              <m:rPr>
                <m:sty m:val="p"/>
              </m:rPr>
              <w:rPr>
                <w:rFonts w:ascii="Cambria Math" w:eastAsia="Calibri" w:hAnsi="Cambria Math"/>
              </w:rPr>
              <m:t>Mn</m:t>
            </m:r>
          </m:e>
        </m:sPre>
        <m:r>
          <w:rPr>
            <w:rFonts w:ascii="Cambria Math" w:eastAsia="Calibri" w:hAnsi="Cambria Math"/>
          </w:rPr>
          <m:t>)</m:t>
        </m:r>
      </m:oMath>
      <w:r w:rsidRPr="003B4362">
        <w:rPr>
          <w:rFonts w:eastAsia="Calibri"/>
        </w:rPr>
        <w:tab/>
        <w:t>90</w:t>
      </w:r>
    </w:p>
    <w:p w14:paraId="70579E88" w14:textId="77777777" w:rsidR="00E1635B" w:rsidRPr="003B4362" w:rsidRDefault="00E1635B" w:rsidP="00E1635B">
      <w:pPr>
        <w:tabs>
          <w:tab w:val="right" w:pos="7920"/>
        </w:tabs>
        <w:ind w:left="720"/>
        <w:rPr>
          <w:rFonts w:eastAsia="Calibri"/>
        </w:rPr>
      </w:pPr>
      <w:r w:rsidRPr="003B4362">
        <w:rPr>
          <w:rFonts w:eastAsia="Calibri"/>
        </w:rPr>
        <w:t xml:space="preserve">Manganese-54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25</m:t>
            </m:r>
          </m:sub>
          <m:sup>
            <m:r>
              <m:rPr>
                <m:sty m:val="p"/>
              </m:rPr>
              <w:rPr>
                <w:rFonts w:ascii="Cambria Math" w:eastAsia="Calibri" w:hAnsi="Cambria Math"/>
              </w:rPr>
              <m:t>54</m:t>
            </m:r>
          </m:sup>
          <m:e>
            <m:r>
              <m:rPr>
                <m:sty m:val="p"/>
              </m:rPr>
              <w:rPr>
                <w:rFonts w:ascii="Cambria Math" w:eastAsia="Calibri" w:hAnsi="Cambria Math"/>
              </w:rPr>
              <m:t>Mn</m:t>
            </m:r>
          </m:e>
        </m:sPre>
        <m:r>
          <w:rPr>
            <w:rFonts w:ascii="Cambria Math" w:eastAsia="Calibri" w:hAnsi="Cambria Math"/>
          </w:rPr>
          <m:t>)</m:t>
        </m:r>
      </m:oMath>
      <w:r w:rsidRPr="003B4362">
        <w:rPr>
          <w:rFonts w:eastAsia="Calibri"/>
        </w:rPr>
        <w:tab/>
        <w:t>300</w:t>
      </w:r>
    </w:p>
    <w:p w14:paraId="6C69B566" w14:textId="77777777" w:rsidR="00E1635B" w:rsidRPr="003B4362" w:rsidRDefault="00E1635B" w:rsidP="00E1635B">
      <w:pPr>
        <w:tabs>
          <w:tab w:val="right" w:pos="7920"/>
        </w:tabs>
        <w:spacing w:after="120"/>
        <w:ind w:left="720"/>
        <w:rPr>
          <w:rFonts w:eastAsia="Calibri"/>
        </w:rPr>
      </w:pPr>
      <w:r w:rsidRPr="003B4362">
        <w:rPr>
          <w:rFonts w:eastAsia="Calibri"/>
        </w:rPr>
        <w:t xml:space="preserve">Manganese-56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25</m:t>
            </m:r>
          </m:sub>
          <m:sup>
            <m:r>
              <m:rPr>
                <m:sty m:val="p"/>
              </m:rPr>
              <w:rPr>
                <w:rFonts w:ascii="Cambria Math" w:eastAsia="Calibri" w:hAnsi="Cambria Math"/>
              </w:rPr>
              <m:t>56</m:t>
            </m:r>
          </m:sup>
          <m:e>
            <m:r>
              <m:rPr>
                <m:sty m:val="p"/>
              </m:rPr>
              <w:rPr>
                <w:rFonts w:ascii="Cambria Math" w:eastAsia="Calibri" w:hAnsi="Cambria Math"/>
              </w:rPr>
              <m:t>Mn</m:t>
            </m:r>
          </m:e>
        </m:sPre>
        <m:r>
          <w:rPr>
            <w:rFonts w:ascii="Cambria Math" w:eastAsia="Calibri" w:hAnsi="Cambria Math"/>
          </w:rPr>
          <m:t>)</m:t>
        </m:r>
      </m:oMath>
      <w:r w:rsidRPr="003B4362">
        <w:rPr>
          <w:rFonts w:eastAsia="Calibri"/>
        </w:rPr>
        <w:tab/>
        <w:t>300</w:t>
      </w:r>
    </w:p>
    <w:p w14:paraId="2E60FCC5" w14:textId="77777777" w:rsidR="00E1635B" w:rsidRPr="003B4362" w:rsidRDefault="00E1635B" w:rsidP="00E1635B">
      <w:pPr>
        <w:tabs>
          <w:tab w:val="right" w:pos="7920"/>
        </w:tabs>
        <w:spacing w:before="120"/>
        <w:ind w:left="720"/>
        <w:rPr>
          <w:rFonts w:eastAsia="Calibri"/>
        </w:rPr>
      </w:pPr>
      <w:r w:rsidRPr="003B4362">
        <w:rPr>
          <w:rFonts w:eastAsia="Calibri"/>
        </w:rPr>
        <w:t xml:space="preserve">Mercury-197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80</m:t>
            </m:r>
          </m:sub>
          <m:sup>
            <m:r>
              <m:rPr>
                <m:sty m:val="p"/>
              </m:rPr>
              <w:rPr>
                <w:rFonts w:ascii="Cambria Math" w:eastAsia="Calibri" w:hAnsi="Cambria Math"/>
              </w:rPr>
              <m:t>197</m:t>
            </m:r>
          </m:sup>
          <m:e>
            <m:r>
              <m:rPr>
                <m:sty m:val="p"/>
              </m:rPr>
              <w:rPr>
                <w:rFonts w:ascii="Cambria Math" w:eastAsia="Calibri" w:hAnsi="Cambria Math"/>
              </w:rPr>
              <m:t>Hg</m:t>
            </m:r>
          </m:e>
        </m:sPre>
        <m:r>
          <w:rPr>
            <w:rFonts w:ascii="Cambria Math" w:eastAsia="Calibri" w:hAnsi="Cambria Math"/>
          </w:rPr>
          <m:t>)</m:t>
        </m:r>
      </m:oMath>
      <w:r w:rsidRPr="003B4362">
        <w:rPr>
          <w:rFonts w:eastAsia="Calibri"/>
        </w:rPr>
        <w:tab/>
        <w:t>900</w:t>
      </w:r>
    </w:p>
    <w:p w14:paraId="59CDEF00" w14:textId="77777777" w:rsidR="00E1635B" w:rsidRPr="003B4362" w:rsidRDefault="00E1635B" w:rsidP="00E1635B">
      <w:pPr>
        <w:tabs>
          <w:tab w:val="right" w:pos="7920"/>
        </w:tabs>
        <w:ind w:left="720"/>
        <w:rPr>
          <w:rFonts w:eastAsia="Calibri"/>
        </w:rPr>
      </w:pPr>
      <w:r w:rsidRPr="003B4362">
        <w:rPr>
          <w:rFonts w:eastAsia="Calibri"/>
        </w:rPr>
        <w:t xml:space="preserve">Mercury-197m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80</m:t>
            </m:r>
          </m:sub>
          <m:sup>
            <m:r>
              <m:rPr>
                <m:sty m:val="p"/>
              </m:rPr>
              <w:rPr>
                <w:rFonts w:ascii="Cambria Math" w:eastAsia="Calibri" w:hAnsi="Cambria Math"/>
              </w:rPr>
              <m:t>197m</m:t>
            </m:r>
          </m:sup>
          <m:e>
            <m:r>
              <m:rPr>
                <m:sty m:val="p"/>
              </m:rPr>
              <w:rPr>
                <w:rFonts w:ascii="Cambria Math" w:eastAsia="Calibri" w:hAnsi="Cambria Math"/>
              </w:rPr>
              <m:t>Hg</m:t>
            </m:r>
          </m:e>
        </m:sPre>
        <m:r>
          <w:rPr>
            <w:rFonts w:ascii="Cambria Math" w:eastAsia="Calibri" w:hAnsi="Cambria Math"/>
          </w:rPr>
          <m:t>)</m:t>
        </m:r>
      </m:oMath>
      <w:r w:rsidRPr="003B4362">
        <w:rPr>
          <w:rFonts w:eastAsia="Calibri"/>
        </w:rPr>
        <w:tab/>
        <w:t>600</w:t>
      </w:r>
    </w:p>
    <w:p w14:paraId="4C56C03F" w14:textId="77777777" w:rsidR="00E1635B" w:rsidRPr="003B4362" w:rsidRDefault="00E1635B" w:rsidP="00E1635B">
      <w:pPr>
        <w:tabs>
          <w:tab w:val="right" w:pos="7920"/>
        </w:tabs>
        <w:spacing w:after="120"/>
        <w:ind w:left="720"/>
        <w:rPr>
          <w:rFonts w:eastAsia="Calibri"/>
        </w:rPr>
      </w:pPr>
      <w:r w:rsidRPr="003B4362">
        <w:rPr>
          <w:rFonts w:eastAsia="Calibri"/>
        </w:rPr>
        <w:t xml:space="preserve">Mercury-203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80</m:t>
            </m:r>
          </m:sub>
          <m:sup>
            <m:r>
              <m:rPr>
                <m:sty m:val="p"/>
              </m:rPr>
              <w:rPr>
                <w:rFonts w:ascii="Cambria Math" w:eastAsia="Calibri" w:hAnsi="Cambria Math"/>
              </w:rPr>
              <m:t>203</m:t>
            </m:r>
          </m:sup>
          <m:e>
            <m:r>
              <m:rPr>
                <m:sty m:val="p"/>
              </m:rPr>
              <w:rPr>
                <w:rFonts w:ascii="Cambria Math" w:eastAsia="Calibri" w:hAnsi="Cambria Math"/>
              </w:rPr>
              <m:t>Hg</m:t>
            </m:r>
          </m:e>
        </m:sPre>
        <m:r>
          <w:rPr>
            <w:rFonts w:ascii="Cambria Math" w:eastAsia="Calibri" w:hAnsi="Cambria Math"/>
          </w:rPr>
          <m:t>)</m:t>
        </m:r>
      </m:oMath>
      <w:r w:rsidRPr="003B4362">
        <w:rPr>
          <w:rFonts w:eastAsia="Calibri"/>
        </w:rPr>
        <w:tab/>
        <w:t>60</w:t>
      </w:r>
    </w:p>
    <w:p w14:paraId="371A0448"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Molybdenum-99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42</m:t>
            </m:r>
          </m:sub>
          <m:sup>
            <m:r>
              <m:rPr>
                <m:sty m:val="p"/>
              </m:rPr>
              <w:rPr>
                <w:rFonts w:ascii="Cambria Math" w:eastAsia="Calibri" w:hAnsi="Cambria Math"/>
              </w:rPr>
              <m:t>99</m:t>
            </m:r>
          </m:sup>
          <m:e>
            <m:r>
              <m:rPr>
                <m:sty m:val="p"/>
              </m:rPr>
              <w:rPr>
                <w:rFonts w:ascii="Cambria Math" w:eastAsia="Calibri" w:hAnsi="Cambria Math"/>
              </w:rPr>
              <m:t>Mo</m:t>
            </m:r>
          </m:e>
        </m:sPre>
        <m:r>
          <w:rPr>
            <w:rFonts w:ascii="Cambria Math" w:eastAsia="Calibri" w:hAnsi="Cambria Math"/>
          </w:rPr>
          <m:t>)</m:t>
        </m:r>
      </m:oMath>
      <w:r w:rsidRPr="003B4362">
        <w:rPr>
          <w:rFonts w:eastAsia="Calibri"/>
        </w:rPr>
        <w:tab/>
        <w:t>600</w:t>
      </w:r>
    </w:p>
    <w:p w14:paraId="7C231E5C" w14:textId="77777777" w:rsidR="00E1635B" w:rsidRPr="003B4362" w:rsidRDefault="00E1635B" w:rsidP="00E1635B">
      <w:pPr>
        <w:tabs>
          <w:tab w:val="right" w:pos="7920"/>
        </w:tabs>
        <w:spacing w:before="120"/>
        <w:ind w:left="720"/>
        <w:rPr>
          <w:rFonts w:eastAsia="Calibri"/>
        </w:rPr>
      </w:pPr>
      <w:r w:rsidRPr="003B4362">
        <w:rPr>
          <w:rFonts w:eastAsia="Calibri"/>
        </w:rPr>
        <w:t xml:space="preserve">Neodymium-147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60</m:t>
            </m:r>
          </m:sub>
          <m:sup>
            <m:r>
              <m:rPr>
                <m:sty m:val="p"/>
              </m:rPr>
              <w:rPr>
                <w:rFonts w:ascii="Cambria Math" w:eastAsia="Calibri" w:hAnsi="Cambria Math"/>
              </w:rPr>
              <m:t>147</m:t>
            </m:r>
          </m:sup>
          <m:e>
            <m:r>
              <m:rPr>
                <m:sty m:val="p"/>
              </m:rPr>
              <w:rPr>
                <w:rFonts w:ascii="Cambria Math" w:eastAsia="Calibri" w:hAnsi="Cambria Math"/>
              </w:rPr>
              <m:t>Nd</m:t>
            </m:r>
          </m:e>
        </m:sPre>
        <m:r>
          <w:rPr>
            <w:rFonts w:ascii="Cambria Math" w:eastAsia="Calibri" w:hAnsi="Cambria Math"/>
          </w:rPr>
          <m:t>)</m:t>
        </m:r>
      </m:oMath>
      <w:r w:rsidRPr="003B4362">
        <w:rPr>
          <w:rFonts w:eastAsia="Calibri"/>
        </w:rPr>
        <w:tab/>
        <w:t>200</w:t>
      </w:r>
    </w:p>
    <w:p w14:paraId="6A50B850" w14:textId="77777777" w:rsidR="00E1635B" w:rsidRPr="003B4362" w:rsidRDefault="00E1635B" w:rsidP="00E1635B">
      <w:pPr>
        <w:tabs>
          <w:tab w:val="right" w:pos="7920"/>
        </w:tabs>
        <w:spacing w:after="120"/>
        <w:ind w:left="720"/>
        <w:rPr>
          <w:rFonts w:eastAsia="Calibri"/>
        </w:rPr>
      </w:pPr>
      <w:r w:rsidRPr="003B4362">
        <w:rPr>
          <w:rFonts w:eastAsia="Calibri"/>
        </w:rPr>
        <w:t xml:space="preserve">Neodymium-149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60</m:t>
            </m:r>
          </m:sub>
          <m:sup>
            <m:r>
              <m:rPr>
                <m:sty m:val="p"/>
              </m:rPr>
              <w:rPr>
                <w:rFonts w:ascii="Cambria Math" w:eastAsia="Calibri" w:hAnsi="Cambria Math"/>
              </w:rPr>
              <m:t>149</m:t>
            </m:r>
          </m:sup>
          <m:e>
            <m:r>
              <m:rPr>
                <m:sty m:val="p"/>
              </m:rPr>
              <w:rPr>
                <w:rFonts w:ascii="Cambria Math" w:eastAsia="Calibri" w:hAnsi="Cambria Math"/>
              </w:rPr>
              <m:t>Nd</m:t>
            </m:r>
          </m:e>
        </m:sPre>
        <m:r>
          <w:rPr>
            <w:rFonts w:ascii="Cambria Math" w:eastAsia="Calibri" w:hAnsi="Cambria Math"/>
          </w:rPr>
          <m:t>)</m:t>
        </m:r>
      </m:oMath>
      <w:r w:rsidRPr="003B4362">
        <w:rPr>
          <w:rFonts w:eastAsia="Calibri"/>
        </w:rPr>
        <w:tab/>
        <w:t>900</w:t>
      </w:r>
    </w:p>
    <w:p w14:paraId="35BBCFDF"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Neptunium-239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93</m:t>
            </m:r>
          </m:sub>
          <m:sup>
            <m:r>
              <m:rPr>
                <m:sty m:val="p"/>
              </m:rPr>
              <w:rPr>
                <w:rFonts w:ascii="Cambria Math" w:eastAsia="Calibri" w:hAnsi="Cambria Math"/>
              </w:rPr>
              <m:t>239</m:t>
            </m:r>
          </m:sup>
          <m:e>
            <m:r>
              <m:rPr>
                <m:sty m:val="p"/>
              </m:rPr>
              <w:rPr>
                <w:rFonts w:ascii="Cambria Math" w:eastAsia="Calibri" w:hAnsi="Cambria Math"/>
              </w:rPr>
              <m:t>Np</m:t>
            </m:r>
          </m:e>
        </m:sPre>
        <m:r>
          <w:rPr>
            <w:rFonts w:ascii="Cambria Math" w:eastAsia="Calibri" w:hAnsi="Cambria Math"/>
          </w:rPr>
          <m:t>)</m:t>
        </m:r>
      </m:oMath>
      <w:r w:rsidRPr="003B4362">
        <w:rPr>
          <w:rFonts w:eastAsia="Calibri"/>
        </w:rPr>
        <w:tab/>
        <w:t>300</w:t>
      </w:r>
    </w:p>
    <w:p w14:paraId="01226CB1" w14:textId="77777777" w:rsidR="00E1635B" w:rsidRPr="003B4362" w:rsidRDefault="00E1635B" w:rsidP="00E1635B">
      <w:pPr>
        <w:tabs>
          <w:tab w:val="right" w:pos="7920"/>
        </w:tabs>
        <w:spacing w:before="120"/>
        <w:ind w:left="720"/>
        <w:rPr>
          <w:rFonts w:eastAsia="Calibri"/>
        </w:rPr>
      </w:pPr>
      <w:r w:rsidRPr="003B4362">
        <w:rPr>
          <w:rFonts w:eastAsia="Calibri"/>
        </w:rPr>
        <w:t xml:space="preserve">Nickel-59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28</m:t>
            </m:r>
          </m:sub>
          <m:sup>
            <m:r>
              <m:rPr>
                <m:sty m:val="p"/>
              </m:rPr>
              <w:rPr>
                <w:rFonts w:ascii="Cambria Math" w:eastAsia="Calibri" w:hAnsi="Cambria Math"/>
              </w:rPr>
              <m:t>59</m:t>
            </m:r>
          </m:sup>
          <m:e>
            <m:r>
              <m:rPr>
                <m:sty m:val="p"/>
              </m:rPr>
              <w:rPr>
                <w:rFonts w:ascii="Cambria Math" w:eastAsia="Calibri" w:hAnsi="Cambria Math"/>
              </w:rPr>
              <m:t>Ni</m:t>
            </m:r>
          </m:e>
        </m:sPre>
        <m:r>
          <w:rPr>
            <w:rFonts w:ascii="Cambria Math" w:eastAsia="Calibri" w:hAnsi="Cambria Math"/>
          </w:rPr>
          <m:t>)</m:t>
        </m:r>
      </m:oMath>
      <w:r w:rsidRPr="003B4362">
        <w:rPr>
          <w:rFonts w:eastAsia="Calibri"/>
        </w:rPr>
        <w:tab/>
        <w:t>300</w:t>
      </w:r>
    </w:p>
    <w:p w14:paraId="20B06B24" w14:textId="77777777" w:rsidR="00E1635B" w:rsidRPr="003B4362" w:rsidRDefault="00E1635B" w:rsidP="00E1635B">
      <w:pPr>
        <w:tabs>
          <w:tab w:val="right" w:pos="7920"/>
        </w:tabs>
        <w:ind w:left="720"/>
        <w:rPr>
          <w:rFonts w:eastAsia="Calibri"/>
        </w:rPr>
      </w:pPr>
      <w:r w:rsidRPr="003B4362">
        <w:rPr>
          <w:rFonts w:eastAsia="Calibri"/>
        </w:rPr>
        <w:t xml:space="preserve">Nickel-63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28</m:t>
            </m:r>
          </m:sub>
          <m:sup>
            <m:r>
              <m:rPr>
                <m:sty m:val="p"/>
              </m:rPr>
              <w:rPr>
                <w:rFonts w:ascii="Cambria Math" w:eastAsia="Calibri" w:hAnsi="Cambria Math"/>
              </w:rPr>
              <m:t>63</m:t>
            </m:r>
          </m:sup>
          <m:e>
            <m:r>
              <m:rPr>
                <m:sty m:val="p"/>
              </m:rPr>
              <w:rPr>
                <w:rFonts w:ascii="Cambria Math" w:eastAsia="Calibri" w:hAnsi="Cambria Math"/>
              </w:rPr>
              <m:t>Ni</m:t>
            </m:r>
          </m:e>
        </m:sPre>
        <m:r>
          <w:rPr>
            <w:rFonts w:ascii="Cambria Math" w:eastAsia="Calibri" w:hAnsi="Cambria Math"/>
          </w:rPr>
          <m:t>)</m:t>
        </m:r>
      </m:oMath>
      <w:r w:rsidRPr="003B4362">
        <w:rPr>
          <w:rFonts w:eastAsia="Calibri"/>
        </w:rPr>
        <w:tab/>
        <w:t>50</w:t>
      </w:r>
    </w:p>
    <w:p w14:paraId="2B0AF755" w14:textId="77777777" w:rsidR="00E1635B" w:rsidRPr="003B4362" w:rsidRDefault="00E1635B" w:rsidP="00E1635B">
      <w:pPr>
        <w:tabs>
          <w:tab w:val="right" w:pos="7920"/>
        </w:tabs>
        <w:spacing w:after="120"/>
        <w:ind w:left="720"/>
        <w:rPr>
          <w:rFonts w:eastAsia="Calibri"/>
        </w:rPr>
      </w:pPr>
      <w:r w:rsidRPr="003B4362">
        <w:rPr>
          <w:rFonts w:eastAsia="Calibri"/>
        </w:rPr>
        <w:t xml:space="preserve">Nickel-65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28</m:t>
            </m:r>
          </m:sub>
          <m:sup>
            <m:r>
              <m:rPr>
                <m:sty m:val="p"/>
              </m:rPr>
              <w:rPr>
                <w:rFonts w:ascii="Cambria Math" w:eastAsia="Calibri" w:hAnsi="Cambria Math"/>
              </w:rPr>
              <m:t>65</m:t>
            </m:r>
          </m:sup>
          <m:e>
            <m:r>
              <m:rPr>
                <m:sty m:val="p"/>
              </m:rPr>
              <w:rPr>
                <w:rFonts w:ascii="Cambria Math" w:eastAsia="Calibri" w:hAnsi="Cambria Math"/>
              </w:rPr>
              <m:t>Ni</m:t>
            </m:r>
          </m:e>
        </m:sPre>
        <m:r>
          <w:rPr>
            <w:rFonts w:ascii="Cambria Math" w:eastAsia="Calibri" w:hAnsi="Cambria Math"/>
          </w:rPr>
          <m:t>)</m:t>
        </m:r>
      </m:oMath>
      <w:r w:rsidRPr="003B4362">
        <w:rPr>
          <w:rFonts w:eastAsia="Calibri"/>
        </w:rPr>
        <w:tab/>
        <w:t>300</w:t>
      </w:r>
    </w:p>
    <w:p w14:paraId="5EBF4025" w14:textId="77777777" w:rsidR="00E1635B" w:rsidRPr="003B4362" w:rsidRDefault="00E1635B" w:rsidP="00E1635B">
      <w:pPr>
        <w:tabs>
          <w:tab w:val="right" w:pos="7920"/>
        </w:tabs>
        <w:spacing w:before="120"/>
        <w:ind w:left="720"/>
        <w:rPr>
          <w:rFonts w:eastAsia="Calibri"/>
        </w:rPr>
      </w:pPr>
      <w:r w:rsidRPr="003B4362">
        <w:rPr>
          <w:rFonts w:eastAsia="Calibri"/>
        </w:rPr>
        <w:t xml:space="preserve">Niobium-93m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41</m:t>
            </m:r>
          </m:sub>
          <m:sup>
            <m:r>
              <m:rPr>
                <m:sty m:val="p"/>
              </m:rPr>
              <w:rPr>
                <w:rFonts w:ascii="Cambria Math" w:eastAsia="Calibri" w:hAnsi="Cambria Math"/>
              </w:rPr>
              <m:t>93m</m:t>
            </m:r>
          </m:sup>
          <m:e>
            <m:r>
              <m:rPr>
                <m:sty m:val="p"/>
              </m:rPr>
              <w:rPr>
                <w:rFonts w:ascii="Cambria Math" w:eastAsia="Calibri" w:hAnsi="Cambria Math"/>
              </w:rPr>
              <m:t>Nb</m:t>
            </m:r>
          </m:e>
        </m:sPre>
        <m:r>
          <w:rPr>
            <w:rFonts w:ascii="Cambria Math" w:eastAsia="Calibri" w:hAnsi="Cambria Math"/>
          </w:rPr>
          <m:t>)</m:t>
        </m:r>
      </m:oMath>
      <w:r w:rsidRPr="003B4362">
        <w:rPr>
          <w:rFonts w:eastAsia="Calibri"/>
        </w:rPr>
        <w:tab/>
        <w:t>1,000</w:t>
      </w:r>
    </w:p>
    <w:p w14:paraId="6A0CBFD7" w14:textId="77777777" w:rsidR="00E1635B" w:rsidRPr="003B4362" w:rsidRDefault="00E1635B" w:rsidP="00E1635B">
      <w:pPr>
        <w:tabs>
          <w:tab w:val="right" w:pos="7920"/>
        </w:tabs>
        <w:ind w:left="720"/>
        <w:rPr>
          <w:rFonts w:eastAsia="Calibri"/>
        </w:rPr>
      </w:pPr>
      <w:r w:rsidRPr="003B4362">
        <w:rPr>
          <w:rFonts w:eastAsia="Calibri"/>
        </w:rPr>
        <w:t xml:space="preserve">Niobium-95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41</m:t>
            </m:r>
          </m:sub>
          <m:sup>
            <m:r>
              <m:rPr>
                <m:sty m:val="p"/>
              </m:rPr>
              <w:rPr>
                <w:rFonts w:ascii="Cambria Math" w:eastAsia="Calibri" w:hAnsi="Cambria Math"/>
              </w:rPr>
              <m:t>95</m:t>
            </m:r>
          </m:sup>
          <m:e>
            <m:r>
              <m:rPr>
                <m:sty m:val="p"/>
              </m:rPr>
              <w:rPr>
                <w:rFonts w:ascii="Cambria Math" w:eastAsia="Calibri" w:hAnsi="Cambria Math"/>
              </w:rPr>
              <m:t>Nb</m:t>
            </m:r>
          </m:e>
        </m:sPre>
        <m:r>
          <w:rPr>
            <w:rFonts w:ascii="Cambria Math" w:eastAsia="Calibri" w:hAnsi="Cambria Math"/>
          </w:rPr>
          <m:t>)</m:t>
        </m:r>
      </m:oMath>
      <w:r w:rsidRPr="003B4362">
        <w:rPr>
          <w:rFonts w:eastAsia="Calibri"/>
        </w:rPr>
        <w:tab/>
        <w:t>300</w:t>
      </w:r>
    </w:p>
    <w:p w14:paraId="06288EF3" w14:textId="77777777" w:rsidR="00E1635B" w:rsidRPr="003B4362" w:rsidRDefault="00E1635B" w:rsidP="00E1635B">
      <w:pPr>
        <w:tabs>
          <w:tab w:val="right" w:pos="7920"/>
        </w:tabs>
        <w:spacing w:after="120"/>
        <w:ind w:left="720"/>
        <w:rPr>
          <w:rFonts w:eastAsia="Calibri"/>
        </w:rPr>
      </w:pPr>
      <w:r w:rsidRPr="003B4362">
        <w:rPr>
          <w:rFonts w:eastAsia="Calibri"/>
        </w:rPr>
        <w:t xml:space="preserve">Niobium-97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41</m:t>
            </m:r>
          </m:sub>
          <m:sup>
            <m:r>
              <m:rPr>
                <m:sty m:val="p"/>
              </m:rPr>
              <w:rPr>
                <w:rFonts w:ascii="Cambria Math" w:eastAsia="Calibri" w:hAnsi="Cambria Math"/>
              </w:rPr>
              <m:t>97</m:t>
            </m:r>
          </m:sup>
          <m:e>
            <m:r>
              <m:rPr>
                <m:sty m:val="p"/>
              </m:rPr>
              <w:rPr>
                <w:rFonts w:ascii="Cambria Math" w:eastAsia="Calibri" w:hAnsi="Cambria Math"/>
              </w:rPr>
              <m:t>Nb</m:t>
            </m:r>
          </m:e>
        </m:sPre>
        <m:r>
          <w:rPr>
            <w:rFonts w:ascii="Cambria Math" w:eastAsia="Calibri" w:hAnsi="Cambria Math"/>
          </w:rPr>
          <m:t>)</m:t>
        </m:r>
      </m:oMath>
      <w:r w:rsidRPr="003B4362">
        <w:rPr>
          <w:rFonts w:eastAsia="Calibri"/>
        </w:rPr>
        <w:tab/>
        <w:t>3,000</w:t>
      </w:r>
    </w:p>
    <w:p w14:paraId="5D00ACB5" w14:textId="77777777" w:rsidR="00E1635B" w:rsidRPr="003B4362" w:rsidRDefault="00E1635B" w:rsidP="00E1635B">
      <w:pPr>
        <w:tabs>
          <w:tab w:val="right" w:pos="7920"/>
        </w:tabs>
        <w:spacing w:before="120"/>
        <w:ind w:left="720"/>
        <w:rPr>
          <w:rFonts w:eastAsia="Calibri"/>
        </w:rPr>
      </w:pPr>
      <w:r w:rsidRPr="003B4362">
        <w:rPr>
          <w:rFonts w:eastAsia="Calibri"/>
        </w:rPr>
        <w:t xml:space="preserve">Osmium-185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76</m:t>
            </m:r>
          </m:sub>
          <m:sup>
            <m:r>
              <m:rPr>
                <m:sty m:val="p"/>
              </m:rPr>
              <w:rPr>
                <w:rFonts w:ascii="Cambria Math" w:eastAsia="Calibri" w:hAnsi="Cambria Math"/>
              </w:rPr>
              <m:t>185</m:t>
            </m:r>
          </m:sup>
          <m:e>
            <m:r>
              <m:rPr>
                <m:sty m:val="p"/>
              </m:rPr>
              <w:rPr>
                <w:rFonts w:ascii="Cambria Math" w:eastAsia="Calibri" w:hAnsi="Cambria Math"/>
              </w:rPr>
              <m:t>Os</m:t>
            </m:r>
          </m:e>
        </m:sPre>
        <m:r>
          <w:rPr>
            <w:rFonts w:ascii="Cambria Math" w:eastAsia="Calibri" w:hAnsi="Cambria Math"/>
          </w:rPr>
          <m:t>)</m:t>
        </m:r>
      </m:oMath>
      <w:r w:rsidRPr="003B4362">
        <w:rPr>
          <w:rFonts w:eastAsia="Calibri"/>
        </w:rPr>
        <w:tab/>
        <w:t>200</w:t>
      </w:r>
    </w:p>
    <w:p w14:paraId="7DEE90F0" w14:textId="77777777" w:rsidR="00E1635B" w:rsidRPr="003B4362" w:rsidRDefault="00E1635B" w:rsidP="00E1635B">
      <w:pPr>
        <w:tabs>
          <w:tab w:val="right" w:pos="7920"/>
        </w:tabs>
        <w:ind w:left="720"/>
        <w:rPr>
          <w:rFonts w:eastAsia="Calibri"/>
        </w:rPr>
      </w:pPr>
      <w:r w:rsidRPr="003B4362">
        <w:rPr>
          <w:rFonts w:eastAsia="Calibri"/>
        </w:rPr>
        <w:t xml:space="preserve">Osmium-191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76</m:t>
            </m:r>
          </m:sub>
          <m:sup>
            <m:r>
              <m:rPr>
                <m:sty m:val="p"/>
              </m:rPr>
              <w:rPr>
                <w:rFonts w:ascii="Cambria Math" w:eastAsia="Calibri" w:hAnsi="Cambria Math"/>
              </w:rPr>
              <m:t>191</m:t>
            </m:r>
          </m:sup>
          <m:e>
            <m:r>
              <m:rPr>
                <m:sty m:val="p"/>
              </m:rPr>
              <w:rPr>
                <w:rFonts w:ascii="Cambria Math" w:eastAsia="Calibri" w:hAnsi="Cambria Math"/>
              </w:rPr>
              <m:t>Os</m:t>
            </m:r>
          </m:e>
        </m:sPre>
        <m:r>
          <w:rPr>
            <w:rFonts w:ascii="Cambria Math" w:eastAsia="Calibri" w:hAnsi="Cambria Math"/>
          </w:rPr>
          <m:t>)</m:t>
        </m:r>
      </m:oMath>
      <w:r w:rsidRPr="003B4362">
        <w:rPr>
          <w:rFonts w:eastAsia="Calibri"/>
        </w:rPr>
        <w:tab/>
        <w:t>600</w:t>
      </w:r>
    </w:p>
    <w:p w14:paraId="443B4AB0" w14:textId="77777777" w:rsidR="00E1635B" w:rsidRPr="003B4362" w:rsidRDefault="00E1635B" w:rsidP="00E1635B">
      <w:pPr>
        <w:tabs>
          <w:tab w:val="right" w:pos="7920"/>
        </w:tabs>
        <w:ind w:left="720"/>
        <w:rPr>
          <w:rFonts w:eastAsia="Calibri"/>
        </w:rPr>
      </w:pPr>
      <w:r w:rsidRPr="003B4362">
        <w:rPr>
          <w:rFonts w:eastAsia="Calibri"/>
        </w:rPr>
        <w:t xml:space="preserve">Osmium-191m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76</m:t>
            </m:r>
          </m:sub>
          <m:sup>
            <m:r>
              <m:rPr>
                <m:sty m:val="p"/>
              </m:rPr>
              <w:rPr>
                <w:rFonts w:ascii="Cambria Math" w:eastAsia="Calibri" w:hAnsi="Cambria Math"/>
              </w:rPr>
              <m:t>191m</m:t>
            </m:r>
          </m:sup>
          <m:e>
            <m:r>
              <m:rPr>
                <m:sty m:val="p"/>
              </m:rPr>
              <w:rPr>
                <w:rFonts w:ascii="Cambria Math" w:eastAsia="Calibri" w:hAnsi="Cambria Math"/>
              </w:rPr>
              <m:t>Os</m:t>
            </m:r>
          </m:e>
        </m:sPre>
        <m:r>
          <w:rPr>
            <w:rFonts w:ascii="Cambria Math" w:eastAsia="Calibri" w:hAnsi="Cambria Math"/>
          </w:rPr>
          <m:t>)</m:t>
        </m:r>
      </m:oMath>
      <w:r w:rsidRPr="003B4362">
        <w:rPr>
          <w:rFonts w:eastAsia="Calibri"/>
        </w:rPr>
        <w:tab/>
        <w:t>9,000</w:t>
      </w:r>
    </w:p>
    <w:p w14:paraId="31AD1363" w14:textId="77777777" w:rsidR="00E1635B" w:rsidRPr="003B4362" w:rsidRDefault="00E1635B" w:rsidP="00E1635B">
      <w:pPr>
        <w:tabs>
          <w:tab w:val="right" w:pos="7920"/>
        </w:tabs>
        <w:spacing w:after="120"/>
        <w:ind w:left="720"/>
        <w:rPr>
          <w:rFonts w:eastAsia="Calibri"/>
        </w:rPr>
      </w:pPr>
      <w:r w:rsidRPr="003B4362">
        <w:rPr>
          <w:rFonts w:eastAsia="Calibri"/>
        </w:rPr>
        <w:t xml:space="preserve">Osmium-193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76</m:t>
            </m:r>
          </m:sub>
          <m:sup>
            <m:r>
              <m:rPr>
                <m:sty m:val="p"/>
              </m:rPr>
              <w:rPr>
                <w:rFonts w:ascii="Cambria Math" w:eastAsia="Calibri" w:hAnsi="Cambria Math"/>
              </w:rPr>
              <m:t>193</m:t>
            </m:r>
          </m:sup>
          <m:e>
            <m:r>
              <m:rPr>
                <m:sty m:val="p"/>
              </m:rPr>
              <w:rPr>
                <w:rFonts w:ascii="Cambria Math" w:eastAsia="Calibri" w:hAnsi="Cambria Math"/>
              </w:rPr>
              <m:t>Os</m:t>
            </m:r>
          </m:e>
        </m:sPre>
        <m:r>
          <w:rPr>
            <w:rFonts w:ascii="Cambria Math" w:eastAsia="Calibri" w:hAnsi="Cambria Math"/>
          </w:rPr>
          <m:t>)</m:t>
        </m:r>
      </m:oMath>
      <w:r w:rsidRPr="003B4362">
        <w:rPr>
          <w:rFonts w:eastAsia="Calibri"/>
        </w:rPr>
        <w:tab/>
        <w:t>200</w:t>
      </w:r>
    </w:p>
    <w:p w14:paraId="57CD8173" w14:textId="77777777" w:rsidR="00E1635B" w:rsidRPr="003B4362" w:rsidRDefault="00E1635B" w:rsidP="00E1635B">
      <w:pPr>
        <w:tabs>
          <w:tab w:val="right" w:pos="7920"/>
        </w:tabs>
        <w:spacing w:before="120"/>
        <w:ind w:left="720"/>
        <w:rPr>
          <w:rFonts w:eastAsia="Calibri"/>
        </w:rPr>
      </w:pPr>
      <w:r w:rsidRPr="003B4362">
        <w:rPr>
          <w:rFonts w:eastAsia="Calibri"/>
        </w:rPr>
        <w:t xml:space="preserve">Palladium-103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46</m:t>
            </m:r>
          </m:sub>
          <m:sup>
            <m:r>
              <m:rPr>
                <m:sty m:val="p"/>
              </m:rPr>
              <w:rPr>
                <w:rFonts w:ascii="Cambria Math" w:eastAsia="Calibri" w:hAnsi="Cambria Math"/>
              </w:rPr>
              <m:t>103</m:t>
            </m:r>
          </m:sup>
          <m:e>
            <m:r>
              <m:rPr>
                <m:sty m:val="p"/>
              </m:rPr>
              <w:rPr>
                <w:rFonts w:ascii="Cambria Math" w:eastAsia="Calibri" w:hAnsi="Cambria Math"/>
              </w:rPr>
              <m:t>Pd</m:t>
            </m:r>
          </m:e>
        </m:sPre>
        <m:r>
          <w:rPr>
            <w:rFonts w:ascii="Cambria Math" w:eastAsia="Calibri" w:hAnsi="Cambria Math"/>
          </w:rPr>
          <m:t>)</m:t>
        </m:r>
      </m:oMath>
      <w:r w:rsidRPr="003B4362">
        <w:rPr>
          <w:rFonts w:eastAsia="Calibri"/>
        </w:rPr>
        <w:tab/>
        <w:t>900</w:t>
      </w:r>
    </w:p>
    <w:p w14:paraId="01EBF35F" w14:textId="77777777" w:rsidR="00E1635B" w:rsidRPr="003B4362" w:rsidRDefault="00E1635B" w:rsidP="00E1635B">
      <w:pPr>
        <w:tabs>
          <w:tab w:val="right" w:pos="7920"/>
        </w:tabs>
        <w:spacing w:after="120"/>
        <w:ind w:left="720"/>
        <w:rPr>
          <w:rFonts w:eastAsia="Calibri"/>
        </w:rPr>
      </w:pPr>
      <w:r w:rsidRPr="003B4362">
        <w:rPr>
          <w:rFonts w:eastAsia="Calibri"/>
        </w:rPr>
        <w:t xml:space="preserve">Palladium-109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46</m:t>
            </m:r>
          </m:sub>
          <m:sup>
            <m:r>
              <m:rPr>
                <m:sty m:val="p"/>
              </m:rPr>
              <w:rPr>
                <w:rFonts w:ascii="Cambria Math" w:eastAsia="Calibri" w:hAnsi="Cambria Math"/>
              </w:rPr>
              <m:t>109</m:t>
            </m:r>
          </m:sup>
          <m:e>
            <m:r>
              <m:rPr>
                <m:sty m:val="p"/>
              </m:rPr>
              <w:rPr>
                <w:rFonts w:ascii="Cambria Math" w:eastAsia="Calibri" w:hAnsi="Cambria Math"/>
              </w:rPr>
              <m:t>Pd</m:t>
            </m:r>
          </m:e>
        </m:sPre>
        <m:r>
          <w:rPr>
            <w:rFonts w:ascii="Cambria Math" w:eastAsia="Calibri" w:hAnsi="Cambria Math"/>
          </w:rPr>
          <m:t>)</m:t>
        </m:r>
      </m:oMath>
      <w:r w:rsidRPr="003B4362">
        <w:rPr>
          <w:rFonts w:eastAsia="Calibri"/>
        </w:rPr>
        <w:tab/>
        <w:t>300</w:t>
      </w:r>
    </w:p>
    <w:p w14:paraId="53E427C7"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Phosphorus-32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15</m:t>
            </m:r>
          </m:sub>
          <m:sup>
            <m:r>
              <m:rPr>
                <m:sty m:val="p"/>
              </m:rPr>
              <w:rPr>
                <w:rFonts w:ascii="Cambria Math" w:eastAsia="Calibri" w:hAnsi="Cambria Math"/>
              </w:rPr>
              <m:t>32</m:t>
            </m:r>
          </m:sup>
          <m:e>
            <m:r>
              <m:rPr>
                <m:sty m:val="p"/>
              </m:rPr>
              <w:rPr>
                <w:rFonts w:ascii="Cambria Math" w:eastAsia="Calibri" w:hAnsi="Cambria Math"/>
              </w:rPr>
              <m:t>Pd</m:t>
            </m:r>
          </m:e>
        </m:sPre>
        <m:r>
          <w:rPr>
            <w:rFonts w:ascii="Cambria Math" w:eastAsia="Calibri" w:hAnsi="Cambria Math"/>
          </w:rPr>
          <m:t>)</m:t>
        </m:r>
      </m:oMath>
      <w:r w:rsidRPr="003B4362">
        <w:rPr>
          <w:rFonts w:eastAsia="Calibri"/>
        </w:rPr>
        <w:tab/>
        <w:t>30</w:t>
      </w:r>
    </w:p>
    <w:p w14:paraId="72D6D3D6" w14:textId="77777777" w:rsidR="00E1635B" w:rsidRPr="003B4362" w:rsidRDefault="00E1635B" w:rsidP="00E1635B">
      <w:pPr>
        <w:tabs>
          <w:tab w:val="right" w:pos="7920"/>
        </w:tabs>
        <w:spacing w:before="120"/>
        <w:ind w:left="720"/>
        <w:rPr>
          <w:rFonts w:eastAsia="Calibri"/>
        </w:rPr>
      </w:pPr>
      <w:r w:rsidRPr="003B4362">
        <w:rPr>
          <w:rFonts w:eastAsia="Calibri"/>
        </w:rPr>
        <w:t xml:space="preserve">Platinum-191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191</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w:t>
      </w:r>
    </w:p>
    <w:p w14:paraId="3689A1B8" w14:textId="77777777" w:rsidR="00E1635B" w:rsidRPr="003B4362" w:rsidRDefault="00E1635B" w:rsidP="00E1635B">
      <w:pPr>
        <w:tabs>
          <w:tab w:val="right" w:pos="7920"/>
        </w:tabs>
        <w:ind w:left="720"/>
        <w:rPr>
          <w:rFonts w:eastAsia="Calibri"/>
        </w:rPr>
      </w:pPr>
      <w:r w:rsidRPr="003B4362">
        <w:rPr>
          <w:rFonts w:eastAsia="Calibri"/>
        </w:rPr>
        <w:t xml:space="preserve">Platinum-193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193</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3,000</w:t>
      </w:r>
    </w:p>
    <w:p w14:paraId="590DD5C0" w14:textId="77777777" w:rsidR="00E1635B" w:rsidRPr="003B4362" w:rsidRDefault="00E1635B" w:rsidP="00E1635B">
      <w:pPr>
        <w:tabs>
          <w:tab w:val="right" w:pos="7920"/>
        </w:tabs>
        <w:ind w:left="720"/>
        <w:rPr>
          <w:rFonts w:eastAsia="Calibri"/>
        </w:rPr>
      </w:pPr>
      <w:r w:rsidRPr="003B4362">
        <w:rPr>
          <w:rFonts w:eastAsia="Calibri"/>
        </w:rPr>
        <w:t xml:space="preserve">Platinum-193m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193m</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3,000</w:t>
      </w:r>
    </w:p>
    <w:p w14:paraId="02CE12A7" w14:textId="77777777" w:rsidR="00E1635B" w:rsidRPr="003B4362" w:rsidRDefault="00E1635B" w:rsidP="00E1635B">
      <w:pPr>
        <w:tabs>
          <w:tab w:val="right" w:pos="7920"/>
        </w:tabs>
        <w:ind w:left="720"/>
        <w:rPr>
          <w:rFonts w:eastAsia="Calibri"/>
        </w:rPr>
      </w:pPr>
      <w:r w:rsidRPr="003B4362">
        <w:rPr>
          <w:rFonts w:eastAsia="Calibri"/>
        </w:rPr>
        <w:t xml:space="preserve">Platinum-197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197</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w:t>
      </w:r>
    </w:p>
    <w:p w14:paraId="36AE335C" w14:textId="77777777" w:rsidR="00E1635B" w:rsidRPr="003B4362" w:rsidRDefault="00E1635B" w:rsidP="00E1635B">
      <w:pPr>
        <w:tabs>
          <w:tab w:val="right" w:pos="7920"/>
        </w:tabs>
        <w:spacing w:after="120"/>
        <w:ind w:left="720"/>
        <w:rPr>
          <w:rFonts w:eastAsia="Calibri"/>
        </w:rPr>
      </w:pPr>
      <w:r w:rsidRPr="003B4362">
        <w:rPr>
          <w:rFonts w:eastAsia="Calibri"/>
        </w:rPr>
        <w:t xml:space="preserve">Platinum-197m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197m</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3,000</w:t>
      </w:r>
    </w:p>
    <w:p w14:paraId="53F52E15"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Plutonium-241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94</m:t>
            </m:r>
          </m:sub>
          <m:sup>
            <m:r>
              <m:rPr>
                <m:sty m:val="p"/>
              </m:rPr>
              <w:rPr>
                <w:rFonts w:ascii="Cambria Math" w:eastAsia="Calibri" w:hAnsi="Cambria Math"/>
              </w:rPr>
              <m:t>241</m:t>
            </m:r>
          </m:sup>
          <m:e>
            <m:r>
              <m:rPr>
                <m:sty m:val="p"/>
              </m:rPr>
              <w:rPr>
                <w:rFonts w:ascii="Cambria Math" w:eastAsia="Calibri" w:hAnsi="Cambria Math"/>
              </w:rPr>
              <m:t>Pu</m:t>
            </m:r>
          </m:e>
        </m:sPre>
        <m:r>
          <w:rPr>
            <w:rFonts w:ascii="Cambria Math" w:eastAsia="Calibri" w:hAnsi="Cambria Math"/>
          </w:rPr>
          <m:t>)</m:t>
        </m:r>
      </m:oMath>
      <w:r w:rsidRPr="003B4362">
        <w:rPr>
          <w:rFonts w:eastAsia="Calibri"/>
        </w:rPr>
        <w:tab/>
        <w:t>300</w:t>
      </w:r>
    </w:p>
    <w:p w14:paraId="7FF5CE6A" w14:textId="77777777" w:rsidR="00E1635B" w:rsidRPr="003B4362" w:rsidRDefault="00E1635B" w:rsidP="00E1635B">
      <w:pPr>
        <w:tabs>
          <w:tab w:val="right" w:pos="7920"/>
        </w:tabs>
        <w:spacing w:before="120" w:after="120"/>
        <w:ind w:left="720"/>
        <w:rPr>
          <w:rFonts w:eastAsia="Calibri"/>
        </w:rPr>
      </w:pPr>
      <w:r w:rsidRPr="003B4362">
        <w:rPr>
          <w:rFonts w:eastAsia="Calibri"/>
        </w:rPr>
        <w:lastRenderedPageBreak/>
        <w:t xml:space="preserve">Potassium-42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19</m:t>
            </m:r>
          </m:sub>
          <m:sup>
            <m:r>
              <m:rPr>
                <m:sty m:val="p"/>
              </m:rPr>
              <w:rPr>
                <w:rFonts w:ascii="Cambria Math" w:eastAsia="Calibri" w:hAnsi="Cambria Math"/>
              </w:rPr>
              <m:t>42</m:t>
            </m:r>
          </m:sup>
          <m:e>
            <m:r>
              <m:rPr>
                <m:sty m:val="p"/>
              </m:rPr>
              <w:rPr>
                <w:rFonts w:ascii="Cambria Math" w:eastAsia="Calibri" w:hAnsi="Cambria Math"/>
              </w:rPr>
              <m:t>K</m:t>
            </m:r>
          </m:e>
        </m:sPre>
        <m:r>
          <w:rPr>
            <w:rFonts w:ascii="Cambria Math" w:eastAsia="Calibri" w:hAnsi="Cambria Math"/>
          </w:rPr>
          <m:t>)</m:t>
        </m:r>
      </m:oMath>
      <w:r w:rsidRPr="003B4362">
        <w:rPr>
          <w:rFonts w:eastAsia="Calibri"/>
        </w:rPr>
        <w:tab/>
        <w:t>900</w:t>
      </w:r>
    </w:p>
    <w:p w14:paraId="13FCC334" w14:textId="77777777" w:rsidR="00E1635B" w:rsidRPr="003B4362" w:rsidRDefault="00E1635B" w:rsidP="00E1635B">
      <w:pPr>
        <w:tabs>
          <w:tab w:val="right" w:pos="7920"/>
        </w:tabs>
        <w:spacing w:before="120"/>
        <w:ind w:left="720"/>
        <w:rPr>
          <w:rFonts w:eastAsia="Calibri"/>
        </w:rPr>
      </w:pPr>
      <w:r w:rsidRPr="003B4362">
        <w:rPr>
          <w:rFonts w:eastAsia="Calibri"/>
        </w:rPr>
        <w:t xml:space="preserve">Praseodymium-142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59</m:t>
            </m:r>
          </m:sub>
          <m:sup>
            <m:r>
              <m:rPr>
                <m:sty m:val="p"/>
              </m:rPr>
              <w:rPr>
                <w:rFonts w:ascii="Cambria Math" w:eastAsia="Calibri" w:hAnsi="Cambria Math"/>
              </w:rPr>
              <m:t>142</m:t>
            </m:r>
          </m:sup>
          <m:e>
            <m:r>
              <m:rPr>
                <m:sty m:val="p"/>
              </m:rPr>
              <w:rPr>
                <w:rFonts w:ascii="Cambria Math" w:eastAsia="Calibri" w:hAnsi="Cambria Math"/>
              </w:rPr>
              <m:t>Pr</m:t>
            </m:r>
          </m:e>
        </m:sPre>
        <m:r>
          <w:rPr>
            <w:rFonts w:ascii="Cambria Math" w:eastAsia="Calibri" w:hAnsi="Cambria Math"/>
          </w:rPr>
          <m:t>)</m:t>
        </m:r>
      </m:oMath>
      <w:r w:rsidRPr="003B4362">
        <w:rPr>
          <w:rFonts w:eastAsia="Calibri"/>
        </w:rPr>
        <w:tab/>
        <w:t>90</w:t>
      </w:r>
    </w:p>
    <w:p w14:paraId="62D95DC2" w14:textId="77777777" w:rsidR="00E1635B" w:rsidRPr="003B4362" w:rsidRDefault="00E1635B" w:rsidP="00E1635B">
      <w:pPr>
        <w:tabs>
          <w:tab w:val="right" w:pos="7920"/>
        </w:tabs>
        <w:spacing w:after="120"/>
        <w:ind w:left="720"/>
        <w:rPr>
          <w:rFonts w:eastAsia="Calibri"/>
        </w:rPr>
      </w:pPr>
      <w:r w:rsidRPr="003B4362">
        <w:rPr>
          <w:rFonts w:eastAsia="Calibri"/>
        </w:rPr>
        <w:t xml:space="preserve">Praseodymium-143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59</m:t>
            </m:r>
          </m:sub>
          <m:sup>
            <m:r>
              <m:rPr>
                <m:sty m:val="p"/>
              </m:rPr>
              <w:rPr>
                <w:rFonts w:ascii="Cambria Math" w:eastAsia="Calibri" w:hAnsi="Cambria Math"/>
              </w:rPr>
              <m:t>143</m:t>
            </m:r>
          </m:sup>
          <m:e>
            <m:r>
              <m:rPr>
                <m:sty m:val="p"/>
              </m:rPr>
              <w:rPr>
                <w:rFonts w:ascii="Cambria Math" w:eastAsia="Calibri" w:hAnsi="Cambria Math"/>
              </w:rPr>
              <m:t>Pr</m:t>
            </m:r>
          </m:e>
        </m:sPre>
        <m:r>
          <w:rPr>
            <w:rFonts w:ascii="Cambria Math" w:eastAsia="Calibri" w:hAnsi="Cambria Math"/>
          </w:rPr>
          <m:t>)</m:t>
        </m:r>
      </m:oMath>
      <w:r w:rsidRPr="003B4362">
        <w:rPr>
          <w:rFonts w:eastAsia="Calibri"/>
        </w:rPr>
        <w:tab/>
        <w:t>100</w:t>
      </w:r>
    </w:p>
    <w:p w14:paraId="47EEBA56" w14:textId="77777777" w:rsidR="00E1635B" w:rsidRPr="003B4362" w:rsidRDefault="00E1635B" w:rsidP="00E1635B">
      <w:pPr>
        <w:tabs>
          <w:tab w:val="right" w:pos="7920"/>
        </w:tabs>
        <w:spacing w:before="120"/>
        <w:ind w:left="720"/>
        <w:rPr>
          <w:rFonts w:eastAsia="Calibri"/>
        </w:rPr>
      </w:pPr>
      <w:r w:rsidRPr="003B4362">
        <w:rPr>
          <w:rFonts w:eastAsia="Calibri"/>
        </w:rPr>
        <w:t xml:space="preserve">Promethium-147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61</m:t>
            </m:r>
          </m:sub>
          <m:sup>
            <m:r>
              <m:rPr>
                <m:sty m:val="p"/>
              </m:rPr>
              <w:rPr>
                <w:rFonts w:ascii="Cambria Math" w:eastAsia="Calibri" w:hAnsi="Cambria Math"/>
              </w:rPr>
              <m:t>147</m:t>
            </m:r>
          </m:sup>
          <m:e>
            <m:r>
              <m:rPr>
                <m:sty m:val="p"/>
              </m:rPr>
              <w:rPr>
                <w:rFonts w:ascii="Cambria Math" w:eastAsia="Calibri" w:hAnsi="Cambria Math"/>
              </w:rPr>
              <m:t>Pm</m:t>
            </m:r>
          </m:e>
        </m:sPre>
        <m:r>
          <w:rPr>
            <w:rFonts w:ascii="Cambria Math" w:eastAsia="Calibri" w:hAnsi="Cambria Math"/>
          </w:rPr>
          <m:t>)</m:t>
        </m:r>
      </m:oMath>
      <w:r w:rsidRPr="003B4362">
        <w:rPr>
          <w:rFonts w:eastAsia="Calibri"/>
        </w:rPr>
        <w:tab/>
        <w:t>600</w:t>
      </w:r>
    </w:p>
    <w:p w14:paraId="2C6F4D6F" w14:textId="77777777" w:rsidR="00E1635B" w:rsidRPr="003B4362" w:rsidRDefault="00E1635B" w:rsidP="00E1635B">
      <w:pPr>
        <w:tabs>
          <w:tab w:val="right" w:pos="7920"/>
        </w:tabs>
        <w:spacing w:after="120"/>
        <w:ind w:left="720"/>
        <w:rPr>
          <w:rFonts w:eastAsia="Calibri"/>
        </w:rPr>
      </w:pPr>
      <w:r w:rsidRPr="003B4362">
        <w:rPr>
          <w:rFonts w:eastAsia="Calibri"/>
        </w:rPr>
        <w:t xml:space="preserve">Promethium-149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61</m:t>
            </m:r>
          </m:sub>
          <m:sup>
            <m:r>
              <m:rPr>
                <m:sty m:val="p"/>
              </m:rPr>
              <w:rPr>
                <w:rFonts w:ascii="Cambria Math" w:eastAsia="Calibri" w:hAnsi="Cambria Math"/>
              </w:rPr>
              <m:t>149</m:t>
            </m:r>
          </m:sup>
          <m:e>
            <m:r>
              <m:rPr>
                <m:sty m:val="p"/>
              </m:rPr>
              <w:rPr>
                <w:rFonts w:ascii="Cambria Math" w:eastAsia="Calibri" w:hAnsi="Cambria Math"/>
              </w:rPr>
              <m:t>Pm</m:t>
            </m:r>
          </m:e>
        </m:sPre>
        <m:r>
          <w:rPr>
            <w:rFonts w:ascii="Cambria Math" w:eastAsia="Calibri" w:hAnsi="Cambria Math"/>
          </w:rPr>
          <m:t>)</m:t>
        </m:r>
      </m:oMath>
      <w:r w:rsidRPr="003B4362">
        <w:rPr>
          <w:rFonts w:eastAsia="Calibri"/>
        </w:rPr>
        <w:tab/>
        <w:t>100</w:t>
      </w:r>
    </w:p>
    <w:p w14:paraId="44FA6D25" w14:textId="77777777" w:rsidR="00E1635B" w:rsidRPr="003B4362" w:rsidRDefault="00E1635B" w:rsidP="00E1635B">
      <w:pPr>
        <w:tabs>
          <w:tab w:val="right" w:pos="7920"/>
        </w:tabs>
        <w:spacing w:before="120"/>
        <w:ind w:left="720"/>
        <w:rPr>
          <w:rFonts w:eastAsia="Calibri"/>
        </w:rPr>
      </w:pPr>
      <w:r w:rsidRPr="003B4362">
        <w:rPr>
          <w:rFonts w:eastAsia="Calibri"/>
        </w:rPr>
        <w:t xml:space="preserve">Protactinium-230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91</m:t>
            </m:r>
          </m:sub>
          <m:sup>
            <m:r>
              <m:rPr>
                <m:sty m:val="p"/>
              </m:rPr>
              <w:rPr>
                <w:rFonts w:ascii="Cambria Math" w:eastAsia="Calibri" w:hAnsi="Cambria Math"/>
              </w:rPr>
              <m:t>230</m:t>
            </m:r>
          </m:sup>
          <m:e>
            <m:r>
              <m:rPr>
                <m:sty m:val="p"/>
              </m:rPr>
              <w:rPr>
                <w:rFonts w:ascii="Cambria Math" w:eastAsia="Calibri" w:hAnsi="Cambria Math"/>
              </w:rPr>
              <m:t>Pa</m:t>
            </m:r>
          </m:e>
        </m:sPre>
        <m:r>
          <w:rPr>
            <w:rFonts w:ascii="Cambria Math" w:eastAsia="Calibri" w:hAnsi="Cambria Math"/>
          </w:rPr>
          <m:t>)</m:t>
        </m:r>
      </m:oMath>
      <w:r w:rsidRPr="003B4362">
        <w:rPr>
          <w:rFonts w:eastAsia="Calibri"/>
        </w:rPr>
        <w:tab/>
        <w:t>600</w:t>
      </w:r>
    </w:p>
    <w:p w14:paraId="563A0BC4" w14:textId="77777777" w:rsidR="00E1635B" w:rsidRPr="003B4362" w:rsidRDefault="00E1635B" w:rsidP="00E1635B">
      <w:pPr>
        <w:tabs>
          <w:tab w:val="right" w:pos="7920"/>
        </w:tabs>
        <w:spacing w:after="120"/>
        <w:ind w:left="720"/>
        <w:rPr>
          <w:rFonts w:eastAsia="Calibri"/>
        </w:rPr>
      </w:pPr>
      <w:r w:rsidRPr="003B4362">
        <w:rPr>
          <w:rFonts w:eastAsia="Calibri"/>
        </w:rPr>
        <w:t xml:space="preserve">Protactinium-233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91</m:t>
            </m:r>
          </m:sub>
          <m:sup>
            <m:r>
              <m:rPr>
                <m:sty m:val="p"/>
              </m:rPr>
              <w:rPr>
                <w:rFonts w:ascii="Cambria Math" w:eastAsia="Calibri" w:hAnsi="Cambria Math"/>
              </w:rPr>
              <m:t>233</m:t>
            </m:r>
          </m:sup>
          <m:e>
            <m:r>
              <m:rPr>
                <m:sty m:val="p"/>
              </m:rPr>
              <w:rPr>
                <w:rFonts w:ascii="Cambria Math" w:eastAsia="Calibri" w:hAnsi="Cambria Math"/>
              </w:rPr>
              <m:t>Pa</m:t>
            </m:r>
          </m:e>
        </m:sPre>
        <m:r>
          <w:rPr>
            <w:rFonts w:ascii="Cambria Math" w:eastAsia="Calibri" w:hAnsi="Cambria Math"/>
          </w:rPr>
          <m:t>)</m:t>
        </m:r>
      </m:oMath>
      <w:r w:rsidRPr="003B4362">
        <w:rPr>
          <w:rFonts w:eastAsia="Calibri"/>
        </w:rPr>
        <w:tab/>
        <w:t>300</w:t>
      </w:r>
    </w:p>
    <w:p w14:paraId="0BE24A8E" w14:textId="47F13FF5" w:rsidR="00E1635B" w:rsidRPr="003B4362" w:rsidRDefault="00E1635B" w:rsidP="00E1635B">
      <w:pPr>
        <w:tabs>
          <w:tab w:val="right" w:pos="7920"/>
        </w:tabs>
        <w:spacing w:before="120"/>
        <w:ind w:left="720"/>
        <w:rPr>
          <w:rFonts w:eastAsia="Calibri"/>
        </w:rPr>
      </w:pPr>
      <w:r w:rsidRPr="003B4362">
        <w:rPr>
          <w:rFonts w:eastAsia="Calibri"/>
        </w:rPr>
        <w:tab/>
      </w:r>
    </w:p>
    <w:p w14:paraId="0352CFBA" w14:textId="77777777" w:rsidR="00E1635B" w:rsidRPr="003B4362" w:rsidRDefault="00E1635B" w:rsidP="00E1635B">
      <w:pPr>
        <w:tabs>
          <w:tab w:val="right" w:pos="7920"/>
        </w:tabs>
        <w:ind w:left="720"/>
        <w:rPr>
          <w:rFonts w:eastAsia="Calibri"/>
        </w:rPr>
      </w:pPr>
      <w:r w:rsidRPr="003B4362">
        <w:rPr>
          <w:rFonts w:eastAsia="Calibri"/>
        </w:rPr>
        <w:t xml:space="preserve">Rhenium-186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75</m:t>
            </m:r>
          </m:sub>
          <m:sup>
            <m:r>
              <m:rPr>
                <m:sty m:val="p"/>
              </m:rPr>
              <w:rPr>
                <w:rFonts w:ascii="Cambria Math" w:eastAsia="Calibri" w:hAnsi="Cambria Math"/>
              </w:rPr>
              <m:t>186</m:t>
            </m:r>
          </m:sup>
          <m:e>
            <m:r>
              <m:rPr>
                <m:sty m:val="p"/>
              </m:rPr>
              <w:rPr>
                <w:rFonts w:ascii="Cambria Math" w:eastAsia="Calibri" w:hAnsi="Cambria Math"/>
              </w:rPr>
              <m:t>Re</m:t>
            </m:r>
          </m:e>
        </m:sPre>
        <m:r>
          <w:rPr>
            <w:rFonts w:ascii="Cambria Math" w:eastAsia="Calibri" w:hAnsi="Cambria Math"/>
          </w:rPr>
          <m:t>)</m:t>
        </m:r>
      </m:oMath>
      <w:r w:rsidRPr="003B4362">
        <w:rPr>
          <w:rFonts w:eastAsia="Calibri"/>
        </w:rPr>
        <w:tab/>
        <w:t>300</w:t>
      </w:r>
    </w:p>
    <w:p w14:paraId="1AF7D782" w14:textId="77777777" w:rsidR="00E1635B" w:rsidRPr="003B4362" w:rsidRDefault="00E1635B" w:rsidP="00E1635B">
      <w:pPr>
        <w:tabs>
          <w:tab w:val="right" w:pos="7920"/>
        </w:tabs>
        <w:ind w:left="720"/>
        <w:rPr>
          <w:rFonts w:eastAsia="Calibri"/>
        </w:rPr>
      </w:pPr>
      <w:r w:rsidRPr="003B4362">
        <w:rPr>
          <w:rFonts w:eastAsia="Calibri"/>
        </w:rPr>
        <w:t xml:space="preserve">Rhenium-187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75</m:t>
            </m:r>
          </m:sub>
          <m:sup>
            <m:r>
              <m:rPr>
                <m:sty m:val="p"/>
              </m:rPr>
              <w:rPr>
                <w:rFonts w:ascii="Cambria Math" w:eastAsia="Calibri" w:hAnsi="Cambria Math"/>
              </w:rPr>
              <m:t>187</m:t>
            </m:r>
          </m:sup>
          <m:e>
            <m:r>
              <m:rPr>
                <m:sty m:val="p"/>
              </m:rPr>
              <w:rPr>
                <w:rFonts w:ascii="Cambria Math" w:eastAsia="Calibri" w:hAnsi="Cambria Math"/>
              </w:rPr>
              <m:t>Re</m:t>
            </m:r>
          </m:e>
        </m:sPre>
        <m:r>
          <w:rPr>
            <w:rFonts w:ascii="Cambria Math" w:eastAsia="Calibri" w:hAnsi="Cambria Math"/>
          </w:rPr>
          <m:t>)</m:t>
        </m:r>
      </m:oMath>
      <w:r w:rsidRPr="003B4362">
        <w:rPr>
          <w:rFonts w:eastAsia="Calibri"/>
        </w:rPr>
        <w:tab/>
        <w:t>9,000</w:t>
      </w:r>
    </w:p>
    <w:p w14:paraId="31134DE7" w14:textId="77777777" w:rsidR="00E1635B" w:rsidRPr="003B4362" w:rsidRDefault="00E1635B" w:rsidP="00E1635B">
      <w:pPr>
        <w:tabs>
          <w:tab w:val="right" w:pos="7920"/>
        </w:tabs>
        <w:spacing w:after="120"/>
        <w:ind w:left="720"/>
        <w:rPr>
          <w:rFonts w:eastAsia="Calibri"/>
        </w:rPr>
      </w:pPr>
      <w:r w:rsidRPr="003B4362">
        <w:rPr>
          <w:rFonts w:eastAsia="Calibri"/>
        </w:rPr>
        <w:t xml:space="preserve">Rhenium-188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75</m:t>
            </m:r>
          </m:sub>
          <m:sup>
            <m:r>
              <m:rPr>
                <m:sty m:val="p"/>
              </m:rPr>
              <w:rPr>
                <w:rFonts w:ascii="Cambria Math" w:eastAsia="Calibri" w:hAnsi="Cambria Math"/>
              </w:rPr>
              <m:t>188</m:t>
            </m:r>
          </m:sup>
          <m:e>
            <m:r>
              <m:rPr>
                <m:sty m:val="p"/>
              </m:rPr>
              <w:rPr>
                <w:rFonts w:ascii="Cambria Math" w:eastAsia="Calibri" w:hAnsi="Cambria Math"/>
              </w:rPr>
              <m:t>Re</m:t>
            </m:r>
          </m:e>
        </m:sPre>
        <m:r>
          <w:rPr>
            <w:rFonts w:ascii="Cambria Math" w:eastAsia="Calibri" w:hAnsi="Cambria Math"/>
          </w:rPr>
          <m:t>)</m:t>
        </m:r>
      </m:oMath>
      <w:r w:rsidRPr="003B4362">
        <w:rPr>
          <w:rFonts w:eastAsia="Calibri"/>
        </w:rPr>
        <w:tab/>
        <w:t>200</w:t>
      </w:r>
    </w:p>
    <w:p w14:paraId="4CA05FD3" w14:textId="77777777" w:rsidR="00E1635B" w:rsidRPr="003B4362" w:rsidRDefault="00E1635B" w:rsidP="00E1635B">
      <w:pPr>
        <w:tabs>
          <w:tab w:val="right" w:pos="7920"/>
        </w:tabs>
        <w:spacing w:before="120"/>
        <w:ind w:left="720"/>
        <w:rPr>
          <w:rFonts w:eastAsia="Calibri"/>
        </w:rPr>
      </w:pPr>
      <w:r w:rsidRPr="003B4362">
        <w:rPr>
          <w:rFonts w:eastAsia="Calibri"/>
        </w:rPr>
        <w:t xml:space="preserve">Rhodium-103m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45</m:t>
            </m:r>
          </m:sub>
          <m:sup>
            <m:r>
              <m:rPr>
                <m:sty m:val="p"/>
              </m:rPr>
              <w:rPr>
                <w:rFonts w:ascii="Cambria Math" w:eastAsia="Calibri" w:hAnsi="Cambria Math"/>
              </w:rPr>
              <m:t>103m</m:t>
            </m:r>
          </m:sup>
          <m:e>
            <m:r>
              <m:rPr>
                <m:sty m:val="p"/>
              </m:rPr>
              <w:rPr>
                <w:rFonts w:ascii="Cambria Math" w:eastAsia="Calibri" w:hAnsi="Cambria Math"/>
              </w:rPr>
              <m:t>Rh</m:t>
            </m:r>
          </m:e>
        </m:sPre>
        <m:r>
          <w:rPr>
            <w:rFonts w:ascii="Cambria Math" w:eastAsia="Calibri" w:hAnsi="Cambria Math"/>
          </w:rPr>
          <m:t>)</m:t>
        </m:r>
      </m:oMath>
      <w:r w:rsidRPr="003B4362">
        <w:rPr>
          <w:rFonts w:eastAsia="Calibri"/>
        </w:rPr>
        <w:tab/>
        <w:t>30,000</w:t>
      </w:r>
    </w:p>
    <w:p w14:paraId="3F88F160" w14:textId="77777777" w:rsidR="00E1635B" w:rsidRPr="003B4362" w:rsidRDefault="00E1635B" w:rsidP="00E1635B">
      <w:pPr>
        <w:tabs>
          <w:tab w:val="right" w:pos="7920"/>
        </w:tabs>
        <w:spacing w:after="120"/>
        <w:ind w:left="720"/>
        <w:rPr>
          <w:rFonts w:eastAsia="Calibri"/>
        </w:rPr>
      </w:pPr>
      <w:r w:rsidRPr="003B4362">
        <w:rPr>
          <w:rFonts w:eastAsia="Calibri"/>
        </w:rPr>
        <w:t xml:space="preserve">Rhodium-105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45</m:t>
            </m:r>
          </m:sub>
          <m:sup>
            <m:r>
              <m:rPr>
                <m:sty m:val="p"/>
              </m:rPr>
              <w:rPr>
                <w:rFonts w:ascii="Cambria Math" w:eastAsia="Calibri" w:hAnsi="Cambria Math"/>
              </w:rPr>
              <m:t>105</m:t>
            </m:r>
          </m:sup>
          <m:e>
            <m:r>
              <m:rPr>
                <m:sty m:val="p"/>
              </m:rPr>
              <w:rPr>
                <w:rFonts w:ascii="Cambria Math" w:eastAsia="Calibri" w:hAnsi="Cambria Math"/>
              </w:rPr>
              <m:t>Rh</m:t>
            </m:r>
          </m:e>
        </m:sPre>
        <m:r>
          <w:rPr>
            <w:rFonts w:ascii="Cambria Math" w:eastAsia="Calibri" w:hAnsi="Cambria Math"/>
          </w:rPr>
          <m:t>)</m:t>
        </m:r>
      </m:oMath>
      <w:r w:rsidRPr="003B4362">
        <w:rPr>
          <w:rFonts w:eastAsia="Calibri"/>
        </w:rPr>
        <w:tab/>
        <w:t>300</w:t>
      </w:r>
    </w:p>
    <w:p w14:paraId="03A0D3E9" w14:textId="77777777" w:rsidR="00E1635B" w:rsidRPr="003B4362" w:rsidRDefault="00E1635B" w:rsidP="00E1635B">
      <w:pPr>
        <w:tabs>
          <w:tab w:val="right" w:pos="7920"/>
        </w:tabs>
        <w:spacing w:before="120"/>
        <w:ind w:left="720"/>
        <w:rPr>
          <w:rFonts w:eastAsia="Calibri"/>
        </w:rPr>
      </w:pPr>
      <w:r w:rsidRPr="003B4362">
        <w:rPr>
          <w:rFonts w:eastAsia="Calibri"/>
        </w:rPr>
        <w:t xml:space="preserve">Rubidium-86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37</m:t>
            </m:r>
          </m:sub>
          <m:sup>
            <m:r>
              <m:rPr>
                <m:sty m:val="p"/>
              </m:rPr>
              <w:rPr>
                <w:rFonts w:ascii="Cambria Math" w:eastAsia="Calibri" w:hAnsi="Cambria Math"/>
              </w:rPr>
              <m:t>86</m:t>
            </m:r>
          </m:sup>
          <m:e>
            <m:r>
              <m:rPr>
                <m:sty m:val="p"/>
              </m:rPr>
              <w:rPr>
                <w:rFonts w:ascii="Cambria Math" w:eastAsia="Calibri" w:hAnsi="Cambria Math"/>
              </w:rPr>
              <m:t>Rb</m:t>
            </m:r>
          </m:e>
        </m:sPre>
        <m:r>
          <w:rPr>
            <w:rFonts w:ascii="Cambria Math" w:eastAsia="Calibri" w:hAnsi="Cambria Math"/>
          </w:rPr>
          <m:t>)</m:t>
        </m:r>
      </m:oMath>
      <w:r w:rsidRPr="003B4362">
        <w:rPr>
          <w:rFonts w:eastAsia="Calibri"/>
        </w:rPr>
        <w:tab/>
        <w:t>600</w:t>
      </w:r>
    </w:p>
    <w:p w14:paraId="4BEE3190" w14:textId="77777777" w:rsidR="00E1635B" w:rsidRPr="003B4362" w:rsidRDefault="00E1635B" w:rsidP="00E1635B">
      <w:pPr>
        <w:tabs>
          <w:tab w:val="right" w:pos="7920"/>
        </w:tabs>
        <w:spacing w:after="120"/>
        <w:ind w:left="720"/>
        <w:rPr>
          <w:rFonts w:eastAsia="Calibri"/>
        </w:rPr>
      </w:pPr>
      <w:r w:rsidRPr="003B4362">
        <w:rPr>
          <w:rFonts w:eastAsia="Calibri"/>
        </w:rPr>
        <w:t xml:space="preserve">Rubidium-87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37</m:t>
            </m:r>
          </m:sub>
          <m:sup>
            <m:r>
              <m:rPr>
                <m:sty m:val="p"/>
              </m:rPr>
              <w:rPr>
                <w:rFonts w:ascii="Cambria Math" w:eastAsia="Calibri" w:hAnsi="Cambria Math"/>
              </w:rPr>
              <m:t>87</m:t>
            </m:r>
          </m:sup>
          <m:e>
            <m:r>
              <m:rPr>
                <m:sty m:val="p"/>
              </m:rPr>
              <w:rPr>
                <w:rFonts w:ascii="Cambria Math" w:eastAsia="Calibri" w:hAnsi="Cambria Math"/>
              </w:rPr>
              <m:t>Rb</m:t>
            </m:r>
          </m:e>
        </m:sPre>
        <m:r>
          <w:rPr>
            <w:rFonts w:ascii="Cambria Math" w:eastAsia="Calibri" w:hAnsi="Cambria Math"/>
          </w:rPr>
          <m:t>)</m:t>
        </m:r>
      </m:oMath>
      <w:r w:rsidRPr="003B4362">
        <w:rPr>
          <w:rFonts w:eastAsia="Calibri"/>
        </w:rPr>
        <w:tab/>
        <w:t>300</w:t>
      </w:r>
    </w:p>
    <w:p w14:paraId="0BF049B1" w14:textId="77777777" w:rsidR="00E1635B" w:rsidRPr="003B4362" w:rsidRDefault="00E1635B" w:rsidP="00E1635B">
      <w:pPr>
        <w:tabs>
          <w:tab w:val="right" w:pos="7920"/>
        </w:tabs>
        <w:spacing w:before="120"/>
        <w:ind w:left="720"/>
        <w:rPr>
          <w:rFonts w:eastAsia="Calibri"/>
        </w:rPr>
      </w:pPr>
      <w:r w:rsidRPr="003B4362">
        <w:rPr>
          <w:rFonts w:eastAsia="Calibri"/>
        </w:rPr>
        <w:t xml:space="preserve">Ruthenium-97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44</m:t>
            </m:r>
          </m:sub>
          <m:sup>
            <m:r>
              <m:rPr>
                <m:sty m:val="p"/>
              </m:rPr>
              <w:rPr>
                <w:rFonts w:ascii="Cambria Math" w:eastAsia="Calibri" w:hAnsi="Cambria Math"/>
              </w:rPr>
              <m:t>97</m:t>
            </m:r>
          </m:sup>
          <m:e>
            <m:r>
              <m:rPr>
                <m:sty m:val="p"/>
              </m:rPr>
              <w:rPr>
                <w:rFonts w:ascii="Cambria Math" w:eastAsia="Calibri" w:hAnsi="Cambria Math"/>
              </w:rPr>
              <m:t>Ru</m:t>
            </m:r>
          </m:e>
        </m:sPre>
        <m:r>
          <w:rPr>
            <w:rFonts w:ascii="Cambria Math" w:eastAsia="Calibri" w:hAnsi="Cambria Math"/>
          </w:rPr>
          <m:t>)</m:t>
        </m:r>
      </m:oMath>
      <w:r w:rsidRPr="003B4362">
        <w:rPr>
          <w:rFonts w:eastAsia="Calibri"/>
        </w:rPr>
        <w:tab/>
        <w:t>1,000</w:t>
      </w:r>
    </w:p>
    <w:p w14:paraId="1C47BFC1" w14:textId="77777777" w:rsidR="00E1635B" w:rsidRPr="003B4362" w:rsidRDefault="00E1635B" w:rsidP="00E1635B">
      <w:pPr>
        <w:tabs>
          <w:tab w:val="right" w:pos="7920"/>
        </w:tabs>
        <w:ind w:left="720"/>
        <w:rPr>
          <w:rFonts w:eastAsia="Calibri"/>
        </w:rPr>
      </w:pPr>
      <w:r w:rsidRPr="003B4362">
        <w:rPr>
          <w:rFonts w:eastAsia="Calibri"/>
        </w:rPr>
        <w:t xml:space="preserve">Ruthenium-103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44</m:t>
            </m:r>
          </m:sub>
          <m:sup>
            <m:r>
              <m:rPr>
                <m:sty m:val="p"/>
              </m:rPr>
              <w:rPr>
                <w:rFonts w:ascii="Cambria Math" w:eastAsia="Calibri" w:hAnsi="Cambria Math"/>
              </w:rPr>
              <m:t>103</m:t>
            </m:r>
          </m:sup>
          <m:e>
            <m:r>
              <m:rPr>
                <m:sty m:val="p"/>
              </m:rPr>
              <w:rPr>
                <w:rFonts w:ascii="Cambria Math" w:eastAsia="Calibri" w:hAnsi="Cambria Math"/>
              </w:rPr>
              <m:t>Ru</m:t>
            </m:r>
          </m:e>
        </m:sPre>
        <m:r>
          <w:rPr>
            <w:rFonts w:ascii="Cambria Math" w:eastAsia="Calibri" w:hAnsi="Cambria Math"/>
          </w:rPr>
          <m:t>)</m:t>
        </m:r>
      </m:oMath>
      <w:r w:rsidRPr="003B4362">
        <w:rPr>
          <w:rFonts w:eastAsia="Calibri"/>
        </w:rPr>
        <w:tab/>
        <w:t>200</w:t>
      </w:r>
    </w:p>
    <w:p w14:paraId="0794084A" w14:textId="77777777" w:rsidR="00E1635B" w:rsidRPr="003B4362" w:rsidRDefault="00E1635B" w:rsidP="00E1635B">
      <w:pPr>
        <w:tabs>
          <w:tab w:val="right" w:pos="7920"/>
        </w:tabs>
        <w:ind w:left="720"/>
        <w:rPr>
          <w:rFonts w:eastAsia="Calibri"/>
        </w:rPr>
      </w:pPr>
      <w:r w:rsidRPr="003B4362">
        <w:rPr>
          <w:rFonts w:eastAsia="Calibri"/>
        </w:rPr>
        <w:t xml:space="preserve">Ruthenium-105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44</m:t>
            </m:r>
          </m:sub>
          <m:sup>
            <m:r>
              <m:rPr>
                <m:sty m:val="p"/>
              </m:rPr>
              <w:rPr>
                <w:rFonts w:ascii="Cambria Math" w:eastAsia="Calibri" w:hAnsi="Cambria Math"/>
              </w:rPr>
              <m:t>105</m:t>
            </m:r>
          </m:sup>
          <m:e>
            <m:r>
              <m:rPr>
                <m:sty m:val="p"/>
              </m:rPr>
              <w:rPr>
                <w:rFonts w:ascii="Cambria Math" w:eastAsia="Calibri" w:hAnsi="Cambria Math"/>
              </w:rPr>
              <m:t>Ru</m:t>
            </m:r>
          </m:e>
        </m:sPre>
        <m:r>
          <w:rPr>
            <w:rFonts w:ascii="Cambria Math" w:eastAsia="Calibri" w:hAnsi="Cambria Math"/>
          </w:rPr>
          <m:t>)</m:t>
        </m:r>
      </m:oMath>
      <w:r w:rsidRPr="003B4362">
        <w:rPr>
          <w:rFonts w:eastAsia="Calibri"/>
        </w:rPr>
        <w:tab/>
        <w:t>200</w:t>
      </w:r>
    </w:p>
    <w:p w14:paraId="550EA2B3" w14:textId="77777777" w:rsidR="00E1635B" w:rsidRPr="003B4362" w:rsidRDefault="00E1635B" w:rsidP="00E1635B">
      <w:pPr>
        <w:tabs>
          <w:tab w:val="right" w:pos="7920"/>
        </w:tabs>
        <w:spacing w:after="120"/>
        <w:ind w:left="720"/>
        <w:rPr>
          <w:rFonts w:eastAsia="Calibri"/>
        </w:rPr>
      </w:pPr>
      <w:r w:rsidRPr="003B4362">
        <w:rPr>
          <w:rFonts w:eastAsia="Calibri"/>
        </w:rPr>
        <w:t xml:space="preserve">Ruthenium-106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44</m:t>
            </m:r>
          </m:sub>
          <m:sup>
            <m:r>
              <m:rPr>
                <m:sty m:val="p"/>
              </m:rPr>
              <w:rPr>
                <w:rFonts w:ascii="Cambria Math" w:eastAsia="Calibri" w:hAnsi="Cambria Math"/>
              </w:rPr>
              <m:t>106</m:t>
            </m:r>
          </m:sup>
          <m:e>
            <m:r>
              <m:rPr>
                <m:sty m:val="p"/>
              </m:rPr>
              <w:rPr>
                <w:rFonts w:ascii="Cambria Math" w:eastAsia="Calibri" w:hAnsi="Cambria Math"/>
              </w:rPr>
              <m:t>Ru</m:t>
            </m:r>
          </m:e>
        </m:sPre>
        <m:r>
          <w:rPr>
            <w:rFonts w:ascii="Cambria Math" w:eastAsia="Calibri" w:hAnsi="Cambria Math"/>
          </w:rPr>
          <m:t>)</m:t>
        </m:r>
      </m:oMath>
      <w:r w:rsidRPr="003B4362">
        <w:rPr>
          <w:rFonts w:eastAsia="Calibri"/>
        </w:rPr>
        <w:tab/>
        <w:t>30</w:t>
      </w:r>
    </w:p>
    <w:p w14:paraId="2D848020" w14:textId="77777777" w:rsidR="00E1635B" w:rsidRPr="003B4362" w:rsidRDefault="00E1635B" w:rsidP="00E1635B">
      <w:pPr>
        <w:tabs>
          <w:tab w:val="right" w:pos="7920"/>
        </w:tabs>
        <w:spacing w:before="120"/>
        <w:ind w:left="720"/>
        <w:rPr>
          <w:rFonts w:eastAsia="Calibri"/>
        </w:rPr>
      </w:pPr>
      <w:r w:rsidRPr="003B4362">
        <w:rPr>
          <w:rFonts w:eastAsia="Calibri"/>
        </w:rPr>
        <w:t xml:space="preserve">Samarium-151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62</m:t>
            </m:r>
          </m:sub>
          <m:sup>
            <m:r>
              <m:rPr>
                <m:sty m:val="p"/>
              </m:rPr>
              <w:rPr>
                <w:rFonts w:ascii="Cambria Math" w:eastAsia="Calibri" w:hAnsi="Cambria Math"/>
              </w:rPr>
              <m:t>151</m:t>
            </m:r>
          </m:sup>
          <m:e>
            <m:r>
              <m:rPr>
                <m:sty m:val="p"/>
              </m:rPr>
              <w:rPr>
                <w:rFonts w:ascii="Cambria Math" w:eastAsia="Calibri" w:hAnsi="Cambria Math"/>
              </w:rPr>
              <m:t>Sm</m:t>
            </m:r>
          </m:e>
        </m:sPre>
        <m:r>
          <w:rPr>
            <w:rFonts w:ascii="Cambria Math" w:eastAsia="Calibri" w:hAnsi="Cambria Math"/>
          </w:rPr>
          <m:t>)</m:t>
        </m:r>
      </m:oMath>
      <w:r w:rsidRPr="003B4362">
        <w:rPr>
          <w:rFonts w:eastAsia="Calibri"/>
        </w:rPr>
        <w:tab/>
        <w:t>1,000</w:t>
      </w:r>
    </w:p>
    <w:p w14:paraId="4F340FF6" w14:textId="77777777" w:rsidR="00E1635B" w:rsidRPr="003B4362" w:rsidRDefault="00E1635B" w:rsidP="00E1635B">
      <w:pPr>
        <w:tabs>
          <w:tab w:val="right" w:pos="7920"/>
        </w:tabs>
        <w:spacing w:after="120"/>
        <w:ind w:left="720"/>
        <w:rPr>
          <w:rFonts w:eastAsia="Calibri"/>
        </w:rPr>
      </w:pPr>
      <w:r w:rsidRPr="003B4362">
        <w:rPr>
          <w:rFonts w:eastAsia="Calibri"/>
        </w:rPr>
        <w:t xml:space="preserve">Samarium-153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62</m:t>
            </m:r>
          </m:sub>
          <m:sup>
            <m:r>
              <m:rPr>
                <m:sty m:val="p"/>
              </m:rPr>
              <w:rPr>
                <w:rFonts w:ascii="Cambria Math" w:eastAsia="Calibri" w:hAnsi="Cambria Math"/>
              </w:rPr>
              <m:t>153</m:t>
            </m:r>
          </m:sup>
          <m:e>
            <m:r>
              <m:rPr>
                <m:sty m:val="p"/>
              </m:rPr>
              <w:rPr>
                <w:rFonts w:ascii="Cambria Math" w:eastAsia="Calibri" w:hAnsi="Cambria Math"/>
              </w:rPr>
              <m:t>Sm</m:t>
            </m:r>
          </m:e>
        </m:sPre>
        <m:r>
          <w:rPr>
            <w:rFonts w:ascii="Cambria Math" w:eastAsia="Calibri" w:hAnsi="Cambria Math"/>
          </w:rPr>
          <m:t>)</m:t>
        </m:r>
      </m:oMath>
      <w:r w:rsidRPr="003B4362">
        <w:rPr>
          <w:rFonts w:eastAsia="Calibri"/>
        </w:rPr>
        <w:tab/>
        <w:t>200</w:t>
      </w:r>
    </w:p>
    <w:p w14:paraId="1B551D05" w14:textId="77777777" w:rsidR="00E1635B" w:rsidRPr="003B4362" w:rsidRDefault="00E1635B" w:rsidP="00E1635B">
      <w:pPr>
        <w:tabs>
          <w:tab w:val="right" w:pos="7920"/>
        </w:tabs>
        <w:spacing w:before="120"/>
        <w:ind w:left="720"/>
        <w:rPr>
          <w:rFonts w:eastAsia="Calibri"/>
        </w:rPr>
      </w:pPr>
      <w:r w:rsidRPr="003B4362">
        <w:rPr>
          <w:rFonts w:eastAsia="Calibri"/>
        </w:rPr>
        <w:t xml:space="preserve">Scandium-46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21</m:t>
            </m:r>
          </m:sub>
          <m:sup>
            <m:r>
              <m:rPr>
                <m:sty m:val="p"/>
              </m:rPr>
              <w:rPr>
                <w:rFonts w:ascii="Cambria Math" w:eastAsia="Calibri" w:hAnsi="Cambria Math"/>
              </w:rPr>
              <m:t>46</m:t>
            </m:r>
          </m:sup>
          <m:e>
            <m:r>
              <m:rPr>
                <m:sty m:val="p"/>
              </m:rPr>
              <w:rPr>
                <w:rFonts w:ascii="Cambria Math" w:eastAsia="Calibri" w:hAnsi="Cambria Math"/>
              </w:rPr>
              <m:t>Sc</m:t>
            </m:r>
          </m:e>
        </m:sPre>
        <m:r>
          <w:rPr>
            <w:rFonts w:ascii="Cambria Math" w:eastAsia="Calibri" w:hAnsi="Cambria Math"/>
          </w:rPr>
          <m:t>)</m:t>
        </m:r>
      </m:oMath>
      <w:r w:rsidRPr="003B4362">
        <w:rPr>
          <w:rFonts w:eastAsia="Calibri"/>
        </w:rPr>
        <w:tab/>
        <w:t>100</w:t>
      </w:r>
    </w:p>
    <w:p w14:paraId="2B471BB0" w14:textId="77777777" w:rsidR="00E1635B" w:rsidRPr="003B4362" w:rsidRDefault="00E1635B" w:rsidP="00E1635B">
      <w:pPr>
        <w:tabs>
          <w:tab w:val="right" w:pos="7920"/>
        </w:tabs>
        <w:ind w:left="720"/>
        <w:rPr>
          <w:rFonts w:eastAsia="Calibri"/>
        </w:rPr>
      </w:pPr>
      <w:r w:rsidRPr="003B4362">
        <w:rPr>
          <w:rFonts w:eastAsia="Calibri"/>
        </w:rPr>
        <w:t xml:space="preserve">Scandium-47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21</m:t>
            </m:r>
          </m:sub>
          <m:sup>
            <m:r>
              <m:rPr>
                <m:sty m:val="p"/>
              </m:rPr>
              <w:rPr>
                <w:rFonts w:ascii="Cambria Math" w:eastAsia="Calibri" w:hAnsi="Cambria Math"/>
              </w:rPr>
              <m:t>47</m:t>
            </m:r>
          </m:sup>
          <m:e>
            <m:r>
              <m:rPr>
                <m:sty m:val="p"/>
              </m:rPr>
              <w:rPr>
                <w:rFonts w:ascii="Cambria Math" w:eastAsia="Calibri" w:hAnsi="Cambria Math"/>
              </w:rPr>
              <m:t>Sc</m:t>
            </m:r>
          </m:e>
        </m:sPre>
        <m:r>
          <w:rPr>
            <w:rFonts w:ascii="Cambria Math" w:eastAsia="Calibri" w:hAnsi="Cambria Math"/>
          </w:rPr>
          <m:t>)</m:t>
        </m:r>
      </m:oMath>
      <w:r w:rsidRPr="003B4362">
        <w:rPr>
          <w:rFonts w:eastAsia="Calibri"/>
        </w:rPr>
        <w:tab/>
        <w:t>300</w:t>
      </w:r>
    </w:p>
    <w:p w14:paraId="61FE04BB" w14:textId="77777777" w:rsidR="00E1635B" w:rsidRPr="003B4362" w:rsidRDefault="00E1635B" w:rsidP="00E1635B">
      <w:pPr>
        <w:tabs>
          <w:tab w:val="right" w:pos="7920"/>
        </w:tabs>
        <w:spacing w:after="120"/>
        <w:ind w:left="720"/>
        <w:rPr>
          <w:rFonts w:eastAsia="Calibri"/>
        </w:rPr>
      </w:pPr>
      <w:r w:rsidRPr="003B4362">
        <w:rPr>
          <w:rFonts w:eastAsia="Calibri"/>
        </w:rPr>
        <w:t xml:space="preserve">Scandium-48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21</m:t>
            </m:r>
          </m:sub>
          <m:sup>
            <m:r>
              <m:rPr>
                <m:sty m:val="p"/>
              </m:rPr>
              <w:rPr>
                <w:rFonts w:ascii="Cambria Math" w:eastAsia="Calibri" w:hAnsi="Cambria Math"/>
              </w:rPr>
              <m:t>48</m:t>
            </m:r>
          </m:sup>
          <m:e>
            <m:r>
              <m:rPr>
                <m:sty m:val="p"/>
              </m:rPr>
              <w:rPr>
                <w:rFonts w:ascii="Cambria Math" w:eastAsia="Calibri" w:hAnsi="Cambria Math"/>
              </w:rPr>
              <m:t>Sc</m:t>
            </m:r>
          </m:e>
        </m:sPre>
        <m:r>
          <w:rPr>
            <w:rFonts w:ascii="Cambria Math" w:eastAsia="Calibri" w:hAnsi="Cambria Math"/>
          </w:rPr>
          <m:t>)</m:t>
        </m:r>
      </m:oMath>
      <w:r w:rsidRPr="003B4362">
        <w:rPr>
          <w:rFonts w:eastAsia="Calibri"/>
        </w:rPr>
        <w:tab/>
        <w:t>80</w:t>
      </w:r>
    </w:p>
    <w:p w14:paraId="690852F2"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Selenium-75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34</m:t>
            </m:r>
          </m:sub>
          <m:sup>
            <m:r>
              <m:rPr>
                <m:sty m:val="p"/>
              </m:rPr>
              <w:rPr>
                <w:rFonts w:ascii="Cambria Math" w:eastAsia="Calibri" w:hAnsi="Cambria Math"/>
              </w:rPr>
              <m:t>75</m:t>
            </m:r>
          </m:sup>
          <m:e>
            <m:r>
              <m:rPr>
                <m:sty m:val="p"/>
              </m:rPr>
              <w:rPr>
                <w:rFonts w:ascii="Cambria Math" w:eastAsia="Calibri" w:hAnsi="Cambria Math"/>
              </w:rPr>
              <m:t>Se</m:t>
            </m:r>
          </m:e>
        </m:sPre>
        <m:r>
          <w:rPr>
            <w:rFonts w:ascii="Cambria Math" w:eastAsia="Calibri" w:hAnsi="Cambria Math"/>
          </w:rPr>
          <m:t>)</m:t>
        </m:r>
      </m:oMath>
      <w:r w:rsidRPr="003B4362">
        <w:rPr>
          <w:rFonts w:eastAsia="Calibri"/>
        </w:rPr>
        <w:tab/>
        <w:t>900</w:t>
      </w:r>
    </w:p>
    <w:p w14:paraId="7F630605"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Silicon-31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14</m:t>
            </m:r>
          </m:sub>
          <m:sup>
            <m:r>
              <m:rPr>
                <m:sty m:val="p"/>
              </m:rPr>
              <w:rPr>
                <w:rFonts w:ascii="Cambria Math" w:eastAsia="Calibri" w:hAnsi="Cambria Math"/>
              </w:rPr>
              <m:t>31</m:t>
            </m:r>
          </m:sup>
          <m:e>
            <m:r>
              <m:rPr>
                <m:sty m:val="p"/>
              </m:rPr>
              <w:rPr>
                <w:rFonts w:ascii="Cambria Math" w:eastAsia="Calibri" w:hAnsi="Cambria Math"/>
              </w:rPr>
              <m:t>Si</m:t>
            </m:r>
          </m:e>
        </m:sPre>
        <m:r>
          <w:rPr>
            <w:rFonts w:ascii="Cambria Math" w:eastAsia="Calibri" w:hAnsi="Cambria Math"/>
          </w:rPr>
          <m:t>)</m:t>
        </m:r>
      </m:oMath>
      <w:r w:rsidRPr="003B4362">
        <w:rPr>
          <w:rFonts w:eastAsia="Calibri"/>
        </w:rPr>
        <w:tab/>
        <w:t>3,000</w:t>
      </w:r>
    </w:p>
    <w:p w14:paraId="14EAF48A" w14:textId="77777777" w:rsidR="00E1635B" w:rsidRPr="003B4362" w:rsidRDefault="00E1635B" w:rsidP="00E1635B">
      <w:pPr>
        <w:tabs>
          <w:tab w:val="right" w:pos="7920"/>
        </w:tabs>
        <w:spacing w:before="120"/>
        <w:ind w:left="720"/>
        <w:rPr>
          <w:rFonts w:eastAsia="Calibri"/>
        </w:rPr>
      </w:pPr>
      <w:r w:rsidRPr="003B4362">
        <w:rPr>
          <w:rFonts w:eastAsia="Calibri"/>
        </w:rPr>
        <w:t xml:space="preserve">Silver-105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47</m:t>
            </m:r>
          </m:sub>
          <m:sup>
            <m:r>
              <m:rPr>
                <m:sty m:val="p"/>
              </m:rPr>
              <w:rPr>
                <w:rFonts w:ascii="Cambria Math" w:eastAsia="Calibri" w:hAnsi="Cambria Math"/>
              </w:rPr>
              <m:t>105</m:t>
            </m:r>
          </m:sup>
          <m:e>
            <m:r>
              <m:rPr>
                <m:sty m:val="p"/>
              </m:rPr>
              <w:rPr>
                <w:rFonts w:ascii="Cambria Math" w:eastAsia="Calibri" w:hAnsi="Cambria Math"/>
              </w:rPr>
              <m:t>Ag</m:t>
            </m:r>
          </m:e>
        </m:sPre>
        <m:r>
          <w:rPr>
            <w:rFonts w:ascii="Cambria Math" w:eastAsia="Calibri" w:hAnsi="Cambria Math"/>
          </w:rPr>
          <m:t>)</m:t>
        </m:r>
      </m:oMath>
      <w:r w:rsidRPr="003B4362">
        <w:rPr>
          <w:rFonts w:eastAsia="Calibri"/>
        </w:rPr>
        <w:tab/>
        <w:t>300</w:t>
      </w:r>
    </w:p>
    <w:p w14:paraId="14B41C64" w14:textId="77777777" w:rsidR="00E1635B" w:rsidRPr="003B4362" w:rsidRDefault="00E1635B" w:rsidP="00E1635B">
      <w:pPr>
        <w:tabs>
          <w:tab w:val="right" w:pos="7920"/>
        </w:tabs>
        <w:ind w:left="720"/>
        <w:rPr>
          <w:rFonts w:eastAsia="Calibri"/>
        </w:rPr>
      </w:pPr>
      <w:r w:rsidRPr="003B4362">
        <w:rPr>
          <w:rFonts w:eastAsia="Calibri"/>
        </w:rPr>
        <w:t xml:space="preserve">Silver-110m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47</m:t>
            </m:r>
          </m:sub>
          <m:sup>
            <m:r>
              <m:rPr>
                <m:sty m:val="p"/>
              </m:rPr>
              <w:rPr>
                <w:rFonts w:ascii="Cambria Math" w:eastAsia="Calibri" w:hAnsi="Cambria Math"/>
              </w:rPr>
              <m:t>110m</m:t>
            </m:r>
          </m:sup>
          <m:e>
            <m:r>
              <m:rPr>
                <m:sty m:val="p"/>
              </m:rPr>
              <w:rPr>
                <w:rFonts w:ascii="Cambria Math" w:eastAsia="Calibri" w:hAnsi="Cambria Math"/>
              </w:rPr>
              <m:t>Ag</m:t>
            </m:r>
          </m:e>
        </m:sPre>
        <m:r>
          <w:rPr>
            <w:rFonts w:ascii="Cambria Math" w:eastAsia="Calibri" w:hAnsi="Cambria Math"/>
          </w:rPr>
          <m:t>)</m:t>
        </m:r>
      </m:oMath>
      <w:r w:rsidRPr="003B4362">
        <w:rPr>
          <w:rFonts w:eastAsia="Calibri"/>
        </w:rPr>
        <w:tab/>
        <w:t>90</w:t>
      </w:r>
    </w:p>
    <w:p w14:paraId="5CB1DC07" w14:textId="77777777" w:rsidR="00E1635B" w:rsidRPr="003B4362" w:rsidRDefault="00E1635B" w:rsidP="00E1635B">
      <w:pPr>
        <w:tabs>
          <w:tab w:val="right" w:pos="7920"/>
        </w:tabs>
        <w:spacing w:after="120"/>
        <w:ind w:left="720"/>
        <w:rPr>
          <w:rFonts w:eastAsia="Calibri"/>
        </w:rPr>
      </w:pPr>
      <w:r w:rsidRPr="003B4362">
        <w:rPr>
          <w:rFonts w:eastAsia="Calibri"/>
        </w:rPr>
        <w:t xml:space="preserve">Silver-111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47</m:t>
            </m:r>
          </m:sub>
          <m:sup>
            <m:r>
              <m:rPr>
                <m:sty m:val="p"/>
              </m:rPr>
              <w:rPr>
                <w:rFonts w:ascii="Cambria Math" w:eastAsia="Calibri" w:hAnsi="Cambria Math"/>
              </w:rPr>
              <m:t>111</m:t>
            </m:r>
          </m:sup>
          <m:e>
            <m:r>
              <m:rPr>
                <m:sty m:val="p"/>
              </m:rPr>
              <w:rPr>
                <w:rFonts w:ascii="Cambria Math" w:eastAsia="Calibri" w:hAnsi="Cambria Math"/>
              </w:rPr>
              <m:t>Ag</m:t>
            </m:r>
          </m:e>
        </m:sPre>
        <m:r>
          <w:rPr>
            <w:rFonts w:ascii="Cambria Math" w:eastAsia="Calibri" w:hAnsi="Cambria Math"/>
          </w:rPr>
          <m:t>)</m:t>
        </m:r>
      </m:oMath>
      <w:r w:rsidRPr="003B4362">
        <w:rPr>
          <w:rFonts w:eastAsia="Calibri"/>
        </w:rPr>
        <w:tab/>
        <w:t>100</w:t>
      </w:r>
    </w:p>
    <w:p w14:paraId="2E52DF1F" w14:textId="77777777" w:rsidR="00E1635B" w:rsidRPr="003B4362" w:rsidRDefault="00E1635B" w:rsidP="00E1635B">
      <w:pPr>
        <w:tabs>
          <w:tab w:val="right" w:pos="7920"/>
        </w:tabs>
        <w:spacing w:before="120"/>
        <w:ind w:left="720"/>
        <w:rPr>
          <w:rFonts w:eastAsia="Calibri"/>
        </w:rPr>
      </w:pPr>
      <w:r w:rsidRPr="003B4362">
        <w:rPr>
          <w:rFonts w:eastAsia="Calibri"/>
        </w:rPr>
        <w:t xml:space="preserve">Sodium-22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11</m:t>
            </m:r>
          </m:sub>
          <m:sup>
            <m:r>
              <m:rPr>
                <m:sty m:val="p"/>
              </m:rPr>
              <w:rPr>
                <w:rFonts w:ascii="Cambria Math" w:eastAsia="Calibri" w:hAnsi="Cambria Math"/>
              </w:rPr>
              <m:t>22</m:t>
            </m:r>
          </m:sup>
          <m:e>
            <m:r>
              <m:rPr>
                <m:sty m:val="p"/>
              </m:rPr>
              <w:rPr>
                <w:rFonts w:ascii="Cambria Math" w:eastAsia="Calibri" w:hAnsi="Cambria Math"/>
              </w:rPr>
              <m:t>Na</m:t>
            </m:r>
          </m:e>
        </m:sPre>
        <m:r>
          <w:rPr>
            <w:rFonts w:ascii="Cambria Math" w:eastAsia="Calibri" w:hAnsi="Cambria Math"/>
          </w:rPr>
          <m:t>)</m:t>
        </m:r>
      </m:oMath>
      <w:r w:rsidRPr="003B4362">
        <w:rPr>
          <w:rFonts w:eastAsia="Calibri"/>
        </w:rPr>
        <w:tab/>
        <w:t>400</w:t>
      </w:r>
    </w:p>
    <w:p w14:paraId="3C46754A" w14:textId="77777777" w:rsidR="00E1635B" w:rsidRPr="003B4362" w:rsidRDefault="00E1635B" w:rsidP="00E1635B">
      <w:pPr>
        <w:tabs>
          <w:tab w:val="right" w:pos="7920"/>
        </w:tabs>
        <w:spacing w:after="120"/>
        <w:ind w:left="720"/>
        <w:rPr>
          <w:rFonts w:eastAsia="Calibri"/>
        </w:rPr>
      </w:pPr>
      <w:r w:rsidRPr="003B4362">
        <w:rPr>
          <w:rFonts w:eastAsia="Calibri"/>
        </w:rPr>
        <w:t xml:space="preserve">Sodium-24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11</m:t>
            </m:r>
          </m:sub>
          <m:sup>
            <m:r>
              <m:rPr>
                <m:sty m:val="p"/>
              </m:rPr>
              <w:rPr>
                <w:rFonts w:ascii="Cambria Math" w:eastAsia="Calibri" w:hAnsi="Cambria Math"/>
              </w:rPr>
              <m:t>24</m:t>
            </m:r>
          </m:sup>
          <m:e>
            <m:r>
              <m:rPr>
                <m:sty m:val="p"/>
              </m:rPr>
              <w:rPr>
                <w:rFonts w:ascii="Cambria Math" w:eastAsia="Calibri" w:hAnsi="Cambria Math"/>
              </w:rPr>
              <m:t>Na</m:t>
            </m:r>
          </m:e>
        </m:sPre>
        <m:r>
          <w:rPr>
            <w:rFonts w:ascii="Cambria Math" w:eastAsia="Calibri" w:hAnsi="Cambria Math"/>
          </w:rPr>
          <m:t>)</m:t>
        </m:r>
      </m:oMath>
      <w:r w:rsidRPr="003B4362">
        <w:rPr>
          <w:rFonts w:eastAsia="Calibri"/>
        </w:rPr>
        <w:tab/>
        <w:t>600</w:t>
      </w:r>
    </w:p>
    <w:p w14:paraId="760E673B" w14:textId="77777777" w:rsidR="00E1635B" w:rsidRPr="003B4362" w:rsidRDefault="00E1635B" w:rsidP="00E1635B">
      <w:pPr>
        <w:tabs>
          <w:tab w:val="right" w:pos="7920"/>
        </w:tabs>
        <w:spacing w:before="120"/>
        <w:ind w:left="720"/>
        <w:rPr>
          <w:rFonts w:eastAsia="Calibri"/>
        </w:rPr>
      </w:pPr>
      <w:r w:rsidRPr="003B4362">
        <w:rPr>
          <w:rFonts w:eastAsia="Calibri"/>
        </w:rPr>
        <w:t xml:space="preserve">Strontium-85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85</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900</w:t>
      </w:r>
    </w:p>
    <w:p w14:paraId="219B29FD" w14:textId="77777777" w:rsidR="00E1635B" w:rsidRPr="003B4362" w:rsidRDefault="00E1635B" w:rsidP="00E1635B">
      <w:pPr>
        <w:tabs>
          <w:tab w:val="right" w:pos="7920"/>
        </w:tabs>
        <w:ind w:left="720"/>
        <w:rPr>
          <w:rFonts w:eastAsia="Calibri"/>
        </w:rPr>
      </w:pPr>
      <w:r w:rsidRPr="003B4362">
        <w:rPr>
          <w:rFonts w:eastAsia="Calibri"/>
        </w:rPr>
        <w:t xml:space="preserve">Strontium-85m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85m</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20,000</w:t>
      </w:r>
    </w:p>
    <w:p w14:paraId="58A68395" w14:textId="77777777" w:rsidR="00E1635B" w:rsidRPr="003B4362" w:rsidRDefault="00E1635B" w:rsidP="00E1635B">
      <w:pPr>
        <w:tabs>
          <w:tab w:val="right" w:pos="7920"/>
        </w:tabs>
        <w:ind w:left="720"/>
        <w:rPr>
          <w:rFonts w:eastAsia="Calibri"/>
        </w:rPr>
      </w:pPr>
      <w:r w:rsidRPr="003B4362">
        <w:rPr>
          <w:rFonts w:eastAsia="Calibri"/>
        </w:rPr>
        <w:t xml:space="preserve">Strontium-89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89</m:t>
            </m:r>
          </m:sup>
          <m:e>
            <m:r>
              <m:rPr>
                <m:sty m:val="p"/>
              </m:rPr>
              <w:rPr>
                <w:rFonts w:ascii="Cambria Math" w:eastAsia="Calibri" w:hAnsi="Cambria Math"/>
              </w:rPr>
              <m:t>Sr</m:t>
            </m:r>
          </m:e>
        </m:sPre>
        <m:r>
          <w:rPr>
            <w:rFonts w:ascii="Cambria Math" w:eastAsia="Calibri" w:hAnsi="Cambria Math"/>
          </w:rPr>
          <m:t>)</m:t>
        </m:r>
        <m:r>
          <m:rPr>
            <m:sty m:val="p"/>
          </m:rPr>
          <w:rPr>
            <w:rFonts w:ascii="Cambria Math" w:eastAsia="Calibri" w:hAnsi="Cambria Math"/>
          </w:rPr>
          <m:t xml:space="preserve"> Bone</m:t>
        </m:r>
      </m:oMath>
      <w:r w:rsidRPr="003B4362">
        <w:rPr>
          <w:rFonts w:eastAsia="Calibri"/>
        </w:rPr>
        <w:tab/>
        <w:t>20</w:t>
      </w:r>
    </w:p>
    <w:p w14:paraId="0712DF92" w14:textId="77777777" w:rsidR="00E1635B" w:rsidRPr="003B4362" w:rsidRDefault="00E1635B" w:rsidP="00E1635B">
      <w:pPr>
        <w:tabs>
          <w:tab w:val="right" w:pos="7920"/>
        </w:tabs>
        <w:ind w:left="720"/>
        <w:rPr>
          <w:rFonts w:eastAsia="Calibri"/>
        </w:rPr>
      </w:pPr>
      <w:r w:rsidRPr="003B4362">
        <w:rPr>
          <w:rFonts w:eastAsia="Calibri"/>
        </w:rPr>
        <w:t xml:space="preserve">Strontium-90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90</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8</w:t>
      </w:r>
    </w:p>
    <w:p w14:paraId="7A17A1DA" w14:textId="77777777" w:rsidR="00E1635B" w:rsidRPr="003B4362" w:rsidRDefault="00E1635B" w:rsidP="00E1635B">
      <w:pPr>
        <w:tabs>
          <w:tab w:val="right" w:pos="7920"/>
        </w:tabs>
        <w:ind w:left="720"/>
        <w:rPr>
          <w:rFonts w:eastAsia="Calibri"/>
        </w:rPr>
      </w:pPr>
      <w:r w:rsidRPr="003B4362">
        <w:rPr>
          <w:rFonts w:eastAsia="Calibri"/>
        </w:rPr>
        <w:t xml:space="preserve">Strontium-91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91</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200</w:t>
      </w:r>
    </w:p>
    <w:p w14:paraId="77A922C6" w14:textId="77777777" w:rsidR="00E1635B" w:rsidRPr="003B4362" w:rsidRDefault="00E1635B" w:rsidP="00E1635B">
      <w:pPr>
        <w:tabs>
          <w:tab w:val="right" w:pos="7920"/>
        </w:tabs>
        <w:spacing w:after="120"/>
        <w:ind w:left="720"/>
        <w:rPr>
          <w:rFonts w:eastAsia="Calibri"/>
        </w:rPr>
      </w:pPr>
      <w:r w:rsidRPr="003B4362">
        <w:rPr>
          <w:rFonts w:eastAsia="Calibri"/>
        </w:rPr>
        <w:t xml:space="preserve">Strontium-92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92</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200</w:t>
      </w:r>
    </w:p>
    <w:p w14:paraId="2EA80C6D" w14:textId="77777777" w:rsidR="00E1635B" w:rsidRPr="003B4362" w:rsidRDefault="00E1635B" w:rsidP="00E1635B">
      <w:pPr>
        <w:tabs>
          <w:tab w:val="right" w:pos="7920"/>
        </w:tabs>
        <w:spacing w:before="120" w:after="120"/>
        <w:ind w:left="720"/>
        <w:rPr>
          <w:rFonts w:eastAsia="Calibri"/>
        </w:rPr>
      </w:pPr>
      <w:r w:rsidRPr="003B4362">
        <w:rPr>
          <w:rFonts w:eastAsia="Calibri"/>
        </w:rPr>
        <w:lastRenderedPageBreak/>
        <w:t xml:space="preserve">Sulfur-35 (inorganic)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16</m:t>
            </m:r>
          </m:sub>
          <m:sup>
            <m:r>
              <m:rPr>
                <m:sty m:val="p"/>
              </m:rPr>
              <w:rPr>
                <w:rFonts w:ascii="Cambria Math" w:eastAsia="Calibri" w:hAnsi="Cambria Math"/>
              </w:rPr>
              <m:t>35</m:t>
            </m:r>
          </m:sup>
          <m:e>
            <m:r>
              <m:rPr>
                <m:sty m:val="p"/>
              </m:rPr>
              <w:rPr>
                <w:rFonts w:ascii="Cambria Math" w:eastAsia="Calibri" w:hAnsi="Cambria Math"/>
              </w:rPr>
              <m:t>S</m:t>
            </m:r>
          </m:e>
        </m:sPre>
        <m:r>
          <w:rPr>
            <w:rFonts w:ascii="Cambria Math" w:eastAsia="Calibri" w:hAnsi="Cambria Math"/>
          </w:rPr>
          <m:t>)</m:t>
        </m:r>
      </m:oMath>
      <w:r w:rsidRPr="003B4362">
        <w:rPr>
          <w:rFonts w:eastAsia="Calibri"/>
        </w:rPr>
        <w:tab/>
        <w:t>500</w:t>
      </w:r>
    </w:p>
    <w:p w14:paraId="7FF18D3B"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Tantalum-182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73</m:t>
            </m:r>
          </m:sub>
          <m:sup>
            <m:r>
              <m:rPr>
                <m:sty m:val="p"/>
              </m:rPr>
              <w:rPr>
                <w:rFonts w:ascii="Cambria Math" w:eastAsia="Calibri" w:hAnsi="Cambria Math"/>
              </w:rPr>
              <m:t>182</m:t>
            </m:r>
          </m:sup>
          <m:e>
            <m:r>
              <m:rPr>
                <m:sty m:val="p"/>
              </m:rPr>
              <w:rPr>
                <w:rFonts w:ascii="Cambria Math" w:eastAsia="Calibri" w:hAnsi="Cambria Math"/>
              </w:rPr>
              <m:t>Ta</m:t>
            </m:r>
          </m:e>
        </m:sPre>
        <m:r>
          <w:rPr>
            <w:rFonts w:ascii="Cambria Math" w:eastAsia="Calibri" w:hAnsi="Cambria Math"/>
          </w:rPr>
          <m:t>)</m:t>
        </m:r>
      </m:oMath>
      <w:r w:rsidRPr="003B4362">
        <w:rPr>
          <w:rFonts w:eastAsia="Calibri"/>
        </w:rPr>
        <w:tab/>
        <w:t>100</w:t>
      </w:r>
    </w:p>
    <w:p w14:paraId="70C41641" w14:textId="77777777" w:rsidR="00E1635B" w:rsidRPr="003B4362" w:rsidRDefault="00E1635B" w:rsidP="00E1635B">
      <w:pPr>
        <w:tabs>
          <w:tab w:val="right" w:pos="7920"/>
        </w:tabs>
        <w:spacing w:before="120"/>
        <w:ind w:left="720"/>
        <w:rPr>
          <w:rFonts w:eastAsia="Calibri"/>
        </w:rPr>
      </w:pPr>
      <w:r w:rsidRPr="003B4362">
        <w:rPr>
          <w:rFonts w:eastAsia="Calibri"/>
        </w:rPr>
        <w:t xml:space="preserve">Technetium-96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96</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300</w:t>
      </w:r>
    </w:p>
    <w:p w14:paraId="2D96A557" w14:textId="77777777" w:rsidR="00E1635B" w:rsidRPr="003B4362" w:rsidRDefault="00E1635B" w:rsidP="00E1635B">
      <w:pPr>
        <w:tabs>
          <w:tab w:val="right" w:pos="7920"/>
        </w:tabs>
        <w:ind w:left="720"/>
        <w:rPr>
          <w:rFonts w:eastAsia="Calibri"/>
        </w:rPr>
      </w:pPr>
      <w:r w:rsidRPr="003B4362">
        <w:rPr>
          <w:rFonts w:eastAsia="Calibri"/>
        </w:rPr>
        <w:t xml:space="preserve">Technetium-96m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96m</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30,000</w:t>
      </w:r>
    </w:p>
    <w:p w14:paraId="0751B979" w14:textId="77777777" w:rsidR="00E1635B" w:rsidRPr="003B4362" w:rsidRDefault="00E1635B" w:rsidP="00E1635B">
      <w:pPr>
        <w:tabs>
          <w:tab w:val="right" w:pos="7920"/>
        </w:tabs>
        <w:ind w:left="720"/>
        <w:rPr>
          <w:rFonts w:eastAsia="Calibri"/>
        </w:rPr>
      </w:pPr>
      <w:r w:rsidRPr="003B4362">
        <w:rPr>
          <w:rFonts w:eastAsia="Calibri"/>
        </w:rPr>
        <w:t xml:space="preserve">Technetium-97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97</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6,000</w:t>
      </w:r>
    </w:p>
    <w:p w14:paraId="654519A4" w14:textId="77777777" w:rsidR="00E1635B" w:rsidRPr="003B4362" w:rsidRDefault="00E1635B" w:rsidP="00E1635B">
      <w:pPr>
        <w:tabs>
          <w:tab w:val="right" w:pos="7920"/>
        </w:tabs>
        <w:ind w:left="720"/>
        <w:rPr>
          <w:rFonts w:eastAsia="Calibri"/>
        </w:rPr>
      </w:pPr>
      <w:r w:rsidRPr="003B4362">
        <w:rPr>
          <w:rFonts w:eastAsia="Calibri"/>
        </w:rPr>
        <w:t xml:space="preserve">Technetium-97m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97m</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1,000</w:t>
      </w:r>
    </w:p>
    <w:p w14:paraId="26F59BBF" w14:textId="77777777" w:rsidR="00E1635B" w:rsidRPr="003B4362" w:rsidRDefault="00E1635B" w:rsidP="00E1635B">
      <w:pPr>
        <w:tabs>
          <w:tab w:val="right" w:pos="7920"/>
        </w:tabs>
        <w:ind w:left="720"/>
        <w:rPr>
          <w:rFonts w:eastAsia="Calibri"/>
        </w:rPr>
      </w:pPr>
      <w:r w:rsidRPr="003B4362">
        <w:rPr>
          <w:rFonts w:eastAsia="Calibri"/>
        </w:rPr>
        <w:t xml:space="preserve">Technetium-99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99</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900</w:t>
      </w:r>
    </w:p>
    <w:p w14:paraId="3764A8D5" w14:textId="77777777" w:rsidR="00E1635B" w:rsidRPr="003B4362" w:rsidRDefault="00E1635B" w:rsidP="00E1635B">
      <w:pPr>
        <w:tabs>
          <w:tab w:val="right" w:pos="7920"/>
        </w:tabs>
        <w:spacing w:after="120"/>
        <w:ind w:left="720"/>
        <w:rPr>
          <w:rFonts w:eastAsia="Calibri"/>
        </w:rPr>
      </w:pPr>
      <w:r w:rsidRPr="003B4362">
        <w:rPr>
          <w:rFonts w:eastAsia="Calibri"/>
        </w:rPr>
        <w:t xml:space="preserve">Technetium-99m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99m</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20,000</w:t>
      </w:r>
    </w:p>
    <w:p w14:paraId="2BADC0EE" w14:textId="77777777" w:rsidR="00E1635B" w:rsidRPr="003B4362" w:rsidRDefault="00E1635B" w:rsidP="00E1635B">
      <w:pPr>
        <w:tabs>
          <w:tab w:val="right" w:pos="7920"/>
        </w:tabs>
        <w:spacing w:before="120"/>
        <w:ind w:left="720"/>
        <w:rPr>
          <w:rFonts w:eastAsia="Calibri"/>
        </w:rPr>
      </w:pPr>
      <w:r w:rsidRPr="003B4362">
        <w:rPr>
          <w:rFonts w:eastAsia="Calibri"/>
        </w:rPr>
        <w:t xml:space="preserve">Tellurium-125m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125m</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600</w:t>
      </w:r>
    </w:p>
    <w:p w14:paraId="43CF443A" w14:textId="77777777" w:rsidR="00E1635B" w:rsidRPr="003B4362" w:rsidRDefault="00E1635B" w:rsidP="00E1635B">
      <w:pPr>
        <w:tabs>
          <w:tab w:val="right" w:pos="7920"/>
        </w:tabs>
        <w:ind w:left="720"/>
        <w:rPr>
          <w:rFonts w:eastAsia="Calibri"/>
        </w:rPr>
      </w:pPr>
      <w:r w:rsidRPr="003B4362">
        <w:rPr>
          <w:rFonts w:eastAsia="Calibri"/>
        </w:rPr>
        <w:t xml:space="preserve">Tellurium-127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127</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900</w:t>
      </w:r>
    </w:p>
    <w:p w14:paraId="01792FC7" w14:textId="77777777" w:rsidR="00E1635B" w:rsidRPr="003B4362" w:rsidRDefault="00E1635B" w:rsidP="00E1635B">
      <w:pPr>
        <w:tabs>
          <w:tab w:val="right" w:pos="7920"/>
        </w:tabs>
        <w:ind w:left="720"/>
        <w:rPr>
          <w:rFonts w:eastAsia="Calibri"/>
        </w:rPr>
      </w:pPr>
      <w:r w:rsidRPr="003B4362">
        <w:rPr>
          <w:rFonts w:eastAsia="Calibri"/>
        </w:rPr>
        <w:t xml:space="preserve">Tellurium-127m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127m</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200</w:t>
      </w:r>
    </w:p>
    <w:p w14:paraId="212A9C71" w14:textId="77777777" w:rsidR="00E1635B" w:rsidRPr="003B4362" w:rsidRDefault="00E1635B" w:rsidP="00E1635B">
      <w:pPr>
        <w:tabs>
          <w:tab w:val="right" w:pos="7920"/>
        </w:tabs>
        <w:ind w:left="720"/>
        <w:rPr>
          <w:rFonts w:eastAsia="Calibri"/>
        </w:rPr>
      </w:pPr>
      <w:r w:rsidRPr="003B4362">
        <w:rPr>
          <w:rFonts w:eastAsia="Calibri"/>
        </w:rPr>
        <w:t xml:space="preserve">Tellurium-129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129</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2,000</w:t>
      </w:r>
    </w:p>
    <w:p w14:paraId="7AC068E6" w14:textId="77777777" w:rsidR="00E1635B" w:rsidRPr="003B4362" w:rsidRDefault="00E1635B" w:rsidP="00E1635B">
      <w:pPr>
        <w:tabs>
          <w:tab w:val="right" w:pos="7920"/>
        </w:tabs>
        <w:ind w:left="720"/>
        <w:rPr>
          <w:rFonts w:eastAsia="Calibri"/>
        </w:rPr>
      </w:pPr>
      <w:r w:rsidRPr="003B4362">
        <w:rPr>
          <w:rFonts w:eastAsia="Calibri"/>
        </w:rPr>
        <w:t xml:space="preserve">Tellurium-129m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129m</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90</w:t>
      </w:r>
    </w:p>
    <w:p w14:paraId="428540B2" w14:textId="77777777" w:rsidR="00E1635B" w:rsidRPr="003B4362" w:rsidRDefault="00E1635B" w:rsidP="00E1635B">
      <w:pPr>
        <w:tabs>
          <w:tab w:val="right" w:pos="7920"/>
        </w:tabs>
        <w:ind w:left="720"/>
        <w:rPr>
          <w:rFonts w:eastAsia="Calibri"/>
        </w:rPr>
      </w:pPr>
      <w:r w:rsidRPr="003B4362">
        <w:rPr>
          <w:rFonts w:eastAsia="Calibri"/>
        </w:rPr>
        <w:t xml:space="preserve">Tellurium-131m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131m</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200</w:t>
      </w:r>
    </w:p>
    <w:p w14:paraId="0D0FB593" w14:textId="77777777" w:rsidR="00E1635B" w:rsidRPr="003B4362" w:rsidRDefault="00E1635B" w:rsidP="00E1635B">
      <w:pPr>
        <w:tabs>
          <w:tab w:val="right" w:pos="7920"/>
        </w:tabs>
        <w:spacing w:after="120"/>
        <w:ind w:left="720"/>
        <w:rPr>
          <w:rFonts w:eastAsia="Calibri"/>
        </w:rPr>
      </w:pPr>
      <w:r w:rsidRPr="003B4362">
        <w:rPr>
          <w:rFonts w:eastAsia="Calibri"/>
        </w:rPr>
        <w:t xml:space="preserve">Tellurium-132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132</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90</w:t>
      </w:r>
    </w:p>
    <w:p w14:paraId="2EB571C4" w14:textId="0D2F6709" w:rsidR="00E1635B" w:rsidRPr="003B4362" w:rsidRDefault="00E1635B" w:rsidP="00E1635B">
      <w:pPr>
        <w:tabs>
          <w:tab w:val="right" w:pos="7920"/>
        </w:tabs>
        <w:spacing w:before="120" w:after="120"/>
        <w:ind w:left="720"/>
        <w:rPr>
          <w:rFonts w:eastAsia="Calibri"/>
        </w:rPr>
      </w:pPr>
      <w:r w:rsidRPr="003B4362">
        <w:rPr>
          <w:rFonts w:eastAsia="Calibri"/>
        </w:rPr>
        <w:t xml:space="preserve">Terbium-160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65</m:t>
            </m:r>
          </m:sub>
          <m:sup>
            <m:r>
              <m:rPr>
                <m:sty m:val="p"/>
              </m:rPr>
              <w:rPr>
                <w:rFonts w:ascii="Cambria Math" w:eastAsia="Calibri" w:hAnsi="Cambria Math"/>
              </w:rPr>
              <m:t>160</m:t>
            </m:r>
          </m:sup>
          <m:e>
            <m:r>
              <m:rPr>
                <m:sty m:val="p"/>
              </m:rPr>
              <w:rPr>
                <w:rFonts w:ascii="Cambria Math" w:eastAsia="Calibri" w:hAnsi="Cambria Math"/>
              </w:rPr>
              <m:t>Tb</m:t>
            </m:r>
          </m:e>
        </m:sPre>
        <m:r>
          <w:rPr>
            <w:rFonts w:ascii="Cambria Math" w:eastAsia="Calibri" w:hAnsi="Cambria Math"/>
          </w:rPr>
          <m:t>)</m:t>
        </m:r>
      </m:oMath>
      <w:r w:rsidRPr="003B4362">
        <w:rPr>
          <w:rFonts w:eastAsia="Calibri"/>
        </w:rPr>
        <w:tab/>
        <w:t>100</w:t>
      </w:r>
    </w:p>
    <w:p w14:paraId="01DA29E0" w14:textId="77777777" w:rsidR="00E1635B" w:rsidRPr="003B4362" w:rsidRDefault="00E1635B" w:rsidP="00E1635B">
      <w:pPr>
        <w:tabs>
          <w:tab w:val="right" w:pos="7920"/>
        </w:tabs>
        <w:spacing w:before="120"/>
        <w:ind w:left="720"/>
        <w:rPr>
          <w:rFonts w:eastAsia="Calibri"/>
        </w:rPr>
      </w:pPr>
      <w:r w:rsidRPr="003B4362">
        <w:rPr>
          <w:rFonts w:eastAsia="Calibri"/>
        </w:rPr>
        <w:t xml:space="preserve">Thallium-200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81</m:t>
            </m:r>
          </m:sub>
          <m:sup>
            <m:r>
              <m:rPr>
                <m:sty m:val="p"/>
              </m:rPr>
              <w:rPr>
                <w:rFonts w:ascii="Cambria Math" w:eastAsia="Calibri" w:hAnsi="Cambria Math"/>
              </w:rPr>
              <m:t>200</m:t>
            </m:r>
          </m:sup>
          <m:e>
            <m:r>
              <m:rPr>
                <m:sty m:val="p"/>
              </m:rPr>
              <w:rPr>
                <w:rFonts w:ascii="Cambria Math" w:eastAsia="Calibri" w:hAnsi="Cambria Math"/>
              </w:rPr>
              <m:t>Tl</m:t>
            </m:r>
          </m:e>
        </m:sPre>
        <m:r>
          <w:rPr>
            <w:rFonts w:ascii="Cambria Math" w:eastAsia="Calibri" w:hAnsi="Cambria Math"/>
          </w:rPr>
          <m:t>)</m:t>
        </m:r>
      </m:oMath>
      <w:r w:rsidRPr="003B4362">
        <w:rPr>
          <w:rFonts w:eastAsia="Calibri"/>
        </w:rPr>
        <w:tab/>
        <w:t>1,000</w:t>
      </w:r>
    </w:p>
    <w:p w14:paraId="2985164C" w14:textId="77777777" w:rsidR="00E1635B" w:rsidRPr="003B4362" w:rsidRDefault="00E1635B" w:rsidP="00E1635B">
      <w:pPr>
        <w:tabs>
          <w:tab w:val="right" w:pos="7920"/>
        </w:tabs>
        <w:ind w:left="720"/>
        <w:rPr>
          <w:rFonts w:eastAsia="Calibri"/>
        </w:rPr>
      </w:pPr>
      <w:r w:rsidRPr="003B4362">
        <w:rPr>
          <w:rFonts w:eastAsia="Calibri"/>
        </w:rPr>
        <w:t xml:space="preserve">Thallium-201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81</m:t>
            </m:r>
          </m:sub>
          <m:sup>
            <m:r>
              <m:rPr>
                <m:sty m:val="p"/>
              </m:rPr>
              <w:rPr>
                <w:rFonts w:ascii="Cambria Math" w:eastAsia="Calibri" w:hAnsi="Cambria Math"/>
              </w:rPr>
              <m:t>201</m:t>
            </m:r>
          </m:sup>
          <m:e>
            <m:r>
              <m:rPr>
                <m:sty m:val="p"/>
              </m:rPr>
              <w:rPr>
                <w:rFonts w:ascii="Cambria Math" w:eastAsia="Calibri" w:hAnsi="Cambria Math"/>
              </w:rPr>
              <m:t>Tl</m:t>
            </m:r>
          </m:e>
        </m:sPre>
        <m:r>
          <w:rPr>
            <w:rFonts w:ascii="Cambria Math" w:eastAsia="Calibri" w:hAnsi="Cambria Math"/>
          </w:rPr>
          <m:t>)</m:t>
        </m:r>
      </m:oMath>
      <w:r w:rsidRPr="003B4362">
        <w:rPr>
          <w:rFonts w:eastAsia="Calibri"/>
        </w:rPr>
        <w:tab/>
        <w:t>900</w:t>
      </w:r>
    </w:p>
    <w:p w14:paraId="71B5239F" w14:textId="77777777" w:rsidR="00E1635B" w:rsidRPr="003B4362" w:rsidRDefault="00E1635B" w:rsidP="00E1635B">
      <w:pPr>
        <w:tabs>
          <w:tab w:val="right" w:pos="7920"/>
        </w:tabs>
        <w:ind w:left="720"/>
        <w:rPr>
          <w:rFonts w:eastAsia="Calibri"/>
        </w:rPr>
      </w:pPr>
      <w:r w:rsidRPr="003B4362">
        <w:rPr>
          <w:rFonts w:eastAsia="Calibri"/>
        </w:rPr>
        <w:t xml:space="preserve">Thallium-202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81</m:t>
            </m:r>
          </m:sub>
          <m:sup>
            <m:r>
              <m:rPr>
                <m:sty m:val="p"/>
              </m:rPr>
              <w:rPr>
                <w:rFonts w:ascii="Cambria Math" w:eastAsia="Calibri" w:hAnsi="Cambria Math"/>
              </w:rPr>
              <m:t>202</m:t>
            </m:r>
          </m:sup>
          <m:e>
            <m:r>
              <m:rPr>
                <m:sty m:val="p"/>
              </m:rPr>
              <w:rPr>
                <w:rFonts w:ascii="Cambria Math" w:eastAsia="Calibri" w:hAnsi="Cambria Math"/>
              </w:rPr>
              <m:t>Tl</m:t>
            </m:r>
          </m:e>
        </m:sPre>
        <m:r>
          <w:rPr>
            <w:rFonts w:ascii="Cambria Math" w:eastAsia="Calibri" w:hAnsi="Cambria Math"/>
          </w:rPr>
          <m:t>)</m:t>
        </m:r>
      </m:oMath>
      <w:r w:rsidRPr="003B4362">
        <w:rPr>
          <w:rFonts w:eastAsia="Calibri"/>
        </w:rPr>
        <w:tab/>
        <w:t>300</w:t>
      </w:r>
    </w:p>
    <w:p w14:paraId="4D247C94" w14:textId="77777777" w:rsidR="00E1635B" w:rsidRPr="003B4362" w:rsidRDefault="00E1635B" w:rsidP="00E1635B">
      <w:pPr>
        <w:tabs>
          <w:tab w:val="right" w:pos="7920"/>
        </w:tabs>
        <w:spacing w:after="120"/>
        <w:ind w:left="720"/>
        <w:rPr>
          <w:rFonts w:eastAsia="Calibri"/>
        </w:rPr>
      </w:pPr>
      <w:r w:rsidRPr="003B4362">
        <w:rPr>
          <w:rFonts w:eastAsia="Calibri"/>
        </w:rPr>
        <w:t xml:space="preserve">Thallium-204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81</m:t>
            </m:r>
          </m:sub>
          <m:sup>
            <m:r>
              <m:rPr>
                <m:sty m:val="p"/>
              </m:rPr>
              <w:rPr>
                <w:rFonts w:ascii="Cambria Math" w:eastAsia="Calibri" w:hAnsi="Cambria Math"/>
              </w:rPr>
              <m:t>204</m:t>
            </m:r>
          </m:sup>
          <m:e>
            <m:r>
              <m:rPr>
                <m:sty m:val="p"/>
              </m:rPr>
              <w:rPr>
                <w:rFonts w:ascii="Cambria Math" w:eastAsia="Calibri" w:hAnsi="Cambria Math"/>
              </w:rPr>
              <m:t>Tl</m:t>
            </m:r>
          </m:e>
        </m:sPre>
        <m:r>
          <w:rPr>
            <w:rFonts w:ascii="Cambria Math" w:eastAsia="Calibri" w:hAnsi="Cambria Math"/>
          </w:rPr>
          <m:t>)</m:t>
        </m:r>
      </m:oMath>
      <w:r w:rsidRPr="003B4362">
        <w:rPr>
          <w:rFonts w:eastAsia="Calibri"/>
        </w:rPr>
        <w:tab/>
        <w:t>300</w:t>
      </w:r>
    </w:p>
    <w:p w14:paraId="0BCC1050" w14:textId="77777777" w:rsidR="00E1635B" w:rsidRPr="003B4362" w:rsidRDefault="00E1635B" w:rsidP="00E1635B">
      <w:pPr>
        <w:tabs>
          <w:tab w:val="right" w:pos="7920"/>
        </w:tabs>
        <w:spacing w:before="120"/>
        <w:ind w:left="720"/>
        <w:rPr>
          <w:rFonts w:eastAsia="Calibri"/>
        </w:rPr>
      </w:pPr>
      <w:r w:rsidRPr="003B4362">
        <w:rPr>
          <w:rFonts w:eastAsia="Calibri"/>
        </w:rPr>
        <w:t xml:space="preserve">Thulium-170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69</m:t>
            </m:r>
          </m:sub>
          <m:sup>
            <m:r>
              <m:rPr>
                <m:sty m:val="p"/>
              </m:rPr>
              <w:rPr>
                <w:rFonts w:ascii="Cambria Math" w:eastAsia="Calibri" w:hAnsi="Cambria Math"/>
              </w:rPr>
              <m:t>170</m:t>
            </m:r>
          </m:sup>
          <m:e>
            <m:r>
              <m:rPr>
                <m:sty m:val="p"/>
              </m:rPr>
              <w:rPr>
                <w:rFonts w:ascii="Cambria Math" w:eastAsia="Calibri" w:hAnsi="Cambria Math"/>
              </w:rPr>
              <m:t>Tm</m:t>
            </m:r>
          </m:e>
        </m:sPre>
        <m:r>
          <w:rPr>
            <w:rFonts w:ascii="Cambria Math" w:eastAsia="Calibri" w:hAnsi="Cambria Math"/>
          </w:rPr>
          <m:t>)</m:t>
        </m:r>
      </m:oMath>
      <w:r w:rsidRPr="003B4362">
        <w:rPr>
          <w:rFonts w:eastAsia="Calibri"/>
        </w:rPr>
        <w:tab/>
        <w:t>100</w:t>
      </w:r>
    </w:p>
    <w:p w14:paraId="2E9A78AC" w14:textId="77777777" w:rsidR="00E1635B" w:rsidRPr="003B4362" w:rsidRDefault="00E1635B" w:rsidP="00E1635B">
      <w:pPr>
        <w:tabs>
          <w:tab w:val="right" w:pos="7920"/>
        </w:tabs>
        <w:spacing w:after="120"/>
        <w:ind w:left="720"/>
        <w:rPr>
          <w:rFonts w:eastAsia="Calibri"/>
        </w:rPr>
      </w:pPr>
      <w:r w:rsidRPr="003B4362">
        <w:rPr>
          <w:rFonts w:eastAsia="Calibri"/>
        </w:rPr>
        <w:t xml:space="preserve">Thulium-171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69</m:t>
            </m:r>
          </m:sub>
          <m:sup>
            <m:r>
              <m:rPr>
                <m:sty m:val="p"/>
              </m:rPr>
              <w:rPr>
                <w:rFonts w:ascii="Cambria Math" w:eastAsia="Calibri" w:hAnsi="Cambria Math"/>
              </w:rPr>
              <m:t>171</m:t>
            </m:r>
          </m:sup>
          <m:e>
            <m:r>
              <m:rPr>
                <m:sty m:val="p"/>
              </m:rPr>
              <w:rPr>
                <w:rFonts w:ascii="Cambria Math" w:eastAsia="Calibri" w:hAnsi="Cambria Math"/>
              </w:rPr>
              <m:t>Tm</m:t>
            </m:r>
          </m:e>
        </m:sPre>
        <m:r>
          <w:rPr>
            <w:rFonts w:ascii="Cambria Math" w:eastAsia="Calibri" w:hAnsi="Cambria Math"/>
          </w:rPr>
          <m:t>)</m:t>
        </m:r>
      </m:oMath>
      <w:r w:rsidRPr="003B4362">
        <w:rPr>
          <w:rFonts w:eastAsia="Calibri"/>
        </w:rPr>
        <w:tab/>
        <w:t>1,000</w:t>
      </w:r>
    </w:p>
    <w:p w14:paraId="77142D61" w14:textId="77777777" w:rsidR="00E1635B" w:rsidRPr="003B4362" w:rsidRDefault="00E1635B" w:rsidP="00E1635B">
      <w:pPr>
        <w:tabs>
          <w:tab w:val="right" w:pos="7920"/>
        </w:tabs>
        <w:spacing w:before="120"/>
        <w:ind w:left="720"/>
        <w:rPr>
          <w:rFonts w:eastAsia="Calibri"/>
        </w:rPr>
      </w:pPr>
      <w:r w:rsidRPr="003B4362">
        <w:rPr>
          <w:rFonts w:eastAsia="Calibri"/>
        </w:rPr>
        <w:t xml:space="preserve">Tin-113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50</m:t>
            </m:r>
          </m:sub>
          <m:sup>
            <m:r>
              <m:rPr>
                <m:sty m:val="p"/>
              </m:rPr>
              <w:rPr>
                <w:rFonts w:ascii="Cambria Math" w:eastAsia="Calibri" w:hAnsi="Cambria Math"/>
              </w:rPr>
              <m:t>113</m:t>
            </m:r>
          </m:sup>
          <m:e>
            <m:r>
              <m:rPr>
                <m:sty m:val="p"/>
              </m:rPr>
              <w:rPr>
                <w:rFonts w:ascii="Cambria Math" w:eastAsia="Calibri" w:hAnsi="Cambria Math"/>
              </w:rPr>
              <m:t>Sn</m:t>
            </m:r>
          </m:e>
        </m:sPre>
        <m:r>
          <w:rPr>
            <w:rFonts w:ascii="Cambria Math" w:eastAsia="Calibri" w:hAnsi="Cambria Math"/>
          </w:rPr>
          <m:t>)</m:t>
        </m:r>
      </m:oMath>
      <w:r w:rsidRPr="003B4362">
        <w:rPr>
          <w:rFonts w:eastAsia="Calibri"/>
        </w:rPr>
        <w:tab/>
        <w:t>300</w:t>
      </w:r>
    </w:p>
    <w:p w14:paraId="5C1DECB4" w14:textId="77777777" w:rsidR="00E1635B" w:rsidRPr="003B4362" w:rsidRDefault="00E1635B" w:rsidP="00E1635B">
      <w:pPr>
        <w:tabs>
          <w:tab w:val="right" w:pos="7920"/>
        </w:tabs>
        <w:spacing w:after="120"/>
        <w:ind w:left="720"/>
        <w:rPr>
          <w:rFonts w:eastAsia="Calibri"/>
        </w:rPr>
      </w:pPr>
      <w:r w:rsidRPr="003B4362">
        <w:rPr>
          <w:rFonts w:eastAsia="Calibri"/>
        </w:rPr>
        <w:t xml:space="preserve">Tin-125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50</m:t>
            </m:r>
          </m:sub>
          <m:sup>
            <m:r>
              <m:rPr>
                <m:sty m:val="p"/>
              </m:rPr>
              <w:rPr>
                <w:rFonts w:ascii="Cambria Math" w:eastAsia="Calibri" w:hAnsi="Cambria Math"/>
              </w:rPr>
              <m:t>125</m:t>
            </m:r>
          </m:sup>
          <m:e>
            <m:r>
              <m:rPr>
                <m:sty m:val="p"/>
              </m:rPr>
              <w:rPr>
                <w:rFonts w:ascii="Cambria Math" w:eastAsia="Calibri" w:hAnsi="Cambria Math"/>
              </w:rPr>
              <m:t>Sn</m:t>
            </m:r>
          </m:e>
        </m:sPre>
        <m:r>
          <w:rPr>
            <w:rFonts w:ascii="Cambria Math" w:eastAsia="Calibri" w:hAnsi="Cambria Math"/>
          </w:rPr>
          <m:t>)</m:t>
        </m:r>
      </m:oMath>
      <w:r w:rsidRPr="003B4362">
        <w:rPr>
          <w:rFonts w:eastAsia="Calibri"/>
        </w:rPr>
        <w:tab/>
        <w:t>60</w:t>
      </w:r>
    </w:p>
    <w:p w14:paraId="030EA902" w14:textId="77777777" w:rsidR="00E1635B" w:rsidRPr="003B4362" w:rsidRDefault="00E1635B" w:rsidP="00E1635B">
      <w:pPr>
        <w:tabs>
          <w:tab w:val="right" w:pos="7920"/>
        </w:tabs>
        <w:spacing w:before="120"/>
        <w:ind w:left="720"/>
        <w:rPr>
          <w:rFonts w:eastAsia="Calibri"/>
        </w:rPr>
      </w:pPr>
      <w:r w:rsidRPr="003B4362">
        <w:rPr>
          <w:rFonts w:eastAsia="Calibri"/>
        </w:rPr>
        <w:t xml:space="preserve">Tungsten-181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74</m:t>
            </m:r>
          </m:sub>
          <m:sup>
            <m:r>
              <m:rPr>
                <m:sty m:val="p"/>
              </m:rPr>
              <w:rPr>
                <w:rFonts w:ascii="Cambria Math" w:eastAsia="Calibri" w:hAnsi="Cambria Math"/>
              </w:rPr>
              <m:t>181</m:t>
            </m:r>
          </m:sup>
          <m:e>
            <m:r>
              <m:rPr>
                <m:sty m:val="p"/>
              </m:rPr>
              <w:rPr>
                <w:rFonts w:ascii="Cambria Math" w:eastAsia="Calibri" w:hAnsi="Cambria Math"/>
              </w:rPr>
              <m:t>W</m:t>
            </m:r>
          </m:e>
        </m:sPre>
        <m:r>
          <w:rPr>
            <w:rFonts w:ascii="Cambria Math" w:eastAsia="Calibri" w:hAnsi="Cambria Math"/>
          </w:rPr>
          <m:t>)</m:t>
        </m:r>
      </m:oMath>
      <w:r w:rsidRPr="003B4362">
        <w:rPr>
          <w:rFonts w:eastAsia="Calibri"/>
        </w:rPr>
        <w:tab/>
        <w:t>1,000</w:t>
      </w:r>
    </w:p>
    <w:p w14:paraId="64766F9E" w14:textId="77777777" w:rsidR="00E1635B" w:rsidRPr="003B4362" w:rsidRDefault="00E1635B" w:rsidP="00E1635B">
      <w:pPr>
        <w:tabs>
          <w:tab w:val="right" w:pos="7920"/>
        </w:tabs>
        <w:ind w:left="720"/>
        <w:rPr>
          <w:rFonts w:eastAsia="Calibri"/>
        </w:rPr>
      </w:pPr>
      <w:r w:rsidRPr="003B4362">
        <w:rPr>
          <w:rFonts w:eastAsia="Calibri"/>
        </w:rPr>
        <w:t xml:space="preserve">Tungsten-185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74</m:t>
            </m:r>
          </m:sub>
          <m:sup>
            <m:r>
              <m:rPr>
                <m:sty m:val="p"/>
              </m:rPr>
              <w:rPr>
                <w:rFonts w:ascii="Cambria Math" w:eastAsia="Calibri" w:hAnsi="Cambria Math"/>
              </w:rPr>
              <m:t>185</m:t>
            </m:r>
          </m:sup>
          <m:e>
            <m:r>
              <m:rPr>
                <m:sty m:val="p"/>
              </m:rPr>
              <w:rPr>
                <w:rFonts w:ascii="Cambria Math" w:eastAsia="Calibri" w:hAnsi="Cambria Math"/>
              </w:rPr>
              <m:t>W</m:t>
            </m:r>
          </m:e>
        </m:sPre>
        <m:r>
          <w:rPr>
            <w:rFonts w:ascii="Cambria Math" w:eastAsia="Calibri" w:hAnsi="Cambria Math"/>
          </w:rPr>
          <m:t>)</m:t>
        </m:r>
      </m:oMath>
      <w:r w:rsidRPr="003B4362">
        <w:rPr>
          <w:rFonts w:eastAsia="Calibri"/>
        </w:rPr>
        <w:tab/>
        <w:t>300</w:t>
      </w:r>
    </w:p>
    <w:p w14:paraId="2EA4DB97" w14:textId="77777777" w:rsidR="00E1635B" w:rsidRPr="003B4362" w:rsidRDefault="00E1635B" w:rsidP="00E1635B">
      <w:pPr>
        <w:tabs>
          <w:tab w:val="right" w:pos="7920"/>
        </w:tabs>
        <w:spacing w:after="120"/>
        <w:ind w:left="720"/>
        <w:rPr>
          <w:rFonts w:eastAsia="Calibri"/>
        </w:rPr>
      </w:pPr>
      <w:r w:rsidRPr="003B4362">
        <w:rPr>
          <w:rFonts w:eastAsia="Calibri"/>
        </w:rPr>
        <w:t xml:space="preserve">Tungsten-187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74</m:t>
            </m:r>
          </m:sub>
          <m:sup>
            <m:r>
              <m:rPr>
                <m:sty m:val="p"/>
              </m:rPr>
              <w:rPr>
                <w:rFonts w:ascii="Cambria Math" w:eastAsia="Calibri" w:hAnsi="Cambria Math"/>
              </w:rPr>
              <m:t>187</m:t>
            </m:r>
          </m:sup>
          <m:e>
            <m:r>
              <m:rPr>
                <m:sty m:val="p"/>
              </m:rPr>
              <w:rPr>
                <w:rFonts w:ascii="Cambria Math" w:eastAsia="Calibri" w:hAnsi="Cambria Math"/>
              </w:rPr>
              <m:t>W</m:t>
            </m:r>
          </m:e>
        </m:sPre>
        <m:r>
          <w:rPr>
            <w:rFonts w:ascii="Cambria Math" w:eastAsia="Calibri" w:hAnsi="Cambria Math"/>
          </w:rPr>
          <m:t>)</m:t>
        </m:r>
      </m:oMath>
      <w:r w:rsidRPr="003B4362">
        <w:rPr>
          <w:rFonts w:eastAsia="Calibri"/>
        </w:rPr>
        <w:tab/>
        <w:t>200</w:t>
      </w:r>
    </w:p>
    <w:p w14:paraId="0588FC83"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Vanadium-48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23</m:t>
            </m:r>
          </m:sub>
          <m:sup>
            <m:r>
              <m:rPr>
                <m:sty m:val="p"/>
              </m:rPr>
              <w:rPr>
                <w:rFonts w:ascii="Cambria Math" w:eastAsia="Calibri" w:hAnsi="Cambria Math"/>
              </w:rPr>
              <m:t>48</m:t>
            </m:r>
          </m:sup>
          <m:e>
            <m:r>
              <m:rPr>
                <m:sty m:val="p"/>
              </m:rPr>
              <w:rPr>
                <w:rFonts w:ascii="Cambria Math" w:eastAsia="Calibri" w:hAnsi="Cambria Math"/>
              </w:rPr>
              <m:t>V</m:t>
            </m:r>
          </m:e>
        </m:sPre>
        <m:r>
          <w:rPr>
            <w:rFonts w:ascii="Cambria Math" w:eastAsia="Calibri" w:hAnsi="Cambria Math"/>
          </w:rPr>
          <m:t>)</m:t>
        </m:r>
      </m:oMath>
      <w:r w:rsidRPr="003B4362">
        <w:rPr>
          <w:rFonts w:eastAsia="Calibri"/>
        </w:rPr>
        <w:tab/>
        <w:t>90</w:t>
      </w:r>
    </w:p>
    <w:p w14:paraId="734BDA18"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Ytterbium-175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70</m:t>
            </m:r>
          </m:sub>
          <m:sup>
            <m:r>
              <m:rPr>
                <m:sty m:val="p"/>
              </m:rPr>
              <w:rPr>
                <w:rFonts w:ascii="Cambria Math" w:eastAsia="Calibri" w:hAnsi="Cambria Math"/>
              </w:rPr>
              <m:t>175</m:t>
            </m:r>
          </m:sup>
          <m:e>
            <m:r>
              <m:rPr>
                <m:sty m:val="p"/>
              </m:rPr>
              <w:rPr>
                <w:rFonts w:ascii="Cambria Math" w:eastAsia="Calibri" w:hAnsi="Cambria Math"/>
              </w:rPr>
              <m:t>Yb</m:t>
            </m:r>
          </m:e>
        </m:sPre>
        <m:r>
          <w:rPr>
            <w:rFonts w:ascii="Cambria Math" w:eastAsia="Calibri" w:hAnsi="Cambria Math"/>
          </w:rPr>
          <m:t>)</m:t>
        </m:r>
      </m:oMath>
      <w:r w:rsidRPr="003B4362">
        <w:rPr>
          <w:rFonts w:eastAsia="Calibri"/>
        </w:rPr>
        <w:tab/>
        <w:t>300</w:t>
      </w:r>
    </w:p>
    <w:p w14:paraId="3FFAC6E0" w14:textId="77777777" w:rsidR="00E1635B" w:rsidRPr="003B4362" w:rsidRDefault="00E1635B" w:rsidP="00E1635B">
      <w:pPr>
        <w:tabs>
          <w:tab w:val="right" w:pos="7920"/>
        </w:tabs>
        <w:spacing w:before="120"/>
        <w:ind w:left="720"/>
        <w:rPr>
          <w:rFonts w:eastAsia="Calibri"/>
        </w:rPr>
      </w:pPr>
      <w:r w:rsidRPr="003B4362">
        <w:rPr>
          <w:rFonts w:eastAsia="Calibri"/>
        </w:rPr>
        <w:t xml:space="preserve">Yttrium-90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90</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60</w:t>
      </w:r>
    </w:p>
    <w:p w14:paraId="12AC5878" w14:textId="77777777" w:rsidR="00E1635B" w:rsidRPr="003B4362" w:rsidRDefault="00E1635B" w:rsidP="00E1635B">
      <w:pPr>
        <w:tabs>
          <w:tab w:val="right" w:pos="7920"/>
        </w:tabs>
        <w:ind w:left="720"/>
        <w:rPr>
          <w:rFonts w:eastAsia="Calibri"/>
        </w:rPr>
      </w:pPr>
      <w:r w:rsidRPr="003B4362">
        <w:rPr>
          <w:rFonts w:eastAsia="Calibri"/>
        </w:rPr>
        <w:t xml:space="preserve">Yttrium-91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91</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90</w:t>
      </w:r>
    </w:p>
    <w:p w14:paraId="78CAA5F1" w14:textId="77777777" w:rsidR="00E1635B" w:rsidRPr="003B4362" w:rsidRDefault="00E1635B" w:rsidP="00E1635B">
      <w:pPr>
        <w:tabs>
          <w:tab w:val="right" w:pos="7920"/>
        </w:tabs>
        <w:ind w:left="720"/>
        <w:rPr>
          <w:rFonts w:eastAsia="Calibri"/>
        </w:rPr>
      </w:pPr>
      <w:r w:rsidRPr="003B4362">
        <w:rPr>
          <w:rFonts w:eastAsia="Calibri"/>
        </w:rPr>
        <w:t xml:space="preserve">Yttrium-91m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91m</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9,000</w:t>
      </w:r>
    </w:p>
    <w:p w14:paraId="114D1127" w14:textId="77777777" w:rsidR="00E1635B" w:rsidRPr="003B4362" w:rsidRDefault="00E1635B" w:rsidP="00E1635B">
      <w:pPr>
        <w:tabs>
          <w:tab w:val="right" w:pos="7920"/>
        </w:tabs>
        <w:ind w:left="720"/>
        <w:rPr>
          <w:rFonts w:eastAsia="Calibri"/>
        </w:rPr>
      </w:pPr>
      <w:r w:rsidRPr="003B4362">
        <w:rPr>
          <w:rFonts w:eastAsia="Calibri"/>
        </w:rPr>
        <w:t xml:space="preserve">Yttrium-92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92</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200</w:t>
      </w:r>
    </w:p>
    <w:p w14:paraId="5497CFB8" w14:textId="77777777" w:rsidR="00E1635B" w:rsidRPr="003B4362" w:rsidRDefault="00E1635B" w:rsidP="00E1635B">
      <w:pPr>
        <w:tabs>
          <w:tab w:val="right" w:pos="7920"/>
        </w:tabs>
        <w:spacing w:after="120"/>
        <w:ind w:left="720"/>
        <w:rPr>
          <w:rFonts w:eastAsia="Calibri"/>
        </w:rPr>
      </w:pPr>
      <w:r w:rsidRPr="003B4362">
        <w:rPr>
          <w:rFonts w:eastAsia="Calibri"/>
        </w:rPr>
        <w:t xml:space="preserve">Yttrium-93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93</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90</w:t>
      </w:r>
    </w:p>
    <w:p w14:paraId="5F08BBC8" w14:textId="77777777" w:rsidR="00E1635B" w:rsidRPr="003B4362" w:rsidRDefault="00E1635B" w:rsidP="00E1635B">
      <w:pPr>
        <w:tabs>
          <w:tab w:val="right" w:pos="7920"/>
        </w:tabs>
        <w:spacing w:before="120"/>
        <w:ind w:left="720"/>
        <w:rPr>
          <w:rFonts w:eastAsia="Calibri"/>
        </w:rPr>
      </w:pPr>
      <w:r w:rsidRPr="003B4362">
        <w:rPr>
          <w:rFonts w:eastAsia="Calibri"/>
        </w:rPr>
        <w:t xml:space="preserve">Zinc-65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30</m:t>
            </m:r>
          </m:sub>
          <m:sup>
            <m:r>
              <m:rPr>
                <m:sty m:val="p"/>
              </m:rPr>
              <w:rPr>
                <w:rFonts w:ascii="Cambria Math" w:eastAsia="Calibri" w:hAnsi="Cambria Math"/>
              </w:rPr>
              <m:t>65</m:t>
            </m:r>
          </m:sup>
          <m:e>
            <m:r>
              <m:rPr>
                <m:sty m:val="p"/>
              </m:rPr>
              <w:rPr>
                <w:rFonts w:ascii="Cambria Math" w:eastAsia="Calibri" w:hAnsi="Cambria Math"/>
              </w:rPr>
              <m:t>Zn</m:t>
            </m:r>
          </m:e>
        </m:sPre>
        <m:r>
          <w:rPr>
            <w:rFonts w:ascii="Cambria Math" w:eastAsia="Calibri" w:hAnsi="Cambria Math"/>
          </w:rPr>
          <m:t>)</m:t>
        </m:r>
      </m:oMath>
      <w:r w:rsidRPr="003B4362">
        <w:rPr>
          <w:rFonts w:eastAsia="Calibri"/>
        </w:rPr>
        <w:tab/>
        <w:t>300</w:t>
      </w:r>
    </w:p>
    <w:p w14:paraId="6D18BDBF" w14:textId="77777777" w:rsidR="00E1635B" w:rsidRPr="003B4362" w:rsidRDefault="00E1635B" w:rsidP="00E1635B">
      <w:pPr>
        <w:tabs>
          <w:tab w:val="right" w:pos="7920"/>
        </w:tabs>
        <w:ind w:left="720"/>
        <w:rPr>
          <w:rFonts w:eastAsia="Calibri"/>
        </w:rPr>
      </w:pPr>
      <w:r w:rsidRPr="003B4362">
        <w:rPr>
          <w:rFonts w:eastAsia="Calibri"/>
        </w:rPr>
        <w:t xml:space="preserve">Zinc-69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30</m:t>
            </m:r>
          </m:sub>
          <m:sup>
            <m:r>
              <m:rPr>
                <m:sty m:val="p"/>
              </m:rPr>
              <w:rPr>
                <w:rFonts w:ascii="Cambria Math" w:eastAsia="Calibri" w:hAnsi="Cambria Math"/>
              </w:rPr>
              <m:t>69</m:t>
            </m:r>
          </m:sup>
          <m:e>
            <m:r>
              <m:rPr>
                <m:sty m:val="p"/>
              </m:rPr>
              <w:rPr>
                <w:rFonts w:ascii="Cambria Math" w:eastAsia="Calibri" w:hAnsi="Cambria Math"/>
              </w:rPr>
              <m:t>Zn</m:t>
            </m:r>
          </m:e>
        </m:sPre>
        <m:r>
          <w:rPr>
            <w:rFonts w:ascii="Cambria Math" w:eastAsia="Calibri" w:hAnsi="Cambria Math"/>
          </w:rPr>
          <m:t>)</m:t>
        </m:r>
      </m:oMath>
      <w:r w:rsidRPr="003B4362">
        <w:rPr>
          <w:rFonts w:eastAsia="Calibri"/>
        </w:rPr>
        <w:tab/>
        <w:t>6,000</w:t>
      </w:r>
    </w:p>
    <w:p w14:paraId="69343D46" w14:textId="77777777" w:rsidR="00E1635B" w:rsidRPr="003B4362" w:rsidRDefault="00E1635B" w:rsidP="00E1635B">
      <w:pPr>
        <w:tabs>
          <w:tab w:val="right" w:pos="7920"/>
        </w:tabs>
        <w:spacing w:after="120"/>
        <w:ind w:left="720"/>
        <w:rPr>
          <w:rFonts w:eastAsia="Calibri"/>
        </w:rPr>
      </w:pPr>
      <w:r w:rsidRPr="003B4362">
        <w:rPr>
          <w:rFonts w:eastAsia="Calibri"/>
        </w:rPr>
        <w:t xml:space="preserve">Zinc-69m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30</m:t>
            </m:r>
          </m:sub>
          <m:sup>
            <m:r>
              <m:rPr>
                <m:sty m:val="p"/>
              </m:rPr>
              <w:rPr>
                <w:rFonts w:ascii="Cambria Math" w:eastAsia="Calibri" w:hAnsi="Cambria Math"/>
              </w:rPr>
              <m:t>69m</m:t>
            </m:r>
          </m:sup>
          <m:e>
            <m:r>
              <m:rPr>
                <m:sty m:val="p"/>
              </m:rPr>
              <w:rPr>
                <w:rFonts w:ascii="Cambria Math" w:eastAsia="Calibri" w:hAnsi="Cambria Math"/>
              </w:rPr>
              <m:t>Zn</m:t>
            </m:r>
          </m:e>
        </m:sPre>
        <m:r>
          <w:rPr>
            <w:rFonts w:ascii="Cambria Math" w:eastAsia="Calibri" w:hAnsi="Cambria Math"/>
          </w:rPr>
          <m:t>)</m:t>
        </m:r>
      </m:oMath>
      <w:r w:rsidRPr="003B4362">
        <w:rPr>
          <w:rFonts w:eastAsia="Calibri"/>
        </w:rPr>
        <w:tab/>
        <w:t>200</w:t>
      </w:r>
    </w:p>
    <w:p w14:paraId="141F8E0F" w14:textId="77777777" w:rsidR="00E1635B" w:rsidRPr="003B4362" w:rsidRDefault="00E1635B" w:rsidP="00E1635B">
      <w:pPr>
        <w:tabs>
          <w:tab w:val="right" w:pos="7920"/>
        </w:tabs>
        <w:spacing w:before="120"/>
        <w:ind w:left="720"/>
        <w:rPr>
          <w:rFonts w:eastAsia="Calibri"/>
        </w:rPr>
      </w:pPr>
      <w:r w:rsidRPr="003B4362">
        <w:rPr>
          <w:rFonts w:eastAsia="Calibri"/>
        </w:rPr>
        <w:lastRenderedPageBreak/>
        <w:t xml:space="preserve">Zirconium-93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40</m:t>
            </m:r>
          </m:sub>
          <m:sup>
            <m:r>
              <m:rPr>
                <m:sty m:val="p"/>
              </m:rPr>
              <w:rPr>
                <w:rFonts w:ascii="Cambria Math" w:eastAsia="Calibri" w:hAnsi="Cambria Math"/>
              </w:rPr>
              <m:t>93</m:t>
            </m:r>
          </m:sup>
          <m:e>
            <m:r>
              <m:rPr>
                <m:sty m:val="p"/>
              </m:rPr>
              <w:rPr>
                <w:rFonts w:ascii="Cambria Math" w:eastAsia="Calibri" w:hAnsi="Cambria Math"/>
              </w:rPr>
              <m:t>Zr</m:t>
            </m:r>
          </m:e>
        </m:sPre>
        <m:r>
          <w:rPr>
            <w:rFonts w:ascii="Cambria Math" w:eastAsia="Calibri" w:hAnsi="Cambria Math"/>
          </w:rPr>
          <m:t>)</m:t>
        </m:r>
      </m:oMath>
      <w:r w:rsidRPr="003B4362">
        <w:rPr>
          <w:rFonts w:eastAsia="Calibri"/>
        </w:rPr>
        <w:tab/>
        <w:t>2,000</w:t>
      </w:r>
    </w:p>
    <w:p w14:paraId="199990F2" w14:textId="77777777" w:rsidR="00E1635B" w:rsidRPr="003B4362" w:rsidRDefault="00E1635B" w:rsidP="00E1635B">
      <w:pPr>
        <w:tabs>
          <w:tab w:val="right" w:pos="7920"/>
        </w:tabs>
        <w:ind w:left="720"/>
        <w:rPr>
          <w:rFonts w:eastAsia="Calibri"/>
        </w:rPr>
      </w:pPr>
      <w:r w:rsidRPr="003B4362">
        <w:rPr>
          <w:rFonts w:eastAsia="Calibri"/>
        </w:rPr>
        <w:t xml:space="preserve">Zirconium-95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40</m:t>
            </m:r>
          </m:sub>
          <m:sup>
            <m:r>
              <m:rPr>
                <m:sty m:val="p"/>
              </m:rPr>
              <w:rPr>
                <w:rFonts w:ascii="Cambria Math" w:eastAsia="Calibri" w:hAnsi="Cambria Math"/>
              </w:rPr>
              <m:t>95</m:t>
            </m:r>
          </m:sup>
          <m:e>
            <m:r>
              <m:rPr>
                <m:sty m:val="p"/>
              </m:rPr>
              <w:rPr>
                <w:rFonts w:ascii="Cambria Math" w:eastAsia="Calibri" w:hAnsi="Cambria Math"/>
              </w:rPr>
              <m:t>Zr</m:t>
            </m:r>
          </m:e>
        </m:sPre>
        <m:r>
          <w:rPr>
            <w:rFonts w:ascii="Cambria Math" w:eastAsia="Calibri" w:hAnsi="Cambria Math"/>
          </w:rPr>
          <m:t>)</m:t>
        </m:r>
      </m:oMath>
      <w:r w:rsidRPr="003B4362">
        <w:rPr>
          <w:rFonts w:eastAsia="Calibri"/>
        </w:rPr>
        <w:tab/>
        <w:t>200</w:t>
      </w:r>
    </w:p>
    <w:p w14:paraId="335A4FEF" w14:textId="77777777" w:rsidR="00E1635B" w:rsidRPr="003B4362" w:rsidRDefault="00E1635B" w:rsidP="00E1635B">
      <w:pPr>
        <w:tabs>
          <w:tab w:val="right" w:pos="7920"/>
        </w:tabs>
        <w:spacing w:after="240"/>
        <w:ind w:left="720"/>
        <w:rPr>
          <w:rFonts w:eastAsia="Calibri"/>
        </w:rPr>
      </w:pPr>
      <w:r w:rsidRPr="003B4362">
        <w:rPr>
          <w:rFonts w:eastAsia="Calibri"/>
        </w:rPr>
        <w:t xml:space="preserve">Zirconium-97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40</m:t>
            </m:r>
          </m:sub>
          <m:sup>
            <m:r>
              <m:rPr>
                <m:sty m:val="p"/>
              </m:rPr>
              <w:rPr>
                <w:rFonts w:ascii="Cambria Math" w:eastAsia="Calibri" w:hAnsi="Cambria Math"/>
              </w:rPr>
              <m:t>97</m:t>
            </m:r>
          </m:sup>
          <m:e>
            <m:r>
              <m:rPr>
                <m:sty m:val="p"/>
              </m:rPr>
              <w:rPr>
                <w:rFonts w:ascii="Cambria Math" w:eastAsia="Calibri" w:hAnsi="Cambria Math"/>
              </w:rPr>
              <m:t>Zr</m:t>
            </m:r>
          </m:e>
        </m:sPre>
        <m:r>
          <w:rPr>
            <w:rFonts w:ascii="Cambria Math" w:eastAsia="Calibri" w:hAnsi="Cambria Math"/>
          </w:rPr>
          <m:t>)</m:t>
        </m:r>
      </m:oMath>
      <w:r w:rsidRPr="003B4362">
        <w:rPr>
          <w:rFonts w:eastAsia="Calibri"/>
        </w:rPr>
        <w:tab/>
        <w:t>60</w:t>
      </w:r>
    </w:p>
    <w:p w14:paraId="2AB94A42" w14:textId="24DA8896" w:rsidR="00E1635B" w:rsidRPr="003B4362" w:rsidRDefault="00E1635B" w:rsidP="00E1635B">
      <w:pPr>
        <w:spacing w:before="240" w:after="240"/>
        <w:rPr>
          <w:rFonts w:eastAsia="Calibri"/>
        </w:rPr>
      </w:pPr>
      <w:r w:rsidRPr="003B4362">
        <w:rPr>
          <w:rFonts w:eastAsia="Calibri"/>
        </w:rPr>
        <w:t xml:space="preserve">BOARD NOTE:  </w:t>
      </w:r>
      <w:r w:rsidR="006E7E9C" w:rsidRPr="003B4362">
        <w:rPr>
          <w:rFonts w:eastAsia="Calibri"/>
        </w:rPr>
        <w:t>This Table R derives</w:t>
      </w:r>
      <w:r w:rsidRPr="003B4362">
        <w:rPr>
          <w:rFonts w:eastAsia="Calibri"/>
        </w:rPr>
        <w:t xml:space="preserve"> from Table VI-2 (Annual Average Concentrations Yielding 4 Millirem per Year for a Two Liter Daily Intake), Statement of Basis and Purpose for the National Primary Drinking Water Regulations—Radionuclides, USEPA, Office of Radiation Protection (July 9, 1976), at 87-94, and Appendix I (Comparison of Derived Values of Beta and Photon Emitters), Implementation Guidance for Radionuclides, USEPA, Office of Ground Water and Drinking Water, EPA 816-F-00-002 (March 2002).  USEPA based these values on NBS Handbook 69 (63), incorporated by reference in Section 611.102.</w:t>
      </w:r>
    </w:p>
    <w:p w14:paraId="216295ED" w14:textId="77777777" w:rsidR="00E1635B" w:rsidRPr="003B4362" w:rsidRDefault="00E1635B" w:rsidP="00E1635B">
      <w:pPr>
        <w:spacing w:before="240" w:after="240"/>
        <w:rPr>
          <w:rFonts w:eastAsia="Calibri"/>
        </w:rPr>
      </w:pPr>
      <w:r w:rsidRPr="003B4362">
        <w:rPr>
          <w:rFonts w:eastAsia="Calibri"/>
        </w:rPr>
        <w:t>Calculating compliance with Section 611.330(d) under Section 611.742 requires dividing the measured concentration for each radionuclide by the appropriate conversion factor to determine its calculated fractional contribution to the total annual exposure limit of 4 mrem/yr:</w:t>
      </w:r>
    </w:p>
    <w:p w14:paraId="5E1E77AB" w14:textId="77777777" w:rsidR="00E1635B" w:rsidRPr="003B4362" w:rsidRDefault="00E1635B" w:rsidP="00E1635B">
      <w:pPr>
        <w:spacing w:before="240" w:after="240"/>
        <w:jc w:val="center"/>
      </w:pPr>
      <w:r w:rsidRPr="003B4362">
        <w:t>Fraction of Maximum Exposure Limit (4 mrem•yr</w:t>
      </w:r>
      <w:r w:rsidRPr="003B4362">
        <w:rPr>
          <w:vertAlign w:val="superscript"/>
        </w:rPr>
        <w:noBreakHyphen/>
        <w:t>1</w:t>
      </w:r>
      <w:r w:rsidRPr="003B4362">
        <w:t>)</w:t>
      </w:r>
    </w:p>
    <w:p w14:paraId="51E1BB67" w14:textId="35BC3E2A" w:rsidR="00E1635B" w:rsidRPr="003B4362" w:rsidRDefault="00070822" w:rsidP="00E1635B">
      <w:pPr>
        <w:spacing w:before="240" w:after="240"/>
        <w:jc w:val="center"/>
        <w:rPr>
          <w:rFonts w:eastAsia="Calibri"/>
          <w:iCs/>
        </w:rPr>
      </w:pPr>
      <m:oMathPara>
        <m:oMath>
          <m:f>
            <m:fPr>
              <m:ctrlPr>
                <w:rPr>
                  <w:rFonts w:ascii="Cambria Math" w:eastAsia="Calibri" w:hAnsi="Cambria Math"/>
                  <w:iCs/>
                </w:rPr>
              </m:ctrlPr>
            </m:fPr>
            <m:num>
              <m:r>
                <m:rPr>
                  <m:sty m:val="p"/>
                </m:rPr>
                <w:rPr>
                  <w:rFonts w:ascii="Cambria Math" w:eastAsia="Calibri" w:hAnsi="Cambria Math"/>
                </w:rPr>
                <m:t>Sample Concentration (pCi•</m:t>
              </m:r>
              <m:sSup>
                <m:sSupPr>
                  <m:ctrlPr>
                    <w:rPr>
                      <w:rFonts w:ascii="Cambria Math" w:eastAsia="Calibri" w:hAnsi="Cambria Math"/>
                    </w:rPr>
                  </m:ctrlPr>
                </m:sSupPr>
                <m:e>
                  <m:r>
                    <m:rPr>
                      <m:sty m:val="p"/>
                    </m:rPr>
                    <w:rPr>
                      <w:rFonts w:ascii="Cambria Math" w:hAnsi="Cambria Math"/>
                    </w:rPr>
                    <m:t>L</m:t>
                  </m:r>
                </m:e>
                <m:sup>
                  <m:r>
                    <m:rPr>
                      <m:sty m:val="p"/>
                    </m:rPr>
                    <w:rPr>
                      <w:rFonts w:ascii="Cambria Math" w:eastAsia="Calibri" w:hAnsi="Cambria Math"/>
                      <w:vertAlign w:val="superscript"/>
                    </w:rPr>
                    <w:noBreakHyphen/>
                    <m:t>1</m:t>
                  </m:r>
                </m:sup>
              </m:sSup>
              <m:r>
                <m:rPr>
                  <m:sty m:val="p"/>
                </m:rPr>
                <w:rPr>
                  <w:rFonts w:ascii="Cambria Math" w:eastAsia="Calibri" w:hAnsi="Cambria Math"/>
                  <w:vertAlign w:val="superscript"/>
                </w:rPr>
                <m:t>)</m:t>
              </m:r>
            </m:num>
            <m:den>
              <m:r>
                <m:rPr>
                  <m:sty m:val="p"/>
                </m:rPr>
                <w:rPr>
                  <w:rFonts w:ascii="Cambria Math" w:eastAsia="Calibri" w:hAnsi="Cambria Math"/>
                </w:rPr>
                <m:t>Conversion Factor (pCi•</m:t>
              </m:r>
              <m:sSup>
                <m:sSupPr>
                  <m:ctrlPr>
                    <w:rPr>
                      <w:rFonts w:ascii="Cambria Math" w:eastAsia="Calibri" w:hAnsi="Cambria Math"/>
                    </w:rPr>
                  </m:ctrlPr>
                </m:sSupPr>
                <m:e>
                  <m:r>
                    <m:rPr>
                      <m:sty m:val="p"/>
                    </m:rPr>
                    <w:rPr>
                      <w:rFonts w:ascii="Cambria Math" w:hAnsi="Cambria Math"/>
                    </w:rPr>
                    <m:t>L</m:t>
                  </m:r>
                </m:e>
                <m:sup>
                  <m:r>
                    <m:rPr>
                      <m:sty m:val="p"/>
                    </m:rPr>
                    <w:rPr>
                      <w:rFonts w:ascii="Cambria Math" w:eastAsia="Calibri" w:hAnsi="Cambria Math"/>
                      <w:vertAlign w:val="superscript"/>
                    </w:rPr>
                    <w:noBreakHyphen/>
                    <m:t>1</m:t>
                  </m:r>
                </m:sup>
              </m:sSup>
              <m:r>
                <m:rPr>
                  <m:sty m:val="p"/>
                </m:rPr>
                <w:rPr>
                  <w:rFonts w:ascii="Cambria Math" w:eastAsia="Calibri" w:hAnsi="Cambria Math"/>
                </w:rPr>
                <m:t>/4 mrem•</m:t>
              </m:r>
              <m:sSup>
                <m:sSupPr>
                  <m:ctrlPr>
                    <w:rPr>
                      <w:rFonts w:ascii="Cambria Math" w:eastAsia="Calibri" w:hAnsi="Cambria Math"/>
                    </w:rPr>
                  </m:ctrlPr>
                </m:sSupPr>
                <m:e>
                  <m:r>
                    <m:rPr>
                      <m:sty m:val="p"/>
                    </m:rPr>
                    <w:rPr>
                      <w:rFonts w:ascii="Cambria Math" w:eastAsia="Calibri" w:hAnsi="Cambria Math"/>
                    </w:rPr>
                    <m:t>yr</m:t>
                  </m:r>
                </m:e>
                <m:sup>
                  <m:r>
                    <m:rPr>
                      <m:sty m:val="p"/>
                    </m:rPr>
                    <w:rPr>
                      <w:rFonts w:ascii="Cambria Math" w:eastAsia="Calibri" w:hAnsi="Cambria Math"/>
                      <w:vertAlign w:val="superscript"/>
                    </w:rPr>
                    <w:noBreakHyphen/>
                    <m:t>1</m:t>
                  </m:r>
                </m:sup>
              </m:sSup>
              <m:r>
                <m:rPr>
                  <m:sty m:val="p"/>
                </m:rPr>
                <w:rPr>
                  <w:rFonts w:ascii="Cambria Math" w:eastAsia="Calibri" w:hAnsi="Cambria Math"/>
                </w:rPr>
                <m:t>)</m:t>
              </m:r>
            </m:den>
          </m:f>
        </m:oMath>
      </m:oMathPara>
    </w:p>
    <w:p w14:paraId="5BDF47EA" w14:textId="77777777" w:rsidR="00E1635B" w:rsidRPr="003B4362" w:rsidRDefault="00E1635B" w:rsidP="00E1635B">
      <w:pPr>
        <w:spacing w:before="240" w:after="240"/>
        <w:rPr>
          <w:rFonts w:eastAsia="Calibri"/>
        </w:rPr>
      </w:pPr>
      <w:r w:rsidRPr="003B4362">
        <w:rPr>
          <w:rFonts w:eastAsia="Calibri"/>
        </w:rPr>
        <w:t>The supplier then sums the fractional contributions for all radionuclides to determine the total fraction of the maximum exposure limit:</w:t>
      </w:r>
    </w:p>
    <w:p w14:paraId="1FD6D29F" w14:textId="77777777" w:rsidR="00E1635B" w:rsidRPr="003B4362" w:rsidRDefault="00E1635B" w:rsidP="00E1635B">
      <w:pPr>
        <w:spacing w:before="240" w:after="240"/>
        <w:jc w:val="center"/>
      </w:pPr>
      <m:oMathPara>
        <m:oMath>
          <m:r>
            <m:rPr>
              <m:sty m:val="p"/>
            </m:rPr>
            <w:rPr>
              <w:rFonts w:ascii="Cambria Math" w:hAnsi="Cambria Math"/>
            </w:rPr>
            <m:t>Total Fraction of Maximum Exposure Limit for All Radionuclides Present</m:t>
          </m:r>
        </m:oMath>
      </m:oMathPara>
    </w:p>
    <w:p w14:paraId="0F5AE5D9" w14:textId="77777777" w:rsidR="00E1635B" w:rsidRPr="003B4362" w:rsidRDefault="00E1635B" w:rsidP="00E1635B">
      <w:pPr>
        <w:spacing w:before="240" w:after="240"/>
        <w:jc w:val="center"/>
        <w:rPr>
          <w:iCs/>
        </w:rPr>
      </w:pPr>
      <m:oMathPara>
        <m:oMath>
          <m:r>
            <w:rPr>
              <w:rFonts w:ascii="Cambria Math" w:hAnsi="Cambria Math"/>
            </w:rPr>
            <m:t>=</m:t>
          </m:r>
          <m:nary>
            <m:naryPr>
              <m:chr m:val="∑"/>
              <m:limLoc m:val="subSup"/>
              <m:ctrlPr>
                <w:rPr>
                  <w:rFonts w:ascii="Cambria Math" w:eastAsia="Calibri" w:hAnsi="Cambria Math"/>
                  <w:iCs/>
                </w:rPr>
              </m:ctrlPr>
            </m:naryPr>
            <m:sub>
              <m:r>
                <m:rPr>
                  <m:sty m:val="p"/>
                </m:rPr>
                <w:rPr>
                  <w:rFonts w:ascii="Cambria Math" w:eastAsia="Calibri" w:hAnsi="Cambria Math"/>
                </w:rPr>
                <m:t>Isotope 1</m:t>
              </m:r>
            </m:sub>
            <m:sup>
              <m:r>
                <m:rPr>
                  <m:sty m:val="p"/>
                </m:rPr>
                <w:rPr>
                  <w:rFonts w:ascii="Cambria Math" w:eastAsia="Calibri" w:hAnsi="Cambria Math"/>
                </w:rPr>
                <m:t>Isotope n</m:t>
              </m:r>
            </m:sup>
            <m:e>
              <m:r>
                <m:rPr>
                  <m:sty m:val="p"/>
                </m:rPr>
                <w:rPr>
                  <w:rFonts w:ascii="Cambria Math" w:eastAsia="Calibri" w:hAnsi="Cambria Math"/>
                </w:rPr>
                <m:t>Fraction of Maximum Exposure Limit for Each Radionuclide</m:t>
              </m:r>
            </m:e>
          </m:nary>
        </m:oMath>
      </m:oMathPara>
    </w:p>
    <w:p w14:paraId="2D305F45" w14:textId="77777777" w:rsidR="00E1635B" w:rsidRPr="003B4362" w:rsidRDefault="00E1635B" w:rsidP="00E1635B">
      <w:pPr>
        <w:spacing w:before="240" w:after="240"/>
        <w:rPr>
          <w:iCs/>
        </w:rPr>
      </w:pPr>
      <w:r w:rsidRPr="003B4362">
        <w:rPr>
          <w:iCs/>
        </w:rPr>
        <w:t>A sum of fractions result exceeding 1.00 exceeds the 4 mrem/yr standard in Section 611.330(d).</w:t>
      </w:r>
    </w:p>
    <w:p w14:paraId="33C39EB4" w14:textId="77777777" w:rsidR="00E1635B" w:rsidRPr="003B4362" w:rsidRDefault="00E1635B" w:rsidP="00E1635B">
      <w:pPr>
        <w:spacing w:before="240" w:after="240"/>
        <w:rPr>
          <w:rFonts w:eastAsia="Calibri"/>
        </w:rPr>
      </w:pPr>
      <w:r w:rsidRPr="003B4362">
        <w:rPr>
          <w:iCs/>
        </w:rPr>
        <w:t xml:space="preserve">The </w:t>
      </w:r>
      <w:r w:rsidRPr="003B4362">
        <w:rPr>
          <w:rFonts w:eastAsia="Calibri"/>
        </w:rPr>
        <w:t>total exposure is this sum of fractions (i.e., the total fraction of maximum exposure limit) times 4 mrem•yr</w:t>
      </w:r>
      <w:r w:rsidRPr="003B4362">
        <w:rPr>
          <w:rFonts w:eastAsia="Calibri"/>
          <w:vertAlign w:val="superscript"/>
        </w:rPr>
        <w:noBreakHyphen/>
        <w:t>1</w:t>
      </w:r>
      <w:r w:rsidRPr="003B4362">
        <w:rPr>
          <w:rFonts w:eastAsia="Calibri"/>
        </w:rPr>
        <w:t>.</w:t>
      </w:r>
    </w:p>
    <w:p w14:paraId="7BEF1789" w14:textId="3DAD2F4A" w:rsidR="003C5D8C" w:rsidRPr="003B4362" w:rsidRDefault="00E1635B" w:rsidP="00E1635B">
      <w:pPr>
        <w:spacing w:before="240" w:after="240"/>
        <w:rPr>
          <w:rFonts w:eastAsia="Calibri"/>
        </w:rPr>
      </w:pPr>
      <w:r w:rsidRPr="003B4362">
        <w:rPr>
          <w:rFonts w:eastAsia="Calibri"/>
        </w:rPr>
        <w:t>See Statement of Basis and Purpose for the National Primary Drinking Water Regulations—Radionuclides, USEPA, Office of Radiation Protection (July 9, 1976), at 80-86, and Implementation Guidance for Radionuclides, USEPA, Office of Ground Water and Drinking Water, EPA 816-F-00-002 (March 2002), pp. II-5 and II-6.</w:t>
      </w:r>
    </w:p>
    <w:p w14:paraId="723C5F94" w14:textId="184E1939" w:rsidR="000B2C93" w:rsidRPr="003B4362" w:rsidRDefault="000B2C93" w:rsidP="000B2C93">
      <w:pPr>
        <w:suppressAutoHyphens/>
        <w:ind w:left="720"/>
        <w:rPr>
          <w:rFonts w:eastAsia="Calibri"/>
        </w:rPr>
      </w:pPr>
      <w:r w:rsidRPr="003B4362">
        <w:rPr>
          <w:rFonts w:eastAsia="Calibri"/>
        </w:rPr>
        <w:t xml:space="preserve">(Source:  Added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37FC09DE" w14:textId="112BA090" w:rsidR="000B2C93" w:rsidRPr="003B4362" w:rsidRDefault="000B2C93" w:rsidP="000B2C93">
      <w:pPr>
        <w:rPr>
          <w:rFonts w:eastAsia="Calibri"/>
        </w:rPr>
      </w:pPr>
    </w:p>
    <w:bookmarkEnd w:id="4560"/>
    <w:p w14:paraId="2FA0CA46" w14:textId="170EB0DD" w:rsidR="00C805A1" w:rsidRPr="003B4362" w:rsidRDefault="00C805A1" w:rsidP="000B2C93">
      <w:pPr>
        <w:rPr>
          <w:b/>
          <w:bCs/>
        </w:rPr>
      </w:pPr>
      <w:r w:rsidRPr="003B4362">
        <w:rPr>
          <w:b/>
          <w:bCs/>
        </w:rPr>
        <w:t xml:space="preserve">Section 611.TABLE Z  </w:t>
      </w:r>
      <w:r w:rsidR="000B2C93" w:rsidRPr="003B4362">
        <w:rPr>
          <w:b/>
          <w:bCs/>
        </w:rPr>
        <w:t xml:space="preserve"> </w:t>
      </w:r>
      <w:r w:rsidRPr="003B4362">
        <w:rPr>
          <w:b/>
          <w:bCs/>
        </w:rPr>
        <w:t>Federal Effective Dates</w:t>
      </w:r>
    </w:p>
    <w:p w14:paraId="04A1F701" w14:textId="77777777" w:rsidR="00C52467" w:rsidRPr="003B4362" w:rsidRDefault="00C52467" w:rsidP="00C52467"/>
    <w:p w14:paraId="467CA6B0" w14:textId="159EB567" w:rsidR="00C805A1" w:rsidRPr="003B4362" w:rsidRDefault="00C805A1" w:rsidP="00C52467">
      <w:r w:rsidRPr="003B4362">
        <w:t>The following are the effective dates of the various federal NPDWRs:</w:t>
      </w:r>
    </w:p>
    <w:p w14:paraId="37137DD0"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lastRenderedPageBreak/>
        <w:t>Fluoride (40 CFR 141.62(b)(1))</w:t>
      </w:r>
      <w:r w:rsidRPr="003B4362">
        <w:rPr>
          <w:spacing w:val="-3"/>
        </w:rPr>
        <w:tab/>
        <w:t>October 2, 1987</w:t>
      </w:r>
    </w:p>
    <w:p w14:paraId="01CE602B" w14:textId="77777777" w:rsidR="00C805A1" w:rsidRPr="003B4362" w:rsidRDefault="00C805A1" w:rsidP="00C805A1">
      <w:pPr>
        <w:suppressAutoHyphens/>
        <w:spacing w:after="240"/>
        <w:ind w:left="1440"/>
        <w:rPr>
          <w:spacing w:val="-3"/>
        </w:rPr>
      </w:pPr>
      <w:r w:rsidRPr="003B4362">
        <w:rPr>
          <w:spacing w:val="-3"/>
        </w:rPr>
        <w:t>(corresponding with Section 611.301(b))</w:t>
      </w:r>
    </w:p>
    <w:p w14:paraId="654C0FA9"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I VOCs (40 CFR 141.61(a)(1) through (a)(8))</w:t>
      </w:r>
      <w:r w:rsidRPr="003B4362">
        <w:rPr>
          <w:spacing w:val="-3"/>
        </w:rPr>
        <w:tab/>
        <w:t>January 9, 1989</w:t>
      </w:r>
    </w:p>
    <w:p w14:paraId="3201AF86" w14:textId="77777777" w:rsidR="00C805A1" w:rsidRPr="003B4362" w:rsidRDefault="00C805A1" w:rsidP="00C805A1">
      <w:pPr>
        <w:suppressAutoHyphens/>
        <w:ind w:left="1440"/>
        <w:rPr>
          <w:spacing w:val="-3"/>
        </w:rPr>
      </w:pPr>
      <w:r w:rsidRPr="003B4362">
        <w:rPr>
          <w:spacing w:val="-3"/>
        </w:rPr>
        <w:t>(corresponding with Section 611.311(a))</w:t>
      </w:r>
    </w:p>
    <w:p w14:paraId="05B76C18" w14:textId="77777777" w:rsidR="00C805A1" w:rsidRPr="003B4362" w:rsidRDefault="00C805A1" w:rsidP="00C805A1">
      <w:pPr>
        <w:suppressAutoHyphens/>
        <w:spacing w:after="240"/>
        <w:ind w:left="1440"/>
        <w:rPr>
          <w:spacing w:val="-3"/>
        </w:rPr>
      </w:pPr>
      <w:r w:rsidRPr="003B4362">
        <w:rPr>
          <w:spacing w:val="-3"/>
        </w:rPr>
        <w:t>(benzene, carbon tetrachloride, p-di</w:t>
      </w:r>
      <w:r w:rsidRPr="003B4362">
        <w:rPr>
          <w:spacing w:val="-3"/>
        </w:rPr>
        <w:softHyphen/>
        <w:t>chloro</w:t>
      </w:r>
      <w:r w:rsidRPr="003B4362">
        <w:rPr>
          <w:spacing w:val="-3"/>
        </w:rPr>
        <w:softHyphen/>
        <w:t>benzene, 1,2-di</w:t>
      </w:r>
      <w:r w:rsidRPr="003B4362">
        <w:rPr>
          <w:spacing w:val="-3"/>
        </w:rPr>
        <w:softHyphen/>
        <w:t>chloro</w:t>
      </w:r>
      <w:r w:rsidRPr="003B4362">
        <w:rPr>
          <w:spacing w:val="-3"/>
        </w:rPr>
        <w:softHyphen/>
        <w:t>ethane, 1,1-di</w:t>
      </w:r>
      <w:r w:rsidRPr="003B4362">
        <w:rPr>
          <w:spacing w:val="-3"/>
        </w:rPr>
        <w:softHyphen/>
        <w:t>chloro</w:t>
      </w:r>
      <w:r w:rsidRPr="003B4362">
        <w:rPr>
          <w:spacing w:val="-3"/>
        </w:rPr>
        <w:softHyphen/>
        <w:t>ethyl</w:t>
      </w:r>
      <w:r w:rsidRPr="003B4362">
        <w:rPr>
          <w:spacing w:val="-3"/>
        </w:rPr>
        <w:softHyphen/>
        <w:t>ene, 1,1,1-tri</w:t>
      </w:r>
      <w:r w:rsidRPr="003B4362">
        <w:rPr>
          <w:spacing w:val="-3"/>
        </w:rPr>
        <w:softHyphen/>
        <w:t>chloro</w:t>
      </w:r>
      <w:r w:rsidRPr="003B4362">
        <w:rPr>
          <w:spacing w:val="-3"/>
        </w:rPr>
        <w:softHyphen/>
        <w:t>ethane, tri</w:t>
      </w:r>
      <w:r w:rsidRPr="003B4362">
        <w:rPr>
          <w:spacing w:val="-3"/>
        </w:rPr>
        <w:softHyphen/>
        <w:t>chloro</w:t>
      </w:r>
      <w:r w:rsidRPr="003B4362">
        <w:rPr>
          <w:spacing w:val="-3"/>
        </w:rPr>
        <w:softHyphen/>
        <w:t>ethyl</w:t>
      </w:r>
      <w:r w:rsidRPr="003B4362">
        <w:rPr>
          <w:spacing w:val="-3"/>
        </w:rPr>
        <w:softHyphen/>
        <w:t>ene, and vinyl chloride)</w:t>
      </w:r>
    </w:p>
    <w:p w14:paraId="68BA81F9" w14:textId="77777777" w:rsidR="00C805A1" w:rsidRPr="003B4362" w:rsidRDefault="00C805A1" w:rsidP="00C805A1">
      <w:pPr>
        <w:keepNext/>
        <w:keepLines/>
        <w:tabs>
          <w:tab w:val="right" w:pos="9360"/>
        </w:tabs>
        <w:suppressAutoHyphens/>
        <w:spacing w:before="240"/>
        <w:ind w:left="720"/>
        <w:outlineLvl w:val="0"/>
      </w:pPr>
      <w:r w:rsidRPr="003B4362">
        <w:t>Total Coliforms Rule (40 CFR 141.21 and 141.63)</w:t>
      </w:r>
      <w:r w:rsidRPr="003B4362">
        <w:tab/>
        <w:t>December 31, 1990</w:t>
      </w:r>
    </w:p>
    <w:p w14:paraId="56192292" w14:textId="77777777" w:rsidR="00C805A1" w:rsidRPr="003B4362" w:rsidRDefault="00C805A1" w:rsidP="00C805A1">
      <w:pPr>
        <w:tabs>
          <w:tab w:val="right" w:pos="9360"/>
        </w:tabs>
        <w:suppressAutoHyphens/>
        <w:ind w:left="1440"/>
      </w:pPr>
      <w:r w:rsidRPr="003B4362">
        <w:t>(corresponding with Sections 611.521-611.527 and 611.325)</w:t>
      </w:r>
    </w:p>
    <w:p w14:paraId="1D501136" w14:textId="77777777" w:rsidR="00C805A1" w:rsidRPr="003B4362" w:rsidRDefault="00C805A1" w:rsidP="00C805A1">
      <w:pPr>
        <w:suppressAutoHyphens/>
        <w:ind w:left="1440"/>
      </w:pPr>
      <w:r w:rsidRPr="003B4362">
        <w:t>(total coliforms, fecal coliforms, and E. coli)</w:t>
      </w:r>
    </w:p>
    <w:p w14:paraId="23B0F3C0" w14:textId="77777777" w:rsidR="00C805A1" w:rsidRPr="003B4362" w:rsidRDefault="00C805A1" w:rsidP="00C805A1">
      <w:pPr>
        <w:suppressAutoHyphens/>
        <w:ind w:left="1440"/>
      </w:pPr>
      <w:r w:rsidRPr="003B4362">
        <w:t>Replaced by the Revised Total Coliforms Rule (40 CFR 141, subpart Y)</w:t>
      </w:r>
    </w:p>
    <w:p w14:paraId="5683C9E4" w14:textId="77777777" w:rsidR="00C805A1" w:rsidRPr="003B4362" w:rsidRDefault="00C805A1" w:rsidP="00C805A1">
      <w:pPr>
        <w:keepNext/>
        <w:keepLines/>
        <w:tabs>
          <w:tab w:val="right" w:pos="9360"/>
        </w:tabs>
        <w:suppressAutoHyphens/>
        <w:spacing w:before="240"/>
        <w:ind w:left="720"/>
        <w:outlineLvl w:val="0"/>
      </w:pPr>
      <w:r w:rsidRPr="003B4362">
        <w:t>Surface Water Treatment Rule (40 CFR 141, subpart H)</w:t>
      </w:r>
      <w:r w:rsidRPr="003B4362">
        <w:tab/>
        <w:t>Effective:  December 31, 1990</w:t>
      </w:r>
    </w:p>
    <w:p w14:paraId="18E51210" w14:textId="77777777" w:rsidR="00C805A1" w:rsidRPr="003B4362" w:rsidRDefault="00C805A1" w:rsidP="00C805A1">
      <w:pPr>
        <w:tabs>
          <w:tab w:val="right" w:pos="9360"/>
        </w:tabs>
        <w:suppressAutoHyphens/>
        <w:ind w:left="1440"/>
      </w:pPr>
      <w:r w:rsidRPr="003B4362">
        <w:t>(corresponding with Subpart B)</w:t>
      </w:r>
      <w:r w:rsidRPr="003B4362">
        <w:tab/>
        <w:t>Compliance:  December 30, 1991</w:t>
      </w:r>
    </w:p>
    <w:p w14:paraId="26F2A84F" w14:textId="77777777" w:rsidR="00C805A1" w:rsidRPr="003B4362" w:rsidRDefault="00C805A1" w:rsidP="00C805A1">
      <w:pPr>
        <w:suppressAutoHyphens/>
        <w:spacing w:after="240"/>
        <w:ind w:left="1440"/>
      </w:pPr>
      <w:r w:rsidRPr="003B4362">
        <w:t>(filtration, disinfection, and turbidity)</w:t>
      </w:r>
    </w:p>
    <w:p w14:paraId="462FB6E4"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Lead and Copper (40 CFR</w:t>
      </w:r>
      <w:r w:rsidRPr="003B4362">
        <w:t xml:space="preserve"> 141</w:t>
      </w:r>
      <w:r w:rsidRPr="003B4362">
        <w:rPr>
          <w:spacing w:val="-3"/>
        </w:rPr>
        <w:t>, subpart I)</w:t>
      </w:r>
      <w:r w:rsidRPr="003B4362">
        <w:rPr>
          <w:spacing w:val="-3"/>
        </w:rPr>
        <w:tab/>
        <w:t>July 7, 1991</w:t>
      </w:r>
    </w:p>
    <w:p w14:paraId="2F881AA7" w14:textId="3E124F42" w:rsidR="00C805A1" w:rsidRPr="003B4362" w:rsidRDefault="00C805A1" w:rsidP="00C805A1">
      <w:pPr>
        <w:suppressAutoHyphens/>
        <w:ind w:left="1440"/>
        <w:rPr>
          <w:spacing w:val="-3"/>
        </w:rPr>
      </w:pPr>
      <w:r w:rsidRPr="003B4362">
        <w:rPr>
          <w:spacing w:val="-3"/>
        </w:rPr>
        <w:t>(corresponding with Subpart</w:t>
      </w:r>
      <w:r w:rsidR="00F64D08" w:rsidRPr="003B4362">
        <w:rPr>
          <w:spacing w:val="-3"/>
        </w:rPr>
        <w:t>s</w:t>
      </w:r>
      <w:r w:rsidRPr="003B4362">
        <w:rPr>
          <w:spacing w:val="-3"/>
        </w:rPr>
        <w:t xml:space="preserve"> G</w:t>
      </w:r>
      <w:r w:rsidR="00F64D08" w:rsidRPr="003B4362">
        <w:rPr>
          <w:spacing w:val="-3"/>
        </w:rPr>
        <w:t xml:space="preserve"> and AG</w:t>
      </w:r>
      <w:r w:rsidRPr="003B4362">
        <w:rPr>
          <w:spacing w:val="-3"/>
        </w:rPr>
        <w:t>)</w:t>
      </w:r>
    </w:p>
    <w:p w14:paraId="137339A2" w14:textId="77777777" w:rsidR="00C805A1" w:rsidRPr="003B4362" w:rsidRDefault="00C805A1" w:rsidP="00C805A1">
      <w:pPr>
        <w:suppressAutoHyphens/>
        <w:spacing w:after="240"/>
        <w:ind w:left="1440"/>
        <w:rPr>
          <w:spacing w:val="-3"/>
        </w:rPr>
      </w:pPr>
      <w:r w:rsidRPr="003B4362">
        <w:rPr>
          <w:spacing w:val="-3"/>
        </w:rPr>
        <w:t>(lead and copper monitoring, reporting, and recordkeeping requirements of 40 CFR 141.86 through 141.91)</w:t>
      </w:r>
    </w:p>
    <w:p w14:paraId="4676C1D6"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II IOCs (40 CFR 141.62(b)(2) and (b)(4) through (b)(10))</w:t>
      </w:r>
      <w:r w:rsidRPr="003B4362">
        <w:rPr>
          <w:spacing w:val="-3"/>
        </w:rPr>
        <w:tab/>
        <w:t>July 30, 1992</w:t>
      </w:r>
    </w:p>
    <w:p w14:paraId="54F6FB3E" w14:textId="77777777" w:rsidR="00C805A1" w:rsidRPr="003B4362" w:rsidRDefault="00C805A1" w:rsidP="00C805A1">
      <w:pPr>
        <w:suppressAutoHyphens/>
        <w:ind w:left="1440"/>
        <w:rPr>
          <w:spacing w:val="-3"/>
        </w:rPr>
      </w:pPr>
      <w:r w:rsidRPr="003B4362">
        <w:rPr>
          <w:spacing w:val="-3"/>
        </w:rPr>
        <w:t>(corresponding with Section 611.301(b))</w:t>
      </w:r>
    </w:p>
    <w:p w14:paraId="221164D3" w14:textId="77777777" w:rsidR="00C805A1" w:rsidRPr="003B4362" w:rsidRDefault="00C805A1" w:rsidP="00C805A1">
      <w:pPr>
        <w:suppressAutoHyphens/>
        <w:spacing w:after="240"/>
        <w:ind w:left="1440"/>
        <w:rPr>
          <w:spacing w:val="-3"/>
        </w:rPr>
      </w:pPr>
      <w:r w:rsidRPr="003B4362">
        <w:rPr>
          <w:spacing w:val="-3"/>
        </w:rPr>
        <w:t>(asbestos, cadmium, chromium, mercury, nitrate, nitrite, and selenium)</w:t>
      </w:r>
    </w:p>
    <w:p w14:paraId="1055AA54"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II VOCs (40 CFR 141.61(a)(9) through (a)(18))</w:t>
      </w:r>
      <w:r w:rsidRPr="003B4362">
        <w:rPr>
          <w:spacing w:val="-3"/>
        </w:rPr>
        <w:tab/>
        <w:t>July 30, 1992</w:t>
      </w:r>
    </w:p>
    <w:p w14:paraId="41740A6B" w14:textId="77777777" w:rsidR="00C805A1" w:rsidRPr="003B4362" w:rsidRDefault="00C805A1" w:rsidP="00C805A1">
      <w:pPr>
        <w:suppressAutoHyphens/>
        <w:ind w:left="1440"/>
        <w:rPr>
          <w:spacing w:val="-3"/>
        </w:rPr>
      </w:pPr>
      <w:r w:rsidRPr="003B4362">
        <w:rPr>
          <w:spacing w:val="-3"/>
        </w:rPr>
        <w:t>(corresponding with Section 611.311(a))</w:t>
      </w:r>
    </w:p>
    <w:p w14:paraId="1BC083AA" w14:textId="77777777" w:rsidR="00C805A1" w:rsidRPr="003B4362" w:rsidRDefault="00C805A1" w:rsidP="00C805A1">
      <w:pPr>
        <w:suppressAutoHyphens/>
        <w:spacing w:after="240"/>
        <w:ind w:left="1440"/>
        <w:rPr>
          <w:spacing w:val="-3"/>
        </w:rPr>
      </w:pPr>
      <w:r w:rsidRPr="003B4362">
        <w:rPr>
          <w:spacing w:val="-3"/>
        </w:rPr>
        <w:t>(o-di</w:t>
      </w:r>
      <w:r w:rsidRPr="003B4362">
        <w:rPr>
          <w:spacing w:val="-3"/>
        </w:rPr>
        <w:softHyphen/>
        <w:t>chloro</w:t>
      </w:r>
      <w:r w:rsidRPr="003B4362">
        <w:rPr>
          <w:spacing w:val="-3"/>
        </w:rPr>
        <w:softHyphen/>
        <w:t>benzene, cis-1,2-di</w:t>
      </w:r>
      <w:r w:rsidRPr="003B4362">
        <w:rPr>
          <w:spacing w:val="-3"/>
        </w:rPr>
        <w:softHyphen/>
        <w:t>chloro</w:t>
      </w:r>
      <w:r w:rsidRPr="003B4362">
        <w:rPr>
          <w:spacing w:val="-3"/>
        </w:rPr>
        <w:softHyphen/>
        <w:t>ethyl</w:t>
      </w:r>
      <w:r w:rsidRPr="003B4362">
        <w:rPr>
          <w:spacing w:val="-3"/>
        </w:rPr>
        <w:softHyphen/>
        <w:t>ene, trans-1,2-di</w:t>
      </w:r>
      <w:r w:rsidRPr="003B4362">
        <w:rPr>
          <w:spacing w:val="-3"/>
        </w:rPr>
        <w:softHyphen/>
        <w:t>chloro</w:t>
      </w:r>
      <w:r w:rsidRPr="003B4362">
        <w:rPr>
          <w:spacing w:val="-3"/>
        </w:rPr>
        <w:softHyphen/>
        <w:t>ethyl</w:t>
      </w:r>
      <w:r w:rsidRPr="003B4362">
        <w:rPr>
          <w:spacing w:val="-3"/>
        </w:rPr>
        <w:softHyphen/>
        <w:t>ene, 1,2-di</w:t>
      </w:r>
      <w:r w:rsidRPr="003B4362">
        <w:rPr>
          <w:spacing w:val="-3"/>
        </w:rPr>
        <w:softHyphen/>
        <w:t>chloro</w:t>
      </w:r>
      <w:r w:rsidRPr="003B4362">
        <w:rPr>
          <w:spacing w:val="-3"/>
        </w:rPr>
        <w:softHyphen/>
        <w:t>propane, ethyl</w:t>
      </w:r>
      <w:r w:rsidRPr="003B4362">
        <w:rPr>
          <w:spacing w:val="-3"/>
        </w:rPr>
        <w:softHyphen/>
        <w:t>benzene, monochloro</w:t>
      </w:r>
      <w:r w:rsidRPr="003B4362">
        <w:rPr>
          <w:spacing w:val="-3"/>
        </w:rPr>
        <w:softHyphen/>
        <w:t>benzene, styrene, tetrachloro</w:t>
      </w:r>
      <w:r w:rsidRPr="003B4362">
        <w:rPr>
          <w:spacing w:val="-3"/>
        </w:rPr>
        <w:softHyphen/>
        <w:t>ethyl</w:t>
      </w:r>
      <w:r w:rsidRPr="003B4362">
        <w:rPr>
          <w:spacing w:val="-3"/>
        </w:rPr>
        <w:softHyphen/>
        <w:t>ene, toluene, and xylenes (total))</w:t>
      </w:r>
    </w:p>
    <w:p w14:paraId="4387CD9A"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II SOCs (40 CFR 141.61(c)(1) through (c)(18))</w:t>
      </w:r>
      <w:r w:rsidRPr="003B4362">
        <w:rPr>
          <w:spacing w:val="-3"/>
        </w:rPr>
        <w:tab/>
        <w:t>July 30, 1992</w:t>
      </w:r>
    </w:p>
    <w:p w14:paraId="4BE7534D" w14:textId="77777777" w:rsidR="00C805A1" w:rsidRPr="003B4362" w:rsidRDefault="00C805A1" w:rsidP="00C805A1">
      <w:pPr>
        <w:suppressAutoHyphens/>
        <w:ind w:left="1440"/>
        <w:rPr>
          <w:spacing w:val="-3"/>
        </w:rPr>
      </w:pPr>
      <w:r w:rsidRPr="003B4362">
        <w:rPr>
          <w:spacing w:val="-3"/>
        </w:rPr>
        <w:t>(corresponding with Section 611.311(c))</w:t>
      </w:r>
    </w:p>
    <w:p w14:paraId="0473A052" w14:textId="77777777" w:rsidR="00C805A1" w:rsidRPr="003B4362" w:rsidRDefault="00C805A1" w:rsidP="00C805A1">
      <w:pPr>
        <w:suppressAutoHyphens/>
        <w:spacing w:after="240"/>
        <w:ind w:left="1440"/>
        <w:rPr>
          <w:spacing w:val="-3"/>
        </w:rPr>
      </w:pPr>
      <w:r w:rsidRPr="003B4362">
        <w:rPr>
          <w:spacing w:val="-3"/>
        </w:rPr>
        <w:t>(ala</w:t>
      </w:r>
      <w:r w:rsidRPr="003B4362">
        <w:rPr>
          <w:spacing w:val="-3"/>
        </w:rPr>
        <w:softHyphen/>
        <w:t>chlor, atrazine, carbo</w:t>
      </w:r>
      <w:r w:rsidRPr="003B4362">
        <w:rPr>
          <w:spacing w:val="-3"/>
        </w:rPr>
        <w:softHyphen/>
        <w:t>furan, chlor</w:t>
      </w:r>
      <w:r w:rsidRPr="003B4362">
        <w:rPr>
          <w:spacing w:val="-3"/>
        </w:rPr>
        <w:softHyphen/>
        <w:t>dane, di</w:t>
      </w:r>
      <w:r w:rsidRPr="003B4362">
        <w:rPr>
          <w:spacing w:val="-3"/>
        </w:rPr>
        <w:softHyphen/>
        <w:t>bromo</w:t>
      </w:r>
      <w:r w:rsidRPr="003B4362">
        <w:rPr>
          <w:spacing w:val="-3"/>
        </w:rPr>
        <w:softHyphen/>
        <w:t>chlor</w:t>
      </w:r>
      <w:r w:rsidRPr="003B4362">
        <w:rPr>
          <w:spacing w:val="-3"/>
        </w:rPr>
        <w:softHyphen/>
        <w:t>o</w:t>
      </w:r>
      <w:r w:rsidRPr="003B4362">
        <w:rPr>
          <w:spacing w:val="-3"/>
        </w:rPr>
        <w:softHyphen/>
        <w:t>propane, ethyl</w:t>
      </w:r>
      <w:r w:rsidRPr="003B4362">
        <w:rPr>
          <w:spacing w:val="-3"/>
        </w:rPr>
        <w:softHyphen/>
        <w:t>ene di</w:t>
      </w:r>
      <w:r w:rsidRPr="003B4362">
        <w:rPr>
          <w:spacing w:val="-3"/>
        </w:rPr>
        <w:softHyphen/>
        <w:t>bromide, heptachlor, heptachlor epoxide, lindane, methoxy</w:t>
      </w:r>
      <w:r w:rsidRPr="003B4362">
        <w:rPr>
          <w:spacing w:val="-3"/>
        </w:rPr>
        <w:softHyphen/>
        <w:t>chlor, poly</w:t>
      </w:r>
      <w:r w:rsidRPr="003B4362">
        <w:rPr>
          <w:spacing w:val="-3"/>
        </w:rPr>
        <w:softHyphen/>
        <w:t>chlorinated bi</w:t>
      </w:r>
      <w:r w:rsidRPr="003B4362">
        <w:rPr>
          <w:spacing w:val="-3"/>
        </w:rPr>
        <w:softHyphen/>
        <w:t>phenyls, toxaphene, 2,4-D, and 2,4,5-TP (silvex))</w:t>
      </w:r>
    </w:p>
    <w:p w14:paraId="62DA1A1E"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V SOC (40 CFR 141.61(c)(3))</w:t>
      </w:r>
      <w:r w:rsidRPr="003B4362">
        <w:rPr>
          <w:spacing w:val="-3"/>
        </w:rPr>
        <w:tab/>
        <w:t>August 17, 1992</w:t>
      </w:r>
    </w:p>
    <w:p w14:paraId="6428D0CE" w14:textId="77777777" w:rsidR="00C805A1" w:rsidRPr="003B4362" w:rsidRDefault="00C805A1" w:rsidP="00C805A1">
      <w:pPr>
        <w:suppressAutoHyphens/>
        <w:ind w:left="1440"/>
        <w:rPr>
          <w:spacing w:val="-3"/>
        </w:rPr>
      </w:pPr>
      <w:r w:rsidRPr="003B4362">
        <w:rPr>
          <w:spacing w:val="-3"/>
        </w:rPr>
        <w:t>(corresponding with Section 611.311(c))</w:t>
      </w:r>
    </w:p>
    <w:p w14:paraId="0CDF5BDC" w14:textId="77777777" w:rsidR="00C805A1" w:rsidRPr="003B4362" w:rsidRDefault="00C805A1" w:rsidP="00C805A1">
      <w:pPr>
        <w:suppressAutoHyphens/>
        <w:spacing w:after="240"/>
        <w:ind w:left="1440"/>
        <w:rPr>
          <w:spacing w:val="-3"/>
        </w:rPr>
      </w:pPr>
      <w:r w:rsidRPr="003B4362">
        <w:rPr>
          <w:spacing w:val="-3"/>
        </w:rPr>
        <w:t>(endrin)</w:t>
      </w:r>
    </w:p>
    <w:p w14:paraId="6FD3C569"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Lead and Copper (40 CFR</w:t>
      </w:r>
      <w:r w:rsidRPr="003B4362">
        <w:t xml:space="preserve"> 141</w:t>
      </w:r>
      <w:r w:rsidRPr="003B4362">
        <w:rPr>
          <w:spacing w:val="-3"/>
        </w:rPr>
        <w:t>, subpart I)</w:t>
      </w:r>
      <w:r w:rsidRPr="003B4362">
        <w:rPr>
          <w:spacing w:val="-3"/>
        </w:rPr>
        <w:tab/>
        <w:t>December 7, 1992</w:t>
      </w:r>
    </w:p>
    <w:p w14:paraId="2A4939B8" w14:textId="04A6A4F2" w:rsidR="00C805A1" w:rsidRPr="003B4362" w:rsidRDefault="00C805A1" w:rsidP="00C805A1">
      <w:pPr>
        <w:suppressAutoHyphens/>
        <w:ind w:left="1440"/>
        <w:rPr>
          <w:spacing w:val="-3"/>
        </w:rPr>
      </w:pPr>
      <w:r w:rsidRPr="003B4362">
        <w:rPr>
          <w:spacing w:val="-3"/>
        </w:rPr>
        <w:t>(corresponding with Subpart</w:t>
      </w:r>
      <w:r w:rsidR="00F64D08" w:rsidRPr="003B4362">
        <w:rPr>
          <w:spacing w:val="-3"/>
        </w:rPr>
        <w:t>s</w:t>
      </w:r>
      <w:r w:rsidRPr="003B4362">
        <w:rPr>
          <w:spacing w:val="-3"/>
        </w:rPr>
        <w:t xml:space="preserve"> G</w:t>
      </w:r>
      <w:r w:rsidR="00F64D08" w:rsidRPr="003B4362">
        <w:rPr>
          <w:spacing w:val="-3"/>
        </w:rPr>
        <w:t xml:space="preserve"> and AG</w:t>
      </w:r>
      <w:r w:rsidRPr="003B4362">
        <w:rPr>
          <w:spacing w:val="-3"/>
        </w:rPr>
        <w:t>)</w:t>
      </w:r>
    </w:p>
    <w:p w14:paraId="563802F6" w14:textId="77777777" w:rsidR="00C805A1" w:rsidRPr="003B4362" w:rsidRDefault="00C805A1" w:rsidP="00C805A1">
      <w:pPr>
        <w:suppressAutoHyphens/>
        <w:spacing w:after="240"/>
        <w:ind w:left="1440"/>
        <w:rPr>
          <w:spacing w:val="-3"/>
        </w:rPr>
      </w:pPr>
      <w:r w:rsidRPr="003B4362">
        <w:rPr>
          <w:spacing w:val="-3"/>
        </w:rPr>
        <w:t>(lead and copper corrosion control, water treatment, public education, and lead service line replacement requirements of 40 CFR 141.81 through 141.85)</w:t>
      </w:r>
    </w:p>
    <w:p w14:paraId="3DD67D45"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lastRenderedPageBreak/>
        <w:t>Phase IIB IOC (40 CFR 141.62(b)(3))</w:t>
      </w:r>
      <w:r w:rsidRPr="003B4362">
        <w:rPr>
          <w:spacing w:val="-3"/>
        </w:rPr>
        <w:tab/>
        <w:t>January 1, 1993</w:t>
      </w:r>
    </w:p>
    <w:p w14:paraId="68909B1A" w14:textId="77777777" w:rsidR="00C805A1" w:rsidRPr="003B4362" w:rsidRDefault="00C805A1" w:rsidP="00C805A1">
      <w:pPr>
        <w:suppressAutoHyphens/>
        <w:ind w:left="1440"/>
        <w:rPr>
          <w:spacing w:val="-3"/>
        </w:rPr>
      </w:pPr>
      <w:r w:rsidRPr="003B4362">
        <w:rPr>
          <w:spacing w:val="-3"/>
        </w:rPr>
        <w:t>(corresponding with Section 611.301(b))</w:t>
      </w:r>
    </w:p>
    <w:p w14:paraId="0E9B28E3" w14:textId="77777777" w:rsidR="00C805A1" w:rsidRPr="003B4362" w:rsidRDefault="00C805A1" w:rsidP="00C805A1">
      <w:pPr>
        <w:suppressAutoHyphens/>
        <w:spacing w:after="240"/>
        <w:ind w:left="1440"/>
        <w:rPr>
          <w:spacing w:val="-3"/>
        </w:rPr>
      </w:pPr>
      <w:r w:rsidRPr="003B4362">
        <w:rPr>
          <w:spacing w:val="-3"/>
        </w:rPr>
        <w:t>(barium)</w:t>
      </w:r>
    </w:p>
    <w:p w14:paraId="717C4A47"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IIB SOCs (40 CFR 141.61(a)(9) through (a)(18))</w:t>
      </w:r>
      <w:r w:rsidRPr="003B4362">
        <w:rPr>
          <w:spacing w:val="-3"/>
        </w:rPr>
        <w:tab/>
        <w:t>January 1, 1993</w:t>
      </w:r>
    </w:p>
    <w:p w14:paraId="483A8060" w14:textId="77777777" w:rsidR="00C805A1" w:rsidRPr="003B4362" w:rsidRDefault="00C805A1" w:rsidP="00C805A1">
      <w:pPr>
        <w:suppressAutoHyphens/>
        <w:ind w:left="1440"/>
        <w:rPr>
          <w:spacing w:val="-3"/>
        </w:rPr>
      </w:pPr>
      <w:r w:rsidRPr="003B4362">
        <w:rPr>
          <w:spacing w:val="-3"/>
        </w:rPr>
        <w:t>(corresponding with Section 611.311(c))</w:t>
      </w:r>
    </w:p>
    <w:p w14:paraId="075BC303" w14:textId="77777777" w:rsidR="00C805A1" w:rsidRPr="003B4362" w:rsidRDefault="00C805A1" w:rsidP="00C805A1">
      <w:pPr>
        <w:suppressAutoHyphens/>
        <w:spacing w:after="240"/>
        <w:ind w:left="1440"/>
        <w:rPr>
          <w:spacing w:val="-3"/>
        </w:rPr>
      </w:pPr>
      <w:r w:rsidRPr="003B4362">
        <w:rPr>
          <w:spacing w:val="-3"/>
        </w:rPr>
        <w:t>(aldicarb, aldicarb sulfone, aldicarb sulfoxide, and penta</w:t>
      </w:r>
      <w:r w:rsidRPr="003B4362">
        <w:rPr>
          <w:spacing w:val="-3"/>
        </w:rPr>
        <w:softHyphen/>
        <w:t>chlor</w:t>
      </w:r>
      <w:r w:rsidRPr="003B4362">
        <w:rPr>
          <w:spacing w:val="-3"/>
        </w:rPr>
        <w:softHyphen/>
        <w:t>o</w:t>
      </w:r>
      <w:r w:rsidRPr="003B4362">
        <w:rPr>
          <w:spacing w:val="-3"/>
        </w:rPr>
        <w:softHyphen/>
        <w:t>phenol</w:t>
      </w:r>
      <w:r w:rsidRPr="003B4362">
        <w:t>.  See the Board note appended to Section 611.311(c) for information relating to implementation of requirements relating to aldicarb, aldicarb sulfone, and aldicarb sulfoxide.</w:t>
      </w:r>
      <w:r w:rsidRPr="003B4362">
        <w:rPr>
          <w:spacing w:val="-3"/>
        </w:rPr>
        <w:t>)</w:t>
      </w:r>
    </w:p>
    <w:p w14:paraId="6654FF49"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V IOCs (40 CFR 141.62(b)(11) through (b)(15))</w:t>
      </w:r>
      <w:r w:rsidRPr="003B4362">
        <w:rPr>
          <w:spacing w:val="-3"/>
        </w:rPr>
        <w:tab/>
        <w:t>January 17, 1994</w:t>
      </w:r>
    </w:p>
    <w:p w14:paraId="65D2925F" w14:textId="77777777" w:rsidR="00C805A1" w:rsidRPr="003B4362" w:rsidRDefault="00C805A1" w:rsidP="00C805A1">
      <w:pPr>
        <w:suppressAutoHyphens/>
        <w:ind w:left="1440"/>
        <w:rPr>
          <w:spacing w:val="-3"/>
        </w:rPr>
      </w:pPr>
      <w:r w:rsidRPr="003B4362">
        <w:rPr>
          <w:spacing w:val="-3"/>
        </w:rPr>
        <w:t>(corresponding with Section 611.301(b))</w:t>
      </w:r>
    </w:p>
    <w:p w14:paraId="5A463435" w14:textId="77777777" w:rsidR="00C805A1" w:rsidRPr="003B4362" w:rsidRDefault="00C805A1" w:rsidP="00C805A1">
      <w:pPr>
        <w:suppressAutoHyphens/>
        <w:spacing w:after="240"/>
        <w:ind w:left="1440"/>
        <w:rPr>
          <w:spacing w:val="-3"/>
        </w:rPr>
      </w:pPr>
      <w:r w:rsidRPr="003B4362">
        <w:rPr>
          <w:spacing w:val="-3"/>
        </w:rPr>
        <w:t>(antimony, beryllium, cyanide, nickel, and thallium)</w:t>
      </w:r>
    </w:p>
    <w:p w14:paraId="524DAC18"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V VOCs (40 CFR 141.61(b)(19) through (b)(21))</w:t>
      </w:r>
      <w:r w:rsidRPr="003B4362">
        <w:rPr>
          <w:spacing w:val="-3"/>
        </w:rPr>
        <w:tab/>
        <w:t>January 17, 1994</w:t>
      </w:r>
    </w:p>
    <w:p w14:paraId="08D00291" w14:textId="77777777" w:rsidR="00C805A1" w:rsidRPr="003B4362" w:rsidRDefault="00C805A1" w:rsidP="00C805A1">
      <w:pPr>
        <w:suppressAutoHyphens/>
        <w:ind w:left="1440"/>
        <w:rPr>
          <w:spacing w:val="-3"/>
        </w:rPr>
      </w:pPr>
      <w:r w:rsidRPr="003B4362">
        <w:rPr>
          <w:spacing w:val="-3"/>
        </w:rPr>
        <w:t>(corresponding with Section 611.311(a))</w:t>
      </w:r>
    </w:p>
    <w:p w14:paraId="2EFF3318" w14:textId="77777777" w:rsidR="00C805A1" w:rsidRPr="003B4362" w:rsidRDefault="00C805A1" w:rsidP="00C805A1">
      <w:pPr>
        <w:suppressAutoHyphens/>
        <w:spacing w:after="240"/>
        <w:ind w:left="1440"/>
        <w:rPr>
          <w:spacing w:val="-3"/>
        </w:rPr>
      </w:pPr>
      <w:r w:rsidRPr="003B4362">
        <w:rPr>
          <w:spacing w:val="-3"/>
        </w:rPr>
        <w:t>(dichloro</w:t>
      </w:r>
      <w:r w:rsidRPr="003B4362">
        <w:rPr>
          <w:spacing w:val="-3"/>
        </w:rPr>
        <w:softHyphen/>
        <w:t>methane, 1,2,4-trichloro</w:t>
      </w:r>
      <w:r w:rsidRPr="003B4362">
        <w:rPr>
          <w:spacing w:val="-3"/>
        </w:rPr>
        <w:softHyphen/>
        <w:t>benzene, and 1,1,2-trichloro</w:t>
      </w:r>
      <w:r w:rsidRPr="003B4362">
        <w:rPr>
          <w:spacing w:val="-3"/>
        </w:rPr>
        <w:softHyphen/>
        <w:t>ethane)</w:t>
      </w:r>
    </w:p>
    <w:p w14:paraId="0F57DEF6"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V SOCs (40 CFR 141.61(c)(19) through (c)(25))</w:t>
      </w:r>
      <w:r w:rsidRPr="003B4362">
        <w:rPr>
          <w:spacing w:val="-3"/>
        </w:rPr>
        <w:tab/>
        <w:t>January 17, 1994</w:t>
      </w:r>
    </w:p>
    <w:p w14:paraId="39114288" w14:textId="77777777" w:rsidR="00C805A1" w:rsidRPr="003B4362" w:rsidRDefault="00C805A1" w:rsidP="00C805A1">
      <w:pPr>
        <w:suppressAutoHyphens/>
        <w:ind w:left="1440"/>
        <w:rPr>
          <w:spacing w:val="-3"/>
        </w:rPr>
      </w:pPr>
      <w:r w:rsidRPr="003B4362">
        <w:rPr>
          <w:spacing w:val="-3"/>
        </w:rPr>
        <w:t>(corresponding with Section 611.311(c))</w:t>
      </w:r>
    </w:p>
    <w:p w14:paraId="663239F7" w14:textId="77777777" w:rsidR="00C805A1" w:rsidRPr="003B4362" w:rsidRDefault="00C805A1" w:rsidP="00C805A1">
      <w:pPr>
        <w:suppressAutoHyphens/>
        <w:spacing w:after="240"/>
        <w:ind w:left="1440"/>
        <w:rPr>
          <w:spacing w:val="-3"/>
        </w:rPr>
      </w:pPr>
      <w:r w:rsidRPr="003B4362">
        <w:rPr>
          <w:spacing w:val="-3"/>
        </w:rPr>
        <w:t>(benzo</w:t>
      </w:r>
      <w:r w:rsidRPr="003B4362">
        <w:rPr>
          <w:spacing w:val="-3"/>
        </w:rPr>
        <w:softHyphen/>
      </w:r>
      <w:r w:rsidRPr="003B4362">
        <w:t>(</w:t>
      </w:r>
      <w:r w:rsidRPr="003B4362">
        <w:rPr>
          <w:spacing w:val="-3"/>
        </w:rPr>
        <w:t>a</w:t>
      </w:r>
      <w:r w:rsidRPr="003B4362">
        <w:t>)</w:t>
      </w:r>
      <w:r w:rsidRPr="003B4362">
        <w:rPr>
          <w:spacing w:val="-3"/>
        </w:rPr>
        <w:softHyphen/>
        <w:t>pyrene, dalapon, di</w:t>
      </w:r>
      <w:r w:rsidRPr="003B4362">
        <w:rPr>
          <w:spacing w:val="-3"/>
        </w:rPr>
        <w:softHyphen/>
        <w:t>(2-ethyl</w:t>
      </w:r>
      <w:r w:rsidRPr="003B4362">
        <w:rPr>
          <w:spacing w:val="-3"/>
        </w:rPr>
        <w:softHyphen/>
        <w:t>hexyl)</w:t>
      </w:r>
      <w:r w:rsidRPr="003B4362">
        <w:rPr>
          <w:spacing w:val="-3"/>
        </w:rPr>
        <w:softHyphen/>
        <w:t>adipate, di</w:t>
      </w:r>
      <w:r w:rsidRPr="003B4362">
        <w:rPr>
          <w:spacing w:val="-3"/>
        </w:rPr>
        <w:softHyphen/>
        <w:t>(2-ethyl</w:t>
      </w:r>
      <w:r w:rsidRPr="003B4362">
        <w:rPr>
          <w:spacing w:val="-3"/>
        </w:rPr>
        <w:softHyphen/>
        <w:t>hexyl)</w:t>
      </w:r>
      <w:r w:rsidRPr="003B4362">
        <w:rPr>
          <w:spacing w:val="-3"/>
        </w:rPr>
        <w:softHyphen/>
        <w:t>phthalate dinoseb, diquat, endothall, glyphosate, hexa</w:t>
      </w:r>
      <w:r w:rsidRPr="003B4362">
        <w:rPr>
          <w:spacing w:val="-3"/>
        </w:rPr>
        <w:softHyphen/>
        <w:t>chloro</w:t>
      </w:r>
      <w:r w:rsidRPr="003B4362">
        <w:rPr>
          <w:spacing w:val="-3"/>
        </w:rPr>
        <w:softHyphen/>
        <w:t>benzene, hexa</w:t>
      </w:r>
      <w:r w:rsidRPr="003B4362">
        <w:rPr>
          <w:spacing w:val="-3"/>
        </w:rPr>
        <w:softHyphen/>
        <w:t>chloro</w:t>
      </w:r>
      <w:r w:rsidRPr="003B4362">
        <w:rPr>
          <w:spacing w:val="-3"/>
        </w:rPr>
        <w:softHyphen/>
        <w:t>cyclo</w:t>
      </w:r>
      <w:r w:rsidRPr="003B4362">
        <w:rPr>
          <w:spacing w:val="-3"/>
        </w:rPr>
        <w:softHyphen/>
        <w:t>penta</w:t>
      </w:r>
      <w:r w:rsidRPr="003B4362">
        <w:rPr>
          <w:spacing w:val="-3"/>
        </w:rPr>
        <w:softHyphen/>
        <w:t>diene, oxamyl, picloram, simazine, and 2,3,7,8-TCDD)</w:t>
      </w:r>
    </w:p>
    <w:p w14:paraId="2FE69B6A" w14:textId="77777777" w:rsidR="00C805A1" w:rsidRPr="003B4362" w:rsidRDefault="00C805A1" w:rsidP="00C805A1">
      <w:pPr>
        <w:keepNext/>
        <w:keepLines/>
        <w:tabs>
          <w:tab w:val="right" w:pos="9360"/>
        </w:tabs>
        <w:suppressAutoHyphens/>
        <w:spacing w:before="240"/>
        <w:ind w:left="720"/>
      </w:pPr>
      <w:r w:rsidRPr="003B4362">
        <w:t>Consumer Confidence Report Rule (40 CFR 141, subpart Q)</w:t>
      </w:r>
      <w:r w:rsidRPr="003B4362">
        <w:tab/>
        <w:t>September 18, 1998</w:t>
      </w:r>
    </w:p>
    <w:p w14:paraId="3CE4ED73" w14:textId="77777777" w:rsidR="00C805A1" w:rsidRPr="003B4362" w:rsidRDefault="00C805A1" w:rsidP="00C805A1">
      <w:pPr>
        <w:suppressAutoHyphens/>
        <w:ind w:left="1440"/>
      </w:pPr>
      <w:r w:rsidRPr="003B4362">
        <w:t>(corresponding with Subpart O)</w:t>
      </w:r>
    </w:p>
    <w:p w14:paraId="35763A9B" w14:textId="77777777" w:rsidR="00C805A1" w:rsidRPr="003B4362" w:rsidRDefault="00C805A1" w:rsidP="00C805A1">
      <w:pPr>
        <w:suppressAutoHyphens/>
        <w:spacing w:after="240"/>
        <w:ind w:left="1440"/>
      </w:pPr>
      <w:r w:rsidRPr="003B4362">
        <w:t>(notification to public of drinking water quality)</w:t>
      </w:r>
    </w:p>
    <w:p w14:paraId="13B32062" w14:textId="77777777" w:rsidR="00C805A1" w:rsidRPr="003B4362" w:rsidRDefault="00C805A1" w:rsidP="00C805A1">
      <w:pPr>
        <w:keepNext/>
        <w:keepLines/>
        <w:tabs>
          <w:tab w:val="right" w:pos="9360"/>
        </w:tabs>
        <w:suppressAutoHyphens/>
        <w:spacing w:before="240"/>
        <w:ind w:left="720"/>
      </w:pPr>
      <w:r w:rsidRPr="003B4362">
        <w:t>Interim Enhanced Surface Water Treatment Rule (40 CFR 141, subpart P)</w:t>
      </w:r>
    </w:p>
    <w:p w14:paraId="59EDFB6F" w14:textId="77777777" w:rsidR="00C805A1" w:rsidRPr="003B4362" w:rsidRDefault="00C805A1" w:rsidP="00C805A1">
      <w:pPr>
        <w:tabs>
          <w:tab w:val="right" w:pos="9360"/>
        </w:tabs>
        <w:suppressAutoHyphens/>
        <w:ind w:left="720"/>
      </w:pPr>
      <w:r w:rsidRPr="003B4362">
        <w:tab/>
        <w:t>February 16, 1999</w:t>
      </w:r>
    </w:p>
    <w:p w14:paraId="19D3B522" w14:textId="77777777" w:rsidR="00C805A1" w:rsidRPr="003B4362" w:rsidRDefault="00C805A1" w:rsidP="00C805A1">
      <w:pPr>
        <w:suppressAutoHyphens/>
        <w:ind w:left="1440"/>
      </w:pPr>
      <w:r w:rsidRPr="003B4362">
        <w:t>(corresponding with Subpart R)</w:t>
      </w:r>
    </w:p>
    <w:p w14:paraId="69D88ABA" w14:textId="77777777" w:rsidR="00C805A1" w:rsidRPr="003B4362" w:rsidRDefault="00C805A1" w:rsidP="00C805A1">
      <w:pPr>
        <w:suppressAutoHyphens/>
        <w:ind w:left="1440"/>
      </w:pPr>
      <w:r w:rsidRPr="003B4362">
        <w:t>(applicable to suppliers providing water to fewer than 10,000 persons)</w:t>
      </w:r>
    </w:p>
    <w:p w14:paraId="334EF64F" w14:textId="77777777" w:rsidR="00C805A1" w:rsidRPr="003B4362" w:rsidRDefault="00C805A1" w:rsidP="00C805A1">
      <w:pPr>
        <w:suppressAutoHyphens/>
        <w:spacing w:after="240"/>
        <w:ind w:left="1440"/>
      </w:pPr>
      <w:r w:rsidRPr="003B4362">
        <w:t>(Giardia lamblia, viruses, heterotrophic plate count bacteria, Legionella, Cryptosporidium, and turbidity)</w:t>
      </w:r>
    </w:p>
    <w:p w14:paraId="774C0E63" w14:textId="77777777" w:rsidR="00C805A1" w:rsidRPr="003B4362" w:rsidRDefault="00C805A1" w:rsidP="00C805A1">
      <w:pPr>
        <w:keepNext/>
        <w:keepLines/>
        <w:tabs>
          <w:tab w:val="right" w:pos="9360"/>
        </w:tabs>
        <w:suppressAutoHyphens/>
        <w:spacing w:before="240"/>
        <w:ind w:left="720"/>
      </w:pPr>
      <w:r w:rsidRPr="003B4362">
        <w:t>Public Notification Rule (40 CFR 141, subpart Q)</w:t>
      </w:r>
      <w:r w:rsidRPr="003B4362">
        <w:tab/>
        <w:t>June 5, 2000</w:t>
      </w:r>
    </w:p>
    <w:p w14:paraId="3BD0D610" w14:textId="77777777" w:rsidR="00C805A1" w:rsidRPr="003B4362" w:rsidRDefault="00C805A1" w:rsidP="00C805A1">
      <w:pPr>
        <w:suppressAutoHyphens/>
        <w:ind w:left="1440"/>
      </w:pPr>
      <w:r w:rsidRPr="003B4362">
        <w:t>(corresponding with Subpart V)</w:t>
      </w:r>
    </w:p>
    <w:p w14:paraId="55B10571" w14:textId="77777777" w:rsidR="00C805A1" w:rsidRPr="003B4362" w:rsidRDefault="00C805A1" w:rsidP="00C805A1">
      <w:pPr>
        <w:suppressAutoHyphens/>
        <w:spacing w:after="240"/>
        <w:ind w:left="1440"/>
      </w:pPr>
      <w:r w:rsidRPr="003B4362">
        <w:t>(notification to public of NPDWR violations, variances or exemptions, or other situations that could bear on public health)</w:t>
      </w:r>
    </w:p>
    <w:p w14:paraId="032AB3E5" w14:textId="77777777" w:rsidR="00C805A1" w:rsidRPr="003B4362" w:rsidRDefault="00C805A1" w:rsidP="00C805A1">
      <w:pPr>
        <w:keepNext/>
        <w:keepLines/>
        <w:tabs>
          <w:tab w:val="right" w:pos="9360"/>
        </w:tabs>
        <w:suppressAutoHyphens/>
        <w:spacing w:before="240"/>
        <w:ind w:left="720"/>
      </w:pPr>
      <w:r w:rsidRPr="003B4362">
        <w:t>Filter Backwash Rule (40 CFR 141.76)</w:t>
      </w:r>
      <w:r w:rsidRPr="003B4362">
        <w:tab/>
        <w:t>August 7, 2001</w:t>
      </w:r>
    </w:p>
    <w:p w14:paraId="184404A0" w14:textId="77777777" w:rsidR="00C805A1" w:rsidRPr="003B4362" w:rsidRDefault="00C805A1" w:rsidP="00C805A1">
      <w:pPr>
        <w:suppressAutoHyphens/>
        <w:ind w:left="1440"/>
      </w:pPr>
      <w:r w:rsidRPr="003B4362">
        <w:t>(corresponding with Section 611.276)</w:t>
      </w:r>
    </w:p>
    <w:p w14:paraId="04723CF5" w14:textId="77777777" w:rsidR="00C805A1" w:rsidRPr="003B4362" w:rsidRDefault="00C805A1" w:rsidP="00C805A1">
      <w:pPr>
        <w:suppressAutoHyphens/>
        <w:spacing w:after="240"/>
        <w:ind w:left="1440"/>
      </w:pPr>
      <w:r w:rsidRPr="003B4362">
        <w:t>(reuse of spent filter backwash water, thickener supernatant, or liquids from dewatering processes)</w:t>
      </w:r>
    </w:p>
    <w:p w14:paraId="2D992A6B" w14:textId="77777777" w:rsidR="00C805A1" w:rsidRPr="003B4362" w:rsidRDefault="00C805A1" w:rsidP="00C805A1">
      <w:pPr>
        <w:keepNext/>
        <w:keepLines/>
        <w:suppressAutoHyphens/>
        <w:spacing w:before="240"/>
        <w:ind w:left="720"/>
        <w:outlineLvl w:val="0"/>
      </w:pPr>
      <w:r w:rsidRPr="003B4362">
        <w:lastRenderedPageBreak/>
        <w:t>Disinfection/Disinfectant Byproducts Rule (40 CFR 141.64, 141.65 and 141, subpart L)</w:t>
      </w:r>
    </w:p>
    <w:p w14:paraId="67FD132D" w14:textId="77777777" w:rsidR="00C805A1" w:rsidRPr="003B4362" w:rsidRDefault="00C805A1" w:rsidP="00C805A1">
      <w:pPr>
        <w:tabs>
          <w:tab w:val="right" w:pos="9360"/>
        </w:tabs>
        <w:suppressAutoHyphens/>
        <w:ind w:left="1440"/>
        <w:rPr>
          <w:spacing w:val="-3"/>
        </w:rPr>
      </w:pPr>
      <w:r w:rsidRPr="003B4362">
        <w:rPr>
          <w:spacing w:val="-3"/>
        </w:rPr>
        <w:t xml:space="preserve">Smaller Systems (serving 10,000 </w:t>
      </w:r>
      <w:r w:rsidRPr="003B4362">
        <w:t xml:space="preserve">or fewer </w:t>
      </w:r>
      <w:r w:rsidRPr="003B4362">
        <w:rPr>
          <w:spacing w:val="-3"/>
        </w:rPr>
        <w:t>persons)</w:t>
      </w:r>
      <w:r w:rsidRPr="003B4362">
        <w:rPr>
          <w:spacing w:val="-3"/>
        </w:rPr>
        <w:tab/>
        <w:t>December 16, 2001</w:t>
      </w:r>
    </w:p>
    <w:p w14:paraId="72D58A0C" w14:textId="77777777" w:rsidR="00C805A1" w:rsidRPr="003B4362" w:rsidRDefault="00C805A1" w:rsidP="00C805A1">
      <w:pPr>
        <w:tabs>
          <w:tab w:val="right" w:pos="9360"/>
        </w:tabs>
        <w:suppressAutoHyphens/>
        <w:ind w:left="1440"/>
        <w:rPr>
          <w:spacing w:val="-3"/>
        </w:rPr>
      </w:pPr>
      <w:r w:rsidRPr="003B4362">
        <w:rPr>
          <w:spacing w:val="-3"/>
        </w:rPr>
        <w:t>Larger Systems (serving</w:t>
      </w:r>
      <w:r w:rsidRPr="003B4362">
        <w:t xml:space="preserve"> more than </w:t>
      </w:r>
      <w:r w:rsidRPr="003B4362">
        <w:rPr>
          <w:spacing w:val="-3"/>
        </w:rPr>
        <w:t>10,000 persons)</w:t>
      </w:r>
      <w:r w:rsidRPr="003B4362">
        <w:rPr>
          <w:spacing w:val="-3"/>
        </w:rPr>
        <w:tab/>
        <w:t>December 16, 2003</w:t>
      </w:r>
    </w:p>
    <w:p w14:paraId="051DF35C" w14:textId="77777777" w:rsidR="00C805A1" w:rsidRPr="003B4362" w:rsidRDefault="00C805A1" w:rsidP="00C805A1">
      <w:pPr>
        <w:suppressAutoHyphens/>
        <w:ind w:left="1440"/>
        <w:rPr>
          <w:spacing w:val="-3"/>
        </w:rPr>
      </w:pPr>
      <w:r w:rsidRPr="003B4362">
        <w:rPr>
          <w:spacing w:val="-3"/>
        </w:rPr>
        <w:t>(corresponding with Section</w:t>
      </w:r>
      <w:r w:rsidRPr="003B4362">
        <w:t>s</w:t>
      </w:r>
      <w:r w:rsidRPr="003B4362">
        <w:rPr>
          <w:spacing w:val="-3"/>
        </w:rPr>
        <w:t xml:space="preserve"> 611.312</w:t>
      </w:r>
      <w:r w:rsidRPr="003B4362">
        <w:t xml:space="preserve"> and </w:t>
      </w:r>
      <w:r w:rsidRPr="003B4362">
        <w:rPr>
          <w:spacing w:val="-3"/>
        </w:rPr>
        <w:t>611.313)</w:t>
      </w:r>
    </w:p>
    <w:p w14:paraId="690DD3C8" w14:textId="77777777" w:rsidR="00C805A1" w:rsidRPr="003B4362" w:rsidRDefault="00C805A1" w:rsidP="00C805A1">
      <w:pPr>
        <w:suppressAutoHyphens/>
        <w:spacing w:after="240"/>
        <w:ind w:left="1440"/>
        <w:rPr>
          <w:spacing w:val="-3"/>
        </w:rPr>
      </w:pPr>
      <w:r w:rsidRPr="003B4362">
        <w:rPr>
          <w:spacing w:val="-3"/>
        </w:rPr>
        <w:t>(total trihalomethanes, haloacetic acids (five), bromate, chlorite, chlorine, chloramines, and chlorine dioxide)</w:t>
      </w:r>
    </w:p>
    <w:p w14:paraId="528284CF" w14:textId="77777777" w:rsidR="00C805A1" w:rsidRPr="003B4362" w:rsidRDefault="00C805A1" w:rsidP="00C805A1">
      <w:pPr>
        <w:keepNext/>
        <w:keepLines/>
        <w:tabs>
          <w:tab w:val="right" w:pos="9360"/>
        </w:tabs>
        <w:suppressAutoHyphens/>
        <w:spacing w:before="240"/>
        <w:ind w:left="720"/>
      </w:pPr>
      <w:r w:rsidRPr="003B4362">
        <w:t>Long Term 1 Enhanced Surface Water Treatment Rule (40 CFR 141, subpart T)</w:t>
      </w:r>
    </w:p>
    <w:p w14:paraId="742DDB47" w14:textId="77777777" w:rsidR="00C805A1" w:rsidRPr="003B4362" w:rsidRDefault="00C805A1" w:rsidP="00C805A1">
      <w:pPr>
        <w:tabs>
          <w:tab w:val="right" w:pos="9360"/>
        </w:tabs>
        <w:suppressAutoHyphens/>
        <w:ind w:left="720"/>
      </w:pPr>
      <w:r w:rsidRPr="003B4362">
        <w:tab/>
        <w:t>February 13, 2002</w:t>
      </w:r>
    </w:p>
    <w:p w14:paraId="1E422A15" w14:textId="77777777" w:rsidR="00C805A1" w:rsidRPr="003B4362" w:rsidRDefault="00C805A1" w:rsidP="00C805A1">
      <w:pPr>
        <w:suppressAutoHyphens/>
        <w:ind w:left="1440"/>
      </w:pPr>
      <w:r w:rsidRPr="003B4362">
        <w:t>(corresponding with Subpart X)</w:t>
      </w:r>
    </w:p>
    <w:p w14:paraId="6B5521B2" w14:textId="77777777" w:rsidR="00C805A1" w:rsidRPr="003B4362" w:rsidRDefault="00C805A1" w:rsidP="00C805A1">
      <w:pPr>
        <w:suppressAutoHyphens/>
        <w:ind w:left="1440"/>
      </w:pPr>
      <w:r w:rsidRPr="003B4362">
        <w:t>(applicable to suppliers providing water to 10,000 or more persons)</w:t>
      </w:r>
    </w:p>
    <w:p w14:paraId="3BFAA11A" w14:textId="77777777" w:rsidR="00C805A1" w:rsidRPr="003B4362" w:rsidRDefault="00C805A1" w:rsidP="00C805A1">
      <w:pPr>
        <w:suppressAutoHyphens/>
        <w:spacing w:after="240"/>
        <w:ind w:left="1440"/>
      </w:pPr>
      <w:r w:rsidRPr="003B4362">
        <w:t>(Giardia lamblia, viruses, heterotrophic plate count bacteria, Legionella, Cryptosporidium, and turbidity)</w:t>
      </w:r>
    </w:p>
    <w:p w14:paraId="19032A9B"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Radionuclides (40 CFR 141.66)</w:t>
      </w:r>
      <w:r w:rsidRPr="003B4362">
        <w:rPr>
          <w:spacing w:val="-3"/>
        </w:rPr>
        <w:tab/>
        <w:t>December 8, 2003</w:t>
      </w:r>
    </w:p>
    <w:p w14:paraId="29862CB7" w14:textId="77777777" w:rsidR="00C805A1" w:rsidRPr="003B4362" w:rsidRDefault="00C805A1" w:rsidP="00C805A1">
      <w:pPr>
        <w:suppressAutoHyphens/>
        <w:ind w:left="1440"/>
        <w:rPr>
          <w:spacing w:val="-3"/>
        </w:rPr>
      </w:pPr>
      <w:r w:rsidRPr="003B4362">
        <w:rPr>
          <w:spacing w:val="-3"/>
        </w:rPr>
        <w:t>(corresponding with Section 611.330)</w:t>
      </w:r>
    </w:p>
    <w:p w14:paraId="1B6E28FF" w14:textId="77777777" w:rsidR="00C805A1" w:rsidRPr="003B4362" w:rsidRDefault="00C805A1" w:rsidP="00C805A1">
      <w:pPr>
        <w:suppressAutoHyphens/>
        <w:spacing w:after="240"/>
        <w:ind w:left="1440"/>
        <w:rPr>
          <w:spacing w:val="-3"/>
        </w:rPr>
      </w:pPr>
      <w:r w:rsidRPr="003B4362">
        <w:rPr>
          <w:spacing w:val="-3"/>
        </w:rPr>
        <w:t>(combined radium (Ra-226 + Ra-228), gross alpha particle activity, beta particle and photon activity, and uranium)</w:t>
      </w:r>
    </w:p>
    <w:p w14:paraId="6C27812C"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Arsenic (40 CFR 141.62(b)(16))</w:t>
      </w:r>
      <w:r w:rsidRPr="003B4362">
        <w:rPr>
          <w:spacing w:val="-3"/>
        </w:rPr>
        <w:tab/>
        <w:t>January 23, 2006</w:t>
      </w:r>
    </w:p>
    <w:p w14:paraId="42935A36" w14:textId="77777777" w:rsidR="00C805A1" w:rsidRPr="003B4362" w:rsidRDefault="00C805A1" w:rsidP="00C805A1">
      <w:pPr>
        <w:suppressAutoHyphens/>
        <w:ind w:left="1440"/>
        <w:rPr>
          <w:spacing w:val="-3"/>
        </w:rPr>
      </w:pPr>
      <w:r w:rsidRPr="003B4362">
        <w:rPr>
          <w:spacing w:val="-3"/>
        </w:rPr>
        <w:t>(corresponding with Section 611.301(b))</w:t>
      </w:r>
    </w:p>
    <w:p w14:paraId="29F8B2BE" w14:textId="77777777" w:rsidR="00C805A1" w:rsidRPr="003B4362" w:rsidRDefault="00C805A1" w:rsidP="00C805A1">
      <w:pPr>
        <w:suppressAutoHyphens/>
        <w:spacing w:after="240"/>
        <w:ind w:left="1440"/>
        <w:rPr>
          <w:spacing w:val="-3"/>
        </w:rPr>
      </w:pPr>
      <w:r w:rsidRPr="003B4362">
        <w:rPr>
          <w:spacing w:val="-3"/>
        </w:rPr>
        <w:t>(arsenic)</w:t>
      </w:r>
    </w:p>
    <w:p w14:paraId="44EDF6CB" w14:textId="77777777" w:rsidR="00C805A1" w:rsidRPr="003B4362" w:rsidRDefault="00C805A1" w:rsidP="00C805A1">
      <w:pPr>
        <w:keepNext/>
        <w:keepLines/>
        <w:suppressAutoHyphens/>
        <w:spacing w:before="240"/>
        <w:ind w:left="720"/>
        <w:outlineLvl w:val="0"/>
      </w:pPr>
      <w:r w:rsidRPr="003B4362">
        <w:t>Stage 2 Disinfection/Disinfectant Byproducts Rule (40 CFR 141, subparts U and V)</w:t>
      </w:r>
    </w:p>
    <w:p w14:paraId="7821A66E" w14:textId="77777777" w:rsidR="00C805A1" w:rsidRPr="003B4362" w:rsidRDefault="00C805A1" w:rsidP="00C805A1">
      <w:pPr>
        <w:keepNext/>
        <w:keepLines/>
        <w:tabs>
          <w:tab w:val="right" w:pos="9360"/>
        </w:tabs>
        <w:suppressAutoHyphens/>
        <w:ind w:left="1440"/>
      </w:pPr>
      <w:r w:rsidRPr="003B4362">
        <w:t>Systems that serve fewer than 10,000 persons)</w:t>
      </w:r>
    </w:p>
    <w:p w14:paraId="3DFABE40" w14:textId="77777777" w:rsidR="00C805A1" w:rsidRPr="003B4362" w:rsidRDefault="00C805A1" w:rsidP="00C805A1">
      <w:pPr>
        <w:tabs>
          <w:tab w:val="right" w:pos="9360"/>
        </w:tabs>
        <w:suppressAutoHyphens/>
        <w:ind w:left="2160"/>
      </w:pPr>
      <w:r w:rsidRPr="003B4362">
        <w:t>Submit plan</w:t>
      </w:r>
      <w:r w:rsidRPr="003B4362">
        <w:tab/>
        <w:t>April 1, 2008</w:t>
      </w:r>
    </w:p>
    <w:p w14:paraId="5761737E" w14:textId="77777777" w:rsidR="00C805A1" w:rsidRPr="003B4362" w:rsidRDefault="00C805A1" w:rsidP="00C805A1">
      <w:pPr>
        <w:tabs>
          <w:tab w:val="right" w:pos="9360"/>
        </w:tabs>
        <w:suppressAutoHyphens/>
        <w:ind w:left="2160"/>
      </w:pPr>
      <w:r w:rsidRPr="003B4362">
        <w:t>Complete monitoring or study</w:t>
      </w:r>
      <w:r w:rsidRPr="003B4362">
        <w:tab/>
        <w:t>March 31, 2010</w:t>
      </w:r>
    </w:p>
    <w:p w14:paraId="5098853C" w14:textId="77777777" w:rsidR="00C805A1" w:rsidRPr="003B4362" w:rsidRDefault="00C805A1" w:rsidP="00C805A1">
      <w:pPr>
        <w:tabs>
          <w:tab w:val="right" w:pos="9360"/>
        </w:tabs>
        <w:suppressAutoHyphens/>
        <w:ind w:left="2160"/>
      </w:pPr>
      <w:r w:rsidRPr="003B4362">
        <w:t>Submit IDSE report</w:t>
      </w:r>
      <w:r w:rsidRPr="003B4362">
        <w:tab/>
        <w:t>July 1, 2010</w:t>
      </w:r>
    </w:p>
    <w:p w14:paraId="063C2E2F" w14:textId="77777777" w:rsidR="00C805A1" w:rsidRPr="003B4362" w:rsidRDefault="00C805A1" w:rsidP="00C805A1">
      <w:pPr>
        <w:tabs>
          <w:tab w:val="right" w:pos="9360"/>
        </w:tabs>
        <w:suppressAutoHyphens/>
        <w:ind w:left="2160"/>
      </w:pPr>
      <w:r w:rsidRPr="003B4362">
        <w:t>Compliance with monitoring requirements</w:t>
      </w:r>
    </w:p>
    <w:p w14:paraId="4DC47D51" w14:textId="77777777" w:rsidR="00C805A1" w:rsidRPr="003B4362" w:rsidRDefault="00C805A1" w:rsidP="00C805A1">
      <w:pPr>
        <w:tabs>
          <w:tab w:val="right" w:pos="9360"/>
        </w:tabs>
        <w:suppressAutoHyphens/>
        <w:ind w:left="2880"/>
      </w:pPr>
      <w:r w:rsidRPr="003B4362">
        <w:t>If no Cryptosporidium monitoring is required</w:t>
      </w:r>
      <w:r w:rsidRPr="003B4362">
        <w:tab/>
        <w:t>October 1, 2013</w:t>
      </w:r>
    </w:p>
    <w:p w14:paraId="060867C4" w14:textId="77777777" w:rsidR="00C805A1" w:rsidRPr="003B4362" w:rsidRDefault="00C805A1" w:rsidP="00C805A1">
      <w:pPr>
        <w:tabs>
          <w:tab w:val="right" w:pos="9360"/>
        </w:tabs>
        <w:suppressAutoHyphens/>
        <w:ind w:left="2880"/>
      </w:pPr>
      <w:r w:rsidRPr="003B4362">
        <w:t>If Cryptosporidium monitoring is required</w:t>
      </w:r>
      <w:r w:rsidRPr="003B4362">
        <w:tab/>
        <w:t>October 1, 2014</w:t>
      </w:r>
    </w:p>
    <w:p w14:paraId="0B818DCB" w14:textId="77777777" w:rsidR="00C805A1" w:rsidRPr="003B4362" w:rsidRDefault="00C805A1" w:rsidP="00C805A1">
      <w:pPr>
        <w:keepNext/>
        <w:keepLines/>
        <w:tabs>
          <w:tab w:val="right" w:pos="9360"/>
        </w:tabs>
        <w:suppressAutoHyphens/>
        <w:ind w:left="1440"/>
      </w:pPr>
      <w:r w:rsidRPr="003B4362">
        <w:t>Systems that serve 10,000 to 49,999 persons)</w:t>
      </w:r>
    </w:p>
    <w:p w14:paraId="04295215" w14:textId="77777777" w:rsidR="00C805A1" w:rsidRPr="003B4362" w:rsidRDefault="00C805A1" w:rsidP="00C805A1">
      <w:pPr>
        <w:tabs>
          <w:tab w:val="right" w:pos="9360"/>
        </w:tabs>
        <w:suppressAutoHyphens/>
        <w:ind w:left="2160"/>
      </w:pPr>
      <w:r w:rsidRPr="003B4362">
        <w:t>Submit plan</w:t>
      </w:r>
      <w:r w:rsidRPr="003B4362">
        <w:tab/>
        <w:t>October 1, 2007</w:t>
      </w:r>
    </w:p>
    <w:p w14:paraId="403E9EFC" w14:textId="77777777" w:rsidR="00C805A1" w:rsidRPr="003B4362" w:rsidRDefault="00C805A1" w:rsidP="00C805A1">
      <w:pPr>
        <w:tabs>
          <w:tab w:val="right" w:pos="9360"/>
        </w:tabs>
        <w:suppressAutoHyphens/>
        <w:ind w:left="2160"/>
      </w:pPr>
      <w:r w:rsidRPr="003B4362">
        <w:t>Complete monitoring or study</w:t>
      </w:r>
      <w:r w:rsidRPr="003B4362">
        <w:tab/>
        <w:t>September 30, 2009</w:t>
      </w:r>
    </w:p>
    <w:p w14:paraId="3D65FB98" w14:textId="77777777" w:rsidR="00C805A1" w:rsidRPr="003B4362" w:rsidRDefault="00C805A1" w:rsidP="00C805A1">
      <w:pPr>
        <w:tabs>
          <w:tab w:val="right" w:pos="9360"/>
        </w:tabs>
        <w:suppressAutoHyphens/>
        <w:ind w:left="2160"/>
      </w:pPr>
      <w:r w:rsidRPr="003B4362">
        <w:t>Submit IDSE report</w:t>
      </w:r>
      <w:r w:rsidRPr="003B4362">
        <w:tab/>
        <w:t>January 1, 2010</w:t>
      </w:r>
    </w:p>
    <w:p w14:paraId="0C71CC17" w14:textId="77777777" w:rsidR="00C805A1" w:rsidRPr="003B4362" w:rsidRDefault="00C805A1" w:rsidP="00C805A1">
      <w:pPr>
        <w:tabs>
          <w:tab w:val="right" w:pos="9360"/>
        </w:tabs>
        <w:suppressAutoHyphens/>
        <w:ind w:left="2160"/>
      </w:pPr>
      <w:r w:rsidRPr="003B4362">
        <w:t>Compliance with monitoring requirements</w:t>
      </w:r>
      <w:r w:rsidRPr="003B4362">
        <w:tab/>
        <w:t>October 1, 2013</w:t>
      </w:r>
    </w:p>
    <w:p w14:paraId="04AF47FB" w14:textId="77777777" w:rsidR="00C805A1" w:rsidRPr="003B4362" w:rsidRDefault="00C805A1" w:rsidP="00C805A1">
      <w:pPr>
        <w:keepNext/>
        <w:keepLines/>
        <w:tabs>
          <w:tab w:val="right" w:pos="9360"/>
        </w:tabs>
        <w:suppressAutoHyphens/>
        <w:ind w:left="1440"/>
      </w:pPr>
      <w:r w:rsidRPr="003B4362">
        <w:t>Systems that serve 50,000 to 99,999 persons)</w:t>
      </w:r>
    </w:p>
    <w:p w14:paraId="53690F72" w14:textId="77777777" w:rsidR="00C805A1" w:rsidRPr="003B4362" w:rsidRDefault="00C805A1" w:rsidP="00C805A1">
      <w:pPr>
        <w:tabs>
          <w:tab w:val="right" w:pos="9360"/>
        </w:tabs>
        <w:suppressAutoHyphens/>
        <w:ind w:left="2160"/>
      </w:pPr>
      <w:r w:rsidRPr="003B4362">
        <w:t>Submit plan</w:t>
      </w:r>
      <w:r w:rsidRPr="003B4362">
        <w:tab/>
        <w:t>April 1, 2007</w:t>
      </w:r>
    </w:p>
    <w:p w14:paraId="00826927" w14:textId="77777777" w:rsidR="00C805A1" w:rsidRPr="003B4362" w:rsidRDefault="00C805A1" w:rsidP="00C805A1">
      <w:pPr>
        <w:tabs>
          <w:tab w:val="right" w:pos="9360"/>
        </w:tabs>
        <w:suppressAutoHyphens/>
        <w:ind w:left="2160"/>
      </w:pPr>
      <w:r w:rsidRPr="003B4362">
        <w:t>Complete monitoring or study</w:t>
      </w:r>
      <w:r w:rsidRPr="003B4362">
        <w:tab/>
        <w:t>March 31, 2009</w:t>
      </w:r>
    </w:p>
    <w:p w14:paraId="26089D64" w14:textId="77777777" w:rsidR="00C805A1" w:rsidRPr="003B4362" w:rsidRDefault="00C805A1" w:rsidP="00C805A1">
      <w:pPr>
        <w:tabs>
          <w:tab w:val="right" w:pos="9360"/>
        </w:tabs>
        <w:suppressAutoHyphens/>
        <w:ind w:left="2160"/>
      </w:pPr>
      <w:r w:rsidRPr="003B4362">
        <w:t>Submit IDSE report</w:t>
      </w:r>
      <w:r w:rsidRPr="003B4362">
        <w:tab/>
        <w:t>July 1, 2009</w:t>
      </w:r>
    </w:p>
    <w:p w14:paraId="338ABCDA" w14:textId="77777777" w:rsidR="00C805A1" w:rsidRPr="003B4362" w:rsidRDefault="00C805A1" w:rsidP="00C805A1">
      <w:pPr>
        <w:tabs>
          <w:tab w:val="right" w:pos="9360"/>
        </w:tabs>
        <w:suppressAutoHyphens/>
        <w:ind w:left="2160"/>
      </w:pPr>
      <w:r w:rsidRPr="003B4362">
        <w:t>Compliance with monitoring requirements</w:t>
      </w:r>
      <w:r w:rsidRPr="003B4362">
        <w:tab/>
        <w:t>October 1, 2012</w:t>
      </w:r>
    </w:p>
    <w:p w14:paraId="6C7BCD06" w14:textId="77777777" w:rsidR="00C805A1" w:rsidRPr="003B4362" w:rsidRDefault="00C805A1" w:rsidP="00C805A1">
      <w:pPr>
        <w:keepNext/>
        <w:keepLines/>
        <w:tabs>
          <w:tab w:val="right" w:pos="9360"/>
        </w:tabs>
        <w:suppressAutoHyphens/>
        <w:ind w:left="1440"/>
      </w:pPr>
      <w:r w:rsidRPr="003B4362">
        <w:t>Systems that serve 100,000 or more persons)</w:t>
      </w:r>
    </w:p>
    <w:p w14:paraId="64754EDC" w14:textId="77777777" w:rsidR="00C805A1" w:rsidRPr="003B4362" w:rsidRDefault="00C805A1" w:rsidP="00C805A1">
      <w:pPr>
        <w:tabs>
          <w:tab w:val="right" w:pos="9360"/>
        </w:tabs>
        <w:suppressAutoHyphens/>
        <w:ind w:left="2160"/>
      </w:pPr>
      <w:r w:rsidRPr="003B4362">
        <w:t>Submit plan</w:t>
      </w:r>
      <w:r w:rsidRPr="003B4362">
        <w:tab/>
        <w:t>October 1, 2006</w:t>
      </w:r>
    </w:p>
    <w:p w14:paraId="035F30E8" w14:textId="77777777" w:rsidR="00C805A1" w:rsidRPr="003B4362" w:rsidRDefault="00C805A1" w:rsidP="00C805A1">
      <w:pPr>
        <w:tabs>
          <w:tab w:val="right" w:pos="9360"/>
        </w:tabs>
        <w:suppressAutoHyphens/>
        <w:ind w:left="2160"/>
      </w:pPr>
      <w:r w:rsidRPr="003B4362">
        <w:t>Complete monitoring or study</w:t>
      </w:r>
      <w:r w:rsidRPr="003B4362">
        <w:tab/>
        <w:t>September 30, 2008</w:t>
      </w:r>
    </w:p>
    <w:p w14:paraId="75E3E5BB" w14:textId="77777777" w:rsidR="00C805A1" w:rsidRPr="003B4362" w:rsidRDefault="00C805A1" w:rsidP="00C805A1">
      <w:pPr>
        <w:tabs>
          <w:tab w:val="right" w:pos="9360"/>
        </w:tabs>
        <w:suppressAutoHyphens/>
        <w:ind w:left="2160"/>
      </w:pPr>
      <w:r w:rsidRPr="003B4362">
        <w:t>Submit IDSE report</w:t>
      </w:r>
      <w:r w:rsidRPr="003B4362">
        <w:tab/>
        <w:t>January 1, 2009</w:t>
      </w:r>
    </w:p>
    <w:p w14:paraId="42F132A4" w14:textId="77777777" w:rsidR="00C805A1" w:rsidRPr="003B4362" w:rsidRDefault="00C805A1" w:rsidP="00C805A1">
      <w:pPr>
        <w:tabs>
          <w:tab w:val="right" w:pos="9360"/>
        </w:tabs>
        <w:suppressAutoHyphens/>
        <w:ind w:left="2160"/>
      </w:pPr>
      <w:r w:rsidRPr="003B4362">
        <w:lastRenderedPageBreak/>
        <w:t>Compliance with monitoring requirements</w:t>
      </w:r>
      <w:r w:rsidRPr="003B4362">
        <w:tab/>
        <w:t>April 1, 2012</w:t>
      </w:r>
    </w:p>
    <w:p w14:paraId="3A309339" w14:textId="77777777" w:rsidR="00C805A1" w:rsidRPr="003B4362" w:rsidRDefault="00C805A1" w:rsidP="00C805A1">
      <w:pPr>
        <w:suppressAutoHyphens/>
        <w:ind w:left="1440"/>
      </w:pPr>
      <w:r w:rsidRPr="003B4362">
        <w:t>(corresponding with Subparts W and Y)</w:t>
      </w:r>
    </w:p>
    <w:p w14:paraId="748CBCC8" w14:textId="77777777" w:rsidR="00C805A1" w:rsidRPr="003B4362" w:rsidRDefault="00C805A1" w:rsidP="00C805A1">
      <w:pPr>
        <w:suppressAutoHyphens/>
        <w:spacing w:after="240"/>
        <w:ind w:left="1440"/>
      </w:pPr>
      <w:r w:rsidRPr="003B4362">
        <w:t>(total trihalomethanes and haloacetic acids (five))</w:t>
      </w:r>
    </w:p>
    <w:p w14:paraId="56334502" w14:textId="77777777" w:rsidR="00C805A1" w:rsidRPr="003B4362" w:rsidRDefault="00C805A1" w:rsidP="00C805A1">
      <w:pPr>
        <w:keepNext/>
        <w:keepLines/>
        <w:tabs>
          <w:tab w:val="right" w:pos="9360"/>
        </w:tabs>
        <w:suppressAutoHyphens/>
        <w:spacing w:before="240"/>
        <w:ind w:left="720"/>
      </w:pPr>
      <w:r w:rsidRPr="003B4362">
        <w:t>Long Term 2 Enhanced Surface Water Treatment Rule (40 CFR 141, subpart W)</w:t>
      </w:r>
    </w:p>
    <w:p w14:paraId="07EB3D6A" w14:textId="77777777" w:rsidR="00C805A1" w:rsidRPr="003B4362" w:rsidRDefault="00C805A1" w:rsidP="00C805A1">
      <w:pPr>
        <w:keepNext/>
        <w:keepLines/>
        <w:tabs>
          <w:tab w:val="right" w:pos="9360"/>
        </w:tabs>
        <w:suppressAutoHyphens/>
        <w:ind w:left="1440"/>
      </w:pPr>
      <w:r w:rsidRPr="003B4362">
        <w:t>Systems that serve fewer than 10,000 persons)</w:t>
      </w:r>
    </w:p>
    <w:p w14:paraId="669FBD42" w14:textId="7B77F127" w:rsidR="00C805A1" w:rsidRPr="003B4362" w:rsidRDefault="00C805A1" w:rsidP="00C805A1">
      <w:pPr>
        <w:keepNext/>
        <w:keepLines/>
        <w:tabs>
          <w:tab w:val="right" w:pos="9360"/>
        </w:tabs>
        <w:suppressAutoHyphens/>
        <w:ind w:left="2160"/>
      </w:pPr>
      <w:r w:rsidRPr="003B4362">
        <w:t xml:space="preserve">And </w:t>
      </w:r>
      <w:r w:rsidR="00A1165E" w:rsidRPr="003B4362">
        <w:t xml:space="preserve">that </w:t>
      </w:r>
      <w:r w:rsidRPr="003B4362">
        <w:t>monitor for E. coli</w:t>
      </w:r>
    </w:p>
    <w:p w14:paraId="192C7E32" w14:textId="77777777" w:rsidR="00C805A1" w:rsidRPr="003B4362" w:rsidRDefault="00C805A1" w:rsidP="00C805A1">
      <w:pPr>
        <w:tabs>
          <w:tab w:val="right" w:pos="9360"/>
        </w:tabs>
        <w:suppressAutoHyphens/>
        <w:ind w:left="2880"/>
      </w:pPr>
      <w:r w:rsidRPr="003B4362">
        <w:t>Begin first round of monitoring</w:t>
      </w:r>
      <w:r w:rsidRPr="003B4362">
        <w:tab/>
        <w:t>October 1, 2008</w:t>
      </w:r>
    </w:p>
    <w:p w14:paraId="5AF2093F" w14:textId="77777777" w:rsidR="00C805A1" w:rsidRPr="003B4362" w:rsidRDefault="00C805A1" w:rsidP="00C805A1">
      <w:pPr>
        <w:tabs>
          <w:tab w:val="right" w:pos="9360"/>
        </w:tabs>
        <w:suppressAutoHyphens/>
        <w:ind w:left="2880"/>
      </w:pPr>
      <w:r w:rsidRPr="003B4362">
        <w:t>Begin treatment for Cryptosporidium</w:t>
      </w:r>
      <w:r w:rsidRPr="003B4362">
        <w:tab/>
        <w:t>October 1, 2014</w:t>
      </w:r>
    </w:p>
    <w:p w14:paraId="1259A1DD" w14:textId="77777777" w:rsidR="00C805A1" w:rsidRPr="003B4362" w:rsidRDefault="00C805A1" w:rsidP="00C805A1">
      <w:pPr>
        <w:tabs>
          <w:tab w:val="right" w:pos="9360"/>
        </w:tabs>
        <w:suppressAutoHyphens/>
        <w:ind w:left="2880"/>
      </w:pPr>
      <w:r w:rsidRPr="003B4362">
        <w:t>Begin second round of monitoring</w:t>
      </w:r>
      <w:r w:rsidRPr="003B4362">
        <w:tab/>
        <w:t>October 1, 2017</w:t>
      </w:r>
    </w:p>
    <w:p w14:paraId="13A344F3" w14:textId="436B4C4F" w:rsidR="00C805A1" w:rsidRPr="003B4362" w:rsidRDefault="00C805A1" w:rsidP="00C805A1">
      <w:pPr>
        <w:keepNext/>
        <w:keepLines/>
        <w:tabs>
          <w:tab w:val="right" w:pos="9360"/>
        </w:tabs>
        <w:suppressAutoHyphens/>
        <w:ind w:left="2160"/>
      </w:pPr>
      <w:r w:rsidRPr="003B4362">
        <w:t xml:space="preserve">And </w:t>
      </w:r>
      <w:r w:rsidR="00A1165E" w:rsidRPr="003B4362">
        <w:t xml:space="preserve">that </w:t>
      </w:r>
      <w:r w:rsidRPr="003B4362">
        <w:t>monitor for cryptosporidium</w:t>
      </w:r>
    </w:p>
    <w:p w14:paraId="7998D173" w14:textId="77777777" w:rsidR="00C805A1" w:rsidRPr="003B4362" w:rsidRDefault="00C805A1" w:rsidP="00C805A1">
      <w:pPr>
        <w:tabs>
          <w:tab w:val="right" w:pos="9360"/>
        </w:tabs>
        <w:suppressAutoHyphens/>
        <w:ind w:left="2880"/>
      </w:pPr>
      <w:r w:rsidRPr="003B4362">
        <w:t>Begin first round of monitoring</w:t>
      </w:r>
      <w:r w:rsidRPr="003B4362">
        <w:tab/>
        <w:t>April 1, 2010</w:t>
      </w:r>
    </w:p>
    <w:p w14:paraId="76A82B4D" w14:textId="77777777" w:rsidR="00C805A1" w:rsidRPr="003B4362" w:rsidRDefault="00C805A1" w:rsidP="00C805A1">
      <w:pPr>
        <w:tabs>
          <w:tab w:val="right" w:pos="9360"/>
        </w:tabs>
        <w:suppressAutoHyphens/>
        <w:ind w:left="2880"/>
      </w:pPr>
      <w:r w:rsidRPr="003B4362">
        <w:t>Begin treatment for Cryptosporidium</w:t>
      </w:r>
      <w:r w:rsidRPr="003B4362">
        <w:tab/>
        <w:t>October 1, 2014</w:t>
      </w:r>
    </w:p>
    <w:p w14:paraId="2C9212FF" w14:textId="77777777" w:rsidR="00C805A1" w:rsidRPr="003B4362" w:rsidRDefault="00C805A1" w:rsidP="00C805A1">
      <w:pPr>
        <w:tabs>
          <w:tab w:val="right" w:pos="9360"/>
        </w:tabs>
        <w:suppressAutoHyphens/>
        <w:ind w:left="2880"/>
      </w:pPr>
      <w:r w:rsidRPr="003B4362">
        <w:t>Begin second round of monitoring</w:t>
      </w:r>
      <w:r w:rsidRPr="003B4362">
        <w:tab/>
        <w:t>April 1, 2019</w:t>
      </w:r>
    </w:p>
    <w:p w14:paraId="7AEF9B5F" w14:textId="77777777" w:rsidR="00C805A1" w:rsidRPr="003B4362" w:rsidRDefault="00C805A1" w:rsidP="00C805A1">
      <w:pPr>
        <w:keepNext/>
        <w:keepLines/>
        <w:tabs>
          <w:tab w:val="right" w:pos="9360"/>
        </w:tabs>
        <w:suppressAutoHyphens/>
        <w:ind w:left="1440"/>
      </w:pPr>
      <w:r w:rsidRPr="003B4362">
        <w:t>Systems that serve 10,000 to 49,999 persons)</w:t>
      </w:r>
    </w:p>
    <w:p w14:paraId="55288A70" w14:textId="77777777" w:rsidR="00C805A1" w:rsidRPr="003B4362" w:rsidRDefault="00C805A1" w:rsidP="00C805A1">
      <w:pPr>
        <w:tabs>
          <w:tab w:val="right" w:pos="9360"/>
        </w:tabs>
        <w:suppressAutoHyphens/>
        <w:ind w:left="2160"/>
      </w:pPr>
      <w:r w:rsidRPr="003B4362">
        <w:t>Begin first round of monitoring</w:t>
      </w:r>
      <w:r w:rsidRPr="003B4362">
        <w:tab/>
        <w:t>April 1, 2008</w:t>
      </w:r>
    </w:p>
    <w:p w14:paraId="0F53DF81" w14:textId="77777777" w:rsidR="00C805A1" w:rsidRPr="003B4362" w:rsidRDefault="00C805A1" w:rsidP="00C805A1">
      <w:pPr>
        <w:tabs>
          <w:tab w:val="right" w:pos="9360"/>
        </w:tabs>
        <w:suppressAutoHyphens/>
        <w:ind w:left="2160"/>
      </w:pPr>
      <w:r w:rsidRPr="003B4362">
        <w:t>Begin treatment for Cryptosporidium</w:t>
      </w:r>
      <w:r w:rsidRPr="003B4362">
        <w:tab/>
        <w:t>October 1, 2013</w:t>
      </w:r>
    </w:p>
    <w:p w14:paraId="1FB21229" w14:textId="77777777" w:rsidR="00C805A1" w:rsidRPr="003B4362" w:rsidRDefault="00C805A1" w:rsidP="00C805A1">
      <w:pPr>
        <w:tabs>
          <w:tab w:val="right" w:pos="9360"/>
        </w:tabs>
        <w:suppressAutoHyphens/>
        <w:ind w:left="2160"/>
      </w:pPr>
      <w:r w:rsidRPr="003B4362">
        <w:t>Begin second round of monitoring</w:t>
      </w:r>
      <w:r w:rsidRPr="003B4362">
        <w:tab/>
        <w:t>October 1, 2016</w:t>
      </w:r>
    </w:p>
    <w:p w14:paraId="0D6F6E83" w14:textId="77777777" w:rsidR="00C805A1" w:rsidRPr="003B4362" w:rsidRDefault="00C805A1" w:rsidP="00C805A1">
      <w:pPr>
        <w:keepNext/>
        <w:keepLines/>
        <w:tabs>
          <w:tab w:val="right" w:pos="9360"/>
        </w:tabs>
        <w:suppressAutoHyphens/>
        <w:ind w:left="1440"/>
      </w:pPr>
      <w:r w:rsidRPr="003B4362">
        <w:t>Systems that serve 50,000 to 99,999 persons)</w:t>
      </w:r>
    </w:p>
    <w:p w14:paraId="06EF533D" w14:textId="77777777" w:rsidR="00C805A1" w:rsidRPr="003B4362" w:rsidRDefault="00C805A1" w:rsidP="00C805A1">
      <w:pPr>
        <w:tabs>
          <w:tab w:val="right" w:pos="9360"/>
        </w:tabs>
        <w:suppressAutoHyphens/>
        <w:ind w:left="2160"/>
      </w:pPr>
      <w:r w:rsidRPr="003B4362">
        <w:t>Begin first round of monitoring</w:t>
      </w:r>
      <w:r w:rsidRPr="003B4362">
        <w:tab/>
        <w:t>April 1, 2007</w:t>
      </w:r>
    </w:p>
    <w:p w14:paraId="2658EEC1" w14:textId="77777777" w:rsidR="00C805A1" w:rsidRPr="003B4362" w:rsidRDefault="00C805A1" w:rsidP="00C805A1">
      <w:pPr>
        <w:tabs>
          <w:tab w:val="right" w:pos="9360"/>
        </w:tabs>
        <w:suppressAutoHyphens/>
        <w:ind w:left="2160"/>
      </w:pPr>
      <w:r w:rsidRPr="003B4362">
        <w:t>Begin treatment for Cryptosporidium</w:t>
      </w:r>
      <w:r w:rsidRPr="003B4362">
        <w:tab/>
        <w:t>October 1, 2012</w:t>
      </w:r>
    </w:p>
    <w:p w14:paraId="3CCC204E" w14:textId="77777777" w:rsidR="00C805A1" w:rsidRPr="003B4362" w:rsidRDefault="00C805A1" w:rsidP="00C805A1">
      <w:pPr>
        <w:tabs>
          <w:tab w:val="right" w:pos="9360"/>
        </w:tabs>
        <w:suppressAutoHyphens/>
        <w:ind w:left="2160"/>
      </w:pPr>
      <w:r w:rsidRPr="003B4362">
        <w:t>Begin second round of monitoring</w:t>
      </w:r>
      <w:r w:rsidRPr="003B4362">
        <w:tab/>
        <w:t>October 1, 2015</w:t>
      </w:r>
    </w:p>
    <w:p w14:paraId="7E002108" w14:textId="77777777" w:rsidR="00C805A1" w:rsidRPr="003B4362" w:rsidRDefault="00C805A1" w:rsidP="00C805A1">
      <w:pPr>
        <w:keepNext/>
        <w:keepLines/>
        <w:tabs>
          <w:tab w:val="right" w:pos="9360"/>
        </w:tabs>
        <w:suppressAutoHyphens/>
        <w:ind w:left="1440"/>
      </w:pPr>
      <w:r w:rsidRPr="003B4362">
        <w:t>Systems that serve 100,000 or more persons)</w:t>
      </w:r>
    </w:p>
    <w:p w14:paraId="660021CC" w14:textId="77777777" w:rsidR="00C805A1" w:rsidRPr="003B4362" w:rsidRDefault="00C805A1" w:rsidP="00C805A1">
      <w:pPr>
        <w:tabs>
          <w:tab w:val="right" w:pos="9360"/>
        </w:tabs>
        <w:suppressAutoHyphens/>
        <w:ind w:left="2160"/>
      </w:pPr>
      <w:r w:rsidRPr="003B4362">
        <w:t>Begin first round of monitoring</w:t>
      </w:r>
      <w:r w:rsidRPr="003B4362">
        <w:tab/>
        <w:t>October 1, 2006</w:t>
      </w:r>
    </w:p>
    <w:p w14:paraId="2E1D6C8C" w14:textId="77777777" w:rsidR="00C805A1" w:rsidRPr="003B4362" w:rsidRDefault="00C805A1" w:rsidP="00C805A1">
      <w:pPr>
        <w:tabs>
          <w:tab w:val="right" w:pos="9360"/>
        </w:tabs>
        <w:suppressAutoHyphens/>
        <w:ind w:left="2160"/>
      </w:pPr>
      <w:r w:rsidRPr="003B4362">
        <w:t>Begin treatment for Cryptosporidium</w:t>
      </w:r>
      <w:r w:rsidRPr="003B4362">
        <w:tab/>
        <w:t>April 1, 2012</w:t>
      </w:r>
    </w:p>
    <w:p w14:paraId="39D9FDBE" w14:textId="77777777" w:rsidR="00C805A1" w:rsidRPr="003B4362" w:rsidRDefault="00C805A1" w:rsidP="00C805A1">
      <w:pPr>
        <w:tabs>
          <w:tab w:val="right" w:pos="9360"/>
        </w:tabs>
        <w:suppressAutoHyphens/>
        <w:ind w:left="2160"/>
      </w:pPr>
      <w:r w:rsidRPr="003B4362">
        <w:t>Begin second round of monitoring</w:t>
      </w:r>
      <w:r w:rsidRPr="003B4362">
        <w:tab/>
        <w:t>April 1, 2015</w:t>
      </w:r>
    </w:p>
    <w:p w14:paraId="7AE8356A" w14:textId="77777777" w:rsidR="00C805A1" w:rsidRPr="003B4362" w:rsidRDefault="00C805A1" w:rsidP="00C805A1">
      <w:pPr>
        <w:suppressAutoHyphens/>
        <w:ind w:left="1440"/>
      </w:pPr>
      <w:r w:rsidRPr="003B4362">
        <w:t>(corresponding with Subpart Z)</w:t>
      </w:r>
    </w:p>
    <w:p w14:paraId="39562A14" w14:textId="77777777" w:rsidR="00C805A1" w:rsidRPr="003B4362" w:rsidRDefault="00C805A1" w:rsidP="00C805A1">
      <w:pPr>
        <w:suppressAutoHyphens/>
        <w:spacing w:after="240"/>
        <w:ind w:left="1440"/>
      </w:pPr>
      <w:r w:rsidRPr="003B4362">
        <w:t>(E. coli, Cryptosporidium, Giardia lamblia, viruses, and turbidity)</w:t>
      </w:r>
    </w:p>
    <w:p w14:paraId="399923CC" w14:textId="77777777" w:rsidR="00C805A1" w:rsidRPr="003B4362" w:rsidRDefault="00C805A1" w:rsidP="00C805A1">
      <w:pPr>
        <w:keepNext/>
        <w:keepLines/>
        <w:tabs>
          <w:tab w:val="right" w:pos="9360"/>
        </w:tabs>
        <w:suppressAutoHyphens/>
        <w:spacing w:before="240"/>
        <w:ind w:left="720"/>
        <w:outlineLvl w:val="0"/>
      </w:pPr>
      <w:r w:rsidRPr="003B4362">
        <w:t>Groundwater Rule (40 CFR 141, subpart S)</w:t>
      </w:r>
      <w:r w:rsidRPr="003B4362">
        <w:tab/>
        <w:t>December 1, 2009</w:t>
      </w:r>
    </w:p>
    <w:p w14:paraId="42FF1D7B" w14:textId="77777777" w:rsidR="00C805A1" w:rsidRPr="003B4362" w:rsidRDefault="00C805A1" w:rsidP="00C805A1">
      <w:pPr>
        <w:suppressAutoHyphens/>
        <w:ind w:left="1440"/>
      </w:pPr>
      <w:r w:rsidRPr="003B4362">
        <w:t>(corresponding with Subpart S)</w:t>
      </w:r>
    </w:p>
    <w:p w14:paraId="501ABF64" w14:textId="77777777" w:rsidR="00C805A1" w:rsidRPr="003B4362" w:rsidRDefault="00C805A1" w:rsidP="00C805A1">
      <w:pPr>
        <w:suppressAutoHyphens/>
        <w:spacing w:after="240"/>
        <w:ind w:left="1440"/>
      </w:pPr>
      <w:r w:rsidRPr="003B4362">
        <w:t>(E. coli, enterococci, and coliphage)</w:t>
      </w:r>
    </w:p>
    <w:p w14:paraId="2D2D32A6" w14:textId="77777777" w:rsidR="00C805A1" w:rsidRPr="003B4362" w:rsidRDefault="00C805A1" w:rsidP="00C805A1">
      <w:pPr>
        <w:keepNext/>
        <w:keepLines/>
        <w:tabs>
          <w:tab w:val="right" w:pos="9360"/>
        </w:tabs>
        <w:suppressAutoHyphens/>
        <w:spacing w:before="240"/>
        <w:ind w:left="720"/>
        <w:outlineLvl w:val="0"/>
      </w:pPr>
      <w:r w:rsidRPr="003B4362">
        <w:t>Revised Total Coliforms Rule (40 CFR 141, subpart Y)</w:t>
      </w:r>
      <w:r w:rsidRPr="003B4362">
        <w:tab/>
        <w:t>Effective:  April 15, 2013</w:t>
      </w:r>
    </w:p>
    <w:p w14:paraId="39FCE38C" w14:textId="77777777" w:rsidR="00C805A1" w:rsidRPr="003B4362" w:rsidRDefault="00C805A1" w:rsidP="00C805A1">
      <w:pPr>
        <w:tabs>
          <w:tab w:val="right" w:pos="9360"/>
        </w:tabs>
        <w:suppressAutoHyphens/>
        <w:ind w:left="1440"/>
      </w:pPr>
      <w:r w:rsidRPr="003B4362">
        <w:t>(corresponding with Subpart AA)</w:t>
      </w:r>
      <w:r w:rsidRPr="003B4362">
        <w:tab/>
        <w:t>Compliance:  April 1, 2016</w:t>
      </w:r>
    </w:p>
    <w:p w14:paraId="35B23226" w14:textId="77777777" w:rsidR="00C805A1" w:rsidRPr="003B4362" w:rsidRDefault="00C805A1" w:rsidP="00C805A1">
      <w:pPr>
        <w:suppressAutoHyphens/>
        <w:spacing w:after="240"/>
        <w:ind w:left="1440"/>
      </w:pPr>
      <w:r w:rsidRPr="003B4362">
        <w:t>(total coliforms (indicator), E. coli)</w:t>
      </w:r>
    </w:p>
    <w:p w14:paraId="79CEE36F" w14:textId="77777777" w:rsidR="00144BAE" w:rsidRPr="003B4362" w:rsidRDefault="00144BAE" w:rsidP="00144BAE">
      <w:pPr>
        <w:keepNext/>
        <w:keepLines/>
        <w:tabs>
          <w:tab w:val="right" w:pos="9360"/>
        </w:tabs>
        <w:suppressAutoHyphens/>
        <w:spacing w:before="240"/>
        <w:ind w:left="720"/>
        <w:outlineLvl w:val="0"/>
      </w:pPr>
      <w:r w:rsidRPr="003B4362">
        <w:t>Lead-Free Fixtures Rule (40 CFR 143, subpart B)</w:t>
      </w:r>
      <w:r w:rsidRPr="003B4362">
        <w:tab/>
        <w:t>Effective:  October 1, 2020</w:t>
      </w:r>
    </w:p>
    <w:p w14:paraId="10F810C3" w14:textId="77777777" w:rsidR="00144BAE" w:rsidRPr="003B4362" w:rsidRDefault="00144BAE" w:rsidP="00144BAE">
      <w:pPr>
        <w:tabs>
          <w:tab w:val="right" w:pos="9360"/>
        </w:tabs>
        <w:suppressAutoHyphens/>
        <w:ind w:left="1440"/>
      </w:pPr>
      <w:r w:rsidRPr="003B4362">
        <w:t>(corresponding with Section 611.126)</w:t>
      </w:r>
      <w:r w:rsidRPr="003B4362">
        <w:tab/>
        <w:t>Compliance:  September 1, 2023</w:t>
      </w:r>
    </w:p>
    <w:p w14:paraId="17A7D100" w14:textId="77777777" w:rsidR="00144BAE" w:rsidRPr="003B4362" w:rsidRDefault="00144BAE" w:rsidP="00144BAE">
      <w:pPr>
        <w:suppressAutoHyphens/>
        <w:spacing w:after="240"/>
        <w:ind w:left="1440"/>
      </w:pPr>
      <w:r w:rsidRPr="003B4362">
        <w:t>(lead in plumbing fixtures)</w:t>
      </w:r>
    </w:p>
    <w:p w14:paraId="23ECB4FA" w14:textId="533BCAB6" w:rsidR="00144BAE" w:rsidRPr="003B4362" w:rsidRDefault="00144BAE" w:rsidP="00144BAE">
      <w:pPr>
        <w:keepNext/>
        <w:keepLines/>
        <w:tabs>
          <w:tab w:val="right" w:pos="9360"/>
        </w:tabs>
        <w:suppressAutoHyphens/>
        <w:spacing w:before="240"/>
        <w:ind w:left="720"/>
        <w:outlineLvl w:val="0"/>
      </w:pPr>
      <w:r w:rsidRPr="003B4362">
        <w:t>Lead and Copper Rule Revisions (40 CFR 141, subpart I)</w:t>
      </w:r>
      <w:r w:rsidRPr="003B4362">
        <w:tab/>
        <w:t>Effective:  December 16, 2021</w:t>
      </w:r>
    </w:p>
    <w:p w14:paraId="4AE7B03D" w14:textId="39BFB693" w:rsidR="00144BAE" w:rsidRPr="003B4362" w:rsidRDefault="00144BAE" w:rsidP="00144BAE">
      <w:pPr>
        <w:tabs>
          <w:tab w:val="right" w:pos="9360"/>
        </w:tabs>
        <w:suppressAutoHyphens/>
        <w:ind w:left="1440"/>
      </w:pPr>
      <w:r w:rsidRPr="003B4362">
        <w:t>(corresponding with Subpart G)</w:t>
      </w:r>
      <w:r w:rsidRPr="003B4362">
        <w:tab/>
        <w:t>Compliance:  October 16, 2024</w:t>
      </w:r>
    </w:p>
    <w:p w14:paraId="3560F0B3" w14:textId="77777777" w:rsidR="00144BAE" w:rsidRPr="003B4362" w:rsidRDefault="00144BAE" w:rsidP="00144BAE">
      <w:pPr>
        <w:suppressAutoHyphens/>
        <w:spacing w:after="240"/>
        <w:ind w:left="1440"/>
      </w:pPr>
      <w:r w:rsidRPr="003B4362">
        <w:t>(lead and copper (indicator))</w:t>
      </w:r>
    </w:p>
    <w:p w14:paraId="2C71FA54" w14:textId="3D9C9203" w:rsidR="000B2C93" w:rsidRDefault="000B2C93" w:rsidP="000B2C93">
      <w:pPr>
        <w:suppressAutoHyphens/>
        <w:spacing w:before="240" w:after="240"/>
        <w:ind w:left="720"/>
        <w:rPr>
          <w:rFonts w:eastAsia="Calibri"/>
        </w:rPr>
      </w:pPr>
      <w:r w:rsidRPr="003B4362">
        <w:rPr>
          <w:rFonts w:eastAsia="Calibri"/>
        </w:rPr>
        <w:lastRenderedPageBreak/>
        <w:t xml:space="preserve">(Source:  Amended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6BE9F215" w14:textId="77777777" w:rsidR="00D31CF9" w:rsidRPr="003B4362" w:rsidRDefault="00D31CF9" w:rsidP="005614AB">
      <w:pPr>
        <w:suppressAutoHyphens/>
        <w:spacing w:before="240" w:after="240"/>
      </w:pPr>
    </w:p>
    <w:sectPr w:rsidR="00D31CF9" w:rsidRPr="003B4362" w:rsidSect="007D335A">
      <w:headerReference w:type="default" r:id="rId39"/>
      <w:pgSz w:w="12240" w:h="15840" w:code="1"/>
      <w:pgMar w:top="1350" w:right="1440" w:bottom="1440" w:left="1440" w:header="144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EF1F3" w14:textId="77777777" w:rsidR="007041AD" w:rsidRDefault="007041AD">
      <w:r>
        <w:separator/>
      </w:r>
    </w:p>
  </w:endnote>
  <w:endnote w:type="continuationSeparator" w:id="0">
    <w:p w14:paraId="72656D29" w14:textId="77777777" w:rsidR="007041AD" w:rsidRDefault="0070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rmal text)">
    <w:altName w:val="Times New Roman"/>
    <w:panose1 w:val="00000000000000000000"/>
    <w:charset w:val="00"/>
    <w:family w:val="roman"/>
    <w:notTrueType/>
    <w:pitch w:val="default"/>
  </w:font>
  <w:font w:name="Melior">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3CFBB" w14:textId="77777777" w:rsidR="007041AD" w:rsidRDefault="007041AD">
      <w:r>
        <w:separator/>
      </w:r>
    </w:p>
  </w:footnote>
  <w:footnote w:type="continuationSeparator" w:id="0">
    <w:p w14:paraId="17B0969B" w14:textId="77777777" w:rsidR="007041AD" w:rsidRDefault="00704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1D755" w14:textId="77777777" w:rsidR="00C52467" w:rsidRPr="00757184" w:rsidRDefault="00C52467" w:rsidP="00757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6663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029D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F6B0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8ED0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2245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FCEC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2407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6636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2E02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4CA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7C0F"/>
    <w:multiLevelType w:val="hybridMultilevel"/>
    <w:tmpl w:val="E0FA6016"/>
    <w:lvl w:ilvl="0" w:tplc="2F704E5E">
      <w:start w:val="1"/>
      <w:numFmt w:val="decimal"/>
      <w:lvlText w:val="%1"/>
      <w:lvlJc w:val="center"/>
      <w:pPr>
        <w:ind w:left="720" w:hanging="360"/>
      </w:pPr>
      <w:rPr>
        <w:rFonts w:ascii="Times Roman" w:hAnsi="Times Roman" w:hint="default"/>
        <w:b w:val="0"/>
        <w:i w:val="0"/>
        <w:spacing w:val="0"/>
        <w:w w:val="100"/>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405CB"/>
    <w:multiLevelType w:val="hybridMultilevel"/>
    <w:tmpl w:val="B7DC11C4"/>
    <w:lvl w:ilvl="0" w:tplc="2F704E5E">
      <w:start w:val="1"/>
      <w:numFmt w:val="decimal"/>
      <w:lvlText w:val="%1"/>
      <w:lvlJc w:val="center"/>
      <w:pPr>
        <w:ind w:left="684" w:hanging="360"/>
      </w:pPr>
      <w:rPr>
        <w:rFonts w:ascii="Times Roman" w:hAnsi="Times Roman" w:hint="default"/>
        <w:b w:val="0"/>
        <w:i w:val="0"/>
        <w:spacing w:val="0"/>
        <w:w w:val="100"/>
        <w:position w:val="0"/>
        <w:sz w:val="24"/>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2"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624141C"/>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4" w15:restartNumberingAfterBreak="0">
    <w:nsid w:val="17FB3290"/>
    <w:multiLevelType w:val="singleLevel"/>
    <w:tmpl w:val="DA82421C"/>
    <w:lvl w:ilvl="0">
      <w:start w:val="4"/>
      <w:numFmt w:val="lowerLetter"/>
      <w:lvlText w:val="%1) "/>
      <w:legacy w:legacy="1" w:legacySpace="0" w:legacyIndent="360"/>
      <w:lvlJc w:val="left"/>
      <w:pPr>
        <w:ind w:left="1080" w:hanging="360"/>
      </w:pPr>
      <w:rPr>
        <w:rFonts w:ascii="CG Times" w:hAnsi="CG Times" w:hint="default"/>
        <w:b w:val="0"/>
        <w:i w:val="0"/>
        <w:sz w:val="24"/>
        <w:u w:val="none"/>
      </w:rPr>
    </w:lvl>
  </w:abstractNum>
  <w:abstractNum w:abstractNumId="15" w15:restartNumberingAfterBreak="0">
    <w:nsid w:val="21980575"/>
    <w:multiLevelType w:val="singleLevel"/>
    <w:tmpl w:val="01100206"/>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6" w15:restartNumberingAfterBreak="0">
    <w:nsid w:val="38C92800"/>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7" w15:restartNumberingAfterBreak="0">
    <w:nsid w:val="3B850E48"/>
    <w:multiLevelType w:val="hybridMultilevel"/>
    <w:tmpl w:val="2D349684"/>
    <w:lvl w:ilvl="0" w:tplc="7CA4FF0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E156D3F"/>
    <w:multiLevelType w:val="singleLevel"/>
    <w:tmpl w:val="A456E320"/>
    <w:lvl w:ilvl="0">
      <w:start w:val="2"/>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9" w15:restartNumberingAfterBreak="0">
    <w:nsid w:val="52136E5D"/>
    <w:multiLevelType w:val="singleLevel"/>
    <w:tmpl w:val="77322F42"/>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0" w15:restartNumberingAfterBreak="0">
    <w:nsid w:val="593A6017"/>
    <w:multiLevelType w:val="singleLevel"/>
    <w:tmpl w:val="3A6E00DA"/>
    <w:lvl w:ilvl="0">
      <w:start w:val="1"/>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21" w15:restartNumberingAfterBreak="0">
    <w:nsid w:val="63E52196"/>
    <w:multiLevelType w:val="hybridMultilevel"/>
    <w:tmpl w:val="70AAB892"/>
    <w:lvl w:ilvl="0" w:tplc="3C367210">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2" w15:restartNumberingAfterBreak="0">
    <w:nsid w:val="66B040DE"/>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23" w15:restartNumberingAfterBreak="0">
    <w:nsid w:val="7A8B6D33"/>
    <w:multiLevelType w:val="singleLevel"/>
    <w:tmpl w:val="0A7C7546"/>
    <w:lvl w:ilvl="0">
      <w:start w:val="2"/>
      <w:numFmt w:val="lowerLetter"/>
      <w:lvlText w:val="%1) "/>
      <w:legacy w:legacy="1" w:legacySpace="0" w:legacyIndent="360"/>
      <w:lvlJc w:val="left"/>
      <w:pPr>
        <w:ind w:left="1080" w:hanging="360"/>
      </w:pPr>
      <w:rPr>
        <w:rFonts w:ascii="CG Times" w:hAnsi="CG Times" w:hint="default"/>
        <w:b w:val="0"/>
        <w:i w:val="0"/>
        <w:sz w:val="24"/>
        <w:u w:val="none"/>
      </w:rPr>
    </w:lvl>
  </w:abstractNum>
  <w:num w:numId="1" w16cid:durableId="491992835">
    <w:abstractNumId w:val="20"/>
  </w:num>
  <w:num w:numId="2" w16cid:durableId="54014578">
    <w:abstractNumId w:val="15"/>
  </w:num>
  <w:num w:numId="3" w16cid:durableId="2134669667">
    <w:abstractNumId w:val="19"/>
  </w:num>
  <w:num w:numId="4" w16cid:durableId="1517963336">
    <w:abstractNumId w:val="0"/>
  </w:num>
  <w:num w:numId="5" w16cid:durableId="2045474545">
    <w:abstractNumId w:val="1"/>
  </w:num>
  <w:num w:numId="6" w16cid:durableId="501555801">
    <w:abstractNumId w:val="2"/>
  </w:num>
  <w:num w:numId="7" w16cid:durableId="749036851">
    <w:abstractNumId w:val="3"/>
  </w:num>
  <w:num w:numId="8" w16cid:durableId="1856964652">
    <w:abstractNumId w:val="8"/>
  </w:num>
  <w:num w:numId="9" w16cid:durableId="861437133">
    <w:abstractNumId w:val="7"/>
  </w:num>
  <w:num w:numId="10" w16cid:durableId="17631065">
    <w:abstractNumId w:val="4"/>
  </w:num>
  <w:num w:numId="11" w16cid:durableId="1917936556">
    <w:abstractNumId w:val="5"/>
  </w:num>
  <w:num w:numId="12" w16cid:durableId="635915399">
    <w:abstractNumId w:val="6"/>
  </w:num>
  <w:num w:numId="13" w16cid:durableId="676663783">
    <w:abstractNumId w:val="9"/>
  </w:num>
  <w:num w:numId="14" w16cid:durableId="1903061687">
    <w:abstractNumId w:val="21"/>
  </w:num>
  <w:num w:numId="15" w16cid:durableId="1864172901">
    <w:abstractNumId w:val="12"/>
  </w:num>
  <w:num w:numId="16" w16cid:durableId="153452152">
    <w:abstractNumId w:val="14"/>
  </w:num>
  <w:num w:numId="17" w16cid:durableId="1602833046">
    <w:abstractNumId w:val="18"/>
  </w:num>
  <w:num w:numId="18" w16cid:durableId="2039577601">
    <w:abstractNumId w:val="22"/>
  </w:num>
  <w:num w:numId="19" w16cid:durableId="1924144937">
    <w:abstractNumId w:val="13"/>
  </w:num>
  <w:num w:numId="20" w16cid:durableId="1903977989">
    <w:abstractNumId w:val="16"/>
  </w:num>
  <w:num w:numId="21" w16cid:durableId="2034377538">
    <w:abstractNumId w:val="23"/>
  </w:num>
  <w:num w:numId="22" w16cid:durableId="662011706">
    <w:abstractNumId w:val="23"/>
    <w:lvlOverride w:ilvl="0">
      <w:lvl w:ilvl="0">
        <w:start w:val="1"/>
        <w:numFmt w:val="lowerLetter"/>
        <w:lvlText w:val="%1) "/>
        <w:legacy w:legacy="1" w:legacySpace="0" w:legacyIndent="360"/>
        <w:lvlJc w:val="left"/>
        <w:pPr>
          <w:ind w:left="1080" w:hanging="360"/>
        </w:pPr>
        <w:rPr>
          <w:rFonts w:ascii="CG Times" w:hAnsi="CG Times" w:hint="default"/>
          <w:b w:val="0"/>
          <w:i w:val="0"/>
          <w:sz w:val="24"/>
          <w:u w:val="none"/>
        </w:rPr>
      </w:lvl>
    </w:lvlOverride>
  </w:num>
  <w:num w:numId="23" w16cid:durableId="569004618">
    <w:abstractNumId w:val="10"/>
  </w:num>
  <w:num w:numId="24" w16cid:durableId="1837915656">
    <w:abstractNumId w:val="11"/>
  </w:num>
  <w:num w:numId="25" w16cid:durableId="8092490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54"/>
    <w:rsid w:val="0000169D"/>
    <w:rsid w:val="000027DB"/>
    <w:rsid w:val="00002933"/>
    <w:rsid w:val="00003D4E"/>
    <w:rsid w:val="00005B05"/>
    <w:rsid w:val="00006F07"/>
    <w:rsid w:val="000076B3"/>
    <w:rsid w:val="0000779A"/>
    <w:rsid w:val="00007EDF"/>
    <w:rsid w:val="000105AE"/>
    <w:rsid w:val="00010D63"/>
    <w:rsid w:val="00010D95"/>
    <w:rsid w:val="00011385"/>
    <w:rsid w:val="000116D3"/>
    <w:rsid w:val="0001199B"/>
    <w:rsid w:val="00012266"/>
    <w:rsid w:val="00012CF4"/>
    <w:rsid w:val="00013FFB"/>
    <w:rsid w:val="00014B02"/>
    <w:rsid w:val="00015365"/>
    <w:rsid w:val="00015462"/>
    <w:rsid w:val="00015CAE"/>
    <w:rsid w:val="00015E7C"/>
    <w:rsid w:val="000167FA"/>
    <w:rsid w:val="00016933"/>
    <w:rsid w:val="00016D0B"/>
    <w:rsid w:val="0002014E"/>
    <w:rsid w:val="0002051F"/>
    <w:rsid w:val="000210EE"/>
    <w:rsid w:val="000216AE"/>
    <w:rsid w:val="000217F5"/>
    <w:rsid w:val="0002258B"/>
    <w:rsid w:val="0002275D"/>
    <w:rsid w:val="00022EE0"/>
    <w:rsid w:val="0002349A"/>
    <w:rsid w:val="00024107"/>
    <w:rsid w:val="00024555"/>
    <w:rsid w:val="00025398"/>
    <w:rsid w:val="0002546D"/>
    <w:rsid w:val="000256D1"/>
    <w:rsid w:val="000257D8"/>
    <w:rsid w:val="000264C3"/>
    <w:rsid w:val="000277B0"/>
    <w:rsid w:val="000278ED"/>
    <w:rsid w:val="00027BD6"/>
    <w:rsid w:val="00027FF1"/>
    <w:rsid w:val="00030555"/>
    <w:rsid w:val="00030AA0"/>
    <w:rsid w:val="000313FD"/>
    <w:rsid w:val="00031459"/>
    <w:rsid w:val="00031631"/>
    <w:rsid w:val="00031753"/>
    <w:rsid w:val="00031A67"/>
    <w:rsid w:val="000325FD"/>
    <w:rsid w:val="00033392"/>
    <w:rsid w:val="0003348C"/>
    <w:rsid w:val="00033DBD"/>
    <w:rsid w:val="00033FA1"/>
    <w:rsid w:val="0003483F"/>
    <w:rsid w:val="00034F57"/>
    <w:rsid w:val="00035684"/>
    <w:rsid w:val="000360B3"/>
    <w:rsid w:val="00036ADE"/>
    <w:rsid w:val="00037BEA"/>
    <w:rsid w:val="00037E27"/>
    <w:rsid w:val="000403D0"/>
    <w:rsid w:val="00040826"/>
    <w:rsid w:val="00040A34"/>
    <w:rsid w:val="00040DF0"/>
    <w:rsid w:val="000415F9"/>
    <w:rsid w:val="00041750"/>
    <w:rsid w:val="00041F86"/>
    <w:rsid w:val="00042575"/>
    <w:rsid w:val="00042861"/>
    <w:rsid w:val="000439CF"/>
    <w:rsid w:val="00044CAF"/>
    <w:rsid w:val="00045669"/>
    <w:rsid w:val="00046E94"/>
    <w:rsid w:val="00047F13"/>
    <w:rsid w:val="00050162"/>
    <w:rsid w:val="000507E8"/>
    <w:rsid w:val="00050AF4"/>
    <w:rsid w:val="00051407"/>
    <w:rsid w:val="00051B98"/>
    <w:rsid w:val="000526E9"/>
    <w:rsid w:val="0005288E"/>
    <w:rsid w:val="00052F38"/>
    <w:rsid w:val="00053CA9"/>
    <w:rsid w:val="00053E89"/>
    <w:rsid w:val="00054317"/>
    <w:rsid w:val="00054B27"/>
    <w:rsid w:val="0005519D"/>
    <w:rsid w:val="000551CC"/>
    <w:rsid w:val="00055389"/>
    <w:rsid w:val="0005542E"/>
    <w:rsid w:val="0005570F"/>
    <w:rsid w:val="00056318"/>
    <w:rsid w:val="0005651B"/>
    <w:rsid w:val="000566F4"/>
    <w:rsid w:val="00056A20"/>
    <w:rsid w:val="00057FFC"/>
    <w:rsid w:val="000606D5"/>
    <w:rsid w:val="00063B1D"/>
    <w:rsid w:val="00063FCC"/>
    <w:rsid w:val="000643A9"/>
    <w:rsid w:val="000647CD"/>
    <w:rsid w:val="000657B9"/>
    <w:rsid w:val="00065ACD"/>
    <w:rsid w:val="0006669F"/>
    <w:rsid w:val="00067171"/>
    <w:rsid w:val="000671D8"/>
    <w:rsid w:val="000701D2"/>
    <w:rsid w:val="00070822"/>
    <w:rsid w:val="000708BD"/>
    <w:rsid w:val="000716F3"/>
    <w:rsid w:val="00071938"/>
    <w:rsid w:val="00072C96"/>
    <w:rsid w:val="00072D68"/>
    <w:rsid w:val="00072DFF"/>
    <w:rsid w:val="00073781"/>
    <w:rsid w:val="00073A3C"/>
    <w:rsid w:val="00073A75"/>
    <w:rsid w:val="00073CAE"/>
    <w:rsid w:val="00073E6F"/>
    <w:rsid w:val="00073F8E"/>
    <w:rsid w:val="0007451B"/>
    <w:rsid w:val="000747F1"/>
    <w:rsid w:val="00074B33"/>
    <w:rsid w:val="00074BF1"/>
    <w:rsid w:val="00075451"/>
    <w:rsid w:val="0007549A"/>
    <w:rsid w:val="000759F5"/>
    <w:rsid w:val="00076303"/>
    <w:rsid w:val="000763AA"/>
    <w:rsid w:val="00076AEC"/>
    <w:rsid w:val="00076C78"/>
    <w:rsid w:val="00077527"/>
    <w:rsid w:val="000777A0"/>
    <w:rsid w:val="00077CFF"/>
    <w:rsid w:val="00077E72"/>
    <w:rsid w:val="000818FF"/>
    <w:rsid w:val="00081AB9"/>
    <w:rsid w:val="00081C2C"/>
    <w:rsid w:val="00082A70"/>
    <w:rsid w:val="00082D53"/>
    <w:rsid w:val="00082F13"/>
    <w:rsid w:val="00083946"/>
    <w:rsid w:val="00083A05"/>
    <w:rsid w:val="000840B6"/>
    <w:rsid w:val="0008420B"/>
    <w:rsid w:val="0008455D"/>
    <w:rsid w:val="000847F4"/>
    <w:rsid w:val="00084E40"/>
    <w:rsid w:val="00084FC8"/>
    <w:rsid w:val="000854F6"/>
    <w:rsid w:val="00086091"/>
    <w:rsid w:val="00086340"/>
    <w:rsid w:val="00086D83"/>
    <w:rsid w:val="00086DFB"/>
    <w:rsid w:val="00087581"/>
    <w:rsid w:val="00087619"/>
    <w:rsid w:val="00087D0D"/>
    <w:rsid w:val="0009092F"/>
    <w:rsid w:val="00090B4E"/>
    <w:rsid w:val="00090D27"/>
    <w:rsid w:val="0009110C"/>
    <w:rsid w:val="00091A9A"/>
    <w:rsid w:val="00091E35"/>
    <w:rsid w:val="000921A7"/>
    <w:rsid w:val="000929F2"/>
    <w:rsid w:val="00093105"/>
    <w:rsid w:val="00093494"/>
    <w:rsid w:val="00094360"/>
    <w:rsid w:val="00094497"/>
    <w:rsid w:val="00094E34"/>
    <w:rsid w:val="00095134"/>
    <w:rsid w:val="0009553F"/>
    <w:rsid w:val="00095746"/>
    <w:rsid w:val="00096100"/>
    <w:rsid w:val="0009648B"/>
    <w:rsid w:val="0009696D"/>
    <w:rsid w:val="000975FC"/>
    <w:rsid w:val="0009777E"/>
    <w:rsid w:val="000A0309"/>
    <w:rsid w:val="000A0665"/>
    <w:rsid w:val="000A1873"/>
    <w:rsid w:val="000A18D9"/>
    <w:rsid w:val="000A2695"/>
    <w:rsid w:val="000A288D"/>
    <w:rsid w:val="000A297B"/>
    <w:rsid w:val="000A2D26"/>
    <w:rsid w:val="000A2EA9"/>
    <w:rsid w:val="000A30AA"/>
    <w:rsid w:val="000A34FF"/>
    <w:rsid w:val="000A378D"/>
    <w:rsid w:val="000A45E6"/>
    <w:rsid w:val="000A576D"/>
    <w:rsid w:val="000A593C"/>
    <w:rsid w:val="000A5B8A"/>
    <w:rsid w:val="000A5BE4"/>
    <w:rsid w:val="000A6038"/>
    <w:rsid w:val="000A603E"/>
    <w:rsid w:val="000A623D"/>
    <w:rsid w:val="000A636C"/>
    <w:rsid w:val="000A6D65"/>
    <w:rsid w:val="000A72F1"/>
    <w:rsid w:val="000A7418"/>
    <w:rsid w:val="000A77B8"/>
    <w:rsid w:val="000A7C39"/>
    <w:rsid w:val="000B0C04"/>
    <w:rsid w:val="000B0D32"/>
    <w:rsid w:val="000B1044"/>
    <w:rsid w:val="000B18BA"/>
    <w:rsid w:val="000B246A"/>
    <w:rsid w:val="000B2C93"/>
    <w:rsid w:val="000B3217"/>
    <w:rsid w:val="000B33CD"/>
    <w:rsid w:val="000B3A68"/>
    <w:rsid w:val="000B3B47"/>
    <w:rsid w:val="000B3CDF"/>
    <w:rsid w:val="000B3D86"/>
    <w:rsid w:val="000B405E"/>
    <w:rsid w:val="000B4126"/>
    <w:rsid w:val="000B584F"/>
    <w:rsid w:val="000B5981"/>
    <w:rsid w:val="000B6645"/>
    <w:rsid w:val="000B6A22"/>
    <w:rsid w:val="000B6D52"/>
    <w:rsid w:val="000B791C"/>
    <w:rsid w:val="000B7F0F"/>
    <w:rsid w:val="000C007E"/>
    <w:rsid w:val="000C071E"/>
    <w:rsid w:val="000C0F4C"/>
    <w:rsid w:val="000C140A"/>
    <w:rsid w:val="000C1A24"/>
    <w:rsid w:val="000C1C66"/>
    <w:rsid w:val="000C21CF"/>
    <w:rsid w:val="000C2CD2"/>
    <w:rsid w:val="000C4788"/>
    <w:rsid w:val="000C4C5D"/>
    <w:rsid w:val="000C505D"/>
    <w:rsid w:val="000C5795"/>
    <w:rsid w:val="000C5F8C"/>
    <w:rsid w:val="000C6258"/>
    <w:rsid w:val="000C68AF"/>
    <w:rsid w:val="000C6A12"/>
    <w:rsid w:val="000C7750"/>
    <w:rsid w:val="000C7865"/>
    <w:rsid w:val="000C7A89"/>
    <w:rsid w:val="000C7AA6"/>
    <w:rsid w:val="000D0057"/>
    <w:rsid w:val="000D0D0B"/>
    <w:rsid w:val="000D1633"/>
    <w:rsid w:val="000D22B9"/>
    <w:rsid w:val="000D2888"/>
    <w:rsid w:val="000D288B"/>
    <w:rsid w:val="000D2A09"/>
    <w:rsid w:val="000D2E62"/>
    <w:rsid w:val="000D39F0"/>
    <w:rsid w:val="000D39F5"/>
    <w:rsid w:val="000D3A62"/>
    <w:rsid w:val="000D48CD"/>
    <w:rsid w:val="000D4E8C"/>
    <w:rsid w:val="000D5956"/>
    <w:rsid w:val="000E0AFF"/>
    <w:rsid w:val="000E0F7B"/>
    <w:rsid w:val="000E1351"/>
    <w:rsid w:val="000E1BBA"/>
    <w:rsid w:val="000E268D"/>
    <w:rsid w:val="000E2C50"/>
    <w:rsid w:val="000E3104"/>
    <w:rsid w:val="000E445D"/>
    <w:rsid w:val="000E4EB2"/>
    <w:rsid w:val="000E4F53"/>
    <w:rsid w:val="000E622C"/>
    <w:rsid w:val="000E6688"/>
    <w:rsid w:val="000E6882"/>
    <w:rsid w:val="000E6BCC"/>
    <w:rsid w:val="000E6C34"/>
    <w:rsid w:val="000E6D09"/>
    <w:rsid w:val="000E72DF"/>
    <w:rsid w:val="000E73B0"/>
    <w:rsid w:val="000E7565"/>
    <w:rsid w:val="000F05D5"/>
    <w:rsid w:val="000F068E"/>
    <w:rsid w:val="000F08BB"/>
    <w:rsid w:val="000F0D2A"/>
    <w:rsid w:val="000F1C60"/>
    <w:rsid w:val="000F1F72"/>
    <w:rsid w:val="000F20D2"/>
    <w:rsid w:val="000F23F3"/>
    <w:rsid w:val="000F2A0C"/>
    <w:rsid w:val="000F2A24"/>
    <w:rsid w:val="000F3D2A"/>
    <w:rsid w:val="000F4038"/>
    <w:rsid w:val="000F4493"/>
    <w:rsid w:val="000F487D"/>
    <w:rsid w:val="000F5A79"/>
    <w:rsid w:val="000F5D0C"/>
    <w:rsid w:val="000F6BCA"/>
    <w:rsid w:val="000F6C1E"/>
    <w:rsid w:val="000F700F"/>
    <w:rsid w:val="000F7716"/>
    <w:rsid w:val="00100A22"/>
    <w:rsid w:val="00100F30"/>
    <w:rsid w:val="00102D76"/>
    <w:rsid w:val="0010368C"/>
    <w:rsid w:val="00103724"/>
    <w:rsid w:val="0010423F"/>
    <w:rsid w:val="0010450A"/>
    <w:rsid w:val="00104C0F"/>
    <w:rsid w:val="0010542D"/>
    <w:rsid w:val="001054A6"/>
    <w:rsid w:val="00105A8F"/>
    <w:rsid w:val="00106517"/>
    <w:rsid w:val="001066C6"/>
    <w:rsid w:val="001066D1"/>
    <w:rsid w:val="0010686C"/>
    <w:rsid w:val="001068BC"/>
    <w:rsid w:val="00106E0A"/>
    <w:rsid w:val="0010740C"/>
    <w:rsid w:val="00107A45"/>
    <w:rsid w:val="00107D5C"/>
    <w:rsid w:val="00107EAA"/>
    <w:rsid w:val="001106B6"/>
    <w:rsid w:val="001107AC"/>
    <w:rsid w:val="00110A37"/>
    <w:rsid w:val="00110C41"/>
    <w:rsid w:val="00110FD8"/>
    <w:rsid w:val="00111248"/>
    <w:rsid w:val="001116A2"/>
    <w:rsid w:val="00111DFA"/>
    <w:rsid w:val="001127F8"/>
    <w:rsid w:val="00112CD5"/>
    <w:rsid w:val="00112D5E"/>
    <w:rsid w:val="0011335F"/>
    <w:rsid w:val="0011370D"/>
    <w:rsid w:val="00113E52"/>
    <w:rsid w:val="001146F1"/>
    <w:rsid w:val="00114BB5"/>
    <w:rsid w:val="0011503F"/>
    <w:rsid w:val="00115ACB"/>
    <w:rsid w:val="00115DA5"/>
    <w:rsid w:val="00115F12"/>
    <w:rsid w:val="00116148"/>
    <w:rsid w:val="001167E6"/>
    <w:rsid w:val="0011695C"/>
    <w:rsid w:val="001175FA"/>
    <w:rsid w:val="0011771E"/>
    <w:rsid w:val="00117806"/>
    <w:rsid w:val="00117B99"/>
    <w:rsid w:val="00117F5E"/>
    <w:rsid w:val="00120BA3"/>
    <w:rsid w:val="00120D09"/>
    <w:rsid w:val="00121B80"/>
    <w:rsid w:val="00121F15"/>
    <w:rsid w:val="00121F93"/>
    <w:rsid w:val="0012258A"/>
    <w:rsid w:val="00123061"/>
    <w:rsid w:val="001230DC"/>
    <w:rsid w:val="00123A7F"/>
    <w:rsid w:val="00123AD6"/>
    <w:rsid w:val="0012433E"/>
    <w:rsid w:val="00124A38"/>
    <w:rsid w:val="00125646"/>
    <w:rsid w:val="00125DE2"/>
    <w:rsid w:val="00126470"/>
    <w:rsid w:val="00126E1F"/>
    <w:rsid w:val="00127110"/>
    <w:rsid w:val="00130349"/>
    <w:rsid w:val="001304F9"/>
    <w:rsid w:val="001309C3"/>
    <w:rsid w:val="001314FF"/>
    <w:rsid w:val="001315BE"/>
    <w:rsid w:val="0013201A"/>
    <w:rsid w:val="00133083"/>
    <w:rsid w:val="00133160"/>
    <w:rsid w:val="001335A3"/>
    <w:rsid w:val="00133928"/>
    <w:rsid w:val="00133E4E"/>
    <w:rsid w:val="001343B3"/>
    <w:rsid w:val="001348D8"/>
    <w:rsid w:val="001348F9"/>
    <w:rsid w:val="00135270"/>
    <w:rsid w:val="00135346"/>
    <w:rsid w:val="00135BFA"/>
    <w:rsid w:val="00135F0D"/>
    <w:rsid w:val="001363C3"/>
    <w:rsid w:val="00136D87"/>
    <w:rsid w:val="001418DF"/>
    <w:rsid w:val="00141A73"/>
    <w:rsid w:val="00141EC1"/>
    <w:rsid w:val="001423B0"/>
    <w:rsid w:val="001426AF"/>
    <w:rsid w:val="00142F5D"/>
    <w:rsid w:val="00142FFF"/>
    <w:rsid w:val="0014349F"/>
    <w:rsid w:val="00143968"/>
    <w:rsid w:val="00144037"/>
    <w:rsid w:val="00144634"/>
    <w:rsid w:val="00144BAE"/>
    <w:rsid w:val="001451EE"/>
    <w:rsid w:val="00145614"/>
    <w:rsid w:val="00146218"/>
    <w:rsid w:val="0014651D"/>
    <w:rsid w:val="00147401"/>
    <w:rsid w:val="00147485"/>
    <w:rsid w:val="00147D86"/>
    <w:rsid w:val="00150379"/>
    <w:rsid w:val="001506B7"/>
    <w:rsid w:val="00150822"/>
    <w:rsid w:val="00150F29"/>
    <w:rsid w:val="00151277"/>
    <w:rsid w:val="00151A77"/>
    <w:rsid w:val="00151A87"/>
    <w:rsid w:val="00151E0D"/>
    <w:rsid w:val="0015402B"/>
    <w:rsid w:val="0015408B"/>
    <w:rsid w:val="001541FB"/>
    <w:rsid w:val="00154B9E"/>
    <w:rsid w:val="00155FF3"/>
    <w:rsid w:val="001561ED"/>
    <w:rsid w:val="001564B8"/>
    <w:rsid w:val="00156569"/>
    <w:rsid w:val="001611BF"/>
    <w:rsid w:val="00161BAB"/>
    <w:rsid w:val="00162343"/>
    <w:rsid w:val="001628C1"/>
    <w:rsid w:val="0016415F"/>
    <w:rsid w:val="00165050"/>
    <w:rsid w:val="00165835"/>
    <w:rsid w:val="00165E51"/>
    <w:rsid w:val="00166ADA"/>
    <w:rsid w:val="00166AF9"/>
    <w:rsid w:val="00166CA9"/>
    <w:rsid w:val="00166E07"/>
    <w:rsid w:val="00166F58"/>
    <w:rsid w:val="0017050A"/>
    <w:rsid w:val="001717DC"/>
    <w:rsid w:val="00171A24"/>
    <w:rsid w:val="00172982"/>
    <w:rsid w:val="00172B04"/>
    <w:rsid w:val="00172EBB"/>
    <w:rsid w:val="001730F5"/>
    <w:rsid w:val="00173798"/>
    <w:rsid w:val="00173984"/>
    <w:rsid w:val="00174955"/>
    <w:rsid w:val="00175417"/>
    <w:rsid w:val="00175E23"/>
    <w:rsid w:val="00175E6C"/>
    <w:rsid w:val="00175F0A"/>
    <w:rsid w:val="00176463"/>
    <w:rsid w:val="0017673A"/>
    <w:rsid w:val="00176AAC"/>
    <w:rsid w:val="00176C56"/>
    <w:rsid w:val="0018162F"/>
    <w:rsid w:val="00182873"/>
    <w:rsid w:val="00182A24"/>
    <w:rsid w:val="00182C30"/>
    <w:rsid w:val="001839BE"/>
    <w:rsid w:val="00183D7F"/>
    <w:rsid w:val="00184161"/>
    <w:rsid w:val="001855F7"/>
    <w:rsid w:val="00186B92"/>
    <w:rsid w:val="00186D00"/>
    <w:rsid w:val="00186DB1"/>
    <w:rsid w:val="00186FB5"/>
    <w:rsid w:val="00187032"/>
    <w:rsid w:val="001900AB"/>
    <w:rsid w:val="00190A00"/>
    <w:rsid w:val="001918F3"/>
    <w:rsid w:val="0019208F"/>
    <w:rsid w:val="001929F7"/>
    <w:rsid w:val="00192AEC"/>
    <w:rsid w:val="0019331D"/>
    <w:rsid w:val="001961CC"/>
    <w:rsid w:val="00196866"/>
    <w:rsid w:val="0019713F"/>
    <w:rsid w:val="001975F8"/>
    <w:rsid w:val="001979C2"/>
    <w:rsid w:val="00197F33"/>
    <w:rsid w:val="001A047D"/>
    <w:rsid w:val="001A0C18"/>
    <w:rsid w:val="001A0EDF"/>
    <w:rsid w:val="001A25D8"/>
    <w:rsid w:val="001A3C62"/>
    <w:rsid w:val="001A4196"/>
    <w:rsid w:val="001A473C"/>
    <w:rsid w:val="001A4817"/>
    <w:rsid w:val="001A4B3E"/>
    <w:rsid w:val="001A5140"/>
    <w:rsid w:val="001A55C4"/>
    <w:rsid w:val="001A56D3"/>
    <w:rsid w:val="001A5F25"/>
    <w:rsid w:val="001A7560"/>
    <w:rsid w:val="001B13E2"/>
    <w:rsid w:val="001B1D5F"/>
    <w:rsid w:val="001B1D9D"/>
    <w:rsid w:val="001B2CB7"/>
    <w:rsid w:val="001B2CF8"/>
    <w:rsid w:val="001B2DFB"/>
    <w:rsid w:val="001B3BC2"/>
    <w:rsid w:val="001B3D28"/>
    <w:rsid w:val="001B4524"/>
    <w:rsid w:val="001B4CDE"/>
    <w:rsid w:val="001B510B"/>
    <w:rsid w:val="001B51A0"/>
    <w:rsid w:val="001B5407"/>
    <w:rsid w:val="001B637C"/>
    <w:rsid w:val="001B652D"/>
    <w:rsid w:val="001B6EEE"/>
    <w:rsid w:val="001C02BC"/>
    <w:rsid w:val="001C09BA"/>
    <w:rsid w:val="001C0D92"/>
    <w:rsid w:val="001C1386"/>
    <w:rsid w:val="001C28AF"/>
    <w:rsid w:val="001C28D3"/>
    <w:rsid w:val="001C3597"/>
    <w:rsid w:val="001C38A1"/>
    <w:rsid w:val="001C3BA3"/>
    <w:rsid w:val="001C3EEE"/>
    <w:rsid w:val="001C40D0"/>
    <w:rsid w:val="001C41D4"/>
    <w:rsid w:val="001C4EDB"/>
    <w:rsid w:val="001C5322"/>
    <w:rsid w:val="001C6549"/>
    <w:rsid w:val="001C67C4"/>
    <w:rsid w:val="001C724E"/>
    <w:rsid w:val="001C79F3"/>
    <w:rsid w:val="001D00E1"/>
    <w:rsid w:val="001D0283"/>
    <w:rsid w:val="001D0984"/>
    <w:rsid w:val="001D2665"/>
    <w:rsid w:val="001D2E6C"/>
    <w:rsid w:val="001D4993"/>
    <w:rsid w:val="001D5C5E"/>
    <w:rsid w:val="001D5CF4"/>
    <w:rsid w:val="001D6813"/>
    <w:rsid w:val="001D7321"/>
    <w:rsid w:val="001D7592"/>
    <w:rsid w:val="001D77EE"/>
    <w:rsid w:val="001D7D65"/>
    <w:rsid w:val="001E020D"/>
    <w:rsid w:val="001E042A"/>
    <w:rsid w:val="001E04AD"/>
    <w:rsid w:val="001E0700"/>
    <w:rsid w:val="001E0BE7"/>
    <w:rsid w:val="001E2355"/>
    <w:rsid w:val="001E274D"/>
    <w:rsid w:val="001E40F7"/>
    <w:rsid w:val="001E53ED"/>
    <w:rsid w:val="001E5C64"/>
    <w:rsid w:val="001E6486"/>
    <w:rsid w:val="001E672E"/>
    <w:rsid w:val="001E6ADB"/>
    <w:rsid w:val="001E6C97"/>
    <w:rsid w:val="001E6EFC"/>
    <w:rsid w:val="001E7CD4"/>
    <w:rsid w:val="001E7E89"/>
    <w:rsid w:val="001F083B"/>
    <w:rsid w:val="001F112C"/>
    <w:rsid w:val="001F147E"/>
    <w:rsid w:val="001F1596"/>
    <w:rsid w:val="001F2005"/>
    <w:rsid w:val="001F218C"/>
    <w:rsid w:val="001F2920"/>
    <w:rsid w:val="001F297A"/>
    <w:rsid w:val="001F2B88"/>
    <w:rsid w:val="001F305F"/>
    <w:rsid w:val="001F355B"/>
    <w:rsid w:val="001F3C0E"/>
    <w:rsid w:val="001F3EEF"/>
    <w:rsid w:val="001F4007"/>
    <w:rsid w:val="001F45ED"/>
    <w:rsid w:val="001F4BE6"/>
    <w:rsid w:val="001F54EC"/>
    <w:rsid w:val="001F5A6E"/>
    <w:rsid w:val="001F5FCA"/>
    <w:rsid w:val="001F62BB"/>
    <w:rsid w:val="001F6583"/>
    <w:rsid w:val="001F65F4"/>
    <w:rsid w:val="00200284"/>
    <w:rsid w:val="002006C2"/>
    <w:rsid w:val="0020138A"/>
    <w:rsid w:val="002018AC"/>
    <w:rsid w:val="00201C92"/>
    <w:rsid w:val="00201F7B"/>
    <w:rsid w:val="0020214F"/>
    <w:rsid w:val="0020279A"/>
    <w:rsid w:val="00202C75"/>
    <w:rsid w:val="002030D7"/>
    <w:rsid w:val="0020365D"/>
    <w:rsid w:val="00205B72"/>
    <w:rsid w:val="002068F7"/>
    <w:rsid w:val="00206929"/>
    <w:rsid w:val="00206E8D"/>
    <w:rsid w:val="002079A4"/>
    <w:rsid w:val="0021011C"/>
    <w:rsid w:val="00211775"/>
    <w:rsid w:val="0021256B"/>
    <w:rsid w:val="00212635"/>
    <w:rsid w:val="00212971"/>
    <w:rsid w:val="00212E11"/>
    <w:rsid w:val="002131D9"/>
    <w:rsid w:val="0021353B"/>
    <w:rsid w:val="002142D6"/>
    <w:rsid w:val="00214D9A"/>
    <w:rsid w:val="00214E9D"/>
    <w:rsid w:val="00215D52"/>
    <w:rsid w:val="00216232"/>
    <w:rsid w:val="0021655D"/>
    <w:rsid w:val="00216A32"/>
    <w:rsid w:val="00217FD1"/>
    <w:rsid w:val="00220312"/>
    <w:rsid w:val="00221320"/>
    <w:rsid w:val="00221CDB"/>
    <w:rsid w:val="00222148"/>
    <w:rsid w:val="00222B76"/>
    <w:rsid w:val="00222CDB"/>
    <w:rsid w:val="0022307C"/>
    <w:rsid w:val="00223D5F"/>
    <w:rsid w:val="00224FA0"/>
    <w:rsid w:val="002257A9"/>
    <w:rsid w:val="00226605"/>
    <w:rsid w:val="00227052"/>
    <w:rsid w:val="00227ACD"/>
    <w:rsid w:val="00227DF8"/>
    <w:rsid w:val="002302A1"/>
    <w:rsid w:val="0023051E"/>
    <w:rsid w:val="002307FB"/>
    <w:rsid w:val="00230F66"/>
    <w:rsid w:val="002312A6"/>
    <w:rsid w:val="00231747"/>
    <w:rsid w:val="00232A5C"/>
    <w:rsid w:val="00232CEB"/>
    <w:rsid w:val="00232F3C"/>
    <w:rsid w:val="002341A9"/>
    <w:rsid w:val="00234201"/>
    <w:rsid w:val="0023509A"/>
    <w:rsid w:val="0023572A"/>
    <w:rsid w:val="0023598D"/>
    <w:rsid w:val="00235F1E"/>
    <w:rsid w:val="00236857"/>
    <w:rsid w:val="00236A24"/>
    <w:rsid w:val="00236E66"/>
    <w:rsid w:val="00237A4B"/>
    <w:rsid w:val="00240475"/>
    <w:rsid w:val="00240CA6"/>
    <w:rsid w:val="002412B1"/>
    <w:rsid w:val="0024186A"/>
    <w:rsid w:val="002425E2"/>
    <w:rsid w:val="00243161"/>
    <w:rsid w:val="00243601"/>
    <w:rsid w:val="002437AD"/>
    <w:rsid w:val="00243B6E"/>
    <w:rsid w:val="00243B86"/>
    <w:rsid w:val="00245283"/>
    <w:rsid w:val="00245856"/>
    <w:rsid w:val="00246414"/>
    <w:rsid w:val="00246898"/>
    <w:rsid w:val="00246FC6"/>
    <w:rsid w:val="00247009"/>
    <w:rsid w:val="00250211"/>
    <w:rsid w:val="00250641"/>
    <w:rsid w:val="002506E8"/>
    <w:rsid w:val="00250737"/>
    <w:rsid w:val="002521CA"/>
    <w:rsid w:val="00253454"/>
    <w:rsid w:val="00253863"/>
    <w:rsid w:val="00253BA0"/>
    <w:rsid w:val="0025436A"/>
    <w:rsid w:val="00254F0E"/>
    <w:rsid w:val="00255AF7"/>
    <w:rsid w:val="00256103"/>
    <w:rsid w:val="002568B8"/>
    <w:rsid w:val="00256D6B"/>
    <w:rsid w:val="00256E37"/>
    <w:rsid w:val="00256EF8"/>
    <w:rsid w:val="002578C3"/>
    <w:rsid w:val="00260D73"/>
    <w:rsid w:val="00262017"/>
    <w:rsid w:val="002623D1"/>
    <w:rsid w:val="0026256C"/>
    <w:rsid w:val="00263211"/>
    <w:rsid w:val="002643DF"/>
    <w:rsid w:val="0026442B"/>
    <w:rsid w:val="002646C7"/>
    <w:rsid w:val="0026495B"/>
    <w:rsid w:val="00265539"/>
    <w:rsid w:val="00265AAF"/>
    <w:rsid w:val="00265D29"/>
    <w:rsid w:val="00265FC7"/>
    <w:rsid w:val="002664C4"/>
    <w:rsid w:val="00266C1B"/>
    <w:rsid w:val="00266EAE"/>
    <w:rsid w:val="00266F15"/>
    <w:rsid w:val="00267171"/>
    <w:rsid w:val="0026748F"/>
    <w:rsid w:val="00267876"/>
    <w:rsid w:val="00267F93"/>
    <w:rsid w:val="0027053A"/>
    <w:rsid w:val="00270C17"/>
    <w:rsid w:val="002712D8"/>
    <w:rsid w:val="002717A2"/>
    <w:rsid w:val="00271B12"/>
    <w:rsid w:val="00272029"/>
    <w:rsid w:val="0027208A"/>
    <w:rsid w:val="0027258F"/>
    <w:rsid w:val="00272A94"/>
    <w:rsid w:val="00272EF6"/>
    <w:rsid w:val="0027353A"/>
    <w:rsid w:val="0027378D"/>
    <w:rsid w:val="00274190"/>
    <w:rsid w:val="002741CB"/>
    <w:rsid w:val="002756EF"/>
    <w:rsid w:val="00275BFB"/>
    <w:rsid w:val="00275C1D"/>
    <w:rsid w:val="00275E80"/>
    <w:rsid w:val="002761FC"/>
    <w:rsid w:val="002765C4"/>
    <w:rsid w:val="00276AE5"/>
    <w:rsid w:val="00276D77"/>
    <w:rsid w:val="00277D80"/>
    <w:rsid w:val="002807CD"/>
    <w:rsid w:val="00280E37"/>
    <w:rsid w:val="0028163E"/>
    <w:rsid w:val="002820D2"/>
    <w:rsid w:val="002831B4"/>
    <w:rsid w:val="00283C08"/>
    <w:rsid w:val="0028408F"/>
    <w:rsid w:val="002843B1"/>
    <w:rsid w:val="0028461D"/>
    <w:rsid w:val="0028502B"/>
    <w:rsid w:val="00285579"/>
    <w:rsid w:val="0028788B"/>
    <w:rsid w:val="00287A70"/>
    <w:rsid w:val="00287F8B"/>
    <w:rsid w:val="00290295"/>
    <w:rsid w:val="00290695"/>
    <w:rsid w:val="00290B20"/>
    <w:rsid w:val="00292093"/>
    <w:rsid w:val="00292773"/>
    <w:rsid w:val="00292B2F"/>
    <w:rsid w:val="0029331E"/>
    <w:rsid w:val="002936E1"/>
    <w:rsid w:val="00293BE8"/>
    <w:rsid w:val="00294112"/>
    <w:rsid w:val="00295902"/>
    <w:rsid w:val="00296DFD"/>
    <w:rsid w:val="00297850"/>
    <w:rsid w:val="00297C99"/>
    <w:rsid w:val="002A01F2"/>
    <w:rsid w:val="002A1263"/>
    <w:rsid w:val="002A1F2B"/>
    <w:rsid w:val="002A24C8"/>
    <w:rsid w:val="002A2B23"/>
    <w:rsid w:val="002A3732"/>
    <w:rsid w:val="002A3790"/>
    <w:rsid w:val="002A3A8A"/>
    <w:rsid w:val="002A42DE"/>
    <w:rsid w:val="002A4B1F"/>
    <w:rsid w:val="002A4F81"/>
    <w:rsid w:val="002A518F"/>
    <w:rsid w:val="002A5AC2"/>
    <w:rsid w:val="002A5B78"/>
    <w:rsid w:val="002A6085"/>
    <w:rsid w:val="002A659B"/>
    <w:rsid w:val="002A69F8"/>
    <w:rsid w:val="002A7BD4"/>
    <w:rsid w:val="002B022E"/>
    <w:rsid w:val="002B0E02"/>
    <w:rsid w:val="002B1047"/>
    <w:rsid w:val="002B18A0"/>
    <w:rsid w:val="002B1F1E"/>
    <w:rsid w:val="002B1FAE"/>
    <w:rsid w:val="002B28BA"/>
    <w:rsid w:val="002B2C67"/>
    <w:rsid w:val="002B2C86"/>
    <w:rsid w:val="002B2F97"/>
    <w:rsid w:val="002B3B65"/>
    <w:rsid w:val="002B4377"/>
    <w:rsid w:val="002B4436"/>
    <w:rsid w:val="002B4B3E"/>
    <w:rsid w:val="002B4EF8"/>
    <w:rsid w:val="002B526F"/>
    <w:rsid w:val="002B5F02"/>
    <w:rsid w:val="002B7059"/>
    <w:rsid w:val="002B7713"/>
    <w:rsid w:val="002B7E0D"/>
    <w:rsid w:val="002C101F"/>
    <w:rsid w:val="002C10F1"/>
    <w:rsid w:val="002C1EEA"/>
    <w:rsid w:val="002C37D6"/>
    <w:rsid w:val="002C37ED"/>
    <w:rsid w:val="002C3B3F"/>
    <w:rsid w:val="002C3B5B"/>
    <w:rsid w:val="002C401E"/>
    <w:rsid w:val="002C4616"/>
    <w:rsid w:val="002C47F0"/>
    <w:rsid w:val="002C48C3"/>
    <w:rsid w:val="002C532B"/>
    <w:rsid w:val="002C5672"/>
    <w:rsid w:val="002C56DF"/>
    <w:rsid w:val="002C5D10"/>
    <w:rsid w:val="002C62B4"/>
    <w:rsid w:val="002C642A"/>
    <w:rsid w:val="002C7555"/>
    <w:rsid w:val="002D04E6"/>
    <w:rsid w:val="002D0B2E"/>
    <w:rsid w:val="002D1610"/>
    <w:rsid w:val="002D1BD4"/>
    <w:rsid w:val="002D1F74"/>
    <w:rsid w:val="002D2336"/>
    <w:rsid w:val="002D27F9"/>
    <w:rsid w:val="002D282B"/>
    <w:rsid w:val="002D2E62"/>
    <w:rsid w:val="002D34FA"/>
    <w:rsid w:val="002D36CA"/>
    <w:rsid w:val="002D49A9"/>
    <w:rsid w:val="002D4FCD"/>
    <w:rsid w:val="002D5233"/>
    <w:rsid w:val="002D5D10"/>
    <w:rsid w:val="002D5FCF"/>
    <w:rsid w:val="002D6560"/>
    <w:rsid w:val="002D6FAA"/>
    <w:rsid w:val="002D776D"/>
    <w:rsid w:val="002E0B35"/>
    <w:rsid w:val="002E102B"/>
    <w:rsid w:val="002E1284"/>
    <w:rsid w:val="002E1CD9"/>
    <w:rsid w:val="002E2891"/>
    <w:rsid w:val="002E2E22"/>
    <w:rsid w:val="002E3E5D"/>
    <w:rsid w:val="002E4065"/>
    <w:rsid w:val="002E485B"/>
    <w:rsid w:val="002E4E06"/>
    <w:rsid w:val="002E5052"/>
    <w:rsid w:val="002E50B0"/>
    <w:rsid w:val="002E5138"/>
    <w:rsid w:val="002E58B8"/>
    <w:rsid w:val="002E605B"/>
    <w:rsid w:val="002E6328"/>
    <w:rsid w:val="002E69DE"/>
    <w:rsid w:val="002E6F24"/>
    <w:rsid w:val="002E738A"/>
    <w:rsid w:val="002E7704"/>
    <w:rsid w:val="002E7F89"/>
    <w:rsid w:val="002F0195"/>
    <w:rsid w:val="002F0384"/>
    <w:rsid w:val="002F168A"/>
    <w:rsid w:val="002F1ECD"/>
    <w:rsid w:val="002F2116"/>
    <w:rsid w:val="002F2DB8"/>
    <w:rsid w:val="002F2E86"/>
    <w:rsid w:val="002F2ED2"/>
    <w:rsid w:val="002F340A"/>
    <w:rsid w:val="002F3D46"/>
    <w:rsid w:val="002F3DCD"/>
    <w:rsid w:val="002F45F3"/>
    <w:rsid w:val="002F46B0"/>
    <w:rsid w:val="002F4AB9"/>
    <w:rsid w:val="002F55E5"/>
    <w:rsid w:val="002F5D9C"/>
    <w:rsid w:val="002F5E6E"/>
    <w:rsid w:val="002F669C"/>
    <w:rsid w:val="002F69B3"/>
    <w:rsid w:val="002F6F51"/>
    <w:rsid w:val="002F779F"/>
    <w:rsid w:val="00301100"/>
    <w:rsid w:val="00301288"/>
    <w:rsid w:val="0030174E"/>
    <w:rsid w:val="003018D3"/>
    <w:rsid w:val="00301A81"/>
    <w:rsid w:val="00301CE0"/>
    <w:rsid w:val="00302511"/>
    <w:rsid w:val="00302819"/>
    <w:rsid w:val="00302AE9"/>
    <w:rsid w:val="00302FC6"/>
    <w:rsid w:val="003032DE"/>
    <w:rsid w:val="00303324"/>
    <w:rsid w:val="00303F20"/>
    <w:rsid w:val="003041B0"/>
    <w:rsid w:val="00304F47"/>
    <w:rsid w:val="00305539"/>
    <w:rsid w:val="003060C4"/>
    <w:rsid w:val="00306431"/>
    <w:rsid w:val="003067EE"/>
    <w:rsid w:val="00306CA5"/>
    <w:rsid w:val="0030793B"/>
    <w:rsid w:val="0030798A"/>
    <w:rsid w:val="00307F36"/>
    <w:rsid w:val="0031005B"/>
    <w:rsid w:val="0031072A"/>
    <w:rsid w:val="00310C1D"/>
    <w:rsid w:val="00310D0D"/>
    <w:rsid w:val="00311200"/>
    <w:rsid w:val="003113F7"/>
    <w:rsid w:val="003119C8"/>
    <w:rsid w:val="003119D2"/>
    <w:rsid w:val="00311EAE"/>
    <w:rsid w:val="00311FD3"/>
    <w:rsid w:val="0031239B"/>
    <w:rsid w:val="00312696"/>
    <w:rsid w:val="003131F1"/>
    <w:rsid w:val="00313BF8"/>
    <w:rsid w:val="003144A0"/>
    <w:rsid w:val="00314986"/>
    <w:rsid w:val="00314E17"/>
    <w:rsid w:val="00317D85"/>
    <w:rsid w:val="00321113"/>
    <w:rsid w:val="00322905"/>
    <w:rsid w:val="00322C10"/>
    <w:rsid w:val="003242D3"/>
    <w:rsid w:val="003260EA"/>
    <w:rsid w:val="00327037"/>
    <w:rsid w:val="00327187"/>
    <w:rsid w:val="0033028C"/>
    <w:rsid w:val="00330360"/>
    <w:rsid w:val="0033057D"/>
    <w:rsid w:val="003309F7"/>
    <w:rsid w:val="00330D59"/>
    <w:rsid w:val="00330D74"/>
    <w:rsid w:val="00331813"/>
    <w:rsid w:val="00331CC2"/>
    <w:rsid w:val="00331D05"/>
    <w:rsid w:val="00331F1D"/>
    <w:rsid w:val="003321D9"/>
    <w:rsid w:val="00332230"/>
    <w:rsid w:val="003322B7"/>
    <w:rsid w:val="0033232F"/>
    <w:rsid w:val="0033302C"/>
    <w:rsid w:val="0033331A"/>
    <w:rsid w:val="00333775"/>
    <w:rsid w:val="00333CA7"/>
    <w:rsid w:val="0033437A"/>
    <w:rsid w:val="00334487"/>
    <w:rsid w:val="00334530"/>
    <w:rsid w:val="00334AC3"/>
    <w:rsid w:val="00335419"/>
    <w:rsid w:val="00336F51"/>
    <w:rsid w:val="00337069"/>
    <w:rsid w:val="00337D34"/>
    <w:rsid w:val="0034008D"/>
    <w:rsid w:val="0034055F"/>
    <w:rsid w:val="00340617"/>
    <w:rsid w:val="00340956"/>
    <w:rsid w:val="00340A64"/>
    <w:rsid w:val="00340DBD"/>
    <w:rsid w:val="0034155A"/>
    <w:rsid w:val="0034167C"/>
    <w:rsid w:val="00341A28"/>
    <w:rsid w:val="00341CB5"/>
    <w:rsid w:val="00342612"/>
    <w:rsid w:val="00343745"/>
    <w:rsid w:val="00344C80"/>
    <w:rsid w:val="00344CEE"/>
    <w:rsid w:val="00345179"/>
    <w:rsid w:val="00345281"/>
    <w:rsid w:val="003452EE"/>
    <w:rsid w:val="003453A4"/>
    <w:rsid w:val="00345954"/>
    <w:rsid w:val="00345D8D"/>
    <w:rsid w:val="003462A2"/>
    <w:rsid w:val="00346760"/>
    <w:rsid w:val="0034757B"/>
    <w:rsid w:val="0034793D"/>
    <w:rsid w:val="00351B36"/>
    <w:rsid w:val="00352101"/>
    <w:rsid w:val="00352C85"/>
    <w:rsid w:val="0035336B"/>
    <w:rsid w:val="0035360D"/>
    <w:rsid w:val="003539CB"/>
    <w:rsid w:val="00353B12"/>
    <w:rsid w:val="00353C89"/>
    <w:rsid w:val="00354014"/>
    <w:rsid w:val="0035452E"/>
    <w:rsid w:val="00354C32"/>
    <w:rsid w:val="00354E43"/>
    <w:rsid w:val="00354EB4"/>
    <w:rsid w:val="00355701"/>
    <w:rsid w:val="00355BD1"/>
    <w:rsid w:val="00356264"/>
    <w:rsid w:val="003568B4"/>
    <w:rsid w:val="00356932"/>
    <w:rsid w:val="00357704"/>
    <w:rsid w:val="00357BEA"/>
    <w:rsid w:val="00357E15"/>
    <w:rsid w:val="00360205"/>
    <w:rsid w:val="0036023B"/>
    <w:rsid w:val="00360564"/>
    <w:rsid w:val="0036059F"/>
    <w:rsid w:val="0036070F"/>
    <w:rsid w:val="00360722"/>
    <w:rsid w:val="00361BB6"/>
    <w:rsid w:val="003621E6"/>
    <w:rsid w:val="00362F2D"/>
    <w:rsid w:val="00362FBD"/>
    <w:rsid w:val="003630C0"/>
    <w:rsid w:val="003631B3"/>
    <w:rsid w:val="0036354F"/>
    <w:rsid w:val="00363694"/>
    <w:rsid w:val="003646E8"/>
    <w:rsid w:val="003647AA"/>
    <w:rsid w:val="0036491C"/>
    <w:rsid w:val="00364B8F"/>
    <w:rsid w:val="00364C94"/>
    <w:rsid w:val="00365AB6"/>
    <w:rsid w:val="00365C7B"/>
    <w:rsid w:val="003668EC"/>
    <w:rsid w:val="00366CC7"/>
    <w:rsid w:val="00366F33"/>
    <w:rsid w:val="003674BB"/>
    <w:rsid w:val="00367647"/>
    <w:rsid w:val="00367A2A"/>
    <w:rsid w:val="00370524"/>
    <w:rsid w:val="003705FD"/>
    <w:rsid w:val="00371075"/>
    <w:rsid w:val="0037115C"/>
    <w:rsid w:val="00371548"/>
    <w:rsid w:val="00371746"/>
    <w:rsid w:val="0037208F"/>
    <w:rsid w:val="00372BA7"/>
    <w:rsid w:val="00372D71"/>
    <w:rsid w:val="0037316A"/>
    <w:rsid w:val="0037364C"/>
    <w:rsid w:val="00373AB8"/>
    <w:rsid w:val="00374AEF"/>
    <w:rsid w:val="0037566F"/>
    <w:rsid w:val="00375891"/>
    <w:rsid w:val="00375C6D"/>
    <w:rsid w:val="003764C9"/>
    <w:rsid w:val="00376AAA"/>
    <w:rsid w:val="0037754E"/>
    <w:rsid w:val="00377CC0"/>
    <w:rsid w:val="00382363"/>
    <w:rsid w:val="00383B2E"/>
    <w:rsid w:val="00383D8A"/>
    <w:rsid w:val="00383E5F"/>
    <w:rsid w:val="0038448E"/>
    <w:rsid w:val="00384EC2"/>
    <w:rsid w:val="003850AE"/>
    <w:rsid w:val="003855B8"/>
    <w:rsid w:val="003857F5"/>
    <w:rsid w:val="00385B7A"/>
    <w:rsid w:val="00387C73"/>
    <w:rsid w:val="00390E5A"/>
    <w:rsid w:val="00390FB5"/>
    <w:rsid w:val="003913E6"/>
    <w:rsid w:val="00391825"/>
    <w:rsid w:val="00391844"/>
    <w:rsid w:val="00391B4D"/>
    <w:rsid w:val="00391C67"/>
    <w:rsid w:val="00392600"/>
    <w:rsid w:val="003927AD"/>
    <w:rsid w:val="00392865"/>
    <w:rsid w:val="00392B1C"/>
    <w:rsid w:val="00392FF8"/>
    <w:rsid w:val="003945F3"/>
    <w:rsid w:val="00394D5D"/>
    <w:rsid w:val="0039507E"/>
    <w:rsid w:val="00395385"/>
    <w:rsid w:val="003957C3"/>
    <w:rsid w:val="00396265"/>
    <w:rsid w:val="00396ECF"/>
    <w:rsid w:val="00397004"/>
    <w:rsid w:val="00397060"/>
    <w:rsid w:val="003A1372"/>
    <w:rsid w:val="003A151F"/>
    <w:rsid w:val="003A1D8A"/>
    <w:rsid w:val="003A1DFD"/>
    <w:rsid w:val="003A1EB5"/>
    <w:rsid w:val="003A2054"/>
    <w:rsid w:val="003A239E"/>
    <w:rsid w:val="003A2B6A"/>
    <w:rsid w:val="003A2E01"/>
    <w:rsid w:val="003A3245"/>
    <w:rsid w:val="003A343A"/>
    <w:rsid w:val="003A3469"/>
    <w:rsid w:val="003A395A"/>
    <w:rsid w:val="003A3CEF"/>
    <w:rsid w:val="003A4211"/>
    <w:rsid w:val="003A438A"/>
    <w:rsid w:val="003A4B6C"/>
    <w:rsid w:val="003A59B6"/>
    <w:rsid w:val="003A5B02"/>
    <w:rsid w:val="003A5C90"/>
    <w:rsid w:val="003A7EAD"/>
    <w:rsid w:val="003A7F0B"/>
    <w:rsid w:val="003B063E"/>
    <w:rsid w:val="003B0843"/>
    <w:rsid w:val="003B0B5D"/>
    <w:rsid w:val="003B0BAB"/>
    <w:rsid w:val="003B13D0"/>
    <w:rsid w:val="003B1AC1"/>
    <w:rsid w:val="003B28D5"/>
    <w:rsid w:val="003B2BC0"/>
    <w:rsid w:val="003B2CD3"/>
    <w:rsid w:val="003B2D89"/>
    <w:rsid w:val="003B4362"/>
    <w:rsid w:val="003B43EC"/>
    <w:rsid w:val="003B50BF"/>
    <w:rsid w:val="003B5E71"/>
    <w:rsid w:val="003B6249"/>
    <w:rsid w:val="003B6381"/>
    <w:rsid w:val="003B6A05"/>
    <w:rsid w:val="003B6B15"/>
    <w:rsid w:val="003B7E85"/>
    <w:rsid w:val="003C0417"/>
    <w:rsid w:val="003C0DC4"/>
    <w:rsid w:val="003C0E7C"/>
    <w:rsid w:val="003C2861"/>
    <w:rsid w:val="003C2920"/>
    <w:rsid w:val="003C3EB1"/>
    <w:rsid w:val="003C4DD2"/>
    <w:rsid w:val="003C501C"/>
    <w:rsid w:val="003C5177"/>
    <w:rsid w:val="003C5783"/>
    <w:rsid w:val="003C58FE"/>
    <w:rsid w:val="003C5A65"/>
    <w:rsid w:val="003C5D8C"/>
    <w:rsid w:val="003C66BA"/>
    <w:rsid w:val="003C67DC"/>
    <w:rsid w:val="003C6C4F"/>
    <w:rsid w:val="003C7298"/>
    <w:rsid w:val="003C7CBE"/>
    <w:rsid w:val="003D00E5"/>
    <w:rsid w:val="003D0323"/>
    <w:rsid w:val="003D20D1"/>
    <w:rsid w:val="003D269A"/>
    <w:rsid w:val="003D2C8F"/>
    <w:rsid w:val="003D2D03"/>
    <w:rsid w:val="003D35F0"/>
    <w:rsid w:val="003D4635"/>
    <w:rsid w:val="003D46C7"/>
    <w:rsid w:val="003D539A"/>
    <w:rsid w:val="003D64A2"/>
    <w:rsid w:val="003E0F4B"/>
    <w:rsid w:val="003E1624"/>
    <w:rsid w:val="003E1CE1"/>
    <w:rsid w:val="003E1EAE"/>
    <w:rsid w:val="003E2031"/>
    <w:rsid w:val="003E221D"/>
    <w:rsid w:val="003E2679"/>
    <w:rsid w:val="003E2DD4"/>
    <w:rsid w:val="003E2E52"/>
    <w:rsid w:val="003E3713"/>
    <w:rsid w:val="003E3DF0"/>
    <w:rsid w:val="003E439F"/>
    <w:rsid w:val="003E4B77"/>
    <w:rsid w:val="003E5007"/>
    <w:rsid w:val="003E5B84"/>
    <w:rsid w:val="003E635D"/>
    <w:rsid w:val="003E728E"/>
    <w:rsid w:val="003E7523"/>
    <w:rsid w:val="003E7D9E"/>
    <w:rsid w:val="003F0319"/>
    <w:rsid w:val="003F03B0"/>
    <w:rsid w:val="003F0EE5"/>
    <w:rsid w:val="003F1113"/>
    <w:rsid w:val="003F1882"/>
    <w:rsid w:val="003F1AEA"/>
    <w:rsid w:val="003F1C02"/>
    <w:rsid w:val="003F1C98"/>
    <w:rsid w:val="003F1F0F"/>
    <w:rsid w:val="003F2C08"/>
    <w:rsid w:val="003F2C51"/>
    <w:rsid w:val="003F2EDF"/>
    <w:rsid w:val="003F3AE8"/>
    <w:rsid w:val="003F3CEA"/>
    <w:rsid w:val="003F3FE0"/>
    <w:rsid w:val="003F41CD"/>
    <w:rsid w:val="003F427A"/>
    <w:rsid w:val="003F42B7"/>
    <w:rsid w:val="003F448B"/>
    <w:rsid w:val="003F5A1D"/>
    <w:rsid w:val="003F5B5C"/>
    <w:rsid w:val="003F6D97"/>
    <w:rsid w:val="003F6FAA"/>
    <w:rsid w:val="003F7882"/>
    <w:rsid w:val="003F7E24"/>
    <w:rsid w:val="003F7F32"/>
    <w:rsid w:val="003F7F55"/>
    <w:rsid w:val="00400459"/>
    <w:rsid w:val="00400565"/>
    <w:rsid w:val="0040145E"/>
    <w:rsid w:val="00401A0B"/>
    <w:rsid w:val="00401BB1"/>
    <w:rsid w:val="00401F11"/>
    <w:rsid w:val="0040488D"/>
    <w:rsid w:val="0040576A"/>
    <w:rsid w:val="00405D94"/>
    <w:rsid w:val="00406192"/>
    <w:rsid w:val="0040619C"/>
    <w:rsid w:val="00406AF3"/>
    <w:rsid w:val="00406BD5"/>
    <w:rsid w:val="00407D8B"/>
    <w:rsid w:val="00410074"/>
    <w:rsid w:val="0041073E"/>
    <w:rsid w:val="00411075"/>
    <w:rsid w:val="004122E1"/>
    <w:rsid w:val="00412E19"/>
    <w:rsid w:val="0041320B"/>
    <w:rsid w:val="004135AE"/>
    <w:rsid w:val="00413600"/>
    <w:rsid w:val="0041482D"/>
    <w:rsid w:val="00414A76"/>
    <w:rsid w:val="00414ED3"/>
    <w:rsid w:val="004150E5"/>
    <w:rsid w:val="0041521E"/>
    <w:rsid w:val="00415762"/>
    <w:rsid w:val="00415AD6"/>
    <w:rsid w:val="004163B4"/>
    <w:rsid w:val="004170B0"/>
    <w:rsid w:val="0041746F"/>
    <w:rsid w:val="004201AD"/>
    <w:rsid w:val="0042049C"/>
    <w:rsid w:val="00420935"/>
    <w:rsid w:val="00420A59"/>
    <w:rsid w:val="00421AA6"/>
    <w:rsid w:val="00421DCA"/>
    <w:rsid w:val="00422253"/>
    <w:rsid w:val="00422FA1"/>
    <w:rsid w:val="004236B7"/>
    <w:rsid w:val="00423E45"/>
    <w:rsid w:val="00423EE3"/>
    <w:rsid w:val="00424835"/>
    <w:rsid w:val="0042507D"/>
    <w:rsid w:val="00425301"/>
    <w:rsid w:val="00425393"/>
    <w:rsid w:val="004253C5"/>
    <w:rsid w:val="004254A1"/>
    <w:rsid w:val="0042569B"/>
    <w:rsid w:val="004268CC"/>
    <w:rsid w:val="00426C65"/>
    <w:rsid w:val="00427947"/>
    <w:rsid w:val="00430B27"/>
    <w:rsid w:val="00430E78"/>
    <w:rsid w:val="004313CB"/>
    <w:rsid w:val="0043216E"/>
    <w:rsid w:val="00432548"/>
    <w:rsid w:val="00432794"/>
    <w:rsid w:val="004330D9"/>
    <w:rsid w:val="004341BB"/>
    <w:rsid w:val="0043468E"/>
    <w:rsid w:val="00434BB6"/>
    <w:rsid w:val="00434C05"/>
    <w:rsid w:val="00434E87"/>
    <w:rsid w:val="00435753"/>
    <w:rsid w:val="004357AD"/>
    <w:rsid w:val="00435C62"/>
    <w:rsid w:val="00436012"/>
    <w:rsid w:val="0043653E"/>
    <w:rsid w:val="00436B8F"/>
    <w:rsid w:val="00436FA3"/>
    <w:rsid w:val="00437056"/>
    <w:rsid w:val="00437595"/>
    <w:rsid w:val="004400BF"/>
    <w:rsid w:val="00440A0C"/>
    <w:rsid w:val="00440E03"/>
    <w:rsid w:val="00442711"/>
    <w:rsid w:val="00443DDE"/>
    <w:rsid w:val="00444D07"/>
    <w:rsid w:val="00445B5F"/>
    <w:rsid w:val="00445C9D"/>
    <w:rsid w:val="00446075"/>
    <w:rsid w:val="00446198"/>
    <w:rsid w:val="004470C8"/>
    <w:rsid w:val="00447A00"/>
    <w:rsid w:val="00447C9A"/>
    <w:rsid w:val="00447EEA"/>
    <w:rsid w:val="004503F1"/>
    <w:rsid w:val="0045130D"/>
    <w:rsid w:val="004517F4"/>
    <w:rsid w:val="0045189A"/>
    <w:rsid w:val="004519CE"/>
    <w:rsid w:val="00451CD1"/>
    <w:rsid w:val="0045214D"/>
    <w:rsid w:val="0045298B"/>
    <w:rsid w:val="0045335A"/>
    <w:rsid w:val="00453551"/>
    <w:rsid w:val="0045383D"/>
    <w:rsid w:val="00453BC1"/>
    <w:rsid w:val="00453D71"/>
    <w:rsid w:val="00455F01"/>
    <w:rsid w:val="00457B9B"/>
    <w:rsid w:val="0046025F"/>
    <w:rsid w:val="00460261"/>
    <w:rsid w:val="004602FC"/>
    <w:rsid w:val="0046034A"/>
    <w:rsid w:val="004604D0"/>
    <w:rsid w:val="00460607"/>
    <w:rsid w:val="00460E6E"/>
    <w:rsid w:val="00462973"/>
    <w:rsid w:val="00462DBE"/>
    <w:rsid w:val="00462FAC"/>
    <w:rsid w:val="00463226"/>
    <w:rsid w:val="004632FA"/>
    <w:rsid w:val="00463666"/>
    <w:rsid w:val="004638A5"/>
    <w:rsid w:val="004638B2"/>
    <w:rsid w:val="00463DEB"/>
    <w:rsid w:val="004649B2"/>
    <w:rsid w:val="00465467"/>
    <w:rsid w:val="00465C8A"/>
    <w:rsid w:val="004678D7"/>
    <w:rsid w:val="004701EE"/>
    <w:rsid w:val="004705D5"/>
    <w:rsid w:val="00470B3C"/>
    <w:rsid w:val="004711D6"/>
    <w:rsid w:val="0047128E"/>
    <w:rsid w:val="0047189C"/>
    <w:rsid w:val="00471B7A"/>
    <w:rsid w:val="00472BC3"/>
    <w:rsid w:val="00473970"/>
    <w:rsid w:val="0047404F"/>
    <w:rsid w:val="004747C4"/>
    <w:rsid w:val="00474948"/>
    <w:rsid w:val="00474F6E"/>
    <w:rsid w:val="00475048"/>
    <w:rsid w:val="00475AD0"/>
    <w:rsid w:val="004767AF"/>
    <w:rsid w:val="00476B2F"/>
    <w:rsid w:val="00476CF2"/>
    <w:rsid w:val="004804DB"/>
    <w:rsid w:val="00480A42"/>
    <w:rsid w:val="00481080"/>
    <w:rsid w:val="00481858"/>
    <w:rsid w:val="004825D1"/>
    <w:rsid w:val="00482D3C"/>
    <w:rsid w:val="004842B0"/>
    <w:rsid w:val="00484CBD"/>
    <w:rsid w:val="00484F42"/>
    <w:rsid w:val="00485498"/>
    <w:rsid w:val="00485751"/>
    <w:rsid w:val="0048586D"/>
    <w:rsid w:val="004875D4"/>
    <w:rsid w:val="004876AA"/>
    <w:rsid w:val="00490A77"/>
    <w:rsid w:val="004911BE"/>
    <w:rsid w:val="00491360"/>
    <w:rsid w:val="004917A0"/>
    <w:rsid w:val="0049211F"/>
    <w:rsid w:val="004939CA"/>
    <w:rsid w:val="00493B32"/>
    <w:rsid w:val="00493BEE"/>
    <w:rsid w:val="0049426C"/>
    <w:rsid w:val="0049557C"/>
    <w:rsid w:val="00495A8F"/>
    <w:rsid w:val="00496973"/>
    <w:rsid w:val="004979A3"/>
    <w:rsid w:val="004A00B4"/>
    <w:rsid w:val="004A1414"/>
    <w:rsid w:val="004A1C78"/>
    <w:rsid w:val="004A1DAA"/>
    <w:rsid w:val="004A21B9"/>
    <w:rsid w:val="004A2B37"/>
    <w:rsid w:val="004A3495"/>
    <w:rsid w:val="004A3D5D"/>
    <w:rsid w:val="004A3FAB"/>
    <w:rsid w:val="004A413A"/>
    <w:rsid w:val="004A42B5"/>
    <w:rsid w:val="004A5D71"/>
    <w:rsid w:val="004A5E30"/>
    <w:rsid w:val="004A6694"/>
    <w:rsid w:val="004A72B7"/>
    <w:rsid w:val="004B0387"/>
    <w:rsid w:val="004B114F"/>
    <w:rsid w:val="004B1945"/>
    <w:rsid w:val="004B2943"/>
    <w:rsid w:val="004B35B9"/>
    <w:rsid w:val="004B37F5"/>
    <w:rsid w:val="004B38D0"/>
    <w:rsid w:val="004B4CD5"/>
    <w:rsid w:val="004B5088"/>
    <w:rsid w:val="004B6F02"/>
    <w:rsid w:val="004C02B9"/>
    <w:rsid w:val="004C073A"/>
    <w:rsid w:val="004C0F54"/>
    <w:rsid w:val="004C1205"/>
    <w:rsid w:val="004C150A"/>
    <w:rsid w:val="004C15CC"/>
    <w:rsid w:val="004C24B3"/>
    <w:rsid w:val="004C25E2"/>
    <w:rsid w:val="004C376A"/>
    <w:rsid w:val="004C3F32"/>
    <w:rsid w:val="004C440A"/>
    <w:rsid w:val="004C4F48"/>
    <w:rsid w:val="004C53FF"/>
    <w:rsid w:val="004C57B0"/>
    <w:rsid w:val="004C5E05"/>
    <w:rsid w:val="004C686C"/>
    <w:rsid w:val="004C7131"/>
    <w:rsid w:val="004D0001"/>
    <w:rsid w:val="004D0449"/>
    <w:rsid w:val="004D0FDD"/>
    <w:rsid w:val="004D1D59"/>
    <w:rsid w:val="004D2227"/>
    <w:rsid w:val="004D259E"/>
    <w:rsid w:val="004D338D"/>
    <w:rsid w:val="004D38BE"/>
    <w:rsid w:val="004D3E7A"/>
    <w:rsid w:val="004D4024"/>
    <w:rsid w:val="004D4123"/>
    <w:rsid w:val="004D4208"/>
    <w:rsid w:val="004D4916"/>
    <w:rsid w:val="004D5C26"/>
    <w:rsid w:val="004D647C"/>
    <w:rsid w:val="004D6ACA"/>
    <w:rsid w:val="004D6B6E"/>
    <w:rsid w:val="004D72E6"/>
    <w:rsid w:val="004D785F"/>
    <w:rsid w:val="004D7B74"/>
    <w:rsid w:val="004E0B42"/>
    <w:rsid w:val="004E15C8"/>
    <w:rsid w:val="004E15F5"/>
    <w:rsid w:val="004E17A9"/>
    <w:rsid w:val="004E235D"/>
    <w:rsid w:val="004E2BAA"/>
    <w:rsid w:val="004E2D35"/>
    <w:rsid w:val="004E2FC1"/>
    <w:rsid w:val="004E351C"/>
    <w:rsid w:val="004E37E8"/>
    <w:rsid w:val="004E4650"/>
    <w:rsid w:val="004E47D0"/>
    <w:rsid w:val="004E515A"/>
    <w:rsid w:val="004E536E"/>
    <w:rsid w:val="004E5EBB"/>
    <w:rsid w:val="004E612E"/>
    <w:rsid w:val="004E77D9"/>
    <w:rsid w:val="004E7D76"/>
    <w:rsid w:val="004F0473"/>
    <w:rsid w:val="004F0DBB"/>
    <w:rsid w:val="004F0E38"/>
    <w:rsid w:val="004F10F3"/>
    <w:rsid w:val="004F12B4"/>
    <w:rsid w:val="004F1C4B"/>
    <w:rsid w:val="004F206E"/>
    <w:rsid w:val="004F2579"/>
    <w:rsid w:val="004F3BA4"/>
    <w:rsid w:val="004F3F98"/>
    <w:rsid w:val="004F4132"/>
    <w:rsid w:val="004F4C8C"/>
    <w:rsid w:val="004F5652"/>
    <w:rsid w:val="004F5890"/>
    <w:rsid w:val="004F5E3B"/>
    <w:rsid w:val="004F635A"/>
    <w:rsid w:val="004F6D7B"/>
    <w:rsid w:val="004F6EC3"/>
    <w:rsid w:val="004F72DD"/>
    <w:rsid w:val="004F7532"/>
    <w:rsid w:val="004F7714"/>
    <w:rsid w:val="004F79DF"/>
    <w:rsid w:val="005001BC"/>
    <w:rsid w:val="00500C45"/>
    <w:rsid w:val="005010FA"/>
    <w:rsid w:val="005011F9"/>
    <w:rsid w:val="00501B80"/>
    <w:rsid w:val="005024C8"/>
    <w:rsid w:val="00502927"/>
    <w:rsid w:val="00502F08"/>
    <w:rsid w:val="0050340D"/>
    <w:rsid w:val="00503F4F"/>
    <w:rsid w:val="00504695"/>
    <w:rsid w:val="005048E5"/>
    <w:rsid w:val="00504A39"/>
    <w:rsid w:val="00504C6C"/>
    <w:rsid w:val="0050536C"/>
    <w:rsid w:val="00505C53"/>
    <w:rsid w:val="00505EF3"/>
    <w:rsid w:val="00506B74"/>
    <w:rsid w:val="00507341"/>
    <w:rsid w:val="005077F3"/>
    <w:rsid w:val="005079DD"/>
    <w:rsid w:val="00507CB1"/>
    <w:rsid w:val="00507F83"/>
    <w:rsid w:val="00507FF5"/>
    <w:rsid w:val="00511434"/>
    <w:rsid w:val="00511C0D"/>
    <w:rsid w:val="00511F5F"/>
    <w:rsid w:val="005121D2"/>
    <w:rsid w:val="00512678"/>
    <w:rsid w:val="00512861"/>
    <w:rsid w:val="00514567"/>
    <w:rsid w:val="00514D66"/>
    <w:rsid w:val="00514D9F"/>
    <w:rsid w:val="005154CE"/>
    <w:rsid w:val="00515D22"/>
    <w:rsid w:val="00515D35"/>
    <w:rsid w:val="0051601A"/>
    <w:rsid w:val="00516238"/>
    <w:rsid w:val="00516FB2"/>
    <w:rsid w:val="005178D2"/>
    <w:rsid w:val="00517F1E"/>
    <w:rsid w:val="00517FBF"/>
    <w:rsid w:val="0052021D"/>
    <w:rsid w:val="005207D9"/>
    <w:rsid w:val="00521568"/>
    <w:rsid w:val="005222E3"/>
    <w:rsid w:val="0052232E"/>
    <w:rsid w:val="00522477"/>
    <w:rsid w:val="00522EDF"/>
    <w:rsid w:val="0052397F"/>
    <w:rsid w:val="0052457D"/>
    <w:rsid w:val="0052459D"/>
    <w:rsid w:val="00524724"/>
    <w:rsid w:val="00525747"/>
    <w:rsid w:val="00525E14"/>
    <w:rsid w:val="0052658A"/>
    <w:rsid w:val="00527D81"/>
    <w:rsid w:val="005312DD"/>
    <w:rsid w:val="005318C4"/>
    <w:rsid w:val="005326E7"/>
    <w:rsid w:val="00533332"/>
    <w:rsid w:val="00533430"/>
    <w:rsid w:val="0053374F"/>
    <w:rsid w:val="00533886"/>
    <w:rsid w:val="00533C9B"/>
    <w:rsid w:val="005341AD"/>
    <w:rsid w:val="00534363"/>
    <w:rsid w:val="00534ACD"/>
    <w:rsid w:val="00534BDB"/>
    <w:rsid w:val="00534C5B"/>
    <w:rsid w:val="0053592F"/>
    <w:rsid w:val="00536190"/>
    <w:rsid w:val="0053698C"/>
    <w:rsid w:val="00536F26"/>
    <w:rsid w:val="00537B01"/>
    <w:rsid w:val="00537FBE"/>
    <w:rsid w:val="005406D3"/>
    <w:rsid w:val="00540A78"/>
    <w:rsid w:val="00541BD7"/>
    <w:rsid w:val="00541CD5"/>
    <w:rsid w:val="00541DC6"/>
    <w:rsid w:val="00541DED"/>
    <w:rsid w:val="005420EE"/>
    <w:rsid w:val="00542EE0"/>
    <w:rsid w:val="0054382F"/>
    <w:rsid w:val="00543E98"/>
    <w:rsid w:val="0054441B"/>
    <w:rsid w:val="00544DC4"/>
    <w:rsid w:val="005450C4"/>
    <w:rsid w:val="005451CE"/>
    <w:rsid w:val="005462F7"/>
    <w:rsid w:val="005473D0"/>
    <w:rsid w:val="00551648"/>
    <w:rsid w:val="005518A6"/>
    <w:rsid w:val="00551A42"/>
    <w:rsid w:val="00552DCA"/>
    <w:rsid w:val="0055310B"/>
    <w:rsid w:val="00553CEA"/>
    <w:rsid w:val="00554304"/>
    <w:rsid w:val="005543FA"/>
    <w:rsid w:val="00554D3B"/>
    <w:rsid w:val="00555700"/>
    <w:rsid w:val="00555BF2"/>
    <w:rsid w:val="00555F2F"/>
    <w:rsid w:val="00556941"/>
    <w:rsid w:val="00556CE8"/>
    <w:rsid w:val="00560326"/>
    <w:rsid w:val="005605D6"/>
    <w:rsid w:val="00560624"/>
    <w:rsid w:val="00561312"/>
    <w:rsid w:val="005614AB"/>
    <w:rsid w:val="00561C95"/>
    <w:rsid w:val="00562E14"/>
    <w:rsid w:val="00564B0F"/>
    <w:rsid w:val="00565626"/>
    <w:rsid w:val="00565EA0"/>
    <w:rsid w:val="0056670D"/>
    <w:rsid w:val="00567278"/>
    <w:rsid w:val="005676AE"/>
    <w:rsid w:val="00567BA7"/>
    <w:rsid w:val="00567C1C"/>
    <w:rsid w:val="00570512"/>
    <w:rsid w:val="00570588"/>
    <w:rsid w:val="005708FF"/>
    <w:rsid w:val="00570C06"/>
    <w:rsid w:val="00570D82"/>
    <w:rsid w:val="00571025"/>
    <w:rsid w:val="00571AC3"/>
    <w:rsid w:val="005725C1"/>
    <w:rsid w:val="00572AE1"/>
    <w:rsid w:val="00572E15"/>
    <w:rsid w:val="00573151"/>
    <w:rsid w:val="00574051"/>
    <w:rsid w:val="00574E60"/>
    <w:rsid w:val="005759FC"/>
    <w:rsid w:val="00575EA2"/>
    <w:rsid w:val="0057619B"/>
    <w:rsid w:val="00576246"/>
    <w:rsid w:val="005768F1"/>
    <w:rsid w:val="005769F0"/>
    <w:rsid w:val="00576D6A"/>
    <w:rsid w:val="005774E2"/>
    <w:rsid w:val="00577603"/>
    <w:rsid w:val="00577723"/>
    <w:rsid w:val="00577D4E"/>
    <w:rsid w:val="0058040E"/>
    <w:rsid w:val="00581005"/>
    <w:rsid w:val="005811D5"/>
    <w:rsid w:val="00581BB1"/>
    <w:rsid w:val="00582166"/>
    <w:rsid w:val="00582230"/>
    <w:rsid w:val="00582E03"/>
    <w:rsid w:val="0058450C"/>
    <w:rsid w:val="00584915"/>
    <w:rsid w:val="0058651A"/>
    <w:rsid w:val="00587119"/>
    <w:rsid w:val="00587B7B"/>
    <w:rsid w:val="005907AD"/>
    <w:rsid w:val="00592DB4"/>
    <w:rsid w:val="00593A74"/>
    <w:rsid w:val="00594471"/>
    <w:rsid w:val="00594C10"/>
    <w:rsid w:val="0059510C"/>
    <w:rsid w:val="00595270"/>
    <w:rsid w:val="00595D5A"/>
    <w:rsid w:val="00596111"/>
    <w:rsid w:val="005969B9"/>
    <w:rsid w:val="005975B1"/>
    <w:rsid w:val="00597C99"/>
    <w:rsid w:val="005A0126"/>
    <w:rsid w:val="005A09B0"/>
    <w:rsid w:val="005A11AB"/>
    <w:rsid w:val="005A199C"/>
    <w:rsid w:val="005A24F4"/>
    <w:rsid w:val="005A2632"/>
    <w:rsid w:val="005A27B0"/>
    <w:rsid w:val="005A28E9"/>
    <w:rsid w:val="005A291E"/>
    <w:rsid w:val="005A292B"/>
    <w:rsid w:val="005A2DB0"/>
    <w:rsid w:val="005A3321"/>
    <w:rsid w:val="005A33C4"/>
    <w:rsid w:val="005A3C79"/>
    <w:rsid w:val="005A4131"/>
    <w:rsid w:val="005A5269"/>
    <w:rsid w:val="005A5CB4"/>
    <w:rsid w:val="005A68F0"/>
    <w:rsid w:val="005A6ABE"/>
    <w:rsid w:val="005A7109"/>
    <w:rsid w:val="005A7813"/>
    <w:rsid w:val="005B064A"/>
    <w:rsid w:val="005B0F1C"/>
    <w:rsid w:val="005B1111"/>
    <w:rsid w:val="005B167D"/>
    <w:rsid w:val="005B1F56"/>
    <w:rsid w:val="005B2DAF"/>
    <w:rsid w:val="005B42BE"/>
    <w:rsid w:val="005B4CC1"/>
    <w:rsid w:val="005B4CCF"/>
    <w:rsid w:val="005B4D1B"/>
    <w:rsid w:val="005B4D7E"/>
    <w:rsid w:val="005B6FC1"/>
    <w:rsid w:val="005B7121"/>
    <w:rsid w:val="005B74D5"/>
    <w:rsid w:val="005B7559"/>
    <w:rsid w:val="005B78D9"/>
    <w:rsid w:val="005B7BD2"/>
    <w:rsid w:val="005C0451"/>
    <w:rsid w:val="005C254E"/>
    <w:rsid w:val="005C2955"/>
    <w:rsid w:val="005C2B1C"/>
    <w:rsid w:val="005C2DE7"/>
    <w:rsid w:val="005C350B"/>
    <w:rsid w:val="005C36AC"/>
    <w:rsid w:val="005C3A08"/>
    <w:rsid w:val="005C3C51"/>
    <w:rsid w:val="005C3F51"/>
    <w:rsid w:val="005C4D9C"/>
    <w:rsid w:val="005C57FE"/>
    <w:rsid w:val="005C5A87"/>
    <w:rsid w:val="005C66D0"/>
    <w:rsid w:val="005C76C9"/>
    <w:rsid w:val="005C77BA"/>
    <w:rsid w:val="005C7821"/>
    <w:rsid w:val="005C7C5B"/>
    <w:rsid w:val="005D0123"/>
    <w:rsid w:val="005D0770"/>
    <w:rsid w:val="005D157F"/>
    <w:rsid w:val="005D1852"/>
    <w:rsid w:val="005D1DFA"/>
    <w:rsid w:val="005D2AF7"/>
    <w:rsid w:val="005D2BF8"/>
    <w:rsid w:val="005D38C9"/>
    <w:rsid w:val="005D3EA4"/>
    <w:rsid w:val="005D4A03"/>
    <w:rsid w:val="005D4BCC"/>
    <w:rsid w:val="005D60DA"/>
    <w:rsid w:val="005D6357"/>
    <w:rsid w:val="005D6932"/>
    <w:rsid w:val="005D74B7"/>
    <w:rsid w:val="005D79AC"/>
    <w:rsid w:val="005D7D0D"/>
    <w:rsid w:val="005D7DF4"/>
    <w:rsid w:val="005D7FE5"/>
    <w:rsid w:val="005E000F"/>
    <w:rsid w:val="005E024B"/>
    <w:rsid w:val="005E081D"/>
    <w:rsid w:val="005E0864"/>
    <w:rsid w:val="005E137F"/>
    <w:rsid w:val="005E1D4B"/>
    <w:rsid w:val="005E1F55"/>
    <w:rsid w:val="005E204E"/>
    <w:rsid w:val="005E21A4"/>
    <w:rsid w:val="005E26E4"/>
    <w:rsid w:val="005E32EB"/>
    <w:rsid w:val="005E32F7"/>
    <w:rsid w:val="005E3C43"/>
    <w:rsid w:val="005E3D15"/>
    <w:rsid w:val="005E3E14"/>
    <w:rsid w:val="005E4100"/>
    <w:rsid w:val="005E5018"/>
    <w:rsid w:val="005E5140"/>
    <w:rsid w:val="005E5705"/>
    <w:rsid w:val="005E579F"/>
    <w:rsid w:val="005E6630"/>
    <w:rsid w:val="005E71E7"/>
    <w:rsid w:val="005E794B"/>
    <w:rsid w:val="005E7B87"/>
    <w:rsid w:val="005F0172"/>
    <w:rsid w:val="005F050B"/>
    <w:rsid w:val="005F08EC"/>
    <w:rsid w:val="005F0A02"/>
    <w:rsid w:val="005F0DDA"/>
    <w:rsid w:val="005F10DA"/>
    <w:rsid w:val="005F1D79"/>
    <w:rsid w:val="005F1FAF"/>
    <w:rsid w:val="005F24C0"/>
    <w:rsid w:val="005F3417"/>
    <w:rsid w:val="005F3BA3"/>
    <w:rsid w:val="005F3E16"/>
    <w:rsid w:val="005F4377"/>
    <w:rsid w:val="005F5976"/>
    <w:rsid w:val="005F5FA6"/>
    <w:rsid w:val="005F61B8"/>
    <w:rsid w:val="005F6A64"/>
    <w:rsid w:val="005F6CB4"/>
    <w:rsid w:val="005F730A"/>
    <w:rsid w:val="005F744F"/>
    <w:rsid w:val="005F7A96"/>
    <w:rsid w:val="00600504"/>
    <w:rsid w:val="00600B3F"/>
    <w:rsid w:val="00600C45"/>
    <w:rsid w:val="00600E8E"/>
    <w:rsid w:val="00602172"/>
    <w:rsid w:val="00602CA3"/>
    <w:rsid w:val="00602EA7"/>
    <w:rsid w:val="006034D1"/>
    <w:rsid w:val="0060394E"/>
    <w:rsid w:val="00604DC4"/>
    <w:rsid w:val="00605187"/>
    <w:rsid w:val="00605716"/>
    <w:rsid w:val="00605CBD"/>
    <w:rsid w:val="00606786"/>
    <w:rsid w:val="0060679C"/>
    <w:rsid w:val="0060691B"/>
    <w:rsid w:val="00606C23"/>
    <w:rsid w:val="00606ED3"/>
    <w:rsid w:val="006071E2"/>
    <w:rsid w:val="006074C4"/>
    <w:rsid w:val="0060771D"/>
    <w:rsid w:val="006077DB"/>
    <w:rsid w:val="0061008D"/>
    <w:rsid w:val="00610EFF"/>
    <w:rsid w:val="0061109C"/>
    <w:rsid w:val="0061184A"/>
    <w:rsid w:val="006124F3"/>
    <w:rsid w:val="00612550"/>
    <w:rsid w:val="00612EEE"/>
    <w:rsid w:val="006131F2"/>
    <w:rsid w:val="00613243"/>
    <w:rsid w:val="00613832"/>
    <w:rsid w:val="00613F88"/>
    <w:rsid w:val="00614269"/>
    <w:rsid w:val="00614379"/>
    <w:rsid w:val="0061465B"/>
    <w:rsid w:val="00614953"/>
    <w:rsid w:val="00614B21"/>
    <w:rsid w:val="006150AC"/>
    <w:rsid w:val="00615977"/>
    <w:rsid w:val="00615EDC"/>
    <w:rsid w:val="00616283"/>
    <w:rsid w:val="0061636C"/>
    <w:rsid w:val="00617123"/>
    <w:rsid w:val="00620D12"/>
    <w:rsid w:val="00620E91"/>
    <w:rsid w:val="00621064"/>
    <w:rsid w:val="00621499"/>
    <w:rsid w:val="006216DD"/>
    <w:rsid w:val="00621CFC"/>
    <w:rsid w:val="00622824"/>
    <w:rsid w:val="00622A8F"/>
    <w:rsid w:val="00622CC5"/>
    <w:rsid w:val="00622E3C"/>
    <w:rsid w:val="00622F05"/>
    <w:rsid w:val="006230A1"/>
    <w:rsid w:val="006230DE"/>
    <w:rsid w:val="00624195"/>
    <w:rsid w:val="006246AB"/>
    <w:rsid w:val="00625556"/>
    <w:rsid w:val="0062598C"/>
    <w:rsid w:val="006260D2"/>
    <w:rsid w:val="0062612F"/>
    <w:rsid w:val="0062633F"/>
    <w:rsid w:val="0062698B"/>
    <w:rsid w:val="00626A2B"/>
    <w:rsid w:val="00627CB1"/>
    <w:rsid w:val="00630198"/>
    <w:rsid w:val="00630910"/>
    <w:rsid w:val="00631863"/>
    <w:rsid w:val="00631B8E"/>
    <w:rsid w:val="00631D31"/>
    <w:rsid w:val="00631EB5"/>
    <w:rsid w:val="00631F68"/>
    <w:rsid w:val="0063328E"/>
    <w:rsid w:val="00633A9E"/>
    <w:rsid w:val="00634947"/>
    <w:rsid w:val="00634B47"/>
    <w:rsid w:val="006356B1"/>
    <w:rsid w:val="00635AA6"/>
    <w:rsid w:val="00635DFD"/>
    <w:rsid w:val="006373BB"/>
    <w:rsid w:val="00637DE1"/>
    <w:rsid w:val="0064122C"/>
    <w:rsid w:val="006417AD"/>
    <w:rsid w:val="00641FF5"/>
    <w:rsid w:val="006429E6"/>
    <w:rsid w:val="00642B3F"/>
    <w:rsid w:val="006444BB"/>
    <w:rsid w:val="00644B1C"/>
    <w:rsid w:val="00644C63"/>
    <w:rsid w:val="00644D4E"/>
    <w:rsid w:val="00645197"/>
    <w:rsid w:val="006452CF"/>
    <w:rsid w:val="006462AD"/>
    <w:rsid w:val="00646A69"/>
    <w:rsid w:val="00646ED6"/>
    <w:rsid w:val="00647C8C"/>
    <w:rsid w:val="00647E70"/>
    <w:rsid w:val="0065057B"/>
    <w:rsid w:val="00650DF3"/>
    <w:rsid w:val="00650E6A"/>
    <w:rsid w:val="006514B7"/>
    <w:rsid w:val="006516CE"/>
    <w:rsid w:val="006517DE"/>
    <w:rsid w:val="00651CD5"/>
    <w:rsid w:val="00652784"/>
    <w:rsid w:val="00652CCD"/>
    <w:rsid w:val="00652FC3"/>
    <w:rsid w:val="006535C4"/>
    <w:rsid w:val="00653A97"/>
    <w:rsid w:val="00653F31"/>
    <w:rsid w:val="0065403A"/>
    <w:rsid w:val="0065452C"/>
    <w:rsid w:val="00654BB3"/>
    <w:rsid w:val="00654CC4"/>
    <w:rsid w:val="00654F7F"/>
    <w:rsid w:val="006552AD"/>
    <w:rsid w:val="00655330"/>
    <w:rsid w:val="00655876"/>
    <w:rsid w:val="006562C7"/>
    <w:rsid w:val="00656388"/>
    <w:rsid w:val="00657067"/>
    <w:rsid w:val="006572A7"/>
    <w:rsid w:val="00660608"/>
    <w:rsid w:val="00660A70"/>
    <w:rsid w:val="00660C9F"/>
    <w:rsid w:val="00661094"/>
    <w:rsid w:val="0066121B"/>
    <w:rsid w:val="00661460"/>
    <w:rsid w:val="006625A9"/>
    <w:rsid w:val="00662D9D"/>
    <w:rsid w:val="0066370E"/>
    <w:rsid w:val="00663B21"/>
    <w:rsid w:val="00664436"/>
    <w:rsid w:val="00664C75"/>
    <w:rsid w:val="00665044"/>
    <w:rsid w:val="0066504B"/>
    <w:rsid w:val="00665981"/>
    <w:rsid w:val="00665C04"/>
    <w:rsid w:val="006662E6"/>
    <w:rsid w:val="006675E3"/>
    <w:rsid w:val="006676EB"/>
    <w:rsid w:val="00667963"/>
    <w:rsid w:val="00667A07"/>
    <w:rsid w:val="00667D97"/>
    <w:rsid w:val="00667F52"/>
    <w:rsid w:val="00667FAD"/>
    <w:rsid w:val="006704B4"/>
    <w:rsid w:val="006715C4"/>
    <w:rsid w:val="00671610"/>
    <w:rsid w:val="00672DEE"/>
    <w:rsid w:val="00672FFB"/>
    <w:rsid w:val="0067386E"/>
    <w:rsid w:val="00674B62"/>
    <w:rsid w:val="006760F3"/>
    <w:rsid w:val="00676753"/>
    <w:rsid w:val="00676A18"/>
    <w:rsid w:val="00677174"/>
    <w:rsid w:val="006777FA"/>
    <w:rsid w:val="00677B5A"/>
    <w:rsid w:val="00680141"/>
    <w:rsid w:val="00680266"/>
    <w:rsid w:val="006802E2"/>
    <w:rsid w:val="0068055D"/>
    <w:rsid w:val="006809F4"/>
    <w:rsid w:val="006811AF"/>
    <w:rsid w:val="006815A8"/>
    <w:rsid w:val="006815BB"/>
    <w:rsid w:val="006816DB"/>
    <w:rsid w:val="0068194C"/>
    <w:rsid w:val="00682747"/>
    <w:rsid w:val="006829E7"/>
    <w:rsid w:val="006835C8"/>
    <w:rsid w:val="00684E1D"/>
    <w:rsid w:val="006853B7"/>
    <w:rsid w:val="0068604E"/>
    <w:rsid w:val="00686720"/>
    <w:rsid w:val="00686D5D"/>
    <w:rsid w:val="0069030D"/>
    <w:rsid w:val="00690469"/>
    <w:rsid w:val="00690A11"/>
    <w:rsid w:val="00690B94"/>
    <w:rsid w:val="00690BD1"/>
    <w:rsid w:val="006914CE"/>
    <w:rsid w:val="0069152A"/>
    <w:rsid w:val="00691923"/>
    <w:rsid w:val="00691E64"/>
    <w:rsid w:val="00692059"/>
    <w:rsid w:val="006920E0"/>
    <w:rsid w:val="00692176"/>
    <w:rsid w:val="006937CC"/>
    <w:rsid w:val="0069384D"/>
    <w:rsid w:val="0069439C"/>
    <w:rsid w:val="00694BC7"/>
    <w:rsid w:val="00694D23"/>
    <w:rsid w:val="006956C7"/>
    <w:rsid w:val="00696129"/>
    <w:rsid w:val="00696550"/>
    <w:rsid w:val="00696EB4"/>
    <w:rsid w:val="00697E0F"/>
    <w:rsid w:val="00697E80"/>
    <w:rsid w:val="006A0045"/>
    <w:rsid w:val="006A0207"/>
    <w:rsid w:val="006A0306"/>
    <w:rsid w:val="006A06B9"/>
    <w:rsid w:val="006A1E7F"/>
    <w:rsid w:val="006A2B91"/>
    <w:rsid w:val="006A30D4"/>
    <w:rsid w:val="006A3429"/>
    <w:rsid w:val="006A37EB"/>
    <w:rsid w:val="006A4151"/>
    <w:rsid w:val="006A5375"/>
    <w:rsid w:val="006A558F"/>
    <w:rsid w:val="006A59CE"/>
    <w:rsid w:val="006A5C33"/>
    <w:rsid w:val="006A5D4D"/>
    <w:rsid w:val="006A6C8B"/>
    <w:rsid w:val="006A6D90"/>
    <w:rsid w:val="006A710C"/>
    <w:rsid w:val="006A7DA0"/>
    <w:rsid w:val="006A7E87"/>
    <w:rsid w:val="006B0FA2"/>
    <w:rsid w:val="006B1146"/>
    <w:rsid w:val="006B165C"/>
    <w:rsid w:val="006B1662"/>
    <w:rsid w:val="006B1894"/>
    <w:rsid w:val="006B1BC9"/>
    <w:rsid w:val="006B2797"/>
    <w:rsid w:val="006B38A8"/>
    <w:rsid w:val="006B3C6C"/>
    <w:rsid w:val="006B3FE8"/>
    <w:rsid w:val="006B4E4B"/>
    <w:rsid w:val="006B5455"/>
    <w:rsid w:val="006B5695"/>
    <w:rsid w:val="006B5703"/>
    <w:rsid w:val="006B6057"/>
    <w:rsid w:val="006B696A"/>
    <w:rsid w:val="006B6BED"/>
    <w:rsid w:val="006B6E97"/>
    <w:rsid w:val="006C07DD"/>
    <w:rsid w:val="006C0CAE"/>
    <w:rsid w:val="006C1994"/>
    <w:rsid w:val="006C1A1B"/>
    <w:rsid w:val="006C1F29"/>
    <w:rsid w:val="006C212F"/>
    <w:rsid w:val="006C215A"/>
    <w:rsid w:val="006C2848"/>
    <w:rsid w:val="006C2C8E"/>
    <w:rsid w:val="006C316E"/>
    <w:rsid w:val="006C32C6"/>
    <w:rsid w:val="006C3391"/>
    <w:rsid w:val="006C36B1"/>
    <w:rsid w:val="006C3CD9"/>
    <w:rsid w:val="006C4087"/>
    <w:rsid w:val="006C4D13"/>
    <w:rsid w:val="006C501E"/>
    <w:rsid w:val="006C5595"/>
    <w:rsid w:val="006C55D1"/>
    <w:rsid w:val="006C5C30"/>
    <w:rsid w:val="006C5EFE"/>
    <w:rsid w:val="006C7998"/>
    <w:rsid w:val="006D0B56"/>
    <w:rsid w:val="006D0B69"/>
    <w:rsid w:val="006D12CB"/>
    <w:rsid w:val="006D12E1"/>
    <w:rsid w:val="006D2B31"/>
    <w:rsid w:val="006D2B45"/>
    <w:rsid w:val="006D2D57"/>
    <w:rsid w:val="006D2D87"/>
    <w:rsid w:val="006D339B"/>
    <w:rsid w:val="006D3576"/>
    <w:rsid w:val="006D3A2F"/>
    <w:rsid w:val="006D3B51"/>
    <w:rsid w:val="006D3CC8"/>
    <w:rsid w:val="006D4719"/>
    <w:rsid w:val="006D5038"/>
    <w:rsid w:val="006D504D"/>
    <w:rsid w:val="006D59E0"/>
    <w:rsid w:val="006D5B93"/>
    <w:rsid w:val="006D60B5"/>
    <w:rsid w:val="006D6133"/>
    <w:rsid w:val="006D6DA6"/>
    <w:rsid w:val="006D6FD7"/>
    <w:rsid w:val="006D7C44"/>
    <w:rsid w:val="006E0281"/>
    <w:rsid w:val="006E0400"/>
    <w:rsid w:val="006E0635"/>
    <w:rsid w:val="006E1D3F"/>
    <w:rsid w:val="006E1E36"/>
    <w:rsid w:val="006E2000"/>
    <w:rsid w:val="006E22F5"/>
    <w:rsid w:val="006E262B"/>
    <w:rsid w:val="006E2798"/>
    <w:rsid w:val="006E2BB2"/>
    <w:rsid w:val="006E36CD"/>
    <w:rsid w:val="006E381D"/>
    <w:rsid w:val="006E3D7F"/>
    <w:rsid w:val="006E3F65"/>
    <w:rsid w:val="006E3FDD"/>
    <w:rsid w:val="006E4DC4"/>
    <w:rsid w:val="006E5210"/>
    <w:rsid w:val="006E5673"/>
    <w:rsid w:val="006E5B16"/>
    <w:rsid w:val="006E5F28"/>
    <w:rsid w:val="006E6321"/>
    <w:rsid w:val="006E720E"/>
    <w:rsid w:val="006E7537"/>
    <w:rsid w:val="006E79AA"/>
    <w:rsid w:val="006E7A4F"/>
    <w:rsid w:val="006E7D5B"/>
    <w:rsid w:val="006E7E9C"/>
    <w:rsid w:val="006F04D8"/>
    <w:rsid w:val="006F0659"/>
    <w:rsid w:val="006F083E"/>
    <w:rsid w:val="006F125D"/>
    <w:rsid w:val="006F1C89"/>
    <w:rsid w:val="006F2129"/>
    <w:rsid w:val="006F218C"/>
    <w:rsid w:val="006F3348"/>
    <w:rsid w:val="006F3860"/>
    <w:rsid w:val="006F3A9C"/>
    <w:rsid w:val="006F505E"/>
    <w:rsid w:val="006F65C6"/>
    <w:rsid w:val="006F6C84"/>
    <w:rsid w:val="00700487"/>
    <w:rsid w:val="00700A09"/>
    <w:rsid w:val="00700BB7"/>
    <w:rsid w:val="00700D7E"/>
    <w:rsid w:val="007014E7"/>
    <w:rsid w:val="00702236"/>
    <w:rsid w:val="007026FD"/>
    <w:rsid w:val="0070366C"/>
    <w:rsid w:val="00703946"/>
    <w:rsid w:val="007041AD"/>
    <w:rsid w:val="00704943"/>
    <w:rsid w:val="00704CAC"/>
    <w:rsid w:val="00705408"/>
    <w:rsid w:val="00707CC5"/>
    <w:rsid w:val="007100F8"/>
    <w:rsid w:val="0071029D"/>
    <w:rsid w:val="00710318"/>
    <w:rsid w:val="00710528"/>
    <w:rsid w:val="00710D2E"/>
    <w:rsid w:val="007120A5"/>
    <w:rsid w:val="007122FB"/>
    <w:rsid w:val="007127A4"/>
    <w:rsid w:val="007129C2"/>
    <w:rsid w:val="00713B21"/>
    <w:rsid w:val="007141B1"/>
    <w:rsid w:val="00714C16"/>
    <w:rsid w:val="00714CC9"/>
    <w:rsid w:val="0071583F"/>
    <w:rsid w:val="007158EA"/>
    <w:rsid w:val="00715A8F"/>
    <w:rsid w:val="00716043"/>
    <w:rsid w:val="00716069"/>
    <w:rsid w:val="007163B0"/>
    <w:rsid w:val="0071642A"/>
    <w:rsid w:val="00716597"/>
    <w:rsid w:val="00716EA4"/>
    <w:rsid w:val="007177D0"/>
    <w:rsid w:val="00720DED"/>
    <w:rsid w:val="007213D8"/>
    <w:rsid w:val="00721789"/>
    <w:rsid w:val="00722A57"/>
    <w:rsid w:val="00722CBB"/>
    <w:rsid w:val="00723F81"/>
    <w:rsid w:val="00724431"/>
    <w:rsid w:val="0072450F"/>
    <w:rsid w:val="00725169"/>
    <w:rsid w:val="007254F0"/>
    <w:rsid w:val="00725679"/>
    <w:rsid w:val="00726919"/>
    <w:rsid w:val="0072707F"/>
    <w:rsid w:val="00727112"/>
    <w:rsid w:val="0072715F"/>
    <w:rsid w:val="007271FC"/>
    <w:rsid w:val="00730055"/>
    <w:rsid w:val="00730741"/>
    <w:rsid w:val="00730775"/>
    <w:rsid w:val="00730957"/>
    <w:rsid w:val="00730C2C"/>
    <w:rsid w:val="007310CF"/>
    <w:rsid w:val="0073172D"/>
    <w:rsid w:val="00731ECA"/>
    <w:rsid w:val="00731F15"/>
    <w:rsid w:val="007325CD"/>
    <w:rsid w:val="00733428"/>
    <w:rsid w:val="0073367E"/>
    <w:rsid w:val="00733B44"/>
    <w:rsid w:val="00734285"/>
    <w:rsid w:val="007344BD"/>
    <w:rsid w:val="00734C6C"/>
    <w:rsid w:val="007351B4"/>
    <w:rsid w:val="007352E0"/>
    <w:rsid w:val="00735579"/>
    <w:rsid w:val="00735D61"/>
    <w:rsid w:val="00736ACE"/>
    <w:rsid w:val="00736CDE"/>
    <w:rsid w:val="00737C24"/>
    <w:rsid w:val="00737F37"/>
    <w:rsid w:val="00740114"/>
    <w:rsid w:val="007402CF"/>
    <w:rsid w:val="0074078B"/>
    <w:rsid w:val="00741509"/>
    <w:rsid w:val="00741855"/>
    <w:rsid w:val="00741938"/>
    <w:rsid w:val="00741EEA"/>
    <w:rsid w:val="00742B24"/>
    <w:rsid w:val="00742E89"/>
    <w:rsid w:val="00742EAF"/>
    <w:rsid w:val="00742EC5"/>
    <w:rsid w:val="00743E81"/>
    <w:rsid w:val="007443C9"/>
    <w:rsid w:val="00745406"/>
    <w:rsid w:val="00745485"/>
    <w:rsid w:val="00745C0F"/>
    <w:rsid w:val="00746042"/>
    <w:rsid w:val="007465BE"/>
    <w:rsid w:val="00746AA2"/>
    <w:rsid w:val="00746B8D"/>
    <w:rsid w:val="00750B95"/>
    <w:rsid w:val="00750EAC"/>
    <w:rsid w:val="00751885"/>
    <w:rsid w:val="00751EB5"/>
    <w:rsid w:val="00752BC1"/>
    <w:rsid w:val="00752E6F"/>
    <w:rsid w:val="0075316F"/>
    <w:rsid w:val="007531F5"/>
    <w:rsid w:val="0075345E"/>
    <w:rsid w:val="007538E1"/>
    <w:rsid w:val="00753F22"/>
    <w:rsid w:val="00754796"/>
    <w:rsid w:val="00755413"/>
    <w:rsid w:val="00756BA1"/>
    <w:rsid w:val="00757184"/>
    <w:rsid w:val="00760BF9"/>
    <w:rsid w:val="007612DA"/>
    <w:rsid w:val="00762247"/>
    <w:rsid w:val="00762438"/>
    <w:rsid w:val="007627F5"/>
    <w:rsid w:val="0076352E"/>
    <w:rsid w:val="00764265"/>
    <w:rsid w:val="00764DD3"/>
    <w:rsid w:val="0076587A"/>
    <w:rsid w:val="00765CB0"/>
    <w:rsid w:val="00765F21"/>
    <w:rsid w:val="00766801"/>
    <w:rsid w:val="00766B4E"/>
    <w:rsid w:val="00767476"/>
    <w:rsid w:val="007675A7"/>
    <w:rsid w:val="00767733"/>
    <w:rsid w:val="00770C24"/>
    <w:rsid w:val="0077118A"/>
    <w:rsid w:val="007719B2"/>
    <w:rsid w:val="007734D6"/>
    <w:rsid w:val="00773E9A"/>
    <w:rsid w:val="00774621"/>
    <w:rsid w:val="00774BDD"/>
    <w:rsid w:val="007750D0"/>
    <w:rsid w:val="007752A2"/>
    <w:rsid w:val="007755D0"/>
    <w:rsid w:val="00775999"/>
    <w:rsid w:val="0077599F"/>
    <w:rsid w:val="007764D4"/>
    <w:rsid w:val="007778CD"/>
    <w:rsid w:val="00777A6A"/>
    <w:rsid w:val="00777D6F"/>
    <w:rsid w:val="00777E0D"/>
    <w:rsid w:val="0078006A"/>
    <w:rsid w:val="00781623"/>
    <w:rsid w:val="007817A0"/>
    <w:rsid w:val="0078199A"/>
    <w:rsid w:val="00781E5D"/>
    <w:rsid w:val="00782035"/>
    <w:rsid w:val="007833D5"/>
    <w:rsid w:val="00783B0B"/>
    <w:rsid w:val="00783F20"/>
    <w:rsid w:val="00784DE6"/>
    <w:rsid w:val="00784E68"/>
    <w:rsid w:val="00785DAE"/>
    <w:rsid w:val="007865EE"/>
    <w:rsid w:val="00786606"/>
    <w:rsid w:val="0078684F"/>
    <w:rsid w:val="00786AF7"/>
    <w:rsid w:val="00787587"/>
    <w:rsid w:val="00787D4E"/>
    <w:rsid w:val="00787FD5"/>
    <w:rsid w:val="00790910"/>
    <w:rsid w:val="00790A82"/>
    <w:rsid w:val="00790F36"/>
    <w:rsid w:val="00791050"/>
    <w:rsid w:val="00791885"/>
    <w:rsid w:val="00791A2C"/>
    <w:rsid w:val="00791C61"/>
    <w:rsid w:val="00792235"/>
    <w:rsid w:val="007922B8"/>
    <w:rsid w:val="00792F20"/>
    <w:rsid w:val="007948A3"/>
    <w:rsid w:val="00794999"/>
    <w:rsid w:val="007956AF"/>
    <w:rsid w:val="0079599C"/>
    <w:rsid w:val="00795ADA"/>
    <w:rsid w:val="00796594"/>
    <w:rsid w:val="0079777B"/>
    <w:rsid w:val="00797EEC"/>
    <w:rsid w:val="007A01BA"/>
    <w:rsid w:val="007A07FC"/>
    <w:rsid w:val="007A1133"/>
    <w:rsid w:val="007A1DDB"/>
    <w:rsid w:val="007A285D"/>
    <w:rsid w:val="007A3D08"/>
    <w:rsid w:val="007A3E01"/>
    <w:rsid w:val="007A448B"/>
    <w:rsid w:val="007A4AC8"/>
    <w:rsid w:val="007A4BB5"/>
    <w:rsid w:val="007A4E4D"/>
    <w:rsid w:val="007A505E"/>
    <w:rsid w:val="007A544A"/>
    <w:rsid w:val="007A5B04"/>
    <w:rsid w:val="007A5D30"/>
    <w:rsid w:val="007A6C02"/>
    <w:rsid w:val="007A6CF2"/>
    <w:rsid w:val="007A74AF"/>
    <w:rsid w:val="007A7587"/>
    <w:rsid w:val="007A7658"/>
    <w:rsid w:val="007A795C"/>
    <w:rsid w:val="007A7971"/>
    <w:rsid w:val="007B18EB"/>
    <w:rsid w:val="007B1DCC"/>
    <w:rsid w:val="007B22D2"/>
    <w:rsid w:val="007B2A5F"/>
    <w:rsid w:val="007B2C74"/>
    <w:rsid w:val="007B308E"/>
    <w:rsid w:val="007B3387"/>
    <w:rsid w:val="007B3DF9"/>
    <w:rsid w:val="007B41D9"/>
    <w:rsid w:val="007B4ACA"/>
    <w:rsid w:val="007B4FC9"/>
    <w:rsid w:val="007B513E"/>
    <w:rsid w:val="007B51DF"/>
    <w:rsid w:val="007B609E"/>
    <w:rsid w:val="007B6855"/>
    <w:rsid w:val="007B6C03"/>
    <w:rsid w:val="007B741B"/>
    <w:rsid w:val="007B769E"/>
    <w:rsid w:val="007C02B7"/>
    <w:rsid w:val="007C02E7"/>
    <w:rsid w:val="007C05FA"/>
    <w:rsid w:val="007C143C"/>
    <w:rsid w:val="007C1AC2"/>
    <w:rsid w:val="007C2130"/>
    <w:rsid w:val="007C2327"/>
    <w:rsid w:val="007C23A7"/>
    <w:rsid w:val="007C2CD6"/>
    <w:rsid w:val="007C2DBC"/>
    <w:rsid w:val="007C3222"/>
    <w:rsid w:val="007C33A6"/>
    <w:rsid w:val="007C3403"/>
    <w:rsid w:val="007C351F"/>
    <w:rsid w:val="007C3E30"/>
    <w:rsid w:val="007C44A4"/>
    <w:rsid w:val="007C6A6F"/>
    <w:rsid w:val="007C7256"/>
    <w:rsid w:val="007C7EE3"/>
    <w:rsid w:val="007D0974"/>
    <w:rsid w:val="007D09E4"/>
    <w:rsid w:val="007D103D"/>
    <w:rsid w:val="007D168B"/>
    <w:rsid w:val="007D170A"/>
    <w:rsid w:val="007D1C78"/>
    <w:rsid w:val="007D23DD"/>
    <w:rsid w:val="007D280B"/>
    <w:rsid w:val="007D28ED"/>
    <w:rsid w:val="007D2CF3"/>
    <w:rsid w:val="007D335A"/>
    <w:rsid w:val="007D38F8"/>
    <w:rsid w:val="007D399F"/>
    <w:rsid w:val="007D3A7B"/>
    <w:rsid w:val="007D4173"/>
    <w:rsid w:val="007D59CB"/>
    <w:rsid w:val="007E1021"/>
    <w:rsid w:val="007E149A"/>
    <w:rsid w:val="007E1DA2"/>
    <w:rsid w:val="007E21EE"/>
    <w:rsid w:val="007E23BD"/>
    <w:rsid w:val="007E291C"/>
    <w:rsid w:val="007E308D"/>
    <w:rsid w:val="007E3DDF"/>
    <w:rsid w:val="007E41F4"/>
    <w:rsid w:val="007E4403"/>
    <w:rsid w:val="007E470D"/>
    <w:rsid w:val="007E541C"/>
    <w:rsid w:val="007E6751"/>
    <w:rsid w:val="007E67E8"/>
    <w:rsid w:val="007E6D66"/>
    <w:rsid w:val="007E71A8"/>
    <w:rsid w:val="007E7AC3"/>
    <w:rsid w:val="007E7ECF"/>
    <w:rsid w:val="007E7FC8"/>
    <w:rsid w:val="007F05AA"/>
    <w:rsid w:val="007F0613"/>
    <w:rsid w:val="007F0CDD"/>
    <w:rsid w:val="007F10E6"/>
    <w:rsid w:val="007F1461"/>
    <w:rsid w:val="007F1BEB"/>
    <w:rsid w:val="007F3137"/>
    <w:rsid w:val="007F387B"/>
    <w:rsid w:val="007F401B"/>
    <w:rsid w:val="007F4EE2"/>
    <w:rsid w:val="007F5555"/>
    <w:rsid w:val="007F5D05"/>
    <w:rsid w:val="007F5F11"/>
    <w:rsid w:val="007F64E3"/>
    <w:rsid w:val="007F67AC"/>
    <w:rsid w:val="007F6E99"/>
    <w:rsid w:val="007F72AC"/>
    <w:rsid w:val="00800C6A"/>
    <w:rsid w:val="008012B0"/>
    <w:rsid w:val="00801F7A"/>
    <w:rsid w:val="008028BC"/>
    <w:rsid w:val="00802B98"/>
    <w:rsid w:val="00802EE3"/>
    <w:rsid w:val="0080318C"/>
    <w:rsid w:val="00803CB8"/>
    <w:rsid w:val="00804194"/>
    <w:rsid w:val="008043EE"/>
    <w:rsid w:val="00804848"/>
    <w:rsid w:val="00804EE0"/>
    <w:rsid w:val="00804F88"/>
    <w:rsid w:val="00805AC3"/>
    <w:rsid w:val="00805DF1"/>
    <w:rsid w:val="00806A1E"/>
    <w:rsid w:val="00806C60"/>
    <w:rsid w:val="0080797C"/>
    <w:rsid w:val="00807DE4"/>
    <w:rsid w:val="00810215"/>
    <w:rsid w:val="00810644"/>
    <w:rsid w:val="00810E74"/>
    <w:rsid w:val="00811787"/>
    <w:rsid w:val="008119AF"/>
    <w:rsid w:val="008119EB"/>
    <w:rsid w:val="00811D06"/>
    <w:rsid w:val="00812B31"/>
    <w:rsid w:val="00812CB1"/>
    <w:rsid w:val="0081371F"/>
    <w:rsid w:val="00813A9C"/>
    <w:rsid w:val="00813ECE"/>
    <w:rsid w:val="008144B1"/>
    <w:rsid w:val="00816FB0"/>
    <w:rsid w:val="00817055"/>
    <w:rsid w:val="008170A7"/>
    <w:rsid w:val="0081797A"/>
    <w:rsid w:val="00817E4E"/>
    <w:rsid w:val="00820DAA"/>
    <w:rsid w:val="00820F6E"/>
    <w:rsid w:val="008218C3"/>
    <w:rsid w:val="00821BD3"/>
    <w:rsid w:val="00822C7F"/>
    <w:rsid w:val="008239CE"/>
    <w:rsid w:val="00824C96"/>
    <w:rsid w:val="008253AD"/>
    <w:rsid w:val="00825624"/>
    <w:rsid w:val="00826506"/>
    <w:rsid w:val="00826736"/>
    <w:rsid w:val="008269A7"/>
    <w:rsid w:val="00826E2B"/>
    <w:rsid w:val="0082731F"/>
    <w:rsid w:val="00830254"/>
    <w:rsid w:val="0083034C"/>
    <w:rsid w:val="00831B84"/>
    <w:rsid w:val="00832ABF"/>
    <w:rsid w:val="008338DC"/>
    <w:rsid w:val="00833B8F"/>
    <w:rsid w:val="00833CD9"/>
    <w:rsid w:val="00833FB7"/>
    <w:rsid w:val="00834121"/>
    <w:rsid w:val="0083424A"/>
    <w:rsid w:val="008345D1"/>
    <w:rsid w:val="00834A27"/>
    <w:rsid w:val="008364E0"/>
    <w:rsid w:val="00837186"/>
    <w:rsid w:val="0083751D"/>
    <w:rsid w:val="00837922"/>
    <w:rsid w:val="00837CCE"/>
    <w:rsid w:val="008405BB"/>
    <w:rsid w:val="008412F4"/>
    <w:rsid w:val="008414BE"/>
    <w:rsid w:val="00841742"/>
    <w:rsid w:val="0084199E"/>
    <w:rsid w:val="0084225A"/>
    <w:rsid w:val="0084232C"/>
    <w:rsid w:val="00842BDC"/>
    <w:rsid w:val="0084383D"/>
    <w:rsid w:val="00843895"/>
    <w:rsid w:val="00844481"/>
    <w:rsid w:val="00844701"/>
    <w:rsid w:val="00844A81"/>
    <w:rsid w:val="00844B82"/>
    <w:rsid w:val="0084515A"/>
    <w:rsid w:val="00845A66"/>
    <w:rsid w:val="008460E2"/>
    <w:rsid w:val="008464B0"/>
    <w:rsid w:val="008464F0"/>
    <w:rsid w:val="00847008"/>
    <w:rsid w:val="0084715C"/>
    <w:rsid w:val="008473D7"/>
    <w:rsid w:val="008503DA"/>
    <w:rsid w:val="00850729"/>
    <w:rsid w:val="00851982"/>
    <w:rsid w:val="008523FC"/>
    <w:rsid w:val="00852C13"/>
    <w:rsid w:val="00853847"/>
    <w:rsid w:val="00853B0C"/>
    <w:rsid w:val="00854EEE"/>
    <w:rsid w:val="00855377"/>
    <w:rsid w:val="008553D1"/>
    <w:rsid w:val="00855D62"/>
    <w:rsid w:val="0085736E"/>
    <w:rsid w:val="0085766A"/>
    <w:rsid w:val="0086005D"/>
    <w:rsid w:val="00860851"/>
    <w:rsid w:val="008608EA"/>
    <w:rsid w:val="00860957"/>
    <w:rsid w:val="00860ED6"/>
    <w:rsid w:val="00861702"/>
    <w:rsid w:val="00861912"/>
    <w:rsid w:val="008619D2"/>
    <w:rsid w:val="00862249"/>
    <w:rsid w:val="0086295F"/>
    <w:rsid w:val="00862E96"/>
    <w:rsid w:val="008634B9"/>
    <w:rsid w:val="00863D8B"/>
    <w:rsid w:val="00864536"/>
    <w:rsid w:val="00865459"/>
    <w:rsid w:val="0086546D"/>
    <w:rsid w:val="00865A65"/>
    <w:rsid w:val="00865B20"/>
    <w:rsid w:val="0086660B"/>
    <w:rsid w:val="0086780C"/>
    <w:rsid w:val="008701CE"/>
    <w:rsid w:val="00870D11"/>
    <w:rsid w:val="008727F0"/>
    <w:rsid w:val="00872FA2"/>
    <w:rsid w:val="008740AF"/>
    <w:rsid w:val="008742A2"/>
    <w:rsid w:val="008743DD"/>
    <w:rsid w:val="008754F8"/>
    <w:rsid w:val="0087623B"/>
    <w:rsid w:val="00876298"/>
    <w:rsid w:val="00876BEA"/>
    <w:rsid w:val="00877338"/>
    <w:rsid w:val="008774C9"/>
    <w:rsid w:val="00877987"/>
    <w:rsid w:val="00880CEC"/>
    <w:rsid w:val="00881243"/>
    <w:rsid w:val="00881F0B"/>
    <w:rsid w:val="00881F4B"/>
    <w:rsid w:val="008820D6"/>
    <w:rsid w:val="00882188"/>
    <w:rsid w:val="008824E0"/>
    <w:rsid w:val="00882F41"/>
    <w:rsid w:val="00884687"/>
    <w:rsid w:val="008849E1"/>
    <w:rsid w:val="008855FC"/>
    <w:rsid w:val="008858ED"/>
    <w:rsid w:val="00885EE6"/>
    <w:rsid w:val="0088634D"/>
    <w:rsid w:val="00886668"/>
    <w:rsid w:val="00886875"/>
    <w:rsid w:val="00886893"/>
    <w:rsid w:val="00886A51"/>
    <w:rsid w:val="00887F50"/>
    <w:rsid w:val="008901BE"/>
    <w:rsid w:val="00890710"/>
    <w:rsid w:val="008908EB"/>
    <w:rsid w:val="00891344"/>
    <w:rsid w:val="00891453"/>
    <w:rsid w:val="008915B2"/>
    <w:rsid w:val="0089229E"/>
    <w:rsid w:val="00892557"/>
    <w:rsid w:val="008929CE"/>
    <w:rsid w:val="00892A6A"/>
    <w:rsid w:val="0089336A"/>
    <w:rsid w:val="00893495"/>
    <w:rsid w:val="00894360"/>
    <w:rsid w:val="008955DD"/>
    <w:rsid w:val="00895626"/>
    <w:rsid w:val="00895B08"/>
    <w:rsid w:val="008962FE"/>
    <w:rsid w:val="0089683C"/>
    <w:rsid w:val="00897144"/>
    <w:rsid w:val="00897A50"/>
    <w:rsid w:val="008A0171"/>
    <w:rsid w:val="008A0538"/>
    <w:rsid w:val="008A1CB0"/>
    <w:rsid w:val="008A1CB5"/>
    <w:rsid w:val="008A2017"/>
    <w:rsid w:val="008A302E"/>
    <w:rsid w:val="008A3B07"/>
    <w:rsid w:val="008A4444"/>
    <w:rsid w:val="008A5B96"/>
    <w:rsid w:val="008A5CB1"/>
    <w:rsid w:val="008A6027"/>
    <w:rsid w:val="008A6165"/>
    <w:rsid w:val="008A62E2"/>
    <w:rsid w:val="008A72FA"/>
    <w:rsid w:val="008A75A9"/>
    <w:rsid w:val="008A78EC"/>
    <w:rsid w:val="008B01B0"/>
    <w:rsid w:val="008B0DEB"/>
    <w:rsid w:val="008B1061"/>
    <w:rsid w:val="008B128C"/>
    <w:rsid w:val="008B1437"/>
    <w:rsid w:val="008B14C6"/>
    <w:rsid w:val="008B1A42"/>
    <w:rsid w:val="008B1F70"/>
    <w:rsid w:val="008B2669"/>
    <w:rsid w:val="008B2ADC"/>
    <w:rsid w:val="008B2EA6"/>
    <w:rsid w:val="008B30A1"/>
    <w:rsid w:val="008B3652"/>
    <w:rsid w:val="008B3BD5"/>
    <w:rsid w:val="008B3CBD"/>
    <w:rsid w:val="008B3FA4"/>
    <w:rsid w:val="008B4524"/>
    <w:rsid w:val="008B4AD5"/>
    <w:rsid w:val="008B5FA5"/>
    <w:rsid w:val="008B6AE0"/>
    <w:rsid w:val="008B6EF6"/>
    <w:rsid w:val="008B71E8"/>
    <w:rsid w:val="008B7E9A"/>
    <w:rsid w:val="008C000A"/>
    <w:rsid w:val="008C0400"/>
    <w:rsid w:val="008C0889"/>
    <w:rsid w:val="008C0979"/>
    <w:rsid w:val="008C0E71"/>
    <w:rsid w:val="008C0F7D"/>
    <w:rsid w:val="008C0FD2"/>
    <w:rsid w:val="008C19CE"/>
    <w:rsid w:val="008C2164"/>
    <w:rsid w:val="008C21D8"/>
    <w:rsid w:val="008C283A"/>
    <w:rsid w:val="008C2A95"/>
    <w:rsid w:val="008C434A"/>
    <w:rsid w:val="008C4573"/>
    <w:rsid w:val="008C65A8"/>
    <w:rsid w:val="008C6B45"/>
    <w:rsid w:val="008C7327"/>
    <w:rsid w:val="008C76C0"/>
    <w:rsid w:val="008C7BEA"/>
    <w:rsid w:val="008D0A8E"/>
    <w:rsid w:val="008D0B71"/>
    <w:rsid w:val="008D1513"/>
    <w:rsid w:val="008D1FEE"/>
    <w:rsid w:val="008D5EE9"/>
    <w:rsid w:val="008D6375"/>
    <w:rsid w:val="008D6A0C"/>
    <w:rsid w:val="008D6A18"/>
    <w:rsid w:val="008D6F69"/>
    <w:rsid w:val="008D6F9F"/>
    <w:rsid w:val="008D6FC2"/>
    <w:rsid w:val="008D70F2"/>
    <w:rsid w:val="008D7B35"/>
    <w:rsid w:val="008E19D3"/>
    <w:rsid w:val="008E2B4C"/>
    <w:rsid w:val="008E2EB8"/>
    <w:rsid w:val="008E310E"/>
    <w:rsid w:val="008E31C8"/>
    <w:rsid w:val="008E34BF"/>
    <w:rsid w:val="008E37EF"/>
    <w:rsid w:val="008E4648"/>
    <w:rsid w:val="008E4AB4"/>
    <w:rsid w:val="008E4F88"/>
    <w:rsid w:val="008E5154"/>
    <w:rsid w:val="008E5633"/>
    <w:rsid w:val="008E57CB"/>
    <w:rsid w:val="008E6626"/>
    <w:rsid w:val="008E6B7A"/>
    <w:rsid w:val="008E71FD"/>
    <w:rsid w:val="008E72A6"/>
    <w:rsid w:val="008E7301"/>
    <w:rsid w:val="008E7476"/>
    <w:rsid w:val="008E7D9C"/>
    <w:rsid w:val="008F04FE"/>
    <w:rsid w:val="008F0C8F"/>
    <w:rsid w:val="008F1953"/>
    <w:rsid w:val="008F2391"/>
    <w:rsid w:val="008F451C"/>
    <w:rsid w:val="008F47E4"/>
    <w:rsid w:val="008F565D"/>
    <w:rsid w:val="008F5664"/>
    <w:rsid w:val="008F576C"/>
    <w:rsid w:val="008F580A"/>
    <w:rsid w:val="008F6B8D"/>
    <w:rsid w:val="008F7741"/>
    <w:rsid w:val="009008FC"/>
    <w:rsid w:val="0090110E"/>
    <w:rsid w:val="009014B5"/>
    <w:rsid w:val="009015A6"/>
    <w:rsid w:val="009016C6"/>
    <w:rsid w:val="0090224C"/>
    <w:rsid w:val="00902C4E"/>
    <w:rsid w:val="00903479"/>
    <w:rsid w:val="00904172"/>
    <w:rsid w:val="00904CB2"/>
    <w:rsid w:val="009053D2"/>
    <w:rsid w:val="00905F42"/>
    <w:rsid w:val="00905FAF"/>
    <w:rsid w:val="0090613B"/>
    <w:rsid w:val="009061AD"/>
    <w:rsid w:val="00906332"/>
    <w:rsid w:val="00906583"/>
    <w:rsid w:val="00906CF0"/>
    <w:rsid w:val="00906FAF"/>
    <w:rsid w:val="0090715D"/>
    <w:rsid w:val="00907230"/>
    <w:rsid w:val="0090731F"/>
    <w:rsid w:val="009100D5"/>
    <w:rsid w:val="00910138"/>
    <w:rsid w:val="00910BE9"/>
    <w:rsid w:val="00911210"/>
    <w:rsid w:val="00911247"/>
    <w:rsid w:val="00911FF0"/>
    <w:rsid w:val="0091258F"/>
    <w:rsid w:val="009147E8"/>
    <w:rsid w:val="00914AD8"/>
    <w:rsid w:val="00915BDD"/>
    <w:rsid w:val="00916439"/>
    <w:rsid w:val="009166C7"/>
    <w:rsid w:val="00916B5C"/>
    <w:rsid w:val="009178FA"/>
    <w:rsid w:val="009200A7"/>
    <w:rsid w:val="009205C8"/>
    <w:rsid w:val="00920937"/>
    <w:rsid w:val="009210E2"/>
    <w:rsid w:val="00921969"/>
    <w:rsid w:val="00921DDA"/>
    <w:rsid w:val="00921ECE"/>
    <w:rsid w:val="00921F99"/>
    <w:rsid w:val="00921F9E"/>
    <w:rsid w:val="009222C4"/>
    <w:rsid w:val="00922306"/>
    <w:rsid w:val="0092244D"/>
    <w:rsid w:val="00922D88"/>
    <w:rsid w:val="00922F50"/>
    <w:rsid w:val="0092364A"/>
    <w:rsid w:val="00923924"/>
    <w:rsid w:val="00923CED"/>
    <w:rsid w:val="00923EA5"/>
    <w:rsid w:val="00924142"/>
    <w:rsid w:val="00924468"/>
    <w:rsid w:val="009256A3"/>
    <w:rsid w:val="009259B1"/>
    <w:rsid w:val="00925B16"/>
    <w:rsid w:val="009273B8"/>
    <w:rsid w:val="00927576"/>
    <w:rsid w:val="00927787"/>
    <w:rsid w:val="009277CA"/>
    <w:rsid w:val="009279F2"/>
    <w:rsid w:val="00927B40"/>
    <w:rsid w:val="00927DAF"/>
    <w:rsid w:val="00927FE2"/>
    <w:rsid w:val="00930360"/>
    <w:rsid w:val="009308FD"/>
    <w:rsid w:val="00930C08"/>
    <w:rsid w:val="009310C8"/>
    <w:rsid w:val="00931B4D"/>
    <w:rsid w:val="00931C56"/>
    <w:rsid w:val="00931D32"/>
    <w:rsid w:val="0093204B"/>
    <w:rsid w:val="00932742"/>
    <w:rsid w:val="00932B26"/>
    <w:rsid w:val="00932C93"/>
    <w:rsid w:val="00932E07"/>
    <w:rsid w:val="009334C9"/>
    <w:rsid w:val="00934716"/>
    <w:rsid w:val="00935F73"/>
    <w:rsid w:val="00936374"/>
    <w:rsid w:val="00936536"/>
    <w:rsid w:val="0093677E"/>
    <w:rsid w:val="00936F52"/>
    <w:rsid w:val="009371A6"/>
    <w:rsid w:val="00937AE4"/>
    <w:rsid w:val="00937B9D"/>
    <w:rsid w:val="0094072A"/>
    <w:rsid w:val="00941207"/>
    <w:rsid w:val="00941516"/>
    <w:rsid w:val="00941582"/>
    <w:rsid w:val="009415CE"/>
    <w:rsid w:val="00941AAC"/>
    <w:rsid w:val="00941C52"/>
    <w:rsid w:val="00941E32"/>
    <w:rsid w:val="00942169"/>
    <w:rsid w:val="0094273A"/>
    <w:rsid w:val="0094354A"/>
    <w:rsid w:val="00943C8E"/>
    <w:rsid w:val="00943DEE"/>
    <w:rsid w:val="00944211"/>
    <w:rsid w:val="009446A0"/>
    <w:rsid w:val="00945285"/>
    <w:rsid w:val="00945621"/>
    <w:rsid w:val="00945D09"/>
    <w:rsid w:val="00945DF3"/>
    <w:rsid w:val="00945EEA"/>
    <w:rsid w:val="009473C9"/>
    <w:rsid w:val="00947E04"/>
    <w:rsid w:val="00951810"/>
    <w:rsid w:val="009518BE"/>
    <w:rsid w:val="00951F8F"/>
    <w:rsid w:val="009522A1"/>
    <w:rsid w:val="0095236A"/>
    <w:rsid w:val="00952A6E"/>
    <w:rsid w:val="009539BE"/>
    <w:rsid w:val="00953CF6"/>
    <w:rsid w:val="009542C5"/>
    <w:rsid w:val="0095486D"/>
    <w:rsid w:val="00954AF7"/>
    <w:rsid w:val="00955141"/>
    <w:rsid w:val="009551E2"/>
    <w:rsid w:val="0095545A"/>
    <w:rsid w:val="00955725"/>
    <w:rsid w:val="009557C7"/>
    <w:rsid w:val="00956F50"/>
    <w:rsid w:val="00957A5A"/>
    <w:rsid w:val="00957AA9"/>
    <w:rsid w:val="0096009C"/>
    <w:rsid w:val="00960E64"/>
    <w:rsid w:val="00960F07"/>
    <w:rsid w:val="009619CB"/>
    <w:rsid w:val="00961E53"/>
    <w:rsid w:val="0096247B"/>
    <w:rsid w:val="009628B9"/>
    <w:rsid w:val="00962C3F"/>
    <w:rsid w:val="009631BA"/>
    <w:rsid w:val="0096378E"/>
    <w:rsid w:val="009654C4"/>
    <w:rsid w:val="00966563"/>
    <w:rsid w:val="00966B3C"/>
    <w:rsid w:val="00967232"/>
    <w:rsid w:val="009677F5"/>
    <w:rsid w:val="009705AB"/>
    <w:rsid w:val="00970704"/>
    <w:rsid w:val="00970B22"/>
    <w:rsid w:val="00972906"/>
    <w:rsid w:val="009733E9"/>
    <w:rsid w:val="00973556"/>
    <w:rsid w:val="00973998"/>
    <w:rsid w:val="00973BA3"/>
    <w:rsid w:val="00973C5E"/>
    <w:rsid w:val="00973DB2"/>
    <w:rsid w:val="00974975"/>
    <w:rsid w:val="00975AD1"/>
    <w:rsid w:val="00975D34"/>
    <w:rsid w:val="00975FD8"/>
    <w:rsid w:val="00976023"/>
    <w:rsid w:val="00976E70"/>
    <w:rsid w:val="009772D9"/>
    <w:rsid w:val="0097731B"/>
    <w:rsid w:val="00977477"/>
    <w:rsid w:val="009775A6"/>
    <w:rsid w:val="00977DB1"/>
    <w:rsid w:val="00980191"/>
    <w:rsid w:val="009816EB"/>
    <w:rsid w:val="00981CC2"/>
    <w:rsid w:val="00981D8E"/>
    <w:rsid w:val="009820B7"/>
    <w:rsid w:val="00982D40"/>
    <w:rsid w:val="009831B5"/>
    <w:rsid w:val="0098340E"/>
    <w:rsid w:val="009834D3"/>
    <w:rsid w:val="00983BC8"/>
    <w:rsid w:val="00983C3F"/>
    <w:rsid w:val="009843F5"/>
    <w:rsid w:val="00984588"/>
    <w:rsid w:val="00984A56"/>
    <w:rsid w:val="00984ECC"/>
    <w:rsid w:val="00984F85"/>
    <w:rsid w:val="00985477"/>
    <w:rsid w:val="009855BD"/>
    <w:rsid w:val="009859DB"/>
    <w:rsid w:val="00985E77"/>
    <w:rsid w:val="0098657E"/>
    <w:rsid w:val="00986801"/>
    <w:rsid w:val="00986D40"/>
    <w:rsid w:val="00987562"/>
    <w:rsid w:val="00990273"/>
    <w:rsid w:val="00990F0D"/>
    <w:rsid w:val="00990F2B"/>
    <w:rsid w:val="009916D1"/>
    <w:rsid w:val="00991A10"/>
    <w:rsid w:val="00991CD0"/>
    <w:rsid w:val="00992E72"/>
    <w:rsid w:val="009930D3"/>
    <w:rsid w:val="009935B8"/>
    <w:rsid w:val="00993A15"/>
    <w:rsid w:val="00993A82"/>
    <w:rsid w:val="009951BB"/>
    <w:rsid w:val="009961EE"/>
    <w:rsid w:val="00996AB5"/>
    <w:rsid w:val="009A06A9"/>
    <w:rsid w:val="009A0A68"/>
    <w:rsid w:val="009A0E33"/>
    <w:rsid w:val="009A1303"/>
    <w:rsid w:val="009A1334"/>
    <w:rsid w:val="009A1766"/>
    <w:rsid w:val="009A2221"/>
    <w:rsid w:val="009A2467"/>
    <w:rsid w:val="009A2D96"/>
    <w:rsid w:val="009A32FE"/>
    <w:rsid w:val="009A3327"/>
    <w:rsid w:val="009A3C2C"/>
    <w:rsid w:val="009A3C90"/>
    <w:rsid w:val="009A3E5E"/>
    <w:rsid w:val="009A3F7D"/>
    <w:rsid w:val="009A452B"/>
    <w:rsid w:val="009A463D"/>
    <w:rsid w:val="009A46BD"/>
    <w:rsid w:val="009A4D64"/>
    <w:rsid w:val="009A5057"/>
    <w:rsid w:val="009A6365"/>
    <w:rsid w:val="009A75D0"/>
    <w:rsid w:val="009A7F71"/>
    <w:rsid w:val="009B0123"/>
    <w:rsid w:val="009B0474"/>
    <w:rsid w:val="009B072C"/>
    <w:rsid w:val="009B0EE5"/>
    <w:rsid w:val="009B0FCB"/>
    <w:rsid w:val="009B1902"/>
    <w:rsid w:val="009B1F75"/>
    <w:rsid w:val="009B27EE"/>
    <w:rsid w:val="009B31CC"/>
    <w:rsid w:val="009B33C7"/>
    <w:rsid w:val="009B3C42"/>
    <w:rsid w:val="009B4457"/>
    <w:rsid w:val="009B4568"/>
    <w:rsid w:val="009B60B2"/>
    <w:rsid w:val="009C030B"/>
    <w:rsid w:val="009C09D1"/>
    <w:rsid w:val="009C0D2A"/>
    <w:rsid w:val="009C1D69"/>
    <w:rsid w:val="009C371A"/>
    <w:rsid w:val="009C3AC3"/>
    <w:rsid w:val="009C3B34"/>
    <w:rsid w:val="009C3B9B"/>
    <w:rsid w:val="009C410D"/>
    <w:rsid w:val="009C41F5"/>
    <w:rsid w:val="009C44F4"/>
    <w:rsid w:val="009C5C9B"/>
    <w:rsid w:val="009C6A7E"/>
    <w:rsid w:val="009C6E4E"/>
    <w:rsid w:val="009C7734"/>
    <w:rsid w:val="009C7AEB"/>
    <w:rsid w:val="009D01B4"/>
    <w:rsid w:val="009D0397"/>
    <w:rsid w:val="009D0BE7"/>
    <w:rsid w:val="009D0D80"/>
    <w:rsid w:val="009D1044"/>
    <w:rsid w:val="009D1425"/>
    <w:rsid w:val="009D1C73"/>
    <w:rsid w:val="009D3709"/>
    <w:rsid w:val="009D3AD4"/>
    <w:rsid w:val="009D3C84"/>
    <w:rsid w:val="009D41DF"/>
    <w:rsid w:val="009D4370"/>
    <w:rsid w:val="009D52CA"/>
    <w:rsid w:val="009D544E"/>
    <w:rsid w:val="009D666C"/>
    <w:rsid w:val="009D6C62"/>
    <w:rsid w:val="009D7074"/>
    <w:rsid w:val="009D70B7"/>
    <w:rsid w:val="009D71BF"/>
    <w:rsid w:val="009D75C9"/>
    <w:rsid w:val="009E104C"/>
    <w:rsid w:val="009E1A81"/>
    <w:rsid w:val="009E1FCF"/>
    <w:rsid w:val="009E214B"/>
    <w:rsid w:val="009E29A6"/>
    <w:rsid w:val="009E3397"/>
    <w:rsid w:val="009E395F"/>
    <w:rsid w:val="009E3B9E"/>
    <w:rsid w:val="009E456D"/>
    <w:rsid w:val="009E500B"/>
    <w:rsid w:val="009E561A"/>
    <w:rsid w:val="009E5BE2"/>
    <w:rsid w:val="009E7E76"/>
    <w:rsid w:val="009F0B56"/>
    <w:rsid w:val="009F0C11"/>
    <w:rsid w:val="009F0DF3"/>
    <w:rsid w:val="009F1159"/>
    <w:rsid w:val="009F2243"/>
    <w:rsid w:val="009F24EB"/>
    <w:rsid w:val="009F2B69"/>
    <w:rsid w:val="009F2C4A"/>
    <w:rsid w:val="009F3594"/>
    <w:rsid w:val="009F3B8E"/>
    <w:rsid w:val="009F47A4"/>
    <w:rsid w:val="009F5361"/>
    <w:rsid w:val="009F58F0"/>
    <w:rsid w:val="009F594C"/>
    <w:rsid w:val="009F60B7"/>
    <w:rsid w:val="009F6429"/>
    <w:rsid w:val="009F648F"/>
    <w:rsid w:val="009F6D0C"/>
    <w:rsid w:val="009F75EB"/>
    <w:rsid w:val="009F7AE0"/>
    <w:rsid w:val="009F7FB9"/>
    <w:rsid w:val="00A0002D"/>
    <w:rsid w:val="00A0074C"/>
    <w:rsid w:val="00A00C7D"/>
    <w:rsid w:val="00A010C7"/>
    <w:rsid w:val="00A022D6"/>
    <w:rsid w:val="00A029EB"/>
    <w:rsid w:val="00A02D8E"/>
    <w:rsid w:val="00A03B2B"/>
    <w:rsid w:val="00A03CAD"/>
    <w:rsid w:val="00A040CE"/>
    <w:rsid w:val="00A043E7"/>
    <w:rsid w:val="00A0445B"/>
    <w:rsid w:val="00A04E96"/>
    <w:rsid w:val="00A050E6"/>
    <w:rsid w:val="00A052B5"/>
    <w:rsid w:val="00A05E77"/>
    <w:rsid w:val="00A07064"/>
    <w:rsid w:val="00A07EC0"/>
    <w:rsid w:val="00A1042C"/>
    <w:rsid w:val="00A10695"/>
    <w:rsid w:val="00A10BCE"/>
    <w:rsid w:val="00A11376"/>
    <w:rsid w:val="00A1165E"/>
    <w:rsid w:val="00A12016"/>
    <w:rsid w:val="00A12E89"/>
    <w:rsid w:val="00A134AE"/>
    <w:rsid w:val="00A13746"/>
    <w:rsid w:val="00A139F1"/>
    <w:rsid w:val="00A144D1"/>
    <w:rsid w:val="00A14706"/>
    <w:rsid w:val="00A16708"/>
    <w:rsid w:val="00A167EB"/>
    <w:rsid w:val="00A16922"/>
    <w:rsid w:val="00A16D16"/>
    <w:rsid w:val="00A16E18"/>
    <w:rsid w:val="00A17372"/>
    <w:rsid w:val="00A20B42"/>
    <w:rsid w:val="00A20D53"/>
    <w:rsid w:val="00A21997"/>
    <w:rsid w:val="00A22033"/>
    <w:rsid w:val="00A22C43"/>
    <w:rsid w:val="00A23493"/>
    <w:rsid w:val="00A238B5"/>
    <w:rsid w:val="00A23BC1"/>
    <w:rsid w:val="00A23EE5"/>
    <w:rsid w:val="00A25204"/>
    <w:rsid w:val="00A253D4"/>
    <w:rsid w:val="00A255FA"/>
    <w:rsid w:val="00A2624D"/>
    <w:rsid w:val="00A262D9"/>
    <w:rsid w:val="00A26EB5"/>
    <w:rsid w:val="00A2717E"/>
    <w:rsid w:val="00A276AD"/>
    <w:rsid w:val="00A27A7F"/>
    <w:rsid w:val="00A27DDF"/>
    <w:rsid w:val="00A3088E"/>
    <w:rsid w:val="00A30C77"/>
    <w:rsid w:val="00A31B87"/>
    <w:rsid w:val="00A3204C"/>
    <w:rsid w:val="00A321AE"/>
    <w:rsid w:val="00A32388"/>
    <w:rsid w:val="00A32D9D"/>
    <w:rsid w:val="00A32F69"/>
    <w:rsid w:val="00A3316B"/>
    <w:rsid w:val="00A3328E"/>
    <w:rsid w:val="00A33CC8"/>
    <w:rsid w:val="00A342A2"/>
    <w:rsid w:val="00A34383"/>
    <w:rsid w:val="00A348FD"/>
    <w:rsid w:val="00A349D4"/>
    <w:rsid w:val="00A34A8E"/>
    <w:rsid w:val="00A34FA5"/>
    <w:rsid w:val="00A354BE"/>
    <w:rsid w:val="00A355A5"/>
    <w:rsid w:val="00A35DAC"/>
    <w:rsid w:val="00A360E5"/>
    <w:rsid w:val="00A369F0"/>
    <w:rsid w:val="00A36BAA"/>
    <w:rsid w:val="00A36CEE"/>
    <w:rsid w:val="00A37298"/>
    <w:rsid w:val="00A4029C"/>
    <w:rsid w:val="00A40556"/>
    <w:rsid w:val="00A409B5"/>
    <w:rsid w:val="00A41216"/>
    <w:rsid w:val="00A416FE"/>
    <w:rsid w:val="00A41F0D"/>
    <w:rsid w:val="00A4335F"/>
    <w:rsid w:val="00A437BD"/>
    <w:rsid w:val="00A4425D"/>
    <w:rsid w:val="00A4427B"/>
    <w:rsid w:val="00A451C8"/>
    <w:rsid w:val="00A45723"/>
    <w:rsid w:val="00A466DB"/>
    <w:rsid w:val="00A466FC"/>
    <w:rsid w:val="00A479AD"/>
    <w:rsid w:val="00A47C80"/>
    <w:rsid w:val="00A47DF7"/>
    <w:rsid w:val="00A505A3"/>
    <w:rsid w:val="00A510FA"/>
    <w:rsid w:val="00A51BD7"/>
    <w:rsid w:val="00A51C52"/>
    <w:rsid w:val="00A51E32"/>
    <w:rsid w:val="00A521DE"/>
    <w:rsid w:val="00A53D4A"/>
    <w:rsid w:val="00A53E48"/>
    <w:rsid w:val="00A5425A"/>
    <w:rsid w:val="00A54AC5"/>
    <w:rsid w:val="00A54F37"/>
    <w:rsid w:val="00A55217"/>
    <w:rsid w:val="00A55573"/>
    <w:rsid w:val="00A559F9"/>
    <w:rsid w:val="00A56522"/>
    <w:rsid w:val="00A56C1F"/>
    <w:rsid w:val="00A56FB0"/>
    <w:rsid w:val="00A57131"/>
    <w:rsid w:val="00A57567"/>
    <w:rsid w:val="00A57C65"/>
    <w:rsid w:val="00A60185"/>
    <w:rsid w:val="00A61819"/>
    <w:rsid w:val="00A6264C"/>
    <w:rsid w:val="00A62B08"/>
    <w:rsid w:val="00A63D02"/>
    <w:rsid w:val="00A63F99"/>
    <w:rsid w:val="00A6522D"/>
    <w:rsid w:val="00A65284"/>
    <w:rsid w:val="00A653F4"/>
    <w:rsid w:val="00A65E5D"/>
    <w:rsid w:val="00A6631E"/>
    <w:rsid w:val="00A6643A"/>
    <w:rsid w:val="00A66803"/>
    <w:rsid w:val="00A66EE7"/>
    <w:rsid w:val="00A70DD7"/>
    <w:rsid w:val="00A72FBC"/>
    <w:rsid w:val="00A74F15"/>
    <w:rsid w:val="00A74F28"/>
    <w:rsid w:val="00A7562F"/>
    <w:rsid w:val="00A75837"/>
    <w:rsid w:val="00A75891"/>
    <w:rsid w:val="00A75F39"/>
    <w:rsid w:val="00A7677A"/>
    <w:rsid w:val="00A7771B"/>
    <w:rsid w:val="00A77753"/>
    <w:rsid w:val="00A77F24"/>
    <w:rsid w:val="00A80993"/>
    <w:rsid w:val="00A80BFB"/>
    <w:rsid w:val="00A80CB5"/>
    <w:rsid w:val="00A80CBE"/>
    <w:rsid w:val="00A8183B"/>
    <w:rsid w:val="00A81D17"/>
    <w:rsid w:val="00A82E0D"/>
    <w:rsid w:val="00A8488E"/>
    <w:rsid w:val="00A84C4B"/>
    <w:rsid w:val="00A84F7F"/>
    <w:rsid w:val="00A84FED"/>
    <w:rsid w:val="00A8517A"/>
    <w:rsid w:val="00A85488"/>
    <w:rsid w:val="00A854C7"/>
    <w:rsid w:val="00A854E0"/>
    <w:rsid w:val="00A85A57"/>
    <w:rsid w:val="00A85D15"/>
    <w:rsid w:val="00A85E69"/>
    <w:rsid w:val="00A8609C"/>
    <w:rsid w:val="00A864F9"/>
    <w:rsid w:val="00A868D8"/>
    <w:rsid w:val="00A86D27"/>
    <w:rsid w:val="00A87B0B"/>
    <w:rsid w:val="00A87B3E"/>
    <w:rsid w:val="00A87C23"/>
    <w:rsid w:val="00A87F39"/>
    <w:rsid w:val="00A90E55"/>
    <w:rsid w:val="00A91852"/>
    <w:rsid w:val="00A92392"/>
    <w:rsid w:val="00A93690"/>
    <w:rsid w:val="00A937DA"/>
    <w:rsid w:val="00A9532A"/>
    <w:rsid w:val="00A96645"/>
    <w:rsid w:val="00A97014"/>
    <w:rsid w:val="00A9723D"/>
    <w:rsid w:val="00A97427"/>
    <w:rsid w:val="00A9760E"/>
    <w:rsid w:val="00AA0EBA"/>
    <w:rsid w:val="00AA1C5F"/>
    <w:rsid w:val="00AA1D39"/>
    <w:rsid w:val="00AA2292"/>
    <w:rsid w:val="00AA25BF"/>
    <w:rsid w:val="00AA2621"/>
    <w:rsid w:val="00AA2C5D"/>
    <w:rsid w:val="00AA31C6"/>
    <w:rsid w:val="00AA3205"/>
    <w:rsid w:val="00AA360F"/>
    <w:rsid w:val="00AA3915"/>
    <w:rsid w:val="00AA41BE"/>
    <w:rsid w:val="00AA4731"/>
    <w:rsid w:val="00AA58C9"/>
    <w:rsid w:val="00AA5D41"/>
    <w:rsid w:val="00AA5DDD"/>
    <w:rsid w:val="00AA6032"/>
    <w:rsid w:val="00AA65E8"/>
    <w:rsid w:val="00AA6816"/>
    <w:rsid w:val="00AA6D3E"/>
    <w:rsid w:val="00AA6E1F"/>
    <w:rsid w:val="00AA70E5"/>
    <w:rsid w:val="00AA724C"/>
    <w:rsid w:val="00AA75D9"/>
    <w:rsid w:val="00AA7648"/>
    <w:rsid w:val="00AA780A"/>
    <w:rsid w:val="00AA79F4"/>
    <w:rsid w:val="00AA7E0E"/>
    <w:rsid w:val="00AB0454"/>
    <w:rsid w:val="00AB0541"/>
    <w:rsid w:val="00AB0DD3"/>
    <w:rsid w:val="00AB12EF"/>
    <w:rsid w:val="00AB130A"/>
    <w:rsid w:val="00AB195E"/>
    <w:rsid w:val="00AB1B3C"/>
    <w:rsid w:val="00AB23D0"/>
    <w:rsid w:val="00AB25AE"/>
    <w:rsid w:val="00AB2A8D"/>
    <w:rsid w:val="00AB2CFE"/>
    <w:rsid w:val="00AB2D49"/>
    <w:rsid w:val="00AB41E9"/>
    <w:rsid w:val="00AB4806"/>
    <w:rsid w:val="00AB4F59"/>
    <w:rsid w:val="00AB50B6"/>
    <w:rsid w:val="00AB58CA"/>
    <w:rsid w:val="00AB601F"/>
    <w:rsid w:val="00AB66F7"/>
    <w:rsid w:val="00AB6EAB"/>
    <w:rsid w:val="00AB7134"/>
    <w:rsid w:val="00AB76B9"/>
    <w:rsid w:val="00AB7A2A"/>
    <w:rsid w:val="00AC086F"/>
    <w:rsid w:val="00AC1791"/>
    <w:rsid w:val="00AC1FF2"/>
    <w:rsid w:val="00AC2353"/>
    <w:rsid w:val="00AC301E"/>
    <w:rsid w:val="00AC3374"/>
    <w:rsid w:val="00AC3823"/>
    <w:rsid w:val="00AC3874"/>
    <w:rsid w:val="00AC3B14"/>
    <w:rsid w:val="00AC3F36"/>
    <w:rsid w:val="00AC3F3F"/>
    <w:rsid w:val="00AC4276"/>
    <w:rsid w:val="00AC46D1"/>
    <w:rsid w:val="00AC5763"/>
    <w:rsid w:val="00AC5882"/>
    <w:rsid w:val="00AC64FE"/>
    <w:rsid w:val="00AC6559"/>
    <w:rsid w:val="00AC7012"/>
    <w:rsid w:val="00AC7916"/>
    <w:rsid w:val="00AC7AC1"/>
    <w:rsid w:val="00AD0449"/>
    <w:rsid w:val="00AD0D72"/>
    <w:rsid w:val="00AD158C"/>
    <w:rsid w:val="00AD1754"/>
    <w:rsid w:val="00AD1B3F"/>
    <w:rsid w:val="00AD1E33"/>
    <w:rsid w:val="00AD24B5"/>
    <w:rsid w:val="00AD2535"/>
    <w:rsid w:val="00AD2A8F"/>
    <w:rsid w:val="00AD2B48"/>
    <w:rsid w:val="00AD2C60"/>
    <w:rsid w:val="00AD319E"/>
    <w:rsid w:val="00AD328D"/>
    <w:rsid w:val="00AD35B4"/>
    <w:rsid w:val="00AD3A4C"/>
    <w:rsid w:val="00AD3C59"/>
    <w:rsid w:val="00AD3E02"/>
    <w:rsid w:val="00AD466B"/>
    <w:rsid w:val="00AD4DF2"/>
    <w:rsid w:val="00AD57FC"/>
    <w:rsid w:val="00AD5919"/>
    <w:rsid w:val="00AD694E"/>
    <w:rsid w:val="00AD6D10"/>
    <w:rsid w:val="00AD7238"/>
    <w:rsid w:val="00AD77D1"/>
    <w:rsid w:val="00AD79B1"/>
    <w:rsid w:val="00AE103D"/>
    <w:rsid w:val="00AE1372"/>
    <w:rsid w:val="00AE141E"/>
    <w:rsid w:val="00AE1C80"/>
    <w:rsid w:val="00AE2255"/>
    <w:rsid w:val="00AE398E"/>
    <w:rsid w:val="00AE3CF7"/>
    <w:rsid w:val="00AE3FC9"/>
    <w:rsid w:val="00AE409B"/>
    <w:rsid w:val="00AE44CE"/>
    <w:rsid w:val="00AE4660"/>
    <w:rsid w:val="00AE74A5"/>
    <w:rsid w:val="00AE7E80"/>
    <w:rsid w:val="00AE7FE0"/>
    <w:rsid w:val="00AF019A"/>
    <w:rsid w:val="00AF0600"/>
    <w:rsid w:val="00AF0FA4"/>
    <w:rsid w:val="00AF1B46"/>
    <w:rsid w:val="00AF1E34"/>
    <w:rsid w:val="00AF31C3"/>
    <w:rsid w:val="00AF32E0"/>
    <w:rsid w:val="00AF376C"/>
    <w:rsid w:val="00AF3AF8"/>
    <w:rsid w:val="00AF46DF"/>
    <w:rsid w:val="00AF4814"/>
    <w:rsid w:val="00AF4A03"/>
    <w:rsid w:val="00AF4A26"/>
    <w:rsid w:val="00AF4BBC"/>
    <w:rsid w:val="00AF4E38"/>
    <w:rsid w:val="00AF5578"/>
    <w:rsid w:val="00AF7119"/>
    <w:rsid w:val="00AF73B1"/>
    <w:rsid w:val="00AF7EE0"/>
    <w:rsid w:val="00AF7F7D"/>
    <w:rsid w:val="00B001B1"/>
    <w:rsid w:val="00B00B2C"/>
    <w:rsid w:val="00B00B66"/>
    <w:rsid w:val="00B0110E"/>
    <w:rsid w:val="00B01308"/>
    <w:rsid w:val="00B0136A"/>
    <w:rsid w:val="00B0176A"/>
    <w:rsid w:val="00B02925"/>
    <w:rsid w:val="00B03F16"/>
    <w:rsid w:val="00B0419F"/>
    <w:rsid w:val="00B043B0"/>
    <w:rsid w:val="00B056CD"/>
    <w:rsid w:val="00B06557"/>
    <w:rsid w:val="00B076FC"/>
    <w:rsid w:val="00B07756"/>
    <w:rsid w:val="00B07D02"/>
    <w:rsid w:val="00B1015D"/>
    <w:rsid w:val="00B112C0"/>
    <w:rsid w:val="00B11D66"/>
    <w:rsid w:val="00B12106"/>
    <w:rsid w:val="00B1260F"/>
    <w:rsid w:val="00B129F3"/>
    <w:rsid w:val="00B12A7C"/>
    <w:rsid w:val="00B12E3B"/>
    <w:rsid w:val="00B12FC7"/>
    <w:rsid w:val="00B15277"/>
    <w:rsid w:val="00B15ADC"/>
    <w:rsid w:val="00B15F5C"/>
    <w:rsid w:val="00B1611C"/>
    <w:rsid w:val="00B16830"/>
    <w:rsid w:val="00B16A51"/>
    <w:rsid w:val="00B176B7"/>
    <w:rsid w:val="00B200C4"/>
    <w:rsid w:val="00B201AA"/>
    <w:rsid w:val="00B201E4"/>
    <w:rsid w:val="00B20960"/>
    <w:rsid w:val="00B20EDC"/>
    <w:rsid w:val="00B21030"/>
    <w:rsid w:val="00B21061"/>
    <w:rsid w:val="00B21653"/>
    <w:rsid w:val="00B21CDD"/>
    <w:rsid w:val="00B21DC5"/>
    <w:rsid w:val="00B22B06"/>
    <w:rsid w:val="00B24394"/>
    <w:rsid w:val="00B25528"/>
    <w:rsid w:val="00B25673"/>
    <w:rsid w:val="00B25ED5"/>
    <w:rsid w:val="00B26358"/>
    <w:rsid w:val="00B26664"/>
    <w:rsid w:val="00B269E5"/>
    <w:rsid w:val="00B26A0E"/>
    <w:rsid w:val="00B27124"/>
    <w:rsid w:val="00B303D4"/>
    <w:rsid w:val="00B304C9"/>
    <w:rsid w:val="00B31ABC"/>
    <w:rsid w:val="00B31CCE"/>
    <w:rsid w:val="00B31ED6"/>
    <w:rsid w:val="00B31FA2"/>
    <w:rsid w:val="00B323D4"/>
    <w:rsid w:val="00B3287F"/>
    <w:rsid w:val="00B32A80"/>
    <w:rsid w:val="00B331E5"/>
    <w:rsid w:val="00B33771"/>
    <w:rsid w:val="00B33C2E"/>
    <w:rsid w:val="00B34342"/>
    <w:rsid w:val="00B35124"/>
    <w:rsid w:val="00B363F2"/>
    <w:rsid w:val="00B377FE"/>
    <w:rsid w:val="00B37C47"/>
    <w:rsid w:val="00B40042"/>
    <w:rsid w:val="00B40844"/>
    <w:rsid w:val="00B40CE3"/>
    <w:rsid w:val="00B4147D"/>
    <w:rsid w:val="00B41691"/>
    <w:rsid w:val="00B41735"/>
    <w:rsid w:val="00B421A7"/>
    <w:rsid w:val="00B42428"/>
    <w:rsid w:val="00B429BE"/>
    <w:rsid w:val="00B42B8C"/>
    <w:rsid w:val="00B43CD7"/>
    <w:rsid w:val="00B4425B"/>
    <w:rsid w:val="00B442D2"/>
    <w:rsid w:val="00B447E7"/>
    <w:rsid w:val="00B44E20"/>
    <w:rsid w:val="00B44F6D"/>
    <w:rsid w:val="00B44FE6"/>
    <w:rsid w:val="00B46A00"/>
    <w:rsid w:val="00B46F9A"/>
    <w:rsid w:val="00B471AC"/>
    <w:rsid w:val="00B474E7"/>
    <w:rsid w:val="00B4772D"/>
    <w:rsid w:val="00B50797"/>
    <w:rsid w:val="00B50A91"/>
    <w:rsid w:val="00B50AFE"/>
    <w:rsid w:val="00B50F6A"/>
    <w:rsid w:val="00B51046"/>
    <w:rsid w:val="00B512CB"/>
    <w:rsid w:val="00B51427"/>
    <w:rsid w:val="00B51C1F"/>
    <w:rsid w:val="00B52BFF"/>
    <w:rsid w:val="00B52C95"/>
    <w:rsid w:val="00B53394"/>
    <w:rsid w:val="00B5381D"/>
    <w:rsid w:val="00B53EB7"/>
    <w:rsid w:val="00B54359"/>
    <w:rsid w:val="00B548F8"/>
    <w:rsid w:val="00B56065"/>
    <w:rsid w:val="00B56A7C"/>
    <w:rsid w:val="00B56CC8"/>
    <w:rsid w:val="00B56D6E"/>
    <w:rsid w:val="00B56E45"/>
    <w:rsid w:val="00B570A6"/>
    <w:rsid w:val="00B57AFD"/>
    <w:rsid w:val="00B60550"/>
    <w:rsid w:val="00B6060B"/>
    <w:rsid w:val="00B60690"/>
    <w:rsid w:val="00B61C40"/>
    <w:rsid w:val="00B61C53"/>
    <w:rsid w:val="00B63A00"/>
    <w:rsid w:val="00B63DBA"/>
    <w:rsid w:val="00B64695"/>
    <w:rsid w:val="00B64D66"/>
    <w:rsid w:val="00B65583"/>
    <w:rsid w:val="00B660E3"/>
    <w:rsid w:val="00B66166"/>
    <w:rsid w:val="00B6670E"/>
    <w:rsid w:val="00B66E89"/>
    <w:rsid w:val="00B67129"/>
    <w:rsid w:val="00B6787C"/>
    <w:rsid w:val="00B67FBD"/>
    <w:rsid w:val="00B701EE"/>
    <w:rsid w:val="00B70D7E"/>
    <w:rsid w:val="00B70EF2"/>
    <w:rsid w:val="00B71148"/>
    <w:rsid w:val="00B720F9"/>
    <w:rsid w:val="00B72237"/>
    <w:rsid w:val="00B72248"/>
    <w:rsid w:val="00B72922"/>
    <w:rsid w:val="00B72ECE"/>
    <w:rsid w:val="00B738DA"/>
    <w:rsid w:val="00B7483A"/>
    <w:rsid w:val="00B748B1"/>
    <w:rsid w:val="00B74DAD"/>
    <w:rsid w:val="00B751FF"/>
    <w:rsid w:val="00B752E1"/>
    <w:rsid w:val="00B754A1"/>
    <w:rsid w:val="00B75D87"/>
    <w:rsid w:val="00B75E3A"/>
    <w:rsid w:val="00B76212"/>
    <w:rsid w:val="00B766D5"/>
    <w:rsid w:val="00B76E11"/>
    <w:rsid w:val="00B77421"/>
    <w:rsid w:val="00B778DC"/>
    <w:rsid w:val="00B77FB2"/>
    <w:rsid w:val="00B80369"/>
    <w:rsid w:val="00B810FE"/>
    <w:rsid w:val="00B81DEA"/>
    <w:rsid w:val="00B81DF6"/>
    <w:rsid w:val="00B825C6"/>
    <w:rsid w:val="00B82F5E"/>
    <w:rsid w:val="00B83479"/>
    <w:rsid w:val="00B83785"/>
    <w:rsid w:val="00B838AA"/>
    <w:rsid w:val="00B839B2"/>
    <w:rsid w:val="00B83A6D"/>
    <w:rsid w:val="00B83C88"/>
    <w:rsid w:val="00B83D12"/>
    <w:rsid w:val="00B84326"/>
    <w:rsid w:val="00B84B1C"/>
    <w:rsid w:val="00B863E3"/>
    <w:rsid w:val="00B86AC8"/>
    <w:rsid w:val="00B870DE"/>
    <w:rsid w:val="00B87B8E"/>
    <w:rsid w:val="00B87C23"/>
    <w:rsid w:val="00B87EF4"/>
    <w:rsid w:val="00B902E7"/>
    <w:rsid w:val="00B904BB"/>
    <w:rsid w:val="00B904E4"/>
    <w:rsid w:val="00B91930"/>
    <w:rsid w:val="00B91E6D"/>
    <w:rsid w:val="00B91FF2"/>
    <w:rsid w:val="00B927E9"/>
    <w:rsid w:val="00B92F68"/>
    <w:rsid w:val="00B936AA"/>
    <w:rsid w:val="00B93BC4"/>
    <w:rsid w:val="00B94508"/>
    <w:rsid w:val="00B9492C"/>
    <w:rsid w:val="00B94CF6"/>
    <w:rsid w:val="00B94E26"/>
    <w:rsid w:val="00B964CF"/>
    <w:rsid w:val="00B96621"/>
    <w:rsid w:val="00B96DCF"/>
    <w:rsid w:val="00B97111"/>
    <w:rsid w:val="00B9712C"/>
    <w:rsid w:val="00B974D2"/>
    <w:rsid w:val="00B97EF4"/>
    <w:rsid w:val="00BA04DA"/>
    <w:rsid w:val="00BA0A47"/>
    <w:rsid w:val="00BA0F90"/>
    <w:rsid w:val="00BA1208"/>
    <w:rsid w:val="00BA1235"/>
    <w:rsid w:val="00BA1283"/>
    <w:rsid w:val="00BA18FE"/>
    <w:rsid w:val="00BA1CA4"/>
    <w:rsid w:val="00BA1EBA"/>
    <w:rsid w:val="00BA1ECC"/>
    <w:rsid w:val="00BA20DD"/>
    <w:rsid w:val="00BA286F"/>
    <w:rsid w:val="00BA2F03"/>
    <w:rsid w:val="00BA3A2B"/>
    <w:rsid w:val="00BA3BE6"/>
    <w:rsid w:val="00BA3C9C"/>
    <w:rsid w:val="00BA3E61"/>
    <w:rsid w:val="00BA482A"/>
    <w:rsid w:val="00BA4924"/>
    <w:rsid w:val="00BA51EB"/>
    <w:rsid w:val="00BA5590"/>
    <w:rsid w:val="00BA570C"/>
    <w:rsid w:val="00BA57C4"/>
    <w:rsid w:val="00BA5BFB"/>
    <w:rsid w:val="00BA6053"/>
    <w:rsid w:val="00BA69DB"/>
    <w:rsid w:val="00BB030A"/>
    <w:rsid w:val="00BB0522"/>
    <w:rsid w:val="00BB05AF"/>
    <w:rsid w:val="00BB0EDC"/>
    <w:rsid w:val="00BB10A8"/>
    <w:rsid w:val="00BB1685"/>
    <w:rsid w:val="00BB22D3"/>
    <w:rsid w:val="00BB25B1"/>
    <w:rsid w:val="00BB27D3"/>
    <w:rsid w:val="00BB2809"/>
    <w:rsid w:val="00BB3409"/>
    <w:rsid w:val="00BB3776"/>
    <w:rsid w:val="00BB396A"/>
    <w:rsid w:val="00BB4C24"/>
    <w:rsid w:val="00BB4F35"/>
    <w:rsid w:val="00BB52C2"/>
    <w:rsid w:val="00BB5AF3"/>
    <w:rsid w:val="00BB5B17"/>
    <w:rsid w:val="00BB7A3F"/>
    <w:rsid w:val="00BC0BED"/>
    <w:rsid w:val="00BC2764"/>
    <w:rsid w:val="00BC46CD"/>
    <w:rsid w:val="00BC49C5"/>
    <w:rsid w:val="00BC4CD9"/>
    <w:rsid w:val="00BC54AD"/>
    <w:rsid w:val="00BC5691"/>
    <w:rsid w:val="00BC6374"/>
    <w:rsid w:val="00BC63DC"/>
    <w:rsid w:val="00BC670D"/>
    <w:rsid w:val="00BC6792"/>
    <w:rsid w:val="00BC69B6"/>
    <w:rsid w:val="00BC6CC2"/>
    <w:rsid w:val="00BC6CF6"/>
    <w:rsid w:val="00BC6F62"/>
    <w:rsid w:val="00BC7723"/>
    <w:rsid w:val="00BC7F1F"/>
    <w:rsid w:val="00BC7F75"/>
    <w:rsid w:val="00BD023B"/>
    <w:rsid w:val="00BD0370"/>
    <w:rsid w:val="00BD0537"/>
    <w:rsid w:val="00BD0747"/>
    <w:rsid w:val="00BD0CA5"/>
    <w:rsid w:val="00BD1725"/>
    <w:rsid w:val="00BD2209"/>
    <w:rsid w:val="00BD2CD0"/>
    <w:rsid w:val="00BD324B"/>
    <w:rsid w:val="00BD3910"/>
    <w:rsid w:val="00BD3CA9"/>
    <w:rsid w:val="00BD4196"/>
    <w:rsid w:val="00BD450F"/>
    <w:rsid w:val="00BD5E0B"/>
    <w:rsid w:val="00BD707E"/>
    <w:rsid w:val="00BD7337"/>
    <w:rsid w:val="00BD734B"/>
    <w:rsid w:val="00BD793E"/>
    <w:rsid w:val="00BD79C8"/>
    <w:rsid w:val="00BE0183"/>
    <w:rsid w:val="00BE03BA"/>
    <w:rsid w:val="00BE0B22"/>
    <w:rsid w:val="00BE13C6"/>
    <w:rsid w:val="00BE2797"/>
    <w:rsid w:val="00BE31AA"/>
    <w:rsid w:val="00BE3F16"/>
    <w:rsid w:val="00BE44BB"/>
    <w:rsid w:val="00BE4586"/>
    <w:rsid w:val="00BE4E06"/>
    <w:rsid w:val="00BE4FF7"/>
    <w:rsid w:val="00BE5638"/>
    <w:rsid w:val="00BE5CFB"/>
    <w:rsid w:val="00BE635E"/>
    <w:rsid w:val="00BE65C1"/>
    <w:rsid w:val="00BE7C7D"/>
    <w:rsid w:val="00BE7E37"/>
    <w:rsid w:val="00BE7EE4"/>
    <w:rsid w:val="00BE7EF7"/>
    <w:rsid w:val="00BF109A"/>
    <w:rsid w:val="00BF14C2"/>
    <w:rsid w:val="00BF1739"/>
    <w:rsid w:val="00BF1B46"/>
    <w:rsid w:val="00BF1C35"/>
    <w:rsid w:val="00BF34B8"/>
    <w:rsid w:val="00BF38B8"/>
    <w:rsid w:val="00BF4129"/>
    <w:rsid w:val="00BF426A"/>
    <w:rsid w:val="00BF54C1"/>
    <w:rsid w:val="00BF5E3B"/>
    <w:rsid w:val="00BF61D4"/>
    <w:rsid w:val="00BF62D0"/>
    <w:rsid w:val="00BF73AA"/>
    <w:rsid w:val="00BF7723"/>
    <w:rsid w:val="00BF7AD8"/>
    <w:rsid w:val="00C00254"/>
    <w:rsid w:val="00C00E38"/>
    <w:rsid w:val="00C018B6"/>
    <w:rsid w:val="00C019DF"/>
    <w:rsid w:val="00C023D9"/>
    <w:rsid w:val="00C02B5C"/>
    <w:rsid w:val="00C033EF"/>
    <w:rsid w:val="00C03BEA"/>
    <w:rsid w:val="00C0445F"/>
    <w:rsid w:val="00C04838"/>
    <w:rsid w:val="00C04DDE"/>
    <w:rsid w:val="00C05174"/>
    <w:rsid w:val="00C05362"/>
    <w:rsid w:val="00C0550E"/>
    <w:rsid w:val="00C05A6D"/>
    <w:rsid w:val="00C05B06"/>
    <w:rsid w:val="00C05DFD"/>
    <w:rsid w:val="00C06007"/>
    <w:rsid w:val="00C06CA9"/>
    <w:rsid w:val="00C07099"/>
    <w:rsid w:val="00C076D7"/>
    <w:rsid w:val="00C103E9"/>
    <w:rsid w:val="00C1087E"/>
    <w:rsid w:val="00C110AA"/>
    <w:rsid w:val="00C117BC"/>
    <w:rsid w:val="00C11FAA"/>
    <w:rsid w:val="00C121B6"/>
    <w:rsid w:val="00C12DC2"/>
    <w:rsid w:val="00C12E6F"/>
    <w:rsid w:val="00C132FF"/>
    <w:rsid w:val="00C13BE3"/>
    <w:rsid w:val="00C15260"/>
    <w:rsid w:val="00C15761"/>
    <w:rsid w:val="00C16C3F"/>
    <w:rsid w:val="00C171A3"/>
    <w:rsid w:val="00C17DD4"/>
    <w:rsid w:val="00C2075F"/>
    <w:rsid w:val="00C20E1A"/>
    <w:rsid w:val="00C211A6"/>
    <w:rsid w:val="00C217A8"/>
    <w:rsid w:val="00C21B0F"/>
    <w:rsid w:val="00C21EEF"/>
    <w:rsid w:val="00C2233D"/>
    <w:rsid w:val="00C223D6"/>
    <w:rsid w:val="00C229C3"/>
    <w:rsid w:val="00C22A1F"/>
    <w:rsid w:val="00C22C94"/>
    <w:rsid w:val="00C23968"/>
    <w:rsid w:val="00C23CB6"/>
    <w:rsid w:val="00C23DBB"/>
    <w:rsid w:val="00C24354"/>
    <w:rsid w:val="00C24877"/>
    <w:rsid w:val="00C24ACD"/>
    <w:rsid w:val="00C256E7"/>
    <w:rsid w:val="00C25935"/>
    <w:rsid w:val="00C25AED"/>
    <w:rsid w:val="00C25B6F"/>
    <w:rsid w:val="00C25EE1"/>
    <w:rsid w:val="00C262CA"/>
    <w:rsid w:val="00C2711B"/>
    <w:rsid w:val="00C2743C"/>
    <w:rsid w:val="00C3008E"/>
    <w:rsid w:val="00C301B5"/>
    <w:rsid w:val="00C303E7"/>
    <w:rsid w:val="00C30408"/>
    <w:rsid w:val="00C31A75"/>
    <w:rsid w:val="00C32237"/>
    <w:rsid w:val="00C32FFD"/>
    <w:rsid w:val="00C33411"/>
    <w:rsid w:val="00C33C01"/>
    <w:rsid w:val="00C33E2E"/>
    <w:rsid w:val="00C33EDF"/>
    <w:rsid w:val="00C345A8"/>
    <w:rsid w:val="00C3462C"/>
    <w:rsid w:val="00C34C6D"/>
    <w:rsid w:val="00C351B3"/>
    <w:rsid w:val="00C35AE8"/>
    <w:rsid w:val="00C36AA4"/>
    <w:rsid w:val="00C36BF8"/>
    <w:rsid w:val="00C36CC6"/>
    <w:rsid w:val="00C36CF2"/>
    <w:rsid w:val="00C3705D"/>
    <w:rsid w:val="00C3716F"/>
    <w:rsid w:val="00C4106A"/>
    <w:rsid w:val="00C41CEB"/>
    <w:rsid w:val="00C41F7A"/>
    <w:rsid w:val="00C4290F"/>
    <w:rsid w:val="00C42942"/>
    <w:rsid w:val="00C4329B"/>
    <w:rsid w:val="00C43A03"/>
    <w:rsid w:val="00C43EC2"/>
    <w:rsid w:val="00C441D9"/>
    <w:rsid w:val="00C44720"/>
    <w:rsid w:val="00C44769"/>
    <w:rsid w:val="00C45076"/>
    <w:rsid w:val="00C455D3"/>
    <w:rsid w:val="00C45AA5"/>
    <w:rsid w:val="00C45E84"/>
    <w:rsid w:val="00C463CF"/>
    <w:rsid w:val="00C467ED"/>
    <w:rsid w:val="00C46B20"/>
    <w:rsid w:val="00C46D01"/>
    <w:rsid w:val="00C47BAA"/>
    <w:rsid w:val="00C47D54"/>
    <w:rsid w:val="00C47DFD"/>
    <w:rsid w:val="00C501A6"/>
    <w:rsid w:val="00C50226"/>
    <w:rsid w:val="00C51C88"/>
    <w:rsid w:val="00C51EAC"/>
    <w:rsid w:val="00C52467"/>
    <w:rsid w:val="00C525A9"/>
    <w:rsid w:val="00C53380"/>
    <w:rsid w:val="00C5388D"/>
    <w:rsid w:val="00C53965"/>
    <w:rsid w:val="00C5480E"/>
    <w:rsid w:val="00C5488C"/>
    <w:rsid w:val="00C5531B"/>
    <w:rsid w:val="00C55626"/>
    <w:rsid w:val="00C56332"/>
    <w:rsid w:val="00C568A1"/>
    <w:rsid w:val="00C56FD2"/>
    <w:rsid w:val="00C57DA6"/>
    <w:rsid w:val="00C60F38"/>
    <w:rsid w:val="00C61175"/>
    <w:rsid w:val="00C61615"/>
    <w:rsid w:val="00C619B9"/>
    <w:rsid w:val="00C61DEE"/>
    <w:rsid w:val="00C625F6"/>
    <w:rsid w:val="00C62E8D"/>
    <w:rsid w:val="00C630FB"/>
    <w:rsid w:val="00C6344F"/>
    <w:rsid w:val="00C63A4D"/>
    <w:rsid w:val="00C63DE0"/>
    <w:rsid w:val="00C64043"/>
    <w:rsid w:val="00C6469C"/>
    <w:rsid w:val="00C65C36"/>
    <w:rsid w:val="00C662F9"/>
    <w:rsid w:val="00C67230"/>
    <w:rsid w:val="00C70EF0"/>
    <w:rsid w:val="00C711DA"/>
    <w:rsid w:val="00C71283"/>
    <w:rsid w:val="00C713DC"/>
    <w:rsid w:val="00C71F52"/>
    <w:rsid w:val="00C72004"/>
    <w:rsid w:val="00C72B9C"/>
    <w:rsid w:val="00C72F5F"/>
    <w:rsid w:val="00C7301F"/>
    <w:rsid w:val="00C7306F"/>
    <w:rsid w:val="00C7440E"/>
    <w:rsid w:val="00C7464C"/>
    <w:rsid w:val="00C74739"/>
    <w:rsid w:val="00C74761"/>
    <w:rsid w:val="00C74A04"/>
    <w:rsid w:val="00C74AC3"/>
    <w:rsid w:val="00C75416"/>
    <w:rsid w:val="00C75763"/>
    <w:rsid w:val="00C7591B"/>
    <w:rsid w:val="00C759CC"/>
    <w:rsid w:val="00C75B64"/>
    <w:rsid w:val="00C75F10"/>
    <w:rsid w:val="00C76EF1"/>
    <w:rsid w:val="00C77465"/>
    <w:rsid w:val="00C7749C"/>
    <w:rsid w:val="00C77FB5"/>
    <w:rsid w:val="00C805A1"/>
    <w:rsid w:val="00C81BF7"/>
    <w:rsid w:val="00C81ECA"/>
    <w:rsid w:val="00C825F1"/>
    <w:rsid w:val="00C828AD"/>
    <w:rsid w:val="00C83184"/>
    <w:rsid w:val="00C8404B"/>
    <w:rsid w:val="00C845AD"/>
    <w:rsid w:val="00C855DD"/>
    <w:rsid w:val="00C8608B"/>
    <w:rsid w:val="00C86D6A"/>
    <w:rsid w:val="00C87594"/>
    <w:rsid w:val="00C879CA"/>
    <w:rsid w:val="00C87DFF"/>
    <w:rsid w:val="00C9079D"/>
    <w:rsid w:val="00C9086A"/>
    <w:rsid w:val="00C90D21"/>
    <w:rsid w:val="00C90D77"/>
    <w:rsid w:val="00C918D1"/>
    <w:rsid w:val="00C919CB"/>
    <w:rsid w:val="00C92F3B"/>
    <w:rsid w:val="00C934D8"/>
    <w:rsid w:val="00C9647D"/>
    <w:rsid w:val="00C96E93"/>
    <w:rsid w:val="00C97146"/>
    <w:rsid w:val="00C97157"/>
    <w:rsid w:val="00C978D9"/>
    <w:rsid w:val="00CA02D7"/>
    <w:rsid w:val="00CA06CD"/>
    <w:rsid w:val="00CA108E"/>
    <w:rsid w:val="00CA1976"/>
    <w:rsid w:val="00CA2419"/>
    <w:rsid w:val="00CA2564"/>
    <w:rsid w:val="00CA2735"/>
    <w:rsid w:val="00CA2CD4"/>
    <w:rsid w:val="00CA327E"/>
    <w:rsid w:val="00CA364B"/>
    <w:rsid w:val="00CA37F1"/>
    <w:rsid w:val="00CA4697"/>
    <w:rsid w:val="00CA4B4F"/>
    <w:rsid w:val="00CA563A"/>
    <w:rsid w:val="00CA582C"/>
    <w:rsid w:val="00CA6002"/>
    <w:rsid w:val="00CA6137"/>
    <w:rsid w:val="00CA6310"/>
    <w:rsid w:val="00CA6E3B"/>
    <w:rsid w:val="00CA7473"/>
    <w:rsid w:val="00CA7504"/>
    <w:rsid w:val="00CB012B"/>
    <w:rsid w:val="00CB09C0"/>
    <w:rsid w:val="00CB0AAA"/>
    <w:rsid w:val="00CB124A"/>
    <w:rsid w:val="00CB25A5"/>
    <w:rsid w:val="00CB2710"/>
    <w:rsid w:val="00CB30D8"/>
    <w:rsid w:val="00CB3196"/>
    <w:rsid w:val="00CB3282"/>
    <w:rsid w:val="00CB38C9"/>
    <w:rsid w:val="00CB4AB7"/>
    <w:rsid w:val="00CB519D"/>
    <w:rsid w:val="00CB57FD"/>
    <w:rsid w:val="00CB5C42"/>
    <w:rsid w:val="00CB6155"/>
    <w:rsid w:val="00CB6CB0"/>
    <w:rsid w:val="00CB6CDE"/>
    <w:rsid w:val="00CB76B1"/>
    <w:rsid w:val="00CB7F71"/>
    <w:rsid w:val="00CC04CD"/>
    <w:rsid w:val="00CC0D3D"/>
    <w:rsid w:val="00CC15F0"/>
    <w:rsid w:val="00CC1CFA"/>
    <w:rsid w:val="00CC2E2A"/>
    <w:rsid w:val="00CC5D6E"/>
    <w:rsid w:val="00CC6099"/>
    <w:rsid w:val="00CC69AB"/>
    <w:rsid w:val="00CC7177"/>
    <w:rsid w:val="00CC726F"/>
    <w:rsid w:val="00CD06A2"/>
    <w:rsid w:val="00CD0E5F"/>
    <w:rsid w:val="00CD14C3"/>
    <w:rsid w:val="00CD16D3"/>
    <w:rsid w:val="00CD2B7F"/>
    <w:rsid w:val="00CD3702"/>
    <w:rsid w:val="00CD3745"/>
    <w:rsid w:val="00CD3B60"/>
    <w:rsid w:val="00CD3FCE"/>
    <w:rsid w:val="00CD3FE9"/>
    <w:rsid w:val="00CD4693"/>
    <w:rsid w:val="00CD5118"/>
    <w:rsid w:val="00CD56D9"/>
    <w:rsid w:val="00CD6980"/>
    <w:rsid w:val="00CD6C67"/>
    <w:rsid w:val="00CE01D8"/>
    <w:rsid w:val="00CE0F6A"/>
    <w:rsid w:val="00CE116D"/>
    <w:rsid w:val="00CE19B1"/>
    <w:rsid w:val="00CE2373"/>
    <w:rsid w:val="00CE2C4B"/>
    <w:rsid w:val="00CE34B5"/>
    <w:rsid w:val="00CE3B5B"/>
    <w:rsid w:val="00CE4641"/>
    <w:rsid w:val="00CE4FB5"/>
    <w:rsid w:val="00CE52B6"/>
    <w:rsid w:val="00CE5313"/>
    <w:rsid w:val="00CE5399"/>
    <w:rsid w:val="00CE5716"/>
    <w:rsid w:val="00CE595C"/>
    <w:rsid w:val="00CE5FA8"/>
    <w:rsid w:val="00CE6149"/>
    <w:rsid w:val="00CE67BA"/>
    <w:rsid w:val="00CE6EB9"/>
    <w:rsid w:val="00CE6F49"/>
    <w:rsid w:val="00CE72AD"/>
    <w:rsid w:val="00CF052F"/>
    <w:rsid w:val="00CF054E"/>
    <w:rsid w:val="00CF0F79"/>
    <w:rsid w:val="00CF142D"/>
    <w:rsid w:val="00CF245E"/>
    <w:rsid w:val="00CF30A3"/>
    <w:rsid w:val="00CF368F"/>
    <w:rsid w:val="00CF3C13"/>
    <w:rsid w:val="00CF40B5"/>
    <w:rsid w:val="00CF44F3"/>
    <w:rsid w:val="00CF4816"/>
    <w:rsid w:val="00CF52CB"/>
    <w:rsid w:val="00CF5FD5"/>
    <w:rsid w:val="00CF6928"/>
    <w:rsid w:val="00CF7962"/>
    <w:rsid w:val="00D003A4"/>
    <w:rsid w:val="00D0079C"/>
    <w:rsid w:val="00D008FC"/>
    <w:rsid w:val="00D00DF2"/>
    <w:rsid w:val="00D01A79"/>
    <w:rsid w:val="00D02440"/>
    <w:rsid w:val="00D02F99"/>
    <w:rsid w:val="00D030FB"/>
    <w:rsid w:val="00D036FC"/>
    <w:rsid w:val="00D04596"/>
    <w:rsid w:val="00D05A8F"/>
    <w:rsid w:val="00D06791"/>
    <w:rsid w:val="00D06DC7"/>
    <w:rsid w:val="00D06E64"/>
    <w:rsid w:val="00D07060"/>
    <w:rsid w:val="00D070AB"/>
    <w:rsid w:val="00D10E90"/>
    <w:rsid w:val="00D11117"/>
    <w:rsid w:val="00D11175"/>
    <w:rsid w:val="00D11209"/>
    <w:rsid w:val="00D1186B"/>
    <w:rsid w:val="00D1194C"/>
    <w:rsid w:val="00D11DF7"/>
    <w:rsid w:val="00D120FA"/>
    <w:rsid w:val="00D1344C"/>
    <w:rsid w:val="00D13908"/>
    <w:rsid w:val="00D14066"/>
    <w:rsid w:val="00D15662"/>
    <w:rsid w:val="00D156E6"/>
    <w:rsid w:val="00D15839"/>
    <w:rsid w:val="00D15B76"/>
    <w:rsid w:val="00D16471"/>
    <w:rsid w:val="00D1722C"/>
    <w:rsid w:val="00D1749E"/>
    <w:rsid w:val="00D20223"/>
    <w:rsid w:val="00D205AF"/>
    <w:rsid w:val="00D20785"/>
    <w:rsid w:val="00D21381"/>
    <w:rsid w:val="00D22409"/>
    <w:rsid w:val="00D23B0D"/>
    <w:rsid w:val="00D23CFE"/>
    <w:rsid w:val="00D24797"/>
    <w:rsid w:val="00D25F84"/>
    <w:rsid w:val="00D25FD5"/>
    <w:rsid w:val="00D26298"/>
    <w:rsid w:val="00D2743D"/>
    <w:rsid w:val="00D274ED"/>
    <w:rsid w:val="00D27821"/>
    <w:rsid w:val="00D3086C"/>
    <w:rsid w:val="00D30985"/>
    <w:rsid w:val="00D30FDE"/>
    <w:rsid w:val="00D3156D"/>
    <w:rsid w:val="00D31631"/>
    <w:rsid w:val="00D31CF9"/>
    <w:rsid w:val="00D31EB2"/>
    <w:rsid w:val="00D3239F"/>
    <w:rsid w:val="00D32550"/>
    <w:rsid w:val="00D32877"/>
    <w:rsid w:val="00D32905"/>
    <w:rsid w:val="00D32A9D"/>
    <w:rsid w:val="00D33CD3"/>
    <w:rsid w:val="00D3450B"/>
    <w:rsid w:val="00D34AF0"/>
    <w:rsid w:val="00D34D5B"/>
    <w:rsid w:val="00D3512C"/>
    <w:rsid w:val="00D35948"/>
    <w:rsid w:val="00D366B0"/>
    <w:rsid w:val="00D37225"/>
    <w:rsid w:val="00D37871"/>
    <w:rsid w:val="00D379CF"/>
    <w:rsid w:val="00D40C30"/>
    <w:rsid w:val="00D40CED"/>
    <w:rsid w:val="00D40FAD"/>
    <w:rsid w:val="00D41017"/>
    <w:rsid w:val="00D4101B"/>
    <w:rsid w:val="00D41D4D"/>
    <w:rsid w:val="00D42D82"/>
    <w:rsid w:val="00D43409"/>
    <w:rsid w:val="00D436DE"/>
    <w:rsid w:val="00D45AF7"/>
    <w:rsid w:val="00D45C30"/>
    <w:rsid w:val="00D46934"/>
    <w:rsid w:val="00D46FA4"/>
    <w:rsid w:val="00D479CA"/>
    <w:rsid w:val="00D50345"/>
    <w:rsid w:val="00D50839"/>
    <w:rsid w:val="00D5153B"/>
    <w:rsid w:val="00D51B37"/>
    <w:rsid w:val="00D5253E"/>
    <w:rsid w:val="00D52A76"/>
    <w:rsid w:val="00D52BA3"/>
    <w:rsid w:val="00D52C06"/>
    <w:rsid w:val="00D53276"/>
    <w:rsid w:val="00D53A32"/>
    <w:rsid w:val="00D54D8B"/>
    <w:rsid w:val="00D54F84"/>
    <w:rsid w:val="00D551A7"/>
    <w:rsid w:val="00D55A07"/>
    <w:rsid w:val="00D55A7B"/>
    <w:rsid w:val="00D55FE1"/>
    <w:rsid w:val="00D56F33"/>
    <w:rsid w:val="00D60484"/>
    <w:rsid w:val="00D6063A"/>
    <w:rsid w:val="00D60A5D"/>
    <w:rsid w:val="00D60EF1"/>
    <w:rsid w:val="00D60F26"/>
    <w:rsid w:val="00D60FD3"/>
    <w:rsid w:val="00D610C7"/>
    <w:rsid w:val="00D6127D"/>
    <w:rsid w:val="00D62957"/>
    <w:rsid w:val="00D62C7E"/>
    <w:rsid w:val="00D63086"/>
    <w:rsid w:val="00D634C1"/>
    <w:rsid w:val="00D63BBB"/>
    <w:rsid w:val="00D657E0"/>
    <w:rsid w:val="00D65856"/>
    <w:rsid w:val="00D65C5E"/>
    <w:rsid w:val="00D6664C"/>
    <w:rsid w:val="00D669A2"/>
    <w:rsid w:val="00D70671"/>
    <w:rsid w:val="00D708D3"/>
    <w:rsid w:val="00D70ADA"/>
    <w:rsid w:val="00D714A3"/>
    <w:rsid w:val="00D720AD"/>
    <w:rsid w:val="00D724BF"/>
    <w:rsid w:val="00D72744"/>
    <w:rsid w:val="00D728E3"/>
    <w:rsid w:val="00D7292C"/>
    <w:rsid w:val="00D73489"/>
    <w:rsid w:val="00D738A4"/>
    <w:rsid w:val="00D738ED"/>
    <w:rsid w:val="00D74FBA"/>
    <w:rsid w:val="00D75464"/>
    <w:rsid w:val="00D754DC"/>
    <w:rsid w:val="00D75906"/>
    <w:rsid w:val="00D75A80"/>
    <w:rsid w:val="00D75CB1"/>
    <w:rsid w:val="00D764EC"/>
    <w:rsid w:val="00D76981"/>
    <w:rsid w:val="00D76AAC"/>
    <w:rsid w:val="00D76BEF"/>
    <w:rsid w:val="00D773E7"/>
    <w:rsid w:val="00D8230E"/>
    <w:rsid w:val="00D82988"/>
    <w:rsid w:val="00D84B41"/>
    <w:rsid w:val="00D85546"/>
    <w:rsid w:val="00D85A5B"/>
    <w:rsid w:val="00D85BB9"/>
    <w:rsid w:val="00D85CCF"/>
    <w:rsid w:val="00D85ED3"/>
    <w:rsid w:val="00D85F20"/>
    <w:rsid w:val="00D876A5"/>
    <w:rsid w:val="00D87AFB"/>
    <w:rsid w:val="00D87CA1"/>
    <w:rsid w:val="00D907C3"/>
    <w:rsid w:val="00D9140A"/>
    <w:rsid w:val="00D91D26"/>
    <w:rsid w:val="00D92CC9"/>
    <w:rsid w:val="00D92FEE"/>
    <w:rsid w:val="00D935CE"/>
    <w:rsid w:val="00D937D6"/>
    <w:rsid w:val="00D9399C"/>
    <w:rsid w:val="00D94F76"/>
    <w:rsid w:val="00D95775"/>
    <w:rsid w:val="00D95C23"/>
    <w:rsid w:val="00D97756"/>
    <w:rsid w:val="00D97943"/>
    <w:rsid w:val="00D97EC7"/>
    <w:rsid w:val="00DA067F"/>
    <w:rsid w:val="00DA068C"/>
    <w:rsid w:val="00DA0719"/>
    <w:rsid w:val="00DA12AF"/>
    <w:rsid w:val="00DA2256"/>
    <w:rsid w:val="00DA276B"/>
    <w:rsid w:val="00DA284F"/>
    <w:rsid w:val="00DA28C9"/>
    <w:rsid w:val="00DA2ADB"/>
    <w:rsid w:val="00DA2F03"/>
    <w:rsid w:val="00DA35BB"/>
    <w:rsid w:val="00DA3B55"/>
    <w:rsid w:val="00DA42C2"/>
    <w:rsid w:val="00DA4369"/>
    <w:rsid w:val="00DA4DB0"/>
    <w:rsid w:val="00DA4E5B"/>
    <w:rsid w:val="00DA630D"/>
    <w:rsid w:val="00DA7FCF"/>
    <w:rsid w:val="00DB0B84"/>
    <w:rsid w:val="00DB155D"/>
    <w:rsid w:val="00DB1DA9"/>
    <w:rsid w:val="00DB24CC"/>
    <w:rsid w:val="00DB2A74"/>
    <w:rsid w:val="00DB2F45"/>
    <w:rsid w:val="00DB3315"/>
    <w:rsid w:val="00DB37DE"/>
    <w:rsid w:val="00DB396D"/>
    <w:rsid w:val="00DB3A31"/>
    <w:rsid w:val="00DB3AAB"/>
    <w:rsid w:val="00DB438D"/>
    <w:rsid w:val="00DB4ED4"/>
    <w:rsid w:val="00DB50FB"/>
    <w:rsid w:val="00DB553E"/>
    <w:rsid w:val="00DB57B9"/>
    <w:rsid w:val="00DB641C"/>
    <w:rsid w:val="00DB64C0"/>
    <w:rsid w:val="00DB6617"/>
    <w:rsid w:val="00DB692E"/>
    <w:rsid w:val="00DB69FC"/>
    <w:rsid w:val="00DB77CE"/>
    <w:rsid w:val="00DB78DF"/>
    <w:rsid w:val="00DB7A72"/>
    <w:rsid w:val="00DB7B73"/>
    <w:rsid w:val="00DC0082"/>
    <w:rsid w:val="00DC0130"/>
    <w:rsid w:val="00DC0543"/>
    <w:rsid w:val="00DC0700"/>
    <w:rsid w:val="00DC07ED"/>
    <w:rsid w:val="00DC29D1"/>
    <w:rsid w:val="00DC328F"/>
    <w:rsid w:val="00DC3532"/>
    <w:rsid w:val="00DC394C"/>
    <w:rsid w:val="00DC3E9A"/>
    <w:rsid w:val="00DC4FF9"/>
    <w:rsid w:val="00DC505A"/>
    <w:rsid w:val="00DC5213"/>
    <w:rsid w:val="00DC583B"/>
    <w:rsid w:val="00DC5863"/>
    <w:rsid w:val="00DC6000"/>
    <w:rsid w:val="00DC6657"/>
    <w:rsid w:val="00DC66B7"/>
    <w:rsid w:val="00DC6A0A"/>
    <w:rsid w:val="00DC6BBE"/>
    <w:rsid w:val="00DC6CA9"/>
    <w:rsid w:val="00DC711F"/>
    <w:rsid w:val="00DC7826"/>
    <w:rsid w:val="00DC7A76"/>
    <w:rsid w:val="00DC7B09"/>
    <w:rsid w:val="00DD02E5"/>
    <w:rsid w:val="00DD1607"/>
    <w:rsid w:val="00DD18CF"/>
    <w:rsid w:val="00DD1B8A"/>
    <w:rsid w:val="00DD2430"/>
    <w:rsid w:val="00DD2642"/>
    <w:rsid w:val="00DD30AF"/>
    <w:rsid w:val="00DD45C0"/>
    <w:rsid w:val="00DD4707"/>
    <w:rsid w:val="00DD47CC"/>
    <w:rsid w:val="00DD4BE8"/>
    <w:rsid w:val="00DD4EE3"/>
    <w:rsid w:val="00DD4F9F"/>
    <w:rsid w:val="00DD553F"/>
    <w:rsid w:val="00DD5771"/>
    <w:rsid w:val="00DD5A3D"/>
    <w:rsid w:val="00DD5E76"/>
    <w:rsid w:val="00DD60FB"/>
    <w:rsid w:val="00DD6545"/>
    <w:rsid w:val="00DD6E76"/>
    <w:rsid w:val="00DD7734"/>
    <w:rsid w:val="00DD775F"/>
    <w:rsid w:val="00DE04B8"/>
    <w:rsid w:val="00DE0E35"/>
    <w:rsid w:val="00DE2C0D"/>
    <w:rsid w:val="00DE2E29"/>
    <w:rsid w:val="00DE2E83"/>
    <w:rsid w:val="00DE37AF"/>
    <w:rsid w:val="00DE4075"/>
    <w:rsid w:val="00DE40D0"/>
    <w:rsid w:val="00DE41CA"/>
    <w:rsid w:val="00DE4EAB"/>
    <w:rsid w:val="00DE4EBB"/>
    <w:rsid w:val="00DE52F8"/>
    <w:rsid w:val="00DE5465"/>
    <w:rsid w:val="00DE54D7"/>
    <w:rsid w:val="00DE5C0E"/>
    <w:rsid w:val="00DE5C1B"/>
    <w:rsid w:val="00DE5EC8"/>
    <w:rsid w:val="00DE748B"/>
    <w:rsid w:val="00DE79AA"/>
    <w:rsid w:val="00DE7B78"/>
    <w:rsid w:val="00DF023B"/>
    <w:rsid w:val="00DF075F"/>
    <w:rsid w:val="00DF0FAA"/>
    <w:rsid w:val="00DF1566"/>
    <w:rsid w:val="00DF18F8"/>
    <w:rsid w:val="00DF1A64"/>
    <w:rsid w:val="00DF2115"/>
    <w:rsid w:val="00DF249F"/>
    <w:rsid w:val="00DF2676"/>
    <w:rsid w:val="00DF2957"/>
    <w:rsid w:val="00DF2D57"/>
    <w:rsid w:val="00DF446F"/>
    <w:rsid w:val="00DF45E2"/>
    <w:rsid w:val="00DF5C70"/>
    <w:rsid w:val="00DF5CAA"/>
    <w:rsid w:val="00DF6335"/>
    <w:rsid w:val="00DF67EB"/>
    <w:rsid w:val="00DF6C9F"/>
    <w:rsid w:val="00DF70B3"/>
    <w:rsid w:val="00DF70C3"/>
    <w:rsid w:val="00DF7B74"/>
    <w:rsid w:val="00E001D0"/>
    <w:rsid w:val="00E0080D"/>
    <w:rsid w:val="00E00BD1"/>
    <w:rsid w:val="00E00D96"/>
    <w:rsid w:val="00E00E52"/>
    <w:rsid w:val="00E016EC"/>
    <w:rsid w:val="00E020A5"/>
    <w:rsid w:val="00E021AB"/>
    <w:rsid w:val="00E02943"/>
    <w:rsid w:val="00E02E62"/>
    <w:rsid w:val="00E0336B"/>
    <w:rsid w:val="00E05512"/>
    <w:rsid w:val="00E05AA2"/>
    <w:rsid w:val="00E05C54"/>
    <w:rsid w:val="00E06138"/>
    <w:rsid w:val="00E067AD"/>
    <w:rsid w:val="00E0695D"/>
    <w:rsid w:val="00E06C78"/>
    <w:rsid w:val="00E075BB"/>
    <w:rsid w:val="00E075DF"/>
    <w:rsid w:val="00E0761E"/>
    <w:rsid w:val="00E077A8"/>
    <w:rsid w:val="00E077B9"/>
    <w:rsid w:val="00E07960"/>
    <w:rsid w:val="00E101FE"/>
    <w:rsid w:val="00E103EC"/>
    <w:rsid w:val="00E104B0"/>
    <w:rsid w:val="00E1066C"/>
    <w:rsid w:val="00E108B8"/>
    <w:rsid w:val="00E10EE8"/>
    <w:rsid w:val="00E11389"/>
    <w:rsid w:val="00E12EB3"/>
    <w:rsid w:val="00E12F89"/>
    <w:rsid w:val="00E133BC"/>
    <w:rsid w:val="00E138AF"/>
    <w:rsid w:val="00E14403"/>
    <w:rsid w:val="00E15043"/>
    <w:rsid w:val="00E15356"/>
    <w:rsid w:val="00E158E6"/>
    <w:rsid w:val="00E1635B"/>
    <w:rsid w:val="00E16516"/>
    <w:rsid w:val="00E17566"/>
    <w:rsid w:val="00E20219"/>
    <w:rsid w:val="00E20442"/>
    <w:rsid w:val="00E20842"/>
    <w:rsid w:val="00E20BB7"/>
    <w:rsid w:val="00E21726"/>
    <w:rsid w:val="00E22F63"/>
    <w:rsid w:val="00E23010"/>
    <w:rsid w:val="00E23222"/>
    <w:rsid w:val="00E23493"/>
    <w:rsid w:val="00E23813"/>
    <w:rsid w:val="00E238B5"/>
    <w:rsid w:val="00E239E8"/>
    <w:rsid w:val="00E23C3C"/>
    <w:rsid w:val="00E24E2A"/>
    <w:rsid w:val="00E2558A"/>
    <w:rsid w:val="00E25FA7"/>
    <w:rsid w:val="00E26118"/>
    <w:rsid w:val="00E26FBC"/>
    <w:rsid w:val="00E270A1"/>
    <w:rsid w:val="00E277E3"/>
    <w:rsid w:val="00E27A44"/>
    <w:rsid w:val="00E27EA1"/>
    <w:rsid w:val="00E3080D"/>
    <w:rsid w:val="00E30A81"/>
    <w:rsid w:val="00E31A0B"/>
    <w:rsid w:val="00E33B2C"/>
    <w:rsid w:val="00E33DEC"/>
    <w:rsid w:val="00E36345"/>
    <w:rsid w:val="00E364D5"/>
    <w:rsid w:val="00E366C1"/>
    <w:rsid w:val="00E36AE2"/>
    <w:rsid w:val="00E36C2C"/>
    <w:rsid w:val="00E37F80"/>
    <w:rsid w:val="00E401F9"/>
    <w:rsid w:val="00E4063A"/>
    <w:rsid w:val="00E411A9"/>
    <w:rsid w:val="00E4403A"/>
    <w:rsid w:val="00E4408F"/>
    <w:rsid w:val="00E4489D"/>
    <w:rsid w:val="00E44B27"/>
    <w:rsid w:val="00E44F81"/>
    <w:rsid w:val="00E45AA7"/>
    <w:rsid w:val="00E45BEA"/>
    <w:rsid w:val="00E46470"/>
    <w:rsid w:val="00E46816"/>
    <w:rsid w:val="00E46D5A"/>
    <w:rsid w:val="00E46D6D"/>
    <w:rsid w:val="00E46EDC"/>
    <w:rsid w:val="00E47571"/>
    <w:rsid w:val="00E47836"/>
    <w:rsid w:val="00E47E5F"/>
    <w:rsid w:val="00E50B6C"/>
    <w:rsid w:val="00E50D66"/>
    <w:rsid w:val="00E5187C"/>
    <w:rsid w:val="00E5225F"/>
    <w:rsid w:val="00E52650"/>
    <w:rsid w:val="00E5268D"/>
    <w:rsid w:val="00E538CA"/>
    <w:rsid w:val="00E53AE1"/>
    <w:rsid w:val="00E53B1D"/>
    <w:rsid w:val="00E53BAD"/>
    <w:rsid w:val="00E568B4"/>
    <w:rsid w:val="00E611F2"/>
    <w:rsid w:val="00E613A8"/>
    <w:rsid w:val="00E61681"/>
    <w:rsid w:val="00E622CF"/>
    <w:rsid w:val="00E62CC2"/>
    <w:rsid w:val="00E63275"/>
    <w:rsid w:val="00E63516"/>
    <w:rsid w:val="00E63C6A"/>
    <w:rsid w:val="00E640AF"/>
    <w:rsid w:val="00E64283"/>
    <w:rsid w:val="00E64718"/>
    <w:rsid w:val="00E64F25"/>
    <w:rsid w:val="00E64F34"/>
    <w:rsid w:val="00E6515D"/>
    <w:rsid w:val="00E65520"/>
    <w:rsid w:val="00E656F3"/>
    <w:rsid w:val="00E6672A"/>
    <w:rsid w:val="00E6702C"/>
    <w:rsid w:val="00E67203"/>
    <w:rsid w:val="00E672D6"/>
    <w:rsid w:val="00E675A1"/>
    <w:rsid w:val="00E67737"/>
    <w:rsid w:val="00E67DA6"/>
    <w:rsid w:val="00E705D8"/>
    <w:rsid w:val="00E70676"/>
    <w:rsid w:val="00E711E1"/>
    <w:rsid w:val="00E72761"/>
    <w:rsid w:val="00E72AFB"/>
    <w:rsid w:val="00E73074"/>
    <w:rsid w:val="00E7356A"/>
    <w:rsid w:val="00E735BF"/>
    <w:rsid w:val="00E73B0C"/>
    <w:rsid w:val="00E743D9"/>
    <w:rsid w:val="00E74662"/>
    <w:rsid w:val="00E74ACC"/>
    <w:rsid w:val="00E74EE4"/>
    <w:rsid w:val="00E75033"/>
    <w:rsid w:val="00E75859"/>
    <w:rsid w:val="00E77530"/>
    <w:rsid w:val="00E77A68"/>
    <w:rsid w:val="00E77D81"/>
    <w:rsid w:val="00E8055E"/>
    <w:rsid w:val="00E81418"/>
    <w:rsid w:val="00E81E37"/>
    <w:rsid w:val="00E81E62"/>
    <w:rsid w:val="00E82C24"/>
    <w:rsid w:val="00E82D83"/>
    <w:rsid w:val="00E836C9"/>
    <w:rsid w:val="00E83903"/>
    <w:rsid w:val="00E83975"/>
    <w:rsid w:val="00E8404F"/>
    <w:rsid w:val="00E8470B"/>
    <w:rsid w:val="00E84776"/>
    <w:rsid w:val="00E84822"/>
    <w:rsid w:val="00E85D2F"/>
    <w:rsid w:val="00E8604D"/>
    <w:rsid w:val="00E8616D"/>
    <w:rsid w:val="00E86382"/>
    <w:rsid w:val="00E867D2"/>
    <w:rsid w:val="00E87247"/>
    <w:rsid w:val="00E8741F"/>
    <w:rsid w:val="00E87B8E"/>
    <w:rsid w:val="00E917BD"/>
    <w:rsid w:val="00E91A0A"/>
    <w:rsid w:val="00E92291"/>
    <w:rsid w:val="00E92B69"/>
    <w:rsid w:val="00E939DC"/>
    <w:rsid w:val="00E9413D"/>
    <w:rsid w:val="00E94796"/>
    <w:rsid w:val="00E949EE"/>
    <w:rsid w:val="00E952A1"/>
    <w:rsid w:val="00E955DC"/>
    <w:rsid w:val="00E96209"/>
    <w:rsid w:val="00E962C7"/>
    <w:rsid w:val="00E9663B"/>
    <w:rsid w:val="00E97118"/>
    <w:rsid w:val="00E974E7"/>
    <w:rsid w:val="00E97BF0"/>
    <w:rsid w:val="00EA0FDA"/>
    <w:rsid w:val="00EA1367"/>
    <w:rsid w:val="00EA1FA5"/>
    <w:rsid w:val="00EA272F"/>
    <w:rsid w:val="00EA2882"/>
    <w:rsid w:val="00EA2ED7"/>
    <w:rsid w:val="00EA367F"/>
    <w:rsid w:val="00EA38AC"/>
    <w:rsid w:val="00EA4526"/>
    <w:rsid w:val="00EA49E0"/>
    <w:rsid w:val="00EA5465"/>
    <w:rsid w:val="00EA5684"/>
    <w:rsid w:val="00EA57BD"/>
    <w:rsid w:val="00EA6321"/>
    <w:rsid w:val="00EB03DA"/>
    <w:rsid w:val="00EB05D6"/>
    <w:rsid w:val="00EB0788"/>
    <w:rsid w:val="00EB2B04"/>
    <w:rsid w:val="00EB2CA2"/>
    <w:rsid w:val="00EB322D"/>
    <w:rsid w:val="00EB353D"/>
    <w:rsid w:val="00EB36B2"/>
    <w:rsid w:val="00EB4624"/>
    <w:rsid w:val="00EB5537"/>
    <w:rsid w:val="00EB55CD"/>
    <w:rsid w:val="00EB649E"/>
    <w:rsid w:val="00EB6A34"/>
    <w:rsid w:val="00EB6B42"/>
    <w:rsid w:val="00EB743C"/>
    <w:rsid w:val="00EB7A14"/>
    <w:rsid w:val="00EB7DB4"/>
    <w:rsid w:val="00EC0150"/>
    <w:rsid w:val="00EC0D07"/>
    <w:rsid w:val="00EC18D9"/>
    <w:rsid w:val="00EC2367"/>
    <w:rsid w:val="00EC23E3"/>
    <w:rsid w:val="00EC23E9"/>
    <w:rsid w:val="00EC31E5"/>
    <w:rsid w:val="00EC3652"/>
    <w:rsid w:val="00EC3B14"/>
    <w:rsid w:val="00EC3C6C"/>
    <w:rsid w:val="00EC4E02"/>
    <w:rsid w:val="00EC6CF0"/>
    <w:rsid w:val="00EC7C87"/>
    <w:rsid w:val="00EC7CDE"/>
    <w:rsid w:val="00EC7D15"/>
    <w:rsid w:val="00ED0A51"/>
    <w:rsid w:val="00ED0EFB"/>
    <w:rsid w:val="00ED0F1B"/>
    <w:rsid w:val="00ED180A"/>
    <w:rsid w:val="00ED1E70"/>
    <w:rsid w:val="00ED2AB4"/>
    <w:rsid w:val="00ED2F52"/>
    <w:rsid w:val="00ED42DB"/>
    <w:rsid w:val="00ED4C58"/>
    <w:rsid w:val="00ED5794"/>
    <w:rsid w:val="00ED5DE1"/>
    <w:rsid w:val="00ED6742"/>
    <w:rsid w:val="00ED6817"/>
    <w:rsid w:val="00ED705A"/>
    <w:rsid w:val="00ED760F"/>
    <w:rsid w:val="00ED7A49"/>
    <w:rsid w:val="00ED7C1D"/>
    <w:rsid w:val="00EE0910"/>
    <w:rsid w:val="00EE0CDE"/>
    <w:rsid w:val="00EE0F40"/>
    <w:rsid w:val="00EE2E96"/>
    <w:rsid w:val="00EE3224"/>
    <w:rsid w:val="00EE3413"/>
    <w:rsid w:val="00EE35C6"/>
    <w:rsid w:val="00EE3B04"/>
    <w:rsid w:val="00EE3C85"/>
    <w:rsid w:val="00EE3EA7"/>
    <w:rsid w:val="00EE4351"/>
    <w:rsid w:val="00EE47DA"/>
    <w:rsid w:val="00EE4B41"/>
    <w:rsid w:val="00EE4BF7"/>
    <w:rsid w:val="00EE50FD"/>
    <w:rsid w:val="00EE6450"/>
    <w:rsid w:val="00EE66F7"/>
    <w:rsid w:val="00EE678D"/>
    <w:rsid w:val="00EE6D00"/>
    <w:rsid w:val="00EF0297"/>
    <w:rsid w:val="00EF0465"/>
    <w:rsid w:val="00EF3BAE"/>
    <w:rsid w:val="00EF45DA"/>
    <w:rsid w:val="00EF5066"/>
    <w:rsid w:val="00EF5713"/>
    <w:rsid w:val="00EF6055"/>
    <w:rsid w:val="00EF635C"/>
    <w:rsid w:val="00EF6A10"/>
    <w:rsid w:val="00EF71E2"/>
    <w:rsid w:val="00EF7810"/>
    <w:rsid w:val="00EF7853"/>
    <w:rsid w:val="00F00589"/>
    <w:rsid w:val="00F00AC3"/>
    <w:rsid w:val="00F00B58"/>
    <w:rsid w:val="00F010DD"/>
    <w:rsid w:val="00F01404"/>
    <w:rsid w:val="00F01C05"/>
    <w:rsid w:val="00F01EAB"/>
    <w:rsid w:val="00F02417"/>
    <w:rsid w:val="00F033EA"/>
    <w:rsid w:val="00F036F8"/>
    <w:rsid w:val="00F03F15"/>
    <w:rsid w:val="00F04051"/>
    <w:rsid w:val="00F046F2"/>
    <w:rsid w:val="00F051D2"/>
    <w:rsid w:val="00F05FC9"/>
    <w:rsid w:val="00F0626C"/>
    <w:rsid w:val="00F06A70"/>
    <w:rsid w:val="00F06FE3"/>
    <w:rsid w:val="00F078C9"/>
    <w:rsid w:val="00F07F1F"/>
    <w:rsid w:val="00F11B18"/>
    <w:rsid w:val="00F12253"/>
    <w:rsid w:val="00F13631"/>
    <w:rsid w:val="00F13B60"/>
    <w:rsid w:val="00F1407B"/>
    <w:rsid w:val="00F14162"/>
    <w:rsid w:val="00F145F5"/>
    <w:rsid w:val="00F14A3D"/>
    <w:rsid w:val="00F15F92"/>
    <w:rsid w:val="00F16BE3"/>
    <w:rsid w:val="00F17198"/>
    <w:rsid w:val="00F172EB"/>
    <w:rsid w:val="00F1796C"/>
    <w:rsid w:val="00F17A2F"/>
    <w:rsid w:val="00F2013C"/>
    <w:rsid w:val="00F20455"/>
    <w:rsid w:val="00F2124F"/>
    <w:rsid w:val="00F2211D"/>
    <w:rsid w:val="00F224F9"/>
    <w:rsid w:val="00F225BC"/>
    <w:rsid w:val="00F22869"/>
    <w:rsid w:val="00F238E9"/>
    <w:rsid w:val="00F23E16"/>
    <w:rsid w:val="00F24224"/>
    <w:rsid w:val="00F251C3"/>
    <w:rsid w:val="00F252F3"/>
    <w:rsid w:val="00F25522"/>
    <w:rsid w:val="00F25E02"/>
    <w:rsid w:val="00F26762"/>
    <w:rsid w:val="00F268FE"/>
    <w:rsid w:val="00F26F4A"/>
    <w:rsid w:val="00F2709F"/>
    <w:rsid w:val="00F27CB5"/>
    <w:rsid w:val="00F27E08"/>
    <w:rsid w:val="00F30049"/>
    <w:rsid w:val="00F31105"/>
    <w:rsid w:val="00F31259"/>
    <w:rsid w:val="00F31E2F"/>
    <w:rsid w:val="00F32398"/>
    <w:rsid w:val="00F3299B"/>
    <w:rsid w:val="00F33738"/>
    <w:rsid w:val="00F33AC8"/>
    <w:rsid w:val="00F3419A"/>
    <w:rsid w:val="00F3445B"/>
    <w:rsid w:val="00F34831"/>
    <w:rsid w:val="00F34965"/>
    <w:rsid w:val="00F350CA"/>
    <w:rsid w:val="00F35BD8"/>
    <w:rsid w:val="00F35FCC"/>
    <w:rsid w:val="00F3660D"/>
    <w:rsid w:val="00F368CF"/>
    <w:rsid w:val="00F36C98"/>
    <w:rsid w:val="00F370E2"/>
    <w:rsid w:val="00F37181"/>
    <w:rsid w:val="00F3755A"/>
    <w:rsid w:val="00F4040F"/>
    <w:rsid w:val="00F40831"/>
    <w:rsid w:val="00F40BB0"/>
    <w:rsid w:val="00F4232C"/>
    <w:rsid w:val="00F43068"/>
    <w:rsid w:val="00F43457"/>
    <w:rsid w:val="00F437D9"/>
    <w:rsid w:val="00F43A52"/>
    <w:rsid w:val="00F4403E"/>
    <w:rsid w:val="00F44936"/>
    <w:rsid w:val="00F452FB"/>
    <w:rsid w:val="00F455E0"/>
    <w:rsid w:val="00F46ACA"/>
    <w:rsid w:val="00F46D0C"/>
    <w:rsid w:val="00F47B7F"/>
    <w:rsid w:val="00F47E32"/>
    <w:rsid w:val="00F50549"/>
    <w:rsid w:val="00F50648"/>
    <w:rsid w:val="00F509AB"/>
    <w:rsid w:val="00F50DAA"/>
    <w:rsid w:val="00F51241"/>
    <w:rsid w:val="00F517D9"/>
    <w:rsid w:val="00F5285E"/>
    <w:rsid w:val="00F536B2"/>
    <w:rsid w:val="00F53D02"/>
    <w:rsid w:val="00F53D55"/>
    <w:rsid w:val="00F53E49"/>
    <w:rsid w:val="00F546D8"/>
    <w:rsid w:val="00F547CC"/>
    <w:rsid w:val="00F54ABF"/>
    <w:rsid w:val="00F557A1"/>
    <w:rsid w:val="00F55CC0"/>
    <w:rsid w:val="00F560FD"/>
    <w:rsid w:val="00F56356"/>
    <w:rsid w:val="00F564CB"/>
    <w:rsid w:val="00F572CE"/>
    <w:rsid w:val="00F574DC"/>
    <w:rsid w:val="00F60469"/>
    <w:rsid w:val="00F6135E"/>
    <w:rsid w:val="00F621F2"/>
    <w:rsid w:val="00F6226D"/>
    <w:rsid w:val="00F62F31"/>
    <w:rsid w:val="00F632FF"/>
    <w:rsid w:val="00F634A7"/>
    <w:rsid w:val="00F634EE"/>
    <w:rsid w:val="00F6437D"/>
    <w:rsid w:val="00F6450E"/>
    <w:rsid w:val="00F64D08"/>
    <w:rsid w:val="00F650FC"/>
    <w:rsid w:val="00F65408"/>
    <w:rsid w:val="00F6673F"/>
    <w:rsid w:val="00F67066"/>
    <w:rsid w:val="00F670C1"/>
    <w:rsid w:val="00F67842"/>
    <w:rsid w:val="00F70B20"/>
    <w:rsid w:val="00F70F2C"/>
    <w:rsid w:val="00F71D03"/>
    <w:rsid w:val="00F71D6E"/>
    <w:rsid w:val="00F724AC"/>
    <w:rsid w:val="00F72B61"/>
    <w:rsid w:val="00F72EE4"/>
    <w:rsid w:val="00F72FBB"/>
    <w:rsid w:val="00F7364A"/>
    <w:rsid w:val="00F73FFE"/>
    <w:rsid w:val="00F747EC"/>
    <w:rsid w:val="00F74D24"/>
    <w:rsid w:val="00F75091"/>
    <w:rsid w:val="00F75B59"/>
    <w:rsid w:val="00F75F75"/>
    <w:rsid w:val="00F76A4A"/>
    <w:rsid w:val="00F76F9A"/>
    <w:rsid w:val="00F77336"/>
    <w:rsid w:val="00F77636"/>
    <w:rsid w:val="00F77695"/>
    <w:rsid w:val="00F8001D"/>
    <w:rsid w:val="00F805E6"/>
    <w:rsid w:val="00F805F8"/>
    <w:rsid w:val="00F81046"/>
    <w:rsid w:val="00F8205B"/>
    <w:rsid w:val="00F82132"/>
    <w:rsid w:val="00F82890"/>
    <w:rsid w:val="00F8291C"/>
    <w:rsid w:val="00F829FE"/>
    <w:rsid w:val="00F82C17"/>
    <w:rsid w:val="00F82F96"/>
    <w:rsid w:val="00F830AE"/>
    <w:rsid w:val="00F83238"/>
    <w:rsid w:val="00F83275"/>
    <w:rsid w:val="00F844A5"/>
    <w:rsid w:val="00F8492B"/>
    <w:rsid w:val="00F85252"/>
    <w:rsid w:val="00F852CF"/>
    <w:rsid w:val="00F85AF8"/>
    <w:rsid w:val="00F86159"/>
    <w:rsid w:val="00F8690C"/>
    <w:rsid w:val="00F86B73"/>
    <w:rsid w:val="00F870BD"/>
    <w:rsid w:val="00F90186"/>
    <w:rsid w:val="00F90B5C"/>
    <w:rsid w:val="00F90C65"/>
    <w:rsid w:val="00F90EA0"/>
    <w:rsid w:val="00F91D6B"/>
    <w:rsid w:val="00F931F3"/>
    <w:rsid w:val="00F9337B"/>
    <w:rsid w:val="00F93ACF"/>
    <w:rsid w:val="00F93C47"/>
    <w:rsid w:val="00F940CD"/>
    <w:rsid w:val="00F943A5"/>
    <w:rsid w:val="00F946FF"/>
    <w:rsid w:val="00F94EA4"/>
    <w:rsid w:val="00F94EB7"/>
    <w:rsid w:val="00F953AD"/>
    <w:rsid w:val="00F957C6"/>
    <w:rsid w:val="00F95B2B"/>
    <w:rsid w:val="00F95C6F"/>
    <w:rsid w:val="00F962E3"/>
    <w:rsid w:val="00F9680E"/>
    <w:rsid w:val="00F979C3"/>
    <w:rsid w:val="00F97A4D"/>
    <w:rsid w:val="00FA0084"/>
    <w:rsid w:val="00FA0215"/>
    <w:rsid w:val="00FA0226"/>
    <w:rsid w:val="00FA0799"/>
    <w:rsid w:val="00FA0948"/>
    <w:rsid w:val="00FA09AA"/>
    <w:rsid w:val="00FA13F1"/>
    <w:rsid w:val="00FA1530"/>
    <w:rsid w:val="00FA173D"/>
    <w:rsid w:val="00FA1E94"/>
    <w:rsid w:val="00FA1FA6"/>
    <w:rsid w:val="00FA226D"/>
    <w:rsid w:val="00FA25C4"/>
    <w:rsid w:val="00FA262D"/>
    <w:rsid w:val="00FA34B1"/>
    <w:rsid w:val="00FA4588"/>
    <w:rsid w:val="00FA5166"/>
    <w:rsid w:val="00FA5A76"/>
    <w:rsid w:val="00FA5F57"/>
    <w:rsid w:val="00FA5FA3"/>
    <w:rsid w:val="00FA6055"/>
    <w:rsid w:val="00FA6398"/>
    <w:rsid w:val="00FA6FB5"/>
    <w:rsid w:val="00FB00FD"/>
    <w:rsid w:val="00FB0669"/>
    <w:rsid w:val="00FB06F5"/>
    <w:rsid w:val="00FB1085"/>
    <w:rsid w:val="00FB187C"/>
    <w:rsid w:val="00FB1C7D"/>
    <w:rsid w:val="00FB2248"/>
    <w:rsid w:val="00FB23D1"/>
    <w:rsid w:val="00FB2757"/>
    <w:rsid w:val="00FB276A"/>
    <w:rsid w:val="00FB29AE"/>
    <w:rsid w:val="00FB2CEA"/>
    <w:rsid w:val="00FB2FB9"/>
    <w:rsid w:val="00FB3310"/>
    <w:rsid w:val="00FB3513"/>
    <w:rsid w:val="00FB3896"/>
    <w:rsid w:val="00FB3C8D"/>
    <w:rsid w:val="00FB4168"/>
    <w:rsid w:val="00FB434E"/>
    <w:rsid w:val="00FB4A16"/>
    <w:rsid w:val="00FB4DFC"/>
    <w:rsid w:val="00FB4FCD"/>
    <w:rsid w:val="00FB529E"/>
    <w:rsid w:val="00FB5BE3"/>
    <w:rsid w:val="00FB6725"/>
    <w:rsid w:val="00FB6A01"/>
    <w:rsid w:val="00FB6DD1"/>
    <w:rsid w:val="00FB76E8"/>
    <w:rsid w:val="00FB7D3D"/>
    <w:rsid w:val="00FB7F33"/>
    <w:rsid w:val="00FC0AB3"/>
    <w:rsid w:val="00FC0D9D"/>
    <w:rsid w:val="00FC13A6"/>
    <w:rsid w:val="00FC1695"/>
    <w:rsid w:val="00FC1E3C"/>
    <w:rsid w:val="00FC1F68"/>
    <w:rsid w:val="00FC278B"/>
    <w:rsid w:val="00FC27A0"/>
    <w:rsid w:val="00FC31F9"/>
    <w:rsid w:val="00FC353F"/>
    <w:rsid w:val="00FC3A05"/>
    <w:rsid w:val="00FC3AA3"/>
    <w:rsid w:val="00FC4573"/>
    <w:rsid w:val="00FC4892"/>
    <w:rsid w:val="00FC4B3C"/>
    <w:rsid w:val="00FC5529"/>
    <w:rsid w:val="00FC5C44"/>
    <w:rsid w:val="00FC645E"/>
    <w:rsid w:val="00FC7142"/>
    <w:rsid w:val="00FC72F1"/>
    <w:rsid w:val="00FC780A"/>
    <w:rsid w:val="00FD0727"/>
    <w:rsid w:val="00FD0CAA"/>
    <w:rsid w:val="00FD1040"/>
    <w:rsid w:val="00FD1105"/>
    <w:rsid w:val="00FD11B6"/>
    <w:rsid w:val="00FD1382"/>
    <w:rsid w:val="00FD1813"/>
    <w:rsid w:val="00FD1E63"/>
    <w:rsid w:val="00FD211A"/>
    <w:rsid w:val="00FD28F2"/>
    <w:rsid w:val="00FD2B6F"/>
    <w:rsid w:val="00FD3A38"/>
    <w:rsid w:val="00FD4BA4"/>
    <w:rsid w:val="00FD511E"/>
    <w:rsid w:val="00FD5847"/>
    <w:rsid w:val="00FD59E0"/>
    <w:rsid w:val="00FD6555"/>
    <w:rsid w:val="00FD65DD"/>
    <w:rsid w:val="00FD724F"/>
    <w:rsid w:val="00FD7608"/>
    <w:rsid w:val="00FD7883"/>
    <w:rsid w:val="00FE0045"/>
    <w:rsid w:val="00FE1341"/>
    <w:rsid w:val="00FE19DE"/>
    <w:rsid w:val="00FE1A46"/>
    <w:rsid w:val="00FE3452"/>
    <w:rsid w:val="00FE55E8"/>
    <w:rsid w:val="00FE5A3B"/>
    <w:rsid w:val="00FE668F"/>
    <w:rsid w:val="00FE67D4"/>
    <w:rsid w:val="00FE6920"/>
    <w:rsid w:val="00FE6B15"/>
    <w:rsid w:val="00FE7702"/>
    <w:rsid w:val="00FE78DC"/>
    <w:rsid w:val="00FF0E63"/>
    <w:rsid w:val="00FF14F5"/>
    <w:rsid w:val="00FF3051"/>
    <w:rsid w:val="00FF3090"/>
    <w:rsid w:val="00FF4AED"/>
    <w:rsid w:val="00FF5D4F"/>
    <w:rsid w:val="00FF5EF5"/>
    <w:rsid w:val="00FF6E52"/>
    <w:rsid w:val="00FF70EE"/>
    <w:rsid w:val="00FF7417"/>
    <w:rsid w:val="00FF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625923E2"/>
  <w15:docId w15:val="{0A785CF3-0F5F-4FDD-BE13-DAB03EED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keepLines/>
      <w:suppressAutoHyphens/>
      <w:ind w:left="2880" w:hanging="2880"/>
      <w:outlineLvl w:val="0"/>
    </w:pPr>
    <w:rPr>
      <w:rFonts w:ascii="CG Times (W1)" w:hAnsi="CG Times (W1)"/>
      <w:spacing w:val="-2"/>
      <w:u w:val="single"/>
    </w:rPr>
  </w:style>
  <w:style w:type="paragraph" w:styleId="Heading2">
    <w:name w:val="heading 2"/>
    <w:basedOn w:val="Normal"/>
    <w:next w:val="Normal"/>
    <w:link w:val="Heading2Char"/>
    <w:qFormat/>
    <w:pPr>
      <w:keepNext/>
      <w:spacing w:before="240" w:after="60"/>
      <w:outlineLvl w:val="1"/>
    </w:pPr>
    <w:rPr>
      <w:rFonts w:ascii="Arial" w:hAnsi="Arial"/>
      <w:b/>
      <w:i/>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link w:val="Heading5Char"/>
    <w:qFormat/>
    <w:rsid w:val="003C5D8C"/>
    <w:pPr>
      <w:spacing w:before="240" w:after="240"/>
      <w:jc w:val="center"/>
      <w:outlineLvl w:val="4"/>
    </w:pPr>
    <w:rPr>
      <w:rFonts w:ascii="CG Times" w:hAnsi="CG Times"/>
      <w:b/>
    </w:rPr>
  </w:style>
  <w:style w:type="paragraph" w:styleId="Heading6">
    <w:name w:val="heading 6"/>
    <w:basedOn w:val="Normal"/>
    <w:next w:val="Normal"/>
    <w:link w:val="Heading6Char"/>
    <w:qFormat/>
    <w:rsid w:val="003C5D8C"/>
    <w:pPr>
      <w:spacing w:before="240" w:after="240"/>
      <w:jc w:val="center"/>
      <w:outlineLvl w:val="5"/>
    </w:pPr>
    <w:rPr>
      <w:rFonts w:ascii="CG Times" w:hAnsi="CG Times"/>
      <w:b/>
    </w:rPr>
  </w:style>
  <w:style w:type="paragraph" w:styleId="Heading7">
    <w:name w:val="heading 7"/>
    <w:basedOn w:val="Normal"/>
    <w:next w:val="Normal"/>
    <w:link w:val="Heading7Char"/>
    <w:qFormat/>
    <w:rsid w:val="003C5D8C"/>
    <w:pPr>
      <w:spacing w:before="240" w:after="240"/>
      <w:outlineLvl w:val="6"/>
    </w:pPr>
    <w:rPr>
      <w:rFonts w:ascii="CG Times" w:hAnsi="CG Times"/>
      <w:b/>
    </w:rPr>
  </w:style>
  <w:style w:type="paragraph" w:styleId="Heading8">
    <w:name w:val="heading 8"/>
    <w:basedOn w:val="Normal"/>
    <w:next w:val="Normal"/>
    <w:link w:val="Heading8Char"/>
    <w:qFormat/>
    <w:rsid w:val="003C5D8C"/>
    <w:pPr>
      <w:keepNext/>
      <w:tabs>
        <w:tab w:val="left" w:pos="5040"/>
      </w:tabs>
      <w:spacing w:before="240" w:after="240"/>
      <w:ind w:left="720"/>
      <w:outlineLvl w:val="7"/>
    </w:pPr>
    <w:rPr>
      <w:rFonts w:ascii="CG Times" w:hAnsi="CG Times"/>
      <w:b/>
    </w:rPr>
  </w:style>
  <w:style w:type="paragraph" w:styleId="Heading9">
    <w:name w:val="heading 9"/>
    <w:basedOn w:val="Normal"/>
    <w:next w:val="Normal"/>
    <w:link w:val="Heading9Char"/>
    <w:uiPriority w:val="9"/>
    <w:unhideWhenUsed/>
    <w:qFormat/>
    <w:rsid w:val="008D6F6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4ITALBF">
    <w:name w:val="a24ITALBF"/>
    <w:rPr>
      <w:rFonts w:ascii="Arial" w:hAnsi="Arial"/>
      <w:b/>
      <w:i/>
      <w:noProof w:val="0"/>
      <w:sz w:val="46"/>
      <w:lang w:val="en-US"/>
    </w:rPr>
  </w:style>
  <w:style w:type="paragraph" w:customStyle="1" w:styleId="a12TAB">
    <w:name w:val="a12TAB"/>
    <w:pPr>
      <w:widowControl w:val="0"/>
      <w:tabs>
        <w:tab w:val="left" w:pos="-720"/>
      </w:tabs>
      <w:suppressAutoHyphens/>
    </w:pPr>
    <w:rPr>
      <w:rFonts w:ascii="Courier New" w:hAnsi="Courier New"/>
      <w:sz w:val="19"/>
    </w:rPr>
  </w:style>
  <w:style w:type="character" w:customStyle="1" w:styleId="VLitalbold">
    <w:name w:val="VLitalbold"/>
    <w:rPr>
      <w:rFonts w:ascii="Courier New" w:hAnsi="Courier New"/>
      <w:b/>
      <w:i/>
      <w:noProof w:val="0"/>
      <w:sz w:val="36"/>
      <w:lang w:val="en-US"/>
    </w:rPr>
  </w:style>
  <w:style w:type="character" w:customStyle="1" w:styleId="NRMitalbold">
    <w:name w:val="NRMitalbold"/>
    <w:rPr>
      <w:rFonts w:ascii="Courier New" w:hAnsi="Courier New"/>
      <w:b/>
      <w:i/>
      <w:noProof w:val="0"/>
      <w:sz w:val="24"/>
      <w:lang w:val="en-US"/>
    </w:rPr>
  </w:style>
  <w:style w:type="character" w:customStyle="1" w:styleId="bold">
    <w:name w:val="bold"/>
    <w:rPr>
      <w:rFonts w:ascii="Courier New" w:hAnsi="Courier New"/>
      <w:b/>
      <w:noProof w:val="0"/>
      <w:sz w:val="24"/>
      <w:lang w:val="en-US"/>
    </w:rPr>
  </w:style>
  <w:style w:type="paragraph" w:customStyle="1" w:styleId="Outline">
    <w:name w:val="Outline"/>
    <w:pPr>
      <w:widowControl w:val="0"/>
      <w:tabs>
        <w:tab w:val="left" w:pos="-432"/>
        <w:tab w:val="left" w:pos="288"/>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 w:val="left" w:pos="10080"/>
      </w:tabs>
      <w:suppressAutoHyphens/>
      <w:spacing w:line="360" w:lineRule="auto"/>
    </w:pPr>
    <w:rPr>
      <w:rFonts w:ascii="Courier New" w:hAnsi="Courier New"/>
      <w:sz w:val="24"/>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ColNews">
    <w:name w:val="N-ColNews"/>
    <w:rPr>
      <w:rFonts w:ascii="Courier New" w:hAnsi="Courier New"/>
      <w:noProof w:val="0"/>
      <w:sz w:val="24"/>
      <w:lang w:val="en-US"/>
    </w:rPr>
  </w:style>
  <w:style w:type="character" w:customStyle="1" w:styleId="N-BoxHilites">
    <w:name w:val="N-BoxHilites"/>
    <w:rPr>
      <w:rFonts w:ascii="Courier New" w:hAnsi="Courier New"/>
      <w:noProof w:val="0"/>
      <w:sz w:val="24"/>
      <w:lang w:val="en-US"/>
    </w:rPr>
  </w:style>
  <w:style w:type="character" w:customStyle="1" w:styleId="N-ColParal">
    <w:name w:val="N-ColParal"/>
    <w:rPr>
      <w:rFonts w:ascii="Courier New" w:hAnsi="Courier New"/>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character" w:customStyle="1" w:styleId="a24ITALBFa">
    <w:name w:val="a24ITALBFa"/>
    <w:rPr>
      <w:b/>
      <w:i/>
      <w:sz w:val="46"/>
    </w:rPr>
  </w:style>
  <w:style w:type="paragraph" w:customStyle="1" w:styleId="a12TABa">
    <w:name w:val="a12TABa"/>
    <w:pPr>
      <w:widowControl w:val="0"/>
      <w:tabs>
        <w:tab w:val="left" w:pos="-720"/>
      </w:tabs>
      <w:suppressAutoHyphens/>
    </w:pPr>
    <w:rPr>
      <w:rFonts w:ascii="Courier New" w:hAnsi="Courier New"/>
      <w:sz w:val="19"/>
    </w:rPr>
  </w:style>
  <w:style w:type="character" w:customStyle="1" w:styleId="EquationCaption">
    <w:name w:val="_Equation Caption"/>
    <w:basedOn w:val="DefaultParagraphFont"/>
  </w:style>
  <w:style w:type="character" w:customStyle="1" w:styleId="EquationCaption1">
    <w:name w:val="_Equation Caption1"/>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PageNumber">
    <w:name w:val="page number"/>
    <w:basedOn w:val="DefaultParagraphFont"/>
    <w:semiHidden/>
  </w:style>
  <w:style w:type="paragraph" w:styleId="BodyTextIndent">
    <w:name w:val="Body Text Indent"/>
    <w:basedOn w:val="Normal"/>
    <w:link w:val="BodyTextIndentChar"/>
    <w:semiHidden/>
    <w:pPr>
      <w:ind w:left="2160" w:hanging="720"/>
    </w:pPr>
    <w:rPr>
      <w:rFonts w:ascii="CG Times (W1)" w:hAnsi="CG Times (W1)"/>
    </w:rPr>
  </w:style>
  <w:style w:type="paragraph" w:styleId="BodyTextIndent2">
    <w:name w:val="Body Text Indent 2"/>
    <w:basedOn w:val="Normal"/>
    <w:link w:val="BodyTextIndent2Char"/>
    <w:semiHidden/>
    <w:pPr>
      <w:ind w:left="2160" w:hanging="720"/>
    </w:pPr>
  </w:style>
  <w:style w:type="character" w:customStyle="1" w:styleId="HTMLMarkup">
    <w:name w:val="HTML Markup"/>
    <w:rPr>
      <w:vanish/>
      <w:color w:val="FF0000"/>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styleId="Strong">
    <w:name w:val="Strong"/>
    <w:qFormat/>
    <w:rPr>
      <w:b/>
      <w:bCs/>
    </w:rPr>
  </w:style>
  <w:style w:type="paragraph" w:styleId="ListNumber5">
    <w:name w:val="List Number 5"/>
    <w:basedOn w:val="Normal"/>
    <w:semiHidden/>
    <w:pPr>
      <w:tabs>
        <w:tab w:val="num" w:pos="1800"/>
      </w:tabs>
      <w:ind w:left="1800" w:hanging="360"/>
    </w:pPr>
  </w:style>
  <w:style w:type="paragraph" w:styleId="ListNumber4">
    <w:name w:val="List Number 4"/>
    <w:basedOn w:val="Normal"/>
    <w:semiHidden/>
    <w:pPr>
      <w:tabs>
        <w:tab w:val="num" w:pos="1440"/>
      </w:tabs>
      <w:ind w:left="1440" w:hanging="360"/>
    </w:pPr>
  </w:style>
  <w:style w:type="paragraph" w:styleId="ListNumber3">
    <w:name w:val="List Number 3"/>
    <w:basedOn w:val="Normal"/>
    <w:semiHidden/>
    <w:pPr>
      <w:tabs>
        <w:tab w:val="num" w:pos="1080"/>
      </w:tabs>
      <w:ind w:left="1080" w:hanging="360"/>
    </w:pPr>
  </w:style>
  <w:style w:type="paragraph" w:styleId="ListNumber2">
    <w:name w:val="List Number 2"/>
    <w:basedOn w:val="Normal"/>
    <w:semiHidden/>
    <w:pPr>
      <w:tabs>
        <w:tab w:val="num" w:pos="720"/>
      </w:tabs>
      <w:ind w:left="720" w:hanging="360"/>
    </w:pPr>
  </w:style>
  <w:style w:type="paragraph" w:styleId="ListNumber">
    <w:name w:val="List Number"/>
    <w:basedOn w:val="Normal"/>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5">
    <w:name w:val="List Bullet 5"/>
    <w:basedOn w:val="Normal"/>
    <w:autoRedefine/>
    <w:semiHidden/>
    <w:pPr>
      <w:tabs>
        <w:tab w:val="num" w:pos="1800"/>
      </w:tabs>
      <w:ind w:left="1800" w:hanging="360"/>
    </w:pPr>
  </w:style>
  <w:style w:type="paragraph" w:styleId="ListBullet4">
    <w:name w:val="List Bullet 4"/>
    <w:basedOn w:val="Normal"/>
    <w:autoRedefine/>
    <w:semiHidden/>
    <w:pPr>
      <w:tabs>
        <w:tab w:val="num" w:pos="1440"/>
      </w:tabs>
      <w:ind w:left="1440" w:hanging="360"/>
    </w:pPr>
  </w:style>
  <w:style w:type="paragraph" w:styleId="ListBullet3">
    <w:name w:val="List Bullet 3"/>
    <w:basedOn w:val="Normal"/>
    <w:autoRedefine/>
    <w:semiHidden/>
    <w:pPr>
      <w:tabs>
        <w:tab w:val="num" w:pos="1080"/>
      </w:tabs>
      <w:ind w:left="1080" w:hanging="360"/>
    </w:pPr>
  </w:style>
  <w:style w:type="paragraph" w:styleId="ListBullet">
    <w:name w:val="List Bullet"/>
    <w:basedOn w:val="Normal"/>
    <w:autoRedefine/>
    <w:semiHidden/>
    <w:pPr>
      <w:tabs>
        <w:tab w:val="num" w:pos="360"/>
      </w:tabs>
      <w:ind w:left="360" w:hanging="360"/>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rPr>
      <w:rFonts w:ascii="Tahoma" w:hAnsi="Tahoma" w:cs="Tahoma"/>
      <w:sz w:val="16"/>
      <w:szCs w:val="16"/>
    </w:rPr>
  </w:style>
  <w:style w:type="paragraph" w:styleId="FootnoteText">
    <w:name w:val="footnote text"/>
    <w:basedOn w:val="Normal"/>
    <w:link w:val="FootnoteTextChar"/>
    <w:autoRedefine/>
    <w:uiPriority w:val="99"/>
    <w:semiHidden/>
    <w:unhideWhenUsed/>
    <w:qFormat/>
    <w:rsid w:val="00365AB6"/>
    <w:pPr>
      <w:spacing w:before="240"/>
    </w:pPr>
    <w:rPr>
      <w:rFonts w:eastAsia="Calibri"/>
      <w:szCs w:val="24"/>
    </w:rPr>
  </w:style>
  <w:style w:type="character" w:customStyle="1" w:styleId="FootnoteTextChar">
    <w:name w:val="Footnote Text Char"/>
    <w:link w:val="FootnoteText"/>
    <w:uiPriority w:val="99"/>
    <w:semiHidden/>
    <w:rsid w:val="00365AB6"/>
    <w:rPr>
      <w:rFonts w:eastAsia="Calibri"/>
      <w:sz w:val="24"/>
      <w:szCs w:val="24"/>
    </w:rPr>
  </w:style>
  <w:style w:type="table" w:styleId="TableGrid">
    <w:name w:val="Table Grid"/>
    <w:basedOn w:val="TableNormal"/>
    <w:uiPriority w:val="59"/>
    <w:rsid w:val="0036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365AB6"/>
    <w:rPr>
      <w:sz w:val="16"/>
      <w:szCs w:val="16"/>
    </w:rPr>
  </w:style>
  <w:style w:type="paragraph" w:styleId="CommentText">
    <w:name w:val="annotation text"/>
    <w:basedOn w:val="Normal"/>
    <w:link w:val="CommentTextChar"/>
    <w:uiPriority w:val="99"/>
    <w:unhideWhenUsed/>
    <w:rsid w:val="00365AB6"/>
    <w:rPr>
      <w:sz w:val="20"/>
    </w:rPr>
  </w:style>
  <w:style w:type="character" w:customStyle="1" w:styleId="CommentTextChar">
    <w:name w:val="Comment Text Char"/>
    <w:basedOn w:val="DefaultParagraphFont"/>
    <w:link w:val="CommentText"/>
    <w:uiPriority w:val="99"/>
    <w:rsid w:val="00365AB6"/>
  </w:style>
  <w:style w:type="paragraph" w:styleId="CommentSubject">
    <w:name w:val="annotation subject"/>
    <w:basedOn w:val="CommentText"/>
    <w:next w:val="CommentText"/>
    <w:link w:val="CommentSubjectChar"/>
    <w:uiPriority w:val="99"/>
    <w:semiHidden/>
    <w:unhideWhenUsed/>
    <w:rsid w:val="00365AB6"/>
    <w:rPr>
      <w:b/>
      <w:bCs/>
    </w:rPr>
  </w:style>
  <w:style w:type="character" w:customStyle="1" w:styleId="CommentSubjectChar">
    <w:name w:val="Comment Subject Char"/>
    <w:link w:val="CommentSubject"/>
    <w:uiPriority w:val="99"/>
    <w:semiHidden/>
    <w:rsid w:val="00365AB6"/>
    <w:rPr>
      <w:b/>
      <w:bCs/>
    </w:rPr>
  </w:style>
  <w:style w:type="character" w:styleId="Hyperlink">
    <w:name w:val="Hyperlink"/>
    <w:uiPriority w:val="99"/>
    <w:unhideWhenUsed/>
    <w:rsid w:val="00493B32"/>
    <w:rPr>
      <w:color w:val="0000FF"/>
      <w:u w:val="single"/>
    </w:rPr>
  </w:style>
  <w:style w:type="character" w:styleId="PlaceholderText">
    <w:name w:val="Placeholder Text"/>
    <w:uiPriority w:val="99"/>
    <w:semiHidden/>
    <w:rsid w:val="0007451B"/>
    <w:rPr>
      <w:color w:val="808080"/>
    </w:rPr>
  </w:style>
  <w:style w:type="character" w:customStyle="1" w:styleId="Heading9Char">
    <w:name w:val="Heading 9 Char"/>
    <w:basedOn w:val="DefaultParagraphFont"/>
    <w:link w:val="Heading9"/>
    <w:uiPriority w:val="9"/>
    <w:rsid w:val="008D6F69"/>
    <w:rPr>
      <w:rFonts w:asciiTheme="majorHAnsi" w:eastAsiaTheme="majorEastAsia" w:hAnsiTheme="majorHAnsi" w:cstheme="majorBidi"/>
      <w:i/>
      <w:iCs/>
      <w:color w:val="404040" w:themeColor="text1" w:themeTint="BF"/>
    </w:rPr>
  </w:style>
  <w:style w:type="character" w:customStyle="1" w:styleId="Heading1Char">
    <w:name w:val="Heading 1 Char"/>
    <w:link w:val="Heading1"/>
    <w:rsid w:val="008D6F69"/>
    <w:rPr>
      <w:rFonts w:ascii="CG Times (W1)" w:hAnsi="CG Times (W1)"/>
      <w:spacing w:val="-2"/>
      <w:sz w:val="24"/>
      <w:u w:val="single"/>
    </w:rPr>
  </w:style>
  <w:style w:type="character" w:customStyle="1" w:styleId="Heading2Char">
    <w:name w:val="Heading 2 Char"/>
    <w:link w:val="Heading2"/>
    <w:rsid w:val="008D6F69"/>
    <w:rPr>
      <w:rFonts w:ascii="Arial" w:hAnsi="Arial"/>
      <w:b/>
      <w:i/>
      <w:sz w:val="24"/>
    </w:rPr>
  </w:style>
  <w:style w:type="character" w:customStyle="1" w:styleId="Heading3Char">
    <w:name w:val="Heading 3 Char"/>
    <w:link w:val="Heading3"/>
    <w:rsid w:val="008D6F69"/>
    <w:rPr>
      <w:b/>
      <w:sz w:val="24"/>
    </w:rPr>
  </w:style>
  <w:style w:type="character" w:customStyle="1" w:styleId="Heading4Char">
    <w:name w:val="Heading 4 Char"/>
    <w:link w:val="Heading4"/>
    <w:rsid w:val="008D6F69"/>
    <w:rPr>
      <w:b/>
      <w:sz w:val="24"/>
    </w:rPr>
  </w:style>
  <w:style w:type="character" w:styleId="FootnoteReference">
    <w:name w:val="footnote reference"/>
    <w:uiPriority w:val="99"/>
    <w:semiHidden/>
    <w:rsid w:val="008D6F69"/>
    <w:rPr>
      <w:rFonts w:ascii="Times New Roman" w:hAnsi="Times New Roman"/>
      <w:sz w:val="24"/>
      <w:vertAlign w:val="superscript"/>
    </w:rPr>
  </w:style>
  <w:style w:type="paragraph" w:styleId="Header">
    <w:name w:val="header"/>
    <w:basedOn w:val="Normal"/>
    <w:link w:val="HeaderChar"/>
    <w:rsid w:val="008D6F69"/>
    <w:pPr>
      <w:widowControl w:val="0"/>
      <w:tabs>
        <w:tab w:val="center" w:pos="4320"/>
        <w:tab w:val="right" w:pos="8640"/>
      </w:tabs>
      <w:spacing w:before="240"/>
    </w:pPr>
  </w:style>
  <w:style w:type="character" w:customStyle="1" w:styleId="HeaderChar">
    <w:name w:val="Header Char"/>
    <w:basedOn w:val="DefaultParagraphFont"/>
    <w:link w:val="Header"/>
    <w:rsid w:val="008D6F69"/>
    <w:rPr>
      <w:sz w:val="24"/>
    </w:rPr>
  </w:style>
  <w:style w:type="character" w:customStyle="1" w:styleId="BodyTextIndentChar">
    <w:name w:val="Body Text Indent Char"/>
    <w:link w:val="BodyTextIndent"/>
    <w:semiHidden/>
    <w:rsid w:val="008D6F69"/>
    <w:rPr>
      <w:rFonts w:ascii="CG Times (W1)" w:hAnsi="CG Times (W1)"/>
      <w:sz w:val="24"/>
    </w:rPr>
  </w:style>
  <w:style w:type="character" w:customStyle="1" w:styleId="BodyTextIndent2Char">
    <w:name w:val="Body Text Indent 2 Char"/>
    <w:link w:val="BodyTextIndent2"/>
    <w:semiHidden/>
    <w:rsid w:val="008D6F69"/>
    <w:rPr>
      <w:sz w:val="24"/>
    </w:rPr>
  </w:style>
  <w:style w:type="paragraph" w:styleId="BodyText">
    <w:name w:val="Body Text"/>
    <w:basedOn w:val="Normal"/>
    <w:link w:val="BodyTextChar"/>
    <w:semiHidden/>
    <w:rsid w:val="008D6F69"/>
    <w:pPr>
      <w:keepNext/>
      <w:keepLines/>
      <w:widowControl w:val="0"/>
      <w:suppressAutoHyphens/>
      <w:spacing w:before="240"/>
    </w:pPr>
    <w:rPr>
      <w:u w:val="single"/>
    </w:rPr>
  </w:style>
  <w:style w:type="character" w:customStyle="1" w:styleId="BodyTextChar">
    <w:name w:val="Body Text Char"/>
    <w:basedOn w:val="DefaultParagraphFont"/>
    <w:link w:val="BodyText"/>
    <w:semiHidden/>
    <w:rsid w:val="008D6F69"/>
    <w:rPr>
      <w:sz w:val="24"/>
      <w:u w:val="single"/>
    </w:rPr>
  </w:style>
  <w:style w:type="paragraph" w:styleId="Footer">
    <w:name w:val="footer"/>
    <w:basedOn w:val="Normal"/>
    <w:link w:val="FooterChar"/>
    <w:semiHidden/>
    <w:rsid w:val="008D6F69"/>
    <w:pPr>
      <w:widowControl w:val="0"/>
      <w:tabs>
        <w:tab w:val="center" w:pos="4320"/>
        <w:tab w:val="right" w:pos="8640"/>
      </w:tabs>
      <w:spacing w:before="240"/>
    </w:pPr>
  </w:style>
  <w:style w:type="character" w:customStyle="1" w:styleId="FooterChar">
    <w:name w:val="Footer Char"/>
    <w:basedOn w:val="DefaultParagraphFont"/>
    <w:link w:val="Footer"/>
    <w:semiHidden/>
    <w:rsid w:val="008D6F69"/>
    <w:rPr>
      <w:sz w:val="24"/>
    </w:rPr>
  </w:style>
  <w:style w:type="paragraph" w:styleId="Caption">
    <w:name w:val="caption"/>
    <w:basedOn w:val="Normal"/>
    <w:qFormat/>
    <w:rsid w:val="008D6F69"/>
    <w:pPr>
      <w:spacing w:before="240"/>
    </w:pPr>
  </w:style>
  <w:style w:type="character" w:customStyle="1" w:styleId="HTMLPreformattedChar">
    <w:name w:val="HTML Preformatted Char"/>
    <w:link w:val="HTMLPreformatted"/>
    <w:semiHidden/>
    <w:rsid w:val="008D6F69"/>
    <w:rPr>
      <w:rFonts w:ascii="Courier New" w:eastAsia="Courier New" w:hAnsi="Courier New" w:cs="Courier New"/>
    </w:rPr>
  </w:style>
  <w:style w:type="character" w:customStyle="1" w:styleId="BalloonTextChar">
    <w:name w:val="Balloon Text Char"/>
    <w:link w:val="BalloonText"/>
    <w:semiHidden/>
    <w:rsid w:val="008D6F69"/>
    <w:rPr>
      <w:rFonts w:ascii="Tahoma" w:hAnsi="Tahoma" w:cs="Tahoma"/>
      <w:sz w:val="16"/>
      <w:szCs w:val="16"/>
    </w:rPr>
  </w:style>
  <w:style w:type="table" w:customStyle="1" w:styleId="TableGrid1">
    <w:name w:val="Table Grid1"/>
    <w:basedOn w:val="TableNormal"/>
    <w:next w:val="TableGrid"/>
    <w:uiPriority w:val="59"/>
    <w:rsid w:val="008D6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1">
    <w:name w:val="note1"/>
    <w:rsid w:val="008D6F69"/>
    <w:rPr>
      <w:sz w:val="17"/>
      <w:szCs w:val="17"/>
    </w:rPr>
  </w:style>
  <w:style w:type="paragraph" w:styleId="Revision">
    <w:name w:val="Revision"/>
    <w:hidden/>
    <w:uiPriority w:val="99"/>
    <w:semiHidden/>
    <w:rsid w:val="008D6F69"/>
    <w:rPr>
      <w:sz w:val="24"/>
    </w:rPr>
  </w:style>
  <w:style w:type="table" w:customStyle="1" w:styleId="TableGrid2">
    <w:name w:val="Table Grid2"/>
    <w:basedOn w:val="TableNormal"/>
    <w:next w:val="TableGrid"/>
    <w:uiPriority w:val="59"/>
    <w:rsid w:val="00E971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E9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romocult">
    <w:name w:val="Chromocult"/>
    <w:basedOn w:val="Normal"/>
    <w:rsid w:val="004E2D35"/>
    <w:pPr>
      <w:widowControl w:val="0"/>
      <w:spacing w:before="240" w:after="240"/>
      <w:ind w:left="3600" w:hanging="720"/>
    </w:pPr>
  </w:style>
  <w:style w:type="character" w:styleId="UnresolvedMention">
    <w:name w:val="Unresolved Mention"/>
    <w:basedOn w:val="DefaultParagraphFont"/>
    <w:uiPriority w:val="99"/>
    <w:semiHidden/>
    <w:unhideWhenUsed/>
    <w:rsid w:val="00002933"/>
    <w:rPr>
      <w:color w:val="605E5C"/>
      <w:shd w:val="clear" w:color="auto" w:fill="E1DFDD"/>
    </w:rPr>
  </w:style>
  <w:style w:type="paragraph" w:styleId="ListParagraph">
    <w:name w:val="List Paragraph"/>
    <w:basedOn w:val="Normal"/>
    <w:uiPriority w:val="34"/>
    <w:qFormat/>
    <w:rsid w:val="00002933"/>
    <w:pPr>
      <w:ind w:left="720"/>
      <w:contextualSpacing/>
    </w:pPr>
  </w:style>
  <w:style w:type="character" w:customStyle="1" w:styleId="Heading5Char">
    <w:name w:val="Heading 5 Char"/>
    <w:basedOn w:val="DefaultParagraphFont"/>
    <w:link w:val="Heading5"/>
    <w:rsid w:val="003C5D8C"/>
    <w:rPr>
      <w:rFonts w:ascii="CG Times" w:hAnsi="CG Times"/>
      <w:b/>
      <w:sz w:val="24"/>
    </w:rPr>
  </w:style>
  <w:style w:type="character" w:customStyle="1" w:styleId="Heading6Char">
    <w:name w:val="Heading 6 Char"/>
    <w:basedOn w:val="DefaultParagraphFont"/>
    <w:link w:val="Heading6"/>
    <w:rsid w:val="003C5D8C"/>
    <w:rPr>
      <w:rFonts w:ascii="CG Times" w:hAnsi="CG Times"/>
      <w:b/>
      <w:sz w:val="24"/>
    </w:rPr>
  </w:style>
  <w:style w:type="character" w:customStyle="1" w:styleId="Heading7Char">
    <w:name w:val="Heading 7 Char"/>
    <w:basedOn w:val="DefaultParagraphFont"/>
    <w:link w:val="Heading7"/>
    <w:rsid w:val="003C5D8C"/>
    <w:rPr>
      <w:rFonts w:ascii="CG Times" w:hAnsi="CG Times"/>
      <w:b/>
      <w:sz w:val="24"/>
    </w:rPr>
  </w:style>
  <w:style w:type="character" w:customStyle="1" w:styleId="Heading8Char">
    <w:name w:val="Heading 8 Char"/>
    <w:basedOn w:val="DefaultParagraphFont"/>
    <w:link w:val="Heading8"/>
    <w:rsid w:val="003C5D8C"/>
    <w:rPr>
      <w:rFonts w:ascii="CG Times" w:hAnsi="CG Times"/>
      <w:b/>
      <w:sz w:val="24"/>
    </w:rPr>
  </w:style>
  <w:style w:type="paragraph" w:customStyle="1" w:styleId="HorizontalRule">
    <w:name w:val="Horizontal Rule"/>
    <w:aliases w:val="HR"/>
    <w:basedOn w:val="Normal"/>
    <w:next w:val="Normal"/>
    <w:rsid w:val="003C5D8C"/>
    <w:pPr>
      <w:pBdr>
        <w:top w:val="single" w:sz="6" w:space="0" w:color="808080" w:shadow="1"/>
        <w:left w:val="single" w:sz="6" w:space="0" w:color="808080" w:shadow="1"/>
        <w:bottom w:val="single" w:sz="6" w:space="0" w:color="808080" w:shadow="1"/>
        <w:right w:val="single" w:sz="6" w:space="0" w:color="808080" w:shadow="1"/>
      </w:pBdr>
      <w:shd w:val="solid" w:color="FFFFFF" w:fill="FFFFFF"/>
      <w:spacing w:before="100" w:after="100" w:line="20" w:lineRule="exact"/>
    </w:pPr>
  </w:style>
  <w:style w:type="paragraph" w:styleId="DocumentMap">
    <w:name w:val="Document Map"/>
    <w:basedOn w:val="Normal"/>
    <w:link w:val="DocumentMapChar"/>
    <w:uiPriority w:val="99"/>
    <w:semiHidden/>
    <w:unhideWhenUsed/>
    <w:rsid w:val="003C5D8C"/>
    <w:pPr>
      <w:spacing w:before="240" w:after="240"/>
    </w:pPr>
    <w:rPr>
      <w:rFonts w:ascii="Tahoma" w:hAnsi="Tahoma" w:cs="Tahoma"/>
      <w:sz w:val="16"/>
      <w:szCs w:val="16"/>
    </w:rPr>
  </w:style>
  <w:style w:type="character" w:customStyle="1" w:styleId="DocumentMapChar">
    <w:name w:val="Document Map Char"/>
    <w:basedOn w:val="DefaultParagraphFont"/>
    <w:link w:val="DocumentMap"/>
    <w:uiPriority w:val="99"/>
    <w:semiHidden/>
    <w:rsid w:val="003C5D8C"/>
    <w:rPr>
      <w:rFonts w:ascii="Tahoma" w:hAnsi="Tahoma" w:cs="Tahoma"/>
      <w:sz w:val="16"/>
      <w:szCs w:val="16"/>
    </w:rPr>
  </w:style>
  <w:style w:type="character" w:customStyle="1" w:styleId="FollowedHyperlink1">
    <w:name w:val="FollowedHyperlink1"/>
    <w:basedOn w:val="DefaultParagraphFont"/>
    <w:uiPriority w:val="99"/>
    <w:semiHidden/>
    <w:unhideWhenUsed/>
    <w:rsid w:val="005451CE"/>
    <w:rPr>
      <w:color w:val="954F72"/>
      <w:u w:val="single"/>
    </w:rPr>
  </w:style>
  <w:style w:type="character" w:styleId="FollowedHyperlink">
    <w:name w:val="FollowedHyperlink"/>
    <w:basedOn w:val="DefaultParagraphFont"/>
    <w:uiPriority w:val="99"/>
    <w:semiHidden/>
    <w:unhideWhenUsed/>
    <w:rsid w:val="005451CE"/>
    <w:rPr>
      <w:color w:val="800080" w:themeColor="followedHyperlink"/>
      <w:u w:val="single"/>
    </w:rPr>
  </w:style>
  <w:style w:type="numbering" w:customStyle="1" w:styleId="NoList1">
    <w:name w:val="No List1"/>
    <w:next w:val="NoList"/>
    <w:uiPriority w:val="99"/>
    <w:semiHidden/>
    <w:unhideWhenUsed/>
    <w:rsid w:val="00F0626C"/>
  </w:style>
  <w:style w:type="numbering" w:customStyle="1" w:styleId="NoList2">
    <w:name w:val="No List2"/>
    <w:next w:val="NoList"/>
    <w:uiPriority w:val="99"/>
    <w:semiHidden/>
    <w:unhideWhenUsed/>
    <w:rsid w:val="00F0626C"/>
  </w:style>
  <w:style w:type="numbering" w:customStyle="1" w:styleId="NoList11">
    <w:name w:val="No List11"/>
    <w:next w:val="NoList"/>
    <w:uiPriority w:val="99"/>
    <w:semiHidden/>
    <w:unhideWhenUsed/>
    <w:rsid w:val="00F0626C"/>
  </w:style>
  <w:style w:type="numbering" w:customStyle="1" w:styleId="NoList111">
    <w:name w:val="No List111"/>
    <w:next w:val="NoList"/>
    <w:uiPriority w:val="99"/>
    <w:semiHidden/>
    <w:unhideWhenUsed/>
    <w:rsid w:val="00F0626C"/>
  </w:style>
  <w:style w:type="numbering" w:customStyle="1" w:styleId="NoList3">
    <w:name w:val="No List3"/>
    <w:next w:val="NoList"/>
    <w:uiPriority w:val="99"/>
    <w:semiHidden/>
    <w:unhideWhenUsed/>
    <w:rsid w:val="00F06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4301">
      <w:bodyDiv w:val="1"/>
      <w:marLeft w:val="0"/>
      <w:marRight w:val="0"/>
      <w:marTop w:val="0"/>
      <w:marBottom w:val="0"/>
      <w:divBdr>
        <w:top w:val="none" w:sz="0" w:space="0" w:color="auto"/>
        <w:left w:val="none" w:sz="0" w:space="0" w:color="auto"/>
        <w:bottom w:val="none" w:sz="0" w:space="0" w:color="auto"/>
        <w:right w:val="none" w:sz="0" w:space="0" w:color="auto"/>
      </w:divBdr>
    </w:div>
    <w:div w:id="50928507">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
    <w:div w:id="68773655">
      <w:bodyDiv w:val="1"/>
      <w:marLeft w:val="0"/>
      <w:marRight w:val="0"/>
      <w:marTop w:val="0"/>
      <w:marBottom w:val="0"/>
      <w:divBdr>
        <w:top w:val="none" w:sz="0" w:space="0" w:color="auto"/>
        <w:left w:val="none" w:sz="0" w:space="0" w:color="auto"/>
        <w:bottom w:val="none" w:sz="0" w:space="0" w:color="auto"/>
        <w:right w:val="none" w:sz="0" w:space="0" w:color="auto"/>
      </w:divBdr>
    </w:div>
    <w:div w:id="73405878">
      <w:bodyDiv w:val="1"/>
      <w:marLeft w:val="0"/>
      <w:marRight w:val="0"/>
      <w:marTop w:val="0"/>
      <w:marBottom w:val="0"/>
      <w:divBdr>
        <w:top w:val="none" w:sz="0" w:space="0" w:color="auto"/>
        <w:left w:val="none" w:sz="0" w:space="0" w:color="auto"/>
        <w:bottom w:val="none" w:sz="0" w:space="0" w:color="auto"/>
        <w:right w:val="none" w:sz="0" w:space="0" w:color="auto"/>
      </w:divBdr>
    </w:div>
    <w:div w:id="82380771">
      <w:bodyDiv w:val="1"/>
      <w:marLeft w:val="0"/>
      <w:marRight w:val="0"/>
      <w:marTop w:val="0"/>
      <w:marBottom w:val="0"/>
      <w:divBdr>
        <w:top w:val="none" w:sz="0" w:space="0" w:color="auto"/>
        <w:left w:val="none" w:sz="0" w:space="0" w:color="auto"/>
        <w:bottom w:val="none" w:sz="0" w:space="0" w:color="auto"/>
        <w:right w:val="none" w:sz="0" w:space="0" w:color="auto"/>
      </w:divBdr>
    </w:div>
    <w:div w:id="128591085">
      <w:bodyDiv w:val="1"/>
      <w:marLeft w:val="0"/>
      <w:marRight w:val="0"/>
      <w:marTop w:val="0"/>
      <w:marBottom w:val="0"/>
      <w:divBdr>
        <w:top w:val="none" w:sz="0" w:space="0" w:color="auto"/>
        <w:left w:val="none" w:sz="0" w:space="0" w:color="auto"/>
        <w:bottom w:val="none" w:sz="0" w:space="0" w:color="auto"/>
        <w:right w:val="none" w:sz="0" w:space="0" w:color="auto"/>
      </w:divBdr>
    </w:div>
    <w:div w:id="144204006">
      <w:bodyDiv w:val="1"/>
      <w:marLeft w:val="0"/>
      <w:marRight w:val="0"/>
      <w:marTop w:val="0"/>
      <w:marBottom w:val="0"/>
      <w:divBdr>
        <w:top w:val="none" w:sz="0" w:space="0" w:color="auto"/>
        <w:left w:val="none" w:sz="0" w:space="0" w:color="auto"/>
        <w:bottom w:val="none" w:sz="0" w:space="0" w:color="auto"/>
        <w:right w:val="none" w:sz="0" w:space="0" w:color="auto"/>
      </w:divBdr>
    </w:div>
    <w:div w:id="149755845">
      <w:bodyDiv w:val="1"/>
      <w:marLeft w:val="0"/>
      <w:marRight w:val="0"/>
      <w:marTop w:val="0"/>
      <w:marBottom w:val="0"/>
      <w:divBdr>
        <w:top w:val="none" w:sz="0" w:space="0" w:color="auto"/>
        <w:left w:val="none" w:sz="0" w:space="0" w:color="auto"/>
        <w:bottom w:val="none" w:sz="0" w:space="0" w:color="auto"/>
        <w:right w:val="none" w:sz="0" w:space="0" w:color="auto"/>
      </w:divBdr>
    </w:div>
    <w:div w:id="196044190">
      <w:bodyDiv w:val="1"/>
      <w:marLeft w:val="0"/>
      <w:marRight w:val="0"/>
      <w:marTop w:val="0"/>
      <w:marBottom w:val="0"/>
      <w:divBdr>
        <w:top w:val="none" w:sz="0" w:space="0" w:color="auto"/>
        <w:left w:val="none" w:sz="0" w:space="0" w:color="auto"/>
        <w:bottom w:val="none" w:sz="0" w:space="0" w:color="auto"/>
        <w:right w:val="none" w:sz="0" w:space="0" w:color="auto"/>
      </w:divBdr>
    </w:div>
    <w:div w:id="211424279">
      <w:bodyDiv w:val="1"/>
      <w:marLeft w:val="0"/>
      <w:marRight w:val="0"/>
      <w:marTop w:val="0"/>
      <w:marBottom w:val="0"/>
      <w:divBdr>
        <w:top w:val="none" w:sz="0" w:space="0" w:color="auto"/>
        <w:left w:val="none" w:sz="0" w:space="0" w:color="auto"/>
        <w:bottom w:val="none" w:sz="0" w:space="0" w:color="auto"/>
        <w:right w:val="none" w:sz="0" w:space="0" w:color="auto"/>
      </w:divBdr>
    </w:div>
    <w:div w:id="237137857">
      <w:bodyDiv w:val="1"/>
      <w:marLeft w:val="0"/>
      <w:marRight w:val="0"/>
      <w:marTop w:val="0"/>
      <w:marBottom w:val="0"/>
      <w:divBdr>
        <w:top w:val="none" w:sz="0" w:space="0" w:color="auto"/>
        <w:left w:val="none" w:sz="0" w:space="0" w:color="auto"/>
        <w:bottom w:val="none" w:sz="0" w:space="0" w:color="auto"/>
        <w:right w:val="none" w:sz="0" w:space="0" w:color="auto"/>
      </w:divBdr>
    </w:div>
    <w:div w:id="259872449">
      <w:bodyDiv w:val="1"/>
      <w:marLeft w:val="0"/>
      <w:marRight w:val="0"/>
      <w:marTop w:val="0"/>
      <w:marBottom w:val="0"/>
      <w:divBdr>
        <w:top w:val="none" w:sz="0" w:space="0" w:color="auto"/>
        <w:left w:val="none" w:sz="0" w:space="0" w:color="auto"/>
        <w:bottom w:val="none" w:sz="0" w:space="0" w:color="auto"/>
        <w:right w:val="none" w:sz="0" w:space="0" w:color="auto"/>
      </w:divBdr>
    </w:div>
    <w:div w:id="266542854">
      <w:bodyDiv w:val="1"/>
      <w:marLeft w:val="0"/>
      <w:marRight w:val="0"/>
      <w:marTop w:val="0"/>
      <w:marBottom w:val="0"/>
      <w:divBdr>
        <w:top w:val="none" w:sz="0" w:space="0" w:color="auto"/>
        <w:left w:val="none" w:sz="0" w:space="0" w:color="auto"/>
        <w:bottom w:val="none" w:sz="0" w:space="0" w:color="auto"/>
        <w:right w:val="none" w:sz="0" w:space="0" w:color="auto"/>
      </w:divBdr>
    </w:div>
    <w:div w:id="270866890">
      <w:bodyDiv w:val="1"/>
      <w:marLeft w:val="0"/>
      <w:marRight w:val="0"/>
      <w:marTop w:val="0"/>
      <w:marBottom w:val="0"/>
      <w:divBdr>
        <w:top w:val="none" w:sz="0" w:space="0" w:color="auto"/>
        <w:left w:val="none" w:sz="0" w:space="0" w:color="auto"/>
        <w:bottom w:val="none" w:sz="0" w:space="0" w:color="auto"/>
        <w:right w:val="none" w:sz="0" w:space="0" w:color="auto"/>
      </w:divBdr>
    </w:div>
    <w:div w:id="283970789">
      <w:bodyDiv w:val="1"/>
      <w:marLeft w:val="0"/>
      <w:marRight w:val="0"/>
      <w:marTop w:val="0"/>
      <w:marBottom w:val="0"/>
      <w:divBdr>
        <w:top w:val="none" w:sz="0" w:space="0" w:color="auto"/>
        <w:left w:val="none" w:sz="0" w:space="0" w:color="auto"/>
        <w:bottom w:val="none" w:sz="0" w:space="0" w:color="auto"/>
        <w:right w:val="none" w:sz="0" w:space="0" w:color="auto"/>
      </w:divBdr>
    </w:div>
    <w:div w:id="292491938">
      <w:bodyDiv w:val="1"/>
      <w:marLeft w:val="0"/>
      <w:marRight w:val="0"/>
      <w:marTop w:val="0"/>
      <w:marBottom w:val="0"/>
      <w:divBdr>
        <w:top w:val="none" w:sz="0" w:space="0" w:color="auto"/>
        <w:left w:val="none" w:sz="0" w:space="0" w:color="auto"/>
        <w:bottom w:val="none" w:sz="0" w:space="0" w:color="auto"/>
        <w:right w:val="none" w:sz="0" w:space="0" w:color="auto"/>
      </w:divBdr>
    </w:div>
    <w:div w:id="294063603">
      <w:bodyDiv w:val="1"/>
      <w:marLeft w:val="0"/>
      <w:marRight w:val="0"/>
      <w:marTop w:val="0"/>
      <w:marBottom w:val="0"/>
      <w:divBdr>
        <w:top w:val="none" w:sz="0" w:space="0" w:color="auto"/>
        <w:left w:val="none" w:sz="0" w:space="0" w:color="auto"/>
        <w:bottom w:val="none" w:sz="0" w:space="0" w:color="auto"/>
        <w:right w:val="none" w:sz="0" w:space="0" w:color="auto"/>
      </w:divBdr>
    </w:div>
    <w:div w:id="295452866">
      <w:bodyDiv w:val="1"/>
      <w:marLeft w:val="0"/>
      <w:marRight w:val="0"/>
      <w:marTop w:val="0"/>
      <w:marBottom w:val="0"/>
      <w:divBdr>
        <w:top w:val="none" w:sz="0" w:space="0" w:color="auto"/>
        <w:left w:val="none" w:sz="0" w:space="0" w:color="auto"/>
        <w:bottom w:val="none" w:sz="0" w:space="0" w:color="auto"/>
        <w:right w:val="none" w:sz="0" w:space="0" w:color="auto"/>
      </w:divBdr>
    </w:div>
    <w:div w:id="298803877">
      <w:bodyDiv w:val="1"/>
      <w:marLeft w:val="0"/>
      <w:marRight w:val="0"/>
      <w:marTop w:val="0"/>
      <w:marBottom w:val="0"/>
      <w:divBdr>
        <w:top w:val="none" w:sz="0" w:space="0" w:color="auto"/>
        <w:left w:val="none" w:sz="0" w:space="0" w:color="auto"/>
        <w:bottom w:val="none" w:sz="0" w:space="0" w:color="auto"/>
        <w:right w:val="none" w:sz="0" w:space="0" w:color="auto"/>
      </w:divBdr>
    </w:div>
    <w:div w:id="301353460">
      <w:bodyDiv w:val="1"/>
      <w:marLeft w:val="0"/>
      <w:marRight w:val="0"/>
      <w:marTop w:val="0"/>
      <w:marBottom w:val="0"/>
      <w:divBdr>
        <w:top w:val="none" w:sz="0" w:space="0" w:color="auto"/>
        <w:left w:val="none" w:sz="0" w:space="0" w:color="auto"/>
        <w:bottom w:val="none" w:sz="0" w:space="0" w:color="auto"/>
        <w:right w:val="none" w:sz="0" w:space="0" w:color="auto"/>
      </w:divBdr>
    </w:div>
    <w:div w:id="301810736">
      <w:bodyDiv w:val="1"/>
      <w:marLeft w:val="0"/>
      <w:marRight w:val="0"/>
      <w:marTop w:val="0"/>
      <w:marBottom w:val="0"/>
      <w:divBdr>
        <w:top w:val="none" w:sz="0" w:space="0" w:color="auto"/>
        <w:left w:val="none" w:sz="0" w:space="0" w:color="auto"/>
        <w:bottom w:val="none" w:sz="0" w:space="0" w:color="auto"/>
        <w:right w:val="none" w:sz="0" w:space="0" w:color="auto"/>
      </w:divBdr>
    </w:div>
    <w:div w:id="308828913">
      <w:bodyDiv w:val="1"/>
      <w:marLeft w:val="0"/>
      <w:marRight w:val="0"/>
      <w:marTop w:val="0"/>
      <w:marBottom w:val="0"/>
      <w:divBdr>
        <w:top w:val="none" w:sz="0" w:space="0" w:color="auto"/>
        <w:left w:val="none" w:sz="0" w:space="0" w:color="auto"/>
        <w:bottom w:val="none" w:sz="0" w:space="0" w:color="auto"/>
        <w:right w:val="none" w:sz="0" w:space="0" w:color="auto"/>
      </w:divBdr>
    </w:div>
    <w:div w:id="310838741">
      <w:bodyDiv w:val="1"/>
      <w:marLeft w:val="0"/>
      <w:marRight w:val="0"/>
      <w:marTop w:val="0"/>
      <w:marBottom w:val="0"/>
      <w:divBdr>
        <w:top w:val="none" w:sz="0" w:space="0" w:color="auto"/>
        <w:left w:val="none" w:sz="0" w:space="0" w:color="auto"/>
        <w:bottom w:val="none" w:sz="0" w:space="0" w:color="auto"/>
        <w:right w:val="none" w:sz="0" w:space="0" w:color="auto"/>
      </w:divBdr>
    </w:div>
    <w:div w:id="340477842">
      <w:bodyDiv w:val="1"/>
      <w:marLeft w:val="0"/>
      <w:marRight w:val="0"/>
      <w:marTop w:val="0"/>
      <w:marBottom w:val="0"/>
      <w:divBdr>
        <w:top w:val="none" w:sz="0" w:space="0" w:color="auto"/>
        <w:left w:val="none" w:sz="0" w:space="0" w:color="auto"/>
        <w:bottom w:val="none" w:sz="0" w:space="0" w:color="auto"/>
        <w:right w:val="none" w:sz="0" w:space="0" w:color="auto"/>
      </w:divBdr>
    </w:div>
    <w:div w:id="358355460">
      <w:bodyDiv w:val="1"/>
      <w:marLeft w:val="0"/>
      <w:marRight w:val="0"/>
      <w:marTop w:val="0"/>
      <w:marBottom w:val="0"/>
      <w:divBdr>
        <w:top w:val="none" w:sz="0" w:space="0" w:color="auto"/>
        <w:left w:val="none" w:sz="0" w:space="0" w:color="auto"/>
        <w:bottom w:val="none" w:sz="0" w:space="0" w:color="auto"/>
        <w:right w:val="none" w:sz="0" w:space="0" w:color="auto"/>
      </w:divBdr>
    </w:div>
    <w:div w:id="421613428">
      <w:bodyDiv w:val="1"/>
      <w:marLeft w:val="0"/>
      <w:marRight w:val="0"/>
      <w:marTop w:val="0"/>
      <w:marBottom w:val="0"/>
      <w:divBdr>
        <w:top w:val="none" w:sz="0" w:space="0" w:color="auto"/>
        <w:left w:val="none" w:sz="0" w:space="0" w:color="auto"/>
        <w:bottom w:val="none" w:sz="0" w:space="0" w:color="auto"/>
        <w:right w:val="none" w:sz="0" w:space="0" w:color="auto"/>
      </w:divBdr>
    </w:div>
    <w:div w:id="425735162">
      <w:bodyDiv w:val="1"/>
      <w:marLeft w:val="0"/>
      <w:marRight w:val="0"/>
      <w:marTop w:val="0"/>
      <w:marBottom w:val="0"/>
      <w:divBdr>
        <w:top w:val="none" w:sz="0" w:space="0" w:color="auto"/>
        <w:left w:val="none" w:sz="0" w:space="0" w:color="auto"/>
        <w:bottom w:val="none" w:sz="0" w:space="0" w:color="auto"/>
        <w:right w:val="none" w:sz="0" w:space="0" w:color="auto"/>
      </w:divBdr>
    </w:div>
    <w:div w:id="436411332">
      <w:bodyDiv w:val="1"/>
      <w:marLeft w:val="0"/>
      <w:marRight w:val="0"/>
      <w:marTop w:val="0"/>
      <w:marBottom w:val="0"/>
      <w:divBdr>
        <w:top w:val="none" w:sz="0" w:space="0" w:color="auto"/>
        <w:left w:val="none" w:sz="0" w:space="0" w:color="auto"/>
        <w:bottom w:val="none" w:sz="0" w:space="0" w:color="auto"/>
        <w:right w:val="none" w:sz="0" w:space="0" w:color="auto"/>
      </w:divBdr>
    </w:div>
    <w:div w:id="465971226">
      <w:bodyDiv w:val="1"/>
      <w:marLeft w:val="0"/>
      <w:marRight w:val="0"/>
      <w:marTop w:val="0"/>
      <w:marBottom w:val="0"/>
      <w:divBdr>
        <w:top w:val="none" w:sz="0" w:space="0" w:color="auto"/>
        <w:left w:val="none" w:sz="0" w:space="0" w:color="auto"/>
        <w:bottom w:val="none" w:sz="0" w:space="0" w:color="auto"/>
        <w:right w:val="none" w:sz="0" w:space="0" w:color="auto"/>
      </w:divBdr>
    </w:div>
    <w:div w:id="473765090">
      <w:bodyDiv w:val="1"/>
      <w:marLeft w:val="0"/>
      <w:marRight w:val="0"/>
      <w:marTop w:val="0"/>
      <w:marBottom w:val="0"/>
      <w:divBdr>
        <w:top w:val="none" w:sz="0" w:space="0" w:color="auto"/>
        <w:left w:val="none" w:sz="0" w:space="0" w:color="auto"/>
        <w:bottom w:val="none" w:sz="0" w:space="0" w:color="auto"/>
        <w:right w:val="none" w:sz="0" w:space="0" w:color="auto"/>
      </w:divBdr>
    </w:div>
    <w:div w:id="477965171">
      <w:bodyDiv w:val="1"/>
      <w:marLeft w:val="0"/>
      <w:marRight w:val="0"/>
      <w:marTop w:val="0"/>
      <w:marBottom w:val="0"/>
      <w:divBdr>
        <w:top w:val="none" w:sz="0" w:space="0" w:color="auto"/>
        <w:left w:val="none" w:sz="0" w:space="0" w:color="auto"/>
        <w:bottom w:val="none" w:sz="0" w:space="0" w:color="auto"/>
        <w:right w:val="none" w:sz="0" w:space="0" w:color="auto"/>
      </w:divBdr>
    </w:div>
    <w:div w:id="491675608">
      <w:bodyDiv w:val="1"/>
      <w:marLeft w:val="0"/>
      <w:marRight w:val="0"/>
      <w:marTop w:val="0"/>
      <w:marBottom w:val="0"/>
      <w:divBdr>
        <w:top w:val="none" w:sz="0" w:space="0" w:color="auto"/>
        <w:left w:val="none" w:sz="0" w:space="0" w:color="auto"/>
        <w:bottom w:val="none" w:sz="0" w:space="0" w:color="auto"/>
        <w:right w:val="none" w:sz="0" w:space="0" w:color="auto"/>
      </w:divBdr>
    </w:div>
    <w:div w:id="512500624">
      <w:bodyDiv w:val="1"/>
      <w:marLeft w:val="0"/>
      <w:marRight w:val="0"/>
      <w:marTop w:val="0"/>
      <w:marBottom w:val="0"/>
      <w:divBdr>
        <w:top w:val="none" w:sz="0" w:space="0" w:color="auto"/>
        <w:left w:val="none" w:sz="0" w:space="0" w:color="auto"/>
        <w:bottom w:val="none" w:sz="0" w:space="0" w:color="auto"/>
        <w:right w:val="none" w:sz="0" w:space="0" w:color="auto"/>
      </w:divBdr>
    </w:div>
    <w:div w:id="518663911">
      <w:bodyDiv w:val="1"/>
      <w:marLeft w:val="0"/>
      <w:marRight w:val="0"/>
      <w:marTop w:val="0"/>
      <w:marBottom w:val="0"/>
      <w:divBdr>
        <w:top w:val="none" w:sz="0" w:space="0" w:color="auto"/>
        <w:left w:val="none" w:sz="0" w:space="0" w:color="auto"/>
        <w:bottom w:val="none" w:sz="0" w:space="0" w:color="auto"/>
        <w:right w:val="none" w:sz="0" w:space="0" w:color="auto"/>
      </w:divBdr>
    </w:div>
    <w:div w:id="522091310">
      <w:bodyDiv w:val="1"/>
      <w:marLeft w:val="0"/>
      <w:marRight w:val="0"/>
      <w:marTop w:val="0"/>
      <w:marBottom w:val="0"/>
      <w:divBdr>
        <w:top w:val="none" w:sz="0" w:space="0" w:color="auto"/>
        <w:left w:val="none" w:sz="0" w:space="0" w:color="auto"/>
        <w:bottom w:val="none" w:sz="0" w:space="0" w:color="auto"/>
        <w:right w:val="none" w:sz="0" w:space="0" w:color="auto"/>
      </w:divBdr>
    </w:div>
    <w:div w:id="580065282">
      <w:bodyDiv w:val="1"/>
      <w:marLeft w:val="0"/>
      <w:marRight w:val="0"/>
      <w:marTop w:val="0"/>
      <w:marBottom w:val="0"/>
      <w:divBdr>
        <w:top w:val="none" w:sz="0" w:space="0" w:color="auto"/>
        <w:left w:val="none" w:sz="0" w:space="0" w:color="auto"/>
        <w:bottom w:val="none" w:sz="0" w:space="0" w:color="auto"/>
        <w:right w:val="none" w:sz="0" w:space="0" w:color="auto"/>
      </w:divBdr>
    </w:div>
    <w:div w:id="591864938">
      <w:bodyDiv w:val="1"/>
      <w:marLeft w:val="0"/>
      <w:marRight w:val="0"/>
      <w:marTop w:val="0"/>
      <w:marBottom w:val="0"/>
      <w:divBdr>
        <w:top w:val="none" w:sz="0" w:space="0" w:color="auto"/>
        <w:left w:val="none" w:sz="0" w:space="0" w:color="auto"/>
        <w:bottom w:val="none" w:sz="0" w:space="0" w:color="auto"/>
        <w:right w:val="none" w:sz="0" w:space="0" w:color="auto"/>
      </w:divBdr>
    </w:div>
    <w:div w:id="608898588">
      <w:bodyDiv w:val="1"/>
      <w:marLeft w:val="0"/>
      <w:marRight w:val="0"/>
      <w:marTop w:val="0"/>
      <w:marBottom w:val="0"/>
      <w:divBdr>
        <w:top w:val="none" w:sz="0" w:space="0" w:color="auto"/>
        <w:left w:val="none" w:sz="0" w:space="0" w:color="auto"/>
        <w:bottom w:val="none" w:sz="0" w:space="0" w:color="auto"/>
        <w:right w:val="none" w:sz="0" w:space="0" w:color="auto"/>
      </w:divBdr>
    </w:div>
    <w:div w:id="612052405">
      <w:bodyDiv w:val="1"/>
      <w:marLeft w:val="0"/>
      <w:marRight w:val="0"/>
      <w:marTop w:val="0"/>
      <w:marBottom w:val="0"/>
      <w:divBdr>
        <w:top w:val="none" w:sz="0" w:space="0" w:color="auto"/>
        <w:left w:val="none" w:sz="0" w:space="0" w:color="auto"/>
        <w:bottom w:val="none" w:sz="0" w:space="0" w:color="auto"/>
        <w:right w:val="none" w:sz="0" w:space="0" w:color="auto"/>
      </w:divBdr>
    </w:div>
    <w:div w:id="626205012">
      <w:bodyDiv w:val="1"/>
      <w:marLeft w:val="0"/>
      <w:marRight w:val="0"/>
      <w:marTop w:val="0"/>
      <w:marBottom w:val="0"/>
      <w:divBdr>
        <w:top w:val="none" w:sz="0" w:space="0" w:color="auto"/>
        <w:left w:val="none" w:sz="0" w:space="0" w:color="auto"/>
        <w:bottom w:val="none" w:sz="0" w:space="0" w:color="auto"/>
        <w:right w:val="none" w:sz="0" w:space="0" w:color="auto"/>
      </w:divBdr>
    </w:div>
    <w:div w:id="657268234">
      <w:bodyDiv w:val="1"/>
      <w:marLeft w:val="0"/>
      <w:marRight w:val="0"/>
      <w:marTop w:val="0"/>
      <w:marBottom w:val="0"/>
      <w:divBdr>
        <w:top w:val="none" w:sz="0" w:space="0" w:color="auto"/>
        <w:left w:val="none" w:sz="0" w:space="0" w:color="auto"/>
        <w:bottom w:val="none" w:sz="0" w:space="0" w:color="auto"/>
        <w:right w:val="none" w:sz="0" w:space="0" w:color="auto"/>
      </w:divBdr>
    </w:div>
    <w:div w:id="673653109">
      <w:bodyDiv w:val="1"/>
      <w:marLeft w:val="0"/>
      <w:marRight w:val="0"/>
      <w:marTop w:val="0"/>
      <w:marBottom w:val="0"/>
      <w:divBdr>
        <w:top w:val="none" w:sz="0" w:space="0" w:color="auto"/>
        <w:left w:val="none" w:sz="0" w:space="0" w:color="auto"/>
        <w:bottom w:val="none" w:sz="0" w:space="0" w:color="auto"/>
        <w:right w:val="none" w:sz="0" w:space="0" w:color="auto"/>
      </w:divBdr>
    </w:div>
    <w:div w:id="675957457">
      <w:bodyDiv w:val="1"/>
      <w:marLeft w:val="0"/>
      <w:marRight w:val="0"/>
      <w:marTop w:val="0"/>
      <w:marBottom w:val="0"/>
      <w:divBdr>
        <w:top w:val="none" w:sz="0" w:space="0" w:color="auto"/>
        <w:left w:val="none" w:sz="0" w:space="0" w:color="auto"/>
        <w:bottom w:val="none" w:sz="0" w:space="0" w:color="auto"/>
        <w:right w:val="none" w:sz="0" w:space="0" w:color="auto"/>
      </w:divBdr>
    </w:div>
    <w:div w:id="684945336">
      <w:bodyDiv w:val="1"/>
      <w:marLeft w:val="0"/>
      <w:marRight w:val="0"/>
      <w:marTop w:val="0"/>
      <w:marBottom w:val="0"/>
      <w:divBdr>
        <w:top w:val="none" w:sz="0" w:space="0" w:color="auto"/>
        <w:left w:val="none" w:sz="0" w:space="0" w:color="auto"/>
        <w:bottom w:val="none" w:sz="0" w:space="0" w:color="auto"/>
        <w:right w:val="none" w:sz="0" w:space="0" w:color="auto"/>
      </w:divBdr>
    </w:div>
    <w:div w:id="724329942">
      <w:bodyDiv w:val="1"/>
      <w:marLeft w:val="0"/>
      <w:marRight w:val="0"/>
      <w:marTop w:val="0"/>
      <w:marBottom w:val="0"/>
      <w:divBdr>
        <w:top w:val="none" w:sz="0" w:space="0" w:color="auto"/>
        <w:left w:val="none" w:sz="0" w:space="0" w:color="auto"/>
        <w:bottom w:val="none" w:sz="0" w:space="0" w:color="auto"/>
        <w:right w:val="none" w:sz="0" w:space="0" w:color="auto"/>
      </w:divBdr>
    </w:div>
    <w:div w:id="784272330">
      <w:bodyDiv w:val="1"/>
      <w:marLeft w:val="0"/>
      <w:marRight w:val="0"/>
      <w:marTop w:val="0"/>
      <w:marBottom w:val="0"/>
      <w:divBdr>
        <w:top w:val="none" w:sz="0" w:space="0" w:color="auto"/>
        <w:left w:val="none" w:sz="0" w:space="0" w:color="auto"/>
        <w:bottom w:val="none" w:sz="0" w:space="0" w:color="auto"/>
        <w:right w:val="none" w:sz="0" w:space="0" w:color="auto"/>
      </w:divBdr>
    </w:div>
    <w:div w:id="806166191">
      <w:bodyDiv w:val="1"/>
      <w:marLeft w:val="0"/>
      <w:marRight w:val="0"/>
      <w:marTop w:val="0"/>
      <w:marBottom w:val="0"/>
      <w:divBdr>
        <w:top w:val="none" w:sz="0" w:space="0" w:color="auto"/>
        <w:left w:val="none" w:sz="0" w:space="0" w:color="auto"/>
        <w:bottom w:val="none" w:sz="0" w:space="0" w:color="auto"/>
        <w:right w:val="none" w:sz="0" w:space="0" w:color="auto"/>
      </w:divBdr>
    </w:div>
    <w:div w:id="818111930">
      <w:bodyDiv w:val="1"/>
      <w:marLeft w:val="0"/>
      <w:marRight w:val="0"/>
      <w:marTop w:val="0"/>
      <w:marBottom w:val="0"/>
      <w:divBdr>
        <w:top w:val="none" w:sz="0" w:space="0" w:color="auto"/>
        <w:left w:val="none" w:sz="0" w:space="0" w:color="auto"/>
        <w:bottom w:val="none" w:sz="0" w:space="0" w:color="auto"/>
        <w:right w:val="none" w:sz="0" w:space="0" w:color="auto"/>
      </w:divBdr>
    </w:div>
    <w:div w:id="861896291">
      <w:bodyDiv w:val="1"/>
      <w:marLeft w:val="0"/>
      <w:marRight w:val="0"/>
      <w:marTop w:val="0"/>
      <w:marBottom w:val="0"/>
      <w:divBdr>
        <w:top w:val="none" w:sz="0" w:space="0" w:color="auto"/>
        <w:left w:val="none" w:sz="0" w:space="0" w:color="auto"/>
        <w:bottom w:val="none" w:sz="0" w:space="0" w:color="auto"/>
        <w:right w:val="none" w:sz="0" w:space="0" w:color="auto"/>
      </w:divBdr>
    </w:div>
    <w:div w:id="870536439">
      <w:bodyDiv w:val="1"/>
      <w:marLeft w:val="0"/>
      <w:marRight w:val="0"/>
      <w:marTop w:val="0"/>
      <w:marBottom w:val="0"/>
      <w:divBdr>
        <w:top w:val="none" w:sz="0" w:space="0" w:color="auto"/>
        <w:left w:val="none" w:sz="0" w:space="0" w:color="auto"/>
        <w:bottom w:val="none" w:sz="0" w:space="0" w:color="auto"/>
        <w:right w:val="none" w:sz="0" w:space="0" w:color="auto"/>
      </w:divBdr>
    </w:div>
    <w:div w:id="870728217">
      <w:bodyDiv w:val="1"/>
      <w:marLeft w:val="0"/>
      <w:marRight w:val="0"/>
      <w:marTop w:val="0"/>
      <w:marBottom w:val="0"/>
      <w:divBdr>
        <w:top w:val="none" w:sz="0" w:space="0" w:color="auto"/>
        <w:left w:val="none" w:sz="0" w:space="0" w:color="auto"/>
        <w:bottom w:val="none" w:sz="0" w:space="0" w:color="auto"/>
        <w:right w:val="none" w:sz="0" w:space="0" w:color="auto"/>
      </w:divBdr>
    </w:div>
    <w:div w:id="882643335">
      <w:bodyDiv w:val="1"/>
      <w:marLeft w:val="0"/>
      <w:marRight w:val="0"/>
      <w:marTop w:val="0"/>
      <w:marBottom w:val="0"/>
      <w:divBdr>
        <w:top w:val="none" w:sz="0" w:space="0" w:color="auto"/>
        <w:left w:val="none" w:sz="0" w:space="0" w:color="auto"/>
        <w:bottom w:val="none" w:sz="0" w:space="0" w:color="auto"/>
        <w:right w:val="none" w:sz="0" w:space="0" w:color="auto"/>
      </w:divBdr>
    </w:div>
    <w:div w:id="895042518">
      <w:bodyDiv w:val="1"/>
      <w:marLeft w:val="0"/>
      <w:marRight w:val="0"/>
      <w:marTop w:val="0"/>
      <w:marBottom w:val="0"/>
      <w:divBdr>
        <w:top w:val="none" w:sz="0" w:space="0" w:color="auto"/>
        <w:left w:val="none" w:sz="0" w:space="0" w:color="auto"/>
        <w:bottom w:val="none" w:sz="0" w:space="0" w:color="auto"/>
        <w:right w:val="none" w:sz="0" w:space="0" w:color="auto"/>
      </w:divBdr>
    </w:div>
    <w:div w:id="920798655">
      <w:bodyDiv w:val="1"/>
      <w:marLeft w:val="0"/>
      <w:marRight w:val="0"/>
      <w:marTop w:val="0"/>
      <w:marBottom w:val="0"/>
      <w:divBdr>
        <w:top w:val="none" w:sz="0" w:space="0" w:color="auto"/>
        <w:left w:val="none" w:sz="0" w:space="0" w:color="auto"/>
        <w:bottom w:val="none" w:sz="0" w:space="0" w:color="auto"/>
        <w:right w:val="none" w:sz="0" w:space="0" w:color="auto"/>
      </w:divBdr>
    </w:div>
    <w:div w:id="923807727">
      <w:bodyDiv w:val="1"/>
      <w:marLeft w:val="0"/>
      <w:marRight w:val="0"/>
      <w:marTop w:val="0"/>
      <w:marBottom w:val="0"/>
      <w:divBdr>
        <w:top w:val="none" w:sz="0" w:space="0" w:color="auto"/>
        <w:left w:val="none" w:sz="0" w:space="0" w:color="auto"/>
        <w:bottom w:val="none" w:sz="0" w:space="0" w:color="auto"/>
        <w:right w:val="none" w:sz="0" w:space="0" w:color="auto"/>
      </w:divBdr>
    </w:div>
    <w:div w:id="929702442">
      <w:bodyDiv w:val="1"/>
      <w:marLeft w:val="0"/>
      <w:marRight w:val="0"/>
      <w:marTop w:val="0"/>
      <w:marBottom w:val="0"/>
      <w:divBdr>
        <w:top w:val="none" w:sz="0" w:space="0" w:color="auto"/>
        <w:left w:val="none" w:sz="0" w:space="0" w:color="auto"/>
        <w:bottom w:val="none" w:sz="0" w:space="0" w:color="auto"/>
        <w:right w:val="none" w:sz="0" w:space="0" w:color="auto"/>
      </w:divBdr>
    </w:div>
    <w:div w:id="939214805">
      <w:bodyDiv w:val="1"/>
      <w:marLeft w:val="0"/>
      <w:marRight w:val="0"/>
      <w:marTop w:val="0"/>
      <w:marBottom w:val="0"/>
      <w:divBdr>
        <w:top w:val="none" w:sz="0" w:space="0" w:color="auto"/>
        <w:left w:val="none" w:sz="0" w:space="0" w:color="auto"/>
        <w:bottom w:val="none" w:sz="0" w:space="0" w:color="auto"/>
        <w:right w:val="none" w:sz="0" w:space="0" w:color="auto"/>
      </w:divBdr>
    </w:div>
    <w:div w:id="954336152">
      <w:bodyDiv w:val="1"/>
      <w:marLeft w:val="0"/>
      <w:marRight w:val="0"/>
      <w:marTop w:val="0"/>
      <w:marBottom w:val="0"/>
      <w:divBdr>
        <w:top w:val="none" w:sz="0" w:space="0" w:color="auto"/>
        <w:left w:val="none" w:sz="0" w:space="0" w:color="auto"/>
        <w:bottom w:val="none" w:sz="0" w:space="0" w:color="auto"/>
        <w:right w:val="none" w:sz="0" w:space="0" w:color="auto"/>
      </w:divBdr>
    </w:div>
    <w:div w:id="989290363">
      <w:bodyDiv w:val="1"/>
      <w:marLeft w:val="0"/>
      <w:marRight w:val="0"/>
      <w:marTop w:val="0"/>
      <w:marBottom w:val="0"/>
      <w:divBdr>
        <w:top w:val="none" w:sz="0" w:space="0" w:color="auto"/>
        <w:left w:val="none" w:sz="0" w:space="0" w:color="auto"/>
        <w:bottom w:val="none" w:sz="0" w:space="0" w:color="auto"/>
        <w:right w:val="none" w:sz="0" w:space="0" w:color="auto"/>
      </w:divBdr>
    </w:div>
    <w:div w:id="1053695865">
      <w:bodyDiv w:val="1"/>
      <w:marLeft w:val="0"/>
      <w:marRight w:val="0"/>
      <w:marTop w:val="0"/>
      <w:marBottom w:val="0"/>
      <w:divBdr>
        <w:top w:val="none" w:sz="0" w:space="0" w:color="auto"/>
        <w:left w:val="none" w:sz="0" w:space="0" w:color="auto"/>
        <w:bottom w:val="none" w:sz="0" w:space="0" w:color="auto"/>
        <w:right w:val="none" w:sz="0" w:space="0" w:color="auto"/>
      </w:divBdr>
    </w:div>
    <w:div w:id="1063528272">
      <w:bodyDiv w:val="1"/>
      <w:marLeft w:val="0"/>
      <w:marRight w:val="0"/>
      <w:marTop w:val="0"/>
      <w:marBottom w:val="0"/>
      <w:divBdr>
        <w:top w:val="none" w:sz="0" w:space="0" w:color="auto"/>
        <w:left w:val="none" w:sz="0" w:space="0" w:color="auto"/>
        <w:bottom w:val="none" w:sz="0" w:space="0" w:color="auto"/>
        <w:right w:val="none" w:sz="0" w:space="0" w:color="auto"/>
      </w:divBdr>
    </w:div>
    <w:div w:id="1072387208">
      <w:bodyDiv w:val="1"/>
      <w:marLeft w:val="0"/>
      <w:marRight w:val="0"/>
      <w:marTop w:val="0"/>
      <w:marBottom w:val="0"/>
      <w:divBdr>
        <w:top w:val="none" w:sz="0" w:space="0" w:color="auto"/>
        <w:left w:val="none" w:sz="0" w:space="0" w:color="auto"/>
        <w:bottom w:val="none" w:sz="0" w:space="0" w:color="auto"/>
        <w:right w:val="none" w:sz="0" w:space="0" w:color="auto"/>
      </w:divBdr>
    </w:div>
    <w:div w:id="1139301126">
      <w:bodyDiv w:val="1"/>
      <w:marLeft w:val="0"/>
      <w:marRight w:val="0"/>
      <w:marTop w:val="0"/>
      <w:marBottom w:val="0"/>
      <w:divBdr>
        <w:top w:val="none" w:sz="0" w:space="0" w:color="auto"/>
        <w:left w:val="none" w:sz="0" w:space="0" w:color="auto"/>
        <w:bottom w:val="none" w:sz="0" w:space="0" w:color="auto"/>
        <w:right w:val="none" w:sz="0" w:space="0" w:color="auto"/>
      </w:divBdr>
    </w:div>
    <w:div w:id="1143615305">
      <w:bodyDiv w:val="1"/>
      <w:marLeft w:val="0"/>
      <w:marRight w:val="0"/>
      <w:marTop w:val="0"/>
      <w:marBottom w:val="0"/>
      <w:divBdr>
        <w:top w:val="none" w:sz="0" w:space="0" w:color="auto"/>
        <w:left w:val="none" w:sz="0" w:space="0" w:color="auto"/>
        <w:bottom w:val="none" w:sz="0" w:space="0" w:color="auto"/>
        <w:right w:val="none" w:sz="0" w:space="0" w:color="auto"/>
      </w:divBdr>
    </w:div>
    <w:div w:id="1146583088">
      <w:bodyDiv w:val="1"/>
      <w:marLeft w:val="0"/>
      <w:marRight w:val="0"/>
      <w:marTop w:val="0"/>
      <w:marBottom w:val="0"/>
      <w:divBdr>
        <w:top w:val="none" w:sz="0" w:space="0" w:color="auto"/>
        <w:left w:val="none" w:sz="0" w:space="0" w:color="auto"/>
        <w:bottom w:val="none" w:sz="0" w:space="0" w:color="auto"/>
        <w:right w:val="none" w:sz="0" w:space="0" w:color="auto"/>
      </w:divBdr>
    </w:div>
    <w:div w:id="1146973998">
      <w:bodyDiv w:val="1"/>
      <w:marLeft w:val="0"/>
      <w:marRight w:val="0"/>
      <w:marTop w:val="0"/>
      <w:marBottom w:val="0"/>
      <w:divBdr>
        <w:top w:val="none" w:sz="0" w:space="0" w:color="auto"/>
        <w:left w:val="none" w:sz="0" w:space="0" w:color="auto"/>
        <w:bottom w:val="none" w:sz="0" w:space="0" w:color="auto"/>
        <w:right w:val="none" w:sz="0" w:space="0" w:color="auto"/>
      </w:divBdr>
    </w:div>
    <w:div w:id="1148937333">
      <w:bodyDiv w:val="1"/>
      <w:marLeft w:val="0"/>
      <w:marRight w:val="0"/>
      <w:marTop w:val="0"/>
      <w:marBottom w:val="0"/>
      <w:divBdr>
        <w:top w:val="none" w:sz="0" w:space="0" w:color="auto"/>
        <w:left w:val="none" w:sz="0" w:space="0" w:color="auto"/>
        <w:bottom w:val="none" w:sz="0" w:space="0" w:color="auto"/>
        <w:right w:val="none" w:sz="0" w:space="0" w:color="auto"/>
      </w:divBdr>
    </w:div>
    <w:div w:id="1167556440">
      <w:bodyDiv w:val="1"/>
      <w:marLeft w:val="0"/>
      <w:marRight w:val="0"/>
      <w:marTop w:val="0"/>
      <w:marBottom w:val="0"/>
      <w:divBdr>
        <w:top w:val="none" w:sz="0" w:space="0" w:color="auto"/>
        <w:left w:val="none" w:sz="0" w:space="0" w:color="auto"/>
        <w:bottom w:val="none" w:sz="0" w:space="0" w:color="auto"/>
        <w:right w:val="none" w:sz="0" w:space="0" w:color="auto"/>
      </w:divBdr>
    </w:div>
    <w:div w:id="1170679363">
      <w:bodyDiv w:val="1"/>
      <w:marLeft w:val="0"/>
      <w:marRight w:val="0"/>
      <w:marTop w:val="0"/>
      <w:marBottom w:val="0"/>
      <w:divBdr>
        <w:top w:val="none" w:sz="0" w:space="0" w:color="auto"/>
        <w:left w:val="none" w:sz="0" w:space="0" w:color="auto"/>
        <w:bottom w:val="none" w:sz="0" w:space="0" w:color="auto"/>
        <w:right w:val="none" w:sz="0" w:space="0" w:color="auto"/>
      </w:divBdr>
    </w:div>
    <w:div w:id="1172716306">
      <w:bodyDiv w:val="1"/>
      <w:marLeft w:val="0"/>
      <w:marRight w:val="0"/>
      <w:marTop w:val="0"/>
      <w:marBottom w:val="0"/>
      <w:divBdr>
        <w:top w:val="none" w:sz="0" w:space="0" w:color="auto"/>
        <w:left w:val="none" w:sz="0" w:space="0" w:color="auto"/>
        <w:bottom w:val="none" w:sz="0" w:space="0" w:color="auto"/>
        <w:right w:val="none" w:sz="0" w:space="0" w:color="auto"/>
      </w:divBdr>
    </w:div>
    <w:div w:id="1180975268">
      <w:bodyDiv w:val="1"/>
      <w:marLeft w:val="0"/>
      <w:marRight w:val="0"/>
      <w:marTop w:val="0"/>
      <w:marBottom w:val="0"/>
      <w:divBdr>
        <w:top w:val="none" w:sz="0" w:space="0" w:color="auto"/>
        <w:left w:val="none" w:sz="0" w:space="0" w:color="auto"/>
        <w:bottom w:val="none" w:sz="0" w:space="0" w:color="auto"/>
        <w:right w:val="none" w:sz="0" w:space="0" w:color="auto"/>
      </w:divBdr>
    </w:div>
    <w:div w:id="1201284909">
      <w:bodyDiv w:val="1"/>
      <w:marLeft w:val="0"/>
      <w:marRight w:val="0"/>
      <w:marTop w:val="0"/>
      <w:marBottom w:val="0"/>
      <w:divBdr>
        <w:top w:val="none" w:sz="0" w:space="0" w:color="auto"/>
        <w:left w:val="none" w:sz="0" w:space="0" w:color="auto"/>
        <w:bottom w:val="none" w:sz="0" w:space="0" w:color="auto"/>
        <w:right w:val="none" w:sz="0" w:space="0" w:color="auto"/>
      </w:divBdr>
    </w:div>
    <w:div w:id="1239512981">
      <w:bodyDiv w:val="1"/>
      <w:marLeft w:val="0"/>
      <w:marRight w:val="0"/>
      <w:marTop w:val="0"/>
      <w:marBottom w:val="0"/>
      <w:divBdr>
        <w:top w:val="none" w:sz="0" w:space="0" w:color="auto"/>
        <w:left w:val="none" w:sz="0" w:space="0" w:color="auto"/>
        <w:bottom w:val="none" w:sz="0" w:space="0" w:color="auto"/>
        <w:right w:val="none" w:sz="0" w:space="0" w:color="auto"/>
      </w:divBdr>
    </w:div>
    <w:div w:id="1252857353">
      <w:bodyDiv w:val="1"/>
      <w:marLeft w:val="0"/>
      <w:marRight w:val="0"/>
      <w:marTop w:val="0"/>
      <w:marBottom w:val="0"/>
      <w:divBdr>
        <w:top w:val="none" w:sz="0" w:space="0" w:color="auto"/>
        <w:left w:val="none" w:sz="0" w:space="0" w:color="auto"/>
        <w:bottom w:val="none" w:sz="0" w:space="0" w:color="auto"/>
        <w:right w:val="none" w:sz="0" w:space="0" w:color="auto"/>
      </w:divBdr>
    </w:div>
    <w:div w:id="1286275462">
      <w:bodyDiv w:val="1"/>
      <w:marLeft w:val="0"/>
      <w:marRight w:val="0"/>
      <w:marTop w:val="0"/>
      <w:marBottom w:val="0"/>
      <w:divBdr>
        <w:top w:val="none" w:sz="0" w:space="0" w:color="auto"/>
        <w:left w:val="none" w:sz="0" w:space="0" w:color="auto"/>
        <w:bottom w:val="none" w:sz="0" w:space="0" w:color="auto"/>
        <w:right w:val="none" w:sz="0" w:space="0" w:color="auto"/>
      </w:divBdr>
    </w:div>
    <w:div w:id="1313949988">
      <w:bodyDiv w:val="1"/>
      <w:marLeft w:val="0"/>
      <w:marRight w:val="0"/>
      <w:marTop w:val="0"/>
      <w:marBottom w:val="0"/>
      <w:divBdr>
        <w:top w:val="none" w:sz="0" w:space="0" w:color="auto"/>
        <w:left w:val="none" w:sz="0" w:space="0" w:color="auto"/>
        <w:bottom w:val="none" w:sz="0" w:space="0" w:color="auto"/>
        <w:right w:val="none" w:sz="0" w:space="0" w:color="auto"/>
      </w:divBdr>
    </w:div>
    <w:div w:id="1350372241">
      <w:bodyDiv w:val="1"/>
      <w:marLeft w:val="0"/>
      <w:marRight w:val="0"/>
      <w:marTop w:val="0"/>
      <w:marBottom w:val="0"/>
      <w:divBdr>
        <w:top w:val="none" w:sz="0" w:space="0" w:color="auto"/>
        <w:left w:val="none" w:sz="0" w:space="0" w:color="auto"/>
        <w:bottom w:val="none" w:sz="0" w:space="0" w:color="auto"/>
        <w:right w:val="none" w:sz="0" w:space="0" w:color="auto"/>
      </w:divBdr>
    </w:div>
    <w:div w:id="1355108019">
      <w:bodyDiv w:val="1"/>
      <w:marLeft w:val="0"/>
      <w:marRight w:val="0"/>
      <w:marTop w:val="0"/>
      <w:marBottom w:val="0"/>
      <w:divBdr>
        <w:top w:val="none" w:sz="0" w:space="0" w:color="auto"/>
        <w:left w:val="none" w:sz="0" w:space="0" w:color="auto"/>
        <w:bottom w:val="none" w:sz="0" w:space="0" w:color="auto"/>
        <w:right w:val="none" w:sz="0" w:space="0" w:color="auto"/>
      </w:divBdr>
    </w:div>
    <w:div w:id="1384869603">
      <w:bodyDiv w:val="1"/>
      <w:marLeft w:val="0"/>
      <w:marRight w:val="0"/>
      <w:marTop w:val="0"/>
      <w:marBottom w:val="0"/>
      <w:divBdr>
        <w:top w:val="none" w:sz="0" w:space="0" w:color="auto"/>
        <w:left w:val="none" w:sz="0" w:space="0" w:color="auto"/>
        <w:bottom w:val="none" w:sz="0" w:space="0" w:color="auto"/>
        <w:right w:val="none" w:sz="0" w:space="0" w:color="auto"/>
      </w:divBdr>
    </w:div>
    <w:div w:id="1389300371">
      <w:bodyDiv w:val="1"/>
      <w:marLeft w:val="0"/>
      <w:marRight w:val="0"/>
      <w:marTop w:val="0"/>
      <w:marBottom w:val="0"/>
      <w:divBdr>
        <w:top w:val="none" w:sz="0" w:space="0" w:color="auto"/>
        <w:left w:val="none" w:sz="0" w:space="0" w:color="auto"/>
        <w:bottom w:val="none" w:sz="0" w:space="0" w:color="auto"/>
        <w:right w:val="none" w:sz="0" w:space="0" w:color="auto"/>
      </w:divBdr>
    </w:div>
    <w:div w:id="1428621706">
      <w:bodyDiv w:val="1"/>
      <w:marLeft w:val="0"/>
      <w:marRight w:val="0"/>
      <w:marTop w:val="0"/>
      <w:marBottom w:val="0"/>
      <w:divBdr>
        <w:top w:val="none" w:sz="0" w:space="0" w:color="auto"/>
        <w:left w:val="none" w:sz="0" w:space="0" w:color="auto"/>
        <w:bottom w:val="none" w:sz="0" w:space="0" w:color="auto"/>
        <w:right w:val="none" w:sz="0" w:space="0" w:color="auto"/>
      </w:divBdr>
    </w:div>
    <w:div w:id="1441333826">
      <w:bodyDiv w:val="1"/>
      <w:marLeft w:val="0"/>
      <w:marRight w:val="0"/>
      <w:marTop w:val="0"/>
      <w:marBottom w:val="0"/>
      <w:divBdr>
        <w:top w:val="none" w:sz="0" w:space="0" w:color="auto"/>
        <w:left w:val="none" w:sz="0" w:space="0" w:color="auto"/>
        <w:bottom w:val="none" w:sz="0" w:space="0" w:color="auto"/>
        <w:right w:val="none" w:sz="0" w:space="0" w:color="auto"/>
      </w:divBdr>
    </w:div>
    <w:div w:id="1452045080">
      <w:bodyDiv w:val="1"/>
      <w:marLeft w:val="0"/>
      <w:marRight w:val="0"/>
      <w:marTop w:val="0"/>
      <w:marBottom w:val="0"/>
      <w:divBdr>
        <w:top w:val="none" w:sz="0" w:space="0" w:color="auto"/>
        <w:left w:val="none" w:sz="0" w:space="0" w:color="auto"/>
        <w:bottom w:val="none" w:sz="0" w:space="0" w:color="auto"/>
        <w:right w:val="none" w:sz="0" w:space="0" w:color="auto"/>
      </w:divBdr>
    </w:div>
    <w:div w:id="1458838883">
      <w:bodyDiv w:val="1"/>
      <w:marLeft w:val="0"/>
      <w:marRight w:val="0"/>
      <w:marTop w:val="0"/>
      <w:marBottom w:val="0"/>
      <w:divBdr>
        <w:top w:val="none" w:sz="0" w:space="0" w:color="auto"/>
        <w:left w:val="none" w:sz="0" w:space="0" w:color="auto"/>
        <w:bottom w:val="none" w:sz="0" w:space="0" w:color="auto"/>
        <w:right w:val="none" w:sz="0" w:space="0" w:color="auto"/>
      </w:divBdr>
    </w:div>
    <w:div w:id="1466849978">
      <w:bodyDiv w:val="1"/>
      <w:marLeft w:val="0"/>
      <w:marRight w:val="0"/>
      <w:marTop w:val="0"/>
      <w:marBottom w:val="0"/>
      <w:divBdr>
        <w:top w:val="none" w:sz="0" w:space="0" w:color="auto"/>
        <w:left w:val="none" w:sz="0" w:space="0" w:color="auto"/>
        <w:bottom w:val="none" w:sz="0" w:space="0" w:color="auto"/>
        <w:right w:val="none" w:sz="0" w:space="0" w:color="auto"/>
      </w:divBdr>
    </w:div>
    <w:div w:id="1470170857">
      <w:bodyDiv w:val="1"/>
      <w:marLeft w:val="0"/>
      <w:marRight w:val="0"/>
      <w:marTop w:val="0"/>
      <w:marBottom w:val="0"/>
      <w:divBdr>
        <w:top w:val="none" w:sz="0" w:space="0" w:color="auto"/>
        <w:left w:val="none" w:sz="0" w:space="0" w:color="auto"/>
        <w:bottom w:val="none" w:sz="0" w:space="0" w:color="auto"/>
        <w:right w:val="none" w:sz="0" w:space="0" w:color="auto"/>
      </w:divBdr>
    </w:div>
    <w:div w:id="1471512286">
      <w:bodyDiv w:val="1"/>
      <w:marLeft w:val="0"/>
      <w:marRight w:val="0"/>
      <w:marTop w:val="0"/>
      <w:marBottom w:val="0"/>
      <w:divBdr>
        <w:top w:val="none" w:sz="0" w:space="0" w:color="auto"/>
        <w:left w:val="none" w:sz="0" w:space="0" w:color="auto"/>
        <w:bottom w:val="none" w:sz="0" w:space="0" w:color="auto"/>
        <w:right w:val="none" w:sz="0" w:space="0" w:color="auto"/>
      </w:divBdr>
    </w:div>
    <w:div w:id="1490361046">
      <w:bodyDiv w:val="1"/>
      <w:marLeft w:val="0"/>
      <w:marRight w:val="0"/>
      <w:marTop w:val="0"/>
      <w:marBottom w:val="0"/>
      <w:divBdr>
        <w:top w:val="none" w:sz="0" w:space="0" w:color="auto"/>
        <w:left w:val="none" w:sz="0" w:space="0" w:color="auto"/>
        <w:bottom w:val="none" w:sz="0" w:space="0" w:color="auto"/>
        <w:right w:val="none" w:sz="0" w:space="0" w:color="auto"/>
      </w:divBdr>
    </w:div>
    <w:div w:id="1492796947">
      <w:bodyDiv w:val="1"/>
      <w:marLeft w:val="0"/>
      <w:marRight w:val="0"/>
      <w:marTop w:val="0"/>
      <w:marBottom w:val="0"/>
      <w:divBdr>
        <w:top w:val="none" w:sz="0" w:space="0" w:color="auto"/>
        <w:left w:val="none" w:sz="0" w:space="0" w:color="auto"/>
        <w:bottom w:val="none" w:sz="0" w:space="0" w:color="auto"/>
        <w:right w:val="none" w:sz="0" w:space="0" w:color="auto"/>
      </w:divBdr>
    </w:div>
    <w:div w:id="1539049610">
      <w:bodyDiv w:val="1"/>
      <w:marLeft w:val="0"/>
      <w:marRight w:val="0"/>
      <w:marTop w:val="0"/>
      <w:marBottom w:val="0"/>
      <w:divBdr>
        <w:top w:val="none" w:sz="0" w:space="0" w:color="auto"/>
        <w:left w:val="none" w:sz="0" w:space="0" w:color="auto"/>
        <w:bottom w:val="none" w:sz="0" w:space="0" w:color="auto"/>
        <w:right w:val="none" w:sz="0" w:space="0" w:color="auto"/>
      </w:divBdr>
    </w:div>
    <w:div w:id="1550024698">
      <w:bodyDiv w:val="1"/>
      <w:marLeft w:val="0"/>
      <w:marRight w:val="0"/>
      <w:marTop w:val="0"/>
      <w:marBottom w:val="0"/>
      <w:divBdr>
        <w:top w:val="none" w:sz="0" w:space="0" w:color="auto"/>
        <w:left w:val="none" w:sz="0" w:space="0" w:color="auto"/>
        <w:bottom w:val="none" w:sz="0" w:space="0" w:color="auto"/>
        <w:right w:val="none" w:sz="0" w:space="0" w:color="auto"/>
      </w:divBdr>
    </w:div>
    <w:div w:id="1560827839">
      <w:bodyDiv w:val="1"/>
      <w:marLeft w:val="0"/>
      <w:marRight w:val="0"/>
      <w:marTop w:val="0"/>
      <w:marBottom w:val="0"/>
      <w:divBdr>
        <w:top w:val="none" w:sz="0" w:space="0" w:color="auto"/>
        <w:left w:val="none" w:sz="0" w:space="0" w:color="auto"/>
        <w:bottom w:val="none" w:sz="0" w:space="0" w:color="auto"/>
        <w:right w:val="none" w:sz="0" w:space="0" w:color="auto"/>
      </w:divBdr>
    </w:div>
    <w:div w:id="1604193774">
      <w:bodyDiv w:val="1"/>
      <w:marLeft w:val="0"/>
      <w:marRight w:val="0"/>
      <w:marTop w:val="0"/>
      <w:marBottom w:val="0"/>
      <w:divBdr>
        <w:top w:val="none" w:sz="0" w:space="0" w:color="auto"/>
        <w:left w:val="none" w:sz="0" w:space="0" w:color="auto"/>
        <w:bottom w:val="none" w:sz="0" w:space="0" w:color="auto"/>
        <w:right w:val="none" w:sz="0" w:space="0" w:color="auto"/>
      </w:divBdr>
    </w:div>
    <w:div w:id="1628584338">
      <w:bodyDiv w:val="1"/>
      <w:marLeft w:val="0"/>
      <w:marRight w:val="0"/>
      <w:marTop w:val="0"/>
      <w:marBottom w:val="0"/>
      <w:divBdr>
        <w:top w:val="none" w:sz="0" w:space="0" w:color="auto"/>
        <w:left w:val="none" w:sz="0" w:space="0" w:color="auto"/>
        <w:bottom w:val="none" w:sz="0" w:space="0" w:color="auto"/>
        <w:right w:val="none" w:sz="0" w:space="0" w:color="auto"/>
      </w:divBdr>
    </w:div>
    <w:div w:id="1653102110">
      <w:bodyDiv w:val="1"/>
      <w:marLeft w:val="0"/>
      <w:marRight w:val="0"/>
      <w:marTop w:val="0"/>
      <w:marBottom w:val="0"/>
      <w:divBdr>
        <w:top w:val="none" w:sz="0" w:space="0" w:color="auto"/>
        <w:left w:val="none" w:sz="0" w:space="0" w:color="auto"/>
        <w:bottom w:val="none" w:sz="0" w:space="0" w:color="auto"/>
        <w:right w:val="none" w:sz="0" w:space="0" w:color="auto"/>
      </w:divBdr>
    </w:div>
    <w:div w:id="1675376216">
      <w:bodyDiv w:val="1"/>
      <w:marLeft w:val="0"/>
      <w:marRight w:val="0"/>
      <w:marTop w:val="0"/>
      <w:marBottom w:val="0"/>
      <w:divBdr>
        <w:top w:val="none" w:sz="0" w:space="0" w:color="auto"/>
        <w:left w:val="none" w:sz="0" w:space="0" w:color="auto"/>
        <w:bottom w:val="none" w:sz="0" w:space="0" w:color="auto"/>
        <w:right w:val="none" w:sz="0" w:space="0" w:color="auto"/>
      </w:divBdr>
    </w:div>
    <w:div w:id="1682924982">
      <w:bodyDiv w:val="1"/>
      <w:marLeft w:val="0"/>
      <w:marRight w:val="0"/>
      <w:marTop w:val="0"/>
      <w:marBottom w:val="0"/>
      <w:divBdr>
        <w:top w:val="none" w:sz="0" w:space="0" w:color="auto"/>
        <w:left w:val="none" w:sz="0" w:space="0" w:color="auto"/>
        <w:bottom w:val="none" w:sz="0" w:space="0" w:color="auto"/>
        <w:right w:val="none" w:sz="0" w:space="0" w:color="auto"/>
      </w:divBdr>
    </w:div>
    <w:div w:id="1683119783">
      <w:bodyDiv w:val="1"/>
      <w:marLeft w:val="0"/>
      <w:marRight w:val="0"/>
      <w:marTop w:val="0"/>
      <w:marBottom w:val="0"/>
      <w:divBdr>
        <w:top w:val="none" w:sz="0" w:space="0" w:color="auto"/>
        <w:left w:val="none" w:sz="0" w:space="0" w:color="auto"/>
        <w:bottom w:val="none" w:sz="0" w:space="0" w:color="auto"/>
        <w:right w:val="none" w:sz="0" w:space="0" w:color="auto"/>
      </w:divBdr>
    </w:div>
    <w:div w:id="1753046746">
      <w:bodyDiv w:val="1"/>
      <w:marLeft w:val="0"/>
      <w:marRight w:val="0"/>
      <w:marTop w:val="0"/>
      <w:marBottom w:val="0"/>
      <w:divBdr>
        <w:top w:val="none" w:sz="0" w:space="0" w:color="auto"/>
        <w:left w:val="none" w:sz="0" w:space="0" w:color="auto"/>
        <w:bottom w:val="none" w:sz="0" w:space="0" w:color="auto"/>
        <w:right w:val="none" w:sz="0" w:space="0" w:color="auto"/>
      </w:divBdr>
    </w:div>
    <w:div w:id="1779983911">
      <w:bodyDiv w:val="1"/>
      <w:marLeft w:val="0"/>
      <w:marRight w:val="0"/>
      <w:marTop w:val="0"/>
      <w:marBottom w:val="0"/>
      <w:divBdr>
        <w:top w:val="none" w:sz="0" w:space="0" w:color="auto"/>
        <w:left w:val="none" w:sz="0" w:space="0" w:color="auto"/>
        <w:bottom w:val="none" w:sz="0" w:space="0" w:color="auto"/>
        <w:right w:val="none" w:sz="0" w:space="0" w:color="auto"/>
      </w:divBdr>
    </w:div>
    <w:div w:id="1822037945">
      <w:bodyDiv w:val="1"/>
      <w:marLeft w:val="0"/>
      <w:marRight w:val="0"/>
      <w:marTop w:val="0"/>
      <w:marBottom w:val="0"/>
      <w:divBdr>
        <w:top w:val="none" w:sz="0" w:space="0" w:color="auto"/>
        <w:left w:val="none" w:sz="0" w:space="0" w:color="auto"/>
        <w:bottom w:val="none" w:sz="0" w:space="0" w:color="auto"/>
        <w:right w:val="none" w:sz="0" w:space="0" w:color="auto"/>
      </w:divBdr>
    </w:div>
    <w:div w:id="1831169222">
      <w:bodyDiv w:val="1"/>
      <w:marLeft w:val="0"/>
      <w:marRight w:val="0"/>
      <w:marTop w:val="0"/>
      <w:marBottom w:val="0"/>
      <w:divBdr>
        <w:top w:val="none" w:sz="0" w:space="0" w:color="auto"/>
        <w:left w:val="none" w:sz="0" w:space="0" w:color="auto"/>
        <w:bottom w:val="none" w:sz="0" w:space="0" w:color="auto"/>
        <w:right w:val="none" w:sz="0" w:space="0" w:color="auto"/>
      </w:divBdr>
    </w:div>
    <w:div w:id="1854682532">
      <w:bodyDiv w:val="1"/>
      <w:marLeft w:val="0"/>
      <w:marRight w:val="0"/>
      <w:marTop w:val="0"/>
      <w:marBottom w:val="0"/>
      <w:divBdr>
        <w:top w:val="none" w:sz="0" w:space="0" w:color="auto"/>
        <w:left w:val="none" w:sz="0" w:space="0" w:color="auto"/>
        <w:bottom w:val="none" w:sz="0" w:space="0" w:color="auto"/>
        <w:right w:val="none" w:sz="0" w:space="0" w:color="auto"/>
      </w:divBdr>
    </w:div>
    <w:div w:id="1864055932">
      <w:bodyDiv w:val="1"/>
      <w:marLeft w:val="0"/>
      <w:marRight w:val="0"/>
      <w:marTop w:val="0"/>
      <w:marBottom w:val="0"/>
      <w:divBdr>
        <w:top w:val="none" w:sz="0" w:space="0" w:color="auto"/>
        <w:left w:val="none" w:sz="0" w:space="0" w:color="auto"/>
        <w:bottom w:val="none" w:sz="0" w:space="0" w:color="auto"/>
        <w:right w:val="none" w:sz="0" w:space="0" w:color="auto"/>
      </w:divBdr>
    </w:div>
    <w:div w:id="1920089780">
      <w:bodyDiv w:val="1"/>
      <w:marLeft w:val="0"/>
      <w:marRight w:val="0"/>
      <w:marTop w:val="0"/>
      <w:marBottom w:val="0"/>
      <w:divBdr>
        <w:top w:val="none" w:sz="0" w:space="0" w:color="auto"/>
        <w:left w:val="none" w:sz="0" w:space="0" w:color="auto"/>
        <w:bottom w:val="none" w:sz="0" w:space="0" w:color="auto"/>
        <w:right w:val="none" w:sz="0" w:space="0" w:color="auto"/>
      </w:divBdr>
    </w:div>
    <w:div w:id="1937134052">
      <w:bodyDiv w:val="1"/>
      <w:marLeft w:val="0"/>
      <w:marRight w:val="0"/>
      <w:marTop w:val="0"/>
      <w:marBottom w:val="0"/>
      <w:divBdr>
        <w:top w:val="none" w:sz="0" w:space="0" w:color="auto"/>
        <w:left w:val="none" w:sz="0" w:space="0" w:color="auto"/>
        <w:bottom w:val="none" w:sz="0" w:space="0" w:color="auto"/>
        <w:right w:val="none" w:sz="0" w:space="0" w:color="auto"/>
      </w:divBdr>
    </w:div>
    <w:div w:id="1970934085">
      <w:bodyDiv w:val="1"/>
      <w:marLeft w:val="0"/>
      <w:marRight w:val="0"/>
      <w:marTop w:val="0"/>
      <w:marBottom w:val="0"/>
      <w:divBdr>
        <w:top w:val="none" w:sz="0" w:space="0" w:color="auto"/>
        <w:left w:val="none" w:sz="0" w:space="0" w:color="auto"/>
        <w:bottom w:val="none" w:sz="0" w:space="0" w:color="auto"/>
        <w:right w:val="none" w:sz="0" w:space="0" w:color="auto"/>
      </w:divBdr>
    </w:div>
    <w:div w:id="1971400698">
      <w:bodyDiv w:val="1"/>
      <w:marLeft w:val="0"/>
      <w:marRight w:val="0"/>
      <w:marTop w:val="0"/>
      <w:marBottom w:val="0"/>
      <w:divBdr>
        <w:top w:val="none" w:sz="0" w:space="0" w:color="auto"/>
        <w:left w:val="none" w:sz="0" w:space="0" w:color="auto"/>
        <w:bottom w:val="none" w:sz="0" w:space="0" w:color="auto"/>
        <w:right w:val="none" w:sz="0" w:space="0" w:color="auto"/>
      </w:divBdr>
    </w:div>
    <w:div w:id="1980450704">
      <w:bodyDiv w:val="1"/>
      <w:marLeft w:val="0"/>
      <w:marRight w:val="0"/>
      <w:marTop w:val="0"/>
      <w:marBottom w:val="0"/>
      <w:divBdr>
        <w:top w:val="none" w:sz="0" w:space="0" w:color="auto"/>
        <w:left w:val="none" w:sz="0" w:space="0" w:color="auto"/>
        <w:bottom w:val="none" w:sz="0" w:space="0" w:color="auto"/>
        <w:right w:val="none" w:sz="0" w:space="0" w:color="auto"/>
      </w:divBdr>
    </w:div>
    <w:div w:id="1995061948">
      <w:bodyDiv w:val="1"/>
      <w:marLeft w:val="0"/>
      <w:marRight w:val="0"/>
      <w:marTop w:val="0"/>
      <w:marBottom w:val="0"/>
      <w:divBdr>
        <w:top w:val="none" w:sz="0" w:space="0" w:color="auto"/>
        <w:left w:val="none" w:sz="0" w:space="0" w:color="auto"/>
        <w:bottom w:val="none" w:sz="0" w:space="0" w:color="auto"/>
        <w:right w:val="none" w:sz="0" w:space="0" w:color="auto"/>
      </w:divBdr>
    </w:div>
    <w:div w:id="2021153740">
      <w:bodyDiv w:val="1"/>
      <w:marLeft w:val="0"/>
      <w:marRight w:val="0"/>
      <w:marTop w:val="0"/>
      <w:marBottom w:val="0"/>
      <w:divBdr>
        <w:top w:val="none" w:sz="0" w:space="0" w:color="auto"/>
        <w:left w:val="none" w:sz="0" w:space="0" w:color="auto"/>
        <w:bottom w:val="none" w:sz="0" w:space="0" w:color="auto"/>
        <w:right w:val="none" w:sz="0" w:space="0" w:color="auto"/>
      </w:divBdr>
    </w:div>
    <w:div w:id="2022077754">
      <w:bodyDiv w:val="1"/>
      <w:marLeft w:val="0"/>
      <w:marRight w:val="0"/>
      <w:marTop w:val="0"/>
      <w:marBottom w:val="0"/>
      <w:divBdr>
        <w:top w:val="none" w:sz="0" w:space="0" w:color="auto"/>
        <w:left w:val="none" w:sz="0" w:space="0" w:color="auto"/>
        <w:bottom w:val="none" w:sz="0" w:space="0" w:color="auto"/>
        <w:right w:val="none" w:sz="0" w:space="0" w:color="auto"/>
      </w:divBdr>
    </w:div>
    <w:div w:id="2056079121">
      <w:bodyDiv w:val="1"/>
      <w:marLeft w:val="0"/>
      <w:marRight w:val="0"/>
      <w:marTop w:val="0"/>
      <w:marBottom w:val="0"/>
      <w:divBdr>
        <w:top w:val="none" w:sz="0" w:space="0" w:color="auto"/>
        <w:left w:val="none" w:sz="0" w:space="0" w:color="auto"/>
        <w:bottom w:val="none" w:sz="0" w:space="0" w:color="auto"/>
        <w:right w:val="none" w:sz="0" w:space="0" w:color="auto"/>
      </w:divBdr>
    </w:div>
    <w:div w:id="2063433675">
      <w:bodyDiv w:val="1"/>
      <w:marLeft w:val="0"/>
      <w:marRight w:val="0"/>
      <w:marTop w:val="0"/>
      <w:marBottom w:val="0"/>
      <w:divBdr>
        <w:top w:val="none" w:sz="0" w:space="0" w:color="auto"/>
        <w:left w:val="none" w:sz="0" w:space="0" w:color="auto"/>
        <w:bottom w:val="none" w:sz="0" w:space="0" w:color="auto"/>
        <w:right w:val="none" w:sz="0" w:space="0" w:color="auto"/>
      </w:divBdr>
    </w:div>
    <w:div w:id="2081707251">
      <w:bodyDiv w:val="1"/>
      <w:marLeft w:val="0"/>
      <w:marRight w:val="0"/>
      <w:marTop w:val="0"/>
      <w:marBottom w:val="0"/>
      <w:divBdr>
        <w:top w:val="none" w:sz="0" w:space="0" w:color="auto"/>
        <w:left w:val="none" w:sz="0" w:space="0" w:color="auto"/>
        <w:bottom w:val="none" w:sz="0" w:space="0" w:color="auto"/>
        <w:right w:val="none" w:sz="0" w:space="0" w:color="auto"/>
      </w:divBdr>
    </w:div>
    <w:div w:id="2097970673">
      <w:bodyDiv w:val="1"/>
      <w:marLeft w:val="0"/>
      <w:marRight w:val="0"/>
      <w:marTop w:val="0"/>
      <w:marBottom w:val="0"/>
      <w:divBdr>
        <w:top w:val="none" w:sz="0" w:space="0" w:color="auto"/>
        <w:left w:val="none" w:sz="0" w:space="0" w:color="auto"/>
        <w:bottom w:val="none" w:sz="0" w:space="0" w:color="auto"/>
        <w:right w:val="none" w:sz="0" w:space="0" w:color="auto"/>
      </w:divBdr>
    </w:div>
    <w:div w:id="2132363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tm.org/products-services/standards-and-publications.html" TargetMode="External"/><Relationship Id="rId13" Type="http://schemas.openxmlformats.org/officeDocument/2006/relationships/hyperlink" Target="https://www.orau.org/health-physics-museum/files/library/nbs/nbs-69.pdf" TargetMode="External"/><Relationship Id="rId18" Type="http://schemas.openxmlformats.org/officeDocument/2006/relationships/hyperlink" Target="http://www.epa.gov/nscep/" TargetMode="External"/><Relationship Id="rId26" Type="http://schemas.openxmlformats.org/officeDocument/2006/relationships/image" Target="media/image4.wmf"/><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hyperlink" Target="https://www.nrc.gov/docs/ML2020/ML20206L091.pdf" TargetMode="External"/><Relationship Id="rId17" Type="http://schemas.openxmlformats.org/officeDocument/2006/relationships/hyperlink" Target="https://ntrl.ntis.gov/NTRL/" TargetMode="External"/><Relationship Id="rId25" Type="http://schemas.openxmlformats.org/officeDocument/2006/relationships/oleObject" Target="embeddings/oleObject3.bin"/><Relationship Id="rId33" Type="http://schemas.openxmlformats.org/officeDocument/2006/relationships/oleObject" Target="embeddings/oleObject6.bin"/><Relationship Id="rId38"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hyperlink" Target="https://www.idexx.com/en/water/other-products-services/tecta-water-microbiology-system/" TargetMode="External"/><Relationship Id="rId20" Type="http://schemas.openxmlformats.org/officeDocument/2006/relationships/image" Target="media/image1.wmf"/><Relationship Id="rId29" Type="http://schemas.openxmlformats.org/officeDocument/2006/relationships/oleObject" Target="embeddings/oleObject5.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dexx.com/en/water/water-products-services/enterolert/" TargetMode="External"/><Relationship Id="rId24" Type="http://schemas.openxmlformats.org/officeDocument/2006/relationships/image" Target="media/image3.wmf"/><Relationship Id="rId32" Type="http://schemas.openxmlformats.org/officeDocument/2006/relationships/image" Target="media/image6.wmf"/><Relationship Id="rId37" Type="http://schemas.openxmlformats.org/officeDocument/2006/relationships/image" Target="media/image8.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andardmethods.org" TargetMode="External"/><Relationship Id="rId23" Type="http://schemas.openxmlformats.org/officeDocument/2006/relationships/oleObject" Target="embeddings/oleObject2.bin"/><Relationship Id="rId28" Type="http://schemas.openxmlformats.org/officeDocument/2006/relationships/image" Target="media/image5.wmf"/><Relationship Id="rId36" Type="http://schemas.openxmlformats.org/officeDocument/2006/relationships/oleObject" Target="embeddings/oleObject8.bin"/><Relationship Id="rId10" Type="http://schemas.openxmlformats.org/officeDocument/2006/relationships/hyperlink" Target="https://journals.asm.org/doi/epdf/10.1128/aem.62.10.3881-3884.1996" TargetMode="External"/><Relationship Id="rId19" Type="http://schemas.openxmlformats.org/officeDocument/2006/relationships/hyperlink" Target="https://www.nemi.gov/methods/method_summary/8907/" TargetMode="External"/><Relationship Id="rId31" Type="http://schemas.openxmlformats.org/officeDocument/2006/relationships/hyperlink" Target="mailto:helpdesk@epacdx.net" TargetMode="External"/><Relationship Id="rId4" Type="http://schemas.openxmlformats.org/officeDocument/2006/relationships/settings" Target="settings.xml"/><Relationship Id="rId9" Type="http://schemas.openxmlformats.org/officeDocument/2006/relationships/hyperlink" Target="https://www.hsdl.org/c/view?docid=487142" TargetMode="External"/><Relationship Id="rId14" Type="http://schemas.openxmlformats.org/officeDocument/2006/relationships/hyperlink" Target="https://www.awwa.org/Publications/Standard-Methods" TargetMode="Externa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hyperlink" Target="http://www.epa.gov/safewater/lead" TargetMode="External"/><Relationship Id="rId35"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ambridge\AppData\Roaming\Microsoft\Templates\Mike%20Custom03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362B6-4604-4FB7-A492-04BF58CB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Mike Custom0305.dot</Template>
  <TotalTime>9</TotalTime>
  <Pages>757</Pages>
  <Words>240887</Words>
  <Characters>1267071</Characters>
  <Application>Microsoft Office Word</Application>
  <DocSecurity>0</DocSecurity>
  <Lines>42235</Lines>
  <Paragraphs>18616</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1489342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subject/>
  <dc:creator>State Of Illinois</dc:creator>
  <cp:keywords/>
  <dc:description/>
  <cp:lastModifiedBy>Brown, Don</cp:lastModifiedBy>
  <cp:revision>3</cp:revision>
  <cp:lastPrinted>2024-08-14T15:28:00Z</cp:lastPrinted>
  <dcterms:created xsi:type="dcterms:W3CDTF">2024-08-14T20:07:00Z</dcterms:created>
  <dcterms:modified xsi:type="dcterms:W3CDTF">2025-02-20T00:13:00Z</dcterms:modified>
</cp:coreProperties>
</file>